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5D3D" w14:textId="0295C0EA" w:rsidR="00B21DA4" w:rsidRPr="006668EB" w:rsidRDefault="00B21DA4" w:rsidP="007C3C37">
      <w:pPr>
        <w:pStyle w:val="Heading1"/>
        <w:numPr>
          <w:ilvl w:val="0"/>
          <w:numId w:val="0"/>
        </w:numPr>
        <w:spacing w:before="0" w:line="240" w:lineRule="auto"/>
        <w:ind w:left="454" w:hanging="454"/>
        <w:jc w:val="center"/>
        <w:rPr>
          <w:rFonts w:ascii="Arial" w:hAnsi="Arial" w:cs="Arial"/>
          <w:b/>
          <w:bCs/>
          <w:color w:val="FF0000"/>
          <w:sz w:val="40"/>
        </w:rPr>
      </w:pPr>
      <w:bookmarkStart w:id="0" w:name="_Toc30646794"/>
      <w:bookmarkStart w:id="1" w:name="_Toc30648151"/>
      <w:bookmarkStart w:id="2" w:name="_Toc30649049"/>
      <w:bookmarkStart w:id="3" w:name="_Toc30649125"/>
      <w:bookmarkStart w:id="4" w:name="_Toc30649386"/>
      <w:bookmarkStart w:id="5" w:name="_Toc30649706"/>
      <w:bookmarkStart w:id="6" w:name="_Toc30651640"/>
      <w:bookmarkStart w:id="7" w:name="_Toc30652624"/>
      <w:bookmarkStart w:id="8" w:name="_Toc30652722"/>
      <w:bookmarkStart w:id="9" w:name="_Toc30654067"/>
      <w:bookmarkStart w:id="10" w:name="_Toc30654418"/>
      <w:bookmarkStart w:id="11" w:name="_Toc30655037"/>
      <w:bookmarkStart w:id="12" w:name="_Toc30655294"/>
      <w:bookmarkStart w:id="13" w:name="_Toc30656972"/>
      <w:bookmarkStart w:id="14" w:name="_Toc30661721"/>
      <w:bookmarkStart w:id="15" w:name="_Toc30666409"/>
      <w:bookmarkStart w:id="16" w:name="_Toc30666639"/>
      <w:bookmarkStart w:id="17" w:name="_Toc30667814"/>
      <w:bookmarkStart w:id="18" w:name="_Toc30669192"/>
      <w:bookmarkStart w:id="19" w:name="_Toc30671408"/>
      <w:bookmarkStart w:id="20" w:name="_Toc30673935"/>
      <w:bookmarkStart w:id="21" w:name="_Toc30691157"/>
      <w:bookmarkStart w:id="22" w:name="_Toc30691528"/>
      <w:bookmarkStart w:id="23" w:name="_Toc30691908"/>
      <w:bookmarkStart w:id="24" w:name="_Toc30692667"/>
      <w:bookmarkStart w:id="25" w:name="_Toc30693046"/>
      <w:bookmarkStart w:id="26" w:name="_Toc30693424"/>
      <w:bookmarkStart w:id="27" w:name="_Toc30693803"/>
      <w:bookmarkStart w:id="28" w:name="_Toc30694184"/>
      <w:bookmarkStart w:id="29" w:name="_Toc30698773"/>
      <w:bookmarkStart w:id="30" w:name="_Toc30699151"/>
      <w:bookmarkStart w:id="31" w:name="_Toc30699536"/>
      <w:bookmarkStart w:id="32" w:name="_Toc30700691"/>
      <w:bookmarkStart w:id="33" w:name="_Toc30701078"/>
      <w:bookmarkStart w:id="34" w:name="_Toc30743687"/>
      <w:bookmarkStart w:id="35" w:name="_Toc30754509"/>
      <w:bookmarkStart w:id="36" w:name="_Toc30756949"/>
      <w:bookmarkStart w:id="37" w:name="_Toc30757498"/>
      <w:bookmarkStart w:id="38" w:name="_Toc30757898"/>
      <w:bookmarkStart w:id="39" w:name="_Toc30762659"/>
      <w:bookmarkStart w:id="40" w:name="_Toc30767313"/>
      <w:bookmarkStart w:id="41" w:name="_Toc34823329"/>
      <w:r w:rsidRPr="006668EB">
        <w:rPr>
          <w:rFonts w:ascii="Arial" w:hAnsi="Arial" w:cs="Arial"/>
          <w:b/>
          <w:bCs/>
          <w:color w:val="FF0000"/>
          <w:sz w:val="40"/>
        </w:rPr>
        <w:t xml:space="preserve">3.  COURT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6668EB">
        <w:rPr>
          <w:rFonts w:ascii="Arial" w:hAnsi="Arial" w:cs="Arial"/>
          <w:b/>
          <w:bCs/>
          <w:color w:val="FF0000"/>
          <w:sz w:val="40"/>
        </w:rPr>
        <w:t>OPERATION</w:t>
      </w:r>
      <w:bookmarkEnd w:id="41"/>
    </w:p>
    <w:p w14:paraId="0D23AD9A" w14:textId="77777777" w:rsidR="00B21DA4" w:rsidRPr="00C218CB" w:rsidRDefault="00B21DA4">
      <w:pPr>
        <w:jc w:val="both"/>
        <w:rPr>
          <w:rFonts w:ascii="Arial" w:hAnsi="Arial" w:cs="Arial"/>
          <w:sz w:val="6"/>
          <w:szCs w:val="22"/>
        </w:rPr>
      </w:pPr>
    </w:p>
    <w:p w14:paraId="2CC7A884" w14:textId="77777777" w:rsidR="00B21DA4" w:rsidRPr="00C218CB" w:rsidRDefault="00B21DA4" w:rsidP="00E54D25">
      <w:pPr>
        <w:pBdr>
          <w:top w:val="single" w:sz="4" w:space="1" w:color="auto"/>
          <w:left w:val="single" w:sz="4" w:space="4" w:color="auto"/>
          <w:bottom w:val="single" w:sz="4" w:space="1" w:color="auto"/>
          <w:right w:val="single" w:sz="4" w:space="4" w:color="auto"/>
        </w:pBdr>
        <w:rPr>
          <w:rFonts w:ascii="Arial" w:hAnsi="Arial" w:cs="Arial"/>
          <w:b/>
          <w:bCs/>
          <w:sz w:val="6"/>
          <w:szCs w:val="6"/>
        </w:rPr>
      </w:pPr>
    </w:p>
    <w:p w14:paraId="029892F1" w14:textId="07FA4711" w:rsidR="00B21DA4" w:rsidRPr="00FA71D1"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rPr>
      </w:pPr>
      <w:hyperlink w:anchor="_3.1_Roles_of_1" w:history="1">
        <w:r w:rsidRPr="00FA71D1">
          <w:rPr>
            <w:rStyle w:val="Hyperlink"/>
            <w:rFonts w:ascii="Arial" w:hAnsi="Arial" w:cs="Arial"/>
            <w:b/>
            <w:bCs/>
            <w:u w:val="none"/>
          </w:rPr>
          <w:t>3.1</w:t>
        </w:r>
        <w:r w:rsidRPr="00FA71D1">
          <w:rPr>
            <w:rStyle w:val="Hyperlink"/>
            <w:rFonts w:ascii="Arial" w:hAnsi="Arial" w:cs="Arial"/>
            <w:b/>
            <w:bCs/>
            <w:u w:val="none"/>
          </w:rPr>
          <w:tab/>
          <w:t>Ro</w:t>
        </w:r>
        <w:r w:rsidRPr="00620B3E">
          <w:rPr>
            <w:rStyle w:val="Hyperlink"/>
            <w:rFonts w:ascii="Arial" w:hAnsi="Arial" w:cs="Arial"/>
            <w:b/>
            <w:bCs/>
            <w:u w:val="none"/>
          </w:rPr>
          <w:t xml:space="preserve">les of judicial </w:t>
        </w:r>
        <w:r w:rsidRPr="00FA71D1">
          <w:rPr>
            <w:rStyle w:val="Hyperlink"/>
            <w:rFonts w:ascii="Arial" w:hAnsi="Arial" w:cs="Arial"/>
            <w:b/>
            <w:bCs/>
            <w:u w:val="none"/>
          </w:rPr>
          <w:t>officers</w:t>
        </w:r>
      </w:hyperlink>
    </w:p>
    <w:bookmarkStart w:id="42" w:name="_Hlk126302193"/>
    <w:p w14:paraId="269CC528" w14:textId="31541E1B" w:rsidR="001C057A" w:rsidRPr="001C057A" w:rsidRDefault="001C057A" w:rsidP="001C057A">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r w:rsidRPr="001C057A">
        <w:rPr>
          <w:rFonts w:ascii="Arial" w:hAnsi="Arial" w:cs="Arial"/>
          <w:b/>
          <w:bCs/>
          <w:sz w:val="20"/>
        </w:rPr>
        <w:fldChar w:fldCharType="begin"/>
      </w:r>
      <w:r w:rsidR="00166BEC">
        <w:rPr>
          <w:rFonts w:ascii="Arial" w:hAnsi="Arial" w:cs="Arial"/>
          <w:b/>
          <w:bCs/>
          <w:sz w:val="20"/>
        </w:rPr>
        <w:instrText>HYPERLINK  \l "_3.1.1_Procedural_fairness_1"</w:instrText>
      </w:r>
      <w:r w:rsidRPr="001C057A">
        <w:rPr>
          <w:rFonts w:ascii="Arial" w:hAnsi="Arial" w:cs="Arial"/>
          <w:b/>
          <w:bCs/>
          <w:sz w:val="20"/>
        </w:rPr>
      </w:r>
      <w:r w:rsidRPr="001C057A">
        <w:rPr>
          <w:rFonts w:ascii="Arial" w:hAnsi="Arial" w:cs="Arial"/>
          <w:b/>
          <w:bCs/>
          <w:sz w:val="20"/>
        </w:rPr>
        <w:fldChar w:fldCharType="separate"/>
      </w:r>
      <w:r w:rsidRPr="001C057A">
        <w:rPr>
          <w:rStyle w:val="Hyperlink"/>
          <w:rFonts w:ascii="Arial" w:hAnsi="Arial" w:cs="Arial"/>
          <w:b/>
          <w:bCs/>
          <w:sz w:val="20"/>
          <w:u w:val="none"/>
        </w:rPr>
        <w:tab/>
        <w:t>3.1.1</w:t>
      </w:r>
      <w:r w:rsidRPr="001C057A">
        <w:rPr>
          <w:rStyle w:val="Hyperlink"/>
          <w:rFonts w:ascii="Arial" w:hAnsi="Arial" w:cs="Arial"/>
          <w:b/>
          <w:bCs/>
          <w:sz w:val="20"/>
          <w:u w:val="none"/>
        </w:rPr>
        <w:tab/>
        <w:t>Procedural fairness (natural justice) generally</w:t>
      </w:r>
      <w:r w:rsidRPr="001C057A">
        <w:rPr>
          <w:rFonts w:ascii="Arial" w:hAnsi="Arial" w:cs="Arial"/>
          <w:b/>
          <w:bCs/>
          <w:sz w:val="20"/>
        </w:rPr>
        <w:fldChar w:fldCharType="end"/>
      </w:r>
    </w:p>
    <w:p w14:paraId="67444481" w14:textId="6EA95878" w:rsidR="001C057A" w:rsidRPr="00843C81" w:rsidRDefault="001C057A" w:rsidP="001C057A">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2_Actual_or" w:history="1">
        <w:r w:rsidRPr="00843C81">
          <w:rPr>
            <w:rStyle w:val="Hyperlink"/>
            <w:rFonts w:ascii="Arial" w:hAnsi="Arial" w:cs="Arial"/>
            <w:b/>
            <w:bCs/>
            <w:sz w:val="20"/>
            <w:u w:val="none"/>
          </w:rPr>
          <w:tab/>
          <w:t>3.</w:t>
        </w:r>
        <w:r w:rsidR="00843C81" w:rsidRPr="00843C81">
          <w:rPr>
            <w:rStyle w:val="Hyperlink"/>
            <w:rFonts w:ascii="Arial" w:hAnsi="Arial" w:cs="Arial"/>
            <w:b/>
            <w:bCs/>
            <w:sz w:val="20"/>
            <w:u w:val="none"/>
          </w:rPr>
          <w:t>1</w:t>
        </w:r>
        <w:r w:rsidRPr="00843C81">
          <w:rPr>
            <w:rStyle w:val="Hyperlink"/>
            <w:rFonts w:ascii="Arial" w:hAnsi="Arial" w:cs="Arial"/>
            <w:b/>
            <w:bCs/>
            <w:sz w:val="20"/>
            <w:u w:val="none"/>
          </w:rPr>
          <w:t>.2</w:t>
        </w:r>
        <w:r w:rsidRPr="00843C81">
          <w:rPr>
            <w:rStyle w:val="Hyperlink"/>
            <w:rFonts w:ascii="Arial" w:hAnsi="Arial" w:cs="Arial"/>
            <w:b/>
            <w:bCs/>
            <w:sz w:val="20"/>
            <w:u w:val="none"/>
          </w:rPr>
          <w:tab/>
        </w:r>
        <w:r w:rsidR="00843C81" w:rsidRPr="00843C81">
          <w:rPr>
            <w:rStyle w:val="Hyperlink"/>
            <w:rFonts w:ascii="Arial" w:hAnsi="Arial" w:cs="Arial"/>
            <w:b/>
            <w:bCs/>
            <w:sz w:val="20"/>
            <w:u w:val="none"/>
          </w:rPr>
          <w:t>Actual or apprehended judicial bias</w:t>
        </w:r>
      </w:hyperlink>
    </w:p>
    <w:bookmarkEnd w:id="42"/>
    <w:p w14:paraId="3249E9DD" w14:textId="5F648C0B" w:rsidR="00B21DA4" w:rsidRPr="00036D92" w:rsidRDefault="00036D92" w:rsidP="002B69BB">
      <w:pPr>
        <w:pBdr>
          <w:top w:val="single" w:sz="4" w:space="1" w:color="auto"/>
          <w:left w:val="single" w:sz="4" w:space="4" w:color="auto"/>
          <w:bottom w:val="single" w:sz="4" w:space="1" w:color="auto"/>
          <w:right w:val="single" w:sz="4" w:space="4" w:color="auto"/>
        </w:pBdr>
        <w:tabs>
          <w:tab w:val="left" w:pos="567"/>
        </w:tabs>
        <w:spacing w:before="80"/>
        <w:rPr>
          <w:rStyle w:val="Hyperlink"/>
          <w:rFonts w:ascii="Arial" w:hAnsi="Arial" w:cs="Arial"/>
          <w:b/>
          <w:bCs/>
          <w:u w:val="none"/>
        </w:rPr>
      </w:pPr>
      <w:r w:rsidRPr="00036D92">
        <w:rPr>
          <w:rFonts w:ascii="Arial" w:hAnsi="Arial" w:cs="Arial"/>
          <w:b/>
          <w:bCs/>
        </w:rPr>
        <w:fldChar w:fldCharType="begin"/>
      </w:r>
      <w:r w:rsidR="00530CB6">
        <w:rPr>
          <w:rFonts w:ascii="Arial" w:hAnsi="Arial" w:cs="Arial"/>
          <w:b/>
          <w:bCs/>
        </w:rPr>
        <w:instrText>HYPERLINK  \l "_3.2_Judicial_Independence"</w:instrText>
      </w:r>
      <w:r w:rsidRPr="00036D92">
        <w:rPr>
          <w:rFonts w:ascii="Arial" w:hAnsi="Arial" w:cs="Arial"/>
          <w:b/>
          <w:bCs/>
        </w:rPr>
      </w:r>
      <w:r w:rsidRPr="00036D92">
        <w:rPr>
          <w:rFonts w:ascii="Arial" w:hAnsi="Arial" w:cs="Arial"/>
          <w:b/>
          <w:bCs/>
        </w:rPr>
        <w:fldChar w:fldCharType="separate"/>
      </w:r>
      <w:r w:rsidR="00B21DA4" w:rsidRPr="00036D92">
        <w:rPr>
          <w:rStyle w:val="Hyperlink"/>
          <w:rFonts w:ascii="Arial" w:hAnsi="Arial" w:cs="Arial"/>
          <w:b/>
          <w:bCs/>
          <w:u w:val="none"/>
        </w:rPr>
        <w:t>3.2</w:t>
      </w:r>
      <w:r w:rsidR="00B21DA4" w:rsidRPr="00036D92">
        <w:rPr>
          <w:rStyle w:val="Hyperlink"/>
          <w:rFonts w:ascii="Arial" w:hAnsi="Arial" w:cs="Arial"/>
          <w:b/>
          <w:bCs/>
          <w:u w:val="none"/>
        </w:rPr>
        <w:tab/>
        <w:t>Judicial Independence</w:t>
      </w:r>
      <w:r w:rsidR="00C228D0">
        <w:rPr>
          <w:rStyle w:val="Hyperlink"/>
          <w:rFonts w:ascii="Arial" w:hAnsi="Arial" w:cs="Arial"/>
          <w:b/>
          <w:bCs/>
          <w:u w:val="none"/>
        </w:rPr>
        <w:t xml:space="preserve"> &amp; </w:t>
      </w:r>
      <w:r w:rsidR="00FF5A69">
        <w:rPr>
          <w:rStyle w:val="Hyperlink"/>
          <w:rFonts w:ascii="Arial" w:hAnsi="Arial" w:cs="Arial"/>
          <w:b/>
          <w:bCs/>
          <w:u w:val="none"/>
        </w:rPr>
        <w:t>I</w:t>
      </w:r>
      <w:r w:rsidR="00C228D0">
        <w:rPr>
          <w:rStyle w:val="Hyperlink"/>
          <w:rFonts w:ascii="Arial" w:hAnsi="Arial" w:cs="Arial"/>
          <w:b/>
          <w:bCs/>
          <w:u w:val="none"/>
        </w:rPr>
        <w:t>mmunity</w:t>
      </w:r>
    </w:p>
    <w:p w14:paraId="6080E76C" w14:textId="3B2FF15B" w:rsidR="002403F7" w:rsidRPr="001C057A" w:rsidRDefault="00036D92" w:rsidP="002403F7">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r w:rsidRPr="00036D92">
        <w:rPr>
          <w:rFonts w:ascii="Arial" w:hAnsi="Arial" w:cs="Arial"/>
          <w:b/>
          <w:bCs/>
        </w:rPr>
        <w:fldChar w:fldCharType="end"/>
      </w:r>
      <w:hyperlink w:anchor="_3.2.1_Judicial_independence" w:history="1">
        <w:r w:rsidR="002403F7" w:rsidRPr="001C057A">
          <w:rPr>
            <w:rStyle w:val="Hyperlink"/>
            <w:rFonts w:ascii="Arial" w:hAnsi="Arial" w:cs="Arial"/>
            <w:b/>
            <w:bCs/>
            <w:sz w:val="20"/>
            <w:u w:val="none"/>
          </w:rPr>
          <w:tab/>
          <w:t>3.</w:t>
        </w:r>
        <w:r w:rsidR="002403F7">
          <w:rPr>
            <w:rStyle w:val="Hyperlink"/>
            <w:rFonts w:ascii="Arial" w:hAnsi="Arial" w:cs="Arial"/>
            <w:b/>
            <w:bCs/>
            <w:sz w:val="20"/>
            <w:u w:val="none"/>
          </w:rPr>
          <w:t>2</w:t>
        </w:r>
        <w:r w:rsidR="002403F7" w:rsidRPr="001C057A">
          <w:rPr>
            <w:rStyle w:val="Hyperlink"/>
            <w:rFonts w:ascii="Arial" w:hAnsi="Arial" w:cs="Arial"/>
            <w:b/>
            <w:bCs/>
            <w:sz w:val="20"/>
            <w:u w:val="none"/>
          </w:rPr>
          <w:t>.1</w:t>
        </w:r>
        <w:r w:rsidR="002403F7" w:rsidRPr="001C057A">
          <w:rPr>
            <w:rStyle w:val="Hyperlink"/>
            <w:rFonts w:ascii="Arial" w:hAnsi="Arial" w:cs="Arial"/>
            <w:b/>
            <w:bCs/>
            <w:sz w:val="20"/>
            <w:u w:val="none"/>
          </w:rPr>
          <w:tab/>
        </w:r>
        <w:r w:rsidR="002403F7" w:rsidRPr="002403F7">
          <w:rPr>
            <w:rStyle w:val="Hyperlink"/>
            <w:rFonts w:ascii="Arial" w:hAnsi="Arial" w:cs="Arial"/>
            <w:b/>
            <w:bCs/>
            <w:sz w:val="20"/>
            <w:u w:val="none"/>
          </w:rPr>
          <w:t>Judicial independence</w:t>
        </w:r>
      </w:hyperlink>
    </w:p>
    <w:p w14:paraId="59AC799D" w14:textId="4F84D5C3" w:rsidR="002403F7" w:rsidRPr="00E64AAF" w:rsidRDefault="002403F7" w:rsidP="002403F7">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2.2_Judicial_immunity" w:history="1">
        <w:r w:rsidRPr="00E64AAF">
          <w:rPr>
            <w:rStyle w:val="Hyperlink"/>
            <w:rFonts w:ascii="Arial" w:hAnsi="Arial" w:cs="Arial"/>
            <w:b/>
            <w:bCs/>
            <w:sz w:val="20"/>
            <w:u w:val="none"/>
          </w:rPr>
          <w:tab/>
          <w:t>3.2.2</w:t>
        </w:r>
        <w:r w:rsidRPr="00E64AAF">
          <w:rPr>
            <w:rStyle w:val="Hyperlink"/>
            <w:rFonts w:ascii="Arial" w:hAnsi="Arial" w:cs="Arial"/>
            <w:b/>
            <w:bCs/>
            <w:sz w:val="20"/>
            <w:u w:val="none"/>
          </w:rPr>
          <w:tab/>
        </w:r>
        <w:r w:rsidR="00E64AAF" w:rsidRPr="00E64AAF">
          <w:rPr>
            <w:rStyle w:val="Hyperlink"/>
            <w:rFonts w:ascii="Arial" w:hAnsi="Arial" w:cs="Arial"/>
            <w:b/>
            <w:bCs/>
            <w:sz w:val="20"/>
            <w:u w:val="none"/>
          </w:rPr>
          <w:t>Immunity of judicial officers &amp; court offic</w:t>
        </w:r>
        <w:r w:rsidR="007D6FE6">
          <w:rPr>
            <w:rStyle w:val="Hyperlink"/>
            <w:rFonts w:ascii="Arial" w:hAnsi="Arial" w:cs="Arial"/>
            <w:b/>
            <w:bCs/>
            <w:sz w:val="20"/>
            <w:u w:val="none"/>
          </w:rPr>
          <w:t>ial</w:t>
        </w:r>
        <w:r w:rsidR="00E64AAF" w:rsidRPr="00E64AAF">
          <w:rPr>
            <w:rStyle w:val="Hyperlink"/>
            <w:rFonts w:ascii="Arial" w:hAnsi="Arial" w:cs="Arial"/>
            <w:b/>
            <w:bCs/>
            <w:sz w:val="20"/>
            <w:u w:val="none"/>
          </w:rPr>
          <w:t>s</w:t>
        </w:r>
      </w:hyperlink>
    </w:p>
    <w:p w14:paraId="589D939C" w14:textId="69938B10" w:rsidR="00843765" w:rsidRPr="00192DC4" w:rsidRDefault="00192DC4" w:rsidP="00E54D25">
      <w:pPr>
        <w:pBdr>
          <w:top w:val="single" w:sz="4" w:space="1" w:color="auto"/>
          <w:left w:val="single" w:sz="4" w:space="4" w:color="auto"/>
          <w:bottom w:val="single" w:sz="4" w:space="1" w:color="auto"/>
          <w:right w:val="single" w:sz="4" w:space="4" w:color="auto"/>
        </w:pBdr>
        <w:tabs>
          <w:tab w:val="left" w:pos="567"/>
        </w:tabs>
        <w:spacing w:before="80"/>
        <w:rPr>
          <w:rStyle w:val="Hyperlink"/>
          <w:rFonts w:ascii="Arial" w:hAnsi="Arial" w:cs="Arial"/>
          <w:b/>
          <w:bCs/>
          <w:u w:val="none"/>
        </w:rPr>
      </w:pPr>
      <w:r w:rsidRPr="00192DC4">
        <w:rPr>
          <w:rFonts w:ascii="Arial" w:hAnsi="Arial" w:cs="Arial"/>
          <w:b/>
          <w:bCs/>
        </w:rPr>
        <w:fldChar w:fldCharType="begin"/>
      </w:r>
      <w:r w:rsidRPr="00192DC4">
        <w:rPr>
          <w:rFonts w:ascii="Arial" w:hAnsi="Arial" w:cs="Arial"/>
          <w:b/>
          <w:bCs/>
        </w:rPr>
        <w:instrText xml:space="preserve"> HYPERLINK  \l "_3.3_Children’s_Court" </w:instrText>
      </w:r>
      <w:r w:rsidRPr="00192DC4">
        <w:rPr>
          <w:rFonts w:ascii="Arial" w:hAnsi="Arial" w:cs="Arial"/>
          <w:b/>
          <w:bCs/>
        </w:rPr>
      </w:r>
      <w:r w:rsidRPr="00192DC4">
        <w:rPr>
          <w:rFonts w:ascii="Arial" w:hAnsi="Arial" w:cs="Arial"/>
          <w:b/>
          <w:bCs/>
        </w:rPr>
        <w:fldChar w:fldCharType="separate"/>
      </w:r>
      <w:r w:rsidR="00B21DA4" w:rsidRPr="00192DC4">
        <w:rPr>
          <w:rStyle w:val="Hyperlink"/>
          <w:rFonts w:ascii="Arial" w:hAnsi="Arial" w:cs="Arial"/>
          <w:b/>
          <w:bCs/>
          <w:u w:val="none"/>
        </w:rPr>
        <w:t>3.3</w:t>
      </w:r>
      <w:r w:rsidR="00B21DA4" w:rsidRPr="00192DC4">
        <w:rPr>
          <w:rStyle w:val="Hyperlink"/>
          <w:rFonts w:ascii="Arial" w:hAnsi="Arial" w:cs="Arial"/>
          <w:b/>
          <w:bCs/>
          <w:u w:val="none"/>
        </w:rPr>
        <w:tab/>
      </w:r>
      <w:r w:rsidRPr="00192DC4">
        <w:rPr>
          <w:rStyle w:val="Hyperlink"/>
          <w:rFonts w:ascii="Arial" w:hAnsi="Arial" w:cs="Arial"/>
          <w:b/>
          <w:bCs/>
          <w:u w:val="none"/>
        </w:rPr>
        <w:t xml:space="preserve">Children’s Court </w:t>
      </w:r>
      <w:r w:rsidR="00B21DA4" w:rsidRPr="00192DC4">
        <w:rPr>
          <w:rStyle w:val="Hyperlink"/>
          <w:rFonts w:ascii="Arial" w:hAnsi="Arial" w:cs="Arial"/>
          <w:b/>
          <w:bCs/>
          <w:u w:val="none"/>
        </w:rPr>
        <w:t>Judicial Powers</w:t>
      </w:r>
    </w:p>
    <w:p w14:paraId="3034ADBA" w14:textId="2DF6D4C8" w:rsidR="000C6804" w:rsidRPr="00FA71D1" w:rsidRDefault="00192DC4" w:rsidP="00E54D25">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r w:rsidRPr="00192DC4">
        <w:rPr>
          <w:rFonts w:ascii="Arial" w:hAnsi="Arial" w:cs="Arial"/>
          <w:b/>
          <w:bCs/>
        </w:rPr>
        <w:fldChar w:fldCharType="end"/>
      </w:r>
      <w:hyperlink w:anchor="_3.3.1_Powers_conferred" w:history="1">
        <w:r w:rsidR="000C6804" w:rsidRPr="00FA71D1">
          <w:rPr>
            <w:rStyle w:val="Hyperlink"/>
            <w:rFonts w:ascii="Arial" w:hAnsi="Arial" w:cs="Arial"/>
            <w:b/>
            <w:bCs/>
            <w:sz w:val="20"/>
            <w:u w:val="none"/>
          </w:rPr>
          <w:tab/>
          <w:t>3.3.1</w:t>
        </w:r>
        <w:r w:rsidR="000C6804" w:rsidRPr="00FA71D1">
          <w:rPr>
            <w:rStyle w:val="Hyperlink"/>
            <w:rFonts w:ascii="Arial" w:hAnsi="Arial" w:cs="Arial"/>
            <w:b/>
            <w:bCs/>
            <w:sz w:val="20"/>
            <w:u w:val="none"/>
          </w:rPr>
          <w:tab/>
        </w:r>
        <w:r w:rsidR="00AB5230">
          <w:rPr>
            <w:rStyle w:val="Hyperlink"/>
            <w:rFonts w:ascii="Arial" w:hAnsi="Arial" w:cs="Arial"/>
            <w:b/>
            <w:bCs/>
            <w:sz w:val="20"/>
            <w:u w:val="none"/>
          </w:rPr>
          <w:t>Contempt p</w:t>
        </w:r>
        <w:r w:rsidR="00E31386" w:rsidRPr="00FA71D1">
          <w:rPr>
            <w:rStyle w:val="Hyperlink"/>
            <w:rFonts w:ascii="Arial" w:hAnsi="Arial" w:cs="Arial"/>
            <w:b/>
            <w:bCs/>
            <w:sz w:val="20"/>
            <w:u w:val="none"/>
          </w:rPr>
          <w:t xml:space="preserve">owers </w:t>
        </w:r>
        <w:r w:rsidR="006200EC">
          <w:rPr>
            <w:rStyle w:val="Hyperlink"/>
            <w:rFonts w:ascii="Arial" w:hAnsi="Arial" w:cs="Arial"/>
            <w:b/>
            <w:bCs/>
            <w:sz w:val="20"/>
            <w:u w:val="none"/>
          </w:rPr>
          <w:t xml:space="preserve">including those </w:t>
        </w:r>
        <w:r w:rsidR="00E31386" w:rsidRPr="00FA71D1">
          <w:rPr>
            <w:rStyle w:val="Hyperlink"/>
            <w:rFonts w:ascii="Arial" w:hAnsi="Arial" w:cs="Arial"/>
            <w:b/>
            <w:bCs/>
            <w:sz w:val="20"/>
            <w:u w:val="none"/>
          </w:rPr>
          <w:t xml:space="preserve">conferred by the </w:t>
        </w:r>
        <w:r w:rsidR="00E31386" w:rsidRPr="00004C01">
          <w:rPr>
            <w:rStyle w:val="Hyperlink"/>
            <w:rFonts w:ascii="Arial" w:hAnsi="Arial" w:cs="Arial"/>
            <w:b/>
            <w:bCs/>
            <w:sz w:val="20"/>
            <w:u w:val="none"/>
          </w:rPr>
          <w:t>Magistrates’ Court Act 1989</w:t>
        </w:r>
      </w:hyperlink>
    </w:p>
    <w:p w14:paraId="6FF97B2E" w14:textId="77777777" w:rsidR="00963A3D" w:rsidRPr="00963A3D" w:rsidRDefault="00963A3D" w:rsidP="00963A3D">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3.2_Powers_conferred_1" w:history="1">
        <w:r w:rsidRPr="00963A3D">
          <w:rPr>
            <w:rStyle w:val="Hyperlink"/>
            <w:rFonts w:ascii="Arial" w:hAnsi="Arial" w:cs="Arial"/>
            <w:b/>
            <w:bCs/>
            <w:sz w:val="20"/>
            <w:u w:val="none"/>
          </w:rPr>
          <w:tab/>
          <w:t>3.3.2</w:t>
        </w:r>
        <w:r w:rsidRPr="00963A3D">
          <w:rPr>
            <w:rStyle w:val="Hyperlink"/>
            <w:rFonts w:ascii="Arial" w:hAnsi="Arial" w:cs="Arial"/>
            <w:b/>
            <w:bCs/>
            <w:sz w:val="20"/>
            <w:u w:val="none"/>
          </w:rPr>
          <w:tab/>
          <w:t xml:space="preserve">Powers conferred by the </w:t>
        </w:r>
        <w:r w:rsidRPr="00004C01">
          <w:rPr>
            <w:rStyle w:val="Hyperlink"/>
            <w:rFonts w:ascii="Arial" w:hAnsi="Arial" w:cs="Arial"/>
            <w:b/>
            <w:bCs/>
            <w:sz w:val="20"/>
            <w:u w:val="none"/>
          </w:rPr>
          <w:t>Vexatious Proceedings Act 2014</w:t>
        </w:r>
      </w:hyperlink>
    </w:p>
    <w:p w14:paraId="50F77FE8" w14:textId="77777777" w:rsidR="000C6804" w:rsidRPr="00FA71D1" w:rsidRDefault="000C680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3.2_Powers_conferred" w:history="1">
        <w:r w:rsidRPr="00FA71D1">
          <w:rPr>
            <w:rStyle w:val="Hyperlink"/>
            <w:rFonts w:ascii="Arial" w:hAnsi="Arial" w:cs="Arial"/>
            <w:b/>
            <w:bCs/>
            <w:sz w:val="20"/>
            <w:u w:val="none"/>
          </w:rPr>
          <w:tab/>
          <w:t>3.3.</w:t>
        </w:r>
        <w:r w:rsidR="00963A3D">
          <w:rPr>
            <w:rStyle w:val="Hyperlink"/>
            <w:rFonts w:ascii="Arial" w:hAnsi="Arial" w:cs="Arial"/>
            <w:b/>
            <w:bCs/>
            <w:sz w:val="20"/>
            <w:u w:val="none"/>
          </w:rPr>
          <w:t>3</w:t>
        </w:r>
        <w:r w:rsidRPr="00FA71D1">
          <w:rPr>
            <w:rStyle w:val="Hyperlink"/>
            <w:rFonts w:ascii="Arial" w:hAnsi="Arial" w:cs="Arial"/>
            <w:b/>
            <w:bCs/>
            <w:sz w:val="20"/>
            <w:u w:val="none"/>
          </w:rPr>
          <w:tab/>
        </w:r>
        <w:r w:rsidR="00E31386" w:rsidRPr="00FA71D1">
          <w:rPr>
            <w:rStyle w:val="Hyperlink"/>
            <w:rFonts w:ascii="Arial" w:hAnsi="Arial" w:cs="Arial"/>
            <w:b/>
            <w:bCs/>
            <w:sz w:val="20"/>
            <w:u w:val="none"/>
          </w:rPr>
          <w:t>Powers conferred by the CYFA or any other legislation</w:t>
        </w:r>
      </w:hyperlink>
    </w:p>
    <w:p w14:paraId="41F2CC36" w14:textId="77777777" w:rsidR="000C6804" w:rsidRPr="00FA71D1" w:rsidRDefault="000C680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3.3_Implied_powers" w:history="1">
        <w:r w:rsidRPr="00FA71D1">
          <w:rPr>
            <w:rStyle w:val="Hyperlink"/>
            <w:rFonts w:ascii="Arial" w:hAnsi="Arial" w:cs="Arial"/>
            <w:b/>
            <w:bCs/>
            <w:sz w:val="20"/>
            <w:u w:val="none"/>
          </w:rPr>
          <w:tab/>
          <w:t>3.3.</w:t>
        </w:r>
        <w:r w:rsidR="00963A3D">
          <w:rPr>
            <w:rStyle w:val="Hyperlink"/>
            <w:rFonts w:ascii="Arial" w:hAnsi="Arial" w:cs="Arial"/>
            <w:b/>
            <w:bCs/>
            <w:sz w:val="20"/>
            <w:u w:val="none"/>
          </w:rPr>
          <w:t>4</w:t>
        </w:r>
        <w:r w:rsidRPr="00FA71D1">
          <w:rPr>
            <w:rStyle w:val="Hyperlink"/>
            <w:rFonts w:ascii="Arial" w:hAnsi="Arial" w:cs="Arial"/>
            <w:b/>
            <w:bCs/>
            <w:sz w:val="20"/>
            <w:u w:val="none"/>
          </w:rPr>
          <w:tab/>
        </w:r>
        <w:r w:rsidR="00E31386" w:rsidRPr="00FA71D1">
          <w:rPr>
            <w:rStyle w:val="Hyperlink"/>
            <w:rFonts w:ascii="Arial" w:hAnsi="Arial" w:cs="Arial"/>
            <w:b/>
            <w:bCs/>
            <w:sz w:val="20"/>
            <w:u w:val="none"/>
          </w:rPr>
          <w:t>Implied powers to govern the process of the Court</w:t>
        </w:r>
      </w:hyperlink>
    </w:p>
    <w:p w14:paraId="1A9100CC" w14:textId="77777777" w:rsidR="00F31122" w:rsidRPr="0022246F" w:rsidRDefault="00F31122" w:rsidP="00F31122">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3.4.1_Power_to" w:history="1">
        <w:r w:rsidRPr="0022246F">
          <w:rPr>
            <w:rStyle w:val="Hyperlink"/>
            <w:rFonts w:ascii="Arial" w:hAnsi="Arial" w:cs="Arial"/>
            <w:b/>
            <w:bCs/>
            <w:sz w:val="20"/>
            <w:u w:val="none"/>
          </w:rPr>
          <w:tab/>
        </w:r>
        <w:r w:rsidRPr="0022246F">
          <w:rPr>
            <w:rStyle w:val="Hyperlink"/>
            <w:rFonts w:ascii="Arial" w:hAnsi="Arial" w:cs="Arial"/>
            <w:b/>
            <w:bCs/>
            <w:sz w:val="20"/>
            <w:u w:val="none"/>
          </w:rPr>
          <w:tab/>
        </w:r>
        <w:proofErr w:type="gramStart"/>
        <w:r w:rsidRPr="0022246F">
          <w:rPr>
            <w:rStyle w:val="Hyperlink"/>
            <w:rFonts w:ascii="Arial" w:hAnsi="Arial" w:cs="Arial"/>
            <w:b/>
            <w:bCs/>
            <w:sz w:val="20"/>
            <w:u w:val="none"/>
          </w:rPr>
          <w:t>3.</w:t>
        </w:r>
        <w:r>
          <w:rPr>
            <w:rStyle w:val="Hyperlink"/>
            <w:rFonts w:ascii="Arial" w:hAnsi="Arial" w:cs="Arial"/>
            <w:b/>
            <w:bCs/>
            <w:sz w:val="20"/>
            <w:u w:val="none"/>
          </w:rPr>
          <w:t>3</w:t>
        </w:r>
        <w:r w:rsidRPr="0022246F">
          <w:rPr>
            <w:rStyle w:val="Hyperlink"/>
            <w:rFonts w:ascii="Arial" w:hAnsi="Arial" w:cs="Arial"/>
            <w:b/>
            <w:bCs/>
            <w:sz w:val="20"/>
            <w:u w:val="none"/>
          </w:rPr>
          <w:t>.</w:t>
        </w:r>
        <w:r>
          <w:rPr>
            <w:rStyle w:val="Hyperlink"/>
            <w:rFonts w:ascii="Arial" w:hAnsi="Arial" w:cs="Arial"/>
            <w:b/>
            <w:bCs/>
            <w:sz w:val="20"/>
            <w:u w:val="none"/>
          </w:rPr>
          <w:t>4</w:t>
        </w:r>
        <w:r w:rsidRPr="0022246F">
          <w:rPr>
            <w:rStyle w:val="Hyperlink"/>
            <w:rFonts w:ascii="Arial" w:hAnsi="Arial" w:cs="Arial"/>
            <w:b/>
            <w:bCs/>
            <w:sz w:val="20"/>
            <w:u w:val="none"/>
          </w:rPr>
          <w:t xml:space="preserve">.1  </w:t>
        </w:r>
        <w:r w:rsidR="006D5687">
          <w:rPr>
            <w:rStyle w:val="Hyperlink"/>
            <w:rFonts w:ascii="Arial" w:hAnsi="Arial" w:cs="Arial"/>
            <w:b/>
            <w:bCs/>
            <w:sz w:val="20"/>
            <w:u w:val="none"/>
          </w:rPr>
          <w:t>Power</w:t>
        </w:r>
        <w:proofErr w:type="gramEnd"/>
        <w:r w:rsidR="006D5687">
          <w:rPr>
            <w:rStyle w:val="Hyperlink"/>
            <w:rFonts w:ascii="Arial" w:hAnsi="Arial" w:cs="Arial"/>
            <w:b/>
            <w:bCs/>
            <w:sz w:val="20"/>
            <w:u w:val="none"/>
          </w:rPr>
          <w:t xml:space="preserve"> to prevent an abuse of the Court’s own judicial </w:t>
        </w:r>
        <w:r w:rsidR="004618DC">
          <w:rPr>
            <w:rStyle w:val="Hyperlink"/>
            <w:rFonts w:ascii="Arial" w:hAnsi="Arial" w:cs="Arial"/>
            <w:b/>
            <w:bCs/>
            <w:sz w:val="20"/>
            <w:u w:val="none"/>
          </w:rPr>
          <w:t>process</w:t>
        </w:r>
      </w:hyperlink>
    </w:p>
    <w:p w14:paraId="5149A763" w14:textId="04DA84E2" w:rsidR="00BE1FB7" w:rsidRPr="00E7529F" w:rsidRDefault="00BE1FB7" w:rsidP="00A72E0C">
      <w:pPr>
        <w:pBdr>
          <w:top w:val="single" w:sz="4" w:space="1" w:color="auto"/>
          <w:left w:val="single" w:sz="4" w:space="4" w:color="auto"/>
          <w:bottom w:val="single" w:sz="4" w:space="1" w:color="auto"/>
          <w:right w:val="single" w:sz="4" w:space="4" w:color="auto"/>
        </w:pBdr>
        <w:tabs>
          <w:tab w:val="left" w:pos="720"/>
        </w:tabs>
        <w:ind w:left="1440" w:hanging="1440"/>
        <w:rPr>
          <w:rStyle w:val="Hyperlink"/>
          <w:rFonts w:ascii="Arial" w:hAnsi="Arial" w:cs="Arial"/>
          <w:b/>
          <w:bCs/>
          <w:color w:val="0033CC"/>
          <w:sz w:val="20"/>
        </w:rPr>
      </w:pPr>
      <w:r>
        <w:rPr>
          <w:rFonts w:ascii="Arial" w:hAnsi="Arial" w:cs="Arial"/>
          <w:b/>
          <w:bCs/>
          <w:color w:val="0000FF"/>
          <w:sz w:val="20"/>
        </w:rPr>
        <w:tab/>
      </w:r>
      <w:r w:rsidRPr="0012632E">
        <w:rPr>
          <w:rFonts w:ascii="Arial" w:hAnsi="Arial" w:cs="Arial"/>
          <w:b/>
          <w:bCs/>
          <w:color w:val="000000"/>
          <w:sz w:val="20"/>
        </w:rPr>
        <w:tab/>
      </w:r>
      <w:r>
        <w:rPr>
          <w:rFonts w:ascii="Arial" w:hAnsi="Arial" w:cs="Arial"/>
          <w:b/>
          <w:color w:val="FFFFFF" w:themeColor="background1"/>
          <w:sz w:val="20"/>
          <w:szCs w:val="22"/>
          <w:shd w:val="clear" w:color="auto" w:fill="000000"/>
        </w:rPr>
        <w:t>A</w:t>
      </w:r>
      <w:r w:rsidRPr="0093301E">
        <w:rPr>
          <w:rFonts w:ascii="Arial" w:hAnsi="Arial" w:cs="Arial"/>
          <w:b/>
          <w:color w:val="0000FF"/>
          <w:sz w:val="20"/>
          <w:szCs w:val="22"/>
        </w:rPr>
        <w:t xml:space="preserve">  </w:t>
      </w:r>
      <w:hyperlink w:anchor="_A_CASES_WHERE" w:history="1">
        <w:r w:rsidR="00132AFF" w:rsidRPr="000809E0">
          <w:rPr>
            <w:rStyle w:val="Hyperlink"/>
            <w:rFonts w:ascii="Arial" w:hAnsi="Arial" w:cs="Arial"/>
            <w:b/>
            <w:sz w:val="20"/>
            <w:szCs w:val="22"/>
            <w:u w:val="none"/>
          </w:rPr>
          <w:t>Cases w</w:t>
        </w:r>
        <w:r w:rsidRPr="000809E0">
          <w:rPr>
            <w:rStyle w:val="Hyperlink"/>
            <w:rFonts w:ascii="Arial" w:hAnsi="Arial" w:cs="Arial"/>
            <w:b/>
            <w:sz w:val="20"/>
            <w:szCs w:val="22"/>
            <w:u w:val="none"/>
          </w:rPr>
          <w:t xml:space="preserve">here </w:t>
        </w:r>
        <w:r w:rsidR="00132AFF" w:rsidRPr="000809E0">
          <w:rPr>
            <w:rStyle w:val="Hyperlink"/>
            <w:rFonts w:ascii="Arial" w:hAnsi="Arial" w:cs="Arial"/>
            <w:b/>
            <w:sz w:val="20"/>
            <w:szCs w:val="22"/>
            <w:u w:val="none"/>
          </w:rPr>
          <w:t>alleged abuse involved conduct by legal representatives</w:t>
        </w:r>
      </w:hyperlink>
    </w:p>
    <w:p w14:paraId="0B8B6EB0" w14:textId="037D2D63" w:rsidR="005B598F" w:rsidRPr="00E7529F" w:rsidRDefault="005B598F" w:rsidP="00A72E0C">
      <w:pPr>
        <w:pBdr>
          <w:top w:val="single" w:sz="4" w:space="1" w:color="auto"/>
          <w:left w:val="single" w:sz="4" w:space="4" w:color="auto"/>
          <w:bottom w:val="single" w:sz="4" w:space="1" w:color="auto"/>
          <w:right w:val="single" w:sz="4" w:space="4" w:color="auto"/>
        </w:pBdr>
        <w:tabs>
          <w:tab w:val="left" w:pos="720"/>
        </w:tabs>
        <w:ind w:left="1440" w:hanging="1440"/>
        <w:rPr>
          <w:rStyle w:val="Hyperlink"/>
          <w:rFonts w:ascii="Arial" w:hAnsi="Arial" w:cs="Arial"/>
          <w:b/>
          <w:bCs/>
          <w:color w:val="0033CC"/>
          <w:sz w:val="20"/>
        </w:rPr>
      </w:pPr>
      <w:r w:rsidRPr="0012632E">
        <w:rPr>
          <w:rFonts w:ascii="Arial" w:hAnsi="Arial" w:cs="Arial"/>
          <w:b/>
          <w:bCs/>
          <w:color w:val="000000"/>
          <w:sz w:val="20"/>
        </w:rPr>
        <w:tab/>
      </w:r>
      <w:r w:rsidRPr="0012632E">
        <w:rPr>
          <w:rFonts w:ascii="Arial" w:hAnsi="Arial" w:cs="Arial"/>
          <w:b/>
          <w:bCs/>
          <w:color w:val="000000"/>
          <w:sz w:val="20"/>
        </w:rPr>
        <w:tab/>
      </w:r>
      <w:r w:rsidR="000C5E27">
        <w:rPr>
          <w:rFonts w:ascii="Arial" w:hAnsi="Arial" w:cs="Arial"/>
          <w:b/>
          <w:color w:val="FFFFFF" w:themeColor="background1"/>
          <w:sz w:val="20"/>
          <w:szCs w:val="22"/>
          <w:shd w:val="clear" w:color="auto" w:fill="000000"/>
        </w:rPr>
        <w:t>B</w:t>
      </w:r>
      <w:r w:rsidRPr="000C5E27">
        <w:rPr>
          <w:rFonts w:ascii="Arial" w:hAnsi="Arial" w:cs="Arial"/>
          <w:b/>
          <w:color w:val="0000FF"/>
          <w:sz w:val="20"/>
          <w:szCs w:val="22"/>
        </w:rPr>
        <w:t xml:space="preserve"> </w:t>
      </w:r>
      <w:r w:rsidR="0093301E" w:rsidRPr="000C5E27">
        <w:rPr>
          <w:rFonts w:ascii="Arial" w:hAnsi="Arial" w:cs="Arial"/>
          <w:b/>
          <w:color w:val="0000FF"/>
          <w:sz w:val="20"/>
          <w:szCs w:val="22"/>
        </w:rPr>
        <w:t xml:space="preserve"> </w:t>
      </w:r>
      <w:hyperlink w:anchor="_B_CASES_WHERE" w:history="1">
        <w:r w:rsidR="0088366C" w:rsidRPr="0088366C">
          <w:rPr>
            <w:rStyle w:val="Hyperlink"/>
            <w:rFonts w:ascii="Arial" w:hAnsi="Arial" w:cs="Arial"/>
            <w:b/>
            <w:sz w:val="20"/>
            <w:szCs w:val="22"/>
            <w:u w:val="none"/>
          </w:rPr>
          <w:t>Cases w</w:t>
        </w:r>
        <w:r w:rsidR="000C5E27" w:rsidRPr="0088366C">
          <w:rPr>
            <w:rStyle w:val="Hyperlink"/>
            <w:rFonts w:ascii="Arial" w:hAnsi="Arial" w:cs="Arial"/>
            <w:b/>
            <w:sz w:val="20"/>
            <w:szCs w:val="22"/>
            <w:u w:val="none"/>
          </w:rPr>
          <w:t>here a stay to prevent an alleged abuse was granted or refused</w:t>
        </w:r>
      </w:hyperlink>
    </w:p>
    <w:p w14:paraId="36E1E6D0" w14:textId="79DF61E8" w:rsidR="00A72E0C" w:rsidRPr="00E7529F" w:rsidRDefault="00A72E0C" w:rsidP="00A72E0C">
      <w:pPr>
        <w:pBdr>
          <w:top w:val="single" w:sz="4" w:space="1" w:color="auto"/>
          <w:left w:val="single" w:sz="4" w:space="4" w:color="auto"/>
          <w:bottom w:val="single" w:sz="4" w:space="1" w:color="auto"/>
          <w:right w:val="single" w:sz="4" w:space="4" w:color="auto"/>
        </w:pBdr>
        <w:tabs>
          <w:tab w:val="left" w:pos="720"/>
        </w:tabs>
        <w:ind w:left="1440" w:hanging="1440"/>
        <w:rPr>
          <w:rStyle w:val="Hyperlink"/>
          <w:rFonts w:ascii="Arial" w:hAnsi="Arial" w:cs="Arial"/>
          <w:b/>
          <w:bCs/>
          <w:color w:val="0033CC"/>
          <w:sz w:val="20"/>
        </w:rPr>
      </w:pPr>
      <w:r w:rsidRPr="0012632E">
        <w:rPr>
          <w:rFonts w:ascii="Arial" w:hAnsi="Arial" w:cs="Arial"/>
          <w:b/>
          <w:bCs/>
          <w:color w:val="000000"/>
          <w:sz w:val="20"/>
        </w:rPr>
        <w:tab/>
      </w:r>
      <w:r w:rsidRPr="0012632E">
        <w:rPr>
          <w:rFonts w:ascii="Arial" w:hAnsi="Arial" w:cs="Arial"/>
          <w:b/>
          <w:bCs/>
          <w:color w:val="000000"/>
          <w:sz w:val="20"/>
        </w:rPr>
        <w:tab/>
      </w:r>
      <w:r>
        <w:rPr>
          <w:rFonts w:ascii="Arial" w:hAnsi="Arial" w:cs="Arial"/>
          <w:b/>
          <w:color w:val="FFFFFF" w:themeColor="background1"/>
          <w:sz w:val="20"/>
          <w:szCs w:val="22"/>
          <w:shd w:val="clear" w:color="auto" w:fill="000000"/>
        </w:rPr>
        <w:t>C</w:t>
      </w:r>
      <w:r w:rsidRPr="000C5E27">
        <w:rPr>
          <w:rFonts w:ascii="Arial" w:hAnsi="Arial" w:cs="Arial"/>
          <w:b/>
          <w:color w:val="0000FF"/>
          <w:sz w:val="20"/>
          <w:szCs w:val="22"/>
        </w:rPr>
        <w:t xml:space="preserve">  </w:t>
      </w:r>
      <w:hyperlink w:anchor="_C_CASES_INVOLVING" w:history="1">
        <w:r w:rsidRPr="0088366C">
          <w:rPr>
            <w:rStyle w:val="Hyperlink"/>
            <w:rFonts w:ascii="Arial" w:hAnsi="Arial" w:cs="Arial"/>
            <w:b/>
            <w:sz w:val="20"/>
            <w:szCs w:val="22"/>
            <w:u w:val="none"/>
          </w:rPr>
          <w:t xml:space="preserve">Cases </w:t>
        </w:r>
        <w:r>
          <w:rPr>
            <w:rStyle w:val="Hyperlink"/>
            <w:rFonts w:ascii="Arial" w:hAnsi="Arial" w:cs="Arial"/>
            <w:b/>
            <w:sz w:val="20"/>
            <w:szCs w:val="22"/>
            <w:u w:val="none"/>
          </w:rPr>
          <w:t>involving a refusal to accept a document for filing</w:t>
        </w:r>
      </w:hyperlink>
    </w:p>
    <w:p w14:paraId="47D84908" w14:textId="46ADF84E" w:rsidR="00F31122" w:rsidRPr="00FD5828" w:rsidRDefault="00F31122" w:rsidP="00F31122">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3.4.2_Res_judicata,"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w:t>
        </w:r>
        <w:r w:rsidR="00E54D25">
          <w:rPr>
            <w:rStyle w:val="Hyperlink"/>
            <w:rFonts w:ascii="Arial" w:hAnsi="Arial" w:cs="Arial"/>
            <w:b/>
            <w:bCs/>
            <w:sz w:val="20"/>
            <w:u w:val="none"/>
          </w:rPr>
          <w:t>3</w:t>
        </w:r>
        <w:r w:rsidRPr="00FD5828">
          <w:rPr>
            <w:rStyle w:val="Hyperlink"/>
            <w:rFonts w:ascii="Arial" w:hAnsi="Arial" w:cs="Arial"/>
            <w:b/>
            <w:bCs/>
            <w:sz w:val="20"/>
            <w:u w:val="none"/>
          </w:rPr>
          <w:t>.</w:t>
        </w:r>
        <w:r w:rsidR="00E54D25">
          <w:rPr>
            <w:rStyle w:val="Hyperlink"/>
            <w:rFonts w:ascii="Arial" w:hAnsi="Arial" w:cs="Arial"/>
            <w:b/>
            <w:bCs/>
            <w:sz w:val="20"/>
            <w:u w:val="none"/>
          </w:rPr>
          <w:t>4</w:t>
        </w:r>
        <w:r w:rsidRPr="00FD5828">
          <w:rPr>
            <w:rStyle w:val="Hyperlink"/>
            <w:rFonts w:ascii="Arial" w:hAnsi="Arial" w:cs="Arial"/>
            <w:b/>
            <w:bCs/>
            <w:sz w:val="20"/>
            <w:u w:val="none"/>
          </w:rPr>
          <w:t xml:space="preserve">.2  </w:t>
        </w:r>
        <w:r w:rsidR="004618DC">
          <w:rPr>
            <w:rStyle w:val="Hyperlink"/>
            <w:rFonts w:ascii="Arial" w:hAnsi="Arial" w:cs="Arial"/>
            <w:b/>
            <w:bCs/>
            <w:sz w:val="20"/>
            <w:u w:val="none"/>
          </w:rPr>
          <w:t>Res</w:t>
        </w:r>
        <w:proofErr w:type="gramEnd"/>
        <w:r w:rsidR="004618DC">
          <w:rPr>
            <w:rStyle w:val="Hyperlink"/>
            <w:rFonts w:ascii="Arial" w:hAnsi="Arial" w:cs="Arial"/>
            <w:b/>
            <w:bCs/>
            <w:sz w:val="20"/>
            <w:u w:val="none"/>
          </w:rPr>
          <w:t xml:space="preserve"> judicata &amp; cause of action, issue, claim or </w:t>
        </w:r>
        <w:proofErr w:type="spellStart"/>
        <w:r w:rsidR="004618DC">
          <w:rPr>
            <w:rStyle w:val="Hyperlink"/>
            <w:rFonts w:ascii="Arial" w:hAnsi="Arial" w:cs="Arial"/>
            <w:b/>
            <w:bCs/>
            <w:sz w:val="20"/>
            <w:u w:val="none"/>
          </w:rPr>
          <w:t>Anshun</w:t>
        </w:r>
        <w:proofErr w:type="spellEnd"/>
        <w:r w:rsidR="004618DC">
          <w:rPr>
            <w:rStyle w:val="Hyperlink"/>
            <w:rFonts w:ascii="Arial" w:hAnsi="Arial" w:cs="Arial"/>
            <w:b/>
            <w:bCs/>
            <w:sz w:val="20"/>
            <w:u w:val="none"/>
          </w:rPr>
          <w:t xml:space="preserve"> estoppel</w:t>
        </w:r>
      </w:hyperlink>
    </w:p>
    <w:p w14:paraId="4F769737" w14:textId="104501CC" w:rsidR="00F31122" w:rsidRPr="00FD5828" w:rsidRDefault="00F31122" w:rsidP="00F31122">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3.4.3_Requirement_of"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w:t>
        </w:r>
        <w:r w:rsidR="00E54D25">
          <w:rPr>
            <w:rStyle w:val="Hyperlink"/>
            <w:rFonts w:ascii="Arial" w:hAnsi="Arial" w:cs="Arial"/>
            <w:b/>
            <w:bCs/>
            <w:sz w:val="20"/>
            <w:u w:val="none"/>
          </w:rPr>
          <w:t>3</w:t>
        </w:r>
        <w:r w:rsidRPr="00FD5828">
          <w:rPr>
            <w:rStyle w:val="Hyperlink"/>
            <w:rFonts w:ascii="Arial" w:hAnsi="Arial" w:cs="Arial"/>
            <w:b/>
            <w:bCs/>
            <w:sz w:val="20"/>
            <w:u w:val="none"/>
          </w:rPr>
          <w:t>.</w:t>
        </w:r>
        <w:r w:rsidR="00E54D25">
          <w:rPr>
            <w:rStyle w:val="Hyperlink"/>
            <w:rFonts w:ascii="Arial" w:hAnsi="Arial" w:cs="Arial"/>
            <w:b/>
            <w:bCs/>
            <w:sz w:val="20"/>
            <w:u w:val="none"/>
          </w:rPr>
          <w:t>4</w:t>
        </w:r>
        <w:r w:rsidRPr="00FD5828">
          <w:rPr>
            <w:rStyle w:val="Hyperlink"/>
            <w:rFonts w:ascii="Arial" w:hAnsi="Arial" w:cs="Arial"/>
            <w:b/>
            <w:bCs/>
            <w:sz w:val="20"/>
            <w:u w:val="none"/>
          </w:rPr>
          <w:t xml:space="preserve">.3  </w:t>
        </w:r>
        <w:r w:rsidR="004618DC">
          <w:rPr>
            <w:rStyle w:val="Hyperlink"/>
            <w:rFonts w:ascii="Arial" w:hAnsi="Arial" w:cs="Arial"/>
            <w:b/>
            <w:bCs/>
            <w:sz w:val="20"/>
            <w:u w:val="none"/>
          </w:rPr>
          <w:t>Require</w:t>
        </w:r>
        <w:r w:rsidR="004618DC" w:rsidRPr="0093301E">
          <w:rPr>
            <w:rStyle w:val="Hyperlink"/>
            <w:rFonts w:ascii="Arial" w:hAnsi="Arial" w:cs="Arial"/>
            <w:b/>
            <w:bCs/>
            <w:sz w:val="20"/>
            <w:u w:val="none"/>
          </w:rPr>
          <w:t>ment</w:t>
        </w:r>
        <w:proofErr w:type="gramEnd"/>
        <w:r w:rsidR="004618DC" w:rsidRPr="0093301E">
          <w:rPr>
            <w:rStyle w:val="Hyperlink"/>
            <w:rFonts w:ascii="Arial" w:hAnsi="Arial" w:cs="Arial"/>
            <w:b/>
            <w:bCs/>
            <w:sz w:val="20"/>
            <w:u w:val="none"/>
          </w:rPr>
          <w:t xml:space="preserve"> of leave by </w:t>
        </w:r>
        <w:r w:rsidR="0070574A">
          <w:rPr>
            <w:rStyle w:val="Hyperlink"/>
            <w:rFonts w:ascii="Arial" w:hAnsi="Arial" w:cs="Arial"/>
            <w:b/>
            <w:bCs/>
            <w:sz w:val="20"/>
            <w:u w:val="none"/>
          </w:rPr>
          <w:t xml:space="preserve">the </w:t>
        </w:r>
        <w:r w:rsidR="004618DC" w:rsidRPr="0093301E">
          <w:rPr>
            <w:rStyle w:val="Hyperlink"/>
            <w:rFonts w:ascii="Arial" w:hAnsi="Arial" w:cs="Arial"/>
            <w:b/>
            <w:bCs/>
            <w:sz w:val="20"/>
            <w:u w:val="none"/>
          </w:rPr>
          <w:t>C</w:t>
        </w:r>
        <w:r w:rsidR="009D0ACC">
          <w:rPr>
            <w:rStyle w:val="Hyperlink"/>
            <w:rFonts w:ascii="Arial" w:hAnsi="Arial" w:cs="Arial"/>
            <w:b/>
            <w:bCs/>
            <w:sz w:val="20"/>
            <w:u w:val="none"/>
          </w:rPr>
          <w:t>h</w:t>
        </w:r>
        <w:r w:rsidR="004618DC">
          <w:rPr>
            <w:rStyle w:val="Hyperlink"/>
            <w:rFonts w:ascii="Arial" w:hAnsi="Arial" w:cs="Arial"/>
            <w:b/>
            <w:bCs/>
            <w:sz w:val="20"/>
            <w:u w:val="none"/>
          </w:rPr>
          <w:t>CV to withdraw a protection application</w:t>
        </w:r>
      </w:hyperlink>
    </w:p>
    <w:p w14:paraId="090FA4E4" w14:textId="014F01C9" w:rsidR="00C218CB" w:rsidRPr="00756901" w:rsidRDefault="00C218CB" w:rsidP="00C218CB">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hyperlink w:anchor="_3.3.4.4_Implied_power" w:history="1">
        <w:r w:rsidRPr="00756901">
          <w:rPr>
            <w:rStyle w:val="Hyperlink"/>
            <w:rFonts w:ascii="Arial" w:hAnsi="Arial" w:cs="Arial"/>
            <w:b/>
            <w:bCs/>
            <w:sz w:val="20"/>
            <w:u w:val="none"/>
          </w:rPr>
          <w:tab/>
        </w:r>
        <w:r w:rsidRPr="00756901">
          <w:rPr>
            <w:rStyle w:val="Hyperlink"/>
            <w:rFonts w:ascii="Arial" w:hAnsi="Arial" w:cs="Arial"/>
            <w:b/>
            <w:bCs/>
            <w:sz w:val="20"/>
            <w:u w:val="none"/>
          </w:rPr>
          <w:tab/>
        </w:r>
        <w:proofErr w:type="gramStart"/>
        <w:r w:rsidRPr="00756901">
          <w:rPr>
            <w:rStyle w:val="Hyperlink"/>
            <w:rFonts w:ascii="Arial" w:hAnsi="Arial" w:cs="Arial"/>
            <w:b/>
            <w:bCs/>
            <w:sz w:val="20"/>
            <w:u w:val="none"/>
          </w:rPr>
          <w:t>3.3.4.4  Implied</w:t>
        </w:r>
        <w:proofErr w:type="gramEnd"/>
        <w:r w:rsidRPr="00756901">
          <w:rPr>
            <w:rStyle w:val="Hyperlink"/>
            <w:rFonts w:ascii="Arial" w:hAnsi="Arial" w:cs="Arial"/>
            <w:b/>
            <w:bCs/>
            <w:sz w:val="20"/>
            <w:u w:val="none"/>
          </w:rPr>
          <w:t xml:space="preserve"> power to reinstate a</w:t>
        </w:r>
        <w:r w:rsidR="00C11A19">
          <w:rPr>
            <w:rStyle w:val="Hyperlink"/>
            <w:rFonts w:ascii="Arial" w:hAnsi="Arial" w:cs="Arial"/>
            <w:b/>
            <w:bCs/>
            <w:sz w:val="20"/>
            <w:u w:val="none"/>
          </w:rPr>
          <w:t xml:space="preserve"> proceeding</w:t>
        </w:r>
        <w:r w:rsidRPr="00756901">
          <w:rPr>
            <w:rStyle w:val="Hyperlink"/>
            <w:rFonts w:ascii="Arial" w:hAnsi="Arial" w:cs="Arial"/>
            <w:b/>
            <w:bCs/>
            <w:sz w:val="20"/>
            <w:u w:val="none"/>
          </w:rPr>
          <w:t xml:space="preserve"> which was struck out</w:t>
        </w:r>
      </w:hyperlink>
    </w:p>
    <w:p w14:paraId="4DA581A9" w14:textId="5A2CEAF5" w:rsidR="004E6F29" w:rsidRPr="00756901" w:rsidRDefault="004E6F29" w:rsidP="004E6F29">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hyperlink w:anchor="_3.3.4.5_Power_to" w:history="1">
        <w:r w:rsidRPr="00756901">
          <w:rPr>
            <w:rStyle w:val="Hyperlink"/>
            <w:rFonts w:ascii="Arial" w:hAnsi="Arial" w:cs="Arial"/>
            <w:b/>
            <w:bCs/>
            <w:sz w:val="20"/>
            <w:u w:val="none"/>
          </w:rPr>
          <w:tab/>
        </w:r>
        <w:r w:rsidRPr="00756901">
          <w:rPr>
            <w:rStyle w:val="Hyperlink"/>
            <w:rFonts w:ascii="Arial" w:hAnsi="Arial" w:cs="Arial"/>
            <w:b/>
            <w:bCs/>
            <w:sz w:val="20"/>
            <w:u w:val="none"/>
          </w:rPr>
          <w:tab/>
        </w:r>
        <w:proofErr w:type="gramStart"/>
        <w:r w:rsidRPr="00756901">
          <w:rPr>
            <w:rStyle w:val="Hyperlink"/>
            <w:rFonts w:ascii="Arial" w:hAnsi="Arial" w:cs="Arial"/>
            <w:b/>
            <w:bCs/>
            <w:sz w:val="20"/>
            <w:u w:val="none"/>
          </w:rPr>
          <w:t>3.3.4.</w:t>
        </w:r>
        <w:r>
          <w:rPr>
            <w:rStyle w:val="Hyperlink"/>
            <w:rFonts w:ascii="Arial" w:hAnsi="Arial" w:cs="Arial"/>
            <w:b/>
            <w:bCs/>
            <w:sz w:val="20"/>
            <w:u w:val="none"/>
          </w:rPr>
          <w:t>5</w:t>
        </w:r>
        <w:r w:rsidRPr="00756901">
          <w:rPr>
            <w:rStyle w:val="Hyperlink"/>
            <w:rFonts w:ascii="Arial" w:hAnsi="Arial" w:cs="Arial"/>
            <w:b/>
            <w:bCs/>
            <w:sz w:val="20"/>
            <w:u w:val="none"/>
          </w:rPr>
          <w:t xml:space="preserve">  </w:t>
        </w:r>
        <w:r>
          <w:rPr>
            <w:rStyle w:val="Hyperlink"/>
            <w:rFonts w:ascii="Arial" w:hAnsi="Arial" w:cs="Arial"/>
            <w:b/>
            <w:bCs/>
            <w:sz w:val="20"/>
            <w:u w:val="none"/>
          </w:rPr>
          <w:t>P</w:t>
        </w:r>
        <w:r w:rsidRPr="00756901">
          <w:rPr>
            <w:rStyle w:val="Hyperlink"/>
            <w:rFonts w:ascii="Arial" w:hAnsi="Arial" w:cs="Arial"/>
            <w:b/>
            <w:bCs/>
            <w:sz w:val="20"/>
            <w:u w:val="none"/>
          </w:rPr>
          <w:t>ower</w:t>
        </w:r>
        <w:proofErr w:type="gramEnd"/>
        <w:r w:rsidRPr="00756901">
          <w:rPr>
            <w:rStyle w:val="Hyperlink"/>
            <w:rFonts w:ascii="Arial" w:hAnsi="Arial" w:cs="Arial"/>
            <w:b/>
            <w:bCs/>
            <w:sz w:val="20"/>
            <w:u w:val="none"/>
          </w:rPr>
          <w:t xml:space="preserve"> to </w:t>
        </w:r>
        <w:r>
          <w:rPr>
            <w:rStyle w:val="Hyperlink"/>
            <w:rFonts w:ascii="Arial" w:hAnsi="Arial" w:cs="Arial"/>
            <w:b/>
            <w:bCs/>
            <w:sz w:val="20"/>
            <w:u w:val="none"/>
          </w:rPr>
          <w:t xml:space="preserve">dismiss </w:t>
        </w:r>
        <w:r w:rsidRPr="00756901">
          <w:rPr>
            <w:rStyle w:val="Hyperlink"/>
            <w:rFonts w:ascii="Arial" w:hAnsi="Arial" w:cs="Arial"/>
            <w:b/>
            <w:bCs/>
            <w:sz w:val="20"/>
            <w:u w:val="none"/>
          </w:rPr>
          <w:t>a</w:t>
        </w:r>
        <w:r>
          <w:rPr>
            <w:rStyle w:val="Hyperlink"/>
            <w:rFonts w:ascii="Arial" w:hAnsi="Arial" w:cs="Arial"/>
            <w:b/>
            <w:bCs/>
            <w:sz w:val="20"/>
            <w:u w:val="none"/>
          </w:rPr>
          <w:t xml:space="preserve"> proceeding</w:t>
        </w:r>
        <w:r w:rsidRPr="00756901">
          <w:rPr>
            <w:rStyle w:val="Hyperlink"/>
            <w:rFonts w:ascii="Arial" w:hAnsi="Arial" w:cs="Arial"/>
            <w:b/>
            <w:bCs/>
            <w:sz w:val="20"/>
            <w:u w:val="none"/>
          </w:rPr>
          <w:t xml:space="preserve"> </w:t>
        </w:r>
        <w:r>
          <w:rPr>
            <w:rStyle w:val="Hyperlink"/>
            <w:rFonts w:ascii="Arial" w:hAnsi="Arial" w:cs="Arial"/>
            <w:b/>
            <w:bCs/>
            <w:sz w:val="20"/>
            <w:u w:val="none"/>
          </w:rPr>
          <w:t>for want of prosecution</w:t>
        </w:r>
      </w:hyperlink>
    </w:p>
    <w:p w14:paraId="1393F49F" w14:textId="762BCACA" w:rsidR="00843765" w:rsidRPr="00FA71D1" w:rsidRDefault="00B21DA4" w:rsidP="00E54D25">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4_Procedural_guidelines" w:history="1">
        <w:r w:rsidRPr="00FA71D1">
          <w:rPr>
            <w:rStyle w:val="Hyperlink"/>
            <w:rFonts w:ascii="Arial" w:hAnsi="Arial" w:cs="Arial"/>
            <w:b/>
            <w:bCs/>
            <w:u w:val="none"/>
          </w:rPr>
          <w:t>3.4</w:t>
        </w:r>
        <w:r w:rsidRPr="00FA71D1">
          <w:rPr>
            <w:rStyle w:val="Hyperlink"/>
            <w:rFonts w:ascii="Arial" w:hAnsi="Arial" w:cs="Arial"/>
            <w:b/>
            <w:bCs/>
            <w:u w:val="none"/>
          </w:rPr>
          <w:tab/>
          <w:t>Procedural guidelines</w:t>
        </w:r>
      </w:hyperlink>
    </w:p>
    <w:p w14:paraId="2E1C30DC" w14:textId="77777777" w:rsidR="00D9355C" w:rsidRPr="00FA71D1" w:rsidRDefault="00B21DA4" w:rsidP="00FC3FDE">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4.1_Comprehensibility_etc." w:history="1">
        <w:r w:rsidRPr="00FA71D1">
          <w:rPr>
            <w:rStyle w:val="Hyperlink"/>
            <w:rFonts w:ascii="Arial" w:hAnsi="Arial" w:cs="Arial"/>
            <w:b/>
            <w:bCs/>
            <w:sz w:val="20"/>
            <w:u w:val="none"/>
          </w:rPr>
          <w:tab/>
          <w:t>3.4.1</w:t>
        </w:r>
        <w:r w:rsidRPr="00FA71D1">
          <w:rPr>
            <w:rStyle w:val="Hyperlink"/>
            <w:rFonts w:ascii="Arial" w:hAnsi="Arial" w:cs="Arial"/>
            <w:b/>
            <w:bCs/>
            <w:sz w:val="20"/>
            <w:u w:val="none"/>
          </w:rPr>
          <w:tab/>
          <w:t>Comprehensibility etc.</w:t>
        </w:r>
      </w:hyperlink>
      <w:r w:rsidR="00D9355C" w:rsidRPr="00FA71D1">
        <w:rPr>
          <w:rFonts w:ascii="Arial" w:hAnsi="Arial" w:cs="Arial"/>
          <w:b/>
          <w:bCs/>
          <w:sz w:val="20"/>
        </w:rPr>
        <w:t xml:space="preserve"> </w:t>
      </w:r>
    </w:p>
    <w:p w14:paraId="0A8B2B23" w14:textId="7F67EDC1" w:rsidR="006F089E" w:rsidRPr="00FA71D1" w:rsidRDefault="006F089E"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2_Pilot_program" w:history="1">
        <w:r w:rsidRPr="00FA71D1">
          <w:rPr>
            <w:rStyle w:val="Hyperlink"/>
            <w:rFonts w:ascii="Arial" w:hAnsi="Arial" w:cs="Arial"/>
            <w:b/>
            <w:bCs/>
            <w:sz w:val="20"/>
            <w:u w:val="none"/>
          </w:rPr>
          <w:tab/>
          <w:t>3.4.2</w:t>
        </w:r>
        <w:r w:rsidRPr="00FA71D1">
          <w:rPr>
            <w:rStyle w:val="Hyperlink"/>
            <w:rFonts w:ascii="Arial" w:hAnsi="Arial" w:cs="Arial"/>
            <w:b/>
            <w:bCs/>
            <w:sz w:val="20"/>
            <w:u w:val="none"/>
          </w:rPr>
          <w:tab/>
        </w:r>
        <w:r w:rsidR="001417D5" w:rsidRPr="00FA71D1">
          <w:rPr>
            <w:rStyle w:val="Hyperlink"/>
            <w:rFonts w:ascii="Arial" w:hAnsi="Arial" w:cs="Arial"/>
            <w:b/>
            <w:bCs/>
            <w:sz w:val="20"/>
            <w:u w:val="none"/>
          </w:rPr>
          <w:t xml:space="preserve">Program for </w:t>
        </w:r>
        <w:r w:rsidRPr="00FA71D1">
          <w:rPr>
            <w:rStyle w:val="Hyperlink"/>
            <w:rFonts w:ascii="Arial" w:hAnsi="Arial" w:cs="Arial"/>
            <w:b/>
            <w:bCs/>
            <w:sz w:val="20"/>
            <w:u w:val="none"/>
          </w:rPr>
          <w:t>Intermediaries and Ground Rules Hearings</w:t>
        </w:r>
      </w:hyperlink>
    </w:p>
    <w:p w14:paraId="18028E92" w14:textId="77777777" w:rsidR="00B21DA4" w:rsidRPr="00FA71D1"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3_Standing_to" w:history="1">
        <w:r w:rsidRPr="00FA71D1">
          <w:rPr>
            <w:rStyle w:val="Hyperlink"/>
            <w:rFonts w:ascii="Arial" w:hAnsi="Arial" w:cs="Arial"/>
            <w:b/>
            <w:bCs/>
            <w:sz w:val="20"/>
            <w:u w:val="none"/>
          </w:rPr>
          <w:tab/>
          <w:t>3.4.</w:t>
        </w:r>
        <w:r w:rsidR="006F089E" w:rsidRPr="00FA71D1">
          <w:rPr>
            <w:rStyle w:val="Hyperlink"/>
            <w:rFonts w:ascii="Arial" w:hAnsi="Arial" w:cs="Arial"/>
            <w:b/>
            <w:bCs/>
            <w:sz w:val="20"/>
            <w:u w:val="none"/>
          </w:rPr>
          <w:t>3</w:t>
        </w:r>
        <w:r w:rsidRPr="00FA71D1">
          <w:rPr>
            <w:rStyle w:val="Hyperlink"/>
            <w:rFonts w:ascii="Arial" w:hAnsi="Arial" w:cs="Arial"/>
            <w:b/>
            <w:bCs/>
            <w:sz w:val="20"/>
            <w:u w:val="none"/>
          </w:rPr>
          <w:tab/>
          <w:t>Standing to participate as a party</w:t>
        </w:r>
      </w:hyperlink>
    </w:p>
    <w:p w14:paraId="35243B00" w14:textId="77777777" w:rsidR="00B21DA4" w:rsidRPr="00FA71D1"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4_Interpreter" w:history="1">
        <w:r w:rsidRPr="00FA71D1">
          <w:rPr>
            <w:rStyle w:val="Hyperlink"/>
            <w:rFonts w:ascii="Arial" w:hAnsi="Arial" w:cs="Arial"/>
            <w:b/>
            <w:bCs/>
            <w:sz w:val="20"/>
            <w:u w:val="none"/>
          </w:rPr>
          <w:tab/>
          <w:t>3.4.</w:t>
        </w:r>
        <w:r w:rsidR="006F089E" w:rsidRPr="00FA71D1">
          <w:rPr>
            <w:rStyle w:val="Hyperlink"/>
            <w:rFonts w:ascii="Arial" w:hAnsi="Arial" w:cs="Arial"/>
            <w:b/>
            <w:bCs/>
            <w:sz w:val="20"/>
            <w:u w:val="none"/>
          </w:rPr>
          <w:t>4</w:t>
        </w:r>
        <w:r w:rsidRPr="00FA71D1">
          <w:rPr>
            <w:rStyle w:val="Hyperlink"/>
            <w:rFonts w:ascii="Arial" w:hAnsi="Arial" w:cs="Arial"/>
            <w:b/>
            <w:bCs/>
            <w:sz w:val="20"/>
            <w:u w:val="none"/>
          </w:rPr>
          <w:tab/>
          <w:t>Interpreter</w:t>
        </w:r>
      </w:hyperlink>
    </w:p>
    <w:p w14:paraId="49F83F2C" w14:textId="34161E3B" w:rsidR="00183750" w:rsidRPr="0022246F" w:rsidRDefault="00183750"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5_Representation_of" w:history="1">
        <w:r w:rsidRPr="0022246F">
          <w:rPr>
            <w:rStyle w:val="Hyperlink"/>
            <w:rFonts w:ascii="Arial" w:hAnsi="Arial" w:cs="Arial"/>
            <w:b/>
            <w:bCs/>
            <w:sz w:val="20"/>
            <w:u w:val="none"/>
          </w:rPr>
          <w:tab/>
          <w:t>3.4.</w:t>
        </w:r>
        <w:r w:rsidR="006F089E" w:rsidRPr="0022246F">
          <w:rPr>
            <w:rStyle w:val="Hyperlink"/>
            <w:rFonts w:ascii="Arial" w:hAnsi="Arial" w:cs="Arial"/>
            <w:b/>
            <w:bCs/>
            <w:sz w:val="20"/>
            <w:u w:val="none"/>
          </w:rPr>
          <w:t>5</w:t>
        </w:r>
        <w:r w:rsidRPr="0022246F">
          <w:rPr>
            <w:rStyle w:val="Hyperlink"/>
            <w:rFonts w:ascii="Arial" w:hAnsi="Arial" w:cs="Arial"/>
            <w:b/>
            <w:bCs/>
            <w:sz w:val="20"/>
            <w:u w:val="none"/>
          </w:rPr>
          <w:tab/>
          <w:t>Representation of adults in the Family Division</w:t>
        </w:r>
      </w:hyperlink>
    </w:p>
    <w:p w14:paraId="26248200" w14:textId="06E1EC2E" w:rsidR="00E01B11" w:rsidRPr="00E01B11" w:rsidRDefault="00E01B11" w:rsidP="00E01B11">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E01B11">
        <w:rPr>
          <w:rFonts w:ascii="Arial" w:hAnsi="Arial" w:cs="Arial"/>
          <w:b/>
          <w:bCs/>
          <w:sz w:val="20"/>
        </w:rPr>
        <w:tab/>
      </w:r>
      <w:hyperlink w:anchor="_3.4.6_Duty_of_1" w:history="1">
        <w:r w:rsidRPr="00E01B11">
          <w:rPr>
            <w:rStyle w:val="Hyperlink"/>
            <w:rFonts w:ascii="Arial" w:hAnsi="Arial" w:cs="Arial"/>
            <w:b/>
            <w:bCs/>
            <w:sz w:val="20"/>
            <w:u w:val="none"/>
          </w:rPr>
          <w:t>3.4.6</w:t>
        </w:r>
        <w:r w:rsidRPr="00E01B11">
          <w:rPr>
            <w:rStyle w:val="Hyperlink"/>
            <w:rFonts w:ascii="Arial" w:hAnsi="Arial" w:cs="Arial"/>
            <w:b/>
            <w:bCs/>
            <w:sz w:val="20"/>
            <w:u w:val="none"/>
          </w:rPr>
          <w:tab/>
        </w:r>
        <w:r w:rsidRPr="00E01B11">
          <w:rPr>
            <w:rStyle w:val="Hyperlink"/>
            <w:rFonts w:ascii="Arial" w:hAnsi="Arial" w:cs="Arial"/>
            <w:b/>
            <w:sz w:val="20"/>
            <w:u w:val="none"/>
          </w:rPr>
          <w:t>Duty of judicial officer to assist a self-represented litigant in the Family Division</w:t>
        </w:r>
      </w:hyperlink>
    </w:p>
    <w:p w14:paraId="40BEDBED" w14:textId="7EECC40A" w:rsidR="0007599F" w:rsidRPr="00E01B11" w:rsidRDefault="0007599F" w:rsidP="0007599F">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E01B11">
        <w:rPr>
          <w:rFonts w:ascii="Arial" w:hAnsi="Arial" w:cs="Arial"/>
          <w:b/>
          <w:bCs/>
          <w:sz w:val="20"/>
        </w:rPr>
        <w:tab/>
      </w:r>
      <w:hyperlink w:anchor="_3.4.7_Duty_of" w:history="1">
        <w:r w:rsidRPr="00E01B11">
          <w:rPr>
            <w:rStyle w:val="Hyperlink"/>
            <w:rFonts w:ascii="Arial" w:hAnsi="Arial" w:cs="Arial"/>
            <w:b/>
            <w:bCs/>
            <w:sz w:val="20"/>
            <w:u w:val="none"/>
          </w:rPr>
          <w:t>3.4.</w:t>
        </w:r>
        <w:r>
          <w:rPr>
            <w:rStyle w:val="Hyperlink"/>
            <w:rFonts w:ascii="Arial" w:hAnsi="Arial" w:cs="Arial"/>
            <w:b/>
            <w:bCs/>
            <w:sz w:val="20"/>
            <w:u w:val="none"/>
          </w:rPr>
          <w:t>7</w:t>
        </w:r>
        <w:r w:rsidRPr="00E01B11">
          <w:rPr>
            <w:rStyle w:val="Hyperlink"/>
            <w:rFonts w:ascii="Arial" w:hAnsi="Arial" w:cs="Arial"/>
            <w:b/>
            <w:bCs/>
            <w:sz w:val="20"/>
            <w:u w:val="none"/>
          </w:rPr>
          <w:tab/>
        </w:r>
        <w:r w:rsidRPr="00E01B11">
          <w:rPr>
            <w:rStyle w:val="Hyperlink"/>
            <w:rFonts w:ascii="Arial" w:hAnsi="Arial" w:cs="Arial"/>
            <w:b/>
            <w:sz w:val="20"/>
            <w:u w:val="none"/>
          </w:rPr>
          <w:t>Dut</w:t>
        </w:r>
        <w:r w:rsidR="004D2D8F">
          <w:rPr>
            <w:rStyle w:val="Hyperlink"/>
            <w:rFonts w:ascii="Arial" w:hAnsi="Arial" w:cs="Arial"/>
            <w:b/>
            <w:sz w:val="20"/>
            <w:u w:val="none"/>
          </w:rPr>
          <w:t>ies</w:t>
        </w:r>
        <w:r w:rsidRPr="00E01B11">
          <w:rPr>
            <w:rStyle w:val="Hyperlink"/>
            <w:rFonts w:ascii="Arial" w:hAnsi="Arial" w:cs="Arial"/>
            <w:b/>
            <w:sz w:val="20"/>
            <w:u w:val="none"/>
          </w:rPr>
          <w:t xml:space="preserve"> of </w:t>
        </w:r>
        <w:r>
          <w:rPr>
            <w:rStyle w:val="Hyperlink"/>
            <w:rFonts w:ascii="Arial" w:hAnsi="Arial" w:cs="Arial"/>
            <w:b/>
            <w:sz w:val="20"/>
            <w:u w:val="none"/>
          </w:rPr>
          <w:t>leg</w:t>
        </w:r>
        <w:r>
          <w:rPr>
            <w:rStyle w:val="Hyperlink"/>
            <w:rFonts w:ascii="Arial" w:hAnsi="Arial" w:cs="Arial"/>
            <w:b/>
            <w:sz w:val="20"/>
            <w:u w:val="none"/>
          </w:rPr>
          <w:t>a</w:t>
        </w:r>
        <w:r>
          <w:rPr>
            <w:rStyle w:val="Hyperlink"/>
            <w:rFonts w:ascii="Arial" w:hAnsi="Arial" w:cs="Arial"/>
            <w:b/>
            <w:sz w:val="20"/>
            <w:u w:val="none"/>
          </w:rPr>
          <w:t>l repre</w:t>
        </w:r>
        <w:r>
          <w:rPr>
            <w:rStyle w:val="Hyperlink"/>
            <w:rFonts w:ascii="Arial" w:hAnsi="Arial" w:cs="Arial"/>
            <w:b/>
            <w:sz w:val="20"/>
            <w:u w:val="none"/>
          </w:rPr>
          <w:t>s</w:t>
        </w:r>
        <w:r>
          <w:rPr>
            <w:rStyle w:val="Hyperlink"/>
            <w:rFonts w:ascii="Arial" w:hAnsi="Arial" w:cs="Arial"/>
            <w:b/>
            <w:sz w:val="20"/>
            <w:u w:val="none"/>
          </w:rPr>
          <w:t>entative</w:t>
        </w:r>
        <w:r w:rsidR="00661693">
          <w:rPr>
            <w:rStyle w:val="Hyperlink"/>
            <w:rFonts w:ascii="Arial" w:hAnsi="Arial" w:cs="Arial"/>
            <w:b/>
            <w:sz w:val="20"/>
            <w:u w:val="none"/>
          </w:rPr>
          <w:t>s to the cour</w:t>
        </w:r>
        <w:r w:rsidR="004D2D8F">
          <w:rPr>
            <w:rStyle w:val="Hyperlink"/>
            <w:rFonts w:ascii="Arial" w:hAnsi="Arial" w:cs="Arial"/>
            <w:b/>
            <w:sz w:val="20"/>
            <w:u w:val="none"/>
          </w:rPr>
          <w:t>t and to their clients</w:t>
        </w:r>
      </w:hyperlink>
    </w:p>
    <w:p w14:paraId="54410DF1" w14:textId="785696ED" w:rsidR="0000798B" w:rsidRPr="00E01B11" w:rsidRDefault="0000798B" w:rsidP="0000798B">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bookmarkStart w:id="43" w:name="_Hlk219985291"/>
      <w:r w:rsidRPr="00E01B11">
        <w:rPr>
          <w:rFonts w:ascii="Arial" w:hAnsi="Arial" w:cs="Arial"/>
          <w:b/>
          <w:bCs/>
          <w:sz w:val="20"/>
        </w:rPr>
        <w:tab/>
      </w:r>
      <w:hyperlink w:anchor="_3.4.8_The_‘sovereign" w:history="1">
        <w:r w:rsidRPr="00E01B11">
          <w:rPr>
            <w:rStyle w:val="Hyperlink"/>
            <w:rFonts w:ascii="Arial" w:hAnsi="Arial" w:cs="Arial"/>
            <w:b/>
            <w:bCs/>
            <w:sz w:val="20"/>
            <w:u w:val="none"/>
          </w:rPr>
          <w:t>3.4.</w:t>
        </w:r>
        <w:r>
          <w:rPr>
            <w:rStyle w:val="Hyperlink"/>
            <w:rFonts w:ascii="Arial" w:hAnsi="Arial" w:cs="Arial"/>
            <w:b/>
            <w:bCs/>
            <w:sz w:val="20"/>
            <w:u w:val="none"/>
          </w:rPr>
          <w:t>8</w:t>
        </w:r>
        <w:r w:rsidRPr="00E01B11">
          <w:rPr>
            <w:rStyle w:val="Hyperlink"/>
            <w:rFonts w:ascii="Arial" w:hAnsi="Arial" w:cs="Arial"/>
            <w:b/>
            <w:bCs/>
            <w:sz w:val="20"/>
            <w:u w:val="none"/>
          </w:rPr>
          <w:tab/>
        </w:r>
        <w:r w:rsidR="0055258B">
          <w:rPr>
            <w:rStyle w:val="Hyperlink"/>
            <w:rFonts w:ascii="Arial" w:hAnsi="Arial" w:cs="Arial"/>
            <w:b/>
            <w:bCs/>
            <w:sz w:val="20"/>
            <w:u w:val="none"/>
          </w:rPr>
          <w:t>Pseudolaw and t</w:t>
        </w:r>
        <w:r w:rsidR="007D71F4">
          <w:rPr>
            <w:rStyle w:val="Hyperlink"/>
            <w:rFonts w:ascii="Arial" w:hAnsi="Arial" w:cs="Arial"/>
            <w:b/>
            <w:bCs/>
            <w:sz w:val="20"/>
            <w:u w:val="none"/>
          </w:rPr>
          <w:t>he ‘s</w:t>
        </w:r>
        <w:r>
          <w:rPr>
            <w:rStyle w:val="Hyperlink"/>
            <w:rFonts w:ascii="Arial" w:hAnsi="Arial" w:cs="Arial"/>
            <w:b/>
            <w:bCs/>
            <w:sz w:val="20"/>
            <w:u w:val="none"/>
          </w:rPr>
          <w:t xml:space="preserve">overeign </w:t>
        </w:r>
        <w:r w:rsidR="007D71F4">
          <w:rPr>
            <w:rStyle w:val="Hyperlink"/>
            <w:rFonts w:ascii="Arial" w:hAnsi="Arial" w:cs="Arial"/>
            <w:b/>
            <w:bCs/>
            <w:sz w:val="20"/>
            <w:u w:val="none"/>
          </w:rPr>
          <w:t>c</w:t>
        </w:r>
        <w:r>
          <w:rPr>
            <w:rStyle w:val="Hyperlink"/>
            <w:rFonts w:ascii="Arial" w:hAnsi="Arial" w:cs="Arial"/>
            <w:b/>
            <w:bCs/>
            <w:sz w:val="20"/>
            <w:u w:val="none"/>
          </w:rPr>
          <w:t>itize</w:t>
        </w:r>
        <w:r w:rsidR="007D71F4">
          <w:rPr>
            <w:rStyle w:val="Hyperlink"/>
            <w:rFonts w:ascii="Arial" w:hAnsi="Arial" w:cs="Arial"/>
            <w:b/>
            <w:bCs/>
            <w:sz w:val="20"/>
            <w:u w:val="none"/>
          </w:rPr>
          <w:t>n’ movement</w:t>
        </w:r>
      </w:hyperlink>
    </w:p>
    <w:bookmarkEnd w:id="43"/>
    <w:p w14:paraId="539C6276" w14:textId="0854E098" w:rsidR="00843765" w:rsidRPr="0022246F" w:rsidRDefault="00B21DA4" w:rsidP="00E54D25">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r>
        <w:fldChar w:fldCharType="begin"/>
      </w:r>
      <w:r>
        <w:instrText>HYPERLINK \l "_3.5_What_happens_1"</w:instrText>
      </w:r>
      <w:r>
        <w:fldChar w:fldCharType="separate"/>
      </w:r>
      <w:r w:rsidRPr="0022246F">
        <w:rPr>
          <w:rStyle w:val="Hyperlink"/>
          <w:rFonts w:ascii="Arial" w:hAnsi="Arial" w:cs="Arial"/>
          <w:b/>
          <w:bCs/>
          <w:u w:val="none"/>
        </w:rPr>
        <w:t>3.5</w:t>
      </w:r>
      <w:r w:rsidRPr="0022246F">
        <w:rPr>
          <w:rStyle w:val="Hyperlink"/>
          <w:rFonts w:ascii="Arial" w:hAnsi="Arial" w:cs="Arial"/>
          <w:b/>
          <w:bCs/>
          <w:u w:val="none"/>
        </w:rPr>
        <w:tab/>
        <w:t>What happens in Court</w:t>
      </w:r>
      <w:r>
        <w:fldChar w:fldCharType="end"/>
      </w:r>
    </w:p>
    <w:p w14:paraId="317A1CCA" w14:textId="77777777" w:rsidR="00D9355C" w:rsidRPr="0022246F" w:rsidRDefault="00B21DA4" w:rsidP="006A1FF6">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5.1_Preparation" w:history="1">
        <w:r w:rsidRPr="0022246F">
          <w:rPr>
            <w:rStyle w:val="Hyperlink"/>
            <w:rFonts w:ascii="Arial" w:hAnsi="Arial" w:cs="Arial"/>
            <w:b/>
            <w:bCs/>
            <w:sz w:val="20"/>
            <w:u w:val="none"/>
          </w:rPr>
          <w:tab/>
          <w:t>3.5.1</w:t>
        </w:r>
        <w:r w:rsidRPr="0022246F">
          <w:rPr>
            <w:rStyle w:val="Hyperlink"/>
            <w:rFonts w:ascii="Arial" w:hAnsi="Arial" w:cs="Arial"/>
            <w:b/>
            <w:bCs/>
            <w:sz w:val="20"/>
            <w:u w:val="none"/>
          </w:rPr>
          <w:tab/>
          <w:t>Preparation</w:t>
        </w:r>
      </w:hyperlink>
    </w:p>
    <w:p w14:paraId="34AF35A5" w14:textId="77777777" w:rsidR="00B21DA4" w:rsidRPr="0022246F"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2_Mention" w:history="1">
        <w:r w:rsidRPr="0022246F">
          <w:rPr>
            <w:rStyle w:val="Hyperlink"/>
            <w:rFonts w:ascii="Arial" w:hAnsi="Arial" w:cs="Arial"/>
            <w:b/>
            <w:bCs/>
            <w:sz w:val="20"/>
            <w:u w:val="none"/>
          </w:rPr>
          <w:tab/>
          <w:t>3.5.2</w:t>
        </w:r>
        <w:r w:rsidRPr="0022246F">
          <w:rPr>
            <w:rStyle w:val="Hyperlink"/>
            <w:rFonts w:ascii="Arial" w:hAnsi="Arial" w:cs="Arial"/>
            <w:b/>
            <w:bCs/>
            <w:sz w:val="20"/>
            <w:u w:val="none"/>
          </w:rPr>
          <w:tab/>
        </w:r>
        <w:r w:rsidR="00473DC8" w:rsidRPr="0022246F">
          <w:rPr>
            <w:rStyle w:val="Hyperlink"/>
            <w:rFonts w:ascii="Arial" w:hAnsi="Arial" w:cs="Arial"/>
            <w:b/>
            <w:bCs/>
            <w:sz w:val="20"/>
            <w:u w:val="none"/>
          </w:rPr>
          <w:t>Mention</w:t>
        </w:r>
      </w:hyperlink>
    </w:p>
    <w:p w14:paraId="40A9C0A0" w14:textId="2BDB16B8" w:rsidR="00B21DA4" w:rsidRPr="00D13FB8" w:rsidRDefault="00D13FB8" w:rsidP="00EE5B6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D13FB8">
        <w:rPr>
          <w:rFonts w:ascii="Arial" w:hAnsi="Arial" w:cs="Arial"/>
          <w:b/>
          <w:bCs/>
          <w:sz w:val="20"/>
        </w:rPr>
        <w:fldChar w:fldCharType="begin"/>
      </w:r>
      <w:r w:rsidRPr="00D13FB8">
        <w:rPr>
          <w:rFonts w:ascii="Arial" w:hAnsi="Arial" w:cs="Arial"/>
          <w:b/>
          <w:bCs/>
          <w:sz w:val="20"/>
        </w:rPr>
        <w:instrText xml:space="preserve"> HYPERLINK  \l "_3.5.3_Evidence" </w:instrText>
      </w:r>
      <w:r w:rsidRPr="00D13FB8">
        <w:rPr>
          <w:rFonts w:ascii="Arial" w:hAnsi="Arial" w:cs="Arial"/>
          <w:b/>
          <w:bCs/>
          <w:sz w:val="20"/>
        </w:rPr>
      </w:r>
      <w:r w:rsidRPr="00D13FB8">
        <w:rPr>
          <w:rFonts w:ascii="Arial" w:hAnsi="Arial" w:cs="Arial"/>
          <w:b/>
          <w:bCs/>
          <w:sz w:val="20"/>
        </w:rPr>
        <w:fldChar w:fldCharType="separate"/>
      </w:r>
      <w:r w:rsidR="00B21DA4" w:rsidRPr="00D13FB8">
        <w:rPr>
          <w:rStyle w:val="Hyperlink"/>
          <w:rFonts w:ascii="Arial" w:hAnsi="Arial" w:cs="Arial"/>
          <w:b/>
          <w:bCs/>
          <w:sz w:val="20"/>
          <w:u w:val="none"/>
        </w:rPr>
        <w:tab/>
        <w:t>3.5.3</w:t>
      </w:r>
      <w:r w:rsidR="00B21DA4" w:rsidRPr="00D13FB8">
        <w:rPr>
          <w:rStyle w:val="Hyperlink"/>
          <w:rFonts w:ascii="Arial" w:hAnsi="Arial" w:cs="Arial"/>
          <w:b/>
          <w:bCs/>
          <w:sz w:val="20"/>
          <w:u w:val="none"/>
        </w:rPr>
        <w:tab/>
      </w:r>
      <w:r w:rsidR="0019386A" w:rsidRPr="00D13FB8">
        <w:rPr>
          <w:rStyle w:val="Hyperlink"/>
          <w:rFonts w:ascii="Arial" w:hAnsi="Arial" w:cs="Arial"/>
          <w:b/>
          <w:bCs/>
          <w:sz w:val="20"/>
          <w:u w:val="none"/>
        </w:rPr>
        <w:t>Evidence</w:t>
      </w:r>
    </w:p>
    <w:p w14:paraId="4B4F911E" w14:textId="0C59E415" w:rsidR="003A0C37" w:rsidRPr="0022246F" w:rsidRDefault="00D13FB8" w:rsidP="003A0C37">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r w:rsidRPr="00D13FB8">
        <w:rPr>
          <w:rFonts w:ascii="Arial" w:hAnsi="Arial" w:cs="Arial"/>
          <w:b/>
          <w:bCs/>
          <w:sz w:val="20"/>
        </w:rPr>
        <w:fldChar w:fldCharType="end"/>
      </w:r>
      <w:hyperlink w:anchor="_3.5.3.1_Admissibility_of" w:history="1">
        <w:r w:rsidR="003A0C37" w:rsidRPr="0022246F">
          <w:rPr>
            <w:rStyle w:val="Hyperlink"/>
            <w:rFonts w:ascii="Arial" w:hAnsi="Arial" w:cs="Arial"/>
            <w:b/>
            <w:bCs/>
            <w:sz w:val="20"/>
            <w:u w:val="none"/>
          </w:rPr>
          <w:tab/>
        </w:r>
        <w:r w:rsidR="003A0C37" w:rsidRPr="0022246F">
          <w:rPr>
            <w:rStyle w:val="Hyperlink"/>
            <w:rFonts w:ascii="Arial" w:hAnsi="Arial" w:cs="Arial"/>
            <w:b/>
            <w:bCs/>
            <w:sz w:val="20"/>
            <w:u w:val="none"/>
          </w:rPr>
          <w:tab/>
        </w:r>
        <w:proofErr w:type="gramStart"/>
        <w:r w:rsidR="003A0C37" w:rsidRPr="0022246F">
          <w:rPr>
            <w:rStyle w:val="Hyperlink"/>
            <w:rFonts w:ascii="Arial" w:hAnsi="Arial" w:cs="Arial"/>
            <w:b/>
            <w:bCs/>
            <w:sz w:val="20"/>
            <w:u w:val="none"/>
          </w:rPr>
          <w:t xml:space="preserve">3.5.3.1  </w:t>
        </w:r>
        <w:r w:rsidR="007C1C82" w:rsidRPr="0022246F">
          <w:rPr>
            <w:rStyle w:val="Hyperlink"/>
            <w:rFonts w:ascii="Arial" w:hAnsi="Arial" w:cs="Arial"/>
            <w:b/>
            <w:bCs/>
            <w:sz w:val="20"/>
            <w:u w:val="none"/>
          </w:rPr>
          <w:t>Admissibility</w:t>
        </w:r>
        <w:proofErr w:type="gramEnd"/>
        <w:r w:rsidR="007C1C82" w:rsidRPr="0022246F">
          <w:rPr>
            <w:rStyle w:val="Hyperlink"/>
            <w:rFonts w:ascii="Arial" w:hAnsi="Arial" w:cs="Arial"/>
            <w:b/>
            <w:bCs/>
            <w:sz w:val="20"/>
            <w:u w:val="none"/>
          </w:rPr>
          <w:t xml:space="preserve"> of evidence generally</w:t>
        </w:r>
      </w:hyperlink>
    </w:p>
    <w:p w14:paraId="467F0151" w14:textId="77777777" w:rsidR="003A0C37" w:rsidRPr="00FD5828" w:rsidRDefault="003A0C37" w:rsidP="003A0C37">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5.3.2_Admissibility_of"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3.5.3.2  </w:t>
        </w:r>
        <w:r w:rsidR="007C1C82" w:rsidRPr="00FD5828">
          <w:rPr>
            <w:rStyle w:val="Hyperlink"/>
            <w:rFonts w:ascii="Arial" w:hAnsi="Arial" w:cs="Arial"/>
            <w:b/>
            <w:bCs/>
            <w:sz w:val="20"/>
            <w:u w:val="none"/>
          </w:rPr>
          <w:t>Admissibility</w:t>
        </w:r>
        <w:proofErr w:type="gramEnd"/>
        <w:r w:rsidR="007C1C82" w:rsidRPr="00FD5828">
          <w:rPr>
            <w:rStyle w:val="Hyperlink"/>
            <w:rFonts w:ascii="Arial" w:hAnsi="Arial" w:cs="Arial"/>
            <w:b/>
            <w:bCs/>
            <w:sz w:val="20"/>
            <w:u w:val="none"/>
          </w:rPr>
          <w:t xml:space="preserve"> of evidence in a contested criminal case</w:t>
        </w:r>
      </w:hyperlink>
    </w:p>
    <w:p w14:paraId="11625CF7" w14:textId="77777777" w:rsidR="0019386A" w:rsidRPr="00FD5828" w:rsidRDefault="0019386A" w:rsidP="0019386A">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3.3_Admissibility_of"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3.5.3.3  </w:t>
        </w:r>
        <w:r w:rsidR="007C1C82" w:rsidRPr="00FD5828">
          <w:rPr>
            <w:rStyle w:val="Hyperlink"/>
            <w:rFonts w:ascii="Arial" w:hAnsi="Arial" w:cs="Arial"/>
            <w:b/>
            <w:bCs/>
            <w:sz w:val="20"/>
            <w:u w:val="none"/>
          </w:rPr>
          <w:t>Admissibility</w:t>
        </w:r>
        <w:proofErr w:type="gramEnd"/>
        <w:r w:rsidR="007C1C82" w:rsidRPr="00FD5828">
          <w:rPr>
            <w:rStyle w:val="Hyperlink"/>
            <w:rFonts w:ascii="Arial" w:hAnsi="Arial" w:cs="Arial"/>
            <w:b/>
            <w:bCs/>
            <w:sz w:val="20"/>
            <w:u w:val="none"/>
          </w:rPr>
          <w:t xml:space="preserve"> of evidence in a Family Division case</w:t>
        </w:r>
      </w:hyperlink>
    </w:p>
    <w:p w14:paraId="05952FB9" w14:textId="408FE0B5" w:rsidR="0019386A" w:rsidRPr="0086086A" w:rsidRDefault="0019386A" w:rsidP="0019386A">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FF"/>
          <w:sz w:val="20"/>
        </w:rPr>
      </w:pPr>
      <w:hyperlink w:anchor="_3.5.3.4_The_hearsay" w:history="1">
        <w:r w:rsidRPr="0022246F">
          <w:rPr>
            <w:rStyle w:val="Hyperlink"/>
            <w:rFonts w:ascii="Arial" w:hAnsi="Arial" w:cs="Arial"/>
            <w:b/>
            <w:sz w:val="20"/>
            <w:u w:val="none"/>
          </w:rPr>
          <w:tab/>
        </w:r>
        <w:r w:rsidRPr="0022246F">
          <w:rPr>
            <w:rStyle w:val="Hyperlink"/>
            <w:rFonts w:ascii="Arial" w:hAnsi="Arial" w:cs="Arial"/>
            <w:b/>
            <w:sz w:val="20"/>
            <w:u w:val="none"/>
          </w:rPr>
          <w:tab/>
        </w:r>
        <w:proofErr w:type="gramStart"/>
        <w:r w:rsidRPr="0086086A">
          <w:rPr>
            <w:rStyle w:val="Hyperlink"/>
            <w:rFonts w:ascii="Arial" w:hAnsi="Arial" w:cs="Arial"/>
            <w:b/>
            <w:sz w:val="20"/>
            <w:u w:val="none"/>
          </w:rPr>
          <w:t xml:space="preserve">3.5.3.4  </w:t>
        </w:r>
        <w:r w:rsidR="007C1C82" w:rsidRPr="0086086A">
          <w:rPr>
            <w:rStyle w:val="Hyperlink"/>
            <w:rFonts w:ascii="Arial" w:hAnsi="Arial" w:cs="Arial"/>
            <w:b/>
            <w:sz w:val="20"/>
            <w:u w:val="none"/>
          </w:rPr>
          <w:t>The</w:t>
        </w:r>
        <w:proofErr w:type="gramEnd"/>
        <w:r w:rsidR="007C1C82" w:rsidRPr="0086086A">
          <w:rPr>
            <w:rStyle w:val="Hyperlink"/>
            <w:rFonts w:ascii="Arial" w:hAnsi="Arial" w:cs="Arial"/>
            <w:b/>
            <w:sz w:val="20"/>
            <w:u w:val="none"/>
          </w:rPr>
          <w:t xml:space="preserve"> hearsay rule and exceptions thereto</w:t>
        </w:r>
      </w:hyperlink>
    </w:p>
    <w:p w14:paraId="3D629C14" w14:textId="19E4BD3D" w:rsidR="000F2CE5" w:rsidRPr="00106472" w:rsidRDefault="000F2CE5" w:rsidP="000F2CE5">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33CC"/>
          <w:sz w:val="20"/>
        </w:rPr>
      </w:pPr>
      <w:hyperlink w:anchor="_3.5.3.5_Expert_evidence" w:history="1">
        <w:r w:rsidRPr="00106472">
          <w:rPr>
            <w:rStyle w:val="Hyperlink"/>
            <w:rFonts w:ascii="Arial" w:hAnsi="Arial" w:cs="Arial"/>
            <w:b/>
            <w:color w:val="0033CC"/>
            <w:sz w:val="20"/>
            <w:u w:val="none"/>
          </w:rPr>
          <w:tab/>
        </w:r>
        <w:r w:rsidRPr="00106472">
          <w:rPr>
            <w:rStyle w:val="Hyperlink"/>
            <w:rFonts w:ascii="Arial" w:hAnsi="Arial" w:cs="Arial"/>
            <w:b/>
            <w:color w:val="0033CC"/>
            <w:sz w:val="20"/>
            <w:u w:val="none"/>
          </w:rPr>
          <w:tab/>
        </w:r>
        <w:proofErr w:type="gramStart"/>
        <w:r w:rsidRPr="0086086A">
          <w:rPr>
            <w:rStyle w:val="Hyperlink"/>
            <w:rFonts w:ascii="Arial" w:hAnsi="Arial" w:cs="Arial"/>
            <w:b/>
            <w:sz w:val="20"/>
            <w:u w:val="none"/>
          </w:rPr>
          <w:t xml:space="preserve">3.5.3.5  </w:t>
        </w:r>
        <w:r w:rsidR="00E02733" w:rsidRPr="0086086A">
          <w:rPr>
            <w:rStyle w:val="Hyperlink"/>
            <w:rFonts w:ascii="Arial" w:hAnsi="Arial" w:cs="Arial"/>
            <w:b/>
            <w:bCs/>
            <w:sz w:val="20"/>
            <w:u w:val="none"/>
          </w:rPr>
          <w:t>E</w:t>
        </w:r>
        <w:r w:rsidRPr="0086086A">
          <w:rPr>
            <w:rStyle w:val="Hyperlink"/>
            <w:rFonts w:ascii="Arial" w:hAnsi="Arial" w:cs="Arial"/>
            <w:b/>
            <w:sz w:val="20"/>
            <w:u w:val="none"/>
          </w:rPr>
          <w:t>xpert</w:t>
        </w:r>
        <w:proofErr w:type="gramEnd"/>
        <w:r w:rsidRPr="0086086A">
          <w:rPr>
            <w:rStyle w:val="Hyperlink"/>
            <w:rFonts w:ascii="Arial" w:hAnsi="Arial" w:cs="Arial"/>
            <w:b/>
            <w:sz w:val="20"/>
            <w:u w:val="none"/>
          </w:rPr>
          <w:t xml:space="preserve"> evidenc</w:t>
        </w:r>
        <w:r w:rsidR="00346B40" w:rsidRPr="0086086A">
          <w:rPr>
            <w:rStyle w:val="Hyperlink"/>
            <w:rFonts w:ascii="Arial" w:hAnsi="Arial" w:cs="Arial"/>
            <w:b/>
            <w:sz w:val="20"/>
            <w:u w:val="none"/>
          </w:rPr>
          <w:t>e/Opinion evidenc</w:t>
        </w:r>
        <w:r w:rsidRPr="0086086A">
          <w:rPr>
            <w:rStyle w:val="Hyperlink"/>
            <w:rFonts w:ascii="Arial" w:hAnsi="Arial" w:cs="Arial"/>
            <w:b/>
            <w:sz w:val="20"/>
            <w:u w:val="none"/>
          </w:rPr>
          <w:t>e</w:t>
        </w:r>
      </w:hyperlink>
    </w:p>
    <w:p w14:paraId="47548454" w14:textId="71FEE4BB" w:rsidR="0019386A" w:rsidRPr="0022246F" w:rsidRDefault="0019386A" w:rsidP="0019386A">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5.3.5_Illegally_or" w:history="1">
        <w:r w:rsidRPr="0022246F">
          <w:rPr>
            <w:rStyle w:val="Hyperlink"/>
            <w:rFonts w:ascii="Arial" w:hAnsi="Arial" w:cs="Arial"/>
            <w:b/>
            <w:bCs/>
            <w:sz w:val="20"/>
            <w:u w:val="none"/>
          </w:rPr>
          <w:tab/>
        </w:r>
        <w:r w:rsidRPr="0022246F">
          <w:rPr>
            <w:rStyle w:val="Hyperlink"/>
            <w:rFonts w:ascii="Arial" w:hAnsi="Arial" w:cs="Arial"/>
            <w:b/>
            <w:bCs/>
            <w:sz w:val="20"/>
            <w:u w:val="none"/>
          </w:rPr>
          <w:tab/>
        </w:r>
        <w:proofErr w:type="gramStart"/>
        <w:r w:rsidRPr="0022246F">
          <w:rPr>
            <w:rStyle w:val="Hyperlink"/>
            <w:rFonts w:ascii="Arial" w:hAnsi="Arial" w:cs="Arial"/>
            <w:b/>
            <w:bCs/>
            <w:sz w:val="20"/>
            <w:u w:val="none"/>
          </w:rPr>
          <w:t>3.5.3.</w:t>
        </w:r>
        <w:r w:rsidR="000F2CE5">
          <w:rPr>
            <w:rStyle w:val="Hyperlink"/>
            <w:rFonts w:ascii="Arial" w:hAnsi="Arial" w:cs="Arial"/>
            <w:b/>
            <w:bCs/>
            <w:sz w:val="20"/>
            <w:u w:val="none"/>
          </w:rPr>
          <w:t>6</w:t>
        </w:r>
        <w:r w:rsidRPr="0022246F">
          <w:rPr>
            <w:rStyle w:val="Hyperlink"/>
            <w:rFonts w:ascii="Arial" w:hAnsi="Arial" w:cs="Arial"/>
            <w:b/>
            <w:bCs/>
            <w:sz w:val="20"/>
            <w:u w:val="none"/>
          </w:rPr>
          <w:t xml:space="preserve">  </w:t>
        </w:r>
        <w:r w:rsidR="007C1C82" w:rsidRPr="0022246F">
          <w:rPr>
            <w:rStyle w:val="Hyperlink"/>
            <w:rFonts w:ascii="Arial" w:hAnsi="Arial" w:cs="Arial"/>
            <w:b/>
            <w:sz w:val="20"/>
            <w:u w:val="none"/>
          </w:rPr>
          <w:t>Illegally</w:t>
        </w:r>
        <w:proofErr w:type="gramEnd"/>
        <w:r w:rsidR="0086178A" w:rsidRPr="0022246F">
          <w:rPr>
            <w:rStyle w:val="Hyperlink"/>
            <w:rFonts w:ascii="Arial" w:hAnsi="Arial" w:cs="Arial"/>
            <w:b/>
            <w:sz w:val="20"/>
            <w:u w:val="none"/>
          </w:rPr>
          <w:t xml:space="preserve"> or improperly</w:t>
        </w:r>
        <w:r w:rsidR="007C1C82" w:rsidRPr="0022246F">
          <w:rPr>
            <w:rStyle w:val="Hyperlink"/>
            <w:rFonts w:ascii="Arial" w:hAnsi="Arial" w:cs="Arial"/>
            <w:b/>
            <w:sz w:val="20"/>
            <w:u w:val="none"/>
          </w:rPr>
          <w:t xml:space="preserve"> obtained evidenc</w:t>
        </w:r>
        <w:r w:rsidR="00C46F79">
          <w:rPr>
            <w:rStyle w:val="Hyperlink"/>
            <w:rFonts w:ascii="Arial" w:hAnsi="Arial" w:cs="Arial"/>
            <w:b/>
            <w:sz w:val="20"/>
            <w:u w:val="none"/>
          </w:rPr>
          <w:t>e</w:t>
        </w:r>
      </w:hyperlink>
    </w:p>
    <w:p w14:paraId="55DCAFD2" w14:textId="784669B9" w:rsidR="00106472" w:rsidRPr="0022246F" w:rsidRDefault="00106472" w:rsidP="00106472">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5.3.6_Admissibility_of" w:history="1">
        <w:r w:rsidRPr="0022246F">
          <w:rPr>
            <w:rStyle w:val="Hyperlink"/>
            <w:rFonts w:ascii="Arial" w:hAnsi="Arial" w:cs="Arial"/>
            <w:b/>
            <w:bCs/>
            <w:sz w:val="20"/>
            <w:u w:val="none"/>
          </w:rPr>
          <w:tab/>
        </w:r>
        <w:r w:rsidRPr="0022246F">
          <w:rPr>
            <w:rStyle w:val="Hyperlink"/>
            <w:rFonts w:ascii="Arial" w:hAnsi="Arial" w:cs="Arial"/>
            <w:b/>
            <w:bCs/>
            <w:sz w:val="20"/>
            <w:u w:val="none"/>
          </w:rPr>
          <w:tab/>
        </w:r>
        <w:proofErr w:type="gramStart"/>
        <w:r w:rsidRPr="0022246F">
          <w:rPr>
            <w:rStyle w:val="Hyperlink"/>
            <w:rFonts w:ascii="Arial" w:hAnsi="Arial" w:cs="Arial"/>
            <w:b/>
            <w:bCs/>
            <w:sz w:val="20"/>
            <w:u w:val="none"/>
          </w:rPr>
          <w:t>3.5.3.</w:t>
        </w:r>
        <w:r w:rsidR="000F2CE5">
          <w:rPr>
            <w:rStyle w:val="Hyperlink"/>
            <w:rFonts w:ascii="Arial" w:hAnsi="Arial" w:cs="Arial"/>
            <w:b/>
            <w:bCs/>
            <w:sz w:val="20"/>
            <w:u w:val="none"/>
          </w:rPr>
          <w:t>7</w:t>
        </w:r>
        <w:r w:rsidRPr="0022246F">
          <w:rPr>
            <w:rStyle w:val="Hyperlink"/>
            <w:rFonts w:ascii="Arial" w:hAnsi="Arial" w:cs="Arial"/>
            <w:b/>
            <w:bCs/>
            <w:sz w:val="20"/>
            <w:u w:val="none"/>
          </w:rPr>
          <w:t xml:space="preserve">  </w:t>
        </w:r>
        <w:r>
          <w:rPr>
            <w:rStyle w:val="Hyperlink"/>
            <w:rFonts w:ascii="Arial" w:hAnsi="Arial" w:cs="Arial"/>
            <w:b/>
            <w:sz w:val="20"/>
            <w:u w:val="none"/>
          </w:rPr>
          <w:t>Admissibility</w:t>
        </w:r>
        <w:proofErr w:type="gramEnd"/>
        <w:r>
          <w:rPr>
            <w:rStyle w:val="Hyperlink"/>
            <w:rFonts w:ascii="Arial" w:hAnsi="Arial" w:cs="Arial"/>
            <w:b/>
            <w:sz w:val="20"/>
            <w:u w:val="none"/>
          </w:rPr>
          <w:t xml:space="preserve"> of tendency</w:t>
        </w:r>
        <w:r w:rsidRPr="0022246F">
          <w:rPr>
            <w:rStyle w:val="Hyperlink"/>
            <w:rFonts w:ascii="Arial" w:hAnsi="Arial" w:cs="Arial"/>
            <w:b/>
            <w:sz w:val="20"/>
            <w:u w:val="none"/>
          </w:rPr>
          <w:t xml:space="preserve"> evidenc</w:t>
        </w:r>
        <w:r w:rsidR="00C41908">
          <w:rPr>
            <w:rStyle w:val="Hyperlink"/>
            <w:rFonts w:ascii="Arial" w:hAnsi="Arial" w:cs="Arial"/>
            <w:b/>
            <w:sz w:val="20"/>
            <w:u w:val="none"/>
          </w:rPr>
          <w:t>e and coincidence evidenc</w:t>
        </w:r>
        <w:r w:rsidRPr="0022246F">
          <w:rPr>
            <w:rStyle w:val="Hyperlink"/>
            <w:rFonts w:ascii="Arial" w:hAnsi="Arial" w:cs="Arial"/>
            <w:b/>
            <w:sz w:val="20"/>
            <w:u w:val="none"/>
          </w:rPr>
          <w:t>e</w:t>
        </w:r>
      </w:hyperlink>
    </w:p>
    <w:p w14:paraId="4FD93955" w14:textId="1DAEC168" w:rsidR="00174184" w:rsidRPr="0066351D" w:rsidRDefault="00174184" w:rsidP="00174184">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r w:rsidRPr="0022246F">
        <w:rPr>
          <w:rFonts w:ascii="Arial" w:hAnsi="Arial" w:cs="Arial"/>
          <w:b/>
          <w:color w:val="000000"/>
          <w:sz w:val="20"/>
        </w:rPr>
        <w:tab/>
      </w:r>
      <w:r w:rsidRPr="0022246F">
        <w:rPr>
          <w:rFonts w:ascii="Arial" w:hAnsi="Arial" w:cs="Arial"/>
          <w:b/>
          <w:color w:val="000000"/>
          <w:sz w:val="20"/>
        </w:rPr>
        <w:tab/>
      </w:r>
      <w:hyperlink w:anchor="_3.5.3.8_Conflicting_evidence_1" w:history="1">
        <w:proofErr w:type="gramStart"/>
        <w:r w:rsidRPr="0066351D">
          <w:rPr>
            <w:rStyle w:val="Hyperlink"/>
            <w:rFonts w:ascii="Arial" w:hAnsi="Arial" w:cs="Arial"/>
            <w:b/>
            <w:sz w:val="20"/>
            <w:u w:val="none"/>
          </w:rPr>
          <w:t>3.5.3.</w:t>
        </w:r>
        <w:r w:rsidR="00106472">
          <w:rPr>
            <w:rStyle w:val="Hyperlink"/>
            <w:rFonts w:ascii="Arial" w:hAnsi="Arial" w:cs="Arial"/>
            <w:b/>
            <w:sz w:val="20"/>
            <w:u w:val="none"/>
          </w:rPr>
          <w:t>8</w:t>
        </w:r>
        <w:r w:rsidRPr="0066351D">
          <w:rPr>
            <w:rStyle w:val="Hyperlink"/>
            <w:rFonts w:ascii="Arial" w:hAnsi="Arial" w:cs="Arial"/>
            <w:b/>
            <w:sz w:val="20"/>
            <w:u w:val="none"/>
          </w:rPr>
          <w:t xml:space="preserve">  </w:t>
        </w:r>
        <w:r w:rsidR="00D53D45" w:rsidRPr="0066351D">
          <w:rPr>
            <w:rStyle w:val="Hyperlink"/>
            <w:rFonts w:ascii="Arial" w:hAnsi="Arial" w:cs="Arial"/>
            <w:b/>
            <w:sz w:val="20"/>
            <w:u w:val="none"/>
          </w:rPr>
          <w:t>Conflicting</w:t>
        </w:r>
        <w:proofErr w:type="gramEnd"/>
        <w:r w:rsidR="00D53D45" w:rsidRPr="0066351D">
          <w:rPr>
            <w:rStyle w:val="Hyperlink"/>
            <w:rFonts w:ascii="Arial" w:hAnsi="Arial" w:cs="Arial"/>
            <w:b/>
            <w:sz w:val="20"/>
            <w:u w:val="none"/>
          </w:rPr>
          <w:t xml:space="preserve"> evidence – </w:t>
        </w:r>
        <w:r w:rsidR="00492ABD">
          <w:rPr>
            <w:rStyle w:val="Hyperlink"/>
            <w:rFonts w:ascii="Arial" w:hAnsi="Arial" w:cs="Arial"/>
            <w:b/>
            <w:sz w:val="20"/>
            <w:u w:val="none"/>
          </w:rPr>
          <w:t>D</w:t>
        </w:r>
        <w:r w:rsidR="00B62342" w:rsidRPr="00B62342">
          <w:rPr>
            <w:rStyle w:val="Hyperlink"/>
            <w:rFonts w:ascii="Arial" w:hAnsi="Arial" w:cs="Arial"/>
            <w:b/>
            <w:sz w:val="20"/>
            <w:u w:val="none"/>
          </w:rPr>
          <w:t xml:space="preserve">angers of </w:t>
        </w:r>
        <w:r w:rsidR="00735ADA">
          <w:rPr>
            <w:rStyle w:val="Hyperlink"/>
            <w:rFonts w:ascii="Arial" w:hAnsi="Arial" w:cs="Arial"/>
            <w:b/>
            <w:sz w:val="20"/>
            <w:u w:val="none"/>
          </w:rPr>
          <w:t>d</w:t>
        </w:r>
        <w:r w:rsidR="00B62342" w:rsidRPr="00B62342">
          <w:rPr>
            <w:rStyle w:val="Hyperlink"/>
            <w:rFonts w:ascii="Arial" w:hAnsi="Arial" w:cs="Arial"/>
            <w:b/>
            <w:sz w:val="20"/>
            <w:u w:val="none"/>
          </w:rPr>
          <w:t xml:space="preserve">emeanour </w:t>
        </w:r>
        <w:r w:rsidR="00B62342">
          <w:rPr>
            <w:rStyle w:val="Hyperlink"/>
            <w:rFonts w:ascii="Arial" w:hAnsi="Arial" w:cs="Arial"/>
            <w:b/>
            <w:sz w:val="20"/>
            <w:u w:val="none"/>
          </w:rPr>
          <w:t xml:space="preserve">– </w:t>
        </w:r>
        <w:r w:rsidR="00D53D45" w:rsidRPr="0066351D">
          <w:rPr>
            <w:rStyle w:val="Hyperlink"/>
            <w:rFonts w:ascii="Arial" w:hAnsi="Arial" w:cs="Arial"/>
            <w:b/>
            <w:sz w:val="20"/>
            <w:u w:val="none"/>
          </w:rPr>
          <w:t>Fallibility</w:t>
        </w:r>
        <w:r w:rsidR="00B62342">
          <w:rPr>
            <w:rStyle w:val="Hyperlink"/>
            <w:rFonts w:ascii="Arial" w:hAnsi="Arial" w:cs="Arial"/>
            <w:b/>
            <w:sz w:val="20"/>
            <w:u w:val="none"/>
          </w:rPr>
          <w:t xml:space="preserve"> </w:t>
        </w:r>
        <w:r w:rsidR="00D53D45" w:rsidRPr="0066351D">
          <w:rPr>
            <w:rStyle w:val="Hyperlink"/>
            <w:rFonts w:ascii="Arial" w:hAnsi="Arial" w:cs="Arial"/>
            <w:b/>
            <w:sz w:val="20"/>
            <w:u w:val="none"/>
          </w:rPr>
          <w:t>of human memory</w:t>
        </w:r>
      </w:hyperlink>
    </w:p>
    <w:p w14:paraId="50EDC635" w14:textId="0E3CDB7F" w:rsidR="006C4A9A" w:rsidRDefault="006C4A9A" w:rsidP="00EE5B6C">
      <w:pPr>
        <w:pBdr>
          <w:top w:val="single" w:sz="4" w:space="1" w:color="auto"/>
          <w:left w:val="single" w:sz="4" w:space="4" w:color="auto"/>
          <w:bottom w:val="single" w:sz="4" w:space="1" w:color="auto"/>
          <w:right w:val="single" w:sz="4" w:space="4" w:color="auto"/>
        </w:pBdr>
        <w:tabs>
          <w:tab w:val="left" w:pos="567"/>
        </w:tabs>
      </w:pPr>
      <w:r>
        <w:tab/>
      </w:r>
      <w:r>
        <w:tab/>
      </w:r>
      <w:hyperlink w:anchor="_3.5.3.9_Inadmissibility_without" w:history="1">
        <w:proofErr w:type="gramStart"/>
        <w:r w:rsidRPr="0066351D">
          <w:rPr>
            <w:rStyle w:val="Hyperlink"/>
            <w:rFonts w:ascii="Arial" w:hAnsi="Arial" w:cs="Arial"/>
            <w:b/>
            <w:sz w:val="20"/>
            <w:u w:val="none"/>
          </w:rPr>
          <w:t>3.5.3.</w:t>
        </w:r>
        <w:r>
          <w:rPr>
            <w:rStyle w:val="Hyperlink"/>
            <w:rFonts w:ascii="Arial" w:hAnsi="Arial" w:cs="Arial"/>
            <w:b/>
            <w:sz w:val="20"/>
            <w:u w:val="none"/>
          </w:rPr>
          <w:t>9</w:t>
        </w:r>
        <w:r w:rsidRPr="0066351D">
          <w:rPr>
            <w:rStyle w:val="Hyperlink"/>
            <w:rFonts w:ascii="Arial" w:hAnsi="Arial" w:cs="Arial"/>
            <w:b/>
            <w:sz w:val="20"/>
            <w:u w:val="none"/>
          </w:rPr>
          <w:t xml:space="preserve">  </w:t>
        </w:r>
        <w:r>
          <w:rPr>
            <w:rStyle w:val="Hyperlink"/>
            <w:rFonts w:ascii="Arial" w:hAnsi="Arial" w:cs="Arial"/>
            <w:b/>
            <w:sz w:val="20"/>
            <w:u w:val="none"/>
          </w:rPr>
          <w:t>Leave</w:t>
        </w:r>
        <w:proofErr w:type="gramEnd"/>
        <w:r>
          <w:rPr>
            <w:rStyle w:val="Hyperlink"/>
            <w:rFonts w:ascii="Arial" w:hAnsi="Arial" w:cs="Arial"/>
            <w:b/>
            <w:sz w:val="20"/>
            <w:u w:val="none"/>
          </w:rPr>
          <w:t xml:space="preserve"> required to adduce confidential communication or protected health info</w:t>
        </w:r>
      </w:hyperlink>
    </w:p>
    <w:p w14:paraId="3B734B8E" w14:textId="2CC89BCB" w:rsidR="0008172C" w:rsidRDefault="0008172C" w:rsidP="0008172C">
      <w:pPr>
        <w:pBdr>
          <w:top w:val="single" w:sz="4" w:space="1" w:color="auto"/>
          <w:left w:val="single" w:sz="4" w:space="4" w:color="auto"/>
          <w:bottom w:val="single" w:sz="4" w:space="1" w:color="auto"/>
          <w:right w:val="single" w:sz="4" w:space="4" w:color="auto"/>
        </w:pBdr>
        <w:tabs>
          <w:tab w:val="left" w:pos="567"/>
        </w:tabs>
      </w:pPr>
      <w:r>
        <w:tab/>
      </w:r>
      <w:r>
        <w:tab/>
      </w:r>
      <w:hyperlink w:anchor="_3.5.3.10__Common" w:history="1">
        <w:r w:rsidRPr="0066351D">
          <w:rPr>
            <w:rStyle w:val="Hyperlink"/>
            <w:rFonts w:ascii="Arial" w:hAnsi="Arial" w:cs="Arial"/>
            <w:b/>
            <w:sz w:val="20"/>
            <w:u w:val="none"/>
          </w:rPr>
          <w:t>3.5.3.</w:t>
        </w:r>
        <w:r>
          <w:rPr>
            <w:rStyle w:val="Hyperlink"/>
            <w:rFonts w:ascii="Arial" w:hAnsi="Arial" w:cs="Arial"/>
            <w:b/>
            <w:sz w:val="20"/>
            <w:u w:val="none"/>
          </w:rPr>
          <w:t>10</w:t>
        </w:r>
        <w:r w:rsidRPr="0066351D">
          <w:rPr>
            <w:rStyle w:val="Hyperlink"/>
            <w:rFonts w:ascii="Arial" w:hAnsi="Arial" w:cs="Arial"/>
            <w:b/>
            <w:sz w:val="20"/>
            <w:u w:val="none"/>
          </w:rPr>
          <w:t xml:space="preserve"> </w:t>
        </w:r>
        <w:r>
          <w:rPr>
            <w:rStyle w:val="Hyperlink"/>
            <w:rFonts w:ascii="Arial" w:hAnsi="Arial" w:cs="Arial"/>
            <w:b/>
            <w:sz w:val="20"/>
            <w:u w:val="none"/>
          </w:rPr>
          <w:t>Common knowledge</w:t>
        </w:r>
      </w:hyperlink>
    </w:p>
    <w:p w14:paraId="1A41D416" w14:textId="4833ABDB" w:rsidR="00A240A5" w:rsidRDefault="00A240A5" w:rsidP="00A240A5">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sz w:val="20"/>
          <w:u w:val="none"/>
        </w:rPr>
      </w:pPr>
      <w:r>
        <w:tab/>
      </w:r>
      <w:r>
        <w:tab/>
      </w:r>
      <w:hyperlink w:anchor="_3.5.3.11__Admissibility" w:history="1">
        <w:r w:rsidRPr="00A240A5">
          <w:rPr>
            <w:rStyle w:val="Hyperlink"/>
            <w:rFonts w:ascii="Arial" w:hAnsi="Arial" w:cs="Arial"/>
            <w:b/>
            <w:sz w:val="20"/>
            <w:u w:val="none"/>
          </w:rPr>
          <w:t>3.5.3.11 Admissibility of evidence of distress</w:t>
        </w:r>
      </w:hyperlink>
    </w:p>
    <w:p w14:paraId="5E6FBABC" w14:textId="28798081" w:rsidR="00466896" w:rsidRPr="00466896" w:rsidRDefault="00466896" w:rsidP="00466896">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sz w:val="20"/>
          <w:u w:val="none"/>
        </w:rPr>
      </w:pPr>
      <w:r>
        <w:tab/>
      </w:r>
      <w:r>
        <w:tab/>
      </w:r>
      <w:hyperlink w:anchor="_3.5.3.12__Tendering" w:history="1">
        <w:r w:rsidRPr="00466896">
          <w:rPr>
            <w:rStyle w:val="Hyperlink"/>
            <w:rFonts w:ascii="Arial" w:hAnsi="Arial" w:cs="Arial"/>
            <w:b/>
            <w:sz w:val="20"/>
            <w:u w:val="none"/>
          </w:rPr>
          <w:t>3.5.3.12 Tendering of documents</w:t>
        </w:r>
      </w:hyperlink>
    </w:p>
    <w:p w14:paraId="1D0FA580" w14:textId="4C63BA49" w:rsidR="00B21DA4" w:rsidRPr="0022246F"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4_Contested_Criminal" w:history="1">
        <w:r w:rsidRPr="0022246F">
          <w:rPr>
            <w:rStyle w:val="Hyperlink"/>
            <w:rFonts w:ascii="Arial" w:hAnsi="Arial" w:cs="Arial"/>
            <w:b/>
            <w:bCs/>
            <w:sz w:val="20"/>
            <w:u w:val="none"/>
          </w:rPr>
          <w:tab/>
          <w:t>3.5.4</w:t>
        </w:r>
        <w:r w:rsidRPr="0022246F">
          <w:rPr>
            <w:rStyle w:val="Hyperlink"/>
            <w:rFonts w:ascii="Arial" w:hAnsi="Arial" w:cs="Arial"/>
            <w:b/>
            <w:bCs/>
            <w:sz w:val="20"/>
            <w:u w:val="none"/>
          </w:rPr>
          <w:tab/>
          <w:t>Contested Criminal Division cases</w:t>
        </w:r>
      </w:hyperlink>
    </w:p>
    <w:p w14:paraId="4A327BBD" w14:textId="65B68CCF" w:rsidR="00EB58D5" w:rsidRPr="00FD5828" w:rsidRDefault="00EB58D5" w:rsidP="00EB58D5">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4.1_The_usual"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3.5.</w:t>
        </w:r>
        <w:r>
          <w:rPr>
            <w:rStyle w:val="Hyperlink"/>
            <w:rFonts w:ascii="Arial" w:hAnsi="Arial" w:cs="Arial"/>
            <w:b/>
            <w:bCs/>
            <w:sz w:val="20"/>
            <w:u w:val="none"/>
          </w:rPr>
          <w:t>4</w:t>
        </w:r>
        <w:r w:rsidRPr="00FD5828">
          <w:rPr>
            <w:rStyle w:val="Hyperlink"/>
            <w:rFonts w:ascii="Arial" w:hAnsi="Arial" w:cs="Arial"/>
            <w:b/>
            <w:bCs/>
            <w:sz w:val="20"/>
            <w:u w:val="none"/>
          </w:rPr>
          <w:t>.1  The</w:t>
        </w:r>
        <w:proofErr w:type="gramEnd"/>
        <w:r w:rsidRPr="00FD5828">
          <w:rPr>
            <w:rStyle w:val="Hyperlink"/>
            <w:rFonts w:ascii="Arial" w:hAnsi="Arial" w:cs="Arial"/>
            <w:b/>
            <w:bCs/>
            <w:sz w:val="20"/>
            <w:u w:val="none"/>
          </w:rPr>
          <w:t xml:space="preserve"> usual procedure</w:t>
        </w:r>
      </w:hyperlink>
    </w:p>
    <w:p w14:paraId="4040F9BF" w14:textId="1B851A0C" w:rsidR="00EB58D5" w:rsidRPr="00FD5828" w:rsidRDefault="00EB58D5" w:rsidP="00EB58D5">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4.2_Application_of"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3.5.</w:t>
        </w:r>
        <w:r>
          <w:rPr>
            <w:rStyle w:val="Hyperlink"/>
            <w:rFonts w:ascii="Arial" w:hAnsi="Arial" w:cs="Arial"/>
            <w:b/>
            <w:bCs/>
            <w:sz w:val="20"/>
            <w:u w:val="none"/>
          </w:rPr>
          <w:t>4</w:t>
        </w:r>
        <w:r w:rsidRPr="00FD5828">
          <w:rPr>
            <w:rStyle w:val="Hyperlink"/>
            <w:rFonts w:ascii="Arial" w:hAnsi="Arial" w:cs="Arial"/>
            <w:b/>
            <w:bCs/>
            <w:sz w:val="20"/>
            <w:u w:val="none"/>
          </w:rPr>
          <w:t>.</w:t>
        </w:r>
        <w:r>
          <w:rPr>
            <w:rStyle w:val="Hyperlink"/>
            <w:rFonts w:ascii="Arial" w:hAnsi="Arial" w:cs="Arial"/>
            <w:b/>
            <w:bCs/>
            <w:sz w:val="20"/>
            <w:u w:val="none"/>
          </w:rPr>
          <w:t>2</w:t>
        </w:r>
        <w:r w:rsidRPr="00FD5828">
          <w:rPr>
            <w:rStyle w:val="Hyperlink"/>
            <w:rFonts w:ascii="Arial" w:hAnsi="Arial" w:cs="Arial"/>
            <w:b/>
            <w:bCs/>
            <w:sz w:val="20"/>
            <w:u w:val="none"/>
          </w:rPr>
          <w:t xml:space="preserve">  </w:t>
        </w:r>
        <w:r>
          <w:rPr>
            <w:rStyle w:val="Hyperlink"/>
            <w:rFonts w:ascii="Arial" w:hAnsi="Arial" w:cs="Arial"/>
            <w:b/>
            <w:bCs/>
            <w:sz w:val="20"/>
            <w:u w:val="none"/>
          </w:rPr>
          <w:t>Application</w:t>
        </w:r>
        <w:proofErr w:type="gramEnd"/>
        <w:r>
          <w:rPr>
            <w:rStyle w:val="Hyperlink"/>
            <w:rFonts w:ascii="Arial" w:hAnsi="Arial" w:cs="Arial"/>
            <w:b/>
            <w:bCs/>
            <w:sz w:val="20"/>
            <w:u w:val="none"/>
          </w:rPr>
          <w:t xml:space="preserve"> of Part 8.2 of the Criminal Procedure Act 2009</w:t>
        </w:r>
      </w:hyperlink>
    </w:p>
    <w:p w14:paraId="7C4CDE96" w14:textId="3D1EDAFF" w:rsidR="00B21DA4"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5_Use_of" w:history="1">
        <w:r w:rsidRPr="0022246F">
          <w:rPr>
            <w:rStyle w:val="Hyperlink"/>
            <w:rFonts w:ascii="Arial" w:hAnsi="Arial" w:cs="Arial"/>
            <w:b/>
            <w:bCs/>
            <w:sz w:val="20"/>
            <w:u w:val="none"/>
          </w:rPr>
          <w:tab/>
          <w:t>3.5.5</w:t>
        </w:r>
        <w:r w:rsidRPr="0022246F">
          <w:rPr>
            <w:rStyle w:val="Hyperlink"/>
            <w:rFonts w:ascii="Arial" w:hAnsi="Arial" w:cs="Arial"/>
            <w:b/>
            <w:bCs/>
            <w:sz w:val="20"/>
            <w:u w:val="none"/>
          </w:rPr>
          <w:tab/>
        </w:r>
        <w:r w:rsidR="00122115" w:rsidRPr="0022246F">
          <w:rPr>
            <w:rStyle w:val="Hyperlink"/>
            <w:rFonts w:ascii="Arial" w:hAnsi="Arial" w:cs="Arial"/>
            <w:b/>
            <w:bCs/>
            <w:sz w:val="20"/>
            <w:u w:val="none"/>
          </w:rPr>
          <w:t xml:space="preserve">Use of recorded evidence </w:t>
        </w:r>
        <w:r w:rsidR="00747350" w:rsidRPr="0022246F">
          <w:rPr>
            <w:rStyle w:val="Hyperlink"/>
            <w:rFonts w:ascii="Arial" w:hAnsi="Arial" w:cs="Arial"/>
            <w:b/>
            <w:bCs/>
            <w:sz w:val="20"/>
            <w:u w:val="none"/>
          </w:rPr>
          <w:t xml:space="preserve">[VARE] </w:t>
        </w:r>
        <w:r w:rsidR="00122115" w:rsidRPr="0022246F">
          <w:rPr>
            <w:rStyle w:val="Hyperlink"/>
            <w:rFonts w:ascii="Arial" w:hAnsi="Arial" w:cs="Arial"/>
            <w:b/>
            <w:bCs/>
            <w:sz w:val="20"/>
            <w:u w:val="none"/>
          </w:rPr>
          <w:t>in certain criminal cases</w:t>
        </w:r>
      </w:hyperlink>
    </w:p>
    <w:p w14:paraId="2C041E73" w14:textId="20C18C53" w:rsidR="00122115" w:rsidRPr="00FD5828" w:rsidRDefault="00192DE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5.1_Use_of"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3.5.5.1  </w:t>
        </w:r>
        <w:r w:rsidR="00120AA9" w:rsidRPr="00BA5B6D">
          <w:rPr>
            <w:rFonts w:ascii="Arial" w:hAnsi="Arial" w:cs="Arial"/>
            <w:b/>
            <w:color w:val="0000FF"/>
            <w:sz w:val="20"/>
          </w:rPr>
          <w:t>Use</w:t>
        </w:r>
        <w:proofErr w:type="gramEnd"/>
        <w:r w:rsidR="00120AA9" w:rsidRPr="00BA5B6D">
          <w:rPr>
            <w:rFonts w:ascii="Arial" w:hAnsi="Arial" w:cs="Arial"/>
            <w:b/>
            <w:color w:val="0000FF"/>
            <w:sz w:val="20"/>
          </w:rPr>
          <w:t xml:space="preserve"> of recorded evidence-in-chief of a child or cognitively impaired witness</w:t>
        </w:r>
      </w:hyperlink>
    </w:p>
    <w:p w14:paraId="3510E24B" w14:textId="3B06F3E9" w:rsidR="00122115" w:rsidRPr="00481276" w:rsidRDefault="00481276" w:rsidP="00EE5B6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481276">
        <w:rPr>
          <w:rFonts w:ascii="Arial" w:hAnsi="Arial" w:cs="Arial"/>
          <w:b/>
          <w:bCs/>
          <w:sz w:val="20"/>
        </w:rPr>
        <w:fldChar w:fldCharType="begin"/>
      </w:r>
      <w:r w:rsidRPr="00481276">
        <w:rPr>
          <w:rFonts w:ascii="Arial" w:hAnsi="Arial" w:cs="Arial"/>
          <w:b/>
          <w:bCs/>
          <w:sz w:val="20"/>
        </w:rPr>
        <w:instrText xml:space="preserve"> HYPERLINK  \l "_3.5.5.2_Use_of" </w:instrText>
      </w:r>
      <w:r w:rsidRPr="00481276">
        <w:rPr>
          <w:rFonts w:ascii="Arial" w:hAnsi="Arial" w:cs="Arial"/>
          <w:b/>
          <w:bCs/>
          <w:sz w:val="20"/>
        </w:rPr>
      </w:r>
      <w:r w:rsidRPr="00481276">
        <w:rPr>
          <w:rFonts w:ascii="Arial" w:hAnsi="Arial" w:cs="Arial"/>
          <w:b/>
          <w:bCs/>
          <w:sz w:val="20"/>
        </w:rPr>
        <w:fldChar w:fldCharType="separate"/>
      </w:r>
      <w:r w:rsidR="00192DEC" w:rsidRPr="00481276">
        <w:rPr>
          <w:rStyle w:val="Hyperlink"/>
          <w:rFonts w:ascii="Arial" w:hAnsi="Arial" w:cs="Arial"/>
          <w:b/>
          <w:bCs/>
          <w:sz w:val="20"/>
          <w:u w:val="none"/>
        </w:rPr>
        <w:tab/>
      </w:r>
      <w:r w:rsidR="00192DEC" w:rsidRPr="00481276">
        <w:rPr>
          <w:rStyle w:val="Hyperlink"/>
          <w:rFonts w:ascii="Arial" w:hAnsi="Arial" w:cs="Arial"/>
          <w:b/>
          <w:bCs/>
          <w:sz w:val="20"/>
          <w:u w:val="none"/>
        </w:rPr>
        <w:tab/>
      </w:r>
      <w:proofErr w:type="gramStart"/>
      <w:r w:rsidR="00192DEC" w:rsidRPr="00481276">
        <w:rPr>
          <w:rStyle w:val="Hyperlink"/>
          <w:rFonts w:ascii="Arial" w:hAnsi="Arial" w:cs="Arial"/>
          <w:b/>
          <w:bCs/>
          <w:sz w:val="20"/>
          <w:u w:val="none"/>
        </w:rPr>
        <w:t xml:space="preserve">3.5.5.2  </w:t>
      </w:r>
      <w:r w:rsidRPr="00481276">
        <w:rPr>
          <w:rStyle w:val="Hyperlink"/>
          <w:rFonts w:ascii="Arial" w:hAnsi="Arial" w:cs="Arial"/>
          <w:b/>
          <w:sz w:val="20"/>
          <w:u w:val="none"/>
        </w:rPr>
        <w:t>U</w:t>
      </w:r>
      <w:r w:rsidR="00E74C2D" w:rsidRPr="00481276">
        <w:rPr>
          <w:rStyle w:val="Hyperlink"/>
          <w:rFonts w:ascii="Arial" w:hAnsi="Arial" w:cs="Arial"/>
          <w:b/>
          <w:bCs/>
          <w:sz w:val="20"/>
          <w:u w:val="none"/>
        </w:rPr>
        <w:t>s</w:t>
      </w:r>
      <w:r w:rsidRPr="00481276">
        <w:rPr>
          <w:rStyle w:val="Hyperlink"/>
          <w:rFonts w:ascii="Arial" w:hAnsi="Arial" w:cs="Arial"/>
          <w:b/>
          <w:bCs/>
          <w:sz w:val="20"/>
          <w:u w:val="none"/>
        </w:rPr>
        <w:t>e</w:t>
      </w:r>
      <w:proofErr w:type="gramEnd"/>
      <w:r w:rsidRPr="00481276">
        <w:rPr>
          <w:rStyle w:val="Hyperlink"/>
          <w:rFonts w:ascii="Arial" w:hAnsi="Arial" w:cs="Arial"/>
          <w:b/>
          <w:bCs/>
          <w:sz w:val="20"/>
          <w:u w:val="none"/>
        </w:rPr>
        <w:t xml:space="preserve"> of recorded evidence</w:t>
      </w:r>
      <w:r w:rsidR="00E825F9">
        <w:rPr>
          <w:rStyle w:val="Hyperlink"/>
          <w:rFonts w:ascii="Arial" w:hAnsi="Arial" w:cs="Arial"/>
          <w:b/>
          <w:bCs/>
          <w:sz w:val="20"/>
          <w:u w:val="none"/>
        </w:rPr>
        <w:t xml:space="preserve"> </w:t>
      </w:r>
      <w:r w:rsidR="00BB1C44">
        <w:rPr>
          <w:rStyle w:val="Hyperlink"/>
          <w:rFonts w:ascii="Arial" w:hAnsi="Arial" w:cs="Arial"/>
          <w:b/>
          <w:bCs/>
          <w:sz w:val="20"/>
          <w:u w:val="none"/>
        </w:rPr>
        <w:t xml:space="preserve">of complainants more </w:t>
      </w:r>
      <w:r w:rsidRPr="00481276">
        <w:rPr>
          <w:rStyle w:val="Hyperlink"/>
          <w:rFonts w:ascii="Arial" w:hAnsi="Arial" w:cs="Arial"/>
          <w:b/>
          <w:bCs/>
          <w:sz w:val="20"/>
          <w:u w:val="none"/>
        </w:rPr>
        <w:t>generally</w:t>
      </w:r>
    </w:p>
    <w:p w14:paraId="63C619C8" w14:textId="2E9BA49D" w:rsidR="00B21DA4" w:rsidRPr="00FD5828" w:rsidRDefault="00481276"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481276">
        <w:rPr>
          <w:rFonts w:ascii="Arial" w:hAnsi="Arial" w:cs="Arial"/>
          <w:b/>
          <w:bCs/>
          <w:sz w:val="20"/>
        </w:rPr>
        <w:fldChar w:fldCharType="end"/>
      </w:r>
      <w:hyperlink w:anchor="_3.5.6_Contested_Family" w:history="1">
        <w:r w:rsidR="00B21DA4" w:rsidRPr="00FD5828">
          <w:rPr>
            <w:rStyle w:val="Hyperlink"/>
            <w:rFonts w:ascii="Arial" w:hAnsi="Arial" w:cs="Arial"/>
            <w:b/>
            <w:bCs/>
            <w:sz w:val="20"/>
            <w:u w:val="none"/>
          </w:rPr>
          <w:tab/>
          <w:t>3.5.6</w:t>
        </w:r>
        <w:r w:rsidR="00B21DA4" w:rsidRPr="00FD5828">
          <w:rPr>
            <w:rStyle w:val="Hyperlink"/>
            <w:rFonts w:ascii="Arial" w:hAnsi="Arial" w:cs="Arial"/>
            <w:b/>
            <w:bCs/>
            <w:sz w:val="20"/>
            <w:u w:val="none"/>
          </w:rPr>
          <w:tab/>
          <w:t>Contested Family Division cases</w:t>
        </w:r>
      </w:hyperlink>
    </w:p>
    <w:p w14:paraId="41D7F2E2" w14:textId="77777777" w:rsidR="00D9355C" w:rsidRPr="00FD5828" w:rsidRDefault="00D9355C" w:rsidP="00D9355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6.1_The_usual"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3.5.6.1  The</w:t>
        </w:r>
        <w:proofErr w:type="gramEnd"/>
        <w:r w:rsidRPr="00FD5828">
          <w:rPr>
            <w:rStyle w:val="Hyperlink"/>
            <w:rFonts w:ascii="Arial" w:hAnsi="Arial" w:cs="Arial"/>
            <w:b/>
            <w:bCs/>
            <w:sz w:val="20"/>
            <w:u w:val="none"/>
          </w:rPr>
          <w:t xml:space="preserve"> usual procedure</w:t>
        </w:r>
      </w:hyperlink>
    </w:p>
    <w:p w14:paraId="148DB127" w14:textId="297E0530" w:rsidR="00D9355C" w:rsidRPr="00367E55" w:rsidRDefault="00367E55" w:rsidP="00D9355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367E55">
        <w:rPr>
          <w:rFonts w:ascii="Arial" w:hAnsi="Arial" w:cs="Arial"/>
          <w:b/>
          <w:bCs/>
          <w:sz w:val="20"/>
        </w:rPr>
        <w:fldChar w:fldCharType="begin"/>
      </w:r>
      <w:r w:rsidR="00C5633C">
        <w:rPr>
          <w:rFonts w:ascii="Arial" w:hAnsi="Arial" w:cs="Arial"/>
          <w:b/>
          <w:bCs/>
          <w:sz w:val="20"/>
        </w:rPr>
        <w:instrText>HYPERLINK  \l "_3.5.6.2_Informal_procedure"</w:instrText>
      </w:r>
      <w:r w:rsidRPr="00367E55">
        <w:rPr>
          <w:rFonts w:ascii="Arial" w:hAnsi="Arial" w:cs="Arial"/>
          <w:b/>
          <w:bCs/>
          <w:sz w:val="20"/>
        </w:rPr>
      </w:r>
      <w:r w:rsidRPr="00367E55">
        <w:rPr>
          <w:rFonts w:ascii="Arial" w:hAnsi="Arial" w:cs="Arial"/>
          <w:b/>
          <w:bCs/>
          <w:sz w:val="20"/>
        </w:rPr>
        <w:fldChar w:fldCharType="separate"/>
      </w:r>
      <w:r w:rsidR="00D9355C" w:rsidRPr="00367E55">
        <w:rPr>
          <w:rStyle w:val="Hyperlink"/>
          <w:rFonts w:ascii="Arial" w:hAnsi="Arial" w:cs="Arial"/>
          <w:b/>
          <w:bCs/>
          <w:sz w:val="20"/>
          <w:u w:val="none"/>
        </w:rPr>
        <w:tab/>
      </w:r>
      <w:r w:rsidR="00D9355C" w:rsidRPr="00367E55">
        <w:rPr>
          <w:rStyle w:val="Hyperlink"/>
          <w:rFonts w:ascii="Arial" w:hAnsi="Arial" w:cs="Arial"/>
          <w:b/>
          <w:bCs/>
          <w:sz w:val="20"/>
          <w:u w:val="none"/>
        </w:rPr>
        <w:tab/>
      </w:r>
      <w:proofErr w:type="gramStart"/>
      <w:r w:rsidR="00D9355C" w:rsidRPr="00367E55">
        <w:rPr>
          <w:rStyle w:val="Hyperlink"/>
          <w:rFonts w:ascii="Arial" w:hAnsi="Arial" w:cs="Arial"/>
          <w:b/>
          <w:bCs/>
          <w:sz w:val="20"/>
          <w:u w:val="none"/>
        </w:rPr>
        <w:t>3.5.6.2  Informal</w:t>
      </w:r>
      <w:proofErr w:type="gramEnd"/>
      <w:r w:rsidR="00D9355C" w:rsidRPr="00367E55">
        <w:rPr>
          <w:rStyle w:val="Hyperlink"/>
          <w:rFonts w:ascii="Arial" w:hAnsi="Arial" w:cs="Arial"/>
          <w:b/>
          <w:bCs/>
          <w:sz w:val="20"/>
          <w:u w:val="none"/>
        </w:rPr>
        <w:t xml:space="preserve"> procedure</w:t>
      </w:r>
      <w:r w:rsidRPr="00367E55">
        <w:rPr>
          <w:rStyle w:val="Hyperlink"/>
          <w:rFonts w:ascii="Arial" w:hAnsi="Arial" w:cs="Arial"/>
          <w:b/>
          <w:bCs/>
          <w:sz w:val="20"/>
          <w:u w:val="none"/>
        </w:rPr>
        <w:t xml:space="preserve"> – s</w:t>
      </w:r>
      <w:r w:rsidR="00C22B3A">
        <w:rPr>
          <w:rStyle w:val="Hyperlink"/>
          <w:rFonts w:ascii="Arial" w:hAnsi="Arial" w:cs="Arial"/>
          <w:b/>
          <w:bCs/>
          <w:sz w:val="20"/>
          <w:u w:val="none"/>
        </w:rPr>
        <w:t>s</w:t>
      </w:r>
      <w:r w:rsidR="00C5633C">
        <w:rPr>
          <w:rStyle w:val="Hyperlink"/>
          <w:rFonts w:ascii="Arial" w:hAnsi="Arial" w:cs="Arial"/>
          <w:b/>
          <w:bCs/>
          <w:sz w:val="20"/>
          <w:u w:val="none"/>
        </w:rPr>
        <w:t>.</w:t>
      </w:r>
      <w:r w:rsidRPr="00367E55">
        <w:rPr>
          <w:rStyle w:val="Hyperlink"/>
          <w:rFonts w:ascii="Arial" w:hAnsi="Arial" w:cs="Arial"/>
          <w:b/>
          <w:bCs/>
          <w:sz w:val="20"/>
          <w:u w:val="none"/>
        </w:rPr>
        <w:t xml:space="preserve">215(1) </w:t>
      </w:r>
      <w:r w:rsidR="00C22B3A">
        <w:rPr>
          <w:rStyle w:val="Hyperlink"/>
          <w:rFonts w:ascii="Arial" w:hAnsi="Arial" w:cs="Arial"/>
          <w:b/>
          <w:bCs/>
          <w:sz w:val="20"/>
          <w:u w:val="none"/>
        </w:rPr>
        <w:t xml:space="preserve">&amp; 215B </w:t>
      </w:r>
      <w:r w:rsidRPr="00367E55">
        <w:rPr>
          <w:rStyle w:val="Hyperlink"/>
          <w:rFonts w:ascii="Arial" w:hAnsi="Arial" w:cs="Arial"/>
          <w:b/>
          <w:bCs/>
          <w:sz w:val="20"/>
          <w:u w:val="none"/>
        </w:rPr>
        <w:t>of the CYFA</w:t>
      </w:r>
    </w:p>
    <w:p w14:paraId="1AD1F1F9" w14:textId="77777777" w:rsidR="00D9355C" w:rsidRPr="00F624FF" w:rsidRDefault="00367E55" w:rsidP="00D9355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367E55">
        <w:rPr>
          <w:rFonts w:ascii="Arial" w:hAnsi="Arial" w:cs="Arial"/>
          <w:b/>
          <w:bCs/>
          <w:sz w:val="20"/>
        </w:rPr>
        <w:fldChar w:fldCharType="end"/>
      </w:r>
      <w:r w:rsidRPr="00F624FF">
        <w:rPr>
          <w:rFonts w:ascii="Arial" w:hAnsi="Arial" w:cs="Arial"/>
          <w:b/>
          <w:bCs/>
          <w:sz w:val="20"/>
        </w:rPr>
        <w:fldChar w:fldCharType="begin"/>
      </w:r>
      <w:r w:rsidRPr="00F624FF">
        <w:rPr>
          <w:rFonts w:ascii="Arial" w:hAnsi="Arial" w:cs="Arial"/>
          <w:b/>
          <w:bCs/>
          <w:sz w:val="20"/>
        </w:rPr>
        <w:instrText xml:space="preserve"> HYPERLINK  \l "_3.5.6.3_Management_of" </w:instrText>
      </w:r>
      <w:r w:rsidRPr="00F624FF">
        <w:rPr>
          <w:rFonts w:ascii="Arial" w:hAnsi="Arial" w:cs="Arial"/>
          <w:b/>
          <w:bCs/>
          <w:sz w:val="20"/>
        </w:rPr>
      </w:r>
      <w:r w:rsidRPr="00F624FF">
        <w:rPr>
          <w:rFonts w:ascii="Arial" w:hAnsi="Arial" w:cs="Arial"/>
          <w:b/>
          <w:bCs/>
          <w:sz w:val="20"/>
        </w:rPr>
        <w:fldChar w:fldCharType="separate"/>
      </w:r>
      <w:r w:rsidR="00D9355C" w:rsidRPr="00F624FF">
        <w:rPr>
          <w:rStyle w:val="Hyperlink"/>
          <w:rFonts w:ascii="Arial" w:hAnsi="Arial" w:cs="Arial"/>
          <w:b/>
          <w:bCs/>
          <w:sz w:val="20"/>
          <w:u w:val="none"/>
        </w:rPr>
        <w:tab/>
      </w:r>
      <w:r w:rsidR="00D9355C" w:rsidRPr="00F624FF">
        <w:rPr>
          <w:rStyle w:val="Hyperlink"/>
          <w:rFonts w:ascii="Arial" w:hAnsi="Arial" w:cs="Arial"/>
          <w:b/>
          <w:bCs/>
          <w:sz w:val="20"/>
          <w:u w:val="none"/>
        </w:rPr>
        <w:tab/>
      </w:r>
      <w:proofErr w:type="gramStart"/>
      <w:r w:rsidR="00D9355C" w:rsidRPr="00F624FF">
        <w:rPr>
          <w:rStyle w:val="Hyperlink"/>
          <w:rFonts w:ascii="Arial" w:hAnsi="Arial" w:cs="Arial"/>
          <w:b/>
          <w:bCs/>
          <w:sz w:val="20"/>
          <w:u w:val="none"/>
        </w:rPr>
        <w:t xml:space="preserve">3.5.6.3  </w:t>
      </w:r>
      <w:r w:rsidRPr="00F624FF">
        <w:rPr>
          <w:rStyle w:val="Hyperlink"/>
          <w:rFonts w:ascii="Arial" w:hAnsi="Arial" w:cs="Arial"/>
          <w:b/>
          <w:bCs/>
          <w:sz w:val="20"/>
          <w:u w:val="none"/>
        </w:rPr>
        <w:t>Management</w:t>
      </w:r>
      <w:proofErr w:type="gramEnd"/>
      <w:r w:rsidRPr="00F624FF">
        <w:rPr>
          <w:rStyle w:val="Hyperlink"/>
          <w:rFonts w:ascii="Arial" w:hAnsi="Arial" w:cs="Arial"/>
          <w:b/>
          <w:bCs/>
          <w:sz w:val="20"/>
          <w:u w:val="none"/>
        </w:rPr>
        <w:t xml:space="preserve"> of child protection proceedings – s.</w:t>
      </w:r>
      <w:r w:rsidR="00F44596" w:rsidRPr="00F624FF">
        <w:rPr>
          <w:rStyle w:val="Hyperlink"/>
          <w:rFonts w:ascii="Arial" w:hAnsi="Arial" w:cs="Arial"/>
          <w:b/>
          <w:bCs/>
          <w:sz w:val="20"/>
          <w:u w:val="none"/>
        </w:rPr>
        <w:t>215B of the CYFA</w:t>
      </w:r>
    </w:p>
    <w:p w14:paraId="033C97E8" w14:textId="77777777" w:rsidR="00F44596" w:rsidRPr="00F624FF" w:rsidRDefault="00367E55" w:rsidP="00EE5B6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F624FF">
        <w:rPr>
          <w:rFonts w:ascii="Arial" w:hAnsi="Arial" w:cs="Arial"/>
          <w:b/>
          <w:bCs/>
          <w:sz w:val="20"/>
        </w:rPr>
        <w:fldChar w:fldCharType="end"/>
      </w:r>
      <w:r w:rsidR="00F624FF" w:rsidRPr="00F624FF">
        <w:rPr>
          <w:rFonts w:ascii="Arial" w:hAnsi="Arial" w:cs="Arial"/>
          <w:b/>
          <w:bCs/>
          <w:sz w:val="20"/>
        </w:rPr>
        <w:fldChar w:fldCharType="begin"/>
      </w:r>
      <w:r w:rsidR="00F624FF" w:rsidRPr="00F624FF">
        <w:rPr>
          <w:rFonts w:ascii="Arial" w:hAnsi="Arial" w:cs="Arial"/>
          <w:b/>
          <w:bCs/>
          <w:sz w:val="20"/>
        </w:rPr>
        <w:instrText xml:space="preserve"> HYPERLINK  \l "_3.5.6.4_Obligation_to" </w:instrText>
      </w:r>
      <w:r w:rsidR="00F624FF" w:rsidRPr="00F624FF">
        <w:rPr>
          <w:rFonts w:ascii="Arial" w:hAnsi="Arial" w:cs="Arial"/>
          <w:b/>
          <w:bCs/>
          <w:sz w:val="20"/>
        </w:rPr>
      </w:r>
      <w:r w:rsidR="00F624FF" w:rsidRPr="00F624FF">
        <w:rPr>
          <w:rFonts w:ascii="Arial" w:hAnsi="Arial" w:cs="Arial"/>
          <w:b/>
          <w:bCs/>
          <w:sz w:val="20"/>
        </w:rPr>
        <w:fldChar w:fldCharType="separate"/>
      </w:r>
      <w:r w:rsidR="00F44596" w:rsidRPr="00F624FF">
        <w:rPr>
          <w:rStyle w:val="Hyperlink"/>
          <w:rFonts w:ascii="Arial" w:hAnsi="Arial" w:cs="Arial"/>
          <w:b/>
          <w:bCs/>
          <w:sz w:val="20"/>
          <w:u w:val="none"/>
        </w:rPr>
        <w:tab/>
      </w:r>
      <w:r w:rsidR="00F44596" w:rsidRPr="00F624FF">
        <w:rPr>
          <w:rStyle w:val="Hyperlink"/>
          <w:rFonts w:ascii="Arial" w:hAnsi="Arial" w:cs="Arial"/>
          <w:b/>
          <w:bCs/>
          <w:sz w:val="20"/>
          <w:u w:val="none"/>
        </w:rPr>
        <w:tab/>
      </w:r>
      <w:proofErr w:type="gramStart"/>
      <w:r w:rsidR="00B811FD" w:rsidRPr="00F624FF">
        <w:rPr>
          <w:rStyle w:val="Hyperlink"/>
          <w:rFonts w:ascii="Arial" w:hAnsi="Arial" w:cs="Arial"/>
          <w:b/>
          <w:bCs/>
          <w:sz w:val="20"/>
          <w:u w:val="none"/>
        </w:rPr>
        <w:t>3.5.6.4  Obligation</w:t>
      </w:r>
      <w:proofErr w:type="gramEnd"/>
      <w:r w:rsidR="00B811FD" w:rsidRPr="00F624FF">
        <w:rPr>
          <w:rStyle w:val="Hyperlink"/>
          <w:rFonts w:ascii="Arial" w:hAnsi="Arial" w:cs="Arial"/>
          <w:b/>
          <w:bCs/>
          <w:sz w:val="20"/>
          <w:u w:val="none"/>
        </w:rPr>
        <w:t xml:space="preserve"> to ac</w:t>
      </w:r>
      <w:r w:rsidR="00433C3C" w:rsidRPr="00F624FF">
        <w:rPr>
          <w:rStyle w:val="Hyperlink"/>
          <w:rFonts w:ascii="Arial" w:hAnsi="Arial" w:cs="Arial"/>
          <w:b/>
          <w:bCs/>
          <w:sz w:val="20"/>
          <w:u w:val="none"/>
        </w:rPr>
        <w:t>c</w:t>
      </w:r>
      <w:r w:rsidR="00F44596" w:rsidRPr="00F624FF">
        <w:rPr>
          <w:rStyle w:val="Hyperlink"/>
          <w:rFonts w:ascii="Arial" w:hAnsi="Arial" w:cs="Arial"/>
          <w:b/>
          <w:bCs/>
          <w:sz w:val="20"/>
          <w:u w:val="none"/>
        </w:rPr>
        <w:t>ord procedural fairness</w:t>
      </w:r>
      <w:r w:rsidR="00F624FF" w:rsidRPr="00F624FF">
        <w:rPr>
          <w:rStyle w:val="Hyperlink"/>
          <w:rFonts w:ascii="Arial" w:hAnsi="Arial" w:cs="Arial"/>
          <w:b/>
          <w:bCs/>
          <w:sz w:val="20"/>
          <w:u w:val="none"/>
        </w:rPr>
        <w:t xml:space="preserve"> in ‘best interests’ context</w:t>
      </w:r>
    </w:p>
    <w:p w14:paraId="77DD9C0C" w14:textId="5F5A509C" w:rsidR="00651374" w:rsidRPr="00651374" w:rsidRDefault="00F624FF"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F624FF">
        <w:rPr>
          <w:rFonts w:ascii="Arial" w:hAnsi="Arial" w:cs="Arial"/>
          <w:b/>
          <w:bCs/>
          <w:sz w:val="20"/>
        </w:rPr>
        <w:fldChar w:fldCharType="end"/>
      </w:r>
      <w:r w:rsidR="00651374" w:rsidRPr="00651374">
        <w:rPr>
          <w:rFonts w:ascii="Arial" w:hAnsi="Arial" w:cs="Arial"/>
          <w:b/>
          <w:bCs/>
          <w:sz w:val="20"/>
        </w:rPr>
        <w:tab/>
      </w:r>
      <w:r w:rsidR="00651374" w:rsidRPr="00651374">
        <w:rPr>
          <w:rFonts w:ascii="Arial" w:hAnsi="Arial" w:cs="Arial"/>
          <w:b/>
          <w:bCs/>
          <w:sz w:val="20"/>
        </w:rPr>
        <w:tab/>
      </w:r>
      <w:hyperlink w:anchor="_3.5.6.5_Tips_for" w:history="1">
        <w:proofErr w:type="gramStart"/>
        <w:r w:rsidR="00651374" w:rsidRPr="00651374">
          <w:rPr>
            <w:rStyle w:val="Hyperlink"/>
            <w:rFonts w:ascii="Arial" w:hAnsi="Arial" w:cs="Arial"/>
            <w:b/>
            <w:bCs/>
            <w:sz w:val="20"/>
            <w:u w:val="none"/>
          </w:rPr>
          <w:t>3.5.6.5  Tips</w:t>
        </w:r>
        <w:proofErr w:type="gramEnd"/>
        <w:r w:rsidR="00651374" w:rsidRPr="00651374">
          <w:rPr>
            <w:rStyle w:val="Hyperlink"/>
            <w:rFonts w:ascii="Arial" w:hAnsi="Arial" w:cs="Arial"/>
            <w:b/>
            <w:bCs/>
            <w:sz w:val="20"/>
            <w:u w:val="none"/>
          </w:rPr>
          <w:t xml:space="preserve"> for advocates and witnesses in contested Family Division cases</w:t>
        </w:r>
      </w:hyperlink>
    </w:p>
    <w:p w14:paraId="469C4678" w14:textId="74831AA5" w:rsidR="00F25FA2" w:rsidRPr="00EF638E" w:rsidRDefault="0059119D"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7_Compelling_production" w:history="1">
        <w:r w:rsidRPr="00EF638E">
          <w:rPr>
            <w:rStyle w:val="Hyperlink"/>
            <w:rFonts w:ascii="Arial" w:hAnsi="Arial" w:cs="Arial"/>
            <w:b/>
            <w:bCs/>
            <w:sz w:val="20"/>
            <w:u w:val="none"/>
          </w:rPr>
          <w:tab/>
          <w:t>3.5.7</w:t>
        </w:r>
        <w:r w:rsidRPr="00EF638E">
          <w:rPr>
            <w:rStyle w:val="Hyperlink"/>
            <w:rFonts w:ascii="Arial" w:hAnsi="Arial" w:cs="Arial"/>
            <w:b/>
            <w:bCs/>
            <w:sz w:val="20"/>
            <w:u w:val="none"/>
          </w:rPr>
          <w:tab/>
        </w:r>
        <w:r w:rsidR="00EF638E" w:rsidRPr="00EF638E">
          <w:rPr>
            <w:rStyle w:val="Hyperlink"/>
            <w:rFonts w:ascii="Arial" w:hAnsi="Arial" w:cs="Arial"/>
            <w:b/>
            <w:bCs/>
            <w:sz w:val="20"/>
            <w:u w:val="none"/>
          </w:rPr>
          <w:t>C</w:t>
        </w:r>
        <w:r w:rsidR="000232AB" w:rsidRPr="00EF638E">
          <w:rPr>
            <w:rStyle w:val="Hyperlink"/>
            <w:rFonts w:ascii="Arial" w:hAnsi="Arial" w:cs="Arial"/>
            <w:b/>
            <w:bCs/>
            <w:sz w:val="20"/>
            <w:u w:val="none"/>
          </w:rPr>
          <w:t>ompe</w:t>
        </w:r>
        <w:r w:rsidR="00EF638E" w:rsidRPr="00EF638E">
          <w:rPr>
            <w:rStyle w:val="Hyperlink"/>
            <w:rFonts w:ascii="Arial" w:hAnsi="Arial" w:cs="Arial"/>
            <w:b/>
            <w:bCs/>
            <w:sz w:val="20"/>
            <w:u w:val="none"/>
          </w:rPr>
          <w:t>l</w:t>
        </w:r>
        <w:r w:rsidR="000232AB" w:rsidRPr="00EF638E">
          <w:rPr>
            <w:rStyle w:val="Hyperlink"/>
            <w:rFonts w:ascii="Arial" w:hAnsi="Arial" w:cs="Arial"/>
            <w:b/>
            <w:bCs/>
            <w:sz w:val="20"/>
            <w:u w:val="none"/>
          </w:rPr>
          <w:t>l</w:t>
        </w:r>
        <w:r w:rsidR="00EF638E" w:rsidRPr="00EF638E">
          <w:rPr>
            <w:rStyle w:val="Hyperlink"/>
            <w:rFonts w:ascii="Arial" w:hAnsi="Arial" w:cs="Arial"/>
            <w:b/>
            <w:bCs/>
            <w:sz w:val="20"/>
            <w:u w:val="none"/>
          </w:rPr>
          <w:t>ing production</w:t>
        </w:r>
        <w:r w:rsidR="000232AB" w:rsidRPr="00EF638E">
          <w:rPr>
            <w:rStyle w:val="Hyperlink"/>
            <w:rFonts w:ascii="Arial" w:hAnsi="Arial" w:cs="Arial"/>
            <w:b/>
            <w:bCs/>
            <w:sz w:val="20"/>
            <w:u w:val="none"/>
          </w:rPr>
          <w:t xml:space="preserve"> of </w:t>
        </w:r>
        <w:r w:rsidR="00EF638E" w:rsidRPr="00EF638E">
          <w:rPr>
            <w:rStyle w:val="Hyperlink"/>
            <w:rFonts w:ascii="Arial" w:hAnsi="Arial" w:cs="Arial"/>
            <w:b/>
            <w:bCs/>
            <w:sz w:val="20"/>
            <w:u w:val="none"/>
          </w:rPr>
          <w:t xml:space="preserve">a </w:t>
        </w:r>
        <w:r w:rsidR="000232AB" w:rsidRPr="00EF638E">
          <w:rPr>
            <w:rStyle w:val="Hyperlink"/>
            <w:rFonts w:ascii="Arial" w:hAnsi="Arial" w:cs="Arial"/>
            <w:b/>
            <w:bCs/>
            <w:sz w:val="20"/>
            <w:u w:val="none"/>
          </w:rPr>
          <w:t>prisoner</w:t>
        </w:r>
        <w:r w:rsidR="00EF638E" w:rsidRPr="00EF638E">
          <w:rPr>
            <w:rStyle w:val="Hyperlink"/>
            <w:rFonts w:ascii="Arial" w:hAnsi="Arial" w:cs="Arial"/>
            <w:b/>
            <w:bCs/>
            <w:sz w:val="20"/>
            <w:u w:val="none"/>
          </w:rPr>
          <w:t xml:space="preserve">/detainee </w:t>
        </w:r>
        <w:r w:rsidR="000232AB" w:rsidRPr="00EF638E">
          <w:rPr>
            <w:rStyle w:val="Hyperlink"/>
            <w:rFonts w:ascii="Arial" w:hAnsi="Arial" w:cs="Arial"/>
            <w:b/>
            <w:bCs/>
            <w:sz w:val="20"/>
            <w:u w:val="none"/>
          </w:rPr>
          <w:t>at court</w:t>
        </w:r>
        <w:r w:rsidR="00EF638E" w:rsidRPr="00EF638E">
          <w:rPr>
            <w:rStyle w:val="Hyperlink"/>
            <w:rFonts w:ascii="Arial" w:hAnsi="Arial" w:cs="Arial"/>
            <w:b/>
            <w:bCs/>
            <w:sz w:val="20"/>
            <w:u w:val="none"/>
          </w:rPr>
          <w:t xml:space="preserve"> – Remand warrant/Gaol order</w:t>
        </w:r>
      </w:hyperlink>
    </w:p>
    <w:p w14:paraId="7448435B" w14:textId="024BD3B5" w:rsidR="00B21DA4" w:rsidRPr="00FD5828"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8_Use_of_1" w:history="1">
        <w:r w:rsidRPr="00FD5828">
          <w:rPr>
            <w:rStyle w:val="Hyperlink"/>
            <w:rFonts w:ascii="Arial" w:hAnsi="Arial" w:cs="Arial"/>
            <w:b/>
            <w:bCs/>
            <w:sz w:val="20"/>
            <w:u w:val="none"/>
          </w:rPr>
          <w:tab/>
          <w:t>3.5.</w:t>
        </w:r>
        <w:r w:rsidR="00F25FA2" w:rsidRPr="00FD5828">
          <w:rPr>
            <w:rStyle w:val="Hyperlink"/>
            <w:rFonts w:ascii="Arial" w:hAnsi="Arial" w:cs="Arial"/>
            <w:b/>
            <w:bCs/>
            <w:sz w:val="20"/>
            <w:u w:val="none"/>
          </w:rPr>
          <w:t>8</w:t>
        </w:r>
        <w:r w:rsidRPr="00FD5828">
          <w:rPr>
            <w:rStyle w:val="Hyperlink"/>
            <w:rFonts w:ascii="Arial" w:hAnsi="Arial" w:cs="Arial"/>
            <w:b/>
            <w:bCs/>
            <w:sz w:val="20"/>
            <w:u w:val="none"/>
          </w:rPr>
          <w:tab/>
        </w:r>
        <w:r w:rsidR="00556BDC" w:rsidRPr="00FD5828">
          <w:rPr>
            <w:rStyle w:val="Hyperlink"/>
            <w:rFonts w:ascii="Arial" w:hAnsi="Arial" w:cs="Arial"/>
            <w:b/>
            <w:bCs/>
            <w:sz w:val="20"/>
            <w:u w:val="none"/>
          </w:rPr>
          <w:t>Use of recorded evidence in cases in the Family Division</w:t>
        </w:r>
      </w:hyperlink>
    </w:p>
    <w:p w14:paraId="134D0222" w14:textId="77777777" w:rsidR="0099353B" w:rsidRPr="00FD5828" w:rsidRDefault="0099353B"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9_Production_of" w:history="1">
        <w:r w:rsidRPr="00FD5828">
          <w:rPr>
            <w:rStyle w:val="Hyperlink"/>
            <w:rFonts w:ascii="Arial" w:hAnsi="Arial" w:cs="Arial"/>
            <w:b/>
            <w:bCs/>
            <w:sz w:val="20"/>
            <w:u w:val="none"/>
          </w:rPr>
          <w:tab/>
          <w:t>3.5.</w:t>
        </w:r>
        <w:r w:rsidR="00F25FA2" w:rsidRPr="00FD5828">
          <w:rPr>
            <w:rStyle w:val="Hyperlink"/>
            <w:rFonts w:ascii="Arial" w:hAnsi="Arial" w:cs="Arial"/>
            <w:b/>
            <w:bCs/>
            <w:sz w:val="20"/>
            <w:u w:val="none"/>
          </w:rPr>
          <w:t>9</w:t>
        </w:r>
        <w:r w:rsidR="00EE5B6C" w:rsidRPr="00FD5828">
          <w:rPr>
            <w:rStyle w:val="Hyperlink"/>
            <w:rFonts w:ascii="Arial" w:hAnsi="Arial" w:cs="Arial"/>
            <w:b/>
            <w:bCs/>
            <w:sz w:val="20"/>
            <w:u w:val="none"/>
          </w:rPr>
          <w:tab/>
        </w:r>
        <w:r w:rsidR="00E47354" w:rsidRPr="00FD5828">
          <w:rPr>
            <w:rStyle w:val="Hyperlink"/>
            <w:rFonts w:ascii="Arial" w:hAnsi="Arial" w:cs="Arial"/>
            <w:b/>
            <w:bCs/>
            <w:sz w:val="20"/>
            <w:u w:val="none"/>
          </w:rPr>
          <w:t>Production of documents</w:t>
        </w:r>
        <w:r w:rsidR="00EE5B6C" w:rsidRPr="00FD5828">
          <w:rPr>
            <w:rStyle w:val="Hyperlink"/>
            <w:rFonts w:ascii="Arial" w:hAnsi="Arial" w:cs="Arial"/>
            <w:b/>
            <w:bCs/>
            <w:sz w:val="20"/>
            <w:u w:val="none"/>
          </w:rPr>
          <w:t xml:space="preserve"> in </w:t>
        </w:r>
        <w:r w:rsidRPr="00FD5828">
          <w:rPr>
            <w:rStyle w:val="Hyperlink"/>
            <w:rFonts w:ascii="Arial" w:hAnsi="Arial" w:cs="Arial"/>
            <w:b/>
            <w:bCs/>
            <w:sz w:val="20"/>
            <w:u w:val="none"/>
          </w:rPr>
          <w:t>cases in the Children’s Court</w:t>
        </w:r>
      </w:hyperlink>
    </w:p>
    <w:p w14:paraId="0C578070" w14:textId="0E3EC4D7" w:rsidR="00E8461D" w:rsidRPr="00FD5828" w:rsidRDefault="00E8461D" w:rsidP="00E8461D">
      <w:pPr>
        <w:pBdr>
          <w:top w:val="single" w:sz="4" w:space="1" w:color="auto"/>
          <w:left w:val="single" w:sz="4" w:space="4" w:color="auto"/>
          <w:bottom w:val="single" w:sz="4" w:space="1" w:color="auto"/>
          <w:right w:val="single" w:sz="4" w:space="4" w:color="auto"/>
        </w:pBdr>
        <w:tabs>
          <w:tab w:val="left" w:pos="567"/>
        </w:tabs>
        <w:ind w:left="567" w:hanging="567"/>
        <w:rPr>
          <w:rFonts w:ascii="Arial" w:hAnsi="Arial" w:cs="Arial"/>
          <w:b/>
          <w:bCs/>
          <w:color w:val="000000"/>
          <w:sz w:val="20"/>
        </w:rPr>
      </w:pPr>
      <w:hyperlink w:anchor="_3.5.9.1__Production"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3.5.9.1  </w:t>
        </w:r>
        <w:r w:rsidR="008A5C71" w:rsidRPr="00FD5828">
          <w:rPr>
            <w:rStyle w:val="Hyperlink"/>
            <w:rFonts w:ascii="Arial" w:hAnsi="Arial" w:cs="Arial"/>
            <w:b/>
            <w:bCs/>
            <w:sz w:val="20"/>
            <w:u w:val="none"/>
          </w:rPr>
          <w:t>Production</w:t>
        </w:r>
        <w:proofErr w:type="gramEnd"/>
        <w:r w:rsidR="008A5C71" w:rsidRPr="00FD5828">
          <w:rPr>
            <w:rStyle w:val="Hyperlink"/>
            <w:rFonts w:ascii="Arial" w:hAnsi="Arial" w:cs="Arial"/>
            <w:b/>
            <w:bCs/>
            <w:sz w:val="20"/>
            <w:u w:val="none"/>
          </w:rPr>
          <w:t xml:space="preserve"> under sub-poena</w:t>
        </w:r>
      </w:hyperlink>
    </w:p>
    <w:p w14:paraId="13E6F100" w14:textId="77777777" w:rsidR="00E8461D" w:rsidRPr="00FD5828" w:rsidRDefault="00E8461D" w:rsidP="00E8461D">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9.2__Pre-hearing"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3.5.9.2  </w:t>
        </w:r>
        <w:r w:rsidR="008A5C71" w:rsidRPr="00FD5828">
          <w:rPr>
            <w:rStyle w:val="Hyperlink"/>
            <w:rFonts w:ascii="Arial" w:hAnsi="Arial" w:cs="Arial"/>
            <w:b/>
            <w:bCs/>
            <w:sz w:val="20"/>
            <w:u w:val="none"/>
          </w:rPr>
          <w:t>Pre</w:t>
        </w:r>
        <w:proofErr w:type="gramEnd"/>
        <w:r w:rsidR="008A5C71" w:rsidRPr="00FD5828">
          <w:rPr>
            <w:rStyle w:val="Hyperlink"/>
            <w:rFonts w:ascii="Arial" w:hAnsi="Arial" w:cs="Arial"/>
            <w:b/>
            <w:bCs/>
            <w:sz w:val="20"/>
            <w:u w:val="none"/>
          </w:rPr>
          <w:t>-hearing disclosure in the Criminal Division</w:t>
        </w:r>
      </w:hyperlink>
    </w:p>
    <w:p w14:paraId="1DB85C34" w14:textId="77777777" w:rsidR="00E8461D" w:rsidRPr="00FD5828" w:rsidRDefault="00E8461D" w:rsidP="00E8461D">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9.3__Production"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3.5.9.3  </w:t>
        </w:r>
        <w:r w:rsidR="00BD4A44" w:rsidRPr="00FD5828">
          <w:rPr>
            <w:rStyle w:val="Hyperlink"/>
            <w:rFonts w:ascii="Arial" w:hAnsi="Arial" w:cs="Arial"/>
            <w:b/>
            <w:bCs/>
            <w:sz w:val="20"/>
            <w:u w:val="none"/>
          </w:rPr>
          <w:t>Production</w:t>
        </w:r>
        <w:proofErr w:type="gramEnd"/>
        <w:r w:rsidR="00BD4A44" w:rsidRPr="00FD5828">
          <w:rPr>
            <w:rStyle w:val="Hyperlink"/>
            <w:rFonts w:ascii="Arial" w:hAnsi="Arial" w:cs="Arial"/>
            <w:b/>
            <w:bCs/>
            <w:sz w:val="20"/>
            <w:u w:val="none"/>
          </w:rPr>
          <w:t xml:space="preserve"> of “notes” in “apprehension cases” in the Family Division</w:t>
        </w:r>
      </w:hyperlink>
    </w:p>
    <w:p w14:paraId="44B5EA24" w14:textId="512454CB" w:rsidR="00595D4C" w:rsidRPr="00FD5828" w:rsidRDefault="00595D4C" w:rsidP="00494E68">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0_Children_as" w:history="1">
        <w:r w:rsidRPr="00FD5828">
          <w:rPr>
            <w:rStyle w:val="Hyperlink"/>
            <w:rFonts w:ascii="Arial" w:hAnsi="Arial" w:cs="Arial"/>
            <w:b/>
            <w:bCs/>
            <w:sz w:val="20"/>
            <w:u w:val="none"/>
          </w:rPr>
          <w:tab/>
          <w:t>3.5.</w:t>
        </w:r>
        <w:r w:rsidR="00F25FA2" w:rsidRPr="00FD5828">
          <w:rPr>
            <w:rStyle w:val="Hyperlink"/>
            <w:rFonts w:ascii="Arial" w:hAnsi="Arial" w:cs="Arial"/>
            <w:b/>
            <w:bCs/>
            <w:sz w:val="20"/>
            <w:u w:val="none"/>
          </w:rPr>
          <w:t>1</w:t>
        </w:r>
        <w:r w:rsidR="00D5505F" w:rsidRPr="00FD5828">
          <w:rPr>
            <w:rStyle w:val="Hyperlink"/>
            <w:rFonts w:ascii="Arial" w:hAnsi="Arial" w:cs="Arial"/>
            <w:b/>
            <w:bCs/>
            <w:sz w:val="20"/>
            <w:u w:val="none"/>
          </w:rPr>
          <w:t>0</w:t>
        </w:r>
        <w:r w:rsidRPr="00FD5828">
          <w:rPr>
            <w:rStyle w:val="Hyperlink"/>
            <w:rFonts w:ascii="Arial" w:hAnsi="Arial" w:cs="Arial"/>
            <w:b/>
            <w:bCs/>
            <w:sz w:val="20"/>
            <w:u w:val="none"/>
          </w:rPr>
          <w:tab/>
        </w:r>
        <w:r w:rsidR="007961CE">
          <w:rPr>
            <w:rStyle w:val="Hyperlink"/>
            <w:rFonts w:ascii="Arial" w:hAnsi="Arial" w:cs="Arial"/>
            <w:b/>
            <w:bCs/>
            <w:sz w:val="20"/>
            <w:u w:val="none"/>
          </w:rPr>
          <w:t>W</w:t>
        </w:r>
        <w:r w:rsidR="00B87E69">
          <w:rPr>
            <w:rStyle w:val="Hyperlink"/>
            <w:rFonts w:ascii="Arial" w:hAnsi="Arial" w:cs="Arial"/>
            <w:b/>
            <w:bCs/>
            <w:sz w:val="20"/>
            <w:u w:val="none"/>
          </w:rPr>
          <w:t xml:space="preserve">itnesses in court </w:t>
        </w:r>
        <w:r w:rsidRPr="00FD5828">
          <w:rPr>
            <w:rStyle w:val="Hyperlink"/>
            <w:rFonts w:ascii="Arial" w:hAnsi="Arial" w:cs="Arial"/>
            <w:b/>
            <w:bCs/>
            <w:sz w:val="20"/>
            <w:u w:val="none"/>
          </w:rPr>
          <w:t>cases</w:t>
        </w:r>
      </w:hyperlink>
    </w:p>
    <w:p w14:paraId="1D269B26" w14:textId="6048BC4B" w:rsidR="0033244E" w:rsidRPr="00D76666" w:rsidRDefault="0033244E" w:rsidP="0033244E">
      <w:pPr>
        <w:pBdr>
          <w:top w:val="single" w:sz="4" w:space="1" w:color="auto"/>
          <w:left w:val="single" w:sz="4" w:space="4" w:color="auto"/>
          <w:bottom w:val="single" w:sz="4" w:space="1" w:color="auto"/>
          <w:right w:val="single" w:sz="4" w:space="4" w:color="auto"/>
        </w:pBdr>
        <w:tabs>
          <w:tab w:val="left" w:pos="567"/>
        </w:tabs>
        <w:ind w:firstLine="737"/>
        <w:rPr>
          <w:rStyle w:val="Hyperlink"/>
          <w:rFonts w:ascii="Arial" w:hAnsi="Arial" w:cs="Arial"/>
          <w:b/>
          <w:bCs/>
          <w:sz w:val="20"/>
          <w:u w:val="none"/>
        </w:rPr>
      </w:pPr>
      <w:hyperlink w:anchor="_3.5.10.1__Ensuring" w:history="1">
        <w:r w:rsidRPr="00D76666">
          <w:rPr>
            <w:rStyle w:val="Hyperlink"/>
            <w:rFonts w:ascii="Arial" w:hAnsi="Arial" w:cs="Arial"/>
            <w:b/>
            <w:bCs/>
            <w:sz w:val="20"/>
            <w:u w:val="none"/>
          </w:rPr>
          <w:t xml:space="preserve">3.5.10.1 Ensuring attendance of </w:t>
        </w:r>
        <w:r w:rsidR="00D76666" w:rsidRPr="00D76666">
          <w:rPr>
            <w:rStyle w:val="Hyperlink"/>
            <w:rFonts w:ascii="Arial" w:hAnsi="Arial" w:cs="Arial"/>
            <w:b/>
            <w:bCs/>
            <w:sz w:val="20"/>
            <w:u w:val="none"/>
          </w:rPr>
          <w:t xml:space="preserve">a </w:t>
        </w:r>
        <w:r w:rsidRPr="00D76666">
          <w:rPr>
            <w:rStyle w:val="Hyperlink"/>
            <w:rFonts w:ascii="Arial" w:hAnsi="Arial" w:cs="Arial"/>
            <w:b/>
            <w:bCs/>
            <w:sz w:val="20"/>
            <w:u w:val="none"/>
          </w:rPr>
          <w:t xml:space="preserve">witness and/or production of documents/things at </w:t>
        </w:r>
        <w:r w:rsidR="00D76666" w:rsidRPr="00D76666">
          <w:rPr>
            <w:rStyle w:val="Hyperlink"/>
            <w:rFonts w:ascii="Arial" w:hAnsi="Arial" w:cs="Arial"/>
            <w:b/>
            <w:bCs/>
            <w:sz w:val="20"/>
            <w:u w:val="none"/>
          </w:rPr>
          <w:t>C</w:t>
        </w:r>
        <w:r w:rsidRPr="00D76666">
          <w:rPr>
            <w:rStyle w:val="Hyperlink"/>
            <w:rFonts w:ascii="Arial" w:hAnsi="Arial" w:cs="Arial"/>
            <w:b/>
            <w:bCs/>
            <w:sz w:val="20"/>
            <w:u w:val="none"/>
          </w:rPr>
          <w:t>t</w:t>
        </w:r>
      </w:hyperlink>
    </w:p>
    <w:p w14:paraId="6D1AB793" w14:textId="1FBAA476"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begin"/>
      </w:r>
      <w:r w:rsidR="002125C5">
        <w:rPr>
          <w:rFonts w:ascii="Arial" w:hAnsi="Arial" w:cs="Arial"/>
          <w:b/>
          <w:sz w:val="20"/>
          <w:szCs w:val="20"/>
        </w:rPr>
        <w:instrText>HYPERLINK  \l "_A_WITNESS_SUMMONSES"</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A</w:t>
      </w:r>
      <w:r w:rsidRPr="0033244E">
        <w:rPr>
          <w:rStyle w:val="Hyperlink"/>
          <w:rFonts w:ascii="Arial" w:hAnsi="Arial" w:cs="Arial"/>
          <w:b/>
          <w:sz w:val="20"/>
          <w:szCs w:val="20"/>
          <w:u w:val="none"/>
        </w:rPr>
        <w:t xml:space="preserve">  Witness</w:t>
      </w:r>
      <w:proofErr w:type="gramEnd"/>
      <w:r w:rsidRPr="0033244E">
        <w:rPr>
          <w:rStyle w:val="Hyperlink"/>
          <w:rFonts w:ascii="Arial" w:hAnsi="Arial" w:cs="Arial"/>
          <w:b/>
          <w:sz w:val="20"/>
          <w:szCs w:val="20"/>
          <w:u w:val="none"/>
        </w:rPr>
        <w:t xml:space="preserve"> summonses in the Family Division</w:t>
      </w:r>
    </w:p>
    <w:p w14:paraId="35017A24" w14:textId="60ECF4C8"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end"/>
      </w:r>
      <w:r w:rsidRPr="0033244E">
        <w:rPr>
          <w:rFonts w:ascii="Arial" w:hAnsi="Arial" w:cs="Arial"/>
          <w:b/>
          <w:sz w:val="20"/>
          <w:szCs w:val="20"/>
        </w:rPr>
        <w:fldChar w:fldCharType="begin"/>
      </w:r>
      <w:r w:rsidR="002125C5">
        <w:rPr>
          <w:rFonts w:ascii="Arial" w:hAnsi="Arial" w:cs="Arial"/>
          <w:b/>
          <w:sz w:val="20"/>
          <w:szCs w:val="20"/>
        </w:rPr>
        <w:instrText>HYPERLINK  \l "_B_WITNESS_SUMMONSES"</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B</w:t>
      </w:r>
      <w:r w:rsidRPr="0033244E">
        <w:rPr>
          <w:rStyle w:val="Hyperlink"/>
          <w:rFonts w:ascii="Arial" w:hAnsi="Arial" w:cs="Arial"/>
          <w:b/>
          <w:sz w:val="20"/>
          <w:szCs w:val="20"/>
          <w:u w:val="none"/>
        </w:rPr>
        <w:t xml:space="preserve">  Witness</w:t>
      </w:r>
      <w:proofErr w:type="gramEnd"/>
      <w:r w:rsidRPr="0033244E">
        <w:rPr>
          <w:rStyle w:val="Hyperlink"/>
          <w:rFonts w:ascii="Arial" w:hAnsi="Arial" w:cs="Arial"/>
          <w:b/>
          <w:sz w:val="20"/>
          <w:szCs w:val="20"/>
          <w:u w:val="none"/>
        </w:rPr>
        <w:t xml:space="preserve"> summonses in the Criminal Division</w:t>
      </w:r>
    </w:p>
    <w:p w14:paraId="14B774BF" w14:textId="63B35883"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end"/>
      </w:r>
      <w:r w:rsidRPr="0033244E">
        <w:rPr>
          <w:rFonts w:ascii="Arial" w:hAnsi="Arial" w:cs="Arial"/>
          <w:b/>
          <w:sz w:val="20"/>
          <w:szCs w:val="20"/>
        </w:rPr>
        <w:fldChar w:fldCharType="begin"/>
      </w:r>
      <w:r w:rsidR="002125C5">
        <w:rPr>
          <w:rFonts w:ascii="Arial" w:hAnsi="Arial" w:cs="Arial"/>
          <w:b/>
          <w:sz w:val="20"/>
          <w:szCs w:val="20"/>
        </w:rPr>
        <w:instrText>HYPERLINK  \l "_C_NOTICES_TO"</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C</w:t>
      </w:r>
      <w:r w:rsidRPr="0033244E">
        <w:rPr>
          <w:rStyle w:val="Hyperlink"/>
          <w:rFonts w:ascii="Arial" w:hAnsi="Arial" w:cs="Arial"/>
          <w:b/>
          <w:sz w:val="20"/>
          <w:szCs w:val="20"/>
          <w:u w:val="none"/>
        </w:rPr>
        <w:t xml:space="preserve">  Notice</w:t>
      </w:r>
      <w:proofErr w:type="gramEnd"/>
      <w:r w:rsidRPr="0033244E">
        <w:rPr>
          <w:rStyle w:val="Hyperlink"/>
          <w:rFonts w:ascii="Arial" w:hAnsi="Arial" w:cs="Arial"/>
          <w:b/>
          <w:sz w:val="20"/>
          <w:szCs w:val="20"/>
          <w:u w:val="none"/>
        </w:rPr>
        <w:t xml:space="preserve"> to author of report</w:t>
      </w:r>
    </w:p>
    <w:p w14:paraId="5D0689AB" w14:textId="77777777" w:rsidR="0033244E" w:rsidRPr="0033244E" w:rsidRDefault="0033244E" w:rsidP="00446892">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bCs/>
          <w:sz w:val="20"/>
          <w:u w:val="none"/>
        </w:rPr>
      </w:pPr>
      <w:r w:rsidRPr="0033244E">
        <w:rPr>
          <w:rFonts w:ascii="Arial" w:hAnsi="Arial" w:cs="Arial"/>
          <w:b/>
          <w:sz w:val="20"/>
          <w:szCs w:val="20"/>
        </w:rPr>
        <w:fldChar w:fldCharType="end"/>
      </w:r>
      <w:hyperlink w:anchor="_3.5.10.2__Compellability" w:history="1">
        <w:proofErr w:type="gramStart"/>
        <w:r w:rsidRPr="00F81951">
          <w:rPr>
            <w:rStyle w:val="Hyperlink"/>
            <w:rFonts w:ascii="Arial" w:hAnsi="Arial" w:cs="Arial"/>
            <w:b/>
            <w:bCs/>
            <w:sz w:val="20"/>
            <w:u w:val="none"/>
          </w:rPr>
          <w:t>3.5.10.2  Competence</w:t>
        </w:r>
        <w:proofErr w:type="gramEnd"/>
        <w:r w:rsidRPr="0033244E">
          <w:rPr>
            <w:rStyle w:val="Hyperlink"/>
            <w:rFonts w:ascii="Arial" w:hAnsi="Arial" w:cs="Arial"/>
            <w:b/>
            <w:bCs/>
            <w:sz w:val="20"/>
            <w:u w:val="none"/>
          </w:rPr>
          <w:t xml:space="preserve"> and Compellability</w:t>
        </w:r>
      </w:hyperlink>
    </w:p>
    <w:p w14:paraId="5EDC4D7F" w14:textId="4567CB3B" w:rsidR="0033244E" w:rsidRPr="0033244E" w:rsidRDefault="0033244E" w:rsidP="00466896">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begin"/>
      </w:r>
      <w:r w:rsidR="00F81951">
        <w:rPr>
          <w:rFonts w:ascii="Arial" w:hAnsi="Arial" w:cs="Arial"/>
          <w:b/>
          <w:sz w:val="20"/>
          <w:szCs w:val="20"/>
        </w:rPr>
        <w:instrText>HYPERLINK  \l "_A_COMPETENCE"</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A</w:t>
      </w:r>
      <w:r w:rsidRPr="0033244E">
        <w:rPr>
          <w:rStyle w:val="Hyperlink"/>
          <w:rFonts w:ascii="Arial" w:hAnsi="Arial" w:cs="Arial"/>
          <w:b/>
          <w:sz w:val="20"/>
          <w:szCs w:val="20"/>
          <w:u w:val="none"/>
        </w:rPr>
        <w:t xml:space="preserve">  Competence</w:t>
      </w:r>
      <w:proofErr w:type="gramEnd"/>
    </w:p>
    <w:p w14:paraId="3454CE6F" w14:textId="4ACE04FA"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end"/>
      </w:r>
      <w:r w:rsidRPr="0033244E">
        <w:rPr>
          <w:rFonts w:ascii="Arial" w:hAnsi="Arial" w:cs="Arial"/>
          <w:b/>
          <w:sz w:val="20"/>
          <w:szCs w:val="20"/>
        </w:rPr>
        <w:fldChar w:fldCharType="begin"/>
      </w:r>
      <w:r w:rsidR="00F81951">
        <w:rPr>
          <w:rFonts w:ascii="Arial" w:hAnsi="Arial" w:cs="Arial"/>
          <w:b/>
          <w:sz w:val="20"/>
          <w:szCs w:val="20"/>
        </w:rPr>
        <w:instrText>HYPERLINK  \l "_B_COMPELLABILITY"</w:instrText>
      </w:r>
      <w:r w:rsidRPr="0033244E">
        <w:rPr>
          <w:rFonts w:ascii="Arial" w:hAnsi="Arial" w:cs="Arial"/>
          <w:b/>
          <w:sz w:val="20"/>
          <w:szCs w:val="20"/>
        </w:rPr>
      </w:r>
      <w:r w:rsidRPr="0033244E">
        <w:rPr>
          <w:rFonts w:ascii="Arial" w:hAnsi="Arial" w:cs="Arial"/>
          <w:b/>
          <w:sz w:val="20"/>
          <w:szCs w:val="20"/>
        </w:rPr>
        <w:fldChar w:fldCharType="separate"/>
      </w:r>
      <w:proofErr w:type="gramStart"/>
      <w:r>
        <w:rPr>
          <w:rFonts w:ascii="Arial" w:hAnsi="Arial" w:cs="Arial"/>
          <w:b/>
          <w:color w:val="FFFFFF" w:themeColor="background1"/>
          <w:sz w:val="20"/>
          <w:szCs w:val="22"/>
          <w:shd w:val="clear" w:color="auto" w:fill="000000"/>
        </w:rPr>
        <w:t>B</w:t>
      </w:r>
      <w:r w:rsidRPr="0033244E">
        <w:rPr>
          <w:rStyle w:val="Hyperlink"/>
          <w:rFonts w:ascii="Arial" w:hAnsi="Arial" w:cs="Arial"/>
          <w:b/>
          <w:sz w:val="20"/>
          <w:szCs w:val="20"/>
          <w:u w:val="none"/>
        </w:rPr>
        <w:t xml:space="preserve">  Compe</w:t>
      </w:r>
      <w:r>
        <w:rPr>
          <w:rStyle w:val="Hyperlink"/>
          <w:rFonts w:ascii="Arial" w:hAnsi="Arial" w:cs="Arial"/>
          <w:b/>
          <w:sz w:val="20"/>
          <w:szCs w:val="20"/>
          <w:u w:val="none"/>
        </w:rPr>
        <w:t>llability</w:t>
      </w:r>
      <w:proofErr w:type="gramEnd"/>
    </w:p>
    <w:p w14:paraId="1326D044" w14:textId="36348763" w:rsidR="00B87E69" w:rsidRPr="00A80955" w:rsidRDefault="0033244E" w:rsidP="00010B64">
      <w:pPr>
        <w:pBdr>
          <w:top w:val="single" w:sz="4" w:space="1" w:color="auto"/>
          <w:left w:val="single" w:sz="4" w:space="4" w:color="auto"/>
          <w:bottom w:val="single" w:sz="4" w:space="1" w:color="auto"/>
          <w:right w:val="single" w:sz="4" w:space="4" w:color="auto"/>
        </w:pBdr>
        <w:tabs>
          <w:tab w:val="left" w:pos="567"/>
        </w:tabs>
        <w:ind w:left="567" w:hanging="567"/>
        <w:rPr>
          <w:rStyle w:val="Hyperlink"/>
          <w:rFonts w:ascii="Arial" w:hAnsi="Arial" w:cs="Arial"/>
          <w:b/>
          <w:bCs/>
          <w:sz w:val="20"/>
          <w:u w:val="none"/>
        </w:rPr>
      </w:pPr>
      <w:r w:rsidRPr="0033244E">
        <w:rPr>
          <w:rFonts w:ascii="Arial" w:hAnsi="Arial" w:cs="Arial"/>
          <w:b/>
          <w:sz w:val="20"/>
          <w:szCs w:val="20"/>
        </w:rPr>
        <w:fldChar w:fldCharType="end"/>
      </w:r>
      <w:r w:rsidR="00A80955" w:rsidRPr="00A80955">
        <w:rPr>
          <w:rFonts w:ascii="Arial" w:hAnsi="Arial" w:cs="Arial"/>
          <w:b/>
          <w:bCs/>
          <w:sz w:val="20"/>
        </w:rPr>
        <w:fldChar w:fldCharType="begin"/>
      </w:r>
      <w:r w:rsidR="00A80955" w:rsidRPr="00A80955">
        <w:rPr>
          <w:rFonts w:ascii="Arial" w:hAnsi="Arial" w:cs="Arial"/>
          <w:b/>
          <w:bCs/>
          <w:sz w:val="20"/>
        </w:rPr>
        <w:instrText xml:space="preserve"> HYPERLINK  \l "_3.5.10.3__Children" </w:instrText>
      </w:r>
      <w:r w:rsidR="00A80955" w:rsidRPr="00A80955">
        <w:rPr>
          <w:rFonts w:ascii="Arial" w:hAnsi="Arial" w:cs="Arial"/>
          <w:b/>
          <w:bCs/>
          <w:sz w:val="20"/>
        </w:rPr>
      </w:r>
      <w:r w:rsidR="00A80955" w:rsidRPr="00A80955">
        <w:rPr>
          <w:rFonts w:ascii="Arial" w:hAnsi="Arial" w:cs="Arial"/>
          <w:b/>
          <w:bCs/>
          <w:sz w:val="20"/>
        </w:rPr>
        <w:fldChar w:fldCharType="separate"/>
      </w:r>
      <w:r w:rsidR="00B87E69" w:rsidRPr="00A80955">
        <w:rPr>
          <w:rStyle w:val="Hyperlink"/>
          <w:rFonts w:ascii="Arial" w:hAnsi="Arial" w:cs="Arial"/>
          <w:b/>
          <w:bCs/>
          <w:sz w:val="20"/>
          <w:u w:val="none"/>
        </w:rPr>
        <w:tab/>
      </w:r>
      <w:r w:rsidR="00B87E69" w:rsidRPr="00A80955">
        <w:rPr>
          <w:rStyle w:val="Hyperlink"/>
          <w:rFonts w:ascii="Arial" w:hAnsi="Arial" w:cs="Arial"/>
          <w:b/>
          <w:bCs/>
          <w:sz w:val="20"/>
          <w:u w:val="none"/>
        </w:rPr>
        <w:tab/>
        <w:t>3.5.10.3 Children as witnesses in court cases</w:t>
      </w:r>
    </w:p>
    <w:p w14:paraId="0017E2F2" w14:textId="183AB99C" w:rsidR="00D13FB8" w:rsidRPr="00D13FB8" w:rsidRDefault="00A80955" w:rsidP="00FC18CA">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A80955">
        <w:rPr>
          <w:rFonts w:ascii="Arial" w:hAnsi="Arial" w:cs="Arial"/>
          <w:b/>
          <w:bCs/>
          <w:sz w:val="20"/>
        </w:rPr>
        <w:fldChar w:fldCharType="end"/>
      </w:r>
      <w:r w:rsidR="00D13FB8">
        <w:rPr>
          <w:rFonts w:ascii="Arial" w:hAnsi="Arial" w:cs="Arial"/>
          <w:b/>
          <w:bCs/>
          <w:sz w:val="20"/>
        </w:rPr>
        <w:fldChar w:fldCharType="begin"/>
      </w:r>
      <w:r w:rsidR="00D13FB8">
        <w:rPr>
          <w:rFonts w:ascii="Arial" w:hAnsi="Arial" w:cs="Arial"/>
          <w:b/>
          <w:bCs/>
          <w:sz w:val="20"/>
        </w:rPr>
        <w:instrText>HYPERLINK  \l "_3.5.10.3__Claim"</w:instrText>
      </w:r>
      <w:r w:rsidR="00D13FB8">
        <w:rPr>
          <w:rFonts w:ascii="Arial" w:hAnsi="Arial" w:cs="Arial"/>
          <w:b/>
          <w:bCs/>
          <w:sz w:val="20"/>
        </w:rPr>
      </w:r>
      <w:r w:rsidR="00D13FB8">
        <w:rPr>
          <w:rFonts w:ascii="Arial" w:hAnsi="Arial" w:cs="Arial"/>
          <w:b/>
          <w:bCs/>
          <w:sz w:val="20"/>
        </w:rPr>
        <w:fldChar w:fldCharType="separate"/>
      </w:r>
      <w:r w:rsidR="00D13FB8" w:rsidRPr="00D13FB8">
        <w:rPr>
          <w:rStyle w:val="Hyperlink"/>
          <w:rFonts w:ascii="Arial" w:hAnsi="Arial" w:cs="Arial"/>
          <w:b/>
          <w:bCs/>
          <w:sz w:val="20"/>
          <w:u w:val="none"/>
        </w:rPr>
        <w:tab/>
      </w:r>
      <w:r w:rsidR="00D13FB8" w:rsidRPr="00D13FB8">
        <w:rPr>
          <w:rStyle w:val="Hyperlink"/>
          <w:rFonts w:ascii="Arial" w:hAnsi="Arial" w:cs="Arial"/>
          <w:b/>
          <w:bCs/>
          <w:sz w:val="20"/>
          <w:u w:val="none"/>
        </w:rPr>
        <w:tab/>
        <w:t>3.5.10.</w:t>
      </w:r>
      <w:r w:rsidR="00B87E69">
        <w:rPr>
          <w:rStyle w:val="Hyperlink"/>
          <w:rFonts w:ascii="Arial" w:hAnsi="Arial" w:cs="Arial"/>
          <w:b/>
          <w:bCs/>
          <w:sz w:val="20"/>
          <w:u w:val="none"/>
        </w:rPr>
        <w:t>4</w:t>
      </w:r>
      <w:r w:rsidR="00D13FB8" w:rsidRPr="00D13FB8">
        <w:rPr>
          <w:rStyle w:val="Hyperlink"/>
          <w:rFonts w:ascii="Arial" w:hAnsi="Arial" w:cs="Arial"/>
          <w:b/>
          <w:bCs/>
          <w:sz w:val="20"/>
          <w:u w:val="none"/>
        </w:rPr>
        <w:t xml:space="preserve"> C</w:t>
      </w:r>
      <w:r w:rsidR="00D13FB8">
        <w:rPr>
          <w:rStyle w:val="Hyperlink"/>
          <w:rFonts w:ascii="Arial" w:hAnsi="Arial" w:cs="Arial"/>
          <w:b/>
          <w:bCs/>
          <w:sz w:val="20"/>
          <w:u w:val="none"/>
        </w:rPr>
        <w:t>laim of privilege by a witness</w:t>
      </w:r>
    </w:p>
    <w:p w14:paraId="56694ED4" w14:textId="6ED87F79" w:rsidR="009A6B9B" w:rsidRPr="00FC18CA" w:rsidRDefault="00D13FB8" w:rsidP="00FC18CA">
      <w:pPr>
        <w:pBdr>
          <w:top w:val="single" w:sz="4" w:space="1" w:color="auto"/>
          <w:left w:val="single" w:sz="4" w:space="4" w:color="auto"/>
          <w:bottom w:val="single" w:sz="4" w:space="1" w:color="auto"/>
          <w:right w:val="single" w:sz="4" w:space="4" w:color="auto"/>
        </w:pBdr>
        <w:tabs>
          <w:tab w:val="left" w:pos="567"/>
        </w:tabs>
      </w:pPr>
      <w:r>
        <w:rPr>
          <w:rFonts w:ascii="Arial" w:hAnsi="Arial" w:cs="Arial"/>
          <w:b/>
          <w:bCs/>
          <w:sz w:val="20"/>
        </w:rPr>
        <w:fldChar w:fldCharType="end"/>
      </w:r>
      <w:hyperlink w:anchor="_3.5.11_Oaths_and" w:history="1">
        <w:r w:rsidR="009A6B9B" w:rsidRPr="00FD5828">
          <w:rPr>
            <w:rStyle w:val="Hyperlink"/>
            <w:rFonts w:ascii="Arial" w:hAnsi="Arial" w:cs="Arial"/>
            <w:b/>
            <w:bCs/>
            <w:sz w:val="20"/>
            <w:u w:val="none"/>
          </w:rPr>
          <w:tab/>
          <w:t>3.5.11</w:t>
        </w:r>
        <w:r w:rsidR="009A6B9B" w:rsidRPr="00FD5828">
          <w:rPr>
            <w:rStyle w:val="Hyperlink"/>
            <w:rFonts w:ascii="Arial" w:hAnsi="Arial" w:cs="Arial"/>
            <w:b/>
            <w:bCs/>
            <w:sz w:val="20"/>
            <w:u w:val="none"/>
          </w:rPr>
          <w:tab/>
          <w:t>Oaths and affirmations</w:t>
        </w:r>
      </w:hyperlink>
    </w:p>
    <w:p w14:paraId="2101F169" w14:textId="77777777" w:rsidR="00D731F7" w:rsidRPr="00FD5828" w:rsidRDefault="00D731F7"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_Appearance_or" w:history="1">
        <w:r w:rsidRPr="00FD5828">
          <w:rPr>
            <w:rStyle w:val="Hyperlink"/>
            <w:rFonts w:ascii="Arial" w:hAnsi="Arial" w:cs="Arial"/>
            <w:b/>
            <w:bCs/>
            <w:sz w:val="20"/>
            <w:u w:val="none"/>
          </w:rPr>
          <w:tab/>
          <w:t>3.5.1</w:t>
        </w:r>
        <w:r w:rsidR="009A6B9B" w:rsidRPr="00FD5828">
          <w:rPr>
            <w:rStyle w:val="Hyperlink"/>
            <w:rFonts w:ascii="Arial" w:hAnsi="Arial" w:cs="Arial"/>
            <w:b/>
            <w:bCs/>
            <w:sz w:val="20"/>
            <w:u w:val="none"/>
          </w:rPr>
          <w:t>2</w:t>
        </w:r>
        <w:r w:rsidRPr="00FD5828">
          <w:rPr>
            <w:rStyle w:val="Hyperlink"/>
            <w:rFonts w:ascii="Arial" w:hAnsi="Arial" w:cs="Arial"/>
            <w:b/>
            <w:bCs/>
            <w:sz w:val="20"/>
            <w:u w:val="none"/>
          </w:rPr>
          <w:tab/>
        </w:r>
        <w:r w:rsidR="00EB646E" w:rsidRPr="00FD5828">
          <w:rPr>
            <w:rStyle w:val="Hyperlink"/>
            <w:rFonts w:ascii="Arial" w:hAnsi="Arial" w:cs="Arial"/>
            <w:b/>
            <w:bCs/>
            <w:sz w:val="20"/>
            <w:u w:val="none"/>
          </w:rPr>
          <w:t xml:space="preserve">Appearance or giving evidence </w:t>
        </w:r>
        <w:r w:rsidR="00C144CF" w:rsidRPr="00FD5828">
          <w:rPr>
            <w:rStyle w:val="Hyperlink"/>
            <w:rFonts w:ascii="Arial" w:hAnsi="Arial" w:cs="Arial"/>
            <w:b/>
            <w:bCs/>
            <w:sz w:val="20"/>
            <w:u w:val="none"/>
          </w:rPr>
          <w:t>in other than the traditional manner</w:t>
        </w:r>
      </w:hyperlink>
    </w:p>
    <w:p w14:paraId="62970D2D" w14:textId="77777777" w:rsidR="00556BDC" w:rsidRPr="00FD5828" w:rsidRDefault="00556BD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1__Appearance"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3.5.1</w:t>
        </w:r>
        <w:r w:rsidR="009A6B9B" w:rsidRPr="00FD5828">
          <w:rPr>
            <w:rStyle w:val="Hyperlink"/>
            <w:rFonts w:ascii="Arial" w:hAnsi="Arial" w:cs="Arial"/>
            <w:b/>
            <w:bCs/>
            <w:sz w:val="20"/>
            <w:u w:val="none"/>
          </w:rPr>
          <w:t>2</w:t>
        </w:r>
        <w:r w:rsidRPr="00FD5828">
          <w:rPr>
            <w:rStyle w:val="Hyperlink"/>
            <w:rFonts w:ascii="Arial" w:hAnsi="Arial" w:cs="Arial"/>
            <w:b/>
            <w:bCs/>
            <w:sz w:val="20"/>
            <w:u w:val="none"/>
          </w:rPr>
          <w:t>.1</w:t>
        </w:r>
        <w:r w:rsidR="00192DEC" w:rsidRPr="00FD5828">
          <w:rPr>
            <w:rStyle w:val="Hyperlink"/>
            <w:rFonts w:ascii="Arial" w:hAnsi="Arial" w:cs="Arial"/>
            <w:b/>
            <w:bCs/>
            <w:sz w:val="20"/>
            <w:u w:val="none"/>
          </w:rPr>
          <w:t xml:space="preserve">  </w:t>
        </w:r>
        <w:r w:rsidR="001165F1" w:rsidRPr="00FD5828">
          <w:rPr>
            <w:rStyle w:val="Hyperlink"/>
            <w:rFonts w:ascii="Arial" w:hAnsi="Arial" w:cs="Arial"/>
            <w:b/>
            <w:bCs/>
            <w:sz w:val="20"/>
            <w:u w:val="none"/>
          </w:rPr>
          <w:t>Appearance</w:t>
        </w:r>
        <w:proofErr w:type="gramEnd"/>
        <w:r w:rsidR="001165F1" w:rsidRPr="00FD5828">
          <w:rPr>
            <w:rStyle w:val="Hyperlink"/>
            <w:rFonts w:ascii="Arial" w:hAnsi="Arial" w:cs="Arial"/>
            <w:b/>
            <w:bCs/>
            <w:sz w:val="20"/>
            <w:u w:val="none"/>
          </w:rPr>
          <w:t xml:space="preserve"> etc. by a person other than an accused</w:t>
        </w:r>
      </w:hyperlink>
    </w:p>
    <w:p w14:paraId="57E174DA" w14:textId="77777777" w:rsidR="00556BDC" w:rsidRPr="00803AFF" w:rsidRDefault="00556BD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2__Appearance" w:history="1">
        <w:r w:rsidRPr="00803AFF">
          <w:rPr>
            <w:rStyle w:val="Hyperlink"/>
            <w:rFonts w:ascii="Arial" w:hAnsi="Arial" w:cs="Arial"/>
            <w:b/>
            <w:bCs/>
            <w:sz w:val="20"/>
            <w:u w:val="none"/>
          </w:rPr>
          <w:tab/>
        </w:r>
        <w:r w:rsidRPr="00803AFF">
          <w:rPr>
            <w:rStyle w:val="Hyperlink"/>
            <w:rFonts w:ascii="Arial" w:hAnsi="Arial" w:cs="Arial"/>
            <w:b/>
            <w:bCs/>
            <w:sz w:val="20"/>
            <w:u w:val="none"/>
          </w:rPr>
          <w:tab/>
        </w:r>
        <w:proofErr w:type="gramStart"/>
        <w:r w:rsidRPr="00803AFF">
          <w:rPr>
            <w:rStyle w:val="Hyperlink"/>
            <w:rFonts w:ascii="Arial" w:hAnsi="Arial" w:cs="Arial"/>
            <w:b/>
            <w:bCs/>
            <w:sz w:val="20"/>
            <w:u w:val="none"/>
          </w:rPr>
          <w:t>3.5.1</w:t>
        </w:r>
        <w:r w:rsidR="009A6B9B" w:rsidRPr="00803AFF">
          <w:rPr>
            <w:rStyle w:val="Hyperlink"/>
            <w:rFonts w:ascii="Arial" w:hAnsi="Arial" w:cs="Arial"/>
            <w:b/>
            <w:bCs/>
            <w:sz w:val="20"/>
            <w:u w:val="none"/>
          </w:rPr>
          <w:t>2</w:t>
        </w:r>
        <w:r w:rsidRPr="00803AFF">
          <w:rPr>
            <w:rStyle w:val="Hyperlink"/>
            <w:rFonts w:ascii="Arial" w:hAnsi="Arial" w:cs="Arial"/>
            <w:b/>
            <w:bCs/>
            <w:sz w:val="20"/>
            <w:u w:val="none"/>
          </w:rPr>
          <w:t>.2</w:t>
        </w:r>
        <w:r w:rsidR="00192DEC" w:rsidRPr="00803AFF">
          <w:rPr>
            <w:rStyle w:val="Hyperlink"/>
            <w:rFonts w:ascii="Arial" w:hAnsi="Arial" w:cs="Arial"/>
            <w:b/>
            <w:bCs/>
            <w:sz w:val="20"/>
            <w:u w:val="none"/>
          </w:rPr>
          <w:t xml:space="preserve">  </w:t>
        </w:r>
        <w:r w:rsidR="001165F1" w:rsidRPr="00803AFF">
          <w:rPr>
            <w:rStyle w:val="Hyperlink"/>
            <w:rFonts w:ascii="Arial" w:hAnsi="Arial" w:cs="Arial"/>
            <w:b/>
            <w:bCs/>
            <w:sz w:val="20"/>
            <w:u w:val="none"/>
          </w:rPr>
          <w:t>Appearance</w:t>
        </w:r>
        <w:proofErr w:type="gramEnd"/>
        <w:r w:rsidR="001165F1" w:rsidRPr="00803AFF">
          <w:rPr>
            <w:rStyle w:val="Hyperlink"/>
            <w:rFonts w:ascii="Arial" w:hAnsi="Arial" w:cs="Arial"/>
            <w:b/>
            <w:bCs/>
            <w:sz w:val="20"/>
            <w:u w:val="none"/>
          </w:rPr>
          <w:t xml:space="preserve"> etc. by an accused in a criminal or associated proceeding</w:t>
        </w:r>
      </w:hyperlink>
    </w:p>
    <w:p w14:paraId="7F4CB28C" w14:textId="77777777" w:rsidR="00556BDC" w:rsidRPr="00803AFF" w:rsidRDefault="00556BD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3__Alternative" w:history="1">
        <w:r w:rsidRPr="00803AFF">
          <w:rPr>
            <w:rStyle w:val="Hyperlink"/>
            <w:rFonts w:ascii="Arial" w:hAnsi="Arial" w:cs="Arial"/>
            <w:b/>
            <w:bCs/>
            <w:sz w:val="20"/>
            <w:u w:val="none"/>
          </w:rPr>
          <w:tab/>
        </w:r>
        <w:r w:rsidRPr="00803AFF">
          <w:rPr>
            <w:rStyle w:val="Hyperlink"/>
            <w:rFonts w:ascii="Arial" w:hAnsi="Arial" w:cs="Arial"/>
            <w:b/>
            <w:bCs/>
            <w:sz w:val="20"/>
            <w:u w:val="none"/>
          </w:rPr>
          <w:tab/>
        </w:r>
        <w:proofErr w:type="gramStart"/>
        <w:r w:rsidRPr="00803AFF">
          <w:rPr>
            <w:rStyle w:val="Hyperlink"/>
            <w:rFonts w:ascii="Arial" w:hAnsi="Arial" w:cs="Arial"/>
            <w:b/>
            <w:bCs/>
            <w:sz w:val="20"/>
            <w:u w:val="none"/>
          </w:rPr>
          <w:t>3.5.1</w:t>
        </w:r>
        <w:r w:rsidR="009A6B9B" w:rsidRPr="00803AFF">
          <w:rPr>
            <w:rStyle w:val="Hyperlink"/>
            <w:rFonts w:ascii="Arial" w:hAnsi="Arial" w:cs="Arial"/>
            <w:b/>
            <w:bCs/>
            <w:sz w:val="20"/>
            <w:u w:val="none"/>
          </w:rPr>
          <w:t>2</w:t>
        </w:r>
        <w:r w:rsidRPr="00803AFF">
          <w:rPr>
            <w:rStyle w:val="Hyperlink"/>
            <w:rFonts w:ascii="Arial" w:hAnsi="Arial" w:cs="Arial"/>
            <w:b/>
            <w:bCs/>
            <w:sz w:val="20"/>
            <w:u w:val="none"/>
          </w:rPr>
          <w:t>.3</w:t>
        </w:r>
        <w:r w:rsidR="00192DEC" w:rsidRPr="00803AFF">
          <w:rPr>
            <w:rStyle w:val="Hyperlink"/>
            <w:rFonts w:ascii="Arial" w:hAnsi="Arial" w:cs="Arial"/>
            <w:b/>
            <w:bCs/>
            <w:sz w:val="20"/>
            <w:u w:val="none"/>
          </w:rPr>
          <w:t xml:space="preserve">  </w:t>
        </w:r>
        <w:r w:rsidR="001165F1" w:rsidRPr="00803AFF">
          <w:rPr>
            <w:rStyle w:val="Hyperlink"/>
            <w:rFonts w:ascii="Arial" w:hAnsi="Arial" w:cs="Arial"/>
            <w:b/>
            <w:bCs/>
            <w:sz w:val="20"/>
            <w:u w:val="none"/>
          </w:rPr>
          <w:t>Alternative</w:t>
        </w:r>
        <w:proofErr w:type="gramEnd"/>
        <w:r w:rsidR="001165F1" w:rsidRPr="00803AFF">
          <w:rPr>
            <w:rStyle w:val="Hyperlink"/>
            <w:rFonts w:ascii="Arial" w:hAnsi="Arial" w:cs="Arial"/>
            <w:b/>
            <w:bCs/>
            <w:sz w:val="20"/>
            <w:u w:val="none"/>
          </w:rPr>
          <w:t xml:space="preserve"> arrangements for giving evidence in criminal proceedings</w:t>
        </w:r>
      </w:hyperlink>
    </w:p>
    <w:p w14:paraId="3C6A9F84" w14:textId="77777777" w:rsidR="00B7234C" w:rsidRPr="00FD5828" w:rsidRDefault="00B7234C" w:rsidP="00B7234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3_The_rule" w:history="1">
        <w:r w:rsidRPr="00FD5828">
          <w:rPr>
            <w:rStyle w:val="Hyperlink"/>
            <w:rFonts w:ascii="Arial" w:hAnsi="Arial" w:cs="Arial"/>
            <w:b/>
            <w:bCs/>
            <w:sz w:val="20"/>
            <w:u w:val="none"/>
          </w:rPr>
          <w:tab/>
          <w:t>3.5.13</w:t>
        </w:r>
        <w:r w:rsidRPr="00FD5828">
          <w:rPr>
            <w:rStyle w:val="Hyperlink"/>
            <w:rFonts w:ascii="Arial" w:hAnsi="Arial" w:cs="Arial"/>
            <w:b/>
            <w:bCs/>
            <w:sz w:val="20"/>
            <w:u w:val="none"/>
          </w:rPr>
          <w:tab/>
          <w:t xml:space="preserve">The rule in </w:t>
        </w:r>
        <w:r w:rsidRPr="00004C01">
          <w:rPr>
            <w:rStyle w:val="Hyperlink"/>
            <w:rFonts w:ascii="Arial" w:hAnsi="Arial" w:cs="Arial"/>
            <w:b/>
            <w:bCs/>
            <w:sz w:val="20"/>
            <w:u w:val="none"/>
          </w:rPr>
          <w:t>Browne v Dunn</w:t>
        </w:r>
      </w:hyperlink>
    </w:p>
    <w:p w14:paraId="61767221" w14:textId="0E6BC103" w:rsidR="00B8085D" w:rsidRPr="00FD5828" w:rsidRDefault="00B8085D" w:rsidP="00B8085D">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14_The_rule" w:history="1">
        <w:r w:rsidRPr="00FD5828">
          <w:rPr>
            <w:rStyle w:val="Hyperlink"/>
            <w:rFonts w:ascii="Arial" w:hAnsi="Arial" w:cs="Arial"/>
            <w:b/>
            <w:bCs/>
            <w:sz w:val="20"/>
            <w:u w:val="none"/>
          </w:rPr>
          <w:tab/>
          <w:t>3.5.14</w:t>
        </w:r>
        <w:r w:rsidRPr="00FD5828">
          <w:rPr>
            <w:rStyle w:val="Hyperlink"/>
            <w:rFonts w:ascii="Arial" w:hAnsi="Arial" w:cs="Arial"/>
            <w:b/>
            <w:bCs/>
            <w:sz w:val="20"/>
            <w:u w:val="none"/>
          </w:rPr>
          <w:tab/>
          <w:t xml:space="preserve">The rule in </w:t>
        </w:r>
        <w:r w:rsidRPr="00004C01">
          <w:rPr>
            <w:rStyle w:val="Hyperlink"/>
            <w:rFonts w:ascii="Arial" w:hAnsi="Arial" w:cs="Arial"/>
            <w:b/>
            <w:bCs/>
            <w:sz w:val="20"/>
            <w:u w:val="none"/>
          </w:rPr>
          <w:t>Jones v Dunkel</w:t>
        </w:r>
      </w:hyperlink>
    </w:p>
    <w:p w14:paraId="18053A67" w14:textId="3A6466F4" w:rsidR="003B275F" w:rsidRDefault="003B275F" w:rsidP="00B7234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hyperlink w:anchor="_3.5.15_Unfavourable_witnesses" w:history="1">
        <w:r w:rsidRPr="00803AFF">
          <w:rPr>
            <w:rStyle w:val="Hyperlink"/>
            <w:rFonts w:ascii="Arial" w:hAnsi="Arial" w:cs="Arial"/>
            <w:b/>
            <w:bCs/>
            <w:sz w:val="20"/>
            <w:u w:val="none"/>
          </w:rPr>
          <w:tab/>
          <w:t>3.5.1</w:t>
        </w:r>
        <w:r w:rsidR="000F7CF6">
          <w:rPr>
            <w:rStyle w:val="Hyperlink"/>
            <w:rFonts w:ascii="Arial" w:hAnsi="Arial" w:cs="Arial"/>
            <w:b/>
            <w:bCs/>
            <w:sz w:val="20"/>
            <w:u w:val="none"/>
          </w:rPr>
          <w:t>5</w:t>
        </w:r>
        <w:r w:rsidRPr="00803AFF">
          <w:rPr>
            <w:rStyle w:val="Hyperlink"/>
            <w:rFonts w:ascii="Arial" w:hAnsi="Arial" w:cs="Arial"/>
            <w:b/>
            <w:bCs/>
            <w:sz w:val="20"/>
            <w:u w:val="none"/>
          </w:rPr>
          <w:tab/>
          <w:t>Unfavourable witnesses</w:t>
        </w:r>
      </w:hyperlink>
    </w:p>
    <w:p w14:paraId="088E35CE" w14:textId="5658EFEC" w:rsidR="000F7CF6" w:rsidRPr="00FD5828" w:rsidRDefault="000F7CF6" w:rsidP="000F7CF6">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16_Material_may" w:history="1">
        <w:r w:rsidRPr="00FD5828">
          <w:rPr>
            <w:rStyle w:val="Hyperlink"/>
            <w:rFonts w:ascii="Arial" w:hAnsi="Arial" w:cs="Arial"/>
            <w:b/>
            <w:bCs/>
            <w:sz w:val="20"/>
            <w:u w:val="none"/>
          </w:rPr>
          <w:tab/>
          <w:t>3.5.1</w:t>
        </w:r>
        <w:r>
          <w:rPr>
            <w:rStyle w:val="Hyperlink"/>
            <w:rFonts w:ascii="Arial" w:hAnsi="Arial" w:cs="Arial"/>
            <w:b/>
            <w:bCs/>
            <w:sz w:val="20"/>
            <w:u w:val="none"/>
          </w:rPr>
          <w:t>6</w:t>
        </w:r>
        <w:r w:rsidRPr="00FD5828">
          <w:rPr>
            <w:rStyle w:val="Hyperlink"/>
            <w:rFonts w:ascii="Arial" w:hAnsi="Arial" w:cs="Arial"/>
            <w:b/>
            <w:bCs/>
            <w:sz w:val="20"/>
            <w:u w:val="none"/>
          </w:rPr>
          <w:tab/>
        </w:r>
        <w:r>
          <w:rPr>
            <w:rStyle w:val="Hyperlink"/>
            <w:rFonts w:ascii="Arial" w:hAnsi="Arial" w:cs="Arial"/>
            <w:b/>
            <w:bCs/>
            <w:sz w:val="20"/>
            <w:u w:val="none"/>
          </w:rPr>
          <w:t>Party m</w:t>
        </w:r>
        <w:r w:rsidR="00BD645B">
          <w:rPr>
            <w:rStyle w:val="Hyperlink"/>
            <w:rFonts w:ascii="Arial" w:hAnsi="Arial" w:cs="Arial"/>
            <w:b/>
            <w:bCs/>
            <w:sz w:val="20"/>
            <w:u w:val="none"/>
          </w:rPr>
          <w:t>ust</w:t>
        </w:r>
        <w:r>
          <w:rPr>
            <w:rStyle w:val="Hyperlink"/>
            <w:rFonts w:ascii="Arial" w:hAnsi="Arial" w:cs="Arial"/>
            <w:b/>
            <w:bCs/>
            <w:sz w:val="20"/>
            <w:u w:val="none"/>
          </w:rPr>
          <w:t xml:space="preserve"> not file material with </w:t>
        </w:r>
        <w:r w:rsidR="00BD645B">
          <w:rPr>
            <w:rStyle w:val="Hyperlink"/>
            <w:rFonts w:ascii="Arial" w:hAnsi="Arial" w:cs="Arial"/>
            <w:b/>
            <w:bCs/>
            <w:sz w:val="20"/>
            <w:u w:val="none"/>
          </w:rPr>
          <w:t>a c</w:t>
        </w:r>
        <w:r>
          <w:rPr>
            <w:rStyle w:val="Hyperlink"/>
            <w:rFonts w:ascii="Arial" w:hAnsi="Arial" w:cs="Arial"/>
            <w:b/>
            <w:bCs/>
            <w:sz w:val="20"/>
            <w:u w:val="none"/>
          </w:rPr>
          <w:t xml:space="preserve">ourt without leave after </w:t>
        </w:r>
        <w:r w:rsidR="00A256E5">
          <w:rPr>
            <w:rStyle w:val="Hyperlink"/>
            <w:rFonts w:ascii="Arial" w:hAnsi="Arial" w:cs="Arial"/>
            <w:b/>
            <w:bCs/>
            <w:sz w:val="20"/>
            <w:u w:val="none"/>
          </w:rPr>
          <w:t>judgment</w:t>
        </w:r>
        <w:r w:rsidR="00773B7E">
          <w:rPr>
            <w:rStyle w:val="Hyperlink"/>
            <w:rFonts w:ascii="Arial" w:hAnsi="Arial" w:cs="Arial"/>
            <w:b/>
            <w:bCs/>
            <w:sz w:val="20"/>
            <w:u w:val="none"/>
          </w:rPr>
          <w:t xml:space="preserve"> </w:t>
        </w:r>
        <w:r w:rsidR="002C7063">
          <w:rPr>
            <w:rStyle w:val="Hyperlink"/>
            <w:rFonts w:ascii="Arial" w:hAnsi="Arial" w:cs="Arial"/>
            <w:b/>
            <w:bCs/>
            <w:sz w:val="20"/>
            <w:u w:val="none"/>
          </w:rPr>
          <w:t xml:space="preserve">is </w:t>
        </w:r>
        <w:r w:rsidR="00773B7E">
          <w:rPr>
            <w:rStyle w:val="Hyperlink"/>
            <w:rFonts w:ascii="Arial" w:hAnsi="Arial" w:cs="Arial"/>
            <w:b/>
            <w:bCs/>
            <w:sz w:val="20"/>
            <w:u w:val="none"/>
          </w:rPr>
          <w:t>reserved</w:t>
        </w:r>
      </w:hyperlink>
    </w:p>
    <w:p w14:paraId="1B9E2FCD" w14:textId="14278B32" w:rsidR="00843765" w:rsidRPr="00FD5828" w:rsidRDefault="009F7C91" w:rsidP="00A72E0C">
      <w:pPr>
        <w:pBdr>
          <w:top w:val="single" w:sz="4" w:space="1" w:color="auto"/>
          <w:left w:val="single" w:sz="4" w:space="4" w:color="auto"/>
          <w:bottom w:val="single" w:sz="4" w:space="1" w:color="auto"/>
          <w:right w:val="single" w:sz="4" w:space="4" w:color="auto"/>
        </w:pBdr>
        <w:tabs>
          <w:tab w:val="left" w:pos="567"/>
        </w:tabs>
        <w:spacing w:before="40"/>
        <w:rPr>
          <w:rFonts w:ascii="Arial" w:hAnsi="Arial" w:cs="Arial"/>
          <w:b/>
          <w:bCs/>
        </w:rPr>
      </w:pPr>
      <w:hyperlink w:anchor="_3.6_Statutory_interpretation_1" w:history="1">
        <w:r w:rsidRPr="00FD5828">
          <w:rPr>
            <w:rStyle w:val="Hyperlink"/>
            <w:rFonts w:ascii="Arial" w:hAnsi="Arial" w:cs="Arial"/>
            <w:b/>
            <w:bCs/>
            <w:u w:val="none"/>
          </w:rPr>
          <w:t>3.6</w:t>
        </w:r>
        <w:r w:rsidRPr="00FD5828">
          <w:rPr>
            <w:rStyle w:val="Hyperlink"/>
            <w:rFonts w:ascii="Arial" w:hAnsi="Arial" w:cs="Arial"/>
            <w:b/>
            <w:bCs/>
            <w:u w:val="none"/>
          </w:rPr>
          <w:tab/>
          <w:t>Statutory interpretation</w:t>
        </w:r>
      </w:hyperlink>
    </w:p>
    <w:p w14:paraId="1E9C8FA9" w14:textId="4E5E624F" w:rsidR="00843765" w:rsidRPr="00FD5828" w:rsidRDefault="00B21DA4" w:rsidP="00A72E0C">
      <w:pPr>
        <w:pBdr>
          <w:top w:val="single" w:sz="4" w:space="1" w:color="auto"/>
          <w:left w:val="single" w:sz="4" w:space="4" w:color="auto"/>
          <w:bottom w:val="single" w:sz="4" w:space="1" w:color="auto"/>
          <w:right w:val="single" w:sz="4" w:space="4" w:color="auto"/>
        </w:pBdr>
        <w:tabs>
          <w:tab w:val="left" w:pos="567"/>
        </w:tabs>
        <w:spacing w:before="40"/>
        <w:rPr>
          <w:rFonts w:ascii="Arial" w:hAnsi="Arial" w:cs="Arial"/>
          <w:b/>
          <w:bCs/>
        </w:rPr>
      </w:pPr>
      <w:hyperlink w:anchor="_3.7_Judgments_-" w:history="1">
        <w:r w:rsidRPr="00FD5828">
          <w:rPr>
            <w:rStyle w:val="Hyperlink"/>
            <w:rFonts w:ascii="Arial" w:hAnsi="Arial" w:cs="Arial"/>
            <w:b/>
            <w:bCs/>
            <w:u w:val="none"/>
          </w:rPr>
          <w:t>3.</w:t>
        </w:r>
        <w:r w:rsidR="009F7C91" w:rsidRPr="00FD5828">
          <w:rPr>
            <w:rStyle w:val="Hyperlink"/>
            <w:rFonts w:ascii="Arial" w:hAnsi="Arial" w:cs="Arial"/>
            <w:b/>
            <w:bCs/>
            <w:u w:val="none"/>
          </w:rPr>
          <w:t>7</w:t>
        </w:r>
        <w:r w:rsidRPr="00FD5828">
          <w:rPr>
            <w:rStyle w:val="Hyperlink"/>
            <w:rFonts w:ascii="Arial" w:hAnsi="Arial" w:cs="Arial"/>
            <w:b/>
            <w:bCs/>
            <w:u w:val="none"/>
          </w:rPr>
          <w:tab/>
          <w:t xml:space="preserve">Judgments </w:t>
        </w:r>
        <w:r w:rsidR="00EE547E">
          <w:rPr>
            <w:rStyle w:val="Hyperlink"/>
            <w:rFonts w:ascii="Arial" w:hAnsi="Arial" w:cs="Arial"/>
            <w:b/>
            <w:bCs/>
            <w:u w:val="none"/>
          </w:rPr>
          <w:t>&amp; O</w:t>
        </w:r>
        <w:r w:rsidRPr="00FD5828">
          <w:rPr>
            <w:rStyle w:val="Hyperlink"/>
            <w:rFonts w:ascii="Arial" w:hAnsi="Arial" w:cs="Arial"/>
            <w:b/>
            <w:bCs/>
            <w:u w:val="none"/>
          </w:rPr>
          <w:t>rders</w:t>
        </w:r>
      </w:hyperlink>
    </w:p>
    <w:p w14:paraId="7740051B" w14:textId="066661E3" w:rsidR="00D9355C" w:rsidRPr="00FD5828" w:rsidRDefault="00B21DA4" w:rsidP="00E02733">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7.1_Explanation_&amp;" w:history="1">
        <w:r w:rsidRPr="00FD5828">
          <w:rPr>
            <w:rStyle w:val="Hyperlink"/>
            <w:rFonts w:ascii="Arial" w:hAnsi="Arial" w:cs="Arial"/>
            <w:b/>
            <w:bCs/>
            <w:sz w:val="20"/>
            <w:u w:val="none"/>
          </w:rPr>
          <w:tab/>
          <w:t>3.</w:t>
        </w:r>
        <w:r w:rsidR="009F7C91" w:rsidRPr="00FD5828">
          <w:rPr>
            <w:rStyle w:val="Hyperlink"/>
            <w:rFonts w:ascii="Arial" w:hAnsi="Arial" w:cs="Arial"/>
            <w:b/>
            <w:bCs/>
            <w:sz w:val="20"/>
            <w:u w:val="none"/>
          </w:rPr>
          <w:t>7</w:t>
        </w:r>
        <w:r w:rsidRPr="00FD5828">
          <w:rPr>
            <w:rStyle w:val="Hyperlink"/>
            <w:rFonts w:ascii="Arial" w:hAnsi="Arial" w:cs="Arial"/>
            <w:b/>
            <w:bCs/>
            <w:sz w:val="20"/>
            <w:u w:val="none"/>
          </w:rPr>
          <w:t>.1</w:t>
        </w:r>
        <w:r w:rsidRPr="00FD5828">
          <w:rPr>
            <w:rStyle w:val="Hyperlink"/>
            <w:rFonts w:ascii="Arial" w:hAnsi="Arial" w:cs="Arial"/>
            <w:b/>
            <w:bCs/>
            <w:sz w:val="20"/>
            <w:u w:val="none"/>
          </w:rPr>
          <w:tab/>
          <w:t>Explanation</w:t>
        </w:r>
        <w:r w:rsidR="00F44596" w:rsidRPr="00FD5828">
          <w:rPr>
            <w:rStyle w:val="Hyperlink"/>
            <w:rFonts w:ascii="Arial" w:hAnsi="Arial" w:cs="Arial"/>
            <w:b/>
            <w:bCs/>
            <w:sz w:val="20"/>
            <w:u w:val="none"/>
          </w:rPr>
          <w:t xml:space="preserve"> </w:t>
        </w:r>
        <w:r w:rsidR="00EE547E">
          <w:rPr>
            <w:rStyle w:val="Hyperlink"/>
            <w:rFonts w:ascii="Arial" w:hAnsi="Arial" w:cs="Arial"/>
            <w:b/>
            <w:bCs/>
            <w:sz w:val="20"/>
            <w:u w:val="none"/>
          </w:rPr>
          <w:t>of and reasons for orders</w:t>
        </w:r>
      </w:hyperlink>
    </w:p>
    <w:p w14:paraId="664F87D7" w14:textId="5456FCF3" w:rsidR="00EE547E" w:rsidRPr="00AA5493" w:rsidRDefault="00EE547E" w:rsidP="00EE547E">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7.2_Provision_of" w:history="1">
        <w:r w:rsidRPr="00AA5493">
          <w:rPr>
            <w:rStyle w:val="Hyperlink"/>
            <w:rFonts w:ascii="Arial" w:hAnsi="Arial" w:cs="Arial"/>
            <w:b/>
            <w:bCs/>
            <w:sz w:val="20"/>
            <w:u w:val="none"/>
          </w:rPr>
          <w:tab/>
          <w:t>3.7.2</w:t>
        </w:r>
        <w:r w:rsidRPr="00AA5493">
          <w:rPr>
            <w:rStyle w:val="Hyperlink"/>
            <w:rFonts w:ascii="Arial" w:hAnsi="Arial" w:cs="Arial"/>
            <w:b/>
            <w:bCs/>
            <w:sz w:val="20"/>
            <w:u w:val="none"/>
          </w:rPr>
          <w:tab/>
          <w:t>Provision of orders to parties</w:t>
        </w:r>
      </w:hyperlink>
    </w:p>
    <w:p w14:paraId="6E10DE48" w14:textId="4C9043B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7.2_Judgments" w:history="1">
        <w:r w:rsidRPr="00FD5828">
          <w:rPr>
            <w:rStyle w:val="Hyperlink"/>
            <w:rFonts w:ascii="Arial" w:hAnsi="Arial" w:cs="Arial"/>
            <w:b/>
            <w:bCs/>
            <w:sz w:val="20"/>
            <w:u w:val="none"/>
          </w:rPr>
          <w:tab/>
          <w:t>3.7</w:t>
        </w:r>
        <w:r w:rsidR="00B21DA4" w:rsidRPr="00FD5828">
          <w:rPr>
            <w:rStyle w:val="Hyperlink"/>
            <w:rFonts w:ascii="Arial" w:hAnsi="Arial" w:cs="Arial"/>
            <w:b/>
            <w:bCs/>
            <w:sz w:val="20"/>
            <w:u w:val="none"/>
          </w:rPr>
          <w:t>.</w:t>
        </w:r>
        <w:r w:rsidR="00EE547E">
          <w:rPr>
            <w:rStyle w:val="Hyperlink"/>
            <w:rFonts w:ascii="Arial" w:hAnsi="Arial" w:cs="Arial"/>
            <w:b/>
            <w:bCs/>
            <w:sz w:val="20"/>
            <w:u w:val="none"/>
          </w:rPr>
          <w:t>3</w:t>
        </w:r>
        <w:r w:rsidR="00B21DA4" w:rsidRPr="00FD5828">
          <w:rPr>
            <w:rStyle w:val="Hyperlink"/>
            <w:rFonts w:ascii="Arial" w:hAnsi="Arial" w:cs="Arial"/>
            <w:b/>
            <w:bCs/>
            <w:sz w:val="20"/>
            <w:u w:val="none"/>
          </w:rPr>
          <w:tab/>
          <w:t>Judgments</w:t>
        </w:r>
      </w:hyperlink>
    </w:p>
    <w:p w14:paraId="44E2CA46" w14:textId="7791ABD5" w:rsidR="002E3FD0" w:rsidRPr="00FD5828" w:rsidRDefault="002E3FD0" w:rsidP="002E3FD0">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7.4_Self-executing_orders" w:history="1">
        <w:r w:rsidRPr="00FD5828">
          <w:rPr>
            <w:rStyle w:val="Hyperlink"/>
            <w:rFonts w:ascii="Arial" w:hAnsi="Arial" w:cs="Arial"/>
            <w:b/>
            <w:bCs/>
            <w:sz w:val="20"/>
            <w:u w:val="none"/>
          </w:rPr>
          <w:tab/>
          <w:t>3.7.</w:t>
        </w:r>
        <w:r>
          <w:rPr>
            <w:rStyle w:val="Hyperlink"/>
            <w:rFonts w:ascii="Arial" w:hAnsi="Arial" w:cs="Arial"/>
            <w:b/>
            <w:bCs/>
            <w:sz w:val="20"/>
            <w:u w:val="none"/>
          </w:rPr>
          <w:t>4</w:t>
        </w:r>
        <w:r w:rsidRPr="00FD5828">
          <w:rPr>
            <w:rStyle w:val="Hyperlink"/>
            <w:rFonts w:ascii="Arial" w:hAnsi="Arial" w:cs="Arial"/>
            <w:b/>
            <w:bCs/>
            <w:sz w:val="20"/>
            <w:u w:val="none"/>
          </w:rPr>
          <w:tab/>
        </w:r>
        <w:r>
          <w:rPr>
            <w:rStyle w:val="Hyperlink"/>
            <w:rFonts w:ascii="Arial" w:hAnsi="Arial" w:cs="Arial"/>
            <w:b/>
            <w:bCs/>
            <w:sz w:val="20"/>
            <w:u w:val="none"/>
          </w:rPr>
          <w:t>Self-executing orders</w:t>
        </w:r>
      </w:hyperlink>
    </w:p>
    <w:p w14:paraId="2EB917FA" w14:textId="55AEDED0" w:rsidR="007C1C82" w:rsidRPr="00FD5828" w:rsidRDefault="007C1C82" w:rsidP="00A72E0C">
      <w:pPr>
        <w:pBdr>
          <w:top w:val="single" w:sz="4" w:space="1" w:color="auto"/>
          <w:left w:val="single" w:sz="4" w:space="4" w:color="auto"/>
          <w:bottom w:val="single" w:sz="4" w:space="1" w:color="auto"/>
          <w:right w:val="single" w:sz="4" w:space="4" w:color="auto"/>
        </w:pBdr>
        <w:tabs>
          <w:tab w:val="left" w:pos="567"/>
        </w:tabs>
        <w:spacing w:before="40"/>
        <w:rPr>
          <w:rFonts w:ascii="Arial" w:hAnsi="Arial" w:cs="Arial"/>
          <w:b/>
          <w:bCs/>
        </w:rPr>
      </w:pPr>
      <w:hyperlink w:anchor="_3.8_Amending_judgments" w:history="1">
        <w:r w:rsidRPr="00FD5828">
          <w:rPr>
            <w:rStyle w:val="Hyperlink"/>
            <w:rFonts w:ascii="Arial" w:hAnsi="Arial" w:cs="Arial"/>
            <w:b/>
            <w:bCs/>
            <w:u w:val="none"/>
          </w:rPr>
          <w:t>3.8</w:t>
        </w:r>
        <w:r w:rsidRPr="00FD5828">
          <w:rPr>
            <w:rStyle w:val="Hyperlink"/>
            <w:rFonts w:ascii="Arial" w:hAnsi="Arial" w:cs="Arial"/>
            <w:b/>
            <w:bCs/>
            <w:u w:val="none"/>
          </w:rPr>
          <w:tab/>
          <w:t xml:space="preserve">Amending </w:t>
        </w:r>
        <w:r w:rsidR="00D635CD">
          <w:rPr>
            <w:rStyle w:val="Hyperlink"/>
            <w:rFonts w:ascii="Arial" w:hAnsi="Arial" w:cs="Arial"/>
            <w:b/>
            <w:bCs/>
            <w:u w:val="none"/>
          </w:rPr>
          <w:t xml:space="preserve">a </w:t>
        </w:r>
        <w:r w:rsidRPr="00FD5828">
          <w:rPr>
            <w:rStyle w:val="Hyperlink"/>
            <w:rFonts w:ascii="Arial" w:hAnsi="Arial" w:cs="Arial"/>
            <w:b/>
            <w:bCs/>
            <w:u w:val="none"/>
          </w:rPr>
          <w:t xml:space="preserve">judgment </w:t>
        </w:r>
        <w:r w:rsidR="00FE777C">
          <w:rPr>
            <w:rStyle w:val="Hyperlink"/>
            <w:rFonts w:ascii="Arial" w:hAnsi="Arial" w:cs="Arial"/>
            <w:b/>
            <w:bCs/>
            <w:u w:val="none"/>
          </w:rPr>
          <w:t>/</w:t>
        </w:r>
        <w:r w:rsidR="005E5DBD">
          <w:rPr>
            <w:rStyle w:val="Hyperlink"/>
            <w:rFonts w:ascii="Arial" w:hAnsi="Arial" w:cs="Arial"/>
            <w:b/>
            <w:bCs/>
            <w:u w:val="none"/>
          </w:rPr>
          <w:t xml:space="preserve"> Reopening </w:t>
        </w:r>
        <w:r w:rsidR="00D635CD">
          <w:rPr>
            <w:rStyle w:val="Hyperlink"/>
            <w:rFonts w:ascii="Arial" w:hAnsi="Arial" w:cs="Arial"/>
            <w:b/>
            <w:bCs/>
            <w:u w:val="none"/>
          </w:rPr>
          <w:t xml:space="preserve">a </w:t>
        </w:r>
        <w:r w:rsidR="005E5DBD">
          <w:rPr>
            <w:rStyle w:val="Hyperlink"/>
            <w:rFonts w:ascii="Arial" w:hAnsi="Arial" w:cs="Arial"/>
            <w:b/>
            <w:bCs/>
            <w:u w:val="none"/>
          </w:rPr>
          <w:t>case</w:t>
        </w:r>
      </w:hyperlink>
    </w:p>
    <w:p w14:paraId="34E1B75C" w14:textId="391183EE" w:rsidR="005E5DBD" w:rsidRPr="00FD5828" w:rsidRDefault="005E5DBD" w:rsidP="005E5DBD">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8.1_The_‘slip" w:history="1">
        <w:r w:rsidRPr="00FD5828">
          <w:rPr>
            <w:rStyle w:val="Hyperlink"/>
            <w:rFonts w:ascii="Arial" w:hAnsi="Arial" w:cs="Arial"/>
            <w:b/>
            <w:bCs/>
            <w:sz w:val="20"/>
            <w:u w:val="none"/>
          </w:rPr>
          <w:tab/>
          <w:t>3.</w:t>
        </w:r>
        <w:r w:rsidR="005B2F34">
          <w:rPr>
            <w:rStyle w:val="Hyperlink"/>
            <w:rFonts w:ascii="Arial" w:hAnsi="Arial" w:cs="Arial"/>
            <w:b/>
            <w:bCs/>
            <w:sz w:val="20"/>
            <w:u w:val="none"/>
          </w:rPr>
          <w:t>8</w:t>
        </w:r>
        <w:r w:rsidRPr="00FD5828">
          <w:rPr>
            <w:rStyle w:val="Hyperlink"/>
            <w:rFonts w:ascii="Arial" w:hAnsi="Arial" w:cs="Arial"/>
            <w:b/>
            <w:bCs/>
            <w:sz w:val="20"/>
            <w:u w:val="none"/>
          </w:rPr>
          <w:t>.1</w:t>
        </w:r>
        <w:r w:rsidRPr="00FD5828">
          <w:rPr>
            <w:rStyle w:val="Hyperlink"/>
            <w:rFonts w:ascii="Arial" w:hAnsi="Arial" w:cs="Arial"/>
            <w:b/>
            <w:bCs/>
            <w:sz w:val="20"/>
            <w:u w:val="none"/>
          </w:rPr>
          <w:tab/>
        </w:r>
        <w:r w:rsidR="005B2F34">
          <w:rPr>
            <w:rStyle w:val="Hyperlink"/>
            <w:rFonts w:ascii="Arial" w:hAnsi="Arial" w:cs="Arial"/>
            <w:b/>
            <w:bCs/>
            <w:sz w:val="20"/>
            <w:u w:val="none"/>
          </w:rPr>
          <w:t>The ‘slip rule’</w:t>
        </w:r>
      </w:hyperlink>
    </w:p>
    <w:p w14:paraId="5AEB4140" w14:textId="77777777" w:rsidR="00D024F9" w:rsidRPr="00FD5828" w:rsidRDefault="00D024F9" w:rsidP="00D024F9">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8.2_Reopening_cases" w:history="1">
        <w:r w:rsidRPr="00FD5828">
          <w:rPr>
            <w:rStyle w:val="Hyperlink"/>
            <w:rFonts w:ascii="Arial" w:hAnsi="Arial" w:cs="Arial"/>
            <w:b/>
            <w:bCs/>
            <w:sz w:val="20"/>
            <w:u w:val="none"/>
          </w:rPr>
          <w:tab/>
          <w:t>3.</w:t>
        </w:r>
        <w:r>
          <w:rPr>
            <w:rStyle w:val="Hyperlink"/>
            <w:rFonts w:ascii="Arial" w:hAnsi="Arial" w:cs="Arial"/>
            <w:b/>
            <w:bCs/>
            <w:sz w:val="20"/>
            <w:u w:val="none"/>
          </w:rPr>
          <w:t>8</w:t>
        </w:r>
        <w:r w:rsidRPr="00FD5828">
          <w:rPr>
            <w:rStyle w:val="Hyperlink"/>
            <w:rFonts w:ascii="Arial" w:hAnsi="Arial" w:cs="Arial"/>
            <w:b/>
            <w:bCs/>
            <w:sz w:val="20"/>
            <w:u w:val="none"/>
          </w:rPr>
          <w:t>.2</w:t>
        </w:r>
        <w:r w:rsidRPr="00FD5828">
          <w:rPr>
            <w:rStyle w:val="Hyperlink"/>
            <w:rFonts w:ascii="Arial" w:hAnsi="Arial" w:cs="Arial"/>
            <w:b/>
            <w:bCs/>
            <w:sz w:val="20"/>
            <w:u w:val="none"/>
          </w:rPr>
          <w:tab/>
        </w:r>
        <w:r>
          <w:rPr>
            <w:rStyle w:val="Hyperlink"/>
            <w:rFonts w:ascii="Arial" w:hAnsi="Arial" w:cs="Arial"/>
            <w:b/>
            <w:bCs/>
            <w:sz w:val="20"/>
            <w:u w:val="none"/>
          </w:rPr>
          <w:t>Reopening a case</w:t>
        </w:r>
      </w:hyperlink>
    </w:p>
    <w:p w14:paraId="524410B3" w14:textId="0941DC4B" w:rsidR="005E5DBD" w:rsidRPr="00FD5828" w:rsidRDefault="005E5DBD" w:rsidP="005E5DBD">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8.3_Revised_reasons" w:history="1">
        <w:r w:rsidRPr="00FD5828">
          <w:rPr>
            <w:rStyle w:val="Hyperlink"/>
            <w:rFonts w:ascii="Arial" w:hAnsi="Arial" w:cs="Arial"/>
            <w:b/>
            <w:bCs/>
            <w:sz w:val="20"/>
            <w:u w:val="none"/>
          </w:rPr>
          <w:tab/>
          <w:t>3.</w:t>
        </w:r>
        <w:r w:rsidR="005B2F34">
          <w:rPr>
            <w:rStyle w:val="Hyperlink"/>
            <w:rFonts w:ascii="Arial" w:hAnsi="Arial" w:cs="Arial"/>
            <w:b/>
            <w:bCs/>
            <w:sz w:val="20"/>
            <w:u w:val="none"/>
          </w:rPr>
          <w:t>8</w:t>
        </w:r>
        <w:r w:rsidRPr="00FD5828">
          <w:rPr>
            <w:rStyle w:val="Hyperlink"/>
            <w:rFonts w:ascii="Arial" w:hAnsi="Arial" w:cs="Arial"/>
            <w:b/>
            <w:bCs/>
            <w:sz w:val="20"/>
            <w:u w:val="none"/>
          </w:rPr>
          <w:t>.</w:t>
        </w:r>
        <w:r w:rsidR="00D024F9">
          <w:rPr>
            <w:rStyle w:val="Hyperlink"/>
            <w:rFonts w:ascii="Arial" w:hAnsi="Arial" w:cs="Arial"/>
            <w:b/>
            <w:bCs/>
            <w:sz w:val="20"/>
            <w:u w:val="none"/>
          </w:rPr>
          <w:t>3</w:t>
        </w:r>
        <w:r w:rsidRPr="00FD5828">
          <w:rPr>
            <w:rStyle w:val="Hyperlink"/>
            <w:rFonts w:ascii="Arial" w:hAnsi="Arial" w:cs="Arial"/>
            <w:b/>
            <w:bCs/>
            <w:sz w:val="20"/>
            <w:u w:val="none"/>
          </w:rPr>
          <w:tab/>
        </w:r>
        <w:r w:rsidR="00FE777C">
          <w:rPr>
            <w:rStyle w:val="Hyperlink"/>
            <w:rFonts w:ascii="Arial" w:hAnsi="Arial" w:cs="Arial"/>
            <w:b/>
            <w:bCs/>
            <w:sz w:val="20"/>
            <w:u w:val="none"/>
          </w:rPr>
          <w:t>Re</w:t>
        </w:r>
        <w:r w:rsidR="002B69BB">
          <w:rPr>
            <w:rStyle w:val="Hyperlink"/>
            <w:rFonts w:ascii="Arial" w:hAnsi="Arial" w:cs="Arial"/>
            <w:b/>
            <w:bCs/>
            <w:sz w:val="20"/>
            <w:u w:val="none"/>
          </w:rPr>
          <w:t xml:space="preserve">vised reasons published after delivery of an </w:t>
        </w:r>
        <w:r w:rsidR="002B69BB" w:rsidRPr="002B69BB">
          <w:rPr>
            <w:rStyle w:val="Hyperlink"/>
            <w:rFonts w:ascii="Arial" w:hAnsi="Arial" w:cs="Arial"/>
            <w:b/>
            <w:bCs/>
            <w:i/>
            <w:iCs/>
            <w:sz w:val="20"/>
            <w:u w:val="none"/>
          </w:rPr>
          <w:t>ex tempore</w:t>
        </w:r>
        <w:r w:rsidR="002B69BB">
          <w:rPr>
            <w:rStyle w:val="Hyperlink"/>
            <w:rFonts w:ascii="Arial" w:hAnsi="Arial" w:cs="Arial"/>
            <w:b/>
            <w:bCs/>
            <w:sz w:val="20"/>
            <w:u w:val="none"/>
          </w:rPr>
          <w:t xml:space="preserve"> judgment</w:t>
        </w:r>
      </w:hyperlink>
    </w:p>
    <w:p w14:paraId="0DD9AA77" w14:textId="0336FD45" w:rsidR="00843765" w:rsidRPr="00FD5828" w:rsidRDefault="00B21DA4" w:rsidP="00A72E0C">
      <w:pPr>
        <w:pBdr>
          <w:top w:val="single" w:sz="4" w:space="1" w:color="auto"/>
          <w:left w:val="single" w:sz="4" w:space="4" w:color="auto"/>
          <w:bottom w:val="single" w:sz="4" w:space="1" w:color="auto"/>
          <w:right w:val="single" w:sz="4" w:space="4" w:color="auto"/>
        </w:pBdr>
        <w:tabs>
          <w:tab w:val="left" w:pos="567"/>
        </w:tabs>
        <w:spacing w:before="40"/>
        <w:rPr>
          <w:rFonts w:ascii="Arial" w:hAnsi="Arial" w:cs="Arial"/>
          <w:b/>
          <w:bCs/>
        </w:rPr>
      </w:pPr>
      <w:hyperlink w:anchor="_3.9_Costs_1" w:history="1">
        <w:r w:rsidRPr="00FD5828">
          <w:rPr>
            <w:rStyle w:val="Hyperlink"/>
            <w:rFonts w:ascii="Arial" w:hAnsi="Arial" w:cs="Arial"/>
            <w:b/>
            <w:bCs/>
            <w:u w:val="none"/>
          </w:rPr>
          <w:t>3.</w:t>
        </w:r>
        <w:r w:rsidR="009F7C91" w:rsidRPr="00FD5828">
          <w:rPr>
            <w:rStyle w:val="Hyperlink"/>
            <w:rFonts w:ascii="Arial" w:hAnsi="Arial" w:cs="Arial"/>
            <w:b/>
            <w:bCs/>
            <w:u w:val="none"/>
          </w:rPr>
          <w:t>9</w:t>
        </w:r>
        <w:r w:rsidRPr="00FD5828">
          <w:rPr>
            <w:rStyle w:val="Hyperlink"/>
            <w:rFonts w:ascii="Arial" w:hAnsi="Arial" w:cs="Arial"/>
            <w:b/>
            <w:bCs/>
            <w:u w:val="none"/>
          </w:rPr>
          <w:tab/>
          <w:t>Costs</w:t>
        </w:r>
      </w:hyperlink>
    </w:p>
    <w:p w14:paraId="726D4622" w14:textId="37E92AC1" w:rsidR="00D9355C" w:rsidRPr="00FD5828" w:rsidRDefault="00B21DA4" w:rsidP="006A1FF6">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9.1_Criminal_Division" w:history="1">
        <w:r w:rsidRPr="00FD5828">
          <w:rPr>
            <w:rStyle w:val="Hyperlink"/>
            <w:rFonts w:ascii="Arial" w:hAnsi="Arial" w:cs="Arial"/>
            <w:b/>
            <w:bCs/>
            <w:sz w:val="20"/>
            <w:u w:val="none"/>
          </w:rPr>
          <w:tab/>
          <w:t>3.</w:t>
        </w:r>
        <w:r w:rsidR="009F7C91" w:rsidRPr="00FD5828">
          <w:rPr>
            <w:rStyle w:val="Hyperlink"/>
            <w:rFonts w:ascii="Arial" w:hAnsi="Arial" w:cs="Arial"/>
            <w:b/>
            <w:bCs/>
            <w:sz w:val="20"/>
            <w:u w:val="none"/>
          </w:rPr>
          <w:t>9</w:t>
        </w:r>
        <w:r w:rsidRPr="00FD5828">
          <w:rPr>
            <w:rStyle w:val="Hyperlink"/>
            <w:rFonts w:ascii="Arial" w:hAnsi="Arial" w:cs="Arial"/>
            <w:b/>
            <w:bCs/>
            <w:sz w:val="20"/>
            <w:u w:val="none"/>
          </w:rPr>
          <w:t>.1</w:t>
        </w:r>
        <w:r w:rsidRPr="00FD5828">
          <w:rPr>
            <w:rStyle w:val="Hyperlink"/>
            <w:rFonts w:ascii="Arial" w:hAnsi="Arial" w:cs="Arial"/>
            <w:b/>
            <w:bCs/>
            <w:sz w:val="20"/>
            <w:u w:val="none"/>
          </w:rPr>
          <w:tab/>
          <w:t>Criminal Division (costs of defendant</w:t>
        </w:r>
        <w:r w:rsidR="00AA2DE5">
          <w:rPr>
            <w:rStyle w:val="Hyperlink"/>
            <w:rFonts w:ascii="Arial" w:hAnsi="Arial" w:cs="Arial"/>
            <w:b/>
            <w:bCs/>
            <w:sz w:val="20"/>
            <w:u w:val="none"/>
          </w:rPr>
          <w:t xml:space="preserve"> / </w:t>
        </w:r>
        <w:r w:rsidR="00AA2DE5" w:rsidRPr="00AA2DE5">
          <w:rPr>
            <w:rStyle w:val="Hyperlink"/>
            <w:rFonts w:ascii="Arial" w:hAnsi="Arial" w:cs="Arial"/>
            <w:b/>
            <w:bCs/>
            <w:i/>
            <w:iCs/>
            <w:sz w:val="20"/>
            <w:u w:val="none"/>
          </w:rPr>
          <w:t>amicus curiae</w:t>
        </w:r>
        <w:r w:rsidRPr="00FD5828">
          <w:rPr>
            <w:rStyle w:val="Hyperlink"/>
            <w:rFonts w:ascii="Arial" w:hAnsi="Arial" w:cs="Arial"/>
            <w:b/>
            <w:bCs/>
            <w:sz w:val="20"/>
            <w:u w:val="none"/>
          </w:rPr>
          <w:t>)</w:t>
        </w:r>
      </w:hyperlink>
      <w:r w:rsidR="00D9355C" w:rsidRPr="00FD5828">
        <w:rPr>
          <w:rFonts w:ascii="Arial" w:hAnsi="Arial" w:cs="Arial"/>
          <w:b/>
          <w:bCs/>
          <w:sz w:val="20"/>
        </w:rPr>
        <w:t xml:space="preserve"> </w:t>
      </w:r>
    </w:p>
    <w:p w14:paraId="65287B50" w14:textId="7777777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2_Criminal_Division" w:history="1">
        <w:r w:rsidRPr="00FD5828">
          <w:rPr>
            <w:rStyle w:val="Hyperlink"/>
            <w:rFonts w:ascii="Arial" w:hAnsi="Arial" w:cs="Arial"/>
            <w:b/>
            <w:bCs/>
            <w:sz w:val="20"/>
            <w:u w:val="none"/>
          </w:rPr>
          <w:tab/>
          <w:t>3.9</w:t>
        </w:r>
        <w:r w:rsidR="00B21DA4" w:rsidRPr="00FD5828">
          <w:rPr>
            <w:rStyle w:val="Hyperlink"/>
            <w:rFonts w:ascii="Arial" w:hAnsi="Arial" w:cs="Arial"/>
            <w:b/>
            <w:bCs/>
            <w:sz w:val="20"/>
            <w:u w:val="none"/>
          </w:rPr>
          <w:t>.2</w:t>
        </w:r>
        <w:r w:rsidR="00B21DA4" w:rsidRPr="00FD5828">
          <w:rPr>
            <w:rStyle w:val="Hyperlink"/>
            <w:rFonts w:ascii="Arial" w:hAnsi="Arial" w:cs="Arial"/>
            <w:b/>
            <w:bCs/>
            <w:sz w:val="20"/>
            <w:u w:val="none"/>
          </w:rPr>
          <w:tab/>
          <w:t>Criminal Division (costs of prosecution)</w:t>
        </w:r>
      </w:hyperlink>
    </w:p>
    <w:p w14:paraId="5D0F9ABB" w14:textId="7777777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3_Family_Division" w:history="1">
        <w:r w:rsidRPr="00FD5828">
          <w:rPr>
            <w:rStyle w:val="Hyperlink"/>
            <w:rFonts w:ascii="Arial" w:hAnsi="Arial" w:cs="Arial"/>
            <w:b/>
            <w:bCs/>
            <w:sz w:val="20"/>
            <w:u w:val="none"/>
          </w:rPr>
          <w:tab/>
          <w:t>3.9</w:t>
        </w:r>
        <w:r w:rsidR="00B21DA4" w:rsidRPr="00FD5828">
          <w:rPr>
            <w:rStyle w:val="Hyperlink"/>
            <w:rFonts w:ascii="Arial" w:hAnsi="Arial" w:cs="Arial"/>
            <w:b/>
            <w:bCs/>
            <w:sz w:val="20"/>
            <w:u w:val="none"/>
          </w:rPr>
          <w:t>.3</w:t>
        </w:r>
        <w:r w:rsidR="00B21DA4" w:rsidRPr="00FD5828">
          <w:rPr>
            <w:rStyle w:val="Hyperlink"/>
            <w:rFonts w:ascii="Arial" w:hAnsi="Arial" w:cs="Arial"/>
            <w:b/>
            <w:bCs/>
            <w:sz w:val="20"/>
            <w:u w:val="none"/>
          </w:rPr>
          <w:tab/>
          <w:t>Family Division (protection proceedings)</w:t>
        </w:r>
      </w:hyperlink>
    </w:p>
    <w:p w14:paraId="3AAFDCA3" w14:textId="7777777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4_Family_Division" w:history="1">
        <w:r w:rsidRPr="00FD5828">
          <w:rPr>
            <w:rStyle w:val="Hyperlink"/>
            <w:rFonts w:ascii="Arial" w:hAnsi="Arial" w:cs="Arial"/>
            <w:b/>
            <w:bCs/>
            <w:sz w:val="20"/>
            <w:u w:val="none"/>
          </w:rPr>
          <w:tab/>
          <w:t>3.9</w:t>
        </w:r>
        <w:r w:rsidR="00B21DA4" w:rsidRPr="00FD5828">
          <w:rPr>
            <w:rStyle w:val="Hyperlink"/>
            <w:rFonts w:ascii="Arial" w:hAnsi="Arial" w:cs="Arial"/>
            <w:b/>
            <w:bCs/>
            <w:sz w:val="20"/>
            <w:u w:val="none"/>
          </w:rPr>
          <w:t>.4</w:t>
        </w:r>
        <w:r w:rsidR="00B21DA4" w:rsidRPr="00FD5828">
          <w:rPr>
            <w:rStyle w:val="Hyperlink"/>
            <w:rFonts w:ascii="Arial" w:hAnsi="Arial" w:cs="Arial"/>
            <w:b/>
            <w:bCs/>
            <w:sz w:val="20"/>
            <w:u w:val="none"/>
          </w:rPr>
          <w:tab/>
          <w:t>Family Division (intervention order proceedings)</w:t>
        </w:r>
      </w:hyperlink>
    </w:p>
    <w:p w14:paraId="07B037DA" w14:textId="77777777" w:rsidR="00803AFF" w:rsidRPr="00803AFF" w:rsidRDefault="00803AFF" w:rsidP="007B5662">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5_Very_limited" w:history="1">
        <w:r w:rsidRPr="00803AFF">
          <w:rPr>
            <w:rStyle w:val="Hyperlink"/>
            <w:rFonts w:ascii="Arial" w:hAnsi="Arial" w:cs="Arial"/>
            <w:b/>
            <w:bCs/>
            <w:sz w:val="20"/>
            <w:u w:val="none"/>
          </w:rPr>
          <w:tab/>
          <w:t>3.9.5</w:t>
        </w:r>
        <w:r w:rsidRPr="00803AFF">
          <w:rPr>
            <w:rStyle w:val="Hyperlink"/>
            <w:rFonts w:ascii="Arial" w:hAnsi="Arial" w:cs="Arial"/>
            <w:b/>
            <w:bCs/>
            <w:sz w:val="20"/>
            <w:u w:val="none"/>
          </w:rPr>
          <w:tab/>
          <w:t>Very limited entitlement of self-represented litigants to costs</w:t>
        </w:r>
      </w:hyperlink>
    </w:p>
    <w:p w14:paraId="0E5B697C" w14:textId="77777777" w:rsidR="007B5662" w:rsidRPr="00803AFF" w:rsidRDefault="00803AFF" w:rsidP="007B5662">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803AFF">
        <w:rPr>
          <w:rFonts w:ascii="Arial" w:hAnsi="Arial" w:cs="Arial"/>
          <w:b/>
          <w:bCs/>
          <w:sz w:val="20"/>
        </w:rPr>
        <w:fldChar w:fldCharType="begin"/>
      </w:r>
      <w:r w:rsidRPr="00803AFF">
        <w:rPr>
          <w:rFonts w:ascii="Arial" w:hAnsi="Arial" w:cs="Arial"/>
          <w:b/>
          <w:bCs/>
          <w:sz w:val="20"/>
        </w:rPr>
        <w:instrText xml:space="preserve"> HYPERLINK  \l "_3.9.6_Enforcement_of" </w:instrText>
      </w:r>
      <w:r w:rsidRPr="00803AFF">
        <w:rPr>
          <w:rFonts w:ascii="Arial" w:hAnsi="Arial" w:cs="Arial"/>
          <w:b/>
          <w:bCs/>
          <w:sz w:val="20"/>
        </w:rPr>
      </w:r>
      <w:r w:rsidRPr="00803AFF">
        <w:rPr>
          <w:rFonts w:ascii="Arial" w:hAnsi="Arial" w:cs="Arial"/>
          <w:b/>
          <w:bCs/>
          <w:sz w:val="20"/>
        </w:rPr>
        <w:fldChar w:fldCharType="separate"/>
      </w:r>
      <w:r w:rsidR="007B5662" w:rsidRPr="00803AFF">
        <w:rPr>
          <w:rStyle w:val="Hyperlink"/>
          <w:rFonts w:ascii="Arial" w:hAnsi="Arial" w:cs="Arial"/>
          <w:b/>
          <w:bCs/>
          <w:sz w:val="20"/>
          <w:u w:val="none"/>
        </w:rPr>
        <w:tab/>
        <w:t>3.9.</w:t>
      </w:r>
      <w:r w:rsidRPr="00803AFF">
        <w:rPr>
          <w:rStyle w:val="Hyperlink"/>
          <w:rFonts w:ascii="Arial" w:hAnsi="Arial" w:cs="Arial"/>
          <w:b/>
          <w:bCs/>
          <w:sz w:val="20"/>
          <w:u w:val="none"/>
        </w:rPr>
        <w:t>6</w:t>
      </w:r>
      <w:r w:rsidR="007B5662" w:rsidRPr="00803AFF">
        <w:rPr>
          <w:rStyle w:val="Hyperlink"/>
          <w:rFonts w:ascii="Arial" w:hAnsi="Arial" w:cs="Arial"/>
          <w:b/>
          <w:bCs/>
          <w:sz w:val="20"/>
          <w:u w:val="none"/>
        </w:rPr>
        <w:tab/>
        <w:t>Enforcement of costs orders</w:t>
      </w:r>
      <w:r w:rsidR="002C34CB" w:rsidRPr="00803AFF">
        <w:rPr>
          <w:rStyle w:val="Hyperlink"/>
          <w:rFonts w:ascii="Arial" w:hAnsi="Arial" w:cs="Arial"/>
          <w:b/>
          <w:bCs/>
          <w:sz w:val="20"/>
          <w:u w:val="none"/>
        </w:rPr>
        <w:t xml:space="preserve"> made in the Family Division</w:t>
      </w:r>
    </w:p>
    <w:p w14:paraId="74F981FC" w14:textId="3B459FFC" w:rsidR="00971446" w:rsidRPr="00803AFF" w:rsidRDefault="00803AFF" w:rsidP="00971446">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803AFF">
        <w:rPr>
          <w:rFonts w:ascii="Arial" w:hAnsi="Arial" w:cs="Arial"/>
          <w:b/>
          <w:bCs/>
          <w:sz w:val="20"/>
        </w:rPr>
        <w:fldChar w:fldCharType="end"/>
      </w:r>
      <w:r w:rsidR="00971446" w:rsidRPr="00803AFF">
        <w:rPr>
          <w:rFonts w:ascii="Arial" w:hAnsi="Arial" w:cs="Arial"/>
          <w:b/>
          <w:bCs/>
          <w:sz w:val="20"/>
        </w:rPr>
        <w:fldChar w:fldCharType="begin"/>
      </w:r>
      <w:r w:rsidR="00482D33">
        <w:rPr>
          <w:rFonts w:ascii="Arial" w:hAnsi="Arial" w:cs="Arial"/>
          <w:b/>
          <w:bCs/>
          <w:sz w:val="20"/>
        </w:rPr>
        <w:instrText>HYPERLINK  \l "_3.9.7_Costs_against"</w:instrText>
      </w:r>
      <w:r w:rsidR="00971446" w:rsidRPr="00803AFF">
        <w:rPr>
          <w:rFonts w:ascii="Arial" w:hAnsi="Arial" w:cs="Arial"/>
          <w:b/>
          <w:bCs/>
          <w:sz w:val="20"/>
        </w:rPr>
      </w:r>
      <w:r w:rsidR="00971446" w:rsidRPr="00803AFF">
        <w:rPr>
          <w:rFonts w:ascii="Arial" w:hAnsi="Arial" w:cs="Arial"/>
          <w:b/>
          <w:bCs/>
          <w:sz w:val="20"/>
        </w:rPr>
        <w:fldChar w:fldCharType="separate"/>
      </w:r>
      <w:r w:rsidR="00971446" w:rsidRPr="00803AFF">
        <w:rPr>
          <w:rStyle w:val="Hyperlink"/>
          <w:rFonts w:ascii="Arial" w:hAnsi="Arial" w:cs="Arial"/>
          <w:b/>
          <w:bCs/>
          <w:sz w:val="20"/>
          <w:u w:val="none"/>
        </w:rPr>
        <w:tab/>
        <w:t>3.9.</w:t>
      </w:r>
      <w:r w:rsidR="00482D33">
        <w:rPr>
          <w:rStyle w:val="Hyperlink"/>
          <w:rFonts w:ascii="Arial" w:hAnsi="Arial" w:cs="Arial"/>
          <w:b/>
          <w:bCs/>
          <w:sz w:val="20"/>
          <w:u w:val="none"/>
        </w:rPr>
        <w:t>7</w:t>
      </w:r>
      <w:r w:rsidR="00971446" w:rsidRPr="00803AFF">
        <w:rPr>
          <w:rStyle w:val="Hyperlink"/>
          <w:rFonts w:ascii="Arial" w:hAnsi="Arial" w:cs="Arial"/>
          <w:b/>
          <w:bCs/>
          <w:sz w:val="20"/>
          <w:u w:val="none"/>
        </w:rPr>
        <w:tab/>
      </w:r>
      <w:r w:rsidR="00482D33">
        <w:rPr>
          <w:rStyle w:val="Hyperlink"/>
          <w:rFonts w:ascii="Arial" w:hAnsi="Arial" w:cs="Arial"/>
          <w:b/>
          <w:bCs/>
          <w:sz w:val="20"/>
          <w:u w:val="none"/>
        </w:rPr>
        <w:t>Costs against the Court</w:t>
      </w:r>
    </w:p>
    <w:p w14:paraId="3DE26577" w14:textId="4AAF1E1B" w:rsidR="00170463" w:rsidRDefault="00971446" w:rsidP="00170463">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803AFF">
        <w:rPr>
          <w:rFonts w:ascii="Arial" w:hAnsi="Arial" w:cs="Arial"/>
          <w:b/>
          <w:bCs/>
          <w:sz w:val="20"/>
        </w:rPr>
        <w:fldChar w:fldCharType="end"/>
      </w:r>
      <w:r w:rsidR="00170463" w:rsidRPr="00170463">
        <w:rPr>
          <w:rFonts w:ascii="Arial" w:hAnsi="Arial" w:cs="Arial"/>
          <w:b/>
          <w:bCs/>
          <w:sz w:val="20"/>
        </w:rPr>
        <w:tab/>
      </w:r>
      <w:hyperlink w:anchor="_3.9.8_The_Appeal" w:history="1">
        <w:r w:rsidR="00170463" w:rsidRPr="00170463">
          <w:rPr>
            <w:rStyle w:val="Hyperlink"/>
            <w:rFonts w:ascii="Arial" w:hAnsi="Arial" w:cs="Arial"/>
            <w:b/>
            <w:bCs/>
            <w:sz w:val="20"/>
            <w:u w:val="none"/>
          </w:rPr>
          <w:t>3.9.8</w:t>
        </w:r>
        <w:r w:rsidR="00170463" w:rsidRPr="00170463">
          <w:rPr>
            <w:rStyle w:val="Hyperlink"/>
            <w:rFonts w:ascii="Arial" w:hAnsi="Arial" w:cs="Arial"/>
            <w:b/>
            <w:bCs/>
            <w:sz w:val="20"/>
            <w:u w:val="none"/>
          </w:rPr>
          <w:tab/>
        </w:r>
        <w:r w:rsidR="001C3EC1">
          <w:rPr>
            <w:rStyle w:val="Hyperlink"/>
            <w:rFonts w:ascii="Arial" w:hAnsi="Arial" w:cs="Arial"/>
            <w:b/>
            <w:bCs/>
            <w:sz w:val="20"/>
            <w:u w:val="none"/>
          </w:rPr>
          <w:t>Costs i</w:t>
        </w:r>
        <w:r w:rsidR="00411175">
          <w:rPr>
            <w:rStyle w:val="Hyperlink"/>
            <w:rFonts w:ascii="Arial" w:hAnsi="Arial" w:cs="Arial"/>
            <w:b/>
            <w:bCs/>
            <w:sz w:val="20"/>
            <w:u w:val="none"/>
          </w:rPr>
          <w:t xml:space="preserve">ndemnity </w:t>
        </w:r>
        <w:r w:rsidR="001C3EC1">
          <w:rPr>
            <w:rStyle w:val="Hyperlink"/>
            <w:rFonts w:ascii="Arial" w:hAnsi="Arial" w:cs="Arial"/>
            <w:b/>
            <w:bCs/>
            <w:sz w:val="20"/>
            <w:u w:val="none"/>
          </w:rPr>
          <w:t>c</w:t>
        </w:r>
        <w:r w:rsidR="00411175">
          <w:rPr>
            <w:rStyle w:val="Hyperlink"/>
            <w:rFonts w:ascii="Arial" w:hAnsi="Arial" w:cs="Arial"/>
            <w:b/>
            <w:bCs/>
            <w:sz w:val="20"/>
            <w:u w:val="none"/>
          </w:rPr>
          <w:t xml:space="preserve">ertificates under the </w:t>
        </w:r>
        <w:r w:rsidR="00170463" w:rsidRPr="00170463">
          <w:rPr>
            <w:rStyle w:val="Hyperlink"/>
            <w:rFonts w:ascii="Arial" w:hAnsi="Arial" w:cs="Arial"/>
            <w:b/>
            <w:bCs/>
            <w:sz w:val="20"/>
            <w:u w:val="none"/>
          </w:rPr>
          <w:t>Appeal Costs Act</w:t>
        </w:r>
      </w:hyperlink>
    </w:p>
    <w:p w14:paraId="05C2A479" w14:textId="0E7037E5" w:rsidR="008373EF" w:rsidRPr="008373EF" w:rsidRDefault="008373EF" w:rsidP="00170463">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8373EF">
        <w:rPr>
          <w:rStyle w:val="Hyperlink"/>
          <w:rFonts w:ascii="Arial" w:hAnsi="Arial" w:cs="Arial"/>
          <w:b/>
          <w:bCs/>
          <w:sz w:val="20"/>
          <w:u w:val="none"/>
        </w:rPr>
        <w:tab/>
      </w:r>
      <w:hyperlink w:anchor="_3.9.9_Costs_of" w:history="1">
        <w:r w:rsidRPr="008373EF">
          <w:rPr>
            <w:rStyle w:val="Hyperlink"/>
            <w:rFonts w:ascii="Arial" w:hAnsi="Arial" w:cs="Arial"/>
            <w:b/>
            <w:bCs/>
            <w:sz w:val="20"/>
            <w:u w:val="none"/>
          </w:rPr>
          <w:t>3.9.9</w:t>
        </w:r>
        <w:r w:rsidRPr="008373EF">
          <w:rPr>
            <w:rStyle w:val="Hyperlink"/>
            <w:rFonts w:ascii="Arial" w:hAnsi="Arial" w:cs="Arial"/>
            <w:b/>
            <w:bCs/>
            <w:sz w:val="20"/>
            <w:u w:val="none"/>
          </w:rPr>
          <w:tab/>
          <w:t>Costs of an intervener/contradictor</w:t>
        </w:r>
      </w:hyperlink>
    </w:p>
    <w:p w14:paraId="2789804D" w14:textId="0E25ACF8" w:rsidR="00270925" w:rsidRDefault="00270925" w:rsidP="00270925">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170463">
        <w:rPr>
          <w:rFonts w:ascii="Arial" w:hAnsi="Arial" w:cs="Arial"/>
          <w:b/>
          <w:bCs/>
          <w:sz w:val="20"/>
        </w:rPr>
        <w:tab/>
      </w:r>
      <w:hyperlink w:anchor="_3.9.10_Costs_in" w:history="1">
        <w:r w:rsidRPr="00170463">
          <w:rPr>
            <w:rStyle w:val="Hyperlink"/>
            <w:rFonts w:ascii="Arial" w:hAnsi="Arial" w:cs="Arial"/>
            <w:b/>
            <w:bCs/>
            <w:sz w:val="20"/>
            <w:u w:val="none"/>
          </w:rPr>
          <w:t>3.9.</w:t>
        </w:r>
        <w:r>
          <w:rPr>
            <w:rStyle w:val="Hyperlink"/>
            <w:rFonts w:ascii="Arial" w:hAnsi="Arial" w:cs="Arial"/>
            <w:b/>
            <w:bCs/>
            <w:sz w:val="20"/>
            <w:u w:val="none"/>
          </w:rPr>
          <w:t>10 Costs in applications for suppression orders</w:t>
        </w:r>
      </w:hyperlink>
    </w:p>
    <w:p w14:paraId="63EA71DE" w14:textId="172456C6" w:rsidR="00B21DA4" w:rsidRPr="00FD5828" w:rsidRDefault="00B21DA4" w:rsidP="00A72E0C">
      <w:pPr>
        <w:pBdr>
          <w:top w:val="single" w:sz="4" w:space="1" w:color="auto"/>
          <w:left w:val="single" w:sz="4" w:space="4" w:color="auto"/>
          <w:bottom w:val="single" w:sz="4" w:space="1" w:color="auto"/>
          <w:right w:val="single" w:sz="4" w:space="4" w:color="auto"/>
        </w:pBdr>
        <w:tabs>
          <w:tab w:val="left" w:pos="567"/>
        </w:tabs>
        <w:spacing w:before="40"/>
        <w:rPr>
          <w:rFonts w:ascii="Arial" w:hAnsi="Arial" w:cs="Arial"/>
          <w:b/>
          <w:bCs/>
        </w:rPr>
      </w:pPr>
      <w:hyperlink w:anchor="_3.10_Appeals/Reviews" w:history="1">
        <w:r w:rsidRPr="00FD5828">
          <w:rPr>
            <w:rStyle w:val="Hyperlink"/>
            <w:rFonts w:ascii="Arial" w:hAnsi="Arial" w:cs="Arial"/>
            <w:b/>
            <w:bCs/>
            <w:u w:val="none"/>
          </w:rPr>
          <w:t>3.</w:t>
        </w:r>
        <w:r w:rsidR="009F7C91" w:rsidRPr="00FD5828">
          <w:rPr>
            <w:rStyle w:val="Hyperlink"/>
            <w:rFonts w:ascii="Arial" w:hAnsi="Arial" w:cs="Arial"/>
            <w:b/>
            <w:bCs/>
            <w:u w:val="none"/>
          </w:rPr>
          <w:t>10</w:t>
        </w:r>
        <w:r w:rsidRPr="00FD5828">
          <w:rPr>
            <w:rStyle w:val="Hyperlink"/>
            <w:rFonts w:ascii="Arial" w:hAnsi="Arial" w:cs="Arial"/>
            <w:b/>
            <w:bCs/>
            <w:u w:val="none"/>
          </w:rPr>
          <w:tab/>
          <w:t>Appeals</w:t>
        </w:r>
        <w:r w:rsidR="00043500">
          <w:rPr>
            <w:rStyle w:val="Hyperlink"/>
            <w:rFonts w:ascii="Arial" w:hAnsi="Arial" w:cs="Arial"/>
            <w:b/>
            <w:bCs/>
            <w:u w:val="none"/>
          </w:rPr>
          <w:t>/Reviews</w:t>
        </w:r>
      </w:hyperlink>
    </w:p>
    <w:p w14:paraId="795A9F0F" w14:textId="20868211" w:rsidR="00397E3F" w:rsidRPr="00853002" w:rsidRDefault="00397E3F" w:rsidP="00397E3F">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10.1_Appeals_to" w:history="1">
        <w:r w:rsidRPr="00853002">
          <w:rPr>
            <w:rStyle w:val="Hyperlink"/>
            <w:rFonts w:ascii="Arial" w:hAnsi="Arial" w:cs="Arial"/>
            <w:b/>
            <w:bCs/>
            <w:sz w:val="20"/>
            <w:u w:val="none"/>
          </w:rPr>
          <w:tab/>
          <w:t>3.10.1</w:t>
        </w:r>
        <w:r w:rsidRPr="00853002">
          <w:rPr>
            <w:rStyle w:val="Hyperlink"/>
            <w:rFonts w:ascii="Arial" w:hAnsi="Arial" w:cs="Arial"/>
            <w:b/>
            <w:bCs/>
            <w:sz w:val="20"/>
            <w:u w:val="none"/>
          </w:rPr>
          <w:tab/>
          <w:t>Appeals to higher courts</w:t>
        </w:r>
      </w:hyperlink>
    </w:p>
    <w:p w14:paraId="2494F34B" w14:textId="0A9E3A40" w:rsidR="00397E3F" w:rsidRPr="00FD5828" w:rsidRDefault="00397E3F" w:rsidP="00397E3F">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0.2_Reviews_of" w:history="1">
        <w:r w:rsidRPr="00FD5828">
          <w:rPr>
            <w:rStyle w:val="Hyperlink"/>
            <w:rFonts w:ascii="Arial" w:hAnsi="Arial" w:cs="Arial"/>
            <w:b/>
            <w:bCs/>
            <w:sz w:val="20"/>
            <w:u w:val="none"/>
          </w:rPr>
          <w:tab/>
          <w:t>3.</w:t>
        </w:r>
        <w:r>
          <w:rPr>
            <w:rStyle w:val="Hyperlink"/>
            <w:rFonts w:ascii="Arial" w:hAnsi="Arial" w:cs="Arial"/>
            <w:b/>
            <w:bCs/>
            <w:sz w:val="20"/>
            <w:u w:val="none"/>
          </w:rPr>
          <w:t>10</w:t>
        </w:r>
        <w:r w:rsidRPr="00FD5828">
          <w:rPr>
            <w:rStyle w:val="Hyperlink"/>
            <w:rFonts w:ascii="Arial" w:hAnsi="Arial" w:cs="Arial"/>
            <w:b/>
            <w:bCs/>
            <w:sz w:val="20"/>
            <w:u w:val="none"/>
          </w:rPr>
          <w:t>.2</w:t>
        </w:r>
        <w:r w:rsidRPr="00FD5828">
          <w:rPr>
            <w:rStyle w:val="Hyperlink"/>
            <w:rFonts w:ascii="Arial" w:hAnsi="Arial" w:cs="Arial"/>
            <w:b/>
            <w:bCs/>
            <w:sz w:val="20"/>
            <w:u w:val="none"/>
          </w:rPr>
          <w:tab/>
        </w:r>
        <w:r>
          <w:rPr>
            <w:rStyle w:val="Hyperlink"/>
            <w:rFonts w:ascii="Arial" w:hAnsi="Arial" w:cs="Arial"/>
            <w:b/>
            <w:bCs/>
            <w:sz w:val="20"/>
            <w:u w:val="none"/>
          </w:rPr>
          <w:t xml:space="preserve">Reviews of judicial registrars’ </w:t>
        </w:r>
        <w:r w:rsidR="00DE7665">
          <w:rPr>
            <w:rStyle w:val="Hyperlink"/>
            <w:rFonts w:ascii="Arial" w:hAnsi="Arial" w:cs="Arial"/>
            <w:b/>
            <w:bCs/>
            <w:sz w:val="20"/>
            <w:u w:val="none"/>
          </w:rPr>
          <w:t>determination</w:t>
        </w:r>
        <w:r>
          <w:rPr>
            <w:rStyle w:val="Hyperlink"/>
            <w:rFonts w:ascii="Arial" w:hAnsi="Arial" w:cs="Arial"/>
            <w:b/>
            <w:bCs/>
            <w:sz w:val="20"/>
            <w:u w:val="none"/>
          </w:rPr>
          <w:t>s</w:t>
        </w:r>
      </w:hyperlink>
    </w:p>
    <w:p w14:paraId="088D4D6B" w14:textId="79D38987" w:rsidR="00E25E37" w:rsidRDefault="00E25E37" w:rsidP="00E25E37">
      <w:pPr>
        <w:pBdr>
          <w:top w:val="single" w:sz="4" w:space="1" w:color="auto"/>
          <w:left w:val="single" w:sz="4" w:space="4" w:color="auto"/>
          <w:bottom w:val="single" w:sz="4" w:space="1" w:color="auto"/>
          <w:right w:val="single" w:sz="4" w:space="4" w:color="auto"/>
        </w:pBdr>
        <w:tabs>
          <w:tab w:val="left" w:pos="567"/>
        </w:tabs>
      </w:pPr>
      <w:hyperlink w:anchor="_3.10.3_Dismissal_of" w:history="1">
        <w:r w:rsidRPr="00E25E37">
          <w:rPr>
            <w:rStyle w:val="Hyperlink"/>
            <w:rFonts w:ascii="Arial" w:hAnsi="Arial" w:cs="Arial"/>
            <w:b/>
            <w:bCs/>
            <w:sz w:val="20"/>
            <w:u w:val="none"/>
          </w:rPr>
          <w:tab/>
          <w:t>3.10.3</w:t>
        </w:r>
        <w:r w:rsidRPr="00E25E37">
          <w:rPr>
            <w:rStyle w:val="Hyperlink"/>
            <w:rFonts w:ascii="Arial" w:hAnsi="Arial" w:cs="Arial"/>
            <w:b/>
            <w:bCs/>
            <w:sz w:val="20"/>
            <w:u w:val="none"/>
          </w:rPr>
          <w:tab/>
          <w:t>Dismissal of appeal proceeding for want of prosecution</w:t>
        </w:r>
      </w:hyperlink>
    </w:p>
    <w:p w14:paraId="7427E07D" w14:textId="5565D4D8" w:rsidR="00A02ED8" w:rsidRDefault="00A02ED8" w:rsidP="00A02ED8">
      <w:pPr>
        <w:pBdr>
          <w:top w:val="single" w:sz="4" w:space="1" w:color="auto"/>
          <w:left w:val="single" w:sz="4" w:space="4" w:color="auto"/>
          <w:bottom w:val="single" w:sz="4" w:space="1" w:color="auto"/>
          <w:right w:val="single" w:sz="4" w:space="4" w:color="auto"/>
        </w:pBdr>
        <w:tabs>
          <w:tab w:val="left" w:pos="567"/>
        </w:tabs>
      </w:pPr>
      <w:hyperlink w:anchor="_3.10.4_The_role" w:history="1">
        <w:r w:rsidRPr="00E25E37">
          <w:rPr>
            <w:rStyle w:val="Hyperlink"/>
            <w:rFonts w:ascii="Arial" w:hAnsi="Arial" w:cs="Arial"/>
            <w:b/>
            <w:bCs/>
            <w:sz w:val="20"/>
            <w:u w:val="none"/>
          </w:rPr>
          <w:tab/>
          <w:t>3.10.</w:t>
        </w:r>
        <w:r>
          <w:rPr>
            <w:rStyle w:val="Hyperlink"/>
            <w:rFonts w:ascii="Arial" w:hAnsi="Arial" w:cs="Arial"/>
            <w:b/>
            <w:bCs/>
            <w:sz w:val="20"/>
            <w:u w:val="none"/>
          </w:rPr>
          <w:t>4</w:t>
        </w:r>
        <w:r w:rsidRPr="00E25E37">
          <w:rPr>
            <w:rStyle w:val="Hyperlink"/>
            <w:rFonts w:ascii="Arial" w:hAnsi="Arial" w:cs="Arial"/>
            <w:b/>
            <w:bCs/>
            <w:sz w:val="20"/>
            <w:u w:val="none"/>
          </w:rPr>
          <w:tab/>
        </w:r>
        <w:r>
          <w:rPr>
            <w:rStyle w:val="Hyperlink"/>
            <w:rFonts w:ascii="Arial" w:hAnsi="Arial" w:cs="Arial"/>
            <w:b/>
            <w:bCs/>
            <w:sz w:val="20"/>
            <w:u w:val="none"/>
          </w:rPr>
          <w:t xml:space="preserve">The role of </w:t>
        </w:r>
        <w:r w:rsidR="00690031">
          <w:rPr>
            <w:rStyle w:val="Hyperlink"/>
            <w:rFonts w:ascii="Arial" w:hAnsi="Arial" w:cs="Arial"/>
            <w:b/>
            <w:bCs/>
            <w:sz w:val="20"/>
            <w:u w:val="none"/>
          </w:rPr>
          <w:t>the</w:t>
        </w:r>
        <w:r w:rsidR="001E5BEB">
          <w:rPr>
            <w:rStyle w:val="Hyperlink"/>
            <w:rFonts w:ascii="Arial" w:hAnsi="Arial" w:cs="Arial"/>
            <w:b/>
            <w:bCs/>
            <w:sz w:val="20"/>
            <w:u w:val="none"/>
          </w:rPr>
          <w:t xml:space="preserve"> lower c</w:t>
        </w:r>
        <w:r>
          <w:rPr>
            <w:rStyle w:val="Hyperlink"/>
            <w:rFonts w:ascii="Arial" w:hAnsi="Arial" w:cs="Arial"/>
            <w:b/>
            <w:bCs/>
            <w:sz w:val="20"/>
            <w:u w:val="none"/>
          </w:rPr>
          <w:t xml:space="preserve">ourt </w:t>
        </w:r>
        <w:r w:rsidR="00001324">
          <w:rPr>
            <w:rStyle w:val="Hyperlink"/>
            <w:rFonts w:ascii="Arial" w:hAnsi="Arial" w:cs="Arial"/>
            <w:b/>
            <w:bCs/>
            <w:sz w:val="20"/>
            <w:u w:val="none"/>
          </w:rPr>
          <w:t>i</w:t>
        </w:r>
        <w:r>
          <w:rPr>
            <w:rStyle w:val="Hyperlink"/>
            <w:rFonts w:ascii="Arial" w:hAnsi="Arial" w:cs="Arial"/>
            <w:b/>
            <w:bCs/>
            <w:sz w:val="20"/>
            <w:u w:val="none"/>
          </w:rPr>
          <w:t xml:space="preserve">n </w:t>
        </w:r>
        <w:r w:rsidR="00904925">
          <w:rPr>
            <w:rStyle w:val="Hyperlink"/>
            <w:rFonts w:ascii="Arial" w:hAnsi="Arial" w:cs="Arial"/>
            <w:b/>
            <w:bCs/>
            <w:sz w:val="20"/>
            <w:u w:val="none"/>
          </w:rPr>
          <w:t xml:space="preserve">an </w:t>
        </w:r>
        <w:r>
          <w:rPr>
            <w:rStyle w:val="Hyperlink"/>
            <w:rFonts w:ascii="Arial" w:hAnsi="Arial" w:cs="Arial"/>
            <w:b/>
            <w:bCs/>
            <w:sz w:val="20"/>
            <w:u w:val="none"/>
          </w:rPr>
          <w:t>appeal to the Supreme Court</w:t>
        </w:r>
      </w:hyperlink>
    </w:p>
    <w:p w14:paraId="27863919" w14:textId="697C18F0" w:rsidR="00F944D9" w:rsidRPr="00F944D9" w:rsidRDefault="00F944D9" w:rsidP="00F944D9">
      <w:pPr>
        <w:pBdr>
          <w:top w:val="single" w:sz="4" w:space="1" w:color="auto"/>
          <w:left w:val="single" w:sz="4" w:space="4" w:color="auto"/>
          <w:bottom w:val="single" w:sz="4" w:space="1" w:color="auto"/>
          <w:right w:val="single" w:sz="4" w:space="4" w:color="auto"/>
        </w:pBdr>
        <w:tabs>
          <w:tab w:val="left" w:pos="567"/>
        </w:tabs>
        <w:rPr>
          <w:sz w:val="20"/>
          <w:szCs w:val="20"/>
        </w:rPr>
      </w:pPr>
      <w:hyperlink w:anchor="_3.10.5_Interlocutory_appeal" w:history="1">
        <w:r w:rsidRPr="00E25E37">
          <w:rPr>
            <w:rStyle w:val="Hyperlink"/>
            <w:rFonts w:ascii="Arial" w:hAnsi="Arial" w:cs="Arial"/>
            <w:b/>
            <w:bCs/>
            <w:sz w:val="20"/>
            <w:u w:val="none"/>
          </w:rPr>
          <w:tab/>
          <w:t>3.10.</w:t>
        </w:r>
        <w:r>
          <w:rPr>
            <w:rStyle w:val="Hyperlink"/>
            <w:rFonts w:ascii="Arial" w:hAnsi="Arial" w:cs="Arial"/>
            <w:b/>
            <w:bCs/>
            <w:sz w:val="20"/>
            <w:u w:val="none"/>
          </w:rPr>
          <w:t>5</w:t>
        </w:r>
        <w:r w:rsidRPr="00E25E37">
          <w:rPr>
            <w:rStyle w:val="Hyperlink"/>
            <w:rFonts w:ascii="Arial" w:hAnsi="Arial" w:cs="Arial"/>
            <w:b/>
            <w:bCs/>
            <w:sz w:val="20"/>
            <w:u w:val="none"/>
          </w:rPr>
          <w:tab/>
        </w:r>
        <w:r>
          <w:rPr>
            <w:rStyle w:val="Hyperlink"/>
            <w:rFonts w:ascii="Arial" w:hAnsi="Arial" w:cs="Arial"/>
            <w:b/>
            <w:bCs/>
            <w:sz w:val="20"/>
            <w:u w:val="none"/>
          </w:rPr>
          <w:t xml:space="preserve">Interlocutory appeal from decision made </w:t>
        </w:r>
        <w:r w:rsidR="00442A42">
          <w:rPr>
            <w:rStyle w:val="Hyperlink"/>
            <w:rFonts w:ascii="Arial" w:hAnsi="Arial" w:cs="Arial"/>
            <w:b/>
            <w:bCs/>
            <w:sz w:val="20"/>
            <w:u w:val="none"/>
          </w:rPr>
          <w:t>prior to</w:t>
        </w:r>
        <w:r>
          <w:rPr>
            <w:rStyle w:val="Hyperlink"/>
            <w:rFonts w:ascii="Arial" w:hAnsi="Arial" w:cs="Arial"/>
            <w:b/>
            <w:bCs/>
            <w:sz w:val="20"/>
            <w:u w:val="none"/>
          </w:rPr>
          <w:t xml:space="preserve"> or </w:t>
        </w:r>
        <w:r w:rsidR="00915238">
          <w:rPr>
            <w:rStyle w:val="Hyperlink"/>
            <w:rFonts w:ascii="Arial" w:hAnsi="Arial" w:cs="Arial"/>
            <w:b/>
            <w:bCs/>
            <w:sz w:val="20"/>
            <w:u w:val="none"/>
          </w:rPr>
          <w:t>during</w:t>
        </w:r>
        <w:r>
          <w:rPr>
            <w:rStyle w:val="Hyperlink"/>
            <w:rFonts w:ascii="Arial" w:hAnsi="Arial" w:cs="Arial"/>
            <w:b/>
            <w:bCs/>
            <w:sz w:val="20"/>
            <w:u w:val="none"/>
          </w:rPr>
          <w:t xml:space="preserve"> a superior court trial</w:t>
        </w:r>
      </w:hyperlink>
    </w:p>
    <w:p w14:paraId="0ACB2317" w14:textId="10B88587" w:rsidR="00F46A92" w:rsidRPr="00F944D9" w:rsidRDefault="00F46A92" w:rsidP="00F46A92">
      <w:pPr>
        <w:pBdr>
          <w:top w:val="single" w:sz="4" w:space="1" w:color="auto"/>
          <w:left w:val="single" w:sz="4" w:space="4" w:color="auto"/>
          <w:bottom w:val="single" w:sz="4" w:space="1" w:color="auto"/>
          <w:right w:val="single" w:sz="4" w:space="4" w:color="auto"/>
        </w:pBdr>
        <w:tabs>
          <w:tab w:val="left" w:pos="567"/>
        </w:tabs>
        <w:rPr>
          <w:sz w:val="20"/>
          <w:szCs w:val="20"/>
        </w:rPr>
      </w:pPr>
      <w:hyperlink w:anchor="_3.10.6_Pre-conditions_for" w:history="1">
        <w:r w:rsidRPr="00E25E37">
          <w:rPr>
            <w:rStyle w:val="Hyperlink"/>
            <w:rFonts w:ascii="Arial" w:hAnsi="Arial" w:cs="Arial"/>
            <w:b/>
            <w:bCs/>
            <w:sz w:val="20"/>
            <w:u w:val="none"/>
          </w:rPr>
          <w:tab/>
          <w:t>3.10.</w:t>
        </w:r>
        <w:r>
          <w:rPr>
            <w:rStyle w:val="Hyperlink"/>
            <w:rFonts w:ascii="Arial" w:hAnsi="Arial" w:cs="Arial"/>
            <w:b/>
            <w:bCs/>
            <w:sz w:val="20"/>
            <w:u w:val="none"/>
          </w:rPr>
          <w:t>6</w:t>
        </w:r>
        <w:r w:rsidRPr="00E25E37">
          <w:rPr>
            <w:rStyle w:val="Hyperlink"/>
            <w:rFonts w:ascii="Arial" w:hAnsi="Arial" w:cs="Arial"/>
            <w:b/>
            <w:bCs/>
            <w:sz w:val="20"/>
            <w:u w:val="none"/>
          </w:rPr>
          <w:tab/>
        </w:r>
        <w:r>
          <w:rPr>
            <w:rStyle w:val="Hyperlink"/>
            <w:rFonts w:ascii="Arial" w:hAnsi="Arial" w:cs="Arial"/>
            <w:b/>
            <w:bCs/>
            <w:sz w:val="20"/>
            <w:u w:val="none"/>
          </w:rPr>
          <w:t>Pre-conditions for granting a stay pending appeal</w:t>
        </w:r>
      </w:hyperlink>
    </w:p>
    <w:p w14:paraId="341F37DA" w14:textId="6E7D4051" w:rsidR="00B21DA4" w:rsidRDefault="009F7C91" w:rsidP="00634C08">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rPr>
      </w:pPr>
      <w:hyperlink w:anchor="_3.11_Case_stated_1" w:history="1">
        <w:r w:rsidRPr="00FD5828">
          <w:rPr>
            <w:rStyle w:val="Hyperlink"/>
            <w:rFonts w:ascii="Arial" w:hAnsi="Arial" w:cs="Arial"/>
            <w:b/>
            <w:bCs/>
            <w:u w:val="none"/>
          </w:rPr>
          <w:t>3.11</w:t>
        </w:r>
        <w:r w:rsidR="003C751E" w:rsidRPr="00FD5828">
          <w:rPr>
            <w:rStyle w:val="Hyperlink"/>
            <w:rFonts w:ascii="Arial" w:hAnsi="Arial" w:cs="Arial"/>
            <w:b/>
            <w:bCs/>
            <w:u w:val="none"/>
          </w:rPr>
          <w:tab/>
          <w:t>Case stated</w:t>
        </w:r>
      </w:hyperlink>
    </w:p>
    <w:p w14:paraId="2CAE76BF" w14:textId="77777777" w:rsidR="00592CF8" w:rsidRPr="00592CF8" w:rsidRDefault="00592CF8" w:rsidP="00634C08">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12_The_Children’s" w:history="1">
        <w:r w:rsidRPr="00592CF8">
          <w:rPr>
            <w:rStyle w:val="Hyperlink"/>
            <w:rFonts w:ascii="Arial" w:hAnsi="Arial" w:cs="Arial"/>
            <w:b/>
            <w:bCs/>
            <w:u w:val="none"/>
          </w:rPr>
          <w:t>3.12</w:t>
        </w:r>
        <w:r w:rsidRPr="00592CF8">
          <w:rPr>
            <w:rStyle w:val="Hyperlink"/>
            <w:rFonts w:ascii="Arial" w:hAnsi="Arial" w:cs="Arial"/>
            <w:b/>
            <w:bCs/>
            <w:u w:val="none"/>
          </w:rPr>
          <w:tab/>
          <w:t>The Children’s Court’s information-sharing role</w:t>
        </w:r>
      </w:hyperlink>
    </w:p>
    <w:p w14:paraId="52B19D14" w14:textId="09076CED" w:rsidR="00B7111B" w:rsidRPr="00592CF8" w:rsidRDefault="00B7111B" w:rsidP="00634C08">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13_Court’s_powers" w:history="1">
        <w:r w:rsidRPr="00592CF8">
          <w:rPr>
            <w:rStyle w:val="Hyperlink"/>
            <w:rFonts w:ascii="Arial" w:hAnsi="Arial" w:cs="Arial"/>
            <w:b/>
            <w:bCs/>
            <w:u w:val="none"/>
          </w:rPr>
          <w:t>3.1</w:t>
        </w:r>
        <w:r>
          <w:rPr>
            <w:rStyle w:val="Hyperlink"/>
            <w:rFonts w:ascii="Arial" w:hAnsi="Arial" w:cs="Arial"/>
            <w:b/>
            <w:bCs/>
            <w:u w:val="none"/>
          </w:rPr>
          <w:t>3</w:t>
        </w:r>
        <w:r w:rsidRPr="00592CF8">
          <w:rPr>
            <w:rStyle w:val="Hyperlink"/>
            <w:rFonts w:ascii="Arial" w:hAnsi="Arial" w:cs="Arial"/>
            <w:b/>
            <w:bCs/>
            <w:u w:val="none"/>
          </w:rPr>
          <w:tab/>
        </w:r>
        <w:r w:rsidR="005D1CA1">
          <w:rPr>
            <w:rStyle w:val="Hyperlink"/>
            <w:rFonts w:ascii="Arial" w:hAnsi="Arial" w:cs="Arial"/>
            <w:b/>
            <w:bCs/>
            <w:u w:val="none"/>
          </w:rPr>
          <w:t>Interstate e</w:t>
        </w:r>
        <w:r w:rsidR="00D60B6A">
          <w:rPr>
            <w:rStyle w:val="Hyperlink"/>
            <w:rFonts w:ascii="Arial" w:hAnsi="Arial" w:cs="Arial"/>
            <w:b/>
            <w:bCs/>
            <w:u w:val="none"/>
          </w:rPr>
          <w:t>xecution</w:t>
        </w:r>
      </w:hyperlink>
      <w:hyperlink w:anchor="_3.13_Execution_of" w:history="1">
        <w:r w:rsidR="00D60B6A" w:rsidRPr="00D60B6A">
          <w:rPr>
            <w:rStyle w:val="Hyperlink"/>
            <w:rFonts w:ascii="Arial" w:hAnsi="Arial" w:cs="Arial"/>
            <w:b/>
            <w:bCs/>
            <w:u w:val="none"/>
          </w:rPr>
          <w:t xml:space="preserve"> of warrants issued by </w:t>
        </w:r>
        <w:r w:rsidR="005D1CA1">
          <w:rPr>
            <w:rStyle w:val="Hyperlink"/>
            <w:rFonts w:ascii="Arial" w:hAnsi="Arial" w:cs="Arial"/>
            <w:b/>
            <w:bCs/>
            <w:u w:val="none"/>
          </w:rPr>
          <w:t>Australian state</w:t>
        </w:r>
        <w:r w:rsidR="00D60B6A" w:rsidRPr="00D60B6A">
          <w:rPr>
            <w:rStyle w:val="Hyperlink"/>
            <w:rFonts w:ascii="Arial" w:hAnsi="Arial" w:cs="Arial"/>
            <w:b/>
            <w:bCs/>
            <w:u w:val="none"/>
          </w:rPr>
          <w:t xml:space="preserve"> courts</w:t>
        </w:r>
      </w:hyperlink>
    </w:p>
    <w:p w14:paraId="3A96B693" w14:textId="2D63C32C" w:rsidR="00BA2C61" w:rsidRDefault="00BA2C61" w:rsidP="00634C08">
      <w:pPr>
        <w:pBdr>
          <w:top w:val="single" w:sz="4" w:space="1" w:color="auto"/>
          <w:left w:val="single" w:sz="4" w:space="4" w:color="auto"/>
          <w:bottom w:val="single" w:sz="4" w:space="1" w:color="auto"/>
          <w:right w:val="single" w:sz="4" w:space="4" w:color="auto"/>
        </w:pBdr>
        <w:tabs>
          <w:tab w:val="left" w:pos="567"/>
        </w:tabs>
        <w:spacing w:before="20"/>
        <w:rPr>
          <w:rStyle w:val="Hyperlink"/>
          <w:rFonts w:ascii="Arial" w:hAnsi="Arial" w:cs="Arial"/>
          <w:b/>
          <w:bCs/>
          <w:u w:val="none"/>
        </w:rPr>
      </w:pPr>
      <w:hyperlink w:anchor="_3.14_The_Child" w:history="1">
        <w:r w:rsidRPr="00592CF8">
          <w:rPr>
            <w:rStyle w:val="Hyperlink"/>
            <w:rFonts w:ascii="Arial" w:hAnsi="Arial" w:cs="Arial"/>
            <w:b/>
            <w:bCs/>
            <w:u w:val="none"/>
          </w:rPr>
          <w:t>3.1</w:t>
        </w:r>
        <w:r>
          <w:rPr>
            <w:rStyle w:val="Hyperlink"/>
            <w:rFonts w:ascii="Arial" w:hAnsi="Arial" w:cs="Arial"/>
            <w:b/>
            <w:bCs/>
            <w:u w:val="none"/>
          </w:rPr>
          <w:t>4</w:t>
        </w:r>
        <w:r w:rsidRPr="00592CF8">
          <w:rPr>
            <w:rStyle w:val="Hyperlink"/>
            <w:rFonts w:ascii="Arial" w:hAnsi="Arial" w:cs="Arial"/>
            <w:b/>
            <w:bCs/>
            <w:u w:val="none"/>
          </w:rPr>
          <w:tab/>
        </w:r>
        <w:r>
          <w:rPr>
            <w:rStyle w:val="Hyperlink"/>
            <w:rFonts w:ascii="Arial" w:hAnsi="Arial" w:cs="Arial"/>
            <w:b/>
            <w:bCs/>
            <w:u w:val="none"/>
          </w:rPr>
          <w:t>Victorian Civil and Administrative Tribunal</w:t>
        </w:r>
      </w:hyperlink>
      <w:r w:rsidR="008B692E">
        <w:rPr>
          <w:rStyle w:val="Hyperlink"/>
          <w:rFonts w:ascii="Arial" w:hAnsi="Arial" w:cs="Arial"/>
          <w:b/>
          <w:bCs/>
          <w:u w:val="none"/>
        </w:rPr>
        <w:t>’s child protection jurisdiction</w:t>
      </w:r>
    </w:p>
    <w:p w14:paraId="2A97827F" w14:textId="046FE0F6" w:rsidR="003A3428" w:rsidRPr="003A3428" w:rsidRDefault="003A3428" w:rsidP="00634C08">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15_Use_of" w:history="1">
        <w:r w:rsidRPr="003A3428">
          <w:rPr>
            <w:rStyle w:val="Hyperlink"/>
            <w:rFonts w:ascii="Arial" w:hAnsi="Arial" w:cs="Arial"/>
            <w:b/>
            <w:bCs/>
            <w:u w:val="none"/>
          </w:rPr>
          <w:t>3.15</w:t>
        </w:r>
        <w:r w:rsidRPr="003A3428">
          <w:rPr>
            <w:rStyle w:val="Hyperlink"/>
            <w:rFonts w:ascii="Arial" w:hAnsi="Arial" w:cs="Arial"/>
            <w:b/>
            <w:bCs/>
            <w:u w:val="none"/>
          </w:rPr>
          <w:tab/>
          <w:t>Use of a</w:t>
        </w:r>
        <w:r w:rsidRPr="00AD54C1">
          <w:rPr>
            <w:rStyle w:val="Hyperlink"/>
            <w:rFonts w:ascii="Arial" w:hAnsi="Arial" w:cs="Arial"/>
            <w:b/>
            <w:bCs/>
            <w:u w:val="none"/>
          </w:rPr>
          <w:t>rtifi</w:t>
        </w:r>
        <w:r w:rsidRPr="003A3428">
          <w:rPr>
            <w:rStyle w:val="Hyperlink"/>
            <w:rFonts w:ascii="Arial" w:hAnsi="Arial" w:cs="Arial"/>
            <w:b/>
            <w:bCs/>
            <w:u w:val="none"/>
          </w:rPr>
          <w:t>cial intelligence [AI] in Victoria</w:t>
        </w:r>
        <w:r w:rsidR="007934BF">
          <w:rPr>
            <w:rStyle w:val="Hyperlink"/>
            <w:rFonts w:ascii="Arial" w:hAnsi="Arial" w:cs="Arial"/>
            <w:b/>
            <w:bCs/>
            <w:u w:val="none"/>
          </w:rPr>
          <w:t>’s</w:t>
        </w:r>
        <w:r w:rsidRPr="003A3428">
          <w:rPr>
            <w:rStyle w:val="Hyperlink"/>
            <w:rFonts w:ascii="Arial" w:hAnsi="Arial" w:cs="Arial"/>
            <w:b/>
            <w:bCs/>
            <w:u w:val="none"/>
          </w:rPr>
          <w:t xml:space="preserve"> courts and tribunals</w:t>
        </w:r>
      </w:hyperlink>
    </w:p>
    <w:p w14:paraId="1D8FF43A" w14:textId="39C3BA8E" w:rsidR="00AD54C1" w:rsidRPr="00853002" w:rsidRDefault="00AD54C1" w:rsidP="00AD54C1">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15.1_Caution_re" w:history="1">
        <w:r w:rsidRPr="00853002">
          <w:rPr>
            <w:rStyle w:val="Hyperlink"/>
            <w:rFonts w:ascii="Arial" w:hAnsi="Arial" w:cs="Arial"/>
            <w:b/>
            <w:bCs/>
            <w:sz w:val="20"/>
            <w:u w:val="none"/>
          </w:rPr>
          <w:tab/>
          <w:t>3.1</w:t>
        </w:r>
        <w:r>
          <w:rPr>
            <w:rStyle w:val="Hyperlink"/>
            <w:rFonts w:ascii="Arial" w:hAnsi="Arial" w:cs="Arial"/>
            <w:b/>
            <w:bCs/>
            <w:sz w:val="20"/>
            <w:u w:val="none"/>
          </w:rPr>
          <w:t>5</w:t>
        </w:r>
        <w:r w:rsidRPr="00853002">
          <w:rPr>
            <w:rStyle w:val="Hyperlink"/>
            <w:rFonts w:ascii="Arial" w:hAnsi="Arial" w:cs="Arial"/>
            <w:b/>
            <w:bCs/>
            <w:sz w:val="20"/>
            <w:u w:val="none"/>
          </w:rPr>
          <w:t>.1</w:t>
        </w:r>
        <w:r w:rsidRPr="00853002">
          <w:rPr>
            <w:rStyle w:val="Hyperlink"/>
            <w:rFonts w:ascii="Arial" w:hAnsi="Arial" w:cs="Arial"/>
            <w:b/>
            <w:bCs/>
            <w:sz w:val="20"/>
            <w:u w:val="none"/>
          </w:rPr>
          <w:tab/>
        </w:r>
        <w:r>
          <w:rPr>
            <w:rStyle w:val="Hyperlink"/>
            <w:rFonts w:ascii="Arial" w:hAnsi="Arial" w:cs="Arial"/>
            <w:b/>
            <w:bCs/>
            <w:sz w:val="20"/>
            <w:u w:val="none"/>
          </w:rPr>
          <w:t>Caution re use of AI tools in preparation of sensitive document</w:t>
        </w:r>
        <w:r w:rsidRPr="00853002">
          <w:rPr>
            <w:rStyle w:val="Hyperlink"/>
            <w:rFonts w:ascii="Arial" w:hAnsi="Arial" w:cs="Arial"/>
            <w:b/>
            <w:bCs/>
            <w:sz w:val="20"/>
            <w:u w:val="none"/>
          </w:rPr>
          <w:t>s</w:t>
        </w:r>
      </w:hyperlink>
    </w:p>
    <w:p w14:paraId="2B57F213" w14:textId="61543943" w:rsidR="003A3428" w:rsidRPr="00FD5828" w:rsidRDefault="003A3428" w:rsidP="003A3428">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5.2_VLRC_guidelines" w:history="1">
        <w:r w:rsidRPr="00FD5828">
          <w:rPr>
            <w:rStyle w:val="Hyperlink"/>
            <w:rFonts w:ascii="Arial" w:hAnsi="Arial" w:cs="Arial"/>
            <w:b/>
            <w:bCs/>
            <w:sz w:val="20"/>
            <w:u w:val="none"/>
          </w:rPr>
          <w:tab/>
          <w:t>3.</w:t>
        </w:r>
        <w:r>
          <w:rPr>
            <w:rStyle w:val="Hyperlink"/>
            <w:rFonts w:ascii="Arial" w:hAnsi="Arial" w:cs="Arial"/>
            <w:b/>
            <w:bCs/>
            <w:sz w:val="20"/>
            <w:u w:val="none"/>
          </w:rPr>
          <w:t>15</w:t>
        </w:r>
        <w:r w:rsidRPr="00FD5828">
          <w:rPr>
            <w:rStyle w:val="Hyperlink"/>
            <w:rFonts w:ascii="Arial" w:hAnsi="Arial" w:cs="Arial"/>
            <w:b/>
            <w:bCs/>
            <w:sz w:val="20"/>
            <w:u w:val="none"/>
          </w:rPr>
          <w:t>.2</w:t>
        </w:r>
        <w:r w:rsidRPr="00FD5828">
          <w:rPr>
            <w:rStyle w:val="Hyperlink"/>
            <w:rFonts w:ascii="Arial" w:hAnsi="Arial" w:cs="Arial"/>
            <w:b/>
            <w:bCs/>
            <w:sz w:val="20"/>
            <w:u w:val="none"/>
          </w:rPr>
          <w:tab/>
        </w:r>
        <w:r w:rsidR="00AD54C1">
          <w:rPr>
            <w:rStyle w:val="Hyperlink"/>
            <w:rFonts w:ascii="Arial" w:hAnsi="Arial" w:cs="Arial"/>
            <w:b/>
            <w:bCs/>
            <w:sz w:val="20"/>
            <w:u w:val="none"/>
          </w:rPr>
          <w:t>V</w:t>
        </w:r>
        <w:r w:rsidR="00712E08">
          <w:rPr>
            <w:rStyle w:val="Hyperlink"/>
            <w:rFonts w:ascii="Arial" w:hAnsi="Arial" w:cs="Arial"/>
            <w:b/>
            <w:bCs/>
            <w:sz w:val="20"/>
            <w:u w:val="none"/>
          </w:rPr>
          <w:t>LRC report &amp; recommendations re the safe use of AI in Vic’ courts &amp; tribunals</w:t>
        </w:r>
      </w:hyperlink>
    </w:p>
    <w:p w14:paraId="79FAA8E2" w14:textId="4CF70CB0" w:rsidR="00DC118D" w:rsidRPr="00FD5828" w:rsidRDefault="00DC118D" w:rsidP="00DC118D">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5.3_The_Supreme" w:history="1">
        <w:r w:rsidRPr="00FD5828">
          <w:rPr>
            <w:rStyle w:val="Hyperlink"/>
            <w:rFonts w:ascii="Arial" w:hAnsi="Arial" w:cs="Arial"/>
            <w:b/>
            <w:bCs/>
            <w:sz w:val="20"/>
            <w:u w:val="none"/>
          </w:rPr>
          <w:tab/>
          <w:t>3.</w:t>
        </w:r>
        <w:r>
          <w:rPr>
            <w:rStyle w:val="Hyperlink"/>
            <w:rFonts w:ascii="Arial" w:hAnsi="Arial" w:cs="Arial"/>
            <w:b/>
            <w:bCs/>
            <w:sz w:val="20"/>
            <w:u w:val="none"/>
          </w:rPr>
          <w:t>15</w:t>
        </w:r>
        <w:r w:rsidRPr="00FD5828">
          <w:rPr>
            <w:rStyle w:val="Hyperlink"/>
            <w:rFonts w:ascii="Arial" w:hAnsi="Arial" w:cs="Arial"/>
            <w:b/>
            <w:bCs/>
            <w:sz w:val="20"/>
            <w:u w:val="none"/>
          </w:rPr>
          <w:t>.</w:t>
        </w:r>
        <w:r>
          <w:rPr>
            <w:rStyle w:val="Hyperlink"/>
            <w:rFonts w:ascii="Arial" w:hAnsi="Arial" w:cs="Arial"/>
            <w:b/>
            <w:bCs/>
            <w:sz w:val="20"/>
            <w:u w:val="none"/>
          </w:rPr>
          <w:t>3</w:t>
        </w:r>
        <w:r w:rsidRPr="00FD5828">
          <w:rPr>
            <w:rStyle w:val="Hyperlink"/>
            <w:rFonts w:ascii="Arial" w:hAnsi="Arial" w:cs="Arial"/>
            <w:b/>
            <w:bCs/>
            <w:sz w:val="20"/>
            <w:u w:val="none"/>
          </w:rPr>
          <w:tab/>
        </w:r>
        <w:r>
          <w:rPr>
            <w:rStyle w:val="Hyperlink"/>
            <w:rFonts w:ascii="Arial" w:hAnsi="Arial" w:cs="Arial"/>
            <w:b/>
            <w:bCs/>
            <w:sz w:val="20"/>
            <w:u w:val="none"/>
          </w:rPr>
          <w:t>The Supreme Court’s Guidelines for Litigants: Responsible use of AI</w:t>
        </w:r>
      </w:hyperlink>
    </w:p>
    <w:p w14:paraId="4112D5A1" w14:textId="77777777" w:rsidR="00DC118D" w:rsidRPr="0093301E" w:rsidRDefault="00DC118D" w:rsidP="00081C0C">
      <w:pPr>
        <w:pBdr>
          <w:top w:val="single" w:sz="4" w:space="1" w:color="auto"/>
          <w:left w:val="single" w:sz="4" w:space="4" w:color="auto"/>
          <w:bottom w:val="single" w:sz="4" w:space="1" w:color="auto"/>
          <w:right w:val="single" w:sz="4" w:space="4" w:color="auto"/>
        </w:pBdr>
        <w:jc w:val="both"/>
        <w:rPr>
          <w:rFonts w:ascii="Arial" w:hAnsi="Arial" w:cs="Arial"/>
          <w:sz w:val="4"/>
          <w:szCs w:val="20"/>
        </w:rPr>
      </w:pPr>
    </w:p>
    <w:p w14:paraId="11BB28D5" w14:textId="77777777" w:rsidR="001222C4" w:rsidRPr="000F6CBB" w:rsidRDefault="001222C4" w:rsidP="000F6CBB">
      <w:pPr>
        <w:shd w:val="clear" w:color="auto" w:fill="000000" w:themeFill="text1"/>
        <w:ind w:right="-113"/>
        <w:jc w:val="center"/>
        <w:rPr>
          <w:rFonts w:ascii="Arial" w:hAnsi="Arial" w:cs="Arial"/>
          <w:b/>
          <w:bCs/>
          <w:color w:val="000000" w:themeColor="text1"/>
          <w:sz w:val="22"/>
          <w:szCs w:val="22"/>
        </w:rPr>
      </w:pPr>
      <w:bookmarkStart w:id="44" w:name="_Toc30608804"/>
      <w:bookmarkStart w:id="45" w:name="_Toc30610018"/>
      <w:bookmarkStart w:id="46" w:name="_Toc30610262"/>
      <w:bookmarkStart w:id="47" w:name="_Toc30638416"/>
      <w:bookmarkStart w:id="48" w:name="_Toc30644225"/>
      <w:bookmarkStart w:id="49" w:name="_Toc30644628"/>
      <w:bookmarkStart w:id="50" w:name="_Toc30645178"/>
      <w:bookmarkStart w:id="51" w:name="_Toc30646389"/>
      <w:bookmarkStart w:id="52" w:name="_Toc30646684"/>
      <w:bookmarkStart w:id="53" w:name="_Toc30646795"/>
      <w:bookmarkStart w:id="54" w:name="_Toc30648152"/>
      <w:bookmarkStart w:id="55" w:name="_Toc30649050"/>
      <w:bookmarkStart w:id="56" w:name="_Toc30649126"/>
      <w:bookmarkStart w:id="57" w:name="_Toc30649387"/>
      <w:bookmarkStart w:id="58" w:name="_Toc30649707"/>
      <w:bookmarkStart w:id="59" w:name="_Toc30651641"/>
      <w:bookmarkStart w:id="60" w:name="_Toc30652625"/>
      <w:bookmarkStart w:id="61" w:name="_Toc30652723"/>
      <w:bookmarkStart w:id="62" w:name="_Toc30654068"/>
      <w:bookmarkStart w:id="63" w:name="_Toc30654419"/>
      <w:bookmarkStart w:id="64" w:name="_Toc30655038"/>
      <w:bookmarkStart w:id="65" w:name="_Toc30655295"/>
      <w:bookmarkStart w:id="66" w:name="_Toc30656973"/>
      <w:bookmarkStart w:id="67" w:name="_Toc30661722"/>
      <w:bookmarkStart w:id="68" w:name="_Toc30666410"/>
      <w:bookmarkStart w:id="69" w:name="_Toc30666640"/>
      <w:bookmarkStart w:id="70" w:name="_Toc30667815"/>
      <w:bookmarkStart w:id="71" w:name="_Toc30669193"/>
      <w:bookmarkStart w:id="72" w:name="_Toc30671409"/>
      <w:bookmarkStart w:id="73" w:name="_Toc30673936"/>
      <w:bookmarkStart w:id="74" w:name="_Toc30691158"/>
      <w:bookmarkStart w:id="75" w:name="_Toc30691529"/>
      <w:bookmarkStart w:id="76" w:name="_Toc30691909"/>
      <w:bookmarkStart w:id="77" w:name="_Toc30692668"/>
      <w:bookmarkStart w:id="78" w:name="_Toc30693047"/>
      <w:bookmarkStart w:id="79" w:name="_Toc30693425"/>
      <w:bookmarkStart w:id="80" w:name="_Toc30693804"/>
      <w:bookmarkStart w:id="81" w:name="_Toc30694185"/>
      <w:bookmarkStart w:id="82" w:name="_Toc30698774"/>
      <w:bookmarkStart w:id="83" w:name="_Toc30699152"/>
      <w:bookmarkStart w:id="84" w:name="_Toc30699537"/>
      <w:bookmarkStart w:id="85" w:name="_Toc30700692"/>
      <w:bookmarkStart w:id="86" w:name="_Toc30701079"/>
      <w:bookmarkStart w:id="87" w:name="_Toc30743688"/>
      <w:bookmarkStart w:id="88" w:name="_Toc30754510"/>
      <w:bookmarkStart w:id="89" w:name="_Toc30756950"/>
      <w:bookmarkStart w:id="90" w:name="_Toc30757499"/>
      <w:bookmarkStart w:id="91" w:name="_Toc30757899"/>
      <w:bookmarkStart w:id="92" w:name="_Toc30762660"/>
      <w:bookmarkStart w:id="93" w:name="_Toc30767314"/>
      <w:bookmarkStart w:id="94" w:name="_Toc34823330"/>
      <w:r w:rsidRPr="005A28E0">
        <w:rPr>
          <w:rFonts w:ascii="Arial" w:hAnsi="Arial" w:cs="Arial"/>
          <w:b/>
          <w:bCs/>
          <w:sz w:val="22"/>
          <w:szCs w:val="22"/>
        </w:rPr>
        <w:lastRenderedPageBreak/>
        <w:t>UNLESS INDICATED OTHERWISE, ALL LEGISLATION REFERRED TO IS VICTORIAN.</w:t>
      </w:r>
    </w:p>
    <w:p w14:paraId="3031A712" w14:textId="77777777" w:rsidR="00F46A92" w:rsidRPr="00F46A92" w:rsidRDefault="00F46A92" w:rsidP="00F46A92">
      <w:pPr>
        <w:pStyle w:val="Heading2"/>
        <w:widowControl/>
        <w:tabs>
          <w:tab w:val="left" w:pos="567"/>
        </w:tabs>
        <w:spacing w:line="240" w:lineRule="auto"/>
        <w:rPr>
          <w:rFonts w:ascii="Arial" w:hAnsi="Arial" w:cs="Arial"/>
          <w:sz w:val="20"/>
          <w:szCs w:val="16"/>
        </w:rPr>
      </w:pPr>
      <w:bookmarkStart w:id="95" w:name="_3.1_Roles_of"/>
      <w:bookmarkStart w:id="96" w:name="B31"/>
      <w:bookmarkStart w:id="97" w:name="_3.1_Roles_of_1"/>
      <w:bookmarkStart w:id="98" w:name="_Hlk199139022"/>
      <w:bookmarkEnd w:id="95"/>
      <w:bookmarkEnd w:id="96"/>
      <w:bookmarkEnd w:id="97"/>
    </w:p>
    <w:p w14:paraId="6410EAA2" w14:textId="297CB4D2" w:rsidR="00B21DA4" w:rsidRDefault="00B21DA4" w:rsidP="00F46A92">
      <w:pPr>
        <w:pStyle w:val="Heading2"/>
        <w:widowControl/>
        <w:tabs>
          <w:tab w:val="left" w:pos="567"/>
        </w:tabs>
        <w:spacing w:line="240" w:lineRule="auto"/>
        <w:rPr>
          <w:rFonts w:ascii="Arial" w:hAnsi="Arial" w:cs="Arial"/>
          <w:b/>
          <w:bCs/>
        </w:rPr>
      </w:pPr>
      <w:r>
        <w:rPr>
          <w:rFonts w:ascii="Arial" w:hAnsi="Arial" w:cs="Arial"/>
          <w:b/>
          <w:bCs/>
        </w:rPr>
        <w:t>3.1</w:t>
      </w:r>
      <w:r>
        <w:rPr>
          <w:rFonts w:ascii="Arial" w:hAnsi="Arial" w:cs="Arial"/>
          <w:b/>
          <w:bCs/>
        </w:rPr>
        <w:tab/>
        <w:t>Roles of judicial officers</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8062349" w14:textId="77777777" w:rsidR="00B21DA4" w:rsidRPr="000C6804" w:rsidRDefault="00B21DA4" w:rsidP="001222C4">
      <w:pPr>
        <w:rPr>
          <w:rFonts w:ascii="Arial" w:hAnsi="Arial" w:cs="Arial"/>
          <w:sz w:val="20"/>
        </w:rPr>
      </w:pPr>
    </w:p>
    <w:p w14:paraId="1E84B0F1" w14:textId="1384690D" w:rsidR="00066AA6" w:rsidRDefault="00066AA6" w:rsidP="001222C4">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 xml:space="preserve">"I've been a judge for 21 years.  </w:t>
      </w:r>
      <w:r w:rsidR="00AA0AC2">
        <w:rPr>
          <w:rFonts w:ascii="Arial" w:hAnsi="Arial" w:cs="Arial"/>
          <w:b/>
          <w:bCs/>
          <w:sz w:val="20"/>
        </w:rPr>
        <w:t>The voices have kept at me and at me.  M</w:t>
      </w:r>
      <w:r>
        <w:rPr>
          <w:rFonts w:ascii="Arial" w:hAnsi="Arial" w:cs="Arial"/>
          <w:b/>
          <w:bCs/>
          <w:sz w:val="20"/>
        </w:rPr>
        <w:t>ellifluous,</w:t>
      </w:r>
      <w:r w:rsidR="00AA0AC2">
        <w:rPr>
          <w:rFonts w:ascii="Arial" w:hAnsi="Arial" w:cs="Arial"/>
          <w:b/>
          <w:bCs/>
          <w:sz w:val="20"/>
        </w:rPr>
        <w:t> </w:t>
      </w:r>
      <w:r>
        <w:rPr>
          <w:rFonts w:ascii="Arial" w:hAnsi="Arial" w:cs="Arial"/>
          <w:b/>
          <w:bCs/>
          <w:sz w:val="20"/>
        </w:rPr>
        <w:t>s</w:t>
      </w:r>
      <w:r w:rsidR="00AA0AC2">
        <w:rPr>
          <w:rFonts w:ascii="Arial" w:hAnsi="Arial" w:cs="Arial"/>
          <w:b/>
          <w:bCs/>
          <w:sz w:val="20"/>
        </w:rPr>
        <w:t>trident, sad, cool, persuasive, angry – voices demanding justice </w:t>
      </w:r>
      <w:r w:rsidR="00A31FFA">
        <w:rPr>
          <w:rFonts w:ascii="Arial" w:hAnsi="Arial" w:cs="Arial"/>
          <w:b/>
          <w:bCs/>
          <w:sz w:val="20"/>
        </w:rPr>
        <w:t>–</w:t>
      </w:r>
      <w:r w:rsidR="00AA0AC2">
        <w:rPr>
          <w:rFonts w:ascii="Arial" w:hAnsi="Arial" w:cs="Arial"/>
          <w:b/>
          <w:bCs/>
          <w:sz w:val="20"/>
        </w:rPr>
        <w:t> voices insisting upon the law – some voices wanting both.</w:t>
      </w:r>
      <w:r>
        <w:rPr>
          <w:rFonts w:ascii="Arial" w:hAnsi="Arial" w:cs="Arial"/>
          <w:b/>
          <w:bCs/>
          <w:sz w:val="20"/>
        </w:rPr>
        <w:t>"</w:t>
      </w:r>
    </w:p>
    <w:p w14:paraId="6384C61F" w14:textId="77777777" w:rsidR="00066AA6" w:rsidRDefault="00AA0AC2" w:rsidP="001222C4">
      <w:pPr>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 xml:space="preserve">Robert Shenton </w:t>
      </w:r>
      <w:r w:rsidR="00534680">
        <w:rPr>
          <w:rFonts w:ascii="Arial" w:hAnsi="Arial" w:cs="Arial"/>
          <w:sz w:val="20"/>
        </w:rPr>
        <w:t>French (</w:t>
      </w:r>
      <w:r w:rsidR="003839DB">
        <w:rPr>
          <w:rFonts w:ascii="Arial" w:hAnsi="Arial" w:cs="Arial"/>
          <w:sz w:val="20"/>
        </w:rPr>
        <w:t xml:space="preserve">Former </w:t>
      </w:r>
      <w:r w:rsidR="00534680">
        <w:rPr>
          <w:rFonts w:ascii="Arial" w:hAnsi="Arial" w:cs="Arial"/>
          <w:sz w:val="20"/>
        </w:rPr>
        <w:t xml:space="preserve">Chief Justice </w:t>
      </w:r>
      <w:r w:rsidR="00066AA6">
        <w:rPr>
          <w:rFonts w:ascii="Arial" w:hAnsi="Arial" w:cs="Arial"/>
          <w:sz w:val="20"/>
        </w:rPr>
        <w:t>of the High Court of Australia)</w:t>
      </w:r>
    </w:p>
    <w:p w14:paraId="77B1726B" w14:textId="77777777" w:rsidR="00066AA6" w:rsidRDefault="00066AA6" w:rsidP="001222C4">
      <w:pPr>
        <w:jc w:val="both"/>
        <w:rPr>
          <w:rFonts w:ascii="Arial" w:hAnsi="Arial" w:cs="Arial"/>
          <w:sz w:val="20"/>
        </w:rPr>
      </w:pPr>
    </w:p>
    <w:p w14:paraId="6D7F66EF" w14:textId="77777777" w:rsidR="00444A4F" w:rsidRPr="00444A4F" w:rsidRDefault="00444A4F" w:rsidP="001222C4">
      <w:pPr>
        <w:pBdr>
          <w:top w:val="single" w:sz="4" w:space="1" w:color="auto"/>
          <w:left w:val="single" w:sz="4" w:space="4" w:color="auto"/>
          <w:bottom w:val="single" w:sz="4" w:space="1" w:color="auto"/>
          <w:right w:val="single" w:sz="4" w:space="4" w:color="auto"/>
        </w:pBdr>
        <w:jc w:val="center"/>
        <w:rPr>
          <w:rFonts w:ascii="Arial" w:hAnsi="Arial" w:cs="Arial"/>
          <w:b/>
          <w:bCs/>
          <w:sz w:val="20"/>
        </w:rPr>
      </w:pPr>
      <w:r w:rsidRPr="00444A4F">
        <w:rPr>
          <w:rFonts w:ascii="Arial" w:hAnsi="Arial" w:cs="Arial"/>
          <w:b/>
          <w:bCs/>
          <w:sz w:val="20"/>
        </w:rPr>
        <w:t>“Four things belong to a judge: to hear courteously, to answer wisely, to consider soberly, and to decide impartially.”</w:t>
      </w:r>
    </w:p>
    <w:p w14:paraId="4B9CC699" w14:textId="77777777" w:rsidR="00444A4F" w:rsidRDefault="00444A4F" w:rsidP="001222C4">
      <w:pPr>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Socrates</w:t>
      </w:r>
    </w:p>
    <w:p w14:paraId="587BCB73" w14:textId="77777777" w:rsidR="00444A4F" w:rsidRDefault="00444A4F" w:rsidP="001222C4">
      <w:pPr>
        <w:jc w:val="both"/>
        <w:rPr>
          <w:rFonts w:ascii="Arial" w:hAnsi="Arial" w:cs="Arial"/>
          <w:sz w:val="20"/>
        </w:rPr>
      </w:pPr>
    </w:p>
    <w:bookmarkEnd w:id="98"/>
    <w:p w14:paraId="2038DBE3" w14:textId="77777777" w:rsidR="00D2638F" w:rsidRPr="001A1BF2" w:rsidRDefault="00B21DA4" w:rsidP="00D2638F">
      <w:pPr>
        <w:jc w:val="both"/>
        <w:rPr>
          <w:rFonts w:ascii="Arial" w:hAnsi="Arial" w:cs="Arial"/>
          <w:color w:val="000000"/>
          <w:sz w:val="20"/>
        </w:rPr>
      </w:pPr>
      <w:r>
        <w:rPr>
          <w:rFonts w:ascii="Arial" w:hAnsi="Arial" w:cs="Arial"/>
          <w:sz w:val="20"/>
        </w:rPr>
        <w:t xml:space="preserve">The President and Magistrates preside over all hearings </w:t>
      </w:r>
      <w:r w:rsidR="00D2638F">
        <w:rPr>
          <w:rFonts w:ascii="Arial" w:hAnsi="Arial" w:cs="Arial"/>
          <w:sz w:val="20"/>
        </w:rPr>
        <w:t>–</w:t>
      </w:r>
      <w:r>
        <w:rPr>
          <w:rFonts w:ascii="Arial" w:hAnsi="Arial" w:cs="Arial"/>
          <w:sz w:val="20"/>
        </w:rPr>
        <w:t xml:space="preserve"> other</w:t>
      </w:r>
      <w:r w:rsidR="00D2638F">
        <w:rPr>
          <w:rFonts w:ascii="Arial" w:hAnsi="Arial" w:cs="Arial"/>
          <w:sz w:val="20"/>
        </w:rPr>
        <w:t xml:space="preserve"> </w:t>
      </w:r>
      <w:r>
        <w:rPr>
          <w:rFonts w:ascii="Arial" w:hAnsi="Arial" w:cs="Arial"/>
          <w:sz w:val="20"/>
        </w:rPr>
        <w:t xml:space="preserve">than </w:t>
      </w:r>
      <w:r w:rsidR="00597810">
        <w:rPr>
          <w:rFonts w:ascii="Arial" w:hAnsi="Arial" w:cs="Arial"/>
          <w:sz w:val="20"/>
        </w:rPr>
        <w:t>dispute resolution</w:t>
      </w:r>
      <w:r>
        <w:rPr>
          <w:rFonts w:ascii="Arial" w:hAnsi="Arial" w:cs="Arial"/>
          <w:sz w:val="20"/>
        </w:rPr>
        <w:t xml:space="preserve"> conferences </w:t>
      </w:r>
      <w:r w:rsidR="00AD0A0A">
        <w:rPr>
          <w:rFonts w:ascii="Arial" w:hAnsi="Arial" w:cs="Arial"/>
          <w:sz w:val="20"/>
        </w:rPr>
        <w:t>–</w:t>
      </w:r>
      <w:r>
        <w:rPr>
          <w:rFonts w:ascii="Arial" w:hAnsi="Arial" w:cs="Arial"/>
          <w:sz w:val="20"/>
        </w:rPr>
        <w:t xml:space="preserve"> in</w:t>
      </w:r>
      <w:r w:rsidR="00AD0A0A">
        <w:rPr>
          <w:rFonts w:ascii="Arial" w:hAnsi="Arial" w:cs="Arial"/>
          <w:sz w:val="20"/>
        </w:rPr>
        <w:t xml:space="preserve"> </w:t>
      </w:r>
      <w:r>
        <w:rPr>
          <w:rFonts w:ascii="Arial" w:hAnsi="Arial" w:cs="Arial"/>
          <w:sz w:val="20"/>
        </w:rPr>
        <w:t>both Divisions of the Children's Court of Victoria.  There is no distinction in judicial role between the President and any of the magistrates.  Each ha</w:t>
      </w:r>
      <w:r w:rsidR="003B2977">
        <w:rPr>
          <w:rFonts w:ascii="Arial" w:hAnsi="Arial" w:cs="Arial"/>
          <w:sz w:val="20"/>
        </w:rPr>
        <w:t>s</w:t>
      </w:r>
      <w:r>
        <w:rPr>
          <w:rFonts w:ascii="Arial" w:hAnsi="Arial" w:cs="Arial"/>
          <w:sz w:val="20"/>
        </w:rPr>
        <w:t xml:space="preserve"> the same powers and the same obligations.  Each can be assigned to any case.  Each ha</w:t>
      </w:r>
      <w:r w:rsidR="003B2977">
        <w:rPr>
          <w:rFonts w:ascii="Arial" w:hAnsi="Arial" w:cs="Arial"/>
          <w:sz w:val="20"/>
        </w:rPr>
        <w:t>s</w:t>
      </w:r>
      <w:r>
        <w:rPr>
          <w:rFonts w:ascii="Arial" w:hAnsi="Arial" w:cs="Arial"/>
          <w:sz w:val="20"/>
        </w:rPr>
        <w:t xml:space="preserve"> the same orders at </w:t>
      </w:r>
      <w:r w:rsidR="003B2977">
        <w:rPr>
          <w:rFonts w:ascii="Arial" w:hAnsi="Arial" w:cs="Arial"/>
          <w:sz w:val="20"/>
        </w:rPr>
        <w:t>his or her</w:t>
      </w:r>
      <w:r>
        <w:rPr>
          <w:rFonts w:ascii="Arial" w:hAnsi="Arial" w:cs="Arial"/>
          <w:sz w:val="20"/>
        </w:rPr>
        <w:t xml:space="preserve"> disposal.  The only difference</w:t>
      </w:r>
      <w:r w:rsidR="002D4271">
        <w:rPr>
          <w:rFonts w:ascii="Arial" w:hAnsi="Arial" w:cs="Arial"/>
          <w:sz w:val="20"/>
        </w:rPr>
        <w:t xml:space="preserve"> is </w:t>
      </w:r>
      <w:r>
        <w:rPr>
          <w:rFonts w:ascii="Arial" w:hAnsi="Arial" w:cs="Arial"/>
          <w:sz w:val="20"/>
        </w:rPr>
        <w:t xml:space="preserve">that one of the avenues of appeal from a decision of the President is different from those of an appeal </w:t>
      </w:r>
      <w:r w:rsidR="002D4271">
        <w:rPr>
          <w:rFonts w:ascii="Arial" w:hAnsi="Arial" w:cs="Arial"/>
          <w:sz w:val="20"/>
        </w:rPr>
        <w:t>from a decision of a magistrate.</w:t>
      </w:r>
      <w:r w:rsidR="00D2638F">
        <w:rPr>
          <w:rFonts w:ascii="Arial" w:hAnsi="Arial" w:cs="Arial"/>
          <w:sz w:val="20"/>
        </w:rPr>
        <w:t xml:space="preserve">  </w:t>
      </w:r>
      <w:r w:rsidR="00D2638F" w:rsidRPr="001A1BF2">
        <w:rPr>
          <w:rFonts w:ascii="Arial" w:hAnsi="Arial" w:cs="Arial"/>
          <w:color w:val="000000"/>
          <w:sz w:val="20"/>
        </w:rPr>
        <w:t>Neither the President nor the Magistrates wear wigs or gowns in the courtroom.</w:t>
      </w:r>
    </w:p>
    <w:p w14:paraId="40585687" w14:textId="03B1F331" w:rsidR="00D731F7" w:rsidRDefault="00D731F7">
      <w:pPr>
        <w:jc w:val="both"/>
        <w:rPr>
          <w:rFonts w:ascii="Arial" w:hAnsi="Arial" w:cs="Arial"/>
          <w:sz w:val="20"/>
        </w:rPr>
      </w:pPr>
    </w:p>
    <w:p w14:paraId="5CCB5BDE" w14:textId="43D271F9" w:rsidR="00235CEF" w:rsidRDefault="00235CEF">
      <w:pPr>
        <w:jc w:val="both"/>
        <w:rPr>
          <w:rFonts w:ascii="Arial" w:hAnsi="Arial" w:cs="Arial"/>
          <w:sz w:val="20"/>
        </w:rPr>
      </w:pPr>
      <w:r>
        <w:rPr>
          <w:rFonts w:ascii="Arial" w:hAnsi="Arial" w:cs="Arial"/>
          <w:sz w:val="20"/>
        </w:rPr>
        <w:t>In addition since May 2021 judicial registrars have been appointed who preside over some hearings in both Divisions of the C</w:t>
      </w:r>
      <w:r w:rsidR="009D0ACC">
        <w:rPr>
          <w:rFonts w:ascii="Arial" w:hAnsi="Arial" w:cs="Arial"/>
          <w:sz w:val="20"/>
        </w:rPr>
        <w:t>h</w:t>
      </w:r>
      <w:r>
        <w:rPr>
          <w:rFonts w:ascii="Arial" w:hAnsi="Arial" w:cs="Arial"/>
          <w:sz w:val="20"/>
        </w:rPr>
        <w:t xml:space="preserve">CV.  The jurisdiction which may be exercised by judicial registrars is detailed in the </w:t>
      </w:r>
      <w:r w:rsidRPr="00DE7665">
        <w:rPr>
          <w:rFonts w:ascii="Arial" w:hAnsi="Arial" w:cs="Arial"/>
          <w:i/>
          <w:iCs/>
          <w:sz w:val="20"/>
        </w:rPr>
        <w:t>Children, Youth and Families (Children’s Court Judicial Registrars) Rules 2021</w:t>
      </w:r>
      <w:r>
        <w:rPr>
          <w:rFonts w:ascii="Arial" w:hAnsi="Arial" w:cs="Arial"/>
          <w:i/>
          <w:iCs/>
          <w:sz w:val="20"/>
        </w:rPr>
        <w:t xml:space="preserve"> </w:t>
      </w:r>
      <w:r w:rsidRPr="00235CEF">
        <w:rPr>
          <w:rFonts w:ascii="Arial" w:hAnsi="Arial" w:cs="Arial"/>
          <w:sz w:val="20"/>
        </w:rPr>
        <w:t xml:space="preserve">and </w:t>
      </w:r>
      <w:r w:rsidR="00E955FC">
        <w:rPr>
          <w:rFonts w:ascii="Arial" w:hAnsi="Arial" w:cs="Arial"/>
          <w:sz w:val="20"/>
        </w:rPr>
        <w:t>encompasses</w:t>
      </w:r>
      <w:r w:rsidR="00D24B69">
        <w:rPr>
          <w:rFonts w:ascii="Arial" w:hAnsi="Arial" w:cs="Arial"/>
          <w:sz w:val="20"/>
        </w:rPr>
        <w:t>:</w:t>
      </w:r>
    </w:p>
    <w:p w14:paraId="17249ABF" w14:textId="5AD9E1EF" w:rsidR="00D24B69" w:rsidRDefault="00D24B69">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listed in rule 2.03 whether or not contested;</w:t>
      </w:r>
    </w:p>
    <w:p w14:paraId="72515D5C" w14:textId="5FBA3A2E" w:rsidR="00D24B69" w:rsidRDefault="00D24B69">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in the Criminal Division listed in rule 2.04 whether or not contested;</w:t>
      </w:r>
    </w:p>
    <w:p w14:paraId="367799AB" w14:textId="75DE0685" w:rsidR="00D24B69" w:rsidRDefault="00D24B69">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in the Criminal Division listed in rule 2.05 if uncontested;</w:t>
      </w:r>
    </w:p>
    <w:p w14:paraId="254F09B8" w14:textId="128E529C" w:rsidR="00D24B69" w:rsidRDefault="00E955FC">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in the Family Division listed in rule 2.06 whether or not contested;</w:t>
      </w:r>
    </w:p>
    <w:p w14:paraId="7903D5D4" w14:textId="141364E9" w:rsidR="00E955FC" w:rsidRDefault="00E955FC">
      <w:pPr>
        <w:numPr>
          <w:ilvl w:val="0"/>
          <w:numId w:val="64"/>
        </w:numPr>
        <w:ind w:left="357" w:hanging="357"/>
        <w:jc w:val="both"/>
        <w:rPr>
          <w:rFonts w:ascii="Arial" w:hAnsi="Arial" w:cs="Arial"/>
          <w:color w:val="000000"/>
          <w:sz w:val="20"/>
        </w:rPr>
      </w:pPr>
      <w:r>
        <w:rPr>
          <w:rFonts w:ascii="Arial" w:hAnsi="Arial" w:cs="Arial"/>
          <w:color w:val="000000"/>
          <w:sz w:val="20"/>
        </w:rPr>
        <w:t>any other applications in proceedings in the Family Division if uncontested [rule 2.07].</w:t>
      </w:r>
    </w:p>
    <w:p w14:paraId="591EE748" w14:textId="77777777" w:rsidR="00D24B69" w:rsidRDefault="00D24B69">
      <w:pPr>
        <w:jc w:val="both"/>
        <w:rPr>
          <w:rFonts w:ascii="Arial" w:hAnsi="Arial" w:cs="Arial"/>
          <w:sz w:val="20"/>
        </w:rPr>
      </w:pPr>
    </w:p>
    <w:p w14:paraId="17FC4253" w14:textId="719279C8" w:rsidR="00B21DA4" w:rsidRDefault="00DE3F8C">
      <w:pPr>
        <w:jc w:val="both"/>
        <w:rPr>
          <w:rFonts w:ascii="Arial" w:hAnsi="Arial" w:cs="Arial"/>
          <w:sz w:val="20"/>
        </w:rPr>
      </w:pPr>
      <w:r>
        <w:rPr>
          <w:rFonts w:ascii="Arial" w:hAnsi="Arial" w:cs="Arial"/>
          <w:sz w:val="20"/>
        </w:rPr>
        <w:t>Only about 2</w:t>
      </w:r>
      <w:r w:rsidR="00B21DA4">
        <w:rPr>
          <w:rFonts w:ascii="Arial" w:hAnsi="Arial" w:cs="Arial"/>
          <w:sz w:val="20"/>
        </w:rPr>
        <w:t>% of all applications which are filed in the Family Division proceed to a final contested hearing</w:t>
      </w:r>
      <w:r w:rsidR="006C7EDC">
        <w:rPr>
          <w:rFonts w:ascii="Arial" w:hAnsi="Arial" w:cs="Arial"/>
          <w:sz w:val="20"/>
        </w:rPr>
        <w:t xml:space="preserve"> in which evidence is called</w:t>
      </w:r>
      <w:r w:rsidR="00B21DA4">
        <w:rPr>
          <w:rFonts w:ascii="Arial" w:hAnsi="Arial" w:cs="Arial"/>
          <w:sz w:val="20"/>
        </w:rPr>
        <w:t xml:space="preserve">, although a significantly greater percentage involve at least one contested interim hearing.  </w:t>
      </w:r>
      <w:r w:rsidR="008A191F">
        <w:rPr>
          <w:rFonts w:ascii="Arial" w:hAnsi="Arial" w:cs="Arial"/>
          <w:sz w:val="20"/>
        </w:rPr>
        <w:t>Likewise, o</w:t>
      </w:r>
      <w:r w:rsidR="00B21DA4">
        <w:rPr>
          <w:rFonts w:ascii="Arial" w:hAnsi="Arial" w:cs="Arial"/>
          <w:sz w:val="20"/>
        </w:rPr>
        <w:t>nly about 2% of charges filed in the Criminal Division proceed to a final contested hearing, but again a significantly greater percentage involve at least one contested application for bail.</w:t>
      </w:r>
    </w:p>
    <w:p w14:paraId="4389365B" w14:textId="77777777" w:rsidR="00B21DA4" w:rsidRDefault="00B21DA4">
      <w:pPr>
        <w:jc w:val="both"/>
        <w:rPr>
          <w:rFonts w:ascii="Arial" w:hAnsi="Arial" w:cs="Arial"/>
          <w:sz w:val="20"/>
        </w:rPr>
      </w:pPr>
    </w:p>
    <w:p w14:paraId="7FC58DC9" w14:textId="5742D37F" w:rsidR="00091307" w:rsidRDefault="00B843BA" w:rsidP="00B843BA">
      <w:pPr>
        <w:jc w:val="both"/>
        <w:rPr>
          <w:rFonts w:ascii="Arial" w:hAnsi="Arial" w:cs="Arial"/>
          <w:color w:val="000000"/>
          <w:sz w:val="20"/>
        </w:rPr>
      </w:pPr>
      <w:r w:rsidRPr="001A1BF2">
        <w:rPr>
          <w:rFonts w:ascii="Arial" w:hAnsi="Arial" w:cs="Arial"/>
          <w:color w:val="000000"/>
          <w:sz w:val="20"/>
        </w:rPr>
        <w:t xml:space="preserve">The role of the judicial officer is to determine the dispute between the parties by applying the relevant law to particular fact situations.  </w:t>
      </w:r>
      <w:r w:rsidR="00023C2C" w:rsidRPr="001A1BF2">
        <w:rPr>
          <w:rFonts w:ascii="Arial" w:hAnsi="Arial" w:cs="Arial"/>
          <w:color w:val="000000"/>
          <w:sz w:val="20"/>
        </w:rPr>
        <w:t xml:space="preserve">In </w:t>
      </w:r>
      <w:r w:rsidR="00023C2C" w:rsidRPr="001A1BF2">
        <w:rPr>
          <w:rFonts w:ascii="Arial" w:hAnsi="Arial" w:cs="Arial"/>
          <w:i/>
          <w:color w:val="000000"/>
          <w:sz w:val="20"/>
        </w:rPr>
        <w:t>Noone</w:t>
      </w:r>
      <w:r w:rsidR="00132D91" w:rsidRPr="001A1BF2">
        <w:rPr>
          <w:rFonts w:ascii="Arial" w:hAnsi="Arial" w:cs="Arial"/>
          <w:color w:val="000000"/>
          <w:sz w:val="20"/>
        </w:rPr>
        <w:t xml:space="preserve">, </w:t>
      </w:r>
      <w:r w:rsidR="00132D91" w:rsidRPr="001A1BF2">
        <w:rPr>
          <w:rFonts w:ascii="Arial" w:hAnsi="Arial" w:cs="Arial"/>
          <w:i/>
          <w:color w:val="000000"/>
          <w:sz w:val="20"/>
        </w:rPr>
        <w:t>Director of Consumer Affairs Victoria v Operation Smile (Australia) Inc &amp; Ors (No 2)</w:t>
      </w:r>
      <w:r w:rsidR="00132D91" w:rsidRPr="001A1BF2">
        <w:rPr>
          <w:rFonts w:ascii="Arial" w:hAnsi="Arial" w:cs="Arial"/>
          <w:color w:val="000000"/>
          <w:sz w:val="16"/>
        </w:rPr>
        <w:t xml:space="preserve"> </w:t>
      </w:r>
      <w:r w:rsidR="00023C2C" w:rsidRPr="001A1BF2">
        <w:rPr>
          <w:rFonts w:ascii="Arial" w:hAnsi="Arial" w:cs="Arial"/>
          <w:color w:val="000000"/>
          <w:sz w:val="20"/>
        </w:rPr>
        <w:t>[2011] VSC 153 at [12] Pagone J said of this: “The overriding duty for the Court must be to achieve justice between the parties and to ensure that it is satisfied that the burden which a party bears is adequately and reliably discharged.”</w:t>
      </w:r>
    </w:p>
    <w:p w14:paraId="7B875C80" w14:textId="77777777" w:rsidR="00D63D43" w:rsidRDefault="00D63D43" w:rsidP="00D63D43">
      <w:pPr>
        <w:jc w:val="both"/>
        <w:rPr>
          <w:rFonts w:ascii="Arial" w:hAnsi="Arial" w:cs="Arial"/>
          <w:sz w:val="20"/>
        </w:rPr>
      </w:pPr>
    </w:p>
    <w:p w14:paraId="12F49336" w14:textId="3C5683CB" w:rsidR="00D63D43" w:rsidRDefault="00D63D43" w:rsidP="00D63D43">
      <w:pPr>
        <w:jc w:val="both"/>
        <w:rPr>
          <w:rFonts w:ascii="Arial" w:hAnsi="Arial" w:cs="Arial"/>
          <w:sz w:val="20"/>
        </w:rPr>
      </w:pPr>
      <w:r>
        <w:rPr>
          <w:rFonts w:ascii="Arial" w:hAnsi="Arial" w:cs="Arial"/>
          <w:sz w:val="20"/>
        </w:rPr>
        <w:t xml:space="preserve">Judicial officers must be aware not only of what the relevant legislation says, but of how it has been interpreted and applied in other decided cases.  If there is a decision made by another magistrate with which a particular magistrate disagrees, the latter is not bound to follow the interpretation or application of the law as decided in that case, but would need to show clearly why he or she disagrees.  Where the decision is one made by the Supreme Court of Victoria or the High Court of Australia, the </w:t>
      </w:r>
      <w:r w:rsidR="008E2CB4">
        <w:rPr>
          <w:rFonts w:ascii="Arial" w:hAnsi="Arial" w:cs="Arial"/>
          <w:sz w:val="20"/>
        </w:rPr>
        <w:t>judicial officers</w:t>
      </w:r>
      <w:r>
        <w:rPr>
          <w:rFonts w:ascii="Arial" w:hAnsi="Arial" w:cs="Arial"/>
          <w:sz w:val="20"/>
        </w:rPr>
        <w:t xml:space="preserve"> of the Children's Court are bound to accept that interpretation of the law and apply it.</w:t>
      </w:r>
    </w:p>
    <w:p w14:paraId="49EF4719" w14:textId="77777777" w:rsidR="00D63D43" w:rsidRDefault="00D63D43" w:rsidP="00B843BA">
      <w:pPr>
        <w:jc w:val="both"/>
        <w:rPr>
          <w:rFonts w:ascii="Arial" w:hAnsi="Arial" w:cs="Arial"/>
          <w:color w:val="000000"/>
          <w:sz w:val="20"/>
        </w:rPr>
      </w:pPr>
    </w:p>
    <w:p w14:paraId="4F5F2C50" w14:textId="3F51125F" w:rsidR="00091307" w:rsidRDefault="00091307" w:rsidP="00B843BA">
      <w:pPr>
        <w:jc w:val="both"/>
        <w:rPr>
          <w:rFonts w:ascii="Arial" w:hAnsi="Arial" w:cs="Arial"/>
          <w:color w:val="000000"/>
          <w:sz w:val="20"/>
        </w:rPr>
      </w:pPr>
      <w:r>
        <w:rPr>
          <w:rFonts w:ascii="Arial" w:hAnsi="Arial" w:cs="Arial"/>
          <w:color w:val="000000"/>
          <w:sz w:val="20"/>
        </w:rPr>
        <w:t xml:space="preserve">In </w:t>
      </w:r>
      <w:r w:rsidRPr="00091307">
        <w:rPr>
          <w:rFonts w:ascii="Arial" w:hAnsi="Arial" w:cs="Arial"/>
          <w:i/>
          <w:iCs/>
          <w:color w:val="000000"/>
          <w:sz w:val="20"/>
        </w:rPr>
        <w:t>Onyeka Evans Nwagbo v The Queen</w:t>
      </w:r>
      <w:r>
        <w:rPr>
          <w:rFonts w:ascii="Arial" w:hAnsi="Arial" w:cs="Arial"/>
          <w:color w:val="000000"/>
          <w:sz w:val="20"/>
        </w:rPr>
        <w:t xml:space="preserve"> [2021] VSCA 93 the Court of Appeal (Priest, Niall &amp; T Forrest JJA) allowed an appeal and granted a new trial on a charge of attempting to possess a commercial quantity of unlawfully imported border controlled substance on the basis that there had been a substantial miscarriage of justice occasioned by the trial judge</w:t>
      </w:r>
      <w:r w:rsidR="00C97A31">
        <w:rPr>
          <w:rFonts w:ascii="Arial" w:hAnsi="Arial" w:cs="Arial"/>
          <w:sz w:val="20"/>
        </w:rPr>
        <w:t>–</w:t>
      </w:r>
    </w:p>
    <w:p w14:paraId="7809C960" w14:textId="2DA85E36"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crossing the boundary between the roles of judge and advocate;</w:t>
      </w:r>
    </w:p>
    <w:p w14:paraId="2F32FCC8" w14:textId="7FA11378"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frequently intervening in witness examination;</w:t>
      </w:r>
    </w:p>
    <w:p w14:paraId="6174DB00" w14:textId="6330ECE1"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eliciting evidence from witnesses; and</w:t>
      </w:r>
    </w:p>
    <w:p w14:paraId="66FC6674" w14:textId="14ABF4F0"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being very critical of counsel for the accused in the presence of the jury.</w:t>
      </w:r>
    </w:p>
    <w:p w14:paraId="17216FE6" w14:textId="7A14D81F" w:rsidR="008C6C91" w:rsidRDefault="0092755F" w:rsidP="00510BDE">
      <w:pPr>
        <w:spacing w:before="120"/>
        <w:jc w:val="both"/>
        <w:rPr>
          <w:rFonts w:ascii="Arial" w:hAnsi="Arial" w:cs="Arial"/>
          <w:color w:val="000000"/>
          <w:sz w:val="20"/>
        </w:rPr>
      </w:pPr>
      <w:r>
        <w:rPr>
          <w:rFonts w:ascii="Arial" w:hAnsi="Arial" w:cs="Arial"/>
          <w:color w:val="000000"/>
          <w:sz w:val="20"/>
        </w:rPr>
        <w:t xml:space="preserve">At [22]-[38] the Court of Appeal discussed the legal principles underpinning the role of a judge, noting at [22] that this role “is circumscribed by what the dynamics of an adversarial system require, as opposed to what would be required of a judge in an inquisitorial system”.  </w:t>
      </w:r>
      <w:r w:rsidR="008C6C91">
        <w:rPr>
          <w:rFonts w:ascii="Arial" w:hAnsi="Arial" w:cs="Arial"/>
          <w:color w:val="000000"/>
          <w:sz w:val="20"/>
        </w:rPr>
        <w:t xml:space="preserve">In this connection it is </w:t>
      </w:r>
      <w:r w:rsidR="00B66B64">
        <w:rPr>
          <w:rFonts w:ascii="Arial" w:hAnsi="Arial" w:cs="Arial"/>
          <w:color w:val="000000"/>
          <w:sz w:val="20"/>
        </w:rPr>
        <w:t>important to note</w:t>
      </w:r>
      <w:r w:rsidR="008C6C91">
        <w:rPr>
          <w:rFonts w:ascii="Arial" w:hAnsi="Arial" w:cs="Arial"/>
          <w:color w:val="000000"/>
          <w:sz w:val="20"/>
        </w:rPr>
        <w:t xml:space="preserve"> </w:t>
      </w:r>
      <w:r w:rsidR="00472A52">
        <w:rPr>
          <w:rFonts w:ascii="Arial" w:hAnsi="Arial" w:cs="Arial"/>
          <w:color w:val="000000"/>
          <w:sz w:val="20"/>
        </w:rPr>
        <w:t xml:space="preserve">that the </w:t>
      </w:r>
      <w:r w:rsidR="00B66B64">
        <w:rPr>
          <w:rFonts w:ascii="Arial" w:hAnsi="Arial" w:cs="Arial"/>
          <w:color w:val="000000"/>
          <w:sz w:val="20"/>
        </w:rPr>
        <w:t xml:space="preserve">Criminal Division of the Children’s Court </w:t>
      </w:r>
      <w:r w:rsidR="00472A52">
        <w:rPr>
          <w:rFonts w:ascii="Arial" w:hAnsi="Arial" w:cs="Arial"/>
          <w:color w:val="000000"/>
          <w:sz w:val="20"/>
        </w:rPr>
        <w:t>operates under</w:t>
      </w:r>
      <w:r w:rsidR="008C6C91">
        <w:rPr>
          <w:rFonts w:ascii="Arial" w:hAnsi="Arial" w:cs="Arial"/>
          <w:color w:val="000000"/>
          <w:sz w:val="20"/>
        </w:rPr>
        <w:t xml:space="preserve"> the adversarial system but child protection proceedings in the Family Division are at least partly inquisitorial </w:t>
      </w:r>
      <w:r w:rsidR="00510BDE">
        <w:rPr>
          <w:rFonts w:ascii="Arial" w:hAnsi="Arial" w:cs="Arial"/>
          <w:color w:val="000000"/>
          <w:sz w:val="20"/>
        </w:rPr>
        <w:t>as evidenced by</w:t>
      </w:r>
      <w:r w:rsidR="00C97A31">
        <w:rPr>
          <w:rFonts w:ascii="Arial" w:hAnsi="Arial" w:cs="Arial"/>
          <w:sz w:val="20"/>
        </w:rPr>
        <w:t>–</w:t>
      </w:r>
    </w:p>
    <w:p w14:paraId="27B128F5" w14:textId="5FF2073F" w:rsidR="008C6C91" w:rsidRDefault="00472A52">
      <w:pPr>
        <w:pStyle w:val="ListParagraph"/>
        <w:numPr>
          <w:ilvl w:val="0"/>
          <w:numId w:val="86"/>
        </w:numPr>
        <w:ind w:left="357" w:hanging="357"/>
        <w:jc w:val="both"/>
        <w:rPr>
          <w:rFonts w:ascii="Arial" w:hAnsi="Arial" w:cs="Arial"/>
          <w:color w:val="000000"/>
          <w:sz w:val="20"/>
        </w:rPr>
      </w:pPr>
      <w:r>
        <w:rPr>
          <w:rFonts w:ascii="Arial" w:hAnsi="Arial" w:cs="Arial"/>
          <w:color w:val="000000"/>
          <w:sz w:val="20"/>
        </w:rPr>
        <w:lastRenderedPageBreak/>
        <w:t xml:space="preserve">the obligation of the presiding judicial officer </w:t>
      </w:r>
      <w:r w:rsidR="00510BDE">
        <w:rPr>
          <w:rFonts w:ascii="Arial" w:hAnsi="Arial" w:cs="Arial"/>
          <w:color w:val="000000"/>
          <w:sz w:val="20"/>
        </w:rPr>
        <w:t xml:space="preserve">– independently of the parties – </w:t>
      </w:r>
      <w:r>
        <w:rPr>
          <w:rFonts w:ascii="Arial" w:hAnsi="Arial" w:cs="Arial"/>
          <w:color w:val="000000"/>
          <w:sz w:val="20"/>
        </w:rPr>
        <w:t>to</w:t>
      </w:r>
      <w:r w:rsidR="00510BDE">
        <w:rPr>
          <w:rFonts w:ascii="Arial" w:hAnsi="Arial" w:cs="Arial"/>
          <w:color w:val="000000"/>
          <w:sz w:val="20"/>
        </w:rPr>
        <w:t xml:space="preserve"> </w:t>
      </w:r>
      <w:r w:rsidR="000A7BEB">
        <w:rPr>
          <w:rFonts w:ascii="Arial" w:hAnsi="Arial" w:cs="Arial"/>
          <w:color w:val="000000"/>
          <w:sz w:val="20"/>
        </w:rPr>
        <w:t>have regard to relevant ‘best interests’ principles in making any decision or taking any action in child protection proceedings; and</w:t>
      </w:r>
    </w:p>
    <w:p w14:paraId="033771F8" w14:textId="70FB8D22" w:rsidR="000A7BEB" w:rsidRPr="00472A52" w:rsidRDefault="000A7BEB">
      <w:pPr>
        <w:pStyle w:val="ListParagraph"/>
        <w:numPr>
          <w:ilvl w:val="0"/>
          <w:numId w:val="86"/>
        </w:numPr>
        <w:ind w:left="357" w:hanging="357"/>
        <w:jc w:val="both"/>
        <w:rPr>
          <w:rFonts w:ascii="Arial" w:hAnsi="Arial" w:cs="Arial"/>
          <w:color w:val="000000"/>
          <w:sz w:val="20"/>
        </w:rPr>
      </w:pPr>
      <w:r>
        <w:rPr>
          <w:rFonts w:ascii="Arial" w:hAnsi="Arial" w:cs="Arial"/>
          <w:color w:val="000000"/>
          <w:sz w:val="20"/>
        </w:rPr>
        <w:t>the pr</w:t>
      </w:r>
      <w:r w:rsidR="00510BDE">
        <w:rPr>
          <w:rFonts w:ascii="Arial" w:hAnsi="Arial" w:cs="Arial"/>
          <w:color w:val="000000"/>
          <w:sz w:val="20"/>
        </w:rPr>
        <w:t xml:space="preserve">ovisions of </w:t>
      </w:r>
      <w:r>
        <w:rPr>
          <w:rFonts w:ascii="Arial" w:hAnsi="Arial" w:cs="Arial"/>
          <w:color w:val="000000"/>
          <w:sz w:val="20"/>
        </w:rPr>
        <w:t>ss.215 &amp; 215B of the</w:t>
      </w:r>
      <w:r w:rsidR="00F1736A">
        <w:rPr>
          <w:rFonts w:ascii="Arial" w:hAnsi="Arial" w:cs="Arial"/>
          <w:color w:val="000000"/>
          <w:sz w:val="20"/>
        </w:rPr>
        <w:t xml:space="preserve"> </w:t>
      </w:r>
      <w:r w:rsidR="00F1736A" w:rsidRPr="00F1736A">
        <w:rPr>
          <w:rFonts w:ascii="Arial" w:hAnsi="Arial" w:cs="Arial"/>
          <w:i/>
          <w:iCs/>
          <w:color w:val="000000"/>
          <w:sz w:val="20"/>
        </w:rPr>
        <w:t>Children, Youth and Families Act 2005</w:t>
      </w:r>
      <w:r>
        <w:rPr>
          <w:rFonts w:ascii="Arial" w:hAnsi="Arial" w:cs="Arial"/>
          <w:color w:val="000000"/>
          <w:sz w:val="20"/>
        </w:rPr>
        <w:t xml:space="preserve"> </w:t>
      </w:r>
      <w:r w:rsidR="00F1736A">
        <w:rPr>
          <w:rFonts w:ascii="Arial" w:hAnsi="Arial" w:cs="Arial"/>
          <w:color w:val="000000"/>
          <w:sz w:val="20"/>
        </w:rPr>
        <w:t>[</w:t>
      </w:r>
      <w:r>
        <w:rPr>
          <w:rFonts w:ascii="Arial" w:hAnsi="Arial" w:cs="Arial"/>
          <w:color w:val="000000"/>
          <w:sz w:val="20"/>
        </w:rPr>
        <w:t>CYFA</w:t>
      </w:r>
      <w:r w:rsidR="00F1736A">
        <w:rPr>
          <w:rFonts w:ascii="Arial" w:hAnsi="Arial" w:cs="Arial"/>
          <w:color w:val="000000"/>
          <w:sz w:val="20"/>
        </w:rPr>
        <w:t>]</w:t>
      </w:r>
      <w:r>
        <w:rPr>
          <w:rFonts w:ascii="Arial" w:hAnsi="Arial" w:cs="Arial"/>
          <w:color w:val="000000"/>
          <w:sz w:val="20"/>
        </w:rPr>
        <w:t xml:space="preserve"> in relation to the conduct and management of child protection proceedings in the Children’s Court.</w:t>
      </w:r>
    </w:p>
    <w:p w14:paraId="753E73A2" w14:textId="720C904E" w:rsidR="00091307" w:rsidRDefault="003232A7" w:rsidP="000A7BEB">
      <w:pPr>
        <w:spacing w:before="120"/>
        <w:jc w:val="both"/>
        <w:rPr>
          <w:rFonts w:ascii="Arial" w:hAnsi="Arial" w:cs="Arial"/>
          <w:color w:val="000000"/>
          <w:sz w:val="20"/>
        </w:rPr>
      </w:pPr>
      <w:r>
        <w:rPr>
          <w:rFonts w:ascii="Arial" w:hAnsi="Arial" w:cs="Arial"/>
          <w:color w:val="000000"/>
          <w:sz w:val="20"/>
        </w:rPr>
        <w:t xml:space="preserve">In the course of </w:t>
      </w:r>
      <w:r w:rsidR="00472A52">
        <w:rPr>
          <w:rFonts w:ascii="Arial" w:hAnsi="Arial" w:cs="Arial"/>
          <w:color w:val="000000"/>
          <w:sz w:val="20"/>
        </w:rPr>
        <w:t>its judgment</w:t>
      </w:r>
      <w:r>
        <w:rPr>
          <w:rFonts w:ascii="Arial" w:hAnsi="Arial" w:cs="Arial"/>
          <w:color w:val="000000"/>
          <w:sz w:val="20"/>
        </w:rPr>
        <w:t xml:space="preserve"> </w:t>
      </w:r>
      <w:r w:rsidR="00B66B64">
        <w:rPr>
          <w:rFonts w:ascii="Arial" w:hAnsi="Arial" w:cs="Arial"/>
          <w:color w:val="000000"/>
          <w:sz w:val="20"/>
        </w:rPr>
        <w:t xml:space="preserve">in </w:t>
      </w:r>
      <w:r w:rsidR="00B66B64" w:rsidRPr="00472A52">
        <w:rPr>
          <w:rFonts w:ascii="Arial" w:hAnsi="Arial" w:cs="Arial"/>
          <w:i/>
          <w:iCs/>
          <w:color w:val="000000"/>
          <w:sz w:val="20"/>
        </w:rPr>
        <w:t>Nwagbo’s Case</w:t>
      </w:r>
      <w:r w:rsidR="00B66B64">
        <w:rPr>
          <w:rFonts w:ascii="Arial" w:hAnsi="Arial" w:cs="Arial"/>
          <w:color w:val="000000"/>
          <w:sz w:val="20"/>
        </w:rPr>
        <w:t xml:space="preserve"> </w:t>
      </w:r>
      <w:r>
        <w:rPr>
          <w:rFonts w:ascii="Arial" w:hAnsi="Arial" w:cs="Arial"/>
          <w:color w:val="000000"/>
          <w:sz w:val="20"/>
        </w:rPr>
        <w:t xml:space="preserve">the Court </w:t>
      </w:r>
      <w:r w:rsidR="00B66B64">
        <w:rPr>
          <w:rFonts w:ascii="Arial" w:hAnsi="Arial" w:cs="Arial"/>
          <w:color w:val="000000"/>
          <w:sz w:val="20"/>
        </w:rPr>
        <w:t xml:space="preserve">of Appeal </w:t>
      </w:r>
      <w:r>
        <w:rPr>
          <w:rFonts w:ascii="Arial" w:hAnsi="Arial" w:cs="Arial"/>
          <w:color w:val="000000"/>
          <w:sz w:val="20"/>
        </w:rPr>
        <w:t>referred with approval to dicta from a large number of cases,</w:t>
      </w:r>
      <w:r w:rsidR="00E802F6">
        <w:rPr>
          <w:rFonts w:ascii="Arial" w:hAnsi="Arial" w:cs="Arial"/>
          <w:color w:val="000000"/>
          <w:sz w:val="20"/>
        </w:rPr>
        <w:t xml:space="preserve"> saying</w:t>
      </w:r>
      <w:r w:rsidR="00C97A31">
        <w:rPr>
          <w:rFonts w:ascii="Arial" w:hAnsi="Arial" w:cs="Arial"/>
          <w:sz w:val="20"/>
        </w:rPr>
        <w:t>–</w:t>
      </w:r>
    </w:p>
    <w:p w14:paraId="654E0CB7" w14:textId="56817B2A" w:rsidR="00091307" w:rsidRPr="00E802F6" w:rsidRDefault="003232A7" w:rsidP="00C97A31">
      <w:pPr>
        <w:numPr>
          <w:ilvl w:val="0"/>
          <w:numId w:val="65"/>
        </w:numPr>
        <w:spacing w:before="60"/>
        <w:ind w:left="738" w:right="454" w:hanging="284"/>
        <w:jc w:val="both"/>
        <w:rPr>
          <w:rFonts w:ascii="Arial" w:hAnsi="Arial" w:cs="Arial"/>
          <w:sz w:val="20"/>
          <w:szCs w:val="20"/>
        </w:rPr>
      </w:pPr>
      <w:r>
        <w:rPr>
          <w:rFonts w:ascii="Arial" w:hAnsi="Arial" w:cs="Arial"/>
          <w:color w:val="000000"/>
          <w:sz w:val="20"/>
        </w:rPr>
        <w:t>“</w:t>
      </w:r>
      <w:r w:rsidRPr="003232A7">
        <w:rPr>
          <w:rFonts w:ascii="Arial" w:hAnsi="Arial" w:cs="Arial"/>
          <w:sz w:val="20"/>
          <w:szCs w:val="20"/>
        </w:rPr>
        <w:t xml:space="preserve">The judge’s </w:t>
      </w:r>
      <w:r w:rsidR="002236D7">
        <w:rPr>
          <w:rFonts w:ascii="Arial" w:hAnsi="Arial" w:cs="Arial"/>
          <w:sz w:val="20"/>
          <w:szCs w:val="20"/>
        </w:rPr>
        <w:t>[role]</w:t>
      </w:r>
      <w:r w:rsidRPr="003232A7">
        <w:rPr>
          <w:rFonts w:ascii="Arial" w:hAnsi="Arial" w:cs="Arial"/>
          <w:sz w:val="20"/>
          <w:szCs w:val="20"/>
        </w:rPr>
        <w:t xml:space="preserve"> is to hearken to the evidence, only himself asking questions of witnesses when it is necessary to clear up any point that has been overlooked or left obscure; to see that advocates behave themselves seemly and keep to the rules laid down by law; to exclude irrelevancies and discourage repetition; to make sure by wise intervention that he follows the points made by the advocates and can assess their worth; and at the end to make up his mind where the truth lies. If he goes beyond this, he drops the mantle of a judge and assumes the robe of an advocate; and the change does not become him well</w:t>
      </w:r>
      <w:r w:rsidR="002236D7">
        <w:rPr>
          <w:rFonts w:ascii="Arial" w:hAnsi="Arial" w:cs="Arial"/>
          <w:sz w:val="20"/>
          <w:szCs w:val="20"/>
        </w:rPr>
        <w:t>.</w:t>
      </w:r>
      <w:r>
        <w:rPr>
          <w:rFonts w:ascii="Arial" w:hAnsi="Arial" w:cs="Arial"/>
          <w:sz w:val="20"/>
          <w:szCs w:val="20"/>
        </w:rPr>
        <w:t>”</w:t>
      </w:r>
      <w:r w:rsidR="002236D7">
        <w:rPr>
          <w:rFonts w:ascii="Arial" w:hAnsi="Arial" w:cs="Arial"/>
          <w:sz w:val="20"/>
          <w:szCs w:val="20"/>
        </w:rPr>
        <w:t xml:space="preserve"> {</w:t>
      </w:r>
      <w:r w:rsidRPr="003232A7">
        <w:rPr>
          <w:rFonts w:ascii="Arial" w:hAnsi="Arial" w:cs="Arial"/>
          <w:i/>
          <w:iCs/>
          <w:sz w:val="20"/>
          <w:szCs w:val="20"/>
        </w:rPr>
        <w:t>Jones v National Coal Board</w:t>
      </w:r>
      <w:r>
        <w:rPr>
          <w:rFonts w:ascii="Arial" w:hAnsi="Arial" w:cs="Arial"/>
          <w:sz w:val="20"/>
          <w:szCs w:val="20"/>
        </w:rPr>
        <w:t xml:space="preserve"> [1957] 2 QB 55 at 64 per Denning</w:t>
      </w:r>
      <w:r w:rsidR="002236D7">
        <w:rPr>
          <w:rFonts w:ascii="Arial" w:hAnsi="Arial" w:cs="Arial"/>
          <w:sz w:val="20"/>
          <w:szCs w:val="20"/>
        </w:rPr>
        <w:t> </w:t>
      </w:r>
      <w:r>
        <w:rPr>
          <w:rFonts w:ascii="Arial" w:hAnsi="Arial" w:cs="Arial"/>
          <w:sz w:val="20"/>
          <w:szCs w:val="20"/>
        </w:rPr>
        <w:t>LJ.</w:t>
      </w:r>
      <w:r w:rsidR="002236D7">
        <w:rPr>
          <w:rFonts w:ascii="Arial" w:hAnsi="Arial" w:cs="Arial"/>
          <w:sz w:val="20"/>
          <w:szCs w:val="20"/>
        </w:rPr>
        <w:t>}</w:t>
      </w:r>
    </w:p>
    <w:p w14:paraId="00CE0F39" w14:textId="436AE559" w:rsidR="002236D7" w:rsidRDefault="002236D7">
      <w:pPr>
        <w:numPr>
          <w:ilvl w:val="0"/>
          <w:numId w:val="65"/>
        </w:numPr>
        <w:spacing w:before="60"/>
        <w:ind w:left="738" w:right="454" w:hanging="284"/>
        <w:jc w:val="both"/>
        <w:rPr>
          <w:rFonts w:ascii="Arial" w:hAnsi="Arial" w:cs="Arial"/>
          <w:sz w:val="20"/>
          <w:szCs w:val="20"/>
        </w:rPr>
      </w:pPr>
      <w:r>
        <w:rPr>
          <w:rFonts w:ascii="Arial" w:hAnsi="Arial" w:cs="Arial"/>
          <w:sz w:val="20"/>
          <w:szCs w:val="20"/>
        </w:rPr>
        <w:t>“</w:t>
      </w:r>
      <w:r w:rsidRPr="002236D7">
        <w:rPr>
          <w:rFonts w:ascii="Arial" w:hAnsi="Arial" w:cs="Arial"/>
          <w:sz w:val="20"/>
          <w:szCs w:val="20"/>
        </w:rPr>
        <w:t>Under our law a criminal trial is not, and does not purport to be, an examination and assessment of all the information and evidence that exists, bearing on the question of guilt or innocence. It is a trial, not an inquisition: a trial in which the protagonists are the Crown on the one hand and the accused on the other. Each is free to decide the ground on which it or he will contest the issue, the evidence which it or he will call, and what questions whether in chief or in cross-examination shall be asked … The judge is to take no part in that contest, having his own role to perform in ensuring the propriety and fairness of the trial and in instructing the jury in the relevant law.</w:t>
      </w:r>
      <w:r>
        <w:rPr>
          <w:rFonts w:ascii="Arial" w:hAnsi="Arial" w:cs="Arial"/>
          <w:sz w:val="20"/>
          <w:szCs w:val="20"/>
        </w:rPr>
        <w:t>” {</w:t>
      </w:r>
      <w:r w:rsidRPr="002236D7">
        <w:rPr>
          <w:rFonts w:ascii="Arial" w:hAnsi="Arial" w:cs="Arial"/>
          <w:i/>
          <w:iCs/>
          <w:sz w:val="20"/>
          <w:szCs w:val="20"/>
        </w:rPr>
        <w:t>Ratten v The Queen</w:t>
      </w:r>
      <w:r>
        <w:rPr>
          <w:rFonts w:ascii="Arial" w:hAnsi="Arial" w:cs="Arial"/>
          <w:sz w:val="20"/>
          <w:szCs w:val="20"/>
        </w:rPr>
        <w:t xml:space="preserve"> (1974) 131 CLR 510, 517 per Barwick CJ.}</w:t>
      </w:r>
    </w:p>
    <w:p w14:paraId="1073623D" w14:textId="77777777" w:rsidR="005F231E" w:rsidRPr="00C812C2" w:rsidRDefault="002236D7">
      <w:pPr>
        <w:numPr>
          <w:ilvl w:val="0"/>
          <w:numId w:val="65"/>
        </w:numPr>
        <w:spacing w:before="60"/>
        <w:ind w:left="738" w:right="454" w:hanging="284"/>
        <w:jc w:val="both"/>
        <w:rPr>
          <w:rFonts w:ascii="Arial" w:hAnsi="Arial" w:cs="Arial"/>
          <w:color w:val="000000"/>
          <w:sz w:val="20"/>
        </w:rPr>
      </w:pPr>
      <w:r>
        <w:rPr>
          <w:rFonts w:ascii="Arial" w:hAnsi="Arial" w:cs="Arial"/>
          <w:sz w:val="20"/>
          <w:szCs w:val="20"/>
        </w:rPr>
        <w:t xml:space="preserve">“The degree to which judicial interventions are permissible will vary from civil to criminal jurisdiction and from case to case.  </w:t>
      </w:r>
      <w:r w:rsidRPr="00C812C2">
        <w:rPr>
          <w:rFonts w:ascii="Arial" w:hAnsi="Arial" w:cs="Arial"/>
          <w:b/>
          <w:bCs/>
          <w:sz w:val="20"/>
          <w:szCs w:val="20"/>
        </w:rPr>
        <w:t xml:space="preserve">Where a judge is the ultimate fact-finder, a more liberal approach to judicial intervention may be justified: </w:t>
      </w:r>
      <w:r w:rsidRPr="00C812C2">
        <w:rPr>
          <w:rFonts w:ascii="Arial" w:hAnsi="Arial" w:cs="Arial"/>
          <w:b/>
          <w:bCs/>
          <w:i/>
          <w:iCs/>
          <w:sz w:val="20"/>
          <w:szCs w:val="20"/>
        </w:rPr>
        <w:t>Galea v Galea</w:t>
      </w:r>
      <w:r w:rsidRPr="00C812C2">
        <w:rPr>
          <w:rFonts w:ascii="Arial" w:hAnsi="Arial" w:cs="Arial"/>
          <w:b/>
          <w:bCs/>
          <w:sz w:val="20"/>
          <w:szCs w:val="20"/>
        </w:rPr>
        <w:t xml:space="preserve"> (1990) 19 NSWLR 263, 281 (Kirby ACJ), citing </w:t>
      </w:r>
      <w:r w:rsidRPr="00C812C2">
        <w:rPr>
          <w:rFonts w:ascii="Arial" w:hAnsi="Arial" w:cs="Arial"/>
          <w:b/>
          <w:bCs/>
          <w:i/>
          <w:iCs/>
          <w:sz w:val="20"/>
          <w:szCs w:val="20"/>
        </w:rPr>
        <w:t>R v Matthews</w:t>
      </w:r>
      <w:r w:rsidRPr="00C812C2">
        <w:rPr>
          <w:rFonts w:ascii="Arial" w:hAnsi="Arial" w:cs="Arial"/>
          <w:b/>
          <w:bCs/>
          <w:sz w:val="20"/>
          <w:szCs w:val="20"/>
        </w:rPr>
        <w:t xml:space="preserve"> (1983) 78 Cr App R 23, </w:t>
      </w:r>
      <w:r w:rsidRPr="00C812C2">
        <w:rPr>
          <w:rFonts w:ascii="Arial" w:hAnsi="Arial" w:cs="Arial"/>
          <w:b/>
          <w:bCs/>
          <w:i/>
          <w:iCs/>
          <w:sz w:val="20"/>
          <w:szCs w:val="20"/>
        </w:rPr>
        <w:t>EH Cochrane Ltd v Ministry of Transport</w:t>
      </w:r>
      <w:r w:rsidRPr="00C812C2">
        <w:rPr>
          <w:rFonts w:ascii="Arial" w:hAnsi="Arial" w:cs="Arial"/>
          <w:b/>
          <w:bCs/>
          <w:sz w:val="20"/>
          <w:szCs w:val="20"/>
        </w:rPr>
        <w:t xml:space="preserve"> [1987] 1 NZLR 146.  </w:t>
      </w:r>
      <w:r w:rsidR="008F62A4" w:rsidRPr="00C812C2">
        <w:rPr>
          <w:rFonts w:ascii="Arial" w:hAnsi="Arial" w:cs="Arial"/>
          <w:b/>
          <w:bCs/>
          <w:sz w:val="20"/>
          <w:szCs w:val="20"/>
        </w:rPr>
        <w:t>After all, there can be no complaint about the trier of fact properly informing himself or herself of those facts and the opinions that surround them.</w:t>
      </w:r>
      <w:r w:rsidR="008F62A4" w:rsidRPr="002236D7">
        <w:rPr>
          <w:rFonts w:ascii="Arial" w:hAnsi="Arial" w:cs="Arial"/>
          <w:sz w:val="20"/>
          <w:szCs w:val="20"/>
        </w:rPr>
        <w:t xml:space="preserve"> Where, however, a jury is tasked with determining the outcome, a judge will normally need to be more circumspect and leave counsel and the jury to perform their respective tasks.</w:t>
      </w:r>
      <w:r w:rsidR="008F62A4">
        <w:rPr>
          <w:rFonts w:ascii="Arial" w:hAnsi="Arial" w:cs="Arial"/>
          <w:sz w:val="20"/>
          <w:szCs w:val="20"/>
        </w:rPr>
        <w:t>”</w:t>
      </w:r>
      <w:r w:rsidR="00C812C2">
        <w:rPr>
          <w:rFonts w:ascii="Arial" w:hAnsi="Arial" w:cs="Arial"/>
          <w:sz w:val="20"/>
          <w:szCs w:val="20"/>
        </w:rPr>
        <w:t xml:space="preserve"> [Emphasis added]</w:t>
      </w:r>
    </w:p>
    <w:p w14:paraId="3F9B5D35" w14:textId="77777777" w:rsidR="005F231E" w:rsidRPr="00C812C2" w:rsidRDefault="008F62A4">
      <w:pPr>
        <w:numPr>
          <w:ilvl w:val="0"/>
          <w:numId w:val="65"/>
        </w:numPr>
        <w:spacing w:before="60"/>
        <w:ind w:left="738" w:right="454" w:hanging="284"/>
        <w:jc w:val="both"/>
        <w:rPr>
          <w:rFonts w:ascii="Arial" w:hAnsi="Arial" w:cs="Arial"/>
          <w:color w:val="000000"/>
          <w:sz w:val="20"/>
        </w:rPr>
      </w:pPr>
      <w:r>
        <w:rPr>
          <w:rFonts w:ascii="Arial" w:hAnsi="Arial" w:cs="Arial"/>
          <w:sz w:val="20"/>
          <w:szCs w:val="20"/>
        </w:rPr>
        <w:t>“</w:t>
      </w:r>
      <w:r w:rsidR="00961E62" w:rsidRPr="008F62A4">
        <w:rPr>
          <w:rFonts w:ascii="Arial" w:hAnsi="Arial" w:cs="Arial"/>
          <w:sz w:val="20"/>
          <w:szCs w:val="20"/>
        </w:rPr>
        <w:t xml:space="preserve">A judge goes beyond the scope of permissible judicial intervention in questioning witnesses if he or she appears to adopt the role of a party in the proceeding. Leaving evidentiary and procedural rulings to one side, a judge cannot shape the content of the trial or convey to the jury the impression that he or she has taken a side in the dispute. As Hansen JA said in </w:t>
      </w:r>
      <w:r w:rsidR="00961E62" w:rsidRPr="00961E62">
        <w:rPr>
          <w:rFonts w:ascii="Arial" w:hAnsi="Arial" w:cs="Arial"/>
          <w:i/>
          <w:iCs/>
          <w:sz w:val="20"/>
          <w:szCs w:val="20"/>
        </w:rPr>
        <w:t>Buchwald v The Queen</w:t>
      </w:r>
      <w:r w:rsidR="00961E62">
        <w:rPr>
          <w:rFonts w:ascii="Arial" w:hAnsi="Arial" w:cs="Arial"/>
          <w:i/>
          <w:iCs/>
          <w:sz w:val="20"/>
          <w:szCs w:val="20"/>
        </w:rPr>
        <w:t xml:space="preserve"> </w:t>
      </w:r>
      <w:r w:rsidR="00961E62" w:rsidRPr="00961E62">
        <w:rPr>
          <w:rFonts w:ascii="Arial" w:hAnsi="Arial" w:cs="Arial"/>
          <w:sz w:val="20"/>
          <w:szCs w:val="20"/>
        </w:rPr>
        <w:t>(2011) 38 VR 199, 229</w:t>
      </w:r>
      <w:r w:rsidR="00961E62" w:rsidRPr="008F62A4">
        <w:rPr>
          <w:rFonts w:ascii="Arial" w:hAnsi="Arial" w:cs="Arial"/>
          <w:sz w:val="20"/>
          <w:szCs w:val="20"/>
        </w:rPr>
        <w:t>:</w:t>
      </w:r>
      <w:r w:rsidR="00961E62">
        <w:rPr>
          <w:rFonts w:ascii="Arial" w:hAnsi="Arial" w:cs="Arial"/>
          <w:sz w:val="20"/>
          <w:szCs w:val="20"/>
        </w:rPr>
        <w:t xml:space="preserve"> ‘</w:t>
      </w:r>
      <w:r w:rsidR="00961E62" w:rsidRPr="008F62A4">
        <w:rPr>
          <w:rFonts w:ascii="Arial" w:hAnsi="Arial" w:cs="Arial"/>
          <w:sz w:val="20"/>
          <w:szCs w:val="20"/>
        </w:rPr>
        <w:t>The question is ultimately whether, having regard to all the circumstances of the trial, including the length, terms and nature of the judge’s questioning, the judge’s intervention crossed the boundary between impartial judge and partial advocate.</w:t>
      </w:r>
      <w:r w:rsidR="00961E62">
        <w:rPr>
          <w:rFonts w:ascii="Arial" w:hAnsi="Arial" w:cs="Arial"/>
          <w:sz w:val="20"/>
          <w:szCs w:val="20"/>
        </w:rPr>
        <w:t>’”</w:t>
      </w:r>
    </w:p>
    <w:p w14:paraId="3D90A20D" w14:textId="77777777" w:rsidR="005F231E" w:rsidRPr="00C812C2" w:rsidRDefault="00961E62">
      <w:pPr>
        <w:numPr>
          <w:ilvl w:val="0"/>
          <w:numId w:val="65"/>
        </w:numPr>
        <w:spacing w:before="60"/>
        <w:ind w:left="738" w:right="454" w:hanging="284"/>
        <w:jc w:val="both"/>
        <w:rPr>
          <w:rFonts w:ascii="Arial" w:hAnsi="Arial" w:cs="Arial"/>
          <w:color w:val="000000"/>
          <w:sz w:val="20"/>
        </w:rPr>
      </w:pPr>
      <w:r>
        <w:rPr>
          <w:rFonts w:ascii="Arial" w:hAnsi="Arial" w:cs="Arial"/>
          <w:sz w:val="20"/>
          <w:szCs w:val="20"/>
        </w:rPr>
        <w:t>“</w:t>
      </w:r>
      <w:r w:rsidRPr="00961E62">
        <w:rPr>
          <w:rFonts w:ascii="Arial" w:hAnsi="Arial" w:cs="Arial"/>
          <w:sz w:val="20"/>
          <w:szCs w:val="20"/>
        </w:rPr>
        <w:t xml:space="preserve">It is not part of the functions of a trial judge </w:t>
      </w:r>
      <w:r w:rsidR="000A7BEB">
        <w:rPr>
          <w:rFonts w:ascii="Arial" w:hAnsi="Arial" w:cs="Arial"/>
          <w:sz w:val="20"/>
          <w:szCs w:val="20"/>
        </w:rPr>
        <w:t xml:space="preserve">[in a jury trial] </w:t>
      </w:r>
      <w:r w:rsidRPr="00961E62">
        <w:rPr>
          <w:rFonts w:ascii="Arial" w:hAnsi="Arial" w:cs="Arial"/>
          <w:sz w:val="20"/>
          <w:szCs w:val="20"/>
        </w:rPr>
        <w:t>to endeavour to fill gaps in a Crown case; nor to ask questions of an accused or any other witness in order to raise an issue which the Crown and the accused have left alone; nor to ask leading questions of an accused or any other witness in an endeavour to throw doubts upon the witness’s credit, particularly if the witness is the accused</w:t>
      </w:r>
      <w:r w:rsidR="000A7BEB">
        <w:rPr>
          <w:rFonts w:ascii="Arial" w:hAnsi="Arial" w:cs="Arial"/>
          <w:sz w:val="20"/>
          <w:szCs w:val="20"/>
        </w:rPr>
        <w:t>…</w:t>
      </w:r>
      <w:r w:rsidR="000A7BEB" w:rsidRPr="00D33CEF">
        <w:rPr>
          <w:rFonts w:ascii="Arial" w:hAnsi="Arial" w:cs="Arial"/>
          <w:sz w:val="20"/>
          <w:szCs w:val="20"/>
        </w:rPr>
        <w:t xml:space="preserve"> It is permissible for a judge to intervene, even, if necessary, repeatedly, during evidence-in-chief and cross-examination of an expert witness in a judge-alone trial where the intervention occurs to ‘enable [the judge] to understand the technical points of the case’</w:t>
      </w:r>
      <w:r w:rsidR="000A7BEB">
        <w:rPr>
          <w:rFonts w:ascii="Arial" w:hAnsi="Arial" w:cs="Arial"/>
          <w:sz w:val="20"/>
          <w:szCs w:val="20"/>
        </w:rPr>
        <w:t xml:space="preserve">: </w:t>
      </w:r>
      <w:r w:rsidR="000A7BEB" w:rsidRPr="000A7BEB">
        <w:rPr>
          <w:rFonts w:ascii="Arial" w:hAnsi="Arial" w:cs="Arial"/>
          <w:i/>
          <w:iCs/>
          <w:sz w:val="20"/>
          <w:szCs w:val="20"/>
        </w:rPr>
        <w:t>Jones</w:t>
      </w:r>
      <w:r w:rsidR="000A7BEB">
        <w:rPr>
          <w:rFonts w:ascii="Arial" w:hAnsi="Arial" w:cs="Arial"/>
          <w:sz w:val="20"/>
          <w:szCs w:val="20"/>
        </w:rPr>
        <w:t xml:space="preserve"> [1957] 2 QB 55, 62 (Denning LJ)</w:t>
      </w:r>
      <w:r w:rsidR="000A7BEB" w:rsidRPr="00D33CEF">
        <w:rPr>
          <w:rFonts w:ascii="Arial" w:hAnsi="Arial" w:cs="Arial"/>
          <w:sz w:val="20"/>
          <w:szCs w:val="20"/>
        </w:rPr>
        <w:t>.  Indeed, a judge is ‘bound to intervene’ in these circumstances.</w:t>
      </w:r>
      <w:r>
        <w:rPr>
          <w:rFonts w:ascii="Arial" w:hAnsi="Arial" w:cs="Arial"/>
          <w:sz w:val="20"/>
          <w:szCs w:val="20"/>
        </w:rPr>
        <w:t>” {</w:t>
      </w:r>
      <w:r w:rsidRPr="00961E62">
        <w:rPr>
          <w:rFonts w:ascii="Arial" w:hAnsi="Arial" w:cs="Arial"/>
          <w:i/>
          <w:iCs/>
          <w:sz w:val="20"/>
          <w:szCs w:val="20"/>
        </w:rPr>
        <w:t>R v Brdarovski</w:t>
      </w:r>
      <w:r>
        <w:rPr>
          <w:rFonts w:ascii="Arial" w:hAnsi="Arial" w:cs="Arial"/>
          <w:sz w:val="20"/>
          <w:szCs w:val="20"/>
        </w:rPr>
        <w:t xml:space="preserve"> (2006) 136 A Crim R 336 per Nettle JA at [25].}</w:t>
      </w:r>
    </w:p>
    <w:p w14:paraId="139DCC1F" w14:textId="1878D1FD" w:rsidR="003232A7" w:rsidRPr="00C812C2" w:rsidRDefault="00961E62">
      <w:pPr>
        <w:numPr>
          <w:ilvl w:val="0"/>
          <w:numId w:val="65"/>
        </w:numPr>
        <w:spacing w:before="60"/>
        <w:ind w:left="738" w:right="454" w:hanging="284"/>
        <w:jc w:val="both"/>
        <w:rPr>
          <w:rFonts w:ascii="Arial" w:hAnsi="Arial" w:cs="Arial"/>
          <w:color w:val="000000"/>
          <w:sz w:val="20"/>
        </w:rPr>
      </w:pPr>
      <w:r w:rsidRPr="00961E62">
        <w:rPr>
          <w:rFonts w:ascii="Arial" w:hAnsi="Arial" w:cs="Arial"/>
          <w:sz w:val="20"/>
          <w:szCs w:val="20"/>
        </w:rPr>
        <w:t>“It is permissible for a judge to intervene, even, if necessary, repeatedly, during evidence-in-chief and cross-examination of an expert witness in a judge-alone trial where the intervention occurs to ‘enable [the judge] to understand the technical points of the case</w:t>
      </w:r>
      <w:r w:rsidR="00C812C2">
        <w:rPr>
          <w:rFonts w:ascii="Arial" w:hAnsi="Arial" w:cs="Arial"/>
          <w:sz w:val="20"/>
          <w:szCs w:val="20"/>
        </w:rPr>
        <w:t>’</w:t>
      </w:r>
      <w:r w:rsidRPr="00961E62">
        <w:rPr>
          <w:rFonts w:ascii="Arial" w:hAnsi="Arial" w:cs="Arial"/>
          <w:sz w:val="20"/>
          <w:szCs w:val="20"/>
        </w:rPr>
        <w:t>…Indeed, a judge is ‘bound to intervene’ in these circumstances.” {</w:t>
      </w:r>
      <w:r>
        <w:rPr>
          <w:rFonts w:ascii="Arial" w:hAnsi="Arial" w:cs="Arial"/>
          <w:sz w:val="20"/>
          <w:szCs w:val="20"/>
        </w:rPr>
        <w:t>J</w:t>
      </w:r>
      <w:r w:rsidRPr="00961E62">
        <w:rPr>
          <w:rFonts w:ascii="Arial" w:hAnsi="Arial" w:cs="Arial"/>
          <w:i/>
          <w:iCs/>
          <w:sz w:val="20"/>
          <w:szCs w:val="20"/>
        </w:rPr>
        <w:t>ones v National Coal Board</w:t>
      </w:r>
      <w:r w:rsidRPr="00961E62">
        <w:rPr>
          <w:rFonts w:ascii="Arial" w:hAnsi="Arial" w:cs="Arial"/>
          <w:sz w:val="20"/>
          <w:szCs w:val="20"/>
        </w:rPr>
        <w:t xml:space="preserve"> [1957] 2 QB 55 at 6</w:t>
      </w:r>
      <w:r>
        <w:rPr>
          <w:rFonts w:ascii="Arial" w:hAnsi="Arial" w:cs="Arial"/>
          <w:sz w:val="20"/>
          <w:szCs w:val="20"/>
        </w:rPr>
        <w:t>2 &amp; 65.}</w:t>
      </w:r>
    </w:p>
    <w:p w14:paraId="1C8D0FB1" w14:textId="011FAB30" w:rsidR="00C812C2" w:rsidRPr="00C812C2" w:rsidRDefault="00C812C2">
      <w:pPr>
        <w:numPr>
          <w:ilvl w:val="0"/>
          <w:numId w:val="65"/>
        </w:numPr>
        <w:spacing w:before="60"/>
        <w:ind w:left="738" w:right="454" w:hanging="284"/>
        <w:jc w:val="both"/>
        <w:rPr>
          <w:rFonts w:ascii="Arial" w:hAnsi="Arial" w:cs="Arial"/>
          <w:color w:val="000000"/>
          <w:sz w:val="20"/>
        </w:rPr>
      </w:pPr>
      <w:r>
        <w:rPr>
          <w:rFonts w:ascii="Arial" w:hAnsi="Arial" w:cs="Arial"/>
          <w:color w:val="000000"/>
          <w:sz w:val="20"/>
        </w:rPr>
        <w:t>“</w:t>
      </w:r>
      <w:r w:rsidRPr="00C812C2">
        <w:rPr>
          <w:rFonts w:ascii="Arial" w:hAnsi="Arial" w:cs="Arial"/>
          <w:sz w:val="20"/>
          <w:szCs w:val="20"/>
        </w:rPr>
        <w:t xml:space="preserve">A judge may intervene, </w:t>
      </w:r>
      <w:proofErr w:type="gramStart"/>
      <w:r w:rsidRPr="00C812C2">
        <w:rPr>
          <w:rFonts w:ascii="Arial" w:hAnsi="Arial" w:cs="Arial"/>
          <w:sz w:val="20"/>
          <w:szCs w:val="20"/>
        </w:rPr>
        <w:t>frequently</w:t>
      </w:r>
      <w:proofErr w:type="gramEnd"/>
      <w:r w:rsidRPr="00C812C2">
        <w:rPr>
          <w:rFonts w:ascii="Arial" w:hAnsi="Arial" w:cs="Arial"/>
          <w:sz w:val="20"/>
          <w:szCs w:val="20"/>
        </w:rPr>
        <w:t xml:space="preserve"> if necessary, in order to maintain proper control over the proceedings and to ensure that witness examination remains fair and relevant.</w:t>
      </w:r>
      <w:r>
        <w:rPr>
          <w:rFonts w:ascii="Arial" w:hAnsi="Arial" w:cs="Arial"/>
          <w:sz w:val="20"/>
          <w:szCs w:val="20"/>
        </w:rPr>
        <w:t xml:space="preserve">” {See </w:t>
      </w:r>
      <w:r w:rsidRPr="00C812C2">
        <w:rPr>
          <w:rFonts w:ascii="Arial" w:hAnsi="Arial" w:cs="Arial"/>
          <w:i/>
          <w:iCs/>
          <w:sz w:val="20"/>
          <w:szCs w:val="20"/>
        </w:rPr>
        <w:t>Anderson v National Australia Bank</w:t>
      </w:r>
      <w:r>
        <w:rPr>
          <w:rFonts w:ascii="Arial" w:hAnsi="Arial" w:cs="Arial"/>
          <w:sz w:val="20"/>
          <w:szCs w:val="20"/>
        </w:rPr>
        <w:t xml:space="preserve"> [2007] VSCA 172 at [83].}</w:t>
      </w:r>
    </w:p>
    <w:p w14:paraId="36F6FDD8" w14:textId="5DCCDF7A" w:rsidR="00C812C2" w:rsidRPr="000A7BEB" w:rsidRDefault="00C812C2">
      <w:pPr>
        <w:numPr>
          <w:ilvl w:val="0"/>
          <w:numId w:val="65"/>
        </w:numPr>
        <w:spacing w:before="60"/>
        <w:ind w:left="738" w:right="454" w:hanging="284"/>
        <w:jc w:val="both"/>
        <w:rPr>
          <w:rFonts w:ascii="Arial" w:hAnsi="Arial" w:cs="Arial"/>
          <w:color w:val="000000"/>
          <w:sz w:val="20"/>
        </w:rPr>
      </w:pPr>
      <w:r>
        <w:rPr>
          <w:rFonts w:ascii="Arial" w:hAnsi="Arial" w:cs="Arial"/>
          <w:color w:val="000000"/>
          <w:sz w:val="20"/>
        </w:rPr>
        <w:lastRenderedPageBreak/>
        <w:t>“</w:t>
      </w:r>
      <w:r w:rsidRPr="00C812C2">
        <w:rPr>
          <w:rFonts w:ascii="Arial" w:hAnsi="Arial" w:cs="Arial"/>
          <w:sz w:val="20"/>
          <w:szCs w:val="20"/>
        </w:rPr>
        <w:t>It is impermissible for a judge’s interventions to have the effect of undermining counsel’s forensic plan or strategy. Intervening, particularly in a criminal trial by jury, creates an especial risk of producing an unfair trial.</w:t>
      </w:r>
      <w:r>
        <w:rPr>
          <w:rFonts w:ascii="Arial" w:hAnsi="Arial" w:cs="Arial"/>
          <w:sz w:val="20"/>
          <w:szCs w:val="20"/>
        </w:rPr>
        <w:t>”</w:t>
      </w:r>
    </w:p>
    <w:p w14:paraId="17A631FA" w14:textId="506D1666" w:rsidR="000A7BEB" w:rsidRPr="00394692" w:rsidRDefault="000A7BEB">
      <w:pPr>
        <w:numPr>
          <w:ilvl w:val="0"/>
          <w:numId w:val="65"/>
        </w:numPr>
        <w:spacing w:before="60"/>
        <w:ind w:left="738" w:right="454" w:hanging="284"/>
        <w:jc w:val="both"/>
        <w:rPr>
          <w:rFonts w:ascii="Arial" w:hAnsi="Arial" w:cs="Arial"/>
          <w:color w:val="000000"/>
          <w:sz w:val="20"/>
        </w:rPr>
      </w:pPr>
      <w:r>
        <w:rPr>
          <w:rFonts w:ascii="Arial" w:hAnsi="Arial" w:cs="Arial"/>
          <w:sz w:val="20"/>
          <w:szCs w:val="20"/>
        </w:rPr>
        <w:t xml:space="preserve">“A </w:t>
      </w:r>
      <w:r w:rsidRPr="00D33CEF">
        <w:rPr>
          <w:rFonts w:ascii="Arial" w:hAnsi="Arial" w:cs="Arial"/>
          <w:sz w:val="20"/>
          <w:szCs w:val="20"/>
        </w:rPr>
        <w:t>judge should not, during the course of questioning</w:t>
      </w:r>
      <w:r w:rsidR="00394692">
        <w:rPr>
          <w:rFonts w:ascii="Arial" w:hAnsi="Arial" w:cs="Arial"/>
          <w:sz w:val="20"/>
          <w:szCs w:val="20"/>
        </w:rPr>
        <w:t xml:space="preserve"> [in a criminal trial]</w:t>
      </w:r>
      <w:r w:rsidRPr="00D33CEF">
        <w:rPr>
          <w:rFonts w:ascii="Arial" w:hAnsi="Arial" w:cs="Arial"/>
          <w:sz w:val="20"/>
          <w:szCs w:val="20"/>
        </w:rPr>
        <w:t xml:space="preserve">, raise a point which neither party had raised or sought to raise.  In </w:t>
      </w:r>
      <w:r w:rsidRPr="00D33CEF">
        <w:rPr>
          <w:rFonts w:ascii="Arial" w:eastAsia="Book Antiqua" w:hAnsi="Arial" w:cs="Arial"/>
          <w:i/>
          <w:sz w:val="20"/>
          <w:szCs w:val="20"/>
        </w:rPr>
        <w:t>Brdarovski</w:t>
      </w:r>
      <w:r w:rsidRPr="00D33CEF">
        <w:rPr>
          <w:rFonts w:ascii="Arial" w:hAnsi="Arial" w:cs="Arial"/>
          <w:sz w:val="20"/>
          <w:szCs w:val="20"/>
        </w:rPr>
        <w:t>, the trial judge intervened during cross-examination of the accused to question him on DNA, directed towards an issue the prosecutor had elected to leave alone:</w:t>
      </w:r>
      <w:r w:rsidR="00394692">
        <w:rPr>
          <w:rFonts w:ascii="Arial" w:hAnsi="Arial" w:cs="Arial"/>
          <w:sz w:val="20"/>
          <w:szCs w:val="20"/>
        </w:rPr>
        <w:t xml:space="preserve"> ‘It was not for the judge to create an issue where none existed.’”</w:t>
      </w:r>
    </w:p>
    <w:p w14:paraId="49ED082A" w14:textId="3B3F472C" w:rsidR="00394692" w:rsidRPr="00394692" w:rsidRDefault="00394692">
      <w:pPr>
        <w:numPr>
          <w:ilvl w:val="0"/>
          <w:numId w:val="65"/>
        </w:numPr>
        <w:spacing w:before="60"/>
        <w:ind w:left="738" w:right="454" w:hanging="284"/>
        <w:jc w:val="both"/>
        <w:rPr>
          <w:rFonts w:ascii="Arial" w:hAnsi="Arial" w:cs="Arial"/>
          <w:color w:val="000000"/>
          <w:sz w:val="20"/>
        </w:rPr>
      </w:pPr>
      <w:r w:rsidRPr="00394692">
        <w:rPr>
          <w:rFonts w:ascii="Arial" w:hAnsi="Arial" w:cs="Arial"/>
          <w:sz w:val="20"/>
          <w:szCs w:val="20"/>
        </w:rPr>
        <w:t xml:space="preserve">“Judges should avoid denigrating counsel, particularly before a jury </w:t>
      </w:r>
      <w:r w:rsidRPr="00394692">
        <w:rPr>
          <w:rFonts w:ascii="Arial" w:eastAsia="Book Antiqua" w:hAnsi="Arial" w:cs="Arial"/>
          <w:i/>
          <w:sz w:val="20"/>
          <w:szCs w:val="20"/>
        </w:rPr>
        <w:t xml:space="preserve">Galea </w:t>
      </w:r>
      <w:r w:rsidRPr="00394692">
        <w:rPr>
          <w:rFonts w:ascii="Arial" w:hAnsi="Arial" w:cs="Arial"/>
          <w:sz w:val="20"/>
          <w:szCs w:val="20"/>
        </w:rPr>
        <w:t xml:space="preserve">(1990) 19 NSWLR 263, 282 (Kirby ACJ) (and, ideally, in its absence: </w:t>
      </w:r>
      <w:r w:rsidRPr="00394692">
        <w:rPr>
          <w:rFonts w:ascii="Arial" w:eastAsia="Book Antiqua" w:hAnsi="Arial" w:cs="Arial"/>
          <w:i/>
          <w:sz w:val="20"/>
          <w:szCs w:val="20"/>
        </w:rPr>
        <w:t>Piccolotto v The Queen</w:t>
      </w:r>
      <w:r w:rsidRPr="00394692">
        <w:rPr>
          <w:rFonts w:ascii="Arial" w:hAnsi="Arial" w:cs="Arial"/>
          <w:sz w:val="20"/>
          <w:szCs w:val="20"/>
        </w:rPr>
        <w:t xml:space="preserve"> [2015] VSCA 143, [31]–[35] (Redlich, Santamaria and Beach JJA)</w:t>
      </w:r>
      <w:r>
        <w:rPr>
          <w:rFonts w:ascii="Arial" w:hAnsi="Arial" w:cs="Arial"/>
          <w:sz w:val="20"/>
          <w:szCs w:val="20"/>
        </w:rPr>
        <w:t xml:space="preserve">; </w:t>
      </w:r>
      <w:r w:rsidRPr="00394692">
        <w:rPr>
          <w:rFonts w:ascii="Arial" w:eastAsia="Book Antiqua" w:hAnsi="Arial" w:cs="Arial"/>
          <w:i/>
          <w:sz w:val="20"/>
          <w:szCs w:val="20"/>
        </w:rPr>
        <w:t>Pyliotis v The Queen</w:t>
      </w:r>
      <w:r w:rsidRPr="00394692">
        <w:rPr>
          <w:rFonts w:ascii="Arial" w:hAnsi="Arial" w:cs="Arial"/>
          <w:sz w:val="20"/>
          <w:szCs w:val="20"/>
        </w:rPr>
        <w:t xml:space="preserve"> [2020] VSCA 134, [60] (Priest, Niall and T Forrest JJA).</w:t>
      </w:r>
      <w:r>
        <w:rPr>
          <w:rFonts w:ascii="Arial" w:hAnsi="Arial" w:cs="Arial"/>
          <w:sz w:val="20"/>
          <w:szCs w:val="20"/>
        </w:rPr>
        <w:t>”</w:t>
      </w:r>
    </w:p>
    <w:p w14:paraId="75365AC9" w14:textId="77777777" w:rsidR="00394692" w:rsidRPr="00394692" w:rsidRDefault="00394692">
      <w:pPr>
        <w:numPr>
          <w:ilvl w:val="0"/>
          <w:numId w:val="65"/>
        </w:numPr>
        <w:spacing w:before="60"/>
        <w:ind w:left="738" w:right="454" w:hanging="284"/>
        <w:jc w:val="both"/>
        <w:rPr>
          <w:rFonts w:ascii="Arial" w:hAnsi="Arial" w:cs="Arial"/>
          <w:color w:val="000000"/>
          <w:sz w:val="20"/>
        </w:rPr>
      </w:pPr>
      <w:r>
        <w:rPr>
          <w:rFonts w:ascii="Arial" w:hAnsi="Arial" w:cs="Arial"/>
          <w:sz w:val="20"/>
          <w:szCs w:val="20"/>
        </w:rPr>
        <w:t>“A judge should not, through questioning, convey scepticism about a witness’ evidence or his or her credibility.”</w:t>
      </w:r>
    </w:p>
    <w:p w14:paraId="5BA27D20" w14:textId="56D604CC" w:rsidR="00394692" w:rsidRPr="00394692" w:rsidRDefault="00394692">
      <w:pPr>
        <w:numPr>
          <w:ilvl w:val="0"/>
          <w:numId w:val="65"/>
        </w:numPr>
        <w:spacing w:before="60"/>
        <w:ind w:left="738" w:right="454" w:hanging="284"/>
        <w:jc w:val="both"/>
        <w:rPr>
          <w:rFonts w:ascii="Arial" w:hAnsi="Arial" w:cs="Arial"/>
          <w:color w:val="000000"/>
          <w:sz w:val="20"/>
          <w:szCs w:val="20"/>
        </w:rPr>
      </w:pPr>
      <w:r>
        <w:rPr>
          <w:rFonts w:ascii="Arial" w:hAnsi="Arial" w:cs="Arial"/>
          <w:sz w:val="20"/>
          <w:szCs w:val="20"/>
        </w:rPr>
        <w:t>“</w:t>
      </w:r>
      <w:r w:rsidRPr="00D33CEF">
        <w:rPr>
          <w:rFonts w:ascii="Arial" w:hAnsi="Arial" w:cs="Arial"/>
          <w:sz w:val="20"/>
          <w:szCs w:val="20"/>
        </w:rPr>
        <w:t xml:space="preserve">Judges possess the full range of human strengths and weaknesses.  In an adversarial system, it may be expected that judges of different temperaments may respond very differently to identical circumstances and it is unrealistic to expect unfailing wisdom seasoned with serene composure.  Judges may sometimes be belligerent and rude.  They can on occasions be confrontational and impatient.  They may be sarcastic and disdainful.  Whether the cumulative effect of such conduct will constitute a substantial miscarriage of justice will always be a question of fact and degree.  In </w:t>
      </w:r>
      <w:r w:rsidRPr="00D33CEF">
        <w:rPr>
          <w:rFonts w:ascii="Arial" w:eastAsia="Book Antiqua" w:hAnsi="Arial" w:cs="Arial"/>
          <w:i/>
          <w:sz w:val="20"/>
          <w:szCs w:val="20"/>
        </w:rPr>
        <w:t xml:space="preserve">Budd v Kambah Tea Tree </w:t>
      </w:r>
      <w:r w:rsidRPr="00394692">
        <w:rPr>
          <w:rFonts w:ascii="Arial" w:eastAsia="Book Antiqua" w:hAnsi="Arial" w:cs="Arial"/>
          <w:i/>
          <w:sz w:val="20"/>
          <w:szCs w:val="20"/>
        </w:rPr>
        <w:t xml:space="preserve">Plantations Pty Ltd </w:t>
      </w:r>
      <w:r w:rsidRPr="00394692">
        <w:rPr>
          <w:rFonts w:ascii="Arial" w:hAnsi="Arial" w:cs="Arial"/>
          <w:sz w:val="20"/>
          <w:szCs w:val="20"/>
        </w:rPr>
        <w:t xml:space="preserve">[2001] NSWCA 180 at [103] Heydon JA, in the setting of civil litigation, sanctioned the robust approach to the conduct of a trial adopted by the judge at first instance as a ‘modern technique, and a not unacceptable one, particularly in a busy trial court under pressure from crowded lists’.  Nettle JA, citing this observation in </w:t>
      </w:r>
      <w:r w:rsidRPr="00394692">
        <w:rPr>
          <w:rFonts w:ascii="Arial" w:eastAsia="Book Antiqua" w:hAnsi="Arial" w:cs="Arial"/>
          <w:i/>
          <w:sz w:val="20"/>
          <w:szCs w:val="20"/>
        </w:rPr>
        <w:t>Anderson</w:t>
      </w:r>
      <w:r w:rsidRPr="00394692">
        <w:rPr>
          <w:rFonts w:ascii="Arial" w:hAnsi="Arial" w:cs="Arial"/>
          <w:sz w:val="20"/>
          <w:szCs w:val="20"/>
        </w:rPr>
        <w:t xml:space="preserve"> [2007] VSCA 172, remarked at [95] that trial litigation often called for ‘plain speaking, directness and sometimes asperity’.  In the scheme of things, a trial judge should endeavour to avoid ‘truculence and discourtesy’, although ‘in any hard fought case’ it may well arise.  The fact that it does is not necessarily determinative of the question whether there has been a substantial miscarriage of justice.  It is always necessary to ask whether the trial has been so compromised by the judge’s conduct as to no longer justify the characterisation of a ‘fair trial’.</w:t>
      </w:r>
      <w:r>
        <w:rPr>
          <w:rFonts w:ascii="Arial" w:hAnsi="Arial" w:cs="Arial"/>
          <w:sz w:val="20"/>
          <w:szCs w:val="20"/>
        </w:rPr>
        <w:t>”</w:t>
      </w:r>
    </w:p>
    <w:p w14:paraId="0AC6F941" w14:textId="63296383" w:rsidR="00CD6C93" w:rsidRDefault="00394692" w:rsidP="00E802F6">
      <w:pPr>
        <w:spacing w:before="120"/>
        <w:jc w:val="both"/>
        <w:rPr>
          <w:rFonts w:ascii="Arial" w:hAnsi="Arial" w:cs="Arial"/>
          <w:sz w:val="20"/>
          <w:szCs w:val="20"/>
        </w:rPr>
      </w:pPr>
      <w:r>
        <w:rPr>
          <w:rFonts w:ascii="Arial" w:hAnsi="Arial" w:cs="Arial"/>
          <w:sz w:val="20"/>
          <w:szCs w:val="20"/>
        </w:rPr>
        <w:t>I</w:t>
      </w:r>
      <w:r w:rsidR="00AD7327">
        <w:rPr>
          <w:rFonts w:ascii="Arial" w:hAnsi="Arial" w:cs="Arial"/>
          <w:sz w:val="20"/>
          <w:szCs w:val="20"/>
        </w:rPr>
        <w:t>n the context of adversarial proceedings</w:t>
      </w:r>
      <w:r w:rsidR="00CD6C93">
        <w:rPr>
          <w:rFonts w:ascii="Arial" w:hAnsi="Arial" w:cs="Arial"/>
          <w:sz w:val="20"/>
          <w:szCs w:val="20"/>
        </w:rPr>
        <w:t>,</w:t>
      </w:r>
      <w:r w:rsidR="00AD7327">
        <w:rPr>
          <w:rFonts w:ascii="Arial" w:hAnsi="Arial" w:cs="Arial"/>
          <w:sz w:val="20"/>
          <w:szCs w:val="20"/>
        </w:rPr>
        <w:t xml:space="preserve"> </w:t>
      </w:r>
      <w:r>
        <w:rPr>
          <w:rFonts w:ascii="Arial" w:hAnsi="Arial" w:cs="Arial"/>
          <w:sz w:val="20"/>
          <w:szCs w:val="20"/>
        </w:rPr>
        <w:t xml:space="preserve">the Court of Appeal </w:t>
      </w:r>
      <w:r w:rsidR="00E802F6">
        <w:rPr>
          <w:rFonts w:ascii="Arial" w:hAnsi="Arial" w:cs="Arial"/>
          <w:sz w:val="20"/>
          <w:szCs w:val="20"/>
        </w:rPr>
        <w:t>concluded</w:t>
      </w:r>
      <w:r>
        <w:rPr>
          <w:rFonts w:ascii="Arial" w:hAnsi="Arial" w:cs="Arial"/>
          <w:sz w:val="20"/>
          <w:szCs w:val="20"/>
        </w:rPr>
        <w:t xml:space="preserve"> </w:t>
      </w:r>
      <w:r w:rsidR="00CD6C93">
        <w:rPr>
          <w:rFonts w:ascii="Arial" w:hAnsi="Arial" w:cs="Arial"/>
          <w:sz w:val="20"/>
          <w:szCs w:val="20"/>
        </w:rPr>
        <w:t xml:space="preserve">in </w:t>
      </w:r>
      <w:r w:rsidR="00CD6C93" w:rsidRPr="00394692">
        <w:rPr>
          <w:rFonts w:ascii="Arial" w:hAnsi="Arial" w:cs="Arial"/>
          <w:i/>
          <w:iCs/>
          <w:sz w:val="20"/>
          <w:szCs w:val="20"/>
        </w:rPr>
        <w:t>Nwagbo’s Case</w:t>
      </w:r>
      <w:r w:rsidR="00CD6C93">
        <w:rPr>
          <w:rFonts w:ascii="Arial" w:hAnsi="Arial" w:cs="Arial"/>
          <w:sz w:val="20"/>
          <w:szCs w:val="20"/>
        </w:rPr>
        <w:t xml:space="preserve"> </w:t>
      </w:r>
      <w:r w:rsidR="00230740">
        <w:rPr>
          <w:rFonts w:ascii="Arial" w:hAnsi="Arial" w:cs="Arial"/>
          <w:sz w:val="20"/>
          <w:szCs w:val="20"/>
        </w:rPr>
        <w:t xml:space="preserve">at [38] </w:t>
      </w:r>
      <w:r>
        <w:rPr>
          <w:rFonts w:ascii="Arial" w:hAnsi="Arial" w:cs="Arial"/>
          <w:sz w:val="20"/>
          <w:szCs w:val="20"/>
        </w:rPr>
        <w:t>that</w:t>
      </w:r>
      <w:r w:rsidR="00CD6C93">
        <w:rPr>
          <w:rFonts w:ascii="Arial" w:hAnsi="Arial" w:cs="Arial"/>
          <w:sz w:val="20"/>
          <w:szCs w:val="20"/>
        </w:rPr>
        <w:t>:</w:t>
      </w:r>
    </w:p>
    <w:p w14:paraId="2C05FCA9" w14:textId="2F1F69C4" w:rsidR="008C6C91" w:rsidRPr="00D33CEF" w:rsidRDefault="00394692" w:rsidP="00CD6C93">
      <w:pPr>
        <w:spacing w:before="40"/>
        <w:ind w:left="454" w:right="454"/>
        <w:jc w:val="both"/>
        <w:rPr>
          <w:rFonts w:ascii="Arial" w:hAnsi="Arial" w:cs="Arial"/>
          <w:sz w:val="20"/>
          <w:szCs w:val="20"/>
        </w:rPr>
      </w:pPr>
      <w:r>
        <w:rPr>
          <w:rFonts w:ascii="Arial" w:hAnsi="Arial" w:cs="Arial"/>
          <w:sz w:val="20"/>
          <w:szCs w:val="20"/>
        </w:rPr>
        <w:t>“</w:t>
      </w:r>
      <w:r w:rsidR="00CD6C93">
        <w:rPr>
          <w:rFonts w:ascii="Arial" w:hAnsi="Arial" w:cs="Arial"/>
          <w:sz w:val="20"/>
          <w:szCs w:val="20"/>
        </w:rPr>
        <w:t>I</w:t>
      </w:r>
      <w:r>
        <w:rPr>
          <w:rFonts w:ascii="Arial" w:hAnsi="Arial" w:cs="Arial"/>
          <w:sz w:val="20"/>
          <w:szCs w:val="20"/>
        </w:rPr>
        <w:t xml:space="preserve">n summary, the following propositions can be distilled from the authorities: </w:t>
      </w:r>
    </w:p>
    <w:p w14:paraId="1E2DF4D7"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Whether judicial intervention will constitute a substantial miscarriage of justice will always be a question of fact and degree. </w:t>
      </w:r>
    </w:p>
    <w:p w14:paraId="641695E0"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An adversarial system prescribes distinct roles to counsel and the judge, and the role of the judge is circumscribed by the dynamics of the adversarial system. </w:t>
      </w:r>
    </w:p>
    <w:p w14:paraId="51808DF0"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In jury trials, judges should be especially careful to avoid unnecessary intervention in the presence of the jury. </w:t>
      </w:r>
    </w:p>
    <w:p w14:paraId="4BD208AD"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Judicial intervention in the presence of the jury ought not descend to denigration of counsel or counsel’s case. </w:t>
      </w:r>
    </w:p>
    <w:p w14:paraId="53A3C28B"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 judge must not give the appearance of adopting the role of a party to the proceeding, nor appear as if that party’s partial advocate. </w:t>
      </w:r>
    </w:p>
    <w:p w14:paraId="4C6B2556"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 judge must not shape the content of a trial, save for procedural or evidentiary rulings.  Hence, a judge must not endeavour to fill gaps in a party’s case, examine areas that the parties have left alone, nor endeavour to impact upon a witness’s credit. </w:t>
      </w:r>
    </w:p>
    <w:p w14:paraId="45844216"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 judge may intervene in order to understand technical issues in a case, or to endeavour to clarify those issues for the jury. </w:t>
      </w:r>
    </w:p>
    <w:p w14:paraId="7DE82AC4" w14:textId="7C6B4D34"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A judge may intervene to maintain proper control over proceedings.</w:t>
      </w:r>
      <w:r w:rsidR="00EA4636">
        <w:rPr>
          <w:rFonts w:ascii="Arial" w:hAnsi="Arial" w:cs="Arial"/>
          <w:sz w:val="20"/>
          <w:szCs w:val="20"/>
        </w:rPr>
        <w:t>”</w:t>
      </w:r>
    </w:p>
    <w:p w14:paraId="281DDA6D" w14:textId="0EA53AFA" w:rsidR="008C6C91" w:rsidRDefault="008C6C91" w:rsidP="00B843BA">
      <w:pPr>
        <w:jc w:val="both"/>
        <w:rPr>
          <w:rFonts w:ascii="Arial" w:hAnsi="Arial" w:cs="Arial"/>
          <w:sz w:val="20"/>
          <w:szCs w:val="20"/>
        </w:rPr>
      </w:pPr>
    </w:p>
    <w:p w14:paraId="75E7EBAC" w14:textId="1ACA3C97" w:rsidR="00C24A57" w:rsidRDefault="00FF66A9" w:rsidP="00B843BA">
      <w:pPr>
        <w:jc w:val="both"/>
        <w:rPr>
          <w:rFonts w:ascii="Arial" w:hAnsi="Arial" w:cs="Arial"/>
          <w:sz w:val="20"/>
          <w:szCs w:val="20"/>
        </w:rPr>
      </w:pPr>
      <w:r>
        <w:rPr>
          <w:rFonts w:ascii="Arial" w:hAnsi="Arial" w:cs="Arial"/>
          <w:sz w:val="20"/>
          <w:szCs w:val="20"/>
        </w:rPr>
        <w:t>In</w:t>
      </w:r>
      <w:r w:rsidR="00D53EB8" w:rsidRPr="00D53EB8">
        <w:rPr>
          <w:rFonts w:ascii="Arial" w:hAnsi="Arial" w:cs="Arial"/>
          <w:sz w:val="20"/>
          <w:szCs w:val="20"/>
        </w:rPr>
        <w:t xml:space="preserve"> </w:t>
      </w:r>
      <w:r w:rsidR="00D53EB8" w:rsidRPr="00D53EB8">
        <w:rPr>
          <w:rFonts w:ascii="Arial" w:hAnsi="Arial" w:cs="Arial"/>
          <w:i/>
          <w:iCs/>
          <w:sz w:val="20"/>
          <w:szCs w:val="20"/>
        </w:rPr>
        <w:t>Becker v The King</w:t>
      </w:r>
      <w:r w:rsidR="00D53EB8" w:rsidRPr="00D53EB8">
        <w:rPr>
          <w:rFonts w:ascii="Arial" w:hAnsi="Arial" w:cs="Arial"/>
          <w:sz w:val="20"/>
          <w:szCs w:val="20"/>
        </w:rPr>
        <w:t xml:space="preserve"> [2023] VSCA 332 </w:t>
      </w:r>
      <w:r w:rsidR="00C24A57">
        <w:rPr>
          <w:rFonts w:ascii="Arial" w:hAnsi="Arial" w:cs="Arial"/>
          <w:sz w:val="20"/>
          <w:szCs w:val="20"/>
        </w:rPr>
        <w:t xml:space="preserve">Emerton P, </w:t>
      </w:r>
      <w:r w:rsidR="00D53EB8">
        <w:rPr>
          <w:rFonts w:ascii="Arial" w:hAnsi="Arial" w:cs="Arial"/>
          <w:sz w:val="20"/>
          <w:szCs w:val="20"/>
        </w:rPr>
        <w:t xml:space="preserve">Priest JA </w:t>
      </w:r>
      <w:r w:rsidR="00C24A57">
        <w:rPr>
          <w:rFonts w:ascii="Arial" w:hAnsi="Arial" w:cs="Arial"/>
          <w:sz w:val="20"/>
          <w:szCs w:val="20"/>
        </w:rPr>
        <w:t>&amp;</w:t>
      </w:r>
      <w:r w:rsidR="00D53EB8">
        <w:rPr>
          <w:rFonts w:ascii="Arial" w:hAnsi="Arial" w:cs="Arial"/>
          <w:sz w:val="20"/>
          <w:szCs w:val="20"/>
        </w:rPr>
        <w:t xml:space="preserve"> Kidd AJA held at [</w:t>
      </w:r>
      <w:r w:rsidR="00E36E48">
        <w:rPr>
          <w:rFonts w:ascii="Arial" w:hAnsi="Arial" w:cs="Arial"/>
          <w:sz w:val="20"/>
          <w:szCs w:val="20"/>
        </w:rPr>
        <w:t>283</w:t>
      </w:r>
      <w:r w:rsidR="00D53EB8">
        <w:rPr>
          <w:rFonts w:ascii="Arial" w:hAnsi="Arial" w:cs="Arial"/>
          <w:sz w:val="20"/>
          <w:szCs w:val="20"/>
        </w:rPr>
        <w:t xml:space="preserve">] that the trial judge – </w:t>
      </w:r>
      <w:r w:rsidR="008E2CB4">
        <w:rPr>
          <w:rFonts w:ascii="Arial" w:hAnsi="Arial" w:cs="Arial"/>
          <w:sz w:val="20"/>
          <w:szCs w:val="20"/>
        </w:rPr>
        <w:t>by</w:t>
      </w:r>
      <w:r w:rsidR="00D53EB8">
        <w:rPr>
          <w:rFonts w:ascii="Arial" w:hAnsi="Arial" w:cs="Arial"/>
          <w:sz w:val="20"/>
          <w:szCs w:val="20"/>
        </w:rPr>
        <w:t xml:space="preserve"> making </w:t>
      </w:r>
      <w:r w:rsidR="00E755E8">
        <w:rPr>
          <w:rFonts w:ascii="Arial" w:hAnsi="Arial" w:cs="Arial"/>
          <w:sz w:val="20"/>
          <w:szCs w:val="20"/>
        </w:rPr>
        <w:t xml:space="preserve">extensive </w:t>
      </w:r>
      <w:r w:rsidR="00D53EB8">
        <w:rPr>
          <w:rFonts w:ascii="Arial" w:hAnsi="Arial" w:cs="Arial"/>
          <w:sz w:val="20"/>
          <w:szCs w:val="20"/>
        </w:rPr>
        <w:t>comments during the prosecution opening</w:t>
      </w:r>
      <w:r w:rsidR="00E755E8">
        <w:rPr>
          <w:rFonts w:ascii="Arial" w:hAnsi="Arial" w:cs="Arial"/>
          <w:sz w:val="20"/>
          <w:szCs w:val="20"/>
        </w:rPr>
        <w:t xml:space="preserve"> and</w:t>
      </w:r>
      <w:r w:rsidR="00C24A57">
        <w:rPr>
          <w:rFonts w:ascii="Arial" w:hAnsi="Arial" w:cs="Arial"/>
          <w:sz w:val="20"/>
          <w:szCs w:val="20"/>
        </w:rPr>
        <w:t xml:space="preserve"> witness examination and when charging the jury </w:t>
      </w:r>
      <w:r w:rsidR="00D53EB8">
        <w:rPr>
          <w:rFonts w:ascii="Arial" w:hAnsi="Arial" w:cs="Arial"/>
          <w:sz w:val="20"/>
          <w:szCs w:val="20"/>
        </w:rPr>
        <w:t>in a complex and document</w:t>
      </w:r>
      <w:r w:rsidR="00E36E48">
        <w:rPr>
          <w:rFonts w:ascii="Arial" w:hAnsi="Arial" w:cs="Arial"/>
          <w:sz w:val="20"/>
          <w:szCs w:val="20"/>
        </w:rPr>
        <w:t>-</w:t>
      </w:r>
      <w:r w:rsidR="00D53EB8">
        <w:rPr>
          <w:rFonts w:ascii="Arial" w:hAnsi="Arial" w:cs="Arial"/>
          <w:sz w:val="20"/>
          <w:szCs w:val="20"/>
        </w:rPr>
        <w:t xml:space="preserve">heavy </w:t>
      </w:r>
      <w:r w:rsidR="00E36E48">
        <w:rPr>
          <w:rFonts w:ascii="Arial" w:hAnsi="Arial" w:cs="Arial"/>
          <w:sz w:val="20"/>
          <w:szCs w:val="20"/>
        </w:rPr>
        <w:t xml:space="preserve">alleged mortgage fraud </w:t>
      </w:r>
      <w:r w:rsidR="00D53EB8">
        <w:rPr>
          <w:rFonts w:ascii="Arial" w:hAnsi="Arial" w:cs="Arial"/>
          <w:sz w:val="20"/>
          <w:szCs w:val="20"/>
        </w:rPr>
        <w:t xml:space="preserve">trial </w:t>
      </w:r>
      <w:r w:rsidR="00C24A57">
        <w:rPr>
          <w:rFonts w:ascii="Arial" w:hAnsi="Arial" w:cs="Arial"/>
          <w:sz w:val="20"/>
          <w:szCs w:val="20"/>
        </w:rPr>
        <w:t>–</w:t>
      </w:r>
      <w:r w:rsidR="00D53EB8">
        <w:rPr>
          <w:rFonts w:ascii="Arial" w:hAnsi="Arial" w:cs="Arial"/>
          <w:sz w:val="20"/>
          <w:szCs w:val="20"/>
        </w:rPr>
        <w:t xml:space="preserve"> </w:t>
      </w:r>
      <w:r w:rsidR="00C24A57">
        <w:rPr>
          <w:rFonts w:ascii="Arial" w:hAnsi="Arial" w:cs="Arial"/>
          <w:sz w:val="20"/>
          <w:szCs w:val="20"/>
        </w:rPr>
        <w:t xml:space="preserve">had </w:t>
      </w:r>
      <w:r w:rsidR="008E2CB4">
        <w:rPr>
          <w:rFonts w:ascii="Arial" w:hAnsi="Arial" w:cs="Arial"/>
          <w:sz w:val="20"/>
          <w:szCs w:val="20"/>
        </w:rPr>
        <w:t>“</w:t>
      </w:r>
      <w:r w:rsidR="00C24A57">
        <w:rPr>
          <w:rFonts w:ascii="Arial" w:hAnsi="Arial" w:cs="Arial"/>
          <w:sz w:val="20"/>
          <w:szCs w:val="20"/>
        </w:rPr>
        <w:t>crossed the line</w:t>
      </w:r>
      <w:r w:rsidR="008E2CB4">
        <w:rPr>
          <w:rFonts w:ascii="Arial" w:hAnsi="Arial" w:cs="Arial"/>
          <w:sz w:val="20"/>
          <w:szCs w:val="20"/>
        </w:rPr>
        <w:t>…</w:t>
      </w:r>
      <w:r w:rsidR="00C24A57">
        <w:rPr>
          <w:rFonts w:ascii="Arial" w:hAnsi="Arial" w:cs="Arial"/>
          <w:sz w:val="20"/>
          <w:szCs w:val="20"/>
        </w:rPr>
        <w:t xml:space="preserve">between what may be acceptable intervention and comment by a trial judge to ensure a jury understands the issues in a case”.  </w:t>
      </w:r>
      <w:r w:rsidR="004D794C">
        <w:rPr>
          <w:rFonts w:ascii="Arial" w:hAnsi="Arial" w:cs="Arial"/>
          <w:sz w:val="20"/>
          <w:szCs w:val="20"/>
        </w:rPr>
        <w:t xml:space="preserve">Noting at [108] that “in an adversarial context…it is the parties who are the protagonists and hence who dictate the forensic landscape against which the facts fall to be determined” {per Doyle JA in </w:t>
      </w:r>
      <w:r w:rsidR="004D794C" w:rsidRPr="004D794C">
        <w:rPr>
          <w:rFonts w:ascii="Arial" w:hAnsi="Arial" w:cs="Arial"/>
          <w:i/>
          <w:iCs/>
          <w:sz w:val="20"/>
          <w:szCs w:val="20"/>
        </w:rPr>
        <w:t>Roberts v The Queen</w:t>
      </w:r>
      <w:r w:rsidR="004D794C">
        <w:rPr>
          <w:rFonts w:ascii="Arial" w:hAnsi="Arial" w:cs="Arial"/>
          <w:sz w:val="20"/>
          <w:szCs w:val="20"/>
        </w:rPr>
        <w:t xml:space="preserve"> (2022) 141 SASR 73 at [63]}, the Court held </w:t>
      </w:r>
      <w:r w:rsidR="00E36E48">
        <w:rPr>
          <w:rFonts w:ascii="Arial" w:hAnsi="Arial" w:cs="Arial"/>
          <w:sz w:val="20"/>
          <w:szCs w:val="20"/>
        </w:rPr>
        <w:t>at [6] that “the trial proceeded in a way that was inimical to the principles of adversarial justice…The result was that the applicant did not receive a fair trial according to law.”  A retrial was ordered.</w:t>
      </w:r>
    </w:p>
    <w:p w14:paraId="47628FF7" w14:textId="61F079DB" w:rsidR="00C24A57" w:rsidRDefault="00C24A57" w:rsidP="00B843BA">
      <w:pPr>
        <w:jc w:val="both"/>
        <w:rPr>
          <w:rFonts w:ascii="Arial" w:hAnsi="Arial" w:cs="Arial"/>
          <w:sz w:val="20"/>
          <w:szCs w:val="20"/>
        </w:rPr>
      </w:pPr>
    </w:p>
    <w:p w14:paraId="48AC48FD" w14:textId="19C9E4E2" w:rsidR="00437B96" w:rsidRDefault="00FF66A9" w:rsidP="00B843BA">
      <w:pPr>
        <w:jc w:val="both"/>
        <w:rPr>
          <w:rFonts w:ascii="Arial" w:hAnsi="Arial" w:cs="Arial"/>
          <w:sz w:val="20"/>
          <w:szCs w:val="20"/>
        </w:rPr>
      </w:pPr>
      <w:r>
        <w:rPr>
          <w:rFonts w:ascii="Arial" w:hAnsi="Arial" w:cs="Arial"/>
          <w:sz w:val="20"/>
          <w:szCs w:val="20"/>
        </w:rPr>
        <w:t xml:space="preserve">By contrast, in </w:t>
      </w:r>
      <w:r w:rsidRPr="00FF66A9">
        <w:rPr>
          <w:rFonts w:ascii="Arial" w:hAnsi="Arial" w:cs="Arial"/>
          <w:i/>
          <w:iCs/>
          <w:sz w:val="20"/>
          <w:szCs w:val="20"/>
        </w:rPr>
        <w:t>Constantinou v The King</w:t>
      </w:r>
      <w:r>
        <w:rPr>
          <w:rFonts w:ascii="Arial" w:hAnsi="Arial" w:cs="Arial"/>
          <w:sz w:val="20"/>
          <w:szCs w:val="20"/>
        </w:rPr>
        <w:t xml:space="preserve"> [2024] VSCA 79 </w:t>
      </w:r>
      <w:r w:rsidR="00437B96">
        <w:rPr>
          <w:rFonts w:ascii="Arial" w:hAnsi="Arial" w:cs="Arial"/>
          <w:sz w:val="20"/>
          <w:szCs w:val="20"/>
        </w:rPr>
        <w:t>Macaulay, Kaye &amp; T Forrest JJA held at [104]:</w:t>
      </w:r>
    </w:p>
    <w:p w14:paraId="2CC25BFB" w14:textId="3AB400CF" w:rsidR="00FF66A9" w:rsidRDefault="00FF66A9" w:rsidP="00FF66A9">
      <w:pPr>
        <w:spacing w:before="60"/>
        <w:ind w:left="454" w:right="454"/>
        <w:jc w:val="both"/>
        <w:rPr>
          <w:rFonts w:ascii="Arial" w:hAnsi="Arial" w:cs="Arial"/>
          <w:sz w:val="20"/>
        </w:rPr>
      </w:pPr>
      <w:bookmarkStart w:id="99" w:name="_3.1.1_Procedural_fairness"/>
      <w:bookmarkStart w:id="100" w:name="_Hlk142632735"/>
      <w:bookmarkEnd w:id="99"/>
      <w:r>
        <w:rPr>
          <w:rFonts w:ascii="Arial" w:hAnsi="Arial" w:cs="Arial"/>
          <w:sz w:val="20"/>
        </w:rPr>
        <w:t xml:space="preserve">“…we </w:t>
      </w:r>
      <w:r w:rsidRPr="00FF66A9">
        <w:rPr>
          <w:rFonts w:ascii="Arial" w:hAnsi="Arial" w:cs="Arial"/>
          <w:sz w:val="20"/>
          <w:szCs w:val="20"/>
        </w:rPr>
        <w:t>are conscious that, particularly in a criminal trial, it is most important that the judge exercise restraint in intervening in the questioning process, particularly when it involves an accused person or a witness whose evidence might be of particular consequence to the outcome of the trial. Nevertheless, for the reasons we have outlined, we are not persuaded that the judge’s interventions in this case were such as, in some way, to convey to the jury his Honour’s view that the witness, Ms Waenga, ought not to be believed. Rather, each of the interventions constituted a constructive set of questions asked by the judge that was designed to clarify and elucidate important matters which the jury was required to consider in determining the verdict in the case.</w:t>
      </w:r>
      <w:r>
        <w:rPr>
          <w:rFonts w:ascii="Arial" w:hAnsi="Arial" w:cs="Arial"/>
          <w:sz w:val="20"/>
          <w:szCs w:val="20"/>
        </w:rPr>
        <w:t>”</w:t>
      </w:r>
    </w:p>
    <w:p w14:paraId="12DAABB6" w14:textId="77777777" w:rsidR="00753AEB" w:rsidRDefault="00753AEB" w:rsidP="00FF66A9">
      <w:pPr>
        <w:jc w:val="both"/>
        <w:rPr>
          <w:rFonts w:ascii="Arial" w:hAnsi="Arial" w:cs="Arial"/>
          <w:sz w:val="20"/>
        </w:rPr>
      </w:pPr>
    </w:p>
    <w:p w14:paraId="3B2989E8" w14:textId="147A980C" w:rsidR="00753AEB" w:rsidRDefault="00753AEB" w:rsidP="00FF66A9">
      <w:pPr>
        <w:jc w:val="both"/>
        <w:rPr>
          <w:rFonts w:ascii="Arial" w:hAnsi="Arial" w:cs="Arial"/>
          <w:sz w:val="20"/>
        </w:rPr>
      </w:pPr>
      <w:r>
        <w:rPr>
          <w:rFonts w:ascii="Arial" w:hAnsi="Arial" w:cs="Arial"/>
          <w:sz w:val="20"/>
        </w:rPr>
        <w:t xml:space="preserve">In </w:t>
      </w:r>
      <w:r w:rsidR="00820DF6">
        <w:rPr>
          <w:rFonts w:ascii="Arial" w:hAnsi="Arial" w:cs="Arial"/>
          <w:sz w:val="20"/>
        </w:rPr>
        <w:t xml:space="preserve">opening his </w:t>
      </w:r>
      <w:r>
        <w:rPr>
          <w:rFonts w:ascii="Arial" w:hAnsi="Arial" w:cs="Arial"/>
          <w:sz w:val="20"/>
        </w:rPr>
        <w:t xml:space="preserve">address </w:t>
      </w:r>
      <w:r w:rsidR="00820DF6">
        <w:rPr>
          <w:rFonts w:ascii="Arial" w:hAnsi="Arial" w:cs="Arial"/>
          <w:sz w:val="20"/>
        </w:rPr>
        <w:t xml:space="preserve">– entitled “Seven Random Points about Judging” – </w:t>
      </w:r>
      <w:r>
        <w:rPr>
          <w:rFonts w:ascii="Arial" w:hAnsi="Arial" w:cs="Arial"/>
          <w:sz w:val="20"/>
        </w:rPr>
        <w:t xml:space="preserve">to newly appointed judicial officers </w:t>
      </w:r>
      <w:r w:rsidR="00820DF6">
        <w:rPr>
          <w:rFonts w:ascii="Arial" w:hAnsi="Arial" w:cs="Arial"/>
          <w:sz w:val="20"/>
        </w:rPr>
        <w:t xml:space="preserve">at the </w:t>
      </w:r>
      <w:r w:rsidR="00820DF6" w:rsidRPr="00820DF6">
        <w:rPr>
          <w:rFonts w:ascii="Arial" w:hAnsi="Arial" w:cs="Arial"/>
          <w:sz w:val="20"/>
        </w:rPr>
        <w:t>National Judicial College of Australia Orientation Program</w:t>
      </w:r>
      <w:r w:rsidR="00820DF6">
        <w:rPr>
          <w:rFonts w:ascii="Arial" w:hAnsi="Arial" w:cs="Arial"/>
          <w:sz w:val="20"/>
        </w:rPr>
        <w:t xml:space="preserve"> in March 2024, </w:t>
      </w:r>
      <w:r w:rsidR="00984C04">
        <w:rPr>
          <w:rFonts w:ascii="Arial" w:hAnsi="Arial" w:cs="Arial"/>
          <w:sz w:val="20"/>
        </w:rPr>
        <w:t>t</w:t>
      </w:r>
      <w:r w:rsidR="00820DF6">
        <w:rPr>
          <w:rFonts w:ascii="Arial" w:hAnsi="Arial" w:cs="Arial"/>
          <w:sz w:val="20"/>
        </w:rPr>
        <w:t xml:space="preserve">he </w:t>
      </w:r>
      <w:r>
        <w:rPr>
          <w:rFonts w:ascii="Arial" w:hAnsi="Arial" w:cs="Arial"/>
          <w:sz w:val="20"/>
        </w:rPr>
        <w:t>Hon Justice Robert Beech-Jones</w:t>
      </w:r>
      <w:r w:rsidR="00820DF6">
        <w:rPr>
          <w:rFonts w:ascii="Arial" w:hAnsi="Arial" w:cs="Arial"/>
          <w:sz w:val="20"/>
        </w:rPr>
        <w:t xml:space="preserve"> said:</w:t>
      </w:r>
    </w:p>
    <w:p w14:paraId="7960A15A" w14:textId="77777777" w:rsidR="00820DF6" w:rsidRDefault="00820DF6" w:rsidP="00820DF6">
      <w:pPr>
        <w:spacing w:before="60"/>
        <w:ind w:left="454" w:right="454"/>
        <w:jc w:val="both"/>
        <w:rPr>
          <w:rFonts w:ascii="Arial" w:hAnsi="Arial" w:cs="Arial"/>
          <w:sz w:val="20"/>
        </w:rPr>
      </w:pPr>
      <w:r>
        <w:rPr>
          <w:rFonts w:ascii="Arial" w:hAnsi="Arial" w:cs="Arial"/>
          <w:sz w:val="20"/>
        </w:rPr>
        <w:t xml:space="preserve">“I am </w:t>
      </w:r>
      <w:r w:rsidRPr="00753AEB">
        <w:rPr>
          <w:rFonts w:ascii="Arial" w:hAnsi="Arial" w:cs="Arial"/>
          <w:sz w:val="20"/>
        </w:rPr>
        <w:t>sure you all know what a privilege it is be appointed. While being a judge has its moments, some of which I will describe, I have just about always found it enjoyable. Our work is interesting. By community standards, we have good conditions of work. Most of the time we are treated with respect.</w:t>
      </w:r>
    </w:p>
    <w:p w14:paraId="5C27CC27" w14:textId="51A70428" w:rsidR="00820DF6" w:rsidRDefault="00820DF6" w:rsidP="00820DF6">
      <w:pPr>
        <w:spacing w:before="60"/>
        <w:ind w:left="454" w:right="454"/>
        <w:jc w:val="both"/>
        <w:rPr>
          <w:rFonts w:ascii="Arial" w:hAnsi="Arial" w:cs="Arial"/>
          <w:sz w:val="20"/>
        </w:rPr>
      </w:pPr>
      <w:r w:rsidRPr="00753AEB">
        <w:rPr>
          <w:rFonts w:ascii="Arial" w:hAnsi="Arial" w:cs="Arial"/>
          <w:sz w:val="20"/>
        </w:rPr>
        <w:t>Last year, in giving the equivalent speech, my colleague Justice Jagot moved quickly from the peak of the Justice mountain into the valleys below and addressed the topic of writing judgments, something I will mention briefly.</w:t>
      </w:r>
    </w:p>
    <w:p w14:paraId="71488D57" w14:textId="34791D5A" w:rsidR="00820DF6" w:rsidRDefault="00820DF6" w:rsidP="00820DF6">
      <w:pPr>
        <w:spacing w:before="60"/>
        <w:ind w:left="454" w:right="454"/>
        <w:jc w:val="both"/>
        <w:rPr>
          <w:rFonts w:ascii="Arial" w:hAnsi="Arial" w:cs="Arial"/>
          <w:sz w:val="20"/>
        </w:rPr>
      </w:pPr>
      <w:r w:rsidRPr="00753AEB">
        <w:rPr>
          <w:rFonts w:ascii="Arial" w:hAnsi="Arial" w:cs="Arial"/>
          <w:sz w:val="20"/>
        </w:rPr>
        <w:t>I am going to stay in the valley of practical things</w:t>
      </w:r>
      <w:r>
        <w:rPr>
          <w:rFonts w:ascii="Arial" w:hAnsi="Arial" w:cs="Arial"/>
          <w:sz w:val="20"/>
        </w:rPr>
        <w:t>...”</w:t>
      </w:r>
    </w:p>
    <w:p w14:paraId="7B73E212" w14:textId="77777777" w:rsidR="00820DF6" w:rsidRDefault="00820DF6" w:rsidP="00FF66A9">
      <w:pPr>
        <w:jc w:val="both"/>
        <w:rPr>
          <w:rFonts w:ascii="Arial" w:hAnsi="Arial" w:cs="Arial"/>
          <w:sz w:val="20"/>
        </w:rPr>
      </w:pPr>
    </w:p>
    <w:p w14:paraId="26FC3D70" w14:textId="3C79167C" w:rsidR="00820DF6" w:rsidRDefault="00DC439D" w:rsidP="00DC439D">
      <w:pPr>
        <w:spacing w:after="120"/>
        <w:jc w:val="both"/>
        <w:rPr>
          <w:rFonts w:ascii="Arial" w:hAnsi="Arial" w:cs="Arial"/>
          <w:sz w:val="20"/>
        </w:rPr>
      </w:pPr>
      <w:r>
        <w:rPr>
          <w:rFonts w:ascii="Arial" w:hAnsi="Arial" w:cs="Arial"/>
          <w:sz w:val="20"/>
        </w:rPr>
        <w:t xml:space="preserve">In his Honour’s speech – </w:t>
      </w:r>
      <w:hyperlink r:id="rId8" w:history="1">
        <w:r w:rsidR="00820DF6" w:rsidRPr="00820DF6">
          <w:rPr>
            <w:rStyle w:val="Hyperlink"/>
            <w:rFonts w:ascii="Arial" w:hAnsi="Arial" w:cs="Arial"/>
            <w:sz w:val="20"/>
          </w:rPr>
          <w:t>https://www.hcourt.gov.au/assets/publications/speeches/current-justices/BJJ/Beech-Jones(2024)NJCA.pdf</w:t>
        </w:r>
      </w:hyperlink>
      <w:r>
        <w:rPr>
          <w:rFonts w:ascii="Arial" w:hAnsi="Arial" w:cs="Arial"/>
          <w:sz w:val="20"/>
        </w:rPr>
        <w:t xml:space="preserve"> – those seven practical things and the guidelines associated with them are discussed under the following headings:</w:t>
      </w:r>
    </w:p>
    <w:tbl>
      <w:tblPr>
        <w:tblStyle w:val="TableGrid"/>
        <w:tblW w:w="9071" w:type="dxa"/>
        <w:tblLook w:val="04A0" w:firstRow="1" w:lastRow="0" w:firstColumn="1" w:lastColumn="0" w:noHBand="0" w:noVBand="1"/>
      </w:tblPr>
      <w:tblGrid>
        <w:gridCol w:w="567"/>
        <w:gridCol w:w="8504"/>
      </w:tblGrid>
      <w:tr w:rsidR="00DC439D" w14:paraId="1CAA31BD" w14:textId="77777777" w:rsidTr="00733DD9">
        <w:tc>
          <w:tcPr>
            <w:tcW w:w="567" w:type="dxa"/>
            <w:tcBorders>
              <w:top w:val="single" w:sz="12" w:space="0" w:color="auto"/>
              <w:left w:val="single" w:sz="12" w:space="0" w:color="auto"/>
              <w:bottom w:val="nil"/>
              <w:right w:val="nil"/>
            </w:tcBorders>
            <w:shd w:val="clear" w:color="auto" w:fill="DDDDDD"/>
          </w:tcPr>
          <w:p w14:paraId="6BA1C447" w14:textId="7C3AD851" w:rsidR="00DC439D" w:rsidRPr="00DC439D" w:rsidRDefault="00DC439D" w:rsidP="00DC439D">
            <w:pPr>
              <w:jc w:val="center"/>
              <w:rPr>
                <w:rFonts w:ascii="Arial" w:hAnsi="Arial" w:cs="Arial"/>
                <w:b/>
                <w:bCs/>
                <w:sz w:val="20"/>
              </w:rPr>
            </w:pPr>
            <w:r>
              <w:rPr>
                <w:rFonts w:ascii="Arial" w:hAnsi="Arial" w:cs="Arial"/>
                <w:b/>
                <w:bCs/>
                <w:sz w:val="20"/>
              </w:rPr>
              <w:t>1</w:t>
            </w:r>
          </w:p>
        </w:tc>
        <w:tc>
          <w:tcPr>
            <w:tcW w:w="8504" w:type="dxa"/>
            <w:tcBorders>
              <w:top w:val="single" w:sz="12" w:space="0" w:color="auto"/>
              <w:left w:val="nil"/>
              <w:bottom w:val="nil"/>
              <w:right w:val="single" w:sz="12" w:space="0" w:color="auto"/>
            </w:tcBorders>
            <w:shd w:val="clear" w:color="auto" w:fill="DDDDDD"/>
          </w:tcPr>
          <w:p w14:paraId="37F3BD19" w14:textId="4EC81D2F" w:rsidR="00DC439D" w:rsidRPr="00DC439D" w:rsidRDefault="00DC439D" w:rsidP="00DC439D">
            <w:pPr>
              <w:jc w:val="center"/>
              <w:rPr>
                <w:rFonts w:ascii="Arial" w:hAnsi="Arial" w:cs="Arial"/>
                <w:b/>
                <w:bCs/>
                <w:sz w:val="20"/>
              </w:rPr>
            </w:pPr>
            <w:r w:rsidRPr="00753AEB">
              <w:rPr>
                <w:rFonts w:ascii="Arial" w:hAnsi="Arial" w:cs="Arial"/>
                <w:b/>
                <w:bCs/>
                <w:sz w:val="20"/>
              </w:rPr>
              <w:t>Judges are Meant to Resolve Disputes, Not Create Them</w:t>
            </w:r>
          </w:p>
        </w:tc>
      </w:tr>
      <w:tr w:rsidR="00DC439D" w14:paraId="622C0C18" w14:textId="77777777" w:rsidTr="00733DD9">
        <w:tc>
          <w:tcPr>
            <w:tcW w:w="567" w:type="dxa"/>
            <w:vMerge w:val="restart"/>
            <w:tcBorders>
              <w:top w:val="nil"/>
              <w:left w:val="single" w:sz="12" w:space="0" w:color="auto"/>
              <w:bottom w:val="nil"/>
              <w:right w:val="single" w:sz="4" w:space="0" w:color="auto"/>
            </w:tcBorders>
          </w:tcPr>
          <w:p w14:paraId="2BA72992" w14:textId="77777777" w:rsidR="00DC439D" w:rsidRDefault="00DC439D" w:rsidP="00DC439D">
            <w:pPr>
              <w:jc w:val="center"/>
              <w:rPr>
                <w:rFonts w:ascii="Arial" w:hAnsi="Arial" w:cs="Arial"/>
                <w:b/>
                <w:bCs/>
                <w:sz w:val="20"/>
              </w:rPr>
            </w:pPr>
          </w:p>
        </w:tc>
        <w:tc>
          <w:tcPr>
            <w:tcW w:w="8504" w:type="dxa"/>
            <w:tcBorders>
              <w:top w:val="nil"/>
              <w:left w:val="single" w:sz="4" w:space="0" w:color="auto"/>
              <w:right w:val="single" w:sz="12" w:space="0" w:color="auto"/>
            </w:tcBorders>
          </w:tcPr>
          <w:p w14:paraId="46F28D85" w14:textId="3FCB0054" w:rsidR="00DC439D" w:rsidRPr="00733DD9" w:rsidRDefault="00733DD9" w:rsidP="00DC439D">
            <w:pPr>
              <w:jc w:val="center"/>
              <w:rPr>
                <w:rFonts w:ascii="Arial" w:hAnsi="Arial" w:cs="Arial"/>
                <w:sz w:val="20"/>
              </w:rPr>
            </w:pPr>
            <w:r w:rsidRPr="00733DD9">
              <w:rPr>
                <w:rFonts w:ascii="Arial" w:hAnsi="Arial" w:cs="Arial"/>
                <w:sz w:val="20"/>
              </w:rPr>
              <w:t>Never call a witness a liar unless you have to.</w:t>
            </w:r>
          </w:p>
        </w:tc>
      </w:tr>
      <w:tr w:rsidR="00DC439D" w14:paraId="4C7A4F1E" w14:textId="77777777" w:rsidTr="00733DD9">
        <w:tc>
          <w:tcPr>
            <w:tcW w:w="567" w:type="dxa"/>
            <w:vMerge/>
            <w:tcBorders>
              <w:top w:val="nil"/>
              <w:left w:val="single" w:sz="12" w:space="0" w:color="auto"/>
              <w:bottom w:val="nil"/>
              <w:right w:val="single" w:sz="4" w:space="0" w:color="auto"/>
            </w:tcBorders>
          </w:tcPr>
          <w:p w14:paraId="576E3EFC" w14:textId="77777777" w:rsidR="00DC439D" w:rsidRDefault="00DC439D" w:rsidP="00DC439D">
            <w:pPr>
              <w:jc w:val="center"/>
              <w:rPr>
                <w:rFonts w:ascii="Arial" w:hAnsi="Arial" w:cs="Arial"/>
                <w:b/>
                <w:bCs/>
                <w:sz w:val="20"/>
              </w:rPr>
            </w:pPr>
          </w:p>
        </w:tc>
        <w:tc>
          <w:tcPr>
            <w:tcW w:w="8504" w:type="dxa"/>
            <w:tcBorders>
              <w:left w:val="single" w:sz="4" w:space="0" w:color="auto"/>
              <w:right w:val="single" w:sz="12" w:space="0" w:color="auto"/>
            </w:tcBorders>
          </w:tcPr>
          <w:p w14:paraId="3B732C61" w14:textId="113E8812" w:rsidR="00DC439D" w:rsidRPr="00733DD9" w:rsidRDefault="00733DD9" w:rsidP="00DC439D">
            <w:pPr>
              <w:jc w:val="center"/>
              <w:rPr>
                <w:rFonts w:ascii="Arial" w:hAnsi="Arial" w:cs="Arial"/>
                <w:sz w:val="20"/>
              </w:rPr>
            </w:pPr>
            <w:r w:rsidRPr="00733DD9">
              <w:rPr>
                <w:rFonts w:ascii="Arial" w:hAnsi="Arial" w:cs="Arial"/>
                <w:sz w:val="20"/>
              </w:rPr>
              <w:t>Confine yourself to explaining why one party lost without destroying them.</w:t>
            </w:r>
          </w:p>
        </w:tc>
      </w:tr>
      <w:tr w:rsidR="00DC439D" w14:paraId="7EFAFF98" w14:textId="77777777" w:rsidTr="00733DD9">
        <w:tc>
          <w:tcPr>
            <w:tcW w:w="567" w:type="dxa"/>
            <w:vMerge/>
            <w:tcBorders>
              <w:top w:val="nil"/>
              <w:left w:val="single" w:sz="12" w:space="0" w:color="auto"/>
              <w:bottom w:val="single" w:sz="12" w:space="0" w:color="auto"/>
              <w:right w:val="single" w:sz="4" w:space="0" w:color="auto"/>
            </w:tcBorders>
          </w:tcPr>
          <w:p w14:paraId="7DD5FBCC" w14:textId="77777777" w:rsidR="00DC439D" w:rsidRDefault="00DC439D" w:rsidP="00DC439D">
            <w:pPr>
              <w:jc w:val="center"/>
              <w:rPr>
                <w:rFonts w:ascii="Arial" w:hAnsi="Arial" w:cs="Arial"/>
                <w:b/>
                <w:bCs/>
                <w:sz w:val="20"/>
              </w:rPr>
            </w:pPr>
          </w:p>
        </w:tc>
        <w:tc>
          <w:tcPr>
            <w:tcW w:w="8504" w:type="dxa"/>
            <w:tcBorders>
              <w:left w:val="single" w:sz="4" w:space="0" w:color="auto"/>
              <w:bottom w:val="single" w:sz="12" w:space="0" w:color="auto"/>
              <w:right w:val="single" w:sz="12" w:space="0" w:color="auto"/>
            </w:tcBorders>
          </w:tcPr>
          <w:p w14:paraId="1529C86F" w14:textId="2C71D936" w:rsidR="00DC439D" w:rsidRPr="00733DD9" w:rsidRDefault="00733DD9" w:rsidP="00DC439D">
            <w:pPr>
              <w:jc w:val="center"/>
              <w:rPr>
                <w:rFonts w:ascii="Arial" w:hAnsi="Arial" w:cs="Arial"/>
                <w:sz w:val="20"/>
              </w:rPr>
            </w:pPr>
            <w:r w:rsidRPr="00733DD9">
              <w:rPr>
                <w:rFonts w:ascii="Arial" w:hAnsi="Arial" w:cs="Arial"/>
                <w:sz w:val="20"/>
              </w:rPr>
              <w:t>Avoid labelling the lawyers who appear before you as incompetent or negligent unless it is necessary.</w:t>
            </w:r>
          </w:p>
        </w:tc>
      </w:tr>
      <w:tr w:rsidR="00DC439D" w14:paraId="0621396A" w14:textId="77777777" w:rsidTr="00733DD9">
        <w:tc>
          <w:tcPr>
            <w:tcW w:w="567" w:type="dxa"/>
            <w:tcBorders>
              <w:top w:val="single" w:sz="12" w:space="0" w:color="auto"/>
              <w:left w:val="single" w:sz="12" w:space="0" w:color="auto"/>
              <w:bottom w:val="nil"/>
              <w:right w:val="single" w:sz="4" w:space="0" w:color="auto"/>
            </w:tcBorders>
            <w:shd w:val="clear" w:color="auto" w:fill="DDDDDD"/>
          </w:tcPr>
          <w:p w14:paraId="4842E857" w14:textId="6CFB329F" w:rsidR="00DC439D" w:rsidRPr="00DC439D" w:rsidRDefault="00733DD9" w:rsidP="00DC439D">
            <w:pPr>
              <w:jc w:val="center"/>
              <w:rPr>
                <w:rFonts w:ascii="Arial" w:hAnsi="Arial" w:cs="Arial"/>
                <w:b/>
                <w:bCs/>
                <w:sz w:val="20"/>
              </w:rPr>
            </w:pPr>
            <w:r>
              <w:rPr>
                <w:rFonts w:ascii="Arial" w:hAnsi="Arial" w:cs="Arial"/>
                <w:b/>
                <w:bCs/>
                <w:sz w:val="20"/>
              </w:rPr>
              <w:t>2</w:t>
            </w:r>
          </w:p>
        </w:tc>
        <w:tc>
          <w:tcPr>
            <w:tcW w:w="8504" w:type="dxa"/>
            <w:tcBorders>
              <w:top w:val="single" w:sz="12" w:space="0" w:color="auto"/>
              <w:left w:val="single" w:sz="4" w:space="0" w:color="auto"/>
              <w:right w:val="single" w:sz="12" w:space="0" w:color="auto"/>
            </w:tcBorders>
            <w:shd w:val="clear" w:color="auto" w:fill="DDDDDD"/>
          </w:tcPr>
          <w:p w14:paraId="49D832CA" w14:textId="48D5A8CE" w:rsidR="00DC439D" w:rsidRPr="00733DD9" w:rsidRDefault="0049364E" w:rsidP="00733DD9">
            <w:pPr>
              <w:jc w:val="center"/>
              <w:rPr>
                <w:rFonts w:ascii="Arial" w:hAnsi="Arial" w:cs="Arial"/>
                <w:b/>
                <w:bCs/>
                <w:sz w:val="20"/>
              </w:rPr>
            </w:pPr>
            <w:r>
              <w:rPr>
                <w:rFonts w:ascii="Arial" w:hAnsi="Arial" w:cs="Arial"/>
                <w:b/>
                <w:bCs/>
                <w:sz w:val="20"/>
              </w:rPr>
              <w:t>W</w:t>
            </w:r>
            <w:r w:rsidR="00733DD9" w:rsidRPr="00733DD9">
              <w:rPr>
                <w:rFonts w:ascii="Arial" w:hAnsi="Arial" w:cs="Arial"/>
                <w:b/>
                <w:bCs/>
                <w:sz w:val="20"/>
              </w:rPr>
              <w:t>riting judgments</w:t>
            </w:r>
          </w:p>
        </w:tc>
      </w:tr>
      <w:tr w:rsidR="00733DD9" w14:paraId="44E76944" w14:textId="77777777" w:rsidTr="006010C0">
        <w:tc>
          <w:tcPr>
            <w:tcW w:w="567" w:type="dxa"/>
            <w:vMerge w:val="restart"/>
            <w:tcBorders>
              <w:top w:val="nil"/>
              <w:left w:val="single" w:sz="12" w:space="0" w:color="auto"/>
              <w:bottom w:val="nil"/>
              <w:right w:val="single" w:sz="4" w:space="0" w:color="auto"/>
            </w:tcBorders>
          </w:tcPr>
          <w:p w14:paraId="7C86347B" w14:textId="77777777" w:rsidR="00733DD9" w:rsidRDefault="00733DD9" w:rsidP="006010C0">
            <w:pPr>
              <w:jc w:val="center"/>
              <w:rPr>
                <w:rFonts w:ascii="Arial" w:hAnsi="Arial" w:cs="Arial"/>
                <w:b/>
                <w:bCs/>
                <w:sz w:val="20"/>
              </w:rPr>
            </w:pPr>
          </w:p>
        </w:tc>
        <w:tc>
          <w:tcPr>
            <w:tcW w:w="8504" w:type="dxa"/>
            <w:tcBorders>
              <w:top w:val="nil"/>
              <w:left w:val="single" w:sz="4" w:space="0" w:color="auto"/>
              <w:right w:val="single" w:sz="12" w:space="0" w:color="auto"/>
            </w:tcBorders>
          </w:tcPr>
          <w:p w14:paraId="07DB95E8" w14:textId="75806C15" w:rsidR="00733DD9" w:rsidRDefault="00733DD9" w:rsidP="00733DD9">
            <w:pPr>
              <w:jc w:val="both"/>
              <w:rPr>
                <w:rFonts w:ascii="Arial" w:hAnsi="Arial" w:cs="Arial"/>
                <w:sz w:val="20"/>
              </w:rPr>
            </w:pPr>
            <w:r>
              <w:rPr>
                <w:rFonts w:ascii="Arial" w:hAnsi="Arial" w:cs="Arial"/>
                <w:sz w:val="20"/>
              </w:rPr>
              <w:t>“</w:t>
            </w:r>
            <w:r w:rsidR="0049364E">
              <w:rPr>
                <w:rFonts w:ascii="Arial" w:hAnsi="Arial" w:cs="Arial"/>
                <w:sz w:val="20"/>
              </w:rPr>
              <w:t>E</w:t>
            </w:r>
            <w:r>
              <w:rPr>
                <w:rFonts w:ascii="Arial" w:hAnsi="Arial" w:cs="Arial"/>
                <w:sz w:val="20"/>
              </w:rPr>
              <w:t>x temp the small stuff”. If you are anxious about ex temps, start with a type of interlocutory judgment you expect you will give a lot and sketch out a general template, eg:</w:t>
            </w:r>
          </w:p>
          <w:p w14:paraId="7CE80036" w14:textId="638FE63C" w:rsidR="00733DD9" w:rsidRDefault="0049364E" w:rsidP="00234037">
            <w:pPr>
              <w:pStyle w:val="ListParagraph"/>
              <w:numPr>
                <w:ilvl w:val="0"/>
                <w:numId w:val="161"/>
              </w:numPr>
              <w:ind w:left="0"/>
              <w:jc w:val="both"/>
              <w:rPr>
                <w:rFonts w:ascii="Arial" w:hAnsi="Arial" w:cs="Arial"/>
                <w:sz w:val="20"/>
              </w:rPr>
            </w:pPr>
            <w:r>
              <w:rPr>
                <w:rFonts w:ascii="Arial" w:hAnsi="Arial" w:cs="Arial"/>
                <w:sz w:val="20"/>
              </w:rPr>
              <w:t>what the application is about;</w:t>
            </w:r>
          </w:p>
          <w:p w14:paraId="34743C9E" w14:textId="4381BD7F"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nature of the proceedings;</w:t>
            </w:r>
          </w:p>
          <w:p w14:paraId="0A6AE8EE" w14:textId="3F5B3EF7"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background to the application;</w:t>
            </w:r>
          </w:p>
          <w:p w14:paraId="20153546" w14:textId="2DD4BE04"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applicable rule and principle;</w:t>
            </w:r>
          </w:p>
          <w:p w14:paraId="4954117B" w14:textId="0FE7EF55"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parties’ argument</w:t>
            </w:r>
            <w:r w:rsidR="00435549">
              <w:rPr>
                <w:rFonts w:ascii="Arial" w:hAnsi="Arial" w:cs="Arial"/>
                <w:sz w:val="20"/>
              </w:rPr>
              <w:t>s</w:t>
            </w:r>
            <w:r>
              <w:rPr>
                <w:rFonts w:ascii="Arial" w:hAnsi="Arial" w:cs="Arial"/>
                <w:sz w:val="20"/>
              </w:rPr>
              <w:t>; and</w:t>
            </w:r>
          </w:p>
          <w:p w14:paraId="43984DA4" w14:textId="26C71553" w:rsidR="00733DD9" w:rsidRP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application of the rule to the facts in the proceeding.</w:t>
            </w:r>
          </w:p>
        </w:tc>
      </w:tr>
      <w:tr w:rsidR="00733DD9" w14:paraId="623ABB78" w14:textId="77777777" w:rsidTr="006010C0">
        <w:tc>
          <w:tcPr>
            <w:tcW w:w="567" w:type="dxa"/>
            <w:vMerge/>
            <w:tcBorders>
              <w:top w:val="nil"/>
              <w:left w:val="single" w:sz="12" w:space="0" w:color="auto"/>
              <w:bottom w:val="nil"/>
              <w:right w:val="single" w:sz="4" w:space="0" w:color="auto"/>
            </w:tcBorders>
          </w:tcPr>
          <w:p w14:paraId="7CBE23A0" w14:textId="77777777" w:rsidR="00733DD9" w:rsidRDefault="00733DD9" w:rsidP="006010C0">
            <w:pPr>
              <w:jc w:val="center"/>
              <w:rPr>
                <w:rFonts w:ascii="Arial" w:hAnsi="Arial" w:cs="Arial"/>
                <w:b/>
                <w:bCs/>
                <w:sz w:val="20"/>
              </w:rPr>
            </w:pPr>
          </w:p>
        </w:tc>
        <w:tc>
          <w:tcPr>
            <w:tcW w:w="8504" w:type="dxa"/>
            <w:tcBorders>
              <w:left w:val="single" w:sz="4" w:space="0" w:color="auto"/>
              <w:right w:val="single" w:sz="12" w:space="0" w:color="auto"/>
            </w:tcBorders>
          </w:tcPr>
          <w:p w14:paraId="5D431973" w14:textId="77777777" w:rsidR="00582AA3" w:rsidRDefault="00582AA3" w:rsidP="00234037">
            <w:pPr>
              <w:pStyle w:val="ListParagraph"/>
              <w:numPr>
                <w:ilvl w:val="0"/>
                <w:numId w:val="162"/>
              </w:numPr>
              <w:ind w:left="357" w:hanging="357"/>
              <w:jc w:val="both"/>
              <w:rPr>
                <w:rFonts w:ascii="Arial" w:hAnsi="Arial" w:cs="Arial"/>
                <w:sz w:val="20"/>
              </w:rPr>
            </w:pPr>
            <w:r w:rsidRPr="00582AA3">
              <w:rPr>
                <w:rFonts w:ascii="Arial" w:hAnsi="Arial" w:cs="Arial"/>
                <w:sz w:val="20"/>
              </w:rPr>
              <w:t>For complex final judgments after a contested hearing start with a chronological set of facts.</w:t>
            </w:r>
          </w:p>
          <w:p w14:paraId="7E0A2734" w14:textId="72343D7F" w:rsidR="00733DD9" w:rsidRDefault="00582AA3" w:rsidP="00234037">
            <w:pPr>
              <w:pStyle w:val="ListParagraph"/>
              <w:numPr>
                <w:ilvl w:val="0"/>
                <w:numId w:val="162"/>
              </w:numPr>
              <w:ind w:left="357" w:hanging="357"/>
              <w:jc w:val="both"/>
              <w:rPr>
                <w:rFonts w:ascii="Arial" w:hAnsi="Arial" w:cs="Arial"/>
                <w:sz w:val="20"/>
              </w:rPr>
            </w:pPr>
            <w:r w:rsidRPr="00582AA3">
              <w:rPr>
                <w:rFonts w:ascii="Arial" w:hAnsi="Arial" w:cs="Arial"/>
                <w:sz w:val="20"/>
              </w:rPr>
              <w:t>Then identify the contested facts, writing a short summary of each party’s case.</w:t>
            </w:r>
          </w:p>
          <w:p w14:paraId="2569ADBC" w14:textId="6DE8A35A" w:rsidR="00582AA3" w:rsidRPr="00582AA3" w:rsidRDefault="00582AA3" w:rsidP="00234037">
            <w:pPr>
              <w:pStyle w:val="ListParagraph"/>
              <w:numPr>
                <w:ilvl w:val="0"/>
                <w:numId w:val="162"/>
              </w:numPr>
              <w:ind w:left="357" w:hanging="357"/>
              <w:jc w:val="both"/>
              <w:rPr>
                <w:rFonts w:ascii="Arial" w:hAnsi="Arial" w:cs="Arial"/>
                <w:sz w:val="20"/>
              </w:rPr>
            </w:pPr>
            <w:r>
              <w:rPr>
                <w:rFonts w:ascii="Arial" w:hAnsi="Arial" w:cs="Arial"/>
                <w:sz w:val="20"/>
              </w:rPr>
              <w:t>There are not many legal problems that remain knotty after the facts are found.</w:t>
            </w:r>
          </w:p>
        </w:tc>
      </w:tr>
      <w:tr w:rsidR="00733DD9" w14:paraId="2B9ACEC5" w14:textId="77777777" w:rsidTr="00582AA3">
        <w:tc>
          <w:tcPr>
            <w:tcW w:w="567" w:type="dxa"/>
            <w:vMerge/>
            <w:tcBorders>
              <w:top w:val="nil"/>
              <w:left w:val="single" w:sz="12" w:space="0" w:color="auto"/>
              <w:bottom w:val="single" w:sz="12" w:space="0" w:color="auto"/>
              <w:right w:val="single" w:sz="4" w:space="0" w:color="auto"/>
            </w:tcBorders>
          </w:tcPr>
          <w:p w14:paraId="0236D0F3" w14:textId="77777777" w:rsidR="00733DD9" w:rsidRDefault="00733DD9" w:rsidP="006010C0">
            <w:pPr>
              <w:jc w:val="center"/>
              <w:rPr>
                <w:rFonts w:ascii="Arial" w:hAnsi="Arial" w:cs="Arial"/>
                <w:b/>
                <w:bCs/>
                <w:sz w:val="20"/>
              </w:rPr>
            </w:pPr>
          </w:p>
        </w:tc>
        <w:tc>
          <w:tcPr>
            <w:tcW w:w="8504" w:type="dxa"/>
            <w:tcBorders>
              <w:left w:val="single" w:sz="4" w:space="0" w:color="auto"/>
              <w:bottom w:val="single" w:sz="12" w:space="0" w:color="auto"/>
              <w:right w:val="single" w:sz="12" w:space="0" w:color="auto"/>
            </w:tcBorders>
          </w:tcPr>
          <w:p w14:paraId="0BFAB267" w14:textId="66BC42E8" w:rsidR="00733DD9" w:rsidRPr="00733DD9" w:rsidRDefault="00582AA3" w:rsidP="006010C0">
            <w:pPr>
              <w:jc w:val="center"/>
              <w:rPr>
                <w:rFonts w:ascii="Arial" w:hAnsi="Arial" w:cs="Arial"/>
                <w:sz w:val="20"/>
              </w:rPr>
            </w:pPr>
            <w:r>
              <w:rPr>
                <w:rFonts w:ascii="Arial" w:hAnsi="Arial" w:cs="Arial"/>
                <w:sz w:val="20"/>
              </w:rPr>
              <w:t>Avoid jokes in judgments.</w:t>
            </w:r>
          </w:p>
        </w:tc>
      </w:tr>
      <w:tr w:rsidR="00DC439D" w14:paraId="441D16EE" w14:textId="77777777" w:rsidTr="00582AA3">
        <w:tc>
          <w:tcPr>
            <w:tcW w:w="567" w:type="dxa"/>
            <w:tcBorders>
              <w:top w:val="nil"/>
              <w:left w:val="single" w:sz="12" w:space="0" w:color="auto"/>
              <w:bottom w:val="nil"/>
              <w:right w:val="single" w:sz="4" w:space="0" w:color="auto"/>
            </w:tcBorders>
            <w:shd w:val="clear" w:color="auto" w:fill="DDDDDD"/>
          </w:tcPr>
          <w:p w14:paraId="43A45CAB" w14:textId="09351923" w:rsidR="00DC439D" w:rsidRPr="00DC439D" w:rsidRDefault="00733DD9" w:rsidP="00DC439D">
            <w:pPr>
              <w:jc w:val="center"/>
              <w:rPr>
                <w:rFonts w:ascii="Arial" w:hAnsi="Arial" w:cs="Arial"/>
                <w:b/>
                <w:bCs/>
                <w:sz w:val="20"/>
              </w:rPr>
            </w:pPr>
            <w:r>
              <w:rPr>
                <w:rFonts w:ascii="Arial" w:hAnsi="Arial" w:cs="Arial"/>
                <w:b/>
                <w:bCs/>
                <w:sz w:val="20"/>
              </w:rPr>
              <w:t>3</w:t>
            </w:r>
          </w:p>
        </w:tc>
        <w:tc>
          <w:tcPr>
            <w:tcW w:w="8504" w:type="dxa"/>
            <w:tcBorders>
              <w:top w:val="single" w:sz="12" w:space="0" w:color="auto"/>
              <w:left w:val="single" w:sz="4" w:space="0" w:color="auto"/>
              <w:right w:val="single" w:sz="12" w:space="0" w:color="auto"/>
            </w:tcBorders>
            <w:shd w:val="clear" w:color="auto" w:fill="DDDDDD"/>
          </w:tcPr>
          <w:p w14:paraId="1383D8B3" w14:textId="72C01EE5" w:rsidR="00DC439D" w:rsidRPr="00733DD9" w:rsidRDefault="00582AA3" w:rsidP="00733DD9">
            <w:pPr>
              <w:jc w:val="center"/>
              <w:rPr>
                <w:rFonts w:ascii="Arial" w:hAnsi="Arial" w:cs="Arial"/>
                <w:b/>
                <w:bCs/>
                <w:sz w:val="20"/>
              </w:rPr>
            </w:pPr>
            <w:r>
              <w:rPr>
                <w:rFonts w:ascii="Arial" w:hAnsi="Arial" w:cs="Arial"/>
                <w:b/>
                <w:bCs/>
                <w:sz w:val="20"/>
              </w:rPr>
              <w:t>V</w:t>
            </w:r>
            <w:r w:rsidR="00733DD9" w:rsidRPr="00733DD9">
              <w:rPr>
                <w:rFonts w:ascii="Arial" w:hAnsi="Arial" w:cs="Arial"/>
                <w:b/>
                <w:bCs/>
                <w:sz w:val="20"/>
              </w:rPr>
              <w:t>exatious litigants</w:t>
            </w:r>
          </w:p>
        </w:tc>
      </w:tr>
      <w:tr w:rsidR="00095577" w14:paraId="55141E38" w14:textId="77777777" w:rsidTr="006010C0">
        <w:tc>
          <w:tcPr>
            <w:tcW w:w="567" w:type="dxa"/>
            <w:vMerge w:val="restart"/>
            <w:tcBorders>
              <w:top w:val="nil"/>
              <w:left w:val="single" w:sz="12" w:space="0" w:color="auto"/>
              <w:right w:val="single" w:sz="4" w:space="0" w:color="auto"/>
            </w:tcBorders>
          </w:tcPr>
          <w:p w14:paraId="2B058260" w14:textId="77777777" w:rsidR="00095577" w:rsidRPr="00DC439D" w:rsidRDefault="00095577" w:rsidP="00DC439D">
            <w:pPr>
              <w:jc w:val="center"/>
              <w:rPr>
                <w:rFonts w:ascii="Arial" w:hAnsi="Arial" w:cs="Arial"/>
                <w:b/>
                <w:bCs/>
                <w:sz w:val="20"/>
              </w:rPr>
            </w:pPr>
          </w:p>
        </w:tc>
        <w:tc>
          <w:tcPr>
            <w:tcW w:w="8504" w:type="dxa"/>
            <w:tcBorders>
              <w:left w:val="single" w:sz="4" w:space="0" w:color="auto"/>
              <w:right w:val="single" w:sz="12" w:space="0" w:color="auto"/>
            </w:tcBorders>
          </w:tcPr>
          <w:p w14:paraId="0D677585" w14:textId="7C35C3D9" w:rsidR="00095577" w:rsidRPr="00582AA3" w:rsidRDefault="00095577" w:rsidP="00234037">
            <w:pPr>
              <w:pStyle w:val="ListParagraph"/>
              <w:numPr>
                <w:ilvl w:val="0"/>
                <w:numId w:val="163"/>
              </w:numPr>
              <w:ind w:left="357" w:hanging="357"/>
              <w:jc w:val="both"/>
              <w:rPr>
                <w:rFonts w:ascii="Arial" w:hAnsi="Arial" w:cs="Arial"/>
                <w:sz w:val="20"/>
              </w:rPr>
            </w:pPr>
            <w:r>
              <w:rPr>
                <w:rFonts w:ascii="Arial" w:hAnsi="Arial" w:cs="Arial"/>
                <w:sz w:val="20"/>
              </w:rPr>
              <w:t>D</w:t>
            </w:r>
            <w:r w:rsidRPr="00582AA3">
              <w:rPr>
                <w:rFonts w:ascii="Arial" w:hAnsi="Arial" w:cs="Arial"/>
                <w:sz w:val="20"/>
              </w:rPr>
              <w:t>o not engage in a dialogue with vexatious litigants. Instead, invite them to address the particular point and stay quiet. Firm but quiet. Our job is not to make vexatious litigants feel comfortable in court or think that we are providing them with a platform. They are entitled to a reasonable opportunity to be heard but no more than that.</w:t>
            </w:r>
          </w:p>
        </w:tc>
      </w:tr>
      <w:tr w:rsidR="00095577" w14:paraId="22E26533" w14:textId="77777777" w:rsidTr="006010C0">
        <w:tc>
          <w:tcPr>
            <w:tcW w:w="567" w:type="dxa"/>
            <w:vMerge/>
            <w:tcBorders>
              <w:left w:val="single" w:sz="12" w:space="0" w:color="auto"/>
              <w:bottom w:val="single" w:sz="12" w:space="0" w:color="auto"/>
              <w:right w:val="single" w:sz="4" w:space="0" w:color="auto"/>
            </w:tcBorders>
          </w:tcPr>
          <w:p w14:paraId="7FD83F4E" w14:textId="77777777" w:rsidR="00095577" w:rsidRPr="00DC439D" w:rsidRDefault="00095577" w:rsidP="00DC439D">
            <w:pPr>
              <w:jc w:val="center"/>
              <w:rPr>
                <w:rFonts w:ascii="Arial" w:hAnsi="Arial" w:cs="Arial"/>
                <w:b/>
                <w:bCs/>
                <w:sz w:val="20"/>
              </w:rPr>
            </w:pPr>
          </w:p>
        </w:tc>
        <w:tc>
          <w:tcPr>
            <w:tcW w:w="8504" w:type="dxa"/>
            <w:tcBorders>
              <w:left w:val="single" w:sz="4" w:space="0" w:color="auto"/>
              <w:right w:val="single" w:sz="12" w:space="0" w:color="auto"/>
            </w:tcBorders>
          </w:tcPr>
          <w:p w14:paraId="260181EF" w14:textId="625A8321" w:rsidR="00095577" w:rsidRPr="00582AA3" w:rsidRDefault="00095577" w:rsidP="00234037">
            <w:pPr>
              <w:pStyle w:val="ListParagraph"/>
              <w:numPr>
                <w:ilvl w:val="0"/>
                <w:numId w:val="163"/>
              </w:numPr>
              <w:ind w:left="357" w:hanging="357"/>
              <w:jc w:val="both"/>
              <w:rPr>
                <w:rFonts w:ascii="Arial" w:hAnsi="Arial" w:cs="Arial"/>
                <w:sz w:val="20"/>
              </w:rPr>
            </w:pPr>
            <w:r>
              <w:rPr>
                <w:rFonts w:ascii="Arial" w:hAnsi="Arial" w:cs="Arial"/>
                <w:sz w:val="20"/>
              </w:rPr>
              <w:t>I</w:t>
            </w:r>
            <w:r w:rsidRPr="00582AA3">
              <w:rPr>
                <w:rFonts w:ascii="Arial" w:hAnsi="Arial" w:cs="Arial"/>
                <w:sz w:val="20"/>
              </w:rPr>
              <w:t>mpose a time limit for their submissions during which you try and stay quiet to let them speak.</w:t>
            </w:r>
          </w:p>
        </w:tc>
      </w:tr>
      <w:tr w:rsidR="00582AA3" w14:paraId="60CF8429" w14:textId="77777777" w:rsidTr="00582AA3">
        <w:tc>
          <w:tcPr>
            <w:tcW w:w="567" w:type="dxa"/>
            <w:tcBorders>
              <w:top w:val="single" w:sz="12" w:space="0" w:color="auto"/>
              <w:left w:val="single" w:sz="12" w:space="0" w:color="auto"/>
              <w:bottom w:val="nil"/>
              <w:right w:val="single" w:sz="4" w:space="0" w:color="auto"/>
            </w:tcBorders>
            <w:shd w:val="clear" w:color="auto" w:fill="DDDDDD"/>
          </w:tcPr>
          <w:p w14:paraId="66C5D6E4" w14:textId="79E31CE6" w:rsidR="00582AA3" w:rsidRPr="00DC439D" w:rsidRDefault="00582AA3" w:rsidP="006010C0">
            <w:pPr>
              <w:jc w:val="center"/>
              <w:rPr>
                <w:rFonts w:ascii="Arial" w:hAnsi="Arial" w:cs="Arial"/>
                <w:b/>
                <w:bCs/>
                <w:sz w:val="20"/>
              </w:rPr>
            </w:pPr>
            <w:r>
              <w:rPr>
                <w:rFonts w:ascii="Arial" w:hAnsi="Arial" w:cs="Arial"/>
                <w:b/>
                <w:bCs/>
                <w:sz w:val="20"/>
              </w:rPr>
              <w:t>4</w:t>
            </w:r>
          </w:p>
        </w:tc>
        <w:tc>
          <w:tcPr>
            <w:tcW w:w="8504" w:type="dxa"/>
            <w:tcBorders>
              <w:top w:val="single" w:sz="12" w:space="0" w:color="auto"/>
              <w:left w:val="single" w:sz="4" w:space="0" w:color="auto"/>
              <w:right w:val="single" w:sz="12" w:space="0" w:color="auto"/>
            </w:tcBorders>
            <w:shd w:val="clear" w:color="auto" w:fill="DDDDDD"/>
          </w:tcPr>
          <w:p w14:paraId="4ED1C716" w14:textId="6A857901" w:rsidR="00582AA3" w:rsidRPr="00733DD9" w:rsidRDefault="00582AA3" w:rsidP="006010C0">
            <w:pPr>
              <w:jc w:val="center"/>
              <w:rPr>
                <w:rFonts w:ascii="Arial" w:hAnsi="Arial" w:cs="Arial"/>
                <w:b/>
                <w:bCs/>
                <w:sz w:val="20"/>
              </w:rPr>
            </w:pPr>
            <w:r>
              <w:rPr>
                <w:rFonts w:ascii="Arial" w:hAnsi="Arial" w:cs="Arial"/>
                <w:b/>
                <w:bCs/>
                <w:sz w:val="20"/>
              </w:rPr>
              <w:t>Keep the Trial Moving</w:t>
            </w:r>
          </w:p>
        </w:tc>
      </w:tr>
      <w:tr w:rsidR="00095577" w14:paraId="397736B7" w14:textId="77777777" w:rsidTr="006010C0">
        <w:tc>
          <w:tcPr>
            <w:tcW w:w="567" w:type="dxa"/>
            <w:tcBorders>
              <w:top w:val="single" w:sz="12" w:space="0" w:color="auto"/>
              <w:left w:val="single" w:sz="12" w:space="0" w:color="auto"/>
              <w:bottom w:val="nil"/>
              <w:right w:val="single" w:sz="4" w:space="0" w:color="auto"/>
            </w:tcBorders>
            <w:shd w:val="clear" w:color="auto" w:fill="DDDDDD"/>
          </w:tcPr>
          <w:p w14:paraId="7DBD2ACF" w14:textId="5EE38BF8" w:rsidR="00095577" w:rsidRPr="00DC439D" w:rsidRDefault="00095577" w:rsidP="006010C0">
            <w:pPr>
              <w:jc w:val="center"/>
              <w:rPr>
                <w:rFonts w:ascii="Arial" w:hAnsi="Arial" w:cs="Arial"/>
                <w:b/>
                <w:bCs/>
                <w:sz w:val="20"/>
              </w:rPr>
            </w:pPr>
            <w:r>
              <w:rPr>
                <w:rFonts w:ascii="Arial" w:hAnsi="Arial" w:cs="Arial"/>
                <w:b/>
                <w:bCs/>
                <w:sz w:val="20"/>
              </w:rPr>
              <w:t>5</w:t>
            </w:r>
          </w:p>
        </w:tc>
        <w:tc>
          <w:tcPr>
            <w:tcW w:w="8504" w:type="dxa"/>
            <w:tcBorders>
              <w:top w:val="single" w:sz="12" w:space="0" w:color="auto"/>
              <w:left w:val="single" w:sz="4" w:space="0" w:color="auto"/>
              <w:right w:val="single" w:sz="12" w:space="0" w:color="auto"/>
            </w:tcBorders>
            <w:shd w:val="clear" w:color="auto" w:fill="DDDDDD"/>
          </w:tcPr>
          <w:p w14:paraId="5D204155" w14:textId="3CCBF428" w:rsidR="00095577" w:rsidRPr="00733DD9" w:rsidRDefault="00095577" w:rsidP="006010C0">
            <w:pPr>
              <w:jc w:val="center"/>
              <w:rPr>
                <w:rFonts w:ascii="Arial" w:hAnsi="Arial" w:cs="Arial"/>
                <w:b/>
                <w:bCs/>
                <w:sz w:val="20"/>
              </w:rPr>
            </w:pPr>
            <w:r>
              <w:rPr>
                <w:rFonts w:ascii="Arial" w:hAnsi="Arial" w:cs="Arial"/>
                <w:b/>
                <w:bCs/>
                <w:sz w:val="20"/>
              </w:rPr>
              <w:t>Getting Rolled on Appeal is a ‘fact of life’</w:t>
            </w:r>
          </w:p>
        </w:tc>
      </w:tr>
      <w:tr w:rsidR="00DC439D" w14:paraId="5A9494A6" w14:textId="77777777" w:rsidTr="00095577">
        <w:tc>
          <w:tcPr>
            <w:tcW w:w="567" w:type="dxa"/>
            <w:tcBorders>
              <w:top w:val="nil"/>
              <w:left w:val="single" w:sz="12" w:space="0" w:color="auto"/>
              <w:bottom w:val="single" w:sz="12" w:space="0" w:color="auto"/>
              <w:right w:val="single" w:sz="4" w:space="0" w:color="auto"/>
            </w:tcBorders>
          </w:tcPr>
          <w:p w14:paraId="625111EB" w14:textId="77777777" w:rsidR="00DC439D" w:rsidRPr="00DC439D" w:rsidRDefault="00DC439D" w:rsidP="00DC439D">
            <w:pPr>
              <w:jc w:val="center"/>
              <w:rPr>
                <w:rFonts w:ascii="Arial" w:hAnsi="Arial" w:cs="Arial"/>
                <w:b/>
                <w:bCs/>
                <w:sz w:val="20"/>
              </w:rPr>
            </w:pPr>
          </w:p>
        </w:tc>
        <w:tc>
          <w:tcPr>
            <w:tcW w:w="8504" w:type="dxa"/>
            <w:tcBorders>
              <w:left w:val="single" w:sz="4" w:space="0" w:color="auto"/>
              <w:bottom w:val="single" w:sz="12" w:space="0" w:color="auto"/>
              <w:right w:val="single" w:sz="12" w:space="0" w:color="auto"/>
            </w:tcBorders>
          </w:tcPr>
          <w:p w14:paraId="5B294DA5" w14:textId="28B911B5" w:rsidR="00DC439D" w:rsidRDefault="00095577" w:rsidP="00753AEB">
            <w:pPr>
              <w:jc w:val="both"/>
              <w:rPr>
                <w:rFonts w:ascii="Arial" w:hAnsi="Arial" w:cs="Arial"/>
                <w:sz w:val="20"/>
              </w:rPr>
            </w:pPr>
            <w:r>
              <w:rPr>
                <w:rFonts w:ascii="Arial" w:hAnsi="Arial" w:cs="Arial"/>
                <w:sz w:val="20"/>
              </w:rPr>
              <w:t>W</w:t>
            </w:r>
            <w:r w:rsidRPr="00095577">
              <w:rPr>
                <w:rFonts w:ascii="Arial" w:hAnsi="Arial" w:cs="Arial"/>
                <w:sz w:val="20"/>
              </w:rPr>
              <w:t>e need to accept that it will happen and that almost always it is not a reflection on the judge at first instance. The tone and substance of cases can change dramatically on appeal.</w:t>
            </w:r>
          </w:p>
        </w:tc>
      </w:tr>
      <w:tr w:rsidR="00095577" w14:paraId="19F4CC73" w14:textId="77777777" w:rsidTr="00095577">
        <w:tc>
          <w:tcPr>
            <w:tcW w:w="567" w:type="dxa"/>
            <w:tcBorders>
              <w:top w:val="single" w:sz="12" w:space="0" w:color="auto"/>
              <w:left w:val="single" w:sz="12" w:space="0" w:color="auto"/>
              <w:bottom w:val="single" w:sz="4" w:space="0" w:color="auto"/>
            </w:tcBorders>
            <w:shd w:val="clear" w:color="auto" w:fill="DDDDDD"/>
          </w:tcPr>
          <w:p w14:paraId="70F3792E" w14:textId="384E969F" w:rsidR="00095577" w:rsidRPr="00DC439D" w:rsidRDefault="00095577" w:rsidP="006010C0">
            <w:pPr>
              <w:jc w:val="center"/>
              <w:rPr>
                <w:rFonts w:ascii="Arial" w:hAnsi="Arial" w:cs="Arial"/>
                <w:b/>
                <w:bCs/>
                <w:sz w:val="20"/>
              </w:rPr>
            </w:pPr>
            <w:r>
              <w:rPr>
                <w:rFonts w:ascii="Arial" w:hAnsi="Arial" w:cs="Arial"/>
                <w:b/>
                <w:bCs/>
                <w:sz w:val="20"/>
              </w:rPr>
              <w:t>6</w:t>
            </w:r>
          </w:p>
        </w:tc>
        <w:tc>
          <w:tcPr>
            <w:tcW w:w="8504" w:type="dxa"/>
            <w:tcBorders>
              <w:top w:val="single" w:sz="12" w:space="0" w:color="auto"/>
              <w:bottom w:val="single" w:sz="4" w:space="0" w:color="auto"/>
              <w:right w:val="single" w:sz="12" w:space="0" w:color="auto"/>
            </w:tcBorders>
            <w:shd w:val="clear" w:color="auto" w:fill="DDDDDD"/>
          </w:tcPr>
          <w:p w14:paraId="477CCDED" w14:textId="182A1B47" w:rsidR="00095577" w:rsidRPr="00733DD9" w:rsidRDefault="00095577" w:rsidP="006010C0">
            <w:pPr>
              <w:jc w:val="center"/>
              <w:rPr>
                <w:rFonts w:ascii="Arial" w:hAnsi="Arial" w:cs="Arial"/>
                <w:b/>
                <w:bCs/>
                <w:sz w:val="20"/>
              </w:rPr>
            </w:pPr>
            <w:r>
              <w:rPr>
                <w:rFonts w:ascii="Arial" w:hAnsi="Arial" w:cs="Arial"/>
                <w:b/>
                <w:bCs/>
                <w:sz w:val="20"/>
              </w:rPr>
              <w:t>Beware of secondary trauma</w:t>
            </w:r>
          </w:p>
        </w:tc>
      </w:tr>
      <w:tr w:rsidR="00095577" w14:paraId="0B8EF168" w14:textId="77777777" w:rsidTr="00504A1C">
        <w:tc>
          <w:tcPr>
            <w:tcW w:w="567" w:type="dxa"/>
            <w:tcBorders>
              <w:left w:val="single" w:sz="12" w:space="0" w:color="auto"/>
              <w:bottom w:val="single" w:sz="12" w:space="0" w:color="auto"/>
            </w:tcBorders>
          </w:tcPr>
          <w:p w14:paraId="0E091BEE" w14:textId="77777777" w:rsidR="00095577" w:rsidRPr="00DC439D" w:rsidRDefault="00095577" w:rsidP="006010C0">
            <w:pPr>
              <w:jc w:val="center"/>
              <w:rPr>
                <w:rFonts w:ascii="Arial" w:hAnsi="Arial" w:cs="Arial"/>
                <w:b/>
                <w:bCs/>
                <w:sz w:val="20"/>
              </w:rPr>
            </w:pPr>
          </w:p>
        </w:tc>
        <w:tc>
          <w:tcPr>
            <w:tcW w:w="8504" w:type="dxa"/>
            <w:tcBorders>
              <w:bottom w:val="single" w:sz="12" w:space="0" w:color="auto"/>
              <w:right w:val="single" w:sz="12" w:space="0" w:color="auto"/>
            </w:tcBorders>
          </w:tcPr>
          <w:p w14:paraId="0E8125AC" w14:textId="5713AEAF" w:rsidR="00095577" w:rsidRDefault="00095577" w:rsidP="006010C0">
            <w:pPr>
              <w:jc w:val="both"/>
              <w:rPr>
                <w:rFonts w:ascii="Arial" w:hAnsi="Arial" w:cs="Arial"/>
                <w:sz w:val="20"/>
              </w:rPr>
            </w:pPr>
            <w:r>
              <w:rPr>
                <w:rFonts w:ascii="Arial" w:hAnsi="Arial" w:cs="Arial"/>
                <w:sz w:val="20"/>
              </w:rPr>
              <w:t>You never know which case will affect you</w:t>
            </w:r>
            <w:r w:rsidRPr="00095577">
              <w:rPr>
                <w:rFonts w:ascii="Arial" w:hAnsi="Arial" w:cs="Arial"/>
                <w:sz w:val="20"/>
              </w:rPr>
              <w:t>.</w:t>
            </w:r>
            <w:r>
              <w:rPr>
                <w:rFonts w:ascii="Arial" w:hAnsi="Arial" w:cs="Arial"/>
                <w:sz w:val="20"/>
              </w:rPr>
              <w:t xml:space="preserve"> You don’t know the effect of cumulation of cases. If something is getting to you, talking through </w:t>
            </w:r>
            <w:r w:rsidRPr="00095577">
              <w:rPr>
                <w:rFonts w:ascii="Arial" w:hAnsi="Arial" w:cs="Arial"/>
                <w:sz w:val="20"/>
              </w:rPr>
              <w:t>the issue and, if necessary, seeing someone about it is a reflection of your strength as a judge because all good judges have self-insight.</w:t>
            </w:r>
          </w:p>
        </w:tc>
      </w:tr>
      <w:tr w:rsidR="00095577" w14:paraId="288306F8" w14:textId="77777777" w:rsidTr="00504A1C">
        <w:tc>
          <w:tcPr>
            <w:tcW w:w="567" w:type="dxa"/>
            <w:tcBorders>
              <w:top w:val="single" w:sz="12" w:space="0" w:color="auto"/>
              <w:left w:val="single" w:sz="12" w:space="0" w:color="auto"/>
            </w:tcBorders>
            <w:shd w:val="clear" w:color="auto" w:fill="DDDDDD"/>
          </w:tcPr>
          <w:p w14:paraId="5476BE03" w14:textId="2F2F66B7" w:rsidR="00095577" w:rsidRPr="00DC439D" w:rsidRDefault="00095577" w:rsidP="006010C0">
            <w:pPr>
              <w:jc w:val="center"/>
              <w:rPr>
                <w:rFonts w:ascii="Arial" w:hAnsi="Arial" w:cs="Arial"/>
                <w:b/>
                <w:bCs/>
                <w:sz w:val="20"/>
              </w:rPr>
            </w:pPr>
            <w:r>
              <w:rPr>
                <w:rFonts w:ascii="Arial" w:hAnsi="Arial" w:cs="Arial"/>
                <w:b/>
                <w:bCs/>
                <w:sz w:val="20"/>
              </w:rPr>
              <w:lastRenderedPageBreak/>
              <w:t>7</w:t>
            </w:r>
          </w:p>
        </w:tc>
        <w:tc>
          <w:tcPr>
            <w:tcW w:w="8504" w:type="dxa"/>
            <w:tcBorders>
              <w:top w:val="single" w:sz="12" w:space="0" w:color="auto"/>
              <w:bottom w:val="single" w:sz="4" w:space="0" w:color="auto"/>
              <w:right w:val="single" w:sz="12" w:space="0" w:color="auto"/>
            </w:tcBorders>
            <w:shd w:val="clear" w:color="auto" w:fill="DDDDDD"/>
          </w:tcPr>
          <w:p w14:paraId="6A6464FC" w14:textId="089B3456" w:rsidR="00095577" w:rsidRPr="00733DD9" w:rsidRDefault="00095577" w:rsidP="006010C0">
            <w:pPr>
              <w:jc w:val="center"/>
              <w:rPr>
                <w:rFonts w:ascii="Arial" w:hAnsi="Arial" w:cs="Arial"/>
                <w:b/>
                <w:bCs/>
                <w:sz w:val="20"/>
              </w:rPr>
            </w:pPr>
            <w:r>
              <w:rPr>
                <w:rFonts w:ascii="Arial" w:hAnsi="Arial" w:cs="Arial"/>
                <w:b/>
                <w:bCs/>
                <w:sz w:val="20"/>
              </w:rPr>
              <w:t>Press and the Penguin</w:t>
            </w:r>
          </w:p>
        </w:tc>
      </w:tr>
      <w:tr w:rsidR="00095577" w14:paraId="3BC484EE" w14:textId="77777777" w:rsidTr="00504A1C">
        <w:tc>
          <w:tcPr>
            <w:tcW w:w="567" w:type="dxa"/>
            <w:tcBorders>
              <w:left w:val="single" w:sz="12" w:space="0" w:color="auto"/>
              <w:bottom w:val="single" w:sz="12" w:space="0" w:color="auto"/>
            </w:tcBorders>
          </w:tcPr>
          <w:p w14:paraId="45AF0F64" w14:textId="77777777" w:rsidR="00095577" w:rsidRPr="00DC439D" w:rsidRDefault="00095577" w:rsidP="006010C0">
            <w:pPr>
              <w:jc w:val="center"/>
              <w:rPr>
                <w:rFonts w:ascii="Arial" w:hAnsi="Arial" w:cs="Arial"/>
                <w:b/>
                <w:bCs/>
                <w:sz w:val="20"/>
              </w:rPr>
            </w:pPr>
          </w:p>
        </w:tc>
        <w:tc>
          <w:tcPr>
            <w:tcW w:w="8504" w:type="dxa"/>
            <w:tcBorders>
              <w:bottom w:val="single" w:sz="12" w:space="0" w:color="auto"/>
              <w:right w:val="single" w:sz="12" w:space="0" w:color="auto"/>
            </w:tcBorders>
          </w:tcPr>
          <w:p w14:paraId="53DAD705" w14:textId="40416DFE" w:rsidR="00504A1C" w:rsidRPr="00504A1C" w:rsidRDefault="00504A1C" w:rsidP="00234037">
            <w:pPr>
              <w:pStyle w:val="ListParagraph"/>
              <w:numPr>
                <w:ilvl w:val="0"/>
                <w:numId w:val="164"/>
              </w:numPr>
              <w:ind w:left="357" w:hanging="357"/>
              <w:jc w:val="both"/>
              <w:rPr>
                <w:rFonts w:ascii="Arial" w:hAnsi="Arial" w:cs="Arial"/>
                <w:sz w:val="20"/>
              </w:rPr>
            </w:pPr>
            <w:r w:rsidRPr="00504A1C">
              <w:rPr>
                <w:rFonts w:ascii="Arial" w:hAnsi="Arial" w:cs="Arial"/>
                <w:sz w:val="20"/>
              </w:rPr>
              <w:t>This point mostly arises in crime, but it covers all areas. During your careers, many of you will experience a blasting from your beloved local tabloid or broadsheet.</w:t>
            </w:r>
          </w:p>
          <w:p w14:paraId="560B781B" w14:textId="79EAD6FA" w:rsidR="00504A1C" w:rsidRDefault="00504A1C" w:rsidP="00234037">
            <w:pPr>
              <w:pStyle w:val="ListParagraph"/>
              <w:numPr>
                <w:ilvl w:val="0"/>
                <w:numId w:val="164"/>
              </w:numPr>
              <w:ind w:left="357" w:hanging="357"/>
              <w:jc w:val="both"/>
              <w:rPr>
                <w:rFonts w:ascii="Arial" w:hAnsi="Arial" w:cs="Arial"/>
                <w:sz w:val="20"/>
              </w:rPr>
            </w:pPr>
            <w:r w:rsidRPr="00504A1C">
              <w:rPr>
                <w:rFonts w:ascii="Arial" w:hAnsi="Arial" w:cs="Arial"/>
                <w:sz w:val="20"/>
              </w:rPr>
              <w:t xml:space="preserve">Open justice means media </w:t>
            </w:r>
            <w:proofErr w:type="gramStart"/>
            <w:r w:rsidRPr="00504A1C">
              <w:rPr>
                <w:rFonts w:ascii="Arial" w:hAnsi="Arial" w:cs="Arial"/>
                <w:sz w:val="20"/>
              </w:rPr>
              <w:t>coverage,</w:t>
            </w:r>
            <w:proofErr w:type="gramEnd"/>
            <w:r w:rsidRPr="00504A1C">
              <w:rPr>
                <w:rFonts w:ascii="Arial" w:hAnsi="Arial" w:cs="Arial"/>
                <w:sz w:val="20"/>
              </w:rPr>
              <w:t xml:space="preserve"> media coverage sometimes means critical media coverage and critical media coverage sometimes means unfair and inaccurate coverage.</w:t>
            </w:r>
          </w:p>
          <w:p w14:paraId="3AA41900" w14:textId="4DEF7A21" w:rsidR="00504A1C" w:rsidRDefault="00504A1C" w:rsidP="00234037">
            <w:pPr>
              <w:pStyle w:val="ListParagraph"/>
              <w:numPr>
                <w:ilvl w:val="0"/>
                <w:numId w:val="164"/>
              </w:numPr>
              <w:ind w:left="357" w:hanging="357"/>
              <w:jc w:val="both"/>
              <w:rPr>
                <w:rFonts w:ascii="Arial" w:hAnsi="Arial" w:cs="Arial"/>
                <w:sz w:val="20"/>
              </w:rPr>
            </w:pPr>
            <w:r w:rsidRPr="00504A1C">
              <w:rPr>
                <w:rFonts w:ascii="Arial" w:hAnsi="Arial" w:cs="Arial"/>
                <w:sz w:val="20"/>
              </w:rPr>
              <w:t>There are things that can be done about some press coverage that crosses the line, and that's very much where the Australian Judicial Officers Association comes in. However, most of the time, the best course is to let the dogs bark while the caravan rolls in.</w:t>
            </w:r>
          </w:p>
          <w:p w14:paraId="67EE4B1D" w14:textId="2F68A3A6" w:rsidR="00095577" w:rsidRPr="00504A1C" w:rsidRDefault="00504A1C" w:rsidP="00234037">
            <w:pPr>
              <w:pStyle w:val="ListParagraph"/>
              <w:numPr>
                <w:ilvl w:val="0"/>
                <w:numId w:val="164"/>
              </w:numPr>
              <w:spacing w:after="20"/>
              <w:ind w:left="357" w:hanging="357"/>
              <w:jc w:val="both"/>
              <w:rPr>
                <w:rFonts w:ascii="Arial" w:hAnsi="Arial" w:cs="Arial"/>
                <w:sz w:val="20"/>
              </w:rPr>
            </w:pPr>
            <w:r w:rsidRPr="00504A1C">
              <w:rPr>
                <w:rFonts w:ascii="Arial" w:hAnsi="Arial" w:cs="Arial"/>
                <w:sz w:val="20"/>
              </w:rPr>
              <w:t>The best analogy I can come up with is the scene in Happy Feet when the icy wind blows into the Antarctic and each penguin must take their turn on the outside of the huddle to absorb the cold blast. You will have your time on the edge of the huddle, but I hope it's not too icy and that it's mercifully short.</w:t>
            </w:r>
          </w:p>
        </w:tc>
      </w:tr>
    </w:tbl>
    <w:p w14:paraId="62B374E3" w14:textId="77777777" w:rsidR="00095577" w:rsidRDefault="00095577" w:rsidP="00582AA3">
      <w:pPr>
        <w:jc w:val="both"/>
        <w:rPr>
          <w:rFonts w:ascii="Arial" w:hAnsi="Arial" w:cs="Arial"/>
          <w:sz w:val="20"/>
        </w:rPr>
      </w:pPr>
    </w:p>
    <w:p w14:paraId="3D196A99" w14:textId="17650028" w:rsidR="000F5CE7" w:rsidRDefault="000F5CE7" w:rsidP="000F5CE7">
      <w:pPr>
        <w:jc w:val="both"/>
        <w:rPr>
          <w:rFonts w:ascii="Arial" w:hAnsi="Arial" w:cs="Arial"/>
          <w:sz w:val="20"/>
        </w:rPr>
      </w:pPr>
      <w:r>
        <w:rPr>
          <w:rFonts w:ascii="Arial" w:hAnsi="Arial" w:cs="Arial"/>
          <w:sz w:val="20"/>
        </w:rPr>
        <w:t xml:space="preserve">In a paper entitled “Attacks on the Judiciary” presented at the C.L.A.N.T. conference in Bali in June 2026, </w:t>
      </w:r>
      <w:r w:rsidR="00984C04">
        <w:rPr>
          <w:rFonts w:ascii="Arial" w:hAnsi="Arial" w:cs="Arial"/>
          <w:sz w:val="20"/>
        </w:rPr>
        <w:t>t</w:t>
      </w:r>
      <w:r>
        <w:rPr>
          <w:rFonts w:ascii="Arial" w:hAnsi="Arial" w:cs="Arial"/>
          <w:sz w:val="20"/>
        </w:rPr>
        <w:t>he Hon Lex Lasry AM KC addressed some aspects of what he described as “the ever-increasing level of personal criticism – and, at times, personal vilification – of judges, and the normalisation of that conduct particularly by politicians and the media both in Australia and internationally.”</w:t>
      </w:r>
    </w:p>
    <w:p w14:paraId="14CC3509" w14:textId="6C1DEBCD" w:rsidR="000F5CE7" w:rsidRDefault="000F5CE7" w:rsidP="00AC6547">
      <w:pPr>
        <w:spacing w:before="60"/>
        <w:jc w:val="both"/>
        <w:rPr>
          <w:rFonts w:ascii="Arial" w:hAnsi="Arial" w:cs="Arial"/>
          <w:sz w:val="20"/>
        </w:rPr>
      </w:pPr>
      <w:r>
        <w:rPr>
          <w:rFonts w:ascii="Arial" w:hAnsi="Arial" w:cs="Arial"/>
          <w:sz w:val="20"/>
        </w:rPr>
        <w:t xml:space="preserve">In the paper his Honour </w:t>
      </w:r>
      <w:r w:rsidR="002D498F">
        <w:rPr>
          <w:rFonts w:ascii="Arial" w:hAnsi="Arial" w:cs="Arial"/>
          <w:sz w:val="20"/>
        </w:rPr>
        <w:t>sai</w:t>
      </w:r>
      <w:r>
        <w:rPr>
          <w:rFonts w:ascii="Arial" w:hAnsi="Arial" w:cs="Arial"/>
          <w:sz w:val="20"/>
        </w:rPr>
        <w:t xml:space="preserve">d, </w:t>
      </w:r>
      <w:r w:rsidRPr="00AC6547">
        <w:rPr>
          <w:rFonts w:ascii="Arial" w:hAnsi="Arial" w:cs="Arial"/>
          <w:i/>
          <w:iCs/>
          <w:sz w:val="20"/>
        </w:rPr>
        <w:t>inter alia</w:t>
      </w:r>
      <w:r w:rsidR="00DB21CA">
        <w:rPr>
          <w:rFonts w:ascii="Arial" w:hAnsi="Arial" w:cs="Arial"/>
          <w:sz w:val="20"/>
        </w:rPr>
        <w:t xml:space="preserve"> [emphasis added]:</w:t>
      </w:r>
    </w:p>
    <w:p w14:paraId="005CA538" w14:textId="7B61B7A6" w:rsidR="000F5CE7" w:rsidRDefault="000F5CE7" w:rsidP="000F5CE7">
      <w:pPr>
        <w:pStyle w:val="ListParagraph"/>
        <w:numPr>
          <w:ilvl w:val="0"/>
          <w:numId w:val="182"/>
        </w:numPr>
        <w:spacing w:before="60"/>
        <w:ind w:left="357" w:hanging="357"/>
        <w:jc w:val="both"/>
        <w:rPr>
          <w:rFonts w:ascii="Arial" w:hAnsi="Arial" w:cs="Arial"/>
          <w:sz w:val="20"/>
        </w:rPr>
      </w:pPr>
      <w:r>
        <w:rPr>
          <w:rFonts w:ascii="Arial" w:hAnsi="Arial" w:cs="Arial"/>
          <w:sz w:val="20"/>
        </w:rPr>
        <w:t>[At p.2] “</w:t>
      </w:r>
      <w:r w:rsidRPr="00DB21CA">
        <w:rPr>
          <w:rFonts w:ascii="Arial" w:hAnsi="Arial" w:cs="Arial"/>
          <w:b/>
          <w:bCs/>
          <w:sz w:val="20"/>
        </w:rPr>
        <w:t>[T]he most important qualities [of a judge] are impartiality and independence, anchored in a commitment to doing justice and properly fulfilling the court’s role in the separation of powers from the Parliament and the Executive. The role of a judge does not mean acting in accordance with some vague concept of [community] expectations – it means acting in accordance with the applicable law and on relevant and admissible evidence.</w:t>
      </w:r>
      <w:r w:rsidR="00AC6547">
        <w:rPr>
          <w:rFonts w:ascii="Arial" w:hAnsi="Arial" w:cs="Arial"/>
          <w:sz w:val="20"/>
        </w:rPr>
        <w:t>”</w:t>
      </w:r>
    </w:p>
    <w:p w14:paraId="2F3B1525" w14:textId="1155607A" w:rsidR="000F5CE7" w:rsidRPr="000F5CE7" w:rsidRDefault="00AC6547" w:rsidP="000F5CE7">
      <w:pPr>
        <w:pStyle w:val="ListParagraph"/>
        <w:numPr>
          <w:ilvl w:val="0"/>
          <w:numId w:val="182"/>
        </w:numPr>
        <w:spacing w:before="60"/>
        <w:ind w:left="357" w:hanging="357"/>
        <w:jc w:val="both"/>
        <w:rPr>
          <w:rFonts w:ascii="Arial" w:hAnsi="Arial" w:cs="Arial"/>
          <w:sz w:val="20"/>
        </w:rPr>
      </w:pPr>
      <w:r>
        <w:rPr>
          <w:rFonts w:ascii="Arial" w:hAnsi="Arial" w:cs="Arial"/>
          <w:sz w:val="20"/>
        </w:rPr>
        <w:t>[At p</w:t>
      </w:r>
      <w:r w:rsidR="002D498F">
        <w:rPr>
          <w:rFonts w:ascii="Arial" w:hAnsi="Arial" w:cs="Arial"/>
          <w:sz w:val="20"/>
        </w:rPr>
        <w:t>p</w:t>
      </w:r>
      <w:r>
        <w:rPr>
          <w:rFonts w:ascii="Arial" w:hAnsi="Arial" w:cs="Arial"/>
          <w:sz w:val="20"/>
        </w:rPr>
        <w:t>.3</w:t>
      </w:r>
      <w:r w:rsidR="002D498F">
        <w:rPr>
          <w:rFonts w:ascii="Arial" w:hAnsi="Arial" w:cs="Arial"/>
          <w:sz w:val="20"/>
        </w:rPr>
        <w:t>-4</w:t>
      </w:r>
      <w:r>
        <w:rPr>
          <w:rFonts w:ascii="Arial" w:hAnsi="Arial" w:cs="Arial"/>
          <w:sz w:val="20"/>
        </w:rPr>
        <w:t>] “Media critics of the judiciary and politicians require that judges be in touch with ‘community expectations’ – whatever that means, and however it might be measured…</w:t>
      </w:r>
      <w:r w:rsidR="002D498F">
        <w:rPr>
          <w:rFonts w:ascii="Arial" w:hAnsi="Arial" w:cs="Arial"/>
          <w:sz w:val="20"/>
        </w:rPr>
        <w:t xml:space="preserve">The 1991 Victorian Sentencing Act does not include the phrase ‘community expectations’ at all. In the 2010 judgment of </w:t>
      </w:r>
      <w:r w:rsidR="002D498F" w:rsidRPr="00984C04">
        <w:rPr>
          <w:rFonts w:ascii="Arial" w:hAnsi="Arial" w:cs="Arial"/>
          <w:i/>
          <w:iCs/>
          <w:sz w:val="20"/>
        </w:rPr>
        <w:t>WCB v The Queen</w:t>
      </w:r>
      <w:r w:rsidR="002D498F">
        <w:rPr>
          <w:rFonts w:ascii="Arial" w:hAnsi="Arial" w:cs="Arial"/>
          <w:sz w:val="20"/>
        </w:rPr>
        <w:t xml:space="preserve"> </w:t>
      </w:r>
      <w:r w:rsidR="002D498F" w:rsidRPr="002D498F">
        <w:rPr>
          <w:rFonts w:ascii="Arial" w:hAnsi="Arial" w:cs="Arial"/>
          <w:sz w:val="20"/>
        </w:rPr>
        <w:t>[2010] VSCA 230</w:t>
      </w:r>
      <w:r w:rsidR="002D498F">
        <w:rPr>
          <w:rFonts w:ascii="Arial" w:hAnsi="Arial" w:cs="Arial"/>
          <w:sz w:val="20"/>
        </w:rPr>
        <w:t xml:space="preserve"> the Court of Appeal observed that:</w:t>
      </w:r>
    </w:p>
    <w:p w14:paraId="5C3B988E" w14:textId="22BF4477" w:rsidR="000F5CE7" w:rsidRPr="00984C04" w:rsidRDefault="00984C04" w:rsidP="00984C04">
      <w:pPr>
        <w:spacing w:before="60"/>
        <w:ind w:left="924" w:right="567"/>
        <w:jc w:val="both"/>
        <w:rPr>
          <w:rFonts w:ascii="Arial" w:hAnsi="Arial" w:cs="Arial"/>
          <w:sz w:val="18"/>
          <w:szCs w:val="22"/>
        </w:rPr>
      </w:pPr>
      <w:r w:rsidRPr="00984C04">
        <w:rPr>
          <w:rFonts w:ascii="Arial" w:hAnsi="Arial" w:cs="Arial"/>
          <w:sz w:val="18"/>
          <w:szCs w:val="22"/>
        </w:rPr>
        <w:t>A judge may, in his or her sentencing remarks, refer to such community expectations and to the fact that the sentence involves a reaffirmation of society’s values.</w:t>
      </w:r>
    </w:p>
    <w:p w14:paraId="4061029B" w14:textId="512D4D41" w:rsidR="00984C04" w:rsidRDefault="00984C04" w:rsidP="00984C04">
      <w:pPr>
        <w:spacing w:before="60"/>
        <w:ind w:left="357"/>
        <w:jc w:val="both"/>
        <w:rPr>
          <w:rFonts w:ascii="Arial" w:hAnsi="Arial" w:cs="Arial"/>
          <w:sz w:val="20"/>
        </w:rPr>
      </w:pPr>
      <w:r>
        <w:rPr>
          <w:rFonts w:ascii="Arial" w:hAnsi="Arial" w:cs="Arial"/>
          <w:sz w:val="20"/>
        </w:rPr>
        <w:t>They noted that there is a role for community expectations in sentencing, noting that ‘the courts do not exist independently of the society which they serve … the courts vindicate the properly informed values of the community.’</w:t>
      </w:r>
    </w:p>
    <w:p w14:paraId="6F5DF5D8" w14:textId="65F1BCBE" w:rsidR="00984C04" w:rsidRDefault="00984C04" w:rsidP="00984C04">
      <w:pPr>
        <w:spacing w:before="60"/>
        <w:ind w:left="357"/>
        <w:jc w:val="both"/>
        <w:rPr>
          <w:rFonts w:ascii="Arial" w:hAnsi="Arial" w:cs="Arial"/>
          <w:sz w:val="20"/>
        </w:rPr>
      </w:pPr>
      <w:r>
        <w:rPr>
          <w:rFonts w:ascii="Arial" w:hAnsi="Arial" w:cs="Arial"/>
          <w:sz w:val="20"/>
        </w:rPr>
        <w:t>Yet there is very little published scientific evidence in Victoria that identifies ‘community expectations’- that is, evidence of community attitudes about the purpose of sentencing…</w:t>
      </w:r>
    </w:p>
    <w:p w14:paraId="638D8397" w14:textId="7FB70961" w:rsidR="00984C04" w:rsidRDefault="00984C04" w:rsidP="00984C04">
      <w:pPr>
        <w:spacing w:before="60"/>
        <w:ind w:left="357"/>
        <w:jc w:val="both"/>
        <w:rPr>
          <w:rFonts w:ascii="Arial" w:hAnsi="Arial" w:cs="Arial"/>
          <w:sz w:val="20"/>
        </w:rPr>
      </w:pPr>
      <w:r>
        <w:rPr>
          <w:rFonts w:ascii="Arial" w:hAnsi="Arial" w:cs="Arial"/>
          <w:sz w:val="20"/>
        </w:rPr>
        <w:t>In 1998, while still a member of the High Court of Australia, the Hon Justice Michael Kirby delivered a speech to the American Bar Association in Hawaii entitled ‘Attacks on Judges – A Universal Phenomenon’.</w:t>
      </w:r>
    </w:p>
    <w:p w14:paraId="2842E8A5" w14:textId="49A0149E" w:rsidR="00984C04" w:rsidRDefault="00984C04" w:rsidP="00984C04">
      <w:pPr>
        <w:spacing w:before="60"/>
        <w:ind w:left="357"/>
        <w:jc w:val="both"/>
        <w:rPr>
          <w:rFonts w:ascii="Arial" w:hAnsi="Arial" w:cs="Arial"/>
          <w:sz w:val="20"/>
        </w:rPr>
      </w:pPr>
      <w:r>
        <w:rPr>
          <w:rFonts w:ascii="Arial" w:hAnsi="Arial" w:cs="Arial"/>
          <w:sz w:val="20"/>
        </w:rPr>
        <w:t xml:space="preserve">In that speech he referred to politicians criticising judgments of the High Court on immigration, native title and constitutional interpretation. These critiques often framed judges as ‘activist’ or ‘out of touch’. In the case of </w:t>
      </w:r>
      <w:r w:rsidRPr="008232E7">
        <w:rPr>
          <w:rFonts w:ascii="Arial" w:hAnsi="Arial" w:cs="Arial"/>
          <w:i/>
          <w:iCs/>
          <w:sz w:val="20"/>
        </w:rPr>
        <w:t>Mabo</w:t>
      </w:r>
      <w:r>
        <w:rPr>
          <w:rFonts w:ascii="Arial" w:hAnsi="Arial" w:cs="Arial"/>
          <w:sz w:val="20"/>
        </w:rPr>
        <w:t>, historian Geoffrey Blainey accused the majority of having the ‘black armband view of history’.</w:t>
      </w:r>
    </w:p>
    <w:p w14:paraId="1DEE3A4F" w14:textId="28F4A849" w:rsidR="008232E7" w:rsidRDefault="008232E7" w:rsidP="00984C04">
      <w:pPr>
        <w:spacing w:before="60"/>
        <w:ind w:left="357"/>
        <w:jc w:val="both"/>
        <w:rPr>
          <w:rFonts w:ascii="Arial" w:hAnsi="Arial" w:cs="Arial"/>
          <w:sz w:val="20"/>
        </w:rPr>
      </w:pPr>
      <w:r>
        <w:rPr>
          <w:rFonts w:ascii="Arial" w:hAnsi="Arial" w:cs="Arial"/>
          <w:sz w:val="20"/>
        </w:rPr>
        <w:t>Kirby’s speech reviewed the global increase in personal and political attacks on senior judicial officers across common law countries, highlighting recurring patterns of criticism from politicians, media, academics and others.</w:t>
      </w:r>
    </w:p>
    <w:p w14:paraId="17D887C1" w14:textId="368099BA" w:rsidR="008232E7" w:rsidRDefault="008232E7" w:rsidP="00984C04">
      <w:pPr>
        <w:spacing w:before="60"/>
        <w:ind w:left="357"/>
        <w:jc w:val="both"/>
        <w:rPr>
          <w:rFonts w:ascii="Arial" w:hAnsi="Arial" w:cs="Arial"/>
          <w:sz w:val="20"/>
        </w:rPr>
      </w:pPr>
      <w:r>
        <w:rPr>
          <w:rFonts w:ascii="Arial" w:hAnsi="Arial" w:cs="Arial"/>
          <w:sz w:val="20"/>
        </w:rPr>
        <w:t>While some criticism is inevitable – and, in my opinion, healthy – recent attacks have gone too far, threatening judicial independence and integrity. Kirby discussed possible responses, emphasising the roles of judges, legal professionals, political leaders and public education in safeguarding the judiciary. Someone has to step in and defend judges, and the legal profession is the obvious candidate; of</w:t>
      </w:r>
      <w:r w:rsidR="00DB21CA">
        <w:rPr>
          <w:rFonts w:ascii="Arial" w:hAnsi="Arial" w:cs="Arial"/>
          <w:sz w:val="20"/>
        </w:rPr>
        <w:t>ten</w:t>
      </w:r>
      <w:r>
        <w:rPr>
          <w:rFonts w:ascii="Arial" w:hAnsi="Arial" w:cs="Arial"/>
          <w:sz w:val="20"/>
        </w:rPr>
        <w:t>, it does.”</w:t>
      </w:r>
    </w:p>
    <w:p w14:paraId="2A7C27CA" w14:textId="77777777" w:rsidR="000F5CE7" w:rsidRDefault="000F5CE7" w:rsidP="00582AA3">
      <w:pPr>
        <w:jc w:val="both"/>
        <w:rPr>
          <w:rFonts w:ascii="Arial" w:hAnsi="Arial" w:cs="Arial"/>
          <w:sz w:val="20"/>
        </w:rPr>
      </w:pPr>
    </w:p>
    <w:p w14:paraId="374F76AA" w14:textId="77777777" w:rsidR="00FF66A9" w:rsidRPr="00BD3BA0" w:rsidRDefault="00FF66A9" w:rsidP="00FF66A9">
      <w:pPr>
        <w:jc w:val="center"/>
        <w:rPr>
          <w:rFonts w:ascii="Arial" w:hAnsi="Arial" w:cs="Arial"/>
          <w:b/>
          <w:bCs/>
          <w:sz w:val="22"/>
          <w:szCs w:val="28"/>
        </w:rPr>
      </w:pPr>
      <w:r w:rsidRPr="00BD3BA0">
        <w:rPr>
          <w:rFonts w:ascii="Arial" w:hAnsi="Arial" w:cs="Arial"/>
          <w:b/>
          <w:bCs/>
          <w:sz w:val="22"/>
          <w:szCs w:val="28"/>
        </w:rPr>
        <w:t>THE REST OF THIS PAGE IS BLANK</w:t>
      </w:r>
    </w:p>
    <w:p w14:paraId="7E88375D" w14:textId="77777777" w:rsidR="00FF66A9" w:rsidRDefault="00FF66A9" w:rsidP="00FF66A9">
      <w:pPr>
        <w:rPr>
          <w:rFonts w:ascii="Arial" w:hAnsi="Arial" w:cs="Arial"/>
          <w:sz w:val="20"/>
        </w:rPr>
      </w:pPr>
    </w:p>
    <w:p w14:paraId="4AC0E24C" w14:textId="77777777" w:rsidR="00FF66A9" w:rsidRDefault="00FF66A9" w:rsidP="00FF66A9">
      <w:pPr>
        <w:rPr>
          <w:rFonts w:ascii="Arial" w:hAnsi="Arial" w:cs="Arial"/>
          <w:b/>
          <w:bCs/>
          <w:kern w:val="28"/>
          <w:szCs w:val="20"/>
          <w:lang w:val="en-GB"/>
        </w:rPr>
      </w:pPr>
      <w:r>
        <w:rPr>
          <w:rFonts w:ascii="Arial" w:hAnsi="Arial" w:cs="Arial"/>
          <w:b/>
          <w:bCs/>
        </w:rPr>
        <w:br w:type="page"/>
      </w:r>
    </w:p>
    <w:p w14:paraId="1C831D22" w14:textId="2F9B3FB4" w:rsidR="001C057A" w:rsidRPr="00312136" w:rsidRDefault="001C057A" w:rsidP="001C057A">
      <w:pPr>
        <w:pStyle w:val="Heading3"/>
        <w:keepNext/>
        <w:keepLines/>
        <w:spacing w:after="120" w:line="240" w:lineRule="auto"/>
        <w:rPr>
          <w:rFonts w:ascii="Arial" w:hAnsi="Arial" w:cs="Arial"/>
          <w:b/>
          <w:bCs/>
          <w:sz w:val="20"/>
        </w:rPr>
      </w:pPr>
      <w:bookmarkStart w:id="101" w:name="_3.1.1_Procedural_fairness_1"/>
      <w:bookmarkEnd w:id="101"/>
      <w:r>
        <w:rPr>
          <w:rFonts w:ascii="Arial" w:hAnsi="Arial" w:cs="Arial"/>
          <w:b/>
          <w:bCs/>
          <w:sz w:val="20"/>
        </w:rPr>
        <w:lastRenderedPageBreak/>
        <w:t>3.1.1</w:t>
      </w:r>
      <w:r>
        <w:rPr>
          <w:rFonts w:ascii="Arial" w:hAnsi="Arial" w:cs="Arial"/>
          <w:b/>
          <w:bCs/>
          <w:sz w:val="20"/>
        </w:rPr>
        <w:tab/>
        <w:t>Procedural fairness (natural justice) generally</w:t>
      </w:r>
      <w:bookmarkEnd w:id="100"/>
    </w:p>
    <w:p w14:paraId="21FDEC13" w14:textId="77777777" w:rsidR="00B2600C" w:rsidRDefault="00B843BA" w:rsidP="00B2600C">
      <w:pPr>
        <w:jc w:val="both"/>
        <w:rPr>
          <w:rFonts w:ascii="Arial" w:hAnsi="Arial" w:cs="Arial"/>
          <w:sz w:val="20"/>
        </w:rPr>
      </w:pPr>
      <w:r w:rsidRPr="001A1BF2">
        <w:rPr>
          <w:rFonts w:ascii="Arial" w:hAnsi="Arial" w:cs="Arial"/>
          <w:color w:val="000000"/>
          <w:sz w:val="20"/>
        </w:rPr>
        <w:t>In th</w:t>
      </w:r>
      <w:r w:rsidR="00091307">
        <w:rPr>
          <w:rFonts w:ascii="Arial" w:hAnsi="Arial" w:cs="Arial"/>
          <w:color w:val="000000"/>
          <w:sz w:val="20"/>
        </w:rPr>
        <w:t>e</w:t>
      </w:r>
      <w:r w:rsidRPr="001A1BF2">
        <w:rPr>
          <w:rFonts w:ascii="Arial" w:hAnsi="Arial" w:cs="Arial"/>
          <w:color w:val="000000"/>
          <w:sz w:val="20"/>
        </w:rPr>
        <w:t xml:space="preserve"> process</w:t>
      </w:r>
      <w:r w:rsidR="00091307">
        <w:rPr>
          <w:rFonts w:ascii="Arial" w:hAnsi="Arial" w:cs="Arial"/>
          <w:color w:val="000000"/>
          <w:sz w:val="20"/>
        </w:rPr>
        <w:t xml:space="preserve"> of determining the dispute between the parties</w:t>
      </w:r>
      <w:r w:rsidR="00132D91" w:rsidRPr="001A1BF2">
        <w:rPr>
          <w:rFonts w:ascii="Arial" w:hAnsi="Arial" w:cs="Arial"/>
          <w:color w:val="000000"/>
          <w:sz w:val="20"/>
        </w:rPr>
        <w:t>,</w:t>
      </w:r>
      <w:r w:rsidRPr="001A1BF2">
        <w:rPr>
          <w:rFonts w:ascii="Arial" w:hAnsi="Arial" w:cs="Arial"/>
          <w:color w:val="000000"/>
          <w:sz w:val="20"/>
        </w:rPr>
        <w:t xml:space="preserve"> the judicial officer is required by law to accord </w:t>
      </w:r>
      <w:r w:rsidRPr="004907C7">
        <w:rPr>
          <w:rFonts w:ascii="Arial" w:hAnsi="Arial" w:cs="Arial"/>
          <w:b/>
          <w:bCs/>
          <w:color w:val="000000"/>
          <w:sz w:val="20"/>
        </w:rPr>
        <w:t>procedural fairness</w:t>
      </w:r>
      <w:r w:rsidRPr="001A1BF2">
        <w:rPr>
          <w:rFonts w:ascii="Arial" w:hAnsi="Arial" w:cs="Arial"/>
          <w:color w:val="000000"/>
          <w:sz w:val="20"/>
        </w:rPr>
        <w:t xml:space="preserve"> – sometimes described as “</w:t>
      </w:r>
      <w:r w:rsidRPr="004907C7">
        <w:rPr>
          <w:rFonts w:ascii="Arial" w:hAnsi="Arial" w:cs="Arial"/>
          <w:b/>
          <w:bCs/>
          <w:color w:val="000000"/>
          <w:sz w:val="20"/>
        </w:rPr>
        <w:t>natural justice</w:t>
      </w:r>
      <w:r w:rsidRPr="001A1BF2">
        <w:rPr>
          <w:rFonts w:ascii="Arial" w:hAnsi="Arial" w:cs="Arial"/>
          <w:color w:val="000000"/>
          <w:sz w:val="20"/>
        </w:rPr>
        <w:t>” – to all</w:t>
      </w:r>
      <w:r>
        <w:rPr>
          <w:rFonts w:ascii="Arial" w:hAnsi="Arial" w:cs="Arial"/>
          <w:sz w:val="20"/>
        </w:rPr>
        <w:t xml:space="preserve"> parties.  </w:t>
      </w:r>
      <w:r w:rsidR="00B2600C">
        <w:rPr>
          <w:rFonts w:ascii="Arial" w:hAnsi="Arial" w:cs="Arial"/>
          <w:sz w:val="20"/>
        </w:rPr>
        <w:t xml:space="preserve">In </w:t>
      </w:r>
      <w:r w:rsidR="00B2600C" w:rsidRPr="007F6791">
        <w:rPr>
          <w:rFonts w:ascii="Arial" w:hAnsi="Arial" w:cs="Arial"/>
          <w:i/>
          <w:iCs/>
          <w:sz w:val="20"/>
        </w:rPr>
        <w:t>Roberts v Harkness</w:t>
      </w:r>
      <w:r w:rsidR="00B2600C">
        <w:rPr>
          <w:rFonts w:ascii="Arial" w:hAnsi="Arial" w:cs="Arial"/>
          <w:sz w:val="20"/>
        </w:rPr>
        <w:t xml:space="preserve"> [2018] VSCA 215 the Court of Appeal (Maxwell P, Beach &amp; Niall JJA) stated:</w:t>
      </w:r>
    </w:p>
    <w:p w14:paraId="25565FD5" w14:textId="77777777" w:rsidR="00B2600C" w:rsidRDefault="00B2600C" w:rsidP="00B2600C">
      <w:pPr>
        <w:spacing w:before="60"/>
        <w:ind w:left="454" w:right="454"/>
        <w:jc w:val="both"/>
        <w:rPr>
          <w:rFonts w:ascii="Arial" w:hAnsi="Arial" w:cs="Arial"/>
          <w:sz w:val="20"/>
          <w:szCs w:val="20"/>
        </w:rPr>
      </w:pPr>
      <w:r>
        <w:rPr>
          <w:rFonts w:ascii="Arial" w:hAnsi="Arial" w:cs="Arial"/>
          <w:sz w:val="20"/>
        </w:rPr>
        <w:t xml:space="preserve">[46] “[It] is the fundamental obligation of every court </w:t>
      </w:r>
      <w:r w:rsidRPr="007F6791">
        <w:rPr>
          <w:rFonts w:ascii="Arial" w:hAnsi="Arial" w:cs="Arial"/>
          <w:sz w:val="20"/>
          <w:szCs w:val="20"/>
        </w:rPr>
        <w:t>to ensure a fair hearing for the parties before it</w:t>
      </w:r>
      <w:r>
        <w:rPr>
          <w:rFonts w:ascii="Arial" w:hAnsi="Arial" w:cs="Arial"/>
          <w:sz w:val="20"/>
          <w:szCs w:val="20"/>
        </w:rPr>
        <w:t xml:space="preserve">.  </w:t>
      </w:r>
      <w:r w:rsidRPr="007F6791">
        <w:rPr>
          <w:rFonts w:ascii="Arial" w:hAnsi="Arial" w:cs="Arial"/>
          <w:sz w:val="20"/>
          <w:szCs w:val="20"/>
        </w:rPr>
        <w:t>The High Court recently affirmed,</w:t>
      </w:r>
      <w:r>
        <w:rPr>
          <w:rFonts w:ascii="Arial" w:hAnsi="Arial" w:cs="Arial"/>
          <w:sz w:val="20"/>
          <w:szCs w:val="20"/>
        </w:rPr>
        <w:t xml:space="preserve"> </w:t>
      </w:r>
      <w:r w:rsidRPr="007F6791">
        <w:rPr>
          <w:rFonts w:ascii="Arial" w:hAnsi="Arial" w:cs="Arial"/>
          <w:sz w:val="20"/>
          <w:szCs w:val="20"/>
        </w:rPr>
        <w:t xml:space="preserve">in </w:t>
      </w:r>
      <w:r w:rsidRPr="00B2600C">
        <w:rPr>
          <w:rFonts w:ascii="Arial" w:hAnsi="Arial" w:cs="Arial"/>
          <w:i/>
          <w:iCs/>
          <w:sz w:val="20"/>
          <w:szCs w:val="20"/>
        </w:rPr>
        <w:t>Condon v Pompano Pty Ltd</w:t>
      </w:r>
      <w:r>
        <w:rPr>
          <w:rFonts w:ascii="Arial" w:hAnsi="Arial" w:cs="Arial"/>
          <w:sz w:val="20"/>
          <w:szCs w:val="20"/>
        </w:rPr>
        <w:t xml:space="preserve"> (2013) 252 CLR 38, 99 [156], </w:t>
      </w:r>
      <w:r w:rsidRPr="007F6791">
        <w:rPr>
          <w:rFonts w:ascii="Arial" w:hAnsi="Arial" w:cs="Arial"/>
          <w:sz w:val="20"/>
          <w:szCs w:val="20"/>
        </w:rPr>
        <w:t>that procedural fairness is ‘an essential attribute of a court’s procedure’</w:t>
      </w:r>
      <w:r>
        <w:rPr>
          <w:rFonts w:ascii="Arial" w:hAnsi="Arial" w:cs="Arial"/>
          <w:sz w:val="20"/>
          <w:szCs w:val="20"/>
        </w:rPr>
        <w:t xml:space="preserve"> </w:t>
      </w:r>
      <w:r w:rsidRPr="007F6791">
        <w:rPr>
          <w:rFonts w:ascii="Arial" w:hAnsi="Arial" w:cs="Arial"/>
          <w:sz w:val="20"/>
          <w:szCs w:val="20"/>
        </w:rPr>
        <w:t xml:space="preserve"> The</w:t>
      </w:r>
      <w:r>
        <w:rPr>
          <w:rFonts w:ascii="Arial" w:hAnsi="Arial" w:cs="Arial"/>
          <w:sz w:val="20"/>
          <w:szCs w:val="20"/>
        </w:rPr>
        <w:t> </w:t>
      </w:r>
      <w:r w:rsidRPr="007F6791">
        <w:rPr>
          <w:rFonts w:ascii="Arial" w:hAnsi="Arial" w:cs="Arial"/>
          <w:sz w:val="20"/>
          <w:szCs w:val="20"/>
        </w:rPr>
        <w:t xml:space="preserve">correlative right of each party to a fair hearing is firmly established at common law and — since 2006 — has been enshrined in s 24(1) of the Charter, which relevantly provides as follows: </w:t>
      </w:r>
    </w:p>
    <w:p w14:paraId="7DA73A6D" w14:textId="77777777" w:rsidR="00B2600C" w:rsidRPr="00B2600C" w:rsidRDefault="00B2600C" w:rsidP="00B2600C">
      <w:pPr>
        <w:spacing w:before="60"/>
        <w:ind w:left="907" w:right="907"/>
        <w:jc w:val="both"/>
        <w:rPr>
          <w:rFonts w:ascii="Arial" w:hAnsi="Arial" w:cs="Arial"/>
          <w:sz w:val="18"/>
          <w:szCs w:val="18"/>
        </w:rPr>
      </w:pPr>
      <w:r w:rsidRPr="00B2600C">
        <w:rPr>
          <w:rFonts w:ascii="Arial" w:hAnsi="Arial" w:cs="Arial"/>
          <w:sz w:val="18"/>
          <w:szCs w:val="18"/>
        </w:rPr>
        <w:t>‘A person charged with a criminal offence … has the right to have the charge … decided by a competent, independent and impartial court or tribunal after a fair and public hearing.’</w:t>
      </w:r>
    </w:p>
    <w:p w14:paraId="21AC0C84" w14:textId="5D475EBF" w:rsidR="00B2600C" w:rsidRDefault="00B2600C" w:rsidP="00B2600C">
      <w:pPr>
        <w:spacing w:before="60"/>
        <w:ind w:left="454" w:right="454"/>
        <w:jc w:val="both"/>
        <w:rPr>
          <w:rFonts w:ascii="Arial" w:hAnsi="Arial" w:cs="Arial"/>
          <w:sz w:val="20"/>
          <w:szCs w:val="20"/>
        </w:rPr>
      </w:pPr>
      <w:r>
        <w:rPr>
          <w:rFonts w:ascii="Arial" w:hAnsi="Arial" w:cs="Arial"/>
          <w:sz w:val="20"/>
          <w:szCs w:val="20"/>
        </w:rPr>
        <w:t xml:space="preserve">[47] </w:t>
      </w:r>
      <w:r w:rsidRPr="007F6791">
        <w:rPr>
          <w:rFonts w:ascii="Arial" w:hAnsi="Arial" w:cs="Arial"/>
          <w:sz w:val="20"/>
          <w:szCs w:val="20"/>
        </w:rPr>
        <w:t>The existence of the fair hearing right being uncontroversial, the critical question is: ‘What does the duty to act fairly require in the circumstances of the particular case?’</w:t>
      </w:r>
      <w:r>
        <w:rPr>
          <w:rFonts w:ascii="Arial" w:hAnsi="Arial" w:cs="Arial"/>
          <w:sz w:val="20"/>
          <w:szCs w:val="20"/>
        </w:rPr>
        <w:t xml:space="preserve">  See </w:t>
      </w:r>
      <w:r w:rsidRPr="00B2600C">
        <w:rPr>
          <w:rFonts w:ascii="Arial" w:hAnsi="Arial" w:cs="Arial"/>
          <w:i/>
          <w:iCs/>
          <w:sz w:val="20"/>
          <w:szCs w:val="20"/>
        </w:rPr>
        <w:t>Kioa v West</w:t>
      </w:r>
      <w:r>
        <w:rPr>
          <w:rFonts w:ascii="Arial" w:hAnsi="Arial" w:cs="Arial"/>
          <w:sz w:val="20"/>
          <w:szCs w:val="20"/>
        </w:rPr>
        <w:t xml:space="preserve"> (1985) 159 CLR 550, 585.  </w:t>
      </w:r>
      <w:r w:rsidRPr="007F6791">
        <w:rPr>
          <w:rFonts w:ascii="Arial" w:hAnsi="Arial" w:cs="Arial"/>
          <w:sz w:val="20"/>
          <w:szCs w:val="20"/>
        </w:rPr>
        <w:t>Natural justice is ‘fair play in action’</w:t>
      </w:r>
      <w:r>
        <w:rPr>
          <w:rFonts w:ascii="Arial" w:hAnsi="Arial" w:cs="Arial"/>
          <w:sz w:val="20"/>
          <w:szCs w:val="20"/>
        </w:rPr>
        <w:t xml:space="preserve">: </w:t>
      </w:r>
      <w:r w:rsidRPr="00B2600C">
        <w:rPr>
          <w:rFonts w:ascii="Arial" w:hAnsi="Arial" w:cs="Arial"/>
          <w:i/>
          <w:iCs/>
          <w:sz w:val="20"/>
          <w:szCs w:val="20"/>
        </w:rPr>
        <w:t>Salemi v Minister for Immigration &amp; Ethnic Affairs (Cth) [No 2]</w:t>
      </w:r>
      <w:r>
        <w:rPr>
          <w:rFonts w:ascii="Arial" w:hAnsi="Arial" w:cs="Arial"/>
          <w:sz w:val="20"/>
          <w:szCs w:val="20"/>
        </w:rPr>
        <w:t xml:space="preserve"> (1977) 137 CLRT 396, 445.  As Gleeson CJ said in Lam (2003) 214 CLR 1, 14 [38]: </w:t>
      </w:r>
    </w:p>
    <w:p w14:paraId="6511E1F0" w14:textId="0E785357" w:rsidR="00B2600C" w:rsidRPr="00B2600C" w:rsidRDefault="00B2600C" w:rsidP="00B2600C">
      <w:pPr>
        <w:spacing w:before="60"/>
        <w:ind w:left="907" w:right="907"/>
        <w:jc w:val="both"/>
        <w:rPr>
          <w:rFonts w:ascii="Arial" w:hAnsi="Arial" w:cs="Arial"/>
          <w:sz w:val="18"/>
          <w:szCs w:val="18"/>
        </w:rPr>
      </w:pPr>
      <w:r w:rsidRPr="00B2600C">
        <w:rPr>
          <w:rFonts w:ascii="Arial" w:hAnsi="Arial" w:cs="Arial"/>
          <w:sz w:val="18"/>
          <w:szCs w:val="18"/>
        </w:rPr>
        <w:t>‘Fairness is not an abstract concept. It is essentially practical. Whether one talks in terms of procedural fairness or natural justice, the concern of the law is to avoid practical injustice.’</w:t>
      </w:r>
    </w:p>
    <w:p w14:paraId="160AAE10" w14:textId="0811CB26" w:rsidR="00B2600C" w:rsidRDefault="00B2600C" w:rsidP="00B2600C">
      <w:pPr>
        <w:spacing w:before="60"/>
        <w:ind w:left="454" w:right="454"/>
        <w:jc w:val="both"/>
        <w:rPr>
          <w:rFonts w:ascii="Arial" w:hAnsi="Arial" w:cs="Arial"/>
          <w:sz w:val="20"/>
          <w:szCs w:val="20"/>
        </w:rPr>
      </w:pPr>
      <w:r>
        <w:rPr>
          <w:rFonts w:ascii="Arial" w:hAnsi="Arial" w:cs="Arial"/>
          <w:sz w:val="20"/>
          <w:szCs w:val="20"/>
        </w:rPr>
        <w:t xml:space="preserve">[48] </w:t>
      </w:r>
      <w:r w:rsidRPr="007F6791">
        <w:rPr>
          <w:rFonts w:ascii="Arial" w:hAnsi="Arial" w:cs="Arial"/>
          <w:sz w:val="20"/>
          <w:szCs w:val="20"/>
        </w:rPr>
        <w:t>It is an essential requirement of a fair hearing that each party be given a ‘reasonable opportunity’ of presenting its case, whether in writing, or orally, or both</w:t>
      </w:r>
      <w:r w:rsidR="00CE0081">
        <w:rPr>
          <w:rFonts w:ascii="Arial" w:hAnsi="Arial" w:cs="Arial"/>
          <w:sz w:val="20"/>
          <w:szCs w:val="20"/>
        </w:rPr>
        <w:t xml:space="preserve">: </w:t>
      </w:r>
      <w:r w:rsidR="00CE0081" w:rsidRPr="00CE0081">
        <w:rPr>
          <w:rFonts w:ascii="Arial" w:hAnsi="Arial" w:cs="Arial"/>
          <w:i/>
          <w:iCs/>
          <w:sz w:val="20"/>
          <w:szCs w:val="20"/>
        </w:rPr>
        <w:t xml:space="preserve">Russell v Duke of Norfolk </w:t>
      </w:r>
      <w:r w:rsidR="00CE0081" w:rsidRPr="007F6791">
        <w:rPr>
          <w:rFonts w:ascii="Arial" w:hAnsi="Arial" w:cs="Arial"/>
          <w:sz w:val="20"/>
          <w:szCs w:val="20"/>
        </w:rPr>
        <w:t xml:space="preserve">(1949) 1 All ER 109, 118; </w:t>
      </w:r>
      <w:r w:rsidR="00CE0081" w:rsidRPr="00CE0081">
        <w:rPr>
          <w:rFonts w:ascii="Arial" w:hAnsi="Arial" w:cs="Arial"/>
          <w:i/>
          <w:iCs/>
          <w:sz w:val="20"/>
          <w:szCs w:val="20"/>
        </w:rPr>
        <w:t>Minister for Immigration and Border Protection v WZARH</w:t>
      </w:r>
      <w:r w:rsidR="00CE0081" w:rsidRPr="007F6791">
        <w:rPr>
          <w:rFonts w:ascii="Arial" w:hAnsi="Arial" w:cs="Arial"/>
          <w:sz w:val="20"/>
          <w:szCs w:val="20"/>
        </w:rPr>
        <w:t xml:space="preserve"> (2015) 256 CLR 326, 341 [55]; </w:t>
      </w:r>
      <w:r w:rsidR="00CE0081" w:rsidRPr="00CE0081">
        <w:rPr>
          <w:rFonts w:ascii="Arial" w:hAnsi="Arial" w:cs="Arial"/>
          <w:i/>
          <w:iCs/>
          <w:sz w:val="20"/>
          <w:szCs w:val="20"/>
        </w:rPr>
        <w:t>Shrestha v Migration Review Tribunal</w:t>
      </w:r>
      <w:r w:rsidR="00CE0081" w:rsidRPr="007F6791">
        <w:rPr>
          <w:rFonts w:ascii="Arial" w:hAnsi="Arial" w:cs="Arial"/>
          <w:sz w:val="20"/>
          <w:szCs w:val="20"/>
        </w:rPr>
        <w:t xml:space="preserve"> (2015) 229 FCR 301, 308-9 [38]–[41]</w:t>
      </w:r>
      <w:r w:rsidRPr="007F6791">
        <w:rPr>
          <w:rFonts w:ascii="Arial" w:hAnsi="Arial" w:cs="Arial"/>
          <w:sz w:val="20"/>
          <w:szCs w:val="20"/>
        </w:rPr>
        <w:t xml:space="preserve">. This will ordinarily include being informed of the case to be advanced by the opposing party and having an opportunity to </w:t>
      </w:r>
      <w:proofErr w:type="gramStart"/>
      <w:r w:rsidRPr="007F6791">
        <w:rPr>
          <w:rFonts w:ascii="Arial" w:hAnsi="Arial" w:cs="Arial"/>
          <w:sz w:val="20"/>
          <w:szCs w:val="20"/>
        </w:rPr>
        <w:t>respond</w:t>
      </w:r>
      <w:r>
        <w:rPr>
          <w:rFonts w:ascii="Arial" w:hAnsi="Arial" w:cs="Arial"/>
          <w:sz w:val="20"/>
          <w:szCs w:val="20"/>
        </w:rPr>
        <w:t>:</w:t>
      </w:r>
      <w:proofErr w:type="gramEnd"/>
      <w:r>
        <w:rPr>
          <w:rFonts w:ascii="Arial" w:hAnsi="Arial" w:cs="Arial"/>
          <w:sz w:val="20"/>
          <w:szCs w:val="20"/>
        </w:rPr>
        <w:t xml:space="preserve"> </w:t>
      </w:r>
      <w:r w:rsidRPr="00B2600C">
        <w:rPr>
          <w:rFonts w:ascii="Arial" w:hAnsi="Arial" w:cs="Arial"/>
          <w:i/>
          <w:iCs/>
          <w:sz w:val="20"/>
          <w:szCs w:val="20"/>
        </w:rPr>
        <w:t>Condon v Pompano Pty Ltd</w:t>
      </w:r>
      <w:r>
        <w:rPr>
          <w:rFonts w:ascii="Arial" w:hAnsi="Arial" w:cs="Arial"/>
          <w:sz w:val="20"/>
          <w:szCs w:val="20"/>
        </w:rPr>
        <w:t xml:space="preserve"> at [157].</w:t>
      </w:r>
    </w:p>
    <w:p w14:paraId="13CB7581" w14:textId="3A1A320A" w:rsidR="00B2600C" w:rsidRDefault="00B2600C" w:rsidP="00B2600C">
      <w:pPr>
        <w:spacing w:before="60"/>
        <w:ind w:left="454" w:right="454"/>
        <w:jc w:val="both"/>
        <w:rPr>
          <w:rFonts w:ascii="Arial" w:hAnsi="Arial" w:cs="Arial"/>
          <w:sz w:val="20"/>
          <w:szCs w:val="20"/>
        </w:rPr>
      </w:pPr>
      <w:r>
        <w:rPr>
          <w:rFonts w:ascii="Arial" w:hAnsi="Arial" w:cs="Arial"/>
          <w:sz w:val="20"/>
          <w:szCs w:val="20"/>
        </w:rPr>
        <w:t xml:space="preserve">[49] </w:t>
      </w:r>
      <w:r w:rsidRPr="007F6791">
        <w:rPr>
          <w:rFonts w:ascii="Arial" w:hAnsi="Arial" w:cs="Arial"/>
          <w:sz w:val="20"/>
          <w:szCs w:val="20"/>
        </w:rPr>
        <w:t>Axiomatically, what is ‘reasonable’ for this purpose will depend on the circumstances of the case</w:t>
      </w:r>
      <w:r w:rsidR="00CE0081">
        <w:rPr>
          <w:rFonts w:ascii="Arial" w:hAnsi="Arial" w:cs="Arial"/>
          <w:sz w:val="20"/>
          <w:szCs w:val="20"/>
        </w:rPr>
        <w:t xml:space="preserve">: </w:t>
      </w:r>
      <w:r w:rsidR="00CE0081" w:rsidRPr="00CE0081">
        <w:rPr>
          <w:rFonts w:ascii="Arial" w:hAnsi="Arial" w:cs="Arial"/>
          <w:i/>
          <w:iCs/>
          <w:sz w:val="20"/>
          <w:szCs w:val="20"/>
        </w:rPr>
        <w:t>Russell</w:t>
      </w:r>
      <w:r w:rsidR="00CE0081">
        <w:rPr>
          <w:rFonts w:ascii="Arial" w:hAnsi="Arial" w:cs="Arial"/>
          <w:sz w:val="20"/>
          <w:szCs w:val="20"/>
        </w:rPr>
        <w:t xml:space="preserve"> (1949) 1 All ER 109, 118; </w:t>
      </w:r>
      <w:r w:rsidR="00CE0081" w:rsidRPr="00CE0081">
        <w:rPr>
          <w:rFonts w:ascii="Arial" w:hAnsi="Arial" w:cs="Arial"/>
          <w:i/>
          <w:iCs/>
          <w:sz w:val="20"/>
          <w:szCs w:val="20"/>
        </w:rPr>
        <w:t>National Companies and Securities Commission v News Corporation Ltd</w:t>
      </w:r>
      <w:r w:rsidR="00CE0081">
        <w:rPr>
          <w:rFonts w:ascii="Arial" w:hAnsi="Arial" w:cs="Arial"/>
          <w:sz w:val="20"/>
          <w:szCs w:val="20"/>
        </w:rPr>
        <w:t xml:space="preserve"> (1984) 156 CLR 296, 311-2, 319-20; </w:t>
      </w:r>
      <w:r w:rsidR="00CE0081" w:rsidRPr="00CE0081">
        <w:rPr>
          <w:rFonts w:ascii="Arial" w:hAnsi="Arial" w:cs="Arial"/>
          <w:i/>
          <w:iCs/>
          <w:sz w:val="20"/>
          <w:szCs w:val="20"/>
        </w:rPr>
        <w:t>Condon v Pompano Pty Ltd</w:t>
      </w:r>
      <w:r w:rsidR="00CE0081">
        <w:rPr>
          <w:rFonts w:ascii="Arial" w:hAnsi="Arial" w:cs="Arial"/>
          <w:sz w:val="20"/>
          <w:szCs w:val="20"/>
        </w:rPr>
        <w:t xml:space="preserve"> at [156]</w:t>
      </w:r>
      <w:r w:rsidRPr="007F6791">
        <w:rPr>
          <w:rFonts w:ascii="Arial" w:hAnsi="Arial" w:cs="Arial"/>
          <w:sz w:val="20"/>
          <w:szCs w:val="20"/>
        </w:rPr>
        <w:t xml:space="preserve">. </w:t>
      </w:r>
      <w:r w:rsidR="00CE0081">
        <w:rPr>
          <w:rFonts w:ascii="Arial" w:hAnsi="Arial" w:cs="Arial"/>
          <w:sz w:val="20"/>
          <w:szCs w:val="20"/>
        </w:rPr>
        <w:t xml:space="preserve"> </w:t>
      </w:r>
      <w:r w:rsidRPr="007F6791">
        <w:rPr>
          <w:rFonts w:ascii="Arial" w:hAnsi="Arial" w:cs="Arial"/>
          <w:sz w:val="20"/>
          <w:szCs w:val="20"/>
        </w:rPr>
        <w:t>Matters to be taken into account in determining the practical content of fairness in the particular case will include</w:t>
      </w:r>
      <w:r>
        <w:rPr>
          <w:rFonts w:ascii="Arial" w:hAnsi="Arial" w:cs="Arial"/>
          <w:sz w:val="20"/>
          <w:szCs w:val="20"/>
        </w:rPr>
        <w:t>:</w:t>
      </w:r>
    </w:p>
    <w:p w14:paraId="347549C4" w14:textId="0D8DF41F" w:rsidR="00B2600C" w:rsidRDefault="00B2600C" w:rsidP="00631A8B">
      <w:pPr>
        <w:ind w:left="811" w:right="454" w:hanging="357"/>
        <w:jc w:val="both"/>
        <w:rPr>
          <w:rFonts w:ascii="Arial" w:hAnsi="Arial" w:cs="Arial"/>
          <w:sz w:val="20"/>
          <w:szCs w:val="20"/>
        </w:rPr>
      </w:pPr>
      <w:r w:rsidRPr="007F6791">
        <w:rPr>
          <w:rFonts w:ascii="Arial" w:hAnsi="Arial" w:cs="Arial"/>
          <w:sz w:val="20"/>
          <w:szCs w:val="20"/>
        </w:rPr>
        <w:sym w:font="Symbol" w:char="F0B7"/>
      </w:r>
      <w:r>
        <w:rPr>
          <w:rFonts w:ascii="Arial" w:hAnsi="Arial" w:cs="Arial"/>
          <w:sz w:val="20"/>
          <w:szCs w:val="20"/>
        </w:rPr>
        <w:tab/>
      </w:r>
      <w:r w:rsidRPr="007F6791">
        <w:rPr>
          <w:rFonts w:ascii="Arial" w:hAnsi="Arial" w:cs="Arial"/>
          <w:sz w:val="20"/>
          <w:szCs w:val="20"/>
        </w:rPr>
        <w:t>the nature of the decision to be made;</w:t>
      </w:r>
    </w:p>
    <w:p w14:paraId="19DB0D60" w14:textId="4C8EF772" w:rsidR="00B2600C" w:rsidRDefault="00631A8B" w:rsidP="00631A8B">
      <w:pPr>
        <w:pStyle w:val="ListParagraph"/>
        <w:numPr>
          <w:ilvl w:val="0"/>
          <w:numId w:val="115"/>
        </w:numPr>
        <w:ind w:right="454"/>
        <w:jc w:val="both"/>
        <w:rPr>
          <w:rFonts w:ascii="Arial" w:hAnsi="Arial" w:cs="Arial"/>
          <w:sz w:val="20"/>
        </w:rPr>
      </w:pPr>
      <w:r w:rsidRPr="00631A8B">
        <w:rPr>
          <w:rFonts w:ascii="Arial" w:hAnsi="Arial" w:cs="Arial"/>
          <w:sz w:val="20"/>
        </w:rPr>
        <w:t>the nature and complexity of the issues in dispute;</w:t>
      </w:r>
    </w:p>
    <w:p w14:paraId="23B7B20C" w14:textId="72257D73" w:rsidR="00631A8B" w:rsidRDefault="00631A8B" w:rsidP="00631A8B">
      <w:pPr>
        <w:pStyle w:val="ListParagraph"/>
        <w:numPr>
          <w:ilvl w:val="0"/>
          <w:numId w:val="115"/>
        </w:numPr>
        <w:ind w:right="454"/>
        <w:jc w:val="both"/>
        <w:rPr>
          <w:rFonts w:ascii="Arial" w:hAnsi="Arial" w:cs="Arial"/>
          <w:sz w:val="20"/>
        </w:rPr>
      </w:pPr>
      <w:r w:rsidRPr="007F6791">
        <w:rPr>
          <w:rFonts w:ascii="Arial" w:hAnsi="Arial" w:cs="Arial"/>
          <w:sz w:val="20"/>
        </w:rPr>
        <w:t>the nature and complexity of the submissions which the party wishes to advance;</w:t>
      </w:r>
    </w:p>
    <w:p w14:paraId="234A88A9" w14:textId="5F0DFEC0" w:rsidR="00631A8B" w:rsidRDefault="00631A8B" w:rsidP="00631A8B">
      <w:pPr>
        <w:pStyle w:val="ListParagraph"/>
        <w:numPr>
          <w:ilvl w:val="0"/>
          <w:numId w:val="115"/>
        </w:numPr>
        <w:ind w:right="454"/>
        <w:jc w:val="both"/>
        <w:rPr>
          <w:rFonts w:ascii="Arial" w:hAnsi="Arial" w:cs="Arial"/>
          <w:sz w:val="20"/>
        </w:rPr>
      </w:pPr>
      <w:r w:rsidRPr="007F6791">
        <w:rPr>
          <w:rFonts w:ascii="Arial" w:hAnsi="Arial" w:cs="Arial"/>
          <w:sz w:val="20"/>
        </w:rPr>
        <w:t>the significance to that party of an adverse decision (‘what is at stake’</w:t>
      </w:r>
      <w:r w:rsidR="00CE0081">
        <w:rPr>
          <w:rFonts w:ascii="Arial" w:hAnsi="Arial" w:cs="Arial"/>
          <w:sz w:val="20"/>
        </w:rPr>
        <w:t xml:space="preserve">: </w:t>
      </w:r>
      <w:r w:rsidR="00CE0081" w:rsidRPr="00CE0081">
        <w:rPr>
          <w:rFonts w:ascii="Arial" w:hAnsi="Arial" w:cs="Arial"/>
          <w:i/>
          <w:iCs/>
          <w:sz w:val="20"/>
        </w:rPr>
        <w:t>Shrestha</w:t>
      </w:r>
      <w:r w:rsidR="00CE0081">
        <w:rPr>
          <w:rFonts w:ascii="Arial" w:hAnsi="Arial" w:cs="Arial"/>
          <w:sz w:val="20"/>
        </w:rPr>
        <w:t xml:space="preserve"> at [49] &amp; [54]</w:t>
      </w:r>
      <w:r w:rsidRPr="007F6791">
        <w:rPr>
          <w:rFonts w:ascii="Arial" w:hAnsi="Arial" w:cs="Arial"/>
          <w:sz w:val="20"/>
        </w:rPr>
        <w:t>);</w:t>
      </w:r>
      <w:r>
        <w:rPr>
          <w:rFonts w:ascii="Arial" w:hAnsi="Arial" w:cs="Arial"/>
          <w:sz w:val="20"/>
        </w:rPr>
        <w:t xml:space="preserve"> and</w:t>
      </w:r>
    </w:p>
    <w:p w14:paraId="0A529D48" w14:textId="574EA83B" w:rsidR="00631A8B" w:rsidRPr="00631A8B" w:rsidRDefault="00631A8B" w:rsidP="00631A8B">
      <w:pPr>
        <w:pStyle w:val="ListParagraph"/>
        <w:numPr>
          <w:ilvl w:val="0"/>
          <w:numId w:val="115"/>
        </w:numPr>
        <w:ind w:right="454"/>
        <w:jc w:val="both"/>
        <w:rPr>
          <w:rFonts w:ascii="Arial" w:hAnsi="Arial" w:cs="Arial"/>
          <w:sz w:val="20"/>
        </w:rPr>
      </w:pPr>
      <w:r w:rsidRPr="007F6791">
        <w:rPr>
          <w:rFonts w:ascii="Arial" w:hAnsi="Arial" w:cs="Arial"/>
          <w:sz w:val="20"/>
        </w:rPr>
        <w:t>the competing demands on the time and resources of the court or tribunal</w:t>
      </w:r>
      <w:r w:rsidR="00CE0081">
        <w:rPr>
          <w:rFonts w:ascii="Arial" w:hAnsi="Arial" w:cs="Arial"/>
          <w:sz w:val="20"/>
        </w:rPr>
        <w:t xml:space="preserve">: </w:t>
      </w:r>
      <w:r w:rsidR="00342362" w:rsidRPr="00342362">
        <w:rPr>
          <w:rFonts w:ascii="Arial" w:hAnsi="Arial" w:cs="Arial"/>
          <w:i/>
          <w:iCs/>
          <w:sz w:val="20"/>
        </w:rPr>
        <w:t>AMF 15 v Minister for Immigration and Border Protection</w:t>
      </w:r>
      <w:r w:rsidR="00342362">
        <w:rPr>
          <w:rFonts w:ascii="Arial" w:hAnsi="Arial" w:cs="Arial"/>
          <w:sz w:val="20"/>
        </w:rPr>
        <w:t xml:space="preserve"> (2015) 241 FCR 30, 48 [44](e); </w:t>
      </w:r>
      <w:r w:rsidR="00342362" w:rsidRPr="00342362">
        <w:rPr>
          <w:rFonts w:ascii="Arial" w:hAnsi="Arial" w:cs="Arial"/>
          <w:i/>
          <w:iCs/>
          <w:sz w:val="20"/>
        </w:rPr>
        <w:t>Shrestha</w:t>
      </w:r>
      <w:r w:rsidR="00342362">
        <w:rPr>
          <w:rFonts w:ascii="Arial" w:hAnsi="Arial" w:cs="Arial"/>
          <w:sz w:val="20"/>
        </w:rPr>
        <w:t xml:space="preserve"> at [53]-[54]; </w:t>
      </w:r>
      <w:r w:rsidR="00342362" w:rsidRPr="00342362">
        <w:rPr>
          <w:rFonts w:ascii="Arial" w:hAnsi="Arial" w:cs="Arial"/>
          <w:i/>
          <w:iCs/>
          <w:sz w:val="20"/>
        </w:rPr>
        <w:t>Barratt v Howard</w:t>
      </w:r>
      <w:r w:rsidR="00342362">
        <w:rPr>
          <w:rFonts w:ascii="Arial" w:hAnsi="Arial" w:cs="Arial"/>
          <w:sz w:val="20"/>
        </w:rPr>
        <w:t xml:space="preserve"> (2000) 96 FCR 428, 444-5 [50]-[54]; </w:t>
      </w:r>
      <w:r w:rsidR="00342362" w:rsidRPr="00342362">
        <w:rPr>
          <w:rFonts w:ascii="Arial" w:hAnsi="Arial" w:cs="Arial"/>
          <w:i/>
          <w:iCs/>
          <w:sz w:val="20"/>
        </w:rPr>
        <w:t>Chen v Minister for Immigration and Ethnic Affairs</w:t>
      </w:r>
      <w:r w:rsidR="00342362">
        <w:rPr>
          <w:rFonts w:ascii="Arial" w:hAnsi="Arial" w:cs="Arial"/>
          <w:sz w:val="20"/>
        </w:rPr>
        <w:t xml:space="preserve"> (1984) 48 FCR 591, 600-602.”</w:t>
      </w:r>
      <w:r w:rsidRPr="007F6791">
        <w:rPr>
          <w:rFonts w:ascii="Arial" w:hAnsi="Arial" w:cs="Arial"/>
          <w:sz w:val="20"/>
        </w:rPr>
        <w:t>.</w:t>
      </w:r>
    </w:p>
    <w:p w14:paraId="2DD61A4E" w14:textId="77777777" w:rsidR="00B2600C" w:rsidRDefault="00B2600C" w:rsidP="00B843BA">
      <w:pPr>
        <w:jc w:val="both"/>
        <w:rPr>
          <w:rFonts w:ascii="Arial" w:hAnsi="Arial" w:cs="Arial"/>
          <w:sz w:val="20"/>
        </w:rPr>
      </w:pPr>
    </w:p>
    <w:p w14:paraId="01F7107D" w14:textId="264B3251" w:rsidR="00B843BA" w:rsidRDefault="00B843BA" w:rsidP="00B843BA">
      <w:pPr>
        <w:jc w:val="both"/>
        <w:rPr>
          <w:rFonts w:ascii="Arial" w:hAnsi="Arial" w:cs="Arial"/>
          <w:sz w:val="20"/>
        </w:rPr>
      </w:pPr>
      <w:r>
        <w:rPr>
          <w:rFonts w:ascii="Arial" w:hAnsi="Arial" w:cs="Arial"/>
          <w:sz w:val="20"/>
        </w:rPr>
        <w:t xml:space="preserve">In </w:t>
      </w:r>
      <w:r w:rsidRPr="0050217E">
        <w:rPr>
          <w:rFonts w:ascii="Arial" w:hAnsi="Arial" w:cs="Arial"/>
          <w:i/>
          <w:sz w:val="20"/>
        </w:rPr>
        <w:t>S</w:t>
      </w:r>
      <w:r>
        <w:rPr>
          <w:rFonts w:ascii="Arial" w:hAnsi="Arial" w:cs="Arial"/>
          <w:i/>
          <w:sz w:val="20"/>
        </w:rPr>
        <w:t>ZBEL</w:t>
      </w:r>
      <w:r w:rsidRPr="0050217E">
        <w:rPr>
          <w:rFonts w:ascii="Arial" w:hAnsi="Arial" w:cs="Arial"/>
          <w:i/>
          <w:sz w:val="20"/>
        </w:rPr>
        <w:t xml:space="preserve"> v Minister for Immigration and Multicultural Affairs </w:t>
      </w:r>
      <w:r>
        <w:rPr>
          <w:rFonts w:ascii="Arial" w:hAnsi="Arial" w:cs="Arial"/>
          <w:sz w:val="20"/>
        </w:rPr>
        <w:t xml:space="preserve">[2006] HCA 63 the High Court of Australia held that the Tribunal which had refused to grant the Iranian appellant a protection visa had not accorded the appellant procedural fairness in that it had not given him a sufficient opportunity to give evidence, or make submissions, about what turned out to be two of three determinative issues arising in relation to the decision under review.  In its joint judgment at [32] the High Court referred with approval to the following dicta of Northrop, Miles &amp; French JJ in the Federal Court of Australia in </w:t>
      </w:r>
      <w:r w:rsidRPr="004258E8">
        <w:rPr>
          <w:rFonts w:ascii="Arial" w:hAnsi="Arial" w:cs="Arial"/>
          <w:i/>
          <w:iCs/>
          <w:sz w:val="20"/>
        </w:rPr>
        <w:t>Commissioner for Australian Capital Territory Revenue v Alphaone Pty Ltd</w:t>
      </w:r>
      <w:r w:rsidRPr="004258E8">
        <w:rPr>
          <w:rFonts w:ascii="Arial" w:hAnsi="Arial" w:cs="Arial"/>
          <w:sz w:val="20"/>
        </w:rPr>
        <w:t xml:space="preserve"> </w:t>
      </w:r>
      <w:r>
        <w:rPr>
          <w:rFonts w:ascii="Arial" w:hAnsi="Arial" w:cs="Arial"/>
          <w:sz w:val="20"/>
        </w:rPr>
        <w:t>(1994) 49 FCR 576 at 591-592:</w:t>
      </w:r>
    </w:p>
    <w:p w14:paraId="7E402D33" w14:textId="77777777" w:rsidR="00B843BA" w:rsidRDefault="00B843BA" w:rsidP="00CE0081">
      <w:pPr>
        <w:spacing w:before="60"/>
        <w:ind w:left="454" w:right="454"/>
        <w:jc w:val="both"/>
        <w:rPr>
          <w:rFonts w:ascii="Arial" w:hAnsi="Arial" w:cs="Arial"/>
          <w:sz w:val="20"/>
        </w:rPr>
      </w:pPr>
      <w:r>
        <w:rPr>
          <w:rFonts w:ascii="Arial" w:hAnsi="Arial" w:cs="Arial"/>
          <w:sz w:val="20"/>
        </w:rPr>
        <w:t>“</w:t>
      </w:r>
      <w:r w:rsidRPr="004258E8">
        <w:rPr>
          <w:rFonts w:ascii="Arial" w:hAnsi="Arial" w:cs="Arial"/>
          <w:sz w:val="20"/>
        </w:rPr>
        <w:t>It is a fundamental principle that where the rules of procedural fairness apply to a decision</w:t>
      </w:r>
      <w:r w:rsidRPr="004258E8">
        <w:rPr>
          <w:rFonts w:ascii="Arial" w:hAnsi="Arial" w:cs="Arial"/>
          <w:sz w:val="20"/>
        </w:rPr>
        <w:noBreakHyphen/>
        <w:t xml:space="preserve">making process, the party liable to be directly affected by the decision is to be given the opportunity of being heard.  </w:t>
      </w:r>
      <w:r w:rsidRPr="004258E8">
        <w:rPr>
          <w:rFonts w:ascii="Arial" w:hAnsi="Arial" w:cs="Arial"/>
          <w:i/>
          <w:iCs/>
          <w:sz w:val="20"/>
        </w:rPr>
        <w:t>That would ordinarily require the party affected to be given the opportunity of ascertaining the relevant issues</w:t>
      </w:r>
      <w:r w:rsidRPr="004258E8">
        <w:rPr>
          <w:rFonts w:ascii="Arial" w:hAnsi="Arial" w:cs="Arial"/>
          <w:sz w:val="20"/>
        </w:rPr>
        <w:t xml:space="preserve"> and to be informed of the nature and content of adverse material." </w:t>
      </w:r>
      <w:r>
        <w:rPr>
          <w:rFonts w:ascii="Arial" w:hAnsi="Arial" w:cs="Arial"/>
          <w:sz w:val="20"/>
        </w:rPr>
        <w:t>[</w:t>
      </w:r>
      <w:r w:rsidRPr="004258E8">
        <w:rPr>
          <w:rFonts w:ascii="Arial" w:hAnsi="Arial" w:cs="Arial"/>
          <w:sz w:val="20"/>
        </w:rPr>
        <w:t>emphasis added</w:t>
      </w:r>
      <w:r>
        <w:rPr>
          <w:rFonts w:ascii="Arial" w:hAnsi="Arial" w:cs="Arial"/>
          <w:sz w:val="20"/>
        </w:rPr>
        <w:t>]</w:t>
      </w:r>
    </w:p>
    <w:p w14:paraId="7F12FAA8" w14:textId="77777777" w:rsidR="006C7EDC" w:rsidRDefault="006C7EDC" w:rsidP="00B843BA">
      <w:pPr>
        <w:jc w:val="both"/>
        <w:rPr>
          <w:rFonts w:ascii="Arial" w:hAnsi="Arial" w:cs="Arial"/>
          <w:iCs/>
          <w:sz w:val="20"/>
        </w:rPr>
      </w:pPr>
    </w:p>
    <w:p w14:paraId="1626FCFD" w14:textId="77777777" w:rsidR="00B843BA" w:rsidRDefault="00B843BA" w:rsidP="00B843BA">
      <w:pPr>
        <w:jc w:val="both"/>
        <w:rPr>
          <w:rFonts w:ascii="Arial" w:hAnsi="Arial" w:cs="Arial"/>
          <w:iCs/>
          <w:sz w:val="20"/>
        </w:rPr>
      </w:pPr>
      <w:r>
        <w:rPr>
          <w:rFonts w:ascii="Arial" w:hAnsi="Arial" w:cs="Arial"/>
          <w:iCs/>
          <w:sz w:val="20"/>
        </w:rPr>
        <w:t xml:space="preserve">However at [48] the High Court also approved the limitation enunciated by Lord Diplock in </w:t>
      </w:r>
      <w:r w:rsidRPr="006B184A">
        <w:rPr>
          <w:rFonts w:ascii="Arial" w:hAnsi="Arial" w:cs="Arial"/>
          <w:i/>
          <w:iCs/>
          <w:sz w:val="20"/>
        </w:rPr>
        <w:t>F</w:t>
      </w:r>
      <w:r>
        <w:rPr>
          <w:rFonts w:ascii="Arial" w:hAnsi="Arial" w:cs="Arial"/>
          <w:i/>
          <w:iCs/>
          <w:sz w:val="20"/>
        </w:rPr>
        <w:t> </w:t>
      </w:r>
      <w:r w:rsidRPr="006B184A">
        <w:rPr>
          <w:rFonts w:ascii="Arial" w:hAnsi="Arial" w:cs="Arial"/>
          <w:i/>
          <w:iCs/>
          <w:sz w:val="20"/>
        </w:rPr>
        <w:t>Hoffmann</w:t>
      </w:r>
      <w:r w:rsidRPr="006B184A">
        <w:rPr>
          <w:rFonts w:ascii="Arial" w:hAnsi="Arial" w:cs="Arial"/>
          <w:i/>
          <w:iCs/>
          <w:sz w:val="20"/>
        </w:rPr>
        <w:noBreakHyphen/>
        <w:t>La Roche &amp; Co AG v Secretary of State for Trade and Industry</w:t>
      </w:r>
      <w:r>
        <w:rPr>
          <w:rFonts w:ascii="Arial" w:hAnsi="Arial" w:cs="Arial"/>
          <w:i/>
          <w:iCs/>
          <w:sz w:val="20"/>
        </w:rPr>
        <w:t xml:space="preserve"> </w:t>
      </w:r>
      <w:r w:rsidRPr="00490B0F">
        <w:rPr>
          <w:rFonts w:ascii="Arial" w:hAnsi="Arial" w:cs="Arial"/>
          <w:sz w:val="20"/>
        </w:rPr>
        <w:t>[1975] AC 295 at 369</w:t>
      </w:r>
      <w:r>
        <w:rPr>
          <w:rFonts w:ascii="Arial" w:hAnsi="Arial" w:cs="Arial"/>
          <w:i/>
          <w:iCs/>
          <w:sz w:val="20"/>
        </w:rPr>
        <w:t>:</w:t>
      </w:r>
    </w:p>
    <w:p w14:paraId="70C4366C" w14:textId="77777777" w:rsidR="00B843BA" w:rsidRDefault="00B843BA" w:rsidP="005F231E">
      <w:pPr>
        <w:spacing w:before="60"/>
        <w:ind w:left="454" w:right="454"/>
        <w:jc w:val="both"/>
        <w:rPr>
          <w:rFonts w:ascii="Arial" w:hAnsi="Arial" w:cs="Arial"/>
          <w:sz w:val="20"/>
        </w:rPr>
      </w:pPr>
      <w:r>
        <w:rPr>
          <w:rFonts w:ascii="Arial" w:hAnsi="Arial" w:cs="Arial"/>
          <w:iCs/>
          <w:sz w:val="20"/>
        </w:rPr>
        <w:t>“T</w:t>
      </w:r>
      <w:r w:rsidRPr="006B184A">
        <w:rPr>
          <w:rFonts w:ascii="Arial" w:hAnsi="Arial" w:cs="Arial"/>
          <w:sz w:val="20"/>
        </w:rPr>
        <w:t>he rules of natural justice do not require the decision maker to disclose what he is minded to decide so that the parties may have a further opportunity of criticising his mental processes before he reaches a final decision.  If this were a rule of natural justice only the most talkative of judges would satisfy it and trial by jury would have to be abolished."</w:t>
      </w:r>
    </w:p>
    <w:p w14:paraId="04945E20" w14:textId="77777777" w:rsidR="007F6791" w:rsidRDefault="007F6791" w:rsidP="00B843BA">
      <w:pPr>
        <w:jc w:val="both"/>
        <w:rPr>
          <w:rFonts w:ascii="Arial" w:hAnsi="Arial" w:cs="Arial"/>
          <w:sz w:val="20"/>
        </w:rPr>
      </w:pPr>
      <w:bookmarkStart w:id="102" w:name="_Hlk74894731"/>
    </w:p>
    <w:p w14:paraId="17EB20EF" w14:textId="32BB089E" w:rsidR="002F2123" w:rsidRDefault="002F2123" w:rsidP="00B843BA">
      <w:pPr>
        <w:jc w:val="both"/>
        <w:rPr>
          <w:rFonts w:ascii="Arial" w:hAnsi="Arial" w:cs="Arial"/>
          <w:sz w:val="20"/>
        </w:rPr>
      </w:pPr>
      <w:bookmarkStart w:id="103" w:name="_Hlk74895060"/>
      <w:r>
        <w:rPr>
          <w:rFonts w:ascii="Arial" w:hAnsi="Arial" w:cs="Arial"/>
          <w:sz w:val="20"/>
        </w:rPr>
        <w:lastRenderedPageBreak/>
        <w:t xml:space="preserve">In </w:t>
      </w:r>
      <w:r w:rsidR="00490B0F" w:rsidRPr="00490B0F">
        <w:rPr>
          <w:rFonts w:ascii="Arial" w:hAnsi="Arial" w:cs="Arial"/>
          <w:i/>
          <w:iCs/>
          <w:sz w:val="20"/>
        </w:rPr>
        <w:t>Chief Commissioner of Police v IHF &amp; Police Registration and Services Board</w:t>
      </w:r>
      <w:r w:rsidR="00490B0F">
        <w:rPr>
          <w:rFonts w:ascii="Arial" w:hAnsi="Arial" w:cs="Arial"/>
          <w:sz w:val="20"/>
        </w:rPr>
        <w:t xml:space="preserve"> [2021] VSCA 147 the Court of Appeal (Kyrou, Emerton &amp; Kennedy JJA) said at [113]-[115]:</w:t>
      </w:r>
    </w:p>
    <w:p w14:paraId="4432E9D9" w14:textId="5FBCD5EF" w:rsidR="00AC42A5" w:rsidRPr="006B1579" w:rsidRDefault="00AC42A5" w:rsidP="00D63D43">
      <w:pPr>
        <w:spacing w:before="80"/>
        <w:ind w:left="454" w:right="454"/>
        <w:jc w:val="both"/>
        <w:rPr>
          <w:rFonts w:ascii="Arial" w:hAnsi="Arial" w:cs="Arial"/>
          <w:sz w:val="20"/>
          <w:szCs w:val="20"/>
        </w:rPr>
      </w:pPr>
      <w:r>
        <w:rPr>
          <w:rFonts w:ascii="Arial" w:hAnsi="Arial" w:cs="Arial"/>
          <w:sz w:val="20"/>
        </w:rPr>
        <w:t xml:space="preserve">[113] </w:t>
      </w:r>
      <w:r w:rsidR="00490B0F">
        <w:rPr>
          <w:rFonts w:ascii="Arial" w:hAnsi="Arial" w:cs="Arial"/>
          <w:sz w:val="20"/>
        </w:rPr>
        <w:t>“</w:t>
      </w:r>
      <w:r w:rsidR="00490B0F" w:rsidRPr="002F2123">
        <w:rPr>
          <w:rFonts w:ascii="Arial" w:hAnsi="Arial" w:cs="Arial"/>
          <w:sz w:val="20"/>
          <w:szCs w:val="20"/>
        </w:rPr>
        <w:t>Ordinarily, procedural fairness does not require a decision-maker to disclose their provisional views or proposed conclusions</w:t>
      </w:r>
      <w:r w:rsidR="00490B0F">
        <w:rPr>
          <w:rFonts w:ascii="Arial" w:hAnsi="Arial" w:cs="Arial"/>
          <w:sz w:val="20"/>
          <w:szCs w:val="20"/>
        </w:rPr>
        <w:t>: s</w:t>
      </w:r>
      <w:r w:rsidR="00490B0F" w:rsidRPr="002F2123">
        <w:rPr>
          <w:rFonts w:ascii="Arial" w:hAnsi="Arial" w:cs="Arial"/>
          <w:sz w:val="20"/>
          <w:szCs w:val="20"/>
        </w:rPr>
        <w:t xml:space="preserve">ee, eg, </w:t>
      </w:r>
      <w:r w:rsidR="00490B0F" w:rsidRPr="00490B0F">
        <w:rPr>
          <w:rFonts w:ascii="Arial" w:hAnsi="Arial" w:cs="Arial"/>
          <w:i/>
          <w:iCs/>
          <w:sz w:val="20"/>
          <w:szCs w:val="20"/>
        </w:rPr>
        <w:t>Ansett Transport Industries Ltd v Minister for Aviation</w:t>
      </w:r>
      <w:r w:rsidR="00490B0F" w:rsidRPr="002F2123">
        <w:rPr>
          <w:rFonts w:ascii="Arial" w:hAnsi="Arial" w:cs="Arial"/>
          <w:sz w:val="20"/>
          <w:szCs w:val="20"/>
        </w:rPr>
        <w:t xml:space="preserve"> (1987) 72 ALR 469, 499 (Lockhart J).</w:t>
      </w:r>
      <w:r w:rsidR="00490B0F">
        <w:rPr>
          <w:rFonts w:ascii="Arial" w:hAnsi="Arial" w:cs="Arial"/>
          <w:sz w:val="20"/>
          <w:szCs w:val="20"/>
        </w:rPr>
        <w:t xml:space="preserve">  </w:t>
      </w:r>
      <w:r w:rsidR="00490B0F" w:rsidRPr="002F2123">
        <w:rPr>
          <w:rFonts w:ascii="Arial" w:hAnsi="Arial" w:cs="Arial"/>
          <w:sz w:val="20"/>
          <w:szCs w:val="20"/>
        </w:rPr>
        <w:t>Nor is there a general obligation for a decision-maker to disclose their mental process, in the sense of providing a ‘running commentary’ that gives the applicant ‘forewarning of all possible reasons for failure’</w:t>
      </w:r>
      <w:r w:rsidR="00490B0F">
        <w:rPr>
          <w:rFonts w:ascii="Arial" w:hAnsi="Arial" w:cs="Arial"/>
          <w:sz w:val="20"/>
          <w:szCs w:val="20"/>
        </w:rPr>
        <w:t xml:space="preserve">: </w:t>
      </w:r>
      <w:r w:rsidR="00490B0F" w:rsidRPr="00490B0F">
        <w:rPr>
          <w:rFonts w:ascii="Arial" w:hAnsi="Arial" w:cs="Arial"/>
          <w:i/>
          <w:iCs/>
          <w:sz w:val="20"/>
          <w:szCs w:val="20"/>
        </w:rPr>
        <w:t>Re Minister for Immigration and Multicultural Affairs; Ex parte Miah</w:t>
      </w:r>
      <w:r w:rsidR="00490B0F" w:rsidRPr="002F2123">
        <w:rPr>
          <w:rFonts w:ascii="Arial" w:hAnsi="Arial" w:cs="Arial"/>
          <w:sz w:val="20"/>
          <w:szCs w:val="20"/>
        </w:rPr>
        <w:t xml:space="preserve"> (2001) 206 CLR 57, 69 [31]; [2001] HCA 22 (Gleeson CJ and Hayne J)</w:t>
      </w:r>
      <w:r w:rsidR="00490B0F">
        <w:rPr>
          <w:rFonts w:ascii="Arial" w:hAnsi="Arial" w:cs="Arial"/>
          <w:sz w:val="20"/>
          <w:szCs w:val="20"/>
        </w:rPr>
        <w:t>; s</w:t>
      </w:r>
      <w:r w:rsidR="00490B0F" w:rsidRPr="002F2123">
        <w:rPr>
          <w:rFonts w:ascii="Arial" w:hAnsi="Arial" w:cs="Arial"/>
          <w:sz w:val="20"/>
          <w:szCs w:val="20"/>
        </w:rPr>
        <w:t xml:space="preserve">ee also </w:t>
      </w:r>
      <w:r w:rsidR="00490B0F" w:rsidRPr="00490B0F">
        <w:rPr>
          <w:rFonts w:ascii="Arial" w:hAnsi="Arial" w:cs="Arial"/>
          <w:i/>
          <w:iCs/>
          <w:sz w:val="20"/>
          <w:szCs w:val="20"/>
        </w:rPr>
        <w:t>F Hoffman-La Roche and Co AG v Secretary of State for Trade and Industry</w:t>
      </w:r>
      <w:r w:rsidR="00490B0F" w:rsidRPr="002F2123">
        <w:rPr>
          <w:rFonts w:ascii="Arial" w:hAnsi="Arial" w:cs="Arial"/>
          <w:sz w:val="20"/>
          <w:szCs w:val="20"/>
        </w:rPr>
        <w:t xml:space="preserve"> [1975] AC 295</w:t>
      </w:r>
      <w:r w:rsidR="00490B0F">
        <w:rPr>
          <w:rFonts w:ascii="Arial" w:hAnsi="Arial" w:cs="Arial"/>
          <w:sz w:val="20"/>
          <w:szCs w:val="20"/>
        </w:rPr>
        <w:t xml:space="preserve"> </w:t>
      </w:r>
      <w:r w:rsidR="00490B0F" w:rsidRPr="002F2123">
        <w:rPr>
          <w:rFonts w:ascii="Arial" w:hAnsi="Arial" w:cs="Arial"/>
          <w:sz w:val="20"/>
          <w:szCs w:val="20"/>
        </w:rPr>
        <w:t>at 369.</w:t>
      </w:r>
      <w:r w:rsidR="00490B0F">
        <w:rPr>
          <w:rFonts w:ascii="Arial" w:hAnsi="Arial" w:cs="Arial"/>
          <w:sz w:val="20"/>
          <w:szCs w:val="20"/>
        </w:rPr>
        <w:t xml:space="preserve">  </w:t>
      </w:r>
      <w:r w:rsidR="00490B0F" w:rsidRPr="002F2123">
        <w:rPr>
          <w:rFonts w:ascii="Arial" w:hAnsi="Arial" w:cs="Arial"/>
          <w:sz w:val="20"/>
          <w:szCs w:val="20"/>
        </w:rPr>
        <w:t xml:space="preserve">To the contrary, adopting such a course ‘would be likely to </w:t>
      </w:r>
      <w:r w:rsidR="00490B0F">
        <w:rPr>
          <w:rFonts w:ascii="Arial" w:hAnsi="Arial" w:cs="Arial"/>
          <w:sz w:val="20"/>
          <w:szCs w:val="20"/>
        </w:rPr>
        <w:t xml:space="preserve">  </w:t>
      </w:r>
      <w:r w:rsidR="00490B0F" w:rsidRPr="002F2123">
        <w:rPr>
          <w:rFonts w:ascii="Arial" w:hAnsi="Arial" w:cs="Arial"/>
          <w:sz w:val="20"/>
          <w:szCs w:val="20"/>
        </w:rPr>
        <w:t>run a serious risk of conveying an impression of prejudgment’</w:t>
      </w:r>
      <w:r w:rsidR="00490B0F">
        <w:rPr>
          <w:rFonts w:ascii="Arial" w:hAnsi="Arial" w:cs="Arial"/>
          <w:sz w:val="20"/>
          <w:szCs w:val="20"/>
        </w:rPr>
        <w:t xml:space="preserve">: </w:t>
      </w:r>
      <w:r w:rsidR="00490B0F" w:rsidRPr="00490B0F">
        <w:rPr>
          <w:rFonts w:ascii="Arial" w:hAnsi="Arial" w:cs="Arial"/>
          <w:i/>
          <w:iCs/>
          <w:sz w:val="20"/>
          <w:szCs w:val="20"/>
        </w:rPr>
        <w:t>SZBEL v Minister for Immigration and Multicultural and Indigenous Affairs</w:t>
      </w:r>
      <w:r w:rsidR="00490B0F" w:rsidRPr="002F2123">
        <w:rPr>
          <w:rFonts w:ascii="Arial" w:hAnsi="Arial" w:cs="Arial"/>
          <w:sz w:val="20"/>
          <w:szCs w:val="20"/>
        </w:rPr>
        <w:t xml:space="preserve"> (2006) 228 CLR 152, 166 [48]; [2006] HCA 63 (Gleeson CJ, Kirby, Hayne, Callinan and Heydon JJ)</w:t>
      </w:r>
      <w:r w:rsidR="00490B0F">
        <w:rPr>
          <w:rFonts w:ascii="Arial" w:hAnsi="Arial" w:cs="Arial"/>
          <w:sz w:val="20"/>
          <w:szCs w:val="20"/>
        </w:rPr>
        <w:t xml:space="preserve">.  However, in some cases procedural fairness may require that a decision-maker disclose, for instance, a particular path of reasoning that the parties could not reasonably have anticipated </w:t>
      </w:r>
      <w:r w:rsidR="00490B0F" w:rsidRPr="002F2123">
        <w:rPr>
          <w:rFonts w:ascii="Arial" w:hAnsi="Arial" w:cs="Arial"/>
          <w:sz w:val="20"/>
          <w:szCs w:val="20"/>
        </w:rPr>
        <w:t>or forewarn of a proposed conclusion that is likely to take the parties by surprise</w:t>
      </w:r>
      <w:r w:rsidR="00490B0F">
        <w:rPr>
          <w:rFonts w:ascii="Arial" w:hAnsi="Arial" w:cs="Arial"/>
          <w:sz w:val="20"/>
          <w:szCs w:val="20"/>
        </w:rPr>
        <w:t xml:space="preserve">: </w:t>
      </w:r>
      <w:r w:rsidR="00490B0F" w:rsidRPr="00AC42A5">
        <w:rPr>
          <w:rFonts w:ascii="Arial" w:hAnsi="Arial" w:cs="Arial"/>
          <w:i/>
          <w:iCs/>
          <w:sz w:val="20"/>
          <w:szCs w:val="20"/>
        </w:rPr>
        <w:t xml:space="preserve">Habib v Director-General of Security </w:t>
      </w:r>
      <w:r w:rsidR="00490B0F" w:rsidRPr="00490B0F">
        <w:rPr>
          <w:rFonts w:ascii="Arial" w:hAnsi="Arial" w:cs="Arial"/>
          <w:sz w:val="20"/>
          <w:szCs w:val="20"/>
        </w:rPr>
        <w:t>(2009) 175 FCR 411; [2009] FCAFC 48.</w:t>
      </w:r>
      <w:r>
        <w:rPr>
          <w:rFonts w:ascii="Arial" w:hAnsi="Arial" w:cs="Arial"/>
          <w:sz w:val="20"/>
          <w:szCs w:val="20"/>
        </w:rPr>
        <w:t xml:space="preserve">  </w:t>
      </w:r>
      <w:r w:rsidR="002F2123" w:rsidRPr="002F2123">
        <w:rPr>
          <w:rFonts w:ascii="Arial" w:hAnsi="Arial" w:cs="Arial"/>
          <w:sz w:val="20"/>
          <w:szCs w:val="20"/>
        </w:rPr>
        <w:t>Similarly, procedural fairness may require disclosure that a decision-maker proposes to reject an issue that the parties had agreed on</w:t>
      </w:r>
      <w:r>
        <w:rPr>
          <w:rFonts w:ascii="Arial" w:hAnsi="Arial" w:cs="Arial"/>
          <w:sz w:val="20"/>
          <w:szCs w:val="20"/>
        </w:rPr>
        <w:t xml:space="preserve"> </w:t>
      </w:r>
      <w:r w:rsidRPr="00AC42A5">
        <w:rPr>
          <w:rFonts w:ascii="Arial" w:hAnsi="Arial" w:cs="Arial"/>
          <w:sz w:val="20"/>
          <w:szCs w:val="20"/>
        </w:rPr>
        <w:t>(</w:t>
      </w:r>
      <w:r w:rsidRPr="00AC42A5">
        <w:rPr>
          <w:rFonts w:ascii="Arial" w:hAnsi="Arial" w:cs="Arial"/>
          <w:i/>
          <w:iCs/>
          <w:sz w:val="20"/>
          <w:szCs w:val="20"/>
        </w:rPr>
        <w:t>Stead v State Government Insurance Commission</w:t>
      </w:r>
      <w:r w:rsidRPr="00AC42A5">
        <w:rPr>
          <w:rFonts w:ascii="Arial" w:hAnsi="Arial" w:cs="Arial"/>
          <w:sz w:val="20"/>
          <w:szCs w:val="20"/>
        </w:rPr>
        <w:t xml:space="preserve"> (1986) 161 CLR 141; [1986] HCA 54) or if the decision-maker changes their view on an argument that they had earlier indicated would be accepted or rejected (see eg, </w:t>
      </w:r>
      <w:r w:rsidRPr="00AC42A5">
        <w:rPr>
          <w:rFonts w:ascii="Arial" w:hAnsi="Arial" w:cs="Arial"/>
          <w:i/>
          <w:iCs/>
          <w:sz w:val="20"/>
          <w:szCs w:val="20"/>
        </w:rPr>
        <w:t xml:space="preserve">Pantorno v </w:t>
      </w:r>
      <w:r w:rsidRPr="006B1579">
        <w:rPr>
          <w:rFonts w:ascii="Arial" w:hAnsi="Arial" w:cs="Arial"/>
          <w:i/>
          <w:iCs/>
          <w:sz w:val="20"/>
          <w:szCs w:val="20"/>
        </w:rPr>
        <w:t>The Queen</w:t>
      </w:r>
      <w:r w:rsidRPr="006B1579">
        <w:rPr>
          <w:rFonts w:ascii="Arial" w:hAnsi="Arial" w:cs="Arial"/>
          <w:sz w:val="20"/>
          <w:szCs w:val="20"/>
        </w:rPr>
        <w:t xml:space="preserve"> (1989) 166 CLR 466; [1989] HCA 18).  </w:t>
      </w:r>
      <w:r w:rsidR="002F2123" w:rsidRPr="006B1579">
        <w:rPr>
          <w:rFonts w:ascii="Arial" w:hAnsi="Arial" w:cs="Arial"/>
          <w:sz w:val="20"/>
          <w:szCs w:val="20"/>
        </w:rPr>
        <w:t>Ultimately, the question is whether procedural fairness — assessed by reference to the particular statutory scheme</w:t>
      </w:r>
      <w:r w:rsidR="006B1579" w:rsidRPr="006B1579">
        <w:rPr>
          <w:rFonts w:ascii="Arial" w:hAnsi="Arial" w:cs="Arial"/>
          <w:sz w:val="20"/>
          <w:szCs w:val="20"/>
        </w:rPr>
        <w:t xml:space="preserve"> (</w:t>
      </w:r>
      <w:r w:rsidR="006B1579" w:rsidRPr="006B1579">
        <w:rPr>
          <w:rFonts w:ascii="Arial" w:hAnsi="Arial" w:cs="Arial"/>
          <w:i/>
          <w:iCs/>
          <w:sz w:val="20"/>
          <w:szCs w:val="20"/>
        </w:rPr>
        <w:t>SZBEL</w:t>
      </w:r>
      <w:r w:rsidR="006B1579" w:rsidRPr="006B1579">
        <w:rPr>
          <w:rFonts w:ascii="Arial" w:hAnsi="Arial" w:cs="Arial"/>
          <w:sz w:val="20"/>
          <w:szCs w:val="20"/>
        </w:rPr>
        <w:t xml:space="preserve"> (2006) 228 CLR 152, 162; [2006] HCA 63)</w:t>
      </w:r>
      <w:r w:rsidR="002F2123" w:rsidRPr="006B1579">
        <w:rPr>
          <w:rFonts w:ascii="Arial" w:hAnsi="Arial" w:cs="Arial"/>
          <w:sz w:val="20"/>
          <w:szCs w:val="20"/>
        </w:rPr>
        <w:t xml:space="preserve"> — requires disclosure in order for the person</w:t>
      </w:r>
      <w:r w:rsidR="002F2123" w:rsidRPr="002F2123">
        <w:rPr>
          <w:rFonts w:ascii="Arial" w:hAnsi="Arial" w:cs="Arial"/>
          <w:sz w:val="20"/>
          <w:szCs w:val="20"/>
        </w:rPr>
        <w:t xml:space="preserve"> </w:t>
      </w:r>
      <w:r w:rsidR="002F2123" w:rsidRPr="006B1579">
        <w:rPr>
          <w:rFonts w:ascii="Arial" w:hAnsi="Arial" w:cs="Arial"/>
          <w:sz w:val="20"/>
          <w:szCs w:val="20"/>
        </w:rPr>
        <w:t>affected by a decision to have the opportunity to be heard</w:t>
      </w:r>
      <w:r w:rsidR="006B1579" w:rsidRPr="006B1579">
        <w:rPr>
          <w:rFonts w:ascii="Arial" w:hAnsi="Arial" w:cs="Arial"/>
          <w:sz w:val="20"/>
          <w:szCs w:val="20"/>
        </w:rPr>
        <w:t xml:space="preserve"> (see, eg, </w:t>
      </w:r>
      <w:r w:rsidR="006B1579" w:rsidRPr="006B1579">
        <w:rPr>
          <w:rFonts w:ascii="Arial" w:hAnsi="Arial" w:cs="Arial"/>
          <w:i/>
          <w:iCs/>
          <w:sz w:val="20"/>
          <w:szCs w:val="20"/>
        </w:rPr>
        <w:t>Somaghi v Minister for Immigration, Local Government and Ethnic Affairs</w:t>
      </w:r>
      <w:r w:rsidR="006B1579" w:rsidRPr="006B1579">
        <w:rPr>
          <w:rFonts w:ascii="Arial" w:hAnsi="Arial" w:cs="Arial"/>
          <w:sz w:val="20"/>
          <w:szCs w:val="20"/>
        </w:rPr>
        <w:t xml:space="preserve"> (1991) 31 FCR 100, and in particular at 100–4 (Keely J)).</w:t>
      </w:r>
    </w:p>
    <w:p w14:paraId="5B24CBC2" w14:textId="07AEEA96" w:rsidR="00AC42A5" w:rsidRDefault="00AC42A5" w:rsidP="00AC42A5">
      <w:pPr>
        <w:spacing w:before="80"/>
        <w:ind w:left="454" w:right="454"/>
        <w:jc w:val="both"/>
        <w:rPr>
          <w:rFonts w:ascii="Arial" w:hAnsi="Arial" w:cs="Arial"/>
          <w:sz w:val="20"/>
          <w:szCs w:val="20"/>
        </w:rPr>
      </w:pPr>
      <w:r>
        <w:rPr>
          <w:rFonts w:ascii="Arial" w:hAnsi="Arial" w:cs="Arial"/>
          <w:sz w:val="20"/>
          <w:szCs w:val="20"/>
        </w:rPr>
        <w:t xml:space="preserve">[114] </w:t>
      </w:r>
      <w:r w:rsidR="002F2123" w:rsidRPr="002F2123">
        <w:rPr>
          <w:rFonts w:ascii="Arial" w:hAnsi="Arial" w:cs="Arial"/>
          <w:sz w:val="20"/>
          <w:szCs w:val="20"/>
        </w:rPr>
        <w:t xml:space="preserve">The principles were set out by the Full Federal Court </w:t>
      </w:r>
      <w:r w:rsidR="00953CFB">
        <w:rPr>
          <w:rFonts w:ascii="Arial" w:hAnsi="Arial" w:cs="Arial"/>
          <w:sz w:val="20"/>
          <w:szCs w:val="20"/>
        </w:rPr>
        <w:t xml:space="preserve">(Northrop, Miles &amp; French JJ) </w:t>
      </w:r>
      <w:r w:rsidR="002F2123" w:rsidRPr="002F2123">
        <w:rPr>
          <w:rFonts w:ascii="Arial" w:hAnsi="Arial" w:cs="Arial"/>
          <w:sz w:val="20"/>
          <w:szCs w:val="20"/>
        </w:rPr>
        <w:t xml:space="preserve">in </w:t>
      </w:r>
      <w:r w:rsidR="002F2123" w:rsidRPr="00AC42A5">
        <w:rPr>
          <w:rFonts w:ascii="Arial" w:hAnsi="Arial" w:cs="Arial"/>
          <w:i/>
          <w:iCs/>
          <w:sz w:val="20"/>
          <w:szCs w:val="20"/>
        </w:rPr>
        <w:t>Australian Capital Territory Revenue v Alphaone Pty Ltd</w:t>
      </w:r>
      <w:r w:rsidR="006B1579">
        <w:rPr>
          <w:rFonts w:ascii="Arial" w:hAnsi="Arial" w:cs="Arial"/>
          <w:sz w:val="20"/>
          <w:szCs w:val="20"/>
        </w:rPr>
        <w:t xml:space="preserve"> </w:t>
      </w:r>
      <w:r w:rsidR="00953CFB" w:rsidRPr="00953CFB">
        <w:rPr>
          <w:rFonts w:ascii="Arial" w:hAnsi="Arial" w:cs="Arial"/>
          <w:sz w:val="20"/>
          <w:szCs w:val="20"/>
        </w:rPr>
        <w:t xml:space="preserve">(1994) 49 FCR 576; [1994] FCA 1074 </w:t>
      </w:r>
      <w:r w:rsidR="00953CFB">
        <w:rPr>
          <w:rFonts w:ascii="Arial" w:hAnsi="Arial" w:cs="Arial"/>
          <w:sz w:val="20"/>
          <w:szCs w:val="20"/>
        </w:rPr>
        <w:t>at 591-2:</w:t>
      </w:r>
    </w:p>
    <w:p w14:paraId="6442EFE2" w14:textId="1C45FDA4" w:rsidR="00AC42A5" w:rsidRPr="00C97A31" w:rsidRDefault="00AC42A5" w:rsidP="00230740">
      <w:pPr>
        <w:spacing w:before="80"/>
        <w:ind w:left="907" w:right="907"/>
        <w:jc w:val="both"/>
        <w:rPr>
          <w:rFonts w:ascii="Arial" w:hAnsi="Arial" w:cs="Arial"/>
          <w:sz w:val="18"/>
          <w:szCs w:val="18"/>
        </w:rPr>
      </w:pPr>
      <w:r w:rsidRPr="00C97A31">
        <w:rPr>
          <w:rFonts w:ascii="Arial" w:hAnsi="Arial" w:cs="Arial"/>
          <w:sz w:val="18"/>
          <w:szCs w:val="18"/>
        </w:rPr>
        <w:t>‘Where the exercise of a statutory power attracts the requirement for procedural fairness, a person likely to be affected by the decision is entitled to put information and submissions to the decision maker in support of an outcome that supports his or her interests. That entitlement extends to the right to rebut or qualify by further information, and comment by way of submission, upon adverse material from other sources which is put before the decision maker. It also extends to require the decision maker to identify to the person affected any issue critical to the decision which is not apparent from its nature or the terms of the statute under which it is made. The decision maker is required to advise of any adverse conclusion which has been arrived at which would not obviously be open on the known material. Subject to these qualifications however, a decision maker is not obliged to expose his or her mental processes or provisional views to comment before making the decision in question.’</w:t>
      </w:r>
    </w:p>
    <w:p w14:paraId="638F94F4" w14:textId="50CA2510" w:rsidR="00AC42A5" w:rsidRDefault="00AC42A5" w:rsidP="00AC42A5">
      <w:pPr>
        <w:spacing w:before="80"/>
        <w:ind w:left="454" w:right="454"/>
        <w:jc w:val="both"/>
        <w:rPr>
          <w:rFonts w:ascii="Arial" w:hAnsi="Arial" w:cs="Arial"/>
          <w:sz w:val="20"/>
          <w:szCs w:val="20"/>
        </w:rPr>
      </w:pPr>
      <w:r>
        <w:rPr>
          <w:rFonts w:ascii="Arial" w:hAnsi="Arial" w:cs="Arial"/>
          <w:sz w:val="20"/>
          <w:szCs w:val="20"/>
        </w:rPr>
        <w:t xml:space="preserve">[115] </w:t>
      </w:r>
      <w:r w:rsidRPr="002F2123">
        <w:rPr>
          <w:rFonts w:ascii="Arial" w:hAnsi="Arial" w:cs="Arial"/>
          <w:sz w:val="20"/>
          <w:szCs w:val="20"/>
        </w:rPr>
        <w:t>As this passage suggests, the opportunity to be heard would ordinarily require a party affected by a decision to have the opportunity to ascertain and address the issues relevant for determination (that is, issues that are ‘in the ring’</w:t>
      </w:r>
      <w:r w:rsidR="00953CFB">
        <w:rPr>
          <w:rFonts w:ascii="Arial" w:hAnsi="Arial" w:cs="Arial"/>
          <w:sz w:val="20"/>
          <w:szCs w:val="20"/>
        </w:rPr>
        <w:t xml:space="preserve">: </w:t>
      </w:r>
      <w:r w:rsidR="00953CFB" w:rsidRPr="00953CFB">
        <w:rPr>
          <w:rFonts w:ascii="Arial" w:hAnsi="Arial" w:cs="Arial"/>
          <w:i/>
          <w:iCs/>
          <w:sz w:val="20"/>
          <w:szCs w:val="20"/>
        </w:rPr>
        <w:t>Victims Compensation Fund Corporation v Nguyen</w:t>
      </w:r>
      <w:r w:rsidR="00953CFB" w:rsidRPr="00953CFB">
        <w:rPr>
          <w:rFonts w:ascii="Arial" w:hAnsi="Arial" w:cs="Arial"/>
          <w:sz w:val="20"/>
          <w:szCs w:val="20"/>
        </w:rPr>
        <w:t xml:space="preserve"> (2001) 52 NSWLR 213, 220–1 [44]; [2001] NSWCA 264 (Mason P, Handley and Powell JJA).</w:t>
      </w:r>
      <w:r w:rsidR="006B1579">
        <w:rPr>
          <w:rFonts w:ascii="Arial" w:hAnsi="Arial" w:cs="Arial"/>
          <w:sz w:val="20"/>
          <w:szCs w:val="20"/>
        </w:rPr>
        <w:t>”</w:t>
      </w:r>
    </w:p>
    <w:p w14:paraId="2BD73BEE" w14:textId="33572A6B" w:rsidR="002F2123" w:rsidRDefault="002F2123" w:rsidP="00B843BA">
      <w:pPr>
        <w:jc w:val="both"/>
        <w:rPr>
          <w:rFonts w:ascii="Arial" w:hAnsi="Arial" w:cs="Arial"/>
          <w:sz w:val="20"/>
        </w:rPr>
      </w:pPr>
    </w:p>
    <w:p w14:paraId="099B8BAF" w14:textId="6F5541BD" w:rsidR="008F16B4" w:rsidRDefault="00DE6298" w:rsidP="00B843BA">
      <w:pPr>
        <w:jc w:val="both"/>
        <w:rPr>
          <w:rFonts w:ascii="Arial" w:hAnsi="Arial" w:cs="Arial"/>
          <w:sz w:val="20"/>
        </w:rPr>
      </w:pPr>
      <w:r>
        <w:rPr>
          <w:rFonts w:ascii="Arial" w:hAnsi="Arial" w:cs="Arial"/>
          <w:sz w:val="20"/>
        </w:rPr>
        <w:t xml:space="preserve">In </w:t>
      </w:r>
      <w:r w:rsidRPr="00DE6298">
        <w:rPr>
          <w:rFonts w:ascii="Arial" w:hAnsi="Arial" w:cs="Arial"/>
          <w:i/>
          <w:iCs/>
          <w:sz w:val="20"/>
        </w:rPr>
        <w:t>Moran v The King</w:t>
      </w:r>
      <w:r>
        <w:rPr>
          <w:rFonts w:ascii="Arial" w:hAnsi="Arial" w:cs="Arial"/>
          <w:sz w:val="20"/>
        </w:rPr>
        <w:t xml:space="preserve"> [2024] VSCA 13 the Court of Appeal held that the trial judge – sentencing the applicant on charges including reckless conduct endangering persons – had been in breach of procedural fairness by obtaining and relying on </w:t>
      </w:r>
      <w:r w:rsidR="008C01F3">
        <w:rPr>
          <w:rFonts w:ascii="Arial" w:hAnsi="Arial" w:cs="Arial"/>
          <w:sz w:val="20"/>
        </w:rPr>
        <w:t xml:space="preserve">the sentencing reasons of another judge in relation to one of the applicant’s prior criminal matters without giving the applicant an opportunity to be heard in relation to those reasons.  </w:t>
      </w:r>
      <w:r w:rsidR="008F16B4">
        <w:rPr>
          <w:rFonts w:ascii="Arial" w:hAnsi="Arial" w:cs="Arial"/>
          <w:sz w:val="20"/>
        </w:rPr>
        <w:t>See esp. at [48]-[51] where Walker &amp; Boyce JJA said:</w:t>
      </w:r>
    </w:p>
    <w:p w14:paraId="7AC24E93" w14:textId="77777777" w:rsidR="008F16B4" w:rsidRDefault="008F16B4" w:rsidP="008F16B4">
      <w:pPr>
        <w:spacing w:before="80"/>
        <w:ind w:left="454" w:right="454"/>
        <w:jc w:val="both"/>
        <w:rPr>
          <w:rFonts w:ascii="Arial" w:hAnsi="Arial" w:cs="Arial"/>
          <w:sz w:val="20"/>
          <w:szCs w:val="20"/>
        </w:rPr>
      </w:pPr>
      <w:r>
        <w:rPr>
          <w:rFonts w:ascii="Arial" w:hAnsi="Arial" w:cs="Arial"/>
          <w:sz w:val="20"/>
          <w:szCs w:val="20"/>
        </w:rPr>
        <w:t>[48] “</w:t>
      </w:r>
      <w:r w:rsidRPr="008F16B4">
        <w:rPr>
          <w:rFonts w:ascii="Arial" w:hAnsi="Arial" w:cs="Arial"/>
          <w:sz w:val="20"/>
          <w:szCs w:val="20"/>
        </w:rPr>
        <w:t>The applicant submitted that the sentencing judge denied him procedural fairness by obtaining the Judge Gwynn reasons and relying on them in order to take an adverse view of the applicant’s prospects of rehabilitation without first having notified the applicant’s legal representatives of his Honour’s intention to do so.</w:t>
      </w:r>
    </w:p>
    <w:p w14:paraId="72D9FF2B" w14:textId="538880DF" w:rsidR="008F16B4" w:rsidRPr="008F16B4" w:rsidRDefault="008F16B4" w:rsidP="008F16B4">
      <w:pPr>
        <w:spacing w:before="80"/>
        <w:ind w:left="454" w:right="454"/>
        <w:jc w:val="both"/>
        <w:rPr>
          <w:rFonts w:ascii="Arial" w:hAnsi="Arial" w:cs="Arial"/>
          <w:sz w:val="20"/>
          <w:szCs w:val="20"/>
        </w:rPr>
      </w:pPr>
      <w:r>
        <w:rPr>
          <w:rFonts w:ascii="Arial" w:hAnsi="Arial" w:cs="Arial"/>
          <w:sz w:val="20"/>
          <w:szCs w:val="20"/>
        </w:rPr>
        <w:t>[</w:t>
      </w:r>
      <w:r w:rsidRPr="008F16B4">
        <w:rPr>
          <w:rFonts w:ascii="Arial" w:hAnsi="Arial" w:cs="Arial"/>
          <w:sz w:val="20"/>
          <w:szCs w:val="20"/>
        </w:rPr>
        <w:t>49</w:t>
      </w:r>
      <w:r>
        <w:rPr>
          <w:rFonts w:ascii="Arial" w:hAnsi="Arial" w:cs="Arial"/>
          <w:sz w:val="20"/>
          <w:szCs w:val="20"/>
        </w:rPr>
        <w:t>]</w:t>
      </w:r>
      <w:r w:rsidRPr="008F16B4">
        <w:rPr>
          <w:rFonts w:ascii="Arial" w:hAnsi="Arial" w:cs="Arial"/>
          <w:sz w:val="20"/>
          <w:szCs w:val="20"/>
        </w:rPr>
        <w:t xml:space="preserve"> In support of this submission the applicant cited </w:t>
      </w:r>
      <w:r w:rsidRPr="008F16B4">
        <w:rPr>
          <w:rFonts w:ascii="Arial" w:hAnsi="Arial" w:cs="Arial"/>
          <w:i/>
          <w:iCs/>
          <w:sz w:val="20"/>
          <w:szCs w:val="20"/>
        </w:rPr>
        <w:t>Re Media Entertainment &amp; Arts Alliance; Ex parte Hoyts Corporation Pty Ltd</w:t>
      </w:r>
      <w:r w:rsidRPr="008F16B4">
        <w:rPr>
          <w:rFonts w:ascii="Arial" w:hAnsi="Arial" w:cs="Arial"/>
          <w:sz w:val="20"/>
          <w:szCs w:val="20"/>
        </w:rPr>
        <w:t xml:space="preserve"> (1994) 119 ALR 206, 210</w:t>
      </w:r>
      <w:r>
        <w:rPr>
          <w:rFonts w:ascii="Arial" w:hAnsi="Arial" w:cs="Arial"/>
          <w:sz w:val="20"/>
          <w:szCs w:val="20"/>
        </w:rPr>
        <w:t xml:space="preserve"> </w:t>
      </w:r>
      <w:r w:rsidRPr="008F16B4">
        <w:rPr>
          <w:rFonts w:ascii="Arial" w:hAnsi="Arial" w:cs="Arial"/>
          <w:sz w:val="20"/>
          <w:szCs w:val="20"/>
        </w:rPr>
        <w:t xml:space="preserve">where Mason CJ, Brennan, Deane, Dawson and Gaudron JJ observed that a judge’s decision must be made on the basis of the evidence and arguments in the case and not ‘on the basis of information which is independently acquired’. </w:t>
      </w:r>
      <w:r>
        <w:rPr>
          <w:rFonts w:ascii="Arial" w:hAnsi="Arial" w:cs="Arial"/>
          <w:sz w:val="20"/>
          <w:szCs w:val="20"/>
        </w:rPr>
        <w:t xml:space="preserve"> </w:t>
      </w:r>
      <w:r w:rsidRPr="008F16B4">
        <w:rPr>
          <w:rFonts w:ascii="Arial" w:hAnsi="Arial" w:cs="Arial"/>
          <w:sz w:val="20"/>
          <w:szCs w:val="20"/>
        </w:rPr>
        <w:t xml:space="preserve">The applicant also relied on this Court’s statement of principle in </w:t>
      </w:r>
      <w:r w:rsidRPr="008F16B4">
        <w:rPr>
          <w:rFonts w:ascii="Arial" w:hAnsi="Arial" w:cs="Arial"/>
          <w:i/>
          <w:iCs/>
          <w:sz w:val="20"/>
          <w:szCs w:val="20"/>
        </w:rPr>
        <w:lastRenderedPageBreak/>
        <w:t>SD v The Queen</w:t>
      </w:r>
      <w:r w:rsidRPr="008F16B4">
        <w:rPr>
          <w:rFonts w:ascii="Arial" w:hAnsi="Arial" w:cs="Arial"/>
          <w:sz w:val="20"/>
          <w:szCs w:val="20"/>
        </w:rPr>
        <w:t>, namely, that a court ‘is not entitled to take into account factual material not in evidence without notice to the parties’: (2013) 39 VR 487, 496 [37].</w:t>
      </w:r>
    </w:p>
    <w:p w14:paraId="3EF11C6D" w14:textId="77777777" w:rsidR="008F16B4" w:rsidRDefault="008F16B4" w:rsidP="008F16B4">
      <w:pPr>
        <w:spacing w:before="80"/>
        <w:ind w:left="454" w:right="454"/>
        <w:jc w:val="both"/>
        <w:rPr>
          <w:rFonts w:ascii="Arial" w:hAnsi="Arial" w:cs="Arial"/>
          <w:sz w:val="20"/>
          <w:szCs w:val="20"/>
        </w:rPr>
      </w:pPr>
      <w:r>
        <w:rPr>
          <w:rFonts w:ascii="Arial" w:hAnsi="Arial" w:cs="Arial"/>
          <w:sz w:val="20"/>
          <w:szCs w:val="20"/>
        </w:rPr>
        <w:t>[</w:t>
      </w:r>
      <w:r w:rsidRPr="008F16B4">
        <w:rPr>
          <w:rFonts w:ascii="Arial" w:hAnsi="Arial" w:cs="Arial"/>
          <w:sz w:val="20"/>
          <w:szCs w:val="20"/>
        </w:rPr>
        <w:t>50</w:t>
      </w:r>
      <w:r>
        <w:rPr>
          <w:rFonts w:ascii="Arial" w:hAnsi="Arial" w:cs="Arial"/>
          <w:sz w:val="20"/>
          <w:szCs w:val="20"/>
        </w:rPr>
        <w:t>]</w:t>
      </w:r>
      <w:r w:rsidRPr="008F16B4">
        <w:rPr>
          <w:rFonts w:ascii="Arial" w:hAnsi="Arial" w:cs="Arial"/>
          <w:sz w:val="20"/>
          <w:szCs w:val="20"/>
        </w:rPr>
        <w:t xml:space="preserve"> As noted above, the respondent conceded that there had been a breach of procedural fairness caused by the sentencing judge’s use of the Judge Gwynn reasons.</w:t>
      </w:r>
    </w:p>
    <w:p w14:paraId="57FFDF49" w14:textId="169DF5D3" w:rsidR="008F16B4" w:rsidRPr="008F16B4" w:rsidRDefault="008F16B4" w:rsidP="008F16B4">
      <w:pPr>
        <w:spacing w:before="80"/>
        <w:ind w:left="454" w:right="454"/>
        <w:jc w:val="both"/>
        <w:rPr>
          <w:rFonts w:ascii="Arial" w:hAnsi="Arial" w:cs="Arial"/>
          <w:sz w:val="16"/>
          <w:szCs w:val="20"/>
        </w:rPr>
      </w:pPr>
      <w:r w:rsidRPr="00D010E0">
        <w:rPr>
          <w:rFonts w:ascii="Arial" w:hAnsi="Arial" w:cs="Arial"/>
          <w:sz w:val="20"/>
          <w:szCs w:val="20"/>
        </w:rPr>
        <w:t xml:space="preserve">[51] We accept the applicant’s contention of error and the respondent’s concession in this regard concerning Ground 1(a) and (b). The concession is consistent with the decisions of this Court in </w:t>
      </w:r>
      <w:r w:rsidRPr="00D010E0">
        <w:rPr>
          <w:rFonts w:ascii="Arial" w:hAnsi="Arial" w:cs="Arial"/>
          <w:i/>
          <w:iCs/>
          <w:sz w:val="20"/>
          <w:szCs w:val="20"/>
        </w:rPr>
        <w:t>R v Ulla</w:t>
      </w:r>
      <w:r w:rsidR="00D010E0" w:rsidRPr="00D010E0">
        <w:rPr>
          <w:rFonts w:ascii="Arial" w:hAnsi="Arial" w:cs="Arial"/>
          <w:sz w:val="20"/>
          <w:szCs w:val="20"/>
        </w:rPr>
        <w:t xml:space="preserve"> [2004] VSCA 130</w:t>
      </w:r>
      <w:r w:rsidRPr="00D010E0">
        <w:rPr>
          <w:rFonts w:ascii="Arial" w:hAnsi="Arial" w:cs="Arial"/>
          <w:sz w:val="20"/>
          <w:szCs w:val="20"/>
        </w:rPr>
        <w:t xml:space="preserve"> and </w:t>
      </w:r>
      <w:r w:rsidRPr="00D010E0">
        <w:rPr>
          <w:rFonts w:ascii="Arial" w:hAnsi="Arial" w:cs="Arial"/>
          <w:i/>
          <w:iCs/>
          <w:sz w:val="20"/>
          <w:szCs w:val="20"/>
        </w:rPr>
        <w:t>R v Wise</w:t>
      </w:r>
      <w:r w:rsidR="00D010E0" w:rsidRPr="00D010E0">
        <w:rPr>
          <w:rFonts w:ascii="Arial" w:hAnsi="Arial" w:cs="Arial"/>
          <w:sz w:val="20"/>
          <w:szCs w:val="20"/>
        </w:rPr>
        <w:t xml:space="preserve"> (2000) 2 VR 287; [2000] VSCA 169</w:t>
      </w:r>
      <w:r w:rsidRPr="00D010E0">
        <w:rPr>
          <w:rFonts w:ascii="Arial" w:hAnsi="Arial" w:cs="Arial"/>
          <w:sz w:val="20"/>
          <w:szCs w:val="20"/>
        </w:rPr>
        <w:t xml:space="preserve">. Each was a case where procedural fairness was denied when a sentencing judge sentenced a person by reference to earlier sentencing reasons concerning that person, in circumstances where those reasons had not been brought to the attention of the sentenced </w:t>
      </w:r>
      <w:r w:rsidRPr="008F16B4">
        <w:rPr>
          <w:rFonts w:ascii="Arial" w:hAnsi="Arial" w:cs="Arial"/>
          <w:sz w:val="20"/>
          <w:szCs w:val="20"/>
        </w:rPr>
        <w:t>person’s legal representatives.</w:t>
      </w:r>
      <w:r>
        <w:rPr>
          <w:rFonts w:ascii="Arial" w:hAnsi="Arial" w:cs="Arial"/>
          <w:sz w:val="20"/>
          <w:szCs w:val="20"/>
        </w:rPr>
        <w:t>”</w:t>
      </w:r>
    </w:p>
    <w:p w14:paraId="73E3D633" w14:textId="2F4A7F3C" w:rsidR="00DE6298" w:rsidRDefault="008C01F3" w:rsidP="008F16B4">
      <w:pPr>
        <w:spacing w:before="60"/>
        <w:jc w:val="both"/>
        <w:rPr>
          <w:rFonts w:ascii="Arial" w:hAnsi="Arial" w:cs="Arial"/>
          <w:sz w:val="20"/>
        </w:rPr>
      </w:pPr>
      <w:r>
        <w:rPr>
          <w:rFonts w:ascii="Arial" w:hAnsi="Arial" w:cs="Arial"/>
          <w:sz w:val="20"/>
        </w:rPr>
        <w:t>The sentencing discretion being reopened, the Court of Appeal imposed a TES IMP 27m/18m in lieu of a TES IMP 31m/20m.</w:t>
      </w:r>
    </w:p>
    <w:p w14:paraId="317AEC0B" w14:textId="77777777" w:rsidR="00DE6298" w:rsidRDefault="00DE6298" w:rsidP="00B843BA">
      <w:pPr>
        <w:jc w:val="both"/>
        <w:rPr>
          <w:rFonts w:ascii="Arial" w:hAnsi="Arial" w:cs="Arial"/>
          <w:sz w:val="20"/>
        </w:rPr>
      </w:pPr>
    </w:p>
    <w:bookmarkEnd w:id="102"/>
    <w:bookmarkEnd w:id="103"/>
    <w:p w14:paraId="76201B94" w14:textId="77777777" w:rsidR="00CB7726" w:rsidRDefault="00CB7726" w:rsidP="00953CFB">
      <w:pPr>
        <w:jc w:val="both"/>
        <w:rPr>
          <w:rFonts w:ascii="Arial" w:hAnsi="Arial" w:cs="Arial"/>
          <w:sz w:val="20"/>
        </w:rPr>
      </w:pPr>
      <w:r>
        <w:rPr>
          <w:rFonts w:ascii="Arial" w:hAnsi="Arial" w:cs="Arial"/>
          <w:iCs/>
          <w:sz w:val="20"/>
        </w:rPr>
        <w:t xml:space="preserve">In </w:t>
      </w:r>
      <w:r w:rsidRPr="00CB7726">
        <w:rPr>
          <w:rFonts w:ascii="Arial" w:hAnsi="Arial" w:cs="Arial"/>
          <w:i/>
          <w:iCs/>
          <w:sz w:val="20"/>
        </w:rPr>
        <w:t>Mehmet Ucar v Nylex Industrial Products Pty Ltd</w:t>
      </w:r>
      <w:r>
        <w:rPr>
          <w:rFonts w:ascii="Arial" w:hAnsi="Arial" w:cs="Arial"/>
          <w:iCs/>
          <w:sz w:val="20"/>
        </w:rPr>
        <w:t xml:space="preserve"> </w:t>
      </w:r>
      <w:r w:rsidR="004A3510">
        <w:rPr>
          <w:rFonts w:ascii="Arial" w:hAnsi="Arial" w:cs="Arial"/>
          <w:iCs/>
          <w:sz w:val="20"/>
        </w:rPr>
        <w:t xml:space="preserve">(2007) 17 VR 492; </w:t>
      </w:r>
      <w:r>
        <w:rPr>
          <w:rFonts w:ascii="Arial" w:hAnsi="Arial" w:cs="Arial"/>
          <w:iCs/>
          <w:sz w:val="20"/>
        </w:rPr>
        <w:t xml:space="preserve">[2007] VSCA 181 the Court of Appeal, applying the principle in </w:t>
      </w:r>
      <w:r w:rsidRPr="00CB7726">
        <w:rPr>
          <w:rFonts w:ascii="Arial" w:hAnsi="Arial" w:cs="Arial"/>
          <w:i/>
          <w:iCs/>
          <w:sz w:val="20"/>
        </w:rPr>
        <w:t>Stead v State Government Insurance Commission</w:t>
      </w:r>
      <w:r>
        <w:rPr>
          <w:rFonts w:ascii="Arial" w:hAnsi="Arial" w:cs="Arial"/>
          <w:iCs/>
          <w:sz w:val="20"/>
        </w:rPr>
        <w:t xml:space="preserve"> (1986) 161 CLR 141, granted a new trial as a consequence of a trial judge’s reliance on his observations of the appellant’s movements in court behind counsel which he had not disclosed to counsel.</w:t>
      </w:r>
      <w:r w:rsidR="004A3510">
        <w:rPr>
          <w:rFonts w:ascii="Arial" w:hAnsi="Arial" w:cs="Arial"/>
          <w:sz w:val="20"/>
        </w:rPr>
        <w:t xml:space="preserve">  </w:t>
      </w:r>
      <w:r w:rsidR="00B35335">
        <w:rPr>
          <w:rFonts w:ascii="Arial" w:hAnsi="Arial" w:cs="Arial"/>
          <w:sz w:val="20"/>
        </w:rPr>
        <w:t>At [43] t</w:t>
      </w:r>
      <w:r w:rsidR="00AA1889">
        <w:rPr>
          <w:rFonts w:ascii="Arial" w:hAnsi="Arial" w:cs="Arial"/>
          <w:sz w:val="20"/>
        </w:rPr>
        <w:t>he Court</w:t>
      </w:r>
      <w:r w:rsidR="00EA5041">
        <w:rPr>
          <w:rFonts w:ascii="Arial" w:hAnsi="Arial" w:cs="Arial"/>
          <w:sz w:val="20"/>
        </w:rPr>
        <w:t xml:space="preserve"> said that</w:t>
      </w:r>
      <w:r w:rsidR="00AA1889">
        <w:rPr>
          <w:rFonts w:ascii="Arial" w:hAnsi="Arial" w:cs="Arial"/>
          <w:sz w:val="20"/>
        </w:rPr>
        <w:t xml:space="preserve"> the obligation of a judicial officer to provide a party with an opportunity to be heard </w:t>
      </w:r>
      <w:r w:rsidR="00EA5041">
        <w:rPr>
          <w:rFonts w:ascii="Arial" w:hAnsi="Arial" w:cs="Arial"/>
          <w:sz w:val="20"/>
        </w:rPr>
        <w:t>extended to</w:t>
      </w:r>
      <w:r w:rsidR="00AA1889">
        <w:rPr>
          <w:rFonts w:ascii="Arial" w:hAnsi="Arial" w:cs="Arial"/>
          <w:sz w:val="20"/>
        </w:rPr>
        <w:t xml:space="preserve"> the following circumstance:</w:t>
      </w:r>
    </w:p>
    <w:p w14:paraId="48CEE5D1" w14:textId="77777777" w:rsidR="00AA1889" w:rsidRDefault="00AA1889" w:rsidP="006C7EDC">
      <w:pPr>
        <w:spacing w:before="60"/>
        <w:ind w:left="454" w:right="454"/>
        <w:jc w:val="both"/>
        <w:rPr>
          <w:rFonts w:ascii="Arial" w:hAnsi="Arial" w:cs="Arial"/>
          <w:sz w:val="20"/>
        </w:rPr>
      </w:pPr>
      <w:r>
        <w:rPr>
          <w:rFonts w:ascii="Arial" w:hAnsi="Arial" w:cs="Arial"/>
          <w:sz w:val="20"/>
        </w:rPr>
        <w:t>“</w:t>
      </w:r>
      <w:r w:rsidR="00B35335" w:rsidRPr="00B35335">
        <w:rPr>
          <w:rFonts w:ascii="Arial" w:hAnsi="Arial" w:cs="Arial"/>
          <w:sz w:val="20"/>
        </w:rPr>
        <w:t>Where the risk of an adverse finding being made does not necessarily inhere in the issues to be decided or where the facts or the inference which the judge contemplates drawing from the facts and which gives rise to such a risk is unknown to the party, the fundamental rule of fairness requires the decision-maker in some way to draw attention to the existence of that risk.</w:t>
      </w:r>
      <w:r w:rsidR="00B35335">
        <w:rPr>
          <w:rFonts w:ascii="Arial" w:hAnsi="Arial" w:cs="Arial"/>
          <w:sz w:val="20"/>
        </w:rPr>
        <w:t>”</w:t>
      </w:r>
    </w:p>
    <w:p w14:paraId="44534FE1" w14:textId="677D8887" w:rsidR="0042120A" w:rsidRDefault="005E1242" w:rsidP="005E1242">
      <w:pPr>
        <w:spacing w:before="60"/>
        <w:jc w:val="both"/>
        <w:rPr>
          <w:rFonts w:ascii="Arial" w:hAnsi="Arial" w:cs="Arial"/>
          <w:color w:val="000000"/>
          <w:sz w:val="20"/>
        </w:rPr>
      </w:pPr>
      <w:r>
        <w:rPr>
          <w:rFonts w:ascii="Arial" w:hAnsi="Arial" w:cs="Arial"/>
          <w:color w:val="000000"/>
          <w:sz w:val="20"/>
        </w:rPr>
        <w:t xml:space="preserve">See also </w:t>
      </w:r>
      <w:bookmarkStart w:id="104" w:name="_Hlk122684910"/>
      <w:r w:rsidRPr="005E1242">
        <w:rPr>
          <w:rFonts w:ascii="Arial" w:hAnsi="Arial" w:cs="Arial"/>
          <w:i/>
          <w:iCs/>
          <w:color w:val="000000"/>
          <w:sz w:val="20"/>
        </w:rPr>
        <w:t>Stevens v DP World Melbourne Ltd</w:t>
      </w:r>
      <w:r>
        <w:rPr>
          <w:rFonts w:ascii="Arial" w:hAnsi="Arial" w:cs="Arial"/>
          <w:color w:val="000000"/>
          <w:sz w:val="20"/>
        </w:rPr>
        <w:t xml:space="preserve"> [2022] VSCA 285 at [22] &amp; [63</w:t>
      </w:r>
      <w:r w:rsidR="00030B8C">
        <w:rPr>
          <w:rFonts w:ascii="Arial" w:hAnsi="Arial" w:cs="Arial"/>
          <w:color w:val="000000"/>
          <w:sz w:val="20"/>
        </w:rPr>
        <w:t xml:space="preserve">]-ground </w:t>
      </w:r>
      <w:r>
        <w:rPr>
          <w:rFonts w:ascii="Arial" w:hAnsi="Arial" w:cs="Arial"/>
          <w:color w:val="000000"/>
          <w:sz w:val="20"/>
        </w:rPr>
        <w:t>(8).</w:t>
      </w:r>
      <w:bookmarkEnd w:id="104"/>
    </w:p>
    <w:p w14:paraId="67827236" w14:textId="2B1C5BC8" w:rsidR="005E1242" w:rsidRPr="00F81B96" w:rsidRDefault="005E1242" w:rsidP="00B843BA">
      <w:pPr>
        <w:jc w:val="both"/>
        <w:rPr>
          <w:rFonts w:ascii="Arial" w:hAnsi="Arial" w:cs="Arial"/>
          <w:color w:val="000000"/>
          <w:sz w:val="20"/>
        </w:rPr>
      </w:pPr>
    </w:p>
    <w:p w14:paraId="4B2C331E" w14:textId="77777777" w:rsidR="00F54DB6" w:rsidRPr="00F81B96" w:rsidRDefault="00F54DB6" w:rsidP="004D794C">
      <w:pPr>
        <w:keepNext/>
        <w:keepLines/>
        <w:jc w:val="both"/>
        <w:rPr>
          <w:rFonts w:ascii="Arial" w:hAnsi="Arial" w:cs="Arial"/>
          <w:i/>
          <w:color w:val="000000"/>
          <w:sz w:val="20"/>
        </w:rPr>
      </w:pPr>
      <w:r w:rsidRPr="00F81B96">
        <w:rPr>
          <w:rFonts w:ascii="Arial" w:hAnsi="Arial" w:cs="Arial"/>
          <w:color w:val="000000"/>
          <w:sz w:val="20"/>
        </w:rPr>
        <w:t xml:space="preserve">In </w:t>
      </w:r>
      <w:r w:rsidRPr="00F81B96">
        <w:rPr>
          <w:rFonts w:ascii="Arial" w:hAnsi="Arial" w:cs="Arial"/>
          <w:i/>
          <w:color w:val="000000"/>
          <w:sz w:val="20"/>
        </w:rPr>
        <w:t>Tomasevic v Travaglini</w:t>
      </w:r>
      <w:r w:rsidR="00B843BA" w:rsidRPr="00F81B96">
        <w:rPr>
          <w:rFonts w:ascii="Arial" w:hAnsi="Arial" w:cs="Arial"/>
          <w:color w:val="000000"/>
          <w:sz w:val="20"/>
        </w:rPr>
        <w:t xml:space="preserve"> </w:t>
      </w:r>
      <w:r w:rsidR="00D27D03" w:rsidRPr="00D27D03">
        <w:rPr>
          <w:rFonts w:ascii="Arial" w:hAnsi="Arial" w:cs="Arial"/>
          <w:color w:val="000000"/>
          <w:sz w:val="20"/>
        </w:rPr>
        <w:t>(2007) 17 VR 100</w:t>
      </w:r>
      <w:r w:rsidR="00D27D03">
        <w:rPr>
          <w:rFonts w:ascii="Arial" w:hAnsi="Arial" w:cs="Arial"/>
          <w:color w:val="000000"/>
          <w:sz w:val="20"/>
        </w:rPr>
        <w:t>;</w:t>
      </w:r>
      <w:r w:rsidR="00D27D03" w:rsidRPr="00D27D03">
        <w:rPr>
          <w:rFonts w:ascii="Arial" w:hAnsi="Arial" w:cs="Arial"/>
          <w:color w:val="000000"/>
          <w:sz w:val="20"/>
        </w:rPr>
        <w:t xml:space="preserve"> </w:t>
      </w:r>
      <w:r w:rsidR="00B843BA" w:rsidRPr="00F81B96">
        <w:rPr>
          <w:rFonts w:ascii="Arial" w:hAnsi="Arial" w:cs="Arial"/>
          <w:color w:val="000000"/>
          <w:sz w:val="20"/>
        </w:rPr>
        <w:t>[2007] VSC 337 at [86]-</w:t>
      </w:r>
      <w:r w:rsidRPr="00F81B96">
        <w:rPr>
          <w:rFonts w:ascii="Arial" w:hAnsi="Arial" w:cs="Arial"/>
          <w:color w:val="000000"/>
          <w:sz w:val="20"/>
        </w:rPr>
        <w:t>[88], Bell J said:</w:t>
      </w:r>
    </w:p>
    <w:p w14:paraId="79B1F191" w14:textId="77777777" w:rsidR="00F54DB6" w:rsidRPr="00F81B96" w:rsidRDefault="00F54DB6" w:rsidP="005E1242">
      <w:pPr>
        <w:spacing w:before="60"/>
        <w:ind w:left="454" w:right="454"/>
        <w:jc w:val="both"/>
        <w:rPr>
          <w:rFonts w:ascii="Arial" w:hAnsi="Arial" w:cs="Arial"/>
          <w:iCs/>
          <w:color w:val="000000"/>
          <w:sz w:val="20"/>
        </w:rPr>
      </w:pPr>
      <w:r w:rsidRPr="00F81B96">
        <w:rPr>
          <w:rFonts w:ascii="Arial" w:hAnsi="Arial" w:cs="Arial"/>
          <w:iCs/>
          <w:color w:val="000000"/>
          <w:sz w:val="20"/>
        </w:rPr>
        <w:t xml:space="preserve">“A trial judge has an overriding duty to ensure a fair trial.  This emerges with crystal clarity and moral force from </w:t>
      </w:r>
      <w:r w:rsidRPr="00F81B96">
        <w:rPr>
          <w:rFonts w:ascii="Arial" w:hAnsi="Arial" w:cs="Arial"/>
          <w:i/>
          <w:iCs/>
          <w:color w:val="000000"/>
          <w:sz w:val="20"/>
        </w:rPr>
        <w:t>Dietrich v R</w:t>
      </w:r>
      <w:r w:rsidRPr="00F81B96">
        <w:rPr>
          <w:rFonts w:ascii="Arial" w:hAnsi="Arial" w:cs="Arial"/>
          <w:iCs/>
          <w:color w:val="000000"/>
          <w:sz w:val="20"/>
        </w:rPr>
        <w:t xml:space="preserve"> (1992) 177 CLR 292</w:t>
      </w:r>
      <w:r w:rsidR="00B843BA" w:rsidRPr="00F81B96">
        <w:rPr>
          <w:rFonts w:ascii="Arial" w:hAnsi="Arial" w:cs="Arial"/>
          <w:iCs/>
          <w:color w:val="000000"/>
          <w:sz w:val="20"/>
        </w:rPr>
        <w:t>…Deane &amp; Gaudron JJ made clear the requirement for a ‘fair trial’ went further than a trial ‘according to law’.  To Deane J the requirement ‘transcends the content of more particularized legal rules and principles and provides the ultimate rationale and touchstone of the rules and practices which the common law requires to be observed in the administration of the substantive criminal law’ [at p.326].</w:t>
      </w:r>
    </w:p>
    <w:p w14:paraId="3A8D488E" w14:textId="77777777" w:rsidR="00B843BA" w:rsidRPr="00F81B96" w:rsidRDefault="00B843BA" w:rsidP="00F54DB6">
      <w:pPr>
        <w:spacing w:before="60"/>
        <w:ind w:left="454" w:right="454"/>
        <w:jc w:val="both"/>
        <w:rPr>
          <w:rFonts w:ascii="Arial" w:hAnsi="Arial" w:cs="Arial"/>
          <w:iCs/>
          <w:color w:val="000000"/>
          <w:sz w:val="20"/>
        </w:rPr>
      </w:pPr>
      <w:r w:rsidRPr="00F81B96">
        <w:rPr>
          <w:rFonts w:ascii="Arial" w:hAnsi="Arial" w:cs="Arial"/>
          <w:color w:val="000000"/>
          <w:sz w:val="20"/>
        </w:rPr>
        <w:t>What is required to produce a fair trial depends on the circumstances.  In some cases it may be necessary to have interpreters, acceptable custodial facilities or a special court venue: (1992) 177 CLR 292 at 331 per Deane J, 363 per Gaudron J.  In other cases, evidence may have to be excluded because of its unfair prejudicial effect [</w:t>
      </w:r>
      <w:r w:rsidRPr="00F81B96">
        <w:rPr>
          <w:rFonts w:ascii="Arial" w:hAnsi="Arial" w:cs="Arial"/>
          <w:i/>
          <w:color w:val="000000"/>
          <w:sz w:val="20"/>
        </w:rPr>
        <w:t>ibid</w:t>
      </w:r>
      <w:r w:rsidRPr="00F81B96">
        <w:rPr>
          <w:rFonts w:ascii="Arial" w:hAnsi="Arial" w:cs="Arial"/>
          <w:color w:val="000000"/>
          <w:sz w:val="20"/>
        </w:rPr>
        <w:t xml:space="preserve"> at 363 per Gaudron J] or an adjournment granted to allow pre-trial publicity to abate.  This list is far from exhaustive and the categories are not closed.  Indeed ‘</w:t>
      </w:r>
      <w:r w:rsidRPr="00F81B96">
        <w:rPr>
          <w:rFonts w:ascii="Arial" w:hAnsi="Arial" w:cs="Arial"/>
          <w:color w:val="000000"/>
          <w:sz w:val="20"/>
          <w:lang w:val="en"/>
        </w:rPr>
        <w:t>the practical content of the requirement that a criminal trial be fair may vary with changing social standards and circumstance</w:t>
      </w:r>
      <w:bookmarkStart w:id="105" w:name="105-r"/>
      <w:r w:rsidRPr="00F81B96">
        <w:rPr>
          <w:rFonts w:ascii="Arial" w:hAnsi="Arial" w:cs="Arial"/>
          <w:color w:val="000000"/>
          <w:sz w:val="20"/>
          <w:lang w:val="en"/>
        </w:rPr>
        <w:t>s</w:t>
      </w:r>
      <w:bookmarkEnd w:id="105"/>
      <w:r w:rsidRPr="00F81B96">
        <w:rPr>
          <w:rFonts w:ascii="Arial" w:hAnsi="Arial" w:cs="Arial"/>
          <w:color w:val="000000"/>
          <w:sz w:val="20"/>
          <w:lang w:val="en"/>
        </w:rPr>
        <w:t>’ [</w:t>
      </w:r>
      <w:r w:rsidRPr="00F81B96">
        <w:rPr>
          <w:rFonts w:ascii="Arial" w:hAnsi="Arial" w:cs="Arial"/>
          <w:i/>
          <w:color w:val="000000"/>
          <w:sz w:val="20"/>
          <w:lang w:val="en"/>
        </w:rPr>
        <w:t>ibid</w:t>
      </w:r>
      <w:r w:rsidRPr="00F81B96">
        <w:rPr>
          <w:rFonts w:ascii="Arial" w:hAnsi="Arial" w:cs="Arial"/>
          <w:color w:val="000000"/>
          <w:sz w:val="20"/>
          <w:lang w:val="en"/>
        </w:rPr>
        <w:t xml:space="preserve"> at 328 per Deane J; see also </w:t>
      </w:r>
      <w:r w:rsidRPr="00F81B96">
        <w:rPr>
          <w:rFonts w:ascii="Arial" w:hAnsi="Arial" w:cs="Arial"/>
          <w:i/>
          <w:color w:val="000000"/>
          <w:sz w:val="20"/>
          <w:lang w:val="en"/>
        </w:rPr>
        <w:t>Jago v District Court of New South Wales</w:t>
      </w:r>
      <w:r w:rsidRPr="00F81B96">
        <w:rPr>
          <w:rFonts w:ascii="Arial" w:hAnsi="Arial" w:cs="Arial"/>
          <w:color w:val="000000"/>
          <w:sz w:val="20"/>
          <w:lang w:val="en"/>
        </w:rPr>
        <w:t xml:space="preserve"> (1989) 168 CLR 23, 57].</w:t>
      </w:r>
      <w:r w:rsidRPr="00F81B96">
        <w:rPr>
          <w:rFonts w:ascii="Arial" w:hAnsi="Arial" w:cs="Arial"/>
          <w:color w:val="000000"/>
          <w:sz w:val="20"/>
        </w:rPr>
        <w:t xml:space="preserve"> The general principle is that the courts possess all the necessary powers to ensure a fair trial [</w:t>
      </w:r>
      <w:r w:rsidRPr="00F81B96">
        <w:rPr>
          <w:rFonts w:ascii="Arial" w:hAnsi="Arial" w:cs="Arial"/>
          <w:i/>
          <w:color w:val="000000"/>
          <w:sz w:val="20"/>
        </w:rPr>
        <w:t>Barton v R</w:t>
      </w:r>
      <w:r w:rsidRPr="00F81B96">
        <w:rPr>
          <w:rFonts w:ascii="Arial" w:hAnsi="Arial" w:cs="Arial"/>
          <w:color w:val="000000"/>
          <w:sz w:val="20"/>
        </w:rPr>
        <w:t xml:space="preserve"> (1980) 147 CLR 75, 96 cited in </w:t>
      </w:r>
      <w:r w:rsidRPr="00F81B96">
        <w:rPr>
          <w:rFonts w:ascii="Arial" w:hAnsi="Arial" w:cs="Arial"/>
          <w:i/>
          <w:color w:val="000000"/>
          <w:sz w:val="20"/>
        </w:rPr>
        <w:t>Dietrich v R</w:t>
      </w:r>
      <w:r w:rsidRPr="00F81B96">
        <w:rPr>
          <w:rFonts w:ascii="Arial" w:hAnsi="Arial" w:cs="Arial"/>
          <w:color w:val="000000"/>
          <w:sz w:val="20"/>
        </w:rPr>
        <w:t xml:space="preserve"> (1992) 177 CLR 292, 327], one aspect of which is the power to give assistance to a litigant in person.”</w:t>
      </w:r>
    </w:p>
    <w:p w14:paraId="5925333F" w14:textId="6B816564" w:rsidR="00F54DB6" w:rsidRDefault="00F54DB6">
      <w:pPr>
        <w:jc w:val="both"/>
        <w:rPr>
          <w:rFonts w:ascii="Arial" w:hAnsi="Arial" w:cs="Arial"/>
          <w:color w:val="000000"/>
          <w:sz w:val="20"/>
        </w:rPr>
      </w:pPr>
    </w:p>
    <w:p w14:paraId="5E1B8B10" w14:textId="72937493" w:rsidR="0032248F" w:rsidRPr="005F08ED" w:rsidRDefault="0032248F">
      <w:pPr>
        <w:jc w:val="both"/>
        <w:rPr>
          <w:rFonts w:ascii="Arial" w:hAnsi="Arial" w:cs="Arial"/>
          <w:color w:val="000000" w:themeColor="text1"/>
          <w:sz w:val="20"/>
          <w:szCs w:val="20"/>
        </w:rPr>
      </w:pPr>
      <w:r w:rsidRPr="005F08ED">
        <w:rPr>
          <w:rFonts w:ascii="Arial" w:hAnsi="Arial" w:cs="Arial"/>
          <w:color w:val="000000" w:themeColor="text1"/>
          <w:sz w:val="20"/>
          <w:szCs w:val="20"/>
        </w:rPr>
        <w:t xml:space="preserve">In </w:t>
      </w:r>
      <w:r w:rsidRPr="005F08ED">
        <w:rPr>
          <w:rFonts w:ascii="Arial" w:hAnsi="Arial" w:cs="Arial"/>
          <w:i/>
          <w:iCs/>
          <w:color w:val="000000" w:themeColor="text1"/>
          <w:sz w:val="20"/>
          <w:szCs w:val="20"/>
        </w:rPr>
        <w:t>DPP v Fogarty</w:t>
      </w:r>
      <w:r w:rsidRPr="005F08ED">
        <w:rPr>
          <w:rFonts w:ascii="Arial" w:hAnsi="Arial" w:cs="Arial"/>
          <w:color w:val="000000" w:themeColor="text1"/>
          <w:sz w:val="20"/>
          <w:szCs w:val="20"/>
        </w:rPr>
        <w:t xml:space="preserve"> [2021] VSC 392 a magistrate had sought extrinsic information – without recourse to the parties – in order to make an assessment as to whether the particular charges before him were in proper form.  After discussion of </w:t>
      </w:r>
      <w:hyperlink r:id="rId9" w:history="1">
        <w:r w:rsidRPr="005F08ED">
          <w:rPr>
            <w:rStyle w:val="Hyperlink"/>
            <w:rFonts w:ascii="Arial" w:hAnsi="Arial" w:cs="Arial"/>
            <w:i/>
            <w:iCs/>
            <w:color w:val="000000" w:themeColor="text1"/>
            <w:sz w:val="20"/>
            <w:szCs w:val="20"/>
            <w:u w:val="none"/>
          </w:rPr>
          <w:t>Gilfillan v County Court of Victoria</w:t>
        </w:r>
      </w:hyperlink>
      <w:r w:rsidRPr="005F08ED">
        <w:rPr>
          <w:rFonts w:ascii="Arial" w:hAnsi="Arial" w:cs="Arial"/>
          <w:color w:val="000000" w:themeColor="text1"/>
          <w:sz w:val="20"/>
          <w:szCs w:val="20"/>
        </w:rPr>
        <w:t> (2001) 123 A Crim R 433 (Nathan</w:t>
      </w:r>
      <w:r w:rsidR="00C83BC0">
        <w:rPr>
          <w:rFonts w:ascii="Arial" w:hAnsi="Arial" w:cs="Arial"/>
          <w:color w:val="000000" w:themeColor="text1"/>
          <w:sz w:val="20"/>
          <w:szCs w:val="20"/>
        </w:rPr>
        <w:t> </w:t>
      </w:r>
      <w:r w:rsidRPr="005F08ED">
        <w:rPr>
          <w:rFonts w:ascii="Arial" w:hAnsi="Arial" w:cs="Arial"/>
          <w:color w:val="000000" w:themeColor="text1"/>
          <w:sz w:val="20"/>
          <w:szCs w:val="20"/>
        </w:rPr>
        <w:t>J)</w:t>
      </w:r>
      <w:r w:rsidR="00850058">
        <w:rPr>
          <w:rFonts w:ascii="Arial" w:hAnsi="Arial" w:cs="Arial"/>
          <w:color w:val="000000" w:themeColor="text1"/>
          <w:sz w:val="20"/>
          <w:szCs w:val="20"/>
        </w:rPr>
        <w:t xml:space="preserve"> </w:t>
      </w:r>
      <w:r w:rsidR="00C83BC0">
        <w:rPr>
          <w:rFonts w:ascii="Arial" w:hAnsi="Arial" w:cs="Arial"/>
          <w:color w:val="000000" w:themeColor="text1"/>
          <w:sz w:val="20"/>
          <w:szCs w:val="20"/>
        </w:rPr>
        <w:t>and</w:t>
      </w:r>
      <w:r w:rsidR="005F08ED" w:rsidRPr="005F08ED">
        <w:rPr>
          <w:rFonts w:ascii="Arial" w:hAnsi="Arial" w:cs="Arial"/>
          <w:color w:val="000000" w:themeColor="text1"/>
          <w:sz w:val="20"/>
          <w:szCs w:val="20"/>
        </w:rPr>
        <w:t xml:space="preserve"> </w:t>
      </w:r>
      <w:hyperlink r:id="rId10" w:history="1">
        <w:r w:rsidR="005F08ED" w:rsidRPr="005F08ED">
          <w:rPr>
            <w:rStyle w:val="Hyperlink"/>
            <w:rFonts w:ascii="Arial" w:hAnsi="Arial" w:cs="Arial"/>
            <w:i/>
            <w:iCs/>
            <w:color w:val="000000" w:themeColor="text1"/>
            <w:sz w:val="20"/>
            <w:szCs w:val="20"/>
            <w:u w:val="none"/>
          </w:rPr>
          <w:t>Griekspoor v Scott</w:t>
        </w:r>
      </w:hyperlink>
      <w:r w:rsidR="005F08ED" w:rsidRPr="005F08ED">
        <w:rPr>
          <w:rFonts w:ascii="Arial" w:hAnsi="Arial" w:cs="Arial"/>
          <w:color w:val="000000" w:themeColor="text1"/>
          <w:sz w:val="20"/>
          <w:szCs w:val="20"/>
        </w:rPr>
        <w:t xml:space="preserve"> (2000) 23 WAR 530 (Roberts-Smith J), </w:t>
      </w:r>
      <w:r w:rsidR="00850058">
        <w:rPr>
          <w:rFonts w:ascii="Arial" w:hAnsi="Arial" w:cs="Arial"/>
          <w:color w:val="000000" w:themeColor="text1"/>
          <w:sz w:val="20"/>
          <w:szCs w:val="20"/>
        </w:rPr>
        <w:t>Priest JA held that the magistrate had failed to accord procedural fairness</w:t>
      </w:r>
      <w:r w:rsidR="00C83BC0">
        <w:rPr>
          <w:rFonts w:ascii="Arial" w:hAnsi="Arial" w:cs="Arial"/>
          <w:color w:val="000000" w:themeColor="text1"/>
          <w:sz w:val="20"/>
          <w:szCs w:val="20"/>
        </w:rPr>
        <w:t xml:space="preserve">, relying at [48] on the following dicta in </w:t>
      </w:r>
      <w:hyperlink r:id="rId11" w:history="1">
        <w:r w:rsidR="005F08ED" w:rsidRPr="005F08ED">
          <w:rPr>
            <w:rStyle w:val="Hyperlink"/>
            <w:rFonts w:ascii="Arial" w:hAnsi="Arial" w:cs="Arial"/>
            <w:i/>
            <w:iCs/>
            <w:color w:val="000000" w:themeColor="text1"/>
            <w:sz w:val="20"/>
            <w:szCs w:val="20"/>
            <w:u w:val="none"/>
          </w:rPr>
          <w:t>SD v The Queen</w:t>
        </w:r>
      </w:hyperlink>
      <w:r w:rsidR="005F08ED" w:rsidRPr="005F08ED">
        <w:rPr>
          <w:rFonts w:ascii="Arial" w:hAnsi="Arial" w:cs="Arial"/>
          <w:color w:val="000000" w:themeColor="text1"/>
          <w:sz w:val="20"/>
          <w:szCs w:val="20"/>
        </w:rPr>
        <w:t> (2013) 39</w:t>
      </w:r>
      <w:r w:rsidR="00C83BC0">
        <w:rPr>
          <w:rFonts w:ascii="Arial" w:hAnsi="Arial" w:cs="Arial"/>
          <w:color w:val="000000" w:themeColor="text1"/>
          <w:sz w:val="20"/>
          <w:szCs w:val="20"/>
        </w:rPr>
        <w:t> </w:t>
      </w:r>
      <w:r w:rsidR="005F08ED" w:rsidRPr="005F08ED">
        <w:rPr>
          <w:rFonts w:ascii="Arial" w:hAnsi="Arial" w:cs="Arial"/>
          <w:color w:val="000000" w:themeColor="text1"/>
          <w:sz w:val="20"/>
          <w:szCs w:val="20"/>
        </w:rPr>
        <w:t>VR 487 (Ashley, Redlich and Priest JJA)</w:t>
      </w:r>
      <w:r w:rsidR="00BF22E6">
        <w:rPr>
          <w:rFonts w:ascii="Arial" w:hAnsi="Arial" w:cs="Arial"/>
          <w:color w:val="000000" w:themeColor="text1"/>
          <w:sz w:val="20"/>
          <w:szCs w:val="20"/>
        </w:rPr>
        <w:t xml:space="preserve"> </w:t>
      </w:r>
      <w:r w:rsidR="005F08ED">
        <w:rPr>
          <w:rFonts w:ascii="Arial" w:hAnsi="Arial" w:cs="Arial"/>
          <w:color w:val="000000" w:themeColor="text1"/>
          <w:sz w:val="20"/>
          <w:szCs w:val="20"/>
        </w:rPr>
        <w:t>at [</w:t>
      </w:r>
      <w:r w:rsidR="00C83BC0">
        <w:rPr>
          <w:rFonts w:ascii="Arial" w:hAnsi="Arial" w:cs="Arial"/>
          <w:color w:val="000000" w:themeColor="text1"/>
          <w:sz w:val="20"/>
          <w:szCs w:val="20"/>
        </w:rPr>
        <w:t>36</w:t>
      </w:r>
      <w:r w:rsidR="005F08ED">
        <w:rPr>
          <w:rFonts w:ascii="Arial" w:hAnsi="Arial" w:cs="Arial"/>
          <w:color w:val="000000" w:themeColor="text1"/>
          <w:sz w:val="20"/>
          <w:szCs w:val="20"/>
        </w:rPr>
        <w:t>]</w:t>
      </w:r>
      <w:r w:rsidR="00C83BC0">
        <w:rPr>
          <w:rFonts w:ascii="Arial" w:hAnsi="Arial" w:cs="Arial"/>
          <w:color w:val="000000" w:themeColor="text1"/>
          <w:sz w:val="20"/>
          <w:szCs w:val="20"/>
        </w:rPr>
        <w:t>-[39]</w:t>
      </w:r>
      <w:r w:rsidR="005F08ED">
        <w:rPr>
          <w:rFonts w:ascii="Arial" w:hAnsi="Arial" w:cs="Arial"/>
          <w:color w:val="000000" w:themeColor="text1"/>
          <w:sz w:val="20"/>
          <w:szCs w:val="20"/>
        </w:rPr>
        <w:t xml:space="preserve">: </w:t>
      </w:r>
    </w:p>
    <w:p w14:paraId="4EA7F25D" w14:textId="2D6C8935" w:rsidR="005F08ED" w:rsidRDefault="005F08ED" w:rsidP="005F08ED">
      <w:pPr>
        <w:spacing w:before="60"/>
        <w:ind w:left="454" w:right="454"/>
        <w:jc w:val="both"/>
        <w:rPr>
          <w:rFonts w:ascii="Arial" w:hAnsi="Arial" w:cs="Arial"/>
          <w:color w:val="000000" w:themeColor="text1"/>
          <w:sz w:val="20"/>
          <w:szCs w:val="20"/>
        </w:rPr>
      </w:pPr>
      <w:r w:rsidRPr="005F08ED">
        <w:rPr>
          <w:rFonts w:ascii="Arial" w:hAnsi="Arial" w:cs="Arial"/>
          <w:iCs/>
          <w:color w:val="000000" w:themeColor="text1"/>
          <w:sz w:val="20"/>
          <w:szCs w:val="20"/>
        </w:rPr>
        <w:t>“</w:t>
      </w:r>
      <w:r w:rsidRPr="005F08ED">
        <w:rPr>
          <w:rFonts w:ascii="Arial" w:hAnsi="Arial" w:cs="Arial"/>
          <w:color w:val="000000" w:themeColor="text1"/>
          <w:sz w:val="20"/>
          <w:szCs w:val="20"/>
        </w:rPr>
        <w:t>It is axiomatic that a judge may not search for, or take account of, information that is not in evidence, save where a fact is of such notoriety that a judge may take judicial notice of it.  Mason CJ and Brennan, Deane, Dawson and Gaudron JJ in </w:t>
      </w:r>
      <w:hyperlink r:id="rId12" w:history="1">
        <w:r w:rsidRPr="005F08ED">
          <w:rPr>
            <w:rStyle w:val="Hyperlink"/>
            <w:rFonts w:ascii="Arial" w:hAnsi="Arial" w:cs="Arial"/>
            <w:i/>
            <w:iCs/>
            <w:color w:val="000000" w:themeColor="text1"/>
            <w:sz w:val="20"/>
            <w:szCs w:val="20"/>
            <w:u w:val="none"/>
          </w:rPr>
          <w:t>Re Media Entertainment &amp; Arts Alliance; Ex parte Hoyts Corporation Pty Ltd</w:t>
        </w:r>
      </w:hyperlink>
      <w:r w:rsidRPr="005F08ED">
        <w:rPr>
          <w:rFonts w:ascii="Arial" w:hAnsi="Arial" w:cs="Arial"/>
          <w:color w:val="000000" w:themeColor="text1"/>
          <w:sz w:val="20"/>
          <w:szCs w:val="20"/>
        </w:rPr>
        <w:t> (1994) 119 ALR 206 at </w:t>
      </w:r>
      <w:hyperlink r:id="rId13" w:history="1">
        <w:r w:rsidRPr="005F08ED">
          <w:rPr>
            <w:rStyle w:val="Hyperlink"/>
            <w:rFonts w:ascii="Arial" w:hAnsi="Arial" w:cs="Arial"/>
            <w:color w:val="000000" w:themeColor="text1"/>
            <w:sz w:val="20"/>
            <w:szCs w:val="20"/>
            <w:u w:val="none"/>
          </w:rPr>
          <w:t>210</w:t>
        </w:r>
      </w:hyperlink>
      <w:r w:rsidRPr="005F08ED">
        <w:rPr>
          <w:rFonts w:ascii="Arial" w:hAnsi="Arial" w:cs="Arial"/>
          <w:color w:val="000000" w:themeColor="text1"/>
          <w:sz w:val="20"/>
          <w:szCs w:val="20"/>
        </w:rPr>
        <w:t>; </w:t>
      </w:r>
      <w:hyperlink r:id="rId14" w:history="1">
        <w:r w:rsidRPr="005F08ED">
          <w:rPr>
            <w:rStyle w:val="Hyperlink"/>
            <w:rFonts w:ascii="Arial" w:hAnsi="Arial" w:cs="Arial"/>
            <w:color w:val="000000" w:themeColor="text1"/>
            <w:sz w:val="20"/>
            <w:szCs w:val="20"/>
            <w:u w:val="none"/>
          </w:rPr>
          <w:t>68 ALJR 179</w:t>
        </w:r>
      </w:hyperlink>
      <w:r w:rsidRPr="005F08ED">
        <w:rPr>
          <w:rFonts w:ascii="Arial" w:hAnsi="Arial" w:cs="Arial"/>
          <w:color w:val="000000" w:themeColor="text1"/>
          <w:sz w:val="20"/>
          <w:szCs w:val="20"/>
        </w:rPr>
        <w:t> at </w:t>
      </w:r>
      <w:hyperlink r:id="rId15" w:history="1">
        <w:r w:rsidRPr="005F08ED">
          <w:rPr>
            <w:rStyle w:val="Hyperlink"/>
            <w:rFonts w:ascii="Arial" w:hAnsi="Arial" w:cs="Arial"/>
            <w:color w:val="000000" w:themeColor="text1"/>
            <w:sz w:val="20"/>
            <w:szCs w:val="20"/>
            <w:u w:val="none"/>
          </w:rPr>
          <w:t>182</w:t>
        </w:r>
      </w:hyperlink>
      <w:r>
        <w:rPr>
          <w:rFonts w:ascii="Arial" w:hAnsi="Arial" w:cs="Arial"/>
          <w:color w:val="000000" w:themeColor="text1"/>
          <w:sz w:val="20"/>
          <w:szCs w:val="20"/>
        </w:rPr>
        <w:t xml:space="preserve"> </w:t>
      </w:r>
      <w:r w:rsidRPr="005F08ED">
        <w:rPr>
          <w:rFonts w:ascii="Arial" w:hAnsi="Arial" w:cs="Arial"/>
          <w:color w:val="000000" w:themeColor="text1"/>
          <w:sz w:val="20"/>
          <w:szCs w:val="20"/>
        </w:rPr>
        <w:t xml:space="preserve">referred to the undoubted principle that a judge’s decision must be made on the basis of the evidence and arguments in the case and not ‘on the basis of information or knowledge which is independently acquired’. </w:t>
      </w:r>
      <w:r>
        <w:rPr>
          <w:rFonts w:ascii="Arial" w:hAnsi="Arial" w:cs="Arial"/>
          <w:color w:val="000000" w:themeColor="text1"/>
          <w:sz w:val="20"/>
          <w:szCs w:val="20"/>
        </w:rPr>
        <w:t xml:space="preserve"> </w:t>
      </w:r>
      <w:r w:rsidRPr="005F08ED">
        <w:rPr>
          <w:rFonts w:ascii="Arial" w:hAnsi="Arial" w:cs="Arial"/>
          <w:color w:val="000000" w:themeColor="text1"/>
          <w:sz w:val="20"/>
          <w:szCs w:val="20"/>
        </w:rPr>
        <w:t xml:space="preserve">A court is not entitled to take into account factual material not in evidence without notice to the parties: </w:t>
      </w:r>
      <w:hyperlink r:id="rId16" w:history="1">
        <w:r w:rsidRPr="005F08ED">
          <w:rPr>
            <w:rStyle w:val="Hyperlink"/>
            <w:rFonts w:ascii="Arial" w:hAnsi="Arial" w:cs="Arial"/>
            <w:i/>
            <w:iCs/>
            <w:color w:val="000000" w:themeColor="text1"/>
            <w:sz w:val="20"/>
            <w:szCs w:val="20"/>
            <w:u w:val="none"/>
          </w:rPr>
          <w:t>International Finance Trust Co Ltd v New South Wales Crime Commission </w:t>
        </w:r>
      </w:hyperlink>
      <w:r w:rsidRPr="005F08ED">
        <w:rPr>
          <w:rFonts w:ascii="Arial" w:hAnsi="Arial" w:cs="Arial"/>
          <w:color w:val="000000" w:themeColor="text1"/>
          <w:sz w:val="20"/>
          <w:szCs w:val="20"/>
        </w:rPr>
        <w:t>(2009) 240 CLR 319 at </w:t>
      </w:r>
      <w:hyperlink r:id="rId17" w:history="1">
        <w:r w:rsidRPr="005F08ED">
          <w:rPr>
            <w:rStyle w:val="Hyperlink"/>
            <w:rFonts w:ascii="Arial" w:hAnsi="Arial" w:cs="Arial"/>
            <w:color w:val="000000" w:themeColor="text1"/>
            <w:sz w:val="20"/>
            <w:szCs w:val="20"/>
            <w:u w:val="none"/>
          </w:rPr>
          <w:t>381–3</w:t>
        </w:r>
      </w:hyperlink>
      <w:r w:rsidRPr="005F08ED">
        <w:rPr>
          <w:rFonts w:ascii="Arial" w:hAnsi="Arial" w:cs="Arial"/>
          <w:color w:val="000000" w:themeColor="text1"/>
          <w:sz w:val="20"/>
          <w:szCs w:val="20"/>
        </w:rPr>
        <w:t>, </w:t>
      </w:r>
      <w:hyperlink r:id="rId18" w:history="1">
        <w:r w:rsidRPr="005F08ED">
          <w:rPr>
            <w:rStyle w:val="Hyperlink"/>
            <w:rFonts w:ascii="Arial" w:hAnsi="Arial" w:cs="Arial"/>
            <w:color w:val="000000" w:themeColor="text1"/>
            <w:sz w:val="20"/>
            <w:szCs w:val="20"/>
            <w:u w:val="none"/>
          </w:rPr>
          <w:t>[146]</w:t>
        </w:r>
      </w:hyperlink>
      <w:r w:rsidRPr="005F08ED">
        <w:rPr>
          <w:rFonts w:ascii="Arial" w:hAnsi="Arial" w:cs="Arial"/>
          <w:color w:val="000000" w:themeColor="text1"/>
          <w:sz w:val="20"/>
          <w:szCs w:val="20"/>
        </w:rPr>
        <w:t> per Heydon J.</w:t>
      </w:r>
    </w:p>
    <w:p w14:paraId="37D88933" w14:textId="1E8B5B6A" w:rsidR="005F08ED" w:rsidRPr="005F08ED" w:rsidRDefault="005F08ED" w:rsidP="005F08ED">
      <w:pPr>
        <w:spacing w:before="60"/>
        <w:ind w:left="454" w:right="454"/>
        <w:jc w:val="both"/>
        <w:rPr>
          <w:rFonts w:ascii="Arial" w:hAnsi="Arial" w:cs="Arial"/>
          <w:iCs/>
          <w:color w:val="000000" w:themeColor="text1"/>
          <w:sz w:val="20"/>
          <w:szCs w:val="20"/>
        </w:rPr>
      </w:pPr>
      <w:r w:rsidRPr="005F08ED">
        <w:rPr>
          <w:rFonts w:ascii="Arial" w:hAnsi="Arial" w:cs="Arial"/>
          <w:sz w:val="20"/>
          <w:szCs w:val="20"/>
        </w:rPr>
        <w:lastRenderedPageBreak/>
        <w:t>The rationale for the prohibition is to be found within the fundamental rule of natural justice that a party is entitled to know the case sought to be made against it and be given an opportunity of replying to that case.  The entitlement of a litigant is to a fair opportunity to correct or contradict any relevant material which is prejudicial</w:t>
      </w:r>
      <w:r w:rsidR="00BF22E6">
        <w:rPr>
          <w:rFonts w:ascii="Arial" w:hAnsi="Arial" w:cs="Arial"/>
          <w:sz w:val="20"/>
          <w:szCs w:val="20"/>
        </w:rPr>
        <w:t>:</w:t>
      </w:r>
      <w:bookmarkStart w:id="106" w:name="_ftnref48"/>
      <w:r w:rsidR="00BF22E6" w:rsidRPr="00BF22E6">
        <w:rPr>
          <w:rFonts w:ascii="inherit" w:hAnsi="inherit"/>
          <w:i/>
          <w:iCs/>
          <w:color w:val="000000"/>
          <w:sz w:val="23"/>
          <w:szCs w:val="23"/>
        </w:rPr>
        <w:t xml:space="preserve"> </w:t>
      </w:r>
      <w:hyperlink r:id="rId19" w:history="1">
        <w:r w:rsidR="00BF22E6" w:rsidRPr="00BF22E6">
          <w:rPr>
            <w:rStyle w:val="Hyperlink"/>
            <w:rFonts w:ascii="Arial" w:hAnsi="Arial" w:cs="Arial"/>
            <w:i/>
            <w:iCs/>
            <w:color w:val="000000" w:themeColor="text1"/>
            <w:sz w:val="20"/>
            <w:szCs w:val="20"/>
            <w:u w:val="none"/>
          </w:rPr>
          <w:t>Kioa v West</w:t>
        </w:r>
      </w:hyperlink>
      <w:r w:rsidR="001634DC">
        <w:rPr>
          <w:rFonts w:ascii="Arial" w:hAnsi="Arial" w:cs="Arial"/>
          <w:i/>
          <w:iCs/>
          <w:color w:val="000000" w:themeColor="text1"/>
          <w:sz w:val="20"/>
          <w:szCs w:val="20"/>
        </w:rPr>
        <w:t xml:space="preserve"> </w:t>
      </w:r>
      <w:r w:rsidR="00BF22E6" w:rsidRPr="00BF22E6">
        <w:rPr>
          <w:rFonts w:ascii="Arial" w:hAnsi="Arial" w:cs="Arial"/>
          <w:color w:val="000000" w:themeColor="text1"/>
          <w:sz w:val="20"/>
          <w:szCs w:val="20"/>
        </w:rPr>
        <w:t>(1985) 159 CLR 550 at</w:t>
      </w:r>
      <w:r w:rsidR="001634DC">
        <w:rPr>
          <w:rFonts w:ascii="Arial" w:hAnsi="Arial" w:cs="Arial"/>
          <w:color w:val="000000" w:themeColor="text1"/>
          <w:sz w:val="20"/>
          <w:szCs w:val="20"/>
        </w:rPr>
        <w:t xml:space="preserve"> </w:t>
      </w:r>
      <w:hyperlink r:id="rId20" w:history="1">
        <w:r w:rsidR="00BF22E6" w:rsidRPr="00BF22E6">
          <w:rPr>
            <w:rStyle w:val="Hyperlink"/>
            <w:rFonts w:ascii="Arial" w:hAnsi="Arial" w:cs="Arial"/>
            <w:color w:val="000000" w:themeColor="text1"/>
            <w:sz w:val="20"/>
            <w:szCs w:val="20"/>
            <w:u w:val="none"/>
          </w:rPr>
          <w:t>569</w:t>
        </w:r>
      </w:hyperlink>
      <w:r w:rsidR="001634DC">
        <w:rPr>
          <w:rFonts w:ascii="Arial" w:hAnsi="Arial" w:cs="Arial"/>
          <w:color w:val="000000" w:themeColor="text1"/>
          <w:sz w:val="20"/>
          <w:szCs w:val="20"/>
        </w:rPr>
        <w:t xml:space="preserve"> </w:t>
      </w:r>
      <w:r w:rsidR="00BF22E6" w:rsidRPr="00BF22E6">
        <w:rPr>
          <w:rFonts w:ascii="Arial" w:hAnsi="Arial" w:cs="Arial"/>
          <w:color w:val="000000" w:themeColor="text1"/>
          <w:sz w:val="20"/>
          <w:szCs w:val="20"/>
        </w:rPr>
        <w:t>per Gibbs CJ, </w:t>
      </w:r>
      <w:hyperlink r:id="rId21" w:history="1">
        <w:r w:rsidR="00BF22E6" w:rsidRPr="00BF22E6">
          <w:rPr>
            <w:rStyle w:val="Hyperlink"/>
            <w:rFonts w:ascii="Arial" w:hAnsi="Arial" w:cs="Arial"/>
            <w:color w:val="000000" w:themeColor="text1"/>
            <w:sz w:val="20"/>
            <w:szCs w:val="20"/>
            <w:u w:val="none"/>
          </w:rPr>
          <w:t>582</w:t>
        </w:r>
      </w:hyperlink>
      <w:r w:rsidR="00BF22E6" w:rsidRPr="00BF22E6">
        <w:rPr>
          <w:rFonts w:ascii="Arial" w:hAnsi="Arial" w:cs="Arial"/>
          <w:color w:val="000000" w:themeColor="text1"/>
          <w:sz w:val="20"/>
          <w:szCs w:val="20"/>
        </w:rPr>
        <w:t> per Mason J</w:t>
      </w:r>
      <w:r w:rsidR="00BF22E6">
        <w:rPr>
          <w:rFonts w:ascii="Arial" w:hAnsi="Arial" w:cs="Arial"/>
          <w:color w:val="000000" w:themeColor="text1"/>
          <w:sz w:val="20"/>
          <w:szCs w:val="20"/>
        </w:rPr>
        <w:t>.</w:t>
      </w:r>
      <w:bookmarkEnd w:id="106"/>
      <w:r w:rsidR="00BF22E6">
        <w:rPr>
          <w:rFonts w:ascii="Arial" w:hAnsi="Arial" w:cs="Arial"/>
          <w:color w:val="000000" w:themeColor="text1"/>
          <w:sz w:val="20"/>
          <w:szCs w:val="20"/>
        </w:rPr>
        <w:t xml:space="preserve">  </w:t>
      </w:r>
      <w:r w:rsidRPr="00BF22E6">
        <w:rPr>
          <w:rFonts w:ascii="Arial" w:hAnsi="Arial" w:cs="Arial"/>
          <w:color w:val="000000" w:themeColor="text1"/>
          <w:sz w:val="20"/>
          <w:szCs w:val="20"/>
        </w:rPr>
        <w:t>As Brennan J stated in</w:t>
      </w:r>
      <w:r w:rsidR="001634DC">
        <w:rPr>
          <w:rFonts w:ascii="Arial" w:hAnsi="Arial" w:cs="Arial"/>
          <w:color w:val="000000" w:themeColor="text1"/>
          <w:sz w:val="20"/>
          <w:szCs w:val="20"/>
        </w:rPr>
        <w:t xml:space="preserve"> </w:t>
      </w:r>
      <w:hyperlink r:id="rId22" w:history="1">
        <w:r w:rsidRPr="00BF22E6">
          <w:rPr>
            <w:rStyle w:val="Hyperlink"/>
            <w:rFonts w:ascii="Arial" w:hAnsi="Arial" w:cs="Arial"/>
            <w:i/>
            <w:iCs/>
            <w:color w:val="000000" w:themeColor="text1"/>
            <w:sz w:val="20"/>
            <w:szCs w:val="20"/>
            <w:u w:val="none"/>
          </w:rPr>
          <w:t>Kioa v West</w:t>
        </w:r>
      </w:hyperlink>
      <w:r w:rsidR="00BF22E6" w:rsidRPr="00BF22E6">
        <w:rPr>
          <w:rFonts w:ascii="Arial" w:hAnsi="Arial" w:cs="Arial"/>
          <w:color w:val="000000" w:themeColor="text1"/>
          <w:sz w:val="20"/>
          <w:szCs w:val="20"/>
        </w:rPr>
        <w:t xml:space="preserve"> at 628</w:t>
      </w:r>
      <w:r w:rsidRPr="00BF22E6">
        <w:rPr>
          <w:rFonts w:ascii="Arial" w:hAnsi="Arial" w:cs="Arial"/>
          <w:color w:val="000000" w:themeColor="text1"/>
          <w:sz w:val="20"/>
          <w:szCs w:val="20"/>
        </w:rPr>
        <w:t>:</w:t>
      </w:r>
    </w:p>
    <w:p w14:paraId="1D537FD5" w14:textId="52A6C9BB" w:rsidR="005F08ED" w:rsidRPr="003E72C0" w:rsidRDefault="005F08ED" w:rsidP="005F08ED">
      <w:pPr>
        <w:pStyle w:val="NormalWeb"/>
        <w:shd w:val="clear" w:color="auto" w:fill="FFFFFF"/>
        <w:spacing w:before="60" w:beforeAutospacing="0" w:after="0" w:afterAutospacing="0"/>
        <w:ind w:left="907" w:right="907"/>
        <w:jc w:val="both"/>
        <w:rPr>
          <w:rFonts w:ascii="Arial" w:hAnsi="Arial" w:cs="Arial"/>
          <w:sz w:val="18"/>
          <w:szCs w:val="18"/>
        </w:rPr>
      </w:pPr>
      <w:r w:rsidRPr="003E72C0">
        <w:rPr>
          <w:rFonts w:ascii="Arial" w:hAnsi="Arial" w:cs="Arial"/>
          <w:sz w:val="18"/>
          <w:szCs w:val="18"/>
        </w:rPr>
        <w:t>‘A person whose interests are likely to be affected by an exercise of power must be given an opportunity to deal with relevant matters to his interests which the repository of the power proposes to take into account in deciding upon its exercise.’</w:t>
      </w:r>
    </w:p>
    <w:p w14:paraId="7CB573DF" w14:textId="79C435BE" w:rsidR="005F08ED" w:rsidRPr="00BF22E6" w:rsidRDefault="005F08ED" w:rsidP="005F08ED">
      <w:pPr>
        <w:spacing w:before="60"/>
        <w:ind w:left="454" w:right="454"/>
        <w:jc w:val="both"/>
        <w:rPr>
          <w:rFonts w:ascii="Arial" w:hAnsi="Arial" w:cs="Arial"/>
          <w:iCs/>
          <w:color w:val="000000" w:themeColor="text1"/>
          <w:sz w:val="20"/>
          <w:szCs w:val="20"/>
        </w:rPr>
      </w:pPr>
      <w:r w:rsidRPr="005F08ED">
        <w:rPr>
          <w:rFonts w:ascii="Arial" w:hAnsi="Arial" w:cs="Arial"/>
          <w:sz w:val="20"/>
          <w:szCs w:val="20"/>
        </w:rPr>
        <w:t xml:space="preserve">The fundamental requirement of procedural fairness is that a party who is subject to the possibility of an adverse determination on the basis of any information, whatever its source, must be made aware of the case to be raised against the party, and be afforded an opportunity to respond. </w:t>
      </w:r>
      <w:r w:rsidR="001634DC">
        <w:rPr>
          <w:rFonts w:ascii="Arial" w:hAnsi="Arial" w:cs="Arial"/>
          <w:sz w:val="20"/>
          <w:szCs w:val="20"/>
        </w:rPr>
        <w:t xml:space="preserve"> </w:t>
      </w:r>
      <w:r w:rsidRPr="005F08ED">
        <w:rPr>
          <w:rFonts w:ascii="Arial" w:hAnsi="Arial" w:cs="Arial"/>
          <w:sz w:val="20"/>
          <w:szCs w:val="20"/>
        </w:rPr>
        <w:t>The judicial obligation to afford a party reasonable opportunity to present or meet a case</w:t>
      </w:r>
      <w:r w:rsidR="00BF22E6">
        <w:rPr>
          <w:rFonts w:ascii="Arial" w:hAnsi="Arial" w:cs="Arial"/>
          <w:sz w:val="20"/>
          <w:szCs w:val="20"/>
        </w:rPr>
        <w:t xml:space="preserve"> {</w:t>
      </w:r>
      <w:hyperlink r:id="rId23" w:history="1">
        <w:r w:rsidR="00BF22E6" w:rsidRPr="00BF22E6">
          <w:rPr>
            <w:rStyle w:val="Hyperlink"/>
            <w:rFonts w:ascii="Arial" w:hAnsi="Arial" w:cs="Arial"/>
            <w:i/>
            <w:iCs/>
            <w:color w:val="000000" w:themeColor="text1"/>
            <w:sz w:val="20"/>
            <w:szCs w:val="20"/>
            <w:u w:val="none"/>
          </w:rPr>
          <w:t>Minister for Immigration and Multicultural Affairs v Bhardwaj </w:t>
        </w:r>
      </w:hyperlink>
      <w:r w:rsidR="00BF22E6" w:rsidRPr="00BF22E6">
        <w:rPr>
          <w:rFonts w:ascii="Arial" w:hAnsi="Arial" w:cs="Arial"/>
          <w:color w:val="000000" w:themeColor="text1"/>
          <w:sz w:val="20"/>
          <w:szCs w:val="20"/>
        </w:rPr>
        <w:t>(2002) 209 CLR 597 at </w:t>
      </w:r>
      <w:hyperlink r:id="rId24" w:history="1">
        <w:r w:rsidR="00BF22E6" w:rsidRPr="00BF22E6">
          <w:rPr>
            <w:rStyle w:val="Hyperlink"/>
            <w:rFonts w:ascii="Arial" w:hAnsi="Arial" w:cs="Arial"/>
            <w:color w:val="000000" w:themeColor="text1"/>
            <w:sz w:val="20"/>
            <w:szCs w:val="20"/>
            <w:u w:val="none"/>
          </w:rPr>
          <w:t>611</w:t>
        </w:r>
      </w:hyperlink>
      <w:r w:rsidR="00BF22E6" w:rsidRPr="00BF22E6">
        <w:rPr>
          <w:rFonts w:ascii="Arial" w:hAnsi="Arial" w:cs="Arial"/>
          <w:color w:val="000000" w:themeColor="text1"/>
          <w:sz w:val="20"/>
          <w:szCs w:val="20"/>
        </w:rPr>
        <w:t>, </w:t>
      </w:r>
      <w:hyperlink r:id="rId25" w:history="1">
        <w:r w:rsidR="00BF22E6" w:rsidRPr="00BF22E6">
          <w:rPr>
            <w:rStyle w:val="Hyperlink"/>
            <w:rFonts w:ascii="Arial" w:hAnsi="Arial" w:cs="Arial"/>
            <w:color w:val="000000" w:themeColor="text1"/>
            <w:sz w:val="20"/>
            <w:szCs w:val="20"/>
            <w:u w:val="none"/>
          </w:rPr>
          <w:t>[40]</w:t>
        </w:r>
      </w:hyperlink>
      <w:r w:rsidR="00BF22E6">
        <w:rPr>
          <w:rFonts w:ascii="Arial" w:hAnsi="Arial" w:cs="Arial"/>
          <w:color w:val="000000" w:themeColor="text1"/>
          <w:sz w:val="20"/>
          <w:szCs w:val="20"/>
        </w:rPr>
        <w:t xml:space="preserve">} </w:t>
      </w:r>
      <w:r w:rsidRPr="00BF22E6">
        <w:rPr>
          <w:rFonts w:ascii="Arial" w:hAnsi="Arial" w:cs="Arial"/>
          <w:color w:val="000000" w:themeColor="text1"/>
          <w:sz w:val="20"/>
          <w:szCs w:val="20"/>
        </w:rPr>
        <w:t>is vital both to the reality and the appearance of justice.”</w:t>
      </w:r>
    </w:p>
    <w:p w14:paraId="41460D80" w14:textId="77777777" w:rsidR="00C83BC0" w:rsidRDefault="00C83BC0">
      <w:pPr>
        <w:jc w:val="both"/>
        <w:rPr>
          <w:rFonts w:ascii="Arial" w:hAnsi="Arial" w:cs="Arial"/>
          <w:color w:val="000000"/>
          <w:sz w:val="20"/>
        </w:rPr>
      </w:pPr>
    </w:p>
    <w:p w14:paraId="032BD28E" w14:textId="125E288B" w:rsidR="00D27D03" w:rsidRDefault="00D27D03">
      <w:pPr>
        <w:jc w:val="both"/>
        <w:rPr>
          <w:rFonts w:ascii="Arial" w:hAnsi="Arial" w:cs="Arial"/>
          <w:color w:val="000000"/>
          <w:sz w:val="20"/>
        </w:rPr>
      </w:pPr>
      <w:r>
        <w:rPr>
          <w:rFonts w:ascii="Arial" w:hAnsi="Arial" w:cs="Arial"/>
          <w:color w:val="000000"/>
          <w:sz w:val="20"/>
        </w:rPr>
        <w:t xml:space="preserve">In </w:t>
      </w:r>
      <w:r w:rsidRPr="00D27D03">
        <w:rPr>
          <w:rFonts w:ascii="Arial" w:hAnsi="Arial" w:cs="Arial"/>
          <w:i/>
          <w:iCs/>
          <w:color w:val="000000"/>
          <w:sz w:val="20"/>
        </w:rPr>
        <w:t>Austin v Dobbs</w:t>
      </w:r>
      <w:r>
        <w:rPr>
          <w:rFonts w:ascii="Arial" w:hAnsi="Arial" w:cs="Arial"/>
          <w:color w:val="000000"/>
          <w:sz w:val="20"/>
        </w:rPr>
        <w:t xml:space="preserve"> [2019] VSC 355</w:t>
      </w:r>
      <w:r w:rsidR="001451D5">
        <w:rPr>
          <w:rFonts w:ascii="Arial" w:hAnsi="Arial" w:cs="Arial"/>
          <w:color w:val="000000"/>
          <w:sz w:val="20"/>
        </w:rPr>
        <w:t xml:space="preserve"> </w:t>
      </w:r>
      <w:r>
        <w:rPr>
          <w:rFonts w:ascii="Arial" w:hAnsi="Arial" w:cs="Arial"/>
          <w:color w:val="000000"/>
          <w:sz w:val="20"/>
        </w:rPr>
        <w:t>at [86]-[9</w:t>
      </w:r>
      <w:r w:rsidR="001F471C">
        <w:rPr>
          <w:rFonts w:ascii="Arial" w:hAnsi="Arial" w:cs="Arial"/>
          <w:color w:val="000000"/>
          <w:sz w:val="20"/>
        </w:rPr>
        <w:t>0</w:t>
      </w:r>
      <w:r>
        <w:rPr>
          <w:rFonts w:ascii="Arial" w:hAnsi="Arial" w:cs="Arial"/>
          <w:color w:val="000000"/>
          <w:sz w:val="20"/>
        </w:rPr>
        <w:t xml:space="preserve">] </w:t>
      </w:r>
      <w:r w:rsidR="003839DB">
        <w:rPr>
          <w:rFonts w:ascii="Arial" w:hAnsi="Arial" w:cs="Arial"/>
          <w:color w:val="000000"/>
          <w:sz w:val="20"/>
        </w:rPr>
        <w:t xml:space="preserve">– upheld by the Court of Appeal [2019] VSCA </w:t>
      </w:r>
      <w:r w:rsidR="00CE3457">
        <w:rPr>
          <w:rFonts w:ascii="Arial" w:hAnsi="Arial" w:cs="Arial"/>
          <w:color w:val="000000"/>
          <w:sz w:val="20"/>
        </w:rPr>
        <w:t>296</w:t>
      </w:r>
      <w:r w:rsidR="003839DB">
        <w:rPr>
          <w:rFonts w:ascii="Arial" w:hAnsi="Arial" w:cs="Arial"/>
          <w:color w:val="000000"/>
          <w:sz w:val="20"/>
        </w:rPr>
        <w:t xml:space="preserve"> –</w:t>
      </w:r>
      <w:r>
        <w:rPr>
          <w:rFonts w:ascii="Arial" w:hAnsi="Arial" w:cs="Arial"/>
          <w:color w:val="000000"/>
          <w:sz w:val="20"/>
        </w:rPr>
        <w:t>Ginnane</w:t>
      </w:r>
      <w:r w:rsidR="003839DB">
        <w:rPr>
          <w:rFonts w:ascii="Arial" w:hAnsi="Arial" w:cs="Arial"/>
          <w:color w:val="000000"/>
          <w:sz w:val="20"/>
        </w:rPr>
        <w:t xml:space="preserve"> </w:t>
      </w:r>
      <w:r>
        <w:rPr>
          <w:rFonts w:ascii="Arial" w:hAnsi="Arial" w:cs="Arial"/>
          <w:color w:val="000000"/>
          <w:sz w:val="20"/>
        </w:rPr>
        <w:t>J discussed the role of a judicial officer when dealing with self-represented litigants</w:t>
      </w:r>
      <w:r w:rsidR="003839DB">
        <w:rPr>
          <w:rFonts w:ascii="Arial" w:hAnsi="Arial" w:cs="Arial"/>
          <w:color w:val="000000"/>
          <w:sz w:val="20"/>
        </w:rPr>
        <w:t>:</w:t>
      </w:r>
    </w:p>
    <w:p w14:paraId="43393CD2" w14:textId="77777777" w:rsidR="00D27D03" w:rsidRPr="00F81B96" w:rsidRDefault="00D27D03" w:rsidP="005F231E">
      <w:pPr>
        <w:spacing w:before="60"/>
        <w:ind w:left="454" w:right="454"/>
        <w:jc w:val="both"/>
        <w:rPr>
          <w:rFonts w:ascii="Arial" w:hAnsi="Arial" w:cs="Arial"/>
          <w:iCs/>
          <w:color w:val="000000"/>
          <w:sz w:val="20"/>
        </w:rPr>
      </w:pPr>
      <w:r>
        <w:rPr>
          <w:rFonts w:ascii="Arial" w:hAnsi="Arial" w:cs="Arial"/>
          <w:iCs/>
          <w:color w:val="000000"/>
          <w:sz w:val="20"/>
        </w:rPr>
        <w:t>“</w:t>
      </w:r>
      <w:r w:rsidRPr="00D27D03">
        <w:rPr>
          <w:rFonts w:ascii="Arial" w:hAnsi="Arial" w:cs="Arial"/>
          <w:color w:val="000000"/>
          <w:sz w:val="20"/>
        </w:rPr>
        <w:t>When dealing with self-represented litigants, judicial officers must ensure, to the extent possible, a fair trial and ‘equality of arms’ by providing due assistance to such litigants. Such a duty recognises the disadvantage self-represented litigants face in Court, principally due to their lack of professional legal skills and their lack of objectivity.</w:t>
      </w:r>
      <w:r>
        <w:rPr>
          <w:rFonts w:ascii="Arial" w:hAnsi="Arial" w:cs="Arial"/>
          <w:color w:val="000000"/>
          <w:sz w:val="20"/>
        </w:rPr>
        <w:t xml:space="preserve">  </w:t>
      </w:r>
      <w:r w:rsidRPr="00D27D03">
        <w:rPr>
          <w:rFonts w:ascii="Arial" w:hAnsi="Arial" w:cs="Arial"/>
          <w:color w:val="000000"/>
          <w:sz w:val="20"/>
        </w:rPr>
        <w:t xml:space="preserve">As Bell J stated in </w:t>
      </w:r>
      <w:r w:rsidRPr="00D27D03">
        <w:rPr>
          <w:rFonts w:ascii="Arial" w:hAnsi="Arial" w:cs="Arial"/>
          <w:i/>
          <w:iCs/>
          <w:color w:val="000000"/>
          <w:sz w:val="20"/>
        </w:rPr>
        <w:t>Tomasevic v Travaglini</w:t>
      </w:r>
      <w:r>
        <w:rPr>
          <w:rFonts w:ascii="Arial" w:hAnsi="Arial" w:cs="Arial"/>
          <w:color w:val="000000"/>
          <w:sz w:val="20"/>
        </w:rPr>
        <w:t xml:space="preserve"> </w:t>
      </w:r>
      <w:r w:rsidR="001451D5" w:rsidRPr="00D27D03">
        <w:rPr>
          <w:rFonts w:ascii="Arial" w:hAnsi="Arial" w:cs="Arial"/>
          <w:color w:val="000000"/>
          <w:sz w:val="20"/>
        </w:rPr>
        <w:t>(2007) 17 VR 100</w:t>
      </w:r>
      <w:r w:rsidR="001451D5">
        <w:rPr>
          <w:rFonts w:ascii="Arial" w:hAnsi="Arial" w:cs="Arial"/>
          <w:color w:val="000000"/>
          <w:sz w:val="20"/>
        </w:rPr>
        <w:t xml:space="preserve"> </w:t>
      </w:r>
      <w:r>
        <w:rPr>
          <w:rFonts w:ascii="Arial" w:hAnsi="Arial" w:cs="Arial"/>
          <w:color w:val="000000"/>
          <w:sz w:val="20"/>
        </w:rPr>
        <w:t>at [</w:t>
      </w:r>
      <w:r w:rsidR="00826176">
        <w:rPr>
          <w:rFonts w:ascii="Arial" w:hAnsi="Arial" w:cs="Arial"/>
          <w:color w:val="000000"/>
          <w:sz w:val="20"/>
        </w:rPr>
        <w:t>139</w:t>
      </w:r>
      <w:r>
        <w:rPr>
          <w:rFonts w:ascii="Arial" w:hAnsi="Arial" w:cs="Arial"/>
          <w:color w:val="000000"/>
          <w:sz w:val="20"/>
        </w:rPr>
        <w:t>]</w:t>
      </w:r>
      <w:r w:rsidR="00826176">
        <w:rPr>
          <w:rFonts w:ascii="Arial" w:hAnsi="Arial" w:cs="Arial"/>
          <w:color w:val="000000"/>
          <w:sz w:val="20"/>
        </w:rPr>
        <w:t>-[141]</w:t>
      </w:r>
      <w:r>
        <w:rPr>
          <w:rFonts w:ascii="Arial" w:hAnsi="Arial" w:cs="Arial"/>
          <w:color w:val="000000"/>
          <w:sz w:val="20"/>
        </w:rPr>
        <w:t>:</w:t>
      </w:r>
    </w:p>
    <w:p w14:paraId="05DF16B7" w14:textId="77777777" w:rsidR="00826176" w:rsidRPr="003E72C0" w:rsidRDefault="00D27D03"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‘Every judge in every trial, both criminal and civil, has an overriding duty to ensure the trial is fair. A fair trial is the only trial a judge can judicially conduct. The duty is inherent in the rule of law and the judicial process. Equality before the law and equal access to justice are fundamental human rights specified in the ICCPR. The proper performance of the duty to ensure a fair trial would also ensure those rights are promoted and respected.</w:t>
      </w:r>
    </w:p>
    <w:p w14:paraId="5A772D77" w14:textId="77777777" w:rsidR="00D27D03" w:rsidRPr="003E72C0" w:rsidRDefault="00D27D03"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Most self-represented persons lack two qualities that competent lawyers possess - legal skill and ability, and objectivity. Self-represented litigants therefore usually stand in a position of grave disadvantage in legal proceedings of all kinds. Consequently, a judge has a duty to ensure a fair trial by giving self-represented litigants due assistance. Doing so helps to ensure the litigant is treated equally before the law and has equal access to justice.</w:t>
      </w:r>
    </w:p>
    <w:p w14:paraId="291816E8" w14:textId="77777777" w:rsidR="00D27D03" w:rsidRPr="003E72C0" w:rsidRDefault="00D27D03"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The matters regarding which the judge must assist a self-represented litigant are not limited, for the judge must give such assistance as is necessary to ensure a fair trial. The proper scope of the assistance depends on the particular litigant and the nature of the case. The touchstones are fairness and balance. The assistance may extend to issues concerning substantive legal rights as well as to issues concerning the procedure that will be followed. The Family Court of Australia has enunciated useful guidelines on the performance of the duty.</w:t>
      </w:r>
      <w:r w:rsidR="00826176" w:rsidRPr="003E72C0">
        <w:rPr>
          <w:rFonts w:ascii="Arial" w:hAnsi="Arial" w:cs="Arial"/>
          <w:color w:val="000000"/>
          <w:sz w:val="18"/>
          <w:szCs w:val="22"/>
        </w:rPr>
        <w:t>’</w:t>
      </w:r>
    </w:p>
    <w:p w14:paraId="1C33929B" w14:textId="77777777" w:rsidR="00826176" w:rsidRDefault="00826176" w:rsidP="00826176">
      <w:pPr>
        <w:spacing w:before="60"/>
        <w:ind w:left="454" w:right="454"/>
        <w:jc w:val="both"/>
        <w:rPr>
          <w:rFonts w:ascii="Arial" w:hAnsi="Arial" w:cs="Arial"/>
          <w:color w:val="000000"/>
          <w:sz w:val="20"/>
        </w:rPr>
      </w:pPr>
      <w:r w:rsidRPr="00D27D03">
        <w:rPr>
          <w:rFonts w:ascii="Arial" w:hAnsi="Arial" w:cs="Arial"/>
          <w:color w:val="000000"/>
          <w:sz w:val="20"/>
        </w:rPr>
        <w:t>Although this statement is directed towards trials and final hearings, the duty of a judicial officer extends to interlocutory and procedural steps that occur before, and lead up to, the trial or final hearing.</w:t>
      </w:r>
    </w:p>
    <w:p w14:paraId="018C135D" w14:textId="77777777" w:rsidR="00826176" w:rsidRPr="00F81B96" w:rsidRDefault="00826176" w:rsidP="00826176">
      <w:pPr>
        <w:spacing w:before="60"/>
        <w:ind w:left="454" w:right="454"/>
        <w:jc w:val="both"/>
        <w:rPr>
          <w:rFonts w:ascii="Arial" w:hAnsi="Arial" w:cs="Arial"/>
          <w:iCs/>
          <w:color w:val="000000"/>
          <w:sz w:val="20"/>
        </w:rPr>
      </w:pPr>
      <w:r w:rsidRPr="00D27D03">
        <w:rPr>
          <w:rFonts w:ascii="Arial" w:hAnsi="Arial" w:cs="Arial"/>
          <w:color w:val="000000"/>
          <w:sz w:val="20"/>
        </w:rPr>
        <w:t xml:space="preserve">However, the duty of the judicial officer must be viewed in light of the inherent restraints posed by the adversarial system in which they operate. In </w:t>
      </w:r>
      <w:r w:rsidRPr="00826176">
        <w:rPr>
          <w:rFonts w:ascii="Arial" w:hAnsi="Arial" w:cs="Arial"/>
          <w:i/>
          <w:iCs/>
          <w:color w:val="000000"/>
          <w:sz w:val="20"/>
        </w:rPr>
        <w:t>Tomasevic</w:t>
      </w:r>
      <w:r w:rsidRPr="00D27D03">
        <w:rPr>
          <w:rFonts w:ascii="Arial" w:hAnsi="Arial" w:cs="Arial"/>
          <w:color w:val="000000"/>
          <w:sz w:val="20"/>
        </w:rPr>
        <w:t xml:space="preserve"> </w:t>
      </w:r>
      <w:r>
        <w:rPr>
          <w:rFonts w:ascii="Arial" w:hAnsi="Arial" w:cs="Arial"/>
          <w:color w:val="000000"/>
          <w:sz w:val="20"/>
        </w:rPr>
        <w:t>at [</w:t>
      </w:r>
      <w:r w:rsidR="001451D5">
        <w:rPr>
          <w:rFonts w:ascii="Arial" w:hAnsi="Arial" w:cs="Arial"/>
          <w:color w:val="000000"/>
          <w:sz w:val="20"/>
        </w:rPr>
        <w:t>142</w:t>
      </w:r>
      <w:r>
        <w:rPr>
          <w:rFonts w:ascii="Arial" w:hAnsi="Arial" w:cs="Arial"/>
          <w:color w:val="000000"/>
          <w:sz w:val="20"/>
        </w:rPr>
        <w:t xml:space="preserve">] </w:t>
      </w:r>
      <w:r w:rsidRPr="00D27D03">
        <w:rPr>
          <w:rFonts w:ascii="Arial" w:hAnsi="Arial" w:cs="Arial"/>
          <w:color w:val="000000"/>
          <w:sz w:val="20"/>
        </w:rPr>
        <w:t>Bell J went on to state that:</w:t>
      </w:r>
    </w:p>
    <w:p w14:paraId="75CF7C19" w14:textId="7F75D032" w:rsidR="00826176" w:rsidRPr="003E72C0" w:rsidRDefault="00826176"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‘The judge cannot become the advocate of the self-represented litigant, for the role of the judge is fundamentally different to that of an advocate. Further, the judge must maintain the reality and appearance of judicial neutrality at all times and to all parties, represented and self-represented. The assistance must be proportionate in the circumstances - it must ensure a fair trial, not afford an advantage to the self-represented litigant.’</w:t>
      </w:r>
    </w:p>
    <w:p w14:paraId="33D8B675" w14:textId="77777777" w:rsidR="00826176" w:rsidRPr="00F81B96" w:rsidRDefault="00826176" w:rsidP="00826176">
      <w:pPr>
        <w:spacing w:before="60"/>
        <w:ind w:left="454" w:right="454"/>
        <w:jc w:val="both"/>
        <w:rPr>
          <w:rFonts w:ascii="Arial" w:hAnsi="Arial" w:cs="Arial"/>
          <w:iCs/>
          <w:color w:val="000000"/>
          <w:sz w:val="20"/>
        </w:rPr>
      </w:pPr>
      <w:r w:rsidRPr="00D27D03">
        <w:rPr>
          <w:rFonts w:ascii="Arial" w:hAnsi="Arial" w:cs="Arial"/>
          <w:color w:val="000000"/>
          <w:sz w:val="20"/>
        </w:rPr>
        <w:t xml:space="preserve">More recently in </w:t>
      </w:r>
      <w:r w:rsidRPr="00826176">
        <w:rPr>
          <w:rFonts w:ascii="Arial" w:hAnsi="Arial" w:cs="Arial"/>
          <w:i/>
          <w:iCs/>
          <w:color w:val="000000"/>
          <w:sz w:val="20"/>
        </w:rPr>
        <w:t>Matsoukatidou v Yarra Ranges Council</w:t>
      </w:r>
      <w:r w:rsidRPr="00D27D03">
        <w:rPr>
          <w:rFonts w:ascii="Arial" w:hAnsi="Arial" w:cs="Arial"/>
          <w:color w:val="000000"/>
          <w:sz w:val="20"/>
        </w:rPr>
        <w:t xml:space="preserve"> </w:t>
      </w:r>
      <w:r w:rsidR="001451D5" w:rsidRPr="001451D5">
        <w:rPr>
          <w:rFonts w:ascii="Arial" w:hAnsi="Arial" w:cs="Arial"/>
          <w:color w:val="000000"/>
          <w:sz w:val="20"/>
        </w:rPr>
        <w:t>(2017) 51 VR 624</w:t>
      </w:r>
      <w:r w:rsidR="001451D5">
        <w:rPr>
          <w:rFonts w:ascii="Arial" w:hAnsi="Arial" w:cs="Arial"/>
          <w:color w:val="000000"/>
          <w:sz w:val="20"/>
        </w:rPr>
        <w:t xml:space="preserve">; [2017] VSC 61 at [134] </w:t>
      </w:r>
      <w:r w:rsidRPr="00D27D03">
        <w:rPr>
          <w:rFonts w:ascii="Arial" w:hAnsi="Arial" w:cs="Arial"/>
          <w:color w:val="000000"/>
          <w:sz w:val="20"/>
        </w:rPr>
        <w:t>Bell J elaborated upon this the limits of the assistance that a Judge can provide:</w:t>
      </w:r>
    </w:p>
    <w:p w14:paraId="1BDC70C3" w14:textId="6DEE0587" w:rsidR="00826176" w:rsidRPr="003E72C0" w:rsidRDefault="00826176"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18"/>
        </w:rPr>
        <w:t xml:space="preserve">‘However, under both the common law and s 24(1) </w:t>
      </w:r>
      <w:r w:rsidR="001451D5" w:rsidRPr="003E72C0">
        <w:rPr>
          <w:rFonts w:ascii="Arial" w:hAnsi="Arial" w:cs="Arial"/>
          <w:color w:val="000000"/>
          <w:sz w:val="18"/>
          <w:szCs w:val="18"/>
        </w:rPr>
        <w:t xml:space="preserve">[of the </w:t>
      </w:r>
      <w:r w:rsidR="001451D5" w:rsidRPr="003E72C0">
        <w:rPr>
          <w:rFonts w:ascii="Arial" w:hAnsi="Arial" w:cs="Arial"/>
          <w:i/>
          <w:iCs/>
          <w:color w:val="333333"/>
          <w:sz w:val="18"/>
          <w:szCs w:val="18"/>
          <w:shd w:val="clear" w:color="auto" w:fill="FFFFFF"/>
        </w:rPr>
        <w:t>Charter of Human Rights and Responsibilities Act 2006</w:t>
      </w:r>
      <w:r w:rsidR="001451D5" w:rsidRPr="003E72C0">
        <w:rPr>
          <w:rFonts w:ascii="Arial" w:hAnsi="Arial" w:cs="Arial"/>
          <w:color w:val="333333"/>
          <w:sz w:val="18"/>
          <w:szCs w:val="18"/>
          <w:shd w:val="clear" w:color="auto" w:fill="FFFFFF"/>
        </w:rPr>
        <w:t xml:space="preserve">] </w:t>
      </w:r>
      <w:r w:rsidRPr="003E72C0">
        <w:rPr>
          <w:rFonts w:ascii="Arial" w:hAnsi="Arial" w:cs="Arial"/>
          <w:color w:val="000000"/>
          <w:sz w:val="18"/>
          <w:szCs w:val="18"/>
        </w:rPr>
        <w:t>there is a boundary that cannot be</w:t>
      </w:r>
      <w:r w:rsidRPr="003E72C0">
        <w:rPr>
          <w:rFonts w:ascii="Arial" w:hAnsi="Arial" w:cs="Arial"/>
          <w:color w:val="000000"/>
          <w:sz w:val="18"/>
          <w:szCs w:val="22"/>
        </w:rPr>
        <w:t xml:space="preserve"> crossed by virtue of the judicial nature of the function of the court or tribunal, which requires maintenance of both the appearance and reality of neutrality in the proceeding between the parties. Under the common law, the limits of this boundary are marked out by the fundamental requirement that advice and assistance provided by the court or tribunal must not be such as to give rise to a reasonable apprehension of bias in the mind of a properly informed fair-minded observer. Under s 24(1), the limits are marked out by the fundamental requirements of judicial independence, impartiality and fairness and respect for the human rights of other participants.’</w:t>
      </w:r>
    </w:p>
    <w:p w14:paraId="72DE9C8A" w14:textId="77777777" w:rsidR="001F471C" w:rsidRPr="00F81B96" w:rsidRDefault="001F471C" w:rsidP="001F471C">
      <w:pPr>
        <w:spacing w:before="60"/>
        <w:ind w:left="454" w:right="454"/>
        <w:jc w:val="both"/>
        <w:rPr>
          <w:rFonts w:ascii="Arial" w:hAnsi="Arial" w:cs="Arial"/>
          <w:iCs/>
          <w:color w:val="000000"/>
          <w:sz w:val="20"/>
        </w:rPr>
      </w:pPr>
      <w:r w:rsidRPr="001F471C">
        <w:rPr>
          <w:rFonts w:ascii="Arial" w:hAnsi="Arial" w:cs="Arial"/>
          <w:color w:val="000000"/>
          <w:sz w:val="20"/>
        </w:rPr>
        <w:lastRenderedPageBreak/>
        <w:t>In my opinion, had the Magistrate done what the plaintiff asserted he should have done, the ‘boundary’ identified by Bell J would have been crossed. By raising applications that he thought that the plaintiff should have made, the Magistrate would have ceased being an impartial arbiter and would have instead begun to act as advocate for the plaintiff. To strike out a proceeding to assist a self-represented litigant, in the absence of an application by a party, would result in the surrender of judicial neutrality</w:t>
      </w:r>
      <w:r>
        <w:rPr>
          <w:rFonts w:ascii="Arial" w:hAnsi="Arial" w:cs="Arial"/>
          <w:color w:val="000000"/>
          <w:sz w:val="20"/>
        </w:rPr>
        <w:t>.”</w:t>
      </w:r>
    </w:p>
    <w:p w14:paraId="612840B5" w14:textId="77777777" w:rsidR="00CE3457" w:rsidRPr="00D27D03" w:rsidRDefault="00CE3457" w:rsidP="00CE3457">
      <w:pPr>
        <w:jc w:val="both"/>
        <w:rPr>
          <w:rFonts w:ascii="Arial" w:hAnsi="Arial" w:cs="Arial"/>
          <w:color w:val="000000"/>
          <w:sz w:val="20"/>
        </w:rPr>
      </w:pPr>
    </w:p>
    <w:p w14:paraId="5644C489" w14:textId="32E11893" w:rsidR="008E5CB0" w:rsidRDefault="008E5CB0" w:rsidP="00AF5EB8">
      <w:pPr>
        <w:tabs>
          <w:tab w:val="left" w:pos="1440"/>
        </w:tabs>
        <w:jc w:val="both"/>
        <w:rPr>
          <w:rFonts w:ascii="Arial" w:hAnsi="Arial" w:cs="Arial"/>
          <w:color w:val="000000"/>
          <w:sz w:val="20"/>
        </w:rPr>
      </w:pPr>
      <w:r>
        <w:rPr>
          <w:rFonts w:ascii="Arial" w:hAnsi="Arial" w:cs="Arial"/>
          <w:color w:val="000000"/>
          <w:sz w:val="20"/>
        </w:rPr>
        <w:t xml:space="preserve">In </w:t>
      </w:r>
      <w:r w:rsidRPr="008E5CB0">
        <w:rPr>
          <w:rFonts w:ascii="Arial" w:hAnsi="Arial" w:cs="Arial"/>
          <w:i/>
          <w:iCs/>
          <w:color w:val="000000"/>
          <w:sz w:val="20"/>
        </w:rPr>
        <w:t>Kelly v The Queen</w:t>
      </w:r>
      <w:r>
        <w:rPr>
          <w:rFonts w:ascii="Arial" w:hAnsi="Arial" w:cs="Arial"/>
          <w:color w:val="000000"/>
          <w:sz w:val="20"/>
        </w:rPr>
        <w:t xml:space="preserve"> [2021] VSCA 216 events occurring after the plea hearing had been adjourned had been taken into account by the sentencing judge against the appellant but he had not been given the opportunity – despite requesting to do so – to make submissions about those events.  At [37] the Court of Appeal (Priest &amp; Beach JJA) concluded that “in making the findings the judge made, on the issues of acceptance of responsibility, insight and rehabilitation, without seeking further submissions from the appellant, involved a denial of procedural fairness.”  However, despite that </w:t>
      </w:r>
      <w:r w:rsidR="0049196B">
        <w:rPr>
          <w:rFonts w:ascii="Arial" w:hAnsi="Arial" w:cs="Arial"/>
          <w:color w:val="000000"/>
          <w:sz w:val="20"/>
        </w:rPr>
        <w:t xml:space="preserve">finding, </w:t>
      </w:r>
      <w:r>
        <w:rPr>
          <w:rFonts w:ascii="Arial" w:hAnsi="Arial" w:cs="Arial"/>
          <w:color w:val="000000"/>
          <w:sz w:val="20"/>
        </w:rPr>
        <w:t>the Court of Appeal dismissed the appeal on the basis that assuming in the appellant’s favour that he appropriately accepted responsibility, possessed insight and had good prospects of success, the Court was not satisfied that any different sentence should be imposed.</w:t>
      </w:r>
    </w:p>
    <w:p w14:paraId="289B64FE" w14:textId="71979872" w:rsidR="008E5CB0" w:rsidRDefault="008E5CB0" w:rsidP="008E5CB0">
      <w:pPr>
        <w:tabs>
          <w:tab w:val="left" w:pos="1440"/>
        </w:tabs>
        <w:jc w:val="both"/>
        <w:rPr>
          <w:rFonts w:ascii="Arial" w:hAnsi="Arial" w:cs="Arial"/>
          <w:color w:val="000000"/>
          <w:sz w:val="20"/>
        </w:rPr>
      </w:pPr>
    </w:p>
    <w:p w14:paraId="5FC052A3" w14:textId="5A34A2E2" w:rsidR="00F202AD" w:rsidRDefault="00F202AD" w:rsidP="008E5CB0">
      <w:pPr>
        <w:tabs>
          <w:tab w:val="left" w:pos="1440"/>
        </w:tabs>
        <w:jc w:val="both"/>
        <w:rPr>
          <w:rFonts w:ascii="Arial" w:hAnsi="Arial" w:cs="Arial"/>
          <w:color w:val="000000"/>
          <w:sz w:val="20"/>
        </w:rPr>
      </w:pPr>
      <w:r>
        <w:rPr>
          <w:rFonts w:ascii="Arial" w:hAnsi="Arial" w:cs="Arial"/>
          <w:color w:val="000000"/>
          <w:sz w:val="20"/>
        </w:rPr>
        <w:t xml:space="preserve">In </w:t>
      </w:r>
      <w:r w:rsidRPr="00701A60">
        <w:rPr>
          <w:rFonts w:ascii="Arial" w:hAnsi="Arial" w:cs="Arial"/>
          <w:bCs/>
          <w:i/>
          <w:iCs/>
          <w:color w:val="000000"/>
          <w:sz w:val="20"/>
        </w:rPr>
        <w:t>Konidaris v The Queen</w:t>
      </w:r>
      <w:r>
        <w:rPr>
          <w:rFonts w:ascii="Arial" w:hAnsi="Arial" w:cs="Arial"/>
          <w:bCs/>
          <w:color w:val="000000"/>
          <w:sz w:val="20"/>
        </w:rPr>
        <w:t xml:space="preserve"> [2021] VSCA 309 </w:t>
      </w:r>
      <w:r w:rsidR="002535E9">
        <w:rPr>
          <w:rFonts w:ascii="Arial" w:hAnsi="Arial" w:cs="Arial"/>
          <w:bCs/>
          <w:color w:val="000000"/>
          <w:sz w:val="20"/>
        </w:rPr>
        <w:t>the Court of Appeal held that the sentencing judge had failed to afford procedural fairness to the appellant by accessing and relying on a medical report not formally tendered or relied on in the plea and by using the report to make findings contrary to the expert evidence before the Court. At [89] Emerton &amp; Osborn JJA said:</w:t>
      </w:r>
    </w:p>
    <w:p w14:paraId="544758D9" w14:textId="438E0DE1" w:rsidR="00F202AD" w:rsidRPr="00157258" w:rsidRDefault="00157258" w:rsidP="007B22CD">
      <w:pPr>
        <w:spacing w:before="60"/>
        <w:ind w:left="454" w:right="454"/>
        <w:jc w:val="both"/>
        <w:rPr>
          <w:rFonts w:ascii="Arial" w:hAnsi="Arial" w:cs="Arial"/>
          <w:sz w:val="20"/>
          <w:szCs w:val="20"/>
        </w:rPr>
      </w:pPr>
      <w:r>
        <w:rPr>
          <w:rFonts w:ascii="Arial" w:hAnsi="Arial" w:cs="Arial"/>
          <w:sz w:val="20"/>
          <w:szCs w:val="20"/>
        </w:rPr>
        <w:t>“</w:t>
      </w:r>
      <w:r w:rsidR="00F202AD" w:rsidRPr="002535E9">
        <w:rPr>
          <w:rFonts w:ascii="Arial" w:hAnsi="Arial" w:cs="Arial"/>
          <w:sz w:val="20"/>
          <w:szCs w:val="20"/>
        </w:rPr>
        <w:t xml:space="preserve">We consider that in obtaining and using the Sevar report to counter the evidence given by Dr Owens, the sentencing judge acted not as an adjudicator, but as an investigator and, in so doing, stepped outside the judicial role.  It is not within the limits of the judicial function for a judge to attempt to fill a gap in the evidence on a matter of </w:t>
      </w:r>
      <w:r w:rsidR="00F202AD" w:rsidRPr="002535E9">
        <w:rPr>
          <w:rFonts w:ascii="Arial" w:eastAsia="Book Antiqua" w:hAnsi="Arial" w:cs="Arial"/>
          <w:sz w:val="20"/>
          <w:szCs w:val="20"/>
        </w:rPr>
        <w:t>controversy, as this involves ‘</w:t>
      </w:r>
      <w:r w:rsidR="00F202AD" w:rsidRPr="002535E9">
        <w:rPr>
          <w:rFonts w:ascii="Arial" w:hAnsi="Arial" w:cs="Arial"/>
          <w:sz w:val="20"/>
          <w:szCs w:val="20"/>
        </w:rPr>
        <w:t>trespassing into prohibited territory</w:t>
      </w:r>
      <w:r w:rsidR="00F202AD" w:rsidRPr="002535E9">
        <w:rPr>
          <w:rFonts w:ascii="Arial" w:eastAsia="Book Antiqua" w:hAnsi="Arial" w:cs="Arial"/>
          <w:sz w:val="20"/>
          <w:szCs w:val="20"/>
        </w:rPr>
        <w:t>’</w:t>
      </w:r>
      <w:r w:rsidR="002535E9" w:rsidRPr="002535E9">
        <w:rPr>
          <w:rFonts w:ascii="Arial" w:eastAsia="Book Antiqua" w:hAnsi="Arial" w:cs="Arial"/>
          <w:sz w:val="20"/>
          <w:szCs w:val="20"/>
        </w:rPr>
        <w:t xml:space="preserve">: </w:t>
      </w:r>
      <w:r w:rsidR="002535E9" w:rsidRPr="002535E9">
        <w:rPr>
          <w:rFonts w:ascii="Arial" w:eastAsia="Book Antiqua" w:hAnsi="Arial" w:cs="Arial"/>
          <w:i/>
          <w:sz w:val="20"/>
          <w:szCs w:val="20"/>
        </w:rPr>
        <w:t xml:space="preserve">SD </w:t>
      </w:r>
      <w:r w:rsidR="002535E9" w:rsidRPr="002535E9">
        <w:rPr>
          <w:rFonts w:ascii="Arial" w:hAnsi="Arial" w:cs="Arial"/>
          <w:sz w:val="20"/>
          <w:szCs w:val="20"/>
        </w:rPr>
        <w:t xml:space="preserve">(2013) 39 VR 487, 498 [43]; [2013] VSCA 133 (Ashley, Redlich and Priest JJA), referring to </w:t>
      </w:r>
      <w:r w:rsidR="002535E9" w:rsidRPr="002535E9">
        <w:rPr>
          <w:rFonts w:ascii="Arial" w:eastAsia="Book Antiqua" w:hAnsi="Arial" w:cs="Arial"/>
          <w:i/>
          <w:sz w:val="20"/>
          <w:szCs w:val="20"/>
        </w:rPr>
        <w:t>R v H</w:t>
      </w:r>
      <w:r w:rsidR="002535E9" w:rsidRPr="002535E9">
        <w:rPr>
          <w:rFonts w:ascii="Arial" w:hAnsi="Arial" w:cs="Arial"/>
          <w:sz w:val="20"/>
          <w:szCs w:val="20"/>
        </w:rPr>
        <w:t xml:space="preserve"> [2005] NSWCCA 282, [67]</w:t>
      </w:r>
      <w:r w:rsidR="002535E9" w:rsidRPr="002535E9">
        <w:rPr>
          <w:rFonts w:ascii="Arial" w:eastAsia="Book Antiqua" w:hAnsi="Arial" w:cs="Arial"/>
          <w:sz w:val="20"/>
          <w:szCs w:val="20"/>
        </w:rPr>
        <w:t>–</w:t>
      </w:r>
      <w:r w:rsidR="002535E9" w:rsidRPr="002535E9">
        <w:rPr>
          <w:rFonts w:ascii="Arial" w:hAnsi="Arial" w:cs="Arial"/>
          <w:sz w:val="20"/>
          <w:szCs w:val="20"/>
        </w:rPr>
        <w:t xml:space="preserve">[69] (Studdert, Bell and Latham JJ);  </w:t>
      </w:r>
      <w:r w:rsidR="002535E9" w:rsidRPr="002535E9">
        <w:rPr>
          <w:rFonts w:ascii="Arial" w:eastAsia="Book Antiqua" w:hAnsi="Arial" w:cs="Arial"/>
          <w:i/>
          <w:sz w:val="20"/>
          <w:szCs w:val="20"/>
        </w:rPr>
        <w:t>Perrin The Queen</w:t>
      </w:r>
      <w:r w:rsidR="002535E9" w:rsidRPr="002535E9">
        <w:rPr>
          <w:rFonts w:ascii="Arial" w:hAnsi="Arial" w:cs="Arial"/>
          <w:sz w:val="20"/>
          <w:szCs w:val="20"/>
        </w:rPr>
        <w:t xml:space="preserve"> [2006] NSWCCA 64 (McClellan CJ at CL, Rothman J, Smart AJ).</w:t>
      </w:r>
      <w:r>
        <w:rPr>
          <w:rFonts w:ascii="Arial" w:hAnsi="Arial" w:cs="Arial"/>
          <w:sz w:val="20"/>
          <w:szCs w:val="20"/>
        </w:rPr>
        <w:t>”</w:t>
      </w:r>
    </w:p>
    <w:p w14:paraId="4104FC8F" w14:textId="77777777" w:rsidR="00F202AD" w:rsidRDefault="00F202AD" w:rsidP="008E5CB0">
      <w:pPr>
        <w:tabs>
          <w:tab w:val="left" w:pos="1440"/>
        </w:tabs>
        <w:jc w:val="both"/>
        <w:rPr>
          <w:rFonts w:ascii="Arial" w:hAnsi="Arial" w:cs="Arial"/>
          <w:color w:val="000000"/>
          <w:sz w:val="20"/>
        </w:rPr>
      </w:pPr>
    </w:p>
    <w:p w14:paraId="16B4D08E" w14:textId="78D75008" w:rsidR="00C95D06" w:rsidRDefault="00C95D06" w:rsidP="008E5CB0">
      <w:pPr>
        <w:tabs>
          <w:tab w:val="left" w:pos="1440"/>
        </w:tabs>
        <w:jc w:val="both"/>
        <w:rPr>
          <w:rFonts w:ascii="Arial" w:hAnsi="Arial" w:cs="Arial"/>
          <w:sz w:val="20"/>
          <w:szCs w:val="20"/>
        </w:rPr>
      </w:pPr>
      <w:r w:rsidRPr="00C95D06">
        <w:rPr>
          <w:rFonts w:ascii="Arial" w:hAnsi="Arial" w:cs="Arial"/>
          <w:sz w:val="20"/>
          <w:szCs w:val="20"/>
        </w:rPr>
        <w:t xml:space="preserve">In </w:t>
      </w:r>
      <w:r w:rsidRPr="00C95D06">
        <w:rPr>
          <w:rFonts w:ascii="Arial" w:hAnsi="Arial" w:cs="Arial"/>
          <w:i/>
          <w:iCs/>
          <w:sz w:val="20"/>
          <w:szCs w:val="20"/>
        </w:rPr>
        <w:t>Nathanson v Minister for Home Affairs</w:t>
      </w:r>
      <w:r w:rsidRPr="00C95D06">
        <w:rPr>
          <w:rFonts w:ascii="Arial" w:hAnsi="Arial" w:cs="Arial"/>
          <w:sz w:val="20"/>
          <w:szCs w:val="20"/>
        </w:rPr>
        <w:t xml:space="preserve"> [2022] HCA 26 </w:t>
      </w:r>
      <w:r>
        <w:rPr>
          <w:rFonts w:ascii="Arial" w:hAnsi="Arial" w:cs="Arial"/>
          <w:sz w:val="20"/>
          <w:szCs w:val="20"/>
        </w:rPr>
        <w:t>t</w:t>
      </w:r>
      <w:r w:rsidRPr="00C95D06">
        <w:rPr>
          <w:rFonts w:ascii="Arial" w:hAnsi="Arial" w:cs="Arial"/>
          <w:sz w:val="20"/>
          <w:szCs w:val="20"/>
        </w:rPr>
        <w:t>he appellant</w:t>
      </w:r>
      <w:r w:rsidR="007F4436">
        <w:rPr>
          <w:rFonts w:ascii="Arial" w:hAnsi="Arial" w:cs="Arial"/>
          <w:sz w:val="20"/>
          <w:szCs w:val="20"/>
        </w:rPr>
        <w:t xml:space="preserve"> N</w:t>
      </w:r>
      <w:r w:rsidRPr="00C95D06">
        <w:rPr>
          <w:rFonts w:ascii="Arial" w:hAnsi="Arial" w:cs="Arial"/>
          <w:sz w:val="20"/>
          <w:szCs w:val="20"/>
        </w:rPr>
        <w:t xml:space="preserve">, a citizen of New Zealand born in Zimbabwe, arrived in Australia in 2010 when he was 26 years old. In 2013 </w:t>
      </w:r>
      <w:r w:rsidR="007F4436">
        <w:rPr>
          <w:rFonts w:ascii="Arial" w:hAnsi="Arial" w:cs="Arial"/>
          <w:sz w:val="20"/>
          <w:szCs w:val="20"/>
        </w:rPr>
        <w:t>N</w:t>
      </w:r>
      <w:r w:rsidRPr="00C95D06">
        <w:rPr>
          <w:rFonts w:ascii="Arial" w:hAnsi="Arial" w:cs="Arial"/>
          <w:sz w:val="20"/>
          <w:szCs w:val="20"/>
        </w:rPr>
        <w:t xml:space="preserve"> was granted a Class TY Subclass 444 Special Category visa. In 2018, a delegate of the respondent Minister cancelled that visa pursuant to s 501(3A) of the </w:t>
      </w:r>
      <w:r w:rsidRPr="00C95D06">
        <w:rPr>
          <w:rFonts w:ascii="Arial" w:hAnsi="Arial" w:cs="Arial"/>
          <w:i/>
          <w:iCs/>
          <w:sz w:val="20"/>
          <w:szCs w:val="20"/>
        </w:rPr>
        <w:t>Migration Act 1958 (Cth)</w:t>
      </w:r>
      <w:r w:rsidRPr="00C95D06">
        <w:rPr>
          <w:rFonts w:ascii="Arial" w:hAnsi="Arial" w:cs="Arial"/>
          <w:sz w:val="20"/>
          <w:szCs w:val="20"/>
        </w:rPr>
        <w:t xml:space="preserve">. Section 501(3A) required the Minister to cancel the visa because the Minister was satisfied that </w:t>
      </w:r>
      <w:r w:rsidR="007F4436">
        <w:rPr>
          <w:rFonts w:ascii="Arial" w:hAnsi="Arial" w:cs="Arial"/>
          <w:sz w:val="20"/>
          <w:szCs w:val="20"/>
        </w:rPr>
        <w:t>N</w:t>
      </w:r>
      <w:r w:rsidRPr="00C95D06">
        <w:rPr>
          <w:rFonts w:ascii="Arial" w:hAnsi="Arial" w:cs="Arial"/>
          <w:sz w:val="20"/>
          <w:szCs w:val="20"/>
        </w:rPr>
        <w:t xml:space="preserve"> did not pass the </w:t>
      </w:r>
      <w:r>
        <w:rPr>
          <w:rFonts w:ascii="Arial" w:hAnsi="Arial" w:cs="Arial"/>
          <w:sz w:val="20"/>
          <w:szCs w:val="20"/>
        </w:rPr>
        <w:t>“</w:t>
      </w:r>
      <w:r w:rsidRPr="00C95D06">
        <w:rPr>
          <w:rFonts w:ascii="Arial" w:hAnsi="Arial" w:cs="Arial"/>
          <w:sz w:val="20"/>
          <w:szCs w:val="20"/>
        </w:rPr>
        <w:t xml:space="preserve">character test" in s 501(6) of the Act and because </w:t>
      </w:r>
      <w:r w:rsidR="007F4436">
        <w:rPr>
          <w:rFonts w:ascii="Arial" w:hAnsi="Arial" w:cs="Arial"/>
          <w:sz w:val="20"/>
          <w:szCs w:val="20"/>
        </w:rPr>
        <w:t>he</w:t>
      </w:r>
      <w:r w:rsidRPr="00C95D06">
        <w:rPr>
          <w:rFonts w:ascii="Arial" w:hAnsi="Arial" w:cs="Arial"/>
          <w:sz w:val="20"/>
          <w:szCs w:val="20"/>
        </w:rPr>
        <w:t xml:space="preserve"> was then serving a sentence of imprisonment on a full</w:t>
      </w:r>
      <w:r>
        <w:rPr>
          <w:rFonts w:ascii="Arial" w:hAnsi="Arial" w:cs="Arial"/>
          <w:sz w:val="20"/>
          <w:szCs w:val="20"/>
        </w:rPr>
        <w:t>-</w:t>
      </w:r>
      <w:r w:rsidRPr="00C95D06">
        <w:rPr>
          <w:rFonts w:ascii="Arial" w:hAnsi="Arial" w:cs="Arial"/>
          <w:sz w:val="20"/>
          <w:szCs w:val="20"/>
        </w:rPr>
        <w:t xml:space="preserve">time basis in a custodial institution for offences against laws of the Northern Territory. The particular offences that led to cancellation of </w:t>
      </w:r>
      <w:r w:rsidR="007F4436">
        <w:rPr>
          <w:rFonts w:ascii="Arial" w:hAnsi="Arial" w:cs="Arial"/>
          <w:sz w:val="20"/>
          <w:szCs w:val="20"/>
        </w:rPr>
        <w:t>N</w:t>
      </w:r>
      <w:r w:rsidRPr="00C95D06">
        <w:rPr>
          <w:rFonts w:ascii="Arial" w:hAnsi="Arial" w:cs="Arial"/>
          <w:sz w:val="20"/>
          <w:szCs w:val="20"/>
        </w:rPr>
        <w:t xml:space="preserve">'s visa were depriving a person of personal liberty, aggravated assault, stealing and driving a vehicle in a dangerous manner. The objective circumstances of the offences were serious, including in that: the victim was a </w:t>
      </w:r>
      <w:r w:rsidR="007F4436">
        <w:rPr>
          <w:rFonts w:ascii="Arial" w:hAnsi="Arial" w:cs="Arial"/>
          <w:sz w:val="20"/>
          <w:szCs w:val="20"/>
        </w:rPr>
        <w:t>70</w:t>
      </w:r>
      <w:r w:rsidRPr="00C95D06">
        <w:rPr>
          <w:rFonts w:ascii="Arial" w:hAnsi="Arial" w:cs="Arial"/>
          <w:sz w:val="20"/>
          <w:szCs w:val="20"/>
        </w:rPr>
        <w:t xml:space="preserve"> year old man; the attack was unprovoked and the victim was deprived of his liberty for almost 12 hours during which the appellant threatened the victim's life; and the offending involved the victim in a high speed car pursuit with police. For the offences, </w:t>
      </w:r>
      <w:r w:rsidR="007F4436">
        <w:rPr>
          <w:rFonts w:ascii="Arial" w:hAnsi="Arial" w:cs="Arial"/>
          <w:sz w:val="20"/>
          <w:szCs w:val="20"/>
        </w:rPr>
        <w:t>N</w:t>
      </w:r>
      <w:r w:rsidRPr="00C95D06">
        <w:rPr>
          <w:rFonts w:ascii="Arial" w:hAnsi="Arial" w:cs="Arial"/>
          <w:sz w:val="20"/>
          <w:szCs w:val="20"/>
        </w:rPr>
        <w:t xml:space="preserve"> had been sentenced to a total effective period of imprisonment of two years and six months. </w:t>
      </w:r>
      <w:r>
        <w:rPr>
          <w:rFonts w:ascii="Arial" w:hAnsi="Arial" w:cs="Arial"/>
          <w:sz w:val="20"/>
          <w:szCs w:val="20"/>
        </w:rPr>
        <w:t>A</w:t>
      </w:r>
      <w:r w:rsidRPr="00C95D06">
        <w:rPr>
          <w:rFonts w:ascii="Arial" w:hAnsi="Arial" w:cs="Arial"/>
          <w:sz w:val="20"/>
          <w:szCs w:val="20"/>
        </w:rPr>
        <w:t xml:space="preserve"> delegate of the Minister decided not to revoke the mandatory cancellation of </w:t>
      </w:r>
      <w:r w:rsidR="007F4436">
        <w:rPr>
          <w:rFonts w:ascii="Arial" w:hAnsi="Arial" w:cs="Arial"/>
          <w:sz w:val="20"/>
          <w:szCs w:val="20"/>
        </w:rPr>
        <w:t>N’s</w:t>
      </w:r>
      <w:r w:rsidRPr="00C95D06">
        <w:rPr>
          <w:rFonts w:ascii="Arial" w:hAnsi="Arial" w:cs="Arial"/>
          <w:sz w:val="20"/>
          <w:szCs w:val="20"/>
        </w:rPr>
        <w:t xml:space="preserve"> visa pursuant to s 501</w:t>
      </w:r>
      <w:proofErr w:type="gramStart"/>
      <w:r w:rsidRPr="00C95D06">
        <w:rPr>
          <w:rFonts w:ascii="Arial" w:hAnsi="Arial" w:cs="Arial"/>
          <w:sz w:val="20"/>
          <w:szCs w:val="20"/>
        </w:rPr>
        <w:t>CA(</w:t>
      </w:r>
      <w:proofErr w:type="gramEnd"/>
      <w:r w:rsidRPr="00C95D06">
        <w:rPr>
          <w:rFonts w:ascii="Arial" w:hAnsi="Arial" w:cs="Arial"/>
          <w:sz w:val="20"/>
          <w:szCs w:val="20"/>
        </w:rPr>
        <w:t>4) of the Act.</w:t>
      </w:r>
      <w:r>
        <w:rPr>
          <w:rFonts w:ascii="Arial" w:hAnsi="Arial" w:cs="Arial"/>
          <w:sz w:val="20"/>
          <w:szCs w:val="20"/>
        </w:rPr>
        <w:t xml:space="preserve">  </w:t>
      </w:r>
      <w:r w:rsidR="007F4436">
        <w:rPr>
          <w:rFonts w:ascii="Arial" w:hAnsi="Arial" w:cs="Arial"/>
          <w:sz w:val="20"/>
          <w:szCs w:val="20"/>
        </w:rPr>
        <w:t xml:space="preserve">The AAT refused N’s application for review of the Minister’s decision.  </w:t>
      </w:r>
      <w:r>
        <w:rPr>
          <w:rFonts w:ascii="Arial" w:hAnsi="Arial" w:cs="Arial"/>
          <w:sz w:val="20"/>
          <w:szCs w:val="20"/>
        </w:rPr>
        <w:t xml:space="preserve">A majority of </w:t>
      </w:r>
      <w:r w:rsidR="007F4436">
        <w:rPr>
          <w:rFonts w:ascii="Arial" w:hAnsi="Arial" w:cs="Arial"/>
          <w:sz w:val="20"/>
          <w:szCs w:val="20"/>
        </w:rPr>
        <w:t>the Full Court of the Federal Court of Australia dismissed N’s appeal.  T</w:t>
      </w:r>
      <w:r>
        <w:rPr>
          <w:rFonts w:ascii="Arial" w:hAnsi="Arial" w:cs="Arial"/>
          <w:sz w:val="20"/>
          <w:szCs w:val="20"/>
        </w:rPr>
        <w:t xml:space="preserve">he High Court allowed </w:t>
      </w:r>
      <w:r w:rsidR="007F4436">
        <w:rPr>
          <w:rFonts w:ascii="Arial" w:hAnsi="Arial" w:cs="Arial"/>
          <w:sz w:val="20"/>
          <w:szCs w:val="20"/>
        </w:rPr>
        <w:t xml:space="preserve">his appeal, set aside the orders of the Federal Court, allowed his application for review, set aside the decision of the AAT and remitted the matter to the AAT to be heard and determined according to law.  The basis of the decision was that the AAT had denied N procedural fairness </w:t>
      </w:r>
      <w:r w:rsidR="007F4436" w:rsidRPr="00C95D06">
        <w:rPr>
          <w:rFonts w:ascii="Arial" w:hAnsi="Arial" w:cs="Arial"/>
          <w:sz w:val="20"/>
          <w:szCs w:val="20"/>
        </w:rPr>
        <w:t xml:space="preserve">by not giving </w:t>
      </w:r>
      <w:r w:rsidR="007F4436">
        <w:rPr>
          <w:rFonts w:ascii="Arial" w:hAnsi="Arial" w:cs="Arial"/>
          <w:sz w:val="20"/>
          <w:szCs w:val="20"/>
        </w:rPr>
        <w:t xml:space="preserve">him an </w:t>
      </w:r>
      <w:r w:rsidR="007F4436" w:rsidRPr="00C95D06">
        <w:rPr>
          <w:rFonts w:ascii="Arial" w:hAnsi="Arial" w:cs="Arial"/>
          <w:sz w:val="20"/>
          <w:szCs w:val="20"/>
        </w:rPr>
        <w:t xml:space="preserve">opportunity to address </w:t>
      </w:r>
      <w:r w:rsidR="007F4436">
        <w:rPr>
          <w:rFonts w:ascii="Arial" w:hAnsi="Arial" w:cs="Arial"/>
          <w:sz w:val="20"/>
          <w:szCs w:val="20"/>
        </w:rPr>
        <w:t xml:space="preserve">the </w:t>
      </w:r>
      <w:r w:rsidR="007F4436" w:rsidRPr="00C95D06">
        <w:rPr>
          <w:rFonts w:ascii="Arial" w:hAnsi="Arial" w:cs="Arial"/>
          <w:sz w:val="20"/>
          <w:szCs w:val="20"/>
        </w:rPr>
        <w:t xml:space="preserve">relevance of incidents of domestic violence to </w:t>
      </w:r>
      <w:r w:rsidR="007F4436">
        <w:rPr>
          <w:rFonts w:ascii="Arial" w:hAnsi="Arial" w:cs="Arial"/>
          <w:sz w:val="20"/>
          <w:szCs w:val="20"/>
        </w:rPr>
        <w:t xml:space="preserve">the </w:t>
      </w:r>
      <w:r w:rsidR="007F4436" w:rsidRPr="00C95D06">
        <w:rPr>
          <w:rFonts w:ascii="Arial" w:hAnsi="Arial" w:cs="Arial"/>
          <w:sz w:val="20"/>
          <w:szCs w:val="20"/>
        </w:rPr>
        <w:t xml:space="preserve">primary consideration prescribed by direction made under s 499 of </w:t>
      </w:r>
      <w:r w:rsidR="004907C7">
        <w:rPr>
          <w:rFonts w:ascii="Arial" w:hAnsi="Arial" w:cs="Arial"/>
          <w:sz w:val="20"/>
          <w:szCs w:val="20"/>
        </w:rPr>
        <w:t xml:space="preserve">the </w:t>
      </w:r>
      <w:r w:rsidR="007F4436" w:rsidRPr="004907C7">
        <w:rPr>
          <w:rFonts w:ascii="Arial" w:hAnsi="Arial" w:cs="Arial"/>
          <w:i/>
          <w:iCs/>
          <w:sz w:val="20"/>
          <w:szCs w:val="20"/>
        </w:rPr>
        <w:t>Migration Act</w:t>
      </w:r>
      <w:r w:rsidR="007F4436">
        <w:rPr>
          <w:rFonts w:ascii="Arial" w:hAnsi="Arial" w:cs="Arial"/>
          <w:sz w:val="20"/>
          <w:szCs w:val="20"/>
        </w:rPr>
        <w:t>.  At [1]-[2] Kiefel CJ, Keane &amp; Gleeson JJ said</w:t>
      </w:r>
      <w:r w:rsidR="004907C7">
        <w:rPr>
          <w:rFonts w:ascii="Arial" w:hAnsi="Arial" w:cs="Arial"/>
          <w:sz w:val="20"/>
          <w:szCs w:val="20"/>
        </w:rPr>
        <w:t xml:space="preserve"> [emphasis added]</w:t>
      </w:r>
      <w:r w:rsidR="007F4436">
        <w:rPr>
          <w:rFonts w:ascii="Arial" w:hAnsi="Arial" w:cs="Arial"/>
          <w:sz w:val="20"/>
          <w:szCs w:val="20"/>
        </w:rPr>
        <w:t>:</w:t>
      </w:r>
    </w:p>
    <w:p w14:paraId="3273AE25" w14:textId="5D4904DA" w:rsidR="004907C7" w:rsidRDefault="007F4436" w:rsidP="007F4436">
      <w:pPr>
        <w:spacing w:before="60"/>
        <w:ind w:left="454" w:right="454"/>
        <w:jc w:val="both"/>
        <w:rPr>
          <w:rFonts w:ascii="Arial" w:hAnsi="Arial" w:cs="Arial"/>
          <w:sz w:val="20"/>
          <w:szCs w:val="20"/>
        </w:rPr>
      </w:pPr>
      <w:r>
        <w:rPr>
          <w:rFonts w:ascii="Arial" w:hAnsi="Arial" w:cs="Arial"/>
          <w:sz w:val="20"/>
          <w:szCs w:val="20"/>
        </w:rPr>
        <w:t>"</w:t>
      </w:r>
      <w:r w:rsidR="004907C7" w:rsidRPr="00C95D06">
        <w:rPr>
          <w:rFonts w:ascii="Arial" w:hAnsi="Arial" w:cs="Arial"/>
          <w:sz w:val="20"/>
          <w:szCs w:val="20"/>
        </w:rPr>
        <w:t xml:space="preserve">The issue in this appeal is whether procedural unfairness by the </w:t>
      </w:r>
      <w:r w:rsidR="004907C7">
        <w:rPr>
          <w:rFonts w:ascii="Arial" w:hAnsi="Arial" w:cs="Arial"/>
          <w:sz w:val="20"/>
          <w:szCs w:val="20"/>
        </w:rPr>
        <w:t>AAT</w:t>
      </w:r>
      <w:r w:rsidR="004907C7" w:rsidRPr="00C95D06">
        <w:rPr>
          <w:rFonts w:ascii="Arial" w:hAnsi="Arial" w:cs="Arial"/>
          <w:sz w:val="20"/>
          <w:szCs w:val="20"/>
        </w:rPr>
        <w:t xml:space="preserve"> in the course of hearing the appellant's application for review of a decision to refuse to revoke the mandatory cancellation of his visa involved jurisdictional error. Following a hearing conducted by the Tribunal, the Tribunal affirmed the decision to refuse to revoke the visa cancellation. As the Courts below recognised, </w:t>
      </w:r>
      <w:r w:rsidR="004907C7" w:rsidRPr="004907C7">
        <w:rPr>
          <w:rFonts w:ascii="Arial" w:hAnsi="Arial" w:cs="Arial"/>
          <w:b/>
          <w:bCs/>
          <w:sz w:val="20"/>
          <w:szCs w:val="20"/>
        </w:rPr>
        <w:t>the Tribunal's error in failing to afford the appellant procedural fairness will have involved jurisdictional error only if that failure was material to the Tribunal's decision. Materiality is established if the error deprived the appellant of a realistic possibility of a different outcome</w:t>
      </w:r>
      <w:r w:rsidR="004907C7">
        <w:rPr>
          <w:rFonts w:ascii="Arial" w:hAnsi="Arial" w:cs="Arial"/>
          <w:sz w:val="20"/>
          <w:szCs w:val="20"/>
        </w:rPr>
        <w:t xml:space="preserve">: </w:t>
      </w:r>
      <w:r w:rsidR="004907C7" w:rsidRPr="004907C7">
        <w:rPr>
          <w:rFonts w:ascii="Arial" w:hAnsi="Arial" w:cs="Arial"/>
          <w:i/>
          <w:iCs/>
          <w:sz w:val="20"/>
          <w:szCs w:val="20"/>
        </w:rPr>
        <w:t>Minister for Immigration and Border Protection v SZMTA</w:t>
      </w:r>
      <w:r w:rsidR="004907C7" w:rsidRPr="00C95D06">
        <w:rPr>
          <w:rFonts w:ascii="Arial" w:hAnsi="Arial" w:cs="Arial"/>
          <w:sz w:val="20"/>
          <w:szCs w:val="20"/>
        </w:rPr>
        <w:t xml:space="preserve"> (2019) 264 CLR 421 at 445 [45]; </w:t>
      </w:r>
      <w:r w:rsidR="004907C7" w:rsidRPr="004907C7">
        <w:rPr>
          <w:rFonts w:ascii="Arial" w:hAnsi="Arial" w:cs="Arial"/>
          <w:i/>
          <w:iCs/>
          <w:sz w:val="20"/>
          <w:szCs w:val="20"/>
        </w:rPr>
        <w:t>MZAPC v Minister for Immigration and Border Protection</w:t>
      </w:r>
      <w:r w:rsidR="004907C7" w:rsidRPr="00C95D06">
        <w:rPr>
          <w:rFonts w:ascii="Arial" w:hAnsi="Arial" w:cs="Arial"/>
          <w:sz w:val="20"/>
          <w:szCs w:val="20"/>
        </w:rPr>
        <w:t xml:space="preserve"> (2021) 95 ALJR 441 at 449 [2], 462 [85]; 390 ALR 590 at 592, 610; see also </w:t>
      </w:r>
      <w:r w:rsidR="004907C7" w:rsidRPr="004907C7">
        <w:rPr>
          <w:rFonts w:ascii="Arial" w:hAnsi="Arial" w:cs="Arial"/>
          <w:i/>
          <w:iCs/>
          <w:sz w:val="20"/>
          <w:szCs w:val="20"/>
        </w:rPr>
        <w:t>Hossain v Minister for Immigration and Border Protection</w:t>
      </w:r>
      <w:r w:rsidR="004907C7" w:rsidRPr="00C95D06">
        <w:rPr>
          <w:rFonts w:ascii="Arial" w:hAnsi="Arial" w:cs="Arial"/>
          <w:sz w:val="20"/>
          <w:szCs w:val="20"/>
        </w:rPr>
        <w:t xml:space="preserve"> (2018) 264 CLR 123 at 134-135 [30]-[31]. The appellant bore the onus of demonstrating that the denial of procedural fairness </w:t>
      </w:r>
      <w:r w:rsidR="004907C7" w:rsidRPr="00C95D06">
        <w:rPr>
          <w:rFonts w:ascii="Arial" w:hAnsi="Arial" w:cs="Arial"/>
          <w:sz w:val="20"/>
          <w:szCs w:val="20"/>
        </w:rPr>
        <w:lastRenderedPageBreak/>
        <w:t>was material in this sense</w:t>
      </w:r>
      <w:r w:rsidR="004907C7" w:rsidRPr="004907C7">
        <w:rPr>
          <w:rFonts w:ascii="Arial" w:hAnsi="Arial" w:cs="Arial"/>
          <w:i/>
          <w:iCs/>
          <w:sz w:val="20"/>
          <w:szCs w:val="20"/>
        </w:rPr>
        <w:t>: SZMTA</w:t>
      </w:r>
      <w:r w:rsidR="004907C7" w:rsidRPr="00C95D06">
        <w:rPr>
          <w:rFonts w:ascii="Arial" w:hAnsi="Arial" w:cs="Arial"/>
          <w:sz w:val="20"/>
          <w:szCs w:val="20"/>
        </w:rPr>
        <w:t xml:space="preserve"> (2019) 264 CLR 421 at 433 [4]; </w:t>
      </w:r>
      <w:r w:rsidR="004907C7" w:rsidRPr="004907C7">
        <w:rPr>
          <w:rFonts w:ascii="Arial" w:hAnsi="Arial" w:cs="Arial"/>
          <w:i/>
          <w:iCs/>
          <w:sz w:val="20"/>
          <w:szCs w:val="20"/>
        </w:rPr>
        <w:t>MZAPC</w:t>
      </w:r>
      <w:r w:rsidR="004907C7" w:rsidRPr="00C95D06">
        <w:rPr>
          <w:rFonts w:ascii="Arial" w:hAnsi="Arial" w:cs="Arial"/>
          <w:sz w:val="20"/>
          <w:szCs w:val="20"/>
        </w:rPr>
        <w:t xml:space="preserve"> (2021) 95 ALJR 441 at 449 [2]; 390 ALR 590 at 592.</w:t>
      </w:r>
    </w:p>
    <w:p w14:paraId="1E5011EE" w14:textId="463DF183" w:rsidR="007F4436" w:rsidRPr="00157258" w:rsidRDefault="004907C7" w:rsidP="007F4436">
      <w:pPr>
        <w:spacing w:before="60"/>
        <w:ind w:left="454" w:right="454"/>
        <w:jc w:val="both"/>
        <w:rPr>
          <w:rFonts w:ascii="Arial" w:hAnsi="Arial" w:cs="Arial"/>
          <w:sz w:val="20"/>
          <w:szCs w:val="20"/>
        </w:rPr>
      </w:pPr>
      <w:r w:rsidRPr="00C95D06">
        <w:rPr>
          <w:rFonts w:ascii="Arial" w:hAnsi="Arial" w:cs="Arial"/>
          <w:sz w:val="20"/>
          <w:szCs w:val="20"/>
        </w:rPr>
        <w:t>Applying these principles, the appellant discharged his onus of demonstrating that the Tribunal's denial of procedural fairness deprived him of a realistic possibility of a different outcome. That realistic possibility was demonstrable from the record of the Tribunal's decision. Contrary to the conclusion of the majority of the Full Court of the Federal Court of Australia</w:t>
      </w:r>
      <w:r>
        <w:rPr>
          <w:rFonts w:ascii="Arial" w:hAnsi="Arial" w:cs="Arial"/>
          <w:sz w:val="20"/>
          <w:szCs w:val="20"/>
        </w:rPr>
        <w:t xml:space="preserve"> </w:t>
      </w:r>
      <w:r w:rsidRPr="00C95D06">
        <w:rPr>
          <w:rFonts w:ascii="Arial" w:hAnsi="Arial" w:cs="Arial"/>
          <w:sz w:val="20"/>
          <w:szCs w:val="20"/>
        </w:rPr>
        <w:t xml:space="preserve">(2020) 281 FCR 23 at 53 [127], </w:t>
      </w:r>
      <w:r w:rsidRPr="004907C7">
        <w:rPr>
          <w:rFonts w:ascii="Arial" w:hAnsi="Arial" w:cs="Arial"/>
          <w:b/>
          <w:bCs/>
          <w:sz w:val="20"/>
          <w:szCs w:val="20"/>
        </w:rPr>
        <w:t>the appellant was not required to articulate a specific course of action which could realistically have changed the result</w:t>
      </w:r>
      <w:r>
        <w:rPr>
          <w:rFonts w:ascii="Arial" w:hAnsi="Arial" w:cs="Arial"/>
          <w:sz w:val="20"/>
          <w:szCs w:val="20"/>
        </w:rPr>
        <w:t>.”</w:t>
      </w:r>
    </w:p>
    <w:p w14:paraId="76E80D71" w14:textId="77777777" w:rsidR="00162B24" w:rsidRDefault="00162B24" w:rsidP="008E5CB0">
      <w:pPr>
        <w:tabs>
          <w:tab w:val="left" w:pos="1440"/>
        </w:tabs>
        <w:jc w:val="both"/>
        <w:rPr>
          <w:rFonts w:ascii="Arial" w:hAnsi="Arial" w:cs="Arial"/>
          <w:sz w:val="20"/>
          <w:szCs w:val="20"/>
        </w:rPr>
      </w:pPr>
    </w:p>
    <w:p w14:paraId="28374018" w14:textId="77777777" w:rsidR="00B93B97" w:rsidRDefault="00254A8B" w:rsidP="008E5CB0">
      <w:pPr>
        <w:tabs>
          <w:tab w:val="left" w:pos="1440"/>
        </w:tabs>
        <w:jc w:val="both"/>
        <w:rPr>
          <w:rFonts w:ascii="Arial" w:hAnsi="Arial" w:cs="Arial"/>
          <w:color w:val="000000"/>
          <w:sz w:val="20"/>
          <w:szCs w:val="20"/>
        </w:rPr>
      </w:pPr>
      <w:r>
        <w:rPr>
          <w:rFonts w:ascii="Arial" w:hAnsi="Arial" w:cs="Arial"/>
          <w:sz w:val="20"/>
          <w:szCs w:val="20"/>
        </w:rPr>
        <w:t xml:space="preserve">In </w:t>
      </w:r>
      <w:r w:rsidRPr="00254A8B">
        <w:rPr>
          <w:rFonts w:ascii="Arial" w:hAnsi="Arial" w:cs="Arial"/>
          <w:i/>
          <w:iCs/>
          <w:sz w:val="20"/>
          <w:szCs w:val="20"/>
        </w:rPr>
        <w:t>MNX (a pseudonym) v TNV (a pseudonym)</w:t>
      </w:r>
      <w:r>
        <w:rPr>
          <w:rFonts w:ascii="Arial" w:hAnsi="Arial" w:cs="Arial"/>
          <w:sz w:val="20"/>
          <w:szCs w:val="20"/>
        </w:rPr>
        <w:t xml:space="preserve"> [2022] VSC 592 t</w:t>
      </w:r>
      <w:r w:rsidRPr="00254A8B">
        <w:rPr>
          <w:rFonts w:ascii="Arial" w:hAnsi="Arial" w:cs="Arial"/>
          <w:color w:val="000000"/>
          <w:sz w:val="20"/>
          <w:szCs w:val="20"/>
        </w:rPr>
        <w:t xml:space="preserve">he plaintiff MNX </w:t>
      </w:r>
      <w:r>
        <w:rPr>
          <w:rFonts w:ascii="Arial" w:hAnsi="Arial" w:cs="Arial"/>
          <w:color w:val="000000"/>
          <w:sz w:val="20"/>
          <w:szCs w:val="20"/>
        </w:rPr>
        <w:t>sought</w:t>
      </w:r>
      <w:r w:rsidRPr="00254A8B">
        <w:rPr>
          <w:rFonts w:ascii="Arial" w:hAnsi="Arial" w:cs="Arial"/>
          <w:color w:val="000000"/>
          <w:sz w:val="20"/>
          <w:szCs w:val="20"/>
        </w:rPr>
        <w:t xml:space="preserve"> judicial review of a decision of the Magistrates’ Court of Victoria </w:t>
      </w:r>
      <w:r w:rsidR="00B93B97">
        <w:rPr>
          <w:rFonts w:ascii="Arial" w:hAnsi="Arial" w:cs="Arial"/>
          <w:color w:val="000000"/>
          <w:sz w:val="20"/>
          <w:szCs w:val="20"/>
        </w:rPr>
        <w:t xml:space="preserve">– made in a mention hearing – </w:t>
      </w:r>
      <w:r w:rsidRPr="00254A8B">
        <w:rPr>
          <w:rFonts w:ascii="Arial" w:hAnsi="Arial" w:cs="Arial"/>
          <w:color w:val="000000"/>
          <w:sz w:val="20"/>
          <w:szCs w:val="20"/>
        </w:rPr>
        <w:t>refusing</w:t>
      </w:r>
      <w:r w:rsidR="00B93B97">
        <w:rPr>
          <w:rFonts w:ascii="Arial" w:hAnsi="Arial" w:cs="Arial"/>
          <w:color w:val="000000"/>
          <w:sz w:val="20"/>
          <w:szCs w:val="20"/>
        </w:rPr>
        <w:t xml:space="preserve"> </w:t>
      </w:r>
      <w:r w:rsidRPr="00254A8B">
        <w:rPr>
          <w:rFonts w:ascii="Arial" w:hAnsi="Arial" w:cs="Arial"/>
          <w:color w:val="000000"/>
          <w:sz w:val="20"/>
          <w:szCs w:val="20"/>
        </w:rPr>
        <w:t xml:space="preserve">to grant TNV, </w:t>
      </w:r>
      <w:r w:rsidR="00B93B97">
        <w:rPr>
          <w:rFonts w:ascii="Arial" w:hAnsi="Arial" w:cs="Arial"/>
          <w:color w:val="000000"/>
          <w:sz w:val="20"/>
          <w:szCs w:val="20"/>
        </w:rPr>
        <w:t>the</w:t>
      </w:r>
      <w:r w:rsidRPr="00254A8B">
        <w:rPr>
          <w:rFonts w:ascii="Arial" w:hAnsi="Arial" w:cs="Arial"/>
          <w:color w:val="000000"/>
          <w:sz w:val="20"/>
          <w:szCs w:val="20"/>
        </w:rPr>
        <w:t xml:space="preserve"> police </w:t>
      </w:r>
      <w:r w:rsidR="00B93B97">
        <w:rPr>
          <w:rFonts w:ascii="Arial" w:hAnsi="Arial" w:cs="Arial"/>
          <w:color w:val="000000"/>
          <w:sz w:val="20"/>
          <w:szCs w:val="20"/>
        </w:rPr>
        <w:t>applicant</w:t>
      </w:r>
      <w:r w:rsidRPr="00254A8B">
        <w:rPr>
          <w:rFonts w:ascii="Arial" w:hAnsi="Arial" w:cs="Arial"/>
          <w:color w:val="000000"/>
          <w:sz w:val="20"/>
          <w:szCs w:val="20"/>
        </w:rPr>
        <w:t xml:space="preserve">, leave to withdraw an application for a family violence intervention order against MNX and at the same time granting MNX leave to apply for revocation or variation of an </w:t>
      </w:r>
      <w:r w:rsidR="00B93B97">
        <w:rPr>
          <w:rFonts w:ascii="Arial" w:hAnsi="Arial" w:cs="Arial"/>
          <w:color w:val="000000"/>
          <w:sz w:val="20"/>
          <w:szCs w:val="20"/>
        </w:rPr>
        <w:t xml:space="preserve">existing </w:t>
      </w:r>
      <w:r w:rsidRPr="00254A8B">
        <w:rPr>
          <w:rFonts w:ascii="Arial" w:hAnsi="Arial" w:cs="Arial"/>
          <w:color w:val="000000"/>
          <w:sz w:val="20"/>
          <w:szCs w:val="20"/>
        </w:rPr>
        <w:t>interim family violence intervention order made on the application of TNV. The affected family members and protected persons were MNX’s former wife, SDW, and their infant son.</w:t>
      </w:r>
      <w:r>
        <w:rPr>
          <w:rFonts w:ascii="Arial" w:hAnsi="Arial" w:cs="Arial"/>
          <w:color w:val="000000"/>
          <w:sz w:val="20"/>
          <w:szCs w:val="20"/>
        </w:rPr>
        <w:t xml:space="preserve">  </w:t>
      </w:r>
      <w:r w:rsidR="00B93B97">
        <w:rPr>
          <w:rFonts w:ascii="Arial" w:hAnsi="Arial" w:cs="Arial"/>
          <w:color w:val="000000"/>
          <w:sz w:val="20"/>
          <w:szCs w:val="20"/>
        </w:rPr>
        <w:t>Garde J held:</w:t>
      </w:r>
    </w:p>
    <w:p w14:paraId="509D9922" w14:textId="2466C792" w:rsidR="00B93B97" w:rsidRPr="002278A3" w:rsidRDefault="002278A3">
      <w:pPr>
        <w:pStyle w:val="ListParagraph"/>
        <w:numPr>
          <w:ilvl w:val="0"/>
          <w:numId w:val="91"/>
        </w:numPr>
        <w:ind w:left="357" w:hanging="357"/>
        <w:jc w:val="both"/>
        <w:rPr>
          <w:rFonts w:ascii="Arial" w:hAnsi="Arial" w:cs="Arial"/>
          <w:sz w:val="20"/>
        </w:rPr>
      </w:pPr>
      <w:r>
        <w:rPr>
          <w:rFonts w:ascii="Arial" w:hAnsi="Arial" w:cs="Arial"/>
          <w:color w:val="000000"/>
          <w:sz w:val="20"/>
        </w:rPr>
        <w:t>at [76]-[84] that the magistrate’s refusal to give the police applicant leave to withdraw the intervention proceeding was not legally unreasonable; and</w:t>
      </w:r>
    </w:p>
    <w:p w14:paraId="1602E609" w14:textId="47BB1E6C" w:rsidR="002278A3" w:rsidRPr="002278A3" w:rsidRDefault="002278A3">
      <w:pPr>
        <w:pStyle w:val="ListParagraph"/>
        <w:numPr>
          <w:ilvl w:val="0"/>
          <w:numId w:val="91"/>
        </w:numPr>
        <w:ind w:left="357" w:hanging="357"/>
        <w:jc w:val="both"/>
        <w:rPr>
          <w:rFonts w:ascii="Arial" w:hAnsi="Arial" w:cs="Arial"/>
          <w:sz w:val="20"/>
        </w:rPr>
      </w:pPr>
      <w:r>
        <w:rPr>
          <w:rFonts w:ascii="Arial" w:hAnsi="Arial" w:cs="Arial"/>
          <w:color w:val="000000"/>
          <w:sz w:val="20"/>
        </w:rPr>
        <w:t xml:space="preserve">at [88]-[102] that once </w:t>
      </w:r>
      <w:r w:rsidRPr="002278A3">
        <w:rPr>
          <w:rFonts w:ascii="Arial" w:hAnsi="Arial" w:cs="Arial"/>
          <w:color w:val="000000"/>
          <w:sz w:val="20"/>
          <w:lang w:eastAsia="en-AU"/>
        </w:rPr>
        <w:t>her Honour had heard from each of the parties to the extent that she had available court time, procedural fairness was invoked</w:t>
      </w:r>
      <w:r>
        <w:rPr>
          <w:rFonts w:ascii="Arial" w:hAnsi="Arial" w:cs="Arial"/>
          <w:color w:val="000000"/>
          <w:sz w:val="20"/>
          <w:lang w:eastAsia="en-AU"/>
        </w:rPr>
        <w:t>, i</w:t>
      </w:r>
      <w:r w:rsidRPr="002278A3">
        <w:rPr>
          <w:rFonts w:ascii="Arial" w:hAnsi="Arial" w:cs="Arial"/>
          <w:color w:val="000000"/>
          <w:sz w:val="20"/>
          <w:lang w:eastAsia="en-AU"/>
        </w:rPr>
        <w:t>t was not open to disregard the requirements of procedural fairness in dealing with the applications before the Court</w:t>
      </w:r>
      <w:r>
        <w:rPr>
          <w:rFonts w:ascii="Arial" w:hAnsi="Arial" w:cs="Arial"/>
          <w:color w:val="000000"/>
          <w:sz w:val="20"/>
          <w:lang w:eastAsia="en-AU"/>
        </w:rPr>
        <w:t>; however</w:t>
      </w:r>
    </w:p>
    <w:p w14:paraId="708AF3CB" w14:textId="206D1744" w:rsidR="002278A3" w:rsidRPr="003C4CF1" w:rsidRDefault="002278A3">
      <w:pPr>
        <w:pStyle w:val="ListParagraph"/>
        <w:numPr>
          <w:ilvl w:val="0"/>
          <w:numId w:val="91"/>
        </w:numPr>
        <w:ind w:left="357" w:hanging="357"/>
        <w:jc w:val="both"/>
        <w:rPr>
          <w:rFonts w:ascii="Arial" w:hAnsi="Arial" w:cs="Arial"/>
          <w:sz w:val="20"/>
        </w:rPr>
      </w:pPr>
      <w:r>
        <w:rPr>
          <w:rFonts w:ascii="Arial" w:hAnsi="Arial" w:cs="Arial"/>
          <w:color w:val="000000"/>
          <w:sz w:val="20"/>
          <w:lang w:eastAsia="en-AU"/>
        </w:rPr>
        <w:t>at [</w:t>
      </w:r>
      <w:r w:rsidR="00194114">
        <w:rPr>
          <w:rFonts w:ascii="Arial" w:hAnsi="Arial" w:cs="Arial"/>
          <w:color w:val="000000"/>
          <w:sz w:val="20"/>
          <w:lang w:eastAsia="en-AU"/>
        </w:rPr>
        <w:t>110</w:t>
      </w:r>
      <w:r>
        <w:rPr>
          <w:rFonts w:ascii="Arial" w:hAnsi="Arial" w:cs="Arial"/>
          <w:color w:val="000000"/>
          <w:sz w:val="20"/>
          <w:lang w:eastAsia="en-AU"/>
        </w:rPr>
        <w:t>]</w:t>
      </w:r>
      <w:r w:rsidR="00194114">
        <w:rPr>
          <w:rFonts w:ascii="Arial" w:hAnsi="Arial" w:cs="Arial"/>
          <w:color w:val="000000"/>
          <w:sz w:val="20"/>
          <w:lang w:eastAsia="en-AU"/>
        </w:rPr>
        <w:t xml:space="preserve"> that the breach in refusing, rather that adjourning TNV’s application for leave to withdraw, did not result in any practical injustice because MNX was just as well placed after the refusal to apply for revocation or variation of the interim order: “One door was closed, but another was opened.”</w:t>
      </w:r>
    </w:p>
    <w:p w14:paraId="452C155A" w14:textId="7661926A" w:rsidR="00254A8B" w:rsidRDefault="00254A8B" w:rsidP="008E5CB0">
      <w:pPr>
        <w:tabs>
          <w:tab w:val="left" w:pos="1440"/>
        </w:tabs>
        <w:jc w:val="both"/>
        <w:rPr>
          <w:rFonts w:ascii="Arial" w:hAnsi="Arial" w:cs="Arial"/>
          <w:sz w:val="20"/>
          <w:szCs w:val="20"/>
        </w:rPr>
      </w:pPr>
      <w:bookmarkStart w:id="107" w:name="_Hlk116629691"/>
    </w:p>
    <w:p w14:paraId="183AE4B2" w14:textId="05F3B7EF" w:rsidR="00162B24" w:rsidRDefault="00162B24" w:rsidP="008E5CB0">
      <w:pPr>
        <w:tabs>
          <w:tab w:val="left" w:pos="1440"/>
        </w:tabs>
        <w:jc w:val="both"/>
        <w:rPr>
          <w:rFonts w:ascii="Arial" w:hAnsi="Arial" w:cs="Arial"/>
          <w:sz w:val="20"/>
          <w:szCs w:val="20"/>
        </w:rPr>
      </w:pPr>
      <w:r>
        <w:rPr>
          <w:rFonts w:ascii="Arial" w:hAnsi="Arial" w:cs="Arial"/>
          <w:sz w:val="20"/>
          <w:szCs w:val="20"/>
        </w:rPr>
        <w:t xml:space="preserve">In </w:t>
      </w:r>
      <w:r w:rsidRPr="00162B24">
        <w:rPr>
          <w:rFonts w:ascii="Arial" w:hAnsi="Arial" w:cs="Arial"/>
          <w:i/>
          <w:iCs/>
          <w:sz w:val="20"/>
          <w:szCs w:val="20"/>
        </w:rPr>
        <w:t>Kyriazis v Victoria Police</w:t>
      </w:r>
      <w:r>
        <w:rPr>
          <w:rFonts w:ascii="Arial" w:hAnsi="Arial" w:cs="Arial"/>
          <w:sz w:val="20"/>
          <w:szCs w:val="20"/>
        </w:rPr>
        <w:t xml:space="preserve"> [2022] VSC 596 after exchanges between the plaintiff and the magistrate involving how the proceeding was to be conducted, the plaintiff </w:t>
      </w:r>
      <w:r w:rsidR="0005276B">
        <w:rPr>
          <w:rFonts w:ascii="Arial" w:hAnsi="Arial" w:cs="Arial"/>
          <w:sz w:val="20"/>
          <w:szCs w:val="20"/>
        </w:rPr>
        <w:t xml:space="preserve">voluntarily </w:t>
      </w:r>
      <w:r>
        <w:rPr>
          <w:rFonts w:ascii="Arial" w:hAnsi="Arial" w:cs="Arial"/>
          <w:sz w:val="20"/>
          <w:szCs w:val="20"/>
        </w:rPr>
        <w:t xml:space="preserve">left the courtroom and the summary charge of failing to provide a sample of an oral fluid for testing was heard and determined in his absence.  </w:t>
      </w:r>
      <w:r w:rsidR="006D150C">
        <w:rPr>
          <w:rFonts w:ascii="Arial" w:hAnsi="Arial" w:cs="Arial"/>
          <w:sz w:val="20"/>
          <w:szCs w:val="20"/>
        </w:rPr>
        <w:t xml:space="preserve">The exchanges were triggered by the plaintiff wishing to raise </w:t>
      </w:r>
      <w:r w:rsidR="00537E2D">
        <w:rPr>
          <w:rFonts w:ascii="Arial" w:hAnsi="Arial" w:cs="Arial"/>
          <w:sz w:val="20"/>
          <w:szCs w:val="20"/>
        </w:rPr>
        <w:t xml:space="preserve">as </w:t>
      </w:r>
      <w:r w:rsidR="006D150C">
        <w:rPr>
          <w:rFonts w:ascii="Arial" w:hAnsi="Arial" w:cs="Arial"/>
          <w:sz w:val="20"/>
          <w:szCs w:val="20"/>
        </w:rPr>
        <w:t xml:space="preserve">a preliminary issue that he had a right to trial by judge and jury. </w:t>
      </w:r>
      <w:r>
        <w:rPr>
          <w:rFonts w:ascii="Arial" w:hAnsi="Arial" w:cs="Arial"/>
          <w:sz w:val="20"/>
          <w:szCs w:val="20"/>
        </w:rPr>
        <w:t>Ginnane J held that there had been no denial of procedural fairness.  At [32]</w:t>
      </w:r>
      <w:r w:rsidR="00E901AF">
        <w:rPr>
          <w:rFonts w:ascii="Arial" w:hAnsi="Arial" w:cs="Arial"/>
          <w:sz w:val="20"/>
          <w:szCs w:val="20"/>
        </w:rPr>
        <w:t>-</w:t>
      </w:r>
      <w:r w:rsidR="008B57C5">
        <w:rPr>
          <w:rFonts w:ascii="Arial" w:hAnsi="Arial" w:cs="Arial"/>
          <w:sz w:val="20"/>
          <w:szCs w:val="20"/>
        </w:rPr>
        <w:t>[33]</w:t>
      </w:r>
      <w:r>
        <w:rPr>
          <w:rFonts w:ascii="Arial" w:hAnsi="Arial" w:cs="Arial"/>
          <w:sz w:val="20"/>
          <w:szCs w:val="20"/>
        </w:rPr>
        <w:t xml:space="preserve"> &amp; [</w:t>
      </w:r>
      <w:r w:rsidR="008B57C5">
        <w:rPr>
          <w:rFonts w:ascii="Arial" w:hAnsi="Arial" w:cs="Arial"/>
          <w:sz w:val="20"/>
          <w:szCs w:val="20"/>
        </w:rPr>
        <w:t>37</w:t>
      </w:r>
      <w:r>
        <w:rPr>
          <w:rFonts w:ascii="Arial" w:hAnsi="Arial" w:cs="Arial"/>
          <w:sz w:val="20"/>
          <w:szCs w:val="20"/>
        </w:rPr>
        <w:t>]</w:t>
      </w:r>
      <w:r w:rsidR="008B57C5">
        <w:rPr>
          <w:rFonts w:ascii="Arial" w:hAnsi="Arial" w:cs="Arial"/>
          <w:sz w:val="20"/>
          <w:szCs w:val="20"/>
        </w:rPr>
        <w:t>-[3</w:t>
      </w:r>
      <w:r w:rsidR="00537E2D">
        <w:rPr>
          <w:rFonts w:ascii="Arial" w:hAnsi="Arial" w:cs="Arial"/>
          <w:sz w:val="20"/>
          <w:szCs w:val="20"/>
        </w:rPr>
        <w:t>9</w:t>
      </w:r>
      <w:r w:rsidR="008B57C5">
        <w:rPr>
          <w:rFonts w:ascii="Arial" w:hAnsi="Arial" w:cs="Arial"/>
          <w:sz w:val="20"/>
          <w:szCs w:val="20"/>
        </w:rPr>
        <w:t>]</w:t>
      </w:r>
      <w:r>
        <w:rPr>
          <w:rFonts w:ascii="Arial" w:hAnsi="Arial" w:cs="Arial"/>
          <w:sz w:val="20"/>
          <w:szCs w:val="20"/>
        </w:rPr>
        <w:t xml:space="preserve"> his Honour said:</w:t>
      </w:r>
    </w:p>
    <w:p w14:paraId="390E5101" w14:textId="11C7C2EF" w:rsidR="00162B24" w:rsidRDefault="00162B24" w:rsidP="00162B24">
      <w:pPr>
        <w:spacing w:before="60"/>
        <w:ind w:left="454" w:right="454"/>
        <w:jc w:val="both"/>
        <w:rPr>
          <w:rFonts w:ascii="Arial" w:hAnsi="Arial" w:cs="Arial"/>
          <w:color w:val="000000"/>
          <w:sz w:val="20"/>
          <w:szCs w:val="20"/>
        </w:rPr>
      </w:pPr>
      <w:r>
        <w:rPr>
          <w:rFonts w:ascii="Arial" w:hAnsi="Arial" w:cs="Arial"/>
          <w:sz w:val="20"/>
          <w:szCs w:val="20"/>
        </w:rPr>
        <w:t>[32] “</w:t>
      </w:r>
      <w:r w:rsidRPr="00162B24">
        <w:rPr>
          <w:rFonts w:ascii="Arial" w:hAnsi="Arial" w:cs="Arial"/>
          <w:color w:val="000000"/>
          <w:sz w:val="20"/>
          <w:szCs w:val="20"/>
        </w:rPr>
        <w:t>Mr Kyriazis was entitled to be provided procedural fairness in the hearing before the Magistrate, as the ‘right to procedural fairness – to a fair trial – is a fundamental right of each accused’</w:t>
      </w:r>
      <w:r>
        <w:rPr>
          <w:rFonts w:ascii="Arial" w:hAnsi="Arial" w:cs="Arial"/>
          <w:color w:val="000000"/>
          <w:sz w:val="20"/>
          <w:szCs w:val="20"/>
        </w:rPr>
        <w:t xml:space="preserve">: </w:t>
      </w:r>
      <w:r w:rsidRPr="00EF7328">
        <w:rPr>
          <w:rFonts w:ascii="Arial" w:hAnsi="Arial" w:cs="Arial"/>
          <w:i/>
          <w:iCs/>
          <w:color w:val="000000"/>
          <w:sz w:val="20"/>
          <w:szCs w:val="20"/>
        </w:rPr>
        <w:t>HM v R</w:t>
      </w:r>
      <w:r>
        <w:rPr>
          <w:rFonts w:ascii="Arial" w:hAnsi="Arial" w:cs="Arial"/>
          <w:color w:val="000000"/>
          <w:sz w:val="20"/>
          <w:szCs w:val="20"/>
        </w:rPr>
        <w:t xml:space="preserve"> (2012) 44 VR 717, 726 [29]-[30] (Redlich JA and Kaye AJA).  </w:t>
      </w:r>
      <w:r w:rsidRPr="00162B24">
        <w:rPr>
          <w:rFonts w:ascii="Arial" w:hAnsi="Arial" w:cs="Arial"/>
          <w:color w:val="000000"/>
          <w:sz w:val="20"/>
          <w:szCs w:val="20"/>
        </w:rPr>
        <w:t>Section</w:t>
      </w:r>
      <w:r>
        <w:rPr>
          <w:rFonts w:ascii="Arial" w:hAnsi="Arial" w:cs="Arial"/>
          <w:color w:val="000000"/>
          <w:sz w:val="20"/>
          <w:szCs w:val="20"/>
        </w:rPr>
        <w:t xml:space="preserve"> 25 </w:t>
      </w:r>
      <w:r w:rsidRPr="00162B24">
        <w:rPr>
          <w:rFonts w:ascii="Arial" w:hAnsi="Arial" w:cs="Arial"/>
          <w:color w:val="000000"/>
          <w:sz w:val="20"/>
          <w:szCs w:val="20"/>
        </w:rPr>
        <w:t>of the Charter also gave him that right.</w:t>
      </w:r>
    </w:p>
    <w:p w14:paraId="2F03EDED" w14:textId="2F3C23D4" w:rsidR="00162B24" w:rsidRDefault="00162B24" w:rsidP="00162B24">
      <w:pPr>
        <w:spacing w:before="60"/>
        <w:ind w:left="454" w:right="454"/>
        <w:jc w:val="both"/>
        <w:rPr>
          <w:rFonts w:ascii="Arial" w:hAnsi="Arial" w:cs="Arial"/>
          <w:color w:val="000000"/>
          <w:sz w:val="20"/>
          <w:szCs w:val="20"/>
        </w:rPr>
      </w:pPr>
      <w:r>
        <w:rPr>
          <w:rFonts w:ascii="Arial" w:hAnsi="Arial" w:cs="Arial"/>
          <w:color w:val="000000"/>
          <w:sz w:val="20"/>
          <w:szCs w:val="20"/>
        </w:rPr>
        <w:t xml:space="preserve">[33] </w:t>
      </w:r>
      <w:r w:rsidRPr="00162B24">
        <w:rPr>
          <w:rFonts w:ascii="Arial" w:hAnsi="Arial" w:cs="Arial"/>
          <w:color w:val="000000"/>
          <w:sz w:val="20"/>
          <w:szCs w:val="20"/>
        </w:rPr>
        <w:t>The content of procedural fairness in a case like this is influenced by the ‘particular capabilities and attitudes of the self-represented litigant’</w:t>
      </w:r>
      <w:r>
        <w:rPr>
          <w:rFonts w:ascii="Arial" w:hAnsi="Arial" w:cs="Arial"/>
          <w:color w:val="000000"/>
          <w:sz w:val="20"/>
          <w:szCs w:val="20"/>
        </w:rPr>
        <w:t xml:space="preserve">: </w:t>
      </w:r>
      <w:hyperlink r:id="rId26" w:history="1">
        <w:r w:rsidRPr="00162B24">
          <w:rPr>
            <w:rStyle w:val="Hyperlink"/>
            <w:rFonts w:ascii="Arial" w:hAnsi="Arial" w:cs="Arial"/>
            <w:i/>
            <w:iCs/>
            <w:color w:val="000000" w:themeColor="text1"/>
            <w:sz w:val="20"/>
            <w:szCs w:val="20"/>
            <w:u w:val="none"/>
          </w:rPr>
          <w:t>Doughty-Cowell v Kyriazis</w:t>
        </w:r>
      </w:hyperlink>
      <w:r w:rsidRPr="00162B24">
        <w:rPr>
          <w:rFonts w:ascii="Arial" w:hAnsi="Arial" w:cs="Arial"/>
          <w:color w:val="000000" w:themeColor="text1"/>
          <w:sz w:val="20"/>
          <w:szCs w:val="20"/>
        </w:rPr>
        <w:t> [2018] VSCA 216, </w:t>
      </w:r>
      <w:hyperlink r:id="rId27" w:history="1">
        <w:r w:rsidRPr="00162B24">
          <w:rPr>
            <w:rStyle w:val="Hyperlink"/>
            <w:rFonts w:ascii="Arial" w:hAnsi="Arial" w:cs="Arial"/>
            <w:color w:val="000000" w:themeColor="text1"/>
            <w:sz w:val="20"/>
            <w:szCs w:val="20"/>
            <w:u w:val="none"/>
          </w:rPr>
          <w:t>[1]–[2]</w:t>
        </w:r>
      </w:hyperlink>
      <w:r w:rsidRPr="00162B24">
        <w:rPr>
          <w:rFonts w:ascii="Arial" w:hAnsi="Arial" w:cs="Arial"/>
          <w:color w:val="000000" w:themeColor="text1"/>
          <w:sz w:val="20"/>
          <w:szCs w:val="20"/>
        </w:rPr>
        <w:t>; s</w:t>
      </w:r>
      <w:r w:rsidR="00EF7328">
        <w:rPr>
          <w:rFonts w:ascii="Arial" w:hAnsi="Arial" w:cs="Arial"/>
          <w:color w:val="000000" w:themeColor="text1"/>
          <w:sz w:val="20"/>
          <w:szCs w:val="20"/>
        </w:rPr>
        <w:t>.</w:t>
      </w:r>
      <w:hyperlink r:id="rId28" w:history="1">
        <w:r w:rsidRPr="00EF7328">
          <w:rPr>
            <w:rStyle w:val="Hyperlink"/>
            <w:rFonts w:ascii="Arial" w:hAnsi="Arial" w:cs="Arial"/>
            <w:color w:val="000000" w:themeColor="text1"/>
            <w:sz w:val="20"/>
            <w:szCs w:val="20"/>
            <w:u w:val="none"/>
          </w:rPr>
          <w:t>24</w:t>
        </w:r>
      </w:hyperlink>
      <w:r w:rsidRPr="00162B24">
        <w:rPr>
          <w:rFonts w:ascii="Arial" w:hAnsi="Arial" w:cs="Arial"/>
          <w:color w:val="000000" w:themeColor="text1"/>
          <w:sz w:val="20"/>
          <w:szCs w:val="20"/>
        </w:rPr>
        <w:t> of the</w:t>
      </w:r>
      <w:r w:rsidR="00EF7328">
        <w:rPr>
          <w:rFonts w:ascii="Arial" w:hAnsi="Arial" w:cs="Arial"/>
          <w:color w:val="000000" w:themeColor="text1"/>
          <w:sz w:val="20"/>
          <w:szCs w:val="20"/>
        </w:rPr>
        <w:t xml:space="preserve"> </w:t>
      </w:r>
      <w:hyperlink r:id="rId29" w:history="1">
        <w:r w:rsidRPr="00EF7328">
          <w:rPr>
            <w:rStyle w:val="Hyperlink"/>
            <w:rFonts w:ascii="Arial" w:hAnsi="Arial" w:cs="Arial"/>
            <w:i/>
            <w:iCs/>
            <w:color w:val="000000" w:themeColor="text1"/>
            <w:sz w:val="20"/>
            <w:szCs w:val="20"/>
            <w:u w:val="none"/>
          </w:rPr>
          <w:t>Charter of Human Rights and Responsibilities Act 2006</w:t>
        </w:r>
      </w:hyperlink>
      <w:r w:rsidR="00EF7328">
        <w:rPr>
          <w:rFonts w:ascii="Arial" w:hAnsi="Arial" w:cs="Arial"/>
          <w:i/>
          <w:iCs/>
          <w:color w:val="000000" w:themeColor="text1"/>
          <w:sz w:val="20"/>
          <w:szCs w:val="20"/>
        </w:rPr>
        <w:t>.</w:t>
      </w:r>
      <w:r w:rsidR="00EF7328">
        <w:rPr>
          <w:rFonts w:ascii="Arial" w:hAnsi="Arial" w:cs="Arial"/>
          <w:color w:val="000000" w:themeColor="text1"/>
          <w:sz w:val="20"/>
          <w:szCs w:val="20"/>
        </w:rPr>
        <w:t xml:space="preserve">  </w:t>
      </w:r>
      <w:r w:rsidRPr="00162B24">
        <w:rPr>
          <w:rFonts w:ascii="Arial" w:hAnsi="Arial" w:cs="Arial"/>
          <w:color w:val="000000" w:themeColor="text1"/>
          <w:sz w:val="20"/>
          <w:szCs w:val="20"/>
        </w:rPr>
        <w:t>The</w:t>
      </w:r>
      <w:r w:rsidR="00EF7328">
        <w:rPr>
          <w:rFonts w:ascii="Arial" w:hAnsi="Arial" w:cs="Arial"/>
          <w:color w:val="000000" w:themeColor="text1"/>
          <w:sz w:val="20"/>
          <w:szCs w:val="20"/>
        </w:rPr>
        <w:t> </w:t>
      </w:r>
      <w:r w:rsidRPr="00162B24">
        <w:rPr>
          <w:rFonts w:ascii="Arial" w:hAnsi="Arial" w:cs="Arial"/>
          <w:color w:val="000000" w:themeColor="text1"/>
          <w:sz w:val="20"/>
          <w:szCs w:val="20"/>
        </w:rPr>
        <w:t>Court must</w:t>
      </w:r>
      <w:r w:rsidRPr="00162B24">
        <w:rPr>
          <w:rFonts w:ascii="Arial" w:hAnsi="Arial" w:cs="Arial"/>
          <w:color w:val="000000"/>
          <w:sz w:val="20"/>
          <w:szCs w:val="20"/>
        </w:rPr>
        <w:t xml:space="preserve"> ensure that a self-represented litigant has a reasonable opportunity to present their case and, if necessary, be informed of what issues need to be addressed. But a self-represented litigant is not given free rein as to how they conduct themselves in a hearing. As the Western Australian Court of Appeal</w:t>
      </w:r>
      <w:r w:rsidRPr="00EF7328">
        <w:rPr>
          <w:rFonts w:ascii="Arial" w:hAnsi="Arial" w:cs="Arial"/>
          <w:color w:val="000000" w:themeColor="text1"/>
          <w:sz w:val="20"/>
          <w:szCs w:val="20"/>
        </w:rPr>
        <w:t xml:space="preserve"> stated in </w:t>
      </w:r>
      <w:hyperlink r:id="rId30" w:history="1">
        <w:r w:rsidRPr="00EF7328">
          <w:rPr>
            <w:rStyle w:val="Hyperlink"/>
            <w:rFonts w:ascii="Arial" w:hAnsi="Arial" w:cs="Arial"/>
            <w:i/>
            <w:iCs/>
            <w:color w:val="000000" w:themeColor="text1"/>
            <w:sz w:val="20"/>
            <w:szCs w:val="20"/>
            <w:u w:val="none"/>
          </w:rPr>
          <w:t>O’Connell v The State of Western Australia</w:t>
        </w:r>
      </w:hyperlink>
      <w:r w:rsidR="00EF7328" w:rsidRPr="00EF7328">
        <w:rPr>
          <w:rFonts w:ascii="Arial" w:hAnsi="Arial" w:cs="Arial"/>
          <w:i/>
          <w:iCs/>
          <w:color w:val="000000" w:themeColor="text1"/>
          <w:sz w:val="20"/>
          <w:szCs w:val="20"/>
        </w:rPr>
        <w:t xml:space="preserve"> </w:t>
      </w:r>
      <w:hyperlink r:id="rId31" w:history="1">
        <w:r w:rsidR="00EF7328" w:rsidRPr="00EF7328">
          <w:rPr>
            <w:rStyle w:val="Hyperlink"/>
            <w:rFonts w:ascii="Arial" w:hAnsi="Arial" w:cs="Arial"/>
            <w:i/>
            <w:iCs/>
            <w:color w:val="000000" w:themeColor="text1"/>
            <w:sz w:val="20"/>
            <w:szCs w:val="20"/>
            <w:u w:val="none"/>
          </w:rPr>
          <w:t>O’Connell v The State of Western Australia</w:t>
        </w:r>
      </w:hyperlink>
      <w:r w:rsidR="00EF7328" w:rsidRPr="00EF7328">
        <w:rPr>
          <w:rFonts w:ascii="Arial" w:hAnsi="Arial" w:cs="Arial"/>
          <w:color w:val="000000" w:themeColor="text1"/>
          <w:sz w:val="20"/>
          <w:szCs w:val="20"/>
        </w:rPr>
        <w:t xml:space="preserve"> [2012] WASCA 96 </w:t>
      </w:r>
      <w:hyperlink r:id="rId32" w:history="1">
        <w:r w:rsidR="00EF7328" w:rsidRPr="00EF7328">
          <w:rPr>
            <w:rStyle w:val="Hyperlink"/>
            <w:rFonts w:ascii="Arial" w:hAnsi="Arial" w:cs="Arial"/>
            <w:color w:val="000000" w:themeColor="text1"/>
            <w:sz w:val="20"/>
            <w:szCs w:val="20"/>
            <w:u w:val="none"/>
          </w:rPr>
          <w:t>[109]</w:t>
        </w:r>
      </w:hyperlink>
      <w:r w:rsidRPr="00162B24">
        <w:rPr>
          <w:rFonts w:ascii="Arial" w:hAnsi="Arial" w:cs="Arial"/>
          <w:color w:val="000000"/>
          <w:sz w:val="20"/>
          <w:szCs w:val="20"/>
        </w:rPr>
        <w:t>, a case on which the first defendant relied:</w:t>
      </w:r>
    </w:p>
    <w:p w14:paraId="4A17E3F5" w14:textId="5F93AF85" w:rsidR="00162B24" w:rsidRPr="00162B24" w:rsidRDefault="00EF7328" w:rsidP="00EF7328">
      <w:pPr>
        <w:spacing w:before="60"/>
        <w:ind w:left="907" w:right="907"/>
        <w:jc w:val="both"/>
        <w:rPr>
          <w:rFonts w:ascii="Arial" w:hAnsi="Arial" w:cs="Arial"/>
          <w:color w:val="000000"/>
          <w:sz w:val="20"/>
          <w:szCs w:val="20"/>
        </w:rPr>
      </w:pPr>
      <w:r>
        <w:rPr>
          <w:rFonts w:ascii="Arial" w:hAnsi="Arial" w:cs="Arial"/>
          <w:color w:val="000000"/>
          <w:sz w:val="18"/>
          <w:szCs w:val="18"/>
        </w:rPr>
        <w:t>‘</w:t>
      </w:r>
      <w:r w:rsidRPr="00EF7328">
        <w:rPr>
          <w:rFonts w:ascii="Arial" w:hAnsi="Arial" w:cs="Arial"/>
          <w:color w:val="000000"/>
          <w:sz w:val="18"/>
          <w:szCs w:val="18"/>
        </w:rPr>
        <w:t>An unrepresented accused cannot deliberately take advantage of this position to conduct him or herself in a way that would not be acceptable from defence counsel. Being unrepresented is not a free pass to misbehave, flout the legal or procedural rules, ignore the law of evidence or to treat the trial judge and witnesses with disrespect or contempt. Where an unrepresented accused acts or attempts to act in any of these ways, a trial judge must fairly and, if necessary, firmly deal with such behaviour. The extent to which a trial is regarded as fair will be examined in the light of the accused's own conduct.</w:t>
      </w:r>
      <w:r>
        <w:rPr>
          <w:rFonts w:ascii="Arial" w:hAnsi="Arial" w:cs="Arial"/>
          <w:color w:val="000000"/>
          <w:sz w:val="18"/>
          <w:szCs w:val="18"/>
        </w:rPr>
        <w:t>’”</w:t>
      </w:r>
    </w:p>
    <w:p w14:paraId="772F8F4D" w14:textId="7D7EE91B" w:rsidR="00EF7328" w:rsidRDefault="00EF7328" w:rsidP="00EF7328">
      <w:pPr>
        <w:pStyle w:val="NormalWeb"/>
        <w:spacing w:before="60" w:beforeAutospacing="0" w:after="0" w:afterAutospacing="0"/>
        <w:ind w:left="454" w:right="454"/>
        <w:jc w:val="both"/>
        <w:rPr>
          <w:rFonts w:ascii="Arial" w:hAnsi="Arial" w:cs="Arial"/>
          <w:color w:val="000000" w:themeColor="text1"/>
          <w:sz w:val="20"/>
          <w:szCs w:val="20"/>
        </w:rPr>
      </w:pPr>
      <w:r>
        <w:rPr>
          <w:rFonts w:ascii="Arial" w:hAnsi="Arial" w:cs="Arial"/>
          <w:sz w:val="20"/>
          <w:szCs w:val="20"/>
        </w:rPr>
        <w:t>[37] “</w:t>
      </w:r>
      <w:r w:rsidRPr="00EF7328">
        <w:rPr>
          <w:rFonts w:ascii="Arial" w:hAnsi="Arial" w:cs="Arial"/>
          <w:sz w:val="20"/>
          <w:szCs w:val="20"/>
        </w:rPr>
        <w:t xml:space="preserve">In my opinion, the conduct of the Magistrate as transcribed, and heard via the audio-recording, did not deny Mr Kyriazis procedural fairness. It was appropriate for the Magistrate to tell him that if he left the courtroom he was doing so of his own accord, and that she intended to hear and determine the charge. The Magistrate took reasonable steps to ensure the </w:t>
      </w:r>
      <w:r w:rsidRPr="00EF7328">
        <w:rPr>
          <w:rFonts w:ascii="Arial" w:hAnsi="Arial" w:cs="Arial"/>
          <w:color w:val="000000" w:themeColor="text1"/>
          <w:sz w:val="20"/>
          <w:szCs w:val="20"/>
        </w:rPr>
        <w:t xml:space="preserve">hearing would proceed with Mr Kyriazis present, and it was his choice to leave the courtroom. When a litigant leaves the court room before the completion of the hearing, there is no denial of procedural fairness in the court proceeding with the hearing: </w:t>
      </w:r>
      <w:hyperlink r:id="rId33" w:history="1">
        <w:r w:rsidRPr="00EF7328">
          <w:rPr>
            <w:rStyle w:val="Hyperlink"/>
            <w:rFonts w:ascii="Arial" w:hAnsi="Arial" w:cs="Arial"/>
            <w:i/>
            <w:iCs/>
            <w:color w:val="000000" w:themeColor="text1"/>
            <w:sz w:val="20"/>
            <w:szCs w:val="20"/>
            <w:u w:val="none"/>
          </w:rPr>
          <w:t>Andelman v Secretary, Department of Families, Housing, Community Services and Indigenous Affairs</w:t>
        </w:r>
      </w:hyperlink>
      <w:r>
        <w:rPr>
          <w:rFonts w:ascii="Arial" w:hAnsi="Arial" w:cs="Arial"/>
          <w:i/>
          <w:iCs/>
          <w:color w:val="000000" w:themeColor="text1"/>
          <w:sz w:val="20"/>
          <w:szCs w:val="20"/>
        </w:rPr>
        <w:t xml:space="preserve"> </w:t>
      </w:r>
      <w:r w:rsidRPr="00EF7328">
        <w:rPr>
          <w:rFonts w:ascii="Arial" w:hAnsi="Arial" w:cs="Arial"/>
          <w:color w:val="000000" w:themeColor="text1"/>
          <w:sz w:val="20"/>
          <w:szCs w:val="20"/>
        </w:rPr>
        <w:t>[2011] FCA 299 </w:t>
      </w:r>
      <w:hyperlink r:id="rId34" w:history="1">
        <w:r w:rsidRPr="00EF7328">
          <w:rPr>
            <w:rStyle w:val="Hyperlink"/>
            <w:rFonts w:ascii="Arial" w:hAnsi="Arial" w:cs="Arial"/>
            <w:color w:val="000000" w:themeColor="text1"/>
            <w:sz w:val="20"/>
            <w:szCs w:val="20"/>
            <w:u w:val="none"/>
          </w:rPr>
          <w:t>[38]–[40]</w:t>
        </w:r>
      </w:hyperlink>
      <w:r w:rsidRPr="00EF7328">
        <w:rPr>
          <w:rFonts w:ascii="Arial" w:hAnsi="Arial" w:cs="Arial"/>
          <w:color w:val="000000" w:themeColor="text1"/>
          <w:sz w:val="20"/>
          <w:szCs w:val="20"/>
        </w:rPr>
        <w:t> (Jagot J);</w:t>
      </w:r>
      <w:r w:rsidR="00537E2D">
        <w:rPr>
          <w:rFonts w:ascii="Arial" w:hAnsi="Arial" w:cs="Arial"/>
          <w:color w:val="000000" w:themeColor="text1"/>
          <w:sz w:val="20"/>
          <w:szCs w:val="20"/>
        </w:rPr>
        <w:t xml:space="preserve"> </w:t>
      </w:r>
      <w:hyperlink r:id="rId35" w:history="1">
        <w:r w:rsidRPr="00EF7328">
          <w:rPr>
            <w:rStyle w:val="Hyperlink"/>
            <w:rFonts w:ascii="Arial" w:hAnsi="Arial" w:cs="Arial"/>
            <w:i/>
            <w:iCs/>
            <w:color w:val="000000" w:themeColor="text1"/>
            <w:sz w:val="20"/>
            <w:szCs w:val="20"/>
            <w:u w:val="none"/>
          </w:rPr>
          <w:t>Charara v Commissioner of Taxation</w:t>
        </w:r>
      </w:hyperlink>
      <w:r w:rsidR="00537E2D">
        <w:rPr>
          <w:rFonts w:ascii="Arial" w:hAnsi="Arial" w:cs="Arial"/>
          <w:color w:val="000000" w:themeColor="text1"/>
          <w:sz w:val="20"/>
          <w:szCs w:val="20"/>
        </w:rPr>
        <w:t xml:space="preserve"> </w:t>
      </w:r>
      <w:r w:rsidRPr="00EF7328">
        <w:rPr>
          <w:rFonts w:ascii="Arial" w:hAnsi="Arial" w:cs="Arial"/>
          <w:color w:val="000000" w:themeColor="text1"/>
          <w:sz w:val="20"/>
          <w:szCs w:val="20"/>
        </w:rPr>
        <w:t>[2016] FCA 451 </w:t>
      </w:r>
      <w:hyperlink r:id="rId36" w:history="1">
        <w:r w:rsidRPr="00EF7328">
          <w:rPr>
            <w:rStyle w:val="Hyperlink"/>
            <w:rFonts w:ascii="Arial" w:hAnsi="Arial" w:cs="Arial"/>
            <w:color w:val="000000" w:themeColor="text1"/>
            <w:sz w:val="20"/>
            <w:szCs w:val="20"/>
            <w:u w:val="none"/>
          </w:rPr>
          <w:t>[81]</w:t>
        </w:r>
      </w:hyperlink>
      <w:r>
        <w:rPr>
          <w:rFonts w:ascii="Arial" w:hAnsi="Arial" w:cs="Arial"/>
          <w:color w:val="000000" w:themeColor="text1"/>
          <w:sz w:val="20"/>
          <w:szCs w:val="20"/>
        </w:rPr>
        <w:t xml:space="preserve"> </w:t>
      </w:r>
      <w:r w:rsidRPr="00EF7328">
        <w:rPr>
          <w:rFonts w:ascii="Arial" w:hAnsi="Arial" w:cs="Arial"/>
          <w:color w:val="000000" w:themeColor="text1"/>
          <w:sz w:val="20"/>
          <w:szCs w:val="20"/>
        </w:rPr>
        <w:t>(Wigney</w:t>
      </w:r>
      <w:r>
        <w:rPr>
          <w:rFonts w:ascii="Arial" w:hAnsi="Arial" w:cs="Arial"/>
          <w:color w:val="000000" w:themeColor="text1"/>
          <w:sz w:val="20"/>
          <w:szCs w:val="20"/>
        </w:rPr>
        <w:t> </w:t>
      </w:r>
      <w:r w:rsidRPr="00EF7328">
        <w:rPr>
          <w:rFonts w:ascii="Arial" w:hAnsi="Arial" w:cs="Arial"/>
          <w:color w:val="000000" w:themeColor="text1"/>
          <w:sz w:val="20"/>
          <w:szCs w:val="20"/>
        </w:rPr>
        <w:t>J).</w:t>
      </w:r>
    </w:p>
    <w:p w14:paraId="5E77D3D6" w14:textId="77777777" w:rsidR="00537E2D" w:rsidRDefault="00EF7328" w:rsidP="00EF7328">
      <w:pPr>
        <w:pStyle w:val="NormalWeb"/>
        <w:spacing w:before="60" w:beforeAutospacing="0" w:after="0" w:afterAutospacing="0"/>
        <w:ind w:left="454" w:right="454"/>
        <w:jc w:val="both"/>
        <w:rPr>
          <w:rFonts w:ascii="Arial" w:hAnsi="Arial" w:cs="Arial"/>
          <w:color w:val="000000" w:themeColor="text1"/>
          <w:sz w:val="20"/>
          <w:szCs w:val="20"/>
          <w:shd w:val="clear" w:color="auto" w:fill="FFFFFF"/>
        </w:rPr>
      </w:pPr>
      <w:r>
        <w:rPr>
          <w:rFonts w:ascii="Arial" w:hAnsi="Arial" w:cs="Arial"/>
          <w:color w:val="000000" w:themeColor="text1"/>
          <w:sz w:val="20"/>
          <w:szCs w:val="20"/>
        </w:rPr>
        <w:t xml:space="preserve">[38] </w:t>
      </w:r>
      <w:r w:rsidRPr="00EF7328">
        <w:rPr>
          <w:rFonts w:ascii="Arial" w:hAnsi="Arial" w:cs="Arial"/>
          <w:sz w:val="20"/>
          <w:szCs w:val="20"/>
        </w:rPr>
        <w:t xml:space="preserve">Mr Kyriazis sought to raise his ‘preliminary issue’, the constitutional issue, at the commencement of the hearing, but the Magistrate did not immediately allow him to address </w:t>
      </w:r>
      <w:r w:rsidRPr="00EF7328">
        <w:rPr>
          <w:rFonts w:ascii="Arial" w:hAnsi="Arial" w:cs="Arial"/>
          <w:sz w:val="20"/>
          <w:szCs w:val="20"/>
        </w:rPr>
        <w:lastRenderedPageBreak/>
        <w:t>it. Nor was she obliged to. As a judicial officer her role was to control the conduct of the hearing and the manner and order in which issues were to be determined. The judicial officer conducts the hearing, not the parties. The parties, whether represented or not, must accept, and give reasonable respect to, the judicial officer’s role and authority. There is no indication in the transcript or recording that the Magistrate would not have allowed Mr Kyriazis to present his constitutional argument if he had remained in the courtroom. They only indicate that, as the presiding judicial officer, she proposed to decide the order in which issues were to be argued. The Magistrate in fact stated that ‘[h]is behaviour in the Court meant that I was unable and not prepared to hear his preliminary points until he put those points in a respectful and calm way. At no point, did that happen’.</w:t>
      </w:r>
      <w:r w:rsidR="0060031F">
        <w:rPr>
          <w:rFonts w:ascii="Arial" w:hAnsi="Arial" w:cs="Arial"/>
          <w:sz w:val="20"/>
          <w:szCs w:val="20"/>
        </w:rPr>
        <w:t xml:space="preserve">  </w:t>
      </w:r>
      <w:r w:rsidRPr="00EF7328">
        <w:rPr>
          <w:rFonts w:ascii="Arial" w:hAnsi="Arial" w:cs="Arial"/>
          <w:sz w:val="20"/>
          <w:szCs w:val="20"/>
        </w:rPr>
        <w:t>It is important for the administration of justice, and in the interests of all whose work requires them to be present in courtrooms, that all persons who are parties to criminal or civil proceedings, whether represented or not, show reasonable respect for the judicial officer. It is not for litigants to constantly interrupt the presiding judicial officer, but to listen and respond to the questions put to them and make their submissions when it is their turn. Mr Kyriazis is an experienced litigant</w:t>
      </w:r>
      <w:r w:rsidR="0060031F">
        <w:rPr>
          <w:rFonts w:ascii="Arial" w:hAnsi="Arial" w:cs="Arial"/>
          <w:sz w:val="20"/>
          <w:szCs w:val="20"/>
        </w:rPr>
        <w:t xml:space="preserve">: </w:t>
      </w:r>
      <w:hyperlink r:id="rId37" w:history="1">
        <w:r w:rsidR="0060031F" w:rsidRPr="0060031F">
          <w:rPr>
            <w:rStyle w:val="Hyperlink"/>
            <w:rFonts w:ascii="Arial" w:hAnsi="Arial" w:cs="Arial"/>
            <w:i/>
            <w:iCs/>
            <w:color w:val="000000" w:themeColor="text1"/>
            <w:sz w:val="20"/>
            <w:szCs w:val="20"/>
            <w:u w:val="none"/>
            <w:shd w:val="clear" w:color="auto" w:fill="FFFFFF"/>
          </w:rPr>
          <w:t>Doughty-Cowell v Kyriazis</w:t>
        </w:r>
      </w:hyperlink>
      <w:r w:rsidR="0060031F">
        <w:rPr>
          <w:rFonts w:ascii="Arial" w:hAnsi="Arial" w:cs="Arial"/>
          <w:i/>
          <w:iCs/>
          <w:color w:val="000000" w:themeColor="text1"/>
          <w:sz w:val="20"/>
          <w:szCs w:val="20"/>
          <w:shd w:val="clear" w:color="auto" w:fill="FFFFFF"/>
        </w:rPr>
        <w:t xml:space="preserve"> </w:t>
      </w:r>
      <w:r w:rsidR="0060031F" w:rsidRPr="0060031F">
        <w:rPr>
          <w:rFonts w:ascii="Arial" w:hAnsi="Arial" w:cs="Arial"/>
          <w:color w:val="000000" w:themeColor="text1"/>
          <w:sz w:val="20"/>
          <w:szCs w:val="20"/>
          <w:shd w:val="clear" w:color="auto" w:fill="FFFFFF"/>
        </w:rPr>
        <w:t>[2018] VSCA 216, </w:t>
      </w:r>
      <w:hyperlink r:id="rId38" w:history="1">
        <w:r w:rsidR="0060031F" w:rsidRPr="0060031F">
          <w:rPr>
            <w:rStyle w:val="Hyperlink"/>
            <w:rFonts w:ascii="Arial" w:hAnsi="Arial" w:cs="Arial"/>
            <w:color w:val="000000" w:themeColor="text1"/>
            <w:sz w:val="20"/>
            <w:szCs w:val="20"/>
            <w:u w:val="none"/>
            <w:shd w:val="clear" w:color="auto" w:fill="FFFFFF"/>
          </w:rPr>
          <w:t>[75]</w:t>
        </w:r>
      </w:hyperlink>
      <w:r w:rsidR="0060031F" w:rsidRPr="0060031F">
        <w:rPr>
          <w:rFonts w:ascii="Arial" w:hAnsi="Arial" w:cs="Arial"/>
          <w:color w:val="000000" w:themeColor="text1"/>
          <w:sz w:val="20"/>
          <w:szCs w:val="20"/>
          <w:shd w:val="clear" w:color="auto" w:fill="FFFFFF"/>
        </w:rPr>
        <w:t> (Maxwell P, Beach and Niall JJA).</w:t>
      </w:r>
    </w:p>
    <w:p w14:paraId="38120EB2" w14:textId="57DC3839" w:rsidR="00537E2D" w:rsidRPr="00537E2D" w:rsidRDefault="00537E2D" w:rsidP="00EF7328">
      <w:pPr>
        <w:pStyle w:val="NormalWeb"/>
        <w:spacing w:before="60" w:beforeAutospacing="0" w:after="0" w:afterAutospacing="0"/>
        <w:ind w:left="454" w:right="454"/>
        <w:jc w:val="both"/>
        <w:rPr>
          <w:rFonts w:ascii="Arial" w:hAnsi="Arial" w:cs="Arial"/>
          <w:color w:val="000000" w:themeColor="text1"/>
          <w:sz w:val="20"/>
          <w:szCs w:val="20"/>
          <w:shd w:val="clear" w:color="auto" w:fill="FFFFFF"/>
        </w:rPr>
      </w:pPr>
      <w:r w:rsidRPr="00537E2D">
        <w:rPr>
          <w:rFonts w:ascii="Arial" w:hAnsi="Arial" w:cs="Arial"/>
          <w:color w:val="000000" w:themeColor="text1"/>
          <w:sz w:val="20"/>
          <w:szCs w:val="20"/>
          <w:shd w:val="clear" w:color="auto" w:fill="FFFFFF"/>
        </w:rPr>
        <w:t xml:space="preserve">[39] Mr Kyriazis was not denied procedural fairness and once he walked out waived any further entitlement to a hearing. The Magistrate had power to proceed with the hearing and determination of the charge even though Mr Kyriazis had left the hearing: </w:t>
      </w:r>
      <w:hyperlink r:id="rId39" w:history="1">
        <w:r w:rsidRPr="00537E2D">
          <w:rPr>
            <w:rStyle w:val="Hyperlink"/>
            <w:rFonts w:ascii="Arial" w:hAnsi="Arial" w:cs="Arial"/>
            <w:i/>
            <w:iCs/>
            <w:color w:val="000000" w:themeColor="text1"/>
            <w:sz w:val="20"/>
            <w:szCs w:val="20"/>
            <w:u w:val="none"/>
            <w:shd w:val="clear" w:color="auto" w:fill="FFFFFF"/>
          </w:rPr>
          <w:t>Onus v Sealey</w:t>
        </w:r>
      </w:hyperlink>
      <w:r>
        <w:rPr>
          <w:rFonts w:ascii="Arial" w:hAnsi="Arial" w:cs="Arial"/>
          <w:color w:val="000000" w:themeColor="text1"/>
          <w:sz w:val="20"/>
          <w:szCs w:val="20"/>
          <w:shd w:val="clear" w:color="auto" w:fill="FFFFFF"/>
        </w:rPr>
        <w:t xml:space="preserve"> </w:t>
      </w:r>
      <w:r w:rsidRPr="00537E2D">
        <w:rPr>
          <w:rFonts w:ascii="Arial" w:hAnsi="Arial" w:cs="Arial"/>
          <w:color w:val="000000" w:themeColor="text1"/>
          <w:sz w:val="20"/>
          <w:szCs w:val="20"/>
          <w:shd w:val="clear" w:color="auto" w:fill="FFFFFF"/>
        </w:rPr>
        <w:t>(2004) 149 A Crim R 259; [2004] VSC 396,</w:t>
      </w:r>
      <w:r w:rsidR="004D5488">
        <w:rPr>
          <w:rFonts w:ascii="Arial" w:hAnsi="Arial" w:cs="Arial"/>
          <w:color w:val="000000" w:themeColor="text1"/>
          <w:sz w:val="20"/>
          <w:szCs w:val="20"/>
          <w:shd w:val="clear" w:color="auto" w:fill="FFFFFF"/>
        </w:rPr>
        <w:t xml:space="preserve"> </w:t>
      </w:r>
      <w:hyperlink r:id="rId40" w:history="1">
        <w:r w:rsidRPr="00537E2D">
          <w:rPr>
            <w:rStyle w:val="Hyperlink"/>
            <w:rFonts w:ascii="Arial" w:hAnsi="Arial" w:cs="Arial"/>
            <w:color w:val="000000" w:themeColor="text1"/>
            <w:sz w:val="20"/>
            <w:szCs w:val="20"/>
            <w:u w:val="none"/>
            <w:shd w:val="clear" w:color="auto" w:fill="FFFFFF"/>
          </w:rPr>
          <w:t>[25]</w:t>
        </w:r>
      </w:hyperlink>
      <w:r w:rsidRPr="00537E2D">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w:t>
      </w:r>
    </w:p>
    <w:p w14:paraId="1FF1B46C" w14:textId="5DC1439D" w:rsidR="00537E2D" w:rsidRDefault="00537E2D" w:rsidP="00537E2D">
      <w:pPr>
        <w:pStyle w:val="NormalWeb"/>
        <w:spacing w:before="0" w:beforeAutospacing="0" w:after="0" w:afterAutospacing="0"/>
        <w:jc w:val="both"/>
        <w:rPr>
          <w:rFonts w:ascii="Arial" w:hAnsi="Arial" w:cs="Arial"/>
          <w:color w:val="000000" w:themeColor="text1"/>
          <w:sz w:val="20"/>
          <w:szCs w:val="20"/>
          <w:shd w:val="clear" w:color="auto" w:fill="FFFFFF"/>
        </w:rPr>
      </w:pPr>
      <w:bookmarkStart w:id="108" w:name="_Hlk142632841"/>
    </w:p>
    <w:p w14:paraId="06167B72" w14:textId="41722E89" w:rsidR="00F36E54" w:rsidRDefault="00C618F5" w:rsidP="00537E2D">
      <w:pPr>
        <w:pStyle w:val="NormalWeb"/>
        <w:spacing w:before="0" w:beforeAutospacing="0" w:after="0" w:afterAutospacing="0"/>
        <w:jc w:val="both"/>
        <w:rPr>
          <w:rFonts w:ascii="Arial" w:hAnsi="Arial" w:cs="Arial"/>
          <w:bCs/>
          <w:sz w:val="20"/>
          <w:szCs w:val="20"/>
        </w:rPr>
      </w:pPr>
      <w:r>
        <w:rPr>
          <w:rFonts w:ascii="Arial" w:hAnsi="Arial" w:cs="Arial"/>
          <w:color w:val="000000" w:themeColor="text1"/>
          <w:sz w:val="20"/>
          <w:szCs w:val="20"/>
          <w:shd w:val="clear" w:color="auto" w:fill="FFFFFF"/>
        </w:rPr>
        <w:t xml:space="preserve">In </w:t>
      </w:r>
      <w:r w:rsidRPr="00AA1D19">
        <w:rPr>
          <w:rFonts w:ascii="Arial" w:hAnsi="Arial" w:cs="Arial"/>
          <w:bCs/>
          <w:i/>
          <w:iCs/>
          <w:sz w:val="20"/>
          <w:szCs w:val="20"/>
        </w:rPr>
        <w:t>AML (a pseudonym) v Longden Super Custodian Pty Ltd</w:t>
      </w:r>
      <w:r w:rsidRPr="00AA1D19">
        <w:rPr>
          <w:rFonts w:ascii="Arial" w:hAnsi="Arial" w:cs="Arial"/>
          <w:bCs/>
          <w:sz w:val="20"/>
          <w:szCs w:val="20"/>
        </w:rPr>
        <w:t xml:space="preserve"> [2023] VSCA</w:t>
      </w:r>
      <w:r>
        <w:rPr>
          <w:rFonts w:ascii="Arial" w:hAnsi="Arial" w:cs="Arial"/>
          <w:bCs/>
          <w:sz w:val="20"/>
          <w:szCs w:val="20"/>
        </w:rPr>
        <w:t xml:space="preserve"> 170 the Court of Appeal </w:t>
      </w:r>
      <w:r w:rsidR="00EC5F4C">
        <w:rPr>
          <w:rFonts w:ascii="Arial" w:hAnsi="Arial" w:cs="Arial"/>
          <w:sz w:val="20"/>
          <w:szCs w:val="20"/>
        </w:rPr>
        <w:t>refused the applicant leave to appeal a decision of McDonald J summarily dismissing his appeal from a VCAT decision</w:t>
      </w:r>
      <w:r w:rsidR="00F36E54">
        <w:rPr>
          <w:rFonts w:ascii="Arial" w:hAnsi="Arial" w:cs="Arial"/>
          <w:bCs/>
          <w:sz w:val="20"/>
          <w:szCs w:val="20"/>
        </w:rPr>
        <w:t xml:space="preserve">.  At </w:t>
      </w:r>
      <w:r w:rsidR="00EC5F4C">
        <w:rPr>
          <w:rFonts w:ascii="Arial" w:hAnsi="Arial" w:cs="Arial"/>
          <w:bCs/>
          <w:sz w:val="20"/>
          <w:szCs w:val="20"/>
        </w:rPr>
        <w:t xml:space="preserve">[1]-[2] &amp; </w:t>
      </w:r>
      <w:r w:rsidR="00F36E54">
        <w:rPr>
          <w:rFonts w:ascii="Arial" w:hAnsi="Arial" w:cs="Arial"/>
          <w:bCs/>
          <w:sz w:val="20"/>
          <w:szCs w:val="20"/>
        </w:rPr>
        <w:t>[47]-[49] Macaulay JA &amp; J Forrest AJA said [emphasis added]:</w:t>
      </w:r>
    </w:p>
    <w:p w14:paraId="519C7336" w14:textId="42862291" w:rsidR="00EC5F4C" w:rsidRDefault="00EC5F4C" w:rsidP="00EC5F4C">
      <w:pPr>
        <w:pStyle w:val="NormalWeb"/>
        <w:spacing w:before="60" w:beforeAutospacing="0" w:after="0" w:afterAutospacing="0"/>
        <w:ind w:left="454" w:right="454"/>
        <w:jc w:val="both"/>
        <w:rPr>
          <w:rFonts w:ascii="Arial" w:hAnsi="Arial" w:cs="Arial"/>
          <w:color w:val="auto"/>
          <w:sz w:val="20"/>
          <w:szCs w:val="20"/>
        </w:rPr>
      </w:pPr>
      <w:r>
        <w:rPr>
          <w:rFonts w:ascii="Arial" w:hAnsi="Arial" w:cs="Arial"/>
          <w:sz w:val="20"/>
          <w:szCs w:val="20"/>
        </w:rPr>
        <w:t>[1] “This is the fifth occasion on which the applicant has challenged, in a division of the Supreme Court, the correctness of a decision by the Victorian Civil and Administrative Tribunal (‘VCAT’) to refuse or not consider his application to adjourn a hearing of his landlord’s claim for possession of his rental premises.</w:t>
      </w:r>
    </w:p>
    <w:p w14:paraId="79FCCCAF" w14:textId="77777777" w:rsidR="00EC5F4C" w:rsidRDefault="00EC5F4C" w:rsidP="00EC5F4C">
      <w:pPr>
        <w:pStyle w:val="NormalWeb"/>
        <w:spacing w:before="60" w:beforeAutospacing="0" w:after="0" w:afterAutospacing="0"/>
        <w:ind w:left="454" w:right="454"/>
        <w:jc w:val="both"/>
        <w:rPr>
          <w:rFonts w:ascii="Arial" w:hAnsi="Arial" w:cs="Arial"/>
          <w:sz w:val="20"/>
          <w:szCs w:val="20"/>
          <w:shd w:val="clear" w:color="auto" w:fill="FFFFFF"/>
        </w:rPr>
      </w:pPr>
      <w:r>
        <w:rPr>
          <w:rFonts w:ascii="Arial" w:hAnsi="Arial" w:cs="Arial"/>
          <w:sz w:val="20"/>
          <w:szCs w:val="20"/>
        </w:rPr>
        <w:t>[2] On each occasion a judge (or judges) determined that the applicant had not made out a prima facie case that he had been denied procedural fairness by not adjourning the hearing.”</w:t>
      </w:r>
    </w:p>
    <w:p w14:paraId="72454F41" w14:textId="5D1CCF8A" w:rsidR="00EC5F4C" w:rsidRDefault="00EC5F4C" w:rsidP="00EC5F4C">
      <w:pPr>
        <w:pStyle w:val="NormalWeb"/>
        <w:spacing w:before="60" w:beforeAutospacing="0" w:after="0" w:afterAutospacing="0"/>
        <w:ind w:left="454" w:right="454"/>
        <w:jc w:val="both"/>
        <w:rPr>
          <w:rFonts w:ascii="Arial" w:hAnsi="Arial" w:cs="Arial"/>
          <w:sz w:val="20"/>
          <w:szCs w:val="20"/>
          <w:shd w:val="clear" w:color="auto" w:fill="FFFFFF"/>
        </w:rPr>
      </w:pPr>
      <w:r>
        <w:rPr>
          <w:rFonts w:ascii="Arial" w:hAnsi="Arial" w:cs="Arial"/>
          <w:sz w:val="20"/>
          <w:szCs w:val="20"/>
          <w:shd w:val="clear" w:color="auto" w:fill="FFFFFF"/>
        </w:rPr>
        <w:t>…</w:t>
      </w:r>
    </w:p>
    <w:p w14:paraId="1ECAC3A1" w14:textId="60B776FE" w:rsidR="00F36E54" w:rsidRDefault="00F36E54" w:rsidP="00F36E54">
      <w:pPr>
        <w:pStyle w:val="NormalWeb"/>
        <w:spacing w:before="60" w:beforeAutospacing="0" w:after="0" w:afterAutospacing="0"/>
        <w:ind w:left="454" w:right="454"/>
        <w:jc w:val="both"/>
        <w:rPr>
          <w:rFonts w:ascii="Arial" w:hAnsi="Arial" w:cs="Arial"/>
          <w:sz w:val="20"/>
          <w:szCs w:val="20"/>
        </w:rPr>
      </w:pPr>
      <w:r>
        <w:rPr>
          <w:rFonts w:ascii="Arial" w:hAnsi="Arial" w:cs="Arial"/>
          <w:color w:val="000000" w:themeColor="text1"/>
          <w:sz w:val="20"/>
          <w:szCs w:val="20"/>
          <w:shd w:val="clear" w:color="auto" w:fill="FFFFFF"/>
        </w:rPr>
        <w:t>[47] “</w:t>
      </w:r>
      <w:r w:rsidRPr="00F36E54">
        <w:rPr>
          <w:rFonts w:ascii="Arial" w:hAnsi="Arial" w:cs="Arial"/>
          <w:sz w:val="20"/>
          <w:szCs w:val="20"/>
        </w:rPr>
        <w:t>In summary, as at 1 September 2022, at the latest, AML knew: the hearing listed for 1</w:t>
      </w:r>
      <w:r w:rsidR="00EC5F4C">
        <w:rPr>
          <w:rFonts w:ascii="Arial" w:hAnsi="Arial" w:cs="Arial"/>
          <w:sz w:val="20"/>
          <w:szCs w:val="20"/>
        </w:rPr>
        <w:t> </w:t>
      </w:r>
      <w:r w:rsidRPr="00F36E54">
        <w:rPr>
          <w:rFonts w:ascii="Arial" w:hAnsi="Arial" w:cs="Arial"/>
          <w:sz w:val="20"/>
          <w:szCs w:val="20"/>
        </w:rPr>
        <w:t>September 2022 was proceeding; his first request for an adjournment had been refused; his second request for an adjournment had not been granted but may be considered at the hearing at 11:30 am on 2 September 2022; and he either could participate in the VCAT telephone hearing himself or appoint a representative to participate on his behalf. He did neither of those things. No person appeared before the VCAT to advance his request for an adjournment before the Member hearing Longden’s application for possession. It was not that he could not appear; rather, he would not appear. McDonald J was correct to find that AML chose not to appear.</w:t>
      </w:r>
    </w:p>
    <w:p w14:paraId="0DB282E3" w14:textId="77777777" w:rsidR="00EC5F4C" w:rsidRDefault="00F36E54" w:rsidP="00F36E54">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 xml:space="preserve">[48] </w:t>
      </w:r>
      <w:r w:rsidRPr="00F36E54">
        <w:rPr>
          <w:rFonts w:ascii="Arial" w:hAnsi="Arial" w:cs="Arial"/>
          <w:sz w:val="20"/>
          <w:szCs w:val="20"/>
        </w:rPr>
        <w:t>Irving AsJ’s observation (on the summary dismissal application) is directly to the point:</w:t>
      </w:r>
    </w:p>
    <w:p w14:paraId="33E51F6C" w14:textId="37E4E40D" w:rsidR="00F36E54" w:rsidRPr="00EC5F4C" w:rsidRDefault="00EC5F4C" w:rsidP="007B22CD">
      <w:pPr>
        <w:pStyle w:val="NormalWeb"/>
        <w:spacing w:before="60" w:beforeAutospacing="0" w:after="0" w:afterAutospacing="0"/>
        <w:ind w:left="907" w:right="907"/>
        <w:jc w:val="both"/>
        <w:rPr>
          <w:rFonts w:ascii="Arial" w:hAnsi="Arial" w:cs="Arial"/>
          <w:sz w:val="18"/>
          <w:szCs w:val="18"/>
        </w:rPr>
      </w:pPr>
      <w:r w:rsidRPr="00EC5F4C">
        <w:rPr>
          <w:rFonts w:ascii="Arial" w:hAnsi="Arial" w:cs="Arial"/>
          <w:sz w:val="18"/>
          <w:szCs w:val="18"/>
        </w:rPr>
        <w:t>‘A</w:t>
      </w:r>
      <w:r w:rsidR="00F36E54" w:rsidRPr="00EC5F4C">
        <w:rPr>
          <w:rFonts w:ascii="Arial" w:hAnsi="Arial" w:cs="Arial"/>
          <w:sz w:val="18"/>
          <w:szCs w:val="18"/>
        </w:rPr>
        <w:t xml:space="preserve"> further problem arises if AML’s line of argument were to be accepted. That is, it would leave the process before VCAT to his convenience. Such a position is beyond what the duty to provide procedural fairness requires and is contrary to modern case management principles and the need for finality in litigation. It also does not strike the appropriate balance between the interests of both parties to the litigation.</w:t>
      </w:r>
      <w:r w:rsidRPr="00EC5F4C">
        <w:rPr>
          <w:rFonts w:ascii="Arial" w:hAnsi="Arial" w:cs="Arial"/>
          <w:sz w:val="18"/>
          <w:szCs w:val="18"/>
        </w:rPr>
        <w:t>’</w:t>
      </w:r>
    </w:p>
    <w:p w14:paraId="1541CB19" w14:textId="35599159" w:rsidR="00F36E54" w:rsidRPr="00537E2D" w:rsidRDefault="00F36E54" w:rsidP="00F36E54">
      <w:pPr>
        <w:pStyle w:val="NormalWeb"/>
        <w:spacing w:before="60" w:beforeAutospacing="0" w:after="0" w:afterAutospacing="0"/>
        <w:ind w:left="454" w:right="454"/>
        <w:jc w:val="both"/>
        <w:rPr>
          <w:rFonts w:ascii="Arial" w:hAnsi="Arial" w:cs="Arial"/>
          <w:color w:val="000000" w:themeColor="text1"/>
          <w:sz w:val="20"/>
          <w:szCs w:val="20"/>
          <w:shd w:val="clear" w:color="auto" w:fill="FFFFFF"/>
        </w:rPr>
      </w:pPr>
      <w:r>
        <w:rPr>
          <w:rFonts w:ascii="Arial" w:hAnsi="Arial" w:cs="Arial"/>
          <w:sz w:val="20"/>
          <w:szCs w:val="20"/>
        </w:rPr>
        <w:t xml:space="preserve">[49] </w:t>
      </w:r>
      <w:r w:rsidRPr="00F36E54">
        <w:rPr>
          <w:rFonts w:ascii="Arial" w:hAnsi="Arial" w:cs="Arial"/>
          <w:b/>
          <w:bCs/>
          <w:sz w:val="20"/>
          <w:szCs w:val="20"/>
        </w:rPr>
        <w:t>We would go further. It is not for the parties to litigation in this day and age, and with the pressures on courts to deal with cases efficiently and speedily, to dictate whether a case will or will not proceed on a particular day or time. That is the Court’s decision.</w:t>
      </w:r>
      <w:r>
        <w:rPr>
          <w:rFonts w:ascii="Arial" w:hAnsi="Arial" w:cs="Arial"/>
          <w:sz w:val="20"/>
          <w:szCs w:val="20"/>
        </w:rPr>
        <w:t>”</w:t>
      </w:r>
    </w:p>
    <w:p w14:paraId="7A9E2949" w14:textId="77777777" w:rsidR="00EC5F4C" w:rsidRDefault="00EC5F4C" w:rsidP="00537E2D">
      <w:pPr>
        <w:pStyle w:val="NormalWeb"/>
        <w:spacing w:before="0" w:beforeAutospacing="0" w:after="0" w:afterAutospacing="0"/>
        <w:jc w:val="both"/>
        <w:rPr>
          <w:rFonts w:ascii="Arial" w:hAnsi="Arial" w:cs="Arial"/>
          <w:color w:val="000000" w:themeColor="text1"/>
          <w:sz w:val="20"/>
          <w:szCs w:val="20"/>
          <w:shd w:val="clear" w:color="auto" w:fill="FFFFFF"/>
        </w:rPr>
      </w:pPr>
    </w:p>
    <w:bookmarkEnd w:id="108"/>
    <w:p w14:paraId="42D89AEF" w14:textId="1361526B" w:rsidR="0027049C" w:rsidRDefault="0027049C" w:rsidP="00537E2D">
      <w:pPr>
        <w:pStyle w:val="NormalWeb"/>
        <w:spacing w:before="0" w:beforeAutospacing="0" w:after="0" w:afterAutospacing="0"/>
        <w:jc w:val="both"/>
        <w:rPr>
          <w:rFonts w:ascii="Arial" w:hAnsi="Arial" w:cs="Arial"/>
          <w:sz w:val="20"/>
          <w:szCs w:val="20"/>
        </w:rPr>
      </w:pPr>
      <w:r w:rsidRPr="0027049C">
        <w:rPr>
          <w:rFonts w:ascii="Arial" w:hAnsi="Arial" w:cs="Arial"/>
          <w:color w:val="000000" w:themeColor="text1"/>
          <w:sz w:val="20"/>
          <w:szCs w:val="20"/>
          <w:shd w:val="clear" w:color="auto" w:fill="FFFFFF"/>
        </w:rPr>
        <w:t xml:space="preserve">In </w:t>
      </w:r>
      <w:bookmarkStart w:id="109" w:name="_Hlk134433653"/>
      <w:r w:rsidRPr="0027049C">
        <w:rPr>
          <w:rFonts w:ascii="Arial" w:hAnsi="Arial" w:cs="Arial"/>
          <w:i/>
          <w:iCs/>
          <w:sz w:val="20"/>
          <w:szCs w:val="20"/>
        </w:rPr>
        <w:t>Mia Harris (a pseudonym) and Adam Jackson (a pseudonym) v Secretary to the Department of Families Fairness and Housing</w:t>
      </w:r>
      <w:r w:rsidRPr="0027049C">
        <w:rPr>
          <w:rFonts w:ascii="Arial" w:hAnsi="Arial" w:cs="Arial"/>
          <w:sz w:val="20"/>
          <w:szCs w:val="20"/>
        </w:rPr>
        <w:t xml:space="preserve"> [2023] VSC </w:t>
      </w:r>
      <w:r>
        <w:rPr>
          <w:rFonts w:ascii="Arial" w:hAnsi="Arial" w:cs="Arial"/>
          <w:sz w:val="20"/>
          <w:szCs w:val="20"/>
        </w:rPr>
        <w:t xml:space="preserve">228 </w:t>
      </w:r>
      <w:bookmarkEnd w:id="109"/>
      <w:r>
        <w:rPr>
          <w:rFonts w:ascii="Arial" w:hAnsi="Arial" w:cs="Arial"/>
          <w:sz w:val="20"/>
          <w:szCs w:val="20"/>
        </w:rPr>
        <w:t xml:space="preserve">a Children’s Court magistrate had found </w:t>
      </w:r>
      <w:r w:rsidR="0079118D">
        <w:rPr>
          <w:rFonts w:ascii="Arial" w:hAnsi="Arial" w:cs="Arial"/>
          <w:sz w:val="20"/>
          <w:szCs w:val="20"/>
        </w:rPr>
        <w:t xml:space="preserve">– after a 4 day contested hearing – </w:t>
      </w:r>
      <w:r>
        <w:rPr>
          <w:rFonts w:ascii="Arial" w:hAnsi="Arial" w:cs="Arial"/>
          <w:sz w:val="20"/>
          <w:szCs w:val="20"/>
        </w:rPr>
        <w:t>that</w:t>
      </w:r>
      <w:r w:rsidR="0079118D">
        <w:rPr>
          <w:rFonts w:ascii="Arial" w:hAnsi="Arial" w:cs="Arial"/>
          <w:sz w:val="20"/>
          <w:szCs w:val="20"/>
        </w:rPr>
        <w:t xml:space="preserve"> </w:t>
      </w:r>
      <w:r>
        <w:rPr>
          <w:rFonts w:ascii="Arial" w:hAnsi="Arial" w:cs="Arial"/>
          <w:sz w:val="20"/>
          <w:szCs w:val="20"/>
        </w:rPr>
        <w:t xml:space="preserve">a 14 month old child </w:t>
      </w:r>
      <w:r w:rsidR="00F1736A">
        <w:rPr>
          <w:rFonts w:ascii="Arial" w:hAnsi="Arial" w:cs="Arial"/>
          <w:sz w:val="20"/>
          <w:szCs w:val="20"/>
        </w:rPr>
        <w:t xml:space="preserve">Isaac (a pseudonym) </w:t>
      </w:r>
      <w:r>
        <w:rPr>
          <w:rFonts w:ascii="Arial" w:hAnsi="Arial" w:cs="Arial"/>
          <w:sz w:val="20"/>
          <w:szCs w:val="20"/>
        </w:rPr>
        <w:t xml:space="preserve">– who </w:t>
      </w:r>
      <w:r w:rsidR="00F1736A">
        <w:rPr>
          <w:rFonts w:ascii="Arial" w:hAnsi="Arial" w:cs="Arial"/>
          <w:sz w:val="20"/>
          <w:szCs w:val="20"/>
        </w:rPr>
        <w:t xml:space="preserve">was removed from </w:t>
      </w:r>
      <w:r>
        <w:rPr>
          <w:rFonts w:ascii="Arial" w:hAnsi="Arial" w:cs="Arial"/>
          <w:sz w:val="20"/>
          <w:szCs w:val="20"/>
        </w:rPr>
        <w:t xml:space="preserve">parental care </w:t>
      </w:r>
      <w:r w:rsidR="00F1736A">
        <w:rPr>
          <w:rFonts w:ascii="Arial" w:hAnsi="Arial" w:cs="Arial"/>
          <w:sz w:val="20"/>
          <w:szCs w:val="20"/>
        </w:rPr>
        <w:t>at</w:t>
      </w:r>
      <w:r>
        <w:rPr>
          <w:rFonts w:ascii="Arial" w:hAnsi="Arial" w:cs="Arial"/>
          <w:sz w:val="20"/>
          <w:szCs w:val="20"/>
        </w:rPr>
        <w:t xml:space="preserve"> birth – was in need of protection on the likelihood limbs of ss.162(1)(d) &amp; 162(1)(e) CYFA</w:t>
      </w:r>
      <w:r w:rsidR="00F1736A">
        <w:rPr>
          <w:rFonts w:ascii="Arial" w:hAnsi="Arial" w:cs="Arial"/>
          <w:sz w:val="20"/>
          <w:szCs w:val="20"/>
        </w:rPr>
        <w:t xml:space="preserve"> and placed </w:t>
      </w:r>
      <w:r w:rsidR="0079118D">
        <w:rPr>
          <w:rFonts w:ascii="Arial" w:hAnsi="Arial" w:cs="Arial"/>
          <w:sz w:val="20"/>
          <w:szCs w:val="20"/>
        </w:rPr>
        <w:t>him</w:t>
      </w:r>
      <w:r w:rsidR="00F1736A">
        <w:rPr>
          <w:rFonts w:ascii="Arial" w:hAnsi="Arial" w:cs="Arial"/>
          <w:sz w:val="20"/>
          <w:szCs w:val="20"/>
        </w:rPr>
        <w:t xml:space="preserve"> on a care by Secretary order.  The mother had been legally represented but the father – who was then in custody serving an 8 month sentence and a 3 year CCO for various offences, </w:t>
      </w:r>
      <w:r w:rsidR="0079118D">
        <w:rPr>
          <w:rFonts w:ascii="Arial" w:hAnsi="Arial" w:cs="Arial"/>
          <w:sz w:val="20"/>
          <w:szCs w:val="20"/>
        </w:rPr>
        <w:t>including several relating to an incident where he stabbed the mother’s ex-partner – was unrepresented.  Both the mother and the father – who had sought a family reunification order in respect of Isaac – appealed on a number of grounds.</w:t>
      </w:r>
      <w:r w:rsidR="004615DC">
        <w:rPr>
          <w:rFonts w:ascii="Arial" w:hAnsi="Arial" w:cs="Arial"/>
          <w:sz w:val="20"/>
          <w:szCs w:val="20"/>
        </w:rPr>
        <w:t xml:space="preserve">  The mother’s appeal was dismissed.  The father’s appeal was allowed on a single ground, namely that he had been denied procedural fairness.  At [</w:t>
      </w:r>
      <w:r w:rsidR="00A844EA">
        <w:rPr>
          <w:rFonts w:ascii="Arial" w:hAnsi="Arial" w:cs="Arial"/>
          <w:sz w:val="20"/>
          <w:szCs w:val="20"/>
        </w:rPr>
        <w:t>305</w:t>
      </w:r>
      <w:r w:rsidR="004615DC">
        <w:rPr>
          <w:rFonts w:ascii="Arial" w:hAnsi="Arial" w:cs="Arial"/>
          <w:sz w:val="20"/>
          <w:szCs w:val="20"/>
        </w:rPr>
        <w:t>]-[</w:t>
      </w:r>
      <w:r w:rsidR="00A844EA">
        <w:rPr>
          <w:rFonts w:ascii="Arial" w:hAnsi="Arial" w:cs="Arial"/>
          <w:sz w:val="20"/>
          <w:szCs w:val="20"/>
        </w:rPr>
        <w:t>311</w:t>
      </w:r>
      <w:r w:rsidR="004615DC">
        <w:rPr>
          <w:rFonts w:ascii="Arial" w:hAnsi="Arial" w:cs="Arial"/>
          <w:sz w:val="20"/>
          <w:szCs w:val="20"/>
        </w:rPr>
        <w:t>] O’Meara J said:</w:t>
      </w:r>
    </w:p>
    <w:p w14:paraId="17F5D052" w14:textId="5F90FA98" w:rsidR="00A844EA" w:rsidRDefault="004615DC" w:rsidP="004615DC">
      <w:pPr>
        <w:spacing w:before="60"/>
        <w:ind w:left="454" w:right="454"/>
        <w:jc w:val="both"/>
        <w:rPr>
          <w:rFonts w:ascii="Arial" w:hAnsi="Arial" w:cs="Arial"/>
          <w:sz w:val="20"/>
          <w:szCs w:val="20"/>
        </w:rPr>
      </w:pPr>
      <w:r>
        <w:rPr>
          <w:rFonts w:ascii="Arial" w:hAnsi="Arial" w:cs="Arial"/>
          <w:color w:val="000000"/>
          <w:sz w:val="20"/>
          <w:szCs w:val="20"/>
        </w:rPr>
        <w:lastRenderedPageBreak/>
        <w:t>[</w:t>
      </w:r>
      <w:r w:rsidR="00A844EA">
        <w:rPr>
          <w:rFonts w:ascii="Arial" w:hAnsi="Arial" w:cs="Arial"/>
          <w:color w:val="000000"/>
          <w:sz w:val="20"/>
          <w:szCs w:val="20"/>
        </w:rPr>
        <w:t>305</w:t>
      </w:r>
      <w:r>
        <w:rPr>
          <w:rFonts w:ascii="Arial" w:hAnsi="Arial" w:cs="Arial"/>
          <w:color w:val="000000"/>
          <w:sz w:val="20"/>
          <w:szCs w:val="20"/>
        </w:rPr>
        <w:t>] “</w:t>
      </w:r>
      <w:r w:rsidR="00A844EA" w:rsidRPr="00A844EA">
        <w:rPr>
          <w:rFonts w:ascii="Arial" w:hAnsi="Arial" w:cs="Arial"/>
          <w:sz w:val="20"/>
          <w:szCs w:val="20"/>
        </w:rPr>
        <w:t>In my view</w:t>
      </w:r>
      <w:r w:rsidR="00A844EA">
        <w:rPr>
          <w:rFonts w:ascii="Arial" w:hAnsi="Arial" w:cs="Arial"/>
          <w:sz w:val="20"/>
          <w:szCs w:val="20"/>
        </w:rPr>
        <w:t>…</w:t>
      </w:r>
      <w:r w:rsidR="00A844EA" w:rsidRPr="00A844EA">
        <w:rPr>
          <w:rFonts w:ascii="Arial" w:hAnsi="Arial" w:cs="Arial"/>
          <w:sz w:val="20"/>
          <w:szCs w:val="20"/>
        </w:rPr>
        <w:t>her Honour correctly identified, more than once, that Mr Jackson had been ‘entitled’ to cross-examine the authors of the relevant reports. In particular –</w:t>
      </w:r>
    </w:p>
    <w:p w14:paraId="54FA1F95"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(a) to that point, the pattern of the hearing had been exactly that – witnesses proffering evidence against the appellants were called and, where appropriate, cross-examined;</w:t>
      </w:r>
    </w:p>
    <w:p w14:paraId="5F425624"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(b) the reports of Dr W and Ms C, in particular, had been introduced late, were relevant to and confirmed as relied upon in the Secretary’s case and were adverse to the interests of Mr Jackson;</w:t>
      </w:r>
    </w:p>
    <w:p w14:paraId="36BC5CD5"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(c) Mr Jackson had relevant and cogent questions for the authors; and</w:t>
      </w:r>
    </w:p>
    <w:p w14:paraId="500AB349" w14:textId="73423749" w:rsidR="004615DC" w:rsidRDefault="00A844EA" w:rsidP="00A844EA">
      <w:pPr>
        <w:ind w:left="454" w:right="454"/>
        <w:jc w:val="both"/>
        <w:rPr>
          <w:rFonts w:ascii="Arial" w:hAnsi="Arial" w:cs="Arial"/>
          <w:color w:val="000000"/>
          <w:sz w:val="20"/>
          <w:szCs w:val="20"/>
        </w:rPr>
      </w:pPr>
      <w:r w:rsidRPr="00A844EA">
        <w:rPr>
          <w:rFonts w:ascii="Arial" w:hAnsi="Arial" w:cs="Arial"/>
          <w:sz w:val="20"/>
          <w:szCs w:val="20"/>
        </w:rPr>
        <w:t>(d) it was quite realistic to consider that such a process could be to his benefit.</w:t>
      </w:r>
    </w:p>
    <w:p w14:paraId="48BA95ED" w14:textId="49373508" w:rsidR="00A844EA" w:rsidRDefault="00A844EA" w:rsidP="00A844EA">
      <w:pPr>
        <w:spacing w:before="60"/>
        <w:ind w:left="454" w:right="454"/>
        <w:jc w:val="both"/>
        <w:rPr>
          <w:rFonts w:ascii="Arial" w:hAnsi="Arial" w:cs="Arial"/>
          <w:sz w:val="20"/>
          <w:szCs w:val="20"/>
        </w:rPr>
      </w:pPr>
      <w:r>
        <w:rPr>
          <w:rFonts w:ascii="Arial" w:hAnsi="Arial" w:cs="Arial"/>
          <w:sz w:val="20"/>
          <w:szCs w:val="20"/>
        </w:rPr>
        <w:t>[306] Initially</w:t>
      </w:r>
      <w:r w:rsidRPr="00A844EA">
        <w:rPr>
          <w:rFonts w:ascii="Arial" w:hAnsi="Arial" w:cs="Arial"/>
          <w:sz w:val="20"/>
          <w:szCs w:val="20"/>
        </w:rPr>
        <w:t>–</w:t>
      </w:r>
    </w:p>
    <w:p w14:paraId="2FEB0508"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(a) so much seems to have been acknowledged by all counsel; and</w:t>
      </w:r>
    </w:p>
    <w:p w14:paraId="78C6CB5E"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(b) counsel for the Secretary confirmed that enquiries were being made of the witnesses.</w:t>
      </w:r>
    </w:p>
    <w:p w14:paraId="6FE4B8A0" w14:textId="6FF3146F" w:rsidR="00A844EA" w:rsidRDefault="00A844EA" w:rsidP="00A844EA">
      <w:pPr>
        <w:spacing w:before="60"/>
        <w:ind w:left="454" w:right="454"/>
        <w:jc w:val="both"/>
        <w:rPr>
          <w:rFonts w:ascii="Arial" w:hAnsi="Arial" w:cs="Arial"/>
          <w:sz w:val="20"/>
          <w:szCs w:val="20"/>
        </w:rPr>
      </w:pPr>
      <w:r>
        <w:rPr>
          <w:rFonts w:ascii="Arial" w:hAnsi="Arial" w:cs="Arial"/>
          <w:sz w:val="20"/>
          <w:szCs w:val="20"/>
        </w:rPr>
        <w:t xml:space="preserve">[307] </w:t>
      </w:r>
      <w:r w:rsidRPr="00A844EA">
        <w:rPr>
          <w:rFonts w:ascii="Arial" w:hAnsi="Arial" w:cs="Arial"/>
          <w:sz w:val="20"/>
          <w:szCs w:val="20"/>
        </w:rPr>
        <w:t>I should add that it was not then suggested by anyone that the fact that Mr Jackson was not proposing to call his own expert neuropsychologist or forensic psychologist should be thought to in some way displace or affect his entitlement to cross-examine the witnesses called in the case against him.</w:t>
      </w:r>
    </w:p>
    <w:p w14:paraId="5B63D870" w14:textId="55C14BD0" w:rsidR="00A844EA" w:rsidRDefault="00A844EA" w:rsidP="00A844EA">
      <w:pPr>
        <w:spacing w:before="60"/>
        <w:ind w:left="454" w:right="454"/>
        <w:jc w:val="both"/>
        <w:rPr>
          <w:rFonts w:ascii="Arial" w:hAnsi="Arial" w:cs="Arial"/>
          <w:sz w:val="20"/>
          <w:szCs w:val="20"/>
        </w:rPr>
      </w:pPr>
      <w:r>
        <w:rPr>
          <w:rFonts w:ascii="Arial" w:hAnsi="Arial" w:cs="Arial"/>
          <w:sz w:val="20"/>
          <w:szCs w:val="20"/>
        </w:rPr>
        <w:t xml:space="preserve">[308] </w:t>
      </w:r>
      <w:r w:rsidRPr="00A844EA">
        <w:rPr>
          <w:rFonts w:ascii="Arial" w:hAnsi="Arial" w:cs="Arial"/>
          <w:sz w:val="20"/>
          <w:szCs w:val="20"/>
        </w:rPr>
        <w:t>The complexion of the position changed significantly two hearing days later when the case for the Secretary was sought to be closed without the missing witnesses being called. That development placed both her Honour and Mr Jackson in an acutely difficult position.</w:t>
      </w:r>
    </w:p>
    <w:p w14:paraId="73864632" w14:textId="57DC9E11" w:rsidR="00A844EA" w:rsidRDefault="00A844EA" w:rsidP="00A844EA">
      <w:pPr>
        <w:spacing w:before="60"/>
        <w:ind w:left="454" w:right="454"/>
        <w:jc w:val="both"/>
        <w:rPr>
          <w:rFonts w:ascii="Arial" w:hAnsi="Arial" w:cs="Arial"/>
          <w:sz w:val="20"/>
          <w:szCs w:val="20"/>
        </w:rPr>
      </w:pPr>
      <w:r>
        <w:rPr>
          <w:rFonts w:ascii="Arial" w:hAnsi="Arial" w:cs="Arial"/>
          <w:sz w:val="20"/>
          <w:szCs w:val="20"/>
        </w:rPr>
        <w:t xml:space="preserve">[309] </w:t>
      </w:r>
      <w:r w:rsidRPr="00A844EA">
        <w:rPr>
          <w:rFonts w:ascii="Arial" w:hAnsi="Arial" w:cs="Arial"/>
          <w:sz w:val="20"/>
          <w:szCs w:val="20"/>
        </w:rPr>
        <w:t>It was also in that context that several of the points now sought to be advanced by the Secretary emerged and rather ‘swirled around’ in the hearing with the effect that, in the end, Mr Jackson was dissuaded from pressing to cross-examine Dr W and Ms C.</w:t>
      </w:r>
    </w:p>
    <w:p w14:paraId="45A8DDB3" w14:textId="51626914" w:rsidR="00A844EA" w:rsidRDefault="00A844EA" w:rsidP="00A844EA">
      <w:pPr>
        <w:spacing w:before="60"/>
        <w:ind w:left="454" w:right="454"/>
        <w:jc w:val="both"/>
        <w:rPr>
          <w:rFonts w:ascii="Arial" w:hAnsi="Arial" w:cs="Arial"/>
          <w:sz w:val="20"/>
          <w:szCs w:val="20"/>
        </w:rPr>
      </w:pPr>
      <w:r>
        <w:rPr>
          <w:rFonts w:ascii="Arial" w:hAnsi="Arial" w:cs="Arial"/>
          <w:sz w:val="20"/>
          <w:szCs w:val="20"/>
        </w:rPr>
        <w:t>[310] In particular</w:t>
      </w:r>
      <w:r w:rsidRPr="00A844EA">
        <w:rPr>
          <w:rFonts w:ascii="Arial" w:hAnsi="Arial" w:cs="Arial"/>
          <w:sz w:val="20"/>
          <w:szCs w:val="20"/>
        </w:rPr>
        <w:t>–</w:t>
      </w:r>
    </w:p>
    <w:p w14:paraId="16704DEA"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(a) counsel for the Secretary raised the spectre of an adjournment – which, as I have earlier noted, counsel for Ms Harris initially opposed;</w:t>
      </w:r>
    </w:p>
    <w:p w14:paraId="3AA964DC"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(b) counsel for the Secretary sought broadly to ‘anticipate’ the points that Mr Jackson would ‘like to raise’ and deal with that by accepting that they would ‘no doubt be accepted’;</w:t>
      </w:r>
    </w:p>
    <w:p w14:paraId="674ABA00"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(c) thus, her Honour was edged in the direction of the proposal ultimately made to Mr</w:t>
      </w:r>
      <w:r>
        <w:rPr>
          <w:rFonts w:ascii="Arial" w:hAnsi="Arial" w:cs="Arial"/>
          <w:sz w:val="20"/>
          <w:szCs w:val="20"/>
        </w:rPr>
        <w:t> </w:t>
      </w:r>
      <w:r w:rsidRPr="00A844EA">
        <w:rPr>
          <w:rFonts w:ascii="Arial" w:hAnsi="Arial" w:cs="Arial"/>
          <w:sz w:val="20"/>
          <w:szCs w:val="20"/>
        </w:rPr>
        <w:t>Jackson, namely that ‘you can just as well make those points to me as you can probably make them to the witnesses’;</w:t>
      </w:r>
    </w:p>
    <w:p w14:paraId="6FE903AE"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(d) in that context, her Honour observed that Mr Jackson was not calling another exper</w:t>
      </w:r>
      <w:r>
        <w:rPr>
          <w:rFonts w:ascii="Arial" w:hAnsi="Arial" w:cs="Arial"/>
          <w:sz w:val="20"/>
          <w:szCs w:val="20"/>
        </w:rPr>
        <w:t>t;</w:t>
      </w:r>
    </w:p>
    <w:p w14:paraId="42BA1EB0"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 xml:space="preserve">(e) counsel for Ms Harris raised the ‘risk’ that if the witnesses were </w:t>
      </w:r>
      <w:proofErr w:type="gramStart"/>
      <w:r w:rsidRPr="00A844EA">
        <w:rPr>
          <w:rFonts w:ascii="Arial" w:hAnsi="Arial" w:cs="Arial"/>
          <w:sz w:val="20"/>
          <w:szCs w:val="20"/>
        </w:rPr>
        <w:t>called</w:t>
      </w:r>
      <w:proofErr w:type="gramEnd"/>
      <w:r w:rsidRPr="00A844EA">
        <w:rPr>
          <w:rFonts w:ascii="Arial" w:hAnsi="Arial" w:cs="Arial"/>
          <w:sz w:val="20"/>
          <w:szCs w:val="20"/>
        </w:rPr>
        <w:t xml:space="preserve"> they might say that they need to undertake another assessment; and</w:t>
      </w:r>
    </w:p>
    <w:p w14:paraId="477FA816"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 xml:space="preserve">(f) her Honour then settled upon Mr Jackson telling </w:t>
      </w:r>
      <w:proofErr w:type="gramStart"/>
      <w:r w:rsidRPr="00A844EA">
        <w:rPr>
          <w:rFonts w:ascii="Arial" w:hAnsi="Arial" w:cs="Arial"/>
          <w:sz w:val="20"/>
          <w:szCs w:val="20"/>
        </w:rPr>
        <w:t>her</w:t>
      </w:r>
      <w:proofErr w:type="gramEnd"/>
      <w:r w:rsidRPr="00A844EA">
        <w:rPr>
          <w:rFonts w:ascii="Arial" w:hAnsi="Arial" w:cs="Arial"/>
          <w:sz w:val="20"/>
          <w:szCs w:val="20"/>
        </w:rPr>
        <w:t xml:space="preserve"> ‘how you think you have improved’.</w:t>
      </w:r>
    </w:p>
    <w:p w14:paraId="659797D3" w14:textId="6488F33C" w:rsidR="0079118D" w:rsidRPr="00A844EA" w:rsidRDefault="00A844EA" w:rsidP="00A844EA">
      <w:pPr>
        <w:spacing w:before="60"/>
        <w:ind w:left="454" w:right="454"/>
        <w:jc w:val="both"/>
        <w:rPr>
          <w:rFonts w:ascii="Arial" w:hAnsi="Arial" w:cs="Arial"/>
          <w:sz w:val="20"/>
          <w:szCs w:val="20"/>
        </w:rPr>
      </w:pPr>
      <w:r>
        <w:rPr>
          <w:rFonts w:ascii="Arial" w:hAnsi="Arial" w:cs="Arial"/>
          <w:sz w:val="20"/>
          <w:szCs w:val="20"/>
        </w:rPr>
        <w:t>[</w:t>
      </w:r>
      <w:r w:rsidRPr="00A844EA">
        <w:rPr>
          <w:rFonts w:ascii="Arial" w:hAnsi="Arial" w:cs="Arial"/>
          <w:sz w:val="20"/>
          <w:szCs w:val="20"/>
        </w:rPr>
        <w:t>311</w:t>
      </w:r>
      <w:r>
        <w:rPr>
          <w:rFonts w:ascii="Arial" w:hAnsi="Arial" w:cs="Arial"/>
          <w:sz w:val="20"/>
          <w:szCs w:val="20"/>
        </w:rPr>
        <w:t>]</w:t>
      </w:r>
      <w:r w:rsidRPr="00A844EA">
        <w:rPr>
          <w:rFonts w:ascii="Arial" w:hAnsi="Arial" w:cs="Arial"/>
          <w:sz w:val="20"/>
          <w:szCs w:val="20"/>
        </w:rPr>
        <w:t xml:space="preserve"> In my view, while that course of events may be understood as having been produced by difficult circumstances, it plainly had the effect of denying procedural fairness to Mr</w:t>
      </w:r>
      <w:r>
        <w:rPr>
          <w:rFonts w:ascii="Arial" w:hAnsi="Arial" w:cs="Arial"/>
          <w:sz w:val="20"/>
          <w:szCs w:val="20"/>
        </w:rPr>
        <w:t> </w:t>
      </w:r>
      <w:r w:rsidRPr="00A844EA">
        <w:rPr>
          <w:rFonts w:ascii="Arial" w:hAnsi="Arial" w:cs="Arial"/>
          <w:sz w:val="20"/>
          <w:szCs w:val="20"/>
        </w:rPr>
        <w:t>Jackson. In particular, Mr Jackson was persuaded to accept an alternative to cross</w:t>
      </w:r>
      <w:r>
        <w:rPr>
          <w:rFonts w:ascii="Arial" w:hAnsi="Arial" w:cs="Arial"/>
          <w:sz w:val="20"/>
          <w:szCs w:val="20"/>
        </w:rPr>
        <w:t>-</w:t>
      </w:r>
      <w:r w:rsidRPr="00A844EA">
        <w:rPr>
          <w:rFonts w:ascii="Arial" w:hAnsi="Arial" w:cs="Arial"/>
          <w:sz w:val="20"/>
          <w:szCs w:val="20"/>
        </w:rPr>
        <w:t>examining the witnesses that, in the circumstances, was no true alternative at all.</w:t>
      </w:r>
      <w:r>
        <w:rPr>
          <w:rFonts w:ascii="Arial" w:hAnsi="Arial" w:cs="Arial"/>
          <w:sz w:val="20"/>
          <w:szCs w:val="20"/>
        </w:rPr>
        <w:t>”</w:t>
      </w:r>
    </w:p>
    <w:p w14:paraId="1EA3870E" w14:textId="7CB7541C" w:rsidR="00A844EA" w:rsidRDefault="00A844EA" w:rsidP="00A844EA">
      <w:pPr>
        <w:pStyle w:val="NormalWeb"/>
        <w:spacing w:before="60" w:beforeAutospacing="0" w:after="0" w:afterAutospacing="0"/>
        <w:jc w:val="both"/>
        <w:rPr>
          <w:rFonts w:ascii="Arial" w:hAnsi="Arial" w:cs="Arial"/>
          <w:sz w:val="20"/>
          <w:szCs w:val="20"/>
        </w:rPr>
      </w:pPr>
      <w:r>
        <w:rPr>
          <w:rFonts w:ascii="Arial" w:hAnsi="Arial" w:cs="Arial"/>
          <w:sz w:val="20"/>
          <w:szCs w:val="20"/>
        </w:rPr>
        <w:t xml:space="preserve">O’Meara J </w:t>
      </w:r>
      <w:r w:rsidR="001620A2">
        <w:rPr>
          <w:rFonts w:ascii="Arial" w:hAnsi="Arial" w:cs="Arial"/>
          <w:sz w:val="20"/>
          <w:szCs w:val="20"/>
        </w:rPr>
        <w:t>concluded at [345]:</w:t>
      </w:r>
    </w:p>
    <w:p w14:paraId="5F607D8C" w14:textId="042AFA96" w:rsidR="001620A2" w:rsidRPr="001620A2" w:rsidRDefault="001620A2" w:rsidP="001620A2">
      <w:pPr>
        <w:pStyle w:val="NormalWeb"/>
        <w:spacing w:before="60" w:beforeAutospacing="0" w:after="0" w:afterAutospacing="0"/>
        <w:ind w:left="454" w:right="454"/>
        <w:jc w:val="both"/>
        <w:rPr>
          <w:rFonts w:ascii="Arial" w:hAnsi="Arial" w:cs="Arial"/>
          <w:sz w:val="20"/>
          <w:szCs w:val="20"/>
        </w:rPr>
      </w:pPr>
      <w:r w:rsidRPr="001620A2">
        <w:rPr>
          <w:rFonts w:ascii="Arial" w:hAnsi="Arial" w:cs="Arial"/>
          <w:sz w:val="20"/>
          <w:szCs w:val="20"/>
        </w:rPr>
        <w:t>“I am inclined to order that the proceeding be remitted to the Children’s Court to be re-determined, but not to specify that the Court hearing the proceeding should differently be constituted. It seems to me that the more important considerations are time and efficiency and so I would not outright exclude the possibility that it could be convenient for the further hearing of the remitted matter to proceed to conclusion before the same Magistrate.”</w:t>
      </w:r>
    </w:p>
    <w:p w14:paraId="0331D09C" w14:textId="6E35C9F5" w:rsidR="003453BB" w:rsidRDefault="003453BB" w:rsidP="003453BB">
      <w:pPr>
        <w:pStyle w:val="NormalWeb"/>
        <w:spacing w:before="60" w:beforeAutospacing="0" w:after="0" w:afterAutospacing="0"/>
        <w:jc w:val="both"/>
        <w:rPr>
          <w:rFonts w:ascii="Arial" w:hAnsi="Arial" w:cs="Arial"/>
          <w:sz w:val="20"/>
          <w:szCs w:val="20"/>
        </w:rPr>
      </w:pPr>
      <w:r>
        <w:rPr>
          <w:rFonts w:ascii="Arial" w:hAnsi="Arial" w:cs="Arial"/>
          <w:sz w:val="20"/>
          <w:szCs w:val="20"/>
        </w:rPr>
        <w:t>The case ultimately settled in the Children’s Court “on the doorstep of the court”.</w:t>
      </w:r>
    </w:p>
    <w:p w14:paraId="1F4B876A" w14:textId="77777777" w:rsidR="007417A5" w:rsidRDefault="007417A5" w:rsidP="007417A5">
      <w:pPr>
        <w:rPr>
          <w:rFonts w:ascii="Arial" w:hAnsi="Arial" w:cs="Arial"/>
          <w:color w:val="000000"/>
          <w:sz w:val="20"/>
        </w:rPr>
      </w:pPr>
    </w:p>
    <w:p w14:paraId="2F96A34F" w14:textId="67102229" w:rsidR="007417A5" w:rsidRDefault="007417A5" w:rsidP="00262D47">
      <w:pPr>
        <w:jc w:val="both"/>
        <w:rPr>
          <w:rFonts w:ascii="Arial" w:hAnsi="Arial" w:cs="Arial"/>
          <w:color w:val="000000"/>
          <w:sz w:val="20"/>
        </w:rPr>
      </w:pPr>
      <w:r>
        <w:rPr>
          <w:rFonts w:ascii="Arial" w:hAnsi="Arial" w:cs="Arial"/>
          <w:color w:val="000000"/>
          <w:sz w:val="20"/>
        </w:rPr>
        <w:t xml:space="preserve">In </w:t>
      </w:r>
      <w:r w:rsidRPr="007417A5">
        <w:rPr>
          <w:rFonts w:ascii="Arial" w:hAnsi="Arial" w:cs="Arial"/>
          <w:i/>
          <w:iCs/>
          <w:color w:val="000000"/>
          <w:sz w:val="20"/>
          <w:szCs w:val="20"/>
        </w:rPr>
        <w:t xml:space="preserve">Casperz v </w:t>
      </w:r>
      <w:r w:rsidRPr="007417A5">
        <w:rPr>
          <w:rFonts w:ascii="Arial" w:hAnsi="Arial" w:cs="Arial"/>
          <w:i/>
          <w:iCs/>
          <w:sz w:val="20"/>
          <w:szCs w:val="20"/>
        </w:rPr>
        <w:t>Garry &amp; Warren Smith Pty Ltd &amp; Ors (No 2)</w:t>
      </w:r>
      <w:r w:rsidRPr="007417A5">
        <w:rPr>
          <w:rFonts w:ascii="Arial" w:hAnsi="Arial" w:cs="Arial"/>
          <w:sz w:val="20"/>
          <w:szCs w:val="20"/>
        </w:rPr>
        <w:t xml:space="preserve"> [2024] VSC 8 O’Meara J said at </w:t>
      </w:r>
      <w:r w:rsidR="00262D47">
        <w:rPr>
          <w:rFonts w:ascii="Arial" w:hAnsi="Arial" w:cs="Arial"/>
          <w:sz w:val="20"/>
          <w:szCs w:val="20"/>
        </w:rPr>
        <w:t xml:space="preserve">[23] &amp; </w:t>
      </w:r>
      <w:r w:rsidRPr="007417A5">
        <w:rPr>
          <w:rFonts w:ascii="Arial" w:hAnsi="Arial" w:cs="Arial"/>
          <w:sz w:val="20"/>
          <w:szCs w:val="20"/>
        </w:rPr>
        <w:t>[</w:t>
      </w:r>
      <w:proofErr w:type="gramStart"/>
      <w:r w:rsidRPr="007417A5">
        <w:rPr>
          <w:rFonts w:ascii="Arial" w:hAnsi="Arial" w:cs="Arial"/>
          <w:sz w:val="20"/>
          <w:szCs w:val="20"/>
        </w:rPr>
        <w:t>95]</w:t>
      </w:r>
      <w:r w:rsidR="00262D47">
        <w:rPr>
          <w:rFonts w:ascii="Arial" w:hAnsi="Arial" w:cs="Arial"/>
          <w:sz w:val="20"/>
          <w:szCs w:val="20"/>
        </w:rPr>
        <w:noBreakHyphen/>
      </w:r>
      <w:proofErr w:type="gramEnd"/>
      <w:r w:rsidRPr="007417A5">
        <w:rPr>
          <w:rFonts w:ascii="Arial" w:hAnsi="Arial" w:cs="Arial"/>
          <w:sz w:val="20"/>
          <w:szCs w:val="20"/>
        </w:rPr>
        <w:t>[96]:</w:t>
      </w:r>
    </w:p>
    <w:p w14:paraId="57718618" w14:textId="6B10D568" w:rsidR="00D60337" w:rsidRPr="00262D47" w:rsidRDefault="00D60337" w:rsidP="007417A5">
      <w:pPr>
        <w:spacing w:before="60"/>
        <w:ind w:left="454" w:right="454"/>
        <w:jc w:val="both"/>
        <w:rPr>
          <w:rFonts w:ascii="Arial" w:hAnsi="Arial" w:cs="Arial"/>
          <w:sz w:val="20"/>
          <w:szCs w:val="20"/>
        </w:rPr>
      </w:pPr>
      <w:r w:rsidRPr="00262D47">
        <w:rPr>
          <w:rFonts w:ascii="Arial" w:hAnsi="Arial" w:cs="Arial"/>
          <w:sz w:val="20"/>
          <w:szCs w:val="20"/>
        </w:rPr>
        <w:t>[23] “I have read the 91 page transcript of [the VCAT] hearing, and also listened to the audio recording. The tone and content of various statements made by the applicant during the course of that hearing are, on no view, appropriate</w:t>
      </w:r>
      <w:r w:rsidR="00262D47">
        <w:rPr>
          <w:rFonts w:ascii="Arial" w:hAnsi="Arial" w:cs="Arial"/>
          <w:sz w:val="20"/>
          <w:szCs w:val="20"/>
        </w:rPr>
        <w:t>.</w:t>
      </w:r>
    </w:p>
    <w:p w14:paraId="56EEF364" w14:textId="20DDFB59" w:rsidR="00D60337" w:rsidRDefault="00262D47" w:rsidP="007417A5">
      <w:pPr>
        <w:spacing w:before="60"/>
        <w:ind w:left="454" w:right="454"/>
        <w:jc w:val="both"/>
        <w:rPr>
          <w:rFonts w:ascii="Arial" w:hAnsi="Arial" w:cs="Arial"/>
          <w:sz w:val="20"/>
        </w:rPr>
      </w:pPr>
      <w:r>
        <w:rPr>
          <w:rFonts w:ascii="Arial" w:hAnsi="Arial" w:cs="Arial"/>
          <w:sz w:val="20"/>
        </w:rPr>
        <w:t>…</w:t>
      </w:r>
    </w:p>
    <w:p w14:paraId="4103D136" w14:textId="677BE4D1" w:rsidR="007417A5" w:rsidRDefault="007417A5" w:rsidP="007417A5">
      <w:pPr>
        <w:spacing w:before="60"/>
        <w:ind w:left="454" w:right="454"/>
        <w:jc w:val="both"/>
        <w:rPr>
          <w:rFonts w:ascii="Arial" w:hAnsi="Arial" w:cs="Arial"/>
          <w:sz w:val="20"/>
          <w:szCs w:val="20"/>
        </w:rPr>
      </w:pPr>
      <w:r>
        <w:rPr>
          <w:rFonts w:ascii="Arial" w:hAnsi="Arial" w:cs="Arial"/>
          <w:sz w:val="20"/>
        </w:rPr>
        <w:t xml:space="preserve">[95] “More generally, </w:t>
      </w:r>
      <w:r w:rsidRPr="007417A5">
        <w:rPr>
          <w:rFonts w:ascii="Arial" w:hAnsi="Arial" w:cs="Arial"/>
          <w:sz w:val="20"/>
          <w:szCs w:val="20"/>
        </w:rPr>
        <w:t xml:space="preserve">to state the obvious, when a litigant behaves in a sustained, offensive, unco-operative and quite unacceptable way, as the applicant did on the present occasion, the ultimate decision of the Tribunal to bring the proceeding to an end </w:t>
      </w:r>
      <w:r w:rsidR="006F461C">
        <w:rPr>
          <w:rFonts w:ascii="Arial" w:hAnsi="Arial" w:cs="Arial"/>
          <w:sz w:val="20"/>
          <w:szCs w:val="20"/>
        </w:rPr>
        <w:t xml:space="preserve">[by adjourning it for a further directions hearing] </w:t>
      </w:r>
      <w:r w:rsidRPr="007417A5">
        <w:rPr>
          <w:rFonts w:ascii="Arial" w:hAnsi="Arial" w:cs="Arial"/>
          <w:sz w:val="20"/>
          <w:szCs w:val="20"/>
        </w:rPr>
        <w:t>when it was plain enough that no such assistance would be given, should not be thought to amount to a denial of procedural fairness or natural justice.</w:t>
      </w:r>
    </w:p>
    <w:p w14:paraId="4A7DD158" w14:textId="77777777" w:rsidR="007417A5" w:rsidRDefault="007417A5" w:rsidP="007417A5">
      <w:pPr>
        <w:spacing w:before="60"/>
        <w:ind w:left="454" w:right="454"/>
        <w:jc w:val="both"/>
        <w:rPr>
          <w:rFonts w:ascii="Arial" w:hAnsi="Arial" w:cs="Arial"/>
          <w:sz w:val="20"/>
        </w:rPr>
      </w:pPr>
      <w:r>
        <w:rPr>
          <w:rFonts w:ascii="Arial" w:hAnsi="Arial" w:cs="Arial"/>
          <w:sz w:val="20"/>
          <w:szCs w:val="20"/>
        </w:rPr>
        <w:t>[</w:t>
      </w:r>
      <w:r w:rsidRPr="007417A5">
        <w:rPr>
          <w:rFonts w:ascii="Arial" w:hAnsi="Arial" w:cs="Arial"/>
          <w:sz w:val="20"/>
          <w:szCs w:val="20"/>
        </w:rPr>
        <w:t>96</w:t>
      </w:r>
      <w:r>
        <w:rPr>
          <w:rFonts w:ascii="Arial" w:hAnsi="Arial" w:cs="Arial"/>
          <w:sz w:val="20"/>
          <w:szCs w:val="20"/>
        </w:rPr>
        <w:t>]</w:t>
      </w:r>
      <w:r w:rsidRPr="007417A5">
        <w:rPr>
          <w:rFonts w:ascii="Arial" w:hAnsi="Arial" w:cs="Arial"/>
          <w:sz w:val="20"/>
          <w:szCs w:val="20"/>
        </w:rPr>
        <w:t xml:space="preserve"> In the circumstances, there is no substance in the applicant’s overarching complaints of ‘prejudice’, ‘bias’, denial of procedural fairness and breach of natural justice and it follows that the complaints central to the applicant’s purported questions of law or grounds 1, 2 and 3 must be rejected.</w:t>
      </w:r>
      <w:r>
        <w:rPr>
          <w:rFonts w:ascii="Arial" w:hAnsi="Arial" w:cs="Arial"/>
          <w:sz w:val="20"/>
          <w:szCs w:val="20"/>
        </w:rPr>
        <w:t>”</w:t>
      </w:r>
    </w:p>
    <w:p w14:paraId="368CC2BE" w14:textId="77777777" w:rsidR="003453BB" w:rsidRDefault="003453BB" w:rsidP="00537E2D">
      <w:pPr>
        <w:pStyle w:val="NormalWeb"/>
        <w:spacing w:before="0" w:beforeAutospacing="0" w:after="0" w:afterAutospacing="0"/>
        <w:jc w:val="both"/>
        <w:rPr>
          <w:rFonts w:ascii="Arial" w:hAnsi="Arial" w:cs="Arial"/>
          <w:sz w:val="20"/>
          <w:szCs w:val="20"/>
        </w:rPr>
      </w:pPr>
    </w:p>
    <w:p w14:paraId="2FF85AEA" w14:textId="28E579A9" w:rsidR="001A2A59" w:rsidRDefault="001A2A59" w:rsidP="00537E2D">
      <w:pPr>
        <w:pStyle w:val="NormalWeb"/>
        <w:spacing w:before="0" w:beforeAutospacing="0" w:after="0" w:afterAutospacing="0"/>
        <w:jc w:val="both"/>
        <w:rPr>
          <w:rFonts w:ascii="Arial" w:hAnsi="Arial" w:cs="Arial"/>
          <w:sz w:val="20"/>
          <w:szCs w:val="20"/>
        </w:rPr>
      </w:pPr>
      <w:r w:rsidRPr="001A2A59">
        <w:rPr>
          <w:rFonts w:ascii="Arial" w:hAnsi="Arial" w:cs="Arial"/>
          <w:sz w:val="20"/>
        </w:rPr>
        <w:t xml:space="preserve">In </w:t>
      </w:r>
      <w:r w:rsidRPr="00F31417">
        <w:rPr>
          <w:rFonts w:ascii="Arial" w:hAnsi="Arial" w:cs="Arial"/>
          <w:i/>
          <w:iCs/>
          <w:sz w:val="20"/>
        </w:rPr>
        <w:t>Tricarico v Victorian Legal Services Board (No 2)</w:t>
      </w:r>
      <w:r w:rsidRPr="00F31417">
        <w:rPr>
          <w:rFonts w:ascii="Arial" w:hAnsi="Arial" w:cs="Arial"/>
          <w:sz w:val="20"/>
        </w:rPr>
        <w:t xml:space="preserve"> [2025] VSC 242</w:t>
      </w:r>
      <w:r>
        <w:rPr>
          <w:rFonts w:ascii="Arial" w:hAnsi="Arial" w:cs="Arial"/>
          <w:sz w:val="20"/>
        </w:rPr>
        <w:t xml:space="preserve"> the applicant’s Australian practising certificate had been suspended by a delegate of the respondent without prior notice to the applicant the day after the applicant had been charged with attempting to pervert the course of justice six years earlier. </w:t>
      </w:r>
      <w:r w:rsidR="00212A0A">
        <w:rPr>
          <w:rFonts w:ascii="Arial" w:hAnsi="Arial" w:cs="Arial"/>
          <w:sz w:val="20"/>
        </w:rPr>
        <w:t xml:space="preserve">The information before the delegate consisted of nothing more than the charge-sheet and was unsupported by any statement or evidence of any kind. </w:t>
      </w:r>
      <w:r>
        <w:rPr>
          <w:rFonts w:ascii="Arial" w:hAnsi="Arial" w:cs="Arial"/>
          <w:sz w:val="20"/>
        </w:rPr>
        <w:t xml:space="preserve">There was no suggestion of any ongoing relevant conduct nor any basis for thinking that the practitioner might engage in any actual similar conduct. The suspension decision </w:t>
      </w:r>
      <w:r w:rsidR="00EF4065">
        <w:rPr>
          <w:rFonts w:ascii="Arial" w:hAnsi="Arial" w:cs="Arial"/>
          <w:sz w:val="20"/>
        </w:rPr>
        <w:t xml:space="preserve">under s.77 of the </w:t>
      </w:r>
      <w:r w:rsidR="00EF4065" w:rsidRPr="00EF4065">
        <w:rPr>
          <w:rFonts w:ascii="Arial" w:hAnsi="Arial" w:cs="Arial"/>
          <w:i/>
          <w:iCs/>
          <w:sz w:val="20"/>
        </w:rPr>
        <w:t>Legal Profession Unform Law</w:t>
      </w:r>
      <w:r w:rsidR="00EF4065">
        <w:rPr>
          <w:rFonts w:ascii="Arial" w:hAnsi="Arial" w:cs="Arial"/>
          <w:sz w:val="20"/>
        </w:rPr>
        <w:t xml:space="preserve"> (Vic) was based purely on the perception of loss of confidence in the legal profession and administration of justice. Gray J </w:t>
      </w:r>
      <w:r w:rsidR="00212A0A">
        <w:rPr>
          <w:rFonts w:ascii="Arial" w:hAnsi="Arial" w:cs="Arial"/>
          <w:sz w:val="20"/>
        </w:rPr>
        <w:t>quashed the s.77 suspension decision on two grounds: (1) the delegate had failed to provide procedural fairness to Ms Tricarico; and (2) the delegate had made a decision that was contrary to the standard of legal reasonableness that applied to s.77 and was therefore beyond power. In relation to ground (1) Gray J said at [94]:</w:t>
      </w:r>
    </w:p>
    <w:p w14:paraId="61624C7C" w14:textId="3A1657DD" w:rsidR="00212A0A" w:rsidRPr="00262D47" w:rsidRDefault="00212A0A" w:rsidP="00212A0A">
      <w:pPr>
        <w:spacing w:before="60"/>
        <w:ind w:left="454" w:right="454"/>
        <w:jc w:val="both"/>
        <w:rPr>
          <w:rFonts w:ascii="Arial" w:hAnsi="Arial" w:cs="Arial"/>
          <w:sz w:val="20"/>
          <w:szCs w:val="20"/>
        </w:rPr>
      </w:pPr>
      <w:r>
        <w:rPr>
          <w:rFonts w:ascii="Arial" w:hAnsi="Arial" w:cs="Arial"/>
          <w:sz w:val="20"/>
          <w:szCs w:val="20"/>
        </w:rPr>
        <w:t>“</w:t>
      </w:r>
      <w:r w:rsidRPr="00212A0A">
        <w:rPr>
          <w:rFonts w:ascii="Arial" w:hAnsi="Arial" w:cs="Arial"/>
          <w:sz w:val="20"/>
          <w:szCs w:val="20"/>
        </w:rPr>
        <w:t>In my view, in all the circumstances noted above, procedural fairness required the delegate to give advance notice to Ms Tricarico of his opinion that immediate suspension of her practising certificate was necessary in the public interest, and to give her a reasonable opportunity to respond. Ms Tricarico was entitled to an opportunity to dissuade the delegate from that opinion, and to persuade him not to serve a notice of immediate suspension of her practising certificate pursuant to s 77(2). The s 77 suspension decision was made in breach of these requirements of procedural fairness.</w:t>
      </w:r>
      <w:r>
        <w:rPr>
          <w:rFonts w:ascii="Arial" w:hAnsi="Arial" w:cs="Arial"/>
          <w:sz w:val="20"/>
          <w:szCs w:val="20"/>
        </w:rPr>
        <w:t>”</w:t>
      </w:r>
    </w:p>
    <w:p w14:paraId="03269C31" w14:textId="77777777" w:rsidR="00875262" w:rsidRDefault="00875262" w:rsidP="00537E2D">
      <w:pPr>
        <w:pStyle w:val="NormalWeb"/>
        <w:spacing w:before="0" w:beforeAutospacing="0" w:after="0" w:afterAutospacing="0"/>
        <w:jc w:val="both"/>
        <w:rPr>
          <w:rFonts w:ascii="Arial" w:hAnsi="Arial" w:cs="Arial"/>
          <w:sz w:val="20"/>
          <w:szCs w:val="20"/>
        </w:rPr>
      </w:pPr>
    </w:p>
    <w:p w14:paraId="494F9F38" w14:textId="55EC9B56" w:rsidR="00AB0F84" w:rsidRDefault="00E558A4" w:rsidP="00B23D0A">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In </w:t>
      </w:r>
      <w:r w:rsidRPr="00E558A4">
        <w:rPr>
          <w:rFonts w:ascii="Arial" w:hAnsi="Arial" w:cs="Arial"/>
          <w:i/>
          <w:iCs/>
          <w:sz w:val="20"/>
          <w:szCs w:val="20"/>
        </w:rPr>
        <w:t>Broadhead v Reliable Discount Movers Pty Ltd</w:t>
      </w:r>
      <w:r w:rsidRPr="00E558A4">
        <w:rPr>
          <w:rFonts w:ascii="Arial" w:hAnsi="Arial" w:cs="Arial"/>
          <w:sz w:val="20"/>
          <w:szCs w:val="20"/>
        </w:rPr>
        <w:t xml:space="preserve"> [2026] VSC 43 </w:t>
      </w:r>
      <w:r>
        <w:rPr>
          <w:rFonts w:ascii="Arial" w:hAnsi="Arial" w:cs="Arial"/>
          <w:sz w:val="20"/>
          <w:szCs w:val="20"/>
        </w:rPr>
        <w:t xml:space="preserve">the plaintiff had made an application to vacate a personal injury jury trial date due to the inability of the plaintiff’s solicitors to retain counsel for the trial, </w:t>
      </w:r>
      <w:r w:rsidR="00F73A86">
        <w:rPr>
          <w:rFonts w:ascii="Arial" w:hAnsi="Arial" w:cs="Arial"/>
          <w:sz w:val="20"/>
          <w:szCs w:val="20"/>
        </w:rPr>
        <w:t xml:space="preserve">in his submissions </w:t>
      </w:r>
      <w:r>
        <w:rPr>
          <w:rFonts w:ascii="Arial" w:hAnsi="Arial" w:cs="Arial"/>
          <w:sz w:val="20"/>
          <w:szCs w:val="20"/>
        </w:rPr>
        <w:t xml:space="preserve">referring to </w:t>
      </w:r>
      <w:r w:rsidR="00AB0F84">
        <w:rPr>
          <w:rFonts w:ascii="Arial" w:hAnsi="Arial" w:cs="Arial"/>
          <w:sz w:val="20"/>
          <w:szCs w:val="20"/>
        </w:rPr>
        <w:t>the following</w:t>
      </w:r>
      <w:r w:rsidRPr="00E558A4">
        <w:rPr>
          <w:rFonts w:ascii="Arial" w:hAnsi="Arial" w:cs="Arial"/>
          <w:sz w:val="20"/>
          <w:szCs w:val="20"/>
        </w:rPr>
        <w:t xml:space="preserve"> </w:t>
      </w:r>
      <w:r w:rsidR="00AB0F84">
        <w:rPr>
          <w:rFonts w:ascii="Arial" w:hAnsi="Arial" w:cs="Arial"/>
          <w:sz w:val="20"/>
          <w:szCs w:val="20"/>
        </w:rPr>
        <w:t>“</w:t>
      </w:r>
      <w:r w:rsidRPr="00E558A4">
        <w:rPr>
          <w:rFonts w:ascii="Arial" w:hAnsi="Arial" w:cs="Arial"/>
          <w:sz w:val="20"/>
          <w:szCs w:val="20"/>
        </w:rPr>
        <w:t xml:space="preserve">decisions </w:t>
      </w:r>
      <w:r w:rsidR="00AB0F84">
        <w:rPr>
          <w:rFonts w:ascii="Arial" w:hAnsi="Arial" w:cs="Arial"/>
          <w:sz w:val="20"/>
          <w:szCs w:val="20"/>
        </w:rPr>
        <w:t xml:space="preserve">which </w:t>
      </w:r>
      <w:r w:rsidRPr="00E558A4">
        <w:rPr>
          <w:rFonts w:ascii="Arial" w:hAnsi="Arial" w:cs="Arial"/>
          <w:sz w:val="20"/>
          <w:szCs w:val="20"/>
        </w:rPr>
        <w:t>outlin</w:t>
      </w:r>
      <w:r w:rsidR="00AB0F84">
        <w:rPr>
          <w:rFonts w:ascii="Arial" w:hAnsi="Arial" w:cs="Arial"/>
          <w:sz w:val="20"/>
          <w:szCs w:val="20"/>
        </w:rPr>
        <w:t>ed</w:t>
      </w:r>
      <w:r w:rsidRPr="00E558A4">
        <w:rPr>
          <w:rFonts w:ascii="Arial" w:hAnsi="Arial" w:cs="Arial"/>
          <w:sz w:val="20"/>
          <w:szCs w:val="20"/>
        </w:rPr>
        <w:t xml:space="preserve"> principles of natural justice and procedural fairness</w:t>
      </w:r>
      <w:r w:rsidR="00AB0F84">
        <w:rPr>
          <w:rFonts w:ascii="Arial" w:hAnsi="Arial" w:cs="Arial"/>
          <w:sz w:val="20"/>
          <w:szCs w:val="20"/>
        </w:rPr>
        <w:t xml:space="preserve">”: </w:t>
      </w:r>
      <w:r w:rsidR="00AB0F84" w:rsidRPr="00AB0F84">
        <w:rPr>
          <w:rFonts w:ascii="Arial" w:hAnsi="Arial" w:cs="Arial"/>
          <w:i/>
          <w:iCs/>
          <w:sz w:val="20"/>
          <w:szCs w:val="20"/>
        </w:rPr>
        <w:t>Mercieca v SPI Electricity Pty Ltd (No 3)</w:t>
      </w:r>
      <w:r w:rsidR="00AB0F84" w:rsidRPr="00AB0F84">
        <w:rPr>
          <w:rFonts w:ascii="Arial" w:hAnsi="Arial" w:cs="Arial"/>
          <w:sz w:val="20"/>
          <w:szCs w:val="20"/>
        </w:rPr>
        <w:t xml:space="preserve"> [2012] VSC 6; </w:t>
      </w:r>
      <w:r w:rsidR="00AB0F84" w:rsidRPr="00AB0F84">
        <w:rPr>
          <w:rFonts w:ascii="Arial" w:hAnsi="Arial" w:cs="Arial"/>
          <w:i/>
          <w:iCs/>
          <w:sz w:val="20"/>
          <w:szCs w:val="20"/>
        </w:rPr>
        <w:t>Austin v Dwyer</w:t>
      </w:r>
      <w:r w:rsidR="00AB0F84" w:rsidRPr="00AB0F84">
        <w:rPr>
          <w:rFonts w:ascii="Arial" w:hAnsi="Arial" w:cs="Arial"/>
          <w:sz w:val="20"/>
          <w:szCs w:val="20"/>
        </w:rPr>
        <w:t xml:space="preserve"> [2023] VSCA 227; </w:t>
      </w:r>
      <w:r w:rsidR="00AB0F84" w:rsidRPr="00AB0F84">
        <w:rPr>
          <w:rFonts w:ascii="Arial" w:hAnsi="Arial" w:cs="Arial"/>
          <w:i/>
          <w:iCs/>
          <w:sz w:val="20"/>
          <w:szCs w:val="20"/>
        </w:rPr>
        <w:t>Austin v Dwyer</w:t>
      </w:r>
      <w:r w:rsidR="00AB0F84" w:rsidRPr="00AB0F84">
        <w:rPr>
          <w:rFonts w:ascii="Arial" w:hAnsi="Arial" w:cs="Arial"/>
          <w:sz w:val="20"/>
          <w:szCs w:val="20"/>
        </w:rPr>
        <w:t xml:space="preserve"> [2018] VSC 770; </w:t>
      </w:r>
      <w:r w:rsidR="00AB0F84" w:rsidRPr="00AB0F84">
        <w:rPr>
          <w:rFonts w:ascii="Arial" w:hAnsi="Arial" w:cs="Arial"/>
          <w:i/>
          <w:iCs/>
          <w:sz w:val="20"/>
          <w:szCs w:val="20"/>
        </w:rPr>
        <w:t>MacPherson v The Queen</w:t>
      </w:r>
      <w:r w:rsidR="00AB0F84" w:rsidRPr="00AB0F84">
        <w:rPr>
          <w:rFonts w:ascii="Arial" w:hAnsi="Arial" w:cs="Arial"/>
          <w:sz w:val="20"/>
          <w:szCs w:val="20"/>
        </w:rPr>
        <w:t xml:space="preserve"> (1981) 147 CLR 512, 523; </w:t>
      </w:r>
      <w:r w:rsidR="00AB0F84" w:rsidRPr="00AB0F84">
        <w:rPr>
          <w:rFonts w:ascii="Arial" w:hAnsi="Arial" w:cs="Arial"/>
          <w:i/>
          <w:iCs/>
          <w:sz w:val="20"/>
          <w:szCs w:val="20"/>
        </w:rPr>
        <w:t>Dietrich v The Queen</w:t>
      </w:r>
      <w:r w:rsidR="00AB0F84" w:rsidRPr="00AB0F84">
        <w:rPr>
          <w:rFonts w:ascii="Arial" w:hAnsi="Arial" w:cs="Arial"/>
          <w:sz w:val="20"/>
          <w:szCs w:val="20"/>
        </w:rPr>
        <w:t xml:space="preserve"> (1992) 177 CLR 292; </w:t>
      </w:r>
      <w:r w:rsidR="00AB0F84" w:rsidRPr="00AB0F84">
        <w:rPr>
          <w:rFonts w:ascii="Arial" w:hAnsi="Arial" w:cs="Arial"/>
          <w:i/>
          <w:iCs/>
          <w:sz w:val="20"/>
          <w:szCs w:val="20"/>
        </w:rPr>
        <w:t>Werden v Legal Services Board</w:t>
      </w:r>
      <w:r w:rsidR="00AB0F84" w:rsidRPr="00AB0F84">
        <w:rPr>
          <w:rFonts w:ascii="Arial" w:hAnsi="Arial" w:cs="Arial"/>
          <w:sz w:val="20"/>
          <w:szCs w:val="20"/>
        </w:rPr>
        <w:t xml:space="preserve"> (2012) 36 VR 637, [53]; </w:t>
      </w:r>
      <w:r w:rsidR="00AB0F84" w:rsidRPr="00AB0F84">
        <w:rPr>
          <w:rFonts w:ascii="Arial" w:hAnsi="Arial" w:cs="Arial"/>
          <w:i/>
          <w:iCs/>
          <w:sz w:val="20"/>
          <w:szCs w:val="20"/>
        </w:rPr>
        <w:t>Assistant Commissioner Condon v Pompano Pty Ltd</w:t>
      </w:r>
      <w:r w:rsidR="00AB0F84" w:rsidRPr="00AB0F84">
        <w:rPr>
          <w:rFonts w:ascii="Arial" w:hAnsi="Arial" w:cs="Arial"/>
          <w:sz w:val="20"/>
          <w:szCs w:val="20"/>
        </w:rPr>
        <w:t xml:space="preserve"> (2013) 252 CLR 38; </w:t>
      </w:r>
      <w:r w:rsidR="00AB0F84" w:rsidRPr="00AB0F84">
        <w:rPr>
          <w:rFonts w:ascii="Arial" w:hAnsi="Arial" w:cs="Arial"/>
          <w:i/>
          <w:iCs/>
          <w:sz w:val="20"/>
          <w:szCs w:val="20"/>
        </w:rPr>
        <w:t>Dawn v Carlisle Homes Pty Ltd</w:t>
      </w:r>
      <w:r w:rsidR="00AB0F84" w:rsidRPr="00AB0F84">
        <w:rPr>
          <w:rFonts w:ascii="Arial" w:hAnsi="Arial" w:cs="Arial"/>
          <w:sz w:val="20"/>
          <w:szCs w:val="20"/>
        </w:rPr>
        <w:t xml:space="preserve"> [2025] VSCA 58</w:t>
      </w:r>
      <w:r w:rsidR="00AB0F84">
        <w:rPr>
          <w:rFonts w:ascii="Arial" w:hAnsi="Arial" w:cs="Arial"/>
          <w:sz w:val="20"/>
          <w:szCs w:val="20"/>
        </w:rPr>
        <w:t xml:space="preserve">. </w:t>
      </w:r>
      <w:proofErr w:type="spellStart"/>
      <w:r w:rsidR="00AB0F84" w:rsidRPr="00AB0F84">
        <w:rPr>
          <w:rFonts w:ascii="Arial" w:hAnsi="Arial" w:cs="Arial"/>
          <w:sz w:val="20"/>
          <w:szCs w:val="20"/>
        </w:rPr>
        <w:t>Tsalamandris</w:t>
      </w:r>
      <w:proofErr w:type="spellEnd"/>
      <w:r w:rsidR="00AB0F84" w:rsidRPr="00AB0F84">
        <w:rPr>
          <w:rFonts w:ascii="Arial" w:hAnsi="Arial" w:cs="Arial"/>
          <w:sz w:val="20"/>
          <w:szCs w:val="20"/>
        </w:rPr>
        <w:t xml:space="preserve"> J</w:t>
      </w:r>
      <w:r w:rsidR="00AB0F84">
        <w:rPr>
          <w:rFonts w:ascii="Arial" w:hAnsi="Arial" w:cs="Arial"/>
          <w:sz w:val="20"/>
          <w:szCs w:val="20"/>
        </w:rPr>
        <w:t xml:space="preserve"> refused the plaintiff’s application but did </w:t>
      </w:r>
      <w:r w:rsidR="00AB0F84" w:rsidRPr="00AB0F84">
        <w:rPr>
          <w:rFonts w:ascii="Arial" w:hAnsi="Arial" w:cs="Arial"/>
          <w:sz w:val="20"/>
          <w:szCs w:val="20"/>
        </w:rPr>
        <w:t xml:space="preserve">not require the trial to commence </w:t>
      </w:r>
      <w:r w:rsidR="00AB0F84">
        <w:rPr>
          <w:rFonts w:ascii="Arial" w:hAnsi="Arial" w:cs="Arial"/>
          <w:sz w:val="20"/>
          <w:szCs w:val="20"/>
        </w:rPr>
        <w:t>for 3½ days to enable</w:t>
      </w:r>
      <w:r w:rsidR="00AB0F84" w:rsidRPr="00AB0F84">
        <w:rPr>
          <w:rFonts w:ascii="Arial" w:hAnsi="Arial" w:cs="Arial"/>
          <w:sz w:val="20"/>
          <w:szCs w:val="20"/>
        </w:rPr>
        <w:t xml:space="preserve"> new counsel to be retained with sufficient time to prepare for what </w:t>
      </w:r>
      <w:r w:rsidR="00AB0F84">
        <w:rPr>
          <w:rFonts w:ascii="Arial" w:hAnsi="Arial" w:cs="Arial"/>
          <w:sz w:val="20"/>
          <w:szCs w:val="20"/>
        </w:rPr>
        <w:t>she</w:t>
      </w:r>
      <w:r w:rsidR="00AB0F84" w:rsidRPr="00AB0F84">
        <w:rPr>
          <w:rFonts w:ascii="Arial" w:hAnsi="Arial" w:cs="Arial"/>
          <w:sz w:val="20"/>
          <w:szCs w:val="20"/>
        </w:rPr>
        <w:t xml:space="preserve"> accept</w:t>
      </w:r>
      <w:r w:rsidR="00AB0F84">
        <w:rPr>
          <w:rFonts w:ascii="Arial" w:hAnsi="Arial" w:cs="Arial"/>
          <w:sz w:val="20"/>
          <w:szCs w:val="20"/>
        </w:rPr>
        <w:t>ed</w:t>
      </w:r>
      <w:r w:rsidR="00AB0F84" w:rsidRPr="00AB0F84">
        <w:rPr>
          <w:rFonts w:ascii="Arial" w:hAnsi="Arial" w:cs="Arial"/>
          <w:sz w:val="20"/>
          <w:szCs w:val="20"/>
        </w:rPr>
        <w:t xml:space="preserve"> will be a complex trial</w:t>
      </w:r>
      <w:r w:rsidR="00AB0F84">
        <w:rPr>
          <w:rFonts w:ascii="Arial" w:hAnsi="Arial" w:cs="Arial"/>
          <w:sz w:val="20"/>
          <w:szCs w:val="20"/>
        </w:rPr>
        <w:t>. At [20]-[21] &amp; [24] her Honour said:</w:t>
      </w:r>
    </w:p>
    <w:p w14:paraId="68BE3F03" w14:textId="5B23DB19" w:rsidR="00AB0F84" w:rsidRDefault="00AB0F84" w:rsidP="00B23D0A">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[20] “</w:t>
      </w:r>
      <w:r w:rsidRPr="00AB0F84">
        <w:rPr>
          <w:rFonts w:ascii="Arial" w:hAnsi="Arial" w:cs="Arial"/>
          <w:sz w:val="20"/>
          <w:szCs w:val="20"/>
        </w:rPr>
        <w:t xml:space="preserve">In considering this application, I am required to give effect to the overarching purpose of </w:t>
      </w:r>
      <w:r>
        <w:rPr>
          <w:rFonts w:ascii="Arial" w:hAnsi="Arial" w:cs="Arial"/>
          <w:sz w:val="20"/>
          <w:szCs w:val="20"/>
        </w:rPr>
        <w:t xml:space="preserve">s.7 of </w:t>
      </w:r>
      <w:r w:rsidRPr="00AB0F84">
        <w:rPr>
          <w:rFonts w:ascii="Arial" w:hAnsi="Arial" w:cs="Arial"/>
          <w:sz w:val="20"/>
          <w:szCs w:val="20"/>
        </w:rPr>
        <w:t xml:space="preserve">the </w:t>
      </w:r>
      <w:r w:rsidRPr="00AB0F84">
        <w:rPr>
          <w:rFonts w:ascii="Arial" w:hAnsi="Arial" w:cs="Arial"/>
          <w:i/>
          <w:iCs/>
          <w:sz w:val="20"/>
          <w:szCs w:val="20"/>
        </w:rPr>
        <w:t>Civil Procedure Act 2010</w:t>
      </w:r>
      <w:r w:rsidRPr="00AB0F84">
        <w:rPr>
          <w:rFonts w:ascii="Arial" w:hAnsi="Arial" w:cs="Arial"/>
          <w:sz w:val="20"/>
          <w:szCs w:val="20"/>
        </w:rPr>
        <w:t xml:space="preserve"> (Vic): ‘to facilitate the just, efficient, timely and cost-effective resolution of the real issues in dispute.’ </w:t>
      </w:r>
      <w:r>
        <w:rPr>
          <w:rFonts w:ascii="Arial" w:hAnsi="Arial" w:cs="Arial"/>
          <w:sz w:val="20"/>
          <w:szCs w:val="20"/>
        </w:rPr>
        <w:t xml:space="preserve">In doing so, I have had </w:t>
      </w:r>
      <w:r w:rsidRPr="00AB0F84">
        <w:rPr>
          <w:rFonts w:ascii="Arial" w:hAnsi="Arial" w:cs="Arial"/>
          <w:sz w:val="20"/>
          <w:szCs w:val="20"/>
        </w:rPr>
        <w:t>particular regard to the efficient conduct of the business of the court</w:t>
      </w:r>
      <w:r>
        <w:rPr>
          <w:rFonts w:ascii="Arial" w:hAnsi="Arial" w:cs="Arial"/>
          <w:sz w:val="20"/>
          <w:szCs w:val="20"/>
        </w:rPr>
        <w:t xml:space="preserve"> [Ibid s.9(1)(c)]</w:t>
      </w:r>
      <w:r w:rsidR="00B23D0A">
        <w:rPr>
          <w:rFonts w:ascii="Arial" w:hAnsi="Arial" w:cs="Arial"/>
          <w:sz w:val="20"/>
          <w:szCs w:val="20"/>
        </w:rPr>
        <w:t xml:space="preserve"> and </w:t>
      </w:r>
      <w:r w:rsidR="00B23D0A" w:rsidRPr="00AB0F84">
        <w:rPr>
          <w:rFonts w:ascii="Arial" w:hAnsi="Arial" w:cs="Arial"/>
          <w:sz w:val="20"/>
          <w:szCs w:val="20"/>
        </w:rPr>
        <w:t>the efficient use of judicial and administrative resources</w:t>
      </w:r>
      <w:r w:rsidR="00B23D0A">
        <w:rPr>
          <w:rFonts w:ascii="Arial" w:hAnsi="Arial" w:cs="Arial"/>
          <w:sz w:val="20"/>
          <w:szCs w:val="20"/>
        </w:rPr>
        <w:t xml:space="preserve"> [Ibid s.9(1)(d)]. </w:t>
      </w:r>
      <w:r w:rsidRPr="00AB0F84">
        <w:rPr>
          <w:rFonts w:ascii="Arial" w:hAnsi="Arial" w:cs="Arial"/>
          <w:sz w:val="20"/>
          <w:szCs w:val="20"/>
        </w:rPr>
        <w:t>I have also had regard to there being approximately 3,000 proceedings in this Court’s four personal injury lists,</w:t>
      </w:r>
      <w:r w:rsidR="00B23D0A">
        <w:rPr>
          <w:rFonts w:ascii="Arial" w:hAnsi="Arial" w:cs="Arial"/>
          <w:sz w:val="20"/>
          <w:szCs w:val="20"/>
        </w:rPr>
        <w:t xml:space="preserve"> </w:t>
      </w:r>
      <w:r w:rsidRPr="00AB0F84">
        <w:rPr>
          <w:rFonts w:ascii="Arial" w:hAnsi="Arial" w:cs="Arial"/>
          <w:sz w:val="20"/>
          <w:szCs w:val="20"/>
        </w:rPr>
        <w:t>with those cases requiring trial allocations.</w:t>
      </w:r>
    </w:p>
    <w:p w14:paraId="6B87F477" w14:textId="77777777" w:rsidR="00AB0F84" w:rsidRDefault="00AB0F84" w:rsidP="00AB0F84">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AB0F84">
        <w:rPr>
          <w:rFonts w:ascii="Arial" w:hAnsi="Arial" w:cs="Arial"/>
          <w:sz w:val="20"/>
          <w:szCs w:val="20"/>
        </w:rPr>
        <w:t>21</w:t>
      </w:r>
      <w:r>
        <w:rPr>
          <w:rFonts w:ascii="Arial" w:hAnsi="Arial" w:cs="Arial"/>
          <w:sz w:val="20"/>
          <w:szCs w:val="20"/>
        </w:rPr>
        <w:t>]</w:t>
      </w:r>
      <w:r w:rsidRPr="00AB0F84">
        <w:rPr>
          <w:rFonts w:ascii="Arial" w:hAnsi="Arial" w:cs="Arial"/>
          <w:sz w:val="20"/>
          <w:szCs w:val="20"/>
        </w:rPr>
        <w:t xml:space="preserve"> My determination of this application involves a balancing exercise between case management considerations, and the dictates of a fair trial. </w:t>
      </w:r>
    </w:p>
    <w:p w14:paraId="5D761B3F" w14:textId="39A12E99" w:rsidR="00AB0F84" w:rsidRDefault="00AB0F84" w:rsidP="00AB0F84">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w:t>
      </w:r>
    </w:p>
    <w:p w14:paraId="295DC52E" w14:textId="5A0F953B" w:rsidR="00B23D0A" w:rsidRPr="00AB0F84" w:rsidRDefault="00AB0F84" w:rsidP="00B23D0A">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 xml:space="preserve">[24] </w:t>
      </w:r>
      <w:r w:rsidRPr="00AB0F84">
        <w:rPr>
          <w:rFonts w:ascii="Arial" w:hAnsi="Arial" w:cs="Arial"/>
          <w:sz w:val="20"/>
          <w:szCs w:val="20"/>
        </w:rPr>
        <w:t>An entitlement to a fair trial does not mean getting a trial date which suits specific counsel. If the Court was to grant the adjournment on the basis sought, it could inadvertently have flow on effects in other proceedings, as it may invite further adjournment applications when counsel are not available on a given trial date. This would also undermine some of the objects of the CPA, including the efficient conduct of the business of the Court, the efficient use of judicial and administrative resources, and the timely determination of civil proceedings.</w:t>
      </w:r>
      <w:r w:rsidR="00B23D0A">
        <w:rPr>
          <w:rFonts w:ascii="Arial" w:hAnsi="Arial" w:cs="Arial"/>
          <w:sz w:val="20"/>
          <w:szCs w:val="20"/>
        </w:rPr>
        <w:t>”</w:t>
      </w:r>
    </w:p>
    <w:p w14:paraId="32EFD433" w14:textId="77777777" w:rsidR="00E558A4" w:rsidRDefault="00E558A4" w:rsidP="00537E2D">
      <w:pPr>
        <w:pStyle w:val="NormalWeb"/>
        <w:spacing w:before="0" w:beforeAutospacing="0" w:after="0" w:afterAutospacing="0"/>
        <w:jc w:val="both"/>
        <w:rPr>
          <w:rFonts w:ascii="Arial" w:hAnsi="Arial" w:cs="Arial"/>
          <w:sz w:val="20"/>
          <w:szCs w:val="20"/>
        </w:rPr>
      </w:pPr>
    </w:p>
    <w:p w14:paraId="15FF0093" w14:textId="0306FAFE" w:rsidR="00615D4B" w:rsidRPr="00615D4B" w:rsidRDefault="00615D4B" w:rsidP="00537E2D">
      <w:pPr>
        <w:pStyle w:val="NormalWeb"/>
        <w:spacing w:before="0" w:beforeAutospacing="0" w:after="0" w:afterAutospacing="0"/>
        <w:jc w:val="both"/>
        <w:rPr>
          <w:rFonts w:ascii="Arial" w:hAnsi="Arial" w:cs="Arial"/>
          <w:sz w:val="20"/>
          <w:szCs w:val="20"/>
        </w:rPr>
      </w:pPr>
      <w:r w:rsidRPr="00615D4B">
        <w:rPr>
          <w:rFonts w:ascii="Arial" w:hAnsi="Arial" w:cs="Arial"/>
          <w:sz w:val="20"/>
          <w:szCs w:val="20"/>
        </w:rPr>
        <w:t xml:space="preserve">See also </w:t>
      </w:r>
      <w:r w:rsidRPr="00615D4B">
        <w:rPr>
          <w:rFonts w:ascii="Arial" w:hAnsi="Arial" w:cs="Arial"/>
          <w:i/>
          <w:iCs/>
          <w:sz w:val="20"/>
          <w:szCs w:val="20"/>
        </w:rPr>
        <w:t>Jeffrey v Durham &amp; Anor</w:t>
      </w:r>
      <w:r w:rsidRPr="00615D4B">
        <w:rPr>
          <w:rFonts w:ascii="Arial" w:hAnsi="Arial" w:cs="Arial"/>
          <w:sz w:val="20"/>
          <w:szCs w:val="20"/>
        </w:rPr>
        <w:t xml:space="preserve"> [2026] VSC 50.</w:t>
      </w:r>
    </w:p>
    <w:p w14:paraId="775F8F4B" w14:textId="77777777" w:rsidR="00615D4B" w:rsidRPr="0027049C" w:rsidRDefault="00615D4B" w:rsidP="00537E2D">
      <w:pPr>
        <w:pStyle w:val="NormalWeb"/>
        <w:spacing w:before="0" w:beforeAutospacing="0" w:after="0" w:afterAutospacing="0"/>
        <w:jc w:val="both"/>
        <w:rPr>
          <w:rFonts w:ascii="Arial" w:hAnsi="Arial" w:cs="Arial"/>
          <w:sz w:val="20"/>
          <w:szCs w:val="20"/>
        </w:rPr>
      </w:pPr>
    </w:p>
    <w:bookmarkEnd w:id="107"/>
    <w:p w14:paraId="4735F814" w14:textId="72F5AD4F" w:rsidR="0066798A" w:rsidRDefault="00CE3457" w:rsidP="0066798A">
      <w:pPr>
        <w:tabs>
          <w:tab w:val="left" w:pos="1440"/>
        </w:tabs>
        <w:jc w:val="both"/>
        <w:rPr>
          <w:rFonts w:ascii="Arial" w:hAnsi="Arial" w:cs="Arial"/>
          <w:sz w:val="20"/>
        </w:rPr>
      </w:pPr>
      <w:r w:rsidRPr="00C95D06">
        <w:rPr>
          <w:rFonts w:ascii="Arial" w:hAnsi="Arial" w:cs="Arial"/>
          <w:color w:val="000000"/>
          <w:sz w:val="20"/>
          <w:szCs w:val="20"/>
        </w:rPr>
        <w:t xml:space="preserve">In relation to </w:t>
      </w:r>
      <w:r w:rsidRPr="003E58CE">
        <w:rPr>
          <w:rFonts w:ascii="Arial" w:hAnsi="Arial" w:cs="Arial"/>
          <w:b/>
          <w:bCs/>
          <w:color w:val="000000"/>
          <w:sz w:val="20"/>
          <w:szCs w:val="20"/>
        </w:rPr>
        <w:t>procedural fairness</w:t>
      </w:r>
      <w:r w:rsidRPr="00C95D06">
        <w:rPr>
          <w:rFonts w:ascii="Arial" w:hAnsi="Arial" w:cs="Arial"/>
          <w:color w:val="000000"/>
          <w:sz w:val="20"/>
          <w:szCs w:val="20"/>
        </w:rPr>
        <w:t xml:space="preserve"> see </w:t>
      </w:r>
      <w:r w:rsidR="002237E5">
        <w:rPr>
          <w:rFonts w:ascii="Arial" w:hAnsi="Arial" w:cs="Arial"/>
          <w:color w:val="000000"/>
          <w:sz w:val="20"/>
          <w:szCs w:val="20"/>
        </w:rPr>
        <w:t>also</w:t>
      </w:r>
      <w:r w:rsidR="00E15051">
        <w:rPr>
          <w:rFonts w:ascii="Arial" w:hAnsi="Arial" w:cs="Arial"/>
          <w:color w:val="000000"/>
          <w:sz w:val="20"/>
          <w:szCs w:val="20"/>
        </w:rPr>
        <w:t xml:space="preserve"> </w:t>
      </w:r>
      <w:r w:rsidR="006C7EDC" w:rsidRPr="00B815DA">
        <w:rPr>
          <w:rFonts w:ascii="Arial" w:hAnsi="Arial" w:cs="Arial"/>
          <w:b/>
          <w:bCs/>
          <w:sz w:val="20"/>
          <w:szCs w:val="20"/>
          <w:shd w:val="clear" w:color="auto" w:fill="C5E0B3"/>
        </w:rPr>
        <w:t>s</w:t>
      </w:r>
      <w:r w:rsidR="004B696B" w:rsidRPr="00B815DA">
        <w:rPr>
          <w:rFonts w:ascii="Arial" w:hAnsi="Arial" w:cs="Arial"/>
          <w:b/>
          <w:bCs/>
          <w:sz w:val="20"/>
          <w:szCs w:val="20"/>
          <w:shd w:val="clear" w:color="auto" w:fill="C5E0B3"/>
        </w:rPr>
        <w:t>ubs</w:t>
      </w:r>
      <w:r w:rsidR="006C7EDC" w:rsidRPr="00B815DA">
        <w:rPr>
          <w:rFonts w:ascii="Arial" w:hAnsi="Arial" w:cs="Arial"/>
          <w:b/>
          <w:bCs/>
          <w:sz w:val="20"/>
          <w:szCs w:val="20"/>
          <w:shd w:val="clear" w:color="auto" w:fill="C5E0B3"/>
        </w:rPr>
        <w:t>ection</w:t>
      </w:r>
      <w:r w:rsidR="00E15051" w:rsidRPr="00B815DA">
        <w:rPr>
          <w:rFonts w:ascii="Arial" w:hAnsi="Arial" w:cs="Arial"/>
          <w:b/>
          <w:bCs/>
          <w:sz w:val="20"/>
          <w:szCs w:val="20"/>
          <w:shd w:val="clear" w:color="auto" w:fill="C5E0B3"/>
        </w:rPr>
        <w:t>s</w:t>
      </w:r>
      <w:r w:rsidR="006C7EDC" w:rsidRPr="00B815DA">
        <w:rPr>
          <w:rFonts w:ascii="Arial" w:hAnsi="Arial" w:cs="Arial"/>
          <w:b/>
          <w:bCs/>
          <w:sz w:val="20"/>
          <w:shd w:val="clear" w:color="auto" w:fill="C5E0B3"/>
        </w:rPr>
        <w:t xml:space="preserve"> </w:t>
      </w:r>
      <w:r w:rsidR="00E15051" w:rsidRPr="00B815DA">
        <w:rPr>
          <w:rFonts w:ascii="Arial" w:hAnsi="Arial" w:cs="Arial"/>
          <w:b/>
          <w:bCs/>
          <w:sz w:val="20"/>
          <w:shd w:val="clear" w:color="auto" w:fill="C5E0B3"/>
        </w:rPr>
        <w:t xml:space="preserve">3.5.3.12 &amp; </w:t>
      </w:r>
      <w:r w:rsidR="006C7EDC" w:rsidRPr="00B815DA">
        <w:rPr>
          <w:rFonts w:ascii="Arial" w:hAnsi="Arial" w:cs="Arial"/>
          <w:b/>
          <w:bCs/>
          <w:sz w:val="20"/>
          <w:shd w:val="clear" w:color="auto" w:fill="C5E0B3"/>
        </w:rPr>
        <w:t>3.5.6.4</w:t>
      </w:r>
      <w:r w:rsidR="006C7EDC">
        <w:rPr>
          <w:rFonts w:ascii="Arial" w:hAnsi="Arial" w:cs="Arial"/>
          <w:color w:val="000000"/>
          <w:sz w:val="20"/>
        </w:rPr>
        <w:t xml:space="preserve"> below and see </w:t>
      </w:r>
      <w:r>
        <w:rPr>
          <w:rFonts w:ascii="Arial" w:hAnsi="Arial" w:cs="Arial"/>
          <w:color w:val="000000"/>
          <w:sz w:val="20"/>
        </w:rPr>
        <w:t>generally</w:t>
      </w:r>
      <w:r w:rsidRPr="00D92415">
        <w:rPr>
          <w:rFonts w:ascii="Arial" w:hAnsi="Arial" w:cs="Arial"/>
          <w:color w:val="000000"/>
          <w:sz w:val="20"/>
        </w:rPr>
        <w:t xml:space="preserve"> </w:t>
      </w:r>
      <w:r w:rsidRPr="00D92415">
        <w:rPr>
          <w:rFonts w:ascii="Arial" w:hAnsi="Arial" w:cs="Arial"/>
          <w:i/>
          <w:color w:val="000000"/>
          <w:sz w:val="20"/>
        </w:rPr>
        <w:t>J</w:t>
      </w:r>
      <w:r w:rsidR="00E15051">
        <w:rPr>
          <w:rFonts w:ascii="Arial" w:hAnsi="Arial" w:cs="Arial"/>
          <w:i/>
          <w:color w:val="000000"/>
          <w:sz w:val="20"/>
        </w:rPr>
        <w:t> </w:t>
      </w:r>
      <w:r w:rsidRPr="00D92415">
        <w:rPr>
          <w:rFonts w:ascii="Arial" w:hAnsi="Arial" w:cs="Arial"/>
          <w:i/>
          <w:color w:val="000000"/>
          <w:sz w:val="20"/>
        </w:rPr>
        <w:t xml:space="preserve">v Lieschke </w:t>
      </w:r>
      <w:r w:rsidRPr="00D92415">
        <w:rPr>
          <w:rFonts w:ascii="Arial" w:hAnsi="Arial" w:cs="Arial"/>
          <w:color w:val="000000"/>
          <w:sz w:val="20"/>
        </w:rPr>
        <w:t>(1987) 162 CLR 447 at 457 per Brennan J (Mason, Wilson, Deane &amp; Dawson JJ agreeing);</w:t>
      </w:r>
      <w:r w:rsidRPr="00D92415">
        <w:rPr>
          <w:rFonts w:ascii="Arial" w:hAnsi="Arial" w:cs="Arial"/>
          <w:i/>
          <w:color w:val="000000"/>
          <w:sz w:val="20"/>
        </w:rPr>
        <w:t xml:space="preserve"> R v Fisher</w:t>
      </w:r>
      <w:r w:rsidRPr="00D92415">
        <w:rPr>
          <w:rFonts w:ascii="Arial" w:hAnsi="Arial" w:cs="Arial"/>
          <w:color w:val="000000"/>
          <w:sz w:val="20"/>
        </w:rPr>
        <w:t xml:space="preserve"> [2009] VSCA 100 at [65]; </w:t>
      </w:r>
      <w:r w:rsidRPr="00D92415">
        <w:rPr>
          <w:rFonts w:ascii="Arial" w:hAnsi="Arial" w:cs="Arial"/>
          <w:i/>
          <w:color w:val="000000"/>
          <w:sz w:val="20"/>
        </w:rPr>
        <w:t>Pantorno v The Queen</w:t>
      </w:r>
      <w:r w:rsidRPr="00D92415">
        <w:rPr>
          <w:rFonts w:ascii="Arial" w:hAnsi="Arial" w:cs="Arial"/>
          <w:color w:val="000000"/>
          <w:sz w:val="20"/>
        </w:rPr>
        <w:t xml:space="preserve"> (1989) 166 CLR 466 at 473 per Mason CJ &amp; Brennan J; </w:t>
      </w:r>
      <w:r w:rsidRPr="00D92415">
        <w:rPr>
          <w:rFonts w:ascii="Arial" w:hAnsi="Arial" w:cs="Arial"/>
          <w:i/>
          <w:iCs/>
          <w:color w:val="000000"/>
          <w:sz w:val="20"/>
        </w:rPr>
        <w:t xml:space="preserve">Friend v Brooker </w:t>
      </w:r>
      <w:r w:rsidRPr="00D92415">
        <w:rPr>
          <w:rFonts w:ascii="Arial" w:hAnsi="Arial" w:cs="Arial"/>
          <w:color w:val="000000"/>
          <w:sz w:val="20"/>
        </w:rPr>
        <w:t>[2009] HCA 21 at [115] per Heydon J;</w:t>
      </w:r>
      <w:r w:rsidRPr="00D92415">
        <w:rPr>
          <w:rFonts w:ascii="Arial" w:hAnsi="Arial" w:cs="Arial"/>
          <w:i/>
          <w:color w:val="000000"/>
          <w:sz w:val="20"/>
          <w:szCs w:val="20"/>
        </w:rPr>
        <w:t xml:space="preserve"> </w:t>
      </w:r>
      <w:r w:rsidRPr="00D92415">
        <w:rPr>
          <w:rFonts w:ascii="Arial" w:hAnsi="Arial" w:cs="Arial"/>
          <w:i/>
          <w:caps/>
          <w:color w:val="000000"/>
          <w:sz w:val="20"/>
          <w:szCs w:val="20"/>
        </w:rPr>
        <w:t xml:space="preserve">MH6 </w:t>
      </w:r>
      <w:r w:rsidRPr="00D92415">
        <w:rPr>
          <w:rFonts w:ascii="Arial" w:hAnsi="Arial" w:cs="Arial"/>
          <w:i/>
          <w:color w:val="000000"/>
          <w:sz w:val="20"/>
          <w:szCs w:val="20"/>
        </w:rPr>
        <w:t>v</w:t>
      </w:r>
      <w:r w:rsidRPr="00D92415">
        <w:rPr>
          <w:rFonts w:ascii="Arial" w:hAnsi="Arial" w:cs="Arial"/>
          <w:i/>
          <w:caps/>
          <w:color w:val="000000"/>
          <w:sz w:val="20"/>
          <w:szCs w:val="20"/>
        </w:rPr>
        <w:t xml:space="preserve"> m</w:t>
      </w:r>
      <w:r w:rsidRPr="00D92415">
        <w:rPr>
          <w:rFonts w:ascii="Arial" w:hAnsi="Arial" w:cs="Arial"/>
          <w:i/>
          <w:color w:val="000000"/>
          <w:sz w:val="20"/>
          <w:szCs w:val="20"/>
        </w:rPr>
        <w:t>ental Health Review Board</w:t>
      </w:r>
      <w:r w:rsidRPr="00D92415">
        <w:rPr>
          <w:rFonts w:ascii="Arial" w:hAnsi="Arial" w:cs="Arial"/>
          <w:i/>
          <w:caps/>
          <w:color w:val="000000"/>
          <w:sz w:val="20"/>
          <w:szCs w:val="20"/>
        </w:rPr>
        <w:t xml:space="preserve"> </w:t>
      </w:r>
      <w:r w:rsidRPr="00D92415">
        <w:rPr>
          <w:rFonts w:ascii="Arial" w:hAnsi="Arial" w:cs="Arial"/>
          <w:i/>
          <w:color w:val="000000"/>
          <w:sz w:val="20"/>
          <w:szCs w:val="20"/>
        </w:rPr>
        <w:t>and</w:t>
      </w:r>
      <w:r w:rsidRPr="00D92415">
        <w:rPr>
          <w:rFonts w:ascii="Arial" w:hAnsi="Arial" w:cs="Arial"/>
          <w:i/>
          <w:caps/>
          <w:color w:val="000000"/>
          <w:sz w:val="20"/>
          <w:szCs w:val="20"/>
        </w:rPr>
        <w:t xml:space="preserve"> a</w:t>
      </w:r>
      <w:r w:rsidRPr="00D92415">
        <w:rPr>
          <w:rFonts w:ascii="Arial" w:hAnsi="Arial" w:cs="Arial"/>
          <w:i/>
          <w:color w:val="000000"/>
          <w:sz w:val="20"/>
          <w:szCs w:val="20"/>
        </w:rPr>
        <w:t>nother</w:t>
      </w:r>
      <w:r w:rsidRPr="00D92415">
        <w:rPr>
          <w:rFonts w:ascii="Arial" w:hAnsi="Arial" w:cs="Arial"/>
          <w:color w:val="000000"/>
          <w:sz w:val="20"/>
          <w:szCs w:val="20"/>
        </w:rPr>
        <w:t xml:space="preserve"> [2009] VSCA 184 at [20]-[36]; </w:t>
      </w:r>
      <w:r w:rsidRPr="00D92415">
        <w:rPr>
          <w:rFonts w:ascii="Arial" w:hAnsi="Arial" w:cs="Arial"/>
          <w:i/>
          <w:color w:val="000000"/>
          <w:sz w:val="20"/>
          <w:szCs w:val="20"/>
        </w:rPr>
        <w:t xml:space="preserve">[CL] v [RP] (Ruling) </w:t>
      </w:r>
      <w:r w:rsidRPr="00D92415">
        <w:rPr>
          <w:rFonts w:ascii="Arial" w:hAnsi="Arial" w:cs="Arial"/>
          <w:color w:val="000000"/>
          <w:sz w:val="20"/>
          <w:szCs w:val="20"/>
        </w:rPr>
        <w:t>[2011] VSCA 297</w:t>
      </w:r>
      <w:r w:rsidRPr="00D92415">
        <w:rPr>
          <w:rFonts w:ascii="Arial" w:hAnsi="Arial" w:cs="Arial"/>
          <w:i/>
          <w:color w:val="000000"/>
          <w:sz w:val="20"/>
          <w:szCs w:val="20"/>
        </w:rPr>
        <w:t>;</w:t>
      </w:r>
      <w:r>
        <w:rPr>
          <w:rFonts w:ascii="Arial" w:hAnsi="Arial" w:cs="Arial"/>
          <w:i/>
          <w:color w:val="000000"/>
          <w:sz w:val="20"/>
          <w:szCs w:val="20"/>
        </w:rPr>
        <w:t xml:space="preserve"> </w:t>
      </w:r>
      <w:r w:rsidRPr="00D92415">
        <w:rPr>
          <w:rFonts w:ascii="Arial" w:hAnsi="Arial" w:cs="Arial"/>
          <w:i/>
          <w:color w:val="000000"/>
          <w:sz w:val="20"/>
          <w:szCs w:val="20"/>
        </w:rPr>
        <w:t xml:space="preserve">DPP v Sanding </w:t>
      </w:r>
      <w:r w:rsidRPr="00D92415">
        <w:rPr>
          <w:rFonts w:ascii="Arial" w:hAnsi="Arial" w:cs="Arial"/>
          <w:color w:val="000000"/>
          <w:sz w:val="20"/>
          <w:szCs w:val="20"/>
        </w:rPr>
        <w:t>[2011] VSC 42 at [135]-</w:t>
      </w:r>
      <w:r w:rsidRPr="000D175A">
        <w:rPr>
          <w:rFonts w:ascii="Arial" w:hAnsi="Arial" w:cs="Arial"/>
          <w:color w:val="000000"/>
          <w:sz w:val="20"/>
          <w:szCs w:val="20"/>
        </w:rPr>
        <w:t>[147] per Bell J</w:t>
      </w:r>
      <w:r w:rsidRPr="000D175A">
        <w:rPr>
          <w:rFonts w:ascii="Arial" w:hAnsi="Arial" w:cs="Arial"/>
          <w:i/>
          <w:color w:val="000000"/>
          <w:sz w:val="20"/>
          <w:szCs w:val="20"/>
        </w:rPr>
        <w:t>; AB v Magistrates’ Court at Heidelberg</w:t>
      </w:r>
      <w:r w:rsidRPr="000D175A">
        <w:rPr>
          <w:rFonts w:ascii="Arial" w:hAnsi="Arial" w:cs="Arial"/>
          <w:color w:val="000000"/>
          <w:sz w:val="20"/>
          <w:szCs w:val="20"/>
        </w:rPr>
        <w:t xml:space="preserve"> [2011] VSC 61 at [93] per Mukhtar AsJ; </w:t>
      </w:r>
      <w:r w:rsidRPr="000D175A">
        <w:rPr>
          <w:rFonts w:ascii="Arial" w:hAnsi="Arial" w:cs="Arial"/>
          <w:i/>
          <w:color w:val="000000"/>
          <w:sz w:val="20"/>
          <w:szCs w:val="20"/>
        </w:rPr>
        <w:t>Zigouris v Sunshine Magistrates’ Court</w:t>
      </w:r>
      <w:r w:rsidRPr="000D175A">
        <w:rPr>
          <w:rFonts w:ascii="Arial" w:hAnsi="Arial" w:cs="Arial"/>
          <w:color w:val="000000"/>
          <w:sz w:val="20"/>
          <w:szCs w:val="20"/>
        </w:rPr>
        <w:t xml:space="preserve"> [2012] VSC 183 at [24]-[27] per Zammit AsJ; </w:t>
      </w:r>
      <w:r w:rsidRPr="000D175A">
        <w:rPr>
          <w:rFonts w:ascii="Arial" w:hAnsi="Arial" w:cs="Arial"/>
          <w:bCs/>
          <w:i/>
          <w:color w:val="000000"/>
          <w:sz w:val="20"/>
          <w:szCs w:val="20"/>
        </w:rPr>
        <w:t>DOHS v Children’s Court of Victoria &amp; Ors</w:t>
      </w:r>
      <w:r w:rsidRPr="000D175A">
        <w:rPr>
          <w:rFonts w:ascii="Arial" w:hAnsi="Arial" w:cs="Arial"/>
          <w:bCs/>
          <w:color w:val="000000"/>
          <w:sz w:val="20"/>
          <w:szCs w:val="20"/>
        </w:rPr>
        <w:t xml:space="preserve"> [2012] VSC 422 at [12]-[21], [29] &amp; [32] per Dixon J; </w:t>
      </w:r>
      <w:r w:rsidRPr="000D175A">
        <w:rPr>
          <w:rFonts w:ascii="Arial" w:hAnsi="Arial" w:cs="Arial"/>
          <w:bCs/>
          <w:i/>
          <w:color w:val="000000"/>
          <w:sz w:val="20"/>
          <w:szCs w:val="20"/>
        </w:rPr>
        <w:t>Danne v Coroner</w:t>
      </w:r>
      <w:r w:rsidRPr="000D175A">
        <w:rPr>
          <w:rFonts w:ascii="Arial" w:hAnsi="Arial" w:cs="Arial"/>
          <w:bCs/>
          <w:color w:val="000000"/>
          <w:sz w:val="20"/>
          <w:szCs w:val="20"/>
        </w:rPr>
        <w:t xml:space="preserve"> [2012] VSC 454 at [20]-[26] per Kyrou J; </w:t>
      </w:r>
      <w:r w:rsidRPr="000D175A">
        <w:rPr>
          <w:rFonts w:ascii="Arial" w:hAnsi="Arial" w:cs="Arial"/>
          <w:i/>
          <w:color w:val="000000"/>
          <w:sz w:val="20"/>
          <w:szCs w:val="20"/>
        </w:rPr>
        <w:t>Eaton v Dental Board of Australia</w:t>
      </w:r>
      <w:r w:rsidRPr="000D175A">
        <w:rPr>
          <w:rFonts w:ascii="Arial" w:hAnsi="Arial" w:cs="Arial"/>
          <w:color w:val="000000"/>
          <w:sz w:val="20"/>
          <w:szCs w:val="20"/>
        </w:rPr>
        <w:t xml:space="preserve"> </w:t>
      </w:r>
      <w:r w:rsidRPr="000D175A">
        <w:rPr>
          <w:rFonts w:ascii="Arial" w:hAnsi="Arial" w:cs="Arial"/>
          <w:bCs/>
          <w:color w:val="000000"/>
          <w:sz w:val="20"/>
          <w:szCs w:val="20"/>
        </w:rPr>
        <w:t xml:space="preserve">[2012] VSC 510 at [25]-[32] per Kyrou J; </w:t>
      </w:r>
      <w:r w:rsidR="000D175A" w:rsidRPr="000D175A">
        <w:rPr>
          <w:rFonts w:ascii="Arial" w:hAnsi="Arial" w:cs="Arial"/>
          <w:i/>
          <w:iCs/>
          <w:color w:val="000000"/>
          <w:sz w:val="20"/>
          <w:szCs w:val="20"/>
        </w:rPr>
        <w:t>Williams v Hand</w:t>
      </w:r>
      <w:r w:rsidR="000D175A" w:rsidRPr="000D175A">
        <w:rPr>
          <w:rFonts w:ascii="Arial" w:hAnsi="Arial" w:cs="Arial"/>
          <w:color w:val="000000"/>
          <w:sz w:val="20"/>
          <w:szCs w:val="20"/>
        </w:rPr>
        <w:t xml:space="preserve"> [2014] VSC 527 at [97]-[105].</w:t>
      </w:r>
      <w:r w:rsidRPr="000D175A">
        <w:rPr>
          <w:rFonts w:ascii="Arial" w:hAnsi="Arial" w:cs="Arial"/>
          <w:bCs/>
          <w:i/>
          <w:color w:val="000000"/>
          <w:sz w:val="20"/>
          <w:szCs w:val="20"/>
        </w:rPr>
        <w:t>Trkulja v Markovic</w:t>
      </w:r>
      <w:r w:rsidRPr="000D175A">
        <w:rPr>
          <w:rFonts w:ascii="Arial" w:hAnsi="Arial" w:cs="Arial"/>
          <w:bCs/>
          <w:color w:val="000000"/>
          <w:sz w:val="20"/>
          <w:szCs w:val="20"/>
        </w:rPr>
        <w:t xml:space="preserve"> [2015] VSCA 298 at [37]-[39] per Kyrou &amp; Kaye JJA and Ginnane AJA; </w:t>
      </w:r>
      <w:r w:rsidRPr="000D175A">
        <w:rPr>
          <w:rFonts w:ascii="Arial" w:hAnsi="Arial" w:cs="Arial"/>
          <w:bCs/>
          <w:i/>
          <w:color w:val="000000"/>
          <w:sz w:val="20"/>
          <w:szCs w:val="20"/>
        </w:rPr>
        <w:t>David Hingst v</w:t>
      </w:r>
      <w:r w:rsidRPr="008268C5">
        <w:rPr>
          <w:rFonts w:ascii="Arial" w:hAnsi="Arial" w:cs="Arial"/>
          <w:bCs/>
          <w:i/>
          <w:color w:val="000000"/>
          <w:sz w:val="20"/>
        </w:rPr>
        <w:t xml:space="preserve"> Construction Engineering (Aust) Pty Ltd</w:t>
      </w:r>
      <w:r>
        <w:rPr>
          <w:rFonts w:ascii="Arial" w:hAnsi="Arial" w:cs="Arial"/>
          <w:bCs/>
          <w:color w:val="000000"/>
          <w:sz w:val="20"/>
        </w:rPr>
        <w:t xml:space="preserve"> [2019] VSCA 67 at [67]-[76] per Priest AP &amp; Beach JA; </w:t>
      </w:r>
      <w:r w:rsidR="00320575" w:rsidRPr="00320575">
        <w:rPr>
          <w:rFonts w:ascii="Arial" w:hAnsi="Arial" w:cs="Arial"/>
          <w:bCs/>
          <w:i/>
          <w:iCs/>
          <w:color w:val="000000"/>
          <w:sz w:val="20"/>
        </w:rPr>
        <w:t>Shadi Farah v The Queen</w:t>
      </w:r>
      <w:r w:rsidR="00320575">
        <w:rPr>
          <w:rFonts w:ascii="Arial" w:hAnsi="Arial" w:cs="Arial"/>
          <w:bCs/>
          <w:color w:val="000000"/>
          <w:sz w:val="20"/>
        </w:rPr>
        <w:t xml:space="preserve"> </w:t>
      </w:r>
      <w:r>
        <w:rPr>
          <w:rFonts w:ascii="Arial" w:hAnsi="Arial" w:cs="Arial"/>
          <w:bCs/>
          <w:color w:val="000000"/>
          <w:sz w:val="20"/>
        </w:rPr>
        <w:t xml:space="preserve">[2019] VSCA </w:t>
      </w:r>
      <w:r>
        <w:rPr>
          <w:rFonts w:ascii="Arial" w:hAnsi="Arial" w:cs="Arial"/>
          <w:bCs/>
          <w:color w:val="000000"/>
          <w:sz w:val="20"/>
        </w:rPr>
        <w:lastRenderedPageBreak/>
        <w:t>300 at [</w:t>
      </w:r>
      <w:r w:rsidR="00A361E0">
        <w:rPr>
          <w:rFonts w:ascii="Arial" w:hAnsi="Arial" w:cs="Arial"/>
          <w:bCs/>
          <w:color w:val="000000"/>
          <w:sz w:val="20"/>
        </w:rPr>
        <w:t>72</w:t>
      </w:r>
      <w:r>
        <w:rPr>
          <w:rFonts w:ascii="Arial" w:hAnsi="Arial" w:cs="Arial"/>
          <w:bCs/>
          <w:color w:val="000000"/>
          <w:sz w:val="20"/>
        </w:rPr>
        <w:t>]-[</w:t>
      </w:r>
      <w:r w:rsidR="00A361E0">
        <w:rPr>
          <w:rFonts w:ascii="Arial" w:hAnsi="Arial" w:cs="Arial"/>
          <w:bCs/>
          <w:color w:val="000000"/>
          <w:sz w:val="20"/>
        </w:rPr>
        <w:t>80</w:t>
      </w:r>
      <w:r>
        <w:rPr>
          <w:rFonts w:ascii="Arial" w:hAnsi="Arial" w:cs="Arial"/>
          <w:bCs/>
          <w:color w:val="000000"/>
          <w:sz w:val="20"/>
        </w:rPr>
        <w:t xml:space="preserve">]; </w:t>
      </w:r>
      <w:r w:rsidR="0017286C" w:rsidRPr="0017286C">
        <w:rPr>
          <w:rFonts w:ascii="Arial" w:hAnsi="Arial" w:cs="Arial"/>
          <w:bCs/>
          <w:i/>
          <w:iCs/>
          <w:color w:val="000000"/>
          <w:sz w:val="20"/>
        </w:rPr>
        <w:t>Celsius Fire Services Pty Ltd v Magistrates’ Court of Victoria &amp; anor</w:t>
      </w:r>
      <w:r w:rsidR="0017286C" w:rsidRPr="0017286C">
        <w:rPr>
          <w:rFonts w:ascii="Arial" w:hAnsi="Arial" w:cs="Arial"/>
          <w:bCs/>
          <w:color w:val="000000"/>
          <w:sz w:val="20"/>
        </w:rPr>
        <w:t xml:space="preserve"> </w:t>
      </w:r>
      <w:r>
        <w:rPr>
          <w:rFonts w:ascii="Arial" w:hAnsi="Arial" w:cs="Arial"/>
          <w:bCs/>
          <w:color w:val="000000"/>
          <w:sz w:val="20"/>
        </w:rPr>
        <w:t>[2019] VSC 835 at [</w:t>
      </w:r>
      <w:r w:rsidR="0017286C">
        <w:rPr>
          <w:rFonts w:ascii="Arial" w:hAnsi="Arial" w:cs="Arial"/>
          <w:bCs/>
          <w:color w:val="000000"/>
          <w:sz w:val="20"/>
        </w:rPr>
        <w:t>36</w:t>
      </w:r>
      <w:r>
        <w:rPr>
          <w:rFonts w:ascii="Arial" w:hAnsi="Arial" w:cs="Arial"/>
          <w:bCs/>
          <w:color w:val="000000"/>
          <w:sz w:val="20"/>
        </w:rPr>
        <w:t>]-[</w:t>
      </w:r>
      <w:r w:rsidR="0017286C">
        <w:rPr>
          <w:rFonts w:ascii="Arial" w:hAnsi="Arial" w:cs="Arial"/>
          <w:bCs/>
          <w:color w:val="000000"/>
          <w:sz w:val="20"/>
        </w:rPr>
        <w:t>44</w:t>
      </w:r>
      <w:r>
        <w:rPr>
          <w:rFonts w:ascii="Arial" w:hAnsi="Arial" w:cs="Arial"/>
          <w:bCs/>
          <w:color w:val="000000"/>
          <w:sz w:val="20"/>
        </w:rPr>
        <w:t>]</w:t>
      </w:r>
      <w:r w:rsidR="00DD62D8">
        <w:rPr>
          <w:rFonts w:ascii="Arial" w:hAnsi="Arial" w:cs="Arial"/>
          <w:bCs/>
          <w:color w:val="000000"/>
          <w:sz w:val="20"/>
        </w:rPr>
        <w:t xml:space="preserve">; </w:t>
      </w:r>
      <w:r w:rsidR="00DD62D8" w:rsidRPr="00DD62D8">
        <w:rPr>
          <w:rFonts w:ascii="Arial" w:hAnsi="Arial" w:cs="Arial"/>
          <w:bCs/>
          <w:i/>
          <w:iCs/>
          <w:color w:val="000000"/>
          <w:sz w:val="20"/>
        </w:rPr>
        <w:t>Minister for Immigration, Citizenship, Migrant Services and Multicultural Affairs v AAM17</w:t>
      </w:r>
      <w:r w:rsidR="00DD62D8">
        <w:rPr>
          <w:rFonts w:ascii="Arial" w:hAnsi="Arial" w:cs="Arial"/>
          <w:bCs/>
          <w:color w:val="000000"/>
          <w:sz w:val="20"/>
        </w:rPr>
        <w:t xml:space="preserve"> [2021] HCA 6 at [22]-[44]</w:t>
      </w:r>
      <w:r w:rsidR="00F202AD">
        <w:rPr>
          <w:rFonts w:ascii="Arial" w:hAnsi="Arial" w:cs="Arial"/>
          <w:bCs/>
          <w:color w:val="000000"/>
          <w:sz w:val="20"/>
        </w:rPr>
        <w:t xml:space="preserve">; </w:t>
      </w:r>
      <w:r w:rsidR="00F202AD" w:rsidRPr="00AB2A46">
        <w:rPr>
          <w:rFonts w:ascii="Arial" w:hAnsi="Arial" w:cs="Arial"/>
          <w:bCs/>
          <w:i/>
          <w:iCs/>
          <w:color w:val="000000"/>
          <w:sz w:val="20"/>
        </w:rPr>
        <w:t>Cathcart v Wang</w:t>
      </w:r>
      <w:r w:rsidR="00F202AD">
        <w:rPr>
          <w:rFonts w:ascii="Arial" w:hAnsi="Arial" w:cs="Arial"/>
          <w:bCs/>
          <w:color w:val="000000"/>
          <w:sz w:val="20"/>
        </w:rPr>
        <w:t xml:space="preserve"> [2021] VSC 685</w:t>
      </w:r>
      <w:r w:rsidR="006145DF">
        <w:rPr>
          <w:rFonts w:ascii="Arial" w:hAnsi="Arial" w:cs="Arial"/>
          <w:bCs/>
          <w:color w:val="000000"/>
          <w:sz w:val="20"/>
        </w:rPr>
        <w:t xml:space="preserve">; </w:t>
      </w:r>
      <w:bookmarkStart w:id="110" w:name="_Hlk118890951"/>
      <w:r w:rsidR="006145DF" w:rsidRPr="000231F7">
        <w:rPr>
          <w:rFonts w:ascii="Arial" w:hAnsi="Arial" w:cs="Arial"/>
          <w:i/>
          <w:iCs/>
          <w:sz w:val="20"/>
          <w:szCs w:val="20"/>
        </w:rPr>
        <w:t>The Crown in Right of the State of Victoria (Department of Health) v Magistrates’ Court of Victoria</w:t>
      </w:r>
      <w:r w:rsidR="006145DF">
        <w:rPr>
          <w:rFonts w:ascii="Arial" w:hAnsi="Arial" w:cs="Arial"/>
          <w:i/>
          <w:iCs/>
          <w:sz w:val="20"/>
          <w:szCs w:val="20"/>
        </w:rPr>
        <w:t xml:space="preserve"> </w:t>
      </w:r>
      <w:r w:rsidR="006145DF" w:rsidRPr="000231F7">
        <w:rPr>
          <w:rFonts w:ascii="Arial" w:hAnsi="Arial" w:cs="Arial"/>
          <w:sz w:val="20"/>
          <w:szCs w:val="20"/>
        </w:rPr>
        <w:t>[2022] VSC 630</w:t>
      </w:r>
      <w:bookmarkEnd w:id="110"/>
      <w:r w:rsidR="00FF246E">
        <w:rPr>
          <w:rFonts w:ascii="Arial" w:hAnsi="Arial" w:cs="Arial"/>
          <w:sz w:val="20"/>
          <w:szCs w:val="20"/>
        </w:rPr>
        <w:t xml:space="preserve"> at [12]-[1</w:t>
      </w:r>
      <w:r w:rsidR="00644A0A">
        <w:rPr>
          <w:rFonts w:ascii="Arial" w:hAnsi="Arial" w:cs="Arial"/>
          <w:sz w:val="20"/>
          <w:szCs w:val="20"/>
        </w:rPr>
        <w:t>4</w:t>
      </w:r>
      <w:r w:rsidR="00FF246E">
        <w:rPr>
          <w:rFonts w:ascii="Arial" w:hAnsi="Arial" w:cs="Arial"/>
          <w:sz w:val="20"/>
          <w:szCs w:val="20"/>
        </w:rPr>
        <w:t>]</w:t>
      </w:r>
      <w:r w:rsidR="006F09F2">
        <w:rPr>
          <w:rFonts w:ascii="Arial" w:hAnsi="Arial" w:cs="Arial"/>
          <w:sz w:val="20"/>
          <w:szCs w:val="20"/>
        </w:rPr>
        <w:t xml:space="preserve">: </w:t>
      </w:r>
      <w:r w:rsidR="006F09F2" w:rsidRPr="006F09F2">
        <w:rPr>
          <w:rFonts w:ascii="Arial" w:hAnsi="Arial" w:cs="Arial"/>
          <w:i/>
          <w:iCs/>
          <w:sz w:val="20"/>
          <w:szCs w:val="20"/>
        </w:rPr>
        <w:t>Viva Energy Australia Pty Ltd v Glen Eira City Council</w:t>
      </w:r>
      <w:r w:rsidR="006F09F2" w:rsidRPr="006F09F2">
        <w:rPr>
          <w:rFonts w:ascii="Arial" w:hAnsi="Arial" w:cs="Arial"/>
          <w:sz w:val="20"/>
          <w:szCs w:val="20"/>
        </w:rPr>
        <w:t xml:space="preserve"> [2022] VSC 726 </w:t>
      </w:r>
      <w:r w:rsidR="006F09F2">
        <w:rPr>
          <w:rFonts w:ascii="Arial" w:hAnsi="Arial" w:cs="Arial"/>
          <w:sz w:val="20"/>
          <w:szCs w:val="20"/>
        </w:rPr>
        <w:t>at [83]-[95]</w:t>
      </w:r>
      <w:r w:rsidR="001C057A">
        <w:rPr>
          <w:rFonts w:ascii="Arial" w:hAnsi="Arial" w:cs="Arial"/>
          <w:sz w:val="20"/>
          <w:szCs w:val="20"/>
        </w:rPr>
        <w:t xml:space="preserve">; </w:t>
      </w:r>
      <w:r w:rsidR="001C057A" w:rsidRPr="001C057A">
        <w:rPr>
          <w:rFonts w:ascii="Arial" w:hAnsi="Arial" w:cs="Arial"/>
          <w:bCs/>
          <w:i/>
          <w:iCs/>
          <w:color w:val="000000"/>
          <w:sz w:val="20"/>
          <w:szCs w:val="20"/>
        </w:rPr>
        <w:t>Hycenko v Badge &amp; Ors</w:t>
      </w:r>
      <w:r w:rsidR="001C057A">
        <w:rPr>
          <w:rFonts w:ascii="Arial" w:hAnsi="Arial" w:cs="Arial"/>
          <w:bCs/>
          <w:color w:val="000000"/>
          <w:sz w:val="20"/>
          <w:szCs w:val="20"/>
        </w:rPr>
        <w:t xml:space="preserve"> [2023] VSC 19 at [24]-[</w:t>
      </w:r>
      <w:r w:rsidR="00843C81">
        <w:rPr>
          <w:rFonts w:ascii="Arial" w:hAnsi="Arial" w:cs="Arial"/>
          <w:bCs/>
          <w:color w:val="000000"/>
          <w:sz w:val="20"/>
          <w:szCs w:val="20"/>
        </w:rPr>
        <w:t>41</w:t>
      </w:r>
      <w:r w:rsidR="001C057A">
        <w:rPr>
          <w:rFonts w:ascii="Arial" w:hAnsi="Arial" w:cs="Arial"/>
          <w:bCs/>
          <w:color w:val="000000"/>
          <w:sz w:val="20"/>
          <w:szCs w:val="20"/>
        </w:rPr>
        <w:t>]</w:t>
      </w:r>
      <w:r w:rsidR="00FF4EE4">
        <w:rPr>
          <w:rFonts w:ascii="Arial" w:hAnsi="Arial" w:cs="Arial"/>
          <w:bCs/>
          <w:color w:val="000000"/>
          <w:sz w:val="20"/>
          <w:szCs w:val="20"/>
        </w:rPr>
        <w:t xml:space="preserve">; </w:t>
      </w:r>
      <w:r w:rsidR="00FF4EE4" w:rsidRPr="00FF4EE4">
        <w:rPr>
          <w:rFonts w:ascii="Arial" w:hAnsi="Arial" w:cs="Arial"/>
          <w:bCs/>
          <w:i/>
          <w:iCs/>
          <w:color w:val="000000"/>
          <w:sz w:val="20"/>
          <w:szCs w:val="20"/>
        </w:rPr>
        <w:t>TL v The King</w:t>
      </w:r>
      <w:r w:rsidR="00FF4EE4">
        <w:rPr>
          <w:rFonts w:ascii="Arial" w:hAnsi="Arial" w:cs="Arial"/>
          <w:bCs/>
          <w:color w:val="000000"/>
          <w:sz w:val="20"/>
          <w:szCs w:val="20"/>
        </w:rPr>
        <w:t xml:space="preserve"> (2022) 96 ALJR 1072 at [33]; </w:t>
      </w:r>
      <w:r w:rsidR="00FF4EE4" w:rsidRPr="00FF4EE4">
        <w:rPr>
          <w:rFonts w:ascii="Arial" w:hAnsi="Arial" w:cs="Arial"/>
          <w:i/>
          <w:iCs/>
          <w:sz w:val="20"/>
          <w:szCs w:val="20"/>
        </w:rPr>
        <w:t>DPP v Sharman (a pseudonym)</w:t>
      </w:r>
      <w:r w:rsidR="00FF4EE4" w:rsidRPr="00FF4EE4">
        <w:rPr>
          <w:rFonts w:ascii="Arial" w:hAnsi="Arial" w:cs="Arial"/>
          <w:sz w:val="20"/>
          <w:szCs w:val="20"/>
        </w:rPr>
        <w:t xml:space="preserve"> [2023] VSCA </w:t>
      </w:r>
      <w:r w:rsidR="00FF4EE4">
        <w:rPr>
          <w:rFonts w:ascii="Arial" w:hAnsi="Arial" w:cs="Arial"/>
          <w:sz w:val="20"/>
          <w:szCs w:val="20"/>
        </w:rPr>
        <w:t>56 at [32]-[54]</w:t>
      </w:r>
      <w:r w:rsidR="00AA1D19">
        <w:rPr>
          <w:rFonts w:ascii="Arial" w:hAnsi="Arial" w:cs="Arial"/>
          <w:sz w:val="20"/>
          <w:szCs w:val="20"/>
        </w:rPr>
        <w:t xml:space="preserve">; </w:t>
      </w:r>
      <w:r w:rsidR="00AA1D19" w:rsidRPr="00AA1D19">
        <w:rPr>
          <w:rFonts w:ascii="Arial" w:hAnsi="Arial" w:cs="Arial"/>
          <w:bCs/>
          <w:i/>
          <w:iCs/>
          <w:color w:val="000000"/>
          <w:sz w:val="20"/>
          <w:szCs w:val="20"/>
        </w:rPr>
        <w:t>AML (a pseudonym) v Longden Super Custodian Pty Ltd</w:t>
      </w:r>
      <w:r w:rsidR="00AA1D19" w:rsidRPr="00AA1D19">
        <w:rPr>
          <w:rFonts w:ascii="Arial" w:hAnsi="Arial" w:cs="Arial"/>
          <w:bCs/>
          <w:color w:val="000000"/>
          <w:sz w:val="20"/>
          <w:szCs w:val="20"/>
        </w:rPr>
        <w:t xml:space="preserve"> [2023] VSCA 118</w:t>
      </w:r>
      <w:r w:rsidR="00B73B51">
        <w:rPr>
          <w:rFonts w:ascii="Arial" w:hAnsi="Arial" w:cs="Arial"/>
          <w:bCs/>
          <w:color w:val="000000"/>
          <w:sz w:val="20"/>
          <w:szCs w:val="20"/>
        </w:rPr>
        <w:t xml:space="preserve">; </w:t>
      </w:r>
      <w:r w:rsidR="00B73B51" w:rsidRPr="00B73B51">
        <w:rPr>
          <w:rFonts w:ascii="Arial" w:hAnsi="Arial" w:cs="Arial"/>
          <w:bCs/>
          <w:i/>
          <w:iCs/>
          <w:color w:val="000000"/>
          <w:sz w:val="20"/>
          <w:szCs w:val="20"/>
        </w:rPr>
        <w:t>Woodman v State of Victoria &amp; Independent Broad-based Anti-corruption Commission</w:t>
      </w:r>
      <w:r w:rsidR="00B73B51">
        <w:rPr>
          <w:rFonts w:ascii="Arial" w:hAnsi="Arial" w:cs="Arial"/>
          <w:bCs/>
          <w:color w:val="000000"/>
          <w:sz w:val="20"/>
          <w:szCs w:val="20"/>
        </w:rPr>
        <w:t xml:space="preserve"> [2023] VSCA 169 at [29]-[37]</w:t>
      </w:r>
      <w:r w:rsidR="00D3168C">
        <w:rPr>
          <w:rFonts w:ascii="Arial" w:hAnsi="Arial" w:cs="Arial"/>
          <w:bCs/>
          <w:color w:val="000000"/>
          <w:sz w:val="20"/>
          <w:szCs w:val="20"/>
        </w:rPr>
        <w:t xml:space="preserve">; </w:t>
      </w:r>
      <w:r w:rsidR="00D3168C" w:rsidRPr="00D3168C">
        <w:rPr>
          <w:rFonts w:ascii="Arial" w:hAnsi="Arial" w:cs="Arial"/>
          <w:bCs/>
          <w:i/>
          <w:iCs/>
          <w:color w:val="000000"/>
          <w:sz w:val="20"/>
          <w:szCs w:val="20"/>
        </w:rPr>
        <w:t>Marks v Thompson</w:t>
      </w:r>
      <w:r w:rsidR="00D3168C">
        <w:rPr>
          <w:rFonts w:ascii="Arial" w:hAnsi="Arial" w:cs="Arial"/>
          <w:bCs/>
          <w:color w:val="000000"/>
          <w:sz w:val="20"/>
          <w:szCs w:val="20"/>
        </w:rPr>
        <w:t xml:space="preserve"> [2023] VSC 716 at [48]-[56] applying </w:t>
      </w:r>
      <w:r w:rsidR="00D3168C" w:rsidRPr="00D3168C">
        <w:rPr>
          <w:rFonts w:ascii="Arial" w:hAnsi="Arial" w:cs="Arial"/>
          <w:bCs/>
          <w:i/>
          <w:iCs/>
          <w:color w:val="000000"/>
          <w:sz w:val="20"/>
          <w:szCs w:val="20"/>
        </w:rPr>
        <w:t>Betfair Pty Ltd v Racing New South Wales</w:t>
      </w:r>
      <w:r w:rsidR="00D3168C">
        <w:rPr>
          <w:rFonts w:ascii="Arial" w:hAnsi="Arial" w:cs="Arial"/>
          <w:bCs/>
          <w:color w:val="000000"/>
          <w:sz w:val="20"/>
          <w:szCs w:val="20"/>
        </w:rPr>
        <w:t xml:space="preserve"> (2010) 189 FLR 356</w:t>
      </w:r>
      <w:r w:rsidR="00553AB5">
        <w:rPr>
          <w:rFonts w:ascii="Arial" w:hAnsi="Arial" w:cs="Arial"/>
          <w:bCs/>
          <w:color w:val="000000"/>
          <w:sz w:val="20"/>
          <w:szCs w:val="20"/>
        </w:rPr>
        <w:t xml:space="preserve">; </w:t>
      </w:r>
      <w:r w:rsidR="00553AB5" w:rsidRPr="00F2288E">
        <w:rPr>
          <w:rFonts w:ascii="Arial" w:hAnsi="Arial" w:cs="Arial"/>
          <w:i/>
          <w:iCs/>
          <w:color w:val="000000"/>
          <w:sz w:val="20"/>
        </w:rPr>
        <w:t>HH v WW</w:t>
      </w:r>
      <w:r w:rsidR="00553AB5">
        <w:rPr>
          <w:rFonts w:ascii="Arial" w:hAnsi="Arial" w:cs="Arial"/>
          <w:color w:val="000000"/>
          <w:sz w:val="20"/>
        </w:rPr>
        <w:t xml:space="preserve"> [2023] VSC 459 at [9]</w:t>
      </w:r>
      <w:r w:rsidR="00692896">
        <w:rPr>
          <w:rFonts w:ascii="Arial" w:hAnsi="Arial" w:cs="Arial"/>
          <w:color w:val="000000"/>
          <w:sz w:val="20"/>
        </w:rPr>
        <w:t xml:space="preserve">; </w:t>
      </w:r>
      <w:r w:rsidR="00D7496E" w:rsidRPr="00CF2EF2">
        <w:rPr>
          <w:rFonts w:ascii="Arial" w:hAnsi="Arial" w:cs="Arial"/>
          <w:i/>
          <w:iCs/>
          <w:color w:val="000000"/>
          <w:sz w:val="20"/>
        </w:rPr>
        <w:t>AGN (a pseudonym) v Secretary to the Department of Families, Fairness and Housing (Redacted)</w:t>
      </w:r>
      <w:r w:rsidR="00D7496E">
        <w:rPr>
          <w:rFonts w:ascii="Arial" w:hAnsi="Arial" w:cs="Arial"/>
          <w:color w:val="000000"/>
          <w:sz w:val="20"/>
        </w:rPr>
        <w:t xml:space="preserve"> [2024] VSC 176 at [58]-[79]; </w:t>
      </w:r>
      <w:r w:rsidR="00692896" w:rsidRPr="00692896">
        <w:rPr>
          <w:rFonts w:ascii="Arial" w:hAnsi="Arial" w:cs="Arial"/>
          <w:i/>
          <w:iCs/>
          <w:color w:val="000000"/>
          <w:sz w:val="20"/>
        </w:rPr>
        <w:t>Shearer v Chief Commissioner of Police (Victoria)</w:t>
      </w:r>
      <w:r w:rsidR="00692896">
        <w:rPr>
          <w:rFonts w:ascii="Arial" w:hAnsi="Arial" w:cs="Arial"/>
          <w:color w:val="000000"/>
          <w:sz w:val="20"/>
        </w:rPr>
        <w:t xml:space="preserve"> [2024] VSC 181 at [49]-[74]</w:t>
      </w:r>
      <w:r w:rsidR="00596999">
        <w:rPr>
          <w:rFonts w:ascii="Arial" w:hAnsi="Arial" w:cs="Arial"/>
          <w:color w:val="000000"/>
          <w:sz w:val="20"/>
        </w:rPr>
        <w:t xml:space="preserve">; </w:t>
      </w:r>
      <w:r w:rsidR="00596999" w:rsidRPr="009E4609">
        <w:rPr>
          <w:rFonts w:ascii="Arial" w:hAnsi="Arial" w:cs="Arial"/>
          <w:i/>
          <w:iCs/>
          <w:sz w:val="20"/>
        </w:rPr>
        <w:t>Brissenden v Victorian Institute of Teaching</w:t>
      </w:r>
      <w:r w:rsidR="00596999">
        <w:rPr>
          <w:rFonts w:ascii="Arial" w:hAnsi="Arial" w:cs="Arial"/>
          <w:sz w:val="20"/>
        </w:rPr>
        <w:t xml:space="preserve"> [2024] VSC 580 at [59]-[231]</w:t>
      </w:r>
      <w:r w:rsidR="00166BEC">
        <w:rPr>
          <w:rFonts w:ascii="Arial" w:hAnsi="Arial" w:cs="Arial"/>
          <w:sz w:val="20"/>
        </w:rPr>
        <w:t xml:space="preserve">; </w:t>
      </w:r>
      <w:r w:rsidR="00D624D1" w:rsidRPr="00D624D1">
        <w:rPr>
          <w:rFonts w:ascii="Arial" w:hAnsi="Arial" w:cs="Arial"/>
          <w:bCs/>
          <w:i/>
          <w:iCs/>
          <w:color w:val="000000"/>
          <w:sz w:val="20"/>
          <w:szCs w:val="20"/>
        </w:rPr>
        <w:t>Shininggarden Pty Ltd v Omega Building Group Pty Ltd</w:t>
      </w:r>
      <w:r w:rsidR="00D624D1">
        <w:rPr>
          <w:rFonts w:ascii="Arial" w:hAnsi="Arial" w:cs="Arial"/>
          <w:bCs/>
          <w:color w:val="000000"/>
          <w:sz w:val="20"/>
          <w:szCs w:val="20"/>
        </w:rPr>
        <w:t xml:space="preserve"> [2024] VSC 583 at [30]-[42]; </w:t>
      </w:r>
      <w:r w:rsidR="00166BEC" w:rsidRPr="00E17F2A">
        <w:rPr>
          <w:rFonts w:ascii="Arial" w:hAnsi="Arial" w:cs="Arial"/>
          <w:i/>
          <w:iCs/>
          <w:color w:val="000000"/>
          <w:sz w:val="20"/>
        </w:rPr>
        <w:t>Kostiuk v KH (a pseudonym)</w:t>
      </w:r>
      <w:r w:rsidR="00166BEC">
        <w:rPr>
          <w:rFonts w:ascii="Arial" w:hAnsi="Arial" w:cs="Arial"/>
          <w:color w:val="000000"/>
          <w:sz w:val="20"/>
        </w:rPr>
        <w:t xml:space="preserve"> [2024] VSC 586 at [18]-[40]</w:t>
      </w:r>
      <w:r w:rsidR="00335D82">
        <w:rPr>
          <w:rFonts w:ascii="Arial" w:hAnsi="Arial" w:cs="Arial"/>
          <w:color w:val="000000"/>
          <w:sz w:val="20"/>
        </w:rPr>
        <w:t xml:space="preserve">; </w:t>
      </w:r>
      <w:r w:rsidR="00335D82" w:rsidRPr="00335D82">
        <w:rPr>
          <w:rFonts w:ascii="Arial" w:hAnsi="Arial" w:cs="Arial"/>
          <w:i/>
          <w:iCs/>
          <w:color w:val="000000"/>
          <w:sz w:val="20"/>
        </w:rPr>
        <w:t>Ramith v Homes Victoria &amp; Ors</w:t>
      </w:r>
      <w:r w:rsidR="00335D82" w:rsidRPr="00335D82">
        <w:rPr>
          <w:rFonts w:ascii="Arial" w:hAnsi="Arial" w:cs="Arial"/>
          <w:color w:val="000000"/>
          <w:sz w:val="20"/>
        </w:rPr>
        <w:t xml:space="preserve"> [2025] VSC 2</w:t>
      </w:r>
      <w:r w:rsidR="00335D82">
        <w:rPr>
          <w:rFonts w:ascii="Arial" w:hAnsi="Arial" w:cs="Arial"/>
          <w:color w:val="000000"/>
          <w:sz w:val="20"/>
        </w:rPr>
        <w:t xml:space="preserve"> at [48]-[95]</w:t>
      </w:r>
      <w:r w:rsidR="00D028AF">
        <w:rPr>
          <w:rFonts w:ascii="Arial" w:hAnsi="Arial" w:cs="Arial"/>
          <w:color w:val="000000"/>
          <w:sz w:val="20"/>
        </w:rPr>
        <w:t xml:space="preserve">; </w:t>
      </w:r>
      <w:r w:rsidR="00D028AF" w:rsidRPr="00D028AF">
        <w:rPr>
          <w:rFonts w:ascii="Arial" w:hAnsi="Arial" w:cs="Arial"/>
          <w:i/>
          <w:iCs/>
          <w:color w:val="000000"/>
          <w:sz w:val="20"/>
        </w:rPr>
        <w:t>Gorman v Speech Pathology Association of Australia Ltd</w:t>
      </w:r>
      <w:r w:rsidR="00D028AF" w:rsidRPr="00D028AF">
        <w:rPr>
          <w:rFonts w:ascii="Arial" w:hAnsi="Arial" w:cs="Arial"/>
          <w:color w:val="000000"/>
          <w:sz w:val="20"/>
        </w:rPr>
        <w:t xml:space="preserve"> [2025] VSC</w:t>
      </w:r>
      <w:r w:rsidR="00D028AF">
        <w:rPr>
          <w:rFonts w:ascii="Arial" w:hAnsi="Arial" w:cs="Arial"/>
          <w:color w:val="000000"/>
          <w:sz w:val="20"/>
        </w:rPr>
        <w:t> </w:t>
      </w:r>
      <w:r w:rsidR="00D028AF" w:rsidRPr="00D028AF">
        <w:rPr>
          <w:rFonts w:ascii="Arial" w:hAnsi="Arial" w:cs="Arial"/>
          <w:color w:val="000000"/>
          <w:sz w:val="20"/>
        </w:rPr>
        <w:t>4</w:t>
      </w:r>
      <w:r w:rsidR="00D028AF">
        <w:rPr>
          <w:rFonts w:ascii="Arial" w:hAnsi="Arial" w:cs="Arial"/>
          <w:color w:val="000000"/>
          <w:sz w:val="20"/>
        </w:rPr>
        <w:t xml:space="preserve"> at [139]-[168]</w:t>
      </w:r>
      <w:r w:rsidR="003B0602">
        <w:rPr>
          <w:rFonts w:ascii="Arial" w:hAnsi="Arial" w:cs="Arial"/>
          <w:color w:val="000000"/>
          <w:sz w:val="20"/>
        </w:rPr>
        <w:t xml:space="preserve">; </w:t>
      </w:r>
      <w:r w:rsidR="003B0602" w:rsidRPr="003B0602">
        <w:rPr>
          <w:rFonts w:ascii="Arial" w:hAnsi="Arial" w:cs="Arial"/>
          <w:i/>
          <w:iCs/>
          <w:color w:val="000000"/>
          <w:sz w:val="20"/>
        </w:rPr>
        <w:t>Oberoi v Douglas</w:t>
      </w:r>
      <w:r w:rsidR="003B0602">
        <w:rPr>
          <w:rFonts w:ascii="Arial" w:hAnsi="Arial" w:cs="Arial"/>
          <w:color w:val="000000"/>
          <w:sz w:val="20"/>
        </w:rPr>
        <w:t xml:space="preserve"> [2025] VSC 7 at [94]-[104]</w:t>
      </w:r>
      <w:r w:rsidR="006B5474">
        <w:rPr>
          <w:rFonts w:ascii="Arial" w:hAnsi="Arial" w:cs="Arial"/>
          <w:color w:val="000000"/>
          <w:sz w:val="20"/>
        </w:rPr>
        <w:t xml:space="preserve">; </w:t>
      </w:r>
      <w:r w:rsidR="006B5474" w:rsidRPr="006B5474">
        <w:rPr>
          <w:rFonts w:ascii="Arial" w:hAnsi="Arial" w:cs="Arial"/>
          <w:i/>
          <w:iCs/>
          <w:color w:val="000000"/>
          <w:sz w:val="20"/>
        </w:rPr>
        <w:t xml:space="preserve">Secretary to the Department of Health v Davis </w:t>
      </w:r>
      <w:r w:rsidR="006B5474">
        <w:rPr>
          <w:rFonts w:ascii="Arial" w:hAnsi="Arial" w:cs="Arial"/>
          <w:color w:val="000000"/>
          <w:sz w:val="20"/>
        </w:rPr>
        <w:t>[2025] VSCA 40 at [99]-[107]</w:t>
      </w:r>
      <w:r w:rsidR="000234E3">
        <w:rPr>
          <w:rFonts w:ascii="Arial" w:hAnsi="Arial" w:cs="Arial"/>
          <w:color w:val="000000"/>
          <w:sz w:val="20"/>
        </w:rPr>
        <w:t xml:space="preserve">; </w:t>
      </w:r>
      <w:r w:rsidR="000234E3" w:rsidRPr="000234E3">
        <w:rPr>
          <w:rFonts w:ascii="Arial" w:hAnsi="Arial" w:cs="Arial"/>
          <w:i/>
          <w:iCs/>
          <w:color w:val="000000"/>
          <w:sz w:val="20"/>
        </w:rPr>
        <w:t>Secretary to the Department of Justice and Community Safety v Loos</w:t>
      </w:r>
      <w:r w:rsidR="000234E3">
        <w:rPr>
          <w:rFonts w:ascii="Arial" w:hAnsi="Arial" w:cs="Arial"/>
          <w:color w:val="000000"/>
          <w:sz w:val="20"/>
        </w:rPr>
        <w:t xml:space="preserve"> [2025] VSC 107 at [208]-[248]</w:t>
      </w:r>
      <w:r w:rsidR="00041079">
        <w:rPr>
          <w:rFonts w:ascii="Arial" w:hAnsi="Arial" w:cs="Arial"/>
          <w:color w:val="000000"/>
          <w:sz w:val="20"/>
        </w:rPr>
        <w:t xml:space="preserve">; </w:t>
      </w:r>
      <w:r w:rsidR="00041079" w:rsidRPr="00A174AF">
        <w:rPr>
          <w:rFonts w:ascii="Arial" w:hAnsi="Arial" w:cs="Arial"/>
          <w:i/>
          <w:iCs/>
          <w:sz w:val="20"/>
        </w:rPr>
        <w:t>Re Geelong Quarries Pty Ltd</w:t>
      </w:r>
      <w:r w:rsidR="00041079">
        <w:rPr>
          <w:rFonts w:ascii="Arial" w:hAnsi="Arial" w:cs="Arial"/>
          <w:sz w:val="20"/>
        </w:rPr>
        <w:t xml:space="preserve"> [2025] VSC 205 at [</w:t>
      </w:r>
      <w:r w:rsidR="0013025C">
        <w:rPr>
          <w:rFonts w:ascii="Arial" w:hAnsi="Arial" w:cs="Arial"/>
          <w:sz w:val="20"/>
        </w:rPr>
        <w:t>174</w:t>
      </w:r>
      <w:r w:rsidR="00041079">
        <w:rPr>
          <w:rFonts w:ascii="Arial" w:hAnsi="Arial" w:cs="Arial"/>
          <w:sz w:val="20"/>
        </w:rPr>
        <w:t>]-[</w:t>
      </w:r>
      <w:r w:rsidR="0013025C">
        <w:rPr>
          <w:rFonts w:ascii="Arial" w:hAnsi="Arial" w:cs="Arial"/>
          <w:sz w:val="20"/>
        </w:rPr>
        <w:t>192</w:t>
      </w:r>
      <w:r w:rsidR="00041079">
        <w:rPr>
          <w:rFonts w:ascii="Arial" w:hAnsi="Arial" w:cs="Arial"/>
          <w:sz w:val="20"/>
        </w:rPr>
        <w:t>]</w:t>
      </w:r>
      <w:r w:rsidR="00455707">
        <w:rPr>
          <w:rFonts w:ascii="Arial" w:hAnsi="Arial" w:cs="Arial"/>
          <w:sz w:val="20"/>
        </w:rPr>
        <w:t xml:space="preserve">; </w:t>
      </w:r>
      <w:r w:rsidR="00455707" w:rsidRPr="00455707">
        <w:rPr>
          <w:rFonts w:ascii="Arial" w:hAnsi="Arial" w:cs="Arial"/>
          <w:i/>
          <w:iCs/>
          <w:sz w:val="20"/>
        </w:rPr>
        <w:t>Helmer v The Coroners Court of Victoria</w:t>
      </w:r>
      <w:r w:rsidR="00455707">
        <w:rPr>
          <w:rFonts w:ascii="Arial" w:hAnsi="Arial" w:cs="Arial"/>
          <w:sz w:val="20"/>
        </w:rPr>
        <w:t xml:space="preserve"> [2025] VSC 235 at [108]-[136]</w:t>
      </w:r>
      <w:r w:rsidR="00875262">
        <w:rPr>
          <w:rFonts w:ascii="Arial" w:hAnsi="Arial" w:cs="Arial"/>
          <w:sz w:val="20"/>
        </w:rPr>
        <w:t xml:space="preserve">; </w:t>
      </w:r>
      <w:r w:rsidR="00875262" w:rsidRPr="00875262">
        <w:rPr>
          <w:rFonts w:ascii="Arial" w:hAnsi="Arial" w:cs="Arial"/>
          <w:i/>
          <w:iCs/>
          <w:color w:val="000000"/>
          <w:sz w:val="20"/>
        </w:rPr>
        <w:t>1559 High Street Pty Ltd v Camillo Builders Pty Ltd &amp; Ors</w:t>
      </w:r>
      <w:r w:rsidR="00875262" w:rsidRPr="00875262">
        <w:rPr>
          <w:rFonts w:ascii="Arial" w:hAnsi="Arial" w:cs="Arial"/>
          <w:color w:val="000000"/>
          <w:sz w:val="20"/>
        </w:rPr>
        <w:t xml:space="preserve"> [2025] VSC 244</w:t>
      </w:r>
      <w:r w:rsidR="00875262">
        <w:rPr>
          <w:rFonts w:ascii="Arial" w:hAnsi="Arial" w:cs="Arial"/>
          <w:color w:val="000000"/>
          <w:sz w:val="20"/>
        </w:rPr>
        <w:t xml:space="preserve"> at [157], citing </w:t>
      </w:r>
      <w:r w:rsidR="00875262" w:rsidRPr="00875262">
        <w:rPr>
          <w:rFonts w:ascii="Arial" w:hAnsi="Arial" w:cs="Arial"/>
          <w:i/>
          <w:iCs/>
          <w:color w:val="000000"/>
          <w:sz w:val="20"/>
        </w:rPr>
        <w:t>Kuek v Wade</w:t>
      </w:r>
      <w:r w:rsidR="00875262" w:rsidRPr="00875262">
        <w:rPr>
          <w:rFonts w:ascii="Arial" w:hAnsi="Arial" w:cs="Arial"/>
          <w:color w:val="000000"/>
          <w:sz w:val="20"/>
        </w:rPr>
        <w:t xml:space="preserve"> [2017] VSCA 329</w:t>
      </w:r>
      <w:r w:rsidR="00875262">
        <w:rPr>
          <w:rFonts w:ascii="Arial" w:hAnsi="Arial" w:cs="Arial"/>
          <w:color w:val="000000"/>
          <w:sz w:val="20"/>
        </w:rPr>
        <w:t xml:space="preserve"> at</w:t>
      </w:r>
      <w:r w:rsidR="00875262" w:rsidRPr="00875262">
        <w:rPr>
          <w:rFonts w:ascii="Arial" w:hAnsi="Arial" w:cs="Arial"/>
          <w:color w:val="000000"/>
          <w:sz w:val="20"/>
        </w:rPr>
        <w:t xml:space="preserve"> [63]</w:t>
      </w:r>
      <w:r w:rsidR="00E35F5B">
        <w:rPr>
          <w:rFonts w:ascii="Arial" w:hAnsi="Arial" w:cs="Arial"/>
          <w:color w:val="000000"/>
          <w:sz w:val="20"/>
        </w:rPr>
        <w:t xml:space="preserve">; </w:t>
      </w:r>
      <w:r w:rsidR="00E35F5B" w:rsidRPr="00E35F5B">
        <w:rPr>
          <w:rFonts w:ascii="Arial" w:hAnsi="Arial" w:cs="Arial"/>
          <w:i/>
          <w:iCs/>
          <w:color w:val="000000"/>
          <w:sz w:val="20"/>
        </w:rPr>
        <w:t>Mustum v The King</w:t>
      </w:r>
      <w:r w:rsidR="00E35F5B">
        <w:rPr>
          <w:rFonts w:ascii="Arial" w:hAnsi="Arial" w:cs="Arial"/>
          <w:color w:val="000000"/>
          <w:sz w:val="20"/>
        </w:rPr>
        <w:t xml:space="preserve"> [2025] VSCA 124 at [</w:t>
      </w:r>
      <w:r w:rsidR="00745066">
        <w:rPr>
          <w:rFonts w:ascii="Arial" w:hAnsi="Arial" w:cs="Arial"/>
          <w:color w:val="000000"/>
          <w:sz w:val="20"/>
        </w:rPr>
        <w:t>48</w:t>
      </w:r>
      <w:r w:rsidR="00E35F5B">
        <w:rPr>
          <w:rFonts w:ascii="Arial" w:hAnsi="Arial" w:cs="Arial"/>
          <w:color w:val="000000"/>
          <w:sz w:val="20"/>
        </w:rPr>
        <w:t>]-[</w:t>
      </w:r>
      <w:r w:rsidR="00745066">
        <w:rPr>
          <w:rFonts w:ascii="Arial" w:hAnsi="Arial" w:cs="Arial"/>
          <w:color w:val="000000"/>
          <w:sz w:val="20"/>
        </w:rPr>
        <w:t>56</w:t>
      </w:r>
      <w:r w:rsidR="00E35F5B">
        <w:rPr>
          <w:rFonts w:ascii="Arial" w:hAnsi="Arial" w:cs="Arial"/>
          <w:color w:val="000000"/>
          <w:sz w:val="20"/>
        </w:rPr>
        <w:t>]</w:t>
      </w:r>
      <w:r w:rsidR="00A11D7D">
        <w:rPr>
          <w:rFonts w:ascii="Arial" w:hAnsi="Arial" w:cs="Arial"/>
          <w:color w:val="000000"/>
          <w:sz w:val="20"/>
        </w:rPr>
        <w:t xml:space="preserve">; </w:t>
      </w:r>
      <w:r w:rsidR="00A11D7D" w:rsidRPr="00A11D7D">
        <w:rPr>
          <w:rFonts w:ascii="Arial" w:hAnsi="Arial" w:cs="Arial"/>
          <w:i/>
          <w:iCs/>
          <w:color w:val="000000"/>
          <w:sz w:val="20"/>
        </w:rPr>
        <w:t>Wang &amp; Ors v Duan</w:t>
      </w:r>
      <w:r w:rsidR="00A11D7D" w:rsidRPr="00A11D7D">
        <w:rPr>
          <w:rFonts w:ascii="Arial" w:hAnsi="Arial" w:cs="Arial"/>
          <w:color w:val="000000"/>
          <w:sz w:val="20"/>
        </w:rPr>
        <w:t xml:space="preserve"> [2025] VSC 516</w:t>
      </w:r>
      <w:r w:rsidR="00933E3E">
        <w:rPr>
          <w:rFonts w:ascii="Arial" w:hAnsi="Arial" w:cs="Arial"/>
          <w:color w:val="000000"/>
          <w:sz w:val="20"/>
        </w:rPr>
        <w:t xml:space="preserve">; </w:t>
      </w:r>
      <w:r w:rsidR="00930636" w:rsidRPr="00930636">
        <w:rPr>
          <w:rFonts w:ascii="Arial" w:hAnsi="Arial" w:cs="Arial"/>
          <w:i/>
          <w:iCs/>
          <w:color w:val="000000"/>
          <w:sz w:val="20"/>
        </w:rPr>
        <w:t>Tiba v Transport Accident</w:t>
      </w:r>
      <w:r w:rsidR="00930636">
        <w:rPr>
          <w:rFonts w:ascii="Arial" w:hAnsi="Arial" w:cs="Arial"/>
          <w:color w:val="000000"/>
          <w:sz w:val="20"/>
        </w:rPr>
        <w:t xml:space="preserve"> </w:t>
      </w:r>
      <w:r w:rsidR="00930636" w:rsidRPr="00930636">
        <w:rPr>
          <w:rFonts w:ascii="Arial" w:hAnsi="Arial" w:cs="Arial"/>
          <w:i/>
          <w:iCs/>
          <w:color w:val="000000"/>
          <w:sz w:val="20"/>
          <w:szCs w:val="20"/>
        </w:rPr>
        <w:t>Commission</w:t>
      </w:r>
      <w:r w:rsidR="00930636" w:rsidRPr="00930636">
        <w:rPr>
          <w:rFonts w:ascii="Arial" w:hAnsi="Arial" w:cs="Arial"/>
          <w:color w:val="000000"/>
          <w:sz w:val="20"/>
          <w:szCs w:val="20"/>
        </w:rPr>
        <w:t xml:space="preserve"> [2025] VSCA 236 </w:t>
      </w:r>
      <w:r w:rsidR="00930636">
        <w:rPr>
          <w:rFonts w:ascii="Arial" w:hAnsi="Arial" w:cs="Arial"/>
          <w:color w:val="000000"/>
          <w:sz w:val="20"/>
          <w:szCs w:val="20"/>
        </w:rPr>
        <w:t xml:space="preserve">(summarised in </w:t>
      </w:r>
      <w:r w:rsidR="00930636" w:rsidRPr="00930636">
        <w:rPr>
          <w:rFonts w:ascii="Arial" w:hAnsi="Arial" w:cs="Arial"/>
          <w:b/>
          <w:bCs/>
          <w:color w:val="000000"/>
          <w:sz w:val="20"/>
          <w:szCs w:val="20"/>
          <w:shd w:val="clear" w:color="auto" w:fill="C5E0B3"/>
        </w:rPr>
        <w:t>section 3.5.13</w:t>
      </w:r>
      <w:r w:rsidR="00930636">
        <w:rPr>
          <w:rFonts w:ascii="Arial" w:hAnsi="Arial" w:cs="Arial"/>
          <w:color w:val="000000"/>
          <w:sz w:val="20"/>
          <w:szCs w:val="20"/>
        </w:rPr>
        <w:t xml:space="preserve">); </w:t>
      </w:r>
      <w:r w:rsidR="00933E3E" w:rsidRPr="00933E3E">
        <w:rPr>
          <w:rFonts w:ascii="Arial" w:hAnsi="Arial" w:cs="Arial"/>
          <w:i/>
          <w:iCs/>
          <w:color w:val="000000"/>
          <w:sz w:val="20"/>
        </w:rPr>
        <w:t>Re applications for leave to intervene in the case of Yew Han Lee &amp; Anor v Eng Hock Yap &amp; Ors</w:t>
      </w:r>
      <w:r w:rsidR="00933E3E">
        <w:rPr>
          <w:rFonts w:ascii="Arial" w:hAnsi="Arial" w:cs="Arial"/>
          <w:color w:val="000000"/>
          <w:sz w:val="20"/>
        </w:rPr>
        <w:t xml:space="preserve"> [2025] VSCA 260 at [13]</w:t>
      </w:r>
      <w:r w:rsidR="00515AAE">
        <w:rPr>
          <w:rFonts w:ascii="Arial" w:hAnsi="Arial" w:cs="Arial"/>
          <w:color w:val="000000"/>
          <w:sz w:val="20"/>
        </w:rPr>
        <w:t xml:space="preserve">; </w:t>
      </w:r>
      <w:r w:rsidR="00515AAE" w:rsidRPr="00515AAE">
        <w:rPr>
          <w:rFonts w:ascii="Arial" w:hAnsi="Arial" w:cs="Arial"/>
          <w:i/>
          <w:iCs/>
          <w:color w:val="000000"/>
          <w:sz w:val="20"/>
        </w:rPr>
        <w:t>Badari v Minister for Territory Families and Urban Housing</w:t>
      </w:r>
      <w:r w:rsidR="00515AAE" w:rsidRPr="00515AAE">
        <w:rPr>
          <w:rFonts w:ascii="Arial" w:hAnsi="Arial" w:cs="Arial"/>
          <w:color w:val="000000"/>
          <w:sz w:val="20"/>
        </w:rPr>
        <w:t xml:space="preserve"> [2025] HCA 47</w:t>
      </w:r>
      <w:r w:rsidR="00515AAE">
        <w:rPr>
          <w:rFonts w:ascii="Arial" w:hAnsi="Arial" w:cs="Arial"/>
          <w:color w:val="000000"/>
          <w:sz w:val="20"/>
        </w:rPr>
        <w:t xml:space="preserve"> at [16]-[20] &amp; [35]-[47]</w:t>
      </w:r>
      <w:r w:rsidR="00C36A84">
        <w:rPr>
          <w:rFonts w:ascii="Arial" w:hAnsi="Arial" w:cs="Arial"/>
          <w:color w:val="000000"/>
          <w:sz w:val="20"/>
        </w:rPr>
        <w:t xml:space="preserve">; </w:t>
      </w:r>
      <w:proofErr w:type="spellStart"/>
      <w:r w:rsidR="00C36A84" w:rsidRPr="00C36A84">
        <w:rPr>
          <w:rFonts w:ascii="Arial" w:hAnsi="Arial" w:cs="Arial"/>
          <w:i/>
          <w:iCs/>
          <w:color w:val="000000"/>
          <w:sz w:val="20"/>
        </w:rPr>
        <w:t>Nitsopoulos</w:t>
      </w:r>
      <w:proofErr w:type="spellEnd"/>
      <w:r w:rsidR="00C36A84" w:rsidRPr="00C36A84">
        <w:rPr>
          <w:rFonts w:ascii="Arial" w:hAnsi="Arial" w:cs="Arial"/>
          <w:i/>
          <w:iCs/>
          <w:color w:val="000000"/>
          <w:sz w:val="20"/>
        </w:rPr>
        <w:t xml:space="preserve"> v The King</w:t>
      </w:r>
      <w:r w:rsidR="00C36A84">
        <w:rPr>
          <w:rFonts w:ascii="Arial" w:hAnsi="Arial" w:cs="Arial"/>
          <w:i/>
          <w:iCs/>
          <w:color w:val="000000"/>
          <w:sz w:val="20"/>
        </w:rPr>
        <w:t>;</w:t>
      </w:r>
      <w:r w:rsidR="00C36A84" w:rsidRPr="00C36A84">
        <w:rPr>
          <w:rFonts w:ascii="Arial" w:hAnsi="Arial" w:cs="Arial"/>
          <w:i/>
          <w:iCs/>
          <w:color w:val="000000"/>
          <w:sz w:val="20"/>
        </w:rPr>
        <w:t xml:space="preserve"> </w:t>
      </w:r>
      <w:proofErr w:type="spellStart"/>
      <w:r w:rsidR="00C36A84" w:rsidRPr="00C36A84">
        <w:rPr>
          <w:rFonts w:ascii="Arial" w:hAnsi="Arial" w:cs="Arial"/>
          <w:i/>
          <w:iCs/>
          <w:color w:val="000000"/>
          <w:sz w:val="20"/>
        </w:rPr>
        <w:t>Bojadzievska</w:t>
      </w:r>
      <w:proofErr w:type="spellEnd"/>
      <w:r w:rsidR="00C36A84" w:rsidRPr="00C36A84">
        <w:rPr>
          <w:rFonts w:ascii="Arial" w:hAnsi="Arial" w:cs="Arial"/>
          <w:i/>
          <w:iCs/>
          <w:color w:val="000000"/>
          <w:sz w:val="20"/>
        </w:rPr>
        <w:t xml:space="preserve"> v The King</w:t>
      </w:r>
      <w:r w:rsidR="00C36A84">
        <w:rPr>
          <w:rFonts w:ascii="Arial" w:hAnsi="Arial" w:cs="Arial"/>
          <w:color w:val="000000"/>
          <w:sz w:val="20"/>
        </w:rPr>
        <w:t xml:space="preserve"> [2025] VSCA 312 (summarised in section </w:t>
      </w:r>
      <w:r w:rsidR="00C36A84" w:rsidRPr="00C36A84">
        <w:rPr>
          <w:rFonts w:ascii="Arial" w:hAnsi="Arial" w:cs="Arial"/>
          <w:b/>
          <w:bCs/>
          <w:color w:val="000000"/>
          <w:sz w:val="20"/>
          <w:shd w:val="clear" w:color="auto" w:fill="C5E0B3" w:themeFill="accent6" w:themeFillTint="66"/>
        </w:rPr>
        <w:t>11.2.25</w:t>
      </w:r>
      <w:r w:rsidR="00C36A84">
        <w:rPr>
          <w:rFonts w:ascii="Arial" w:hAnsi="Arial" w:cs="Arial"/>
          <w:color w:val="000000"/>
          <w:sz w:val="20"/>
        </w:rPr>
        <w:t>)</w:t>
      </w:r>
      <w:r w:rsidR="001E4DB8">
        <w:rPr>
          <w:rFonts w:ascii="Arial" w:hAnsi="Arial" w:cs="Arial"/>
          <w:color w:val="000000"/>
          <w:sz w:val="20"/>
        </w:rPr>
        <w:t xml:space="preserve">; </w:t>
      </w:r>
      <w:r w:rsidR="001E4DB8" w:rsidRPr="001E4DB8">
        <w:rPr>
          <w:rFonts w:ascii="Arial" w:hAnsi="Arial" w:cs="Arial"/>
          <w:i/>
          <w:iCs/>
          <w:color w:val="000000"/>
          <w:sz w:val="20"/>
        </w:rPr>
        <w:t xml:space="preserve">Mallard v Homes Victoria </w:t>
      </w:r>
      <w:r w:rsidR="001E4DB8">
        <w:rPr>
          <w:rFonts w:ascii="Arial" w:hAnsi="Arial" w:cs="Arial"/>
          <w:color w:val="000000"/>
          <w:sz w:val="20"/>
        </w:rPr>
        <w:t>[2025] VSCA 339 at [98]-[138]</w:t>
      </w:r>
      <w:r w:rsidR="0066798A">
        <w:rPr>
          <w:rFonts w:ascii="Arial" w:hAnsi="Arial" w:cs="Arial"/>
          <w:color w:val="000000"/>
          <w:sz w:val="20"/>
        </w:rPr>
        <w:t xml:space="preserve">; </w:t>
      </w:r>
      <w:r w:rsidR="0066798A" w:rsidRPr="0066798A">
        <w:rPr>
          <w:rFonts w:ascii="Arial" w:hAnsi="Arial" w:cs="Arial"/>
          <w:i/>
          <w:iCs/>
          <w:sz w:val="20"/>
        </w:rPr>
        <w:t>Harris v Racing Victoria</w:t>
      </w:r>
      <w:r w:rsidR="0066798A" w:rsidRPr="0066798A">
        <w:rPr>
          <w:rFonts w:ascii="Arial" w:hAnsi="Arial" w:cs="Arial"/>
          <w:sz w:val="20"/>
        </w:rPr>
        <w:t xml:space="preserve"> [2026] VSC 38</w:t>
      </w:r>
      <w:r w:rsidR="0066798A">
        <w:rPr>
          <w:rFonts w:ascii="Arial" w:hAnsi="Arial" w:cs="Arial"/>
          <w:sz w:val="20"/>
        </w:rPr>
        <w:t xml:space="preserve"> at [53]-[76]</w:t>
      </w:r>
      <w:r w:rsidR="00903339">
        <w:rPr>
          <w:rFonts w:ascii="Arial" w:hAnsi="Arial" w:cs="Arial"/>
          <w:sz w:val="20"/>
        </w:rPr>
        <w:t xml:space="preserve">; </w:t>
      </w:r>
      <w:r w:rsidR="00903339" w:rsidRPr="00903339">
        <w:rPr>
          <w:rFonts w:ascii="Arial" w:hAnsi="Arial" w:cs="Arial"/>
          <w:i/>
          <w:iCs/>
          <w:sz w:val="20"/>
        </w:rPr>
        <w:t>TCXM v Minister for Immigration and Citizenship</w:t>
      </w:r>
      <w:r w:rsidR="00903339" w:rsidRPr="00903339">
        <w:rPr>
          <w:rFonts w:ascii="Arial" w:hAnsi="Arial" w:cs="Arial"/>
          <w:sz w:val="20"/>
        </w:rPr>
        <w:t xml:space="preserve"> [2026] HCA 13</w:t>
      </w:r>
      <w:r w:rsidR="002B5340">
        <w:rPr>
          <w:rFonts w:ascii="Arial" w:hAnsi="Arial" w:cs="Arial"/>
          <w:sz w:val="20"/>
        </w:rPr>
        <w:t xml:space="preserve">; </w:t>
      </w:r>
      <w:r w:rsidR="002B5340" w:rsidRPr="002B5340">
        <w:rPr>
          <w:rFonts w:ascii="Arial" w:hAnsi="Arial" w:cs="Arial"/>
          <w:i/>
          <w:iCs/>
          <w:sz w:val="20"/>
        </w:rPr>
        <w:t>McLindon v Minister for Local Government</w:t>
      </w:r>
      <w:r w:rsidR="002B5340">
        <w:rPr>
          <w:rFonts w:ascii="Arial" w:hAnsi="Arial" w:cs="Arial"/>
          <w:sz w:val="20"/>
        </w:rPr>
        <w:t xml:space="preserve"> [2026] VSC 355 at [77]-[84], [100] &amp; [113]-123]</w:t>
      </w:r>
      <w:r w:rsidR="00BD2623">
        <w:rPr>
          <w:rFonts w:ascii="Arial" w:hAnsi="Arial" w:cs="Arial"/>
          <w:sz w:val="20"/>
        </w:rPr>
        <w:t xml:space="preserve">; </w:t>
      </w:r>
      <w:r w:rsidR="00BD2623" w:rsidRPr="00BD2623">
        <w:rPr>
          <w:rFonts w:ascii="Arial" w:hAnsi="Arial" w:cs="Arial"/>
          <w:i/>
          <w:iCs/>
          <w:sz w:val="20"/>
        </w:rPr>
        <w:t>1559 High Street Pty Ltd v Camillo Builders Pty Ltd</w:t>
      </w:r>
      <w:r w:rsidR="00BD2623" w:rsidRPr="00BD2623">
        <w:rPr>
          <w:rFonts w:ascii="Arial" w:hAnsi="Arial" w:cs="Arial"/>
          <w:sz w:val="20"/>
        </w:rPr>
        <w:t xml:space="preserve"> [2026] VSCA 129</w:t>
      </w:r>
      <w:r w:rsidR="00BD2623">
        <w:rPr>
          <w:rFonts w:ascii="Arial" w:hAnsi="Arial" w:cs="Arial"/>
          <w:sz w:val="20"/>
        </w:rPr>
        <w:t xml:space="preserve"> at [144]-[147].</w:t>
      </w:r>
    </w:p>
    <w:p w14:paraId="6F491DC3" w14:textId="77777777" w:rsidR="00903339" w:rsidRDefault="00903339" w:rsidP="0066798A">
      <w:pPr>
        <w:tabs>
          <w:tab w:val="left" w:pos="1440"/>
        </w:tabs>
        <w:jc w:val="both"/>
        <w:rPr>
          <w:rFonts w:ascii="Arial" w:hAnsi="Arial" w:cs="Arial"/>
          <w:sz w:val="20"/>
        </w:rPr>
      </w:pPr>
    </w:p>
    <w:p w14:paraId="29CDB5C9" w14:textId="77777777" w:rsidR="00E558A4" w:rsidRPr="00BD3BA0" w:rsidRDefault="00E558A4" w:rsidP="00E558A4">
      <w:pPr>
        <w:jc w:val="center"/>
        <w:rPr>
          <w:rFonts w:ascii="Arial" w:hAnsi="Arial" w:cs="Arial"/>
          <w:b/>
          <w:bCs/>
          <w:sz w:val="22"/>
          <w:szCs w:val="28"/>
        </w:rPr>
      </w:pPr>
      <w:r w:rsidRPr="00BD3BA0">
        <w:rPr>
          <w:rFonts w:ascii="Arial" w:hAnsi="Arial" w:cs="Arial"/>
          <w:b/>
          <w:bCs/>
          <w:sz w:val="22"/>
          <w:szCs w:val="28"/>
        </w:rPr>
        <w:t>THE REST OF THIS PAGE IS BLANK</w:t>
      </w:r>
    </w:p>
    <w:p w14:paraId="53C3B476" w14:textId="77777777" w:rsidR="00E558A4" w:rsidRDefault="00E558A4" w:rsidP="00E558A4">
      <w:pPr>
        <w:rPr>
          <w:rFonts w:ascii="Arial" w:hAnsi="Arial" w:cs="Arial"/>
          <w:sz w:val="20"/>
        </w:rPr>
      </w:pPr>
    </w:p>
    <w:p w14:paraId="15EF07E8" w14:textId="77777777" w:rsidR="00E558A4" w:rsidRDefault="00E558A4" w:rsidP="00E558A4">
      <w:pPr>
        <w:rPr>
          <w:rFonts w:ascii="Arial" w:hAnsi="Arial" w:cs="Arial"/>
          <w:b/>
          <w:bCs/>
          <w:kern w:val="28"/>
          <w:szCs w:val="20"/>
          <w:lang w:val="en-GB"/>
        </w:rPr>
      </w:pPr>
      <w:r>
        <w:rPr>
          <w:rFonts w:ascii="Arial" w:hAnsi="Arial" w:cs="Arial"/>
          <w:b/>
          <w:bCs/>
        </w:rPr>
        <w:br w:type="page"/>
      </w:r>
    </w:p>
    <w:p w14:paraId="24CCA23E" w14:textId="5022CCC9" w:rsidR="001C057A" w:rsidRPr="00312136" w:rsidRDefault="001C057A" w:rsidP="001C057A">
      <w:pPr>
        <w:pStyle w:val="Heading3"/>
        <w:keepNext/>
        <w:keepLines/>
        <w:spacing w:after="120" w:line="240" w:lineRule="auto"/>
        <w:rPr>
          <w:rFonts w:ascii="Arial" w:hAnsi="Arial" w:cs="Arial"/>
          <w:b/>
          <w:bCs/>
          <w:sz w:val="20"/>
        </w:rPr>
      </w:pPr>
      <w:bookmarkStart w:id="111" w:name="_3.1.2_Actual_or"/>
      <w:bookmarkEnd w:id="111"/>
      <w:r>
        <w:rPr>
          <w:rFonts w:ascii="Arial" w:hAnsi="Arial" w:cs="Arial"/>
          <w:b/>
          <w:bCs/>
          <w:sz w:val="20"/>
        </w:rPr>
        <w:lastRenderedPageBreak/>
        <w:t>3.1.2</w:t>
      </w:r>
      <w:r>
        <w:rPr>
          <w:rFonts w:ascii="Arial" w:hAnsi="Arial" w:cs="Arial"/>
          <w:b/>
          <w:bCs/>
          <w:sz w:val="20"/>
        </w:rPr>
        <w:tab/>
      </w:r>
      <w:r w:rsidR="00843C81">
        <w:rPr>
          <w:rFonts w:ascii="Arial" w:hAnsi="Arial" w:cs="Arial"/>
          <w:b/>
          <w:bCs/>
          <w:sz w:val="20"/>
        </w:rPr>
        <w:t>Actual or apprehended judicial bias</w:t>
      </w:r>
    </w:p>
    <w:p w14:paraId="45BF73D3" w14:textId="71147381" w:rsidR="00B21DA4" w:rsidRDefault="00087ADD" w:rsidP="00552774">
      <w:pPr>
        <w:keepNext/>
        <w:keepLines/>
        <w:jc w:val="both"/>
        <w:rPr>
          <w:rFonts w:ascii="Arial" w:hAnsi="Arial" w:cs="Arial"/>
          <w:sz w:val="20"/>
        </w:rPr>
      </w:pPr>
      <w:r>
        <w:rPr>
          <w:rFonts w:ascii="Arial" w:hAnsi="Arial" w:cs="Arial"/>
          <w:sz w:val="20"/>
        </w:rPr>
        <w:t>In determining cases j</w:t>
      </w:r>
      <w:r w:rsidR="00B21DA4">
        <w:rPr>
          <w:rFonts w:ascii="Arial" w:hAnsi="Arial" w:cs="Arial"/>
          <w:sz w:val="20"/>
        </w:rPr>
        <w:t xml:space="preserve">udges and magistrates must </w:t>
      </w:r>
      <w:r>
        <w:rPr>
          <w:rFonts w:ascii="Arial" w:hAnsi="Arial" w:cs="Arial"/>
          <w:sz w:val="20"/>
        </w:rPr>
        <w:t>also act</w:t>
      </w:r>
      <w:r w:rsidR="00B21DA4">
        <w:rPr>
          <w:rFonts w:ascii="Arial" w:hAnsi="Arial" w:cs="Arial"/>
          <w:sz w:val="20"/>
        </w:rPr>
        <w:t xml:space="preserve"> impartial</w:t>
      </w:r>
      <w:r>
        <w:rPr>
          <w:rFonts w:ascii="Arial" w:hAnsi="Arial" w:cs="Arial"/>
          <w:sz w:val="20"/>
        </w:rPr>
        <w:t>l</w:t>
      </w:r>
      <w:r w:rsidR="00B21DA4">
        <w:rPr>
          <w:rFonts w:ascii="Arial" w:hAnsi="Arial" w:cs="Arial"/>
          <w:sz w:val="20"/>
        </w:rPr>
        <w:t>y and, although it happens</w:t>
      </w:r>
      <w:r w:rsidR="003E58CE">
        <w:rPr>
          <w:rFonts w:ascii="Arial" w:hAnsi="Arial" w:cs="Arial"/>
          <w:sz w:val="20"/>
        </w:rPr>
        <w:t xml:space="preserve"> only infrequently</w:t>
      </w:r>
      <w:r w:rsidR="00B21DA4">
        <w:rPr>
          <w:rFonts w:ascii="Arial" w:hAnsi="Arial" w:cs="Arial"/>
          <w:sz w:val="20"/>
        </w:rPr>
        <w:t xml:space="preserve">, a party can request that </w:t>
      </w:r>
      <w:r w:rsidR="00B21DA4" w:rsidRPr="003E58CE">
        <w:rPr>
          <w:rFonts w:ascii="Arial" w:hAnsi="Arial" w:cs="Arial"/>
          <w:b/>
          <w:bCs/>
          <w:sz w:val="20"/>
        </w:rPr>
        <w:t>a judicial officer disqualify himself or herself from hearing a matter on the ground of actual bias or a reasonable apprehension of bias</w:t>
      </w:r>
      <w:r w:rsidR="00B21DA4">
        <w:rPr>
          <w:rFonts w:ascii="Arial" w:hAnsi="Arial" w:cs="Arial"/>
          <w:sz w:val="20"/>
        </w:rPr>
        <w:t>.  The Guide to Judicial Conduct published for the Council of Chief Justices of Australia in 2002 states the guiding principles to be [at p.8]:</w:t>
      </w:r>
    </w:p>
    <w:p w14:paraId="5CCB40EA" w14:textId="77777777" w:rsidR="00B21DA4" w:rsidRDefault="00B21DA4" w:rsidP="007417A5">
      <w:pPr>
        <w:keepNext/>
        <w:keepLines/>
        <w:numPr>
          <w:ilvl w:val="0"/>
          <w:numId w:val="12"/>
        </w:numPr>
        <w:ind w:left="357" w:hanging="357"/>
        <w:jc w:val="both"/>
        <w:rPr>
          <w:rFonts w:ascii="Arial" w:hAnsi="Arial" w:cs="Arial"/>
          <w:i/>
          <w:iCs/>
          <w:sz w:val="20"/>
        </w:rPr>
      </w:pPr>
      <w:r>
        <w:rPr>
          <w:rFonts w:ascii="Arial" w:hAnsi="Arial" w:cs="Arial"/>
          <w:i/>
          <w:iCs/>
          <w:sz w:val="20"/>
        </w:rPr>
        <w:t>"Whether an appearance of bias or a possible conflict of interest is sufficient to disqualify a judicial officer from hearing a case is to be judged by the perception of a reasonable well-informed observer.  Disqualification on trivial grounds creates an unnecessary burden on colleagues, parties and their legal advisers;</w:t>
      </w:r>
    </w:p>
    <w:p w14:paraId="7C8633FC" w14:textId="77777777" w:rsidR="00B21DA4" w:rsidRDefault="00B21DA4" w:rsidP="00212E38">
      <w:pPr>
        <w:numPr>
          <w:ilvl w:val="0"/>
          <w:numId w:val="12"/>
        </w:numPr>
        <w:ind w:left="357" w:hanging="357"/>
        <w:jc w:val="both"/>
        <w:rPr>
          <w:rFonts w:ascii="Arial" w:hAnsi="Arial" w:cs="Arial"/>
          <w:i/>
          <w:iCs/>
          <w:sz w:val="20"/>
        </w:rPr>
      </w:pPr>
      <w:r>
        <w:rPr>
          <w:rFonts w:ascii="Arial" w:hAnsi="Arial" w:cs="Arial"/>
          <w:i/>
          <w:iCs/>
          <w:sz w:val="20"/>
        </w:rPr>
        <w:t>The parties should always be informed by the judicial officer of facts which might reasonably give rise to a perception of bias or conflict of interest but the judicial officer must himself or herself make the decision whether it is appropriate to sit."</w:t>
      </w:r>
    </w:p>
    <w:p w14:paraId="438548BA" w14:textId="4BC9B5C0" w:rsidR="001E2974" w:rsidRDefault="001E2974">
      <w:pPr>
        <w:jc w:val="both"/>
        <w:rPr>
          <w:rFonts w:ascii="Arial" w:hAnsi="Arial" w:cs="Arial"/>
          <w:sz w:val="20"/>
        </w:rPr>
      </w:pPr>
    </w:p>
    <w:p w14:paraId="664A0A66" w14:textId="77777777" w:rsidR="00DE3F8C" w:rsidRDefault="00DE3F8C" w:rsidP="00DE3F8C">
      <w:pPr>
        <w:jc w:val="both"/>
        <w:rPr>
          <w:rFonts w:ascii="Arial" w:hAnsi="Arial" w:cs="Arial"/>
          <w:color w:val="000000"/>
          <w:sz w:val="20"/>
        </w:rPr>
      </w:pPr>
      <w:r>
        <w:rPr>
          <w:rFonts w:ascii="Arial" w:hAnsi="Arial" w:cs="Arial"/>
          <w:color w:val="000000"/>
          <w:sz w:val="20"/>
        </w:rPr>
        <w:t xml:space="preserve">In </w:t>
      </w:r>
      <w:r w:rsidRPr="00A91C91">
        <w:rPr>
          <w:rFonts w:ascii="Arial" w:hAnsi="Arial" w:cs="Arial"/>
          <w:i/>
          <w:iCs/>
          <w:color w:val="000000"/>
          <w:sz w:val="20"/>
        </w:rPr>
        <w:t>Davies v The Queen</w:t>
      </w:r>
      <w:r>
        <w:rPr>
          <w:rFonts w:ascii="Arial" w:hAnsi="Arial" w:cs="Arial"/>
          <w:color w:val="000000"/>
          <w:sz w:val="20"/>
        </w:rPr>
        <w:t xml:space="preserve"> [2019] VSCA 66 – cited with approval in </w:t>
      </w:r>
      <w:r w:rsidRPr="003C4CF1">
        <w:rPr>
          <w:rFonts w:ascii="Arial" w:hAnsi="Arial" w:cs="Arial"/>
          <w:i/>
          <w:iCs/>
          <w:color w:val="000000"/>
          <w:sz w:val="20"/>
        </w:rPr>
        <w:t>Ross v Commonwealth of Australia</w:t>
      </w:r>
      <w:r>
        <w:rPr>
          <w:rFonts w:ascii="Arial" w:hAnsi="Arial" w:cs="Arial"/>
          <w:color w:val="000000"/>
          <w:sz w:val="20"/>
        </w:rPr>
        <w:t xml:space="preserve"> [2022] VSC 457 at [6] – the Court of Appeal (Kaye, McLeish &amp; T Forrest JJA) said at [523]:</w:t>
      </w:r>
    </w:p>
    <w:p w14:paraId="417DE6FC" w14:textId="77777777" w:rsidR="00DE3F8C" w:rsidRDefault="00DE3F8C" w:rsidP="00DE3F8C">
      <w:pPr>
        <w:spacing w:before="60"/>
        <w:ind w:left="454" w:right="454"/>
        <w:jc w:val="both"/>
        <w:rPr>
          <w:rFonts w:ascii="Arial" w:hAnsi="Arial" w:cs="Arial"/>
          <w:sz w:val="20"/>
        </w:rPr>
      </w:pPr>
      <w:r>
        <w:rPr>
          <w:rFonts w:ascii="Arial" w:hAnsi="Arial" w:cs="Arial"/>
          <w:sz w:val="20"/>
        </w:rPr>
        <w:t>“</w:t>
      </w:r>
      <w:r w:rsidRPr="00A91C91">
        <w:rPr>
          <w:rFonts w:ascii="Arial" w:hAnsi="Arial" w:cs="Arial"/>
          <w:sz w:val="20"/>
          <w:szCs w:val="20"/>
        </w:rPr>
        <w:t>The principles concerning bias applications are well established and have received recent consideration by this Court, other intermediate appellate courts and the High Court.  It is sufficient to set these principles out in summary form:</w:t>
      </w:r>
    </w:p>
    <w:p w14:paraId="16133C06"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judge must not sit on a case where he or she is biased (actual bias) or might reasonably be perceived to be biased (apprehended bias): </w:t>
      </w:r>
      <w:r w:rsidRPr="003C4CF1">
        <w:rPr>
          <w:rFonts w:ascii="Arial" w:eastAsia="Book Antiqua" w:hAnsi="Arial" w:cs="Arial"/>
          <w:i/>
          <w:sz w:val="20"/>
        </w:rPr>
        <w:t>Livesey v NSW Bar Association</w:t>
      </w:r>
      <w:r w:rsidRPr="003C4CF1">
        <w:rPr>
          <w:rFonts w:ascii="Arial" w:hAnsi="Arial" w:cs="Arial"/>
          <w:sz w:val="20"/>
        </w:rPr>
        <w:t xml:space="preserve"> (1983) 131 CLR 288; </w:t>
      </w:r>
      <w:r w:rsidRPr="003C4CF1">
        <w:rPr>
          <w:rFonts w:ascii="Arial" w:eastAsia="Book Antiqua" w:hAnsi="Arial" w:cs="Arial"/>
          <w:i/>
          <w:sz w:val="20"/>
        </w:rPr>
        <w:t xml:space="preserve">Ebner v Official Trustee in Bankruptcy </w:t>
      </w:r>
      <w:r w:rsidRPr="003C4CF1">
        <w:rPr>
          <w:rFonts w:ascii="Arial" w:hAnsi="Arial" w:cs="Arial"/>
          <w:sz w:val="20"/>
        </w:rPr>
        <w:t>(2000) 205 CLR 337 (‘</w:t>
      </w:r>
      <w:r w:rsidRPr="003C4CF1">
        <w:rPr>
          <w:rFonts w:ascii="Arial" w:eastAsia="Book Antiqua" w:hAnsi="Arial" w:cs="Arial"/>
          <w:i/>
          <w:sz w:val="20"/>
        </w:rPr>
        <w:t>Ebner</w:t>
      </w:r>
      <w:r w:rsidRPr="003C4CF1">
        <w:rPr>
          <w:rFonts w:ascii="Arial" w:hAnsi="Arial" w:cs="Arial"/>
          <w:sz w:val="20"/>
        </w:rPr>
        <w:t xml:space="preserve">’); </w:t>
      </w:r>
      <w:r w:rsidRPr="003C4CF1">
        <w:rPr>
          <w:rFonts w:ascii="Arial" w:eastAsia="Book Antiqua" w:hAnsi="Arial" w:cs="Arial"/>
          <w:i/>
          <w:sz w:val="20"/>
        </w:rPr>
        <w:t>Johnson v Johnson</w:t>
      </w:r>
      <w:r w:rsidRPr="003C4CF1">
        <w:rPr>
          <w:rFonts w:ascii="Arial" w:hAnsi="Arial" w:cs="Arial"/>
          <w:sz w:val="20"/>
        </w:rPr>
        <w:t xml:space="preserve"> (2000) 201 CLR 488.</w:t>
      </w:r>
    </w:p>
    <w:p w14:paraId="7AF269EC"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test for apprehended bias is whether a hypothetical fair minded lay observer might reasonably apprehend that the judge might not bring an impartial mind to the resolution of the question that the judge is required to decide: </w:t>
      </w:r>
      <w:r w:rsidRPr="003C4CF1">
        <w:rPr>
          <w:rFonts w:ascii="Arial" w:eastAsia="Book Antiqua" w:hAnsi="Arial" w:cs="Arial"/>
          <w:i/>
          <w:sz w:val="20"/>
        </w:rPr>
        <w:t xml:space="preserve">Ebner </w:t>
      </w:r>
      <w:r w:rsidRPr="003C4CF1">
        <w:rPr>
          <w:rFonts w:ascii="Arial" w:hAnsi="Arial" w:cs="Arial"/>
          <w:sz w:val="20"/>
        </w:rPr>
        <w:t>(2000) 205 CLR 337.</w:t>
      </w:r>
    </w:p>
    <w:p w14:paraId="40D68855"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judge will only be disqualified for actual bias if a party establishes that a judge is so committed to an outcome that he or she will not alter that outcome, regardless of the evidence and/or arguments presented: </w:t>
      </w:r>
      <w:r w:rsidRPr="003C4CF1">
        <w:rPr>
          <w:rFonts w:ascii="Arial" w:eastAsia="Book Antiqua" w:hAnsi="Arial" w:cs="Arial"/>
          <w:i/>
          <w:sz w:val="20"/>
        </w:rPr>
        <w:t>Minister for Immigration and Multicultural Affairs v Jia Legeng</w:t>
      </w:r>
      <w:r w:rsidRPr="003C4CF1">
        <w:rPr>
          <w:rFonts w:ascii="Arial" w:hAnsi="Arial" w:cs="Arial"/>
          <w:sz w:val="20"/>
        </w:rPr>
        <w:t xml:space="preserve"> (2001) 205 CLR 507 (‘</w:t>
      </w:r>
      <w:r w:rsidRPr="003C4CF1">
        <w:rPr>
          <w:rFonts w:ascii="Arial" w:eastAsia="Book Antiqua" w:hAnsi="Arial" w:cs="Arial"/>
          <w:i/>
          <w:sz w:val="20"/>
        </w:rPr>
        <w:t>Legeng</w:t>
      </w:r>
      <w:r w:rsidRPr="003C4CF1">
        <w:rPr>
          <w:rFonts w:ascii="Arial" w:hAnsi="Arial" w:cs="Arial"/>
          <w:sz w:val="20"/>
        </w:rPr>
        <w:t>’).</w:t>
      </w:r>
    </w:p>
    <w:p w14:paraId="0138F9A1"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principles for actual and apprehended bias still apply to a judge in a criminal jury trial.  Even though a judge in a criminal jury trial is not responsible for determining questions of fact, he or she is still required to make evidentiary decisions, may subtly influence the jury and must determine sentence in the event of a guilty verdict or verdicts: </w:t>
      </w:r>
      <w:r w:rsidRPr="003C4CF1">
        <w:rPr>
          <w:rFonts w:ascii="Arial" w:eastAsia="Book Antiqua" w:hAnsi="Arial" w:cs="Arial"/>
          <w:i/>
          <w:sz w:val="20"/>
        </w:rPr>
        <w:t>Rozenes v Kelly</w:t>
      </w:r>
      <w:r w:rsidRPr="003C4CF1">
        <w:rPr>
          <w:rFonts w:ascii="Arial" w:hAnsi="Arial" w:cs="Arial"/>
          <w:sz w:val="20"/>
        </w:rPr>
        <w:t xml:space="preserve"> [1996] 1 VR 320; </w:t>
      </w:r>
      <w:r w:rsidRPr="003C4CF1">
        <w:rPr>
          <w:rFonts w:ascii="Arial" w:eastAsia="Book Antiqua" w:hAnsi="Arial" w:cs="Arial"/>
          <w:i/>
          <w:sz w:val="20"/>
        </w:rPr>
        <w:t>R v Branko Balic</w:t>
      </w:r>
      <w:r w:rsidRPr="003C4CF1">
        <w:rPr>
          <w:rFonts w:ascii="Arial" w:hAnsi="Arial" w:cs="Arial"/>
          <w:sz w:val="20"/>
        </w:rPr>
        <w:t xml:space="preserve"> </w:t>
      </w:r>
      <w:r w:rsidRPr="003C4CF1">
        <w:rPr>
          <w:rFonts w:ascii="Arial" w:eastAsia="Book Antiqua" w:hAnsi="Arial" w:cs="Arial"/>
          <w:i/>
          <w:sz w:val="20"/>
        </w:rPr>
        <w:t>(No 2)</w:t>
      </w:r>
      <w:r w:rsidRPr="003C4CF1">
        <w:rPr>
          <w:rFonts w:ascii="Arial" w:hAnsi="Arial" w:cs="Arial"/>
          <w:sz w:val="20"/>
        </w:rPr>
        <w:t xml:space="preserve"> (1994) 75 A Crim R 52; </w:t>
      </w:r>
      <w:r w:rsidRPr="003C4CF1">
        <w:rPr>
          <w:rFonts w:ascii="Arial" w:eastAsia="Book Antiqua" w:hAnsi="Arial" w:cs="Arial"/>
          <w:i/>
          <w:sz w:val="20"/>
        </w:rPr>
        <w:t xml:space="preserve">R v Goussis </w:t>
      </w:r>
      <w:r w:rsidRPr="003C4CF1">
        <w:rPr>
          <w:rFonts w:ascii="Arial" w:hAnsi="Arial" w:cs="Arial"/>
          <w:sz w:val="20"/>
        </w:rPr>
        <w:t>[2007] VSC 171.</w:t>
      </w:r>
    </w:p>
    <w:p w14:paraId="01CD3350"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party making a recusal application must identify the cause of an appearance of bias and demonstrate the logical connection between the cause and the appearance of partiality.  A bare assertion that a judge has an interest in the outcome of a case is not sufficient: </w:t>
      </w:r>
      <w:r w:rsidRPr="003C4CF1">
        <w:rPr>
          <w:rFonts w:ascii="Arial" w:eastAsia="Book Antiqua" w:hAnsi="Arial" w:cs="Arial"/>
          <w:i/>
          <w:sz w:val="20"/>
        </w:rPr>
        <w:t xml:space="preserve">Ebner </w:t>
      </w:r>
      <w:r w:rsidRPr="003C4CF1">
        <w:rPr>
          <w:rFonts w:ascii="Arial" w:hAnsi="Arial" w:cs="Arial"/>
          <w:sz w:val="20"/>
        </w:rPr>
        <w:t>(2000) 205 CLR 337.</w:t>
      </w:r>
    </w:p>
    <w:p w14:paraId="383642C8"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apprehension of bias must be reasonable and not fanciful or unreasonable: </w:t>
      </w:r>
      <w:r w:rsidRPr="003C4CF1">
        <w:rPr>
          <w:rFonts w:ascii="Arial" w:eastAsia="Book Antiqua" w:hAnsi="Arial" w:cs="Arial"/>
          <w:i/>
          <w:sz w:val="20"/>
        </w:rPr>
        <w:t>Guscor v Ellicott</w:t>
      </w:r>
      <w:r w:rsidRPr="003C4CF1">
        <w:rPr>
          <w:rFonts w:ascii="Arial" w:hAnsi="Arial" w:cs="Arial"/>
          <w:sz w:val="20"/>
        </w:rPr>
        <w:t xml:space="preserve"> [1997] 1 VR 332.</w:t>
      </w:r>
    </w:p>
    <w:p w14:paraId="14ACB2E8"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While a hypothetical lay observer does not have a detailed understanding of the law, he or she has basic knowledge of the judicial process and the issues to be determined: </w:t>
      </w:r>
      <w:r w:rsidRPr="003C4CF1">
        <w:rPr>
          <w:rFonts w:ascii="Arial" w:eastAsia="Book Antiqua" w:hAnsi="Arial" w:cs="Arial"/>
          <w:i/>
          <w:sz w:val="20"/>
        </w:rPr>
        <w:t>Roner v ANZ Banking Group</w:t>
      </w:r>
      <w:r w:rsidRPr="003C4CF1">
        <w:rPr>
          <w:rFonts w:ascii="Arial" w:hAnsi="Arial" w:cs="Arial"/>
          <w:sz w:val="20"/>
        </w:rPr>
        <w:t xml:space="preserve"> (2000) 2 VR 531.</w:t>
      </w:r>
    </w:p>
    <w:p w14:paraId="40583B02"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hypothetical lay observer does not know the personality of the judge, but knows that the person is a judge who has been trained to discount irrelevant, prejudicial or immaterial matters: </w:t>
      </w:r>
      <w:r w:rsidRPr="003C4CF1">
        <w:rPr>
          <w:rFonts w:ascii="Arial" w:eastAsia="Book Antiqua" w:hAnsi="Arial" w:cs="Arial"/>
          <w:i/>
          <w:sz w:val="20"/>
        </w:rPr>
        <w:t>Honda Australia Motorcycle v Johnstone</w:t>
      </w:r>
      <w:r w:rsidRPr="003C4CF1">
        <w:rPr>
          <w:rFonts w:ascii="Arial" w:hAnsi="Arial" w:cs="Arial"/>
          <w:sz w:val="20"/>
        </w:rPr>
        <w:t xml:space="preserve"> (2005) VSC 387.</w:t>
      </w:r>
    </w:p>
    <w:p w14:paraId="13DC9592"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hypothetical lay observer has a broad knowledge of the material facts of the case and the circumstances that led to the trial.  The lay observer also knows that the judge does not rely on inaccurate or incomplete information, or rely solely on the facts known to one of the parties: </w:t>
      </w:r>
      <w:r w:rsidRPr="003C4CF1">
        <w:rPr>
          <w:rFonts w:ascii="Arial" w:eastAsia="Book Antiqua" w:hAnsi="Arial" w:cs="Arial"/>
          <w:i/>
          <w:sz w:val="20"/>
        </w:rPr>
        <w:t>Laws v Australian Broadcasting Tribunal</w:t>
      </w:r>
      <w:r w:rsidRPr="003C4CF1">
        <w:rPr>
          <w:rFonts w:ascii="Arial" w:hAnsi="Arial" w:cs="Arial"/>
          <w:sz w:val="20"/>
        </w:rPr>
        <w:t xml:space="preserve"> (1990) 170 CLR 70 (‘</w:t>
      </w:r>
      <w:r w:rsidRPr="003C4CF1">
        <w:rPr>
          <w:rFonts w:ascii="Arial" w:eastAsia="Book Antiqua" w:hAnsi="Arial" w:cs="Arial"/>
          <w:i/>
          <w:sz w:val="20"/>
        </w:rPr>
        <w:t>Laws</w:t>
      </w:r>
      <w:r w:rsidRPr="003C4CF1">
        <w:rPr>
          <w:rFonts w:ascii="Arial" w:hAnsi="Arial" w:cs="Arial"/>
          <w:sz w:val="20"/>
        </w:rPr>
        <w:t xml:space="preserve">’); </w:t>
      </w:r>
      <w:r w:rsidRPr="003C4CF1">
        <w:rPr>
          <w:rFonts w:ascii="Arial" w:eastAsia="Book Antiqua" w:hAnsi="Arial" w:cs="Arial"/>
          <w:i/>
          <w:sz w:val="20"/>
        </w:rPr>
        <w:t xml:space="preserve">Victoria v Psaila </w:t>
      </w:r>
      <w:r w:rsidRPr="003C4CF1">
        <w:rPr>
          <w:rFonts w:ascii="Arial" w:hAnsi="Arial" w:cs="Arial"/>
          <w:sz w:val="20"/>
        </w:rPr>
        <w:t>[1999] VSCA 193 (‘</w:t>
      </w:r>
      <w:r w:rsidRPr="003C4CF1">
        <w:rPr>
          <w:rFonts w:ascii="Arial" w:eastAsia="Book Antiqua" w:hAnsi="Arial" w:cs="Arial"/>
          <w:i/>
          <w:sz w:val="20"/>
        </w:rPr>
        <w:t>Psaila</w:t>
      </w:r>
      <w:r w:rsidRPr="003C4CF1">
        <w:rPr>
          <w:rFonts w:ascii="Arial" w:hAnsi="Arial" w:cs="Arial"/>
          <w:sz w:val="20"/>
        </w:rPr>
        <w:t>’).</w:t>
      </w:r>
    </w:p>
    <w:p w14:paraId="1062AD5A"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judge’s bad temper or mere lack of niceties is not sufficient to establish apprehended bias: </w:t>
      </w:r>
      <w:r w:rsidRPr="003C4CF1">
        <w:rPr>
          <w:rFonts w:ascii="Arial" w:eastAsia="Book Antiqua" w:hAnsi="Arial" w:cs="Arial"/>
          <w:i/>
          <w:sz w:val="20"/>
        </w:rPr>
        <w:t>Galea v Galea</w:t>
      </w:r>
      <w:r w:rsidRPr="003C4CF1">
        <w:rPr>
          <w:rFonts w:ascii="Arial" w:hAnsi="Arial" w:cs="Arial"/>
          <w:sz w:val="20"/>
        </w:rPr>
        <w:t xml:space="preserve"> (1990) 19 NSWLR 263; </w:t>
      </w:r>
      <w:r w:rsidRPr="003C4CF1">
        <w:rPr>
          <w:rFonts w:ascii="Arial" w:eastAsia="Book Antiqua" w:hAnsi="Arial" w:cs="Arial"/>
          <w:i/>
          <w:sz w:val="20"/>
        </w:rPr>
        <w:t>Psaila</w:t>
      </w:r>
      <w:r w:rsidRPr="003C4CF1">
        <w:rPr>
          <w:rFonts w:ascii="Arial" w:hAnsi="Arial" w:cs="Arial"/>
          <w:sz w:val="20"/>
        </w:rPr>
        <w:t xml:space="preserve"> [1999] VSCA 193.</w:t>
      </w:r>
    </w:p>
    <w:p w14:paraId="34A108B9"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A91C91">
        <w:rPr>
          <w:rFonts w:ascii="Arial" w:hAnsi="Arial" w:cs="Arial"/>
          <w:sz w:val="20"/>
        </w:rPr>
        <w:t>A short and emotional exchange will not necessarily demonstrate that a judge is incapable of behaving impartially.  However, prolonged or intense animosity towards a party, even if the animosity is not always apparent, may amount to actual or apprehended bias</w:t>
      </w:r>
      <w:r>
        <w:rPr>
          <w:rFonts w:ascii="Arial" w:hAnsi="Arial" w:cs="Arial"/>
          <w:sz w:val="20"/>
        </w:rPr>
        <w:t xml:space="preserve">: </w:t>
      </w:r>
      <w:r w:rsidRPr="003C4CF1">
        <w:rPr>
          <w:rFonts w:ascii="Arial" w:hAnsi="Arial" w:cs="Arial"/>
          <w:i/>
          <w:iCs/>
          <w:sz w:val="20"/>
        </w:rPr>
        <w:t>Ibid.</w:t>
      </w:r>
    </w:p>
    <w:p w14:paraId="20D86F6F" w14:textId="77777777" w:rsidR="00DE3F8C" w:rsidRPr="00551BE8" w:rsidRDefault="00DE3F8C">
      <w:pPr>
        <w:pStyle w:val="ListParagraph"/>
        <w:numPr>
          <w:ilvl w:val="0"/>
          <w:numId w:val="91"/>
        </w:numPr>
        <w:spacing w:before="60"/>
        <w:ind w:left="811" w:right="454" w:hanging="357"/>
        <w:jc w:val="both"/>
        <w:rPr>
          <w:rFonts w:ascii="Arial" w:hAnsi="Arial" w:cs="Arial"/>
          <w:sz w:val="20"/>
        </w:rPr>
      </w:pPr>
      <w:r w:rsidRPr="00551BE8">
        <w:rPr>
          <w:rFonts w:ascii="Arial" w:hAnsi="Arial" w:cs="Arial"/>
          <w:sz w:val="20"/>
        </w:rPr>
        <w:lastRenderedPageBreak/>
        <w:t xml:space="preserve">A judge may express a tentative view about an issue without creating an apprehension of bias: </w:t>
      </w:r>
      <w:r w:rsidRPr="00551BE8">
        <w:rPr>
          <w:rFonts w:ascii="Arial" w:eastAsia="Book Antiqua" w:hAnsi="Arial" w:cs="Arial"/>
          <w:i/>
          <w:sz w:val="20"/>
        </w:rPr>
        <w:t xml:space="preserve">Laws </w:t>
      </w:r>
      <w:r w:rsidRPr="00551BE8">
        <w:rPr>
          <w:rFonts w:ascii="Arial" w:hAnsi="Arial" w:cs="Arial"/>
          <w:sz w:val="20"/>
        </w:rPr>
        <w:t>(1990) 170 CLR 70;</w:t>
      </w:r>
      <w:r w:rsidRPr="00551BE8">
        <w:rPr>
          <w:rFonts w:ascii="Arial" w:eastAsia="Book Antiqua" w:hAnsi="Arial" w:cs="Arial"/>
          <w:i/>
          <w:sz w:val="20"/>
        </w:rPr>
        <w:t xml:space="preserve"> Legeng</w:t>
      </w:r>
      <w:r w:rsidRPr="00551BE8">
        <w:rPr>
          <w:rFonts w:ascii="Arial" w:hAnsi="Arial" w:cs="Arial"/>
          <w:sz w:val="20"/>
        </w:rPr>
        <w:t xml:space="preserve"> (2001) 205 CLR 507; </w:t>
      </w:r>
      <w:r w:rsidRPr="00551BE8">
        <w:rPr>
          <w:rFonts w:ascii="Arial" w:eastAsia="Book Antiqua" w:hAnsi="Arial" w:cs="Arial"/>
          <w:i/>
          <w:sz w:val="20"/>
        </w:rPr>
        <w:t>R v Commonwealth Conciliation and Arbitration Commission; Ex parte Angliss Group</w:t>
      </w:r>
      <w:r w:rsidRPr="00551BE8">
        <w:rPr>
          <w:rFonts w:ascii="Arial" w:hAnsi="Arial" w:cs="Arial"/>
          <w:sz w:val="20"/>
        </w:rPr>
        <w:t xml:space="preserve"> (1969) 122 CLR 546.”</w:t>
      </w:r>
    </w:p>
    <w:p w14:paraId="5790BA5B" w14:textId="77777777" w:rsidR="00DE3F8C" w:rsidRDefault="00DE3F8C">
      <w:pPr>
        <w:jc w:val="both"/>
        <w:rPr>
          <w:rFonts w:ascii="Arial" w:hAnsi="Arial" w:cs="Arial"/>
          <w:sz w:val="20"/>
        </w:rPr>
      </w:pPr>
    </w:p>
    <w:p w14:paraId="6B43DCE9" w14:textId="77777777" w:rsidR="00B21DA4" w:rsidRDefault="00B21DA4" w:rsidP="005B2551">
      <w:pPr>
        <w:jc w:val="both"/>
        <w:rPr>
          <w:rFonts w:ascii="Arial" w:hAnsi="Arial" w:cs="Arial"/>
          <w:sz w:val="20"/>
        </w:rPr>
      </w:pPr>
      <w:r>
        <w:rPr>
          <w:rFonts w:ascii="Arial" w:hAnsi="Arial" w:cs="Arial"/>
          <w:sz w:val="20"/>
        </w:rPr>
        <w:t>Some examples where disqualification might be appropriate include cases where the judicial officer:</w:t>
      </w:r>
    </w:p>
    <w:p w14:paraId="257ED294" w14:textId="77777777" w:rsidR="00B21DA4" w:rsidRDefault="00B21DA4" w:rsidP="005B2551">
      <w:pPr>
        <w:numPr>
          <w:ilvl w:val="0"/>
          <w:numId w:val="13"/>
        </w:numPr>
        <w:ind w:left="420" w:hanging="420"/>
        <w:jc w:val="both"/>
        <w:rPr>
          <w:rFonts w:ascii="Arial" w:hAnsi="Arial" w:cs="Arial"/>
          <w:sz w:val="20"/>
        </w:rPr>
      </w:pPr>
      <w:r>
        <w:rPr>
          <w:rFonts w:ascii="Arial" w:hAnsi="Arial" w:cs="Arial"/>
          <w:sz w:val="20"/>
        </w:rPr>
        <w:t>was related to or had significant personal knowledge of one of the parties or a witness;</w:t>
      </w:r>
    </w:p>
    <w:p w14:paraId="0D613C07" w14:textId="77777777" w:rsidR="00E43C2E" w:rsidRDefault="00E43C2E" w:rsidP="00CF0C70">
      <w:pPr>
        <w:numPr>
          <w:ilvl w:val="0"/>
          <w:numId w:val="13"/>
        </w:numPr>
        <w:ind w:left="420" w:hanging="420"/>
        <w:jc w:val="both"/>
        <w:rPr>
          <w:rFonts w:ascii="Arial" w:hAnsi="Arial" w:cs="Arial"/>
          <w:sz w:val="20"/>
        </w:rPr>
      </w:pPr>
      <w:r>
        <w:rPr>
          <w:rFonts w:ascii="Arial" w:hAnsi="Arial" w:cs="Arial"/>
          <w:sz w:val="20"/>
        </w:rPr>
        <w:t>had a direct or significant indirect interest in the outcome of the litigation (eg. if a corporation was a party and the judicial officer was a shareholder);</w:t>
      </w:r>
    </w:p>
    <w:p w14:paraId="66489E39" w14:textId="77777777" w:rsidR="00E43C2E" w:rsidRDefault="00E43C2E" w:rsidP="00CF0C70">
      <w:pPr>
        <w:numPr>
          <w:ilvl w:val="0"/>
          <w:numId w:val="13"/>
        </w:numPr>
        <w:ind w:left="420" w:hanging="420"/>
        <w:jc w:val="both"/>
        <w:rPr>
          <w:rFonts w:ascii="Arial" w:hAnsi="Arial" w:cs="Arial"/>
          <w:sz w:val="20"/>
        </w:rPr>
      </w:pPr>
      <w:r>
        <w:rPr>
          <w:rFonts w:ascii="Arial" w:hAnsi="Arial" w:cs="Arial"/>
          <w:sz w:val="20"/>
        </w:rPr>
        <w:t>had strongly expressed pre-conceived views about a relevant issue; or</w:t>
      </w:r>
    </w:p>
    <w:p w14:paraId="0AEAEE11" w14:textId="77777777" w:rsidR="00E43C2E" w:rsidRDefault="00E43C2E" w:rsidP="00212E38">
      <w:pPr>
        <w:numPr>
          <w:ilvl w:val="0"/>
          <w:numId w:val="13"/>
        </w:numPr>
        <w:ind w:left="420" w:hanging="420"/>
        <w:jc w:val="both"/>
        <w:rPr>
          <w:rFonts w:ascii="Arial" w:hAnsi="Arial" w:cs="Arial"/>
          <w:sz w:val="20"/>
        </w:rPr>
      </w:pPr>
      <w:r>
        <w:rPr>
          <w:rFonts w:ascii="Arial" w:hAnsi="Arial" w:cs="Arial"/>
          <w:sz w:val="20"/>
        </w:rPr>
        <w:t>intervened in the course of the proceedings in an unwarranted and excessive manner or appeared to be taking sides.</w:t>
      </w:r>
    </w:p>
    <w:p w14:paraId="71BBB13A" w14:textId="77777777" w:rsidR="001E2974" w:rsidRDefault="001E2974" w:rsidP="00B8366E">
      <w:pPr>
        <w:jc w:val="both"/>
        <w:rPr>
          <w:rFonts w:ascii="Arial" w:hAnsi="Arial" w:cs="Arial"/>
          <w:sz w:val="20"/>
        </w:rPr>
      </w:pPr>
    </w:p>
    <w:p w14:paraId="488B00F8" w14:textId="5F747718" w:rsidR="002304A5" w:rsidRPr="00BD5912" w:rsidRDefault="002304A5" w:rsidP="002304A5">
      <w:pPr>
        <w:tabs>
          <w:tab w:val="right" w:pos="7830"/>
        </w:tabs>
        <w:ind w:right="17"/>
        <w:jc w:val="both"/>
        <w:rPr>
          <w:rFonts w:ascii="Arial" w:hAnsi="Arial" w:cs="Arial"/>
          <w:i/>
          <w:iCs/>
          <w:sz w:val="20"/>
          <w:szCs w:val="20"/>
        </w:rPr>
      </w:pPr>
      <w:r>
        <w:rPr>
          <w:rFonts w:ascii="Arial" w:hAnsi="Arial" w:cs="Arial"/>
          <w:sz w:val="20"/>
          <w:szCs w:val="20"/>
        </w:rPr>
        <w:t xml:space="preserve">However, the expression of tentative views during the course of a case does not necessarily amount to bias. </w:t>
      </w:r>
      <w:r w:rsidRPr="00BD5912">
        <w:rPr>
          <w:rFonts w:ascii="Arial" w:hAnsi="Arial" w:cs="Arial"/>
          <w:sz w:val="20"/>
          <w:szCs w:val="20"/>
        </w:rPr>
        <w:t>In</w:t>
      </w:r>
      <w:r w:rsidR="005B2551">
        <w:rPr>
          <w:rFonts w:ascii="Arial" w:hAnsi="Arial" w:cs="Arial"/>
          <w:sz w:val="20"/>
          <w:szCs w:val="20"/>
        </w:rPr>
        <w:t xml:space="preserve"> </w:t>
      </w:r>
      <w:r w:rsidRPr="00BD5912">
        <w:rPr>
          <w:rFonts w:ascii="Arial" w:hAnsi="Arial" w:cs="Arial"/>
          <w:i/>
          <w:iCs/>
          <w:sz w:val="20"/>
          <w:szCs w:val="20"/>
        </w:rPr>
        <w:t>Concrete Pty Limited v Parramatta Design &amp; Developments Pty Ltd</w:t>
      </w:r>
      <w:r>
        <w:rPr>
          <w:rFonts w:ascii="Arial" w:hAnsi="Arial" w:cs="Arial"/>
          <w:i/>
          <w:iCs/>
          <w:sz w:val="20"/>
          <w:szCs w:val="20"/>
        </w:rPr>
        <w:t xml:space="preserve"> </w:t>
      </w:r>
      <w:r w:rsidRPr="00BD5912">
        <w:rPr>
          <w:rFonts w:ascii="Arial" w:hAnsi="Arial" w:cs="Arial"/>
          <w:iCs/>
          <w:sz w:val="20"/>
          <w:szCs w:val="20"/>
        </w:rPr>
        <w:t>[2006] HCA 55</w:t>
      </w:r>
      <w:r>
        <w:rPr>
          <w:rFonts w:ascii="Arial" w:hAnsi="Arial" w:cs="Arial"/>
          <w:i/>
          <w:iCs/>
          <w:sz w:val="20"/>
          <w:szCs w:val="20"/>
        </w:rPr>
        <w:t xml:space="preserve"> </w:t>
      </w:r>
      <w:r w:rsidRPr="00BD5912">
        <w:rPr>
          <w:rFonts w:ascii="Arial" w:hAnsi="Arial" w:cs="Arial"/>
          <w:iCs/>
          <w:sz w:val="20"/>
          <w:szCs w:val="20"/>
        </w:rPr>
        <w:t xml:space="preserve">the Full Court of the </w:t>
      </w:r>
      <w:r>
        <w:rPr>
          <w:rFonts w:ascii="Arial" w:hAnsi="Arial" w:cs="Arial"/>
          <w:iCs/>
          <w:sz w:val="20"/>
          <w:szCs w:val="20"/>
        </w:rPr>
        <w:t>F</w:t>
      </w:r>
      <w:r w:rsidRPr="00BD5912">
        <w:rPr>
          <w:rFonts w:ascii="Arial" w:hAnsi="Arial" w:cs="Arial"/>
          <w:iCs/>
          <w:sz w:val="20"/>
          <w:szCs w:val="20"/>
        </w:rPr>
        <w:t xml:space="preserve">ederal Court had </w:t>
      </w:r>
      <w:r>
        <w:rPr>
          <w:rFonts w:ascii="Arial" w:hAnsi="Arial" w:cs="Arial"/>
          <w:iCs/>
          <w:sz w:val="20"/>
          <w:szCs w:val="20"/>
        </w:rPr>
        <w:t>allowed an appeal from the decision of the primary judge on the grounds that in his conduct of the case the primary judge had demonstrated apparent bias.  The High Court restored the judgment.  At [112] Kirby &amp; Crennan JJ said:</w:t>
      </w:r>
    </w:p>
    <w:p w14:paraId="17B11086" w14:textId="77777777" w:rsidR="002304A5" w:rsidRDefault="002304A5" w:rsidP="0049196B">
      <w:pPr>
        <w:spacing w:before="60"/>
        <w:ind w:left="454" w:right="454"/>
        <w:jc w:val="both"/>
        <w:rPr>
          <w:rFonts w:ascii="Arial" w:hAnsi="Arial" w:cs="Arial"/>
          <w:sz w:val="20"/>
        </w:rPr>
      </w:pPr>
      <w:r>
        <w:rPr>
          <w:rFonts w:ascii="Arial" w:hAnsi="Arial" w:cs="Arial"/>
          <w:iCs/>
          <w:sz w:val="20"/>
        </w:rPr>
        <w:t xml:space="preserve">“Sometimes </w:t>
      </w:r>
      <w:r w:rsidRPr="00BD5912">
        <w:rPr>
          <w:rFonts w:ascii="Arial" w:hAnsi="Arial" w:cs="Arial"/>
          <w:sz w:val="20"/>
        </w:rPr>
        <w:t>judicial interventions and observations can exceed what is a proper and reasonable expression of tentative views.  Whether that has happened is a matter of judgment taking into account all of the circumstances of the case</w:t>
      </w:r>
      <w:r>
        <w:rPr>
          <w:rFonts w:ascii="Arial" w:hAnsi="Arial" w:cs="Arial"/>
          <w:sz w:val="20"/>
        </w:rPr>
        <w:t xml:space="preserve">: </w:t>
      </w:r>
      <w:r w:rsidRPr="00BD5912">
        <w:rPr>
          <w:rFonts w:ascii="Arial" w:hAnsi="Arial" w:cs="Arial"/>
          <w:i/>
          <w:sz w:val="20"/>
        </w:rPr>
        <w:t>Antoun v The Queen</w:t>
      </w:r>
      <w:r>
        <w:rPr>
          <w:rFonts w:ascii="Arial" w:hAnsi="Arial" w:cs="Arial"/>
          <w:sz w:val="20"/>
        </w:rPr>
        <w:t xml:space="preserve"> (2006) 80 ALJR 497 at 502 [22] per Gleeson CJ, 503-504 [27]-[30] per Kirby J, 508-509 [56]-[57] per Hayne J, 517 [81] per Callinan J.</w:t>
      </w:r>
      <w:r w:rsidRPr="00BD5912">
        <w:rPr>
          <w:rFonts w:ascii="Arial" w:hAnsi="Arial" w:cs="Arial"/>
          <w:sz w:val="20"/>
        </w:rPr>
        <w:t xml:space="preserve">  However, one thing that is clear is that the expression of tentative views during the course of argument as to matters on which the parties are permitted to make full submissions does not manifest partiality or bias</w:t>
      </w:r>
      <w:r>
        <w:rPr>
          <w:rFonts w:ascii="Arial" w:hAnsi="Arial" w:cs="Arial"/>
          <w:sz w:val="20"/>
        </w:rPr>
        <w:t xml:space="preserve">: </w:t>
      </w:r>
      <w:r w:rsidRPr="00BD5912">
        <w:rPr>
          <w:rFonts w:ascii="Arial" w:hAnsi="Arial" w:cs="Arial"/>
          <w:i/>
          <w:sz w:val="20"/>
        </w:rPr>
        <w:t>Bienstein v Bienstein</w:t>
      </w:r>
      <w:r>
        <w:rPr>
          <w:rFonts w:ascii="Arial" w:hAnsi="Arial" w:cs="Arial"/>
          <w:sz w:val="20"/>
        </w:rPr>
        <w:t xml:space="preserve"> (2003) 195 ALR 225 at 232 [34] per McHugh, Kirby &amp; Callinan JJ.”</w:t>
      </w:r>
    </w:p>
    <w:p w14:paraId="7ED3A3C4" w14:textId="77777777" w:rsidR="002304A5" w:rsidRPr="00BD5912" w:rsidRDefault="002304A5" w:rsidP="008268C5">
      <w:pPr>
        <w:tabs>
          <w:tab w:val="right" w:pos="7830"/>
        </w:tabs>
        <w:spacing w:before="60"/>
        <w:ind w:right="17"/>
        <w:jc w:val="both"/>
        <w:rPr>
          <w:rFonts w:ascii="Arial" w:hAnsi="Arial" w:cs="Arial"/>
          <w:iCs/>
          <w:sz w:val="20"/>
          <w:szCs w:val="20"/>
        </w:rPr>
      </w:pPr>
      <w:r w:rsidRPr="00BD5912">
        <w:rPr>
          <w:rFonts w:ascii="Arial" w:hAnsi="Arial" w:cs="Arial"/>
          <w:iCs/>
          <w:sz w:val="20"/>
          <w:szCs w:val="20"/>
        </w:rPr>
        <w:t>At [180] Callinan J said:</w:t>
      </w:r>
    </w:p>
    <w:p w14:paraId="183E9429" w14:textId="77777777" w:rsidR="002304A5" w:rsidRDefault="002304A5" w:rsidP="0049196B">
      <w:pPr>
        <w:spacing w:before="60"/>
        <w:ind w:left="454" w:right="454"/>
        <w:jc w:val="both"/>
        <w:rPr>
          <w:rFonts w:ascii="Arial" w:hAnsi="Arial" w:cs="Arial"/>
          <w:sz w:val="20"/>
        </w:rPr>
      </w:pPr>
      <w:r>
        <w:rPr>
          <w:rFonts w:ascii="Arial" w:hAnsi="Arial" w:cs="Arial"/>
          <w:sz w:val="20"/>
        </w:rPr>
        <w:t>“</w:t>
      </w:r>
      <w:r w:rsidRPr="00BD5912">
        <w:rPr>
          <w:rFonts w:ascii="Arial" w:hAnsi="Arial" w:cs="Arial"/>
          <w:sz w:val="20"/>
        </w:rPr>
        <w:t>Taken cumulatively, his Honour's interventions and reasons for judgment do not give rise to an apprehension of bias.  Critical, strong and candid they may have been, but excessively so they were not.  To some extent they may be taken to be expressions of exasperation, unfortunately so perhaps, but as a matter of degree, still falling short of apparent bias.</w:t>
      </w:r>
      <w:r>
        <w:rPr>
          <w:rFonts w:ascii="Arial" w:hAnsi="Arial" w:cs="Arial"/>
          <w:sz w:val="20"/>
        </w:rPr>
        <w:t>”</w:t>
      </w:r>
    </w:p>
    <w:p w14:paraId="33C6A969" w14:textId="77777777" w:rsidR="005646C2" w:rsidRPr="00073E18" w:rsidRDefault="005646C2" w:rsidP="005646C2">
      <w:pPr>
        <w:rPr>
          <w:rFonts w:ascii="Arial" w:hAnsi="Arial" w:cs="Arial"/>
          <w:sz w:val="20"/>
          <w:szCs w:val="20"/>
        </w:rPr>
      </w:pPr>
    </w:p>
    <w:p w14:paraId="4A6D8686" w14:textId="051424E0" w:rsidR="00073E18" w:rsidRDefault="00073E18" w:rsidP="00073E18">
      <w:pPr>
        <w:jc w:val="both"/>
        <w:rPr>
          <w:rFonts w:ascii="Arial" w:hAnsi="Arial" w:cs="Arial"/>
          <w:sz w:val="20"/>
          <w:szCs w:val="20"/>
        </w:rPr>
      </w:pPr>
      <w:r>
        <w:rPr>
          <w:rFonts w:ascii="Arial" w:hAnsi="Arial" w:cs="Arial"/>
          <w:sz w:val="20"/>
          <w:szCs w:val="20"/>
        </w:rPr>
        <w:t xml:space="preserve">In </w:t>
      </w:r>
      <w:r w:rsidRPr="00073E18">
        <w:rPr>
          <w:rFonts w:ascii="Arial" w:hAnsi="Arial" w:cs="Arial"/>
          <w:i/>
          <w:iCs/>
          <w:sz w:val="20"/>
          <w:szCs w:val="20"/>
        </w:rPr>
        <w:t>Lamont v The Royal Women’s Hospital &amp; Anor (No 1)</w:t>
      </w:r>
      <w:r w:rsidRPr="00073E18">
        <w:rPr>
          <w:rFonts w:ascii="Arial" w:hAnsi="Arial" w:cs="Arial"/>
          <w:sz w:val="20"/>
          <w:szCs w:val="20"/>
        </w:rPr>
        <w:t xml:space="preserve"> [2026] VSC 310</w:t>
      </w:r>
      <w:r>
        <w:rPr>
          <w:rFonts w:ascii="Arial" w:hAnsi="Arial" w:cs="Arial"/>
          <w:sz w:val="20"/>
          <w:szCs w:val="20"/>
        </w:rPr>
        <w:t xml:space="preserve"> – in dismissing an application that she recuse herself on the grounds of apprehended bias</w:t>
      </w:r>
      <w:r w:rsidR="000925E0">
        <w:rPr>
          <w:rFonts w:ascii="Arial" w:hAnsi="Arial" w:cs="Arial"/>
          <w:sz w:val="20"/>
          <w:szCs w:val="20"/>
        </w:rPr>
        <w:t xml:space="preserve"> – </w:t>
      </w:r>
      <w:r>
        <w:rPr>
          <w:rFonts w:ascii="Arial" w:hAnsi="Arial" w:cs="Arial"/>
          <w:sz w:val="20"/>
          <w:szCs w:val="20"/>
        </w:rPr>
        <w:t>K Judd J:</w:t>
      </w:r>
    </w:p>
    <w:p w14:paraId="6A463A22" w14:textId="1CCAEDCA" w:rsidR="00073E18" w:rsidRPr="000925E0" w:rsidRDefault="00073E18" w:rsidP="00073E18">
      <w:pPr>
        <w:pStyle w:val="ListParagraph"/>
        <w:numPr>
          <w:ilvl w:val="0"/>
          <w:numId w:val="142"/>
        </w:numPr>
        <w:ind w:left="357" w:hanging="357"/>
        <w:jc w:val="both"/>
        <w:rPr>
          <w:rFonts w:ascii="Arial" w:hAnsi="Arial" w:cs="Arial"/>
          <w:sz w:val="20"/>
        </w:rPr>
      </w:pPr>
      <w:r>
        <w:rPr>
          <w:rFonts w:ascii="Arial" w:hAnsi="Arial" w:cs="Arial"/>
          <w:sz w:val="20"/>
        </w:rPr>
        <w:t xml:space="preserve">at [6] </w:t>
      </w:r>
      <w:r w:rsidR="000925E0">
        <w:rPr>
          <w:rFonts w:ascii="Arial" w:hAnsi="Arial" w:cs="Arial"/>
          <w:sz w:val="20"/>
        </w:rPr>
        <w:t xml:space="preserve">referred with approval to </w:t>
      </w:r>
      <w:r>
        <w:rPr>
          <w:rFonts w:ascii="Arial" w:hAnsi="Arial" w:cs="Arial"/>
          <w:sz w:val="20"/>
        </w:rPr>
        <w:t xml:space="preserve">the aforementioned dicta of </w:t>
      </w:r>
      <w:r w:rsidR="000925E0">
        <w:rPr>
          <w:rFonts w:ascii="Arial" w:hAnsi="Arial" w:cs="Arial"/>
          <w:sz w:val="20"/>
        </w:rPr>
        <w:t xml:space="preserve">the Court of Appeal in </w:t>
      </w:r>
      <w:r w:rsidR="000925E0" w:rsidRPr="00A91C91">
        <w:rPr>
          <w:rFonts w:ascii="Arial" w:hAnsi="Arial" w:cs="Arial"/>
          <w:i/>
          <w:iCs/>
          <w:color w:val="000000"/>
          <w:sz w:val="20"/>
        </w:rPr>
        <w:t>Davies v The Queen</w:t>
      </w:r>
      <w:r w:rsidR="000925E0">
        <w:rPr>
          <w:rFonts w:ascii="Arial" w:hAnsi="Arial" w:cs="Arial"/>
          <w:color w:val="000000"/>
          <w:sz w:val="20"/>
        </w:rPr>
        <w:t xml:space="preserve"> [2019] VSCA 66 at [523] detailing </w:t>
      </w:r>
      <w:r w:rsidR="000925E0" w:rsidRPr="00A91C91">
        <w:rPr>
          <w:rFonts w:ascii="Arial" w:hAnsi="Arial" w:cs="Arial"/>
          <w:sz w:val="20"/>
        </w:rPr>
        <w:t>principles concerning bias applications</w:t>
      </w:r>
      <w:r w:rsidR="000925E0">
        <w:rPr>
          <w:rFonts w:ascii="Arial" w:hAnsi="Arial" w:cs="Arial"/>
          <w:color w:val="000000"/>
          <w:sz w:val="20"/>
        </w:rPr>
        <w:t xml:space="preserve">; and </w:t>
      </w:r>
    </w:p>
    <w:p w14:paraId="650B0953" w14:textId="0D4F0708" w:rsidR="000925E0" w:rsidRPr="000925E0" w:rsidRDefault="000925E0" w:rsidP="004E412C">
      <w:pPr>
        <w:pStyle w:val="ListParagraph"/>
        <w:numPr>
          <w:ilvl w:val="0"/>
          <w:numId w:val="142"/>
        </w:numPr>
        <w:ind w:left="357" w:hanging="357"/>
        <w:jc w:val="both"/>
        <w:rPr>
          <w:rFonts w:ascii="Arial" w:hAnsi="Arial" w:cs="Arial"/>
          <w:sz w:val="20"/>
        </w:rPr>
      </w:pPr>
      <w:r w:rsidRPr="000925E0">
        <w:rPr>
          <w:rFonts w:ascii="Arial" w:hAnsi="Arial" w:cs="Arial"/>
          <w:color w:val="000000"/>
          <w:sz w:val="20"/>
        </w:rPr>
        <w:t xml:space="preserve">at [8] described the following dicta of Wilcox J in </w:t>
      </w:r>
      <w:r w:rsidRPr="000925E0">
        <w:rPr>
          <w:rFonts w:ascii="Arial" w:hAnsi="Arial" w:cs="Arial"/>
          <w:i/>
          <w:iCs/>
          <w:sz w:val="20"/>
        </w:rPr>
        <w:t>Richmond River Broadcasters Pty Ltd v Australian Broadcasting Tribunal</w:t>
      </w:r>
      <w:r w:rsidRPr="000925E0">
        <w:rPr>
          <w:rFonts w:ascii="Arial" w:hAnsi="Arial" w:cs="Arial"/>
          <w:sz w:val="20"/>
        </w:rPr>
        <w:t xml:space="preserve"> (1992) 34 FCR 385 </w:t>
      </w:r>
      <w:r>
        <w:rPr>
          <w:rFonts w:ascii="Arial" w:hAnsi="Arial" w:cs="Arial"/>
          <w:sz w:val="20"/>
        </w:rPr>
        <w:t>at 395 as “particularly relevant”:</w:t>
      </w:r>
    </w:p>
    <w:p w14:paraId="490A3C9F" w14:textId="21FA6C9A" w:rsidR="000925E0" w:rsidRDefault="005B2551" w:rsidP="000925E0">
      <w:pPr>
        <w:spacing w:before="60"/>
        <w:ind w:left="811" w:right="454"/>
        <w:jc w:val="both"/>
        <w:rPr>
          <w:rFonts w:ascii="Arial" w:hAnsi="Arial" w:cs="Arial"/>
          <w:sz w:val="18"/>
          <w:szCs w:val="18"/>
        </w:rPr>
      </w:pPr>
      <w:r>
        <w:rPr>
          <w:rFonts w:ascii="Arial" w:hAnsi="Arial" w:cs="Arial"/>
          <w:sz w:val="18"/>
          <w:szCs w:val="18"/>
        </w:rPr>
        <w:t>“</w:t>
      </w:r>
      <w:r w:rsidR="000925E0">
        <w:rPr>
          <w:rFonts w:ascii="Arial" w:hAnsi="Arial" w:cs="Arial"/>
          <w:sz w:val="18"/>
          <w:szCs w:val="18"/>
        </w:rPr>
        <w:t xml:space="preserve">… </w:t>
      </w:r>
      <w:r w:rsidR="000925E0" w:rsidRPr="000925E0">
        <w:rPr>
          <w:rFonts w:ascii="Arial" w:hAnsi="Arial" w:cs="Arial"/>
          <w:sz w:val="18"/>
          <w:szCs w:val="18"/>
        </w:rPr>
        <w:t xml:space="preserve">It is an everyday event for judges to indicate to counsel, during the course of a hearing, their impressions of a case, including their impressions of witnesses and of the facts. They do so to assist counsel. It is always an advantage for counsel to know the way in which the judge's mind is working; submissions may be targeted to the aspect of the case which is troubling the judge. Where a judge takes this </w:t>
      </w:r>
      <w:proofErr w:type="gramStart"/>
      <w:r w:rsidR="000925E0" w:rsidRPr="000925E0">
        <w:rPr>
          <w:rFonts w:ascii="Arial" w:hAnsi="Arial" w:cs="Arial"/>
          <w:sz w:val="18"/>
          <w:szCs w:val="18"/>
        </w:rPr>
        <w:t>course</w:t>
      </w:r>
      <w:proofErr w:type="gramEnd"/>
      <w:r w:rsidR="000925E0" w:rsidRPr="000925E0">
        <w:rPr>
          <w:rFonts w:ascii="Arial" w:hAnsi="Arial" w:cs="Arial"/>
          <w:sz w:val="18"/>
          <w:szCs w:val="18"/>
        </w:rPr>
        <w:t xml:space="preserve"> nobody would suggest that the judge ought then to be disqualified from concluding the case. The reason is that the judge is merely expressing a tentative view and inviting a response which he or she may take into account in determining whether to adhere to, or abandon, that view in the final decision. The readiness to listen and be persuaded is the critical matter.</w:t>
      </w:r>
    </w:p>
    <w:p w14:paraId="6A53149B" w14:textId="4E5C4EB6" w:rsidR="00073E18" w:rsidRDefault="000925E0" w:rsidP="005B2551">
      <w:pPr>
        <w:spacing w:before="60" w:after="60"/>
        <w:ind w:left="811" w:right="454"/>
        <w:jc w:val="both"/>
        <w:rPr>
          <w:rFonts w:ascii="Arial" w:hAnsi="Arial" w:cs="Arial"/>
          <w:sz w:val="20"/>
          <w:szCs w:val="20"/>
        </w:rPr>
      </w:pPr>
      <w:r w:rsidRPr="000925E0">
        <w:rPr>
          <w:rFonts w:ascii="Arial" w:hAnsi="Arial" w:cs="Arial"/>
          <w:sz w:val="18"/>
          <w:szCs w:val="18"/>
        </w:rPr>
        <w:t>… As with the case of a judge, what is critical is that, until the issue is finally decided, any view which is expressed be merely a preliminary view, with a clear invitation to the parties to respond critically to it, and that the decisionmaker be genuinely wiling [</w:t>
      </w:r>
      <w:r w:rsidRPr="000925E0">
        <w:rPr>
          <w:rFonts w:ascii="Arial" w:hAnsi="Arial" w:cs="Arial"/>
          <w:i/>
          <w:iCs/>
          <w:sz w:val="18"/>
          <w:szCs w:val="18"/>
        </w:rPr>
        <w:t>sic</w:t>
      </w:r>
      <w:r w:rsidRPr="000925E0">
        <w:rPr>
          <w:rFonts w:ascii="Arial" w:hAnsi="Arial" w:cs="Arial"/>
          <w:sz w:val="18"/>
          <w:szCs w:val="18"/>
        </w:rPr>
        <w:t>] to consider on their merits any responses which might be made. I do not believe that a person who takes this course would be regarded by an objective observer as unable to bring an impartial and unprejudiced mind to the issues to be resolved. On the contrary, such a decision-maker would be seen as conscientiously grappling with those issues, in a way designed to extract maximum assistance from the parties</w:t>
      </w:r>
      <w:r>
        <w:rPr>
          <w:rFonts w:ascii="Arial" w:hAnsi="Arial" w:cs="Arial"/>
          <w:sz w:val="18"/>
          <w:szCs w:val="18"/>
        </w:rPr>
        <w:t>.</w:t>
      </w:r>
      <w:r w:rsidR="005B2551">
        <w:rPr>
          <w:rFonts w:ascii="Arial" w:hAnsi="Arial" w:cs="Arial"/>
          <w:sz w:val="18"/>
          <w:szCs w:val="18"/>
        </w:rPr>
        <w:t>”</w:t>
      </w:r>
    </w:p>
    <w:p w14:paraId="2EA38032" w14:textId="72142B2D" w:rsidR="005B2551" w:rsidRDefault="005B2551" w:rsidP="005B2551">
      <w:pPr>
        <w:pStyle w:val="ListParagraph"/>
        <w:numPr>
          <w:ilvl w:val="0"/>
          <w:numId w:val="142"/>
        </w:numPr>
        <w:ind w:left="357" w:hanging="357"/>
        <w:jc w:val="both"/>
        <w:rPr>
          <w:rFonts w:ascii="Arial" w:hAnsi="Arial" w:cs="Arial"/>
          <w:sz w:val="20"/>
        </w:rPr>
      </w:pPr>
      <w:r>
        <w:rPr>
          <w:rFonts w:ascii="Arial" w:hAnsi="Arial" w:cs="Arial"/>
          <w:sz w:val="20"/>
        </w:rPr>
        <w:t>at [39] said:</w:t>
      </w:r>
    </w:p>
    <w:p w14:paraId="5990FC15" w14:textId="33AA673B" w:rsidR="005B2551" w:rsidRDefault="005B2551" w:rsidP="005B2551">
      <w:pPr>
        <w:spacing w:before="60"/>
        <w:ind w:left="811" w:right="454"/>
        <w:jc w:val="both"/>
        <w:rPr>
          <w:rFonts w:ascii="Arial" w:hAnsi="Arial" w:cs="Arial"/>
          <w:sz w:val="18"/>
          <w:szCs w:val="18"/>
        </w:rPr>
      </w:pPr>
      <w:r>
        <w:rPr>
          <w:rFonts w:ascii="Arial" w:hAnsi="Arial" w:cs="Arial"/>
          <w:sz w:val="20"/>
        </w:rPr>
        <w:t>“</w:t>
      </w:r>
      <w:r w:rsidRPr="005B2551">
        <w:rPr>
          <w:rFonts w:ascii="Arial" w:hAnsi="Arial" w:cs="Arial"/>
          <w:sz w:val="20"/>
        </w:rPr>
        <w:t xml:space="preserve">Again, there is nothing wrong with a judge encouraging parties to attempt to narrow the issues in a proceeding. It is not tantamount to expressing a view about the viability of a plaintiff’s case and is consistent with </w:t>
      </w:r>
      <w:r>
        <w:rPr>
          <w:rFonts w:ascii="Arial" w:hAnsi="Arial" w:cs="Arial"/>
          <w:sz w:val="20"/>
        </w:rPr>
        <w:t xml:space="preserve">s.7(1) of </w:t>
      </w:r>
      <w:r w:rsidRPr="005B2551">
        <w:rPr>
          <w:rFonts w:ascii="Arial" w:hAnsi="Arial" w:cs="Arial"/>
          <w:sz w:val="20"/>
        </w:rPr>
        <w:t xml:space="preserve">the </w:t>
      </w:r>
      <w:r w:rsidRPr="005B2551">
        <w:rPr>
          <w:rFonts w:ascii="Arial" w:hAnsi="Arial" w:cs="Arial"/>
          <w:i/>
          <w:iCs/>
          <w:sz w:val="20"/>
        </w:rPr>
        <w:t>Civil Procedure Act 2010</w:t>
      </w:r>
      <w:r w:rsidRPr="005B2551">
        <w:rPr>
          <w:rFonts w:ascii="Arial" w:hAnsi="Arial" w:cs="Arial"/>
          <w:sz w:val="20"/>
        </w:rPr>
        <w:t xml:space="preserve">, which provides that: </w:t>
      </w:r>
      <w:r>
        <w:rPr>
          <w:rFonts w:ascii="Arial" w:hAnsi="Arial" w:cs="Arial"/>
          <w:sz w:val="20"/>
        </w:rPr>
        <w:t>‘</w:t>
      </w:r>
      <w:r w:rsidRPr="005B2551">
        <w:rPr>
          <w:rFonts w:ascii="Arial" w:hAnsi="Arial" w:cs="Arial"/>
          <w:sz w:val="20"/>
        </w:rPr>
        <w:t>The overarching purpose of this Act and the rules of court in relation to civil proceedings is to facilitate the just, efficient, timely and cost-effective resolution of the real issues in dispute.</w:t>
      </w:r>
      <w:r>
        <w:rPr>
          <w:rFonts w:ascii="Arial" w:hAnsi="Arial" w:cs="Arial"/>
          <w:sz w:val="20"/>
        </w:rPr>
        <w:t>’”</w:t>
      </w:r>
    </w:p>
    <w:p w14:paraId="615103E5" w14:textId="77777777" w:rsidR="005B2551" w:rsidRDefault="005B2551" w:rsidP="00B35335">
      <w:pPr>
        <w:jc w:val="both"/>
        <w:rPr>
          <w:rFonts w:ascii="Arial" w:hAnsi="Arial" w:cs="Arial"/>
          <w:sz w:val="20"/>
          <w:szCs w:val="20"/>
        </w:rPr>
      </w:pPr>
    </w:p>
    <w:p w14:paraId="675DE3AE" w14:textId="608DD970" w:rsidR="004A3510" w:rsidRDefault="004A3510" w:rsidP="00B35335">
      <w:pPr>
        <w:jc w:val="both"/>
        <w:rPr>
          <w:rFonts w:ascii="Arial" w:hAnsi="Arial" w:cs="Arial"/>
          <w:sz w:val="20"/>
          <w:szCs w:val="20"/>
        </w:rPr>
      </w:pPr>
      <w:r w:rsidRPr="004A3510">
        <w:rPr>
          <w:rFonts w:ascii="Arial" w:hAnsi="Arial" w:cs="Arial"/>
          <w:sz w:val="20"/>
          <w:szCs w:val="20"/>
        </w:rPr>
        <w:t xml:space="preserve">In </w:t>
      </w:r>
      <w:r w:rsidRPr="004A3510">
        <w:rPr>
          <w:rFonts w:ascii="Arial" w:hAnsi="Arial" w:cs="Arial"/>
          <w:i/>
          <w:sz w:val="20"/>
          <w:szCs w:val="20"/>
        </w:rPr>
        <w:t>R v Fisher</w:t>
      </w:r>
      <w:r w:rsidRPr="004A3510">
        <w:rPr>
          <w:rFonts w:ascii="Arial" w:hAnsi="Arial" w:cs="Arial"/>
          <w:sz w:val="20"/>
          <w:szCs w:val="20"/>
        </w:rPr>
        <w:t xml:space="preserve"> [2009] VSCA 100 </w:t>
      </w:r>
      <w:r w:rsidR="00B35335">
        <w:rPr>
          <w:rFonts w:ascii="Arial" w:hAnsi="Arial" w:cs="Arial"/>
          <w:sz w:val="20"/>
          <w:szCs w:val="20"/>
        </w:rPr>
        <w:t xml:space="preserve">there had been an exchange of emails between a sentencing judge’s associate and the Office of Public Prosecutions during a period of adjournment of the </w:t>
      </w:r>
      <w:r w:rsidR="008A42F3">
        <w:rPr>
          <w:rFonts w:ascii="Arial" w:hAnsi="Arial" w:cs="Arial"/>
          <w:sz w:val="20"/>
          <w:szCs w:val="20"/>
        </w:rPr>
        <w:t>plea</w:t>
      </w:r>
      <w:r w:rsidR="00B35335">
        <w:rPr>
          <w:rFonts w:ascii="Arial" w:hAnsi="Arial" w:cs="Arial"/>
          <w:sz w:val="20"/>
          <w:szCs w:val="20"/>
        </w:rPr>
        <w:t xml:space="preserve">.  The emails contained information bearing upon substantive issues in the plea. Although holding </w:t>
      </w:r>
      <w:r w:rsidR="008A42F3">
        <w:rPr>
          <w:rFonts w:ascii="Arial" w:hAnsi="Arial" w:cs="Arial"/>
          <w:sz w:val="20"/>
          <w:szCs w:val="20"/>
        </w:rPr>
        <w:t xml:space="preserve">that there had been </w:t>
      </w:r>
      <w:r w:rsidR="008A42F3">
        <w:rPr>
          <w:rFonts w:ascii="Arial" w:hAnsi="Arial" w:cs="Arial"/>
          <w:sz w:val="20"/>
          <w:szCs w:val="20"/>
        </w:rPr>
        <w:lastRenderedPageBreak/>
        <w:t>no unfairness in the sentencing judge continuing after the out of court communication had been disclosed, Redlich &amp; Dodds-Streeton JJA cautioned at [20] against the use of out of court material:</w:t>
      </w:r>
    </w:p>
    <w:p w14:paraId="17F46F71" w14:textId="77777777" w:rsidR="008A42F3" w:rsidRDefault="008A42F3" w:rsidP="0049196B">
      <w:pPr>
        <w:spacing w:before="60"/>
        <w:ind w:left="454" w:right="454"/>
        <w:jc w:val="both"/>
        <w:rPr>
          <w:rFonts w:ascii="Arial" w:hAnsi="Arial" w:cs="Arial"/>
          <w:sz w:val="20"/>
        </w:rPr>
      </w:pPr>
      <w:r>
        <w:rPr>
          <w:rFonts w:ascii="Arial" w:hAnsi="Arial" w:cs="Arial"/>
          <w:sz w:val="20"/>
        </w:rPr>
        <w:t>“</w:t>
      </w:r>
      <w:r w:rsidRPr="008A42F3">
        <w:rPr>
          <w:rFonts w:ascii="Arial" w:hAnsi="Arial" w:cs="Arial"/>
          <w:sz w:val="20"/>
        </w:rPr>
        <w:t>It is an undoubted principle that a</w:t>
      </w:r>
      <w:r w:rsidRPr="008A42F3">
        <w:rPr>
          <w:rFonts w:ascii="Arial" w:hAnsi="Arial" w:cs="Arial"/>
          <w:b/>
          <w:bCs/>
          <w:sz w:val="20"/>
        </w:rPr>
        <w:t> </w:t>
      </w:r>
      <w:r w:rsidRPr="008A42F3">
        <w:rPr>
          <w:rFonts w:ascii="Arial" w:hAnsi="Arial" w:cs="Arial"/>
          <w:bCs/>
          <w:sz w:val="20"/>
        </w:rPr>
        <w:t>judge </w:t>
      </w:r>
      <w:r w:rsidRPr="008A42F3">
        <w:rPr>
          <w:rFonts w:ascii="Arial" w:hAnsi="Arial" w:cs="Arial"/>
          <w:sz w:val="20"/>
        </w:rPr>
        <w:t xml:space="preserve">’s decision should be made on the basis of the evidence and arguments in the case, and not on the basis of information or knowledge which is acquired out of court.  In </w:t>
      </w:r>
      <w:r w:rsidRPr="008A42F3">
        <w:rPr>
          <w:rFonts w:ascii="Arial" w:hAnsi="Arial" w:cs="Arial"/>
          <w:i/>
          <w:iCs/>
          <w:sz w:val="20"/>
        </w:rPr>
        <w:t xml:space="preserve">Re Media, Entertainment and Arts </w:t>
      </w:r>
      <w:smartTag w:uri="urn:schemas-microsoft-com:office:smarttags" w:element="place">
        <w:smartTag w:uri="urn:schemas-microsoft-com:office:smarttags" w:element="City">
          <w:r w:rsidRPr="008A42F3">
            <w:rPr>
              <w:rFonts w:ascii="Arial" w:hAnsi="Arial" w:cs="Arial"/>
              <w:i/>
              <w:iCs/>
              <w:sz w:val="20"/>
            </w:rPr>
            <w:t>Alliance</w:t>
          </w:r>
        </w:smartTag>
      </w:smartTag>
      <w:r w:rsidRPr="008A42F3">
        <w:rPr>
          <w:rFonts w:ascii="Arial" w:hAnsi="Arial" w:cs="Arial"/>
          <w:i/>
          <w:iCs/>
          <w:sz w:val="20"/>
        </w:rPr>
        <w:t>; ex parte Hoyts Corporation Pty Ltd</w:t>
      </w:r>
      <w:r w:rsidRPr="008A42F3">
        <w:rPr>
          <w:rFonts w:ascii="Arial" w:hAnsi="Arial" w:cs="Arial"/>
          <w:sz w:val="20"/>
        </w:rPr>
        <w:t xml:space="preserve"> </w:t>
      </w:r>
      <w:r>
        <w:rPr>
          <w:rFonts w:ascii="Arial" w:hAnsi="Arial" w:cs="Arial"/>
          <w:sz w:val="20"/>
        </w:rPr>
        <w:t xml:space="preserve">(1994) 119 ALR 206, 210 </w:t>
      </w:r>
      <w:r w:rsidRPr="008A42F3">
        <w:rPr>
          <w:rFonts w:ascii="Arial" w:hAnsi="Arial" w:cs="Arial"/>
          <w:sz w:val="20"/>
        </w:rPr>
        <w:t>Mason CJ and Brennan, Deane, Dawson and Gaudron JJ, described it as an aspect of ‘the rule against</w:t>
      </w:r>
      <w:r w:rsidRPr="008A42F3">
        <w:rPr>
          <w:rFonts w:ascii="Arial" w:hAnsi="Arial" w:cs="Arial"/>
          <w:b/>
          <w:bCs/>
          <w:sz w:val="20"/>
        </w:rPr>
        <w:t> </w:t>
      </w:r>
      <w:proofErr w:type="gramStart"/>
      <w:r w:rsidRPr="008A42F3">
        <w:rPr>
          <w:rFonts w:ascii="Arial" w:hAnsi="Arial" w:cs="Arial"/>
          <w:bCs/>
          <w:sz w:val="20"/>
        </w:rPr>
        <w:t>bias</w:t>
      </w:r>
      <w:r w:rsidRPr="008A42F3">
        <w:rPr>
          <w:rFonts w:ascii="Arial" w:hAnsi="Arial" w:cs="Arial"/>
          <w:sz w:val="20"/>
        </w:rPr>
        <w:t>‘</w:t>
      </w:r>
      <w:proofErr w:type="gramEnd"/>
      <w:r w:rsidRPr="008A42F3">
        <w:rPr>
          <w:rFonts w:ascii="Arial" w:hAnsi="Arial" w:cs="Arial"/>
          <w:bCs/>
          <w:sz w:val="20"/>
        </w:rPr>
        <w:t xml:space="preserve">. </w:t>
      </w:r>
      <w:r w:rsidRPr="008A42F3">
        <w:rPr>
          <w:rFonts w:ascii="Arial" w:hAnsi="Arial" w:cs="Arial"/>
          <w:sz w:val="20"/>
        </w:rPr>
        <w:t xml:space="preserve"> Their Honours said that this aspect of the rule is similar to the rule of procedural fairness, but not identical because the question is whether in the circumstances, the parties or the public ‘might entertain a reasonable apprehension that information or knowledge which has been independently acquired will influence the </w:t>
      </w:r>
      <w:proofErr w:type="gramStart"/>
      <w:r w:rsidRPr="008A42F3">
        <w:rPr>
          <w:rFonts w:ascii="Arial" w:hAnsi="Arial" w:cs="Arial"/>
          <w:sz w:val="20"/>
        </w:rPr>
        <w:t>decision‘</w:t>
      </w:r>
      <w:proofErr w:type="gramEnd"/>
      <w:r w:rsidRPr="008A42F3">
        <w:rPr>
          <w:rFonts w:ascii="Arial" w:hAnsi="Arial" w:cs="Arial"/>
          <w:sz w:val="20"/>
        </w:rPr>
        <w:t>.</w:t>
      </w:r>
    </w:p>
    <w:p w14:paraId="176404BD" w14:textId="77777777" w:rsidR="00F13772" w:rsidRDefault="00F13772" w:rsidP="004A3510">
      <w:pPr>
        <w:rPr>
          <w:rFonts w:ascii="Arial" w:hAnsi="Arial" w:cs="Arial"/>
          <w:sz w:val="20"/>
        </w:rPr>
      </w:pPr>
    </w:p>
    <w:p w14:paraId="73169375" w14:textId="650F997E" w:rsidR="00C37C39" w:rsidRPr="001A1BF2" w:rsidRDefault="00C37C39" w:rsidP="00C37C39">
      <w:pPr>
        <w:jc w:val="both"/>
        <w:rPr>
          <w:rFonts w:ascii="Arial" w:hAnsi="Arial" w:cs="Arial"/>
          <w:color w:val="000000"/>
          <w:sz w:val="20"/>
        </w:rPr>
      </w:pPr>
      <w:r w:rsidRPr="001A1BF2">
        <w:rPr>
          <w:rFonts w:ascii="Arial" w:hAnsi="Arial" w:cs="Arial"/>
          <w:color w:val="000000"/>
          <w:sz w:val="20"/>
        </w:rPr>
        <w:t xml:space="preserve">In </w:t>
      </w:r>
      <w:r w:rsidRPr="001A1BF2">
        <w:rPr>
          <w:rFonts w:ascii="Arial" w:hAnsi="Arial" w:cs="Arial"/>
          <w:i/>
          <w:color w:val="000000"/>
          <w:sz w:val="20"/>
        </w:rPr>
        <w:t>R v Al-Assadi</w:t>
      </w:r>
      <w:r w:rsidRPr="001A1BF2">
        <w:rPr>
          <w:rFonts w:ascii="Arial" w:hAnsi="Arial" w:cs="Arial"/>
          <w:color w:val="000000"/>
          <w:sz w:val="20"/>
        </w:rPr>
        <w:t xml:space="preserve"> [2011] VSCA 111 the 21 year old applicant was found guilty by a jury of two counts of sexual penetration of a child under the age of 16 years but was acquitted of 13 other sexual offences against the same 15 year old complainant. </w:t>
      </w:r>
      <w:r w:rsidR="000E6603" w:rsidRPr="001A1BF2">
        <w:rPr>
          <w:rFonts w:ascii="Arial" w:hAnsi="Arial" w:cs="Arial"/>
          <w:color w:val="000000"/>
          <w:sz w:val="20"/>
        </w:rPr>
        <w:t xml:space="preserve">Two of the grounds of appeal were that the trial judge (i) failed to disqualify herself for ostensible bias and (ii) failed to advise counsel for the applicant that she had earlier given evidence for the Crown in committal proceedings for sexual offences where her daughter was a complainant of a similar age and in similar circumstances with a sentence pending in a case of </w:t>
      </w:r>
      <w:r w:rsidR="000E6603" w:rsidRPr="001A1BF2">
        <w:rPr>
          <w:rFonts w:ascii="Arial" w:hAnsi="Arial" w:cs="Arial"/>
          <w:i/>
          <w:color w:val="000000"/>
          <w:sz w:val="20"/>
        </w:rPr>
        <w:t>R v Balassis</w:t>
      </w:r>
      <w:r w:rsidR="000E6603" w:rsidRPr="001A1BF2">
        <w:rPr>
          <w:rFonts w:ascii="Arial" w:hAnsi="Arial" w:cs="Arial"/>
          <w:color w:val="000000"/>
          <w:sz w:val="20"/>
        </w:rPr>
        <w:t xml:space="preserve"> [2009] VSC 127. At [</w:t>
      </w:r>
      <w:r w:rsidR="004B366C" w:rsidRPr="001A1BF2">
        <w:rPr>
          <w:rFonts w:ascii="Arial" w:hAnsi="Arial" w:cs="Arial"/>
          <w:color w:val="000000"/>
          <w:sz w:val="20"/>
        </w:rPr>
        <w:t>25</w:t>
      </w:r>
      <w:r w:rsidR="000E6603" w:rsidRPr="001A1BF2">
        <w:rPr>
          <w:rFonts w:ascii="Arial" w:hAnsi="Arial" w:cs="Arial"/>
          <w:color w:val="000000"/>
          <w:sz w:val="20"/>
        </w:rPr>
        <w:t>]-[</w:t>
      </w:r>
      <w:r w:rsidR="004B366C" w:rsidRPr="001A1BF2">
        <w:rPr>
          <w:rFonts w:ascii="Arial" w:hAnsi="Arial" w:cs="Arial"/>
          <w:color w:val="000000"/>
          <w:sz w:val="20"/>
        </w:rPr>
        <w:t>31</w:t>
      </w:r>
      <w:r w:rsidR="000E6603" w:rsidRPr="001A1BF2">
        <w:rPr>
          <w:rFonts w:ascii="Arial" w:hAnsi="Arial" w:cs="Arial"/>
          <w:color w:val="000000"/>
          <w:sz w:val="20"/>
        </w:rPr>
        <w:t xml:space="preserve">] </w:t>
      </w:r>
      <w:r w:rsidR="00B82C7D" w:rsidRPr="001A1BF2">
        <w:rPr>
          <w:rFonts w:ascii="Arial" w:hAnsi="Arial" w:cs="Arial"/>
          <w:color w:val="000000"/>
          <w:sz w:val="20"/>
        </w:rPr>
        <w:t xml:space="preserve">Buchanan JA (with whom Hansen &amp; Tate JJA agreed) </w:t>
      </w:r>
      <w:r w:rsidR="000E6603" w:rsidRPr="001A1BF2">
        <w:rPr>
          <w:rFonts w:ascii="Arial" w:hAnsi="Arial" w:cs="Arial"/>
          <w:color w:val="000000"/>
          <w:sz w:val="20"/>
        </w:rPr>
        <w:t>rejected the assertion by the applicant that the trial judge had displayed “excessive solicitude”</w:t>
      </w:r>
      <w:r w:rsidR="004B366C" w:rsidRPr="001A1BF2">
        <w:rPr>
          <w:rFonts w:ascii="Arial" w:hAnsi="Arial" w:cs="Arial"/>
          <w:color w:val="000000"/>
          <w:sz w:val="20"/>
        </w:rPr>
        <w:t xml:space="preserve"> to the complainant</w:t>
      </w:r>
      <w:r w:rsidR="00B82C7D" w:rsidRPr="001A1BF2">
        <w:rPr>
          <w:rFonts w:ascii="Arial" w:hAnsi="Arial" w:cs="Arial"/>
          <w:color w:val="000000"/>
          <w:sz w:val="20"/>
        </w:rPr>
        <w:t>, saying at [31]</w:t>
      </w:r>
      <w:r w:rsidR="004B366C" w:rsidRPr="001A1BF2">
        <w:rPr>
          <w:rFonts w:ascii="Arial" w:hAnsi="Arial" w:cs="Arial"/>
          <w:color w:val="000000"/>
          <w:sz w:val="20"/>
        </w:rPr>
        <w:t xml:space="preserve">: “Her Honour quite properly sought to ensure that a young witness was not overawed or frightened by a strange, formal and potentially hostile environment. Critically, the complainant, unlike the applicant, was not represented by counsel.” However, at [32]-[40] </w:t>
      </w:r>
      <w:r w:rsidR="00B82C7D" w:rsidRPr="001A1BF2">
        <w:rPr>
          <w:rFonts w:ascii="Arial" w:hAnsi="Arial" w:cs="Arial"/>
          <w:color w:val="000000"/>
          <w:sz w:val="20"/>
        </w:rPr>
        <w:t xml:space="preserve">the Court of Appeal went on to </w:t>
      </w:r>
      <w:r w:rsidR="004B366C" w:rsidRPr="001A1BF2">
        <w:rPr>
          <w:rFonts w:ascii="Arial" w:hAnsi="Arial" w:cs="Arial"/>
          <w:color w:val="000000"/>
          <w:sz w:val="20"/>
        </w:rPr>
        <w:t>uph</w:t>
      </w:r>
      <w:r w:rsidR="00B82C7D" w:rsidRPr="001A1BF2">
        <w:rPr>
          <w:rFonts w:ascii="Arial" w:hAnsi="Arial" w:cs="Arial"/>
          <w:color w:val="000000"/>
          <w:sz w:val="20"/>
        </w:rPr>
        <w:t>o</w:t>
      </w:r>
      <w:r w:rsidR="004B366C" w:rsidRPr="001A1BF2">
        <w:rPr>
          <w:rFonts w:ascii="Arial" w:hAnsi="Arial" w:cs="Arial"/>
          <w:color w:val="000000"/>
          <w:sz w:val="20"/>
        </w:rPr>
        <w:t>ld the first ground of appeal, saying at [39]:</w:t>
      </w:r>
    </w:p>
    <w:p w14:paraId="4423F6AD" w14:textId="22806EE3" w:rsidR="004B366C" w:rsidRPr="001A1BF2" w:rsidRDefault="004B366C" w:rsidP="004B366C">
      <w:pPr>
        <w:spacing w:before="60"/>
        <w:ind w:left="454" w:right="454"/>
        <w:jc w:val="both"/>
        <w:rPr>
          <w:rFonts w:ascii="Arial" w:hAnsi="Arial" w:cs="Arial"/>
          <w:color w:val="000000"/>
          <w:sz w:val="20"/>
        </w:rPr>
      </w:pPr>
      <w:r w:rsidRPr="001A1BF2">
        <w:rPr>
          <w:rFonts w:ascii="Arial" w:hAnsi="Arial" w:cs="Arial"/>
          <w:color w:val="000000"/>
          <w:sz w:val="20"/>
        </w:rPr>
        <w:t xml:space="preserve">“The mere fact that a judge is related to a victim of crime is not sufficient to disqualify the judge from presiding at a trial of a person accused of a like crime: cf. </w:t>
      </w:r>
      <w:r w:rsidRPr="001A1BF2">
        <w:rPr>
          <w:rFonts w:ascii="Arial" w:hAnsi="Arial" w:cs="Arial"/>
          <w:i/>
          <w:color w:val="000000"/>
          <w:sz w:val="20"/>
        </w:rPr>
        <w:t>R v Goodall</w:t>
      </w:r>
      <w:r w:rsidRPr="001A1BF2">
        <w:rPr>
          <w:rFonts w:ascii="Arial" w:hAnsi="Arial" w:cs="Arial"/>
          <w:color w:val="000000"/>
          <w:sz w:val="20"/>
        </w:rPr>
        <w:t xml:space="preserve"> (2007) 15 VR 673.  In the present case, however, the relationship of the judge to the victim of the first crime, the similar age and circumstances of the victims and the emotional involvement of the judge might have led a fair minded observer to think the similarity in the crimes and victims might have induced in her Honour a sympathy for the alleged victim of the offences with which the applicant was charged which prevented her from bringing an impartial mind to the conduct of the trial. In this respect I think it is significant that the judge underwent the harrowing experiences of searching for her child overnight and then dealing as best she could</w:t>
      </w:r>
      <w:r w:rsidR="00B82C7D" w:rsidRPr="001A1BF2">
        <w:rPr>
          <w:rFonts w:ascii="Arial" w:hAnsi="Arial" w:cs="Arial"/>
          <w:color w:val="000000"/>
          <w:sz w:val="20"/>
        </w:rPr>
        <w:t xml:space="preserve"> with her daughter’s distress.”</w:t>
      </w:r>
    </w:p>
    <w:p w14:paraId="76EC29AB" w14:textId="77777777" w:rsidR="00CC65A4" w:rsidRDefault="00CC65A4" w:rsidP="00CC65A4">
      <w:pPr>
        <w:jc w:val="both"/>
        <w:rPr>
          <w:rFonts w:ascii="Arial" w:hAnsi="Arial" w:cs="Arial"/>
          <w:sz w:val="20"/>
          <w:szCs w:val="20"/>
        </w:rPr>
      </w:pPr>
    </w:p>
    <w:p w14:paraId="7FFE2B25" w14:textId="437F0896" w:rsidR="00566F3D" w:rsidRPr="005B1DDA" w:rsidRDefault="00CC65A4" w:rsidP="00CC65A4">
      <w:pPr>
        <w:jc w:val="both"/>
        <w:rPr>
          <w:rFonts w:ascii="Arial" w:hAnsi="Arial" w:cs="Arial"/>
          <w:sz w:val="20"/>
          <w:szCs w:val="20"/>
        </w:rPr>
      </w:pPr>
      <w:r w:rsidRPr="005B1DDA">
        <w:rPr>
          <w:rFonts w:ascii="Arial" w:hAnsi="Arial" w:cs="Arial"/>
          <w:sz w:val="20"/>
          <w:szCs w:val="20"/>
        </w:rPr>
        <w:t xml:space="preserve">In </w:t>
      </w:r>
      <w:bookmarkStart w:id="112" w:name="_Hlk88486393"/>
      <w:r w:rsidRPr="005B1DDA">
        <w:rPr>
          <w:rFonts w:ascii="Arial" w:hAnsi="Arial" w:cs="Arial"/>
          <w:i/>
          <w:iCs/>
          <w:sz w:val="20"/>
          <w:szCs w:val="20"/>
        </w:rPr>
        <w:t>Charisteas v Charisteas</w:t>
      </w:r>
      <w:r w:rsidRPr="005B1DDA">
        <w:rPr>
          <w:rFonts w:ascii="Arial" w:hAnsi="Arial" w:cs="Arial"/>
          <w:sz w:val="20"/>
          <w:szCs w:val="20"/>
        </w:rPr>
        <w:t xml:space="preserve"> [2021] HCA 29 </w:t>
      </w:r>
      <w:bookmarkEnd w:id="112"/>
      <w:r w:rsidR="00566F3D" w:rsidRPr="005B1DDA">
        <w:rPr>
          <w:rFonts w:ascii="Arial" w:hAnsi="Arial" w:cs="Arial"/>
          <w:sz w:val="20"/>
          <w:szCs w:val="20"/>
        </w:rPr>
        <w:t xml:space="preserve">the wife's barrister had engaged in private communication with trial judge, including while case </w:t>
      </w:r>
      <w:r w:rsidR="000C0683" w:rsidRPr="005B1DDA">
        <w:rPr>
          <w:rFonts w:ascii="Arial" w:hAnsi="Arial" w:cs="Arial"/>
          <w:sz w:val="20"/>
          <w:szCs w:val="20"/>
        </w:rPr>
        <w:t xml:space="preserve">was </w:t>
      </w:r>
      <w:r w:rsidR="00566F3D" w:rsidRPr="005B1DDA">
        <w:rPr>
          <w:rFonts w:ascii="Arial" w:hAnsi="Arial" w:cs="Arial"/>
          <w:sz w:val="20"/>
          <w:szCs w:val="20"/>
        </w:rPr>
        <w:t xml:space="preserve">underway and while judgment </w:t>
      </w:r>
      <w:r w:rsidR="000C0683" w:rsidRPr="005B1DDA">
        <w:rPr>
          <w:rFonts w:ascii="Arial" w:hAnsi="Arial" w:cs="Arial"/>
          <w:sz w:val="20"/>
          <w:szCs w:val="20"/>
        </w:rPr>
        <w:t xml:space="preserve">was </w:t>
      </w:r>
      <w:r w:rsidR="00566F3D" w:rsidRPr="005B1DDA">
        <w:rPr>
          <w:rFonts w:ascii="Arial" w:hAnsi="Arial" w:cs="Arial"/>
          <w:sz w:val="20"/>
          <w:szCs w:val="20"/>
        </w:rPr>
        <w:t xml:space="preserve">reserved, without previous knowledge and consent of other parties.  The wife's barrister said </w:t>
      </w:r>
      <w:r w:rsidR="000C0683" w:rsidRPr="005B1DDA">
        <w:rPr>
          <w:rFonts w:ascii="Arial" w:hAnsi="Arial" w:cs="Arial"/>
          <w:sz w:val="20"/>
          <w:szCs w:val="20"/>
        </w:rPr>
        <w:t xml:space="preserve">that the </w:t>
      </w:r>
      <w:r w:rsidR="00566F3D" w:rsidRPr="005B1DDA">
        <w:rPr>
          <w:rFonts w:ascii="Arial" w:hAnsi="Arial" w:cs="Arial"/>
          <w:sz w:val="20"/>
          <w:szCs w:val="20"/>
        </w:rPr>
        <w:t xml:space="preserve">communications did not concern </w:t>
      </w:r>
      <w:r w:rsidR="000C0683" w:rsidRPr="005B1DDA">
        <w:rPr>
          <w:rFonts w:ascii="Arial" w:hAnsi="Arial" w:cs="Arial"/>
          <w:sz w:val="20"/>
          <w:szCs w:val="20"/>
        </w:rPr>
        <w:t xml:space="preserve">the </w:t>
      </w:r>
      <w:r w:rsidR="00566F3D" w:rsidRPr="005B1DDA">
        <w:rPr>
          <w:rFonts w:ascii="Arial" w:hAnsi="Arial" w:cs="Arial"/>
          <w:sz w:val="20"/>
          <w:szCs w:val="20"/>
        </w:rPr>
        <w:t xml:space="preserve">substance of </w:t>
      </w:r>
      <w:r w:rsidR="000C0683" w:rsidRPr="005B1DDA">
        <w:rPr>
          <w:rFonts w:ascii="Arial" w:hAnsi="Arial" w:cs="Arial"/>
          <w:sz w:val="20"/>
          <w:szCs w:val="20"/>
        </w:rPr>
        <w:t xml:space="preserve">the </w:t>
      </w:r>
      <w:r w:rsidR="00566F3D" w:rsidRPr="005B1DDA">
        <w:rPr>
          <w:rFonts w:ascii="Arial" w:hAnsi="Arial" w:cs="Arial"/>
          <w:sz w:val="20"/>
          <w:szCs w:val="20"/>
        </w:rPr>
        <w:t xml:space="preserve">case. </w:t>
      </w:r>
      <w:r w:rsidR="005B1DDA" w:rsidRPr="005B1DDA">
        <w:rPr>
          <w:rFonts w:ascii="Arial" w:hAnsi="Arial" w:cs="Arial"/>
          <w:sz w:val="20"/>
          <w:szCs w:val="20"/>
        </w:rPr>
        <w:t xml:space="preserve">By majority (Strickland and Ryan JJ, Alstergren CJ dissenting), the Full Court of the Family Court of Australia dismissed the appeal. Strickland and Ryan JJ rejected the allegations of apprehended bias and dismissed the appeal against the 2018 Property Orders. Alstergren CJ would have allowed the appeal on the ground of apprehended bias and remitted the matter for rehearing. </w:t>
      </w:r>
      <w:r w:rsidR="000B2322" w:rsidRPr="005B1DDA">
        <w:rPr>
          <w:rFonts w:ascii="Arial" w:hAnsi="Arial" w:cs="Arial"/>
          <w:sz w:val="20"/>
          <w:szCs w:val="20"/>
        </w:rPr>
        <w:t>In allowing the husband’s appeal, t</w:t>
      </w:r>
      <w:r w:rsidR="00566F3D" w:rsidRPr="005B1DDA">
        <w:rPr>
          <w:rFonts w:ascii="Arial" w:hAnsi="Arial" w:cs="Arial"/>
          <w:sz w:val="20"/>
          <w:szCs w:val="20"/>
        </w:rPr>
        <w:t xml:space="preserve">he High Court </w:t>
      </w:r>
      <w:r w:rsidR="000B2322" w:rsidRPr="005B1DDA">
        <w:rPr>
          <w:rFonts w:ascii="Arial" w:hAnsi="Arial" w:cs="Arial"/>
          <w:sz w:val="20"/>
          <w:szCs w:val="20"/>
        </w:rPr>
        <w:t>(Kiefel CJ, Gageler, Keane, Gordon &amp; Gleeson JJ) said at [11]-[</w:t>
      </w:r>
      <w:r w:rsidR="00767AA0" w:rsidRPr="005B1DDA">
        <w:rPr>
          <w:rFonts w:ascii="Arial" w:hAnsi="Arial" w:cs="Arial"/>
          <w:sz w:val="20"/>
          <w:szCs w:val="20"/>
        </w:rPr>
        <w:t>22</w:t>
      </w:r>
      <w:r w:rsidR="000B2322" w:rsidRPr="005B1DDA">
        <w:rPr>
          <w:rFonts w:ascii="Arial" w:hAnsi="Arial" w:cs="Arial"/>
          <w:sz w:val="20"/>
          <w:szCs w:val="20"/>
        </w:rPr>
        <w:t>]:</w:t>
      </w:r>
    </w:p>
    <w:p w14:paraId="1ACCE027" w14:textId="44AFA8BA" w:rsidR="000B2322" w:rsidRPr="00EE754E" w:rsidRDefault="000C0683" w:rsidP="00EE754E">
      <w:pPr>
        <w:spacing w:before="60"/>
        <w:ind w:left="454" w:right="454"/>
        <w:jc w:val="both"/>
        <w:rPr>
          <w:rFonts w:ascii="Arial" w:hAnsi="Arial" w:cs="Arial"/>
          <w:sz w:val="20"/>
          <w:szCs w:val="20"/>
        </w:rPr>
      </w:pPr>
      <w:r>
        <w:rPr>
          <w:rFonts w:ascii="Arial" w:hAnsi="Arial" w:cs="Arial"/>
          <w:color w:val="000000"/>
          <w:sz w:val="20"/>
          <w:szCs w:val="20"/>
        </w:rPr>
        <w:t xml:space="preserve">[11] </w:t>
      </w:r>
      <w:r w:rsidR="000B2322" w:rsidRPr="00D13D00">
        <w:rPr>
          <w:rFonts w:ascii="Arial" w:hAnsi="Arial" w:cs="Arial"/>
          <w:color w:val="000000"/>
          <w:sz w:val="20"/>
          <w:szCs w:val="20"/>
        </w:rPr>
        <w:t>“</w:t>
      </w:r>
      <w:r w:rsidR="000B2322" w:rsidRPr="00D13D00">
        <w:rPr>
          <w:rFonts w:ascii="Arial" w:hAnsi="Arial" w:cs="Arial"/>
          <w:sz w:val="20"/>
          <w:szCs w:val="20"/>
        </w:rPr>
        <w:t xml:space="preserve">Where, as here, a question arises as to the independence or impartiality of a judge, the </w:t>
      </w:r>
      <w:r w:rsidR="000B2322" w:rsidRPr="000C0683">
        <w:rPr>
          <w:rFonts w:ascii="Arial" w:hAnsi="Arial" w:cs="Arial"/>
          <w:sz w:val="20"/>
          <w:szCs w:val="20"/>
        </w:rPr>
        <w:t xml:space="preserve">applicable principles are well established </w:t>
      </w:r>
      <w:r w:rsidR="00D13D00" w:rsidRPr="000C0683">
        <w:rPr>
          <w:rFonts w:ascii="Arial" w:hAnsi="Arial" w:cs="Arial"/>
          <w:sz w:val="20"/>
          <w:szCs w:val="20"/>
        </w:rPr>
        <w:t>{</w:t>
      </w:r>
      <w:r w:rsidR="00D13D00" w:rsidRPr="000C0683">
        <w:rPr>
          <w:rFonts w:ascii="Arial" w:hAnsi="Arial" w:cs="Arial"/>
          <w:i/>
          <w:iCs/>
          <w:sz w:val="20"/>
          <w:szCs w:val="20"/>
        </w:rPr>
        <w:t xml:space="preserve">Ebner </w:t>
      </w:r>
      <w:r w:rsidRPr="000C0683">
        <w:rPr>
          <w:rFonts w:ascii="Arial" w:hAnsi="Arial" w:cs="Arial"/>
          <w:i/>
          <w:iCs/>
          <w:sz w:val="20"/>
          <w:szCs w:val="20"/>
        </w:rPr>
        <w:t>v Official Trustee in Bankruptcy</w:t>
      </w:r>
      <w:r w:rsidRPr="000C0683">
        <w:rPr>
          <w:rFonts w:ascii="Arial" w:hAnsi="Arial" w:cs="Arial"/>
          <w:sz w:val="20"/>
          <w:szCs w:val="20"/>
        </w:rPr>
        <w:t xml:space="preserve"> </w:t>
      </w:r>
      <w:r w:rsidR="00D13D00" w:rsidRPr="000C0683">
        <w:rPr>
          <w:rFonts w:ascii="Arial" w:hAnsi="Arial" w:cs="Arial"/>
          <w:sz w:val="20"/>
          <w:szCs w:val="20"/>
        </w:rPr>
        <w:t>(2000)</w:t>
      </w:r>
      <w:r w:rsidR="00D13D00" w:rsidRPr="00D13D00">
        <w:rPr>
          <w:rFonts w:ascii="Arial" w:hAnsi="Arial" w:cs="Arial"/>
          <w:sz w:val="20"/>
          <w:szCs w:val="20"/>
        </w:rPr>
        <w:t xml:space="preserve"> 205 CLR 337 at 344-345 [6]-[8]; </w:t>
      </w:r>
      <w:r w:rsidR="00D13D00" w:rsidRPr="000C0683">
        <w:rPr>
          <w:rFonts w:ascii="Arial" w:hAnsi="Arial" w:cs="Arial"/>
          <w:i/>
          <w:iCs/>
          <w:sz w:val="20"/>
          <w:szCs w:val="20"/>
        </w:rPr>
        <w:t>Concrete</w:t>
      </w:r>
      <w:r w:rsidR="00D13D00" w:rsidRPr="000C0683">
        <w:rPr>
          <w:rFonts w:ascii="Arial" w:hAnsi="Arial" w:cs="Arial"/>
          <w:sz w:val="20"/>
          <w:szCs w:val="20"/>
        </w:rPr>
        <w:t xml:space="preserve"> </w:t>
      </w:r>
      <w:r w:rsidRPr="000C0683">
        <w:rPr>
          <w:rFonts w:ascii="Arial" w:hAnsi="Arial" w:cs="Arial"/>
          <w:i/>
          <w:iCs/>
          <w:sz w:val="20"/>
          <w:szCs w:val="20"/>
        </w:rPr>
        <w:t>Pty Ltd v Parramatta Design &amp; Developments Pty Ltd</w:t>
      </w:r>
      <w:r w:rsidRPr="000C0683">
        <w:rPr>
          <w:rFonts w:ascii="Arial" w:hAnsi="Arial" w:cs="Arial"/>
          <w:sz w:val="20"/>
          <w:szCs w:val="20"/>
        </w:rPr>
        <w:t xml:space="preserve"> </w:t>
      </w:r>
      <w:r w:rsidR="00D13D00" w:rsidRPr="000C0683">
        <w:rPr>
          <w:rFonts w:ascii="Arial" w:hAnsi="Arial" w:cs="Arial"/>
          <w:sz w:val="20"/>
          <w:szCs w:val="20"/>
        </w:rPr>
        <w:t>(2006) 229 CLR 577 at</w:t>
      </w:r>
      <w:r w:rsidR="00D13D00" w:rsidRPr="00D13D00">
        <w:rPr>
          <w:rFonts w:ascii="Arial" w:hAnsi="Arial" w:cs="Arial"/>
          <w:sz w:val="20"/>
          <w:szCs w:val="20"/>
        </w:rPr>
        <w:t xml:space="preserve"> 581-582 [3], 609 [110]; </w:t>
      </w:r>
      <w:r w:rsidR="00D13D00" w:rsidRPr="00D13D00">
        <w:rPr>
          <w:rFonts w:ascii="Arial" w:hAnsi="Arial" w:cs="Arial"/>
          <w:i/>
          <w:iCs/>
          <w:sz w:val="20"/>
          <w:szCs w:val="20"/>
        </w:rPr>
        <w:t>Smits v Roach</w:t>
      </w:r>
      <w:r w:rsidR="00D13D00" w:rsidRPr="00D13D00">
        <w:rPr>
          <w:rFonts w:ascii="Arial" w:hAnsi="Arial" w:cs="Arial"/>
          <w:sz w:val="20"/>
          <w:szCs w:val="20"/>
        </w:rPr>
        <w:t xml:space="preserve"> (2006) 227 CLR 423 at 443-444 [53]; </w:t>
      </w:r>
      <w:r w:rsidR="00D13D00" w:rsidRPr="00D13D00">
        <w:rPr>
          <w:rFonts w:ascii="Arial" w:hAnsi="Arial" w:cs="Arial"/>
          <w:i/>
          <w:iCs/>
          <w:sz w:val="20"/>
          <w:szCs w:val="20"/>
        </w:rPr>
        <w:t>Michael Wilson &amp; Partners Ltd v Nicholls</w:t>
      </w:r>
      <w:r w:rsidR="00D13D00" w:rsidRPr="00D13D00">
        <w:rPr>
          <w:rFonts w:ascii="Arial" w:hAnsi="Arial" w:cs="Arial"/>
          <w:sz w:val="20"/>
          <w:szCs w:val="20"/>
        </w:rPr>
        <w:t xml:space="preserve"> (2011) 244 CLR 427 at 437 [31]; </w:t>
      </w:r>
      <w:r w:rsidR="00D13D00" w:rsidRPr="00D13D00">
        <w:rPr>
          <w:rFonts w:ascii="Arial" w:hAnsi="Arial" w:cs="Arial"/>
          <w:i/>
          <w:iCs/>
          <w:sz w:val="20"/>
          <w:szCs w:val="20"/>
        </w:rPr>
        <w:t>Isbester v Knox City Council</w:t>
      </w:r>
      <w:r w:rsidR="00D13D00" w:rsidRPr="00D13D00">
        <w:rPr>
          <w:rFonts w:ascii="Arial" w:hAnsi="Arial" w:cs="Arial"/>
          <w:sz w:val="20"/>
          <w:szCs w:val="20"/>
        </w:rPr>
        <w:t xml:space="preserve"> (2015) </w:t>
      </w:r>
      <w:r w:rsidR="00D13D00" w:rsidRPr="000C0683">
        <w:rPr>
          <w:rFonts w:ascii="Arial" w:hAnsi="Arial" w:cs="Arial"/>
          <w:sz w:val="20"/>
          <w:szCs w:val="20"/>
        </w:rPr>
        <w:t xml:space="preserve">255 CLR 135 at 146 [21]; </w:t>
      </w:r>
      <w:r w:rsidR="00D13D00" w:rsidRPr="000C0683">
        <w:rPr>
          <w:rFonts w:ascii="Arial" w:hAnsi="Arial" w:cs="Arial"/>
          <w:i/>
          <w:iCs/>
          <w:sz w:val="20"/>
          <w:szCs w:val="20"/>
        </w:rPr>
        <w:t>CNY17</w:t>
      </w:r>
      <w:r w:rsidR="00D13D00" w:rsidRPr="000C0683">
        <w:rPr>
          <w:rFonts w:ascii="Arial" w:hAnsi="Arial" w:cs="Arial"/>
          <w:sz w:val="20"/>
          <w:szCs w:val="20"/>
        </w:rPr>
        <w:t xml:space="preserve"> </w:t>
      </w:r>
      <w:r w:rsidRPr="000C0683">
        <w:rPr>
          <w:rFonts w:ascii="Arial" w:hAnsi="Arial" w:cs="Arial"/>
          <w:i/>
          <w:iCs/>
          <w:sz w:val="20"/>
          <w:szCs w:val="20"/>
        </w:rPr>
        <w:t>v Minister for Immigration and Border Protection</w:t>
      </w:r>
      <w:r w:rsidRPr="00D13D00">
        <w:rPr>
          <w:rFonts w:ascii="Arial" w:hAnsi="Arial" w:cs="Arial"/>
          <w:sz w:val="20"/>
          <w:szCs w:val="20"/>
        </w:rPr>
        <w:t xml:space="preserve"> </w:t>
      </w:r>
      <w:r w:rsidR="00D13D00" w:rsidRPr="00D13D00">
        <w:rPr>
          <w:rFonts w:ascii="Arial" w:hAnsi="Arial" w:cs="Arial"/>
          <w:sz w:val="20"/>
          <w:szCs w:val="20"/>
        </w:rPr>
        <w:t xml:space="preserve">(2019) 268 CLR 76 at 88 [21], 98-99 [57]} </w:t>
      </w:r>
      <w:r w:rsidR="00D13D00">
        <w:rPr>
          <w:rFonts w:ascii="Arial" w:hAnsi="Arial" w:cs="Arial"/>
          <w:sz w:val="20"/>
          <w:szCs w:val="20"/>
        </w:rPr>
        <w:t xml:space="preserve">and they were not in dispute.  </w:t>
      </w:r>
      <w:r w:rsidR="000B2322" w:rsidRPr="000B2322">
        <w:rPr>
          <w:rFonts w:ascii="Arial" w:hAnsi="Arial" w:cs="Arial"/>
          <w:sz w:val="20"/>
          <w:szCs w:val="20"/>
        </w:rPr>
        <w:t xml:space="preserve">The apprehension of bias principle is that </w:t>
      </w:r>
      <w:r w:rsidR="00D13D00">
        <w:rPr>
          <w:rFonts w:ascii="Arial" w:hAnsi="Arial" w:cs="Arial"/>
          <w:sz w:val="20"/>
          <w:szCs w:val="20"/>
        </w:rPr>
        <w:t>‘</w:t>
      </w:r>
      <w:r w:rsidR="000B2322" w:rsidRPr="000B2322">
        <w:rPr>
          <w:rFonts w:ascii="Arial" w:hAnsi="Arial" w:cs="Arial"/>
          <w:sz w:val="20"/>
          <w:szCs w:val="20"/>
        </w:rPr>
        <w:t xml:space="preserve">a judge is disqualified if a fair-minded lay observer might reasonably apprehend that the judge might not bring an impartial mind to the resolution of the question the judge is required to </w:t>
      </w:r>
      <w:r w:rsidR="000B2322" w:rsidRPr="00D13D00">
        <w:rPr>
          <w:rFonts w:ascii="Arial" w:hAnsi="Arial" w:cs="Arial"/>
          <w:sz w:val="20"/>
          <w:szCs w:val="20"/>
        </w:rPr>
        <w:t>decide</w:t>
      </w:r>
      <w:r w:rsidR="00D13D00" w:rsidRPr="00D13D00">
        <w:rPr>
          <w:rFonts w:ascii="Arial" w:hAnsi="Arial" w:cs="Arial"/>
          <w:sz w:val="20"/>
          <w:szCs w:val="20"/>
        </w:rPr>
        <w:t>’ {</w:t>
      </w:r>
      <w:r w:rsidR="00D13D00" w:rsidRPr="00D13D00">
        <w:rPr>
          <w:rFonts w:ascii="Arial" w:hAnsi="Arial" w:cs="Arial"/>
          <w:i/>
          <w:iCs/>
          <w:sz w:val="20"/>
          <w:szCs w:val="20"/>
        </w:rPr>
        <w:t>Ebner</w:t>
      </w:r>
      <w:r w:rsidR="00D13D00" w:rsidRPr="00D13D00">
        <w:rPr>
          <w:rFonts w:ascii="Arial" w:hAnsi="Arial" w:cs="Arial"/>
          <w:sz w:val="20"/>
          <w:szCs w:val="20"/>
        </w:rPr>
        <w:t xml:space="preserve"> (2000) 205 CLR 337 at 344 [6]; </w:t>
      </w:r>
      <w:r w:rsidR="00D13D00" w:rsidRPr="00D13D00">
        <w:rPr>
          <w:rFonts w:ascii="Arial" w:hAnsi="Arial" w:cs="Arial"/>
          <w:i/>
          <w:iCs/>
          <w:sz w:val="20"/>
          <w:szCs w:val="20"/>
        </w:rPr>
        <w:t>Concrete</w:t>
      </w:r>
      <w:r w:rsidR="00D13D00" w:rsidRPr="00D13D00">
        <w:rPr>
          <w:rFonts w:ascii="Arial" w:hAnsi="Arial" w:cs="Arial"/>
          <w:sz w:val="20"/>
          <w:szCs w:val="20"/>
        </w:rPr>
        <w:t xml:space="preserve"> (2006) 229 CLR 577 at 609 [110]}.  </w:t>
      </w:r>
      <w:r w:rsidR="000B2322" w:rsidRPr="00EE754E">
        <w:rPr>
          <w:rFonts w:ascii="Arial" w:hAnsi="Arial" w:cs="Arial"/>
          <w:sz w:val="20"/>
          <w:szCs w:val="20"/>
        </w:rPr>
        <w:t>The principle gives effect to the requirement that justice should both be done and be seen to be done, reflecting a requirement fundamental to the common law system of adversarial trial – that it is conducted by an independent and impartial tribunal</w:t>
      </w:r>
      <w:r w:rsidR="00D13D00" w:rsidRPr="00EE754E">
        <w:rPr>
          <w:rFonts w:ascii="Arial" w:hAnsi="Arial" w:cs="Arial"/>
          <w:sz w:val="20"/>
          <w:szCs w:val="20"/>
        </w:rPr>
        <w:t xml:space="preserve"> {</w:t>
      </w:r>
      <w:r w:rsidR="00EE754E" w:rsidRPr="00EE754E">
        <w:rPr>
          <w:rFonts w:ascii="Arial" w:hAnsi="Arial" w:cs="Arial"/>
          <w:i/>
          <w:iCs/>
          <w:sz w:val="20"/>
          <w:szCs w:val="20"/>
        </w:rPr>
        <w:t>Ebner</w:t>
      </w:r>
      <w:r w:rsidR="00EE754E" w:rsidRPr="00EE754E">
        <w:rPr>
          <w:rFonts w:ascii="Arial" w:hAnsi="Arial" w:cs="Arial"/>
          <w:sz w:val="20"/>
          <w:szCs w:val="20"/>
        </w:rPr>
        <w:t xml:space="preserve"> (2000) 205 CLR 337 at 343 [3], 344-345 [6]-[7], 348 [22]-[23], 362 [79]; </w:t>
      </w:r>
      <w:r w:rsidR="00EE754E" w:rsidRPr="00EE754E">
        <w:rPr>
          <w:rFonts w:ascii="Arial" w:hAnsi="Arial" w:cs="Arial"/>
          <w:i/>
          <w:iCs/>
          <w:sz w:val="20"/>
          <w:szCs w:val="20"/>
        </w:rPr>
        <w:t>Concrete</w:t>
      </w:r>
      <w:r w:rsidR="00EE754E" w:rsidRPr="00EE754E">
        <w:rPr>
          <w:rFonts w:ascii="Arial" w:hAnsi="Arial" w:cs="Arial"/>
          <w:sz w:val="20"/>
          <w:szCs w:val="20"/>
        </w:rPr>
        <w:t xml:space="preserve"> (2006) 229 CLR 577 at 609-610 [110]-[111]}.  </w:t>
      </w:r>
      <w:r w:rsidR="000B2322" w:rsidRPr="000B2322">
        <w:rPr>
          <w:rFonts w:ascii="Arial" w:hAnsi="Arial" w:cs="Arial"/>
          <w:sz w:val="20"/>
          <w:szCs w:val="20"/>
        </w:rPr>
        <w:t xml:space="preserve">Its application requires two steps: first, </w:t>
      </w:r>
      <w:r w:rsidR="00EE754E">
        <w:rPr>
          <w:rFonts w:ascii="Arial" w:hAnsi="Arial" w:cs="Arial"/>
          <w:sz w:val="20"/>
          <w:szCs w:val="20"/>
        </w:rPr>
        <w:t>‘</w:t>
      </w:r>
      <w:r w:rsidR="000B2322" w:rsidRPr="000B2322">
        <w:rPr>
          <w:rFonts w:ascii="Arial" w:hAnsi="Arial" w:cs="Arial"/>
          <w:sz w:val="20"/>
          <w:szCs w:val="20"/>
        </w:rPr>
        <w:t xml:space="preserve">it requires the identification of what it is said might lead a judge ... to decide a case other than on its legal and factual merits"; and, second, there must be articulated a </w:t>
      </w:r>
      <w:r w:rsidR="00EE754E">
        <w:rPr>
          <w:rFonts w:ascii="Arial" w:hAnsi="Arial" w:cs="Arial"/>
          <w:sz w:val="20"/>
          <w:szCs w:val="20"/>
        </w:rPr>
        <w:t>‘</w:t>
      </w:r>
      <w:r w:rsidR="000B2322" w:rsidRPr="000B2322">
        <w:rPr>
          <w:rFonts w:ascii="Arial" w:hAnsi="Arial" w:cs="Arial"/>
          <w:sz w:val="20"/>
          <w:szCs w:val="20"/>
        </w:rPr>
        <w:t>logical connection</w:t>
      </w:r>
      <w:r w:rsidR="00EE754E">
        <w:rPr>
          <w:rFonts w:ascii="Arial" w:hAnsi="Arial" w:cs="Arial"/>
          <w:sz w:val="20"/>
          <w:szCs w:val="20"/>
        </w:rPr>
        <w:t>’</w:t>
      </w:r>
      <w:r w:rsidR="000B2322" w:rsidRPr="000B2322">
        <w:rPr>
          <w:rFonts w:ascii="Arial" w:hAnsi="Arial" w:cs="Arial"/>
          <w:sz w:val="20"/>
          <w:szCs w:val="20"/>
        </w:rPr>
        <w:t xml:space="preserve"> between that matter and the feared </w:t>
      </w:r>
      <w:r w:rsidR="000B2322" w:rsidRPr="00EE754E">
        <w:rPr>
          <w:rFonts w:ascii="Arial" w:hAnsi="Arial" w:cs="Arial"/>
          <w:sz w:val="20"/>
          <w:szCs w:val="20"/>
        </w:rPr>
        <w:t xml:space="preserve">departure from the judge deciding the case </w:t>
      </w:r>
      <w:r w:rsidR="000B2322" w:rsidRPr="00EE754E">
        <w:rPr>
          <w:rFonts w:ascii="Arial" w:hAnsi="Arial" w:cs="Arial"/>
          <w:sz w:val="20"/>
          <w:szCs w:val="20"/>
        </w:rPr>
        <w:lastRenderedPageBreak/>
        <w:t>on its merits</w:t>
      </w:r>
      <w:r w:rsidR="00EE754E" w:rsidRPr="00EE754E">
        <w:rPr>
          <w:rFonts w:ascii="Arial" w:hAnsi="Arial" w:cs="Arial"/>
          <w:sz w:val="20"/>
          <w:szCs w:val="20"/>
        </w:rPr>
        <w:t xml:space="preserve"> {Ebner (2000) 205 CLR 337 at 345 [8]; see also 350 [30]</w:t>
      </w:r>
      <w:r w:rsidR="00EE754E">
        <w:rPr>
          <w:rFonts w:ascii="Arial" w:hAnsi="Arial" w:cs="Arial"/>
          <w:sz w:val="20"/>
          <w:szCs w:val="20"/>
        </w:rPr>
        <w:t xml:space="preserve">}.  </w:t>
      </w:r>
      <w:r w:rsidR="000B2322" w:rsidRPr="000B2322">
        <w:rPr>
          <w:rFonts w:ascii="Arial" w:hAnsi="Arial" w:cs="Arial"/>
          <w:sz w:val="20"/>
          <w:szCs w:val="20"/>
        </w:rPr>
        <w:t xml:space="preserve">Once those two steps are taken, the reasonableness of the asserted </w:t>
      </w:r>
      <w:r w:rsidR="000B2322" w:rsidRPr="00EE754E">
        <w:rPr>
          <w:rFonts w:ascii="Arial" w:hAnsi="Arial" w:cs="Arial"/>
          <w:sz w:val="20"/>
          <w:szCs w:val="20"/>
        </w:rPr>
        <w:t>apprehension of bias can then ultimately be assessed</w:t>
      </w:r>
      <w:r w:rsidR="00EE754E" w:rsidRPr="00EE754E">
        <w:rPr>
          <w:rFonts w:ascii="Arial" w:hAnsi="Arial" w:cs="Arial"/>
          <w:sz w:val="20"/>
          <w:szCs w:val="20"/>
        </w:rPr>
        <w:t xml:space="preserve"> {</w:t>
      </w:r>
      <w:r w:rsidR="00EE754E" w:rsidRPr="00EE754E">
        <w:rPr>
          <w:rFonts w:ascii="Arial" w:hAnsi="Arial" w:cs="Arial"/>
          <w:i/>
          <w:iCs/>
          <w:sz w:val="20"/>
          <w:szCs w:val="20"/>
        </w:rPr>
        <w:t>Ebner</w:t>
      </w:r>
      <w:r w:rsidR="00EE754E" w:rsidRPr="00EE754E">
        <w:rPr>
          <w:rFonts w:ascii="Arial" w:hAnsi="Arial" w:cs="Arial"/>
          <w:sz w:val="20"/>
          <w:szCs w:val="20"/>
        </w:rPr>
        <w:t xml:space="preserve"> (2000) 205 CLR 337 at 345 [8], 350 [30]; </w:t>
      </w:r>
      <w:r w:rsidR="00EE754E" w:rsidRPr="00EE754E">
        <w:rPr>
          <w:rFonts w:ascii="Arial" w:hAnsi="Arial" w:cs="Arial"/>
          <w:i/>
          <w:iCs/>
          <w:sz w:val="20"/>
          <w:szCs w:val="20"/>
        </w:rPr>
        <w:t>Concrete</w:t>
      </w:r>
      <w:r w:rsidR="00EE754E" w:rsidRPr="00EE754E">
        <w:rPr>
          <w:rFonts w:ascii="Arial" w:hAnsi="Arial" w:cs="Arial"/>
          <w:sz w:val="20"/>
          <w:szCs w:val="20"/>
        </w:rPr>
        <w:t xml:space="preserve"> (2006) 229 CLR 577 at 609-610 [110]-[111]; </w:t>
      </w:r>
      <w:r w:rsidR="00EE754E" w:rsidRPr="00EE754E">
        <w:rPr>
          <w:rFonts w:ascii="Arial" w:hAnsi="Arial" w:cs="Arial"/>
          <w:i/>
          <w:iCs/>
          <w:sz w:val="20"/>
          <w:szCs w:val="20"/>
        </w:rPr>
        <w:t>CNY17</w:t>
      </w:r>
      <w:r w:rsidR="00EE754E" w:rsidRPr="00EE754E">
        <w:rPr>
          <w:rFonts w:ascii="Arial" w:hAnsi="Arial" w:cs="Arial"/>
          <w:sz w:val="20"/>
          <w:szCs w:val="20"/>
        </w:rPr>
        <w:t xml:space="preserve"> (2019) 268 CLR 76 at 88 [21], 98-99 [57]</w:t>
      </w:r>
      <w:r w:rsidR="00EE754E">
        <w:rPr>
          <w:rFonts w:ascii="Arial" w:hAnsi="Arial" w:cs="Arial"/>
          <w:sz w:val="20"/>
          <w:szCs w:val="20"/>
        </w:rPr>
        <w:t>}</w:t>
      </w:r>
      <w:r w:rsidR="00EE754E" w:rsidRPr="00EE754E">
        <w:rPr>
          <w:rFonts w:ascii="Arial" w:hAnsi="Arial" w:cs="Arial"/>
          <w:sz w:val="20"/>
          <w:szCs w:val="20"/>
        </w:rPr>
        <w:t>.</w:t>
      </w:r>
    </w:p>
    <w:p w14:paraId="1621A285" w14:textId="1D3FF202" w:rsidR="00EE754E" w:rsidRPr="001B409F" w:rsidRDefault="000C0683" w:rsidP="00EE754E">
      <w:pPr>
        <w:spacing w:before="60"/>
        <w:ind w:left="454" w:right="454"/>
        <w:jc w:val="both"/>
        <w:rPr>
          <w:rFonts w:ascii="Arial" w:hAnsi="Arial" w:cs="Arial"/>
          <w:sz w:val="20"/>
          <w:szCs w:val="20"/>
        </w:rPr>
      </w:pPr>
      <w:r w:rsidRPr="001B409F">
        <w:rPr>
          <w:rFonts w:ascii="Arial" w:hAnsi="Arial" w:cs="Arial"/>
          <w:sz w:val="20"/>
          <w:szCs w:val="20"/>
        </w:rPr>
        <w:t xml:space="preserve">[12] As five judges of this Court said in </w:t>
      </w:r>
      <w:r w:rsidRPr="001B409F">
        <w:rPr>
          <w:rFonts w:ascii="Arial" w:hAnsi="Arial" w:cs="Arial"/>
          <w:i/>
          <w:iCs/>
          <w:sz w:val="20"/>
          <w:szCs w:val="20"/>
        </w:rPr>
        <w:t>Johnson v Johnson</w:t>
      </w:r>
      <w:r w:rsidRPr="001B409F">
        <w:rPr>
          <w:rFonts w:ascii="Arial" w:hAnsi="Arial" w:cs="Arial"/>
          <w:sz w:val="20"/>
          <w:szCs w:val="20"/>
        </w:rPr>
        <w:t xml:space="preserve"> </w:t>
      </w:r>
      <w:r w:rsidR="001B409F" w:rsidRPr="001B409F">
        <w:rPr>
          <w:rFonts w:ascii="Arial" w:hAnsi="Arial" w:cs="Arial"/>
          <w:sz w:val="20"/>
          <w:szCs w:val="20"/>
        </w:rPr>
        <w:t xml:space="preserve">{(2000) 201 CLR 488 at 493 [13] (footnote omitted), quoted in Concrete (2006) 229 CLR 577 at 609-610 [111]. See also </w:t>
      </w:r>
      <w:r w:rsidR="001B409F" w:rsidRPr="001B409F">
        <w:rPr>
          <w:rFonts w:ascii="Arial" w:hAnsi="Arial" w:cs="Arial"/>
          <w:i/>
          <w:iCs/>
          <w:sz w:val="20"/>
          <w:szCs w:val="20"/>
        </w:rPr>
        <w:t>S &amp; M Motor Repairs Pty Ltd v Caltex Oil (Australia) Pty Ltd</w:t>
      </w:r>
      <w:r w:rsidR="001B409F" w:rsidRPr="001B409F">
        <w:rPr>
          <w:rFonts w:ascii="Arial" w:hAnsi="Arial" w:cs="Arial"/>
          <w:sz w:val="20"/>
          <w:szCs w:val="20"/>
        </w:rPr>
        <w:t xml:space="preserve"> (1988) 12 NSWLR 358 at 378-381},</w:t>
      </w:r>
      <w:r w:rsidRPr="001B409F">
        <w:rPr>
          <w:rFonts w:ascii="Arial" w:hAnsi="Arial" w:cs="Arial"/>
          <w:sz w:val="20"/>
          <w:szCs w:val="20"/>
        </w:rPr>
        <w:t xml:space="preserve"> while the fair-minded lay observer ‘is not to be assumed to have a detailed knowledge of the law, or of the character or ability of a particular judge, the reasonableness of any suggested apprehension of bias is to be considered in the context of ordinary judicial practice’.</w:t>
      </w:r>
    </w:p>
    <w:p w14:paraId="5259946F" w14:textId="057632BA" w:rsidR="001B409F" w:rsidRPr="00334789" w:rsidRDefault="000C0683" w:rsidP="001B409F">
      <w:pPr>
        <w:spacing w:before="60"/>
        <w:ind w:left="454" w:right="454"/>
        <w:jc w:val="both"/>
        <w:rPr>
          <w:rFonts w:ascii="Arial" w:hAnsi="Arial" w:cs="Arial"/>
          <w:sz w:val="20"/>
          <w:szCs w:val="20"/>
        </w:rPr>
      </w:pPr>
      <w:r w:rsidRPr="00334789">
        <w:rPr>
          <w:rFonts w:ascii="Arial" w:hAnsi="Arial" w:cs="Arial"/>
          <w:sz w:val="20"/>
          <w:szCs w:val="20"/>
        </w:rPr>
        <w:t xml:space="preserve">[13] </w:t>
      </w:r>
      <w:r w:rsidR="001B409F" w:rsidRPr="00334789">
        <w:rPr>
          <w:rFonts w:ascii="Arial" w:hAnsi="Arial" w:cs="Arial"/>
          <w:sz w:val="20"/>
          <w:szCs w:val="20"/>
        </w:rPr>
        <w:t xml:space="preserve">Ordinary judicial practice, or what might be described in this context as the most basic of judicial practice, was relevantly and clearly stated by Gibbs CJ and </w:t>
      </w:r>
      <w:r w:rsidR="000B2322" w:rsidRPr="00334789">
        <w:rPr>
          <w:rFonts w:ascii="Arial" w:hAnsi="Arial" w:cs="Arial"/>
          <w:sz w:val="20"/>
          <w:szCs w:val="20"/>
        </w:rPr>
        <w:t xml:space="preserve">Mason J in </w:t>
      </w:r>
      <w:r w:rsidR="000B2322" w:rsidRPr="00334789">
        <w:rPr>
          <w:rFonts w:ascii="Arial" w:hAnsi="Arial" w:cs="Arial"/>
          <w:i/>
          <w:iCs/>
          <w:sz w:val="20"/>
          <w:szCs w:val="20"/>
        </w:rPr>
        <w:t>Re JRL; Ex parte CJL</w:t>
      </w:r>
      <w:r w:rsidR="001B409F" w:rsidRPr="00334789">
        <w:rPr>
          <w:rFonts w:ascii="Arial" w:hAnsi="Arial" w:cs="Arial"/>
          <w:sz w:val="20"/>
          <w:szCs w:val="20"/>
        </w:rPr>
        <w:t xml:space="preserve"> {(1986) 161 CLR 342 at 346, 350-351}</w:t>
      </w:r>
      <w:r w:rsidR="000B2322" w:rsidRPr="00334789">
        <w:rPr>
          <w:rFonts w:ascii="Arial" w:hAnsi="Arial" w:cs="Arial"/>
          <w:sz w:val="20"/>
          <w:szCs w:val="20"/>
        </w:rPr>
        <w:t xml:space="preserve"> in 1986 by adopting what was said by McInerney J </w:t>
      </w:r>
      <w:r w:rsidR="00334789" w:rsidRPr="00334789">
        <w:rPr>
          <w:rFonts w:ascii="Arial" w:hAnsi="Arial" w:cs="Arial"/>
          <w:sz w:val="20"/>
          <w:szCs w:val="20"/>
        </w:rPr>
        <w:t xml:space="preserve">in 1972 </w:t>
      </w:r>
      <w:r w:rsidR="000B2322" w:rsidRPr="00334789">
        <w:rPr>
          <w:rFonts w:ascii="Arial" w:hAnsi="Arial" w:cs="Arial"/>
          <w:sz w:val="20"/>
          <w:szCs w:val="20"/>
        </w:rPr>
        <w:t xml:space="preserve">in </w:t>
      </w:r>
      <w:r w:rsidR="000B2322" w:rsidRPr="00334789">
        <w:rPr>
          <w:rFonts w:ascii="Arial" w:hAnsi="Arial" w:cs="Arial"/>
          <w:i/>
          <w:iCs/>
          <w:sz w:val="20"/>
          <w:szCs w:val="20"/>
        </w:rPr>
        <w:t>R v Magistrates' Court at Lilydale; Ex parte Ciccone</w:t>
      </w:r>
      <w:r w:rsidR="001B409F" w:rsidRPr="00334789">
        <w:rPr>
          <w:rFonts w:ascii="Arial" w:hAnsi="Arial" w:cs="Arial"/>
          <w:sz w:val="20"/>
          <w:szCs w:val="20"/>
        </w:rPr>
        <w:t xml:space="preserve"> {[1973] VR 122 at 127. Now reflected in Australasian Institute of Judicial Administration Inc, Guide to Judicial Conduct, 3rd ed (2017) at 19-20 [4.3]</w:t>
      </w:r>
      <w:r w:rsidR="00334789" w:rsidRPr="00334789">
        <w:rPr>
          <w:rFonts w:ascii="Arial" w:hAnsi="Arial" w:cs="Arial"/>
          <w:sz w:val="20"/>
          <w:szCs w:val="20"/>
        </w:rPr>
        <w:t>}:</w:t>
      </w:r>
    </w:p>
    <w:p w14:paraId="5424944A" w14:textId="4D32A9E5" w:rsidR="00334789" w:rsidRPr="00EC5F4C" w:rsidRDefault="00334789" w:rsidP="00334789">
      <w:pPr>
        <w:spacing w:before="60"/>
        <w:ind w:left="907" w:right="907"/>
        <w:jc w:val="both"/>
        <w:rPr>
          <w:rFonts w:ascii="Arial" w:hAnsi="Arial" w:cs="Arial"/>
          <w:color w:val="000000"/>
          <w:sz w:val="18"/>
          <w:szCs w:val="22"/>
        </w:rPr>
      </w:pPr>
      <w:r w:rsidRPr="00EC5F4C">
        <w:rPr>
          <w:rFonts w:ascii="Arial" w:hAnsi="Arial" w:cs="Arial"/>
          <w:color w:val="000000"/>
          <w:sz w:val="18"/>
          <w:szCs w:val="22"/>
        </w:rPr>
        <w:t>‘</w:t>
      </w:r>
      <w:r w:rsidRPr="00EC5F4C">
        <w:rPr>
          <w:rFonts w:ascii="Arial" w:hAnsi="Arial" w:cs="Arial"/>
          <w:sz w:val="18"/>
          <w:szCs w:val="18"/>
        </w:rPr>
        <w:t>The sound instinct of the legal profession – judges and practitioners alike – has always been that, save in the most exceptional cases, there should be no communication or association between the judge and one of the parties (or the legal advisers or witnesses of such a party), otherwise than in the presence of or with the previous knowledge and consent of the other party. Once the case is under way, or about to get under way, the judicial officer keeps aloof from the parties (and from their legal advisers and witnesses) and neither he nor they should so act as to expose the judicial officer to a suspicion of having had communications with one party behind the back of or without the previous knowledge and consent of the other party. For if something is done which affords a reasonable basis for such suspicion, confidence in the impartiality of the judicial officer is undermined.’</w:t>
      </w:r>
    </w:p>
    <w:p w14:paraId="0BDE7C07" w14:textId="3B3B81D2" w:rsidR="001B409F" w:rsidRDefault="00334789" w:rsidP="001B409F">
      <w:pPr>
        <w:spacing w:before="60"/>
        <w:ind w:left="454" w:right="454"/>
        <w:jc w:val="both"/>
        <w:rPr>
          <w:rFonts w:ascii="Arial" w:hAnsi="Arial" w:cs="Arial"/>
          <w:sz w:val="20"/>
          <w:szCs w:val="20"/>
        </w:rPr>
      </w:pPr>
      <w:r>
        <w:rPr>
          <w:rFonts w:ascii="Arial" w:hAnsi="Arial" w:cs="Arial"/>
          <w:sz w:val="20"/>
          <w:szCs w:val="20"/>
        </w:rPr>
        <w:t xml:space="preserve">[14] </w:t>
      </w:r>
      <w:r w:rsidRPr="000B2322">
        <w:rPr>
          <w:rFonts w:ascii="Arial" w:hAnsi="Arial" w:cs="Arial"/>
          <w:sz w:val="20"/>
          <w:szCs w:val="20"/>
        </w:rPr>
        <w:t xml:space="preserve">In this matter, what is said might have led the trial judge to decide the case other than on its legal and factual merits was identified. It comprised the various communications between the trial judge and the wife's barrister </w:t>
      </w:r>
      <w:r>
        <w:rPr>
          <w:rFonts w:ascii="Arial" w:hAnsi="Arial" w:cs="Arial"/>
          <w:sz w:val="20"/>
          <w:szCs w:val="20"/>
        </w:rPr>
        <w:t>‘</w:t>
      </w:r>
      <w:r w:rsidRPr="000B2322">
        <w:rPr>
          <w:rFonts w:ascii="Arial" w:hAnsi="Arial" w:cs="Arial"/>
          <w:sz w:val="20"/>
          <w:szCs w:val="20"/>
        </w:rPr>
        <w:t xml:space="preserve">otherwise than in the presence of or with the previous </w:t>
      </w:r>
      <w:r w:rsidRPr="00334789">
        <w:rPr>
          <w:rFonts w:ascii="Arial" w:hAnsi="Arial" w:cs="Arial"/>
          <w:sz w:val="20"/>
          <w:szCs w:val="20"/>
        </w:rPr>
        <w:t xml:space="preserve">knowledge and consent of’ {cf </w:t>
      </w:r>
      <w:r w:rsidRPr="00F50CEE">
        <w:rPr>
          <w:rFonts w:ascii="Arial" w:hAnsi="Arial" w:cs="Arial"/>
          <w:i/>
          <w:iCs/>
          <w:sz w:val="20"/>
          <w:szCs w:val="20"/>
        </w:rPr>
        <w:t>Magistrates' Court at Lilydale</w:t>
      </w:r>
      <w:r w:rsidRPr="00334789">
        <w:rPr>
          <w:rFonts w:ascii="Arial" w:hAnsi="Arial" w:cs="Arial"/>
          <w:sz w:val="20"/>
          <w:szCs w:val="20"/>
        </w:rPr>
        <w:t xml:space="preserve"> [1973] VR 122 at 127} the other parties to the litigation. Indeed, given the timing and frequency of the communications </w:t>
      </w:r>
      <w:r w:rsidRPr="000B2322">
        <w:rPr>
          <w:rFonts w:ascii="Arial" w:hAnsi="Arial" w:cs="Arial"/>
          <w:sz w:val="20"/>
          <w:szCs w:val="20"/>
        </w:rPr>
        <w:t>between the trial judge and the wife's barrister, it cannot be imagined that the other parties to the litigation would have given informed consent to the communications even if consent had been sought, and it was not. The communications should not have taken place. There were no exceptional circumstances.</w:t>
      </w:r>
    </w:p>
    <w:p w14:paraId="74F03768" w14:textId="2839C1B8" w:rsidR="00334789" w:rsidRDefault="00334789" w:rsidP="001B409F">
      <w:pPr>
        <w:spacing w:before="60"/>
        <w:ind w:left="454" w:right="454"/>
        <w:jc w:val="both"/>
        <w:rPr>
          <w:rFonts w:ascii="Arial" w:hAnsi="Arial" w:cs="Arial"/>
          <w:sz w:val="20"/>
          <w:szCs w:val="20"/>
        </w:rPr>
      </w:pPr>
      <w:r>
        <w:rPr>
          <w:rFonts w:ascii="Arial" w:hAnsi="Arial" w:cs="Arial"/>
          <w:sz w:val="20"/>
          <w:szCs w:val="20"/>
        </w:rPr>
        <w:t xml:space="preserve">[15] </w:t>
      </w:r>
      <w:r w:rsidRPr="000B2322">
        <w:rPr>
          <w:rFonts w:ascii="Arial" w:hAnsi="Arial" w:cs="Arial"/>
          <w:sz w:val="20"/>
          <w:szCs w:val="20"/>
        </w:rPr>
        <w:t>A fair-minded lay observer, understanding that ordinary and most basic of judicial practice, would reasonably apprehend that the trial judge might not bring an impartial mind to the resolution of the questions his Honour was required to decide. The trial judge's impartiality might have been compromised by something said in the course of the communications with the wife's barrister, or by some aspect of the personal relationship exemplified by the communications. Accordingly, there is a logical and direct connection between the communications and the feared departure from the trial judge deciding the case on its merits.</w:t>
      </w:r>
    </w:p>
    <w:p w14:paraId="17C8081F" w14:textId="6F39A94A" w:rsidR="00F50CEE" w:rsidRDefault="007964B5" w:rsidP="007964B5">
      <w:pPr>
        <w:spacing w:before="60"/>
        <w:ind w:left="454" w:right="454"/>
        <w:jc w:val="both"/>
        <w:rPr>
          <w:rFonts w:ascii="Arial" w:hAnsi="Arial" w:cs="Arial"/>
          <w:sz w:val="20"/>
          <w:szCs w:val="20"/>
        </w:rPr>
      </w:pPr>
      <w:r>
        <w:rPr>
          <w:rFonts w:ascii="Arial" w:hAnsi="Arial" w:cs="Arial"/>
          <w:sz w:val="20"/>
          <w:szCs w:val="20"/>
        </w:rPr>
        <w:t xml:space="preserve">[16] </w:t>
      </w:r>
      <w:r w:rsidR="000B2322" w:rsidRPr="000B2322">
        <w:rPr>
          <w:rFonts w:ascii="Arial" w:hAnsi="Arial" w:cs="Arial"/>
          <w:sz w:val="20"/>
          <w:szCs w:val="20"/>
        </w:rPr>
        <w:t xml:space="preserve">In their reasons the majority in the Full Court recognised the principle of judicial practice. Their Honours accepted that once a trial has commenced, private communication between a judge and counsel for one of the parties, without the knowledge and consent of the other parties, is so obvious a departure from the norms of judicial and professional conduct that it will usually be sufficient to establish the first limb in </w:t>
      </w:r>
      <w:r w:rsidR="000B2322" w:rsidRPr="007964B5">
        <w:rPr>
          <w:rFonts w:ascii="Arial" w:hAnsi="Arial" w:cs="Arial"/>
          <w:i/>
          <w:iCs/>
          <w:sz w:val="20"/>
          <w:szCs w:val="20"/>
        </w:rPr>
        <w:t>Ebner v Official Trustee in Bankruptcy</w:t>
      </w:r>
      <w:r>
        <w:rPr>
          <w:rFonts w:ascii="Arial" w:hAnsi="Arial" w:cs="Arial"/>
          <w:i/>
          <w:iCs/>
          <w:sz w:val="20"/>
          <w:szCs w:val="20"/>
        </w:rPr>
        <w:t xml:space="preserve"> </w:t>
      </w:r>
      <w:r w:rsidRPr="007964B5">
        <w:rPr>
          <w:rFonts w:ascii="Arial" w:hAnsi="Arial" w:cs="Arial"/>
          <w:sz w:val="20"/>
          <w:szCs w:val="20"/>
        </w:rPr>
        <w:t xml:space="preserve">(2000) 205 CLR 337.  </w:t>
      </w:r>
      <w:r w:rsidRPr="000B2322">
        <w:rPr>
          <w:rFonts w:ascii="Arial" w:hAnsi="Arial" w:cs="Arial"/>
          <w:sz w:val="20"/>
          <w:szCs w:val="20"/>
        </w:rPr>
        <w:t xml:space="preserve">Nothing that was said in the passage in </w:t>
      </w:r>
      <w:r w:rsidRPr="007964B5">
        <w:rPr>
          <w:rFonts w:ascii="Arial" w:hAnsi="Arial" w:cs="Arial"/>
          <w:i/>
          <w:iCs/>
          <w:sz w:val="20"/>
          <w:szCs w:val="20"/>
        </w:rPr>
        <w:t>Magistrates' Court at Lilydale</w:t>
      </w:r>
      <w:r>
        <w:rPr>
          <w:rFonts w:ascii="Arial" w:hAnsi="Arial" w:cs="Arial"/>
          <w:sz w:val="20"/>
          <w:szCs w:val="20"/>
        </w:rPr>
        <w:t xml:space="preserve"> </w:t>
      </w:r>
      <w:r w:rsidRPr="007964B5">
        <w:rPr>
          <w:rFonts w:ascii="Arial" w:hAnsi="Arial" w:cs="Arial"/>
          <w:sz w:val="20"/>
          <w:szCs w:val="20"/>
        </w:rPr>
        <w:t>[1973] VR 122 at 127</w:t>
      </w:r>
      <w:r>
        <w:rPr>
          <w:rFonts w:ascii="Arial" w:hAnsi="Arial" w:cs="Arial"/>
          <w:sz w:val="20"/>
          <w:szCs w:val="20"/>
        </w:rPr>
        <w:t xml:space="preserve"> extracted above, in guidelines {</w:t>
      </w:r>
      <w:r w:rsidRPr="007964B5">
        <w:rPr>
          <w:rFonts w:ascii="Arial" w:hAnsi="Arial" w:cs="Arial"/>
          <w:sz w:val="20"/>
          <w:szCs w:val="20"/>
        </w:rPr>
        <w:t>Australasian Institute of Judicial Administration Inc, Guide to Judicial Conduct, 3rd ed (2017) at 34 [6.11.1]</w:t>
      </w:r>
      <w:r>
        <w:rPr>
          <w:rFonts w:ascii="Arial" w:hAnsi="Arial" w:cs="Arial"/>
          <w:sz w:val="20"/>
          <w:szCs w:val="20"/>
        </w:rPr>
        <w:t xml:space="preserve">} </w:t>
      </w:r>
      <w:r w:rsidR="000B2322" w:rsidRPr="000B2322">
        <w:rPr>
          <w:rFonts w:ascii="Arial" w:hAnsi="Arial" w:cs="Arial"/>
          <w:sz w:val="20"/>
          <w:szCs w:val="20"/>
        </w:rPr>
        <w:t xml:space="preserve">or in a leading text </w:t>
      </w:r>
      <w:r w:rsidR="000B2322" w:rsidRPr="00F50CEE">
        <w:rPr>
          <w:rFonts w:ascii="Arial" w:hAnsi="Arial" w:cs="Arial"/>
          <w:sz w:val="20"/>
          <w:szCs w:val="20"/>
        </w:rPr>
        <w:t xml:space="preserve">on judicial ethics </w:t>
      </w:r>
      <w:r w:rsidR="00F50CEE" w:rsidRPr="00F50CEE">
        <w:rPr>
          <w:rFonts w:ascii="Arial" w:hAnsi="Arial" w:cs="Arial"/>
          <w:sz w:val="20"/>
          <w:szCs w:val="20"/>
        </w:rPr>
        <w:t xml:space="preserve">{Thomas, Judicial Ethics in Australia, 3rd ed (2009) at 65 [4.65]} </w:t>
      </w:r>
      <w:r w:rsidR="000B2322" w:rsidRPr="00F50CEE">
        <w:rPr>
          <w:rFonts w:ascii="Arial" w:hAnsi="Arial" w:cs="Arial"/>
          <w:sz w:val="20"/>
          <w:szCs w:val="20"/>
        </w:rPr>
        <w:t>limits the period necessary to avoid communication to after the commencement of the trial. In any</w:t>
      </w:r>
      <w:r w:rsidR="000B2322" w:rsidRPr="000B2322">
        <w:rPr>
          <w:rFonts w:ascii="Arial" w:hAnsi="Arial" w:cs="Arial"/>
          <w:sz w:val="20"/>
          <w:szCs w:val="20"/>
        </w:rPr>
        <w:t xml:space="preserve"> event, whilst communication here was halted while evidence was taken, it was resumed before final submissions and continued over the lengthy period of 17 months when the written reasons for the judgment on the question of recusal and the judgment on the settlement of property were reserved.</w:t>
      </w:r>
    </w:p>
    <w:p w14:paraId="4F8CE136" w14:textId="77777777" w:rsidR="00F50CEE" w:rsidRDefault="00F50CEE" w:rsidP="00F50CEE">
      <w:pPr>
        <w:spacing w:before="60"/>
        <w:ind w:left="454" w:right="454"/>
        <w:jc w:val="both"/>
        <w:rPr>
          <w:rFonts w:ascii="Arial" w:hAnsi="Arial" w:cs="Arial"/>
          <w:sz w:val="20"/>
          <w:szCs w:val="20"/>
        </w:rPr>
      </w:pPr>
      <w:r>
        <w:rPr>
          <w:rFonts w:ascii="Arial" w:hAnsi="Arial" w:cs="Arial"/>
          <w:sz w:val="20"/>
          <w:szCs w:val="20"/>
        </w:rPr>
        <w:t xml:space="preserve">[17] </w:t>
      </w:r>
      <w:r w:rsidR="000B2322" w:rsidRPr="000B2322">
        <w:rPr>
          <w:rFonts w:ascii="Arial" w:hAnsi="Arial" w:cs="Arial"/>
          <w:sz w:val="20"/>
          <w:szCs w:val="20"/>
        </w:rPr>
        <w:t>Focusing on this latter period, the majority in the Full Court reasoned tha</w:t>
      </w:r>
      <w:r>
        <w:rPr>
          <w:rFonts w:ascii="Arial" w:hAnsi="Arial" w:cs="Arial"/>
          <w:sz w:val="20"/>
          <w:szCs w:val="20"/>
        </w:rPr>
        <w:t xml:space="preserve">t </w:t>
      </w:r>
      <w:r w:rsidRPr="00F50CEE">
        <w:rPr>
          <w:rFonts w:ascii="Arial" w:hAnsi="Arial" w:cs="Arial"/>
          <w:sz w:val="20"/>
          <w:szCs w:val="20"/>
        </w:rPr>
        <w:t>the trial judge and the wife's barrister were aware of some of their obligations, by not communicating during the course of the trial, and the trial judge may be taken to have failed to appreciate that the same strictness applied at other times. According to the majority, the hypothetical observer would understand that the trial judge mistakenly held such a view but would not consider his lack of disclosure to be sinister.</w:t>
      </w:r>
    </w:p>
    <w:p w14:paraId="3446FBB9" w14:textId="372394AC" w:rsidR="004E3768" w:rsidRDefault="00F50CEE" w:rsidP="004E3768">
      <w:pPr>
        <w:spacing w:before="60"/>
        <w:ind w:left="454" w:right="454"/>
        <w:jc w:val="both"/>
        <w:rPr>
          <w:rFonts w:ascii="Arial" w:hAnsi="Arial" w:cs="Arial"/>
          <w:sz w:val="20"/>
          <w:szCs w:val="20"/>
        </w:rPr>
      </w:pPr>
      <w:r w:rsidRPr="004E3768">
        <w:rPr>
          <w:rFonts w:ascii="Arial" w:hAnsi="Arial" w:cs="Arial"/>
          <w:sz w:val="20"/>
          <w:szCs w:val="20"/>
        </w:rPr>
        <w:lastRenderedPageBreak/>
        <w:t xml:space="preserve">[18] This reasoning is erroneous. The apprehension of bias principle is so important to perceptions of independence and impartiality ‘that even the </w:t>
      </w:r>
      <w:r w:rsidRPr="004E3768">
        <w:rPr>
          <w:rFonts w:ascii="Arial" w:hAnsi="Arial" w:cs="Arial"/>
          <w:i/>
          <w:iCs/>
          <w:sz w:val="20"/>
          <w:szCs w:val="20"/>
        </w:rPr>
        <w:t>appearance</w:t>
      </w:r>
      <w:r w:rsidRPr="004E3768">
        <w:rPr>
          <w:rFonts w:ascii="Arial" w:hAnsi="Arial" w:cs="Arial"/>
          <w:sz w:val="20"/>
          <w:szCs w:val="20"/>
        </w:rPr>
        <w:t xml:space="preserve"> of departure from it is prohibited lest the integrity of the judicial system be undermined’ (emphasis added) {</w:t>
      </w:r>
      <w:r w:rsidRPr="004E3768">
        <w:rPr>
          <w:rFonts w:ascii="Arial" w:hAnsi="Arial" w:cs="Arial"/>
          <w:i/>
          <w:iCs/>
          <w:sz w:val="20"/>
          <w:szCs w:val="20"/>
        </w:rPr>
        <w:t>Ebner</w:t>
      </w:r>
      <w:r w:rsidRPr="004E3768">
        <w:rPr>
          <w:rFonts w:ascii="Arial" w:hAnsi="Arial" w:cs="Arial"/>
          <w:sz w:val="20"/>
          <w:szCs w:val="20"/>
        </w:rPr>
        <w:t xml:space="preserve"> (2000) 205 CLR 337 at 345 [7]}. No prediction by the court is involved</w:t>
      </w:r>
      <w:r w:rsidR="004E3768">
        <w:rPr>
          <w:rFonts w:ascii="Arial" w:hAnsi="Arial" w:cs="Arial"/>
          <w:sz w:val="20"/>
          <w:szCs w:val="20"/>
        </w:rPr>
        <w:t xml:space="preserve"> </w:t>
      </w:r>
      <w:r w:rsidR="004E3768" w:rsidRPr="004E3768">
        <w:rPr>
          <w:rFonts w:ascii="Arial" w:hAnsi="Arial" w:cs="Arial"/>
          <w:sz w:val="20"/>
          <w:szCs w:val="20"/>
        </w:rPr>
        <w:t>in deciding whether a judge might not bring an impartial mind to bear {</w:t>
      </w:r>
      <w:r w:rsidR="004E3768" w:rsidRPr="004E3768">
        <w:rPr>
          <w:rFonts w:ascii="Arial" w:hAnsi="Arial" w:cs="Arial"/>
          <w:i/>
          <w:iCs/>
          <w:sz w:val="20"/>
          <w:szCs w:val="20"/>
        </w:rPr>
        <w:t>Ebner</w:t>
      </w:r>
      <w:r w:rsidR="004E3768" w:rsidRPr="004E3768">
        <w:rPr>
          <w:rFonts w:ascii="Arial" w:hAnsi="Arial" w:cs="Arial"/>
          <w:sz w:val="20"/>
          <w:szCs w:val="20"/>
        </w:rPr>
        <w:t xml:space="preserve"> (2000) 205 CLR 337 at 345 [7]-[8]</w:t>
      </w:r>
      <w:r w:rsidR="004E3768">
        <w:rPr>
          <w:rFonts w:ascii="Arial" w:hAnsi="Arial" w:cs="Arial"/>
          <w:sz w:val="20"/>
          <w:szCs w:val="20"/>
        </w:rPr>
        <w:t xml:space="preserve">}.  </w:t>
      </w:r>
      <w:r w:rsidR="004E3768" w:rsidRPr="004E3768">
        <w:rPr>
          <w:rFonts w:ascii="Arial" w:hAnsi="Arial" w:cs="Arial"/>
          <w:sz w:val="20"/>
          <w:szCs w:val="20"/>
        </w:rPr>
        <w:t>No question as to the understanding or motivation of the particular judge arises.</w:t>
      </w:r>
    </w:p>
    <w:p w14:paraId="30A143FA" w14:textId="1392928E" w:rsidR="004E3768" w:rsidRDefault="004E3768" w:rsidP="004E3768">
      <w:pPr>
        <w:spacing w:before="60"/>
        <w:ind w:left="454" w:right="454"/>
        <w:jc w:val="both"/>
        <w:rPr>
          <w:rFonts w:ascii="Arial" w:hAnsi="Arial" w:cs="Arial"/>
          <w:sz w:val="20"/>
          <w:szCs w:val="20"/>
        </w:rPr>
      </w:pPr>
      <w:r>
        <w:rPr>
          <w:rFonts w:ascii="Arial" w:hAnsi="Arial" w:cs="Arial"/>
          <w:sz w:val="20"/>
          <w:szCs w:val="20"/>
        </w:rPr>
        <w:t>[</w:t>
      </w:r>
      <w:r w:rsidRPr="004E3768">
        <w:rPr>
          <w:rFonts w:ascii="Arial" w:hAnsi="Arial" w:cs="Arial"/>
          <w:sz w:val="20"/>
          <w:szCs w:val="20"/>
        </w:rPr>
        <w:t>19</w:t>
      </w:r>
      <w:r>
        <w:rPr>
          <w:rFonts w:ascii="Arial" w:hAnsi="Arial" w:cs="Arial"/>
          <w:sz w:val="20"/>
          <w:szCs w:val="20"/>
        </w:rPr>
        <w:t>]</w:t>
      </w:r>
      <w:r w:rsidRPr="004E3768">
        <w:rPr>
          <w:rFonts w:ascii="Arial" w:hAnsi="Arial" w:cs="Arial"/>
          <w:sz w:val="20"/>
          <w:szCs w:val="20"/>
        </w:rPr>
        <w:t xml:space="preserve"> The lack of disclosure in this case is particularly troubling. It is difficult to comprehend how the trial judge could have failed to appreciate the need to disclose the communications, particularly when he was dealing with the application to recuse himself on other grounds. It may give the hypothetical observer reason to doubt the correctness of the claim by the wife's barrister that their communications did not concern </w:t>
      </w:r>
      <w:r>
        <w:rPr>
          <w:rFonts w:ascii="Arial" w:hAnsi="Arial" w:cs="Arial"/>
          <w:sz w:val="20"/>
          <w:szCs w:val="20"/>
        </w:rPr>
        <w:t>‘</w:t>
      </w:r>
      <w:r w:rsidRPr="004E3768">
        <w:rPr>
          <w:rFonts w:ascii="Arial" w:hAnsi="Arial" w:cs="Arial"/>
          <w:sz w:val="20"/>
          <w:szCs w:val="20"/>
        </w:rPr>
        <w:t>the substance</w:t>
      </w:r>
      <w:r>
        <w:rPr>
          <w:rFonts w:ascii="Arial" w:hAnsi="Arial" w:cs="Arial"/>
          <w:sz w:val="20"/>
          <w:szCs w:val="20"/>
        </w:rPr>
        <w:t>’</w:t>
      </w:r>
      <w:r w:rsidRPr="004E3768">
        <w:rPr>
          <w:rFonts w:ascii="Arial" w:hAnsi="Arial" w:cs="Arial"/>
          <w:sz w:val="20"/>
          <w:szCs w:val="20"/>
        </w:rPr>
        <w:t xml:space="preserve"> of the case, if the ambiguity inherent in that statement is not itself of sufficient concern.</w:t>
      </w:r>
    </w:p>
    <w:p w14:paraId="723CA937" w14:textId="206F7918" w:rsidR="004E3768" w:rsidRDefault="004E3768" w:rsidP="00767AA0">
      <w:pPr>
        <w:spacing w:before="60"/>
        <w:ind w:left="454" w:right="454"/>
        <w:jc w:val="both"/>
        <w:rPr>
          <w:rFonts w:ascii="Arial" w:hAnsi="Arial" w:cs="Arial"/>
          <w:sz w:val="20"/>
          <w:szCs w:val="20"/>
        </w:rPr>
      </w:pPr>
      <w:r>
        <w:rPr>
          <w:rFonts w:ascii="Arial" w:hAnsi="Arial" w:cs="Arial"/>
          <w:sz w:val="20"/>
          <w:szCs w:val="20"/>
        </w:rPr>
        <w:t>[</w:t>
      </w:r>
      <w:r w:rsidRPr="004E3768">
        <w:rPr>
          <w:rFonts w:ascii="Arial" w:hAnsi="Arial" w:cs="Arial"/>
          <w:sz w:val="20"/>
          <w:szCs w:val="20"/>
        </w:rPr>
        <w:t>20</w:t>
      </w:r>
      <w:r>
        <w:rPr>
          <w:rFonts w:ascii="Arial" w:hAnsi="Arial" w:cs="Arial"/>
          <w:sz w:val="20"/>
          <w:szCs w:val="20"/>
        </w:rPr>
        <w:t>]</w:t>
      </w:r>
      <w:r w:rsidRPr="004E3768">
        <w:rPr>
          <w:rFonts w:ascii="Arial" w:hAnsi="Arial" w:cs="Arial"/>
          <w:sz w:val="20"/>
          <w:szCs w:val="20"/>
        </w:rPr>
        <w:t xml:space="preserve"> The majority also reasoned that the second limb in </w:t>
      </w:r>
      <w:r w:rsidRPr="004E3768">
        <w:rPr>
          <w:rFonts w:ascii="Arial" w:hAnsi="Arial" w:cs="Arial"/>
          <w:i/>
          <w:iCs/>
          <w:sz w:val="20"/>
          <w:szCs w:val="20"/>
        </w:rPr>
        <w:t>Ebner</w:t>
      </w:r>
      <w:r w:rsidRPr="004E3768">
        <w:rPr>
          <w:rFonts w:ascii="Arial" w:hAnsi="Arial" w:cs="Arial"/>
          <w:sz w:val="20"/>
          <w:szCs w:val="20"/>
        </w:rPr>
        <w:t xml:space="preserve"> was not made out by reference to what the fair-minded lay observer, properly informed as to the judiciary and the Bar, would think. The information included that barristers are professional members of an independent Bar who do not identify with the client; that judges are usually appointed from the senior ranks of the Bar; and that it may be expected they will have personal or professional associations with many counsel appearing before them {citing </w:t>
      </w:r>
      <w:r w:rsidRPr="004E3768">
        <w:rPr>
          <w:rFonts w:ascii="Arial" w:hAnsi="Arial" w:cs="Arial"/>
          <w:i/>
          <w:iCs/>
          <w:sz w:val="20"/>
          <w:szCs w:val="20"/>
        </w:rPr>
        <w:t>Aussie Airlines Pty Ltd v Australian Airlines Pty Ltd</w:t>
      </w:r>
      <w:r w:rsidRPr="004E3768">
        <w:rPr>
          <w:rFonts w:ascii="Arial" w:hAnsi="Arial" w:cs="Arial"/>
          <w:sz w:val="20"/>
          <w:szCs w:val="20"/>
        </w:rPr>
        <w:t xml:space="preserve"> (1996) 65 FCR 215 at 230. See also </w:t>
      </w:r>
      <w:r w:rsidRPr="004E3768">
        <w:rPr>
          <w:rFonts w:ascii="Arial" w:hAnsi="Arial" w:cs="Arial"/>
          <w:i/>
          <w:iCs/>
          <w:sz w:val="20"/>
          <w:szCs w:val="20"/>
        </w:rPr>
        <w:t>Taylor v Lawrence</w:t>
      </w:r>
      <w:r w:rsidRPr="004E3768">
        <w:rPr>
          <w:rFonts w:ascii="Arial" w:hAnsi="Arial" w:cs="Arial"/>
          <w:sz w:val="20"/>
          <w:szCs w:val="20"/>
        </w:rPr>
        <w:t xml:space="preserve"> [2003] QB 528 at 554-555 [73]}.  Informed by such matters, the majority reasoned, the hypothetical observer would be </w:t>
      </w:r>
      <w:r w:rsidR="00767AA0">
        <w:rPr>
          <w:rFonts w:ascii="Arial" w:hAnsi="Arial" w:cs="Arial"/>
          <w:sz w:val="20"/>
          <w:szCs w:val="20"/>
        </w:rPr>
        <w:t>‘</w:t>
      </w:r>
      <w:r w:rsidRPr="004E3768">
        <w:rPr>
          <w:rFonts w:ascii="Arial" w:hAnsi="Arial" w:cs="Arial"/>
          <w:sz w:val="20"/>
          <w:szCs w:val="20"/>
        </w:rPr>
        <w:t>able to tolerate</w:t>
      </w:r>
      <w:r w:rsidR="00767AA0">
        <w:rPr>
          <w:rFonts w:ascii="Arial" w:hAnsi="Arial" w:cs="Arial"/>
          <w:sz w:val="20"/>
          <w:szCs w:val="20"/>
        </w:rPr>
        <w:t>’</w:t>
      </w:r>
      <w:r w:rsidRPr="004E3768">
        <w:rPr>
          <w:rFonts w:ascii="Arial" w:hAnsi="Arial" w:cs="Arial"/>
          <w:sz w:val="20"/>
          <w:szCs w:val="20"/>
        </w:rPr>
        <w:t xml:space="preserve"> some degree of private communication between a judge and the legal representative of only one party, even if undisclosed. The majority considered that the hypothetical observer would accept in this case that the judge and the wife's barrister would adhere to professional restraint in what was discussed and would accept that a professional judge who has taken an oath of office would not discuss the case at hand</w:t>
      </w:r>
      <w:r w:rsidR="00767AA0">
        <w:rPr>
          <w:rFonts w:ascii="Arial" w:hAnsi="Arial" w:cs="Arial"/>
          <w:sz w:val="20"/>
          <w:szCs w:val="20"/>
        </w:rPr>
        <w:t>.</w:t>
      </w:r>
    </w:p>
    <w:p w14:paraId="1E661862" w14:textId="77777777" w:rsidR="00767AA0" w:rsidRPr="00767AA0" w:rsidRDefault="00767AA0" w:rsidP="00767AA0">
      <w:pPr>
        <w:spacing w:before="60"/>
        <w:ind w:left="454" w:right="454"/>
        <w:jc w:val="both"/>
        <w:rPr>
          <w:rFonts w:ascii="Arial" w:hAnsi="Arial" w:cs="Arial"/>
          <w:sz w:val="20"/>
          <w:szCs w:val="20"/>
        </w:rPr>
      </w:pPr>
      <w:r w:rsidRPr="00767AA0">
        <w:rPr>
          <w:rFonts w:ascii="Arial" w:hAnsi="Arial" w:cs="Arial"/>
          <w:sz w:val="20"/>
          <w:szCs w:val="20"/>
        </w:rPr>
        <w:t>[21] Once again, this reasoning is erroneous. The alignment of the fair-minded lay observer with the judiciary and the legal profession is inconsistent with the apprehension of bias principle and its operation and purpose. The hypothetical observer is a standard by which the courts address what may appear to the public served by the courts to be a departure from standards of impartiality and independence which are essential to the maintenance of public confidence in the judicial system {</w:t>
      </w:r>
      <w:r w:rsidRPr="00767AA0">
        <w:rPr>
          <w:rFonts w:ascii="Arial" w:hAnsi="Arial" w:cs="Arial"/>
          <w:i/>
          <w:iCs/>
          <w:sz w:val="20"/>
          <w:szCs w:val="20"/>
        </w:rPr>
        <w:t>Johnson</w:t>
      </w:r>
      <w:r w:rsidRPr="00767AA0">
        <w:rPr>
          <w:rFonts w:ascii="Arial" w:hAnsi="Arial" w:cs="Arial"/>
          <w:sz w:val="20"/>
          <w:szCs w:val="20"/>
        </w:rPr>
        <w:t xml:space="preserve"> (2000) 201 CLR 488 at 492-493 [12]; </w:t>
      </w:r>
      <w:r w:rsidRPr="00767AA0">
        <w:rPr>
          <w:rFonts w:ascii="Arial" w:hAnsi="Arial" w:cs="Arial"/>
          <w:i/>
          <w:iCs/>
          <w:sz w:val="20"/>
          <w:szCs w:val="20"/>
        </w:rPr>
        <w:t>Ebner</w:t>
      </w:r>
      <w:r w:rsidRPr="00767AA0">
        <w:rPr>
          <w:rFonts w:ascii="Arial" w:hAnsi="Arial" w:cs="Arial"/>
          <w:sz w:val="20"/>
          <w:szCs w:val="20"/>
        </w:rPr>
        <w:t xml:space="preserve"> (2000) 205 CLR 337 at 359 [65], 363 [81], 364 [84], 375 [123]}. The hypothetical observer is not conceived of as a lawyer but a member of the public served by the courts. It would defy logic and render nugatory the principle to imbue the hypothetical observer with professional self-appreciation of this kind.</w:t>
      </w:r>
    </w:p>
    <w:p w14:paraId="6F856336" w14:textId="04B6621D" w:rsidR="00767AA0" w:rsidRPr="00767AA0" w:rsidRDefault="00767AA0" w:rsidP="00767AA0">
      <w:pPr>
        <w:spacing w:before="60"/>
        <w:ind w:left="454" w:right="454"/>
        <w:jc w:val="both"/>
        <w:rPr>
          <w:rFonts w:ascii="Arial" w:hAnsi="Arial" w:cs="Arial"/>
          <w:sz w:val="20"/>
          <w:szCs w:val="20"/>
        </w:rPr>
      </w:pPr>
      <w:r w:rsidRPr="00767AA0">
        <w:rPr>
          <w:rFonts w:ascii="Arial" w:hAnsi="Arial" w:cs="Arial"/>
          <w:sz w:val="20"/>
          <w:szCs w:val="20"/>
        </w:rPr>
        <w:t>[22] It may be accepted that many judges and lawyers, barristers in particular, may have continuing professional and personal connections. The means by which their contact may be resumed is by a judge making orders and publishing reasons, thereby bringing the litigation to an end. It is obviously in everyone's interests, the litigants in particular, that this is done in a timely way.</w:t>
      </w:r>
      <w:r>
        <w:rPr>
          <w:rFonts w:ascii="Arial" w:hAnsi="Arial" w:cs="Arial"/>
          <w:sz w:val="20"/>
          <w:szCs w:val="20"/>
        </w:rPr>
        <w:t>”</w:t>
      </w:r>
    </w:p>
    <w:p w14:paraId="7BD7FC5D" w14:textId="77777777" w:rsidR="00DE3F8C" w:rsidRDefault="00DE3F8C" w:rsidP="00DE3F8C">
      <w:pPr>
        <w:rPr>
          <w:rFonts w:ascii="Arial" w:hAnsi="Arial" w:cs="Arial"/>
          <w:sz w:val="20"/>
        </w:rPr>
      </w:pPr>
    </w:p>
    <w:p w14:paraId="27F96669" w14:textId="35E50BAD" w:rsidR="00DE3F8C" w:rsidRDefault="00DE3F8C" w:rsidP="00DE3F8C">
      <w:pPr>
        <w:jc w:val="both"/>
        <w:rPr>
          <w:rFonts w:ascii="Arial" w:hAnsi="Arial" w:cs="Arial"/>
          <w:sz w:val="20"/>
        </w:rPr>
      </w:pPr>
      <w:r>
        <w:rPr>
          <w:rFonts w:ascii="Arial" w:hAnsi="Arial" w:cs="Arial"/>
          <w:sz w:val="20"/>
        </w:rPr>
        <w:t xml:space="preserve">In </w:t>
      </w:r>
      <w:r w:rsidRPr="00F13772">
        <w:rPr>
          <w:rFonts w:ascii="Arial" w:hAnsi="Arial" w:cs="Arial"/>
          <w:i/>
          <w:sz w:val="20"/>
        </w:rPr>
        <w:t>Grima v MacCallum</w:t>
      </w:r>
      <w:r>
        <w:rPr>
          <w:rFonts w:ascii="Arial" w:hAnsi="Arial" w:cs="Arial"/>
          <w:sz w:val="20"/>
        </w:rPr>
        <w:t xml:space="preserve"> [2014] VSC 473 on two occasions early in the summary hearing of criminal charges the presiding Magistrate had warned the accused in relation to the issue of costs if he was unsuccessful. The accused brought an application for judicial review alleging that there was a reasonable apprehension that the Magistrate was biased against him. During the review proceeding the Prothonotary brought into court an email message sent on behalf of the Magistrate which made a number of contentious assertions, including criticism of the accused. Allowing the review, Bell J said:</w:t>
      </w:r>
    </w:p>
    <w:p w14:paraId="25DA8FE8" w14:textId="59A6D652" w:rsidR="00DE3F8C" w:rsidRDefault="00DE3F8C" w:rsidP="00DE3F8C">
      <w:pPr>
        <w:spacing w:before="60"/>
        <w:ind w:left="454" w:right="454"/>
        <w:jc w:val="both"/>
        <w:rPr>
          <w:rFonts w:ascii="Arial" w:hAnsi="Arial" w:cs="Arial"/>
          <w:sz w:val="20"/>
        </w:rPr>
      </w:pPr>
      <w:r>
        <w:rPr>
          <w:rFonts w:ascii="Arial" w:hAnsi="Arial" w:cs="Arial"/>
          <w:sz w:val="20"/>
        </w:rPr>
        <w:t xml:space="preserve">“[5] As established by </w:t>
      </w:r>
      <w:r w:rsidRPr="00DD765C">
        <w:rPr>
          <w:rFonts w:ascii="Arial" w:hAnsi="Arial" w:cs="Arial"/>
          <w:i/>
          <w:sz w:val="20"/>
        </w:rPr>
        <w:t>R v The Australian Broadcasting Tribunal; Ex parte Hardiman</w:t>
      </w:r>
      <w:r>
        <w:rPr>
          <w:rFonts w:ascii="Arial" w:hAnsi="Arial" w:cs="Arial"/>
          <w:sz w:val="20"/>
        </w:rPr>
        <w:t xml:space="preserve"> (1980) 144 CLR 13, 35-6, the usual and proper practice for the court or tribunal to take in judicial review proceedings is not to participate as a party but to abide the decision of the court. There may be occasions where it is appropriate for the court or tribunal to provide factual or like information to the court. But it is generally not appropriate for the court or tribunal to ‘enter the fray’ and make contentious submissions as to the merits of the issue in the case, as her Honour did in the present case.</w:t>
      </w:r>
    </w:p>
    <w:p w14:paraId="4CCF6EE1" w14:textId="1B1FD86C" w:rsidR="00DE3F8C" w:rsidRDefault="00DE3F8C" w:rsidP="00DE3F8C">
      <w:pPr>
        <w:spacing w:before="60"/>
        <w:ind w:left="454" w:right="454"/>
        <w:jc w:val="both"/>
        <w:rPr>
          <w:rFonts w:ascii="Arial" w:hAnsi="Arial" w:cs="Arial"/>
          <w:sz w:val="20"/>
        </w:rPr>
      </w:pPr>
      <w:r>
        <w:rPr>
          <w:rFonts w:ascii="Arial" w:hAnsi="Arial" w:cs="Arial"/>
          <w:sz w:val="20"/>
        </w:rPr>
        <w:t xml:space="preserve">[6] The foundation of this principle is that it is very difficult, and usually impossible, for the tribunal or court to participate in a judicial review proceeding without creating a reasonable apprehension of bias. In most cases, the only safe way of protecting the continuing jurisdiction of the court or tribunal is to abide by the outcome of the application. It is the responsibility of the party opposing the application to present evidence and make submissions as to the matters in issue, including evidence and submissions of the kind to which her Honour referred in the forwarded email.  Moreover, a forwarded email is hardly an appropriate way for a court </w:t>
      </w:r>
      <w:r>
        <w:rPr>
          <w:rFonts w:ascii="Arial" w:hAnsi="Arial" w:cs="Arial"/>
          <w:sz w:val="20"/>
        </w:rPr>
        <w:lastRenderedPageBreak/>
        <w:t xml:space="preserve">or tribunal to present evidence or make submissions to this court, even given that the application was being heard in the </w:t>
      </w:r>
      <w:smartTag w:uri="urn:schemas-microsoft-com:office:smarttags" w:element="Street">
        <w:smartTag w:uri="urn:schemas-microsoft-com:office:smarttags" w:element="address">
          <w:r>
            <w:rPr>
              <w:rFonts w:ascii="Arial" w:hAnsi="Arial" w:cs="Arial"/>
              <w:sz w:val="20"/>
            </w:rPr>
            <w:t>Practice Court</w:t>
          </w:r>
        </w:smartTag>
      </w:smartTag>
      <w:r>
        <w:rPr>
          <w:rFonts w:ascii="Arial" w:hAnsi="Arial" w:cs="Arial"/>
          <w:sz w:val="20"/>
        </w:rPr>
        <w:t>."</w:t>
      </w:r>
    </w:p>
    <w:p w14:paraId="664EE3AC" w14:textId="77777777" w:rsidR="007417A5" w:rsidRDefault="007417A5" w:rsidP="0022688E">
      <w:pPr>
        <w:spacing w:before="20"/>
        <w:jc w:val="both"/>
        <w:rPr>
          <w:rFonts w:ascii="Arial" w:hAnsi="Arial" w:cs="Arial"/>
          <w:color w:val="000000"/>
          <w:sz w:val="20"/>
        </w:rPr>
      </w:pPr>
    </w:p>
    <w:p w14:paraId="12B07C1D" w14:textId="2ACE775B" w:rsidR="008904D0" w:rsidRDefault="00FA1676" w:rsidP="00872879">
      <w:pPr>
        <w:spacing w:before="20"/>
        <w:jc w:val="both"/>
        <w:rPr>
          <w:rFonts w:ascii="Arial" w:hAnsi="Arial" w:cs="Arial"/>
          <w:sz w:val="20"/>
        </w:rPr>
      </w:pPr>
      <w:r w:rsidRPr="001A1BF2">
        <w:rPr>
          <w:rFonts w:ascii="Arial" w:hAnsi="Arial" w:cs="Arial"/>
          <w:color w:val="000000"/>
          <w:sz w:val="20"/>
        </w:rPr>
        <w:t>Other c</w:t>
      </w:r>
      <w:r w:rsidR="00B21DA4" w:rsidRPr="001A1BF2">
        <w:rPr>
          <w:rFonts w:ascii="Arial" w:hAnsi="Arial" w:cs="Arial"/>
          <w:color w:val="000000"/>
          <w:sz w:val="20"/>
        </w:rPr>
        <w:t xml:space="preserve">ases in which principles relating to </w:t>
      </w:r>
      <w:r w:rsidR="0022688E">
        <w:rPr>
          <w:rFonts w:ascii="Arial" w:hAnsi="Arial" w:cs="Arial"/>
          <w:color w:val="000000"/>
          <w:sz w:val="20"/>
        </w:rPr>
        <w:t xml:space="preserve">judicial </w:t>
      </w:r>
      <w:r w:rsidR="00B21DA4" w:rsidRPr="001A1BF2">
        <w:rPr>
          <w:rFonts w:ascii="Arial" w:hAnsi="Arial" w:cs="Arial"/>
          <w:color w:val="000000"/>
          <w:sz w:val="20"/>
        </w:rPr>
        <w:t xml:space="preserve">bias have been discussed include </w:t>
      </w:r>
      <w:r w:rsidR="00B21DA4" w:rsidRPr="001A1BF2">
        <w:rPr>
          <w:rFonts w:ascii="Arial" w:hAnsi="Arial" w:cs="Arial"/>
          <w:i/>
          <w:iCs/>
          <w:color w:val="000000"/>
          <w:sz w:val="20"/>
        </w:rPr>
        <w:t>Ebner</w:t>
      </w:r>
      <w:r w:rsidR="00B21DA4">
        <w:rPr>
          <w:rFonts w:ascii="Arial" w:hAnsi="Arial" w:cs="Arial"/>
          <w:i/>
          <w:iCs/>
          <w:sz w:val="20"/>
        </w:rPr>
        <w:t xml:space="preserve"> </w:t>
      </w:r>
      <w:r w:rsidR="00B21DA4" w:rsidRPr="000A52DC">
        <w:rPr>
          <w:rFonts w:ascii="Arial" w:hAnsi="Arial" w:cs="Arial"/>
          <w:i/>
          <w:iCs/>
          <w:color w:val="000000"/>
          <w:sz w:val="20"/>
        </w:rPr>
        <w:t>v Official Trustee in Bankruptcy</w:t>
      </w:r>
      <w:r w:rsidR="00B21DA4" w:rsidRPr="000A52DC">
        <w:rPr>
          <w:rFonts w:ascii="Arial" w:hAnsi="Arial" w:cs="Arial"/>
          <w:color w:val="000000"/>
          <w:sz w:val="20"/>
        </w:rPr>
        <w:t xml:space="preserve"> (2000) 205 CLR 337; </w:t>
      </w:r>
      <w:r w:rsidR="00B21DA4" w:rsidRPr="000A52DC">
        <w:rPr>
          <w:rFonts w:ascii="Arial" w:hAnsi="Arial" w:cs="Arial"/>
          <w:i/>
          <w:iCs/>
          <w:color w:val="000000"/>
          <w:sz w:val="20"/>
        </w:rPr>
        <w:t>Clenae v ANZ Banking Group Ltd</w:t>
      </w:r>
      <w:r w:rsidR="00B21DA4" w:rsidRPr="000A52DC">
        <w:rPr>
          <w:rFonts w:ascii="Arial" w:hAnsi="Arial" w:cs="Arial"/>
          <w:color w:val="000000"/>
          <w:sz w:val="20"/>
        </w:rPr>
        <w:t xml:space="preserve"> [2000] HCA 63; </w:t>
      </w:r>
      <w:r w:rsidR="00B21DA4" w:rsidRPr="000A52DC">
        <w:rPr>
          <w:rFonts w:ascii="Arial" w:hAnsi="Arial" w:cs="Arial"/>
          <w:i/>
          <w:iCs/>
          <w:color w:val="000000"/>
          <w:sz w:val="20"/>
        </w:rPr>
        <w:t>Anne Wintle v Stevedoring Industry Finance Committee &amp; Others</w:t>
      </w:r>
      <w:r w:rsidR="00B21DA4" w:rsidRPr="000A52DC">
        <w:rPr>
          <w:rFonts w:ascii="Arial" w:hAnsi="Arial" w:cs="Arial"/>
          <w:color w:val="000000"/>
          <w:sz w:val="20"/>
        </w:rPr>
        <w:t xml:space="preserve"> [2002] VSC 39; </w:t>
      </w:r>
      <w:r w:rsidR="00B21DA4" w:rsidRPr="000A52DC">
        <w:rPr>
          <w:rFonts w:ascii="Arial" w:hAnsi="Arial" w:cs="Arial"/>
          <w:i/>
          <w:iCs/>
          <w:color w:val="000000"/>
          <w:sz w:val="20"/>
        </w:rPr>
        <w:t>Livesey v New South Wales Bar Association</w:t>
      </w:r>
      <w:r w:rsidR="00B21DA4" w:rsidRPr="000A52DC">
        <w:rPr>
          <w:rFonts w:ascii="Arial" w:hAnsi="Arial" w:cs="Arial"/>
          <w:color w:val="000000"/>
          <w:sz w:val="20"/>
        </w:rPr>
        <w:t xml:space="preserve"> (1983) 151 CLR 288; </w:t>
      </w:r>
      <w:r w:rsidR="00B21DA4" w:rsidRPr="000A52DC">
        <w:rPr>
          <w:rFonts w:ascii="Arial" w:hAnsi="Arial" w:cs="Arial"/>
          <w:i/>
          <w:iCs/>
          <w:color w:val="000000"/>
          <w:sz w:val="20"/>
        </w:rPr>
        <w:t>Re JRL: Ex parte CJL</w:t>
      </w:r>
      <w:r w:rsidR="00B21DA4" w:rsidRPr="000A52DC">
        <w:rPr>
          <w:rFonts w:ascii="Arial" w:hAnsi="Arial" w:cs="Arial"/>
          <w:color w:val="000000"/>
          <w:sz w:val="20"/>
        </w:rPr>
        <w:t xml:space="preserve"> (1986) 161 CLR 34; </w:t>
      </w:r>
      <w:r w:rsidR="00B21DA4" w:rsidRPr="000A52DC">
        <w:rPr>
          <w:rFonts w:ascii="Arial" w:hAnsi="Arial" w:cs="Arial"/>
          <w:i/>
          <w:iCs/>
          <w:color w:val="000000"/>
          <w:sz w:val="20"/>
        </w:rPr>
        <w:t>Vakauta v Kelly</w:t>
      </w:r>
      <w:r w:rsidR="00B21DA4" w:rsidRPr="000A52DC">
        <w:rPr>
          <w:rFonts w:ascii="Arial" w:hAnsi="Arial" w:cs="Arial"/>
          <w:color w:val="000000"/>
          <w:sz w:val="20"/>
        </w:rPr>
        <w:t xml:space="preserve"> (1989) 167 CLR 342;  </w:t>
      </w:r>
      <w:r w:rsidR="00B21DA4" w:rsidRPr="000A52DC">
        <w:rPr>
          <w:rFonts w:ascii="Arial" w:hAnsi="Arial" w:cs="Arial"/>
          <w:i/>
          <w:iCs/>
          <w:color w:val="000000"/>
          <w:sz w:val="20"/>
        </w:rPr>
        <w:t xml:space="preserve">Webb v R </w:t>
      </w:r>
      <w:r w:rsidR="00B21DA4" w:rsidRPr="000A52DC">
        <w:rPr>
          <w:rFonts w:ascii="Arial" w:hAnsi="Arial" w:cs="Arial"/>
          <w:color w:val="000000"/>
          <w:sz w:val="20"/>
        </w:rPr>
        <w:t xml:space="preserve">(1994) 181 CLR 44; </w:t>
      </w:r>
      <w:r w:rsidR="00B21DA4" w:rsidRPr="000A52DC">
        <w:rPr>
          <w:rFonts w:ascii="Arial" w:hAnsi="Arial" w:cs="Arial"/>
          <w:i/>
          <w:iCs/>
          <w:color w:val="000000"/>
          <w:sz w:val="20"/>
        </w:rPr>
        <w:t>Johnson v Johnson</w:t>
      </w:r>
      <w:r w:rsidR="00B21DA4" w:rsidRPr="000A52DC">
        <w:rPr>
          <w:rFonts w:ascii="Arial" w:hAnsi="Arial" w:cs="Arial"/>
          <w:color w:val="000000"/>
          <w:sz w:val="20"/>
        </w:rPr>
        <w:t xml:space="preserve"> (2000) 201 CLR 488 at 506; </w:t>
      </w:r>
      <w:r w:rsidR="00B21DA4" w:rsidRPr="000A52DC">
        <w:rPr>
          <w:rFonts w:ascii="Arial" w:hAnsi="Arial" w:cs="Arial"/>
          <w:i/>
          <w:iCs/>
          <w:color w:val="000000"/>
          <w:sz w:val="20"/>
        </w:rPr>
        <w:t>Mond &amp; Mond v Dyan Rabbi Isaac Dov Berger</w:t>
      </w:r>
      <w:r w:rsidR="00B21DA4" w:rsidRPr="000A52DC">
        <w:rPr>
          <w:rFonts w:ascii="Arial" w:hAnsi="Arial" w:cs="Arial"/>
          <w:color w:val="000000"/>
          <w:sz w:val="20"/>
        </w:rPr>
        <w:t xml:space="preserve"> [2004] VSC 45; </w:t>
      </w:r>
      <w:r w:rsidR="00B21DA4" w:rsidRPr="000A52DC">
        <w:rPr>
          <w:rFonts w:ascii="Arial" w:hAnsi="Arial" w:cs="Arial"/>
          <w:i/>
          <w:iCs/>
          <w:color w:val="000000"/>
          <w:sz w:val="20"/>
        </w:rPr>
        <w:t>Gascor v Ellicott</w:t>
      </w:r>
      <w:r w:rsidR="00B21DA4" w:rsidRPr="000A52DC">
        <w:rPr>
          <w:rFonts w:ascii="Arial" w:hAnsi="Arial" w:cs="Arial"/>
          <w:color w:val="000000"/>
          <w:sz w:val="20"/>
        </w:rPr>
        <w:t xml:space="preserve"> [1997] 1 VR 332; </w:t>
      </w:r>
      <w:r w:rsidR="00B21DA4" w:rsidRPr="000A52DC">
        <w:rPr>
          <w:rFonts w:ascii="Arial" w:hAnsi="Arial" w:cs="Arial"/>
          <w:i/>
          <w:iCs/>
          <w:color w:val="000000"/>
          <w:sz w:val="20"/>
        </w:rPr>
        <w:t>Laws v Australian Broadcasting Tribunal</w:t>
      </w:r>
      <w:r w:rsidR="00B21DA4" w:rsidRPr="000A52DC">
        <w:rPr>
          <w:rFonts w:ascii="Arial" w:hAnsi="Arial" w:cs="Arial"/>
          <w:color w:val="000000"/>
          <w:sz w:val="20"/>
        </w:rPr>
        <w:t xml:space="preserve"> (1990) 170 CLR 70; </w:t>
      </w:r>
      <w:r w:rsidR="00B21DA4" w:rsidRPr="000A52DC">
        <w:rPr>
          <w:rFonts w:ascii="Arial" w:hAnsi="Arial" w:cs="Arial"/>
          <w:i/>
          <w:iCs/>
          <w:color w:val="000000"/>
          <w:sz w:val="20"/>
        </w:rPr>
        <w:t>Webb v The Queen</w:t>
      </w:r>
      <w:r w:rsidR="00B21DA4" w:rsidRPr="000A52DC">
        <w:rPr>
          <w:rFonts w:ascii="Arial" w:hAnsi="Arial" w:cs="Arial"/>
          <w:color w:val="000000"/>
          <w:sz w:val="20"/>
        </w:rPr>
        <w:t xml:space="preserve"> (1993) 181 CLR 41; </w:t>
      </w:r>
      <w:r w:rsidR="00B21DA4" w:rsidRPr="000A52DC">
        <w:rPr>
          <w:rFonts w:ascii="Arial" w:hAnsi="Arial" w:cs="Arial"/>
          <w:i/>
          <w:iCs/>
          <w:color w:val="000000"/>
          <w:sz w:val="20"/>
        </w:rPr>
        <w:t>Re Keeley: Ex parte Ansett Transport Industries (Operations) Pty Ltd</w:t>
      </w:r>
      <w:r w:rsidR="00BD5912" w:rsidRPr="000A52DC">
        <w:rPr>
          <w:rFonts w:ascii="Arial" w:hAnsi="Arial" w:cs="Arial"/>
          <w:color w:val="000000"/>
          <w:sz w:val="20"/>
        </w:rPr>
        <w:t xml:space="preserve"> (1990) 94 ALR 1; </w:t>
      </w:r>
      <w:r w:rsidR="00BD5912" w:rsidRPr="000A52DC">
        <w:rPr>
          <w:rFonts w:ascii="Arial" w:hAnsi="Arial" w:cs="Arial"/>
          <w:i/>
          <w:color w:val="000000"/>
          <w:sz w:val="20"/>
        </w:rPr>
        <w:t>Antoun v The Queen</w:t>
      </w:r>
      <w:r w:rsidR="00BD5912" w:rsidRPr="000A52DC">
        <w:rPr>
          <w:rFonts w:ascii="Arial" w:hAnsi="Arial" w:cs="Arial"/>
          <w:color w:val="000000"/>
          <w:sz w:val="20"/>
        </w:rPr>
        <w:t xml:space="preserve"> (2006) 80 ALJR 497 at [22], [27]-[30], [56]-[57] &amp; [81]</w:t>
      </w:r>
      <w:r w:rsidR="00326300" w:rsidRPr="000A52DC">
        <w:rPr>
          <w:rFonts w:ascii="Arial" w:hAnsi="Arial" w:cs="Arial"/>
          <w:color w:val="000000"/>
          <w:sz w:val="20"/>
        </w:rPr>
        <w:t xml:space="preserve">; </w:t>
      </w:r>
      <w:r w:rsidR="00326300" w:rsidRPr="000A52DC">
        <w:rPr>
          <w:rFonts w:ascii="Arial" w:hAnsi="Arial" w:cs="Arial"/>
          <w:i/>
          <w:color w:val="000000"/>
          <w:sz w:val="20"/>
        </w:rPr>
        <w:t>Smits v Roach</w:t>
      </w:r>
      <w:r w:rsidR="00326300" w:rsidRPr="000A52DC">
        <w:rPr>
          <w:rFonts w:ascii="Arial" w:hAnsi="Arial" w:cs="Arial"/>
          <w:color w:val="000000"/>
          <w:sz w:val="20"/>
        </w:rPr>
        <w:t xml:space="preserve"> [2006] HCA 63</w:t>
      </w:r>
      <w:r w:rsidR="00F54DB6" w:rsidRPr="000A52DC">
        <w:rPr>
          <w:rFonts w:ascii="Arial" w:hAnsi="Arial" w:cs="Arial"/>
          <w:color w:val="000000"/>
          <w:sz w:val="20"/>
        </w:rPr>
        <w:t xml:space="preserve">; </w:t>
      </w:r>
      <w:r w:rsidR="00F54DB6" w:rsidRPr="000A52DC">
        <w:rPr>
          <w:rFonts w:ascii="Arial" w:hAnsi="Arial" w:cs="Arial"/>
          <w:i/>
          <w:color w:val="000000"/>
          <w:sz w:val="20"/>
        </w:rPr>
        <w:t>Commonwealth Bank of Australia v Taylor</w:t>
      </w:r>
      <w:r w:rsidR="00F54DB6" w:rsidRPr="000A52DC">
        <w:rPr>
          <w:rFonts w:ascii="Arial" w:hAnsi="Arial" w:cs="Arial"/>
          <w:color w:val="000000"/>
          <w:sz w:val="20"/>
        </w:rPr>
        <w:t xml:space="preserve"> [2008] VSC 3; </w:t>
      </w:r>
      <w:r w:rsidR="00F54DB6" w:rsidRPr="000A52DC">
        <w:rPr>
          <w:rFonts w:ascii="Arial" w:hAnsi="Arial" w:cs="Arial"/>
          <w:i/>
          <w:color w:val="000000"/>
          <w:sz w:val="20"/>
        </w:rPr>
        <w:t>Anderson v National Australia Bank</w:t>
      </w:r>
      <w:r w:rsidR="00F54DB6" w:rsidRPr="000A52DC">
        <w:rPr>
          <w:rFonts w:ascii="Arial" w:hAnsi="Arial" w:cs="Arial"/>
          <w:color w:val="000000"/>
          <w:sz w:val="20"/>
        </w:rPr>
        <w:t xml:space="preserve"> [2007] VSCA 172</w:t>
      </w:r>
      <w:r w:rsidR="001362FF" w:rsidRPr="000A52DC">
        <w:rPr>
          <w:rFonts w:ascii="Arial" w:hAnsi="Arial" w:cs="Arial"/>
          <w:color w:val="000000"/>
          <w:sz w:val="20"/>
        </w:rPr>
        <w:t xml:space="preserve">; </w:t>
      </w:r>
      <w:r w:rsidR="001362FF" w:rsidRPr="000A52DC">
        <w:rPr>
          <w:rFonts w:ascii="Arial" w:hAnsi="Arial" w:cs="Arial"/>
          <w:i/>
          <w:color w:val="000000"/>
          <w:sz w:val="20"/>
        </w:rPr>
        <w:t>R v Rich (Ruling No.21)</w:t>
      </w:r>
      <w:r w:rsidR="00F527DA" w:rsidRPr="000A52DC">
        <w:rPr>
          <w:rFonts w:ascii="Arial" w:hAnsi="Arial" w:cs="Arial"/>
          <w:color w:val="000000"/>
          <w:sz w:val="20"/>
        </w:rPr>
        <w:t xml:space="preserve"> [2009] VSC 32; </w:t>
      </w:r>
      <w:r w:rsidR="00F527DA" w:rsidRPr="000A52DC">
        <w:rPr>
          <w:rFonts w:ascii="Arial" w:hAnsi="Arial" w:cs="Arial"/>
          <w:i/>
          <w:color w:val="000000"/>
          <w:sz w:val="20"/>
        </w:rPr>
        <w:t>Slaveski v Victoria</w:t>
      </w:r>
      <w:r w:rsidR="00F527DA" w:rsidRPr="000A52DC">
        <w:rPr>
          <w:rFonts w:ascii="Arial" w:hAnsi="Arial" w:cs="Arial"/>
          <w:color w:val="000000"/>
          <w:sz w:val="20"/>
        </w:rPr>
        <w:t xml:space="preserve"> [2010] VSC 97</w:t>
      </w:r>
      <w:r w:rsidR="00BA7688" w:rsidRPr="000A52DC">
        <w:rPr>
          <w:rFonts w:ascii="Arial" w:hAnsi="Arial" w:cs="Arial"/>
          <w:color w:val="000000"/>
          <w:sz w:val="20"/>
        </w:rPr>
        <w:t xml:space="preserve">; </w:t>
      </w:r>
      <w:r w:rsidR="00BA7688" w:rsidRPr="000A52DC">
        <w:rPr>
          <w:rFonts w:ascii="Arial" w:hAnsi="Arial" w:cs="Arial"/>
          <w:i/>
          <w:color w:val="000000"/>
          <w:sz w:val="20"/>
        </w:rPr>
        <w:t>R v So</w:t>
      </w:r>
      <w:r w:rsidR="00BA7688" w:rsidRPr="000A52DC">
        <w:rPr>
          <w:rFonts w:ascii="Arial" w:hAnsi="Arial" w:cs="Arial"/>
          <w:i/>
          <w:color w:val="000000"/>
          <w:sz w:val="20"/>
          <w:szCs w:val="20"/>
        </w:rPr>
        <w:t>nnet</w:t>
      </w:r>
      <w:r w:rsidR="003B1EF0" w:rsidRPr="000A52DC">
        <w:rPr>
          <w:rFonts w:ascii="Arial" w:hAnsi="Arial" w:cs="Arial"/>
          <w:color w:val="000000"/>
          <w:sz w:val="20"/>
          <w:szCs w:val="20"/>
        </w:rPr>
        <w:t xml:space="preserve"> [2010] VSCA 315 at [15]-[27];</w:t>
      </w:r>
      <w:r w:rsidR="009958BE" w:rsidRPr="000A52DC">
        <w:rPr>
          <w:rFonts w:ascii="Arial" w:hAnsi="Arial" w:cs="Arial"/>
          <w:color w:val="000000"/>
          <w:sz w:val="20"/>
          <w:szCs w:val="20"/>
        </w:rPr>
        <w:t xml:space="preserve"> </w:t>
      </w:r>
      <w:r w:rsidR="000A52DC" w:rsidRPr="000A52DC">
        <w:rPr>
          <w:rFonts w:ascii="Arial" w:hAnsi="Arial" w:cs="Arial"/>
          <w:i/>
          <w:iCs/>
          <w:color w:val="000000"/>
          <w:sz w:val="20"/>
          <w:szCs w:val="20"/>
        </w:rPr>
        <w:t xml:space="preserve">Michael Wilson &amp; Partners Limited v Nicholls </w:t>
      </w:r>
      <w:r w:rsidR="000A52DC" w:rsidRPr="000A52DC">
        <w:rPr>
          <w:rFonts w:ascii="Arial" w:hAnsi="Arial" w:cs="Arial"/>
          <w:color w:val="000000"/>
          <w:sz w:val="20"/>
          <w:szCs w:val="20"/>
        </w:rPr>
        <w:t xml:space="preserve">[2011] HCA 48; </w:t>
      </w:r>
      <w:r w:rsidR="009958BE" w:rsidRPr="000A52DC">
        <w:rPr>
          <w:rFonts w:ascii="Arial" w:hAnsi="Arial" w:cs="Arial"/>
          <w:i/>
          <w:color w:val="000000"/>
          <w:sz w:val="20"/>
          <w:szCs w:val="20"/>
        </w:rPr>
        <w:t>Velissaris v Bruno Distributors Pty Ltd</w:t>
      </w:r>
      <w:r w:rsidR="009958BE" w:rsidRPr="000A52DC">
        <w:rPr>
          <w:rFonts w:ascii="Arial" w:hAnsi="Arial" w:cs="Arial"/>
          <w:color w:val="000000"/>
          <w:sz w:val="20"/>
          <w:szCs w:val="20"/>
        </w:rPr>
        <w:t xml:space="preserve"> [2011] VSC 395;</w:t>
      </w:r>
      <w:r w:rsidR="009958BE" w:rsidRPr="000A52DC">
        <w:rPr>
          <w:rFonts w:ascii="Arial" w:hAnsi="Arial" w:cs="Arial"/>
          <w:i/>
          <w:color w:val="000000"/>
          <w:sz w:val="20"/>
          <w:szCs w:val="20"/>
        </w:rPr>
        <w:t xml:space="preserve"> </w:t>
      </w:r>
      <w:r w:rsidR="003B1EF0" w:rsidRPr="000A52DC">
        <w:rPr>
          <w:rFonts w:ascii="Arial" w:hAnsi="Arial" w:cs="Arial"/>
          <w:i/>
          <w:color w:val="000000"/>
          <w:sz w:val="20"/>
          <w:szCs w:val="20"/>
        </w:rPr>
        <w:t>Moorfields Community &amp; Ors v Stanislawa Bahonko</w:t>
      </w:r>
      <w:r w:rsidR="00493A72" w:rsidRPr="000A52DC">
        <w:rPr>
          <w:rFonts w:ascii="Arial" w:hAnsi="Arial" w:cs="Arial"/>
          <w:color w:val="000000"/>
          <w:sz w:val="20"/>
          <w:szCs w:val="20"/>
        </w:rPr>
        <w:t xml:space="preserve"> [2011] VSCA 295; </w:t>
      </w:r>
      <w:r w:rsidR="00493A72" w:rsidRPr="000A52DC">
        <w:rPr>
          <w:rFonts w:ascii="Arial" w:hAnsi="Arial" w:cs="Arial"/>
          <w:i/>
          <w:color w:val="000000"/>
          <w:sz w:val="20"/>
          <w:szCs w:val="20"/>
        </w:rPr>
        <w:t>Bahonko v Moorfields Community</w:t>
      </w:r>
      <w:r w:rsidR="00493A72" w:rsidRPr="000A52DC">
        <w:rPr>
          <w:rFonts w:ascii="Arial" w:hAnsi="Arial" w:cs="Arial"/>
          <w:color w:val="000000"/>
          <w:sz w:val="20"/>
          <w:szCs w:val="20"/>
        </w:rPr>
        <w:t xml:space="preserve"> [2012] VSCA 89</w:t>
      </w:r>
      <w:r w:rsidR="003D25C5" w:rsidRPr="000A52DC">
        <w:rPr>
          <w:rFonts w:ascii="Arial" w:hAnsi="Arial" w:cs="Arial"/>
          <w:color w:val="000000"/>
          <w:sz w:val="20"/>
          <w:szCs w:val="20"/>
        </w:rPr>
        <w:t xml:space="preserve">; </w:t>
      </w:r>
      <w:r w:rsidR="003D25C5" w:rsidRPr="000A52DC">
        <w:rPr>
          <w:rFonts w:ascii="Arial" w:hAnsi="Arial" w:cs="Arial"/>
          <w:i/>
          <w:color w:val="000000"/>
          <w:sz w:val="20"/>
          <w:szCs w:val="20"/>
        </w:rPr>
        <w:t xml:space="preserve">R v </w:t>
      </w:r>
      <w:r w:rsidR="003D25C5" w:rsidRPr="00232FC7">
        <w:rPr>
          <w:rFonts w:ascii="Arial" w:hAnsi="Arial" w:cs="Arial"/>
          <w:i/>
          <w:color w:val="000000"/>
          <w:sz w:val="20"/>
          <w:szCs w:val="20"/>
        </w:rPr>
        <w:t>Vasiliou</w:t>
      </w:r>
      <w:r w:rsidR="00AD06C0" w:rsidRPr="00232FC7">
        <w:rPr>
          <w:rFonts w:ascii="Arial" w:hAnsi="Arial" w:cs="Arial"/>
          <w:color w:val="000000"/>
          <w:sz w:val="20"/>
          <w:szCs w:val="20"/>
        </w:rPr>
        <w:t xml:space="preserve"> [2012] VSC 216 at [9]-[11]; </w:t>
      </w:r>
      <w:r w:rsidR="00AD06C0" w:rsidRPr="00232FC7">
        <w:rPr>
          <w:rFonts w:ascii="Arial" w:hAnsi="Arial" w:cs="Arial"/>
          <w:i/>
          <w:color w:val="000000"/>
          <w:sz w:val="20"/>
          <w:szCs w:val="20"/>
        </w:rPr>
        <w:t>Flavel v Morsby</w:t>
      </w:r>
      <w:r w:rsidR="000115EF" w:rsidRPr="00232FC7">
        <w:rPr>
          <w:rFonts w:ascii="Arial" w:hAnsi="Arial" w:cs="Arial"/>
          <w:color w:val="000000"/>
          <w:sz w:val="20"/>
          <w:szCs w:val="20"/>
        </w:rPr>
        <w:t xml:space="preserve"> [2012] VSC 433; </w:t>
      </w:r>
      <w:r w:rsidR="000115EF" w:rsidRPr="00232FC7">
        <w:rPr>
          <w:rFonts w:ascii="Arial" w:hAnsi="Arial" w:cs="Arial"/>
          <w:i/>
          <w:color w:val="000000"/>
          <w:sz w:val="20"/>
        </w:rPr>
        <w:t>Waddington v Magistrates’ Court of Victoria</w:t>
      </w:r>
      <w:r w:rsidR="000115EF" w:rsidRPr="00A40C64">
        <w:rPr>
          <w:rFonts w:ascii="Arial" w:hAnsi="Arial" w:cs="Arial"/>
          <w:i/>
          <w:color w:val="000000"/>
          <w:sz w:val="20"/>
          <w:szCs w:val="20"/>
        </w:rPr>
        <w:t xml:space="preserve"> &amp; Kha (No. 2) </w:t>
      </w:r>
      <w:r w:rsidR="00A40C64" w:rsidRPr="00A40C64">
        <w:rPr>
          <w:rFonts w:ascii="Arial" w:hAnsi="Arial" w:cs="Arial"/>
          <w:color w:val="000000"/>
          <w:sz w:val="20"/>
          <w:szCs w:val="20"/>
        </w:rPr>
        <w:t xml:space="preserve">[2013] VSC 340 at [51]-[61]; </w:t>
      </w:r>
      <w:r w:rsidR="00A40C64" w:rsidRPr="00423D61">
        <w:rPr>
          <w:rFonts w:ascii="Arial" w:hAnsi="Arial" w:cs="Arial"/>
          <w:i/>
          <w:color w:val="000000"/>
          <w:sz w:val="20"/>
          <w:szCs w:val="20"/>
        </w:rPr>
        <w:t>Wain &amp; Ors v Drapac &amp; Ors (No 3)</w:t>
      </w:r>
      <w:r w:rsidR="00A40C64" w:rsidRPr="00423D61">
        <w:rPr>
          <w:rFonts w:ascii="Arial" w:hAnsi="Arial" w:cs="Arial"/>
          <w:color w:val="000000"/>
          <w:sz w:val="20"/>
          <w:szCs w:val="20"/>
        </w:rPr>
        <w:t xml:space="preserve"> [2014] VSC </w:t>
      </w:r>
      <w:r w:rsidR="00D97FFE" w:rsidRPr="00423D61">
        <w:rPr>
          <w:rFonts w:ascii="Arial" w:hAnsi="Arial" w:cs="Arial"/>
          <w:color w:val="000000"/>
          <w:sz w:val="20"/>
          <w:szCs w:val="20"/>
        </w:rPr>
        <w:t>2</w:t>
      </w:r>
      <w:r w:rsidR="00A40C64" w:rsidRPr="00423D61">
        <w:rPr>
          <w:rFonts w:ascii="Arial" w:hAnsi="Arial" w:cs="Arial"/>
          <w:color w:val="000000"/>
          <w:sz w:val="20"/>
          <w:szCs w:val="20"/>
        </w:rPr>
        <w:t>3</w:t>
      </w:r>
      <w:r w:rsidR="00261D55">
        <w:rPr>
          <w:rFonts w:ascii="Arial" w:hAnsi="Arial" w:cs="Arial"/>
          <w:color w:val="000000"/>
          <w:sz w:val="20"/>
          <w:szCs w:val="20"/>
        </w:rPr>
        <w:t xml:space="preserve">; </w:t>
      </w:r>
      <w:r w:rsidR="00261D55" w:rsidRPr="00261D55">
        <w:rPr>
          <w:rFonts w:ascii="Arial" w:hAnsi="Arial" w:cs="Arial"/>
          <w:i/>
          <w:color w:val="000000"/>
          <w:sz w:val="20"/>
          <w:szCs w:val="20"/>
        </w:rPr>
        <w:t>Katherine Jackson v The Queen</w:t>
      </w:r>
      <w:r w:rsidR="00261D55">
        <w:rPr>
          <w:rFonts w:ascii="Arial" w:hAnsi="Arial" w:cs="Arial"/>
          <w:i/>
          <w:color w:val="000000"/>
          <w:sz w:val="20"/>
          <w:szCs w:val="20"/>
        </w:rPr>
        <w:t xml:space="preserve"> </w:t>
      </w:r>
      <w:r w:rsidR="00261D55">
        <w:rPr>
          <w:rFonts w:ascii="Arial" w:hAnsi="Arial" w:cs="Arial"/>
          <w:color w:val="000000"/>
          <w:sz w:val="20"/>
          <w:szCs w:val="20"/>
        </w:rPr>
        <w:t>[2019] VSCA 65</w:t>
      </w:r>
      <w:r w:rsidR="004246F9">
        <w:rPr>
          <w:rFonts w:ascii="Arial" w:hAnsi="Arial" w:cs="Arial"/>
          <w:color w:val="000000"/>
          <w:sz w:val="20"/>
          <w:szCs w:val="20"/>
        </w:rPr>
        <w:t xml:space="preserve">; </w:t>
      </w:r>
      <w:r w:rsidR="004246F9" w:rsidRPr="004246F9">
        <w:rPr>
          <w:rFonts w:ascii="Arial" w:hAnsi="Arial" w:cs="Arial"/>
          <w:i/>
          <w:iCs/>
          <w:color w:val="000000"/>
          <w:sz w:val="20"/>
          <w:szCs w:val="20"/>
        </w:rPr>
        <w:t>AB v XYZ Pty Ltd</w:t>
      </w:r>
      <w:r w:rsidR="004246F9">
        <w:rPr>
          <w:rFonts w:ascii="Arial" w:hAnsi="Arial" w:cs="Arial"/>
          <w:color w:val="000000"/>
          <w:sz w:val="20"/>
          <w:szCs w:val="20"/>
        </w:rPr>
        <w:t xml:space="preserve"> [2019] VSC 788 at [38]-[58]</w:t>
      </w:r>
      <w:r w:rsidR="0017286C">
        <w:rPr>
          <w:rFonts w:ascii="Arial" w:hAnsi="Arial" w:cs="Arial"/>
          <w:color w:val="000000"/>
          <w:sz w:val="20"/>
          <w:szCs w:val="20"/>
        </w:rPr>
        <w:t xml:space="preserve">; </w:t>
      </w:r>
      <w:r w:rsidR="002F016A" w:rsidRPr="002F016A">
        <w:rPr>
          <w:rFonts w:ascii="Arial" w:hAnsi="Arial" w:cs="Arial"/>
          <w:i/>
          <w:iCs/>
          <w:color w:val="000000"/>
          <w:sz w:val="20"/>
          <w:szCs w:val="20"/>
        </w:rPr>
        <w:t>CNY17 v Minister for Immigration and Border Protection</w:t>
      </w:r>
      <w:r w:rsidR="002F016A" w:rsidRPr="002F016A">
        <w:rPr>
          <w:rFonts w:ascii="Arial" w:hAnsi="Arial" w:cs="Arial"/>
          <w:color w:val="000000"/>
          <w:sz w:val="20"/>
          <w:szCs w:val="20"/>
        </w:rPr>
        <w:t xml:space="preserve"> [2019] HCA 50</w:t>
      </w:r>
      <w:r w:rsidR="002F016A">
        <w:rPr>
          <w:rFonts w:ascii="Arial" w:hAnsi="Arial" w:cs="Arial"/>
          <w:color w:val="000000"/>
          <w:sz w:val="20"/>
          <w:szCs w:val="20"/>
        </w:rPr>
        <w:t>;</w:t>
      </w:r>
      <w:r w:rsidR="002F016A" w:rsidRPr="002F016A">
        <w:rPr>
          <w:rFonts w:ascii="Arial" w:hAnsi="Arial" w:cs="Arial"/>
          <w:color w:val="000000"/>
          <w:sz w:val="20"/>
          <w:szCs w:val="20"/>
        </w:rPr>
        <w:t xml:space="preserve"> </w:t>
      </w:r>
      <w:r w:rsidR="0017286C" w:rsidRPr="0017286C">
        <w:rPr>
          <w:rFonts w:ascii="Arial" w:hAnsi="Arial" w:cs="Arial"/>
          <w:i/>
          <w:iCs/>
          <w:color w:val="000000"/>
          <w:sz w:val="20"/>
          <w:szCs w:val="20"/>
        </w:rPr>
        <w:t>In the Matter of Kornucopia Pty Ltd (No 2)</w:t>
      </w:r>
      <w:r w:rsidR="0017286C" w:rsidRPr="0017286C">
        <w:rPr>
          <w:rFonts w:ascii="Arial" w:hAnsi="Arial" w:cs="Arial"/>
          <w:color w:val="000000"/>
          <w:sz w:val="20"/>
          <w:szCs w:val="20"/>
        </w:rPr>
        <w:t xml:space="preserve"> </w:t>
      </w:r>
      <w:r w:rsidR="0017286C">
        <w:rPr>
          <w:rFonts w:ascii="Arial" w:hAnsi="Arial" w:cs="Arial"/>
          <w:color w:val="000000"/>
          <w:sz w:val="20"/>
          <w:szCs w:val="20"/>
        </w:rPr>
        <w:t>[2019] VSC 802</w:t>
      </w:r>
      <w:r w:rsidR="00AC4DAE">
        <w:rPr>
          <w:rFonts w:ascii="Arial" w:hAnsi="Arial" w:cs="Arial"/>
          <w:color w:val="000000"/>
          <w:sz w:val="20"/>
          <w:szCs w:val="20"/>
        </w:rPr>
        <w:t xml:space="preserve">; </w:t>
      </w:r>
      <w:r w:rsidR="00AC4DAE" w:rsidRPr="00EE6CBF">
        <w:rPr>
          <w:rFonts w:ascii="Arial" w:hAnsi="Arial" w:cs="Arial"/>
          <w:i/>
          <w:iCs/>
          <w:color w:val="000000"/>
          <w:sz w:val="20"/>
          <w:szCs w:val="20"/>
        </w:rPr>
        <w:t xml:space="preserve">Gild </w:t>
      </w:r>
      <w:r w:rsidR="00EE6CBF" w:rsidRPr="00EE6CBF">
        <w:rPr>
          <w:rFonts w:ascii="Arial" w:hAnsi="Arial" w:cs="Arial"/>
          <w:i/>
          <w:iCs/>
          <w:color w:val="000000"/>
          <w:sz w:val="20"/>
          <w:szCs w:val="20"/>
        </w:rPr>
        <w:t>v The Queen</w:t>
      </w:r>
      <w:r w:rsidR="00EE6CBF">
        <w:rPr>
          <w:rFonts w:ascii="Arial" w:hAnsi="Arial" w:cs="Arial"/>
          <w:color w:val="000000"/>
          <w:sz w:val="20"/>
          <w:szCs w:val="20"/>
        </w:rPr>
        <w:t xml:space="preserve"> [2017] VSCA 367; </w:t>
      </w:r>
      <w:r w:rsidR="00EE6CBF" w:rsidRPr="00EE6CBF">
        <w:rPr>
          <w:rFonts w:ascii="Arial" w:hAnsi="Arial" w:cs="Arial"/>
          <w:i/>
          <w:iCs/>
          <w:sz w:val="20"/>
          <w:szCs w:val="20"/>
        </w:rPr>
        <w:t>Bayley North (a pseudonym) v DPP (Cth)</w:t>
      </w:r>
      <w:r w:rsidR="00EE6CBF" w:rsidRPr="00EE6CBF">
        <w:rPr>
          <w:rFonts w:ascii="Arial" w:hAnsi="Arial" w:cs="Arial"/>
          <w:sz w:val="20"/>
          <w:szCs w:val="20"/>
        </w:rPr>
        <w:t xml:space="preserve"> [2020] VSCA 1 at [39]-[49]</w:t>
      </w:r>
      <w:r w:rsidR="00411410">
        <w:rPr>
          <w:rFonts w:ascii="Arial" w:hAnsi="Arial" w:cs="Arial"/>
          <w:sz w:val="20"/>
          <w:szCs w:val="20"/>
        </w:rPr>
        <w:t xml:space="preserve">; </w:t>
      </w:r>
      <w:r w:rsidR="00411410">
        <w:rPr>
          <w:rFonts w:ascii="Arial" w:hAnsi="Arial" w:cs="Arial"/>
          <w:i/>
          <w:iCs/>
          <w:color w:val="000000"/>
          <w:sz w:val="20"/>
          <w:szCs w:val="20"/>
        </w:rPr>
        <w:t>Elliott</w:t>
      </w:r>
      <w:r w:rsidR="00411410" w:rsidRPr="00F3131A">
        <w:rPr>
          <w:rFonts w:ascii="Arial" w:hAnsi="Arial" w:cs="Arial"/>
          <w:i/>
          <w:iCs/>
          <w:color w:val="000000"/>
          <w:sz w:val="20"/>
          <w:szCs w:val="20"/>
        </w:rPr>
        <w:t xml:space="preserve"> v </w:t>
      </w:r>
      <w:r w:rsidR="00411410">
        <w:rPr>
          <w:rFonts w:ascii="Arial" w:hAnsi="Arial" w:cs="Arial"/>
          <w:i/>
          <w:iCs/>
          <w:color w:val="000000"/>
          <w:sz w:val="20"/>
          <w:szCs w:val="20"/>
        </w:rPr>
        <w:t>Lindholm</w:t>
      </w:r>
      <w:r w:rsidR="00411410">
        <w:rPr>
          <w:rFonts w:ascii="Arial" w:hAnsi="Arial" w:cs="Arial"/>
          <w:color w:val="000000"/>
          <w:sz w:val="20"/>
          <w:szCs w:val="20"/>
        </w:rPr>
        <w:t xml:space="preserve"> [2020] VSC 567; [2020] VSCA 260</w:t>
      </w:r>
      <w:r w:rsidR="0022688E">
        <w:rPr>
          <w:rFonts w:ascii="Arial" w:hAnsi="Arial" w:cs="Arial"/>
          <w:color w:val="000000"/>
          <w:sz w:val="20"/>
          <w:szCs w:val="20"/>
        </w:rPr>
        <w:t xml:space="preserve">; </w:t>
      </w:r>
      <w:r w:rsidR="0022688E" w:rsidRPr="0022688E">
        <w:rPr>
          <w:rFonts w:ascii="Arial" w:hAnsi="Arial" w:cs="Arial"/>
          <w:i/>
          <w:iCs/>
          <w:sz w:val="20"/>
          <w:szCs w:val="20"/>
        </w:rPr>
        <w:t>Oakey Coal Action Alliance Inc v New Acland Coal P/L</w:t>
      </w:r>
      <w:r w:rsidR="0022688E" w:rsidRPr="0022688E">
        <w:rPr>
          <w:rFonts w:ascii="Arial" w:hAnsi="Arial" w:cs="Arial"/>
          <w:color w:val="000000"/>
          <w:sz w:val="20"/>
          <w:szCs w:val="20"/>
        </w:rPr>
        <w:t xml:space="preserve"> [2021] HCA 2</w:t>
      </w:r>
      <w:r w:rsidR="0057478A">
        <w:rPr>
          <w:rFonts w:ascii="Arial" w:hAnsi="Arial" w:cs="Arial"/>
          <w:color w:val="000000"/>
          <w:sz w:val="20"/>
          <w:szCs w:val="20"/>
        </w:rPr>
        <w:t xml:space="preserve">; </w:t>
      </w:r>
      <w:r w:rsidR="0057478A" w:rsidRPr="00FE237F">
        <w:rPr>
          <w:rFonts w:ascii="Arial" w:hAnsi="Arial" w:cs="Arial"/>
          <w:i/>
          <w:iCs/>
          <w:color w:val="000000"/>
          <w:sz w:val="20"/>
          <w:szCs w:val="20"/>
        </w:rPr>
        <w:t>Steven Dural (a pseudonym) v The Queen</w:t>
      </w:r>
      <w:r w:rsidR="0057478A">
        <w:rPr>
          <w:rFonts w:ascii="Arial" w:hAnsi="Arial" w:cs="Arial"/>
          <w:color w:val="000000"/>
          <w:sz w:val="20"/>
          <w:szCs w:val="20"/>
        </w:rPr>
        <w:t xml:space="preserve"> [2021] VSCA 8</w:t>
      </w:r>
      <w:r w:rsidR="00FE237F">
        <w:rPr>
          <w:rFonts w:ascii="Arial" w:hAnsi="Arial" w:cs="Arial"/>
          <w:color w:val="000000"/>
          <w:sz w:val="20"/>
          <w:szCs w:val="20"/>
        </w:rPr>
        <w:t>2</w:t>
      </w:r>
      <w:r w:rsidR="00AF5EB8">
        <w:rPr>
          <w:rFonts w:ascii="Arial" w:hAnsi="Arial" w:cs="Arial"/>
          <w:color w:val="000000"/>
          <w:sz w:val="20"/>
          <w:szCs w:val="20"/>
        </w:rPr>
        <w:t xml:space="preserve">; </w:t>
      </w:r>
      <w:r w:rsidR="00AF5EB8" w:rsidRPr="00AF5EB8">
        <w:rPr>
          <w:rFonts w:ascii="Arial" w:hAnsi="Arial" w:cs="Arial"/>
          <w:i/>
          <w:iCs/>
          <w:color w:val="000000"/>
          <w:sz w:val="20"/>
          <w:szCs w:val="20"/>
        </w:rPr>
        <w:t>Grahame v Bendigo and Adelaide Bank Ltd</w:t>
      </w:r>
      <w:r w:rsidR="00AF5EB8">
        <w:rPr>
          <w:rFonts w:ascii="Arial" w:hAnsi="Arial" w:cs="Arial"/>
          <w:color w:val="000000"/>
          <w:sz w:val="20"/>
          <w:szCs w:val="20"/>
        </w:rPr>
        <w:t xml:space="preserve"> [2021] VSCA 222 at [47]-[58]</w:t>
      </w:r>
      <w:r w:rsidR="00BF0956">
        <w:rPr>
          <w:rFonts w:ascii="Arial" w:hAnsi="Arial" w:cs="Arial"/>
          <w:color w:val="000000"/>
          <w:sz w:val="20"/>
          <w:szCs w:val="20"/>
        </w:rPr>
        <w:t xml:space="preserve">; </w:t>
      </w:r>
      <w:r w:rsidR="00BF0956" w:rsidRPr="00BF0956">
        <w:rPr>
          <w:rFonts w:ascii="Arial" w:hAnsi="Arial" w:cs="Arial"/>
          <w:i/>
          <w:iCs/>
          <w:color w:val="000000"/>
          <w:sz w:val="20"/>
          <w:szCs w:val="20"/>
        </w:rPr>
        <w:t>Minister for Home Affairs v Benbrika</w:t>
      </w:r>
      <w:r w:rsidR="00BF0956">
        <w:rPr>
          <w:rFonts w:ascii="Arial" w:hAnsi="Arial" w:cs="Arial"/>
          <w:i/>
          <w:iCs/>
          <w:color w:val="000000"/>
          <w:sz w:val="20"/>
          <w:szCs w:val="20"/>
        </w:rPr>
        <w:t xml:space="preserve"> (No.2)</w:t>
      </w:r>
      <w:r w:rsidR="00BF0956">
        <w:rPr>
          <w:rFonts w:ascii="Arial" w:hAnsi="Arial" w:cs="Arial"/>
          <w:color w:val="000000"/>
          <w:sz w:val="20"/>
          <w:szCs w:val="20"/>
        </w:rPr>
        <w:t xml:space="preserve"> [2021] VSC 684 at [40]-[44]</w:t>
      </w:r>
      <w:r w:rsidR="00AA17C4">
        <w:rPr>
          <w:rFonts w:ascii="Arial" w:hAnsi="Arial" w:cs="Arial"/>
          <w:color w:val="000000"/>
          <w:sz w:val="20"/>
          <w:szCs w:val="20"/>
        </w:rPr>
        <w:t xml:space="preserve">; </w:t>
      </w:r>
      <w:r w:rsidR="00AA17C4" w:rsidRPr="00AA17C4">
        <w:rPr>
          <w:rFonts w:ascii="Arial" w:hAnsi="Arial" w:cs="Arial"/>
          <w:i/>
          <w:iCs/>
          <w:color w:val="000000"/>
          <w:sz w:val="20"/>
          <w:szCs w:val="20"/>
        </w:rPr>
        <w:t>Tessa v DPP (Cth)</w:t>
      </w:r>
      <w:r w:rsidR="00AA17C4">
        <w:rPr>
          <w:rFonts w:ascii="Arial" w:hAnsi="Arial" w:cs="Arial"/>
          <w:color w:val="000000"/>
          <w:sz w:val="20"/>
          <w:szCs w:val="20"/>
        </w:rPr>
        <w:t xml:space="preserve"> [2022] VSCA 61 esp. at [21]-[29]</w:t>
      </w:r>
      <w:r w:rsidR="00D858C8">
        <w:rPr>
          <w:rFonts w:ascii="Arial" w:hAnsi="Arial" w:cs="Arial"/>
          <w:color w:val="000000"/>
          <w:sz w:val="20"/>
          <w:szCs w:val="20"/>
        </w:rPr>
        <w:t xml:space="preserve">; </w:t>
      </w:r>
      <w:r w:rsidR="00D858C8" w:rsidRPr="00D858C8">
        <w:rPr>
          <w:rFonts w:ascii="Arial" w:hAnsi="Arial" w:cs="Arial"/>
          <w:i/>
          <w:iCs/>
          <w:color w:val="000000"/>
          <w:sz w:val="20"/>
          <w:szCs w:val="20"/>
        </w:rPr>
        <w:t>Minogue v Falkingham</w:t>
      </w:r>
      <w:r w:rsidR="00D858C8">
        <w:rPr>
          <w:rFonts w:ascii="Arial" w:hAnsi="Arial" w:cs="Arial"/>
          <w:color w:val="000000"/>
          <w:sz w:val="20"/>
          <w:szCs w:val="20"/>
        </w:rPr>
        <w:t xml:space="preserve"> [2022] VSC 111 at [42]-[65]</w:t>
      </w:r>
      <w:r w:rsidR="001D5A40">
        <w:rPr>
          <w:rFonts w:ascii="Arial" w:hAnsi="Arial" w:cs="Arial"/>
          <w:color w:val="000000"/>
          <w:sz w:val="20"/>
          <w:szCs w:val="20"/>
        </w:rPr>
        <w:t>;</w:t>
      </w:r>
      <w:r w:rsidR="00D858C8">
        <w:rPr>
          <w:rFonts w:ascii="Arial" w:hAnsi="Arial" w:cs="Arial"/>
          <w:color w:val="000000"/>
          <w:sz w:val="20"/>
          <w:szCs w:val="20"/>
        </w:rPr>
        <w:t xml:space="preserve"> </w:t>
      </w:r>
      <w:r w:rsidR="00D858C8" w:rsidRPr="00A15316">
        <w:rPr>
          <w:rFonts w:ascii="Arial" w:hAnsi="Arial" w:cs="Arial"/>
          <w:i/>
          <w:iCs/>
          <w:color w:val="000000"/>
          <w:sz w:val="20"/>
          <w:szCs w:val="20"/>
        </w:rPr>
        <w:t xml:space="preserve">Hill </w:t>
      </w:r>
      <w:r w:rsidR="00050826" w:rsidRPr="00A15316">
        <w:rPr>
          <w:rFonts w:ascii="Arial" w:hAnsi="Arial" w:cs="Arial"/>
          <w:i/>
          <w:iCs/>
          <w:color w:val="000000"/>
          <w:sz w:val="20"/>
          <w:szCs w:val="20"/>
        </w:rPr>
        <w:t>v Cronin (No 2)</w:t>
      </w:r>
      <w:r w:rsidR="00050826">
        <w:rPr>
          <w:rFonts w:ascii="Arial" w:hAnsi="Arial" w:cs="Arial"/>
          <w:color w:val="000000"/>
          <w:sz w:val="20"/>
          <w:szCs w:val="20"/>
        </w:rPr>
        <w:t xml:space="preserve"> [2022] VSC 328</w:t>
      </w:r>
      <w:r w:rsidR="001D5A40">
        <w:rPr>
          <w:rFonts w:ascii="Arial" w:hAnsi="Arial" w:cs="Arial"/>
          <w:color w:val="000000"/>
          <w:sz w:val="20"/>
          <w:szCs w:val="20"/>
        </w:rPr>
        <w:t xml:space="preserve">; </w:t>
      </w:r>
      <w:r w:rsidR="00DE3F8C" w:rsidRPr="00CD277A">
        <w:rPr>
          <w:rFonts w:ascii="Arial" w:hAnsi="Arial" w:cs="Arial"/>
          <w:i/>
          <w:iCs/>
          <w:color w:val="000000"/>
          <w:sz w:val="20"/>
          <w:szCs w:val="20"/>
          <w:lang w:eastAsia="en-AU"/>
        </w:rPr>
        <w:t>Adaz Nominees Pty Ltd v Castleway Pty Ltd</w:t>
      </w:r>
      <w:r w:rsidR="00DE3F8C">
        <w:rPr>
          <w:rFonts w:ascii="Arial" w:hAnsi="Arial" w:cs="Arial"/>
          <w:color w:val="000000"/>
          <w:sz w:val="20"/>
          <w:szCs w:val="20"/>
          <w:lang w:eastAsia="en-AU"/>
        </w:rPr>
        <w:t xml:space="preserve"> [2022] VSC 600; </w:t>
      </w:r>
      <w:r w:rsidR="00DE3F8C" w:rsidRPr="00115F89">
        <w:rPr>
          <w:rFonts w:ascii="Arial" w:hAnsi="Arial" w:cs="Arial"/>
          <w:i/>
          <w:iCs/>
          <w:color w:val="000000"/>
          <w:sz w:val="20"/>
          <w:szCs w:val="20"/>
          <w:lang w:eastAsia="en-AU"/>
        </w:rPr>
        <w:t>VLSB v Kuksal &amp; Ors (Recusal Applications)</w:t>
      </w:r>
      <w:r w:rsidR="00DE3F8C">
        <w:rPr>
          <w:rFonts w:ascii="Arial" w:hAnsi="Arial" w:cs="Arial"/>
          <w:color w:val="000000"/>
          <w:sz w:val="20"/>
          <w:szCs w:val="20"/>
          <w:lang w:eastAsia="en-AU"/>
        </w:rPr>
        <w:t xml:space="preserve"> [2022] VSC 648</w:t>
      </w:r>
      <w:r w:rsidR="006A5C83">
        <w:rPr>
          <w:rFonts w:ascii="Arial" w:hAnsi="Arial" w:cs="Arial"/>
          <w:color w:val="000000"/>
          <w:sz w:val="20"/>
          <w:szCs w:val="20"/>
          <w:lang w:eastAsia="en-AU"/>
        </w:rPr>
        <w:t xml:space="preserve">; </w:t>
      </w:r>
      <w:r w:rsidR="001D5A40" w:rsidRPr="001D5A40">
        <w:rPr>
          <w:rFonts w:ascii="Arial" w:hAnsi="Arial" w:cs="Arial"/>
          <w:i/>
          <w:iCs/>
          <w:color w:val="000000"/>
          <w:sz w:val="20"/>
          <w:szCs w:val="20"/>
        </w:rPr>
        <w:t>Bolitho &amp; Anor v Banksia Securities Limited &amp; Ors (No 19)</w:t>
      </w:r>
      <w:r w:rsidR="001D5A40">
        <w:rPr>
          <w:rFonts w:ascii="Arial" w:hAnsi="Arial" w:cs="Arial"/>
          <w:color w:val="000000"/>
          <w:sz w:val="20"/>
          <w:szCs w:val="20"/>
        </w:rPr>
        <w:t xml:space="preserve"> [2022] VSC 761</w:t>
      </w:r>
      <w:r w:rsidR="0036113A">
        <w:rPr>
          <w:rFonts w:ascii="Arial" w:hAnsi="Arial" w:cs="Arial"/>
          <w:color w:val="000000"/>
          <w:sz w:val="20"/>
          <w:szCs w:val="20"/>
        </w:rPr>
        <w:t xml:space="preserve">; </w:t>
      </w:r>
      <w:r w:rsidR="0036113A" w:rsidRPr="007060B5">
        <w:rPr>
          <w:rFonts w:ascii="Arial" w:hAnsi="Arial" w:cs="Arial"/>
          <w:i/>
          <w:iCs/>
          <w:color w:val="000000"/>
          <w:sz w:val="20"/>
          <w:szCs w:val="20"/>
        </w:rPr>
        <w:t>Xerri v The King</w:t>
      </w:r>
      <w:r w:rsidR="0036113A">
        <w:rPr>
          <w:rFonts w:ascii="Arial" w:hAnsi="Arial" w:cs="Arial"/>
          <w:color w:val="000000"/>
          <w:sz w:val="20"/>
          <w:szCs w:val="20"/>
        </w:rPr>
        <w:t xml:space="preserve"> [2023] VSCA 15 at [108]-[125]</w:t>
      </w:r>
      <w:r w:rsidR="0023201F">
        <w:rPr>
          <w:rFonts w:ascii="Arial" w:hAnsi="Arial" w:cs="Arial"/>
          <w:color w:val="000000"/>
          <w:sz w:val="20"/>
          <w:szCs w:val="20"/>
        </w:rPr>
        <w:t xml:space="preserve">; </w:t>
      </w:r>
      <w:r w:rsidR="0023201F" w:rsidRPr="0023201F">
        <w:rPr>
          <w:rFonts w:ascii="Arial" w:hAnsi="Arial" w:cs="Arial"/>
          <w:i/>
          <w:iCs/>
          <w:sz w:val="20"/>
          <w:szCs w:val="20"/>
        </w:rPr>
        <w:t>QYFM v Minister for Immigration, Citizenship, Migrant Services and Multicultural Affairs</w:t>
      </w:r>
      <w:r w:rsidR="0023201F" w:rsidRPr="0023201F">
        <w:rPr>
          <w:rFonts w:ascii="Arial" w:hAnsi="Arial" w:cs="Arial"/>
          <w:sz w:val="20"/>
          <w:szCs w:val="20"/>
        </w:rPr>
        <w:t xml:space="preserve"> [2023] HCA 15</w:t>
      </w:r>
      <w:r w:rsidR="0023201F">
        <w:rPr>
          <w:rFonts w:ascii="Arial" w:hAnsi="Arial" w:cs="Arial"/>
          <w:sz w:val="20"/>
          <w:szCs w:val="20"/>
        </w:rPr>
        <w:t>, esp. at [36]-[58], [67]-[85], [153</w:t>
      </w:r>
      <w:r w:rsidR="00076DBA">
        <w:rPr>
          <w:rFonts w:ascii="Arial" w:hAnsi="Arial" w:cs="Arial"/>
          <w:sz w:val="20"/>
          <w:szCs w:val="20"/>
        </w:rPr>
        <w:t>]-[175],[189] &amp; [273]</w:t>
      </w:r>
      <w:r w:rsidR="00076DBA">
        <w:rPr>
          <w:rFonts w:ascii="Arial" w:hAnsi="Arial" w:cs="Arial"/>
          <w:sz w:val="20"/>
          <w:szCs w:val="20"/>
        </w:rPr>
        <w:noBreakHyphen/>
        <w:t>[302]</w:t>
      </w:r>
      <w:r w:rsidR="00BD6C77">
        <w:rPr>
          <w:rFonts w:ascii="Arial" w:hAnsi="Arial" w:cs="Arial"/>
          <w:sz w:val="20"/>
          <w:szCs w:val="20"/>
        </w:rPr>
        <w:t xml:space="preserve">; </w:t>
      </w:r>
      <w:r w:rsidR="00BD6C77" w:rsidRPr="00BD6C77">
        <w:rPr>
          <w:rFonts w:ascii="Arial" w:hAnsi="Arial" w:cs="Arial"/>
          <w:i/>
          <w:iCs/>
          <w:sz w:val="20"/>
          <w:szCs w:val="20"/>
        </w:rPr>
        <w:t>Keene v The King</w:t>
      </w:r>
      <w:r w:rsidR="00BD6C77">
        <w:rPr>
          <w:rFonts w:ascii="Arial" w:hAnsi="Arial" w:cs="Arial"/>
          <w:sz w:val="20"/>
          <w:szCs w:val="20"/>
        </w:rPr>
        <w:t xml:space="preserve"> [2023] VSCA 142 at [21]-[40]</w:t>
      </w:r>
      <w:r w:rsidR="00F42529">
        <w:rPr>
          <w:rFonts w:ascii="Arial" w:hAnsi="Arial" w:cs="Arial"/>
          <w:sz w:val="20"/>
          <w:szCs w:val="20"/>
        </w:rPr>
        <w:t xml:space="preserve">; </w:t>
      </w:r>
      <w:r w:rsidR="00F42529" w:rsidRPr="006461A4">
        <w:rPr>
          <w:rFonts w:ascii="Arial" w:hAnsi="Arial" w:cs="Arial"/>
          <w:i/>
          <w:iCs/>
          <w:sz w:val="20"/>
        </w:rPr>
        <w:t>Ramsay Alec (a pseudonym) v The King</w:t>
      </w:r>
      <w:r w:rsidR="00F42529">
        <w:rPr>
          <w:rFonts w:ascii="Arial" w:hAnsi="Arial" w:cs="Arial"/>
          <w:sz w:val="20"/>
        </w:rPr>
        <w:t xml:space="preserve"> [2023] VSCA 208, esp. at [28]-[35] {see summary in </w:t>
      </w:r>
      <w:r w:rsidR="00F42529" w:rsidRPr="00A975E6">
        <w:rPr>
          <w:rFonts w:ascii="Arial" w:hAnsi="Arial" w:cs="Arial"/>
          <w:b/>
          <w:bCs/>
          <w:sz w:val="20"/>
          <w:shd w:val="clear" w:color="auto" w:fill="C5E0B3" w:themeFill="accent6" w:themeFillTint="66"/>
        </w:rPr>
        <w:t>Part 2.7</w:t>
      </w:r>
      <w:r w:rsidR="00F42529">
        <w:rPr>
          <w:rFonts w:ascii="Arial" w:hAnsi="Arial" w:cs="Arial"/>
          <w:sz w:val="20"/>
        </w:rPr>
        <w:t>}</w:t>
      </w:r>
      <w:r w:rsidR="004A41B9">
        <w:rPr>
          <w:rFonts w:ascii="Arial" w:hAnsi="Arial" w:cs="Arial"/>
          <w:sz w:val="20"/>
        </w:rPr>
        <w:t xml:space="preserve">; </w:t>
      </w:r>
      <w:bookmarkStart w:id="113" w:name="_Hlk152333029"/>
      <w:r w:rsidR="004A41B9">
        <w:rPr>
          <w:rFonts w:ascii="Arial" w:hAnsi="Arial" w:cs="Arial"/>
          <w:i/>
          <w:iCs/>
          <w:sz w:val="20"/>
        </w:rPr>
        <w:t>DPP</w:t>
      </w:r>
      <w:r w:rsidR="004A41B9" w:rsidRPr="006461A4">
        <w:rPr>
          <w:rFonts w:ascii="Arial" w:hAnsi="Arial" w:cs="Arial"/>
          <w:i/>
          <w:iCs/>
          <w:sz w:val="20"/>
        </w:rPr>
        <w:t xml:space="preserve"> v </w:t>
      </w:r>
      <w:r w:rsidR="004A41B9">
        <w:rPr>
          <w:rFonts w:ascii="Arial" w:hAnsi="Arial" w:cs="Arial"/>
          <w:i/>
          <w:iCs/>
          <w:sz w:val="20"/>
        </w:rPr>
        <w:t>Smith</w:t>
      </w:r>
      <w:r w:rsidR="004A41B9">
        <w:rPr>
          <w:rFonts w:ascii="Arial" w:hAnsi="Arial" w:cs="Arial"/>
          <w:sz w:val="20"/>
        </w:rPr>
        <w:t xml:space="preserve"> [2023] VSCA 293</w:t>
      </w:r>
      <w:bookmarkEnd w:id="113"/>
      <w:r w:rsidR="004A41B9">
        <w:rPr>
          <w:rFonts w:ascii="Arial" w:hAnsi="Arial" w:cs="Arial"/>
          <w:sz w:val="20"/>
        </w:rPr>
        <w:t xml:space="preserve">, esp. at [4]-[7], [10], [32]-[34] &amp; [56] {also summarised in </w:t>
      </w:r>
      <w:r w:rsidR="004A41B9" w:rsidRPr="00B43A11">
        <w:rPr>
          <w:rFonts w:ascii="Arial" w:hAnsi="Arial" w:cs="Arial"/>
          <w:b/>
          <w:bCs/>
          <w:sz w:val="20"/>
          <w:shd w:val="clear" w:color="auto" w:fill="C5E0B3" w:themeFill="accent6" w:themeFillTint="66"/>
        </w:rPr>
        <w:t>Part 2.7</w:t>
      </w:r>
      <w:r w:rsidR="004A41B9">
        <w:rPr>
          <w:rFonts w:ascii="Arial" w:hAnsi="Arial" w:cs="Arial"/>
          <w:sz w:val="20"/>
        </w:rPr>
        <w:t>}</w:t>
      </w:r>
      <w:r w:rsidR="004225E0">
        <w:rPr>
          <w:rFonts w:ascii="Arial" w:hAnsi="Arial" w:cs="Arial"/>
          <w:sz w:val="20"/>
        </w:rPr>
        <w:t xml:space="preserve">; </w:t>
      </w:r>
      <w:r w:rsidR="004225E0" w:rsidRPr="004225E0">
        <w:rPr>
          <w:rFonts w:ascii="Arial" w:hAnsi="Arial" w:cs="Arial"/>
          <w:i/>
          <w:iCs/>
          <w:sz w:val="20"/>
        </w:rPr>
        <w:t>Kuksal v Victorian Legal Services Board (Recusal Application)</w:t>
      </w:r>
      <w:r w:rsidR="004225E0">
        <w:rPr>
          <w:rFonts w:ascii="Arial" w:hAnsi="Arial" w:cs="Arial"/>
          <w:sz w:val="20"/>
        </w:rPr>
        <w:t xml:space="preserve"> [2023] VSC 722 and the earlier </w:t>
      </w:r>
      <w:r w:rsidR="004225E0" w:rsidRPr="004225E0">
        <w:rPr>
          <w:rFonts w:ascii="Arial" w:hAnsi="Arial" w:cs="Arial"/>
          <w:i/>
          <w:iCs/>
          <w:sz w:val="20"/>
        </w:rPr>
        <w:t>Kuksal</w:t>
      </w:r>
      <w:r w:rsidR="004225E0">
        <w:rPr>
          <w:rFonts w:ascii="Arial" w:hAnsi="Arial" w:cs="Arial"/>
          <w:sz w:val="20"/>
        </w:rPr>
        <w:t xml:space="preserve"> cases cited therein</w:t>
      </w:r>
      <w:r w:rsidR="0026450D">
        <w:rPr>
          <w:rFonts w:ascii="Arial" w:hAnsi="Arial" w:cs="Arial"/>
          <w:sz w:val="20"/>
        </w:rPr>
        <w:t xml:space="preserve">; </w:t>
      </w:r>
      <w:r w:rsidR="0026450D" w:rsidRPr="001301E8">
        <w:rPr>
          <w:rFonts w:ascii="Arial" w:hAnsi="Arial" w:cs="Arial"/>
          <w:i/>
          <w:iCs/>
          <w:sz w:val="20"/>
          <w:szCs w:val="20"/>
        </w:rPr>
        <w:t>Sant</w:t>
      </w:r>
      <w:r w:rsidR="0026450D" w:rsidRPr="0026450D">
        <w:rPr>
          <w:rFonts w:ascii="Arial" w:hAnsi="Arial" w:cs="Arial"/>
          <w:i/>
          <w:iCs/>
          <w:sz w:val="20"/>
        </w:rPr>
        <w:t>os (a pseudonym) v The King</w:t>
      </w:r>
      <w:r w:rsidR="0026450D">
        <w:rPr>
          <w:rFonts w:ascii="Arial" w:hAnsi="Arial" w:cs="Arial"/>
          <w:sz w:val="20"/>
        </w:rPr>
        <w:t xml:space="preserve"> [2023] VSCA 320</w:t>
      </w:r>
      <w:r w:rsidR="002C288E">
        <w:rPr>
          <w:rFonts w:ascii="Arial" w:hAnsi="Arial" w:cs="Arial"/>
          <w:sz w:val="20"/>
        </w:rPr>
        <w:t xml:space="preserve">; </w:t>
      </w:r>
      <w:r w:rsidR="002C288E" w:rsidRPr="008766F1">
        <w:rPr>
          <w:rFonts w:ascii="Arial" w:hAnsi="Arial" w:cs="Arial"/>
          <w:i/>
          <w:iCs/>
          <w:color w:val="000000"/>
          <w:sz w:val="20"/>
          <w:szCs w:val="20"/>
        </w:rPr>
        <w:t>Gibson (a pseudonym) v The King</w:t>
      </w:r>
      <w:r w:rsidR="002C288E">
        <w:rPr>
          <w:rFonts w:ascii="Arial" w:hAnsi="Arial" w:cs="Arial"/>
          <w:color w:val="000000"/>
          <w:sz w:val="20"/>
          <w:szCs w:val="20"/>
        </w:rPr>
        <w:t xml:space="preserve"> [2024] VSCA 33 at [53]</w:t>
      </w:r>
      <w:r w:rsidR="002C288E">
        <w:rPr>
          <w:rFonts w:ascii="Arial" w:hAnsi="Arial" w:cs="Arial"/>
          <w:color w:val="000000"/>
          <w:sz w:val="20"/>
          <w:szCs w:val="20"/>
        </w:rPr>
        <w:noBreakHyphen/>
        <w:t>[55] {re “entering the fray”}</w:t>
      </w:r>
      <w:r w:rsidR="00ED65FD">
        <w:rPr>
          <w:rFonts w:ascii="Arial" w:hAnsi="Arial" w:cs="Arial"/>
          <w:color w:val="000000"/>
          <w:sz w:val="20"/>
          <w:szCs w:val="20"/>
        </w:rPr>
        <w:t xml:space="preserve">; </w:t>
      </w:r>
      <w:r w:rsidR="00ED65FD" w:rsidRPr="00ED65FD">
        <w:rPr>
          <w:rFonts w:ascii="Arial" w:hAnsi="Arial" w:cs="Arial"/>
          <w:i/>
          <w:iCs/>
          <w:color w:val="000000"/>
          <w:sz w:val="20"/>
          <w:szCs w:val="20"/>
        </w:rPr>
        <w:t>Andre McKechnie v Detective Peter Evans (Recusal Application)</w:t>
      </w:r>
      <w:r w:rsidR="00ED65FD">
        <w:rPr>
          <w:rFonts w:ascii="Arial" w:hAnsi="Arial" w:cs="Arial"/>
          <w:color w:val="000000"/>
          <w:sz w:val="20"/>
          <w:szCs w:val="20"/>
        </w:rPr>
        <w:t xml:space="preserve"> [2024] VSC 192</w:t>
      </w:r>
      <w:r w:rsidR="00AA09C8">
        <w:rPr>
          <w:rFonts w:ascii="Arial" w:hAnsi="Arial" w:cs="Arial"/>
          <w:color w:val="000000"/>
          <w:sz w:val="20"/>
          <w:szCs w:val="20"/>
        </w:rPr>
        <w:t xml:space="preserve">; </w:t>
      </w:r>
      <w:r w:rsidR="00AA09C8" w:rsidRPr="00AA09C8">
        <w:rPr>
          <w:rFonts w:ascii="Arial" w:hAnsi="Arial" w:cs="Arial"/>
          <w:i/>
          <w:iCs/>
          <w:color w:val="000000"/>
          <w:sz w:val="20"/>
          <w:szCs w:val="20"/>
        </w:rPr>
        <w:t>McKechnie v State of Victoria</w:t>
      </w:r>
      <w:r w:rsidR="00AA09C8">
        <w:rPr>
          <w:rFonts w:ascii="Arial" w:hAnsi="Arial" w:cs="Arial"/>
          <w:color w:val="000000"/>
          <w:sz w:val="20"/>
          <w:szCs w:val="20"/>
        </w:rPr>
        <w:t xml:space="preserve"> [2024] VSCA 171 at [34]-[43]</w:t>
      </w:r>
      <w:r w:rsidR="00B6728D">
        <w:rPr>
          <w:rFonts w:ascii="Arial" w:hAnsi="Arial" w:cs="Arial"/>
          <w:color w:val="000000"/>
          <w:sz w:val="20"/>
          <w:szCs w:val="20"/>
        </w:rPr>
        <w:t xml:space="preserve">; </w:t>
      </w:r>
      <w:r w:rsidR="00B6728D" w:rsidRPr="00B6728D">
        <w:rPr>
          <w:rFonts w:ascii="Arial" w:hAnsi="Arial" w:cs="Arial"/>
          <w:i/>
          <w:iCs/>
          <w:color w:val="000000"/>
          <w:sz w:val="20"/>
          <w:szCs w:val="20"/>
        </w:rPr>
        <w:t xml:space="preserve">Kuksal v </w:t>
      </w:r>
      <w:bookmarkStart w:id="114" w:name="_Toc30608805"/>
      <w:bookmarkStart w:id="115" w:name="_Toc30610019"/>
      <w:bookmarkStart w:id="116" w:name="_Toc30610263"/>
      <w:bookmarkStart w:id="117" w:name="_Toc30638417"/>
      <w:bookmarkStart w:id="118" w:name="_Toc30644226"/>
      <w:bookmarkStart w:id="119" w:name="_Toc30644629"/>
      <w:bookmarkStart w:id="120" w:name="_Toc30645179"/>
      <w:bookmarkStart w:id="121" w:name="_Toc30646390"/>
      <w:bookmarkStart w:id="122" w:name="_Toc30646685"/>
      <w:bookmarkStart w:id="123" w:name="_Toc30646796"/>
      <w:bookmarkStart w:id="124" w:name="_Toc30648153"/>
      <w:bookmarkStart w:id="125" w:name="_Toc30649051"/>
      <w:bookmarkStart w:id="126" w:name="_Toc30649127"/>
      <w:bookmarkStart w:id="127" w:name="_Toc30649388"/>
      <w:bookmarkStart w:id="128" w:name="_Toc30649708"/>
      <w:bookmarkStart w:id="129" w:name="_Toc30651642"/>
      <w:bookmarkStart w:id="130" w:name="_Toc30652626"/>
      <w:bookmarkStart w:id="131" w:name="_Toc30652724"/>
      <w:bookmarkStart w:id="132" w:name="_Toc30654069"/>
      <w:bookmarkStart w:id="133" w:name="_Toc30654420"/>
      <w:bookmarkStart w:id="134" w:name="_Toc30655039"/>
      <w:bookmarkStart w:id="135" w:name="_Toc30655296"/>
      <w:bookmarkStart w:id="136" w:name="_Toc30656974"/>
      <w:bookmarkStart w:id="137" w:name="_Toc30661723"/>
      <w:bookmarkStart w:id="138" w:name="_Toc30666411"/>
      <w:bookmarkStart w:id="139" w:name="_Toc30666641"/>
      <w:bookmarkStart w:id="140" w:name="_Toc30667816"/>
      <w:bookmarkStart w:id="141" w:name="_Toc30669194"/>
      <w:bookmarkStart w:id="142" w:name="_Toc30671410"/>
      <w:bookmarkStart w:id="143" w:name="_Toc30673937"/>
      <w:bookmarkStart w:id="144" w:name="_Toc30691159"/>
      <w:bookmarkStart w:id="145" w:name="_Toc30691530"/>
      <w:bookmarkStart w:id="146" w:name="_Toc30691910"/>
      <w:bookmarkStart w:id="147" w:name="_Toc30692669"/>
      <w:bookmarkStart w:id="148" w:name="_Toc30693048"/>
      <w:bookmarkStart w:id="149" w:name="_Toc30693426"/>
      <w:bookmarkStart w:id="150" w:name="_Toc30693805"/>
      <w:bookmarkStart w:id="151" w:name="_Toc30694186"/>
      <w:bookmarkStart w:id="152" w:name="_Toc30698775"/>
      <w:bookmarkStart w:id="153" w:name="_Toc30699153"/>
      <w:bookmarkStart w:id="154" w:name="_Toc30699538"/>
      <w:bookmarkStart w:id="155" w:name="_Toc30700693"/>
      <w:bookmarkStart w:id="156" w:name="_Toc30701080"/>
      <w:bookmarkStart w:id="157" w:name="_Toc30743689"/>
      <w:bookmarkStart w:id="158" w:name="_Toc30754511"/>
      <w:bookmarkStart w:id="159" w:name="_Toc30756951"/>
      <w:bookmarkStart w:id="160" w:name="_Toc30757500"/>
      <w:bookmarkStart w:id="161" w:name="_Toc30757900"/>
      <w:bookmarkStart w:id="162" w:name="_Toc30762661"/>
      <w:bookmarkStart w:id="163" w:name="_Toc30767315"/>
      <w:bookmarkStart w:id="164" w:name="_Toc34823331"/>
      <w:r w:rsidR="00B6728D" w:rsidRPr="00B6728D">
        <w:rPr>
          <w:rFonts w:ascii="Arial" w:hAnsi="Arial" w:cs="Arial"/>
          <w:i/>
          <w:iCs/>
          <w:sz w:val="20"/>
        </w:rPr>
        <w:t>Victorian Legal Services Board (Further Recusal)</w:t>
      </w:r>
      <w:r w:rsidR="00B6728D" w:rsidRPr="00B6728D">
        <w:rPr>
          <w:rFonts w:ascii="Arial" w:hAnsi="Arial" w:cs="Arial"/>
          <w:sz w:val="20"/>
        </w:rPr>
        <w:t xml:space="preserve"> [2024] VSC 508</w:t>
      </w:r>
      <w:r w:rsidR="00166BEC">
        <w:rPr>
          <w:rFonts w:ascii="Arial" w:hAnsi="Arial" w:cs="Arial"/>
          <w:sz w:val="20"/>
        </w:rPr>
        <w:t xml:space="preserve">; </w:t>
      </w:r>
      <w:r w:rsidR="00166BEC" w:rsidRPr="00E17F2A">
        <w:rPr>
          <w:rFonts w:ascii="Arial" w:hAnsi="Arial" w:cs="Arial"/>
          <w:i/>
          <w:iCs/>
          <w:color w:val="000000"/>
          <w:sz w:val="20"/>
        </w:rPr>
        <w:t>Kostiuk v KH (a pseudonym)</w:t>
      </w:r>
      <w:r w:rsidR="00166BEC">
        <w:rPr>
          <w:rFonts w:ascii="Arial" w:hAnsi="Arial" w:cs="Arial"/>
          <w:color w:val="000000"/>
          <w:sz w:val="20"/>
        </w:rPr>
        <w:t xml:space="preserve"> [2024] VSC 586 at [43]-[53]</w:t>
      </w:r>
      <w:r w:rsidR="00C34A37">
        <w:rPr>
          <w:rFonts w:ascii="Arial" w:hAnsi="Arial" w:cs="Arial"/>
          <w:color w:val="000000"/>
          <w:sz w:val="20"/>
        </w:rPr>
        <w:t xml:space="preserve">; </w:t>
      </w:r>
      <w:r w:rsidR="00C34A37" w:rsidRPr="00C34A37">
        <w:rPr>
          <w:rFonts w:ascii="Arial" w:hAnsi="Arial" w:cs="Arial"/>
          <w:i/>
          <w:iCs/>
          <w:sz w:val="20"/>
        </w:rPr>
        <w:t>Fuller v Fletcher Building Limited</w:t>
      </w:r>
      <w:r w:rsidR="00C34A37">
        <w:rPr>
          <w:rFonts w:ascii="Arial" w:hAnsi="Arial" w:cs="Arial"/>
          <w:sz w:val="20"/>
        </w:rPr>
        <w:t xml:space="preserve"> [2024] VSC 712</w:t>
      </w:r>
      <w:r w:rsidR="00530CB6">
        <w:rPr>
          <w:rFonts w:ascii="Arial" w:hAnsi="Arial" w:cs="Arial"/>
          <w:sz w:val="20"/>
        </w:rPr>
        <w:t xml:space="preserve">; </w:t>
      </w:r>
      <w:r w:rsidR="00530CB6" w:rsidRPr="00530CB6">
        <w:rPr>
          <w:rFonts w:ascii="Arial" w:hAnsi="Arial" w:cs="Arial"/>
          <w:i/>
          <w:iCs/>
          <w:sz w:val="20"/>
        </w:rPr>
        <w:t>Brazel v State of Victoria</w:t>
      </w:r>
      <w:r w:rsidR="00530CB6">
        <w:rPr>
          <w:rFonts w:ascii="Arial" w:hAnsi="Arial" w:cs="Arial"/>
          <w:sz w:val="20"/>
        </w:rPr>
        <w:t xml:space="preserve"> [2024] VSCA 327 at [71]-[99]</w:t>
      </w:r>
      <w:r w:rsidR="00A174AF">
        <w:rPr>
          <w:rFonts w:ascii="Arial" w:hAnsi="Arial" w:cs="Arial"/>
          <w:sz w:val="20"/>
        </w:rPr>
        <w:t xml:space="preserve">: </w:t>
      </w:r>
      <w:r w:rsidR="00A174AF" w:rsidRPr="00A174AF">
        <w:rPr>
          <w:rFonts w:ascii="Arial" w:hAnsi="Arial" w:cs="Arial"/>
          <w:i/>
          <w:iCs/>
          <w:sz w:val="20"/>
        </w:rPr>
        <w:t>Re Geelong Quarries Pty Ltd</w:t>
      </w:r>
      <w:r w:rsidR="00A174AF">
        <w:rPr>
          <w:rFonts w:ascii="Arial" w:hAnsi="Arial" w:cs="Arial"/>
          <w:sz w:val="20"/>
        </w:rPr>
        <w:t xml:space="preserve"> [2025] VSC 205</w:t>
      </w:r>
      <w:r w:rsidR="0013025C">
        <w:rPr>
          <w:rFonts w:ascii="Arial" w:hAnsi="Arial" w:cs="Arial"/>
          <w:sz w:val="20"/>
        </w:rPr>
        <w:t xml:space="preserve"> at [18]-[40], [52]-[58], [78]</w:t>
      </w:r>
      <w:r w:rsidR="0013025C">
        <w:rPr>
          <w:rFonts w:ascii="Arial" w:hAnsi="Arial" w:cs="Arial"/>
          <w:sz w:val="20"/>
        </w:rPr>
        <w:noBreakHyphen/>
        <w:t>[101], [109]-[110], [122]-[125] &amp; [193]-[194]</w:t>
      </w:r>
      <w:r w:rsidR="003A15F8">
        <w:rPr>
          <w:rFonts w:ascii="Arial" w:hAnsi="Arial" w:cs="Arial"/>
          <w:sz w:val="20"/>
        </w:rPr>
        <w:t xml:space="preserve">; </w:t>
      </w:r>
      <w:r w:rsidR="003A15F8" w:rsidRPr="003A15F8">
        <w:rPr>
          <w:rFonts w:ascii="Arial" w:hAnsi="Arial" w:cs="Arial"/>
          <w:i/>
          <w:iCs/>
          <w:sz w:val="20"/>
        </w:rPr>
        <w:t>Fuller v Fletcher Building Limited (No 2)</w:t>
      </w:r>
      <w:r w:rsidR="003A15F8" w:rsidRPr="003A15F8">
        <w:rPr>
          <w:rFonts w:ascii="Arial" w:hAnsi="Arial" w:cs="Arial"/>
          <w:sz w:val="20"/>
        </w:rPr>
        <w:t xml:space="preserve"> [2025] VSC 355</w:t>
      </w:r>
      <w:r w:rsidR="006A4D87">
        <w:rPr>
          <w:rFonts w:ascii="Arial" w:hAnsi="Arial" w:cs="Arial"/>
          <w:sz w:val="20"/>
        </w:rPr>
        <w:t xml:space="preserve">; </w:t>
      </w:r>
      <w:r w:rsidR="006A4D87" w:rsidRPr="006A4D87">
        <w:rPr>
          <w:rFonts w:ascii="Arial" w:hAnsi="Arial" w:cs="Arial"/>
          <w:i/>
          <w:iCs/>
          <w:sz w:val="20"/>
        </w:rPr>
        <w:t>Susman v Allen</w:t>
      </w:r>
      <w:r w:rsidR="006A4D87">
        <w:rPr>
          <w:rFonts w:ascii="Arial" w:hAnsi="Arial" w:cs="Arial"/>
          <w:sz w:val="20"/>
        </w:rPr>
        <w:t xml:space="preserve"> [2025] VSCA 276 at [80]-[108]</w:t>
      </w:r>
      <w:r w:rsidR="00902967">
        <w:rPr>
          <w:rFonts w:ascii="Arial" w:hAnsi="Arial" w:cs="Arial"/>
          <w:sz w:val="20"/>
        </w:rPr>
        <w:t xml:space="preserve">; </w:t>
      </w:r>
      <w:r w:rsidR="00902967" w:rsidRPr="00902967">
        <w:rPr>
          <w:rFonts w:ascii="Arial" w:hAnsi="Arial" w:cs="Arial"/>
          <w:i/>
          <w:iCs/>
          <w:color w:val="000000"/>
          <w:sz w:val="20"/>
        </w:rPr>
        <w:t>In the matter of an application by Francesco Madafferi</w:t>
      </w:r>
      <w:r w:rsidR="00902967" w:rsidRPr="00902967">
        <w:rPr>
          <w:rFonts w:ascii="Arial" w:hAnsi="Arial" w:cs="Arial"/>
          <w:color w:val="000000"/>
          <w:sz w:val="20"/>
        </w:rPr>
        <w:t xml:space="preserve"> [2025] VSC 779</w:t>
      </w:r>
      <w:r w:rsidR="00510F56">
        <w:rPr>
          <w:rFonts w:ascii="Arial" w:hAnsi="Arial" w:cs="Arial"/>
          <w:color w:val="000000"/>
          <w:sz w:val="20"/>
        </w:rPr>
        <w:t xml:space="preserve">; </w:t>
      </w:r>
      <w:proofErr w:type="spellStart"/>
      <w:r w:rsidR="00510F56" w:rsidRPr="00510F56">
        <w:rPr>
          <w:rFonts w:ascii="Arial" w:hAnsi="Arial" w:cs="Arial"/>
          <w:i/>
          <w:iCs/>
          <w:sz w:val="20"/>
        </w:rPr>
        <w:t>SunshineLoans</w:t>
      </w:r>
      <w:proofErr w:type="spellEnd"/>
      <w:r w:rsidR="00510F56" w:rsidRPr="00510F56">
        <w:rPr>
          <w:rFonts w:ascii="Arial" w:hAnsi="Arial" w:cs="Arial"/>
          <w:i/>
          <w:iCs/>
          <w:sz w:val="20"/>
        </w:rPr>
        <w:t xml:space="preserve"> Pty Ltd v Australian Securities and Investments Commission</w:t>
      </w:r>
      <w:r w:rsidR="00510F56" w:rsidRPr="00510F56">
        <w:rPr>
          <w:rFonts w:ascii="Arial" w:hAnsi="Arial" w:cs="Arial"/>
          <w:sz w:val="20"/>
        </w:rPr>
        <w:t xml:space="preserve"> [2026] HCA 8</w:t>
      </w:r>
      <w:r w:rsidR="00510F56">
        <w:rPr>
          <w:rFonts w:ascii="Arial" w:hAnsi="Arial" w:cs="Arial"/>
          <w:sz w:val="20"/>
        </w:rPr>
        <w:t>, esp. at [1]-[6], [59]-[60] &amp; [91]-[92], [101]-[105], [130]-[131] &amp; [171]-[178]</w:t>
      </w:r>
      <w:r w:rsidR="009B6DC5">
        <w:rPr>
          <w:rFonts w:ascii="Arial" w:hAnsi="Arial" w:cs="Arial"/>
          <w:sz w:val="20"/>
        </w:rPr>
        <w:t xml:space="preserve">; </w:t>
      </w:r>
      <w:r w:rsidR="009B6DC5" w:rsidRPr="009B6DC5">
        <w:rPr>
          <w:rFonts w:ascii="Arial" w:hAnsi="Arial" w:cs="Arial"/>
          <w:i/>
          <w:iCs/>
          <w:sz w:val="20"/>
        </w:rPr>
        <w:t>ANZ v Nguyen (No 2)</w:t>
      </w:r>
      <w:r w:rsidR="009B6DC5">
        <w:rPr>
          <w:rFonts w:ascii="Arial" w:hAnsi="Arial" w:cs="Arial"/>
          <w:sz w:val="20"/>
        </w:rPr>
        <w:t xml:space="preserve"> [2026] VSC 121 at [12] &amp; [30]-[35]</w:t>
      </w:r>
      <w:r w:rsidR="00A6372C">
        <w:rPr>
          <w:rFonts w:ascii="Arial" w:hAnsi="Arial" w:cs="Arial"/>
          <w:sz w:val="20"/>
        </w:rPr>
        <w:t xml:space="preserve">; </w:t>
      </w:r>
      <w:r w:rsidR="00A6372C" w:rsidRPr="00A6372C">
        <w:rPr>
          <w:rFonts w:ascii="Arial" w:hAnsi="Arial" w:cs="Arial"/>
          <w:i/>
          <w:iCs/>
          <w:sz w:val="20"/>
        </w:rPr>
        <w:t xml:space="preserve">Liu v </w:t>
      </w:r>
      <w:proofErr w:type="spellStart"/>
      <w:r w:rsidR="00A6372C" w:rsidRPr="00A6372C">
        <w:rPr>
          <w:rFonts w:ascii="Arial" w:hAnsi="Arial" w:cs="Arial"/>
          <w:i/>
          <w:iCs/>
          <w:sz w:val="20"/>
        </w:rPr>
        <w:t>VicProp</w:t>
      </w:r>
      <w:proofErr w:type="spellEnd"/>
      <w:r w:rsidR="00A6372C" w:rsidRPr="00A6372C">
        <w:rPr>
          <w:rFonts w:ascii="Arial" w:hAnsi="Arial" w:cs="Arial"/>
          <w:i/>
          <w:iCs/>
          <w:sz w:val="20"/>
        </w:rPr>
        <w:t xml:space="preserve"> Manningham Residential Pty Ltd</w:t>
      </w:r>
      <w:r w:rsidR="00A6372C" w:rsidRPr="00A6372C">
        <w:rPr>
          <w:rFonts w:ascii="Arial" w:hAnsi="Arial" w:cs="Arial"/>
          <w:sz w:val="20"/>
        </w:rPr>
        <w:t xml:space="preserve"> </w:t>
      </w:r>
      <w:r w:rsidR="00A6372C">
        <w:rPr>
          <w:rFonts w:ascii="Arial" w:hAnsi="Arial" w:cs="Arial"/>
          <w:sz w:val="20"/>
        </w:rPr>
        <w:t>[2026] VSC 164 at [59]-[68]</w:t>
      </w:r>
      <w:r w:rsidR="00872879">
        <w:rPr>
          <w:rFonts w:ascii="Arial" w:hAnsi="Arial" w:cs="Arial"/>
          <w:sz w:val="20"/>
        </w:rPr>
        <w:t xml:space="preserve">; </w:t>
      </w:r>
      <w:proofErr w:type="spellStart"/>
      <w:r w:rsidR="00872879" w:rsidRPr="00872879">
        <w:rPr>
          <w:rFonts w:ascii="Arial" w:hAnsi="Arial" w:cs="Arial"/>
          <w:i/>
          <w:iCs/>
          <w:sz w:val="20"/>
        </w:rPr>
        <w:t>Kuksal</w:t>
      </w:r>
      <w:proofErr w:type="spellEnd"/>
      <w:r w:rsidR="00872879" w:rsidRPr="00872879">
        <w:rPr>
          <w:rFonts w:ascii="Arial" w:hAnsi="Arial" w:cs="Arial"/>
          <w:i/>
          <w:iCs/>
          <w:sz w:val="20"/>
        </w:rPr>
        <w:t xml:space="preserve"> v State of Victoria &amp; Ors (Interstate Judge Ruling)</w:t>
      </w:r>
      <w:r w:rsidR="00872879" w:rsidRPr="00872879">
        <w:rPr>
          <w:rFonts w:ascii="Arial" w:hAnsi="Arial" w:cs="Arial"/>
          <w:sz w:val="20"/>
        </w:rPr>
        <w:t xml:space="preserve"> [2026] VSC 196</w:t>
      </w:r>
      <w:r w:rsidR="003C6D30">
        <w:rPr>
          <w:rFonts w:ascii="Arial" w:hAnsi="Arial" w:cs="Arial"/>
          <w:sz w:val="20"/>
        </w:rPr>
        <w:t xml:space="preserve">; </w:t>
      </w:r>
      <w:r w:rsidR="003C6D30" w:rsidRPr="003C6D30">
        <w:rPr>
          <w:rFonts w:ascii="Arial" w:hAnsi="Arial" w:cs="Arial"/>
          <w:i/>
          <w:iCs/>
          <w:sz w:val="20"/>
        </w:rPr>
        <w:t>The Mother (a pseudonym) v Parade College &amp; Ors</w:t>
      </w:r>
      <w:r w:rsidR="003C6D30">
        <w:rPr>
          <w:rFonts w:ascii="Arial" w:hAnsi="Arial" w:cs="Arial"/>
          <w:sz w:val="20"/>
        </w:rPr>
        <w:t xml:space="preserve"> [No 2] [2026] VSCA 97 at [110]-[117]</w:t>
      </w:r>
      <w:r w:rsidR="008904D0">
        <w:rPr>
          <w:rFonts w:ascii="Arial" w:hAnsi="Arial" w:cs="Arial"/>
          <w:sz w:val="20"/>
        </w:rPr>
        <w:t xml:space="preserve">; </w:t>
      </w:r>
      <w:proofErr w:type="spellStart"/>
      <w:r w:rsidR="008904D0" w:rsidRPr="008904D0">
        <w:rPr>
          <w:rFonts w:ascii="Arial" w:hAnsi="Arial" w:cs="Arial"/>
          <w:i/>
          <w:iCs/>
          <w:sz w:val="20"/>
        </w:rPr>
        <w:t>Milekovic</w:t>
      </w:r>
      <w:proofErr w:type="spellEnd"/>
      <w:r w:rsidR="008904D0" w:rsidRPr="008904D0">
        <w:rPr>
          <w:rFonts w:ascii="Arial" w:hAnsi="Arial" w:cs="Arial"/>
          <w:i/>
          <w:iCs/>
          <w:sz w:val="20"/>
        </w:rPr>
        <w:t xml:space="preserve"> v </w:t>
      </w:r>
      <w:proofErr w:type="spellStart"/>
      <w:r w:rsidR="008904D0" w:rsidRPr="008904D0">
        <w:rPr>
          <w:rFonts w:ascii="Arial" w:hAnsi="Arial" w:cs="Arial"/>
          <w:i/>
          <w:iCs/>
          <w:sz w:val="20"/>
        </w:rPr>
        <w:t>Vrantsidis</w:t>
      </w:r>
      <w:proofErr w:type="spellEnd"/>
      <w:r w:rsidR="008904D0" w:rsidRPr="008904D0">
        <w:rPr>
          <w:rFonts w:ascii="Arial" w:hAnsi="Arial" w:cs="Arial"/>
          <w:i/>
          <w:iCs/>
          <w:sz w:val="20"/>
        </w:rPr>
        <w:t xml:space="preserve"> [No 2]</w:t>
      </w:r>
      <w:r w:rsidR="008904D0" w:rsidRPr="008904D0">
        <w:rPr>
          <w:rFonts w:ascii="Arial" w:hAnsi="Arial" w:cs="Arial"/>
          <w:sz w:val="20"/>
        </w:rPr>
        <w:t xml:space="preserve"> [2026] VSCA 102</w:t>
      </w:r>
      <w:r w:rsidR="008904D0">
        <w:rPr>
          <w:rFonts w:ascii="Arial" w:hAnsi="Arial" w:cs="Arial"/>
          <w:sz w:val="20"/>
        </w:rPr>
        <w:t xml:space="preserve"> at [30]-[32]</w:t>
      </w:r>
      <w:r w:rsidR="009A4893">
        <w:rPr>
          <w:rFonts w:ascii="Arial" w:hAnsi="Arial" w:cs="Arial"/>
          <w:sz w:val="20"/>
        </w:rPr>
        <w:t xml:space="preserve">; </w:t>
      </w:r>
      <w:r w:rsidR="009A4893" w:rsidRPr="009A4893">
        <w:rPr>
          <w:rFonts w:ascii="Arial" w:hAnsi="Arial" w:cs="Arial"/>
          <w:i/>
          <w:iCs/>
          <w:sz w:val="20"/>
        </w:rPr>
        <w:t>El Rajab v The King</w:t>
      </w:r>
      <w:r w:rsidR="009A4893">
        <w:rPr>
          <w:rFonts w:ascii="Arial" w:hAnsi="Arial" w:cs="Arial"/>
          <w:sz w:val="20"/>
        </w:rPr>
        <w:t xml:space="preserve"> [2026] VSCA 107 at [2]-[9].</w:t>
      </w:r>
    </w:p>
    <w:p w14:paraId="1C703532" w14:textId="77777777" w:rsidR="003C6D30" w:rsidRDefault="003C6D30" w:rsidP="00872879">
      <w:pPr>
        <w:spacing w:before="20"/>
        <w:jc w:val="both"/>
        <w:rPr>
          <w:rFonts w:ascii="Arial" w:hAnsi="Arial" w:cs="Arial"/>
          <w:sz w:val="20"/>
        </w:rPr>
      </w:pPr>
    </w:p>
    <w:p w14:paraId="646F445C" w14:textId="77777777" w:rsidR="007417A5" w:rsidRPr="00BD3BA0" w:rsidRDefault="007417A5" w:rsidP="007417A5">
      <w:pPr>
        <w:jc w:val="center"/>
        <w:rPr>
          <w:rFonts w:ascii="Arial" w:hAnsi="Arial" w:cs="Arial"/>
          <w:b/>
          <w:bCs/>
          <w:sz w:val="22"/>
          <w:szCs w:val="28"/>
        </w:rPr>
      </w:pPr>
      <w:r w:rsidRPr="00BD3BA0">
        <w:rPr>
          <w:rFonts w:ascii="Arial" w:hAnsi="Arial" w:cs="Arial"/>
          <w:b/>
          <w:bCs/>
          <w:sz w:val="22"/>
          <w:szCs w:val="28"/>
        </w:rPr>
        <w:t>THE REST OF THIS PAGE IS BLANK</w:t>
      </w:r>
    </w:p>
    <w:p w14:paraId="1B9E66D9" w14:textId="77777777" w:rsidR="007417A5" w:rsidRDefault="007417A5" w:rsidP="007417A5">
      <w:pPr>
        <w:rPr>
          <w:rFonts w:ascii="Arial" w:hAnsi="Arial" w:cs="Arial"/>
          <w:sz w:val="20"/>
        </w:rPr>
      </w:pPr>
    </w:p>
    <w:p w14:paraId="1C9DC02D" w14:textId="77777777" w:rsidR="007F6791" w:rsidRDefault="007F6791">
      <w:pPr>
        <w:rPr>
          <w:rFonts w:ascii="Arial" w:hAnsi="Arial" w:cs="Arial"/>
          <w:b/>
          <w:bCs/>
          <w:kern w:val="28"/>
          <w:szCs w:val="20"/>
          <w:lang w:val="en-GB"/>
        </w:rPr>
      </w:pPr>
      <w:r>
        <w:rPr>
          <w:rFonts w:ascii="Arial" w:hAnsi="Arial" w:cs="Arial"/>
          <w:b/>
          <w:bCs/>
        </w:rPr>
        <w:br w:type="page"/>
      </w:r>
    </w:p>
    <w:p w14:paraId="637B38F1" w14:textId="3AF9A10B" w:rsidR="00B21DA4" w:rsidRPr="00036D92" w:rsidRDefault="00B21DA4" w:rsidP="00036D92">
      <w:pPr>
        <w:pStyle w:val="Heading2"/>
        <w:keepNext/>
        <w:keepLines/>
        <w:widowControl/>
        <w:rPr>
          <w:rFonts w:ascii="Arial" w:hAnsi="Arial" w:cs="Arial"/>
          <w:b/>
          <w:bCs/>
        </w:rPr>
      </w:pPr>
      <w:bookmarkStart w:id="165" w:name="_3.2_Judicial_Independence"/>
      <w:bookmarkEnd w:id="165"/>
      <w:r w:rsidRPr="00036D92">
        <w:rPr>
          <w:rFonts w:ascii="Arial" w:hAnsi="Arial" w:cs="Arial"/>
          <w:b/>
          <w:bCs/>
        </w:rPr>
        <w:lastRenderedPageBreak/>
        <w:t>3.2</w:t>
      </w:r>
      <w:r w:rsidRPr="00036D92">
        <w:rPr>
          <w:rFonts w:ascii="Arial" w:hAnsi="Arial" w:cs="Arial"/>
          <w:b/>
          <w:bCs/>
        </w:rPr>
        <w:tab/>
        <w:t>Judicial Independence</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00C228D0">
        <w:rPr>
          <w:rFonts w:ascii="Arial" w:hAnsi="Arial" w:cs="Arial"/>
          <w:b/>
          <w:bCs/>
        </w:rPr>
        <w:t xml:space="preserve"> &amp; </w:t>
      </w:r>
      <w:r w:rsidR="00B57600">
        <w:rPr>
          <w:rFonts w:ascii="Arial" w:hAnsi="Arial" w:cs="Arial"/>
          <w:b/>
          <w:bCs/>
        </w:rPr>
        <w:t>I</w:t>
      </w:r>
      <w:r w:rsidR="00C228D0">
        <w:rPr>
          <w:rFonts w:ascii="Arial" w:hAnsi="Arial" w:cs="Arial"/>
          <w:b/>
          <w:bCs/>
        </w:rPr>
        <w:t>mmunity</w:t>
      </w:r>
    </w:p>
    <w:p w14:paraId="78C4DCAC" w14:textId="77777777" w:rsidR="00C228D0" w:rsidRDefault="00C228D0" w:rsidP="00C228D0">
      <w:pPr>
        <w:jc w:val="both"/>
        <w:rPr>
          <w:rFonts w:ascii="Arial" w:hAnsi="Arial" w:cs="Arial"/>
          <w:color w:val="000000"/>
          <w:sz w:val="20"/>
        </w:rPr>
      </w:pPr>
    </w:p>
    <w:p w14:paraId="67DF8FB2" w14:textId="41C47F7E" w:rsidR="002403F7" w:rsidRPr="00312136" w:rsidRDefault="002403F7" w:rsidP="002403F7">
      <w:pPr>
        <w:pStyle w:val="Heading3"/>
        <w:keepNext/>
        <w:keepLines/>
        <w:spacing w:after="120" w:line="240" w:lineRule="auto"/>
        <w:rPr>
          <w:rFonts w:ascii="Arial" w:hAnsi="Arial" w:cs="Arial"/>
          <w:b/>
          <w:bCs/>
          <w:sz w:val="20"/>
        </w:rPr>
      </w:pPr>
      <w:bookmarkStart w:id="166" w:name="_3.2.1_Judicial_independence"/>
      <w:bookmarkEnd w:id="166"/>
      <w:r>
        <w:rPr>
          <w:rFonts w:ascii="Arial" w:hAnsi="Arial" w:cs="Arial"/>
          <w:b/>
          <w:bCs/>
          <w:sz w:val="20"/>
        </w:rPr>
        <w:t>3.2.1</w:t>
      </w:r>
      <w:r>
        <w:rPr>
          <w:rFonts w:ascii="Arial" w:hAnsi="Arial" w:cs="Arial"/>
          <w:b/>
          <w:bCs/>
          <w:sz w:val="20"/>
        </w:rPr>
        <w:tab/>
        <w:t>Judicial independence</w:t>
      </w:r>
    </w:p>
    <w:p w14:paraId="1EE84702" w14:textId="77777777" w:rsidR="00B21DA4" w:rsidRDefault="00B21DA4" w:rsidP="00C228D0">
      <w:pPr>
        <w:pBdr>
          <w:top w:val="single" w:sz="4" w:space="1" w:color="auto"/>
          <w:left w:val="single" w:sz="4" w:space="4" w:color="auto"/>
          <w:bottom w:val="single" w:sz="4" w:space="1" w:color="auto"/>
          <w:right w:val="single" w:sz="4" w:space="4" w:color="auto"/>
        </w:pBdr>
        <w:jc w:val="both"/>
        <w:rPr>
          <w:rFonts w:ascii="Arial" w:hAnsi="Arial" w:cs="Arial"/>
          <w:b/>
          <w:bCs/>
          <w:sz w:val="20"/>
        </w:rPr>
      </w:pPr>
      <w:r>
        <w:rPr>
          <w:rFonts w:ascii="Arial" w:hAnsi="Arial" w:cs="Arial"/>
          <w:b/>
          <w:bCs/>
          <w:sz w:val="20"/>
        </w:rPr>
        <w:t>"Judicial independence is the freedom of judges [and magistrates] from legislative and/or executive interference in the performance of their functions.  The Australian system seeks to ensure that members of the judiciary are impartial, independent, and that they are able to apply the law even-handedly in a fair and unprejudiced way."</w:t>
      </w:r>
    </w:p>
    <w:p w14:paraId="4FF8DA69" w14:textId="77777777" w:rsidR="00B21DA4" w:rsidRDefault="00B21DA4">
      <w:pPr>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Sir Daryl Dawson, former Justice of the High Court of Australia</w:t>
      </w:r>
    </w:p>
    <w:p w14:paraId="18DFE150" w14:textId="77777777" w:rsidR="00B21DA4" w:rsidRDefault="00B21DA4">
      <w:pPr>
        <w:rPr>
          <w:rFonts w:ascii="Arial" w:hAnsi="Arial" w:cs="Arial"/>
          <w:sz w:val="20"/>
        </w:rPr>
      </w:pPr>
    </w:p>
    <w:p w14:paraId="5FD37481" w14:textId="77777777" w:rsidR="00B21DA4" w:rsidRDefault="00B21DA4" w:rsidP="00186335">
      <w:pPr>
        <w:jc w:val="both"/>
        <w:rPr>
          <w:rFonts w:ascii="Arial" w:hAnsi="Arial" w:cs="Arial"/>
          <w:sz w:val="20"/>
        </w:rPr>
      </w:pPr>
      <w:r>
        <w:rPr>
          <w:rFonts w:ascii="Arial" w:hAnsi="Arial" w:cs="Arial"/>
          <w:sz w:val="20"/>
        </w:rPr>
        <w:t xml:space="preserve">Judicial independence is important in safeguarding each individual person's rights and ensuring that the rule of law, fundamental to our democratic society, is upheld.  The basic protections of judicial independence are security of tenure and adequate remuneration which is beyond legislative or executive interference.  See Chapter III, ss.71-72 </w:t>
      </w:r>
      <w:r w:rsidRPr="00174CDB">
        <w:rPr>
          <w:rFonts w:ascii="Arial" w:hAnsi="Arial" w:cs="Arial"/>
          <w:i/>
          <w:iCs/>
          <w:sz w:val="20"/>
        </w:rPr>
        <w:t>Commonwealth of Australia Constitution Act 1900</w:t>
      </w:r>
      <w:r>
        <w:rPr>
          <w:rFonts w:ascii="Arial" w:hAnsi="Arial" w:cs="Arial"/>
          <w:sz w:val="20"/>
        </w:rPr>
        <w:t>.</w:t>
      </w:r>
    </w:p>
    <w:p w14:paraId="4E296CC7" w14:textId="77777777" w:rsidR="00B21DA4" w:rsidRDefault="00B21DA4">
      <w:pPr>
        <w:rPr>
          <w:rFonts w:ascii="Arial" w:hAnsi="Arial" w:cs="Arial"/>
          <w:sz w:val="20"/>
        </w:rPr>
      </w:pPr>
    </w:p>
    <w:p w14:paraId="263EE80F" w14:textId="19A8704F" w:rsidR="00B21DA4" w:rsidRDefault="00B21DA4">
      <w:pPr>
        <w:jc w:val="both"/>
        <w:rPr>
          <w:rFonts w:ascii="Arial" w:hAnsi="Arial" w:cs="Arial"/>
          <w:sz w:val="20"/>
        </w:rPr>
      </w:pPr>
      <w:r>
        <w:rPr>
          <w:rFonts w:ascii="Arial" w:hAnsi="Arial" w:cs="Arial"/>
          <w:sz w:val="20"/>
        </w:rPr>
        <w:t xml:space="preserve">A number of statutory provisions enshrine judicial independence.  For example, a magistrate is appointed until the age of 70.  He or she can only be suspended or removed from office by the Governor in Council if the Supreme Court has first determined incompetency or impropriety in one or more of the limited circumstances set out in s.11(2) of the </w:t>
      </w:r>
      <w:r w:rsidRPr="00174CDB">
        <w:rPr>
          <w:rFonts w:ascii="Arial" w:hAnsi="Arial" w:cs="Arial"/>
          <w:i/>
          <w:iCs/>
          <w:sz w:val="20"/>
        </w:rPr>
        <w:t>Magistrates' Court Act 1989</w:t>
      </w:r>
      <w:r>
        <w:rPr>
          <w:rFonts w:ascii="Arial" w:hAnsi="Arial" w:cs="Arial"/>
          <w:sz w:val="20"/>
        </w:rPr>
        <w:t xml:space="preserve">.  See also s.9 of the </w:t>
      </w:r>
      <w:r w:rsidRPr="00174CDB">
        <w:rPr>
          <w:rFonts w:ascii="Arial" w:hAnsi="Arial" w:cs="Arial"/>
          <w:i/>
          <w:iCs/>
          <w:sz w:val="20"/>
        </w:rPr>
        <w:t>County Court Act 1958</w:t>
      </w:r>
      <w:r w:rsidRPr="00174CDB">
        <w:rPr>
          <w:rFonts w:ascii="Arial" w:hAnsi="Arial" w:cs="Arial"/>
          <w:sz w:val="20"/>
        </w:rPr>
        <w:t xml:space="preserve"> [No.6230]</w:t>
      </w:r>
      <w:r>
        <w:rPr>
          <w:rFonts w:ascii="Arial" w:hAnsi="Arial" w:cs="Arial"/>
          <w:sz w:val="20"/>
        </w:rPr>
        <w:t>.  Further, his or her salary is determined by the judicial remuneration tribunal, a body independent of the executive.  And so on.</w:t>
      </w:r>
    </w:p>
    <w:p w14:paraId="147BA81A" w14:textId="77777777" w:rsidR="00C228D0" w:rsidRDefault="00C228D0" w:rsidP="00C228D0">
      <w:pPr>
        <w:jc w:val="both"/>
        <w:rPr>
          <w:rFonts w:ascii="Arial" w:hAnsi="Arial" w:cs="Arial"/>
          <w:color w:val="000000"/>
          <w:sz w:val="20"/>
        </w:rPr>
      </w:pPr>
    </w:p>
    <w:p w14:paraId="6356C328" w14:textId="2565DC24" w:rsidR="002403F7" w:rsidRPr="00312136" w:rsidRDefault="002403F7" w:rsidP="002403F7">
      <w:pPr>
        <w:pStyle w:val="Heading3"/>
        <w:keepNext/>
        <w:keepLines/>
        <w:spacing w:after="120" w:line="240" w:lineRule="auto"/>
        <w:rPr>
          <w:rFonts w:ascii="Arial" w:hAnsi="Arial" w:cs="Arial"/>
          <w:b/>
          <w:bCs/>
          <w:sz w:val="20"/>
        </w:rPr>
      </w:pPr>
      <w:bookmarkStart w:id="167" w:name="_3.2.2_Judicial_immunity"/>
      <w:bookmarkEnd w:id="167"/>
      <w:r>
        <w:rPr>
          <w:rFonts w:ascii="Arial" w:hAnsi="Arial" w:cs="Arial"/>
          <w:b/>
          <w:bCs/>
          <w:sz w:val="20"/>
        </w:rPr>
        <w:t>3.2.2</w:t>
      </w:r>
      <w:r>
        <w:rPr>
          <w:rFonts w:ascii="Arial" w:hAnsi="Arial" w:cs="Arial"/>
          <w:b/>
          <w:bCs/>
          <w:sz w:val="20"/>
        </w:rPr>
        <w:tab/>
      </w:r>
      <w:r w:rsidR="00E64AAF">
        <w:rPr>
          <w:rFonts w:ascii="Arial" w:hAnsi="Arial" w:cs="Arial"/>
          <w:b/>
          <w:bCs/>
          <w:sz w:val="20"/>
        </w:rPr>
        <w:t>I</w:t>
      </w:r>
      <w:r>
        <w:rPr>
          <w:rFonts w:ascii="Arial" w:hAnsi="Arial" w:cs="Arial"/>
          <w:b/>
          <w:bCs/>
          <w:sz w:val="20"/>
        </w:rPr>
        <w:t>mmunity</w:t>
      </w:r>
      <w:r w:rsidR="00E64AAF">
        <w:rPr>
          <w:rFonts w:ascii="Arial" w:hAnsi="Arial" w:cs="Arial"/>
          <w:b/>
          <w:bCs/>
          <w:sz w:val="20"/>
        </w:rPr>
        <w:t xml:space="preserve"> of judicial officers &amp; court offic</w:t>
      </w:r>
      <w:r w:rsidR="007D6FE6">
        <w:rPr>
          <w:rFonts w:ascii="Arial" w:hAnsi="Arial" w:cs="Arial"/>
          <w:b/>
          <w:bCs/>
          <w:sz w:val="20"/>
        </w:rPr>
        <w:t>ial</w:t>
      </w:r>
      <w:r w:rsidR="00E64AAF">
        <w:rPr>
          <w:rFonts w:ascii="Arial" w:hAnsi="Arial" w:cs="Arial"/>
          <w:b/>
          <w:bCs/>
          <w:sz w:val="20"/>
        </w:rPr>
        <w:t>s</w:t>
      </w:r>
    </w:p>
    <w:p w14:paraId="34B58893" w14:textId="7878A211" w:rsidR="00B57600" w:rsidRDefault="009F7B01">
      <w:pPr>
        <w:jc w:val="both"/>
        <w:rPr>
          <w:rFonts w:ascii="Arial" w:hAnsi="Arial" w:cs="Arial"/>
          <w:sz w:val="20"/>
        </w:rPr>
      </w:pPr>
      <w:r>
        <w:rPr>
          <w:rFonts w:ascii="Arial" w:hAnsi="Arial" w:cs="Arial"/>
          <w:sz w:val="20"/>
        </w:rPr>
        <w:t>Section</w:t>
      </w:r>
      <w:r w:rsidR="002403F7">
        <w:rPr>
          <w:rFonts w:ascii="Arial" w:hAnsi="Arial" w:cs="Arial"/>
          <w:sz w:val="20"/>
        </w:rPr>
        <w:t>s</w:t>
      </w:r>
      <w:r>
        <w:rPr>
          <w:rFonts w:ascii="Arial" w:hAnsi="Arial" w:cs="Arial"/>
          <w:sz w:val="20"/>
        </w:rPr>
        <w:t xml:space="preserve"> </w:t>
      </w:r>
      <w:r w:rsidR="002403F7">
        <w:rPr>
          <w:rFonts w:ascii="Arial" w:hAnsi="Arial" w:cs="Arial"/>
          <w:sz w:val="20"/>
        </w:rPr>
        <w:t>2</w:t>
      </w:r>
      <w:r>
        <w:rPr>
          <w:rFonts w:ascii="Arial" w:hAnsi="Arial" w:cs="Arial"/>
          <w:sz w:val="20"/>
        </w:rPr>
        <w:t>4</w:t>
      </w:r>
      <w:r w:rsidR="002403F7">
        <w:rPr>
          <w:rFonts w:ascii="Arial" w:hAnsi="Arial" w:cs="Arial"/>
          <w:sz w:val="20"/>
        </w:rPr>
        <w:t>D</w:t>
      </w:r>
      <w:r>
        <w:rPr>
          <w:rFonts w:ascii="Arial" w:hAnsi="Arial" w:cs="Arial"/>
          <w:sz w:val="20"/>
        </w:rPr>
        <w:t xml:space="preserve"> </w:t>
      </w:r>
      <w:r w:rsidR="002403F7">
        <w:rPr>
          <w:rFonts w:ascii="Arial" w:hAnsi="Arial" w:cs="Arial"/>
          <w:sz w:val="20"/>
        </w:rPr>
        <w:t xml:space="preserve">&amp; 24E </w:t>
      </w:r>
      <w:r>
        <w:rPr>
          <w:rFonts w:ascii="Arial" w:hAnsi="Arial" w:cs="Arial"/>
          <w:sz w:val="20"/>
        </w:rPr>
        <w:t xml:space="preserve">of the </w:t>
      </w:r>
      <w:r w:rsidR="002403F7">
        <w:rPr>
          <w:rFonts w:ascii="Arial" w:hAnsi="Arial" w:cs="Arial"/>
          <w:i/>
          <w:iCs/>
          <w:sz w:val="20"/>
        </w:rPr>
        <w:t xml:space="preserve">Supreme </w:t>
      </w:r>
      <w:r w:rsidRPr="009F7B01">
        <w:rPr>
          <w:rFonts w:ascii="Arial" w:hAnsi="Arial" w:cs="Arial"/>
          <w:i/>
          <w:iCs/>
          <w:sz w:val="20"/>
        </w:rPr>
        <w:t>Court Act 1989</w:t>
      </w:r>
      <w:r>
        <w:rPr>
          <w:rFonts w:ascii="Arial" w:hAnsi="Arial" w:cs="Arial"/>
          <w:sz w:val="20"/>
        </w:rPr>
        <w:t xml:space="preserve"> [</w:t>
      </w:r>
      <w:r w:rsidR="002403F7">
        <w:rPr>
          <w:rFonts w:ascii="Arial" w:hAnsi="Arial" w:cs="Arial"/>
          <w:sz w:val="20"/>
        </w:rPr>
        <w:t>S</w:t>
      </w:r>
      <w:r>
        <w:rPr>
          <w:rFonts w:ascii="Arial" w:hAnsi="Arial" w:cs="Arial"/>
          <w:sz w:val="20"/>
        </w:rPr>
        <w:t>CA] provide</w:t>
      </w:r>
      <w:r w:rsidR="002403F7">
        <w:rPr>
          <w:rFonts w:ascii="Arial" w:hAnsi="Arial" w:cs="Arial"/>
          <w:sz w:val="20"/>
        </w:rPr>
        <w:t xml:space="preserve"> that without limiting any other law, whether written or unwritten, the immunity and protection that a Judge or Associate Judge of the Supreme Court has in the performance of his or her duties extends </w:t>
      </w:r>
      <w:r w:rsidR="00B57600">
        <w:rPr>
          <w:rFonts w:ascii="Arial" w:hAnsi="Arial" w:cs="Arial"/>
          <w:sz w:val="20"/>
        </w:rPr>
        <w:t>and applies to the performance or exercise of an administrative function or power conferred on the Judge or on the Court by or under any Act or any other law.</w:t>
      </w:r>
      <w:r w:rsidR="00B90F0A">
        <w:rPr>
          <w:rFonts w:ascii="Arial" w:hAnsi="Arial" w:cs="Arial"/>
          <w:sz w:val="20"/>
        </w:rPr>
        <w:t xml:space="preserve"> </w:t>
      </w:r>
      <w:r w:rsidR="00B57600">
        <w:rPr>
          <w:rFonts w:ascii="Arial" w:hAnsi="Arial" w:cs="Arial"/>
          <w:sz w:val="20"/>
        </w:rPr>
        <w:t>Sections 113</w:t>
      </w:r>
      <w:proofErr w:type="gramStart"/>
      <w:r w:rsidR="00B57600">
        <w:rPr>
          <w:rFonts w:ascii="Arial" w:hAnsi="Arial" w:cs="Arial"/>
          <w:sz w:val="20"/>
        </w:rPr>
        <w:t>L(</w:t>
      </w:r>
      <w:proofErr w:type="gramEnd"/>
      <w:r w:rsidR="00B57600">
        <w:rPr>
          <w:rFonts w:ascii="Arial" w:hAnsi="Arial" w:cs="Arial"/>
          <w:sz w:val="20"/>
        </w:rPr>
        <w:t>3) &amp; 24F of the SCA provide a similar immunity to judicial registrars and specified offic</w:t>
      </w:r>
      <w:r w:rsidR="00462488">
        <w:rPr>
          <w:rFonts w:ascii="Arial" w:hAnsi="Arial" w:cs="Arial"/>
          <w:sz w:val="20"/>
        </w:rPr>
        <w:t>ials</w:t>
      </w:r>
      <w:r w:rsidR="00B57600">
        <w:rPr>
          <w:rFonts w:ascii="Arial" w:hAnsi="Arial" w:cs="Arial"/>
          <w:sz w:val="20"/>
        </w:rPr>
        <w:t xml:space="preserve"> of the Supreme Court.</w:t>
      </w:r>
    </w:p>
    <w:p w14:paraId="029392A9" w14:textId="77777777" w:rsidR="00B57600" w:rsidRDefault="00B57600">
      <w:pPr>
        <w:jc w:val="both"/>
        <w:rPr>
          <w:rFonts w:ascii="Arial" w:hAnsi="Arial" w:cs="Arial"/>
          <w:sz w:val="20"/>
        </w:rPr>
      </w:pPr>
    </w:p>
    <w:p w14:paraId="13E41CAA" w14:textId="536D451E" w:rsidR="005B4ABC" w:rsidRPr="005B4ABC" w:rsidRDefault="00B57600">
      <w:pPr>
        <w:jc w:val="both"/>
        <w:rPr>
          <w:rFonts w:ascii="Arial" w:hAnsi="Arial" w:cs="Arial"/>
          <w:sz w:val="16"/>
          <w:szCs w:val="20"/>
        </w:rPr>
      </w:pPr>
      <w:r>
        <w:rPr>
          <w:rFonts w:ascii="Arial" w:hAnsi="Arial" w:cs="Arial"/>
          <w:sz w:val="20"/>
        </w:rPr>
        <w:t>Sect</w:t>
      </w:r>
      <w:r w:rsidR="00FF5A69">
        <w:rPr>
          <w:rFonts w:ascii="Arial" w:hAnsi="Arial" w:cs="Arial"/>
          <w:sz w:val="20"/>
        </w:rPr>
        <w:t>io</w:t>
      </w:r>
      <w:r>
        <w:rPr>
          <w:rFonts w:ascii="Arial" w:hAnsi="Arial" w:cs="Arial"/>
          <w:sz w:val="20"/>
        </w:rPr>
        <w:t>ns 9A, 17</w:t>
      </w:r>
      <w:proofErr w:type="gramStart"/>
      <w:r>
        <w:rPr>
          <w:rFonts w:ascii="Arial" w:hAnsi="Arial" w:cs="Arial"/>
          <w:sz w:val="20"/>
        </w:rPr>
        <w:t>U(</w:t>
      </w:r>
      <w:proofErr w:type="gramEnd"/>
      <w:r>
        <w:rPr>
          <w:rFonts w:ascii="Arial" w:hAnsi="Arial" w:cs="Arial"/>
          <w:sz w:val="20"/>
        </w:rPr>
        <w:t xml:space="preserve">3) &amp; </w:t>
      </w:r>
      <w:r w:rsidR="00FF5A69">
        <w:rPr>
          <w:rFonts w:ascii="Arial" w:hAnsi="Arial" w:cs="Arial"/>
          <w:sz w:val="20"/>
        </w:rPr>
        <w:t xml:space="preserve">19 </w:t>
      </w:r>
      <w:r>
        <w:rPr>
          <w:rFonts w:ascii="Arial" w:hAnsi="Arial" w:cs="Arial"/>
          <w:sz w:val="20"/>
        </w:rPr>
        <w:t xml:space="preserve">of the </w:t>
      </w:r>
      <w:r w:rsidRPr="00B57600">
        <w:rPr>
          <w:rFonts w:ascii="Arial" w:hAnsi="Arial" w:cs="Arial"/>
          <w:i/>
          <w:iCs/>
          <w:sz w:val="20"/>
        </w:rPr>
        <w:t>County Court Act 1958</w:t>
      </w:r>
      <w:r>
        <w:rPr>
          <w:rFonts w:ascii="Arial" w:hAnsi="Arial" w:cs="Arial"/>
          <w:sz w:val="20"/>
        </w:rPr>
        <w:t xml:space="preserve"> provide </w:t>
      </w:r>
      <w:r w:rsidR="005B4ABC">
        <w:rPr>
          <w:rFonts w:ascii="Arial" w:hAnsi="Arial" w:cs="Arial"/>
          <w:sz w:val="20"/>
        </w:rPr>
        <w:t xml:space="preserve">to judicial officers, registrars and deputy registrars of the County Court </w:t>
      </w:r>
      <w:r w:rsidR="005B4ABC" w:rsidRPr="005B4ABC">
        <w:rPr>
          <w:rFonts w:ascii="Arial" w:hAnsi="Arial" w:cs="Arial"/>
          <w:sz w:val="20"/>
          <w:szCs w:val="20"/>
        </w:rPr>
        <w:t>the same protection and immunity as a judge of the Supreme Court</w:t>
      </w:r>
      <w:r w:rsidR="00534271">
        <w:rPr>
          <w:rFonts w:ascii="Arial" w:hAnsi="Arial" w:cs="Arial"/>
          <w:sz w:val="20"/>
          <w:szCs w:val="20"/>
        </w:rPr>
        <w:t>.</w:t>
      </w:r>
    </w:p>
    <w:p w14:paraId="61236FE2" w14:textId="77777777" w:rsidR="009F7B01" w:rsidRDefault="009F7B01">
      <w:pPr>
        <w:jc w:val="both"/>
        <w:rPr>
          <w:rFonts w:ascii="Arial" w:hAnsi="Arial" w:cs="Arial"/>
          <w:sz w:val="20"/>
        </w:rPr>
      </w:pPr>
    </w:p>
    <w:p w14:paraId="761F3DCF" w14:textId="7A2AA2FB" w:rsidR="00FF5A69" w:rsidRDefault="00FF5A69">
      <w:pPr>
        <w:jc w:val="both"/>
        <w:rPr>
          <w:rFonts w:ascii="Arial" w:hAnsi="Arial" w:cs="Arial"/>
          <w:sz w:val="20"/>
        </w:rPr>
      </w:pPr>
      <w:r>
        <w:rPr>
          <w:rFonts w:ascii="Arial" w:hAnsi="Arial" w:cs="Arial"/>
          <w:sz w:val="20"/>
        </w:rPr>
        <w:t>Sections 512</w:t>
      </w:r>
      <w:r w:rsidR="00425216">
        <w:rPr>
          <w:rFonts w:ascii="Arial" w:hAnsi="Arial" w:cs="Arial"/>
          <w:sz w:val="20"/>
        </w:rPr>
        <w:t xml:space="preserve">, </w:t>
      </w:r>
      <w:r>
        <w:rPr>
          <w:rFonts w:ascii="Arial" w:hAnsi="Arial" w:cs="Arial"/>
          <w:sz w:val="20"/>
        </w:rPr>
        <w:t>513</w:t>
      </w:r>
      <w:r w:rsidR="00425216">
        <w:rPr>
          <w:rFonts w:ascii="Arial" w:hAnsi="Arial" w:cs="Arial"/>
          <w:sz w:val="20"/>
        </w:rPr>
        <w:t xml:space="preserve"> &amp; 527B </w:t>
      </w:r>
      <w:r>
        <w:rPr>
          <w:rFonts w:ascii="Arial" w:hAnsi="Arial" w:cs="Arial"/>
          <w:sz w:val="20"/>
        </w:rPr>
        <w:t xml:space="preserve">of the </w:t>
      </w:r>
      <w:r w:rsidRPr="000E5532">
        <w:rPr>
          <w:rFonts w:ascii="Arial" w:hAnsi="Arial" w:cs="Arial"/>
          <w:i/>
          <w:iCs/>
          <w:sz w:val="20"/>
        </w:rPr>
        <w:t>Children, Youth and Families Act 2005</w:t>
      </w:r>
      <w:r>
        <w:rPr>
          <w:rFonts w:ascii="Arial" w:hAnsi="Arial" w:cs="Arial"/>
          <w:sz w:val="20"/>
        </w:rPr>
        <w:t xml:space="preserve"> [CYFA] provide that the President</w:t>
      </w:r>
      <w:r w:rsidR="00425216">
        <w:rPr>
          <w:rFonts w:ascii="Arial" w:hAnsi="Arial" w:cs="Arial"/>
          <w:sz w:val="20"/>
        </w:rPr>
        <w:t xml:space="preserve"> and </w:t>
      </w:r>
      <w:r>
        <w:rPr>
          <w:rFonts w:ascii="Arial" w:hAnsi="Arial" w:cs="Arial"/>
          <w:sz w:val="20"/>
        </w:rPr>
        <w:t xml:space="preserve">magistrates </w:t>
      </w:r>
      <w:r w:rsidR="00425216">
        <w:rPr>
          <w:rFonts w:ascii="Arial" w:hAnsi="Arial" w:cs="Arial"/>
          <w:sz w:val="20"/>
        </w:rPr>
        <w:t>or</w:t>
      </w:r>
      <w:r>
        <w:rPr>
          <w:rFonts w:ascii="Arial" w:hAnsi="Arial" w:cs="Arial"/>
          <w:sz w:val="20"/>
        </w:rPr>
        <w:t xml:space="preserve"> reserve magistrates </w:t>
      </w:r>
      <w:r w:rsidRPr="001D7BCA">
        <w:rPr>
          <w:rFonts w:ascii="Arial" w:hAnsi="Arial" w:cs="Arial"/>
          <w:sz w:val="20"/>
          <w:szCs w:val="20"/>
        </w:rPr>
        <w:t xml:space="preserve">engaged under section 9C of the </w:t>
      </w:r>
      <w:r w:rsidRPr="001D7BCA">
        <w:rPr>
          <w:rFonts w:ascii="Arial" w:hAnsi="Arial" w:cs="Arial"/>
          <w:bCs/>
          <w:i/>
          <w:iCs/>
          <w:sz w:val="20"/>
          <w:szCs w:val="20"/>
        </w:rPr>
        <w:t>Magistrates' Court Act 1989</w:t>
      </w:r>
      <w:r w:rsidRPr="001D7BCA">
        <w:rPr>
          <w:rFonts w:ascii="Arial" w:hAnsi="Arial" w:cs="Arial"/>
          <w:sz w:val="20"/>
          <w:szCs w:val="20"/>
        </w:rPr>
        <w:t xml:space="preserve"> ha</w:t>
      </w:r>
      <w:r>
        <w:rPr>
          <w:rFonts w:ascii="Arial" w:hAnsi="Arial" w:cs="Arial"/>
          <w:sz w:val="20"/>
          <w:szCs w:val="20"/>
        </w:rPr>
        <w:t>ve</w:t>
      </w:r>
      <w:r w:rsidR="00462488">
        <w:rPr>
          <w:rFonts w:ascii="Arial" w:hAnsi="Arial" w:cs="Arial"/>
          <w:sz w:val="20"/>
          <w:szCs w:val="20"/>
        </w:rPr>
        <w:t xml:space="preserve">, </w:t>
      </w:r>
      <w:r w:rsidRPr="001D7BCA">
        <w:rPr>
          <w:rFonts w:ascii="Arial" w:hAnsi="Arial" w:cs="Arial"/>
          <w:sz w:val="20"/>
          <w:szCs w:val="20"/>
        </w:rPr>
        <w:t xml:space="preserve">in the performance of </w:t>
      </w:r>
      <w:r w:rsidR="00B90F0A">
        <w:rPr>
          <w:rFonts w:ascii="Arial" w:hAnsi="Arial" w:cs="Arial"/>
          <w:sz w:val="20"/>
          <w:szCs w:val="20"/>
        </w:rPr>
        <w:t>their</w:t>
      </w:r>
      <w:r w:rsidRPr="001D7BCA">
        <w:rPr>
          <w:rFonts w:ascii="Arial" w:hAnsi="Arial" w:cs="Arial"/>
          <w:sz w:val="20"/>
          <w:szCs w:val="20"/>
        </w:rPr>
        <w:t xml:space="preserve"> duties as </w:t>
      </w:r>
      <w:r w:rsidR="00425216">
        <w:rPr>
          <w:rFonts w:ascii="Arial" w:hAnsi="Arial" w:cs="Arial"/>
          <w:sz w:val="20"/>
          <w:szCs w:val="20"/>
        </w:rPr>
        <w:t>judicial officer</w:t>
      </w:r>
      <w:r w:rsidR="00B90F0A">
        <w:rPr>
          <w:rFonts w:ascii="Arial" w:hAnsi="Arial" w:cs="Arial"/>
          <w:sz w:val="20"/>
          <w:szCs w:val="20"/>
        </w:rPr>
        <w:t>s</w:t>
      </w:r>
      <w:r w:rsidRPr="001D7BCA">
        <w:rPr>
          <w:rFonts w:ascii="Arial" w:hAnsi="Arial" w:cs="Arial"/>
          <w:sz w:val="20"/>
          <w:szCs w:val="20"/>
        </w:rPr>
        <w:t xml:space="preserve"> for the </w:t>
      </w:r>
      <w:r>
        <w:rPr>
          <w:rFonts w:ascii="Arial" w:hAnsi="Arial" w:cs="Arial"/>
          <w:sz w:val="20"/>
          <w:szCs w:val="20"/>
        </w:rPr>
        <w:t xml:space="preserve">Children’s </w:t>
      </w:r>
      <w:r w:rsidRPr="001D7BCA">
        <w:rPr>
          <w:rFonts w:ascii="Arial" w:hAnsi="Arial" w:cs="Arial"/>
          <w:sz w:val="20"/>
          <w:szCs w:val="20"/>
        </w:rPr>
        <w:t>Court</w:t>
      </w:r>
      <w:r w:rsidR="00462488">
        <w:rPr>
          <w:rFonts w:ascii="Arial" w:hAnsi="Arial" w:cs="Arial"/>
          <w:sz w:val="20"/>
          <w:szCs w:val="20"/>
        </w:rPr>
        <w:t>,</w:t>
      </w:r>
      <w:r w:rsidRPr="001D7BCA">
        <w:rPr>
          <w:rFonts w:ascii="Arial" w:hAnsi="Arial" w:cs="Arial"/>
          <w:sz w:val="20"/>
          <w:szCs w:val="20"/>
        </w:rPr>
        <w:t xml:space="preserve"> the same protection and immunity as a Judge of the Supreme Court has in the performance of his or her duties as a Judge.</w:t>
      </w:r>
      <w:r>
        <w:rPr>
          <w:rFonts w:ascii="Arial" w:hAnsi="Arial" w:cs="Arial"/>
          <w:sz w:val="20"/>
          <w:szCs w:val="20"/>
        </w:rPr>
        <w:t xml:space="preserve"> Sections </w:t>
      </w:r>
      <w:r w:rsidR="00425216">
        <w:rPr>
          <w:rFonts w:ascii="Arial" w:hAnsi="Arial" w:cs="Arial"/>
          <w:sz w:val="20"/>
          <w:szCs w:val="20"/>
        </w:rPr>
        <w:t>542</w:t>
      </w:r>
      <w:proofErr w:type="gramStart"/>
      <w:r w:rsidR="00425216">
        <w:rPr>
          <w:rFonts w:ascii="Arial" w:hAnsi="Arial" w:cs="Arial"/>
          <w:sz w:val="20"/>
          <w:szCs w:val="20"/>
        </w:rPr>
        <w:t>J(</w:t>
      </w:r>
      <w:proofErr w:type="gramEnd"/>
      <w:r w:rsidR="00425216">
        <w:rPr>
          <w:rFonts w:ascii="Arial" w:hAnsi="Arial" w:cs="Arial"/>
          <w:sz w:val="20"/>
          <w:szCs w:val="20"/>
        </w:rPr>
        <w:t xml:space="preserve">3) &amp; </w:t>
      </w:r>
      <w:r>
        <w:rPr>
          <w:rFonts w:ascii="Arial" w:hAnsi="Arial" w:cs="Arial"/>
          <w:sz w:val="20"/>
          <w:szCs w:val="20"/>
        </w:rPr>
        <w:t xml:space="preserve">542 of the CYFA provide a similar immunity to judicial registrars, </w:t>
      </w:r>
      <w:r w:rsidR="00B90F0A">
        <w:rPr>
          <w:rFonts w:ascii="Arial" w:hAnsi="Arial" w:cs="Arial"/>
          <w:sz w:val="20"/>
          <w:szCs w:val="20"/>
        </w:rPr>
        <w:t xml:space="preserve">the principal registrar, </w:t>
      </w:r>
      <w:r>
        <w:rPr>
          <w:rFonts w:ascii="Arial" w:hAnsi="Arial" w:cs="Arial"/>
          <w:sz w:val="20"/>
          <w:szCs w:val="20"/>
        </w:rPr>
        <w:t>registrars and deputy registrars of the Children’s Court.</w:t>
      </w:r>
    </w:p>
    <w:p w14:paraId="17A5B588" w14:textId="77777777" w:rsidR="001331AD" w:rsidRDefault="001331AD" w:rsidP="001331AD">
      <w:pPr>
        <w:jc w:val="both"/>
        <w:rPr>
          <w:rFonts w:ascii="Arial" w:hAnsi="Arial" w:cs="Arial"/>
          <w:sz w:val="20"/>
        </w:rPr>
      </w:pPr>
    </w:p>
    <w:p w14:paraId="4B31E2EB" w14:textId="77777777" w:rsidR="001331AD" w:rsidRDefault="001331AD" w:rsidP="001331AD">
      <w:pPr>
        <w:jc w:val="both"/>
        <w:rPr>
          <w:rFonts w:ascii="Arial" w:hAnsi="Arial" w:cs="Arial"/>
          <w:sz w:val="20"/>
        </w:rPr>
      </w:pPr>
      <w:r>
        <w:rPr>
          <w:rFonts w:ascii="Arial" w:hAnsi="Arial" w:cs="Arial"/>
          <w:sz w:val="20"/>
        </w:rPr>
        <w:t>Sections 14, 16</w:t>
      </w:r>
      <w:proofErr w:type="gramStart"/>
      <w:r>
        <w:rPr>
          <w:rFonts w:ascii="Arial" w:hAnsi="Arial" w:cs="Arial"/>
          <w:sz w:val="20"/>
        </w:rPr>
        <w:t>J(</w:t>
      </w:r>
      <w:proofErr w:type="gramEnd"/>
      <w:r>
        <w:rPr>
          <w:rFonts w:ascii="Arial" w:hAnsi="Arial" w:cs="Arial"/>
          <w:sz w:val="20"/>
        </w:rPr>
        <w:t xml:space="preserve">3) &amp; 24 of the </w:t>
      </w:r>
      <w:r w:rsidRPr="00FF5A69">
        <w:rPr>
          <w:rFonts w:ascii="Arial" w:hAnsi="Arial" w:cs="Arial"/>
          <w:i/>
          <w:iCs/>
          <w:sz w:val="20"/>
        </w:rPr>
        <w:t>Magistrates’ Court Act 198</w:t>
      </w:r>
      <w:r>
        <w:rPr>
          <w:rFonts w:ascii="Arial" w:hAnsi="Arial" w:cs="Arial"/>
          <w:i/>
          <w:iCs/>
          <w:sz w:val="20"/>
        </w:rPr>
        <w:t>9</w:t>
      </w:r>
      <w:r>
        <w:rPr>
          <w:rFonts w:ascii="Arial" w:hAnsi="Arial" w:cs="Arial"/>
          <w:sz w:val="20"/>
        </w:rPr>
        <w:t xml:space="preserve"> provide a similar immunity to judicial officers, the principal registrar, registrars and deputy registrars of the Magistrates’ Court.</w:t>
      </w:r>
    </w:p>
    <w:p w14:paraId="6124AA7C" w14:textId="77777777" w:rsidR="002403F7" w:rsidRDefault="002403F7">
      <w:pPr>
        <w:jc w:val="both"/>
        <w:rPr>
          <w:rFonts w:ascii="Arial" w:hAnsi="Arial" w:cs="Arial"/>
          <w:sz w:val="20"/>
        </w:rPr>
      </w:pPr>
    </w:p>
    <w:p w14:paraId="2DDAF6A3" w14:textId="4377D620" w:rsidR="00A333DC" w:rsidRDefault="00FF5A69">
      <w:pPr>
        <w:jc w:val="both"/>
        <w:rPr>
          <w:rFonts w:ascii="Arial" w:hAnsi="Arial" w:cs="Arial"/>
          <w:sz w:val="20"/>
        </w:rPr>
      </w:pPr>
      <w:r>
        <w:rPr>
          <w:rFonts w:ascii="Arial" w:hAnsi="Arial" w:cs="Arial"/>
          <w:sz w:val="20"/>
        </w:rPr>
        <w:t xml:space="preserve">Underpinning ss.24D of the SCA – and hence underpinning the statutory provisions listed above – is the </w:t>
      </w:r>
      <w:r w:rsidR="00B90F0A">
        <w:rPr>
          <w:rFonts w:ascii="Arial" w:hAnsi="Arial" w:cs="Arial"/>
          <w:sz w:val="20"/>
        </w:rPr>
        <w:t xml:space="preserve">scope at </w:t>
      </w:r>
      <w:r>
        <w:rPr>
          <w:rFonts w:ascii="Arial" w:hAnsi="Arial" w:cs="Arial"/>
          <w:sz w:val="20"/>
        </w:rPr>
        <w:t>common law</w:t>
      </w:r>
      <w:r w:rsidR="00B90F0A">
        <w:rPr>
          <w:rFonts w:ascii="Arial" w:hAnsi="Arial" w:cs="Arial"/>
          <w:sz w:val="20"/>
        </w:rPr>
        <w:t xml:space="preserve"> of the immunity </w:t>
      </w:r>
      <w:r w:rsidR="00462488">
        <w:rPr>
          <w:rFonts w:ascii="Arial" w:hAnsi="Arial" w:cs="Arial"/>
          <w:sz w:val="20"/>
        </w:rPr>
        <w:t xml:space="preserve">of judges </w:t>
      </w:r>
      <w:r w:rsidR="00B90F0A">
        <w:rPr>
          <w:rFonts w:ascii="Arial" w:hAnsi="Arial" w:cs="Arial"/>
          <w:sz w:val="20"/>
        </w:rPr>
        <w:t>from civil suit for acts and omissions in the performance or purported performance of the</w:t>
      </w:r>
      <w:r w:rsidR="009D0E68">
        <w:rPr>
          <w:rFonts w:ascii="Arial" w:hAnsi="Arial" w:cs="Arial"/>
          <w:sz w:val="20"/>
        </w:rPr>
        <w:t>ir</w:t>
      </w:r>
      <w:r w:rsidR="00B90F0A">
        <w:rPr>
          <w:rFonts w:ascii="Arial" w:hAnsi="Arial" w:cs="Arial"/>
          <w:sz w:val="20"/>
        </w:rPr>
        <w:t xml:space="preserve"> judicial function. The </w:t>
      </w:r>
      <w:r w:rsidR="00A42C64">
        <w:rPr>
          <w:rFonts w:ascii="Arial" w:hAnsi="Arial" w:cs="Arial"/>
          <w:sz w:val="20"/>
        </w:rPr>
        <w:t xml:space="preserve">common law on </w:t>
      </w:r>
      <w:r w:rsidR="00B90F0A">
        <w:rPr>
          <w:rFonts w:ascii="Arial" w:hAnsi="Arial" w:cs="Arial"/>
          <w:sz w:val="20"/>
        </w:rPr>
        <w:t>judicial immunity</w:t>
      </w:r>
      <w:r w:rsidR="00A42C64">
        <w:rPr>
          <w:rFonts w:ascii="Arial" w:hAnsi="Arial" w:cs="Arial"/>
          <w:sz w:val="20"/>
        </w:rPr>
        <w:t xml:space="preserve"> </w:t>
      </w:r>
      <w:r w:rsidR="00425216">
        <w:rPr>
          <w:rFonts w:ascii="Arial" w:hAnsi="Arial" w:cs="Arial"/>
          <w:sz w:val="20"/>
        </w:rPr>
        <w:t xml:space="preserve">was discussed in detail by the High Court in the linked cases of </w:t>
      </w:r>
      <w:r w:rsidR="00425216" w:rsidRPr="00420B1A">
        <w:rPr>
          <w:rFonts w:ascii="Arial" w:hAnsi="Arial" w:cs="Arial"/>
          <w:i/>
          <w:iCs/>
          <w:sz w:val="20"/>
        </w:rPr>
        <w:t>Queensland v Mr</w:t>
      </w:r>
      <w:r w:rsidR="00B90F0A">
        <w:rPr>
          <w:rFonts w:ascii="Arial" w:hAnsi="Arial" w:cs="Arial"/>
          <w:i/>
          <w:iCs/>
          <w:sz w:val="20"/>
        </w:rPr>
        <w:t xml:space="preserve"> </w:t>
      </w:r>
      <w:r w:rsidR="00425216" w:rsidRPr="00420B1A">
        <w:rPr>
          <w:rFonts w:ascii="Arial" w:hAnsi="Arial" w:cs="Arial"/>
          <w:i/>
          <w:iCs/>
          <w:sz w:val="20"/>
        </w:rPr>
        <w:t>Stradford (a</w:t>
      </w:r>
      <w:r w:rsidR="00425216">
        <w:rPr>
          <w:rFonts w:ascii="Arial" w:hAnsi="Arial" w:cs="Arial"/>
          <w:i/>
          <w:iCs/>
          <w:sz w:val="20"/>
        </w:rPr>
        <w:t> </w:t>
      </w:r>
      <w:r w:rsidR="00425216" w:rsidRPr="00420B1A">
        <w:rPr>
          <w:rFonts w:ascii="Arial" w:hAnsi="Arial" w:cs="Arial"/>
          <w:i/>
          <w:iCs/>
          <w:sz w:val="20"/>
        </w:rPr>
        <w:t>pseudonym)</w:t>
      </w:r>
      <w:r w:rsidR="00425216">
        <w:rPr>
          <w:rFonts w:ascii="Arial" w:hAnsi="Arial" w:cs="Arial"/>
          <w:sz w:val="20"/>
        </w:rPr>
        <w:t>,</w:t>
      </w:r>
      <w:r w:rsidR="00425216" w:rsidRPr="00C228D0">
        <w:rPr>
          <w:rFonts w:ascii="Arial" w:hAnsi="Arial" w:cs="Arial"/>
          <w:sz w:val="20"/>
        </w:rPr>
        <w:t xml:space="preserve"> </w:t>
      </w:r>
      <w:r w:rsidR="00425216" w:rsidRPr="00420B1A">
        <w:rPr>
          <w:rFonts w:ascii="Arial" w:hAnsi="Arial" w:cs="Arial"/>
          <w:i/>
          <w:iCs/>
          <w:sz w:val="20"/>
        </w:rPr>
        <w:t>Commonwealth of Australia v Mr Stradford (a</w:t>
      </w:r>
      <w:r w:rsidR="00B90F0A">
        <w:rPr>
          <w:rFonts w:ascii="Arial" w:hAnsi="Arial" w:cs="Arial"/>
          <w:i/>
          <w:iCs/>
          <w:sz w:val="20"/>
        </w:rPr>
        <w:t xml:space="preserve"> </w:t>
      </w:r>
      <w:r w:rsidR="00425216" w:rsidRPr="00420B1A">
        <w:rPr>
          <w:rFonts w:ascii="Arial" w:hAnsi="Arial" w:cs="Arial"/>
          <w:i/>
          <w:iCs/>
          <w:sz w:val="20"/>
        </w:rPr>
        <w:t>pseudonym)</w:t>
      </w:r>
      <w:r w:rsidR="00425216" w:rsidRPr="00C228D0">
        <w:rPr>
          <w:rFonts w:ascii="Arial" w:hAnsi="Arial" w:cs="Arial"/>
          <w:sz w:val="20"/>
        </w:rPr>
        <w:t xml:space="preserve"> </w:t>
      </w:r>
      <w:r w:rsidR="00425216">
        <w:rPr>
          <w:rFonts w:ascii="Arial" w:hAnsi="Arial" w:cs="Arial"/>
          <w:sz w:val="20"/>
        </w:rPr>
        <w:t xml:space="preserve">and </w:t>
      </w:r>
      <w:r w:rsidR="00425216" w:rsidRPr="00420B1A">
        <w:rPr>
          <w:rFonts w:ascii="Arial" w:hAnsi="Arial" w:cs="Arial"/>
          <w:i/>
          <w:iCs/>
          <w:sz w:val="20"/>
        </w:rPr>
        <w:t>His Honour Judge Vasta v Mr Stradford (a pseudonym)</w:t>
      </w:r>
      <w:r w:rsidR="00425216" w:rsidRPr="00C228D0">
        <w:rPr>
          <w:rFonts w:ascii="Arial" w:hAnsi="Arial" w:cs="Arial"/>
          <w:sz w:val="20"/>
        </w:rPr>
        <w:t xml:space="preserve"> [2025] HCA</w:t>
      </w:r>
      <w:r w:rsidR="00425216">
        <w:rPr>
          <w:rFonts w:ascii="Arial" w:hAnsi="Arial" w:cs="Arial"/>
          <w:sz w:val="20"/>
        </w:rPr>
        <w:t xml:space="preserve"> </w:t>
      </w:r>
      <w:r w:rsidR="00425216" w:rsidRPr="00C228D0">
        <w:rPr>
          <w:rFonts w:ascii="Arial" w:hAnsi="Arial" w:cs="Arial"/>
          <w:sz w:val="20"/>
        </w:rPr>
        <w:t>3</w:t>
      </w:r>
      <w:r w:rsidR="00425216">
        <w:rPr>
          <w:rFonts w:ascii="Arial" w:hAnsi="Arial" w:cs="Arial"/>
          <w:sz w:val="20"/>
        </w:rPr>
        <w:t>.</w:t>
      </w:r>
    </w:p>
    <w:p w14:paraId="2ED0083F" w14:textId="77777777" w:rsidR="00A333DC" w:rsidRDefault="00A333DC">
      <w:pPr>
        <w:jc w:val="both"/>
        <w:rPr>
          <w:rFonts w:ascii="Arial" w:hAnsi="Arial" w:cs="Arial"/>
          <w:sz w:val="20"/>
        </w:rPr>
      </w:pPr>
    </w:p>
    <w:p w14:paraId="272B2BB9" w14:textId="61316B7A" w:rsidR="00931243" w:rsidRDefault="00931243" w:rsidP="00B90F0A">
      <w:pPr>
        <w:jc w:val="both"/>
        <w:rPr>
          <w:rFonts w:ascii="Arial" w:hAnsi="Arial" w:cs="Arial"/>
          <w:sz w:val="20"/>
        </w:rPr>
      </w:pPr>
      <w:r>
        <w:rPr>
          <w:rFonts w:ascii="Arial" w:hAnsi="Arial" w:cs="Arial"/>
          <w:sz w:val="20"/>
        </w:rPr>
        <w:t>The facts underlying these cases were that the respondent Mr</w:t>
      </w:r>
      <w:r w:rsidR="00A333DC">
        <w:rPr>
          <w:rFonts w:ascii="Arial" w:hAnsi="Arial" w:cs="Arial"/>
          <w:sz w:val="20"/>
        </w:rPr>
        <w:t xml:space="preserve"> </w:t>
      </w:r>
      <w:r>
        <w:rPr>
          <w:rFonts w:ascii="Arial" w:hAnsi="Arial" w:cs="Arial"/>
          <w:sz w:val="20"/>
        </w:rPr>
        <w:t xml:space="preserve">Stradford </w:t>
      </w:r>
      <w:r w:rsidR="00B90F0A">
        <w:rPr>
          <w:rFonts w:ascii="Arial" w:hAnsi="Arial" w:cs="Arial"/>
          <w:sz w:val="20"/>
        </w:rPr>
        <w:t>had been</w:t>
      </w:r>
      <w:r>
        <w:rPr>
          <w:rFonts w:ascii="Arial" w:hAnsi="Arial" w:cs="Arial"/>
          <w:sz w:val="20"/>
        </w:rPr>
        <w:t xml:space="preserve"> convicted of contempt of court by Judge Vasta in the Federal Circuit Court of Australia and sentenced to a term of imprisonment. The contempt was an alleged failure by Mr Stradford to make “full and frank disclosure” of documents in a property adjustment proceeding which he had commenced against his then wife under s.79 of the </w:t>
      </w:r>
      <w:r w:rsidRPr="00CB5762">
        <w:rPr>
          <w:rFonts w:ascii="Arial" w:hAnsi="Arial" w:cs="Arial"/>
          <w:i/>
          <w:iCs/>
          <w:sz w:val="20"/>
        </w:rPr>
        <w:t>Family Law Act 1975</w:t>
      </w:r>
      <w:r>
        <w:rPr>
          <w:rFonts w:ascii="Arial" w:hAnsi="Arial" w:cs="Arial"/>
          <w:sz w:val="20"/>
        </w:rPr>
        <w:t xml:space="preserve"> (Cth). </w:t>
      </w:r>
      <w:r w:rsidR="005F4D4C">
        <w:rPr>
          <w:rFonts w:ascii="Arial" w:hAnsi="Arial" w:cs="Arial"/>
          <w:sz w:val="20"/>
        </w:rPr>
        <w:t xml:space="preserve">Both husband and wife were unrepresented. </w:t>
      </w:r>
      <w:r w:rsidR="005F4D4C" w:rsidRPr="005F4D4C">
        <w:rPr>
          <w:rFonts w:ascii="Arial" w:hAnsi="Arial" w:cs="Arial"/>
          <w:sz w:val="20"/>
        </w:rPr>
        <w:t xml:space="preserve">Mrs Stradford </w:t>
      </w:r>
      <w:r w:rsidR="005F4D4C">
        <w:rPr>
          <w:rFonts w:ascii="Arial" w:hAnsi="Arial" w:cs="Arial"/>
          <w:sz w:val="20"/>
        </w:rPr>
        <w:t xml:space="preserve">had </w:t>
      </w:r>
      <w:r w:rsidR="005F4D4C" w:rsidRPr="005F4D4C">
        <w:rPr>
          <w:rFonts w:ascii="Arial" w:hAnsi="Arial" w:cs="Arial"/>
          <w:sz w:val="20"/>
        </w:rPr>
        <w:t>repeatedly s</w:t>
      </w:r>
      <w:r w:rsidR="005F4D4C">
        <w:rPr>
          <w:rFonts w:ascii="Arial" w:hAnsi="Arial" w:cs="Arial"/>
          <w:sz w:val="20"/>
        </w:rPr>
        <w:t xml:space="preserve">aid to Judge Vasta </w:t>
      </w:r>
      <w:r w:rsidR="005F4D4C" w:rsidRPr="005F4D4C">
        <w:rPr>
          <w:rFonts w:ascii="Arial" w:hAnsi="Arial" w:cs="Arial"/>
          <w:sz w:val="20"/>
        </w:rPr>
        <w:t xml:space="preserve">that, </w:t>
      </w:r>
      <w:r w:rsidR="005D53B5">
        <w:rPr>
          <w:rFonts w:ascii="Arial" w:hAnsi="Arial" w:cs="Arial"/>
          <w:sz w:val="20"/>
        </w:rPr>
        <w:t>“</w:t>
      </w:r>
      <w:r w:rsidR="005F4D4C" w:rsidRPr="005F4D4C">
        <w:rPr>
          <w:rFonts w:ascii="Arial" w:hAnsi="Arial" w:cs="Arial"/>
          <w:sz w:val="20"/>
        </w:rPr>
        <w:t>while she was dissatisfied with Mr Stradford's disclosure and approach to a property settlement, she did not want him to go to prison</w:t>
      </w:r>
      <w:r w:rsidR="005D53B5">
        <w:rPr>
          <w:rFonts w:ascii="Arial" w:hAnsi="Arial" w:cs="Arial"/>
          <w:sz w:val="20"/>
        </w:rPr>
        <w:t>”</w:t>
      </w:r>
      <w:r w:rsidR="005F4D4C">
        <w:rPr>
          <w:rFonts w:ascii="Arial" w:hAnsi="Arial" w:cs="Arial"/>
          <w:sz w:val="20"/>
        </w:rPr>
        <w:t>: see the plurality at [22]</w:t>
      </w:r>
      <w:r w:rsidR="005F4D4C" w:rsidRPr="005F4D4C">
        <w:rPr>
          <w:rFonts w:ascii="Arial" w:hAnsi="Arial" w:cs="Arial"/>
          <w:sz w:val="20"/>
        </w:rPr>
        <w:t>.</w:t>
      </w:r>
      <w:r w:rsidR="005F4D4C">
        <w:rPr>
          <w:rFonts w:ascii="Arial" w:hAnsi="Arial" w:cs="Arial"/>
          <w:sz w:val="20"/>
        </w:rPr>
        <w:t xml:space="preserve"> </w:t>
      </w:r>
      <w:r>
        <w:rPr>
          <w:rFonts w:ascii="Arial" w:hAnsi="Arial" w:cs="Arial"/>
          <w:sz w:val="20"/>
        </w:rPr>
        <w:t>Upon being sentenced, Mr Stradford was escorted from the courtroom to a holding cell by MSS Security officers</w:t>
      </w:r>
      <w:r w:rsidR="00B90F0A">
        <w:rPr>
          <w:rFonts w:ascii="Arial" w:hAnsi="Arial" w:cs="Arial"/>
          <w:sz w:val="20"/>
        </w:rPr>
        <w:t xml:space="preserve"> who were employees of the Commonwealth</w:t>
      </w:r>
      <w:r>
        <w:rPr>
          <w:rFonts w:ascii="Arial" w:hAnsi="Arial" w:cs="Arial"/>
          <w:sz w:val="20"/>
        </w:rPr>
        <w:t xml:space="preserve">. From there he was collected by Queensland police officers, handcuffed and transported in a police van to a watchhouse and subsequently detained at Brisbane Correctional Centre until his release 2 days later. </w:t>
      </w:r>
      <w:r w:rsidRPr="009F78ED">
        <w:rPr>
          <w:rFonts w:ascii="Arial" w:hAnsi="Arial" w:cs="Arial"/>
          <w:sz w:val="20"/>
        </w:rPr>
        <w:t>Mr S</w:t>
      </w:r>
      <w:r>
        <w:rPr>
          <w:rFonts w:ascii="Arial" w:hAnsi="Arial" w:cs="Arial"/>
          <w:sz w:val="20"/>
        </w:rPr>
        <w:t>tradford</w:t>
      </w:r>
      <w:r w:rsidRPr="009F78ED">
        <w:rPr>
          <w:rFonts w:ascii="Arial" w:hAnsi="Arial" w:cs="Arial"/>
          <w:sz w:val="20"/>
        </w:rPr>
        <w:t>'s time in custody was distressing. He witnessed and was subjected to acts of violence</w:t>
      </w:r>
      <w:r>
        <w:rPr>
          <w:rFonts w:ascii="Arial" w:hAnsi="Arial" w:cs="Arial"/>
          <w:sz w:val="20"/>
        </w:rPr>
        <w:t xml:space="preserve"> and he </w:t>
      </w:r>
      <w:r w:rsidRPr="009F78ED">
        <w:rPr>
          <w:rFonts w:ascii="Arial" w:hAnsi="Arial" w:cs="Arial"/>
          <w:sz w:val="20"/>
        </w:rPr>
        <w:t>experienced suicidal thoughts.</w:t>
      </w:r>
    </w:p>
    <w:p w14:paraId="409E73C2" w14:textId="5C5DF3ED" w:rsidR="005D53B5" w:rsidRDefault="005D53B5" w:rsidP="00F87730">
      <w:pPr>
        <w:spacing w:before="120"/>
        <w:jc w:val="both"/>
        <w:rPr>
          <w:rFonts w:ascii="Arial" w:hAnsi="Arial" w:cs="Arial"/>
          <w:sz w:val="20"/>
        </w:rPr>
      </w:pPr>
      <w:r>
        <w:rPr>
          <w:rFonts w:ascii="Arial" w:hAnsi="Arial" w:cs="Arial"/>
          <w:sz w:val="20"/>
        </w:rPr>
        <w:lastRenderedPageBreak/>
        <w:t>In the High Court t</w:t>
      </w:r>
      <w:r w:rsidRPr="005D53B5">
        <w:rPr>
          <w:rFonts w:ascii="Arial" w:hAnsi="Arial" w:cs="Arial"/>
          <w:sz w:val="20"/>
        </w:rPr>
        <w:t>here was no dispute that the order for imprisonment made by Judge Vasta, and the consequential warrant that his Honour issued, were the result of a number of jurisdictional errors</w:t>
      </w:r>
      <w:r>
        <w:rPr>
          <w:rFonts w:ascii="Arial" w:hAnsi="Arial" w:cs="Arial"/>
          <w:sz w:val="20"/>
        </w:rPr>
        <w:t>: see e.g. per Edelman J at [317]</w:t>
      </w:r>
      <w:r w:rsidR="005B4ABC">
        <w:rPr>
          <w:rFonts w:ascii="Arial" w:hAnsi="Arial" w:cs="Arial"/>
          <w:sz w:val="20"/>
        </w:rPr>
        <w:t>; see also</w:t>
      </w:r>
      <w:r>
        <w:rPr>
          <w:rFonts w:ascii="Arial" w:hAnsi="Arial" w:cs="Arial"/>
          <w:sz w:val="20"/>
        </w:rPr>
        <w:t xml:space="preserve"> the plurality (Gageler CJ, Gleeson, Jagot &amp; Beech-Jones) at [22]:</w:t>
      </w:r>
    </w:p>
    <w:p w14:paraId="650FCE9B" w14:textId="6649E7BF" w:rsidR="00905F98" w:rsidRDefault="005D53B5" w:rsidP="005D53B5">
      <w:pPr>
        <w:spacing w:before="60"/>
        <w:ind w:left="454" w:right="454"/>
        <w:jc w:val="both"/>
        <w:rPr>
          <w:rFonts w:ascii="Arial" w:hAnsi="Arial" w:cs="Arial"/>
          <w:sz w:val="20"/>
        </w:rPr>
      </w:pPr>
      <w:r>
        <w:rPr>
          <w:rFonts w:ascii="Arial" w:hAnsi="Arial" w:cs="Arial"/>
          <w:sz w:val="20"/>
        </w:rPr>
        <w:t>“T</w:t>
      </w:r>
      <w:r w:rsidRPr="005D53B5">
        <w:rPr>
          <w:rFonts w:ascii="Arial" w:hAnsi="Arial" w:cs="Arial"/>
          <w:sz w:val="20"/>
        </w:rPr>
        <w:t xml:space="preserve">he Full Court of the Family Court (as it then was) upheld Mr Stradford's appeal against Judge Vasta's decision and set aside the contempt declaration and the imprisonment order. It suffices to note that the Full Court concluded that </w:t>
      </w:r>
      <w:r>
        <w:rPr>
          <w:rFonts w:ascii="Arial" w:hAnsi="Arial" w:cs="Arial"/>
          <w:sz w:val="20"/>
        </w:rPr>
        <w:t>‘</w:t>
      </w:r>
      <w:r w:rsidRPr="005D53B5">
        <w:rPr>
          <w:rFonts w:ascii="Arial" w:hAnsi="Arial" w:cs="Arial"/>
          <w:sz w:val="20"/>
        </w:rPr>
        <w:t>the processes employed by [Judge Vasta] were so devoid of procedural fairness</w:t>
      </w:r>
      <w:r>
        <w:rPr>
          <w:rFonts w:ascii="Arial" w:hAnsi="Arial" w:cs="Arial"/>
          <w:sz w:val="20"/>
        </w:rPr>
        <w:t>’</w:t>
      </w:r>
      <w:r w:rsidRPr="005D53B5">
        <w:rPr>
          <w:rFonts w:ascii="Arial" w:hAnsi="Arial" w:cs="Arial"/>
          <w:sz w:val="20"/>
        </w:rPr>
        <w:t xml:space="preserve"> to Mr Stradford and the </w:t>
      </w:r>
      <w:r>
        <w:rPr>
          <w:rFonts w:ascii="Arial" w:hAnsi="Arial" w:cs="Arial"/>
          <w:sz w:val="20"/>
        </w:rPr>
        <w:t>‘</w:t>
      </w:r>
      <w:r w:rsidRPr="005D53B5">
        <w:rPr>
          <w:rFonts w:ascii="Arial" w:hAnsi="Arial" w:cs="Arial"/>
          <w:sz w:val="20"/>
        </w:rPr>
        <w:t>reasons for judgment so lacking in engagement with the issues of fact and law to be applied</w:t>
      </w:r>
      <w:r>
        <w:rPr>
          <w:rFonts w:ascii="Arial" w:hAnsi="Arial" w:cs="Arial"/>
          <w:sz w:val="20"/>
        </w:rPr>
        <w:t>’</w:t>
      </w:r>
      <w:r w:rsidRPr="005D53B5">
        <w:rPr>
          <w:rFonts w:ascii="Arial" w:hAnsi="Arial" w:cs="Arial"/>
          <w:sz w:val="20"/>
        </w:rPr>
        <w:t xml:space="preserve"> that it would be an </w:t>
      </w:r>
      <w:r>
        <w:rPr>
          <w:rFonts w:ascii="Arial" w:hAnsi="Arial" w:cs="Arial"/>
          <w:sz w:val="20"/>
        </w:rPr>
        <w:t>‘</w:t>
      </w:r>
      <w:r w:rsidRPr="005D53B5">
        <w:rPr>
          <w:rFonts w:ascii="Arial" w:hAnsi="Arial" w:cs="Arial"/>
          <w:sz w:val="20"/>
        </w:rPr>
        <w:t>affront to justice</w:t>
      </w:r>
      <w:r>
        <w:rPr>
          <w:rFonts w:ascii="Arial" w:hAnsi="Arial" w:cs="Arial"/>
          <w:sz w:val="20"/>
        </w:rPr>
        <w:t>’</w:t>
      </w:r>
      <w:r w:rsidRPr="005D53B5">
        <w:rPr>
          <w:rFonts w:ascii="Arial" w:hAnsi="Arial" w:cs="Arial"/>
          <w:sz w:val="20"/>
        </w:rPr>
        <w:t xml:space="preserve"> to permit the contempt declaration and the imprisonment order to stand</w:t>
      </w:r>
      <w:r>
        <w:rPr>
          <w:rFonts w:ascii="Arial" w:hAnsi="Arial" w:cs="Arial"/>
          <w:sz w:val="20"/>
        </w:rPr>
        <w:t xml:space="preserve">: </w:t>
      </w:r>
      <w:r w:rsidRPr="005D53B5">
        <w:rPr>
          <w:rFonts w:ascii="Arial" w:hAnsi="Arial" w:cs="Arial"/>
          <w:i/>
          <w:iCs/>
          <w:sz w:val="20"/>
        </w:rPr>
        <w:t>Stradford v Stradford</w:t>
      </w:r>
      <w:r w:rsidRPr="005D53B5">
        <w:rPr>
          <w:rFonts w:ascii="Arial" w:hAnsi="Arial" w:cs="Arial"/>
          <w:sz w:val="20"/>
        </w:rPr>
        <w:t xml:space="preserve"> (2019) 59 Fam LR 194 at 196 [9]</w:t>
      </w:r>
      <w:r w:rsidR="005D724B">
        <w:rPr>
          <w:rFonts w:ascii="Arial" w:hAnsi="Arial" w:cs="Arial"/>
          <w:sz w:val="20"/>
        </w:rPr>
        <w:t>.</w:t>
      </w:r>
      <w:r>
        <w:rPr>
          <w:rFonts w:ascii="Arial" w:hAnsi="Arial" w:cs="Arial"/>
          <w:sz w:val="20"/>
        </w:rPr>
        <w:t>”</w:t>
      </w:r>
    </w:p>
    <w:p w14:paraId="47AF67DA" w14:textId="00F2A1ED" w:rsidR="00600405" w:rsidRDefault="00931243" w:rsidP="00F87730">
      <w:pPr>
        <w:spacing w:before="120"/>
        <w:jc w:val="both"/>
        <w:rPr>
          <w:rFonts w:ascii="Arial" w:hAnsi="Arial" w:cs="Arial"/>
          <w:sz w:val="20"/>
        </w:rPr>
      </w:pPr>
      <w:r w:rsidRPr="00931243">
        <w:rPr>
          <w:rFonts w:ascii="Arial" w:hAnsi="Arial" w:cs="Arial"/>
          <w:sz w:val="20"/>
        </w:rPr>
        <w:t xml:space="preserve">The primary judge </w:t>
      </w:r>
      <w:r w:rsidR="00600405">
        <w:rPr>
          <w:rFonts w:ascii="Arial" w:hAnsi="Arial" w:cs="Arial"/>
          <w:sz w:val="20"/>
        </w:rPr>
        <w:t xml:space="preserve">in the Federal Court of Australia </w:t>
      </w:r>
      <w:r w:rsidR="00C704E2">
        <w:rPr>
          <w:rFonts w:ascii="Arial" w:hAnsi="Arial" w:cs="Arial"/>
          <w:sz w:val="20"/>
        </w:rPr>
        <w:t xml:space="preserve">[FCA] </w:t>
      </w:r>
      <w:r w:rsidR="00C07C6F">
        <w:rPr>
          <w:rFonts w:ascii="Arial" w:hAnsi="Arial" w:cs="Arial"/>
          <w:sz w:val="20"/>
        </w:rPr>
        <w:t xml:space="preserve">had </w:t>
      </w:r>
      <w:r w:rsidR="005B4ABC">
        <w:rPr>
          <w:rFonts w:ascii="Arial" w:hAnsi="Arial" w:cs="Arial"/>
          <w:sz w:val="20"/>
        </w:rPr>
        <w:t xml:space="preserve">subsequently </w:t>
      </w:r>
      <w:r w:rsidRPr="00931243">
        <w:rPr>
          <w:rFonts w:ascii="Arial" w:hAnsi="Arial" w:cs="Arial"/>
          <w:sz w:val="20"/>
        </w:rPr>
        <w:t>upheld a claim brought by Mr</w:t>
      </w:r>
      <w:r w:rsidR="005B4ABC">
        <w:rPr>
          <w:rFonts w:ascii="Arial" w:hAnsi="Arial" w:cs="Arial"/>
          <w:sz w:val="20"/>
        </w:rPr>
        <w:t> </w:t>
      </w:r>
      <w:r w:rsidRPr="00931243">
        <w:rPr>
          <w:rFonts w:ascii="Arial" w:hAnsi="Arial" w:cs="Arial"/>
          <w:sz w:val="20"/>
        </w:rPr>
        <w:t xml:space="preserve">Stradford for damages for false imprisonment </w:t>
      </w:r>
      <w:r>
        <w:rPr>
          <w:rFonts w:ascii="Arial" w:hAnsi="Arial" w:cs="Arial"/>
          <w:sz w:val="20"/>
        </w:rPr>
        <w:t xml:space="preserve">and found </w:t>
      </w:r>
      <w:r w:rsidR="007915B1" w:rsidRPr="00931243">
        <w:rPr>
          <w:rFonts w:ascii="Arial" w:hAnsi="Arial" w:cs="Arial"/>
          <w:sz w:val="20"/>
        </w:rPr>
        <w:t xml:space="preserve">Judge Vasta liable to Mr Stradford for false imprisonment and </w:t>
      </w:r>
      <w:r w:rsidR="007915B1">
        <w:rPr>
          <w:rFonts w:ascii="Arial" w:hAnsi="Arial" w:cs="Arial"/>
          <w:sz w:val="20"/>
        </w:rPr>
        <w:t xml:space="preserve">the </w:t>
      </w:r>
      <w:r w:rsidR="007915B1" w:rsidRPr="00931243">
        <w:rPr>
          <w:rFonts w:ascii="Arial" w:hAnsi="Arial" w:cs="Arial"/>
          <w:sz w:val="20"/>
        </w:rPr>
        <w:t>Commonwealth and Queensland vicariously liable</w:t>
      </w:r>
      <w:r w:rsidR="007915B1">
        <w:rPr>
          <w:rFonts w:ascii="Arial" w:hAnsi="Arial" w:cs="Arial"/>
          <w:sz w:val="20"/>
        </w:rPr>
        <w:t xml:space="preserve">: see </w:t>
      </w:r>
      <w:r w:rsidR="007915B1" w:rsidRPr="007915B1">
        <w:rPr>
          <w:rFonts w:ascii="Arial" w:hAnsi="Arial" w:cs="Arial"/>
          <w:i/>
          <w:iCs/>
          <w:sz w:val="20"/>
        </w:rPr>
        <w:t>Stradford (a pseudonym) v Judge Vasta</w:t>
      </w:r>
      <w:r w:rsidR="007915B1" w:rsidRPr="007915B1">
        <w:rPr>
          <w:rFonts w:ascii="Arial" w:hAnsi="Arial" w:cs="Arial"/>
          <w:sz w:val="20"/>
        </w:rPr>
        <w:t xml:space="preserve"> [2023] FCA 1020 at [3]-[4].</w:t>
      </w:r>
      <w:r w:rsidR="007915B1">
        <w:rPr>
          <w:rFonts w:ascii="Arial" w:hAnsi="Arial" w:cs="Arial"/>
          <w:sz w:val="20"/>
        </w:rPr>
        <w:t xml:space="preserve"> </w:t>
      </w:r>
      <w:r w:rsidR="007915B1" w:rsidRPr="007915B1">
        <w:rPr>
          <w:rFonts w:ascii="Arial" w:hAnsi="Arial" w:cs="Arial"/>
          <w:sz w:val="20"/>
        </w:rPr>
        <w:t>The damages awarded in favour of Mr Stradford included an award of $50,000 in exemplary damages against Judge Vasta</w:t>
      </w:r>
      <w:r w:rsidR="007915B1">
        <w:rPr>
          <w:rFonts w:ascii="Arial" w:hAnsi="Arial" w:cs="Arial"/>
          <w:sz w:val="20"/>
        </w:rPr>
        <w:t xml:space="preserve">: </w:t>
      </w:r>
      <w:r w:rsidR="007915B1" w:rsidRPr="007915B1">
        <w:rPr>
          <w:rFonts w:ascii="Arial" w:hAnsi="Arial" w:cs="Arial"/>
          <w:i/>
          <w:iCs/>
          <w:sz w:val="20"/>
        </w:rPr>
        <w:t>ibid</w:t>
      </w:r>
      <w:r w:rsidR="007915B1">
        <w:rPr>
          <w:rFonts w:ascii="Arial" w:hAnsi="Arial" w:cs="Arial"/>
          <w:sz w:val="20"/>
        </w:rPr>
        <w:t xml:space="preserve"> at [5] &amp; [666].</w:t>
      </w:r>
    </w:p>
    <w:p w14:paraId="506ED5F0" w14:textId="690F43A3" w:rsidR="00931243" w:rsidRDefault="00600405" w:rsidP="00600405">
      <w:pPr>
        <w:spacing w:before="120"/>
        <w:jc w:val="both"/>
        <w:rPr>
          <w:rFonts w:ascii="Arial" w:hAnsi="Arial" w:cs="Arial"/>
          <w:sz w:val="20"/>
        </w:rPr>
      </w:pPr>
      <w:r>
        <w:rPr>
          <w:rFonts w:ascii="Arial" w:hAnsi="Arial" w:cs="Arial"/>
          <w:sz w:val="20"/>
        </w:rPr>
        <w:t>In linked appeals removed into the High Court, all 7 justices allowed the appeals, set aside the primary judge’s orders and dismissed Mr Stradford’s proceedings: see [160]-[161], [218], [</w:t>
      </w:r>
      <w:r w:rsidR="00FA3DF2">
        <w:rPr>
          <w:rFonts w:ascii="Arial" w:hAnsi="Arial" w:cs="Arial"/>
          <w:sz w:val="20"/>
        </w:rPr>
        <w:t>323</w:t>
      </w:r>
      <w:r>
        <w:rPr>
          <w:rFonts w:ascii="Arial" w:hAnsi="Arial" w:cs="Arial"/>
          <w:sz w:val="20"/>
        </w:rPr>
        <w:t>] &amp; [</w:t>
      </w:r>
      <w:r w:rsidR="00FA3DF2">
        <w:rPr>
          <w:rFonts w:ascii="Arial" w:hAnsi="Arial" w:cs="Arial"/>
          <w:sz w:val="20"/>
        </w:rPr>
        <w:t>327</w:t>
      </w:r>
      <w:r>
        <w:rPr>
          <w:rFonts w:ascii="Arial" w:hAnsi="Arial" w:cs="Arial"/>
          <w:sz w:val="20"/>
        </w:rPr>
        <w:t>].</w:t>
      </w:r>
    </w:p>
    <w:p w14:paraId="14AABDA7" w14:textId="7D331098" w:rsidR="00343810" w:rsidRDefault="0073713C" w:rsidP="00343810">
      <w:pPr>
        <w:spacing w:before="120"/>
        <w:jc w:val="both"/>
        <w:rPr>
          <w:rFonts w:ascii="Arial" w:hAnsi="Arial" w:cs="Arial"/>
          <w:sz w:val="20"/>
        </w:rPr>
      </w:pPr>
      <w:r>
        <w:rPr>
          <w:rFonts w:ascii="Arial" w:hAnsi="Arial" w:cs="Arial"/>
          <w:sz w:val="20"/>
        </w:rPr>
        <w:t>T</w:t>
      </w:r>
      <w:r w:rsidR="00051A4F">
        <w:rPr>
          <w:rFonts w:ascii="Arial" w:hAnsi="Arial" w:cs="Arial"/>
          <w:sz w:val="20"/>
        </w:rPr>
        <w:t xml:space="preserve">he primary judge </w:t>
      </w:r>
      <w:r w:rsidR="00C704E2">
        <w:rPr>
          <w:rFonts w:ascii="Arial" w:hAnsi="Arial" w:cs="Arial"/>
          <w:sz w:val="20"/>
        </w:rPr>
        <w:t xml:space="preserve">in the FCA </w:t>
      </w:r>
      <w:r>
        <w:rPr>
          <w:rFonts w:ascii="Arial" w:hAnsi="Arial" w:cs="Arial"/>
          <w:sz w:val="20"/>
        </w:rPr>
        <w:t xml:space="preserve">had </w:t>
      </w:r>
      <w:r w:rsidR="00051A4F">
        <w:rPr>
          <w:rFonts w:ascii="Arial" w:hAnsi="Arial" w:cs="Arial"/>
          <w:sz w:val="20"/>
        </w:rPr>
        <w:t xml:space="preserve">conceded that the state of the common law on the </w:t>
      </w:r>
      <w:r w:rsidR="00E64AAF" w:rsidRPr="00E64AAF">
        <w:rPr>
          <w:rFonts w:ascii="Arial" w:hAnsi="Arial" w:cs="Arial"/>
          <w:sz w:val="20"/>
        </w:rPr>
        <w:t xml:space="preserve">scope of judicial immunity afforded to inferior court judges </w:t>
      </w:r>
      <w:r w:rsidR="00051A4F">
        <w:rPr>
          <w:rFonts w:ascii="Arial" w:hAnsi="Arial" w:cs="Arial"/>
          <w:sz w:val="20"/>
        </w:rPr>
        <w:t>was “somewhat unsatisfactory”</w:t>
      </w:r>
      <w:r>
        <w:rPr>
          <w:rFonts w:ascii="Arial" w:hAnsi="Arial" w:cs="Arial"/>
          <w:sz w:val="20"/>
        </w:rPr>
        <w:t xml:space="preserve">, </w:t>
      </w:r>
      <w:r w:rsidR="00F87730">
        <w:rPr>
          <w:rFonts w:ascii="Arial" w:hAnsi="Arial" w:cs="Arial"/>
          <w:sz w:val="20"/>
        </w:rPr>
        <w:t xml:space="preserve">a concession with which the High Court </w:t>
      </w:r>
      <w:r w:rsidR="00C704E2">
        <w:rPr>
          <w:rFonts w:ascii="Arial" w:hAnsi="Arial" w:cs="Arial"/>
          <w:sz w:val="20"/>
        </w:rPr>
        <w:t>expressl</w:t>
      </w:r>
      <w:r w:rsidR="00F87730">
        <w:rPr>
          <w:rFonts w:ascii="Arial" w:hAnsi="Arial" w:cs="Arial"/>
          <w:sz w:val="20"/>
        </w:rPr>
        <w:t>y agreed</w:t>
      </w:r>
      <w:r w:rsidR="00FD40B5">
        <w:rPr>
          <w:rFonts w:ascii="Arial" w:hAnsi="Arial" w:cs="Arial"/>
          <w:sz w:val="20"/>
        </w:rPr>
        <w:t xml:space="preserve">: see e.g. the </w:t>
      </w:r>
      <w:r w:rsidR="00F87730">
        <w:rPr>
          <w:rFonts w:ascii="Arial" w:hAnsi="Arial" w:cs="Arial"/>
          <w:sz w:val="20"/>
        </w:rPr>
        <w:t>plurality at [</w:t>
      </w:r>
      <w:r w:rsidR="00905F98">
        <w:rPr>
          <w:rFonts w:ascii="Arial" w:hAnsi="Arial" w:cs="Arial"/>
          <w:sz w:val="20"/>
        </w:rPr>
        <w:t>77</w:t>
      </w:r>
      <w:r w:rsidR="00F87730">
        <w:rPr>
          <w:rFonts w:ascii="Arial" w:hAnsi="Arial" w:cs="Arial"/>
          <w:sz w:val="20"/>
        </w:rPr>
        <w:t>]</w:t>
      </w:r>
      <w:r>
        <w:rPr>
          <w:rFonts w:ascii="Arial" w:hAnsi="Arial" w:cs="Arial"/>
          <w:sz w:val="20"/>
        </w:rPr>
        <w:t>.</w:t>
      </w:r>
      <w:r w:rsidR="00F87730">
        <w:rPr>
          <w:rFonts w:ascii="Arial" w:hAnsi="Arial" w:cs="Arial"/>
          <w:sz w:val="20"/>
        </w:rPr>
        <w:t xml:space="preserve"> </w:t>
      </w:r>
      <w:r>
        <w:rPr>
          <w:rFonts w:ascii="Arial" w:hAnsi="Arial" w:cs="Arial"/>
          <w:sz w:val="20"/>
        </w:rPr>
        <w:t>C</w:t>
      </w:r>
      <w:r w:rsidR="00051A4F">
        <w:rPr>
          <w:rFonts w:ascii="Arial" w:hAnsi="Arial" w:cs="Arial"/>
          <w:sz w:val="20"/>
        </w:rPr>
        <w:t xml:space="preserve">entral to </w:t>
      </w:r>
      <w:r>
        <w:rPr>
          <w:rFonts w:ascii="Arial" w:hAnsi="Arial" w:cs="Arial"/>
          <w:sz w:val="20"/>
        </w:rPr>
        <w:t>primary judge’s</w:t>
      </w:r>
      <w:r w:rsidR="00051A4F">
        <w:rPr>
          <w:rFonts w:ascii="Arial" w:hAnsi="Arial" w:cs="Arial"/>
          <w:sz w:val="20"/>
        </w:rPr>
        <w:t xml:space="preserve"> reasoning was that</w:t>
      </w:r>
      <w:r w:rsidR="00343810">
        <w:rPr>
          <w:rFonts w:ascii="Arial" w:hAnsi="Arial" w:cs="Arial"/>
          <w:sz w:val="20"/>
        </w:rPr>
        <w:t>:</w:t>
      </w:r>
    </w:p>
    <w:p w14:paraId="0D1CFD98" w14:textId="44A20CE2" w:rsidR="002932F2" w:rsidRPr="00343810" w:rsidRDefault="00343810">
      <w:pPr>
        <w:pStyle w:val="ListParagraph"/>
        <w:numPr>
          <w:ilvl w:val="0"/>
          <w:numId w:val="142"/>
        </w:numPr>
        <w:spacing w:before="60"/>
        <w:ind w:left="357" w:hanging="357"/>
        <w:jc w:val="both"/>
        <w:rPr>
          <w:rFonts w:ascii="Arial" w:hAnsi="Arial" w:cs="Arial"/>
          <w:sz w:val="20"/>
        </w:rPr>
      </w:pPr>
      <w:r>
        <w:rPr>
          <w:rFonts w:ascii="Arial" w:hAnsi="Arial" w:cs="Arial"/>
          <w:sz w:val="20"/>
        </w:rPr>
        <w:t>A</w:t>
      </w:r>
      <w:r w:rsidR="002932F2" w:rsidRPr="00343810">
        <w:rPr>
          <w:rFonts w:ascii="Arial" w:hAnsi="Arial" w:cs="Arial"/>
          <w:sz w:val="20"/>
        </w:rPr>
        <w:t>t the time of Judge Vasta’s impugned order</w:t>
      </w:r>
      <w:r w:rsidRPr="00343810">
        <w:rPr>
          <w:rFonts w:ascii="Arial" w:hAnsi="Arial" w:cs="Arial"/>
          <w:sz w:val="20"/>
        </w:rPr>
        <w:t xml:space="preserve"> t</w:t>
      </w:r>
      <w:r w:rsidR="002932F2" w:rsidRPr="00343810">
        <w:rPr>
          <w:rFonts w:ascii="Arial" w:hAnsi="Arial" w:cs="Arial"/>
          <w:sz w:val="20"/>
        </w:rPr>
        <w:t xml:space="preserve">he Federal Circuit Court was designated as “an </w:t>
      </w:r>
      <w:r w:rsidR="002932F2" w:rsidRPr="00343810">
        <w:rPr>
          <w:rFonts w:ascii="Arial" w:hAnsi="Arial" w:cs="Arial"/>
          <w:b/>
          <w:bCs/>
          <w:sz w:val="20"/>
        </w:rPr>
        <w:t>inferior court of record</w:t>
      </w:r>
      <w:r w:rsidR="002932F2" w:rsidRPr="00343810">
        <w:rPr>
          <w:rFonts w:ascii="Arial" w:hAnsi="Arial" w:cs="Arial"/>
          <w:sz w:val="20"/>
        </w:rPr>
        <w:t xml:space="preserve">” (see </w:t>
      </w:r>
      <w:r w:rsidR="002932F2" w:rsidRPr="00343810">
        <w:rPr>
          <w:rFonts w:ascii="Arial" w:hAnsi="Arial" w:cs="Arial"/>
          <w:i/>
          <w:iCs/>
          <w:sz w:val="20"/>
        </w:rPr>
        <w:t>Federal Circuit Court of Australia Act 1999</w:t>
      </w:r>
      <w:r w:rsidR="002932F2" w:rsidRPr="00343810">
        <w:rPr>
          <w:rFonts w:ascii="Arial" w:hAnsi="Arial" w:cs="Arial"/>
          <w:sz w:val="20"/>
        </w:rPr>
        <w:t xml:space="preserve"> (Cth), s 8(3) &amp; </w:t>
      </w:r>
      <w:r w:rsidR="002932F2" w:rsidRPr="00343810">
        <w:rPr>
          <w:rFonts w:ascii="Arial" w:hAnsi="Arial" w:cs="Arial"/>
          <w:i/>
          <w:iCs/>
          <w:sz w:val="20"/>
        </w:rPr>
        <w:t>Minister for Immigration, Citizenship, Migrant Services and Multicultural Affairs v AAM17</w:t>
      </w:r>
      <w:r w:rsidR="002932F2" w:rsidRPr="00343810">
        <w:rPr>
          <w:rFonts w:ascii="Arial" w:hAnsi="Arial" w:cs="Arial"/>
          <w:sz w:val="20"/>
        </w:rPr>
        <w:t xml:space="preserve"> (2021) 272 CLR 329 at 343)</w:t>
      </w:r>
      <w:r w:rsidR="00C07C6F" w:rsidRPr="00343810">
        <w:rPr>
          <w:rFonts w:ascii="Arial" w:hAnsi="Arial" w:cs="Arial"/>
          <w:sz w:val="20"/>
        </w:rPr>
        <w:t>,</w:t>
      </w:r>
      <w:r w:rsidR="002932F2" w:rsidRPr="00343810">
        <w:rPr>
          <w:rFonts w:ascii="Arial" w:hAnsi="Arial" w:cs="Arial"/>
          <w:sz w:val="20"/>
        </w:rPr>
        <w:t xml:space="preserve"> in contrast with the </w:t>
      </w:r>
      <w:r w:rsidR="00C704E2">
        <w:rPr>
          <w:rFonts w:ascii="Arial" w:hAnsi="Arial" w:cs="Arial"/>
          <w:sz w:val="20"/>
        </w:rPr>
        <w:t>FCA</w:t>
      </w:r>
      <w:r w:rsidR="002932F2" w:rsidRPr="00343810">
        <w:rPr>
          <w:rFonts w:ascii="Arial" w:hAnsi="Arial" w:cs="Arial"/>
          <w:sz w:val="20"/>
        </w:rPr>
        <w:t xml:space="preserve"> </w:t>
      </w:r>
      <w:r w:rsidR="00C07C6F" w:rsidRPr="00343810">
        <w:rPr>
          <w:rFonts w:ascii="Arial" w:hAnsi="Arial" w:cs="Arial"/>
          <w:sz w:val="20"/>
        </w:rPr>
        <w:t xml:space="preserve">and </w:t>
      </w:r>
      <w:r w:rsidR="00A42C64">
        <w:rPr>
          <w:rFonts w:ascii="Arial" w:hAnsi="Arial" w:cs="Arial"/>
          <w:sz w:val="20"/>
        </w:rPr>
        <w:t xml:space="preserve">with </w:t>
      </w:r>
      <w:r w:rsidR="00C07C6F" w:rsidRPr="00343810">
        <w:rPr>
          <w:rFonts w:ascii="Arial" w:hAnsi="Arial" w:cs="Arial"/>
          <w:sz w:val="20"/>
        </w:rPr>
        <w:t xml:space="preserve">what was at that time the Family Court of Australia </w:t>
      </w:r>
      <w:r w:rsidR="002932F2" w:rsidRPr="00343810">
        <w:rPr>
          <w:rFonts w:ascii="Arial" w:hAnsi="Arial" w:cs="Arial"/>
          <w:sz w:val="20"/>
        </w:rPr>
        <w:t>which w</w:t>
      </w:r>
      <w:r w:rsidR="00C07C6F" w:rsidRPr="00343810">
        <w:rPr>
          <w:rFonts w:ascii="Arial" w:hAnsi="Arial" w:cs="Arial"/>
          <w:sz w:val="20"/>
        </w:rPr>
        <w:t>ere each</w:t>
      </w:r>
      <w:r w:rsidR="002932F2" w:rsidRPr="00343810">
        <w:rPr>
          <w:rFonts w:ascii="Arial" w:hAnsi="Arial" w:cs="Arial"/>
          <w:sz w:val="20"/>
        </w:rPr>
        <w:t xml:space="preserve"> established as “</w:t>
      </w:r>
      <w:r w:rsidR="002932F2" w:rsidRPr="00343810">
        <w:rPr>
          <w:rFonts w:ascii="Arial" w:hAnsi="Arial" w:cs="Arial"/>
          <w:b/>
          <w:bCs/>
          <w:sz w:val="20"/>
        </w:rPr>
        <w:t>a</w:t>
      </w:r>
      <w:r w:rsidR="0073713C">
        <w:rPr>
          <w:rFonts w:ascii="Arial" w:hAnsi="Arial" w:cs="Arial"/>
          <w:b/>
          <w:bCs/>
          <w:sz w:val="20"/>
        </w:rPr>
        <w:t xml:space="preserve"> </w:t>
      </w:r>
      <w:r w:rsidR="002932F2" w:rsidRPr="00343810">
        <w:rPr>
          <w:rFonts w:ascii="Arial" w:hAnsi="Arial" w:cs="Arial"/>
          <w:b/>
          <w:bCs/>
          <w:sz w:val="20"/>
        </w:rPr>
        <w:t>superior court of record</w:t>
      </w:r>
      <w:r w:rsidR="002932F2" w:rsidRPr="00343810">
        <w:rPr>
          <w:rFonts w:ascii="Arial" w:hAnsi="Arial" w:cs="Arial"/>
          <w:sz w:val="20"/>
        </w:rPr>
        <w:t>”</w:t>
      </w:r>
      <w:r w:rsidR="00C07C6F" w:rsidRPr="00343810">
        <w:rPr>
          <w:rFonts w:ascii="Arial" w:hAnsi="Arial" w:cs="Arial"/>
          <w:sz w:val="20"/>
        </w:rPr>
        <w:t xml:space="preserve"> (see </w:t>
      </w:r>
      <w:r w:rsidR="00C07C6F" w:rsidRPr="00343810">
        <w:rPr>
          <w:rFonts w:ascii="Arial" w:hAnsi="Arial" w:cs="Arial"/>
          <w:i/>
          <w:iCs/>
          <w:sz w:val="20"/>
        </w:rPr>
        <w:t>Federal Court of Australia Act 1976</w:t>
      </w:r>
      <w:r w:rsidR="00C07C6F" w:rsidRPr="00343810">
        <w:rPr>
          <w:rFonts w:ascii="Arial" w:hAnsi="Arial" w:cs="Arial"/>
          <w:sz w:val="20"/>
        </w:rPr>
        <w:t xml:space="preserve"> (Cth), s 5(2); </w:t>
      </w:r>
      <w:r w:rsidR="00C07C6F" w:rsidRPr="00343810">
        <w:rPr>
          <w:rFonts w:ascii="Arial" w:hAnsi="Arial" w:cs="Arial"/>
          <w:i/>
          <w:iCs/>
          <w:sz w:val="20"/>
        </w:rPr>
        <w:t>Family Law Act 1975</w:t>
      </w:r>
      <w:r w:rsidR="00C07C6F" w:rsidRPr="00343810">
        <w:rPr>
          <w:rFonts w:ascii="Arial" w:hAnsi="Arial" w:cs="Arial"/>
          <w:sz w:val="20"/>
        </w:rPr>
        <w:t xml:space="preserve"> (Cth), s 21(2)).</w:t>
      </w:r>
    </w:p>
    <w:p w14:paraId="2C84B32B" w14:textId="05AF6F24" w:rsidR="00C07C6F" w:rsidRPr="00051A4F" w:rsidRDefault="00C07C6F">
      <w:pPr>
        <w:pStyle w:val="ListParagraph"/>
        <w:numPr>
          <w:ilvl w:val="0"/>
          <w:numId w:val="141"/>
        </w:numPr>
        <w:spacing w:before="60"/>
        <w:ind w:left="357" w:hanging="357"/>
        <w:jc w:val="both"/>
        <w:rPr>
          <w:rFonts w:ascii="Arial" w:hAnsi="Arial" w:cs="Arial"/>
          <w:sz w:val="20"/>
        </w:rPr>
      </w:pPr>
      <w:r w:rsidRPr="00051A4F">
        <w:rPr>
          <w:rFonts w:ascii="Arial" w:hAnsi="Arial" w:cs="Arial"/>
          <w:sz w:val="20"/>
        </w:rPr>
        <w:t xml:space="preserve">Reflecting the analysis of Lord Bridge of Harwich in </w:t>
      </w:r>
      <w:r w:rsidRPr="00051A4F">
        <w:rPr>
          <w:rFonts w:ascii="Arial" w:hAnsi="Arial" w:cs="Arial"/>
          <w:i/>
          <w:iCs/>
          <w:sz w:val="20"/>
        </w:rPr>
        <w:t>In re McC (A Minor)</w:t>
      </w:r>
      <w:r w:rsidR="00051A4F">
        <w:rPr>
          <w:rFonts w:ascii="Arial" w:hAnsi="Arial" w:cs="Arial"/>
          <w:sz w:val="20"/>
        </w:rPr>
        <w:t xml:space="preserve"> </w:t>
      </w:r>
      <w:r w:rsidR="00051A4F" w:rsidRPr="00051A4F">
        <w:rPr>
          <w:rFonts w:ascii="Arial" w:hAnsi="Arial" w:cs="Arial"/>
          <w:sz w:val="20"/>
        </w:rPr>
        <w:t>[1985] AC 528</w:t>
      </w:r>
      <w:r w:rsidR="00FD40B5">
        <w:rPr>
          <w:rFonts w:ascii="Arial" w:hAnsi="Arial" w:cs="Arial"/>
          <w:sz w:val="20"/>
        </w:rPr>
        <w:t>,</w:t>
      </w:r>
      <w:r w:rsidR="00051A4F">
        <w:rPr>
          <w:rFonts w:ascii="Arial" w:hAnsi="Arial" w:cs="Arial"/>
          <w:sz w:val="20"/>
        </w:rPr>
        <w:t xml:space="preserve"> the common law position was that inferior court judges will not have immunity where they do not have subject matter jurisdiction and in certain other exceptional circumstances, including </w:t>
      </w:r>
      <w:r w:rsidR="00051A4F" w:rsidRPr="00FA3DF2">
        <w:rPr>
          <w:rFonts w:ascii="Arial" w:hAnsi="Arial" w:cs="Arial"/>
          <w:sz w:val="20"/>
        </w:rPr>
        <w:t>where the inferior court judge "is guilty of some gross and obvious irregularity in procedure, or a breach of the rules of natural justice, other than an irregularity or breach which could be said to be a merely narrow technical"</w:t>
      </w:r>
      <w:r w:rsidR="00051A4F">
        <w:rPr>
          <w:rFonts w:ascii="Arial" w:hAnsi="Arial" w:cs="Arial"/>
          <w:sz w:val="20"/>
        </w:rPr>
        <w:t xml:space="preserve">: see </w:t>
      </w:r>
      <w:r w:rsidR="00051A4F" w:rsidRPr="00051A4F">
        <w:rPr>
          <w:rFonts w:ascii="Arial" w:hAnsi="Arial" w:cs="Arial"/>
          <w:i/>
          <w:iCs/>
          <w:sz w:val="20"/>
        </w:rPr>
        <w:t>Stradford (a pseudonym) v Judge Vasta</w:t>
      </w:r>
      <w:r w:rsidR="00051A4F" w:rsidRPr="00051A4F">
        <w:rPr>
          <w:rFonts w:ascii="Arial" w:hAnsi="Arial" w:cs="Arial"/>
          <w:sz w:val="20"/>
        </w:rPr>
        <w:t xml:space="preserve"> [2023] FCA 1020 at [345]</w:t>
      </w:r>
      <w:r w:rsidR="00051A4F">
        <w:rPr>
          <w:rFonts w:ascii="Arial" w:hAnsi="Arial" w:cs="Arial"/>
          <w:sz w:val="20"/>
        </w:rPr>
        <w:t xml:space="preserve"> referred to in the judgment of the plurality at [78]-[79].</w:t>
      </w:r>
    </w:p>
    <w:p w14:paraId="45FF3D08" w14:textId="77777777" w:rsidR="00C07C6F" w:rsidRDefault="00C07C6F" w:rsidP="00051A4F">
      <w:pPr>
        <w:jc w:val="both"/>
        <w:rPr>
          <w:rFonts w:ascii="Arial" w:hAnsi="Arial" w:cs="Arial"/>
          <w:sz w:val="20"/>
        </w:rPr>
      </w:pPr>
    </w:p>
    <w:p w14:paraId="7DB533F8" w14:textId="0279A408" w:rsidR="00051A4F" w:rsidRDefault="00051A4F" w:rsidP="00051A4F">
      <w:pPr>
        <w:jc w:val="both"/>
        <w:rPr>
          <w:rFonts w:ascii="Arial" w:hAnsi="Arial" w:cs="Arial"/>
          <w:sz w:val="20"/>
        </w:rPr>
      </w:pPr>
      <w:r>
        <w:rPr>
          <w:rFonts w:ascii="Arial" w:hAnsi="Arial" w:cs="Arial"/>
          <w:sz w:val="20"/>
        </w:rPr>
        <w:t>In allowing the appeal the plurality–</w:t>
      </w:r>
    </w:p>
    <w:p w14:paraId="6A5354FC" w14:textId="27A25152" w:rsidR="00FA3DF2" w:rsidRDefault="00051A4F">
      <w:pPr>
        <w:pStyle w:val="ListParagraph"/>
        <w:numPr>
          <w:ilvl w:val="0"/>
          <w:numId w:val="142"/>
        </w:numPr>
        <w:spacing w:before="60"/>
        <w:ind w:left="357" w:hanging="357"/>
        <w:jc w:val="both"/>
        <w:rPr>
          <w:rFonts w:ascii="Arial" w:hAnsi="Arial" w:cs="Arial"/>
          <w:sz w:val="20"/>
        </w:rPr>
      </w:pPr>
      <w:r>
        <w:rPr>
          <w:rFonts w:ascii="Arial" w:hAnsi="Arial" w:cs="Arial"/>
          <w:sz w:val="20"/>
        </w:rPr>
        <w:t>h</w:t>
      </w:r>
      <w:r w:rsidRPr="00051A4F">
        <w:rPr>
          <w:rFonts w:ascii="Arial" w:hAnsi="Arial" w:cs="Arial"/>
          <w:sz w:val="20"/>
        </w:rPr>
        <w:t>eld at [</w:t>
      </w:r>
      <w:r w:rsidR="00C363FF">
        <w:rPr>
          <w:rFonts w:ascii="Arial" w:hAnsi="Arial" w:cs="Arial"/>
          <w:sz w:val="20"/>
        </w:rPr>
        <w:t>101</w:t>
      </w:r>
      <w:r w:rsidRPr="00051A4F">
        <w:rPr>
          <w:rFonts w:ascii="Arial" w:hAnsi="Arial" w:cs="Arial"/>
          <w:sz w:val="20"/>
        </w:rPr>
        <w:t>]</w:t>
      </w:r>
      <w:r w:rsidR="0073713C">
        <w:rPr>
          <w:rFonts w:ascii="Arial" w:hAnsi="Arial" w:cs="Arial"/>
          <w:sz w:val="20"/>
        </w:rPr>
        <w:t>: “T</w:t>
      </w:r>
      <w:r w:rsidR="00FA3DF2" w:rsidRPr="00051A4F">
        <w:rPr>
          <w:rFonts w:ascii="Arial" w:hAnsi="Arial" w:cs="Arial"/>
          <w:sz w:val="20"/>
        </w:rPr>
        <w:t xml:space="preserve">he reasoning of the primary judge, resting upon the premise that the scope of judicial immunity from civil suit described in </w:t>
      </w:r>
      <w:r w:rsidR="00FA3DF2" w:rsidRPr="00C363FF">
        <w:rPr>
          <w:rFonts w:ascii="Arial" w:hAnsi="Arial" w:cs="Arial"/>
          <w:i/>
          <w:iCs/>
          <w:sz w:val="20"/>
        </w:rPr>
        <w:t>In re McC</w:t>
      </w:r>
      <w:r w:rsidR="00FA3DF2" w:rsidRPr="00051A4F">
        <w:rPr>
          <w:rFonts w:ascii="Arial" w:hAnsi="Arial" w:cs="Arial"/>
          <w:sz w:val="20"/>
        </w:rPr>
        <w:t xml:space="preserve"> represents, or should be taken as representing, the common law of Australia, cannot be accepted.</w:t>
      </w:r>
      <w:r>
        <w:rPr>
          <w:rFonts w:ascii="Arial" w:hAnsi="Arial" w:cs="Arial"/>
          <w:sz w:val="20"/>
        </w:rPr>
        <w:t>”</w:t>
      </w:r>
    </w:p>
    <w:p w14:paraId="4B4DC2E3" w14:textId="19F3D5ED" w:rsidR="00051A4F" w:rsidRPr="00051A4F" w:rsidRDefault="00F87730">
      <w:pPr>
        <w:pStyle w:val="ListParagraph"/>
        <w:numPr>
          <w:ilvl w:val="0"/>
          <w:numId w:val="142"/>
        </w:numPr>
        <w:spacing w:before="60"/>
        <w:ind w:left="357" w:hanging="357"/>
        <w:jc w:val="both"/>
        <w:rPr>
          <w:rFonts w:ascii="Arial" w:hAnsi="Arial" w:cs="Arial"/>
          <w:sz w:val="20"/>
        </w:rPr>
      </w:pPr>
      <w:r>
        <w:rPr>
          <w:rFonts w:ascii="Arial" w:hAnsi="Arial" w:cs="Arial"/>
          <w:sz w:val="20"/>
        </w:rPr>
        <w:t>sai</w:t>
      </w:r>
      <w:r w:rsidR="00C363FF">
        <w:rPr>
          <w:rFonts w:ascii="Arial" w:hAnsi="Arial" w:cs="Arial"/>
          <w:sz w:val="20"/>
        </w:rPr>
        <w:t>d</w:t>
      </w:r>
      <w:r w:rsidR="00051A4F">
        <w:rPr>
          <w:rFonts w:ascii="Arial" w:hAnsi="Arial" w:cs="Arial"/>
          <w:sz w:val="20"/>
        </w:rPr>
        <w:t xml:space="preserve"> at [</w:t>
      </w:r>
      <w:r w:rsidR="00C363FF">
        <w:rPr>
          <w:rFonts w:ascii="Arial" w:hAnsi="Arial" w:cs="Arial"/>
          <w:sz w:val="20"/>
        </w:rPr>
        <w:t>2</w:t>
      </w:r>
      <w:r w:rsidR="00051A4F">
        <w:rPr>
          <w:rFonts w:ascii="Arial" w:hAnsi="Arial" w:cs="Arial"/>
          <w:sz w:val="20"/>
        </w:rPr>
        <w:t>]</w:t>
      </w:r>
      <w:r w:rsidR="005E39C3">
        <w:rPr>
          <w:rFonts w:ascii="Arial" w:hAnsi="Arial" w:cs="Arial"/>
          <w:sz w:val="20"/>
        </w:rPr>
        <w:t>-[3]</w:t>
      </w:r>
      <w:r w:rsidR="0073713C">
        <w:rPr>
          <w:rFonts w:ascii="Arial" w:hAnsi="Arial" w:cs="Arial"/>
          <w:sz w:val="20"/>
        </w:rPr>
        <w:t xml:space="preserve"> (emphasis added)</w:t>
      </w:r>
      <w:r w:rsidR="00051A4F">
        <w:rPr>
          <w:rFonts w:ascii="Arial" w:hAnsi="Arial" w:cs="Arial"/>
          <w:sz w:val="20"/>
        </w:rPr>
        <w:t>:</w:t>
      </w:r>
    </w:p>
    <w:p w14:paraId="396535E1" w14:textId="77777777" w:rsidR="005E39C3" w:rsidRDefault="005E39C3" w:rsidP="005D53B5">
      <w:pPr>
        <w:spacing w:before="60"/>
        <w:ind w:left="811" w:right="454"/>
        <w:jc w:val="both"/>
        <w:rPr>
          <w:rFonts w:ascii="Arial" w:hAnsi="Arial" w:cs="Arial"/>
          <w:sz w:val="20"/>
        </w:rPr>
      </w:pPr>
      <w:r>
        <w:rPr>
          <w:rFonts w:ascii="Arial" w:hAnsi="Arial" w:cs="Arial"/>
          <w:sz w:val="20"/>
        </w:rPr>
        <w:t xml:space="preserve">[2] </w:t>
      </w:r>
      <w:r w:rsidR="00C363FF">
        <w:rPr>
          <w:rFonts w:ascii="Arial" w:hAnsi="Arial" w:cs="Arial"/>
          <w:sz w:val="20"/>
        </w:rPr>
        <w:t>“</w:t>
      </w:r>
      <w:r w:rsidR="00C363FF" w:rsidRPr="0073713C">
        <w:rPr>
          <w:rFonts w:ascii="Arial" w:hAnsi="Arial" w:cs="Arial"/>
          <w:b/>
          <w:bCs/>
          <w:sz w:val="20"/>
        </w:rPr>
        <w:t>Although there are differences of significance between inferior courts and superior courts, there is no justification for differentiating between the scope of the immunity from civil suit afforded to judges of all courts.</w:t>
      </w:r>
      <w:r w:rsidR="00C363FF" w:rsidRPr="009D4646">
        <w:rPr>
          <w:rFonts w:ascii="Arial" w:hAnsi="Arial" w:cs="Arial"/>
          <w:sz w:val="20"/>
        </w:rPr>
        <w:t xml:space="preserve"> This is so because the purpose of the immunity is the same for judges of all courts. That purpose is to facilitate the independent performance of the judicial function free from the spectre of litigation</w:t>
      </w:r>
      <w:r w:rsidR="00C363FF">
        <w:rPr>
          <w:rFonts w:ascii="Arial" w:hAnsi="Arial" w:cs="Arial"/>
          <w:sz w:val="20"/>
        </w:rPr>
        <w:t xml:space="preserve"> (</w:t>
      </w:r>
      <w:r w:rsidR="00C363FF" w:rsidRPr="00C363FF">
        <w:rPr>
          <w:rFonts w:ascii="Arial" w:hAnsi="Arial" w:cs="Arial"/>
          <w:i/>
          <w:iCs/>
          <w:sz w:val="20"/>
        </w:rPr>
        <w:t>Fingleton v The Queen</w:t>
      </w:r>
      <w:r w:rsidR="00C363FF" w:rsidRPr="00C363FF">
        <w:rPr>
          <w:rFonts w:ascii="Arial" w:hAnsi="Arial" w:cs="Arial"/>
          <w:sz w:val="20"/>
        </w:rPr>
        <w:t xml:space="preserve"> (2005) 227 CLR 166 at 186 [38]-[39</w:t>
      </w:r>
      <w:r w:rsidR="00C363FF">
        <w:rPr>
          <w:rFonts w:ascii="Arial" w:hAnsi="Arial" w:cs="Arial"/>
          <w:sz w:val="20"/>
        </w:rPr>
        <w:t xml:space="preserve">]), as well as </w:t>
      </w:r>
      <w:r w:rsidR="00C363FF" w:rsidRPr="009D4646">
        <w:rPr>
          <w:rFonts w:ascii="Arial" w:hAnsi="Arial" w:cs="Arial"/>
          <w:sz w:val="20"/>
        </w:rPr>
        <w:t>to enhance the finality of judgments quelling legal controversies</w:t>
      </w:r>
      <w:r w:rsidR="000F0111">
        <w:rPr>
          <w:rFonts w:ascii="Arial" w:hAnsi="Arial" w:cs="Arial"/>
          <w:sz w:val="20"/>
        </w:rPr>
        <w:t xml:space="preserve"> (</w:t>
      </w:r>
      <w:r w:rsidR="000F0111" w:rsidRPr="000F0111">
        <w:rPr>
          <w:rFonts w:ascii="Arial" w:hAnsi="Arial" w:cs="Arial"/>
          <w:i/>
          <w:iCs/>
          <w:sz w:val="20"/>
        </w:rPr>
        <w:t>D'Orta-Ekenaike v Victoria Legal Aid</w:t>
      </w:r>
      <w:r w:rsidR="000F0111" w:rsidRPr="00C363FF">
        <w:rPr>
          <w:rFonts w:ascii="Arial" w:hAnsi="Arial" w:cs="Arial"/>
          <w:sz w:val="20"/>
        </w:rPr>
        <w:t xml:space="preserve"> (2005) 223 CLR 1 at 19 [40].</w:t>
      </w:r>
      <w:r w:rsidR="000F0111">
        <w:rPr>
          <w:rFonts w:ascii="Arial" w:hAnsi="Arial" w:cs="Arial"/>
          <w:sz w:val="20"/>
        </w:rPr>
        <w:t xml:space="preserve"> </w:t>
      </w:r>
      <w:r w:rsidR="00C363FF" w:rsidRPr="00C02FEC">
        <w:rPr>
          <w:rFonts w:ascii="Arial" w:hAnsi="Arial" w:cs="Arial"/>
          <w:b/>
          <w:bCs/>
          <w:sz w:val="20"/>
        </w:rPr>
        <w:t>The necessity for judicial independence, and the interests of finality of judgments, apply to the exercise of the judicial function by judges of both inferior courts and superior courts. Judicial immunity does not exist for the benefit of individual judges.</w:t>
      </w:r>
    </w:p>
    <w:p w14:paraId="20D60884" w14:textId="4AFF46C0" w:rsidR="00C363FF" w:rsidRDefault="005E39C3" w:rsidP="00905F98">
      <w:pPr>
        <w:spacing w:before="60"/>
        <w:ind w:left="811" w:right="454"/>
        <w:jc w:val="both"/>
        <w:rPr>
          <w:rFonts w:ascii="Arial" w:hAnsi="Arial" w:cs="Arial"/>
          <w:sz w:val="20"/>
        </w:rPr>
      </w:pPr>
      <w:r>
        <w:rPr>
          <w:rFonts w:ascii="Arial" w:hAnsi="Arial" w:cs="Arial"/>
          <w:sz w:val="20"/>
        </w:rPr>
        <w:t xml:space="preserve">[3] </w:t>
      </w:r>
      <w:r w:rsidRPr="005E39C3">
        <w:rPr>
          <w:rFonts w:ascii="Arial" w:hAnsi="Arial" w:cs="Arial"/>
          <w:sz w:val="20"/>
        </w:rPr>
        <w:t>Recourse against a wrongful act or omission by a judicial officer (including a negligent, unjust, or even malicious act or omission by a judicial officer) in the performance or purported performance of a judicial function is to be found within such system of appeals as might be applicable, such means of collateral challenge as might be available, and such processes of discipline and removal from office to which the judicial officer might be amenable. It is not to be found in a civil suit against the judicial officer.</w:t>
      </w:r>
      <w:r>
        <w:rPr>
          <w:rFonts w:ascii="Arial" w:hAnsi="Arial" w:cs="Arial"/>
          <w:sz w:val="20"/>
        </w:rPr>
        <w:t>”</w:t>
      </w:r>
    </w:p>
    <w:p w14:paraId="3F5D69B9" w14:textId="2582B52F" w:rsidR="00905F98" w:rsidRDefault="00905F98" w:rsidP="00905F98">
      <w:pPr>
        <w:spacing w:before="60"/>
        <w:jc w:val="both"/>
        <w:rPr>
          <w:rFonts w:ascii="Arial" w:hAnsi="Arial" w:cs="Arial"/>
          <w:sz w:val="20"/>
        </w:rPr>
      </w:pPr>
      <w:r>
        <w:rPr>
          <w:rFonts w:ascii="Arial" w:hAnsi="Arial" w:cs="Arial"/>
          <w:sz w:val="20"/>
        </w:rPr>
        <w:t xml:space="preserve">In a separate </w:t>
      </w:r>
      <w:r w:rsidR="005C24E6">
        <w:rPr>
          <w:rFonts w:ascii="Arial" w:hAnsi="Arial" w:cs="Arial"/>
          <w:sz w:val="20"/>
        </w:rPr>
        <w:t xml:space="preserve">– </w:t>
      </w:r>
      <w:r w:rsidR="00D96C4F">
        <w:rPr>
          <w:rFonts w:ascii="Arial" w:hAnsi="Arial" w:cs="Arial"/>
          <w:sz w:val="20"/>
        </w:rPr>
        <w:t>ultimate</w:t>
      </w:r>
      <w:r w:rsidR="005C24E6">
        <w:rPr>
          <w:rFonts w:ascii="Arial" w:hAnsi="Arial" w:cs="Arial"/>
          <w:sz w:val="20"/>
        </w:rPr>
        <w:t xml:space="preserve">ly </w:t>
      </w:r>
      <w:r>
        <w:rPr>
          <w:rFonts w:ascii="Arial" w:hAnsi="Arial" w:cs="Arial"/>
          <w:sz w:val="20"/>
        </w:rPr>
        <w:t xml:space="preserve">concurring </w:t>
      </w:r>
      <w:r w:rsidR="005C24E6">
        <w:rPr>
          <w:rFonts w:ascii="Arial" w:hAnsi="Arial" w:cs="Arial"/>
          <w:sz w:val="20"/>
        </w:rPr>
        <w:t xml:space="preserve">– </w:t>
      </w:r>
      <w:r>
        <w:rPr>
          <w:rFonts w:ascii="Arial" w:hAnsi="Arial" w:cs="Arial"/>
          <w:sz w:val="20"/>
        </w:rPr>
        <w:t>judgment</w:t>
      </w:r>
      <w:r w:rsidR="005C24E6">
        <w:rPr>
          <w:rFonts w:ascii="Arial" w:hAnsi="Arial" w:cs="Arial"/>
          <w:sz w:val="20"/>
        </w:rPr>
        <w:t xml:space="preserve"> </w:t>
      </w:r>
      <w:r>
        <w:rPr>
          <w:rFonts w:ascii="Arial" w:hAnsi="Arial" w:cs="Arial"/>
          <w:sz w:val="20"/>
        </w:rPr>
        <w:t xml:space="preserve">at [321]-[322] </w:t>
      </w:r>
      <w:r w:rsidR="005E39C3" w:rsidRPr="00905F98">
        <w:rPr>
          <w:rFonts w:ascii="Arial" w:hAnsi="Arial" w:cs="Arial"/>
          <w:sz w:val="20"/>
        </w:rPr>
        <w:t xml:space="preserve">Edelman J </w:t>
      </w:r>
      <w:r>
        <w:rPr>
          <w:rFonts w:ascii="Arial" w:hAnsi="Arial" w:cs="Arial"/>
          <w:sz w:val="20"/>
        </w:rPr>
        <w:t>posed the question “When</w:t>
      </w:r>
      <w:r w:rsidR="005C24E6">
        <w:rPr>
          <w:rFonts w:ascii="Arial" w:hAnsi="Arial" w:cs="Arial"/>
          <w:sz w:val="20"/>
        </w:rPr>
        <w:t xml:space="preserve"> </w:t>
      </w:r>
      <w:r>
        <w:rPr>
          <w:rFonts w:ascii="Arial" w:hAnsi="Arial" w:cs="Arial"/>
          <w:sz w:val="20"/>
        </w:rPr>
        <w:t>is a j</w:t>
      </w:r>
      <w:r w:rsidR="00FD40B5" w:rsidRPr="00FD40B5">
        <w:rPr>
          <w:rFonts w:ascii="Arial" w:hAnsi="Arial" w:cs="Arial"/>
          <w:sz w:val="20"/>
        </w:rPr>
        <w:t>udicial officer liable for the consequences of their actions?</w:t>
      </w:r>
      <w:r>
        <w:rPr>
          <w:rFonts w:ascii="Arial" w:hAnsi="Arial" w:cs="Arial"/>
          <w:sz w:val="20"/>
        </w:rPr>
        <w:t>”</w:t>
      </w:r>
      <w:r w:rsidR="00FD40B5" w:rsidRPr="00FD40B5">
        <w:rPr>
          <w:rFonts w:ascii="Arial" w:hAnsi="Arial" w:cs="Arial"/>
          <w:sz w:val="20"/>
        </w:rPr>
        <w:t xml:space="preserve"> </w:t>
      </w:r>
      <w:r>
        <w:rPr>
          <w:rFonts w:ascii="Arial" w:hAnsi="Arial" w:cs="Arial"/>
          <w:sz w:val="20"/>
        </w:rPr>
        <w:t>and answered:</w:t>
      </w:r>
    </w:p>
    <w:p w14:paraId="685E0FA3" w14:textId="597E84D4" w:rsidR="00905F98" w:rsidRDefault="00905F98" w:rsidP="00905F98">
      <w:pPr>
        <w:spacing w:before="60"/>
        <w:ind w:left="811" w:right="454"/>
        <w:jc w:val="both"/>
        <w:rPr>
          <w:rFonts w:ascii="Arial" w:hAnsi="Arial" w:cs="Arial"/>
          <w:sz w:val="20"/>
        </w:rPr>
      </w:pPr>
      <w:r>
        <w:rPr>
          <w:rFonts w:ascii="Arial" w:hAnsi="Arial" w:cs="Arial"/>
          <w:sz w:val="20"/>
        </w:rPr>
        <w:lastRenderedPageBreak/>
        <w:t>“</w:t>
      </w:r>
      <w:r w:rsidR="00FD40B5" w:rsidRPr="00FD40B5">
        <w:rPr>
          <w:rFonts w:ascii="Arial" w:hAnsi="Arial" w:cs="Arial"/>
          <w:sz w:val="20"/>
        </w:rPr>
        <w:t xml:space="preserve">The modern answer is that a judicial officer owes the same duties as all other members of society. However, the authority of a judicial officer can provide them, and those who are required by the court to enforce a judicial order, with a defence of justification for acts that would otherwise be wrongful. Provided that the order purports to be an exercise of judicial authority, even if the order is later set aside on the basis of jurisdictional error, that order was not a nullity at the time it was made. The order must be obeyed by the parties until it is set aside and it can provide a defence of justification for those who are required by the court to give effect to the order such as police officers, correctional officers, and contracted guards. Centrally to these appeals, this conclusion does not change merely because the court is described by old English labels, which should have been abolished long ago in Australia, of </w:t>
      </w:r>
      <w:r>
        <w:rPr>
          <w:rFonts w:ascii="Arial" w:hAnsi="Arial" w:cs="Arial"/>
          <w:sz w:val="20"/>
        </w:rPr>
        <w:t>‘</w:t>
      </w:r>
      <w:r w:rsidR="00FD40B5" w:rsidRPr="00FD40B5">
        <w:rPr>
          <w:rFonts w:ascii="Arial" w:hAnsi="Arial" w:cs="Arial"/>
          <w:sz w:val="20"/>
        </w:rPr>
        <w:t>inferior court</w:t>
      </w:r>
      <w:r>
        <w:rPr>
          <w:rFonts w:ascii="Arial" w:hAnsi="Arial" w:cs="Arial"/>
          <w:sz w:val="20"/>
        </w:rPr>
        <w:t>’</w:t>
      </w:r>
      <w:r w:rsidR="00FD40B5" w:rsidRPr="00FD40B5">
        <w:rPr>
          <w:rFonts w:ascii="Arial" w:hAnsi="Arial" w:cs="Arial"/>
          <w:sz w:val="20"/>
        </w:rPr>
        <w:t xml:space="preserve"> or </w:t>
      </w:r>
      <w:r>
        <w:rPr>
          <w:rFonts w:ascii="Arial" w:hAnsi="Arial" w:cs="Arial"/>
          <w:sz w:val="20"/>
        </w:rPr>
        <w:t>‘</w:t>
      </w:r>
      <w:r w:rsidR="00FD40B5" w:rsidRPr="00FD40B5">
        <w:rPr>
          <w:rFonts w:ascii="Arial" w:hAnsi="Arial" w:cs="Arial"/>
          <w:sz w:val="20"/>
        </w:rPr>
        <w:t>superior court</w:t>
      </w:r>
      <w:r>
        <w:rPr>
          <w:rFonts w:ascii="Arial" w:hAnsi="Arial" w:cs="Arial"/>
          <w:sz w:val="20"/>
        </w:rPr>
        <w:t>’</w:t>
      </w:r>
      <w:r w:rsidR="00FD40B5" w:rsidRPr="00FD40B5">
        <w:rPr>
          <w:rFonts w:ascii="Arial" w:hAnsi="Arial" w:cs="Arial"/>
          <w:sz w:val="20"/>
        </w:rPr>
        <w:t>.</w:t>
      </w:r>
      <w:r>
        <w:rPr>
          <w:rFonts w:ascii="Arial" w:hAnsi="Arial" w:cs="Arial"/>
          <w:sz w:val="20"/>
        </w:rPr>
        <w:t>”</w:t>
      </w:r>
    </w:p>
    <w:p w14:paraId="01EF5F9C" w14:textId="7B8AD673" w:rsidR="00FD40B5" w:rsidRDefault="00FD40B5" w:rsidP="00C704E2">
      <w:pPr>
        <w:jc w:val="both"/>
        <w:rPr>
          <w:rFonts w:ascii="Arial" w:hAnsi="Arial" w:cs="Arial"/>
          <w:sz w:val="20"/>
        </w:rPr>
      </w:pPr>
    </w:p>
    <w:p w14:paraId="728AAF58" w14:textId="0A8A76BD" w:rsidR="00FD40B5" w:rsidRDefault="005C24E6">
      <w:pPr>
        <w:jc w:val="both"/>
        <w:rPr>
          <w:rFonts w:ascii="Arial" w:hAnsi="Arial" w:cs="Arial"/>
          <w:sz w:val="20"/>
        </w:rPr>
      </w:pPr>
      <w:r>
        <w:rPr>
          <w:rFonts w:ascii="Arial" w:hAnsi="Arial" w:cs="Arial"/>
          <w:sz w:val="20"/>
        </w:rPr>
        <w:t>In conclusion</w:t>
      </w:r>
      <w:r w:rsidR="00451A63">
        <w:rPr>
          <w:rFonts w:ascii="Arial" w:hAnsi="Arial" w:cs="Arial"/>
          <w:sz w:val="20"/>
        </w:rPr>
        <w:t>,</w:t>
      </w:r>
      <w:r>
        <w:rPr>
          <w:rFonts w:ascii="Arial" w:hAnsi="Arial" w:cs="Arial"/>
          <w:sz w:val="20"/>
        </w:rPr>
        <w:t xml:space="preserve"> </w:t>
      </w:r>
      <w:r w:rsidR="00451A63">
        <w:rPr>
          <w:rFonts w:ascii="Arial" w:hAnsi="Arial" w:cs="Arial"/>
          <w:sz w:val="20"/>
        </w:rPr>
        <w:t xml:space="preserve">although the consequence of these appeals may seem personally hard on Mr Stradford, it is also difficult to criticise the benefit to the community at large of the rationale in the above quote from the judgment of the plurality at [2]. In this regard it should be noted that the plurality </w:t>
      </w:r>
      <w:r w:rsidR="00161F97">
        <w:rPr>
          <w:rFonts w:ascii="Arial" w:hAnsi="Arial" w:cs="Arial"/>
          <w:sz w:val="20"/>
        </w:rPr>
        <w:t xml:space="preserve">also </w:t>
      </w:r>
      <w:r w:rsidR="00451A63">
        <w:rPr>
          <w:rFonts w:ascii="Arial" w:hAnsi="Arial" w:cs="Arial"/>
          <w:sz w:val="20"/>
        </w:rPr>
        <w:t>said at [4]:</w:t>
      </w:r>
    </w:p>
    <w:p w14:paraId="34051DE3" w14:textId="50383B26" w:rsidR="00451A63" w:rsidRDefault="00451A63" w:rsidP="00451A63">
      <w:pPr>
        <w:spacing w:before="60"/>
        <w:ind w:left="811" w:right="454"/>
        <w:jc w:val="both"/>
        <w:rPr>
          <w:rFonts w:ascii="Arial" w:hAnsi="Arial" w:cs="Arial"/>
          <w:sz w:val="20"/>
        </w:rPr>
      </w:pPr>
      <w:r>
        <w:rPr>
          <w:rFonts w:ascii="Arial" w:hAnsi="Arial" w:cs="Arial"/>
          <w:sz w:val="20"/>
        </w:rPr>
        <w:t>“</w:t>
      </w:r>
      <w:r w:rsidRPr="00451A63">
        <w:rPr>
          <w:rFonts w:ascii="Arial" w:hAnsi="Arial" w:cs="Arial"/>
          <w:sz w:val="20"/>
        </w:rPr>
        <w:t xml:space="preserve">As the facts and outcome of these appeals demonstrate, the effect of this absolute immunity may be such that a victim of unjust treatment by a judicial officer will be left with no means of obtaining monetary compensation through the courts. If that is so, and the unjust treatment has caused harm to the victim, it may be that one or other of the legislative schemes for the making of an ex gratia or </w:t>
      </w:r>
      <w:r>
        <w:rPr>
          <w:rFonts w:ascii="Arial" w:hAnsi="Arial" w:cs="Arial"/>
          <w:sz w:val="20"/>
        </w:rPr>
        <w:t>‘</w:t>
      </w:r>
      <w:r w:rsidRPr="00451A63">
        <w:rPr>
          <w:rFonts w:ascii="Arial" w:hAnsi="Arial" w:cs="Arial"/>
          <w:sz w:val="20"/>
        </w:rPr>
        <w:t>act of grace</w:t>
      </w:r>
      <w:r>
        <w:rPr>
          <w:rFonts w:ascii="Arial" w:hAnsi="Arial" w:cs="Arial"/>
          <w:sz w:val="20"/>
        </w:rPr>
        <w:t>’</w:t>
      </w:r>
      <w:r w:rsidRPr="00451A63">
        <w:rPr>
          <w:rFonts w:ascii="Arial" w:hAnsi="Arial" w:cs="Arial"/>
          <w:sz w:val="20"/>
        </w:rPr>
        <w:t xml:space="preserve"> payment may compensate the victim</w:t>
      </w:r>
      <w:r>
        <w:rPr>
          <w:rFonts w:ascii="Arial" w:hAnsi="Arial" w:cs="Arial"/>
          <w:sz w:val="20"/>
        </w:rPr>
        <w:t>: see</w:t>
      </w:r>
      <w:r w:rsidRPr="00451A63">
        <w:rPr>
          <w:rFonts w:ascii="Arial" w:hAnsi="Arial" w:cs="Arial"/>
          <w:sz w:val="20"/>
        </w:rPr>
        <w:t xml:space="preserve"> eg, </w:t>
      </w:r>
      <w:r w:rsidRPr="00451A63">
        <w:rPr>
          <w:rFonts w:ascii="Arial" w:hAnsi="Arial" w:cs="Arial"/>
          <w:i/>
          <w:iCs/>
          <w:sz w:val="20"/>
        </w:rPr>
        <w:t>Public Governance, Performance and Accountability Act 2013</w:t>
      </w:r>
      <w:r w:rsidRPr="00451A63">
        <w:rPr>
          <w:rFonts w:ascii="Arial" w:hAnsi="Arial" w:cs="Arial"/>
          <w:sz w:val="20"/>
        </w:rPr>
        <w:t xml:space="preserve"> (Cth), s 65(1).</w:t>
      </w:r>
      <w:r>
        <w:rPr>
          <w:rFonts w:ascii="Arial" w:hAnsi="Arial" w:cs="Arial"/>
          <w:sz w:val="20"/>
        </w:rPr>
        <w:t>”</w:t>
      </w:r>
    </w:p>
    <w:p w14:paraId="30FFB791" w14:textId="1EBA9D91" w:rsidR="00931243" w:rsidRDefault="00451A63" w:rsidP="00451A63">
      <w:pPr>
        <w:spacing w:before="60"/>
        <w:jc w:val="both"/>
        <w:rPr>
          <w:rFonts w:ascii="Arial" w:hAnsi="Arial" w:cs="Arial"/>
          <w:sz w:val="20"/>
        </w:rPr>
      </w:pPr>
      <w:r>
        <w:rPr>
          <w:rFonts w:ascii="Arial" w:hAnsi="Arial" w:cs="Arial"/>
          <w:sz w:val="20"/>
        </w:rPr>
        <w:t xml:space="preserve">It </w:t>
      </w:r>
      <w:r w:rsidR="00161F97">
        <w:rPr>
          <w:rFonts w:ascii="Arial" w:hAnsi="Arial" w:cs="Arial"/>
          <w:sz w:val="20"/>
        </w:rPr>
        <w:t>is</w:t>
      </w:r>
      <w:r>
        <w:rPr>
          <w:rFonts w:ascii="Arial" w:hAnsi="Arial" w:cs="Arial"/>
          <w:sz w:val="20"/>
        </w:rPr>
        <w:t xml:space="preserve"> also </w:t>
      </w:r>
      <w:r w:rsidR="00161F97">
        <w:rPr>
          <w:rFonts w:ascii="Arial" w:hAnsi="Arial" w:cs="Arial"/>
          <w:sz w:val="20"/>
        </w:rPr>
        <w:t>worth</w:t>
      </w:r>
      <w:r>
        <w:rPr>
          <w:rFonts w:ascii="Arial" w:hAnsi="Arial" w:cs="Arial"/>
          <w:sz w:val="20"/>
        </w:rPr>
        <w:t xml:space="preserve"> </w:t>
      </w:r>
      <w:r w:rsidR="00161F97">
        <w:rPr>
          <w:rFonts w:ascii="Arial" w:hAnsi="Arial" w:cs="Arial"/>
          <w:sz w:val="20"/>
        </w:rPr>
        <w:t xml:space="preserve">noting </w:t>
      </w:r>
      <w:r>
        <w:rPr>
          <w:rFonts w:ascii="Arial" w:hAnsi="Arial" w:cs="Arial"/>
          <w:sz w:val="20"/>
        </w:rPr>
        <w:t xml:space="preserve">that </w:t>
      </w:r>
      <w:r w:rsidR="00161F97">
        <w:rPr>
          <w:rFonts w:ascii="Arial" w:hAnsi="Arial" w:cs="Arial"/>
          <w:sz w:val="20"/>
        </w:rPr>
        <w:t>at [160] the plurality said:</w:t>
      </w:r>
    </w:p>
    <w:p w14:paraId="547689D3" w14:textId="6A3979E4" w:rsidR="00161F97" w:rsidRDefault="00161F97" w:rsidP="00161F97">
      <w:pPr>
        <w:spacing w:before="60"/>
        <w:ind w:left="811" w:right="454"/>
        <w:jc w:val="both"/>
        <w:rPr>
          <w:rFonts w:ascii="Arial" w:hAnsi="Arial" w:cs="Arial"/>
          <w:sz w:val="20"/>
        </w:rPr>
      </w:pPr>
      <w:r>
        <w:rPr>
          <w:rFonts w:ascii="Arial" w:hAnsi="Arial" w:cs="Arial"/>
          <w:sz w:val="20"/>
        </w:rPr>
        <w:t>“</w:t>
      </w:r>
      <w:r w:rsidRPr="00161F97">
        <w:rPr>
          <w:rFonts w:ascii="Arial" w:hAnsi="Arial" w:cs="Arial"/>
          <w:sz w:val="20"/>
        </w:rPr>
        <w:t>The Commonwealth and Judge Vasta each agreed not to seek costs from Mr Stradford in this Court and not to seek to disturb the costs order in Mr Stradford's favour made by the primary judge. Queensland's appeal was removed into this Court on conditions to the same effect. The Commonwealth agreed to pay Mr Stradford's reasonable costs of the three appeals on a party-party basis.</w:t>
      </w:r>
      <w:r>
        <w:rPr>
          <w:rFonts w:ascii="Arial" w:hAnsi="Arial" w:cs="Arial"/>
          <w:sz w:val="20"/>
        </w:rPr>
        <w:t>”</w:t>
      </w:r>
    </w:p>
    <w:p w14:paraId="22D6BBC3" w14:textId="77777777" w:rsidR="009F78ED" w:rsidRPr="00326300" w:rsidRDefault="009F78ED">
      <w:pPr>
        <w:jc w:val="both"/>
        <w:rPr>
          <w:rFonts w:ascii="Arial" w:hAnsi="Arial" w:cs="Arial"/>
          <w:sz w:val="20"/>
        </w:rPr>
      </w:pPr>
    </w:p>
    <w:p w14:paraId="3BB17FAE" w14:textId="77777777" w:rsidR="00B21DA4" w:rsidRDefault="00B21DA4" w:rsidP="00AE2500">
      <w:pPr>
        <w:pStyle w:val="Heading2"/>
        <w:tabs>
          <w:tab w:val="left" w:pos="567"/>
        </w:tabs>
        <w:spacing w:line="240" w:lineRule="auto"/>
        <w:rPr>
          <w:rFonts w:ascii="Arial" w:hAnsi="Arial" w:cs="Arial"/>
          <w:b/>
          <w:bCs/>
        </w:rPr>
      </w:pPr>
      <w:bookmarkStart w:id="168" w:name="_3.3_Judicial_Powers"/>
      <w:bookmarkStart w:id="169" w:name="_3.3_Children’s_Court"/>
      <w:bookmarkStart w:id="170" w:name="B33"/>
      <w:bookmarkStart w:id="171" w:name="_Toc30608806"/>
      <w:bookmarkStart w:id="172" w:name="_Toc30610020"/>
      <w:bookmarkStart w:id="173" w:name="_Toc30610264"/>
      <w:bookmarkStart w:id="174" w:name="_Toc30638418"/>
      <w:bookmarkStart w:id="175" w:name="_Toc30644227"/>
      <w:bookmarkStart w:id="176" w:name="_Toc30644630"/>
      <w:bookmarkStart w:id="177" w:name="_Toc30645180"/>
      <w:bookmarkStart w:id="178" w:name="_Toc30646391"/>
      <w:bookmarkStart w:id="179" w:name="_Toc30646686"/>
      <w:bookmarkStart w:id="180" w:name="_Toc30646797"/>
      <w:bookmarkStart w:id="181" w:name="_Toc30648154"/>
      <w:bookmarkStart w:id="182" w:name="_Toc30649052"/>
      <w:bookmarkStart w:id="183" w:name="_Toc30649128"/>
      <w:bookmarkStart w:id="184" w:name="_Toc30649389"/>
      <w:bookmarkStart w:id="185" w:name="_Toc30649709"/>
      <w:bookmarkStart w:id="186" w:name="_Toc30651643"/>
      <w:bookmarkStart w:id="187" w:name="_Toc30652627"/>
      <w:bookmarkStart w:id="188" w:name="_Toc30652725"/>
      <w:bookmarkStart w:id="189" w:name="_Toc30654070"/>
      <w:bookmarkStart w:id="190" w:name="_Toc30654421"/>
      <w:bookmarkStart w:id="191" w:name="_Toc30655040"/>
      <w:bookmarkStart w:id="192" w:name="_Toc30655297"/>
      <w:bookmarkStart w:id="193" w:name="_Toc30656975"/>
      <w:bookmarkStart w:id="194" w:name="_Toc30661724"/>
      <w:bookmarkStart w:id="195" w:name="_Toc30666412"/>
      <w:bookmarkStart w:id="196" w:name="_Toc30666642"/>
      <w:bookmarkStart w:id="197" w:name="_Toc30667817"/>
      <w:bookmarkStart w:id="198" w:name="_Toc30669195"/>
      <w:bookmarkStart w:id="199" w:name="_Toc30671411"/>
      <w:bookmarkStart w:id="200" w:name="_Toc30673938"/>
      <w:bookmarkStart w:id="201" w:name="_Toc30691160"/>
      <w:bookmarkStart w:id="202" w:name="_Toc30691531"/>
      <w:bookmarkStart w:id="203" w:name="_Toc30691911"/>
      <w:bookmarkStart w:id="204" w:name="_Toc30692670"/>
      <w:bookmarkStart w:id="205" w:name="_Toc30693049"/>
      <w:bookmarkStart w:id="206" w:name="_Toc30693427"/>
      <w:bookmarkStart w:id="207" w:name="_Toc30693806"/>
      <w:bookmarkStart w:id="208" w:name="_Toc30694187"/>
      <w:bookmarkStart w:id="209" w:name="_Toc30698776"/>
      <w:bookmarkStart w:id="210" w:name="_Toc30699154"/>
      <w:bookmarkStart w:id="211" w:name="_Toc30699539"/>
      <w:bookmarkStart w:id="212" w:name="_Toc30700694"/>
      <w:bookmarkStart w:id="213" w:name="_Toc30701081"/>
      <w:bookmarkStart w:id="214" w:name="_Toc30743690"/>
      <w:bookmarkStart w:id="215" w:name="_Toc30754512"/>
      <w:bookmarkStart w:id="216" w:name="_Toc30756952"/>
      <w:bookmarkStart w:id="217" w:name="_Toc30757501"/>
      <w:bookmarkStart w:id="218" w:name="_Toc30757901"/>
      <w:bookmarkStart w:id="219" w:name="_Toc30762662"/>
      <w:bookmarkStart w:id="220" w:name="_Toc30767316"/>
      <w:bookmarkStart w:id="221" w:name="_Toc34823332"/>
      <w:bookmarkEnd w:id="168"/>
      <w:bookmarkEnd w:id="169"/>
      <w:bookmarkEnd w:id="170"/>
      <w:r>
        <w:rPr>
          <w:rFonts w:ascii="Arial" w:hAnsi="Arial" w:cs="Arial"/>
          <w:b/>
          <w:bCs/>
        </w:rPr>
        <w:t>3.3</w:t>
      </w:r>
      <w:r>
        <w:rPr>
          <w:rFonts w:ascii="Arial" w:hAnsi="Arial" w:cs="Arial"/>
          <w:b/>
          <w:bCs/>
        </w:rPr>
        <w:tab/>
      </w:r>
      <w:r w:rsidR="00192DC4">
        <w:rPr>
          <w:rFonts w:ascii="Arial" w:hAnsi="Arial" w:cs="Arial"/>
          <w:b/>
          <w:bCs/>
        </w:rPr>
        <w:t xml:space="preserve">Children’s Court </w:t>
      </w:r>
      <w:r>
        <w:rPr>
          <w:rFonts w:ascii="Arial" w:hAnsi="Arial" w:cs="Arial"/>
          <w:b/>
          <w:bCs/>
        </w:rPr>
        <w:t>Judicial Powers</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37C0410" w14:textId="77777777" w:rsidR="00B21DA4" w:rsidRPr="00326300" w:rsidRDefault="00B21DA4" w:rsidP="00AE2500">
      <w:pPr>
        <w:rPr>
          <w:rFonts w:ascii="Arial" w:hAnsi="Arial" w:cs="Arial"/>
          <w:sz w:val="20"/>
        </w:rPr>
      </w:pPr>
    </w:p>
    <w:p w14:paraId="67B4A916" w14:textId="77777777" w:rsidR="00B21DA4" w:rsidRDefault="00312136" w:rsidP="00312136">
      <w:pPr>
        <w:jc w:val="both"/>
        <w:rPr>
          <w:rFonts w:ascii="Arial" w:hAnsi="Arial" w:cs="Arial"/>
          <w:sz w:val="20"/>
        </w:rPr>
      </w:pPr>
      <w:r>
        <w:rPr>
          <w:rFonts w:ascii="Arial" w:hAnsi="Arial" w:cs="Arial"/>
          <w:sz w:val="20"/>
        </w:rPr>
        <w:t xml:space="preserve">The judicial powers of </w:t>
      </w:r>
      <w:r w:rsidR="00E31386">
        <w:rPr>
          <w:rFonts w:ascii="Arial" w:hAnsi="Arial" w:cs="Arial"/>
          <w:sz w:val="20"/>
        </w:rPr>
        <w:t xml:space="preserve">Children's Court </w:t>
      </w:r>
      <w:r>
        <w:rPr>
          <w:rFonts w:ascii="Arial" w:hAnsi="Arial" w:cs="Arial"/>
          <w:sz w:val="20"/>
        </w:rPr>
        <w:t>j</w:t>
      </w:r>
      <w:r w:rsidR="00B21DA4">
        <w:rPr>
          <w:rFonts w:ascii="Arial" w:hAnsi="Arial" w:cs="Arial"/>
          <w:sz w:val="20"/>
        </w:rPr>
        <w:t>ud</w:t>
      </w:r>
      <w:r w:rsidR="00E31386">
        <w:rPr>
          <w:rFonts w:ascii="Arial" w:hAnsi="Arial" w:cs="Arial"/>
          <w:sz w:val="20"/>
        </w:rPr>
        <w:t xml:space="preserve">icial officers </w:t>
      </w:r>
      <w:r>
        <w:rPr>
          <w:rFonts w:ascii="Arial" w:hAnsi="Arial" w:cs="Arial"/>
          <w:sz w:val="20"/>
        </w:rPr>
        <w:t xml:space="preserve">are conveniently summarized in the following </w:t>
      </w:r>
      <w:r w:rsidR="009D494C">
        <w:rPr>
          <w:rFonts w:ascii="Arial" w:hAnsi="Arial" w:cs="Arial"/>
          <w:sz w:val="20"/>
        </w:rPr>
        <w:t>four</w:t>
      </w:r>
      <w:r>
        <w:rPr>
          <w:rFonts w:ascii="Arial" w:hAnsi="Arial" w:cs="Arial"/>
          <w:sz w:val="20"/>
        </w:rPr>
        <w:t xml:space="preserve"> categories</w:t>
      </w:r>
      <w:bookmarkStart w:id="222" w:name="_3.3.1_Powers_conferred"/>
      <w:bookmarkStart w:id="223" w:name="B331"/>
      <w:bookmarkEnd w:id="222"/>
      <w:bookmarkEnd w:id="223"/>
      <w:r>
        <w:rPr>
          <w:rFonts w:ascii="Arial" w:hAnsi="Arial" w:cs="Arial"/>
          <w:sz w:val="20"/>
        </w:rPr>
        <w:t>.</w:t>
      </w:r>
    </w:p>
    <w:p w14:paraId="18C79194" w14:textId="77777777" w:rsidR="00AE2500" w:rsidRDefault="00AE2500" w:rsidP="00AE2500">
      <w:pPr>
        <w:rPr>
          <w:rFonts w:ascii="Arial" w:hAnsi="Arial" w:cs="Arial"/>
          <w:sz w:val="20"/>
        </w:rPr>
      </w:pPr>
    </w:p>
    <w:p w14:paraId="3B289369" w14:textId="61E4497D" w:rsidR="00312136" w:rsidRPr="00312136" w:rsidRDefault="00312136" w:rsidP="00312136">
      <w:pPr>
        <w:pStyle w:val="Heading3"/>
        <w:keepNext/>
        <w:keepLines/>
        <w:spacing w:after="120" w:line="240" w:lineRule="auto"/>
        <w:rPr>
          <w:rFonts w:ascii="Arial" w:hAnsi="Arial" w:cs="Arial"/>
          <w:b/>
          <w:bCs/>
          <w:sz w:val="20"/>
        </w:rPr>
      </w:pPr>
      <w:r>
        <w:rPr>
          <w:rFonts w:ascii="Arial" w:hAnsi="Arial" w:cs="Arial"/>
          <w:b/>
          <w:bCs/>
          <w:sz w:val="20"/>
        </w:rPr>
        <w:t>3.3.1</w:t>
      </w:r>
      <w:r>
        <w:rPr>
          <w:rFonts w:ascii="Arial" w:hAnsi="Arial" w:cs="Arial"/>
          <w:b/>
          <w:bCs/>
          <w:sz w:val="20"/>
        </w:rPr>
        <w:tab/>
      </w:r>
      <w:r w:rsidR="00AB5230">
        <w:rPr>
          <w:rFonts w:ascii="Arial" w:hAnsi="Arial" w:cs="Arial"/>
          <w:b/>
          <w:bCs/>
          <w:sz w:val="20"/>
        </w:rPr>
        <w:t>Contempt p</w:t>
      </w:r>
      <w:r>
        <w:rPr>
          <w:rFonts w:ascii="Arial" w:hAnsi="Arial" w:cs="Arial"/>
          <w:b/>
          <w:bCs/>
          <w:sz w:val="20"/>
        </w:rPr>
        <w:t xml:space="preserve">owers </w:t>
      </w:r>
      <w:r w:rsidR="006200EC">
        <w:rPr>
          <w:rFonts w:ascii="Arial" w:hAnsi="Arial" w:cs="Arial"/>
          <w:b/>
          <w:bCs/>
          <w:sz w:val="20"/>
        </w:rPr>
        <w:t xml:space="preserve">including those </w:t>
      </w:r>
      <w:r w:rsidR="00E31386">
        <w:rPr>
          <w:rFonts w:ascii="Arial" w:hAnsi="Arial" w:cs="Arial"/>
          <w:b/>
          <w:bCs/>
          <w:sz w:val="20"/>
        </w:rPr>
        <w:t>conferr</w:t>
      </w:r>
      <w:r>
        <w:rPr>
          <w:rFonts w:ascii="Arial" w:hAnsi="Arial" w:cs="Arial"/>
          <w:b/>
          <w:bCs/>
          <w:sz w:val="20"/>
        </w:rPr>
        <w:t xml:space="preserve">ed by the </w:t>
      </w:r>
      <w:r w:rsidRPr="00004C01">
        <w:rPr>
          <w:rFonts w:ascii="Arial" w:hAnsi="Arial" w:cs="Arial"/>
          <w:b/>
          <w:bCs/>
          <w:i/>
          <w:iCs/>
          <w:sz w:val="20"/>
        </w:rPr>
        <w:t>Magistrates’ Court Act 1989</w:t>
      </w:r>
    </w:p>
    <w:p w14:paraId="1EAC0946" w14:textId="3ECB8ACC" w:rsidR="00312136" w:rsidRDefault="00312136" w:rsidP="00312136">
      <w:pPr>
        <w:jc w:val="both"/>
        <w:rPr>
          <w:rFonts w:ascii="Arial" w:hAnsi="Arial" w:cs="Arial"/>
          <w:sz w:val="20"/>
        </w:rPr>
      </w:pPr>
      <w:r>
        <w:rPr>
          <w:rFonts w:ascii="Arial" w:hAnsi="Arial" w:cs="Arial"/>
          <w:sz w:val="20"/>
        </w:rPr>
        <w:t xml:space="preserve">Section 528(1) of the </w:t>
      </w:r>
      <w:r w:rsidR="000E5532" w:rsidRPr="000E5532">
        <w:rPr>
          <w:rFonts w:ascii="Arial" w:hAnsi="Arial" w:cs="Arial"/>
          <w:i/>
          <w:iCs/>
          <w:sz w:val="20"/>
        </w:rPr>
        <w:t>Children, Youth and Families Act 2005</w:t>
      </w:r>
      <w:r w:rsidR="000E5532">
        <w:rPr>
          <w:rFonts w:ascii="Arial" w:hAnsi="Arial" w:cs="Arial"/>
          <w:sz w:val="20"/>
        </w:rPr>
        <w:t xml:space="preserve"> [‘</w:t>
      </w:r>
      <w:r>
        <w:rPr>
          <w:rFonts w:ascii="Arial" w:hAnsi="Arial" w:cs="Arial"/>
          <w:sz w:val="20"/>
        </w:rPr>
        <w:t>CYFA</w:t>
      </w:r>
      <w:r w:rsidR="000E5532">
        <w:rPr>
          <w:rFonts w:ascii="Arial" w:hAnsi="Arial" w:cs="Arial"/>
          <w:sz w:val="20"/>
        </w:rPr>
        <w:t>’]</w:t>
      </w:r>
      <w:r>
        <w:rPr>
          <w:rFonts w:ascii="Arial" w:hAnsi="Arial" w:cs="Arial"/>
          <w:sz w:val="20"/>
        </w:rPr>
        <w:t xml:space="preserve"> provides that the Children’s Court has and may exercise in relation to all matters over which it has jurisdiction all the powers and authorities that the Magistrates’ Court has in relation to matters over which it has jurisdiction.  Note also that under s.528(2) of the CYFA, the </w:t>
      </w:r>
      <w:r w:rsidRPr="00174CDB">
        <w:rPr>
          <w:rFonts w:ascii="Arial" w:hAnsi="Arial" w:cs="Arial"/>
          <w:i/>
          <w:iCs/>
          <w:sz w:val="20"/>
        </w:rPr>
        <w:t>Magistrates' Court Act 1989</w:t>
      </w:r>
      <w:r>
        <w:rPr>
          <w:rFonts w:ascii="Arial" w:hAnsi="Arial" w:cs="Arial"/>
          <w:sz w:val="20"/>
        </w:rPr>
        <w:t xml:space="preserve"> (except s.58 &amp; Part 5 </w:t>
      </w:r>
      <w:r w:rsidR="00B43A11">
        <w:rPr>
          <w:rFonts w:ascii="Arial" w:hAnsi="Arial" w:cs="Arial"/>
          <w:sz w:val="20"/>
        </w:rPr>
        <w:t>–</w:t>
      </w:r>
      <w:r>
        <w:rPr>
          <w:rFonts w:ascii="Arial" w:hAnsi="Arial" w:cs="Arial"/>
          <w:sz w:val="20"/>
        </w:rPr>
        <w:t xml:space="preserve"> Civil</w:t>
      </w:r>
      <w:r w:rsidR="00B43A11">
        <w:rPr>
          <w:rFonts w:ascii="Arial" w:hAnsi="Arial" w:cs="Arial"/>
          <w:sz w:val="20"/>
        </w:rPr>
        <w:t xml:space="preserve"> </w:t>
      </w:r>
      <w:r>
        <w:rPr>
          <w:rFonts w:ascii="Arial" w:hAnsi="Arial" w:cs="Arial"/>
          <w:sz w:val="20"/>
        </w:rPr>
        <w:t>proceedings) and the regulations made under that Act apply with any necessary modifications, unless the contrary intention appears, to the Children's Court and proceedings of any Division of the Court.</w:t>
      </w:r>
    </w:p>
    <w:p w14:paraId="48EC8C02" w14:textId="77777777" w:rsidR="00312136" w:rsidRDefault="00312136" w:rsidP="00312136">
      <w:pPr>
        <w:rPr>
          <w:rFonts w:ascii="Arial" w:hAnsi="Arial" w:cs="Arial"/>
          <w:sz w:val="20"/>
        </w:rPr>
      </w:pPr>
    </w:p>
    <w:p w14:paraId="0A8199F3" w14:textId="30BABB04" w:rsidR="00AB5230" w:rsidRDefault="00081C0C" w:rsidP="008A004D">
      <w:pPr>
        <w:jc w:val="both"/>
        <w:rPr>
          <w:rFonts w:ascii="Arial" w:hAnsi="Arial" w:cs="Arial"/>
          <w:sz w:val="20"/>
        </w:rPr>
      </w:pPr>
      <w:r>
        <w:rPr>
          <w:rFonts w:ascii="Arial" w:hAnsi="Arial" w:cs="Arial"/>
          <w:sz w:val="20"/>
        </w:rPr>
        <w:t xml:space="preserve">Included in these powers are powers to deal with </w:t>
      </w:r>
      <w:r w:rsidR="00FE09C0">
        <w:rPr>
          <w:rFonts w:ascii="Arial" w:hAnsi="Arial" w:cs="Arial"/>
          <w:sz w:val="20"/>
        </w:rPr>
        <w:t>c</w:t>
      </w:r>
      <w:r>
        <w:rPr>
          <w:rFonts w:ascii="Arial" w:hAnsi="Arial" w:cs="Arial"/>
          <w:sz w:val="20"/>
        </w:rPr>
        <w:t xml:space="preserve">ontempt in face of the Court [s.133] and </w:t>
      </w:r>
      <w:r w:rsidR="00FE09C0">
        <w:rPr>
          <w:rFonts w:ascii="Arial" w:hAnsi="Arial" w:cs="Arial"/>
          <w:sz w:val="20"/>
        </w:rPr>
        <w:t>c</w:t>
      </w:r>
      <w:r>
        <w:rPr>
          <w:rFonts w:ascii="Arial" w:hAnsi="Arial" w:cs="Arial"/>
          <w:sz w:val="20"/>
        </w:rPr>
        <w:t xml:space="preserve">ontempt of Court [s.134].  For some examples of the latter see </w:t>
      </w:r>
      <w:r w:rsidRPr="00081C0C">
        <w:rPr>
          <w:rFonts w:ascii="Arial" w:hAnsi="Arial" w:cs="Arial"/>
          <w:i/>
          <w:sz w:val="20"/>
        </w:rPr>
        <w:t>R v Nationwide News Pty Ltd</w:t>
      </w:r>
      <w:r>
        <w:rPr>
          <w:rFonts w:ascii="Arial" w:hAnsi="Arial" w:cs="Arial"/>
          <w:sz w:val="20"/>
        </w:rPr>
        <w:t xml:space="preserve"> [2018] VSC 572 and the annexure thereto.</w:t>
      </w:r>
    </w:p>
    <w:p w14:paraId="5AC06AE3" w14:textId="77777777" w:rsidR="00AB5230" w:rsidRDefault="00AB5230" w:rsidP="008A004D">
      <w:pPr>
        <w:jc w:val="both"/>
        <w:rPr>
          <w:rFonts w:ascii="Arial" w:hAnsi="Arial" w:cs="Arial"/>
          <w:sz w:val="20"/>
        </w:rPr>
      </w:pPr>
    </w:p>
    <w:p w14:paraId="4A6E7DCD" w14:textId="3C8FC5B6" w:rsidR="00262AC3" w:rsidRDefault="0011478C" w:rsidP="008A004D">
      <w:pPr>
        <w:jc w:val="both"/>
        <w:rPr>
          <w:rFonts w:ascii="Arial" w:hAnsi="Arial" w:cs="Arial"/>
          <w:sz w:val="20"/>
        </w:rPr>
      </w:pPr>
      <w:r>
        <w:rPr>
          <w:rFonts w:ascii="Arial" w:hAnsi="Arial" w:cs="Arial"/>
          <w:sz w:val="20"/>
        </w:rPr>
        <w:t xml:space="preserve">In </w:t>
      </w:r>
      <w:r w:rsidRPr="00262AC3">
        <w:rPr>
          <w:rFonts w:ascii="Arial" w:hAnsi="Arial" w:cs="Arial"/>
          <w:i/>
          <w:iCs/>
          <w:sz w:val="20"/>
        </w:rPr>
        <w:t>Sea</w:t>
      </w:r>
      <w:r w:rsidR="00262AC3" w:rsidRPr="00262AC3">
        <w:rPr>
          <w:rFonts w:ascii="Arial" w:hAnsi="Arial" w:cs="Arial"/>
          <w:i/>
          <w:iCs/>
          <w:sz w:val="20"/>
        </w:rPr>
        <w:t>Road Shipping Pty Ltd v Pannell &amp; Ors</w:t>
      </w:r>
      <w:r w:rsidR="00262AC3" w:rsidRPr="00262AC3">
        <w:rPr>
          <w:rFonts w:ascii="Arial" w:hAnsi="Arial" w:cs="Arial"/>
          <w:sz w:val="20"/>
        </w:rPr>
        <w:t xml:space="preserve"> [2025] VSC 282</w:t>
      </w:r>
      <w:r w:rsidR="00262AC3">
        <w:rPr>
          <w:rFonts w:ascii="Arial" w:hAnsi="Arial" w:cs="Arial"/>
          <w:sz w:val="20"/>
        </w:rPr>
        <w:t xml:space="preserve"> Watson J found that the defendants were guilty of civil contempt founded on a failure to comply with freezing orders. At [20]-[2</w:t>
      </w:r>
      <w:r w:rsidR="00FF34FD">
        <w:rPr>
          <w:rFonts w:ascii="Arial" w:hAnsi="Arial" w:cs="Arial"/>
          <w:sz w:val="20"/>
        </w:rPr>
        <w:t>5</w:t>
      </w:r>
      <w:r w:rsidR="00262AC3">
        <w:rPr>
          <w:rFonts w:ascii="Arial" w:hAnsi="Arial" w:cs="Arial"/>
          <w:sz w:val="20"/>
        </w:rPr>
        <w:t>] h</w:t>
      </w:r>
      <w:r w:rsidR="00FF34FD">
        <w:rPr>
          <w:rFonts w:ascii="Arial" w:hAnsi="Arial" w:cs="Arial"/>
          <w:sz w:val="20"/>
        </w:rPr>
        <w:t>is</w:t>
      </w:r>
      <w:r w:rsidR="00262AC3">
        <w:rPr>
          <w:rFonts w:ascii="Arial" w:hAnsi="Arial" w:cs="Arial"/>
          <w:sz w:val="20"/>
        </w:rPr>
        <w:t xml:space="preserve"> Honour said:</w:t>
      </w:r>
    </w:p>
    <w:p w14:paraId="51D60120" w14:textId="30063CCA" w:rsidR="00262AC3" w:rsidRDefault="00262AC3" w:rsidP="00262AC3">
      <w:pPr>
        <w:spacing w:before="60"/>
        <w:ind w:left="454" w:right="454"/>
        <w:jc w:val="both"/>
        <w:rPr>
          <w:rFonts w:ascii="Arial" w:hAnsi="Arial" w:cs="Arial"/>
          <w:sz w:val="20"/>
        </w:rPr>
      </w:pPr>
      <w:r>
        <w:rPr>
          <w:rFonts w:ascii="Arial" w:hAnsi="Arial" w:cs="Arial"/>
          <w:sz w:val="20"/>
        </w:rPr>
        <w:t>[20] “</w:t>
      </w:r>
      <w:r w:rsidRPr="0011478C">
        <w:rPr>
          <w:rFonts w:ascii="Arial" w:hAnsi="Arial" w:cs="Arial"/>
          <w:sz w:val="20"/>
        </w:rPr>
        <w:t xml:space="preserve">The principles applicable to a finding for civil contempt are not in doubt and are conveniently set out in the judgment of John Dixon J in </w:t>
      </w:r>
      <w:r w:rsidRPr="00262AC3">
        <w:rPr>
          <w:rFonts w:ascii="Arial" w:hAnsi="Arial" w:cs="Arial"/>
          <w:i/>
          <w:iCs/>
          <w:sz w:val="20"/>
        </w:rPr>
        <w:t>Deputy Commissioner of Taxation v Gashi (No 2)</w:t>
      </w:r>
      <w:r w:rsidRPr="0011478C">
        <w:rPr>
          <w:rFonts w:ascii="Arial" w:hAnsi="Arial" w:cs="Arial"/>
          <w:sz w:val="20"/>
        </w:rPr>
        <w:t xml:space="preserve"> [2011] VSC 351 (</w:t>
      </w:r>
      <w:r w:rsidRPr="00527800">
        <w:rPr>
          <w:rFonts w:ascii="Arial" w:hAnsi="Arial" w:cs="Arial"/>
          <w:i/>
          <w:iCs/>
          <w:sz w:val="20"/>
        </w:rPr>
        <w:t>Gashi</w:t>
      </w:r>
      <w:r w:rsidRPr="0011478C">
        <w:rPr>
          <w:rFonts w:ascii="Arial" w:hAnsi="Arial" w:cs="Arial"/>
          <w:sz w:val="20"/>
        </w:rPr>
        <w:t>).</w:t>
      </w:r>
    </w:p>
    <w:p w14:paraId="70CD5AEF" w14:textId="1DB785B2" w:rsidR="00262AC3" w:rsidRDefault="00262AC3" w:rsidP="00262AC3">
      <w:pPr>
        <w:spacing w:before="60"/>
        <w:ind w:left="454" w:right="454"/>
        <w:jc w:val="both"/>
        <w:rPr>
          <w:rFonts w:ascii="Arial" w:hAnsi="Arial" w:cs="Arial"/>
          <w:sz w:val="20"/>
        </w:rPr>
      </w:pPr>
      <w:r>
        <w:rPr>
          <w:rFonts w:ascii="Arial" w:hAnsi="Arial" w:cs="Arial"/>
          <w:sz w:val="20"/>
        </w:rPr>
        <w:t xml:space="preserve">[21] </w:t>
      </w:r>
      <w:r w:rsidRPr="0011478C">
        <w:rPr>
          <w:rFonts w:ascii="Arial" w:hAnsi="Arial" w:cs="Arial"/>
          <w:sz w:val="20"/>
        </w:rPr>
        <w:t xml:space="preserve">Firstly, at paragraph [17] of </w:t>
      </w:r>
      <w:r w:rsidRPr="00527800">
        <w:rPr>
          <w:rFonts w:ascii="Arial" w:hAnsi="Arial" w:cs="Arial"/>
          <w:i/>
          <w:iCs/>
          <w:sz w:val="20"/>
        </w:rPr>
        <w:t>Gashi</w:t>
      </w:r>
      <w:r w:rsidRPr="0011478C">
        <w:rPr>
          <w:rFonts w:ascii="Arial" w:hAnsi="Arial" w:cs="Arial"/>
          <w:sz w:val="20"/>
        </w:rPr>
        <w:t xml:space="preserve"> his Honour averts to the proposition that contempt must be proved, whether it is a civil or criminal contempt, beyond reasonable doubt.</w:t>
      </w:r>
    </w:p>
    <w:p w14:paraId="71954014" w14:textId="341881E7" w:rsidR="00262AC3" w:rsidRDefault="00262AC3" w:rsidP="00262AC3">
      <w:pPr>
        <w:spacing w:before="60"/>
        <w:ind w:left="454" w:right="454"/>
        <w:jc w:val="both"/>
        <w:rPr>
          <w:rFonts w:ascii="Arial" w:hAnsi="Arial" w:cs="Arial"/>
          <w:sz w:val="20"/>
        </w:rPr>
      </w:pPr>
      <w:r>
        <w:rPr>
          <w:rFonts w:ascii="Arial" w:hAnsi="Arial" w:cs="Arial"/>
          <w:sz w:val="20"/>
        </w:rPr>
        <w:t xml:space="preserve">[22] </w:t>
      </w:r>
      <w:r w:rsidRPr="0011478C">
        <w:rPr>
          <w:rFonts w:ascii="Arial" w:hAnsi="Arial" w:cs="Arial"/>
          <w:sz w:val="20"/>
        </w:rPr>
        <w:t>Secondly, at paragraph [18] his Honour sets out the elements which must be proved in a case such as this. They are as follows:</w:t>
      </w:r>
    </w:p>
    <w:p w14:paraId="436FD4F4" w14:textId="7772CDB7" w:rsidR="00262AC3" w:rsidRDefault="00262AC3" w:rsidP="00262AC3">
      <w:pPr>
        <w:ind w:left="851" w:right="851"/>
        <w:jc w:val="both"/>
        <w:rPr>
          <w:rFonts w:ascii="Arial" w:hAnsi="Arial" w:cs="Arial"/>
          <w:sz w:val="20"/>
        </w:rPr>
      </w:pPr>
      <w:r>
        <w:rPr>
          <w:rFonts w:ascii="Arial" w:hAnsi="Arial" w:cs="Arial"/>
          <w:sz w:val="20"/>
        </w:rPr>
        <w:t>(a) an order was made by the Court;</w:t>
      </w:r>
    </w:p>
    <w:p w14:paraId="76997979" w14:textId="1153BFA7" w:rsidR="00262AC3" w:rsidRDefault="00262AC3" w:rsidP="00262AC3">
      <w:pPr>
        <w:ind w:left="851" w:right="851"/>
        <w:jc w:val="both"/>
        <w:rPr>
          <w:rFonts w:ascii="Arial" w:hAnsi="Arial" w:cs="Arial"/>
          <w:sz w:val="20"/>
        </w:rPr>
      </w:pPr>
      <w:r>
        <w:rPr>
          <w:rFonts w:ascii="Arial" w:hAnsi="Arial" w:cs="Arial"/>
          <w:sz w:val="20"/>
        </w:rPr>
        <w:t xml:space="preserve">(b) the terms of the order </w:t>
      </w:r>
      <w:r w:rsidRPr="0011478C">
        <w:rPr>
          <w:rFonts w:ascii="Arial" w:hAnsi="Arial" w:cs="Arial"/>
          <w:sz w:val="20"/>
        </w:rPr>
        <w:t>are clear, unambiguous and capable of compliance;</w:t>
      </w:r>
    </w:p>
    <w:p w14:paraId="4DBDDEDD" w14:textId="0862A286" w:rsidR="00262AC3" w:rsidRDefault="00262AC3" w:rsidP="00262AC3">
      <w:pPr>
        <w:ind w:left="851" w:right="851"/>
        <w:jc w:val="both"/>
        <w:rPr>
          <w:rFonts w:ascii="Arial" w:hAnsi="Arial" w:cs="Arial"/>
          <w:sz w:val="20"/>
        </w:rPr>
      </w:pPr>
      <w:r>
        <w:rPr>
          <w:rFonts w:ascii="Arial" w:hAnsi="Arial" w:cs="Arial"/>
          <w:sz w:val="20"/>
        </w:rPr>
        <w:t xml:space="preserve">(c) </w:t>
      </w:r>
      <w:r w:rsidRPr="0011478C">
        <w:rPr>
          <w:rFonts w:ascii="Arial" w:hAnsi="Arial" w:cs="Arial"/>
          <w:sz w:val="20"/>
        </w:rPr>
        <w:t>the order was served on the defendant or excused in the circumstances or service was dispensed with pursuant to the rules of Court</w:t>
      </w:r>
      <w:r>
        <w:rPr>
          <w:rFonts w:ascii="Arial" w:hAnsi="Arial" w:cs="Arial"/>
          <w:sz w:val="20"/>
        </w:rPr>
        <w:t>;</w:t>
      </w:r>
    </w:p>
    <w:p w14:paraId="193532E4" w14:textId="1C64996F" w:rsidR="00262AC3" w:rsidRDefault="00262AC3" w:rsidP="00262AC3">
      <w:pPr>
        <w:ind w:left="851" w:right="851"/>
        <w:jc w:val="both"/>
        <w:rPr>
          <w:rFonts w:ascii="Arial" w:hAnsi="Arial" w:cs="Arial"/>
          <w:sz w:val="20"/>
        </w:rPr>
      </w:pPr>
      <w:r>
        <w:rPr>
          <w:rFonts w:ascii="Arial" w:hAnsi="Arial" w:cs="Arial"/>
          <w:sz w:val="20"/>
        </w:rPr>
        <w:t>(d) the defendant had knowledge of the terms of the order; and</w:t>
      </w:r>
    </w:p>
    <w:p w14:paraId="05AA946D" w14:textId="378DDB4C" w:rsidR="00262AC3" w:rsidRPr="00262AC3" w:rsidRDefault="00262AC3" w:rsidP="00262AC3">
      <w:pPr>
        <w:ind w:left="851" w:right="851"/>
        <w:jc w:val="both"/>
        <w:rPr>
          <w:rFonts w:ascii="Arial" w:hAnsi="Arial" w:cs="Arial"/>
          <w:sz w:val="20"/>
        </w:rPr>
      </w:pPr>
      <w:r>
        <w:rPr>
          <w:rFonts w:ascii="Arial" w:hAnsi="Arial" w:cs="Arial"/>
          <w:sz w:val="20"/>
        </w:rPr>
        <w:t xml:space="preserve">(e) </w:t>
      </w:r>
      <w:r w:rsidR="00527800">
        <w:rPr>
          <w:rFonts w:ascii="Arial" w:hAnsi="Arial" w:cs="Arial"/>
          <w:sz w:val="20"/>
        </w:rPr>
        <w:t>the defendant breached the terms of the order.</w:t>
      </w:r>
    </w:p>
    <w:p w14:paraId="6F82BA34" w14:textId="3606EDA1" w:rsidR="00527800" w:rsidRDefault="00527800" w:rsidP="00527800">
      <w:pPr>
        <w:spacing w:before="60"/>
        <w:ind w:left="454" w:right="454"/>
        <w:jc w:val="both"/>
        <w:rPr>
          <w:rFonts w:ascii="Arial" w:hAnsi="Arial" w:cs="Arial"/>
          <w:sz w:val="20"/>
        </w:rPr>
      </w:pPr>
      <w:r>
        <w:rPr>
          <w:rFonts w:ascii="Arial" w:hAnsi="Arial" w:cs="Arial"/>
          <w:sz w:val="20"/>
        </w:rPr>
        <w:lastRenderedPageBreak/>
        <w:t xml:space="preserve">[23] At paragraphs [22] and [23] of Gashi, his Honour </w:t>
      </w:r>
      <w:r w:rsidRPr="0011478C">
        <w:rPr>
          <w:rFonts w:ascii="Arial" w:hAnsi="Arial" w:cs="Arial"/>
          <w:sz w:val="20"/>
        </w:rPr>
        <w:t>provides a useful discussion of the content of the phrase, 'wilfulness', in the context of a wilful breach of an order:</w:t>
      </w:r>
      <w:r>
        <w:rPr>
          <w:rFonts w:ascii="Arial" w:hAnsi="Arial" w:cs="Arial"/>
          <w:sz w:val="20"/>
        </w:rPr>
        <w:t xml:space="preserve"> ...</w:t>
      </w:r>
    </w:p>
    <w:p w14:paraId="4EB45EB5" w14:textId="57ECAB65" w:rsidR="00527800" w:rsidRDefault="00527800" w:rsidP="00527800">
      <w:pPr>
        <w:spacing w:before="60"/>
        <w:ind w:left="454" w:right="454"/>
        <w:jc w:val="both"/>
        <w:rPr>
          <w:rFonts w:ascii="Arial" w:hAnsi="Arial" w:cs="Arial"/>
          <w:sz w:val="20"/>
        </w:rPr>
      </w:pPr>
      <w:r>
        <w:rPr>
          <w:rFonts w:ascii="Arial" w:hAnsi="Arial" w:cs="Arial"/>
          <w:sz w:val="20"/>
        </w:rPr>
        <w:t>[24] In this case, matters are relatively straightforward. I am satisfied that it is established beyond reasonable doubt that:</w:t>
      </w:r>
      <w:bookmarkStart w:id="224" w:name="_Hlk199236624"/>
    </w:p>
    <w:bookmarkEnd w:id="224"/>
    <w:p w14:paraId="25B11745" w14:textId="69F796C2" w:rsidR="00527800" w:rsidRDefault="00527800" w:rsidP="00527800">
      <w:pPr>
        <w:ind w:left="851" w:right="851"/>
        <w:jc w:val="both"/>
        <w:rPr>
          <w:rFonts w:ascii="Arial" w:hAnsi="Arial" w:cs="Arial"/>
          <w:sz w:val="20"/>
        </w:rPr>
      </w:pPr>
      <w:r>
        <w:rPr>
          <w:rFonts w:ascii="Arial" w:hAnsi="Arial" w:cs="Arial"/>
          <w:sz w:val="20"/>
        </w:rPr>
        <w:t>(a) The 19 December 2024 order was made by the Court;</w:t>
      </w:r>
    </w:p>
    <w:p w14:paraId="796E1286" w14:textId="76497600" w:rsidR="00527800" w:rsidRDefault="00527800" w:rsidP="00527800">
      <w:pPr>
        <w:ind w:left="851" w:right="851"/>
        <w:jc w:val="both"/>
        <w:rPr>
          <w:rFonts w:ascii="Arial" w:hAnsi="Arial" w:cs="Arial"/>
          <w:sz w:val="20"/>
        </w:rPr>
      </w:pPr>
      <w:r>
        <w:rPr>
          <w:rFonts w:ascii="Arial" w:hAnsi="Arial" w:cs="Arial"/>
          <w:sz w:val="20"/>
        </w:rPr>
        <w:t>(b) The terms of paragraph 8 of that order are clear, unambiguous and capable of compliance;</w:t>
      </w:r>
    </w:p>
    <w:p w14:paraId="0345BAE2" w14:textId="0FAE938A" w:rsidR="00527800" w:rsidRDefault="00527800" w:rsidP="00527800">
      <w:pPr>
        <w:ind w:left="851" w:right="851"/>
        <w:jc w:val="both"/>
        <w:rPr>
          <w:rFonts w:ascii="Arial" w:hAnsi="Arial" w:cs="Arial"/>
          <w:sz w:val="20"/>
        </w:rPr>
      </w:pPr>
      <w:r>
        <w:rPr>
          <w:rFonts w:ascii="Arial" w:hAnsi="Arial" w:cs="Arial"/>
          <w:sz w:val="20"/>
        </w:rPr>
        <w:t>(c) In accordance with paragraph 1(c) of the 19 December 2024 Order, the...Order was served upon Mr Pannell and ICSA...</w:t>
      </w:r>
    </w:p>
    <w:p w14:paraId="4BA46A70" w14:textId="01E16ED2" w:rsidR="00527800" w:rsidRDefault="00527800" w:rsidP="00527800">
      <w:pPr>
        <w:ind w:left="851" w:right="851"/>
        <w:jc w:val="both"/>
        <w:rPr>
          <w:rFonts w:ascii="Arial" w:hAnsi="Arial" w:cs="Arial"/>
          <w:sz w:val="20"/>
        </w:rPr>
      </w:pPr>
      <w:r>
        <w:rPr>
          <w:rFonts w:ascii="Arial" w:hAnsi="Arial" w:cs="Arial"/>
          <w:sz w:val="20"/>
        </w:rPr>
        <w:t>(d) It is plain that each of Mr Pannell and ICSA had knowledge of the terms of the order: ...</w:t>
      </w:r>
    </w:p>
    <w:p w14:paraId="01829CC1" w14:textId="5375B706" w:rsidR="00527800" w:rsidRDefault="00527800" w:rsidP="00527800">
      <w:pPr>
        <w:ind w:left="851" w:right="851"/>
        <w:jc w:val="both"/>
        <w:rPr>
          <w:rFonts w:ascii="Arial" w:hAnsi="Arial" w:cs="Arial"/>
          <w:sz w:val="20"/>
        </w:rPr>
      </w:pPr>
      <w:r>
        <w:rPr>
          <w:rFonts w:ascii="Arial" w:hAnsi="Arial" w:cs="Arial"/>
          <w:sz w:val="20"/>
        </w:rPr>
        <w:t>(e) Each of Mr Pannell and ICSA has breached the 19 December 2024 Order...</w:t>
      </w:r>
    </w:p>
    <w:p w14:paraId="759BB4EB" w14:textId="7EF6BC57" w:rsidR="00527800" w:rsidRDefault="00527800" w:rsidP="00527800">
      <w:pPr>
        <w:spacing w:before="60"/>
        <w:ind w:left="454" w:right="454"/>
        <w:jc w:val="both"/>
        <w:rPr>
          <w:rFonts w:ascii="Arial" w:hAnsi="Arial" w:cs="Arial"/>
          <w:sz w:val="20"/>
        </w:rPr>
      </w:pPr>
      <w:r>
        <w:rPr>
          <w:rFonts w:ascii="Arial" w:hAnsi="Arial" w:cs="Arial"/>
          <w:sz w:val="20"/>
        </w:rPr>
        <w:t>[25] I am satisfied that their conduct is deliberate and intentional in nature, that it is not casual, accidental nor unintentional. As a result, I am satisfied that their breach of the order is wilful.”</w:t>
      </w:r>
    </w:p>
    <w:p w14:paraId="3BFDECB7" w14:textId="77777777" w:rsidR="0011478C" w:rsidRDefault="0011478C" w:rsidP="008A004D">
      <w:pPr>
        <w:jc w:val="both"/>
        <w:rPr>
          <w:rFonts w:ascii="Arial" w:hAnsi="Arial" w:cs="Arial"/>
          <w:sz w:val="20"/>
        </w:rPr>
      </w:pPr>
    </w:p>
    <w:p w14:paraId="343EBE68" w14:textId="2F36D29A" w:rsidR="006200EC" w:rsidRDefault="00FE09C0" w:rsidP="00BA2357">
      <w:pPr>
        <w:ind w:left="11"/>
        <w:jc w:val="both"/>
        <w:rPr>
          <w:rFonts w:ascii="Arial" w:hAnsi="Arial" w:cs="Arial"/>
          <w:sz w:val="20"/>
        </w:rPr>
      </w:pPr>
      <w:r w:rsidRPr="008C6C91">
        <w:rPr>
          <w:rFonts w:ascii="Arial" w:hAnsi="Arial" w:cs="Arial"/>
          <w:sz w:val="20"/>
          <w:szCs w:val="20"/>
        </w:rPr>
        <w:t xml:space="preserve">For further discussion of contempt powers </w:t>
      </w:r>
      <w:r w:rsidR="00AB5230" w:rsidRPr="008C6C91">
        <w:rPr>
          <w:rFonts w:ascii="Arial" w:hAnsi="Arial" w:cs="Arial"/>
          <w:sz w:val="20"/>
          <w:szCs w:val="20"/>
        </w:rPr>
        <w:t xml:space="preserve">generally, </w:t>
      </w:r>
      <w:r w:rsidRPr="008C6C91">
        <w:rPr>
          <w:rFonts w:ascii="Arial" w:hAnsi="Arial" w:cs="Arial"/>
          <w:sz w:val="20"/>
          <w:szCs w:val="20"/>
        </w:rPr>
        <w:t>s</w:t>
      </w:r>
      <w:r w:rsidR="00081C0C" w:rsidRPr="008C6C91">
        <w:rPr>
          <w:rFonts w:ascii="Arial" w:hAnsi="Arial" w:cs="Arial"/>
          <w:sz w:val="20"/>
          <w:szCs w:val="20"/>
        </w:rPr>
        <w:t xml:space="preserve">ee </w:t>
      </w:r>
      <w:r w:rsidR="00081C0C" w:rsidRPr="008C6C91">
        <w:rPr>
          <w:rFonts w:ascii="Arial" w:hAnsi="Arial" w:cs="Arial"/>
          <w:i/>
          <w:sz w:val="20"/>
          <w:szCs w:val="20"/>
        </w:rPr>
        <w:t>Moira Shire Council v Sidebottom Group Pty Ltd (No.3)</w:t>
      </w:r>
      <w:r w:rsidR="00081C0C" w:rsidRPr="008C6C91">
        <w:rPr>
          <w:rFonts w:ascii="Arial" w:hAnsi="Arial" w:cs="Arial"/>
          <w:sz w:val="20"/>
          <w:szCs w:val="20"/>
        </w:rPr>
        <w:t xml:space="preserve"> [2018] VSC 556</w:t>
      </w:r>
      <w:r w:rsidRPr="008C6C91">
        <w:rPr>
          <w:rFonts w:ascii="Arial" w:hAnsi="Arial" w:cs="Arial"/>
          <w:sz w:val="20"/>
          <w:szCs w:val="20"/>
        </w:rPr>
        <w:t xml:space="preserve">; </w:t>
      </w:r>
      <w:r w:rsidRPr="008C6C91">
        <w:rPr>
          <w:rFonts w:ascii="Arial" w:hAnsi="Arial" w:cs="Arial"/>
          <w:i/>
          <w:iCs/>
          <w:color w:val="000000"/>
          <w:sz w:val="20"/>
          <w:szCs w:val="20"/>
          <w:shd w:val="clear" w:color="auto" w:fill="FFFFFF"/>
        </w:rPr>
        <w:t>Re Albert (a barrister) and McLean (a solicitor)</w:t>
      </w:r>
      <w:r w:rsidRPr="008C6C91">
        <w:rPr>
          <w:rFonts w:ascii="Arial" w:hAnsi="Arial" w:cs="Arial"/>
          <w:sz w:val="20"/>
          <w:szCs w:val="20"/>
        </w:rPr>
        <w:t xml:space="preserve"> [2021] VSC 297</w:t>
      </w:r>
      <w:r w:rsidR="00AB5230" w:rsidRPr="008C6C91">
        <w:rPr>
          <w:rFonts w:ascii="Arial" w:hAnsi="Arial" w:cs="Arial"/>
          <w:sz w:val="20"/>
          <w:szCs w:val="20"/>
        </w:rPr>
        <w:t xml:space="preserve">; </w:t>
      </w:r>
      <w:r w:rsidR="00AB5230" w:rsidRPr="008C6C91">
        <w:rPr>
          <w:rFonts w:ascii="Arial" w:hAnsi="Arial" w:cs="Arial"/>
          <w:i/>
          <w:iCs/>
          <w:sz w:val="20"/>
          <w:szCs w:val="20"/>
        </w:rPr>
        <w:t>R v The Herald &amp; Weekly Times Pty Ltd</w:t>
      </w:r>
      <w:r w:rsidR="00AB5230" w:rsidRPr="008C6C91">
        <w:rPr>
          <w:rFonts w:ascii="Arial" w:hAnsi="Arial" w:cs="Arial"/>
          <w:sz w:val="20"/>
          <w:szCs w:val="20"/>
        </w:rPr>
        <w:t xml:space="preserve"> [2021] VSC 2</w:t>
      </w:r>
      <w:r w:rsidR="007A2B68" w:rsidRPr="008C6C91">
        <w:rPr>
          <w:rFonts w:ascii="Arial" w:hAnsi="Arial" w:cs="Arial"/>
          <w:sz w:val="20"/>
          <w:szCs w:val="20"/>
        </w:rPr>
        <w:t>5</w:t>
      </w:r>
      <w:r w:rsidR="00AB5230" w:rsidRPr="008C6C91">
        <w:rPr>
          <w:rFonts w:ascii="Arial" w:hAnsi="Arial" w:cs="Arial"/>
          <w:sz w:val="20"/>
          <w:szCs w:val="20"/>
        </w:rPr>
        <w:t xml:space="preserve">3; </w:t>
      </w:r>
      <w:r w:rsidR="00F159F4" w:rsidRPr="008C6C91">
        <w:rPr>
          <w:rFonts w:ascii="Arial" w:hAnsi="Arial" w:cs="Arial"/>
          <w:i/>
          <w:iCs/>
          <w:sz w:val="20"/>
          <w:szCs w:val="20"/>
        </w:rPr>
        <w:t>Khoury v Kirwan (No 4)</w:t>
      </w:r>
      <w:r w:rsidR="00F159F4" w:rsidRPr="008C6C91">
        <w:rPr>
          <w:rFonts w:ascii="Arial" w:hAnsi="Arial" w:cs="Arial"/>
          <w:sz w:val="20"/>
          <w:szCs w:val="20"/>
        </w:rPr>
        <w:t xml:space="preserve"> [2021] VSC 333</w:t>
      </w:r>
      <w:r w:rsidR="005A369B" w:rsidRPr="008C6C91">
        <w:rPr>
          <w:rFonts w:ascii="Arial" w:hAnsi="Arial" w:cs="Arial"/>
          <w:sz w:val="20"/>
          <w:szCs w:val="20"/>
        </w:rPr>
        <w:t xml:space="preserve">; </w:t>
      </w:r>
      <w:r w:rsidR="005A369B" w:rsidRPr="008C6C91">
        <w:rPr>
          <w:rFonts w:ascii="Arial" w:hAnsi="Arial" w:cs="Arial"/>
          <w:i/>
          <w:iCs/>
          <w:sz w:val="20"/>
          <w:szCs w:val="20"/>
        </w:rPr>
        <w:t>Victorian Legal Services Board v Thexton (penalty)</w:t>
      </w:r>
      <w:r w:rsidR="005A369B" w:rsidRPr="008C6C91">
        <w:rPr>
          <w:rFonts w:ascii="Arial" w:hAnsi="Arial" w:cs="Arial"/>
          <w:sz w:val="20"/>
          <w:szCs w:val="20"/>
        </w:rPr>
        <w:t xml:space="preserve"> [2021] VSC 391</w:t>
      </w:r>
      <w:r w:rsidR="008C6C91" w:rsidRPr="008C6C91">
        <w:rPr>
          <w:rFonts w:ascii="Arial" w:hAnsi="Arial" w:cs="Arial"/>
          <w:sz w:val="20"/>
          <w:szCs w:val="20"/>
        </w:rPr>
        <w:t xml:space="preserve">; </w:t>
      </w:r>
      <w:r w:rsidR="008C6C91" w:rsidRPr="008C6C91">
        <w:rPr>
          <w:rFonts w:ascii="Arial" w:hAnsi="Arial" w:cs="Arial"/>
          <w:i/>
          <w:iCs/>
          <w:sz w:val="20"/>
          <w:szCs w:val="20"/>
        </w:rPr>
        <w:t>Re Ramsay Health Care Australia Pty Ltd</w:t>
      </w:r>
      <w:r w:rsidR="008C6C91" w:rsidRPr="008C6C91">
        <w:rPr>
          <w:rFonts w:ascii="Arial" w:hAnsi="Arial" w:cs="Arial"/>
          <w:sz w:val="20"/>
          <w:szCs w:val="20"/>
        </w:rPr>
        <w:t xml:space="preserve"> [2022] VSC 226</w:t>
      </w:r>
      <w:r w:rsidR="00863699">
        <w:rPr>
          <w:rFonts w:ascii="Arial" w:hAnsi="Arial" w:cs="Arial"/>
          <w:sz w:val="20"/>
          <w:szCs w:val="20"/>
        </w:rPr>
        <w:t xml:space="preserve">; </w:t>
      </w:r>
      <w:bookmarkStart w:id="225" w:name="_Hlk109379124"/>
      <w:r w:rsidR="00863699" w:rsidRPr="00664E8F">
        <w:rPr>
          <w:rFonts w:ascii="Arial" w:hAnsi="Arial" w:cs="Arial"/>
          <w:i/>
          <w:iCs/>
          <w:sz w:val="20"/>
          <w:szCs w:val="20"/>
        </w:rPr>
        <w:t>Zhang v Shi (No 6)</w:t>
      </w:r>
      <w:r w:rsidR="00863699" w:rsidRPr="00664E8F">
        <w:rPr>
          <w:rFonts w:ascii="Arial" w:hAnsi="Arial" w:cs="Arial"/>
          <w:sz w:val="20"/>
          <w:szCs w:val="20"/>
        </w:rPr>
        <w:t xml:space="preserve"> [2022] VSC 271</w:t>
      </w:r>
      <w:r w:rsidR="004D5488">
        <w:rPr>
          <w:rFonts w:ascii="Arial" w:hAnsi="Arial" w:cs="Arial"/>
          <w:sz w:val="20"/>
          <w:szCs w:val="20"/>
        </w:rPr>
        <w:t xml:space="preserve">; </w:t>
      </w:r>
      <w:r w:rsidR="004D5488" w:rsidRPr="00291ABA">
        <w:rPr>
          <w:rFonts w:ascii="Arial" w:hAnsi="Arial" w:cs="Arial"/>
          <w:i/>
          <w:iCs/>
          <w:sz w:val="20"/>
        </w:rPr>
        <w:t>Victorian Legal Services Board v Jensen</w:t>
      </w:r>
      <w:r w:rsidR="004D5488">
        <w:rPr>
          <w:rFonts w:ascii="Arial" w:hAnsi="Arial" w:cs="Arial"/>
          <w:sz w:val="20"/>
        </w:rPr>
        <w:t xml:space="preserve"> [2022] VSC 603</w:t>
      </w:r>
      <w:bookmarkEnd w:id="225"/>
      <w:r w:rsidR="00D4771C">
        <w:rPr>
          <w:rFonts w:ascii="Arial" w:hAnsi="Arial" w:cs="Arial"/>
          <w:sz w:val="20"/>
          <w:szCs w:val="20"/>
        </w:rPr>
        <w:t xml:space="preserve">; </w:t>
      </w:r>
      <w:r w:rsidR="00CA133B" w:rsidRPr="00291ABA">
        <w:rPr>
          <w:rFonts w:ascii="Arial" w:hAnsi="Arial" w:cs="Arial"/>
          <w:i/>
          <w:iCs/>
          <w:sz w:val="20"/>
        </w:rPr>
        <w:t xml:space="preserve">Victorian Legal Services Board v </w:t>
      </w:r>
      <w:r w:rsidR="00CA133B">
        <w:rPr>
          <w:rFonts w:ascii="Arial" w:hAnsi="Arial" w:cs="Arial"/>
          <w:i/>
          <w:iCs/>
          <w:sz w:val="20"/>
        </w:rPr>
        <w:t xml:space="preserve">Bowers-Taylor </w:t>
      </w:r>
      <w:r w:rsidR="00CA133B" w:rsidRPr="00CA133B">
        <w:rPr>
          <w:rFonts w:ascii="Arial" w:hAnsi="Arial" w:cs="Arial"/>
          <w:sz w:val="20"/>
        </w:rPr>
        <w:t>[2023] VSC 519;</w:t>
      </w:r>
      <w:r w:rsidR="00CA133B">
        <w:rPr>
          <w:rFonts w:ascii="Arial" w:hAnsi="Arial" w:cs="Arial"/>
          <w:i/>
          <w:iCs/>
          <w:sz w:val="20"/>
        </w:rPr>
        <w:t xml:space="preserve"> </w:t>
      </w:r>
      <w:r w:rsidR="00D4771C" w:rsidRPr="00D4771C">
        <w:rPr>
          <w:rFonts w:ascii="Arial" w:hAnsi="Arial" w:cs="Arial"/>
          <w:i/>
          <w:iCs/>
          <w:sz w:val="20"/>
          <w:szCs w:val="20"/>
        </w:rPr>
        <w:t>Fahey v Bird (No 2)</w:t>
      </w:r>
      <w:r w:rsidR="00D4771C">
        <w:rPr>
          <w:rFonts w:ascii="Arial" w:hAnsi="Arial" w:cs="Arial"/>
          <w:sz w:val="20"/>
          <w:szCs w:val="20"/>
        </w:rPr>
        <w:t xml:space="preserve"> [2023] VSC 540</w:t>
      </w:r>
      <w:r w:rsidR="0027275D">
        <w:rPr>
          <w:rFonts w:ascii="Arial" w:hAnsi="Arial" w:cs="Arial"/>
          <w:sz w:val="20"/>
          <w:szCs w:val="20"/>
        </w:rPr>
        <w:t xml:space="preserve">; </w:t>
      </w:r>
      <w:r w:rsidR="0027275D" w:rsidRPr="0027275D">
        <w:rPr>
          <w:rFonts w:ascii="Arial" w:hAnsi="Arial" w:cs="Arial"/>
          <w:i/>
          <w:iCs/>
          <w:sz w:val="20"/>
          <w:szCs w:val="20"/>
        </w:rPr>
        <w:t>R v Brown (No 2)</w:t>
      </w:r>
      <w:r w:rsidR="0027275D" w:rsidRPr="0027275D">
        <w:rPr>
          <w:rFonts w:ascii="Arial" w:hAnsi="Arial" w:cs="Arial"/>
          <w:sz w:val="20"/>
          <w:szCs w:val="20"/>
        </w:rPr>
        <w:t xml:space="preserve"> [2025] VSC 766</w:t>
      </w:r>
      <w:r w:rsidR="00FD444C">
        <w:rPr>
          <w:rFonts w:ascii="Arial" w:hAnsi="Arial" w:cs="Arial"/>
          <w:sz w:val="20"/>
          <w:szCs w:val="20"/>
        </w:rPr>
        <w:t xml:space="preserve"> [proposed application for leave to commence an appeal </w:t>
      </w:r>
      <w:r w:rsidR="00FD444C" w:rsidRPr="00FD444C">
        <w:rPr>
          <w:rFonts w:ascii="Arial" w:hAnsi="Arial" w:cs="Arial"/>
          <w:sz w:val="20"/>
          <w:szCs w:val="20"/>
        </w:rPr>
        <w:t xml:space="preserve">refused in </w:t>
      </w:r>
      <w:r w:rsidR="00FD444C" w:rsidRPr="00FD444C">
        <w:rPr>
          <w:rFonts w:ascii="Arial" w:hAnsi="Arial" w:cs="Arial"/>
          <w:i/>
          <w:iCs/>
          <w:sz w:val="20"/>
          <w:szCs w:val="20"/>
        </w:rPr>
        <w:t>Re Brown (a person subject to a general litigation restraint order)</w:t>
      </w:r>
      <w:r w:rsidR="00FD444C" w:rsidRPr="00FD444C">
        <w:rPr>
          <w:rFonts w:ascii="Arial" w:hAnsi="Arial" w:cs="Arial"/>
          <w:sz w:val="20"/>
          <w:szCs w:val="20"/>
        </w:rPr>
        <w:t xml:space="preserve"> [2026] VSC 3]; </w:t>
      </w:r>
      <w:r w:rsidR="006200EC" w:rsidRPr="00FD444C">
        <w:rPr>
          <w:rFonts w:ascii="Arial" w:hAnsi="Arial" w:cs="Arial"/>
          <w:i/>
          <w:iCs/>
          <w:sz w:val="20"/>
          <w:szCs w:val="20"/>
        </w:rPr>
        <w:t>Van Rooy Machinery Pty Ltd v Michieli</w:t>
      </w:r>
      <w:r w:rsidR="006200EC" w:rsidRPr="00FD444C">
        <w:rPr>
          <w:rFonts w:ascii="Arial" w:hAnsi="Arial" w:cs="Arial"/>
          <w:sz w:val="20"/>
          <w:szCs w:val="20"/>
        </w:rPr>
        <w:t xml:space="preserve"> [2025] VSC 757</w:t>
      </w:r>
      <w:r w:rsidR="00D504B4">
        <w:rPr>
          <w:rFonts w:ascii="Arial" w:hAnsi="Arial" w:cs="Arial"/>
          <w:sz w:val="20"/>
          <w:szCs w:val="20"/>
        </w:rPr>
        <w:t xml:space="preserve">; </w:t>
      </w:r>
      <w:proofErr w:type="spellStart"/>
      <w:r w:rsidR="00D504B4" w:rsidRPr="00D504B4">
        <w:rPr>
          <w:rFonts w:ascii="Arial" w:hAnsi="Arial" w:cs="Arial"/>
          <w:i/>
          <w:iCs/>
          <w:sz w:val="20"/>
          <w:szCs w:val="20"/>
        </w:rPr>
        <w:t>Petalas</w:t>
      </w:r>
      <w:proofErr w:type="spellEnd"/>
      <w:r w:rsidR="00D504B4" w:rsidRPr="00D504B4">
        <w:rPr>
          <w:rFonts w:ascii="Arial" w:hAnsi="Arial" w:cs="Arial"/>
          <w:i/>
          <w:iCs/>
          <w:sz w:val="20"/>
          <w:szCs w:val="20"/>
        </w:rPr>
        <w:t xml:space="preserve"> v </w:t>
      </w:r>
      <w:proofErr w:type="spellStart"/>
      <w:r w:rsidR="00D504B4" w:rsidRPr="00D504B4">
        <w:rPr>
          <w:rFonts w:ascii="Arial" w:hAnsi="Arial" w:cs="Arial"/>
          <w:i/>
          <w:iCs/>
          <w:sz w:val="20"/>
          <w:szCs w:val="20"/>
        </w:rPr>
        <w:t>Petalas</w:t>
      </w:r>
      <w:proofErr w:type="spellEnd"/>
      <w:r w:rsidR="00D504B4" w:rsidRPr="00D504B4">
        <w:rPr>
          <w:rFonts w:ascii="Arial" w:hAnsi="Arial" w:cs="Arial"/>
          <w:i/>
          <w:iCs/>
          <w:sz w:val="20"/>
          <w:szCs w:val="20"/>
        </w:rPr>
        <w:t xml:space="preserve"> (Interlocutory Rulings)</w:t>
      </w:r>
      <w:r w:rsidR="00D504B4" w:rsidRPr="00D504B4">
        <w:rPr>
          <w:rFonts w:ascii="Arial" w:hAnsi="Arial" w:cs="Arial"/>
          <w:sz w:val="20"/>
          <w:szCs w:val="20"/>
        </w:rPr>
        <w:t xml:space="preserve"> [2026] VSC 81</w:t>
      </w:r>
      <w:r w:rsidR="00D504B4">
        <w:rPr>
          <w:rFonts w:ascii="Arial" w:hAnsi="Arial" w:cs="Arial"/>
          <w:sz w:val="20"/>
          <w:szCs w:val="20"/>
        </w:rPr>
        <w:t>, esp. at [36]-[42] &amp; [74]-[79]</w:t>
      </w:r>
      <w:r w:rsidR="00BA2357">
        <w:rPr>
          <w:rFonts w:ascii="Arial" w:hAnsi="Arial" w:cs="Arial"/>
          <w:sz w:val="20"/>
          <w:szCs w:val="20"/>
        </w:rPr>
        <w:t xml:space="preserve">; </w:t>
      </w:r>
      <w:r w:rsidR="00BA2357" w:rsidRPr="00BA2357">
        <w:rPr>
          <w:rFonts w:ascii="Arial" w:hAnsi="Arial" w:cs="Arial"/>
          <w:i/>
          <w:iCs/>
          <w:sz w:val="20"/>
        </w:rPr>
        <w:t>Victorian Legal Services Board v Guss</w:t>
      </w:r>
      <w:r w:rsidR="00BA2357" w:rsidRPr="00BA2357">
        <w:rPr>
          <w:rFonts w:ascii="Arial" w:hAnsi="Arial" w:cs="Arial"/>
          <w:sz w:val="20"/>
        </w:rPr>
        <w:t xml:space="preserve"> [2026] VSC 396</w:t>
      </w:r>
      <w:r w:rsidR="00BA2357">
        <w:rPr>
          <w:rFonts w:ascii="Arial" w:hAnsi="Arial" w:cs="Arial"/>
          <w:sz w:val="20"/>
        </w:rPr>
        <w:t xml:space="preserve"> at [107]-[125].</w:t>
      </w:r>
    </w:p>
    <w:p w14:paraId="2F6829C3" w14:textId="77777777" w:rsidR="00BA2357" w:rsidRPr="00BA2357" w:rsidRDefault="00BA2357" w:rsidP="00BA2357">
      <w:pPr>
        <w:ind w:left="11"/>
        <w:jc w:val="both"/>
        <w:rPr>
          <w:rFonts w:ascii="Arial" w:hAnsi="Arial" w:cs="Arial"/>
          <w:sz w:val="20"/>
          <w:szCs w:val="20"/>
        </w:rPr>
      </w:pPr>
    </w:p>
    <w:p w14:paraId="5A1134F2" w14:textId="77777777" w:rsidR="005A00C5" w:rsidRPr="00312136" w:rsidRDefault="005A00C5" w:rsidP="005A00C5">
      <w:pPr>
        <w:pStyle w:val="Heading3"/>
        <w:keepNext/>
        <w:keepLines/>
        <w:spacing w:after="120" w:line="240" w:lineRule="auto"/>
        <w:rPr>
          <w:rFonts w:ascii="Arial" w:hAnsi="Arial" w:cs="Arial"/>
          <w:b/>
          <w:bCs/>
          <w:sz w:val="20"/>
        </w:rPr>
      </w:pPr>
      <w:bookmarkStart w:id="226" w:name="_3.3.2_Powers_conferred_1"/>
      <w:bookmarkStart w:id="227" w:name="B332"/>
      <w:bookmarkEnd w:id="226"/>
      <w:bookmarkEnd w:id="227"/>
      <w:r>
        <w:rPr>
          <w:rFonts w:ascii="Arial" w:hAnsi="Arial" w:cs="Arial"/>
          <w:b/>
          <w:bCs/>
          <w:sz w:val="20"/>
        </w:rPr>
        <w:t>3.3.2</w:t>
      </w:r>
      <w:r>
        <w:rPr>
          <w:rFonts w:ascii="Arial" w:hAnsi="Arial" w:cs="Arial"/>
          <w:b/>
          <w:bCs/>
          <w:sz w:val="20"/>
        </w:rPr>
        <w:tab/>
        <w:t xml:space="preserve">Powers conferred by the </w:t>
      </w:r>
      <w:r w:rsidRPr="00004C01">
        <w:rPr>
          <w:rFonts w:ascii="Arial" w:hAnsi="Arial" w:cs="Arial"/>
          <w:b/>
          <w:bCs/>
          <w:i/>
          <w:iCs/>
          <w:sz w:val="20"/>
        </w:rPr>
        <w:t>Vexatious Proceedings Act 2014</w:t>
      </w:r>
    </w:p>
    <w:p w14:paraId="612916F5" w14:textId="3C1D0022" w:rsidR="005A00C5" w:rsidRPr="00963A3D" w:rsidRDefault="009D494C" w:rsidP="00963A3D">
      <w:pPr>
        <w:jc w:val="both"/>
        <w:rPr>
          <w:rFonts w:ascii="Arial" w:hAnsi="Arial" w:cs="Arial"/>
          <w:sz w:val="20"/>
          <w:szCs w:val="20"/>
        </w:rPr>
      </w:pPr>
      <w:r w:rsidRPr="00963A3D">
        <w:rPr>
          <w:rFonts w:ascii="Arial" w:hAnsi="Arial" w:cs="Arial"/>
          <w:sz w:val="20"/>
          <w:szCs w:val="20"/>
        </w:rPr>
        <w:t xml:space="preserve">In s.3 of the </w:t>
      </w:r>
      <w:r w:rsidRPr="00174CDB">
        <w:rPr>
          <w:rFonts w:ascii="Arial" w:hAnsi="Arial" w:cs="Arial"/>
          <w:i/>
          <w:iCs/>
          <w:sz w:val="20"/>
          <w:szCs w:val="20"/>
        </w:rPr>
        <w:t>Vexatious Proceedings Act 2014</w:t>
      </w:r>
      <w:r w:rsidRPr="00963A3D">
        <w:rPr>
          <w:rFonts w:ascii="Arial" w:hAnsi="Arial" w:cs="Arial"/>
          <w:sz w:val="20"/>
          <w:szCs w:val="20"/>
        </w:rPr>
        <w:t xml:space="preserve"> </w:t>
      </w:r>
      <w:r w:rsidR="005619F6" w:rsidRPr="00963A3D">
        <w:rPr>
          <w:rFonts w:ascii="Arial" w:hAnsi="Arial" w:cs="Arial"/>
          <w:sz w:val="20"/>
          <w:szCs w:val="20"/>
        </w:rPr>
        <w:t xml:space="preserve">[‘VPA’] </w:t>
      </w:r>
      <w:r w:rsidRPr="00963A3D">
        <w:rPr>
          <w:rFonts w:ascii="Arial" w:hAnsi="Arial" w:cs="Arial"/>
          <w:sz w:val="20"/>
          <w:szCs w:val="20"/>
        </w:rPr>
        <w:t>‘court’ is defined as</w:t>
      </w:r>
      <w:r w:rsidR="00A31FFA" w:rsidRPr="00A31FFA">
        <w:rPr>
          <w:rFonts w:ascii="Arial" w:hAnsi="Arial" w:cs="Arial"/>
          <w:sz w:val="20"/>
        </w:rPr>
        <w:t>–</w:t>
      </w:r>
    </w:p>
    <w:p w14:paraId="00629631" w14:textId="77777777" w:rsidR="009D494C" w:rsidRDefault="009D494C">
      <w:pPr>
        <w:numPr>
          <w:ilvl w:val="0"/>
          <w:numId w:val="51"/>
        </w:numPr>
        <w:ind w:left="357" w:hanging="357"/>
        <w:jc w:val="both"/>
        <w:rPr>
          <w:rFonts w:ascii="Arial" w:hAnsi="Arial" w:cs="Arial"/>
          <w:sz w:val="20"/>
          <w:szCs w:val="20"/>
        </w:rPr>
      </w:pPr>
      <w:r w:rsidRPr="00963A3D">
        <w:rPr>
          <w:rFonts w:ascii="Arial" w:hAnsi="Arial" w:cs="Arial"/>
          <w:sz w:val="20"/>
          <w:szCs w:val="20"/>
        </w:rPr>
        <w:t>the Supreme Court;</w:t>
      </w:r>
    </w:p>
    <w:p w14:paraId="61287977" w14:textId="77777777" w:rsidR="00963A3D" w:rsidRDefault="00963A3D">
      <w:pPr>
        <w:numPr>
          <w:ilvl w:val="0"/>
          <w:numId w:val="51"/>
        </w:numPr>
        <w:ind w:left="357" w:hanging="357"/>
        <w:jc w:val="both"/>
        <w:rPr>
          <w:rFonts w:ascii="Arial" w:hAnsi="Arial" w:cs="Arial"/>
          <w:sz w:val="20"/>
          <w:szCs w:val="20"/>
        </w:rPr>
      </w:pPr>
      <w:r w:rsidRPr="00963A3D">
        <w:rPr>
          <w:rFonts w:ascii="Arial" w:hAnsi="Arial" w:cs="Arial"/>
          <w:sz w:val="20"/>
          <w:szCs w:val="20"/>
        </w:rPr>
        <w:t>the County Court;</w:t>
      </w:r>
    </w:p>
    <w:p w14:paraId="68C8B5C0" w14:textId="77777777" w:rsidR="00963A3D" w:rsidRDefault="00963A3D">
      <w:pPr>
        <w:numPr>
          <w:ilvl w:val="0"/>
          <w:numId w:val="51"/>
        </w:numPr>
        <w:ind w:left="357" w:hanging="357"/>
        <w:jc w:val="both"/>
        <w:rPr>
          <w:rFonts w:ascii="Arial" w:hAnsi="Arial" w:cs="Arial"/>
          <w:sz w:val="20"/>
          <w:szCs w:val="20"/>
        </w:rPr>
      </w:pPr>
      <w:r w:rsidRPr="00963A3D">
        <w:rPr>
          <w:rFonts w:ascii="Arial" w:hAnsi="Arial" w:cs="Arial"/>
          <w:sz w:val="20"/>
          <w:szCs w:val="20"/>
        </w:rPr>
        <w:t>the Magistrates’ Court;</w:t>
      </w:r>
    </w:p>
    <w:p w14:paraId="76F18813" w14:textId="77777777" w:rsidR="00963A3D" w:rsidRPr="00963A3D" w:rsidRDefault="00963A3D">
      <w:pPr>
        <w:numPr>
          <w:ilvl w:val="0"/>
          <w:numId w:val="51"/>
        </w:numPr>
        <w:ind w:left="357" w:hanging="357"/>
        <w:jc w:val="both"/>
        <w:rPr>
          <w:rFonts w:ascii="Arial" w:hAnsi="Arial" w:cs="Arial"/>
          <w:sz w:val="20"/>
          <w:szCs w:val="20"/>
        </w:rPr>
      </w:pPr>
      <w:r w:rsidRPr="00963A3D">
        <w:rPr>
          <w:rFonts w:ascii="Arial" w:hAnsi="Arial" w:cs="Arial"/>
          <w:sz w:val="20"/>
          <w:szCs w:val="20"/>
        </w:rPr>
        <w:t>in relation to an order under this Act that relates to intervention order legislation, the Children’s Court.</w:t>
      </w:r>
    </w:p>
    <w:p w14:paraId="2AFE2E60" w14:textId="77777777" w:rsidR="009D494C" w:rsidRPr="00963A3D" w:rsidRDefault="009D494C" w:rsidP="00963A3D">
      <w:pPr>
        <w:pStyle w:val="Heading3"/>
        <w:widowControl/>
        <w:spacing w:line="240" w:lineRule="auto"/>
        <w:rPr>
          <w:rFonts w:ascii="Arial" w:hAnsi="Arial" w:cs="Arial"/>
          <w:bCs/>
          <w:sz w:val="16"/>
          <w:szCs w:val="16"/>
        </w:rPr>
      </w:pPr>
    </w:p>
    <w:p w14:paraId="7445DAE2" w14:textId="06E3E03C" w:rsidR="009D494C" w:rsidRPr="00963A3D" w:rsidRDefault="005619F6" w:rsidP="00963A3D">
      <w:pPr>
        <w:jc w:val="both"/>
        <w:rPr>
          <w:rFonts w:ascii="Arial" w:hAnsi="Arial" w:cs="Arial"/>
          <w:sz w:val="20"/>
          <w:szCs w:val="20"/>
        </w:rPr>
      </w:pPr>
      <w:r w:rsidRPr="00963A3D">
        <w:rPr>
          <w:rFonts w:ascii="Arial" w:hAnsi="Arial" w:cs="Arial"/>
          <w:sz w:val="20"/>
          <w:szCs w:val="20"/>
        </w:rPr>
        <w:t>In s.3 of the VPA, ‘intervention order legislation’ is defined as</w:t>
      </w:r>
      <w:r w:rsidR="00A31FFA" w:rsidRPr="00A31FFA">
        <w:rPr>
          <w:rFonts w:ascii="Arial" w:hAnsi="Arial" w:cs="Arial"/>
          <w:sz w:val="20"/>
        </w:rPr>
        <w:t>–</w:t>
      </w:r>
    </w:p>
    <w:p w14:paraId="36EB1147" w14:textId="77777777" w:rsidR="00963A3D" w:rsidRDefault="005619F6">
      <w:pPr>
        <w:numPr>
          <w:ilvl w:val="0"/>
          <w:numId w:val="52"/>
        </w:numPr>
        <w:ind w:left="357" w:hanging="357"/>
        <w:jc w:val="both"/>
        <w:rPr>
          <w:rFonts w:ascii="Arial" w:hAnsi="Arial" w:cs="Arial"/>
          <w:sz w:val="20"/>
          <w:szCs w:val="20"/>
        </w:rPr>
      </w:pPr>
      <w:r w:rsidRPr="00963A3D">
        <w:rPr>
          <w:rFonts w:ascii="Arial" w:hAnsi="Arial" w:cs="Arial"/>
          <w:sz w:val="20"/>
          <w:szCs w:val="20"/>
        </w:rPr>
        <w:t xml:space="preserve">the </w:t>
      </w:r>
      <w:r w:rsidRPr="00174CDB">
        <w:rPr>
          <w:rFonts w:ascii="Arial" w:hAnsi="Arial" w:cs="Arial"/>
          <w:i/>
          <w:iCs/>
          <w:sz w:val="20"/>
          <w:szCs w:val="20"/>
        </w:rPr>
        <w:t>Crimes (Family Violence)</w:t>
      </w:r>
      <w:r w:rsidR="005665A7" w:rsidRPr="00174CDB">
        <w:rPr>
          <w:rFonts w:ascii="Arial" w:hAnsi="Arial" w:cs="Arial"/>
          <w:i/>
          <w:iCs/>
          <w:sz w:val="20"/>
          <w:szCs w:val="20"/>
        </w:rPr>
        <w:t xml:space="preserve"> Act 1987</w:t>
      </w:r>
      <w:r w:rsidR="005665A7" w:rsidRPr="00963A3D">
        <w:rPr>
          <w:rFonts w:ascii="Arial" w:hAnsi="Arial" w:cs="Arial"/>
          <w:sz w:val="20"/>
          <w:szCs w:val="20"/>
        </w:rPr>
        <w:t xml:space="preserve"> </w:t>
      </w:r>
      <w:r w:rsidR="00943038" w:rsidRPr="00963A3D">
        <w:rPr>
          <w:rFonts w:ascii="Arial" w:hAnsi="Arial" w:cs="Arial"/>
          <w:sz w:val="20"/>
          <w:szCs w:val="20"/>
        </w:rPr>
        <w:t>as in force immediately before its repeal</w:t>
      </w:r>
      <w:r w:rsidRPr="00963A3D">
        <w:rPr>
          <w:rFonts w:ascii="Arial" w:hAnsi="Arial" w:cs="Arial"/>
          <w:sz w:val="20"/>
          <w:szCs w:val="20"/>
        </w:rPr>
        <w:t>;</w:t>
      </w:r>
    </w:p>
    <w:p w14:paraId="7302B053" w14:textId="77777777" w:rsidR="00963A3D" w:rsidRDefault="00963A3D">
      <w:pPr>
        <w:numPr>
          <w:ilvl w:val="0"/>
          <w:numId w:val="52"/>
        </w:numPr>
        <w:ind w:left="357" w:hanging="357"/>
        <w:jc w:val="both"/>
        <w:rPr>
          <w:rFonts w:ascii="Arial" w:hAnsi="Arial" w:cs="Arial"/>
          <w:sz w:val="20"/>
          <w:szCs w:val="20"/>
        </w:rPr>
      </w:pPr>
      <w:r w:rsidRPr="00963A3D">
        <w:rPr>
          <w:rFonts w:ascii="Arial" w:hAnsi="Arial" w:cs="Arial"/>
          <w:sz w:val="20"/>
          <w:szCs w:val="20"/>
        </w:rPr>
        <w:t xml:space="preserve">the </w:t>
      </w:r>
      <w:r w:rsidRPr="00174CDB">
        <w:rPr>
          <w:rFonts w:ascii="Arial" w:hAnsi="Arial" w:cs="Arial"/>
          <w:i/>
          <w:iCs/>
          <w:sz w:val="20"/>
          <w:szCs w:val="20"/>
        </w:rPr>
        <w:t>Family Violence Protection Act 2008</w:t>
      </w:r>
      <w:r>
        <w:rPr>
          <w:rFonts w:ascii="Arial" w:hAnsi="Arial" w:cs="Arial"/>
          <w:sz w:val="20"/>
          <w:szCs w:val="20"/>
        </w:rPr>
        <w:t>;</w:t>
      </w:r>
    </w:p>
    <w:p w14:paraId="493350B2" w14:textId="77777777" w:rsidR="00963A3D" w:rsidRDefault="00963A3D">
      <w:pPr>
        <w:numPr>
          <w:ilvl w:val="0"/>
          <w:numId w:val="52"/>
        </w:numPr>
        <w:ind w:left="357" w:hanging="357"/>
        <w:jc w:val="both"/>
        <w:rPr>
          <w:rFonts w:ascii="Arial" w:hAnsi="Arial" w:cs="Arial"/>
          <w:sz w:val="20"/>
          <w:szCs w:val="20"/>
        </w:rPr>
      </w:pPr>
      <w:r w:rsidRPr="00963A3D">
        <w:rPr>
          <w:rFonts w:ascii="Arial" w:hAnsi="Arial" w:cs="Arial"/>
          <w:sz w:val="20"/>
          <w:szCs w:val="20"/>
        </w:rPr>
        <w:t xml:space="preserve">the </w:t>
      </w:r>
      <w:r w:rsidRPr="00174CDB">
        <w:rPr>
          <w:rFonts w:ascii="Arial" w:hAnsi="Arial" w:cs="Arial"/>
          <w:i/>
          <w:iCs/>
          <w:sz w:val="20"/>
          <w:szCs w:val="20"/>
        </w:rPr>
        <w:t>Personal Safety Intervention Orders Act 2010</w:t>
      </w:r>
      <w:r w:rsidRPr="00963A3D">
        <w:rPr>
          <w:rFonts w:ascii="Arial" w:hAnsi="Arial" w:cs="Arial"/>
          <w:sz w:val="20"/>
          <w:szCs w:val="20"/>
        </w:rPr>
        <w:t>; and</w:t>
      </w:r>
    </w:p>
    <w:p w14:paraId="50AB8FE9" w14:textId="77777777" w:rsidR="00963A3D" w:rsidRDefault="00963A3D">
      <w:pPr>
        <w:numPr>
          <w:ilvl w:val="0"/>
          <w:numId w:val="52"/>
        </w:numPr>
        <w:ind w:left="357" w:hanging="357"/>
        <w:jc w:val="both"/>
        <w:rPr>
          <w:rFonts w:ascii="Arial" w:hAnsi="Arial" w:cs="Arial"/>
          <w:sz w:val="20"/>
          <w:szCs w:val="20"/>
        </w:rPr>
      </w:pPr>
      <w:r>
        <w:rPr>
          <w:rFonts w:ascii="Arial" w:hAnsi="Arial" w:cs="Arial"/>
          <w:sz w:val="20"/>
          <w:szCs w:val="20"/>
        </w:rPr>
        <w:t>the</w:t>
      </w:r>
      <w:r w:rsidRPr="00963A3D">
        <w:rPr>
          <w:rFonts w:ascii="Arial" w:hAnsi="Arial" w:cs="Arial"/>
          <w:sz w:val="20"/>
          <w:szCs w:val="20"/>
        </w:rPr>
        <w:t xml:space="preserve"> </w:t>
      </w:r>
      <w:r w:rsidRPr="00174CDB">
        <w:rPr>
          <w:rFonts w:ascii="Arial" w:hAnsi="Arial" w:cs="Arial"/>
          <w:i/>
          <w:iCs/>
          <w:sz w:val="20"/>
          <w:szCs w:val="20"/>
        </w:rPr>
        <w:t>Stalking Intervention Orders Act 2008</w:t>
      </w:r>
      <w:r w:rsidRPr="00963A3D">
        <w:rPr>
          <w:rFonts w:ascii="Arial" w:hAnsi="Arial" w:cs="Arial"/>
          <w:sz w:val="20"/>
          <w:szCs w:val="20"/>
        </w:rPr>
        <w:t xml:space="preserve"> as in force immediately before its repeal.</w:t>
      </w:r>
    </w:p>
    <w:p w14:paraId="60BCAFEA" w14:textId="77777777" w:rsidR="009D494C" w:rsidRPr="00963A3D" w:rsidRDefault="009D494C" w:rsidP="00963A3D">
      <w:pPr>
        <w:pStyle w:val="Heading3"/>
        <w:widowControl/>
        <w:spacing w:line="240" w:lineRule="auto"/>
        <w:rPr>
          <w:rFonts w:ascii="Arial" w:hAnsi="Arial" w:cs="Arial"/>
          <w:bCs/>
          <w:sz w:val="16"/>
          <w:szCs w:val="16"/>
        </w:rPr>
      </w:pPr>
    </w:p>
    <w:p w14:paraId="41B58EC8" w14:textId="713B8892" w:rsidR="005A00C5" w:rsidRPr="00963A3D" w:rsidRDefault="00943038" w:rsidP="00963A3D">
      <w:pPr>
        <w:jc w:val="both"/>
        <w:rPr>
          <w:rFonts w:ascii="Arial" w:hAnsi="Arial" w:cs="Arial"/>
          <w:color w:val="000000"/>
          <w:sz w:val="20"/>
          <w:szCs w:val="20"/>
        </w:rPr>
      </w:pPr>
      <w:r w:rsidRPr="00963A3D">
        <w:rPr>
          <w:rFonts w:ascii="Arial" w:hAnsi="Arial" w:cs="Arial"/>
          <w:sz w:val="20"/>
          <w:szCs w:val="20"/>
        </w:rPr>
        <w:t xml:space="preserve">Because the jurisdiction of the Children’s Court under the VPA is so expressly and restrictively defined, the writer is of the view that the Children’s Court probably cannot rely on s.528(1) of the CYFA to ‘piggy-back’ on </w:t>
      </w:r>
      <w:r w:rsidR="00963A3D">
        <w:rPr>
          <w:rFonts w:ascii="Arial" w:hAnsi="Arial" w:cs="Arial"/>
          <w:sz w:val="20"/>
          <w:szCs w:val="20"/>
        </w:rPr>
        <w:t xml:space="preserve">to </w:t>
      </w:r>
      <w:r w:rsidRPr="00963A3D">
        <w:rPr>
          <w:rFonts w:ascii="Arial" w:hAnsi="Arial" w:cs="Arial"/>
          <w:sz w:val="20"/>
          <w:szCs w:val="20"/>
        </w:rPr>
        <w:t>the additional jurisdiction that the Magistrates’ Court has under the VPA.</w:t>
      </w:r>
      <w:r w:rsidR="002D2E79" w:rsidRPr="00963A3D">
        <w:rPr>
          <w:rFonts w:ascii="Arial" w:hAnsi="Arial" w:cs="Arial"/>
          <w:sz w:val="20"/>
          <w:szCs w:val="20"/>
        </w:rPr>
        <w:t xml:space="preserve">  </w:t>
      </w:r>
      <w:r w:rsidR="005A00C5" w:rsidRPr="00963A3D">
        <w:rPr>
          <w:rFonts w:ascii="Arial" w:hAnsi="Arial" w:cs="Arial"/>
          <w:color w:val="000000"/>
          <w:sz w:val="20"/>
          <w:szCs w:val="20"/>
        </w:rPr>
        <w:t>Sections 19, 36, 39 &amp; 74 of the VPA give the Children’s Court power to make four types of orders restraining litigation but only in relation to proceedings conducted under intervention order legislation</w:t>
      </w:r>
      <w:r w:rsidR="00A31FFA" w:rsidRPr="00A31FFA">
        <w:rPr>
          <w:rFonts w:ascii="Arial" w:hAnsi="Arial" w:cs="Arial"/>
          <w:sz w:val="20"/>
        </w:rPr>
        <w:t>–</w:t>
      </w:r>
    </w:p>
    <w:p w14:paraId="6D336246"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an Extended Litigation Restraint Ord</w:t>
      </w:r>
      <w:r w:rsidR="00F75E94">
        <w:rPr>
          <w:rFonts w:ascii="Arial" w:hAnsi="Arial" w:cs="Arial"/>
          <w:color w:val="000000"/>
          <w:sz w:val="20"/>
          <w:szCs w:val="20"/>
        </w:rPr>
        <w:t>er</w:t>
      </w:r>
      <w:r w:rsidRPr="00963A3D">
        <w:rPr>
          <w:rFonts w:ascii="Arial" w:hAnsi="Arial" w:cs="Arial"/>
          <w:color w:val="000000"/>
          <w:sz w:val="20"/>
          <w:szCs w:val="20"/>
        </w:rPr>
        <w:t>;</w:t>
      </w:r>
    </w:p>
    <w:p w14:paraId="674E0C8A"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an Acting in Concert Order;</w:t>
      </w:r>
    </w:p>
    <w:p w14:paraId="384406BD"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an Appeal Restriction Order</w:t>
      </w:r>
      <w:r w:rsidR="00963A3D" w:rsidRPr="00963A3D">
        <w:rPr>
          <w:rFonts w:ascii="Arial" w:hAnsi="Arial" w:cs="Arial"/>
          <w:color w:val="000000"/>
          <w:sz w:val="20"/>
          <w:szCs w:val="20"/>
        </w:rPr>
        <w:t>;</w:t>
      </w:r>
      <w:r w:rsidR="00D721FF">
        <w:rPr>
          <w:rFonts w:ascii="Arial" w:hAnsi="Arial" w:cs="Arial"/>
          <w:color w:val="000000"/>
          <w:sz w:val="20"/>
          <w:szCs w:val="20"/>
        </w:rPr>
        <w:t xml:space="preserve"> and</w:t>
      </w:r>
    </w:p>
    <w:p w14:paraId="24C35D20"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 Variation or Revocation Application Prevention Order.</w:t>
      </w:r>
    </w:p>
    <w:p w14:paraId="75D84DA4" w14:textId="46C69CAE" w:rsidR="005A00C5" w:rsidRPr="00963A3D" w:rsidRDefault="00963A3D" w:rsidP="00963A3D">
      <w:pPr>
        <w:jc w:val="both"/>
        <w:rPr>
          <w:rFonts w:ascii="Arial" w:hAnsi="Arial" w:cs="Arial"/>
          <w:color w:val="000000"/>
          <w:sz w:val="20"/>
        </w:rPr>
      </w:pPr>
      <w:r w:rsidRPr="00963A3D">
        <w:rPr>
          <w:rFonts w:ascii="Arial" w:hAnsi="Arial" w:cs="Arial"/>
          <w:color w:val="000000"/>
          <w:sz w:val="20"/>
        </w:rPr>
        <w:t xml:space="preserve">For details of these four types of orders, see </w:t>
      </w:r>
      <w:r w:rsidR="004B696B">
        <w:rPr>
          <w:rFonts w:ascii="Arial" w:hAnsi="Arial" w:cs="Arial"/>
          <w:b/>
          <w:bCs/>
          <w:color w:val="000000"/>
          <w:sz w:val="20"/>
          <w:shd w:val="clear" w:color="auto" w:fill="C5E0B3" w:themeFill="accent6" w:themeFillTint="66"/>
        </w:rPr>
        <w:t>Part</w:t>
      </w:r>
      <w:r w:rsidRPr="00A975E6">
        <w:rPr>
          <w:rFonts w:ascii="Arial" w:hAnsi="Arial" w:cs="Arial"/>
          <w:b/>
          <w:bCs/>
          <w:color w:val="000000"/>
          <w:sz w:val="20"/>
          <w:shd w:val="clear" w:color="auto" w:fill="C5E0B3" w:themeFill="accent6" w:themeFillTint="66"/>
        </w:rPr>
        <w:t xml:space="preserve"> 6.15</w:t>
      </w:r>
      <w:r w:rsidR="00A975E6">
        <w:rPr>
          <w:rFonts w:ascii="Arial" w:hAnsi="Arial" w:cs="Arial"/>
          <w:color w:val="000000"/>
          <w:sz w:val="20"/>
        </w:rPr>
        <w:t xml:space="preserve"> of these Research Materials.</w:t>
      </w:r>
    </w:p>
    <w:p w14:paraId="0627958D" w14:textId="77777777" w:rsidR="005A00C5" w:rsidRPr="00081C0C" w:rsidRDefault="005A00C5" w:rsidP="00943038">
      <w:pPr>
        <w:pStyle w:val="Heading3"/>
        <w:widowControl/>
        <w:spacing w:line="240" w:lineRule="auto"/>
        <w:rPr>
          <w:rFonts w:ascii="Arial" w:hAnsi="Arial" w:cs="Arial"/>
          <w:bCs/>
          <w:sz w:val="20"/>
        </w:rPr>
      </w:pPr>
    </w:p>
    <w:p w14:paraId="37A0F733" w14:textId="77777777" w:rsidR="00312136" w:rsidRPr="00312136" w:rsidRDefault="00312136" w:rsidP="00312136">
      <w:pPr>
        <w:pStyle w:val="Heading3"/>
        <w:keepNext/>
        <w:keepLines/>
        <w:spacing w:after="120" w:line="240" w:lineRule="auto"/>
        <w:rPr>
          <w:rFonts w:ascii="Arial" w:hAnsi="Arial" w:cs="Arial"/>
          <w:b/>
          <w:bCs/>
          <w:sz w:val="20"/>
        </w:rPr>
      </w:pPr>
      <w:bookmarkStart w:id="228" w:name="_3.3.2_Powers_conferred"/>
      <w:bookmarkStart w:id="229" w:name="B333"/>
      <w:bookmarkEnd w:id="228"/>
      <w:bookmarkEnd w:id="229"/>
      <w:r>
        <w:rPr>
          <w:rFonts w:ascii="Arial" w:hAnsi="Arial" w:cs="Arial"/>
          <w:b/>
          <w:bCs/>
          <w:sz w:val="20"/>
        </w:rPr>
        <w:t>3.3.</w:t>
      </w:r>
      <w:r w:rsidR="005619F6">
        <w:rPr>
          <w:rFonts w:ascii="Arial" w:hAnsi="Arial" w:cs="Arial"/>
          <w:b/>
          <w:bCs/>
          <w:sz w:val="20"/>
        </w:rPr>
        <w:t>3</w:t>
      </w:r>
      <w:r>
        <w:rPr>
          <w:rFonts w:ascii="Arial" w:hAnsi="Arial" w:cs="Arial"/>
          <w:b/>
          <w:bCs/>
          <w:sz w:val="20"/>
        </w:rPr>
        <w:tab/>
        <w:t xml:space="preserve">Powers </w:t>
      </w:r>
      <w:r w:rsidR="00E31386">
        <w:rPr>
          <w:rFonts w:ascii="Arial" w:hAnsi="Arial" w:cs="Arial"/>
          <w:b/>
          <w:bCs/>
          <w:sz w:val="20"/>
        </w:rPr>
        <w:t>conferred</w:t>
      </w:r>
      <w:r>
        <w:rPr>
          <w:rFonts w:ascii="Arial" w:hAnsi="Arial" w:cs="Arial"/>
          <w:b/>
          <w:bCs/>
          <w:sz w:val="20"/>
        </w:rPr>
        <w:t xml:space="preserve"> by the CYFA or any other legislation</w:t>
      </w:r>
    </w:p>
    <w:p w14:paraId="3538231D" w14:textId="77777777" w:rsidR="00312136" w:rsidRDefault="002D7CD8" w:rsidP="002D7CD8">
      <w:pPr>
        <w:jc w:val="both"/>
        <w:rPr>
          <w:rFonts w:ascii="Arial" w:hAnsi="Arial" w:cs="Arial"/>
          <w:sz w:val="20"/>
        </w:rPr>
      </w:pPr>
      <w:r>
        <w:rPr>
          <w:rFonts w:ascii="Arial" w:hAnsi="Arial" w:cs="Arial"/>
          <w:sz w:val="20"/>
        </w:rPr>
        <w:t>A Children’s Court judicial officer has any powers expressly or impliedly conferred by the CYFA or any other legislation</w:t>
      </w:r>
      <w:r w:rsidR="00934372">
        <w:rPr>
          <w:rFonts w:ascii="Arial" w:hAnsi="Arial" w:cs="Arial"/>
          <w:sz w:val="20"/>
        </w:rPr>
        <w:t xml:space="preserve"> {for example the </w:t>
      </w:r>
      <w:r w:rsidR="00934372" w:rsidRPr="00174CDB">
        <w:rPr>
          <w:rFonts w:ascii="Arial" w:hAnsi="Arial" w:cs="Arial"/>
          <w:i/>
          <w:iCs/>
          <w:sz w:val="20"/>
        </w:rPr>
        <w:t>Family Violence Protection Act 2008</w:t>
      </w:r>
      <w:r w:rsidR="00934372">
        <w:rPr>
          <w:rFonts w:ascii="Arial" w:hAnsi="Arial" w:cs="Arial"/>
          <w:sz w:val="20"/>
        </w:rPr>
        <w:t>}</w:t>
      </w:r>
      <w:r>
        <w:rPr>
          <w:rFonts w:ascii="Arial" w:hAnsi="Arial" w:cs="Arial"/>
          <w:sz w:val="20"/>
        </w:rPr>
        <w:t xml:space="preserve">: see </w:t>
      </w:r>
      <w:r>
        <w:rPr>
          <w:rFonts w:ascii="Arial" w:hAnsi="Arial" w:cs="Arial"/>
          <w:i/>
          <w:iCs/>
          <w:sz w:val="20"/>
        </w:rPr>
        <w:t>R v McGowan &amp; Another; ex parte Macko &amp; Sanderson</w:t>
      </w:r>
      <w:r>
        <w:rPr>
          <w:rFonts w:ascii="Arial" w:hAnsi="Arial" w:cs="Arial"/>
          <w:sz w:val="20"/>
        </w:rPr>
        <w:t xml:space="preserve"> [1984] VR 1000; </w:t>
      </w:r>
      <w:r>
        <w:rPr>
          <w:rFonts w:ascii="Arial" w:hAnsi="Arial" w:cs="Arial"/>
          <w:i/>
          <w:iCs/>
          <w:sz w:val="20"/>
        </w:rPr>
        <w:t xml:space="preserve">Willis v Magistrates' Court of Victoria &amp; Buck </w:t>
      </w:r>
      <w:r w:rsidR="00877FC4">
        <w:rPr>
          <w:rFonts w:ascii="Arial" w:hAnsi="Arial" w:cs="Arial"/>
          <w:sz w:val="20"/>
        </w:rPr>
        <w:t>{MC9/97}.</w:t>
      </w:r>
    </w:p>
    <w:p w14:paraId="45A7E33B" w14:textId="77777777" w:rsidR="00312136" w:rsidRDefault="00312136" w:rsidP="00AE2500">
      <w:pPr>
        <w:rPr>
          <w:rFonts w:ascii="Arial" w:hAnsi="Arial" w:cs="Arial"/>
          <w:sz w:val="20"/>
        </w:rPr>
      </w:pPr>
    </w:p>
    <w:p w14:paraId="33925921" w14:textId="0430BDE1" w:rsidR="007849C4" w:rsidRDefault="002D7CD8" w:rsidP="002D7CD8">
      <w:pPr>
        <w:jc w:val="both"/>
        <w:rPr>
          <w:rFonts w:ascii="Arial" w:hAnsi="Arial" w:cs="Arial"/>
          <w:sz w:val="20"/>
        </w:rPr>
      </w:pPr>
      <w:r>
        <w:rPr>
          <w:rFonts w:ascii="Arial" w:hAnsi="Arial" w:cs="Arial"/>
          <w:sz w:val="20"/>
        </w:rPr>
        <w:t xml:space="preserve">This includes power to adjourn proceedings, on application of a party or on the Court's own motion, to such times and places, for such purposes, and on such terms as to costs or otherwise as </w:t>
      </w:r>
      <w:r w:rsidR="007849C4">
        <w:rPr>
          <w:rFonts w:ascii="Arial" w:hAnsi="Arial" w:cs="Arial"/>
          <w:sz w:val="20"/>
        </w:rPr>
        <w:t>t</w:t>
      </w:r>
      <w:r>
        <w:rPr>
          <w:rFonts w:ascii="Arial" w:hAnsi="Arial" w:cs="Arial"/>
          <w:sz w:val="20"/>
        </w:rPr>
        <w:t xml:space="preserve">he </w:t>
      </w:r>
      <w:r w:rsidR="007849C4">
        <w:rPr>
          <w:rFonts w:ascii="Arial" w:hAnsi="Arial" w:cs="Arial"/>
          <w:sz w:val="20"/>
        </w:rPr>
        <w:t>Court</w:t>
      </w:r>
      <w:r>
        <w:rPr>
          <w:rFonts w:ascii="Arial" w:hAnsi="Arial" w:cs="Arial"/>
          <w:sz w:val="20"/>
        </w:rPr>
        <w:t xml:space="preserve"> considers necessary or just [s.530(1) of the CYFA].  Note however that s</w:t>
      </w:r>
      <w:r w:rsidR="007849C4">
        <w:rPr>
          <w:rFonts w:ascii="Arial" w:hAnsi="Arial" w:cs="Arial"/>
          <w:sz w:val="20"/>
        </w:rPr>
        <w:t>s</w:t>
      </w:r>
      <w:r>
        <w:rPr>
          <w:rFonts w:ascii="Arial" w:hAnsi="Arial" w:cs="Arial"/>
          <w:sz w:val="20"/>
        </w:rPr>
        <w:t>.530(8)</w:t>
      </w:r>
      <w:r w:rsidR="007849C4">
        <w:rPr>
          <w:rFonts w:ascii="Arial" w:hAnsi="Arial" w:cs="Arial"/>
          <w:sz w:val="20"/>
        </w:rPr>
        <w:t xml:space="preserve"> to 530(11)</w:t>
      </w:r>
      <w:r>
        <w:rPr>
          <w:rFonts w:ascii="Arial" w:hAnsi="Arial" w:cs="Arial"/>
          <w:sz w:val="20"/>
        </w:rPr>
        <w:t xml:space="preserve"> of the CYFA provide:</w:t>
      </w:r>
    </w:p>
    <w:p w14:paraId="02CFF44F" w14:textId="7BF1DFB6" w:rsidR="007849C4" w:rsidRDefault="007849C4" w:rsidP="007849C4">
      <w:pPr>
        <w:spacing w:before="60"/>
        <w:ind w:left="908" w:right="454" w:hanging="454"/>
        <w:jc w:val="both"/>
        <w:rPr>
          <w:rFonts w:ascii="Arial" w:hAnsi="Arial" w:cs="Arial"/>
          <w:sz w:val="20"/>
        </w:rPr>
      </w:pPr>
      <w:r>
        <w:rPr>
          <w:rFonts w:ascii="Arial" w:hAnsi="Arial" w:cs="Arial"/>
          <w:sz w:val="20"/>
        </w:rPr>
        <w:t>(8)</w:t>
      </w:r>
      <w:r>
        <w:rPr>
          <w:rFonts w:ascii="Arial" w:hAnsi="Arial" w:cs="Arial"/>
          <w:sz w:val="20"/>
        </w:rPr>
        <w:tab/>
      </w:r>
      <w:r w:rsidR="002D7CD8">
        <w:rPr>
          <w:rFonts w:ascii="Arial" w:hAnsi="Arial" w:cs="Arial"/>
          <w:sz w:val="20"/>
        </w:rPr>
        <w:t>"The Court must proceed with as much expedition as the requirements of this Act and a proper hearing of the proceeding permit.</w:t>
      </w:r>
    </w:p>
    <w:p w14:paraId="344B1BC0" w14:textId="064130F8" w:rsidR="007849C4" w:rsidRDefault="007849C4" w:rsidP="007849C4">
      <w:pPr>
        <w:spacing w:before="60"/>
        <w:ind w:left="908" w:right="454" w:hanging="454"/>
        <w:jc w:val="both"/>
        <w:rPr>
          <w:rFonts w:ascii="Arial" w:hAnsi="Arial" w:cs="Arial"/>
          <w:sz w:val="20"/>
        </w:rPr>
      </w:pPr>
      <w:r>
        <w:rPr>
          <w:rFonts w:ascii="Arial" w:hAnsi="Arial" w:cs="Arial"/>
          <w:sz w:val="20"/>
        </w:rPr>
        <w:lastRenderedPageBreak/>
        <w:t>(9)</w:t>
      </w:r>
      <w:r>
        <w:rPr>
          <w:rFonts w:ascii="Arial" w:hAnsi="Arial" w:cs="Arial"/>
          <w:sz w:val="20"/>
        </w:rPr>
        <w:tab/>
        <w:t>The Court should avoid the granting of adjournments in Family Division proceedings to the greatest extent possible.</w:t>
      </w:r>
    </w:p>
    <w:p w14:paraId="3E5058D4" w14:textId="234AB5E4" w:rsidR="007849C4" w:rsidRDefault="007849C4" w:rsidP="007849C4">
      <w:pPr>
        <w:spacing w:before="60"/>
        <w:ind w:left="908" w:right="454" w:hanging="454"/>
        <w:jc w:val="both"/>
        <w:rPr>
          <w:rFonts w:ascii="Arial" w:hAnsi="Arial" w:cs="Arial"/>
          <w:sz w:val="20"/>
        </w:rPr>
      </w:pPr>
      <w:r>
        <w:rPr>
          <w:rFonts w:ascii="Arial" w:hAnsi="Arial" w:cs="Arial"/>
          <w:sz w:val="20"/>
        </w:rPr>
        <w:t>(10)</w:t>
      </w:r>
      <w:r>
        <w:rPr>
          <w:rFonts w:ascii="Arial" w:hAnsi="Arial" w:cs="Arial"/>
          <w:sz w:val="20"/>
        </w:rPr>
        <w:tab/>
        <w:t>The Court must not grant an adjournment of a proceeding in the Family Division unless it is of opinion that–</w:t>
      </w:r>
    </w:p>
    <w:p w14:paraId="76449EA3" w14:textId="10629266" w:rsidR="007849C4" w:rsidRDefault="007849C4" w:rsidP="007849C4">
      <w:pPr>
        <w:ind w:left="1361" w:right="454" w:hanging="454"/>
        <w:jc w:val="both"/>
        <w:rPr>
          <w:rFonts w:ascii="Arial" w:hAnsi="Arial" w:cs="Arial"/>
          <w:sz w:val="20"/>
        </w:rPr>
      </w:pPr>
      <w:r>
        <w:rPr>
          <w:rFonts w:ascii="Arial" w:hAnsi="Arial" w:cs="Arial"/>
          <w:sz w:val="20"/>
        </w:rPr>
        <w:t>(a)</w:t>
      </w:r>
      <w:r>
        <w:rPr>
          <w:rFonts w:ascii="Arial" w:hAnsi="Arial" w:cs="Arial"/>
          <w:sz w:val="20"/>
        </w:rPr>
        <w:tab/>
        <w:t>it is in the best interests of the child to do so; or</w:t>
      </w:r>
    </w:p>
    <w:p w14:paraId="305A991E" w14:textId="51E5F3DB" w:rsidR="007849C4" w:rsidRDefault="007849C4" w:rsidP="007849C4">
      <w:pPr>
        <w:ind w:left="1361" w:right="454" w:hanging="454"/>
        <w:jc w:val="both"/>
        <w:rPr>
          <w:rFonts w:ascii="Arial" w:hAnsi="Arial" w:cs="Arial"/>
          <w:sz w:val="20"/>
        </w:rPr>
      </w:pPr>
      <w:r>
        <w:rPr>
          <w:rFonts w:ascii="Arial" w:hAnsi="Arial" w:cs="Arial"/>
          <w:sz w:val="20"/>
        </w:rPr>
        <w:t>(b)</w:t>
      </w:r>
      <w:r>
        <w:rPr>
          <w:rFonts w:ascii="Arial" w:hAnsi="Arial" w:cs="Arial"/>
          <w:sz w:val="20"/>
        </w:rPr>
        <w:tab/>
        <w:t>there is some other cogent or substantial reason to do so.</w:t>
      </w:r>
    </w:p>
    <w:p w14:paraId="4BEB3069" w14:textId="6C82CF54" w:rsidR="007849C4" w:rsidRDefault="007849C4" w:rsidP="007849C4">
      <w:pPr>
        <w:spacing w:before="60"/>
        <w:ind w:left="908" w:right="454" w:hanging="454"/>
        <w:jc w:val="both"/>
        <w:rPr>
          <w:rFonts w:ascii="Arial" w:hAnsi="Arial" w:cs="Arial"/>
          <w:sz w:val="20"/>
        </w:rPr>
      </w:pPr>
      <w:r>
        <w:rPr>
          <w:rFonts w:ascii="Arial" w:hAnsi="Arial" w:cs="Arial"/>
          <w:sz w:val="20"/>
        </w:rPr>
        <w:t>(11)</w:t>
      </w:r>
      <w:r>
        <w:rPr>
          <w:rFonts w:ascii="Arial" w:hAnsi="Arial" w:cs="Arial"/>
          <w:sz w:val="20"/>
        </w:rPr>
        <w:tab/>
        <w:t>In deciding whether and for how long to adjourn a proceeding under this section, the Court must have regard to the requirements in ss.530(8), 530(9) &amp; 530(10).”</w:t>
      </w:r>
    </w:p>
    <w:p w14:paraId="18B1E7EC" w14:textId="77777777" w:rsidR="003F061B" w:rsidRDefault="003F061B" w:rsidP="00AE2500">
      <w:pPr>
        <w:rPr>
          <w:rFonts w:ascii="Arial" w:hAnsi="Arial" w:cs="Arial"/>
          <w:sz w:val="20"/>
        </w:rPr>
      </w:pPr>
    </w:p>
    <w:p w14:paraId="2C7619DA" w14:textId="77777777" w:rsidR="002D7CD8" w:rsidRDefault="002D7CD8" w:rsidP="002D7CD8">
      <w:pPr>
        <w:jc w:val="both"/>
        <w:rPr>
          <w:rFonts w:ascii="Arial" w:hAnsi="Arial" w:cs="Arial"/>
          <w:sz w:val="20"/>
        </w:rPr>
      </w:pPr>
      <w:r>
        <w:rPr>
          <w:rFonts w:ascii="Arial" w:hAnsi="Arial" w:cs="Arial"/>
          <w:sz w:val="20"/>
        </w:rPr>
        <w:t xml:space="preserve">In </w:t>
      </w:r>
      <w:r>
        <w:rPr>
          <w:rFonts w:ascii="Arial" w:hAnsi="Arial" w:cs="Arial"/>
          <w:i/>
          <w:iCs/>
          <w:sz w:val="20"/>
        </w:rPr>
        <w:t>PA v Karavidas &amp; Ors</w:t>
      </w:r>
      <w:r>
        <w:rPr>
          <w:rFonts w:ascii="Arial" w:hAnsi="Arial" w:cs="Arial"/>
          <w:sz w:val="20"/>
        </w:rPr>
        <w:t xml:space="preserve"> [2001] VSC 185 an uncle of a teenage child who had been charged with offences involving sexual penetration of the child had applied to the Children's Court for the contested hearing of a protection application to be adjourned until after the determination of the criminal charges against him.  The magistrate had refused to grant the adjournment sought.  There is conflicting authority on this issue.  In </w:t>
      </w:r>
      <w:r>
        <w:rPr>
          <w:rFonts w:ascii="Arial" w:hAnsi="Arial" w:cs="Arial"/>
          <w:i/>
          <w:sz w:val="20"/>
        </w:rPr>
        <w:t>Atkins v. Minister of Community Welfare and Crowe</w:t>
      </w:r>
      <w:r>
        <w:rPr>
          <w:rFonts w:ascii="Arial" w:hAnsi="Arial" w:cs="Arial"/>
          <w:sz w:val="20"/>
        </w:rPr>
        <w:t xml:space="preserve"> (1988) 34 A Crim R 26 a decision to adjourn a protection hearing pending the hearing and determination of criminal charges against a party was upheld by the Full Court of South Australia.  In </w:t>
      </w:r>
      <w:r>
        <w:rPr>
          <w:rFonts w:ascii="Arial" w:hAnsi="Arial" w:cs="Arial"/>
          <w:i/>
          <w:sz w:val="20"/>
        </w:rPr>
        <w:t>Re K.</w:t>
      </w:r>
      <w:r>
        <w:rPr>
          <w:rFonts w:ascii="Arial" w:hAnsi="Arial" w:cs="Arial"/>
          <w:sz w:val="20"/>
        </w:rPr>
        <w:t xml:space="preserve"> (1994) FLC 92-461 the Full Court of the Family Court took the opposite view, refusing to adjourn the Family Court proceeding pending the hearing and determination of criminal charges against a party.  The magistrate had preferred </w:t>
      </w:r>
      <w:r>
        <w:rPr>
          <w:rFonts w:ascii="Arial" w:hAnsi="Arial" w:cs="Arial"/>
          <w:i/>
          <w:iCs/>
          <w:sz w:val="20"/>
        </w:rPr>
        <w:t>Re K.</w:t>
      </w:r>
      <w:r>
        <w:rPr>
          <w:rFonts w:ascii="Arial" w:hAnsi="Arial" w:cs="Arial"/>
          <w:sz w:val="20"/>
        </w:rPr>
        <w:t xml:space="preserve"> to </w:t>
      </w:r>
      <w:r>
        <w:rPr>
          <w:rFonts w:ascii="Arial" w:hAnsi="Arial" w:cs="Arial"/>
          <w:i/>
          <w:iCs/>
          <w:sz w:val="20"/>
        </w:rPr>
        <w:t>Atkins' Case</w:t>
      </w:r>
      <w:r>
        <w:rPr>
          <w:rFonts w:ascii="Arial" w:hAnsi="Arial" w:cs="Arial"/>
          <w:sz w:val="20"/>
        </w:rPr>
        <w:t xml:space="preserve">.  At [20] Beach J agreed: "Having regard to the circumstances in this case I would have adopted the same course."  In </w:t>
      </w:r>
      <w:r>
        <w:rPr>
          <w:rFonts w:ascii="Arial" w:hAnsi="Arial" w:cs="Arial"/>
          <w:i/>
          <w:iCs/>
          <w:sz w:val="20"/>
        </w:rPr>
        <w:t>Re K.</w:t>
      </w:r>
      <w:r>
        <w:rPr>
          <w:rFonts w:ascii="Arial" w:hAnsi="Arial" w:cs="Arial"/>
          <w:sz w:val="20"/>
        </w:rPr>
        <w:t xml:space="preserve"> at p.544 the Full Court had said</w:t>
      </w:r>
      <w:r w:rsidR="00F75E94">
        <w:rPr>
          <w:rFonts w:ascii="Arial" w:hAnsi="Arial" w:cs="Arial"/>
          <w:sz w:val="20"/>
        </w:rPr>
        <w:t>:</w:t>
      </w:r>
    </w:p>
    <w:p w14:paraId="49CA79D1" w14:textId="77777777" w:rsidR="002D7CD8" w:rsidRPr="00262AC3" w:rsidRDefault="002D7CD8" w:rsidP="002A163C">
      <w:pPr>
        <w:spacing w:before="60"/>
        <w:ind w:left="454" w:right="454"/>
        <w:jc w:val="both"/>
        <w:rPr>
          <w:rFonts w:ascii="Arial" w:hAnsi="Arial" w:cs="Arial"/>
          <w:sz w:val="20"/>
        </w:rPr>
      </w:pPr>
      <w:r>
        <w:rPr>
          <w:rFonts w:ascii="Arial" w:hAnsi="Arial" w:cs="Arial"/>
          <w:sz w:val="20"/>
        </w:rPr>
        <w:t xml:space="preserve">"The question whether the court should make interim or final orders depends ultimately upon the circumstances of the individual case.  However, that decision is to be made solely against the criterion of the welfare of the child.  </w:t>
      </w:r>
      <w:r>
        <w:rPr>
          <w:rFonts w:ascii="Arial" w:hAnsi="Arial" w:cs="Arial"/>
          <w:b/>
          <w:bCs/>
          <w:sz w:val="20"/>
        </w:rPr>
        <w:t>The circumstance alone that one of the parties has criminal charges pending would not justify an adjournment.  In most cases the child's welfare would not be served by his or her custody remaining in abeyance over what might be a substantial period of time pending the outcome of proceedings in the criminal courts.  Generally a child is benefited by certainty and regularity in his or her life.</w:t>
      </w:r>
      <w:r>
        <w:rPr>
          <w:rFonts w:ascii="Arial" w:hAnsi="Arial" w:cs="Arial"/>
          <w:sz w:val="20"/>
        </w:rPr>
        <w:t>"</w:t>
      </w:r>
      <w:r w:rsidR="00F75E94">
        <w:rPr>
          <w:rFonts w:ascii="Arial" w:hAnsi="Arial" w:cs="Arial"/>
          <w:sz w:val="20"/>
        </w:rPr>
        <w:t xml:space="preserve"> [emphasis added]</w:t>
      </w:r>
    </w:p>
    <w:p w14:paraId="1C6FB3A2" w14:textId="77777777" w:rsidR="002A163C" w:rsidRPr="00262AC3" w:rsidRDefault="002D7CD8" w:rsidP="002A163C">
      <w:pPr>
        <w:spacing w:before="60"/>
        <w:ind w:left="454" w:right="454"/>
        <w:jc w:val="both"/>
        <w:rPr>
          <w:rFonts w:ascii="Arial" w:hAnsi="Arial" w:cs="Arial"/>
          <w:sz w:val="20"/>
        </w:rPr>
      </w:pPr>
      <w:r>
        <w:rPr>
          <w:rFonts w:ascii="Arial" w:hAnsi="Arial" w:cs="Arial"/>
          <w:sz w:val="20"/>
        </w:rPr>
        <w:t>"…So far as the 'right of silence' and any wider question of potential prejudice in the party's subsequent criminal proceedings are concerned, we consider that the position was correctly stated by Young CJ, namely that it would be a rare case where that alone would justify an adjournment."</w:t>
      </w:r>
    </w:p>
    <w:p w14:paraId="391145F5" w14:textId="77777777" w:rsidR="002D7CD8" w:rsidRPr="006B6A68" w:rsidRDefault="002D7CD8" w:rsidP="00AE2500">
      <w:pPr>
        <w:rPr>
          <w:rFonts w:ascii="Arial" w:hAnsi="Arial" w:cs="Arial"/>
          <w:sz w:val="12"/>
        </w:rPr>
      </w:pPr>
    </w:p>
    <w:p w14:paraId="66B58EA9" w14:textId="77777777" w:rsidR="00D15730" w:rsidRDefault="00D15730" w:rsidP="00D15730">
      <w:pPr>
        <w:jc w:val="both"/>
        <w:rPr>
          <w:rFonts w:ascii="Arial" w:hAnsi="Arial" w:cs="Arial"/>
          <w:sz w:val="20"/>
        </w:rPr>
      </w:pPr>
      <w:r>
        <w:rPr>
          <w:rFonts w:ascii="Arial" w:hAnsi="Arial" w:cs="Arial"/>
          <w:sz w:val="20"/>
        </w:rPr>
        <w:t xml:space="preserve">In </w:t>
      </w:r>
      <w:r>
        <w:rPr>
          <w:rFonts w:ascii="Arial" w:hAnsi="Arial" w:cs="Arial"/>
          <w:i/>
          <w:iCs/>
          <w:sz w:val="20"/>
        </w:rPr>
        <w:t xml:space="preserve">PA v Karavidas &amp; Ors </w:t>
      </w:r>
      <w:r>
        <w:rPr>
          <w:rFonts w:ascii="Arial" w:hAnsi="Arial" w:cs="Arial"/>
          <w:sz w:val="20"/>
        </w:rPr>
        <w:t>Beach J made the following observations at [15]-[17] about the comparative inviolability of a magistrate's decision to grant or to refuse an adjournment</w:t>
      </w:r>
      <w:r w:rsidR="00F75E94">
        <w:rPr>
          <w:rFonts w:ascii="Arial" w:hAnsi="Arial" w:cs="Arial"/>
          <w:sz w:val="20"/>
        </w:rPr>
        <w:t>:</w:t>
      </w:r>
    </w:p>
    <w:p w14:paraId="5E2ECE3F" w14:textId="77777777" w:rsidR="00D15730" w:rsidRDefault="00D15730" w:rsidP="002A163C">
      <w:pPr>
        <w:spacing w:before="80"/>
        <w:ind w:left="454" w:right="454"/>
        <w:jc w:val="both"/>
        <w:rPr>
          <w:rFonts w:ascii="Arial" w:hAnsi="Arial" w:cs="Arial"/>
          <w:sz w:val="20"/>
        </w:rPr>
      </w:pPr>
      <w:r>
        <w:rPr>
          <w:rFonts w:ascii="Arial" w:hAnsi="Arial" w:cs="Arial"/>
          <w:sz w:val="20"/>
        </w:rPr>
        <w:t>[15] "It is rare that this court will disturb a decision of a magistrate to grant or refuse an adjournment.</w:t>
      </w:r>
    </w:p>
    <w:p w14:paraId="44AB3375" w14:textId="77777777" w:rsidR="00D15730" w:rsidRDefault="00D15730" w:rsidP="002A163C">
      <w:pPr>
        <w:spacing w:before="80"/>
        <w:ind w:left="454" w:right="454"/>
        <w:jc w:val="both"/>
        <w:rPr>
          <w:rFonts w:ascii="Arial" w:hAnsi="Arial" w:cs="Arial"/>
          <w:sz w:val="20"/>
        </w:rPr>
      </w:pPr>
      <w:r>
        <w:rPr>
          <w:rFonts w:ascii="Arial" w:hAnsi="Arial" w:cs="Arial"/>
          <w:sz w:val="20"/>
        </w:rPr>
        <w:t xml:space="preserve">[16] The matter was clearly spelled out by the Court of Appeal of </w:t>
      </w:r>
      <w:smartTag w:uri="urn:schemas-microsoft-com:office:smarttags" w:element="place">
        <w:smartTag w:uri="urn:schemas-microsoft-com:office:smarttags" w:element="State">
          <w:r>
            <w:rPr>
              <w:rFonts w:ascii="Arial" w:hAnsi="Arial" w:cs="Arial"/>
              <w:sz w:val="20"/>
            </w:rPr>
            <w:t>New South Wales</w:t>
          </w:r>
        </w:smartTag>
      </w:smartTag>
      <w:r>
        <w:rPr>
          <w:rFonts w:ascii="Arial" w:hAnsi="Arial" w:cs="Arial"/>
          <w:sz w:val="20"/>
        </w:rPr>
        <w:t xml:space="preserve"> in </w:t>
      </w:r>
      <w:r>
        <w:rPr>
          <w:rFonts w:ascii="Arial" w:hAnsi="Arial" w:cs="Arial"/>
          <w:i/>
          <w:sz w:val="20"/>
        </w:rPr>
        <w:t>Cucu v. District Court of New South Wales</w:t>
      </w:r>
      <w:r>
        <w:rPr>
          <w:rFonts w:ascii="Arial" w:hAnsi="Arial" w:cs="Arial"/>
          <w:sz w:val="20"/>
        </w:rPr>
        <w:t xml:space="preserve"> (1994) 73 A Crim R 240.  At p.246, Kirby, P., as he then was, said:</w:t>
      </w:r>
    </w:p>
    <w:p w14:paraId="76E1F0E8" w14:textId="2D024BF7" w:rsidR="00D15730" w:rsidRPr="002A163C" w:rsidRDefault="00D15730" w:rsidP="002A163C">
      <w:pPr>
        <w:spacing w:before="80"/>
        <w:ind w:left="907" w:right="907"/>
        <w:jc w:val="both"/>
        <w:rPr>
          <w:rFonts w:ascii="Arial" w:hAnsi="Arial" w:cs="Arial"/>
          <w:sz w:val="18"/>
          <w:szCs w:val="18"/>
        </w:rPr>
      </w:pPr>
      <w:r w:rsidRPr="002A163C">
        <w:rPr>
          <w:rFonts w:ascii="Arial" w:hAnsi="Arial" w:cs="Arial"/>
          <w:sz w:val="18"/>
          <w:szCs w:val="18"/>
        </w:rPr>
        <w:t xml:space="preserve">'It is rare that a court such as this </w:t>
      </w:r>
      <w:r w:rsidR="00A31FFA" w:rsidRPr="00A31FFA">
        <w:rPr>
          <w:rFonts w:ascii="Arial" w:hAnsi="Arial" w:cs="Arial"/>
          <w:sz w:val="20"/>
        </w:rPr>
        <w:t>–</w:t>
      </w:r>
      <w:r w:rsidRPr="002A163C">
        <w:rPr>
          <w:rFonts w:ascii="Arial" w:hAnsi="Arial" w:cs="Arial"/>
          <w:sz w:val="18"/>
          <w:szCs w:val="18"/>
        </w:rPr>
        <w:t xml:space="preserve"> either in appeal or in judicial review </w:t>
      </w:r>
      <w:r w:rsidR="00A31FFA" w:rsidRPr="00A31FFA">
        <w:rPr>
          <w:rFonts w:ascii="Arial" w:hAnsi="Arial" w:cs="Arial"/>
          <w:sz w:val="20"/>
        </w:rPr>
        <w:t>–</w:t>
      </w:r>
      <w:r w:rsidRPr="002A163C">
        <w:rPr>
          <w:rFonts w:ascii="Arial" w:hAnsi="Arial" w:cs="Arial"/>
          <w:sz w:val="18"/>
          <w:szCs w:val="18"/>
        </w:rPr>
        <w:t xml:space="preserve"> will disturb the decision to grant or refuse an adjournment.  This is because such decisions are essentially discretionary in character.  They are made, as necessity requires, quickly and as the justice of the application strikes the decision-maker.  The reasons for not disturbing such decisions are too well known to require lengthy elaboration:  see, eg </w:t>
      </w:r>
      <w:r w:rsidRPr="002A163C">
        <w:rPr>
          <w:rFonts w:ascii="Arial" w:hAnsi="Arial" w:cs="Arial"/>
          <w:i/>
          <w:sz w:val="18"/>
          <w:szCs w:val="18"/>
        </w:rPr>
        <w:t>Sali v SPC Ltd</w:t>
      </w:r>
      <w:r w:rsidRPr="002A163C">
        <w:rPr>
          <w:rFonts w:ascii="Arial" w:hAnsi="Arial" w:cs="Arial"/>
          <w:sz w:val="18"/>
          <w:szCs w:val="18"/>
        </w:rPr>
        <w:t xml:space="preserve"> (1993) 67 ALJR 841 at 848-849; </w:t>
      </w:r>
      <w:r w:rsidRPr="002A163C">
        <w:rPr>
          <w:rFonts w:ascii="Arial" w:hAnsi="Arial" w:cs="Arial"/>
          <w:i/>
          <w:sz w:val="18"/>
          <w:szCs w:val="18"/>
        </w:rPr>
        <w:t>Sydney City Council v Ke-Su Investments Pty Ltd</w:t>
      </w:r>
      <w:r w:rsidRPr="002A163C">
        <w:rPr>
          <w:rFonts w:ascii="Arial" w:hAnsi="Arial" w:cs="Arial"/>
          <w:sz w:val="18"/>
          <w:szCs w:val="18"/>
        </w:rPr>
        <w:t xml:space="preserve"> (1985) 1 NSWLR 246 at 250; </w:t>
      </w:r>
      <w:r w:rsidRPr="002A163C">
        <w:rPr>
          <w:rFonts w:ascii="Arial" w:hAnsi="Arial" w:cs="Arial"/>
          <w:i/>
          <w:sz w:val="18"/>
          <w:szCs w:val="18"/>
        </w:rPr>
        <w:t>Adamopoulos</w:t>
      </w:r>
      <w:r w:rsidRPr="002A163C">
        <w:rPr>
          <w:rFonts w:ascii="Arial" w:hAnsi="Arial" w:cs="Arial"/>
          <w:sz w:val="18"/>
          <w:szCs w:val="18"/>
        </w:rPr>
        <w:t xml:space="preserve"> (at 77); </w:t>
      </w:r>
      <w:r w:rsidRPr="002A163C">
        <w:rPr>
          <w:rFonts w:ascii="Arial" w:hAnsi="Arial" w:cs="Arial"/>
          <w:i/>
          <w:sz w:val="18"/>
          <w:szCs w:val="18"/>
        </w:rPr>
        <w:t>GSA Industries Pty Ltd v NT Gas Ltd</w:t>
      </w:r>
      <w:r w:rsidRPr="002A163C">
        <w:rPr>
          <w:rFonts w:ascii="Arial" w:hAnsi="Arial" w:cs="Arial"/>
          <w:sz w:val="18"/>
          <w:szCs w:val="18"/>
        </w:rPr>
        <w:t xml:space="preserve"> (1990) 24 NSWLR 710 at 712.</w:t>
      </w:r>
    </w:p>
    <w:p w14:paraId="54E3F994" w14:textId="77777777" w:rsidR="00D15730" w:rsidRPr="002A163C" w:rsidRDefault="00D15730" w:rsidP="002A163C">
      <w:pPr>
        <w:spacing w:before="80"/>
        <w:ind w:left="907" w:right="907"/>
        <w:jc w:val="both"/>
        <w:rPr>
          <w:rFonts w:ascii="Arial" w:hAnsi="Arial" w:cs="Arial"/>
          <w:sz w:val="18"/>
          <w:szCs w:val="22"/>
        </w:rPr>
      </w:pPr>
      <w:r w:rsidRPr="002A163C">
        <w:rPr>
          <w:rFonts w:ascii="Arial" w:hAnsi="Arial" w:cs="Arial"/>
          <w:sz w:val="18"/>
          <w:szCs w:val="22"/>
        </w:rPr>
        <w:t>These principles do not, however, mean that this Court forfeits its responsibility to consider a claim that a refusal of an adjournment has miscarried and/or that it has occasioned such a serious risk of miscarriage of justice that the Court must intervene.'</w:t>
      </w:r>
    </w:p>
    <w:p w14:paraId="48EA8200" w14:textId="77777777" w:rsidR="00D15730" w:rsidRDefault="00D15730" w:rsidP="002A163C">
      <w:pPr>
        <w:spacing w:before="80"/>
        <w:ind w:left="454" w:right="454"/>
        <w:jc w:val="both"/>
        <w:rPr>
          <w:rFonts w:ascii="Arial" w:hAnsi="Arial" w:cs="Arial"/>
          <w:sz w:val="20"/>
        </w:rPr>
      </w:pPr>
      <w:r>
        <w:rPr>
          <w:rFonts w:ascii="Arial" w:hAnsi="Arial" w:cs="Arial"/>
          <w:sz w:val="20"/>
        </w:rPr>
        <w:t>However, His Honour then held that the Judge of the District Court who refused the adjournment in that case had erred and held that there should be a re-hearing.</w:t>
      </w:r>
    </w:p>
    <w:p w14:paraId="141F2643" w14:textId="77777777" w:rsidR="00CB431B" w:rsidRDefault="00D15730" w:rsidP="00CB431B">
      <w:pPr>
        <w:spacing w:before="80"/>
        <w:ind w:left="454" w:right="454"/>
        <w:jc w:val="both"/>
        <w:rPr>
          <w:rFonts w:ascii="Arial" w:hAnsi="Arial" w:cs="Arial"/>
          <w:sz w:val="20"/>
        </w:rPr>
      </w:pPr>
      <w:r>
        <w:rPr>
          <w:rFonts w:ascii="Arial" w:hAnsi="Arial" w:cs="Arial"/>
          <w:sz w:val="20"/>
        </w:rPr>
        <w:t>[17] At p.249 Meagher JA said:</w:t>
      </w:r>
    </w:p>
    <w:p w14:paraId="366199B4" w14:textId="77777777" w:rsidR="00D15730" w:rsidRPr="00CB431B" w:rsidRDefault="00D15730" w:rsidP="00CB431B">
      <w:pPr>
        <w:spacing w:before="80"/>
        <w:ind w:left="907" w:right="907"/>
        <w:jc w:val="both"/>
        <w:rPr>
          <w:rFonts w:ascii="Arial" w:hAnsi="Arial" w:cs="Arial"/>
          <w:sz w:val="18"/>
          <w:szCs w:val="22"/>
        </w:rPr>
      </w:pPr>
      <w:r w:rsidRPr="00CB431B">
        <w:rPr>
          <w:rFonts w:ascii="Arial" w:hAnsi="Arial" w:cs="Arial"/>
          <w:sz w:val="18"/>
          <w:szCs w:val="22"/>
        </w:rPr>
        <w:t xml:space="preserve">'I have read Kirby P's judgment in draft, and reluctantly agree with it.  I say 'reluctantly', because in my view a trial judge's decision to grant or refuse an adjournment ought </w:t>
      </w:r>
      <w:proofErr w:type="gramStart"/>
      <w:r w:rsidRPr="00CB431B">
        <w:rPr>
          <w:rFonts w:ascii="Arial" w:hAnsi="Arial" w:cs="Arial"/>
          <w:sz w:val="18"/>
          <w:szCs w:val="22"/>
        </w:rPr>
        <w:t>be</w:t>
      </w:r>
      <w:proofErr w:type="gramEnd"/>
      <w:r w:rsidRPr="00CB431B">
        <w:rPr>
          <w:rFonts w:ascii="Arial" w:hAnsi="Arial" w:cs="Arial"/>
          <w:sz w:val="18"/>
          <w:szCs w:val="22"/>
        </w:rPr>
        <w:t xml:space="preserve"> almost inviolable.'</w:t>
      </w:r>
    </w:p>
    <w:p w14:paraId="5952513A" w14:textId="77777777" w:rsidR="00D15730" w:rsidRDefault="00D15730" w:rsidP="00CB431B">
      <w:pPr>
        <w:spacing w:before="80"/>
        <w:ind w:left="454" w:right="454"/>
        <w:jc w:val="both"/>
        <w:rPr>
          <w:rFonts w:ascii="Arial" w:hAnsi="Arial" w:cs="Arial"/>
          <w:sz w:val="20"/>
        </w:rPr>
      </w:pPr>
      <w:r>
        <w:rPr>
          <w:rFonts w:ascii="Arial" w:hAnsi="Arial" w:cs="Arial"/>
          <w:sz w:val="20"/>
        </w:rPr>
        <w:t xml:space="preserve">See also </w:t>
      </w:r>
      <w:r>
        <w:rPr>
          <w:rFonts w:ascii="Arial" w:hAnsi="Arial" w:cs="Arial"/>
          <w:i/>
          <w:sz w:val="20"/>
        </w:rPr>
        <w:t>McColl v. Lehmann</w:t>
      </w:r>
      <w:r>
        <w:rPr>
          <w:rFonts w:ascii="Arial" w:hAnsi="Arial" w:cs="Arial"/>
          <w:sz w:val="20"/>
        </w:rPr>
        <w:t xml:space="preserve"> [1987] VR 503."</w:t>
      </w:r>
    </w:p>
    <w:p w14:paraId="4602F8CF" w14:textId="723341E1" w:rsidR="006B6A68" w:rsidRDefault="006B6A68" w:rsidP="00D15730">
      <w:pPr>
        <w:rPr>
          <w:rFonts w:ascii="Arial" w:hAnsi="Arial" w:cs="Arial"/>
          <w:sz w:val="20"/>
        </w:rPr>
      </w:pPr>
    </w:p>
    <w:p w14:paraId="337343C8" w14:textId="4ED0A9B5" w:rsidR="00CD4D83" w:rsidRDefault="00CD4D83" w:rsidP="00867E29">
      <w:pPr>
        <w:jc w:val="both"/>
        <w:rPr>
          <w:rFonts w:ascii="Arial" w:hAnsi="Arial" w:cs="Arial"/>
          <w:sz w:val="20"/>
        </w:rPr>
      </w:pPr>
      <w:r>
        <w:rPr>
          <w:rFonts w:ascii="Arial" w:hAnsi="Arial" w:cs="Arial"/>
          <w:sz w:val="20"/>
        </w:rPr>
        <w:t xml:space="preserve">A broadly similar circumstance – although a vastly different fact situation – arose in </w:t>
      </w:r>
      <w:r w:rsidR="00867E29" w:rsidRPr="00867E29">
        <w:rPr>
          <w:rFonts w:ascii="Arial" w:hAnsi="Arial" w:cs="Arial"/>
          <w:i/>
          <w:iCs/>
          <w:sz w:val="20"/>
        </w:rPr>
        <w:t>5 Boroughs NY Pty Ltd v State of Victoria (No 3)</w:t>
      </w:r>
      <w:r w:rsidR="00867E29">
        <w:rPr>
          <w:rFonts w:ascii="Arial" w:hAnsi="Arial" w:cs="Arial"/>
          <w:sz w:val="20"/>
        </w:rPr>
        <w:t xml:space="preserve"> [2023] VSC 22.  This was an application by the defendant State of Victoria </w:t>
      </w:r>
      <w:r w:rsidR="00867E29">
        <w:rPr>
          <w:rFonts w:ascii="Arial" w:hAnsi="Arial" w:cs="Arial"/>
          <w:sz w:val="20"/>
        </w:rPr>
        <w:lastRenderedPageBreak/>
        <w:t xml:space="preserve">to stay a group proceeding brought against the State and </w:t>
      </w:r>
      <w:r w:rsidR="00ED1F22">
        <w:rPr>
          <w:rFonts w:ascii="Arial" w:hAnsi="Arial" w:cs="Arial"/>
          <w:sz w:val="20"/>
        </w:rPr>
        <w:t>four</w:t>
      </w:r>
      <w:r w:rsidR="00867E29">
        <w:rPr>
          <w:rFonts w:ascii="Arial" w:hAnsi="Arial" w:cs="Arial"/>
          <w:sz w:val="20"/>
        </w:rPr>
        <w:t xml:space="preserve"> senior government officials claiming economic loss consequent on the allegedly negligent exercise of emergency powers under s.200 of the </w:t>
      </w:r>
      <w:r w:rsidR="00867E29" w:rsidRPr="00867E29">
        <w:rPr>
          <w:rFonts w:ascii="Arial" w:hAnsi="Arial" w:cs="Arial"/>
          <w:i/>
          <w:iCs/>
          <w:sz w:val="20"/>
          <w:szCs w:val="20"/>
        </w:rPr>
        <w:t>Public Health and Wellbeing Act 2008 (Vic)</w:t>
      </w:r>
      <w:r w:rsidR="00867E29">
        <w:rPr>
          <w:rFonts w:ascii="Arial" w:hAnsi="Arial" w:cs="Arial"/>
          <w:sz w:val="20"/>
          <w:szCs w:val="20"/>
        </w:rPr>
        <w:t xml:space="preserve"> in implementing a hotel quarantine program during the COVID-19 pandemic.  Criminal proceedings had been laid for breach of the </w:t>
      </w:r>
      <w:r w:rsidR="00867E29" w:rsidRPr="00867E29">
        <w:rPr>
          <w:rFonts w:ascii="Arial" w:hAnsi="Arial" w:cs="Arial"/>
          <w:i/>
          <w:iCs/>
          <w:sz w:val="20"/>
          <w:szCs w:val="20"/>
        </w:rPr>
        <w:t>Occupational Health and Safety Act 2004 (Vic)</w:t>
      </w:r>
      <w:r w:rsidR="00867E29">
        <w:rPr>
          <w:rFonts w:ascii="Arial" w:hAnsi="Arial" w:cs="Arial"/>
          <w:sz w:val="20"/>
          <w:szCs w:val="20"/>
        </w:rPr>
        <w:t xml:space="preserve"> against the relevant State Department of Health </w:t>
      </w:r>
      <w:r w:rsidR="00CE78AD">
        <w:rPr>
          <w:rFonts w:ascii="Arial" w:hAnsi="Arial" w:cs="Arial"/>
          <w:sz w:val="20"/>
          <w:szCs w:val="20"/>
        </w:rPr>
        <w:t xml:space="preserve">[DHHS] </w:t>
      </w:r>
      <w:r w:rsidR="00867E29">
        <w:rPr>
          <w:rFonts w:ascii="Arial" w:hAnsi="Arial" w:cs="Arial"/>
          <w:sz w:val="20"/>
          <w:szCs w:val="20"/>
        </w:rPr>
        <w:t xml:space="preserve">based in part on the same conduct.  </w:t>
      </w:r>
      <w:r w:rsidR="003208BC">
        <w:rPr>
          <w:rFonts w:ascii="Arial" w:hAnsi="Arial" w:cs="Arial"/>
          <w:sz w:val="20"/>
          <w:szCs w:val="20"/>
        </w:rPr>
        <w:t xml:space="preserve">There was a substantial overlap in issues between the civil and criminal proceedings.  </w:t>
      </w:r>
      <w:r w:rsidR="00947A14" w:rsidRPr="00947A14">
        <w:rPr>
          <w:rFonts w:ascii="Arial" w:hAnsi="Arial" w:cs="Arial"/>
          <w:sz w:val="20"/>
          <w:szCs w:val="20"/>
        </w:rPr>
        <w:t>The plaintiff accepted that</w:t>
      </w:r>
      <w:r w:rsidR="00CE78AD">
        <w:rPr>
          <w:rFonts w:ascii="Arial" w:hAnsi="Arial" w:cs="Arial"/>
          <w:sz w:val="20"/>
          <w:szCs w:val="20"/>
        </w:rPr>
        <w:t>, as things presently stood,</w:t>
      </w:r>
      <w:r w:rsidR="00947A14">
        <w:rPr>
          <w:rFonts w:ascii="Arial" w:hAnsi="Arial" w:cs="Arial"/>
          <w:sz w:val="20"/>
          <w:szCs w:val="20"/>
        </w:rPr>
        <w:t xml:space="preserve"> </w:t>
      </w:r>
      <w:r w:rsidR="00947A14" w:rsidRPr="00947A14">
        <w:rPr>
          <w:rFonts w:ascii="Arial" w:hAnsi="Arial" w:cs="Arial"/>
          <w:sz w:val="20"/>
          <w:szCs w:val="20"/>
        </w:rPr>
        <w:t>the prosecution of DHHS must precede the trial of the civil action</w:t>
      </w:r>
      <w:r w:rsidR="00D405C3">
        <w:rPr>
          <w:rFonts w:ascii="Arial" w:hAnsi="Arial" w:cs="Arial"/>
          <w:sz w:val="20"/>
          <w:szCs w:val="20"/>
        </w:rPr>
        <w:t xml:space="preserve"> but opposed the granting of a stay of the group proceeding</w:t>
      </w:r>
      <w:r w:rsidR="00947A14" w:rsidRPr="00947A14">
        <w:rPr>
          <w:rFonts w:ascii="Arial" w:hAnsi="Arial" w:cs="Arial"/>
          <w:sz w:val="20"/>
          <w:szCs w:val="20"/>
        </w:rPr>
        <w:t xml:space="preserve">. </w:t>
      </w:r>
      <w:r w:rsidR="003208BC">
        <w:rPr>
          <w:rFonts w:ascii="Arial" w:hAnsi="Arial" w:cs="Arial"/>
          <w:sz w:val="20"/>
          <w:szCs w:val="20"/>
        </w:rPr>
        <w:t>In</w:t>
      </w:r>
      <w:r w:rsidR="00CE78AD">
        <w:rPr>
          <w:rFonts w:ascii="Arial" w:hAnsi="Arial" w:cs="Arial"/>
          <w:sz w:val="20"/>
          <w:szCs w:val="20"/>
        </w:rPr>
        <w:t> </w:t>
      </w:r>
      <w:r w:rsidR="003208BC">
        <w:rPr>
          <w:rFonts w:ascii="Arial" w:hAnsi="Arial" w:cs="Arial"/>
          <w:sz w:val="20"/>
          <w:szCs w:val="20"/>
        </w:rPr>
        <w:t>refusing the defendant’s application for a stay, John Dixon J said at [3]</w:t>
      </w:r>
      <w:r w:rsidR="00604632">
        <w:rPr>
          <w:rFonts w:ascii="Arial" w:hAnsi="Arial" w:cs="Arial"/>
          <w:sz w:val="20"/>
          <w:szCs w:val="20"/>
        </w:rPr>
        <w:t>, [18]-[22]</w:t>
      </w:r>
      <w:r w:rsidR="00CE78AD">
        <w:rPr>
          <w:rFonts w:ascii="Arial" w:hAnsi="Arial" w:cs="Arial"/>
          <w:sz w:val="20"/>
          <w:szCs w:val="20"/>
        </w:rPr>
        <w:t>, [41]-[43]</w:t>
      </w:r>
      <w:r w:rsidR="00604632">
        <w:rPr>
          <w:rFonts w:ascii="Arial" w:hAnsi="Arial" w:cs="Arial"/>
          <w:sz w:val="20"/>
          <w:szCs w:val="20"/>
        </w:rPr>
        <w:t xml:space="preserve"> &amp; [78]</w:t>
      </w:r>
      <w:r w:rsidR="003208BC">
        <w:rPr>
          <w:rFonts w:ascii="Arial" w:hAnsi="Arial" w:cs="Arial"/>
          <w:sz w:val="20"/>
          <w:szCs w:val="20"/>
        </w:rPr>
        <w:t>:</w:t>
      </w:r>
    </w:p>
    <w:p w14:paraId="1DDAC074" w14:textId="271B13B6" w:rsidR="003208BC" w:rsidRDefault="00604632" w:rsidP="009462F3">
      <w:pPr>
        <w:spacing w:before="60"/>
        <w:ind w:left="454" w:right="454"/>
        <w:jc w:val="both"/>
        <w:rPr>
          <w:rFonts w:ascii="Arial" w:hAnsi="Arial" w:cs="Arial"/>
          <w:sz w:val="20"/>
        </w:rPr>
      </w:pPr>
      <w:r>
        <w:rPr>
          <w:rFonts w:ascii="Arial" w:hAnsi="Arial" w:cs="Arial"/>
          <w:sz w:val="20"/>
        </w:rPr>
        <w:t xml:space="preserve">[3] </w:t>
      </w:r>
      <w:r w:rsidR="003208BC">
        <w:rPr>
          <w:rFonts w:ascii="Arial" w:hAnsi="Arial" w:cs="Arial"/>
          <w:sz w:val="20"/>
        </w:rPr>
        <w:t>“</w:t>
      </w:r>
      <w:r w:rsidR="003208BC" w:rsidRPr="003208BC">
        <w:rPr>
          <w:rFonts w:ascii="Arial" w:hAnsi="Arial" w:cs="Arial"/>
          <w:sz w:val="20"/>
          <w:szCs w:val="20"/>
        </w:rPr>
        <w:t>I am not satisfied that it is in the interests of justice to grant the State’s application to stay the group proceeding. Interlocutory steps may progress the group proceeding without prejudice to the State’s right not to assist the prosecution in proof of its case, to the extent such a right exists. The proceeding is subject to close case management and appropriate directions can be given or protective orders made as found necessary to balance the competing concerns in respect of each proposed step in the group proceeding.</w:t>
      </w:r>
      <w:r w:rsidR="003208BC">
        <w:rPr>
          <w:rFonts w:ascii="Arial" w:hAnsi="Arial" w:cs="Arial"/>
          <w:sz w:val="20"/>
          <w:szCs w:val="20"/>
        </w:rPr>
        <w:t>”</w:t>
      </w:r>
    </w:p>
    <w:p w14:paraId="50F031E0" w14:textId="4985BF4A" w:rsidR="00CD4D83" w:rsidRDefault="00604632" w:rsidP="009462F3">
      <w:pPr>
        <w:spacing w:before="60"/>
        <w:ind w:left="454" w:right="454"/>
        <w:jc w:val="both"/>
        <w:rPr>
          <w:rFonts w:ascii="Arial" w:hAnsi="Arial" w:cs="Arial"/>
          <w:sz w:val="20"/>
        </w:rPr>
      </w:pPr>
      <w:r>
        <w:rPr>
          <w:rFonts w:ascii="Arial" w:hAnsi="Arial" w:cs="Arial"/>
          <w:sz w:val="20"/>
        </w:rPr>
        <w:t>…</w:t>
      </w:r>
    </w:p>
    <w:p w14:paraId="74ED7D0B" w14:textId="3E8220FA" w:rsidR="003208BC" w:rsidRDefault="003208BC" w:rsidP="009462F3">
      <w:pPr>
        <w:spacing w:before="60"/>
        <w:ind w:left="454" w:right="454"/>
        <w:jc w:val="both"/>
        <w:rPr>
          <w:rFonts w:ascii="Arial" w:hAnsi="Arial" w:cs="Arial"/>
          <w:sz w:val="20"/>
          <w:szCs w:val="20"/>
        </w:rPr>
      </w:pPr>
      <w:r>
        <w:rPr>
          <w:rFonts w:ascii="Arial" w:hAnsi="Arial" w:cs="Arial"/>
          <w:sz w:val="20"/>
        </w:rPr>
        <w:t xml:space="preserve">[18] </w:t>
      </w:r>
      <w:r w:rsidRPr="003208BC">
        <w:rPr>
          <w:rFonts w:ascii="Arial" w:hAnsi="Arial" w:cs="Arial"/>
          <w:sz w:val="20"/>
          <w:szCs w:val="20"/>
        </w:rPr>
        <w:t>There is no automatic right to the stay of the civil action when a related criminal case is on foot. The applicant must show a real risk of prejudice in the conduct of its defence in the criminal trial</w:t>
      </w:r>
      <w:r w:rsidR="00604632">
        <w:rPr>
          <w:rFonts w:ascii="Arial" w:hAnsi="Arial" w:cs="Arial"/>
          <w:sz w:val="20"/>
          <w:szCs w:val="20"/>
        </w:rPr>
        <w:t xml:space="preserve">: </w:t>
      </w:r>
      <w:r w:rsidR="00604632" w:rsidRPr="00604632">
        <w:rPr>
          <w:rFonts w:ascii="Arial" w:hAnsi="Arial" w:cs="Arial"/>
          <w:i/>
          <w:iCs/>
          <w:sz w:val="20"/>
          <w:szCs w:val="20"/>
        </w:rPr>
        <w:t>Commissioner of the Australia Federal Police v Zhao</w:t>
      </w:r>
      <w:r w:rsidR="00604632" w:rsidRPr="003208BC">
        <w:rPr>
          <w:rFonts w:ascii="Arial" w:hAnsi="Arial" w:cs="Arial"/>
          <w:sz w:val="20"/>
          <w:szCs w:val="20"/>
        </w:rPr>
        <w:t xml:space="preserve"> (2015) 255 CLR 46.</w:t>
      </w:r>
    </w:p>
    <w:p w14:paraId="51E8FDC4" w14:textId="5AC1786A" w:rsidR="00604632" w:rsidRDefault="00604632" w:rsidP="00604632">
      <w:pPr>
        <w:spacing w:before="60"/>
        <w:ind w:left="567" w:right="567"/>
        <w:jc w:val="both"/>
        <w:rPr>
          <w:rFonts w:ascii="Arial" w:hAnsi="Arial" w:cs="Arial"/>
          <w:sz w:val="20"/>
        </w:rPr>
      </w:pPr>
      <w:r>
        <w:rPr>
          <w:rFonts w:ascii="Arial" w:hAnsi="Arial" w:cs="Arial"/>
          <w:sz w:val="20"/>
          <w:szCs w:val="20"/>
        </w:rPr>
        <w:t xml:space="preserve">[19] </w:t>
      </w:r>
      <w:r w:rsidRPr="003208BC">
        <w:rPr>
          <w:rFonts w:ascii="Arial" w:hAnsi="Arial" w:cs="Arial"/>
          <w:sz w:val="20"/>
          <w:szCs w:val="20"/>
        </w:rPr>
        <w:t>The High Court has emphasised two central characteristics of the criminal process:</w:t>
      </w:r>
    </w:p>
    <w:p w14:paraId="69538CC8" w14:textId="5FE29D19" w:rsidR="00867E29" w:rsidRDefault="00604632" w:rsidP="00604632">
      <w:pPr>
        <w:ind w:left="1321" w:right="567" w:hanging="357"/>
        <w:jc w:val="both"/>
        <w:rPr>
          <w:rFonts w:ascii="Arial" w:hAnsi="Arial" w:cs="Arial"/>
          <w:sz w:val="20"/>
          <w:szCs w:val="20"/>
        </w:rPr>
      </w:pPr>
      <w:r>
        <w:rPr>
          <w:rFonts w:ascii="Arial" w:hAnsi="Arial" w:cs="Arial"/>
          <w:sz w:val="20"/>
        </w:rPr>
        <w:t>(a)</w:t>
      </w:r>
      <w:r>
        <w:rPr>
          <w:rFonts w:ascii="Arial" w:hAnsi="Arial" w:cs="Arial"/>
          <w:sz w:val="20"/>
        </w:rPr>
        <w:tab/>
      </w:r>
      <w:r w:rsidRPr="003208BC">
        <w:rPr>
          <w:rFonts w:ascii="Arial" w:hAnsi="Arial" w:cs="Arial"/>
          <w:sz w:val="20"/>
          <w:szCs w:val="20"/>
        </w:rPr>
        <w:t>The accusatory principle: the prosecution bears the burden of proving its case beyond reasonable doubt;</w:t>
      </w:r>
    </w:p>
    <w:p w14:paraId="0378B8F3" w14:textId="18EB354D" w:rsidR="00604632" w:rsidRDefault="00604632" w:rsidP="00604632">
      <w:pPr>
        <w:ind w:left="1321" w:right="567" w:hanging="357"/>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The companion principle: </w:t>
      </w:r>
      <w:r w:rsidRPr="003208BC">
        <w:rPr>
          <w:rFonts w:ascii="Arial" w:hAnsi="Arial" w:cs="Arial"/>
          <w:sz w:val="20"/>
          <w:szCs w:val="20"/>
        </w:rPr>
        <w:t>Absent a clear statutory power to the contrary, a person charged with a crime cannot be compelled to assist in the discharge of the prosecution’s onus of proof.</w:t>
      </w:r>
    </w:p>
    <w:p w14:paraId="13B1AB11" w14:textId="6280D503" w:rsidR="00604632" w:rsidRDefault="00604632" w:rsidP="00604632">
      <w:pPr>
        <w:ind w:left="964" w:right="567"/>
        <w:jc w:val="both"/>
        <w:rPr>
          <w:rFonts w:ascii="Arial" w:hAnsi="Arial" w:cs="Arial"/>
          <w:sz w:val="20"/>
        </w:rPr>
      </w:pPr>
      <w:r>
        <w:rPr>
          <w:rFonts w:ascii="Arial" w:hAnsi="Arial" w:cs="Arial"/>
          <w:sz w:val="20"/>
          <w:szCs w:val="20"/>
        </w:rPr>
        <w:t xml:space="preserve">See </w:t>
      </w:r>
      <w:r w:rsidRPr="00604632">
        <w:rPr>
          <w:rFonts w:ascii="Arial" w:hAnsi="Arial" w:cs="Arial"/>
          <w:i/>
          <w:iCs/>
          <w:sz w:val="20"/>
          <w:szCs w:val="20"/>
        </w:rPr>
        <w:t>X7 v Australian Crime Commission</w:t>
      </w:r>
      <w:r w:rsidRPr="003208BC">
        <w:rPr>
          <w:rFonts w:ascii="Arial" w:hAnsi="Arial" w:cs="Arial"/>
          <w:sz w:val="20"/>
          <w:szCs w:val="20"/>
        </w:rPr>
        <w:t xml:space="preserve"> (2013) 248 CLR 92; </w:t>
      </w:r>
      <w:r w:rsidRPr="00604632">
        <w:rPr>
          <w:rFonts w:ascii="Arial" w:hAnsi="Arial" w:cs="Arial"/>
          <w:i/>
          <w:iCs/>
          <w:sz w:val="20"/>
          <w:szCs w:val="20"/>
        </w:rPr>
        <w:t>Lee v NSW Crime Commission</w:t>
      </w:r>
      <w:r w:rsidRPr="003208BC">
        <w:rPr>
          <w:rFonts w:ascii="Arial" w:hAnsi="Arial" w:cs="Arial"/>
          <w:sz w:val="20"/>
          <w:szCs w:val="20"/>
        </w:rPr>
        <w:t xml:space="preserve"> (2013) 251 CLR 196; </w:t>
      </w:r>
      <w:r w:rsidRPr="00604632">
        <w:rPr>
          <w:rFonts w:ascii="Arial" w:hAnsi="Arial" w:cs="Arial"/>
          <w:i/>
          <w:iCs/>
          <w:sz w:val="20"/>
          <w:szCs w:val="20"/>
        </w:rPr>
        <w:t>Lee v The Queen</w:t>
      </w:r>
      <w:r w:rsidRPr="003208BC">
        <w:rPr>
          <w:rFonts w:ascii="Arial" w:hAnsi="Arial" w:cs="Arial"/>
          <w:sz w:val="20"/>
          <w:szCs w:val="20"/>
        </w:rPr>
        <w:t xml:space="preserve"> (2014) 253 CLR 455.</w:t>
      </w:r>
    </w:p>
    <w:p w14:paraId="4FA7A529" w14:textId="07F1BB1E" w:rsidR="00604632" w:rsidRDefault="00604632" w:rsidP="00604632">
      <w:pPr>
        <w:spacing w:before="60"/>
        <w:ind w:left="567" w:right="567"/>
        <w:jc w:val="both"/>
        <w:rPr>
          <w:rFonts w:ascii="Arial" w:hAnsi="Arial" w:cs="Arial"/>
          <w:sz w:val="20"/>
          <w:szCs w:val="20"/>
        </w:rPr>
      </w:pPr>
      <w:r>
        <w:rPr>
          <w:rFonts w:ascii="Arial" w:hAnsi="Arial" w:cs="Arial"/>
          <w:sz w:val="20"/>
        </w:rPr>
        <w:t xml:space="preserve">[20] </w:t>
      </w:r>
      <w:r w:rsidRPr="003208BC">
        <w:rPr>
          <w:rFonts w:ascii="Arial" w:hAnsi="Arial" w:cs="Arial"/>
          <w:sz w:val="20"/>
          <w:szCs w:val="20"/>
        </w:rPr>
        <w:t>While there is no privilege against self-incrimination for bodies corporate</w:t>
      </w:r>
      <w:r w:rsidR="00ED1F22">
        <w:rPr>
          <w:rFonts w:ascii="Arial" w:hAnsi="Arial" w:cs="Arial"/>
          <w:sz w:val="20"/>
          <w:szCs w:val="20"/>
        </w:rPr>
        <w:t xml:space="preserve"> [</w:t>
      </w:r>
      <w:r w:rsidR="00ED1F22" w:rsidRPr="00ED1F22">
        <w:rPr>
          <w:rFonts w:ascii="Arial" w:hAnsi="Arial" w:cs="Arial"/>
          <w:i/>
          <w:iCs/>
          <w:sz w:val="20"/>
          <w:szCs w:val="20"/>
        </w:rPr>
        <w:t>Evidence Act 2008 (Vic)</w:t>
      </w:r>
      <w:r w:rsidR="00ED1F22" w:rsidRPr="00ED1F22">
        <w:rPr>
          <w:rFonts w:ascii="Arial" w:hAnsi="Arial" w:cs="Arial"/>
          <w:sz w:val="20"/>
          <w:szCs w:val="20"/>
        </w:rPr>
        <w:t xml:space="preserve"> s 187</w:t>
      </w:r>
      <w:r w:rsidR="00ED1F22">
        <w:rPr>
          <w:rFonts w:ascii="Arial" w:hAnsi="Arial" w:cs="Arial"/>
          <w:sz w:val="20"/>
          <w:szCs w:val="20"/>
        </w:rPr>
        <w:t>]</w:t>
      </w:r>
      <w:r w:rsidRPr="003208BC">
        <w:rPr>
          <w:rFonts w:ascii="Arial" w:hAnsi="Arial" w:cs="Arial"/>
          <w:sz w:val="20"/>
          <w:szCs w:val="20"/>
        </w:rPr>
        <w:t>, the State contended that the companion principle extends beyond the privilege and has been held to apply to corporations</w:t>
      </w:r>
      <w:r>
        <w:rPr>
          <w:rFonts w:ascii="Arial" w:hAnsi="Arial" w:cs="Arial"/>
          <w:sz w:val="20"/>
          <w:szCs w:val="20"/>
        </w:rPr>
        <w:t xml:space="preserve">: </w:t>
      </w:r>
      <w:r w:rsidR="00ED1F22" w:rsidRPr="00ED1F22">
        <w:rPr>
          <w:rFonts w:ascii="Arial" w:hAnsi="Arial" w:cs="Arial"/>
          <w:i/>
          <w:iCs/>
          <w:sz w:val="20"/>
          <w:szCs w:val="20"/>
        </w:rPr>
        <w:t>NSW Food Authority v Nutricia Australia Pty Ltd</w:t>
      </w:r>
      <w:r w:rsidR="00ED1F22" w:rsidRPr="00ED1F22">
        <w:rPr>
          <w:rFonts w:ascii="Arial" w:hAnsi="Arial" w:cs="Arial"/>
          <w:sz w:val="20"/>
          <w:szCs w:val="20"/>
        </w:rPr>
        <w:t xml:space="preserve"> (2008) 72 NSWLR 456, 490 [155], referring to </w:t>
      </w:r>
      <w:r w:rsidR="00ED1F22" w:rsidRPr="00ED1F22">
        <w:rPr>
          <w:rFonts w:ascii="Arial" w:hAnsi="Arial" w:cs="Arial"/>
          <w:i/>
          <w:iCs/>
          <w:sz w:val="20"/>
          <w:szCs w:val="20"/>
        </w:rPr>
        <w:t>Environment Protection Authority v Caltex Refining Co Pty Ltd</w:t>
      </w:r>
      <w:r w:rsidR="00ED1F22" w:rsidRPr="00ED1F22">
        <w:rPr>
          <w:rFonts w:ascii="Arial" w:hAnsi="Arial" w:cs="Arial"/>
          <w:sz w:val="20"/>
          <w:szCs w:val="20"/>
        </w:rPr>
        <w:t xml:space="preserve"> (1993) 178 CLR 477.</w:t>
      </w:r>
    </w:p>
    <w:p w14:paraId="4B083460" w14:textId="00ED9FBE" w:rsidR="00604632" w:rsidRDefault="00604632" w:rsidP="00604632">
      <w:pPr>
        <w:spacing w:before="60"/>
        <w:ind w:left="567" w:right="567"/>
        <w:jc w:val="both"/>
        <w:rPr>
          <w:rFonts w:ascii="Arial" w:hAnsi="Arial" w:cs="Arial"/>
          <w:sz w:val="20"/>
          <w:szCs w:val="20"/>
        </w:rPr>
      </w:pPr>
      <w:r>
        <w:rPr>
          <w:rFonts w:ascii="Arial" w:hAnsi="Arial" w:cs="Arial"/>
          <w:sz w:val="20"/>
          <w:szCs w:val="20"/>
        </w:rPr>
        <w:t xml:space="preserve">[21] </w:t>
      </w:r>
      <w:r w:rsidRPr="003208BC">
        <w:rPr>
          <w:rFonts w:ascii="Arial" w:hAnsi="Arial" w:cs="Arial"/>
          <w:sz w:val="20"/>
          <w:szCs w:val="20"/>
        </w:rPr>
        <w:t>The companion principle extends to practical, not just legal, compulsion</w:t>
      </w:r>
      <w:r w:rsidR="00ED1F22">
        <w:rPr>
          <w:rFonts w:ascii="Arial" w:hAnsi="Arial" w:cs="Arial"/>
          <w:sz w:val="20"/>
          <w:szCs w:val="20"/>
        </w:rPr>
        <w:t xml:space="preserve">: </w:t>
      </w:r>
      <w:r w:rsidR="00ED1F22" w:rsidRPr="00ED1F22">
        <w:rPr>
          <w:rFonts w:ascii="Arial" w:hAnsi="Arial" w:cs="Arial"/>
          <w:i/>
          <w:iCs/>
          <w:sz w:val="20"/>
          <w:szCs w:val="20"/>
        </w:rPr>
        <w:t>Zhao</w:t>
      </w:r>
      <w:r w:rsidRPr="003208BC">
        <w:rPr>
          <w:rFonts w:ascii="Arial" w:hAnsi="Arial" w:cs="Arial"/>
          <w:sz w:val="20"/>
          <w:szCs w:val="20"/>
        </w:rPr>
        <w:t>. One of its fundamental aspects is the protection of forensic choices available to the defence</w:t>
      </w:r>
      <w:r w:rsidR="00ED1F22">
        <w:rPr>
          <w:rFonts w:ascii="Arial" w:hAnsi="Arial" w:cs="Arial"/>
          <w:sz w:val="20"/>
          <w:szCs w:val="20"/>
        </w:rPr>
        <w:t>:</w:t>
      </w:r>
      <w:r w:rsidRPr="003208BC">
        <w:rPr>
          <w:rFonts w:ascii="Arial" w:hAnsi="Arial" w:cs="Arial"/>
          <w:sz w:val="20"/>
          <w:szCs w:val="20"/>
        </w:rPr>
        <w:t xml:space="preserve"> ‘The asking of questions and compelling of answers inevitably interfere with the conduct of an accusatorial trial and embarrass the defence of the accused.’ </w:t>
      </w:r>
      <w:r w:rsidR="00947A14">
        <w:rPr>
          <w:rFonts w:ascii="Arial" w:hAnsi="Arial" w:cs="Arial"/>
          <w:sz w:val="20"/>
          <w:szCs w:val="20"/>
        </w:rPr>
        <w:t>[</w:t>
      </w:r>
      <w:r w:rsidR="00947A14" w:rsidRPr="00947A14">
        <w:rPr>
          <w:rFonts w:ascii="Arial" w:hAnsi="Arial" w:cs="Arial"/>
          <w:i/>
          <w:iCs/>
          <w:sz w:val="20"/>
          <w:szCs w:val="20"/>
        </w:rPr>
        <w:t>Lee v NSW Crime Commission</w:t>
      </w:r>
      <w:r w:rsidR="00947A14">
        <w:rPr>
          <w:rFonts w:ascii="Arial" w:hAnsi="Arial" w:cs="Arial"/>
          <w:sz w:val="20"/>
          <w:szCs w:val="20"/>
        </w:rPr>
        <w:t xml:space="preserve"> at [79]-[80].  </w:t>
      </w:r>
      <w:r w:rsidRPr="003208BC">
        <w:rPr>
          <w:rFonts w:ascii="Arial" w:hAnsi="Arial" w:cs="Arial"/>
          <w:sz w:val="20"/>
          <w:szCs w:val="20"/>
        </w:rPr>
        <w:t>It is well-recognised that civil proceedings may prejudice a criminal trial, requiring a stay of the civil proceedings</w:t>
      </w:r>
      <w:r w:rsidR="00ED1F22">
        <w:rPr>
          <w:rFonts w:ascii="Arial" w:hAnsi="Arial" w:cs="Arial"/>
          <w:sz w:val="20"/>
          <w:szCs w:val="20"/>
        </w:rPr>
        <w:t xml:space="preserve">: </w:t>
      </w:r>
      <w:r w:rsidR="00ED1F22" w:rsidRPr="00ED1F22">
        <w:rPr>
          <w:rFonts w:ascii="Arial" w:hAnsi="Arial" w:cs="Arial"/>
          <w:i/>
          <w:iCs/>
          <w:sz w:val="20"/>
          <w:szCs w:val="20"/>
        </w:rPr>
        <w:t>Zhao</w:t>
      </w:r>
      <w:r w:rsidR="00ED1F22">
        <w:rPr>
          <w:rFonts w:ascii="Arial" w:hAnsi="Arial" w:cs="Arial"/>
          <w:sz w:val="20"/>
          <w:szCs w:val="20"/>
        </w:rPr>
        <w:t xml:space="preserve"> at </w:t>
      </w:r>
      <w:r w:rsidR="00ED1F22" w:rsidRPr="00ED1F22">
        <w:rPr>
          <w:rFonts w:ascii="Arial" w:hAnsi="Arial" w:cs="Arial"/>
          <w:sz w:val="20"/>
          <w:szCs w:val="20"/>
        </w:rPr>
        <w:t xml:space="preserve">[47]; </w:t>
      </w:r>
      <w:r w:rsidR="00ED1F22" w:rsidRPr="00ED1F22">
        <w:rPr>
          <w:rFonts w:ascii="Arial" w:hAnsi="Arial" w:cs="Arial"/>
          <w:i/>
          <w:iCs/>
          <w:sz w:val="20"/>
          <w:szCs w:val="20"/>
        </w:rPr>
        <w:t>Lucciano v The Queen</w:t>
      </w:r>
      <w:r w:rsidR="00ED1F22" w:rsidRPr="00ED1F22">
        <w:rPr>
          <w:rFonts w:ascii="Arial" w:hAnsi="Arial" w:cs="Arial"/>
          <w:sz w:val="20"/>
          <w:szCs w:val="20"/>
        </w:rPr>
        <w:t xml:space="preserve"> (2021) 287 A Crim R 529</w:t>
      </w:r>
      <w:r w:rsidR="00ED1F22">
        <w:rPr>
          <w:rFonts w:ascii="Arial" w:hAnsi="Arial" w:cs="Arial"/>
          <w:sz w:val="20"/>
          <w:szCs w:val="20"/>
        </w:rPr>
        <w:t xml:space="preserve"> at</w:t>
      </w:r>
      <w:r w:rsidR="00ED1F22" w:rsidRPr="00ED1F22">
        <w:rPr>
          <w:rFonts w:ascii="Arial" w:hAnsi="Arial" w:cs="Arial"/>
          <w:sz w:val="20"/>
          <w:szCs w:val="20"/>
        </w:rPr>
        <w:t xml:space="preserve"> [24]; </w:t>
      </w:r>
      <w:r w:rsidR="00ED1F22" w:rsidRPr="00ED1F22">
        <w:rPr>
          <w:rFonts w:ascii="Arial" w:hAnsi="Arial" w:cs="Arial"/>
          <w:i/>
          <w:iCs/>
          <w:sz w:val="20"/>
          <w:szCs w:val="20"/>
        </w:rPr>
        <w:t>McLachlan v Browne (No 9)</w:t>
      </w:r>
      <w:r w:rsidR="00ED1F22" w:rsidRPr="00ED1F22">
        <w:rPr>
          <w:rFonts w:ascii="Arial" w:hAnsi="Arial" w:cs="Arial"/>
          <w:sz w:val="20"/>
          <w:szCs w:val="20"/>
        </w:rPr>
        <w:t xml:space="preserve"> [2019] NSWSC 10</w:t>
      </w:r>
      <w:r w:rsidR="00ED1F22">
        <w:rPr>
          <w:rFonts w:ascii="Arial" w:hAnsi="Arial" w:cs="Arial"/>
          <w:sz w:val="20"/>
          <w:szCs w:val="20"/>
        </w:rPr>
        <w:t xml:space="preserve"> at [38]</w:t>
      </w:r>
      <w:r w:rsidRPr="003208BC">
        <w:rPr>
          <w:rFonts w:ascii="Arial" w:hAnsi="Arial" w:cs="Arial"/>
          <w:sz w:val="20"/>
          <w:szCs w:val="20"/>
        </w:rPr>
        <w:t>.</w:t>
      </w:r>
      <w:r w:rsidR="00ED1F22">
        <w:rPr>
          <w:rFonts w:ascii="Arial" w:hAnsi="Arial" w:cs="Arial"/>
          <w:sz w:val="20"/>
          <w:szCs w:val="20"/>
        </w:rPr>
        <w:t xml:space="preserve"> </w:t>
      </w:r>
      <w:r w:rsidRPr="003208BC">
        <w:rPr>
          <w:rFonts w:ascii="Arial" w:hAnsi="Arial" w:cs="Arial"/>
          <w:sz w:val="20"/>
          <w:szCs w:val="20"/>
        </w:rPr>
        <w:t>Indeed, it is not even necessary for the applicant to give specific evidence of the likely prejudice</w:t>
      </w:r>
      <w:r w:rsidR="00ED1F22">
        <w:rPr>
          <w:rFonts w:ascii="Arial" w:hAnsi="Arial" w:cs="Arial"/>
          <w:sz w:val="20"/>
          <w:szCs w:val="20"/>
        </w:rPr>
        <w:t xml:space="preserve">: </w:t>
      </w:r>
      <w:r w:rsidR="00947A14" w:rsidRPr="00947A14">
        <w:rPr>
          <w:rFonts w:ascii="Arial" w:hAnsi="Arial" w:cs="Arial"/>
          <w:i/>
          <w:iCs/>
          <w:sz w:val="20"/>
          <w:szCs w:val="20"/>
        </w:rPr>
        <w:t>Zhao</w:t>
      </w:r>
      <w:r w:rsidR="00947A14">
        <w:rPr>
          <w:rFonts w:ascii="Arial" w:hAnsi="Arial" w:cs="Arial"/>
          <w:sz w:val="20"/>
          <w:szCs w:val="20"/>
        </w:rPr>
        <w:t xml:space="preserve"> at [42]-[43].</w:t>
      </w:r>
    </w:p>
    <w:p w14:paraId="47BAAB8B" w14:textId="7990E821" w:rsidR="00ED1F22" w:rsidRPr="00604632" w:rsidRDefault="00ED1F22" w:rsidP="00604632">
      <w:pPr>
        <w:spacing w:before="60"/>
        <w:ind w:left="567" w:right="567"/>
        <w:jc w:val="both"/>
        <w:rPr>
          <w:rFonts w:ascii="Arial" w:hAnsi="Arial" w:cs="Arial"/>
          <w:sz w:val="20"/>
          <w:szCs w:val="20"/>
        </w:rPr>
      </w:pPr>
      <w:r>
        <w:rPr>
          <w:rFonts w:ascii="Arial" w:hAnsi="Arial" w:cs="Arial"/>
          <w:sz w:val="20"/>
          <w:szCs w:val="20"/>
        </w:rPr>
        <w:t xml:space="preserve">[22] </w:t>
      </w:r>
      <w:r w:rsidRPr="003208BC">
        <w:rPr>
          <w:rFonts w:ascii="Arial" w:hAnsi="Arial" w:cs="Arial"/>
          <w:sz w:val="20"/>
          <w:szCs w:val="20"/>
        </w:rPr>
        <w:t>That said, the extent to which a proceeding need be stayed to protect the fair trial of an accused, depends on the facts. In some cases, the facts may allow certain steps to be taken before granting a stay. For example, as in this case, a strike out application may not affect a pending criminal prosecution</w:t>
      </w:r>
      <w:r w:rsidR="00947A14">
        <w:rPr>
          <w:rFonts w:ascii="Arial" w:hAnsi="Arial" w:cs="Arial"/>
          <w:sz w:val="20"/>
          <w:szCs w:val="20"/>
        </w:rPr>
        <w:t xml:space="preserve">: </w:t>
      </w:r>
      <w:r w:rsidR="00947A14" w:rsidRPr="00947A14">
        <w:rPr>
          <w:rFonts w:ascii="Arial" w:hAnsi="Arial" w:cs="Arial"/>
          <w:i/>
          <w:iCs/>
          <w:sz w:val="20"/>
          <w:szCs w:val="20"/>
        </w:rPr>
        <w:t>Impiombato v BHP Group Limited</w:t>
      </w:r>
      <w:r w:rsidR="00947A14" w:rsidRPr="00ED1F22">
        <w:rPr>
          <w:rFonts w:ascii="Arial" w:hAnsi="Arial" w:cs="Arial"/>
          <w:sz w:val="20"/>
          <w:szCs w:val="20"/>
        </w:rPr>
        <w:t xml:space="preserve"> (2020) 143 ACSR 301</w:t>
      </w:r>
      <w:r w:rsidR="00947A14">
        <w:rPr>
          <w:rFonts w:ascii="Arial" w:hAnsi="Arial" w:cs="Arial"/>
          <w:sz w:val="20"/>
          <w:szCs w:val="20"/>
        </w:rPr>
        <w:t xml:space="preserve"> at </w:t>
      </w:r>
      <w:r w:rsidR="00947A14" w:rsidRPr="00ED1F22">
        <w:rPr>
          <w:rFonts w:ascii="Arial" w:hAnsi="Arial" w:cs="Arial"/>
          <w:sz w:val="20"/>
          <w:szCs w:val="20"/>
        </w:rPr>
        <w:t>[144].</w:t>
      </w:r>
      <w:r w:rsidR="00947A14">
        <w:rPr>
          <w:rFonts w:ascii="Arial" w:hAnsi="Arial" w:cs="Arial"/>
          <w:sz w:val="20"/>
          <w:szCs w:val="20"/>
        </w:rPr>
        <w:t xml:space="preserve">  </w:t>
      </w:r>
      <w:r w:rsidRPr="003208BC">
        <w:rPr>
          <w:rFonts w:ascii="Arial" w:hAnsi="Arial" w:cs="Arial"/>
          <w:sz w:val="20"/>
          <w:szCs w:val="20"/>
        </w:rPr>
        <w:t>However, other interlocutory steps may cause prejudice</w:t>
      </w:r>
      <w:r w:rsidR="00947A14">
        <w:rPr>
          <w:rFonts w:ascii="Arial" w:hAnsi="Arial" w:cs="Arial"/>
          <w:sz w:val="20"/>
          <w:szCs w:val="20"/>
        </w:rPr>
        <w:t xml:space="preserve">: </w:t>
      </w:r>
      <w:r w:rsidR="00947A14" w:rsidRPr="00947A14">
        <w:rPr>
          <w:rFonts w:ascii="Arial" w:hAnsi="Arial" w:cs="Arial"/>
          <w:i/>
          <w:iCs/>
          <w:sz w:val="20"/>
          <w:szCs w:val="20"/>
        </w:rPr>
        <w:t>Australian Securities and Investments Commission v Australia and New Zealand Banking Group Ltd</w:t>
      </w:r>
      <w:r w:rsidR="00947A14" w:rsidRPr="00ED1F22">
        <w:rPr>
          <w:rFonts w:ascii="Arial" w:hAnsi="Arial" w:cs="Arial"/>
          <w:sz w:val="20"/>
          <w:szCs w:val="20"/>
        </w:rPr>
        <w:t xml:space="preserve"> (2019) 138 ASCR 42</w:t>
      </w:r>
      <w:r w:rsidR="00947A14">
        <w:rPr>
          <w:rFonts w:ascii="Arial" w:hAnsi="Arial" w:cs="Arial"/>
          <w:sz w:val="20"/>
          <w:szCs w:val="20"/>
        </w:rPr>
        <w:t xml:space="preserve"> at </w:t>
      </w:r>
      <w:r w:rsidR="00947A14" w:rsidRPr="00ED1F22">
        <w:rPr>
          <w:rFonts w:ascii="Arial" w:hAnsi="Arial" w:cs="Arial"/>
          <w:sz w:val="20"/>
          <w:szCs w:val="20"/>
        </w:rPr>
        <w:t>[99]</w:t>
      </w:r>
      <w:r w:rsidR="00947A14">
        <w:rPr>
          <w:rFonts w:ascii="Arial" w:hAnsi="Arial" w:cs="Arial"/>
          <w:sz w:val="20"/>
          <w:szCs w:val="20"/>
        </w:rPr>
        <w:t>.</w:t>
      </w:r>
    </w:p>
    <w:p w14:paraId="5979025A" w14:textId="32715806" w:rsidR="00ED1F22" w:rsidRDefault="00ED1F22" w:rsidP="00ED1F22">
      <w:pPr>
        <w:spacing w:before="60"/>
        <w:ind w:firstLine="567"/>
        <w:jc w:val="both"/>
        <w:rPr>
          <w:rFonts w:ascii="Arial" w:hAnsi="Arial" w:cs="Arial"/>
          <w:sz w:val="20"/>
        </w:rPr>
      </w:pPr>
      <w:r>
        <w:rPr>
          <w:rFonts w:ascii="Arial" w:hAnsi="Arial" w:cs="Arial"/>
          <w:sz w:val="20"/>
        </w:rPr>
        <w:t>…</w:t>
      </w:r>
    </w:p>
    <w:p w14:paraId="414A9A33" w14:textId="595EE8F8" w:rsidR="00D405C3" w:rsidRDefault="00D405C3" w:rsidP="00D405C3">
      <w:pPr>
        <w:spacing w:before="60"/>
        <w:ind w:left="567" w:right="567"/>
        <w:jc w:val="both"/>
        <w:rPr>
          <w:rFonts w:ascii="Arial" w:hAnsi="Arial" w:cs="Arial"/>
          <w:sz w:val="20"/>
          <w:szCs w:val="20"/>
        </w:rPr>
      </w:pPr>
      <w:r>
        <w:rPr>
          <w:rFonts w:ascii="Arial" w:hAnsi="Arial" w:cs="Arial"/>
          <w:sz w:val="20"/>
        </w:rPr>
        <w:t xml:space="preserve">[41] </w:t>
      </w:r>
      <w:r w:rsidRPr="00947A14">
        <w:rPr>
          <w:rFonts w:ascii="Arial" w:hAnsi="Arial" w:cs="Arial"/>
          <w:sz w:val="20"/>
          <w:szCs w:val="20"/>
        </w:rPr>
        <w:t>In balancing any prejudice the State may face by participating in this group proceeding against the prejudice to the plaintiff of a stay, in order to assess where the interests of justice lie, it is important to consider that the State does not face the same peril of conviction as a non-government entity would. The DHHS, if found guilty and ordered to pay a fine, would simply be paying money from one State bank account into another. This is not a case where an accused individual is facing twenty years in prison.</w:t>
      </w:r>
    </w:p>
    <w:p w14:paraId="291C553A" w14:textId="3053A4C6" w:rsidR="00D405C3" w:rsidRDefault="00D405C3" w:rsidP="00D405C3">
      <w:pPr>
        <w:spacing w:before="60"/>
        <w:ind w:left="567" w:right="567"/>
        <w:jc w:val="both"/>
        <w:rPr>
          <w:rFonts w:ascii="Arial" w:hAnsi="Arial" w:cs="Arial"/>
          <w:sz w:val="20"/>
          <w:szCs w:val="20"/>
        </w:rPr>
      </w:pPr>
      <w:r>
        <w:rPr>
          <w:rFonts w:ascii="Arial" w:hAnsi="Arial" w:cs="Arial"/>
          <w:sz w:val="20"/>
          <w:szCs w:val="20"/>
        </w:rPr>
        <w:t xml:space="preserve">[42] </w:t>
      </w:r>
      <w:r w:rsidRPr="00947A14">
        <w:rPr>
          <w:rFonts w:ascii="Arial" w:hAnsi="Arial" w:cs="Arial"/>
          <w:sz w:val="20"/>
          <w:szCs w:val="20"/>
        </w:rPr>
        <w:t>Conversely, the prejudice to group members from a stay would be considerable. The group members are some tens of thousands of businesses in Victoria. The plaintiff maintained that these persons experience ongoing financial hardship as a result of the second-wave lockdown and a delay in compensation is prejudicing their financial viability</w:t>
      </w:r>
      <w:r>
        <w:rPr>
          <w:rFonts w:ascii="Arial" w:hAnsi="Arial" w:cs="Arial"/>
          <w:sz w:val="20"/>
          <w:szCs w:val="20"/>
        </w:rPr>
        <w:t xml:space="preserve">…Therefore, </w:t>
      </w:r>
      <w:r w:rsidRPr="00947A14">
        <w:rPr>
          <w:rFonts w:ascii="Arial" w:hAnsi="Arial" w:cs="Arial"/>
          <w:sz w:val="20"/>
          <w:szCs w:val="20"/>
        </w:rPr>
        <w:t>while any delay in relief is an injustice, the harm is particularly acute in this case.</w:t>
      </w:r>
    </w:p>
    <w:p w14:paraId="13E513ED" w14:textId="7CE46D09" w:rsidR="00D405C3" w:rsidRPr="00D405C3" w:rsidRDefault="00D405C3" w:rsidP="00D405C3">
      <w:pPr>
        <w:spacing w:before="60"/>
        <w:ind w:left="567" w:right="567"/>
        <w:jc w:val="both"/>
        <w:rPr>
          <w:rFonts w:ascii="Arial" w:hAnsi="Arial" w:cs="Arial"/>
          <w:sz w:val="20"/>
          <w:szCs w:val="20"/>
        </w:rPr>
      </w:pPr>
      <w:r w:rsidRPr="00D405C3">
        <w:rPr>
          <w:rFonts w:ascii="Arial" w:hAnsi="Arial" w:cs="Arial"/>
          <w:sz w:val="20"/>
          <w:szCs w:val="20"/>
        </w:rPr>
        <w:lastRenderedPageBreak/>
        <w:t xml:space="preserve">[43] The ongoing delay may also lead to the deterioration in the quality of available witness evidence and other recognised non-financial prejudice: </w:t>
      </w:r>
      <w:r w:rsidRPr="00D405C3">
        <w:rPr>
          <w:rFonts w:ascii="Arial" w:hAnsi="Arial" w:cs="Arial"/>
          <w:i/>
          <w:iCs/>
          <w:sz w:val="20"/>
          <w:szCs w:val="20"/>
        </w:rPr>
        <w:t>Aon Risk Services Australia Ltd v Australian National University</w:t>
      </w:r>
      <w:r w:rsidRPr="00D405C3">
        <w:rPr>
          <w:rFonts w:ascii="Arial" w:hAnsi="Arial" w:cs="Arial"/>
          <w:sz w:val="20"/>
          <w:szCs w:val="20"/>
        </w:rPr>
        <w:t xml:space="preserve"> (2009) 239 CLR 175, 213-4 [99]-[101].</w:t>
      </w:r>
    </w:p>
    <w:p w14:paraId="21F4F814" w14:textId="77777777" w:rsidR="00D405C3" w:rsidRDefault="00D405C3" w:rsidP="00D405C3">
      <w:pPr>
        <w:spacing w:before="60"/>
        <w:ind w:firstLine="567"/>
        <w:jc w:val="both"/>
        <w:rPr>
          <w:rFonts w:ascii="Arial" w:hAnsi="Arial" w:cs="Arial"/>
          <w:sz w:val="20"/>
        </w:rPr>
      </w:pPr>
      <w:r>
        <w:rPr>
          <w:rFonts w:ascii="Arial" w:hAnsi="Arial" w:cs="Arial"/>
          <w:sz w:val="20"/>
        </w:rPr>
        <w:t>…</w:t>
      </w:r>
    </w:p>
    <w:p w14:paraId="2C549B0F" w14:textId="7EEBA4AD" w:rsidR="00604632" w:rsidRDefault="00ED1F22" w:rsidP="00604632">
      <w:pPr>
        <w:spacing w:before="60"/>
        <w:ind w:left="567" w:right="567"/>
        <w:jc w:val="both"/>
        <w:rPr>
          <w:rFonts w:ascii="Arial" w:hAnsi="Arial" w:cs="Arial"/>
          <w:sz w:val="20"/>
        </w:rPr>
      </w:pPr>
      <w:r>
        <w:rPr>
          <w:rFonts w:ascii="Arial" w:hAnsi="Arial" w:cs="Arial"/>
          <w:sz w:val="20"/>
          <w:szCs w:val="20"/>
        </w:rPr>
        <w:t xml:space="preserve">[78] </w:t>
      </w:r>
      <w:r w:rsidRPr="00604632">
        <w:rPr>
          <w:rFonts w:ascii="Arial" w:hAnsi="Arial" w:cs="Arial"/>
          <w:sz w:val="20"/>
          <w:szCs w:val="20"/>
        </w:rPr>
        <w:t>For these reasons, I consider the present application to be an exceptional case where the specific matters of prejudice must be articulated, particularly because it appears to be open to the court to manage the preparation of the group proceeding for trial in a manner that would ameliorate any genuine prejudice to the State in the criminal proceeding.</w:t>
      </w:r>
      <w:r>
        <w:rPr>
          <w:rFonts w:ascii="Arial" w:hAnsi="Arial" w:cs="Arial"/>
          <w:sz w:val="20"/>
          <w:szCs w:val="20"/>
        </w:rPr>
        <w:t>”</w:t>
      </w:r>
    </w:p>
    <w:p w14:paraId="40C37533" w14:textId="3E728FC3" w:rsidR="003208BC" w:rsidRDefault="00D405C3" w:rsidP="00D405C3">
      <w:pPr>
        <w:spacing w:before="60"/>
        <w:jc w:val="both"/>
        <w:rPr>
          <w:rFonts w:ascii="Arial" w:hAnsi="Arial" w:cs="Arial"/>
          <w:sz w:val="20"/>
        </w:rPr>
      </w:pPr>
      <w:r>
        <w:rPr>
          <w:rFonts w:ascii="Arial" w:hAnsi="Arial" w:cs="Arial"/>
          <w:sz w:val="20"/>
        </w:rPr>
        <w:t xml:space="preserve">Holding that there was no error in his Honour’s orders, the Court of Appeal (Beach, T Forrest &amp; Hargrave JJA) refused leave to appeal: </w:t>
      </w:r>
      <w:r w:rsidRPr="00D405C3">
        <w:rPr>
          <w:rFonts w:ascii="Arial" w:hAnsi="Arial" w:cs="Arial"/>
          <w:i/>
          <w:iCs/>
          <w:sz w:val="20"/>
        </w:rPr>
        <w:t>State of Victoria v 5 Boroughs NY Pty Ltd</w:t>
      </w:r>
      <w:r>
        <w:rPr>
          <w:rFonts w:ascii="Arial" w:hAnsi="Arial" w:cs="Arial"/>
          <w:sz w:val="20"/>
        </w:rPr>
        <w:t xml:space="preserve"> [2023] VSCA 101.</w:t>
      </w:r>
    </w:p>
    <w:p w14:paraId="2B3C1F63" w14:textId="089FAF5B" w:rsidR="00867E29" w:rsidRDefault="00867E29" w:rsidP="00D15730">
      <w:pPr>
        <w:rPr>
          <w:rFonts w:ascii="Arial" w:hAnsi="Arial" w:cs="Arial"/>
          <w:sz w:val="20"/>
        </w:rPr>
      </w:pPr>
    </w:p>
    <w:p w14:paraId="7116EEED" w14:textId="45B2FE69" w:rsidR="00D66189" w:rsidRPr="0014707F" w:rsidRDefault="00D66189" w:rsidP="00D66189">
      <w:pPr>
        <w:jc w:val="both"/>
        <w:rPr>
          <w:rFonts w:ascii="Arial" w:hAnsi="Arial" w:cs="Arial"/>
          <w:sz w:val="20"/>
          <w:szCs w:val="20"/>
        </w:rPr>
      </w:pPr>
      <w:r>
        <w:rPr>
          <w:rFonts w:ascii="Arial" w:hAnsi="Arial" w:cs="Arial"/>
          <w:sz w:val="20"/>
        </w:rPr>
        <w:t xml:space="preserve">In </w:t>
      </w:r>
      <w:r w:rsidRPr="00D66189">
        <w:rPr>
          <w:rFonts w:ascii="Arial" w:hAnsi="Arial" w:cs="Arial"/>
          <w:i/>
          <w:iCs/>
          <w:sz w:val="20"/>
          <w:szCs w:val="20"/>
        </w:rPr>
        <w:t>Figurehead Construction Pty Ltd v Machado</w:t>
      </w:r>
      <w:r>
        <w:rPr>
          <w:rFonts w:ascii="Arial" w:hAnsi="Arial" w:cs="Arial"/>
          <w:i/>
          <w:iCs/>
          <w:sz w:val="20"/>
          <w:szCs w:val="20"/>
        </w:rPr>
        <w:t xml:space="preserve"> </w:t>
      </w:r>
      <w:r w:rsidRPr="00D66189">
        <w:rPr>
          <w:rFonts w:ascii="Arial" w:hAnsi="Arial" w:cs="Arial"/>
          <w:sz w:val="20"/>
          <w:szCs w:val="20"/>
        </w:rPr>
        <w:t xml:space="preserve">[2023] VSC 448 Matthews J </w:t>
      </w:r>
      <w:r>
        <w:rPr>
          <w:rFonts w:ascii="Arial" w:hAnsi="Arial" w:cs="Arial"/>
          <w:sz w:val="20"/>
          <w:szCs w:val="20"/>
        </w:rPr>
        <w:t xml:space="preserve">– citing the principles enunciated by John Dixon J in </w:t>
      </w:r>
      <w:r w:rsidRPr="00867E29">
        <w:rPr>
          <w:rFonts w:ascii="Arial" w:hAnsi="Arial" w:cs="Arial"/>
          <w:i/>
          <w:iCs/>
          <w:sz w:val="20"/>
        </w:rPr>
        <w:t>5 Boroughs NY Pty Ltd v State of Victoria (No 3)</w:t>
      </w:r>
      <w:r>
        <w:rPr>
          <w:rFonts w:ascii="Arial" w:hAnsi="Arial" w:cs="Arial"/>
          <w:sz w:val="20"/>
        </w:rPr>
        <w:t xml:space="preserve"> [2023] VSC 22 </w:t>
      </w:r>
      <w:r w:rsidR="0014707F">
        <w:rPr>
          <w:rFonts w:ascii="Arial" w:hAnsi="Arial" w:cs="Arial"/>
          <w:sz w:val="20"/>
        </w:rPr>
        <w:t xml:space="preserve">– </w:t>
      </w:r>
      <w:r>
        <w:rPr>
          <w:rFonts w:ascii="Arial" w:hAnsi="Arial" w:cs="Arial"/>
          <w:sz w:val="20"/>
          <w:szCs w:val="20"/>
        </w:rPr>
        <w:t>found</w:t>
      </w:r>
      <w:r w:rsidR="0014707F">
        <w:rPr>
          <w:rFonts w:ascii="Arial" w:hAnsi="Arial" w:cs="Arial"/>
          <w:sz w:val="20"/>
          <w:szCs w:val="20"/>
        </w:rPr>
        <w:t xml:space="preserve"> </w:t>
      </w:r>
      <w:r>
        <w:rPr>
          <w:rFonts w:ascii="Arial" w:hAnsi="Arial" w:cs="Arial"/>
          <w:sz w:val="20"/>
          <w:szCs w:val="20"/>
        </w:rPr>
        <w:t>there was a real risk of prejudice and granted a temporary stay of civil proceedings pending determination of criminal proceedings related to the same subject matter.</w:t>
      </w:r>
      <w:r w:rsidR="0014707F">
        <w:rPr>
          <w:rFonts w:ascii="Arial" w:hAnsi="Arial" w:cs="Arial"/>
          <w:sz w:val="20"/>
          <w:szCs w:val="20"/>
        </w:rPr>
        <w:t xml:space="preserve">  At [35]-[36] her Honour said:</w:t>
      </w:r>
    </w:p>
    <w:p w14:paraId="22276CC9" w14:textId="77777777" w:rsidR="0014707F" w:rsidRDefault="0014707F" w:rsidP="009462F3">
      <w:pPr>
        <w:spacing w:before="60"/>
        <w:ind w:left="454" w:right="454"/>
        <w:jc w:val="both"/>
        <w:rPr>
          <w:rFonts w:ascii="Arial" w:hAnsi="Arial" w:cs="Arial"/>
          <w:sz w:val="20"/>
          <w:szCs w:val="20"/>
        </w:rPr>
      </w:pPr>
      <w:r>
        <w:rPr>
          <w:rFonts w:ascii="Arial" w:hAnsi="Arial" w:cs="Arial"/>
          <w:sz w:val="20"/>
        </w:rPr>
        <w:t>“</w:t>
      </w:r>
      <w:r w:rsidRPr="0014707F">
        <w:rPr>
          <w:rFonts w:ascii="Arial" w:hAnsi="Arial" w:cs="Arial"/>
          <w:sz w:val="20"/>
          <w:szCs w:val="20"/>
        </w:rPr>
        <w:t xml:space="preserve">It is clear from the summary of principles in </w:t>
      </w:r>
      <w:r w:rsidRPr="0014707F">
        <w:rPr>
          <w:rFonts w:ascii="Arial" w:hAnsi="Arial" w:cs="Arial"/>
          <w:i/>
          <w:iCs/>
          <w:sz w:val="20"/>
          <w:szCs w:val="20"/>
        </w:rPr>
        <w:t>5 Boroughs</w:t>
      </w:r>
      <w:r w:rsidRPr="0014707F">
        <w:rPr>
          <w:rFonts w:ascii="Arial" w:hAnsi="Arial" w:cs="Arial"/>
          <w:sz w:val="20"/>
          <w:szCs w:val="20"/>
        </w:rPr>
        <w:t xml:space="preserve"> and from all of the authorities canvassed that there is no automatic right to a stay of a civil proceeding due to the existence of a criminal proceeding. It is also clear that what is required is a balancing of the competing prejudices: the prejudice to the defendant in the Criminal Proceeding arising from his participation in this proceeding compared with the prejudice to the plaintiff in staying this proceeding. </w:t>
      </w:r>
    </w:p>
    <w:p w14:paraId="13BDAEB9" w14:textId="7A820360" w:rsidR="0014707F" w:rsidRDefault="0014707F" w:rsidP="009462F3">
      <w:pPr>
        <w:spacing w:before="60"/>
        <w:ind w:left="454" w:right="454"/>
        <w:jc w:val="both"/>
        <w:rPr>
          <w:rFonts w:ascii="Arial" w:hAnsi="Arial" w:cs="Arial"/>
          <w:sz w:val="20"/>
        </w:rPr>
      </w:pPr>
      <w:r w:rsidRPr="0014707F">
        <w:rPr>
          <w:rFonts w:ascii="Arial" w:hAnsi="Arial" w:cs="Arial"/>
          <w:sz w:val="20"/>
          <w:szCs w:val="20"/>
        </w:rPr>
        <w:t>It is also clear that there must be a real risk of prejudice to the defendant and that the defendant bears the onus of establishing this</w:t>
      </w:r>
      <w:r>
        <w:rPr>
          <w:rFonts w:ascii="Arial" w:hAnsi="Arial" w:cs="Arial"/>
          <w:sz w:val="20"/>
          <w:szCs w:val="20"/>
        </w:rPr>
        <w:t>.”</w:t>
      </w:r>
    </w:p>
    <w:p w14:paraId="4AEFDA23" w14:textId="77777777" w:rsidR="0014707F" w:rsidRDefault="0014707F" w:rsidP="00D15730">
      <w:pPr>
        <w:rPr>
          <w:rFonts w:ascii="Arial" w:hAnsi="Arial" w:cs="Arial"/>
          <w:sz w:val="20"/>
        </w:rPr>
      </w:pPr>
    </w:p>
    <w:p w14:paraId="7B0FF5C3" w14:textId="0A5D69F0" w:rsidR="0007304C" w:rsidRDefault="006567E9" w:rsidP="0007304C">
      <w:pPr>
        <w:jc w:val="both"/>
        <w:rPr>
          <w:rFonts w:ascii="Arial" w:hAnsi="Arial" w:cs="Arial"/>
          <w:sz w:val="20"/>
        </w:rPr>
      </w:pPr>
      <w:r>
        <w:rPr>
          <w:rFonts w:ascii="Arial" w:hAnsi="Arial" w:cs="Arial"/>
          <w:sz w:val="20"/>
        </w:rPr>
        <w:t xml:space="preserve">In </w:t>
      </w:r>
      <w:r w:rsidRPr="006567E9">
        <w:rPr>
          <w:rFonts w:ascii="Arial" w:hAnsi="Arial" w:cs="Arial"/>
          <w:i/>
          <w:sz w:val="20"/>
        </w:rPr>
        <w:t>A</w:t>
      </w:r>
      <w:r w:rsidR="00D405C3">
        <w:rPr>
          <w:rFonts w:ascii="Arial" w:hAnsi="Arial" w:cs="Arial"/>
          <w:i/>
          <w:sz w:val="20"/>
        </w:rPr>
        <w:t>on</w:t>
      </w:r>
      <w:r w:rsidRPr="006567E9">
        <w:rPr>
          <w:rFonts w:ascii="Arial" w:hAnsi="Arial" w:cs="Arial"/>
          <w:i/>
          <w:sz w:val="20"/>
        </w:rPr>
        <w:t xml:space="preserve"> </w:t>
      </w:r>
      <w:r w:rsidR="00142190" w:rsidRPr="00142190">
        <w:rPr>
          <w:rFonts w:ascii="Arial" w:hAnsi="Arial" w:cs="Arial"/>
          <w:i/>
          <w:sz w:val="20"/>
        </w:rPr>
        <w:t>Risk Services Australia Limited v Australian National University</w:t>
      </w:r>
      <w:r w:rsidR="00142190">
        <w:rPr>
          <w:rFonts w:ascii="Arial" w:hAnsi="Arial" w:cs="Arial"/>
          <w:sz w:val="20"/>
        </w:rPr>
        <w:t xml:space="preserve"> [2009] HCA 27 </w:t>
      </w:r>
      <w:r w:rsidR="0007304C">
        <w:rPr>
          <w:rFonts w:ascii="Arial" w:hAnsi="Arial" w:cs="Arial"/>
          <w:sz w:val="20"/>
        </w:rPr>
        <w:t>the High Court held that:</w:t>
      </w:r>
    </w:p>
    <w:p w14:paraId="2E542E81" w14:textId="77777777" w:rsidR="0007304C" w:rsidRDefault="0007304C" w:rsidP="009462F3">
      <w:pPr>
        <w:numPr>
          <w:ilvl w:val="0"/>
          <w:numId w:val="21"/>
        </w:numPr>
        <w:ind w:left="454"/>
        <w:jc w:val="both"/>
        <w:rPr>
          <w:rFonts w:ascii="Arial" w:hAnsi="Arial" w:cs="Arial"/>
          <w:sz w:val="20"/>
        </w:rPr>
      </w:pPr>
      <w:r>
        <w:rPr>
          <w:rFonts w:ascii="Arial" w:hAnsi="Arial" w:cs="Arial"/>
          <w:sz w:val="20"/>
        </w:rPr>
        <w:t>case management principles were relevant to applications for adjournment and amendment; and</w:t>
      </w:r>
    </w:p>
    <w:p w14:paraId="6E88DDA8" w14:textId="77777777" w:rsidR="0007304C" w:rsidRDefault="0007304C" w:rsidP="009462F3">
      <w:pPr>
        <w:numPr>
          <w:ilvl w:val="0"/>
          <w:numId w:val="21"/>
        </w:numPr>
        <w:ind w:left="454"/>
        <w:jc w:val="both"/>
        <w:rPr>
          <w:rFonts w:ascii="Arial" w:hAnsi="Arial" w:cs="Arial"/>
          <w:sz w:val="20"/>
        </w:rPr>
      </w:pPr>
      <w:r>
        <w:rPr>
          <w:rFonts w:ascii="Arial" w:hAnsi="Arial" w:cs="Arial"/>
          <w:sz w:val="20"/>
        </w:rPr>
        <w:t xml:space="preserve">statements by an earlier High Court in </w:t>
      </w:r>
      <w:r w:rsidRPr="0007304C">
        <w:rPr>
          <w:rFonts w:ascii="Arial" w:hAnsi="Arial" w:cs="Arial"/>
          <w:i/>
          <w:sz w:val="20"/>
        </w:rPr>
        <w:t>Queensland v J L Holdings Pty Ltd</w:t>
      </w:r>
      <w:r>
        <w:rPr>
          <w:rFonts w:ascii="Arial" w:hAnsi="Arial" w:cs="Arial"/>
          <w:sz w:val="20"/>
        </w:rPr>
        <w:t xml:space="preserve"> (1997) 189 CLR 146; [1997] HCA 1 “which suggest only a limited application for case management do not rest upon a principle which has been worked out in a significant succession of cases” and “should not be applied in the future”: see the joint judgment of </w:t>
      </w:r>
      <w:r w:rsidR="00A03BFF">
        <w:rPr>
          <w:rFonts w:ascii="Arial" w:hAnsi="Arial" w:cs="Arial"/>
          <w:sz w:val="20"/>
        </w:rPr>
        <w:t xml:space="preserve">Gummow, Hayne, Crennan, Kiefel &amp; Bell JJ </w:t>
      </w:r>
      <w:r>
        <w:rPr>
          <w:rFonts w:ascii="Arial" w:hAnsi="Arial" w:cs="Arial"/>
          <w:sz w:val="20"/>
        </w:rPr>
        <w:t>at</w:t>
      </w:r>
      <w:r w:rsidR="00A03BFF">
        <w:rPr>
          <w:rFonts w:ascii="Arial" w:hAnsi="Arial" w:cs="Arial"/>
          <w:sz w:val="20"/>
        </w:rPr>
        <w:t> </w:t>
      </w:r>
      <w:r>
        <w:rPr>
          <w:rFonts w:ascii="Arial" w:hAnsi="Arial" w:cs="Arial"/>
          <w:sz w:val="20"/>
        </w:rPr>
        <w:t xml:space="preserve">[111] with which French CJ agreed at </w:t>
      </w:r>
      <w:r w:rsidR="00A03BFF">
        <w:rPr>
          <w:rFonts w:ascii="Arial" w:hAnsi="Arial" w:cs="Arial"/>
          <w:sz w:val="20"/>
        </w:rPr>
        <w:t xml:space="preserve">[6] &amp; </w:t>
      </w:r>
      <w:r>
        <w:rPr>
          <w:rFonts w:ascii="Arial" w:hAnsi="Arial" w:cs="Arial"/>
          <w:sz w:val="20"/>
        </w:rPr>
        <w:t>[30].</w:t>
      </w:r>
    </w:p>
    <w:p w14:paraId="13AC6B39" w14:textId="77777777" w:rsidR="0007304C" w:rsidRDefault="00A03BFF" w:rsidP="00A03BFF">
      <w:pPr>
        <w:jc w:val="both"/>
        <w:rPr>
          <w:rFonts w:ascii="Arial" w:hAnsi="Arial" w:cs="Arial"/>
          <w:sz w:val="20"/>
        </w:rPr>
      </w:pPr>
      <w:r>
        <w:rPr>
          <w:rFonts w:ascii="Arial" w:hAnsi="Arial" w:cs="Arial"/>
          <w:sz w:val="20"/>
        </w:rPr>
        <w:t xml:space="preserve">In his judgment – with which the majority did not differ – French CJ saw the issue of adjournments as </w:t>
      </w:r>
      <w:r w:rsidR="0036492C">
        <w:rPr>
          <w:rFonts w:ascii="Arial" w:hAnsi="Arial" w:cs="Arial"/>
          <w:sz w:val="20"/>
        </w:rPr>
        <w:t xml:space="preserve">not </w:t>
      </w:r>
      <w:r>
        <w:rPr>
          <w:rFonts w:ascii="Arial" w:hAnsi="Arial" w:cs="Arial"/>
          <w:sz w:val="20"/>
        </w:rPr>
        <w:t xml:space="preserve">a matter confined </w:t>
      </w:r>
      <w:r w:rsidR="0036492C">
        <w:rPr>
          <w:rFonts w:ascii="Arial" w:hAnsi="Arial" w:cs="Arial"/>
          <w:sz w:val="20"/>
        </w:rPr>
        <w:t xml:space="preserve">solely </w:t>
      </w:r>
      <w:r>
        <w:rPr>
          <w:rFonts w:ascii="Arial" w:hAnsi="Arial" w:cs="Arial"/>
          <w:sz w:val="20"/>
        </w:rPr>
        <w:t xml:space="preserve">to </w:t>
      </w:r>
      <w:r w:rsidR="0036492C">
        <w:rPr>
          <w:rFonts w:ascii="Arial" w:hAnsi="Arial" w:cs="Arial"/>
          <w:sz w:val="20"/>
        </w:rPr>
        <w:t xml:space="preserve">the interests of the </w:t>
      </w:r>
      <w:r>
        <w:rPr>
          <w:rFonts w:ascii="Arial" w:hAnsi="Arial" w:cs="Arial"/>
          <w:sz w:val="20"/>
        </w:rPr>
        <w:t>parties but as also having an element of public interest.  At [5] &amp; [30] his Honour said:</w:t>
      </w:r>
    </w:p>
    <w:p w14:paraId="589A207A" w14:textId="77777777" w:rsidR="00A03BFF" w:rsidRDefault="00A03BFF" w:rsidP="009462F3">
      <w:pPr>
        <w:spacing w:before="60"/>
        <w:ind w:left="454" w:right="454"/>
        <w:jc w:val="both"/>
        <w:rPr>
          <w:rFonts w:ascii="Arial" w:hAnsi="Arial" w:cs="Arial"/>
          <w:bCs/>
          <w:sz w:val="20"/>
        </w:rPr>
      </w:pPr>
      <w:r>
        <w:rPr>
          <w:rFonts w:ascii="Arial" w:hAnsi="Arial" w:cs="Arial"/>
          <w:bCs/>
          <w:sz w:val="20"/>
        </w:rPr>
        <w:t xml:space="preserve">[5] </w:t>
      </w:r>
      <w:r w:rsidRPr="00A03BFF">
        <w:rPr>
          <w:rFonts w:ascii="Arial" w:hAnsi="Arial" w:cs="Arial"/>
          <w:bCs/>
          <w:sz w:val="20"/>
        </w:rPr>
        <w:t xml:space="preserve">“In the proper exercise of the primary judge’s discretion, the applications for adjournment and amendment </w:t>
      </w:r>
      <w:r>
        <w:rPr>
          <w:rFonts w:ascii="Arial" w:hAnsi="Arial" w:cs="Arial"/>
          <w:bCs/>
          <w:sz w:val="20"/>
        </w:rPr>
        <w:t>were not to be considered solely by reference to whether any prejudice to Aon could be compensated by costs.  Both the primary judge and the Court of Appeal should have taken into account that, whatever costs are ordered, there is an irreparable element of unfair prejudice in unnecessarily delaying proceedings.  Moreover, the time of the court is a publicly funded resource.  Inefficiencies in the use of that resource, arising from the vacation or adjournment of trials, are to be taken into account.  So too is the need to maintain public confidence in the judicial system.”</w:t>
      </w:r>
    </w:p>
    <w:p w14:paraId="2BDCE00F" w14:textId="77777777" w:rsidR="00A03BFF" w:rsidRPr="00A03BFF" w:rsidRDefault="00A03BFF" w:rsidP="009462F3">
      <w:pPr>
        <w:spacing w:before="60"/>
        <w:ind w:left="454" w:right="454"/>
        <w:jc w:val="both"/>
        <w:rPr>
          <w:rFonts w:ascii="Arial" w:hAnsi="Arial" w:cs="Arial"/>
          <w:bCs/>
          <w:sz w:val="20"/>
        </w:rPr>
      </w:pPr>
      <w:r>
        <w:rPr>
          <w:rFonts w:ascii="Arial" w:hAnsi="Arial" w:cs="Arial"/>
          <w:bCs/>
          <w:sz w:val="20"/>
        </w:rPr>
        <w:t xml:space="preserve">[30] “It might be thought a truism that ‘case management principles’ should not supplant the objective of doing justice between the parties according to law.  Accepting that proposition </w:t>
      </w:r>
      <w:r w:rsidRPr="00A03BFF">
        <w:rPr>
          <w:rFonts w:ascii="Arial" w:hAnsi="Arial" w:cs="Arial"/>
          <w:bCs/>
          <w:i/>
          <w:sz w:val="20"/>
        </w:rPr>
        <w:t>JL Holdings</w:t>
      </w:r>
      <w:r>
        <w:rPr>
          <w:rFonts w:ascii="Arial" w:hAnsi="Arial" w:cs="Arial"/>
          <w:bCs/>
          <w:sz w:val="20"/>
        </w:rPr>
        <w:t xml:space="preserve"> cannot be taken as authority for the view that waste of p</w:t>
      </w:r>
      <w:r w:rsidR="00775499">
        <w:rPr>
          <w:rFonts w:ascii="Arial" w:hAnsi="Arial" w:cs="Arial"/>
          <w:bCs/>
          <w:sz w:val="20"/>
        </w:rPr>
        <w:t>ublic resources and undue delay, with the concomitant strain and uncertainty imposed on litigants, should not be taken into account in the exercise of interlocutory discretions… Also to be considered is the potential for loss of public confidence in the legal system which arises where a court is seen to accede to applications made without adequate explanation or justification, whether they be for adjournment, for amendments giving rise to adjournment, or for vacation of fixed trial dates resulting in the resetting of interlocutory processes.”</w:t>
      </w:r>
    </w:p>
    <w:p w14:paraId="3EAC41A8" w14:textId="77777777" w:rsidR="00BE1C17" w:rsidRDefault="00BE1C17" w:rsidP="00BE1C17">
      <w:pPr>
        <w:jc w:val="both"/>
        <w:rPr>
          <w:rFonts w:ascii="Arial" w:hAnsi="Arial" w:cs="Arial"/>
          <w:sz w:val="20"/>
        </w:rPr>
      </w:pPr>
    </w:p>
    <w:p w14:paraId="715F9448" w14:textId="5100A908" w:rsidR="00BE1C17" w:rsidRDefault="00BE1C17" w:rsidP="00BE1C17">
      <w:pPr>
        <w:jc w:val="both"/>
        <w:rPr>
          <w:rFonts w:ascii="Arial" w:hAnsi="Arial" w:cs="Arial"/>
          <w:sz w:val="20"/>
        </w:rPr>
      </w:pPr>
      <w:r>
        <w:rPr>
          <w:rFonts w:ascii="Arial" w:hAnsi="Arial" w:cs="Arial"/>
          <w:sz w:val="20"/>
        </w:rPr>
        <w:t xml:space="preserve">In </w:t>
      </w:r>
      <w:r w:rsidRPr="003F061B">
        <w:rPr>
          <w:rFonts w:ascii="Arial" w:hAnsi="Arial" w:cs="Arial"/>
          <w:i/>
          <w:iCs/>
          <w:sz w:val="20"/>
        </w:rPr>
        <w:t>Re Cherish International Pty Ltd</w:t>
      </w:r>
      <w:r w:rsidRPr="003F061B">
        <w:rPr>
          <w:rFonts w:ascii="Arial" w:hAnsi="Arial" w:cs="Arial"/>
          <w:sz w:val="20"/>
        </w:rPr>
        <w:t xml:space="preserve"> [2026] VSC 128 </w:t>
      </w:r>
      <w:r>
        <w:rPr>
          <w:rFonts w:ascii="Arial" w:hAnsi="Arial" w:cs="Arial"/>
          <w:sz w:val="20"/>
        </w:rPr>
        <w:t xml:space="preserve">the defendants had filed an application for amendment of its pleadings and for an adjournment of the trial date. Fary </w:t>
      </w:r>
      <w:proofErr w:type="spellStart"/>
      <w:r>
        <w:rPr>
          <w:rFonts w:ascii="Arial" w:hAnsi="Arial" w:cs="Arial"/>
          <w:sz w:val="20"/>
        </w:rPr>
        <w:t>AsJ</w:t>
      </w:r>
      <w:proofErr w:type="spellEnd"/>
      <w:r>
        <w:rPr>
          <w:rFonts w:ascii="Arial" w:hAnsi="Arial" w:cs="Arial"/>
          <w:sz w:val="20"/>
        </w:rPr>
        <w:t xml:space="preserve"> made orders </w:t>
      </w:r>
      <w:r w:rsidRPr="00A544E9">
        <w:rPr>
          <w:rFonts w:ascii="Arial" w:hAnsi="Arial" w:cs="Arial"/>
          <w:sz w:val="20"/>
        </w:rPr>
        <w:t xml:space="preserve">granting leave to the defendants to file and serve a further amended defence </w:t>
      </w:r>
      <w:r>
        <w:rPr>
          <w:rFonts w:ascii="Arial" w:hAnsi="Arial" w:cs="Arial"/>
          <w:sz w:val="20"/>
        </w:rPr>
        <w:t xml:space="preserve">and associated witness outline(s) </w:t>
      </w:r>
      <w:r w:rsidRPr="00A544E9">
        <w:rPr>
          <w:rFonts w:ascii="Arial" w:hAnsi="Arial" w:cs="Arial"/>
          <w:sz w:val="20"/>
        </w:rPr>
        <w:t>and for the plaintiff to have leave to file any further amended reply</w:t>
      </w:r>
      <w:r>
        <w:rPr>
          <w:rFonts w:ascii="Arial" w:hAnsi="Arial" w:cs="Arial"/>
          <w:sz w:val="20"/>
        </w:rPr>
        <w:t xml:space="preserve"> and associated witness outline(s) but dismissed the application to adjourn the trial date. Although the principles applied by his Honour are founded on rules 36.01(1) &amp; 49.03(1) of the </w:t>
      </w:r>
      <w:r w:rsidRPr="00A544E9">
        <w:rPr>
          <w:rFonts w:ascii="Arial" w:hAnsi="Arial" w:cs="Arial"/>
          <w:i/>
          <w:iCs/>
          <w:sz w:val="20"/>
        </w:rPr>
        <w:t>Supreme Court (General Civil Procedure) Rules 2025</w:t>
      </w:r>
      <w:r>
        <w:rPr>
          <w:rFonts w:ascii="Arial" w:hAnsi="Arial" w:cs="Arial"/>
          <w:sz w:val="20"/>
        </w:rPr>
        <w:t xml:space="preserve">, they </w:t>
      </w:r>
      <w:r w:rsidR="000557B6">
        <w:rPr>
          <w:rFonts w:ascii="Arial" w:hAnsi="Arial" w:cs="Arial"/>
          <w:sz w:val="20"/>
        </w:rPr>
        <w:t xml:space="preserve">do </w:t>
      </w:r>
      <w:r>
        <w:rPr>
          <w:rFonts w:ascii="Arial" w:hAnsi="Arial" w:cs="Arial"/>
          <w:sz w:val="20"/>
        </w:rPr>
        <w:t>have some relevance to the operation of the Children’s Court. At [27]-[32] his Honour said:</w:t>
      </w:r>
    </w:p>
    <w:p w14:paraId="7AC88E95" w14:textId="77777777" w:rsidR="00BE1C17" w:rsidRDefault="00BE1C17" w:rsidP="00BE1C17">
      <w:pPr>
        <w:spacing w:before="60"/>
        <w:ind w:left="908" w:right="454" w:hanging="454"/>
        <w:jc w:val="both"/>
        <w:rPr>
          <w:rFonts w:ascii="Arial" w:hAnsi="Arial" w:cs="Arial"/>
          <w:sz w:val="20"/>
        </w:rPr>
      </w:pPr>
      <w:r>
        <w:rPr>
          <w:rFonts w:ascii="Arial" w:hAnsi="Arial" w:cs="Arial"/>
          <w:sz w:val="20"/>
        </w:rPr>
        <w:lastRenderedPageBreak/>
        <w:t>[27] “</w:t>
      </w:r>
      <w:r w:rsidRPr="003F061B">
        <w:rPr>
          <w:rFonts w:ascii="Arial" w:hAnsi="Arial" w:cs="Arial"/>
          <w:sz w:val="20"/>
        </w:rPr>
        <w:t>Rule 36.01(1) of the (Rules) provides that at any stage, the Court may order that any document be amended or that any party have leave to amend any document in the proceeding for the purpose of determining questions of controversy, correcting any defect or error, or avoiding multiplicity of proceedings.</w:t>
      </w:r>
    </w:p>
    <w:p w14:paraId="7B12D0DA" w14:textId="77777777" w:rsidR="00BE1C17" w:rsidRDefault="00BE1C17" w:rsidP="00BE1C17">
      <w:pPr>
        <w:spacing w:before="60"/>
        <w:ind w:left="908" w:right="454" w:hanging="454"/>
        <w:jc w:val="both"/>
        <w:rPr>
          <w:rFonts w:ascii="Arial" w:hAnsi="Arial" w:cs="Arial"/>
          <w:sz w:val="20"/>
        </w:rPr>
      </w:pPr>
      <w:r>
        <w:rPr>
          <w:rFonts w:ascii="Arial" w:hAnsi="Arial" w:cs="Arial"/>
          <w:sz w:val="20"/>
        </w:rPr>
        <w:t xml:space="preserve">[28] </w:t>
      </w:r>
      <w:r w:rsidRPr="003F061B">
        <w:rPr>
          <w:rFonts w:ascii="Arial" w:hAnsi="Arial" w:cs="Arial"/>
          <w:sz w:val="20"/>
        </w:rPr>
        <w:t xml:space="preserve">The power to grant an amendment is discretionary. It is axiomatic that the discretion be exercised consistent with the overarching purpose of the </w:t>
      </w:r>
      <w:r w:rsidRPr="00707031">
        <w:rPr>
          <w:rFonts w:ascii="Arial" w:hAnsi="Arial" w:cs="Arial"/>
          <w:i/>
          <w:iCs/>
          <w:sz w:val="20"/>
        </w:rPr>
        <w:t>Civil Procedure Act 2010</w:t>
      </w:r>
      <w:r w:rsidRPr="003F061B">
        <w:rPr>
          <w:rFonts w:ascii="Arial" w:hAnsi="Arial" w:cs="Arial"/>
          <w:sz w:val="20"/>
        </w:rPr>
        <w:t xml:space="preserve"> (Vic) </w:t>
      </w:r>
      <w:r>
        <w:rPr>
          <w:rFonts w:ascii="Arial" w:hAnsi="Arial" w:cs="Arial"/>
          <w:sz w:val="20"/>
        </w:rPr>
        <w:t>[</w:t>
      </w:r>
      <w:r w:rsidRPr="003F061B">
        <w:rPr>
          <w:rFonts w:ascii="Arial" w:hAnsi="Arial" w:cs="Arial"/>
          <w:sz w:val="20"/>
        </w:rPr>
        <w:t>CPA</w:t>
      </w:r>
      <w:r>
        <w:rPr>
          <w:rFonts w:ascii="Arial" w:hAnsi="Arial" w:cs="Arial"/>
          <w:sz w:val="20"/>
        </w:rPr>
        <w:t xml:space="preserve">] </w:t>
      </w:r>
      <w:r w:rsidRPr="00707031">
        <w:rPr>
          <w:rFonts w:ascii="Arial" w:hAnsi="Arial" w:cs="Arial"/>
          <w:sz w:val="20"/>
        </w:rPr>
        <w:t>ss 8, 9</w:t>
      </w:r>
      <w:r>
        <w:rPr>
          <w:rFonts w:ascii="Arial" w:hAnsi="Arial" w:cs="Arial"/>
          <w:sz w:val="20"/>
        </w:rPr>
        <w:t xml:space="preserve">; </w:t>
      </w:r>
      <w:r w:rsidRPr="00707031">
        <w:rPr>
          <w:rFonts w:ascii="Arial" w:hAnsi="Arial" w:cs="Arial"/>
          <w:i/>
          <w:iCs/>
          <w:sz w:val="20"/>
        </w:rPr>
        <w:t xml:space="preserve">Eaton v ISS Catering Services Pty Ltd </w:t>
      </w:r>
      <w:r w:rsidRPr="00707031">
        <w:rPr>
          <w:rFonts w:ascii="Arial" w:hAnsi="Arial" w:cs="Arial"/>
          <w:sz w:val="20"/>
        </w:rPr>
        <w:t xml:space="preserve">[2013] VSCA 361, [49], [50], [54]; </w:t>
      </w:r>
      <w:r w:rsidRPr="00707031">
        <w:rPr>
          <w:rFonts w:ascii="Arial" w:hAnsi="Arial" w:cs="Arial"/>
          <w:i/>
          <w:iCs/>
          <w:sz w:val="20"/>
        </w:rPr>
        <w:t>AON Risk Services Australia Ltd v Australian National University</w:t>
      </w:r>
      <w:r w:rsidRPr="00707031">
        <w:rPr>
          <w:rFonts w:ascii="Arial" w:hAnsi="Arial" w:cs="Arial"/>
          <w:sz w:val="20"/>
        </w:rPr>
        <w:t xml:space="preserve"> (2009) 239 CLR 175, [154].</w:t>
      </w:r>
      <w:r>
        <w:rPr>
          <w:rFonts w:ascii="Arial" w:hAnsi="Arial" w:cs="Arial"/>
          <w:sz w:val="20"/>
        </w:rPr>
        <w:t xml:space="preserve"> </w:t>
      </w:r>
      <w:r w:rsidRPr="003F061B">
        <w:rPr>
          <w:rFonts w:ascii="Arial" w:hAnsi="Arial" w:cs="Arial"/>
          <w:sz w:val="20"/>
        </w:rPr>
        <w:t>It is to be exercised in a manner that best promotes the ‘overarching purpose’; namely to facilitate the just, efficient, timely and cost-effective resolution of the real issues in dispute. The power to grant leave to amend is broad and has the objective of facilitating the curing of errors and omissions so that the real questions in controversy are properly agitated. A central question is whether it is in the interests of justice for the amendment to be granted.</w:t>
      </w:r>
    </w:p>
    <w:p w14:paraId="1BE33C99" w14:textId="77777777" w:rsidR="00BE1C17" w:rsidRPr="00707031" w:rsidRDefault="00BE1C17" w:rsidP="00BE1C17">
      <w:pPr>
        <w:spacing w:before="60"/>
        <w:ind w:left="908" w:right="454" w:hanging="454"/>
        <w:jc w:val="both"/>
        <w:rPr>
          <w:rFonts w:ascii="Arial" w:hAnsi="Arial" w:cs="Arial"/>
          <w:b/>
          <w:bCs/>
          <w:sz w:val="20"/>
        </w:rPr>
      </w:pPr>
      <w:r>
        <w:rPr>
          <w:rFonts w:ascii="Arial" w:hAnsi="Arial" w:cs="Arial"/>
          <w:sz w:val="20"/>
        </w:rPr>
        <w:t xml:space="preserve">[29] </w:t>
      </w:r>
      <w:r w:rsidRPr="003F061B">
        <w:rPr>
          <w:rFonts w:ascii="Arial" w:hAnsi="Arial" w:cs="Arial"/>
          <w:sz w:val="20"/>
        </w:rPr>
        <w:t>The matters relevant to the discretion to grant leave to amend include</w:t>
      </w:r>
      <w:r>
        <w:rPr>
          <w:rFonts w:ascii="Arial" w:hAnsi="Arial" w:cs="Arial"/>
          <w:sz w:val="20"/>
        </w:rPr>
        <w:t xml:space="preserve"> {</w:t>
      </w:r>
      <w:r w:rsidRPr="00707031">
        <w:rPr>
          <w:rFonts w:ascii="Arial" w:hAnsi="Arial" w:cs="Arial"/>
          <w:i/>
          <w:iCs/>
          <w:sz w:val="20"/>
        </w:rPr>
        <w:t>Northern Health v Kuipers</w:t>
      </w:r>
      <w:r w:rsidRPr="00707031">
        <w:rPr>
          <w:rFonts w:ascii="Arial" w:hAnsi="Arial" w:cs="Arial"/>
          <w:sz w:val="20"/>
        </w:rPr>
        <w:t xml:space="preserve"> [2015] VSCA 172, [28]</w:t>
      </w:r>
      <w:r>
        <w:rPr>
          <w:rFonts w:ascii="Arial" w:hAnsi="Arial" w:cs="Arial"/>
          <w:sz w:val="20"/>
        </w:rPr>
        <w:t>}:</w:t>
      </w:r>
    </w:p>
    <w:p w14:paraId="779887BB" w14:textId="77777777" w:rsidR="00BE1C17" w:rsidRDefault="00BE1C17" w:rsidP="00BE1C17">
      <w:pPr>
        <w:ind w:left="1264" w:hanging="357"/>
        <w:rPr>
          <w:rFonts w:ascii="Arial" w:hAnsi="Arial" w:cs="Arial"/>
          <w:sz w:val="20"/>
        </w:rPr>
      </w:pPr>
      <w:r w:rsidRPr="003F061B">
        <w:rPr>
          <w:rFonts w:ascii="Arial" w:hAnsi="Arial" w:cs="Arial"/>
          <w:sz w:val="20"/>
        </w:rPr>
        <w:t>(a)</w:t>
      </w:r>
      <w:r>
        <w:rPr>
          <w:rFonts w:ascii="Arial" w:hAnsi="Arial" w:cs="Arial"/>
          <w:sz w:val="20"/>
        </w:rPr>
        <w:tab/>
      </w:r>
      <w:r w:rsidRPr="003F061B">
        <w:rPr>
          <w:rFonts w:ascii="Arial" w:hAnsi="Arial" w:cs="Arial"/>
          <w:sz w:val="20"/>
        </w:rPr>
        <w:t>whether there will be a substantial delay caused by the amendment</w:t>
      </w:r>
      <w:r>
        <w:rPr>
          <w:rFonts w:ascii="Arial" w:hAnsi="Arial" w:cs="Arial"/>
          <w:sz w:val="20"/>
        </w:rPr>
        <w:t xml:space="preserve"> {</w:t>
      </w:r>
    </w:p>
    <w:p w14:paraId="319BFC15" w14:textId="77777777" w:rsidR="00BE1C17" w:rsidRDefault="00BE1C17" w:rsidP="00BE1C17">
      <w:pPr>
        <w:ind w:left="1264" w:hanging="357"/>
        <w:rPr>
          <w:rFonts w:ascii="Arial" w:hAnsi="Arial" w:cs="Arial"/>
          <w:sz w:val="20"/>
        </w:rPr>
      </w:pPr>
      <w:r w:rsidRPr="003F061B">
        <w:rPr>
          <w:rFonts w:ascii="Arial" w:hAnsi="Arial" w:cs="Arial"/>
          <w:sz w:val="20"/>
        </w:rPr>
        <w:t>(b)</w:t>
      </w:r>
      <w:r>
        <w:rPr>
          <w:rFonts w:ascii="Arial" w:hAnsi="Arial" w:cs="Arial"/>
          <w:sz w:val="20"/>
        </w:rPr>
        <w:tab/>
      </w:r>
      <w:r w:rsidRPr="003F061B">
        <w:rPr>
          <w:rFonts w:ascii="Arial" w:hAnsi="Arial" w:cs="Arial"/>
          <w:sz w:val="20"/>
        </w:rPr>
        <w:t>the extent of any wasted costs;</w:t>
      </w:r>
    </w:p>
    <w:p w14:paraId="482281E0" w14:textId="77777777" w:rsidR="00BE1C17" w:rsidRDefault="00BE1C17" w:rsidP="00BE1C17">
      <w:pPr>
        <w:ind w:left="1264" w:hanging="357"/>
        <w:rPr>
          <w:rFonts w:ascii="Arial" w:hAnsi="Arial" w:cs="Arial"/>
          <w:sz w:val="20"/>
        </w:rPr>
      </w:pPr>
      <w:r w:rsidRPr="003F061B">
        <w:rPr>
          <w:rFonts w:ascii="Arial" w:hAnsi="Arial" w:cs="Arial"/>
          <w:sz w:val="20"/>
        </w:rPr>
        <w:t>(c)</w:t>
      </w:r>
      <w:r>
        <w:rPr>
          <w:rFonts w:ascii="Arial" w:hAnsi="Arial" w:cs="Arial"/>
          <w:sz w:val="20"/>
        </w:rPr>
        <w:tab/>
      </w:r>
      <w:r w:rsidRPr="003F061B">
        <w:rPr>
          <w:rFonts w:ascii="Arial" w:hAnsi="Arial" w:cs="Arial"/>
          <w:sz w:val="20"/>
        </w:rPr>
        <w:t>whether there is an irreparable element of unfair prejudice caused by the amendment;</w:t>
      </w:r>
    </w:p>
    <w:p w14:paraId="6EDD5CD1" w14:textId="77777777" w:rsidR="00BE1C17" w:rsidRDefault="00BE1C17" w:rsidP="00BE1C17">
      <w:pPr>
        <w:ind w:left="1264" w:hanging="357"/>
        <w:rPr>
          <w:rFonts w:ascii="Arial" w:hAnsi="Arial" w:cs="Arial"/>
          <w:sz w:val="20"/>
        </w:rPr>
      </w:pPr>
      <w:r w:rsidRPr="003F061B">
        <w:rPr>
          <w:rFonts w:ascii="Arial" w:hAnsi="Arial" w:cs="Arial"/>
          <w:sz w:val="20"/>
        </w:rPr>
        <w:t>(d)</w:t>
      </w:r>
      <w:r>
        <w:rPr>
          <w:rFonts w:ascii="Arial" w:hAnsi="Arial" w:cs="Arial"/>
          <w:sz w:val="20"/>
        </w:rPr>
        <w:tab/>
      </w:r>
      <w:r w:rsidRPr="003F061B">
        <w:rPr>
          <w:rFonts w:ascii="Arial" w:hAnsi="Arial" w:cs="Arial"/>
          <w:sz w:val="20"/>
        </w:rPr>
        <w:t>concerns of case management arising from the stage in the proceeding when the amendment is sought;</w:t>
      </w:r>
    </w:p>
    <w:p w14:paraId="3D3EB417" w14:textId="77777777" w:rsidR="00BE1C17" w:rsidRDefault="00BE1C17" w:rsidP="00BE1C17">
      <w:pPr>
        <w:ind w:left="1264" w:hanging="357"/>
        <w:rPr>
          <w:rFonts w:ascii="Arial" w:hAnsi="Arial" w:cs="Arial"/>
          <w:sz w:val="20"/>
        </w:rPr>
      </w:pPr>
      <w:r w:rsidRPr="003F061B">
        <w:rPr>
          <w:rFonts w:ascii="Arial" w:hAnsi="Arial" w:cs="Arial"/>
          <w:sz w:val="20"/>
        </w:rPr>
        <w:t>(e) whether the grant of the amendment will lessen public confidence in the judicial system;</w:t>
      </w:r>
      <w:r>
        <w:rPr>
          <w:rFonts w:ascii="Arial" w:hAnsi="Arial" w:cs="Arial"/>
          <w:sz w:val="20"/>
        </w:rPr>
        <w:t xml:space="preserve"> </w:t>
      </w:r>
      <w:r w:rsidRPr="003F061B">
        <w:rPr>
          <w:rFonts w:ascii="Arial" w:hAnsi="Arial" w:cs="Arial"/>
          <w:sz w:val="20"/>
        </w:rPr>
        <w:t>and</w:t>
      </w:r>
    </w:p>
    <w:p w14:paraId="298F9B11" w14:textId="77777777" w:rsidR="00BE1C17" w:rsidRDefault="00BE1C17" w:rsidP="00BE1C17">
      <w:pPr>
        <w:ind w:left="1264" w:hanging="357"/>
        <w:rPr>
          <w:rFonts w:ascii="Arial" w:hAnsi="Arial" w:cs="Arial"/>
          <w:sz w:val="20"/>
        </w:rPr>
      </w:pPr>
      <w:r w:rsidRPr="003F061B">
        <w:rPr>
          <w:rFonts w:ascii="Arial" w:hAnsi="Arial" w:cs="Arial"/>
          <w:sz w:val="20"/>
        </w:rPr>
        <w:t>(f) whether a satisfactory explanation has been given for seeking the amendment at the stage when it is sought.</w:t>
      </w:r>
    </w:p>
    <w:p w14:paraId="053CA44F" w14:textId="77777777" w:rsidR="00BE1C17" w:rsidRDefault="00BE1C17" w:rsidP="00BE1C17">
      <w:pPr>
        <w:spacing w:before="60"/>
        <w:ind w:left="908" w:right="454" w:hanging="454"/>
        <w:jc w:val="both"/>
        <w:rPr>
          <w:rFonts w:ascii="Arial" w:hAnsi="Arial" w:cs="Arial"/>
          <w:sz w:val="20"/>
        </w:rPr>
      </w:pPr>
      <w:r>
        <w:rPr>
          <w:rFonts w:ascii="Arial" w:hAnsi="Arial" w:cs="Arial"/>
          <w:sz w:val="20"/>
        </w:rPr>
        <w:t xml:space="preserve">[30] </w:t>
      </w:r>
      <w:r w:rsidRPr="003F061B">
        <w:rPr>
          <w:rFonts w:ascii="Arial" w:hAnsi="Arial" w:cs="Arial"/>
          <w:sz w:val="20"/>
        </w:rPr>
        <w:t>Rule 49.03 of the Rules provides that the Court may adjourn a trial on such terms as it thinks fit.</w:t>
      </w:r>
    </w:p>
    <w:p w14:paraId="027828F8" w14:textId="36B84292" w:rsidR="00BE1C17" w:rsidRDefault="00BE1C17" w:rsidP="00BE1C17">
      <w:pPr>
        <w:spacing w:before="60"/>
        <w:ind w:left="908" w:right="454" w:hanging="454"/>
        <w:jc w:val="both"/>
        <w:rPr>
          <w:rFonts w:ascii="Arial" w:hAnsi="Arial" w:cs="Arial"/>
          <w:sz w:val="20"/>
        </w:rPr>
      </w:pPr>
      <w:r w:rsidRPr="00707031">
        <w:rPr>
          <w:rFonts w:ascii="Arial" w:hAnsi="Arial" w:cs="Arial"/>
          <w:sz w:val="20"/>
        </w:rPr>
        <w:t xml:space="preserve">[31] </w:t>
      </w:r>
      <w:r w:rsidRPr="003F061B">
        <w:rPr>
          <w:rFonts w:ascii="Arial" w:hAnsi="Arial" w:cs="Arial"/>
          <w:sz w:val="20"/>
        </w:rPr>
        <w:t xml:space="preserve">The power to grant an adjournment is discretionary. It is axiomatic that the discretion be exercised consistent with the overarching purpose of the CPA. It is to be exercised in a manner that best promotes the ‘overarching </w:t>
      </w:r>
      <w:proofErr w:type="gramStart"/>
      <w:r w:rsidRPr="003F061B">
        <w:rPr>
          <w:rFonts w:ascii="Arial" w:hAnsi="Arial" w:cs="Arial"/>
          <w:sz w:val="20"/>
        </w:rPr>
        <w:t>purpose‘</w:t>
      </w:r>
      <w:proofErr w:type="gramEnd"/>
      <w:r w:rsidRPr="003F061B">
        <w:rPr>
          <w:rFonts w:ascii="Arial" w:hAnsi="Arial" w:cs="Arial"/>
          <w:sz w:val="20"/>
        </w:rPr>
        <w:t>; namely to facilitate the just, efficient, timely and cost-effective resolution of the real issues in dispute. An application for adjournment is ‘to be resolved according to the overall requirements of justice in the particular circumstances’</w:t>
      </w:r>
      <w:r w:rsidR="00953A07">
        <w:rPr>
          <w:rFonts w:ascii="Arial" w:hAnsi="Arial" w:cs="Arial"/>
          <w:sz w:val="20"/>
        </w:rPr>
        <w:t xml:space="preserve">: </w:t>
      </w:r>
      <w:r w:rsidR="00953A07" w:rsidRPr="00953A07">
        <w:rPr>
          <w:rFonts w:ascii="Arial" w:hAnsi="Arial" w:cs="Arial"/>
          <w:i/>
          <w:iCs/>
          <w:sz w:val="20"/>
        </w:rPr>
        <w:t>Rizzo v VicRoads</w:t>
      </w:r>
      <w:r w:rsidR="00953A07" w:rsidRPr="003F061B">
        <w:rPr>
          <w:rFonts w:ascii="Arial" w:hAnsi="Arial" w:cs="Arial"/>
          <w:sz w:val="20"/>
        </w:rPr>
        <w:t xml:space="preserve"> [2019] VSC 770, [112], citing </w:t>
      </w:r>
      <w:proofErr w:type="spellStart"/>
      <w:r w:rsidR="00953A07" w:rsidRPr="00953A07">
        <w:rPr>
          <w:rFonts w:ascii="Arial" w:hAnsi="Arial" w:cs="Arial"/>
          <w:i/>
          <w:iCs/>
          <w:sz w:val="20"/>
        </w:rPr>
        <w:t>Hamod</w:t>
      </w:r>
      <w:proofErr w:type="spellEnd"/>
      <w:r w:rsidR="00953A07" w:rsidRPr="00953A07">
        <w:rPr>
          <w:rFonts w:ascii="Arial" w:hAnsi="Arial" w:cs="Arial"/>
          <w:i/>
          <w:iCs/>
          <w:sz w:val="20"/>
        </w:rPr>
        <w:t xml:space="preserve"> v State of New South Wales</w:t>
      </w:r>
      <w:r w:rsidR="00953A07" w:rsidRPr="003F061B">
        <w:rPr>
          <w:rFonts w:ascii="Arial" w:hAnsi="Arial" w:cs="Arial"/>
          <w:sz w:val="20"/>
        </w:rPr>
        <w:t xml:space="preserve"> [2011] NSWCA 375, [131], citing </w:t>
      </w:r>
      <w:r w:rsidR="00953A07" w:rsidRPr="00953A07">
        <w:rPr>
          <w:rFonts w:ascii="Arial" w:hAnsi="Arial" w:cs="Arial"/>
          <w:i/>
          <w:iCs/>
          <w:sz w:val="20"/>
        </w:rPr>
        <w:t>Conroy v Conroy</w:t>
      </w:r>
      <w:r w:rsidR="00953A07" w:rsidRPr="003F061B">
        <w:rPr>
          <w:rFonts w:ascii="Arial" w:hAnsi="Arial" w:cs="Arial"/>
          <w:sz w:val="20"/>
        </w:rPr>
        <w:t xml:space="preserve"> [1917] </w:t>
      </w:r>
      <w:proofErr w:type="spellStart"/>
      <w:r w:rsidR="00953A07" w:rsidRPr="003F061B">
        <w:rPr>
          <w:rFonts w:ascii="Arial" w:hAnsi="Arial" w:cs="Arial"/>
          <w:sz w:val="20"/>
        </w:rPr>
        <w:t>NSWStRp</w:t>
      </w:r>
      <w:proofErr w:type="spellEnd"/>
      <w:r w:rsidR="00953A07" w:rsidRPr="003F061B">
        <w:rPr>
          <w:rFonts w:ascii="Arial" w:hAnsi="Arial" w:cs="Arial"/>
          <w:sz w:val="20"/>
        </w:rPr>
        <w:t xml:space="preserve"> 44; (1917) 17 SR (NSW) 680, 682; </w:t>
      </w:r>
      <w:r w:rsidR="00953A07" w:rsidRPr="00953A07">
        <w:rPr>
          <w:rFonts w:ascii="Arial" w:hAnsi="Arial" w:cs="Arial"/>
          <w:i/>
          <w:iCs/>
          <w:sz w:val="20"/>
        </w:rPr>
        <w:t>Squire v Rogers</w:t>
      </w:r>
      <w:r w:rsidR="00953A07" w:rsidRPr="003F061B">
        <w:rPr>
          <w:rFonts w:ascii="Arial" w:hAnsi="Arial" w:cs="Arial"/>
          <w:sz w:val="20"/>
        </w:rPr>
        <w:t xml:space="preserve"> (1979) FLR 106, 113; </w:t>
      </w:r>
      <w:r w:rsidR="00953A07" w:rsidRPr="00953A07">
        <w:rPr>
          <w:rFonts w:ascii="Arial" w:hAnsi="Arial" w:cs="Arial"/>
          <w:i/>
          <w:iCs/>
          <w:sz w:val="20"/>
        </w:rPr>
        <w:t>Vasser v Taylor Black</w:t>
      </w:r>
      <w:r w:rsidR="00953A07" w:rsidRPr="003F061B">
        <w:rPr>
          <w:rFonts w:ascii="Arial" w:hAnsi="Arial" w:cs="Arial"/>
          <w:sz w:val="20"/>
        </w:rPr>
        <w:t xml:space="preserve"> [2010] </w:t>
      </w:r>
      <w:proofErr w:type="spellStart"/>
      <w:r w:rsidR="00953A07" w:rsidRPr="003F061B">
        <w:rPr>
          <w:rFonts w:ascii="Arial" w:hAnsi="Arial" w:cs="Arial"/>
          <w:sz w:val="20"/>
        </w:rPr>
        <w:t>FamCAFC</w:t>
      </w:r>
      <w:proofErr w:type="spellEnd"/>
      <w:r w:rsidR="00953A07" w:rsidRPr="003F061B">
        <w:rPr>
          <w:rFonts w:ascii="Arial" w:hAnsi="Arial" w:cs="Arial"/>
          <w:sz w:val="20"/>
        </w:rPr>
        <w:t xml:space="preserve"> 36, [31].</w:t>
      </w:r>
      <w:r w:rsidRPr="003F061B">
        <w:rPr>
          <w:rFonts w:ascii="Arial" w:hAnsi="Arial" w:cs="Arial"/>
          <w:sz w:val="20"/>
        </w:rPr>
        <w:t xml:space="preserve"> A central question is whether it is in the interests of justice for the adjournment to be granted.</w:t>
      </w:r>
    </w:p>
    <w:p w14:paraId="56C86365" w14:textId="77777777" w:rsidR="00BE1C17" w:rsidRDefault="00BE1C17" w:rsidP="00BE1C17">
      <w:pPr>
        <w:spacing w:before="60"/>
        <w:ind w:left="908" w:right="454" w:hanging="454"/>
        <w:jc w:val="both"/>
        <w:rPr>
          <w:rFonts w:ascii="Arial" w:hAnsi="Arial" w:cs="Arial"/>
          <w:sz w:val="20"/>
        </w:rPr>
      </w:pPr>
      <w:r>
        <w:rPr>
          <w:rFonts w:ascii="Arial" w:hAnsi="Arial" w:cs="Arial"/>
          <w:sz w:val="20"/>
        </w:rPr>
        <w:t xml:space="preserve">[32] </w:t>
      </w:r>
      <w:r w:rsidRPr="003F061B">
        <w:rPr>
          <w:rFonts w:ascii="Arial" w:hAnsi="Arial" w:cs="Arial"/>
          <w:sz w:val="20"/>
        </w:rPr>
        <w:t>The matters relevant to the discretion to adjourn include:</w:t>
      </w:r>
    </w:p>
    <w:p w14:paraId="609A0776" w14:textId="77777777" w:rsidR="00BE1C17" w:rsidRDefault="00BE1C17" w:rsidP="00BE1C17">
      <w:pPr>
        <w:ind w:left="1264" w:hanging="357"/>
        <w:rPr>
          <w:rFonts w:ascii="Arial" w:hAnsi="Arial" w:cs="Arial"/>
          <w:sz w:val="20"/>
        </w:rPr>
      </w:pPr>
      <w:r w:rsidRPr="003F061B">
        <w:rPr>
          <w:rFonts w:ascii="Arial" w:hAnsi="Arial" w:cs="Arial"/>
          <w:sz w:val="20"/>
        </w:rPr>
        <w:t>(a)</w:t>
      </w:r>
      <w:r>
        <w:rPr>
          <w:rFonts w:ascii="Arial" w:hAnsi="Arial" w:cs="Arial"/>
          <w:sz w:val="20"/>
        </w:rPr>
        <w:tab/>
      </w:r>
      <w:r w:rsidRPr="003F061B">
        <w:rPr>
          <w:rFonts w:ascii="Arial" w:hAnsi="Arial" w:cs="Arial"/>
          <w:sz w:val="20"/>
        </w:rPr>
        <w:t>the reason for the adjournment, and the importance of it, to the party applying for adjournment, in particular whether a refusal would have the effect of preventing the party from presenting their case;</w:t>
      </w:r>
    </w:p>
    <w:p w14:paraId="101D2EAF" w14:textId="77777777" w:rsidR="00BE1C17" w:rsidRDefault="00BE1C17" w:rsidP="00BE1C17">
      <w:pPr>
        <w:ind w:left="1264" w:hanging="357"/>
        <w:rPr>
          <w:rFonts w:ascii="Arial" w:hAnsi="Arial" w:cs="Arial"/>
          <w:sz w:val="20"/>
        </w:rPr>
      </w:pPr>
      <w:r>
        <w:rPr>
          <w:rFonts w:ascii="Arial" w:hAnsi="Arial" w:cs="Arial"/>
          <w:sz w:val="20"/>
        </w:rPr>
        <w:t>(b)</w:t>
      </w:r>
      <w:r>
        <w:rPr>
          <w:rFonts w:ascii="Arial" w:hAnsi="Arial" w:cs="Arial"/>
          <w:sz w:val="20"/>
        </w:rPr>
        <w:tab/>
      </w:r>
      <w:r w:rsidRPr="003F061B">
        <w:rPr>
          <w:rFonts w:ascii="Arial" w:hAnsi="Arial" w:cs="Arial"/>
          <w:sz w:val="20"/>
        </w:rPr>
        <w:t>the extent of the delay and the costs associated with the adjournment;</w:t>
      </w:r>
    </w:p>
    <w:p w14:paraId="4A94A9DE" w14:textId="77777777" w:rsidR="00BE1C17" w:rsidRDefault="00BE1C17" w:rsidP="00BE1C17">
      <w:pPr>
        <w:ind w:left="1264" w:hanging="357"/>
        <w:rPr>
          <w:rFonts w:ascii="Arial" w:hAnsi="Arial" w:cs="Arial"/>
          <w:sz w:val="20"/>
        </w:rPr>
      </w:pPr>
      <w:r>
        <w:rPr>
          <w:rFonts w:ascii="Arial" w:hAnsi="Arial" w:cs="Arial"/>
          <w:sz w:val="20"/>
        </w:rPr>
        <w:t>(c)</w:t>
      </w:r>
      <w:r>
        <w:rPr>
          <w:rFonts w:ascii="Arial" w:hAnsi="Arial" w:cs="Arial"/>
          <w:sz w:val="20"/>
        </w:rPr>
        <w:tab/>
      </w:r>
      <w:r w:rsidRPr="003F061B">
        <w:rPr>
          <w:rFonts w:ascii="Arial" w:hAnsi="Arial" w:cs="Arial"/>
          <w:sz w:val="20"/>
        </w:rPr>
        <w:t>the explanation for any delay in applying for adjournment;</w:t>
      </w:r>
    </w:p>
    <w:p w14:paraId="44458FA0" w14:textId="77777777" w:rsidR="00BE1C17" w:rsidRDefault="00BE1C17" w:rsidP="00BE1C17">
      <w:pPr>
        <w:ind w:left="1264" w:hanging="357"/>
        <w:rPr>
          <w:rFonts w:ascii="Arial" w:hAnsi="Arial" w:cs="Arial"/>
          <w:sz w:val="20"/>
        </w:rPr>
      </w:pPr>
      <w:r>
        <w:rPr>
          <w:rFonts w:ascii="Arial" w:hAnsi="Arial" w:cs="Arial"/>
          <w:sz w:val="20"/>
        </w:rPr>
        <w:t>(d)</w:t>
      </w:r>
      <w:r>
        <w:rPr>
          <w:rFonts w:ascii="Arial" w:hAnsi="Arial" w:cs="Arial"/>
          <w:sz w:val="20"/>
        </w:rPr>
        <w:tab/>
      </w:r>
      <w:r w:rsidRPr="003F061B">
        <w:rPr>
          <w:rFonts w:ascii="Arial" w:hAnsi="Arial" w:cs="Arial"/>
          <w:sz w:val="20"/>
        </w:rPr>
        <w:t>the prejudice that might be assumed to follow from the adjournment, and that which is shown;</w:t>
      </w:r>
    </w:p>
    <w:p w14:paraId="3BA3CF22" w14:textId="77777777" w:rsidR="00BE1C17" w:rsidRDefault="00BE1C17" w:rsidP="00BE1C17">
      <w:pPr>
        <w:ind w:left="1264" w:hanging="357"/>
        <w:rPr>
          <w:rFonts w:ascii="Arial" w:hAnsi="Arial" w:cs="Arial"/>
          <w:sz w:val="20"/>
        </w:rPr>
      </w:pPr>
      <w:r>
        <w:rPr>
          <w:rFonts w:ascii="Arial" w:hAnsi="Arial" w:cs="Arial"/>
          <w:sz w:val="20"/>
        </w:rPr>
        <w:t>(e)</w:t>
      </w:r>
      <w:r>
        <w:rPr>
          <w:rFonts w:ascii="Arial" w:hAnsi="Arial" w:cs="Arial"/>
          <w:sz w:val="20"/>
        </w:rPr>
        <w:tab/>
      </w:r>
      <w:r w:rsidRPr="003F061B">
        <w:rPr>
          <w:rFonts w:ascii="Arial" w:hAnsi="Arial" w:cs="Arial"/>
          <w:sz w:val="20"/>
        </w:rPr>
        <w:t>the parties’ choices to date in the litigation and the consequences of those choices;</w:t>
      </w:r>
    </w:p>
    <w:p w14:paraId="164E154F" w14:textId="77777777" w:rsidR="00BE1C17" w:rsidRDefault="00BE1C17" w:rsidP="00BE1C17">
      <w:pPr>
        <w:ind w:left="1264" w:hanging="357"/>
        <w:rPr>
          <w:rFonts w:ascii="Arial" w:hAnsi="Arial" w:cs="Arial"/>
          <w:sz w:val="20"/>
        </w:rPr>
      </w:pPr>
      <w:r>
        <w:rPr>
          <w:rFonts w:ascii="Arial" w:hAnsi="Arial" w:cs="Arial"/>
          <w:sz w:val="20"/>
        </w:rPr>
        <w:t>(f)</w:t>
      </w:r>
      <w:r>
        <w:rPr>
          <w:rFonts w:ascii="Arial" w:hAnsi="Arial" w:cs="Arial"/>
          <w:sz w:val="20"/>
        </w:rPr>
        <w:tab/>
      </w:r>
      <w:r w:rsidRPr="003F061B">
        <w:rPr>
          <w:rFonts w:ascii="Arial" w:hAnsi="Arial" w:cs="Arial"/>
          <w:sz w:val="20"/>
        </w:rPr>
        <w:t>the detriment to other litigants in the Court; and</w:t>
      </w:r>
    </w:p>
    <w:p w14:paraId="4C9435E4" w14:textId="6FB44B25" w:rsidR="00BE1C17" w:rsidRDefault="00BE1C17" w:rsidP="00BE1C17">
      <w:pPr>
        <w:ind w:left="1264" w:hanging="357"/>
        <w:rPr>
          <w:rFonts w:ascii="Arial" w:hAnsi="Arial" w:cs="Arial"/>
          <w:sz w:val="20"/>
        </w:rPr>
      </w:pPr>
      <w:r>
        <w:rPr>
          <w:rFonts w:ascii="Arial" w:hAnsi="Arial" w:cs="Arial"/>
          <w:sz w:val="20"/>
        </w:rPr>
        <w:t>(g)</w:t>
      </w:r>
      <w:r>
        <w:rPr>
          <w:rFonts w:ascii="Arial" w:hAnsi="Arial" w:cs="Arial"/>
          <w:sz w:val="20"/>
        </w:rPr>
        <w:tab/>
      </w:r>
      <w:r w:rsidRPr="003F061B">
        <w:rPr>
          <w:rFonts w:ascii="Arial" w:hAnsi="Arial" w:cs="Arial"/>
          <w:sz w:val="20"/>
        </w:rPr>
        <w:t>potential loss of public confidence in the legal system which can arise where a court is seen to accede to applications made without adequate explanation or justification.</w:t>
      </w:r>
      <w:r w:rsidR="00953A07">
        <w:rPr>
          <w:rFonts w:ascii="Arial" w:hAnsi="Arial" w:cs="Arial"/>
          <w:sz w:val="20"/>
        </w:rPr>
        <w:t>”</w:t>
      </w:r>
    </w:p>
    <w:p w14:paraId="1CA69B9B" w14:textId="77777777" w:rsidR="00BE1C17" w:rsidRDefault="00BE1C17" w:rsidP="00E84701">
      <w:pPr>
        <w:jc w:val="both"/>
        <w:rPr>
          <w:rFonts w:ascii="Arial" w:hAnsi="Arial" w:cs="Arial"/>
          <w:sz w:val="20"/>
        </w:rPr>
      </w:pPr>
    </w:p>
    <w:p w14:paraId="72054F17" w14:textId="159F4140" w:rsidR="00E84701" w:rsidRDefault="00E84701" w:rsidP="00E84701">
      <w:pPr>
        <w:jc w:val="both"/>
        <w:rPr>
          <w:rFonts w:ascii="Arial" w:hAnsi="Arial" w:cs="Arial"/>
          <w:sz w:val="20"/>
        </w:rPr>
      </w:pPr>
      <w:r>
        <w:rPr>
          <w:rFonts w:ascii="Arial" w:hAnsi="Arial" w:cs="Arial"/>
          <w:sz w:val="20"/>
        </w:rPr>
        <w:t xml:space="preserve">In </w:t>
      </w:r>
      <w:r w:rsidRPr="00E84701">
        <w:rPr>
          <w:rFonts w:ascii="Arial" w:hAnsi="Arial" w:cs="Arial"/>
          <w:i/>
          <w:iCs/>
          <w:sz w:val="20"/>
        </w:rPr>
        <w:t>Taylor v Trustees of the Christian Brothers</w:t>
      </w:r>
      <w:r>
        <w:rPr>
          <w:rFonts w:ascii="Arial" w:hAnsi="Arial" w:cs="Arial"/>
          <w:sz w:val="20"/>
        </w:rPr>
        <w:t xml:space="preserve"> [2025] VSC 25 Forbes J refused the plainitff’s application to vacate a trial date</w:t>
      </w:r>
      <w:r w:rsidR="00294458">
        <w:rPr>
          <w:rFonts w:ascii="Arial" w:hAnsi="Arial" w:cs="Arial"/>
          <w:sz w:val="20"/>
        </w:rPr>
        <w:t xml:space="preserve"> fixed for 11/02/2025</w:t>
      </w:r>
      <w:r>
        <w:rPr>
          <w:rFonts w:ascii="Arial" w:hAnsi="Arial" w:cs="Arial"/>
          <w:sz w:val="20"/>
        </w:rPr>
        <w:t xml:space="preserve">. The application was grounded on an answer given by the then Victorian Attorney-General in Parliament on 26/11/2024 as to whether she would actively support legislative reform following the decision of the High Court in </w:t>
      </w:r>
      <w:r w:rsidRPr="00E84701">
        <w:rPr>
          <w:rFonts w:ascii="Arial" w:hAnsi="Arial" w:cs="Arial"/>
          <w:i/>
          <w:iCs/>
          <w:sz w:val="20"/>
        </w:rPr>
        <w:t xml:space="preserve">Bird v </w:t>
      </w:r>
      <w:r>
        <w:rPr>
          <w:rFonts w:ascii="Arial" w:hAnsi="Arial" w:cs="Arial"/>
          <w:i/>
          <w:iCs/>
          <w:sz w:val="20"/>
        </w:rPr>
        <w:t>DP (A Pseudonym)</w:t>
      </w:r>
      <w:r w:rsidRPr="00E84701">
        <w:rPr>
          <w:rFonts w:ascii="Arial" w:hAnsi="Arial" w:cs="Arial"/>
          <w:sz w:val="20"/>
        </w:rPr>
        <w:t xml:space="preserve"> [2024] HCA 41.</w:t>
      </w:r>
      <w:r w:rsidR="00294458">
        <w:rPr>
          <w:rFonts w:ascii="Arial" w:hAnsi="Arial" w:cs="Arial"/>
          <w:sz w:val="20"/>
        </w:rPr>
        <w:t xml:space="preserve"> </w:t>
      </w:r>
      <w:r>
        <w:rPr>
          <w:rFonts w:ascii="Arial" w:hAnsi="Arial" w:cs="Arial"/>
          <w:sz w:val="20"/>
        </w:rPr>
        <w:t>At [7]-[9] Forbes J said:</w:t>
      </w:r>
    </w:p>
    <w:p w14:paraId="74DC90B5" w14:textId="525D591D" w:rsidR="00E84701" w:rsidRPr="00E84701" w:rsidRDefault="00E84701" w:rsidP="00E84701">
      <w:pPr>
        <w:spacing w:before="60"/>
        <w:ind w:left="454" w:right="454"/>
        <w:jc w:val="both"/>
        <w:rPr>
          <w:rFonts w:ascii="Arial" w:hAnsi="Arial" w:cs="Arial"/>
          <w:sz w:val="20"/>
          <w:szCs w:val="20"/>
        </w:rPr>
      </w:pPr>
      <w:r>
        <w:rPr>
          <w:rFonts w:ascii="Arial" w:hAnsi="Arial" w:cs="Arial"/>
          <w:bCs/>
          <w:sz w:val="20"/>
        </w:rPr>
        <w:t>[7] “</w:t>
      </w:r>
      <w:r w:rsidRPr="00E84701">
        <w:rPr>
          <w:rFonts w:ascii="Arial" w:hAnsi="Arial" w:cs="Arial"/>
          <w:sz w:val="20"/>
        </w:rPr>
        <w:t xml:space="preserve">There is a long line of authority establishing the general principle that the role of the Court is to determine cases according to the existing law. The comments apply whether the contemplated changes derive from a court appellate process or a legislative process. In </w:t>
      </w:r>
      <w:r w:rsidRPr="00E84701">
        <w:rPr>
          <w:rFonts w:ascii="Arial" w:hAnsi="Arial" w:cs="Arial"/>
          <w:i/>
          <w:iCs/>
          <w:sz w:val="20"/>
        </w:rPr>
        <w:t>Meggitt Oversesas Ltd v Grdovic</w:t>
      </w:r>
      <w:r w:rsidRPr="00E84701">
        <w:rPr>
          <w:rFonts w:ascii="Arial" w:hAnsi="Arial" w:cs="Arial"/>
          <w:sz w:val="20"/>
        </w:rPr>
        <w:t xml:space="preserve"> </w:t>
      </w:r>
      <w:r>
        <w:rPr>
          <w:rFonts w:ascii="Arial" w:hAnsi="Arial" w:cs="Arial"/>
          <w:sz w:val="20"/>
        </w:rPr>
        <w:t xml:space="preserve">(1998) 43 NSWLR 527 at 529, </w:t>
      </w:r>
      <w:r w:rsidRPr="00E84701">
        <w:rPr>
          <w:rFonts w:ascii="Arial" w:hAnsi="Arial" w:cs="Arial"/>
          <w:sz w:val="20"/>
        </w:rPr>
        <w:t xml:space="preserve">Mason P found that a trial judge had erred in vacating a trial so that a plaintiff could rely on proposed legislative changes to reform available damages for dust diseases. </w:t>
      </w:r>
      <w:r w:rsidRPr="00E84701">
        <w:rPr>
          <w:rFonts w:ascii="Arial" w:hAnsi="Arial" w:cs="Arial"/>
          <w:sz w:val="20"/>
          <w:szCs w:val="20"/>
        </w:rPr>
        <w:t xml:space="preserve">It was argued that proceeding to trial before </w:t>
      </w:r>
      <w:r w:rsidRPr="00E84701">
        <w:rPr>
          <w:rFonts w:ascii="Arial" w:hAnsi="Arial" w:cs="Arial"/>
          <w:sz w:val="20"/>
          <w:szCs w:val="20"/>
        </w:rPr>
        <w:lastRenderedPageBreak/>
        <w:t>the foreshadowed amendments would seriously prejudice the plaintiff. In finding that the trial judged had erred in exercising this discretion, his Honour said:</w:t>
      </w:r>
    </w:p>
    <w:p w14:paraId="28ACA5CF" w14:textId="20DCD17D" w:rsidR="00E84701" w:rsidRDefault="00E84701" w:rsidP="00E84701">
      <w:pPr>
        <w:spacing w:before="60"/>
        <w:ind w:left="907" w:right="907"/>
        <w:jc w:val="both"/>
        <w:rPr>
          <w:rFonts w:ascii="Arial" w:hAnsi="Arial" w:cs="Arial"/>
          <w:sz w:val="18"/>
          <w:szCs w:val="22"/>
        </w:rPr>
      </w:pPr>
      <w:r w:rsidRPr="00E84701">
        <w:rPr>
          <w:rFonts w:ascii="Arial" w:hAnsi="Arial" w:cs="Arial"/>
          <w:sz w:val="18"/>
          <w:szCs w:val="22"/>
        </w:rPr>
        <w:t>In my view, the discretion miscarried. The learned judge erred in taking into account the prospect of legislative amendment as a controlling factor in the decision granting the adjournment. The error was compounded by the apparent intent that the hearing date will, as presently advised, be deferred</w:t>
      </w:r>
      <w:r>
        <w:rPr>
          <w:rFonts w:ascii="Arial" w:hAnsi="Arial" w:cs="Arial"/>
          <w:sz w:val="18"/>
          <w:szCs w:val="22"/>
        </w:rPr>
        <w:t xml:space="preserve"> until the amending legislation is passed and the plaintiff becomes thereby entitled to take advantage of it.</w:t>
      </w:r>
    </w:p>
    <w:p w14:paraId="7B27FB25" w14:textId="026ACDF1" w:rsidR="00E84701" w:rsidRPr="00E84701" w:rsidRDefault="00E84701" w:rsidP="00E84701">
      <w:pPr>
        <w:spacing w:before="60"/>
        <w:ind w:left="454" w:right="454"/>
        <w:jc w:val="both"/>
        <w:rPr>
          <w:rFonts w:ascii="Arial" w:hAnsi="Arial" w:cs="Arial"/>
          <w:sz w:val="20"/>
          <w:szCs w:val="20"/>
        </w:rPr>
      </w:pPr>
      <w:r>
        <w:rPr>
          <w:rFonts w:ascii="Arial" w:hAnsi="Arial" w:cs="Arial"/>
          <w:sz w:val="20"/>
          <w:szCs w:val="20"/>
        </w:rPr>
        <w:t xml:space="preserve">[8] The announcement of a decision to introduce particular legislation, and any retrospective operation of such legislation, may impact pending proceedings. </w:t>
      </w:r>
      <w:proofErr w:type="gramStart"/>
      <w:r>
        <w:rPr>
          <w:rFonts w:ascii="Arial" w:hAnsi="Arial" w:cs="Arial"/>
          <w:sz w:val="20"/>
          <w:szCs w:val="20"/>
        </w:rPr>
        <w:t>But,</w:t>
      </w:r>
      <w:proofErr w:type="gramEnd"/>
      <w:r>
        <w:rPr>
          <w:rFonts w:ascii="Arial" w:hAnsi="Arial" w:cs="Arial"/>
          <w:sz w:val="20"/>
          <w:szCs w:val="20"/>
        </w:rPr>
        <w:t xml:space="preserve"> as Mason P went on at 531:</w:t>
      </w:r>
    </w:p>
    <w:p w14:paraId="5DAC0701" w14:textId="44C9023C" w:rsidR="00E84701" w:rsidRDefault="00E84701" w:rsidP="00E84701">
      <w:pPr>
        <w:spacing w:before="60"/>
        <w:ind w:left="907" w:right="907"/>
        <w:jc w:val="both"/>
        <w:rPr>
          <w:rFonts w:ascii="Arial" w:hAnsi="Arial" w:cs="Arial"/>
          <w:sz w:val="18"/>
          <w:szCs w:val="22"/>
        </w:rPr>
      </w:pPr>
      <w:r>
        <w:rPr>
          <w:rFonts w:ascii="Arial" w:hAnsi="Arial" w:cs="Arial"/>
          <w:sz w:val="18"/>
          <w:szCs w:val="22"/>
        </w:rPr>
        <w:t>Does the announcement qualify in any way the judicial branch’s obligation to uphold the existing – I emphasise the word ‘existing’ – law? And does it enliven a power to grant a contested adjournment of proceedings fixed for hearing so as to enable one party to gain the benefit of proposed legislation to the detriment of another party? The answer to each question must be a categorical ‘no’.</w:t>
      </w:r>
    </w:p>
    <w:p w14:paraId="7EAAA274" w14:textId="0D91F6C2" w:rsidR="00E84701" w:rsidRDefault="00E84701" w:rsidP="00E84701">
      <w:pPr>
        <w:spacing w:before="60"/>
        <w:ind w:left="454" w:right="454"/>
        <w:jc w:val="both"/>
        <w:rPr>
          <w:rFonts w:ascii="Arial" w:hAnsi="Arial" w:cs="Arial"/>
          <w:sz w:val="20"/>
        </w:rPr>
      </w:pPr>
      <w:r>
        <w:rPr>
          <w:rFonts w:ascii="Arial" w:hAnsi="Arial" w:cs="Arial"/>
          <w:sz w:val="20"/>
          <w:szCs w:val="20"/>
        </w:rPr>
        <w:t xml:space="preserve">[9] These comments in turn relied on a line of authority based upon the comments of Starke J in </w:t>
      </w:r>
      <w:r w:rsidRPr="00E84701">
        <w:rPr>
          <w:rFonts w:ascii="Arial" w:hAnsi="Arial" w:cs="Arial"/>
          <w:i/>
          <w:iCs/>
          <w:sz w:val="20"/>
          <w:szCs w:val="20"/>
        </w:rPr>
        <w:t xml:space="preserve">Ramsay v Aberfoyle Manufacturing </w:t>
      </w:r>
      <w:r w:rsidRPr="00E84701">
        <w:rPr>
          <w:rFonts w:ascii="Arial" w:hAnsi="Arial" w:cs="Arial"/>
          <w:i/>
          <w:iCs/>
          <w:sz w:val="20"/>
        </w:rPr>
        <w:t>Co (Australia) Pty Ltd</w:t>
      </w:r>
      <w:r w:rsidRPr="00E84701">
        <w:rPr>
          <w:rFonts w:ascii="Arial" w:hAnsi="Arial" w:cs="Arial"/>
          <w:sz w:val="20"/>
        </w:rPr>
        <w:t xml:space="preserve"> (1935) 54 CLR 230 at 253</w:t>
      </w:r>
      <w:r>
        <w:rPr>
          <w:rFonts w:ascii="Arial" w:hAnsi="Arial" w:cs="Arial"/>
          <w:sz w:val="20"/>
        </w:rPr>
        <w:t>:</w:t>
      </w:r>
    </w:p>
    <w:p w14:paraId="17BA9FD7" w14:textId="28A74A00" w:rsidR="00E84701" w:rsidRDefault="00E84701" w:rsidP="00E84701">
      <w:pPr>
        <w:spacing w:before="60"/>
        <w:ind w:left="907" w:right="907"/>
        <w:jc w:val="both"/>
        <w:rPr>
          <w:rFonts w:ascii="Arial" w:hAnsi="Arial" w:cs="Arial"/>
          <w:sz w:val="18"/>
          <w:szCs w:val="22"/>
        </w:rPr>
      </w:pPr>
      <w:r>
        <w:rPr>
          <w:rFonts w:ascii="Arial" w:hAnsi="Arial" w:cs="Arial"/>
          <w:sz w:val="18"/>
          <w:szCs w:val="22"/>
        </w:rPr>
        <w:t>Courts of law, however, can only act upon the law as it is, and have no right to, and cannot, speculate upon alterations in the law that may be made in the future.</w:t>
      </w:r>
    </w:p>
    <w:p w14:paraId="435CAC7A" w14:textId="6965BB60" w:rsidR="00E84701" w:rsidRDefault="00E84701" w:rsidP="00E84701">
      <w:pPr>
        <w:spacing w:before="60"/>
        <w:ind w:left="454" w:right="454"/>
        <w:jc w:val="both"/>
        <w:rPr>
          <w:rFonts w:ascii="Arial" w:hAnsi="Arial" w:cs="Arial"/>
          <w:sz w:val="20"/>
        </w:rPr>
      </w:pPr>
      <w:r>
        <w:rPr>
          <w:rFonts w:ascii="Arial" w:hAnsi="Arial" w:cs="Arial"/>
          <w:sz w:val="20"/>
        </w:rPr>
        <w:t xml:space="preserve">See also as applied </w:t>
      </w:r>
      <w:r w:rsidRPr="00E84701">
        <w:rPr>
          <w:rFonts w:ascii="Arial" w:hAnsi="Arial" w:cs="Arial"/>
          <w:i/>
          <w:iCs/>
          <w:sz w:val="20"/>
        </w:rPr>
        <w:t>in Attorney-General (NT) v Minister for Aboriginal Affairs</w:t>
      </w:r>
      <w:r w:rsidRPr="00E84701">
        <w:rPr>
          <w:rFonts w:ascii="Arial" w:hAnsi="Arial" w:cs="Arial"/>
          <w:sz w:val="20"/>
        </w:rPr>
        <w:t xml:space="preserve"> (1987) 73 ALR 33 at 50-51, </w:t>
      </w:r>
      <w:r w:rsidRPr="00E84701">
        <w:rPr>
          <w:rFonts w:ascii="Arial" w:hAnsi="Arial" w:cs="Arial"/>
          <w:i/>
          <w:iCs/>
          <w:sz w:val="20"/>
        </w:rPr>
        <w:t>Jupp v Computer Power Group Ltd</w:t>
      </w:r>
      <w:r w:rsidRPr="00E84701">
        <w:rPr>
          <w:rFonts w:ascii="Arial" w:hAnsi="Arial" w:cs="Arial"/>
          <w:sz w:val="20"/>
        </w:rPr>
        <w:t xml:space="preserve"> (1994) 122 ALR 711, </w:t>
      </w:r>
      <w:r w:rsidRPr="00E84701">
        <w:rPr>
          <w:rFonts w:ascii="Arial" w:hAnsi="Arial" w:cs="Arial"/>
          <w:i/>
          <w:iCs/>
          <w:sz w:val="20"/>
        </w:rPr>
        <w:t>Sydney City Council v Ke-Su Investments Pty Ltd</w:t>
      </w:r>
      <w:r w:rsidRPr="00E84701">
        <w:rPr>
          <w:rFonts w:ascii="Arial" w:hAnsi="Arial" w:cs="Arial"/>
          <w:sz w:val="20"/>
        </w:rPr>
        <w:t xml:space="preserve"> (1985) 1 NSWLR 246, McHugh J at 258 quoting </w:t>
      </w:r>
      <w:r w:rsidRPr="00E84701">
        <w:rPr>
          <w:rFonts w:ascii="Arial" w:hAnsi="Arial" w:cs="Arial"/>
          <w:i/>
          <w:iCs/>
          <w:sz w:val="20"/>
        </w:rPr>
        <w:t>R v Whiteway; ex parte Stevenson</w:t>
      </w:r>
      <w:r w:rsidRPr="00E84701">
        <w:rPr>
          <w:rFonts w:ascii="Arial" w:hAnsi="Arial" w:cs="Arial"/>
          <w:sz w:val="20"/>
        </w:rPr>
        <w:t xml:space="preserve"> [1961] VR 168 at 171.</w:t>
      </w:r>
      <w:r>
        <w:rPr>
          <w:rFonts w:ascii="Arial" w:hAnsi="Arial" w:cs="Arial"/>
          <w:sz w:val="20"/>
        </w:rPr>
        <w:t>”</w:t>
      </w:r>
    </w:p>
    <w:p w14:paraId="1249EE8A" w14:textId="77777777" w:rsidR="00E84701" w:rsidRPr="00E84701" w:rsidRDefault="00E84701" w:rsidP="00E84701">
      <w:pPr>
        <w:spacing w:before="60"/>
        <w:ind w:right="907"/>
        <w:jc w:val="both"/>
        <w:rPr>
          <w:rFonts w:ascii="Arial" w:hAnsi="Arial" w:cs="Arial"/>
          <w:sz w:val="18"/>
          <w:szCs w:val="22"/>
        </w:rPr>
      </w:pPr>
    </w:p>
    <w:p w14:paraId="7E0BFA3D" w14:textId="6FA47D24" w:rsidR="00E55ACE" w:rsidRDefault="00E55ACE" w:rsidP="000C5609">
      <w:pPr>
        <w:jc w:val="both"/>
      </w:pPr>
      <w:r w:rsidRPr="00E00823">
        <w:rPr>
          <w:rFonts w:ascii="Arial" w:hAnsi="Arial" w:cs="Arial"/>
          <w:sz w:val="20"/>
          <w:szCs w:val="20"/>
        </w:rPr>
        <w:t xml:space="preserve">See also </w:t>
      </w:r>
      <w:r w:rsidRPr="00E00823">
        <w:rPr>
          <w:rFonts w:ascii="Arial" w:hAnsi="Arial" w:cs="Arial"/>
          <w:i/>
          <w:iCs/>
          <w:sz w:val="20"/>
          <w:szCs w:val="20"/>
        </w:rPr>
        <w:t>Ah Fook v Transport Accident Commission</w:t>
      </w:r>
      <w:r w:rsidRPr="00E00823">
        <w:rPr>
          <w:rFonts w:ascii="Arial" w:hAnsi="Arial" w:cs="Arial"/>
          <w:sz w:val="20"/>
          <w:szCs w:val="20"/>
        </w:rPr>
        <w:t xml:space="preserve"> [2022] VSCA 199 at [52]-[63]</w:t>
      </w:r>
      <w:r w:rsidR="00E00823" w:rsidRPr="00E00823">
        <w:rPr>
          <w:rFonts w:ascii="Arial" w:hAnsi="Arial" w:cs="Arial"/>
          <w:sz w:val="20"/>
          <w:szCs w:val="20"/>
        </w:rPr>
        <w:t xml:space="preserve">; </w:t>
      </w:r>
      <w:r w:rsidR="00E00823" w:rsidRPr="00E00823">
        <w:rPr>
          <w:rFonts w:ascii="Arial" w:hAnsi="Arial" w:cs="Arial"/>
          <w:i/>
          <w:iCs/>
          <w:sz w:val="20"/>
          <w:szCs w:val="20"/>
        </w:rPr>
        <w:t>Soo v Yang &amp; Vale Pty Ltd</w:t>
      </w:r>
      <w:r w:rsidR="00E00823" w:rsidRPr="00E00823">
        <w:rPr>
          <w:rFonts w:ascii="Arial" w:hAnsi="Arial" w:cs="Arial"/>
          <w:sz w:val="20"/>
          <w:szCs w:val="20"/>
        </w:rPr>
        <w:t xml:space="preserve"> [2022] VSCA 227; </w:t>
      </w:r>
      <w:r w:rsidR="00E00823" w:rsidRPr="00E00823">
        <w:rPr>
          <w:rFonts w:ascii="Arial" w:hAnsi="Arial" w:cs="Arial"/>
          <w:i/>
          <w:iCs/>
          <w:sz w:val="20"/>
          <w:szCs w:val="20"/>
        </w:rPr>
        <w:t>Taylor v Merlino</w:t>
      </w:r>
      <w:r w:rsidR="00E00823" w:rsidRPr="00E00823">
        <w:rPr>
          <w:rFonts w:ascii="Arial" w:hAnsi="Arial" w:cs="Arial"/>
          <w:sz w:val="20"/>
          <w:szCs w:val="20"/>
        </w:rPr>
        <w:t xml:space="preserve"> [2022] VSCA 37; </w:t>
      </w:r>
      <w:r w:rsidR="00E00823" w:rsidRPr="00E00823">
        <w:rPr>
          <w:rFonts w:ascii="Arial" w:hAnsi="Arial" w:cs="Arial"/>
          <w:i/>
          <w:iCs/>
          <w:sz w:val="20"/>
          <w:szCs w:val="20"/>
        </w:rPr>
        <w:t>Holden v Kukuy; Re Jay Invest Property Pty Ltd (in liq)</w:t>
      </w:r>
      <w:r w:rsidR="00E00823" w:rsidRPr="00E00823">
        <w:rPr>
          <w:rFonts w:ascii="Arial" w:hAnsi="Arial" w:cs="Arial"/>
          <w:sz w:val="20"/>
          <w:szCs w:val="20"/>
        </w:rPr>
        <w:t xml:space="preserve"> [2022] VSC </w:t>
      </w:r>
      <w:r w:rsidR="00894B9A">
        <w:rPr>
          <w:rFonts w:ascii="Arial" w:hAnsi="Arial" w:cs="Arial"/>
          <w:sz w:val="20"/>
          <w:szCs w:val="20"/>
        </w:rPr>
        <w:t xml:space="preserve">796 </w:t>
      </w:r>
      <w:r w:rsidR="00E00823" w:rsidRPr="00E00823">
        <w:rPr>
          <w:rFonts w:ascii="Arial" w:hAnsi="Arial" w:cs="Arial"/>
          <w:sz w:val="20"/>
          <w:szCs w:val="20"/>
        </w:rPr>
        <w:t>at [23]-[24]</w:t>
      </w:r>
      <w:r w:rsidR="00FE2E7A">
        <w:rPr>
          <w:rFonts w:ascii="Arial" w:hAnsi="Arial" w:cs="Arial"/>
          <w:sz w:val="20"/>
          <w:szCs w:val="20"/>
        </w:rPr>
        <w:t xml:space="preserve">; </w:t>
      </w:r>
      <w:r w:rsidR="00FE2E7A" w:rsidRPr="00FE2E7A">
        <w:rPr>
          <w:rFonts w:ascii="Arial" w:hAnsi="Arial" w:cs="Arial"/>
          <w:i/>
          <w:iCs/>
          <w:sz w:val="20"/>
          <w:szCs w:val="20"/>
        </w:rPr>
        <w:t xml:space="preserve">YZ v Beit Habonim Pty Ltd &amp; </w:t>
      </w:r>
      <w:r w:rsidR="00BB08B4">
        <w:rPr>
          <w:rFonts w:ascii="Arial" w:hAnsi="Arial" w:cs="Arial"/>
          <w:i/>
          <w:iCs/>
          <w:sz w:val="20"/>
          <w:szCs w:val="20"/>
        </w:rPr>
        <w:t>Weiden</w:t>
      </w:r>
      <w:r w:rsidR="00FE2E7A">
        <w:rPr>
          <w:rFonts w:ascii="Arial" w:hAnsi="Arial" w:cs="Arial"/>
          <w:sz w:val="20"/>
          <w:szCs w:val="20"/>
        </w:rPr>
        <w:t xml:space="preserve"> [2023] VSC 222</w:t>
      </w:r>
      <w:r w:rsidR="00282556">
        <w:rPr>
          <w:rFonts w:ascii="Arial" w:hAnsi="Arial" w:cs="Arial"/>
          <w:sz w:val="20"/>
          <w:szCs w:val="20"/>
        </w:rPr>
        <w:t xml:space="preserve">; </w:t>
      </w:r>
      <w:r w:rsidR="00282556" w:rsidRPr="00282556">
        <w:rPr>
          <w:rFonts w:ascii="Arial" w:hAnsi="Arial" w:cs="Arial"/>
          <w:i/>
          <w:iCs/>
          <w:sz w:val="20"/>
          <w:szCs w:val="20"/>
        </w:rPr>
        <w:t>Melco Resorts (Macau) Ltd v Wu</w:t>
      </w:r>
      <w:r w:rsidR="00282556">
        <w:rPr>
          <w:rFonts w:ascii="Arial" w:hAnsi="Arial" w:cs="Arial"/>
          <w:i/>
          <w:iCs/>
          <w:sz w:val="20"/>
          <w:szCs w:val="20"/>
        </w:rPr>
        <w:t xml:space="preserve"> </w:t>
      </w:r>
      <w:r w:rsidR="00282556" w:rsidRPr="00282556">
        <w:rPr>
          <w:rFonts w:ascii="Arial" w:hAnsi="Arial" w:cs="Arial"/>
          <w:sz w:val="20"/>
          <w:szCs w:val="20"/>
        </w:rPr>
        <w:t>[2025] VSC 460 at [17]-[21].</w:t>
      </w:r>
    </w:p>
    <w:p w14:paraId="2BDB4571" w14:textId="77777777" w:rsidR="00FE2E7A" w:rsidRPr="000C5609" w:rsidRDefault="00FE2E7A" w:rsidP="000C5609">
      <w:pPr>
        <w:jc w:val="both"/>
        <w:rPr>
          <w:rFonts w:ascii="Arial" w:hAnsi="Arial" w:cs="Arial"/>
          <w:sz w:val="20"/>
          <w:szCs w:val="20"/>
        </w:rPr>
      </w:pPr>
    </w:p>
    <w:p w14:paraId="4AD74E71" w14:textId="77777777" w:rsidR="00D15730" w:rsidRPr="00312136" w:rsidRDefault="00D15730" w:rsidP="00D15730">
      <w:pPr>
        <w:pStyle w:val="Heading3"/>
        <w:keepNext/>
        <w:keepLines/>
        <w:spacing w:after="120" w:line="240" w:lineRule="auto"/>
        <w:rPr>
          <w:rFonts w:ascii="Arial" w:hAnsi="Arial" w:cs="Arial"/>
          <w:b/>
          <w:bCs/>
          <w:sz w:val="20"/>
        </w:rPr>
      </w:pPr>
      <w:bookmarkStart w:id="230" w:name="_3.3.3_Implied_powers"/>
      <w:bookmarkStart w:id="231" w:name="B334"/>
      <w:bookmarkEnd w:id="230"/>
      <w:bookmarkEnd w:id="231"/>
      <w:r>
        <w:rPr>
          <w:rFonts w:ascii="Arial" w:hAnsi="Arial" w:cs="Arial"/>
          <w:b/>
          <w:bCs/>
          <w:sz w:val="20"/>
        </w:rPr>
        <w:t>3.3.</w:t>
      </w:r>
      <w:r w:rsidR="005619F6">
        <w:rPr>
          <w:rFonts w:ascii="Arial" w:hAnsi="Arial" w:cs="Arial"/>
          <w:b/>
          <w:bCs/>
          <w:sz w:val="20"/>
        </w:rPr>
        <w:t>4</w:t>
      </w:r>
      <w:r>
        <w:rPr>
          <w:rFonts w:ascii="Arial" w:hAnsi="Arial" w:cs="Arial"/>
          <w:b/>
          <w:bCs/>
          <w:sz w:val="20"/>
        </w:rPr>
        <w:tab/>
      </w:r>
      <w:r w:rsidR="005D6EA1">
        <w:rPr>
          <w:rFonts w:ascii="Arial" w:hAnsi="Arial" w:cs="Arial"/>
          <w:b/>
          <w:bCs/>
          <w:sz w:val="20"/>
        </w:rPr>
        <w:t>Implied p</w:t>
      </w:r>
      <w:r>
        <w:rPr>
          <w:rFonts w:ascii="Arial" w:hAnsi="Arial" w:cs="Arial"/>
          <w:b/>
          <w:bCs/>
          <w:sz w:val="20"/>
        </w:rPr>
        <w:t>owers to govern the process of the Court</w:t>
      </w:r>
    </w:p>
    <w:p w14:paraId="40E90F4E" w14:textId="77777777" w:rsidR="00D15730" w:rsidRDefault="002B7FAB" w:rsidP="002279EF">
      <w:pPr>
        <w:jc w:val="both"/>
        <w:rPr>
          <w:rFonts w:ascii="Arial" w:hAnsi="Arial" w:cs="Arial"/>
          <w:sz w:val="20"/>
        </w:rPr>
      </w:pPr>
      <w:r>
        <w:rPr>
          <w:rFonts w:ascii="Arial" w:hAnsi="Arial" w:cs="Arial"/>
          <w:sz w:val="20"/>
        </w:rPr>
        <w:t>The Court also has such implied power</w:t>
      </w:r>
      <w:r w:rsidR="002279EF">
        <w:rPr>
          <w:rFonts w:ascii="Arial" w:hAnsi="Arial" w:cs="Arial"/>
          <w:sz w:val="20"/>
        </w:rPr>
        <w:t>s</w:t>
      </w:r>
      <w:r>
        <w:rPr>
          <w:rFonts w:ascii="Arial" w:hAnsi="Arial" w:cs="Arial"/>
          <w:sz w:val="20"/>
        </w:rPr>
        <w:t xml:space="preserve"> as </w:t>
      </w:r>
      <w:r w:rsidR="002279EF">
        <w:rPr>
          <w:rFonts w:ascii="Arial" w:hAnsi="Arial" w:cs="Arial"/>
          <w:sz w:val="20"/>
        </w:rPr>
        <w:t>are</w:t>
      </w:r>
      <w:r>
        <w:rPr>
          <w:rFonts w:ascii="Arial" w:hAnsi="Arial" w:cs="Arial"/>
          <w:sz w:val="20"/>
        </w:rPr>
        <w:t xml:space="preserve"> necessary to govern the process of the Court: see for example the judgment of Dawson J in </w:t>
      </w:r>
      <w:r w:rsidRPr="00B87617">
        <w:rPr>
          <w:rFonts w:ascii="Arial" w:hAnsi="Arial" w:cs="Arial"/>
          <w:i/>
          <w:sz w:val="20"/>
        </w:rPr>
        <w:t>Grassby v The Queen</w:t>
      </w:r>
      <w:r>
        <w:rPr>
          <w:rFonts w:ascii="Arial" w:hAnsi="Arial" w:cs="Arial"/>
          <w:sz w:val="20"/>
        </w:rPr>
        <w:t xml:space="preserve"> (1989) </w:t>
      </w:r>
      <w:r w:rsidR="002279EF">
        <w:rPr>
          <w:rFonts w:ascii="Arial" w:hAnsi="Arial" w:cs="Arial"/>
          <w:sz w:val="20"/>
        </w:rPr>
        <w:t xml:space="preserve">168 </w:t>
      </w:r>
      <w:r>
        <w:rPr>
          <w:rFonts w:ascii="Arial" w:hAnsi="Arial" w:cs="Arial"/>
          <w:sz w:val="20"/>
        </w:rPr>
        <w:t>CLR 1 at 16 where his Honour said: “</w:t>
      </w:r>
      <w:r w:rsidR="005D6EA1">
        <w:rPr>
          <w:rFonts w:ascii="Arial" w:hAnsi="Arial" w:cs="Arial"/>
          <w:sz w:val="20"/>
        </w:rPr>
        <w:t>[N]otwithstanding that its powers may be defined, every court undoubtedly possesses jurisdiction arising by implication upon the principle that a grant of power carries with it everything necessary for its exercise.”</w:t>
      </w:r>
    </w:p>
    <w:p w14:paraId="47FCFD66" w14:textId="77777777" w:rsidR="00D15730" w:rsidRDefault="00D15730" w:rsidP="00D15730">
      <w:pPr>
        <w:rPr>
          <w:rFonts w:ascii="Arial" w:hAnsi="Arial" w:cs="Arial"/>
          <w:sz w:val="20"/>
        </w:rPr>
      </w:pPr>
    </w:p>
    <w:bookmarkStart w:id="232" w:name="B3341"/>
    <w:bookmarkStart w:id="233" w:name="_3.3.4.1_Power_to"/>
    <w:bookmarkEnd w:id="232"/>
    <w:bookmarkEnd w:id="233"/>
    <w:p w14:paraId="4F9218A2" w14:textId="77777777" w:rsidR="004618DC" w:rsidRPr="00004C01" w:rsidRDefault="00C624E6" w:rsidP="004618DC">
      <w:pPr>
        <w:pStyle w:val="Heading3"/>
        <w:keepNext/>
        <w:spacing w:after="120" w:line="240" w:lineRule="auto"/>
        <w:rPr>
          <w:rFonts w:ascii="Arial" w:hAnsi="Arial" w:cs="Arial"/>
          <w:b/>
          <w:bCs/>
          <w:color w:val="000000"/>
          <w:sz w:val="20"/>
        </w:rPr>
      </w:pPr>
      <w:r w:rsidRPr="00004C01">
        <w:rPr>
          <w:rFonts w:ascii="Arial" w:hAnsi="Arial" w:cs="Arial"/>
          <w:b/>
          <w:bCs/>
          <w:color w:val="000000"/>
          <w:sz w:val="20"/>
        </w:rPr>
        <w:fldChar w:fldCharType="begin"/>
      </w:r>
      <w:r w:rsidRPr="00004C01">
        <w:rPr>
          <w:rFonts w:ascii="Arial" w:hAnsi="Arial" w:cs="Arial"/>
          <w:b/>
          <w:bCs/>
          <w:color w:val="000000"/>
          <w:sz w:val="20"/>
        </w:rPr>
        <w:instrText xml:space="preserve"> HYPERLINK  \l "_3.3.4.1_Power_to" </w:instrText>
      </w:r>
      <w:r w:rsidRPr="00004C01">
        <w:rPr>
          <w:rFonts w:ascii="Arial" w:hAnsi="Arial" w:cs="Arial"/>
          <w:b/>
          <w:bCs/>
          <w:color w:val="000000"/>
          <w:sz w:val="20"/>
        </w:rPr>
      </w:r>
      <w:r w:rsidRPr="00004C01">
        <w:rPr>
          <w:rFonts w:ascii="Arial" w:hAnsi="Arial" w:cs="Arial"/>
          <w:b/>
          <w:bCs/>
          <w:color w:val="000000"/>
          <w:sz w:val="20"/>
        </w:rPr>
        <w:fldChar w:fldCharType="separate"/>
      </w:r>
      <w:r w:rsidR="006C4114" w:rsidRPr="00004C01">
        <w:rPr>
          <w:rStyle w:val="Hyperlink"/>
          <w:rFonts w:ascii="Arial" w:hAnsi="Arial" w:cs="Arial"/>
          <w:b/>
          <w:bCs/>
          <w:color w:val="000000"/>
          <w:sz w:val="20"/>
          <w:u w:val="none"/>
        </w:rPr>
        <w:t>3.3.</w:t>
      </w:r>
      <w:r w:rsidR="005619F6" w:rsidRPr="00004C01">
        <w:rPr>
          <w:rStyle w:val="Hyperlink"/>
          <w:rFonts w:ascii="Arial" w:hAnsi="Arial" w:cs="Arial"/>
          <w:b/>
          <w:bCs/>
          <w:color w:val="000000"/>
          <w:sz w:val="20"/>
          <w:u w:val="none"/>
        </w:rPr>
        <w:t>4</w:t>
      </w:r>
      <w:r w:rsidR="006C4114" w:rsidRPr="00004C01">
        <w:rPr>
          <w:rStyle w:val="Hyperlink"/>
          <w:rFonts w:ascii="Arial" w:hAnsi="Arial" w:cs="Arial"/>
          <w:b/>
          <w:bCs/>
          <w:color w:val="000000"/>
          <w:sz w:val="20"/>
          <w:u w:val="none"/>
        </w:rPr>
        <w:t>.1</w:t>
      </w:r>
      <w:r w:rsidR="006C4114" w:rsidRPr="00004C01">
        <w:rPr>
          <w:rStyle w:val="Hyperlink"/>
          <w:rFonts w:ascii="Arial" w:hAnsi="Arial" w:cs="Arial"/>
          <w:b/>
          <w:bCs/>
          <w:color w:val="000000"/>
          <w:sz w:val="20"/>
          <w:u w:val="none"/>
        </w:rPr>
        <w:tab/>
        <w:t>Power to prevent an abuse of the Court’s own judicial process</w:t>
      </w:r>
      <w:r w:rsidRPr="00004C01">
        <w:rPr>
          <w:rFonts w:ascii="Arial" w:hAnsi="Arial" w:cs="Arial"/>
          <w:b/>
          <w:bCs/>
          <w:color w:val="000000"/>
          <w:sz w:val="20"/>
        </w:rPr>
        <w:fldChar w:fldCharType="end"/>
      </w:r>
    </w:p>
    <w:p w14:paraId="0677B81C" w14:textId="77777777" w:rsidR="00F1220F" w:rsidRDefault="005D6EA1" w:rsidP="00F1220F">
      <w:pPr>
        <w:jc w:val="both"/>
        <w:rPr>
          <w:rFonts w:ascii="Arial" w:hAnsi="Arial" w:cs="Arial"/>
          <w:sz w:val="20"/>
          <w:szCs w:val="20"/>
        </w:rPr>
      </w:pPr>
      <w:r>
        <w:rPr>
          <w:rFonts w:ascii="Arial" w:hAnsi="Arial" w:cs="Arial"/>
          <w:sz w:val="20"/>
        </w:rPr>
        <w:t>Th</w:t>
      </w:r>
      <w:r w:rsidR="00D643EF">
        <w:rPr>
          <w:rFonts w:ascii="Arial" w:hAnsi="Arial" w:cs="Arial"/>
          <w:sz w:val="20"/>
        </w:rPr>
        <w:t>e Court also has</w:t>
      </w:r>
      <w:r>
        <w:rPr>
          <w:rFonts w:ascii="Arial" w:hAnsi="Arial" w:cs="Arial"/>
          <w:sz w:val="20"/>
        </w:rPr>
        <w:t xml:space="preserve"> power to prevent an abuse of </w:t>
      </w:r>
      <w:r w:rsidR="00860E87">
        <w:rPr>
          <w:rFonts w:ascii="Arial" w:hAnsi="Arial" w:cs="Arial"/>
          <w:sz w:val="20"/>
        </w:rPr>
        <w:t>it</w:t>
      </w:r>
      <w:r>
        <w:rPr>
          <w:rFonts w:ascii="Arial" w:hAnsi="Arial" w:cs="Arial"/>
          <w:sz w:val="20"/>
        </w:rPr>
        <w:t xml:space="preserve">s own judicial process, </w:t>
      </w:r>
      <w:r w:rsidR="00D643EF">
        <w:rPr>
          <w:rFonts w:ascii="Arial" w:hAnsi="Arial" w:cs="Arial"/>
          <w:sz w:val="20"/>
        </w:rPr>
        <w:t xml:space="preserve">for a discussion of which </w:t>
      </w:r>
      <w:r>
        <w:rPr>
          <w:rFonts w:ascii="Arial" w:hAnsi="Arial" w:cs="Arial"/>
          <w:sz w:val="20"/>
        </w:rPr>
        <w:t xml:space="preserve">see the </w:t>
      </w:r>
      <w:r w:rsidR="00C17780">
        <w:rPr>
          <w:rFonts w:ascii="Arial" w:hAnsi="Arial" w:cs="Arial"/>
          <w:sz w:val="20"/>
        </w:rPr>
        <w:t>judgment</w:t>
      </w:r>
      <w:r w:rsidR="00860E87">
        <w:rPr>
          <w:rFonts w:ascii="Arial" w:hAnsi="Arial" w:cs="Arial"/>
          <w:sz w:val="20"/>
        </w:rPr>
        <w:t>s</w:t>
      </w:r>
      <w:r w:rsidR="00C17780">
        <w:rPr>
          <w:rFonts w:ascii="Arial" w:hAnsi="Arial" w:cs="Arial"/>
          <w:sz w:val="20"/>
        </w:rPr>
        <w:t xml:space="preserve"> of the High Court in </w:t>
      </w:r>
      <w:r w:rsidR="00C17780" w:rsidRPr="00C17780">
        <w:rPr>
          <w:rFonts w:ascii="Arial" w:hAnsi="Arial" w:cs="Arial"/>
          <w:i/>
          <w:iCs/>
          <w:sz w:val="20"/>
          <w:szCs w:val="20"/>
        </w:rPr>
        <w:t>Victoria International Container Terminal Limited v Lunt</w:t>
      </w:r>
      <w:r w:rsidR="00C17780" w:rsidRPr="00C17780">
        <w:rPr>
          <w:rFonts w:ascii="Arial" w:hAnsi="Arial" w:cs="Arial"/>
          <w:sz w:val="20"/>
          <w:szCs w:val="20"/>
        </w:rPr>
        <w:t xml:space="preserve"> [2021] HCA 11</w:t>
      </w:r>
      <w:r w:rsidR="00C17780">
        <w:rPr>
          <w:rFonts w:ascii="Arial" w:hAnsi="Arial" w:cs="Arial"/>
          <w:sz w:val="20"/>
          <w:szCs w:val="20"/>
        </w:rPr>
        <w:t xml:space="preserve"> at [18]-[24] </w:t>
      </w:r>
      <w:r w:rsidR="00860E87">
        <w:rPr>
          <w:rFonts w:ascii="Arial" w:hAnsi="Arial" w:cs="Arial"/>
          <w:sz w:val="20"/>
          <w:szCs w:val="20"/>
        </w:rPr>
        <w:t xml:space="preserve">&amp; [36]-[45] </w:t>
      </w:r>
      <w:r w:rsidR="00C17780">
        <w:rPr>
          <w:rFonts w:ascii="Arial" w:hAnsi="Arial" w:cs="Arial"/>
          <w:sz w:val="20"/>
          <w:szCs w:val="20"/>
        </w:rPr>
        <w:t>and the cases cited therein.</w:t>
      </w:r>
      <w:r w:rsidR="00F1220F">
        <w:rPr>
          <w:rFonts w:ascii="Arial" w:hAnsi="Arial" w:cs="Arial"/>
          <w:sz w:val="20"/>
          <w:szCs w:val="20"/>
        </w:rPr>
        <w:t xml:space="preserve"> At [21]-[22] Kiefel CJ, Gageler, Keane &amp; Gordon JJ said:</w:t>
      </w:r>
    </w:p>
    <w:p w14:paraId="39DEB089" w14:textId="77777777" w:rsidR="00F1220F" w:rsidRPr="00670F64" w:rsidRDefault="00F1220F" w:rsidP="00F1220F">
      <w:pPr>
        <w:spacing w:before="60"/>
        <w:ind w:left="454" w:right="454"/>
        <w:jc w:val="both"/>
        <w:rPr>
          <w:rFonts w:ascii="Arial" w:hAnsi="Arial" w:cs="Arial"/>
          <w:color w:val="000000"/>
          <w:sz w:val="20"/>
          <w:szCs w:val="20"/>
          <w:lang w:eastAsia="en-AU"/>
        </w:rPr>
      </w:pPr>
      <w:r>
        <w:rPr>
          <w:rFonts w:ascii="Arial" w:hAnsi="Arial" w:cs="Arial"/>
          <w:bCs/>
          <w:sz w:val="20"/>
        </w:rPr>
        <w:t xml:space="preserve">[21] “In </w:t>
      </w:r>
      <w:r w:rsidRPr="00670F64">
        <w:rPr>
          <w:rFonts w:ascii="Arial" w:hAnsi="Arial" w:cs="Arial"/>
          <w:bCs/>
          <w:i/>
          <w:iCs/>
          <w:sz w:val="20"/>
        </w:rPr>
        <w:t>Strickland</w:t>
      </w:r>
      <w:r>
        <w:rPr>
          <w:rFonts w:ascii="Arial" w:hAnsi="Arial" w:cs="Arial"/>
          <w:bCs/>
          <w:i/>
          <w:iCs/>
          <w:sz w:val="20"/>
        </w:rPr>
        <w:t xml:space="preserve"> (a pseudonym) v Director of Public Prosecutions (</w:t>
      </w:r>
      <w:proofErr w:type="spellStart"/>
      <w:r>
        <w:rPr>
          <w:rFonts w:ascii="Arial" w:hAnsi="Arial" w:cs="Arial"/>
          <w:bCs/>
          <w:i/>
          <w:iCs/>
          <w:sz w:val="20"/>
        </w:rPr>
        <w:t>Cth</w:t>
      </w:r>
      <w:proofErr w:type="spellEnd"/>
      <w:r>
        <w:rPr>
          <w:rFonts w:ascii="Arial" w:hAnsi="Arial" w:cs="Arial"/>
          <w:bCs/>
          <w:i/>
          <w:iCs/>
          <w:sz w:val="20"/>
        </w:rPr>
        <w:t xml:space="preserve">) </w:t>
      </w:r>
      <w:r>
        <w:rPr>
          <w:rFonts w:ascii="Arial" w:hAnsi="Arial" w:cs="Arial"/>
          <w:bCs/>
          <w:sz w:val="20"/>
        </w:rPr>
        <w:t xml:space="preserve">(2018) 266 CLR 325, </w:t>
      </w:r>
      <w:r w:rsidRPr="00670F64">
        <w:rPr>
          <w:rFonts w:ascii="Arial" w:hAnsi="Arial" w:cs="Arial"/>
          <w:color w:val="000000"/>
          <w:sz w:val="20"/>
          <w:szCs w:val="20"/>
        </w:rPr>
        <w:t>Kiefel</w:t>
      </w:r>
      <w:r>
        <w:rPr>
          <w:rFonts w:ascii="Arial" w:hAnsi="Arial" w:cs="Arial"/>
          <w:color w:val="000000"/>
          <w:sz w:val="20"/>
          <w:szCs w:val="20"/>
        </w:rPr>
        <w:t xml:space="preserve"> </w:t>
      </w:r>
      <w:r w:rsidRPr="00670F64">
        <w:rPr>
          <w:rFonts w:ascii="Arial" w:hAnsi="Arial" w:cs="Arial"/>
          <w:color w:val="000000"/>
          <w:sz w:val="20"/>
          <w:szCs w:val="20"/>
        </w:rPr>
        <w:t>CJ, Bell and Nettle</w:t>
      </w:r>
      <w:r>
        <w:rPr>
          <w:rFonts w:ascii="Arial" w:hAnsi="Arial" w:cs="Arial"/>
          <w:color w:val="000000"/>
          <w:sz w:val="20"/>
          <w:szCs w:val="20"/>
        </w:rPr>
        <w:t xml:space="preserve"> </w:t>
      </w:r>
      <w:r w:rsidRPr="00670F64">
        <w:rPr>
          <w:rFonts w:ascii="Arial" w:hAnsi="Arial" w:cs="Arial"/>
          <w:color w:val="000000"/>
          <w:sz w:val="20"/>
          <w:szCs w:val="20"/>
        </w:rPr>
        <w:t xml:space="preserve">JJ held </w:t>
      </w:r>
      <w:r>
        <w:rPr>
          <w:rFonts w:ascii="Arial" w:hAnsi="Arial" w:cs="Arial"/>
          <w:bCs/>
          <w:sz w:val="20"/>
        </w:rPr>
        <w:t xml:space="preserve">at 360 [85] </w:t>
      </w:r>
      <w:r w:rsidRPr="00670F64">
        <w:rPr>
          <w:rFonts w:ascii="Arial" w:hAnsi="Arial" w:cs="Arial"/>
          <w:color w:val="000000"/>
          <w:sz w:val="20"/>
          <w:szCs w:val="20"/>
        </w:rPr>
        <w:t xml:space="preserve">that a stay of proceedings was warranted in the circumstances of that case because the abuse of process on the part of the prosecution so affected the prospects of a fair hearing that </w:t>
      </w:r>
      <w:r>
        <w:rPr>
          <w:rFonts w:ascii="Arial" w:hAnsi="Arial" w:cs="Arial"/>
          <w:color w:val="000000"/>
          <w:sz w:val="20"/>
          <w:szCs w:val="20"/>
        </w:rPr>
        <w:t>‘</w:t>
      </w:r>
      <w:r w:rsidRPr="00670F64">
        <w:rPr>
          <w:rFonts w:ascii="Arial" w:hAnsi="Arial" w:cs="Arial"/>
          <w:color w:val="000000"/>
          <w:sz w:val="20"/>
          <w:szCs w:val="20"/>
        </w:rPr>
        <w:t>the prejudice to a fair trial is at least to a significant extent incurable</w:t>
      </w:r>
      <w:r>
        <w:rPr>
          <w:rFonts w:ascii="Arial" w:hAnsi="Arial" w:cs="Arial"/>
          <w:color w:val="000000"/>
          <w:sz w:val="20"/>
          <w:szCs w:val="20"/>
        </w:rPr>
        <w:t>’</w:t>
      </w:r>
      <w:r w:rsidRPr="00670F64">
        <w:rPr>
          <w:rFonts w:ascii="Arial" w:hAnsi="Arial" w:cs="Arial"/>
          <w:color w:val="000000"/>
          <w:sz w:val="20"/>
          <w:szCs w:val="20"/>
        </w:rPr>
        <w:t>. Edelman</w:t>
      </w:r>
      <w:r>
        <w:rPr>
          <w:rFonts w:ascii="Arial" w:hAnsi="Arial" w:cs="Arial"/>
          <w:color w:val="000000"/>
          <w:sz w:val="20"/>
          <w:szCs w:val="20"/>
        </w:rPr>
        <w:t xml:space="preserve"> </w:t>
      </w:r>
      <w:r w:rsidRPr="00670F64">
        <w:rPr>
          <w:rFonts w:ascii="Arial" w:hAnsi="Arial" w:cs="Arial"/>
          <w:color w:val="000000"/>
          <w:sz w:val="20"/>
          <w:szCs w:val="20"/>
        </w:rPr>
        <w:t xml:space="preserve">J, who concurred with the plurality, explained </w:t>
      </w:r>
      <w:r>
        <w:rPr>
          <w:rFonts w:ascii="Arial" w:hAnsi="Arial" w:cs="Arial"/>
          <w:color w:val="000000"/>
          <w:sz w:val="20"/>
          <w:szCs w:val="20"/>
        </w:rPr>
        <w:t xml:space="preserve">at 409 [248] </w:t>
      </w:r>
      <w:r w:rsidRPr="00670F64">
        <w:rPr>
          <w:rFonts w:ascii="Arial" w:hAnsi="Arial" w:cs="Arial"/>
          <w:color w:val="000000"/>
          <w:sz w:val="20"/>
          <w:szCs w:val="20"/>
        </w:rPr>
        <w:t>that an order for a</w:t>
      </w:r>
      <w:r>
        <w:rPr>
          <w:rFonts w:ascii="Arial" w:hAnsi="Arial" w:cs="Arial"/>
          <w:color w:val="000000"/>
          <w:sz w:val="20"/>
          <w:szCs w:val="20"/>
        </w:rPr>
        <w:t xml:space="preserve"> permanent stay </w:t>
      </w:r>
      <w:r w:rsidRPr="00670F64">
        <w:rPr>
          <w:rFonts w:ascii="Arial" w:hAnsi="Arial" w:cs="Arial"/>
          <w:color w:val="000000"/>
          <w:sz w:val="20"/>
          <w:szCs w:val="20"/>
        </w:rPr>
        <w:t xml:space="preserve">is </w:t>
      </w:r>
      <w:r>
        <w:rPr>
          <w:rFonts w:ascii="Arial" w:hAnsi="Arial" w:cs="Arial"/>
          <w:color w:val="000000"/>
          <w:sz w:val="20"/>
          <w:szCs w:val="20"/>
        </w:rPr>
        <w:t>‘</w:t>
      </w:r>
      <w:r w:rsidRPr="00670F64">
        <w:rPr>
          <w:rFonts w:ascii="Arial" w:hAnsi="Arial" w:cs="Arial"/>
          <w:color w:val="000000"/>
          <w:sz w:val="20"/>
          <w:szCs w:val="20"/>
        </w:rPr>
        <w:t>a measure of last resort</w:t>
      </w:r>
      <w:r>
        <w:rPr>
          <w:rFonts w:ascii="Arial" w:hAnsi="Arial" w:cs="Arial"/>
          <w:color w:val="000000"/>
          <w:sz w:val="20"/>
          <w:szCs w:val="20"/>
        </w:rPr>
        <w:t>’</w:t>
      </w:r>
      <w:r w:rsidRPr="00670F64">
        <w:rPr>
          <w:rFonts w:ascii="Arial" w:hAnsi="Arial" w:cs="Arial"/>
          <w:color w:val="000000"/>
          <w:sz w:val="20"/>
          <w:szCs w:val="20"/>
        </w:rPr>
        <w:t xml:space="preserve"> which will be ordered </w:t>
      </w:r>
      <w:r>
        <w:rPr>
          <w:rFonts w:ascii="Arial" w:hAnsi="Arial" w:cs="Arial"/>
          <w:color w:val="000000"/>
          <w:sz w:val="20"/>
          <w:szCs w:val="20"/>
        </w:rPr>
        <w:t>‘</w:t>
      </w:r>
      <w:r w:rsidRPr="00670F64">
        <w:rPr>
          <w:rFonts w:ascii="Arial" w:hAnsi="Arial" w:cs="Arial"/>
          <w:color w:val="000000"/>
          <w:sz w:val="20"/>
          <w:szCs w:val="20"/>
        </w:rPr>
        <w:t>where there is no other way to protect the integrity of the system of justice administered by the court</w:t>
      </w:r>
      <w:r>
        <w:rPr>
          <w:rFonts w:ascii="Arial" w:hAnsi="Arial" w:cs="Arial"/>
          <w:color w:val="000000"/>
          <w:sz w:val="20"/>
          <w:szCs w:val="20"/>
        </w:rPr>
        <w:t>’</w:t>
      </w:r>
      <w:r w:rsidRPr="00670F64">
        <w:rPr>
          <w:rFonts w:ascii="Arial" w:hAnsi="Arial" w:cs="Arial"/>
          <w:color w:val="000000"/>
          <w:sz w:val="20"/>
          <w:szCs w:val="20"/>
        </w:rPr>
        <w:t>. His Honour went on to say</w:t>
      </w:r>
      <w:r>
        <w:rPr>
          <w:rFonts w:ascii="Arial" w:hAnsi="Arial" w:cs="Arial"/>
          <w:color w:val="000000"/>
          <w:sz w:val="20"/>
          <w:szCs w:val="20"/>
        </w:rPr>
        <w:t xml:space="preserve"> at 415 [264]</w:t>
      </w:r>
      <w:r w:rsidRPr="00670F64">
        <w:rPr>
          <w:rFonts w:ascii="Arial" w:hAnsi="Arial" w:cs="Arial"/>
          <w:color w:val="000000"/>
          <w:sz w:val="20"/>
          <w:szCs w:val="20"/>
        </w:rPr>
        <w:t>:</w:t>
      </w:r>
    </w:p>
    <w:p w14:paraId="2F27519C" w14:textId="77777777" w:rsidR="00F1220F" w:rsidRPr="00670F64" w:rsidRDefault="00F1220F" w:rsidP="00F1220F">
      <w:pPr>
        <w:pStyle w:val="NormalWeb"/>
        <w:shd w:val="clear" w:color="auto" w:fill="FFFFFF"/>
        <w:spacing w:before="60" w:beforeAutospacing="0" w:after="0" w:afterAutospacing="0"/>
        <w:ind w:left="907" w:right="907"/>
        <w:jc w:val="both"/>
        <w:rPr>
          <w:rFonts w:ascii="Arial" w:hAnsi="Arial" w:cs="Arial"/>
          <w:sz w:val="18"/>
          <w:szCs w:val="18"/>
        </w:rPr>
      </w:pPr>
      <w:r w:rsidRPr="00670F64">
        <w:rPr>
          <w:rFonts w:ascii="Arial" w:hAnsi="Arial" w:cs="Arial"/>
          <w:sz w:val="18"/>
          <w:szCs w:val="18"/>
        </w:rPr>
        <w:t xml:space="preserve">‘Before a permanent stay can be ordered, it is necessary to consider whether there are any other curial measures that could be taken to address any systemic incoherence that would be caused by a trial of the accused. This must be considered because the court's ability to protect its integrity is not confined to orders that grant </w:t>
      </w:r>
      <w:r>
        <w:rPr>
          <w:rFonts w:ascii="Arial" w:hAnsi="Arial" w:cs="Arial"/>
          <w:sz w:val="18"/>
          <w:szCs w:val="18"/>
        </w:rPr>
        <w:t xml:space="preserve">a permanent stay </w:t>
      </w:r>
      <w:r w:rsidRPr="00670F64">
        <w:rPr>
          <w:rFonts w:ascii="Arial" w:hAnsi="Arial" w:cs="Arial"/>
          <w:sz w:val="18"/>
          <w:szCs w:val="18"/>
        </w:rPr>
        <w:t>of proceedings.’</w:t>
      </w:r>
    </w:p>
    <w:p w14:paraId="12729F59" w14:textId="77777777" w:rsidR="00F1220F" w:rsidRPr="00670F64" w:rsidRDefault="00F1220F" w:rsidP="00F1220F">
      <w:pPr>
        <w:spacing w:before="60"/>
        <w:ind w:left="454" w:right="454"/>
        <w:jc w:val="both"/>
        <w:rPr>
          <w:rFonts w:ascii="Arial" w:hAnsi="Arial" w:cs="Arial"/>
          <w:color w:val="000000"/>
          <w:sz w:val="20"/>
          <w:szCs w:val="20"/>
          <w:lang w:eastAsia="en-AU"/>
        </w:rPr>
      </w:pPr>
      <w:r>
        <w:rPr>
          <w:rFonts w:ascii="Arial" w:hAnsi="Arial" w:cs="Arial"/>
          <w:color w:val="000000"/>
          <w:sz w:val="20"/>
          <w:szCs w:val="20"/>
        </w:rPr>
        <w:t xml:space="preserve">[22] </w:t>
      </w:r>
      <w:r w:rsidRPr="00670F64">
        <w:rPr>
          <w:rFonts w:ascii="Arial" w:hAnsi="Arial" w:cs="Arial"/>
          <w:color w:val="000000"/>
          <w:sz w:val="20"/>
          <w:szCs w:val="20"/>
        </w:rPr>
        <w:t xml:space="preserve">Gageler J, who dissented as to the result of the case, was also of the opinion </w:t>
      </w:r>
      <w:r>
        <w:rPr>
          <w:rFonts w:ascii="Arial" w:hAnsi="Arial" w:cs="Arial"/>
          <w:color w:val="000000"/>
          <w:sz w:val="20"/>
          <w:szCs w:val="20"/>
        </w:rPr>
        <w:t xml:space="preserve">at 373 [115] </w:t>
      </w:r>
      <w:r w:rsidRPr="00670F64">
        <w:rPr>
          <w:rFonts w:ascii="Arial" w:hAnsi="Arial" w:cs="Arial"/>
          <w:color w:val="000000"/>
          <w:sz w:val="20"/>
          <w:szCs w:val="20"/>
        </w:rPr>
        <w:t>that a</w:t>
      </w:r>
      <w:r>
        <w:rPr>
          <w:rFonts w:ascii="Arial" w:hAnsi="Arial" w:cs="Arial"/>
          <w:color w:val="000000"/>
          <w:sz w:val="20"/>
          <w:szCs w:val="20"/>
        </w:rPr>
        <w:t xml:space="preserve"> permanent stay </w:t>
      </w:r>
      <w:r w:rsidRPr="00670F64">
        <w:rPr>
          <w:rFonts w:ascii="Arial" w:hAnsi="Arial" w:cs="Arial"/>
          <w:color w:val="000000"/>
          <w:sz w:val="20"/>
          <w:szCs w:val="20"/>
        </w:rPr>
        <w:t xml:space="preserve">of proceedings cannot properly be ordered where the substantial unfairness in the conduct of proceedings is capable </w:t>
      </w:r>
      <w:r>
        <w:rPr>
          <w:rFonts w:ascii="Arial" w:hAnsi="Arial" w:cs="Arial"/>
          <w:color w:val="000000"/>
          <w:sz w:val="20"/>
          <w:szCs w:val="20"/>
        </w:rPr>
        <w:t>‘</w:t>
      </w:r>
      <w:r w:rsidRPr="00670F64">
        <w:rPr>
          <w:rFonts w:ascii="Arial" w:hAnsi="Arial" w:cs="Arial"/>
          <w:color w:val="000000"/>
          <w:sz w:val="20"/>
          <w:szCs w:val="20"/>
        </w:rPr>
        <w:t>of being averted through the adoption ... of measures less drastic than ordering a</w:t>
      </w:r>
      <w:r>
        <w:rPr>
          <w:rFonts w:ascii="Arial" w:hAnsi="Arial" w:cs="Arial"/>
          <w:color w:val="000000"/>
          <w:sz w:val="20"/>
          <w:szCs w:val="20"/>
        </w:rPr>
        <w:t xml:space="preserve"> permanent stay’</w:t>
      </w:r>
      <w:r w:rsidRPr="00670F64">
        <w:rPr>
          <w:rFonts w:ascii="Arial" w:hAnsi="Arial" w:cs="Arial"/>
          <w:color w:val="000000"/>
          <w:sz w:val="20"/>
          <w:szCs w:val="20"/>
        </w:rPr>
        <w:t>. And Gordon J, who also dissented as to the result of the case, agreed that there is no occasion to order a</w:t>
      </w:r>
      <w:r>
        <w:rPr>
          <w:rFonts w:ascii="Arial" w:hAnsi="Arial" w:cs="Arial"/>
          <w:color w:val="000000"/>
          <w:sz w:val="20"/>
          <w:szCs w:val="20"/>
        </w:rPr>
        <w:t xml:space="preserve"> permanent stay </w:t>
      </w:r>
      <w:r w:rsidRPr="00670F64">
        <w:rPr>
          <w:rFonts w:ascii="Arial" w:hAnsi="Arial" w:cs="Arial"/>
          <w:color w:val="000000"/>
          <w:sz w:val="20"/>
          <w:szCs w:val="20"/>
        </w:rPr>
        <w:t>of proceedings where the prejudice resulting from an abuse of process is curable by less drastic means. Her Honour said</w:t>
      </w:r>
      <w:bookmarkStart w:id="234" w:name="_ftnref42"/>
      <w:r>
        <w:rPr>
          <w:rFonts w:ascii="Arial" w:hAnsi="Arial" w:cs="Arial"/>
          <w:color w:val="000000"/>
          <w:sz w:val="20"/>
          <w:szCs w:val="20"/>
        </w:rPr>
        <w:t xml:space="preserve"> at 408 [244]</w:t>
      </w:r>
      <w:bookmarkEnd w:id="234"/>
      <w:r w:rsidRPr="00670F64">
        <w:rPr>
          <w:rFonts w:ascii="Arial" w:hAnsi="Arial" w:cs="Arial"/>
          <w:color w:val="000000"/>
          <w:sz w:val="20"/>
          <w:szCs w:val="20"/>
        </w:rPr>
        <w:t>:</w:t>
      </w:r>
    </w:p>
    <w:p w14:paraId="5257CC5B" w14:textId="77777777" w:rsidR="00F1220F" w:rsidRPr="00F17CEF" w:rsidRDefault="00F1220F" w:rsidP="00F1220F">
      <w:pPr>
        <w:pStyle w:val="NormalWeb"/>
        <w:shd w:val="clear" w:color="auto" w:fill="FFFFFF"/>
        <w:spacing w:before="60" w:beforeAutospacing="0" w:after="0" w:afterAutospacing="0"/>
        <w:ind w:left="907" w:right="907"/>
        <w:jc w:val="both"/>
        <w:rPr>
          <w:rFonts w:ascii="Arial" w:hAnsi="Arial" w:cs="Arial"/>
          <w:sz w:val="18"/>
          <w:szCs w:val="18"/>
        </w:rPr>
      </w:pPr>
      <w:r>
        <w:rPr>
          <w:rFonts w:ascii="Arial" w:hAnsi="Arial" w:cs="Arial"/>
          <w:sz w:val="18"/>
          <w:szCs w:val="18"/>
        </w:rPr>
        <w:lastRenderedPageBreak/>
        <w:t>‘</w:t>
      </w:r>
      <w:r w:rsidRPr="00F17CEF">
        <w:rPr>
          <w:rFonts w:ascii="Arial" w:hAnsi="Arial" w:cs="Arial"/>
          <w:sz w:val="18"/>
          <w:szCs w:val="18"/>
        </w:rPr>
        <w:t>[I]f a fair trial can be had, or if it is not possible to say now that a fair trial cannot be had, why would the administration of justice be brought into disrepute if the prosecutions were permitted to proceed?</w:t>
      </w:r>
      <w:r>
        <w:rPr>
          <w:rFonts w:ascii="Arial" w:hAnsi="Arial" w:cs="Arial"/>
          <w:sz w:val="18"/>
          <w:szCs w:val="18"/>
        </w:rPr>
        <w:t>’</w:t>
      </w:r>
      <w:r w:rsidRPr="00F17CEF">
        <w:rPr>
          <w:rFonts w:ascii="Arial" w:hAnsi="Arial" w:cs="Arial"/>
          <w:sz w:val="18"/>
          <w:szCs w:val="18"/>
        </w:rPr>
        <w:t>"</w:t>
      </w:r>
    </w:p>
    <w:p w14:paraId="2BF69105" w14:textId="77777777" w:rsidR="000C5E27" w:rsidRDefault="000C5E27" w:rsidP="000C5E27">
      <w:pPr>
        <w:jc w:val="both"/>
        <w:rPr>
          <w:rFonts w:ascii="Arial" w:hAnsi="Arial" w:cs="Arial"/>
          <w:sz w:val="20"/>
          <w:szCs w:val="20"/>
        </w:rPr>
      </w:pPr>
    </w:p>
    <w:p w14:paraId="5AE1AD15" w14:textId="47F252E8" w:rsidR="00F41D41" w:rsidRDefault="00F41D41" w:rsidP="000C5E27">
      <w:pPr>
        <w:jc w:val="both"/>
        <w:rPr>
          <w:rFonts w:ascii="Arial" w:hAnsi="Arial" w:cs="Arial"/>
          <w:sz w:val="20"/>
          <w:szCs w:val="20"/>
        </w:rPr>
      </w:pPr>
      <w:r>
        <w:rPr>
          <w:rFonts w:ascii="Arial" w:hAnsi="Arial" w:cs="Arial"/>
          <w:sz w:val="20"/>
          <w:szCs w:val="20"/>
        </w:rPr>
        <w:t xml:space="preserve">In </w:t>
      </w:r>
      <w:r w:rsidRPr="00F41D41">
        <w:rPr>
          <w:rFonts w:ascii="Arial" w:hAnsi="Arial" w:cs="Arial"/>
          <w:i/>
          <w:iCs/>
          <w:sz w:val="20"/>
          <w:szCs w:val="20"/>
        </w:rPr>
        <w:t>HM (a pseudonym) v Sister Monaghan</w:t>
      </w:r>
      <w:r w:rsidRPr="00F41D41">
        <w:rPr>
          <w:rFonts w:ascii="Arial" w:hAnsi="Arial" w:cs="Arial"/>
          <w:sz w:val="20"/>
          <w:szCs w:val="20"/>
        </w:rPr>
        <w:t xml:space="preserve"> [2026] VSCA 104</w:t>
      </w:r>
      <w:r>
        <w:rPr>
          <w:rFonts w:ascii="Arial" w:hAnsi="Arial" w:cs="Arial"/>
          <w:sz w:val="20"/>
          <w:szCs w:val="20"/>
        </w:rPr>
        <w:t xml:space="preserve"> the Court of Appeal – in dismissing an appeal against a refusal by an associate judge to grant a permanent stay of a child abuse proceeding – outlined at [24]-[32] the principles to be applied where a party seeks a permanent stay of a proceeding. At [24]-[25] </w:t>
      </w:r>
      <w:r w:rsidRPr="00F41D41">
        <w:rPr>
          <w:rFonts w:ascii="Arial" w:hAnsi="Arial" w:cs="Arial"/>
          <w:sz w:val="20"/>
          <w:szCs w:val="20"/>
        </w:rPr>
        <w:t>N</w:t>
      </w:r>
      <w:r>
        <w:rPr>
          <w:rFonts w:ascii="Arial" w:hAnsi="Arial" w:cs="Arial"/>
          <w:sz w:val="20"/>
          <w:szCs w:val="20"/>
        </w:rPr>
        <w:t>iall</w:t>
      </w:r>
      <w:r w:rsidRPr="00F41D41">
        <w:rPr>
          <w:rFonts w:ascii="Arial" w:hAnsi="Arial" w:cs="Arial"/>
          <w:sz w:val="20"/>
          <w:szCs w:val="20"/>
        </w:rPr>
        <w:t xml:space="preserve"> CJ, B</w:t>
      </w:r>
      <w:r>
        <w:rPr>
          <w:rFonts w:ascii="Arial" w:hAnsi="Arial" w:cs="Arial"/>
          <w:sz w:val="20"/>
          <w:szCs w:val="20"/>
        </w:rPr>
        <w:t>each</w:t>
      </w:r>
      <w:r w:rsidRPr="00F41D41">
        <w:rPr>
          <w:rFonts w:ascii="Arial" w:hAnsi="Arial" w:cs="Arial"/>
          <w:sz w:val="20"/>
          <w:szCs w:val="20"/>
        </w:rPr>
        <w:t xml:space="preserve"> JA and O’M</w:t>
      </w:r>
      <w:r>
        <w:rPr>
          <w:rFonts w:ascii="Arial" w:hAnsi="Arial" w:cs="Arial"/>
          <w:sz w:val="20"/>
          <w:szCs w:val="20"/>
        </w:rPr>
        <w:t>eara</w:t>
      </w:r>
      <w:r w:rsidRPr="00F41D41">
        <w:rPr>
          <w:rFonts w:ascii="Arial" w:hAnsi="Arial" w:cs="Arial"/>
          <w:sz w:val="20"/>
          <w:szCs w:val="20"/>
        </w:rPr>
        <w:t xml:space="preserve"> AJA</w:t>
      </w:r>
      <w:r>
        <w:rPr>
          <w:rFonts w:ascii="Arial" w:hAnsi="Arial" w:cs="Arial"/>
          <w:sz w:val="20"/>
          <w:szCs w:val="20"/>
        </w:rPr>
        <w:t xml:space="preserve"> said:</w:t>
      </w:r>
    </w:p>
    <w:p w14:paraId="5E587B3C" w14:textId="21B79198" w:rsidR="00F41D41" w:rsidRDefault="00F41D41" w:rsidP="00F41D41">
      <w:pPr>
        <w:spacing w:before="60"/>
        <w:ind w:left="454" w:right="454"/>
        <w:jc w:val="both"/>
        <w:rPr>
          <w:rFonts w:ascii="Arial" w:hAnsi="Arial" w:cs="Arial"/>
          <w:sz w:val="20"/>
          <w:szCs w:val="20"/>
        </w:rPr>
      </w:pPr>
      <w:r>
        <w:rPr>
          <w:rFonts w:ascii="Arial" w:hAnsi="Arial" w:cs="Arial"/>
          <w:color w:val="000000"/>
          <w:sz w:val="20"/>
          <w:szCs w:val="20"/>
          <w:lang w:eastAsia="en-AU"/>
        </w:rPr>
        <w:t>[24] “</w:t>
      </w:r>
      <w:r w:rsidRPr="00F41D41">
        <w:rPr>
          <w:rFonts w:ascii="Arial" w:hAnsi="Arial" w:cs="Arial"/>
          <w:sz w:val="20"/>
          <w:szCs w:val="20"/>
        </w:rPr>
        <w:t xml:space="preserve">The principles to be applied where a party seeks a stay of a proceeding involving allegations of past sexual abuse have been stated by the High Court in </w:t>
      </w:r>
      <w:r w:rsidRPr="00F41D41">
        <w:rPr>
          <w:rFonts w:ascii="Arial" w:hAnsi="Arial" w:cs="Arial"/>
          <w:i/>
          <w:iCs/>
          <w:sz w:val="20"/>
          <w:szCs w:val="20"/>
        </w:rPr>
        <w:t>GLJ v Trustees of the Roman Catholic Church for the Diocese of Lismore</w:t>
      </w:r>
      <w:r w:rsidRPr="00F41D41">
        <w:rPr>
          <w:rFonts w:ascii="Arial" w:hAnsi="Arial" w:cs="Arial"/>
          <w:sz w:val="20"/>
          <w:szCs w:val="20"/>
        </w:rPr>
        <w:t xml:space="preserve"> (</w:t>
      </w:r>
      <w:r>
        <w:rPr>
          <w:rFonts w:ascii="Arial" w:hAnsi="Arial" w:cs="Arial"/>
          <w:sz w:val="20"/>
          <w:szCs w:val="20"/>
        </w:rPr>
        <w:t>2023</w:t>
      </w:r>
      <w:r w:rsidRPr="00F41D41">
        <w:rPr>
          <w:rFonts w:ascii="Arial" w:hAnsi="Arial" w:cs="Arial"/>
          <w:sz w:val="20"/>
          <w:szCs w:val="20"/>
        </w:rPr>
        <w:t>)</w:t>
      </w:r>
      <w:r>
        <w:rPr>
          <w:rFonts w:ascii="Arial" w:hAnsi="Arial" w:cs="Arial"/>
          <w:sz w:val="20"/>
          <w:szCs w:val="20"/>
        </w:rPr>
        <w:t xml:space="preserve"> 280 CLR 442; [2023] HCA 32</w:t>
      </w:r>
      <w:r w:rsidRPr="00F41D41">
        <w:rPr>
          <w:rFonts w:ascii="Arial" w:hAnsi="Arial" w:cs="Arial"/>
          <w:sz w:val="20"/>
          <w:szCs w:val="20"/>
        </w:rPr>
        <w:t xml:space="preserve">, </w:t>
      </w:r>
      <w:r w:rsidRPr="00F41D41">
        <w:rPr>
          <w:rFonts w:ascii="Arial" w:hAnsi="Arial" w:cs="Arial"/>
          <w:i/>
          <w:iCs/>
          <w:sz w:val="20"/>
          <w:szCs w:val="20"/>
        </w:rPr>
        <w:t>RC v Salvation Army (WA) Property Trust</w:t>
      </w:r>
      <w:r w:rsidRPr="00F41D41">
        <w:rPr>
          <w:rFonts w:ascii="Arial" w:hAnsi="Arial" w:cs="Arial"/>
          <w:sz w:val="20"/>
          <w:szCs w:val="20"/>
        </w:rPr>
        <w:t xml:space="preserve"> (</w:t>
      </w:r>
      <w:r>
        <w:rPr>
          <w:rFonts w:ascii="Arial" w:hAnsi="Arial" w:cs="Arial"/>
          <w:sz w:val="20"/>
          <w:szCs w:val="20"/>
        </w:rPr>
        <w:t>2024) 419 ALR 677; [2024] HCA 43</w:t>
      </w:r>
      <w:r w:rsidRPr="00F41D41">
        <w:rPr>
          <w:rFonts w:ascii="Arial" w:hAnsi="Arial" w:cs="Arial"/>
          <w:sz w:val="20"/>
          <w:szCs w:val="20"/>
        </w:rPr>
        <w:t xml:space="preserve"> and </w:t>
      </w:r>
      <w:r w:rsidRPr="00F41D41">
        <w:rPr>
          <w:rFonts w:ascii="Arial" w:hAnsi="Arial" w:cs="Arial"/>
          <w:i/>
          <w:iCs/>
          <w:sz w:val="20"/>
          <w:szCs w:val="20"/>
        </w:rPr>
        <w:t>Willmot v Queensland</w:t>
      </w:r>
      <w:r w:rsidRPr="00F41D41">
        <w:rPr>
          <w:rFonts w:ascii="Arial" w:hAnsi="Arial" w:cs="Arial"/>
          <w:sz w:val="20"/>
          <w:szCs w:val="20"/>
        </w:rPr>
        <w:t xml:space="preserve"> (</w:t>
      </w:r>
      <w:r>
        <w:rPr>
          <w:rFonts w:ascii="Arial" w:hAnsi="Arial" w:cs="Arial"/>
          <w:sz w:val="20"/>
          <w:szCs w:val="20"/>
        </w:rPr>
        <w:t>2024</w:t>
      </w:r>
      <w:r w:rsidRPr="00F41D41">
        <w:rPr>
          <w:rFonts w:ascii="Arial" w:hAnsi="Arial" w:cs="Arial"/>
          <w:sz w:val="20"/>
          <w:szCs w:val="20"/>
        </w:rPr>
        <w:t>)</w:t>
      </w:r>
      <w:r w:rsidR="00FE0F79">
        <w:rPr>
          <w:rFonts w:ascii="Arial" w:hAnsi="Arial" w:cs="Arial"/>
          <w:sz w:val="20"/>
          <w:szCs w:val="20"/>
        </w:rPr>
        <w:t xml:space="preserve"> 419 ALR 623; [2024] HCA 42</w:t>
      </w:r>
      <w:r w:rsidRPr="00F41D41">
        <w:rPr>
          <w:rFonts w:ascii="Arial" w:hAnsi="Arial" w:cs="Arial"/>
          <w:sz w:val="20"/>
          <w:szCs w:val="20"/>
        </w:rPr>
        <w:t xml:space="preserve">. They have been further explained in decisions in this Court in </w:t>
      </w:r>
      <w:r w:rsidRPr="00FE0F79">
        <w:rPr>
          <w:rFonts w:ascii="Arial" w:hAnsi="Arial" w:cs="Arial"/>
          <w:i/>
          <w:iCs/>
          <w:sz w:val="20"/>
          <w:szCs w:val="20"/>
        </w:rPr>
        <w:t>Weiden v YZ (a pseudonym)</w:t>
      </w:r>
      <w:r w:rsidRPr="00F41D41">
        <w:rPr>
          <w:rFonts w:ascii="Arial" w:hAnsi="Arial" w:cs="Arial"/>
          <w:sz w:val="20"/>
          <w:szCs w:val="20"/>
        </w:rPr>
        <w:t xml:space="preserve"> </w:t>
      </w:r>
      <w:r w:rsidR="00FE0F79">
        <w:rPr>
          <w:rFonts w:ascii="Arial" w:hAnsi="Arial" w:cs="Arial"/>
          <w:sz w:val="20"/>
          <w:szCs w:val="20"/>
        </w:rPr>
        <w:t>[2023] VSCA 294</w:t>
      </w:r>
      <w:r w:rsidRPr="00F41D41">
        <w:rPr>
          <w:rFonts w:ascii="Arial" w:hAnsi="Arial" w:cs="Arial"/>
          <w:sz w:val="20"/>
          <w:szCs w:val="20"/>
        </w:rPr>
        <w:t xml:space="preserve"> and </w:t>
      </w:r>
      <w:r w:rsidRPr="00FE0F79">
        <w:rPr>
          <w:rFonts w:ascii="Arial" w:hAnsi="Arial" w:cs="Arial"/>
          <w:i/>
          <w:iCs/>
          <w:sz w:val="20"/>
          <w:szCs w:val="20"/>
        </w:rPr>
        <w:t>Trustees of the Christian Brothers v Colbert (a pseudonym)</w:t>
      </w:r>
      <w:r w:rsidRPr="00F41D41">
        <w:rPr>
          <w:rFonts w:ascii="Arial" w:hAnsi="Arial" w:cs="Arial"/>
          <w:sz w:val="20"/>
          <w:szCs w:val="20"/>
        </w:rPr>
        <w:t xml:space="preserve"> </w:t>
      </w:r>
      <w:r w:rsidR="00FE0F79">
        <w:rPr>
          <w:rFonts w:ascii="Arial" w:hAnsi="Arial" w:cs="Arial"/>
          <w:sz w:val="20"/>
          <w:szCs w:val="20"/>
        </w:rPr>
        <w:t>[2025] VSCA 122.</w:t>
      </w:r>
    </w:p>
    <w:p w14:paraId="5BB607D7" w14:textId="5807DDAF" w:rsidR="00F41D41" w:rsidRPr="00F41D41" w:rsidRDefault="00F41D41" w:rsidP="00F41D41">
      <w:pPr>
        <w:spacing w:before="60"/>
        <w:ind w:left="454" w:right="454"/>
        <w:jc w:val="both"/>
        <w:rPr>
          <w:rFonts w:ascii="Arial" w:hAnsi="Arial" w:cs="Arial"/>
          <w:color w:val="000000"/>
          <w:sz w:val="20"/>
          <w:szCs w:val="20"/>
          <w:lang w:eastAsia="en-AU"/>
        </w:rPr>
      </w:pPr>
      <w:r>
        <w:rPr>
          <w:rFonts w:ascii="Arial" w:hAnsi="Arial" w:cs="Arial"/>
          <w:sz w:val="20"/>
          <w:szCs w:val="20"/>
        </w:rPr>
        <w:t xml:space="preserve">[25] </w:t>
      </w:r>
      <w:r w:rsidRPr="00F41D41">
        <w:rPr>
          <w:rFonts w:ascii="Arial" w:hAnsi="Arial" w:cs="Arial"/>
          <w:sz w:val="20"/>
          <w:szCs w:val="20"/>
        </w:rPr>
        <w:t>A useful starting point is to recall the nature of the power that is being called upon. The Court has power to stay a proceeding where to allow it to proceed would be an abuse of the processes of the Court. It requires the moving party to establish that a fair trial cannot be had. Self-evidently that is a heavy burden and requires a court to take an extreme step. The power to permanently stay a proceeding is ‘exercisable only in an exceptional case’ and remains ‘a last resort’</w:t>
      </w:r>
      <w:r w:rsidR="00FE0F79">
        <w:rPr>
          <w:rFonts w:ascii="Arial" w:hAnsi="Arial" w:cs="Arial"/>
          <w:sz w:val="20"/>
          <w:szCs w:val="20"/>
        </w:rPr>
        <w:t>: GLJ (2023) 280 CLR 442, 457 [18]; [2023] HCA 32.”</w:t>
      </w:r>
    </w:p>
    <w:p w14:paraId="4DC46CB1" w14:textId="77777777" w:rsidR="00F41D41" w:rsidRDefault="00F41D41" w:rsidP="000C5E27">
      <w:pPr>
        <w:jc w:val="both"/>
        <w:rPr>
          <w:rFonts w:ascii="Arial" w:hAnsi="Arial" w:cs="Arial"/>
          <w:sz w:val="20"/>
          <w:szCs w:val="20"/>
        </w:rPr>
      </w:pPr>
    </w:p>
    <w:p w14:paraId="741EEB3D" w14:textId="5355DE59" w:rsidR="00DF10C8" w:rsidRDefault="00DF10C8" w:rsidP="000C5E27">
      <w:pPr>
        <w:jc w:val="both"/>
        <w:rPr>
          <w:rFonts w:ascii="Arial" w:hAnsi="Arial" w:cs="Arial"/>
          <w:sz w:val="20"/>
          <w:szCs w:val="20"/>
        </w:rPr>
      </w:pPr>
      <w:r>
        <w:rPr>
          <w:rFonts w:ascii="Arial" w:hAnsi="Arial" w:cs="Arial"/>
          <w:sz w:val="20"/>
          <w:szCs w:val="20"/>
        </w:rPr>
        <w:t xml:space="preserve">In </w:t>
      </w:r>
      <w:r w:rsidRPr="00DF10C8">
        <w:rPr>
          <w:rFonts w:ascii="Arial" w:hAnsi="Arial" w:cs="Arial"/>
          <w:i/>
          <w:iCs/>
          <w:sz w:val="20"/>
          <w:szCs w:val="20"/>
        </w:rPr>
        <w:t xml:space="preserve">Abdou &amp; Anor v </w:t>
      </w:r>
      <w:proofErr w:type="spellStart"/>
      <w:r w:rsidRPr="00DF10C8">
        <w:rPr>
          <w:rFonts w:ascii="Arial" w:hAnsi="Arial" w:cs="Arial"/>
          <w:i/>
          <w:iCs/>
          <w:sz w:val="20"/>
          <w:szCs w:val="20"/>
        </w:rPr>
        <w:t>Trowsdale</w:t>
      </w:r>
      <w:proofErr w:type="spellEnd"/>
      <w:r w:rsidRPr="00DF10C8">
        <w:rPr>
          <w:rFonts w:ascii="Arial" w:hAnsi="Arial" w:cs="Arial"/>
          <w:i/>
          <w:iCs/>
          <w:sz w:val="20"/>
          <w:szCs w:val="20"/>
        </w:rPr>
        <w:t xml:space="preserve"> &amp; Ors</w:t>
      </w:r>
      <w:r>
        <w:rPr>
          <w:rFonts w:ascii="Arial" w:hAnsi="Arial" w:cs="Arial"/>
          <w:sz w:val="20"/>
          <w:szCs w:val="20"/>
        </w:rPr>
        <w:t xml:space="preserve"> [2026] VSC 82 Craig J granted a permanent stay of a subsequent proceeding by the alter ego of a corporate entity who raised a new claim which was materially inconsistent with the claim advanced by the corporate alter ego in the earlier proceeding. At [</w:t>
      </w:r>
      <w:r w:rsidR="00D740A8">
        <w:rPr>
          <w:rFonts w:ascii="Arial" w:hAnsi="Arial" w:cs="Arial"/>
          <w:sz w:val="20"/>
          <w:szCs w:val="20"/>
        </w:rPr>
        <w:t>1</w:t>
      </w:r>
      <w:r>
        <w:rPr>
          <w:rFonts w:ascii="Arial" w:hAnsi="Arial" w:cs="Arial"/>
          <w:sz w:val="20"/>
          <w:szCs w:val="20"/>
        </w:rPr>
        <w:t>]-[</w:t>
      </w:r>
      <w:r w:rsidR="00D740A8">
        <w:rPr>
          <w:rFonts w:ascii="Arial" w:hAnsi="Arial" w:cs="Arial"/>
          <w:sz w:val="20"/>
          <w:szCs w:val="20"/>
        </w:rPr>
        <w:t>2</w:t>
      </w:r>
      <w:r>
        <w:rPr>
          <w:rFonts w:ascii="Arial" w:hAnsi="Arial" w:cs="Arial"/>
          <w:sz w:val="20"/>
          <w:szCs w:val="20"/>
        </w:rPr>
        <w:t xml:space="preserve">] </w:t>
      </w:r>
      <w:r w:rsidR="0081144B">
        <w:rPr>
          <w:rFonts w:ascii="Arial" w:hAnsi="Arial" w:cs="Arial"/>
          <w:sz w:val="20"/>
          <w:szCs w:val="20"/>
        </w:rPr>
        <w:t xml:space="preserve">&amp; [4] </w:t>
      </w:r>
      <w:r>
        <w:rPr>
          <w:rFonts w:ascii="Arial" w:hAnsi="Arial" w:cs="Arial"/>
          <w:sz w:val="20"/>
          <w:szCs w:val="20"/>
        </w:rPr>
        <w:t>his Honour said:</w:t>
      </w:r>
    </w:p>
    <w:p w14:paraId="293AA447" w14:textId="0D12C678" w:rsidR="00DF10C8" w:rsidRDefault="00DF10C8" w:rsidP="00DF10C8">
      <w:pPr>
        <w:spacing w:before="60"/>
        <w:ind w:left="454" w:right="454"/>
        <w:jc w:val="both"/>
        <w:rPr>
          <w:rFonts w:ascii="Arial" w:hAnsi="Arial" w:cs="Arial"/>
          <w:sz w:val="20"/>
          <w:szCs w:val="20"/>
        </w:rPr>
      </w:pPr>
      <w:r>
        <w:rPr>
          <w:rFonts w:ascii="Arial" w:hAnsi="Arial" w:cs="Arial"/>
          <w:color w:val="000000"/>
          <w:sz w:val="20"/>
          <w:szCs w:val="20"/>
          <w:lang w:eastAsia="en-AU"/>
        </w:rPr>
        <w:t>[1] “</w:t>
      </w:r>
      <w:r w:rsidRPr="00DF10C8">
        <w:rPr>
          <w:rFonts w:ascii="Arial" w:hAnsi="Arial" w:cs="Arial"/>
          <w:sz w:val="20"/>
          <w:szCs w:val="20"/>
        </w:rPr>
        <w:t>Courts must be astute to protect litigants and the system of justice against abuse of their processes</w:t>
      </w:r>
      <w:r>
        <w:rPr>
          <w:rFonts w:ascii="Arial" w:hAnsi="Arial" w:cs="Arial"/>
          <w:sz w:val="20"/>
          <w:szCs w:val="20"/>
        </w:rPr>
        <w:t xml:space="preserve">: </w:t>
      </w:r>
      <w:r w:rsidRPr="00DF10C8">
        <w:rPr>
          <w:rFonts w:ascii="Arial" w:hAnsi="Arial" w:cs="Arial"/>
          <w:i/>
          <w:iCs/>
          <w:sz w:val="20"/>
          <w:szCs w:val="20"/>
        </w:rPr>
        <w:t>UBS AG v Tyne as Trustee of the Argot Trust</w:t>
      </w:r>
      <w:r w:rsidRPr="00DF10C8">
        <w:rPr>
          <w:rFonts w:ascii="Arial" w:hAnsi="Arial" w:cs="Arial"/>
          <w:sz w:val="20"/>
          <w:szCs w:val="20"/>
        </w:rPr>
        <w:t xml:space="preserve"> (2018) 265 CLR 77, 96 [45]</w:t>
      </w:r>
      <w:r>
        <w:rPr>
          <w:rFonts w:ascii="Arial" w:hAnsi="Arial" w:cs="Arial"/>
          <w:sz w:val="20"/>
          <w:szCs w:val="20"/>
        </w:rPr>
        <w:t>.</w:t>
      </w:r>
      <w:r w:rsidRPr="00DF10C8">
        <w:rPr>
          <w:rFonts w:ascii="Arial" w:hAnsi="Arial" w:cs="Arial"/>
          <w:sz w:val="20"/>
          <w:szCs w:val="20"/>
        </w:rPr>
        <w:t xml:space="preserve"> The use of the court’s processes to occasion unjustifiable oppression to a party or bring the administration of justice into disrepute enlivens the power to permanently stay a proceeding as an abuse</w:t>
      </w:r>
      <w:r>
        <w:rPr>
          <w:rFonts w:ascii="Arial" w:hAnsi="Arial" w:cs="Arial"/>
          <w:sz w:val="20"/>
          <w:szCs w:val="20"/>
        </w:rPr>
        <w:t xml:space="preserve">: </w:t>
      </w:r>
      <w:r w:rsidRPr="00DF10C8">
        <w:rPr>
          <w:rFonts w:ascii="Arial" w:hAnsi="Arial" w:cs="Arial"/>
          <w:i/>
          <w:iCs/>
          <w:sz w:val="20"/>
          <w:szCs w:val="20"/>
        </w:rPr>
        <w:t>UBS</w:t>
      </w:r>
      <w:r>
        <w:rPr>
          <w:rFonts w:ascii="Arial" w:hAnsi="Arial" w:cs="Arial"/>
          <w:sz w:val="20"/>
          <w:szCs w:val="20"/>
        </w:rPr>
        <w:t xml:space="preserve"> 83 [1]</w:t>
      </w:r>
      <w:r w:rsidRPr="00DF10C8">
        <w:rPr>
          <w:rFonts w:ascii="Arial" w:hAnsi="Arial" w:cs="Arial"/>
          <w:sz w:val="20"/>
          <w:szCs w:val="20"/>
        </w:rPr>
        <w:t>. Whilst the onus is a ‘heavy one’</w:t>
      </w:r>
      <w:r>
        <w:rPr>
          <w:rFonts w:ascii="Arial" w:hAnsi="Arial" w:cs="Arial"/>
          <w:sz w:val="20"/>
          <w:szCs w:val="20"/>
        </w:rPr>
        <w:t xml:space="preserve"> {</w:t>
      </w:r>
      <w:r w:rsidRPr="00DF10C8">
        <w:rPr>
          <w:rFonts w:ascii="Arial" w:hAnsi="Arial" w:cs="Arial"/>
          <w:i/>
          <w:iCs/>
          <w:sz w:val="20"/>
          <w:szCs w:val="20"/>
        </w:rPr>
        <w:t>UBS</w:t>
      </w:r>
      <w:r w:rsidRPr="00DF10C8">
        <w:rPr>
          <w:rFonts w:ascii="Arial" w:hAnsi="Arial" w:cs="Arial"/>
          <w:sz w:val="20"/>
          <w:szCs w:val="20"/>
        </w:rPr>
        <w:t xml:space="preserve"> 127 [136] citing </w:t>
      </w:r>
      <w:r w:rsidRPr="00DF10C8">
        <w:rPr>
          <w:rFonts w:ascii="Arial" w:hAnsi="Arial" w:cs="Arial"/>
          <w:i/>
          <w:iCs/>
          <w:sz w:val="20"/>
          <w:szCs w:val="20"/>
        </w:rPr>
        <w:t>Williams v Spautz</w:t>
      </w:r>
      <w:r w:rsidRPr="00DF10C8">
        <w:rPr>
          <w:rFonts w:ascii="Arial" w:hAnsi="Arial" w:cs="Arial"/>
          <w:sz w:val="20"/>
          <w:szCs w:val="20"/>
        </w:rPr>
        <w:t xml:space="preserve"> (1992) 174 CLR 509, 529 and </w:t>
      </w:r>
      <w:r w:rsidRPr="00DF10C8">
        <w:rPr>
          <w:rFonts w:ascii="Arial" w:hAnsi="Arial" w:cs="Arial"/>
          <w:i/>
          <w:iCs/>
          <w:sz w:val="20"/>
          <w:szCs w:val="20"/>
        </w:rPr>
        <w:t>Goldsmith v Sperrings Ltd</w:t>
      </w:r>
      <w:r w:rsidRPr="00DF10C8">
        <w:rPr>
          <w:rFonts w:ascii="Arial" w:hAnsi="Arial" w:cs="Arial"/>
          <w:sz w:val="20"/>
          <w:szCs w:val="20"/>
        </w:rPr>
        <w:t xml:space="preserve"> [1977] 1 WLR 478, 498; [1977] 2 All ER 566, 582</w:t>
      </w:r>
      <w:r>
        <w:rPr>
          <w:rFonts w:ascii="Arial" w:hAnsi="Arial" w:cs="Arial"/>
          <w:sz w:val="20"/>
          <w:szCs w:val="20"/>
        </w:rPr>
        <w:t xml:space="preserve">} </w:t>
      </w:r>
      <w:r w:rsidRPr="00DF10C8">
        <w:rPr>
          <w:rFonts w:ascii="Arial" w:hAnsi="Arial" w:cs="Arial"/>
          <w:sz w:val="20"/>
          <w:szCs w:val="20"/>
        </w:rPr>
        <w:t>to be exercised in ‘exceptional circumstances’</w:t>
      </w:r>
      <w:r w:rsidR="00D740A8">
        <w:rPr>
          <w:rFonts w:ascii="Arial" w:hAnsi="Arial" w:cs="Arial"/>
          <w:sz w:val="20"/>
          <w:szCs w:val="20"/>
        </w:rPr>
        <w:t xml:space="preserve"> {</w:t>
      </w:r>
      <w:r w:rsidR="00D740A8" w:rsidRPr="00D740A8">
        <w:rPr>
          <w:rFonts w:ascii="Arial" w:hAnsi="Arial" w:cs="Arial"/>
          <w:i/>
          <w:iCs/>
          <w:sz w:val="20"/>
          <w:szCs w:val="20"/>
        </w:rPr>
        <w:t>UBS</w:t>
      </w:r>
      <w:r w:rsidR="00D740A8" w:rsidRPr="00DF10C8">
        <w:rPr>
          <w:rFonts w:ascii="Arial" w:hAnsi="Arial" w:cs="Arial"/>
          <w:sz w:val="20"/>
          <w:szCs w:val="20"/>
        </w:rPr>
        <w:t xml:space="preserve"> 127 [136] citing </w:t>
      </w:r>
      <w:r w:rsidR="00D740A8" w:rsidRPr="00D740A8">
        <w:rPr>
          <w:rFonts w:ascii="Arial" w:hAnsi="Arial" w:cs="Arial"/>
          <w:i/>
          <w:iCs/>
          <w:sz w:val="20"/>
          <w:szCs w:val="20"/>
        </w:rPr>
        <w:t>Williams</w:t>
      </w:r>
      <w:r w:rsidR="00D740A8" w:rsidRPr="00DF10C8">
        <w:rPr>
          <w:rFonts w:ascii="Arial" w:hAnsi="Arial" w:cs="Arial"/>
          <w:sz w:val="20"/>
          <w:szCs w:val="20"/>
        </w:rPr>
        <w:t xml:space="preserve"> 529 and </w:t>
      </w:r>
      <w:r w:rsidR="00D740A8" w:rsidRPr="00D740A8">
        <w:rPr>
          <w:rFonts w:ascii="Arial" w:hAnsi="Arial" w:cs="Arial"/>
          <w:i/>
          <w:iCs/>
          <w:sz w:val="20"/>
          <w:szCs w:val="20"/>
        </w:rPr>
        <w:t>Jago v District Court (NSW)</w:t>
      </w:r>
      <w:r w:rsidR="00D740A8" w:rsidRPr="00DF10C8">
        <w:rPr>
          <w:rFonts w:ascii="Arial" w:hAnsi="Arial" w:cs="Arial"/>
          <w:sz w:val="20"/>
          <w:szCs w:val="20"/>
        </w:rPr>
        <w:t xml:space="preserve"> (1989) 168 CLR 23, 34</w:t>
      </w:r>
      <w:r w:rsidR="00D740A8">
        <w:rPr>
          <w:rFonts w:ascii="Arial" w:hAnsi="Arial" w:cs="Arial"/>
          <w:sz w:val="20"/>
          <w:szCs w:val="20"/>
        </w:rPr>
        <w:t>}</w:t>
      </w:r>
      <w:r w:rsidRPr="00DF10C8">
        <w:rPr>
          <w:rFonts w:ascii="Arial" w:hAnsi="Arial" w:cs="Arial"/>
          <w:sz w:val="20"/>
          <w:szCs w:val="20"/>
        </w:rPr>
        <w:t>, that power must be interpreted and applied in light of the overarching purpose to facilitate the just, efficient, timely and cost</w:t>
      </w:r>
      <w:r w:rsidR="00D740A8">
        <w:rPr>
          <w:rFonts w:ascii="Arial" w:hAnsi="Arial" w:cs="Arial"/>
          <w:sz w:val="20"/>
          <w:szCs w:val="20"/>
        </w:rPr>
        <w:t xml:space="preserve"> </w:t>
      </w:r>
      <w:r w:rsidRPr="00DF10C8">
        <w:rPr>
          <w:rFonts w:ascii="Arial" w:hAnsi="Arial" w:cs="Arial"/>
          <w:sz w:val="20"/>
          <w:szCs w:val="20"/>
        </w:rPr>
        <w:t>effective resolution of the real issues in dispute</w:t>
      </w:r>
      <w:r w:rsidR="00D740A8">
        <w:rPr>
          <w:rFonts w:ascii="Arial" w:hAnsi="Arial" w:cs="Arial"/>
          <w:sz w:val="20"/>
          <w:szCs w:val="20"/>
        </w:rPr>
        <w:t xml:space="preserve">: </w:t>
      </w:r>
      <w:r w:rsidR="00D740A8" w:rsidRPr="00D740A8">
        <w:rPr>
          <w:rFonts w:ascii="Arial" w:hAnsi="Arial" w:cs="Arial"/>
          <w:i/>
          <w:iCs/>
          <w:sz w:val="20"/>
          <w:szCs w:val="20"/>
        </w:rPr>
        <w:t>Civil Procedure Act 2010</w:t>
      </w:r>
      <w:r w:rsidR="00D740A8" w:rsidRPr="00DF10C8">
        <w:rPr>
          <w:rFonts w:ascii="Arial" w:hAnsi="Arial" w:cs="Arial"/>
          <w:sz w:val="20"/>
          <w:szCs w:val="20"/>
        </w:rPr>
        <w:t xml:space="preserve"> (Vic) s</w:t>
      </w:r>
      <w:r w:rsidR="0081144B">
        <w:rPr>
          <w:rFonts w:ascii="Arial" w:hAnsi="Arial" w:cs="Arial"/>
          <w:sz w:val="20"/>
          <w:szCs w:val="20"/>
        </w:rPr>
        <w:t>.</w:t>
      </w:r>
      <w:r w:rsidR="00D740A8" w:rsidRPr="00DF10C8">
        <w:rPr>
          <w:rFonts w:ascii="Arial" w:hAnsi="Arial" w:cs="Arial"/>
          <w:sz w:val="20"/>
          <w:szCs w:val="20"/>
        </w:rPr>
        <w:t xml:space="preserve">7(1); see </w:t>
      </w:r>
      <w:r w:rsidR="00D740A8" w:rsidRPr="00D740A8">
        <w:rPr>
          <w:rFonts w:ascii="Arial" w:hAnsi="Arial" w:cs="Arial"/>
          <w:i/>
          <w:iCs/>
          <w:sz w:val="20"/>
          <w:szCs w:val="20"/>
        </w:rPr>
        <w:t>UBS</w:t>
      </w:r>
      <w:r w:rsidR="00D740A8" w:rsidRPr="00DF10C8">
        <w:rPr>
          <w:rFonts w:ascii="Arial" w:hAnsi="Arial" w:cs="Arial"/>
          <w:sz w:val="20"/>
          <w:szCs w:val="20"/>
        </w:rPr>
        <w:t xml:space="preserve"> 96 [45], 128</w:t>
      </w:r>
      <w:r w:rsidR="00D740A8">
        <w:rPr>
          <w:rFonts w:ascii="Arial" w:hAnsi="Arial" w:cs="Arial"/>
          <w:sz w:val="20"/>
          <w:szCs w:val="20"/>
        </w:rPr>
        <w:t>.”</w:t>
      </w:r>
    </w:p>
    <w:p w14:paraId="4C0547C9" w14:textId="77777777" w:rsidR="0081144B" w:rsidRDefault="00D740A8" w:rsidP="00DF10C8">
      <w:pPr>
        <w:spacing w:before="60"/>
        <w:ind w:left="454" w:right="454"/>
        <w:jc w:val="both"/>
        <w:rPr>
          <w:rFonts w:ascii="Arial" w:hAnsi="Arial" w:cs="Arial"/>
          <w:sz w:val="20"/>
          <w:szCs w:val="20"/>
        </w:rPr>
      </w:pPr>
      <w:r>
        <w:rPr>
          <w:rFonts w:ascii="Arial" w:hAnsi="Arial" w:cs="Arial"/>
          <w:sz w:val="20"/>
          <w:szCs w:val="20"/>
        </w:rPr>
        <w:t xml:space="preserve">[2] </w:t>
      </w:r>
      <w:r w:rsidRPr="00DF10C8">
        <w:rPr>
          <w:rFonts w:ascii="Arial" w:hAnsi="Arial" w:cs="Arial"/>
          <w:sz w:val="20"/>
          <w:szCs w:val="20"/>
        </w:rPr>
        <w:t>There are ‘varied circumstances’ in which the use of the court’s processes will amount to an abuse</w:t>
      </w:r>
      <w:r w:rsidR="002B61F6">
        <w:rPr>
          <w:rFonts w:ascii="Arial" w:hAnsi="Arial" w:cs="Arial"/>
          <w:sz w:val="20"/>
          <w:szCs w:val="20"/>
        </w:rPr>
        <w:t xml:space="preserve">: </w:t>
      </w:r>
      <w:r w:rsidR="002B61F6" w:rsidRPr="002B61F6">
        <w:rPr>
          <w:rFonts w:ascii="Arial" w:hAnsi="Arial" w:cs="Arial"/>
          <w:i/>
          <w:iCs/>
          <w:sz w:val="20"/>
          <w:szCs w:val="20"/>
        </w:rPr>
        <w:t>UBS</w:t>
      </w:r>
      <w:r w:rsidR="002B61F6">
        <w:rPr>
          <w:rFonts w:ascii="Arial" w:hAnsi="Arial" w:cs="Arial"/>
          <w:sz w:val="20"/>
          <w:szCs w:val="20"/>
        </w:rPr>
        <w:t xml:space="preserve"> 83 [1]</w:t>
      </w:r>
      <w:r w:rsidRPr="00DF10C8">
        <w:rPr>
          <w:rFonts w:ascii="Arial" w:hAnsi="Arial" w:cs="Arial"/>
          <w:sz w:val="20"/>
          <w:szCs w:val="20"/>
        </w:rPr>
        <w:t>. Those varied circumstances defy exhaustive statement</w:t>
      </w:r>
      <w:r w:rsidR="002B61F6">
        <w:rPr>
          <w:rFonts w:ascii="Arial" w:hAnsi="Arial" w:cs="Arial"/>
          <w:sz w:val="20"/>
          <w:szCs w:val="20"/>
        </w:rPr>
        <w:t>: Ibid</w:t>
      </w:r>
      <w:r w:rsidRPr="00DF10C8">
        <w:rPr>
          <w:rFonts w:ascii="Arial" w:hAnsi="Arial" w:cs="Arial"/>
          <w:sz w:val="20"/>
          <w:szCs w:val="20"/>
        </w:rPr>
        <w:t>. In</w:t>
      </w:r>
      <w:r w:rsidR="002B61F6">
        <w:rPr>
          <w:rFonts w:ascii="Arial" w:hAnsi="Arial" w:cs="Arial"/>
          <w:sz w:val="20"/>
          <w:szCs w:val="20"/>
        </w:rPr>
        <w:t> </w:t>
      </w:r>
      <w:r w:rsidRPr="00DF10C8">
        <w:rPr>
          <w:rFonts w:ascii="Arial" w:hAnsi="Arial" w:cs="Arial"/>
          <w:sz w:val="20"/>
          <w:szCs w:val="20"/>
        </w:rPr>
        <w:t xml:space="preserve">appropriate circumstances, the doctrine of abuse of process can preclude a person, who is neither a party </w:t>
      </w:r>
      <w:proofErr w:type="gramStart"/>
      <w:r w:rsidRPr="00DF10C8">
        <w:rPr>
          <w:rFonts w:ascii="Arial" w:hAnsi="Arial" w:cs="Arial"/>
          <w:sz w:val="20"/>
          <w:szCs w:val="20"/>
        </w:rPr>
        <w:t>or</w:t>
      </w:r>
      <w:proofErr w:type="gramEnd"/>
      <w:r w:rsidRPr="00DF10C8">
        <w:rPr>
          <w:rFonts w:ascii="Arial" w:hAnsi="Arial" w:cs="Arial"/>
          <w:sz w:val="20"/>
          <w:szCs w:val="20"/>
        </w:rPr>
        <w:t xml:space="preserve"> a privy of a party from earlier proceedings, from raising related claims in successive proceedings</w:t>
      </w:r>
      <w:r w:rsidR="002B61F6">
        <w:rPr>
          <w:rFonts w:ascii="Arial" w:hAnsi="Arial" w:cs="Arial"/>
          <w:sz w:val="20"/>
          <w:szCs w:val="20"/>
        </w:rPr>
        <w:t xml:space="preserve">: </w:t>
      </w:r>
      <w:r w:rsidR="002B61F6" w:rsidRPr="0081144B">
        <w:rPr>
          <w:rFonts w:ascii="Arial" w:hAnsi="Arial" w:cs="Arial"/>
          <w:i/>
          <w:iCs/>
          <w:sz w:val="20"/>
          <w:szCs w:val="20"/>
        </w:rPr>
        <w:t>UBS</w:t>
      </w:r>
      <w:r w:rsidR="002B61F6">
        <w:rPr>
          <w:rFonts w:ascii="Arial" w:hAnsi="Arial" w:cs="Arial"/>
          <w:sz w:val="20"/>
          <w:szCs w:val="20"/>
        </w:rPr>
        <w:t xml:space="preserve"> 128 [138]</w:t>
      </w:r>
      <w:r w:rsidRPr="00DF10C8">
        <w:rPr>
          <w:rFonts w:ascii="Arial" w:hAnsi="Arial" w:cs="Arial"/>
          <w:sz w:val="20"/>
          <w:szCs w:val="20"/>
        </w:rPr>
        <w:t>.</w:t>
      </w:r>
    </w:p>
    <w:p w14:paraId="69B67A41" w14:textId="1D3326E3" w:rsidR="0081144B" w:rsidRDefault="0081144B" w:rsidP="00DF10C8">
      <w:pPr>
        <w:spacing w:before="60"/>
        <w:ind w:left="454" w:right="454"/>
        <w:jc w:val="both"/>
        <w:rPr>
          <w:rFonts w:ascii="Arial" w:hAnsi="Arial" w:cs="Arial"/>
          <w:sz w:val="20"/>
          <w:szCs w:val="20"/>
        </w:rPr>
      </w:pPr>
      <w:r>
        <w:rPr>
          <w:rFonts w:ascii="Arial" w:hAnsi="Arial" w:cs="Arial"/>
          <w:sz w:val="20"/>
          <w:szCs w:val="20"/>
        </w:rPr>
        <w:t>…</w:t>
      </w:r>
    </w:p>
    <w:p w14:paraId="7149EF5C" w14:textId="32640FDD" w:rsidR="0081144B" w:rsidRDefault="0081144B" w:rsidP="0081144B">
      <w:pPr>
        <w:spacing w:before="60"/>
        <w:ind w:left="454" w:right="454"/>
        <w:jc w:val="both"/>
        <w:rPr>
          <w:rFonts w:ascii="Arial" w:hAnsi="Arial" w:cs="Arial"/>
          <w:sz w:val="20"/>
          <w:szCs w:val="20"/>
        </w:rPr>
      </w:pPr>
      <w:r>
        <w:rPr>
          <w:rFonts w:ascii="Arial" w:hAnsi="Arial" w:cs="Arial"/>
          <w:sz w:val="20"/>
          <w:szCs w:val="20"/>
        </w:rPr>
        <w:t xml:space="preserve">[4] </w:t>
      </w:r>
      <w:r w:rsidRPr="0081144B">
        <w:rPr>
          <w:rFonts w:ascii="Arial" w:hAnsi="Arial" w:cs="Arial"/>
          <w:sz w:val="20"/>
          <w:szCs w:val="20"/>
        </w:rPr>
        <w:t>Undertaking a ‘broad, merits-based judgment’</w:t>
      </w:r>
      <w:r>
        <w:rPr>
          <w:rFonts w:ascii="Arial" w:hAnsi="Arial" w:cs="Arial"/>
          <w:sz w:val="20"/>
          <w:szCs w:val="20"/>
        </w:rPr>
        <w:t xml:space="preserve"> {</w:t>
      </w:r>
      <w:r w:rsidRPr="0081144B">
        <w:rPr>
          <w:rFonts w:ascii="Arial" w:hAnsi="Arial" w:cs="Arial"/>
          <w:i/>
          <w:iCs/>
          <w:sz w:val="20"/>
          <w:szCs w:val="20"/>
        </w:rPr>
        <w:t>Johnson v Gore Wood &amp; Co</w:t>
      </w:r>
      <w:r w:rsidRPr="0081144B">
        <w:rPr>
          <w:rFonts w:ascii="Arial" w:hAnsi="Arial" w:cs="Arial"/>
          <w:sz w:val="20"/>
          <w:szCs w:val="20"/>
        </w:rPr>
        <w:t xml:space="preserve"> [2002] 2 AC 1, 31</w:t>
      </w:r>
      <w:r>
        <w:rPr>
          <w:rFonts w:ascii="Arial" w:hAnsi="Arial" w:cs="Arial"/>
          <w:sz w:val="20"/>
          <w:szCs w:val="20"/>
        </w:rPr>
        <w:t>}</w:t>
      </w:r>
      <w:r w:rsidRPr="0081144B">
        <w:rPr>
          <w:rFonts w:ascii="Arial" w:hAnsi="Arial" w:cs="Arial"/>
          <w:sz w:val="20"/>
          <w:szCs w:val="20"/>
        </w:rPr>
        <w:t xml:space="preserve">, the prosecution of a claim by Hany, the alter ego of </w:t>
      </w:r>
      <w:proofErr w:type="spellStart"/>
      <w:r w:rsidRPr="0081144B">
        <w:rPr>
          <w:rFonts w:ascii="Arial" w:hAnsi="Arial" w:cs="Arial"/>
          <w:sz w:val="20"/>
          <w:szCs w:val="20"/>
        </w:rPr>
        <w:t>Rhagodia</w:t>
      </w:r>
      <w:proofErr w:type="spellEnd"/>
      <w:r w:rsidRPr="0081144B">
        <w:rPr>
          <w:rFonts w:ascii="Arial" w:hAnsi="Arial" w:cs="Arial"/>
          <w:sz w:val="20"/>
          <w:szCs w:val="20"/>
        </w:rPr>
        <w:t xml:space="preserve">, on a materially inconsistent basis to a claim already advanced and resolved by </w:t>
      </w:r>
      <w:proofErr w:type="spellStart"/>
      <w:r w:rsidRPr="0081144B">
        <w:rPr>
          <w:rFonts w:ascii="Arial" w:hAnsi="Arial" w:cs="Arial"/>
          <w:sz w:val="20"/>
          <w:szCs w:val="20"/>
        </w:rPr>
        <w:t>Rhagodia</w:t>
      </w:r>
      <w:proofErr w:type="spellEnd"/>
      <w:r w:rsidRPr="0081144B">
        <w:rPr>
          <w:rFonts w:ascii="Arial" w:hAnsi="Arial" w:cs="Arial"/>
          <w:sz w:val="20"/>
          <w:szCs w:val="20"/>
        </w:rPr>
        <w:t xml:space="preserve"> in an earlier proceeding, constitutes an abuse of the processes of the Court. To permit the New Claim to continue would bring the administration of justice into disrepute and offend against considerations of finality</w:t>
      </w:r>
      <w:r>
        <w:rPr>
          <w:rFonts w:ascii="Arial" w:hAnsi="Arial" w:cs="Arial"/>
          <w:sz w:val="20"/>
          <w:szCs w:val="20"/>
        </w:rPr>
        <w:t xml:space="preserve"> {UBS 127 [136] </w:t>
      </w:r>
      <w:r w:rsidRPr="0081144B">
        <w:rPr>
          <w:rFonts w:ascii="Arial" w:hAnsi="Arial" w:cs="Arial"/>
          <w:sz w:val="20"/>
          <w:szCs w:val="20"/>
        </w:rPr>
        <w:t xml:space="preserve">citing </w:t>
      </w:r>
      <w:r w:rsidRPr="0081144B">
        <w:rPr>
          <w:rFonts w:ascii="Arial" w:hAnsi="Arial" w:cs="Arial"/>
          <w:i/>
          <w:iCs/>
          <w:sz w:val="20"/>
          <w:szCs w:val="20"/>
        </w:rPr>
        <w:t xml:space="preserve">Tomlinson v Ramsey Food Processing Pty Ltd </w:t>
      </w:r>
      <w:r w:rsidRPr="0081144B">
        <w:rPr>
          <w:rFonts w:ascii="Arial" w:hAnsi="Arial" w:cs="Arial"/>
          <w:sz w:val="20"/>
          <w:szCs w:val="20"/>
        </w:rPr>
        <w:t xml:space="preserve">(2015) 256 CLR 507, 518 [24], </w:t>
      </w:r>
      <w:r w:rsidRPr="0081144B">
        <w:rPr>
          <w:rFonts w:ascii="Arial" w:hAnsi="Arial" w:cs="Arial"/>
          <w:i/>
          <w:iCs/>
          <w:sz w:val="20"/>
          <w:szCs w:val="20"/>
        </w:rPr>
        <w:t>Aon Risk Services Australia Ltd v Australian National University</w:t>
      </w:r>
      <w:r w:rsidRPr="0081144B">
        <w:rPr>
          <w:rFonts w:ascii="Arial" w:hAnsi="Arial" w:cs="Arial"/>
          <w:sz w:val="20"/>
          <w:szCs w:val="20"/>
        </w:rPr>
        <w:t xml:space="preserve"> (2009) 239 CLR 175, 194 [34] and </w:t>
      </w:r>
      <w:r w:rsidRPr="0081144B">
        <w:rPr>
          <w:rFonts w:ascii="Arial" w:hAnsi="Arial" w:cs="Arial"/>
          <w:i/>
          <w:iCs/>
          <w:sz w:val="20"/>
          <w:szCs w:val="20"/>
        </w:rPr>
        <w:t>Johnson</w:t>
      </w:r>
      <w:r w:rsidRPr="0081144B">
        <w:rPr>
          <w:rFonts w:ascii="Arial" w:hAnsi="Arial" w:cs="Arial"/>
          <w:sz w:val="20"/>
          <w:szCs w:val="20"/>
        </w:rPr>
        <w:t xml:space="preserve"> 31</w:t>
      </w:r>
      <w:r>
        <w:rPr>
          <w:rFonts w:ascii="Arial" w:hAnsi="Arial" w:cs="Arial"/>
          <w:sz w:val="20"/>
          <w:szCs w:val="20"/>
        </w:rPr>
        <w:t>}</w:t>
      </w:r>
      <w:r w:rsidRPr="0081144B">
        <w:rPr>
          <w:rFonts w:ascii="Arial" w:hAnsi="Arial" w:cs="Arial"/>
          <w:sz w:val="20"/>
          <w:szCs w:val="20"/>
        </w:rPr>
        <w:t>, fairness</w:t>
      </w:r>
      <w:r>
        <w:rPr>
          <w:rFonts w:ascii="Arial" w:hAnsi="Arial" w:cs="Arial"/>
          <w:sz w:val="20"/>
          <w:szCs w:val="20"/>
        </w:rPr>
        <w:t xml:space="preserve"> {</w:t>
      </w:r>
      <w:r w:rsidRPr="0081144B">
        <w:rPr>
          <w:rFonts w:ascii="Arial" w:hAnsi="Arial" w:cs="Arial"/>
          <w:i/>
          <w:iCs/>
          <w:sz w:val="20"/>
          <w:szCs w:val="20"/>
        </w:rPr>
        <w:t>UBS</w:t>
      </w:r>
      <w:r w:rsidRPr="0081144B">
        <w:rPr>
          <w:rFonts w:ascii="Arial" w:hAnsi="Arial" w:cs="Arial"/>
          <w:sz w:val="20"/>
          <w:szCs w:val="20"/>
        </w:rPr>
        <w:t xml:space="preserve"> 127 [136] citing </w:t>
      </w:r>
      <w:r w:rsidRPr="0081144B">
        <w:rPr>
          <w:rFonts w:ascii="Arial" w:hAnsi="Arial" w:cs="Arial"/>
          <w:i/>
          <w:iCs/>
          <w:sz w:val="20"/>
          <w:szCs w:val="20"/>
        </w:rPr>
        <w:t>Walton v Gardiner</w:t>
      </w:r>
      <w:r w:rsidRPr="0081144B">
        <w:rPr>
          <w:rFonts w:ascii="Arial" w:hAnsi="Arial" w:cs="Arial"/>
          <w:sz w:val="20"/>
          <w:szCs w:val="20"/>
        </w:rPr>
        <w:t xml:space="preserve"> (1993) 177 CLR 378, 393, </w:t>
      </w:r>
      <w:r w:rsidRPr="0081144B">
        <w:rPr>
          <w:rFonts w:ascii="Arial" w:hAnsi="Arial" w:cs="Arial"/>
          <w:i/>
          <w:iCs/>
          <w:sz w:val="20"/>
          <w:szCs w:val="20"/>
        </w:rPr>
        <w:t>Tomlinson</w:t>
      </w:r>
      <w:r w:rsidRPr="0081144B">
        <w:rPr>
          <w:rFonts w:ascii="Arial" w:hAnsi="Arial" w:cs="Arial"/>
          <w:sz w:val="20"/>
          <w:szCs w:val="20"/>
        </w:rPr>
        <w:t xml:space="preserve"> 518 [24] and </w:t>
      </w:r>
      <w:proofErr w:type="spellStart"/>
      <w:r w:rsidRPr="0081144B">
        <w:rPr>
          <w:rFonts w:ascii="Arial" w:hAnsi="Arial" w:cs="Arial"/>
          <w:i/>
          <w:iCs/>
          <w:sz w:val="20"/>
          <w:szCs w:val="20"/>
        </w:rPr>
        <w:t>Rozenblit</w:t>
      </w:r>
      <w:proofErr w:type="spellEnd"/>
      <w:r w:rsidRPr="0081144B">
        <w:rPr>
          <w:rFonts w:ascii="Arial" w:hAnsi="Arial" w:cs="Arial"/>
          <w:i/>
          <w:iCs/>
          <w:sz w:val="20"/>
          <w:szCs w:val="20"/>
        </w:rPr>
        <w:t xml:space="preserve"> v Vainer </w:t>
      </w:r>
      <w:r w:rsidRPr="0081144B">
        <w:rPr>
          <w:rFonts w:ascii="Arial" w:hAnsi="Arial" w:cs="Arial"/>
          <w:sz w:val="20"/>
          <w:szCs w:val="20"/>
        </w:rPr>
        <w:t>(2018) 262 CLR 478, 498 [66]</w:t>
      </w:r>
      <w:r>
        <w:rPr>
          <w:rFonts w:ascii="Arial" w:hAnsi="Arial" w:cs="Arial"/>
          <w:sz w:val="20"/>
          <w:szCs w:val="20"/>
        </w:rPr>
        <w:t xml:space="preserve">} </w:t>
      </w:r>
      <w:r w:rsidRPr="0081144B">
        <w:rPr>
          <w:rFonts w:ascii="Arial" w:hAnsi="Arial" w:cs="Arial"/>
          <w:sz w:val="20"/>
          <w:szCs w:val="20"/>
        </w:rPr>
        <w:t>and the maintenance of public confidence in the administration of justice</w:t>
      </w:r>
      <w:r>
        <w:rPr>
          <w:rFonts w:ascii="Arial" w:hAnsi="Arial" w:cs="Arial"/>
          <w:sz w:val="20"/>
          <w:szCs w:val="20"/>
        </w:rPr>
        <w:t xml:space="preserve"> {</w:t>
      </w:r>
      <w:r w:rsidRPr="0081144B">
        <w:rPr>
          <w:rFonts w:ascii="Arial" w:hAnsi="Arial" w:cs="Arial"/>
          <w:i/>
          <w:iCs/>
          <w:sz w:val="20"/>
          <w:szCs w:val="20"/>
        </w:rPr>
        <w:t>UBS</w:t>
      </w:r>
      <w:r w:rsidRPr="0081144B">
        <w:rPr>
          <w:rFonts w:ascii="Arial" w:hAnsi="Arial" w:cs="Arial"/>
          <w:sz w:val="20"/>
          <w:szCs w:val="20"/>
        </w:rPr>
        <w:t xml:space="preserve"> 127 [136] (Gordon J) citing </w:t>
      </w:r>
      <w:proofErr w:type="spellStart"/>
      <w:r w:rsidRPr="0081144B">
        <w:rPr>
          <w:rFonts w:ascii="Arial" w:hAnsi="Arial" w:cs="Arial"/>
          <w:i/>
          <w:iCs/>
          <w:sz w:val="20"/>
          <w:szCs w:val="20"/>
        </w:rPr>
        <w:t>Batistatos</w:t>
      </w:r>
      <w:proofErr w:type="spellEnd"/>
      <w:r w:rsidRPr="0081144B">
        <w:rPr>
          <w:rFonts w:ascii="Arial" w:hAnsi="Arial" w:cs="Arial"/>
          <w:i/>
          <w:iCs/>
          <w:sz w:val="20"/>
          <w:szCs w:val="20"/>
        </w:rPr>
        <w:t xml:space="preserve"> v Roads &amp; Traffic Authority of New South Wales</w:t>
      </w:r>
      <w:r w:rsidRPr="0081144B">
        <w:rPr>
          <w:rFonts w:ascii="Arial" w:hAnsi="Arial" w:cs="Arial"/>
          <w:sz w:val="20"/>
          <w:szCs w:val="20"/>
        </w:rPr>
        <w:t xml:space="preserve"> (2006) 226 CLR 256, 267 [14] and </w:t>
      </w:r>
      <w:r w:rsidRPr="0081144B">
        <w:rPr>
          <w:rFonts w:ascii="Arial" w:hAnsi="Arial" w:cs="Arial"/>
          <w:i/>
          <w:iCs/>
          <w:sz w:val="20"/>
          <w:szCs w:val="20"/>
        </w:rPr>
        <w:t>Walton</w:t>
      </w:r>
      <w:r w:rsidRPr="0081144B">
        <w:rPr>
          <w:rFonts w:ascii="Arial" w:hAnsi="Arial" w:cs="Arial"/>
          <w:sz w:val="20"/>
          <w:szCs w:val="20"/>
        </w:rPr>
        <w:t xml:space="preserve"> 378, 393-94 and the authorities cited therein</w:t>
      </w:r>
      <w:r>
        <w:rPr>
          <w:rFonts w:ascii="Arial" w:hAnsi="Arial" w:cs="Arial"/>
          <w:sz w:val="20"/>
          <w:szCs w:val="20"/>
        </w:rPr>
        <w:t>}</w:t>
      </w:r>
      <w:r w:rsidRPr="0081144B">
        <w:rPr>
          <w:rFonts w:ascii="Arial" w:hAnsi="Arial" w:cs="Arial"/>
          <w:sz w:val="20"/>
          <w:szCs w:val="20"/>
        </w:rPr>
        <w:t>. Accordingly, for the reasons which follow, the New Claim must be permanently stayed.</w:t>
      </w:r>
      <w:r>
        <w:rPr>
          <w:rFonts w:ascii="Arial" w:hAnsi="Arial" w:cs="Arial"/>
          <w:sz w:val="20"/>
          <w:szCs w:val="20"/>
        </w:rPr>
        <w:t>”</w:t>
      </w:r>
    </w:p>
    <w:p w14:paraId="61054EF0" w14:textId="77777777" w:rsidR="0081144B" w:rsidRDefault="0081144B" w:rsidP="000C5E27">
      <w:pPr>
        <w:jc w:val="both"/>
        <w:rPr>
          <w:rFonts w:ascii="Arial" w:hAnsi="Arial" w:cs="Arial"/>
          <w:sz w:val="20"/>
          <w:szCs w:val="20"/>
        </w:rPr>
      </w:pPr>
    </w:p>
    <w:p w14:paraId="2D264190" w14:textId="25888699" w:rsidR="000C5E27" w:rsidRPr="001C6E0E" w:rsidRDefault="000C5E27" w:rsidP="000C5E27">
      <w:pPr>
        <w:pStyle w:val="Heading3"/>
        <w:keepNext/>
        <w:keepLines/>
        <w:widowControl/>
        <w:spacing w:after="120" w:line="240" w:lineRule="auto"/>
        <w:ind w:left="284" w:hanging="284"/>
        <w:rPr>
          <w:rFonts w:ascii="Arial" w:hAnsi="Arial" w:cs="Arial"/>
          <w:b/>
          <w:bCs/>
          <w:color w:val="000000"/>
          <w:sz w:val="20"/>
        </w:rPr>
      </w:pPr>
      <w:bookmarkStart w:id="235" w:name="_A_CASES_WHERE"/>
      <w:bookmarkEnd w:id="235"/>
      <w:r>
        <w:rPr>
          <w:rFonts w:ascii="Arial" w:hAnsi="Arial" w:cs="Arial"/>
          <w:b/>
          <w:color w:val="FFFFFF"/>
          <w:sz w:val="22"/>
          <w:shd w:val="clear" w:color="auto" w:fill="000000"/>
        </w:rPr>
        <w:t>A</w:t>
      </w:r>
      <w:r>
        <w:rPr>
          <w:rFonts w:ascii="Arial" w:hAnsi="Arial" w:cs="Arial"/>
          <w:b/>
          <w:color w:val="000000"/>
          <w:sz w:val="22"/>
        </w:rPr>
        <w:tab/>
      </w:r>
      <w:r w:rsidR="0088366C">
        <w:rPr>
          <w:rFonts w:ascii="Arial" w:hAnsi="Arial" w:cs="Arial"/>
          <w:b/>
          <w:bCs/>
          <w:color w:val="FFFFFF" w:themeColor="background1"/>
          <w:sz w:val="20"/>
          <w:shd w:val="clear" w:color="auto" w:fill="000000" w:themeFill="text1"/>
        </w:rPr>
        <w:t xml:space="preserve">CASES WHERE ALLEGED ABUSE INVOLVED </w:t>
      </w:r>
      <w:r w:rsidR="00F1220F">
        <w:rPr>
          <w:rFonts w:ascii="Arial" w:hAnsi="Arial" w:cs="Arial"/>
          <w:b/>
          <w:bCs/>
          <w:color w:val="FFFFFF" w:themeColor="background1"/>
          <w:sz w:val="20"/>
          <w:shd w:val="clear" w:color="auto" w:fill="000000" w:themeFill="text1"/>
        </w:rPr>
        <w:t>CONDUCT BY</w:t>
      </w:r>
      <w:r w:rsidR="0088366C">
        <w:rPr>
          <w:rFonts w:ascii="Arial" w:hAnsi="Arial" w:cs="Arial"/>
          <w:b/>
          <w:bCs/>
          <w:color w:val="FFFFFF" w:themeColor="background1"/>
          <w:sz w:val="20"/>
          <w:shd w:val="clear" w:color="auto" w:fill="000000" w:themeFill="text1"/>
        </w:rPr>
        <w:t xml:space="preserve"> LEGAL REPRESENTATIVES</w:t>
      </w:r>
    </w:p>
    <w:p w14:paraId="2FADF580" w14:textId="34DA5926" w:rsidR="000C5E27" w:rsidRDefault="000C5E27" w:rsidP="000C5E27">
      <w:pPr>
        <w:jc w:val="both"/>
        <w:rPr>
          <w:rFonts w:ascii="Arial" w:hAnsi="Arial" w:cs="Arial"/>
          <w:color w:val="000000"/>
          <w:sz w:val="20"/>
        </w:rPr>
      </w:pPr>
      <w:r>
        <w:rPr>
          <w:rFonts w:ascii="Arial" w:hAnsi="Arial" w:cs="Arial"/>
          <w:color w:val="000000"/>
          <w:sz w:val="20"/>
        </w:rPr>
        <w:t xml:space="preserve">In </w:t>
      </w:r>
      <w:r w:rsidR="0088366C" w:rsidRPr="0088366C">
        <w:rPr>
          <w:rFonts w:ascii="Arial" w:hAnsi="Arial" w:cs="Arial"/>
          <w:i/>
          <w:iCs/>
          <w:sz w:val="20"/>
          <w:szCs w:val="20"/>
        </w:rPr>
        <w:t>Hemingway v Kennedy</w:t>
      </w:r>
      <w:r w:rsidR="0088366C">
        <w:rPr>
          <w:rFonts w:ascii="Arial" w:hAnsi="Arial" w:cs="Arial"/>
          <w:sz w:val="20"/>
          <w:szCs w:val="20"/>
        </w:rPr>
        <w:t xml:space="preserve"> [2026] VSC 51 – a case </w:t>
      </w:r>
      <w:r w:rsidR="006F3910">
        <w:rPr>
          <w:rFonts w:ascii="Arial" w:hAnsi="Arial" w:cs="Arial"/>
          <w:sz w:val="20"/>
          <w:szCs w:val="20"/>
        </w:rPr>
        <w:t xml:space="preserve">in which </w:t>
      </w:r>
      <w:r w:rsidR="0088366C">
        <w:rPr>
          <w:rFonts w:ascii="Arial" w:hAnsi="Arial" w:cs="Arial"/>
          <w:sz w:val="20"/>
          <w:szCs w:val="20"/>
        </w:rPr>
        <w:t xml:space="preserve">the </w:t>
      </w:r>
      <w:r w:rsidR="0088366C" w:rsidRPr="000C5E27">
        <w:rPr>
          <w:rFonts w:ascii="Arial" w:hAnsi="Arial" w:cs="Arial"/>
          <w:sz w:val="20"/>
          <w:szCs w:val="20"/>
        </w:rPr>
        <w:t>plaintiff advance</w:t>
      </w:r>
      <w:r w:rsidR="0088366C">
        <w:rPr>
          <w:rFonts w:ascii="Arial" w:hAnsi="Arial" w:cs="Arial"/>
          <w:sz w:val="20"/>
          <w:szCs w:val="20"/>
        </w:rPr>
        <w:t>d</w:t>
      </w:r>
      <w:r w:rsidR="0088366C" w:rsidRPr="000C5E27">
        <w:rPr>
          <w:rFonts w:ascii="Arial" w:hAnsi="Arial" w:cs="Arial"/>
          <w:sz w:val="20"/>
          <w:szCs w:val="20"/>
        </w:rPr>
        <w:t xml:space="preserve"> a claim of negligence and a claim of conspiracy by unlawful means between the defendants</w:t>
      </w:r>
      <w:r w:rsidR="0088366C">
        <w:rPr>
          <w:rFonts w:ascii="Arial" w:hAnsi="Arial" w:cs="Arial"/>
          <w:sz w:val="20"/>
          <w:szCs w:val="20"/>
        </w:rPr>
        <w:t xml:space="preserve"> –</w:t>
      </w:r>
      <w:r w:rsidR="0088366C" w:rsidRPr="000C5E27">
        <w:rPr>
          <w:rFonts w:ascii="Arial" w:hAnsi="Arial" w:cs="Arial"/>
          <w:sz w:val="20"/>
          <w:szCs w:val="20"/>
        </w:rPr>
        <w:t xml:space="preserve"> </w:t>
      </w:r>
      <w:r w:rsidR="0088366C">
        <w:rPr>
          <w:rFonts w:ascii="Arial" w:hAnsi="Arial" w:cs="Arial"/>
          <w:sz w:val="20"/>
          <w:szCs w:val="20"/>
        </w:rPr>
        <w:t xml:space="preserve">Moore J made orders restraining </w:t>
      </w:r>
      <w:r w:rsidR="0088366C">
        <w:rPr>
          <w:rFonts w:ascii="Arial" w:hAnsi="Arial" w:cs="Arial"/>
          <w:sz w:val="20"/>
          <w:szCs w:val="20"/>
        </w:rPr>
        <w:lastRenderedPageBreak/>
        <w:t xml:space="preserve">solicitors from a single firm from continuing to act for both defendants on the grounds that their continued involvement </w:t>
      </w:r>
      <w:r w:rsidR="0088366C" w:rsidRPr="000C5E27">
        <w:rPr>
          <w:rFonts w:ascii="Arial" w:hAnsi="Arial" w:cs="Arial"/>
          <w:sz w:val="20"/>
          <w:szCs w:val="20"/>
        </w:rPr>
        <w:t>pose</w:t>
      </w:r>
      <w:r w:rsidR="0088366C">
        <w:rPr>
          <w:rFonts w:ascii="Arial" w:hAnsi="Arial" w:cs="Arial"/>
          <w:sz w:val="20"/>
          <w:szCs w:val="20"/>
        </w:rPr>
        <w:t>d</w:t>
      </w:r>
      <w:r w:rsidR="0088366C" w:rsidRPr="000C5E27">
        <w:rPr>
          <w:rFonts w:ascii="Arial" w:hAnsi="Arial" w:cs="Arial"/>
          <w:sz w:val="20"/>
          <w:szCs w:val="20"/>
        </w:rPr>
        <w:t xml:space="preserve"> a real risk to the integrity of the judicial process and the administration of justic</w:t>
      </w:r>
      <w:r w:rsidR="0088366C">
        <w:rPr>
          <w:rFonts w:ascii="Arial" w:hAnsi="Arial" w:cs="Arial"/>
          <w:sz w:val="20"/>
          <w:szCs w:val="20"/>
        </w:rPr>
        <w:t>e.</w:t>
      </w:r>
      <w:r w:rsidR="00F1220F">
        <w:rPr>
          <w:rFonts w:ascii="Arial" w:hAnsi="Arial" w:cs="Arial"/>
          <w:sz w:val="20"/>
          <w:szCs w:val="20"/>
        </w:rPr>
        <w:t xml:space="preserve"> At [1]-[</w:t>
      </w:r>
      <w:r w:rsidR="001A3C02">
        <w:rPr>
          <w:rFonts w:ascii="Arial" w:hAnsi="Arial" w:cs="Arial"/>
          <w:sz w:val="20"/>
          <w:szCs w:val="20"/>
        </w:rPr>
        <w:t>3</w:t>
      </w:r>
      <w:r w:rsidR="00F1220F">
        <w:rPr>
          <w:rFonts w:ascii="Arial" w:hAnsi="Arial" w:cs="Arial"/>
          <w:sz w:val="20"/>
          <w:szCs w:val="20"/>
        </w:rPr>
        <w:t>] his Honour said:</w:t>
      </w:r>
    </w:p>
    <w:p w14:paraId="22CC5BAC" w14:textId="5E3F8649" w:rsidR="00F1220F" w:rsidRDefault="00F1220F" w:rsidP="00F1220F">
      <w:pPr>
        <w:spacing w:before="60"/>
        <w:ind w:left="454" w:right="454"/>
        <w:jc w:val="both"/>
        <w:rPr>
          <w:rFonts w:ascii="Arial" w:hAnsi="Arial" w:cs="Arial"/>
          <w:sz w:val="20"/>
          <w:szCs w:val="20"/>
        </w:rPr>
      </w:pPr>
      <w:r>
        <w:rPr>
          <w:rFonts w:ascii="Arial" w:hAnsi="Arial" w:cs="Arial"/>
          <w:sz w:val="20"/>
          <w:szCs w:val="20"/>
        </w:rPr>
        <w:t>[</w:t>
      </w:r>
      <w:r w:rsidRPr="000C5E27">
        <w:rPr>
          <w:rFonts w:ascii="Arial" w:hAnsi="Arial" w:cs="Arial"/>
          <w:sz w:val="20"/>
          <w:szCs w:val="20"/>
        </w:rPr>
        <w:t>1</w:t>
      </w:r>
      <w:r>
        <w:rPr>
          <w:rFonts w:ascii="Arial" w:hAnsi="Arial" w:cs="Arial"/>
          <w:sz w:val="20"/>
          <w:szCs w:val="20"/>
        </w:rPr>
        <w:t>]</w:t>
      </w:r>
      <w:r w:rsidRPr="000C5E27">
        <w:rPr>
          <w:rFonts w:ascii="Arial" w:hAnsi="Arial" w:cs="Arial"/>
          <w:sz w:val="20"/>
          <w:szCs w:val="20"/>
        </w:rPr>
        <w:t xml:space="preserve"> </w:t>
      </w:r>
      <w:r>
        <w:rPr>
          <w:rFonts w:ascii="Arial" w:hAnsi="Arial" w:cs="Arial"/>
          <w:sz w:val="20"/>
          <w:szCs w:val="20"/>
        </w:rPr>
        <w:t>“</w:t>
      </w:r>
      <w:r w:rsidRPr="000C5E27">
        <w:rPr>
          <w:rFonts w:ascii="Arial" w:hAnsi="Arial" w:cs="Arial"/>
          <w:sz w:val="20"/>
          <w:szCs w:val="20"/>
        </w:rPr>
        <w:t>The Court’s inherent jurisdiction to restrain solicitors from acting in a proceeding is exceptional and is to be exercised with caution</w:t>
      </w:r>
      <w:r>
        <w:rPr>
          <w:rFonts w:ascii="Arial" w:hAnsi="Arial" w:cs="Arial"/>
          <w:sz w:val="20"/>
          <w:szCs w:val="20"/>
        </w:rPr>
        <w:t xml:space="preserve">: </w:t>
      </w:r>
      <w:proofErr w:type="spellStart"/>
      <w:r w:rsidRPr="00F1220F">
        <w:rPr>
          <w:rFonts w:ascii="Arial" w:hAnsi="Arial" w:cs="Arial"/>
          <w:i/>
          <w:iCs/>
          <w:sz w:val="20"/>
          <w:szCs w:val="20"/>
        </w:rPr>
        <w:t>Kallinicos</w:t>
      </w:r>
      <w:proofErr w:type="spellEnd"/>
      <w:r w:rsidRPr="00F1220F">
        <w:rPr>
          <w:rFonts w:ascii="Arial" w:hAnsi="Arial" w:cs="Arial"/>
          <w:i/>
          <w:iCs/>
          <w:sz w:val="20"/>
          <w:szCs w:val="20"/>
        </w:rPr>
        <w:t xml:space="preserve"> v Hunt</w:t>
      </w:r>
      <w:r w:rsidRPr="000C5E27">
        <w:rPr>
          <w:rFonts w:ascii="Arial" w:hAnsi="Arial" w:cs="Arial"/>
          <w:sz w:val="20"/>
          <w:szCs w:val="20"/>
        </w:rPr>
        <w:t xml:space="preserve"> </w:t>
      </w:r>
      <w:r w:rsidR="00A53D9C">
        <w:rPr>
          <w:rFonts w:ascii="Arial" w:hAnsi="Arial" w:cs="Arial"/>
          <w:sz w:val="20"/>
          <w:szCs w:val="20"/>
        </w:rPr>
        <w:t>(</w:t>
      </w:r>
      <w:r w:rsidRPr="000C5E27">
        <w:rPr>
          <w:rFonts w:ascii="Arial" w:hAnsi="Arial" w:cs="Arial"/>
          <w:sz w:val="20"/>
          <w:szCs w:val="20"/>
        </w:rPr>
        <w:t>2005</w:t>
      </w:r>
      <w:r w:rsidR="00A53D9C">
        <w:rPr>
          <w:rFonts w:ascii="Arial" w:hAnsi="Arial" w:cs="Arial"/>
          <w:sz w:val="20"/>
          <w:szCs w:val="20"/>
        </w:rPr>
        <w:t>)</w:t>
      </w:r>
      <w:r w:rsidRPr="000C5E27">
        <w:rPr>
          <w:rFonts w:ascii="Arial" w:hAnsi="Arial" w:cs="Arial"/>
          <w:sz w:val="20"/>
          <w:szCs w:val="20"/>
        </w:rPr>
        <w:t xml:space="preserve"> 64 NSWLR 561 [76],</w:t>
      </w:r>
      <w:r>
        <w:rPr>
          <w:rFonts w:ascii="Arial" w:hAnsi="Arial" w:cs="Arial"/>
          <w:sz w:val="20"/>
          <w:szCs w:val="20"/>
        </w:rPr>
        <w:t xml:space="preserve"> </w:t>
      </w:r>
      <w:r w:rsidRPr="000C5E27">
        <w:rPr>
          <w:rFonts w:ascii="Arial" w:hAnsi="Arial" w:cs="Arial"/>
          <w:sz w:val="20"/>
          <w:szCs w:val="20"/>
        </w:rPr>
        <w:t>[92].</w:t>
      </w:r>
      <w:r>
        <w:rPr>
          <w:rFonts w:ascii="Arial" w:hAnsi="Arial" w:cs="Arial"/>
          <w:sz w:val="20"/>
          <w:szCs w:val="20"/>
        </w:rPr>
        <w:t xml:space="preserve"> </w:t>
      </w:r>
      <w:r w:rsidRPr="000C5E27">
        <w:rPr>
          <w:rFonts w:ascii="Arial" w:hAnsi="Arial" w:cs="Arial"/>
          <w:sz w:val="20"/>
          <w:szCs w:val="20"/>
        </w:rPr>
        <w:t xml:space="preserve">The novel circumstances of this proceeding in which allegations of a quasi-criminal character are raised warrant the exercise of the jurisdiction so as to protect the integrity of the judicial process and the administration of justice, both as a matter of substance and appearance. </w:t>
      </w:r>
    </w:p>
    <w:p w14:paraId="038364E2" w14:textId="1B0F6214" w:rsidR="00F1220F" w:rsidRDefault="00F1220F" w:rsidP="00F1220F">
      <w:pPr>
        <w:spacing w:before="60"/>
        <w:ind w:left="454" w:right="454"/>
        <w:jc w:val="both"/>
        <w:rPr>
          <w:rFonts w:ascii="Arial" w:hAnsi="Arial" w:cs="Arial"/>
          <w:sz w:val="20"/>
          <w:szCs w:val="20"/>
        </w:rPr>
      </w:pPr>
      <w:r>
        <w:rPr>
          <w:rFonts w:ascii="Arial" w:hAnsi="Arial" w:cs="Arial"/>
          <w:sz w:val="20"/>
          <w:szCs w:val="20"/>
        </w:rPr>
        <w:t>[</w:t>
      </w:r>
      <w:r w:rsidRPr="000C5E27">
        <w:rPr>
          <w:rFonts w:ascii="Arial" w:hAnsi="Arial" w:cs="Arial"/>
          <w:sz w:val="20"/>
          <w:szCs w:val="20"/>
        </w:rPr>
        <w:t>2</w:t>
      </w:r>
      <w:r>
        <w:rPr>
          <w:rFonts w:ascii="Arial" w:hAnsi="Arial" w:cs="Arial"/>
          <w:sz w:val="20"/>
          <w:szCs w:val="20"/>
        </w:rPr>
        <w:t>]</w:t>
      </w:r>
      <w:r w:rsidRPr="000C5E27">
        <w:rPr>
          <w:rFonts w:ascii="Arial" w:hAnsi="Arial" w:cs="Arial"/>
          <w:sz w:val="20"/>
          <w:szCs w:val="20"/>
        </w:rPr>
        <w:t xml:space="preserve"> The relevant legal principles were stated by the Court of Appeal in </w:t>
      </w:r>
      <w:r w:rsidRPr="00F1220F">
        <w:rPr>
          <w:rFonts w:ascii="Arial" w:hAnsi="Arial" w:cs="Arial"/>
          <w:i/>
          <w:iCs/>
          <w:sz w:val="20"/>
          <w:szCs w:val="20"/>
        </w:rPr>
        <w:t>Miller v Martin</w:t>
      </w:r>
      <w:r>
        <w:rPr>
          <w:rFonts w:ascii="Arial" w:hAnsi="Arial" w:cs="Arial"/>
          <w:sz w:val="20"/>
          <w:szCs w:val="20"/>
        </w:rPr>
        <w:t xml:space="preserve"> </w:t>
      </w:r>
      <w:r w:rsidRPr="000C5E27">
        <w:rPr>
          <w:rFonts w:ascii="Arial" w:hAnsi="Arial" w:cs="Arial"/>
          <w:sz w:val="20"/>
          <w:szCs w:val="20"/>
        </w:rPr>
        <w:t>[2019] VSCA 86.</w:t>
      </w:r>
      <w:r>
        <w:rPr>
          <w:rFonts w:ascii="Arial" w:hAnsi="Arial" w:cs="Arial"/>
          <w:sz w:val="20"/>
          <w:szCs w:val="20"/>
        </w:rPr>
        <w:t xml:space="preserve"> </w:t>
      </w:r>
      <w:r w:rsidRPr="000C5E27">
        <w:rPr>
          <w:rFonts w:ascii="Arial" w:hAnsi="Arial" w:cs="Arial"/>
          <w:sz w:val="20"/>
          <w:szCs w:val="20"/>
        </w:rPr>
        <w:t>The Court observed that the circumstance which usually gives rise to an application to restrain a legal practitioner from acting for an opposing party in the proceeding is where the legal practitioner previously acted for the moving party, on the basis that their representation of the opposing party will involve the use by them of confidential information gained from their previous representation</w:t>
      </w:r>
      <w:r>
        <w:rPr>
          <w:rFonts w:ascii="Arial" w:hAnsi="Arial" w:cs="Arial"/>
          <w:sz w:val="20"/>
          <w:szCs w:val="20"/>
        </w:rPr>
        <w:t xml:space="preserve">: </w:t>
      </w:r>
      <w:r w:rsidRPr="000C5E27">
        <w:rPr>
          <w:rFonts w:ascii="Arial" w:hAnsi="Arial" w:cs="Arial"/>
          <w:sz w:val="20"/>
          <w:szCs w:val="20"/>
        </w:rPr>
        <w:t>Ibid [17].</w:t>
      </w:r>
      <w:r>
        <w:rPr>
          <w:rFonts w:ascii="Arial" w:hAnsi="Arial" w:cs="Arial"/>
          <w:sz w:val="20"/>
          <w:szCs w:val="20"/>
        </w:rPr>
        <w:t xml:space="preserve"> </w:t>
      </w:r>
      <w:r w:rsidRPr="000C5E27">
        <w:rPr>
          <w:rFonts w:ascii="Arial" w:hAnsi="Arial" w:cs="Arial"/>
          <w:sz w:val="20"/>
          <w:szCs w:val="20"/>
        </w:rPr>
        <w:t>The Court’s jurisdiction is not, however, confined to cases involving allegations of breach of confidence: Ibid [1</w:t>
      </w:r>
      <w:r>
        <w:rPr>
          <w:rFonts w:ascii="Arial" w:hAnsi="Arial" w:cs="Arial"/>
          <w:sz w:val="20"/>
          <w:szCs w:val="20"/>
        </w:rPr>
        <w:t>8</w:t>
      </w:r>
      <w:r w:rsidRPr="000C5E27">
        <w:rPr>
          <w:rFonts w:ascii="Arial" w:hAnsi="Arial" w:cs="Arial"/>
          <w:sz w:val="20"/>
          <w:szCs w:val="20"/>
        </w:rPr>
        <w:t xml:space="preserve">] </w:t>
      </w:r>
      <w:r w:rsidR="001A3C02">
        <w:rPr>
          <w:rFonts w:ascii="Arial" w:hAnsi="Arial" w:cs="Arial"/>
          <w:sz w:val="20"/>
          <w:szCs w:val="20"/>
        </w:rPr>
        <w:t>(citations omitted):</w:t>
      </w:r>
    </w:p>
    <w:p w14:paraId="7DBC2557" w14:textId="38326C49" w:rsidR="001A3C02" w:rsidRDefault="00F1220F" w:rsidP="001A3C02">
      <w:pPr>
        <w:spacing w:before="60"/>
        <w:ind w:left="907" w:right="907"/>
        <w:jc w:val="both"/>
        <w:rPr>
          <w:rFonts w:ascii="Arial" w:hAnsi="Arial" w:cs="Arial"/>
          <w:sz w:val="18"/>
          <w:szCs w:val="18"/>
        </w:rPr>
      </w:pPr>
      <w:r w:rsidRPr="001A3C02">
        <w:rPr>
          <w:rFonts w:ascii="Arial" w:hAnsi="Arial" w:cs="Arial"/>
          <w:sz w:val="18"/>
          <w:szCs w:val="18"/>
        </w:rPr>
        <w:t>The Court has a broad, inherent jurisdiction to control its officers and protect its processes. As part of this broad jurisdiction, the Court may restrain a legal practitioner from acting in a proceeding where the integrity of the judicial process would be impaired if the legal practitioner did not cease to act. Instances where this jurisdiction has been exercised include where the legal practitioner is likely to be a material witness, where there is a material conflict between the interests of the client and those of the legal practitioner concerning the litigation in question or where, for any other reason, the independence and objectivity of the legal practitioner would be unacceptably compromised.</w:t>
      </w:r>
    </w:p>
    <w:p w14:paraId="69893805" w14:textId="56203301" w:rsidR="001A3C02" w:rsidRDefault="001A3C02" w:rsidP="001A3C02">
      <w:pPr>
        <w:spacing w:before="60"/>
        <w:ind w:left="454" w:right="454"/>
        <w:jc w:val="both"/>
        <w:rPr>
          <w:rFonts w:ascii="Arial" w:hAnsi="Arial" w:cs="Arial"/>
          <w:sz w:val="20"/>
          <w:szCs w:val="20"/>
        </w:rPr>
      </w:pPr>
      <w:r>
        <w:rPr>
          <w:rFonts w:ascii="Arial" w:hAnsi="Arial" w:cs="Arial"/>
          <w:sz w:val="20"/>
          <w:szCs w:val="20"/>
        </w:rPr>
        <w:t>[</w:t>
      </w:r>
      <w:r w:rsidR="00F1220F" w:rsidRPr="000C5E27">
        <w:rPr>
          <w:rFonts w:ascii="Arial" w:hAnsi="Arial" w:cs="Arial"/>
          <w:sz w:val="20"/>
          <w:szCs w:val="20"/>
        </w:rPr>
        <w:t>3</w:t>
      </w:r>
      <w:r>
        <w:rPr>
          <w:rFonts w:ascii="Arial" w:hAnsi="Arial" w:cs="Arial"/>
          <w:sz w:val="20"/>
          <w:szCs w:val="20"/>
        </w:rPr>
        <w:t>]</w:t>
      </w:r>
      <w:r w:rsidR="00F1220F" w:rsidRPr="000C5E27">
        <w:rPr>
          <w:rFonts w:ascii="Arial" w:hAnsi="Arial" w:cs="Arial"/>
          <w:sz w:val="20"/>
          <w:szCs w:val="20"/>
        </w:rPr>
        <w:t xml:space="preserve"> </w:t>
      </w:r>
      <w:r>
        <w:rPr>
          <w:rFonts w:ascii="Arial" w:hAnsi="Arial" w:cs="Arial"/>
          <w:sz w:val="20"/>
          <w:szCs w:val="20"/>
        </w:rPr>
        <w:t>At [19] t</w:t>
      </w:r>
      <w:r w:rsidR="00F1220F" w:rsidRPr="000C5E27">
        <w:rPr>
          <w:rFonts w:ascii="Arial" w:hAnsi="Arial" w:cs="Arial"/>
          <w:sz w:val="20"/>
          <w:szCs w:val="20"/>
        </w:rPr>
        <w:t xml:space="preserve">he Court </w:t>
      </w:r>
      <w:r>
        <w:rPr>
          <w:rFonts w:ascii="Arial" w:hAnsi="Arial" w:cs="Arial"/>
          <w:sz w:val="20"/>
          <w:szCs w:val="20"/>
        </w:rPr>
        <w:t xml:space="preserve">[of Appeal] </w:t>
      </w:r>
      <w:r w:rsidR="00F1220F" w:rsidRPr="000C5E27">
        <w:rPr>
          <w:rFonts w:ascii="Arial" w:hAnsi="Arial" w:cs="Arial"/>
          <w:sz w:val="20"/>
          <w:szCs w:val="20"/>
        </w:rPr>
        <w:t xml:space="preserve">adopted the following summary of the applicable principles stated by Brereton J in </w:t>
      </w:r>
      <w:proofErr w:type="spellStart"/>
      <w:r w:rsidR="00F1220F" w:rsidRPr="001A3C02">
        <w:rPr>
          <w:rFonts w:ascii="Arial" w:hAnsi="Arial" w:cs="Arial"/>
          <w:i/>
          <w:iCs/>
          <w:sz w:val="20"/>
          <w:szCs w:val="20"/>
        </w:rPr>
        <w:t>Kallinicos</w:t>
      </w:r>
      <w:proofErr w:type="spellEnd"/>
      <w:r w:rsidR="00F1220F" w:rsidRPr="001A3C02">
        <w:rPr>
          <w:rFonts w:ascii="Arial" w:hAnsi="Arial" w:cs="Arial"/>
          <w:i/>
          <w:iCs/>
          <w:sz w:val="20"/>
          <w:szCs w:val="20"/>
        </w:rPr>
        <w:t xml:space="preserve"> v Hunt</w:t>
      </w:r>
      <w:r>
        <w:rPr>
          <w:rFonts w:ascii="Arial" w:hAnsi="Arial" w:cs="Arial"/>
          <w:i/>
          <w:iCs/>
          <w:sz w:val="20"/>
          <w:szCs w:val="20"/>
        </w:rPr>
        <w:t xml:space="preserve"> </w:t>
      </w:r>
      <w:r w:rsidRPr="001A3C02">
        <w:rPr>
          <w:rFonts w:ascii="Arial" w:hAnsi="Arial" w:cs="Arial"/>
          <w:sz w:val="20"/>
          <w:szCs w:val="20"/>
        </w:rPr>
        <w:t>at [76]:</w:t>
      </w:r>
    </w:p>
    <w:p w14:paraId="63E00940" w14:textId="77777777" w:rsidR="001A3C02" w:rsidRDefault="001A3C02" w:rsidP="001A3C02">
      <w:pPr>
        <w:spacing w:before="60"/>
        <w:ind w:left="907" w:right="907"/>
        <w:jc w:val="both"/>
        <w:rPr>
          <w:rFonts w:ascii="Arial" w:hAnsi="Arial" w:cs="Arial"/>
          <w:sz w:val="18"/>
          <w:szCs w:val="18"/>
        </w:rPr>
      </w:pPr>
      <w:r w:rsidRPr="001A3C02">
        <w:rPr>
          <w:rFonts w:ascii="Arial" w:hAnsi="Arial" w:cs="Arial"/>
          <w:sz w:val="18"/>
          <w:szCs w:val="18"/>
        </w:rPr>
        <w:t xml:space="preserve">[T]he court always has inherent jurisdiction to restrain solicitors from acting in a particular case, as an incident of its inherent jurisdiction over its officers and to control its process in aid of the administration of justice … </w:t>
      </w:r>
    </w:p>
    <w:p w14:paraId="46DF6FDB" w14:textId="77777777" w:rsidR="001A3C02" w:rsidRDefault="001A3C02" w:rsidP="001A3C02">
      <w:pPr>
        <w:spacing w:before="60"/>
        <w:ind w:left="907" w:right="907"/>
        <w:jc w:val="both"/>
        <w:rPr>
          <w:rFonts w:ascii="Arial" w:hAnsi="Arial" w:cs="Arial"/>
          <w:sz w:val="18"/>
          <w:szCs w:val="18"/>
        </w:rPr>
      </w:pPr>
      <w:r w:rsidRPr="001A3C02">
        <w:rPr>
          <w:rFonts w:ascii="Arial" w:hAnsi="Arial" w:cs="Arial"/>
          <w:sz w:val="18"/>
          <w:szCs w:val="18"/>
        </w:rPr>
        <w:t xml:space="preserve">The test to be applied in this inherent jurisdiction is whether a fair-minded, reasonably informed member of the public would conclude that the proper administration of justice requires that a legal practitioner should be prevented from acting, in the interests of the protection of the integrity of the judicial process and the due administration of justice, including the appearance of justice … </w:t>
      </w:r>
    </w:p>
    <w:p w14:paraId="2D6AE13F" w14:textId="77777777" w:rsidR="001A3C02" w:rsidRDefault="001A3C02" w:rsidP="001A3C02">
      <w:pPr>
        <w:spacing w:before="60"/>
        <w:ind w:left="907" w:right="907"/>
        <w:jc w:val="both"/>
        <w:rPr>
          <w:rFonts w:ascii="Arial" w:hAnsi="Arial" w:cs="Arial"/>
          <w:sz w:val="18"/>
          <w:szCs w:val="18"/>
        </w:rPr>
      </w:pPr>
      <w:r w:rsidRPr="001A3C02">
        <w:rPr>
          <w:rFonts w:ascii="Arial" w:hAnsi="Arial" w:cs="Arial"/>
          <w:sz w:val="18"/>
          <w:szCs w:val="18"/>
        </w:rPr>
        <w:t xml:space="preserve">The jurisdiction is to be regarded as exceptional and is to be exercised with caution … </w:t>
      </w:r>
    </w:p>
    <w:p w14:paraId="2DECA2C8" w14:textId="77777777" w:rsidR="001A3C02" w:rsidRDefault="001A3C02" w:rsidP="001A3C02">
      <w:pPr>
        <w:spacing w:before="60"/>
        <w:ind w:left="907" w:right="907"/>
        <w:jc w:val="both"/>
        <w:rPr>
          <w:rFonts w:ascii="Arial" w:hAnsi="Arial" w:cs="Arial"/>
          <w:sz w:val="18"/>
          <w:szCs w:val="18"/>
        </w:rPr>
      </w:pPr>
      <w:r w:rsidRPr="001A3C02">
        <w:rPr>
          <w:rFonts w:ascii="Arial" w:hAnsi="Arial" w:cs="Arial"/>
          <w:sz w:val="18"/>
          <w:szCs w:val="18"/>
        </w:rPr>
        <w:t xml:space="preserve">Due weight should be given to the public interest in a litigant not being deprived of the lawyer of his or her choice without due cause … </w:t>
      </w:r>
    </w:p>
    <w:p w14:paraId="6E4CD366" w14:textId="5D5A9847" w:rsidR="001A3C02" w:rsidRDefault="001A3C02" w:rsidP="001A3C02">
      <w:pPr>
        <w:spacing w:before="60"/>
        <w:ind w:left="907" w:right="907"/>
        <w:jc w:val="both"/>
        <w:rPr>
          <w:rFonts w:ascii="Arial" w:hAnsi="Arial" w:cs="Arial"/>
          <w:sz w:val="18"/>
          <w:szCs w:val="18"/>
        </w:rPr>
      </w:pPr>
      <w:r w:rsidRPr="001A3C02">
        <w:rPr>
          <w:rFonts w:ascii="Arial" w:hAnsi="Arial" w:cs="Arial"/>
          <w:sz w:val="18"/>
          <w:szCs w:val="18"/>
        </w:rPr>
        <w:t>The timing of the application may be relevant, in that the cost, inconvenience or impracticality of requiring lawyers to cease to act may provide a reason for refusing to grant relief</w:t>
      </w:r>
      <w:r w:rsidR="006F3910">
        <w:rPr>
          <w:rFonts w:ascii="Arial" w:hAnsi="Arial" w:cs="Arial"/>
          <w:sz w:val="18"/>
          <w:szCs w:val="18"/>
        </w:rPr>
        <w:t xml:space="preserve"> …”</w:t>
      </w:r>
    </w:p>
    <w:p w14:paraId="6B87A1A0" w14:textId="77777777" w:rsidR="001A3C02" w:rsidRDefault="001A3C02" w:rsidP="006F3910">
      <w:pPr>
        <w:jc w:val="both"/>
        <w:rPr>
          <w:rFonts w:ascii="Arial" w:hAnsi="Arial" w:cs="Arial"/>
          <w:sz w:val="20"/>
          <w:szCs w:val="20"/>
        </w:rPr>
      </w:pPr>
    </w:p>
    <w:p w14:paraId="583DCD89" w14:textId="77777777" w:rsidR="00A53D9C" w:rsidRDefault="00A53D9C" w:rsidP="00A53D9C">
      <w:pPr>
        <w:jc w:val="both"/>
        <w:rPr>
          <w:rFonts w:ascii="Arial" w:hAnsi="Arial" w:cs="Arial"/>
          <w:sz w:val="20"/>
          <w:szCs w:val="20"/>
        </w:rPr>
      </w:pPr>
      <w:r>
        <w:rPr>
          <w:rFonts w:ascii="Arial" w:hAnsi="Arial" w:cs="Arial"/>
          <w:sz w:val="20"/>
          <w:szCs w:val="20"/>
        </w:rPr>
        <w:t xml:space="preserve">In </w:t>
      </w:r>
      <w:r w:rsidRPr="00A53D9C">
        <w:rPr>
          <w:rFonts w:ascii="Arial" w:hAnsi="Arial" w:cs="Arial"/>
          <w:i/>
          <w:iCs/>
          <w:sz w:val="20"/>
          <w:szCs w:val="20"/>
        </w:rPr>
        <w:t>The Mother v Parade College &amp; Ors</w:t>
      </w:r>
      <w:r>
        <w:rPr>
          <w:rFonts w:ascii="Arial" w:hAnsi="Arial" w:cs="Arial"/>
          <w:sz w:val="20"/>
          <w:szCs w:val="20"/>
        </w:rPr>
        <w:t xml:space="preserve"> [2026] VSCA 40 at [19] Emerton P &amp; Lyons JA said, in dismissing the applicant’s application for an interim injunction restraining the respondents’ legal representatives:</w:t>
      </w:r>
    </w:p>
    <w:p w14:paraId="5602DAE8" w14:textId="77777777" w:rsidR="00A53D9C" w:rsidRDefault="00A53D9C" w:rsidP="00A53D9C">
      <w:pPr>
        <w:spacing w:before="60"/>
        <w:ind w:left="454" w:right="454"/>
        <w:jc w:val="both"/>
        <w:rPr>
          <w:rFonts w:ascii="Arial" w:hAnsi="Arial" w:cs="Arial"/>
          <w:sz w:val="20"/>
          <w:szCs w:val="20"/>
        </w:rPr>
      </w:pPr>
      <w:r>
        <w:rPr>
          <w:rFonts w:ascii="Arial" w:hAnsi="Arial" w:cs="Arial"/>
          <w:sz w:val="20"/>
          <w:szCs w:val="20"/>
        </w:rPr>
        <w:t>“</w:t>
      </w:r>
      <w:r w:rsidRPr="00A53D9C">
        <w:rPr>
          <w:rFonts w:ascii="Arial" w:hAnsi="Arial" w:cs="Arial"/>
          <w:sz w:val="20"/>
          <w:szCs w:val="20"/>
        </w:rPr>
        <w:t>Again, as a matter of legal principle, the Court’s inherent jurisdiction to restrain a solicitor from acting is discretionary. In exercising that discretion, the Court must take into account the prima facie right of a party to be represented by the lawyer of his or her choice, the inconvenience, cost and disruption which might be caused in requiring a party to change lawyers, and the exceptional nature of the Court’s jurisdiction</w:t>
      </w:r>
      <w:r>
        <w:rPr>
          <w:rFonts w:ascii="Arial" w:hAnsi="Arial" w:cs="Arial"/>
          <w:sz w:val="20"/>
          <w:szCs w:val="20"/>
        </w:rPr>
        <w:t xml:space="preserve">: </w:t>
      </w:r>
      <w:proofErr w:type="spellStart"/>
      <w:r w:rsidRPr="00A53D9C">
        <w:rPr>
          <w:rFonts w:ascii="Arial" w:hAnsi="Arial" w:cs="Arial"/>
          <w:i/>
          <w:iCs/>
          <w:sz w:val="20"/>
          <w:szCs w:val="20"/>
        </w:rPr>
        <w:t>Kallinicos</w:t>
      </w:r>
      <w:proofErr w:type="spellEnd"/>
      <w:r w:rsidRPr="00A53D9C">
        <w:rPr>
          <w:rFonts w:ascii="Arial" w:hAnsi="Arial" w:cs="Arial"/>
          <w:i/>
          <w:iCs/>
          <w:sz w:val="20"/>
          <w:szCs w:val="20"/>
        </w:rPr>
        <w:t xml:space="preserve"> v Hunt</w:t>
      </w:r>
      <w:r>
        <w:rPr>
          <w:rFonts w:ascii="Arial" w:hAnsi="Arial" w:cs="Arial"/>
          <w:sz w:val="20"/>
          <w:szCs w:val="20"/>
        </w:rPr>
        <w:t xml:space="preserve"> </w:t>
      </w:r>
      <w:r w:rsidRPr="00A53D9C">
        <w:rPr>
          <w:rFonts w:ascii="Arial" w:hAnsi="Arial" w:cs="Arial"/>
          <w:sz w:val="20"/>
          <w:szCs w:val="20"/>
        </w:rPr>
        <w:t>(2005) 64 NSWLR 561, 582–3 [76] (Brereton J); [2005] NSWSC 1181</w:t>
      </w:r>
      <w:r>
        <w:rPr>
          <w:rFonts w:ascii="Arial" w:hAnsi="Arial" w:cs="Arial"/>
          <w:sz w:val="20"/>
          <w:szCs w:val="20"/>
        </w:rPr>
        <w:t>.”</w:t>
      </w:r>
    </w:p>
    <w:p w14:paraId="10931D65" w14:textId="77777777" w:rsidR="00A53D9C" w:rsidRDefault="00A53D9C" w:rsidP="006F3910">
      <w:pPr>
        <w:jc w:val="both"/>
        <w:rPr>
          <w:rFonts w:ascii="Arial" w:hAnsi="Arial" w:cs="Arial"/>
          <w:sz w:val="20"/>
          <w:szCs w:val="20"/>
        </w:rPr>
      </w:pPr>
    </w:p>
    <w:p w14:paraId="5F66BAEA" w14:textId="6D8A114D" w:rsidR="006F3910" w:rsidRDefault="006F3910" w:rsidP="006F3910">
      <w:pPr>
        <w:jc w:val="both"/>
        <w:rPr>
          <w:rFonts w:ascii="Arial" w:hAnsi="Arial" w:cs="Arial"/>
          <w:sz w:val="20"/>
          <w:szCs w:val="20"/>
        </w:rPr>
      </w:pPr>
      <w:r>
        <w:rPr>
          <w:rFonts w:ascii="Arial" w:hAnsi="Arial" w:cs="Arial"/>
          <w:sz w:val="20"/>
          <w:szCs w:val="20"/>
        </w:rPr>
        <w:t>In</w:t>
      </w:r>
      <w:r w:rsidR="00665A8C">
        <w:rPr>
          <w:rFonts w:ascii="Arial" w:hAnsi="Arial" w:cs="Arial"/>
          <w:sz w:val="20"/>
          <w:szCs w:val="20"/>
        </w:rPr>
        <w:t xml:space="preserve"> the complex case of</w:t>
      </w:r>
      <w:r>
        <w:rPr>
          <w:rFonts w:ascii="Arial" w:hAnsi="Arial" w:cs="Arial"/>
          <w:sz w:val="20"/>
          <w:szCs w:val="20"/>
        </w:rPr>
        <w:t xml:space="preserve"> </w:t>
      </w:r>
      <w:r w:rsidR="00665A8C" w:rsidRPr="00665A8C">
        <w:rPr>
          <w:rFonts w:ascii="Arial" w:hAnsi="Arial" w:cs="Arial"/>
          <w:i/>
          <w:iCs/>
          <w:sz w:val="20"/>
          <w:szCs w:val="20"/>
        </w:rPr>
        <w:t>Lee v Yap</w:t>
      </w:r>
      <w:r w:rsidR="00665A8C">
        <w:rPr>
          <w:rFonts w:ascii="Arial" w:hAnsi="Arial" w:cs="Arial"/>
          <w:sz w:val="20"/>
          <w:szCs w:val="20"/>
        </w:rPr>
        <w:t xml:space="preserve"> [2026] VSCA 20 </w:t>
      </w:r>
      <w:r w:rsidR="00D83869">
        <w:rPr>
          <w:rFonts w:ascii="Arial" w:hAnsi="Arial" w:cs="Arial"/>
          <w:sz w:val="20"/>
          <w:szCs w:val="20"/>
        </w:rPr>
        <w:t xml:space="preserve">at [126]-[129] </w:t>
      </w:r>
      <w:r w:rsidR="00665A8C">
        <w:rPr>
          <w:rFonts w:ascii="Arial" w:hAnsi="Arial" w:cs="Arial"/>
          <w:sz w:val="20"/>
          <w:szCs w:val="20"/>
        </w:rPr>
        <w:t xml:space="preserve">the Court of Appeal </w:t>
      </w:r>
      <w:r w:rsidR="00D83869">
        <w:rPr>
          <w:rFonts w:ascii="Arial" w:hAnsi="Arial" w:cs="Arial"/>
          <w:sz w:val="20"/>
          <w:szCs w:val="20"/>
        </w:rPr>
        <w:t xml:space="preserve">did not consider it expedient to grant leave to raise a new ground </w:t>
      </w:r>
      <w:r w:rsidR="00D83869" w:rsidRPr="00D83869">
        <w:rPr>
          <w:rFonts w:ascii="Arial" w:hAnsi="Arial" w:cs="Arial"/>
          <w:sz w:val="20"/>
          <w:szCs w:val="20"/>
        </w:rPr>
        <w:t>on an appeal from interlocutory orders that were discretionary in nature</w:t>
      </w:r>
      <w:r w:rsidR="00D83869">
        <w:rPr>
          <w:rFonts w:ascii="Arial" w:hAnsi="Arial" w:cs="Arial"/>
          <w:sz w:val="20"/>
          <w:szCs w:val="20"/>
        </w:rPr>
        <w:t xml:space="preserve"> </w:t>
      </w:r>
      <w:r w:rsidR="005E25A0">
        <w:rPr>
          <w:rFonts w:ascii="Arial" w:hAnsi="Arial" w:cs="Arial"/>
          <w:sz w:val="20"/>
          <w:szCs w:val="20"/>
        </w:rPr>
        <w:t xml:space="preserve">alleging </w:t>
      </w:r>
      <w:r w:rsidR="00D83869">
        <w:rPr>
          <w:rFonts w:ascii="Arial" w:hAnsi="Arial" w:cs="Arial"/>
          <w:sz w:val="20"/>
          <w:szCs w:val="20"/>
        </w:rPr>
        <w:t>that counsel for one of the parties had engaged in conduct that was in breach of their ethical obligations. At [128]-[129] Emerton P, Walker &amp; Richards JJA said:</w:t>
      </w:r>
    </w:p>
    <w:p w14:paraId="0F3D4B36" w14:textId="67A853B2" w:rsidR="00D83869" w:rsidRDefault="00D83869" w:rsidP="00D83869">
      <w:pPr>
        <w:spacing w:before="60"/>
        <w:ind w:left="454" w:right="454"/>
        <w:jc w:val="both"/>
        <w:rPr>
          <w:rFonts w:ascii="Arial" w:hAnsi="Arial" w:cs="Arial"/>
          <w:sz w:val="20"/>
          <w:szCs w:val="20"/>
        </w:rPr>
      </w:pPr>
      <w:r>
        <w:rPr>
          <w:rFonts w:ascii="Arial" w:hAnsi="Arial" w:cs="Arial"/>
          <w:sz w:val="20"/>
          <w:szCs w:val="20"/>
        </w:rPr>
        <w:t>“</w:t>
      </w:r>
      <w:r w:rsidRPr="00D83869">
        <w:rPr>
          <w:rFonts w:ascii="Arial" w:hAnsi="Arial" w:cs="Arial"/>
          <w:sz w:val="20"/>
          <w:szCs w:val="20"/>
        </w:rPr>
        <w:t>For completeness, nothing in these reasons should be understood as finding, or accepting, that counsel engaged in conduct in breach of their ethical obligations.</w:t>
      </w:r>
    </w:p>
    <w:p w14:paraId="34A687BC" w14:textId="5C074244" w:rsidR="00D83869" w:rsidRDefault="00D83869" w:rsidP="00D83869">
      <w:pPr>
        <w:spacing w:before="60"/>
        <w:ind w:left="454" w:right="454"/>
        <w:jc w:val="both"/>
        <w:rPr>
          <w:rFonts w:ascii="Arial" w:hAnsi="Arial" w:cs="Arial"/>
          <w:sz w:val="20"/>
          <w:szCs w:val="20"/>
        </w:rPr>
      </w:pPr>
      <w:r w:rsidRPr="00D83869">
        <w:rPr>
          <w:rFonts w:ascii="Arial" w:hAnsi="Arial" w:cs="Arial"/>
          <w:sz w:val="20"/>
          <w:szCs w:val="20"/>
        </w:rPr>
        <w:t xml:space="preserve">It is also appropriate to observe that the mere fact that a party to litigation makes an allegation of professional misconduct against another party’s barrister cannot be sufficient to require that the barrister return their brief. If that were so it would provide a perverse incentive for such allegations to be made in order to deprive a party of its counsel of choice. Rule 102 of the </w:t>
      </w:r>
      <w:r w:rsidRPr="00D83869">
        <w:rPr>
          <w:rFonts w:ascii="Arial" w:hAnsi="Arial" w:cs="Arial"/>
          <w:i/>
          <w:iCs/>
          <w:sz w:val="20"/>
          <w:szCs w:val="20"/>
        </w:rPr>
        <w:t>Legal Profession Uniform Conduct (Barristers) Rules 2015</w:t>
      </w:r>
      <w:r>
        <w:rPr>
          <w:rFonts w:ascii="Arial" w:hAnsi="Arial" w:cs="Arial"/>
          <w:sz w:val="20"/>
          <w:szCs w:val="20"/>
        </w:rPr>
        <w:t xml:space="preserve"> </w:t>
      </w:r>
      <w:r w:rsidRPr="00D83869">
        <w:rPr>
          <w:rFonts w:ascii="Arial" w:hAnsi="Arial" w:cs="Arial"/>
          <w:sz w:val="20"/>
          <w:szCs w:val="20"/>
        </w:rPr>
        <w:t>recognises as much.</w:t>
      </w:r>
      <w:r>
        <w:rPr>
          <w:rFonts w:ascii="Arial" w:hAnsi="Arial" w:cs="Arial"/>
          <w:sz w:val="20"/>
          <w:szCs w:val="20"/>
        </w:rPr>
        <w:t>”</w:t>
      </w:r>
    </w:p>
    <w:p w14:paraId="4F2E9D93" w14:textId="44B104B2" w:rsidR="00A53D9C" w:rsidRDefault="00A53D9C" w:rsidP="005E25A0">
      <w:pPr>
        <w:jc w:val="both"/>
        <w:rPr>
          <w:rFonts w:ascii="Arial" w:hAnsi="Arial" w:cs="Arial"/>
          <w:sz w:val="20"/>
          <w:szCs w:val="20"/>
        </w:rPr>
      </w:pPr>
    </w:p>
    <w:p w14:paraId="43E9E62B" w14:textId="360877C6" w:rsidR="008F6868" w:rsidRDefault="008F6868" w:rsidP="005E25A0">
      <w:pPr>
        <w:jc w:val="both"/>
        <w:rPr>
          <w:rFonts w:ascii="Arial" w:hAnsi="Arial" w:cs="Arial"/>
          <w:sz w:val="20"/>
          <w:szCs w:val="20"/>
        </w:rPr>
      </w:pPr>
      <w:r>
        <w:rPr>
          <w:rFonts w:ascii="Arial" w:hAnsi="Arial" w:cs="Arial"/>
          <w:sz w:val="20"/>
          <w:szCs w:val="20"/>
        </w:rPr>
        <w:lastRenderedPageBreak/>
        <w:t xml:space="preserve">In </w:t>
      </w:r>
      <w:r w:rsidR="00477360">
        <w:rPr>
          <w:rFonts w:ascii="Arial" w:hAnsi="Arial" w:cs="Arial"/>
          <w:sz w:val="20"/>
          <w:szCs w:val="20"/>
        </w:rPr>
        <w:t xml:space="preserve">the much litigated case of </w:t>
      </w:r>
      <w:r w:rsidR="00477360" w:rsidRPr="00477360">
        <w:rPr>
          <w:rFonts w:ascii="Arial" w:hAnsi="Arial" w:cs="Arial"/>
          <w:i/>
          <w:iCs/>
          <w:sz w:val="20"/>
          <w:szCs w:val="20"/>
        </w:rPr>
        <w:t>DZY v Trustees of the Christian Brothers (No 2)</w:t>
      </w:r>
      <w:r w:rsidR="00477360">
        <w:rPr>
          <w:rFonts w:ascii="Arial" w:hAnsi="Arial" w:cs="Arial"/>
          <w:sz w:val="20"/>
          <w:szCs w:val="20"/>
        </w:rPr>
        <w:t xml:space="preserve"> [2026] VSC 144 O’Meara J said at [125]:</w:t>
      </w:r>
    </w:p>
    <w:p w14:paraId="74ACE90F" w14:textId="4025AF0A" w:rsidR="00477360" w:rsidRDefault="00477360" w:rsidP="00477360">
      <w:pPr>
        <w:spacing w:before="60"/>
        <w:ind w:left="454" w:right="454"/>
        <w:jc w:val="both"/>
        <w:rPr>
          <w:rFonts w:ascii="Arial" w:hAnsi="Arial" w:cs="Arial"/>
          <w:sz w:val="20"/>
          <w:szCs w:val="20"/>
        </w:rPr>
      </w:pPr>
      <w:r>
        <w:rPr>
          <w:rFonts w:ascii="Arial" w:hAnsi="Arial" w:cs="Arial"/>
          <w:sz w:val="20"/>
          <w:szCs w:val="20"/>
        </w:rPr>
        <w:t>“</w:t>
      </w:r>
      <w:r w:rsidRPr="00477360">
        <w:rPr>
          <w:rFonts w:ascii="Arial" w:hAnsi="Arial" w:cs="Arial"/>
          <w:sz w:val="20"/>
          <w:szCs w:val="20"/>
        </w:rPr>
        <w:t>In short, the circumstances are such that the course presently foreshadowed by the plaintiff stands as unjustifiably oppressive to the defendant and apt to abuse the processes of the court such that, if it were allowed to occur, the administration of justice would be brought into disrepute.</w:t>
      </w:r>
      <w:r>
        <w:rPr>
          <w:rFonts w:ascii="Arial" w:hAnsi="Arial" w:cs="Arial"/>
          <w:sz w:val="20"/>
          <w:szCs w:val="20"/>
        </w:rPr>
        <w:t>”</w:t>
      </w:r>
    </w:p>
    <w:p w14:paraId="44D9901E" w14:textId="3C0E8391" w:rsidR="008F6868" w:rsidRDefault="00872879" w:rsidP="00872879">
      <w:pPr>
        <w:spacing w:before="60"/>
        <w:jc w:val="both"/>
        <w:rPr>
          <w:rFonts w:ascii="Arial" w:hAnsi="Arial" w:cs="Arial"/>
          <w:sz w:val="20"/>
          <w:szCs w:val="20"/>
        </w:rPr>
      </w:pPr>
      <w:r>
        <w:rPr>
          <w:rFonts w:ascii="Arial" w:hAnsi="Arial" w:cs="Arial"/>
          <w:sz w:val="20"/>
          <w:szCs w:val="20"/>
        </w:rPr>
        <w:t xml:space="preserve">As a consequence of this finding, in </w:t>
      </w:r>
      <w:r w:rsidRPr="00477360">
        <w:rPr>
          <w:rFonts w:ascii="Arial" w:hAnsi="Arial" w:cs="Arial"/>
          <w:i/>
          <w:iCs/>
          <w:sz w:val="20"/>
          <w:szCs w:val="20"/>
        </w:rPr>
        <w:t xml:space="preserve">DZY v Trustees of the Christian Brothers (No </w:t>
      </w:r>
      <w:r>
        <w:rPr>
          <w:rFonts w:ascii="Arial" w:hAnsi="Arial" w:cs="Arial"/>
          <w:i/>
          <w:iCs/>
          <w:sz w:val="20"/>
          <w:szCs w:val="20"/>
        </w:rPr>
        <w:t>4</w:t>
      </w:r>
      <w:r w:rsidRPr="00477360">
        <w:rPr>
          <w:rFonts w:ascii="Arial" w:hAnsi="Arial" w:cs="Arial"/>
          <w:i/>
          <w:iCs/>
          <w:sz w:val="20"/>
          <w:szCs w:val="20"/>
        </w:rPr>
        <w:t>)</w:t>
      </w:r>
      <w:r>
        <w:rPr>
          <w:rFonts w:ascii="Arial" w:hAnsi="Arial" w:cs="Arial"/>
          <w:sz w:val="20"/>
          <w:szCs w:val="20"/>
        </w:rPr>
        <w:t xml:space="preserve"> [2026] VSC 200 at [3] O’Meara J held:</w:t>
      </w:r>
    </w:p>
    <w:p w14:paraId="784178B2" w14:textId="4A95338F" w:rsidR="00872879" w:rsidRDefault="00872879" w:rsidP="00872879">
      <w:pPr>
        <w:spacing w:before="60"/>
        <w:ind w:left="454" w:right="454"/>
        <w:jc w:val="both"/>
        <w:rPr>
          <w:rFonts w:ascii="Arial" w:hAnsi="Arial" w:cs="Arial"/>
          <w:sz w:val="20"/>
          <w:szCs w:val="20"/>
        </w:rPr>
      </w:pPr>
      <w:r>
        <w:rPr>
          <w:rFonts w:ascii="Arial" w:hAnsi="Arial" w:cs="Arial"/>
          <w:sz w:val="20"/>
          <w:szCs w:val="20"/>
        </w:rPr>
        <w:t>“In my view–</w:t>
      </w:r>
    </w:p>
    <w:p w14:paraId="35162FD1" w14:textId="13FBD57E" w:rsidR="00872879" w:rsidRDefault="00872879">
      <w:pPr>
        <w:pStyle w:val="ListParagraph"/>
        <w:numPr>
          <w:ilvl w:val="0"/>
          <w:numId w:val="180"/>
        </w:numPr>
        <w:jc w:val="both"/>
        <w:rPr>
          <w:rFonts w:ascii="Arial" w:hAnsi="Arial" w:cs="Arial"/>
          <w:sz w:val="20"/>
        </w:rPr>
      </w:pPr>
      <w:r w:rsidRPr="00872879">
        <w:rPr>
          <w:rFonts w:ascii="Arial" w:hAnsi="Arial" w:cs="Arial"/>
          <w:sz w:val="20"/>
        </w:rPr>
        <w:t>merely to strike out the relevant aspects of the pleading might, theoretically, leave open the prospect of some kind of repleading of that which I have determined to be an abuse of process;</w:t>
      </w:r>
    </w:p>
    <w:p w14:paraId="2C5E35CC" w14:textId="106BE004" w:rsidR="00872879" w:rsidRDefault="00872879">
      <w:pPr>
        <w:pStyle w:val="ListParagraph"/>
        <w:numPr>
          <w:ilvl w:val="0"/>
          <w:numId w:val="180"/>
        </w:numPr>
        <w:jc w:val="both"/>
        <w:rPr>
          <w:rFonts w:ascii="Arial" w:hAnsi="Arial" w:cs="Arial"/>
          <w:sz w:val="20"/>
        </w:rPr>
      </w:pPr>
      <w:r w:rsidRPr="00872879">
        <w:rPr>
          <w:rFonts w:ascii="Arial" w:hAnsi="Arial" w:cs="Arial"/>
          <w:sz w:val="20"/>
        </w:rPr>
        <w:t>in any event, it is more appropriate to stay that which has been found to be a substantive abuse of process rather than merely to strike out its expression in a pleading;</w:t>
      </w:r>
    </w:p>
    <w:p w14:paraId="14A7525F" w14:textId="330261D5" w:rsidR="00872879" w:rsidRDefault="00872879">
      <w:pPr>
        <w:pStyle w:val="ListParagraph"/>
        <w:numPr>
          <w:ilvl w:val="0"/>
          <w:numId w:val="180"/>
        </w:numPr>
        <w:jc w:val="both"/>
        <w:rPr>
          <w:rFonts w:ascii="Arial" w:hAnsi="Arial" w:cs="Arial"/>
          <w:sz w:val="20"/>
        </w:rPr>
      </w:pPr>
      <w:r w:rsidRPr="00872879">
        <w:rPr>
          <w:rFonts w:ascii="Arial" w:hAnsi="Arial" w:cs="Arial"/>
          <w:sz w:val="20"/>
        </w:rPr>
        <w:t>it follows that it will be ordered that the plaintiff’s claim for economic loss and/or loss of earning capacity is permanently stayed.</w:t>
      </w:r>
      <w:r w:rsidR="005F08B0">
        <w:rPr>
          <w:rFonts w:ascii="Arial" w:hAnsi="Arial" w:cs="Arial"/>
          <w:sz w:val="20"/>
        </w:rPr>
        <w:t>”</w:t>
      </w:r>
    </w:p>
    <w:p w14:paraId="48BF41CE" w14:textId="77777777" w:rsidR="005F08B0" w:rsidRDefault="005F08B0" w:rsidP="005F08B0">
      <w:pPr>
        <w:jc w:val="both"/>
        <w:rPr>
          <w:rFonts w:ascii="Arial" w:hAnsi="Arial" w:cs="Arial"/>
          <w:sz w:val="20"/>
        </w:rPr>
      </w:pPr>
    </w:p>
    <w:p w14:paraId="094860C4" w14:textId="6E84434D" w:rsidR="000C5E27" w:rsidRPr="001C6E0E" w:rsidRDefault="000C5E27" w:rsidP="000C5E27">
      <w:pPr>
        <w:pStyle w:val="Heading3"/>
        <w:keepNext/>
        <w:keepLines/>
        <w:widowControl/>
        <w:spacing w:after="120" w:line="240" w:lineRule="auto"/>
        <w:ind w:left="284" w:hanging="284"/>
        <w:rPr>
          <w:rFonts w:ascii="Arial" w:hAnsi="Arial" w:cs="Arial"/>
          <w:b/>
          <w:bCs/>
          <w:color w:val="000000"/>
          <w:sz w:val="20"/>
        </w:rPr>
      </w:pPr>
      <w:bookmarkStart w:id="236" w:name="_B_CASES_WHERE"/>
      <w:bookmarkEnd w:id="236"/>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bCs/>
          <w:color w:val="FFFFFF" w:themeColor="background1"/>
          <w:sz w:val="20"/>
          <w:shd w:val="clear" w:color="auto" w:fill="000000" w:themeFill="text1"/>
        </w:rPr>
        <w:t>CASES WHERE A STAY TO PREVENT AN ALLEGED ABUSE WAS GRANTED OR REFUSED</w:t>
      </w:r>
    </w:p>
    <w:p w14:paraId="0B06BFFC" w14:textId="58D9529F" w:rsidR="00DF6714" w:rsidRDefault="00DF6714" w:rsidP="002A6040">
      <w:pPr>
        <w:jc w:val="both"/>
        <w:rPr>
          <w:rFonts w:ascii="Arial" w:hAnsi="Arial" w:cs="Arial"/>
          <w:sz w:val="20"/>
          <w:szCs w:val="20"/>
        </w:rPr>
      </w:pPr>
      <w:r>
        <w:rPr>
          <w:rFonts w:ascii="Arial" w:hAnsi="Arial" w:cs="Arial"/>
          <w:sz w:val="20"/>
          <w:szCs w:val="20"/>
        </w:rPr>
        <w:t xml:space="preserve">In </w:t>
      </w:r>
      <w:r w:rsidRPr="00DF6714">
        <w:rPr>
          <w:rFonts w:ascii="Arial" w:hAnsi="Arial" w:cs="Arial"/>
          <w:i/>
          <w:iCs/>
          <w:sz w:val="20"/>
          <w:szCs w:val="20"/>
        </w:rPr>
        <w:t>Buchanan (a pseudonym) v The King</w:t>
      </w:r>
      <w:r>
        <w:rPr>
          <w:rFonts w:ascii="Arial" w:hAnsi="Arial" w:cs="Arial"/>
          <w:sz w:val="20"/>
          <w:szCs w:val="20"/>
        </w:rPr>
        <w:t xml:space="preserve"> [2024] VSCA 50 </w:t>
      </w:r>
      <w:r w:rsidR="00D17757">
        <w:rPr>
          <w:rFonts w:ascii="Arial" w:hAnsi="Arial" w:cs="Arial"/>
          <w:sz w:val="20"/>
          <w:szCs w:val="20"/>
        </w:rPr>
        <w:t>Emerton P, Whelan JA &amp; Elliott AJA said at [31]-[32]:</w:t>
      </w:r>
    </w:p>
    <w:p w14:paraId="4BAE38DE" w14:textId="5286F252" w:rsidR="00797376" w:rsidRDefault="00DF6714" w:rsidP="00DF6714">
      <w:pPr>
        <w:spacing w:before="60"/>
        <w:ind w:left="454" w:right="454"/>
        <w:jc w:val="both"/>
        <w:rPr>
          <w:rFonts w:ascii="Arial" w:hAnsi="Arial" w:cs="Arial"/>
          <w:sz w:val="20"/>
          <w:szCs w:val="20"/>
        </w:rPr>
      </w:pPr>
      <w:r w:rsidRPr="00D17757">
        <w:rPr>
          <w:rFonts w:ascii="Arial" w:hAnsi="Arial" w:cs="Arial"/>
          <w:sz w:val="20"/>
          <w:szCs w:val="20"/>
        </w:rPr>
        <w:t>[31] “The principles governing an application for a permanent stay are well settled, and were not in dispute. A court should only stay an indictment (or any part of it) if satisfied that, in all the circumstances, its continuation would involve unacceptable injustice and unfairness or would be so unfairly and unjustifiably oppressive as to constitute an abuse of process</w:t>
      </w:r>
      <w:r w:rsidR="00D17757" w:rsidRPr="00D17757">
        <w:rPr>
          <w:rFonts w:ascii="Arial" w:hAnsi="Arial" w:cs="Arial"/>
          <w:sz w:val="20"/>
          <w:szCs w:val="20"/>
        </w:rPr>
        <w:t xml:space="preserve">: </w:t>
      </w:r>
      <w:r w:rsidR="00D17757" w:rsidRPr="00D17757">
        <w:rPr>
          <w:rFonts w:ascii="Arial" w:hAnsi="Arial" w:cs="Arial"/>
          <w:i/>
          <w:iCs/>
          <w:sz w:val="20"/>
          <w:szCs w:val="20"/>
        </w:rPr>
        <w:t>Walton v Gardiner</w:t>
      </w:r>
      <w:r w:rsidR="00D17757" w:rsidRPr="00D17757">
        <w:rPr>
          <w:rFonts w:ascii="Arial" w:hAnsi="Arial" w:cs="Arial"/>
          <w:sz w:val="20"/>
          <w:szCs w:val="20"/>
        </w:rPr>
        <w:t xml:space="preserve"> (1993) 177 CLR 378, 392; [1993] HCA 77. As for the meaning of abuse of process in the context of a criminal proceeding, see </w:t>
      </w:r>
      <w:r w:rsidR="00D17757" w:rsidRPr="00D17757">
        <w:rPr>
          <w:rFonts w:ascii="Arial" w:hAnsi="Arial" w:cs="Arial"/>
          <w:i/>
          <w:iCs/>
          <w:sz w:val="20"/>
          <w:szCs w:val="20"/>
        </w:rPr>
        <w:t>Tuteru</w:t>
      </w:r>
      <w:r w:rsidR="00D17757" w:rsidRPr="00D17757">
        <w:rPr>
          <w:rFonts w:ascii="Arial" w:hAnsi="Arial" w:cs="Arial"/>
          <w:sz w:val="20"/>
          <w:szCs w:val="20"/>
        </w:rPr>
        <w:t xml:space="preserve"> (2023) 105 MVR 125, 147–8 [66]–[67], 157 [127]; [2023] VSCA 188, citing </w:t>
      </w:r>
      <w:r w:rsidR="00D17757" w:rsidRPr="00D17757">
        <w:rPr>
          <w:rFonts w:ascii="Arial" w:hAnsi="Arial" w:cs="Arial"/>
          <w:i/>
          <w:iCs/>
          <w:sz w:val="20"/>
          <w:szCs w:val="20"/>
        </w:rPr>
        <w:t>Strickland (a pseudonym) v DPP (Cth)</w:t>
      </w:r>
      <w:r w:rsidR="00D17757" w:rsidRPr="00D17757">
        <w:rPr>
          <w:rFonts w:ascii="Arial" w:hAnsi="Arial" w:cs="Arial"/>
          <w:sz w:val="20"/>
          <w:szCs w:val="20"/>
        </w:rPr>
        <w:t xml:space="preserve"> (2018) 266 CLR 325, 409 [249]; [2018] HCA 53; </w:t>
      </w:r>
      <w:r w:rsidR="00D17757" w:rsidRPr="00D17757">
        <w:rPr>
          <w:rFonts w:ascii="Arial" w:hAnsi="Arial" w:cs="Arial"/>
          <w:i/>
          <w:iCs/>
          <w:sz w:val="20"/>
          <w:szCs w:val="20"/>
        </w:rPr>
        <w:t>Haris (a pseudonym) v The King</w:t>
      </w:r>
      <w:r w:rsidR="00D17757" w:rsidRPr="00D17757">
        <w:rPr>
          <w:rFonts w:ascii="Arial" w:hAnsi="Arial" w:cs="Arial"/>
          <w:sz w:val="20"/>
          <w:szCs w:val="20"/>
        </w:rPr>
        <w:t xml:space="preserve"> [2023] VSCA 205, [49], citing </w:t>
      </w:r>
      <w:r w:rsidR="00D17757" w:rsidRPr="00D17757">
        <w:rPr>
          <w:rFonts w:ascii="Arial" w:hAnsi="Arial" w:cs="Arial"/>
          <w:i/>
          <w:iCs/>
          <w:sz w:val="20"/>
          <w:szCs w:val="20"/>
        </w:rPr>
        <w:t>R v Edwards</w:t>
      </w:r>
      <w:r w:rsidR="00D17757" w:rsidRPr="00D17757">
        <w:rPr>
          <w:rFonts w:ascii="Arial" w:hAnsi="Arial" w:cs="Arial"/>
          <w:sz w:val="20"/>
          <w:szCs w:val="20"/>
        </w:rPr>
        <w:t xml:space="preserve"> (2009) 83 ALJR 717, 723 [33]; [2009] HCA 20.</w:t>
      </w:r>
      <w:r w:rsidR="00D17757">
        <w:rPr>
          <w:rFonts w:ascii="Arial" w:hAnsi="Arial" w:cs="Arial"/>
          <w:sz w:val="20"/>
          <w:szCs w:val="20"/>
        </w:rPr>
        <w:t xml:space="preserve">  </w:t>
      </w:r>
      <w:r w:rsidRPr="00D17757">
        <w:rPr>
          <w:rFonts w:ascii="Arial" w:hAnsi="Arial" w:cs="Arial"/>
          <w:sz w:val="20"/>
          <w:szCs w:val="20"/>
        </w:rPr>
        <w:t>The party seeking the stay bears a heavy onus, with consideration of whether it has</w:t>
      </w:r>
      <w:r w:rsidRPr="00DF6714">
        <w:rPr>
          <w:rFonts w:ascii="Arial" w:hAnsi="Arial" w:cs="Arial"/>
          <w:sz w:val="20"/>
          <w:szCs w:val="20"/>
        </w:rPr>
        <w:t xml:space="preserve"> been discharged to be assessed on the </w:t>
      </w:r>
      <w:r w:rsidRPr="00797376">
        <w:rPr>
          <w:rFonts w:ascii="Arial" w:hAnsi="Arial" w:cs="Arial"/>
          <w:sz w:val="20"/>
          <w:szCs w:val="20"/>
        </w:rPr>
        <w:t>balance of probabilities</w:t>
      </w:r>
      <w:r w:rsidR="00797376" w:rsidRPr="00797376">
        <w:rPr>
          <w:rFonts w:ascii="Arial" w:hAnsi="Arial" w:cs="Arial"/>
          <w:sz w:val="20"/>
          <w:szCs w:val="20"/>
        </w:rPr>
        <w:t xml:space="preserve">: </w:t>
      </w:r>
      <w:r w:rsidR="00797376" w:rsidRPr="00797376">
        <w:rPr>
          <w:rFonts w:ascii="Arial" w:hAnsi="Arial" w:cs="Arial"/>
          <w:i/>
          <w:iCs/>
          <w:sz w:val="20"/>
          <w:szCs w:val="20"/>
        </w:rPr>
        <w:t>GLJ</w:t>
      </w:r>
      <w:r w:rsidR="00797376" w:rsidRPr="00797376">
        <w:rPr>
          <w:rFonts w:ascii="Arial" w:hAnsi="Arial" w:cs="Arial"/>
          <w:sz w:val="20"/>
          <w:szCs w:val="20"/>
        </w:rPr>
        <w:t xml:space="preserve"> (2023) 97 ALJR 857, 867 [21]; [2023] HCA 32.</w:t>
      </w:r>
    </w:p>
    <w:p w14:paraId="197C0CDB" w14:textId="2F3CFC32" w:rsidR="00DF6714" w:rsidRPr="00D24DC6" w:rsidRDefault="00797376" w:rsidP="00D24DC6">
      <w:pPr>
        <w:spacing w:before="60"/>
        <w:ind w:left="454" w:right="454"/>
        <w:jc w:val="both"/>
        <w:rPr>
          <w:rFonts w:ascii="Arial" w:hAnsi="Arial" w:cs="Arial"/>
          <w:i/>
          <w:iCs/>
          <w:sz w:val="20"/>
          <w:szCs w:val="20"/>
        </w:rPr>
      </w:pPr>
      <w:r w:rsidRPr="00D24DC6">
        <w:rPr>
          <w:rFonts w:ascii="Arial" w:hAnsi="Arial" w:cs="Arial"/>
          <w:sz w:val="20"/>
          <w:szCs w:val="20"/>
        </w:rPr>
        <w:t>[</w:t>
      </w:r>
      <w:r w:rsidR="00DF6714" w:rsidRPr="00D24DC6">
        <w:rPr>
          <w:rFonts w:ascii="Arial" w:hAnsi="Arial" w:cs="Arial"/>
          <w:sz w:val="20"/>
          <w:szCs w:val="20"/>
        </w:rPr>
        <w:t>32</w:t>
      </w:r>
      <w:r w:rsidRPr="00D24DC6">
        <w:rPr>
          <w:rFonts w:ascii="Arial" w:hAnsi="Arial" w:cs="Arial"/>
          <w:sz w:val="20"/>
          <w:szCs w:val="20"/>
        </w:rPr>
        <w:t>]</w:t>
      </w:r>
      <w:r w:rsidR="00DF6714" w:rsidRPr="00D24DC6">
        <w:rPr>
          <w:rFonts w:ascii="Arial" w:hAnsi="Arial" w:cs="Arial"/>
          <w:sz w:val="20"/>
          <w:szCs w:val="20"/>
        </w:rPr>
        <w:t xml:space="preserve"> A fulsome elaboration of the considerations which underpin a decision to permanently stay proceedings was provided by this court in </w:t>
      </w:r>
      <w:r w:rsidR="00DF6714" w:rsidRPr="00D24DC6">
        <w:rPr>
          <w:rFonts w:ascii="Arial" w:hAnsi="Arial" w:cs="Arial"/>
          <w:i/>
          <w:iCs/>
          <w:sz w:val="20"/>
          <w:szCs w:val="20"/>
        </w:rPr>
        <w:t>R v FJL</w:t>
      </w:r>
      <w:r w:rsidR="00D24DC6" w:rsidRPr="00D24DC6">
        <w:rPr>
          <w:rFonts w:ascii="Arial" w:hAnsi="Arial" w:cs="Arial"/>
          <w:i/>
          <w:iCs/>
          <w:sz w:val="20"/>
          <w:szCs w:val="20"/>
        </w:rPr>
        <w:t xml:space="preserve"> </w:t>
      </w:r>
      <w:r w:rsidR="00D24DC6" w:rsidRPr="00D24DC6">
        <w:rPr>
          <w:rFonts w:ascii="Arial" w:hAnsi="Arial" w:cs="Arial"/>
          <w:sz w:val="20"/>
          <w:szCs w:val="20"/>
        </w:rPr>
        <w:t>(2014) 41 VR 572</w:t>
      </w:r>
      <w:r w:rsidR="00D24DC6">
        <w:rPr>
          <w:rFonts w:ascii="Arial" w:hAnsi="Arial" w:cs="Arial"/>
          <w:sz w:val="20"/>
          <w:szCs w:val="20"/>
        </w:rPr>
        <w:t xml:space="preserve"> at </w:t>
      </w:r>
      <w:r w:rsidR="00D24DC6" w:rsidRPr="00D24DC6">
        <w:rPr>
          <w:rFonts w:ascii="Arial" w:hAnsi="Arial" w:cs="Arial"/>
          <w:sz w:val="20"/>
          <w:szCs w:val="20"/>
        </w:rPr>
        <w:t>[17]</w:t>
      </w:r>
      <w:proofErr w:type="gramStart"/>
      <w:r w:rsidR="00D24DC6" w:rsidRPr="00D24DC6">
        <w:rPr>
          <w:rFonts w:ascii="Arial" w:hAnsi="Arial" w:cs="Arial"/>
          <w:sz w:val="20"/>
          <w:szCs w:val="20"/>
        </w:rPr>
        <w:t>–[</w:t>
      </w:r>
      <w:proofErr w:type="gramEnd"/>
      <w:r w:rsidR="00D24DC6" w:rsidRPr="00D24DC6">
        <w:rPr>
          <w:rFonts w:ascii="Arial" w:hAnsi="Arial" w:cs="Arial"/>
          <w:sz w:val="20"/>
          <w:szCs w:val="20"/>
        </w:rPr>
        <w:t>26]</w:t>
      </w:r>
      <w:r w:rsidR="00D24DC6">
        <w:rPr>
          <w:rFonts w:ascii="Arial" w:hAnsi="Arial" w:cs="Arial"/>
          <w:sz w:val="20"/>
          <w:szCs w:val="20"/>
        </w:rPr>
        <w:t>, [90] &amp; [92]</w:t>
      </w:r>
      <w:r w:rsidR="00D24DC6" w:rsidRPr="00D24DC6">
        <w:rPr>
          <w:rFonts w:ascii="Arial" w:hAnsi="Arial" w:cs="Arial"/>
          <w:sz w:val="20"/>
          <w:szCs w:val="20"/>
        </w:rPr>
        <w:t>; [2014] VSCA 57.</w:t>
      </w:r>
      <w:r w:rsidR="00D24DC6">
        <w:rPr>
          <w:rFonts w:ascii="Arial" w:hAnsi="Arial" w:cs="Arial"/>
          <w:i/>
          <w:iCs/>
          <w:sz w:val="20"/>
          <w:szCs w:val="20"/>
        </w:rPr>
        <w:t xml:space="preserve">  </w:t>
      </w:r>
      <w:r w:rsidR="00DF6714" w:rsidRPr="00797376">
        <w:rPr>
          <w:rFonts w:ascii="Arial" w:hAnsi="Arial" w:cs="Arial"/>
          <w:sz w:val="20"/>
          <w:szCs w:val="20"/>
        </w:rPr>
        <w:t xml:space="preserve">These principles were later extracted and restated in </w:t>
      </w:r>
      <w:r w:rsidR="00670F64" w:rsidRPr="00797376">
        <w:rPr>
          <w:rFonts w:ascii="Arial" w:hAnsi="Arial" w:cs="Arial"/>
          <w:i/>
          <w:iCs/>
          <w:sz w:val="20"/>
          <w:szCs w:val="20"/>
        </w:rPr>
        <w:t>Hermanus (a</w:t>
      </w:r>
      <w:r w:rsidR="00D24DC6">
        <w:rPr>
          <w:rFonts w:ascii="Arial" w:hAnsi="Arial" w:cs="Arial"/>
          <w:i/>
          <w:iCs/>
          <w:sz w:val="20"/>
          <w:szCs w:val="20"/>
        </w:rPr>
        <w:t> </w:t>
      </w:r>
      <w:r w:rsidR="00670F64" w:rsidRPr="00797376">
        <w:rPr>
          <w:rFonts w:ascii="Arial" w:hAnsi="Arial" w:cs="Arial"/>
          <w:i/>
          <w:iCs/>
          <w:sz w:val="20"/>
          <w:szCs w:val="20"/>
        </w:rPr>
        <w:t>pseudonym) v The Queen</w:t>
      </w:r>
      <w:r w:rsidR="00D24DC6">
        <w:rPr>
          <w:rFonts w:ascii="Arial" w:hAnsi="Arial" w:cs="Arial"/>
          <w:i/>
          <w:iCs/>
          <w:sz w:val="20"/>
          <w:szCs w:val="20"/>
        </w:rPr>
        <w:t xml:space="preserve"> </w:t>
      </w:r>
      <w:r w:rsidR="00D24DC6" w:rsidRPr="00D24DC6">
        <w:rPr>
          <w:rFonts w:ascii="Arial" w:hAnsi="Arial" w:cs="Arial"/>
          <w:sz w:val="20"/>
          <w:szCs w:val="20"/>
        </w:rPr>
        <w:t xml:space="preserve">(2015) 44 VR </w:t>
      </w:r>
      <w:r w:rsidR="00D24DC6">
        <w:rPr>
          <w:rFonts w:ascii="Arial" w:hAnsi="Arial" w:cs="Arial"/>
          <w:sz w:val="20"/>
          <w:szCs w:val="20"/>
        </w:rPr>
        <w:t>335 at [40]; [2015] VSCA 2 (citations omitted)</w:t>
      </w:r>
      <w:r w:rsidR="00670F64" w:rsidRPr="00D24DC6">
        <w:rPr>
          <w:rFonts w:ascii="Arial" w:hAnsi="Arial" w:cs="Arial"/>
          <w:sz w:val="20"/>
          <w:szCs w:val="20"/>
        </w:rPr>
        <w:t>,</w:t>
      </w:r>
      <w:r w:rsidR="00670F64" w:rsidRPr="00797376">
        <w:rPr>
          <w:rFonts w:ascii="Arial" w:hAnsi="Arial" w:cs="Arial"/>
          <w:sz w:val="20"/>
          <w:szCs w:val="20"/>
        </w:rPr>
        <w:t xml:space="preserve"> as follows:</w:t>
      </w:r>
    </w:p>
    <w:p w14:paraId="105EE42D" w14:textId="17B0E910" w:rsidR="00DF6714" w:rsidRPr="00DF6714" w:rsidRDefault="00670F64" w:rsidP="00752CA7">
      <w:pPr>
        <w:spacing w:before="60"/>
        <w:ind w:left="907" w:right="907"/>
        <w:jc w:val="both"/>
        <w:rPr>
          <w:rFonts w:ascii="Arial" w:hAnsi="Arial" w:cs="Arial"/>
          <w:sz w:val="18"/>
          <w:szCs w:val="18"/>
        </w:rPr>
      </w:pPr>
      <w:r w:rsidRPr="00752CA7">
        <w:rPr>
          <w:rFonts w:ascii="Arial" w:hAnsi="Arial" w:cs="Arial"/>
          <w:sz w:val="18"/>
          <w:szCs w:val="18"/>
        </w:rPr>
        <w:t>• First, the exercise</w:t>
      </w:r>
      <w:r w:rsidRPr="00670F64">
        <w:rPr>
          <w:rFonts w:ascii="Arial" w:hAnsi="Arial" w:cs="Arial"/>
          <w:sz w:val="20"/>
          <w:szCs w:val="20"/>
        </w:rPr>
        <w:t xml:space="preserve"> of the </w:t>
      </w:r>
      <w:r w:rsidRPr="00DF6714">
        <w:rPr>
          <w:rFonts w:ascii="Arial" w:hAnsi="Arial" w:cs="Arial"/>
          <w:sz w:val="18"/>
          <w:szCs w:val="18"/>
        </w:rPr>
        <w:t>power to stay must be exceptional since it results in effect in a refusal to exercise jurisdiction. The primary responsibility for deciding whether criminal proceedings should be maintained lies with the Executive and not with the court.</w:t>
      </w:r>
    </w:p>
    <w:p w14:paraId="34C5BC99" w14:textId="77777777" w:rsidR="00DF671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Secondly, in cases involving delay, to justify a permanent stay of criminal proceedings there must be a fundamental defect which goes to the root of the trial of such a nature that nothing that a trial judge can do in the conduct of the trial can relieve against its unfair consequences. The accused must demonstrate that the delay is such that any trial is necessarily unfair so that any conviction would bring the administration of justice into disrepute.</w:t>
      </w:r>
    </w:p>
    <w:p w14:paraId="3C5CC9DB" w14:textId="77777777" w:rsidR="00DF671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Thirdly, circumstances that the court should consider in determining an application for a stay include: the length of the delay; reasons given by the prosecution to explain or justify the delay; the accused’s responsibility for and past attitude to the delay; proven or likely prejudice to the accused; and the public interest in the disposition of charges of serious offences and in the conviction of those guilty of crime. The critical factors are on the one hand the proven or likely prejudice to the accused, and on the other, the public interest in the prosecution and conviction of the guilty.</w:t>
      </w:r>
    </w:p>
    <w:p w14:paraId="641EB5BD" w14:textId="68F13413" w:rsidR="00DF671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Fourthly, in order to justify a stay, it is the probability of unacceptable unfairness — rather than the possibility — that is critical.</w:t>
      </w:r>
    </w:p>
    <w:p w14:paraId="28D07DC6" w14:textId="77777777" w:rsidR="00D24DC6" w:rsidRDefault="00670F64" w:rsidP="00752CA7">
      <w:pPr>
        <w:spacing w:before="60"/>
        <w:ind w:left="907" w:right="907"/>
        <w:jc w:val="both"/>
        <w:rPr>
          <w:rFonts w:ascii="Arial" w:hAnsi="Arial" w:cs="Arial"/>
          <w:sz w:val="18"/>
          <w:szCs w:val="18"/>
        </w:rPr>
      </w:pPr>
      <w:r w:rsidRPr="00DF6714">
        <w:rPr>
          <w:rFonts w:ascii="Arial" w:hAnsi="Arial" w:cs="Arial"/>
          <w:sz w:val="18"/>
          <w:szCs w:val="18"/>
        </w:rPr>
        <w:t>• Fifthly, a trial will not necessarily be unacceptably unfair even where relevant documents, recordings or other kinds of evidence have been lost or destroyed, or witnesses have died, so that the jury will be called upon to determine issues of fact on less than all of the relevant material which might bear upon the issues thrown up for determination.</w:t>
      </w:r>
    </w:p>
    <w:p w14:paraId="7322923C" w14:textId="6175E301" w:rsidR="00670F6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Sixthly, the trial judge may avoid obstacles to a fair trial by evidentiary rulings — including by the exclusion of evidence which is technically admissible, but which might operate unfairly against the accused — and by directions to the jury designed to counteract any prejudice that the accused might otherwise suffer.</w:t>
      </w:r>
    </w:p>
    <w:p w14:paraId="3A4E1EB7" w14:textId="77777777" w:rsidR="00670F64" w:rsidRDefault="00670F64" w:rsidP="002A6040">
      <w:pPr>
        <w:jc w:val="both"/>
        <w:rPr>
          <w:rFonts w:ascii="Arial" w:hAnsi="Arial" w:cs="Arial"/>
          <w:sz w:val="20"/>
          <w:szCs w:val="20"/>
        </w:rPr>
      </w:pPr>
    </w:p>
    <w:p w14:paraId="6C1443FA" w14:textId="1835B2D5" w:rsidR="00C35E9E" w:rsidRDefault="00C35E9E" w:rsidP="002A6040">
      <w:pPr>
        <w:jc w:val="both"/>
        <w:rPr>
          <w:rFonts w:ascii="Arial" w:hAnsi="Arial" w:cs="Arial"/>
          <w:sz w:val="20"/>
          <w:szCs w:val="20"/>
        </w:rPr>
      </w:pPr>
      <w:r>
        <w:rPr>
          <w:rFonts w:ascii="Arial" w:hAnsi="Arial" w:cs="Arial"/>
          <w:sz w:val="20"/>
          <w:szCs w:val="20"/>
        </w:rPr>
        <w:lastRenderedPageBreak/>
        <w:t xml:space="preserve">In </w:t>
      </w:r>
      <w:r w:rsidRPr="00C35E9E">
        <w:rPr>
          <w:rFonts w:ascii="Arial" w:hAnsi="Arial" w:cs="Arial"/>
          <w:i/>
          <w:iCs/>
          <w:sz w:val="20"/>
          <w:szCs w:val="20"/>
        </w:rPr>
        <w:t>Rowan (a pseudonym) v The King</w:t>
      </w:r>
      <w:r>
        <w:rPr>
          <w:rFonts w:ascii="Arial" w:hAnsi="Arial" w:cs="Arial"/>
          <w:sz w:val="20"/>
          <w:szCs w:val="20"/>
        </w:rPr>
        <w:t xml:space="preserve"> [2026] VSCA 44 the applicant was facing a retrial – after two previous trials – on 12 charges of sexual offences against her daughters committed with the</w:t>
      </w:r>
      <w:r w:rsidR="00F245B2">
        <w:rPr>
          <w:rFonts w:ascii="Arial" w:hAnsi="Arial" w:cs="Arial"/>
          <w:sz w:val="20"/>
          <w:szCs w:val="20"/>
        </w:rPr>
        <w:t xml:space="preserve"> </w:t>
      </w:r>
      <w:r w:rsidR="00010F0C">
        <w:rPr>
          <w:rFonts w:ascii="Arial" w:hAnsi="Arial" w:cs="Arial"/>
          <w:sz w:val="20"/>
          <w:szCs w:val="20"/>
        </w:rPr>
        <w:t>children’s</w:t>
      </w:r>
      <w:r w:rsidR="00F245B2">
        <w:rPr>
          <w:rFonts w:ascii="Arial" w:hAnsi="Arial" w:cs="Arial"/>
          <w:sz w:val="20"/>
          <w:szCs w:val="20"/>
        </w:rPr>
        <w:t xml:space="preserve"> father JR</w:t>
      </w:r>
      <w:r>
        <w:rPr>
          <w:rFonts w:ascii="Arial" w:hAnsi="Arial" w:cs="Arial"/>
          <w:sz w:val="20"/>
          <w:szCs w:val="20"/>
        </w:rPr>
        <w:t xml:space="preserve"> as the primary offender. Although t</w:t>
      </w:r>
      <w:r w:rsidR="00F245B2">
        <w:rPr>
          <w:rFonts w:ascii="Arial" w:hAnsi="Arial" w:cs="Arial"/>
          <w:sz w:val="20"/>
          <w:szCs w:val="20"/>
        </w:rPr>
        <w:t>he Court of Appeal</w:t>
      </w:r>
      <w:r>
        <w:rPr>
          <w:rFonts w:ascii="Arial" w:hAnsi="Arial" w:cs="Arial"/>
          <w:sz w:val="20"/>
          <w:szCs w:val="20"/>
        </w:rPr>
        <w:t xml:space="preserve"> considered that a fair trial was possible, </w:t>
      </w:r>
      <w:r w:rsidR="00F245B2">
        <w:rPr>
          <w:rFonts w:ascii="Arial" w:hAnsi="Arial" w:cs="Arial"/>
          <w:sz w:val="20"/>
          <w:szCs w:val="20"/>
        </w:rPr>
        <w:t>it</w:t>
      </w:r>
      <w:r>
        <w:rPr>
          <w:rFonts w:ascii="Arial" w:hAnsi="Arial" w:cs="Arial"/>
          <w:sz w:val="20"/>
          <w:szCs w:val="20"/>
        </w:rPr>
        <w:t xml:space="preserve"> held that </w:t>
      </w:r>
      <w:r w:rsidR="00857B48">
        <w:rPr>
          <w:rFonts w:ascii="Arial" w:hAnsi="Arial" w:cs="Arial"/>
          <w:sz w:val="20"/>
          <w:szCs w:val="20"/>
        </w:rPr>
        <w:t>the continuation of proceedings against the applicant was unfairly and unjustifiably oppressive and an abuse of process</w:t>
      </w:r>
      <w:r w:rsidR="00F245B2">
        <w:rPr>
          <w:rFonts w:ascii="Arial" w:hAnsi="Arial" w:cs="Arial"/>
          <w:sz w:val="20"/>
          <w:szCs w:val="20"/>
        </w:rPr>
        <w:t>. A</w:t>
      </w:r>
      <w:r w:rsidR="00857B48">
        <w:rPr>
          <w:rFonts w:ascii="Arial" w:hAnsi="Arial" w:cs="Arial"/>
          <w:sz w:val="20"/>
          <w:szCs w:val="20"/>
        </w:rPr>
        <w:t xml:space="preserve">ccordingly </w:t>
      </w:r>
      <w:r w:rsidR="00F245B2">
        <w:rPr>
          <w:rFonts w:ascii="Arial" w:hAnsi="Arial" w:cs="Arial"/>
          <w:sz w:val="20"/>
          <w:szCs w:val="20"/>
        </w:rPr>
        <w:t xml:space="preserve">it </w:t>
      </w:r>
      <w:r w:rsidR="00857B48">
        <w:rPr>
          <w:rFonts w:ascii="Arial" w:hAnsi="Arial" w:cs="Arial"/>
          <w:sz w:val="20"/>
          <w:szCs w:val="20"/>
        </w:rPr>
        <w:t>granted leave to appeal, allowed the appeal and ordered a permanent stay. At [102]-[106] Kidd, Richards &amp; Kaye JJA summarised the relevant legal principles as follows:</w:t>
      </w:r>
    </w:p>
    <w:p w14:paraId="62F166BD" w14:textId="360673E2" w:rsidR="00857B48" w:rsidRDefault="00857B48" w:rsidP="00857B48">
      <w:pPr>
        <w:spacing w:before="60"/>
        <w:ind w:left="454" w:right="454"/>
        <w:jc w:val="both"/>
        <w:rPr>
          <w:rFonts w:ascii="Arial" w:hAnsi="Arial" w:cs="Arial"/>
          <w:sz w:val="20"/>
          <w:szCs w:val="20"/>
        </w:rPr>
      </w:pPr>
      <w:r>
        <w:rPr>
          <w:rFonts w:ascii="Arial" w:hAnsi="Arial" w:cs="Arial"/>
          <w:sz w:val="20"/>
          <w:szCs w:val="20"/>
        </w:rPr>
        <w:t>[102] “</w:t>
      </w:r>
      <w:r w:rsidRPr="00857B48">
        <w:rPr>
          <w:rFonts w:ascii="Arial" w:hAnsi="Arial" w:cs="Arial"/>
          <w:sz w:val="20"/>
          <w:szCs w:val="20"/>
        </w:rPr>
        <w:t>The power to permanently stay proceedings to prevent an abuse of process ‘protects the integrity of the adversarial system of justice and the maintenance of the rule of law’</w:t>
      </w:r>
      <w:r>
        <w:rPr>
          <w:rFonts w:ascii="Arial" w:hAnsi="Arial" w:cs="Arial"/>
          <w:sz w:val="20"/>
          <w:szCs w:val="20"/>
        </w:rPr>
        <w:t xml:space="preserve">: </w:t>
      </w:r>
      <w:r w:rsidRPr="00857B48">
        <w:rPr>
          <w:rFonts w:ascii="Arial" w:hAnsi="Arial" w:cs="Arial"/>
          <w:i/>
          <w:iCs/>
          <w:sz w:val="20"/>
          <w:szCs w:val="20"/>
        </w:rPr>
        <w:t>GLJ</w:t>
      </w:r>
      <w:r w:rsidRPr="00857B48">
        <w:rPr>
          <w:rFonts w:ascii="Arial" w:hAnsi="Arial" w:cs="Arial"/>
          <w:sz w:val="20"/>
          <w:szCs w:val="20"/>
        </w:rPr>
        <w:t xml:space="preserve"> (2023) 280 CLR 442, 456 [17]; [2023] HCA 32; </w:t>
      </w:r>
      <w:r w:rsidRPr="00857B48">
        <w:rPr>
          <w:rFonts w:ascii="Arial" w:hAnsi="Arial" w:cs="Arial"/>
          <w:i/>
          <w:iCs/>
          <w:sz w:val="20"/>
          <w:szCs w:val="20"/>
        </w:rPr>
        <w:t>Clark</w:t>
      </w:r>
      <w:r w:rsidRPr="00857B48">
        <w:rPr>
          <w:rFonts w:ascii="Arial" w:hAnsi="Arial" w:cs="Arial"/>
          <w:sz w:val="20"/>
          <w:szCs w:val="20"/>
        </w:rPr>
        <w:t xml:space="preserve"> (2016) 258 A Crim R 511, [13]; [2016] VSCA 96.</w:t>
      </w:r>
      <w:r>
        <w:rPr>
          <w:rFonts w:ascii="Arial" w:hAnsi="Arial" w:cs="Arial"/>
          <w:sz w:val="20"/>
          <w:szCs w:val="20"/>
        </w:rPr>
        <w:t xml:space="preserve"> </w:t>
      </w:r>
      <w:r w:rsidRPr="00857B48">
        <w:rPr>
          <w:rFonts w:ascii="Arial" w:hAnsi="Arial" w:cs="Arial"/>
          <w:sz w:val="20"/>
          <w:szCs w:val="20"/>
        </w:rPr>
        <w:t>It enables a court to ensure that ‘its processes are used fairly by State and citizen alike’, protecting its ability to function as a court of law, and thereby maintaining public confidence in the administration of justice</w:t>
      </w:r>
      <w:r>
        <w:rPr>
          <w:rFonts w:ascii="Arial" w:hAnsi="Arial" w:cs="Arial"/>
          <w:sz w:val="20"/>
          <w:szCs w:val="20"/>
        </w:rPr>
        <w:t xml:space="preserve">: </w:t>
      </w:r>
      <w:r w:rsidRPr="00857B48">
        <w:rPr>
          <w:rFonts w:ascii="Arial" w:hAnsi="Arial" w:cs="Arial"/>
          <w:i/>
          <w:iCs/>
          <w:sz w:val="20"/>
          <w:szCs w:val="20"/>
        </w:rPr>
        <w:t>Clark</w:t>
      </w:r>
      <w:r w:rsidRPr="00857B48">
        <w:rPr>
          <w:rFonts w:ascii="Arial" w:hAnsi="Arial" w:cs="Arial"/>
          <w:sz w:val="20"/>
          <w:szCs w:val="20"/>
        </w:rPr>
        <w:t xml:space="preserve"> (2016) 258 A Crim R 511, [14]; [2016] VSCA 96.</w:t>
      </w:r>
    </w:p>
    <w:p w14:paraId="0236E23A" w14:textId="30DC9E97" w:rsidR="00857B48" w:rsidRDefault="00857B48" w:rsidP="00857B48">
      <w:pPr>
        <w:spacing w:before="60"/>
        <w:ind w:left="454" w:right="454"/>
        <w:jc w:val="both"/>
        <w:rPr>
          <w:rFonts w:ascii="Arial" w:hAnsi="Arial" w:cs="Arial"/>
          <w:sz w:val="20"/>
          <w:szCs w:val="20"/>
        </w:rPr>
      </w:pPr>
      <w:r>
        <w:rPr>
          <w:rFonts w:ascii="Arial" w:hAnsi="Arial" w:cs="Arial"/>
          <w:sz w:val="20"/>
          <w:szCs w:val="20"/>
        </w:rPr>
        <w:t xml:space="preserve">[103] </w:t>
      </w:r>
      <w:r w:rsidRPr="00857B48">
        <w:rPr>
          <w:rFonts w:ascii="Arial" w:hAnsi="Arial" w:cs="Arial"/>
          <w:sz w:val="20"/>
          <w:szCs w:val="20"/>
        </w:rPr>
        <w:t>Continuation of proceedings that are unjustifiably and unfairly oppressive will amount to an abuse of process. So will continuation of proceedings where it is not possible to conduct a fair trial.</w:t>
      </w:r>
    </w:p>
    <w:p w14:paraId="5B35BC23" w14:textId="0C31A6E9" w:rsidR="00857B48" w:rsidRDefault="00857B48" w:rsidP="00857B48">
      <w:pPr>
        <w:spacing w:before="60"/>
        <w:ind w:left="454" w:right="454"/>
        <w:jc w:val="both"/>
        <w:rPr>
          <w:rFonts w:ascii="Arial" w:hAnsi="Arial" w:cs="Arial"/>
          <w:sz w:val="20"/>
          <w:szCs w:val="20"/>
        </w:rPr>
      </w:pPr>
      <w:r>
        <w:rPr>
          <w:rFonts w:ascii="Arial" w:hAnsi="Arial" w:cs="Arial"/>
          <w:sz w:val="20"/>
          <w:szCs w:val="20"/>
        </w:rPr>
        <w:t xml:space="preserve">[104] </w:t>
      </w:r>
      <w:r w:rsidRPr="00857B48">
        <w:rPr>
          <w:rFonts w:ascii="Arial" w:hAnsi="Arial" w:cs="Arial"/>
          <w:sz w:val="20"/>
          <w:szCs w:val="20"/>
        </w:rPr>
        <w:t>A person seeking a permanent stay ‘bears the onus of proving that the trial will be unfair or will involve such unfairness or oppression as to constitute an abuse of process’. The onus is a heavy one, and the power to grant a stay will be exercised only in an exceptional case, as a measure of last resort</w:t>
      </w:r>
      <w:r w:rsidR="003B210A">
        <w:rPr>
          <w:rFonts w:ascii="Arial" w:hAnsi="Arial" w:cs="Arial"/>
          <w:sz w:val="20"/>
          <w:szCs w:val="20"/>
        </w:rPr>
        <w:t xml:space="preserve">: </w:t>
      </w:r>
      <w:r w:rsidR="003B210A" w:rsidRPr="003B210A">
        <w:rPr>
          <w:rFonts w:ascii="Arial" w:hAnsi="Arial" w:cs="Arial"/>
          <w:i/>
          <w:iCs/>
          <w:sz w:val="20"/>
          <w:szCs w:val="20"/>
        </w:rPr>
        <w:t>GLJ</w:t>
      </w:r>
      <w:r w:rsidR="003B210A" w:rsidRPr="00857B48">
        <w:rPr>
          <w:rFonts w:ascii="Arial" w:hAnsi="Arial" w:cs="Arial"/>
          <w:sz w:val="20"/>
          <w:szCs w:val="20"/>
        </w:rPr>
        <w:t xml:space="preserve"> (2023) 280 CLR 442, 456 [21]; [2023] HCA 32; </w:t>
      </w:r>
      <w:r w:rsidR="003B210A" w:rsidRPr="003B210A">
        <w:rPr>
          <w:rFonts w:ascii="Arial" w:hAnsi="Arial" w:cs="Arial"/>
          <w:i/>
          <w:iCs/>
          <w:sz w:val="20"/>
          <w:szCs w:val="20"/>
        </w:rPr>
        <w:t>Clark</w:t>
      </w:r>
      <w:r w:rsidR="003B210A" w:rsidRPr="00857B48">
        <w:rPr>
          <w:rFonts w:ascii="Arial" w:hAnsi="Arial" w:cs="Arial"/>
          <w:sz w:val="20"/>
          <w:szCs w:val="20"/>
        </w:rPr>
        <w:t xml:space="preserve"> (2016) 258 A Crim R 511, [17]; [2016] VSCA 96; </w:t>
      </w:r>
      <w:r w:rsidR="003B210A" w:rsidRPr="003B210A">
        <w:rPr>
          <w:rFonts w:ascii="Arial" w:hAnsi="Arial" w:cs="Arial"/>
          <w:i/>
          <w:iCs/>
          <w:sz w:val="20"/>
          <w:szCs w:val="20"/>
        </w:rPr>
        <w:t>Ballard</w:t>
      </w:r>
      <w:r w:rsidR="003B210A" w:rsidRPr="00857B48">
        <w:rPr>
          <w:rFonts w:ascii="Arial" w:hAnsi="Arial" w:cs="Arial"/>
          <w:sz w:val="20"/>
          <w:szCs w:val="20"/>
        </w:rPr>
        <w:t xml:space="preserve"> [2024] VSCA 26, [47]</w:t>
      </w:r>
      <w:r w:rsidR="003B210A">
        <w:rPr>
          <w:rFonts w:ascii="Arial" w:hAnsi="Arial" w:cs="Arial"/>
          <w:sz w:val="20"/>
          <w:szCs w:val="20"/>
        </w:rPr>
        <w:t>.</w:t>
      </w:r>
    </w:p>
    <w:p w14:paraId="7DCA2753" w14:textId="72E3BFD5" w:rsidR="00857B48" w:rsidRDefault="00857B48" w:rsidP="00857B48">
      <w:pPr>
        <w:spacing w:before="60"/>
        <w:ind w:left="454" w:right="454"/>
        <w:jc w:val="both"/>
        <w:rPr>
          <w:rFonts w:ascii="Arial" w:hAnsi="Arial" w:cs="Arial"/>
          <w:sz w:val="20"/>
          <w:szCs w:val="20"/>
        </w:rPr>
      </w:pPr>
      <w:r>
        <w:rPr>
          <w:rFonts w:ascii="Arial" w:hAnsi="Arial" w:cs="Arial"/>
          <w:sz w:val="20"/>
          <w:szCs w:val="20"/>
        </w:rPr>
        <w:t xml:space="preserve">[105] </w:t>
      </w:r>
      <w:r w:rsidRPr="00857B48">
        <w:rPr>
          <w:rFonts w:ascii="Arial" w:hAnsi="Arial" w:cs="Arial"/>
          <w:sz w:val="20"/>
          <w:szCs w:val="20"/>
        </w:rPr>
        <w:t>A permanent stay may be sought on the ground of oppression where the accused is facing a second or subsequent retrial. The authorities recognise the inherently oppressive nature of a third retrial, particularly where previous juries have been unable to reach a verdict</w:t>
      </w:r>
      <w:r w:rsidR="003B210A">
        <w:rPr>
          <w:rFonts w:ascii="Arial" w:hAnsi="Arial" w:cs="Arial"/>
          <w:sz w:val="20"/>
          <w:szCs w:val="20"/>
        </w:rPr>
        <w:t xml:space="preserve">: </w:t>
      </w:r>
      <w:r w:rsidR="003B210A" w:rsidRPr="00857B48">
        <w:rPr>
          <w:rFonts w:ascii="Arial" w:hAnsi="Arial" w:cs="Arial"/>
          <w:sz w:val="20"/>
          <w:szCs w:val="20"/>
        </w:rPr>
        <w:t xml:space="preserve">Eg, </w:t>
      </w:r>
      <w:r w:rsidR="003B210A" w:rsidRPr="003B210A">
        <w:rPr>
          <w:rFonts w:ascii="Arial" w:hAnsi="Arial" w:cs="Arial"/>
          <w:i/>
          <w:iCs/>
          <w:sz w:val="20"/>
          <w:szCs w:val="20"/>
        </w:rPr>
        <w:t>Clark</w:t>
      </w:r>
      <w:r w:rsidR="003B210A" w:rsidRPr="00857B48">
        <w:rPr>
          <w:rFonts w:ascii="Arial" w:hAnsi="Arial" w:cs="Arial"/>
          <w:sz w:val="20"/>
          <w:szCs w:val="20"/>
        </w:rPr>
        <w:t xml:space="preserve"> (2016) 258 A Crim R 511; [2016] VSCA 96.</w:t>
      </w:r>
      <w:r w:rsidR="003B210A">
        <w:rPr>
          <w:rFonts w:ascii="Arial" w:hAnsi="Arial" w:cs="Arial"/>
          <w:sz w:val="20"/>
          <w:szCs w:val="20"/>
        </w:rPr>
        <w:t xml:space="preserve"> </w:t>
      </w:r>
      <w:r w:rsidRPr="00857B48">
        <w:rPr>
          <w:rFonts w:ascii="Arial" w:hAnsi="Arial" w:cs="Arial"/>
          <w:sz w:val="20"/>
          <w:szCs w:val="20"/>
        </w:rPr>
        <w:t>There are also cases where a second retrial has been found to be so oppressive as to amount to an abuse of process</w:t>
      </w:r>
      <w:r w:rsidR="003B210A">
        <w:rPr>
          <w:rFonts w:ascii="Arial" w:hAnsi="Arial" w:cs="Arial"/>
          <w:sz w:val="20"/>
          <w:szCs w:val="20"/>
        </w:rPr>
        <w:t xml:space="preserve">: </w:t>
      </w:r>
      <w:r w:rsidR="003B210A" w:rsidRPr="00857B48">
        <w:rPr>
          <w:rFonts w:ascii="Arial" w:hAnsi="Arial" w:cs="Arial"/>
          <w:sz w:val="20"/>
          <w:szCs w:val="20"/>
        </w:rPr>
        <w:t xml:space="preserve">Eg, </w:t>
      </w:r>
      <w:r w:rsidR="003B210A" w:rsidRPr="003B210A">
        <w:rPr>
          <w:rFonts w:ascii="Arial" w:hAnsi="Arial" w:cs="Arial"/>
          <w:i/>
          <w:iCs/>
          <w:sz w:val="20"/>
          <w:szCs w:val="20"/>
        </w:rPr>
        <w:t>Porter</w:t>
      </w:r>
      <w:r w:rsidR="003B210A" w:rsidRPr="00857B48">
        <w:rPr>
          <w:rFonts w:ascii="Arial" w:hAnsi="Arial" w:cs="Arial"/>
          <w:sz w:val="20"/>
          <w:szCs w:val="20"/>
        </w:rPr>
        <w:t xml:space="preserve"> [2024] VSCA 127; cf</w:t>
      </w:r>
      <w:r w:rsidR="003B210A">
        <w:rPr>
          <w:rFonts w:ascii="Arial" w:hAnsi="Arial" w:cs="Arial"/>
          <w:sz w:val="20"/>
          <w:szCs w:val="20"/>
        </w:rPr>
        <w:t>.</w:t>
      </w:r>
      <w:r w:rsidR="003B210A" w:rsidRPr="00857B48">
        <w:rPr>
          <w:rFonts w:ascii="Arial" w:hAnsi="Arial" w:cs="Arial"/>
          <w:sz w:val="20"/>
          <w:szCs w:val="20"/>
        </w:rPr>
        <w:t xml:space="preserve"> </w:t>
      </w:r>
      <w:r w:rsidR="003B210A" w:rsidRPr="003B210A">
        <w:rPr>
          <w:rFonts w:ascii="Arial" w:hAnsi="Arial" w:cs="Arial"/>
          <w:i/>
          <w:iCs/>
          <w:sz w:val="20"/>
          <w:szCs w:val="20"/>
        </w:rPr>
        <w:t>R v Bell</w:t>
      </w:r>
      <w:r w:rsidR="003B210A" w:rsidRPr="00857B48">
        <w:rPr>
          <w:rFonts w:ascii="Arial" w:hAnsi="Arial" w:cs="Arial"/>
          <w:sz w:val="20"/>
          <w:szCs w:val="20"/>
        </w:rPr>
        <w:t xml:space="preserve"> [2010] 1 Cr App R 27, [46].</w:t>
      </w:r>
      <w:r w:rsidR="003B210A">
        <w:rPr>
          <w:rFonts w:ascii="Arial" w:hAnsi="Arial" w:cs="Arial"/>
          <w:sz w:val="20"/>
          <w:szCs w:val="20"/>
        </w:rPr>
        <w:t xml:space="preserve"> </w:t>
      </w:r>
      <w:r w:rsidRPr="00857B48">
        <w:rPr>
          <w:rFonts w:ascii="Arial" w:hAnsi="Arial" w:cs="Arial"/>
          <w:sz w:val="20"/>
          <w:szCs w:val="20"/>
        </w:rPr>
        <w:t>However, each case turns on its own circumstances, and oppression is not established merely by reference to the number of trials the accused has faced. Whether ‘any given case will constitute an abuse of process must fall to be determined on a close and careful consideration of the facts of the case’</w:t>
      </w:r>
      <w:r w:rsidR="003B210A">
        <w:rPr>
          <w:rFonts w:ascii="Arial" w:hAnsi="Arial" w:cs="Arial"/>
          <w:sz w:val="20"/>
          <w:szCs w:val="20"/>
        </w:rPr>
        <w:t xml:space="preserve">: </w:t>
      </w:r>
      <w:r w:rsidR="003B210A" w:rsidRPr="003B210A">
        <w:rPr>
          <w:rFonts w:ascii="Arial" w:hAnsi="Arial" w:cs="Arial"/>
          <w:i/>
          <w:iCs/>
          <w:sz w:val="20"/>
          <w:szCs w:val="20"/>
        </w:rPr>
        <w:t xml:space="preserve">Porter </w:t>
      </w:r>
      <w:r w:rsidR="003B210A" w:rsidRPr="00857B48">
        <w:rPr>
          <w:rFonts w:ascii="Arial" w:hAnsi="Arial" w:cs="Arial"/>
          <w:sz w:val="20"/>
          <w:szCs w:val="20"/>
        </w:rPr>
        <w:t>[2024] VSCA 127, [53]</w:t>
      </w:r>
      <w:r w:rsidR="003B210A">
        <w:rPr>
          <w:rFonts w:ascii="Arial" w:hAnsi="Arial" w:cs="Arial"/>
          <w:sz w:val="20"/>
          <w:szCs w:val="20"/>
        </w:rPr>
        <w:t>.</w:t>
      </w:r>
    </w:p>
    <w:p w14:paraId="5DCCC98A" w14:textId="283C18DC" w:rsidR="00857B48" w:rsidRDefault="00857B48" w:rsidP="00857B48">
      <w:pPr>
        <w:spacing w:before="60"/>
        <w:ind w:left="454" w:right="454"/>
        <w:jc w:val="both"/>
        <w:rPr>
          <w:rFonts w:ascii="Arial" w:hAnsi="Arial" w:cs="Arial"/>
          <w:sz w:val="20"/>
          <w:szCs w:val="20"/>
        </w:rPr>
      </w:pPr>
      <w:r>
        <w:rPr>
          <w:rFonts w:ascii="Arial" w:hAnsi="Arial" w:cs="Arial"/>
          <w:sz w:val="20"/>
          <w:szCs w:val="20"/>
        </w:rPr>
        <w:t xml:space="preserve">[106] </w:t>
      </w:r>
      <w:r w:rsidRPr="00857B48">
        <w:rPr>
          <w:rFonts w:ascii="Arial" w:hAnsi="Arial" w:cs="Arial"/>
          <w:sz w:val="20"/>
          <w:szCs w:val="20"/>
        </w:rPr>
        <w:t>There is ‘but one uniquely right answer’ to each of the questions whether a third trial of the applicant would be necessarily unfair or so unfairly and unjustifiably oppressive as to constitute an abuse of process</w:t>
      </w:r>
      <w:r w:rsidR="003B210A">
        <w:rPr>
          <w:rFonts w:ascii="Arial" w:hAnsi="Arial" w:cs="Arial"/>
          <w:sz w:val="20"/>
          <w:szCs w:val="20"/>
        </w:rPr>
        <w:t xml:space="preserve">: </w:t>
      </w:r>
      <w:r w:rsidR="003B210A" w:rsidRPr="003B210A">
        <w:rPr>
          <w:rFonts w:ascii="Arial" w:hAnsi="Arial" w:cs="Arial"/>
          <w:i/>
          <w:iCs/>
          <w:sz w:val="20"/>
          <w:szCs w:val="20"/>
        </w:rPr>
        <w:t>GLJ</w:t>
      </w:r>
      <w:r w:rsidR="003B210A" w:rsidRPr="00857B48">
        <w:rPr>
          <w:rFonts w:ascii="Arial" w:hAnsi="Arial" w:cs="Arial"/>
          <w:sz w:val="20"/>
          <w:szCs w:val="20"/>
        </w:rPr>
        <w:t xml:space="preserve"> (2023) 280 CLR 442, 456 [17]; [2023] HCA 32.</w:t>
      </w:r>
      <w:r w:rsidRPr="00857B48">
        <w:rPr>
          <w:rFonts w:ascii="Arial" w:hAnsi="Arial" w:cs="Arial"/>
          <w:sz w:val="20"/>
          <w:szCs w:val="20"/>
        </w:rPr>
        <w:t xml:space="preserve"> As a result, the correctness standard of appellate review applies to this Court’s review of the judge’s decision to refuse to grant a permanent stay</w:t>
      </w:r>
      <w:r w:rsidR="003B210A">
        <w:rPr>
          <w:rFonts w:ascii="Arial" w:hAnsi="Arial" w:cs="Arial"/>
          <w:sz w:val="20"/>
          <w:szCs w:val="20"/>
        </w:rPr>
        <w:t xml:space="preserve">: </w:t>
      </w:r>
      <w:r w:rsidR="003B210A" w:rsidRPr="003B210A">
        <w:rPr>
          <w:rFonts w:ascii="Arial" w:hAnsi="Arial" w:cs="Arial"/>
          <w:i/>
          <w:iCs/>
          <w:sz w:val="20"/>
          <w:szCs w:val="20"/>
        </w:rPr>
        <w:t>GLJ</w:t>
      </w:r>
      <w:r w:rsidR="003B210A" w:rsidRPr="00857B48">
        <w:rPr>
          <w:rFonts w:ascii="Arial" w:hAnsi="Arial" w:cs="Arial"/>
          <w:sz w:val="20"/>
          <w:szCs w:val="20"/>
        </w:rPr>
        <w:t xml:space="preserve"> (2023) 280 CLR 442, 456 [23]; [2023] HCA 32; </w:t>
      </w:r>
      <w:r w:rsidR="003B210A" w:rsidRPr="003B210A">
        <w:rPr>
          <w:rFonts w:ascii="Arial" w:hAnsi="Arial" w:cs="Arial"/>
          <w:i/>
          <w:iCs/>
          <w:sz w:val="20"/>
          <w:szCs w:val="20"/>
        </w:rPr>
        <w:t>Ballard</w:t>
      </w:r>
      <w:r w:rsidR="003B210A" w:rsidRPr="00857B48">
        <w:rPr>
          <w:rFonts w:ascii="Arial" w:hAnsi="Arial" w:cs="Arial"/>
          <w:sz w:val="20"/>
          <w:szCs w:val="20"/>
        </w:rPr>
        <w:t xml:space="preserve"> [2024] VSCA 26, [46]; </w:t>
      </w:r>
      <w:r w:rsidR="003B210A" w:rsidRPr="003B210A">
        <w:rPr>
          <w:rFonts w:ascii="Arial" w:hAnsi="Arial" w:cs="Arial"/>
          <w:i/>
          <w:iCs/>
          <w:sz w:val="20"/>
          <w:szCs w:val="20"/>
        </w:rPr>
        <w:t>Porter</w:t>
      </w:r>
      <w:r w:rsidR="003B210A" w:rsidRPr="00857B48">
        <w:rPr>
          <w:rFonts w:ascii="Arial" w:hAnsi="Arial" w:cs="Arial"/>
          <w:sz w:val="20"/>
          <w:szCs w:val="20"/>
        </w:rPr>
        <w:t xml:space="preserve"> [2024] VSCA 127, [46]</w:t>
      </w:r>
      <w:r w:rsidR="003B210A">
        <w:rPr>
          <w:rFonts w:ascii="Arial" w:hAnsi="Arial" w:cs="Arial"/>
          <w:sz w:val="20"/>
          <w:szCs w:val="20"/>
        </w:rPr>
        <w:t>.</w:t>
      </w:r>
      <w:r w:rsidRPr="00857B48">
        <w:rPr>
          <w:rFonts w:ascii="Arial" w:hAnsi="Arial" w:cs="Arial"/>
          <w:sz w:val="20"/>
          <w:szCs w:val="20"/>
        </w:rPr>
        <w:t xml:space="preserve"> In this case, the Court is in as good a position as the judge to decide the question, and must give effect to its own judgment.</w:t>
      </w:r>
      <w:r w:rsidR="003B210A">
        <w:rPr>
          <w:rFonts w:ascii="Arial" w:hAnsi="Arial" w:cs="Arial"/>
          <w:sz w:val="20"/>
          <w:szCs w:val="20"/>
        </w:rPr>
        <w:t>”</w:t>
      </w:r>
    </w:p>
    <w:p w14:paraId="474547C4" w14:textId="752F7BA6" w:rsidR="00C32C92" w:rsidRDefault="003B210A" w:rsidP="00C32C92">
      <w:pPr>
        <w:spacing w:before="60"/>
        <w:jc w:val="both"/>
        <w:rPr>
          <w:rFonts w:ascii="Arial" w:hAnsi="Arial" w:cs="Arial"/>
          <w:sz w:val="20"/>
        </w:rPr>
      </w:pPr>
      <w:r>
        <w:rPr>
          <w:rFonts w:ascii="Arial" w:hAnsi="Arial" w:cs="Arial"/>
          <w:sz w:val="20"/>
          <w:szCs w:val="20"/>
        </w:rPr>
        <w:t xml:space="preserve">In applying these principles to the circumstances of this case </w:t>
      </w:r>
      <w:r w:rsidR="00910973">
        <w:rPr>
          <w:rFonts w:ascii="Arial" w:hAnsi="Arial" w:cs="Arial"/>
          <w:sz w:val="20"/>
          <w:szCs w:val="20"/>
        </w:rPr>
        <w:t xml:space="preserve">their Honours </w:t>
      </w:r>
      <w:r w:rsidR="00C32C92">
        <w:rPr>
          <w:rFonts w:ascii="Arial" w:hAnsi="Arial" w:cs="Arial"/>
          <w:sz w:val="20"/>
          <w:szCs w:val="20"/>
        </w:rPr>
        <w:t>concluded</w:t>
      </w:r>
      <w:r w:rsidR="00910973">
        <w:rPr>
          <w:rFonts w:ascii="Arial" w:hAnsi="Arial" w:cs="Arial"/>
          <w:sz w:val="20"/>
          <w:szCs w:val="20"/>
        </w:rPr>
        <w:t xml:space="preserve"> at</w:t>
      </w:r>
      <w:r w:rsidR="00C32C92">
        <w:rPr>
          <w:rFonts w:ascii="Arial" w:hAnsi="Arial" w:cs="Arial"/>
          <w:sz w:val="20"/>
          <w:szCs w:val="20"/>
        </w:rPr>
        <w:t xml:space="preserve"> [</w:t>
      </w:r>
      <w:r w:rsidR="00C32C92">
        <w:rPr>
          <w:rFonts w:ascii="Arial" w:hAnsi="Arial" w:cs="Arial"/>
          <w:sz w:val="20"/>
        </w:rPr>
        <w:t>137]:</w:t>
      </w:r>
    </w:p>
    <w:p w14:paraId="47DF0970" w14:textId="77777777" w:rsidR="00C32C92" w:rsidRDefault="00C32C92" w:rsidP="00C32C92">
      <w:pPr>
        <w:spacing w:before="60"/>
        <w:ind w:left="454" w:right="454"/>
        <w:jc w:val="both"/>
        <w:rPr>
          <w:rFonts w:ascii="Arial" w:hAnsi="Arial" w:cs="Arial"/>
          <w:sz w:val="20"/>
          <w:szCs w:val="20"/>
        </w:rPr>
      </w:pPr>
      <w:r>
        <w:rPr>
          <w:rFonts w:ascii="Arial" w:hAnsi="Arial" w:cs="Arial"/>
          <w:sz w:val="20"/>
          <w:szCs w:val="20"/>
        </w:rPr>
        <w:t>“We are acutely conscious that the power to permanently stay criminal proceedings is to be exercised only in an exceptional case, as a measure of last resort. In our view, this is an exceptional case, involving a unique combination of factors that compel the conclusion that the continuation of these proceedings against the applicant would be unfairly and unjustifiably oppressive, and would amount to an abuse of process.”</w:t>
      </w:r>
    </w:p>
    <w:p w14:paraId="5B08BD65" w14:textId="36C59667" w:rsidR="00C32C92" w:rsidRDefault="00C32C92" w:rsidP="003B210A">
      <w:pPr>
        <w:spacing w:before="60"/>
        <w:jc w:val="both"/>
        <w:rPr>
          <w:rFonts w:ascii="Arial" w:hAnsi="Arial" w:cs="Arial"/>
          <w:sz w:val="20"/>
          <w:szCs w:val="20"/>
        </w:rPr>
      </w:pPr>
      <w:r>
        <w:rPr>
          <w:rFonts w:ascii="Arial" w:hAnsi="Arial" w:cs="Arial"/>
          <w:sz w:val="20"/>
          <w:szCs w:val="20"/>
        </w:rPr>
        <w:t>In coming to this conclusion their Honours detailed their reasons at [119]-[128] as follows:</w:t>
      </w:r>
    </w:p>
    <w:p w14:paraId="6C83D300" w14:textId="2CD25859" w:rsidR="009F0D1F" w:rsidRDefault="009F0D1F" w:rsidP="00F245B2">
      <w:pPr>
        <w:pStyle w:val="ListParagraph"/>
        <w:numPr>
          <w:ilvl w:val="0"/>
          <w:numId w:val="156"/>
        </w:numPr>
        <w:spacing w:before="60"/>
        <w:ind w:left="454" w:hanging="454"/>
        <w:jc w:val="both"/>
        <w:rPr>
          <w:rFonts w:ascii="Arial" w:hAnsi="Arial" w:cs="Arial"/>
          <w:sz w:val="20"/>
        </w:rPr>
      </w:pPr>
      <w:r>
        <w:rPr>
          <w:rFonts w:ascii="Arial" w:hAnsi="Arial" w:cs="Arial"/>
          <w:sz w:val="20"/>
        </w:rPr>
        <w:t xml:space="preserve">The applicant was arrested in September 2016. At the first trial in 2019 the jury could not reach a verdict. The second trial in 2021 resulted in convictions which were overturned on appeal. “While a third trial on the same charges is ‘inherently oppressive’, that does not of itself amount to an abuse of process. </w:t>
      </w:r>
      <w:r w:rsidRPr="003B210A">
        <w:rPr>
          <w:rFonts w:ascii="Arial" w:hAnsi="Arial" w:cs="Arial"/>
          <w:sz w:val="20"/>
        </w:rPr>
        <w:t>A permanent stay could be granted in this case only if there are sufficiently weighty additional factors which, in combination, mean that a third trial of the applicant would be so unfairly and unjustifiably oppressive as to constitute an abuse of process.</w:t>
      </w:r>
      <w:r>
        <w:rPr>
          <w:rFonts w:ascii="Arial" w:hAnsi="Arial" w:cs="Arial"/>
          <w:sz w:val="20"/>
        </w:rPr>
        <w:t>”</w:t>
      </w:r>
    </w:p>
    <w:p w14:paraId="7A34F8E5" w14:textId="10359A8C" w:rsidR="009F0D1F" w:rsidRDefault="00C32C92" w:rsidP="00F245B2">
      <w:pPr>
        <w:pStyle w:val="ListParagraph"/>
        <w:numPr>
          <w:ilvl w:val="0"/>
          <w:numId w:val="156"/>
        </w:numPr>
        <w:spacing w:before="60"/>
        <w:ind w:left="454" w:hanging="454"/>
        <w:jc w:val="both"/>
        <w:rPr>
          <w:rFonts w:ascii="Arial" w:hAnsi="Arial" w:cs="Arial"/>
          <w:sz w:val="20"/>
        </w:rPr>
      </w:pPr>
      <w:r>
        <w:rPr>
          <w:rFonts w:ascii="Arial" w:hAnsi="Arial" w:cs="Arial"/>
          <w:sz w:val="20"/>
        </w:rPr>
        <w:t>“</w:t>
      </w:r>
      <w:r w:rsidR="009F0D1F">
        <w:rPr>
          <w:rFonts w:ascii="Arial" w:hAnsi="Arial" w:cs="Arial"/>
          <w:sz w:val="20"/>
        </w:rPr>
        <w:t xml:space="preserve">There are </w:t>
      </w:r>
      <w:r w:rsidR="009F0D1F" w:rsidRPr="003B210A">
        <w:rPr>
          <w:rFonts w:ascii="Arial" w:hAnsi="Arial" w:cs="Arial"/>
          <w:sz w:val="20"/>
        </w:rPr>
        <w:t>features of this case that mean that a third trial of the applicant would involve a high degree of personal oppression, well in excess of the strain and anxiety experienced by any accused person in a criminal trial</w:t>
      </w:r>
      <w:r>
        <w:rPr>
          <w:rFonts w:ascii="Arial" w:hAnsi="Arial" w:cs="Arial"/>
          <w:sz w:val="20"/>
        </w:rPr>
        <w:t>”</w:t>
      </w:r>
      <w:r w:rsidR="009F0D1F">
        <w:rPr>
          <w:rFonts w:ascii="Arial" w:hAnsi="Arial" w:cs="Arial"/>
          <w:sz w:val="20"/>
        </w:rPr>
        <w:t>:</w:t>
      </w:r>
    </w:p>
    <w:p w14:paraId="6328BA50" w14:textId="1732E84C" w:rsidR="009F0D1F" w:rsidRDefault="00F245B2">
      <w:pPr>
        <w:pStyle w:val="ListParagraph"/>
        <w:numPr>
          <w:ilvl w:val="0"/>
          <w:numId w:val="175"/>
        </w:numPr>
        <w:ind w:left="908" w:hanging="454"/>
        <w:jc w:val="both"/>
        <w:rPr>
          <w:rFonts w:ascii="Arial" w:hAnsi="Arial" w:cs="Arial"/>
          <w:sz w:val="20"/>
        </w:rPr>
      </w:pPr>
      <w:r>
        <w:rPr>
          <w:rFonts w:ascii="Arial" w:hAnsi="Arial" w:cs="Arial"/>
          <w:sz w:val="20"/>
        </w:rPr>
        <w:t>“</w:t>
      </w:r>
      <w:r w:rsidR="009F0D1F">
        <w:rPr>
          <w:rFonts w:ascii="Arial" w:hAnsi="Arial" w:cs="Arial"/>
          <w:sz w:val="20"/>
        </w:rPr>
        <w:t>T</w:t>
      </w:r>
      <w:r w:rsidR="009F0D1F" w:rsidRPr="003B210A">
        <w:rPr>
          <w:rFonts w:ascii="Arial" w:hAnsi="Arial" w:cs="Arial"/>
          <w:sz w:val="20"/>
        </w:rPr>
        <w:t>he applicant has a mild intellectual disability, with ‘significant impairments across a range of cognitive domains including attention, processing speed, verbal abilities, and learning and new memory’.</w:t>
      </w:r>
      <w:r>
        <w:rPr>
          <w:rFonts w:ascii="Arial" w:hAnsi="Arial" w:cs="Arial"/>
          <w:sz w:val="20"/>
        </w:rPr>
        <w:t xml:space="preserve"> The finding that she is fit to stand trial should not obscure the reality that her cognitive impairments limit her ability to understand and participate in a trial.”</w:t>
      </w:r>
    </w:p>
    <w:p w14:paraId="61BE7352" w14:textId="02B49EB2" w:rsidR="00760F69" w:rsidRPr="00760F69" w:rsidRDefault="00F245B2">
      <w:pPr>
        <w:pStyle w:val="ListParagraph"/>
        <w:numPr>
          <w:ilvl w:val="0"/>
          <w:numId w:val="175"/>
        </w:numPr>
        <w:ind w:left="908" w:hanging="454"/>
        <w:jc w:val="both"/>
        <w:rPr>
          <w:rFonts w:ascii="Arial" w:hAnsi="Arial" w:cs="Arial"/>
          <w:sz w:val="20"/>
        </w:rPr>
      </w:pPr>
      <w:r>
        <w:rPr>
          <w:rFonts w:ascii="Arial" w:hAnsi="Arial" w:cs="Arial"/>
          <w:sz w:val="20"/>
        </w:rPr>
        <w:lastRenderedPageBreak/>
        <w:t>“</w:t>
      </w:r>
      <w:r w:rsidR="009F0D1F">
        <w:rPr>
          <w:rFonts w:ascii="Arial" w:hAnsi="Arial" w:cs="Arial"/>
          <w:sz w:val="20"/>
        </w:rPr>
        <w:t>T</w:t>
      </w:r>
      <w:r w:rsidR="009F0D1F" w:rsidRPr="003B210A">
        <w:rPr>
          <w:rFonts w:ascii="Arial" w:hAnsi="Arial" w:cs="Arial"/>
          <w:sz w:val="20"/>
        </w:rPr>
        <w:t>he applicant suffers PTSD as a consequence of JR’s awful abuse of her during their relationship.</w:t>
      </w:r>
      <w:r>
        <w:rPr>
          <w:rFonts w:ascii="Arial" w:hAnsi="Arial" w:cs="Arial"/>
          <w:sz w:val="20"/>
        </w:rPr>
        <w:t>”</w:t>
      </w:r>
    </w:p>
    <w:p w14:paraId="7CF01BE0" w14:textId="25614E30" w:rsidR="00760F69" w:rsidRDefault="00C32C92" w:rsidP="00F245B2">
      <w:pPr>
        <w:pStyle w:val="ListParagraph"/>
        <w:numPr>
          <w:ilvl w:val="0"/>
          <w:numId w:val="156"/>
        </w:numPr>
        <w:spacing w:before="60"/>
        <w:ind w:left="454" w:hanging="454"/>
        <w:jc w:val="both"/>
        <w:rPr>
          <w:rFonts w:ascii="Arial" w:hAnsi="Arial" w:cs="Arial"/>
          <w:sz w:val="20"/>
        </w:rPr>
      </w:pPr>
      <w:r>
        <w:rPr>
          <w:rFonts w:ascii="Arial" w:hAnsi="Arial" w:cs="Arial"/>
          <w:sz w:val="20"/>
        </w:rPr>
        <w:t>“</w:t>
      </w:r>
      <w:r w:rsidR="00760F69" w:rsidRPr="003B210A">
        <w:rPr>
          <w:rFonts w:ascii="Arial" w:hAnsi="Arial" w:cs="Arial"/>
          <w:sz w:val="20"/>
        </w:rPr>
        <w:t>The applicant has now been subject to the criminal process for more than nine years. Most of that delay is because the applicant was incorrectly prevented from raising a defence of duress at the second trial. Six years have passed since the second trial judge excluded that defence. The time taken to bring the criminal proceedings against the applicant to a conclusion is in itself oppressive.</w:t>
      </w:r>
      <w:r>
        <w:rPr>
          <w:rFonts w:ascii="Arial" w:hAnsi="Arial" w:cs="Arial"/>
          <w:sz w:val="20"/>
        </w:rPr>
        <w:t>”</w:t>
      </w:r>
    </w:p>
    <w:p w14:paraId="7CC3E0AD" w14:textId="33329726" w:rsidR="00760F69" w:rsidRDefault="00C32C92" w:rsidP="00F245B2">
      <w:pPr>
        <w:pStyle w:val="ListParagraph"/>
        <w:numPr>
          <w:ilvl w:val="0"/>
          <w:numId w:val="156"/>
        </w:numPr>
        <w:spacing w:before="60"/>
        <w:ind w:left="454" w:hanging="454"/>
        <w:jc w:val="both"/>
        <w:rPr>
          <w:rFonts w:ascii="Arial" w:hAnsi="Arial" w:cs="Arial"/>
          <w:sz w:val="20"/>
        </w:rPr>
      </w:pPr>
      <w:r>
        <w:rPr>
          <w:rFonts w:ascii="Arial" w:hAnsi="Arial" w:cs="Arial"/>
          <w:sz w:val="20"/>
        </w:rPr>
        <w:t>“</w:t>
      </w:r>
      <w:r w:rsidR="00760F69">
        <w:rPr>
          <w:rFonts w:ascii="Arial" w:hAnsi="Arial" w:cs="Arial"/>
          <w:sz w:val="20"/>
        </w:rPr>
        <w:t>Th</w:t>
      </w:r>
      <w:r w:rsidR="00760F69" w:rsidRPr="003B210A">
        <w:rPr>
          <w:rFonts w:ascii="Arial" w:hAnsi="Arial" w:cs="Arial"/>
          <w:sz w:val="20"/>
        </w:rPr>
        <w:t>e applicant spent 15 months in prison following the conviction that was later set aside by this Court. Her time in custody was more than usually difficult; her mental health declined markedly and she was at times suicidal. Prison authorities were unable to prevent her from being bullied by other prisoners, despite moving her to four different units.</w:t>
      </w:r>
      <w:r>
        <w:rPr>
          <w:rFonts w:ascii="Arial" w:hAnsi="Arial" w:cs="Arial"/>
          <w:sz w:val="20"/>
        </w:rPr>
        <w:t>”</w:t>
      </w:r>
    </w:p>
    <w:p w14:paraId="216E34FA" w14:textId="38ABDABD" w:rsidR="00760F69" w:rsidRDefault="00C32C92" w:rsidP="00F245B2">
      <w:pPr>
        <w:pStyle w:val="ListParagraph"/>
        <w:numPr>
          <w:ilvl w:val="0"/>
          <w:numId w:val="156"/>
        </w:numPr>
        <w:spacing w:before="60"/>
        <w:ind w:left="454" w:hanging="454"/>
        <w:jc w:val="both"/>
        <w:rPr>
          <w:rFonts w:ascii="Arial" w:hAnsi="Arial" w:cs="Arial"/>
          <w:sz w:val="20"/>
        </w:rPr>
      </w:pPr>
      <w:r>
        <w:rPr>
          <w:rFonts w:ascii="Arial" w:hAnsi="Arial" w:cs="Arial"/>
          <w:sz w:val="20"/>
        </w:rPr>
        <w:t>“</w:t>
      </w:r>
      <w:r w:rsidR="00760F69">
        <w:rPr>
          <w:rFonts w:ascii="Arial" w:hAnsi="Arial" w:cs="Arial"/>
          <w:sz w:val="20"/>
        </w:rPr>
        <w:t>T</w:t>
      </w:r>
      <w:r w:rsidR="00760F69" w:rsidRPr="003B210A">
        <w:rPr>
          <w:rFonts w:ascii="Arial" w:hAnsi="Arial" w:cs="Arial"/>
          <w:sz w:val="20"/>
        </w:rPr>
        <w:t>he applicant will go to trial knowing that JR is not to be tried for the joint charges, which she will experience as unfair and unequal treatment. She cannot be expected to understand the Crown’s calculation that there was insufficient public interest in pursuing the remaining charges against JR, the primary offender, but that it was nevertheless in the public interest to proceed against the applicant.</w:t>
      </w:r>
      <w:r>
        <w:rPr>
          <w:rFonts w:ascii="Arial" w:hAnsi="Arial" w:cs="Arial"/>
          <w:sz w:val="20"/>
        </w:rPr>
        <w:t>”</w:t>
      </w:r>
    </w:p>
    <w:p w14:paraId="21E908DE" w14:textId="77777777" w:rsidR="00526AE9" w:rsidRDefault="00526AE9" w:rsidP="00C32C92">
      <w:pPr>
        <w:jc w:val="both"/>
        <w:rPr>
          <w:rFonts w:ascii="Arial" w:hAnsi="Arial" w:cs="Arial"/>
          <w:sz w:val="20"/>
        </w:rPr>
      </w:pPr>
    </w:p>
    <w:p w14:paraId="1BC2C966" w14:textId="38AC9079" w:rsidR="00FB2166" w:rsidRDefault="00D73175" w:rsidP="002A6040">
      <w:pPr>
        <w:jc w:val="both"/>
        <w:rPr>
          <w:rFonts w:ascii="Arial" w:hAnsi="Arial" w:cs="Arial"/>
          <w:sz w:val="20"/>
        </w:rPr>
      </w:pPr>
      <w:r>
        <w:rPr>
          <w:rFonts w:ascii="Arial" w:hAnsi="Arial" w:cs="Arial"/>
          <w:sz w:val="20"/>
        </w:rPr>
        <w:t xml:space="preserve">See also </w:t>
      </w:r>
      <w:r w:rsidR="00C17780" w:rsidRPr="00435CC5">
        <w:rPr>
          <w:rFonts w:ascii="Arial" w:hAnsi="Arial" w:cs="Arial"/>
          <w:i/>
          <w:sz w:val="20"/>
          <w:szCs w:val="22"/>
        </w:rPr>
        <w:t>Mokbel v DPP (Vic) &amp; Ors</w:t>
      </w:r>
      <w:r w:rsidR="00C17780">
        <w:rPr>
          <w:rFonts w:ascii="Arial" w:hAnsi="Arial" w:cs="Arial"/>
          <w:sz w:val="20"/>
        </w:rPr>
        <w:t xml:space="preserve"> [2008] VSC 433 per Kaye</w:t>
      </w:r>
      <w:r w:rsidR="00860E87">
        <w:rPr>
          <w:rFonts w:ascii="Arial" w:hAnsi="Arial" w:cs="Arial"/>
          <w:sz w:val="20"/>
        </w:rPr>
        <w:t xml:space="preserve"> </w:t>
      </w:r>
      <w:r w:rsidR="00C17780">
        <w:rPr>
          <w:rFonts w:ascii="Arial" w:hAnsi="Arial" w:cs="Arial"/>
          <w:sz w:val="20"/>
        </w:rPr>
        <w:t xml:space="preserve">J at [24]-[39]; </w:t>
      </w:r>
      <w:r w:rsidRPr="00D73175">
        <w:rPr>
          <w:rFonts w:ascii="Arial" w:hAnsi="Arial" w:cs="Arial"/>
          <w:i/>
          <w:iCs/>
          <w:sz w:val="20"/>
        </w:rPr>
        <w:t>Neville Donohue v The</w:t>
      </w:r>
      <w:r w:rsidR="003362BE">
        <w:rPr>
          <w:rFonts w:ascii="Arial" w:hAnsi="Arial" w:cs="Arial"/>
          <w:i/>
          <w:iCs/>
          <w:sz w:val="20"/>
        </w:rPr>
        <w:t xml:space="preserve"> </w:t>
      </w:r>
      <w:r w:rsidRPr="00D73175">
        <w:rPr>
          <w:rFonts w:ascii="Arial" w:hAnsi="Arial" w:cs="Arial"/>
          <w:i/>
          <w:iCs/>
          <w:sz w:val="20"/>
        </w:rPr>
        <w:t>Queen (No.3)</w:t>
      </w:r>
      <w:r>
        <w:rPr>
          <w:rFonts w:ascii="Arial" w:hAnsi="Arial" w:cs="Arial"/>
          <w:sz w:val="20"/>
        </w:rPr>
        <w:t xml:space="preserve"> [2020] VSCA 302</w:t>
      </w:r>
      <w:r w:rsidR="00B37B7B">
        <w:rPr>
          <w:rFonts w:ascii="Arial" w:hAnsi="Arial" w:cs="Arial"/>
          <w:sz w:val="20"/>
        </w:rPr>
        <w:t xml:space="preserve">; </w:t>
      </w:r>
      <w:bookmarkStart w:id="237" w:name="_Hlk155679434"/>
      <w:r w:rsidR="00B37B7B" w:rsidRPr="00B37B7B">
        <w:rPr>
          <w:rFonts w:ascii="Arial" w:hAnsi="Arial" w:cs="Arial"/>
          <w:i/>
          <w:iCs/>
          <w:sz w:val="20"/>
        </w:rPr>
        <w:t>Karam v The King</w:t>
      </w:r>
      <w:r w:rsidR="00B37B7B">
        <w:rPr>
          <w:rFonts w:ascii="Arial" w:hAnsi="Arial" w:cs="Arial"/>
          <w:sz w:val="20"/>
        </w:rPr>
        <w:t xml:space="preserve"> [2023] VSCA 318 at [187]-[3</w:t>
      </w:r>
      <w:r w:rsidR="001216CB">
        <w:rPr>
          <w:rFonts w:ascii="Arial" w:hAnsi="Arial" w:cs="Arial"/>
          <w:sz w:val="20"/>
        </w:rPr>
        <w:t>55</w:t>
      </w:r>
      <w:r w:rsidR="00B37B7B">
        <w:rPr>
          <w:rFonts w:ascii="Arial" w:hAnsi="Arial" w:cs="Arial"/>
          <w:sz w:val="20"/>
        </w:rPr>
        <w:t>]</w:t>
      </w:r>
      <w:r w:rsidR="00C46132">
        <w:rPr>
          <w:rFonts w:ascii="Arial" w:hAnsi="Arial" w:cs="Arial"/>
          <w:sz w:val="20"/>
        </w:rPr>
        <w:t xml:space="preserve">; </w:t>
      </w:r>
      <w:r w:rsidR="00C46132" w:rsidRPr="00C46132">
        <w:rPr>
          <w:rFonts w:ascii="Arial" w:hAnsi="Arial" w:cs="Arial"/>
          <w:i/>
          <w:iCs/>
          <w:sz w:val="20"/>
        </w:rPr>
        <w:t>Kuksal v Victorian Legal Services Board</w:t>
      </w:r>
      <w:r w:rsidR="00C46132">
        <w:rPr>
          <w:rFonts w:ascii="Arial" w:hAnsi="Arial" w:cs="Arial"/>
          <w:sz w:val="20"/>
        </w:rPr>
        <w:t xml:space="preserve"> [2024] VSC 732 at [61]-[73]</w:t>
      </w:r>
      <w:r>
        <w:rPr>
          <w:rFonts w:ascii="Arial" w:hAnsi="Arial" w:cs="Arial"/>
          <w:sz w:val="20"/>
        </w:rPr>
        <w:t>.</w:t>
      </w:r>
      <w:bookmarkEnd w:id="237"/>
    </w:p>
    <w:p w14:paraId="65253B26" w14:textId="77777777" w:rsidR="00C46132" w:rsidRDefault="00C46132" w:rsidP="002A6040">
      <w:pPr>
        <w:jc w:val="both"/>
        <w:rPr>
          <w:rFonts w:ascii="Arial" w:hAnsi="Arial" w:cs="Arial"/>
          <w:sz w:val="20"/>
        </w:rPr>
      </w:pPr>
    </w:p>
    <w:p w14:paraId="732A034A" w14:textId="4F2F5037" w:rsidR="008919A1" w:rsidRDefault="008919A1" w:rsidP="002A6040">
      <w:pPr>
        <w:jc w:val="both"/>
        <w:rPr>
          <w:rFonts w:ascii="Arial" w:hAnsi="Arial" w:cs="Arial"/>
          <w:sz w:val="20"/>
        </w:rPr>
      </w:pPr>
      <w:r>
        <w:rPr>
          <w:rFonts w:ascii="Arial" w:hAnsi="Arial" w:cs="Arial"/>
          <w:sz w:val="20"/>
        </w:rPr>
        <w:t xml:space="preserve">In </w:t>
      </w:r>
      <w:r w:rsidRPr="008919A1">
        <w:rPr>
          <w:rFonts w:ascii="Arial" w:hAnsi="Arial" w:cs="Arial"/>
          <w:i/>
          <w:iCs/>
          <w:sz w:val="20"/>
        </w:rPr>
        <w:t>Willmot v Queensland</w:t>
      </w:r>
      <w:r>
        <w:rPr>
          <w:rFonts w:ascii="Arial" w:hAnsi="Arial" w:cs="Arial"/>
          <w:sz w:val="20"/>
        </w:rPr>
        <w:t xml:space="preserve"> [2024] HCA 42 the appellant, an indigenous woman, brought proceedings against the State of Queensland seeking damages for sexual abuse and serious physical abuse she alleged she had suffered more than 50 years before when she was a “State Child”.</w:t>
      </w:r>
      <w:r w:rsidR="00BB5CD7">
        <w:rPr>
          <w:rFonts w:ascii="Arial" w:hAnsi="Arial" w:cs="Arial"/>
          <w:sz w:val="20"/>
        </w:rPr>
        <w:t xml:space="preserve">  The primary judge had granted a permanent stay of the proceedings. The Queensland Court of Appeal dismissed the appellant’s appeal against the stay. The High Court allowed the appeal in part</w:t>
      </w:r>
      <w:r w:rsidR="003362BE">
        <w:rPr>
          <w:rFonts w:ascii="Arial" w:hAnsi="Arial" w:cs="Arial"/>
          <w:sz w:val="20"/>
        </w:rPr>
        <w:t xml:space="preserve">, holding that the State’s application for a permanent stay should be dismissed except in relation to one particular allegation of digital penetration and </w:t>
      </w:r>
      <w:r w:rsidR="00CA7EF8">
        <w:rPr>
          <w:rFonts w:ascii="Arial" w:hAnsi="Arial" w:cs="Arial"/>
          <w:sz w:val="20"/>
        </w:rPr>
        <w:t xml:space="preserve">certain </w:t>
      </w:r>
      <w:r w:rsidR="003362BE">
        <w:rPr>
          <w:rFonts w:ascii="Arial" w:hAnsi="Arial" w:cs="Arial"/>
          <w:sz w:val="20"/>
        </w:rPr>
        <w:t xml:space="preserve">allegations of physical abuse which were part of a different allegation. </w:t>
      </w:r>
      <w:r w:rsidR="00BB5CD7">
        <w:rPr>
          <w:rFonts w:ascii="Arial" w:hAnsi="Arial" w:cs="Arial"/>
          <w:sz w:val="20"/>
        </w:rPr>
        <w:t>At</w:t>
      </w:r>
      <w:r w:rsidR="00CA7EF8">
        <w:rPr>
          <w:rFonts w:ascii="Arial" w:hAnsi="Arial" w:cs="Arial"/>
          <w:sz w:val="20"/>
        </w:rPr>
        <w:t> </w:t>
      </w:r>
      <w:r w:rsidR="00BB5CD7">
        <w:rPr>
          <w:rFonts w:ascii="Arial" w:hAnsi="Arial" w:cs="Arial"/>
          <w:sz w:val="20"/>
        </w:rPr>
        <w:t>[</w:t>
      </w:r>
      <w:proofErr w:type="gramStart"/>
      <w:r w:rsidR="00BB5CD7">
        <w:rPr>
          <w:rFonts w:ascii="Arial" w:hAnsi="Arial" w:cs="Arial"/>
          <w:sz w:val="20"/>
        </w:rPr>
        <w:t>1</w:t>
      </w:r>
      <w:r w:rsidR="00BF042D">
        <w:rPr>
          <w:rFonts w:ascii="Arial" w:hAnsi="Arial" w:cs="Arial"/>
          <w:sz w:val="20"/>
        </w:rPr>
        <w:t>5</w:t>
      </w:r>
      <w:r w:rsidR="00BB5CD7">
        <w:rPr>
          <w:rFonts w:ascii="Arial" w:hAnsi="Arial" w:cs="Arial"/>
          <w:sz w:val="20"/>
        </w:rPr>
        <w:t>]</w:t>
      </w:r>
      <w:r w:rsidR="00CA7EF8">
        <w:rPr>
          <w:rFonts w:ascii="Arial" w:hAnsi="Arial" w:cs="Arial"/>
          <w:sz w:val="20"/>
        </w:rPr>
        <w:noBreakHyphen/>
      </w:r>
      <w:proofErr w:type="gramEnd"/>
      <w:r w:rsidR="00BB5CD7">
        <w:rPr>
          <w:rFonts w:ascii="Arial" w:hAnsi="Arial" w:cs="Arial"/>
          <w:sz w:val="20"/>
        </w:rPr>
        <w:t>[</w:t>
      </w:r>
      <w:r w:rsidR="003362BE">
        <w:rPr>
          <w:rFonts w:ascii="Arial" w:hAnsi="Arial" w:cs="Arial"/>
          <w:sz w:val="20"/>
        </w:rPr>
        <w:t>18</w:t>
      </w:r>
      <w:r w:rsidR="00BB5CD7">
        <w:rPr>
          <w:rFonts w:ascii="Arial" w:hAnsi="Arial" w:cs="Arial"/>
          <w:sz w:val="20"/>
        </w:rPr>
        <w:t>] the plurality (Gageler CJ, Gordon, Jagot &amp; Beech-Jones JJ) said:</w:t>
      </w:r>
    </w:p>
    <w:p w14:paraId="6F371BC3" w14:textId="2CAC4C78" w:rsidR="00BB5CD7" w:rsidRPr="00BB5CD7" w:rsidRDefault="00BB5CD7" w:rsidP="00BB5CD7">
      <w:pPr>
        <w:spacing w:before="60"/>
        <w:ind w:left="454" w:right="454"/>
        <w:jc w:val="both"/>
        <w:rPr>
          <w:rFonts w:ascii="Arial" w:hAnsi="Arial" w:cs="Arial"/>
          <w:sz w:val="20"/>
          <w:szCs w:val="20"/>
        </w:rPr>
      </w:pPr>
      <w:r w:rsidRPr="00BB5CD7">
        <w:rPr>
          <w:rFonts w:ascii="Arial" w:hAnsi="Arial" w:cs="Arial"/>
          <w:sz w:val="20"/>
          <w:szCs w:val="20"/>
        </w:rPr>
        <w:t>[1</w:t>
      </w:r>
      <w:r w:rsidR="00BF042D">
        <w:rPr>
          <w:rFonts w:ascii="Arial" w:hAnsi="Arial" w:cs="Arial"/>
          <w:sz w:val="20"/>
          <w:szCs w:val="20"/>
        </w:rPr>
        <w:t>5</w:t>
      </w:r>
      <w:r w:rsidRPr="00BB5CD7">
        <w:rPr>
          <w:rFonts w:ascii="Arial" w:hAnsi="Arial" w:cs="Arial"/>
          <w:sz w:val="20"/>
          <w:szCs w:val="20"/>
        </w:rPr>
        <w:t>]</w:t>
      </w:r>
      <w:r>
        <w:rPr>
          <w:rFonts w:ascii="Arial" w:hAnsi="Arial" w:cs="Arial"/>
          <w:sz w:val="20"/>
          <w:szCs w:val="20"/>
        </w:rPr>
        <w:t xml:space="preserve"> “</w:t>
      </w:r>
      <w:r w:rsidRPr="008919A1">
        <w:rPr>
          <w:rFonts w:ascii="Arial" w:hAnsi="Arial" w:cs="Arial"/>
          <w:sz w:val="20"/>
        </w:rPr>
        <w:t xml:space="preserve">The principles relating to a permanent stay of proceedings were conveniently summarised by Bell P in </w:t>
      </w:r>
      <w:r w:rsidRPr="00BB5CD7">
        <w:rPr>
          <w:rFonts w:ascii="Arial" w:hAnsi="Arial" w:cs="Arial"/>
          <w:i/>
          <w:iCs/>
          <w:sz w:val="20"/>
        </w:rPr>
        <w:t>Moubarak by his tutor Coorey v Holt</w:t>
      </w:r>
      <w:r w:rsidRPr="008919A1">
        <w:rPr>
          <w:rFonts w:ascii="Arial" w:hAnsi="Arial" w:cs="Arial"/>
          <w:sz w:val="20"/>
        </w:rPr>
        <w:t xml:space="preserve"> </w:t>
      </w:r>
      <w:r>
        <w:rPr>
          <w:rFonts w:ascii="Arial" w:hAnsi="Arial" w:cs="Arial"/>
          <w:sz w:val="20"/>
        </w:rPr>
        <w:t xml:space="preserve">(2019) 100 NSWLR 218 at 233234 [71] (references omitted) </w:t>
      </w:r>
      <w:r w:rsidRPr="008919A1">
        <w:rPr>
          <w:rFonts w:ascii="Arial" w:hAnsi="Arial" w:cs="Arial"/>
          <w:sz w:val="20"/>
        </w:rPr>
        <w:t>as follows:</w:t>
      </w:r>
    </w:p>
    <w:p w14:paraId="6D7CBB94" w14:textId="2751D013" w:rsidR="00BB5CD7" w:rsidRPr="00BF042D" w:rsidRDefault="00BB5CD7" w:rsidP="00BB5CD7">
      <w:pPr>
        <w:spacing w:before="60"/>
        <w:ind w:left="1264" w:right="907" w:hanging="357"/>
        <w:jc w:val="both"/>
        <w:rPr>
          <w:rFonts w:ascii="Arial" w:hAnsi="Arial" w:cs="Arial"/>
          <w:sz w:val="18"/>
          <w:szCs w:val="18"/>
        </w:rPr>
      </w:pPr>
      <w:r w:rsidRPr="00BF042D">
        <w:rPr>
          <w:rFonts w:ascii="Arial" w:hAnsi="Arial" w:cs="Arial"/>
          <w:sz w:val="18"/>
          <w:szCs w:val="18"/>
        </w:rPr>
        <w:t>(1)</w:t>
      </w:r>
      <w:r w:rsidRPr="00BF042D">
        <w:rPr>
          <w:rFonts w:ascii="Arial" w:hAnsi="Arial" w:cs="Arial"/>
          <w:sz w:val="18"/>
          <w:szCs w:val="18"/>
        </w:rPr>
        <w:tab/>
        <w:t>the onus of proving that a permanent stay of proceedings should be granted lies squarely on a defendant ...</w:t>
      </w:r>
    </w:p>
    <w:p w14:paraId="196E2F8E" w14:textId="17909569" w:rsidR="00BB5CD7" w:rsidRPr="00BF042D" w:rsidRDefault="00BB5CD7" w:rsidP="00BB5CD7">
      <w:pPr>
        <w:spacing w:before="60"/>
        <w:ind w:left="1264" w:right="907" w:hanging="357"/>
        <w:jc w:val="both"/>
        <w:rPr>
          <w:rFonts w:ascii="Arial" w:hAnsi="Arial" w:cs="Arial"/>
          <w:sz w:val="18"/>
          <w:szCs w:val="18"/>
        </w:rPr>
      </w:pPr>
      <w:r w:rsidRPr="00BF042D">
        <w:rPr>
          <w:rFonts w:ascii="Arial" w:hAnsi="Arial" w:cs="Arial"/>
          <w:sz w:val="18"/>
          <w:szCs w:val="18"/>
        </w:rPr>
        <w:t>(2)</w:t>
      </w:r>
      <w:r w:rsidRPr="00BF042D">
        <w:rPr>
          <w:rFonts w:ascii="Arial" w:hAnsi="Arial" w:cs="Arial"/>
          <w:sz w:val="18"/>
          <w:szCs w:val="18"/>
        </w:rPr>
        <w:tab/>
      </w:r>
      <w:r w:rsidR="00A04AC5" w:rsidRPr="00BF042D">
        <w:rPr>
          <w:rFonts w:ascii="Arial" w:hAnsi="Arial" w:cs="Arial"/>
          <w:sz w:val="18"/>
          <w:szCs w:val="18"/>
        </w:rPr>
        <w:t>a permanent stay should only be ordered in exceptional circumstances ...</w:t>
      </w:r>
    </w:p>
    <w:p w14:paraId="18A0DC9B" w14:textId="5BD654B1" w:rsidR="00A04AC5" w:rsidRPr="00BF042D" w:rsidRDefault="00A04AC5" w:rsidP="00BB5CD7">
      <w:pPr>
        <w:spacing w:before="60"/>
        <w:ind w:left="1264" w:right="907" w:hanging="357"/>
        <w:jc w:val="both"/>
        <w:rPr>
          <w:rFonts w:ascii="Arial" w:hAnsi="Arial" w:cs="Arial"/>
          <w:sz w:val="18"/>
          <w:szCs w:val="18"/>
        </w:rPr>
      </w:pPr>
      <w:r w:rsidRPr="00BF042D">
        <w:rPr>
          <w:rFonts w:ascii="Arial" w:hAnsi="Arial" w:cs="Arial"/>
          <w:sz w:val="18"/>
          <w:szCs w:val="18"/>
        </w:rPr>
        <w:t>(3)</w:t>
      </w:r>
      <w:r w:rsidR="00BF042D" w:rsidRPr="00BF042D">
        <w:rPr>
          <w:rFonts w:ascii="Arial" w:hAnsi="Arial" w:cs="Arial"/>
          <w:sz w:val="18"/>
          <w:szCs w:val="18"/>
        </w:rPr>
        <w:tab/>
      </w:r>
      <w:r w:rsidRPr="00BF042D">
        <w:rPr>
          <w:rFonts w:ascii="Arial" w:hAnsi="Arial" w:cs="Arial"/>
          <w:sz w:val="18"/>
          <w:szCs w:val="18"/>
        </w:rPr>
        <w:t>a permanent stay should be granted when the interests of the administration of justice so demand ...</w:t>
      </w:r>
    </w:p>
    <w:p w14:paraId="7E1D1F23" w14:textId="002F1089" w:rsidR="00A04AC5"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(4)</w:t>
      </w:r>
      <w:r w:rsidRPr="00BF042D">
        <w:rPr>
          <w:rFonts w:ascii="Arial" w:hAnsi="Arial" w:cs="Arial"/>
          <w:sz w:val="18"/>
          <w:szCs w:val="18"/>
        </w:rPr>
        <w:tab/>
        <w:t>the categories of cases in which a permanent stay may be ordered are not closed...</w:t>
      </w:r>
    </w:p>
    <w:p w14:paraId="35D9E227" w14:textId="5C3EEA26"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(5)</w:t>
      </w:r>
      <w:r w:rsidRPr="00BF042D">
        <w:rPr>
          <w:rFonts w:ascii="Arial" w:hAnsi="Arial" w:cs="Arial"/>
          <w:sz w:val="18"/>
          <w:szCs w:val="18"/>
        </w:rPr>
        <w:tab/>
        <w:t>one category of case where a permanent stay may be ordered is where the proceedings or their continuance would be vexatious or oppressive ...</w:t>
      </w:r>
    </w:p>
    <w:p w14:paraId="7ED3B453" w14:textId="1E6D23B3"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(6)</w:t>
      </w:r>
      <w:r w:rsidRPr="00BF042D">
        <w:rPr>
          <w:rFonts w:ascii="Arial" w:hAnsi="Arial" w:cs="Arial"/>
          <w:sz w:val="18"/>
          <w:szCs w:val="18"/>
        </w:rPr>
        <w:tab/>
        <w:t>the continuation of proceedings may be oppressive if that is their objective effect ...</w:t>
      </w:r>
    </w:p>
    <w:p w14:paraId="4054B258" w14:textId="31656A86"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(7)</w:t>
      </w:r>
      <w:r w:rsidRPr="00BF042D">
        <w:rPr>
          <w:rFonts w:ascii="Arial" w:hAnsi="Arial" w:cs="Arial"/>
          <w:sz w:val="18"/>
          <w:szCs w:val="18"/>
        </w:rPr>
        <w:tab/>
        <w:t>proceedings may be oppressive where their effect is 'seriously and unfairly burdensome, prejudicial or damaging' ...</w:t>
      </w:r>
    </w:p>
    <w:p w14:paraId="175BCF58" w14:textId="64649D2B"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(8)</w:t>
      </w:r>
      <w:r w:rsidRPr="00BF042D">
        <w:rPr>
          <w:rFonts w:ascii="Arial" w:hAnsi="Arial" w:cs="Arial"/>
          <w:sz w:val="18"/>
          <w:szCs w:val="18"/>
        </w:rPr>
        <w:tab/>
        <w:t>proceedings may be stayed on a permanent basis where their continuation would be manifestly unfair to a party ..., and</w:t>
      </w:r>
    </w:p>
    <w:p w14:paraId="0E0B0EF2" w14:textId="01802AE9"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(9)</w:t>
      </w:r>
      <w:r w:rsidRPr="00BF042D">
        <w:rPr>
          <w:rFonts w:ascii="Arial" w:hAnsi="Arial" w:cs="Arial"/>
          <w:sz w:val="18"/>
          <w:szCs w:val="18"/>
        </w:rPr>
        <w:tab/>
        <w:t>proceedings may be stayed on a permanent basis where their continuation would bring the administration of justice into disrepute amongst right-thinking people ...</w:t>
      </w:r>
    </w:p>
    <w:p w14:paraId="0A01ED00" w14:textId="4DF00B90" w:rsidR="00BF042D" w:rsidRDefault="00BF042D" w:rsidP="00BF042D">
      <w:pPr>
        <w:spacing w:before="60"/>
        <w:ind w:left="454" w:right="454"/>
        <w:jc w:val="both"/>
        <w:rPr>
          <w:rFonts w:ascii="Arial" w:hAnsi="Arial" w:cs="Arial"/>
          <w:sz w:val="20"/>
        </w:rPr>
      </w:pPr>
      <w:r>
        <w:rPr>
          <w:rFonts w:ascii="Arial" w:hAnsi="Arial" w:cs="Arial"/>
          <w:sz w:val="20"/>
          <w:szCs w:val="20"/>
        </w:rPr>
        <w:t xml:space="preserve">[16] </w:t>
      </w:r>
      <w:r w:rsidRPr="008919A1">
        <w:rPr>
          <w:rFonts w:ascii="Arial" w:hAnsi="Arial" w:cs="Arial"/>
          <w:sz w:val="20"/>
        </w:rPr>
        <w:t>The relevant inquiry is whether any prospective trial will be unfair or so unfairly and unjustifiably oppressive as to constitute an abuse of process</w:t>
      </w:r>
      <w:r>
        <w:rPr>
          <w:rFonts w:ascii="Arial" w:hAnsi="Arial" w:cs="Arial"/>
          <w:sz w:val="20"/>
        </w:rPr>
        <w:t xml:space="preserve">: </w:t>
      </w:r>
      <w:r w:rsidRPr="00BF042D">
        <w:rPr>
          <w:rFonts w:ascii="Arial" w:hAnsi="Arial" w:cs="Arial"/>
          <w:i/>
          <w:iCs/>
          <w:sz w:val="20"/>
        </w:rPr>
        <w:t>GLJ</w:t>
      </w:r>
      <w:r w:rsidRPr="00BF042D">
        <w:rPr>
          <w:rFonts w:ascii="Arial" w:hAnsi="Arial" w:cs="Arial"/>
          <w:sz w:val="20"/>
        </w:rPr>
        <w:t xml:space="preserve"> (2023) 97 ALJR 857 at 868</w:t>
      </w:r>
      <w:r>
        <w:rPr>
          <w:rFonts w:ascii="Arial" w:hAnsi="Arial" w:cs="Arial"/>
          <w:sz w:val="20"/>
        </w:rPr>
        <w:t> </w:t>
      </w:r>
      <w:r w:rsidRPr="00BF042D">
        <w:rPr>
          <w:rFonts w:ascii="Arial" w:hAnsi="Arial" w:cs="Arial"/>
          <w:sz w:val="20"/>
        </w:rPr>
        <w:t xml:space="preserve">[23]; 414 ALR 635 at 645. See also </w:t>
      </w:r>
      <w:r w:rsidRPr="00BF042D">
        <w:rPr>
          <w:rFonts w:ascii="Arial" w:hAnsi="Arial" w:cs="Arial"/>
          <w:i/>
          <w:iCs/>
          <w:sz w:val="20"/>
        </w:rPr>
        <w:t>Walton v Gardiner</w:t>
      </w:r>
      <w:r w:rsidRPr="00BF042D">
        <w:rPr>
          <w:rFonts w:ascii="Arial" w:hAnsi="Arial" w:cs="Arial"/>
          <w:sz w:val="20"/>
        </w:rPr>
        <w:t xml:space="preserve"> (1993) 177 CLR 378 at 393; </w:t>
      </w:r>
      <w:r w:rsidRPr="00BF042D">
        <w:rPr>
          <w:rFonts w:ascii="Arial" w:hAnsi="Arial" w:cs="Arial"/>
          <w:i/>
          <w:iCs/>
          <w:sz w:val="20"/>
        </w:rPr>
        <w:t>Tomlinson v Ramsey Food Processing Pty Ltd</w:t>
      </w:r>
      <w:r w:rsidRPr="00BF042D">
        <w:rPr>
          <w:rFonts w:ascii="Arial" w:hAnsi="Arial" w:cs="Arial"/>
          <w:sz w:val="20"/>
        </w:rPr>
        <w:t xml:space="preserve"> (2015) 256 CLR 507 at 518-519 [24]-[25]; </w:t>
      </w:r>
      <w:r w:rsidRPr="00BF042D">
        <w:rPr>
          <w:rFonts w:ascii="Arial" w:hAnsi="Arial" w:cs="Arial"/>
          <w:i/>
          <w:iCs/>
          <w:sz w:val="20"/>
        </w:rPr>
        <w:t>Rozenblit v Vainer</w:t>
      </w:r>
      <w:r w:rsidRPr="00BF042D">
        <w:rPr>
          <w:rFonts w:ascii="Arial" w:hAnsi="Arial" w:cs="Arial"/>
          <w:sz w:val="20"/>
        </w:rPr>
        <w:t xml:space="preserve"> (2018) 262 CLR 478 at 498 [66]; </w:t>
      </w:r>
      <w:r w:rsidRPr="00BF042D">
        <w:rPr>
          <w:rFonts w:ascii="Arial" w:hAnsi="Arial" w:cs="Arial"/>
          <w:i/>
          <w:iCs/>
          <w:sz w:val="20"/>
        </w:rPr>
        <w:t>UBS AG v Tyne</w:t>
      </w:r>
      <w:r w:rsidRPr="00BF042D">
        <w:rPr>
          <w:rFonts w:ascii="Arial" w:hAnsi="Arial" w:cs="Arial"/>
          <w:sz w:val="20"/>
        </w:rPr>
        <w:t xml:space="preserve"> (2018) 265 CLR 77 at 127 [136].</w:t>
      </w:r>
      <w:r w:rsidRPr="008919A1">
        <w:rPr>
          <w:rFonts w:ascii="Arial" w:hAnsi="Arial" w:cs="Arial"/>
          <w:sz w:val="20"/>
        </w:rPr>
        <w:t xml:space="preserve"> If</w:t>
      </w:r>
      <w:r w:rsidR="003362BE">
        <w:rPr>
          <w:rFonts w:ascii="Arial" w:hAnsi="Arial" w:cs="Arial"/>
          <w:sz w:val="20"/>
        </w:rPr>
        <w:t xml:space="preserve"> </w:t>
      </w:r>
      <w:r w:rsidRPr="008919A1">
        <w:rPr>
          <w:rFonts w:ascii="Arial" w:hAnsi="Arial" w:cs="Arial"/>
          <w:sz w:val="20"/>
        </w:rPr>
        <w:t>a</w:t>
      </w:r>
      <w:r w:rsidR="003362BE">
        <w:rPr>
          <w:rFonts w:ascii="Arial" w:hAnsi="Arial" w:cs="Arial"/>
          <w:sz w:val="20"/>
        </w:rPr>
        <w:t xml:space="preserve"> </w:t>
      </w:r>
      <w:r w:rsidRPr="008919A1">
        <w:rPr>
          <w:rFonts w:ascii="Arial" w:hAnsi="Arial" w:cs="Arial"/>
          <w:sz w:val="20"/>
        </w:rPr>
        <w:t>fair trial can be held and will not be so unfairly and unjustifiably oppressive as to constitute an abuse of process, a court ordinarily has a duty to hear and decide the case. If the trial will be necessarily unfair, a stay must be ordere</w:t>
      </w:r>
      <w:r>
        <w:rPr>
          <w:rFonts w:ascii="Arial" w:hAnsi="Arial" w:cs="Arial"/>
          <w:sz w:val="20"/>
        </w:rPr>
        <w:t xml:space="preserve">d: </w:t>
      </w:r>
      <w:r w:rsidRPr="00BF042D">
        <w:rPr>
          <w:rFonts w:ascii="Arial" w:hAnsi="Arial" w:cs="Arial"/>
          <w:i/>
          <w:iCs/>
          <w:sz w:val="20"/>
        </w:rPr>
        <w:t>GLJ</w:t>
      </w:r>
      <w:r w:rsidRPr="00BF042D">
        <w:rPr>
          <w:rFonts w:ascii="Arial" w:hAnsi="Arial" w:cs="Arial"/>
          <w:sz w:val="20"/>
        </w:rPr>
        <w:t xml:space="preserve"> (2023) 97 ALJR 857 at 868 [23]; 414 ALR 635 at 645</w:t>
      </w:r>
      <w:r>
        <w:rPr>
          <w:rFonts w:ascii="Arial" w:hAnsi="Arial" w:cs="Arial"/>
          <w:sz w:val="20"/>
        </w:rPr>
        <w:t>.</w:t>
      </w:r>
    </w:p>
    <w:p w14:paraId="0B877BC1" w14:textId="6902494C" w:rsidR="00BF042D" w:rsidRDefault="00BF042D" w:rsidP="00BF042D">
      <w:pPr>
        <w:spacing w:before="60"/>
        <w:ind w:left="454" w:right="454"/>
        <w:jc w:val="both"/>
        <w:rPr>
          <w:rFonts w:ascii="Arial" w:hAnsi="Arial" w:cs="Arial"/>
          <w:sz w:val="20"/>
        </w:rPr>
      </w:pPr>
      <w:r>
        <w:rPr>
          <w:rFonts w:ascii="Arial" w:hAnsi="Arial" w:cs="Arial"/>
          <w:sz w:val="20"/>
          <w:szCs w:val="20"/>
        </w:rPr>
        <w:t xml:space="preserve">[17] The extreme step of </w:t>
      </w:r>
      <w:r w:rsidR="003362BE" w:rsidRPr="008919A1">
        <w:rPr>
          <w:rFonts w:ascii="Arial" w:hAnsi="Arial" w:cs="Arial"/>
          <w:sz w:val="20"/>
        </w:rPr>
        <w:t>granting a permanent stay demands recognition that the question of whether a trial will necessarily be unfair or so unfairly and unjustifiably oppressive as to constitute an abuse of process admits of only one correct answer</w:t>
      </w:r>
      <w:r w:rsidR="00CA7EF8">
        <w:rPr>
          <w:rFonts w:ascii="Arial" w:hAnsi="Arial" w:cs="Arial"/>
          <w:sz w:val="20"/>
        </w:rPr>
        <w:t xml:space="preserve">: </w:t>
      </w:r>
      <w:r w:rsidR="00CA7EF8" w:rsidRPr="00CA7EF8">
        <w:rPr>
          <w:rFonts w:ascii="Arial" w:hAnsi="Arial" w:cs="Arial"/>
          <w:i/>
          <w:iCs/>
          <w:sz w:val="20"/>
        </w:rPr>
        <w:t>GLJ</w:t>
      </w:r>
      <w:r w:rsidR="00CA7EF8" w:rsidRPr="00CA7EF8">
        <w:rPr>
          <w:rFonts w:ascii="Arial" w:hAnsi="Arial" w:cs="Arial"/>
          <w:sz w:val="20"/>
        </w:rPr>
        <w:t xml:space="preserve"> (2023) 97 ALJR 857 at 866 [17], 868 [23]; 414 ALR 635 at 642-643, 645</w:t>
      </w:r>
      <w:r w:rsidR="003362BE" w:rsidRPr="008919A1">
        <w:rPr>
          <w:rFonts w:ascii="Arial" w:hAnsi="Arial" w:cs="Arial"/>
          <w:sz w:val="20"/>
        </w:rPr>
        <w:t>.</w:t>
      </w:r>
      <w:r w:rsidR="00CA7EF8">
        <w:rPr>
          <w:rFonts w:ascii="Arial" w:hAnsi="Arial" w:cs="Arial"/>
          <w:sz w:val="20"/>
        </w:rPr>
        <w:t xml:space="preserve"> </w:t>
      </w:r>
      <w:r w:rsidR="003362BE" w:rsidRPr="008919A1">
        <w:rPr>
          <w:rFonts w:ascii="Arial" w:hAnsi="Arial" w:cs="Arial"/>
          <w:sz w:val="20"/>
        </w:rPr>
        <w:t>The evaluative inquiry in each case is unique and highly fact-sensitive</w:t>
      </w:r>
      <w:r w:rsidR="00CA7EF8">
        <w:rPr>
          <w:rFonts w:ascii="Arial" w:hAnsi="Arial" w:cs="Arial"/>
          <w:sz w:val="20"/>
        </w:rPr>
        <w:t xml:space="preserve">: </w:t>
      </w:r>
      <w:r w:rsidR="00CA7EF8" w:rsidRPr="00CA7EF8">
        <w:rPr>
          <w:rFonts w:ascii="Arial" w:hAnsi="Arial" w:cs="Arial"/>
          <w:i/>
          <w:iCs/>
          <w:sz w:val="20"/>
        </w:rPr>
        <w:t>GLJ</w:t>
      </w:r>
      <w:r w:rsidR="00CA7EF8" w:rsidRPr="00CA7EF8">
        <w:rPr>
          <w:rFonts w:ascii="Arial" w:hAnsi="Arial" w:cs="Arial"/>
          <w:sz w:val="20"/>
        </w:rPr>
        <w:t xml:space="preserve"> (2023) 97 ALJR 857 at 876 [64]; 414 ALR 635 at 656; cf </w:t>
      </w:r>
      <w:r w:rsidR="00CA7EF8" w:rsidRPr="00CA7EF8">
        <w:rPr>
          <w:rFonts w:ascii="Arial" w:hAnsi="Arial" w:cs="Arial"/>
          <w:i/>
          <w:iCs/>
          <w:sz w:val="20"/>
        </w:rPr>
        <w:t>Batistatos v Roads and Traffic Authority (NSW)</w:t>
      </w:r>
      <w:r w:rsidR="00CA7EF8" w:rsidRPr="00CA7EF8">
        <w:rPr>
          <w:rFonts w:ascii="Arial" w:hAnsi="Arial" w:cs="Arial"/>
          <w:sz w:val="20"/>
        </w:rPr>
        <w:t xml:space="preserve"> (2006) 226 CLR 256 at 264 [7].</w:t>
      </w:r>
      <w:r w:rsidR="00CA7EF8">
        <w:rPr>
          <w:rFonts w:ascii="Arial" w:hAnsi="Arial" w:cs="Arial"/>
          <w:sz w:val="20"/>
        </w:rPr>
        <w:t xml:space="preserve"> </w:t>
      </w:r>
      <w:r w:rsidR="00CA7EF8" w:rsidRPr="00CA7EF8">
        <w:rPr>
          <w:rFonts w:ascii="Arial" w:hAnsi="Arial" w:cs="Arial"/>
          <w:sz w:val="20"/>
        </w:rPr>
        <w:t xml:space="preserve">The correct </w:t>
      </w:r>
      <w:r w:rsidR="00CA7EF8" w:rsidRPr="00CA7EF8">
        <w:rPr>
          <w:rFonts w:ascii="Arial" w:hAnsi="Arial" w:cs="Arial"/>
          <w:sz w:val="20"/>
        </w:rPr>
        <w:lastRenderedPageBreak/>
        <w:t>answer in each case turns on its own facts and requires separate consideration of each claim – its nature, content, and the available evidence</w:t>
      </w:r>
      <w:r w:rsidR="00CA7EF8">
        <w:rPr>
          <w:rFonts w:ascii="Arial" w:hAnsi="Arial" w:cs="Arial"/>
          <w:sz w:val="20"/>
        </w:rPr>
        <w:t xml:space="preserve">: </w:t>
      </w:r>
      <w:r w:rsidR="00880EB0" w:rsidRPr="00880EB0">
        <w:rPr>
          <w:rFonts w:ascii="Arial" w:hAnsi="Arial" w:cs="Arial"/>
          <w:i/>
          <w:iCs/>
          <w:sz w:val="20"/>
        </w:rPr>
        <w:t xml:space="preserve">GLJ </w:t>
      </w:r>
      <w:r w:rsidR="00880EB0" w:rsidRPr="00880EB0">
        <w:rPr>
          <w:rFonts w:ascii="Arial" w:hAnsi="Arial" w:cs="Arial"/>
          <w:sz w:val="20"/>
        </w:rPr>
        <w:t xml:space="preserve">(2023) 97 ALJR 857 at 869 [27], 887 [130], 893 [167]; 414 ALR 635 at 646, 671, 680; </w:t>
      </w:r>
      <w:r w:rsidR="00880EB0" w:rsidRPr="00880EB0">
        <w:rPr>
          <w:rFonts w:ascii="Arial" w:hAnsi="Arial" w:cs="Arial"/>
          <w:i/>
          <w:iCs/>
          <w:sz w:val="20"/>
        </w:rPr>
        <w:t>Moubarak</w:t>
      </w:r>
      <w:r w:rsidR="00880EB0" w:rsidRPr="00880EB0">
        <w:rPr>
          <w:rFonts w:ascii="Arial" w:hAnsi="Arial" w:cs="Arial"/>
          <w:sz w:val="20"/>
        </w:rPr>
        <w:t xml:space="preserve"> (2019) 100 NSWLR 218 at 235 [77].</w:t>
      </w:r>
    </w:p>
    <w:p w14:paraId="25268615" w14:textId="00C24234" w:rsidR="003362BE" w:rsidRPr="00BB5CD7" w:rsidRDefault="003362BE" w:rsidP="00BF042D">
      <w:pPr>
        <w:spacing w:before="60"/>
        <w:ind w:left="454" w:right="454"/>
        <w:jc w:val="both"/>
        <w:rPr>
          <w:rFonts w:ascii="Arial" w:hAnsi="Arial" w:cs="Arial"/>
          <w:sz w:val="20"/>
          <w:szCs w:val="20"/>
        </w:rPr>
      </w:pPr>
      <w:r>
        <w:rPr>
          <w:rFonts w:ascii="Arial" w:hAnsi="Arial" w:cs="Arial"/>
          <w:sz w:val="20"/>
        </w:rPr>
        <w:t xml:space="preserve">[18] </w:t>
      </w:r>
      <w:r w:rsidRPr="003362BE">
        <w:rPr>
          <w:rFonts w:ascii="Arial" w:hAnsi="Arial" w:cs="Arial"/>
          <w:sz w:val="20"/>
        </w:rPr>
        <w:t xml:space="preserve">This Court in </w:t>
      </w:r>
      <w:r w:rsidRPr="003362BE">
        <w:rPr>
          <w:rFonts w:ascii="Arial" w:hAnsi="Arial" w:cs="Arial"/>
          <w:i/>
          <w:iCs/>
          <w:sz w:val="20"/>
        </w:rPr>
        <w:t>GLJ</w:t>
      </w:r>
      <w:r w:rsidRPr="003362BE">
        <w:rPr>
          <w:rFonts w:ascii="Arial" w:hAnsi="Arial" w:cs="Arial"/>
          <w:sz w:val="20"/>
        </w:rPr>
        <w:t xml:space="preserve"> addressed for the first time the application of the stay principles in the context of the recent enactment of s 6A of the Limitation Act 1969 (NSW)</w:t>
      </w:r>
      <w:r w:rsidR="00880EB0">
        <w:rPr>
          <w:rFonts w:ascii="Arial" w:hAnsi="Arial" w:cs="Arial"/>
          <w:sz w:val="20"/>
        </w:rPr>
        <w:t xml:space="preserve"> [which]</w:t>
      </w:r>
      <w:r w:rsidR="00880EB0" w:rsidRPr="00880EB0">
        <w:rPr>
          <w:rFonts w:ascii="Arial" w:hAnsi="Arial" w:cs="Arial"/>
          <w:sz w:val="20"/>
        </w:rPr>
        <w:t xml:space="preserve"> was inserted into the Limitation Act by the Limitation Amendment (Child Abuse) Act 2016 (NSW) in response to recommendations of the Royal Commission</w:t>
      </w:r>
      <w:r w:rsidRPr="003362BE">
        <w:rPr>
          <w:rFonts w:ascii="Arial" w:hAnsi="Arial" w:cs="Arial"/>
          <w:sz w:val="20"/>
        </w:rPr>
        <w:t xml:space="preserve">. The unique evaluative exercise in that appeal was the application of the stay principles, in the context of that provision, to the facts of </w:t>
      </w:r>
      <w:r w:rsidRPr="00880EB0">
        <w:rPr>
          <w:rFonts w:ascii="Arial" w:hAnsi="Arial" w:cs="Arial"/>
          <w:i/>
          <w:iCs/>
          <w:sz w:val="20"/>
        </w:rPr>
        <w:t>GLJ</w:t>
      </w:r>
      <w:r w:rsidR="00880EB0">
        <w:rPr>
          <w:rFonts w:ascii="Arial" w:hAnsi="Arial" w:cs="Arial"/>
          <w:sz w:val="20"/>
        </w:rPr>
        <w:t xml:space="preserve"> </w:t>
      </w:r>
      <w:r w:rsidR="00880EB0" w:rsidRPr="00880EB0">
        <w:rPr>
          <w:rFonts w:ascii="Arial" w:hAnsi="Arial" w:cs="Arial"/>
          <w:sz w:val="20"/>
        </w:rPr>
        <w:t>(2023) 97 ALJR 857 at 886 [123], cf 888 [137]; 414 ALR 635 at 669, cf 673</w:t>
      </w:r>
      <w:r w:rsidR="00880EB0">
        <w:rPr>
          <w:rFonts w:ascii="Arial" w:hAnsi="Arial" w:cs="Arial"/>
          <w:sz w:val="20"/>
        </w:rPr>
        <w:t>.</w:t>
      </w:r>
      <w:r w:rsidRPr="003362BE">
        <w:rPr>
          <w:rFonts w:ascii="Arial" w:hAnsi="Arial" w:cs="Arial"/>
          <w:sz w:val="20"/>
        </w:rPr>
        <w:t xml:space="preserve"> During this appeal, and during the related matter of </w:t>
      </w:r>
      <w:r w:rsidRPr="00880EB0">
        <w:rPr>
          <w:rFonts w:ascii="Arial" w:hAnsi="Arial" w:cs="Arial"/>
          <w:i/>
          <w:iCs/>
          <w:sz w:val="20"/>
        </w:rPr>
        <w:t>RC v The Salvation Army (Western Australia) Property Trust</w:t>
      </w:r>
      <w:r w:rsidR="00880EB0">
        <w:rPr>
          <w:rFonts w:ascii="Arial" w:hAnsi="Arial" w:cs="Arial"/>
          <w:i/>
          <w:iCs/>
          <w:sz w:val="20"/>
        </w:rPr>
        <w:t xml:space="preserve"> </w:t>
      </w:r>
      <w:r w:rsidR="00880EB0" w:rsidRPr="00880EB0">
        <w:rPr>
          <w:rFonts w:ascii="Arial" w:hAnsi="Arial" w:cs="Arial"/>
          <w:sz w:val="20"/>
        </w:rPr>
        <w:t>[202</w:t>
      </w:r>
      <w:r w:rsidR="00880EB0">
        <w:rPr>
          <w:rFonts w:ascii="Arial" w:hAnsi="Arial" w:cs="Arial"/>
          <w:sz w:val="20"/>
        </w:rPr>
        <w:t>4</w:t>
      </w:r>
      <w:r w:rsidR="00880EB0" w:rsidRPr="00880EB0">
        <w:rPr>
          <w:rFonts w:ascii="Arial" w:hAnsi="Arial" w:cs="Arial"/>
          <w:sz w:val="20"/>
        </w:rPr>
        <w:t>] HCA 43</w:t>
      </w:r>
      <w:r w:rsidRPr="003362BE">
        <w:rPr>
          <w:rFonts w:ascii="Arial" w:hAnsi="Arial" w:cs="Arial"/>
          <w:sz w:val="20"/>
        </w:rPr>
        <w:t xml:space="preserve">, it was apparent that different views had been taken of what was required by the application of the approach of the majority of this Court in </w:t>
      </w:r>
      <w:r w:rsidRPr="00880EB0">
        <w:rPr>
          <w:rFonts w:ascii="Arial" w:hAnsi="Arial" w:cs="Arial"/>
          <w:i/>
          <w:iCs/>
          <w:sz w:val="20"/>
        </w:rPr>
        <w:t>GLJ</w:t>
      </w:r>
      <w:r w:rsidRPr="003362BE">
        <w:rPr>
          <w:rFonts w:ascii="Arial" w:hAnsi="Arial" w:cs="Arial"/>
          <w:sz w:val="20"/>
        </w:rPr>
        <w:t xml:space="preserve"> for the operation of the stay principles in the context of s 6A. Indeed, during argument in both matters, it became evident that the meaning and effect of some of the language of the reasons of the majority in </w:t>
      </w:r>
      <w:r w:rsidRPr="00880EB0">
        <w:rPr>
          <w:rFonts w:ascii="Arial" w:hAnsi="Arial" w:cs="Arial"/>
          <w:i/>
          <w:iCs/>
          <w:sz w:val="20"/>
        </w:rPr>
        <w:t>GLJ</w:t>
      </w:r>
      <w:r w:rsidRPr="003362BE">
        <w:rPr>
          <w:rFonts w:ascii="Arial" w:hAnsi="Arial" w:cs="Arial"/>
          <w:sz w:val="20"/>
        </w:rPr>
        <w:t xml:space="preserve"> has been understood in different ways. It is unsurprising then that the facts, matters and issues in this appeal, and in the related matter of </w:t>
      </w:r>
      <w:r w:rsidRPr="00880EB0">
        <w:rPr>
          <w:rFonts w:ascii="Arial" w:hAnsi="Arial" w:cs="Arial"/>
          <w:i/>
          <w:iCs/>
          <w:sz w:val="20"/>
        </w:rPr>
        <w:t>RC</w:t>
      </w:r>
      <w:r w:rsidRPr="003362BE">
        <w:rPr>
          <w:rFonts w:ascii="Arial" w:hAnsi="Arial" w:cs="Arial"/>
          <w:sz w:val="20"/>
        </w:rPr>
        <w:t>, require this Court to consider further aspects of the intersection between the stay principles and s 6A of the Limitation Act and equivalent provisions.</w:t>
      </w:r>
      <w:r>
        <w:rPr>
          <w:rFonts w:ascii="Arial" w:hAnsi="Arial" w:cs="Arial"/>
          <w:sz w:val="20"/>
        </w:rPr>
        <w:t>”</w:t>
      </w:r>
    </w:p>
    <w:p w14:paraId="2F26EF06" w14:textId="77777777" w:rsidR="00BF042D" w:rsidRDefault="00BF042D" w:rsidP="00BF042D">
      <w:pPr>
        <w:jc w:val="both"/>
        <w:rPr>
          <w:rFonts w:ascii="Arial" w:hAnsi="Arial" w:cs="Arial"/>
          <w:sz w:val="20"/>
        </w:rPr>
      </w:pPr>
    </w:p>
    <w:p w14:paraId="7D1C5F73" w14:textId="44C68B56" w:rsidR="00ED1D0C" w:rsidRDefault="00880EB0" w:rsidP="002A6040">
      <w:pPr>
        <w:jc w:val="both"/>
        <w:rPr>
          <w:rFonts w:ascii="Arial" w:hAnsi="Arial" w:cs="Arial"/>
          <w:sz w:val="20"/>
        </w:rPr>
      </w:pPr>
      <w:r>
        <w:rPr>
          <w:rFonts w:ascii="Arial" w:hAnsi="Arial" w:cs="Arial"/>
          <w:sz w:val="18"/>
          <w:szCs w:val="18"/>
        </w:rPr>
        <w:t xml:space="preserve">In </w:t>
      </w:r>
      <w:r w:rsidRPr="00880EB0">
        <w:rPr>
          <w:rFonts w:ascii="Arial" w:hAnsi="Arial" w:cs="Arial"/>
          <w:i/>
          <w:iCs/>
          <w:sz w:val="20"/>
        </w:rPr>
        <w:t>RC v The Salvation Army (Western Australia) Property Trust</w:t>
      </w:r>
      <w:r>
        <w:rPr>
          <w:rFonts w:ascii="Arial" w:hAnsi="Arial" w:cs="Arial"/>
          <w:i/>
          <w:iCs/>
          <w:sz w:val="20"/>
        </w:rPr>
        <w:t xml:space="preserve"> </w:t>
      </w:r>
      <w:r w:rsidRPr="00880EB0">
        <w:rPr>
          <w:rFonts w:ascii="Arial" w:hAnsi="Arial" w:cs="Arial"/>
          <w:sz w:val="20"/>
        </w:rPr>
        <w:t>[202</w:t>
      </w:r>
      <w:r>
        <w:rPr>
          <w:rFonts w:ascii="Arial" w:hAnsi="Arial" w:cs="Arial"/>
          <w:sz w:val="20"/>
        </w:rPr>
        <w:t>4</w:t>
      </w:r>
      <w:r w:rsidRPr="00880EB0">
        <w:rPr>
          <w:rFonts w:ascii="Arial" w:hAnsi="Arial" w:cs="Arial"/>
          <w:sz w:val="20"/>
        </w:rPr>
        <w:t>] HCA 43</w:t>
      </w:r>
      <w:r>
        <w:rPr>
          <w:rFonts w:ascii="Arial" w:hAnsi="Arial" w:cs="Arial"/>
          <w:sz w:val="20"/>
        </w:rPr>
        <w:t xml:space="preserve"> </w:t>
      </w:r>
      <w:r w:rsidR="008919A1" w:rsidRPr="008919A1">
        <w:rPr>
          <w:rFonts w:ascii="Arial" w:hAnsi="Arial" w:cs="Arial"/>
          <w:sz w:val="20"/>
        </w:rPr>
        <w:t>the applicant commenced an action against the respondent (</w:t>
      </w:r>
      <w:r w:rsidR="00ED1D0C">
        <w:rPr>
          <w:rFonts w:ascii="Arial" w:hAnsi="Arial" w:cs="Arial"/>
          <w:sz w:val="20"/>
        </w:rPr>
        <w:t>‘</w:t>
      </w:r>
      <w:r w:rsidR="008919A1" w:rsidRPr="008919A1">
        <w:rPr>
          <w:rFonts w:ascii="Arial" w:hAnsi="Arial" w:cs="Arial"/>
          <w:sz w:val="20"/>
        </w:rPr>
        <w:t>the Salvation Army</w:t>
      </w:r>
      <w:r w:rsidR="00ED1D0C">
        <w:rPr>
          <w:rFonts w:ascii="Arial" w:hAnsi="Arial" w:cs="Arial"/>
          <w:sz w:val="20"/>
        </w:rPr>
        <w:t>’</w:t>
      </w:r>
      <w:r w:rsidR="008919A1" w:rsidRPr="008919A1">
        <w:rPr>
          <w:rFonts w:ascii="Arial" w:hAnsi="Arial" w:cs="Arial"/>
          <w:sz w:val="20"/>
        </w:rPr>
        <w:t>) in the District Court of Western Australia claiming damages for sexual abuse</w:t>
      </w:r>
      <w:r w:rsidR="00D50803">
        <w:rPr>
          <w:rFonts w:ascii="Arial" w:hAnsi="Arial" w:cs="Arial"/>
          <w:sz w:val="20"/>
        </w:rPr>
        <w:t xml:space="preserve"> allegedly suffered between August 1959 and April 1960 when he was 12 and 13 years old and in the care of the Nedlands Boys’ Home.</w:t>
      </w:r>
      <w:r w:rsidR="008919A1" w:rsidRPr="008919A1">
        <w:rPr>
          <w:rFonts w:ascii="Arial" w:hAnsi="Arial" w:cs="Arial"/>
          <w:sz w:val="20"/>
        </w:rPr>
        <w:t xml:space="preserve">. </w:t>
      </w:r>
      <w:r w:rsidR="00ED1D0C">
        <w:rPr>
          <w:rFonts w:ascii="Arial" w:hAnsi="Arial" w:cs="Arial"/>
          <w:sz w:val="20"/>
        </w:rPr>
        <w:t xml:space="preserve">The primary judge had granted a permanent stay of the proceedings. The Western Australian Court of Appeal dismissed the appellant’s appeal against the stay. The High Court allowed the appeal </w:t>
      </w:r>
      <w:r w:rsidR="00D50803">
        <w:rPr>
          <w:rFonts w:ascii="Arial" w:hAnsi="Arial" w:cs="Arial"/>
          <w:sz w:val="20"/>
        </w:rPr>
        <w:t>and dismissed the Salvation Army’s application that the plaintiff’s action be permanently stayed. At</w:t>
      </w:r>
      <w:r w:rsidR="003A299A">
        <w:rPr>
          <w:rFonts w:ascii="Arial" w:hAnsi="Arial" w:cs="Arial"/>
          <w:sz w:val="20"/>
        </w:rPr>
        <w:t xml:space="preserve"> </w:t>
      </w:r>
      <w:r w:rsidR="00D50803">
        <w:rPr>
          <w:rFonts w:ascii="Arial" w:hAnsi="Arial" w:cs="Arial"/>
          <w:sz w:val="20"/>
        </w:rPr>
        <w:t>[3]-[</w:t>
      </w:r>
      <w:r w:rsidR="003A299A">
        <w:rPr>
          <w:rFonts w:ascii="Arial" w:hAnsi="Arial" w:cs="Arial"/>
          <w:sz w:val="20"/>
        </w:rPr>
        <w:t>5</w:t>
      </w:r>
      <w:r w:rsidR="00D50803">
        <w:rPr>
          <w:rFonts w:ascii="Arial" w:hAnsi="Arial" w:cs="Arial"/>
          <w:sz w:val="20"/>
        </w:rPr>
        <w:t>] &amp; [</w:t>
      </w:r>
      <w:r w:rsidR="003A299A">
        <w:rPr>
          <w:rFonts w:ascii="Arial" w:hAnsi="Arial" w:cs="Arial"/>
          <w:sz w:val="20"/>
        </w:rPr>
        <w:t>40</w:t>
      </w:r>
      <w:r w:rsidR="00D50803">
        <w:rPr>
          <w:rFonts w:ascii="Arial" w:hAnsi="Arial" w:cs="Arial"/>
          <w:sz w:val="20"/>
        </w:rPr>
        <w:t>] the plurality (Gageler CJ, Gordon, Jagot &amp; Beech-Jones JJ) said:</w:t>
      </w:r>
    </w:p>
    <w:p w14:paraId="6C006AC0" w14:textId="4F42B5C3" w:rsidR="00D50803" w:rsidRDefault="00D50803" w:rsidP="00D50803">
      <w:pPr>
        <w:spacing w:before="60"/>
        <w:ind w:left="454" w:right="454"/>
        <w:jc w:val="both"/>
        <w:rPr>
          <w:rFonts w:ascii="Arial" w:hAnsi="Arial" w:cs="Arial"/>
          <w:sz w:val="20"/>
        </w:rPr>
      </w:pPr>
      <w:r>
        <w:rPr>
          <w:rFonts w:ascii="Arial" w:hAnsi="Arial" w:cs="Arial"/>
          <w:sz w:val="20"/>
          <w:szCs w:val="20"/>
        </w:rPr>
        <w:t>[3] “</w:t>
      </w:r>
      <w:r w:rsidRPr="00D50803">
        <w:rPr>
          <w:rFonts w:ascii="Arial" w:hAnsi="Arial" w:cs="Arial"/>
          <w:sz w:val="20"/>
        </w:rPr>
        <w:t xml:space="preserve">RC's application for special leave to appeal to this Court was heard immediately following the appeal in </w:t>
      </w:r>
      <w:r w:rsidRPr="00D50803">
        <w:rPr>
          <w:rFonts w:ascii="Arial" w:hAnsi="Arial" w:cs="Arial"/>
          <w:i/>
          <w:iCs/>
          <w:sz w:val="20"/>
        </w:rPr>
        <w:t>Willmot v Queensland</w:t>
      </w:r>
      <w:r>
        <w:rPr>
          <w:rFonts w:ascii="Arial" w:hAnsi="Arial" w:cs="Arial"/>
          <w:i/>
          <w:iCs/>
          <w:sz w:val="20"/>
        </w:rPr>
        <w:t xml:space="preserve"> </w:t>
      </w:r>
      <w:r w:rsidRPr="00D50803">
        <w:rPr>
          <w:rFonts w:ascii="Arial" w:hAnsi="Arial" w:cs="Arial"/>
          <w:sz w:val="20"/>
        </w:rPr>
        <w:t>[2024] HCA 42.</w:t>
      </w:r>
      <w:r>
        <w:rPr>
          <w:rFonts w:ascii="Arial" w:hAnsi="Arial" w:cs="Arial"/>
          <w:b/>
          <w:bCs/>
          <w:sz w:val="20"/>
        </w:rPr>
        <w:t xml:space="preserve"> </w:t>
      </w:r>
      <w:r w:rsidRPr="00D50803">
        <w:rPr>
          <w:rFonts w:ascii="Arial" w:hAnsi="Arial" w:cs="Arial"/>
          <w:sz w:val="20"/>
        </w:rPr>
        <w:t xml:space="preserve">In this matter, and in </w:t>
      </w:r>
      <w:r w:rsidRPr="00D50803">
        <w:rPr>
          <w:rFonts w:ascii="Arial" w:hAnsi="Arial" w:cs="Arial"/>
          <w:i/>
          <w:iCs/>
          <w:sz w:val="20"/>
        </w:rPr>
        <w:t>Willmot</w:t>
      </w:r>
      <w:r w:rsidRPr="00D50803">
        <w:rPr>
          <w:rFonts w:ascii="Arial" w:hAnsi="Arial" w:cs="Arial"/>
          <w:sz w:val="20"/>
        </w:rPr>
        <w:t>, the Court was required to consider the intersection between the principles relating to a permanent stay and a provision that lifted the time-bar on commencing proceedings for a claim for child sexual abuse.</w:t>
      </w:r>
    </w:p>
    <w:p w14:paraId="16DB630C" w14:textId="3489B610" w:rsidR="00D50803" w:rsidRDefault="00D50803" w:rsidP="00D50803">
      <w:pPr>
        <w:spacing w:before="60"/>
        <w:ind w:left="454" w:right="454"/>
        <w:jc w:val="both"/>
        <w:rPr>
          <w:rFonts w:ascii="Arial" w:hAnsi="Arial" w:cs="Arial"/>
          <w:sz w:val="20"/>
        </w:rPr>
      </w:pPr>
      <w:r>
        <w:rPr>
          <w:rFonts w:ascii="Arial" w:hAnsi="Arial" w:cs="Arial"/>
          <w:sz w:val="20"/>
        </w:rPr>
        <w:t xml:space="preserve">[4] </w:t>
      </w:r>
      <w:r w:rsidRPr="00D50803">
        <w:rPr>
          <w:rFonts w:ascii="Arial" w:hAnsi="Arial" w:cs="Arial"/>
          <w:sz w:val="20"/>
        </w:rPr>
        <w:t>In this case, s 6</w:t>
      </w:r>
      <w:proofErr w:type="gramStart"/>
      <w:r w:rsidRPr="00D50803">
        <w:rPr>
          <w:rFonts w:ascii="Arial" w:hAnsi="Arial" w:cs="Arial"/>
          <w:sz w:val="20"/>
        </w:rPr>
        <w:t>A(</w:t>
      </w:r>
      <w:proofErr w:type="gramEnd"/>
      <w:r w:rsidRPr="00D50803">
        <w:rPr>
          <w:rFonts w:ascii="Arial" w:hAnsi="Arial" w:cs="Arial"/>
          <w:sz w:val="20"/>
        </w:rPr>
        <w:t xml:space="preserve">2) of the </w:t>
      </w:r>
      <w:r w:rsidRPr="00D50803">
        <w:rPr>
          <w:rFonts w:ascii="Arial" w:hAnsi="Arial" w:cs="Arial"/>
          <w:i/>
          <w:iCs/>
          <w:sz w:val="20"/>
        </w:rPr>
        <w:t xml:space="preserve">Limitation Act 2005 </w:t>
      </w:r>
      <w:r w:rsidRPr="00D50803">
        <w:rPr>
          <w:rFonts w:ascii="Arial" w:hAnsi="Arial" w:cs="Arial"/>
          <w:sz w:val="20"/>
        </w:rPr>
        <w:t>(WA), which is in substantially similar terms to equivalent provisions in other States and Territories,</w:t>
      </w:r>
      <w:r>
        <w:rPr>
          <w:rFonts w:ascii="Arial" w:hAnsi="Arial" w:cs="Arial"/>
          <w:b/>
          <w:bCs/>
          <w:sz w:val="20"/>
        </w:rPr>
        <w:t xml:space="preserve"> </w:t>
      </w:r>
      <w:r w:rsidRPr="00D50803">
        <w:rPr>
          <w:rFonts w:ascii="Arial" w:hAnsi="Arial" w:cs="Arial"/>
          <w:sz w:val="20"/>
        </w:rPr>
        <w:t>provided that "[d]espite anything in this or any other Act, no limitation period applies in respect of a child sexual abuse action".</w:t>
      </w:r>
      <w:r w:rsidR="003A299A">
        <w:rPr>
          <w:rFonts w:ascii="Arial" w:hAnsi="Arial" w:cs="Arial"/>
          <w:sz w:val="20"/>
        </w:rPr>
        <w:t>..</w:t>
      </w:r>
    </w:p>
    <w:p w14:paraId="6659FA6D" w14:textId="36CE0ECB" w:rsidR="003A299A" w:rsidRDefault="003A299A" w:rsidP="00D50803">
      <w:pPr>
        <w:spacing w:before="60"/>
        <w:ind w:left="454" w:right="454"/>
        <w:jc w:val="both"/>
        <w:rPr>
          <w:rFonts w:ascii="Arial" w:hAnsi="Arial" w:cs="Arial"/>
          <w:sz w:val="20"/>
        </w:rPr>
      </w:pPr>
      <w:r>
        <w:rPr>
          <w:rFonts w:ascii="Arial" w:hAnsi="Arial" w:cs="Arial"/>
          <w:sz w:val="20"/>
        </w:rPr>
        <w:t xml:space="preserve">[5] The principles </w:t>
      </w:r>
      <w:r w:rsidRPr="003A299A">
        <w:rPr>
          <w:rFonts w:ascii="Arial" w:hAnsi="Arial" w:cs="Arial"/>
          <w:sz w:val="20"/>
        </w:rPr>
        <w:t xml:space="preserve">are addressed in </w:t>
      </w:r>
      <w:r w:rsidRPr="003A299A">
        <w:rPr>
          <w:rFonts w:ascii="Arial" w:hAnsi="Arial" w:cs="Arial"/>
          <w:i/>
          <w:iCs/>
          <w:sz w:val="20"/>
        </w:rPr>
        <w:t>Willmot</w:t>
      </w:r>
      <w:r w:rsidRPr="003A299A">
        <w:rPr>
          <w:rFonts w:ascii="Arial" w:hAnsi="Arial" w:cs="Arial"/>
          <w:sz w:val="20"/>
        </w:rPr>
        <w:t xml:space="preserve"> </w:t>
      </w:r>
      <w:r>
        <w:rPr>
          <w:rFonts w:ascii="Arial" w:hAnsi="Arial" w:cs="Arial"/>
          <w:sz w:val="20"/>
        </w:rPr>
        <w:t>a</w:t>
      </w:r>
      <w:r w:rsidRPr="003A299A">
        <w:rPr>
          <w:rFonts w:ascii="Arial" w:hAnsi="Arial" w:cs="Arial"/>
          <w:sz w:val="20"/>
        </w:rPr>
        <w:t>t [15]-[32]. Applying those principles to the unique facts of RC's claim, the Court of Appeal was wrong to conclude that there could be no fair trial of these proceedings. The Salvation Army's application for a permanent stay of the proceedings should have been dismissed and the proceedings should proceed to trial</w:t>
      </w:r>
      <w:r>
        <w:rPr>
          <w:rFonts w:ascii="Arial" w:hAnsi="Arial" w:cs="Arial"/>
          <w:sz w:val="20"/>
        </w:rPr>
        <w:t>.</w:t>
      </w:r>
    </w:p>
    <w:p w14:paraId="5109EDCD" w14:textId="75D56EED" w:rsidR="00D50803" w:rsidRDefault="00D50803" w:rsidP="00D50803">
      <w:pPr>
        <w:spacing w:before="60"/>
        <w:ind w:left="454" w:right="454"/>
        <w:jc w:val="both"/>
        <w:rPr>
          <w:rFonts w:ascii="Arial" w:hAnsi="Arial" w:cs="Arial"/>
          <w:sz w:val="20"/>
        </w:rPr>
      </w:pPr>
      <w:r>
        <w:rPr>
          <w:rFonts w:ascii="Arial" w:hAnsi="Arial" w:cs="Arial"/>
          <w:sz w:val="20"/>
        </w:rPr>
        <w:t>...</w:t>
      </w:r>
    </w:p>
    <w:p w14:paraId="70E23E77" w14:textId="47288B6A" w:rsidR="003A299A" w:rsidRPr="003A299A" w:rsidRDefault="003A299A" w:rsidP="003A299A">
      <w:pPr>
        <w:spacing w:before="60"/>
        <w:ind w:left="454" w:right="454"/>
        <w:jc w:val="both"/>
        <w:rPr>
          <w:rFonts w:ascii="Arial" w:hAnsi="Arial" w:cs="Arial"/>
          <w:sz w:val="20"/>
          <w:szCs w:val="20"/>
        </w:rPr>
      </w:pPr>
      <w:r>
        <w:rPr>
          <w:rFonts w:ascii="Arial" w:hAnsi="Arial" w:cs="Arial"/>
          <w:sz w:val="20"/>
          <w:szCs w:val="20"/>
        </w:rPr>
        <w:t xml:space="preserve">[40] </w:t>
      </w:r>
      <w:r w:rsidRPr="003A299A">
        <w:rPr>
          <w:rFonts w:ascii="Arial" w:hAnsi="Arial" w:cs="Arial"/>
          <w:sz w:val="20"/>
          <w:szCs w:val="20"/>
        </w:rPr>
        <w:t xml:space="preserve">The Salvation Army contends that in the end a trial will be a contest where RC makes allegations that the Salvation Army says it can do no more than deny. That contention is an incomplete description of the Salvation Army's position as it has sufficient information to make a meaningful response to RC's allegations. In any event, as explained in </w:t>
      </w:r>
      <w:r w:rsidRPr="003A299A">
        <w:rPr>
          <w:rFonts w:ascii="Arial" w:hAnsi="Arial" w:cs="Arial"/>
          <w:i/>
          <w:iCs/>
          <w:sz w:val="20"/>
          <w:szCs w:val="20"/>
        </w:rPr>
        <w:t>Willmot</w:t>
      </w:r>
      <w:r>
        <w:rPr>
          <w:rFonts w:ascii="Arial" w:hAnsi="Arial" w:cs="Arial"/>
          <w:sz w:val="20"/>
          <w:szCs w:val="20"/>
        </w:rPr>
        <w:t xml:space="preserve"> at [29], </w:t>
      </w:r>
      <w:r w:rsidRPr="003A299A">
        <w:rPr>
          <w:rFonts w:ascii="Arial" w:hAnsi="Arial" w:cs="Arial"/>
          <w:sz w:val="20"/>
          <w:szCs w:val="20"/>
        </w:rPr>
        <w:t xml:space="preserve">cases where a party can do no more than deny the main allegation are tried in the criminal courts every day. In such cases, a trial judge ordinarily exercises care before accepting uncorroborated evidence of this kind, and the required </w:t>
      </w:r>
      <w:r w:rsidRPr="003A299A">
        <w:rPr>
          <w:rFonts w:ascii="Arial" w:hAnsi="Arial" w:cs="Arial"/>
          <w:i/>
          <w:iCs/>
          <w:sz w:val="20"/>
          <w:szCs w:val="20"/>
        </w:rPr>
        <w:t xml:space="preserve">level </w:t>
      </w:r>
      <w:r w:rsidRPr="003A299A">
        <w:rPr>
          <w:rFonts w:ascii="Arial" w:hAnsi="Arial" w:cs="Arial"/>
          <w:sz w:val="20"/>
          <w:szCs w:val="20"/>
        </w:rPr>
        <w:t xml:space="preserve">of impairment is that the trial would be unfair, even if the trial judge heeds the </w:t>
      </w:r>
      <w:r w:rsidRPr="003A299A">
        <w:rPr>
          <w:rFonts w:ascii="Arial" w:hAnsi="Arial" w:cs="Arial"/>
          <w:i/>
          <w:iCs/>
          <w:sz w:val="20"/>
          <w:szCs w:val="20"/>
        </w:rPr>
        <w:t xml:space="preserve">Longman </w:t>
      </w:r>
      <w:r w:rsidRPr="003A299A">
        <w:rPr>
          <w:rFonts w:ascii="Arial" w:hAnsi="Arial" w:cs="Arial"/>
          <w:sz w:val="20"/>
          <w:szCs w:val="20"/>
        </w:rPr>
        <w:t>warnings</w:t>
      </w:r>
      <w:r w:rsidR="00DA0105">
        <w:rPr>
          <w:rFonts w:ascii="Arial" w:hAnsi="Arial" w:cs="Arial"/>
          <w:sz w:val="20"/>
          <w:szCs w:val="20"/>
        </w:rPr>
        <w:t xml:space="preserve">: see </w:t>
      </w:r>
      <w:r w:rsidR="00DA0105" w:rsidRPr="00DA0105">
        <w:rPr>
          <w:rFonts w:ascii="Arial" w:hAnsi="Arial" w:cs="Arial"/>
          <w:i/>
          <w:iCs/>
          <w:sz w:val="20"/>
          <w:szCs w:val="20"/>
        </w:rPr>
        <w:t xml:space="preserve">Longman v The Queen </w:t>
      </w:r>
      <w:r w:rsidR="00DA0105" w:rsidRPr="00DA0105">
        <w:rPr>
          <w:rFonts w:ascii="Arial" w:hAnsi="Arial" w:cs="Arial"/>
          <w:sz w:val="20"/>
          <w:szCs w:val="20"/>
        </w:rPr>
        <w:t xml:space="preserve">(1989) 168 CLR 79 at 91, citing </w:t>
      </w:r>
      <w:r w:rsidR="00DA0105" w:rsidRPr="00DA0105">
        <w:rPr>
          <w:rFonts w:ascii="Arial" w:hAnsi="Arial" w:cs="Arial"/>
          <w:i/>
          <w:iCs/>
          <w:sz w:val="20"/>
          <w:szCs w:val="20"/>
        </w:rPr>
        <w:t xml:space="preserve">Jago v District Court (NSW) </w:t>
      </w:r>
      <w:r w:rsidR="00DA0105" w:rsidRPr="00DA0105">
        <w:rPr>
          <w:rFonts w:ascii="Arial" w:hAnsi="Arial" w:cs="Arial"/>
          <w:sz w:val="20"/>
          <w:szCs w:val="20"/>
        </w:rPr>
        <w:t>(1989) 168 CLR 23 at 31</w:t>
      </w:r>
      <w:r w:rsidR="00DA0105">
        <w:rPr>
          <w:rFonts w:ascii="Arial" w:hAnsi="Arial" w:cs="Arial"/>
          <w:sz w:val="20"/>
          <w:szCs w:val="20"/>
        </w:rPr>
        <w:noBreakHyphen/>
      </w:r>
      <w:r w:rsidR="00DA0105" w:rsidRPr="00DA0105">
        <w:rPr>
          <w:rFonts w:ascii="Arial" w:hAnsi="Arial" w:cs="Arial"/>
          <w:sz w:val="20"/>
          <w:szCs w:val="20"/>
        </w:rPr>
        <w:t xml:space="preserve">32, 42-44, 56-57, 71-72. </w:t>
      </w:r>
      <w:r w:rsidRPr="003A299A">
        <w:rPr>
          <w:rFonts w:ascii="Arial" w:hAnsi="Arial" w:cs="Arial"/>
          <w:sz w:val="20"/>
          <w:szCs w:val="20"/>
        </w:rPr>
        <w:t>In all the circumstances, the Salvation Army has not discharged its heavy onus to obtain a stay because it has not identified that the trial of the joined issues would be unfair.</w:t>
      </w:r>
      <w:r>
        <w:rPr>
          <w:rFonts w:ascii="Arial" w:hAnsi="Arial" w:cs="Arial"/>
          <w:sz w:val="20"/>
          <w:szCs w:val="20"/>
        </w:rPr>
        <w:t>”</w:t>
      </w:r>
    </w:p>
    <w:p w14:paraId="7DA793F7" w14:textId="77777777" w:rsidR="00ED1D0C" w:rsidRDefault="00ED1D0C" w:rsidP="002A6040">
      <w:pPr>
        <w:jc w:val="both"/>
        <w:rPr>
          <w:rFonts w:ascii="Arial" w:hAnsi="Arial" w:cs="Arial"/>
          <w:sz w:val="20"/>
        </w:rPr>
      </w:pPr>
    </w:p>
    <w:p w14:paraId="4BEBB734" w14:textId="12C3B3C9" w:rsidR="00B03B0B" w:rsidRPr="004C7D62" w:rsidRDefault="00FB2166" w:rsidP="002A6040">
      <w:pPr>
        <w:jc w:val="both"/>
        <w:rPr>
          <w:rFonts w:ascii="Arial" w:hAnsi="Arial" w:cs="Arial"/>
          <w:sz w:val="20"/>
          <w:szCs w:val="20"/>
        </w:rPr>
      </w:pPr>
      <w:r>
        <w:rPr>
          <w:rFonts w:ascii="Arial" w:hAnsi="Arial" w:cs="Arial"/>
          <w:sz w:val="20"/>
        </w:rPr>
        <w:t xml:space="preserve">The power to prevent an abuse of the </w:t>
      </w:r>
      <w:r w:rsidRPr="00FB2166">
        <w:rPr>
          <w:rFonts w:ascii="Arial" w:hAnsi="Arial" w:cs="Arial"/>
          <w:sz w:val="20"/>
        </w:rPr>
        <w:t>Court’s own judicial process</w:t>
      </w:r>
      <w:r>
        <w:rPr>
          <w:rFonts w:ascii="Arial" w:hAnsi="Arial" w:cs="Arial"/>
          <w:sz w:val="20"/>
        </w:rPr>
        <w:t xml:space="preserve"> </w:t>
      </w:r>
      <w:r w:rsidR="00E345FD">
        <w:rPr>
          <w:rFonts w:ascii="Arial" w:hAnsi="Arial" w:cs="Arial"/>
          <w:sz w:val="20"/>
        </w:rPr>
        <w:t xml:space="preserve">also includes in a </w:t>
      </w:r>
      <w:r w:rsidR="006B6A68">
        <w:rPr>
          <w:rFonts w:ascii="Arial" w:hAnsi="Arial" w:cs="Arial"/>
          <w:sz w:val="20"/>
        </w:rPr>
        <w:t>“</w:t>
      </w:r>
      <w:r w:rsidR="00E345FD">
        <w:rPr>
          <w:rFonts w:ascii="Arial" w:hAnsi="Arial" w:cs="Arial"/>
          <w:sz w:val="20"/>
        </w:rPr>
        <w:t>rare and exceptional</w:t>
      </w:r>
      <w:r w:rsidR="006B6A68">
        <w:rPr>
          <w:rFonts w:ascii="Arial" w:hAnsi="Arial" w:cs="Arial"/>
          <w:sz w:val="20"/>
        </w:rPr>
        <w:t>”</w:t>
      </w:r>
      <w:r w:rsidR="00E345FD">
        <w:rPr>
          <w:rFonts w:ascii="Arial" w:hAnsi="Arial" w:cs="Arial"/>
          <w:sz w:val="20"/>
        </w:rPr>
        <w:t xml:space="preserve"> or an </w:t>
      </w:r>
      <w:r w:rsidR="006B6A68">
        <w:rPr>
          <w:rFonts w:ascii="Arial" w:hAnsi="Arial" w:cs="Arial"/>
          <w:sz w:val="20"/>
        </w:rPr>
        <w:t>“</w:t>
      </w:r>
      <w:r w:rsidR="00E345FD">
        <w:rPr>
          <w:rFonts w:ascii="Arial" w:hAnsi="Arial" w:cs="Arial"/>
          <w:sz w:val="20"/>
        </w:rPr>
        <w:t>extreme</w:t>
      </w:r>
      <w:r w:rsidR="006B6A68">
        <w:rPr>
          <w:rFonts w:ascii="Arial" w:hAnsi="Arial" w:cs="Arial"/>
          <w:sz w:val="20"/>
        </w:rPr>
        <w:t>”</w:t>
      </w:r>
      <w:r w:rsidR="00E345FD">
        <w:rPr>
          <w:rFonts w:ascii="Arial" w:hAnsi="Arial" w:cs="Arial"/>
          <w:sz w:val="20"/>
        </w:rPr>
        <w:t xml:space="preserve"> case po</w:t>
      </w:r>
      <w:r w:rsidR="006B6A68">
        <w:rPr>
          <w:rFonts w:ascii="Arial" w:hAnsi="Arial" w:cs="Arial"/>
          <w:sz w:val="20"/>
        </w:rPr>
        <w:t xml:space="preserve">wer to grant a permanent stay: </w:t>
      </w:r>
      <w:r w:rsidR="00E345FD">
        <w:rPr>
          <w:rFonts w:ascii="Arial" w:hAnsi="Arial" w:cs="Arial"/>
          <w:sz w:val="20"/>
        </w:rPr>
        <w:t>see</w:t>
      </w:r>
      <w:r>
        <w:rPr>
          <w:rFonts w:ascii="Arial" w:hAnsi="Arial" w:cs="Arial"/>
          <w:sz w:val="20"/>
        </w:rPr>
        <w:t xml:space="preserve"> </w:t>
      </w:r>
      <w:r w:rsidR="00E345FD" w:rsidRPr="00E345FD">
        <w:rPr>
          <w:rFonts w:ascii="Arial" w:hAnsi="Arial" w:cs="Arial"/>
          <w:i/>
          <w:sz w:val="20"/>
        </w:rPr>
        <w:t>Hadju v Breguet</w:t>
      </w:r>
      <w:r w:rsidR="00E345FD">
        <w:rPr>
          <w:rFonts w:ascii="Arial" w:hAnsi="Arial" w:cs="Arial"/>
          <w:sz w:val="20"/>
        </w:rPr>
        <w:t xml:space="preserve"> [2008] VSC 185 at </w:t>
      </w:r>
      <w:r w:rsidR="002A6040">
        <w:rPr>
          <w:rFonts w:ascii="Arial" w:hAnsi="Arial" w:cs="Arial"/>
          <w:sz w:val="20"/>
        </w:rPr>
        <w:t xml:space="preserve">[15]-[18]; </w:t>
      </w:r>
      <w:r w:rsidR="00E345FD" w:rsidRPr="002A6040">
        <w:rPr>
          <w:rFonts w:ascii="Arial" w:hAnsi="Arial" w:cs="Arial"/>
          <w:i/>
          <w:sz w:val="20"/>
          <w:szCs w:val="20"/>
        </w:rPr>
        <w:t xml:space="preserve">Champion v Richardson </w:t>
      </w:r>
      <w:r w:rsidR="00E345FD" w:rsidRPr="002A6040">
        <w:rPr>
          <w:rFonts w:ascii="Arial" w:hAnsi="Arial" w:cs="Arial"/>
          <w:sz w:val="20"/>
          <w:szCs w:val="20"/>
        </w:rPr>
        <w:t>[2003] VSC 482 at [38]</w:t>
      </w:r>
      <w:r w:rsidR="002A6040" w:rsidRPr="002A6040">
        <w:rPr>
          <w:rFonts w:ascii="Arial" w:hAnsi="Arial" w:cs="Arial"/>
          <w:sz w:val="20"/>
          <w:szCs w:val="20"/>
        </w:rPr>
        <w:t xml:space="preserve">; </w:t>
      </w:r>
      <w:r w:rsidR="00E345FD" w:rsidRPr="002A6040">
        <w:rPr>
          <w:rFonts w:ascii="Arial" w:hAnsi="Arial" w:cs="Arial"/>
          <w:i/>
          <w:sz w:val="20"/>
          <w:szCs w:val="20"/>
        </w:rPr>
        <w:t xml:space="preserve">Jago v District Court of NSW </w:t>
      </w:r>
      <w:r w:rsidR="00E345FD" w:rsidRPr="002A6040">
        <w:rPr>
          <w:rFonts w:ascii="Arial" w:hAnsi="Arial" w:cs="Arial"/>
          <w:sz w:val="20"/>
          <w:szCs w:val="20"/>
        </w:rPr>
        <w:t>(1989) 168 CLR 23</w:t>
      </w:r>
      <w:r w:rsidR="002A6040" w:rsidRPr="002A6040">
        <w:rPr>
          <w:rFonts w:ascii="Arial" w:hAnsi="Arial" w:cs="Arial"/>
          <w:sz w:val="20"/>
          <w:szCs w:val="20"/>
        </w:rPr>
        <w:t xml:space="preserve"> at</w:t>
      </w:r>
      <w:r w:rsidR="00E345FD" w:rsidRPr="002A6040">
        <w:rPr>
          <w:rFonts w:ascii="Arial" w:hAnsi="Arial" w:cs="Arial"/>
          <w:i/>
          <w:sz w:val="20"/>
          <w:szCs w:val="20"/>
        </w:rPr>
        <w:t xml:space="preserve"> </w:t>
      </w:r>
      <w:r w:rsidR="00E345FD" w:rsidRPr="002A6040">
        <w:rPr>
          <w:rFonts w:ascii="Arial" w:hAnsi="Arial" w:cs="Arial"/>
          <w:sz w:val="20"/>
          <w:szCs w:val="20"/>
        </w:rPr>
        <w:t>76</w:t>
      </w:r>
      <w:r w:rsidR="008B4DA3">
        <w:rPr>
          <w:rFonts w:ascii="Arial" w:hAnsi="Arial" w:cs="Arial"/>
          <w:sz w:val="20"/>
          <w:szCs w:val="20"/>
        </w:rPr>
        <w:t xml:space="preserve">; </w:t>
      </w:r>
      <w:r w:rsidR="006F0EF3" w:rsidRPr="006F0EF3">
        <w:rPr>
          <w:rFonts w:ascii="Arial" w:hAnsi="Arial" w:cs="Arial"/>
          <w:i/>
          <w:iCs/>
          <w:sz w:val="20"/>
          <w:szCs w:val="20"/>
        </w:rPr>
        <w:t>Connellan v Murphy</w:t>
      </w:r>
      <w:r w:rsidR="006F0EF3">
        <w:rPr>
          <w:rFonts w:ascii="Arial" w:hAnsi="Arial" w:cs="Arial"/>
          <w:sz w:val="20"/>
          <w:szCs w:val="20"/>
        </w:rPr>
        <w:t xml:space="preserve"> [2017] VSCA 116; </w:t>
      </w:r>
      <w:r w:rsidR="008B4DA3" w:rsidRPr="008B4DA3">
        <w:rPr>
          <w:rFonts w:ascii="Arial" w:hAnsi="Arial" w:cs="Arial"/>
          <w:i/>
          <w:iCs/>
          <w:sz w:val="20"/>
          <w:szCs w:val="20"/>
        </w:rPr>
        <w:t>Pound v The Queen</w:t>
      </w:r>
      <w:r w:rsidR="008B4DA3">
        <w:rPr>
          <w:rFonts w:ascii="Arial" w:hAnsi="Arial" w:cs="Arial"/>
          <w:sz w:val="20"/>
          <w:szCs w:val="20"/>
        </w:rPr>
        <w:t xml:space="preserve"> [2019] VSCA 279 at </w:t>
      </w:r>
      <w:r w:rsidR="004938F3">
        <w:rPr>
          <w:rFonts w:ascii="Arial" w:hAnsi="Arial" w:cs="Arial"/>
          <w:sz w:val="20"/>
          <w:szCs w:val="20"/>
        </w:rPr>
        <w:t>[114]-[115]</w:t>
      </w:r>
      <w:r w:rsidR="002D3459">
        <w:rPr>
          <w:rFonts w:ascii="Arial" w:hAnsi="Arial" w:cs="Arial"/>
          <w:sz w:val="20"/>
          <w:szCs w:val="20"/>
        </w:rPr>
        <w:t xml:space="preserve">; </w:t>
      </w:r>
      <w:r w:rsidR="002D3459" w:rsidRPr="002D3459">
        <w:rPr>
          <w:rFonts w:ascii="Arial" w:hAnsi="Arial" w:cs="Arial"/>
          <w:i/>
          <w:iCs/>
          <w:sz w:val="20"/>
          <w:szCs w:val="20"/>
        </w:rPr>
        <w:t xml:space="preserve">Harper </w:t>
      </w:r>
      <w:r w:rsidR="00532DB6">
        <w:rPr>
          <w:rFonts w:ascii="Arial" w:hAnsi="Arial" w:cs="Arial"/>
          <w:i/>
          <w:iCs/>
          <w:sz w:val="20"/>
          <w:szCs w:val="20"/>
        </w:rPr>
        <w:t xml:space="preserve">(a pseudonym) </w:t>
      </w:r>
      <w:r w:rsidR="002D3459" w:rsidRPr="002D3459">
        <w:rPr>
          <w:rFonts w:ascii="Arial" w:hAnsi="Arial" w:cs="Arial"/>
          <w:i/>
          <w:iCs/>
          <w:sz w:val="20"/>
          <w:szCs w:val="20"/>
        </w:rPr>
        <w:t>v DPP (Cth)</w:t>
      </w:r>
      <w:r w:rsidR="002D3459">
        <w:rPr>
          <w:rFonts w:ascii="Arial" w:hAnsi="Arial" w:cs="Arial"/>
          <w:sz w:val="20"/>
          <w:szCs w:val="20"/>
        </w:rPr>
        <w:t xml:space="preserve"> [2021] VSCA 173</w:t>
      </w:r>
      <w:r w:rsidR="006F0EF3">
        <w:rPr>
          <w:rFonts w:ascii="Arial" w:hAnsi="Arial" w:cs="Arial"/>
          <w:sz w:val="20"/>
          <w:szCs w:val="20"/>
        </w:rPr>
        <w:t xml:space="preserve">; </w:t>
      </w:r>
      <w:r w:rsidR="006F0EF3" w:rsidRPr="006F0EF3">
        <w:rPr>
          <w:rFonts w:ascii="Arial" w:hAnsi="Arial" w:cs="Arial"/>
          <w:i/>
          <w:iCs/>
          <w:sz w:val="20"/>
          <w:szCs w:val="20"/>
        </w:rPr>
        <w:t>Grant v Bird</w:t>
      </w:r>
      <w:r w:rsidR="006F0EF3">
        <w:rPr>
          <w:rFonts w:ascii="Arial" w:hAnsi="Arial" w:cs="Arial"/>
          <w:sz w:val="20"/>
          <w:szCs w:val="20"/>
        </w:rPr>
        <w:t xml:space="preserve"> [2021] VSC 380 at </w:t>
      </w:r>
      <w:r w:rsidR="006F0EF3" w:rsidRPr="009C0A14">
        <w:rPr>
          <w:rFonts w:ascii="Arial" w:hAnsi="Arial" w:cs="Arial"/>
          <w:sz w:val="20"/>
          <w:szCs w:val="20"/>
        </w:rPr>
        <w:t>[34]</w:t>
      </w:r>
      <w:r w:rsidR="006F0EF3" w:rsidRPr="009C0A14">
        <w:rPr>
          <w:rFonts w:ascii="Arial" w:hAnsi="Arial" w:cs="Arial"/>
          <w:sz w:val="20"/>
          <w:szCs w:val="20"/>
        </w:rPr>
        <w:noBreakHyphen/>
        <w:t>[60]</w:t>
      </w:r>
      <w:r w:rsidR="00996046" w:rsidRPr="009C0A14">
        <w:rPr>
          <w:rFonts w:ascii="Arial" w:hAnsi="Arial" w:cs="Arial"/>
          <w:sz w:val="20"/>
          <w:szCs w:val="20"/>
        </w:rPr>
        <w:t xml:space="preserve">; </w:t>
      </w:r>
      <w:bookmarkStart w:id="238" w:name="_Hlk107570035"/>
      <w:r w:rsidR="00996046" w:rsidRPr="009C0A14">
        <w:rPr>
          <w:rFonts w:ascii="Arial" w:hAnsi="Arial" w:cs="Arial"/>
          <w:i/>
          <w:iCs/>
          <w:sz w:val="20"/>
          <w:szCs w:val="20"/>
        </w:rPr>
        <w:t>Phillips &amp; Anor v Stanzer</w:t>
      </w:r>
      <w:r w:rsidR="00996046" w:rsidRPr="009C0A14">
        <w:rPr>
          <w:rFonts w:ascii="Arial" w:hAnsi="Arial" w:cs="Arial"/>
          <w:sz w:val="20"/>
          <w:szCs w:val="20"/>
        </w:rPr>
        <w:t xml:space="preserve"> [2022] VSC 355</w:t>
      </w:r>
      <w:bookmarkEnd w:id="238"/>
      <w:r w:rsidR="00996046" w:rsidRPr="009C0A14">
        <w:rPr>
          <w:rFonts w:ascii="Arial" w:hAnsi="Arial" w:cs="Arial"/>
          <w:sz w:val="20"/>
          <w:szCs w:val="20"/>
        </w:rPr>
        <w:t xml:space="preserve"> at [35]-[56]</w:t>
      </w:r>
      <w:r w:rsidR="009C0A14" w:rsidRPr="009C0A14">
        <w:rPr>
          <w:rFonts w:ascii="Arial" w:hAnsi="Arial" w:cs="Arial"/>
          <w:sz w:val="20"/>
          <w:szCs w:val="20"/>
        </w:rPr>
        <w:t xml:space="preserve">; </w:t>
      </w:r>
      <w:r w:rsidR="009C0A14" w:rsidRPr="009C0A14">
        <w:rPr>
          <w:rFonts w:ascii="Arial" w:hAnsi="Arial" w:cs="Arial"/>
          <w:i/>
          <w:iCs/>
          <w:sz w:val="20"/>
          <w:szCs w:val="20"/>
        </w:rPr>
        <w:t xml:space="preserve">YZ v Beit Habonim Pty Ltd (ACN 051 827 984) ATF Association of Parents &amp; Friends of Zionist Youth &amp; </w:t>
      </w:r>
      <w:r w:rsidR="00BB08B4">
        <w:rPr>
          <w:rFonts w:ascii="Arial" w:hAnsi="Arial" w:cs="Arial"/>
          <w:i/>
          <w:iCs/>
          <w:sz w:val="20"/>
          <w:szCs w:val="20"/>
        </w:rPr>
        <w:t>Weiden</w:t>
      </w:r>
      <w:r w:rsidR="009C0A14" w:rsidRPr="009C0A14">
        <w:rPr>
          <w:rFonts w:ascii="Arial" w:hAnsi="Arial" w:cs="Arial"/>
          <w:sz w:val="20"/>
          <w:szCs w:val="20"/>
        </w:rPr>
        <w:t xml:space="preserve"> [2022] VSC 402</w:t>
      </w:r>
      <w:r w:rsidR="003A0EED">
        <w:rPr>
          <w:rFonts w:ascii="Arial" w:hAnsi="Arial" w:cs="Arial"/>
          <w:sz w:val="20"/>
          <w:szCs w:val="20"/>
        </w:rPr>
        <w:t xml:space="preserve"> &amp; [2023] VSCA 294</w:t>
      </w:r>
      <w:r w:rsidR="00BF0DA0">
        <w:rPr>
          <w:rFonts w:ascii="Arial" w:hAnsi="Arial" w:cs="Arial"/>
          <w:sz w:val="20"/>
          <w:szCs w:val="20"/>
        </w:rPr>
        <w:t xml:space="preserve">; </w:t>
      </w:r>
      <w:r w:rsidR="00BF0DA0" w:rsidRPr="00154810">
        <w:rPr>
          <w:rFonts w:ascii="Arial" w:hAnsi="Arial" w:cs="Arial"/>
          <w:i/>
          <w:iCs/>
          <w:sz w:val="20"/>
          <w:szCs w:val="20"/>
        </w:rPr>
        <w:t>GLJ v The Trustees of the Roman Catholic Church for the Diocese of Lismore</w:t>
      </w:r>
      <w:r w:rsidR="00BF0DA0" w:rsidRPr="00154810">
        <w:rPr>
          <w:rFonts w:ascii="Arial" w:hAnsi="Arial" w:cs="Arial"/>
          <w:sz w:val="20"/>
          <w:szCs w:val="20"/>
        </w:rPr>
        <w:t xml:space="preserve"> [2023] HCA </w:t>
      </w:r>
      <w:r w:rsidR="00BF0DA0" w:rsidRPr="00154810">
        <w:rPr>
          <w:rFonts w:ascii="Arial" w:hAnsi="Arial" w:cs="Arial"/>
          <w:sz w:val="20"/>
          <w:szCs w:val="20"/>
        </w:rPr>
        <w:lastRenderedPageBreak/>
        <w:t>32</w:t>
      </w:r>
      <w:r w:rsidR="00302F70">
        <w:rPr>
          <w:rFonts w:ascii="Arial" w:hAnsi="Arial" w:cs="Arial"/>
          <w:sz w:val="20"/>
          <w:szCs w:val="20"/>
        </w:rPr>
        <w:t xml:space="preserve">; </w:t>
      </w:r>
      <w:r w:rsidR="00302F70" w:rsidRPr="00302F70">
        <w:rPr>
          <w:rFonts w:ascii="Arial" w:hAnsi="Arial" w:cs="Arial"/>
          <w:i/>
          <w:iCs/>
          <w:sz w:val="20"/>
          <w:szCs w:val="20"/>
        </w:rPr>
        <w:t xml:space="preserve">Haris </w:t>
      </w:r>
      <w:r w:rsidR="00302F70">
        <w:rPr>
          <w:rFonts w:ascii="Arial" w:hAnsi="Arial" w:cs="Arial"/>
          <w:i/>
          <w:iCs/>
          <w:sz w:val="20"/>
          <w:szCs w:val="20"/>
        </w:rPr>
        <w:t xml:space="preserve">(a pseudonym) </w:t>
      </w:r>
      <w:r w:rsidR="00302F70" w:rsidRPr="00302F70">
        <w:rPr>
          <w:rFonts w:ascii="Arial" w:hAnsi="Arial" w:cs="Arial"/>
          <w:i/>
          <w:iCs/>
          <w:sz w:val="20"/>
          <w:szCs w:val="20"/>
        </w:rPr>
        <w:t>v The King</w:t>
      </w:r>
      <w:r w:rsidR="00302F70">
        <w:rPr>
          <w:rFonts w:ascii="Arial" w:hAnsi="Arial" w:cs="Arial"/>
          <w:sz w:val="20"/>
          <w:szCs w:val="20"/>
        </w:rPr>
        <w:t xml:space="preserve"> [2023] VSCA 205; </w:t>
      </w:r>
      <w:r w:rsidR="00302F70" w:rsidRPr="00302F70">
        <w:rPr>
          <w:rFonts w:ascii="Arial" w:hAnsi="Arial" w:cs="Arial"/>
          <w:i/>
          <w:iCs/>
          <w:sz w:val="20"/>
          <w:szCs w:val="20"/>
        </w:rPr>
        <w:t xml:space="preserve">Haris (a pseudonym) v The King </w:t>
      </w:r>
      <w:r w:rsidR="00021517">
        <w:rPr>
          <w:rFonts w:ascii="Arial" w:hAnsi="Arial" w:cs="Arial"/>
          <w:i/>
          <w:iCs/>
          <w:sz w:val="20"/>
          <w:szCs w:val="20"/>
        </w:rPr>
        <w:t>128</w:t>
      </w:r>
      <w:r w:rsidR="00302F70">
        <w:rPr>
          <w:rFonts w:ascii="Arial" w:hAnsi="Arial" w:cs="Arial"/>
          <w:sz w:val="20"/>
          <w:szCs w:val="20"/>
        </w:rPr>
        <w:t xml:space="preserve"> [2024] VSCA 9</w:t>
      </w:r>
      <w:r w:rsidR="00ED063D">
        <w:rPr>
          <w:rFonts w:ascii="Arial" w:hAnsi="Arial" w:cs="Arial"/>
          <w:sz w:val="20"/>
          <w:szCs w:val="20"/>
        </w:rPr>
        <w:t xml:space="preserve">; </w:t>
      </w:r>
      <w:r w:rsidR="00ED063D" w:rsidRPr="00ED063D">
        <w:rPr>
          <w:rFonts w:ascii="Arial" w:hAnsi="Arial" w:cs="Arial"/>
          <w:i/>
          <w:iCs/>
          <w:sz w:val="20"/>
          <w:szCs w:val="20"/>
        </w:rPr>
        <w:t>Porter (a pseudonym) v The King</w:t>
      </w:r>
      <w:r w:rsidR="00ED063D">
        <w:rPr>
          <w:rFonts w:ascii="Arial" w:hAnsi="Arial" w:cs="Arial"/>
          <w:sz w:val="20"/>
          <w:szCs w:val="20"/>
        </w:rPr>
        <w:t xml:space="preserve"> [2024] VSCA 127 at [45]-[53] &amp; [72]-[76]</w:t>
      </w:r>
      <w:r w:rsidR="004C7D62">
        <w:rPr>
          <w:rFonts w:ascii="Arial" w:hAnsi="Arial" w:cs="Arial"/>
          <w:sz w:val="20"/>
          <w:szCs w:val="20"/>
        </w:rPr>
        <w:t xml:space="preserve">; </w:t>
      </w:r>
      <w:r w:rsidR="004C7D62" w:rsidRPr="004C7D62">
        <w:rPr>
          <w:rFonts w:ascii="Arial" w:hAnsi="Arial" w:cs="Arial"/>
          <w:i/>
          <w:iCs/>
          <w:sz w:val="20"/>
          <w:szCs w:val="20"/>
        </w:rPr>
        <w:t>Trustees of the Christian Brothers v Colbert (a pseudonym)</w:t>
      </w:r>
      <w:r w:rsidR="004C7D62">
        <w:rPr>
          <w:rFonts w:ascii="Arial" w:hAnsi="Arial" w:cs="Arial"/>
          <w:sz w:val="20"/>
          <w:szCs w:val="20"/>
        </w:rPr>
        <w:t xml:space="preserve"> [2025] VSCA 122 at [74]-[88]</w:t>
      </w:r>
      <w:r w:rsidR="000A5496">
        <w:rPr>
          <w:rFonts w:ascii="Arial" w:hAnsi="Arial" w:cs="Arial"/>
          <w:sz w:val="20"/>
          <w:szCs w:val="20"/>
        </w:rPr>
        <w:t>.</w:t>
      </w:r>
      <w:r w:rsidR="00B03B0B">
        <w:rPr>
          <w:rFonts w:ascii="Arial" w:hAnsi="Arial" w:cs="Arial"/>
          <w:sz w:val="20"/>
          <w:szCs w:val="20"/>
        </w:rPr>
        <w:t xml:space="preserve"> </w:t>
      </w:r>
      <w:bookmarkStart w:id="239" w:name="_Hlk180493255"/>
      <w:r w:rsidR="000A5496">
        <w:rPr>
          <w:rFonts w:ascii="Arial" w:hAnsi="Arial" w:cs="Arial"/>
          <w:sz w:val="20"/>
        </w:rPr>
        <w:t xml:space="preserve">See also the cases discussed in </w:t>
      </w:r>
      <w:r w:rsidR="000A5496" w:rsidRPr="00FB2166">
        <w:rPr>
          <w:rFonts w:ascii="Arial" w:hAnsi="Arial" w:cs="Arial"/>
          <w:b/>
          <w:bCs/>
          <w:sz w:val="20"/>
          <w:shd w:val="clear" w:color="auto" w:fill="C5E0B3"/>
        </w:rPr>
        <w:t>section 10.3.10</w:t>
      </w:r>
      <w:bookmarkStart w:id="240" w:name="_Hlk152591075"/>
      <w:r w:rsidR="00B03B0B">
        <w:rPr>
          <w:rFonts w:ascii="Arial" w:hAnsi="Arial" w:cs="Arial"/>
          <w:sz w:val="20"/>
        </w:rPr>
        <w:t>.</w:t>
      </w:r>
    </w:p>
    <w:p w14:paraId="2C5C440C" w14:textId="77777777" w:rsidR="00B03B0B" w:rsidRDefault="00B03B0B" w:rsidP="002A6040">
      <w:pPr>
        <w:jc w:val="both"/>
        <w:rPr>
          <w:rFonts w:ascii="Arial" w:hAnsi="Arial" w:cs="Arial"/>
          <w:sz w:val="20"/>
        </w:rPr>
      </w:pPr>
    </w:p>
    <w:p w14:paraId="07C8BC05" w14:textId="2CE01A43" w:rsidR="009C7C0E" w:rsidRPr="000A5496" w:rsidRDefault="00FB2166" w:rsidP="002A6040">
      <w:pPr>
        <w:jc w:val="both"/>
        <w:rPr>
          <w:rFonts w:ascii="Arial" w:hAnsi="Arial" w:cs="Arial"/>
          <w:sz w:val="20"/>
        </w:rPr>
      </w:pPr>
      <w:r>
        <w:rPr>
          <w:rFonts w:ascii="Arial" w:hAnsi="Arial" w:cs="Arial"/>
          <w:color w:val="000000"/>
          <w:sz w:val="20"/>
          <w:szCs w:val="20"/>
        </w:rPr>
        <w:t>Further, s</w:t>
      </w:r>
      <w:r w:rsidR="009C7C0E">
        <w:rPr>
          <w:rFonts w:ascii="Arial" w:hAnsi="Arial" w:cs="Arial"/>
          <w:color w:val="000000"/>
          <w:sz w:val="20"/>
          <w:szCs w:val="20"/>
        </w:rPr>
        <w:t xml:space="preserve">ee </w:t>
      </w:r>
      <w:bookmarkEnd w:id="239"/>
      <w:r w:rsidR="009C7C0E">
        <w:rPr>
          <w:rFonts w:ascii="Arial" w:hAnsi="Arial" w:cs="Arial"/>
          <w:color w:val="000000"/>
          <w:sz w:val="20"/>
          <w:szCs w:val="20"/>
        </w:rPr>
        <w:t>“</w:t>
      </w:r>
      <w:hyperlink r:id="rId41" w:history="1">
        <w:r w:rsidR="009C7C0E" w:rsidRPr="009C7C0E">
          <w:rPr>
            <w:rStyle w:val="Hyperlink"/>
            <w:rFonts w:ascii="Arial" w:hAnsi="Arial" w:cs="Arial"/>
            <w:sz w:val="20"/>
            <w:szCs w:val="20"/>
          </w:rPr>
          <w:t>Abuse of Judicial Process in Criminal Proceedings</w:t>
        </w:r>
      </w:hyperlink>
      <w:r w:rsidR="009C7C0E">
        <w:rPr>
          <w:rFonts w:ascii="Arial" w:hAnsi="Arial" w:cs="Arial"/>
          <w:color w:val="000000"/>
          <w:sz w:val="20"/>
          <w:szCs w:val="20"/>
        </w:rPr>
        <w:t>”, a paper by a Sydney barrister Stephen Lawrence, given at a Law Society of Fiji Conference at Suva in September 2015, which contains a very detailed analysis of the case law to that time.</w:t>
      </w:r>
      <w:bookmarkEnd w:id="240"/>
    </w:p>
    <w:p w14:paraId="032ED0EC" w14:textId="77777777" w:rsidR="00213AF3" w:rsidRDefault="00213AF3" w:rsidP="002A6040">
      <w:pPr>
        <w:jc w:val="both"/>
        <w:rPr>
          <w:rFonts w:ascii="Arial" w:hAnsi="Arial" w:cs="Arial"/>
          <w:color w:val="000000"/>
          <w:sz w:val="20"/>
          <w:szCs w:val="20"/>
        </w:rPr>
      </w:pPr>
    </w:p>
    <w:p w14:paraId="37BEA18B" w14:textId="4130AB77" w:rsidR="000D6AB7" w:rsidRPr="00164487" w:rsidRDefault="0029551B" w:rsidP="002A6040">
      <w:pPr>
        <w:jc w:val="both"/>
        <w:rPr>
          <w:rFonts w:ascii="Arial" w:hAnsi="Arial" w:cs="Arial"/>
          <w:color w:val="000000"/>
          <w:sz w:val="20"/>
          <w:szCs w:val="20"/>
        </w:rPr>
      </w:pPr>
      <w:r w:rsidRPr="00164487">
        <w:rPr>
          <w:rFonts w:ascii="Arial" w:hAnsi="Arial" w:cs="Arial"/>
          <w:color w:val="000000"/>
          <w:sz w:val="20"/>
          <w:szCs w:val="20"/>
        </w:rPr>
        <w:t xml:space="preserve">An example of a permanent stay granted in the Criminal Division </w:t>
      </w:r>
      <w:r w:rsidR="000C7B68" w:rsidRPr="00164487">
        <w:rPr>
          <w:rFonts w:ascii="Arial" w:hAnsi="Arial" w:cs="Arial"/>
          <w:color w:val="000000"/>
          <w:sz w:val="20"/>
          <w:szCs w:val="20"/>
        </w:rPr>
        <w:t>of</w:t>
      </w:r>
      <w:r w:rsidRPr="00164487">
        <w:rPr>
          <w:rFonts w:ascii="Arial" w:hAnsi="Arial" w:cs="Arial"/>
          <w:color w:val="000000"/>
          <w:sz w:val="20"/>
          <w:szCs w:val="20"/>
        </w:rPr>
        <w:t xml:space="preserve"> the Children’</w:t>
      </w:r>
      <w:r w:rsidR="000D6AB7" w:rsidRPr="00164487">
        <w:rPr>
          <w:rFonts w:ascii="Arial" w:hAnsi="Arial" w:cs="Arial"/>
          <w:color w:val="000000"/>
          <w:sz w:val="20"/>
          <w:szCs w:val="20"/>
        </w:rPr>
        <w:t xml:space="preserve">s Court is </w:t>
      </w:r>
      <w:r w:rsidRPr="00164487">
        <w:rPr>
          <w:rFonts w:ascii="Arial" w:hAnsi="Arial" w:cs="Arial"/>
          <w:color w:val="000000"/>
          <w:sz w:val="20"/>
          <w:szCs w:val="20"/>
        </w:rPr>
        <w:t xml:space="preserve">the case of </w:t>
      </w:r>
      <w:r w:rsidRPr="00164487">
        <w:rPr>
          <w:rFonts w:ascii="Arial" w:hAnsi="Arial" w:cs="Arial"/>
          <w:i/>
          <w:color w:val="000000"/>
          <w:sz w:val="20"/>
          <w:szCs w:val="20"/>
        </w:rPr>
        <w:t>MDC</w:t>
      </w:r>
      <w:r w:rsidRPr="00164487">
        <w:rPr>
          <w:rFonts w:ascii="Arial" w:hAnsi="Arial" w:cs="Arial"/>
          <w:color w:val="000000"/>
          <w:sz w:val="20"/>
          <w:szCs w:val="20"/>
        </w:rPr>
        <w:t xml:space="preserve"> [unreported, Children’s Court of Victoria, </w:t>
      </w:r>
      <w:r w:rsidR="00C112FB" w:rsidRPr="00164487">
        <w:rPr>
          <w:rFonts w:ascii="Arial" w:hAnsi="Arial" w:cs="Arial"/>
          <w:color w:val="000000"/>
          <w:sz w:val="20"/>
          <w:szCs w:val="20"/>
        </w:rPr>
        <w:t>08</w:t>
      </w:r>
      <w:r w:rsidRPr="00164487">
        <w:rPr>
          <w:rFonts w:ascii="Arial" w:hAnsi="Arial" w:cs="Arial"/>
          <w:color w:val="000000"/>
          <w:sz w:val="20"/>
          <w:szCs w:val="20"/>
        </w:rPr>
        <w:t>/1</w:t>
      </w:r>
      <w:r w:rsidR="00C112FB" w:rsidRPr="00164487">
        <w:rPr>
          <w:rFonts w:ascii="Arial" w:hAnsi="Arial" w:cs="Arial"/>
          <w:color w:val="000000"/>
          <w:sz w:val="20"/>
          <w:szCs w:val="20"/>
        </w:rPr>
        <w:t>2</w:t>
      </w:r>
      <w:r w:rsidRPr="00164487">
        <w:rPr>
          <w:rFonts w:ascii="Arial" w:hAnsi="Arial" w:cs="Arial"/>
          <w:color w:val="000000"/>
          <w:sz w:val="20"/>
          <w:szCs w:val="20"/>
        </w:rPr>
        <w:t xml:space="preserve">/2010].  </w:t>
      </w:r>
      <w:r w:rsidR="00C112FB" w:rsidRPr="00164487">
        <w:rPr>
          <w:rFonts w:ascii="Arial" w:hAnsi="Arial" w:cs="Arial"/>
          <w:color w:val="000000"/>
          <w:sz w:val="20"/>
          <w:szCs w:val="20"/>
        </w:rPr>
        <w:t>A</w:t>
      </w:r>
      <w:r w:rsidRPr="00164487">
        <w:rPr>
          <w:rFonts w:ascii="Arial" w:hAnsi="Arial" w:cs="Arial"/>
          <w:color w:val="000000"/>
          <w:sz w:val="20"/>
          <w:szCs w:val="20"/>
        </w:rPr>
        <w:t>ll of the charges against the accused had been withdrawn immediately prior to a final contest</w:t>
      </w:r>
      <w:r w:rsidR="00C112FB" w:rsidRPr="00164487">
        <w:rPr>
          <w:rFonts w:ascii="Arial" w:hAnsi="Arial" w:cs="Arial"/>
          <w:color w:val="000000"/>
          <w:sz w:val="20"/>
          <w:szCs w:val="20"/>
        </w:rPr>
        <w:t>.  B</w:t>
      </w:r>
      <w:r w:rsidRPr="00164487">
        <w:rPr>
          <w:rFonts w:ascii="Arial" w:hAnsi="Arial" w:cs="Arial"/>
          <w:color w:val="000000"/>
          <w:sz w:val="20"/>
          <w:szCs w:val="20"/>
        </w:rPr>
        <w:t xml:space="preserve">efore leaving court, the accused made a statement in writing to police implicating an adult co-accused.  </w:t>
      </w:r>
      <w:r w:rsidR="00C112FB" w:rsidRPr="00164487">
        <w:rPr>
          <w:rFonts w:ascii="Arial" w:hAnsi="Arial" w:cs="Arial"/>
          <w:color w:val="000000"/>
          <w:sz w:val="20"/>
          <w:szCs w:val="20"/>
        </w:rPr>
        <w:t xml:space="preserve">Later the accused </w:t>
      </w:r>
      <w:r w:rsidRPr="00164487">
        <w:rPr>
          <w:rFonts w:ascii="Arial" w:hAnsi="Arial" w:cs="Arial"/>
          <w:color w:val="000000"/>
          <w:sz w:val="20"/>
          <w:szCs w:val="20"/>
        </w:rPr>
        <w:t xml:space="preserve">attended the co-accused’s committal to give evidence but the prosecution elected not to require him to give evidence.  </w:t>
      </w:r>
      <w:r w:rsidR="000D6AB7" w:rsidRPr="00164487">
        <w:rPr>
          <w:rFonts w:ascii="Arial" w:hAnsi="Arial" w:cs="Arial"/>
          <w:color w:val="000000"/>
          <w:sz w:val="20"/>
          <w:szCs w:val="20"/>
        </w:rPr>
        <w:t>Subsequently the prosecution recommenced the proceedings against the accused.  In granting a permanent stay of the charges, Magistrate Levine:</w:t>
      </w:r>
    </w:p>
    <w:p w14:paraId="27482C63" w14:textId="77777777" w:rsidR="00E345FD" w:rsidRPr="00164487" w:rsidRDefault="000D6AB7" w:rsidP="00D772F0">
      <w:pPr>
        <w:numPr>
          <w:ilvl w:val="0"/>
          <w:numId w:val="30"/>
        </w:numPr>
        <w:ind w:left="284" w:hanging="284"/>
        <w:jc w:val="both"/>
        <w:rPr>
          <w:rFonts w:ascii="Arial" w:hAnsi="Arial" w:cs="Arial"/>
          <w:color w:val="000000"/>
          <w:sz w:val="20"/>
          <w:szCs w:val="20"/>
        </w:rPr>
      </w:pPr>
      <w:r w:rsidRPr="00164487">
        <w:rPr>
          <w:rFonts w:ascii="Arial" w:hAnsi="Arial" w:cs="Arial"/>
          <w:color w:val="000000"/>
          <w:sz w:val="20"/>
          <w:szCs w:val="20"/>
        </w:rPr>
        <w:t xml:space="preserve">adopted dicta from the cases of </w:t>
      </w:r>
      <w:r w:rsidRPr="00164487">
        <w:rPr>
          <w:rFonts w:ascii="Arial" w:hAnsi="Arial" w:cs="Arial"/>
          <w:i/>
          <w:color w:val="000000"/>
          <w:sz w:val="20"/>
          <w:szCs w:val="20"/>
        </w:rPr>
        <w:t>Williamson v Trainor</w:t>
      </w:r>
      <w:r w:rsidRPr="00164487">
        <w:rPr>
          <w:rFonts w:ascii="Arial" w:hAnsi="Arial" w:cs="Arial"/>
          <w:color w:val="000000"/>
          <w:sz w:val="20"/>
          <w:szCs w:val="20"/>
        </w:rPr>
        <w:t xml:space="preserve"> [1992] 2 Qd R 572, </w:t>
      </w:r>
      <w:r w:rsidRPr="00164487">
        <w:rPr>
          <w:rFonts w:ascii="Arial" w:hAnsi="Arial" w:cs="Arial"/>
          <w:i/>
          <w:color w:val="000000"/>
          <w:sz w:val="20"/>
          <w:szCs w:val="20"/>
        </w:rPr>
        <w:t>R v Croydon Justices; Ex Parte Dean</w:t>
      </w:r>
      <w:r w:rsidRPr="00164487">
        <w:rPr>
          <w:rFonts w:ascii="Arial" w:hAnsi="Arial" w:cs="Arial"/>
          <w:color w:val="000000"/>
          <w:sz w:val="20"/>
          <w:szCs w:val="20"/>
        </w:rPr>
        <w:t xml:space="preserve"> [1993] QB 769, </w:t>
      </w:r>
      <w:r w:rsidR="000C7B68" w:rsidRPr="00164487">
        <w:rPr>
          <w:rFonts w:ascii="Arial" w:hAnsi="Arial" w:cs="Arial"/>
          <w:i/>
          <w:color w:val="000000"/>
          <w:sz w:val="20"/>
          <w:szCs w:val="20"/>
        </w:rPr>
        <w:t>R v Mohi</w:t>
      </w:r>
      <w:r w:rsidR="000C7B68" w:rsidRPr="00164487">
        <w:rPr>
          <w:rFonts w:ascii="Arial" w:hAnsi="Arial" w:cs="Arial"/>
          <w:color w:val="000000"/>
          <w:sz w:val="20"/>
          <w:szCs w:val="20"/>
        </w:rPr>
        <w:t xml:space="preserve"> (2000) 78 SASR 55 and </w:t>
      </w:r>
      <w:r w:rsidR="000C7B68" w:rsidRPr="00164487">
        <w:rPr>
          <w:rFonts w:ascii="Arial" w:hAnsi="Arial" w:cs="Arial"/>
          <w:i/>
          <w:color w:val="000000"/>
          <w:sz w:val="20"/>
          <w:szCs w:val="20"/>
        </w:rPr>
        <w:t>R v Georgiadis</w:t>
      </w:r>
      <w:r w:rsidR="000C7B68" w:rsidRPr="00164487">
        <w:rPr>
          <w:rFonts w:ascii="Arial" w:hAnsi="Arial" w:cs="Arial"/>
          <w:color w:val="000000"/>
          <w:sz w:val="20"/>
          <w:szCs w:val="20"/>
        </w:rPr>
        <w:t xml:space="preserve"> [</w:t>
      </w:r>
      <w:r w:rsidR="00C51AF4" w:rsidRPr="00164487">
        <w:rPr>
          <w:rFonts w:ascii="Arial" w:hAnsi="Arial" w:cs="Arial"/>
          <w:color w:val="000000"/>
          <w:sz w:val="20"/>
          <w:szCs w:val="20"/>
        </w:rPr>
        <w:t>1</w:t>
      </w:r>
      <w:r w:rsidR="000C7B68" w:rsidRPr="00164487">
        <w:rPr>
          <w:rFonts w:ascii="Arial" w:hAnsi="Arial" w:cs="Arial"/>
          <w:color w:val="000000"/>
          <w:sz w:val="20"/>
          <w:szCs w:val="20"/>
        </w:rPr>
        <w:t>984] VR 1030;</w:t>
      </w:r>
    </w:p>
    <w:p w14:paraId="16DB921B" w14:textId="77777777" w:rsidR="000C7B68" w:rsidRPr="00164487" w:rsidRDefault="000C7B68" w:rsidP="00D772F0">
      <w:pPr>
        <w:numPr>
          <w:ilvl w:val="0"/>
          <w:numId w:val="30"/>
        </w:numPr>
        <w:ind w:left="284" w:hanging="284"/>
        <w:jc w:val="both"/>
        <w:rPr>
          <w:rFonts w:ascii="Arial" w:hAnsi="Arial" w:cs="Arial"/>
          <w:color w:val="000000"/>
          <w:sz w:val="20"/>
          <w:szCs w:val="20"/>
        </w:rPr>
      </w:pPr>
      <w:r w:rsidRPr="00164487">
        <w:rPr>
          <w:rFonts w:ascii="Arial" w:hAnsi="Arial" w:cs="Arial"/>
          <w:color w:val="000000"/>
          <w:sz w:val="20"/>
          <w:szCs w:val="20"/>
        </w:rPr>
        <w:t xml:space="preserve">distinguished the cases of </w:t>
      </w:r>
      <w:r w:rsidRPr="00164487">
        <w:rPr>
          <w:rFonts w:ascii="Arial" w:hAnsi="Arial" w:cs="Arial"/>
          <w:i/>
          <w:color w:val="000000"/>
          <w:sz w:val="20"/>
          <w:szCs w:val="20"/>
        </w:rPr>
        <w:t>Swingler</w:t>
      </w:r>
      <w:r w:rsidRPr="00164487">
        <w:rPr>
          <w:rFonts w:ascii="Arial" w:hAnsi="Arial" w:cs="Arial"/>
          <w:color w:val="000000"/>
          <w:sz w:val="20"/>
          <w:szCs w:val="20"/>
        </w:rPr>
        <w:t xml:space="preserve"> 80 A Crim R 471 and </w:t>
      </w:r>
      <w:r w:rsidRPr="00164487">
        <w:rPr>
          <w:rFonts w:ascii="Arial" w:hAnsi="Arial" w:cs="Arial"/>
          <w:i/>
          <w:color w:val="000000"/>
          <w:sz w:val="20"/>
          <w:szCs w:val="20"/>
        </w:rPr>
        <w:t>R v Glencross</w:t>
      </w:r>
      <w:r w:rsidRPr="00164487">
        <w:rPr>
          <w:rFonts w:ascii="Arial" w:hAnsi="Arial" w:cs="Arial"/>
          <w:color w:val="000000"/>
          <w:sz w:val="20"/>
          <w:szCs w:val="20"/>
        </w:rPr>
        <w:t xml:space="preserve"> [1999] </w:t>
      </w:r>
      <w:r w:rsidR="00C51AF4" w:rsidRPr="00164487">
        <w:rPr>
          <w:rFonts w:ascii="Arial" w:hAnsi="Arial" w:cs="Arial"/>
          <w:color w:val="000000"/>
          <w:sz w:val="20"/>
          <w:szCs w:val="20"/>
        </w:rPr>
        <w:t>SASC 563; and</w:t>
      </w:r>
    </w:p>
    <w:p w14:paraId="0080DBDF" w14:textId="77777777" w:rsidR="00C51AF4" w:rsidRPr="00164487" w:rsidRDefault="00C51AF4" w:rsidP="00D772F0">
      <w:pPr>
        <w:numPr>
          <w:ilvl w:val="0"/>
          <w:numId w:val="30"/>
        </w:numPr>
        <w:ind w:left="284" w:hanging="284"/>
        <w:jc w:val="both"/>
        <w:rPr>
          <w:rFonts w:ascii="Arial" w:hAnsi="Arial" w:cs="Arial"/>
          <w:color w:val="000000"/>
          <w:sz w:val="20"/>
          <w:szCs w:val="20"/>
        </w:rPr>
      </w:pPr>
      <w:r w:rsidRPr="00164487">
        <w:rPr>
          <w:rFonts w:ascii="Arial" w:hAnsi="Arial" w:cs="Arial"/>
          <w:color w:val="000000"/>
          <w:sz w:val="20"/>
          <w:szCs w:val="20"/>
        </w:rPr>
        <w:t xml:space="preserve">held that </w:t>
      </w:r>
      <w:r w:rsidR="00F07694" w:rsidRPr="00164487">
        <w:rPr>
          <w:rFonts w:ascii="Arial" w:hAnsi="Arial" w:cs="Arial"/>
          <w:color w:val="000000"/>
          <w:sz w:val="20"/>
          <w:szCs w:val="20"/>
        </w:rPr>
        <w:t xml:space="preserve">in the circumstances of this case </w:t>
      </w:r>
      <w:r w:rsidRPr="00164487">
        <w:rPr>
          <w:rFonts w:ascii="Arial" w:hAnsi="Arial" w:cs="Arial"/>
          <w:color w:val="000000"/>
          <w:sz w:val="20"/>
          <w:szCs w:val="20"/>
        </w:rPr>
        <w:t>the prosecution of the charges for the second time was an abuse of the process of the Children’</w:t>
      </w:r>
      <w:r w:rsidR="00CD2615" w:rsidRPr="00164487">
        <w:rPr>
          <w:rFonts w:ascii="Arial" w:hAnsi="Arial" w:cs="Arial"/>
          <w:color w:val="000000"/>
          <w:sz w:val="20"/>
          <w:szCs w:val="20"/>
        </w:rPr>
        <w:t>s Court.</w:t>
      </w:r>
    </w:p>
    <w:p w14:paraId="6A7FA71E" w14:textId="77777777" w:rsidR="00C80B82" w:rsidRDefault="00C80B82" w:rsidP="002F5EE0">
      <w:pPr>
        <w:jc w:val="both"/>
        <w:rPr>
          <w:rFonts w:ascii="Arial" w:hAnsi="Arial" w:cs="Arial"/>
          <w:color w:val="000000"/>
          <w:sz w:val="20"/>
        </w:rPr>
      </w:pPr>
      <w:bookmarkStart w:id="241" w:name="_Toc30651644"/>
      <w:bookmarkStart w:id="242" w:name="_Toc30652628"/>
      <w:bookmarkStart w:id="243" w:name="_Toc30652726"/>
      <w:bookmarkStart w:id="244" w:name="_Toc30654071"/>
      <w:bookmarkStart w:id="245" w:name="_Toc30654422"/>
      <w:bookmarkStart w:id="246" w:name="_Toc30655041"/>
      <w:bookmarkStart w:id="247" w:name="_Toc30655298"/>
      <w:bookmarkStart w:id="248" w:name="_Toc30656976"/>
      <w:bookmarkStart w:id="249" w:name="_Toc30661725"/>
      <w:bookmarkStart w:id="250" w:name="_Toc30666413"/>
      <w:bookmarkStart w:id="251" w:name="_Toc30666643"/>
      <w:bookmarkStart w:id="252" w:name="_Toc30667818"/>
      <w:bookmarkStart w:id="253" w:name="_Toc30669196"/>
      <w:bookmarkStart w:id="254" w:name="_Toc30671412"/>
      <w:bookmarkStart w:id="255" w:name="_Toc30673939"/>
      <w:bookmarkStart w:id="256" w:name="_Toc30691161"/>
      <w:bookmarkStart w:id="257" w:name="_Toc30691532"/>
      <w:bookmarkStart w:id="258" w:name="_Toc30691912"/>
      <w:bookmarkStart w:id="259" w:name="_Toc30692671"/>
      <w:bookmarkStart w:id="260" w:name="_Toc30693050"/>
      <w:bookmarkStart w:id="261" w:name="_Toc30693428"/>
      <w:bookmarkStart w:id="262" w:name="_Toc30693807"/>
      <w:bookmarkStart w:id="263" w:name="_Toc30694188"/>
      <w:bookmarkStart w:id="264" w:name="_Toc30698777"/>
      <w:bookmarkStart w:id="265" w:name="_Toc30699155"/>
      <w:bookmarkStart w:id="266" w:name="_Toc30699540"/>
      <w:bookmarkStart w:id="267" w:name="_Toc30700695"/>
      <w:bookmarkStart w:id="268" w:name="_Toc30701082"/>
      <w:bookmarkStart w:id="269" w:name="_Toc30743691"/>
      <w:bookmarkStart w:id="270" w:name="_Toc30754513"/>
      <w:bookmarkStart w:id="271" w:name="_Toc30756953"/>
      <w:bookmarkStart w:id="272" w:name="_Toc30757502"/>
      <w:bookmarkStart w:id="273" w:name="_Toc30757902"/>
      <w:bookmarkStart w:id="274" w:name="_Toc30762663"/>
      <w:bookmarkStart w:id="275" w:name="_Toc30767317"/>
      <w:bookmarkStart w:id="276" w:name="_Toc34823333"/>
    </w:p>
    <w:p w14:paraId="436A08F3" w14:textId="1817F8A0" w:rsidR="00BB4510" w:rsidRDefault="005D297C" w:rsidP="007849C4">
      <w:pPr>
        <w:jc w:val="both"/>
        <w:rPr>
          <w:rFonts w:ascii="Arial" w:hAnsi="Arial" w:cs="Arial"/>
          <w:sz w:val="20"/>
          <w:szCs w:val="20"/>
        </w:rPr>
      </w:pPr>
      <w:r>
        <w:rPr>
          <w:rFonts w:ascii="Arial" w:hAnsi="Arial" w:cs="Arial"/>
          <w:color w:val="000000"/>
          <w:sz w:val="20"/>
        </w:rPr>
        <w:t>A</w:t>
      </w:r>
      <w:r w:rsidR="00BB4510">
        <w:rPr>
          <w:rFonts w:ascii="Arial" w:hAnsi="Arial" w:cs="Arial"/>
          <w:color w:val="000000"/>
          <w:sz w:val="20"/>
        </w:rPr>
        <w:t xml:space="preserve"> </w:t>
      </w:r>
      <w:r>
        <w:rPr>
          <w:rFonts w:ascii="Arial" w:hAnsi="Arial" w:cs="Arial"/>
          <w:color w:val="000000"/>
          <w:sz w:val="20"/>
        </w:rPr>
        <w:t xml:space="preserve">striking example </w:t>
      </w:r>
      <w:r w:rsidR="00955618">
        <w:rPr>
          <w:rFonts w:ascii="Arial" w:hAnsi="Arial" w:cs="Arial"/>
          <w:color w:val="000000"/>
          <w:sz w:val="20"/>
        </w:rPr>
        <w:t xml:space="preserve">of a permanent stay granted in the Criminal Division </w:t>
      </w:r>
      <w:r w:rsidR="00BE76BB">
        <w:rPr>
          <w:rFonts w:ascii="Arial" w:hAnsi="Arial" w:cs="Arial"/>
          <w:sz w:val="20"/>
          <w:szCs w:val="20"/>
        </w:rPr>
        <w:t xml:space="preserve">of the Children’s Court </w:t>
      </w:r>
      <w:r>
        <w:rPr>
          <w:rFonts w:ascii="Arial" w:hAnsi="Arial" w:cs="Arial"/>
          <w:color w:val="000000"/>
          <w:sz w:val="20"/>
        </w:rPr>
        <w:t xml:space="preserve">is the case of </w:t>
      </w:r>
      <w:r w:rsidRPr="005D297C">
        <w:rPr>
          <w:rFonts w:ascii="Arial" w:hAnsi="Arial" w:cs="Arial"/>
          <w:i/>
          <w:iCs/>
          <w:sz w:val="20"/>
          <w:szCs w:val="20"/>
        </w:rPr>
        <w:t>CDPP v Carrick (a pseudonym)</w:t>
      </w:r>
      <w:r w:rsidRPr="005D297C">
        <w:rPr>
          <w:rFonts w:ascii="Arial" w:hAnsi="Arial" w:cs="Arial"/>
          <w:sz w:val="20"/>
          <w:szCs w:val="20"/>
        </w:rPr>
        <w:t xml:space="preserve"> [2023] VChC 2</w:t>
      </w:r>
      <w:r>
        <w:rPr>
          <w:rFonts w:ascii="Arial" w:hAnsi="Arial" w:cs="Arial"/>
          <w:sz w:val="20"/>
          <w:szCs w:val="20"/>
        </w:rPr>
        <w:t>.</w:t>
      </w:r>
      <w:r w:rsidR="00955618">
        <w:rPr>
          <w:rFonts w:ascii="Arial" w:hAnsi="Arial" w:cs="Arial"/>
          <w:sz w:val="20"/>
          <w:szCs w:val="20"/>
        </w:rPr>
        <w:t xml:space="preserve">  The accused TC was a socially isolated 13-</w:t>
      </w:r>
      <w:r w:rsidR="00BE76BB">
        <w:rPr>
          <w:rFonts w:ascii="Arial" w:hAnsi="Arial" w:cs="Arial"/>
          <w:sz w:val="20"/>
          <w:szCs w:val="20"/>
        </w:rPr>
        <w:t xml:space="preserve">14 </w:t>
      </w:r>
      <w:r w:rsidR="00955618">
        <w:rPr>
          <w:rFonts w:ascii="Arial" w:hAnsi="Arial" w:cs="Arial"/>
          <w:sz w:val="20"/>
          <w:szCs w:val="20"/>
        </w:rPr>
        <w:t xml:space="preserve">year-old autistic child with a fixation on ISIS and an IQ of 71.  TC’s behaviour was of such concern </w:t>
      </w:r>
      <w:r w:rsidR="00955618" w:rsidRPr="00955618">
        <w:rPr>
          <w:rFonts w:ascii="Arial" w:hAnsi="Arial" w:cs="Arial"/>
          <w:sz w:val="20"/>
          <w:szCs w:val="20"/>
        </w:rPr>
        <w:t xml:space="preserve">that his parents sought assistance from Victoria Police. </w:t>
      </w:r>
      <w:r w:rsidR="000867E8" w:rsidRPr="000B7637">
        <w:rPr>
          <w:rFonts w:ascii="Arial" w:hAnsi="Arial" w:cs="Arial"/>
          <w:sz w:val="20"/>
          <w:szCs w:val="20"/>
        </w:rPr>
        <w:t>The Security Investigation Unit of Victoria Police referred the family to the Countering Violent Extremism Unit (CVE) on 21 April 2021</w:t>
      </w:r>
      <w:r w:rsidR="000867E8">
        <w:rPr>
          <w:rFonts w:ascii="Arial" w:hAnsi="Arial" w:cs="Arial"/>
          <w:sz w:val="20"/>
          <w:szCs w:val="20"/>
        </w:rPr>
        <w:t xml:space="preserve"> and</w:t>
      </w:r>
      <w:r w:rsidR="000867E8" w:rsidRPr="000B7637">
        <w:rPr>
          <w:rFonts w:ascii="Arial" w:hAnsi="Arial" w:cs="Arial"/>
          <w:sz w:val="20"/>
          <w:szCs w:val="20"/>
        </w:rPr>
        <w:t xml:space="preserve"> Ms </w:t>
      </w:r>
      <w:r w:rsidR="00BE76BB">
        <w:rPr>
          <w:rFonts w:ascii="Arial" w:hAnsi="Arial" w:cs="Arial"/>
          <w:sz w:val="20"/>
          <w:szCs w:val="20"/>
        </w:rPr>
        <w:t>CM</w:t>
      </w:r>
      <w:r w:rsidR="000867E8" w:rsidRPr="000B7637">
        <w:rPr>
          <w:rFonts w:ascii="Arial" w:hAnsi="Arial" w:cs="Arial"/>
          <w:sz w:val="20"/>
          <w:szCs w:val="20"/>
        </w:rPr>
        <w:t xml:space="preserve">, </w:t>
      </w:r>
      <w:r w:rsidR="000867E8">
        <w:rPr>
          <w:rFonts w:ascii="Arial" w:hAnsi="Arial" w:cs="Arial"/>
          <w:sz w:val="20"/>
          <w:szCs w:val="20"/>
        </w:rPr>
        <w:t xml:space="preserve">a </w:t>
      </w:r>
      <w:r w:rsidR="000867E8" w:rsidRPr="000B7637">
        <w:rPr>
          <w:rFonts w:ascii="Arial" w:hAnsi="Arial" w:cs="Arial"/>
          <w:sz w:val="20"/>
          <w:szCs w:val="20"/>
        </w:rPr>
        <w:t>case manager at CVE, became engaged to provide services to rehabilitate and reintegrate TC and to provide services to mitigate risk.</w:t>
      </w:r>
      <w:r w:rsidR="000867E8">
        <w:rPr>
          <w:rFonts w:ascii="Arial" w:hAnsi="Arial" w:cs="Arial"/>
          <w:sz w:val="20"/>
          <w:szCs w:val="20"/>
        </w:rPr>
        <w:t xml:space="preserve"> TC’s</w:t>
      </w:r>
      <w:r w:rsidR="00955618" w:rsidRPr="00955618">
        <w:rPr>
          <w:rFonts w:ascii="Arial" w:hAnsi="Arial" w:cs="Arial"/>
          <w:sz w:val="20"/>
          <w:szCs w:val="20"/>
        </w:rPr>
        <w:t xml:space="preserve"> parents consented to the engagement of </w:t>
      </w:r>
      <w:r w:rsidR="000867E8">
        <w:rPr>
          <w:rFonts w:ascii="Arial" w:hAnsi="Arial" w:cs="Arial"/>
          <w:sz w:val="20"/>
          <w:szCs w:val="20"/>
        </w:rPr>
        <w:t>their son</w:t>
      </w:r>
      <w:r w:rsidR="00955618" w:rsidRPr="00955618">
        <w:rPr>
          <w:rFonts w:ascii="Arial" w:hAnsi="Arial" w:cs="Arial"/>
          <w:sz w:val="20"/>
          <w:szCs w:val="20"/>
        </w:rPr>
        <w:t xml:space="preserve"> in the </w:t>
      </w:r>
      <w:r w:rsidR="000867E8">
        <w:rPr>
          <w:rFonts w:ascii="Arial" w:hAnsi="Arial" w:cs="Arial"/>
          <w:sz w:val="20"/>
          <w:szCs w:val="20"/>
        </w:rPr>
        <w:t xml:space="preserve">CVE’s </w:t>
      </w:r>
      <w:r w:rsidR="00955618" w:rsidRPr="00955618">
        <w:rPr>
          <w:rFonts w:ascii="Arial" w:hAnsi="Arial" w:cs="Arial"/>
          <w:sz w:val="20"/>
          <w:szCs w:val="20"/>
        </w:rPr>
        <w:t xml:space="preserve">comprehensive rehabilitation program. </w:t>
      </w:r>
      <w:r w:rsidR="000867E8">
        <w:rPr>
          <w:rFonts w:ascii="Arial" w:hAnsi="Arial" w:cs="Arial"/>
          <w:sz w:val="20"/>
          <w:szCs w:val="20"/>
        </w:rPr>
        <w:t>However, a</w:t>
      </w:r>
      <w:r w:rsidR="00955618" w:rsidRPr="00955618">
        <w:rPr>
          <w:rFonts w:ascii="Arial" w:hAnsi="Arial" w:cs="Arial"/>
          <w:sz w:val="20"/>
          <w:szCs w:val="20"/>
        </w:rPr>
        <w:t xml:space="preserve">s part of </w:t>
      </w:r>
      <w:r w:rsidR="00955618">
        <w:rPr>
          <w:rFonts w:ascii="Arial" w:hAnsi="Arial" w:cs="Arial"/>
          <w:sz w:val="20"/>
          <w:szCs w:val="20"/>
        </w:rPr>
        <w:t>a</w:t>
      </w:r>
      <w:r w:rsidR="00955618" w:rsidRPr="00955618">
        <w:rPr>
          <w:rFonts w:ascii="Arial" w:hAnsi="Arial" w:cs="Arial"/>
          <w:sz w:val="20"/>
          <w:szCs w:val="20"/>
        </w:rPr>
        <w:t xml:space="preserve"> Joint Counter Terrorism </w:t>
      </w:r>
      <w:r w:rsidR="000B7637">
        <w:rPr>
          <w:rFonts w:ascii="Arial" w:hAnsi="Arial" w:cs="Arial"/>
          <w:sz w:val="20"/>
          <w:szCs w:val="20"/>
        </w:rPr>
        <w:t>T</w:t>
      </w:r>
      <w:r w:rsidR="00955618" w:rsidRPr="00955618">
        <w:rPr>
          <w:rFonts w:ascii="Arial" w:hAnsi="Arial" w:cs="Arial"/>
          <w:sz w:val="20"/>
          <w:szCs w:val="20"/>
        </w:rPr>
        <w:t xml:space="preserve">eam </w:t>
      </w:r>
      <w:r w:rsidR="000B7637">
        <w:rPr>
          <w:rFonts w:ascii="Arial" w:hAnsi="Arial" w:cs="Arial"/>
          <w:sz w:val="20"/>
          <w:szCs w:val="20"/>
        </w:rPr>
        <w:t xml:space="preserve">(JCTT) </w:t>
      </w:r>
      <w:r w:rsidR="00955618" w:rsidRPr="00955618">
        <w:rPr>
          <w:rFonts w:ascii="Arial" w:hAnsi="Arial" w:cs="Arial"/>
          <w:sz w:val="20"/>
          <w:szCs w:val="20"/>
        </w:rPr>
        <w:t>investigation into the child</w:t>
      </w:r>
      <w:r w:rsidR="000867E8">
        <w:rPr>
          <w:rFonts w:ascii="Arial" w:hAnsi="Arial" w:cs="Arial"/>
          <w:sz w:val="20"/>
          <w:szCs w:val="20"/>
        </w:rPr>
        <w:t>,</w:t>
      </w:r>
      <w:r w:rsidR="00955618" w:rsidRPr="00955618">
        <w:rPr>
          <w:rFonts w:ascii="Arial" w:hAnsi="Arial" w:cs="Arial"/>
          <w:sz w:val="20"/>
          <w:szCs w:val="20"/>
        </w:rPr>
        <w:t xml:space="preserve"> an </w:t>
      </w:r>
      <w:r w:rsidR="00955618">
        <w:rPr>
          <w:rFonts w:ascii="Arial" w:hAnsi="Arial" w:cs="Arial"/>
          <w:sz w:val="20"/>
          <w:szCs w:val="20"/>
        </w:rPr>
        <w:t>online covert operative (</w:t>
      </w:r>
      <w:r w:rsidR="00955618" w:rsidRPr="00955618">
        <w:rPr>
          <w:rFonts w:ascii="Arial" w:hAnsi="Arial" w:cs="Arial"/>
          <w:sz w:val="20"/>
          <w:szCs w:val="20"/>
        </w:rPr>
        <w:t>OCO</w:t>
      </w:r>
      <w:r w:rsidR="00955618">
        <w:rPr>
          <w:rFonts w:ascii="Arial" w:hAnsi="Arial" w:cs="Arial"/>
          <w:sz w:val="20"/>
          <w:szCs w:val="20"/>
        </w:rPr>
        <w:t>)</w:t>
      </w:r>
      <w:r w:rsidR="00955618" w:rsidRPr="00955618">
        <w:rPr>
          <w:rFonts w:ascii="Arial" w:hAnsi="Arial" w:cs="Arial"/>
          <w:sz w:val="20"/>
          <w:szCs w:val="20"/>
        </w:rPr>
        <w:t xml:space="preserve"> was </w:t>
      </w:r>
      <w:r w:rsidR="000867E8">
        <w:rPr>
          <w:rFonts w:ascii="Arial" w:hAnsi="Arial" w:cs="Arial"/>
          <w:sz w:val="20"/>
          <w:szCs w:val="20"/>
        </w:rPr>
        <w:t xml:space="preserve">also </w:t>
      </w:r>
      <w:r w:rsidR="00955618" w:rsidRPr="00955618">
        <w:rPr>
          <w:rFonts w:ascii="Arial" w:hAnsi="Arial" w:cs="Arial"/>
          <w:sz w:val="20"/>
          <w:szCs w:val="20"/>
        </w:rPr>
        <w:t xml:space="preserve">appointed and engaged with the child secretly online. TC’s parents </w:t>
      </w:r>
      <w:r w:rsidR="00955618">
        <w:rPr>
          <w:rFonts w:ascii="Arial" w:hAnsi="Arial" w:cs="Arial"/>
          <w:sz w:val="20"/>
          <w:szCs w:val="20"/>
        </w:rPr>
        <w:t xml:space="preserve">and TC’s psychologist </w:t>
      </w:r>
      <w:r w:rsidR="00955618" w:rsidRPr="00955618">
        <w:rPr>
          <w:rFonts w:ascii="Arial" w:hAnsi="Arial" w:cs="Arial"/>
          <w:sz w:val="20"/>
          <w:szCs w:val="20"/>
        </w:rPr>
        <w:t xml:space="preserve">were unaware of the existence of the OCO. </w:t>
      </w:r>
      <w:r w:rsidR="00955618">
        <w:rPr>
          <w:rFonts w:ascii="Arial" w:hAnsi="Arial" w:cs="Arial"/>
          <w:sz w:val="20"/>
          <w:szCs w:val="20"/>
        </w:rPr>
        <w:t xml:space="preserve"> In the course of a large number of ‘grooming’ conversations with the OCO, </w:t>
      </w:r>
      <w:r w:rsidR="00955618" w:rsidRPr="00955618">
        <w:rPr>
          <w:rFonts w:ascii="Arial" w:hAnsi="Arial" w:cs="Arial"/>
          <w:sz w:val="20"/>
          <w:szCs w:val="20"/>
        </w:rPr>
        <w:t>TC’s online behaviour escalated</w:t>
      </w:r>
      <w:r w:rsidR="001216CB">
        <w:rPr>
          <w:rFonts w:ascii="Arial" w:hAnsi="Arial" w:cs="Arial"/>
          <w:sz w:val="20"/>
          <w:szCs w:val="20"/>
        </w:rPr>
        <w:t xml:space="preserve"> and</w:t>
      </w:r>
      <w:r w:rsidR="00955618" w:rsidRPr="00955618">
        <w:rPr>
          <w:rFonts w:ascii="Arial" w:hAnsi="Arial" w:cs="Arial"/>
          <w:sz w:val="20"/>
          <w:szCs w:val="20"/>
        </w:rPr>
        <w:t xml:space="preserve"> a knife with ISIS written on it was found in his bedroom</w:t>
      </w:r>
      <w:r w:rsidR="001216CB">
        <w:rPr>
          <w:rFonts w:ascii="Arial" w:hAnsi="Arial" w:cs="Arial"/>
          <w:sz w:val="20"/>
          <w:szCs w:val="20"/>
        </w:rPr>
        <w:t>.  S</w:t>
      </w:r>
      <w:r w:rsidR="00955618">
        <w:rPr>
          <w:rFonts w:ascii="Arial" w:hAnsi="Arial" w:cs="Arial"/>
          <w:sz w:val="20"/>
          <w:szCs w:val="20"/>
        </w:rPr>
        <w:t xml:space="preserve">hortly </w:t>
      </w:r>
      <w:r w:rsidR="00955618" w:rsidRPr="00955618">
        <w:rPr>
          <w:rFonts w:ascii="Arial" w:hAnsi="Arial" w:cs="Arial"/>
          <w:sz w:val="20"/>
          <w:szCs w:val="20"/>
        </w:rPr>
        <w:t xml:space="preserve">after </w:t>
      </w:r>
      <w:r w:rsidR="00BB4510">
        <w:rPr>
          <w:rFonts w:ascii="Arial" w:hAnsi="Arial" w:cs="Arial"/>
          <w:sz w:val="20"/>
          <w:szCs w:val="20"/>
        </w:rPr>
        <w:t>his 14</w:t>
      </w:r>
      <w:r w:rsidR="00BB4510" w:rsidRPr="00BB4510">
        <w:rPr>
          <w:rFonts w:ascii="Arial" w:hAnsi="Arial" w:cs="Arial"/>
          <w:sz w:val="20"/>
          <w:szCs w:val="20"/>
          <w:vertAlign w:val="superscript"/>
        </w:rPr>
        <w:t>th</w:t>
      </w:r>
      <w:r w:rsidR="00BB4510">
        <w:rPr>
          <w:rFonts w:ascii="Arial" w:hAnsi="Arial" w:cs="Arial"/>
          <w:sz w:val="20"/>
          <w:szCs w:val="20"/>
        </w:rPr>
        <w:t xml:space="preserve"> birthday</w:t>
      </w:r>
      <w:r w:rsidR="00955618" w:rsidRPr="00955618">
        <w:rPr>
          <w:rFonts w:ascii="Arial" w:hAnsi="Arial" w:cs="Arial"/>
          <w:sz w:val="20"/>
          <w:szCs w:val="20"/>
        </w:rPr>
        <w:t xml:space="preserve"> </w:t>
      </w:r>
      <w:r w:rsidR="00877C39">
        <w:rPr>
          <w:rFonts w:ascii="Arial" w:hAnsi="Arial" w:cs="Arial"/>
          <w:sz w:val="20"/>
          <w:szCs w:val="20"/>
        </w:rPr>
        <w:t>TC</w:t>
      </w:r>
      <w:r w:rsidR="00955618" w:rsidRPr="00955618">
        <w:rPr>
          <w:rFonts w:ascii="Arial" w:hAnsi="Arial" w:cs="Arial"/>
          <w:sz w:val="20"/>
          <w:szCs w:val="20"/>
        </w:rPr>
        <w:t xml:space="preserve"> was charged with </w:t>
      </w:r>
      <w:r w:rsidR="00955618">
        <w:rPr>
          <w:rFonts w:ascii="Arial" w:hAnsi="Arial" w:cs="Arial"/>
          <w:sz w:val="20"/>
          <w:szCs w:val="20"/>
        </w:rPr>
        <w:t>two</w:t>
      </w:r>
      <w:r w:rsidR="00955618" w:rsidRPr="00955618">
        <w:rPr>
          <w:rFonts w:ascii="Arial" w:hAnsi="Arial" w:cs="Arial"/>
          <w:sz w:val="20"/>
          <w:szCs w:val="20"/>
        </w:rPr>
        <w:t xml:space="preserve"> offences</w:t>
      </w:r>
      <w:r w:rsidR="00955618">
        <w:rPr>
          <w:rFonts w:ascii="Arial" w:hAnsi="Arial" w:cs="Arial"/>
          <w:sz w:val="20"/>
          <w:szCs w:val="20"/>
        </w:rPr>
        <w:t>:</w:t>
      </w:r>
    </w:p>
    <w:p w14:paraId="073EDFB6" w14:textId="77777777" w:rsidR="00BB4510" w:rsidRDefault="00955618" w:rsidP="002F5EE0">
      <w:pPr>
        <w:jc w:val="both"/>
        <w:rPr>
          <w:rFonts w:ascii="Arial" w:hAnsi="Arial" w:cs="Arial"/>
          <w:sz w:val="20"/>
          <w:szCs w:val="20"/>
        </w:rPr>
      </w:pPr>
      <w:r>
        <w:rPr>
          <w:rFonts w:ascii="Arial" w:hAnsi="Arial" w:cs="Arial"/>
          <w:sz w:val="20"/>
          <w:szCs w:val="20"/>
        </w:rPr>
        <w:t xml:space="preserve">(1) membership of a terrorist organisation </w:t>
      </w:r>
      <w:r w:rsidRPr="0093550F">
        <w:rPr>
          <w:rFonts w:ascii="Arial" w:hAnsi="Arial" w:cs="Arial"/>
          <w:sz w:val="20"/>
          <w:szCs w:val="20"/>
        </w:rPr>
        <w:t xml:space="preserve">contrary to s 102.3 of the </w:t>
      </w:r>
      <w:r w:rsidRPr="0093550F">
        <w:rPr>
          <w:rFonts w:ascii="Arial" w:eastAsia="Book Antiqua" w:hAnsi="Arial" w:cs="Arial"/>
          <w:i/>
          <w:sz w:val="20"/>
          <w:szCs w:val="20"/>
        </w:rPr>
        <w:t>Criminal Code Act 1995 (Cth)</w:t>
      </w:r>
      <w:r w:rsidR="00BB4510" w:rsidRPr="00BB4510">
        <w:rPr>
          <w:rFonts w:ascii="Arial" w:eastAsia="Book Antiqua" w:hAnsi="Arial" w:cs="Arial"/>
          <w:iCs/>
          <w:sz w:val="20"/>
          <w:szCs w:val="20"/>
        </w:rPr>
        <w:t>;</w:t>
      </w:r>
      <w:r w:rsidRPr="00BB4510">
        <w:rPr>
          <w:rFonts w:ascii="Arial" w:eastAsia="Book Antiqua" w:hAnsi="Arial" w:cs="Arial"/>
          <w:iCs/>
          <w:sz w:val="20"/>
          <w:szCs w:val="20"/>
        </w:rPr>
        <w:t xml:space="preserve"> </w:t>
      </w:r>
      <w:r w:rsidRPr="00955618">
        <w:rPr>
          <w:rFonts w:ascii="Arial" w:eastAsia="Book Antiqua" w:hAnsi="Arial" w:cs="Arial"/>
          <w:iCs/>
          <w:sz w:val="20"/>
          <w:szCs w:val="20"/>
        </w:rPr>
        <w:t xml:space="preserve">and (2) </w:t>
      </w:r>
      <w:r w:rsidRPr="0093550F">
        <w:rPr>
          <w:rFonts w:ascii="Arial" w:hAnsi="Arial" w:cs="Arial"/>
          <w:sz w:val="20"/>
          <w:szCs w:val="20"/>
        </w:rPr>
        <w:t xml:space="preserve">advocating terrorism contrary to s 80.2C of </w:t>
      </w:r>
      <w:r w:rsidRPr="0093550F">
        <w:rPr>
          <w:rFonts w:ascii="Arial" w:eastAsia="Book Antiqua" w:hAnsi="Arial" w:cs="Arial"/>
          <w:i/>
          <w:sz w:val="20"/>
          <w:szCs w:val="20"/>
        </w:rPr>
        <w:t>the Code</w:t>
      </w:r>
      <w:r w:rsidRPr="0093550F">
        <w:rPr>
          <w:rFonts w:ascii="Arial" w:hAnsi="Arial" w:cs="Arial"/>
          <w:sz w:val="20"/>
          <w:szCs w:val="20"/>
        </w:rPr>
        <w:t>.</w:t>
      </w:r>
    </w:p>
    <w:p w14:paraId="101AE0BD" w14:textId="784657D6" w:rsidR="005D297C" w:rsidRPr="00FF672E" w:rsidRDefault="00955618" w:rsidP="002F5EE0">
      <w:pPr>
        <w:jc w:val="both"/>
        <w:rPr>
          <w:rFonts w:ascii="Arial" w:hAnsi="Arial" w:cs="Arial"/>
          <w:sz w:val="20"/>
          <w:szCs w:val="20"/>
        </w:rPr>
      </w:pPr>
      <w:r w:rsidRPr="0093550F">
        <w:rPr>
          <w:rFonts w:ascii="Arial" w:hAnsi="Arial" w:cs="Arial"/>
          <w:sz w:val="20"/>
          <w:szCs w:val="20"/>
        </w:rPr>
        <w:t xml:space="preserve">The charges </w:t>
      </w:r>
      <w:r w:rsidR="00BB4510">
        <w:rPr>
          <w:rFonts w:ascii="Arial" w:hAnsi="Arial" w:cs="Arial"/>
          <w:sz w:val="20"/>
          <w:szCs w:val="20"/>
        </w:rPr>
        <w:t>we</w:t>
      </w:r>
      <w:r w:rsidRPr="0093550F">
        <w:rPr>
          <w:rFonts w:ascii="Arial" w:hAnsi="Arial" w:cs="Arial"/>
          <w:sz w:val="20"/>
          <w:szCs w:val="20"/>
        </w:rPr>
        <w:t xml:space="preserve">re based on a number of utterances by </w:t>
      </w:r>
      <w:r w:rsidR="00A63726">
        <w:rPr>
          <w:rFonts w:ascii="Arial" w:hAnsi="Arial" w:cs="Arial"/>
          <w:sz w:val="20"/>
          <w:szCs w:val="20"/>
        </w:rPr>
        <w:t>TC</w:t>
      </w:r>
      <w:r w:rsidRPr="0093550F">
        <w:rPr>
          <w:rFonts w:ascii="Arial" w:hAnsi="Arial" w:cs="Arial"/>
          <w:sz w:val="20"/>
          <w:szCs w:val="20"/>
        </w:rPr>
        <w:t xml:space="preserve"> about terrorism and his expressed intention to engage in terrorist behaviour.  He also expressed his affection for and allegiance to terrorist organisations.  Much of this arose over a </w:t>
      </w:r>
      <w:r w:rsidR="00FF672E">
        <w:rPr>
          <w:rFonts w:ascii="Arial" w:hAnsi="Arial" w:cs="Arial"/>
          <w:sz w:val="20"/>
          <w:szCs w:val="20"/>
        </w:rPr>
        <w:t xml:space="preserve">71-day </w:t>
      </w:r>
      <w:r w:rsidRPr="0093550F">
        <w:rPr>
          <w:rFonts w:ascii="Arial" w:hAnsi="Arial" w:cs="Arial"/>
          <w:sz w:val="20"/>
          <w:szCs w:val="20"/>
        </w:rPr>
        <w:t xml:space="preserve">period between </w:t>
      </w:r>
      <w:r w:rsidR="00FF672E">
        <w:rPr>
          <w:rFonts w:ascii="Arial" w:hAnsi="Arial" w:cs="Arial"/>
          <w:sz w:val="20"/>
          <w:szCs w:val="20"/>
        </w:rPr>
        <w:t xml:space="preserve">29 </w:t>
      </w:r>
      <w:r w:rsidRPr="0093550F">
        <w:rPr>
          <w:rFonts w:ascii="Arial" w:hAnsi="Arial" w:cs="Arial"/>
          <w:sz w:val="20"/>
          <w:szCs w:val="20"/>
        </w:rPr>
        <w:t xml:space="preserve">July and </w:t>
      </w:r>
      <w:r w:rsidR="00FF672E">
        <w:rPr>
          <w:rFonts w:ascii="Arial" w:hAnsi="Arial" w:cs="Arial"/>
          <w:sz w:val="20"/>
          <w:szCs w:val="20"/>
        </w:rPr>
        <w:t xml:space="preserve">6 </w:t>
      </w:r>
      <w:r w:rsidRPr="0093550F">
        <w:rPr>
          <w:rFonts w:ascii="Arial" w:hAnsi="Arial" w:cs="Arial"/>
          <w:sz w:val="20"/>
          <w:szCs w:val="20"/>
        </w:rPr>
        <w:t xml:space="preserve">October 2021 </w:t>
      </w:r>
      <w:r w:rsidR="00FF672E">
        <w:rPr>
          <w:rFonts w:ascii="Arial" w:hAnsi="Arial" w:cs="Arial"/>
          <w:sz w:val="20"/>
          <w:szCs w:val="20"/>
        </w:rPr>
        <w:t>during which the OCO engaged with TC on 55 days.  The engagement occurred regularly and frequently and often more than once in a day</w:t>
      </w:r>
      <w:r w:rsidRPr="0093550F">
        <w:rPr>
          <w:rFonts w:ascii="Arial" w:hAnsi="Arial" w:cs="Arial"/>
          <w:sz w:val="20"/>
          <w:szCs w:val="20"/>
        </w:rPr>
        <w:t xml:space="preserve">.  </w:t>
      </w:r>
      <w:r w:rsidR="00FF672E">
        <w:rPr>
          <w:rFonts w:ascii="Arial" w:hAnsi="Arial" w:cs="Arial"/>
          <w:sz w:val="20"/>
          <w:szCs w:val="20"/>
        </w:rPr>
        <w:t xml:space="preserve">The evidence in the contested hearing before Magistrate Fleming was that TC </w:t>
      </w:r>
      <w:r w:rsidRPr="00955618">
        <w:rPr>
          <w:rFonts w:ascii="Arial" w:hAnsi="Arial" w:cs="Arial"/>
          <w:sz w:val="20"/>
          <w:szCs w:val="20"/>
        </w:rPr>
        <w:t>had limited capability to enact any of the behaviour discussed in the online chats</w:t>
      </w:r>
      <w:r>
        <w:rPr>
          <w:rFonts w:ascii="Arial" w:hAnsi="Arial" w:cs="Arial"/>
          <w:sz w:val="20"/>
          <w:szCs w:val="20"/>
        </w:rPr>
        <w:t xml:space="preserve"> with the OCO</w:t>
      </w:r>
      <w:r w:rsidRPr="00955618">
        <w:rPr>
          <w:rFonts w:ascii="Arial" w:hAnsi="Arial" w:cs="Arial"/>
          <w:sz w:val="20"/>
          <w:szCs w:val="20"/>
        </w:rPr>
        <w:t>.</w:t>
      </w:r>
    </w:p>
    <w:p w14:paraId="2FF7949E" w14:textId="072FA944" w:rsidR="005D297C" w:rsidRDefault="00FF672E" w:rsidP="00FF672E">
      <w:pPr>
        <w:spacing w:before="120"/>
        <w:jc w:val="both"/>
        <w:rPr>
          <w:rFonts w:ascii="Arial" w:hAnsi="Arial" w:cs="Arial"/>
          <w:sz w:val="20"/>
          <w:szCs w:val="20"/>
        </w:rPr>
      </w:pPr>
      <w:r>
        <w:rPr>
          <w:rFonts w:ascii="Arial" w:hAnsi="Arial" w:cs="Arial"/>
          <w:sz w:val="20"/>
          <w:szCs w:val="20"/>
        </w:rPr>
        <w:t xml:space="preserve">In ordering that the </w:t>
      </w:r>
      <w:r w:rsidR="00A73E04">
        <w:rPr>
          <w:rFonts w:ascii="Arial" w:hAnsi="Arial" w:cs="Arial"/>
          <w:sz w:val="20"/>
          <w:szCs w:val="20"/>
        </w:rPr>
        <w:t xml:space="preserve">criminal </w:t>
      </w:r>
      <w:r>
        <w:rPr>
          <w:rFonts w:ascii="Arial" w:hAnsi="Arial" w:cs="Arial"/>
          <w:sz w:val="20"/>
          <w:szCs w:val="20"/>
        </w:rPr>
        <w:t xml:space="preserve">proceedings against TC be permanently stayed, Magistrate Fleming </w:t>
      </w:r>
      <w:r w:rsidR="000B7637">
        <w:rPr>
          <w:rFonts w:ascii="Arial" w:hAnsi="Arial" w:cs="Arial"/>
          <w:sz w:val="20"/>
          <w:szCs w:val="20"/>
        </w:rPr>
        <w:t>sai</w:t>
      </w:r>
      <w:r>
        <w:rPr>
          <w:rFonts w:ascii="Arial" w:hAnsi="Arial" w:cs="Arial"/>
          <w:sz w:val="20"/>
          <w:szCs w:val="20"/>
        </w:rPr>
        <w:t>d at [</w:t>
      </w:r>
      <w:proofErr w:type="gramStart"/>
      <w:r>
        <w:rPr>
          <w:rFonts w:ascii="Arial" w:hAnsi="Arial" w:cs="Arial"/>
          <w:sz w:val="20"/>
          <w:szCs w:val="20"/>
        </w:rPr>
        <w:t>72]</w:t>
      </w:r>
      <w:r w:rsidR="000B7637">
        <w:rPr>
          <w:rFonts w:ascii="Arial" w:hAnsi="Arial" w:cs="Arial"/>
          <w:sz w:val="20"/>
          <w:szCs w:val="20"/>
        </w:rPr>
        <w:noBreakHyphen/>
      </w:r>
      <w:proofErr w:type="gramEnd"/>
      <w:r>
        <w:rPr>
          <w:rFonts w:ascii="Arial" w:hAnsi="Arial" w:cs="Arial"/>
          <w:sz w:val="20"/>
          <w:szCs w:val="20"/>
        </w:rPr>
        <w:t>[84]:</w:t>
      </w:r>
    </w:p>
    <w:p w14:paraId="617382FD" w14:textId="4A7F12A3" w:rsidR="00FF672E" w:rsidRPr="00FF672E" w:rsidRDefault="00FF672E" w:rsidP="00FF672E">
      <w:pPr>
        <w:spacing w:before="60"/>
        <w:ind w:left="567" w:right="567"/>
        <w:jc w:val="both"/>
        <w:rPr>
          <w:rFonts w:ascii="Arial" w:hAnsi="Arial" w:cs="Arial"/>
          <w:sz w:val="20"/>
          <w:szCs w:val="20"/>
        </w:rPr>
      </w:pPr>
      <w:r w:rsidRPr="00FF672E">
        <w:rPr>
          <w:rFonts w:ascii="Arial" w:hAnsi="Arial" w:cs="Arial"/>
          <w:sz w:val="20"/>
          <w:szCs w:val="20"/>
        </w:rPr>
        <w:t xml:space="preserve">[72] </w:t>
      </w:r>
      <w:r w:rsidR="000B7637">
        <w:rPr>
          <w:rFonts w:ascii="Arial" w:hAnsi="Arial" w:cs="Arial"/>
          <w:sz w:val="20"/>
          <w:szCs w:val="20"/>
        </w:rPr>
        <w:t>“</w:t>
      </w:r>
      <w:r w:rsidRPr="00FF672E">
        <w:rPr>
          <w:rFonts w:ascii="Arial" w:hAnsi="Arial" w:cs="Arial"/>
          <w:sz w:val="20"/>
          <w:szCs w:val="20"/>
        </w:rPr>
        <w:t>There is no doubt that terrorist activities are an abomination that strike fear into every citizen. It is right that the Prosecution describes the case before the Court as one of national security. The community is right to expect police entities to do all that they can to identify, investigate and prosecute offenders. The community also has a right to expect police entities to engage in conduct that is beyond reproach.</w:t>
      </w:r>
    </w:p>
    <w:p w14:paraId="67946CE0" w14:textId="717EEB04" w:rsidR="00FF672E" w:rsidRDefault="00FF672E" w:rsidP="00FF672E">
      <w:pPr>
        <w:spacing w:before="60"/>
        <w:ind w:left="567" w:right="567"/>
        <w:jc w:val="both"/>
        <w:rPr>
          <w:rFonts w:ascii="Arial" w:hAnsi="Arial" w:cs="Arial"/>
          <w:sz w:val="20"/>
          <w:szCs w:val="20"/>
        </w:rPr>
      </w:pPr>
      <w:r w:rsidRPr="00FF672E">
        <w:rPr>
          <w:rFonts w:ascii="Arial" w:hAnsi="Arial" w:cs="Arial"/>
          <w:sz w:val="20"/>
          <w:szCs w:val="20"/>
        </w:rPr>
        <w:t xml:space="preserve">[73] The diversionary program engaged in was tailor-made for TC. The evidence is that rehabilitation does not progress in a straight line, particularly when children are involved and especially when there are complex mental health factors in play. There will be lapses in a participant’s progress. This is to be expected. The AFP and Victoria Police are experienced in assessing risk and managing risk. Significantly, the first stage of police involvement with TC was to set up </w:t>
      </w:r>
      <w:r w:rsidR="000867E8">
        <w:rPr>
          <w:rFonts w:ascii="Arial" w:hAnsi="Arial" w:cs="Arial"/>
          <w:sz w:val="20"/>
          <w:szCs w:val="20"/>
        </w:rPr>
        <w:t xml:space="preserve">[the CVE] </w:t>
      </w:r>
      <w:r w:rsidRPr="00FF672E">
        <w:rPr>
          <w:rFonts w:ascii="Arial" w:hAnsi="Arial" w:cs="Arial"/>
          <w:sz w:val="20"/>
          <w:szCs w:val="20"/>
        </w:rPr>
        <w:t xml:space="preserve">rehabilitation program. It was the intention of </w:t>
      </w:r>
      <w:r w:rsidR="000867E8">
        <w:rPr>
          <w:rFonts w:ascii="Arial" w:hAnsi="Arial" w:cs="Arial"/>
          <w:sz w:val="20"/>
          <w:szCs w:val="20"/>
        </w:rPr>
        <w:t xml:space="preserve">[the case manager] </w:t>
      </w:r>
      <w:r w:rsidRPr="00FF672E">
        <w:rPr>
          <w:rFonts w:ascii="Arial" w:hAnsi="Arial" w:cs="Arial"/>
          <w:sz w:val="20"/>
          <w:szCs w:val="20"/>
        </w:rPr>
        <w:t xml:space="preserve">Ms </w:t>
      </w:r>
      <w:r w:rsidR="00BE76BB">
        <w:rPr>
          <w:rFonts w:ascii="Arial" w:hAnsi="Arial" w:cs="Arial"/>
          <w:sz w:val="20"/>
          <w:szCs w:val="20"/>
        </w:rPr>
        <w:t>CM</w:t>
      </w:r>
      <w:r w:rsidRPr="00FF672E">
        <w:rPr>
          <w:rFonts w:ascii="Arial" w:hAnsi="Arial" w:cs="Arial"/>
          <w:sz w:val="20"/>
          <w:szCs w:val="20"/>
        </w:rPr>
        <w:t xml:space="preserve"> to support TC and his family. I have no doubt that Ms </w:t>
      </w:r>
      <w:r w:rsidR="00BE76BB">
        <w:rPr>
          <w:rFonts w:ascii="Arial" w:hAnsi="Arial" w:cs="Arial"/>
          <w:sz w:val="20"/>
          <w:szCs w:val="20"/>
        </w:rPr>
        <w:t>CM</w:t>
      </w:r>
      <w:r w:rsidRPr="00FF672E">
        <w:rPr>
          <w:rFonts w:ascii="Arial" w:hAnsi="Arial" w:cs="Arial"/>
          <w:sz w:val="20"/>
          <w:szCs w:val="20"/>
        </w:rPr>
        <w:t xml:space="preserve">’s priority was rehabilitation. </w:t>
      </w:r>
      <w:r w:rsidR="000867E8">
        <w:rPr>
          <w:rFonts w:ascii="Arial" w:hAnsi="Arial" w:cs="Arial"/>
          <w:sz w:val="20"/>
          <w:szCs w:val="20"/>
        </w:rPr>
        <w:t>[But] t</w:t>
      </w:r>
      <w:r w:rsidRPr="00FF672E">
        <w:rPr>
          <w:rFonts w:ascii="Arial" w:hAnsi="Arial" w:cs="Arial"/>
          <w:sz w:val="20"/>
          <w:szCs w:val="20"/>
        </w:rPr>
        <w:t>he JCTT never intended to prioritise the rehabilitation program and TC’s reintegration into a pro</w:t>
      </w:r>
      <w:r w:rsidR="000867E8">
        <w:rPr>
          <w:rFonts w:ascii="Arial" w:hAnsi="Arial" w:cs="Arial"/>
          <w:sz w:val="20"/>
          <w:szCs w:val="20"/>
        </w:rPr>
        <w:t>-</w:t>
      </w:r>
      <w:r w:rsidRPr="00FF672E">
        <w:rPr>
          <w:rFonts w:ascii="Arial" w:hAnsi="Arial" w:cs="Arial"/>
          <w:sz w:val="20"/>
          <w:szCs w:val="20"/>
        </w:rPr>
        <w:t xml:space="preserve">social way of living. </w:t>
      </w:r>
      <w:r w:rsidR="00884063">
        <w:rPr>
          <w:rFonts w:ascii="Arial" w:hAnsi="Arial" w:cs="Arial"/>
          <w:sz w:val="20"/>
          <w:szCs w:val="20"/>
        </w:rPr>
        <w:t xml:space="preserve"> </w:t>
      </w:r>
      <w:r w:rsidRPr="00FF672E">
        <w:rPr>
          <w:rFonts w:ascii="Arial" w:hAnsi="Arial" w:cs="Arial"/>
          <w:sz w:val="20"/>
          <w:szCs w:val="20"/>
        </w:rPr>
        <w:t>The intention of the police entities became evident when the OCO was appointed.</w:t>
      </w:r>
    </w:p>
    <w:p w14:paraId="1F9C6603" w14:textId="56C04B2D" w:rsidR="00FF672E" w:rsidRDefault="00FF672E" w:rsidP="00FF672E">
      <w:pPr>
        <w:spacing w:before="60"/>
        <w:ind w:left="567" w:right="567"/>
        <w:jc w:val="both"/>
        <w:rPr>
          <w:rFonts w:ascii="Arial" w:hAnsi="Arial" w:cs="Arial"/>
          <w:sz w:val="20"/>
          <w:szCs w:val="20"/>
        </w:rPr>
      </w:pPr>
      <w:r>
        <w:rPr>
          <w:rFonts w:ascii="Arial" w:hAnsi="Arial" w:cs="Arial"/>
          <w:sz w:val="20"/>
          <w:szCs w:val="20"/>
        </w:rPr>
        <w:t>[</w:t>
      </w:r>
      <w:r w:rsidRPr="00FF672E">
        <w:rPr>
          <w:rFonts w:ascii="Arial" w:hAnsi="Arial" w:cs="Arial"/>
          <w:sz w:val="20"/>
          <w:szCs w:val="20"/>
        </w:rPr>
        <w:t>74</w:t>
      </w:r>
      <w:r>
        <w:rPr>
          <w:rFonts w:ascii="Arial" w:hAnsi="Arial" w:cs="Arial"/>
          <w:sz w:val="20"/>
          <w:szCs w:val="20"/>
        </w:rPr>
        <w:t>]</w:t>
      </w:r>
      <w:r w:rsidRPr="00FF672E">
        <w:rPr>
          <w:rFonts w:ascii="Arial" w:hAnsi="Arial" w:cs="Arial"/>
          <w:sz w:val="20"/>
          <w:szCs w:val="20"/>
        </w:rPr>
        <w:t xml:space="preserve"> The potential risk in relation to terrorism offences is of the highest order because the outcomes can be of the highest harm.</w:t>
      </w:r>
      <w:r w:rsidR="00884063">
        <w:rPr>
          <w:rFonts w:ascii="Arial" w:hAnsi="Arial" w:cs="Arial"/>
          <w:sz w:val="20"/>
          <w:szCs w:val="20"/>
        </w:rPr>
        <w:t xml:space="preserve"> </w:t>
      </w:r>
      <w:r w:rsidRPr="00FF672E">
        <w:rPr>
          <w:rFonts w:ascii="Arial" w:hAnsi="Arial" w:cs="Arial"/>
          <w:sz w:val="20"/>
          <w:szCs w:val="20"/>
        </w:rPr>
        <w:t xml:space="preserve"> The JCTT relied on the diversionary program </w:t>
      </w:r>
      <w:r w:rsidRPr="00FF672E">
        <w:rPr>
          <w:rFonts w:ascii="Arial" w:hAnsi="Arial" w:cs="Arial"/>
          <w:sz w:val="20"/>
          <w:szCs w:val="20"/>
        </w:rPr>
        <w:lastRenderedPageBreak/>
        <w:t>undertaken by Victoria Police to assist it in the criminal investigation and in the gathering of evidence against TC.</w:t>
      </w:r>
    </w:p>
    <w:p w14:paraId="02DD4AD1" w14:textId="192B9432" w:rsidR="000B7637" w:rsidRDefault="00FF672E" w:rsidP="00FF672E">
      <w:pPr>
        <w:spacing w:before="60"/>
        <w:ind w:left="567" w:right="567"/>
        <w:jc w:val="both"/>
        <w:rPr>
          <w:rFonts w:ascii="Arial" w:hAnsi="Arial" w:cs="Arial"/>
          <w:sz w:val="20"/>
          <w:szCs w:val="20"/>
        </w:rPr>
      </w:pPr>
      <w:r>
        <w:rPr>
          <w:rFonts w:ascii="Arial" w:hAnsi="Arial" w:cs="Arial"/>
          <w:sz w:val="20"/>
          <w:szCs w:val="20"/>
        </w:rPr>
        <w:t>[</w:t>
      </w:r>
      <w:r w:rsidRPr="00FF672E">
        <w:rPr>
          <w:rFonts w:ascii="Arial" w:hAnsi="Arial" w:cs="Arial"/>
          <w:sz w:val="20"/>
          <w:szCs w:val="20"/>
        </w:rPr>
        <w:t>75</w:t>
      </w:r>
      <w:r>
        <w:rPr>
          <w:rFonts w:ascii="Arial" w:hAnsi="Arial" w:cs="Arial"/>
          <w:sz w:val="20"/>
          <w:szCs w:val="20"/>
        </w:rPr>
        <w:t>]</w:t>
      </w:r>
      <w:r w:rsidRPr="00FF672E">
        <w:rPr>
          <w:rFonts w:ascii="Arial" w:hAnsi="Arial" w:cs="Arial"/>
          <w:sz w:val="20"/>
          <w:szCs w:val="20"/>
        </w:rPr>
        <w:t xml:space="preserve"> Once the OCO commenced TC’s rehabilitation was thwarted. The evidence is that TC’s risk of committing an act of terrorism escalated.  The rehabilitation program was undermined by the contamination of the OCO. </w:t>
      </w:r>
      <w:r w:rsidR="00BB4510">
        <w:rPr>
          <w:rFonts w:ascii="Arial" w:hAnsi="Arial" w:cs="Arial"/>
          <w:sz w:val="20"/>
          <w:szCs w:val="20"/>
        </w:rPr>
        <w:t xml:space="preserve"> </w:t>
      </w:r>
      <w:r w:rsidRPr="00FF672E">
        <w:rPr>
          <w:rFonts w:ascii="Arial" w:hAnsi="Arial" w:cs="Arial"/>
          <w:sz w:val="20"/>
          <w:szCs w:val="20"/>
        </w:rPr>
        <w:t xml:space="preserve">Competing forces were at play which pulled TC in opposite directions. </w:t>
      </w:r>
      <w:r w:rsidR="00BB4510">
        <w:rPr>
          <w:rFonts w:ascii="Arial" w:hAnsi="Arial" w:cs="Arial"/>
          <w:sz w:val="20"/>
          <w:szCs w:val="20"/>
        </w:rPr>
        <w:t xml:space="preserve"> </w:t>
      </w:r>
      <w:r w:rsidRPr="00FF672E">
        <w:rPr>
          <w:rFonts w:ascii="Arial" w:hAnsi="Arial" w:cs="Arial"/>
          <w:sz w:val="20"/>
          <w:szCs w:val="20"/>
        </w:rPr>
        <w:t xml:space="preserve">The JCTT approached this case as though the threshold test was that no risk is acceptable when dealing with the grave threat of terrorism. </w:t>
      </w:r>
      <w:r w:rsidR="00BB4510">
        <w:rPr>
          <w:rFonts w:ascii="Arial" w:hAnsi="Arial" w:cs="Arial"/>
          <w:sz w:val="20"/>
          <w:szCs w:val="20"/>
        </w:rPr>
        <w:t xml:space="preserve"> </w:t>
      </w:r>
      <w:r w:rsidRPr="00FF672E">
        <w:rPr>
          <w:rFonts w:ascii="Arial" w:hAnsi="Arial" w:cs="Arial"/>
          <w:sz w:val="20"/>
          <w:szCs w:val="20"/>
        </w:rPr>
        <w:t>It is through this lens that the JCTT engaged in the conduct it has engaged in to detect the risk, assess it and act to ensure the protection of the community. The means however do not justify the end</w:t>
      </w:r>
      <w:r w:rsidR="00BB4510">
        <w:rPr>
          <w:rFonts w:ascii="Arial" w:hAnsi="Arial" w:cs="Arial"/>
          <w:sz w:val="20"/>
          <w:szCs w:val="20"/>
        </w:rPr>
        <w:t xml:space="preserve">: </w:t>
      </w:r>
      <w:r w:rsidR="00BB4510" w:rsidRPr="007875B5">
        <w:rPr>
          <w:rFonts w:ascii="Arial" w:hAnsi="Arial" w:cs="Arial"/>
          <w:i/>
          <w:iCs/>
          <w:sz w:val="20"/>
          <w:szCs w:val="20"/>
        </w:rPr>
        <w:t xml:space="preserve">Strickland </w:t>
      </w:r>
      <w:r w:rsidR="00CF4A4D">
        <w:rPr>
          <w:rFonts w:ascii="Arial" w:hAnsi="Arial" w:cs="Arial"/>
          <w:i/>
          <w:iCs/>
          <w:sz w:val="20"/>
          <w:szCs w:val="20"/>
        </w:rPr>
        <w:t>(a pseudonym)</w:t>
      </w:r>
      <w:r w:rsidR="00BB4510" w:rsidRPr="007875B5">
        <w:rPr>
          <w:rFonts w:ascii="Arial" w:hAnsi="Arial" w:cs="Arial"/>
          <w:i/>
          <w:iCs/>
          <w:sz w:val="20"/>
          <w:szCs w:val="20"/>
        </w:rPr>
        <w:t xml:space="preserve"> v CDPP</w:t>
      </w:r>
      <w:r w:rsidR="00BB4510">
        <w:rPr>
          <w:rFonts w:ascii="Arial" w:hAnsi="Arial" w:cs="Arial"/>
          <w:sz w:val="20"/>
          <w:szCs w:val="20"/>
        </w:rPr>
        <w:t xml:space="preserve"> [2018] HCA 53 at [106]</w:t>
      </w:r>
      <w:r w:rsidRPr="00FF672E">
        <w:rPr>
          <w:rFonts w:ascii="Arial" w:hAnsi="Arial" w:cs="Arial"/>
          <w:sz w:val="20"/>
          <w:szCs w:val="20"/>
        </w:rPr>
        <w:t xml:space="preserve">. </w:t>
      </w:r>
      <w:r w:rsidR="00BB4510">
        <w:rPr>
          <w:rFonts w:ascii="Arial" w:hAnsi="Arial" w:cs="Arial"/>
          <w:sz w:val="20"/>
          <w:szCs w:val="20"/>
        </w:rPr>
        <w:t xml:space="preserve"> </w:t>
      </w:r>
      <w:r w:rsidRPr="00FF672E">
        <w:rPr>
          <w:rFonts w:ascii="Arial" w:hAnsi="Arial" w:cs="Arial"/>
          <w:sz w:val="20"/>
          <w:szCs w:val="20"/>
        </w:rPr>
        <w:t xml:space="preserve">The conduct of the JCTT must be moderated by the circumstances of each case. The evidence obtained in the way it has been obtained has not </w:t>
      </w:r>
      <w:r w:rsidR="00BB4510">
        <w:rPr>
          <w:rFonts w:ascii="Arial" w:hAnsi="Arial" w:cs="Arial"/>
          <w:sz w:val="20"/>
          <w:szCs w:val="20"/>
        </w:rPr>
        <w:t>‘</w:t>
      </w:r>
      <w:r w:rsidRPr="00FF672E">
        <w:rPr>
          <w:rFonts w:ascii="Arial" w:hAnsi="Arial" w:cs="Arial"/>
          <w:sz w:val="20"/>
          <w:szCs w:val="20"/>
        </w:rPr>
        <w:t>worked itself pure</w:t>
      </w:r>
      <w:r w:rsidR="00BB4510">
        <w:rPr>
          <w:rFonts w:ascii="Arial" w:hAnsi="Arial" w:cs="Arial"/>
          <w:sz w:val="20"/>
          <w:szCs w:val="20"/>
        </w:rPr>
        <w:t xml:space="preserve">’ </w:t>
      </w:r>
      <w:r w:rsidR="007875B5">
        <w:rPr>
          <w:rFonts w:ascii="Arial" w:hAnsi="Arial" w:cs="Arial"/>
          <w:sz w:val="20"/>
          <w:szCs w:val="20"/>
        </w:rPr>
        <w:t xml:space="preserve">[to use] </w:t>
      </w:r>
      <w:r w:rsidR="00BB4510">
        <w:rPr>
          <w:rFonts w:ascii="Arial" w:hAnsi="Arial" w:cs="Arial"/>
          <w:sz w:val="20"/>
          <w:szCs w:val="20"/>
        </w:rPr>
        <w:t xml:space="preserve">an expression borrowed from </w:t>
      </w:r>
      <w:r w:rsidR="00BB4510" w:rsidRPr="007875B5">
        <w:rPr>
          <w:rFonts w:ascii="Arial" w:hAnsi="Arial" w:cs="Arial"/>
          <w:i/>
          <w:iCs/>
          <w:sz w:val="20"/>
          <w:szCs w:val="20"/>
        </w:rPr>
        <w:t>Omychund v Barker</w:t>
      </w:r>
      <w:r w:rsidR="00BB4510">
        <w:rPr>
          <w:rFonts w:ascii="Arial" w:hAnsi="Arial" w:cs="Arial"/>
          <w:sz w:val="20"/>
          <w:szCs w:val="20"/>
        </w:rPr>
        <w:t xml:space="preserve"> (1744) 1 Atk 21 at 33 [26 ER 15 at 23]</w:t>
      </w:r>
      <w:r w:rsidRPr="00FF672E">
        <w:rPr>
          <w:rFonts w:ascii="Arial" w:hAnsi="Arial" w:cs="Arial"/>
          <w:sz w:val="20"/>
          <w:szCs w:val="20"/>
        </w:rPr>
        <w:t>.</w:t>
      </w:r>
    </w:p>
    <w:p w14:paraId="538A1C0F" w14:textId="37E0F677" w:rsidR="000B7637" w:rsidRDefault="000B7637" w:rsidP="00FF672E">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76</w:t>
      </w:r>
      <w:r>
        <w:rPr>
          <w:rFonts w:ascii="Arial" w:hAnsi="Arial" w:cs="Arial"/>
          <w:sz w:val="20"/>
          <w:szCs w:val="20"/>
        </w:rPr>
        <w:t>]</w:t>
      </w:r>
      <w:r w:rsidR="00FF672E" w:rsidRPr="00FF672E">
        <w:rPr>
          <w:rFonts w:ascii="Arial" w:hAnsi="Arial" w:cs="Arial"/>
          <w:sz w:val="20"/>
          <w:szCs w:val="20"/>
        </w:rPr>
        <w:t xml:space="preserve"> In </w:t>
      </w:r>
      <w:r w:rsidR="00FF672E" w:rsidRPr="000B7637">
        <w:rPr>
          <w:rFonts w:ascii="Arial" w:hAnsi="Arial" w:cs="Arial"/>
          <w:i/>
          <w:iCs/>
          <w:sz w:val="20"/>
          <w:szCs w:val="20"/>
        </w:rPr>
        <w:t>Clark v The Queen</w:t>
      </w:r>
      <w:r w:rsidR="00FF672E" w:rsidRPr="00FF672E">
        <w:rPr>
          <w:rFonts w:ascii="Arial" w:hAnsi="Arial" w:cs="Arial"/>
          <w:sz w:val="20"/>
          <w:szCs w:val="20"/>
        </w:rPr>
        <w:t xml:space="preserve"> [2016] VSCA 96, Weinberg, Ashley and Coghlan JJA, describing the principles underpinning the granting of a permanent stay in criminal proceedings, said at [13]-[19]:</w:t>
      </w:r>
    </w:p>
    <w:p w14:paraId="7A77D28F"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[13] ‘These principles are well settled. The power to order a permanent stay derives from the inherent (or, in some cases, implied) power of a court, including the County Court, to protect the integrity of its processes where the administration of justice so requires. It is a remedy that is invoked in order to prevent an abuse of process.</w:t>
      </w:r>
    </w:p>
    <w:p w14:paraId="0063A92D"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 xml:space="preserve">[14] The concept of abuse of process extends to the use of the court’s processes in a way that is inconsistent with two fundamental requirements arising in criminal proceedings. These are, first, that the court protect its ability to function as a court of law by ensuring that its processes are used fairly by State and citizen alike. The second is that unless the court protects its ability to function in that way, its failure will lead to an erosion of public confidence. The court’s processes will be seen as lending themselves to oppression and injustice. </w:t>
      </w:r>
    </w:p>
    <w:p w14:paraId="4C82F446"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[15] The continuation of proceedings that are unjustifiably and unfairly oppressive will, of itself, amount to an abuse of process. Moreover, as is well understood, a prosecution can be stayed if it has been instituted and maintained for an improper purpose.</w:t>
      </w:r>
    </w:p>
    <w:p w14:paraId="5A5E6CCE" w14:textId="19F84075" w:rsidR="000B7637" w:rsidRDefault="00FF672E" w:rsidP="00D24DC6">
      <w:pPr>
        <w:spacing w:before="60"/>
        <w:ind w:left="1021" w:right="1021"/>
        <w:jc w:val="both"/>
        <w:rPr>
          <w:rFonts w:ascii="Arial" w:hAnsi="Arial" w:cs="Arial"/>
          <w:sz w:val="18"/>
          <w:szCs w:val="18"/>
        </w:rPr>
      </w:pPr>
      <w:r w:rsidRPr="000B7637">
        <w:rPr>
          <w:rFonts w:ascii="Arial" w:hAnsi="Arial" w:cs="Arial"/>
          <w:sz w:val="18"/>
          <w:szCs w:val="18"/>
        </w:rPr>
        <w:t xml:space="preserve">[16] In a criminal context, the term </w:t>
      </w:r>
      <w:r w:rsidR="00BE76BB">
        <w:rPr>
          <w:rFonts w:ascii="Arial" w:hAnsi="Arial" w:cs="Arial"/>
          <w:sz w:val="18"/>
          <w:szCs w:val="18"/>
        </w:rPr>
        <w:t>“</w:t>
      </w:r>
      <w:r w:rsidRPr="000B7637">
        <w:rPr>
          <w:rFonts w:ascii="Arial" w:hAnsi="Arial" w:cs="Arial"/>
          <w:sz w:val="18"/>
          <w:szCs w:val="18"/>
        </w:rPr>
        <w:t>abuse of process</w:t>
      </w:r>
      <w:r w:rsidR="00BE76BB">
        <w:rPr>
          <w:rFonts w:ascii="Arial" w:hAnsi="Arial" w:cs="Arial"/>
          <w:sz w:val="18"/>
          <w:szCs w:val="18"/>
        </w:rPr>
        <w:t>”</w:t>
      </w:r>
      <w:r w:rsidRPr="000B7637">
        <w:rPr>
          <w:rFonts w:ascii="Arial" w:hAnsi="Arial" w:cs="Arial"/>
          <w:sz w:val="18"/>
          <w:szCs w:val="18"/>
        </w:rPr>
        <w:t xml:space="preserve"> encompasses not only circumstances within the narrowest conception of that term (such as bringing a prosecution for an improper purpose or maintaining one that is clearly foredoomed to fail), but also pursuing a criminal proceeding in a manner that is unfair and gives rise to oppression. </w:t>
      </w:r>
    </w:p>
    <w:p w14:paraId="35FDB999"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[17] It is only in an extreme case that a permanent stay of proceedings will be ordered. Necessarily, such cases will be rare. It follows that an applicant for a permanent stay must discharge a heavy onus if a court is to be persuaded to grant that remedy.</w:t>
      </w:r>
    </w:p>
    <w:p w14:paraId="2ACE214A"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 xml:space="preserve">[18] In determining whether a permanent stay should be granted, a court must have regard to the substantial public interest in having those charged with serious criminal offences brought to trial. A stay of that kind is tantamount to an immunity from prosecution and is not therefore lightly to be granted. </w:t>
      </w:r>
    </w:p>
    <w:p w14:paraId="15DFCCBF" w14:textId="77777777" w:rsidR="00A56260" w:rsidRDefault="00FF672E" w:rsidP="000B7637">
      <w:pPr>
        <w:spacing w:before="60"/>
        <w:ind w:left="1021" w:right="1021"/>
        <w:jc w:val="both"/>
        <w:rPr>
          <w:rFonts w:ascii="Arial" w:hAnsi="Arial" w:cs="Arial"/>
          <w:sz w:val="18"/>
          <w:szCs w:val="18"/>
        </w:rPr>
      </w:pPr>
      <w:r w:rsidRPr="007875B5">
        <w:rPr>
          <w:rFonts w:ascii="Arial" w:hAnsi="Arial" w:cs="Arial"/>
          <w:sz w:val="18"/>
          <w:szCs w:val="18"/>
        </w:rPr>
        <w:t>[19] There is more to a court’s decision as to whether a trial should proceed than fairness to the accused. An applicant for a stay must establish that the continuation of the proceedings would, not merely could, involve unacceptable injustice or unfairness. It must be shown that the continuation of the proceedings would be so unfairly and unjustifiably oppressive as to itself constitute an abuse of process.’</w:t>
      </w:r>
    </w:p>
    <w:p w14:paraId="67512AAB" w14:textId="45BE75AF" w:rsidR="000B7637" w:rsidRPr="00A56260" w:rsidRDefault="007875B5" w:rsidP="00A56260">
      <w:pPr>
        <w:spacing w:before="60"/>
        <w:ind w:left="567" w:right="567"/>
        <w:jc w:val="both"/>
        <w:rPr>
          <w:rFonts w:ascii="Arial" w:hAnsi="Arial" w:cs="Arial"/>
          <w:sz w:val="20"/>
          <w:szCs w:val="20"/>
        </w:rPr>
      </w:pPr>
      <w:r w:rsidRPr="00A56260">
        <w:rPr>
          <w:rFonts w:ascii="Arial" w:hAnsi="Arial" w:cs="Arial"/>
          <w:sz w:val="20"/>
          <w:szCs w:val="20"/>
        </w:rPr>
        <w:t xml:space="preserve">See also </w:t>
      </w:r>
      <w:r w:rsidRPr="00A56260">
        <w:rPr>
          <w:rFonts w:ascii="Arial" w:hAnsi="Arial" w:cs="Arial"/>
          <w:i/>
          <w:iCs/>
          <w:sz w:val="20"/>
          <w:szCs w:val="20"/>
        </w:rPr>
        <w:t>DPP v Tuteru</w:t>
      </w:r>
      <w:r w:rsidRPr="00A56260">
        <w:rPr>
          <w:rFonts w:ascii="Arial" w:hAnsi="Arial" w:cs="Arial"/>
          <w:sz w:val="20"/>
          <w:szCs w:val="20"/>
        </w:rPr>
        <w:t xml:space="preserve"> [2023] VSCA 188 at [63]-[69].</w:t>
      </w:r>
    </w:p>
    <w:p w14:paraId="6F315D56" w14:textId="17FA138F" w:rsidR="007875B5"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77</w:t>
      </w:r>
      <w:r>
        <w:rPr>
          <w:rFonts w:ascii="Arial" w:hAnsi="Arial" w:cs="Arial"/>
          <w:sz w:val="20"/>
          <w:szCs w:val="20"/>
        </w:rPr>
        <w:t>]</w:t>
      </w:r>
      <w:r w:rsidR="00FF672E" w:rsidRPr="00FF672E">
        <w:rPr>
          <w:rFonts w:ascii="Arial" w:hAnsi="Arial" w:cs="Arial"/>
          <w:sz w:val="20"/>
          <w:szCs w:val="20"/>
        </w:rPr>
        <w:t xml:space="preserve"> A permanent stay may be ordered where there are no other means to protect the integrity of the court’s processes. Edelman J stated in </w:t>
      </w:r>
      <w:r w:rsidR="00FF672E" w:rsidRPr="000B7637">
        <w:rPr>
          <w:rFonts w:ascii="Arial" w:hAnsi="Arial" w:cs="Arial"/>
          <w:i/>
          <w:iCs/>
          <w:sz w:val="20"/>
          <w:szCs w:val="20"/>
        </w:rPr>
        <w:t>Strickland</w:t>
      </w:r>
      <w:r w:rsidR="000916A7" w:rsidRPr="00860E87">
        <w:rPr>
          <w:rFonts w:ascii="Arial" w:hAnsi="Arial" w:cs="Arial"/>
          <w:i/>
          <w:iCs/>
          <w:sz w:val="20"/>
          <w:szCs w:val="20"/>
        </w:rPr>
        <w:t xml:space="preserve"> </w:t>
      </w:r>
      <w:r w:rsidR="00860E87" w:rsidRPr="00860E87">
        <w:rPr>
          <w:rFonts w:ascii="Arial" w:hAnsi="Arial" w:cs="Arial"/>
          <w:i/>
          <w:iCs/>
          <w:sz w:val="20"/>
          <w:szCs w:val="20"/>
        </w:rPr>
        <w:t>v CDPP</w:t>
      </w:r>
      <w:r w:rsidR="00860E87">
        <w:rPr>
          <w:rFonts w:ascii="Arial" w:hAnsi="Arial" w:cs="Arial"/>
          <w:sz w:val="20"/>
          <w:szCs w:val="20"/>
        </w:rPr>
        <w:t xml:space="preserve"> </w:t>
      </w:r>
      <w:r w:rsidR="000916A7">
        <w:rPr>
          <w:rFonts w:ascii="Arial" w:hAnsi="Arial" w:cs="Arial"/>
          <w:sz w:val="20"/>
          <w:szCs w:val="20"/>
        </w:rPr>
        <w:t>at [249]:</w:t>
      </w:r>
    </w:p>
    <w:p w14:paraId="7BADE64A" w14:textId="5F515B86" w:rsidR="000B7637" w:rsidRPr="007875B5" w:rsidRDefault="00BE76BB" w:rsidP="007875B5">
      <w:pPr>
        <w:spacing w:before="60"/>
        <w:ind w:left="1021" w:right="1021"/>
        <w:jc w:val="both"/>
        <w:rPr>
          <w:rFonts w:ascii="Arial" w:hAnsi="Arial" w:cs="Arial"/>
          <w:sz w:val="18"/>
          <w:szCs w:val="18"/>
        </w:rPr>
      </w:pPr>
      <w:proofErr w:type="gramStart"/>
      <w:r>
        <w:rPr>
          <w:rFonts w:ascii="Arial" w:hAnsi="Arial" w:cs="Arial"/>
          <w:sz w:val="18"/>
          <w:szCs w:val="18"/>
        </w:rPr>
        <w:t>‘”</w:t>
      </w:r>
      <w:r w:rsidR="00FF672E" w:rsidRPr="007875B5">
        <w:rPr>
          <w:rFonts w:ascii="Arial" w:hAnsi="Arial" w:cs="Arial"/>
          <w:sz w:val="18"/>
          <w:szCs w:val="18"/>
        </w:rPr>
        <w:t>Abuse</w:t>
      </w:r>
      <w:proofErr w:type="gramEnd"/>
      <w:r w:rsidR="00FF672E" w:rsidRPr="007875B5">
        <w:rPr>
          <w:rFonts w:ascii="Arial" w:hAnsi="Arial" w:cs="Arial"/>
          <w:sz w:val="18"/>
          <w:szCs w:val="18"/>
        </w:rPr>
        <w:t xml:space="preserve"> of process</w:t>
      </w:r>
      <w:r>
        <w:rPr>
          <w:rFonts w:ascii="Arial" w:hAnsi="Arial" w:cs="Arial"/>
          <w:sz w:val="18"/>
          <w:szCs w:val="18"/>
        </w:rPr>
        <w:t>”</w:t>
      </w:r>
      <w:r w:rsidR="00FF672E" w:rsidRPr="007875B5">
        <w:rPr>
          <w:rFonts w:ascii="Arial" w:hAnsi="Arial" w:cs="Arial"/>
          <w:sz w:val="18"/>
          <w:szCs w:val="18"/>
        </w:rPr>
        <w:t xml:space="preserve"> may not be the best language to describe the category where the focus is upon the integrity of the court generally rather than its particular processes. The rationale for this category has been described in various ways. The rationale has been described as being </w:t>
      </w:r>
      <w:r>
        <w:rPr>
          <w:rFonts w:ascii="Arial" w:hAnsi="Arial" w:cs="Arial"/>
          <w:sz w:val="18"/>
          <w:szCs w:val="18"/>
        </w:rPr>
        <w:t>“</w:t>
      </w:r>
      <w:r w:rsidR="00FF672E" w:rsidRPr="007875B5">
        <w:rPr>
          <w:rFonts w:ascii="Arial" w:hAnsi="Arial" w:cs="Arial"/>
          <w:sz w:val="18"/>
          <w:szCs w:val="18"/>
        </w:rPr>
        <w:t>a responsibility for the maintenance of the rule of law that embraces a willingness to oversee executive action and to refuse to countenance behaviour that threatens either basic human rights or the rule of law</w:t>
      </w:r>
      <w:r>
        <w:rPr>
          <w:rFonts w:ascii="Arial" w:hAnsi="Arial" w:cs="Arial"/>
          <w:sz w:val="18"/>
          <w:szCs w:val="18"/>
        </w:rPr>
        <w:t>”</w:t>
      </w:r>
      <w:r w:rsidR="00FF672E" w:rsidRPr="007875B5">
        <w:rPr>
          <w:rFonts w:ascii="Arial" w:hAnsi="Arial" w:cs="Arial"/>
          <w:sz w:val="18"/>
          <w:szCs w:val="18"/>
        </w:rPr>
        <w:t xml:space="preserve">. It has been described as avoiding </w:t>
      </w:r>
      <w:r>
        <w:rPr>
          <w:rFonts w:ascii="Arial" w:hAnsi="Arial" w:cs="Arial"/>
          <w:sz w:val="18"/>
          <w:szCs w:val="18"/>
        </w:rPr>
        <w:t>“</w:t>
      </w:r>
      <w:r w:rsidR="00FF672E" w:rsidRPr="007875B5">
        <w:rPr>
          <w:rFonts w:ascii="Arial" w:hAnsi="Arial" w:cs="Arial"/>
          <w:sz w:val="18"/>
          <w:szCs w:val="18"/>
        </w:rPr>
        <w:t>an erosion of public confidence</w:t>
      </w:r>
      <w:r>
        <w:rPr>
          <w:rFonts w:ascii="Arial" w:hAnsi="Arial" w:cs="Arial"/>
          <w:sz w:val="18"/>
          <w:szCs w:val="18"/>
        </w:rPr>
        <w:t>”</w:t>
      </w:r>
      <w:r w:rsidR="00FF672E" w:rsidRPr="007875B5">
        <w:rPr>
          <w:rFonts w:ascii="Arial" w:hAnsi="Arial" w:cs="Arial"/>
          <w:sz w:val="18"/>
          <w:szCs w:val="18"/>
        </w:rPr>
        <w:t>. It has also been described as arising where a trial would bring the administration of justice into disrepute. Each of these verbal formulations attempts to capture a concern for the systemic protection of the integrity of the court within an integrated system of justice. The possibility of an unfair trial, or a degree of unfairness in a trial, may be a factor contributing to that concern. But an unfair trial is not a prerequisite for a permanent stay in this category</w:t>
      </w:r>
      <w:r w:rsidR="000549D0">
        <w:rPr>
          <w:rFonts w:ascii="Arial" w:hAnsi="Arial" w:cs="Arial"/>
          <w:sz w:val="18"/>
          <w:szCs w:val="18"/>
        </w:rPr>
        <w:t>.’</w:t>
      </w:r>
      <w:r w:rsidR="00E71DB3">
        <w:rPr>
          <w:rFonts w:ascii="Arial" w:hAnsi="Arial" w:cs="Arial"/>
          <w:sz w:val="18"/>
          <w:szCs w:val="18"/>
        </w:rPr>
        <w:t xml:space="preserve"> (citations omitted)</w:t>
      </w:r>
    </w:p>
    <w:p w14:paraId="3727555C" w14:textId="77777777"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78</w:t>
      </w:r>
      <w:r>
        <w:rPr>
          <w:rFonts w:ascii="Arial" w:hAnsi="Arial" w:cs="Arial"/>
          <w:sz w:val="20"/>
          <w:szCs w:val="20"/>
        </w:rPr>
        <w:t>]</w:t>
      </w:r>
      <w:r w:rsidR="00FF672E" w:rsidRPr="00FF672E">
        <w:rPr>
          <w:rFonts w:ascii="Arial" w:hAnsi="Arial" w:cs="Arial"/>
          <w:sz w:val="20"/>
          <w:szCs w:val="20"/>
        </w:rPr>
        <w:t xml:space="preserve"> The chats between the OCO and TC were obtained in circumstances that do not meet the minimum standard that society expects of law enforcement officers.</w:t>
      </w:r>
    </w:p>
    <w:p w14:paraId="3320FDFD" w14:textId="77777777" w:rsidR="000B7637" w:rsidRDefault="000B7637" w:rsidP="000B7637">
      <w:pPr>
        <w:spacing w:before="60"/>
        <w:ind w:left="567" w:right="567"/>
        <w:jc w:val="both"/>
        <w:rPr>
          <w:rFonts w:ascii="Arial" w:hAnsi="Arial" w:cs="Arial"/>
          <w:sz w:val="20"/>
          <w:szCs w:val="20"/>
        </w:rPr>
      </w:pPr>
      <w:r>
        <w:rPr>
          <w:rFonts w:ascii="Arial" w:hAnsi="Arial" w:cs="Arial"/>
          <w:sz w:val="20"/>
          <w:szCs w:val="20"/>
        </w:rPr>
        <w:lastRenderedPageBreak/>
        <w:t>[</w:t>
      </w:r>
      <w:r w:rsidR="00FF672E" w:rsidRPr="00FF672E">
        <w:rPr>
          <w:rFonts w:ascii="Arial" w:hAnsi="Arial" w:cs="Arial"/>
          <w:sz w:val="20"/>
          <w:szCs w:val="20"/>
        </w:rPr>
        <w:t>79</w:t>
      </w:r>
      <w:r>
        <w:rPr>
          <w:rFonts w:ascii="Arial" w:hAnsi="Arial" w:cs="Arial"/>
          <w:sz w:val="20"/>
          <w:szCs w:val="20"/>
        </w:rPr>
        <w:t>]</w:t>
      </w:r>
      <w:r w:rsidR="00FF672E" w:rsidRPr="00FF672E">
        <w:rPr>
          <w:rFonts w:ascii="Arial" w:hAnsi="Arial" w:cs="Arial"/>
          <w:sz w:val="20"/>
          <w:szCs w:val="20"/>
        </w:rPr>
        <w:t xml:space="preserve"> The community would not expect law enforcement officers to encourage a 13-14 year old child towards racial hatred, distrust of police and violent extremism, encouraging the child’s fixation on ISIS.</w:t>
      </w:r>
    </w:p>
    <w:p w14:paraId="1A9A9A74" w14:textId="2B7BA632"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80</w:t>
      </w:r>
      <w:r>
        <w:rPr>
          <w:rFonts w:ascii="Arial" w:hAnsi="Arial" w:cs="Arial"/>
          <w:sz w:val="20"/>
          <w:szCs w:val="20"/>
        </w:rPr>
        <w:t>]</w:t>
      </w:r>
      <w:r w:rsidR="00FF672E" w:rsidRPr="00FF672E">
        <w:rPr>
          <w:rFonts w:ascii="Arial" w:hAnsi="Arial" w:cs="Arial"/>
          <w:sz w:val="20"/>
          <w:szCs w:val="20"/>
        </w:rPr>
        <w:t xml:space="preserve"> The community would not expect law enforcement to use the guise of a rehabilitation service to entice the parents of a troubled child to engage in a process that results in potential harm to the child.</w:t>
      </w:r>
    </w:p>
    <w:p w14:paraId="0DDE25F7" w14:textId="77777777"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81</w:t>
      </w:r>
      <w:r>
        <w:rPr>
          <w:rFonts w:ascii="Arial" w:hAnsi="Arial" w:cs="Arial"/>
          <w:sz w:val="20"/>
          <w:szCs w:val="20"/>
        </w:rPr>
        <w:t>]</w:t>
      </w:r>
      <w:r w:rsidR="00FF672E" w:rsidRPr="00FF672E">
        <w:rPr>
          <w:rFonts w:ascii="Arial" w:hAnsi="Arial" w:cs="Arial"/>
          <w:sz w:val="20"/>
          <w:szCs w:val="20"/>
        </w:rPr>
        <w:t xml:space="preserve"> By its conduct in attempting to radicalise TC for the purposes of gaining evidence to prosecute TC for the offences with which he has been charged, the AFP has completely and inevitably undermined the therapeutic process initiated by TC’s parents and the CVE to seek help to engage TC in the therapeutic and rehabilitative process.</w:t>
      </w:r>
    </w:p>
    <w:p w14:paraId="6F58A292" w14:textId="41A3A541"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82</w:t>
      </w:r>
      <w:r>
        <w:rPr>
          <w:rFonts w:ascii="Arial" w:hAnsi="Arial" w:cs="Arial"/>
          <w:sz w:val="20"/>
          <w:szCs w:val="20"/>
        </w:rPr>
        <w:t>]</w:t>
      </w:r>
      <w:r w:rsidR="00FF672E" w:rsidRPr="00FF672E">
        <w:rPr>
          <w:rFonts w:ascii="Arial" w:hAnsi="Arial" w:cs="Arial"/>
          <w:sz w:val="20"/>
          <w:szCs w:val="20"/>
        </w:rPr>
        <w:t xml:space="preserve"> The conduct engaged in by the JCTT and the AFP falls so profoundly short of the minimum standards expected of law enforcement offices that to refuse this application would be to condone and encourage further instances of such conduct.</w:t>
      </w:r>
    </w:p>
    <w:p w14:paraId="5AA86D2D" w14:textId="3E078754"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83</w:t>
      </w:r>
      <w:r>
        <w:rPr>
          <w:rFonts w:ascii="Arial" w:hAnsi="Arial" w:cs="Arial"/>
          <w:sz w:val="20"/>
          <w:szCs w:val="20"/>
        </w:rPr>
        <w:t>]</w:t>
      </w:r>
      <w:r w:rsidR="00FF672E" w:rsidRPr="00FF672E">
        <w:rPr>
          <w:rFonts w:ascii="Arial" w:hAnsi="Arial" w:cs="Arial"/>
          <w:sz w:val="20"/>
          <w:szCs w:val="20"/>
        </w:rPr>
        <w:t xml:space="preserve"> I am satisfied that to allow this proceeding to continue would not only be unjustifiably and unfairly oppressive to TC but would also lead to an erosion in public confidence in the Court’s processes. The re-radicalisation of TC which was created by JCTT in the guise of OCO’s chats with TC were obtained in circumstances that fall far short of the minimum standard that society expects of law enforcement officers.</w:t>
      </w:r>
    </w:p>
    <w:p w14:paraId="512B7E69" w14:textId="6E5959B2" w:rsidR="00FF672E" w:rsidRPr="00FF672E"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84</w:t>
      </w:r>
      <w:r>
        <w:rPr>
          <w:rFonts w:ascii="Arial" w:hAnsi="Arial" w:cs="Arial"/>
          <w:sz w:val="20"/>
          <w:szCs w:val="20"/>
        </w:rPr>
        <w:t>]</w:t>
      </w:r>
      <w:r w:rsidR="00FF672E" w:rsidRPr="00FF672E">
        <w:rPr>
          <w:rFonts w:ascii="Arial" w:hAnsi="Arial" w:cs="Arial"/>
          <w:sz w:val="20"/>
          <w:szCs w:val="20"/>
        </w:rPr>
        <w:t xml:space="preserve"> There is no other way to protect the integrity of the system of justice administered by the Court except to grant the application and order that the proceedings be permanently stayed.</w:t>
      </w:r>
      <w:r>
        <w:rPr>
          <w:rFonts w:ascii="Arial" w:hAnsi="Arial" w:cs="Arial"/>
          <w:sz w:val="20"/>
          <w:szCs w:val="20"/>
        </w:rPr>
        <w:t>”</w:t>
      </w:r>
    </w:p>
    <w:p w14:paraId="3CFBA3A6" w14:textId="77777777" w:rsidR="005D297C" w:rsidRPr="00FF672E" w:rsidRDefault="005D297C" w:rsidP="002F5EE0">
      <w:pPr>
        <w:jc w:val="both"/>
        <w:rPr>
          <w:rFonts w:ascii="Arial" w:hAnsi="Arial" w:cs="Arial"/>
          <w:color w:val="000000"/>
          <w:sz w:val="16"/>
          <w:szCs w:val="20"/>
        </w:rPr>
      </w:pPr>
    </w:p>
    <w:p w14:paraId="3E3B1114" w14:textId="5E2EC59F" w:rsidR="00C80B82" w:rsidRPr="00164487" w:rsidRDefault="00C80B82" w:rsidP="002F5EE0">
      <w:pPr>
        <w:jc w:val="both"/>
        <w:rPr>
          <w:rFonts w:ascii="Arial" w:hAnsi="Arial" w:cs="Arial"/>
          <w:color w:val="000000"/>
          <w:sz w:val="20"/>
        </w:rPr>
      </w:pPr>
      <w:r w:rsidRPr="00164487">
        <w:rPr>
          <w:rFonts w:ascii="Arial" w:hAnsi="Arial" w:cs="Arial"/>
          <w:color w:val="000000"/>
          <w:sz w:val="20"/>
        </w:rPr>
        <w:t xml:space="preserve">An example of a permanent stay not granted in the Magistrates’ Court is the case of </w:t>
      </w:r>
      <w:r w:rsidRPr="00164487">
        <w:rPr>
          <w:rFonts w:ascii="Arial" w:hAnsi="Arial" w:cs="Arial"/>
          <w:i/>
          <w:color w:val="000000"/>
          <w:sz w:val="20"/>
        </w:rPr>
        <w:t>Prestia v Machok</w:t>
      </w:r>
      <w:r w:rsidRPr="00164487">
        <w:rPr>
          <w:rFonts w:ascii="Arial" w:hAnsi="Arial" w:cs="Arial"/>
          <w:color w:val="000000"/>
          <w:sz w:val="20"/>
        </w:rPr>
        <w:t xml:space="preserve"> </w:t>
      </w:r>
      <w:r w:rsidRPr="00164487">
        <w:rPr>
          <w:rFonts w:ascii="Arial" w:hAnsi="Arial" w:cs="Arial"/>
          <w:color w:val="000000"/>
          <w:sz w:val="20"/>
          <w:szCs w:val="20"/>
        </w:rPr>
        <w:t xml:space="preserve">[unreported, Sunshine Magistrates’ Court, </w:t>
      </w:r>
      <w:r w:rsidR="00F23D02">
        <w:rPr>
          <w:rFonts w:ascii="Arial" w:hAnsi="Arial" w:cs="Arial"/>
          <w:color w:val="000000"/>
          <w:sz w:val="20"/>
          <w:szCs w:val="20"/>
        </w:rPr>
        <w:t>28/10/2010</w:t>
      </w:r>
      <w:r w:rsidRPr="00164487">
        <w:rPr>
          <w:rFonts w:ascii="Arial" w:hAnsi="Arial" w:cs="Arial"/>
          <w:color w:val="000000"/>
          <w:sz w:val="20"/>
          <w:szCs w:val="20"/>
        </w:rPr>
        <w:t xml:space="preserve">].  On 27/04/2010 the informant filed 5 charges against the accused in respect of offences </w:t>
      </w:r>
      <w:r w:rsidR="001B5E53" w:rsidRPr="00164487">
        <w:rPr>
          <w:rFonts w:ascii="Arial" w:hAnsi="Arial" w:cs="Arial"/>
          <w:color w:val="000000"/>
          <w:sz w:val="20"/>
          <w:szCs w:val="20"/>
        </w:rPr>
        <w:t>including an assault alleged to have been committed on 13/09/2008.  The accused was 17y8m at the time of the alleged offences but was not charged until he was 19y3m.  This delay meant that the accused was no longer within the jurisdiction of the Children’s Court and hence did not have an opportunity to take benefit of the rehabilitative nature of the CYFA. In refusing a permanent stay of the charges, Magistrate Jones:</w:t>
      </w:r>
    </w:p>
    <w:p w14:paraId="7B0AEFC6" w14:textId="77777777" w:rsidR="001B5E53" w:rsidRPr="00164487" w:rsidRDefault="0042616E" w:rsidP="00D772F0">
      <w:pPr>
        <w:numPr>
          <w:ilvl w:val="0"/>
          <w:numId w:val="31"/>
        </w:numPr>
        <w:ind w:left="284" w:hanging="284"/>
        <w:jc w:val="both"/>
        <w:rPr>
          <w:rFonts w:ascii="Arial" w:hAnsi="Arial" w:cs="Arial"/>
          <w:color w:val="000000"/>
          <w:sz w:val="16"/>
          <w:szCs w:val="20"/>
        </w:rPr>
      </w:pPr>
      <w:r w:rsidRPr="00164487">
        <w:rPr>
          <w:rFonts w:ascii="Arial" w:hAnsi="Arial" w:cs="Arial"/>
          <w:color w:val="000000"/>
          <w:sz w:val="20"/>
          <w:szCs w:val="20"/>
        </w:rPr>
        <w:t>held [at p.</w:t>
      </w:r>
      <w:r w:rsidR="001B5E53" w:rsidRPr="00164487">
        <w:rPr>
          <w:rFonts w:ascii="Arial" w:hAnsi="Arial" w:cs="Arial"/>
          <w:color w:val="000000"/>
          <w:sz w:val="20"/>
          <w:szCs w:val="20"/>
        </w:rPr>
        <w:t xml:space="preserve">10] that the Magistrates’ Court has power to stay criminal proceedings when the Court believes it appropriate to do so: </w:t>
      </w:r>
      <w:r w:rsidRPr="00164487">
        <w:rPr>
          <w:rFonts w:ascii="Arial" w:hAnsi="Arial" w:cs="Arial"/>
          <w:color w:val="000000"/>
          <w:sz w:val="20"/>
          <w:szCs w:val="20"/>
        </w:rPr>
        <w:t xml:space="preserve">see </w:t>
      </w:r>
      <w:r w:rsidRPr="00164487">
        <w:rPr>
          <w:rFonts w:ascii="Arial" w:hAnsi="Arial" w:cs="Arial"/>
          <w:i/>
          <w:color w:val="000000"/>
          <w:sz w:val="20"/>
          <w:szCs w:val="20"/>
        </w:rPr>
        <w:t>DPP v Shirvanian</w:t>
      </w:r>
      <w:r w:rsidRPr="00164487">
        <w:rPr>
          <w:rFonts w:ascii="Arial" w:hAnsi="Arial" w:cs="Arial"/>
          <w:color w:val="000000"/>
          <w:sz w:val="20"/>
          <w:szCs w:val="20"/>
        </w:rPr>
        <w:t xml:space="preserve"> (1998) 102 A Crim R 180 per Mason J; </w:t>
      </w:r>
      <w:r w:rsidRPr="00164487">
        <w:rPr>
          <w:rFonts w:ascii="Arial" w:hAnsi="Arial" w:cs="Arial"/>
          <w:i/>
          <w:color w:val="000000"/>
          <w:sz w:val="20"/>
          <w:szCs w:val="20"/>
        </w:rPr>
        <w:t>Edebone v Allen</w:t>
      </w:r>
      <w:r w:rsidRPr="00164487">
        <w:rPr>
          <w:rFonts w:ascii="Arial" w:hAnsi="Arial" w:cs="Arial"/>
          <w:color w:val="000000"/>
          <w:sz w:val="20"/>
          <w:szCs w:val="20"/>
        </w:rPr>
        <w:t xml:space="preserve"> </w:t>
      </w:r>
      <w:r w:rsidRPr="00164487">
        <w:rPr>
          <w:rFonts w:ascii="Arial" w:hAnsi="Arial" w:cs="Arial"/>
          <w:color w:val="000000"/>
          <w:sz w:val="20"/>
        </w:rPr>
        <w:t>[1991] 2 VR 659</w:t>
      </w:r>
      <w:r w:rsidRPr="00164487">
        <w:rPr>
          <w:rFonts w:ascii="Arial" w:hAnsi="Arial" w:cs="Arial"/>
          <w:color w:val="000000"/>
          <w:sz w:val="16"/>
          <w:szCs w:val="20"/>
        </w:rPr>
        <w:t>;</w:t>
      </w:r>
      <w:r w:rsidRPr="00164487">
        <w:rPr>
          <w:rFonts w:ascii="Arial" w:hAnsi="Arial" w:cs="Arial"/>
          <w:color w:val="000000"/>
          <w:sz w:val="20"/>
          <w:szCs w:val="20"/>
        </w:rPr>
        <w:t xml:space="preserve"> the five factors that must be considered are set out in </w:t>
      </w:r>
      <w:r w:rsidRPr="00164487">
        <w:rPr>
          <w:rFonts w:ascii="Arial" w:hAnsi="Arial" w:cs="Arial"/>
          <w:i/>
          <w:color w:val="000000"/>
          <w:sz w:val="20"/>
          <w:szCs w:val="20"/>
        </w:rPr>
        <w:t>Jago v District Court</w:t>
      </w:r>
      <w:r w:rsidRPr="00164487">
        <w:rPr>
          <w:rFonts w:ascii="Arial" w:hAnsi="Arial" w:cs="Arial"/>
          <w:color w:val="000000"/>
          <w:sz w:val="20"/>
          <w:szCs w:val="20"/>
        </w:rPr>
        <w:t xml:space="preserve"> </w:t>
      </w:r>
      <w:r w:rsidRPr="00164487">
        <w:rPr>
          <w:rFonts w:ascii="Arial" w:hAnsi="Arial" w:cs="Arial"/>
          <w:i/>
          <w:color w:val="000000"/>
          <w:sz w:val="20"/>
          <w:szCs w:val="20"/>
        </w:rPr>
        <w:t>of New South Wales</w:t>
      </w:r>
      <w:r w:rsidRPr="00164487">
        <w:rPr>
          <w:rFonts w:ascii="Arial" w:hAnsi="Arial" w:cs="Arial"/>
          <w:color w:val="000000"/>
          <w:sz w:val="20"/>
          <w:szCs w:val="20"/>
        </w:rPr>
        <w:t xml:space="preserve"> (1989) 168 CLR 23 and may be summarized as: [1] fairness to the accused; [2] the public interest in the disposition of charges of a serious nature; [3] the conviction of those guilty of crime; [4] the need to maintain public confidence in the administration of justice; [5] the interest of victims of crime in seeing that justice is done.</w:t>
      </w:r>
    </w:p>
    <w:p w14:paraId="6D9D7204" w14:textId="77777777" w:rsidR="001B5E53" w:rsidRPr="00164487" w:rsidRDefault="001B5E53" w:rsidP="00D772F0">
      <w:pPr>
        <w:numPr>
          <w:ilvl w:val="0"/>
          <w:numId w:val="31"/>
        </w:numPr>
        <w:ind w:left="284" w:hanging="284"/>
        <w:jc w:val="both"/>
        <w:rPr>
          <w:rFonts w:ascii="Arial" w:hAnsi="Arial" w:cs="Arial"/>
          <w:color w:val="000000"/>
          <w:sz w:val="20"/>
          <w:szCs w:val="20"/>
        </w:rPr>
      </w:pPr>
      <w:r w:rsidRPr="00164487">
        <w:rPr>
          <w:rFonts w:ascii="Arial" w:hAnsi="Arial" w:cs="Arial"/>
          <w:color w:val="000000"/>
          <w:sz w:val="20"/>
          <w:szCs w:val="20"/>
        </w:rPr>
        <w:t>held [at p.8-9</w:t>
      </w:r>
      <w:r w:rsidR="0074095E" w:rsidRPr="00164487">
        <w:rPr>
          <w:rFonts w:ascii="Arial" w:hAnsi="Arial" w:cs="Arial"/>
          <w:color w:val="000000"/>
          <w:sz w:val="20"/>
          <w:szCs w:val="20"/>
        </w:rPr>
        <w:t xml:space="preserve"> &amp; 20</w:t>
      </w:r>
      <w:r w:rsidRPr="00164487">
        <w:rPr>
          <w:rFonts w:ascii="Arial" w:hAnsi="Arial" w:cs="Arial"/>
          <w:color w:val="000000"/>
          <w:sz w:val="20"/>
          <w:szCs w:val="20"/>
        </w:rPr>
        <w:t>] that s.23</w:t>
      </w:r>
      <w:r w:rsidR="00306C8D" w:rsidRPr="00164487">
        <w:rPr>
          <w:rFonts w:ascii="Arial" w:hAnsi="Arial" w:cs="Arial"/>
          <w:color w:val="000000"/>
          <w:sz w:val="20"/>
          <w:szCs w:val="20"/>
        </w:rPr>
        <w:t>(2)</w:t>
      </w:r>
      <w:r w:rsidRPr="00164487">
        <w:rPr>
          <w:rFonts w:ascii="Arial" w:hAnsi="Arial" w:cs="Arial"/>
          <w:color w:val="000000"/>
          <w:sz w:val="20"/>
          <w:szCs w:val="20"/>
        </w:rPr>
        <w:t xml:space="preserve"> of the </w:t>
      </w:r>
      <w:r w:rsidRPr="00934D0F">
        <w:rPr>
          <w:rFonts w:ascii="Arial" w:hAnsi="Arial" w:cs="Arial"/>
          <w:i/>
          <w:iCs/>
          <w:color w:val="000000"/>
          <w:sz w:val="20"/>
          <w:szCs w:val="20"/>
        </w:rPr>
        <w:t>Charter of Human Rights and Responsibilities Act 2006</w:t>
      </w:r>
      <w:r w:rsidRPr="00164487">
        <w:rPr>
          <w:rFonts w:ascii="Arial" w:hAnsi="Arial" w:cs="Arial"/>
          <w:color w:val="000000"/>
          <w:sz w:val="20"/>
          <w:szCs w:val="20"/>
        </w:rPr>
        <w:t xml:space="preserve"> – providing that an accused child must be brought to trial as quickly as possible” – only applied to Mr</w:t>
      </w:r>
      <w:r w:rsidR="0074095E" w:rsidRPr="00164487">
        <w:rPr>
          <w:rFonts w:ascii="Arial" w:hAnsi="Arial" w:cs="Arial"/>
          <w:color w:val="000000"/>
          <w:sz w:val="20"/>
          <w:szCs w:val="20"/>
        </w:rPr>
        <w:t> </w:t>
      </w:r>
      <w:r w:rsidRPr="00164487">
        <w:rPr>
          <w:rFonts w:ascii="Arial" w:hAnsi="Arial" w:cs="Arial"/>
          <w:color w:val="000000"/>
          <w:sz w:val="20"/>
          <w:szCs w:val="20"/>
        </w:rPr>
        <w:t>Machok from the time he was ser</w:t>
      </w:r>
      <w:r w:rsidR="0074095E" w:rsidRPr="00164487">
        <w:rPr>
          <w:rFonts w:ascii="Arial" w:hAnsi="Arial" w:cs="Arial"/>
          <w:color w:val="000000"/>
          <w:sz w:val="20"/>
          <w:szCs w:val="20"/>
        </w:rPr>
        <w:t xml:space="preserve">ved with the charge and summons and that there was “no delay in bringing the matter before the Court once the accused was served”; in so holding, Magistrate Jones preferred the reasoning of Magistrate Capell in a judgment </w:t>
      </w:r>
      <w:r w:rsidR="00306C8D" w:rsidRPr="00164487">
        <w:rPr>
          <w:rFonts w:ascii="Arial" w:hAnsi="Arial" w:cs="Arial"/>
          <w:color w:val="000000"/>
          <w:sz w:val="20"/>
          <w:szCs w:val="20"/>
        </w:rPr>
        <w:t xml:space="preserve">on s.23(2) of the Charter </w:t>
      </w:r>
      <w:r w:rsidR="0074095E" w:rsidRPr="00164487">
        <w:rPr>
          <w:rFonts w:ascii="Arial" w:hAnsi="Arial" w:cs="Arial"/>
          <w:color w:val="000000"/>
          <w:sz w:val="20"/>
          <w:szCs w:val="20"/>
        </w:rPr>
        <w:t xml:space="preserve">[unreported, Horsham </w:t>
      </w:r>
      <w:r w:rsidR="00306C8D" w:rsidRPr="00164487">
        <w:rPr>
          <w:rFonts w:ascii="Arial" w:hAnsi="Arial" w:cs="Arial"/>
          <w:color w:val="000000"/>
          <w:sz w:val="20"/>
          <w:szCs w:val="20"/>
        </w:rPr>
        <w:t>Children’s</w:t>
      </w:r>
      <w:r w:rsidR="0074095E" w:rsidRPr="00164487">
        <w:rPr>
          <w:rFonts w:ascii="Arial" w:hAnsi="Arial" w:cs="Arial"/>
          <w:color w:val="000000"/>
          <w:sz w:val="20"/>
          <w:szCs w:val="20"/>
        </w:rPr>
        <w:t xml:space="preserve"> Court, 22/10/2008] to the contrary reasoning of Magistrate Somes in </w:t>
      </w:r>
      <w:r w:rsidR="0074095E" w:rsidRPr="00164487">
        <w:rPr>
          <w:rFonts w:ascii="Arial" w:hAnsi="Arial" w:cs="Arial"/>
          <w:i/>
          <w:color w:val="000000"/>
          <w:sz w:val="20"/>
          <w:szCs w:val="20"/>
        </w:rPr>
        <w:t xml:space="preserve">Perovic v CW (Young Person) </w:t>
      </w:r>
      <w:r w:rsidR="0074095E" w:rsidRPr="00164487">
        <w:rPr>
          <w:rFonts w:ascii="Arial" w:hAnsi="Arial" w:cs="Arial"/>
          <w:color w:val="000000"/>
          <w:sz w:val="20"/>
          <w:szCs w:val="20"/>
        </w:rPr>
        <w:t>[unreported, A.C.T. Children’s Court, 01/06/2006].</w:t>
      </w:r>
    </w:p>
    <w:p w14:paraId="4C2C03A8" w14:textId="77777777" w:rsidR="00C80B82" w:rsidRPr="00164487" w:rsidRDefault="00C80B82" w:rsidP="00971D15">
      <w:pPr>
        <w:ind w:left="284" w:hanging="284"/>
        <w:jc w:val="both"/>
        <w:rPr>
          <w:rFonts w:ascii="Arial" w:hAnsi="Arial" w:cs="Arial"/>
          <w:color w:val="000000"/>
          <w:sz w:val="20"/>
        </w:rPr>
      </w:pPr>
    </w:p>
    <w:p w14:paraId="4F9515C7" w14:textId="77777777" w:rsidR="0029551B" w:rsidRPr="00164487" w:rsidRDefault="002F5EE0" w:rsidP="002F5EE0">
      <w:pPr>
        <w:jc w:val="both"/>
        <w:rPr>
          <w:rFonts w:ascii="Arial" w:hAnsi="Arial" w:cs="Arial"/>
          <w:color w:val="000000"/>
          <w:sz w:val="20"/>
        </w:rPr>
      </w:pPr>
      <w:r w:rsidRPr="00164487">
        <w:rPr>
          <w:rFonts w:ascii="Arial" w:hAnsi="Arial" w:cs="Arial"/>
          <w:color w:val="000000"/>
          <w:sz w:val="20"/>
        </w:rPr>
        <w:t>An</w:t>
      </w:r>
      <w:r w:rsidR="002F664D">
        <w:rPr>
          <w:rFonts w:ascii="Arial" w:hAnsi="Arial" w:cs="Arial"/>
          <w:color w:val="000000"/>
          <w:sz w:val="20"/>
        </w:rPr>
        <w:t>other</w:t>
      </w:r>
      <w:r w:rsidRPr="00164487">
        <w:rPr>
          <w:rFonts w:ascii="Arial" w:hAnsi="Arial" w:cs="Arial"/>
          <w:color w:val="000000"/>
          <w:sz w:val="20"/>
        </w:rPr>
        <w:t xml:space="preserve"> example where a permanent stay was not granted is the case of </w:t>
      </w:r>
      <w:r w:rsidRPr="00164487">
        <w:rPr>
          <w:rFonts w:ascii="Arial" w:hAnsi="Arial" w:cs="Arial"/>
          <w:i/>
          <w:color w:val="000000"/>
          <w:sz w:val="20"/>
        </w:rPr>
        <w:t>PG v R</w:t>
      </w:r>
      <w:r w:rsidRPr="00164487">
        <w:rPr>
          <w:rFonts w:ascii="Arial" w:hAnsi="Arial" w:cs="Arial"/>
          <w:color w:val="000000"/>
          <w:sz w:val="20"/>
        </w:rPr>
        <w:t xml:space="preserve"> [2010] VSCA 298.  The accused had been charged with 11 counts of indecent assault </w:t>
      </w:r>
      <w:r w:rsidR="00CC19BC" w:rsidRPr="00164487">
        <w:rPr>
          <w:rFonts w:ascii="Arial" w:hAnsi="Arial" w:cs="Arial"/>
          <w:color w:val="000000"/>
          <w:sz w:val="20"/>
        </w:rPr>
        <w:t xml:space="preserve">and four counts of taking part in an act of sexual penetration with a child under 10.  </w:t>
      </w:r>
      <w:r w:rsidR="00F83143" w:rsidRPr="00164487">
        <w:rPr>
          <w:rFonts w:ascii="Arial" w:hAnsi="Arial" w:cs="Arial"/>
          <w:color w:val="000000"/>
          <w:sz w:val="20"/>
        </w:rPr>
        <w:t>He</w:t>
      </w:r>
      <w:r w:rsidR="00CC19BC" w:rsidRPr="00164487">
        <w:rPr>
          <w:rFonts w:ascii="Arial" w:hAnsi="Arial" w:cs="Arial"/>
          <w:color w:val="000000"/>
          <w:sz w:val="20"/>
        </w:rPr>
        <w:t xml:space="preserve"> had previously been convicted of indecent assault of one of the complainants.  He sought to have permanently stayed </w:t>
      </w:r>
      <w:r w:rsidR="00F83143" w:rsidRPr="00164487">
        <w:rPr>
          <w:rFonts w:ascii="Arial" w:hAnsi="Arial" w:cs="Arial"/>
          <w:color w:val="000000"/>
          <w:sz w:val="20"/>
        </w:rPr>
        <w:t>the</w:t>
      </w:r>
      <w:r w:rsidR="00CC19BC" w:rsidRPr="00164487">
        <w:rPr>
          <w:rFonts w:ascii="Arial" w:hAnsi="Arial" w:cs="Arial"/>
          <w:color w:val="000000"/>
          <w:sz w:val="20"/>
        </w:rPr>
        <w:t xml:space="preserve"> subsequent prosecution for </w:t>
      </w:r>
      <w:r w:rsidR="00F83143" w:rsidRPr="00164487">
        <w:rPr>
          <w:rFonts w:ascii="Arial" w:hAnsi="Arial" w:cs="Arial"/>
          <w:color w:val="000000"/>
          <w:sz w:val="20"/>
        </w:rPr>
        <w:t xml:space="preserve">15 </w:t>
      </w:r>
      <w:r w:rsidR="00CC19BC" w:rsidRPr="00164487">
        <w:rPr>
          <w:rFonts w:ascii="Arial" w:hAnsi="Arial" w:cs="Arial"/>
          <w:color w:val="000000"/>
          <w:sz w:val="20"/>
        </w:rPr>
        <w:t xml:space="preserve">similar offences committed against the same complainant and her sister during a similar but not the same period of time.  At the time the accused was prosecuted for and pleaded guilty to the previous indecent assault in 1993, the prosecution was unaware of the conduct the subject of the later allegations made in 2005 &amp; 2006.  In the circumstances of this case, the Court of Appeal held that the unavailability of a record of interview, the period of delay and the use of the previous conviction as tendency evidence did not make the subsequent proceedings an abuse of process.  </w:t>
      </w:r>
      <w:r w:rsidR="00F83143" w:rsidRPr="00164487">
        <w:rPr>
          <w:rFonts w:ascii="Arial" w:hAnsi="Arial" w:cs="Arial"/>
          <w:color w:val="000000"/>
          <w:sz w:val="20"/>
        </w:rPr>
        <w:t xml:space="preserve">The Court applied dicta of Brennan J in </w:t>
      </w:r>
      <w:r w:rsidR="00F83143" w:rsidRPr="00164487">
        <w:rPr>
          <w:rFonts w:ascii="Arial" w:hAnsi="Arial" w:cs="Arial"/>
          <w:i/>
          <w:color w:val="000000"/>
          <w:sz w:val="20"/>
        </w:rPr>
        <w:t>Jago v District Court of New South Wales</w:t>
      </w:r>
      <w:r w:rsidR="00F83143" w:rsidRPr="00164487">
        <w:rPr>
          <w:rFonts w:ascii="Arial" w:hAnsi="Arial" w:cs="Arial"/>
          <w:color w:val="000000"/>
          <w:sz w:val="20"/>
        </w:rPr>
        <w:t xml:space="preserve"> (1989) 168 CLR 23 at 49-50:</w:t>
      </w:r>
    </w:p>
    <w:p w14:paraId="257153A7" w14:textId="77777777" w:rsidR="00F83143" w:rsidRPr="00164487" w:rsidRDefault="00F83143" w:rsidP="00AA6352">
      <w:pPr>
        <w:spacing w:before="80"/>
        <w:ind w:left="567" w:right="567"/>
        <w:jc w:val="both"/>
        <w:rPr>
          <w:rFonts w:ascii="Arial" w:hAnsi="Arial" w:cs="Arial"/>
          <w:color w:val="000000"/>
          <w:sz w:val="20"/>
        </w:rPr>
      </w:pPr>
      <w:r w:rsidRPr="00164487">
        <w:rPr>
          <w:rFonts w:ascii="Arial" w:hAnsi="Arial" w:cs="Arial"/>
          <w:color w:val="000000"/>
          <w:sz w:val="20"/>
        </w:rPr>
        <w:t xml:space="preserve">“The community has an immediate interest in the administration of criminal justice to guarantee peace and order in society.  The victims of crime, who are not ordinarily parties to prosecutions on indictment and whose interests have generally gone unacknowledged until recent times, must be able to see that justice is done if they are not to be driven to self-help to rectify their grievances.  If a power to grant a permanent stay were to be exercised whenever a judge came to the conclusion that prejudice might or would be suffered by an accused because of delay in the prosecution, delay in law enforcement </w:t>
      </w:r>
      <w:r w:rsidRPr="00164487">
        <w:rPr>
          <w:rFonts w:ascii="Arial" w:hAnsi="Arial" w:cs="Arial"/>
          <w:color w:val="000000"/>
          <w:sz w:val="20"/>
        </w:rPr>
        <w:lastRenderedPageBreak/>
        <w:t>would defeat the enforcement of the law absolutely and prejudice resulting from delay would become a not unwelcome passport to immunity from prosecution.  Refusal by a court to try a criminal case does not undo the anxiety and disability which the pendency of a criminal charge produces, but it leaves the accused with an irremovable cloud of suspicion over his head.  And it is likely to engender a festering sense of injustice on the part of the community and the victim.”</w:t>
      </w:r>
    </w:p>
    <w:p w14:paraId="07A2F7C7" w14:textId="77777777" w:rsidR="002F5EE0" w:rsidRPr="00164487" w:rsidRDefault="00F83143" w:rsidP="00F83143">
      <w:pPr>
        <w:spacing w:before="80"/>
        <w:jc w:val="both"/>
        <w:rPr>
          <w:rFonts w:ascii="Arial" w:hAnsi="Arial" w:cs="Arial"/>
          <w:color w:val="000000"/>
          <w:sz w:val="20"/>
        </w:rPr>
      </w:pPr>
      <w:r w:rsidRPr="00164487">
        <w:rPr>
          <w:rFonts w:ascii="Arial" w:hAnsi="Arial" w:cs="Arial"/>
          <w:color w:val="000000"/>
          <w:sz w:val="20"/>
        </w:rPr>
        <w:t>At [23] the Court of Appeal said: “Any disadvantage which may be suffered by the applicant must be weighed against the interests of the community in ensuring the prosecution of persons alleged to have committed serious criminal offences.  This is particularly the case where the victims were children at the time of offending.”</w:t>
      </w:r>
    </w:p>
    <w:p w14:paraId="1208330F" w14:textId="0BB5627D" w:rsidR="00D64B2E" w:rsidRDefault="00D64B2E" w:rsidP="00D64B2E">
      <w:pPr>
        <w:rPr>
          <w:rFonts w:ascii="Arial" w:hAnsi="Arial" w:cs="Arial"/>
          <w:sz w:val="20"/>
        </w:rPr>
      </w:pPr>
    </w:p>
    <w:p w14:paraId="0641F0ED" w14:textId="77777777" w:rsidR="00616690" w:rsidRDefault="00E02832" w:rsidP="00E02832">
      <w:pPr>
        <w:jc w:val="both"/>
        <w:rPr>
          <w:rFonts w:ascii="Arial" w:hAnsi="Arial" w:cs="Arial"/>
          <w:sz w:val="20"/>
        </w:rPr>
      </w:pPr>
      <w:r>
        <w:rPr>
          <w:rFonts w:ascii="Arial" w:hAnsi="Arial" w:cs="Arial"/>
          <w:sz w:val="20"/>
        </w:rPr>
        <w:t>See also</w:t>
      </w:r>
      <w:r w:rsidR="00616690">
        <w:rPr>
          <w:rFonts w:ascii="Arial" w:hAnsi="Arial" w:cs="Arial"/>
          <w:sz w:val="20"/>
        </w:rPr>
        <w:t>:</w:t>
      </w:r>
    </w:p>
    <w:p w14:paraId="52CA822C" w14:textId="77777777" w:rsidR="00616690" w:rsidRPr="00164487" w:rsidRDefault="00E02832" w:rsidP="00616690">
      <w:pPr>
        <w:numPr>
          <w:ilvl w:val="0"/>
          <w:numId w:val="31"/>
        </w:numPr>
        <w:ind w:left="284" w:hanging="284"/>
        <w:jc w:val="both"/>
        <w:rPr>
          <w:rFonts w:ascii="Arial" w:hAnsi="Arial" w:cs="Arial"/>
          <w:color w:val="000000"/>
          <w:sz w:val="16"/>
          <w:szCs w:val="20"/>
        </w:rPr>
      </w:pPr>
      <w:r w:rsidRPr="00E02832">
        <w:rPr>
          <w:rFonts w:ascii="Arial" w:hAnsi="Arial" w:cs="Arial"/>
          <w:i/>
          <w:iCs/>
          <w:sz w:val="20"/>
        </w:rPr>
        <w:t>Ballard (a pseudonym) v The King</w:t>
      </w:r>
      <w:r>
        <w:rPr>
          <w:rFonts w:ascii="Arial" w:hAnsi="Arial" w:cs="Arial"/>
          <w:sz w:val="20"/>
        </w:rPr>
        <w:t xml:space="preserve"> [2024] VSCA 26 where the Court of Appeal held that a trial judge had not erred in refusing to order a permanent stay of a proposed retrial on charges of rape and reckless endangerment after a jury was discharged without verdict at an earlier trial.</w:t>
      </w:r>
    </w:p>
    <w:p w14:paraId="57D3CE9B" w14:textId="6523C82A" w:rsidR="00616690" w:rsidRPr="002029D3" w:rsidRDefault="00616690" w:rsidP="00616690">
      <w:pPr>
        <w:numPr>
          <w:ilvl w:val="0"/>
          <w:numId w:val="31"/>
        </w:numPr>
        <w:ind w:left="284" w:hanging="284"/>
        <w:jc w:val="both"/>
        <w:rPr>
          <w:rFonts w:ascii="Arial" w:hAnsi="Arial" w:cs="Arial"/>
          <w:color w:val="000000"/>
          <w:sz w:val="16"/>
          <w:szCs w:val="20"/>
        </w:rPr>
      </w:pPr>
      <w:r>
        <w:rPr>
          <w:rFonts w:ascii="Arial" w:hAnsi="Arial" w:cs="Arial"/>
          <w:i/>
          <w:iCs/>
          <w:sz w:val="20"/>
        </w:rPr>
        <w:t>Newell</w:t>
      </w:r>
      <w:r w:rsidRPr="00E02832">
        <w:rPr>
          <w:rFonts w:ascii="Arial" w:hAnsi="Arial" w:cs="Arial"/>
          <w:i/>
          <w:iCs/>
          <w:sz w:val="20"/>
        </w:rPr>
        <w:t xml:space="preserve"> (a pseudonym) v The King</w:t>
      </w:r>
      <w:r>
        <w:rPr>
          <w:rFonts w:ascii="Arial" w:hAnsi="Arial" w:cs="Arial"/>
          <w:sz w:val="20"/>
        </w:rPr>
        <w:t xml:space="preserve"> [2025] VSCA 160 where the Court of Appeal refused leave to appeal a refusal by the trial judge to grant a permanent stay of an indictment alleging child sexual offences 37 to 40 years ago, holding that any u</w:t>
      </w:r>
      <w:r w:rsidRPr="00616690">
        <w:rPr>
          <w:rFonts w:ascii="Arial" w:hAnsi="Arial" w:cs="Arial"/>
          <w:sz w:val="20"/>
        </w:rPr>
        <w:t xml:space="preserve">nfairness </w:t>
      </w:r>
      <w:r>
        <w:rPr>
          <w:rFonts w:ascii="Arial" w:hAnsi="Arial" w:cs="Arial"/>
          <w:sz w:val="20"/>
        </w:rPr>
        <w:t xml:space="preserve">was </w:t>
      </w:r>
      <w:r w:rsidRPr="00616690">
        <w:rPr>
          <w:rFonts w:ascii="Arial" w:hAnsi="Arial" w:cs="Arial"/>
          <w:sz w:val="20"/>
        </w:rPr>
        <w:t>capable of amelioration by jury direction</w:t>
      </w:r>
      <w:r w:rsidR="002029D3">
        <w:rPr>
          <w:rFonts w:ascii="Arial" w:hAnsi="Arial" w:cs="Arial"/>
          <w:sz w:val="20"/>
        </w:rPr>
        <w:t>;</w:t>
      </w:r>
    </w:p>
    <w:p w14:paraId="119AB00D" w14:textId="135E0865" w:rsidR="002029D3" w:rsidRPr="002029D3" w:rsidRDefault="002029D3" w:rsidP="00B04DA9">
      <w:pPr>
        <w:numPr>
          <w:ilvl w:val="0"/>
          <w:numId w:val="31"/>
        </w:numPr>
        <w:ind w:left="284" w:hanging="284"/>
        <w:jc w:val="both"/>
        <w:rPr>
          <w:rFonts w:ascii="Arial" w:hAnsi="Arial" w:cs="Arial"/>
          <w:sz w:val="20"/>
        </w:rPr>
      </w:pPr>
      <w:r w:rsidRPr="002029D3">
        <w:rPr>
          <w:rFonts w:ascii="Arial" w:hAnsi="Arial" w:cs="Arial"/>
          <w:i/>
          <w:iCs/>
          <w:color w:val="000000"/>
          <w:sz w:val="20"/>
        </w:rPr>
        <w:t>Henry Burnell (a pseudonym) v The King</w:t>
      </w:r>
      <w:r w:rsidRPr="002029D3">
        <w:rPr>
          <w:rFonts w:ascii="Arial" w:hAnsi="Arial" w:cs="Arial"/>
          <w:color w:val="000000"/>
          <w:sz w:val="20"/>
        </w:rPr>
        <w:t xml:space="preserve"> [2025] VSCA 264 where the Court of Appeal r</w:t>
      </w:r>
      <w:r w:rsidRPr="002029D3">
        <w:rPr>
          <w:rFonts w:ascii="Arial" w:hAnsi="Arial" w:cs="Arial"/>
          <w:sz w:val="20"/>
        </w:rPr>
        <w:t>efused leave to appeal a refusal by the trial judge to grant a permanent stay of an indictment alleging child sexual offences 40-45 years ago, holding at [50] that “In our opinion, the presumptive unfairness and prejudice to the applicant that remains will be amenable to satisfactory amelioration by a suitably strong forensic disadvantage direction under s 39(3) of the JDA</w:t>
      </w:r>
      <w:r>
        <w:rPr>
          <w:rFonts w:ascii="Arial" w:hAnsi="Arial" w:cs="Arial"/>
          <w:sz w:val="20"/>
        </w:rPr>
        <w:t>.”</w:t>
      </w:r>
    </w:p>
    <w:p w14:paraId="745D5DF4" w14:textId="77777777" w:rsidR="002029D3" w:rsidRDefault="002029D3" w:rsidP="00D64B2E">
      <w:pPr>
        <w:rPr>
          <w:rFonts w:ascii="Arial" w:hAnsi="Arial" w:cs="Arial"/>
          <w:sz w:val="20"/>
        </w:rPr>
      </w:pPr>
    </w:p>
    <w:p w14:paraId="489011BA" w14:textId="637A9614" w:rsidR="00095896" w:rsidRPr="00095896" w:rsidRDefault="00095896" w:rsidP="00095896">
      <w:pPr>
        <w:jc w:val="both"/>
        <w:rPr>
          <w:rFonts w:ascii="Arial" w:hAnsi="Arial" w:cs="Arial"/>
          <w:sz w:val="20"/>
          <w:szCs w:val="20"/>
        </w:rPr>
      </w:pPr>
      <w:r>
        <w:rPr>
          <w:rFonts w:ascii="Arial" w:hAnsi="Arial" w:cs="Arial"/>
          <w:sz w:val="20"/>
        </w:rPr>
        <w:t>The issue of abuse of pr</w:t>
      </w:r>
      <w:r w:rsidR="00C43839">
        <w:rPr>
          <w:rFonts w:ascii="Arial" w:hAnsi="Arial" w:cs="Arial"/>
          <w:sz w:val="20"/>
        </w:rPr>
        <w:t>ocess</w:t>
      </w:r>
      <w:r>
        <w:rPr>
          <w:rFonts w:ascii="Arial" w:hAnsi="Arial" w:cs="Arial"/>
          <w:sz w:val="20"/>
        </w:rPr>
        <w:t xml:space="preserve"> includes but is inherently broader than the estoppel issues discussed in </w:t>
      </w:r>
      <w:r w:rsidRPr="00AB17F4">
        <w:rPr>
          <w:rFonts w:ascii="Arial" w:hAnsi="Arial" w:cs="Arial"/>
          <w:b/>
          <w:bCs/>
          <w:sz w:val="20"/>
          <w:shd w:val="clear" w:color="auto" w:fill="C5E0B3" w:themeFill="accent6" w:themeFillTint="66"/>
        </w:rPr>
        <w:t>subsection</w:t>
      </w:r>
      <w:r w:rsidR="00AB17F4" w:rsidRPr="00AB17F4">
        <w:rPr>
          <w:rFonts w:ascii="Arial" w:hAnsi="Arial" w:cs="Arial"/>
          <w:b/>
          <w:bCs/>
          <w:sz w:val="20"/>
          <w:shd w:val="clear" w:color="auto" w:fill="C5E0B3" w:themeFill="accent6" w:themeFillTint="66"/>
        </w:rPr>
        <w:t xml:space="preserve"> 3.3.4.2</w:t>
      </w:r>
      <w:r>
        <w:rPr>
          <w:rFonts w:ascii="Arial" w:hAnsi="Arial" w:cs="Arial"/>
          <w:sz w:val="20"/>
        </w:rPr>
        <w:t xml:space="preserve">: see the judgment of Judge Cosgrave in </w:t>
      </w:r>
      <w:r w:rsidRPr="00C2496F">
        <w:rPr>
          <w:rFonts w:ascii="Arial" w:hAnsi="Arial" w:cs="Arial"/>
          <w:i/>
          <w:iCs/>
          <w:sz w:val="20"/>
        </w:rPr>
        <w:t>Yu v Lu &amp; Ors</w:t>
      </w:r>
      <w:r>
        <w:rPr>
          <w:rFonts w:ascii="Arial" w:hAnsi="Arial" w:cs="Arial"/>
          <w:sz w:val="20"/>
        </w:rPr>
        <w:t xml:space="preserve"> [2021] VCC 923 in which at [23] his Honour cited the joint judgment of French CJ, Bell, Gageler and Keane JJ in </w:t>
      </w:r>
      <w:r w:rsidRPr="00C2496F">
        <w:rPr>
          <w:rFonts w:ascii="Arial" w:hAnsi="Arial" w:cs="Arial"/>
          <w:i/>
          <w:iCs/>
          <w:sz w:val="20"/>
        </w:rPr>
        <w:t xml:space="preserve">Tomlinson v </w:t>
      </w:r>
      <w:r w:rsidRPr="00C2496F">
        <w:rPr>
          <w:rFonts w:ascii="Arial" w:hAnsi="Arial" w:cs="Arial"/>
          <w:i/>
          <w:iCs/>
          <w:sz w:val="20"/>
          <w:szCs w:val="20"/>
        </w:rPr>
        <w:t>Ramsey Food Processing Pty Ltd</w:t>
      </w:r>
      <w:r w:rsidRPr="00095896">
        <w:rPr>
          <w:rFonts w:ascii="Arial" w:hAnsi="Arial" w:cs="Arial"/>
          <w:sz w:val="20"/>
          <w:szCs w:val="20"/>
        </w:rPr>
        <w:t xml:space="preserve"> (2015) 256 CLR 507</w:t>
      </w:r>
      <w:r w:rsidR="00C2496F">
        <w:rPr>
          <w:rFonts w:ascii="Arial" w:hAnsi="Arial" w:cs="Arial"/>
          <w:sz w:val="20"/>
          <w:szCs w:val="20"/>
        </w:rPr>
        <w:t xml:space="preserve"> at </w:t>
      </w:r>
      <w:r w:rsidR="00C43839">
        <w:rPr>
          <w:rFonts w:ascii="Arial" w:hAnsi="Arial" w:cs="Arial"/>
          <w:sz w:val="20"/>
          <w:szCs w:val="20"/>
        </w:rPr>
        <w:t>[25]-[26]:</w:t>
      </w:r>
    </w:p>
    <w:p w14:paraId="682DB633" w14:textId="2BA0C081" w:rsidR="00C2496F" w:rsidRDefault="00C2496F" w:rsidP="00C2496F">
      <w:pPr>
        <w:spacing w:before="80"/>
        <w:ind w:left="567" w:right="567"/>
        <w:jc w:val="both"/>
        <w:rPr>
          <w:rFonts w:ascii="Arial" w:eastAsia="Arial" w:hAnsi="Arial" w:cs="Arial"/>
          <w:iCs/>
          <w:sz w:val="20"/>
          <w:szCs w:val="20"/>
        </w:rPr>
      </w:pPr>
      <w:r>
        <w:rPr>
          <w:rFonts w:ascii="Arial" w:hAnsi="Arial" w:cs="Arial"/>
          <w:color w:val="000000"/>
          <w:sz w:val="20"/>
        </w:rPr>
        <w:t>“</w:t>
      </w:r>
      <w:r w:rsidRPr="00C2496F">
        <w:rPr>
          <w:rFonts w:ascii="Arial" w:eastAsia="Arial" w:hAnsi="Arial" w:cs="Arial"/>
          <w:iCs/>
          <w:sz w:val="20"/>
          <w:szCs w:val="20"/>
        </w:rPr>
        <w:t xml:space="preserve">Abuse of process, which may be invoked in areas in which estoppels also apply, is inherently broader and more flexible than estoppel. Although insusceptible of a formulation which comprises closed categories </w:t>
      </w:r>
      <w:r w:rsidR="00C43839">
        <w:rPr>
          <w:rFonts w:ascii="Arial" w:eastAsia="Arial" w:hAnsi="Arial" w:cs="Arial"/>
          <w:iCs/>
          <w:sz w:val="20"/>
          <w:szCs w:val="20"/>
        </w:rPr>
        <w:t>{</w:t>
      </w:r>
      <w:r w:rsidR="00C43839" w:rsidRPr="00C43839">
        <w:rPr>
          <w:rFonts w:ascii="Arial" w:eastAsia="Arial" w:hAnsi="Arial" w:cs="Arial"/>
          <w:i/>
          <w:sz w:val="20"/>
          <w:szCs w:val="20"/>
        </w:rPr>
        <w:t>Batistatos v Roads and Traffic Authority (NSW)</w:t>
      </w:r>
      <w:r w:rsidR="00C43839">
        <w:rPr>
          <w:rFonts w:ascii="Arial" w:eastAsia="Arial" w:hAnsi="Arial" w:cs="Arial"/>
          <w:iCs/>
          <w:sz w:val="20"/>
          <w:szCs w:val="20"/>
        </w:rPr>
        <w:t xml:space="preserve"> (2006) 226 CLR 256 at 262 [1], 265 [9]}, </w:t>
      </w:r>
      <w:r w:rsidRPr="00C2496F">
        <w:rPr>
          <w:rFonts w:ascii="Arial" w:eastAsia="Arial" w:hAnsi="Arial" w:cs="Arial"/>
          <w:iCs/>
          <w:sz w:val="20"/>
          <w:szCs w:val="20"/>
        </w:rPr>
        <w:t xml:space="preserve">abuse of process is capable of application in any circumstances in which the use of a court’s procedures would be unjustifiably oppressive to a party or would bring the administration of justice into disrepute </w:t>
      </w:r>
      <w:r w:rsidR="009D6463">
        <w:rPr>
          <w:rFonts w:ascii="Arial" w:eastAsia="Arial" w:hAnsi="Arial" w:cs="Arial"/>
          <w:iCs/>
          <w:sz w:val="20"/>
          <w:szCs w:val="20"/>
        </w:rPr>
        <w:t>{</w:t>
      </w:r>
      <w:r w:rsidR="009D6463" w:rsidRPr="009D6463">
        <w:rPr>
          <w:rFonts w:ascii="Arial" w:eastAsia="Arial" w:hAnsi="Arial" w:cs="Arial"/>
          <w:i/>
          <w:sz w:val="20"/>
          <w:szCs w:val="20"/>
        </w:rPr>
        <w:t>PNJ v The Queen</w:t>
      </w:r>
      <w:r w:rsidR="009D6463">
        <w:rPr>
          <w:rFonts w:ascii="Arial" w:eastAsia="Arial" w:hAnsi="Arial" w:cs="Arial"/>
          <w:iCs/>
          <w:sz w:val="20"/>
          <w:szCs w:val="20"/>
        </w:rPr>
        <w:t xml:space="preserve"> (2009) 83 ALJR 384 at 385-386 [3]}</w:t>
      </w:r>
      <w:r w:rsidRPr="00C2496F">
        <w:rPr>
          <w:rFonts w:ascii="Arial" w:eastAsia="Arial" w:hAnsi="Arial" w:cs="Arial"/>
          <w:iCs/>
          <w:sz w:val="20"/>
          <w:szCs w:val="20"/>
        </w:rPr>
        <w:t>. It can for that</w:t>
      </w:r>
      <w:r>
        <w:rPr>
          <w:rFonts w:ascii="Arial" w:eastAsia="Arial" w:hAnsi="Arial" w:cs="Arial"/>
          <w:iCs/>
          <w:sz w:val="20"/>
          <w:szCs w:val="20"/>
        </w:rPr>
        <w:t xml:space="preserve"> reason be available to relieve against injustice to a party or impairment to the system of administration of justice which might otherwise be occasioned in circumstances where a party to a subsequent proceeding is not bound by an estoppel.</w:t>
      </w:r>
    </w:p>
    <w:p w14:paraId="383380F3" w14:textId="0D8B2B61" w:rsidR="00C2496F" w:rsidRDefault="00C2496F" w:rsidP="00C2496F">
      <w:pPr>
        <w:spacing w:before="80"/>
        <w:ind w:left="567" w:right="567"/>
        <w:jc w:val="both"/>
        <w:rPr>
          <w:rFonts w:ascii="Arial" w:eastAsia="Arial" w:hAnsi="Arial" w:cs="Arial"/>
          <w:iCs/>
          <w:sz w:val="20"/>
          <w:szCs w:val="20"/>
        </w:rPr>
      </w:pPr>
      <w:r>
        <w:rPr>
          <w:rFonts w:ascii="Arial" w:eastAsia="Arial" w:hAnsi="Arial" w:cs="Arial"/>
          <w:iCs/>
          <w:sz w:val="20"/>
          <w:szCs w:val="20"/>
        </w:rPr>
        <w:t>Accordingly, it has been recognised that making a claim or raising an issue which was made or raised and determined in an earlier proceeding, or which ought reasonably to have been made or raised for determination in that earlier proceeding, can constitute an abuse of process even where the earlier proceeding might not have given rise to an estoppel</w:t>
      </w:r>
      <w:r w:rsidR="009D6463">
        <w:rPr>
          <w:rFonts w:ascii="Arial" w:eastAsia="Arial" w:hAnsi="Arial" w:cs="Arial"/>
          <w:iCs/>
          <w:sz w:val="20"/>
          <w:szCs w:val="20"/>
        </w:rPr>
        <w:t xml:space="preserve"> {</w:t>
      </w:r>
      <w:r w:rsidR="009D6463" w:rsidRPr="009D6463">
        <w:rPr>
          <w:rFonts w:ascii="Arial" w:eastAsia="Arial" w:hAnsi="Arial" w:cs="Arial"/>
          <w:i/>
          <w:sz w:val="20"/>
          <w:szCs w:val="20"/>
        </w:rPr>
        <w:t>Walton v Gardiner</w:t>
      </w:r>
      <w:r w:rsidR="009D6463">
        <w:rPr>
          <w:rFonts w:ascii="Arial" w:eastAsia="Arial" w:hAnsi="Arial" w:cs="Arial"/>
          <w:iCs/>
          <w:sz w:val="20"/>
          <w:szCs w:val="20"/>
        </w:rPr>
        <w:t xml:space="preserve"> (1993) 177 CLR 378 at 393}</w:t>
      </w:r>
      <w:r>
        <w:rPr>
          <w:rFonts w:ascii="Arial" w:eastAsia="Arial" w:hAnsi="Arial" w:cs="Arial"/>
          <w:iCs/>
          <w:sz w:val="20"/>
          <w:szCs w:val="20"/>
        </w:rPr>
        <w:t>.  Similarly, it has been recognised that making such a claim or raising such an issue can constitute an abuse of process where the party seeking to make the claim or to raise the issue in the later proceeding was neither a party to that earlier proceeding, nor the privy of a party to that earlier proceeding, and therefore could not be precluded by an estoppel</w:t>
      </w:r>
      <w:r w:rsidR="009D6463">
        <w:rPr>
          <w:rFonts w:ascii="Arial" w:eastAsia="Arial" w:hAnsi="Arial" w:cs="Arial"/>
          <w:iCs/>
          <w:sz w:val="20"/>
          <w:szCs w:val="20"/>
        </w:rPr>
        <w:t xml:space="preserve"> {</w:t>
      </w:r>
      <w:r w:rsidR="009D6463" w:rsidRPr="00C77210">
        <w:rPr>
          <w:rFonts w:ascii="Arial" w:eastAsia="Arial" w:hAnsi="Arial" w:cs="Arial"/>
          <w:i/>
          <w:sz w:val="20"/>
          <w:szCs w:val="20"/>
        </w:rPr>
        <w:t>O’Shane v Harbour Radio Pty Ltd</w:t>
      </w:r>
      <w:r w:rsidR="009D6463">
        <w:rPr>
          <w:rFonts w:ascii="Arial" w:eastAsia="Arial" w:hAnsi="Arial" w:cs="Arial"/>
          <w:iCs/>
          <w:sz w:val="20"/>
          <w:szCs w:val="20"/>
        </w:rPr>
        <w:t xml:space="preserve"> (2013) 85 NSWLR 698 at 722-724</w:t>
      </w:r>
      <w:r w:rsidR="00C77210">
        <w:rPr>
          <w:rFonts w:ascii="Arial" w:eastAsia="Arial" w:hAnsi="Arial" w:cs="Arial"/>
          <w:iCs/>
          <w:sz w:val="20"/>
          <w:szCs w:val="20"/>
        </w:rPr>
        <w:t xml:space="preserve"> and the cases there cited}</w:t>
      </w:r>
      <w:r>
        <w:rPr>
          <w:rFonts w:ascii="Arial" w:eastAsia="Arial" w:hAnsi="Arial" w:cs="Arial"/>
          <w:iCs/>
          <w:sz w:val="20"/>
          <w:szCs w:val="20"/>
        </w:rPr>
        <w:t>.”</w:t>
      </w:r>
    </w:p>
    <w:p w14:paraId="2967D34A" w14:textId="77777777" w:rsidR="00DF7902" w:rsidRDefault="00DF7902" w:rsidP="00DF7902">
      <w:pPr>
        <w:jc w:val="both"/>
        <w:rPr>
          <w:rFonts w:ascii="Arial" w:hAnsi="Arial" w:cs="Arial"/>
          <w:sz w:val="20"/>
          <w:szCs w:val="20"/>
        </w:rPr>
      </w:pPr>
    </w:p>
    <w:p w14:paraId="0F2185E4" w14:textId="49ECE0D2" w:rsidR="00DF7902" w:rsidRPr="001C6E0E" w:rsidRDefault="00DF7902" w:rsidP="00DF7902">
      <w:pPr>
        <w:pStyle w:val="Heading3"/>
        <w:keepNext/>
        <w:keepLines/>
        <w:widowControl/>
        <w:spacing w:after="120" w:line="240" w:lineRule="auto"/>
        <w:ind w:left="284" w:hanging="284"/>
        <w:rPr>
          <w:rFonts w:ascii="Arial" w:hAnsi="Arial" w:cs="Arial"/>
          <w:b/>
          <w:bCs/>
          <w:color w:val="000000"/>
          <w:sz w:val="20"/>
        </w:rPr>
      </w:pPr>
      <w:bookmarkStart w:id="277" w:name="_C_CASES_INVOLVING"/>
      <w:bookmarkEnd w:id="277"/>
      <w:r>
        <w:rPr>
          <w:rFonts w:ascii="Arial" w:hAnsi="Arial" w:cs="Arial"/>
          <w:b/>
          <w:color w:val="FFFFFF"/>
          <w:sz w:val="22"/>
          <w:shd w:val="clear" w:color="auto" w:fill="000000"/>
        </w:rPr>
        <w:t>C</w:t>
      </w:r>
      <w:r>
        <w:rPr>
          <w:rFonts w:ascii="Arial" w:hAnsi="Arial" w:cs="Arial"/>
          <w:b/>
          <w:color w:val="000000"/>
          <w:sz w:val="22"/>
        </w:rPr>
        <w:tab/>
      </w:r>
      <w:r>
        <w:rPr>
          <w:rFonts w:ascii="Arial" w:hAnsi="Arial" w:cs="Arial"/>
          <w:b/>
          <w:bCs/>
          <w:color w:val="FFFFFF" w:themeColor="background1"/>
          <w:sz w:val="20"/>
          <w:shd w:val="clear" w:color="auto" w:fill="000000" w:themeFill="text1"/>
        </w:rPr>
        <w:t>CASES INVOLVING A REFUSAL TO ACCEPT A DOCUMENT FOR FILING</w:t>
      </w:r>
    </w:p>
    <w:p w14:paraId="7AB09745" w14:textId="63706CA7" w:rsidR="00DF7902" w:rsidRPr="00DF7902" w:rsidRDefault="00DF7902" w:rsidP="00DF7902">
      <w:pPr>
        <w:jc w:val="both"/>
        <w:rPr>
          <w:rFonts w:ascii="Arial" w:hAnsi="Arial" w:cs="Arial"/>
          <w:sz w:val="20"/>
        </w:rPr>
      </w:pPr>
      <w:r w:rsidRPr="00DF7902">
        <w:rPr>
          <w:rFonts w:ascii="Arial" w:hAnsi="Arial" w:cs="Arial"/>
          <w:sz w:val="20"/>
        </w:rPr>
        <w:t>There are a number of</w:t>
      </w:r>
      <w:r w:rsidR="0091469F">
        <w:rPr>
          <w:rFonts w:ascii="Arial" w:hAnsi="Arial" w:cs="Arial"/>
          <w:sz w:val="20"/>
        </w:rPr>
        <w:t xml:space="preserve"> </w:t>
      </w:r>
      <w:r w:rsidRPr="00DF7902">
        <w:rPr>
          <w:rFonts w:ascii="Arial" w:hAnsi="Arial" w:cs="Arial"/>
          <w:sz w:val="20"/>
        </w:rPr>
        <w:t>Court of Appeal cases in which the Prothonotary’s office ha</w:t>
      </w:r>
      <w:r w:rsidR="0091469F">
        <w:rPr>
          <w:rFonts w:ascii="Arial" w:hAnsi="Arial" w:cs="Arial"/>
          <w:sz w:val="20"/>
        </w:rPr>
        <w:t>d</w:t>
      </w:r>
      <w:r w:rsidRPr="00DF7902">
        <w:rPr>
          <w:rFonts w:ascii="Arial" w:hAnsi="Arial" w:cs="Arial"/>
          <w:sz w:val="20"/>
        </w:rPr>
        <w:t xml:space="preserve"> refused to accept a document for filing because the Prothonotary ha</w:t>
      </w:r>
      <w:r w:rsidR="0091469F">
        <w:rPr>
          <w:rFonts w:ascii="Arial" w:hAnsi="Arial" w:cs="Arial"/>
          <w:sz w:val="20"/>
        </w:rPr>
        <w:t>d</w:t>
      </w:r>
      <w:r w:rsidRPr="00DF7902">
        <w:rPr>
          <w:rFonts w:ascii="Arial" w:hAnsi="Arial" w:cs="Arial"/>
          <w:sz w:val="20"/>
        </w:rPr>
        <w:t xml:space="preserve"> taken the view that the document </w:t>
      </w:r>
      <w:r w:rsidR="0091469F">
        <w:rPr>
          <w:rFonts w:ascii="Arial" w:hAnsi="Arial" w:cs="Arial"/>
          <w:sz w:val="20"/>
        </w:rPr>
        <w:t>wa</w:t>
      </w:r>
      <w:r w:rsidRPr="00DF7902">
        <w:rPr>
          <w:rFonts w:ascii="Arial" w:hAnsi="Arial" w:cs="Arial"/>
          <w:sz w:val="20"/>
        </w:rPr>
        <w:t xml:space="preserve">s substantially irregular or an abuse of process. </w:t>
      </w:r>
      <w:r w:rsidR="0091469F">
        <w:rPr>
          <w:rFonts w:ascii="Arial" w:hAnsi="Arial" w:cs="Arial"/>
          <w:sz w:val="20"/>
        </w:rPr>
        <w:t>In</w:t>
      </w:r>
      <w:r w:rsidRPr="00DF7902">
        <w:rPr>
          <w:rFonts w:ascii="Arial" w:hAnsi="Arial" w:cs="Arial"/>
          <w:sz w:val="20"/>
        </w:rPr>
        <w:t xml:space="preserve"> </w:t>
      </w:r>
      <w:r w:rsidRPr="00DF7902">
        <w:rPr>
          <w:rFonts w:ascii="Arial" w:hAnsi="Arial" w:cs="Arial"/>
          <w:i/>
          <w:iCs/>
          <w:sz w:val="20"/>
        </w:rPr>
        <w:t>Ross v Draper</w:t>
      </w:r>
      <w:r w:rsidRPr="00DF7902">
        <w:rPr>
          <w:rFonts w:ascii="Arial" w:hAnsi="Arial" w:cs="Arial"/>
          <w:sz w:val="20"/>
        </w:rPr>
        <w:t xml:space="preserve"> [2026] VSCA 47 the Prothonotary had refused to accept an application for filing and Quigley</w:t>
      </w:r>
      <w:r w:rsidR="0091469F">
        <w:rPr>
          <w:rFonts w:ascii="Arial" w:hAnsi="Arial" w:cs="Arial"/>
          <w:sz w:val="20"/>
        </w:rPr>
        <w:t xml:space="preserve"> </w:t>
      </w:r>
      <w:r w:rsidRPr="00DF7902">
        <w:rPr>
          <w:rFonts w:ascii="Arial" w:hAnsi="Arial" w:cs="Arial"/>
          <w:sz w:val="20"/>
        </w:rPr>
        <w:t xml:space="preserve">J had refused to direct the Prothonotary to accept the application for filing. On 20/03/2026 McLeish JA held that Mr Ross’s resulting appeal was “totally without merit”. His Honour’s reasoning turned primarily on an analysis of the </w:t>
      </w:r>
      <w:r w:rsidRPr="00DF7902">
        <w:rPr>
          <w:rFonts w:ascii="Arial" w:hAnsi="Arial" w:cs="Arial"/>
          <w:i/>
          <w:iCs/>
          <w:sz w:val="20"/>
        </w:rPr>
        <w:t>Supreme Court (General Civil Procedure) Rules 2015</w:t>
      </w:r>
      <w:r w:rsidRPr="00DF7902">
        <w:rPr>
          <w:rFonts w:ascii="Arial" w:hAnsi="Arial" w:cs="Arial"/>
          <w:sz w:val="20"/>
        </w:rPr>
        <w:t xml:space="preserve">. Other examples are </w:t>
      </w:r>
      <w:r w:rsidRPr="00DF7902">
        <w:rPr>
          <w:rFonts w:ascii="Arial" w:hAnsi="Arial" w:cs="Arial"/>
          <w:i/>
          <w:iCs/>
          <w:sz w:val="20"/>
        </w:rPr>
        <w:t>Re Thorpe</w:t>
      </w:r>
      <w:r w:rsidRPr="00DF7902">
        <w:rPr>
          <w:rFonts w:ascii="Arial" w:hAnsi="Arial" w:cs="Arial"/>
          <w:sz w:val="20"/>
        </w:rPr>
        <w:t xml:space="preserve"> [2024] VSCA 172 and </w:t>
      </w:r>
      <w:r w:rsidRPr="00DF7902">
        <w:rPr>
          <w:rFonts w:ascii="Arial" w:hAnsi="Arial" w:cs="Arial"/>
          <w:i/>
          <w:iCs/>
          <w:sz w:val="20"/>
        </w:rPr>
        <w:t>Re</w:t>
      </w:r>
      <w:r w:rsidR="0091469F">
        <w:rPr>
          <w:rFonts w:ascii="Arial" w:hAnsi="Arial" w:cs="Arial"/>
          <w:i/>
          <w:iCs/>
          <w:sz w:val="20"/>
        </w:rPr>
        <w:t xml:space="preserve"> </w:t>
      </w:r>
      <w:r w:rsidRPr="00DF7902">
        <w:rPr>
          <w:rFonts w:ascii="Arial" w:hAnsi="Arial" w:cs="Arial"/>
          <w:i/>
          <w:iCs/>
          <w:sz w:val="20"/>
        </w:rPr>
        <w:t>Thorpe [No 2]</w:t>
      </w:r>
      <w:r w:rsidRPr="00DF7902">
        <w:rPr>
          <w:rFonts w:ascii="Arial" w:hAnsi="Arial" w:cs="Arial"/>
          <w:sz w:val="20"/>
        </w:rPr>
        <w:t xml:space="preserve"> [2025] VSCA 172 in each of which the Court of Appeal refused to give the Prothonotary a judicial direction to accept Mr Thorpe’s documents for filing.</w:t>
      </w:r>
    </w:p>
    <w:p w14:paraId="63A83CE8" w14:textId="77777777" w:rsidR="00DF7902" w:rsidRPr="00DF7902" w:rsidRDefault="00DF7902" w:rsidP="00DF7902">
      <w:pPr>
        <w:jc w:val="both"/>
        <w:rPr>
          <w:rFonts w:ascii="Arial" w:hAnsi="Arial" w:cs="Arial"/>
          <w:sz w:val="20"/>
        </w:rPr>
      </w:pPr>
    </w:p>
    <w:p w14:paraId="48358073" w14:textId="25E560F8" w:rsidR="00DF7902" w:rsidRPr="00DF7902" w:rsidRDefault="00DF7902" w:rsidP="00DF7902">
      <w:pPr>
        <w:jc w:val="both"/>
        <w:rPr>
          <w:rFonts w:ascii="Arial" w:hAnsi="Arial" w:cs="Arial"/>
          <w:sz w:val="20"/>
        </w:rPr>
      </w:pPr>
      <w:r w:rsidRPr="00DF7902">
        <w:rPr>
          <w:rFonts w:ascii="Arial" w:hAnsi="Arial" w:cs="Arial"/>
          <w:sz w:val="20"/>
        </w:rPr>
        <w:lastRenderedPageBreak/>
        <w:t xml:space="preserve">Rule 27.06 of the </w:t>
      </w:r>
      <w:r w:rsidRPr="00DF7902">
        <w:rPr>
          <w:rFonts w:ascii="Arial" w:hAnsi="Arial" w:cs="Arial"/>
          <w:i/>
          <w:iCs/>
          <w:sz w:val="20"/>
        </w:rPr>
        <w:t>Magistrates' Court General Civil Procedure Rules</w:t>
      </w:r>
      <w:r w:rsidR="0091469F">
        <w:rPr>
          <w:rFonts w:ascii="Arial" w:hAnsi="Arial" w:cs="Arial"/>
          <w:i/>
          <w:iCs/>
          <w:sz w:val="20"/>
        </w:rPr>
        <w:t xml:space="preserve"> </w:t>
      </w:r>
      <w:r w:rsidRPr="00DF7902">
        <w:rPr>
          <w:rFonts w:ascii="Arial" w:hAnsi="Arial" w:cs="Arial"/>
          <w:i/>
          <w:iCs/>
          <w:sz w:val="20"/>
        </w:rPr>
        <w:t>2020</w:t>
      </w:r>
      <w:r w:rsidRPr="00DF7902">
        <w:rPr>
          <w:rFonts w:ascii="Arial" w:hAnsi="Arial" w:cs="Arial"/>
          <w:sz w:val="20"/>
        </w:rPr>
        <w:t xml:space="preserve"> provides – with fairly similar effect to the </w:t>
      </w:r>
      <w:r w:rsidRPr="00DF7902">
        <w:rPr>
          <w:rFonts w:ascii="Arial" w:hAnsi="Arial" w:cs="Arial"/>
          <w:i/>
          <w:iCs/>
          <w:sz w:val="20"/>
        </w:rPr>
        <w:t>Supreme Court (General Civil Procedure) Rules</w:t>
      </w:r>
      <w:r w:rsidR="0091469F">
        <w:rPr>
          <w:rFonts w:ascii="Arial" w:hAnsi="Arial" w:cs="Arial"/>
          <w:sz w:val="20"/>
        </w:rPr>
        <w:t xml:space="preserve"> [emphasis added]:</w:t>
      </w:r>
    </w:p>
    <w:p w14:paraId="478D9265" w14:textId="77777777" w:rsidR="00DF7902" w:rsidRPr="00DF7902" w:rsidRDefault="00DF7902" w:rsidP="00DF7902">
      <w:pPr>
        <w:jc w:val="both"/>
        <w:rPr>
          <w:rFonts w:ascii="Arial" w:hAnsi="Arial" w:cs="Arial"/>
          <w:b/>
          <w:bCs/>
          <w:sz w:val="20"/>
        </w:rPr>
      </w:pPr>
      <w:bookmarkStart w:id="278" w:name="_Toc217460912"/>
      <w:r w:rsidRPr="00DF7902">
        <w:rPr>
          <w:rFonts w:ascii="Arial" w:hAnsi="Arial" w:cs="Arial"/>
          <w:b/>
          <w:bCs/>
          <w:sz w:val="20"/>
        </w:rPr>
        <w:t>27.06   Registrar refusing to accept documents</w:t>
      </w:r>
      <w:bookmarkEnd w:id="278"/>
    </w:p>
    <w:p w14:paraId="1D3605A2" w14:textId="77777777" w:rsidR="00DF7902" w:rsidRPr="00DF7902" w:rsidRDefault="00DF7902" w:rsidP="00DF7902">
      <w:pPr>
        <w:jc w:val="both"/>
        <w:rPr>
          <w:rFonts w:ascii="Arial" w:hAnsi="Arial" w:cs="Arial"/>
          <w:sz w:val="20"/>
        </w:rPr>
      </w:pPr>
      <w:r w:rsidRPr="00DF7902">
        <w:rPr>
          <w:rFonts w:ascii="Arial" w:hAnsi="Arial" w:cs="Arial"/>
          <w:sz w:val="20"/>
        </w:rPr>
        <w:t xml:space="preserve">(1)    </w:t>
      </w:r>
      <w:r w:rsidRPr="00DF7902">
        <w:rPr>
          <w:rFonts w:ascii="Arial" w:hAnsi="Arial" w:cs="Arial"/>
          <w:b/>
          <w:bCs/>
          <w:sz w:val="20"/>
        </w:rPr>
        <w:t>A registrar may refuse to accept a document if the registrar considers that the form or contents of the document show that were the document to be accepted the proceeding to be commenced would be irregular or an abuse of the process of the Court.</w:t>
      </w:r>
    </w:p>
    <w:p w14:paraId="3C82E2A1" w14:textId="77777777" w:rsidR="00DF7902" w:rsidRPr="00DF7902" w:rsidRDefault="00DF7902" w:rsidP="00DF7902">
      <w:pPr>
        <w:jc w:val="both"/>
        <w:rPr>
          <w:rFonts w:ascii="Arial" w:hAnsi="Arial" w:cs="Arial"/>
          <w:sz w:val="20"/>
        </w:rPr>
      </w:pPr>
      <w:r w:rsidRPr="00DF7902">
        <w:rPr>
          <w:rFonts w:ascii="Arial" w:hAnsi="Arial" w:cs="Arial"/>
          <w:sz w:val="20"/>
        </w:rPr>
        <w:t>(2)    If a document for use in the Court is not prepared in accordance with these Rules or any order of the Court—</w:t>
      </w:r>
    </w:p>
    <w:p w14:paraId="043D1EF9" w14:textId="77777777" w:rsidR="00DF7902" w:rsidRPr="00DF7902" w:rsidRDefault="00DF7902" w:rsidP="00DF7902">
      <w:pPr>
        <w:jc w:val="both"/>
        <w:rPr>
          <w:rFonts w:ascii="Arial" w:hAnsi="Arial" w:cs="Arial"/>
          <w:sz w:val="20"/>
        </w:rPr>
      </w:pPr>
      <w:r w:rsidRPr="00DF7902">
        <w:rPr>
          <w:rFonts w:ascii="Arial" w:hAnsi="Arial" w:cs="Arial"/>
          <w:sz w:val="20"/>
        </w:rPr>
        <w:t>(a)    the registrar may refuse to accept it for filing without the direction of the Court;</w:t>
      </w:r>
    </w:p>
    <w:p w14:paraId="37D9D9D3" w14:textId="77777777" w:rsidR="00DF7902" w:rsidRPr="00DF7902" w:rsidRDefault="00DF7902" w:rsidP="00DF7902">
      <w:pPr>
        <w:jc w:val="both"/>
        <w:rPr>
          <w:rFonts w:ascii="Arial" w:hAnsi="Arial" w:cs="Arial"/>
          <w:sz w:val="20"/>
        </w:rPr>
      </w:pPr>
      <w:r w:rsidRPr="00DF7902">
        <w:rPr>
          <w:rFonts w:ascii="Arial" w:hAnsi="Arial" w:cs="Arial"/>
          <w:sz w:val="20"/>
        </w:rPr>
        <w:t>(b)    the Court may order that the party responsible is not entitled to rely on it in any manner in the proceeding until a document which is properly prepared is filed.</w:t>
      </w:r>
    </w:p>
    <w:p w14:paraId="3B86434D" w14:textId="77777777" w:rsidR="00DF7902" w:rsidRPr="00DF7902" w:rsidRDefault="00DF7902" w:rsidP="00DF7902">
      <w:pPr>
        <w:jc w:val="both"/>
        <w:rPr>
          <w:rFonts w:ascii="Arial" w:hAnsi="Arial" w:cs="Arial"/>
          <w:b/>
          <w:bCs/>
          <w:sz w:val="20"/>
        </w:rPr>
      </w:pPr>
      <w:r w:rsidRPr="00DF7902">
        <w:rPr>
          <w:rFonts w:ascii="Arial" w:hAnsi="Arial" w:cs="Arial"/>
          <w:sz w:val="20"/>
        </w:rPr>
        <w:t xml:space="preserve">(3)    </w:t>
      </w:r>
      <w:r w:rsidRPr="00DF7902">
        <w:rPr>
          <w:rFonts w:ascii="Arial" w:hAnsi="Arial" w:cs="Arial"/>
          <w:b/>
          <w:bCs/>
          <w:sz w:val="20"/>
        </w:rPr>
        <w:t>The Court may direct the registrar to accept a document for filing.</w:t>
      </w:r>
    </w:p>
    <w:p w14:paraId="28D0BE09" w14:textId="77777777" w:rsidR="00DF7902" w:rsidRPr="00DF7902" w:rsidRDefault="00DF7902" w:rsidP="00DF7902">
      <w:pPr>
        <w:jc w:val="both"/>
        <w:rPr>
          <w:rFonts w:ascii="Arial" w:hAnsi="Arial" w:cs="Arial"/>
          <w:sz w:val="20"/>
        </w:rPr>
      </w:pPr>
    </w:p>
    <w:p w14:paraId="7B74DA61" w14:textId="1C57D936" w:rsidR="00DF7902" w:rsidRPr="00DF7902" w:rsidRDefault="00DF7902" w:rsidP="00DF7902">
      <w:pPr>
        <w:jc w:val="both"/>
        <w:rPr>
          <w:rFonts w:ascii="Arial" w:hAnsi="Arial" w:cs="Arial"/>
          <w:sz w:val="20"/>
        </w:rPr>
      </w:pPr>
      <w:r w:rsidRPr="00DF7902">
        <w:rPr>
          <w:rFonts w:ascii="Arial" w:hAnsi="Arial" w:cs="Arial"/>
          <w:sz w:val="20"/>
        </w:rPr>
        <w:t xml:space="preserve">There is nothing to the effect </w:t>
      </w:r>
      <w:r w:rsidR="00346BD2">
        <w:rPr>
          <w:rFonts w:ascii="Arial" w:hAnsi="Arial" w:cs="Arial"/>
          <w:sz w:val="20"/>
        </w:rPr>
        <w:t xml:space="preserve">of Rule 27.06 </w:t>
      </w:r>
      <w:r w:rsidRPr="00DF7902">
        <w:rPr>
          <w:rFonts w:ascii="Arial" w:hAnsi="Arial" w:cs="Arial"/>
          <w:sz w:val="20"/>
        </w:rPr>
        <w:t xml:space="preserve">in the </w:t>
      </w:r>
      <w:r w:rsidRPr="00DF7902">
        <w:rPr>
          <w:rFonts w:ascii="Arial" w:hAnsi="Arial" w:cs="Arial"/>
          <w:i/>
          <w:iCs/>
          <w:sz w:val="20"/>
        </w:rPr>
        <w:t>Children, Youth and Families (Children's Court Family Division) Rules</w:t>
      </w:r>
      <w:r w:rsidR="0091469F">
        <w:rPr>
          <w:rFonts w:ascii="Arial" w:hAnsi="Arial" w:cs="Arial"/>
          <w:i/>
          <w:iCs/>
          <w:sz w:val="20"/>
        </w:rPr>
        <w:t xml:space="preserve"> </w:t>
      </w:r>
      <w:r w:rsidRPr="00DF7902">
        <w:rPr>
          <w:rFonts w:ascii="Arial" w:hAnsi="Arial" w:cs="Arial"/>
          <w:i/>
          <w:iCs/>
          <w:sz w:val="20"/>
        </w:rPr>
        <w:t xml:space="preserve">2017 </w:t>
      </w:r>
      <w:r w:rsidRPr="00DF7902">
        <w:rPr>
          <w:rFonts w:ascii="Arial" w:hAnsi="Arial" w:cs="Arial"/>
          <w:sz w:val="20"/>
        </w:rPr>
        <w:t xml:space="preserve">whose primary objective is to prescribe certain matters and forms for the purposes of </w:t>
      </w:r>
      <w:r w:rsidR="00C154AA">
        <w:rPr>
          <w:rFonts w:ascii="Arial" w:hAnsi="Arial" w:cs="Arial"/>
          <w:sz w:val="20"/>
        </w:rPr>
        <w:t xml:space="preserve">Child Protection proceedings in </w:t>
      </w:r>
      <w:r w:rsidRPr="00DF7902">
        <w:rPr>
          <w:rFonts w:ascii="Arial" w:hAnsi="Arial" w:cs="Arial"/>
          <w:sz w:val="20"/>
        </w:rPr>
        <w:t xml:space="preserve">the Family Division of the Children’s Court. </w:t>
      </w:r>
      <w:r w:rsidR="0091469F">
        <w:rPr>
          <w:rFonts w:ascii="Arial" w:hAnsi="Arial" w:cs="Arial"/>
          <w:sz w:val="20"/>
        </w:rPr>
        <w:t>The writer considers i</w:t>
      </w:r>
      <w:r w:rsidR="0091469F" w:rsidRPr="00DF7902">
        <w:rPr>
          <w:rFonts w:ascii="Arial" w:hAnsi="Arial" w:cs="Arial"/>
          <w:sz w:val="20"/>
        </w:rPr>
        <w:t xml:space="preserve">t is moot whether </w:t>
      </w:r>
      <w:r w:rsidR="00C154AA">
        <w:rPr>
          <w:rFonts w:ascii="Arial" w:hAnsi="Arial" w:cs="Arial"/>
          <w:sz w:val="20"/>
        </w:rPr>
        <w:t xml:space="preserve">– </w:t>
      </w:r>
      <w:r w:rsidR="00EB1196">
        <w:rPr>
          <w:rFonts w:ascii="Arial" w:hAnsi="Arial" w:cs="Arial"/>
          <w:sz w:val="20"/>
        </w:rPr>
        <w:t>to the extent they are</w:t>
      </w:r>
      <w:r w:rsidR="00C154AA">
        <w:rPr>
          <w:rFonts w:ascii="Arial" w:hAnsi="Arial" w:cs="Arial"/>
          <w:sz w:val="20"/>
        </w:rPr>
        <w:t xml:space="preserve"> relevant – </w:t>
      </w:r>
      <w:r w:rsidR="0091469F" w:rsidRPr="00DF7902">
        <w:rPr>
          <w:rFonts w:ascii="Arial" w:hAnsi="Arial" w:cs="Arial"/>
          <w:sz w:val="20"/>
        </w:rPr>
        <w:t xml:space="preserve">the </w:t>
      </w:r>
      <w:r w:rsidR="0091469F" w:rsidRPr="00DF7902">
        <w:rPr>
          <w:rFonts w:ascii="Arial" w:hAnsi="Arial" w:cs="Arial"/>
          <w:i/>
          <w:iCs/>
          <w:sz w:val="20"/>
        </w:rPr>
        <w:t>Magistrates' Court General Civil Procedure Rules</w:t>
      </w:r>
      <w:r w:rsidR="00346BD2">
        <w:rPr>
          <w:rFonts w:ascii="Arial" w:hAnsi="Arial" w:cs="Arial"/>
          <w:i/>
          <w:iCs/>
          <w:sz w:val="20"/>
        </w:rPr>
        <w:t xml:space="preserve"> </w:t>
      </w:r>
      <w:r w:rsidR="0091469F" w:rsidRPr="00DF7902">
        <w:rPr>
          <w:rFonts w:ascii="Arial" w:hAnsi="Arial" w:cs="Arial"/>
          <w:i/>
          <w:iCs/>
          <w:sz w:val="20"/>
        </w:rPr>
        <w:t>2020</w:t>
      </w:r>
      <w:r w:rsidR="0091469F" w:rsidRPr="00DF7902">
        <w:rPr>
          <w:rFonts w:ascii="Arial" w:hAnsi="Arial" w:cs="Arial"/>
          <w:sz w:val="20"/>
        </w:rPr>
        <w:t xml:space="preserve"> are applicable in ChCV </w:t>
      </w:r>
      <w:r w:rsidR="00C154AA">
        <w:rPr>
          <w:rFonts w:ascii="Arial" w:hAnsi="Arial" w:cs="Arial"/>
          <w:sz w:val="20"/>
        </w:rPr>
        <w:t>Child Protection</w:t>
      </w:r>
      <w:r w:rsidR="00256A00">
        <w:rPr>
          <w:rFonts w:ascii="Arial" w:hAnsi="Arial" w:cs="Arial"/>
          <w:sz w:val="20"/>
        </w:rPr>
        <w:t xml:space="preserve"> </w:t>
      </w:r>
      <w:r w:rsidR="0091469F" w:rsidRPr="00DF7902">
        <w:rPr>
          <w:rFonts w:ascii="Arial" w:hAnsi="Arial" w:cs="Arial"/>
          <w:sz w:val="20"/>
        </w:rPr>
        <w:t xml:space="preserve">proceedings. </w:t>
      </w:r>
      <w:r w:rsidR="0091469F">
        <w:rPr>
          <w:rFonts w:ascii="Arial" w:hAnsi="Arial" w:cs="Arial"/>
          <w:sz w:val="20"/>
        </w:rPr>
        <w:t>There</w:t>
      </w:r>
      <w:r w:rsidR="0091469F" w:rsidRPr="00DF7902">
        <w:rPr>
          <w:rFonts w:ascii="Arial" w:hAnsi="Arial" w:cs="Arial"/>
          <w:sz w:val="20"/>
        </w:rPr>
        <w:t xml:space="preserve"> is a respectable argument either way.</w:t>
      </w:r>
      <w:r w:rsidR="0091469F">
        <w:rPr>
          <w:rFonts w:ascii="Arial" w:hAnsi="Arial" w:cs="Arial"/>
          <w:sz w:val="20"/>
        </w:rPr>
        <w:t xml:space="preserve"> </w:t>
      </w:r>
      <w:r w:rsidRPr="00DF7902">
        <w:rPr>
          <w:rFonts w:ascii="Arial" w:hAnsi="Arial" w:cs="Arial"/>
          <w:sz w:val="20"/>
        </w:rPr>
        <w:t xml:space="preserve">On the one hand, s.528(1) of the CYFA gives the ChCV “all the powers and authorities that the MCV has in relation to matters over which it has jurisdiction”. On the other hand, s.528(2) of the CYFA provides that Part 5 of the </w:t>
      </w:r>
      <w:r w:rsidRPr="00DF7902">
        <w:rPr>
          <w:rFonts w:ascii="Arial" w:hAnsi="Arial" w:cs="Arial"/>
          <w:i/>
          <w:iCs/>
          <w:sz w:val="20"/>
        </w:rPr>
        <w:t>Magistrates’ Court Act 1989</w:t>
      </w:r>
      <w:r w:rsidRPr="00DF7902">
        <w:rPr>
          <w:rFonts w:ascii="Arial" w:hAnsi="Arial" w:cs="Arial"/>
          <w:sz w:val="20"/>
        </w:rPr>
        <w:t xml:space="preserve"> </w:t>
      </w:r>
      <w:r w:rsidR="0091469F">
        <w:rPr>
          <w:rFonts w:ascii="Arial" w:hAnsi="Arial" w:cs="Arial"/>
          <w:sz w:val="20"/>
        </w:rPr>
        <w:t xml:space="preserve">– which gives the MCV power in relation to civil cases – </w:t>
      </w:r>
      <w:r w:rsidRPr="00DF7902">
        <w:rPr>
          <w:rFonts w:ascii="Arial" w:hAnsi="Arial" w:cs="Arial"/>
          <w:sz w:val="20"/>
        </w:rPr>
        <w:t>does not apply to the ChCV.</w:t>
      </w:r>
      <w:r w:rsidR="0091469F">
        <w:rPr>
          <w:rFonts w:ascii="Arial" w:hAnsi="Arial" w:cs="Arial"/>
          <w:sz w:val="20"/>
        </w:rPr>
        <w:t xml:space="preserve"> The question is thus whether </w:t>
      </w:r>
      <w:r w:rsidRPr="00DF7902">
        <w:rPr>
          <w:rFonts w:ascii="Arial" w:hAnsi="Arial" w:cs="Arial"/>
          <w:sz w:val="20"/>
        </w:rPr>
        <w:t>s.528(2) also ha</w:t>
      </w:r>
      <w:r w:rsidR="0091469F">
        <w:rPr>
          <w:rFonts w:ascii="Arial" w:hAnsi="Arial" w:cs="Arial"/>
          <w:sz w:val="20"/>
        </w:rPr>
        <w:t>s</w:t>
      </w:r>
      <w:r w:rsidRPr="00DF7902">
        <w:rPr>
          <w:rFonts w:ascii="Arial" w:hAnsi="Arial" w:cs="Arial"/>
          <w:sz w:val="20"/>
        </w:rPr>
        <w:t xml:space="preserve"> the effect that </w:t>
      </w:r>
      <w:r w:rsidR="005859E6">
        <w:rPr>
          <w:rFonts w:ascii="Arial" w:hAnsi="Arial" w:cs="Arial"/>
          <w:sz w:val="20"/>
        </w:rPr>
        <w:t xml:space="preserve">otherwise relevant </w:t>
      </w:r>
      <w:r w:rsidRPr="00DF7902">
        <w:rPr>
          <w:rFonts w:ascii="Arial" w:hAnsi="Arial" w:cs="Arial"/>
          <w:sz w:val="20"/>
        </w:rPr>
        <w:t>rules made for MCV civil cases do not apply to ChCV</w:t>
      </w:r>
      <w:r w:rsidR="00346BD2">
        <w:rPr>
          <w:rFonts w:ascii="Arial" w:hAnsi="Arial" w:cs="Arial"/>
          <w:sz w:val="20"/>
        </w:rPr>
        <w:t xml:space="preserve"> </w:t>
      </w:r>
      <w:r w:rsidR="00C154AA">
        <w:rPr>
          <w:rFonts w:ascii="Arial" w:hAnsi="Arial" w:cs="Arial"/>
          <w:sz w:val="20"/>
        </w:rPr>
        <w:t>Child Protection proceedings</w:t>
      </w:r>
      <w:r w:rsidRPr="00DF7902">
        <w:rPr>
          <w:rFonts w:ascii="Arial" w:hAnsi="Arial" w:cs="Arial"/>
          <w:sz w:val="20"/>
        </w:rPr>
        <w:t>.</w:t>
      </w:r>
    </w:p>
    <w:p w14:paraId="722FA8B3" w14:textId="77777777" w:rsidR="00DF7902" w:rsidRDefault="00DF7902" w:rsidP="00C35E9E">
      <w:pPr>
        <w:jc w:val="both"/>
        <w:rPr>
          <w:rFonts w:ascii="Arial" w:hAnsi="Arial" w:cs="Arial"/>
          <w:sz w:val="20"/>
        </w:rPr>
      </w:pPr>
    </w:p>
    <w:p w14:paraId="22A127AB" w14:textId="77777777" w:rsidR="00C35E9E" w:rsidRPr="00836E86" w:rsidRDefault="00C35E9E" w:rsidP="00C35E9E">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1B7B9EE5" w14:textId="77777777" w:rsidR="00C35E9E" w:rsidRPr="00836E86" w:rsidRDefault="00C35E9E" w:rsidP="00C35E9E">
      <w:pPr>
        <w:rPr>
          <w:rFonts w:ascii="Arial" w:hAnsi="Arial" w:cs="Arial"/>
          <w:sz w:val="20"/>
        </w:rPr>
      </w:pPr>
    </w:p>
    <w:p w14:paraId="708B6D83" w14:textId="77777777" w:rsidR="00C35E9E" w:rsidRDefault="00C35E9E" w:rsidP="00C35E9E">
      <w:pPr>
        <w:rPr>
          <w:rFonts w:ascii="Arial" w:hAnsi="Arial" w:cs="Arial"/>
          <w:b/>
          <w:bCs/>
          <w:color w:val="000000"/>
          <w:kern w:val="28"/>
          <w:sz w:val="20"/>
          <w:szCs w:val="20"/>
          <w:lang w:val="en-GB"/>
        </w:rPr>
      </w:pPr>
      <w:r>
        <w:rPr>
          <w:rFonts w:ascii="Arial" w:hAnsi="Arial" w:cs="Arial"/>
          <w:b/>
          <w:bCs/>
          <w:color w:val="000000"/>
          <w:sz w:val="20"/>
        </w:rPr>
        <w:br w:type="page"/>
      </w:r>
    </w:p>
    <w:p w14:paraId="5F9B8EE7" w14:textId="77777777" w:rsidR="004618DC" w:rsidRPr="009F25D4" w:rsidRDefault="00D64B2E" w:rsidP="004618DC">
      <w:pPr>
        <w:pStyle w:val="Heading3"/>
        <w:keepNext/>
        <w:spacing w:after="120" w:line="240" w:lineRule="auto"/>
        <w:rPr>
          <w:rFonts w:ascii="Arial" w:hAnsi="Arial" w:cs="Arial"/>
          <w:b/>
          <w:bCs/>
          <w:color w:val="000000"/>
          <w:sz w:val="20"/>
        </w:rPr>
      </w:pPr>
      <w:bookmarkStart w:id="279" w:name="_3.3.4.2_Res_judicata,"/>
      <w:bookmarkStart w:id="280" w:name="B3342"/>
      <w:bookmarkEnd w:id="279"/>
      <w:bookmarkEnd w:id="280"/>
      <w:r w:rsidRPr="006C4114">
        <w:rPr>
          <w:rFonts w:ascii="Arial" w:hAnsi="Arial" w:cs="Arial"/>
          <w:b/>
          <w:bCs/>
          <w:sz w:val="20"/>
        </w:rPr>
        <w:lastRenderedPageBreak/>
        <w:t>3.3.</w:t>
      </w:r>
      <w:r w:rsidR="00F75E94">
        <w:rPr>
          <w:rFonts w:ascii="Arial" w:hAnsi="Arial" w:cs="Arial"/>
          <w:b/>
          <w:bCs/>
          <w:sz w:val="20"/>
        </w:rPr>
        <w:t>4</w:t>
      </w:r>
      <w:r w:rsidRPr="006C4114">
        <w:rPr>
          <w:rFonts w:ascii="Arial" w:hAnsi="Arial" w:cs="Arial"/>
          <w:b/>
          <w:bCs/>
          <w:sz w:val="20"/>
        </w:rPr>
        <w:t>.</w:t>
      </w:r>
      <w:r>
        <w:rPr>
          <w:rFonts w:ascii="Arial" w:hAnsi="Arial" w:cs="Arial"/>
          <w:b/>
          <w:bCs/>
          <w:sz w:val="20"/>
        </w:rPr>
        <w:t>2</w:t>
      </w:r>
      <w:r w:rsidRPr="006C4114">
        <w:rPr>
          <w:rFonts w:ascii="Arial" w:hAnsi="Arial" w:cs="Arial"/>
          <w:b/>
          <w:bCs/>
          <w:sz w:val="20"/>
        </w:rPr>
        <w:tab/>
      </w:r>
      <w:r w:rsidRPr="00D64B2E">
        <w:rPr>
          <w:rFonts w:ascii="Arial" w:hAnsi="Arial" w:cs="Arial"/>
          <w:b/>
          <w:bCs/>
          <w:i/>
          <w:iCs/>
          <w:sz w:val="20"/>
        </w:rPr>
        <w:t>Res judicata</w:t>
      </w:r>
      <w:r>
        <w:rPr>
          <w:rFonts w:ascii="Arial" w:hAnsi="Arial" w:cs="Arial"/>
          <w:b/>
          <w:bCs/>
          <w:sz w:val="20"/>
        </w:rPr>
        <w:t>, cause of action</w:t>
      </w:r>
      <w:r w:rsidR="00AA6352">
        <w:rPr>
          <w:rFonts w:ascii="Arial" w:hAnsi="Arial" w:cs="Arial"/>
          <w:b/>
          <w:bCs/>
          <w:sz w:val="20"/>
        </w:rPr>
        <w:t xml:space="preserve"> estoppel</w:t>
      </w:r>
      <w:r w:rsidR="0088010F">
        <w:rPr>
          <w:rFonts w:ascii="Arial" w:hAnsi="Arial" w:cs="Arial"/>
          <w:b/>
          <w:bCs/>
          <w:sz w:val="20"/>
        </w:rPr>
        <w:t xml:space="preserve">, </w:t>
      </w:r>
      <w:r w:rsidR="00AA6352">
        <w:rPr>
          <w:rFonts w:ascii="Arial" w:hAnsi="Arial" w:cs="Arial"/>
          <w:b/>
          <w:bCs/>
          <w:sz w:val="20"/>
        </w:rPr>
        <w:t xml:space="preserve">issue or </w:t>
      </w:r>
      <w:r w:rsidR="006D6DA8">
        <w:rPr>
          <w:rFonts w:ascii="Arial" w:hAnsi="Arial" w:cs="Arial"/>
          <w:b/>
          <w:bCs/>
          <w:sz w:val="20"/>
        </w:rPr>
        <w:t>claim</w:t>
      </w:r>
      <w:r w:rsidR="0088010F">
        <w:rPr>
          <w:rFonts w:ascii="Arial" w:hAnsi="Arial" w:cs="Arial"/>
          <w:b/>
          <w:bCs/>
          <w:sz w:val="20"/>
        </w:rPr>
        <w:t xml:space="preserve"> estoppel</w:t>
      </w:r>
      <w:r>
        <w:rPr>
          <w:rFonts w:ascii="Arial" w:hAnsi="Arial" w:cs="Arial"/>
          <w:b/>
          <w:bCs/>
          <w:sz w:val="20"/>
        </w:rPr>
        <w:t xml:space="preserve"> &amp; </w:t>
      </w:r>
      <w:r w:rsidRPr="00D64B2E">
        <w:rPr>
          <w:rFonts w:ascii="Arial" w:hAnsi="Arial" w:cs="Arial"/>
          <w:b/>
          <w:bCs/>
          <w:i/>
          <w:iCs/>
          <w:sz w:val="20"/>
        </w:rPr>
        <w:t>Anshun</w:t>
      </w:r>
      <w:r>
        <w:rPr>
          <w:rFonts w:ascii="Arial" w:hAnsi="Arial" w:cs="Arial"/>
          <w:b/>
          <w:bCs/>
          <w:sz w:val="20"/>
        </w:rPr>
        <w:t xml:space="preserve"> estoppel</w:t>
      </w:r>
    </w:p>
    <w:p w14:paraId="6DC6268E" w14:textId="77777777" w:rsidR="0088010F" w:rsidRDefault="00F04B99" w:rsidP="00F75E94">
      <w:pPr>
        <w:keepNext/>
        <w:keepLines/>
        <w:jc w:val="both"/>
        <w:rPr>
          <w:rFonts w:ascii="Arial" w:hAnsi="Arial" w:cs="Arial"/>
          <w:sz w:val="20"/>
          <w:szCs w:val="20"/>
        </w:rPr>
      </w:pPr>
      <w:r w:rsidRPr="00E26644">
        <w:rPr>
          <w:rFonts w:ascii="Arial" w:hAnsi="Arial" w:cs="Arial"/>
          <w:sz w:val="20"/>
          <w:szCs w:val="20"/>
        </w:rPr>
        <w:t xml:space="preserve">Related to the issue of abuse of the processes of the court are the </w:t>
      </w:r>
      <w:r w:rsidR="008A7D66">
        <w:rPr>
          <w:rFonts w:ascii="Arial" w:hAnsi="Arial" w:cs="Arial"/>
          <w:sz w:val="20"/>
          <w:szCs w:val="20"/>
        </w:rPr>
        <w:t>associated</w:t>
      </w:r>
      <w:r w:rsidRPr="00E26644">
        <w:rPr>
          <w:rFonts w:ascii="Arial" w:hAnsi="Arial" w:cs="Arial"/>
          <w:sz w:val="20"/>
          <w:szCs w:val="20"/>
        </w:rPr>
        <w:t xml:space="preserve"> </w:t>
      </w:r>
      <w:r w:rsidR="00E26644">
        <w:rPr>
          <w:rFonts w:ascii="Arial" w:hAnsi="Arial" w:cs="Arial"/>
          <w:sz w:val="20"/>
          <w:szCs w:val="20"/>
        </w:rPr>
        <w:t>doctrine</w:t>
      </w:r>
      <w:r w:rsidRPr="00E26644">
        <w:rPr>
          <w:rFonts w:ascii="Arial" w:hAnsi="Arial" w:cs="Arial"/>
          <w:sz w:val="20"/>
          <w:szCs w:val="20"/>
        </w:rPr>
        <w:t>s of</w:t>
      </w:r>
      <w:r w:rsidR="0088010F">
        <w:rPr>
          <w:rFonts w:ascii="Arial" w:hAnsi="Arial" w:cs="Arial"/>
          <w:sz w:val="20"/>
          <w:szCs w:val="20"/>
        </w:rPr>
        <w:t>:</w:t>
      </w:r>
    </w:p>
    <w:p w14:paraId="65C21257" w14:textId="77777777" w:rsidR="0088010F" w:rsidRDefault="00F04B99">
      <w:pPr>
        <w:keepNext/>
        <w:keepLines/>
        <w:numPr>
          <w:ilvl w:val="0"/>
          <w:numId w:val="81"/>
        </w:numPr>
        <w:ind w:left="357" w:hanging="357"/>
        <w:jc w:val="both"/>
        <w:rPr>
          <w:rFonts w:ascii="Arial" w:hAnsi="Arial" w:cs="Arial"/>
          <w:sz w:val="20"/>
          <w:szCs w:val="20"/>
        </w:rPr>
      </w:pPr>
      <w:r w:rsidRPr="00E26644">
        <w:rPr>
          <w:rFonts w:ascii="Arial" w:hAnsi="Arial" w:cs="Arial"/>
          <w:i/>
          <w:iCs/>
          <w:sz w:val="20"/>
          <w:szCs w:val="20"/>
        </w:rPr>
        <w:t>res judicata</w:t>
      </w:r>
      <w:r w:rsidR="0088010F">
        <w:rPr>
          <w:rFonts w:ascii="Arial" w:hAnsi="Arial" w:cs="Arial"/>
          <w:sz w:val="20"/>
          <w:szCs w:val="20"/>
        </w:rPr>
        <w:t xml:space="preserve"> </w:t>
      </w:r>
      <w:r w:rsidR="008A7D66">
        <w:rPr>
          <w:rFonts w:ascii="Arial" w:hAnsi="Arial" w:cs="Arial"/>
          <w:sz w:val="20"/>
          <w:szCs w:val="20"/>
        </w:rPr>
        <w:t>{</w:t>
      </w:r>
      <w:r w:rsidR="0088010F">
        <w:rPr>
          <w:rFonts w:ascii="Arial" w:hAnsi="Arial" w:cs="Arial"/>
          <w:sz w:val="20"/>
          <w:szCs w:val="20"/>
        </w:rPr>
        <w:t>Latin for “a thing decided”</w:t>
      </w:r>
      <w:r w:rsidR="008A7D66">
        <w:rPr>
          <w:rFonts w:ascii="Arial" w:hAnsi="Arial" w:cs="Arial"/>
          <w:sz w:val="20"/>
          <w:szCs w:val="20"/>
        </w:rPr>
        <w:t>}</w:t>
      </w:r>
      <w:r w:rsidR="0088010F">
        <w:rPr>
          <w:rFonts w:ascii="Arial" w:hAnsi="Arial" w:cs="Arial"/>
          <w:sz w:val="20"/>
          <w:szCs w:val="20"/>
        </w:rPr>
        <w:t>;</w:t>
      </w:r>
    </w:p>
    <w:p w14:paraId="61467E14" w14:textId="77777777" w:rsidR="0088010F" w:rsidRDefault="00F04B99">
      <w:pPr>
        <w:numPr>
          <w:ilvl w:val="0"/>
          <w:numId w:val="81"/>
        </w:numPr>
        <w:ind w:left="357" w:hanging="357"/>
        <w:jc w:val="both"/>
        <w:rPr>
          <w:rFonts w:ascii="Arial" w:hAnsi="Arial" w:cs="Arial"/>
          <w:sz w:val="20"/>
          <w:szCs w:val="20"/>
        </w:rPr>
      </w:pPr>
      <w:r w:rsidRPr="00E26644">
        <w:rPr>
          <w:rFonts w:ascii="Arial" w:hAnsi="Arial" w:cs="Arial"/>
          <w:sz w:val="20"/>
          <w:szCs w:val="20"/>
        </w:rPr>
        <w:t>cause of action estoppel</w:t>
      </w:r>
      <w:r w:rsidR="00AA6352">
        <w:rPr>
          <w:rFonts w:ascii="Arial" w:hAnsi="Arial" w:cs="Arial"/>
          <w:sz w:val="20"/>
          <w:szCs w:val="20"/>
        </w:rPr>
        <w:t xml:space="preserve">, issue </w:t>
      </w:r>
      <w:r w:rsidR="0088010F">
        <w:rPr>
          <w:rFonts w:ascii="Arial" w:hAnsi="Arial" w:cs="Arial"/>
          <w:sz w:val="20"/>
          <w:szCs w:val="20"/>
        </w:rPr>
        <w:t xml:space="preserve">or </w:t>
      </w:r>
      <w:r w:rsidR="006D6DA8">
        <w:rPr>
          <w:rFonts w:ascii="Arial" w:hAnsi="Arial" w:cs="Arial"/>
          <w:sz w:val="20"/>
          <w:szCs w:val="20"/>
        </w:rPr>
        <w:t>claim</w:t>
      </w:r>
      <w:r w:rsidR="0088010F">
        <w:rPr>
          <w:rFonts w:ascii="Arial" w:hAnsi="Arial" w:cs="Arial"/>
          <w:sz w:val="20"/>
          <w:szCs w:val="20"/>
        </w:rPr>
        <w:t xml:space="preserve"> estoppel </w:t>
      </w:r>
      <w:r w:rsidR="008A7D66">
        <w:rPr>
          <w:rFonts w:ascii="Arial" w:hAnsi="Arial" w:cs="Arial"/>
          <w:sz w:val="20"/>
          <w:szCs w:val="20"/>
        </w:rPr>
        <w:t>{estoppel is Norman French for “stopper” or “bung”};</w:t>
      </w:r>
    </w:p>
    <w:p w14:paraId="685FA360" w14:textId="77777777" w:rsidR="0088010F" w:rsidRPr="008A7D66" w:rsidRDefault="00F04B99">
      <w:pPr>
        <w:numPr>
          <w:ilvl w:val="0"/>
          <w:numId w:val="81"/>
        </w:numPr>
        <w:ind w:left="357" w:hanging="357"/>
        <w:jc w:val="both"/>
        <w:rPr>
          <w:rFonts w:ascii="Arial" w:hAnsi="Arial" w:cs="Arial"/>
          <w:sz w:val="20"/>
          <w:szCs w:val="20"/>
        </w:rPr>
      </w:pPr>
      <w:r w:rsidRPr="008A7D66">
        <w:rPr>
          <w:rFonts w:ascii="Arial" w:hAnsi="Arial" w:cs="Arial"/>
          <w:i/>
          <w:iCs/>
          <w:sz w:val="20"/>
          <w:szCs w:val="20"/>
        </w:rPr>
        <w:t>Anshun</w:t>
      </w:r>
      <w:r w:rsidRPr="008A7D66">
        <w:rPr>
          <w:rFonts w:ascii="Arial" w:hAnsi="Arial" w:cs="Arial"/>
          <w:sz w:val="20"/>
          <w:szCs w:val="20"/>
        </w:rPr>
        <w:t xml:space="preserve"> estoppel</w:t>
      </w:r>
      <w:r w:rsidR="008A7D66" w:rsidRPr="008A7D66">
        <w:rPr>
          <w:rFonts w:ascii="Arial" w:hAnsi="Arial" w:cs="Arial"/>
          <w:sz w:val="20"/>
          <w:szCs w:val="20"/>
        </w:rPr>
        <w:t xml:space="preserve"> </w:t>
      </w:r>
      <w:r w:rsidR="008A7D66">
        <w:rPr>
          <w:rFonts w:ascii="Arial" w:hAnsi="Arial" w:cs="Arial"/>
          <w:sz w:val="20"/>
          <w:szCs w:val="20"/>
        </w:rPr>
        <w:t>{</w:t>
      </w:r>
      <w:r w:rsidR="0088010F" w:rsidRPr="008A7D66">
        <w:rPr>
          <w:rFonts w:ascii="Arial" w:hAnsi="Arial" w:cs="Arial"/>
          <w:sz w:val="20"/>
          <w:szCs w:val="20"/>
        </w:rPr>
        <w:t xml:space="preserve">named after the case of </w:t>
      </w:r>
      <w:r w:rsidR="008A7D66" w:rsidRPr="008A7D66">
        <w:rPr>
          <w:rFonts w:ascii="Arial" w:hAnsi="Arial" w:cs="Arial"/>
          <w:i/>
          <w:sz w:val="20"/>
          <w:szCs w:val="20"/>
        </w:rPr>
        <w:t>Port of Melbourne Authority v Anshun Pty Ltd</w:t>
      </w:r>
      <w:r w:rsidR="008A7D66" w:rsidRPr="008A7D66">
        <w:rPr>
          <w:rFonts w:ascii="Arial" w:hAnsi="Arial" w:cs="Arial"/>
          <w:sz w:val="20"/>
          <w:szCs w:val="20"/>
        </w:rPr>
        <w:t xml:space="preserve"> (1981) 147 CLR 589</w:t>
      </w:r>
      <w:r w:rsidR="008A7D66">
        <w:rPr>
          <w:rFonts w:ascii="Arial" w:hAnsi="Arial" w:cs="Arial"/>
          <w:sz w:val="20"/>
          <w:szCs w:val="20"/>
        </w:rPr>
        <w:t xml:space="preserve"> and sometimes also known as the </w:t>
      </w:r>
      <w:r w:rsidR="008A7D66" w:rsidRPr="00E26644">
        <w:rPr>
          <w:rFonts w:ascii="Arial" w:hAnsi="Arial" w:cs="Arial"/>
          <w:sz w:val="20"/>
          <w:szCs w:val="20"/>
        </w:rPr>
        <w:t xml:space="preserve">principle in </w:t>
      </w:r>
      <w:r w:rsidR="008A7D66" w:rsidRPr="00E26644">
        <w:rPr>
          <w:rFonts w:ascii="Arial" w:hAnsi="Arial" w:cs="Arial"/>
          <w:i/>
          <w:iCs/>
          <w:sz w:val="20"/>
          <w:szCs w:val="20"/>
        </w:rPr>
        <w:t>Henderson v Henderson</w:t>
      </w:r>
      <w:r w:rsidR="008A7D66" w:rsidRPr="00E26644">
        <w:rPr>
          <w:rFonts w:ascii="Arial" w:hAnsi="Arial" w:cs="Arial"/>
          <w:sz w:val="20"/>
          <w:szCs w:val="20"/>
        </w:rPr>
        <w:t xml:space="preserve"> (1843) 3</w:t>
      </w:r>
      <w:r w:rsidR="008A7D66">
        <w:rPr>
          <w:rFonts w:ascii="Arial" w:hAnsi="Arial" w:cs="Arial"/>
          <w:sz w:val="20"/>
          <w:szCs w:val="20"/>
        </w:rPr>
        <w:t> </w:t>
      </w:r>
      <w:r w:rsidR="008A7D66" w:rsidRPr="00E26644">
        <w:rPr>
          <w:rFonts w:ascii="Arial" w:hAnsi="Arial" w:cs="Arial"/>
          <w:sz w:val="20"/>
          <w:szCs w:val="20"/>
        </w:rPr>
        <w:t>Hare 100</w:t>
      </w:r>
      <w:r w:rsidR="008A7D66">
        <w:rPr>
          <w:rFonts w:ascii="Arial" w:hAnsi="Arial" w:cs="Arial"/>
          <w:sz w:val="20"/>
          <w:szCs w:val="20"/>
        </w:rPr>
        <w:t xml:space="preserve">, </w:t>
      </w:r>
      <w:r w:rsidR="008A7D66" w:rsidRPr="00E26644">
        <w:rPr>
          <w:rFonts w:ascii="Arial" w:hAnsi="Arial" w:cs="Arial"/>
          <w:sz w:val="20"/>
          <w:szCs w:val="20"/>
        </w:rPr>
        <w:t>67 ER 313</w:t>
      </w:r>
      <w:r w:rsidR="008A7D66">
        <w:rPr>
          <w:rFonts w:ascii="Arial" w:hAnsi="Arial" w:cs="Arial"/>
          <w:sz w:val="20"/>
          <w:szCs w:val="20"/>
        </w:rPr>
        <w:t>}</w:t>
      </w:r>
      <w:r w:rsidR="008A7D66" w:rsidRPr="00E26644">
        <w:rPr>
          <w:rFonts w:ascii="Arial" w:hAnsi="Arial" w:cs="Arial"/>
          <w:sz w:val="20"/>
          <w:szCs w:val="20"/>
        </w:rPr>
        <w:t>.</w:t>
      </w:r>
    </w:p>
    <w:p w14:paraId="380B791C" w14:textId="028B6105" w:rsidR="00D64B2E" w:rsidRPr="00E26644" w:rsidRDefault="00E26644" w:rsidP="008A7D66">
      <w:pPr>
        <w:spacing w:before="120"/>
        <w:jc w:val="both"/>
        <w:rPr>
          <w:rFonts w:ascii="Arial" w:hAnsi="Arial" w:cs="Arial"/>
          <w:sz w:val="20"/>
          <w:szCs w:val="20"/>
        </w:rPr>
      </w:pPr>
      <w:r w:rsidRPr="00E26644">
        <w:rPr>
          <w:rFonts w:ascii="Arial" w:hAnsi="Arial" w:cs="Arial"/>
          <w:sz w:val="20"/>
          <w:szCs w:val="20"/>
        </w:rPr>
        <w:t>Th</w:t>
      </w:r>
      <w:r w:rsidR="00BB4BAE">
        <w:rPr>
          <w:rFonts w:ascii="Arial" w:hAnsi="Arial" w:cs="Arial"/>
          <w:sz w:val="20"/>
          <w:szCs w:val="20"/>
        </w:rPr>
        <w:t>e purpose of all of th</w:t>
      </w:r>
      <w:r w:rsidRPr="00E26644">
        <w:rPr>
          <w:rFonts w:ascii="Arial" w:hAnsi="Arial" w:cs="Arial"/>
          <w:sz w:val="20"/>
          <w:szCs w:val="20"/>
        </w:rPr>
        <w:t xml:space="preserve">ese </w:t>
      </w:r>
      <w:r>
        <w:rPr>
          <w:rFonts w:ascii="Arial" w:hAnsi="Arial" w:cs="Arial"/>
          <w:sz w:val="20"/>
          <w:szCs w:val="20"/>
        </w:rPr>
        <w:t>doctrine</w:t>
      </w:r>
      <w:r w:rsidRPr="00E26644">
        <w:rPr>
          <w:rFonts w:ascii="Arial" w:hAnsi="Arial" w:cs="Arial"/>
          <w:sz w:val="20"/>
          <w:szCs w:val="20"/>
        </w:rPr>
        <w:t xml:space="preserve">s </w:t>
      </w:r>
      <w:r w:rsidR="00BB4BAE">
        <w:rPr>
          <w:rFonts w:ascii="Arial" w:hAnsi="Arial" w:cs="Arial"/>
          <w:sz w:val="20"/>
          <w:szCs w:val="20"/>
        </w:rPr>
        <w:t xml:space="preserve">is </w:t>
      </w:r>
      <w:r>
        <w:rPr>
          <w:rFonts w:ascii="Arial" w:hAnsi="Arial" w:cs="Arial"/>
          <w:sz w:val="20"/>
          <w:szCs w:val="20"/>
        </w:rPr>
        <w:t xml:space="preserve">to ensure the finality of judicial decisions. </w:t>
      </w:r>
      <w:r w:rsidR="00FA16DC">
        <w:rPr>
          <w:rFonts w:ascii="Arial" w:hAnsi="Arial" w:cs="Arial"/>
          <w:sz w:val="20"/>
          <w:szCs w:val="20"/>
        </w:rPr>
        <w:t xml:space="preserve">If any judicial tribunal in the exercise of its jurisdiction delivers a judgment which is in its nature final and conclusive, the judgment is said to be </w:t>
      </w:r>
      <w:r w:rsidR="00FA16DC" w:rsidRPr="00E835E6">
        <w:rPr>
          <w:rFonts w:ascii="Arial" w:hAnsi="Arial" w:cs="Arial"/>
          <w:b/>
          <w:bCs/>
          <w:i/>
          <w:iCs/>
          <w:sz w:val="20"/>
          <w:szCs w:val="20"/>
        </w:rPr>
        <w:t>res judicata</w:t>
      </w:r>
      <w:r w:rsidR="00FA16DC">
        <w:rPr>
          <w:rFonts w:ascii="Arial" w:hAnsi="Arial" w:cs="Arial"/>
          <w:sz w:val="20"/>
          <w:szCs w:val="20"/>
        </w:rPr>
        <w:t xml:space="preserve">.  If in any subsequent proceedings – unless they be of an appellate nature – in the same or </w:t>
      </w:r>
      <w:r w:rsidR="00A478E2">
        <w:rPr>
          <w:rFonts w:ascii="Arial" w:hAnsi="Arial" w:cs="Arial"/>
          <w:sz w:val="20"/>
          <w:szCs w:val="20"/>
        </w:rPr>
        <w:t xml:space="preserve">in </w:t>
      </w:r>
      <w:r w:rsidR="00FA16DC">
        <w:rPr>
          <w:rFonts w:ascii="Arial" w:hAnsi="Arial" w:cs="Arial"/>
          <w:sz w:val="20"/>
          <w:szCs w:val="20"/>
        </w:rPr>
        <w:t xml:space="preserve">any other judicial tribunal, any fact or right which was determined by the earlier judgment is called in question, the defence of </w:t>
      </w:r>
      <w:r w:rsidR="00FA16DC" w:rsidRPr="00FA16DC">
        <w:rPr>
          <w:rFonts w:ascii="Arial" w:hAnsi="Arial" w:cs="Arial"/>
          <w:i/>
          <w:iCs/>
          <w:sz w:val="20"/>
          <w:szCs w:val="20"/>
        </w:rPr>
        <w:t>res judicata</w:t>
      </w:r>
      <w:r w:rsidR="00FA16DC">
        <w:rPr>
          <w:rFonts w:ascii="Arial" w:hAnsi="Arial" w:cs="Arial"/>
          <w:sz w:val="20"/>
          <w:szCs w:val="20"/>
        </w:rPr>
        <w:t xml:space="preserve"> can be raised. This means in effect that the judgment can be pleaded by way of estoppel in the subsequent case.</w:t>
      </w:r>
      <w:r w:rsidR="00F56D91">
        <w:rPr>
          <w:rFonts w:ascii="Arial" w:hAnsi="Arial" w:cs="Arial"/>
          <w:sz w:val="20"/>
          <w:szCs w:val="20"/>
        </w:rPr>
        <w:t xml:space="preserve"> </w:t>
      </w:r>
      <w:r w:rsidR="00AB41D4">
        <w:rPr>
          <w:rFonts w:ascii="Arial" w:hAnsi="Arial" w:cs="Arial"/>
          <w:sz w:val="20"/>
          <w:szCs w:val="20"/>
        </w:rPr>
        <w:t>T</w:t>
      </w:r>
      <w:r w:rsidR="00F56D91">
        <w:rPr>
          <w:rFonts w:ascii="Arial" w:hAnsi="Arial" w:cs="Arial"/>
          <w:sz w:val="20"/>
          <w:szCs w:val="20"/>
        </w:rPr>
        <w:t xml:space="preserve">hese doctrines </w:t>
      </w:r>
      <w:r w:rsidR="00AB41D4">
        <w:rPr>
          <w:rFonts w:ascii="Arial" w:hAnsi="Arial" w:cs="Arial"/>
          <w:sz w:val="20"/>
          <w:szCs w:val="20"/>
        </w:rPr>
        <w:t xml:space="preserve">and their inter-relationship </w:t>
      </w:r>
      <w:r w:rsidR="00F56D91">
        <w:rPr>
          <w:rFonts w:ascii="Arial" w:hAnsi="Arial" w:cs="Arial"/>
          <w:sz w:val="20"/>
          <w:szCs w:val="20"/>
        </w:rPr>
        <w:t xml:space="preserve">were discussed by Riordan J in </w:t>
      </w:r>
      <w:r w:rsidR="00F56D91" w:rsidRPr="00F56D91">
        <w:rPr>
          <w:rFonts w:ascii="Arial" w:hAnsi="Arial" w:cs="Arial"/>
          <w:i/>
          <w:iCs/>
          <w:sz w:val="20"/>
          <w:szCs w:val="20"/>
        </w:rPr>
        <w:t xml:space="preserve">Gemcan </w:t>
      </w:r>
      <w:r w:rsidR="00AB41D4">
        <w:rPr>
          <w:rFonts w:ascii="Arial" w:hAnsi="Arial" w:cs="Arial"/>
          <w:i/>
          <w:iCs/>
          <w:sz w:val="20"/>
          <w:szCs w:val="20"/>
        </w:rPr>
        <w:t xml:space="preserve">Constructions Pty Ltd </w:t>
      </w:r>
      <w:r w:rsidR="00F56D91" w:rsidRPr="00F56D91">
        <w:rPr>
          <w:rFonts w:ascii="Arial" w:hAnsi="Arial" w:cs="Arial"/>
          <w:i/>
          <w:iCs/>
          <w:sz w:val="20"/>
          <w:szCs w:val="20"/>
        </w:rPr>
        <w:t>v Westbourne Grammar School</w:t>
      </w:r>
      <w:r w:rsidR="00F56D91">
        <w:rPr>
          <w:rFonts w:ascii="Arial" w:hAnsi="Arial" w:cs="Arial"/>
          <w:sz w:val="20"/>
          <w:szCs w:val="20"/>
        </w:rPr>
        <w:t xml:space="preserve"> [2022] VSC 6 at [45]-[58]</w:t>
      </w:r>
      <w:r w:rsidR="00486A96">
        <w:rPr>
          <w:rFonts w:ascii="Arial" w:hAnsi="Arial" w:cs="Arial"/>
          <w:sz w:val="20"/>
          <w:szCs w:val="20"/>
        </w:rPr>
        <w:t xml:space="preserve"> and by John Dixon J in </w:t>
      </w:r>
      <w:r w:rsidR="00486A96" w:rsidRPr="00486A96">
        <w:rPr>
          <w:rFonts w:ascii="Arial" w:hAnsi="Arial" w:cs="Arial"/>
          <w:i/>
          <w:iCs/>
          <w:sz w:val="20"/>
          <w:szCs w:val="20"/>
        </w:rPr>
        <w:t>Zaric &amp; Ors v City of Greater Dandenong</w:t>
      </w:r>
      <w:r w:rsidR="00486A96">
        <w:rPr>
          <w:rFonts w:ascii="Arial" w:hAnsi="Arial" w:cs="Arial"/>
          <w:sz w:val="20"/>
          <w:szCs w:val="20"/>
        </w:rPr>
        <w:t xml:space="preserve"> [2022] VSC 680 at [46]-[50]</w:t>
      </w:r>
      <w:r w:rsidR="00F56D91">
        <w:rPr>
          <w:rFonts w:ascii="Arial" w:hAnsi="Arial" w:cs="Arial"/>
          <w:sz w:val="20"/>
          <w:szCs w:val="20"/>
        </w:rPr>
        <w:t>.</w:t>
      </w:r>
    </w:p>
    <w:p w14:paraId="1B48C028" w14:textId="270B1A3A" w:rsidR="00F56D91" w:rsidRDefault="00F56D91" w:rsidP="003E6965">
      <w:pPr>
        <w:rPr>
          <w:rFonts w:ascii="Arial" w:hAnsi="Arial" w:cs="Arial"/>
          <w:sz w:val="20"/>
        </w:rPr>
      </w:pPr>
    </w:p>
    <w:p w14:paraId="6539FA17" w14:textId="55358AD9" w:rsidR="00E835E6" w:rsidRDefault="00E835E6" w:rsidP="003E6965">
      <w:pPr>
        <w:rPr>
          <w:rFonts w:ascii="Arial" w:hAnsi="Arial" w:cs="Arial"/>
          <w:sz w:val="20"/>
        </w:rPr>
      </w:pPr>
      <w:r>
        <w:rPr>
          <w:rFonts w:ascii="Arial" w:hAnsi="Arial" w:cs="Arial"/>
          <w:sz w:val="20"/>
        </w:rPr>
        <w:t xml:space="preserve">In </w:t>
      </w:r>
      <w:r w:rsidRPr="00C2496F">
        <w:rPr>
          <w:rFonts w:ascii="Arial" w:hAnsi="Arial" w:cs="Arial"/>
          <w:i/>
          <w:iCs/>
          <w:sz w:val="20"/>
        </w:rPr>
        <w:t>Yu v Lu &amp; Ors</w:t>
      </w:r>
      <w:r>
        <w:rPr>
          <w:rFonts w:ascii="Arial" w:hAnsi="Arial" w:cs="Arial"/>
          <w:sz w:val="20"/>
        </w:rPr>
        <w:t xml:space="preserve"> [2021] VCC 923 at [17] Judge Cosgrave said</w:t>
      </w:r>
      <w:r w:rsidR="00347753">
        <w:rPr>
          <w:rFonts w:ascii="Arial" w:hAnsi="Arial" w:cs="Arial"/>
          <w:sz w:val="20"/>
        </w:rPr>
        <w:t xml:space="preserve"> of </w:t>
      </w:r>
      <w:r w:rsidR="00347753" w:rsidRPr="00347753">
        <w:rPr>
          <w:rFonts w:ascii="Arial" w:hAnsi="Arial" w:cs="Arial"/>
          <w:b/>
          <w:bCs/>
          <w:sz w:val="20"/>
        </w:rPr>
        <w:t>issue estoppel</w:t>
      </w:r>
      <w:r w:rsidR="00347753">
        <w:rPr>
          <w:rFonts w:ascii="Arial" w:hAnsi="Arial" w:cs="Arial"/>
          <w:sz w:val="20"/>
        </w:rPr>
        <w:t xml:space="preserve"> that it</w:t>
      </w:r>
    </w:p>
    <w:p w14:paraId="277FA30F" w14:textId="737EC8A5" w:rsidR="00347753" w:rsidRPr="00304349" w:rsidRDefault="00347753" w:rsidP="00347753">
      <w:pPr>
        <w:spacing w:before="60"/>
        <w:ind w:left="567" w:right="567"/>
        <w:jc w:val="both"/>
        <w:rPr>
          <w:rFonts w:ascii="Arial" w:hAnsi="Arial" w:cs="Arial"/>
          <w:sz w:val="20"/>
          <w:szCs w:val="20"/>
        </w:rPr>
      </w:pPr>
      <w:r>
        <w:rPr>
          <w:rFonts w:ascii="Arial" w:hAnsi="Arial" w:cs="Arial"/>
          <w:sz w:val="20"/>
          <w:szCs w:val="20"/>
        </w:rPr>
        <w:t>“</w:t>
      </w:r>
      <w:r w:rsidRPr="00347753">
        <w:rPr>
          <w:rFonts w:ascii="Arial" w:hAnsi="Arial" w:cs="Arial"/>
          <w:sz w:val="20"/>
          <w:szCs w:val="20"/>
        </w:rPr>
        <w:t>operates to prevent a party raising in a subsequent proceeding an ultimate issue of fact or law which was necessarily resolved as a step in reaching the determination made in an earlier judgment.  It is important that the issue estoppel can arise only in respect of a matter which was an essential step in the reasoning of the earlier court.  Where a court makes findings of fact or law which are of a subsidiary or collateral nature, they do not give rise to an estoppel.  As</w:t>
      </w:r>
      <w:r>
        <w:rPr>
          <w:rFonts w:ascii="Arial" w:hAnsi="Arial" w:cs="Arial"/>
          <w:sz w:val="20"/>
          <w:szCs w:val="20"/>
        </w:rPr>
        <w:t xml:space="preserve"> Dixon J explained in </w:t>
      </w:r>
      <w:r w:rsidRPr="00347753">
        <w:rPr>
          <w:rFonts w:ascii="Arial" w:hAnsi="Arial" w:cs="Arial"/>
          <w:i/>
          <w:iCs/>
          <w:sz w:val="20"/>
          <w:szCs w:val="20"/>
        </w:rPr>
        <w:t>Blair v Curran</w:t>
      </w:r>
      <w:r>
        <w:rPr>
          <w:rFonts w:ascii="Arial" w:hAnsi="Arial" w:cs="Arial"/>
          <w:sz w:val="20"/>
          <w:szCs w:val="20"/>
        </w:rPr>
        <w:t xml:space="preserve"> (1939) 62 CLR 464, 531-2:</w:t>
      </w:r>
    </w:p>
    <w:p w14:paraId="2BBADAAE" w14:textId="4C783BB3" w:rsidR="00E835E6" w:rsidRDefault="00347753" w:rsidP="00347753">
      <w:pPr>
        <w:spacing w:before="60"/>
        <w:ind w:left="1021" w:right="1021"/>
        <w:jc w:val="both"/>
        <w:rPr>
          <w:rFonts w:ascii="Arial" w:eastAsia="Arial" w:hAnsi="Arial" w:cs="Arial"/>
          <w:iCs/>
          <w:sz w:val="18"/>
          <w:szCs w:val="18"/>
        </w:rPr>
      </w:pPr>
      <w:r w:rsidRPr="00347753">
        <w:rPr>
          <w:rFonts w:ascii="Arial" w:eastAsia="Arial" w:hAnsi="Arial" w:cs="Arial"/>
          <w:iCs/>
          <w:sz w:val="18"/>
          <w:szCs w:val="18"/>
        </w:rPr>
        <w:t>A judicial determination directly involving an issue of fact or of law disposes once for all of the issue, so that it cannot afterwards be raised between the same parties or their privies.  The estoppel covers only those matters which the prior judgment, decree or order necessarily established as the legal foundation or justification of its conclusion, whether that conclusion is that a money sum be recovered or that the doing of an act be commanded or be restrained or that rights be declared</w:t>
      </w:r>
      <w:r>
        <w:rPr>
          <w:rFonts w:ascii="Arial" w:eastAsia="Arial" w:hAnsi="Arial" w:cs="Arial"/>
          <w:iCs/>
          <w:sz w:val="18"/>
          <w:szCs w:val="18"/>
        </w:rPr>
        <w:t>…</w:t>
      </w:r>
    </w:p>
    <w:p w14:paraId="3B9725FB" w14:textId="7BD5104F" w:rsidR="00347753" w:rsidRDefault="00347753" w:rsidP="00347753">
      <w:pPr>
        <w:spacing w:before="60"/>
        <w:ind w:left="1021" w:right="1021"/>
        <w:jc w:val="both"/>
        <w:rPr>
          <w:rFonts w:ascii="Arial" w:eastAsia="Arial" w:hAnsi="Arial" w:cs="Arial"/>
          <w:iCs/>
          <w:sz w:val="18"/>
          <w:szCs w:val="18"/>
        </w:rPr>
      </w:pPr>
      <w:r>
        <w:rPr>
          <w:rFonts w:ascii="Arial" w:eastAsia="Arial" w:hAnsi="Arial" w:cs="Arial"/>
          <w:iCs/>
          <w:sz w:val="18"/>
          <w:szCs w:val="18"/>
        </w:rPr>
        <w:t xml:space="preserve">Nothing but what is </w:t>
      </w:r>
      <w:r w:rsidRPr="00347753">
        <w:rPr>
          <w:rFonts w:ascii="Arial" w:eastAsia="Arial" w:hAnsi="Arial" w:cs="Arial"/>
          <w:iCs/>
          <w:sz w:val="18"/>
          <w:szCs w:val="18"/>
        </w:rPr>
        <w:t>legally indispensable to the conclusion is thus finally closed or precluded.  In matters of fact the issue estoppel is confined to those ultimate facts which form the ingredients in the cause of action, that is, the title to the right established.…</w:t>
      </w:r>
    </w:p>
    <w:p w14:paraId="008CF256" w14:textId="42C77D74" w:rsidR="00347753" w:rsidRDefault="00347753" w:rsidP="00347753">
      <w:pPr>
        <w:spacing w:before="60"/>
        <w:ind w:left="1021" w:right="1021"/>
        <w:jc w:val="both"/>
        <w:rPr>
          <w:rFonts w:ascii="Arial" w:hAnsi="Arial" w:cs="Arial"/>
          <w:sz w:val="20"/>
        </w:rPr>
      </w:pPr>
      <w:r w:rsidRPr="00347753">
        <w:rPr>
          <w:rFonts w:ascii="Arial" w:eastAsia="Arial" w:hAnsi="Arial" w:cs="Arial"/>
          <w:iCs/>
          <w:sz w:val="18"/>
          <w:szCs w:val="18"/>
        </w:rPr>
        <w:t xml:space="preserve">In the phraseology of Lord Shaw, </w:t>
      </w:r>
      <w:r>
        <w:rPr>
          <w:rFonts w:ascii="Arial" w:eastAsia="Arial" w:hAnsi="Arial" w:cs="Arial"/>
          <w:iCs/>
          <w:sz w:val="18"/>
          <w:szCs w:val="18"/>
        </w:rPr>
        <w:t>‘</w:t>
      </w:r>
      <w:r w:rsidRPr="00347753">
        <w:rPr>
          <w:rFonts w:ascii="Arial" w:eastAsia="Arial" w:hAnsi="Arial" w:cs="Arial"/>
          <w:iCs/>
          <w:sz w:val="18"/>
          <w:szCs w:val="18"/>
        </w:rPr>
        <w:t>a fact fundamental to the decision arrived at</w:t>
      </w:r>
      <w:r>
        <w:rPr>
          <w:rFonts w:ascii="Arial" w:eastAsia="Arial" w:hAnsi="Arial" w:cs="Arial"/>
          <w:iCs/>
          <w:sz w:val="18"/>
          <w:szCs w:val="18"/>
        </w:rPr>
        <w:t>’</w:t>
      </w:r>
      <w:r w:rsidRPr="00347753">
        <w:rPr>
          <w:rFonts w:ascii="Arial" w:eastAsia="Arial" w:hAnsi="Arial" w:cs="Arial"/>
          <w:iCs/>
          <w:sz w:val="18"/>
          <w:szCs w:val="18"/>
        </w:rPr>
        <w:t xml:space="preserve"> in the former proceedings and the </w:t>
      </w:r>
      <w:r>
        <w:rPr>
          <w:rFonts w:ascii="Arial" w:eastAsia="Arial" w:hAnsi="Arial" w:cs="Arial"/>
          <w:iCs/>
          <w:sz w:val="18"/>
          <w:szCs w:val="18"/>
        </w:rPr>
        <w:t>‘</w:t>
      </w:r>
      <w:r w:rsidRPr="00347753">
        <w:rPr>
          <w:rFonts w:ascii="Arial" w:eastAsia="Arial" w:hAnsi="Arial" w:cs="Arial"/>
          <w:iCs/>
          <w:sz w:val="18"/>
          <w:szCs w:val="18"/>
        </w:rPr>
        <w:t>legal quality of the fact</w:t>
      </w:r>
      <w:r>
        <w:rPr>
          <w:rFonts w:ascii="Arial" w:eastAsia="Arial" w:hAnsi="Arial" w:cs="Arial"/>
          <w:iCs/>
          <w:sz w:val="18"/>
          <w:szCs w:val="18"/>
        </w:rPr>
        <w:t>’</w:t>
      </w:r>
      <w:r w:rsidRPr="00347753">
        <w:rPr>
          <w:rFonts w:ascii="Arial" w:eastAsia="Arial" w:hAnsi="Arial" w:cs="Arial"/>
          <w:iCs/>
          <w:sz w:val="18"/>
          <w:szCs w:val="18"/>
        </w:rPr>
        <w:t xml:space="preserve"> must be taken as finally and conclusively established (</w:t>
      </w:r>
      <w:r w:rsidRPr="00347753">
        <w:rPr>
          <w:rFonts w:ascii="Arial" w:eastAsia="Arial" w:hAnsi="Arial" w:cs="Arial"/>
          <w:i/>
          <w:sz w:val="18"/>
          <w:szCs w:val="18"/>
        </w:rPr>
        <w:t>Hoystead v Commissioner of Taxation</w:t>
      </w:r>
      <w:r w:rsidRPr="00347753">
        <w:rPr>
          <w:rFonts w:ascii="Arial" w:eastAsia="Arial" w:hAnsi="Arial" w:cs="Arial"/>
          <w:iCs/>
          <w:sz w:val="18"/>
          <w:szCs w:val="18"/>
        </w:rPr>
        <w:t xml:space="preserve"> (1926) AC 155</w:t>
      </w:r>
      <w:r>
        <w:rPr>
          <w:rFonts w:ascii="Arial" w:eastAsia="Arial" w:hAnsi="Arial" w:cs="Arial"/>
          <w:iCs/>
          <w:sz w:val="18"/>
          <w:szCs w:val="18"/>
        </w:rPr>
        <w:t>)</w:t>
      </w:r>
      <w:r w:rsidRPr="00347753">
        <w:rPr>
          <w:rFonts w:ascii="Arial" w:eastAsia="Arial" w:hAnsi="Arial" w:cs="Arial"/>
          <w:iCs/>
          <w:sz w:val="18"/>
          <w:szCs w:val="18"/>
        </w:rPr>
        <w:t>.  But matters of fact or law which are subsidiary or collateral are not covered by the estoppel.  Findings, however deliberate and formal, which concern only evidentiary facts and not ultimate facts forming the very title to the rights give rise to no preclusion.  Decisions upon matters of law which amount to no more than steps in a process of reasoning tending to establish or support the proposition upon which the rights depend do not estop the parties if the same matters of law arise in subsequent litigation.</w:t>
      </w:r>
      <w:r>
        <w:rPr>
          <w:rFonts w:ascii="Arial" w:eastAsia="Arial" w:hAnsi="Arial" w:cs="Arial"/>
          <w:iCs/>
          <w:sz w:val="18"/>
          <w:szCs w:val="18"/>
        </w:rPr>
        <w:t>”</w:t>
      </w:r>
    </w:p>
    <w:p w14:paraId="230F83A6" w14:textId="77777777" w:rsidR="00E835E6" w:rsidRDefault="00E835E6" w:rsidP="003E6965">
      <w:pPr>
        <w:rPr>
          <w:rFonts w:ascii="Arial" w:hAnsi="Arial" w:cs="Arial"/>
          <w:sz w:val="20"/>
        </w:rPr>
      </w:pPr>
    </w:p>
    <w:p w14:paraId="37974AB0" w14:textId="77777777" w:rsidR="006C4114" w:rsidRPr="0007656A" w:rsidRDefault="00FA16DC" w:rsidP="00FA16DC">
      <w:pPr>
        <w:jc w:val="both"/>
        <w:rPr>
          <w:rFonts w:ascii="Arial" w:hAnsi="Arial" w:cs="Arial"/>
          <w:sz w:val="20"/>
          <w:szCs w:val="20"/>
        </w:rPr>
      </w:pPr>
      <w:r>
        <w:rPr>
          <w:rFonts w:ascii="Arial" w:hAnsi="Arial" w:cs="Arial"/>
          <w:sz w:val="20"/>
        </w:rPr>
        <w:t xml:space="preserve">All of these doctrines were </w:t>
      </w:r>
      <w:r w:rsidR="00BB4BAE">
        <w:rPr>
          <w:rFonts w:ascii="Arial" w:hAnsi="Arial" w:cs="Arial"/>
          <w:sz w:val="20"/>
        </w:rPr>
        <w:t>discussed</w:t>
      </w:r>
      <w:r>
        <w:rPr>
          <w:rFonts w:ascii="Arial" w:hAnsi="Arial" w:cs="Arial"/>
          <w:sz w:val="20"/>
        </w:rPr>
        <w:t xml:space="preserve"> by the High Court is </w:t>
      </w:r>
      <w:r w:rsidRPr="00FA16DC">
        <w:rPr>
          <w:rFonts w:ascii="Arial" w:hAnsi="Arial" w:cs="Arial"/>
          <w:i/>
          <w:iCs/>
          <w:sz w:val="20"/>
        </w:rPr>
        <w:t>Clayton v Bant</w:t>
      </w:r>
      <w:r>
        <w:rPr>
          <w:rFonts w:ascii="Arial" w:hAnsi="Arial" w:cs="Arial"/>
          <w:sz w:val="20"/>
        </w:rPr>
        <w:t xml:space="preserve"> [2020] HCA 44.  </w:t>
      </w:r>
      <w:r w:rsidR="006A5D56">
        <w:rPr>
          <w:rFonts w:ascii="Arial" w:hAnsi="Arial" w:cs="Arial"/>
          <w:sz w:val="20"/>
        </w:rPr>
        <w:t>The case</w:t>
      </w:r>
      <w:r>
        <w:rPr>
          <w:rFonts w:ascii="Arial" w:hAnsi="Arial" w:cs="Arial"/>
          <w:sz w:val="20"/>
        </w:rPr>
        <w:t xml:space="preserve"> involved an appeal from a judgment of the Full Court of the Family Court of Australia on appeal from a judgment of a single judge of that Court.  The </w:t>
      </w:r>
      <w:r w:rsidRPr="00FA16DC">
        <w:rPr>
          <w:rFonts w:ascii="Arial" w:hAnsi="Arial" w:cs="Arial"/>
          <w:sz w:val="20"/>
          <w:szCs w:val="20"/>
        </w:rPr>
        <w:t>wife is a citizen of Australia. The husband is a citizen of the United Arab Emirates. They met and commenced living together in 2006 in Dubai. There they married in 2007 in a Sharia court.</w:t>
      </w:r>
      <w:r>
        <w:rPr>
          <w:rFonts w:ascii="Arial" w:hAnsi="Arial" w:cs="Arial"/>
          <w:sz w:val="20"/>
          <w:szCs w:val="20"/>
        </w:rPr>
        <w:t xml:space="preserve">  </w:t>
      </w:r>
      <w:r w:rsidR="0007656A">
        <w:rPr>
          <w:rFonts w:ascii="Arial" w:hAnsi="Arial" w:cs="Arial"/>
          <w:sz w:val="20"/>
          <w:szCs w:val="20"/>
        </w:rPr>
        <w:t xml:space="preserve">They separated in 2013 with the wife and child remaining in Australia.  The husband initiated divorce proceedings in the Personal Status Court of Dubai which granted him an “irrevocable fault-based divorce” and ordered the wife to repay an amount of advanced dowry and costs.  </w:t>
      </w:r>
      <w:r>
        <w:rPr>
          <w:rFonts w:ascii="Arial" w:hAnsi="Arial" w:cs="Arial"/>
          <w:sz w:val="20"/>
          <w:szCs w:val="20"/>
        </w:rPr>
        <w:t xml:space="preserve">The question before the High Court was whether </w:t>
      </w:r>
      <w:r w:rsidR="0088010F">
        <w:rPr>
          <w:rFonts w:ascii="Arial" w:hAnsi="Arial" w:cs="Arial"/>
          <w:sz w:val="20"/>
          <w:szCs w:val="20"/>
        </w:rPr>
        <w:t xml:space="preserve">the </w:t>
      </w:r>
      <w:r>
        <w:rPr>
          <w:rFonts w:ascii="Arial" w:hAnsi="Arial" w:cs="Arial"/>
          <w:sz w:val="20"/>
          <w:szCs w:val="20"/>
        </w:rPr>
        <w:t xml:space="preserve">ruling </w:t>
      </w:r>
      <w:r w:rsidR="0088010F">
        <w:rPr>
          <w:rFonts w:ascii="Arial" w:hAnsi="Arial" w:cs="Arial"/>
          <w:sz w:val="20"/>
          <w:szCs w:val="20"/>
        </w:rPr>
        <w:t>of the Dubai court made in favour of</w:t>
      </w:r>
      <w:r>
        <w:rPr>
          <w:rFonts w:ascii="Arial" w:hAnsi="Arial" w:cs="Arial"/>
          <w:sz w:val="20"/>
          <w:szCs w:val="20"/>
        </w:rPr>
        <w:t xml:space="preserve"> the respondent husband against the appellate wife had the effect of precluding the wife from </w:t>
      </w:r>
      <w:r w:rsidR="0007656A">
        <w:rPr>
          <w:rFonts w:ascii="Arial" w:hAnsi="Arial" w:cs="Arial"/>
          <w:sz w:val="20"/>
          <w:szCs w:val="20"/>
        </w:rPr>
        <w:t xml:space="preserve">pursuing property settlement and spousal maintenance proceedings against the husband under the </w:t>
      </w:r>
      <w:r w:rsidR="0007656A" w:rsidRPr="0007656A">
        <w:rPr>
          <w:rFonts w:ascii="Arial" w:hAnsi="Arial" w:cs="Arial"/>
          <w:i/>
          <w:iCs/>
          <w:sz w:val="20"/>
          <w:szCs w:val="20"/>
        </w:rPr>
        <w:t>Family Law Act 1975</w:t>
      </w:r>
      <w:r w:rsidR="0007656A">
        <w:rPr>
          <w:rFonts w:ascii="Arial" w:hAnsi="Arial" w:cs="Arial"/>
          <w:sz w:val="20"/>
          <w:szCs w:val="20"/>
        </w:rPr>
        <w:t xml:space="preserve"> (Cth).  The judge at first instance had held that the Dubai judgment did not bar the </w:t>
      </w:r>
      <w:r w:rsidR="0014279B">
        <w:rPr>
          <w:rFonts w:ascii="Arial" w:hAnsi="Arial" w:cs="Arial"/>
          <w:sz w:val="20"/>
          <w:szCs w:val="20"/>
        </w:rPr>
        <w:t xml:space="preserve">wife’s </w:t>
      </w:r>
      <w:r w:rsidR="0007656A">
        <w:rPr>
          <w:rFonts w:ascii="Arial" w:hAnsi="Arial" w:cs="Arial"/>
          <w:sz w:val="20"/>
          <w:szCs w:val="20"/>
        </w:rPr>
        <w:t xml:space="preserve">Australian </w:t>
      </w:r>
      <w:r w:rsidR="0007656A" w:rsidRPr="0007656A">
        <w:rPr>
          <w:rFonts w:ascii="Arial" w:hAnsi="Arial" w:cs="Arial"/>
          <w:sz w:val="20"/>
          <w:szCs w:val="20"/>
        </w:rPr>
        <w:t>proceedings</w:t>
      </w:r>
      <w:r w:rsidR="00304349">
        <w:rPr>
          <w:rFonts w:ascii="Arial" w:hAnsi="Arial" w:cs="Arial"/>
          <w:sz w:val="20"/>
          <w:szCs w:val="20"/>
        </w:rPr>
        <w:t xml:space="preserve"> and refused the husband’s application for a permanent stay</w:t>
      </w:r>
      <w:r w:rsidR="0007656A" w:rsidRPr="0007656A">
        <w:rPr>
          <w:rFonts w:ascii="Arial" w:hAnsi="Arial" w:cs="Arial"/>
          <w:sz w:val="20"/>
          <w:szCs w:val="20"/>
        </w:rPr>
        <w:t xml:space="preserve">: see </w:t>
      </w:r>
      <w:r w:rsidR="0007656A" w:rsidRPr="0007656A">
        <w:rPr>
          <w:rFonts w:ascii="Arial" w:hAnsi="Arial" w:cs="Arial"/>
          <w:i/>
          <w:sz w:val="20"/>
          <w:szCs w:val="20"/>
        </w:rPr>
        <w:t>Clayton &amp; Bant</w:t>
      </w:r>
      <w:r w:rsidR="0007656A" w:rsidRPr="0007656A">
        <w:rPr>
          <w:rFonts w:ascii="Arial" w:hAnsi="Arial" w:cs="Arial"/>
          <w:sz w:val="20"/>
          <w:szCs w:val="20"/>
        </w:rPr>
        <w:t xml:space="preserve"> [2018] FamCA 736.  The Full Court held that it did: see </w:t>
      </w:r>
      <w:r w:rsidR="0007656A" w:rsidRPr="0007656A">
        <w:rPr>
          <w:rFonts w:ascii="Arial" w:hAnsi="Arial" w:cs="Arial"/>
          <w:i/>
          <w:sz w:val="20"/>
          <w:szCs w:val="20"/>
        </w:rPr>
        <w:t>Bant &amp; Clayton</w:t>
      </w:r>
      <w:r w:rsidR="0007656A" w:rsidRPr="0007656A">
        <w:rPr>
          <w:rFonts w:ascii="Arial" w:hAnsi="Arial" w:cs="Arial"/>
          <w:sz w:val="20"/>
          <w:szCs w:val="20"/>
        </w:rPr>
        <w:t xml:space="preserve"> </w:t>
      </w:r>
      <w:r w:rsidR="0007656A" w:rsidRPr="0007656A">
        <w:rPr>
          <w:rFonts w:ascii="Arial" w:hAnsi="Arial" w:cs="Arial"/>
          <w:i/>
          <w:sz w:val="20"/>
          <w:szCs w:val="20"/>
        </w:rPr>
        <w:t>[No 2]</w:t>
      </w:r>
      <w:r w:rsidR="0007656A" w:rsidRPr="0007656A">
        <w:rPr>
          <w:rFonts w:ascii="Arial" w:hAnsi="Arial" w:cs="Arial"/>
          <w:sz w:val="20"/>
          <w:szCs w:val="20"/>
        </w:rPr>
        <w:t xml:space="preserve"> (2019) FLC ¶93-925.</w:t>
      </w:r>
      <w:r w:rsidR="0007656A">
        <w:rPr>
          <w:rFonts w:ascii="Arial" w:hAnsi="Arial" w:cs="Arial"/>
          <w:sz w:val="20"/>
          <w:szCs w:val="20"/>
        </w:rPr>
        <w:t xml:space="preserve">  Contrary to the view of the Full Court</w:t>
      </w:r>
      <w:r w:rsidR="008A7D66">
        <w:rPr>
          <w:rFonts w:ascii="Arial" w:hAnsi="Arial" w:cs="Arial"/>
          <w:sz w:val="20"/>
          <w:szCs w:val="20"/>
        </w:rPr>
        <w:t>,</w:t>
      </w:r>
      <w:r w:rsidR="0007656A">
        <w:rPr>
          <w:rFonts w:ascii="Arial" w:hAnsi="Arial" w:cs="Arial"/>
          <w:sz w:val="20"/>
          <w:szCs w:val="20"/>
        </w:rPr>
        <w:t xml:space="preserve"> the High Court </w:t>
      </w:r>
      <w:r w:rsidR="008A7D66">
        <w:rPr>
          <w:rFonts w:ascii="Arial" w:hAnsi="Arial" w:cs="Arial"/>
          <w:sz w:val="20"/>
          <w:szCs w:val="20"/>
        </w:rPr>
        <w:t xml:space="preserve">unanimously </w:t>
      </w:r>
      <w:r w:rsidR="0007656A">
        <w:rPr>
          <w:rFonts w:ascii="Arial" w:hAnsi="Arial" w:cs="Arial"/>
          <w:sz w:val="20"/>
          <w:szCs w:val="20"/>
        </w:rPr>
        <w:t>held that the Dubai ruling did not bar the wife’s Australian proceedings.</w:t>
      </w:r>
      <w:r w:rsidR="00304349">
        <w:rPr>
          <w:rFonts w:ascii="Arial" w:hAnsi="Arial" w:cs="Arial"/>
          <w:sz w:val="20"/>
          <w:szCs w:val="20"/>
        </w:rPr>
        <w:t xml:space="preserve">  </w:t>
      </w:r>
      <w:r w:rsidR="00EC3E0E">
        <w:rPr>
          <w:rFonts w:ascii="Arial" w:hAnsi="Arial" w:cs="Arial"/>
          <w:sz w:val="20"/>
          <w:szCs w:val="20"/>
        </w:rPr>
        <w:t>At [26] i</w:t>
      </w:r>
      <w:r w:rsidR="00304349">
        <w:rPr>
          <w:rFonts w:ascii="Arial" w:hAnsi="Arial" w:cs="Arial"/>
          <w:sz w:val="20"/>
          <w:szCs w:val="20"/>
        </w:rPr>
        <w:t xml:space="preserve">n their joint judgment Kiefel CJ, Bell &amp; Gageler JJ held that </w:t>
      </w:r>
      <w:r w:rsidR="00EC3E0E">
        <w:rPr>
          <w:rFonts w:ascii="Arial" w:hAnsi="Arial" w:cs="Arial"/>
          <w:sz w:val="20"/>
          <w:szCs w:val="20"/>
        </w:rPr>
        <w:t xml:space="preserve">the Dubai order did not give rise to a </w:t>
      </w:r>
      <w:r w:rsidR="00EC3E0E" w:rsidRPr="00EC3E0E">
        <w:rPr>
          <w:rFonts w:ascii="Arial" w:hAnsi="Arial" w:cs="Arial"/>
          <w:i/>
          <w:iCs/>
          <w:sz w:val="20"/>
          <w:szCs w:val="20"/>
        </w:rPr>
        <w:t>res judicata</w:t>
      </w:r>
      <w:r w:rsidR="00304349">
        <w:rPr>
          <w:rFonts w:ascii="Arial" w:hAnsi="Arial" w:cs="Arial"/>
          <w:sz w:val="20"/>
          <w:szCs w:val="20"/>
        </w:rPr>
        <w:t>:</w:t>
      </w:r>
    </w:p>
    <w:p w14:paraId="421904C6" w14:textId="77777777" w:rsidR="00304349" w:rsidRPr="00304349" w:rsidRDefault="00304349" w:rsidP="00AA6352">
      <w:pPr>
        <w:spacing w:before="80"/>
        <w:ind w:left="567" w:right="567"/>
        <w:jc w:val="both"/>
        <w:rPr>
          <w:rFonts w:ascii="Arial" w:hAnsi="Arial" w:cs="Arial"/>
          <w:sz w:val="20"/>
          <w:szCs w:val="20"/>
        </w:rPr>
      </w:pPr>
      <w:r>
        <w:rPr>
          <w:rFonts w:ascii="Arial" w:hAnsi="Arial" w:cs="Arial"/>
          <w:color w:val="000000"/>
          <w:sz w:val="20"/>
        </w:rPr>
        <w:t>“</w:t>
      </w:r>
      <w:r w:rsidRPr="00304349">
        <w:rPr>
          <w:rFonts w:ascii="Arial" w:hAnsi="Arial" w:cs="Arial"/>
          <w:sz w:val="20"/>
          <w:szCs w:val="20"/>
        </w:rPr>
        <w:t xml:space="preserve">Once it is appreciated that the rights in issue in the property settlement proceedings and in the spousal maintenance proceedings are the statutory rights of the wife to seek orders </w:t>
      </w:r>
      <w:r w:rsidRPr="00304349">
        <w:rPr>
          <w:rFonts w:ascii="Arial" w:hAnsi="Arial" w:cs="Arial"/>
          <w:sz w:val="20"/>
          <w:szCs w:val="20"/>
        </w:rPr>
        <w:lastRenderedPageBreak/>
        <w:t>under ss 79(1) and 74(1) of the Act, it is apparent that the ruling made by the Dubai Court cannot give rise to a res judicata in the strict sense in which that term continues to be used in Australia</w:t>
      </w:r>
      <w:r>
        <w:rPr>
          <w:rFonts w:ascii="Arial" w:hAnsi="Arial" w:cs="Arial"/>
          <w:sz w:val="20"/>
          <w:szCs w:val="20"/>
        </w:rPr>
        <w:t xml:space="preserve">: </w:t>
      </w:r>
      <w:r w:rsidRPr="00304349">
        <w:rPr>
          <w:rFonts w:ascii="Arial" w:hAnsi="Arial" w:cs="Arial"/>
          <w:i/>
          <w:sz w:val="20"/>
          <w:szCs w:val="20"/>
        </w:rPr>
        <w:t>Tomlinson v Ramsey Food Processing Pty Ltd</w:t>
      </w:r>
      <w:r w:rsidRPr="00304349">
        <w:rPr>
          <w:rFonts w:ascii="Arial" w:hAnsi="Arial" w:cs="Arial"/>
          <w:sz w:val="20"/>
          <w:szCs w:val="20"/>
        </w:rPr>
        <w:t xml:space="preserve"> (2015) 256 CLR 507 at 516 [20]; </w:t>
      </w:r>
      <w:r w:rsidRPr="00304349">
        <w:rPr>
          <w:rFonts w:ascii="Arial" w:hAnsi="Arial" w:cs="Arial"/>
          <w:i/>
          <w:sz w:val="20"/>
          <w:szCs w:val="20"/>
        </w:rPr>
        <w:t xml:space="preserve">Zetta Jet Pte Ltd v The Ship Dragon Pearl [No 2] </w:t>
      </w:r>
      <w:r w:rsidRPr="00304349">
        <w:rPr>
          <w:rFonts w:ascii="Arial" w:hAnsi="Arial" w:cs="Arial"/>
          <w:sz w:val="20"/>
          <w:szCs w:val="20"/>
        </w:rPr>
        <w:t>(2018) 265 FCR 290 at 294 [15][16], 296 [24]-[26].</w:t>
      </w:r>
      <w:r w:rsidRPr="00304349">
        <w:rPr>
          <w:i/>
          <w:sz w:val="20"/>
          <w:szCs w:val="20"/>
        </w:rPr>
        <w:t xml:space="preserve"> </w:t>
      </w:r>
      <w:r w:rsidRPr="00304349">
        <w:rPr>
          <w:sz w:val="20"/>
          <w:szCs w:val="20"/>
        </w:rPr>
        <w:t xml:space="preserve"> </w:t>
      </w:r>
      <w:r w:rsidRPr="00304349">
        <w:rPr>
          <w:rFonts w:ascii="Arial" w:hAnsi="Arial" w:cs="Arial"/>
          <w:sz w:val="20"/>
          <w:szCs w:val="20"/>
        </w:rPr>
        <w:t>The</w:t>
      </w:r>
      <w:r>
        <w:rPr>
          <w:rFonts w:ascii="Arial" w:hAnsi="Arial" w:cs="Arial"/>
          <w:sz w:val="20"/>
          <w:szCs w:val="20"/>
        </w:rPr>
        <w:t> </w:t>
      </w:r>
      <w:r w:rsidRPr="00304349">
        <w:rPr>
          <w:rFonts w:ascii="Arial" w:hAnsi="Arial" w:cs="Arial"/>
          <w:sz w:val="20"/>
          <w:szCs w:val="20"/>
        </w:rPr>
        <w:t xml:space="preserve">rights created by ss 79(1) and 74(1) cannot </w:t>
      </w:r>
      <w:r w:rsidR="0014279B">
        <w:rPr>
          <w:rFonts w:ascii="Arial" w:hAnsi="Arial" w:cs="Arial"/>
          <w:sz w:val="20"/>
          <w:szCs w:val="20"/>
        </w:rPr>
        <w:t>‘</w:t>
      </w:r>
      <w:r w:rsidRPr="00304349">
        <w:rPr>
          <w:rFonts w:ascii="Arial" w:hAnsi="Arial" w:cs="Arial"/>
          <w:sz w:val="20"/>
          <w:szCs w:val="20"/>
        </w:rPr>
        <w:t>merge</w:t>
      </w:r>
      <w:r w:rsidR="0014279B">
        <w:rPr>
          <w:rFonts w:ascii="Arial" w:hAnsi="Arial" w:cs="Arial"/>
          <w:sz w:val="20"/>
          <w:szCs w:val="20"/>
        </w:rPr>
        <w:t>’</w:t>
      </w:r>
      <w:r w:rsidRPr="00304349">
        <w:rPr>
          <w:rFonts w:ascii="Arial" w:hAnsi="Arial" w:cs="Arial"/>
          <w:sz w:val="20"/>
          <w:szCs w:val="20"/>
        </w:rPr>
        <w:t xml:space="preserve"> in any judicial orders other than final orders of a court having jurisdiction under the Act</w:t>
      </w:r>
      <w:r w:rsidRPr="00304349">
        <w:rPr>
          <w:rFonts w:ascii="Arial" w:hAnsi="Arial" w:cs="Arial"/>
          <w:i/>
          <w:sz w:val="20"/>
          <w:szCs w:val="20"/>
        </w:rPr>
        <w:t xml:space="preserve"> </w:t>
      </w:r>
      <w:r w:rsidRPr="00304349">
        <w:rPr>
          <w:rFonts w:ascii="Arial" w:hAnsi="Arial" w:cs="Arial"/>
          <w:sz w:val="20"/>
          <w:szCs w:val="20"/>
        </w:rPr>
        <w:t xml:space="preserve">to make orders under those sections. The rights of the wife to seek orders under ss 79(1) and 74(1) continue to have separate existence unless and until the powers to make those orders are exercised on a final basis and thereby exhausted: </w:t>
      </w:r>
      <w:r w:rsidRPr="00304349">
        <w:rPr>
          <w:rFonts w:ascii="Arial" w:hAnsi="Arial" w:cs="Arial"/>
          <w:i/>
          <w:sz w:val="20"/>
          <w:szCs w:val="20"/>
        </w:rPr>
        <w:t>Mullane v Mullane</w:t>
      </w:r>
      <w:r w:rsidRPr="00304349">
        <w:rPr>
          <w:rFonts w:ascii="Arial" w:hAnsi="Arial" w:cs="Arial"/>
          <w:sz w:val="20"/>
          <w:szCs w:val="20"/>
        </w:rPr>
        <w:t xml:space="preserve"> (1983) 158 CLR 436 at 440; </w:t>
      </w:r>
      <w:r w:rsidRPr="00304349">
        <w:rPr>
          <w:rFonts w:ascii="Arial" w:hAnsi="Arial" w:cs="Arial"/>
          <w:i/>
          <w:sz w:val="20"/>
          <w:szCs w:val="20"/>
        </w:rPr>
        <w:t>In the Marriage of Florie</w:t>
      </w:r>
      <w:r w:rsidRPr="00304349">
        <w:rPr>
          <w:rFonts w:ascii="Arial" w:hAnsi="Arial" w:cs="Arial"/>
          <w:sz w:val="20"/>
          <w:szCs w:val="20"/>
        </w:rPr>
        <w:t xml:space="preserve"> (1988) 90 FLR 158 at 165-167; </w:t>
      </w:r>
      <w:r w:rsidRPr="00304349">
        <w:rPr>
          <w:rFonts w:ascii="Arial" w:hAnsi="Arial" w:cs="Arial"/>
          <w:i/>
          <w:sz w:val="20"/>
          <w:szCs w:val="20"/>
        </w:rPr>
        <w:t>Hickey and Hickey and Attorney-General for the Commonwealth of Australia (Intervener)</w:t>
      </w:r>
      <w:r w:rsidRPr="00304349">
        <w:rPr>
          <w:rFonts w:ascii="Arial" w:hAnsi="Arial" w:cs="Arial"/>
          <w:sz w:val="20"/>
          <w:szCs w:val="20"/>
        </w:rPr>
        <w:t xml:space="preserve"> (2003) FLC ¶93-143 at 78,387-78,388 [44]-[48]; </w:t>
      </w:r>
      <w:r w:rsidRPr="00304349">
        <w:rPr>
          <w:rFonts w:ascii="Arial" w:hAnsi="Arial" w:cs="Arial"/>
          <w:i/>
          <w:sz w:val="20"/>
          <w:szCs w:val="20"/>
        </w:rPr>
        <w:t>Strahan v Strahan</w:t>
      </w:r>
      <w:r w:rsidRPr="00304349">
        <w:rPr>
          <w:rFonts w:ascii="Arial" w:hAnsi="Arial" w:cs="Arial"/>
          <w:sz w:val="20"/>
          <w:szCs w:val="20"/>
        </w:rPr>
        <w:t xml:space="preserve"> (2009) 241 FLR 1 at 25-28 [106]-[113].</w:t>
      </w:r>
      <w:r w:rsidR="006D6DA8">
        <w:rPr>
          <w:rFonts w:ascii="Arial" w:hAnsi="Arial" w:cs="Arial"/>
          <w:sz w:val="20"/>
          <w:szCs w:val="20"/>
        </w:rPr>
        <w:t>”</w:t>
      </w:r>
    </w:p>
    <w:p w14:paraId="54D8FAAB" w14:textId="77777777" w:rsidR="00EC3E0E" w:rsidRDefault="00C72186" w:rsidP="00EC3E0E">
      <w:pPr>
        <w:spacing w:before="120"/>
        <w:jc w:val="both"/>
        <w:rPr>
          <w:rFonts w:ascii="Arial" w:hAnsi="Arial" w:cs="Arial"/>
          <w:sz w:val="20"/>
          <w:szCs w:val="20"/>
        </w:rPr>
      </w:pPr>
      <w:r>
        <w:rPr>
          <w:rFonts w:ascii="Arial" w:hAnsi="Arial" w:cs="Arial"/>
          <w:sz w:val="20"/>
          <w:szCs w:val="20"/>
        </w:rPr>
        <w:t>At [</w:t>
      </w:r>
      <w:r w:rsidR="006D6DA8">
        <w:rPr>
          <w:rFonts w:ascii="Arial" w:hAnsi="Arial" w:cs="Arial"/>
          <w:sz w:val="20"/>
          <w:szCs w:val="20"/>
        </w:rPr>
        <w:t>27</w:t>
      </w:r>
      <w:r>
        <w:rPr>
          <w:rFonts w:ascii="Arial" w:hAnsi="Arial" w:cs="Arial"/>
          <w:sz w:val="20"/>
          <w:szCs w:val="20"/>
        </w:rPr>
        <w:t>]</w:t>
      </w:r>
      <w:r w:rsidR="006D6DA8">
        <w:rPr>
          <w:rFonts w:ascii="Arial" w:hAnsi="Arial" w:cs="Arial"/>
          <w:sz w:val="20"/>
          <w:szCs w:val="20"/>
        </w:rPr>
        <w:t>-[28] &amp; [</w:t>
      </w:r>
      <w:r w:rsidR="00DE0813">
        <w:rPr>
          <w:rFonts w:ascii="Arial" w:hAnsi="Arial" w:cs="Arial"/>
          <w:sz w:val="20"/>
          <w:szCs w:val="20"/>
        </w:rPr>
        <w:t>31</w:t>
      </w:r>
      <w:r w:rsidR="006D6DA8">
        <w:rPr>
          <w:rFonts w:ascii="Arial" w:hAnsi="Arial" w:cs="Arial"/>
          <w:sz w:val="20"/>
          <w:szCs w:val="20"/>
        </w:rPr>
        <w:t>]</w:t>
      </w:r>
      <w:r w:rsidR="00DE0813">
        <w:rPr>
          <w:rFonts w:ascii="Arial" w:hAnsi="Arial" w:cs="Arial"/>
          <w:sz w:val="20"/>
          <w:szCs w:val="20"/>
        </w:rPr>
        <w:t>-[32]</w:t>
      </w:r>
      <w:r>
        <w:rPr>
          <w:rFonts w:ascii="Arial" w:hAnsi="Arial" w:cs="Arial"/>
          <w:sz w:val="20"/>
          <w:szCs w:val="20"/>
        </w:rPr>
        <w:t xml:space="preserve"> their Honours </w:t>
      </w:r>
      <w:r w:rsidR="00BB4BAE">
        <w:rPr>
          <w:rFonts w:ascii="Arial" w:hAnsi="Arial" w:cs="Arial"/>
          <w:sz w:val="20"/>
          <w:szCs w:val="20"/>
        </w:rPr>
        <w:t xml:space="preserve">also </w:t>
      </w:r>
      <w:r>
        <w:rPr>
          <w:rFonts w:ascii="Arial" w:hAnsi="Arial" w:cs="Arial"/>
          <w:sz w:val="20"/>
          <w:szCs w:val="20"/>
        </w:rPr>
        <w:t xml:space="preserve">held that </w:t>
      </w:r>
      <w:r w:rsidR="00D17F43">
        <w:rPr>
          <w:rFonts w:ascii="Arial" w:hAnsi="Arial" w:cs="Arial"/>
          <w:sz w:val="20"/>
          <w:szCs w:val="20"/>
        </w:rPr>
        <w:t>no</w:t>
      </w:r>
      <w:r w:rsidR="00A478E2">
        <w:rPr>
          <w:rFonts w:ascii="Arial" w:hAnsi="Arial" w:cs="Arial"/>
          <w:sz w:val="20"/>
          <w:szCs w:val="20"/>
        </w:rPr>
        <w:t xml:space="preserve"> form of </w:t>
      </w:r>
      <w:r w:rsidR="006D6DA8">
        <w:rPr>
          <w:rFonts w:ascii="Arial" w:hAnsi="Arial" w:cs="Arial"/>
          <w:sz w:val="20"/>
          <w:szCs w:val="20"/>
        </w:rPr>
        <w:t xml:space="preserve">estoppel </w:t>
      </w:r>
      <w:r w:rsidR="00A478E2">
        <w:rPr>
          <w:rFonts w:ascii="Arial" w:hAnsi="Arial" w:cs="Arial"/>
          <w:sz w:val="20"/>
          <w:szCs w:val="20"/>
        </w:rPr>
        <w:t>had any operation</w:t>
      </w:r>
      <w:r w:rsidR="006D6DA8">
        <w:rPr>
          <w:rFonts w:ascii="Arial" w:hAnsi="Arial" w:cs="Arial"/>
          <w:sz w:val="20"/>
          <w:szCs w:val="20"/>
        </w:rPr>
        <w:t>:</w:t>
      </w:r>
    </w:p>
    <w:p w14:paraId="23154AB0" w14:textId="77777777" w:rsidR="006D6DA8" w:rsidRDefault="006D6DA8" w:rsidP="00AA6352">
      <w:pPr>
        <w:spacing w:before="80"/>
        <w:ind w:left="567" w:right="567"/>
        <w:jc w:val="both"/>
        <w:rPr>
          <w:rFonts w:ascii="Arial" w:hAnsi="Arial" w:cs="Arial"/>
          <w:sz w:val="20"/>
          <w:szCs w:val="20"/>
        </w:rPr>
      </w:pPr>
      <w:r>
        <w:rPr>
          <w:rFonts w:ascii="Arial" w:hAnsi="Arial" w:cs="Arial"/>
          <w:sz w:val="20"/>
          <w:szCs w:val="20"/>
        </w:rPr>
        <w:t>[27] “</w:t>
      </w:r>
      <w:r w:rsidRPr="006D6DA8">
        <w:rPr>
          <w:rFonts w:ascii="Arial" w:hAnsi="Arial" w:cs="Arial"/>
          <w:sz w:val="20"/>
          <w:szCs w:val="20"/>
        </w:rPr>
        <w:t>For the ruling made by the Dubai Court to preclude the wife from pursuing the property settlement proceedings and the spousal maintenance proceedings, that preclusion can occur, if at all, through the operation of the common law doctrine of estoppel. No argument is made that the operation of that common law doctrine is excluded by the scheme of the Act.</w:t>
      </w:r>
    </w:p>
    <w:p w14:paraId="02DF103E" w14:textId="77777777" w:rsidR="006D6DA8" w:rsidRDefault="006D6DA8" w:rsidP="00AA6352">
      <w:pPr>
        <w:spacing w:before="80"/>
        <w:ind w:left="567" w:right="567"/>
        <w:jc w:val="both"/>
        <w:rPr>
          <w:rFonts w:ascii="Arial" w:hAnsi="Arial" w:cs="Arial"/>
          <w:sz w:val="20"/>
          <w:szCs w:val="20"/>
        </w:rPr>
      </w:pPr>
      <w:r>
        <w:rPr>
          <w:rFonts w:ascii="Arial" w:hAnsi="Arial" w:cs="Arial"/>
          <w:sz w:val="20"/>
          <w:szCs w:val="20"/>
        </w:rPr>
        <w:t xml:space="preserve">[28] </w:t>
      </w:r>
      <w:r w:rsidRPr="006D6DA8">
        <w:rPr>
          <w:rFonts w:ascii="Arial" w:hAnsi="Arial" w:cs="Arial"/>
          <w:sz w:val="20"/>
          <w:szCs w:val="20"/>
        </w:rPr>
        <w:t xml:space="preserve">Two forms of estoppel are potentially applicable. One is that sometimes referred to as </w:t>
      </w:r>
      <w:r w:rsidR="0014279B">
        <w:rPr>
          <w:rFonts w:ascii="Arial" w:hAnsi="Arial" w:cs="Arial"/>
          <w:sz w:val="20"/>
          <w:szCs w:val="20"/>
        </w:rPr>
        <w:t>‘</w:t>
      </w:r>
      <w:r w:rsidR="0014279B" w:rsidRPr="006D6DA8">
        <w:rPr>
          <w:rFonts w:ascii="Arial" w:hAnsi="Arial" w:cs="Arial"/>
          <w:sz w:val="20"/>
          <w:szCs w:val="20"/>
        </w:rPr>
        <w:t>cause</w:t>
      </w:r>
      <w:r w:rsidRPr="006D6DA8">
        <w:rPr>
          <w:rFonts w:ascii="Arial" w:hAnsi="Arial" w:cs="Arial"/>
          <w:sz w:val="20"/>
          <w:szCs w:val="20"/>
        </w:rPr>
        <w:t xml:space="preserve"> of action’ estoppel: </w:t>
      </w:r>
      <w:r w:rsidRPr="006D6DA8">
        <w:rPr>
          <w:rFonts w:ascii="Arial" w:hAnsi="Arial" w:cs="Arial"/>
          <w:i/>
          <w:sz w:val="20"/>
          <w:szCs w:val="20"/>
        </w:rPr>
        <w:t>Tomlinson v Ramsey Food Processing Pty Ltd</w:t>
      </w:r>
      <w:r w:rsidRPr="006D6DA8">
        <w:rPr>
          <w:rFonts w:ascii="Arial" w:hAnsi="Arial" w:cs="Arial"/>
          <w:sz w:val="20"/>
          <w:szCs w:val="20"/>
        </w:rPr>
        <w:t xml:space="preserve"> (2015) 256 CLR 507 at 517 [22].</w:t>
      </w:r>
      <w:r w:rsidRPr="006D6DA8">
        <w:rPr>
          <w:sz w:val="20"/>
          <w:szCs w:val="20"/>
        </w:rPr>
        <w:t xml:space="preserve">  </w:t>
      </w:r>
      <w:r w:rsidRPr="006D6DA8">
        <w:rPr>
          <w:rFonts w:ascii="Arial" w:hAnsi="Arial" w:cs="Arial"/>
          <w:sz w:val="20"/>
          <w:szCs w:val="20"/>
        </w:rPr>
        <w:t xml:space="preserve">The terminology has been recognised as problematic given the range of senses in which the expression </w:t>
      </w:r>
      <w:r w:rsidR="0014279B">
        <w:rPr>
          <w:rFonts w:ascii="Arial" w:hAnsi="Arial" w:cs="Arial"/>
          <w:sz w:val="20"/>
          <w:szCs w:val="20"/>
        </w:rPr>
        <w:t>‘c</w:t>
      </w:r>
      <w:r w:rsidR="0014279B" w:rsidRPr="006D6DA8">
        <w:rPr>
          <w:rFonts w:ascii="Arial" w:hAnsi="Arial" w:cs="Arial"/>
          <w:sz w:val="20"/>
          <w:szCs w:val="20"/>
        </w:rPr>
        <w:t>ause</w:t>
      </w:r>
      <w:r w:rsidRPr="006D6DA8">
        <w:rPr>
          <w:rFonts w:ascii="Arial" w:hAnsi="Arial" w:cs="Arial"/>
          <w:sz w:val="20"/>
          <w:szCs w:val="20"/>
        </w:rPr>
        <w:t xml:space="preserve"> of action</w:t>
      </w:r>
      <w:r>
        <w:rPr>
          <w:rFonts w:ascii="Arial" w:hAnsi="Arial" w:cs="Arial"/>
          <w:sz w:val="20"/>
          <w:szCs w:val="20"/>
        </w:rPr>
        <w:t>’</w:t>
      </w:r>
      <w:r w:rsidRPr="006D6DA8">
        <w:rPr>
          <w:rFonts w:ascii="Arial" w:hAnsi="Arial" w:cs="Arial"/>
          <w:sz w:val="20"/>
          <w:szCs w:val="20"/>
        </w:rPr>
        <w:t xml:space="preserve"> tends to be used: see </w:t>
      </w:r>
      <w:r w:rsidRPr="006D6DA8">
        <w:rPr>
          <w:rFonts w:ascii="Arial" w:hAnsi="Arial" w:cs="Arial"/>
          <w:i/>
          <w:sz w:val="20"/>
          <w:szCs w:val="20"/>
        </w:rPr>
        <w:t>Port of Melbourne Authority v Anshun Pty Ltd</w:t>
      </w:r>
      <w:r w:rsidRPr="006D6DA8">
        <w:rPr>
          <w:rFonts w:ascii="Arial" w:hAnsi="Arial" w:cs="Arial"/>
          <w:sz w:val="20"/>
          <w:szCs w:val="20"/>
        </w:rPr>
        <w:t xml:space="preserve"> (1981) 147 CLR 589 at 610-612; </w:t>
      </w:r>
      <w:r w:rsidRPr="006D6DA8">
        <w:rPr>
          <w:rFonts w:ascii="Arial" w:hAnsi="Arial" w:cs="Arial"/>
          <w:i/>
          <w:sz w:val="20"/>
          <w:szCs w:val="20"/>
        </w:rPr>
        <w:t>Chamberlain v Deputy Commissioner of Taxation</w:t>
      </w:r>
      <w:r w:rsidRPr="006D6DA8">
        <w:rPr>
          <w:rFonts w:ascii="Arial" w:hAnsi="Arial" w:cs="Arial"/>
          <w:sz w:val="20"/>
          <w:szCs w:val="20"/>
        </w:rPr>
        <w:t xml:space="preserve"> (1988) 164 CLR 502 at 508.</w:t>
      </w:r>
      <w:r w:rsidRPr="006D6DA8">
        <w:rPr>
          <w:sz w:val="20"/>
          <w:szCs w:val="20"/>
        </w:rPr>
        <w:t xml:space="preserve"> </w:t>
      </w:r>
      <w:r w:rsidRPr="006D6DA8">
        <w:rPr>
          <w:rFonts w:ascii="Arial" w:hAnsi="Arial" w:cs="Arial"/>
          <w:sz w:val="20"/>
          <w:szCs w:val="20"/>
        </w:rPr>
        <w:t>The relevant sense is that of title to the legal right established or claimed:</w:t>
      </w:r>
      <w:r w:rsidRPr="006D6DA8">
        <w:rPr>
          <w:rFonts w:ascii="Arial" w:hAnsi="Arial" w:cs="Arial"/>
          <w:i/>
          <w:sz w:val="20"/>
          <w:szCs w:val="20"/>
        </w:rPr>
        <w:t xml:space="preserve"> Blair v Curran</w:t>
      </w:r>
      <w:r w:rsidRPr="006D6DA8">
        <w:rPr>
          <w:rFonts w:ascii="Arial" w:hAnsi="Arial" w:cs="Arial"/>
          <w:sz w:val="20"/>
          <w:szCs w:val="20"/>
        </w:rPr>
        <w:t xml:space="preserve"> (1939) 62 CLR 464 at 532; </w:t>
      </w:r>
      <w:r w:rsidRPr="006D6DA8">
        <w:rPr>
          <w:rFonts w:ascii="Arial" w:hAnsi="Arial" w:cs="Arial"/>
          <w:i/>
          <w:sz w:val="20"/>
          <w:szCs w:val="20"/>
        </w:rPr>
        <w:t>Port of Melbourne Authority v Anshun Pty Ltd</w:t>
      </w:r>
      <w:r w:rsidRPr="006D6DA8">
        <w:rPr>
          <w:rFonts w:ascii="Arial" w:hAnsi="Arial" w:cs="Arial"/>
          <w:sz w:val="20"/>
          <w:szCs w:val="20"/>
        </w:rPr>
        <w:t xml:space="preserve"> (1981) 147 CLR 589 at 611. See also </w:t>
      </w:r>
      <w:r w:rsidRPr="006D6DA8">
        <w:rPr>
          <w:rFonts w:ascii="Arial" w:hAnsi="Arial" w:cs="Arial"/>
          <w:i/>
          <w:sz w:val="20"/>
          <w:szCs w:val="20"/>
        </w:rPr>
        <w:t>Baltimore Steamship Co v Phillips</w:t>
      </w:r>
      <w:r w:rsidRPr="006D6DA8">
        <w:rPr>
          <w:rFonts w:ascii="Arial" w:hAnsi="Arial" w:cs="Arial"/>
          <w:sz w:val="20"/>
          <w:szCs w:val="20"/>
        </w:rPr>
        <w:t xml:space="preserve"> (1927) 274 US 316 at 321, quoted in </w:t>
      </w:r>
      <w:r w:rsidRPr="006D6DA8">
        <w:rPr>
          <w:rFonts w:ascii="Arial" w:hAnsi="Arial" w:cs="Arial"/>
          <w:i/>
          <w:sz w:val="20"/>
          <w:szCs w:val="20"/>
        </w:rPr>
        <w:t>Philip Morris Inc v Adam P Brown Male Fashions Pty Ltd</w:t>
      </w:r>
      <w:r w:rsidRPr="006D6DA8">
        <w:rPr>
          <w:rFonts w:ascii="Arial" w:hAnsi="Arial" w:cs="Arial"/>
          <w:sz w:val="20"/>
          <w:szCs w:val="20"/>
        </w:rPr>
        <w:t xml:space="preserve"> (1981) 148 CLR 457 at 514.</w:t>
      </w:r>
      <w:r w:rsidRPr="006D6DA8">
        <w:rPr>
          <w:sz w:val="20"/>
          <w:szCs w:val="20"/>
        </w:rPr>
        <w:t xml:space="preserve">  </w:t>
      </w:r>
      <w:r w:rsidRPr="006D6DA8">
        <w:rPr>
          <w:rFonts w:ascii="Arial" w:hAnsi="Arial" w:cs="Arial"/>
          <w:sz w:val="20"/>
          <w:szCs w:val="20"/>
        </w:rPr>
        <w:t xml:space="preserve">Especially in a statutory context such as the present, the form of estoppel would be better referred to by the more generic description of ‘claim’ estoppel: cf Casad and Clermont, </w:t>
      </w:r>
      <w:r w:rsidRPr="006D6DA8">
        <w:rPr>
          <w:rFonts w:ascii="Arial" w:hAnsi="Arial" w:cs="Arial"/>
          <w:i/>
          <w:sz w:val="20"/>
          <w:szCs w:val="20"/>
        </w:rPr>
        <w:t>Res Judicata: A Handbook on its Theory, Doctrine, and Practice</w:t>
      </w:r>
      <w:r w:rsidRPr="006D6DA8">
        <w:rPr>
          <w:rFonts w:ascii="Arial" w:hAnsi="Arial" w:cs="Arial"/>
          <w:sz w:val="20"/>
          <w:szCs w:val="20"/>
        </w:rPr>
        <w:t xml:space="preserve"> (2001) at 9-10. The other form of estoppel is most commonly referred to in Australia as </w:t>
      </w:r>
      <w:r>
        <w:rPr>
          <w:rFonts w:ascii="Arial" w:hAnsi="Arial" w:cs="Arial"/>
          <w:sz w:val="20"/>
          <w:szCs w:val="20"/>
        </w:rPr>
        <w:t>‘</w:t>
      </w:r>
      <w:r w:rsidRPr="006D6DA8">
        <w:rPr>
          <w:rFonts w:ascii="Arial" w:hAnsi="Arial" w:cs="Arial"/>
          <w:i/>
          <w:sz w:val="20"/>
          <w:szCs w:val="20"/>
        </w:rPr>
        <w:t xml:space="preserve">Anshun </w:t>
      </w:r>
      <w:r w:rsidRPr="006D6DA8">
        <w:rPr>
          <w:rFonts w:ascii="Arial" w:hAnsi="Arial" w:cs="Arial"/>
          <w:sz w:val="20"/>
          <w:szCs w:val="20"/>
        </w:rPr>
        <w:t>estoppel</w:t>
      </w:r>
      <w:r>
        <w:rPr>
          <w:rFonts w:ascii="Arial" w:hAnsi="Arial" w:cs="Arial"/>
          <w:sz w:val="20"/>
          <w:szCs w:val="20"/>
        </w:rPr>
        <w:t>’</w:t>
      </w:r>
      <w:r w:rsidRPr="006D6DA8">
        <w:rPr>
          <w:rFonts w:ascii="Arial" w:hAnsi="Arial" w:cs="Arial"/>
          <w:sz w:val="20"/>
          <w:szCs w:val="20"/>
        </w:rPr>
        <w:t xml:space="preserve">, after </w:t>
      </w:r>
      <w:r w:rsidRPr="006D6DA8">
        <w:rPr>
          <w:rFonts w:ascii="Arial" w:hAnsi="Arial" w:cs="Arial"/>
          <w:i/>
          <w:sz w:val="20"/>
          <w:szCs w:val="20"/>
        </w:rPr>
        <w:t xml:space="preserve">Port of Melbourne Authority v Anshun Pty Ltd </w:t>
      </w:r>
      <w:r w:rsidRPr="006D6DA8">
        <w:rPr>
          <w:rFonts w:ascii="Arial" w:hAnsi="Arial" w:cs="Arial"/>
          <w:sz w:val="20"/>
          <w:szCs w:val="20"/>
        </w:rPr>
        <w:t xml:space="preserve">(1981) 147 CLR 589, although the Full Court chose to refer to it as the </w:t>
      </w:r>
      <w:r>
        <w:rPr>
          <w:rFonts w:ascii="Arial" w:hAnsi="Arial" w:cs="Arial"/>
          <w:sz w:val="20"/>
          <w:szCs w:val="20"/>
        </w:rPr>
        <w:t>‘</w:t>
      </w:r>
      <w:r w:rsidRPr="006D6DA8">
        <w:rPr>
          <w:rFonts w:ascii="Arial" w:hAnsi="Arial" w:cs="Arial"/>
          <w:i/>
          <w:sz w:val="20"/>
          <w:szCs w:val="20"/>
        </w:rPr>
        <w:t>Henderson</w:t>
      </w:r>
      <w:r w:rsidRPr="006D6DA8">
        <w:rPr>
          <w:rFonts w:ascii="Arial" w:hAnsi="Arial" w:cs="Arial"/>
          <w:sz w:val="20"/>
          <w:szCs w:val="20"/>
        </w:rPr>
        <w:t xml:space="preserve"> extension</w:t>
      </w:r>
      <w:r>
        <w:rPr>
          <w:rFonts w:ascii="Arial" w:hAnsi="Arial" w:cs="Arial"/>
          <w:sz w:val="20"/>
          <w:szCs w:val="20"/>
        </w:rPr>
        <w:t>’</w:t>
      </w:r>
      <w:r w:rsidRPr="006D6DA8">
        <w:rPr>
          <w:rFonts w:ascii="Arial" w:hAnsi="Arial" w:cs="Arial"/>
          <w:sz w:val="20"/>
          <w:szCs w:val="20"/>
        </w:rPr>
        <w:t>.</w:t>
      </w:r>
      <w:r>
        <w:rPr>
          <w:rFonts w:ascii="Arial" w:hAnsi="Arial" w:cs="Arial"/>
          <w:sz w:val="20"/>
          <w:szCs w:val="20"/>
        </w:rPr>
        <w:t>”</w:t>
      </w:r>
    </w:p>
    <w:p w14:paraId="427EC6E2" w14:textId="77777777" w:rsidR="00DE0813" w:rsidRDefault="00DE0813" w:rsidP="00AA6352">
      <w:pPr>
        <w:spacing w:before="80"/>
        <w:ind w:left="567" w:right="567"/>
        <w:jc w:val="both"/>
        <w:rPr>
          <w:rFonts w:ascii="Arial" w:hAnsi="Arial" w:cs="Arial"/>
          <w:sz w:val="20"/>
          <w:szCs w:val="20"/>
        </w:rPr>
      </w:pPr>
      <w:r>
        <w:rPr>
          <w:rFonts w:ascii="Arial" w:hAnsi="Arial" w:cs="Arial"/>
          <w:sz w:val="20"/>
          <w:szCs w:val="20"/>
        </w:rPr>
        <w:t>[31] “</w:t>
      </w:r>
      <w:r w:rsidRPr="00DE0813">
        <w:rPr>
          <w:rFonts w:ascii="Arial" w:hAnsi="Arial" w:cs="Arial"/>
          <w:sz w:val="20"/>
          <w:szCs w:val="20"/>
        </w:rPr>
        <w:t xml:space="preserve">In the manner in which the application for the permanent stay appears to have been conducted, the husband did not deign to prove the unreasonableness of the choice made by the wife. His case for the existence of </w:t>
      </w:r>
      <w:r w:rsidRPr="00DE0813">
        <w:rPr>
          <w:rFonts w:ascii="Arial" w:hAnsi="Arial" w:cs="Arial"/>
          <w:i/>
          <w:sz w:val="20"/>
          <w:szCs w:val="20"/>
        </w:rPr>
        <w:t xml:space="preserve">Anshun </w:t>
      </w:r>
      <w:r w:rsidRPr="00DE0813">
        <w:rPr>
          <w:rFonts w:ascii="Arial" w:hAnsi="Arial" w:cs="Arial"/>
          <w:sz w:val="20"/>
          <w:szCs w:val="20"/>
        </w:rPr>
        <w:t xml:space="preserve">estoppel seems to have been put on the basis that the fact that the wife </w:t>
      </w:r>
      <w:r w:rsidRPr="00DE0813">
        <w:rPr>
          <w:rFonts w:ascii="Arial" w:hAnsi="Arial" w:cs="Arial"/>
          <w:i/>
          <w:sz w:val="20"/>
          <w:szCs w:val="20"/>
        </w:rPr>
        <w:t>could</w:t>
      </w:r>
      <w:r w:rsidRPr="00DE0813">
        <w:rPr>
          <w:rFonts w:ascii="Arial" w:hAnsi="Arial" w:cs="Arial"/>
          <w:sz w:val="20"/>
          <w:szCs w:val="20"/>
        </w:rPr>
        <w:t xml:space="preserve"> have asserted a right in the Dubai proceedings meant that she </w:t>
      </w:r>
      <w:r w:rsidRPr="00DE0813">
        <w:rPr>
          <w:rFonts w:ascii="Arial" w:hAnsi="Arial" w:cs="Arial"/>
          <w:i/>
          <w:sz w:val="20"/>
          <w:szCs w:val="20"/>
        </w:rPr>
        <w:t>should</w:t>
      </w:r>
      <w:r w:rsidRPr="00DE0813">
        <w:rPr>
          <w:rFonts w:ascii="Arial" w:hAnsi="Arial" w:cs="Arial"/>
          <w:sz w:val="20"/>
          <w:szCs w:val="20"/>
        </w:rPr>
        <w:t xml:space="preserve"> have asserted that right in the Dubai proceedings in the sense that it was unreasonable for her not to have done so. That approach to </w:t>
      </w:r>
      <w:r w:rsidRPr="00DE0813">
        <w:rPr>
          <w:rFonts w:ascii="Arial" w:hAnsi="Arial" w:cs="Arial"/>
          <w:i/>
          <w:sz w:val="20"/>
          <w:szCs w:val="20"/>
        </w:rPr>
        <w:t xml:space="preserve">Anshun </w:t>
      </w:r>
      <w:r w:rsidRPr="00DE0813">
        <w:rPr>
          <w:rFonts w:ascii="Arial" w:hAnsi="Arial" w:cs="Arial"/>
          <w:sz w:val="20"/>
          <w:szCs w:val="20"/>
        </w:rPr>
        <w:t xml:space="preserve">estoppel has rightly been said to involve ‘fundamental error’: </w:t>
      </w:r>
      <w:r w:rsidRPr="00DE0813">
        <w:rPr>
          <w:rFonts w:ascii="Arial" w:hAnsi="Arial" w:cs="Arial"/>
          <w:i/>
          <w:sz w:val="20"/>
          <w:szCs w:val="20"/>
        </w:rPr>
        <w:t>Champerslife Pty Ltd v Manojlovski</w:t>
      </w:r>
      <w:r w:rsidRPr="00DE0813">
        <w:rPr>
          <w:rFonts w:ascii="Arial" w:hAnsi="Arial" w:cs="Arial"/>
          <w:sz w:val="20"/>
          <w:szCs w:val="20"/>
        </w:rPr>
        <w:t xml:space="preserve"> (2010) 75 NSWLR 245 at 247 [4</w:t>
      </w:r>
      <w:proofErr w:type="gramStart"/>
      <w:r w:rsidRPr="00DE0813">
        <w:rPr>
          <w:rFonts w:ascii="Arial" w:hAnsi="Arial" w:cs="Arial"/>
          <w:sz w:val="20"/>
          <w:szCs w:val="20"/>
        </w:rPr>
        <w:t>]..</w:t>
      </w:r>
      <w:proofErr w:type="gramEnd"/>
      <w:r w:rsidRPr="00DE0813">
        <w:rPr>
          <w:rFonts w:ascii="Arial" w:hAnsi="Arial" w:cs="Arial"/>
          <w:sz w:val="20"/>
          <w:szCs w:val="20"/>
        </w:rPr>
        <w:t xml:space="preserve"> As was pointed out in </w:t>
      </w:r>
      <w:r w:rsidRPr="00DE0813">
        <w:rPr>
          <w:rFonts w:ascii="Arial" w:hAnsi="Arial" w:cs="Arial"/>
          <w:i/>
          <w:sz w:val="20"/>
          <w:szCs w:val="20"/>
        </w:rPr>
        <w:t>Port of Melbourne Authority v Anshun Pty Ltd</w:t>
      </w:r>
      <w:r w:rsidRPr="00DE0813">
        <w:rPr>
          <w:rFonts w:ascii="Arial" w:hAnsi="Arial" w:cs="Arial"/>
          <w:sz w:val="20"/>
          <w:szCs w:val="20"/>
        </w:rPr>
        <w:t xml:space="preserve">, </w:t>
      </w:r>
      <w:r>
        <w:rPr>
          <w:rFonts w:ascii="Arial" w:hAnsi="Arial" w:cs="Arial"/>
          <w:sz w:val="20"/>
          <w:szCs w:val="20"/>
        </w:rPr>
        <w:t>‘</w:t>
      </w:r>
      <w:r w:rsidRPr="00DE0813">
        <w:rPr>
          <w:rFonts w:ascii="Arial" w:hAnsi="Arial" w:cs="Arial"/>
          <w:sz w:val="20"/>
          <w:szCs w:val="20"/>
        </w:rPr>
        <w:t>there are a variety of circumstances ... why a party may justifiably refrain from litigating an issue in one proceeding yet wish to litigate the issue in other proceedings eg expense, importance of the particular issue, motives extraneous to the actual litigation, to mention but a few’ (1981) 147 CLR 589 at 603</w:t>
      </w:r>
      <w:r>
        <w:rPr>
          <w:rFonts w:ascii="Arial" w:hAnsi="Arial" w:cs="Arial"/>
          <w:sz w:val="20"/>
          <w:szCs w:val="20"/>
        </w:rPr>
        <w:t>.</w:t>
      </w:r>
    </w:p>
    <w:p w14:paraId="14A093F7" w14:textId="77777777" w:rsidR="00DE0813" w:rsidRPr="00DE0813" w:rsidRDefault="00DE0813" w:rsidP="00AA6352">
      <w:pPr>
        <w:spacing w:before="80"/>
        <w:ind w:left="567" w:right="567"/>
        <w:jc w:val="both"/>
        <w:rPr>
          <w:rFonts w:ascii="Arial" w:hAnsi="Arial" w:cs="Arial"/>
          <w:sz w:val="20"/>
          <w:szCs w:val="20"/>
        </w:rPr>
      </w:pPr>
      <w:r>
        <w:rPr>
          <w:rFonts w:ascii="Arial" w:hAnsi="Arial" w:cs="Arial"/>
          <w:sz w:val="20"/>
          <w:szCs w:val="20"/>
        </w:rPr>
        <w:t xml:space="preserve">[32] </w:t>
      </w:r>
      <w:r w:rsidRPr="00DE0813">
        <w:rPr>
          <w:rFonts w:ascii="Arial" w:hAnsi="Arial" w:cs="Arial"/>
          <w:sz w:val="20"/>
          <w:szCs w:val="20"/>
        </w:rPr>
        <w:t xml:space="preserve">But the problems with the husband's reliance on estoppel are not confined to his failure to engage with the unreasonableness element of </w:t>
      </w:r>
      <w:r w:rsidRPr="00DE0813">
        <w:rPr>
          <w:rFonts w:ascii="Arial" w:hAnsi="Arial" w:cs="Arial"/>
          <w:i/>
          <w:sz w:val="20"/>
          <w:szCs w:val="20"/>
        </w:rPr>
        <w:t xml:space="preserve">Anshun </w:t>
      </w:r>
      <w:r w:rsidRPr="00DE0813">
        <w:rPr>
          <w:rFonts w:ascii="Arial" w:hAnsi="Arial" w:cs="Arial"/>
          <w:sz w:val="20"/>
          <w:szCs w:val="20"/>
        </w:rPr>
        <w:t>estoppel. His more fundamental problem lies in his failure to establish the requisite correspondence between the rights asserted by the wife in the property settlement proceedings and the spousal maintenance proceedings and any right the existence or non-existence of which was or might have been both asserted in the Dubai proceedings and finally determined by the Dubai Court. Absent such a correspondence of rights, neither form of estoppel can have any operation.</w:t>
      </w:r>
      <w:r>
        <w:rPr>
          <w:rFonts w:ascii="Arial" w:hAnsi="Arial" w:cs="Arial"/>
          <w:sz w:val="20"/>
          <w:szCs w:val="20"/>
        </w:rPr>
        <w:t>”</w:t>
      </w:r>
    </w:p>
    <w:p w14:paraId="6F591643" w14:textId="77777777" w:rsidR="00DE0813" w:rsidRDefault="00DE0813" w:rsidP="00BB4BAE">
      <w:pPr>
        <w:jc w:val="both"/>
        <w:rPr>
          <w:rFonts w:ascii="Arial" w:hAnsi="Arial" w:cs="Arial"/>
          <w:sz w:val="20"/>
          <w:szCs w:val="20"/>
        </w:rPr>
      </w:pPr>
    </w:p>
    <w:p w14:paraId="37A52BC0" w14:textId="1096E644" w:rsidR="0079474D" w:rsidRDefault="0079474D" w:rsidP="00BB4BAE">
      <w:pPr>
        <w:jc w:val="both"/>
        <w:rPr>
          <w:rFonts w:ascii="Arial" w:hAnsi="Arial" w:cs="Arial"/>
          <w:sz w:val="20"/>
          <w:szCs w:val="20"/>
        </w:rPr>
      </w:pPr>
      <w:r>
        <w:rPr>
          <w:rFonts w:ascii="Arial" w:hAnsi="Arial" w:cs="Arial"/>
          <w:sz w:val="20"/>
          <w:szCs w:val="20"/>
        </w:rPr>
        <w:t xml:space="preserve">See also </w:t>
      </w:r>
      <w:proofErr w:type="spellStart"/>
      <w:r w:rsidRPr="0079474D">
        <w:rPr>
          <w:rFonts w:ascii="Arial" w:hAnsi="Arial" w:cs="Arial"/>
          <w:i/>
          <w:iCs/>
          <w:sz w:val="20"/>
          <w:szCs w:val="20"/>
        </w:rPr>
        <w:t>Shorland</w:t>
      </w:r>
      <w:proofErr w:type="spellEnd"/>
      <w:r w:rsidRPr="0079474D">
        <w:rPr>
          <w:rFonts w:ascii="Arial" w:hAnsi="Arial" w:cs="Arial"/>
          <w:i/>
          <w:iCs/>
          <w:sz w:val="20"/>
          <w:szCs w:val="20"/>
        </w:rPr>
        <w:t xml:space="preserve"> Fisheries Pty Ltd &amp; Ors v State of Victoria</w:t>
      </w:r>
      <w:r w:rsidRPr="0079474D">
        <w:rPr>
          <w:rFonts w:ascii="Arial" w:hAnsi="Arial" w:cs="Arial"/>
          <w:sz w:val="20"/>
          <w:szCs w:val="20"/>
        </w:rPr>
        <w:t xml:space="preserve"> [2026] VSC 29</w:t>
      </w:r>
      <w:r>
        <w:rPr>
          <w:rFonts w:ascii="Arial" w:hAnsi="Arial" w:cs="Arial"/>
          <w:sz w:val="20"/>
          <w:szCs w:val="20"/>
        </w:rPr>
        <w:t xml:space="preserve"> at [</w:t>
      </w:r>
      <w:r w:rsidR="00A66D8D">
        <w:rPr>
          <w:rFonts w:ascii="Arial" w:hAnsi="Arial" w:cs="Arial"/>
          <w:sz w:val="20"/>
          <w:szCs w:val="20"/>
        </w:rPr>
        <w:t>122</w:t>
      </w:r>
      <w:r>
        <w:rPr>
          <w:rFonts w:ascii="Arial" w:hAnsi="Arial" w:cs="Arial"/>
          <w:sz w:val="20"/>
          <w:szCs w:val="20"/>
        </w:rPr>
        <w:t>]-[</w:t>
      </w:r>
      <w:r w:rsidR="00A66D8D">
        <w:rPr>
          <w:rFonts w:ascii="Arial" w:hAnsi="Arial" w:cs="Arial"/>
          <w:sz w:val="20"/>
          <w:szCs w:val="20"/>
        </w:rPr>
        <w:t>149</w:t>
      </w:r>
      <w:r w:rsidRPr="007A5CB1">
        <w:rPr>
          <w:rFonts w:ascii="Arial" w:hAnsi="Arial" w:cs="Arial"/>
          <w:sz w:val="20"/>
          <w:szCs w:val="20"/>
        </w:rPr>
        <w:t>]</w:t>
      </w:r>
      <w:r w:rsidR="007A5CB1" w:rsidRPr="007A5CB1">
        <w:rPr>
          <w:rFonts w:ascii="Arial" w:hAnsi="Arial" w:cs="Arial"/>
          <w:sz w:val="20"/>
          <w:szCs w:val="20"/>
        </w:rPr>
        <w:t>;</w:t>
      </w:r>
      <w:r w:rsidR="007A5CB1" w:rsidRPr="007A5CB1">
        <w:rPr>
          <w:rFonts w:ascii="Arial" w:hAnsi="Arial" w:cs="Arial"/>
          <w:i/>
          <w:iCs/>
          <w:sz w:val="20"/>
          <w:szCs w:val="20"/>
        </w:rPr>
        <w:t xml:space="preserve"> Lao Holdings Pty Ltd v Aviation 3030 Pty Ltd (in </w:t>
      </w:r>
      <w:proofErr w:type="spellStart"/>
      <w:r w:rsidR="007A5CB1" w:rsidRPr="007A5CB1">
        <w:rPr>
          <w:rFonts w:ascii="Arial" w:hAnsi="Arial" w:cs="Arial"/>
          <w:i/>
          <w:iCs/>
          <w:sz w:val="20"/>
          <w:szCs w:val="20"/>
        </w:rPr>
        <w:t>liq</w:t>
      </w:r>
      <w:proofErr w:type="spellEnd"/>
      <w:r w:rsidR="007A5CB1" w:rsidRPr="007A5CB1">
        <w:rPr>
          <w:rFonts w:ascii="Arial" w:hAnsi="Arial" w:cs="Arial"/>
          <w:i/>
          <w:iCs/>
          <w:sz w:val="20"/>
          <w:szCs w:val="20"/>
        </w:rPr>
        <w:t>)</w:t>
      </w:r>
      <w:r w:rsidR="007A5CB1" w:rsidRPr="007A5CB1">
        <w:rPr>
          <w:rFonts w:ascii="Arial" w:hAnsi="Arial" w:cs="Arial"/>
          <w:sz w:val="20"/>
          <w:szCs w:val="20"/>
        </w:rPr>
        <w:t xml:space="preserve"> [2026] VSCA 148</w:t>
      </w:r>
      <w:r w:rsidR="007A5CB1">
        <w:rPr>
          <w:rFonts w:ascii="Arial" w:hAnsi="Arial" w:cs="Arial"/>
          <w:sz w:val="20"/>
          <w:szCs w:val="20"/>
        </w:rPr>
        <w:t xml:space="preserve"> at [77]-[89].</w:t>
      </w:r>
    </w:p>
    <w:p w14:paraId="0ECE7F1B" w14:textId="77777777" w:rsidR="0079474D" w:rsidRDefault="0079474D" w:rsidP="00BB4BAE">
      <w:pPr>
        <w:jc w:val="both"/>
        <w:rPr>
          <w:rFonts w:ascii="Arial" w:hAnsi="Arial" w:cs="Arial"/>
          <w:sz w:val="20"/>
          <w:szCs w:val="20"/>
        </w:rPr>
      </w:pPr>
    </w:p>
    <w:p w14:paraId="47B7F6A2" w14:textId="74042889" w:rsidR="00614A56" w:rsidRPr="006B7D00" w:rsidRDefault="00614A56" w:rsidP="00BB4BAE">
      <w:pPr>
        <w:jc w:val="both"/>
        <w:rPr>
          <w:rFonts w:ascii="Arial" w:hAnsi="Arial" w:cs="Arial"/>
          <w:color w:val="000000"/>
          <w:sz w:val="20"/>
        </w:rPr>
      </w:pPr>
      <w:r w:rsidRPr="006B7D00">
        <w:rPr>
          <w:rFonts w:ascii="Arial" w:hAnsi="Arial" w:cs="Arial"/>
          <w:color w:val="000000"/>
          <w:sz w:val="20"/>
        </w:rPr>
        <w:t xml:space="preserve">In </w:t>
      </w:r>
      <w:r w:rsidRPr="006B7D00">
        <w:rPr>
          <w:rFonts w:ascii="Arial" w:hAnsi="Arial" w:cs="Arial"/>
          <w:i/>
          <w:color w:val="000000"/>
          <w:sz w:val="20"/>
        </w:rPr>
        <w:t>DOHS v Ms B &amp; Mr G</w:t>
      </w:r>
      <w:r w:rsidRPr="006B7D00">
        <w:rPr>
          <w:rFonts w:ascii="Arial" w:hAnsi="Arial" w:cs="Arial"/>
          <w:color w:val="000000"/>
          <w:sz w:val="20"/>
        </w:rPr>
        <w:t xml:space="preserve"> [2008] VChC 1, a case involving 4 </w:t>
      </w:r>
      <w:r w:rsidR="007F7FD5" w:rsidRPr="006B7D00">
        <w:rPr>
          <w:rFonts w:ascii="Arial" w:hAnsi="Arial" w:cs="Arial"/>
          <w:color w:val="000000"/>
          <w:sz w:val="20"/>
        </w:rPr>
        <w:t xml:space="preserve">boys – </w:t>
      </w:r>
      <w:r w:rsidR="006B7D00">
        <w:rPr>
          <w:rFonts w:ascii="Arial" w:hAnsi="Arial" w:cs="Arial"/>
          <w:color w:val="000000"/>
          <w:sz w:val="20"/>
        </w:rPr>
        <w:t xml:space="preserve">KB </w:t>
      </w:r>
      <w:r w:rsidR="007F7FD5" w:rsidRPr="006B7D00">
        <w:rPr>
          <w:rFonts w:ascii="Arial" w:hAnsi="Arial" w:cs="Arial"/>
          <w:color w:val="000000"/>
          <w:sz w:val="20"/>
        </w:rPr>
        <w:t>aged 7</w:t>
      </w:r>
      <w:r w:rsidR="006B7D00">
        <w:rPr>
          <w:rFonts w:ascii="Arial" w:hAnsi="Arial" w:cs="Arial"/>
          <w:color w:val="000000"/>
          <w:sz w:val="20"/>
        </w:rPr>
        <w:t>, TG aged</w:t>
      </w:r>
      <w:r w:rsidR="007F7FD5" w:rsidRPr="006B7D00">
        <w:rPr>
          <w:rFonts w:ascii="Arial" w:hAnsi="Arial" w:cs="Arial"/>
          <w:color w:val="000000"/>
          <w:sz w:val="20"/>
        </w:rPr>
        <w:t xml:space="preserve"> 3 and twins </w:t>
      </w:r>
      <w:r w:rsidR="006B7D00">
        <w:rPr>
          <w:rFonts w:ascii="Arial" w:hAnsi="Arial" w:cs="Arial"/>
          <w:color w:val="000000"/>
          <w:sz w:val="20"/>
        </w:rPr>
        <w:t xml:space="preserve">WB &amp; JB </w:t>
      </w:r>
      <w:r w:rsidR="007F7FD5" w:rsidRPr="006B7D00">
        <w:rPr>
          <w:rFonts w:ascii="Arial" w:hAnsi="Arial" w:cs="Arial"/>
          <w:color w:val="000000"/>
          <w:sz w:val="20"/>
        </w:rPr>
        <w:t>aged 10 months – the live applications included applications to extend custody to Secretary orders for the older boys and protection applications for the twins who had been out of parental care since birth.</w:t>
      </w:r>
      <w:r w:rsidR="006B7D00" w:rsidRPr="006B7D00">
        <w:rPr>
          <w:rFonts w:ascii="Arial" w:hAnsi="Arial" w:cs="Arial"/>
          <w:color w:val="000000"/>
          <w:sz w:val="20"/>
        </w:rPr>
        <w:t xml:space="preserve">  At the commencement of the contested case, counsel for D</w:t>
      </w:r>
      <w:r w:rsidR="006B7D00">
        <w:rPr>
          <w:rFonts w:ascii="Arial" w:hAnsi="Arial" w:cs="Arial"/>
          <w:color w:val="000000"/>
          <w:sz w:val="20"/>
        </w:rPr>
        <w:t>O</w:t>
      </w:r>
      <w:r w:rsidR="006B7D00" w:rsidRPr="006B7D00">
        <w:rPr>
          <w:rFonts w:ascii="Arial" w:hAnsi="Arial" w:cs="Arial"/>
          <w:color w:val="000000"/>
          <w:sz w:val="20"/>
        </w:rPr>
        <w:t xml:space="preserve">HS </w:t>
      </w:r>
      <w:r w:rsidR="006B7D00" w:rsidRPr="006B7D00">
        <w:rPr>
          <w:rFonts w:ascii="Arial" w:hAnsi="Arial" w:cs="Arial"/>
          <w:sz w:val="20"/>
          <w:szCs w:val="20"/>
        </w:rPr>
        <w:t xml:space="preserve">made an application, said to have been </w:t>
      </w:r>
      <w:r w:rsidR="006B7D00" w:rsidRPr="006B7D00">
        <w:rPr>
          <w:rFonts w:ascii="Arial" w:hAnsi="Arial" w:cs="Arial"/>
          <w:sz w:val="20"/>
          <w:szCs w:val="20"/>
        </w:rPr>
        <w:lastRenderedPageBreak/>
        <w:t xml:space="preserve">based on the principle of </w:t>
      </w:r>
      <w:r w:rsidR="006B7D00" w:rsidRPr="00854172">
        <w:rPr>
          <w:rFonts w:ascii="Arial" w:hAnsi="Arial" w:cs="Arial"/>
          <w:b/>
          <w:bCs/>
          <w:sz w:val="20"/>
          <w:szCs w:val="20"/>
        </w:rPr>
        <w:t>issue estoppel</w:t>
      </w:r>
      <w:r w:rsidR="006B7D00" w:rsidRPr="006B7D00">
        <w:rPr>
          <w:rFonts w:ascii="Arial" w:hAnsi="Arial" w:cs="Arial"/>
          <w:sz w:val="20"/>
          <w:szCs w:val="20"/>
        </w:rPr>
        <w:t>, for an order that the Secretary be permitted to tender absolutely 19 protection and disposition reports without making the authors of the reports available for cross-examination. Th</w:t>
      </w:r>
      <w:r w:rsidR="00854172">
        <w:rPr>
          <w:rFonts w:ascii="Arial" w:hAnsi="Arial" w:cs="Arial"/>
          <w:sz w:val="20"/>
          <w:szCs w:val="20"/>
        </w:rPr>
        <w:t>re</w:t>
      </w:r>
      <w:r w:rsidR="006B7D00" w:rsidRPr="006B7D00">
        <w:rPr>
          <w:rFonts w:ascii="Arial" w:hAnsi="Arial" w:cs="Arial"/>
          <w:sz w:val="20"/>
          <w:szCs w:val="20"/>
        </w:rPr>
        <w:t xml:space="preserve">e </w:t>
      </w:r>
      <w:r w:rsidR="00854172">
        <w:rPr>
          <w:rFonts w:ascii="Arial" w:hAnsi="Arial" w:cs="Arial"/>
          <w:sz w:val="20"/>
          <w:szCs w:val="20"/>
        </w:rPr>
        <w:t xml:space="preserve">of the </w:t>
      </w:r>
      <w:r w:rsidR="006B7D00" w:rsidRPr="006B7D00">
        <w:rPr>
          <w:rFonts w:ascii="Arial" w:hAnsi="Arial" w:cs="Arial"/>
          <w:sz w:val="20"/>
          <w:szCs w:val="20"/>
        </w:rPr>
        <w:t xml:space="preserve">reports in question were prepared by DOHS for earlier proceedings in 2005 &amp; 2006 involving KB &amp; TG and </w:t>
      </w:r>
      <w:r w:rsidR="00854172">
        <w:rPr>
          <w:rFonts w:ascii="Arial" w:hAnsi="Arial" w:cs="Arial"/>
          <w:sz w:val="20"/>
          <w:szCs w:val="20"/>
        </w:rPr>
        <w:t xml:space="preserve">15 were prepared </w:t>
      </w:r>
      <w:r w:rsidR="006B7D00" w:rsidRPr="006B7D00">
        <w:rPr>
          <w:rFonts w:ascii="Arial" w:hAnsi="Arial" w:cs="Arial"/>
          <w:sz w:val="20"/>
          <w:szCs w:val="20"/>
        </w:rPr>
        <w:t xml:space="preserve">in 1998-2000 </w:t>
      </w:r>
      <w:r w:rsidR="00854172">
        <w:rPr>
          <w:rFonts w:ascii="Arial" w:hAnsi="Arial" w:cs="Arial"/>
          <w:sz w:val="20"/>
          <w:szCs w:val="20"/>
        </w:rPr>
        <w:t xml:space="preserve">for cases </w:t>
      </w:r>
      <w:r w:rsidR="006B7D00" w:rsidRPr="006B7D00">
        <w:rPr>
          <w:rFonts w:ascii="Arial" w:hAnsi="Arial" w:cs="Arial"/>
          <w:sz w:val="20"/>
          <w:szCs w:val="20"/>
        </w:rPr>
        <w:t xml:space="preserve">involving </w:t>
      </w:r>
      <w:r w:rsidR="006B7D00">
        <w:rPr>
          <w:rFonts w:ascii="Arial" w:hAnsi="Arial" w:cs="Arial"/>
          <w:sz w:val="20"/>
          <w:szCs w:val="20"/>
        </w:rPr>
        <w:t xml:space="preserve">half-siblings </w:t>
      </w:r>
      <w:r w:rsidR="006B7D00" w:rsidRPr="006B7D00">
        <w:rPr>
          <w:rFonts w:ascii="Arial" w:hAnsi="Arial" w:cs="Arial"/>
          <w:sz w:val="20"/>
          <w:szCs w:val="20"/>
        </w:rPr>
        <w:t>A</w:t>
      </w:r>
      <w:r w:rsidR="006B7D00">
        <w:rPr>
          <w:rFonts w:ascii="Arial" w:hAnsi="Arial" w:cs="Arial"/>
          <w:sz w:val="20"/>
          <w:szCs w:val="20"/>
        </w:rPr>
        <w:t>, B, C</w:t>
      </w:r>
      <w:r w:rsidR="006B7D00" w:rsidRPr="006B7D00">
        <w:rPr>
          <w:rFonts w:ascii="Arial" w:hAnsi="Arial" w:cs="Arial"/>
          <w:sz w:val="20"/>
          <w:szCs w:val="20"/>
        </w:rPr>
        <w:t xml:space="preserve"> &amp; D. The application was opposed by counsel for the mother, father &amp; KB. </w:t>
      </w:r>
      <w:r w:rsidR="00690E1C">
        <w:rPr>
          <w:rFonts w:ascii="Arial" w:hAnsi="Arial" w:cs="Arial"/>
          <w:sz w:val="20"/>
          <w:szCs w:val="20"/>
        </w:rPr>
        <w:t>Magistrate Power</w:t>
      </w:r>
      <w:r w:rsidR="00A66D8D">
        <w:rPr>
          <w:rFonts w:ascii="Arial" w:hAnsi="Arial" w:cs="Arial"/>
          <w:sz w:val="20"/>
          <w:szCs w:val="20"/>
        </w:rPr>
        <w:t xml:space="preserve"> </w:t>
      </w:r>
      <w:r w:rsidR="006B7D00" w:rsidRPr="006B7D00">
        <w:rPr>
          <w:rFonts w:ascii="Arial" w:hAnsi="Arial" w:cs="Arial"/>
          <w:sz w:val="20"/>
          <w:szCs w:val="20"/>
        </w:rPr>
        <w:t xml:space="preserve">refused the application, </w:t>
      </w:r>
      <w:r w:rsidR="004D3CB9">
        <w:rPr>
          <w:rFonts w:ascii="Arial" w:hAnsi="Arial" w:cs="Arial"/>
          <w:sz w:val="20"/>
          <w:szCs w:val="20"/>
        </w:rPr>
        <w:t>draw</w:t>
      </w:r>
      <w:r w:rsidR="00854172">
        <w:rPr>
          <w:rFonts w:ascii="Arial" w:hAnsi="Arial" w:cs="Arial"/>
          <w:sz w:val="20"/>
          <w:szCs w:val="20"/>
        </w:rPr>
        <w:t xml:space="preserve">ing </w:t>
      </w:r>
      <w:r w:rsidR="00D22DF5">
        <w:rPr>
          <w:rFonts w:ascii="Arial" w:hAnsi="Arial" w:cs="Arial"/>
          <w:sz w:val="20"/>
          <w:szCs w:val="20"/>
        </w:rPr>
        <w:t xml:space="preserve">at pp.24-25 </w:t>
      </w:r>
      <w:r w:rsidR="004D3CB9">
        <w:rPr>
          <w:rFonts w:ascii="Arial" w:hAnsi="Arial" w:cs="Arial"/>
          <w:sz w:val="20"/>
          <w:szCs w:val="20"/>
        </w:rPr>
        <w:t>a</w:t>
      </w:r>
      <w:r w:rsidR="006B7D00">
        <w:rPr>
          <w:rFonts w:ascii="Arial" w:hAnsi="Arial" w:cs="Arial"/>
          <w:sz w:val="20"/>
          <w:szCs w:val="20"/>
        </w:rPr>
        <w:t xml:space="preserve"> clear distinction between </w:t>
      </w:r>
      <w:r w:rsidR="00854172" w:rsidRPr="00854172">
        <w:rPr>
          <w:rFonts w:ascii="Arial" w:hAnsi="Arial" w:cs="Arial"/>
          <w:b/>
          <w:bCs/>
          <w:sz w:val="20"/>
          <w:szCs w:val="20"/>
        </w:rPr>
        <w:t>issue estoppel</w:t>
      </w:r>
      <w:r w:rsidR="00854172">
        <w:rPr>
          <w:rFonts w:ascii="Arial" w:hAnsi="Arial" w:cs="Arial"/>
          <w:sz w:val="20"/>
          <w:szCs w:val="20"/>
        </w:rPr>
        <w:t xml:space="preserve"> and </w:t>
      </w:r>
      <w:r w:rsidR="00854172" w:rsidRPr="00854172">
        <w:rPr>
          <w:rFonts w:ascii="Arial" w:hAnsi="Arial" w:cs="Arial"/>
          <w:b/>
          <w:bCs/>
          <w:sz w:val="20"/>
          <w:szCs w:val="20"/>
        </w:rPr>
        <w:t>procedural fairness</w:t>
      </w:r>
      <w:r w:rsidR="00854172">
        <w:rPr>
          <w:rFonts w:ascii="Arial" w:hAnsi="Arial" w:cs="Arial"/>
          <w:sz w:val="20"/>
          <w:szCs w:val="20"/>
        </w:rPr>
        <w:t xml:space="preserve"> and </w:t>
      </w:r>
      <w:r w:rsidR="006B7D00" w:rsidRPr="006B7D00">
        <w:rPr>
          <w:rFonts w:ascii="Arial" w:hAnsi="Arial" w:cs="Arial"/>
          <w:sz w:val="20"/>
          <w:szCs w:val="20"/>
        </w:rPr>
        <w:t xml:space="preserve">giving the following </w:t>
      </w:r>
      <w:r w:rsidR="00690E1C" w:rsidRPr="00690E1C">
        <w:rPr>
          <w:rFonts w:ascii="Arial" w:hAnsi="Arial" w:cs="Arial"/>
          <w:i/>
          <w:iCs/>
          <w:sz w:val="20"/>
          <w:szCs w:val="20"/>
        </w:rPr>
        <w:t>extempore</w:t>
      </w:r>
      <w:r w:rsidR="00690E1C">
        <w:rPr>
          <w:rFonts w:ascii="Arial" w:hAnsi="Arial" w:cs="Arial"/>
          <w:sz w:val="20"/>
          <w:szCs w:val="20"/>
        </w:rPr>
        <w:t xml:space="preserve"> </w:t>
      </w:r>
      <w:r w:rsidR="006B7D00" w:rsidRPr="006B7D00">
        <w:rPr>
          <w:rFonts w:ascii="Arial" w:hAnsi="Arial" w:cs="Arial"/>
          <w:sz w:val="20"/>
          <w:szCs w:val="20"/>
        </w:rPr>
        <w:t>reasons</w:t>
      </w:r>
      <w:r w:rsidR="00854172">
        <w:rPr>
          <w:rFonts w:ascii="Arial" w:hAnsi="Arial" w:cs="Arial"/>
          <w:sz w:val="20"/>
          <w:szCs w:val="20"/>
        </w:rPr>
        <w:t xml:space="preserve"> (emphasis added)</w:t>
      </w:r>
      <w:r w:rsidR="006B7D00" w:rsidRPr="006B7D00">
        <w:rPr>
          <w:rFonts w:ascii="Arial" w:hAnsi="Arial" w:cs="Arial"/>
          <w:sz w:val="20"/>
          <w:szCs w:val="20"/>
        </w:rPr>
        <w:t>:</w:t>
      </w:r>
    </w:p>
    <w:p w14:paraId="777D8D13" w14:textId="70B43B19" w:rsidR="007F7FD5" w:rsidRPr="00854172" w:rsidRDefault="00854172" w:rsidP="00854172">
      <w:pPr>
        <w:spacing w:before="80"/>
        <w:ind w:left="567" w:right="567"/>
        <w:jc w:val="both"/>
        <w:rPr>
          <w:rFonts w:ascii="Arial" w:hAnsi="Arial" w:cs="Arial"/>
          <w:sz w:val="20"/>
          <w:szCs w:val="20"/>
        </w:rPr>
      </w:pPr>
      <w:r>
        <w:rPr>
          <w:rFonts w:ascii="Arial" w:hAnsi="Arial" w:cs="Arial"/>
          <w:sz w:val="20"/>
          <w:szCs w:val="20"/>
        </w:rPr>
        <w:t>“</w:t>
      </w:r>
      <w:r w:rsidR="007F7FD5" w:rsidRPr="00854172">
        <w:rPr>
          <w:rFonts w:ascii="Arial" w:hAnsi="Arial" w:cs="Arial"/>
          <w:bCs/>
          <w:sz w:val="20"/>
          <w:szCs w:val="20"/>
        </w:rPr>
        <w:t xml:space="preserve">This case is limited to the question of the appropriate level of access between the children and their parents. In order to determine that, the Court will probably – albeit not necessarily </w:t>
      </w:r>
      <w:r>
        <w:rPr>
          <w:rFonts w:ascii="Arial" w:hAnsi="Arial" w:cs="Arial"/>
          <w:bCs/>
          <w:sz w:val="20"/>
          <w:szCs w:val="20"/>
        </w:rPr>
        <w:t>–</w:t>
      </w:r>
      <w:r w:rsidR="007F7FD5" w:rsidRPr="00854172">
        <w:rPr>
          <w:rFonts w:ascii="Arial" w:hAnsi="Arial" w:cs="Arial"/>
          <w:bCs/>
          <w:sz w:val="20"/>
          <w:szCs w:val="20"/>
        </w:rPr>
        <w:t xml:space="preserve"> have</w:t>
      </w:r>
      <w:r>
        <w:rPr>
          <w:rFonts w:ascii="Arial" w:hAnsi="Arial" w:cs="Arial"/>
          <w:bCs/>
          <w:sz w:val="20"/>
          <w:szCs w:val="20"/>
        </w:rPr>
        <w:t xml:space="preserve"> </w:t>
      </w:r>
      <w:r w:rsidR="007F7FD5" w:rsidRPr="00854172">
        <w:rPr>
          <w:rFonts w:ascii="Arial" w:hAnsi="Arial" w:cs="Arial"/>
          <w:bCs/>
          <w:sz w:val="20"/>
          <w:szCs w:val="20"/>
        </w:rPr>
        <w:t>to consider whether or not a permanent care caseplan for the children is appropriate or alternatively whether planning should be engaged in for the children’s return to their parents. Hence, some of the history of the parents and their children will no doubt be relevant to the issue of the appropriate level of access.</w:t>
      </w:r>
    </w:p>
    <w:p w14:paraId="269A0525" w14:textId="77777777"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The Department says that the 19 reports which it lists in paragraph 15 of counsel’s written submissions can be admitted by the Court without a requirement that the authors of the reports be made available for cross-examination and that the appropriate way for the Court to determine the issues contained in the previous reports is to allow counsel to make submissions on the weight that should be given to each of the reports.</w:t>
      </w:r>
    </w:p>
    <w:p w14:paraId="7DC41E00" w14:textId="62650692"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 xml:space="preserve">The Department relies on the doctrine of issue estoppel to support that submission. In my view the Department’s submission is not correct. The governing principles of issue estoppel were stated by the High Court in </w:t>
      </w:r>
      <w:r w:rsidRPr="00854172">
        <w:rPr>
          <w:rFonts w:ascii="Arial" w:hAnsi="Arial" w:cs="Arial"/>
          <w:bCs/>
          <w:i/>
          <w:sz w:val="20"/>
          <w:szCs w:val="20"/>
        </w:rPr>
        <w:t>Blair v Curran</w:t>
      </w:r>
      <w:r w:rsidRPr="00854172">
        <w:rPr>
          <w:rFonts w:ascii="Arial" w:hAnsi="Arial" w:cs="Arial"/>
          <w:bCs/>
          <w:sz w:val="16"/>
          <w:szCs w:val="16"/>
        </w:rPr>
        <w:t xml:space="preserve"> </w:t>
      </w:r>
      <w:r w:rsidR="00854172" w:rsidRPr="00854172">
        <w:rPr>
          <w:rFonts w:ascii="Arial" w:hAnsi="Arial" w:cs="Arial"/>
          <w:sz w:val="20"/>
          <w:szCs w:val="20"/>
        </w:rPr>
        <w:t>(1939) 62 CLR 464</w:t>
      </w:r>
      <w:r w:rsidR="00854172">
        <w:rPr>
          <w:rFonts w:ascii="Arial" w:hAnsi="Arial" w:cs="Arial"/>
          <w:sz w:val="20"/>
          <w:szCs w:val="20"/>
        </w:rPr>
        <w:t xml:space="preserve">, </w:t>
      </w:r>
      <w:r w:rsidRPr="00854172">
        <w:rPr>
          <w:rFonts w:ascii="Arial" w:hAnsi="Arial" w:cs="Arial"/>
          <w:bCs/>
          <w:sz w:val="20"/>
          <w:szCs w:val="20"/>
        </w:rPr>
        <w:t>a case that was involved with the determination of a will although that is no reason why the principles are not equally applicable in proceedings in this Court. The leading judgment to which I have been referred is that of Dixon</w:t>
      </w:r>
      <w:r w:rsidR="00A66D8D">
        <w:rPr>
          <w:rFonts w:ascii="Arial" w:hAnsi="Arial" w:cs="Arial"/>
          <w:bCs/>
          <w:sz w:val="20"/>
          <w:szCs w:val="20"/>
        </w:rPr>
        <w:t xml:space="preserve"> </w:t>
      </w:r>
      <w:r w:rsidRPr="00854172">
        <w:rPr>
          <w:rFonts w:ascii="Arial" w:hAnsi="Arial" w:cs="Arial"/>
          <w:bCs/>
          <w:sz w:val="20"/>
          <w:szCs w:val="20"/>
        </w:rPr>
        <w:t>J who said</w:t>
      </w:r>
      <w:r w:rsidR="00854172">
        <w:rPr>
          <w:rFonts w:ascii="Arial" w:hAnsi="Arial" w:cs="Arial"/>
          <w:bCs/>
          <w:sz w:val="20"/>
          <w:szCs w:val="20"/>
        </w:rPr>
        <w:t xml:space="preserve"> at pp.531-532</w:t>
      </w:r>
      <w:r w:rsidRPr="00854172">
        <w:rPr>
          <w:rFonts w:ascii="Arial" w:hAnsi="Arial" w:cs="Arial"/>
          <w:bCs/>
          <w:sz w:val="20"/>
          <w:szCs w:val="20"/>
        </w:rPr>
        <w:t>:</w:t>
      </w:r>
    </w:p>
    <w:p w14:paraId="67BFE3BA" w14:textId="58B9F145" w:rsidR="007F7FD5" w:rsidRPr="00B105D1" w:rsidRDefault="007F7FD5" w:rsidP="00944C68">
      <w:pPr>
        <w:spacing w:before="80"/>
        <w:ind w:left="1134" w:right="1134"/>
        <w:jc w:val="both"/>
        <w:rPr>
          <w:rFonts w:ascii="Arial" w:hAnsi="Arial" w:cs="Arial"/>
          <w:bCs/>
          <w:sz w:val="18"/>
          <w:szCs w:val="18"/>
        </w:rPr>
      </w:pPr>
      <w:r w:rsidRPr="00B105D1">
        <w:rPr>
          <w:rFonts w:ascii="Arial" w:hAnsi="Arial" w:cs="Arial"/>
          <w:bCs/>
          <w:sz w:val="18"/>
          <w:szCs w:val="18"/>
        </w:rPr>
        <w:t xml:space="preserve">‘A judicial determination directly involving an issue of fact or of law disposes once and for all of the issue, so that it cannot afterwards be raised between the same parties or their privies.  </w:t>
      </w:r>
      <w:r w:rsidRPr="00B105D1">
        <w:rPr>
          <w:rFonts w:ascii="Arial" w:hAnsi="Arial" w:cs="Arial"/>
          <w:b/>
          <w:sz w:val="18"/>
          <w:szCs w:val="18"/>
          <w:u w:val="single"/>
        </w:rPr>
        <w:t>The estoppel covers only those matters which the prior judgment, decree or order necessarily established as the legal foundation or justification of its conclusion…Nothing but what is legally indispensable to the conclusion is thus finally closed or precluded</w:t>
      </w:r>
      <w:r w:rsidRPr="00B105D1">
        <w:rPr>
          <w:rFonts w:ascii="Arial" w:hAnsi="Arial" w:cs="Arial"/>
          <w:bCs/>
          <w:sz w:val="18"/>
          <w:szCs w:val="18"/>
        </w:rPr>
        <w:t>. In matters of fact the issue estoppel is confined to those ultimate facts which form the ingredients in the cause of action, that is, the title to the right established.’</w:t>
      </w:r>
    </w:p>
    <w:p w14:paraId="47904EFB" w14:textId="3DB7DE31" w:rsidR="007F7FD5" w:rsidRPr="00854172" w:rsidRDefault="00854172" w:rsidP="00BA55C5">
      <w:pPr>
        <w:spacing w:before="120"/>
        <w:ind w:left="567" w:right="567"/>
        <w:jc w:val="both"/>
        <w:rPr>
          <w:rFonts w:ascii="Arial" w:hAnsi="Arial" w:cs="Arial"/>
          <w:bCs/>
          <w:sz w:val="20"/>
          <w:szCs w:val="20"/>
        </w:rPr>
      </w:pPr>
      <w:r>
        <w:rPr>
          <w:rFonts w:ascii="Arial" w:hAnsi="Arial" w:cs="Arial"/>
          <w:bCs/>
          <w:sz w:val="20"/>
          <w:szCs w:val="20"/>
        </w:rPr>
        <w:t>…</w:t>
      </w:r>
      <w:r w:rsidR="007F7FD5" w:rsidRPr="00854172">
        <w:rPr>
          <w:rFonts w:ascii="Arial" w:hAnsi="Arial" w:cs="Arial"/>
          <w:bCs/>
          <w:sz w:val="20"/>
          <w:szCs w:val="20"/>
        </w:rPr>
        <w:t>It appears that the Court has never previously been asked to determine the issues between these parties in a contested hearing. I don’t have the files in relation to child C, child D, child B &amp; child A nor do I have the earliest parts of the files relating to KB &amp; TG. I</w:t>
      </w:r>
      <w:r>
        <w:rPr>
          <w:rFonts w:ascii="Arial" w:hAnsi="Arial" w:cs="Arial"/>
          <w:bCs/>
          <w:sz w:val="20"/>
          <w:szCs w:val="20"/>
        </w:rPr>
        <w:t> </w:t>
      </w:r>
      <w:r w:rsidR="007F7FD5" w:rsidRPr="00854172">
        <w:rPr>
          <w:rFonts w:ascii="Arial" w:hAnsi="Arial" w:cs="Arial"/>
          <w:bCs/>
          <w:sz w:val="20"/>
          <w:szCs w:val="20"/>
        </w:rPr>
        <w:t xml:space="preserve">don’t know whether the parties consented to the orders or whether the orders were uncontested but nothing much turns on the difference. </w:t>
      </w:r>
      <w:r w:rsidR="007F7FD5" w:rsidRPr="00854172">
        <w:rPr>
          <w:rFonts w:ascii="Arial" w:hAnsi="Arial" w:cs="Arial"/>
          <w:b/>
          <w:sz w:val="20"/>
          <w:szCs w:val="20"/>
        </w:rPr>
        <w:t>What the principle of issue estoppel means as applied to the circumstances of this case is that no party would be entitled to lead evidence in an attempt to show that the respective children were not in need of protection on the dates this Court has previously found that they were. Nor would any party be entitled to lead evidence to demonstrate that the protection orders made by the Court in relation to the other 4 children ought not to have been made at the time at which they were made.</w:t>
      </w:r>
      <w:r w:rsidR="007F7FD5" w:rsidRPr="00854172">
        <w:rPr>
          <w:rFonts w:ascii="Arial" w:hAnsi="Arial" w:cs="Arial"/>
          <w:bCs/>
          <w:sz w:val="20"/>
          <w:szCs w:val="20"/>
        </w:rPr>
        <w:t xml:space="preserve"> Counsel for the parents &amp; KB do not seek to do that. They simply say that it would deny them procedural fairness not to be able to cross-examine the writers of reports on factual matters contained in the reports insofar as any of those matters are relevant to the current contest. Counsel for KB raised an interesting point that the Department, by seeking to tender these reports, was trying to raise the same issues again with the same parties. On reflection all I think the Department is trying to do is to provide to the Court the material which it says justified the making of the orders in the first place in order to provide a factual foundation for the orders it is now seeking.</w:t>
      </w:r>
    </w:p>
    <w:p w14:paraId="0632C90E" w14:textId="2183558B"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 xml:space="preserve">I have sat in this Court for about 13 years over a 15 year period dealing with thousands of cases involving Departmental reports. Sometimes I make a decision without accepting all of the material that is contained in the Department’s reports. Sometimes it appears wrong or irrelevant. Sometimes it is obviously wrong, as in the case of the most recent report dated 01/04/2008 which refers to the applications before the Court as including breach of custody to Secretary orders and applications for guardianship orders, neither of which are known to the law. Sometimes not all of the contents of reports are accepted by the Court because objectively they seem improbable but there is frequently still enough material which is accepted to enable the Court to make the order that the Department is seeking or that the parties have agreed should be made. Sometimes – quite often in contested hearings – I have made findings of fact that certain material in the Department’s reports is </w:t>
      </w:r>
      <w:r w:rsidRPr="00854172">
        <w:rPr>
          <w:rFonts w:ascii="Arial" w:hAnsi="Arial" w:cs="Arial"/>
          <w:bCs/>
          <w:sz w:val="20"/>
          <w:szCs w:val="20"/>
        </w:rPr>
        <w:lastRenderedPageBreak/>
        <w:t xml:space="preserve">simply wrong. </w:t>
      </w:r>
      <w:r w:rsidR="00944C68">
        <w:rPr>
          <w:rFonts w:ascii="Arial" w:hAnsi="Arial" w:cs="Arial"/>
          <w:bCs/>
          <w:sz w:val="20"/>
          <w:szCs w:val="20"/>
        </w:rPr>
        <w:t>[There were a number of examples which ultimately came to light in which material in several of the 19 DOHS’ reports was either misleading or wrong or both.] I</w:t>
      </w:r>
      <w:r w:rsidRPr="00854172">
        <w:rPr>
          <w:rFonts w:ascii="Arial" w:hAnsi="Arial" w:cs="Arial"/>
          <w:bCs/>
          <w:sz w:val="20"/>
          <w:szCs w:val="20"/>
        </w:rPr>
        <w:t>t is not uncommon for Departmental reports to be written to achieve an outcome and for material which does not support that outcome to be omitted from the reports. I could give dozens of examples of that over the past 5 years. The Department’s submission, if it is adopted, would require me to accept as ‘gospel truth’ and as the last word everything which is contained in the 19</w:t>
      </w:r>
      <w:r w:rsidR="00A66D8D">
        <w:rPr>
          <w:rFonts w:ascii="Arial" w:hAnsi="Arial" w:cs="Arial"/>
          <w:bCs/>
          <w:sz w:val="20"/>
          <w:szCs w:val="20"/>
        </w:rPr>
        <w:t xml:space="preserve"> </w:t>
      </w:r>
      <w:r w:rsidRPr="00854172">
        <w:rPr>
          <w:rFonts w:ascii="Arial" w:hAnsi="Arial" w:cs="Arial"/>
          <w:bCs/>
          <w:sz w:val="20"/>
          <w:szCs w:val="20"/>
        </w:rPr>
        <w:t xml:space="preserve">reports which it seeks to tender without calling the respective writers.  But I don’t know what factual material in those reports each of the judicial officers who made the orders has relied on </w:t>
      </w:r>
      <w:r w:rsidR="00944C68">
        <w:rPr>
          <w:rFonts w:ascii="Arial" w:hAnsi="Arial" w:cs="Arial"/>
          <w:bCs/>
          <w:sz w:val="20"/>
          <w:szCs w:val="20"/>
        </w:rPr>
        <w:t>–</w:t>
      </w:r>
      <w:r w:rsidRPr="00854172">
        <w:rPr>
          <w:rFonts w:ascii="Arial" w:hAnsi="Arial" w:cs="Arial"/>
          <w:bCs/>
          <w:sz w:val="20"/>
          <w:szCs w:val="20"/>
        </w:rPr>
        <w:t xml:space="preserve"> or not relied on </w:t>
      </w:r>
      <w:r w:rsidR="00944C68">
        <w:rPr>
          <w:rFonts w:ascii="Arial" w:hAnsi="Arial" w:cs="Arial"/>
          <w:bCs/>
          <w:sz w:val="20"/>
          <w:szCs w:val="20"/>
        </w:rPr>
        <w:t>–</w:t>
      </w:r>
      <w:r w:rsidRPr="00854172">
        <w:rPr>
          <w:rFonts w:ascii="Arial" w:hAnsi="Arial" w:cs="Arial"/>
          <w:bCs/>
          <w:sz w:val="20"/>
          <w:szCs w:val="20"/>
        </w:rPr>
        <w:t xml:space="preserve"> in</w:t>
      </w:r>
      <w:r w:rsidR="00944C68">
        <w:rPr>
          <w:rFonts w:ascii="Arial" w:hAnsi="Arial" w:cs="Arial"/>
          <w:bCs/>
          <w:sz w:val="20"/>
          <w:szCs w:val="20"/>
        </w:rPr>
        <w:t xml:space="preserve"> </w:t>
      </w:r>
      <w:r w:rsidRPr="00854172">
        <w:rPr>
          <w:rFonts w:ascii="Arial" w:hAnsi="Arial" w:cs="Arial"/>
          <w:bCs/>
          <w:sz w:val="20"/>
          <w:szCs w:val="20"/>
        </w:rPr>
        <w:t xml:space="preserve">making the orders. </w:t>
      </w:r>
      <w:r w:rsidRPr="00854172">
        <w:rPr>
          <w:rFonts w:ascii="Arial" w:hAnsi="Arial" w:cs="Arial"/>
          <w:b/>
          <w:sz w:val="20"/>
          <w:szCs w:val="20"/>
        </w:rPr>
        <w:t xml:space="preserve">Hence the relevance to this case of the limitation put by Dixon J in </w:t>
      </w:r>
      <w:r w:rsidRPr="00854172">
        <w:rPr>
          <w:rFonts w:ascii="Arial" w:hAnsi="Arial" w:cs="Arial"/>
          <w:b/>
          <w:i/>
          <w:sz w:val="20"/>
          <w:szCs w:val="20"/>
        </w:rPr>
        <w:t>Blair v Curran</w:t>
      </w:r>
      <w:r w:rsidRPr="00854172">
        <w:rPr>
          <w:rFonts w:ascii="Arial" w:hAnsi="Arial" w:cs="Arial"/>
          <w:b/>
          <w:sz w:val="20"/>
          <w:szCs w:val="20"/>
        </w:rPr>
        <w:t>: ‘The estoppel covers only those matters which the prior judgment, decree or order necessarily established as the legal foundation or justification of its conclusion…Nothing but what is legally indispensable to the conclusion is thus finally closed or precluded.’</w:t>
      </w:r>
    </w:p>
    <w:p w14:paraId="6557D7B4" w14:textId="46757EDA"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In this case what is closed or concluded is any suggestion by any party that the findings or orders made by the Court on previous occasions were not appropriate orders and can be the subject of challenge in this hearing. I don’t understand that anyone is seeking to do that anyway but taking it to its logical conclusion DOHS’ submission is that everything contained in its reports must be regarded by the Court on any later occasion as being ‘gospel truth’</w:t>
      </w:r>
      <w:r w:rsidR="00690E1C">
        <w:rPr>
          <w:rFonts w:ascii="Arial" w:hAnsi="Arial" w:cs="Arial"/>
          <w:bCs/>
          <w:sz w:val="20"/>
          <w:szCs w:val="20"/>
        </w:rPr>
        <w:t>…</w:t>
      </w:r>
    </w:p>
    <w:p w14:paraId="75FB0860" w14:textId="2490445E" w:rsidR="007F7FD5"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DOHS needs seriously to consider whether it needs to adduce before this Court factual material dating back to 24/04/1998 when the orders made by the Court and the circumstances of each of the 4 children involved speak for themselves. In any event as in my view issue estoppel does not enable the reports to be tendered absolutely as evidence of the truth of the material contained in them, it would be a denial of natural justice for counsel for the parents &amp; KB not to be able to cross-examine the authors of those reports on any factual matters which are relevant to the current case.</w:t>
      </w:r>
      <w:r w:rsidR="00690E1C">
        <w:rPr>
          <w:rFonts w:ascii="Arial" w:hAnsi="Arial" w:cs="Arial"/>
          <w:bCs/>
          <w:sz w:val="20"/>
          <w:szCs w:val="20"/>
        </w:rPr>
        <w:t>”</w:t>
      </w:r>
    </w:p>
    <w:p w14:paraId="3A7D51F9" w14:textId="64C14BAB" w:rsidR="00944C68" w:rsidRPr="00854172" w:rsidRDefault="00944C68" w:rsidP="00BA55C5">
      <w:pPr>
        <w:spacing w:before="120"/>
        <w:jc w:val="both"/>
        <w:rPr>
          <w:rFonts w:ascii="Arial" w:hAnsi="Arial" w:cs="Arial"/>
          <w:bCs/>
          <w:sz w:val="20"/>
          <w:szCs w:val="20"/>
        </w:rPr>
      </w:pPr>
      <w:r w:rsidRPr="00944C68">
        <w:rPr>
          <w:rFonts w:ascii="Arial" w:hAnsi="Arial" w:cs="Arial"/>
          <w:bCs/>
          <w:sz w:val="20"/>
          <w:szCs w:val="20"/>
        </w:rPr>
        <w:t xml:space="preserve">Subsequently counsel for DOHS called former protective worker witness 4 to adopt documents D4 to D6 and senior protective worker witness 8 to adopt documents D10 to D17. It seemed to </w:t>
      </w:r>
      <w:r w:rsidR="00690E1C">
        <w:rPr>
          <w:rFonts w:ascii="Arial" w:hAnsi="Arial" w:cs="Arial"/>
          <w:bCs/>
          <w:sz w:val="20"/>
          <w:szCs w:val="20"/>
        </w:rPr>
        <w:t>Magistrate Power</w:t>
      </w:r>
      <w:r w:rsidRPr="00944C68">
        <w:rPr>
          <w:rFonts w:ascii="Arial" w:hAnsi="Arial" w:cs="Arial"/>
          <w:bCs/>
          <w:sz w:val="20"/>
          <w:szCs w:val="20"/>
        </w:rPr>
        <w:t xml:space="preserve"> that </w:t>
      </w:r>
      <w:r>
        <w:rPr>
          <w:rFonts w:ascii="Arial" w:hAnsi="Arial" w:cs="Arial"/>
          <w:bCs/>
          <w:sz w:val="20"/>
          <w:szCs w:val="20"/>
        </w:rPr>
        <w:t>–</w:t>
      </w:r>
      <w:r w:rsidRPr="00944C68">
        <w:rPr>
          <w:rFonts w:ascii="Arial" w:hAnsi="Arial" w:cs="Arial"/>
          <w:bCs/>
          <w:sz w:val="20"/>
          <w:szCs w:val="20"/>
        </w:rPr>
        <w:t xml:space="preserve"> at</w:t>
      </w:r>
      <w:r>
        <w:rPr>
          <w:rFonts w:ascii="Arial" w:hAnsi="Arial" w:cs="Arial"/>
          <w:bCs/>
          <w:sz w:val="20"/>
          <w:szCs w:val="20"/>
        </w:rPr>
        <w:t xml:space="preserve"> </w:t>
      </w:r>
      <w:r w:rsidRPr="00944C68">
        <w:rPr>
          <w:rFonts w:ascii="Arial" w:hAnsi="Arial" w:cs="Arial"/>
          <w:bCs/>
          <w:sz w:val="20"/>
          <w:szCs w:val="20"/>
        </w:rPr>
        <w:t xml:space="preserve">least partly as a consequence of very good cross-examination by counsel for the mother </w:t>
      </w:r>
      <w:r>
        <w:rPr>
          <w:rFonts w:ascii="Arial" w:hAnsi="Arial" w:cs="Arial"/>
          <w:bCs/>
          <w:sz w:val="20"/>
          <w:szCs w:val="20"/>
        </w:rPr>
        <w:t>–</w:t>
      </w:r>
      <w:r w:rsidRPr="00944C68">
        <w:rPr>
          <w:rFonts w:ascii="Arial" w:hAnsi="Arial" w:cs="Arial"/>
          <w:bCs/>
          <w:sz w:val="20"/>
          <w:szCs w:val="20"/>
        </w:rPr>
        <w:t xml:space="preserve"> their</w:t>
      </w:r>
      <w:r>
        <w:rPr>
          <w:rFonts w:ascii="Arial" w:hAnsi="Arial" w:cs="Arial"/>
          <w:bCs/>
          <w:sz w:val="20"/>
          <w:szCs w:val="20"/>
        </w:rPr>
        <w:t xml:space="preserve"> </w:t>
      </w:r>
      <w:r w:rsidRPr="00944C68">
        <w:rPr>
          <w:rFonts w:ascii="Arial" w:hAnsi="Arial" w:cs="Arial"/>
          <w:bCs/>
          <w:sz w:val="20"/>
          <w:szCs w:val="20"/>
        </w:rPr>
        <w:t xml:space="preserve">evidence was relatively favourable to the mother. This confirmed </w:t>
      </w:r>
      <w:r w:rsidR="00690E1C">
        <w:rPr>
          <w:rFonts w:ascii="Arial" w:hAnsi="Arial" w:cs="Arial"/>
          <w:bCs/>
          <w:sz w:val="20"/>
          <w:szCs w:val="20"/>
        </w:rPr>
        <w:t>his</w:t>
      </w:r>
      <w:r w:rsidRPr="00944C68">
        <w:rPr>
          <w:rFonts w:ascii="Arial" w:hAnsi="Arial" w:cs="Arial"/>
          <w:bCs/>
          <w:sz w:val="20"/>
          <w:szCs w:val="20"/>
        </w:rPr>
        <w:t xml:space="preserve"> view that it would have been quite unjust to the parents and to KB to allow admission of these reports without affording them procedural fairness in the form of an ability to cross-examine witnesses upon whose reports DOHS sought to rely.</w:t>
      </w:r>
    </w:p>
    <w:p w14:paraId="74BE841D" w14:textId="77777777" w:rsidR="00614A56" w:rsidRPr="00DE0813" w:rsidRDefault="00614A56" w:rsidP="00BB4BAE">
      <w:pPr>
        <w:jc w:val="both"/>
        <w:rPr>
          <w:rFonts w:ascii="Arial" w:hAnsi="Arial" w:cs="Arial"/>
          <w:sz w:val="20"/>
          <w:szCs w:val="20"/>
        </w:rPr>
      </w:pPr>
    </w:p>
    <w:p w14:paraId="4BDF3163" w14:textId="77777777" w:rsidR="00AA6352" w:rsidRDefault="00BB4BAE" w:rsidP="00AA6352">
      <w:pPr>
        <w:jc w:val="both"/>
        <w:rPr>
          <w:rFonts w:ascii="Arial" w:hAnsi="Arial" w:cs="Arial"/>
          <w:color w:val="000000"/>
          <w:sz w:val="20"/>
        </w:rPr>
      </w:pPr>
      <w:r>
        <w:rPr>
          <w:rFonts w:ascii="Arial" w:hAnsi="Arial" w:cs="Arial"/>
          <w:color w:val="000000"/>
          <w:sz w:val="20"/>
        </w:rPr>
        <w:t xml:space="preserve">In </w:t>
      </w:r>
      <w:r w:rsidRPr="00B22A6B">
        <w:rPr>
          <w:rFonts w:ascii="Arial" w:hAnsi="Arial" w:cs="Arial"/>
          <w:i/>
          <w:iCs/>
          <w:color w:val="000000"/>
          <w:sz w:val="20"/>
        </w:rPr>
        <w:t>DHHS v C1, C2 &amp; C3</w:t>
      </w:r>
      <w:r>
        <w:rPr>
          <w:rFonts w:ascii="Arial" w:hAnsi="Arial" w:cs="Arial"/>
          <w:color w:val="000000"/>
          <w:sz w:val="20"/>
        </w:rPr>
        <w:t xml:space="preserve"> [2020] VChC 7 </w:t>
      </w:r>
      <w:r w:rsidR="000F6855">
        <w:rPr>
          <w:rFonts w:ascii="Arial" w:hAnsi="Arial" w:cs="Arial"/>
          <w:color w:val="000000"/>
          <w:sz w:val="20"/>
        </w:rPr>
        <w:t>the Department</w:t>
      </w:r>
      <w:r>
        <w:rPr>
          <w:rFonts w:ascii="Arial" w:hAnsi="Arial" w:cs="Arial"/>
          <w:color w:val="000000"/>
          <w:sz w:val="20"/>
        </w:rPr>
        <w:t xml:space="preserve"> had filed protection applications </w:t>
      </w:r>
      <w:r w:rsidR="00AA6352">
        <w:rPr>
          <w:rFonts w:ascii="Arial" w:hAnsi="Arial" w:cs="Arial"/>
          <w:color w:val="000000"/>
          <w:sz w:val="20"/>
        </w:rPr>
        <w:t xml:space="preserve">pursuant to ss.162(1)(c), 162(1)(d) &amp; 162(1)(e) of the CYFA.  These were based on protective concerns related to disclosures made by C1 and C2 to police in December 2018 that their father F had, for some time, been subjecting them to unwanted sexual attention. These disclosures also prompted the police to file an application for an intervention order against F under the </w:t>
      </w:r>
      <w:r w:rsidR="00AA6352" w:rsidRPr="00721F68">
        <w:rPr>
          <w:rFonts w:ascii="Arial" w:hAnsi="Arial" w:cs="Arial"/>
          <w:i/>
          <w:iCs/>
          <w:color w:val="000000"/>
          <w:sz w:val="20"/>
        </w:rPr>
        <w:t>Family Violence Protection Act 2008</w:t>
      </w:r>
      <w:r w:rsidR="00AA6352">
        <w:rPr>
          <w:rFonts w:ascii="Arial" w:hAnsi="Arial" w:cs="Arial"/>
          <w:color w:val="000000"/>
          <w:sz w:val="20"/>
        </w:rPr>
        <w:t xml:space="preserve">.  After a contested hearing before Hubble M in October 2019 her Honour </w:t>
      </w:r>
      <w:r w:rsidR="00AA6352" w:rsidRPr="00721F68">
        <w:rPr>
          <w:rFonts w:ascii="Arial" w:hAnsi="Arial" w:cs="Arial"/>
          <w:sz w:val="20"/>
          <w:szCs w:val="20"/>
        </w:rPr>
        <w:t xml:space="preserve">found that it was more likely than not that </w:t>
      </w:r>
      <w:r w:rsidR="00AA6352">
        <w:rPr>
          <w:rFonts w:ascii="Arial" w:hAnsi="Arial" w:cs="Arial"/>
          <w:sz w:val="20"/>
          <w:szCs w:val="20"/>
        </w:rPr>
        <w:t>F</w:t>
      </w:r>
      <w:r w:rsidR="00AA6352" w:rsidRPr="00721F68">
        <w:rPr>
          <w:rFonts w:ascii="Arial" w:hAnsi="Arial" w:cs="Arial"/>
          <w:sz w:val="20"/>
          <w:szCs w:val="20"/>
        </w:rPr>
        <w:t xml:space="preserve"> did commit family violence against C1 and C2, and </w:t>
      </w:r>
      <w:r w:rsidR="006A5D56">
        <w:rPr>
          <w:rFonts w:ascii="Arial" w:hAnsi="Arial" w:cs="Arial"/>
          <w:sz w:val="20"/>
          <w:szCs w:val="20"/>
        </w:rPr>
        <w:t xml:space="preserve">accordingly ordered </w:t>
      </w:r>
      <w:r w:rsidR="00AA6352" w:rsidRPr="00721F68">
        <w:rPr>
          <w:rFonts w:ascii="Arial" w:hAnsi="Arial" w:cs="Arial"/>
          <w:sz w:val="20"/>
          <w:szCs w:val="20"/>
        </w:rPr>
        <w:t xml:space="preserve">that the girls should be protected by an </w:t>
      </w:r>
      <w:r w:rsidR="00AA6352">
        <w:rPr>
          <w:rFonts w:ascii="Arial" w:hAnsi="Arial" w:cs="Arial"/>
          <w:sz w:val="20"/>
          <w:szCs w:val="20"/>
        </w:rPr>
        <w:t>i</w:t>
      </w:r>
      <w:r w:rsidR="00AA6352" w:rsidRPr="00721F68">
        <w:rPr>
          <w:rFonts w:ascii="Arial" w:hAnsi="Arial" w:cs="Arial"/>
          <w:sz w:val="20"/>
          <w:szCs w:val="20"/>
        </w:rPr>
        <w:t xml:space="preserve">ntervention </w:t>
      </w:r>
      <w:r w:rsidR="00AA6352">
        <w:rPr>
          <w:rFonts w:ascii="Arial" w:hAnsi="Arial" w:cs="Arial"/>
          <w:sz w:val="20"/>
          <w:szCs w:val="20"/>
        </w:rPr>
        <w:t>o</w:t>
      </w:r>
      <w:r w:rsidR="00AA6352" w:rsidRPr="00721F68">
        <w:rPr>
          <w:rFonts w:ascii="Arial" w:hAnsi="Arial" w:cs="Arial"/>
          <w:sz w:val="20"/>
          <w:szCs w:val="20"/>
        </w:rPr>
        <w:t xml:space="preserve">rder until </w:t>
      </w:r>
      <w:r w:rsidR="00AA6352">
        <w:rPr>
          <w:rFonts w:ascii="Arial" w:hAnsi="Arial" w:cs="Arial"/>
          <w:sz w:val="20"/>
          <w:szCs w:val="20"/>
        </w:rPr>
        <w:t>07/11/2021.  This order</w:t>
      </w:r>
      <w:r w:rsidR="00AA6352" w:rsidRPr="00721F68">
        <w:rPr>
          <w:rFonts w:ascii="Arial" w:hAnsi="Arial" w:cs="Arial"/>
          <w:sz w:val="20"/>
          <w:szCs w:val="20"/>
        </w:rPr>
        <w:t xml:space="preserve"> co</w:t>
      </w:r>
      <w:r w:rsidR="00AA6352">
        <w:rPr>
          <w:rFonts w:ascii="Arial" w:hAnsi="Arial" w:cs="Arial"/>
          <w:sz w:val="20"/>
          <w:szCs w:val="20"/>
        </w:rPr>
        <w:t xml:space="preserve">ntained </w:t>
      </w:r>
      <w:r w:rsidR="00AA6352" w:rsidRPr="00721F68">
        <w:rPr>
          <w:rFonts w:ascii="Arial" w:hAnsi="Arial" w:cs="Arial"/>
          <w:sz w:val="20"/>
          <w:szCs w:val="20"/>
        </w:rPr>
        <w:t>two conditions:</w:t>
      </w:r>
    </w:p>
    <w:p w14:paraId="4C768FAF" w14:textId="77777777" w:rsidR="00AA6352" w:rsidRDefault="00AA6352">
      <w:pPr>
        <w:numPr>
          <w:ilvl w:val="0"/>
          <w:numId w:val="50"/>
        </w:numPr>
        <w:ind w:left="924" w:right="567" w:hanging="357"/>
        <w:jc w:val="both"/>
        <w:rPr>
          <w:rFonts w:ascii="Arial" w:hAnsi="Arial" w:cs="Arial"/>
          <w:sz w:val="20"/>
          <w:szCs w:val="20"/>
        </w:rPr>
      </w:pPr>
      <w:r>
        <w:rPr>
          <w:rFonts w:ascii="Arial" w:hAnsi="Arial" w:cs="Arial"/>
          <w:sz w:val="20"/>
          <w:szCs w:val="20"/>
        </w:rPr>
        <w:t>F must not commit family violence in relation to C1 &amp; C2.</w:t>
      </w:r>
    </w:p>
    <w:p w14:paraId="7B731BEA" w14:textId="77777777" w:rsidR="00AA6352" w:rsidRDefault="00AA6352">
      <w:pPr>
        <w:numPr>
          <w:ilvl w:val="0"/>
          <w:numId w:val="50"/>
        </w:numPr>
        <w:ind w:left="924" w:right="567" w:hanging="357"/>
        <w:jc w:val="both"/>
        <w:rPr>
          <w:rFonts w:ascii="Arial" w:hAnsi="Arial" w:cs="Arial"/>
          <w:sz w:val="20"/>
          <w:szCs w:val="20"/>
        </w:rPr>
      </w:pPr>
      <w:r>
        <w:rPr>
          <w:rFonts w:ascii="Arial" w:hAnsi="Arial" w:cs="Arial"/>
          <w:sz w:val="20"/>
          <w:szCs w:val="20"/>
        </w:rPr>
        <w:t>F must comply with any restrictions on contact with C1 &amp; C2 contained in a child protection order.</w:t>
      </w:r>
    </w:p>
    <w:p w14:paraId="0A02DD11" w14:textId="77777777" w:rsidR="00AA6352" w:rsidRDefault="00AA6352" w:rsidP="00BB4BAE">
      <w:pPr>
        <w:jc w:val="both"/>
        <w:rPr>
          <w:rFonts w:ascii="Arial" w:hAnsi="Arial" w:cs="Arial"/>
          <w:color w:val="000000"/>
          <w:sz w:val="20"/>
        </w:rPr>
      </w:pPr>
      <w:r>
        <w:rPr>
          <w:rFonts w:ascii="Arial" w:hAnsi="Arial" w:cs="Arial"/>
          <w:color w:val="000000"/>
          <w:sz w:val="20"/>
        </w:rPr>
        <w:t>Subsequently the contested hearing of the protection applications was listed before Hubble M.  At [5] her Honour held:</w:t>
      </w:r>
    </w:p>
    <w:p w14:paraId="2AE78ECC" w14:textId="77777777" w:rsidR="00AA6352" w:rsidRDefault="000D3DBE" w:rsidP="000D3DBE">
      <w:pPr>
        <w:spacing w:before="80"/>
        <w:ind w:left="567" w:right="567"/>
        <w:jc w:val="both"/>
        <w:rPr>
          <w:rFonts w:ascii="Arial" w:hAnsi="Arial" w:cs="Arial"/>
          <w:sz w:val="20"/>
          <w:szCs w:val="20"/>
        </w:rPr>
      </w:pPr>
      <w:r>
        <w:rPr>
          <w:rFonts w:ascii="Arial" w:hAnsi="Arial" w:cs="Arial"/>
          <w:sz w:val="20"/>
          <w:szCs w:val="20"/>
        </w:rPr>
        <w:t>“</w:t>
      </w:r>
      <w:r w:rsidRPr="000D3DBE">
        <w:rPr>
          <w:rFonts w:ascii="Arial" w:hAnsi="Arial" w:cs="Arial"/>
          <w:sz w:val="20"/>
          <w:szCs w:val="20"/>
        </w:rPr>
        <w:t>At the beginning of this hearing, I determined that the principle of issue estoppel precluded the court reconsidering the question of whether the allegations of sexual misconduct made by C1 and C2 against the father were proven on the balance of probabilities. Accordingly, this hearing proceeded on the basis that the factual matters which formed the basis of the Intervention Order contest were proven.</w:t>
      </w:r>
      <w:r>
        <w:rPr>
          <w:rFonts w:ascii="Arial" w:hAnsi="Arial" w:cs="Arial"/>
          <w:sz w:val="20"/>
          <w:szCs w:val="20"/>
        </w:rPr>
        <w:t>”</w:t>
      </w:r>
    </w:p>
    <w:p w14:paraId="105DF5BD" w14:textId="3ED5E4E2" w:rsidR="0088010F" w:rsidRDefault="0088010F" w:rsidP="00BB4BAE">
      <w:pPr>
        <w:rPr>
          <w:rFonts w:ascii="Arial" w:hAnsi="Arial" w:cs="Arial"/>
          <w:sz w:val="20"/>
        </w:rPr>
      </w:pPr>
    </w:p>
    <w:p w14:paraId="2EBA74F0" w14:textId="7B6B46CE" w:rsidR="00490AA3" w:rsidRPr="00490AA3" w:rsidRDefault="00490AA3" w:rsidP="00490AA3">
      <w:pPr>
        <w:jc w:val="both"/>
        <w:rPr>
          <w:rFonts w:ascii="Arial" w:hAnsi="Arial" w:cs="Arial"/>
          <w:sz w:val="20"/>
          <w:szCs w:val="20"/>
        </w:rPr>
      </w:pPr>
      <w:r w:rsidRPr="00490AA3">
        <w:rPr>
          <w:rFonts w:ascii="Arial" w:hAnsi="Arial" w:cs="Arial"/>
          <w:sz w:val="20"/>
          <w:szCs w:val="20"/>
        </w:rPr>
        <w:t xml:space="preserve">The case of </w:t>
      </w:r>
      <w:bookmarkStart w:id="281" w:name="_Hlk83883804"/>
      <w:r w:rsidRPr="00490AA3">
        <w:rPr>
          <w:rFonts w:ascii="Arial" w:hAnsi="Arial" w:cs="Arial"/>
          <w:i/>
          <w:iCs/>
          <w:sz w:val="20"/>
          <w:szCs w:val="20"/>
        </w:rPr>
        <w:t>SL v DFFH</w:t>
      </w:r>
      <w:r w:rsidRPr="00490AA3">
        <w:rPr>
          <w:rFonts w:ascii="Arial" w:hAnsi="Arial" w:cs="Arial"/>
          <w:sz w:val="20"/>
          <w:szCs w:val="20"/>
        </w:rPr>
        <w:t xml:space="preserve"> [2021] VSC 523 </w:t>
      </w:r>
      <w:bookmarkEnd w:id="281"/>
      <w:r w:rsidRPr="00490AA3">
        <w:rPr>
          <w:rFonts w:ascii="Arial" w:hAnsi="Arial" w:cs="Arial"/>
          <w:sz w:val="20"/>
          <w:szCs w:val="20"/>
        </w:rPr>
        <w:t>involved two siblings, A (born 11/08/2020) and J (born 12/06/2017).  On 01/08/2018 the Children’s Court [C</w:t>
      </w:r>
      <w:r w:rsidR="009D0ACC">
        <w:rPr>
          <w:rFonts w:ascii="Arial" w:hAnsi="Arial" w:cs="Arial"/>
          <w:sz w:val="20"/>
          <w:szCs w:val="20"/>
        </w:rPr>
        <w:t>h</w:t>
      </w:r>
      <w:r w:rsidRPr="00490AA3">
        <w:rPr>
          <w:rFonts w:ascii="Arial" w:hAnsi="Arial" w:cs="Arial"/>
          <w:sz w:val="20"/>
          <w:szCs w:val="20"/>
        </w:rPr>
        <w:t>CV] had found a protection application for J proved on the actual harm limb of s.162(1)(c) CYFA and the likelihood of harm limbs of ss.162(1)(e) &amp; 162(1)(f) and placed J on a care by Secretary order [CBSO].  The findings and order were uncontested by the mother. The applications currently before the C</w:t>
      </w:r>
      <w:r w:rsidR="009D0ACC">
        <w:rPr>
          <w:rFonts w:ascii="Arial" w:hAnsi="Arial" w:cs="Arial"/>
          <w:sz w:val="20"/>
          <w:szCs w:val="20"/>
        </w:rPr>
        <w:t>h</w:t>
      </w:r>
      <w:r w:rsidRPr="00490AA3">
        <w:rPr>
          <w:rFonts w:ascii="Arial" w:hAnsi="Arial" w:cs="Arial"/>
          <w:sz w:val="20"/>
          <w:szCs w:val="20"/>
        </w:rPr>
        <w:t>CV are a protection application by emergency care for A and an application for a long-term care order for J. The issue before the C</w:t>
      </w:r>
      <w:r w:rsidR="009D0ACC">
        <w:rPr>
          <w:rFonts w:ascii="Arial" w:hAnsi="Arial" w:cs="Arial"/>
          <w:sz w:val="20"/>
          <w:szCs w:val="20"/>
        </w:rPr>
        <w:t>h</w:t>
      </w:r>
      <w:r w:rsidRPr="00490AA3">
        <w:rPr>
          <w:rFonts w:ascii="Arial" w:hAnsi="Arial" w:cs="Arial"/>
          <w:sz w:val="20"/>
          <w:szCs w:val="20"/>
        </w:rPr>
        <w:t xml:space="preserve">CV which grounded the Order 56 applications </w:t>
      </w:r>
      <w:r w:rsidR="00D15EEE">
        <w:rPr>
          <w:rFonts w:ascii="Arial" w:hAnsi="Arial" w:cs="Arial"/>
          <w:sz w:val="20"/>
          <w:szCs w:val="20"/>
        </w:rPr>
        <w:t xml:space="preserve">to the Supreme Court </w:t>
      </w:r>
      <w:r w:rsidRPr="00490AA3">
        <w:rPr>
          <w:rFonts w:ascii="Arial" w:hAnsi="Arial" w:cs="Arial"/>
          <w:sz w:val="20"/>
          <w:szCs w:val="20"/>
        </w:rPr>
        <w:t xml:space="preserve">was whether – and if so to what extent – the mother was estopped in a contest involving the 2020 applications from challenging the findings and orders made by </w:t>
      </w:r>
      <w:r w:rsidRPr="00490AA3">
        <w:rPr>
          <w:rFonts w:ascii="Arial" w:hAnsi="Arial" w:cs="Arial"/>
          <w:sz w:val="20"/>
          <w:szCs w:val="20"/>
        </w:rPr>
        <w:lastRenderedPageBreak/>
        <w:t>the C</w:t>
      </w:r>
      <w:r w:rsidR="009D0ACC">
        <w:rPr>
          <w:rFonts w:ascii="Arial" w:hAnsi="Arial" w:cs="Arial"/>
          <w:sz w:val="20"/>
          <w:szCs w:val="20"/>
        </w:rPr>
        <w:t>h</w:t>
      </w:r>
      <w:r w:rsidRPr="00490AA3">
        <w:rPr>
          <w:rFonts w:ascii="Arial" w:hAnsi="Arial" w:cs="Arial"/>
          <w:sz w:val="20"/>
          <w:szCs w:val="20"/>
        </w:rPr>
        <w:t>CV in relation to J in 2018.</w:t>
      </w:r>
      <w:r w:rsidR="00BA55C5">
        <w:rPr>
          <w:rFonts w:ascii="Arial" w:hAnsi="Arial" w:cs="Arial"/>
          <w:sz w:val="20"/>
          <w:szCs w:val="20"/>
        </w:rPr>
        <w:t xml:space="preserve">  Overruling the magistrate’s determination</w:t>
      </w:r>
      <w:r w:rsidR="00D15EEE">
        <w:rPr>
          <w:rFonts w:ascii="Arial" w:hAnsi="Arial" w:cs="Arial"/>
          <w:sz w:val="20"/>
          <w:szCs w:val="20"/>
        </w:rPr>
        <w:t>,</w:t>
      </w:r>
      <w:r w:rsidR="00BA55C5">
        <w:rPr>
          <w:rFonts w:ascii="Arial" w:hAnsi="Arial" w:cs="Arial"/>
          <w:sz w:val="20"/>
          <w:szCs w:val="20"/>
        </w:rPr>
        <w:t xml:space="preserve"> O’Meara J made the following findings at [150]:</w:t>
      </w:r>
    </w:p>
    <w:p w14:paraId="368AF81A"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(a)</w:t>
      </w:r>
      <w:r w:rsidRPr="00BA55C5">
        <w:rPr>
          <w:rFonts w:ascii="Arial" w:hAnsi="Arial" w:cs="Arial"/>
          <w:sz w:val="20"/>
          <w:szCs w:val="20"/>
        </w:rPr>
        <w:tab/>
        <w:t>no estoppel arises in the 2020 application concerning child A;</w:t>
      </w:r>
    </w:p>
    <w:p w14:paraId="0C5CC049"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(b)</w:t>
      </w:r>
      <w:r w:rsidRPr="00BA55C5">
        <w:rPr>
          <w:rFonts w:ascii="Arial" w:hAnsi="Arial" w:cs="Arial"/>
          <w:sz w:val="20"/>
          <w:szCs w:val="20"/>
        </w:rPr>
        <w:tab/>
        <w:t>an estoppel arises in the 2020 application concerning child J but that does not extend beyond the finding that J had suffered ‘actual harm’;</w:t>
      </w:r>
    </w:p>
    <w:p w14:paraId="5D4964E5"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(c)</w:t>
      </w:r>
      <w:r w:rsidRPr="00BA55C5">
        <w:rPr>
          <w:rFonts w:ascii="Arial" w:hAnsi="Arial" w:cs="Arial"/>
          <w:sz w:val="20"/>
          <w:szCs w:val="20"/>
        </w:rPr>
        <w:tab/>
        <w:t>that estoppel does not prevent the mother from adducing evidence or calling witnesses in order to contest any proposition that particular injuries were suffered by child J or in respect of what might broadly be called the issue of ‘responsibility’ for harm of that type;</w:t>
      </w:r>
    </w:p>
    <w:p w14:paraId="63B07DC1"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(d)</w:t>
      </w:r>
      <w:r w:rsidRPr="00BA55C5">
        <w:rPr>
          <w:rFonts w:ascii="Arial" w:hAnsi="Arial" w:cs="Arial"/>
          <w:sz w:val="20"/>
          <w:szCs w:val="20"/>
        </w:rPr>
        <w:tab/>
        <w:t>the mother SL may not contend that the 2018 CBSO was wrongly made.</w:t>
      </w:r>
    </w:p>
    <w:p w14:paraId="44B4FF63" w14:textId="10B343E1" w:rsidR="00BA55C5" w:rsidRPr="00BA55C5" w:rsidRDefault="00BA55C5" w:rsidP="00201B53">
      <w:pPr>
        <w:tabs>
          <w:tab w:val="left" w:pos="454"/>
        </w:tabs>
        <w:spacing w:before="120"/>
        <w:ind w:left="454" w:hanging="454"/>
        <w:jc w:val="both"/>
        <w:rPr>
          <w:rFonts w:ascii="Arial" w:hAnsi="Arial" w:cs="Arial"/>
          <w:b/>
          <w:bCs/>
          <w:sz w:val="20"/>
          <w:szCs w:val="20"/>
        </w:rPr>
      </w:pPr>
      <w:r w:rsidRPr="00BA55C5">
        <w:rPr>
          <w:rFonts w:ascii="Arial" w:hAnsi="Arial" w:cs="Arial"/>
          <w:sz w:val="20"/>
          <w:szCs w:val="20"/>
        </w:rPr>
        <w:t>His Honour’s reasons for making these formal findings included the following</w:t>
      </w:r>
      <w:r w:rsidR="00E23DE2">
        <w:rPr>
          <w:rFonts w:ascii="Arial" w:hAnsi="Arial" w:cs="Arial"/>
          <w:sz w:val="20"/>
          <w:szCs w:val="20"/>
        </w:rPr>
        <w:t xml:space="preserve"> [emphasis added]</w:t>
      </w:r>
      <w:r w:rsidRPr="00BA55C5">
        <w:rPr>
          <w:rFonts w:ascii="Arial" w:hAnsi="Arial" w:cs="Arial"/>
          <w:sz w:val="20"/>
          <w:szCs w:val="20"/>
        </w:rPr>
        <w:t>:</w:t>
      </w:r>
    </w:p>
    <w:p w14:paraId="6EB65400" w14:textId="1967A99A" w:rsidR="00BA55C5" w:rsidRPr="00BA55C5" w:rsidRDefault="00BA55C5">
      <w:pPr>
        <w:pStyle w:val="ListParagraph"/>
        <w:numPr>
          <w:ilvl w:val="0"/>
          <w:numId w:val="76"/>
        </w:numPr>
        <w:spacing w:before="60"/>
        <w:ind w:left="567" w:right="567" w:hanging="357"/>
        <w:contextualSpacing/>
        <w:jc w:val="both"/>
        <w:rPr>
          <w:rFonts w:ascii="Arial" w:hAnsi="Arial" w:cs="Arial"/>
          <w:sz w:val="20"/>
        </w:rPr>
      </w:pPr>
      <w:r w:rsidRPr="00BA55C5">
        <w:rPr>
          <w:rFonts w:ascii="Arial" w:hAnsi="Arial" w:cs="Arial"/>
          <w:sz w:val="20"/>
          <w:szCs w:val="16"/>
        </w:rPr>
        <w:t>At [107]: “</w:t>
      </w:r>
      <w:r w:rsidRPr="00E23DE2">
        <w:rPr>
          <w:rFonts w:ascii="Arial" w:hAnsi="Arial" w:cs="Arial"/>
          <w:b/>
          <w:bCs/>
          <w:sz w:val="20"/>
          <w:szCs w:val="16"/>
        </w:rPr>
        <w:t>I cannot accept that the presence of s 10(1)</w:t>
      </w:r>
      <w:r w:rsidRPr="00BA55C5">
        <w:rPr>
          <w:rFonts w:ascii="Arial" w:hAnsi="Arial" w:cs="Arial"/>
          <w:sz w:val="20"/>
          <w:szCs w:val="16"/>
        </w:rPr>
        <w:t xml:space="preserve"> (or any other provisions of the Act referred to in the [mother’s] ground 1) sought to be interpreted via </w:t>
      </w:r>
      <w:r w:rsidRPr="00BA55C5">
        <w:rPr>
          <w:rFonts w:ascii="Arial" w:hAnsi="Arial" w:cs="Arial"/>
          <w:i/>
          <w:iCs/>
          <w:sz w:val="20"/>
          <w:szCs w:val="16"/>
        </w:rPr>
        <w:t>Schorel</w:t>
      </w:r>
      <w:r w:rsidRPr="00BA55C5">
        <w:rPr>
          <w:rFonts w:ascii="Arial" w:hAnsi="Arial" w:cs="Arial"/>
          <w:sz w:val="20"/>
          <w:szCs w:val="16"/>
        </w:rPr>
        <w:t xml:space="preserve"> [1990] Fam CA 58 and </w:t>
      </w:r>
      <w:r w:rsidRPr="00BA55C5">
        <w:rPr>
          <w:rFonts w:ascii="Arial" w:hAnsi="Arial" w:cs="Arial"/>
          <w:i/>
          <w:iCs/>
          <w:sz w:val="20"/>
          <w:szCs w:val="16"/>
        </w:rPr>
        <w:t>CDJ v VAJ</w:t>
      </w:r>
      <w:r w:rsidRPr="00BA55C5">
        <w:rPr>
          <w:rFonts w:ascii="Arial" w:hAnsi="Arial" w:cs="Arial"/>
          <w:sz w:val="20"/>
          <w:szCs w:val="16"/>
        </w:rPr>
        <w:t xml:space="preserve"> (1998) 187 CLR 172 </w:t>
      </w:r>
      <w:r w:rsidRPr="00E23DE2">
        <w:rPr>
          <w:rFonts w:ascii="Arial" w:hAnsi="Arial" w:cs="Arial"/>
          <w:b/>
          <w:bCs/>
          <w:sz w:val="20"/>
          <w:szCs w:val="16"/>
        </w:rPr>
        <w:t xml:space="preserve">is such as to displace the operation of the doctrines of </w:t>
      </w:r>
      <w:r w:rsidRPr="00E23DE2">
        <w:rPr>
          <w:rFonts w:ascii="Arial" w:hAnsi="Arial" w:cs="Arial"/>
          <w:b/>
          <w:bCs/>
          <w:i/>
          <w:iCs/>
          <w:sz w:val="20"/>
          <w:szCs w:val="16"/>
        </w:rPr>
        <w:t>res judicata</w:t>
      </w:r>
      <w:r w:rsidRPr="00E23DE2">
        <w:rPr>
          <w:rFonts w:ascii="Arial" w:hAnsi="Arial" w:cs="Arial"/>
          <w:b/>
          <w:bCs/>
          <w:sz w:val="20"/>
          <w:szCs w:val="16"/>
        </w:rPr>
        <w:t xml:space="preserve"> and issue estoppel within the scheme of the Act</w:t>
      </w:r>
      <w:r w:rsidRPr="00BA55C5">
        <w:rPr>
          <w:rFonts w:ascii="Arial" w:hAnsi="Arial" w:cs="Arial"/>
          <w:sz w:val="20"/>
          <w:szCs w:val="16"/>
        </w:rPr>
        <w:t xml:space="preserve"> that I have described.  In</w:t>
      </w:r>
      <w:r>
        <w:rPr>
          <w:rFonts w:ascii="Arial" w:hAnsi="Arial" w:cs="Arial"/>
          <w:sz w:val="20"/>
          <w:szCs w:val="16"/>
        </w:rPr>
        <w:t> </w:t>
      </w:r>
      <w:r w:rsidRPr="00BA55C5">
        <w:rPr>
          <w:rFonts w:ascii="Arial" w:hAnsi="Arial" w:cs="Arial"/>
          <w:sz w:val="20"/>
          <w:szCs w:val="16"/>
        </w:rPr>
        <w:t>my view, it is much more likely that such doctrines are implicit within the operation of that scheme.”</w:t>
      </w:r>
    </w:p>
    <w:p w14:paraId="63C17870" w14:textId="77777777" w:rsidR="00BA55C5" w:rsidRPr="00BA55C5" w:rsidRDefault="00BA55C5" w:rsidP="00BA55C5">
      <w:pPr>
        <w:spacing w:before="60"/>
        <w:ind w:left="567" w:right="567"/>
        <w:jc w:val="both"/>
        <w:rPr>
          <w:rFonts w:ascii="Arial" w:hAnsi="Arial" w:cs="Arial"/>
          <w:sz w:val="2"/>
          <w:szCs w:val="2"/>
        </w:rPr>
      </w:pPr>
    </w:p>
    <w:p w14:paraId="10364505" w14:textId="77777777" w:rsidR="00BA55C5" w:rsidRPr="00BA55C5" w:rsidRDefault="00BA55C5">
      <w:pPr>
        <w:pStyle w:val="ListParagraph"/>
        <w:numPr>
          <w:ilvl w:val="0"/>
          <w:numId w:val="76"/>
        </w:numPr>
        <w:spacing w:before="60"/>
        <w:ind w:left="567" w:right="567"/>
        <w:contextualSpacing/>
        <w:jc w:val="both"/>
        <w:rPr>
          <w:rFonts w:ascii="Arial" w:hAnsi="Arial" w:cs="Arial"/>
          <w:sz w:val="20"/>
          <w:szCs w:val="16"/>
        </w:rPr>
      </w:pPr>
      <w:r w:rsidRPr="00BA55C5">
        <w:rPr>
          <w:rFonts w:ascii="Arial" w:hAnsi="Arial" w:cs="Arial"/>
          <w:sz w:val="20"/>
          <w:szCs w:val="16"/>
        </w:rPr>
        <w:t>At [113]: In the context of the elements and principles relating to the doctrine of issue estoppel, “</w:t>
      </w:r>
      <w:r w:rsidRPr="00E23DE2">
        <w:rPr>
          <w:rFonts w:ascii="Arial" w:hAnsi="Arial" w:cs="Arial"/>
          <w:b/>
          <w:bCs/>
          <w:sz w:val="20"/>
          <w:szCs w:val="16"/>
        </w:rPr>
        <w:t>it may be accepted that the earlier determination of the Children’s Court was final in the necessary sense</w:t>
      </w:r>
      <w:r w:rsidRPr="00BA55C5">
        <w:rPr>
          <w:rFonts w:ascii="Arial" w:hAnsi="Arial" w:cs="Arial"/>
          <w:sz w:val="20"/>
          <w:szCs w:val="16"/>
        </w:rPr>
        <w:t>, and neither party contended to the contrary.”</w:t>
      </w:r>
    </w:p>
    <w:p w14:paraId="0D028C9D" w14:textId="77777777" w:rsidR="00BA55C5" w:rsidRPr="00BA55C5" w:rsidRDefault="00BA55C5" w:rsidP="00BA55C5">
      <w:pPr>
        <w:spacing w:before="60"/>
        <w:ind w:left="567" w:right="567"/>
        <w:jc w:val="both"/>
        <w:rPr>
          <w:rFonts w:ascii="Arial" w:hAnsi="Arial" w:cs="Arial"/>
          <w:sz w:val="2"/>
          <w:szCs w:val="2"/>
        </w:rPr>
      </w:pPr>
    </w:p>
    <w:p w14:paraId="35D91490" w14:textId="77777777" w:rsidR="00BA55C5" w:rsidRPr="00BA55C5" w:rsidRDefault="00BA55C5">
      <w:pPr>
        <w:pStyle w:val="ListParagraph"/>
        <w:numPr>
          <w:ilvl w:val="0"/>
          <w:numId w:val="76"/>
        </w:numPr>
        <w:spacing w:before="60"/>
        <w:ind w:left="567" w:right="567" w:hanging="357"/>
        <w:contextualSpacing/>
        <w:jc w:val="both"/>
        <w:rPr>
          <w:rFonts w:ascii="Arial" w:hAnsi="Arial" w:cs="Arial"/>
          <w:sz w:val="20"/>
          <w:szCs w:val="16"/>
        </w:rPr>
      </w:pPr>
      <w:r w:rsidRPr="00BA55C5">
        <w:rPr>
          <w:rFonts w:ascii="Arial" w:hAnsi="Arial" w:cs="Arial"/>
          <w:sz w:val="20"/>
          <w:szCs w:val="16"/>
        </w:rPr>
        <w:t>At [120]: “…[it] must therefore be accepted that the Children’s Court did accept that child J had suffered ‘actual harm’, and the [mother’s] submission that no specific finding was made must be rejected.  However, the [DFFH] submission to the effect that the Children’s Court must be taken to have accepted some particular view of the underlying evidence in the Court book must also be rejected.”</w:t>
      </w:r>
    </w:p>
    <w:p w14:paraId="63F6B49F" w14:textId="77777777" w:rsidR="00BA55C5" w:rsidRPr="00BA55C5" w:rsidRDefault="00BA55C5" w:rsidP="00BA55C5">
      <w:pPr>
        <w:spacing w:before="60"/>
        <w:ind w:left="567" w:right="567"/>
        <w:jc w:val="both"/>
        <w:rPr>
          <w:rFonts w:ascii="Arial" w:hAnsi="Arial" w:cs="Arial"/>
          <w:sz w:val="2"/>
          <w:szCs w:val="2"/>
        </w:rPr>
      </w:pPr>
    </w:p>
    <w:p w14:paraId="0A7C2F93" w14:textId="046D3D84" w:rsidR="00BA55C5" w:rsidRDefault="00BA55C5">
      <w:pPr>
        <w:pStyle w:val="ListParagraph"/>
        <w:numPr>
          <w:ilvl w:val="0"/>
          <w:numId w:val="76"/>
        </w:numPr>
        <w:spacing w:before="60"/>
        <w:ind w:left="567" w:right="567" w:hanging="357"/>
        <w:contextualSpacing/>
        <w:jc w:val="both"/>
        <w:rPr>
          <w:rFonts w:ascii="Arial" w:hAnsi="Arial" w:cs="Arial"/>
          <w:sz w:val="20"/>
          <w:szCs w:val="16"/>
        </w:rPr>
      </w:pPr>
      <w:r w:rsidRPr="00BA55C5">
        <w:rPr>
          <w:rFonts w:ascii="Arial" w:hAnsi="Arial" w:cs="Arial"/>
          <w:sz w:val="20"/>
          <w:szCs w:val="16"/>
        </w:rPr>
        <w:t>At [141]: “</w:t>
      </w:r>
      <w:r w:rsidRPr="00E23DE2">
        <w:rPr>
          <w:rFonts w:ascii="Arial" w:hAnsi="Arial" w:cs="Arial"/>
          <w:b/>
          <w:bCs/>
          <w:sz w:val="20"/>
          <w:szCs w:val="16"/>
        </w:rPr>
        <w:t>I cannot accept that it is open to the [mother] to conduct the present application relating to child J on the basis that the earlier order was wrongly made.</w:t>
      </w:r>
      <w:r w:rsidRPr="00BA55C5">
        <w:rPr>
          <w:rFonts w:ascii="Arial" w:hAnsi="Arial" w:cs="Arial"/>
          <w:sz w:val="20"/>
          <w:szCs w:val="16"/>
        </w:rPr>
        <w:t xml:space="preserve">  Such an endeavour seems to me to be inconsistent with the proper administration of justice: </w:t>
      </w:r>
      <w:r w:rsidRPr="00BA55C5">
        <w:rPr>
          <w:rFonts w:ascii="Arial" w:hAnsi="Arial" w:cs="Arial"/>
          <w:i/>
          <w:iCs/>
          <w:sz w:val="20"/>
          <w:szCs w:val="16"/>
        </w:rPr>
        <w:t>Walton v Gardiner</w:t>
      </w:r>
      <w:r w:rsidRPr="00BA55C5">
        <w:rPr>
          <w:rFonts w:ascii="Arial" w:hAnsi="Arial" w:cs="Arial"/>
          <w:sz w:val="20"/>
          <w:szCs w:val="16"/>
        </w:rPr>
        <w:t xml:space="preserve"> (1993) 177 CLR 378, 392-393. In any event, for reasons that should be apparent, it is simply unnecessary for the [mother] to defend the present application concerning child J on that basis (or, for that matter, the application concerning child A). There can be dispute as to whether child J suffered certain injuries and, indeed, whether either or both parents ought to be considered to bear responsibility for such injuries, without any need specifically to contend that the earlier order was ‘wrongly made’.”</w:t>
      </w:r>
    </w:p>
    <w:p w14:paraId="0CB93AEF" w14:textId="77777777" w:rsidR="00E55ACE" w:rsidRPr="00E55ACE" w:rsidRDefault="00E55ACE" w:rsidP="00E55ACE">
      <w:pPr>
        <w:ind w:right="567"/>
        <w:contextualSpacing/>
        <w:jc w:val="both"/>
        <w:rPr>
          <w:rFonts w:ascii="Arial" w:hAnsi="Arial" w:cs="Arial"/>
          <w:sz w:val="8"/>
          <w:szCs w:val="4"/>
        </w:rPr>
      </w:pPr>
    </w:p>
    <w:p w14:paraId="6DDD9CEF" w14:textId="385426D3" w:rsidR="00D15EEE" w:rsidRDefault="00E23DE2">
      <w:pPr>
        <w:pStyle w:val="ListParagraph"/>
        <w:numPr>
          <w:ilvl w:val="0"/>
          <w:numId w:val="76"/>
        </w:numPr>
        <w:ind w:left="567" w:right="567" w:hanging="357"/>
        <w:contextualSpacing/>
        <w:jc w:val="both"/>
        <w:rPr>
          <w:rFonts w:ascii="Arial" w:hAnsi="Arial" w:cs="Arial"/>
          <w:sz w:val="20"/>
          <w:szCs w:val="16"/>
        </w:rPr>
      </w:pPr>
      <w:r>
        <w:rPr>
          <w:rFonts w:ascii="Arial" w:hAnsi="Arial" w:cs="Arial"/>
          <w:sz w:val="20"/>
          <w:szCs w:val="16"/>
        </w:rPr>
        <w:t xml:space="preserve">At [143]-[149]: </w:t>
      </w:r>
      <w:r w:rsidRPr="00201B53">
        <w:rPr>
          <w:rFonts w:ascii="Arial" w:hAnsi="Arial" w:cs="Arial"/>
          <w:b/>
          <w:bCs/>
          <w:sz w:val="20"/>
          <w:szCs w:val="16"/>
        </w:rPr>
        <w:t>“[O]n the face of s.162(1)(c), there is no identity of issues between the determination of the Court concerning child J in 2018 and the issues now arising in the applications relating to child A</w:t>
      </w:r>
      <w:r>
        <w:rPr>
          <w:rFonts w:ascii="Arial" w:hAnsi="Arial" w:cs="Arial"/>
          <w:sz w:val="20"/>
          <w:szCs w:val="16"/>
        </w:rPr>
        <w:t xml:space="preserve">…The manner in which the [DFFH] sought to sidestep the present difficulty was to </w:t>
      </w:r>
      <w:r w:rsidRPr="00E23DE2">
        <w:rPr>
          <w:rFonts w:ascii="Arial" w:hAnsi="Arial" w:cs="Arial"/>
          <w:sz w:val="20"/>
          <w:szCs w:val="16"/>
        </w:rPr>
        <w:t>submit that child A is a ‘privy’ of child J</w:t>
      </w:r>
      <w:r>
        <w:rPr>
          <w:rFonts w:ascii="Arial" w:hAnsi="Arial" w:cs="Arial"/>
          <w:sz w:val="20"/>
          <w:szCs w:val="16"/>
        </w:rPr>
        <w:t>…</w:t>
      </w:r>
      <w:r w:rsidRPr="00E23DE2">
        <w:rPr>
          <w:rFonts w:ascii="Arial" w:hAnsi="Arial" w:cs="Arial"/>
          <w:sz w:val="20"/>
          <w:szCs w:val="16"/>
        </w:rPr>
        <w:t>That submission was sought to be supported by reference to a sequence of authorities.</w:t>
      </w:r>
      <w:r w:rsidR="00201B53">
        <w:rPr>
          <w:rFonts w:ascii="Arial" w:hAnsi="Arial" w:cs="Arial"/>
          <w:sz w:val="20"/>
          <w:szCs w:val="16"/>
        </w:rPr>
        <w:t xml:space="preserve">  </w:t>
      </w:r>
      <w:r w:rsidRPr="00E23DE2">
        <w:rPr>
          <w:rFonts w:ascii="Arial" w:hAnsi="Arial" w:cs="Arial"/>
          <w:sz w:val="20"/>
          <w:szCs w:val="16"/>
        </w:rPr>
        <w:t xml:space="preserve">However, so far as I can tell, none of those authorities concerns circumstances akin to the present. </w:t>
      </w:r>
      <w:r w:rsidR="00201B53">
        <w:rPr>
          <w:rFonts w:ascii="Arial" w:hAnsi="Arial" w:cs="Arial"/>
          <w:sz w:val="20"/>
          <w:szCs w:val="16"/>
        </w:rPr>
        <w:t xml:space="preserve"> </w:t>
      </w:r>
      <w:r w:rsidRPr="00E23DE2">
        <w:rPr>
          <w:rFonts w:ascii="Arial" w:hAnsi="Arial" w:cs="Arial"/>
          <w:sz w:val="20"/>
          <w:szCs w:val="16"/>
        </w:rPr>
        <w:t>Moreover, the authorities refer to privity of blood, title and interest.</w:t>
      </w:r>
      <w:r w:rsidR="00201B53">
        <w:rPr>
          <w:rFonts w:ascii="Arial" w:hAnsi="Arial" w:cs="Arial"/>
          <w:sz w:val="20"/>
          <w:szCs w:val="16"/>
        </w:rPr>
        <w:t xml:space="preserve">  </w:t>
      </w:r>
      <w:r w:rsidR="00201B53" w:rsidRPr="00E23DE2">
        <w:rPr>
          <w:rFonts w:ascii="Arial" w:hAnsi="Arial" w:cs="Arial"/>
          <w:sz w:val="20"/>
          <w:szCs w:val="16"/>
        </w:rPr>
        <w:t xml:space="preserve">The relevant submissions of the </w:t>
      </w:r>
      <w:r w:rsidR="00201B53">
        <w:rPr>
          <w:rFonts w:ascii="Arial" w:hAnsi="Arial" w:cs="Arial"/>
          <w:sz w:val="20"/>
          <w:szCs w:val="16"/>
        </w:rPr>
        <w:t>[DFFH]</w:t>
      </w:r>
      <w:r w:rsidR="00201B53" w:rsidRPr="00E23DE2">
        <w:rPr>
          <w:rFonts w:ascii="Arial" w:hAnsi="Arial" w:cs="Arial"/>
          <w:sz w:val="20"/>
          <w:szCs w:val="16"/>
        </w:rPr>
        <w:t xml:space="preserve"> ranged between emphasising matters of blood and interest, each in a general sense, but without distinguishing between those notions with any particular specificity. Estoppel is a matter personal between parties. </w:t>
      </w:r>
      <w:r w:rsidR="009749AD">
        <w:rPr>
          <w:rFonts w:ascii="Arial" w:hAnsi="Arial" w:cs="Arial"/>
          <w:sz w:val="20"/>
          <w:szCs w:val="16"/>
        </w:rPr>
        <w:t xml:space="preserve"> </w:t>
      </w:r>
      <w:r w:rsidR="00201B53" w:rsidRPr="00E23DE2">
        <w:rPr>
          <w:rFonts w:ascii="Arial" w:hAnsi="Arial" w:cs="Arial"/>
          <w:sz w:val="20"/>
          <w:szCs w:val="16"/>
        </w:rPr>
        <w:t>In each case, privies of blood, title or interest are made subject to the benefit or burden of an estoppel because they are representatives of the party originally so bound. In that sense, it may be understood why it is a person succeeding to the rights and liabilities of another via death, insolvency, assignment or statute could be a privy: that person has a legal or beneficial interest in the previous litigation or its subject matter. The privy comes to that interest under, through or on behalf of the party bound.</w:t>
      </w:r>
      <w:r w:rsidR="00201B53">
        <w:rPr>
          <w:rFonts w:ascii="Arial" w:hAnsi="Arial" w:cs="Arial"/>
          <w:sz w:val="20"/>
          <w:szCs w:val="16"/>
        </w:rPr>
        <w:t xml:space="preserve">  </w:t>
      </w:r>
      <w:r w:rsidR="00201B53" w:rsidRPr="00201B53">
        <w:rPr>
          <w:rFonts w:ascii="Arial" w:hAnsi="Arial" w:cs="Arial"/>
          <w:b/>
          <w:bCs/>
          <w:sz w:val="20"/>
          <w:szCs w:val="16"/>
        </w:rPr>
        <w:t>However, no relation of such a kind exists between child J and child A or, for that matter, between either of the parents and child A. In the present applications concerning him, child A is a party in his own right, as are each of his parents. Similarly, child J is a party in his own right in the application concerning him.  The submission that child A is a privy of child J, or, for that matter, his parents, in any of the senses discussed in the authorities, must be rejected.</w:t>
      </w:r>
      <w:r w:rsidR="00201B53">
        <w:rPr>
          <w:rFonts w:ascii="Arial" w:hAnsi="Arial" w:cs="Arial"/>
          <w:sz w:val="20"/>
          <w:szCs w:val="16"/>
        </w:rPr>
        <w:t>”</w:t>
      </w:r>
    </w:p>
    <w:p w14:paraId="69BAB14B" w14:textId="77777777" w:rsidR="00201B53" w:rsidRPr="00201B53" w:rsidRDefault="00201B53" w:rsidP="00201B53">
      <w:pPr>
        <w:ind w:left="210" w:right="567"/>
        <w:contextualSpacing/>
        <w:jc w:val="both"/>
        <w:rPr>
          <w:rFonts w:ascii="Arial" w:hAnsi="Arial" w:cs="Arial"/>
          <w:sz w:val="8"/>
          <w:szCs w:val="4"/>
        </w:rPr>
      </w:pPr>
    </w:p>
    <w:p w14:paraId="3DADB2D5" w14:textId="77777777" w:rsidR="00201B53" w:rsidRDefault="00B50F06">
      <w:pPr>
        <w:pStyle w:val="ListParagraph"/>
        <w:numPr>
          <w:ilvl w:val="0"/>
          <w:numId w:val="76"/>
        </w:numPr>
        <w:ind w:left="567" w:right="567" w:hanging="357"/>
        <w:contextualSpacing/>
        <w:jc w:val="both"/>
        <w:rPr>
          <w:rFonts w:ascii="Arial" w:hAnsi="Arial" w:cs="Arial"/>
          <w:sz w:val="20"/>
          <w:szCs w:val="16"/>
        </w:rPr>
      </w:pPr>
      <w:r>
        <w:rPr>
          <w:rFonts w:ascii="Arial" w:hAnsi="Arial" w:cs="Arial"/>
          <w:sz w:val="20"/>
          <w:szCs w:val="16"/>
        </w:rPr>
        <w:t>At [151]: “</w:t>
      </w:r>
      <w:r w:rsidRPr="00B50F06">
        <w:rPr>
          <w:rFonts w:ascii="Arial" w:hAnsi="Arial" w:cs="Arial"/>
          <w:color w:val="333333"/>
          <w:sz w:val="20"/>
          <w:shd w:val="clear" w:color="auto" w:fill="FFFFFF"/>
        </w:rPr>
        <w:t xml:space="preserve">Whether or not the parents are strictly bound by an estoppel arising from any aspect of the making of the care by Secretary order in 2018 is one thing, but whatever that position might be it does not mean that the fact that such an order was earlier made unopposed does not have at least evidentiary significance in the present applications concerning child J and child A. In that regard, it is to some extent evident that the earlier </w:t>
      </w:r>
      <w:r w:rsidRPr="00B50F06">
        <w:rPr>
          <w:rFonts w:ascii="Arial" w:hAnsi="Arial" w:cs="Arial"/>
          <w:color w:val="333333"/>
          <w:sz w:val="20"/>
          <w:shd w:val="clear" w:color="auto" w:fill="FFFFFF"/>
        </w:rPr>
        <w:lastRenderedPageBreak/>
        <w:t>order was made in circumstances where there was already some measure of underlying dispute concerning the injuries and any explanation for them, yet the order was made unopposed anyway. Ultimately, however, whether there is any significance in those matters or not must be a matter for the Children’s Court.</w:t>
      </w:r>
      <w:r>
        <w:rPr>
          <w:rFonts w:ascii="Arial" w:hAnsi="Arial" w:cs="Arial"/>
          <w:color w:val="333333"/>
          <w:sz w:val="20"/>
          <w:shd w:val="clear" w:color="auto" w:fill="FFFFFF"/>
        </w:rPr>
        <w:t>”</w:t>
      </w:r>
    </w:p>
    <w:p w14:paraId="063BCA6F" w14:textId="4D79B2FD" w:rsidR="00490AA3" w:rsidRPr="00B50F06" w:rsidRDefault="00B50F06" w:rsidP="00201B53">
      <w:pPr>
        <w:spacing w:before="120"/>
        <w:jc w:val="both"/>
        <w:rPr>
          <w:rFonts w:ascii="Arial" w:hAnsi="Arial" w:cs="Arial"/>
          <w:color w:val="000000"/>
          <w:sz w:val="20"/>
          <w:szCs w:val="20"/>
          <w:bdr w:val="none" w:sz="0" w:space="0" w:color="auto" w:frame="1"/>
        </w:rPr>
      </w:pPr>
      <w:r w:rsidRPr="00B50F06">
        <w:rPr>
          <w:rFonts w:ascii="Arial" w:hAnsi="Arial" w:cs="Arial"/>
          <w:sz w:val="20"/>
          <w:szCs w:val="20"/>
        </w:rPr>
        <w:t xml:space="preserve">In the writer’s opinion </w:t>
      </w:r>
      <w:r w:rsidR="00490AA3" w:rsidRPr="00B50F06">
        <w:rPr>
          <w:rFonts w:ascii="Arial" w:hAnsi="Arial" w:cs="Arial"/>
          <w:color w:val="000000" w:themeColor="text1"/>
          <w:sz w:val="20"/>
          <w:szCs w:val="20"/>
          <w:bdr w:val="none" w:sz="0" w:space="0" w:color="auto" w:frame="1"/>
        </w:rPr>
        <w:t>th</w:t>
      </w:r>
      <w:r w:rsidR="00490AA3" w:rsidRPr="00B50F06">
        <w:rPr>
          <w:rFonts w:ascii="Arial" w:hAnsi="Arial" w:cs="Arial"/>
          <w:color w:val="000000"/>
          <w:sz w:val="20"/>
          <w:szCs w:val="20"/>
          <w:bdr w:val="none" w:sz="0" w:space="0" w:color="auto" w:frame="1"/>
        </w:rPr>
        <w:t xml:space="preserve">is case highlights a particular problem faced by jurisdictions like the Family Division’s Child Protection jurisdiction or the Family Court where a case is not necessarily ever over until the subject child turns 18 and where new siblings tend to appear on the scene from time to time. The doctrines of </w:t>
      </w:r>
      <w:r w:rsidR="00490AA3" w:rsidRPr="00B50F06">
        <w:rPr>
          <w:rFonts w:ascii="Arial" w:hAnsi="Arial" w:cs="Arial"/>
          <w:i/>
          <w:iCs/>
          <w:color w:val="000000"/>
          <w:sz w:val="20"/>
          <w:szCs w:val="20"/>
          <w:bdr w:val="none" w:sz="0" w:space="0" w:color="auto" w:frame="1"/>
        </w:rPr>
        <w:t>res judicata</w:t>
      </w:r>
      <w:r w:rsidR="00490AA3" w:rsidRPr="00B50F06">
        <w:rPr>
          <w:rFonts w:ascii="Arial" w:hAnsi="Arial" w:cs="Arial"/>
          <w:color w:val="000000"/>
          <w:sz w:val="20"/>
          <w:szCs w:val="20"/>
          <w:bdr w:val="none" w:sz="0" w:space="0" w:color="auto" w:frame="1"/>
        </w:rPr>
        <w:t xml:space="preserve"> and issue estoppel, on the other hand, are founded on jurisdictions where a case is over [subject to appeals, variations, breaches and the like] once the court has made a decision. So, the traditional legal analyses do not fit all that well with </w:t>
      </w:r>
      <w:r>
        <w:rPr>
          <w:rFonts w:ascii="Arial" w:hAnsi="Arial" w:cs="Arial"/>
          <w:color w:val="000000"/>
          <w:sz w:val="20"/>
          <w:szCs w:val="20"/>
          <w:bdr w:val="none" w:sz="0" w:space="0" w:color="auto" w:frame="1"/>
        </w:rPr>
        <w:t>the C</w:t>
      </w:r>
      <w:r w:rsidR="009D0ACC">
        <w:rPr>
          <w:rFonts w:ascii="Arial" w:hAnsi="Arial" w:cs="Arial"/>
          <w:color w:val="000000"/>
          <w:sz w:val="20"/>
          <w:szCs w:val="20"/>
          <w:bdr w:val="none" w:sz="0" w:space="0" w:color="auto" w:frame="1"/>
        </w:rPr>
        <w:t>h</w:t>
      </w:r>
      <w:r>
        <w:rPr>
          <w:rFonts w:ascii="Arial" w:hAnsi="Arial" w:cs="Arial"/>
          <w:color w:val="000000"/>
          <w:sz w:val="20"/>
          <w:szCs w:val="20"/>
          <w:bdr w:val="none" w:sz="0" w:space="0" w:color="auto" w:frame="1"/>
        </w:rPr>
        <w:t xml:space="preserve">CV’s </w:t>
      </w:r>
      <w:r w:rsidR="00490AA3" w:rsidRPr="00B50F06">
        <w:rPr>
          <w:rFonts w:ascii="Arial" w:hAnsi="Arial" w:cs="Arial"/>
          <w:color w:val="000000"/>
          <w:sz w:val="20"/>
          <w:szCs w:val="20"/>
          <w:bdr w:val="none" w:sz="0" w:space="0" w:color="auto" w:frame="1"/>
        </w:rPr>
        <w:t xml:space="preserve">Family Division. On the other hand, there has to be some limit to litigation on particular issues, else – as his Honour has noted </w:t>
      </w:r>
      <w:r>
        <w:rPr>
          <w:rFonts w:ascii="Arial" w:hAnsi="Arial" w:cs="Arial"/>
          <w:color w:val="000000"/>
          <w:sz w:val="20"/>
          <w:szCs w:val="20"/>
          <w:bdr w:val="none" w:sz="0" w:space="0" w:color="auto" w:frame="1"/>
        </w:rPr>
        <w:t>at [141] with reference to</w:t>
      </w:r>
      <w:r w:rsidR="00490AA3" w:rsidRPr="00B50F06">
        <w:rPr>
          <w:rFonts w:ascii="Arial" w:hAnsi="Arial" w:cs="Arial"/>
          <w:color w:val="000000"/>
          <w:sz w:val="20"/>
          <w:szCs w:val="20"/>
          <w:bdr w:val="none" w:sz="0" w:space="0" w:color="auto" w:frame="1"/>
        </w:rPr>
        <w:t xml:space="preserve"> the dicta of the High Court in </w:t>
      </w:r>
      <w:r w:rsidR="00490AA3" w:rsidRPr="00B50F06">
        <w:rPr>
          <w:rFonts w:ascii="Arial" w:hAnsi="Arial" w:cs="Arial"/>
          <w:i/>
          <w:iCs/>
          <w:color w:val="000000"/>
          <w:sz w:val="20"/>
          <w:szCs w:val="20"/>
          <w:bdr w:val="none" w:sz="0" w:space="0" w:color="auto" w:frame="1"/>
        </w:rPr>
        <w:t>Walton v Gardiner</w:t>
      </w:r>
      <w:r w:rsidR="00490AA3" w:rsidRPr="00B50F06">
        <w:rPr>
          <w:rFonts w:ascii="Arial" w:hAnsi="Arial" w:cs="Arial"/>
          <w:color w:val="000000"/>
          <w:sz w:val="20"/>
          <w:szCs w:val="20"/>
          <w:bdr w:val="none" w:sz="0" w:space="0" w:color="auto" w:frame="1"/>
        </w:rPr>
        <w:t xml:space="preserve"> (1993) 177 CLR 378, 392-393 – the proper administration of justice will be impaired and </w:t>
      </w:r>
      <w:r>
        <w:rPr>
          <w:rFonts w:ascii="Arial" w:hAnsi="Arial" w:cs="Arial"/>
          <w:color w:val="000000"/>
          <w:sz w:val="20"/>
          <w:szCs w:val="20"/>
          <w:bdr w:val="none" w:sz="0" w:space="0" w:color="auto" w:frame="1"/>
        </w:rPr>
        <w:t>the C</w:t>
      </w:r>
      <w:r w:rsidR="009D0ACC">
        <w:rPr>
          <w:rFonts w:ascii="Arial" w:hAnsi="Arial" w:cs="Arial"/>
          <w:color w:val="000000"/>
          <w:sz w:val="20"/>
          <w:szCs w:val="20"/>
          <w:bdr w:val="none" w:sz="0" w:space="0" w:color="auto" w:frame="1"/>
        </w:rPr>
        <w:t>h</w:t>
      </w:r>
      <w:r>
        <w:rPr>
          <w:rFonts w:ascii="Arial" w:hAnsi="Arial" w:cs="Arial"/>
          <w:color w:val="000000"/>
          <w:sz w:val="20"/>
          <w:szCs w:val="20"/>
          <w:bdr w:val="none" w:sz="0" w:space="0" w:color="auto" w:frame="1"/>
        </w:rPr>
        <w:t>CV’s</w:t>
      </w:r>
      <w:r w:rsidR="00490AA3" w:rsidRPr="00B50F06">
        <w:rPr>
          <w:rFonts w:ascii="Arial" w:hAnsi="Arial" w:cs="Arial"/>
          <w:color w:val="000000"/>
          <w:sz w:val="20"/>
          <w:szCs w:val="20"/>
          <w:bdr w:val="none" w:sz="0" w:space="0" w:color="auto" w:frame="1"/>
        </w:rPr>
        <w:t xml:space="preserve"> Family Division will be at risk of being flooded. It is a very difficult balance.</w:t>
      </w:r>
    </w:p>
    <w:p w14:paraId="594EFAF7" w14:textId="77777777" w:rsidR="00490AA3" w:rsidRDefault="00490AA3" w:rsidP="00BB4BAE">
      <w:pPr>
        <w:rPr>
          <w:rFonts w:ascii="Arial" w:hAnsi="Arial" w:cs="Arial"/>
          <w:sz w:val="20"/>
        </w:rPr>
      </w:pPr>
    </w:p>
    <w:p w14:paraId="7FA90E07" w14:textId="2DA6A008" w:rsidR="00132433" w:rsidRDefault="00132433" w:rsidP="00546B0E">
      <w:pPr>
        <w:jc w:val="both"/>
        <w:rPr>
          <w:rFonts w:ascii="Arial" w:hAnsi="Arial" w:cs="Arial"/>
          <w:sz w:val="20"/>
        </w:rPr>
      </w:pPr>
      <w:r>
        <w:rPr>
          <w:rFonts w:ascii="Arial" w:hAnsi="Arial" w:cs="Arial"/>
          <w:sz w:val="20"/>
        </w:rPr>
        <w:t xml:space="preserve">See also </w:t>
      </w:r>
      <w:r w:rsidRPr="00132433">
        <w:rPr>
          <w:rFonts w:ascii="Arial" w:hAnsi="Arial" w:cs="Arial"/>
          <w:i/>
          <w:iCs/>
          <w:sz w:val="20"/>
        </w:rPr>
        <w:t>Miller v Martin &amp; Ors</w:t>
      </w:r>
      <w:r>
        <w:rPr>
          <w:rFonts w:ascii="Arial" w:hAnsi="Arial" w:cs="Arial"/>
          <w:sz w:val="20"/>
        </w:rPr>
        <w:t xml:space="preserve"> [2021] VSCA 108 at [74]-[80]</w:t>
      </w:r>
      <w:r w:rsidR="00546B0E">
        <w:rPr>
          <w:rFonts w:ascii="Arial" w:hAnsi="Arial" w:cs="Arial"/>
          <w:sz w:val="20"/>
        </w:rPr>
        <w:t xml:space="preserve">; </w:t>
      </w:r>
      <w:r w:rsidR="00546B0E" w:rsidRPr="00704A0E">
        <w:rPr>
          <w:rFonts w:ascii="Arial" w:hAnsi="Arial" w:cs="Arial"/>
          <w:i/>
          <w:iCs/>
          <w:color w:val="000000"/>
          <w:sz w:val="20"/>
        </w:rPr>
        <w:t>Hicks v Slater and Gordon Ltd</w:t>
      </w:r>
      <w:r w:rsidR="00546B0E">
        <w:rPr>
          <w:rFonts w:ascii="Arial" w:hAnsi="Arial" w:cs="Arial"/>
          <w:color w:val="000000"/>
          <w:sz w:val="20"/>
        </w:rPr>
        <w:t xml:space="preserve"> [2024] VSCA 298 at [57]-[62]</w:t>
      </w:r>
      <w:r>
        <w:rPr>
          <w:rFonts w:ascii="Arial" w:hAnsi="Arial" w:cs="Arial"/>
          <w:sz w:val="20"/>
        </w:rPr>
        <w:t>.</w:t>
      </w:r>
    </w:p>
    <w:p w14:paraId="138C0F7E" w14:textId="77777777" w:rsidR="00132433" w:rsidRDefault="00132433" w:rsidP="00BB4BAE">
      <w:pPr>
        <w:rPr>
          <w:rFonts w:ascii="Arial" w:hAnsi="Arial" w:cs="Arial"/>
          <w:sz w:val="20"/>
        </w:rPr>
      </w:pPr>
    </w:p>
    <w:p w14:paraId="7F3B0C71" w14:textId="77777777" w:rsidR="004618DC" w:rsidRPr="009F25D4" w:rsidRDefault="0088010F" w:rsidP="004618DC">
      <w:pPr>
        <w:pStyle w:val="Heading3"/>
        <w:keepNext/>
        <w:spacing w:line="240" w:lineRule="auto"/>
        <w:rPr>
          <w:rFonts w:ascii="Arial" w:hAnsi="Arial" w:cs="Arial"/>
          <w:b/>
          <w:bCs/>
          <w:color w:val="000000"/>
          <w:sz w:val="20"/>
        </w:rPr>
      </w:pPr>
      <w:bookmarkStart w:id="282" w:name="_3.3.4.3_Requirement_of"/>
      <w:bookmarkStart w:id="283" w:name="B3343"/>
      <w:bookmarkEnd w:id="282"/>
      <w:bookmarkEnd w:id="283"/>
      <w:r w:rsidRPr="006C4114">
        <w:rPr>
          <w:rFonts w:ascii="Arial" w:hAnsi="Arial" w:cs="Arial"/>
          <w:b/>
          <w:bCs/>
          <w:sz w:val="20"/>
        </w:rPr>
        <w:t>3.3.</w:t>
      </w:r>
      <w:r w:rsidR="00F75E94">
        <w:rPr>
          <w:rFonts w:ascii="Arial" w:hAnsi="Arial" w:cs="Arial"/>
          <w:b/>
          <w:bCs/>
          <w:sz w:val="20"/>
        </w:rPr>
        <w:t>4</w:t>
      </w:r>
      <w:r w:rsidRPr="006C4114">
        <w:rPr>
          <w:rFonts w:ascii="Arial" w:hAnsi="Arial" w:cs="Arial"/>
          <w:b/>
          <w:bCs/>
          <w:sz w:val="20"/>
        </w:rPr>
        <w:t>.</w:t>
      </w:r>
      <w:r>
        <w:rPr>
          <w:rFonts w:ascii="Arial" w:hAnsi="Arial" w:cs="Arial"/>
          <w:b/>
          <w:bCs/>
          <w:sz w:val="20"/>
        </w:rPr>
        <w:t>3</w:t>
      </w:r>
      <w:r w:rsidRPr="006C4114">
        <w:rPr>
          <w:rFonts w:ascii="Arial" w:hAnsi="Arial" w:cs="Arial"/>
          <w:b/>
          <w:bCs/>
          <w:sz w:val="20"/>
        </w:rPr>
        <w:tab/>
      </w:r>
      <w:r w:rsidRPr="0088010F">
        <w:rPr>
          <w:rFonts w:ascii="Arial" w:hAnsi="Arial" w:cs="Arial"/>
          <w:b/>
          <w:bCs/>
          <w:sz w:val="20"/>
        </w:rPr>
        <w:t>Requirement of leave by the Children’s Court to withdraw a protection application</w:t>
      </w:r>
    </w:p>
    <w:p w14:paraId="175949AF" w14:textId="77777777" w:rsidR="003E6965" w:rsidRDefault="003E6965" w:rsidP="00BB4BAE">
      <w:pPr>
        <w:spacing w:before="120"/>
        <w:jc w:val="both"/>
        <w:rPr>
          <w:rFonts w:ascii="Arial" w:hAnsi="Arial" w:cs="Arial"/>
          <w:sz w:val="20"/>
        </w:rPr>
      </w:pPr>
      <w:r>
        <w:rPr>
          <w:rFonts w:ascii="Arial" w:hAnsi="Arial" w:cs="Arial"/>
          <w:sz w:val="20"/>
        </w:rPr>
        <w:t xml:space="preserve">A very significant power of the Family Division is illustrated by </w:t>
      </w:r>
      <w:r>
        <w:rPr>
          <w:rFonts w:ascii="Arial" w:hAnsi="Arial" w:cs="Arial"/>
          <w:i/>
          <w:iCs/>
          <w:sz w:val="20"/>
        </w:rPr>
        <w:t xml:space="preserve">Secretary of the Department of Human Services v Y </w:t>
      </w:r>
      <w:r>
        <w:rPr>
          <w:rFonts w:ascii="Arial" w:hAnsi="Arial" w:cs="Arial"/>
          <w:sz w:val="20"/>
        </w:rPr>
        <w:t xml:space="preserve">[2001] VSC 231. At [23] Nathan J summarised the central issue in </w:t>
      </w:r>
      <w:r>
        <w:rPr>
          <w:rFonts w:ascii="Arial" w:hAnsi="Arial" w:cs="Arial"/>
          <w:i/>
          <w:iCs/>
          <w:sz w:val="20"/>
        </w:rPr>
        <w:t>Y's Case</w:t>
      </w:r>
      <w:r>
        <w:rPr>
          <w:rFonts w:ascii="Arial" w:hAnsi="Arial" w:cs="Arial"/>
          <w:sz w:val="20"/>
        </w:rPr>
        <w:t xml:space="preserve"> as follows: "Does a protective intervener need the leave of the Court to withdraw or discontinue a protection application once it has been filed and served?  On the one hand the Secretary contends withdrawal or discontinuance is a ministerial act which is not amenable to the Court's jurisdiction.  On the other, the Attorney-General…contends that once the Secretary invokes the Court's jurisdiction, she becomes subject to it, and to such rules of procedure as the Court may decide.  If the Court decides that in governing itself, protection applications can only be withdrawn by way of leave, then the Minister must submit, like any other litigant, to that rule of procedure."  Nathan J preferred the latter contention and held that leave of the Court was required.  At [42] he said that "once a protection application has been made, then the jurisdiction of the court is enlivened.  It is not for the Secretary to resolve the matters set out in the application, that responsibility is the Court's.  The Secretary's functions become cognate once she decides whether or not to pursue the making of an application.  The Court is not an appendage to the Secretary's ministerial duties.  The very function of the Court is to assess and to deliberate upon the Secretary's application that the children are in need of protection.  Adjudication of that issue must proceed before the Court.  The Court has power to decide how that shall best be accomplished.  Once the judicial process has been enlivened in this specialist jurisdiction, then it requires a judicial process to bring it to an end.  If the Court decides as a matter of process that leave is required, then leave is required."  Leave to appeal was refused by the Court of Appeal.</w:t>
      </w:r>
    </w:p>
    <w:p w14:paraId="57491905" w14:textId="52DA55C3" w:rsidR="00C33B4A" w:rsidRDefault="00C33B4A" w:rsidP="00C33B4A">
      <w:pPr>
        <w:rPr>
          <w:rFonts w:ascii="Arial" w:hAnsi="Arial" w:cs="Arial"/>
          <w:sz w:val="20"/>
          <w:szCs w:val="20"/>
        </w:rPr>
      </w:pPr>
    </w:p>
    <w:p w14:paraId="1D190B82" w14:textId="4EB2386B" w:rsidR="00320AF5" w:rsidRDefault="00320AF5" w:rsidP="00320AF5">
      <w:pPr>
        <w:jc w:val="both"/>
        <w:rPr>
          <w:rFonts w:ascii="Arial" w:hAnsi="Arial" w:cs="Arial"/>
          <w:sz w:val="20"/>
          <w:szCs w:val="20"/>
        </w:rPr>
      </w:pPr>
      <w:r w:rsidRPr="00320AF5">
        <w:rPr>
          <w:rFonts w:ascii="Arial" w:hAnsi="Arial" w:cs="Arial"/>
          <w:sz w:val="20"/>
          <w:szCs w:val="20"/>
        </w:rPr>
        <w:t>The protection application in</w:t>
      </w:r>
      <w:r>
        <w:rPr>
          <w:rFonts w:ascii="Arial" w:hAnsi="Arial" w:cs="Arial"/>
          <w:i/>
          <w:iCs/>
          <w:sz w:val="20"/>
          <w:szCs w:val="20"/>
        </w:rPr>
        <w:t xml:space="preserve"> </w:t>
      </w:r>
      <w:r w:rsidRPr="00320AF5">
        <w:rPr>
          <w:rFonts w:ascii="Arial" w:hAnsi="Arial" w:cs="Arial"/>
          <w:i/>
          <w:iCs/>
          <w:sz w:val="20"/>
          <w:szCs w:val="20"/>
        </w:rPr>
        <w:t>Y’s Case</w:t>
      </w:r>
      <w:r>
        <w:rPr>
          <w:rFonts w:ascii="Arial" w:hAnsi="Arial" w:cs="Arial"/>
          <w:sz w:val="20"/>
          <w:szCs w:val="20"/>
        </w:rPr>
        <w:t xml:space="preserve"> was issued under the provisions of the </w:t>
      </w:r>
      <w:r w:rsidRPr="00320AF5">
        <w:rPr>
          <w:rFonts w:ascii="Arial" w:hAnsi="Arial" w:cs="Arial"/>
          <w:i/>
          <w:iCs/>
          <w:sz w:val="20"/>
          <w:szCs w:val="20"/>
        </w:rPr>
        <w:t>Children and Young Persons Act 1989</w:t>
      </w:r>
      <w:r>
        <w:rPr>
          <w:rFonts w:ascii="Arial" w:hAnsi="Arial" w:cs="Arial"/>
          <w:sz w:val="20"/>
          <w:szCs w:val="20"/>
        </w:rPr>
        <w:t>.  The relevant provisions of that Act were replaced by the CYFA on 23/04/2007 and in the process the ‘best interests’ provisions of th</w:t>
      </w:r>
      <w:r w:rsidR="00E55EAA">
        <w:rPr>
          <w:rFonts w:ascii="Arial" w:hAnsi="Arial" w:cs="Arial"/>
          <w:sz w:val="20"/>
          <w:szCs w:val="20"/>
        </w:rPr>
        <w:t>is</w:t>
      </w:r>
      <w:r>
        <w:rPr>
          <w:rFonts w:ascii="Arial" w:hAnsi="Arial" w:cs="Arial"/>
          <w:sz w:val="20"/>
          <w:szCs w:val="20"/>
        </w:rPr>
        <w:t xml:space="preserve"> </w:t>
      </w:r>
      <w:r w:rsidR="00E55EAA">
        <w:rPr>
          <w:rFonts w:ascii="Arial" w:hAnsi="Arial" w:cs="Arial"/>
          <w:sz w:val="20"/>
          <w:szCs w:val="20"/>
        </w:rPr>
        <w:t xml:space="preserve">child protection </w:t>
      </w:r>
      <w:r>
        <w:rPr>
          <w:rFonts w:ascii="Arial" w:hAnsi="Arial" w:cs="Arial"/>
          <w:sz w:val="20"/>
          <w:szCs w:val="20"/>
        </w:rPr>
        <w:t>legislation were significantly strengthened.</w:t>
      </w:r>
      <w:r w:rsidR="00E55EAA">
        <w:rPr>
          <w:rFonts w:ascii="Arial" w:hAnsi="Arial" w:cs="Arial"/>
          <w:sz w:val="20"/>
          <w:szCs w:val="20"/>
        </w:rPr>
        <w:t xml:space="preserve">  In Part 1.2 – Principles – s.8(1) CYFA provides: “The Court must have regard to the principles set out in this Part (where relevant) in making any decision or taking any action under this Act.”  In the writer’s view s.8(1) imposes an independent obligation on the Court to ensure that the withdrawal of a protection application is in the </w:t>
      </w:r>
      <w:r w:rsidR="004E4A11">
        <w:rPr>
          <w:rFonts w:ascii="Arial" w:hAnsi="Arial" w:cs="Arial"/>
          <w:sz w:val="20"/>
          <w:szCs w:val="20"/>
        </w:rPr>
        <w:t>‘</w:t>
      </w:r>
      <w:r w:rsidR="00E55EAA">
        <w:rPr>
          <w:rFonts w:ascii="Arial" w:hAnsi="Arial" w:cs="Arial"/>
          <w:sz w:val="20"/>
          <w:szCs w:val="20"/>
        </w:rPr>
        <w:t>best interests</w:t>
      </w:r>
      <w:r w:rsidR="004E4A11">
        <w:rPr>
          <w:rFonts w:ascii="Arial" w:hAnsi="Arial" w:cs="Arial"/>
          <w:sz w:val="20"/>
          <w:szCs w:val="20"/>
        </w:rPr>
        <w:t>’</w:t>
      </w:r>
      <w:r w:rsidR="00E55EAA">
        <w:rPr>
          <w:rFonts w:ascii="Arial" w:hAnsi="Arial" w:cs="Arial"/>
          <w:sz w:val="20"/>
          <w:szCs w:val="20"/>
        </w:rPr>
        <w:t xml:space="preserve"> of the subject child when measured according to the principles in ss.10 &amp; 13-14.  Accordingly, the reasoning of Nathan J that leave of the Court is required </w:t>
      </w:r>
      <w:r w:rsidR="00E55EAA">
        <w:rPr>
          <w:rFonts w:ascii="Arial" w:hAnsi="Arial" w:cs="Arial"/>
          <w:sz w:val="20"/>
        </w:rPr>
        <w:t>to withdraw or discontinue a protection application once it has been filed and served is even stronger now in cases under the CYFA</w:t>
      </w:r>
      <w:r w:rsidR="004E4A11">
        <w:rPr>
          <w:rFonts w:ascii="Arial" w:hAnsi="Arial" w:cs="Arial"/>
          <w:sz w:val="20"/>
        </w:rPr>
        <w:t xml:space="preserve"> than it was at the time the case was decided</w:t>
      </w:r>
      <w:r w:rsidR="00E55EAA">
        <w:rPr>
          <w:rFonts w:ascii="Arial" w:hAnsi="Arial" w:cs="Arial"/>
          <w:sz w:val="20"/>
        </w:rPr>
        <w:t>.</w:t>
      </w:r>
    </w:p>
    <w:p w14:paraId="4A9CDFB9" w14:textId="77777777" w:rsidR="00320AF5" w:rsidRPr="00C33B4A" w:rsidRDefault="00320AF5" w:rsidP="00C33B4A">
      <w:pPr>
        <w:rPr>
          <w:rFonts w:ascii="Arial" w:hAnsi="Arial" w:cs="Arial"/>
          <w:sz w:val="20"/>
          <w:szCs w:val="20"/>
        </w:rPr>
      </w:pPr>
    </w:p>
    <w:p w14:paraId="6CE270C2" w14:textId="79C55A17" w:rsidR="00C33B4A" w:rsidRDefault="00C33B4A" w:rsidP="00C33B4A">
      <w:pPr>
        <w:jc w:val="both"/>
        <w:rPr>
          <w:rFonts w:ascii="Arial" w:hAnsi="Arial" w:cs="Arial"/>
          <w:sz w:val="20"/>
          <w:szCs w:val="20"/>
        </w:rPr>
      </w:pPr>
      <w:r>
        <w:rPr>
          <w:rFonts w:ascii="Arial" w:hAnsi="Arial" w:cs="Arial"/>
          <w:color w:val="000000"/>
          <w:sz w:val="20"/>
        </w:rPr>
        <w:t xml:space="preserve">In </w:t>
      </w:r>
      <w:r w:rsidRPr="003A0E4B">
        <w:rPr>
          <w:rFonts w:ascii="Arial" w:hAnsi="Arial" w:cs="Arial"/>
          <w:i/>
          <w:iCs/>
          <w:sz w:val="20"/>
          <w:szCs w:val="20"/>
        </w:rPr>
        <w:t>DE (a pseudonym) v DFFH</w:t>
      </w:r>
      <w:r w:rsidRPr="003A0E4B">
        <w:rPr>
          <w:rFonts w:ascii="Arial" w:hAnsi="Arial" w:cs="Arial"/>
          <w:sz w:val="20"/>
          <w:szCs w:val="20"/>
        </w:rPr>
        <w:t xml:space="preserve"> [2021] VSC 691</w:t>
      </w:r>
      <w:r>
        <w:rPr>
          <w:rFonts w:ascii="Arial" w:hAnsi="Arial" w:cs="Arial"/>
          <w:sz w:val="20"/>
          <w:szCs w:val="20"/>
        </w:rPr>
        <w:t xml:space="preserve"> </w:t>
      </w:r>
      <w:r w:rsidRPr="005172AB">
        <w:rPr>
          <w:rFonts w:ascii="Arial" w:hAnsi="Arial" w:cs="Arial"/>
          <w:sz w:val="20"/>
          <w:szCs w:val="20"/>
        </w:rPr>
        <w:t xml:space="preserve">DFFH </w:t>
      </w:r>
      <w:r>
        <w:rPr>
          <w:rFonts w:ascii="Arial" w:hAnsi="Arial" w:cs="Arial"/>
          <w:sz w:val="20"/>
          <w:szCs w:val="20"/>
        </w:rPr>
        <w:t xml:space="preserve">had </w:t>
      </w:r>
      <w:r w:rsidRPr="005172AB">
        <w:rPr>
          <w:rFonts w:ascii="Arial" w:hAnsi="Arial" w:cs="Arial"/>
          <w:sz w:val="20"/>
          <w:szCs w:val="20"/>
        </w:rPr>
        <w:t>filed a protection application in relation to a child on the basis that she was in need of protection under s.162(1) CYFA.  The protective concerns were centred on an alleged risk of abuse by the stepfather DE and an associated risk that the mother [M] would fail to protect the child from such abuse.</w:t>
      </w:r>
      <w:r>
        <w:rPr>
          <w:rFonts w:ascii="Arial" w:hAnsi="Arial" w:cs="Arial"/>
          <w:sz w:val="20"/>
          <w:szCs w:val="20"/>
        </w:rPr>
        <w:t xml:space="preserve">  Subsequently </w:t>
      </w:r>
      <w:r w:rsidRPr="005172AB">
        <w:rPr>
          <w:rFonts w:ascii="Arial" w:hAnsi="Arial" w:cs="Arial"/>
          <w:sz w:val="20"/>
          <w:szCs w:val="20"/>
        </w:rPr>
        <w:t>DFFH filed minutes of proposed orders consented to by the parties that the protection application be struck out with no order for costs.</w:t>
      </w:r>
      <w:r>
        <w:rPr>
          <w:rFonts w:ascii="Arial" w:hAnsi="Arial" w:cs="Arial"/>
          <w:sz w:val="20"/>
          <w:szCs w:val="20"/>
        </w:rPr>
        <w:t xml:space="preserve">  However, a magistrate </w:t>
      </w:r>
      <w:r w:rsidRPr="005172AB">
        <w:rPr>
          <w:rFonts w:ascii="Arial" w:hAnsi="Arial" w:cs="Arial"/>
          <w:sz w:val="20"/>
          <w:szCs w:val="20"/>
        </w:rPr>
        <w:t>decided not to strike out the proceeding at that time and instead made an order for the filing of a Children’s Court Clinic report [CCCR] seeking</w:t>
      </w:r>
      <w:r>
        <w:rPr>
          <w:rFonts w:ascii="Arial" w:hAnsi="Arial" w:cs="Arial"/>
          <w:sz w:val="20"/>
          <w:szCs w:val="20"/>
        </w:rPr>
        <w:t xml:space="preserve"> assessments in relation to risk factors involving DE &amp; M.  Although the magistrate’s order for a CCCR was set aside on appeal, Ginnane J said at [29]: “</w:t>
      </w:r>
      <w:r w:rsidRPr="00C33B4A">
        <w:rPr>
          <w:rFonts w:ascii="Arial" w:hAnsi="Arial" w:cs="Arial"/>
          <w:sz w:val="20"/>
          <w:szCs w:val="20"/>
        </w:rPr>
        <w:t>I should first state that the C</w:t>
      </w:r>
      <w:r w:rsidR="009D0ACC">
        <w:rPr>
          <w:rFonts w:ascii="Arial" w:hAnsi="Arial" w:cs="Arial"/>
          <w:sz w:val="20"/>
          <w:szCs w:val="20"/>
        </w:rPr>
        <w:t>h</w:t>
      </w:r>
      <w:r w:rsidRPr="00C33B4A">
        <w:rPr>
          <w:rFonts w:ascii="Arial" w:hAnsi="Arial" w:cs="Arial"/>
          <w:sz w:val="20"/>
          <w:szCs w:val="20"/>
        </w:rPr>
        <w:t xml:space="preserve">CV was not obliged to make the orders sought by consent.  However, if it did not, or it was not ready to decide whether to make the orders, the order that it did make for the provision of an addition report had to be authorised by the Act.”  </w:t>
      </w:r>
      <w:r>
        <w:rPr>
          <w:rFonts w:ascii="Arial" w:hAnsi="Arial" w:cs="Arial"/>
          <w:sz w:val="20"/>
          <w:szCs w:val="20"/>
        </w:rPr>
        <w:t xml:space="preserve">His Honour’s dicta is thus consistent with the dicta of </w:t>
      </w:r>
      <w:r w:rsidRPr="00C33B4A">
        <w:rPr>
          <w:rFonts w:ascii="Arial" w:hAnsi="Arial" w:cs="Arial"/>
          <w:sz w:val="20"/>
          <w:szCs w:val="20"/>
        </w:rPr>
        <w:t xml:space="preserve">Nathan J in </w:t>
      </w:r>
      <w:r w:rsidRPr="00C33B4A">
        <w:rPr>
          <w:rFonts w:ascii="Arial" w:hAnsi="Arial" w:cs="Arial"/>
          <w:i/>
          <w:iCs/>
          <w:sz w:val="20"/>
          <w:szCs w:val="20"/>
        </w:rPr>
        <w:t>Secretary of the Department of Human Services v Y</w:t>
      </w:r>
      <w:r>
        <w:rPr>
          <w:rFonts w:ascii="Arial" w:hAnsi="Arial" w:cs="Arial"/>
          <w:sz w:val="20"/>
          <w:szCs w:val="20"/>
        </w:rPr>
        <w:t>.</w:t>
      </w:r>
    </w:p>
    <w:p w14:paraId="5380CCAD" w14:textId="77777777" w:rsidR="00756901" w:rsidRDefault="00756901" w:rsidP="00756901">
      <w:pPr>
        <w:rPr>
          <w:rFonts w:ascii="Arial" w:hAnsi="Arial" w:cs="Arial"/>
          <w:sz w:val="20"/>
        </w:rPr>
      </w:pPr>
    </w:p>
    <w:p w14:paraId="0F38D80D" w14:textId="449F10E6" w:rsidR="00756901" w:rsidRPr="009F25D4" w:rsidRDefault="00756901" w:rsidP="00756901">
      <w:pPr>
        <w:pStyle w:val="Heading3"/>
        <w:keepNext/>
        <w:spacing w:line="240" w:lineRule="auto"/>
        <w:rPr>
          <w:rFonts w:ascii="Arial" w:hAnsi="Arial" w:cs="Arial"/>
          <w:b/>
          <w:bCs/>
          <w:color w:val="000000"/>
          <w:sz w:val="20"/>
        </w:rPr>
      </w:pPr>
      <w:bookmarkStart w:id="284" w:name="_3.3.4.4_Implied_power"/>
      <w:bookmarkEnd w:id="284"/>
      <w:r w:rsidRPr="006C4114">
        <w:rPr>
          <w:rFonts w:ascii="Arial" w:hAnsi="Arial" w:cs="Arial"/>
          <w:b/>
          <w:bCs/>
          <w:sz w:val="20"/>
        </w:rPr>
        <w:t>3.3.</w:t>
      </w:r>
      <w:r>
        <w:rPr>
          <w:rFonts w:ascii="Arial" w:hAnsi="Arial" w:cs="Arial"/>
          <w:b/>
          <w:bCs/>
          <w:sz w:val="20"/>
        </w:rPr>
        <w:t>4</w:t>
      </w:r>
      <w:r w:rsidRPr="006C4114">
        <w:rPr>
          <w:rFonts w:ascii="Arial" w:hAnsi="Arial" w:cs="Arial"/>
          <w:b/>
          <w:bCs/>
          <w:sz w:val="20"/>
        </w:rPr>
        <w:t>.</w:t>
      </w:r>
      <w:r>
        <w:rPr>
          <w:rFonts w:ascii="Arial" w:hAnsi="Arial" w:cs="Arial"/>
          <w:b/>
          <w:bCs/>
          <w:sz w:val="20"/>
        </w:rPr>
        <w:t>4</w:t>
      </w:r>
      <w:r w:rsidRPr="006C4114">
        <w:rPr>
          <w:rFonts w:ascii="Arial" w:hAnsi="Arial" w:cs="Arial"/>
          <w:b/>
          <w:bCs/>
          <w:sz w:val="20"/>
        </w:rPr>
        <w:tab/>
      </w:r>
      <w:r>
        <w:rPr>
          <w:rFonts w:ascii="Arial" w:hAnsi="Arial" w:cs="Arial"/>
          <w:b/>
          <w:bCs/>
          <w:sz w:val="20"/>
        </w:rPr>
        <w:t>Implied power to reinstate a</w:t>
      </w:r>
      <w:r w:rsidR="00C11A19">
        <w:rPr>
          <w:rFonts w:ascii="Arial" w:hAnsi="Arial" w:cs="Arial"/>
          <w:b/>
          <w:bCs/>
          <w:sz w:val="20"/>
        </w:rPr>
        <w:t xml:space="preserve"> proceeding</w:t>
      </w:r>
      <w:r>
        <w:rPr>
          <w:rFonts w:ascii="Arial" w:hAnsi="Arial" w:cs="Arial"/>
          <w:b/>
          <w:bCs/>
          <w:sz w:val="20"/>
        </w:rPr>
        <w:t xml:space="preserve"> which was struck out</w:t>
      </w:r>
    </w:p>
    <w:p w14:paraId="08FF1180" w14:textId="4B2DDC2D" w:rsidR="001A10A8" w:rsidRDefault="001A10A8" w:rsidP="001A10A8">
      <w:pPr>
        <w:spacing w:before="120"/>
        <w:jc w:val="both"/>
        <w:rPr>
          <w:rFonts w:ascii="Arial" w:hAnsi="Arial" w:cs="Arial"/>
          <w:sz w:val="20"/>
        </w:rPr>
      </w:pPr>
      <w:r>
        <w:rPr>
          <w:rFonts w:ascii="Arial" w:hAnsi="Arial" w:cs="Arial"/>
          <w:sz w:val="20"/>
        </w:rPr>
        <w:t>It seems clear enough that the Children’s Court in both the Family Division and the Criminal Division has implied power to reinstate a</w:t>
      </w:r>
      <w:r w:rsidR="00C11A19">
        <w:rPr>
          <w:rFonts w:ascii="Arial" w:hAnsi="Arial" w:cs="Arial"/>
          <w:sz w:val="20"/>
        </w:rPr>
        <w:t xml:space="preserve"> proceeding (whether comprising a</w:t>
      </w:r>
      <w:r>
        <w:rPr>
          <w:rFonts w:ascii="Arial" w:hAnsi="Arial" w:cs="Arial"/>
          <w:sz w:val="20"/>
        </w:rPr>
        <w:t xml:space="preserve">n application or </w:t>
      </w:r>
      <w:r w:rsidR="00C11A19">
        <w:rPr>
          <w:rFonts w:ascii="Arial" w:hAnsi="Arial" w:cs="Arial"/>
          <w:sz w:val="20"/>
        </w:rPr>
        <w:t xml:space="preserve">a </w:t>
      </w:r>
      <w:r>
        <w:rPr>
          <w:rFonts w:ascii="Arial" w:hAnsi="Arial" w:cs="Arial"/>
          <w:sz w:val="20"/>
        </w:rPr>
        <w:t>charge</w:t>
      </w:r>
      <w:r w:rsidR="00C11A19">
        <w:rPr>
          <w:rFonts w:ascii="Arial" w:hAnsi="Arial" w:cs="Arial"/>
          <w:sz w:val="20"/>
        </w:rPr>
        <w:t>)</w:t>
      </w:r>
      <w:r>
        <w:rPr>
          <w:rFonts w:ascii="Arial" w:hAnsi="Arial" w:cs="Arial"/>
          <w:sz w:val="20"/>
        </w:rPr>
        <w:t xml:space="preserve"> which </w:t>
      </w:r>
      <w:r w:rsidR="00C11A19">
        <w:rPr>
          <w:rFonts w:ascii="Arial" w:hAnsi="Arial" w:cs="Arial"/>
          <w:sz w:val="20"/>
        </w:rPr>
        <w:t>h</w:t>
      </w:r>
      <w:r>
        <w:rPr>
          <w:rFonts w:ascii="Arial" w:hAnsi="Arial" w:cs="Arial"/>
          <w:sz w:val="20"/>
        </w:rPr>
        <w:t xml:space="preserve">as </w:t>
      </w:r>
      <w:r w:rsidR="00C11A19">
        <w:rPr>
          <w:rFonts w:ascii="Arial" w:hAnsi="Arial" w:cs="Arial"/>
          <w:sz w:val="20"/>
        </w:rPr>
        <w:t xml:space="preserve">been </w:t>
      </w:r>
      <w:r>
        <w:rPr>
          <w:rFonts w:ascii="Arial" w:hAnsi="Arial" w:cs="Arial"/>
          <w:sz w:val="20"/>
        </w:rPr>
        <w:t xml:space="preserve">struck out.  In </w:t>
      </w:r>
      <w:r w:rsidRPr="001A10A8">
        <w:rPr>
          <w:rFonts w:ascii="Arial" w:hAnsi="Arial" w:cs="Arial"/>
          <w:i/>
          <w:iCs/>
          <w:sz w:val="20"/>
        </w:rPr>
        <w:t>The Herald and Weekly Times Pty Ltd &amp; Anor v State of Victoria &amp; Ors</w:t>
      </w:r>
      <w:r>
        <w:rPr>
          <w:rFonts w:ascii="Arial" w:hAnsi="Arial" w:cs="Arial"/>
          <w:sz w:val="20"/>
        </w:rPr>
        <w:t xml:space="preserve"> [2006] VSCA 146 the Court of Appeal (Chernov, Nettle &amp; Ashley JJA) held at [19] that the Victorian Civil and Administrative Tribunal had such an implied power in appropriate circumstances:</w:t>
      </w:r>
    </w:p>
    <w:p w14:paraId="64E71725" w14:textId="5FDF661B" w:rsidR="00756901" w:rsidRPr="003675B1" w:rsidRDefault="00756901" w:rsidP="00756901">
      <w:pPr>
        <w:spacing w:before="80"/>
        <w:ind w:left="567" w:right="567"/>
        <w:jc w:val="both"/>
        <w:rPr>
          <w:rFonts w:ascii="Arial" w:hAnsi="Arial" w:cs="Arial"/>
          <w:color w:val="000000"/>
          <w:sz w:val="20"/>
          <w:szCs w:val="20"/>
          <w:shd w:val="clear" w:color="auto" w:fill="FFFFFF"/>
        </w:rPr>
      </w:pPr>
      <w:r w:rsidRPr="003675B1">
        <w:rPr>
          <w:rFonts w:ascii="Arial" w:hAnsi="Arial" w:cs="Arial"/>
          <w:color w:val="000000"/>
          <w:sz w:val="20"/>
          <w:szCs w:val="20"/>
          <w:shd w:val="clear" w:color="auto" w:fill="FFFFFF"/>
        </w:rPr>
        <w:t>“In our view, the Tribunal does have the implied power, in appropriate circumstances, to reinstate a proceeding that it has struck out.</w:t>
      </w:r>
      <w:r w:rsidR="003675B1">
        <w:rPr>
          <w:rFonts w:ascii="Arial" w:hAnsi="Arial" w:cs="Arial"/>
          <w:color w:val="000000"/>
          <w:sz w:val="20"/>
          <w:szCs w:val="20"/>
          <w:shd w:val="clear" w:color="auto" w:fill="FFFFFF"/>
        </w:rPr>
        <w:t xml:space="preserve"> </w:t>
      </w:r>
      <w:r w:rsidRPr="003675B1">
        <w:rPr>
          <w:rFonts w:ascii="Arial" w:hAnsi="Arial" w:cs="Arial"/>
          <w:color w:val="000000"/>
          <w:sz w:val="20"/>
          <w:szCs w:val="20"/>
          <w:shd w:val="clear" w:color="auto" w:fill="FFFFFF"/>
        </w:rPr>
        <w:t xml:space="preserve"> Generally, as was pointed out by Kaye J in</w:t>
      </w:r>
      <w:r w:rsidR="003675B1">
        <w:rPr>
          <w:rFonts w:ascii="Arial" w:hAnsi="Arial" w:cs="Arial"/>
          <w:color w:val="000000"/>
          <w:sz w:val="20"/>
          <w:szCs w:val="20"/>
          <w:shd w:val="clear" w:color="auto" w:fill="FFFFFF"/>
        </w:rPr>
        <w:t xml:space="preserve"> </w:t>
      </w:r>
      <w:r w:rsidRPr="003675B1">
        <w:rPr>
          <w:rFonts w:ascii="Arial" w:hAnsi="Arial" w:cs="Arial"/>
          <w:i/>
          <w:iCs/>
          <w:color w:val="000000"/>
          <w:sz w:val="20"/>
          <w:szCs w:val="20"/>
          <w:shd w:val="clear" w:color="auto" w:fill="FFFFFF"/>
        </w:rPr>
        <w:t>R</w:t>
      </w:r>
      <w:r w:rsidR="003675B1">
        <w:rPr>
          <w:rFonts w:ascii="Arial" w:hAnsi="Arial" w:cs="Arial"/>
          <w:i/>
          <w:iCs/>
          <w:color w:val="000000"/>
          <w:sz w:val="20"/>
          <w:szCs w:val="20"/>
          <w:shd w:val="clear" w:color="auto" w:fill="FFFFFF"/>
        </w:rPr>
        <w:t> </w:t>
      </w:r>
      <w:r w:rsidRPr="003675B1">
        <w:rPr>
          <w:rFonts w:ascii="Arial" w:hAnsi="Arial" w:cs="Arial"/>
          <w:i/>
          <w:iCs/>
          <w:color w:val="000000"/>
          <w:sz w:val="20"/>
          <w:szCs w:val="20"/>
          <w:shd w:val="clear" w:color="auto" w:fill="FFFFFF"/>
        </w:rPr>
        <w:t>v. McGowan; Ex parte Macko &amp; Sanderson</w:t>
      </w:r>
      <w:r w:rsidR="003675B1">
        <w:rPr>
          <w:rFonts w:ascii="Arial" w:hAnsi="Arial" w:cs="Arial"/>
          <w:color w:val="000000"/>
          <w:sz w:val="20"/>
          <w:szCs w:val="20"/>
          <w:shd w:val="clear" w:color="auto" w:fill="FFFFFF"/>
        </w:rPr>
        <w:t xml:space="preserve"> [1984] VR 1000 at 1002, </w:t>
      </w:r>
      <w:r w:rsidRPr="003675B1">
        <w:rPr>
          <w:rFonts w:ascii="Arial" w:hAnsi="Arial" w:cs="Arial"/>
          <w:color w:val="000000"/>
          <w:sz w:val="20"/>
          <w:szCs w:val="20"/>
          <w:shd w:val="clear" w:color="auto" w:fill="FFFFFF"/>
        </w:rPr>
        <w:t>an order striking out an action does not terminate it. The latter occurs where judgment is entered in the proceeding or where it is discontinued. An order striking out an action, said his Honour, only has the effect of removing it from the list. It is plain enough, we think, that it would be a serious impediment to the Tribunal’s administration of the</w:t>
      </w:r>
      <w:r w:rsidR="003675B1">
        <w:rPr>
          <w:rFonts w:ascii="Arial" w:hAnsi="Arial" w:cs="Arial"/>
          <w:color w:val="000000"/>
          <w:sz w:val="20"/>
          <w:szCs w:val="20"/>
          <w:shd w:val="clear" w:color="auto" w:fill="FFFFFF"/>
        </w:rPr>
        <w:t xml:space="preserve"> </w:t>
      </w:r>
      <w:r w:rsidRPr="003675B1">
        <w:rPr>
          <w:rFonts w:ascii="Arial" w:hAnsi="Arial" w:cs="Arial"/>
          <w:sz w:val="20"/>
          <w:szCs w:val="20"/>
          <w:shd w:val="clear" w:color="auto" w:fill="FFFFFF"/>
        </w:rPr>
        <w:t>Act</w:t>
      </w:r>
      <w:r w:rsidR="003675B1">
        <w:rPr>
          <w:rFonts w:ascii="Arial" w:hAnsi="Arial" w:cs="Arial"/>
          <w:color w:val="000000"/>
          <w:sz w:val="20"/>
          <w:szCs w:val="20"/>
          <w:shd w:val="clear" w:color="auto" w:fill="FFFFFF"/>
        </w:rPr>
        <w:t xml:space="preserve"> </w:t>
      </w:r>
      <w:r w:rsidRPr="003675B1">
        <w:rPr>
          <w:rFonts w:ascii="Arial" w:hAnsi="Arial" w:cs="Arial"/>
          <w:color w:val="000000"/>
          <w:sz w:val="20"/>
          <w:szCs w:val="20"/>
          <w:shd w:val="clear" w:color="auto" w:fill="FFFFFF"/>
        </w:rPr>
        <w:t>if it could not reinstate a proceeding that was struck out in order to make an otherwise appropriate order in relation to it.</w:t>
      </w:r>
      <w:r w:rsidR="003675B1" w:rsidRPr="003675B1">
        <w:rPr>
          <w:rFonts w:ascii="Arial" w:hAnsi="Arial" w:cs="Arial"/>
          <w:color w:val="000000"/>
          <w:sz w:val="20"/>
          <w:szCs w:val="20"/>
          <w:shd w:val="clear" w:color="auto" w:fill="FFFFFF"/>
        </w:rPr>
        <w:t xml:space="preserve">  See also</w:t>
      </w:r>
      <w:r w:rsidR="001A10A8">
        <w:rPr>
          <w:rFonts w:ascii="Arial" w:hAnsi="Arial" w:cs="Arial"/>
          <w:color w:val="000000"/>
          <w:sz w:val="20"/>
          <w:szCs w:val="20"/>
          <w:shd w:val="clear" w:color="auto" w:fill="FFFFFF"/>
        </w:rPr>
        <w:t xml:space="preserve"> </w:t>
      </w:r>
      <w:r w:rsidR="003675B1" w:rsidRPr="003675B1">
        <w:rPr>
          <w:rFonts w:ascii="Arial" w:hAnsi="Arial" w:cs="Arial"/>
          <w:i/>
          <w:iCs/>
          <w:color w:val="000000"/>
          <w:sz w:val="20"/>
          <w:szCs w:val="20"/>
          <w:shd w:val="clear" w:color="auto" w:fill="FFFFFF"/>
        </w:rPr>
        <w:t>Aiken v. Aiken</w:t>
      </w:r>
      <w:r w:rsidR="001A10A8">
        <w:rPr>
          <w:rFonts w:ascii="Arial" w:hAnsi="Arial" w:cs="Arial"/>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[1941] V</w:t>
      </w:r>
      <w:r w:rsidR="003675B1">
        <w:rPr>
          <w:rFonts w:ascii="Arial" w:hAnsi="Arial" w:cs="Arial"/>
          <w:color w:val="000000"/>
          <w:sz w:val="20"/>
          <w:szCs w:val="20"/>
          <w:shd w:val="clear" w:color="auto" w:fill="FFFFFF"/>
        </w:rPr>
        <w:t>LR</w:t>
      </w:r>
      <w:r w:rsidR="003675B1" w:rsidRPr="003675B1">
        <w:rPr>
          <w:rFonts w:ascii="Arial" w:hAnsi="Arial" w:cs="Arial"/>
          <w:color w:val="000000"/>
          <w:sz w:val="20"/>
          <w:szCs w:val="20"/>
          <w:shd w:val="clear" w:color="auto" w:fill="FFFFFF"/>
        </w:rPr>
        <w:t xml:space="preserve"> 124</w:t>
      </w:r>
      <w:r w:rsidR="003675B1">
        <w:rPr>
          <w:rFonts w:ascii="Arial" w:hAnsi="Arial" w:cs="Arial"/>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and</w:t>
      </w:r>
      <w:r w:rsidR="003675B1">
        <w:rPr>
          <w:rFonts w:ascii="Arial" w:hAnsi="Arial" w:cs="Arial"/>
          <w:color w:val="000000"/>
          <w:sz w:val="20"/>
          <w:szCs w:val="20"/>
          <w:shd w:val="clear" w:color="auto" w:fill="FFFFFF"/>
        </w:rPr>
        <w:t xml:space="preserve"> </w:t>
      </w:r>
      <w:r w:rsidR="003675B1" w:rsidRPr="003675B1">
        <w:rPr>
          <w:rFonts w:ascii="Arial" w:hAnsi="Arial" w:cs="Arial"/>
          <w:i/>
          <w:iCs/>
          <w:color w:val="000000"/>
          <w:sz w:val="20"/>
          <w:szCs w:val="20"/>
          <w:shd w:val="clear" w:color="auto" w:fill="FFFFFF"/>
        </w:rPr>
        <w:t>Roberts v. Gippsland Agricultural and Earth Moving Contracting Co. Pty Ltd</w:t>
      </w:r>
      <w:r w:rsidR="001A10A8">
        <w:rPr>
          <w:rFonts w:ascii="Arial" w:hAnsi="Arial" w:cs="Arial"/>
          <w:i/>
          <w:iCs/>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[1956] V</w:t>
      </w:r>
      <w:r w:rsidR="003675B1">
        <w:rPr>
          <w:rFonts w:ascii="Arial" w:hAnsi="Arial" w:cs="Arial"/>
          <w:color w:val="000000"/>
          <w:sz w:val="20"/>
          <w:szCs w:val="20"/>
          <w:shd w:val="clear" w:color="auto" w:fill="FFFFFF"/>
        </w:rPr>
        <w:t>LR</w:t>
      </w:r>
      <w:r w:rsidR="003675B1" w:rsidRPr="003675B1">
        <w:rPr>
          <w:rFonts w:ascii="Arial" w:hAnsi="Arial" w:cs="Arial"/>
          <w:color w:val="000000"/>
          <w:sz w:val="20"/>
          <w:szCs w:val="20"/>
          <w:shd w:val="clear" w:color="auto" w:fill="FFFFFF"/>
        </w:rPr>
        <w:t xml:space="preserve"> 555 at</w:t>
      </w:r>
      <w:r w:rsidR="001A10A8">
        <w:rPr>
          <w:rFonts w:ascii="Arial" w:hAnsi="Arial" w:cs="Arial"/>
          <w:color w:val="000000"/>
          <w:sz w:val="20"/>
          <w:szCs w:val="20"/>
          <w:shd w:val="clear" w:color="auto" w:fill="FFFFFF"/>
        </w:rPr>
        <w:t xml:space="preserve"> </w:t>
      </w:r>
      <w:r w:rsidR="003675B1" w:rsidRPr="003675B1">
        <w:rPr>
          <w:rFonts w:ascii="Arial" w:hAnsi="Arial" w:cs="Arial"/>
          <w:sz w:val="20"/>
          <w:szCs w:val="20"/>
          <w:shd w:val="clear" w:color="auto" w:fill="FFFFFF"/>
        </w:rPr>
        <w:t>565</w:t>
      </w:r>
      <w:r w:rsidR="001A10A8">
        <w:rPr>
          <w:rFonts w:ascii="Arial" w:hAnsi="Arial" w:cs="Arial"/>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per Smith J.</w:t>
      </w:r>
      <w:r w:rsidRPr="003675B1">
        <w:rPr>
          <w:rFonts w:ascii="Arial" w:hAnsi="Arial" w:cs="Arial"/>
          <w:color w:val="000000"/>
          <w:sz w:val="20"/>
          <w:szCs w:val="20"/>
          <w:shd w:val="clear" w:color="auto" w:fill="FFFFFF"/>
        </w:rPr>
        <w:t>”</w:t>
      </w:r>
    </w:p>
    <w:p w14:paraId="5E70581D" w14:textId="77777777" w:rsidR="00756901" w:rsidRDefault="00756901" w:rsidP="002F68AE">
      <w:pPr>
        <w:rPr>
          <w:rFonts w:ascii="Arial" w:hAnsi="Arial" w:cs="Arial"/>
          <w:sz w:val="20"/>
        </w:rPr>
      </w:pPr>
    </w:p>
    <w:p w14:paraId="2948991E" w14:textId="6AB35D10" w:rsidR="001A10A8" w:rsidRDefault="001A10A8" w:rsidP="002F68AE">
      <w:pPr>
        <w:rPr>
          <w:rFonts w:ascii="Arial" w:hAnsi="Arial" w:cs="Arial"/>
          <w:sz w:val="20"/>
        </w:rPr>
      </w:pPr>
      <w:r>
        <w:rPr>
          <w:rFonts w:ascii="Arial" w:hAnsi="Arial" w:cs="Arial"/>
          <w:sz w:val="20"/>
        </w:rPr>
        <w:t xml:space="preserve">See also </w:t>
      </w:r>
      <w:r w:rsidRPr="00D040BE">
        <w:rPr>
          <w:rFonts w:ascii="Arial" w:hAnsi="Arial" w:cs="Arial"/>
          <w:i/>
          <w:iCs/>
          <w:color w:val="000000"/>
          <w:sz w:val="20"/>
        </w:rPr>
        <w:t>Thurin v Krongold Constructions Aust P/L</w:t>
      </w:r>
      <w:r>
        <w:rPr>
          <w:rFonts w:ascii="Arial" w:hAnsi="Arial" w:cs="Arial"/>
          <w:color w:val="000000"/>
          <w:sz w:val="20"/>
        </w:rPr>
        <w:t xml:space="preserve"> [2022] VSCA 226 at [150]</w:t>
      </w:r>
      <w:r w:rsidR="00C11A19">
        <w:rPr>
          <w:rFonts w:ascii="Arial" w:hAnsi="Arial" w:cs="Arial"/>
          <w:color w:val="000000"/>
          <w:sz w:val="20"/>
        </w:rPr>
        <w:t xml:space="preserve">; </w:t>
      </w:r>
      <w:r w:rsidR="00C11A19" w:rsidRPr="00C11A19">
        <w:rPr>
          <w:rFonts w:ascii="Arial" w:hAnsi="Arial" w:cs="Arial"/>
          <w:i/>
          <w:iCs/>
          <w:color w:val="000000"/>
          <w:sz w:val="20"/>
        </w:rPr>
        <w:t>Zhang v Bajada</w:t>
      </w:r>
      <w:r w:rsidR="00C11A19">
        <w:rPr>
          <w:rFonts w:ascii="Arial" w:hAnsi="Arial" w:cs="Arial"/>
          <w:color w:val="000000"/>
          <w:sz w:val="20"/>
        </w:rPr>
        <w:t xml:space="preserve"> [2024] VSC 15 at [65].  See also</w:t>
      </w:r>
      <w:r>
        <w:rPr>
          <w:rFonts w:ascii="Arial" w:hAnsi="Arial" w:cs="Arial"/>
          <w:color w:val="000000"/>
          <w:sz w:val="20"/>
        </w:rPr>
        <w:t xml:space="preserve"> the criminal cases referred to in </w:t>
      </w:r>
      <w:r w:rsidRPr="00A975E6">
        <w:rPr>
          <w:rFonts w:ascii="Arial" w:hAnsi="Arial" w:cs="Arial"/>
          <w:b/>
          <w:bCs/>
          <w:color w:val="000000"/>
          <w:sz w:val="20"/>
          <w:shd w:val="clear" w:color="auto" w:fill="C5E0B3" w:themeFill="accent6" w:themeFillTint="66"/>
        </w:rPr>
        <w:t xml:space="preserve">section </w:t>
      </w:r>
      <w:r w:rsidRPr="00195F33">
        <w:rPr>
          <w:rFonts w:ascii="Arial" w:hAnsi="Arial" w:cs="Arial"/>
          <w:b/>
          <w:bCs/>
          <w:color w:val="000000"/>
          <w:sz w:val="20"/>
          <w:shd w:val="clear" w:color="auto" w:fill="C5E0B3"/>
        </w:rPr>
        <w:t>11.1.10</w:t>
      </w:r>
      <w:r>
        <w:rPr>
          <w:rFonts w:ascii="Arial" w:hAnsi="Arial" w:cs="Arial"/>
          <w:color w:val="000000"/>
          <w:sz w:val="20"/>
        </w:rPr>
        <w:t>.</w:t>
      </w:r>
    </w:p>
    <w:p w14:paraId="112C588E" w14:textId="77777777" w:rsidR="004E6F29" w:rsidRDefault="004E6F29" w:rsidP="004E6F29">
      <w:pPr>
        <w:rPr>
          <w:rFonts w:ascii="Arial" w:hAnsi="Arial" w:cs="Arial"/>
          <w:sz w:val="20"/>
        </w:rPr>
      </w:pPr>
      <w:bookmarkStart w:id="285" w:name="_3.4_Procedural_guidelines"/>
      <w:bookmarkStart w:id="286" w:name="B34"/>
      <w:bookmarkStart w:id="287" w:name="_Hlk167784752"/>
      <w:bookmarkEnd w:id="285"/>
      <w:bookmarkEnd w:id="286"/>
    </w:p>
    <w:p w14:paraId="6D4DF695" w14:textId="271BD371" w:rsidR="004E6F29" w:rsidRPr="009F25D4" w:rsidRDefault="004E6F29" w:rsidP="004E6F29">
      <w:pPr>
        <w:pStyle w:val="Heading3"/>
        <w:keepNext/>
        <w:spacing w:line="240" w:lineRule="auto"/>
        <w:rPr>
          <w:rFonts w:ascii="Arial" w:hAnsi="Arial" w:cs="Arial"/>
          <w:b/>
          <w:bCs/>
          <w:color w:val="000000"/>
          <w:sz w:val="20"/>
        </w:rPr>
      </w:pPr>
      <w:bookmarkStart w:id="288" w:name="_3.3.4.5_Power_to"/>
      <w:bookmarkEnd w:id="288"/>
      <w:r w:rsidRPr="006C4114">
        <w:rPr>
          <w:rFonts w:ascii="Arial" w:hAnsi="Arial" w:cs="Arial"/>
          <w:b/>
          <w:bCs/>
          <w:sz w:val="20"/>
        </w:rPr>
        <w:t>3.3.</w:t>
      </w:r>
      <w:r>
        <w:rPr>
          <w:rFonts w:ascii="Arial" w:hAnsi="Arial" w:cs="Arial"/>
          <w:b/>
          <w:bCs/>
          <w:sz w:val="20"/>
        </w:rPr>
        <w:t>4</w:t>
      </w:r>
      <w:r w:rsidRPr="006C4114">
        <w:rPr>
          <w:rFonts w:ascii="Arial" w:hAnsi="Arial" w:cs="Arial"/>
          <w:b/>
          <w:bCs/>
          <w:sz w:val="20"/>
        </w:rPr>
        <w:t>.</w:t>
      </w:r>
      <w:r>
        <w:rPr>
          <w:rFonts w:ascii="Arial" w:hAnsi="Arial" w:cs="Arial"/>
          <w:b/>
          <w:bCs/>
          <w:sz w:val="20"/>
        </w:rPr>
        <w:t>5</w:t>
      </w:r>
      <w:r w:rsidRPr="006C4114">
        <w:rPr>
          <w:rFonts w:ascii="Arial" w:hAnsi="Arial" w:cs="Arial"/>
          <w:b/>
          <w:bCs/>
          <w:sz w:val="20"/>
        </w:rPr>
        <w:tab/>
      </w:r>
      <w:r>
        <w:rPr>
          <w:rFonts w:ascii="Arial" w:hAnsi="Arial" w:cs="Arial"/>
          <w:b/>
          <w:bCs/>
          <w:sz w:val="20"/>
        </w:rPr>
        <w:t xml:space="preserve">Power to dismiss a proceeding </w:t>
      </w:r>
      <w:r w:rsidR="00C253B3">
        <w:rPr>
          <w:rFonts w:ascii="Arial" w:hAnsi="Arial" w:cs="Arial"/>
          <w:b/>
          <w:bCs/>
          <w:sz w:val="20"/>
        </w:rPr>
        <w:t>f</w:t>
      </w:r>
      <w:r>
        <w:rPr>
          <w:rFonts w:ascii="Arial" w:hAnsi="Arial" w:cs="Arial"/>
          <w:b/>
          <w:bCs/>
          <w:sz w:val="20"/>
        </w:rPr>
        <w:t>or want of prosecution</w:t>
      </w:r>
    </w:p>
    <w:p w14:paraId="07510E89" w14:textId="44D2E0E2" w:rsidR="004E6F29" w:rsidRDefault="004E6F29" w:rsidP="0062091D">
      <w:pPr>
        <w:spacing w:before="120"/>
        <w:jc w:val="both"/>
        <w:rPr>
          <w:rFonts w:ascii="Arial" w:hAnsi="Arial" w:cs="Arial"/>
          <w:sz w:val="20"/>
        </w:rPr>
      </w:pPr>
      <w:r>
        <w:rPr>
          <w:rFonts w:ascii="Arial" w:hAnsi="Arial" w:cs="Arial"/>
          <w:sz w:val="20"/>
        </w:rPr>
        <w:t xml:space="preserve">In </w:t>
      </w:r>
      <w:r w:rsidRPr="004E6F29">
        <w:rPr>
          <w:rFonts w:ascii="Arial" w:hAnsi="Arial" w:cs="Arial"/>
          <w:i/>
          <w:iCs/>
          <w:sz w:val="20"/>
        </w:rPr>
        <w:t>Pentridge Village Ptd Ltd (in liquidation)(Receivers and managers appointed) v Capital Finance Australia Ltd</w:t>
      </w:r>
      <w:r>
        <w:rPr>
          <w:rFonts w:ascii="Arial" w:hAnsi="Arial" w:cs="Arial"/>
          <w:sz w:val="20"/>
        </w:rPr>
        <w:t xml:space="preserve"> [2025] VSCA 290 the proceeding had </w:t>
      </w:r>
      <w:r w:rsidR="000F17DA">
        <w:rPr>
          <w:rFonts w:ascii="Arial" w:hAnsi="Arial" w:cs="Arial"/>
          <w:sz w:val="20"/>
        </w:rPr>
        <w:t xml:space="preserve">had </w:t>
      </w:r>
      <w:r>
        <w:rPr>
          <w:rFonts w:ascii="Arial" w:hAnsi="Arial" w:cs="Arial"/>
          <w:sz w:val="20"/>
        </w:rPr>
        <w:t xml:space="preserve">a long and protracted history, the applicants having commenced the proceeding on 30 June 2016 claiming damages in the order of $840 million for loss of opportunity to develop the former Pentridge Prison site and pleading </w:t>
      </w:r>
      <w:r w:rsidR="0062091D">
        <w:rPr>
          <w:rFonts w:ascii="Arial" w:hAnsi="Arial" w:cs="Arial"/>
          <w:sz w:val="20"/>
        </w:rPr>
        <w:t>misleading and deceptive conduct, deceit and statutory unconscionable conduct by the respondent. Stynes J made orders on 3</w:t>
      </w:r>
      <w:r w:rsidR="000F17DA">
        <w:rPr>
          <w:rFonts w:ascii="Arial" w:hAnsi="Arial" w:cs="Arial"/>
          <w:sz w:val="20"/>
        </w:rPr>
        <w:t> </w:t>
      </w:r>
      <w:r w:rsidR="0062091D">
        <w:rPr>
          <w:rFonts w:ascii="Arial" w:hAnsi="Arial" w:cs="Arial"/>
          <w:sz w:val="20"/>
        </w:rPr>
        <w:t>November 2023 dismissing the proceeding for want of prosecution</w:t>
      </w:r>
      <w:r w:rsidR="000F17DA">
        <w:rPr>
          <w:rFonts w:ascii="Arial" w:hAnsi="Arial" w:cs="Arial"/>
          <w:sz w:val="20"/>
        </w:rPr>
        <w:t xml:space="preserve"> on the basis</w:t>
      </w:r>
      <w:r w:rsidR="0062091D">
        <w:rPr>
          <w:rFonts w:ascii="Arial" w:hAnsi="Arial" w:cs="Arial"/>
          <w:sz w:val="20"/>
        </w:rPr>
        <w:t xml:space="preserve"> that there had been </w:t>
      </w:r>
      <w:r w:rsidR="0062091D" w:rsidRPr="0062091D">
        <w:rPr>
          <w:rFonts w:ascii="Arial" w:hAnsi="Arial" w:cs="Arial"/>
          <w:sz w:val="20"/>
        </w:rPr>
        <w:t xml:space="preserve">inordinate and inexcusable delay on the part of the applicants which prejudiced </w:t>
      </w:r>
      <w:r w:rsidR="0062091D">
        <w:rPr>
          <w:rFonts w:ascii="Arial" w:hAnsi="Arial" w:cs="Arial"/>
          <w:sz w:val="20"/>
        </w:rPr>
        <w:t>the respondent</w:t>
      </w:r>
      <w:r w:rsidR="0062091D" w:rsidRPr="0062091D">
        <w:rPr>
          <w:rFonts w:ascii="Arial" w:hAnsi="Arial" w:cs="Arial"/>
          <w:sz w:val="20"/>
        </w:rPr>
        <w:t xml:space="preserve"> and gave rise to a substantial risk that a fair trial could not be </w:t>
      </w:r>
      <w:proofErr w:type="gramStart"/>
      <w:r w:rsidR="0062091D" w:rsidRPr="0062091D">
        <w:rPr>
          <w:rFonts w:ascii="Arial" w:hAnsi="Arial" w:cs="Arial"/>
          <w:sz w:val="20"/>
        </w:rPr>
        <w:t>had</w:t>
      </w:r>
      <w:r w:rsidR="000F17DA">
        <w:rPr>
          <w:rFonts w:ascii="Arial" w:hAnsi="Arial" w:cs="Arial"/>
          <w:sz w:val="20"/>
        </w:rPr>
        <w:t>:</w:t>
      </w:r>
      <w:proofErr w:type="gramEnd"/>
      <w:r w:rsidR="000F17DA">
        <w:rPr>
          <w:rFonts w:ascii="Arial" w:hAnsi="Arial" w:cs="Arial"/>
          <w:sz w:val="20"/>
        </w:rPr>
        <w:t xml:space="preserve"> see [2023] VSC 605.</w:t>
      </w:r>
    </w:p>
    <w:p w14:paraId="6F3D7487" w14:textId="750CD93A" w:rsidR="004E6F29" w:rsidRDefault="00C41C87" w:rsidP="005C4CC4">
      <w:pPr>
        <w:spacing w:before="80"/>
        <w:jc w:val="both"/>
        <w:rPr>
          <w:rFonts w:ascii="Arial" w:hAnsi="Arial" w:cs="Arial"/>
          <w:sz w:val="20"/>
        </w:rPr>
      </w:pPr>
      <w:r>
        <w:rPr>
          <w:rFonts w:ascii="Arial" w:hAnsi="Arial" w:cs="Arial"/>
          <w:sz w:val="20"/>
        </w:rPr>
        <w:t xml:space="preserve">The Court of Appeal granted leave to appeal, holding that Stynes J had identified the correct test </w:t>
      </w:r>
      <w:r w:rsidRPr="004E6F29">
        <w:rPr>
          <w:rFonts w:ascii="Arial" w:hAnsi="Arial" w:cs="Arial"/>
          <w:sz w:val="20"/>
        </w:rPr>
        <w:t xml:space="preserve">but </w:t>
      </w:r>
      <w:r w:rsidR="005C4CC4">
        <w:rPr>
          <w:rFonts w:ascii="Arial" w:hAnsi="Arial" w:cs="Arial"/>
          <w:sz w:val="20"/>
        </w:rPr>
        <w:t>had</w:t>
      </w:r>
      <w:r w:rsidRPr="004E6F29">
        <w:rPr>
          <w:rFonts w:ascii="Arial" w:hAnsi="Arial" w:cs="Arial"/>
          <w:sz w:val="20"/>
        </w:rPr>
        <w:t xml:space="preserve"> not distinguish</w:t>
      </w:r>
      <w:r w:rsidR="005C4CC4">
        <w:rPr>
          <w:rFonts w:ascii="Arial" w:hAnsi="Arial" w:cs="Arial"/>
          <w:sz w:val="20"/>
        </w:rPr>
        <w:t>ed</w:t>
      </w:r>
      <w:r w:rsidRPr="004E6F29">
        <w:rPr>
          <w:rFonts w:ascii="Arial" w:hAnsi="Arial" w:cs="Arial"/>
          <w:sz w:val="20"/>
        </w:rPr>
        <w:t xml:space="preserve"> between prejudice to </w:t>
      </w:r>
      <w:r>
        <w:rPr>
          <w:rFonts w:ascii="Arial" w:hAnsi="Arial" w:cs="Arial"/>
          <w:sz w:val="20"/>
        </w:rPr>
        <w:t xml:space="preserve">the </w:t>
      </w:r>
      <w:r w:rsidRPr="004E6F29">
        <w:rPr>
          <w:rFonts w:ascii="Arial" w:hAnsi="Arial" w:cs="Arial"/>
          <w:sz w:val="20"/>
        </w:rPr>
        <w:t xml:space="preserve">respondent due to </w:t>
      </w:r>
      <w:r>
        <w:rPr>
          <w:rFonts w:ascii="Arial" w:hAnsi="Arial" w:cs="Arial"/>
          <w:sz w:val="20"/>
        </w:rPr>
        <w:t xml:space="preserve">the </w:t>
      </w:r>
      <w:r w:rsidRPr="004E6F29">
        <w:rPr>
          <w:rFonts w:ascii="Arial" w:hAnsi="Arial" w:cs="Arial"/>
          <w:sz w:val="20"/>
        </w:rPr>
        <w:t xml:space="preserve">applicants’ inordinate and inexcusable delay and prejudice </w:t>
      </w:r>
      <w:r>
        <w:rPr>
          <w:rFonts w:ascii="Arial" w:hAnsi="Arial" w:cs="Arial"/>
          <w:sz w:val="20"/>
        </w:rPr>
        <w:t xml:space="preserve">the </w:t>
      </w:r>
      <w:r w:rsidRPr="004E6F29">
        <w:rPr>
          <w:rFonts w:ascii="Arial" w:hAnsi="Arial" w:cs="Arial"/>
          <w:sz w:val="20"/>
        </w:rPr>
        <w:t>respondent would have suffered in any event</w:t>
      </w:r>
      <w:r>
        <w:rPr>
          <w:rFonts w:ascii="Arial" w:hAnsi="Arial" w:cs="Arial"/>
          <w:sz w:val="20"/>
        </w:rPr>
        <w:t xml:space="preserve">. In reconsidering the dismissal application the Court of Appeal found further periods of inordinate and inexcusable delay, leading </w:t>
      </w:r>
      <w:r w:rsidR="00380D51">
        <w:rPr>
          <w:rFonts w:ascii="Arial" w:hAnsi="Arial" w:cs="Arial"/>
          <w:sz w:val="20"/>
        </w:rPr>
        <w:t xml:space="preserve">it </w:t>
      </w:r>
      <w:r>
        <w:rPr>
          <w:rFonts w:ascii="Arial" w:hAnsi="Arial" w:cs="Arial"/>
          <w:sz w:val="20"/>
        </w:rPr>
        <w:t>to conclu</w:t>
      </w:r>
      <w:r w:rsidR="00380D51">
        <w:rPr>
          <w:rFonts w:ascii="Arial" w:hAnsi="Arial" w:cs="Arial"/>
          <w:sz w:val="20"/>
        </w:rPr>
        <w:t>de</w:t>
      </w:r>
      <w:r>
        <w:rPr>
          <w:rFonts w:ascii="Arial" w:hAnsi="Arial" w:cs="Arial"/>
          <w:sz w:val="20"/>
        </w:rPr>
        <w:t xml:space="preserve"> that the proceeding should be dismissed for want of prosecution.</w:t>
      </w:r>
    </w:p>
    <w:p w14:paraId="44737F2E" w14:textId="494CB02A" w:rsidR="005C4CC4" w:rsidRDefault="00C41C87" w:rsidP="00C41C87">
      <w:pPr>
        <w:spacing w:before="60"/>
        <w:jc w:val="both"/>
        <w:rPr>
          <w:rFonts w:ascii="Arial" w:hAnsi="Arial" w:cs="Arial"/>
          <w:sz w:val="20"/>
        </w:rPr>
      </w:pPr>
      <w:r>
        <w:rPr>
          <w:rFonts w:ascii="Arial" w:hAnsi="Arial" w:cs="Arial"/>
          <w:sz w:val="20"/>
        </w:rPr>
        <w:t xml:space="preserve">In relation to the relevant test, </w:t>
      </w:r>
      <w:r w:rsidR="005C4CC4">
        <w:rPr>
          <w:rFonts w:ascii="Arial" w:hAnsi="Arial" w:cs="Arial"/>
          <w:sz w:val="20"/>
        </w:rPr>
        <w:t xml:space="preserve">the Court of Appeal (Kennedy, Orr &amp; Richards JJA) referred at [71] to “the </w:t>
      </w:r>
      <w:r w:rsidR="005C4CC4" w:rsidRPr="005C4CC4">
        <w:rPr>
          <w:rFonts w:ascii="Arial" w:hAnsi="Arial" w:cs="Arial"/>
          <w:sz w:val="20"/>
        </w:rPr>
        <w:t>fundamental principle that has long informed the exercise of the power to dismiss proceedings for want of prosecution, which is that an order for dismissal will be made ‘if the justice of the occasion demands it’</w:t>
      </w:r>
      <w:r w:rsidR="005C4CC4">
        <w:rPr>
          <w:rFonts w:ascii="Arial" w:hAnsi="Arial" w:cs="Arial"/>
          <w:sz w:val="20"/>
        </w:rPr>
        <w:t xml:space="preserve">: see </w:t>
      </w:r>
      <w:r w:rsidR="005C4CC4" w:rsidRPr="005C4CC4">
        <w:rPr>
          <w:rFonts w:ascii="Arial" w:hAnsi="Arial" w:cs="Arial"/>
          <w:i/>
          <w:iCs/>
          <w:sz w:val="20"/>
        </w:rPr>
        <w:t>Masel v Transport Industries Insurance Co Ltd</w:t>
      </w:r>
      <w:r w:rsidR="005C4CC4" w:rsidRPr="005C4CC4">
        <w:rPr>
          <w:rFonts w:ascii="Arial" w:hAnsi="Arial" w:cs="Arial"/>
          <w:sz w:val="20"/>
        </w:rPr>
        <w:t xml:space="preserve"> [1995] 2 VR 32</w:t>
      </w:r>
      <w:r w:rsidR="005C4CC4">
        <w:rPr>
          <w:rFonts w:ascii="Arial" w:hAnsi="Arial" w:cs="Arial"/>
          <w:sz w:val="20"/>
        </w:rPr>
        <w:t>8, 332</w:t>
      </w:r>
      <w:r w:rsidR="005C4CC4" w:rsidRPr="005C4CC4">
        <w:rPr>
          <w:rFonts w:ascii="Arial" w:hAnsi="Arial" w:cs="Arial"/>
          <w:sz w:val="20"/>
        </w:rPr>
        <w:t>.</w:t>
      </w:r>
      <w:r w:rsidR="005C4CC4">
        <w:rPr>
          <w:rFonts w:ascii="Arial" w:hAnsi="Arial" w:cs="Arial"/>
          <w:sz w:val="20"/>
        </w:rPr>
        <w:t>”</w:t>
      </w:r>
      <w:r w:rsidR="00380D51">
        <w:rPr>
          <w:rFonts w:ascii="Arial" w:hAnsi="Arial" w:cs="Arial"/>
          <w:sz w:val="20"/>
        </w:rPr>
        <w:t xml:space="preserve"> Their Honours’ analysis at [70]-[84] </w:t>
      </w:r>
      <w:r w:rsidR="00C253B3">
        <w:rPr>
          <w:rFonts w:ascii="Arial" w:hAnsi="Arial" w:cs="Arial"/>
          <w:sz w:val="20"/>
        </w:rPr>
        <w:t>conclude</w:t>
      </w:r>
      <w:r w:rsidR="002765B8">
        <w:rPr>
          <w:rFonts w:ascii="Arial" w:hAnsi="Arial" w:cs="Arial"/>
          <w:sz w:val="20"/>
        </w:rPr>
        <w:t>d</w:t>
      </w:r>
      <w:r w:rsidR="00380D51">
        <w:rPr>
          <w:rFonts w:ascii="Arial" w:hAnsi="Arial" w:cs="Arial"/>
          <w:sz w:val="20"/>
        </w:rPr>
        <w:t xml:space="preserve"> that the guidelines adopted in </w:t>
      </w:r>
      <w:r w:rsidR="005C4CC4" w:rsidRPr="00380D51">
        <w:rPr>
          <w:rFonts w:ascii="Arial" w:hAnsi="Arial" w:cs="Arial"/>
          <w:i/>
          <w:iCs/>
          <w:sz w:val="20"/>
        </w:rPr>
        <w:t xml:space="preserve">Bishopsgate Insurance Australia Ltd (in </w:t>
      </w:r>
      <w:proofErr w:type="spellStart"/>
      <w:r w:rsidR="005C4CC4" w:rsidRPr="00380D51">
        <w:rPr>
          <w:rFonts w:ascii="Arial" w:hAnsi="Arial" w:cs="Arial"/>
          <w:i/>
          <w:iCs/>
          <w:sz w:val="20"/>
        </w:rPr>
        <w:t>liq</w:t>
      </w:r>
      <w:proofErr w:type="spellEnd"/>
      <w:r w:rsidR="005C4CC4" w:rsidRPr="00380D51">
        <w:rPr>
          <w:rFonts w:ascii="Arial" w:hAnsi="Arial" w:cs="Arial"/>
          <w:i/>
          <w:iCs/>
          <w:sz w:val="20"/>
        </w:rPr>
        <w:t>) v Deloitte Haskins &amp; Sells</w:t>
      </w:r>
      <w:r w:rsidR="005C4CC4" w:rsidRPr="005C4CC4">
        <w:rPr>
          <w:rFonts w:ascii="Arial" w:hAnsi="Arial" w:cs="Arial"/>
          <w:sz w:val="20"/>
        </w:rPr>
        <w:t xml:space="preserve"> [1999] 3 VR 863 </w:t>
      </w:r>
      <w:r w:rsidR="00380D51">
        <w:rPr>
          <w:rFonts w:ascii="Arial" w:hAnsi="Arial" w:cs="Arial"/>
          <w:sz w:val="20"/>
        </w:rPr>
        <w:t xml:space="preserve">remain operative but the Court is now also </w:t>
      </w:r>
      <w:r w:rsidR="005C4CC4" w:rsidRPr="005C4CC4">
        <w:rPr>
          <w:rFonts w:ascii="Arial" w:hAnsi="Arial" w:cs="Arial"/>
          <w:sz w:val="20"/>
        </w:rPr>
        <w:t>obliged to have regard to the efficient conduct of its business, efficient use of its resources, minimising delay, and the timely determination of the procee</w:t>
      </w:r>
      <w:r w:rsidR="00380D51">
        <w:rPr>
          <w:rFonts w:ascii="Arial" w:hAnsi="Arial" w:cs="Arial"/>
          <w:sz w:val="20"/>
        </w:rPr>
        <w:t>ding</w:t>
      </w:r>
      <w:r w:rsidR="00C253B3">
        <w:rPr>
          <w:rFonts w:ascii="Arial" w:hAnsi="Arial" w:cs="Arial"/>
          <w:sz w:val="20"/>
        </w:rPr>
        <w:t xml:space="preserve">, </w:t>
      </w:r>
      <w:r w:rsidR="00380D51">
        <w:rPr>
          <w:rFonts w:ascii="Arial" w:hAnsi="Arial" w:cs="Arial"/>
          <w:sz w:val="20"/>
        </w:rPr>
        <w:t xml:space="preserve">their Honours </w:t>
      </w:r>
      <w:r w:rsidR="00C253B3">
        <w:rPr>
          <w:rFonts w:ascii="Arial" w:hAnsi="Arial" w:cs="Arial"/>
          <w:sz w:val="20"/>
        </w:rPr>
        <w:t>stating at [84]</w:t>
      </w:r>
      <w:r w:rsidR="00380D51">
        <w:rPr>
          <w:rFonts w:ascii="Arial" w:hAnsi="Arial" w:cs="Arial"/>
          <w:sz w:val="20"/>
        </w:rPr>
        <w:t>:</w:t>
      </w:r>
    </w:p>
    <w:p w14:paraId="24D9A58D" w14:textId="4040A6FB" w:rsidR="005C4CC4" w:rsidRDefault="00C253B3" w:rsidP="00C253B3">
      <w:pPr>
        <w:spacing w:before="80"/>
        <w:ind w:left="567" w:right="567"/>
        <w:jc w:val="both"/>
        <w:rPr>
          <w:rFonts w:ascii="Arial" w:hAnsi="Arial" w:cs="Arial"/>
          <w:sz w:val="20"/>
        </w:rPr>
      </w:pPr>
      <w:r>
        <w:rPr>
          <w:rFonts w:ascii="Arial" w:hAnsi="Arial" w:cs="Arial"/>
          <w:color w:val="000000"/>
          <w:sz w:val="20"/>
          <w:szCs w:val="20"/>
          <w:shd w:val="clear" w:color="auto" w:fill="FFFFFF"/>
        </w:rPr>
        <w:t>“</w:t>
      </w:r>
      <w:r w:rsidR="00380D51" w:rsidRPr="00380D51">
        <w:rPr>
          <w:rFonts w:ascii="Arial" w:hAnsi="Arial" w:cs="Arial"/>
          <w:sz w:val="20"/>
        </w:rPr>
        <w:t xml:space="preserve">It follows that, when considering an application for an order dismissing a civil proceeding for want of prosecution, the Court is now obliged to have regard to the efficient conduct of its business, efficient use of its resources, minimising delay, and the timely determination of the proceeding. That is so whether the application is made under Order 24 of the Rules or in the Court’s inherent jurisdiction. The statement in </w:t>
      </w:r>
      <w:r w:rsidR="00380D51" w:rsidRPr="00C253B3">
        <w:rPr>
          <w:rFonts w:ascii="Arial" w:hAnsi="Arial" w:cs="Arial"/>
          <w:i/>
          <w:iCs/>
          <w:sz w:val="20"/>
        </w:rPr>
        <w:t>Bishopsgate</w:t>
      </w:r>
      <w:r w:rsidR="00380D51" w:rsidRPr="00380D51">
        <w:rPr>
          <w:rFonts w:ascii="Arial" w:hAnsi="Arial" w:cs="Arial"/>
          <w:sz w:val="20"/>
        </w:rPr>
        <w:t xml:space="preserve"> to the effect that these considerations are not ordinarily relevant can no longer stand in light of the decision of the High Court in </w:t>
      </w:r>
      <w:r w:rsidR="00380D51" w:rsidRPr="00C253B3">
        <w:rPr>
          <w:rFonts w:ascii="Arial" w:hAnsi="Arial" w:cs="Arial"/>
          <w:i/>
          <w:iCs/>
          <w:sz w:val="20"/>
        </w:rPr>
        <w:t>Aon</w:t>
      </w:r>
      <w:r w:rsidRPr="00C253B3">
        <w:rPr>
          <w:rFonts w:ascii="Arial" w:hAnsi="Arial" w:cs="Arial"/>
          <w:i/>
          <w:iCs/>
          <w:sz w:val="20"/>
        </w:rPr>
        <w:t xml:space="preserve"> Risk Services Australia Ltd v Australian National University</w:t>
      </w:r>
      <w:r w:rsidRPr="00C253B3">
        <w:rPr>
          <w:rFonts w:ascii="Arial" w:hAnsi="Arial" w:cs="Arial"/>
          <w:sz w:val="20"/>
        </w:rPr>
        <w:t xml:space="preserve"> (2009) 239 CLR 17</w:t>
      </w:r>
      <w:r>
        <w:rPr>
          <w:rFonts w:ascii="Arial" w:hAnsi="Arial" w:cs="Arial"/>
          <w:sz w:val="20"/>
        </w:rPr>
        <w:t>5,</w:t>
      </w:r>
      <w:r w:rsidR="00380D51" w:rsidRPr="00380D51">
        <w:rPr>
          <w:rFonts w:ascii="Arial" w:hAnsi="Arial" w:cs="Arial"/>
          <w:sz w:val="20"/>
        </w:rPr>
        <w:t xml:space="preserve"> and </w:t>
      </w:r>
      <w:r>
        <w:rPr>
          <w:rFonts w:ascii="Arial" w:hAnsi="Arial" w:cs="Arial"/>
          <w:sz w:val="20"/>
        </w:rPr>
        <w:t xml:space="preserve">[ss.7-9 of] </w:t>
      </w:r>
      <w:r w:rsidR="00380D51" w:rsidRPr="00380D51">
        <w:rPr>
          <w:rFonts w:ascii="Arial" w:hAnsi="Arial" w:cs="Arial"/>
          <w:sz w:val="20"/>
        </w:rPr>
        <w:t xml:space="preserve">the </w:t>
      </w:r>
      <w:r w:rsidR="00380D51" w:rsidRPr="00C253B3">
        <w:rPr>
          <w:rFonts w:ascii="Arial" w:hAnsi="Arial" w:cs="Arial"/>
          <w:i/>
          <w:iCs/>
          <w:sz w:val="20"/>
        </w:rPr>
        <w:t>Civil Procedure Act</w:t>
      </w:r>
      <w:r w:rsidRPr="00C253B3">
        <w:rPr>
          <w:rFonts w:ascii="Arial" w:hAnsi="Arial" w:cs="Arial"/>
          <w:i/>
          <w:iCs/>
          <w:sz w:val="20"/>
        </w:rPr>
        <w:t xml:space="preserve"> 2010</w:t>
      </w:r>
      <w:r>
        <w:rPr>
          <w:rFonts w:ascii="Arial" w:hAnsi="Arial" w:cs="Arial"/>
          <w:sz w:val="20"/>
        </w:rPr>
        <w:t xml:space="preserve"> (Vic)</w:t>
      </w:r>
      <w:r w:rsidR="00380D51" w:rsidRPr="00380D51">
        <w:rPr>
          <w:rFonts w:ascii="Arial" w:hAnsi="Arial" w:cs="Arial"/>
          <w:sz w:val="20"/>
        </w:rPr>
        <w:t>.</w:t>
      </w:r>
      <w:r>
        <w:rPr>
          <w:rFonts w:ascii="Arial" w:hAnsi="Arial" w:cs="Arial"/>
          <w:sz w:val="20"/>
        </w:rPr>
        <w:t>”</w:t>
      </w:r>
    </w:p>
    <w:p w14:paraId="2D057956" w14:textId="2FB4BA5A" w:rsidR="004E6F29" w:rsidRDefault="00C253B3" w:rsidP="00C253B3">
      <w:pPr>
        <w:spacing w:before="80"/>
        <w:jc w:val="both"/>
        <w:rPr>
          <w:rFonts w:ascii="Arial" w:hAnsi="Arial" w:cs="Arial"/>
          <w:sz w:val="20"/>
        </w:rPr>
      </w:pPr>
      <w:r>
        <w:rPr>
          <w:rFonts w:ascii="Arial" w:hAnsi="Arial" w:cs="Arial"/>
          <w:sz w:val="20"/>
        </w:rPr>
        <w:t xml:space="preserve">So far as the efficient management of child protection proceedings is concerned, s.215B of the CYFA </w:t>
      </w:r>
      <w:r w:rsidR="00F01A26">
        <w:rPr>
          <w:rFonts w:ascii="Arial" w:hAnsi="Arial" w:cs="Arial"/>
          <w:sz w:val="20"/>
        </w:rPr>
        <w:t xml:space="preserve">appears </w:t>
      </w:r>
      <w:r w:rsidR="0052149C">
        <w:rPr>
          <w:rFonts w:ascii="Arial" w:hAnsi="Arial" w:cs="Arial"/>
          <w:sz w:val="20"/>
        </w:rPr>
        <w:t xml:space="preserve">designed </w:t>
      </w:r>
      <w:r w:rsidR="00F01A26">
        <w:rPr>
          <w:rFonts w:ascii="Arial" w:hAnsi="Arial" w:cs="Arial"/>
          <w:sz w:val="20"/>
        </w:rPr>
        <w:t xml:space="preserve">to </w:t>
      </w:r>
      <w:r w:rsidR="0052149C">
        <w:rPr>
          <w:rFonts w:ascii="Arial" w:hAnsi="Arial" w:cs="Arial"/>
          <w:sz w:val="20"/>
        </w:rPr>
        <w:t xml:space="preserve">achieve a similar purpose of efficiency and delay minimisation in </w:t>
      </w:r>
      <w:r>
        <w:rPr>
          <w:rFonts w:ascii="Arial" w:hAnsi="Arial" w:cs="Arial"/>
          <w:sz w:val="20"/>
        </w:rPr>
        <w:t xml:space="preserve">the </w:t>
      </w:r>
      <w:r w:rsidR="00F01A26">
        <w:rPr>
          <w:rFonts w:ascii="Arial" w:hAnsi="Arial" w:cs="Arial"/>
          <w:sz w:val="20"/>
        </w:rPr>
        <w:t xml:space="preserve">Family Division of the </w:t>
      </w:r>
      <w:r>
        <w:rPr>
          <w:rFonts w:ascii="Arial" w:hAnsi="Arial" w:cs="Arial"/>
          <w:sz w:val="20"/>
        </w:rPr>
        <w:t xml:space="preserve">Children’s Court as </w:t>
      </w:r>
      <w:r w:rsidR="00F01A26">
        <w:rPr>
          <w:rFonts w:ascii="Arial" w:hAnsi="Arial" w:cs="Arial"/>
          <w:sz w:val="20"/>
        </w:rPr>
        <w:t xml:space="preserve">the </w:t>
      </w:r>
      <w:r w:rsidR="00F01A26" w:rsidRPr="00F01A26">
        <w:rPr>
          <w:rFonts w:ascii="Arial" w:hAnsi="Arial" w:cs="Arial"/>
          <w:i/>
          <w:iCs/>
          <w:sz w:val="20"/>
        </w:rPr>
        <w:t>Civil Procedure Act 2010</w:t>
      </w:r>
      <w:r w:rsidR="00F01A26">
        <w:rPr>
          <w:rFonts w:ascii="Arial" w:hAnsi="Arial" w:cs="Arial"/>
          <w:sz w:val="20"/>
        </w:rPr>
        <w:t xml:space="preserve"> </w:t>
      </w:r>
      <w:r w:rsidR="0052149C">
        <w:rPr>
          <w:rFonts w:ascii="Arial" w:hAnsi="Arial" w:cs="Arial"/>
          <w:sz w:val="20"/>
        </w:rPr>
        <w:t>is designed to achieve in</w:t>
      </w:r>
      <w:r w:rsidR="00F01A26">
        <w:rPr>
          <w:rFonts w:ascii="Arial" w:hAnsi="Arial" w:cs="Arial"/>
          <w:sz w:val="20"/>
        </w:rPr>
        <w:t xml:space="preserve"> other Victorian civil jurisdictions.</w:t>
      </w:r>
    </w:p>
    <w:p w14:paraId="3118FFD8" w14:textId="77777777" w:rsidR="00C253B3" w:rsidRDefault="00C253B3" w:rsidP="00D71A60">
      <w:pPr>
        <w:jc w:val="both"/>
        <w:rPr>
          <w:rFonts w:ascii="Arial" w:hAnsi="Arial" w:cs="Arial"/>
          <w:sz w:val="20"/>
        </w:rPr>
      </w:pPr>
    </w:p>
    <w:p w14:paraId="14C3B5F3" w14:textId="78C35232" w:rsidR="0044030E" w:rsidRDefault="0044030E" w:rsidP="00D71A60">
      <w:pPr>
        <w:jc w:val="both"/>
        <w:rPr>
          <w:rFonts w:ascii="Arial" w:hAnsi="Arial" w:cs="Arial"/>
          <w:sz w:val="20"/>
        </w:rPr>
      </w:pPr>
      <w:r>
        <w:rPr>
          <w:rFonts w:ascii="Arial" w:hAnsi="Arial" w:cs="Arial"/>
          <w:sz w:val="20"/>
        </w:rPr>
        <w:t xml:space="preserve">See also </w:t>
      </w:r>
      <w:proofErr w:type="spellStart"/>
      <w:r w:rsidRPr="0044030E">
        <w:rPr>
          <w:rFonts w:ascii="Arial" w:hAnsi="Arial" w:cs="Arial"/>
          <w:i/>
          <w:iCs/>
          <w:sz w:val="20"/>
        </w:rPr>
        <w:t>Efektiv</w:t>
      </w:r>
      <w:proofErr w:type="spellEnd"/>
      <w:r w:rsidRPr="0044030E">
        <w:rPr>
          <w:rFonts w:ascii="Arial" w:hAnsi="Arial" w:cs="Arial"/>
          <w:i/>
          <w:iCs/>
          <w:sz w:val="20"/>
        </w:rPr>
        <w:t xml:space="preserve"> Pty Ltd v Madgwicks</w:t>
      </w:r>
      <w:r>
        <w:rPr>
          <w:rFonts w:ascii="Arial" w:hAnsi="Arial" w:cs="Arial"/>
          <w:sz w:val="20"/>
        </w:rPr>
        <w:t xml:space="preserve"> [2022] VSCA 72 at [17];</w:t>
      </w:r>
      <w:r w:rsidRPr="0044030E">
        <w:rPr>
          <w:rFonts w:ascii="Arial" w:hAnsi="Arial" w:cs="Arial"/>
          <w:i/>
          <w:iCs/>
          <w:sz w:val="20"/>
        </w:rPr>
        <w:t xml:space="preserve"> Oberoi v Douglas</w:t>
      </w:r>
      <w:r>
        <w:rPr>
          <w:rFonts w:ascii="Arial" w:hAnsi="Arial" w:cs="Arial"/>
          <w:sz w:val="20"/>
        </w:rPr>
        <w:t xml:space="preserve"> [2026] VSCA 31 at [32]-[37].</w:t>
      </w:r>
    </w:p>
    <w:p w14:paraId="1BDB80D0" w14:textId="77777777" w:rsidR="0044030E" w:rsidRDefault="0044030E" w:rsidP="00D71A60">
      <w:pPr>
        <w:jc w:val="both"/>
        <w:rPr>
          <w:rFonts w:ascii="Arial" w:hAnsi="Arial" w:cs="Arial"/>
          <w:sz w:val="20"/>
        </w:rPr>
      </w:pPr>
    </w:p>
    <w:bookmarkEnd w:id="287"/>
    <w:p w14:paraId="763DAFF2" w14:textId="4F389B20" w:rsidR="00B21DA4" w:rsidRDefault="00B21DA4" w:rsidP="00A53D9C">
      <w:pPr>
        <w:pStyle w:val="Heading2"/>
        <w:pageBreakBefore/>
        <w:widowControl/>
        <w:spacing w:line="240" w:lineRule="auto"/>
        <w:rPr>
          <w:rFonts w:ascii="Arial" w:hAnsi="Arial" w:cs="Arial"/>
          <w:b/>
          <w:bCs/>
        </w:rPr>
      </w:pPr>
      <w:r>
        <w:rPr>
          <w:rFonts w:ascii="Arial" w:hAnsi="Arial" w:cs="Arial"/>
          <w:b/>
          <w:bCs/>
        </w:rPr>
        <w:lastRenderedPageBreak/>
        <w:t>3.4</w:t>
      </w:r>
      <w:r w:rsidR="006E0179">
        <w:rPr>
          <w:rFonts w:ascii="Arial" w:hAnsi="Arial" w:cs="Arial"/>
          <w:b/>
          <w:bCs/>
        </w:rPr>
        <w:tab/>
      </w:r>
      <w:r>
        <w:rPr>
          <w:rFonts w:ascii="Arial" w:hAnsi="Arial" w:cs="Arial"/>
          <w:b/>
          <w:bCs/>
        </w:rPr>
        <w:tab/>
        <w:t>Procedural guidelines</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3793BB65" w14:textId="77777777" w:rsidR="00B21DA4" w:rsidRPr="00A92EB4" w:rsidRDefault="00B21DA4" w:rsidP="00D71A60">
      <w:pPr>
        <w:keepNext/>
        <w:keepLines/>
        <w:rPr>
          <w:rFonts w:ascii="Arial" w:hAnsi="Arial" w:cs="Arial"/>
          <w:sz w:val="20"/>
        </w:rPr>
      </w:pPr>
    </w:p>
    <w:p w14:paraId="3988DB7F" w14:textId="77777777" w:rsidR="00B21DA4" w:rsidRDefault="00B21DA4" w:rsidP="0087420C">
      <w:pPr>
        <w:pStyle w:val="Heading3"/>
        <w:widowControl/>
        <w:spacing w:after="120" w:line="240" w:lineRule="auto"/>
        <w:rPr>
          <w:rFonts w:ascii="Arial" w:hAnsi="Arial" w:cs="Arial"/>
          <w:b/>
          <w:bCs/>
          <w:sz w:val="16"/>
        </w:rPr>
      </w:pPr>
      <w:bookmarkStart w:id="289" w:name="_3.4.1_Comprehensibility_etc."/>
      <w:bookmarkStart w:id="290" w:name="B341"/>
      <w:bookmarkStart w:id="291" w:name="_Toc30651645"/>
      <w:bookmarkStart w:id="292" w:name="_Toc30652629"/>
      <w:bookmarkStart w:id="293" w:name="_Toc30652727"/>
      <w:bookmarkStart w:id="294" w:name="_Toc30654072"/>
      <w:bookmarkStart w:id="295" w:name="_Toc30654423"/>
      <w:bookmarkStart w:id="296" w:name="_Toc30655042"/>
      <w:bookmarkStart w:id="297" w:name="_Toc30655299"/>
      <w:bookmarkStart w:id="298" w:name="_Toc30656977"/>
      <w:bookmarkStart w:id="299" w:name="_Toc30661726"/>
      <w:bookmarkStart w:id="300" w:name="_Toc30666414"/>
      <w:bookmarkStart w:id="301" w:name="_Toc30666644"/>
      <w:bookmarkStart w:id="302" w:name="_Toc30667819"/>
      <w:bookmarkStart w:id="303" w:name="_Toc30669197"/>
      <w:bookmarkStart w:id="304" w:name="_Toc30671413"/>
      <w:bookmarkStart w:id="305" w:name="_Toc30673940"/>
      <w:bookmarkStart w:id="306" w:name="_Toc30691162"/>
      <w:bookmarkStart w:id="307" w:name="_Toc30691533"/>
      <w:bookmarkStart w:id="308" w:name="_Toc30691913"/>
      <w:bookmarkStart w:id="309" w:name="_Toc30692672"/>
      <w:bookmarkStart w:id="310" w:name="_Toc30693051"/>
      <w:bookmarkStart w:id="311" w:name="_Toc30693429"/>
      <w:bookmarkStart w:id="312" w:name="_Toc30693808"/>
      <w:bookmarkStart w:id="313" w:name="_Toc30694189"/>
      <w:bookmarkStart w:id="314" w:name="_Toc30698778"/>
      <w:bookmarkStart w:id="315" w:name="_Toc30699156"/>
      <w:bookmarkStart w:id="316" w:name="_Toc30699541"/>
      <w:bookmarkStart w:id="317" w:name="_Toc30700696"/>
      <w:bookmarkStart w:id="318" w:name="_Toc30701083"/>
      <w:bookmarkStart w:id="319" w:name="_Toc30743692"/>
      <w:bookmarkStart w:id="320" w:name="_Toc30754514"/>
      <w:bookmarkStart w:id="321" w:name="_Toc30756954"/>
      <w:bookmarkStart w:id="322" w:name="_Toc30757503"/>
      <w:bookmarkStart w:id="323" w:name="_Toc30757903"/>
      <w:bookmarkStart w:id="324" w:name="_Toc30762664"/>
      <w:bookmarkStart w:id="325" w:name="_Toc30767318"/>
      <w:bookmarkStart w:id="326" w:name="_Toc34823334"/>
      <w:bookmarkEnd w:id="289"/>
      <w:bookmarkEnd w:id="290"/>
      <w:r>
        <w:rPr>
          <w:rFonts w:ascii="Arial" w:hAnsi="Arial" w:cs="Arial"/>
          <w:b/>
          <w:bCs/>
          <w:sz w:val="20"/>
        </w:rPr>
        <w:t>3.4.1</w:t>
      </w:r>
      <w:r>
        <w:rPr>
          <w:rFonts w:ascii="Arial" w:hAnsi="Arial" w:cs="Arial"/>
          <w:b/>
          <w:bCs/>
          <w:sz w:val="20"/>
        </w:rPr>
        <w:tab/>
        <w:t>Comprehensibility etc.</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52596DC1" w14:textId="5FDE3C63" w:rsidR="00B21DA4" w:rsidRDefault="00BD5186" w:rsidP="0087420C">
      <w:pPr>
        <w:jc w:val="both"/>
        <w:rPr>
          <w:rFonts w:ascii="Arial" w:hAnsi="Arial" w:cs="Arial"/>
          <w:sz w:val="20"/>
        </w:rPr>
      </w:pPr>
      <w:r>
        <w:rPr>
          <w:rFonts w:ascii="Arial" w:hAnsi="Arial" w:cs="Arial"/>
          <w:sz w:val="20"/>
        </w:rPr>
        <w:t xml:space="preserve">Section </w:t>
      </w:r>
      <w:r w:rsidR="000D75A3">
        <w:rPr>
          <w:rFonts w:ascii="Arial" w:hAnsi="Arial" w:cs="Arial"/>
          <w:sz w:val="20"/>
        </w:rPr>
        <w:t>522</w:t>
      </w:r>
      <w:r w:rsidR="00B21DA4">
        <w:rPr>
          <w:rFonts w:ascii="Arial" w:hAnsi="Arial" w:cs="Arial"/>
          <w:sz w:val="20"/>
        </w:rPr>
        <w:t>(1) of the CY</w:t>
      </w:r>
      <w:r w:rsidR="000D75A3">
        <w:rPr>
          <w:rFonts w:ascii="Arial" w:hAnsi="Arial" w:cs="Arial"/>
          <w:sz w:val="20"/>
        </w:rPr>
        <w:t>F</w:t>
      </w:r>
      <w:r w:rsidR="00B21DA4">
        <w:rPr>
          <w:rFonts w:ascii="Arial" w:hAnsi="Arial" w:cs="Arial"/>
          <w:sz w:val="20"/>
        </w:rPr>
        <w:t>A requires the Court, as far as practicable in any proceeding (whether Criminal or Family)</w:t>
      </w:r>
      <w:r w:rsidR="00A31FFA" w:rsidRPr="00A31FFA">
        <w:rPr>
          <w:rFonts w:ascii="Arial" w:hAnsi="Arial" w:cs="Arial"/>
          <w:sz w:val="20"/>
        </w:rPr>
        <w:t>–</w:t>
      </w:r>
    </w:p>
    <w:p w14:paraId="4BD45E0E" w14:textId="2BD80131" w:rsidR="00B21DA4" w:rsidRDefault="00B21DA4" w:rsidP="00EB6CCC">
      <w:pPr>
        <w:tabs>
          <w:tab w:val="left" w:pos="357"/>
        </w:tabs>
        <w:jc w:val="both"/>
        <w:rPr>
          <w:rFonts w:ascii="Arial" w:hAnsi="Arial" w:cs="Arial"/>
          <w:sz w:val="20"/>
        </w:rPr>
      </w:pPr>
      <w:r>
        <w:rPr>
          <w:rFonts w:ascii="Arial" w:hAnsi="Arial" w:cs="Arial"/>
          <w:sz w:val="20"/>
        </w:rPr>
        <w:t>(a)</w:t>
      </w:r>
      <w:r>
        <w:rPr>
          <w:rFonts w:ascii="Arial" w:hAnsi="Arial" w:cs="Arial"/>
          <w:sz w:val="20"/>
        </w:rPr>
        <w:tab/>
        <w:t>to take steps to ensure that the proceeding is comprehensible to</w:t>
      </w:r>
      <w:r w:rsidR="00A31FFA" w:rsidRPr="00A31FFA">
        <w:rPr>
          <w:rFonts w:ascii="Arial" w:hAnsi="Arial" w:cs="Arial"/>
          <w:sz w:val="20"/>
        </w:rPr>
        <w:t>–</w:t>
      </w:r>
    </w:p>
    <w:p w14:paraId="2D2909DE" w14:textId="77777777" w:rsidR="00B21DA4" w:rsidRDefault="00B21DA4">
      <w:pPr>
        <w:numPr>
          <w:ilvl w:val="0"/>
          <w:numId w:val="6"/>
        </w:numPr>
        <w:jc w:val="both"/>
        <w:rPr>
          <w:rFonts w:ascii="Arial" w:hAnsi="Arial" w:cs="Arial"/>
          <w:sz w:val="20"/>
        </w:rPr>
      </w:pPr>
      <w:r>
        <w:rPr>
          <w:rFonts w:ascii="Arial" w:hAnsi="Arial" w:cs="Arial"/>
          <w:sz w:val="20"/>
        </w:rPr>
        <w:t>the child;</w:t>
      </w:r>
    </w:p>
    <w:p w14:paraId="1A6C47C4" w14:textId="77777777" w:rsidR="00B21DA4" w:rsidRDefault="00B21DA4">
      <w:pPr>
        <w:numPr>
          <w:ilvl w:val="0"/>
          <w:numId w:val="6"/>
        </w:numPr>
        <w:jc w:val="both"/>
        <w:rPr>
          <w:rFonts w:ascii="Arial" w:hAnsi="Arial" w:cs="Arial"/>
          <w:sz w:val="20"/>
        </w:rPr>
      </w:pPr>
      <w:r>
        <w:rPr>
          <w:rFonts w:ascii="Arial" w:hAnsi="Arial" w:cs="Arial"/>
          <w:sz w:val="20"/>
        </w:rPr>
        <w:t>the parents; and</w:t>
      </w:r>
    </w:p>
    <w:p w14:paraId="4709F3EF" w14:textId="77777777" w:rsidR="00B21DA4" w:rsidRDefault="00B21DA4">
      <w:pPr>
        <w:numPr>
          <w:ilvl w:val="0"/>
          <w:numId w:val="6"/>
        </w:numPr>
        <w:jc w:val="both"/>
        <w:rPr>
          <w:rFonts w:ascii="Arial" w:hAnsi="Arial" w:cs="Arial"/>
          <w:sz w:val="20"/>
        </w:rPr>
      </w:pPr>
      <w:r>
        <w:rPr>
          <w:rFonts w:ascii="Arial" w:hAnsi="Arial" w:cs="Arial"/>
          <w:sz w:val="20"/>
        </w:rPr>
        <w:t>all other parties who have a direct interest in the proceeding;</w:t>
      </w:r>
    </w:p>
    <w:p w14:paraId="63DFE779" w14:textId="77777777" w:rsidR="00B21DA4" w:rsidRDefault="00B21DA4">
      <w:pPr>
        <w:tabs>
          <w:tab w:val="num" w:pos="720"/>
        </w:tabs>
        <w:ind w:left="369" w:hanging="363"/>
        <w:jc w:val="both"/>
        <w:rPr>
          <w:rFonts w:ascii="Arial" w:hAnsi="Arial" w:cs="Arial"/>
          <w:sz w:val="20"/>
        </w:rPr>
      </w:pPr>
      <w:r>
        <w:rPr>
          <w:rFonts w:ascii="Arial" w:hAnsi="Arial" w:cs="Arial"/>
          <w:sz w:val="20"/>
        </w:rPr>
        <w:t>(b)</w:t>
      </w:r>
      <w:r>
        <w:rPr>
          <w:rFonts w:ascii="Arial" w:hAnsi="Arial" w:cs="Arial"/>
          <w:sz w:val="20"/>
        </w:rPr>
        <w:tab/>
        <w:t xml:space="preserve">to seek to </w:t>
      </w:r>
      <w:r w:rsidR="001C1A58">
        <w:rPr>
          <w:rFonts w:ascii="Arial" w:hAnsi="Arial" w:cs="Arial"/>
          <w:sz w:val="20"/>
        </w:rPr>
        <w:t>satisfy itself</w:t>
      </w:r>
      <w:r>
        <w:rPr>
          <w:rFonts w:ascii="Arial" w:hAnsi="Arial" w:cs="Arial"/>
          <w:sz w:val="20"/>
        </w:rPr>
        <w:t xml:space="preserve"> that the child understands the nature and implications of the proceeding and of any order made in the proceeding;</w:t>
      </w:r>
    </w:p>
    <w:p w14:paraId="1FBFEA05" w14:textId="77777777" w:rsidR="00B21DA4" w:rsidRDefault="00B21DA4">
      <w:pPr>
        <w:tabs>
          <w:tab w:val="num" w:pos="720"/>
        </w:tabs>
        <w:ind w:left="369" w:hanging="363"/>
        <w:jc w:val="both"/>
        <w:rPr>
          <w:rFonts w:ascii="Arial" w:hAnsi="Arial" w:cs="Arial"/>
          <w:sz w:val="20"/>
        </w:rPr>
      </w:pPr>
      <w:r>
        <w:rPr>
          <w:rFonts w:ascii="Arial" w:hAnsi="Arial" w:cs="Arial"/>
          <w:sz w:val="20"/>
        </w:rPr>
        <w:t>(c)</w:t>
      </w:r>
      <w:r>
        <w:rPr>
          <w:rFonts w:ascii="Arial" w:hAnsi="Arial" w:cs="Arial"/>
          <w:sz w:val="20"/>
        </w:rPr>
        <w:tab/>
        <w:t>to allow the child and in the case of a proceeding in the Family Division, the parents and all other parties who have a direct interest in the proceeding to participate fully in the proceeding;</w:t>
      </w:r>
    </w:p>
    <w:p w14:paraId="20818C39" w14:textId="77777777" w:rsidR="00B21DA4" w:rsidRDefault="00B21DA4">
      <w:pPr>
        <w:tabs>
          <w:tab w:val="num" w:pos="720"/>
        </w:tabs>
        <w:ind w:left="369" w:hanging="363"/>
        <w:jc w:val="both"/>
        <w:rPr>
          <w:rFonts w:ascii="Arial" w:hAnsi="Arial" w:cs="Arial"/>
          <w:sz w:val="20"/>
        </w:rPr>
      </w:pPr>
      <w:r>
        <w:rPr>
          <w:rFonts w:ascii="Arial" w:hAnsi="Arial" w:cs="Arial"/>
          <w:sz w:val="20"/>
        </w:rPr>
        <w:t>(d)</w:t>
      </w:r>
      <w:r>
        <w:rPr>
          <w:rFonts w:ascii="Arial" w:hAnsi="Arial" w:cs="Arial"/>
          <w:sz w:val="20"/>
        </w:rPr>
        <w:tab/>
        <w:t>to consider any wishes expressed by the child;</w:t>
      </w:r>
    </w:p>
    <w:p w14:paraId="24ED2859" w14:textId="119063DD" w:rsidR="00B21DA4" w:rsidRDefault="00B21DA4" w:rsidP="00AB5230">
      <w:pPr>
        <w:tabs>
          <w:tab w:val="num" w:pos="720"/>
        </w:tabs>
        <w:ind w:left="369" w:hanging="363"/>
        <w:jc w:val="both"/>
        <w:rPr>
          <w:rFonts w:ascii="Arial" w:hAnsi="Arial" w:cs="Arial"/>
          <w:sz w:val="20"/>
        </w:rPr>
      </w:pPr>
      <w:r>
        <w:rPr>
          <w:rFonts w:ascii="Arial" w:hAnsi="Arial" w:cs="Arial"/>
          <w:sz w:val="20"/>
        </w:rPr>
        <w:t>(e)</w:t>
      </w:r>
      <w:r>
        <w:rPr>
          <w:rFonts w:ascii="Arial" w:hAnsi="Arial" w:cs="Arial"/>
          <w:sz w:val="20"/>
        </w:rPr>
        <w:tab/>
        <w:t>to respect the cultural identity and needs of</w:t>
      </w:r>
      <w:r w:rsidR="00A31FFA" w:rsidRPr="00A31FFA">
        <w:rPr>
          <w:rFonts w:ascii="Arial" w:hAnsi="Arial" w:cs="Arial"/>
          <w:sz w:val="20"/>
        </w:rPr>
        <w:t>–</w:t>
      </w:r>
    </w:p>
    <w:p w14:paraId="3931964E" w14:textId="77777777" w:rsidR="00B21DA4" w:rsidRDefault="00B21DA4" w:rsidP="00B50F06">
      <w:pPr>
        <w:keepNext/>
        <w:keepLines/>
        <w:numPr>
          <w:ilvl w:val="0"/>
          <w:numId w:val="6"/>
        </w:numPr>
        <w:jc w:val="both"/>
        <w:rPr>
          <w:rFonts w:ascii="Arial" w:hAnsi="Arial" w:cs="Arial"/>
          <w:sz w:val="20"/>
        </w:rPr>
      </w:pPr>
      <w:r>
        <w:rPr>
          <w:rFonts w:ascii="Arial" w:hAnsi="Arial" w:cs="Arial"/>
          <w:sz w:val="20"/>
        </w:rPr>
        <w:t>the child; and</w:t>
      </w:r>
    </w:p>
    <w:p w14:paraId="3E5FFC1D" w14:textId="77777777" w:rsidR="00B21DA4" w:rsidRDefault="00B21DA4">
      <w:pPr>
        <w:numPr>
          <w:ilvl w:val="0"/>
          <w:numId w:val="6"/>
        </w:numPr>
        <w:jc w:val="both"/>
        <w:rPr>
          <w:rFonts w:ascii="Arial" w:hAnsi="Arial" w:cs="Arial"/>
          <w:sz w:val="20"/>
        </w:rPr>
      </w:pPr>
      <w:r>
        <w:rPr>
          <w:rFonts w:ascii="Arial" w:hAnsi="Arial" w:cs="Arial"/>
          <w:sz w:val="20"/>
        </w:rPr>
        <w:t>the parents and other members of the child's family; and</w:t>
      </w:r>
    </w:p>
    <w:p w14:paraId="0357ACD8" w14:textId="77777777" w:rsidR="00B21DA4" w:rsidRDefault="00B21DA4">
      <w:pPr>
        <w:tabs>
          <w:tab w:val="num" w:pos="720"/>
        </w:tabs>
        <w:ind w:left="369" w:hanging="363"/>
        <w:jc w:val="both"/>
        <w:rPr>
          <w:rFonts w:ascii="Arial" w:hAnsi="Arial" w:cs="Arial"/>
          <w:sz w:val="20"/>
        </w:rPr>
      </w:pPr>
      <w:r>
        <w:rPr>
          <w:rFonts w:ascii="Arial" w:hAnsi="Arial" w:cs="Arial"/>
          <w:sz w:val="20"/>
        </w:rPr>
        <w:t>(f)</w:t>
      </w:r>
      <w:r>
        <w:rPr>
          <w:rFonts w:ascii="Arial" w:hAnsi="Arial" w:cs="Arial"/>
          <w:sz w:val="20"/>
        </w:rPr>
        <w:tab/>
        <w:t>to minimise the stigma to the child and his or her family.</w:t>
      </w:r>
    </w:p>
    <w:p w14:paraId="6352DDE5" w14:textId="77777777" w:rsidR="00490AA3" w:rsidRDefault="00490AA3" w:rsidP="00490AA3">
      <w:pPr>
        <w:jc w:val="both"/>
        <w:rPr>
          <w:rFonts w:ascii="Arial" w:hAnsi="Arial" w:cs="Arial"/>
          <w:sz w:val="20"/>
        </w:rPr>
      </w:pPr>
      <w:bookmarkStart w:id="327" w:name="_Hlk16845337"/>
    </w:p>
    <w:p w14:paraId="5A891BD5" w14:textId="4FD108EB" w:rsidR="0058391B" w:rsidRDefault="0058391B" w:rsidP="0058391B">
      <w:pPr>
        <w:tabs>
          <w:tab w:val="num" w:pos="720"/>
        </w:tabs>
        <w:jc w:val="both"/>
        <w:rPr>
          <w:rFonts w:ascii="Arial" w:hAnsi="Arial" w:cs="Arial"/>
          <w:sz w:val="20"/>
        </w:rPr>
      </w:pPr>
      <w:r>
        <w:rPr>
          <w:rFonts w:ascii="Arial" w:hAnsi="Arial" w:cs="Arial"/>
          <w:sz w:val="20"/>
        </w:rPr>
        <w:t>In</w:t>
      </w:r>
      <w:r w:rsidR="00875DEF">
        <w:rPr>
          <w:rFonts w:ascii="Arial" w:hAnsi="Arial" w:cs="Arial"/>
          <w:sz w:val="20"/>
        </w:rPr>
        <w:t xml:space="preserve"> </w:t>
      </w:r>
      <w:r w:rsidR="00875DEF" w:rsidRPr="0058391B">
        <w:rPr>
          <w:rFonts w:ascii="Arial" w:hAnsi="Arial" w:cs="Arial"/>
          <w:i/>
          <w:iCs/>
          <w:sz w:val="20"/>
        </w:rPr>
        <w:t>DPP v SL</w:t>
      </w:r>
      <w:r w:rsidR="00875DEF">
        <w:rPr>
          <w:rFonts w:ascii="Arial" w:hAnsi="Arial" w:cs="Arial"/>
          <w:sz w:val="20"/>
        </w:rPr>
        <w:t xml:space="preserve"> [2016] VSC 714; 263 A Crim R 193, in the course of giving directions as to the conduct of proceedings in the Supreme Court in which the 15 year old accused was pleading guilty to charges including attempted murder and burglary, B</w:t>
      </w:r>
      <w:r>
        <w:rPr>
          <w:rFonts w:ascii="Arial" w:hAnsi="Arial" w:cs="Arial"/>
          <w:sz w:val="20"/>
        </w:rPr>
        <w:t xml:space="preserve">ell J said </w:t>
      </w:r>
      <w:r w:rsidR="00875DEF">
        <w:rPr>
          <w:rFonts w:ascii="Arial" w:hAnsi="Arial" w:cs="Arial"/>
          <w:sz w:val="20"/>
        </w:rPr>
        <w:t xml:space="preserve">at [13] </w:t>
      </w:r>
      <w:r>
        <w:rPr>
          <w:rFonts w:ascii="Arial" w:hAnsi="Arial" w:cs="Arial"/>
          <w:sz w:val="20"/>
        </w:rPr>
        <w:t xml:space="preserve">that the procedures in s.522(1) </w:t>
      </w:r>
      <w:r w:rsidR="00875DEF">
        <w:rPr>
          <w:rFonts w:ascii="Arial" w:hAnsi="Arial" w:cs="Arial"/>
          <w:sz w:val="20"/>
        </w:rPr>
        <w:t xml:space="preserve">of the CYFA </w:t>
      </w:r>
      <w:r>
        <w:rPr>
          <w:rFonts w:ascii="Arial" w:hAnsi="Arial" w:cs="Arial"/>
          <w:sz w:val="20"/>
        </w:rPr>
        <w:t>regarding the conduct of proceedings in the Children’s Court are clearly intended to give effect to the human rights principles in ss.</w:t>
      </w:r>
      <w:r w:rsidR="00875DEF">
        <w:rPr>
          <w:rFonts w:ascii="Arial" w:hAnsi="Arial" w:cs="Arial"/>
          <w:sz w:val="20"/>
        </w:rPr>
        <w:t>8(3), 17(2), 23(1),(2) &amp; (3) and 25(3)</w:t>
      </w:r>
      <w:r>
        <w:rPr>
          <w:rFonts w:ascii="Arial" w:hAnsi="Arial" w:cs="Arial"/>
          <w:sz w:val="20"/>
        </w:rPr>
        <w:t xml:space="preserve"> of the </w:t>
      </w:r>
      <w:r w:rsidRPr="00934D0F">
        <w:rPr>
          <w:rFonts w:ascii="Arial" w:hAnsi="Arial" w:cs="Arial"/>
          <w:i/>
          <w:iCs/>
          <w:sz w:val="20"/>
        </w:rPr>
        <w:t xml:space="preserve">Charter </w:t>
      </w:r>
      <w:r w:rsidR="00875DEF" w:rsidRPr="00934D0F">
        <w:rPr>
          <w:rFonts w:ascii="Arial" w:hAnsi="Arial" w:cs="Arial"/>
          <w:i/>
          <w:iCs/>
          <w:sz w:val="20"/>
        </w:rPr>
        <w:t>of Human Rights and Responsibilities Act 2006</w:t>
      </w:r>
      <w:r w:rsidR="00875DEF">
        <w:rPr>
          <w:rFonts w:ascii="Arial" w:hAnsi="Arial" w:cs="Arial"/>
          <w:sz w:val="20"/>
        </w:rPr>
        <w:t>.</w:t>
      </w:r>
    </w:p>
    <w:bookmarkEnd w:id="327"/>
    <w:p w14:paraId="58FDA407" w14:textId="77777777" w:rsidR="0058391B" w:rsidRDefault="0058391B" w:rsidP="009D29CA">
      <w:pPr>
        <w:tabs>
          <w:tab w:val="num" w:pos="720"/>
        </w:tabs>
        <w:ind w:left="369" w:hanging="363"/>
        <w:jc w:val="both"/>
        <w:rPr>
          <w:rFonts w:ascii="Arial" w:hAnsi="Arial" w:cs="Arial"/>
          <w:sz w:val="20"/>
        </w:rPr>
      </w:pPr>
    </w:p>
    <w:p w14:paraId="158A7EBB" w14:textId="7CF5454F" w:rsidR="009D29CA" w:rsidRDefault="009D29CA" w:rsidP="00E55ACE">
      <w:pPr>
        <w:pStyle w:val="Heading3"/>
        <w:keepNext/>
        <w:keepLines/>
        <w:widowControl/>
        <w:spacing w:after="100" w:line="240" w:lineRule="auto"/>
        <w:rPr>
          <w:rFonts w:ascii="Arial" w:hAnsi="Arial" w:cs="Arial"/>
          <w:b/>
          <w:bCs/>
          <w:sz w:val="20"/>
        </w:rPr>
      </w:pPr>
      <w:bookmarkStart w:id="328" w:name="_3.4.2_Pilot_program"/>
      <w:bookmarkStart w:id="329" w:name="B342"/>
      <w:bookmarkEnd w:id="328"/>
      <w:bookmarkEnd w:id="329"/>
      <w:r>
        <w:rPr>
          <w:rFonts w:ascii="Arial" w:hAnsi="Arial" w:cs="Arial"/>
          <w:b/>
          <w:bCs/>
          <w:sz w:val="20"/>
        </w:rPr>
        <w:t>3.4.2</w:t>
      </w:r>
      <w:r>
        <w:rPr>
          <w:rFonts w:ascii="Arial" w:hAnsi="Arial" w:cs="Arial"/>
          <w:b/>
          <w:bCs/>
          <w:sz w:val="20"/>
        </w:rPr>
        <w:tab/>
      </w:r>
      <w:r w:rsidR="001417D5">
        <w:rPr>
          <w:rFonts w:ascii="Arial" w:hAnsi="Arial" w:cs="Arial"/>
          <w:b/>
          <w:bCs/>
          <w:sz w:val="20"/>
        </w:rPr>
        <w:t xml:space="preserve">Program for </w:t>
      </w:r>
      <w:r>
        <w:rPr>
          <w:rFonts w:ascii="Arial" w:hAnsi="Arial" w:cs="Arial"/>
          <w:b/>
          <w:bCs/>
          <w:sz w:val="20"/>
        </w:rPr>
        <w:t>Intermediaries and Ground Rules Hearings</w:t>
      </w:r>
    </w:p>
    <w:p w14:paraId="7D2C8BC5" w14:textId="77777777" w:rsidR="001417D5" w:rsidRDefault="001417D5" w:rsidP="00E02832">
      <w:pPr>
        <w:tabs>
          <w:tab w:val="num" w:pos="720"/>
        </w:tabs>
        <w:ind w:left="6"/>
        <w:jc w:val="both"/>
        <w:rPr>
          <w:rFonts w:ascii="Arial" w:hAnsi="Arial" w:cs="Arial"/>
          <w:sz w:val="20"/>
        </w:rPr>
      </w:pPr>
      <w:r>
        <w:rPr>
          <w:rFonts w:ascii="Arial" w:hAnsi="Arial" w:cs="Arial"/>
          <w:sz w:val="20"/>
        </w:rPr>
        <w:t>The most vulnerable witnesses are those under 18 years and those with a cognitive impairment.  Intermediary schemes aim to enable vulnerable witnesses to give their best evidence in light of the research and the experience, particularly in England and Wales since 2008, which shows that the way in which questions are asked of witnesses can affect their evidence.</w:t>
      </w:r>
    </w:p>
    <w:p w14:paraId="30FAFB7B" w14:textId="77777777" w:rsidR="001417D5" w:rsidRDefault="001417D5" w:rsidP="009D29CA">
      <w:pPr>
        <w:tabs>
          <w:tab w:val="num" w:pos="720"/>
        </w:tabs>
        <w:ind w:left="6"/>
        <w:jc w:val="both"/>
        <w:rPr>
          <w:rFonts w:ascii="Arial" w:hAnsi="Arial" w:cs="Arial"/>
          <w:sz w:val="20"/>
        </w:rPr>
      </w:pPr>
    </w:p>
    <w:p w14:paraId="278E5B5A" w14:textId="7F708614" w:rsidR="001417D5" w:rsidRDefault="001417D5" w:rsidP="009D29CA">
      <w:pPr>
        <w:tabs>
          <w:tab w:val="num" w:pos="720"/>
        </w:tabs>
        <w:ind w:left="6"/>
        <w:jc w:val="both"/>
        <w:rPr>
          <w:rFonts w:ascii="Arial" w:hAnsi="Arial" w:cs="Arial"/>
          <w:sz w:val="20"/>
        </w:rPr>
      </w:pPr>
      <w:r>
        <w:rPr>
          <w:rFonts w:ascii="Arial" w:hAnsi="Arial" w:cs="Arial"/>
          <w:sz w:val="20"/>
        </w:rPr>
        <w:t xml:space="preserve">The introduction of an intermediary scheme, based on the English model, </w:t>
      </w:r>
      <w:r w:rsidR="005F1CAA">
        <w:rPr>
          <w:rFonts w:ascii="Arial" w:hAnsi="Arial" w:cs="Arial"/>
          <w:sz w:val="20"/>
        </w:rPr>
        <w:t>was</w:t>
      </w:r>
      <w:r>
        <w:rPr>
          <w:rFonts w:ascii="Arial" w:hAnsi="Arial" w:cs="Arial"/>
          <w:sz w:val="20"/>
        </w:rPr>
        <w:t xml:space="preserve"> recommendation 30 in the 2016 VLRC Report “The Role of Victims of Crime in the Criminal Trial Process”.  </w:t>
      </w:r>
      <w:r w:rsidR="0071331D">
        <w:rPr>
          <w:rFonts w:ascii="Arial" w:hAnsi="Arial" w:cs="Arial"/>
          <w:sz w:val="20"/>
        </w:rPr>
        <w:t xml:space="preserve">An intermediary scheme and the use of ground rules hearings in Victoria was endorsed in </w:t>
      </w:r>
      <w:r w:rsidR="0071331D" w:rsidRPr="0071331D">
        <w:rPr>
          <w:rFonts w:ascii="Arial" w:hAnsi="Arial" w:cs="Arial"/>
          <w:i/>
          <w:iCs/>
          <w:sz w:val="20"/>
        </w:rPr>
        <w:t>R v Ward (a pseudonym)</w:t>
      </w:r>
      <w:r w:rsidR="0071331D">
        <w:rPr>
          <w:rFonts w:ascii="Arial" w:hAnsi="Arial" w:cs="Arial"/>
          <w:sz w:val="20"/>
        </w:rPr>
        <w:t xml:space="preserve"> [2017] VSCA 37, a decision relating to the questioning of children and obligations of counsel and judicial officers.  The statutory authority for the use of intermediaries and ground rules hearings is in Part 8.2A of the </w:t>
      </w:r>
      <w:r w:rsidR="0071331D" w:rsidRPr="00934D0F">
        <w:rPr>
          <w:rFonts w:ascii="Arial" w:hAnsi="Arial" w:cs="Arial"/>
          <w:i/>
          <w:iCs/>
          <w:sz w:val="20"/>
        </w:rPr>
        <w:t xml:space="preserve">Criminal Procedure Act 2009 </w:t>
      </w:r>
      <w:r w:rsidR="005F1CAA">
        <w:rPr>
          <w:rFonts w:ascii="Arial" w:hAnsi="Arial" w:cs="Arial"/>
          <w:sz w:val="20"/>
        </w:rPr>
        <w:t xml:space="preserve">[‘CPA’] </w:t>
      </w:r>
      <w:r w:rsidR="0071331D">
        <w:rPr>
          <w:rFonts w:ascii="Arial" w:hAnsi="Arial" w:cs="Arial"/>
          <w:sz w:val="20"/>
        </w:rPr>
        <w:t>which commenced on 28/02/2018.</w:t>
      </w:r>
      <w:r w:rsidR="008276B9">
        <w:rPr>
          <w:rFonts w:ascii="Arial" w:hAnsi="Arial" w:cs="Arial"/>
          <w:sz w:val="20"/>
        </w:rPr>
        <w:t xml:space="preserve">  See also regs.25-26 &amp; Schedule 1 of the </w:t>
      </w:r>
      <w:r w:rsidR="00934D0F" w:rsidRPr="006A030F">
        <w:rPr>
          <w:rFonts w:ascii="Arial" w:hAnsi="Arial" w:cs="Arial"/>
          <w:i/>
          <w:iCs/>
          <w:color w:val="000000"/>
          <w:sz w:val="20"/>
        </w:rPr>
        <w:t>Criminal Procedure Regulations 2020</w:t>
      </w:r>
      <w:r w:rsidR="008276B9" w:rsidRPr="008276B9">
        <w:rPr>
          <w:rFonts w:ascii="Arial" w:hAnsi="Arial" w:cs="Arial"/>
          <w:color w:val="000000"/>
          <w:sz w:val="20"/>
        </w:rPr>
        <w:t>.</w:t>
      </w:r>
    </w:p>
    <w:p w14:paraId="1B5351FB" w14:textId="17717EF3" w:rsidR="001417D5" w:rsidRDefault="001417D5" w:rsidP="009D29CA">
      <w:pPr>
        <w:tabs>
          <w:tab w:val="num" w:pos="720"/>
        </w:tabs>
        <w:ind w:left="6"/>
        <w:jc w:val="both"/>
        <w:rPr>
          <w:rFonts w:ascii="Arial" w:hAnsi="Arial" w:cs="Arial"/>
          <w:sz w:val="20"/>
        </w:rPr>
      </w:pPr>
    </w:p>
    <w:p w14:paraId="667CCC32" w14:textId="5E450940" w:rsidR="005F1CAA" w:rsidRDefault="0071787E" w:rsidP="00582465">
      <w:pPr>
        <w:tabs>
          <w:tab w:val="num" w:pos="720"/>
        </w:tabs>
        <w:ind w:left="6"/>
        <w:jc w:val="both"/>
        <w:rPr>
          <w:rFonts w:ascii="Arial" w:hAnsi="Arial" w:cs="Arial"/>
          <w:sz w:val="20"/>
        </w:rPr>
      </w:pPr>
      <w:r w:rsidRPr="005F1CAA">
        <w:rPr>
          <w:rFonts w:ascii="Arial" w:hAnsi="Arial" w:cs="Arial"/>
          <w:b/>
          <w:bCs/>
          <w:sz w:val="20"/>
        </w:rPr>
        <w:t>Intermediaries</w:t>
      </w:r>
      <w:r>
        <w:rPr>
          <w:rFonts w:ascii="Arial" w:hAnsi="Arial" w:cs="Arial"/>
          <w:sz w:val="20"/>
        </w:rPr>
        <w:t xml:space="preserve"> are trained professionals with specialist skills in communication.  They are officers of the Court </w:t>
      </w:r>
      <w:r w:rsidR="00582465">
        <w:rPr>
          <w:rFonts w:ascii="Arial" w:hAnsi="Arial" w:cs="Arial"/>
          <w:sz w:val="20"/>
        </w:rPr>
        <w:t xml:space="preserve">appointed by the Court, under </w:t>
      </w:r>
      <w:r>
        <w:rPr>
          <w:rFonts w:ascii="Arial" w:hAnsi="Arial" w:cs="Arial"/>
          <w:sz w:val="20"/>
        </w:rPr>
        <w:t xml:space="preserve">the Intermediary Program [‘IP’], </w:t>
      </w:r>
      <w:r w:rsidR="00582465">
        <w:rPr>
          <w:rFonts w:ascii="Arial" w:hAnsi="Arial" w:cs="Arial"/>
          <w:sz w:val="20"/>
        </w:rPr>
        <w:t xml:space="preserve">to </w:t>
      </w:r>
      <w:r>
        <w:rPr>
          <w:rFonts w:ascii="Arial" w:hAnsi="Arial" w:cs="Arial"/>
          <w:sz w:val="20"/>
        </w:rPr>
        <w:t xml:space="preserve">assist </w:t>
      </w:r>
      <w:r w:rsidR="00582465">
        <w:rPr>
          <w:rFonts w:ascii="Arial" w:hAnsi="Arial" w:cs="Arial"/>
          <w:sz w:val="20"/>
        </w:rPr>
        <w:t>a</w:t>
      </w:r>
      <w:r>
        <w:rPr>
          <w:rFonts w:ascii="Arial" w:hAnsi="Arial" w:cs="Arial"/>
          <w:sz w:val="20"/>
        </w:rPr>
        <w:t xml:space="preserve"> vulnerable witness and the Court so that the witness can give their best evidence</w:t>
      </w:r>
      <w:r w:rsidR="00DD0DA0" w:rsidRPr="00A31FFA">
        <w:rPr>
          <w:rFonts w:ascii="Arial" w:hAnsi="Arial" w:cs="Arial"/>
          <w:sz w:val="20"/>
        </w:rPr>
        <w:t>–</w:t>
      </w:r>
    </w:p>
    <w:p w14:paraId="5CB274FA" w14:textId="77777777" w:rsidR="005F1CAA" w:rsidRDefault="0071787E" w:rsidP="00D772F0">
      <w:pPr>
        <w:numPr>
          <w:ilvl w:val="0"/>
          <w:numId w:val="39"/>
        </w:numPr>
        <w:ind w:left="357" w:hanging="357"/>
        <w:jc w:val="both"/>
        <w:rPr>
          <w:rFonts w:ascii="Arial" w:hAnsi="Arial" w:cs="Arial"/>
          <w:sz w:val="20"/>
        </w:rPr>
      </w:pPr>
      <w:r>
        <w:rPr>
          <w:rFonts w:ascii="Arial" w:hAnsi="Arial" w:cs="Arial"/>
          <w:sz w:val="20"/>
        </w:rPr>
        <w:t xml:space="preserve">during the visual and audio recording of evidence by police </w:t>
      </w:r>
      <w:r w:rsidR="0030111F">
        <w:rPr>
          <w:rFonts w:ascii="Arial" w:hAnsi="Arial" w:cs="Arial"/>
          <w:sz w:val="20"/>
        </w:rPr>
        <w:t>(</w:t>
      </w:r>
      <w:r w:rsidR="005F1CAA">
        <w:rPr>
          <w:rFonts w:ascii="Arial" w:hAnsi="Arial" w:cs="Arial"/>
          <w:sz w:val="20"/>
        </w:rPr>
        <w:t xml:space="preserve">VARE – see </w:t>
      </w:r>
      <w:r w:rsidR="005F1CAA" w:rsidRPr="00A975E6">
        <w:rPr>
          <w:rFonts w:ascii="Arial" w:hAnsi="Arial" w:cs="Arial"/>
          <w:b/>
          <w:bCs/>
          <w:sz w:val="20"/>
          <w:shd w:val="clear" w:color="auto" w:fill="C5E0B3" w:themeFill="accent6" w:themeFillTint="66"/>
        </w:rPr>
        <w:t>section 3.5.5</w:t>
      </w:r>
      <w:r w:rsidR="005F1CAA">
        <w:rPr>
          <w:rFonts w:ascii="Arial" w:hAnsi="Arial" w:cs="Arial"/>
          <w:sz w:val="20"/>
        </w:rPr>
        <w:t xml:space="preserve"> below); </w:t>
      </w:r>
      <w:r>
        <w:rPr>
          <w:rFonts w:ascii="Arial" w:hAnsi="Arial" w:cs="Arial"/>
          <w:sz w:val="20"/>
        </w:rPr>
        <w:t>and</w:t>
      </w:r>
    </w:p>
    <w:p w14:paraId="453E7A5B" w14:textId="77777777" w:rsidR="001417D5" w:rsidRDefault="0071787E" w:rsidP="00D772F0">
      <w:pPr>
        <w:numPr>
          <w:ilvl w:val="0"/>
          <w:numId w:val="39"/>
        </w:numPr>
        <w:ind w:left="357" w:hanging="357"/>
        <w:jc w:val="both"/>
        <w:rPr>
          <w:rFonts w:ascii="Arial" w:hAnsi="Arial" w:cs="Arial"/>
          <w:sz w:val="20"/>
        </w:rPr>
      </w:pPr>
      <w:r>
        <w:rPr>
          <w:rFonts w:ascii="Arial" w:hAnsi="Arial" w:cs="Arial"/>
          <w:sz w:val="20"/>
        </w:rPr>
        <w:t xml:space="preserve">in their evidence in Court, namely </w:t>
      </w:r>
      <w:r w:rsidR="005F1CAA">
        <w:rPr>
          <w:rFonts w:ascii="Arial" w:hAnsi="Arial" w:cs="Arial"/>
          <w:sz w:val="20"/>
        </w:rPr>
        <w:t>in examination</w:t>
      </w:r>
      <w:r>
        <w:rPr>
          <w:rFonts w:ascii="Arial" w:hAnsi="Arial" w:cs="Arial"/>
          <w:sz w:val="20"/>
        </w:rPr>
        <w:t xml:space="preserve"> in chief, cross-examination and re-examination.</w:t>
      </w:r>
    </w:p>
    <w:p w14:paraId="08E8BF3E" w14:textId="428A8CD4" w:rsidR="0071787E" w:rsidRDefault="00582465" w:rsidP="00582465">
      <w:pPr>
        <w:tabs>
          <w:tab w:val="num" w:pos="720"/>
        </w:tabs>
        <w:ind w:left="6"/>
        <w:jc w:val="both"/>
        <w:rPr>
          <w:rFonts w:ascii="Arial" w:hAnsi="Arial" w:cs="Arial"/>
          <w:sz w:val="20"/>
        </w:rPr>
      </w:pPr>
      <w:r>
        <w:rPr>
          <w:rFonts w:ascii="Arial" w:hAnsi="Arial" w:cs="Arial"/>
          <w:sz w:val="20"/>
        </w:rPr>
        <w:t>The</w:t>
      </w:r>
      <w:r w:rsidR="00003B37">
        <w:rPr>
          <w:rFonts w:ascii="Arial" w:hAnsi="Arial" w:cs="Arial"/>
          <w:sz w:val="20"/>
        </w:rPr>
        <w:t xml:space="preserve"> intermediary’s </w:t>
      </w:r>
      <w:r>
        <w:rPr>
          <w:rFonts w:ascii="Arial" w:hAnsi="Arial" w:cs="Arial"/>
          <w:sz w:val="20"/>
        </w:rPr>
        <w:t>role is to assess the communication needs of a vulnerable witness and provide practical strategies and recommendations on how best to communicate with the witness.  For this purpose they advise on the formulation of questions and when necessary – and as directed by the Court – they actively assist and intervene during questioning.</w:t>
      </w:r>
    </w:p>
    <w:p w14:paraId="58497755" w14:textId="1573DB50" w:rsidR="00A27F77" w:rsidRDefault="00A27F77" w:rsidP="00582465">
      <w:pPr>
        <w:tabs>
          <w:tab w:val="num" w:pos="720"/>
        </w:tabs>
        <w:ind w:left="6"/>
        <w:jc w:val="both"/>
        <w:rPr>
          <w:rFonts w:ascii="Arial" w:hAnsi="Arial" w:cs="Arial"/>
          <w:sz w:val="20"/>
        </w:rPr>
      </w:pPr>
    </w:p>
    <w:p w14:paraId="0565F38F" w14:textId="071C283F" w:rsidR="00A27F77" w:rsidRDefault="00A27F77" w:rsidP="00A27F77">
      <w:pPr>
        <w:tabs>
          <w:tab w:val="num" w:pos="720"/>
        </w:tabs>
        <w:ind w:left="6"/>
        <w:jc w:val="both"/>
        <w:rPr>
          <w:rFonts w:ascii="Arial" w:hAnsi="Arial" w:cs="Arial"/>
          <w:sz w:val="20"/>
        </w:rPr>
      </w:pPr>
      <w:r>
        <w:rPr>
          <w:rFonts w:ascii="Arial" w:hAnsi="Arial" w:cs="Arial"/>
          <w:sz w:val="20"/>
        </w:rPr>
        <w:t>Section 389</w:t>
      </w:r>
      <w:proofErr w:type="gramStart"/>
      <w:r>
        <w:rPr>
          <w:rFonts w:ascii="Arial" w:hAnsi="Arial" w:cs="Arial"/>
          <w:sz w:val="20"/>
        </w:rPr>
        <w:t>K(</w:t>
      </w:r>
      <w:proofErr w:type="gramEnd"/>
      <w:r>
        <w:rPr>
          <w:rFonts w:ascii="Arial" w:hAnsi="Arial" w:cs="Arial"/>
          <w:sz w:val="20"/>
        </w:rPr>
        <w:t xml:space="preserve">4) of the CPA provides that a person must not act </w:t>
      </w:r>
      <w:r w:rsidRPr="00A27F77">
        <w:rPr>
          <w:rFonts w:ascii="Arial" w:hAnsi="Arial" w:cs="Arial"/>
          <w:sz w:val="20"/>
          <w:szCs w:val="20"/>
        </w:rPr>
        <w:t xml:space="preserve">as an intermediary in a particular proceeding unless the person has taken an oath or made an affirmation in the prescribed form. </w:t>
      </w:r>
      <w:r w:rsidR="00933F96">
        <w:rPr>
          <w:rFonts w:ascii="Arial" w:hAnsi="Arial" w:cs="Arial"/>
          <w:sz w:val="20"/>
          <w:szCs w:val="20"/>
        </w:rPr>
        <w:t xml:space="preserve">In </w:t>
      </w:r>
      <w:r w:rsidR="00933F96" w:rsidRPr="00A27F77">
        <w:rPr>
          <w:rFonts w:ascii="Arial" w:hAnsi="Arial" w:cs="Arial"/>
          <w:i/>
          <w:iCs/>
          <w:sz w:val="20"/>
        </w:rPr>
        <w:t>Peter James (a</w:t>
      </w:r>
      <w:r w:rsidR="00933F96">
        <w:rPr>
          <w:rFonts w:ascii="Arial" w:hAnsi="Arial" w:cs="Arial"/>
          <w:i/>
          <w:iCs/>
          <w:sz w:val="20"/>
        </w:rPr>
        <w:t> </w:t>
      </w:r>
      <w:r w:rsidR="00933F96" w:rsidRPr="00A27F77">
        <w:rPr>
          <w:rFonts w:ascii="Arial" w:hAnsi="Arial" w:cs="Arial"/>
          <w:i/>
          <w:iCs/>
          <w:sz w:val="20"/>
        </w:rPr>
        <w:t>pseudonym) v The King</w:t>
      </w:r>
      <w:r w:rsidR="00933F96">
        <w:rPr>
          <w:rFonts w:ascii="Arial" w:hAnsi="Arial" w:cs="Arial"/>
          <w:sz w:val="20"/>
        </w:rPr>
        <w:t xml:space="preserve"> [2023] VSCA 34 </w:t>
      </w:r>
      <w:r w:rsidR="00933F96">
        <w:rPr>
          <w:rFonts w:ascii="Arial" w:hAnsi="Arial" w:cs="Arial"/>
          <w:sz w:val="20"/>
          <w:szCs w:val="20"/>
        </w:rPr>
        <w:t xml:space="preserve">the intermediary was not sworn as required by </w:t>
      </w:r>
      <w:r w:rsidR="00933F96" w:rsidRPr="00A27F77">
        <w:rPr>
          <w:rFonts w:ascii="Arial" w:hAnsi="Arial" w:cs="Arial"/>
          <w:sz w:val="20"/>
          <w:szCs w:val="20"/>
        </w:rPr>
        <w:t>389</w:t>
      </w:r>
      <w:proofErr w:type="gramStart"/>
      <w:r w:rsidR="00933F96" w:rsidRPr="00A27F77">
        <w:rPr>
          <w:rFonts w:ascii="Arial" w:hAnsi="Arial" w:cs="Arial"/>
          <w:sz w:val="20"/>
          <w:szCs w:val="20"/>
        </w:rPr>
        <w:t>K(</w:t>
      </w:r>
      <w:proofErr w:type="gramEnd"/>
      <w:r w:rsidR="00933F96" w:rsidRPr="00A27F77">
        <w:rPr>
          <w:rFonts w:ascii="Arial" w:hAnsi="Arial" w:cs="Arial"/>
          <w:sz w:val="20"/>
          <w:szCs w:val="20"/>
        </w:rPr>
        <w:t xml:space="preserve">4) of the CPA </w:t>
      </w:r>
      <w:r w:rsidR="00933F96">
        <w:rPr>
          <w:rFonts w:ascii="Arial" w:hAnsi="Arial" w:cs="Arial"/>
          <w:sz w:val="20"/>
          <w:szCs w:val="20"/>
        </w:rPr>
        <w:t>and</w:t>
      </w:r>
      <w:r w:rsidR="00933F96" w:rsidRPr="00A27F77">
        <w:rPr>
          <w:rFonts w:ascii="Arial" w:hAnsi="Arial" w:cs="Arial"/>
          <w:sz w:val="20"/>
          <w:szCs w:val="20"/>
        </w:rPr>
        <w:t xml:space="preserve"> reg 21 and sch 1 of the </w:t>
      </w:r>
      <w:r w:rsidR="00933F96" w:rsidRPr="00933F96">
        <w:rPr>
          <w:rFonts w:ascii="Arial" w:hAnsi="Arial" w:cs="Arial"/>
          <w:i/>
          <w:iCs/>
          <w:sz w:val="20"/>
          <w:szCs w:val="20"/>
        </w:rPr>
        <w:t>Criminal Procedure Regulations 2020</w:t>
      </w:r>
      <w:r w:rsidR="00933F96">
        <w:rPr>
          <w:rFonts w:ascii="Arial" w:hAnsi="Arial" w:cs="Arial"/>
          <w:sz w:val="20"/>
          <w:szCs w:val="20"/>
        </w:rPr>
        <w:t>.  In rejecting the applicant’s submission that the failure to swear the intermediary had resulted in a substantial miscarriage of justice, the Court of Appeal (E</w:t>
      </w:r>
      <w:r w:rsidR="00933F96" w:rsidRPr="00933F96">
        <w:rPr>
          <w:rFonts w:ascii="Arial" w:hAnsi="Arial" w:cs="Arial"/>
          <w:sz w:val="20"/>
          <w:szCs w:val="20"/>
        </w:rPr>
        <w:t xml:space="preserve">merton </w:t>
      </w:r>
      <w:r w:rsidR="00933F96">
        <w:rPr>
          <w:rFonts w:ascii="Arial" w:hAnsi="Arial" w:cs="Arial"/>
          <w:sz w:val="20"/>
          <w:szCs w:val="20"/>
        </w:rPr>
        <w:t>P</w:t>
      </w:r>
      <w:r w:rsidR="00933F96" w:rsidRPr="00933F96">
        <w:rPr>
          <w:rFonts w:ascii="Arial" w:hAnsi="Arial" w:cs="Arial"/>
          <w:sz w:val="20"/>
          <w:szCs w:val="20"/>
        </w:rPr>
        <w:t xml:space="preserve">, </w:t>
      </w:r>
      <w:r w:rsidR="00933F96">
        <w:rPr>
          <w:rFonts w:ascii="Arial" w:hAnsi="Arial" w:cs="Arial"/>
          <w:sz w:val="20"/>
          <w:szCs w:val="20"/>
        </w:rPr>
        <w:t>K</w:t>
      </w:r>
      <w:r w:rsidR="00933F96" w:rsidRPr="00933F96">
        <w:rPr>
          <w:rFonts w:ascii="Arial" w:hAnsi="Arial" w:cs="Arial"/>
          <w:sz w:val="20"/>
          <w:szCs w:val="20"/>
        </w:rPr>
        <w:t xml:space="preserve">yrou and </w:t>
      </w:r>
      <w:r w:rsidR="00933F96">
        <w:rPr>
          <w:rFonts w:ascii="Arial" w:hAnsi="Arial" w:cs="Arial"/>
          <w:sz w:val="20"/>
          <w:szCs w:val="20"/>
        </w:rPr>
        <w:t>K</w:t>
      </w:r>
      <w:r w:rsidR="00933F96" w:rsidRPr="00933F96">
        <w:rPr>
          <w:rFonts w:ascii="Arial" w:hAnsi="Arial" w:cs="Arial"/>
          <w:sz w:val="20"/>
          <w:szCs w:val="20"/>
        </w:rPr>
        <w:t xml:space="preserve">aye </w:t>
      </w:r>
      <w:r w:rsidR="00933F96">
        <w:rPr>
          <w:rFonts w:ascii="Arial" w:hAnsi="Arial" w:cs="Arial"/>
          <w:sz w:val="20"/>
          <w:szCs w:val="20"/>
        </w:rPr>
        <w:t>JJA) said at [62]:</w:t>
      </w:r>
    </w:p>
    <w:p w14:paraId="028CA75F" w14:textId="67969443" w:rsidR="00933F96" w:rsidRDefault="00933F96" w:rsidP="00933F96">
      <w:pPr>
        <w:spacing w:before="80"/>
        <w:ind w:left="454" w:right="454"/>
        <w:jc w:val="both"/>
        <w:rPr>
          <w:rFonts w:ascii="Arial" w:hAnsi="Arial" w:cs="Arial"/>
          <w:iCs/>
          <w:sz w:val="20"/>
        </w:rPr>
      </w:pPr>
      <w:r>
        <w:rPr>
          <w:rFonts w:ascii="Arial" w:hAnsi="Arial" w:cs="Arial"/>
          <w:iCs/>
          <w:sz w:val="20"/>
        </w:rPr>
        <w:t xml:space="preserve">“In </w:t>
      </w:r>
      <w:r w:rsidRPr="00933F96">
        <w:rPr>
          <w:rFonts w:ascii="Arial" w:hAnsi="Arial" w:cs="Arial"/>
          <w:sz w:val="20"/>
          <w:szCs w:val="20"/>
        </w:rPr>
        <w:t>our opinion, compliance with the requirement in s 389</w:t>
      </w:r>
      <w:proofErr w:type="gramStart"/>
      <w:r w:rsidRPr="00933F96">
        <w:rPr>
          <w:rFonts w:ascii="Arial" w:hAnsi="Arial" w:cs="Arial"/>
          <w:sz w:val="20"/>
          <w:szCs w:val="20"/>
        </w:rPr>
        <w:t>K(</w:t>
      </w:r>
      <w:proofErr w:type="gramEnd"/>
      <w:r w:rsidRPr="00933F96">
        <w:rPr>
          <w:rFonts w:ascii="Arial" w:hAnsi="Arial" w:cs="Arial"/>
          <w:sz w:val="20"/>
          <w:szCs w:val="20"/>
        </w:rPr>
        <w:t>4) of the CPA that an intermediary must not act in that role in a proceeding unless he or she is sworn is not a fundamental requirement of a properly constituted criminal trial such that any breach</w:t>
      </w:r>
      <w:r>
        <w:rPr>
          <w:rFonts w:ascii="Arial" w:hAnsi="Arial" w:cs="Arial"/>
          <w:sz w:val="20"/>
          <w:szCs w:val="20"/>
        </w:rPr>
        <w:t xml:space="preserve"> </w:t>
      </w:r>
      <w:r w:rsidRPr="00933F96">
        <w:rPr>
          <w:rFonts w:ascii="Arial" w:hAnsi="Arial" w:cs="Arial"/>
          <w:sz w:val="20"/>
          <w:szCs w:val="20"/>
        </w:rPr>
        <w:t xml:space="preserve">will automatically result in a substantial miscarriage of justice. The same conclusion applies to the requirement in s 22(1) of the Evidence Act (insofar as it is taken to apply to intermediaries), that a person must either take an oath or make an affirmation before acting in that role in a proceeding. </w:t>
      </w:r>
      <w:r w:rsidRPr="00933F96">
        <w:rPr>
          <w:rFonts w:ascii="Arial" w:hAnsi="Arial" w:cs="Arial"/>
          <w:sz w:val="20"/>
          <w:szCs w:val="20"/>
        </w:rPr>
        <w:lastRenderedPageBreak/>
        <w:t>Whether a breach of these statutory provisions results in a substantial miscarriage of justice will depend on the circumstances of each case including, in particular, the role performed by the intermediary in each case.</w:t>
      </w:r>
      <w:r>
        <w:rPr>
          <w:rFonts w:ascii="Arial" w:hAnsi="Arial" w:cs="Arial"/>
          <w:sz w:val="20"/>
          <w:szCs w:val="20"/>
        </w:rPr>
        <w:t>”</w:t>
      </w:r>
    </w:p>
    <w:p w14:paraId="333D6953" w14:textId="77777777" w:rsidR="00A27F77" w:rsidRDefault="00A27F77" w:rsidP="00A27F77">
      <w:pPr>
        <w:tabs>
          <w:tab w:val="num" w:pos="720"/>
        </w:tabs>
        <w:ind w:left="6"/>
        <w:jc w:val="both"/>
        <w:rPr>
          <w:rFonts w:ascii="Arial" w:hAnsi="Arial" w:cs="Arial"/>
          <w:sz w:val="20"/>
        </w:rPr>
      </w:pPr>
    </w:p>
    <w:p w14:paraId="097C5A51" w14:textId="77777777" w:rsidR="0071787E" w:rsidRDefault="005F1CAA" w:rsidP="009D29CA">
      <w:pPr>
        <w:tabs>
          <w:tab w:val="num" w:pos="720"/>
        </w:tabs>
        <w:ind w:left="6"/>
        <w:jc w:val="both"/>
        <w:rPr>
          <w:rFonts w:ascii="Arial" w:hAnsi="Arial" w:cs="Arial"/>
          <w:sz w:val="20"/>
        </w:rPr>
      </w:pPr>
      <w:r>
        <w:rPr>
          <w:rFonts w:ascii="Arial" w:hAnsi="Arial" w:cs="Arial"/>
          <w:sz w:val="20"/>
        </w:rPr>
        <w:t xml:space="preserve">A </w:t>
      </w:r>
      <w:r w:rsidRPr="005F1CAA">
        <w:rPr>
          <w:rFonts w:ascii="Arial" w:hAnsi="Arial" w:cs="Arial"/>
          <w:b/>
          <w:bCs/>
          <w:sz w:val="20"/>
        </w:rPr>
        <w:t>ground rules hearing</w:t>
      </w:r>
      <w:r>
        <w:rPr>
          <w:rFonts w:ascii="Arial" w:hAnsi="Arial" w:cs="Arial"/>
          <w:sz w:val="20"/>
        </w:rPr>
        <w:t xml:space="preserve"> is a pre-hearing process used to discuss and establish how vulnerable witnesses will be enabled to give their best evidence, by the Court setting ground rules for the questioning of the witness.  The ground rules take the form of Court directions: CPA/s.389E.</w:t>
      </w:r>
    </w:p>
    <w:p w14:paraId="02A17BB8" w14:textId="77777777" w:rsidR="0030111F" w:rsidRDefault="0030111F" w:rsidP="0030111F">
      <w:pPr>
        <w:tabs>
          <w:tab w:val="num" w:pos="720"/>
        </w:tabs>
        <w:ind w:left="6"/>
        <w:jc w:val="both"/>
        <w:rPr>
          <w:rFonts w:ascii="Arial" w:hAnsi="Arial" w:cs="Arial"/>
          <w:sz w:val="20"/>
        </w:rPr>
      </w:pPr>
    </w:p>
    <w:p w14:paraId="6870D504" w14:textId="44206F07" w:rsidR="0084022D" w:rsidRDefault="00A33764" w:rsidP="0084022D">
      <w:pPr>
        <w:tabs>
          <w:tab w:val="num" w:pos="720"/>
        </w:tabs>
        <w:ind w:left="6"/>
        <w:jc w:val="both"/>
        <w:rPr>
          <w:rFonts w:ascii="Arial" w:hAnsi="Arial" w:cs="Arial"/>
          <w:color w:val="000000"/>
          <w:sz w:val="20"/>
        </w:rPr>
      </w:pPr>
      <w:r w:rsidRPr="00A33764">
        <w:rPr>
          <w:rFonts w:ascii="Arial" w:hAnsi="Arial" w:cs="Arial"/>
          <w:sz w:val="20"/>
        </w:rPr>
        <w:t>A program for Intermediaries and Ground Rules Hearings</w:t>
      </w:r>
      <w:r>
        <w:rPr>
          <w:rFonts w:ascii="Arial" w:hAnsi="Arial" w:cs="Arial"/>
          <w:sz w:val="20"/>
        </w:rPr>
        <w:t xml:space="preserve"> commenced operation </w:t>
      </w:r>
      <w:r w:rsidR="00FB31EB">
        <w:rPr>
          <w:rFonts w:ascii="Arial" w:hAnsi="Arial" w:cs="Arial"/>
          <w:sz w:val="20"/>
        </w:rPr>
        <w:t xml:space="preserve">as a Pilot </w:t>
      </w:r>
      <w:r>
        <w:rPr>
          <w:rFonts w:ascii="Arial" w:hAnsi="Arial" w:cs="Arial"/>
          <w:sz w:val="20"/>
        </w:rPr>
        <w:t xml:space="preserve">at Melbourne Children’s Court on 02/07/2018 and applies to criminal proceedings which commenced on or after 28/02/2018 that relate to a sexual offence (as defined in s.4(1) of the </w:t>
      </w:r>
      <w:r w:rsidRPr="00934D0F">
        <w:rPr>
          <w:rFonts w:ascii="Arial" w:hAnsi="Arial" w:cs="Arial"/>
          <w:i/>
          <w:iCs/>
          <w:sz w:val="20"/>
        </w:rPr>
        <w:t>Criminal Procedure Act 2009</w:t>
      </w:r>
      <w:r>
        <w:rPr>
          <w:rFonts w:ascii="Arial" w:hAnsi="Arial" w:cs="Arial"/>
          <w:sz w:val="20"/>
        </w:rPr>
        <w:t xml:space="preserve">) or a homicide offence.  See Practice Direction </w:t>
      </w:r>
      <w:r w:rsidRPr="00671AFF">
        <w:rPr>
          <w:rFonts w:ascii="Arial" w:hAnsi="Arial" w:cs="Arial"/>
          <w:color w:val="000000"/>
          <w:sz w:val="20"/>
        </w:rPr>
        <w:t>No</w:t>
      </w:r>
      <w:r>
        <w:rPr>
          <w:rFonts w:ascii="Arial" w:hAnsi="Arial" w:cs="Arial"/>
          <w:color w:val="000000"/>
          <w:sz w:val="20"/>
        </w:rPr>
        <w:t xml:space="preserve"> 6 of 2018</w:t>
      </w:r>
      <w:r w:rsidR="0084022D">
        <w:rPr>
          <w:rFonts w:ascii="Arial" w:hAnsi="Arial" w:cs="Arial"/>
          <w:color w:val="000000"/>
          <w:sz w:val="20"/>
        </w:rPr>
        <w:t xml:space="preserve"> </w:t>
      </w:r>
      <w:r w:rsidR="00FB31EB">
        <w:rPr>
          <w:rFonts w:ascii="Arial" w:hAnsi="Arial" w:cs="Arial"/>
          <w:color w:val="000000"/>
          <w:sz w:val="20"/>
        </w:rPr>
        <w:t>plus</w:t>
      </w:r>
      <w:r w:rsidR="0084022D">
        <w:rPr>
          <w:rFonts w:ascii="Arial" w:hAnsi="Arial" w:cs="Arial"/>
          <w:color w:val="000000"/>
          <w:sz w:val="20"/>
        </w:rPr>
        <w:t xml:space="preserve"> </w:t>
      </w:r>
      <w:r w:rsidR="0084022D" w:rsidRPr="00F05534">
        <w:rPr>
          <w:rFonts w:ascii="Arial" w:hAnsi="Arial" w:cs="Arial"/>
          <w:sz w:val="20"/>
          <w:szCs w:val="20"/>
        </w:rPr>
        <w:t>a Multi-Jurisdictional Guide which can be</w:t>
      </w:r>
      <w:r w:rsidR="00FB31EB">
        <w:rPr>
          <w:rFonts w:ascii="Arial" w:hAnsi="Arial" w:cs="Arial"/>
          <w:sz w:val="20"/>
          <w:szCs w:val="20"/>
        </w:rPr>
        <w:t> </w:t>
      </w:r>
      <w:r w:rsidR="0084022D" w:rsidRPr="00F05534">
        <w:rPr>
          <w:rFonts w:ascii="Arial" w:hAnsi="Arial" w:cs="Arial"/>
          <w:sz w:val="20"/>
          <w:szCs w:val="20"/>
        </w:rPr>
        <w:t xml:space="preserve">downloaded from </w:t>
      </w:r>
      <w:hyperlink r:id="rId42" w:history="1">
        <w:r w:rsidR="0084022D" w:rsidRPr="00F05534">
          <w:rPr>
            <w:rStyle w:val="Hyperlink"/>
            <w:rFonts w:ascii="Arial" w:hAnsi="Arial" w:cs="Arial"/>
            <w:sz w:val="20"/>
            <w:szCs w:val="20"/>
          </w:rPr>
          <w:t>https://www.childrenscourt.vic.gov.au/legal/guidelines-intermediary-pilot-program</w:t>
        </w:r>
      </w:hyperlink>
      <w:r w:rsidR="0084022D">
        <w:rPr>
          <w:rFonts w:ascii="Arial" w:hAnsi="Arial" w:cs="Arial"/>
          <w:sz w:val="20"/>
          <w:szCs w:val="20"/>
        </w:rPr>
        <w:t xml:space="preserve">. </w:t>
      </w:r>
      <w:r w:rsidR="0084022D">
        <w:rPr>
          <w:rFonts w:ascii="Arial" w:hAnsi="Arial" w:cs="Arial"/>
          <w:color w:val="000000"/>
          <w:sz w:val="20"/>
        </w:rPr>
        <w:t xml:space="preserve">The Intermediary Program is now an ongoing </w:t>
      </w:r>
      <w:proofErr w:type="gramStart"/>
      <w:r w:rsidR="0084022D">
        <w:rPr>
          <w:rFonts w:ascii="Arial" w:hAnsi="Arial" w:cs="Arial"/>
          <w:color w:val="000000"/>
          <w:sz w:val="20"/>
        </w:rPr>
        <w:t>program,</w:t>
      </w:r>
      <w:proofErr w:type="gramEnd"/>
      <w:r w:rsidR="0084022D">
        <w:rPr>
          <w:rFonts w:ascii="Arial" w:hAnsi="Arial" w:cs="Arial"/>
          <w:color w:val="000000"/>
          <w:sz w:val="20"/>
        </w:rPr>
        <w:t xml:space="preserve"> future funding having been confirmed.  However, the original Guidelines dated 28/06/2018 have not yet been formally amended and – at least as yet – the operational limits of the IP, set out in paragraph 4 of the Guidelines, have not been altered.</w:t>
      </w:r>
    </w:p>
    <w:p w14:paraId="7FABC87D" w14:textId="77777777" w:rsidR="00CB3935" w:rsidRDefault="00CB3935" w:rsidP="0030111F">
      <w:pPr>
        <w:tabs>
          <w:tab w:val="num" w:pos="720"/>
        </w:tabs>
        <w:ind w:left="6"/>
        <w:jc w:val="both"/>
        <w:rPr>
          <w:rFonts w:ascii="Arial" w:hAnsi="Arial" w:cs="Arial"/>
          <w:sz w:val="20"/>
        </w:rPr>
      </w:pPr>
    </w:p>
    <w:p w14:paraId="7C37536A" w14:textId="7D4BBA31" w:rsidR="009D29CA" w:rsidRDefault="00720618" w:rsidP="009D29CA">
      <w:pPr>
        <w:tabs>
          <w:tab w:val="num" w:pos="720"/>
        </w:tabs>
        <w:ind w:left="6"/>
        <w:jc w:val="both"/>
        <w:rPr>
          <w:rFonts w:ascii="Arial" w:hAnsi="Arial" w:cs="Arial"/>
          <w:sz w:val="20"/>
        </w:rPr>
      </w:pPr>
      <w:r>
        <w:rPr>
          <w:rFonts w:ascii="Arial" w:hAnsi="Arial" w:cs="Arial"/>
          <w:sz w:val="20"/>
        </w:rPr>
        <w:t>The IP operate</w:t>
      </w:r>
      <w:r w:rsidR="0030111F">
        <w:rPr>
          <w:rFonts w:ascii="Arial" w:hAnsi="Arial" w:cs="Arial"/>
          <w:sz w:val="20"/>
        </w:rPr>
        <w:t>s</w:t>
      </w:r>
      <w:r>
        <w:rPr>
          <w:rFonts w:ascii="Arial" w:hAnsi="Arial" w:cs="Arial"/>
          <w:sz w:val="20"/>
        </w:rPr>
        <w:t xml:space="preserve"> more narrowly than the scheme set out in the CPA</w:t>
      </w:r>
      <w:r w:rsidR="0030111F">
        <w:rPr>
          <w:rFonts w:ascii="Arial" w:hAnsi="Arial" w:cs="Arial"/>
          <w:sz w:val="20"/>
        </w:rPr>
        <w:t>/s.389A</w:t>
      </w:r>
      <w:r>
        <w:rPr>
          <w:rFonts w:ascii="Arial" w:hAnsi="Arial" w:cs="Arial"/>
          <w:sz w:val="20"/>
        </w:rPr>
        <w:t xml:space="preserve"> and appl</w:t>
      </w:r>
      <w:r w:rsidR="0030111F">
        <w:rPr>
          <w:rFonts w:ascii="Arial" w:hAnsi="Arial" w:cs="Arial"/>
          <w:sz w:val="20"/>
        </w:rPr>
        <w:t>ies</w:t>
      </w:r>
      <w:r>
        <w:rPr>
          <w:rFonts w:ascii="Arial" w:hAnsi="Arial" w:cs="Arial"/>
          <w:sz w:val="20"/>
        </w:rPr>
        <w:t xml:space="preserve"> to</w:t>
      </w:r>
      <w:r w:rsidR="00DD0DA0" w:rsidRPr="00A31FFA">
        <w:rPr>
          <w:rFonts w:ascii="Arial" w:hAnsi="Arial" w:cs="Arial"/>
          <w:sz w:val="20"/>
        </w:rPr>
        <w:t>–</w:t>
      </w:r>
    </w:p>
    <w:p w14:paraId="71880FB4" w14:textId="77777777" w:rsidR="00720618" w:rsidRDefault="00720618" w:rsidP="00D772F0">
      <w:pPr>
        <w:numPr>
          <w:ilvl w:val="0"/>
          <w:numId w:val="39"/>
        </w:numPr>
        <w:ind w:left="357" w:hanging="357"/>
        <w:jc w:val="both"/>
        <w:rPr>
          <w:rFonts w:ascii="Arial" w:hAnsi="Arial" w:cs="Arial"/>
          <w:sz w:val="20"/>
        </w:rPr>
      </w:pPr>
      <w:r>
        <w:rPr>
          <w:rFonts w:ascii="Arial" w:hAnsi="Arial" w:cs="Arial"/>
          <w:sz w:val="20"/>
        </w:rPr>
        <w:t>complainants in sexual offences matters who are vulnerable witnesses;</w:t>
      </w:r>
    </w:p>
    <w:p w14:paraId="0BCF5285" w14:textId="77777777" w:rsidR="00720618" w:rsidRDefault="00720618" w:rsidP="00D772F0">
      <w:pPr>
        <w:numPr>
          <w:ilvl w:val="0"/>
          <w:numId w:val="39"/>
        </w:numPr>
        <w:ind w:left="357" w:hanging="357"/>
        <w:jc w:val="both"/>
        <w:rPr>
          <w:rFonts w:ascii="Arial" w:hAnsi="Arial" w:cs="Arial"/>
          <w:sz w:val="20"/>
        </w:rPr>
      </w:pPr>
      <w:r>
        <w:rPr>
          <w:rFonts w:ascii="Arial" w:hAnsi="Arial" w:cs="Arial"/>
          <w:sz w:val="20"/>
        </w:rPr>
        <w:t>vulnerable witnesses, apart from the accused, in homicide matters;</w:t>
      </w:r>
    </w:p>
    <w:p w14:paraId="2B9D81F9" w14:textId="77777777" w:rsidR="00720618" w:rsidRDefault="0030111F" w:rsidP="00D772F0">
      <w:pPr>
        <w:numPr>
          <w:ilvl w:val="0"/>
          <w:numId w:val="39"/>
        </w:numPr>
        <w:ind w:left="357" w:hanging="357"/>
        <w:jc w:val="both"/>
        <w:rPr>
          <w:rFonts w:ascii="Arial" w:hAnsi="Arial" w:cs="Arial"/>
          <w:sz w:val="20"/>
        </w:rPr>
      </w:pPr>
      <w:r>
        <w:rPr>
          <w:rFonts w:ascii="Arial" w:hAnsi="Arial" w:cs="Arial"/>
          <w:sz w:val="20"/>
        </w:rPr>
        <w:t xml:space="preserve">at any stage of the relevant criminal proceeding, including an appeal or rehearing in </w:t>
      </w:r>
      <w:r w:rsidR="00720618">
        <w:rPr>
          <w:rFonts w:ascii="Arial" w:hAnsi="Arial" w:cs="Arial"/>
          <w:sz w:val="20"/>
        </w:rPr>
        <w:t>all court jurisdictions in the Melbourne legal precinct;</w:t>
      </w:r>
    </w:p>
    <w:p w14:paraId="548FF623" w14:textId="77777777" w:rsidR="00720618" w:rsidRDefault="00720618" w:rsidP="00D772F0">
      <w:pPr>
        <w:numPr>
          <w:ilvl w:val="0"/>
          <w:numId w:val="39"/>
        </w:numPr>
        <w:ind w:left="357" w:hanging="357"/>
        <w:jc w:val="both"/>
        <w:rPr>
          <w:rFonts w:ascii="Arial" w:hAnsi="Arial" w:cs="Arial"/>
          <w:sz w:val="20"/>
        </w:rPr>
      </w:pPr>
      <w:r>
        <w:rPr>
          <w:rFonts w:ascii="Arial" w:hAnsi="Arial" w:cs="Arial"/>
          <w:sz w:val="20"/>
        </w:rPr>
        <w:t xml:space="preserve">police </w:t>
      </w:r>
      <w:r w:rsidR="0030111F">
        <w:rPr>
          <w:rFonts w:ascii="Arial" w:hAnsi="Arial" w:cs="Arial"/>
          <w:sz w:val="20"/>
        </w:rPr>
        <w:t>sexual offence and child abuse investigative team (SOCIT) sites at Frankston, Fawkner, Box Hill &amp; Geelong.</w:t>
      </w:r>
    </w:p>
    <w:p w14:paraId="31E27DE6" w14:textId="77777777" w:rsidR="00B21DA4" w:rsidRDefault="00B21DA4">
      <w:pPr>
        <w:tabs>
          <w:tab w:val="num" w:pos="720"/>
        </w:tabs>
        <w:ind w:left="369" w:hanging="363"/>
        <w:jc w:val="both"/>
        <w:rPr>
          <w:rFonts w:ascii="Arial" w:hAnsi="Arial" w:cs="Arial"/>
          <w:sz w:val="20"/>
        </w:rPr>
      </w:pPr>
    </w:p>
    <w:p w14:paraId="5904AA95" w14:textId="04B84095" w:rsidR="0030111F" w:rsidRDefault="001A1DB0" w:rsidP="0084022D">
      <w:pPr>
        <w:keepNext/>
        <w:keepLines/>
        <w:tabs>
          <w:tab w:val="num" w:pos="720"/>
        </w:tabs>
        <w:ind w:left="369" w:hanging="363"/>
        <w:jc w:val="both"/>
        <w:rPr>
          <w:rFonts w:ascii="Arial" w:hAnsi="Arial" w:cs="Arial"/>
          <w:sz w:val="20"/>
        </w:rPr>
      </w:pPr>
      <w:r>
        <w:rPr>
          <w:rFonts w:ascii="Arial" w:hAnsi="Arial" w:cs="Arial"/>
          <w:sz w:val="20"/>
        </w:rPr>
        <w:t>It is expected that</w:t>
      </w:r>
      <w:r w:rsidR="00DD0DA0" w:rsidRPr="00A31FFA">
        <w:rPr>
          <w:rFonts w:ascii="Arial" w:hAnsi="Arial" w:cs="Arial"/>
          <w:sz w:val="20"/>
        </w:rPr>
        <w:t>–</w:t>
      </w:r>
    </w:p>
    <w:p w14:paraId="231101A7" w14:textId="379E4141" w:rsidR="001A1DB0" w:rsidRDefault="001A1DB0" w:rsidP="00D772F0">
      <w:pPr>
        <w:keepNext/>
        <w:keepLines/>
        <w:numPr>
          <w:ilvl w:val="0"/>
          <w:numId w:val="39"/>
        </w:numPr>
        <w:ind w:left="357" w:hanging="357"/>
        <w:jc w:val="both"/>
        <w:rPr>
          <w:rFonts w:ascii="Arial" w:hAnsi="Arial" w:cs="Arial"/>
          <w:sz w:val="20"/>
        </w:rPr>
      </w:pPr>
      <w:r>
        <w:rPr>
          <w:rFonts w:ascii="Arial" w:hAnsi="Arial" w:cs="Arial"/>
          <w:sz w:val="20"/>
        </w:rPr>
        <w:t>either the accused will be legally represented in the matters to which the IP applies; or</w:t>
      </w:r>
    </w:p>
    <w:p w14:paraId="5E79303E"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an order will have been made by the Court under CPA/s.357 for legal representation of the accused for cross-examination of a protected witness.</w:t>
      </w:r>
    </w:p>
    <w:p w14:paraId="6A3CACC9" w14:textId="77777777" w:rsidR="0030111F" w:rsidRDefault="0030111F">
      <w:pPr>
        <w:tabs>
          <w:tab w:val="num" w:pos="720"/>
        </w:tabs>
        <w:ind w:left="369" w:hanging="363"/>
        <w:jc w:val="both"/>
        <w:rPr>
          <w:rFonts w:ascii="Arial" w:hAnsi="Arial" w:cs="Arial"/>
          <w:sz w:val="20"/>
        </w:rPr>
      </w:pPr>
    </w:p>
    <w:p w14:paraId="34BD9B4C" w14:textId="77777777" w:rsidR="001A1DB0" w:rsidRDefault="001A1DB0" w:rsidP="001A1DB0">
      <w:pPr>
        <w:tabs>
          <w:tab w:val="num" w:pos="720"/>
        </w:tabs>
        <w:ind w:left="6"/>
        <w:jc w:val="both"/>
        <w:rPr>
          <w:rFonts w:ascii="Arial" w:hAnsi="Arial" w:cs="Arial"/>
          <w:sz w:val="20"/>
        </w:rPr>
      </w:pPr>
      <w:r>
        <w:rPr>
          <w:rFonts w:ascii="Arial" w:hAnsi="Arial" w:cs="Arial"/>
          <w:sz w:val="20"/>
        </w:rPr>
        <w:t xml:space="preserve">At a </w:t>
      </w:r>
      <w:r w:rsidRPr="001A1DB0">
        <w:rPr>
          <w:rFonts w:ascii="Arial" w:hAnsi="Arial" w:cs="Arial"/>
          <w:b/>
          <w:bCs/>
          <w:sz w:val="20"/>
        </w:rPr>
        <w:t>ground rules hearing</w:t>
      </w:r>
      <w:r>
        <w:rPr>
          <w:rFonts w:ascii="Arial" w:hAnsi="Arial" w:cs="Arial"/>
          <w:sz w:val="20"/>
        </w:rPr>
        <w:t xml:space="preserve"> the Court may make or vary any direction for the fair and efficient conduct of the proceeding, including but not limited to a direction about:</w:t>
      </w:r>
    </w:p>
    <w:p w14:paraId="68FB8B3F" w14:textId="77777777" w:rsidR="001A1DB0" w:rsidRDefault="001A1DB0" w:rsidP="00E00823">
      <w:pPr>
        <w:numPr>
          <w:ilvl w:val="0"/>
          <w:numId w:val="39"/>
        </w:numPr>
        <w:ind w:left="357" w:hanging="357"/>
        <w:jc w:val="both"/>
        <w:rPr>
          <w:rFonts w:ascii="Arial" w:hAnsi="Arial" w:cs="Arial"/>
          <w:sz w:val="20"/>
        </w:rPr>
      </w:pPr>
      <w:r>
        <w:rPr>
          <w:rFonts w:ascii="Arial" w:hAnsi="Arial" w:cs="Arial"/>
          <w:sz w:val="20"/>
        </w:rPr>
        <w:t>the manner and duration of questioning of a vulnerable witness;</w:t>
      </w:r>
    </w:p>
    <w:p w14:paraId="1519EB85"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the questions that may or may not be put to a witness;</w:t>
      </w:r>
    </w:p>
    <w:p w14:paraId="1E6D1BEB"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if there is more than one accused, the allocation amongst the co-accused of the topics about which a witness may be asked;</w:t>
      </w:r>
    </w:p>
    <w:p w14:paraId="5AD4CE9A"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the use of models, plans, body maps or similar aids to help communicate a question or answer;</w:t>
      </w:r>
    </w:p>
    <w:p w14:paraId="3106C7AF"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whether the party is not obliged to put the evidence in its entirety in cross-examination where it is intended that evidence be led that contradicts or challenges the evidence of a witness or that otherwise discredits a witness.</w:t>
      </w:r>
    </w:p>
    <w:p w14:paraId="6C2740F7" w14:textId="77777777" w:rsidR="001A1DB0" w:rsidRDefault="001A1DB0" w:rsidP="001A1DB0">
      <w:pPr>
        <w:tabs>
          <w:tab w:val="num" w:pos="720"/>
        </w:tabs>
        <w:ind w:left="6"/>
        <w:jc w:val="both"/>
        <w:rPr>
          <w:rFonts w:ascii="Arial" w:hAnsi="Arial" w:cs="Arial"/>
          <w:sz w:val="20"/>
        </w:rPr>
      </w:pPr>
    </w:p>
    <w:p w14:paraId="6DEEA3DA" w14:textId="77777777" w:rsidR="00B21DA4" w:rsidRDefault="00B21DA4" w:rsidP="00D17F43">
      <w:pPr>
        <w:pStyle w:val="Heading3"/>
        <w:keepNext/>
        <w:keepLines/>
        <w:widowControl/>
        <w:spacing w:after="100" w:line="240" w:lineRule="auto"/>
        <w:rPr>
          <w:rFonts w:ascii="Arial" w:hAnsi="Arial" w:cs="Arial"/>
          <w:b/>
          <w:bCs/>
          <w:sz w:val="20"/>
        </w:rPr>
      </w:pPr>
      <w:bookmarkStart w:id="330" w:name="_3.4.3_Standing_to"/>
      <w:bookmarkStart w:id="331" w:name="B343"/>
      <w:bookmarkStart w:id="332" w:name="_Toc30651646"/>
      <w:bookmarkStart w:id="333" w:name="_Toc30652630"/>
      <w:bookmarkStart w:id="334" w:name="_Toc30652728"/>
      <w:bookmarkStart w:id="335" w:name="_Toc30654073"/>
      <w:bookmarkStart w:id="336" w:name="_Toc30654424"/>
      <w:bookmarkStart w:id="337" w:name="_Toc30655043"/>
      <w:bookmarkStart w:id="338" w:name="_Toc30655300"/>
      <w:bookmarkStart w:id="339" w:name="_Toc30656978"/>
      <w:bookmarkStart w:id="340" w:name="_Toc30661727"/>
      <w:bookmarkStart w:id="341" w:name="_Toc30666415"/>
      <w:bookmarkStart w:id="342" w:name="_Toc30666645"/>
      <w:bookmarkStart w:id="343" w:name="_Toc30667820"/>
      <w:bookmarkStart w:id="344" w:name="_Toc30669198"/>
      <w:bookmarkStart w:id="345" w:name="_Toc30671414"/>
      <w:bookmarkStart w:id="346" w:name="_Toc30673941"/>
      <w:bookmarkStart w:id="347" w:name="_Toc30691163"/>
      <w:bookmarkStart w:id="348" w:name="_Toc30691534"/>
      <w:bookmarkStart w:id="349" w:name="_Toc30691914"/>
      <w:bookmarkStart w:id="350" w:name="_Toc30692673"/>
      <w:bookmarkStart w:id="351" w:name="_Toc30693052"/>
      <w:bookmarkStart w:id="352" w:name="_Toc30693430"/>
      <w:bookmarkStart w:id="353" w:name="_Toc30693809"/>
      <w:bookmarkStart w:id="354" w:name="_Toc30694190"/>
      <w:bookmarkStart w:id="355" w:name="_Toc30698779"/>
      <w:bookmarkStart w:id="356" w:name="_Toc30699157"/>
      <w:bookmarkStart w:id="357" w:name="_Toc30699542"/>
      <w:bookmarkStart w:id="358" w:name="_Toc30700697"/>
      <w:bookmarkStart w:id="359" w:name="_Toc30701084"/>
      <w:bookmarkStart w:id="360" w:name="_Toc30743693"/>
      <w:bookmarkStart w:id="361" w:name="_Toc30754515"/>
      <w:bookmarkStart w:id="362" w:name="_Toc30756955"/>
      <w:bookmarkStart w:id="363" w:name="_Toc30757504"/>
      <w:bookmarkStart w:id="364" w:name="_Toc30757904"/>
      <w:bookmarkStart w:id="365" w:name="_Toc30762665"/>
      <w:bookmarkStart w:id="366" w:name="_Toc30767319"/>
      <w:bookmarkStart w:id="367" w:name="_Toc34823335"/>
      <w:bookmarkEnd w:id="330"/>
      <w:bookmarkEnd w:id="331"/>
      <w:r>
        <w:rPr>
          <w:rFonts w:ascii="Arial" w:hAnsi="Arial" w:cs="Arial"/>
          <w:b/>
          <w:bCs/>
          <w:sz w:val="20"/>
        </w:rPr>
        <w:t>3.4.</w:t>
      </w:r>
      <w:r w:rsidR="009D29CA">
        <w:rPr>
          <w:rFonts w:ascii="Arial" w:hAnsi="Arial" w:cs="Arial"/>
          <w:b/>
          <w:bCs/>
          <w:sz w:val="20"/>
        </w:rPr>
        <w:t>3</w:t>
      </w:r>
      <w:r>
        <w:rPr>
          <w:rFonts w:ascii="Arial" w:hAnsi="Arial" w:cs="Arial"/>
          <w:b/>
          <w:bCs/>
          <w:sz w:val="20"/>
        </w:rPr>
        <w:tab/>
        <w:t>Standing to participate as a party</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7710D31C" w14:textId="08DE1919" w:rsidR="005F0874" w:rsidRDefault="00A32688">
      <w:pPr>
        <w:tabs>
          <w:tab w:val="num" w:pos="720"/>
        </w:tabs>
        <w:ind w:left="6"/>
        <w:jc w:val="both"/>
        <w:rPr>
          <w:rFonts w:ascii="Arial" w:hAnsi="Arial" w:cs="Arial"/>
          <w:sz w:val="20"/>
        </w:rPr>
      </w:pPr>
      <w:r>
        <w:rPr>
          <w:rFonts w:ascii="Arial" w:hAnsi="Arial" w:cs="Arial"/>
          <w:sz w:val="20"/>
        </w:rPr>
        <w:t>It is the writer’s view that the standing of a person to participate as a party in the Family Division is governed by s.</w:t>
      </w:r>
      <w:r w:rsidR="005F0874">
        <w:rPr>
          <w:rFonts w:ascii="Arial" w:hAnsi="Arial" w:cs="Arial"/>
          <w:sz w:val="20"/>
        </w:rPr>
        <w:t>522(1)(c) of the CYFA</w:t>
      </w:r>
      <w:r>
        <w:rPr>
          <w:rFonts w:ascii="Arial" w:hAnsi="Arial" w:cs="Arial"/>
          <w:sz w:val="20"/>
        </w:rPr>
        <w:t xml:space="preserve">.  That subsection </w:t>
      </w:r>
      <w:r w:rsidR="005F0874">
        <w:rPr>
          <w:rFonts w:ascii="Arial" w:hAnsi="Arial" w:cs="Arial"/>
          <w:sz w:val="20"/>
        </w:rPr>
        <w:t>provides:</w:t>
      </w:r>
    </w:p>
    <w:p w14:paraId="5B7FCF2F" w14:textId="069E6241" w:rsidR="00A32688" w:rsidRPr="00A32688" w:rsidRDefault="00A32688" w:rsidP="00A32688">
      <w:pPr>
        <w:tabs>
          <w:tab w:val="num" w:pos="720"/>
        </w:tabs>
        <w:spacing w:before="60"/>
        <w:ind w:left="357"/>
        <w:jc w:val="both"/>
        <w:rPr>
          <w:rFonts w:ascii="Arial" w:hAnsi="Arial" w:cs="Arial"/>
          <w:sz w:val="20"/>
          <w:szCs w:val="20"/>
        </w:rPr>
      </w:pPr>
      <w:r w:rsidRPr="00A32688">
        <w:rPr>
          <w:rFonts w:ascii="Arial" w:hAnsi="Arial" w:cs="Arial"/>
          <w:sz w:val="20"/>
          <w:szCs w:val="20"/>
        </w:rPr>
        <w:t>“As far as</w:t>
      </w:r>
      <w:r w:rsidRPr="00A32688">
        <w:rPr>
          <w:rFonts w:ascii="Arial" w:hAnsi="Arial" w:cs="Arial"/>
          <w:b/>
          <w:bCs/>
          <w:sz w:val="20"/>
          <w:szCs w:val="20"/>
        </w:rPr>
        <w:t xml:space="preserve"> practicable</w:t>
      </w:r>
      <w:r w:rsidRPr="00A32688">
        <w:rPr>
          <w:rFonts w:ascii="Arial" w:hAnsi="Arial" w:cs="Arial"/>
          <w:sz w:val="20"/>
          <w:szCs w:val="20"/>
        </w:rPr>
        <w:t xml:space="preserve"> the Court must in any proceeding allow</w:t>
      </w:r>
      <w:r w:rsidR="00A27C2A">
        <w:rPr>
          <w:rFonts w:ascii="Arial" w:hAnsi="Arial" w:cs="Arial"/>
          <w:sz w:val="20"/>
          <w:szCs w:val="20"/>
        </w:rPr>
        <w:t>–</w:t>
      </w:r>
    </w:p>
    <w:p w14:paraId="513C1B36" w14:textId="77777777" w:rsidR="00A32688" w:rsidRPr="00A32688" w:rsidRDefault="00A32688" w:rsidP="00D772F0">
      <w:pPr>
        <w:pStyle w:val="ListParagraph"/>
        <w:numPr>
          <w:ilvl w:val="0"/>
          <w:numId w:val="41"/>
        </w:numPr>
        <w:contextualSpacing/>
        <w:jc w:val="both"/>
        <w:rPr>
          <w:rFonts w:ascii="Arial" w:hAnsi="Arial" w:cs="Arial"/>
          <w:sz w:val="20"/>
        </w:rPr>
      </w:pPr>
      <w:r w:rsidRPr="00A32688">
        <w:rPr>
          <w:rFonts w:ascii="Arial" w:hAnsi="Arial" w:cs="Arial"/>
          <w:sz w:val="20"/>
        </w:rPr>
        <w:t>the child; and</w:t>
      </w:r>
    </w:p>
    <w:p w14:paraId="09ECB7FE" w14:textId="484C4A86" w:rsidR="00A32688" w:rsidRPr="00A32688" w:rsidRDefault="00A32688" w:rsidP="00D772F0">
      <w:pPr>
        <w:pStyle w:val="ListParagraph"/>
        <w:numPr>
          <w:ilvl w:val="0"/>
          <w:numId w:val="41"/>
        </w:numPr>
        <w:contextualSpacing/>
        <w:jc w:val="both"/>
        <w:rPr>
          <w:rFonts w:ascii="Arial" w:hAnsi="Arial" w:cs="Arial"/>
          <w:sz w:val="20"/>
        </w:rPr>
      </w:pPr>
      <w:r w:rsidRPr="00A32688">
        <w:rPr>
          <w:rFonts w:ascii="Arial" w:hAnsi="Arial" w:cs="Arial"/>
          <w:sz w:val="20"/>
        </w:rPr>
        <w:t xml:space="preserve">in the case of a proceeding in the Family Division, the child’s parents and all other parties who have a </w:t>
      </w:r>
      <w:r w:rsidRPr="00A32688">
        <w:rPr>
          <w:rFonts w:ascii="Arial" w:hAnsi="Arial" w:cs="Arial"/>
          <w:b/>
          <w:bCs/>
          <w:sz w:val="20"/>
        </w:rPr>
        <w:t>direct interest</w:t>
      </w:r>
      <w:r w:rsidRPr="00A32688">
        <w:rPr>
          <w:rFonts w:ascii="Arial" w:hAnsi="Arial" w:cs="Arial"/>
          <w:sz w:val="20"/>
        </w:rPr>
        <w:t xml:space="preserve"> in the proceeding</w:t>
      </w:r>
      <w:r w:rsidR="00A27C2A">
        <w:rPr>
          <w:rFonts w:ascii="Arial" w:hAnsi="Arial" w:cs="Arial"/>
          <w:sz w:val="20"/>
        </w:rPr>
        <w:t>–</w:t>
      </w:r>
    </w:p>
    <w:p w14:paraId="595B48CA" w14:textId="77777777" w:rsidR="00A32688" w:rsidRPr="00A32688" w:rsidRDefault="00A32688" w:rsidP="00A32688">
      <w:pPr>
        <w:ind w:left="360"/>
        <w:jc w:val="both"/>
        <w:rPr>
          <w:rFonts w:ascii="Arial" w:hAnsi="Arial" w:cs="Arial"/>
          <w:sz w:val="20"/>
          <w:szCs w:val="20"/>
        </w:rPr>
      </w:pPr>
      <w:r w:rsidRPr="00A32688">
        <w:rPr>
          <w:rFonts w:ascii="Arial" w:hAnsi="Arial" w:cs="Arial"/>
          <w:sz w:val="20"/>
          <w:szCs w:val="20"/>
        </w:rPr>
        <w:t>to participate fully in the proceeding.”</w:t>
      </w:r>
    </w:p>
    <w:p w14:paraId="64F11237" w14:textId="77777777" w:rsidR="005F0874" w:rsidRDefault="005F0874">
      <w:pPr>
        <w:tabs>
          <w:tab w:val="num" w:pos="720"/>
        </w:tabs>
        <w:ind w:left="6"/>
        <w:jc w:val="both"/>
        <w:rPr>
          <w:rFonts w:ascii="Arial" w:hAnsi="Arial" w:cs="Arial"/>
          <w:sz w:val="20"/>
        </w:rPr>
      </w:pPr>
    </w:p>
    <w:p w14:paraId="0F54BDB2" w14:textId="232E5560" w:rsidR="00B84D25" w:rsidRDefault="00420DC3" w:rsidP="002B767D">
      <w:pPr>
        <w:tabs>
          <w:tab w:val="num" w:pos="720"/>
        </w:tabs>
        <w:ind w:left="6"/>
        <w:jc w:val="both"/>
        <w:rPr>
          <w:rFonts w:ascii="Arial" w:hAnsi="Arial" w:cs="Arial"/>
          <w:sz w:val="20"/>
        </w:rPr>
      </w:pPr>
      <w:r>
        <w:rPr>
          <w:rFonts w:ascii="Arial" w:hAnsi="Arial" w:cs="Arial"/>
          <w:sz w:val="20"/>
        </w:rPr>
        <w:t xml:space="preserve">A contrary view of s.522(1)(c) is that it is not the source of an implied power to join </w:t>
      </w:r>
      <w:r w:rsidRPr="00420DC3">
        <w:rPr>
          <w:rFonts w:ascii="Arial" w:hAnsi="Arial" w:cs="Arial"/>
          <w:b/>
          <w:bCs/>
          <w:sz w:val="20"/>
        </w:rPr>
        <w:t>persons</w:t>
      </w:r>
      <w:r>
        <w:rPr>
          <w:rFonts w:ascii="Arial" w:hAnsi="Arial" w:cs="Arial"/>
          <w:sz w:val="20"/>
        </w:rPr>
        <w:t xml:space="preserve"> as parties to a Family Division proceeding but rather that is confined to the procedure to be followed in relation to persons who are already deemed by the CYFA to be </w:t>
      </w:r>
      <w:r w:rsidRPr="00420DC3">
        <w:rPr>
          <w:rFonts w:ascii="Arial" w:hAnsi="Arial" w:cs="Arial"/>
          <w:b/>
          <w:bCs/>
          <w:sz w:val="20"/>
        </w:rPr>
        <w:t>parties</w:t>
      </w:r>
      <w:r w:rsidRPr="00420DC3">
        <w:rPr>
          <w:rFonts w:ascii="Arial" w:hAnsi="Arial" w:cs="Arial"/>
          <w:sz w:val="20"/>
        </w:rPr>
        <w:t>.</w:t>
      </w:r>
      <w:r>
        <w:rPr>
          <w:rFonts w:ascii="Arial" w:hAnsi="Arial" w:cs="Arial"/>
          <w:b/>
          <w:bCs/>
          <w:sz w:val="20"/>
        </w:rPr>
        <w:t xml:space="preserve">  </w:t>
      </w:r>
      <w:r>
        <w:rPr>
          <w:rFonts w:ascii="Arial" w:hAnsi="Arial" w:cs="Arial"/>
          <w:sz w:val="20"/>
        </w:rPr>
        <w:t xml:space="preserve">This interpretation focuses on </w:t>
      </w:r>
      <w:r w:rsidR="00653A4C">
        <w:rPr>
          <w:rFonts w:ascii="Arial" w:hAnsi="Arial" w:cs="Arial"/>
          <w:sz w:val="20"/>
        </w:rPr>
        <w:t>a perceived</w:t>
      </w:r>
      <w:r>
        <w:rPr>
          <w:rFonts w:ascii="Arial" w:hAnsi="Arial" w:cs="Arial"/>
          <w:sz w:val="20"/>
        </w:rPr>
        <w:t xml:space="preserve"> distinction in the Act between “person” and “party”</w:t>
      </w:r>
      <w:r w:rsidR="00EC5983">
        <w:rPr>
          <w:rFonts w:ascii="Arial" w:hAnsi="Arial" w:cs="Arial"/>
          <w:sz w:val="20"/>
        </w:rPr>
        <w:t xml:space="preserve"> and concludes that the CYFA provides </w:t>
      </w:r>
      <w:r w:rsidR="00EC5983" w:rsidRPr="00B84D25">
        <w:rPr>
          <w:rFonts w:ascii="Arial" w:hAnsi="Arial" w:cs="Arial"/>
          <w:b/>
          <w:bCs/>
          <w:sz w:val="20"/>
          <w:u w:val="single"/>
        </w:rPr>
        <w:t>only</w:t>
      </w:r>
      <w:r w:rsidR="00EC5983">
        <w:rPr>
          <w:rFonts w:ascii="Arial" w:hAnsi="Arial" w:cs="Arial"/>
          <w:sz w:val="20"/>
        </w:rPr>
        <w:t xml:space="preserve"> for the </w:t>
      </w:r>
      <w:r w:rsidR="00B84D25">
        <w:rPr>
          <w:rFonts w:ascii="Arial" w:hAnsi="Arial" w:cs="Arial"/>
          <w:sz w:val="20"/>
        </w:rPr>
        <w:t>following persons to be parties to a Family Division proceeding</w:t>
      </w:r>
      <w:r w:rsidR="00DD0DA0" w:rsidRPr="00A31FFA">
        <w:rPr>
          <w:rFonts w:ascii="Arial" w:hAnsi="Arial" w:cs="Arial"/>
          <w:sz w:val="20"/>
        </w:rPr>
        <w:t>–</w:t>
      </w:r>
    </w:p>
    <w:p w14:paraId="40FE16DA"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Attorney-General [s.215(2)];</w:t>
      </w:r>
    </w:p>
    <w:p w14:paraId="6EBF8415"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Secretary or his or her delegate [s.215(3)];</w:t>
      </w:r>
    </w:p>
    <w:p w14:paraId="443B0022"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persons approved by the Secretary to become permanent carers of the child if granted leave by the Court [ss.320(2)-(3)];</w:t>
      </w:r>
    </w:p>
    <w:p w14:paraId="2680DE69"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child; and</w:t>
      </w:r>
    </w:p>
    <w:p w14:paraId="38E1359E"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child’s parent.</w:t>
      </w:r>
    </w:p>
    <w:p w14:paraId="32D2AF36" w14:textId="77777777" w:rsidR="00B84D25" w:rsidRDefault="00B84D25" w:rsidP="002B767D">
      <w:pPr>
        <w:tabs>
          <w:tab w:val="num" w:pos="720"/>
        </w:tabs>
        <w:ind w:left="6"/>
        <w:jc w:val="both"/>
        <w:rPr>
          <w:rFonts w:ascii="Arial" w:hAnsi="Arial" w:cs="Arial"/>
          <w:sz w:val="20"/>
        </w:rPr>
      </w:pPr>
    </w:p>
    <w:p w14:paraId="57988907" w14:textId="27FFAA86" w:rsidR="00AB2FCD" w:rsidRPr="00AB2FCD" w:rsidRDefault="00B84D25" w:rsidP="00201B53">
      <w:pPr>
        <w:jc w:val="both"/>
        <w:rPr>
          <w:rFonts w:ascii="Arial" w:hAnsi="Arial" w:cs="Arial"/>
          <w:sz w:val="20"/>
          <w:szCs w:val="20"/>
        </w:rPr>
      </w:pPr>
      <w:r w:rsidRPr="00152F96">
        <w:rPr>
          <w:rFonts w:ascii="Arial" w:hAnsi="Arial" w:cs="Arial"/>
          <w:sz w:val="20"/>
          <w:szCs w:val="20"/>
        </w:rPr>
        <w:lastRenderedPageBreak/>
        <w:t xml:space="preserve">For the </w:t>
      </w:r>
      <w:r w:rsidR="00B87DD3" w:rsidRPr="00152F96">
        <w:rPr>
          <w:rFonts w:ascii="Arial" w:hAnsi="Arial" w:cs="Arial"/>
          <w:sz w:val="20"/>
          <w:szCs w:val="20"/>
        </w:rPr>
        <w:t>following reasons t</w:t>
      </w:r>
      <w:r w:rsidRPr="00152F96">
        <w:rPr>
          <w:rFonts w:ascii="Arial" w:hAnsi="Arial" w:cs="Arial"/>
          <w:sz w:val="20"/>
          <w:szCs w:val="20"/>
        </w:rPr>
        <w:t xml:space="preserve">he writer </w:t>
      </w:r>
      <w:r w:rsidR="00B87DD3" w:rsidRPr="00152F96">
        <w:rPr>
          <w:rFonts w:ascii="Arial" w:hAnsi="Arial" w:cs="Arial"/>
          <w:sz w:val="20"/>
          <w:szCs w:val="20"/>
        </w:rPr>
        <w:t>strongly disagrees with the above restrictive view of s.522(1)(c).</w:t>
      </w:r>
      <w:r w:rsidR="00152F96" w:rsidRPr="00152F96">
        <w:rPr>
          <w:rFonts w:ascii="Arial" w:hAnsi="Arial" w:cs="Arial"/>
          <w:sz w:val="20"/>
          <w:szCs w:val="20"/>
        </w:rPr>
        <w:t xml:space="preserve">  </w:t>
      </w:r>
      <w:r w:rsidRPr="00152F96">
        <w:rPr>
          <w:rFonts w:ascii="Arial" w:hAnsi="Arial" w:cs="Arial"/>
          <w:sz w:val="20"/>
          <w:szCs w:val="20"/>
        </w:rPr>
        <w:t xml:space="preserve">The predecessor of s.522 of the CYFA is s.18 of the </w:t>
      </w:r>
      <w:r w:rsidRPr="00152F96">
        <w:rPr>
          <w:rFonts w:ascii="Arial" w:hAnsi="Arial" w:cs="Arial"/>
          <w:i/>
          <w:iCs/>
          <w:sz w:val="20"/>
          <w:szCs w:val="20"/>
        </w:rPr>
        <w:t xml:space="preserve">Children and Young Persons Act </w:t>
      </w:r>
      <w:r w:rsidRPr="006B710D">
        <w:rPr>
          <w:rFonts w:ascii="Arial" w:hAnsi="Arial" w:cs="Arial"/>
          <w:i/>
          <w:iCs/>
          <w:sz w:val="20"/>
          <w:szCs w:val="20"/>
        </w:rPr>
        <w:t>1989</w:t>
      </w:r>
      <w:r w:rsidRPr="00152F96">
        <w:rPr>
          <w:rFonts w:ascii="Arial" w:hAnsi="Arial" w:cs="Arial"/>
          <w:sz w:val="20"/>
          <w:szCs w:val="20"/>
        </w:rPr>
        <w:t xml:space="preserve"> [‘CYPA’] which uses exactly the same words, not just in subsection (1)(c) but in all four subsections.</w:t>
      </w:r>
      <w:r w:rsidR="00152F96">
        <w:rPr>
          <w:rFonts w:ascii="Arial" w:hAnsi="Arial" w:cs="Arial"/>
          <w:sz w:val="20"/>
          <w:szCs w:val="20"/>
        </w:rPr>
        <w:t xml:space="preserve">  </w:t>
      </w:r>
      <w:r w:rsidR="00AB2FCD" w:rsidRPr="00AB2FCD">
        <w:rPr>
          <w:rFonts w:ascii="Arial" w:hAnsi="Arial" w:cs="Arial"/>
          <w:sz w:val="20"/>
          <w:szCs w:val="20"/>
        </w:rPr>
        <w:t xml:space="preserve">The Explanatory Memorandum accompanying the </w:t>
      </w:r>
      <w:r w:rsidR="00AB2FCD" w:rsidRPr="00AB2FCD">
        <w:rPr>
          <w:rFonts w:ascii="Arial" w:hAnsi="Arial" w:cs="Arial"/>
          <w:i/>
          <w:iCs/>
          <w:sz w:val="20"/>
          <w:szCs w:val="20"/>
        </w:rPr>
        <w:t xml:space="preserve">Children and Young Persons Bill </w:t>
      </w:r>
      <w:r w:rsidR="00AB2FCD" w:rsidRPr="00AB2FCD">
        <w:rPr>
          <w:rFonts w:ascii="Arial" w:hAnsi="Arial" w:cs="Arial"/>
          <w:sz w:val="20"/>
          <w:szCs w:val="20"/>
        </w:rPr>
        <w:t xml:space="preserve">said in relation to </w:t>
      </w:r>
      <w:r w:rsidR="00653A4C">
        <w:rPr>
          <w:rFonts w:ascii="Arial" w:hAnsi="Arial" w:cs="Arial"/>
          <w:sz w:val="20"/>
          <w:szCs w:val="20"/>
        </w:rPr>
        <w:t>c</w:t>
      </w:r>
      <w:r w:rsidR="00AB2FCD" w:rsidRPr="00AB2FCD">
        <w:rPr>
          <w:rFonts w:ascii="Arial" w:hAnsi="Arial" w:cs="Arial"/>
          <w:sz w:val="20"/>
          <w:szCs w:val="20"/>
        </w:rPr>
        <w:t xml:space="preserve">lause 18 that it “sets out procedural guidelines to be followed by the Children’s Court to </w:t>
      </w:r>
      <w:r w:rsidR="00AB2FCD" w:rsidRPr="00AB2FCD">
        <w:rPr>
          <w:rFonts w:ascii="Arial" w:hAnsi="Arial" w:cs="Arial"/>
          <w:b/>
          <w:bCs/>
          <w:sz w:val="20"/>
          <w:szCs w:val="20"/>
        </w:rPr>
        <w:t xml:space="preserve">ensure that the child, and the child’s </w:t>
      </w:r>
      <w:r w:rsidR="00AB2FCD" w:rsidRPr="00AB2FCD">
        <w:rPr>
          <w:rFonts w:ascii="Arial" w:hAnsi="Arial" w:cs="Arial"/>
          <w:b/>
          <w:bCs/>
          <w:sz w:val="20"/>
          <w:szCs w:val="20"/>
          <w:u w:val="single"/>
        </w:rPr>
        <w:t>family</w:t>
      </w:r>
      <w:r w:rsidR="00AB2FCD" w:rsidRPr="00AB2FCD">
        <w:rPr>
          <w:rFonts w:ascii="Arial" w:hAnsi="Arial" w:cs="Arial"/>
          <w:b/>
          <w:bCs/>
          <w:sz w:val="20"/>
          <w:szCs w:val="20"/>
        </w:rPr>
        <w:t xml:space="preserve">, can understand and </w:t>
      </w:r>
      <w:r w:rsidR="00AB2FCD" w:rsidRPr="00AB2FCD">
        <w:rPr>
          <w:rFonts w:ascii="Arial" w:hAnsi="Arial" w:cs="Arial"/>
          <w:b/>
          <w:bCs/>
          <w:sz w:val="20"/>
          <w:szCs w:val="20"/>
          <w:u w:val="single"/>
        </w:rPr>
        <w:t>participate</w:t>
      </w:r>
      <w:r w:rsidR="00AB2FCD" w:rsidRPr="00AB2FCD">
        <w:rPr>
          <w:rFonts w:ascii="Arial" w:hAnsi="Arial" w:cs="Arial"/>
          <w:b/>
          <w:bCs/>
          <w:sz w:val="20"/>
          <w:szCs w:val="20"/>
        </w:rPr>
        <w:t xml:space="preserve"> in the proceedings</w:t>
      </w:r>
      <w:r w:rsidR="00AB2FCD" w:rsidRPr="00AB2FCD">
        <w:rPr>
          <w:rFonts w:ascii="Arial" w:hAnsi="Arial" w:cs="Arial"/>
          <w:sz w:val="20"/>
          <w:szCs w:val="20"/>
        </w:rPr>
        <w:t>…”</w:t>
      </w:r>
      <w:r w:rsidR="00122DC7">
        <w:rPr>
          <w:rFonts w:ascii="Arial" w:hAnsi="Arial" w:cs="Arial"/>
          <w:sz w:val="20"/>
          <w:szCs w:val="20"/>
        </w:rPr>
        <w:t xml:space="preserve"> [emphasis added]</w:t>
      </w:r>
    </w:p>
    <w:p w14:paraId="11CDA64A" w14:textId="77777777" w:rsidR="00AB2FCD" w:rsidRDefault="00AB2FCD" w:rsidP="00B84D25">
      <w:pPr>
        <w:jc w:val="both"/>
        <w:rPr>
          <w:rFonts w:ascii="Arial" w:hAnsi="Arial" w:cs="Arial"/>
          <w:sz w:val="20"/>
          <w:szCs w:val="20"/>
        </w:rPr>
      </w:pPr>
    </w:p>
    <w:p w14:paraId="19712912" w14:textId="2D8C426E" w:rsidR="00B84D25" w:rsidRPr="00152F96" w:rsidRDefault="00B84D25" w:rsidP="00B84D25">
      <w:pPr>
        <w:jc w:val="both"/>
        <w:rPr>
          <w:rFonts w:ascii="Arial" w:hAnsi="Arial" w:cs="Arial"/>
          <w:sz w:val="20"/>
          <w:szCs w:val="20"/>
        </w:rPr>
      </w:pPr>
      <w:r w:rsidRPr="00152F96">
        <w:rPr>
          <w:rFonts w:ascii="Arial" w:hAnsi="Arial" w:cs="Arial"/>
          <w:sz w:val="20"/>
          <w:szCs w:val="20"/>
        </w:rPr>
        <w:t xml:space="preserve">The origin of the CYPA can be traced back to the Child Welfare Practice and Legislation Review of 1984, known colloquially as the ‘Carney Report’ and entitled “Equity and Social Justice for Children, Families and Communities”. </w:t>
      </w:r>
      <w:r w:rsidR="00653A4C">
        <w:rPr>
          <w:rFonts w:ascii="Arial" w:hAnsi="Arial" w:cs="Arial"/>
          <w:sz w:val="20"/>
          <w:szCs w:val="20"/>
        </w:rPr>
        <w:t xml:space="preserve">In the Introduction to </w:t>
      </w:r>
      <w:r w:rsidRPr="00152F96">
        <w:rPr>
          <w:rFonts w:ascii="Arial" w:hAnsi="Arial" w:cs="Arial"/>
          <w:sz w:val="20"/>
          <w:szCs w:val="20"/>
        </w:rPr>
        <w:t xml:space="preserve">Chapter 5 of that report </w:t>
      </w:r>
      <w:r w:rsidR="00653A4C">
        <w:rPr>
          <w:rFonts w:ascii="Arial" w:hAnsi="Arial" w:cs="Arial"/>
          <w:sz w:val="20"/>
          <w:szCs w:val="20"/>
        </w:rPr>
        <w:t xml:space="preserve">– </w:t>
      </w:r>
      <w:r w:rsidRPr="00152F96">
        <w:rPr>
          <w:rFonts w:ascii="Arial" w:hAnsi="Arial" w:cs="Arial"/>
          <w:sz w:val="20"/>
          <w:szCs w:val="20"/>
        </w:rPr>
        <w:t>entitled</w:t>
      </w:r>
      <w:r w:rsidR="00653A4C">
        <w:rPr>
          <w:rFonts w:ascii="Arial" w:hAnsi="Arial" w:cs="Arial"/>
          <w:sz w:val="20"/>
          <w:szCs w:val="20"/>
        </w:rPr>
        <w:t xml:space="preserve"> </w:t>
      </w:r>
      <w:r w:rsidRPr="00152F96">
        <w:rPr>
          <w:rFonts w:ascii="Arial" w:hAnsi="Arial" w:cs="Arial"/>
          <w:sz w:val="20"/>
          <w:szCs w:val="20"/>
        </w:rPr>
        <w:t>“The Process of the Court”</w:t>
      </w:r>
      <w:r w:rsidR="00097A80">
        <w:rPr>
          <w:rFonts w:ascii="Arial" w:hAnsi="Arial" w:cs="Arial"/>
          <w:sz w:val="20"/>
          <w:szCs w:val="20"/>
        </w:rPr>
        <w:t xml:space="preserve"> – </w:t>
      </w:r>
      <w:r w:rsidR="00122DC7">
        <w:rPr>
          <w:rFonts w:ascii="Arial" w:hAnsi="Arial" w:cs="Arial"/>
          <w:sz w:val="20"/>
          <w:szCs w:val="20"/>
        </w:rPr>
        <w:t>t</w:t>
      </w:r>
      <w:r w:rsidRPr="00152F96">
        <w:rPr>
          <w:rFonts w:ascii="Arial" w:hAnsi="Arial" w:cs="Arial"/>
          <w:sz w:val="20"/>
          <w:szCs w:val="20"/>
        </w:rPr>
        <w:t>he</w:t>
      </w:r>
      <w:r w:rsidR="00097A80">
        <w:rPr>
          <w:rFonts w:ascii="Arial" w:hAnsi="Arial" w:cs="Arial"/>
          <w:sz w:val="20"/>
          <w:szCs w:val="20"/>
        </w:rPr>
        <w:t xml:space="preserve"> </w:t>
      </w:r>
      <w:r w:rsidRPr="00152F96">
        <w:rPr>
          <w:rFonts w:ascii="Arial" w:hAnsi="Arial" w:cs="Arial"/>
          <w:sz w:val="20"/>
          <w:szCs w:val="20"/>
        </w:rPr>
        <w:t xml:space="preserve">authors </w:t>
      </w:r>
      <w:r w:rsidR="00122DC7">
        <w:rPr>
          <w:rFonts w:ascii="Arial" w:hAnsi="Arial" w:cs="Arial"/>
          <w:sz w:val="20"/>
          <w:szCs w:val="20"/>
        </w:rPr>
        <w:t>say a</w:t>
      </w:r>
      <w:r w:rsidRPr="00152F96">
        <w:rPr>
          <w:rFonts w:ascii="Arial" w:hAnsi="Arial" w:cs="Arial"/>
          <w:sz w:val="20"/>
          <w:szCs w:val="20"/>
        </w:rPr>
        <w:t>t p.420</w:t>
      </w:r>
      <w:r w:rsidR="00122DC7">
        <w:rPr>
          <w:rFonts w:ascii="Arial" w:hAnsi="Arial" w:cs="Arial"/>
          <w:sz w:val="20"/>
          <w:szCs w:val="20"/>
        </w:rPr>
        <w:t xml:space="preserve"> </w:t>
      </w:r>
      <w:r w:rsidRPr="00152F96">
        <w:rPr>
          <w:rFonts w:ascii="Arial" w:hAnsi="Arial" w:cs="Arial"/>
          <w:sz w:val="20"/>
          <w:szCs w:val="20"/>
        </w:rPr>
        <w:t xml:space="preserve">[emphasis </w:t>
      </w:r>
      <w:r w:rsidR="00653A4C">
        <w:rPr>
          <w:rFonts w:ascii="Arial" w:hAnsi="Arial" w:cs="Arial"/>
          <w:sz w:val="20"/>
          <w:szCs w:val="20"/>
        </w:rPr>
        <w:t xml:space="preserve">again </w:t>
      </w:r>
      <w:r w:rsidR="00152F96">
        <w:rPr>
          <w:rFonts w:ascii="Arial" w:hAnsi="Arial" w:cs="Arial"/>
          <w:sz w:val="20"/>
          <w:szCs w:val="20"/>
        </w:rPr>
        <w:t>added</w:t>
      </w:r>
      <w:r w:rsidRPr="00152F96">
        <w:rPr>
          <w:rFonts w:ascii="Arial" w:hAnsi="Arial" w:cs="Arial"/>
          <w:sz w:val="20"/>
          <w:szCs w:val="20"/>
        </w:rPr>
        <w:t>]:</w:t>
      </w:r>
    </w:p>
    <w:p w14:paraId="25415642" w14:textId="77777777" w:rsidR="00803AFF" w:rsidRDefault="00B84D25" w:rsidP="00803AFF">
      <w:pPr>
        <w:spacing w:before="80"/>
        <w:ind w:left="454" w:right="454"/>
        <w:jc w:val="both"/>
        <w:rPr>
          <w:rFonts w:ascii="Arial" w:hAnsi="Arial" w:cs="Arial"/>
          <w:iCs/>
          <w:sz w:val="20"/>
        </w:rPr>
      </w:pPr>
      <w:r w:rsidRPr="00152F96">
        <w:rPr>
          <w:rFonts w:ascii="Arial" w:hAnsi="Arial" w:cs="Arial"/>
          <w:sz w:val="20"/>
        </w:rPr>
        <w:t xml:space="preserve">“The three basic imperatives of a system of justice can be summed up as: correctness of decisions; </w:t>
      </w:r>
      <w:r w:rsidRPr="00152F96">
        <w:rPr>
          <w:rFonts w:ascii="Arial" w:hAnsi="Arial" w:cs="Arial"/>
          <w:b/>
          <w:bCs/>
          <w:sz w:val="20"/>
        </w:rPr>
        <w:t xml:space="preserve">participation by affected </w:t>
      </w:r>
      <w:r w:rsidRPr="00152F96">
        <w:rPr>
          <w:rFonts w:ascii="Arial" w:hAnsi="Arial" w:cs="Arial"/>
          <w:b/>
          <w:bCs/>
          <w:sz w:val="20"/>
          <w:u w:val="single"/>
        </w:rPr>
        <w:t>parties</w:t>
      </w:r>
      <w:r w:rsidRPr="00152F96">
        <w:rPr>
          <w:rFonts w:ascii="Arial" w:hAnsi="Arial" w:cs="Arial"/>
          <w:sz w:val="20"/>
        </w:rPr>
        <w:t xml:space="preserve">; and public confidence in its rulings (Rubenstein 1976:48).  The general upgrading in the status of the court, the enhanced qualifications of the bench, and the provision of opportunities for responsible public scrutiny, should all contribute to securing its public standing.  In this Chapter much of the focus will be on designing processes which will advance the twin objectives of promoting correctness of decisions and of </w:t>
      </w:r>
      <w:r w:rsidRPr="00152F96">
        <w:rPr>
          <w:rFonts w:ascii="Arial" w:hAnsi="Arial" w:cs="Arial"/>
          <w:b/>
          <w:bCs/>
          <w:sz w:val="20"/>
        </w:rPr>
        <w:t xml:space="preserve">ensuring that </w:t>
      </w:r>
      <w:r w:rsidRPr="00152F96">
        <w:rPr>
          <w:rFonts w:ascii="Arial" w:hAnsi="Arial" w:cs="Arial"/>
          <w:b/>
          <w:bCs/>
          <w:sz w:val="20"/>
          <w:u w:val="single"/>
        </w:rPr>
        <w:t>people</w:t>
      </w:r>
      <w:r w:rsidRPr="00152F96">
        <w:rPr>
          <w:rFonts w:ascii="Arial" w:hAnsi="Arial" w:cs="Arial"/>
          <w:b/>
          <w:bCs/>
          <w:sz w:val="20"/>
        </w:rPr>
        <w:t xml:space="preserve"> affected have every opportunity to participate in hearings</w:t>
      </w:r>
      <w:r w:rsidRPr="00152F96">
        <w:rPr>
          <w:rFonts w:ascii="Arial" w:hAnsi="Arial" w:cs="Arial"/>
          <w:sz w:val="20"/>
        </w:rPr>
        <w:t>.</w:t>
      </w:r>
    </w:p>
    <w:p w14:paraId="5696D6BA" w14:textId="77777777" w:rsidR="00803AFF" w:rsidRDefault="00B84D25" w:rsidP="00036D92">
      <w:pPr>
        <w:spacing w:before="80"/>
        <w:ind w:left="454" w:right="454"/>
        <w:jc w:val="both"/>
        <w:rPr>
          <w:rFonts w:ascii="Arial" w:hAnsi="Arial" w:cs="Arial"/>
          <w:iCs/>
          <w:sz w:val="20"/>
        </w:rPr>
      </w:pPr>
      <w:r w:rsidRPr="00152F96">
        <w:rPr>
          <w:rFonts w:ascii="Arial" w:hAnsi="Arial" w:cs="Arial"/>
          <w:sz w:val="20"/>
        </w:rPr>
        <w:t xml:space="preserve">So far as participation is concerned, this has three elements. First, people can only participate in processes if they have prior information about what the process entails.  </w:t>
      </w:r>
      <w:r w:rsidRPr="00152F96">
        <w:rPr>
          <w:rFonts w:ascii="Arial" w:hAnsi="Arial" w:cs="Arial"/>
          <w:b/>
          <w:bCs/>
          <w:sz w:val="20"/>
        </w:rPr>
        <w:t>Secondly, procedures should be designed to provide real opportunities for them to make their views known.</w:t>
      </w:r>
      <w:r w:rsidRPr="00152F96">
        <w:rPr>
          <w:rFonts w:ascii="Arial" w:hAnsi="Arial" w:cs="Arial"/>
          <w:sz w:val="20"/>
        </w:rPr>
        <w:t xml:space="preserve">  Finally, in many cases, </w:t>
      </w:r>
      <w:r w:rsidRPr="00152F96">
        <w:rPr>
          <w:rFonts w:ascii="Arial" w:hAnsi="Arial" w:cs="Arial"/>
          <w:b/>
          <w:bCs/>
          <w:sz w:val="20"/>
          <w:u w:val="single"/>
        </w:rPr>
        <w:t>people</w:t>
      </w:r>
      <w:r w:rsidRPr="00152F96">
        <w:rPr>
          <w:rFonts w:ascii="Arial" w:hAnsi="Arial" w:cs="Arial"/>
          <w:sz w:val="20"/>
        </w:rPr>
        <w:t xml:space="preserve"> require assistance from legal or lay advocates – or interpreting services – if </w:t>
      </w:r>
      <w:r w:rsidRPr="00152F96">
        <w:rPr>
          <w:rFonts w:ascii="Arial" w:hAnsi="Arial" w:cs="Arial"/>
          <w:b/>
          <w:bCs/>
          <w:sz w:val="20"/>
        </w:rPr>
        <w:t>they are to take full advantage of opportunities for participation</w:t>
      </w:r>
      <w:r w:rsidR="00CA0729" w:rsidRPr="00CA0729">
        <w:rPr>
          <w:rFonts w:ascii="Arial" w:hAnsi="Arial" w:cs="Arial"/>
          <w:sz w:val="20"/>
        </w:rPr>
        <w:t>…</w:t>
      </w:r>
    </w:p>
    <w:p w14:paraId="73B8729C" w14:textId="77777777" w:rsidR="00803AFF" w:rsidRDefault="00CA0729" w:rsidP="00803AFF">
      <w:pPr>
        <w:spacing w:before="80"/>
        <w:ind w:left="454" w:right="454"/>
        <w:jc w:val="both"/>
        <w:rPr>
          <w:rFonts w:ascii="Arial" w:hAnsi="Arial" w:cs="Arial"/>
          <w:iCs/>
          <w:sz w:val="20"/>
        </w:rPr>
      </w:pPr>
      <w:r w:rsidRPr="00152F96">
        <w:rPr>
          <w:rFonts w:ascii="Arial" w:hAnsi="Arial" w:cs="Arial"/>
          <w:b/>
          <w:bCs/>
          <w:sz w:val="20"/>
        </w:rPr>
        <w:t xml:space="preserve">It is essential that we provide adequate opportunities for </w:t>
      </w:r>
      <w:r w:rsidRPr="00152F96">
        <w:rPr>
          <w:rFonts w:ascii="Arial" w:hAnsi="Arial" w:cs="Arial"/>
          <w:b/>
          <w:bCs/>
          <w:sz w:val="20"/>
          <w:u w:val="single"/>
        </w:rPr>
        <w:t>people</w:t>
      </w:r>
      <w:r w:rsidRPr="00152F96">
        <w:rPr>
          <w:rFonts w:ascii="Arial" w:hAnsi="Arial" w:cs="Arial"/>
          <w:b/>
          <w:bCs/>
          <w:sz w:val="20"/>
        </w:rPr>
        <w:t xml:space="preserve"> to understand and participate in the proceedings</w:t>
      </w:r>
      <w:r w:rsidR="00653A4C" w:rsidRPr="00653A4C">
        <w:rPr>
          <w:rFonts w:ascii="Arial" w:hAnsi="Arial" w:cs="Arial"/>
          <w:sz w:val="20"/>
        </w:rPr>
        <w:t xml:space="preserve"> (Langley, 1978)</w:t>
      </w:r>
      <w:r w:rsidRPr="00653A4C">
        <w:rPr>
          <w:rFonts w:ascii="Arial" w:hAnsi="Arial" w:cs="Arial"/>
          <w:sz w:val="20"/>
        </w:rPr>
        <w:t>.</w:t>
      </w:r>
      <w:r w:rsidRPr="00152F96">
        <w:rPr>
          <w:rFonts w:ascii="Arial" w:hAnsi="Arial" w:cs="Arial"/>
          <w:sz w:val="20"/>
        </w:rPr>
        <w:t xml:space="preserve">  To do anything less is to deny one of the fundamental principles of justice.”</w:t>
      </w:r>
    </w:p>
    <w:p w14:paraId="0611D119" w14:textId="77777777" w:rsidR="00653A4C" w:rsidRDefault="00653A4C" w:rsidP="00653A4C">
      <w:pPr>
        <w:jc w:val="both"/>
        <w:rPr>
          <w:rFonts w:ascii="Arial" w:hAnsi="Arial" w:cs="Arial"/>
          <w:sz w:val="20"/>
          <w:szCs w:val="20"/>
        </w:rPr>
      </w:pPr>
    </w:p>
    <w:p w14:paraId="748F5A76" w14:textId="77777777" w:rsidR="00B84D25" w:rsidRPr="00152F96" w:rsidRDefault="00B84D25" w:rsidP="00653A4C">
      <w:pPr>
        <w:jc w:val="both"/>
        <w:rPr>
          <w:rFonts w:ascii="Arial" w:hAnsi="Arial" w:cs="Arial"/>
          <w:sz w:val="20"/>
          <w:szCs w:val="20"/>
        </w:rPr>
      </w:pPr>
      <w:r w:rsidRPr="00152F96">
        <w:rPr>
          <w:rFonts w:ascii="Arial" w:hAnsi="Arial" w:cs="Arial"/>
          <w:sz w:val="20"/>
          <w:szCs w:val="20"/>
        </w:rPr>
        <w:t xml:space="preserve">This led to the authors’ recommendation </w:t>
      </w:r>
      <w:r w:rsidR="00CB2BF8">
        <w:rPr>
          <w:rFonts w:ascii="Arial" w:hAnsi="Arial" w:cs="Arial"/>
          <w:sz w:val="20"/>
          <w:szCs w:val="20"/>
        </w:rPr>
        <w:t>#</w:t>
      </w:r>
      <w:r w:rsidRPr="00152F96">
        <w:rPr>
          <w:rFonts w:ascii="Arial" w:hAnsi="Arial" w:cs="Arial"/>
          <w:sz w:val="20"/>
          <w:szCs w:val="20"/>
        </w:rPr>
        <w:t xml:space="preserve">271: </w:t>
      </w:r>
      <w:r w:rsidR="00152F96">
        <w:rPr>
          <w:rFonts w:ascii="Arial" w:hAnsi="Arial" w:cs="Arial"/>
          <w:sz w:val="20"/>
          <w:szCs w:val="20"/>
        </w:rPr>
        <w:t>“</w:t>
      </w:r>
      <w:r w:rsidR="00152F96" w:rsidRPr="00152F96">
        <w:rPr>
          <w:rFonts w:ascii="Arial" w:hAnsi="Arial" w:cs="Arial"/>
          <w:sz w:val="20"/>
          <w:szCs w:val="20"/>
        </w:rPr>
        <w:t>…</w:t>
      </w:r>
      <w:r w:rsidR="00152F96" w:rsidRPr="00152F96">
        <w:rPr>
          <w:rFonts w:ascii="Arial" w:hAnsi="Arial" w:cs="Arial"/>
          <w:b/>
          <w:bCs/>
          <w:sz w:val="20"/>
        </w:rPr>
        <w:t xml:space="preserve">Children and </w:t>
      </w:r>
      <w:r w:rsidR="00152F96" w:rsidRPr="00152F96">
        <w:rPr>
          <w:rFonts w:ascii="Arial" w:hAnsi="Arial" w:cs="Arial"/>
          <w:b/>
          <w:bCs/>
          <w:sz w:val="20"/>
          <w:u w:val="single"/>
        </w:rPr>
        <w:t>families</w:t>
      </w:r>
      <w:r w:rsidR="00152F96" w:rsidRPr="00152F96">
        <w:rPr>
          <w:rFonts w:ascii="Arial" w:hAnsi="Arial" w:cs="Arial"/>
          <w:b/>
          <w:bCs/>
          <w:sz w:val="20"/>
        </w:rPr>
        <w:t xml:space="preserve"> should have maximum opportunity to participate in the court process</w:t>
      </w:r>
      <w:r w:rsidR="00152F96" w:rsidRPr="00152F96">
        <w:rPr>
          <w:rFonts w:ascii="Arial" w:hAnsi="Arial" w:cs="Arial"/>
          <w:sz w:val="20"/>
        </w:rPr>
        <w:t>….</w:t>
      </w:r>
      <w:r w:rsidR="00152F96">
        <w:rPr>
          <w:rFonts w:ascii="Arial" w:hAnsi="Arial" w:cs="Arial"/>
          <w:sz w:val="20"/>
        </w:rPr>
        <w:t>”  In turn, that recommendation led to clause 49 in the proposed Act annexed to the Carney Report [emphasis again added]:</w:t>
      </w:r>
    </w:p>
    <w:p w14:paraId="3A8E4B6A" w14:textId="77777777" w:rsidR="00B84D25" w:rsidRDefault="00B84D25" w:rsidP="00D772F0">
      <w:pPr>
        <w:pStyle w:val="ListParagraph"/>
        <w:numPr>
          <w:ilvl w:val="0"/>
          <w:numId w:val="42"/>
        </w:numPr>
        <w:tabs>
          <w:tab w:val="left" w:pos="907"/>
        </w:tabs>
        <w:spacing w:before="60"/>
        <w:ind w:left="908" w:right="454" w:hanging="454"/>
        <w:contextualSpacing/>
        <w:jc w:val="both"/>
        <w:rPr>
          <w:rFonts w:ascii="Arial" w:hAnsi="Arial" w:cs="Arial"/>
          <w:sz w:val="20"/>
        </w:rPr>
      </w:pPr>
      <w:r w:rsidRPr="00AB2FCD">
        <w:rPr>
          <w:rFonts w:ascii="Arial" w:hAnsi="Arial" w:cs="Arial"/>
          <w:sz w:val="20"/>
        </w:rPr>
        <w:t xml:space="preserve">In proceedings in relation to a child, the Court may give leave to </w:t>
      </w:r>
      <w:r w:rsidRPr="00AB2FCD">
        <w:rPr>
          <w:rFonts w:ascii="Arial" w:hAnsi="Arial" w:cs="Arial"/>
          <w:b/>
          <w:bCs/>
          <w:sz w:val="20"/>
        </w:rPr>
        <w:t xml:space="preserve">any interested </w:t>
      </w:r>
      <w:r w:rsidRPr="00AB2FCD">
        <w:rPr>
          <w:rFonts w:ascii="Arial" w:hAnsi="Arial" w:cs="Arial"/>
          <w:b/>
          <w:bCs/>
          <w:sz w:val="20"/>
          <w:u w:val="single"/>
        </w:rPr>
        <w:t>party</w:t>
      </w:r>
      <w:r w:rsidRPr="00AB2FCD">
        <w:rPr>
          <w:rFonts w:ascii="Arial" w:hAnsi="Arial" w:cs="Arial"/>
          <w:sz w:val="20"/>
        </w:rPr>
        <w:t xml:space="preserve"> to appear in the proceedings.</w:t>
      </w:r>
    </w:p>
    <w:p w14:paraId="7FF006BB" w14:textId="39AD19FA" w:rsidR="00AB2FCD" w:rsidRPr="00AB2FCD" w:rsidRDefault="00AB2FCD" w:rsidP="00D772F0">
      <w:pPr>
        <w:pStyle w:val="ListParagraph"/>
        <w:numPr>
          <w:ilvl w:val="0"/>
          <w:numId w:val="42"/>
        </w:numPr>
        <w:tabs>
          <w:tab w:val="left" w:pos="907"/>
        </w:tabs>
        <w:spacing w:before="60"/>
        <w:ind w:left="908" w:right="454" w:hanging="454"/>
        <w:contextualSpacing/>
        <w:jc w:val="both"/>
        <w:rPr>
          <w:rFonts w:ascii="Arial" w:hAnsi="Arial" w:cs="Arial"/>
          <w:sz w:val="20"/>
        </w:rPr>
      </w:pPr>
      <w:r w:rsidRPr="00AB2FCD">
        <w:rPr>
          <w:rFonts w:ascii="Arial" w:hAnsi="Arial" w:cs="Arial"/>
          <w:sz w:val="20"/>
        </w:rPr>
        <w:t xml:space="preserve">A </w:t>
      </w:r>
      <w:r w:rsidRPr="00AB2FCD">
        <w:rPr>
          <w:rFonts w:ascii="Arial" w:hAnsi="Arial" w:cs="Arial"/>
          <w:b/>
          <w:bCs/>
          <w:sz w:val="20"/>
          <w:u w:val="single"/>
        </w:rPr>
        <w:t>person</w:t>
      </w:r>
      <w:r w:rsidRPr="00AB2FCD">
        <w:rPr>
          <w:rFonts w:ascii="Arial" w:hAnsi="Arial" w:cs="Arial"/>
          <w:sz w:val="20"/>
        </w:rPr>
        <w:t xml:space="preserve"> who is given leave to appear pursuant to this section may, unless the Court otherwise orders</w:t>
      </w:r>
      <w:r w:rsidR="00DD0DA0" w:rsidRPr="00A31FFA">
        <w:rPr>
          <w:rFonts w:ascii="Arial" w:hAnsi="Arial" w:cs="Arial"/>
          <w:sz w:val="20"/>
        </w:rPr>
        <w:t>–</w:t>
      </w:r>
    </w:p>
    <w:p w14:paraId="363F4359" w14:textId="77777777" w:rsidR="00B84D25" w:rsidRPr="00AB2FCD" w:rsidRDefault="00B84D25" w:rsidP="00D772F0">
      <w:pPr>
        <w:pStyle w:val="ListParagraph"/>
        <w:numPr>
          <w:ilvl w:val="0"/>
          <w:numId w:val="43"/>
        </w:numPr>
        <w:ind w:left="907" w:firstLine="0"/>
        <w:contextualSpacing/>
        <w:jc w:val="both"/>
        <w:rPr>
          <w:rFonts w:ascii="Arial" w:hAnsi="Arial" w:cs="Arial"/>
          <w:sz w:val="20"/>
        </w:rPr>
      </w:pPr>
      <w:r w:rsidRPr="00AB2FCD">
        <w:rPr>
          <w:rFonts w:ascii="Arial" w:hAnsi="Arial" w:cs="Arial"/>
          <w:sz w:val="20"/>
        </w:rPr>
        <w:t>appear in person in the proceedings;</w:t>
      </w:r>
    </w:p>
    <w:p w14:paraId="34077A49" w14:textId="77777777" w:rsidR="00B84D25" w:rsidRPr="00AB2FCD" w:rsidRDefault="00B84D25" w:rsidP="00D772F0">
      <w:pPr>
        <w:pStyle w:val="ListParagraph"/>
        <w:numPr>
          <w:ilvl w:val="0"/>
          <w:numId w:val="43"/>
        </w:numPr>
        <w:ind w:left="907" w:firstLine="0"/>
        <w:contextualSpacing/>
        <w:jc w:val="both"/>
        <w:rPr>
          <w:rFonts w:ascii="Arial" w:hAnsi="Arial" w:cs="Arial"/>
          <w:sz w:val="20"/>
        </w:rPr>
      </w:pPr>
      <w:r w:rsidRPr="00AB2FCD">
        <w:rPr>
          <w:rFonts w:ascii="Arial" w:hAnsi="Arial" w:cs="Arial"/>
          <w:sz w:val="20"/>
        </w:rPr>
        <w:t>be represented by a lawyer or other advocate in the proceedings; and</w:t>
      </w:r>
    </w:p>
    <w:p w14:paraId="1DEB0AE7" w14:textId="77777777" w:rsidR="00B84D25" w:rsidRPr="00AB2FCD" w:rsidRDefault="00B84D25" w:rsidP="00D772F0">
      <w:pPr>
        <w:pStyle w:val="ListParagraph"/>
        <w:numPr>
          <w:ilvl w:val="0"/>
          <w:numId w:val="43"/>
        </w:numPr>
        <w:ind w:left="907" w:firstLine="0"/>
        <w:contextualSpacing/>
        <w:jc w:val="both"/>
        <w:rPr>
          <w:rFonts w:ascii="Arial" w:hAnsi="Arial" w:cs="Arial"/>
          <w:sz w:val="20"/>
        </w:rPr>
      </w:pPr>
      <w:r w:rsidRPr="00AB2FCD">
        <w:rPr>
          <w:rFonts w:ascii="Arial" w:hAnsi="Arial" w:cs="Arial"/>
          <w:sz w:val="20"/>
        </w:rPr>
        <w:t>examine and cross-examine witnesses.</w:t>
      </w:r>
    </w:p>
    <w:p w14:paraId="5D0E053A" w14:textId="77777777" w:rsidR="00BD2CEB" w:rsidRDefault="00BD2CEB" w:rsidP="00BD2CEB">
      <w:pPr>
        <w:jc w:val="both"/>
        <w:rPr>
          <w:rFonts w:ascii="Arial" w:hAnsi="Arial" w:cs="Arial"/>
          <w:sz w:val="20"/>
          <w:szCs w:val="20"/>
        </w:rPr>
      </w:pPr>
    </w:p>
    <w:p w14:paraId="7DEB5C95" w14:textId="58833468" w:rsidR="00B84D25" w:rsidRPr="00122DC7" w:rsidRDefault="00B84D25" w:rsidP="00D405C3">
      <w:pPr>
        <w:jc w:val="both"/>
        <w:rPr>
          <w:rFonts w:ascii="Arial" w:hAnsi="Arial" w:cs="Arial"/>
          <w:sz w:val="20"/>
          <w:szCs w:val="20"/>
        </w:rPr>
      </w:pPr>
      <w:r w:rsidRPr="00122DC7">
        <w:rPr>
          <w:rFonts w:ascii="Arial" w:hAnsi="Arial" w:cs="Arial"/>
          <w:sz w:val="20"/>
          <w:szCs w:val="20"/>
        </w:rPr>
        <w:t>In the extrinsic materials which underpin the CYPA – and hence which underpin this aspect of the CYFA – the words “</w:t>
      </w:r>
      <w:r w:rsidRPr="00122DC7">
        <w:rPr>
          <w:rFonts w:ascii="Arial" w:hAnsi="Arial" w:cs="Arial"/>
          <w:b/>
          <w:bCs/>
          <w:sz w:val="20"/>
          <w:szCs w:val="20"/>
        </w:rPr>
        <w:t>person</w:t>
      </w:r>
      <w:r w:rsidRPr="00122DC7">
        <w:rPr>
          <w:rFonts w:ascii="Arial" w:hAnsi="Arial" w:cs="Arial"/>
          <w:sz w:val="20"/>
          <w:szCs w:val="20"/>
        </w:rPr>
        <w:t>” and “</w:t>
      </w:r>
      <w:r w:rsidRPr="00122DC7">
        <w:rPr>
          <w:rFonts w:ascii="Arial" w:hAnsi="Arial" w:cs="Arial"/>
          <w:b/>
          <w:bCs/>
          <w:sz w:val="20"/>
          <w:szCs w:val="20"/>
        </w:rPr>
        <w:t>party</w:t>
      </w:r>
      <w:r w:rsidRPr="00122DC7">
        <w:rPr>
          <w:rFonts w:ascii="Arial" w:hAnsi="Arial" w:cs="Arial"/>
          <w:sz w:val="20"/>
          <w:szCs w:val="20"/>
        </w:rPr>
        <w:t>” are sometimes used interchangeably.  This is especially evident in clause 49. It is clear that in enacting the CYPA Parliament has wished to broaden – not reduce – the capacity of interested persons to participate in Family Division proceedings in appropriate cases.</w:t>
      </w:r>
      <w:r w:rsidR="00E91C24">
        <w:rPr>
          <w:rFonts w:ascii="Arial" w:hAnsi="Arial" w:cs="Arial"/>
          <w:sz w:val="20"/>
          <w:szCs w:val="20"/>
        </w:rPr>
        <w:t xml:space="preserve"> </w:t>
      </w:r>
      <w:r w:rsidRPr="00122DC7">
        <w:rPr>
          <w:rFonts w:ascii="Arial" w:hAnsi="Arial" w:cs="Arial"/>
          <w:sz w:val="20"/>
          <w:szCs w:val="20"/>
        </w:rPr>
        <w:t xml:space="preserve">It is a pity that the formulation in clause 49 did not find its way into the CYPA and ultimately into the CYFA because it is much clearer and contains an express source of judicial power rather than the implied source of power inherent in </w:t>
      </w:r>
      <w:r w:rsidR="00C54F19">
        <w:rPr>
          <w:rFonts w:ascii="Arial" w:hAnsi="Arial" w:cs="Arial"/>
          <w:sz w:val="20"/>
          <w:szCs w:val="20"/>
        </w:rPr>
        <w:t xml:space="preserve">the writer’s </w:t>
      </w:r>
      <w:r w:rsidRPr="00122DC7">
        <w:rPr>
          <w:rFonts w:ascii="Arial" w:hAnsi="Arial" w:cs="Arial"/>
          <w:sz w:val="20"/>
          <w:szCs w:val="20"/>
        </w:rPr>
        <w:t xml:space="preserve">interpretation of s.18(1)(c) of the CYPA and s.522(1)(c) of the CYFA. But it is clear enough from the Second Reading Speech to the CYPA </w:t>
      </w:r>
      <w:r w:rsidR="00BD2CEB">
        <w:rPr>
          <w:rFonts w:ascii="Arial" w:hAnsi="Arial" w:cs="Arial"/>
          <w:sz w:val="20"/>
          <w:szCs w:val="20"/>
        </w:rPr>
        <w:t>[08/12/1988]</w:t>
      </w:r>
      <w:r w:rsidR="00E91C24">
        <w:rPr>
          <w:rFonts w:ascii="Arial" w:hAnsi="Arial" w:cs="Arial"/>
          <w:sz w:val="20"/>
          <w:szCs w:val="20"/>
        </w:rPr>
        <w:t xml:space="preserve"> </w:t>
      </w:r>
      <w:r w:rsidRPr="00122DC7">
        <w:rPr>
          <w:rFonts w:ascii="Arial" w:hAnsi="Arial" w:cs="Arial"/>
          <w:sz w:val="20"/>
          <w:szCs w:val="20"/>
        </w:rPr>
        <w:t>that the legislature:</w:t>
      </w:r>
    </w:p>
    <w:p w14:paraId="494BAA27" w14:textId="77777777" w:rsidR="00B84D25" w:rsidRPr="00122DC7" w:rsidRDefault="00B84D25" w:rsidP="00D772F0">
      <w:pPr>
        <w:pStyle w:val="ListParagraph"/>
        <w:numPr>
          <w:ilvl w:val="0"/>
          <w:numId w:val="44"/>
        </w:numPr>
        <w:ind w:left="357" w:hanging="357"/>
        <w:contextualSpacing/>
        <w:jc w:val="both"/>
        <w:rPr>
          <w:rFonts w:ascii="Arial" w:hAnsi="Arial" w:cs="Arial"/>
          <w:sz w:val="20"/>
          <w:szCs w:val="16"/>
        </w:rPr>
      </w:pPr>
      <w:r w:rsidRPr="00122DC7">
        <w:rPr>
          <w:rFonts w:ascii="Arial" w:hAnsi="Arial" w:cs="Arial"/>
          <w:sz w:val="20"/>
          <w:szCs w:val="16"/>
        </w:rPr>
        <w:t>did not intend to depart from the formulation in clause 49; and</w:t>
      </w:r>
    </w:p>
    <w:p w14:paraId="76CB74E7" w14:textId="77777777" w:rsidR="00B84D25" w:rsidRPr="00122DC7" w:rsidRDefault="00B84D25" w:rsidP="00D772F0">
      <w:pPr>
        <w:pStyle w:val="ListParagraph"/>
        <w:numPr>
          <w:ilvl w:val="0"/>
          <w:numId w:val="44"/>
        </w:numPr>
        <w:ind w:left="357" w:hanging="357"/>
        <w:contextualSpacing/>
        <w:jc w:val="both"/>
        <w:rPr>
          <w:rFonts w:ascii="Arial" w:hAnsi="Arial" w:cs="Arial"/>
          <w:sz w:val="20"/>
          <w:szCs w:val="16"/>
        </w:rPr>
      </w:pPr>
      <w:r w:rsidRPr="00122DC7">
        <w:rPr>
          <w:rFonts w:ascii="Arial" w:hAnsi="Arial" w:cs="Arial"/>
          <w:sz w:val="20"/>
          <w:szCs w:val="16"/>
        </w:rPr>
        <w:t>did not contemplate participation in Family Division proceedings being restricted to children, their parents, proposed permanent carers, the Attorney-General and the Secretary D</w:t>
      </w:r>
      <w:r w:rsidR="000F6855">
        <w:rPr>
          <w:rFonts w:ascii="Arial" w:hAnsi="Arial" w:cs="Arial"/>
          <w:sz w:val="20"/>
          <w:szCs w:val="16"/>
        </w:rPr>
        <w:t>FFH</w:t>
      </w:r>
      <w:r w:rsidRPr="00122DC7">
        <w:rPr>
          <w:rFonts w:ascii="Arial" w:hAnsi="Arial" w:cs="Arial"/>
          <w:sz w:val="20"/>
          <w:szCs w:val="16"/>
        </w:rPr>
        <w:t>.</w:t>
      </w:r>
    </w:p>
    <w:p w14:paraId="7650C0D8" w14:textId="77777777" w:rsidR="00E9618F" w:rsidRDefault="00E9618F" w:rsidP="00E91C24">
      <w:pPr>
        <w:spacing w:before="20"/>
        <w:jc w:val="both"/>
        <w:rPr>
          <w:rFonts w:ascii="Arial" w:hAnsi="Arial" w:cs="Arial"/>
          <w:sz w:val="20"/>
          <w:szCs w:val="20"/>
        </w:rPr>
      </w:pPr>
    </w:p>
    <w:p w14:paraId="13031349" w14:textId="3862774F" w:rsidR="00B84D25" w:rsidRPr="00122DC7" w:rsidRDefault="00B84D25" w:rsidP="00AD6FA7">
      <w:pPr>
        <w:spacing w:before="20"/>
        <w:jc w:val="both"/>
        <w:rPr>
          <w:rFonts w:ascii="Arial" w:hAnsi="Arial" w:cs="Arial"/>
          <w:sz w:val="20"/>
          <w:szCs w:val="20"/>
        </w:rPr>
      </w:pPr>
      <w:r w:rsidRPr="00122DC7">
        <w:rPr>
          <w:rFonts w:ascii="Arial" w:hAnsi="Arial" w:cs="Arial"/>
          <w:sz w:val="20"/>
          <w:szCs w:val="20"/>
        </w:rPr>
        <w:t xml:space="preserve">Such a restricted operation is not consonant with the CYPA’s Explanatory Memorandum </w:t>
      </w:r>
      <w:r w:rsidR="00097A80">
        <w:rPr>
          <w:rFonts w:ascii="Arial" w:hAnsi="Arial" w:cs="Arial"/>
          <w:sz w:val="20"/>
          <w:szCs w:val="20"/>
        </w:rPr>
        <w:t>on s.18</w:t>
      </w:r>
      <w:r w:rsidR="00AD6FA7">
        <w:rPr>
          <w:rFonts w:ascii="Arial" w:hAnsi="Arial" w:cs="Arial"/>
          <w:sz w:val="20"/>
          <w:szCs w:val="20"/>
        </w:rPr>
        <w:t xml:space="preserve"> nor with the </w:t>
      </w:r>
      <w:r w:rsidR="00451422">
        <w:rPr>
          <w:rFonts w:ascii="Arial" w:hAnsi="Arial" w:cs="Arial"/>
          <w:sz w:val="20"/>
          <w:szCs w:val="20"/>
        </w:rPr>
        <w:t xml:space="preserve">other </w:t>
      </w:r>
      <w:r w:rsidR="00AD6FA7">
        <w:rPr>
          <w:rFonts w:ascii="Arial" w:hAnsi="Arial" w:cs="Arial"/>
          <w:sz w:val="20"/>
          <w:szCs w:val="20"/>
        </w:rPr>
        <w:t>extrinsic materials</w:t>
      </w:r>
      <w:r w:rsidRPr="00122DC7">
        <w:rPr>
          <w:rFonts w:ascii="Arial" w:hAnsi="Arial" w:cs="Arial"/>
          <w:sz w:val="20"/>
          <w:szCs w:val="20"/>
        </w:rPr>
        <w:t>. And</w:t>
      </w:r>
      <w:r w:rsidR="00A27C2A">
        <w:rPr>
          <w:rFonts w:ascii="Arial" w:hAnsi="Arial" w:cs="Arial"/>
          <w:sz w:val="20"/>
          <w:szCs w:val="20"/>
        </w:rPr>
        <w:t xml:space="preserve"> </w:t>
      </w:r>
      <w:r w:rsidRPr="00122DC7">
        <w:rPr>
          <w:rFonts w:ascii="Arial" w:hAnsi="Arial" w:cs="Arial"/>
          <w:sz w:val="20"/>
          <w:szCs w:val="20"/>
        </w:rPr>
        <w:t xml:space="preserve">s.522 of the CYFA is in </w:t>
      </w:r>
      <w:r w:rsidRPr="00122DC7">
        <w:rPr>
          <w:rFonts w:ascii="Arial" w:hAnsi="Arial" w:cs="Arial"/>
          <w:b/>
          <w:bCs/>
          <w:sz w:val="20"/>
          <w:szCs w:val="20"/>
        </w:rPr>
        <w:t>identical</w:t>
      </w:r>
      <w:r w:rsidRPr="00122DC7">
        <w:rPr>
          <w:rFonts w:ascii="Arial" w:hAnsi="Arial" w:cs="Arial"/>
          <w:sz w:val="20"/>
          <w:szCs w:val="20"/>
        </w:rPr>
        <w:t xml:space="preserve"> language to s.18 of the CYPA.</w:t>
      </w:r>
      <w:r w:rsidR="00AD6FA7">
        <w:rPr>
          <w:rFonts w:ascii="Arial" w:hAnsi="Arial" w:cs="Arial"/>
          <w:sz w:val="20"/>
          <w:szCs w:val="20"/>
        </w:rPr>
        <w:t xml:space="preserve"> Further, the narrow interpretation of </w:t>
      </w:r>
      <w:r w:rsidR="00C54F19">
        <w:rPr>
          <w:rFonts w:ascii="Arial" w:hAnsi="Arial" w:cs="Arial"/>
          <w:sz w:val="20"/>
          <w:szCs w:val="20"/>
        </w:rPr>
        <w:t xml:space="preserve">s.522(1)(c) is far </w:t>
      </w:r>
      <w:r w:rsidRPr="00122DC7">
        <w:rPr>
          <w:rFonts w:ascii="Arial" w:hAnsi="Arial" w:cs="Arial"/>
          <w:sz w:val="20"/>
          <w:szCs w:val="20"/>
        </w:rPr>
        <w:t>too constrained. It leaves the Court with no ‘joinder’ provision at all, with no power to allow persons who are significant to the child to provide first</w:t>
      </w:r>
      <w:r w:rsidR="00C54F19">
        <w:rPr>
          <w:rFonts w:ascii="Arial" w:hAnsi="Arial" w:cs="Arial"/>
          <w:sz w:val="20"/>
          <w:szCs w:val="20"/>
        </w:rPr>
        <w:t>-</w:t>
      </w:r>
      <w:r w:rsidRPr="00122DC7">
        <w:rPr>
          <w:rFonts w:ascii="Arial" w:hAnsi="Arial" w:cs="Arial"/>
          <w:sz w:val="20"/>
          <w:szCs w:val="20"/>
        </w:rPr>
        <w:t xml:space="preserve">hand information to the Court and to examine and cross-examine witnesses. There will </w:t>
      </w:r>
      <w:r w:rsidR="00097A80">
        <w:rPr>
          <w:rFonts w:ascii="Arial" w:hAnsi="Arial" w:cs="Arial"/>
          <w:sz w:val="20"/>
          <w:szCs w:val="20"/>
        </w:rPr>
        <w:t xml:space="preserve">inevitably be </w:t>
      </w:r>
      <w:r w:rsidRPr="00122DC7">
        <w:rPr>
          <w:rFonts w:ascii="Arial" w:hAnsi="Arial" w:cs="Arial"/>
          <w:sz w:val="20"/>
          <w:szCs w:val="20"/>
        </w:rPr>
        <w:t xml:space="preserve">cases in which to adopt such a restricted interpretation would not be in the best interests of the subject child and so would be contrary to ss.8 &amp; 10 of the CYFA. Whenever there are alternative interpretations of </w:t>
      </w:r>
      <w:r w:rsidR="00097A80">
        <w:rPr>
          <w:rFonts w:ascii="Arial" w:hAnsi="Arial" w:cs="Arial"/>
          <w:sz w:val="20"/>
          <w:szCs w:val="20"/>
        </w:rPr>
        <w:t>a sect</w:t>
      </w:r>
      <w:r w:rsidRPr="00122DC7">
        <w:rPr>
          <w:rFonts w:ascii="Arial" w:hAnsi="Arial" w:cs="Arial"/>
          <w:sz w:val="20"/>
          <w:szCs w:val="20"/>
        </w:rPr>
        <w:t>ion</w:t>
      </w:r>
      <w:r w:rsidR="00097A80">
        <w:rPr>
          <w:rFonts w:ascii="Arial" w:hAnsi="Arial" w:cs="Arial"/>
          <w:sz w:val="20"/>
          <w:szCs w:val="20"/>
        </w:rPr>
        <w:t xml:space="preserve"> in</w:t>
      </w:r>
      <w:r w:rsidRPr="00122DC7">
        <w:rPr>
          <w:rFonts w:ascii="Arial" w:hAnsi="Arial" w:cs="Arial"/>
          <w:sz w:val="20"/>
          <w:szCs w:val="20"/>
        </w:rPr>
        <w:t xml:space="preserve"> the CYFA,</w:t>
      </w:r>
      <w:r w:rsidR="00C54F19">
        <w:rPr>
          <w:rFonts w:ascii="Arial" w:hAnsi="Arial" w:cs="Arial"/>
          <w:sz w:val="20"/>
          <w:szCs w:val="20"/>
        </w:rPr>
        <w:t xml:space="preserve"> </w:t>
      </w:r>
      <w:r w:rsidRPr="00122DC7">
        <w:rPr>
          <w:rFonts w:ascii="Arial" w:hAnsi="Arial" w:cs="Arial"/>
          <w:sz w:val="20"/>
          <w:szCs w:val="20"/>
        </w:rPr>
        <w:t>the interpretation which best accords with the ‘best interests’ provisions of the legislation should be the preferred interpretation.</w:t>
      </w:r>
    </w:p>
    <w:p w14:paraId="780791E3" w14:textId="77777777" w:rsidR="00E91C24" w:rsidRDefault="00E91C24" w:rsidP="00B84D25">
      <w:pPr>
        <w:jc w:val="both"/>
        <w:rPr>
          <w:rFonts w:ascii="Arial" w:hAnsi="Arial" w:cs="Arial"/>
          <w:sz w:val="20"/>
          <w:szCs w:val="20"/>
        </w:rPr>
      </w:pPr>
    </w:p>
    <w:p w14:paraId="55749E69" w14:textId="77777777" w:rsidR="00451422" w:rsidRDefault="00451422" w:rsidP="00451422">
      <w:pPr>
        <w:jc w:val="both"/>
        <w:rPr>
          <w:rFonts w:ascii="Arial" w:hAnsi="Arial" w:cs="Arial"/>
          <w:sz w:val="20"/>
          <w:szCs w:val="20"/>
        </w:rPr>
      </w:pPr>
      <w:r w:rsidRPr="00122DC7">
        <w:rPr>
          <w:rFonts w:ascii="Arial" w:hAnsi="Arial" w:cs="Arial"/>
          <w:sz w:val="20"/>
          <w:szCs w:val="20"/>
        </w:rPr>
        <w:t xml:space="preserve">Although the language </w:t>
      </w:r>
      <w:r>
        <w:rPr>
          <w:rFonts w:ascii="Arial" w:hAnsi="Arial" w:cs="Arial"/>
          <w:sz w:val="20"/>
          <w:szCs w:val="20"/>
        </w:rPr>
        <w:t>might</w:t>
      </w:r>
      <w:r w:rsidRPr="00122DC7">
        <w:rPr>
          <w:rFonts w:ascii="Arial" w:hAnsi="Arial" w:cs="Arial"/>
          <w:sz w:val="20"/>
          <w:szCs w:val="20"/>
        </w:rPr>
        <w:t xml:space="preserve"> perhaps have been more carefully chosen, in </w:t>
      </w:r>
      <w:r>
        <w:rPr>
          <w:rFonts w:ascii="Arial" w:hAnsi="Arial" w:cs="Arial"/>
          <w:sz w:val="20"/>
          <w:szCs w:val="20"/>
        </w:rPr>
        <w:t xml:space="preserve">the writer’s </w:t>
      </w:r>
      <w:r w:rsidRPr="00122DC7">
        <w:rPr>
          <w:rFonts w:ascii="Arial" w:hAnsi="Arial" w:cs="Arial"/>
          <w:sz w:val="20"/>
          <w:szCs w:val="20"/>
        </w:rPr>
        <w:t xml:space="preserve">view it is tolerably clear that the </w:t>
      </w:r>
      <w:r w:rsidR="00CB2BF8">
        <w:rPr>
          <w:rFonts w:ascii="Arial" w:hAnsi="Arial" w:cs="Arial"/>
          <w:sz w:val="20"/>
          <w:szCs w:val="20"/>
        </w:rPr>
        <w:t>expression</w:t>
      </w:r>
      <w:r w:rsidRPr="00122DC7">
        <w:rPr>
          <w:rFonts w:ascii="Arial" w:hAnsi="Arial" w:cs="Arial"/>
          <w:sz w:val="20"/>
          <w:szCs w:val="20"/>
        </w:rPr>
        <w:t xml:space="preserve"> “</w:t>
      </w:r>
      <w:r w:rsidRPr="00122DC7">
        <w:rPr>
          <w:rFonts w:ascii="Arial" w:hAnsi="Arial" w:cs="Arial"/>
          <w:i/>
          <w:iCs/>
          <w:sz w:val="20"/>
          <w:szCs w:val="20"/>
        </w:rPr>
        <w:t xml:space="preserve">all other </w:t>
      </w:r>
      <w:r w:rsidRPr="00122DC7">
        <w:rPr>
          <w:rFonts w:ascii="Arial" w:hAnsi="Arial" w:cs="Arial"/>
          <w:b/>
          <w:bCs/>
          <w:i/>
          <w:iCs/>
          <w:sz w:val="20"/>
          <w:szCs w:val="20"/>
        </w:rPr>
        <w:t>parties</w:t>
      </w:r>
      <w:r w:rsidRPr="00122DC7">
        <w:rPr>
          <w:rFonts w:ascii="Arial" w:hAnsi="Arial" w:cs="Arial"/>
          <w:i/>
          <w:iCs/>
          <w:sz w:val="20"/>
          <w:szCs w:val="20"/>
        </w:rPr>
        <w:t xml:space="preserve"> who have a direct interest in the proceeding</w:t>
      </w:r>
      <w:r w:rsidRPr="00122DC7">
        <w:rPr>
          <w:rFonts w:ascii="Arial" w:hAnsi="Arial" w:cs="Arial"/>
          <w:sz w:val="20"/>
          <w:szCs w:val="20"/>
        </w:rPr>
        <w:t xml:space="preserve">” in s.522(1)(c) </w:t>
      </w:r>
      <w:r>
        <w:rPr>
          <w:rFonts w:ascii="Arial" w:hAnsi="Arial" w:cs="Arial"/>
          <w:sz w:val="20"/>
          <w:szCs w:val="20"/>
        </w:rPr>
        <w:t xml:space="preserve">of the CYFA </w:t>
      </w:r>
      <w:r w:rsidR="00CB2BF8">
        <w:rPr>
          <w:rFonts w:ascii="Arial" w:hAnsi="Arial" w:cs="Arial"/>
          <w:sz w:val="20"/>
          <w:szCs w:val="20"/>
        </w:rPr>
        <w:t>is</w:t>
      </w:r>
      <w:r w:rsidRPr="00122DC7">
        <w:rPr>
          <w:rFonts w:ascii="Arial" w:hAnsi="Arial" w:cs="Arial"/>
          <w:sz w:val="20"/>
          <w:szCs w:val="20"/>
        </w:rPr>
        <w:t xml:space="preserve"> intended to mean </w:t>
      </w:r>
      <w:r w:rsidRPr="00122DC7">
        <w:rPr>
          <w:rFonts w:ascii="Arial" w:hAnsi="Arial" w:cs="Arial"/>
          <w:i/>
          <w:iCs/>
          <w:sz w:val="20"/>
          <w:szCs w:val="20"/>
        </w:rPr>
        <w:t xml:space="preserve">“all other </w:t>
      </w:r>
      <w:r w:rsidRPr="00122DC7">
        <w:rPr>
          <w:rFonts w:ascii="Arial" w:hAnsi="Arial" w:cs="Arial"/>
          <w:b/>
          <w:bCs/>
          <w:i/>
          <w:iCs/>
          <w:sz w:val="20"/>
          <w:szCs w:val="20"/>
        </w:rPr>
        <w:t>persons</w:t>
      </w:r>
      <w:r w:rsidRPr="00122DC7">
        <w:rPr>
          <w:rFonts w:ascii="Arial" w:hAnsi="Arial" w:cs="Arial"/>
          <w:i/>
          <w:iCs/>
          <w:sz w:val="20"/>
          <w:szCs w:val="20"/>
        </w:rPr>
        <w:t xml:space="preserve"> who have a direct interest in the proceeding and who have been given leave by the Court to become </w:t>
      </w:r>
      <w:r w:rsidRPr="00122DC7">
        <w:rPr>
          <w:rFonts w:ascii="Arial" w:hAnsi="Arial" w:cs="Arial"/>
          <w:b/>
          <w:bCs/>
          <w:i/>
          <w:iCs/>
          <w:sz w:val="20"/>
          <w:szCs w:val="20"/>
        </w:rPr>
        <w:t>parties</w:t>
      </w:r>
      <w:r w:rsidRPr="00122DC7">
        <w:rPr>
          <w:rFonts w:ascii="Arial" w:hAnsi="Arial" w:cs="Arial"/>
          <w:i/>
          <w:iCs/>
          <w:sz w:val="20"/>
          <w:szCs w:val="20"/>
        </w:rPr>
        <w:t>”</w:t>
      </w:r>
      <w:r w:rsidRPr="00122DC7">
        <w:rPr>
          <w:rFonts w:ascii="Arial" w:hAnsi="Arial" w:cs="Arial"/>
          <w:sz w:val="20"/>
          <w:szCs w:val="20"/>
        </w:rPr>
        <w:t>.</w:t>
      </w:r>
    </w:p>
    <w:p w14:paraId="75EE002D" w14:textId="77777777" w:rsidR="00451422" w:rsidRDefault="00451422" w:rsidP="00B84D25">
      <w:pPr>
        <w:jc w:val="both"/>
        <w:rPr>
          <w:rFonts w:ascii="Arial" w:hAnsi="Arial" w:cs="Arial"/>
          <w:sz w:val="20"/>
          <w:szCs w:val="20"/>
        </w:rPr>
      </w:pPr>
    </w:p>
    <w:p w14:paraId="4689BCFA" w14:textId="30D8A87D" w:rsidR="00C54F19" w:rsidRDefault="00B84D25" w:rsidP="00B84D25">
      <w:pPr>
        <w:jc w:val="both"/>
        <w:rPr>
          <w:rFonts w:ascii="Arial" w:hAnsi="Arial" w:cs="Arial"/>
          <w:sz w:val="20"/>
          <w:szCs w:val="20"/>
        </w:rPr>
      </w:pPr>
      <w:r w:rsidRPr="00122DC7">
        <w:rPr>
          <w:rFonts w:ascii="Arial" w:hAnsi="Arial" w:cs="Arial"/>
          <w:sz w:val="20"/>
          <w:szCs w:val="20"/>
        </w:rPr>
        <w:t xml:space="preserve">Accordingly, it is </w:t>
      </w:r>
      <w:r w:rsidR="00C54F19">
        <w:rPr>
          <w:rFonts w:ascii="Arial" w:hAnsi="Arial" w:cs="Arial"/>
          <w:sz w:val="20"/>
          <w:szCs w:val="20"/>
        </w:rPr>
        <w:t xml:space="preserve">the writer’s </w:t>
      </w:r>
      <w:r w:rsidRPr="00122DC7">
        <w:rPr>
          <w:rFonts w:ascii="Arial" w:hAnsi="Arial" w:cs="Arial"/>
          <w:sz w:val="20"/>
          <w:szCs w:val="20"/>
        </w:rPr>
        <w:t xml:space="preserve">strong view that </w:t>
      </w:r>
      <w:r w:rsidR="00C54F19">
        <w:rPr>
          <w:rFonts w:ascii="Arial" w:hAnsi="Arial" w:cs="Arial"/>
          <w:sz w:val="20"/>
          <w:szCs w:val="20"/>
        </w:rPr>
        <w:t>s.522(1)(c) of the CYFA is an implied source of power by which the Court may join any person as a party in a proceeding in the Family Division if</w:t>
      </w:r>
      <w:r w:rsidR="00DD0DA0" w:rsidRPr="00A31FFA">
        <w:rPr>
          <w:rFonts w:ascii="Arial" w:hAnsi="Arial" w:cs="Arial"/>
          <w:sz w:val="20"/>
        </w:rPr>
        <w:t>–</w:t>
      </w:r>
    </w:p>
    <w:p w14:paraId="2D239BC3" w14:textId="77777777" w:rsidR="00110FC0" w:rsidRPr="00110FC0" w:rsidRDefault="00110FC0" w:rsidP="00D772F0">
      <w:pPr>
        <w:numPr>
          <w:ilvl w:val="0"/>
          <w:numId w:val="45"/>
        </w:numPr>
        <w:ind w:left="454" w:hanging="454"/>
        <w:jc w:val="both"/>
        <w:rPr>
          <w:rFonts w:ascii="Arial" w:hAnsi="Arial" w:cs="Arial"/>
          <w:sz w:val="20"/>
        </w:rPr>
      </w:pPr>
      <w:r w:rsidRPr="00110FC0">
        <w:rPr>
          <w:rFonts w:ascii="Arial" w:hAnsi="Arial" w:cs="Arial"/>
          <w:sz w:val="20"/>
        </w:rPr>
        <w:t>the person has a "</w:t>
      </w:r>
      <w:r w:rsidRPr="00653A4C">
        <w:rPr>
          <w:rFonts w:ascii="Arial" w:hAnsi="Arial" w:cs="Arial"/>
          <w:b/>
          <w:bCs/>
          <w:sz w:val="20"/>
        </w:rPr>
        <w:t>direct interest</w:t>
      </w:r>
      <w:r w:rsidR="00653A4C">
        <w:rPr>
          <w:rFonts w:ascii="Arial" w:hAnsi="Arial" w:cs="Arial"/>
          <w:sz w:val="20"/>
        </w:rPr>
        <w:t>”</w:t>
      </w:r>
      <w:r w:rsidRPr="00110FC0">
        <w:rPr>
          <w:rFonts w:ascii="Arial" w:hAnsi="Arial" w:cs="Arial"/>
          <w:sz w:val="20"/>
        </w:rPr>
        <w:t xml:space="preserve"> in the proceeding; and</w:t>
      </w:r>
    </w:p>
    <w:p w14:paraId="4A1B529E" w14:textId="77777777" w:rsidR="00110FC0" w:rsidRDefault="00110FC0" w:rsidP="00D772F0">
      <w:pPr>
        <w:numPr>
          <w:ilvl w:val="0"/>
          <w:numId w:val="45"/>
        </w:numPr>
        <w:ind w:left="454" w:hanging="454"/>
        <w:jc w:val="both"/>
        <w:rPr>
          <w:rFonts w:ascii="Arial" w:hAnsi="Arial" w:cs="Arial"/>
          <w:sz w:val="20"/>
        </w:rPr>
      </w:pPr>
      <w:r w:rsidRPr="00110FC0">
        <w:rPr>
          <w:rFonts w:ascii="Arial" w:hAnsi="Arial" w:cs="Arial"/>
          <w:sz w:val="20"/>
        </w:rPr>
        <w:t>it is “</w:t>
      </w:r>
      <w:r w:rsidRPr="00653A4C">
        <w:rPr>
          <w:rFonts w:ascii="Arial" w:hAnsi="Arial" w:cs="Arial"/>
          <w:b/>
          <w:bCs/>
          <w:sz w:val="20"/>
        </w:rPr>
        <w:t>practicable</w:t>
      </w:r>
      <w:r w:rsidRPr="00110FC0">
        <w:rPr>
          <w:rFonts w:ascii="Arial" w:hAnsi="Arial" w:cs="Arial"/>
          <w:sz w:val="20"/>
        </w:rPr>
        <w:t>” to allow the person to be joined as a party</w:t>
      </w:r>
      <w:r w:rsidR="00CD6C42">
        <w:rPr>
          <w:rFonts w:ascii="Arial" w:hAnsi="Arial" w:cs="Arial"/>
          <w:sz w:val="20"/>
        </w:rPr>
        <w:t>; and</w:t>
      </w:r>
    </w:p>
    <w:p w14:paraId="153D5BE1" w14:textId="77777777" w:rsidR="00CD6C42" w:rsidRPr="00110FC0" w:rsidRDefault="00CD6C42" w:rsidP="00D772F0">
      <w:pPr>
        <w:numPr>
          <w:ilvl w:val="0"/>
          <w:numId w:val="45"/>
        </w:numPr>
        <w:ind w:left="454" w:hanging="454"/>
        <w:jc w:val="both"/>
        <w:rPr>
          <w:rFonts w:ascii="Arial" w:hAnsi="Arial" w:cs="Arial"/>
          <w:sz w:val="20"/>
        </w:rPr>
      </w:pPr>
      <w:r>
        <w:rPr>
          <w:rFonts w:ascii="Arial" w:hAnsi="Arial" w:cs="Arial"/>
          <w:sz w:val="20"/>
        </w:rPr>
        <w:t>it is in the best interests of the child, the subject of the proceeding, to do so.</w:t>
      </w:r>
    </w:p>
    <w:p w14:paraId="6DFA9077" w14:textId="77777777" w:rsidR="00B84D25" w:rsidRDefault="00097A80" w:rsidP="005F0874">
      <w:pPr>
        <w:jc w:val="both"/>
        <w:rPr>
          <w:rFonts w:ascii="Arial" w:hAnsi="Arial" w:cs="Arial"/>
          <w:sz w:val="20"/>
        </w:rPr>
      </w:pPr>
      <w:r>
        <w:rPr>
          <w:rFonts w:ascii="Arial" w:hAnsi="Arial" w:cs="Arial"/>
          <w:sz w:val="20"/>
        </w:rPr>
        <w:t xml:space="preserve">Further that </w:t>
      </w:r>
      <w:r w:rsidR="00451422">
        <w:rPr>
          <w:rFonts w:ascii="Arial" w:hAnsi="Arial" w:cs="Arial"/>
          <w:sz w:val="20"/>
        </w:rPr>
        <w:t xml:space="preserve">s.522(1)(c) requires that </w:t>
      </w:r>
      <w:r>
        <w:rPr>
          <w:rFonts w:ascii="Arial" w:hAnsi="Arial" w:cs="Arial"/>
          <w:sz w:val="20"/>
        </w:rPr>
        <w:t>all parties – whether as of right or joined by the Court – be allowed to participate fully in the proceeding as far as it is practicable to do so.</w:t>
      </w:r>
    </w:p>
    <w:p w14:paraId="72EEF966" w14:textId="77777777" w:rsidR="00AF702D" w:rsidRDefault="00AF702D" w:rsidP="00AF702D">
      <w:pPr>
        <w:tabs>
          <w:tab w:val="num" w:pos="720"/>
        </w:tabs>
        <w:ind w:left="6"/>
        <w:jc w:val="both"/>
        <w:rPr>
          <w:rFonts w:ascii="Arial" w:hAnsi="Arial" w:cs="Arial"/>
          <w:sz w:val="20"/>
        </w:rPr>
      </w:pPr>
    </w:p>
    <w:p w14:paraId="54E2C214" w14:textId="77777777" w:rsidR="00AF702D" w:rsidRDefault="00AF702D" w:rsidP="00AF702D">
      <w:pPr>
        <w:tabs>
          <w:tab w:val="num" w:pos="720"/>
        </w:tabs>
        <w:ind w:left="6"/>
        <w:jc w:val="both"/>
        <w:rPr>
          <w:rFonts w:ascii="Arial" w:hAnsi="Arial" w:cs="Arial"/>
          <w:sz w:val="20"/>
        </w:rPr>
      </w:pPr>
      <w:r>
        <w:rPr>
          <w:rFonts w:ascii="Arial" w:hAnsi="Arial" w:cs="Arial"/>
          <w:sz w:val="20"/>
        </w:rPr>
        <w:t>It is also the writer’s view that ss.8(1) &amp; 10 of the CYFA prevent a person being granted standing to participate as a party in a proceeding unless to do so is in the best interests of the subject child.</w:t>
      </w:r>
    </w:p>
    <w:p w14:paraId="386E1A2D" w14:textId="77777777" w:rsidR="00AF702D" w:rsidRDefault="00AF702D" w:rsidP="00AF702D">
      <w:pPr>
        <w:tabs>
          <w:tab w:val="num" w:pos="720"/>
        </w:tabs>
        <w:ind w:left="6"/>
        <w:jc w:val="both"/>
        <w:rPr>
          <w:rFonts w:ascii="Arial" w:hAnsi="Arial" w:cs="Arial"/>
          <w:sz w:val="20"/>
        </w:rPr>
      </w:pPr>
    </w:p>
    <w:p w14:paraId="788CA695" w14:textId="357E1AA8" w:rsidR="00AF702D" w:rsidRDefault="00AF702D" w:rsidP="00AF702D">
      <w:pPr>
        <w:tabs>
          <w:tab w:val="num" w:pos="720"/>
        </w:tabs>
        <w:ind w:left="6"/>
        <w:jc w:val="both"/>
        <w:rPr>
          <w:rFonts w:ascii="Arial" w:hAnsi="Arial" w:cs="Arial"/>
          <w:sz w:val="20"/>
        </w:rPr>
      </w:pPr>
      <w:r>
        <w:rPr>
          <w:rFonts w:ascii="Arial" w:hAnsi="Arial" w:cs="Arial"/>
          <w:sz w:val="20"/>
        </w:rPr>
        <w:t>Since joinder of persons other than parents and children is frequently a contentious and contested issue in the Family Division of the Children's Court, it is unfortunate that "</w:t>
      </w:r>
      <w:r w:rsidRPr="00A32688">
        <w:rPr>
          <w:rFonts w:ascii="Arial" w:hAnsi="Arial" w:cs="Arial"/>
          <w:b/>
          <w:bCs/>
          <w:sz w:val="20"/>
        </w:rPr>
        <w:t>direct interest</w:t>
      </w:r>
      <w:r>
        <w:rPr>
          <w:rFonts w:ascii="Arial" w:hAnsi="Arial" w:cs="Arial"/>
          <w:sz w:val="20"/>
        </w:rPr>
        <w:t>" and “</w:t>
      </w:r>
      <w:r w:rsidRPr="00A32688">
        <w:rPr>
          <w:rFonts w:ascii="Arial" w:hAnsi="Arial" w:cs="Arial"/>
          <w:b/>
          <w:bCs/>
          <w:sz w:val="20"/>
        </w:rPr>
        <w:t>practicable</w:t>
      </w:r>
      <w:r>
        <w:rPr>
          <w:rFonts w:ascii="Arial" w:hAnsi="Arial" w:cs="Arial"/>
          <w:sz w:val="20"/>
        </w:rPr>
        <w:t>” are not defined in the CYFA</w:t>
      </w:r>
      <w:r w:rsidR="00D87E5E">
        <w:rPr>
          <w:rFonts w:ascii="Arial" w:hAnsi="Arial" w:cs="Arial"/>
          <w:sz w:val="20"/>
        </w:rPr>
        <w:t xml:space="preserve"> and there is no reported case law</w:t>
      </w:r>
      <w:r w:rsidR="00444DE8">
        <w:rPr>
          <w:rFonts w:ascii="Arial" w:hAnsi="Arial" w:cs="Arial"/>
          <w:sz w:val="20"/>
        </w:rPr>
        <w:t xml:space="preserve"> by a higher court</w:t>
      </w:r>
      <w:r w:rsidR="00D87E5E">
        <w:rPr>
          <w:rFonts w:ascii="Arial" w:hAnsi="Arial" w:cs="Arial"/>
          <w:sz w:val="20"/>
        </w:rPr>
        <w:t xml:space="preserve">. </w:t>
      </w:r>
      <w:r>
        <w:rPr>
          <w:rFonts w:ascii="Arial" w:hAnsi="Arial" w:cs="Arial"/>
          <w:sz w:val="20"/>
        </w:rPr>
        <w:t xml:space="preserve">However, in </w:t>
      </w:r>
      <w:r w:rsidRPr="00AF702D">
        <w:rPr>
          <w:rFonts w:ascii="Arial" w:hAnsi="Arial" w:cs="Arial"/>
          <w:i/>
          <w:iCs/>
          <w:sz w:val="20"/>
        </w:rPr>
        <w:t>Re Lily (a</w:t>
      </w:r>
      <w:r w:rsidR="00444DE8">
        <w:rPr>
          <w:rFonts w:ascii="Arial" w:hAnsi="Arial" w:cs="Arial"/>
          <w:i/>
          <w:iCs/>
          <w:sz w:val="20"/>
        </w:rPr>
        <w:t> </w:t>
      </w:r>
      <w:r w:rsidRPr="00AF702D">
        <w:rPr>
          <w:rFonts w:ascii="Arial" w:hAnsi="Arial" w:cs="Arial"/>
          <w:i/>
          <w:iCs/>
          <w:sz w:val="20"/>
        </w:rPr>
        <w:t>child)</w:t>
      </w:r>
      <w:r>
        <w:rPr>
          <w:rFonts w:ascii="Arial" w:hAnsi="Arial" w:cs="Arial"/>
          <w:sz w:val="20"/>
        </w:rPr>
        <w:t xml:space="preserve"> [2025] VChC 4 Whittle M granted an application for joinder made by </w:t>
      </w:r>
      <w:r w:rsidR="00444DE8">
        <w:rPr>
          <w:rFonts w:ascii="Arial" w:hAnsi="Arial" w:cs="Arial"/>
          <w:sz w:val="20"/>
        </w:rPr>
        <w:t xml:space="preserve">Ms </w:t>
      </w:r>
      <w:r>
        <w:rPr>
          <w:rFonts w:ascii="Arial" w:hAnsi="Arial" w:cs="Arial"/>
          <w:sz w:val="20"/>
        </w:rPr>
        <w:t>MA, the maternal aunt of Lily who was aged 3y7m and was the subject of an application to extend a CBSO. MA had cared for Lily</w:t>
      </w:r>
      <w:r w:rsidR="00444DE8">
        <w:rPr>
          <w:rFonts w:ascii="Arial" w:hAnsi="Arial" w:cs="Arial"/>
          <w:sz w:val="20"/>
        </w:rPr>
        <w:t xml:space="preserve"> – who has a complex medical presentation – </w:t>
      </w:r>
      <w:r>
        <w:rPr>
          <w:rFonts w:ascii="Arial" w:hAnsi="Arial" w:cs="Arial"/>
          <w:sz w:val="20"/>
        </w:rPr>
        <w:t xml:space="preserve">from the age of 8d to 2.5y. </w:t>
      </w:r>
      <w:r w:rsidRPr="00AF702D">
        <w:rPr>
          <w:rFonts w:ascii="Arial" w:hAnsi="Arial" w:cs="Arial"/>
          <w:sz w:val="20"/>
        </w:rPr>
        <w:t xml:space="preserve">For all intents and purposes, </w:t>
      </w:r>
      <w:r w:rsidR="00444DE8">
        <w:rPr>
          <w:rFonts w:ascii="Arial" w:hAnsi="Arial" w:cs="Arial"/>
          <w:sz w:val="20"/>
        </w:rPr>
        <w:t xml:space="preserve">Ms </w:t>
      </w:r>
      <w:r>
        <w:rPr>
          <w:rFonts w:ascii="Arial" w:hAnsi="Arial" w:cs="Arial"/>
          <w:sz w:val="20"/>
        </w:rPr>
        <w:t>MA was</w:t>
      </w:r>
      <w:r w:rsidRPr="00AF702D">
        <w:rPr>
          <w:rFonts w:ascii="Arial" w:hAnsi="Arial" w:cs="Arial"/>
          <w:sz w:val="20"/>
        </w:rPr>
        <w:t xml:space="preserve"> the only family member who </w:t>
      </w:r>
      <w:r>
        <w:rPr>
          <w:rFonts w:ascii="Arial" w:hAnsi="Arial" w:cs="Arial"/>
          <w:sz w:val="20"/>
        </w:rPr>
        <w:t>wa</w:t>
      </w:r>
      <w:r w:rsidRPr="00AF702D">
        <w:rPr>
          <w:rFonts w:ascii="Arial" w:hAnsi="Arial" w:cs="Arial"/>
          <w:sz w:val="20"/>
        </w:rPr>
        <w:t xml:space="preserve">s (and </w:t>
      </w:r>
      <w:r>
        <w:rPr>
          <w:rFonts w:ascii="Arial" w:hAnsi="Arial" w:cs="Arial"/>
          <w:sz w:val="20"/>
        </w:rPr>
        <w:t>was</w:t>
      </w:r>
      <w:r w:rsidRPr="00AF702D">
        <w:rPr>
          <w:rFonts w:ascii="Arial" w:hAnsi="Arial" w:cs="Arial"/>
          <w:sz w:val="20"/>
        </w:rPr>
        <w:t xml:space="preserve"> also capable of being) actively involved in Lily’s life.</w:t>
      </w:r>
    </w:p>
    <w:p w14:paraId="729D68A2" w14:textId="7E59C33B" w:rsidR="00D87E5E" w:rsidRPr="00D87E5E" w:rsidRDefault="00D87E5E" w:rsidP="00D87E5E">
      <w:pPr>
        <w:spacing w:before="120"/>
        <w:jc w:val="both"/>
        <w:rPr>
          <w:rFonts w:ascii="Arial" w:hAnsi="Arial" w:cs="Arial"/>
          <w:sz w:val="20"/>
        </w:rPr>
      </w:pPr>
      <w:r w:rsidRPr="00D87E5E">
        <w:rPr>
          <w:rFonts w:ascii="Arial" w:hAnsi="Arial" w:cs="Arial"/>
          <w:sz w:val="20"/>
        </w:rPr>
        <w:t xml:space="preserve">It </w:t>
      </w:r>
      <w:r>
        <w:rPr>
          <w:rFonts w:ascii="Arial" w:hAnsi="Arial" w:cs="Arial"/>
          <w:sz w:val="20"/>
        </w:rPr>
        <w:t>was</w:t>
      </w:r>
      <w:r w:rsidRPr="00D87E5E">
        <w:rPr>
          <w:rFonts w:ascii="Arial" w:hAnsi="Arial" w:cs="Arial"/>
          <w:sz w:val="20"/>
        </w:rPr>
        <w:t xml:space="preserve"> conceded in the Department’s written submissions that </w:t>
      </w:r>
      <w:r w:rsidR="00444DE8">
        <w:rPr>
          <w:rFonts w:ascii="Arial" w:hAnsi="Arial" w:cs="Arial"/>
          <w:sz w:val="20"/>
        </w:rPr>
        <w:t xml:space="preserve">Ms </w:t>
      </w:r>
      <w:r w:rsidRPr="00D87E5E">
        <w:rPr>
          <w:rFonts w:ascii="Arial" w:hAnsi="Arial" w:cs="Arial"/>
          <w:sz w:val="20"/>
        </w:rPr>
        <w:t>MA ha</w:t>
      </w:r>
      <w:r w:rsidR="00561C6C">
        <w:rPr>
          <w:rFonts w:ascii="Arial" w:hAnsi="Arial" w:cs="Arial"/>
          <w:sz w:val="20"/>
        </w:rPr>
        <w:t>d</w:t>
      </w:r>
      <w:r w:rsidRPr="00D87E5E">
        <w:rPr>
          <w:rFonts w:ascii="Arial" w:hAnsi="Arial" w:cs="Arial"/>
          <w:sz w:val="20"/>
        </w:rPr>
        <w:t xml:space="preserve"> a direct interest in the proceeding. </w:t>
      </w:r>
      <w:r>
        <w:rPr>
          <w:rFonts w:ascii="Arial" w:hAnsi="Arial" w:cs="Arial"/>
          <w:sz w:val="20"/>
        </w:rPr>
        <w:t>However, the Department opposed MA’s application for joinder on the issue</w:t>
      </w:r>
      <w:r w:rsidR="00561C6C">
        <w:rPr>
          <w:rFonts w:ascii="Arial" w:hAnsi="Arial" w:cs="Arial"/>
          <w:sz w:val="20"/>
        </w:rPr>
        <w:t>s</w:t>
      </w:r>
      <w:r>
        <w:rPr>
          <w:rFonts w:ascii="Arial" w:hAnsi="Arial" w:cs="Arial"/>
          <w:sz w:val="20"/>
        </w:rPr>
        <w:t xml:space="preserve"> of practicability and Lily’s best interests. In rejecting the Department’s submissions Whittle M said (at pp.2</w:t>
      </w:r>
      <w:r w:rsidR="00444DE8">
        <w:rPr>
          <w:rFonts w:ascii="Arial" w:hAnsi="Arial" w:cs="Arial"/>
          <w:sz w:val="20"/>
        </w:rPr>
        <w:noBreakHyphen/>
      </w:r>
      <w:r>
        <w:rPr>
          <w:rFonts w:ascii="Arial" w:hAnsi="Arial" w:cs="Arial"/>
          <w:sz w:val="20"/>
        </w:rPr>
        <w:t>3):</w:t>
      </w:r>
    </w:p>
    <w:p w14:paraId="50A50AC6" w14:textId="630FBACF" w:rsidR="00D87E5E" w:rsidRDefault="00D87E5E" w:rsidP="00561C6C">
      <w:pPr>
        <w:spacing w:before="60"/>
        <w:ind w:left="454" w:right="454"/>
        <w:jc w:val="both"/>
        <w:rPr>
          <w:rFonts w:ascii="Arial" w:hAnsi="Arial" w:cs="Arial"/>
          <w:iCs/>
          <w:sz w:val="20"/>
        </w:rPr>
      </w:pPr>
      <w:r>
        <w:rPr>
          <w:rFonts w:ascii="Arial" w:hAnsi="Arial" w:cs="Arial"/>
          <w:iCs/>
          <w:sz w:val="20"/>
        </w:rPr>
        <w:t>“</w:t>
      </w:r>
      <w:r w:rsidR="00561C6C" w:rsidRPr="00D87E5E">
        <w:rPr>
          <w:rFonts w:ascii="Arial" w:hAnsi="Arial" w:cs="Arial"/>
          <w:sz w:val="20"/>
        </w:rPr>
        <w:t>With respect to practicability, I note that the Department rely on the following arguments against the practicability of any joinder:</w:t>
      </w:r>
    </w:p>
    <w:p w14:paraId="47FEA663" w14:textId="02CC96FD" w:rsidR="00D87E5E" w:rsidRPr="00D87E5E" w:rsidRDefault="00D87E5E" w:rsidP="001A754B">
      <w:pPr>
        <w:numPr>
          <w:ilvl w:val="0"/>
          <w:numId w:val="165"/>
        </w:numPr>
        <w:ind w:left="1208" w:right="851" w:hanging="357"/>
        <w:jc w:val="both"/>
        <w:rPr>
          <w:rFonts w:ascii="Arial" w:hAnsi="Arial" w:cs="Arial"/>
          <w:sz w:val="20"/>
        </w:rPr>
      </w:pPr>
      <w:r w:rsidRPr="00D87E5E">
        <w:rPr>
          <w:rFonts w:ascii="Arial" w:hAnsi="Arial" w:cs="Arial"/>
          <w:sz w:val="20"/>
        </w:rPr>
        <w:t>It would introduce adversarial issues contrary to s215B of the CYFA which promotes child-focussed hearings → resulting in the joinder removing focus from Lily and towards a contested narrative.</w:t>
      </w:r>
    </w:p>
    <w:p w14:paraId="61EFC901" w14:textId="415E3DF0" w:rsidR="00561C6C" w:rsidRDefault="00D87E5E" w:rsidP="001A754B">
      <w:pPr>
        <w:numPr>
          <w:ilvl w:val="0"/>
          <w:numId w:val="165"/>
        </w:numPr>
        <w:ind w:left="1208" w:right="851" w:hanging="357"/>
        <w:jc w:val="both"/>
        <w:rPr>
          <w:rFonts w:ascii="Arial" w:hAnsi="Arial" w:cs="Arial"/>
          <w:sz w:val="20"/>
        </w:rPr>
      </w:pPr>
      <w:r w:rsidRPr="00D87E5E">
        <w:rPr>
          <w:rFonts w:ascii="Arial" w:hAnsi="Arial" w:cs="Arial"/>
          <w:sz w:val="20"/>
        </w:rPr>
        <w:t xml:space="preserve">It risks duplication as a result of concurrent VCAT proceedings → the Department cautioned the Court against judicially reviewing an administrative decision in circumstances where the objective sought by Ms MA is reunification where she is neither a parent </w:t>
      </w:r>
      <w:proofErr w:type="gramStart"/>
      <w:r w:rsidRPr="00D87E5E">
        <w:rPr>
          <w:rFonts w:ascii="Arial" w:hAnsi="Arial" w:cs="Arial"/>
          <w:sz w:val="20"/>
        </w:rPr>
        <w:t>or</w:t>
      </w:r>
      <w:proofErr w:type="gramEnd"/>
      <w:r w:rsidRPr="00D87E5E">
        <w:rPr>
          <w:rFonts w:ascii="Arial" w:hAnsi="Arial" w:cs="Arial"/>
          <w:sz w:val="20"/>
        </w:rPr>
        <w:t xml:space="preserve"> </w:t>
      </w:r>
      <w:r w:rsidR="00561C6C">
        <w:rPr>
          <w:rFonts w:ascii="Arial" w:hAnsi="Arial" w:cs="Arial"/>
          <w:sz w:val="20"/>
        </w:rPr>
        <w:t>‘</w:t>
      </w:r>
      <w:r w:rsidRPr="00D87E5E">
        <w:rPr>
          <w:rFonts w:ascii="Arial" w:hAnsi="Arial" w:cs="Arial"/>
          <w:sz w:val="20"/>
        </w:rPr>
        <w:t>unlikely to be deemed a psychological parent</w:t>
      </w:r>
      <w:r w:rsidR="00561C6C">
        <w:rPr>
          <w:rFonts w:ascii="Arial" w:hAnsi="Arial" w:cs="Arial"/>
          <w:sz w:val="20"/>
        </w:rPr>
        <w:t>’</w:t>
      </w:r>
      <w:r w:rsidRPr="00D87E5E">
        <w:rPr>
          <w:rFonts w:ascii="Arial" w:hAnsi="Arial" w:cs="Arial"/>
          <w:sz w:val="20"/>
        </w:rPr>
        <w:t>.</w:t>
      </w:r>
    </w:p>
    <w:p w14:paraId="718D3B30" w14:textId="46FF275F" w:rsidR="00D87E5E" w:rsidRPr="00D87E5E" w:rsidRDefault="00D87E5E" w:rsidP="001A754B">
      <w:pPr>
        <w:numPr>
          <w:ilvl w:val="0"/>
          <w:numId w:val="165"/>
        </w:numPr>
        <w:ind w:left="1208" w:right="851" w:hanging="357"/>
        <w:jc w:val="both"/>
        <w:rPr>
          <w:rFonts w:ascii="Arial" w:hAnsi="Arial" w:cs="Arial"/>
          <w:sz w:val="20"/>
        </w:rPr>
      </w:pPr>
      <w:r w:rsidRPr="00D87E5E">
        <w:rPr>
          <w:rFonts w:ascii="Arial" w:hAnsi="Arial" w:cs="Arial"/>
          <w:sz w:val="20"/>
        </w:rPr>
        <w:t xml:space="preserve">It contributes to delay in progressing permanency planning for Lily who requires stability and certainty given her complex medical needs. </w:t>
      </w:r>
    </w:p>
    <w:p w14:paraId="52248909" w14:textId="77777777" w:rsidR="00D87E5E" w:rsidRPr="00D87E5E" w:rsidRDefault="00D87E5E" w:rsidP="001A754B">
      <w:pPr>
        <w:numPr>
          <w:ilvl w:val="0"/>
          <w:numId w:val="165"/>
        </w:numPr>
        <w:ind w:left="1208" w:right="851" w:hanging="357"/>
        <w:jc w:val="both"/>
        <w:rPr>
          <w:rFonts w:ascii="Arial" w:hAnsi="Arial" w:cs="Arial"/>
          <w:sz w:val="20"/>
        </w:rPr>
      </w:pPr>
      <w:r w:rsidRPr="00D87E5E">
        <w:rPr>
          <w:rFonts w:ascii="Arial" w:hAnsi="Arial" w:cs="Arial"/>
          <w:sz w:val="20"/>
        </w:rPr>
        <w:t xml:space="preserve">It requires unnecessary exploration of psychological parenthood, which is not determinative and does not justify joinder. </w:t>
      </w:r>
    </w:p>
    <w:p w14:paraId="4678E39F" w14:textId="5F4E82BB" w:rsidR="00561C6C" w:rsidRDefault="00561C6C" w:rsidP="00561C6C">
      <w:pPr>
        <w:spacing w:before="60"/>
        <w:ind w:left="454" w:right="454"/>
        <w:jc w:val="both"/>
        <w:rPr>
          <w:rFonts w:ascii="Arial" w:hAnsi="Arial" w:cs="Arial"/>
          <w:sz w:val="20"/>
        </w:rPr>
      </w:pPr>
      <w:r w:rsidRPr="00D87E5E">
        <w:rPr>
          <w:rFonts w:ascii="Arial" w:hAnsi="Arial" w:cs="Arial"/>
          <w:sz w:val="20"/>
        </w:rPr>
        <w:t>I am not persuaded by any of the submissions raised by the Department.</w:t>
      </w:r>
    </w:p>
    <w:p w14:paraId="540063FD" w14:textId="7C8AC1BC" w:rsidR="00561C6C" w:rsidRDefault="00561C6C" w:rsidP="00561C6C">
      <w:pPr>
        <w:spacing w:before="60"/>
        <w:ind w:left="454" w:right="454"/>
        <w:jc w:val="both"/>
        <w:rPr>
          <w:rFonts w:ascii="Arial" w:hAnsi="Arial" w:cs="Arial"/>
          <w:sz w:val="20"/>
        </w:rPr>
      </w:pPr>
      <w:r w:rsidRPr="00D87E5E">
        <w:rPr>
          <w:rFonts w:ascii="Arial" w:hAnsi="Arial" w:cs="Arial"/>
          <w:sz w:val="20"/>
        </w:rPr>
        <w:t>The application before this Court is separate and involves an application of the laws pursuant to Part 4.9 of the CYFA. It is not a judicial review. It does not involve a review of an administrative decision.</w:t>
      </w:r>
    </w:p>
    <w:p w14:paraId="4C53B91C" w14:textId="7677BB4B" w:rsidR="00561C6C" w:rsidRDefault="00561C6C" w:rsidP="00561C6C">
      <w:pPr>
        <w:spacing w:before="60"/>
        <w:ind w:left="454" w:right="454"/>
        <w:jc w:val="both"/>
        <w:rPr>
          <w:rFonts w:ascii="Arial" w:hAnsi="Arial" w:cs="Arial"/>
          <w:sz w:val="20"/>
        </w:rPr>
      </w:pPr>
      <w:r w:rsidRPr="00D87E5E">
        <w:rPr>
          <w:rFonts w:ascii="Arial" w:hAnsi="Arial" w:cs="Arial"/>
          <w:sz w:val="20"/>
        </w:rPr>
        <w:t>I accept that the outcome of the VCAT proceedings will be relevant, but not necessarily determinative</w:t>
      </w:r>
      <w:r>
        <w:rPr>
          <w:rFonts w:ascii="Arial" w:hAnsi="Arial" w:cs="Arial"/>
          <w:sz w:val="20"/>
        </w:rPr>
        <w:t>.</w:t>
      </w:r>
    </w:p>
    <w:p w14:paraId="7805A0CD" w14:textId="32FF2F76" w:rsidR="00561C6C" w:rsidRDefault="00561C6C" w:rsidP="00561C6C">
      <w:pPr>
        <w:spacing w:before="60"/>
        <w:ind w:left="454" w:right="454"/>
        <w:jc w:val="both"/>
        <w:rPr>
          <w:rFonts w:ascii="Arial" w:hAnsi="Arial" w:cs="Arial"/>
          <w:sz w:val="20"/>
        </w:rPr>
      </w:pPr>
      <w:r w:rsidRPr="00D87E5E">
        <w:rPr>
          <w:rFonts w:ascii="Arial" w:hAnsi="Arial" w:cs="Arial"/>
          <w:sz w:val="20"/>
        </w:rPr>
        <w:t>I reject the arguments that granting the joinder application will delay progression of permanency planning to the detriment of Lily and her current stability. Respectfully, the current court proceedings are not a rubber-stamping exercise that ought to be expedited so that case planning processes may be progressed.</w:t>
      </w:r>
    </w:p>
    <w:p w14:paraId="223B4CDA" w14:textId="11800EBB" w:rsidR="00561C6C" w:rsidRDefault="00561C6C" w:rsidP="00561C6C">
      <w:pPr>
        <w:spacing w:before="60"/>
        <w:ind w:left="454" w:right="454"/>
        <w:jc w:val="both"/>
        <w:rPr>
          <w:rFonts w:ascii="Arial" w:hAnsi="Arial" w:cs="Arial"/>
          <w:sz w:val="20"/>
        </w:rPr>
      </w:pPr>
      <w:r w:rsidRPr="00D87E5E">
        <w:rPr>
          <w:rFonts w:ascii="Arial" w:hAnsi="Arial" w:cs="Arial"/>
          <w:sz w:val="20"/>
        </w:rPr>
        <w:t>Lily remains subject to and protected by a CBSO for the duration of these proceedings, until a final determination is made. In my view, her circumstances are not prejudiced by the application, even if its trajectory is changed as a result of the joinder application being granted.</w:t>
      </w:r>
    </w:p>
    <w:p w14:paraId="730E28C4" w14:textId="4123C20C" w:rsidR="00561C6C" w:rsidRDefault="00561C6C" w:rsidP="00561C6C">
      <w:pPr>
        <w:spacing w:before="60"/>
        <w:ind w:left="454" w:right="454"/>
        <w:jc w:val="both"/>
        <w:rPr>
          <w:rFonts w:ascii="Arial" w:hAnsi="Arial" w:cs="Arial"/>
          <w:iCs/>
          <w:sz w:val="20"/>
        </w:rPr>
      </w:pPr>
      <w:r w:rsidRPr="00D87E5E">
        <w:rPr>
          <w:rFonts w:ascii="Arial" w:hAnsi="Arial" w:cs="Arial"/>
          <w:sz w:val="20"/>
        </w:rPr>
        <w:t>I reject the submission that:</w:t>
      </w:r>
    </w:p>
    <w:p w14:paraId="1C9A8785" w14:textId="1EF55B84" w:rsidR="00561C6C" w:rsidRDefault="00561C6C" w:rsidP="001A754B">
      <w:pPr>
        <w:numPr>
          <w:ilvl w:val="0"/>
          <w:numId w:val="166"/>
        </w:numPr>
        <w:ind w:left="1208" w:right="851" w:hanging="357"/>
        <w:jc w:val="both"/>
        <w:rPr>
          <w:rFonts w:ascii="Arial" w:hAnsi="Arial" w:cs="Arial"/>
          <w:sz w:val="20"/>
        </w:rPr>
      </w:pPr>
      <w:r w:rsidRPr="00D87E5E">
        <w:rPr>
          <w:rFonts w:ascii="Arial" w:hAnsi="Arial" w:cs="Arial"/>
          <w:sz w:val="20"/>
        </w:rPr>
        <w:t>joinder would warrant an unnecessary exploration of psychological parenthood; and</w:t>
      </w:r>
    </w:p>
    <w:p w14:paraId="5E271FA3" w14:textId="463CF651" w:rsidR="00561C6C" w:rsidRPr="00D87E5E" w:rsidRDefault="00561C6C" w:rsidP="001A754B">
      <w:pPr>
        <w:numPr>
          <w:ilvl w:val="0"/>
          <w:numId w:val="166"/>
        </w:numPr>
        <w:ind w:left="1208" w:right="851" w:hanging="357"/>
        <w:jc w:val="both"/>
        <w:rPr>
          <w:rFonts w:ascii="Arial" w:hAnsi="Arial" w:cs="Arial"/>
          <w:sz w:val="20"/>
        </w:rPr>
      </w:pPr>
      <w:r w:rsidRPr="00D87E5E">
        <w:rPr>
          <w:rFonts w:ascii="Arial" w:hAnsi="Arial" w:cs="Arial"/>
          <w:sz w:val="20"/>
        </w:rPr>
        <w:t>were such an assessment deemed necessary it could proceed without Ms MA being joined as a party.</w:t>
      </w:r>
    </w:p>
    <w:p w14:paraId="6590CEE8" w14:textId="6355728B" w:rsidR="00561C6C" w:rsidRDefault="00561C6C" w:rsidP="00561C6C">
      <w:pPr>
        <w:spacing w:before="60"/>
        <w:ind w:left="454" w:right="454"/>
        <w:jc w:val="both"/>
        <w:rPr>
          <w:rFonts w:ascii="Arial" w:hAnsi="Arial" w:cs="Arial"/>
          <w:sz w:val="20"/>
        </w:rPr>
      </w:pPr>
      <w:r w:rsidRPr="00D87E5E">
        <w:rPr>
          <w:rFonts w:ascii="Arial" w:hAnsi="Arial" w:cs="Arial"/>
          <w:sz w:val="20"/>
        </w:rPr>
        <w:lastRenderedPageBreak/>
        <w:t>In my view, a joinder application does not require me to foresee the precise trajectory of an application. It is sufficient for me to be satisfied that there is a direct interest, and the applicant’s participation is practicable and in the best interests of the subject child.</w:t>
      </w:r>
    </w:p>
    <w:p w14:paraId="1BD9D9D5" w14:textId="1BC6E0AB" w:rsidR="00561C6C" w:rsidRDefault="00561C6C" w:rsidP="00561C6C">
      <w:pPr>
        <w:spacing w:before="60"/>
        <w:ind w:left="454" w:right="454"/>
        <w:jc w:val="both"/>
        <w:rPr>
          <w:rFonts w:ascii="Arial" w:hAnsi="Arial" w:cs="Arial"/>
          <w:sz w:val="20"/>
        </w:rPr>
      </w:pPr>
      <w:r w:rsidRPr="00D87E5E">
        <w:rPr>
          <w:rFonts w:ascii="Arial" w:hAnsi="Arial" w:cs="Arial"/>
          <w:sz w:val="20"/>
        </w:rPr>
        <w:t>On the issue of practicability, it is a fundamental misunderstanding of the purpose of s215B of the CYFA to conflate cooperative relationships with the absence of a contraindicator. This section – introduced in 2013 – is a procedural provision which commences ‘Without limiting Part 1.2…’. Part 1.2 contains the ‘best interests’ provisions, which include not just s.10(3)(f): ‘the desirability of continuity and permanency in the child’s care’ but also s.10(3)(b): ‘the need to strengthen, preserve and promote positive relationships between the child...and family members’ and s.10(3)(h): ‘if the child is to be removed from the care of her parent, consideration is to be given first to the child being placed with an appropriate family member...before any other placement is considered’.”</w:t>
      </w:r>
    </w:p>
    <w:p w14:paraId="6D9C8715" w14:textId="017765E3" w:rsidR="00561C6C" w:rsidRDefault="00561C6C" w:rsidP="00561C6C">
      <w:pPr>
        <w:spacing w:before="60"/>
        <w:ind w:left="454" w:right="454"/>
        <w:jc w:val="both"/>
        <w:rPr>
          <w:rFonts w:ascii="Arial" w:hAnsi="Arial" w:cs="Arial"/>
          <w:sz w:val="20"/>
        </w:rPr>
      </w:pPr>
      <w:r w:rsidRPr="00D87E5E">
        <w:rPr>
          <w:rFonts w:ascii="Arial" w:hAnsi="Arial" w:cs="Arial"/>
          <w:sz w:val="20"/>
        </w:rPr>
        <w:t>On the issue of best interests, I further note that the Department submits any joinder is anathema to the best interests of Lily based on the following:</w:t>
      </w:r>
    </w:p>
    <w:p w14:paraId="1177992B" w14:textId="574A6CBF" w:rsidR="00561C6C" w:rsidRPr="00561C6C" w:rsidRDefault="00561C6C" w:rsidP="001A754B">
      <w:pPr>
        <w:pStyle w:val="ListParagraph"/>
        <w:numPr>
          <w:ilvl w:val="0"/>
          <w:numId w:val="167"/>
        </w:numPr>
        <w:ind w:left="1208" w:right="851" w:hanging="357"/>
        <w:jc w:val="both"/>
        <w:rPr>
          <w:rFonts w:ascii="Arial" w:hAnsi="Arial" w:cs="Arial"/>
          <w:iCs/>
          <w:sz w:val="20"/>
        </w:rPr>
      </w:pPr>
      <w:r w:rsidRPr="00D87E5E">
        <w:rPr>
          <w:rFonts w:ascii="Arial" w:hAnsi="Arial" w:cs="Arial"/>
          <w:sz w:val="20"/>
        </w:rPr>
        <w:t>She is currently thriving in placement.</w:t>
      </w:r>
    </w:p>
    <w:p w14:paraId="3027A52B" w14:textId="14D653AD" w:rsidR="00561C6C" w:rsidRPr="00561C6C" w:rsidRDefault="00561C6C" w:rsidP="001A754B">
      <w:pPr>
        <w:pStyle w:val="ListParagraph"/>
        <w:numPr>
          <w:ilvl w:val="0"/>
          <w:numId w:val="167"/>
        </w:numPr>
        <w:ind w:left="1208" w:right="851" w:hanging="357"/>
        <w:jc w:val="both"/>
        <w:rPr>
          <w:rFonts w:ascii="Arial" w:hAnsi="Arial" w:cs="Arial"/>
          <w:iCs/>
          <w:sz w:val="20"/>
        </w:rPr>
      </w:pPr>
      <w:r w:rsidRPr="00D87E5E">
        <w:rPr>
          <w:rFonts w:ascii="Arial" w:hAnsi="Arial" w:cs="Arial"/>
          <w:sz w:val="20"/>
        </w:rPr>
        <w:t>The joinder risks destabilising Lily’s care arrangements and delay decisions critical to her health and development.</w:t>
      </w:r>
    </w:p>
    <w:p w14:paraId="5F4F4CED" w14:textId="77777777" w:rsidR="00444DE8" w:rsidRPr="00D87E5E" w:rsidRDefault="00444DE8" w:rsidP="001A754B">
      <w:pPr>
        <w:numPr>
          <w:ilvl w:val="0"/>
          <w:numId w:val="167"/>
        </w:numPr>
        <w:ind w:left="1208" w:right="851" w:hanging="357"/>
        <w:jc w:val="both"/>
        <w:rPr>
          <w:rFonts w:ascii="Arial" w:hAnsi="Arial" w:cs="Arial"/>
          <w:sz w:val="20"/>
        </w:rPr>
      </w:pPr>
      <w:r w:rsidRPr="00D87E5E">
        <w:rPr>
          <w:rFonts w:ascii="Arial" w:hAnsi="Arial" w:cs="Arial"/>
          <w:sz w:val="20"/>
        </w:rPr>
        <w:t xml:space="preserve">Potentially exposes Lily to cumulative harm as historical evidence shows that Ms MA is unable to meet her complex needs. </w:t>
      </w:r>
    </w:p>
    <w:p w14:paraId="146A9FDD" w14:textId="37522DE6" w:rsidR="00444DE8" w:rsidRDefault="00444DE8" w:rsidP="00444DE8">
      <w:pPr>
        <w:spacing w:before="60"/>
        <w:ind w:left="454" w:right="454"/>
        <w:jc w:val="both"/>
        <w:rPr>
          <w:rFonts w:ascii="Arial" w:hAnsi="Arial" w:cs="Arial"/>
          <w:sz w:val="20"/>
        </w:rPr>
      </w:pPr>
      <w:r w:rsidRPr="00D87E5E">
        <w:rPr>
          <w:rFonts w:ascii="Arial" w:hAnsi="Arial" w:cs="Arial"/>
          <w:sz w:val="20"/>
        </w:rPr>
        <w:t>I do not accept that the joinder risks destabilising Lily’s care arrangements and potentially exposes Lily to further cumulative harm. These submissions were poorly expressed and presupposed that the joinder application would result in the Court making a decision or taking an action that would go against Lily’s best interests. I reject this argument in its entirety.</w:t>
      </w:r>
    </w:p>
    <w:p w14:paraId="2EA37B47" w14:textId="59A509A0" w:rsidR="00444DE8" w:rsidRDefault="00444DE8" w:rsidP="00444DE8">
      <w:pPr>
        <w:spacing w:before="60"/>
        <w:ind w:left="454" w:right="454"/>
        <w:jc w:val="both"/>
        <w:rPr>
          <w:rFonts w:ascii="Arial" w:hAnsi="Arial" w:cs="Arial"/>
          <w:sz w:val="20"/>
        </w:rPr>
      </w:pPr>
      <w:r w:rsidRPr="00D87E5E">
        <w:rPr>
          <w:rFonts w:ascii="Arial" w:hAnsi="Arial" w:cs="Arial"/>
          <w:sz w:val="20"/>
        </w:rPr>
        <w:t>I am satisfied that the joinder sought by Ms MA is practicable – noting that she has competent legal representation – in addition to her joinder being in Lily’s best interests. I therefore order pursuant to s.522(1)(c)(ii) CYFA that Ms MA be permitted to participate fully as a party in this proceeding.</w:t>
      </w:r>
      <w:r>
        <w:rPr>
          <w:rFonts w:ascii="Arial" w:hAnsi="Arial" w:cs="Arial"/>
          <w:sz w:val="20"/>
        </w:rPr>
        <w:t>”</w:t>
      </w:r>
    </w:p>
    <w:p w14:paraId="17B0B133" w14:textId="77777777" w:rsidR="00D87E5E" w:rsidRDefault="00D87E5E" w:rsidP="001B31CC">
      <w:pPr>
        <w:jc w:val="both"/>
        <w:rPr>
          <w:rFonts w:ascii="Arial" w:hAnsi="Arial" w:cs="Arial"/>
          <w:sz w:val="20"/>
        </w:rPr>
      </w:pPr>
    </w:p>
    <w:p w14:paraId="72AE9B92" w14:textId="448CC68E" w:rsidR="001244F4" w:rsidRDefault="002176AF" w:rsidP="001B31CC">
      <w:pPr>
        <w:jc w:val="both"/>
        <w:rPr>
          <w:rFonts w:ascii="Arial" w:hAnsi="Arial" w:cs="Arial"/>
          <w:sz w:val="20"/>
          <w:szCs w:val="20"/>
        </w:rPr>
      </w:pPr>
      <w:r>
        <w:rPr>
          <w:rFonts w:ascii="Arial" w:hAnsi="Arial" w:cs="Arial"/>
          <w:sz w:val="20"/>
        </w:rPr>
        <w:t>In determining whether it is “</w:t>
      </w:r>
      <w:r w:rsidRPr="002176AF">
        <w:rPr>
          <w:rFonts w:ascii="Arial" w:hAnsi="Arial" w:cs="Arial"/>
          <w:b/>
          <w:bCs/>
          <w:sz w:val="20"/>
        </w:rPr>
        <w:t>practicable</w:t>
      </w:r>
      <w:r>
        <w:rPr>
          <w:rFonts w:ascii="Arial" w:hAnsi="Arial" w:cs="Arial"/>
          <w:sz w:val="20"/>
        </w:rPr>
        <w:t>” to allow a person who has a “</w:t>
      </w:r>
      <w:r w:rsidRPr="002176AF">
        <w:rPr>
          <w:rFonts w:ascii="Arial" w:hAnsi="Arial" w:cs="Arial"/>
          <w:b/>
          <w:bCs/>
          <w:sz w:val="20"/>
        </w:rPr>
        <w:t>direct interest</w:t>
      </w:r>
      <w:r>
        <w:rPr>
          <w:rFonts w:ascii="Arial" w:hAnsi="Arial" w:cs="Arial"/>
          <w:sz w:val="20"/>
        </w:rPr>
        <w:t xml:space="preserve">” to be joined as a party, some assistance may </w:t>
      </w:r>
      <w:r w:rsidR="00AF702D">
        <w:rPr>
          <w:rFonts w:ascii="Arial" w:hAnsi="Arial" w:cs="Arial"/>
          <w:sz w:val="20"/>
        </w:rPr>
        <w:t xml:space="preserve">also </w:t>
      </w:r>
      <w:r>
        <w:rPr>
          <w:rFonts w:ascii="Arial" w:hAnsi="Arial" w:cs="Arial"/>
          <w:sz w:val="20"/>
        </w:rPr>
        <w:t xml:space="preserve">be gained from the decision of the High Court in </w:t>
      </w:r>
      <w:r w:rsidRPr="00367E55">
        <w:rPr>
          <w:rFonts w:ascii="Arial" w:hAnsi="Arial" w:cs="Arial"/>
          <w:i/>
          <w:sz w:val="20"/>
          <w:szCs w:val="20"/>
        </w:rPr>
        <w:t>J v Lieschke</w:t>
      </w:r>
      <w:r w:rsidRPr="007526D0">
        <w:rPr>
          <w:rFonts w:ascii="Arial" w:hAnsi="Arial" w:cs="Arial"/>
          <w:sz w:val="20"/>
          <w:szCs w:val="20"/>
        </w:rPr>
        <w:t xml:space="preserve"> (1987) 162 CLR 447</w:t>
      </w:r>
      <w:r>
        <w:rPr>
          <w:rFonts w:ascii="Arial" w:hAnsi="Arial" w:cs="Arial"/>
          <w:sz w:val="20"/>
          <w:szCs w:val="20"/>
        </w:rPr>
        <w:t xml:space="preserve">.  In that case the appellant J was the mother of five children whom the first respondent </w:t>
      </w:r>
      <w:r w:rsidR="00113B8F">
        <w:rPr>
          <w:rFonts w:ascii="Arial" w:hAnsi="Arial" w:cs="Arial"/>
          <w:sz w:val="20"/>
          <w:szCs w:val="20"/>
        </w:rPr>
        <w:t xml:space="preserve">Mr Lieschke </w:t>
      </w:r>
      <w:r>
        <w:rPr>
          <w:rFonts w:ascii="Arial" w:hAnsi="Arial" w:cs="Arial"/>
          <w:sz w:val="20"/>
          <w:szCs w:val="20"/>
        </w:rPr>
        <w:t xml:space="preserve">had apprehended and brought before a NSW Children’s Court, alleging that each was a “neglected child” as defined in s.72 of the </w:t>
      </w:r>
      <w:r w:rsidRPr="002176AF">
        <w:rPr>
          <w:rFonts w:ascii="Arial" w:hAnsi="Arial" w:cs="Arial"/>
          <w:i/>
          <w:iCs/>
          <w:sz w:val="20"/>
          <w:szCs w:val="20"/>
        </w:rPr>
        <w:t xml:space="preserve">Child Welfare </w:t>
      </w:r>
      <w:r>
        <w:rPr>
          <w:rFonts w:ascii="Arial" w:hAnsi="Arial" w:cs="Arial"/>
          <w:i/>
          <w:iCs/>
          <w:sz w:val="20"/>
          <w:szCs w:val="20"/>
        </w:rPr>
        <w:t>A</w:t>
      </w:r>
      <w:r w:rsidRPr="002176AF">
        <w:rPr>
          <w:rFonts w:ascii="Arial" w:hAnsi="Arial" w:cs="Arial"/>
          <w:i/>
          <w:iCs/>
          <w:sz w:val="20"/>
          <w:szCs w:val="20"/>
        </w:rPr>
        <w:t>ct 1939 (NSW)</w:t>
      </w:r>
      <w:r>
        <w:rPr>
          <w:rFonts w:ascii="Arial" w:hAnsi="Arial" w:cs="Arial"/>
          <w:sz w:val="20"/>
          <w:szCs w:val="20"/>
        </w:rPr>
        <w:t xml:space="preserve">.  </w:t>
      </w:r>
      <w:r w:rsidR="00993D7E">
        <w:rPr>
          <w:rFonts w:ascii="Arial" w:hAnsi="Arial" w:cs="Arial"/>
          <w:sz w:val="20"/>
          <w:szCs w:val="20"/>
        </w:rPr>
        <w:t>In ensuing proceedings before a magistrate, J</w:t>
      </w:r>
      <w:r w:rsidR="00113B8F">
        <w:rPr>
          <w:rFonts w:ascii="Arial" w:hAnsi="Arial" w:cs="Arial"/>
          <w:sz w:val="20"/>
          <w:szCs w:val="20"/>
        </w:rPr>
        <w:t xml:space="preserve"> </w:t>
      </w:r>
      <w:r w:rsidR="00993D7E">
        <w:rPr>
          <w:rFonts w:ascii="Arial" w:hAnsi="Arial" w:cs="Arial"/>
          <w:sz w:val="20"/>
          <w:szCs w:val="20"/>
        </w:rPr>
        <w:t xml:space="preserve">applied as of right to appear as a party.  The magistrate, in respect of one child concerning whom serious allegations were to be made against J, agreed “to permit the parents to appear by leave at the commencement of the proceedings” but refused the parents leave to appear in relation to the other </w:t>
      </w:r>
      <w:r w:rsidR="00993D7E" w:rsidRPr="00954EF8">
        <w:rPr>
          <w:rFonts w:ascii="Arial" w:hAnsi="Arial" w:cs="Arial"/>
          <w:color w:val="000000" w:themeColor="text1"/>
          <w:sz w:val="20"/>
          <w:szCs w:val="20"/>
        </w:rPr>
        <w:t>children</w:t>
      </w:r>
      <w:r w:rsidR="00954EF8" w:rsidRPr="00954EF8">
        <w:rPr>
          <w:rFonts w:ascii="Arial" w:hAnsi="Arial" w:cs="Arial"/>
          <w:color w:val="000000" w:themeColor="text1"/>
          <w:sz w:val="20"/>
          <w:szCs w:val="20"/>
        </w:rPr>
        <w:t xml:space="preserve">, saying that they would be allowed to give evidence if he found a </w:t>
      </w:r>
      <w:r w:rsidR="00954EF8" w:rsidRPr="00954EF8">
        <w:rPr>
          <w:rFonts w:ascii="Arial" w:hAnsi="Arial" w:cs="Arial"/>
          <w:i/>
          <w:iCs/>
          <w:color w:val="000000" w:themeColor="text1"/>
          <w:sz w:val="20"/>
          <w:szCs w:val="20"/>
        </w:rPr>
        <w:t>prima facie</w:t>
      </w:r>
      <w:r w:rsidR="00954EF8" w:rsidRPr="00954EF8">
        <w:rPr>
          <w:rFonts w:ascii="Arial" w:hAnsi="Arial" w:cs="Arial"/>
          <w:color w:val="000000" w:themeColor="text1"/>
          <w:sz w:val="20"/>
          <w:szCs w:val="20"/>
        </w:rPr>
        <w:t xml:space="preserve"> case.</w:t>
      </w:r>
      <w:r w:rsidR="00993D7E" w:rsidRPr="00954EF8">
        <w:rPr>
          <w:rFonts w:ascii="Arial" w:hAnsi="Arial" w:cs="Arial"/>
          <w:color w:val="000000" w:themeColor="text1"/>
          <w:sz w:val="20"/>
          <w:szCs w:val="20"/>
        </w:rPr>
        <w:t xml:space="preserve">  The High </w:t>
      </w:r>
      <w:r w:rsidR="00993D7E">
        <w:rPr>
          <w:rFonts w:ascii="Arial" w:hAnsi="Arial" w:cs="Arial"/>
          <w:sz w:val="20"/>
          <w:szCs w:val="20"/>
        </w:rPr>
        <w:t xml:space="preserve">Court </w:t>
      </w:r>
      <w:r w:rsidR="00FC47FD">
        <w:rPr>
          <w:rFonts w:ascii="Arial" w:hAnsi="Arial" w:cs="Arial"/>
          <w:sz w:val="20"/>
          <w:szCs w:val="20"/>
        </w:rPr>
        <w:t>allowed the appeal, holding</w:t>
      </w:r>
      <w:r w:rsidR="00993D7E">
        <w:rPr>
          <w:rFonts w:ascii="Arial" w:hAnsi="Arial" w:cs="Arial"/>
          <w:sz w:val="20"/>
          <w:szCs w:val="20"/>
        </w:rPr>
        <w:t xml:space="preserve"> unanimously that the parents of the child</w:t>
      </w:r>
      <w:r w:rsidR="00FC47FD">
        <w:rPr>
          <w:rFonts w:ascii="Arial" w:hAnsi="Arial" w:cs="Arial"/>
          <w:sz w:val="20"/>
          <w:szCs w:val="20"/>
        </w:rPr>
        <w:t>ren</w:t>
      </w:r>
      <w:r w:rsidR="00993D7E">
        <w:rPr>
          <w:rFonts w:ascii="Arial" w:hAnsi="Arial" w:cs="Arial"/>
          <w:sz w:val="20"/>
          <w:szCs w:val="20"/>
        </w:rPr>
        <w:t xml:space="preserve"> had a right to be heard</w:t>
      </w:r>
      <w:r w:rsidR="00EA69EE">
        <w:rPr>
          <w:rFonts w:ascii="Arial" w:hAnsi="Arial" w:cs="Arial"/>
          <w:sz w:val="20"/>
          <w:szCs w:val="20"/>
        </w:rPr>
        <w:t>,</w:t>
      </w:r>
      <w:r w:rsidR="00B9568F">
        <w:rPr>
          <w:rFonts w:ascii="Arial" w:hAnsi="Arial" w:cs="Arial"/>
          <w:sz w:val="20"/>
          <w:szCs w:val="20"/>
        </w:rPr>
        <w:t xml:space="preserve"> and also broadened this application of the principle of natural justice to include guardians</w:t>
      </w:r>
      <w:r w:rsidR="00993D7E">
        <w:rPr>
          <w:rFonts w:ascii="Arial" w:hAnsi="Arial" w:cs="Arial"/>
          <w:sz w:val="20"/>
          <w:szCs w:val="20"/>
        </w:rPr>
        <w:t>.</w:t>
      </w:r>
      <w:r w:rsidR="00FC47FD">
        <w:rPr>
          <w:rFonts w:ascii="Arial" w:hAnsi="Arial" w:cs="Arial"/>
          <w:sz w:val="20"/>
          <w:szCs w:val="20"/>
        </w:rPr>
        <w:t xml:space="preserve">  In</w:t>
      </w:r>
      <w:r w:rsidR="00113B8F">
        <w:rPr>
          <w:rFonts w:ascii="Arial" w:hAnsi="Arial" w:cs="Arial"/>
          <w:sz w:val="20"/>
          <w:szCs w:val="20"/>
        </w:rPr>
        <w:t> </w:t>
      </w:r>
      <w:r w:rsidR="00FC47FD">
        <w:rPr>
          <w:rFonts w:ascii="Arial" w:hAnsi="Arial" w:cs="Arial"/>
          <w:sz w:val="20"/>
          <w:szCs w:val="20"/>
        </w:rPr>
        <w:t xml:space="preserve">the leading judgment Brennan J </w:t>
      </w:r>
      <w:r w:rsidR="001244F4">
        <w:rPr>
          <w:rFonts w:ascii="Arial" w:hAnsi="Arial" w:cs="Arial"/>
          <w:sz w:val="20"/>
          <w:szCs w:val="20"/>
        </w:rPr>
        <w:t>said at p</w:t>
      </w:r>
      <w:r w:rsidR="00076470">
        <w:rPr>
          <w:rFonts w:ascii="Arial" w:hAnsi="Arial" w:cs="Arial"/>
          <w:sz w:val="20"/>
          <w:szCs w:val="20"/>
        </w:rPr>
        <w:t>p</w:t>
      </w:r>
      <w:r w:rsidR="001244F4">
        <w:rPr>
          <w:rFonts w:ascii="Arial" w:hAnsi="Arial" w:cs="Arial"/>
          <w:sz w:val="20"/>
          <w:szCs w:val="20"/>
        </w:rPr>
        <w:t>.456</w:t>
      </w:r>
      <w:r w:rsidR="00076470">
        <w:rPr>
          <w:rFonts w:ascii="Arial" w:hAnsi="Arial" w:cs="Arial"/>
          <w:sz w:val="20"/>
          <w:szCs w:val="20"/>
        </w:rPr>
        <w:t xml:space="preserve"> &amp; 458</w:t>
      </w:r>
      <w:r w:rsidR="00B9568F">
        <w:rPr>
          <w:rFonts w:ascii="Arial" w:hAnsi="Arial" w:cs="Arial"/>
          <w:sz w:val="20"/>
          <w:szCs w:val="20"/>
        </w:rPr>
        <w:t xml:space="preserve"> [emphasis added]</w:t>
      </w:r>
      <w:r w:rsidR="001244F4">
        <w:rPr>
          <w:rFonts w:ascii="Arial" w:hAnsi="Arial" w:cs="Arial"/>
          <w:sz w:val="20"/>
          <w:szCs w:val="20"/>
        </w:rPr>
        <w:t>:</w:t>
      </w:r>
    </w:p>
    <w:p w14:paraId="49E392B4" w14:textId="1EC13645" w:rsidR="001244F4" w:rsidRDefault="001244F4" w:rsidP="001244F4">
      <w:pPr>
        <w:spacing w:before="80"/>
        <w:ind w:left="454" w:right="454"/>
        <w:jc w:val="both"/>
        <w:rPr>
          <w:rFonts w:ascii="Arial" w:hAnsi="Arial" w:cs="Arial"/>
          <w:iCs/>
          <w:sz w:val="20"/>
        </w:rPr>
      </w:pPr>
      <w:r>
        <w:rPr>
          <w:rFonts w:ascii="Arial" w:hAnsi="Arial" w:cs="Arial"/>
          <w:iCs/>
          <w:sz w:val="20"/>
        </w:rPr>
        <w:t xml:space="preserve">“The general principle which governs this case is clearly established.  It is stated by Barwick CJ in </w:t>
      </w:r>
      <w:r w:rsidRPr="001244F4">
        <w:rPr>
          <w:rFonts w:ascii="Arial" w:hAnsi="Arial" w:cs="Arial"/>
          <w:i/>
          <w:sz w:val="20"/>
        </w:rPr>
        <w:t>Twist v Randwick Municipal Council</w:t>
      </w:r>
      <w:r>
        <w:rPr>
          <w:rFonts w:ascii="Arial" w:hAnsi="Arial" w:cs="Arial"/>
          <w:iCs/>
          <w:sz w:val="20"/>
        </w:rPr>
        <w:t xml:space="preserve"> (1976) 136 CLR 106 at pp.109-110 in these terms:</w:t>
      </w:r>
    </w:p>
    <w:p w14:paraId="39FCAB4F" w14:textId="228DAECF" w:rsidR="001244F4" w:rsidRPr="00076470" w:rsidRDefault="00076470" w:rsidP="00076470">
      <w:pPr>
        <w:spacing w:before="60"/>
        <w:ind w:left="907" w:right="907"/>
        <w:jc w:val="both"/>
        <w:rPr>
          <w:rFonts w:ascii="Arial" w:hAnsi="Arial" w:cs="Arial"/>
          <w:sz w:val="18"/>
          <w:szCs w:val="18"/>
        </w:rPr>
      </w:pPr>
      <w:r>
        <w:rPr>
          <w:rFonts w:ascii="Arial" w:hAnsi="Arial" w:cs="Arial"/>
          <w:sz w:val="18"/>
          <w:szCs w:val="18"/>
        </w:rPr>
        <w:t>‘The common law rule that a statutory authority having power to affect the rights of a person is bound to hear him before exercising the power is both fundamental and universal…But the legislature may displace the rule and provide for the exercise of such a power without any opportunity being afforded the affected person to oppose its exercise.  However, if that is the legislative intention</w:t>
      </w:r>
      <w:r w:rsidR="00387C91">
        <w:rPr>
          <w:rFonts w:ascii="Arial" w:hAnsi="Arial" w:cs="Arial"/>
          <w:sz w:val="18"/>
          <w:szCs w:val="18"/>
        </w:rPr>
        <w:t xml:space="preserve"> it must be made unambiguously clear.’</w:t>
      </w:r>
    </w:p>
    <w:p w14:paraId="3F56944A" w14:textId="5C7269AB" w:rsidR="001A6F5D" w:rsidRDefault="00B9568F" w:rsidP="001A6F5D">
      <w:pPr>
        <w:spacing w:before="80"/>
        <w:ind w:left="454" w:right="454"/>
        <w:jc w:val="both"/>
        <w:rPr>
          <w:rFonts w:ascii="Arial" w:hAnsi="Arial" w:cs="Arial"/>
          <w:iCs/>
          <w:sz w:val="20"/>
        </w:rPr>
      </w:pPr>
      <w:r>
        <w:rPr>
          <w:rFonts w:ascii="Arial" w:hAnsi="Arial" w:cs="Arial"/>
          <w:iCs/>
          <w:sz w:val="20"/>
        </w:rPr>
        <w:t>…</w:t>
      </w:r>
      <w:r w:rsidR="001A6F5D">
        <w:rPr>
          <w:rFonts w:ascii="Arial" w:hAnsi="Arial" w:cs="Arial"/>
          <w:iCs/>
          <w:sz w:val="20"/>
        </w:rPr>
        <w:t xml:space="preserve">It would offend the deepest human sentiments as well as a basic legal principle </w:t>
      </w:r>
      <w:r w:rsidR="001244F4">
        <w:rPr>
          <w:rFonts w:ascii="Arial" w:hAnsi="Arial" w:cs="Arial"/>
          <w:iCs/>
          <w:sz w:val="20"/>
        </w:rPr>
        <w:t xml:space="preserve">to permit a court to take a child from its parents without hearing the parents when they can be heard and when they wish to be heard in opposition to the making of an order. </w:t>
      </w:r>
      <w:r w:rsidR="001244F4" w:rsidRPr="001244F4">
        <w:rPr>
          <w:rFonts w:ascii="Arial" w:hAnsi="Arial" w:cs="Arial"/>
          <w:b/>
          <w:bCs/>
          <w:iCs/>
          <w:sz w:val="20"/>
        </w:rPr>
        <w:t>A guardian who has been appointed in loco parentis is no less entitled to be heard.</w:t>
      </w:r>
      <w:r w:rsidR="001244F4">
        <w:rPr>
          <w:rFonts w:ascii="Arial" w:hAnsi="Arial" w:cs="Arial"/>
          <w:iCs/>
          <w:sz w:val="20"/>
        </w:rPr>
        <w:t xml:space="preserve"> Only by ensuring, where practicable, that the parents or guardians have an opportunity to be heard can the Court be confident that it has protected whatever interests the child may have in its parents’ or guardians’ discharge of their duty to the child.”</w:t>
      </w:r>
    </w:p>
    <w:p w14:paraId="67463EFB" w14:textId="32ABCBEA" w:rsidR="00113B8F" w:rsidRDefault="00D57E98" w:rsidP="00D57E98">
      <w:pPr>
        <w:spacing w:before="80"/>
        <w:jc w:val="both"/>
        <w:rPr>
          <w:rFonts w:ascii="Arial" w:hAnsi="Arial" w:cs="Arial"/>
          <w:sz w:val="20"/>
        </w:rPr>
      </w:pPr>
      <w:r>
        <w:rPr>
          <w:rFonts w:ascii="Arial" w:hAnsi="Arial" w:cs="Arial"/>
          <w:sz w:val="20"/>
        </w:rPr>
        <w:t xml:space="preserve">However, one should also note </w:t>
      </w:r>
      <w:r w:rsidR="00113B8F">
        <w:rPr>
          <w:rFonts w:ascii="Arial" w:hAnsi="Arial" w:cs="Arial"/>
          <w:sz w:val="20"/>
        </w:rPr>
        <w:t xml:space="preserve">his Honour’s qualification </w:t>
      </w:r>
      <w:r>
        <w:rPr>
          <w:rFonts w:ascii="Arial" w:hAnsi="Arial" w:cs="Arial"/>
          <w:sz w:val="20"/>
        </w:rPr>
        <w:t>at p.457:</w:t>
      </w:r>
    </w:p>
    <w:p w14:paraId="6A1B1202" w14:textId="2D099573" w:rsidR="00113B8F" w:rsidRDefault="00113B8F" w:rsidP="00113B8F">
      <w:pPr>
        <w:spacing w:before="80"/>
        <w:ind w:left="454" w:right="454"/>
        <w:jc w:val="both"/>
        <w:rPr>
          <w:rFonts w:ascii="Arial" w:hAnsi="Arial" w:cs="Arial"/>
          <w:iCs/>
          <w:sz w:val="20"/>
        </w:rPr>
      </w:pPr>
      <w:r>
        <w:rPr>
          <w:rFonts w:ascii="Arial" w:hAnsi="Arial" w:cs="Arial"/>
          <w:sz w:val="20"/>
        </w:rPr>
        <w:t>“</w:t>
      </w:r>
      <w:r w:rsidRPr="00D57E98">
        <w:rPr>
          <w:rFonts w:ascii="Arial" w:hAnsi="Arial" w:cs="Arial"/>
          <w:sz w:val="20"/>
          <w:szCs w:val="20"/>
        </w:rPr>
        <w:t>In some custody proceedings, some qualification of the principles of natural justice may be necessary in order to ensure paramountcy to the welfare of the child</w:t>
      </w:r>
      <w:r>
        <w:rPr>
          <w:rFonts w:ascii="Arial" w:hAnsi="Arial" w:cs="Arial"/>
          <w:sz w:val="20"/>
          <w:szCs w:val="20"/>
        </w:rPr>
        <w:t xml:space="preserve">; e.g., it may be necessary to keep a welfare report confidential, as in </w:t>
      </w:r>
      <w:r w:rsidRPr="00113B8F">
        <w:rPr>
          <w:rFonts w:ascii="Arial" w:hAnsi="Arial" w:cs="Arial"/>
          <w:i/>
          <w:iCs/>
          <w:sz w:val="20"/>
          <w:szCs w:val="20"/>
        </w:rPr>
        <w:t>In re K. (Infants)</w:t>
      </w:r>
      <w:r>
        <w:rPr>
          <w:rFonts w:ascii="Arial" w:hAnsi="Arial" w:cs="Arial"/>
          <w:sz w:val="20"/>
          <w:szCs w:val="20"/>
        </w:rPr>
        <w:t xml:space="preserve"> [1965] AC 201…But a desire to promote the welfare of the child does not exclude application of the principles of natural justice</w:t>
      </w:r>
      <w:r w:rsidR="005973A3">
        <w:rPr>
          <w:rFonts w:ascii="Arial" w:hAnsi="Arial" w:cs="Arial"/>
          <w:sz w:val="20"/>
          <w:szCs w:val="20"/>
        </w:rPr>
        <w:t xml:space="preserve"> except so far as is necessary to avoid frustration of the purpose </w:t>
      </w:r>
      <w:r w:rsidRPr="00D57E98">
        <w:rPr>
          <w:rFonts w:ascii="Arial" w:hAnsi="Arial" w:cs="Arial"/>
          <w:sz w:val="20"/>
          <w:szCs w:val="20"/>
        </w:rPr>
        <w:t>for which the jurisdiction is conferred</w:t>
      </w:r>
      <w:r>
        <w:rPr>
          <w:rFonts w:ascii="Arial" w:hAnsi="Arial" w:cs="Arial"/>
          <w:sz w:val="20"/>
          <w:szCs w:val="20"/>
        </w:rPr>
        <w:t xml:space="preserve">: see </w:t>
      </w:r>
      <w:r w:rsidRPr="00113B8F">
        <w:rPr>
          <w:rFonts w:ascii="Arial" w:hAnsi="Arial" w:cs="Arial"/>
          <w:i/>
          <w:iCs/>
          <w:sz w:val="20"/>
          <w:szCs w:val="20"/>
        </w:rPr>
        <w:t>Re JRL; Ex parte CJL</w:t>
      </w:r>
      <w:r>
        <w:rPr>
          <w:rFonts w:ascii="Arial" w:hAnsi="Arial" w:cs="Arial"/>
          <w:sz w:val="20"/>
          <w:szCs w:val="20"/>
        </w:rPr>
        <w:t xml:space="preserve"> (1986) 161 CLR 342</w:t>
      </w:r>
      <w:r w:rsidRPr="00D57E98">
        <w:rPr>
          <w:rFonts w:ascii="Arial" w:hAnsi="Arial" w:cs="Arial"/>
          <w:i/>
          <w:sz w:val="20"/>
          <w:szCs w:val="20"/>
        </w:rPr>
        <w:t>.</w:t>
      </w:r>
      <w:r w:rsidRPr="004A6E11">
        <w:rPr>
          <w:rFonts w:ascii="Arial" w:hAnsi="Arial" w:cs="Arial"/>
          <w:iCs/>
          <w:sz w:val="20"/>
          <w:szCs w:val="20"/>
        </w:rPr>
        <w:t>”</w:t>
      </w:r>
    </w:p>
    <w:p w14:paraId="1FC0F935" w14:textId="77777777" w:rsidR="008A544E" w:rsidRDefault="008A544E" w:rsidP="008A544E">
      <w:pPr>
        <w:jc w:val="both"/>
        <w:rPr>
          <w:rFonts w:ascii="Arial" w:hAnsi="Arial" w:cs="Arial"/>
          <w:sz w:val="20"/>
        </w:rPr>
      </w:pPr>
    </w:p>
    <w:p w14:paraId="492516A8" w14:textId="2A80DD8F" w:rsidR="008A544E" w:rsidRDefault="008A544E" w:rsidP="008A544E">
      <w:pPr>
        <w:jc w:val="both"/>
        <w:rPr>
          <w:rFonts w:ascii="Arial" w:hAnsi="Arial" w:cs="Arial"/>
          <w:sz w:val="20"/>
        </w:rPr>
      </w:pPr>
      <w:r>
        <w:rPr>
          <w:rFonts w:ascii="Arial" w:hAnsi="Arial" w:cs="Arial"/>
          <w:sz w:val="20"/>
        </w:rPr>
        <w:t>Further, in determining whether it is “</w:t>
      </w:r>
      <w:r w:rsidRPr="0019668C">
        <w:rPr>
          <w:rFonts w:ascii="Arial" w:hAnsi="Arial" w:cs="Arial"/>
          <w:b/>
          <w:bCs/>
          <w:sz w:val="20"/>
        </w:rPr>
        <w:t>practicable</w:t>
      </w:r>
      <w:r>
        <w:rPr>
          <w:rFonts w:ascii="Arial" w:hAnsi="Arial" w:cs="Arial"/>
          <w:sz w:val="20"/>
        </w:rPr>
        <w:t xml:space="preserve">” to allow a person to be joined as a party, the matters relating to management of child protection proceedings set out in s.215B of the CYFA appear to the writer to be relevant considerations.  See </w:t>
      </w:r>
      <w:r w:rsidRPr="00A975E6">
        <w:rPr>
          <w:rFonts w:ascii="Arial" w:hAnsi="Arial" w:cs="Arial"/>
          <w:b/>
          <w:bCs/>
          <w:sz w:val="20"/>
          <w:shd w:val="clear" w:color="auto" w:fill="C5E0B3" w:themeFill="accent6" w:themeFillTint="66"/>
        </w:rPr>
        <w:t>s</w:t>
      </w:r>
      <w:r w:rsidR="004B696B">
        <w:rPr>
          <w:rFonts w:ascii="Arial" w:hAnsi="Arial" w:cs="Arial"/>
          <w:b/>
          <w:bCs/>
          <w:sz w:val="20"/>
          <w:shd w:val="clear" w:color="auto" w:fill="C5E0B3" w:themeFill="accent6" w:themeFillTint="66"/>
        </w:rPr>
        <w:t>ubs</w:t>
      </w:r>
      <w:r w:rsidRPr="00A975E6">
        <w:rPr>
          <w:rFonts w:ascii="Arial" w:hAnsi="Arial" w:cs="Arial"/>
          <w:b/>
          <w:bCs/>
          <w:sz w:val="20"/>
          <w:shd w:val="clear" w:color="auto" w:fill="C5E0B3" w:themeFill="accent6" w:themeFillTint="66"/>
        </w:rPr>
        <w:t>ection 3.5.6.3</w:t>
      </w:r>
      <w:r>
        <w:rPr>
          <w:rFonts w:ascii="Arial" w:hAnsi="Arial" w:cs="Arial"/>
          <w:sz w:val="20"/>
        </w:rPr>
        <w:t xml:space="preserve"> below for a discussion of s.215B.</w:t>
      </w:r>
    </w:p>
    <w:p w14:paraId="177593CF" w14:textId="14B43841" w:rsidR="004D3373" w:rsidRDefault="004D3373" w:rsidP="001B31CC">
      <w:pPr>
        <w:jc w:val="both"/>
        <w:rPr>
          <w:rFonts w:ascii="Arial" w:hAnsi="Arial" w:cs="Arial"/>
          <w:sz w:val="20"/>
        </w:rPr>
      </w:pPr>
    </w:p>
    <w:p w14:paraId="0F7679DD" w14:textId="7D5D683E" w:rsidR="00A27C2A" w:rsidRDefault="00A27C2A" w:rsidP="001B31CC">
      <w:pPr>
        <w:jc w:val="both"/>
        <w:rPr>
          <w:rFonts w:ascii="Arial" w:hAnsi="Arial" w:cs="Arial"/>
          <w:sz w:val="20"/>
        </w:rPr>
      </w:pPr>
      <w:r>
        <w:rPr>
          <w:rFonts w:ascii="Arial" w:hAnsi="Arial" w:cs="Arial"/>
          <w:sz w:val="20"/>
        </w:rPr>
        <w:t xml:space="preserve">Finally, although it is not directly applicable to proceedings in the Children’s Court, rule 9.06 of the </w:t>
      </w:r>
      <w:r w:rsidRPr="00A27C2A">
        <w:rPr>
          <w:rFonts w:ascii="Arial" w:hAnsi="Arial" w:cs="Arial"/>
          <w:i/>
          <w:iCs/>
          <w:sz w:val="20"/>
        </w:rPr>
        <w:t>Supreme Court (General Civil Procedure) Rules 2015</w:t>
      </w:r>
      <w:r w:rsidRPr="00A27C2A">
        <w:rPr>
          <w:rFonts w:ascii="Arial" w:hAnsi="Arial" w:cs="Arial"/>
          <w:sz w:val="20"/>
        </w:rPr>
        <w:t xml:space="preserve"> </w:t>
      </w:r>
      <w:r>
        <w:rPr>
          <w:rFonts w:ascii="Arial" w:hAnsi="Arial" w:cs="Arial"/>
          <w:sz w:val="20"/>
        </w:rPr>
        <w:t xml:space="preserve">– providing for the </w:t>
      </w:r>
      <w:r w:rsidRPr="00A27C2A">
        <w:rPr>
          <w:rFonts w:ascii="Arial" w:hAnsi="Arial" w:cs="Arial"/>
          <w:sz w:val="20"/>
        </w:rPr>
        <w:t xml:space="preserve">‘Addition, removal, substitution of a party’ </w:t>
      </w:r>
      <w:r>
        <w:rPr>
          <w:rFonts w:ascii="Arial" w:hAnsi="Arial" w:cs="Arial"/>
          <w:sz w:val="20"/>
        </w:rPr>
        <w:t xml:space="preserve">– may provide some </w:t>
      </w:r>
      <w:r w:rsidR="004B6B8C">
        <w:rPr>
          <w:rFonts w:ascii="Arial" w:hAnsi="Arial" w:cs="Arial"/>
          <w:sz w:val="20"/>
        </w:rPr>
        <w:t xml:space="preserve">useful </w:t>
      </w:r>
      <w:r>
        <w:rPr>
          <w:rFonts w:ascii="Arial" w:hAnsi="Arial" w:cs="Arial"/>
          <w:sz w:val="20"/>
        </w:rPr>
        <w:t xml:space="preserve">guidance in </w:t>
      </w:r>
      <w:r w:rsidR="00E6256A">
        <w:rPr>
          <w:rFonts w:ascii="Arial" w:hAnsi="Arial" w:cs="Arial"/>
          <w:sz w:val="20"/>
        </w:rPr>
        <w:t xml:space="preserve">relation to </w:t>
      </w:r>
      <w:r w:rsidR="002B1590">
        <w:rPr>
          <w:rFonts w:ascii="Arial" w:hAnsi="Arial" w:cs="Arial"/>
          <w:sz w:val="20"/>
        </w:rPr>
        <w:t>whether it is “</w:t>
      </w:r>
      <w:r w:rsidR="002B1590" w:rsidRPr="002B1590">
        <w:rPr>
          <w:rFonts w:ascii="Arial" w:hAnsi="Arial" w:cs="Arial"/>
          <w:b/>
          <w:bCs/>
          <w:sz w:val="20"/>
        </w:rPr>
        <w:t>practicable</w:t>
      </w:r>
      <w:r w:rsidR="002B1590">
        <w:rPr>
          <w:rFonts w:ascii="Arial" w:hAnsi="Arial" w:cs="Arial"/>
          <w:sz w:val="20"/>
        </w:rPr>
        <w:t>” to allow a person to be joined as a party in ChCV Family Division</w:t>
      </w:r>
      <w:r>
        <w:rPr>
          <w:rFonts w:ascii="Arial" w:hAnsi="Arial" w:cs="Arial"/>
          <w:sz w:val="20"/>
        </w:rPr>
        <w:t xml:space="preserve"> cases</w:t>
      </w:r>
      <w:r w:rsidR="00E6256A">
        <w:rPr>
          <w:rFonts w:ascii="Arial" w:hAnsi="Arial" w:cs="Arial"/>
          <w:sz w:val="20"/>
        </w:rPr>
        <w:t>.  In</w:t>
      </w:r>
      <w:r w:rsidR="002B1590">
        <w:rPr>
          <w:rFonts w:ascii="Arial" w:hAnsi="Arial" w:cs="Arial"/>
          <w:sz w:val="20"/>
        </w:rPr>
        <w:t xml:space="preserve"> </w:t>
      </w:r>
      <w:r w:rsidR="00E6256A">
        <w:rPr>
          <w:rFonts w:ascii="Arial" w:hAnsi="Arial" w:cs="Arial"/>
          <w:sz w:val="20"/>
        </w:rPr>
        <w:t>particular rule 9.06(b) provides:</w:t>
      </w:r>
    </w:p>
    <w:p w14:paraId="32E11942" w14:textId="0CADD59A" w:rsidR="00E6256A" w:rsidRDefault="00E6256A" w:rsidP="00014457">
      <w:pPr>
        <w:spacing w:before="60"/>
        <w:ind w:left="567" w:right="567"/>
        <w:jc w:val="both"/>
        <w:rPr>
          <w:rFonts w:ascii="Arial" w:hAnsi="Arial" w:cs="Arial"/>
          <w:iCs/>
          <w:sz w:val="20"/>
        </w:rPr>
      </w:pPr>
      <w:r>
        <w:rPr>
          <w:rFonts w:ascii="Arial" w:hAnsi="Arial" w:cs="Arial"/>
          <w:iCs/>
          <w:sz w:val="20"/>
        </w:rPr>
        <w:t>“At any stage of a proceeding the Court may order that any of the following persons be added as a party–</w:t>
      </w:r>
    </w:p>
    <w:p w14:paraId="06F1E7C3" w14:textId="454D99D4" w:rsidR="00E6256A" w:rsidRDefault="00E6256A">
      <w:pPr>
        <w:pStyle w:val="ListParagraph"/>
        <w:numPr>
          <w:ilvl w:val="0"/>
          <w:numId w:val="136"/>
        </w:numPr>
        <w:ind w:left="924" w:right="567" w:hanging="357"/>
        <w:jc w:val="both"/>
        <w:rPr>
          <w:rFonts w:ascii="Arial" w:hAnsi="Arial" w:cs="Arial"/>
          <w:sz w:val="20"/>
        </w:rPr>
      </w:pPr>
      <w:r w:rsidRPr="00A27C2A">
        <w:rPr>
          <w:rFonts w:ascii="Arial" w:hAnsi="Arial" w:cs="Arial"/>
          <w:sz w:val="20"/>
        </w:rPr>
        <w:t>a person who ought to have been joined as a party or whose presence before the Court is necessary to ensure that all questions in the proceeding are effectually and completely determined and adjudicated upon; or</w:t>
      </w:r>
    </w:p>
    <w:p w14:paraId="765157DD" w14:textId="3025806B" w:rsidR="00E6256A" w:rsidRPr="00E6256A" w:rsidRDefault="00E6256A">
      <w:pPr>
        <w:pStyle w:val="ListParagraph"/>
        <w:numPr>
          <w:ilvl w:val="0"/>
          <w:numId w:val="136"/>
        </w:numPr>
        <w:ind w:left="924" w:right="567" w:hanging="357"/>
        <w:jc w:val="both"/>
        <w:rPr>
          <w:rFonts w:ascii="Arial" w:hAnsi="Arial" w:cs="Arial"/>
          <w:sz w:val="20"/>
        </w:rPr>
      </w:pPr>
      <w:r w:rsidRPr="00A27C2A">
        <w:rPr>
          <w:rFonts w:ascii="Arial" w:hAnsi="Arial" w:cs="Arial"/>
          <w:sz w:val="20"/>
        </w:rPr>
        <w:t>a person between whom and any party to the proceeding there may exist a question arising out of, or relating to, or connected with, any claim in the proceeding which it is just and convenient to determine as between that person and that party as well as between the parties to the proceeding</w:t>
      </w:r>
      <w:r w:rsidR="00014457">
        <w:rPr>
          <w:rFonts w:ascii="Arial" w:hAnsi="Arial" w:cs="Arial"/>
          <w:sz w:val="20"/>
        </w:rPr>
        <w:t>.”</w:t>
      </w:r>
    </w:p>
    <w:p w14:paraId="0BF57144" w14:textId="2C0E39F8" w:rsidR="00A27C2A" w:rsidRDefault="00E6256A" w:rsidP="00014457">
      <w:pPr>
        <w:spacing w:before="60"/>
        <w:jc w:val="both"/>
        <w:rPr>
          <w:rFonts w:ascii="Arial" w:hAnsi="Arial" w:cs="Arial"/>
          <w:sz w:val="20"/>
        </w:rPr>
      </w:pPr>
      <w:r>
        <w:rPr>
          <w:rFonts w:ascii="Arial" w:hAnsi="Arial" w:cs="Arial"/>
          <w:sz w:val="20"/>
        </w:rPr>
        <w:t xml:space="preserve">See also </w:t>
      </w:r>
      <w:r w:rsidR="001C462E" w:rsidRPr="001C462E">
        <w:rPr>
          <w:rFonts w:ascii="Arial" w:hAnsi="Arial" w:cs="Arial"/>
          <w:i/>
          <w:iCs/>
          <w:sz w:val="20"/>
        </w:rPr>
        <w:t>Bass Strait Freight Pty Ltd v Colac Otway Shire Council</w:t>
      </w:r>
      <w:r w:rsidR="001C462E" w:rsidRPr="001C462E">
        <w:rPr>
          <w:rFonts w:ascii="Arial" w:hAnsi="Arial" w:cs="Arial"/>
          <w:sz w:val="20"/>
        </w:rPr>
        <w:t xml:space="preserve"> </w:t>
      </w:r>
      <w:r w:rsidR="001C462E">
        <w:rPr>
          <w:rFonts w:ascii="Arial" w:hAnsi="Arial" w:cs="Arial"/>
          <w:sz w:val="20"/>
        </w:rPr>
        <w:t xml:space="preserve">[2024] VSC 590 at [11]-[34]; </w:t>
      </w:r>
      <w:r w:rsidR="000F0E8B" w:rsidRPr="000F0E8B">
        <w:rPr>
          <w:rFonts w:ascii="Arial" w:hAnsi="Arial" w:cs="Arial"/>
          <w:i/>
          <w:iCs/>
          <w:sz w:val="20"/>
        </w:rPr>
        <w:t>Vernon v Sixty Third Octex Pty Ltd</w:t>
      </w:r>
      <w:r w:rsidR="000F0E8B" w:rsidRPr="000F0E8B">
        <w:rPr>
          <w:rFonts w:ascii="Arial" w:hAnsi="Arial" w:cs="Arial"/>
          <w:sz w:val="20"/>
        </w:rPr>
        <w:t xml:space="preserve"> </w:t>
      </w:r>
      <w:r w:rsidR="000F0E8B">
        <w:rPr>
          <w:rFonts w:ascii="Arial" w:hAnsi="Arial" w:cs="Arial"/>
          <w:sz w:val="20"/>
        </w:rPr>
        <w:t xml:space="preserve">[2024] VSC 599; </w:t>
      </w:r>
      <w:r w:rsidRPr="00E6256A">
        <w:rPr>
          <w:rFonts w:ascii="Arial" w:hAnsi="Arial" w:cs="Arial"/>
          <w:i/>
          <w:iCs/>
          <w:sz w:val="20"/>
        </w:rPr>
        <w:t>Garlick v Kerbaj (No 5)</w:t>
      </w:r>
      <w:r w:rsidRPr="00E6256A">
        <w:rPr>
          <w:rFonts w:ascii="Arial" w:hAnsi="Arial" w:cs="Arial"/>
          <w:sz w:val="20"/>
        </w:rPr>
        <w:t xml:space="preserve"> [2024] VSC 614</w:t>
      </w:r>
      <w:r>
        <w:rPr>
          <w:rFonts w:ascii="Arial" w:hAnsi="Arial" w:cs="Arial"/>
          <w:sz w:val="20"/>
        </w:rPr>
        <w:t>.</w:t>
      </w:r>
    </w:p>
    <w:p w14:paraId="5270BB26" w14:textId="72FBCCBB" w:rsidR="00E6256A" w:rsidRDefault="00E6256A" w:rsidP="001B31CC">
      <w:pPr>
        <w:jc w:val="both"/>
        <w:rPr>
          <w:rFonts w:ascii="Arial" w:hAnsi="Arial" w:cs="Arial"/>
          <w:sz w:val="20"/>
        </w:rPr>
      </w:pPr>
    </w:p>
    <w:p w14:paraId="4D72F6A9" w14:textId="77777777" w:rsidR="00B21DA4" w:rsidRDefault="00B21DA4" w:rsidP="008C6951">
      <w:pPr>
        <w:pStyle w:val="Heading3"/>
        <w:keepNext/>
        <w:keepLines/>
        <w:widowControl/>
        <w:spacing w:after="100" w:line="240" w:lineRule="auto"/>
        <w:rPr>
          <w:rFonts w:ascii="Arial" w:hAnsi="Arial" w:cs="Arial"/>
          <w:b/>
          <w:bCs/>
          <w:sz w:val="20"/>
        </w:rPr>
      </w:pPr>
      <w:bookmarkStart w:id="368" w:name="_3.4.4_Interpreter"/>
      <w:bookmarkStart w:id="369" w:name="B344"/>
      <w:bookmarkStart w:id="370" w:name="_Toc30649710"/>
      <w:bookmarkStart w:id="371" w:name="_Toc30651647"/>
      <w:bookmarkStart w:id="372" w:name="_Toc30652631"/>
      <w:bookmarkStart w:id="373" w:name="_Toc30652729"/>
      <w:bookmarkStart w:id="374" w:name="_Toc30654074"/>
      <w:bookmarkStart w:id="375" w:name="_Toc30654425"/>
      <w:bookmarkStart w:id="376" w:name="_Toc30655044"/>
      <w:bookmarkStart w:id="377" w:name="_Toc30655301"/>
      <w:bookmarkStart w:id="378" w:name="_Toc30656979"/>
      <w:bookmarkStart w:id="379" w:name="_Toc30661728"/>
      <w:bookmarkStart w:id="380" w:name="_Toc30666416"/>
      <w:bookmarkStart w:id="381" w:name="_Toc30666646"/>
      <w:bookmarkStart w:id="382" w:name="_Toc30667821"/>
      <w:bookmarkStart w:id="383" w:name="_Toc30669199"/>
      <w:bookmarkStart w:id="384" w:name="_Toc30671415"/>
      <w:bookmarkStart w:id="385" w:name="_Toc30673942"/>
      <w:bookmarkStart w:id="386" w:name="_Toc30691164"/>
      <w:bookmarkStart w:id="387" w:name="_Toc30691535"/>
      <w:bookmarkStart w:id="388" w:name="_Toc30691915"/>
      <w:bookmarkStart w:id="389" w:name="_Toc30692674"/>
      <w:bookmarkStart w:id="390" w:name="_Toc30693053"/>
      <w:bookmarkStart w:id="391" w:name="_Toc30693431"/>
      <w:bookmarkStart w:id="392" w:name="_Toc30693810"/>
      <w:bookmarkStart w:id="393" w:name="_Toc30694191"/>
      <w:bookmarkStart w:id="394" w:name="_Toc30698780"/>
      <w:bookmarkStart w:id="395" w:name="_Toc30699158"/>
      <w:bookmarkStart w:id="396" w:name="_Toc30699543"/>
      <w:bookmarkStart w:id="397" w:name="_Toc30700698"/>
      <w:bookmarkStart w:id="398" w:name="_Toc30701085"/>
      <w:bookmarkStart w:id="399" w:name="_Toc30743694"/>
      <w:bookmarkStart w:id="400" w:name="_Toc30754516"/>
      <w:bookmarkStart w:id="401" w:name="_Toc30756956"/>
      <w:bookmarkStart w:id="402" w:name="_Toc30757505"/>
      <w:bookmarkStart w:id="403" w:name="_Toc30757905"/>
      <w:bookmarkStart w:id="404" w:name="_Toc30762666"/>
      <w:bookmarkStart w:id="405" w:name="_Toc30767320"/>
      <w:bookmarkStart w:id="406" w:name="_Toc34823336"/>
      <w:bookmarkEnd w:id="368"/>
      <w:bookmarkEnd w:id="369"/>
      <w:r>
        <w:rPr>
          <w:rFonts w:ascii="Arial" w:hAnsi="Arial" w:cs="Arial"/>
          <w:b/>
          <w:bCs/>
          <w:sz w:val="20"/>
        </w:rPr>
        <w:t>3.4.</w:t>
      </w:r>
      <w:r w:rsidR="009D29CA">
        <w:rPr>
          <w:rFonts w:ascii="Arial" w:hAnsi="Arial" w:cs="Arial"/>
          <w:b/>
          <w:bCs/>
          <w:sz w:val="20"/>
        </w:rPr>
        <w:t>4</w:t>
      </w:r>
      <w:r>
        <w:rPr>
          <w:rFonts w:ascii="Arial" w:hAnsi="Arial" w:cs="Arial"/>
          <w:b/>
          <w:bCs/>
          <w:sz w:val="20"/>
        </w:rPr>
        <w:tab/>
        <w:t>Interpreter</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586F6831" w14:textId="475D80DF" w:rsidR="006A0F25" w:rsidRDefault="00B21DA4" w:rsidP="00E6256A">
      <w:pPr>
        <w:jc w:val="both"/>
        <w:rPr>
          <w:rFonts w:ascii="Arial" w:hAnsi="Arial" w:cs="Arial"/>
          <w:sz w:val="20"/>
        </w:rPr>
      </w:pPr>
      <w:r>
        <w:rPr>
          <w:rFonts w:ascii="Arial" w:hAnsi="Arial" w:cs="Arial"/>
          <w:sz w:val="20"/>
        </w:rPr>
        <w:t xml:space="preserve">Section </w:t>
      </w:r>
      <w:r w:rsidR="001C1A58">
        <w:rPr>
          <w:rFonts w:ascii="Arial" w:hAnsi="Arial" w:cs="Arial"/>
          <w:sz w:val="20"/>
        </w:rPr>
        <w:t>526</w:t>
      </w:r>
      <w:r>
        <w:rPr>
          <w:rFonts w:ascii="Arial" w:hAnsi="Arial" w:cs="Arial"/>
          <w:sz w:val="20"/>
        </w:rPr>
        <w:t xml:space="preserve"> of the CY</w:t>
      </w:r>
      <w:r w:rsidR="001C1A58">
        <w:rPr>
          <w:rFonts w:ascii="Arial" w:hAnsi="Arial" w:cs="Arial"/>
          <w:sz w:val="20"/>
        </w:rPr>
        <w:t>F</w:t>
      </w:r>
      <w:r>
        <w:rPr>
          <w:rFonts w:ascii="Arial" w:hAnsi="Arial" w:cs="Arial"/>
          <w:sz w:val="20"/>
        </w:rPr>
        <w:t>A prohibits the Court from hearing and determining a proceeding without an interpreter if the Court is satisfied that a child, a parent or any other party to the proceeding has a difficulty in communicating in the English language that is sufficient to prevent him or her from understanding or participating in the proceeding.</w:t>
      </w:r>
    </w:p>
    <w:p w14:paraId="44FD0DA5" w14:textId="77777777" w:rsidR="006A0F25" w:rsidRDefault="006A0F25" w:rsidP="006A0F25">
      <w:pPr>
        <w:jc w:val="both"/>
        <w:rPr>
          <w:rFonts w:ascii="Arial" w:hAnsi="Arial" w:cs="Arial"/>
          <w:sz w:val="20"/>
        </w:rPr>
      </w:pPr>
    </w:p>
    <w:p w14:paraId="3B0157B8" w14:textId="77777777" w:rsidR="006A0F25" w:rsidRDefault="006A0F25" w:rsidP="006A0F25">
      <w:pPr>
        <w:jc w:val="both"/>
        <w:rPr>
          <w:rFonts w:ascii="Helvetica" w:hAnsi="Helvetica"/>
          <w:sz w:val="20"/>
        </w:rPr>
      </w:pPr>
      <w:r>
        <w:rPr>
          <w:rFonts w:ascii="Helvetica" w:hAnsi="Helvetica"/>
          <w:sz w:val="20"/>
        </w:rPr>
        <w:t xml:space="preserve">Speaking in the context of an appeal, Maxwell P, with whom Redlich JA &amp; Habersberger AJA agreed, said in </w:t>
      </w:r>
      <w:r w:rsidRPr="00CA0011">
        <w:rPr>
          <w:rFonts w:ascii="Helvetica" w:hAnsi="Helvetica"/>
          <w:i/>
          <w:sz w:val="20"/>
        </w:rPr>
        <w:t>R v Yasso</w:t>
      </w:r>
      <w:r>
        <w:rPr>
          <w:rFonts w:ascii="Helvetica" w:hAnsi="Helvetica"/>
          <w:sz w:val="20"/>
        </w:rPr>
        <w:t xml:space="preserve"> [2007] VSCA 306 at [5]:</w:t>
      </w:r>
    </w:p>
    <w:p w14:paraId="3D8F1372" w14:textId="77777777" w:rsidR="006A0F25" w:rsidRDefault="006A0F25" w:rsidP="006A0F25">
      <w:pPr>
        <w:spacing w:before="60"/>
        <w:ind w:left="454" w:right="454"/>
        <w:jc w:val="both"/>
        <w:rPr>
          <w:rFonts w:ascii="Arial" w:hAnsi="Arial" w:cs="Arial"/>
          <w:iCs/>
          <w:sz w:val="20"/>
        </w:rPr>
      </w:pPr>
      <w:r>
        <w:rPr>
          <w:rFonts w:ascii="Arial" w:hAnsi="Arial" w:cs="Arial"/>
          <w:iCs/>
          <w:sz w:val="20"/>
        </w:rPr>
        <w:t>“</w:t>
      </w:r>
      <w:r w:rsidRPr="00CA0011">
        <w:rPr>
          <w:rFonts w:ascii="Arial" w:hAnsi="Arial" w:cs="Arial"/>
          <w:sz w:val="20"/>
        </w:rPr>
        <w:t>It is, of course, an elementary requirement of natural justice that a defendant in criminal proceedings be able to participate fully, to present argument and answer questions, and to understand everything that i</w:t>
      </w:r>
      <w:r>
        <w:rPr>
          <w:rFonts w:ascii="Arial" w:hAnsi="Arial" w:cs="Arial"/>
          <w:sz w:val="20"/>
        </w:rPr>
        <w:t>s</w:t>
      </w:r>
      <w:r w:rsidRPr="00CA0011">
        <w:rPr>
          <w:rFonts w:ascii="Arial" w:hAnsi="Arial" w:cs="Arial"/>
          <w:sz w:val="20"/>
        </w:rPr>
        <w:t xml:space="preserve"> said by the bench and by opposing counsel.  For a non-English speaking</w:t>
      </w:r>
      <w:r w:rsidRPr="00CA0011">
        <w:rPr>
          <w:rFonts w:ascii="Arial" w:hAnsi="Arial" w:cs="Arial"/>
          <w:sz w:val="20"/>
          <w:szCs w:val="20"/>
        </w:rPr>
        <w:t xml:space="preserve"> defendant, accurate interpreting is vitally important.  See, for example, </w:t>
      </w:r>
      <w:r w:rsidRPr="00CA0011">
        <w:rPr>
          <w:rFonts w:ascii="Arial" w:hAnsi="Arial" w:cs="Arial"/>
          <w:i/>
          <w:sz w:val="20"/>
          <w:szCs w:val="20"/>
        </w:rPr>
        <w:t>R v Lee Kun</w:t>
      </w:r>
      <w:r w:rsidRPr="00CA0011">
        <w:rPr>
          <w:rFonts w:ascii="Arial" w:hAnsi="Arial" w:cs="Arial"/>
          <w:sz w:val="20"/>
          <w:szCs w:val="20"/>
        </w:rPr>
        <w:t xml:space="preserve"> [1916] 1 KB 337 (right of accused to an interpreter at trial); </w:t>
      </w:r>
      <w:r w:rsidRPr="00CA0011">
        <w:rPr>
          <w:rFonts w:ascii="Arial" w:hAnsi="Arial" w:cs="Arial"/>
          <w:i/>
          <w:iCs/>
          <w:sz w:val="20"/>
          <w:szCs w:val="20"/>
        </w:rPr>
        <w:t>Kunnath v The State</w:t>
      </w:r>
      <w:r w:rsidRPr="00CA0011">
        <w:rPr>
          <w:rFonts w:ascii="Arial" w:hAnsi="Arial" w:cs="Arial"/>
          <w:sz w:val="20"/>
          <w:szCs w:val="20"/>
        </w:rPr>
        <w:t xml:space="preserve"> </w:t>
      </w:r>
      <w:hyperlink r:id="rId43" w:tgtFrame="_parent" w:history="1">
        <w:r w:rsidRPr="00CA0011">
          <w:rPr>
            <w:rFonts w:ascii="Arial" w:hAnsi="Arial" w:cs="Arial"/>
            <w:sz w:val="20"/>
            <w:szCs w:val="20"/>
          </w:rPr>
          <w:t>[1993] 4 All ER 30</w:t>
        </w:r>
      </w:hyperlink>
      <w:r w:rsidRPr="00CA0011">
        <w:rPr>
          <w:rFonts w:ascii="Arial" w:hAnsi="Arial" w:cs="Arial"/>
          <w:sz w:val="20"/>
          <w:szCs w:val="20"/>
        </w:rPr>
        <w:t xml:space="preserve"> (incomplete interpretation at criminal trial); </w:t>
      </w:r>
      <w:r w:rsidRPr="00CA0011">
        <w:rPr>
          <w:rFonts w:ascii="Arial" w:hAnsi="Arial" w:cs="Arial"/>
          <w:i/>
          <w:sz w:val="20"/>
          <w:szCs w:val="20"/>
        </w:rPr>
        <w:t xml:space="preserve">Dietrich v R </w:t>
      </w:r>
      <w:r w:rsidRPr="00CA0011">
        <w:rPr>
          <w:rFonts w:ascii="Arial" w:hAnsi="Arial" w:cs="Arial"/>
          <w:sz w:val="20"/>
          <w:szCs w:val="20"/>
        </w:rPr>
        <w:t xml:space="preserve">(1992) 177 CLR 292 (right of accused to fair trial according to law); </w:t>
      </w:r>
      <w:r w:rsidRPr="00CA0011">
        <w:rPr>
          <w:rFonts w:ascii="Arial" w:hAnsi="Arial" w:cs="Arial"/>
          <w:i/>
          <w:iCs/>
          <w:sz w:val="20"/>
          <w:szCs w:val="20"/>
        </w:rPr>
        <w:t>R v Johnson</w:t>
      </w:r>
      <w:r w:rsidRPr="00CA0011">
        <w:rPr>
          <w:rFonts w:ascii="Arial" w:hAnsi="Arial" w:cs="Arial"/>
          <w:sz w:val="20"/>
          <w:szCs w:val="20"/>
        </w:rPr>
        <w:t xml:space="preserve"> (1986) 25 A Crim R 433 (whether a witness should have an interpreter); </w:t>
      </w:r>
      <w:r w:rsidRPr="00CA0011">
        <w:rPr>
          <w:rFonts w:ascii="Arial" w:hAnsi="Arial" w:cs="Arial"/>
          <w:i/>
          <w:iCs/>
          <w:sz w:val="20"/>
          <w:szCs w:val="20"/>
        </w:rPr>
        <w:t>R v Saraya</w:t>
      </w:r>
      <w:r w:rsidRPr="00CA0011">
        <w:rPr>
          <w:rFonts w:ascii="Arial" w:hAnsi="Arial" w:cs="Arial"/>
          <w:sz w:val="20"/>
          <w:szCs w:val="20"/>
        </w:rPr>
        <w:t xml:space="preserve"> (1993) 70 A Crim R 515 (deficient interpretation at criminal trial) cf </w:t>
      </w:r>
      <w:r w:rsidRPr="00CA0011">
        <w:rPr>
          <w:rFonts w:ascii="Arial" w:hAnsi="Arial" w:cs="Arial"/>
          <w:i/>
          <w:sz w:val="20"/>
          <w:szCs w:val="20"/>
        </w:rPr>
        <w:t>Fernando de la Espriella-Velasco v R</w:t>
      </w:r>
      <w:r w:rsidRPr="00CA0011">
        <w:rPr>
          <w:rFonts w:ascii="Arial" w:hAnsi="Arial" w:cs="Arial"/>
          <w:sz w:val="20"/>
          <w:szCs w:val="20"/>
        </w:rPr>
        <w:t xml:space="preserve"> [2006] WASCA 31 (requisite standard of interpretation at criminal trial).  See also </w:t>
      </w:r>
      <w:r w:rsidRPr="00CA0011">
        <w:rPr>
          <w:rFonts w:ascii="Arial" w:hAnsi="Arial" w:cs="Arial"/>
          <w:i/>
          <w:sz w:val="20"/>
          <w:szCs w:val="20"/>
        </w:rPr>
        <w:t>Charter of Human Rights &amp; Responsibilities Act 2006</w:t>
      </w:r>
      <w:r w:rsidRPr="00CA0011">
        <w:rPr>
          <w:rFonts w:ascii="Arial" w:hAnsi="Arial" w:cs="Arial"/>
          <w:sz w:val="20"/>
          <w:szCs w:val="20"/>
        </w:rPr>
        <w:t xml:space="preserve"> s 25(2)(i).</w:t>
      </w:r>
      <w:r>
        <w:rPr>
          <w:rFonts w:ascii="Arial" w:hAnsi="Arial" w:cs="Arial"/>
          <w:sz w:val="20"/>
        </w:rPr>
        <w:t>”</w:t>
      </w:r>
    </w:p>
    <w:p w14:paraId="34E9E1F1" w14:textId="77777777" w:rsidR="006A0F25" w:rsidRDefault="006A0F25" w:rsidP="006A0F25">
      <w:pPr>
        <w:jc w:val="both"/>
        <w:rPr>
          <w:rFonts w:ascii="Arial" w:hAnsi="Arial" w:cs="Arial"/>
          <w:sz w:val="20"/>
        </w:rPr>
      </w:pPr>
    </w:p>
    <w:p w14:paraId="78C83DD7" w14:textId="332CC110" w:rsidR="009659E4" w:rsidRDefault="004940A1">
      <w:pPr>
        <w:jc w:val="both"/>
        <w:rPr>
          <w:rFonts w:ascii="Arial" w:hAnsi="Arial" w:cs="Arial"/>
          <w:sz w:val="20"/>
        </w:rPr>
      </w:pPr>
      <w:r>
        <w:rPr>
          <w:rFonts w:ascii="Arial" w:hAnsi="Arial" w:cs="Arial"/>
          <w:sz w:val="20"/>
        </w:rPr>
        <w:t xml:space="preserve">See also </w:t>
      </w:r>
      <w:r w:rsidRPr="004940A1">
        <w:rPr>
          <w:rFonts w:ascii="Arial" w:hAnsi="Arial" w:cs="Arial"/>
          <w:i/>
          <w:iCs/>
          <w:sz w:val="20"/>
        </w:rPr>
        <w:t>Re East; ex parte Nguyen</w:t>
      </w:r>
      <w:r>
        <w:rPr>
          <w:rFonts w:ascii="Arial" w:hAnsi="Arial" w:cs="Arial"/>
          <w:sz w:val="20"/>
        </w:rPr>
        <w:t xml:space="preserve"> (1998) 196 CLR 354; [1998] HCA 73; </w:t>
      </w:r>
      <w:r w:rsidR="00A9329C" w:rsidRPr="00A9329C">
        <w:rPr>
          <w:rFonts w:ascii="Arial" w:hAnsi="Arial" w:cs="Arial"/>
          <w:i/>
          <w:iCs/>
          <w:sz w:val="20"/>
        </w:rPr>
        <w:t>Howard Nichols (a</w:t>
      </w:r>
      <w:r w:rsidR="00A9329C">
        <w:rPr>
          <w:rFonts w:ascii="Arial" w:hAnsi="Arial" w:cs="Arial"/>
          <w:i/>
          <w:iCs/>
          <w:sz w:val="20"/>
        </w:rPr>
        <w:t> </w:t>
      </w:r>
      <w:r w:rsidR="00A9329C" w:rsidRPr="00A9329C">
        <w:rPr>
          <w:rFonts w:ascii="Arial" w:hAnsi="Arial" w:cs="Arial"/>
          <w:i/>
          <w:iCs/>
          <w:sz w:val="20"/>
        </w:rPr>
        <w:t>pseudonym) v The Queen</w:t>
      </w:r>
      <w:r w:rsidR="00A9329C">
        <w:rPr>
          <w:rFonts w:ascii="Arial" w:hAnsi="Arial" w:cs="Arial"/>
          <w:sz w:val="20"/>
        </w:rPr>
        <w:t xml:space="preserve"> [2021] VSCA 273 at [47]-[60].</w:t>
      </w:r>
    </w:p>
    <w:p w14:paraId="59C97BAC" w14:textId="77777777" w:rsidR="009659E4" w:rsidRDefault="009659E4">
      <w:pPr>
        <w:jc w:val="both"/>
        <w:rPr>
          <w:rFonts w:ascii="Arial" w:hAnsi="Arial" w:cs="Arial"/>
          <w:sz w:val="20"/>
        </w:rPr>
      </w:pPr>
    </w:p>
    <w:p w14:paraId="04461DF9" w14:textId="7717AD15" w:rsidR="00BD3BA0" w:rsidRDefault="00BD3BA0">
      <w:pPr>
        <w:jc w:val="both"/>
        <w:rPr>
          <w:rFonts w:ascii="Arial" w:hAnsi="Arial" w:cs="Arial"/>
          <w:sz w:val="20"/>
        </w:rPr>
      </w:pPr>
      <w:r w:rsidRPr="001138E0">
        <w:rPr>
          <w:rFonts w:ascii="Arial" w:hAnsi="Arial" w:cs="Arial"/>
          <w:sz w:val="20"/>
          <w:szCs w:val="20"/>
        </w:rPr>
        <w:t xml:space="preserve">The role of a court interpreter </w:t>
      </w:r>
      <w:r>
        <w:rPr>
          <w:rFonts w:ascii="Arial" w:hAnsi="Arial" w:cs="Arial"/>
          <w:sz w:val="20"/>
          <w:szCs w:val="20"/>
        </w:rPr>
        <w:t>and the effect of an alleged mistranslation were</w:t>
      </w:r>
      <w:r w:rsidRPr="001138E0">
        <w:rPr>
          <w:rFonts w:ascii="Arial" w:hAnsi="Arial" w:cs="Arial"/>
          <w:sz w:val="20"/>
          <w:szCs w:val="20"/>
        </w:rPr>
        <w:t xml:space="preserve"> </w:t>
      </w:r>
      <w:r>
        <w:rPr>
          <w:rFonts w:ascii="Arial" w:hAnsi="Arial" w:cs="Arial"/>
          <w:sz w:val="20"/>
          <w:szCs w:val="20"/>
        </w:rPr>
        <w:t>explained</w:t>
      </w:r>
      <w:r w:rsidRPr="001138E0">
        <w:rPr>
          <w:rFonts w:ascii="Arial" w:hAnsi="Arial" w:cs="Arial"/>
          <w:sz w:val="20"/>
          <w:szCs w:val="20"/>
        </w:rPr>
        <w:t xml:space="preserve"> by the High Court in </w:t>
      </w:r>
      <w:r w:rsidRPr="001138E0">
        <w:rPr>
          <w:rFonts w:ascii="Arial" w:hAnsi="Arial" w:cs="Arial"/>
          <w:i/>
          <w:iCs/>
          <w:sz w:val="20"/>
          <w:szCs w:val="20"/>
        </w:rPr>
        <w:t>DVO16 v Minister for Immigration and Border Protection; BNB17 v Minister for Immigration and Border Protection</w:t>
      </w:r>
      <w:r w:rsidRPr="001138E0">
        <w:rPr>
          <w:rFonts w:ascii="Arial" w:hAnsi="Arial" w:cs="Arial"/>
          <w:sz w:val="20"/>
          <w:szCs w:val="20"/>
        </w:rPr>
        <w:t xml:space="preserve"> [2021] HCA 12 at [</w:t>
      </w:r>
      <w:proofErr w:type="gramStart"/>
      <w:r>
        <w:rPr>
          <w:rFonts w:ascii="Arial" w:hAnsi="Arial" w:cs="Arial"/>
          <w:sz w:val="20"/>
          <w:szCs w:val="20"/>
        </w:rPr>
        <w:t>4</w:t>
      </w:r>
      <w:r w:rsidRPr="001138E0">
        <w:rPr>
          <w:rFonts w:ascii="Arial" w:hAnsi="Arial" w:cs="Arial"/>
          <w:sz w:val="20"/>
          <w:szCs w:val="20"/>
        </w:rPr>
        <w:t>]</w:t>
      </w:r>
      <w:r>
        <w:rPr>
          <w:rFonts w:ascii="Arial" w:hAnsi="Arial" w:cs="Arial"/>
          <w:sz w:val="20"/>
          <w:szCs w:val="20"/>
        </w:rPr>
        <w:noBreakHyphen/>
      </w:r>
      <w:proofErr w:type="gramEnd"/>
      <w:r w:rsidRPr="001138E0">
        <w:rPr>
          <w:rFonts w:ascii="Arial" w:hAnsi="Arial" w:cs="Arial"/>
          <w:sz w:val="20"/>
          <w:szCs w:val="20"/>
        </w:rPr>
        <w:t>[</w:t>
      </w:r>
      <w:r>
        <w:rPr>
          <w:rFonts w:ascii="Arial" w:hAnsi="Arial" w:cs="Arial"/>
          <w:sz w:val="20"/>
          <w:szCs w:val="20"/>
        </w:rPr>
        <w:t>8</w:t>
      </w:r>
      <w:r w:rsidRPr="001138E0">
        <w:rPr>
          <w:rFonts w:ascii="Arial" w:hAnsi="Arial" w:cs="Arial"/>
          <w:sz w:val="20"/>
          <w:szCs w:val="20"/>
        </w:rPr>
        <w:t>]</w:t>
      </w:r>
      <w:r>
        <w:rPr>
          <w:rFonts w:ascii="Arial" w:hAnsi="Arial" w:cs="Arial"/>
          <w:sz w:val="20"/>
          <w:szCs w:val="20"/>
        </w:rPr>
        <w:t xml:space="preserve"> as follows (</w:t>
      </w:r>
      <w:r w:rsidR="00FB31EB">
        <w:rPr>
          <w:rFonts w:ascii="Arial" w:hAnsi="Arial" w:cs="Arial"/>
          <w:sz w:val="20"/>
          <w:szCs w:val="20"/>
        </w:rPr>
        <w:t>some</w:t>
      </w:r>
      <w:r>
        <w:rPr>
          <w:rFonts w:ascii="Arial" w:hAnsi="Arial" w:cs="Arial"/>
          <w:sz w:val="20"/>
          <w:szCs w:val="20"/>
        </w:rPr>
        <w:t xml:space="preserve"> citations omitted):</w:t>
      </w:r>
    </w:p>
    <w:p w14:paraId="2336633A" w14:textId="302546C4" w:rsidR="00BD3BA0" w:rsidRDefault="00BD3BA0" w:rsidP="00201B53">
      <w:pPr>
        <w:spacing w:before="60"/>
        <w:ind w:left="454" w:right="454"/>
        <w:jc w:val="both"/>
        <w:rPr>
          <w:rFonts w:ascii="Arial" w:hAnsi="Arial" w:cs="Arial"/>
          <w:sz w:val="20"/>
          <w:szCs w:val="20"/>
        </w:rPr>
      </w:pPr>
      <w:r>
        <w:rPr>
          <w:rFonts w:ascii="Arial" w:hAnsi="Arial" w:cs="Arial"/>
          <w:iCs/>
          <w:sz w:val="20"/>
        </w:rPr>
        <w:t>[4] “</w:t>
      </w:r>
      <w:r w:rsidRPr="00BD3BA0">
        <w:rPr>
          <w:rFonts w:ascii="Arial" w:hAnsi="Arial" w:cs="Arial"/>
          <w:sz w:val="20"/>
          <w:szCs w:val="20"/>
        </w:rPr>
        <w:t>The function of translation in a curial or administrative setting is interpretation of communications as accurately and completely as possible. The process of interpretation involves comprehension of words spoken or written in a source language, conversion to a target language, and delivery in a manner faithful both to the content of the words and to the register and style of the speaker or writer. That, at least, is the ideal.</w:t>
      </w:r>
    </w:p>
    <w:p w14:paraId="1560947A" w14:textId="01E4299E" w:rsidR="002D645A" w:rsidRDefault="002D645A" w:rsidP="002D645A">
      <w:pPr>
        <w:spacing w:before="60"/>
        <w:ind w:left="454" w:right="454"/>
        <w:jc w:val="both"/>
        <w:rPr>
          <w:rFonts w:ascii="Arial" w:hAnsi="Arial" w:cs="Arial"/>
          <w:sz w:val="20"/>
          <w:szCs w:val="20"/>
        </w:rPr>
      </w:pPr>
      <w:r>
        <w:rPr>
          <w:rFonts w:ascii="Arial" w:hAnsi="Arial" w:cs="Arial"/>
          <w:iCs/>
          <w:sz w:val="20"/>
        </w:rPr>
        <w:t xml:space="preserve">[5] </w:t>
      </w:r>
      <w:r w:rsidRPr="002D645A">
        <w:rPr>
          <w:rFonts w:ascii="Arial" w:hAnsi="Arial" w:cs="Arial"/>
          <w:sz w:val="20"/>
          <w:szCs w:val="20"/>
        </w:rPr>
        <w:t xml:space="preserve">Long past is the time when an interpreter might have been thought to be appropriately described as a </w:t>
      </w:r>
      <w:r>
        <w:rPr>
          <w:rFonts w:ascii="Arial" w:hAnsi="Arial" w:cs="Arial"/>
          <w:sz w:val="20"/>
          <w:szCs w:val="20"/>
        </w:rPr>
        <w:t>‘</w:t>
      </w:r>
      <w:r w:rsidRPr="002D645A">
        <w:rPr>
          <w:rFonts w:ascii="Arial" w:hAnsi="Arial" w:cs="Arial"/>
          <w:sz w:val="20"/>
          <w:szCs w:val="20"/>
        </w:rPr>
        <w:t>translating machine</w:t>
      </w:r>
      <w:r>
        <w:rPr>
          <w:rFonts w:ascii="Arial" w:hAnsi="Arial" w:cs="Arial"/>
          <w:sz w:val="20"/>
          <w:szCs w:val="20"/>
        </w:rPr>
        <w:t>’</w:t>
      </w:r>
      <w:r w:rsidRPr="002D645A">
        <w:rPr>
          <w:rFonts w:ascii="Arial" w:hAnsi="Arial" w:cs="Arial"/>
          <w:sz w:val="20"/>
          <w:szCs w:val="20"/>
        </w:rPr>
        <w:t xml:space="preserve"> or </w:t>
      </w:r>
      <w:r>
        <w:rPr>
          <w:rFonts w:ascii="Arial" w:hAnsi="Arial" w:cs="Arial"/>
          <w:sz w:val="20"/>
          <w:szCs w:val="20"/>
        </w:rPr>
        <w:t>‘</w:t>
      </w:r>
      <w:r w:rsidRPr="002D645A">
        <w:rPr>
          <w:rFonts w:ascii="Arial" w:hAnsi="Arial" w:cs="Arial"/>
          <w:sz w:val="20"/>
          <w:szCs w:val="20"/>
        </w:rPr>
        <w:t>bilingual transmitter</w:t>
      </w:r>
      <w:r>
        <w:rPr>
          <w:rFonts w:ascii="Arial" w:hAnsi="Arial" w:cs="Arial"/>
          <w:sz w:val="20"/>
          <w:szCs w:val="20"/>
        </w:rPr>
        <w:t>’</w:t>
      </w:r>
      <w:r w:rsidRPr="002D645A">
        <w:rPr>
          <w:rFonts w:ascii="Arial" w:hAnsi="Arial" w:cs="Arial"/>
          <w:sz w:val="20"/>
          <w:szCs w:val="20"/>
        </w:rPr>
        <w:t xml:space="preserve"> performing a function </w:t>
      </w:r>
      <w:r>
        <w:rPr>
          <w:rFonts w:ascii="Arial" w:hAnsi="Arial" w:cs="Arial"/>
          <w:sz w:val="20"/>
          <w:szCs w:val="20"/>
        </w:rPr>
        <w:t>‘</w:t>
      </w:r>
      <w:r w:rsidRPr="002D645A">
        <w:rPr>
          <w:rFonts w:ascii="Arial" w:hAnsi="Arial" w:cs="Arial"/>
          <w:sz w:val="20"/>
          <w:szCs w:val="20"/>
        </w:rPr>
        <w:t xml:space="preserve">not different in principle from that which in another case an electrical instrument might fulfil in overcoming the barrier of distance’: </w:t>
      </w:r>
      <w:r w:rsidRPr="002D645A">
        <w:rPr>
          <w:rFonts w:ascii="Arial" w:hAnsi="Arial" w:cs="Arial"/>
          <w:i/>
          <w:sz w:val="20"/>
          <w:szCs w:val="20"/>
        </w:rPr>
        <w:t>Gaio v The Queen</w:t>
      </w:r>
      <w:r w:rsidRPr="002D645A">
        <w:rPr>
          <w:rFonts w:ascii="Arial" w:hAnsi="Arial" w:cs="Arial"/>
          <w:sz w:val="20"/>
          <w:szCs w:val="20"/>
        </w:rPr>
        <w:t xml:space="preserve"> (1960) 104 CLR 419 at 430-431. See</w:t>
      </w:r>
      <w:r>
        <w:rPr>
          <w:rFonts w:ascii="Arial" w:hAnsi="Arial" w:cs="Arial"/>
          <w:sz w:val="20"/>
          <w:szCs w:val="20"/>
        </w:rPr>
        <w:t> </w:t>
      </w:r>
      <w:r w:rsidRPr="002D645A">
        <w:rPr>
          <w:rFonts w:ascii="Arial" w:hAnsi="Arial" w:cs="Arial"/>
          <w:sz w:val="20"/>
          <w:szCs w:val="20"/>
        </w:rPr>
        <w:t>also at 429, 432-433.</w:t>
      </w:r>
      <w:r>
        <w:rPr>
          <w:rFonts w:ascii="Arial" w:hAnsi="Arial" w:cs="Arial"/>
          <w:sz w:val="20"/>
          <w:szCs w:val="20"/>
        </w:rPr>
        <w:t xml:space="preserve">  </w:t>
      </w:r>
      <w:r w:rsidRPr="002D645A">
        <w:rPr>
          <w:rFonts w:ascii="Arial" w:hAnsi="Arial" w:cs="Arial"/>
          <w:sz w:val="20"/>
          <w:szCs w:val="20"/>
        </w:rPr>
        <w:t xml:space="preserve">More accurate is to conceive of an interpreter as a </w:t>
      </w:r>
      <w:r>
        <w:rPr>
          <w:rFonts w:ascii="Arial" w:hAnsi="Arial" w:cs="Arial"/>
          <w:sz w:val="20"/>
          <w:szCs w:val="20"/>
        </w:rPr>
        <w:t>‘</w:t>
      </w:r>
      <w:r w:rsidRPr="002D645A">
        <w:rPr>
          <w:rFonts w:ascii="Arial" w:hAnsi="Arial" w:cs="Arial"/>
          <w:sz w:val="20"/>
          <w:szCs w:val="20"/>
        </w:rPr>
        <w:t>bilingual mediating agent between monolingual communication participants in two different language communities</w:t>
      </w:r>
      <w:r>
        <w:rPr>
          <w:rFonts w:ascii="Arial" w:hAnsi="Arial" w:cs="Arial"/>
          <w:sz w:val="20"/>
          <w:szCs w:val="20"/>
        </w:rPr>
        <w:t>’</w:t>
      </w:r>
      <w:r w:rsidRPr="002D645A">
        <w:rPr>
          <w:rFonts w:ascii="Arial" w:hAnsi="Arial" w:cs="Arial"/>
          <w:sz w:val="20"/>
          <w:szCs w:val="20"/>
        </w:rPr>
        <w:t xml:space="preserve"> and to recognise that </w:t>
      </w:r>
      <w:r>
        <w:rPr>
          <w:rFonts w:ascii="Arial" w:hAnsi="Arial" w:cs="Arial"/>
          <w:sz w:val="20"/>
          <w:szCs w:val="20"/>
        </w:rPr>
        <w:t>‘</w:t>
      </w:r>
      <w:r w:rsidRPr="002D645A">
        <w:rPr>
          <w:rFonts w:ascii="Arial" w:hAnsi="Arial" w:cs="Arial"/>
          <w:sz w:val="20"/>
          <w:szCs w:val="20"/>
        </w:rPr>
        <w:t>total equivalence</w:t>
      </w:r>
      <w:r>
        <w:rPr>
          <w:rFonts w:ascii="Arial" w:hAnsi="Arial" w:cs="Arial"/>
          <w:sz w:val="20"/>
          <w:szCs w:val="20"/>
        </w:rPr>
        <w:t>’</w:t>
      </w:r>
      <w:r w:rsidRPr="002D645A">
        <w:rPr>
          <w:rFonts w:ascii="Arial" w:hAnsi="Arial" w:cs="Arial"/>
          <w:sz w:val="20"/>
          <w:szCs w:val="20"/>
        </w:rPr>
        <w:t xml:space="preserve"> between words spoken or written in a source language and words translated into a target language is a </w:t>
      </w:r>
      <w:r>
        <w:rPr>
          <w:rFonts w:ascii="Arial" w:hAnsi="Arial" w:cs="Arial"/>
          <w:sz w:val="20"/>
          <w:szCs w:val="20"/>
        </w:rPr>
        <w:t>‘</w:t>
      </w:r>
      <w:r w:rsidRPr="002D645A">
        <w:rPr>
          <w:rFonts w:ascii="Arial" w:hAnsi="Arial" w:cs="Arial"/>
          <w:sz w:val="20"/>
          <w:szCs w:val="20"/>
        </w:rPr>
        <w:t>chimera</w:t>
      </w:r>
      <w:r>
        <w:rPr>
          <w:rFonts w:ascii="Arial" w:hAnsi="Arial" w:cs="Arial"/>
          <w:sz w:val="20"/>
          <w:szCs w:val="20"/>
        </w:rPr>
        <w:t>’</w:t>
      </w:r>
      <w:r w:rsidRPr="002D645A">
        <w:rPr>
          <w:rFonts w:ascii="Arial" w:hAnsi="Arial" w:cs="Arial"/>
          <w:sz w:val="20"/>
          <w:szCs w:val="20"/>
        </w:rPr>
        <w:t xml:space="preserve">. Translation is not a </w:t>
      </w:r>
      <w:r>
        <w:rPr>
          <w:rFonts w:ascii="Arial" w:hAnsi="Arial" w:cs="Arial"/>
          <w:sz w:val="20"/>
          <w:szCs w:val="20"/>
        </w:rPr>
        <w:t>‘</w:t>
      </w:r>
      <w:r w:rsidRPr="002D645A">
        <w:rPr>
          <w:rFonts w:ascii="Arial" w:hAnsi="Arial" w:cs="Arial"/>
          <w:sz w:val="20"/>
          <w:szCs w:val="20"/>
        </w:rPr>
        <w:t>simple word-matching exercise</w:t>
      </w:r>
      <w:r>
        <w:rPr>
          <w:rFonts w:ascii="Arial" w:hAnsi="Arial" w:cs="Arial"/>
          <w:sz w:val="20"/>
          <w:szCs w:val="20"/>
        </w:rPr>
        <w:t>’</w:t>
      </w:r>
      <w:r w:rsidRPr="002D645A">
        <w:rPr>
          <w:rFonts w:ascii="Arial" w:hAnsi="Arial" w:cs="Arial"/>
          <w:sz w:val="20"/>
          <w:szCs w:val="20"/>
        </w:rPr>
        <w:t xml:space="preserve"> but </w:t>
      </w:r>
      <w:r>
        <w:rPr>
          <w:rFonts w:ascii="Arial" w:hAnsi="Arial" w:cs="Arial"/>
          <w:sz w:val="20"/>
          <w:szCs w:val="20"/>
        </w:rPr>
        <w:t>‘</w:t>
      </w:r>
      <w:r w:rsidRPr="002D645A">
        <w:rPr>
          <w:rFonts w:ascii="Arial" w:hAnsi="Arial" w:cs="Arial"/>
          <w:sz w:val="20"/>
          <w:szCs w:val="20"/>
        </w:rPr>
        <w:t>a difficult and sophisticated art</w:t>
      </w:r>
      <w:r>
        <w:rPr>
          <w:rFonts w:ascii="Arial" w:hAnsi="Arial" w:cs="Arial"/>
          <w:sz w:val="20"/>
          <w:szCs w:val="20"/>
        </w:rPr>
        <w:t>’</w:t>
      </w:r>
      <w:r w:rsidRPr="002D645A">
        <w:rPr>
          <w:rFonts w:ascii="Arial" w:hAnsi="Arial" w:cs="Arial"/>
          <w:sz w:val="20"/>
          <w:szCs w:val="20"/>
        </w:rPr>
        <w:t xml:space="preserve"> which, </w:t>
      </w:r>
      <w:r>
        <w:rPr>
          <w:rFonts w:ascii="Arial" w:hAnsi="Arial" w:cs="Arial"/>
          <w:sz w:val="20"/>
          <w:szCs w:val="20"/>
        </w:rPr>
        <w:t>‘</w:t>
      </w:r>
      <w:r w:rsidRPr="002D645A">
        <w:rPr>
          <w:rFonts w:ascii="Arial" w:hAnsi="Arial" w:cs="Arial"/>
          <w:sz w:val="20"/>
          <w:szCs w:val="20"/>
        </w:rPr>
        <w:t xml:space="preserve">[t]o be done </w:t>
      </w:r>
      <w:r w:rsidRPr="002D645A">
        <w:rPr>
          <w:rFonts w:ascii="Arial" w:hAnsi="Arial" w:cs="Arial"/>
          <w:sz w:val="20"/>
          <w:szCs w:val="20"/>
        </w:rPr>
        <w:lastRenderedPageBreak/>
        <w:t>well</w:t>
      </w:r>
      <w:r>
        <w:rPr>
          <w:rFonts w:ascii="Arial" w:hAnsi="Arial" w:cs="Arial"/>
          <w:sz w:val="20"/>
          <w:szCs w:val="20"/>
        </w:rPr>
        <w:t>’</w:t>
      </w:r>
      <w:r w:rsidRPr="002D645A">
        <w:rPr>
          <w:rFonts w:ascii="Arial" w:hAnsi="Arial" w:cs="Arial"/>
          <w:sz w:val="20"/>
          <w:szCs w:val="20"/>
        </w:rPr>
        <w:t xml:space="preserve">, </w:t>
      </w:r>
      <w:r>
        <w:rPr>
          <w:rFonts w:ascii="Arial" w:hAnsi="Arial" w:cs="Arial"/>
          <w:sz w:val="20"/>
          <w:szCs w:val="20"/>
        </w:rPr>
        <w:t>‘</w:t>
      </w:r>
      <w:r w:rsidRPr="002D645A">
        <w:rPr>
          <w:rFonts w:ascii="Arial" w:hAnsi="Arial" w:cs="Arial"/>
          <w:sz w:val="20"/>
          <w:szCs w:val="20"/>
        </w:rPr>
        <w:t>requires not only linguistic sophistication and sensitivity to 'minor' linguistic details (which may be correlated with vast differences in conceptualization), but also an intimate knowledge of the cultures associated with the language in question, of the social and political organization of the relevant countries, and of the world-views and life styles reflected in the linguistic structure</w:t>
      </w:r>
      <w:r>
        <w:rPr>
          <w:rFonts w:ascii="Arial" w:hAnsi="Arial" w:cs="Arial"/>
          <w:sz w:val="20"/>
          <w:szCs w:val="20"/>
        </w:rPr>
        <w:t>’</w:t>
      </w:r>
      <w:r w:rsidRPr="002D645A">
        <w:rPr>
          <w:rFonts w:ascii="Arial" w:hAnsi="Arial" w:cs="Arial"/>
          <w:sz w:val="20"/>
          <w:szCs w:val="20"/>
        </w:rPr>
        <w:t>.</w:t>
      </w:r>
    </w:p>
    <w:p w14:paraId="291D4115" w14:textId="3C5B2800" w:rsidR="002D645A" w:rsidRDefault="002D645A" w:rsidP="002D645A">
      <w:pPr>
        <w:spacing w:before="60"/>
        <w:ind w:left="454" w:right="454"/>
        <w:jc w:val="both"/>
        <w:rPr>
          <w:rFonts w:ascii="Arial" w:hAnsi="Arial" w:cs="Arial"/>
          <w:sz w:val="20"/>
          <w:szCs w:val="20"/>
        </w:rPr>
      </w:pPr>
      <w:r>
        <w:rPr>
          <w:rFonts w:ascii="Arial" w:hAnsi="Arial" w:cs="Arial"/>
          <w:sz w:val="20"/>
          <w:szCs w:val="20"/>
        </w:rPr>
        <w:t xml:space="preserve">[6] </w:t>
      </w:r>
      <w:r w:rsidRPr="002D645A">
        <w:rPr>
          <w:rFonts w:ascii="Arial" w:hAnsi="Arial" w:cs="Arial"/>
          <w:sz w:val="20"/>
          <w:szCs w:val="20"/>
        </w:rPr>
        <w:t xml:space="preserve">Professor Wigmore noted the </w:t>
      </w:r>
      <w:r>
        <w:rPr>
          <w:rFonts w:ascii="Arial" w:hAnsi="Arial" w:cs="Arial"/>
          <w:sz w:val="20"/>
          <w:szCs w:val="20"/>
        </w:rPr>
        <w:t>‘</w:t>
      </w:r>
      <w:r w:rsidRPr="002D645A">
        <w:rPr>
          <w:rFonts w:ascii="Arial" w:hAnsi="Arial" w:cs="Arial"/>
          <w:sz w:val="20"/>
          <w:szCs w:val="20"/>
        </w:rPr>
        <w:t>peculiarity</w:t>
      </w:r>
      <w:r>
        <w:rPr>
          <w:rFonts w:ascii="Arial" w:hAnsi="Arial" w:cs="Arial"/>
          <w:sz w:val="20"/>
          <w:szCs w:val="20"/>
        </w:rPr>
        <w:t>’</w:t>
      </w:r>
      <w:r w:rsidRPr="002D645A">
        <w:rPr>
          <w:rFonts w:ascii="Arial" w:hAnsi="Arial" w:cs="Arial"/>
          <w:sz w:val="20"/>
          <w:szCs w:val="20"/>
        </w:rPr>
        <w:t xml:space="preserve"> of language that </w:t>
      </w:r>
      <w:r>
        <w:rPr>
          <w:rFonts w:ascii="Arial" w:hAnsi="Arial" w:cs="Arial"/>
          <w:sz w:val="20"/>
          <w:szCs w:val="20"/>
        </w:rPr>
        <w:t>‘</w:t>
      </w:r>
      <w:r w:rsidRPr="002D645A">
        <w:rPr>
          <w:rFonts w:ascii="Arial" w:hAnsi="Arial" w:cs="Arial"/>
          <w:sz w:val="20"/>
          <w:szCs w:val="20"/>
        </w:rPr>
        <w:t>the most perfect system of signs, the most richly developed language, leads only to a partial comprehension ... whose degree of completeness depends upon the nature of the subject treated, and the acquaintance of the hearer with the mental and moral character of the speaker</w:t>
      </w:r>
      <w:r>
        <w:rPr>
          <w:rFonts w:ascii="Arial" w:hAnsi="Arial" w:cs="Arial"/>
          <w:sz w:val="20"/>
          <w:szCs w:val="20"/>
        </w:rPr>
        <w:t>’</w:t>
      </w:r>
      <w:r w:rsidRPr="002D645A">
        <w:rPr>
          <w:rFonts w:ascii="Arial" w:hAnsi="Arial" w:cs="Arial"/>
          <w:sz w:val="20"/>
          <w:szCs w:val="20"/>
        </w:rPr>
        <w:t xml:space="preserve">. Imperfections in communication arising out of mistranslation of words spoken or written in one language into another language are inherent in the human condition, as are imperfections in communication arising out of misuse or misunderstanding of words spoken or written in a common language. ‘Perfect interpretations’ simply ‘do not exist’: see </w:t>
      </w:r>
      <w:r w:rsidRPr="002D645A">
        <w:rPr>
          <w:rFonts w:ascii="Arial" w:hAnsi="Arial" w:cs="Arial"/>
          <w:i/>
          <w:sz w:val="20"/>
          <w:szCs w:val="20"/>
        </w:rPr>
        <w:t>Perera v Minister for Immigration and Multicultural Affairs</w:t>
      </w:r>
      <w:r w:rsidRPr="002D645A">
        <w:rPr>
          <w:rFonts w:ascii="Arial" w:hAnsi="Arial" w:cs="Arial"/>
          <w:sz w:val="20"/>
          <w:szCs w:val="20"/>
        </w:rPr>
        <w:t xml:space="preserve"> (1999) 92 FCR 6 at 18 [26].</w:t>
      </w:r>
    </w:p>
    <w:p w14:paraId="3D1BDBB5" w14:textId="75E3C94C" w:rsidR="002D645A" w:rsidRDefault="002D645A" w:rsidP="002D645A">
      <w:pPr>
        <w:spacing w:before="60"/>
        <w:ind w:left="454" w:right="454"/>
        <w:jc w:val="both"/>
        <w:rPr>
          <w:rFonts w:ascii="Arial" w:hAnsi="Arial" w:cs="Arial"/>
          <w:sz w:val="20"/>
          <w:szCs w:val="20"/>
        </w:rPr>
      </w:pPr>
      <w:r>
        <w:rPr>
          <w:rFonts w:ascii="Arial" w:hAnsi="Arial" w:cs="Arial"/>
          <w:sz w:val="20"/>
          <w:szCs w:val="20"/>
        </w:rPr>
        <w:t xml:space="preserve">[7] </w:t>
      </w:r>
      <w:r w:rsidRPr="002D645A">
        <w:rPr>
          <w:rFonts w:ascii="Arial" w:hAnsi="Arial" w:cs="Arial"/>
          <w:sz w:val="20"/>
          <w:szCs w:val="20"/>
        </w:rPr>
        <w:t>Unsurprisingly therefore, questions not infrequently arise as to the effect of mistranslation on curial or administrative outcomes. Those questions cannot be answered through the application of a simple or uniform mode of analysis.</w:t>
      </w:r>
    </w:p>
    <w:p w14:paraId="7E46750D" w14:textId="3B8C1ACE" w:rsidR="002D645A" w:rsidRPr="004C0561" w:rsidRDefault="002D645A" w:rsidP="002D645A">
      <w:pPr>
        <w:spacing w:before="60"/>
        <w:ind w:left="454" w:right="454"/>
        <w:jc w:val="both"/>
        <w:rPr>
          <w:rFonts w:ascii="Arial" w:hAnsi="Arial" w:cs="Arial"/>
          <w:sz w:val="20"/>
          <w:szCs w:val="20"/>
        </w:rPr>
      </w:pPr>
      <w:r>
        <w:rPr>
          <w:rFonts w:ascii="Arial" w:hAnsi="Arial" w:cs="Arial"/>
          <w:sz w:val="20"/>
          <w:szCs w:val="20"/>
        </w:rPr>
        <w:t xml:space="preserve">[8] </w:t>
      </w:r>
      <w:r w:rsidRPr="002D645A">
        <w:rPr>
          <w:rFonts w:ascii="Arial" w:hAnsi="Arial" w:cs="Arial"/>
          <w:sz w:val="20"/>
          <w:szCs w:val="20"/>
        </w:rPr>
        <w:t>Whether and if so in what circumstances mistranslation might result in invalidity of an administrative decision turns necessarily on whether and if so in what circumstances mistranslation might result in non-compliance with a condition expressed in or implied into the statute which authorises the decision</w:t>
      </w:r>
      <w:r>
        <w:rPr>
          <w:rFonts w:ascii="Arial" w:hAnsi="Arial" w:cs="Arial"/>
          <w:sz w:val="20"/>
          <w:szCs w:val="20"/>
        </w:rPr>
        <w:t>-</w:t>
      </w:r>
      <w:r w:rsidRPr="002D645A">
        <w:rPr>
          <w:rFonts w:ascii="Arial" w:hAnsi="Arial" w:cs="Arial"/>
          <w:sz w:val="20"/>
          <w:szCs w:val="20"/>
        </w:rPr>
        <w:t xml:space="preserve">making process and sets the limits of decision-making authority: </w:t>
      </w:r>
      <w:r w:rsidRPr="002D645A">
        <w:rPr>
          <w:rFonts w:ascii="Arial" w:hAnsi="Arial" w:cs="Arial"/>
          <w:i/>
          <w:sz w:val="20"/>
          <w:szCs w:val="20"/>
        </w:rPr>
        <w:t>Hossain v Minister for Immigration and Border Protection</w:t>
      </w:r>
      <w:r w:rsidRPr="002D645A">
        <w:rPr>
          <w:rFonts w:ascii="Arial" w:hAnsi="Arial" w:cs="Arial"/>
          <w:sz w:val="20"/>
          <w:szCs w:val="20"/>
        </w:rPr>
        <w:t xml:space="preserve"> (2018) 264 CLR 123 at 132 [23], 145 [66]; </w:t>
      </w:r>
      <w:r w:rsidRPr="002D645A">
        <w:rPr>
          <w:rFonts w:ascii="Arial" w:hAnsi="Arial" w:cs="Arial"/>
          <w:i/>
          <w:sz w:val="20"/>
          <w:szCs w:val="20"/>
        </w:rPr>
        <w:t>Minister for Home Affairs v DUA16</w:t>
      </w:r>
      <w:r w:rsidRPr="002D645A">
        <w:rPr>
          <w:rFonts w:ascii="Arial" w:hAnsi="Arial" w:cs="Arial"/>
          <w:sz w:val="20"/>
          <w:szCs w:val="20"/>
        </w:rPr>
        <w:t xml:space="preserve"> (2020) 95 ALJR 54 at 59 [15]; 385 ALR 212 at 217. In a decision</w:t>
      </w:r>
      <w:r>
        <w:rPr>
          <w:rFonts w:ascii="Arial" w:hAnsi="Arial" w:cs="Arial"/>
          <w:sz w:val="20"/>
          <w:szCs w:val="20"/>
        </w:rPr>
        <w:t>-</w:t>
      </w:r>
      <w:r w:rsidRPr="002D645A">
        <w:rPr>
          <w:rFonts w:ascii="Arial" w:hAnsi="Arial" w:cs="Arial"/>
          <w:sz w:val="20"/>
          <w:szCs w:val="20"/>
        </w:rPr>
        <w:t xml:space="preserve">making process conditioned by a requirement to afford procedural fairness the content of which is implied by the common law, the effect of mistranslation on the resultant decision will turn on whether the mistranslation has resulted in </w:t>
      </w:r>
      <w:r w:rsidR="004C0561">
        <w:rPr>
          <w:rFonts w:ascii="Arial" w:hAnsi="Arial" w:cs="Arial"/>
          <w:sz w:val="20"/>
          <w:szCs w:val="20"/>
        </w:rPr>
        <w:t>‘</w:t>
      </w:r>
      <w:r w:rsidRPr="002D645A">
        <w:rPr>
          <w:rFonts w:ascii="Arial" w:hAnsi="Arial" w:cs="Arial"/>
          <w:sz w:val="20"/>
          <w:szCs w:val="20"/>
        </w:rPr>
        <w:t>unfairness</w:t>
      </w:r>
      <w:r w:rsidR="004C0561">
        <w:rPr>
          <w:rFonts w:ascii="Arial" w:hAnsi="Arial" w:cs="Arial"/>
          <w:sz w:val="20"/>
          <w:szCs w:val="20"/>
        </w:rPr>
        <w:t>’</w:t>
      </w:r>
      <w:r w:rsidRPr="002D645A">
        <w:rPr>
          <w:rFonts w:ascii="Arial" w:hAnsi="Arial" w:cs="Arial"/>
          <w:sz w:val="20"/>
          <w:szCs w:val="20"/>
        </w:rPr>
        <w:t xml:space="preserve"> in the </w:t>
      </w:r>
      <w:r w:rsidRPr="004C0561">
        <w:rPr>
          <w:rFonts w:ascii="Arial" w:hAnsi="Arial" w:cs="Arial"/>
          <w:sz w:val="20"/>
          <w:szCs w:val="20"/>
        </w:rPr>
        <w:t>decision-making process (</w:t>
      </w:r>
      <w:r w:rsidRPr="004C0561">
        <w:rPr>
          <w:rFonts w:ascii="Arial" w:hAnsi="Arial" w:cs="Arial"/>
          <w:i/>
          <w:sz w:val="20"/>
          <w:szCs w:val="20"/>
        </w:rPr>
        <w:t>SZRMQ v Minister for Immigration and Border Protection</w:t>
      </w:r>
      <w:r w:rsidRPr="004C0561">
        <w:rPr>
          <w:rFonts w:ascii="Arial" w:hAnsi="Arial" w:cs="Arial"/>
          <w:sz w:val="20"/>
          <w:szCs w:val="20"/>
        </w:rPr>
        <w:t xml:space="preserve"> (2013) 219 FCR 212 at 215-216 [9]-[10], 219 [24], 224-225 [46]-[48], 229-230 [65]-[75]</w:t>
      </w:r>
      <w:r w:rsidR="004C0561">
        <w:rPr>
          <w:rFonts w:ascii="Arial" w:hAnsi="Arial" w:cs="Arial"/>
          <w:sz w:val="20"/>
          <w:szCs w:val="20"/>
        </w:rPr>
        <w:t xml:space="preserve">) </w:t>
      </w:r>
      <w:r w:rsidRPr="004C0561">
        <w:rPr>
          <w:rFonts w:ascii="Arial" w:hAnsi="Arial" w:cs="Arial"/>
          <w:sz w:val="20"/>
          <w:szCs w:val="20"/>
        </w:rPr>
        <w:t xml:space="preserve">amounting to </w:t>
      </w:r>
      <w:r w:rsidR="004C0561">
        <w:rPr>
          <w:rFonts w:ascii="Arial" w:hAnsi="Arial" w:cs="Arial"/>
          <w:sz w:val="20"/>
          <w:szCs w:val="20"/>
        </w:rPr>
        <w:t>‘</w:t>
      </w:r>
      <w:r w:rsidRPr="004C0561">
        <w:rPr>
          <w:rFonts w:ascii="Arial" w:hAnsi="Arial" w:cs="Arial"/>
          <w:sz w:val="20"/>
          <w:szCs w:val="20"/>
        </w:rPr>
        <w:t>practical injustice</w:t>
      </w:r>
      <w:r w:rsidR="004C0561">
        <w:rPr>
          <w:rFonts w:ascii="Arial" w:hAnsi="Arial" w:cs="Arial"/>
          <w:sz w:val="20"/>
          <w:szCs w:val="20"/>
        </w:rPr>
        <w:t xml:space="preserve">’: </w:t>
      </w:r>
      <w:r w:rsidR="004C0561" w:rsidRPr="004C0561">
        <w:rPr>
          <w:rFonts w:ascii="Arial" w:hAnsi="Arial" w:cs="Arial"/>
          <w:i/>
          <w:sz w:val="20"/>
          <w:szCs w:val="20"/>
        </w:rPr>
        <w:t>Re Minister for Immigration and Multicultural and Indigenous Affairs;</w:t>
      </w:r>
      <w:r w:rsidR="004C0561" w:rsidRPr="004C0561">
        <w:rPr>
          <w:rFonts w:ascii="Arial" w:hAnsi="Arial" w:cs="Arial"/>
          <w:sz w:val="20"/>
          <w:szCs w:val="20"/>
        </w:rPr>
        <w:t xml:space="preserve"> </w:t>
      </w:r>
      <w:r w:rsidR="004C0561" w:rsidRPr="004C0561">
        <w:rPr>
          <w:rFonts w:ascii="Arial" w:hAnsi="Arial" w:cs="Arial"/>
          <w:i/>
          <w:sz w:val="20"/>
          <w:szCs w:val="20"/>
        </w:rPr>
        <w:t>Ex parte Lam</w:t>
      </w:r>
      <w:r w:rsidR="004C0561" w:rsidRPr="004C0561">
        <w:rPr>
          <w:rFonts w:ascii="Arial" w:hAnsi="Arial" w:cs="Arial"/>
          <w:sz w:val="20"/>
          <w:szCs w:val="20"/>
        </w:rPr>
        <w:t xml:space="preserve"> (2003) 214 CLR 1 at 14 [37].</w:t>
      </w:r>
      <w:r w:rsidR="004C0561">
        <w:t xml:space="preserve"> </w:t>
      </w:r>
      <w:r w:rsidRPr="004C0561">
        <w:rPr>
          <w:rFonts w:ascii="Arial" w:hAnsi="Arial" w:cs="Arial"/>
          <w:sz w:val="20"/>
          <w:szCs w:val="20"/>
        </w:rPr>
        <w:t>In a decision-making process</w:t>
      </w:r>
      <w:r w:rsidRPr="002D645A">
        <w:rPr>
          <w:rFonts w:ascii="Arial" w:hAnsi="Arial" w:cs="Arial"/>
          <w:sz w:val="20"/>
          <w:szCs w:val="20"/>
        </w:rPr>
        <w:t xml:space="preserve"> in which procedural fairness is excluded or is sufficiently provided if specific statutory requirements are met, the </w:t>
      </w:r>
      <w:r w:rsidRPr="004C0561">
        <w:rPr>
          <w:rFonts w:ascii="Arial" w:hAnsi="Arial" w:cs="Arial"/>
          <w:sz w:val="20"/>
          <w:szCs w:val="20"/>
        </w:rPr>
        <w:t xml:space="preserve">effect of a mistranslation on the resultant decision will turn on the </w:t>
      </w:r>
      <w:r w:rsidR="004C0561" w:rsidRPr="004C0561">
        <w:rPr>
          <w:rFonts w:ascii="Arial" w:hAnsi="Arial" w:cs="Arial"/>
          <w:sz w:val="20"/>
          <w:szCs w:val="20"/>
        </w:rPr>
        <w:t>‘</w:t>
      </w:r>
      <w:r w:rsidRPr="004C0561">
        <w:rPr>
          <w:rFonts w:ascii="Arial" w:hAnsi="Arial" w:cs="Arial"/>
          <w:sz w:val="20"/>
          <w:szCs w:val="20"/>
        </w:rPr>
        <w:t>blunter question</w:t>
      </w:r>
      <w:r w:rsidR="004C0561" w:rsidRPr="004C0561">
        <w:rPr>
          <w:rFonts w:ascii="Arial" w:hAnsi="Arial" w:cs="Arial"/>
          <w:sz w:val="20"/>
          <w:szCs w:val="20"/>
        </w:rPr>
        <w:t>’</w:t>
      </w:r>
      <w:r w:rsidRPr="004C0561">
        <w:rPr>
          <w:rFonts w:ascii="Arial" w:hAnsi="Arial" w:cs="Arial"/>
          <w:sz w:val="20"/>
          <w:szCs w:val="20"/>
        </w:rPr>
        <w:t xml:space="preserve"> </w:t>
      </w:r>
      <w:r w:rsidR="004C0561" w:rsidRPr="004C0561">
        <w:rPr>
          <w:rFonts w:ascii="Arial" w:hAnsi="Arial" w:cs="Arial"/>
          <w:sz w:val="20"/>
          <w:szCs w:val="20"/>
        </w:rPr>
        <w:t>(</w:t>
      </w:r>
      <w:r w:rsidR="004C0561" w:rsidRPr="004C0561">
        <w:rPr>
          <w:rFonts w:ascii="Arial" w:hAnsi="Arial" w:cs="Arial"/>
          <w:i/>
          <w:sz w:val="20"/>
          <w:szCs w:val="20"/>
        </w:rPr>
        <w:t>SZRMQ v Minister for Immigration and Border Protection</w:t>
      </w:r>
      <w:r w:rsidR="004C0561" w:rsidRPr="004C0561">
        <w:rPr>
          <w:rFonts w:ascii="Arial" w:hAnsi="Arial" w:cs="Arial"/>
          <w:sz w:val="20"/>
          <w:szCs w:val="20"/>
        </w:rPr>
        <w:t xml:space="preserve"> (2013) 219 FCR 212 at 230 [74], citing </w:t>
      </w:r>
      <w:r w:rsidR="004C0561" w:rsidRPr="004C0561">
        <w:rPr>
          <w:rFonts w:ascii="Arial" w:hAnsi="Arial" w:cs="Arial"/>
          <w:i/>
          <w:sz w:val="20"/>
          <w:szCs w:val="20"/>
        </w:rPr>
        <w:t>Perera v Minister for Immigration and Multicultural Affairs</w:t>
      </w:r>
      <w:r w:rsidR="004C0561" w:rsidRPr="004C0561">
        <w:rPr>
          <w:rFonts w:ascii="Arial" w:hAnsi="Arial" w:cs="Arial"/>
          <w:sz w:val="20"/>
          <w:szCs w:val="20"/>
        </w:rPr>
        <w:t xml:space="preserve"> (1999) 92 FCR 6</w:t>
      </w:r>
      <w:r w:rsidR="004C0561">
        <w:rPr>
          <w:rFonts w:ascii="Arial" w:hAnsi="Arial" w:cs="Arial"/>
          <w:sz w:val="20"/>
          <w:szCs w:val="20"/>
        </w:rPr>
        <w:t>;</w:t>
      </w:r>
      <w:r w:rsidR="004C0561" w:rsidRPr="004C0561">
        <w:rPr>
          <w:rFonts w:ascii="Arial" w:hAnsi="Arial" w:cs="Arial"/>
          <w:sz w:val="20"/>
          <w:szCs w:val="20"/>
        </w:rPr>
        <w:t xml:space="preserve"> </w:t>
      </w:r>
      <w:r w:rsidR="004C0561">
        <w:rPr>
          <w:rFonts w:ascii="Arial" w:hAnsi="Arial" w:cs="Arial"/>
          <w:sz w:val="20"/>
          <w:szCs w:val="20"/>
        </w:rPr>
        <w:t>s</w:t>
      </w:r>
      <w:r w:rsidR="004C0561" w:rsidRPr="004C0561">
        <w:rPr>
          <w:rFonts w:ascii="Arial" w:hAnsi="Arial" w:cs="Arial"/>
          <w:sz w:val="20"/>
          <w:szCs w:val="20"/>
        </w:rPr>
        <w:t xml:space="preserve">ee also </w:t>
      </w:r>
      <w:r w:rsidR="004C0561" w:rsidRPr="004C0561">
        <w:rPr>
          <w:rFonts w:ascii="Arial" w:hAnsi="Arial" w:cs="Arial"/>
          <w:i/>
          <w:sz w:val="20"/>
          <w:szCs w:val="20"/>
        </w:rPr>
        <w:t>Singh v Minister for Immigration and Multicultural Affairs</w:t>
      </w:r>
      <w:r w:rsidR="004C0561" w:rsidRPr="004C0561">
        <w:rPr>
          <w:rFonts w:ascii="Arial" w:hAnsi="Arial" w:cs="Arial"/>
          <w:sz w:val="20"/>
          <w:szCs w:val="20"/>
        </w:rPr>
        <w:t xml:space="preserve"> (2001) 115 FCR 1 at 6 [26]-[28]</w:t>
      </w:r>
      <w:r w:rsidR="004C0561">
        <w:rPr>
          <w:rFonts w:ascii="Arial" w:hAnsi="Arial" w:cs="Arial"/>
          <w:sz w:val="20"/>
          <w:szCs w:val="20"/>
        </w:rPr>
        <w:t>)</w:t>
      </w:r>
      <w:r w:rsidR="004C0561" w:rsidRPr="004C0561">
        <w:rPr>
          <w:sz w:val="20"/>
          <w:szCs w:val="20"/>
        </w:rPr>
        <w:t xml:space="preserve"> </w:t>
      </w:r>
      <w:r w:rsidRPr="004C0561">
        <w:rPr>
          <w:rFonts w:ascii="Arial" w:hAnsi="Arial" w:cs="Arial"/>
          <w:sz w:val="20"/>
          <w:szCs w:val="20"/>
        </w:rPr>
        <w:t>of whether the mistranslation has resulted in one or more specific statutory requirements not being met.</w:t>
      </w:r>
      <w:r w:rsidR="004C0561">
        <w:rPr>
          <w:rFonts w:ascii="Arial" w:hAnsi="Arial" w:cs="Arial"/>
          <w:sz w:val="20"/>
          <w:szCs w:val="20"/>
        </w:rPr>
        <w:t>”</w:t>
      </w:r>
    </w:p>
    <w:p w14:paraId="7BC78570" w14:textId="77777777" w:rsidR="004D3373" w:rsidRDefault="004D3373" w:rsidP="004D3373">
      <w:pPr>
        <w:jc w:val="both"/>
        <w:rPr>
          <w:rFonts w:ascii="Arial" w:hAnsi="Arial" w:cs="Arial"/>
          <w:sz w:val="20"/>
        </w:rPr>
      </w:pPr>
    </w:p>
    <w:p w14:paraId="618E13A3" w14:textId="3B635A7A" w:rsidR="005F211A" w:rsidRDefault="008F12B0" w:rsidP="008F12B0">
      <w:pPr>
        <w:jc w:val="both"/>
        <w:rPr>
          <w:rFonts w:ascii="Arial" w:hAnsi="Arial" w:cs="Arial"/>
          <w:sz w:val="20"/>
        </w:rPr>
      </w:pPr>
      <w:r>
        <w:rPr>
          <w:rFonts w:ascii="Arial" w:hAnsi="Arial" w:cs="Arial"/>
          <w:sz w:val="20"/>
        </w:rPr>
        <w:t>In</w:t>
      </w:r>
      <w:r w:rsidRPr="005F211A">
        <w:rPr>
          <w:rFonts w:ascii="Arial" w:hAnsi="Arial" w:cs="Arial"/>
          <w:i/>
          <w:iCs/>
          <w:sz w:val="20"/>
        </w:rPr>
        <w:t xml:space="preserve"> DPP (</w:t>
      </w:r>
      <w:proofErr w:type="spellStart"/>
      <w:r w:rsidRPr="005F211A">
        <w:rPr>
          <w:rFonts w:ascii="Arial" w:hAnsi="Arial" w:cs="Arial"/>
          <w:i/>
          <w:iCs/>
          <w:sz w:val="20"/>
        </w:rPr>
        <w:t>Cth</w:t>
      </w:r>
      <w:proofErr w:type="spellEnd"/>
      <w:r w:rsidRPr="005F211A">
        <w:rPr>
          <w:rFonts w:ascii="Arial" w:hAnsi="Arial" w:cs="Arial"/>
          <w:i/>
          <w:iCs/>
          <w:sz w:val="20"/>
        </w:rPr>
        <w:t>) v Al Salman (No 6)</w:t>
      </w:r>
      <w:r w:rsidRPr="008F12B0">
        <w:rPr>
          <w:rFonts w:ascii="Arial" w:hAnsi="Arial" w:cs="Arial"/>
          <w:sz w:val="20"/>
        </w:rPr>
        <w:t xml:space="preserve"> [2025] VSC 813</w:t>
      </w:r>
      <w:r w:rsidR="005F211A">
        <w:rPr>
          <w:rFonts w:ascii="Arial" w:hAnsi="Arial" w:cs="Arial"/>
          <w:sz w:val="20"/>
        </w:rPr>
        <w:t xml:space="preserve"> </w:t>
      </w:r>
      <w:r>
        <w:rPr>
          <w:rFonts w:ascii="Arial" w:hAnsi="Arial" w:cs="Arial"/>
          <w:sz w:val="20"/>
        </w:rPr>
        <w:t>the accused was c</w:t>
      </w:r>
      <w:r w:rsidRPr="008F12B0">
        <w:rPr>
          <w:rFonts w:ascii="Arial" w:hAnsi="Arial" w:cs="Arial"/>
          <w:sz w:val="20"/>
        </w:rPr>
        <w:t>harge</w:t>
      </w:r>
      <w:r>
        <w:rPr>
          <w:rFonts w:ascii="Arial" w:hAnsi="Arial" w:cs="Arial"/>
          <w:sz w:val="20"/>
        </w:rPr>
        <w:t>d</w:t>
      </w:r>
      <w:r w:rsidRPr="008F12B0">
        <w:rPr>
          <w:rFonts w:ascii="Arial" w:hAnsi="Arial" w:cs="Arial"/>
          <w:sz w:val="20"/>
        </w:rPr>
        <w:t xml:space="preserve"> </w:t>
      </w:r>
      <w:r>
        <w:rPr>
          <w:rFonts w:ascii="Arial" w:hAnsi="Arial" w:cs="Arial"/>
          <w:sz w:val="20"/>
        </w:rPr>
        <w:t>with</w:t>
      </w:r>
      <w:r w:rsidRPr="008F12B0">
        <w:rPr>
          <w:rFonts w:ascii="Arial" w:hAnsi="Arial" w:cs="Arial"/>
          <w:sz w:val="20"/>
        </w:rPr>
        <w:t xml:space="preserve"> </w:t>
      </w:r>
      <w:r w:rsidR="005F211A">
        <w:rPr>
          <w:rFonts w:ascii="Arial" w:hAnsi="Arial" w:cs="Arial"/>
          <w:sz w:val="20"/>
        </w:rPr>
        <w:t xml:space="preserve">7 counts of </w:t>
      </w:r>
      <w:r w:rsidRPr="008F12B0">
        <w:rPr>
          <w:rFonts w:ascii="Arial" w:hAnsi="Arial" w:cs="Arial"/>
          <w:sz w:val="20"/>
        </w:rPr>
        <w:t xml:space="preserve">aggravated servitude </w:t>
      </w:r>
      <w:r w:rsidR="005F211A">
        <w:rPr>
          <w:rFonts w:ascii="Arial" w:hAnsi="Arial" w:cs="Arial"/>
          <w:sz w:val="20"/>
        </w:rPr>
        <w:t xml:space="preserve">committed against his wife and six children. </w:t>
      </w:r>
      <w:r w:rsidR="002C4F65">
        <w:rPr>
          <w:rFonts w:ascii="Arial" w:hAnsi="Arial" w:cs="Arial"/>
          <w:sz w:val="20"/>
        </w:rPr>
        <w:t>H</w:t>
      </w:r>
      <w:r w:rsidR="005F211A">
        <w:rPr>
          <w:rFonts w:ascii="Arial" w:hAnsi="Arial" w:cs="Arial"/>
          <w:sz w:val="20"/>
        </w:rPr>
        <w:t xml:space="preserve">is application to exclude evidence pursuant to ss.135 &amp; 137 of the </w:t>
      </w:r>
      <w:r w:rsidRPr="005F211A">
        <w:rPr>
          <w:rFonts w:ascii="Arial" w:hAnsi="Arial" w:cs="Arial"/>
          <w:i/>
          <w:iCs/>
          <w:sz w:val="20"/>
        </w:rPr>
        <w:t>Evidence Act 2008</w:t>
      </w:r>
      <w:r w:rsidRPr="008F12B0">
        <w:rPr>
          <w:rFonts w:ascii="Arial" w:hAnsi="Arial" w:cs="Arial"/>
          <w:sz w:val="20"/>
        </w:rPr>
        <w:t xml:space="preserve"> (Vic) </w:t>
      </w:r>
      <w:r w:rsidR="005F211A">
        <w:rPr>
          <w:rFonts w:ascii="Arial" w:hAnsi="Arial" w:cs="Arial"/>
          <w:sz w:val="20"/>
        </w:rPr>
        <w:t>was based on a number of interpreting errors. In refusing the application Champion J said at [240]-[241]:</w:t>
      </w:r>
    </w:p>
    <w:p w14:paraId="74C9F3E5" w14:textId="6D92BF1A" w:rsidR="005F211A" w:rsidRDefault="005F211A" w:rsidP="005F211A">
      <w:pPr>
        <w:spacing w:before="60"/>
        <w:ind w:left="454" w:right="454"/>
        <w:jc w:val="both"/>
        <w:rPr>
          <w:rFonts w:ascii="Arial" w:hAnsi="Arial" w:cs="Arial"/>
          <w:sz w:val="20"/>
        </w:rPr>
      </w:pPr>
      <w:r>
        <w:rPr>
          <w:rFonts w:ascii="Arial" w:hAnsi="Arial" w:cs="Arial"/>
          <w:sz w:val="20"/>
          <w:szCs w:val="20"/>
        </w:rPr>
        <w:t>[240] “</w:t>
      </w:r>
      <w:r w:rsidR="008F12B0" w:rsidRPr="008F12B0">
        <w:rPr>
          <w:rFonts w:ascii="Arial" w:hAnsi="Arial" w:cs="Arial"/>
          <w:sz w:val="20"/>
        </w:rPr>
        <w:t>Having considered all the matters put on behalf of the accused, I am of the opinion that, due to the interpreting errors which are not challenged by the prosecution, there has been a loss of opportunity on the part of the accused to cross-examine on a number of issues, and to pursue lines of enquiry. The accused was entitled to rely on a sufficient and appropriate level of accuracy in the interpreting work conducted by MJ.</w:t>
      </w:r>
    </w:p>
    <w:p w14:paraId="3DD0B789" w14:textId="0F652FF5" w:rsidR="00B14E95" w:rsidRDefault="005F211A" w:rsidP="005F211A">
      <w:pPr>
        <w:spacing w:before="60"/>
        <w:ind w:left="454" w:right="454"/>
        <w:jc w:val="both"/>
        <w:rPr>
          <w:rFonts w:ascii="Arial" w:hAnsi="Arial" w:cs="Arial"/>
          <w:sz w:val="20"/>
        </w:rPr>
      </w:pPr>
      <w:r>
        <w:rPr>
          <w:rFonts w:ascii="Arial" w:hAnsi="Arial" w:cs="Arial"/>
          <w:sz w:val="20"/>
        </w:rPr>
        <w:t>[</w:t>
      </w:r>
      <w:r w:rsidR="008F12B0" w:rsidRPr="008F12B0">
        <w:rPr>
          <w:rFonts w:ascii="Arial" w:hAnsi="Arial" w:cs="Arial"/>
          <w:sz w:val="20"/>
        </w:rPr>
        <w:t>241</w:t>
      </w:r>
      <w:r>
        <w:rPr>
          <w:rFonts w:ascii="Arial" w:hAnsi="Arial" w:cs="Arial"/>
          <w:sz w:val="20"/>
        </w:rPr>
        <w:t>]</w:t>
      </w:r>
      <w:r w:rsidR="008F12B0" w:rsidRPr="008F12B0">
        <w:rPr>
          <w:rFonts w:ascii="Arial" w:hAnsi="Arial" w:cs="Arial"/>
          <w:sz w:val="20"/>
        </w:rPr>
        <w:t xml:space="preserve"> However, despite this conclusion, I find that any loss of opportunity, forensic disadvantage, and prejudice suffered by the accused can be adequately cured by carefully expressed instructions to the jury, consistent with the cases discussed above. Ultimately, I</w:t>
      </w:r>
      <w:r>
        <w:rPr>
          <w:rFonts w:ascii="Arial" w:hAnsi="Arial" w:cs="Arial"/>
          <w:sz w:val="20"/>
        </w:rPr>
        <w:t> </w:t>
      </w:r>
      <w:r w:rsidR="008F12B0" w:rsidRPr="008F12B0">
        <w:rPr>
          <w:rFonts w:ascii="Arial" w:hAnsi="Arial" w:cs="Arial"/>
          <w:sz w:val="20"/>
        </w:rPr>
        <w:t xml:space="preserve">am not satisfied that all or any of the 43 identified interpreting errors should be excluded pursuant to sections 135 or 137, or the Court’s residual common law discretion, and I decline to grant the application to exclude the evidence of </w:t>
      </w:r>
      <w:proofErr w:type="spellStart"/>
      <w:r w:rsidR="008F12B0" w:rsidRPr="008F12B0">
        <w:rPr>
          <w:rFonts w:ascii="Arial" w:hAnsi="Arial" w:cs="Arial"/>
          <w:sz w:val="20"/>
        </w:rPr>
        <w:t>Abtsam</w:t>
      </w:r>
      <w:proofErr w:type="spellEnd"/>
      <w:r w:rsidR="008F12B0" w:rsidRPr="008F12B0">
        <w:rPr>
          <w:rFonts w:ascii="Arial" w:hAnsi="Arial" w:cs="Arial"/>
          <w:sz w:val="20"/>
        </w:rPr>
        <w:t xml:space="preserve"> Jasim, on whole or in part. I find that, provided that appropriate directions are provided to the jury, the accused can receive a fair trial.</w:t>
      </w:r>
      <w:r>
        <w:rPr>
          <w:rFonts w:ascii="Arial" w:hAnsi="Arial" w:cs="Arial"/>
          <w:sz w:val="20"/>
        </w:rPr>
        <w:t>”</w:t>
      </w:r>
    </w:p>
    <w:p w14:paraId="2CD40AC8" w14:textId="77777777" w:rsidR="005F211A" w:rsidRDefault="005F211A" w:rsidP="005F211A">
      <w:pPr>
        <w:ind w:right="454"/>
        <w:jc w:val="both"/>
        <w:rPr>
          <w:rFonts w:ascii="Arial" w:hAnsi="Arial" w:cs="Arial"/>
          <w:sz w:val="20"/>
        </w:rPr>
      </w:pPr>
    </w:p>
    <w:p w14:paraId="10DC6CDD" w14:textId="69E38A22" w:rsidR="0022246F" w:rsidRDefault="00904185" w:rsidP="008166D5">
      <w:pPr>
        <w:pStyle w:val="Heading3"/>
        <w:keepNext/>
        <w:keepLines/>
        <w:spacing w:after="120" w:line="240" w:lineRule="auto"/>
        <w:rPr>
          <w:rFonts w:ascii="Arial" w:hAnsi="Arial" w:cs="Arial"/>
          <w:b/>
          <w:bCs/>
          <w:sz w:val="20"/>
        </w:rPr>
      </w:pPr>
      <w:bookmarkStart w:id="407" w:name="_3.4.5_Representation_of"/>
      <w:bookmarkEnd w:id="407"/>
      <w:r w:rsidRPr="00904185">
        <w:rPr>
          <w:rFonts w:ascii="Arial" w:hAnsi="Arial" w:cs="Arial"/>
          <w:b/>
          <w:sz w:val="20"/>
        </w:rPr>
        <w:t>3.4.</w:t>
      </w:r>
      <w:r w:rsidR="009D29CA">
        <w:rPr>
          <w:rFonts w:ascii="Arial" w:hAnsi="Arial" w:cs="Arial"/>
          <w:b/>
          <w:sz w:val="20"/>
        </w:rPr>
        <w:t>5</w:t>
      </w:r>
      <w:r w:rsidRPr="00904185">
        <w:rPr>
          <w:rFonts w:ascii="Arial" w:hAnsi="Arial" w:cs="Arial"/>
          <w:b/>
          <w:sz w:val="20"/>
        </w:rPr>
        <w:tab/>
      </w:r>
      <w:r w:rsidR="00183750">
        <w:rPr>
          <w:rFonts w:ascii="Arial" w:hAnsi="Arial" w:cs="Arial"/>
          <w:b/>
          <w:sz w:val="20"/>
        </w:rPr>
        <w:t>Representation</w:t>
      </w:r>
      <w:r w:rsidRPr="00904185">
        <w:rPr>
          <w:rFonts w:ascii="Arial" w:hAnsi="Arial" w:cs="Arial"/>
          <w:b/>
          <w:sz w:val="20"/>
        </w:rPr>
        <w:t xml:space="preserve"> of adults in the Family Division</w:t>
      </w:r>
    </w:p>
    <w:p w14:paraId="1E3E3186" w14:textId="74E06222" w:rsidR="008166D5" w:rsidRDefault="00125CDE" w:rsidP="00B3469C">
      <w:pPr>
        <w:jc w:val="both"/>
        <w:rPr>
          <w:rFonts w:ascii="Arial" w:hAnsi="Arial" w:cs="Arial"/>
          <w:sz w:val="20"/>
        </w:rPr>
      </w:pPr>
      <w:r>
        <w:rPr>
          <w:rFonts w:ascii="Arial" w:hAnsi="Arial" w:cs="Arial"/>
          <w:sz w:val="20"/>
        </w:rPr>
        <w:t xml:space="preserve">The </w:t>
      </w:r>
      <w:r w:rsidR="00904185" w:rsidRPr="00904185">
        <w:rPr>
          <w:rFonts w:ascii="Arial" w:hAnsi="Arial" w:cs="Arial"/>
          <w:sz w:val="20"/>
        </w:rPr>
        <w:t xml:space="preserve">representation of children is dealt with in </w:t>
      </w:r>
      <w:r w:rsidR="00433CE1">
        <w:rPr>
          <w:rFonts w:ascii="Arial" w:hAnsi="Arial" w:cs="Arial"/>
          <w:b/>
          <w:bCs/>
          <w:sz w:val="20"/>
          <w:shd w:val="clear" w:color="auto" w:fill="C5E0B3" w:themeFill="accent6" w:themeFillTint="66"/>
        </w:rPr>
        <w:t>Part 4.7</w:t>
      </w:r>
      <w:r w:rsidR="008015BB">
        <w:rPr>
          <w:rFonts w:ascii="Arial" w:hAnsi="Arial" w:cs="Arial"/>
          <w:sz w:val="20"/>
        </w:rPr>
        <w:t xml:space="preserve"> </w:t>
      </w:r>
      <w:r w:rsidR="00904185">
        <w:rPr>
          <w:rFonts w:ascii="Arial" w:hAnsi="Arial" w:cs="Arial"/>
          <w:sz w:val="20"/>
        </w:rPr>
        <w:t xml:space="preserve">entitled </w:t>
      </w:r>
      <w:r w:rsidR="00337EE3">
        <w:rPr>
          <w:rFonts w:ascii="Arial" w:hAnsi="Arial" w:cs="Arial"/>
          <w:sz w:val="20"/>
        </w:rPr>
        <w:t>“</w:t>
      </w:r>
      <w:r w:rsidR="008166D5" w:rsidRPr="008166D5">
        <w:rPr>
          <w:rFonts w:ascii="Arial" w:hAnsi="Arial" w:cs="Arial"/>
          <w:sz w:val="20"/>
        </w:rPr>
        <w:t>Representation of children in the Family Division of the Court</w:t>
      </w:r>
      <w:r w:rsidR="00337EE3">
        <w:rPr>
          <w:rFonts w:ascii="Arial" w:hAnsi="Arial" w:cs="Arial"/>
          <w:sz w:val="20"/>
        </w:rPr>
        <w:t>”</w:t>
      </w:r>
      <w:r w:rsidR="00904185">
        <w:rPr>
          <w:rFonts w:ascii="Arial" w:hAnsi="Arial" w:cs="Arial"/>
          <w:sz w:val="20"/>
        </w:rPr>
        <w:t>.</w:t>
      </w:r>
    </w:p>
    <w:p w14:paraId="0B7EF347" w14:textId="77777777" w:rsidR="008166D5" w:rsidRDefault="008166D5" w:rsidP="00B3469C">
      <w:pPr>
        <w:jc w:val="both"/>
        <w:rPr>
          <w:rFonts w:ascii="Arial" w:hAnsi="Arial" w:cs="Arial"/>
          <w:sz w:val="20"/>
        </w:rPr>
      </w:pPr>
    </w:p>
    <w:p w14:paraId="73490DFC" w14:textId="52FE93F5" w:rsidR="00B3469C" w:rsidRDefault="00B3469C" w:rsidP="00B3469C">
      <w:pPr>
        <w:jc w:val="both"/>
        <w:rPr>
          <w:rFonts w:ascii="Arial" w:hAnsi="Arial" w:cs="Arial"/>
          <w:sz w:val="20"/>
        </w:rPr>
      </w:pPr>
      <w:r>
        <w:rPr>
          <w:rFonts w:ascii="Arial" w:hAnsi="Arial" w:cs="Arial"/>
          <w:sz w:val="20"/>
        </w:rPr>
        <w:t>Under</w:t>
      </w:r>
      <w:r w:rsidR="008015BB">
        <w:rPr>
          <w:rFonts w:ascii="Arial" w:hAnsi="Arial" w:cs="Arial"/>
          <w:sz w:val="20"/>
        </w:rPr>
        <w:t> </w:t>
      </w:r>
      <w:r>
        <w:rPr>
          <w:rFonts w:ascii="Arial" w:hAnsi="Arial" w:cs="Arial"/>
          <w:sz w:val="20"/>
        </w:rPr>
        <w:t>s.</w:t>
      </w:r>
      <w:r w:rsidR="00D06F3B">
        <w:rPr>
          <w:rFonts w:ascii="Arial" w:hAnsi="Arial" w:cs="Arial"/>
          <w:sz w:val="20"/>
        </w:rPr>
        <w:t>215</w:t>
      </w:r>
      <w:r w:rsidR="00337EE3">
        <w:rPr>
          <w:rFonts w:ascii="Arial" w:hAnsi="Arial" w:cs="Arial"/>
          <w:sz w:val="20"/>
        </w:rPr>
        <w:t>(3)</w:t>
      </w:r>
      <w:r>
        <w:rPr>
          <w:rFonts w:ascii="Arial" w:hAnsi="Arial" w:cs="Arial"/>
          <w:sz w:val="20"/>
        </w:rPr>
        <w:t xml:space="preserve"> of the CY</w:t>
      </w:r>
      <w:r w:rsidR="00D06F3B">
        <w:rPr>
          <w:rFonts w:ascii="Arial" w:hAnsi="Arial" w:cs="Arial"/>
          <w:sz w:val="20"/>
        </w:rPr>
        <w:t>F</w:t>
      </w:r>
      <w:r>
        <w:rPr>
          <w:rFonts w:ascii="Arial" w:hAnsi="Arial" w:cs="Arial"/>
          <w:sz w:val="20"/>
        </w:rPr>
        <w:t>A, the Secretary is entitled to appear:</w:t>
      </w:r>
    </w:p>
    <w:p w14:paraId="54AA631F" w14:textId="77777777" w:rsidR="00B3469C" w:rsidRDefault="00337EE3" w:rsidP="004D27E3">
      <w:pPr>
        <w:tabs>
          <w:tab w:val="left" w:pos="454"/>
        </w:tabs>
        <w:jc w:val="both"/>
        <w:rPr>
          <w:rFonts w:ascii="Arial" w:hAnsi="Arial" w:cs="Arial"/>
          <w:sz w:val="20"/>
        </w:rPr>
      </w:pPr>
      <w:r>
        <w:rPr>
          <w:rFonts w:ascii="Arial" w:hAnsi="Arial" w:cs="Arial"/>
          <w:sz w:val="20"/>
        </w:rPr>
        <w:t>(a)</w:t>
      </w:r>
      <w:r>
        <w:rPr>
          <w:rFonts w:ascii="Arial" w:hAnsi="Arial" w:cs="Arial"/>
          <w:sz w:val="20"/>
        </w:rPr>
        <w:tab/>
        <w:t>personally; or</w:t>
      </w:r>
    </w:p>
    <w:p w14:paraId="27A98FBA" w14:textId="77777777" w:rsidR="00B3469C" w:rsidRDefault="00337EE3" w:rsidP="004D27E3">
      <w:pPr>
        <w:tabs>
          <w:tab w:val="left" w:pos="454"/>
        </w:tabs>
        <w:jc w:val="both"/>
        <w:rPr>
          <w:rFonts w:ascii="Arial" w:hAnsi="Arial" w:cs="Arial"/>
          <w:sz w:val="20"/>
        </w:rPr>
      </w:pPr>
      <w:r>
        <w:rPr>
          <w:rFonts w:ascii="Arial" w:hAnsi="Arial" w:cs="Arial"/>
          <w:sz w:val="20"/>
        </w:rPr>
        <w:lastRenderedPageBreak/>
        <w:t>(b)</w:t>
      </w:r>
      <w:r>
        <w:rPr>
          <w:rFonts w:ascii="Arial" w:hAnsi="Arial" w:cs="Arial"/>
          <w:sz w:val="20"/>
        </w:rPr>
        <w:tab/>
        <w:t>by a</w:t>
      </w:r>
      <w:r w:rsidR="00D06F3B">
        <w:rPr>
          <w:rFonts w:ascii="Arial" w:hAnsi="Arial" w:cs="Arial"/>
          <w:sz w:val="20"/>
        </w:rPr>
        <w:t>n Australian</w:t>
      </w:r>
      <w:r>
        <w:rPr>
          <w:rFonts w:ascii="Arial" w:hAnsi="Arial" w:cs="Arial"/>
          <w:sz w:val="20"/>
        </w:rPr>
        <w:t xml:space="preserve"> legal practitioner</w:t>
      </w:r>
      <w:r w:rsidR="005C4AB8">
        <w:rPr>
          <w:rFonts w:ascii="Arial" w:hAnsi="Arial" w:cs="Arial"/>
          <w:sz w:val="20"/>
        </w:rPr>
        <w:t xml:space="preserve"> within the meaning of the </w:t>
      </w:r>
      <w:r w:rsidR="005C4AB8" w:rsidRPr="00934D0F">
        <w:rPr>
          <w:rFonts w:ascii="Arial" w:hAnsi="Arial" w:cs="Arial"/>
          <w:i/>
          <w:iCs/>
          <w:sz w:val="20"/>
        </w:rPr>
        <w:t>Legal Pr</w:t>
      </w:r>
      <w:r w:rsidR="00D06F3B" w:rsidRPr="00934D0F">
        <w:rPr>
          <w:rFonts w:ascii="Arial" w:hAnsi="Arial" w:cs="Arial"/>
          <w:i/>
          <w:iCs/>
          <w:sz w:val="20"/>
        </w:rPr>
        <w:t>ofession</w:t>
      </w:r>
      <w:r w:rsidR="005C4AB8" w:rsidRPr="00934D0F">
        <w:rPr>
          <w:rFonts w:ascii="Arial" w:hAnsi="Arial" w:cs="Arial"/>
          <w:i/>
          <w:iCs/>
          <w:sz w:val="20"/>
        </w:rPr>
        <w:t xml:space="preserve"> Act </w:t>
      </w:r>
      <w:r w:rsidR="00D06F3B" w:rsidRPr="00934D0F">
        <w:rPr>
          <w:rFonts w:ascii="Arial" w:hAnsi="Arial" w:cs="Arial"/>
          <w:i/>
          <w:iCs/>
          <w:sz w:val="20"/>
        </w:rPr>
        <w:t>2004</w:t>
      </w:r>
      <w:r>
        <w:rPr>
          <w:rFonts w:ascii="Arial" w:hAnsi="Arial" w:cs="Arial"/>
          <w:sz w:val="20"/>
        </w:rPr>
        <w:t>; or</w:t>
      </w:r>
    </w:p>
    <w:p w14:paraId="2EFBA8E4" w14:textId="77777777" w:rsidR="00337EE3" w:rsidRDefault="004D27E3" w:rsidP="004D27E3">
      <w:pPr>
        <w:tabs>
          <w:tab w:val="left" w:pos="454"/>
        </w:tabs>
        <w:ind w:left="454" w:hanging="454"/>
        <w:jc w:val="both"/>
        <w:rPr>
          <w:rFonts w:ascii="Arial" w:hAnsi="Arial" w:cs="Arial"/>
          <w:sz w:val="20"/>
        </w:rPr>
      </w:pPr>
      <w:r>
        <w:rPr>
          <w:rFonts w:ascii="Arial" w:hAnsi="Arial" w:cs="Arial"/>
          <w:sz w:val="20"/>
        </w:rPr>
        <w:t>(c)</w:t>
      </w:r>
      <w:r>
        <w:rPr>
          <w:rFonts w:ascii="Arial" w:hAnsi="Arial" w:cs="Arial"/>
          <w:sz w:val="20"/>
        </w:rPr>
        <w:tab/>
      </w:r>
      <w:r w:rsidR="00D06F3B">
        <w:rPr>
          <w:rFonts w:ascii="Arial" w:hAnsi="Arial" w:cs="Arial"/>
          <w:sz w:val="20"/>
        </w:rPr>
        <w:t xml:space="preserve">by an </w:t>
      </w:r>
      <w:r w:rsidR="00337EE3">
        <w:rPr>
          <w:rFonts w:ascii="Arial" w:hAnsi="Arial" w:cs="Arial"/>
          <w:sz w:val="20"/>
        </w:rPr>
        <w:t xml:space="preserve">employee </w:t>
      </w:r>
      <w:r w:rsidR="00D06F3B">
        <w:rPr>
          <w:rFonts w:ascii="Arial" w:hAnsi="Arial" w:cs="Arial"/>
          <w:sz w:val="20"/>
        </w:rPr>
        <w:t xml:space="preserve">of the public service </w:t>
      </w:r>
      <w:r w:rsidR="00337EE3">
        <w:rPr>
          <w:rFonts w:ascii="Arial" w:hAnsi="Arial" w:cs="Arial"/>
          <w:sz w:val="20"/>
        </w:rPr>
        <w:t>(whether or not admitted as a barrister and solicitor of the Supreme Court</w:t>
      </w:r>
      <w:r w:rsidR="000511A5">
        <w:rPr>
          <w:rFonts w:ascii="Arial" w:hAnsi="Arial" w:cs="Arial"/>
          <w:sz w:val="20"/>
        </w:rPr>
        <w:t>)</w:t>
      </w:r>
      <w:r w:rsidR="00D06F3B">
        <w:rPr>
          <w:rFonts w:ascii="Arial" w:hAnsi="Arial" w:cs="Arial"/>
          <w:sz w:val="20"/>
        </w:rPr>
        <w:t xml:space="preserve"> who is authorized by the Secretary to appear in proceedings before the Family Division.</w:t>
      </w:r>
    </w:p>
    <w:p w14:paraId="078AEFE6" w14:textId="77777777" w:rsidR="001B7502" w:rsidRDefault="001B7502">
      <w:pPr>
        <w:jc w:val="both"/>
        <w:rPr>
          <w:rFonts w:ascii="Arial" w:hAnsi="Arial" w:cs="Arial"/>
          <w:sz w:val="20"/>
        </w:rPr>
      </w:pPr>
    </w:p>
    <w:p w14:paraId="7821FF73" w14:textId="4A6D786D" w:rsidR="00F263FB" w:rsidRDefault="00337EE3">
      <w:pPr>
        <w:jc w:val="both"/>
        <w:rPr>
          <w:rFonts w:ascii="Arial" w:hAnsi="Arial" w:cs="Arial"/>
          <w:sz w:val="20"/>
        </w:rPr>
      </w:pPr>
      <w:r>
        <w:rPr>
          <w:rFonts w:ascii="Arial" w:hAnsi="Arial" w:cs="Arial"/>
          <w:sz w:val="20"/>
        </w:rPr>
        <w:t>There is no provision in the CY</w:t>
      </w:r>
      <w:r w:rsidR="00D06F3B">
        <w:rPr>
          <w:rFonts w:ascii="Arial" w:hAnsi="Arial" w:cs="Arial"/>
          <w:sz w:val="20"/>
        </w:rPr>
        <w:t>F</w:t>
      </w:r>
      <w:r>
        <w:rPr>
          <w:rFonts w:ascii="Arial" w:hAnsi="Arial" w:cs="Arial"/>
          <w:sz w:val="20"/>
        </w:rPr>
        <w:t xml:space="preserve">A relating to the representation of an adult party other than the Secretary. The common law position thus appears to apply. </w:t>
      </w:r>
      <w:r w:rsidR="00F263FB">
        <w:rPr>
          <w:rFonts w:ascii="Arial" w:hAnsi="Arial" w:cs="Arial"/>
          <w:sz w:val="20"/>
        </w:rPr>
        <w:t xml:space="preserve">In </w:t>
      </w:r>
      <w:r w:rsidR="00F263FB" w:rsidRPr="005E185B">
        <w:rPr>
          <w:rFonts w:ascii="Helvetica" w:hAnsi="Helvetica"/>
          <w:i/>
          <w:sz w:val="20"/>
        </w:rPr>
        <w:t>Tomasevic v Travaglini</w:t>
      </w:r>
      <w:r w:rsidR="00F263FB">
        <w:rPr>
          <w:rFonts w:ascii="Helvetica" w:hAnsi="Helvetica"/>
          <w:sz w:val="20"/>
        </w:rPr>
        <w:t xml:space="preserve"> [2007] VSC 337 at [84] Bell J said:</w:t>
      </w:r>
    </w:p>
    <w:p w14:paraId="4B51E81F" w14:textId="77777777" w:rsidR="00F263FB" w:rsidRDefault="00F263FB" w:rsidP="00201B53">
      <w:pPr>
        <w:spacing w:before="60"/>
        <w:ind w:left="454" w:right="454"/>
        <w:jc w:val="both"/>
        <w:rPr>
          <w:rFonts w:ascii="Arial" w:hAnsi="Arial" w:cs="Arial"/>
          <w:iCs/>
          <w:sz w:val="20"/>
        </w:rPr>
      </w:pPr>
      <w:r>
        <w:rPr>
          <w:rFonts w:ascii="Arial" w:hAnsi="Arial" w:cs="Arial"/>
          <w:iCs/>
          <w:sz w:val="20"/>
        </w:rPr>
        <w:t>“</w:t>
      </w:r>
      <w:r w:rsidRPr="00F263FB">
        <w:rPr>
          <w:rFonts w:ascii="Arial" w:hAnsi="Arial" w:cs="Arial"/>
          <w:sz w:val="20"/>
        </w:rPr>
        <w:t>The rule is that, in the ordinary course of civil or criminal litigation, all natural persons have a right to appear unrepresented</w:t>
      </w:r>
      <w:r>
        <w:rPr>
          <w:rFonts w:ascii="Arial" w:hAnsi="Arial" w:cs="Arial"/>
          <w:sz w:val="20"/>
        </w:rPr>
        <w:t>:</w:t>
      </w:r>
      <w:r w:rsidRPr="00F263FB">
        <w:rPr>
          <w:rFonts w:ascii="Arial" w:hAnsi="Arial" w:cs="Arial"/>
          <w:sz w:val="20"/>
          <w:szCs w:val="20"/>
        </w:rPr>
        <w:t xml:space="preserve"> </w:t>
      </w:r>
      <w:r w:rsidRPr="00F263FB">
        <w:rPr>
          <w:rFonts w:ascii="Arial" w:hAnsi="Arial" w:cs="Arial"/>
          <w:i/>
          <w:sz w:val="20"/>
          <w:szCs w:val="20"/>
        </w:rPr>
        <w:t>Collins (alias Hass) v R</w:t>
      </w:r>
      <w:r w:rsidRPr="00F263FB">
        <w:rPr>
          <w:rFonts w:ascii="Arial" w:hAnsi="Arial" w:cs="Arial"/>
          <w:sz w:val="20"/>
          <w:szCs w:val="20"/>
        </w:rPr>
        <w:t xml:space="preserve"> (1975) 133 CLR 120, 122; </w:t>
      </w:r>
      <w:r w:rsidRPr="00F263FB">
        <w:rPr>
          <w:rFonts w:ascii="Arial" w:hAnsi="Arial" w:cs="Arial"/>
          <w:i/>
          <w:sz w:val="20"/>
          <w:szCs w:val="20"/>
        </w:rPr>
        <w:t xml:space="preserve">Burwood Municipal Council v </w:t>
      </w:r>
      <w:smartTag w:uri="urn:schemas-microsoft-com:office:smarttags" w:element="place">
        <w:smartTag w:uri="urn:schemas-microsoft-com:office:smarttags" w:element="City">
          <w:r w:rsidRPr="00F263FB">
            <w:rPr>
              <w:rFonts w:ascii="Arial" w:hAnsi="Arial" w:cs="Arial"/>
              <w:i/>
              <w:sz w:val="20"/>
              <w:szCs w:val="20"/>
            </w:rPr>
            <w:t>Harvey</w:t>
          </w:r>
        </w:smartTag>
      </w:smartTag>
      <w:r w:rsidRPr="00F263FB">
        <w:rPr>
          <w:rFonts w:ascii="Arial" w:hAnsi="Arial" w:cs="Arial"/>
          <w:sz w:val="20"/>
          <w:szCs w:val="20"/>
        </w:rPr>
        <w:t xml:space="preserve"> (1995) 86 LGERA 389.</w:t>
      </w:r>
      <w:r w:rsidRPr="00F263FB">
        <w:rPr>
          <w:rFonts w:ascii="Arial" w:hAnsi="Arial" w:cs="Arial"/>
          <w:sz w:val="20"/>
        </w:rPr>
        <w:t xml:space="preserve">  The right to defend yourself without legal representation in criminal proceedings is </w:t>
      </w:r>
      <w:r>
        <w:rPr>
          <w:rFonts w:ascii="Arial" w:hAnsi="Arial" w:cs="Arial"/>
          <w:sz w:val="20"/>
        </w:rPr>
        <w:t>‘</w:t>
      </w:r>
      <w:r w:rsidRPr="00F263FB">
        <w:rPr>
          <w:rFonts w:ascii="Arial" w:hAnsi="Arial" w:cs="Arial"/>
          <w:sz w:val="20"/>
        </w:rPr>
        <w:t>fundamental</w:t>
      </w:r>
      <w:r>
        <w:rPr>
          <w:rFonts w:ascii="Arial" w:hAnsi="Arial" w:cs="Arial"/>
          <w:sz w:val="20"/>
        </w:rPr>
        <w:t>’</w:t>
      </w:r>
      <w:r w:rsidRPr="00F263FB">
        <w:rPr>
          <w:rFonts w:ascii="Arial" w:hAnsi="Arial" w:cs="Arial"/>
          <w:sz w:val="20"/>
        </w:rPr>
        <w:t xml:space="preserve"> and should not be interfered with</w:t>
      </w:r>
      <w:r>
        <w:rPr>
          <w:rFonts w:ascii="Arial" w:hAnsi="Arial" w:cs="Arial"/>
          <w:sz w:val="20"/>
        </w:rPr>
        <w:t xml:space="preserve">: </w:t>
      </w:r>
      <w:r w:rsidRPr="00F263FB">
        <w:rPr>
          <w:rFonts w:ascii="Arial" w:hAnsi="Arial" w:cs="Arial"/>
          <w:i/>
          <w:sz w:val="20"/>
        </w:rPr>
        <w:t>R v Zorad</w:t>
      </w:r>
      <w:r w:rsidRPr="00F263FB">
        <w:rPr>
          <w:rFonts w:ascii="Arial" w:hAnsi="Arial" w:cs="Arial"/>
          <w:sz w:val="20"/>
        </w:rPr>
        <w:t xml:space="preserve"> (1990) 19 NSWLR 91, 95; </w:t>
      </w:r>
      <w:r w:rsidRPr="00F263FB">
        <w:rPr>
          <w:rFonts w:ascii="Arial" w:hAnsi="Arial" w:cs="Arial"/>
          <w:i/>
          <w:sz w:val="20"/>
        </w:rPr>
        <w:t>Cachia v Hanes</w:t>
      </w:r>
      <w:r w:rsidRPr="00F263FB">
        <w:rPr>
          <w:rFonts w:ascii="Arial" w:hAnsi="Arial" w:cs="Arial"/>
          <w:sz w:val="20"/>
        </w:rPr>
        <w:t xml:space="preserve"> (1994) 120 ALR 385, 391.  People who choose to defend themselves against criminal charges forfeit none of their legal rights, although they obtain no special advantages</w:t>
      </w:r>
      <w:r w:rsidRPr="00F263FB">
        <w:rPr>
          <w:rFonts w:ascii="Arial" w:hAnsi="Arial" w:cs="Arial"/>
          <w:sz w:val="20"/>
          <w:szCs w:val="20"/>
        </w:rPr>
        <w:t xml:space="preserve"> {</w:t>
      </w:r>
      <w:r w:rsidRPr="00F263FB">
        <w:rPr>
          <w:rFonts w:ascii="Arial" w:hAnsi="Arial" w:cs="Arial"/>
          <w:i/>
          <w:sz w:val="20"/>
          <w:szCs w:val="20"/>
        </w:rPr>
        <w:t>MacPherson v R</w:t>
      </w:r>
      <w:r w:rsidRPr="00F263FB">
        <w:rPr>
          <w:rFonts w:ascii="Arial" w:hAnsi="Arial" w:cs="Arial"/>
          <w:sz w:val="20"/>
          <w:szCs w:val="20"/>
        </w:rPr>
        <w:t xml:space="preserve"> (1981) 147 CLR 512, 546; </w:t>
      </w:r>
      <w:r w:rsidRPr="00F263FB">
        <w:rPr>
          <w:rFonts w:ascii="Arial" w:hAnsi="Arial" w:cs="Arial"/>
          <w:i/>
          <w:sz w:val="20"/>
          <w:szCs w:val="20"/>
        </w:rPr>
        <w:t>R v Zorad</w:t>
      </w:r>
      <w:r w:rsidRPr="00F263FB">
        <w:rPr>
          <w:rFonts w:ascii="Arial" w:hAnsi="Arial" w:cs="Arial"/>
          <w:sz w:val="20"/>
          <w:szCs w:val="20"/>
        </w:rPr>
        <w:t xml:space="preserve"> (1990) 19 NSWLR 91, 95; </w:t>
      </w:r>
      <w:r w:rsidRPr="00F263FB">
        <w:rPr>
          <w:rFonts w:ascii="Arial" w:hAnsi="Arial" w:cs="Arial"/>
          <w:i/>
          <w:sz w:val="20"/>
          <w:szCs w:val="20"/>
        </w:rPr>
        <w:t>In Re an Inquiry into Mirror Group Newspapers PLC</w:t>
      </w:r>
      <w:r w:rsidRPr="00F263FB">
        <w:rPr>
          <w:rFonts w:ascii="Arial" w:hAnsi="Arial" w:cs="Arial"/>
          <w:sz w:val="20"/>
          <w:szCs w:val="20"/>
        </w:rPr>
        <w:t xml:space="preserve"> [2</w:t>
      </w:r>
      <w:r>
        <w:rPr>
          <w:rFonts w:ascii="Arial" w:hAnsi="Arial" w:cs="Arial"/>
          <w:sz w:val="20"/>
          <w:szCs w:val="20"/>
        </w:rPr>
        <w:t>000] Ch 194, 212 (a civil case)}</w:t>
      </w:r>
      <w:r w:rsidRPr="00F263FB">
        <w:rPr>
          <w:rFonts w:ascii="Arial" w:hAnsi="Arial" w:cs="Arial"/>
          <w:sz w:val="20"/>
        </w:rPr>
        <w:t>, and their election to appear self-represented means the trial cannot be unfair on that ground</w:t>
      </w:r>
      <w:r>
        <w:rPr>
          <w:rFonts w:ascii="Arial" w:hAnsi="Arial" w:cs="Arial"/>
          <w:sz w:val="20"/>
        </w:rPr>
        <w:t xml:space="preserve">: </w:t>
      </w:r>
      <w:r w:rsidRPr="00F263FB">
        <w:rPr>
          <w:rFonts w:ascii="Arial" w:hAnsi="Arial" w:cs="Arial"/>
          <w:i/>
          <w:sz w:val="20"/>
          <w:szCs w:val="20"/>
        </w:rPr>
        <w:t>Dietrich v R</w:t>
      </w:r>
      <w:r w:rsidRPr="00F263FB">
        <w:rPr>
          <w:rFonts w:ascii="Arial" w:hAnsi="Arial" w:cs="Arial"/>
          <w:sz w:val="20"/>
          <w:szCs w:val="20"/>
        </w:rPr>
        <w:t xml:space="preserve"> (1992) 177 CLR 292, 336; see also </w:t>
      </w:r>
      <w:r w:rsidRPr="00F263FB">
        <w:rPr>
          <w:rFonts w:ascii="Arial" w:hAnsi="Arial" w:cs="Arial"/>
          <w:i/>
          <w:sz w:val="20"/>
          <w:szCs w:val="20"/>
        </w:rPr>
        <w:t>Craig v South Australia</w:t>
      </w:r>
      <w:r w:rsidRPr="00F263FB">
        <w:rPr>
          <w:rFonts w:ascii="Arial" w:hAnsi="Arial" w:cs="Arial"/>
          <w:sz w:val="20"/>
          <w:szCs w:val="20"/>
        </w:rPr>
        <w:t xml:space="preserve"> (1994-1995) 184 CLR 163, 185-186.</w:t>
      </w:r>
      <w:r w:rsidRPr="00F263FB">
        <w:rPr>
          <w:rFonts w:ascii="Arial" w:hAnsi="Arial" w:cs="Arial"/>
          <w:sz w:val="20"/>
        </w:rPr>
        <w:t xml:space="preserve">  A person who refuses or neglects to comply with the reasonable requirements of a legal aid authority cannot be said to be unable to obtain legal representation, and their trial without legal representation will also not be unfair on that ground</w:t>
      </w:r>
      <w:r>
        <w:rPr>
          <w:rFonts w:ascii="Arial" w:hAnsi="Arial" w:cs="Arial"/>
          <w:sz w:val="20"/>
        </w:rPr>
        <w:t>:</w:t>
      </w:r>
      <w:r w:rsidRPr="00F263FB">
        <w:rPr>
          <w:rFonts w:ascii="Arial" w:hAnsi="Arial" w:cs="Arial"/>
          <w:i/>
          <w:sz w:val="20"/>
          <w:szCs w:val="20"/>
        </w:rPr>
        <w:t xml:space="preserve"> Karounos v R</w:t>
      </w:r>
      <w:r w:rsidRPr="00F263FB">
        <w:rPr>
          <w:rFonts w:ascii="Arial" w:hAnsi="Arial" w:cs="Arial"/>
          <w:sz w:val="20"/>
          <w:szCs w:val="20"/>
        </w:rPr>
        <w:t xml:space="preserve"> (1995) 77 A Crim R 479, 485-6.</w:t>
      </w:r>
      <w:r>
        <w:rPr>
          <w:rFonts w:ascii="Arial" w:hAnsi="Arial" w:cs="Arial"/>
          <w:sz w:val="20"/>
          <w:szCs w:val="20"/>
        </w:rPr>
        <w:t>”</w:t>
      </w:r>
    </w:p>
    <w:p w14:paraId="2042C528" w14:textId="77777777" w:rsidR="00F263FB" w:rsidRDefault="00F263FB">
      <w:pPr>
        <w:jc w:val="both"/>
        <w:rPr>
          <w:rFonts w:ascii="Arial" w:hAnsi="Arial" w:cs="Arial"/>
          <w:sz w:val="20"/>
        </w:rPr>
      </w:pPr>
    </w:p>
    <w:p w14:paraId="3C92457B" w14:textId="77777777" w:rsidR="00337EE3" w:rsidRDefault="00337EE3">
      <w:pPr>
        <w:jc w:val="both"/>
        <w:rPr>
          <w:rFonts w:ascii="Arial" w:hAnsi="Arial" w:cs="Arial"/>
          <w:sz w:val="20"/>
        </w:rPr>
      </w:pPr>
      <w:r>
        <w:rPr>
          <w:rFonts w:ascii="Arial" w:hAnsi="Arial" w:cs="Arial"/>
          <w:sz w:val="20"/>
        </w:rPr>
        <w:t xml:space="preserve">In </w:t>
      </w:r>
      <w:r w:rsidRPr="00337EE3">
        <w:rPr>
          <w:rFonts w:ascii="Arial" w:hAnsi="Arial" w:cs="Arial"/>
          <w:i/>
          <w:sz w:val="20"/>
        </w:rPr>
        <w:t>McKenzie v McKenzie</w:t>
      </w:r>
      <w:r>
        <w:rPr>
          <w:rFonts w:ascii="Arial" w:hAnsi="Arial" w:cs="Arial"/>
          <w:sz w:val="20"/>
        </w:rPr>
        <w:t xml:space="preserve"> [1971] P 33; [1970] 3 All ER 1034 at 1036 the English Court of Appeal approved dicta of Lord Tenterden CJ in </w:t>
      </w:r>
      <w:r w:rsidRPr="00337EE3">
        <w:rPr>
          <w:rFonts w:ascii="Arial" w:hAnsi="Arial" w:cs="Arial"/>
          <w:i/>
          <w:sz w:val="20"/>
        </w:rPr>
        <w:t>Collier v Hicks</w:t>
      </w:r>
      <w:r>
        <w:rPr>
          <w:rFonts w:ascii="Arial" w:hAnsi="Arial" w:cs="Arial"/>
          <w:sz w:val="20"/>
        </w:rPr>
        <w:t xml:space="preserve"> (1831) 2 B &amp; Ad 663 at 669:</w:t>
      </w:r>
    </w:p>
    <w:p w14:paraId="52805121" w14:textId="77777777" w:rsidR="00337EE3" w:rsidRDefault="00337EE3" w:rsidP="008166D5">
      <w:pPr>
        <w:spacing w:before="60"/>
        <w:ind w:left="454" w:right="454"/>
        <w:jc w:val="both"/>
        <w:rPr>
          <w:rFonts w:ascii="Arial" w:hAnsi="Arial" w:cs="Arial"/>
          <w:iCs/>
          <w:sz w:val="20"/>
        </w:rPr>
      </w:pPr>
      <w:r>
        <w:rPr>
          <w:rFonts w:ascii="Arial" w:hAnsi="Arial" w:cs="Arial"/>
          <w:iCs/>
          <w:sz w:val="20"/>
        </w:rPr>
        <w:t>“Any person, whether he be a professional man or not, may attend as a friend of either party, may take notes, may quietly make suggestions, and give advice; but no one can demand to take part in the proceedings as an advocate, contrary to the regulations of the court as settled by the discretion of the justices.”</w:t>
      </w:r>
    </w:p>
    <w:p w14:paraId="1FB549D7" w14:textId="77777777" w:rsidR="00F80F06" w:rsidRDefault="005C4AB8" w:rsidP="008166D5">
      <w:pPr>
        <w:spacing w:before="60"/>
        <w:jc w:val="both"/>
        <w:rPr>
          <w:rFonts w:ascii="Arial" w:hAnsi="Arial" w:cs="Arial"/>
          <w:sz w:val="20"/>
        </w:rPr>
      </w:pPr>
      <w:r>
        <w:rPr>
          <w:rFonts w:ascii="Arial" w:hAnsi="Arial" w:cs="Arial"/>
          <w:sz w:val="20"/>
        </w:rPr>
        <w:t xml:space="preserve">Thus an adult party – other than the Secretary – may </w:t>
      </w:r>
      <w:r w:rsidR="00F80F06">
        <w:rPr>
          <w:rFonts w:ascii="Arial" w:hAnsi="Arial" w:cs="Arial"/>
          <w:sz w:val="20"/>
        </w:rPr>
        <w:t xml:space="preserve">probably </w:t>
      </w:r>
      <w:r>
        <w:rPr>
          <w:rFonts w:ascii="Arial" w:hAnsi="Arial" w:cs="Arial"/>
          <w:sz w:val="20"/>
        </w:rPr>
        <w:t xml:space="preserve">only appear personally or by a legal practitioner but an unrepresented adult may be assisted in the conduct of his or her case by a ‘McKenzie friend’, such </w:t>
      </w:r>
      <w:r w:rsidR="0034739F">
        <w:rPr>
          <w:rFonts w:ascii="Arial" w:hAnsi="Arial" w:cs="Arial"/>
          <w:sz w:val="20"/>
        </w:rPr>
        <w:t xml:space="preserve">assistance falling short of actual legal representation.  </w:t>
      </w:r>
      <w:r w:rsidR="00F80F06">
        <w:rPr>
          <w:rFonts w:ascii="Arial" w:hAnsi="Arial" w:cs="Arial"/>
          <w:sz w:val="20"/>
        </w:rPr>
        <w:t xml:space="preserve">However, in the exceptional circumstances of the civil case of </w:t>
      </w:r>
      <w:r w:rsidR="00F80F06" w:rsidRPr="0034739F">
        <w:rPr>
          <w:rFonts w:ascii="Arial" w:hAnsi="Arial" w:cs="Arial"/>
          <w:i/>
          <w:sz w:val="20"/>
        </w:rPr>
        <w:t>Skrijel v Mengler</w:t>
      </w:r>
      <w:r w:rsidR="00F80F06">
        <w:rPr>
          <w:rFonts w:ascii="Arial" w:hAnsi="Arial" w:cs="Arial"/>
          <w:i/>
          <w:sz w:val="20"/>
        </w:rPr>
        <w:t xml:space="preserve"> </w:t>
      </w:r>
      <w:r w:rsidR="00F80F06">
        <w:rPr>
          <w:rFonts w:ascii="Arial" w:hAnsi="Arial" w:cs="Arial"/>
          <w:sz w:val="20"/>
        </w:rPr>
        <w:t xml:space="preserve">[2003] VSC 270 at [7] </w:t>
      </w:r>
      <w:r w:rsidR="00F80F06" w:rsidRPr="00F80F06">
        <w:rPr>
          <w:rFonts w:ascii="Arial" w:hAnsi="Arial" w:cs="Arial"/>
          <w:sz w:val="20"/>
        </w:rPr>
        <w:t xml:space="preserve">Nettle J </w:t>
      </w:r>
      <w:r w:rsidR="00F80F06">
        <w:rPr>
          <w:rFonts w:ascii="Arial" w:hAnsi="Arial" w:cs="Arial"/>
          <w:sz w:val="20"/>
        </w:rPr>
        <w:t>permitted a McKenzie friend to transmogrify into a lay advocate on the 15</w:t>
      </w:r>
      <w:r w:rsidR="00F80F06" w:rsidRPr="00F80F06">
        <w:rPr>
          <w:rFonts w:ascii="Arial" w:hAnsi="Arial" w:cs="Arial"/>
          <w:sz w:val="20"/>
          <w:vertAlign w:val="superscript"/>
        </w:rPr>
        <w:t>th</w:t>
      </w:r>
      <w:r w:rsidR="00F80F06">
        <w:rPr>
          <w:rFonts w:ascii="Arial" w:hAnsi="Arial" w:cs="Arial"/>
          <w:sz w:val="20"/>
        </w:rPr>
        <w:t xml:space="preserve"> day of a 29 day hearing, albeit an advocate formally acting on the instructions of </w:t>
      </w:r>
      <w:r w:rsidR="0000672E">
        <w:rPr>
          <w:rFonts w:ascii="Arial" w:hAnsi="Arial" w:cs="Arial"/>
          <w:sz w:val="20"/>
        </w:rPr>
        <w:t>Mr Skrijel</w:t>
      </w:r>
      <w:r w:rsidR="00F80F06">
        <w:rPr>
          <w:rFonts w:ascii="Arial" w:hAnsi="Arial" w:cs="Arial"/>
          <w:sz w:val="20"/>
        </w:rPr>
        <w:t>’s solicitor.</w:t>
      </w:r>
      <w:r w:rsidR="00FB1267">
        <w:rPr>
          <w:rFonts w:ascii="Arial" w:hAnsi="Arial" w:cs="Arial"/>
          <w:sz w:val="20"/>
        </w:rPr>
        <w:t xml:space="preserve">  </w:t>
      </w:r>
      <w:r w:rsidR="00E05CBC">
        <w:rPr>
          <w:rFonts w:ascii="Arial" w:hAnsi="Arial" w:cs="Arial"/>
          <w:sz w:val="20"/>
        </w:rPr>
        <w:t xml:space="preserve">Though </w:t>
      </w:r>
      <w:r w:rsidR="00FB1267" w:rsidRPr="00FB1267">
        <w:rPr>
          <w:rFonts w:ascii="Arial" w:hAnsi="Arial" w:cs="Arial"/>
          <w:i/>
          <w:sz w:val="20"/>
        </w:rPr>
        <w:t>Skrijel’s Case</w:t>
      </w:r>
      <w:r w:rsidR="00E05CBC">
        <w:rPr>
          <w:rFonts w:ascii="Arial" w:hAnsi="Arial" w:cs="Arial"/>
          <w:sz w:val="20"/>
        </w:rPr>
        <w:t xml:space="preserve"> might be thought to be an extreme example, it is the writer’s experience that it is generally very difficult for an unrepresented litigant to do justice to his or her case</w:t>
      </w:r>
      <w:r w:rsidR="002B13FD">
        <w:rPr>
          <w:rFonts w:ascii="Arial" w:hAnsi="Arial" w:cs="Arial"/>
          <w:sz w:val="20"/>
        </w:rPr>
        <w:t>,</w:t>
      </w:r>
      <w:r w:rsidR="00E05CBC">
        <w:rPr>
          <w:rFonts w:ascii="Arial" w:hAnsi="Arial" w:cs="Arial"/>
          <w:sz w:val="20"/>
        </w:rPr>
        <w:t xml:space="preserve"> as witness the following observation of Gleeson CJ, Gummow, Kirby, Hayne &amp; Crennan JJ in </w:t>
      </w:r>
      <w:r w:rsidR="00E05CBC" w:rsidRPr="00E05CBC">
        <w:rPr>
          <w:rFonts w:ascii="Arial" w:hAnsi="Arial" w:cs="Arial"/>
          <w:i/>
          <w:sz w:val="20"/>
        </w:rPr>
        <w:t xml:space="preserve">Mansfield v Director of Public Prosecutions for Western Australia </w:t>
      </w:r>
      <w:r w:rsidR="00E05CBC">
        <w:rPr>
          <w:rFonts w:ascii="Arial" w:hAnsi="Arial" w:cs="Arial"/>
          <w:sz w:val="20"/>
        </w:rPr>
        <w:t>[2006] HCA 38 at [49]:</w:t>
      </w:r>
    </w:p>
    <w:p w14:paraId="08DE7156" w14:textId="06B039F9" w:rsidR="00FB1267" w:rsidRDefault="00FB1267" w:rsidP="009B1CFB">
      <w:pPr>
        <w:spacing w:before="60"/>
        <w:ind w:left="454" w:right="454"/>
        <w:jc w:val="both"/>
        <w:rPr>
          <w:rFonts w:ascii="Arial" w:hAnsi="Arial" w:cs="Arial"/>
          <w:iCs/>
          <w:sz w:val="20"/>
        </w:rPr>
      </w:pPr>
      <w:r>
        <w:rPr>
          <w:rFonts w:ascii="Arial" w:hAnsi="Arial" w:cs="Arial"/>
          <w:iCs/>
          <w:sz w:val="20"/>
        </w:rPr>
        <w:t>“</w:t>
      </w:r>
      <w:r w:rsidRPr="00FB1267">
        <w:rPr>
          <w:rFonts w:ascii="Arial" w:hAnsi="Arial" w:cs="Arial"/>
          <w:sz w:val="20"/>
        </w:rPr>
        <w:t xml:space="preserve">In </w:t>
      </w:r>
      <w:r w:rsidRPr="00FB1267">
        <w:rPr>
          <w:rFonts w:ascii="Arial" w:hAnsi="Arial" w:cs="Arial"/>
          <w:i/>
          <w:iCs/>
          <w:sz w:val="20"/>
        </w:rPr>
        <w:t>Dietrich v The Queen</w:t>
      </w:r>
      <w:r>
        <w:rPr>
          <w:rFonts w:ascii="Arial" w:hAnsi="Arial" w:cs="Arial"/>
          <w:i/>
          <w:iCs/>
          <w:sz w:val="20"/>
        </w:rPr>
        <w:t xml:space="preserve"> </w:t>
      </w:r>
      <w:r w:rsidRPr="00FB1267">
        <w:rPr>
          <w:rFonts w:ascii="Arial" w:hAnsi="Arial" w:cs="Arial"/>
          <w:iCs/>
          <w:sz w:val="20"/>
        </w:rPr>
        <w:t>(1992) 177 CLR 292 at 302</w:t>
      </w:r>
      <w:r w:rsidRPr="00FB1267">
        <w:rPr>
          <w:rFonts w:ascii="Arial" w:hAnsi="Arial" w:cs="Arial"/>
          <w:sz w:val="20"/>
        </w:rPr>
        <w:t>, Mason</w:t>
      </w:r>
      <w:r w:rsidR="008166D5">
        <w:rPr>
          <w:rFonts w:ascii="Arial" w:hAnsi="Arial" w:cs="Arial"/>
          <w:sz w:val="20"/>
        </w:rPr>
        <w:t xml:space="preserve"> </w:t>
      </w:r>
      <w:r w:rsidRPr="00FB1267">
        <w:rPr>
          <w:rFonts w:ascii="Arial" w:hAnsi="Arial" w:cs="Arial"/>
          <w:sz w:val="20"/>
        </w:rPr>
        <w:t>CJ and McHugh</w:t>
      </w:r>
      <w:r w:rsidR="008166D5">
        <w:rPr>
          <w:rFonts w:ascii="Arial" w:hAnsi="Arial" w:cs="Arial"/>
          <w:sz w:val="20"/>
        </w:rPr>
        <w:t xml:space="preserve"> </w:t>
      </w:r>
      <w:r w:rsidRPr="00FB1267">
        <w:rPr>
          <w:rFonts w:ascii="Arial" w:hAnsi="Arial" w:cs="Arial"/>
          <w:sz w:val="20"/>
        </w:rPr>
        <w:t>J repeated the extrajudicial opinion of Lord Devlin that, save in the exceptional case of the skilled litigant, in practice the adversarial system breaks down where there is no legal representation.</w:t>
      </w:r>
      <w:r>
        <w:rPr>
          <w:rFonts w:ascii="Arial" w:hAnsi="Arial" w:cs="Arial"/>
          <w:sz w:val="20"/>
        </w:rPr>
        <w:t>”</w:t>
      </w:r>
    </w:p>
    <w:p w14:paraId="5CC8411E" w14:textId="77777777" w:rsidR="000F0BE9" w:rsidRDefault="000F0BE9">
      <w:pPr>
        <w:jc w:val="both"/>
        <w:rPr>
          <w:rFonts w:ascii="Arial" w:hAnsi="Arial" w:cs="Arial"/>
          <w:sz w:val="20"/>
        </w:rPr>
      </w:pPr>
    </w:p>
    <w:p w14:paraId="3C8415C5" w14:textId="00552064" w:rsidR="00F80F06" w:rsidRDefault="005E185B">
      <w:pPr>
        <w:jc w:val="both"/>
        <w:rPr>
          <w:rFonts w:ascii="Arial" w:hAnsi="Arial" w:cs="Arial"/>
          <w:sz w:val="20"/>
        </w:rPr>
      </w:pPr>
      <w:r>
        <w:rPr>
          <w:rFonts w:ascii="Arial" w:hAnsi="Arial" w:cs="Arial"/>
          <w:sz w:val="20"/>
        </w:rPr>
        <w:t xml:space="preserve">In </w:t>
      </w:r>
      <w:r w:rsidRPr="005E185B">
        <w:rPr>
          <w:rFonts w:ascii="Arial" w:hAnsi="Arial" w:cs="Arial"/>
          <w:i/>
          <w:sz w:val="20"/>
        </w:rPr>
        <w:t>R v Yasso</w:t>
      </w:r>
      <w:r>
        <w:rPr>
          <w:rFonts w:ascii="Arial" w:hAnsi="Arial" w:cs="Arial"/>
          <w:sz w:val="20"/>
        </w:rPr>
        <w:t xml:space="preserve"> [2007] VSCA 306 the applicant was represented at each of his trials but was unrepresented on the hearing of the appeal Maxwell P (with whom Redlich JA &amp; Habersberger AJA agreed) said at [3]:</w:t>
      </w:r>
    </w:p>
    <w:p w14:paraId="3243F88A" w14:textId="77777777" w:rsidR="005E185B" w:rsidRDefault="005E185B" w:rsidP="006A0F25">
      <w:pPr>
        <w:spacing w:before="60"/>
        <w:ind w:left="454" w:right="454"/>
        <w:jc w:val="both"/>
        <w:rPr>
          <w:rFonts w:ascii="Arial" w:hAnsi="Arial" w:cs="Arial"/>
          <w:iCs/>
          <w:sz w:val="20"/>
        </w:rPr>
      </w:pPr>
      <w:r>
        <w:rPr>
          <w:rFonts w:ascii="Arial" w:hAnsi="Arial" w:cs="Arial"/>
          <w:iCs/>
          <w:sz w:val="20"/>
        </w:rPr>
        <w:t>“[The applicant] was very considerably assisted by a friend, Mr John Walsh, in the preparation of his appeal grounds and in the presentation of his written argument.  Mr Walsh deserves the highest commendation for his efforts over a long period on the applicant’s behalf.”</w:t>
      </w:r>
    </w:p>
    <w:p w14:paraId="589C25F9" w14:textId="5452765A" w:rsidR="00E01B11" w:rsidRDefault="00E01B11" w:rsidP="00E01B11">
      <w:pPr>
        <w:jc w:val="both"/>
        <w:rPr>
          <w:rFonts w:ascii="Arial" w:hAnsi="Arial" w:cs="Arial"/>
          <w:sz w:val="20"/>
        </w:rPr>
      </w:pPr>
    </w:p>
    <w:p w14:paraId="1EA12A90" w14:textId="776ACF78" w:rsidR="009139AF" w:rsidRPr="009139AF" w:rsidRDefault="009139AF" w:rsidP="00E01B11">
      <w:pPr>
        <w:jc w:val="both"/>
        <w:rPr>
          <w:rFonts w:ascii="Arial" w:hAnsi="Arial" w:cs="Arial"/>
          <w:sz w:val="20"/>
          <w:szCs w:val="20"/>
        </w:rPr>
      </w:pPr>
      <w:r w:rsidRPr="009139AF">
        <w:rPr>
          <w:rFonts w:ascii="Arial" w:hAnsi="Arial" w:cs="Arial"/>
          <w:sz w:val="20"/>
          <w:szCs w:val="20"/>
        </w:rPr>
        <w:t xml:space="preserve">In </w:t>
      </w:r>
      <w:r w:rsidRPr="009139AF">
        <w:rPr>
          <w:rFonts w:ascii="Arial" w:hAnsi="Arial" w:cs="Arial"/>
          <w:i/>
          <w:iCs/>
          <w:sz w:val="20"/>
          <w:szCs w:val="20"/>
        </w:rPr>
        <w:t>Weldemichael v Duy Tri Ha</w:t>
      </w:r>
      <w:r w:rsidRPr="009139AF">
        <w:rPr>
          <w:rFonts w:ascii="Arial" w:hAnsi="Arial" w:cs="Arial"/>
          <w:sz w:val="20"/>
          <w:szCs w:val="20"/>
        </w:rPr>
        <w:t xml:space="preserve"> [2022] VSC 817</w:t>
      </w:r>
      <w:r>
        <w:rPr>
          <w:rFonts w:ascii="Arial" w:hAnsi="Arial" w:cs="Arial"/>
          <w:sz w:val="20"/>
          <w:szCs w:val="20"/>
        </w:rPr>
        <w:t xml:space="preserve"> one of the plaintiff’s objections was that the respondent had received assistance from his son during a VCAT hearing.  The son had addressed the Tribunal on occasions and had made submissions on his behalf although it appeared that an interpreter was present and that Mr Ha had some command of English.  In rejecting this objection Ginnane J said at [20]:</w:t>
      </w:r>
    </w:p>
    <w:p w14:paraId="507CB56B" w14:textId="1F0543FA" w:rsidR="009139AF" w:rsidRDefault="009139AF" w:rsidP="009139AF">
      <w:pPr>
        <w:spacing w:before="60"/>
        <w:ind w:left="454" w:right="454"/>
        <w:jc w:val="both"/>
        <w:rPr>
          <w:rFonts w:ascii="Arial" w:hAnsi="Arial" w:cs="Arial"/>
          <w:iCs/>
          <w:sz w:val="20"/>
        </w:rPr>
      </w:pPr>
      <w:r w:rsidRPr="009139AF">
        <w:rPr>
          <w:rFonts w:ascii="Arial" w:hAnsi="Arial" w:cs="Arial"/>
          <w:iCs/>
          <w:sz w:val="20"/>
          <w:szCs w:val="20"/>
        </w:rPr>
        <w:t>“</w:t>
      </w:r>
      <w:r w:rsidRPr="009139AF">
        <w:rPr>
          <w:rFonts w:ascii="Arial" w:hAnsi="Arial" w:cs="Arial"/>
          <w:sz w:val="20"/>
          <w:szCs w:val="20"/>
        </w:rPr>
        <w:t xml:space="preserve">VCAT had power to allow Mr Ha’s son to assist him in the way that he did. This is consistent with the Court of Appeal’s decision in </w:t>
      </w:r>
      <w:r w:rsidRPr="009139AF">
        <w:rPr>
          <w:rFonts w:ascii="Arial" w:hAnsi="Arial" w:cs="Arial"/>
          <w:i/>
          <w:iCs/>
          <w:sz w:val="20"/>
          <w:szCs w:val="20"/>
        </w:rPr>
        <w:t>Hua Li v John Hong Ping So</w:t>
      </w:r>
      <w:r w:rsidRPr="009139AF">
        <w:rPr>
          <w:rFonts w:ascii="Arial" w:hAnsi="Arial" w:cs="Arial"/>
          <w:sz w:val="20"/>
          <w:szCs w:val="20"/>
        </w:rPr>
        <w:t xml:space="preserve"> [2021] VSCA 32, [20] which discussed the discretion to permit a non-legally trained person to represent a litigant as a </w:t>
      </w:r>
      <w:r w:rsidRPr="009139AF">
        <w:rPr>
          <w:rFonts w:ascii="Arial" w:hAnsi="Arial" w:cs="Arial"/>
          <w:i/>
          <w:iCs/>
          <w:sz w:val="20"/>
          <w:szCs w:val="20"/>
        </w:rPr>
        <w:t>McKenzie</w:t>
      </w:r>
      <w:r w:rsidRPr="009139AF">
        <w:rPr>
          <w:rFonts w:ascii="Arial" w:hAnsi="Arial" w:cs="Arial"/>
          <w:sz w:val="20"/>
          <w:szCs w:val="20"/>
        </w:rPr>
        <w:t xml:space="preserve"> friend in special circumstances. That power is appropriately used to assist a person present their case when they may otherwise be unable to do so. The assistance may extend to making oral submissions on a person’s behalf.</w:t>
      </w:r>
      <w:r>
        <w:rPr>
          <w:rFonts w:ascii="Arial" w:hAnsi="Arial" w:cs="Arial"/>
          <w:sz w:val="20"/>
          <w:szCs w:val="20"/>
        </w:rPr>
        <w:t>”</w:t>
      </w:r>
    </w:p>
    <w:p w14:paraId="6B19A309" w14:textId="62271A82" w:rsidR="009139AF" w:rsidRDefault="009139AF" w:rsidP="00E01B11">
      <w:pPr>
        <w:jc w:val="both"/>
        <w:rPr>
          <w:rFonts w:ascii="Arial" w:hAnsi="Arial" w:cs="Arial"/>
          <w:sz w:val="20"/>
        </w:rPr>
      </w:pPr>
    </w:p>
    <w:p w14:paraId="5404D0FD" w14:textId="5DF87222" w:rsidR="002B1B43" w:rsidRPr="002B1B43" w:rsidRDefault="002B1B43" w:rsidP="00E01B11">
      <w:pPr>
        <w:jc w:val="both"/>
        <w:rPr>
          <w:rFonts w:ascii="Arial" w:hAnsi="Arial" w:cs="Arial"/>
          <w:sz w:val="20"/>
          <w:szCs w:val="20"/>
        </w:rPr>
      </w:pPr>
      <w:r w:rsidRPr="002B1B43">
        <w:rPr>
          <w:rFonts w:ascii="Arial" w:hAnsi="Arial" w:cs="Arial"/>
          <w:sz w:val="20"/>
          <w:szCs w:val="20"/>
        </w:rPr>
        <w:t xml:space="preserve">Other cases involving a McKenzie friend assisting a party include </w:t>
      </w:r>
      <w:r w:rsidRPr="002B1B43">
        <w:rPr>
          <w:rFonts w:ascii="Arial" w:hAnsi="Arial" w:cs="Arial"/>
          <w:i/>
          <w:iCs/>
          <w:sz w:val="20"/>
          <w:szCs w:val="20"/>
        </w:rPr>
        <w:t>Vella v Wybecca Pty Ltd</w:t>
      </w:r>
      <w:r w:rsidRPr="002B1B43">
        <w:rPr>
          <w:rFonts w:ascii="Arial" w:hAnsi="Arial" w:cs="Arial"/>
          <w:sz w:val="20"/>
          <w:szCs w:val="20"/>
        </w:rPr>
        <w:t xml:space="preserve"> [2014] VSC 443 and </w:t>
      </w:r>
      <w:r w:rsidRPr="002B1B43">
        <w:rPr>
          <w:rFonts w:ascii="Arial" w:hAnsi="Arial" w:cs="Arial"/>
          <w:i/>
          <w:iCs/>
          <w:sz w:val="20"/>
          <w:szCs w:val="20"/>
        </w:rPr>
        <w:t>210 Hawthorn Road Pty Ltd v Ellinson &amp; Ors</w:t>
      </w:r>
      <w:r w:rsidRPr="002B1B43">
        <w:rPr>
          <w:rFonts w:ascii="Arial" w:hAnsi="Arial" w:cs="Arial"/>
          <w:sz w:val="20"/>
          <w:szCs w:val="20"/>
        </w:rPr>
        <w:t xml:space="preserve"> [2024] VSC 61.</w:t>
      </w:r>
    </w:p>
    <w:p w14:paraId="3BB594FB" w14:textId="77777777" w:rsidR="002B1B43" w:rsidRDefault="002B1B43" w:rsidP="00E01B11">
      <w:pPr>
        <w:jc w:val="both"/>
        <w:rPr>
          <w:rFonts w:ascii="Arial" w:hAnsi="Arial" w:cs="Arial"/>
          <w:sz w:val="20"/>
        </w:rPr>
      </w:pPr>
    </w:p>
    <w:p w14:paraId="6778DA23" w14:textId="577346EA" w:rsidR="00FC49A0" w:rsidRPr="00E2556B" w:rsidRDefault="00E2556B" w:rsidP="00E2556B">
      <w:pPr>
        <w:jc w:val="both"/>
        <w:rPr>
          <w:rFonts w:ascii="Arial" w:hAnsi="Arial" w:cs="Arial"/>
          <w:sz w:val="20"/>
        </w:rPr>
      </w:pPr>
      <w:r>
        <w:rPr>
          <w:rFonts w:ascii="Arial" w:hAnsi="Arial" w:cs="Arial"/>
          <w:sz w:val="20"/>
        </w:rPr>
        <w:t xml:space="preserve">In the criminal appeal of </w:t>
      </w:r>
      <w:r w:rsidRPr="00E2556B">
        <w:rPr>
          <w:rFonts w:ascii="Arial" w:hAnsi="Arial" w:cs="Arial"/>
          <w:i/>
          <w:iCs/>
          <w:sz w:val="20"/>
        </w:rPr>
        <w:t>Frendo v The King</w:t>
      </w:r>
      <w:r>
        <w:rPr>
          <w:rFonts w:ascii="Arial" w:hAnsi="Arial" w:cs="Arial"/>
          <w:sz w:val="20"/>
        </w:rPr>
        <w:t xml:space="preserve"> [2024] VSCA 319 Boyce JA (with whom Priest &amp; Taylor JJA agreed) said at [11]: “</w:t>
      </w:r>
      <w:r w:rsidRPr="00E2556B">
        <w:rPr>
          <w:rFonts w:ascii="Arial" w:hAnsi="Arial" w:cs="Arial"/>
          <w:sz w:val="20"/>
        </w:rPr>
        <w:t xml:space="preserve">The principles concerning the ability of a ‘McKenzie friend’ to assist a litigant in person by prompting, taking notes and giving advice, and, in addition, by making submissions on behalf of such a litigant, were summarised recently by Walker JA in </w:t>
      </w:r>
      <w:r w:rsidRPr="00E2556B">
        <w:rPr>
          <w:rFonts w:ascii="Arial" w:hAnsi="Arial" w:cs="Arial"/>
          <w:i/>
          <w:iCs/>
          <w:sz w:val="20"/>
        </w:rPr>
        <w:t>Myers v Victorian Civil and Administrative Tribunal</w:t>
      </w:r>
      <w:r>
        <w:rPr>
          <w:rFonts w:ascii="Arial" w:hAnsi="Arial" w:cs="Arial"/>
          <w:sz w:val="20"/>
        </w:rPr>
        <w:t xml:space="preserve"> [2024] VSCA 206 at [6]-[9].” In </w:t>
      </w:r>
      <w:r w:rsidRPr="00E2556B">
        <w:rPr>
          <w:rFonts w:ascii="Arial" w:hAnsi="Arial" w:cs="Arial"/>
          <w:i/>
          <w:iCs/>
          <w:sz w:val="20"/>
        </w:rPr>
        <w:t>Myers’ Case</w:t>
      </w:r>
      <w:r>
        <w:rPr>
          <w:rFonts w:ascii="Arial" w:hAnsi="Arial" w:cs="Arial"/>
          <w:sz w:val="20"/>
        </w:rPr>
        <w:t xml:space="preserve"> Walker JA </w:t>
      </w:r>
      <w:r w:rsidR="00FC49A0">
        <w:rPr>
          <w:rFonts w:ascii="Arial" w:hAnsi="Arial" w:cs="Arial"/>
          <w:sz w:val="20"/>
        </w:rPr>
        <w:t xml:space="preserve">held that </w:t>
      </w:r>
      <w:r w:rsidR="00B70FF9">
        <w:rPr>
          <w:rFonts w:ascii="Arial" w:hAnsi="Arial" w:cs="Arial"/>
          <w:sz w:val="20"/>
        </w:rPr>
        <w:t xml:space="preserve">the trial judge </w:t>
      </w:r>
      <w:r w:rsidR="00FC49A0">
        <w:rPr>
          <w:rFonts w:ascii="Arial" w:hAnsi="Arial" w:cs="Arial"/>
          <w:sz w:val="20"/>
        </w:rPr>
        <w:t>had not erred in refusing the app</w:t>
      </w:r>
      <w:r w:rsidR="00B70FF9">
        <w:rPr>
          <w:rFonts w:ascii="Arial" w:hAnsi="Arial" w:cs="Arial"/>
          <w:sz w:val="20"/>
        </w:rPr>
        <w:t>licant</w:t>
      </w:r>
      <w:r w:rsidR="00FC49A0">
        <w:rPr>
          <w:rFonts w:ascii="Arial" w:hAnsi="Arial" w:cs="Arial"/>
          <w:sz w:val="20"/>
        </w:rPr>
        <w:t>’s application for a McKenzie friend to make oral submissions at trial or in finding that special circumstances were not made out or in finding the proposed McKenzie friend not suitable.</w:t>
      </w:r>
      <w:r w:rsidR="00B70FF9">
        <w:rPr>
          <w:rFonts w:ascii="Arial" w:hAnsi="Arial" w:cs="Arial"/>
          <w:sz w:val="20"/>
        </w:rPr>
        <w:t xml:space="preserve">  Walker JA also held that the trial judge had not denied the applicant procedural fairness and had not breached the </w:t>
      </w:r>
      <w:r w:rsidR="00B70FF9" w:rsidRPr="00B70FF9">
        <w:rPr>
          <w:rFonts w:ascii="Arial" w:hAnsi="Arial" w:cs="Arial"/>
          <w:i/>
          <w:iCs/>
          <w:sz w:val="20"/>
        </w:rPr>
        <w:t>Charter of Human Rights and Responsibilities Act 2006</w:t>
      </w:r>
      <w:r w:rsidR="00B70FF9">
        <w:rPr>
          <w:rFonts w:ascii="Arial" w:hAnsi="Arial" w:cs="Arial"/>
          <w:sz w:val="20"/>
        </w:rPr>
        <w:t xml:space="preserve"> or the </w:t>
      </w:r>
      <w:r w:rsidR="00B70FF9" w:rsidRPr="00B70FF9">
        <w:rPr>
          <w:rFonts w:ascii="Arial" w:hAnsi="Arial" w:cs="Arial"/>
          <w:i/>
          <w:iCs/>
          <w:sz w:val="20"/>
        </w:rPr>
        <w:t>Equal Opportunity Act 2010</w:t>
      </w:r>
      <w:r w:rsidR="00B70FF9">
        <w:rPr>
          <w:rFonts w:ascii="Arial" w:hAnsi="Arial" w:cs="Arial"/>
          <w:sz w:val="20"/>
        </w:rPr>
        <w:t>.</w:t>
      </w:r>
    </w:p>
    <w:p w14:paraId="2DF3824B" w14:textId="77777777" w:rsidR="00FC49A0" w:rsidRDefault="00FC49A0" w:rsidP="00E01B11">
      <w:pPr>
        <w:jc w:val="both"/>
        <w:rPr>
          <w:rFonts w:ascii="Arial" w:hAnsi="Arial" w:cs="Arial"/>
          <w:sz w:val="20"/>
        </w:rPr>
      </w:pPr>
    </w:p>
    <w:p w14:paraId="39C764F1" w14:textId="2BB3262A" w:rsidR="00D508A8" w:rsidRDefault="00D508A8" w:rsidP="00E01B11">
      <w:pPr>
        <w:jc w:val="both"/>
        <w:rPr>
          <w:rFonts w:ascii="Arial" w:hAnsi="Arial" w:cs="Arial"/>
          <w:sz w:val="20"/>
        </w:rPr>
      </w:pPr>
      <w:r>
        <w:rPr>
          <w:rFonts w:ascii="Arial" w:hAnsi="Arial" w:cs="Arial"/>
          <w:sz w:val="20"/>
        </w:rPr>
        <w:t xml:space="preserve">In </w:t>
      </w:r>
      <w:r w:rsidRPr="00D508A8">
        <w:rPr>
          <w:rFonts w:ascii="Arial" w:hAnsi="Arial" w:cs="Arial"/>
          <w:i/>
          <w:iCs/>
          <w:sz w:val="20"/>
          <w:szCs w:val="20"/>
        </w:rPr>
        <w:t>Victorian Legal Services Board v Nida</w:t>
      </w:r>
      <w:r>
        <w:rPr>
          <w:rFonts w:ascii="Arial" w:hAnsi="Arial" w:cs="Arial"/>
          <w:sz w:val="20"/>
          <w:szCs w:val="20"/>
        </w:rPr>
        <w:t xml:space="preserve"> [2023] VSC 25 the respondent, a former barrister whose practising certificate </w:t>
      </w:r>
      <w:r w:rsidR="00B0734D">
        <w:rPr>
          <w:rFonts w:ascii="Arial" w:hAnsi="Arial" w:cs="Arial"/>
          <w:sz w:val="20"/>
          <w:szCs w:val="20"/>
        </w:rPr>
        <w:t xml:space="preserve">the Victorian Bar Association </w:t>
      </w:r>
      <w:r>
        <w:rPr>
          <w:rFonts w:ascii="Arial" w:hAnsi="Arial" w:cs="Arial"/>
          <w:sz w:val="20"/>
          <w:szCs w:val="20"/>
        </w:rPr>
        <w:t xml:space="preserve">had </w:t>
      </w:r>
      <w:r w:rsidR="00B0734D">
        <w:rPr>
          <w:rFonts w:ascii="Arial" w:hAnsi="Arial" w:cs="Arial"/>
          <w:sz w:val="20"/>
          <w:szCs w:val="20"/>
        </w:rPr>
        <w:t xml:space="preserve">refused to renew, had engaged in legal practice by appearing on behalf of her </w:t>
      </w:r>
      <w:r w:rsidR="000C1A36">
        <w:rPr>
          <w:rFonts w:ascii="Arial" w:hAnsi="Arial" w:cs="Arial"/>
          <w:sz w:val="20"/>
          <w:szCs w:val="20"/>
        </w:rPr>
        <w:t>two</w:t>
      </w:r>
      <w:r w:rsidR="00B0734D">
        <w:rPr>
          <w:rFonts w:ascii="Arial" w:hAnsi="Arial" w:cs="Arial"/>
          <w:sz w:val="20"/>
          <w:szCs w:val="20"/>
        </w:rPr>
        <w:t xml:space="preserve"> sons aged 26 &amp; 29.  </w:t>
      </w:r>
      <w:r>
        <w:rPr>
          <w:rFonts w:ascii="Arial" w:hAnsi="Arial" w:cs="Arial"/>
          <w:sz w:val="20"/>
        </w:rPr>
        <w:t>At [4] Gorton J said:</w:t>
      </w:r>
    </w:p>
    <w:p w14:paraId="0A8C4BD5" w14:textId="7B66AD88" w:rsidR="00B0734D" w:rsidRDefault="00D508A8" w:rsidP="009B1CFB">
      <w:pPr>
        <w:spacing w:before="60"/>
        <w:ind w:left="454" w:right="454"/>
        <w:jc w:val="both"/>
        <w:rPr>
          <w:rFonts w:ascii="Arial" w:hAnsi="Arial" w:cs="Arial"/>
          <w:sz w:val="20"/>
          <w:szCs w:val="20"/>
        </w:rPr>
      </w:pPr>
      <w:r>
        <w:rPr>
          <w:rFonts w:ascii="Arial" w:hAnsi="Arial" w:cs="Arial"/>
          <w:iCs/>
          <w:sz w:val="20"/>
        </w:rPr>
        <w:t>“[I]</w:t>
      </w:r>
      <w:r w:rsidRPr="00D508A8">
        <w:rPr>
          <w:rFonts w:ascii="Arial" w:hAnsi="Arial" w:cs="Arial"/>
          <w:sz w:val="20"/>
          <w:szCs w:val="20"/>
        </w:rPr>
        <w:t xml:space="preserve">n Victoria, lawyers with practising certificates have the right to appear in court for those who retain them but other people, including lawyers without practising certificates, can only appear in court for others with the leave of the court. </w:t>
      </w:r>
      <w:r w:rsidR="00B0734D">
        <w:rPr>
          <w:rFonts w:ascii="Arial" w:hAnsi="Arial" w:cs="Arial"/>
          <w:sz w:val="20"/>
          <w:szCs w:val="20"/>
        </w:rPr>
        <w:t xml:space="preserve"> </w:t>
      </w:r>
      <w:r w:rsidR="00B0734D" w:rsidRPr="00D508A8">
        <w:rPr>
          <w:rFonts w:ascii="Arial" w:hAnsi="Arial" w:cs="Arial"/>
          <w:sz w:val="20"/>
          <w:szCs w:val="20"/>
        </w:rPr>
        <w:t xml:space="preserve">Sections 10 and 11 of Schedule 1 of the Uniform Law prohibits anyone other than a ‘qualified entity’ from engaging in legal practice. The definition of ‘qualified entity’ includes an Australian legal practitioner, but that term is defined to mean an Australian lawyer who holds a current Australian practising certificate. Appearing for a party in court as a lawyer is ‘engaging in legal practice’. </w:t>
      </w:r>
      <w:r w:rsidRPr="00D508A8">
        <w:rPr>
          <w:rFonts w:ascii="Arial" w:hAnsi="Arial" w:cs="Arial"/>
          <w:sz w:val="20"/>
          <w:szCs w:val="20"/>
        </w:rPr>
        <w:t xml:space="preserve"> The true position is that mothers do not have an automatic right to represent their children in court and need the leave of the court to do so.</w:t>
      </w:r>
      <w:r w:rsidR="00B0734D">
        <w:rPr>
          <w:rFonts w:ascii="Arial" w:hAnsi="Arial" w:cs="Arial"/>
          <w:sz w:val="20"/>
          <w:szCs w:val="20"/>
        </w:rPr>
        <w:t xml:space="preserve"> </w:t>
      </w:r>
      <w:r w:rsidR="00B0734D" w:rsidRPr="00D508A8">
        <w:rPr>
          <w:rFonts w:ascii="Arial" w:hAnsi="Arial" w:cs="Arial"/>
          <w:sz w:val="20"/>
          <w:szCs w:val="20"/>
        </w:rPr>
        <w:t xml:space="preserve">The court retains a discretion to grant leave to a non-lawyer to appear as an advocate for someone else in an appropriate case – see </w:t>
      </w:r>
      <w:r w:rsidR="00B0734D" w:rsidRPr="00B0734D">
        <w:rPr>
          <w:rFonts w:ascii="Arial" w:hAnsi="Arial" w:cs="Arial"/>
          <w:i/>
          <w:iCs/>
          <w:sz w:val="20"/>
          <w:szCs w:val="20"/>
        </w:rPr>
        <w:t>Hubbard Association of Scientologists International v Anderson</w:t>
      </w:r>
      <w:r w:rsidR="00B0734D" w:rsidRPr="00D508A8">
        <w:rPr>
          <w:rFonts w:ascii="Arial" w:hAnsi="Arial" w:cs="Arial"/>
          <w:sz w:val="20"/>
          <w:szCs w:val="20"/>
        </w:rPr>
        <w:t xml:space="preserve"> [1972] VR 340, 342 (Smith, Little and Gowans JJ); </w:t>
      </w:r>
      <w:r w:rsidR="00B0734D" w:rsidRPr="00B0734D">
        <w:rPr>
          <w:rFonts w:ascii="Arial" w:hAnsi="Arial" w:cs="Arial"/>
          <w:i/>
          <w:iCs/>
          <w:sz w:val="20"/>
          <w:szCs w:val="20"/>
        </w:rPr>
        <w:t>Worldwide Enterprises Pty Ltd v Silberman</w:t>
      </w:r>
      <w:r w:rsidR="00B0734D" w:rsidRPr="00D508A8">
        <w:rPr>
          <w:rFonts w:ascii="Arial" w:hAnsi="Arial" w:cs="Arial"/>
          <w:sz w:val="20"/>
          <w:szCs w:val="20"/>
        </w:rPr>
        <w:t xml:space="preserve"> (2010) 26 VR 595, 601 [32] (Weinberg JA).</w:t>
      </w:r>
      <w:r w:rsidR="00B0734D">
        <w:rPr>
          <w:rFonts w:ascii="Arial" w:hAnsi="Arial" w:cs="Arial"/>
          <w:sz w:val="20"/>
          <w:szCs w:val="20"/>
        </w:rPr>
        <w:t>”</w:t>
      </w:r>
    </w:p>
    <w:p w14:paraId="69D2F270" w14:textId="77777777" w:rsidR="00B0734D" w:rsidRDefault="00B0734D" w:rsidP="00B0734D">
      <w:pPr>
        <w:jc w:val="both"/>
        <w:rPr>
          <w:rFonts w:ascii="Arial" w:hAnsi="Arial" w:cs="Arial"/>
          <w:sz w:val="20"/>
          <w:szCs w:val="20"/>
        </w:rPr>
      </w:pPr>
    </w:p>
    <w:p w14:paraId="0619D490" w14:textId="516FCA02" w:rsidR="00C626BF" w:rsidRDefault="00C626BF" w:rsidP="00B0734D">
      <w:pPr>
        <w:jc w:val="both"/>
        <w:rPr>
          <w:rFonts w:ascii="Arial" w:hAnsi="Arial" w:cs="Arial"/>
          <w:sz w:val="20"/>
          <w:szCs w:val="20"/>
        </w:rPr>
      </w:pPr>
      <w:r>
        <w:rPr>
          <w:rFonts w:ascii="Arial" w:hAnsi="Arial" w:cs="Arial"/>
          <w:sz w:val="20"/>
          <w:szCs w:val="20"/>
        </w:rPr>
        <w:t xml:space="preserve">Principles governing the circumstances in which a solicitor may cease to act for a client </w:t>
      </w:r>
      <w:r w:rsidR="005547CC">
        <w:rPr>
          <w:rFonts w:ascii="Arial" w:hAnsi="Arial" w:cs="Arial"/>
          <w:sz w:val="20"/>
          <w:szCs w:val="20"/>
        </w:rPr>
        <w:t xml:space="preserve">in </w:t>
      </w:r>
      <w:r w:rsidR="00DC03A7">
        <w:rPr>
          <w:rFonts w:ascii="Arial" w:hAnsi="Arial" w:cs="Arial"/>
          <w:sz w:val="20"/>
          <w:szCs w:val="20"/>
        </w:rPr>
        <w:t xml:space="preserve">civil </w:t>
      </w:r>
      <w:r w:rsidR="005547CC">
        <w:rPr>
          <w:rFonts w:ascii="Arial" w:hAnsi="Arial" w:cs="Arial"/>
          <w:sz w:val="20"/>
          <w:szCs w:val="20"/>
        </w:rPr>
        <w:t xml:space="preserve">court proceedings </w:t>
      </w:r>
      <w:r>
        <w:rPr>
          <w:rFonts w:ascii="Arial" w:hAnsi="Arial" w:cs="Arial"/>
          <w:sz w:val="20"/>
          <w:szCs w:val="20"/>
        </w:rPr>
        <w:t xml:space="preserve">are set out comprehensively in the judgment of Cosgrave J in </w:t>
      </w:r>
      <w:bookmarkStart w:id="408" w:name="_Hlk204066392"/>
      <w:r w:rsidRPr="00C626BF">
        <w:rPr>
          <w:rFonts w:ascii="Arial" w:hAnsi="Arial" w:cs="Arial"/>
          <w:i/>
          <w:iCs/>
          <w:sz w:val="20"/>
          <w:szCs w:val="20"/>
        </w:rPr>
        <w:t>Howell v Srinivasan</w:t>
      </w:r>
      <w:r w:rsidRPr="00C626BF">
        <w:rPr>
          <w:rFonts w:ascii="Arial" w:hAnsi="Arial" w:cs="Arial"/>
          <w:sz w:val="20"/>
          <w:szCs w:val="20"/>
        </w:rPr>
        <w:t xml:space="preserve"> [2025] VSC 414</w:t>
      </w:r>
      <w:bookmarkEnd w:id="408"/>
      <w:r>
        <w:rPr>
          <w:rFonts w:ascii="Arial" w:hAnsi="Arial" w:cs="Arial"/>
          <w:sz w:val="20"/>
          <w:szCs w:val="20"/>
        </w:rPr>
        <w:t xml:space="preserve">. In that case the proceeding had been set down for trial and the defendant had not provided the solicitor with sufficient funds to conduct the trial. One week prior to the trial date, the solicitor for the defendant made an application for leave to file a notice of solicitor ceasing to act. </w:t>
      </w:r>
      <w:r w:rsidR="005547CC">
        <w:rPr>
          <w:rFonts w:ascii="Arial" w:hAnsi="Arial" w:cs="Arial"/>
          <w:sz w:val="20"/>
          <w:szCs w:val="20"/>
        </w:rPr>
        <w:t>In granting leave Cosgrave J said at [1]</w:t>
      </w:r>
      <w:r w:rsidR="00BA2335">
        <w:rPr>
          <w:rFonts w:ascii="Arial" w:hAnsi="Arial" w:cs="Arial"/>
          <w:sz w:val="20"/>
          <w:szCs w:val="20"/>
        </w:rPr>
        <w:t xml:space="preserve">, </w:t>
      </w:r>
      <w:r w:rsidR="005547CC">
        <w:rPr>
          <w:rFonts w:ascii="Arial" w:hAnsi="Arial" w:cs="Arial"/>
          <w:sz w:val="20"/>
          <w:szCs w:val="20"/>
        </w:rPr>
        <w:t>[4]-[5]</w:t>
      </w:r>
      <w:r w:rsidR="00BA2335">
        <w:rPr>
          <w:rFonts w:ascii="Arial" w:hAnsi="Arial" w:cs="Arial"/>
          <w:sz w:val="20"/>
          <w:szCs w:val="20"/>
        </w:rPr>
        <w:t xml:space="preserve"> &amp; [8]</w:t>
      </w:r>
      <w:r w:rsidR="005547CC">
        <w:rPr>
          <w:rFonts w:ascii="Arial" w:hAnsi="Arial" w:cs="Arial"/>
          <w:sz w:val="20"/>
          <w:szCs w:val="20"/>
        </w:rPr>
        <w:t>:</w:t>
      </w:r>
    </w:p>
    <w:p w14:paraId="0038AA52" w14:textId="420F2E69" w:rsidR="005547CC" w:rsidRDefault="005547CC" w:rsidP="005547CC">
      <w:pPr>
        <w:spacing w:before="60"/>
        <w:ind w:left="454" w:right="454"/>
        <w:jc w:val="both"/>
        <w:rPr>
          <w:rFonts w:ascii="Arial" w:hAnsi="Arial" w:cs="Arial"/>
          <w:sz w:val="20"/>
          <w:szCs w:val="20"/>
        </w:rPr>
      </w:pPr>
      <w:r>
        <w:rPr>
          <w:rFonts w:ascii="Arial" w:hAnsi="Arial" w:cs="Arial"/>
          <w:sz w:val="20"/>
          <w:szCs w:val="20"/>
        </w:rPr>
        <w:t>[1] “…</w:t>
      </w:r>
      <w:r w:rsidRPr="005547CC">
        <w:rPr>
          <w:rFonts w:ascii="Arial" w:hAnsi="Arial" w:cs="Arial"/>
          <w:sz w:val="20"/>
          <w:szCs w:val="20"/>
        </w:rPr>
        <w:t>Generally, a solicitor can file such a notice at any time without involving the Court, provided the solicitor complies with the requirements of rr</w:t>
      </w:r>
      <w:r>
        <w:rPr>
          <w:rFonts w:ascii="Arial" w:hAnsi="Arial" w:cs="Arial"/>
          <w:sz w:val="20"/>
          <w:szCs w:val="20"/>
        </w:rPr>
        <w:t>.</w:t>
      </w:r>
      <w:r w:rsidRPr="005547CC">
        <w:rPr>
          <w:rFonts w:ascii="Arial" w:hAnsi="Arial" w:cs="Arial"/>
          <w:sz w:val="20"/>
          <w:szCs w:val="20"/>
        </w:rPr>
        <w:t xml:space="preserve">20.03(1) and (2) of the </w:t>
      </w:r>
      <w:r w:rsidRPr="005547CC">
        <w:rPr>
          <w:rFonts w:ascii="Arial" w:hAnsi="Arial" w:cs="Arial"/>
          <w:i/>
          <w:iCs/>
          <w:sz w:val="20"/>
          <w:szCs w:val="20"/>
        </w:rPr>
        <w:t>Supreme Court (General Civil Procedure) Rules 2015</w:t>
      </w:r>
      <w:r w:rsidRPr="005547CC">
        <w:rPr>
          <w:rFonts w:ascii="Arial" w:hAnsi="Arial" w:cs="Arial"/>
          <w:sz w:val="20"/>
          <w:szCs w:val="20"/>
        </w:rPr>
        <w:t xml:space="preserve"> (Vic). However, </w:t>
      </w:r>
      <w:r>
        <w:rPr>
          <w:rFonts w:ascii="Arial" w:hAnsi="Arial" w:cs="Arial"/>
          <w:sz w:val="20"/>
          <w:szCs w:val="20"/>
        </w:rPr>
        <w:t xml:space="preserve">under r.20.03(3)(b) </w:t>
      </w:r>
      <w:r w:rsidRPr="005547CC">
        <w:rPr>
          <w:rFonts w:ascii="Arial" w:hAnsi="Arial" w:cs="Arial"/>
          <w:sz w:val="20"/>
          <w:szCs w:val="20"/>
        </w:rPr>
        <w:t>leave is required if the solicitor seeks to give the notice after the proceeding has been set down for trial</w:t>
      </w:r>
      <w:r>
        <w:rPr>
          <w:rFonts w:ascii="Arial" w:hAnsi="Arial" w:cs="Arial"/>
          <w:sz w:val="20"/>
          <w:szCs w:val="20"/>
        </w:rPr>
        <w:t>…</w:t>
      </w:r>
    </w:p>
    <w:p w14:paraId="17CA71C4" w14:textId="4CADDFDA" w:rsidR="005547CC" w:rsidRDefault="005547CC" w:rsidP="005547CC">
      <w:pPr>
        <w:spacing w:before="60"/>
        <w:ind w:left="454" w:right="454"/>
        <w:jc w:val="both"/>
        <w:rPr>
          <w:rFonts w:ascii="Arial" w:hAnsi="Arial" w:cs="Arial"/>
          <w:sz w:val="20"/>
          <w:szCs w:val="20"/>
        </w:rPr>
      </w:pPr>
      <w:r>
        <w:rPr>
          <w:rFonts w:ascii="Arial" w:hAnsi="Arial" w:cs="Arial"/>
          <w:sz w:val="20"/>
          <w:szCs w:val="20"/>
        </w:rPr>
        <w:t xml:space="preserve">[4] </w:t>
      </w:r>
      <w:r w:rsidRPr="005547CC">
        <w:rPr>
          <w:rFonts w:ascii="Arial" w:hAnsi="Arial" w:cs="Arial"/>
          <w:sz w:val="20"/>
          <w:szCs w:val="20"/>
        </w:rPr>
        <w:t xml:space="preserve">The relevant principles have been considered in a number of cases within the Court: </w:t>
      </w:r>
      <w:bookmarkStart w:id="409" w:name="_Hlk204066330"/>
      <w:r w:rsidRPr="005547CC">
        <w:rPr>
          <w:rFonts w:ascii="Arial" w:hAnsi="Arial" w:cs="Arial"/>
          <w:i/>
          <w:iCs/>
          <w:sz w:val="20"/>
          <w:szCs w:val="20"/>
        </w:rPr>
        <w:t>Investec Bank (Australia) Ltd v Mann</w:t>
      </w:r>
      <w:r w:rsidRPr="005547CC">
        <w:rPr>
          <w:rFonts w:ascii="Arial" w:hAnsi="Arial" w:cs="Arial"/>
          <w:sz w:val="20"/>
          <w:szCs w:val="20"/>
        </w:rPr>
        <w:t xml:space="preserve"> </w:t>
      </w:r>
      <w:r>
        <w:rPr>
          <w:rFonts w:ascii="Arial" w:hAnsi="Arial" w:cs="Arial"/>
          <w:sz w:val="20"/>
          <w:szCs w:val="20"/>
        </w:rPr>
        <w:t>[2012] VSC 81</w:t>
      </w:r>
      <w:r w:rsidR="004F3C3A">
        <w:rPr>
          <w:rFonts w:ascii="Arial" w:hAnsi="Arial" w:cs="Arial"/>
          <w:sz w:val="20"/>
          <w:szCs w:val="20"/>
        </w:rPr>
        <w:t xml:space="preserve"> </w:t>
      </w:r>
      <w:bookmarkEnd w:id="409"/>
      <w:r w:rsidR="004F3C3A">
        <w:rPr>
          <w:rFonts w:ascii="Arial" w:hAnsi="Arial" w:cs="Arial"/>
          <w:sz w:val="20"/>
          <w:szCs w:val="20"/>
        </w:rPr>
        <w:t>[per Pagone J]</w:t>
      </w:r>
      <w:r>
        <w:rPr>
          <w:rFonts w:ascii="Arial" w:hAnsi="Arial" w:cs="Arial"/>
          <w:sz w:val="20"/>
          <w:szCs w:val="20"/>
        </w:rPr>
        <w:t>;</w:t>
      </w:r>
      <w:r w:rsidRPr="005547CC">
        <w:rPr>
          <w:rFonts w:ascii="Arial" w:hAnsi="Arial" w:cs="Arial"/>
          <w:sz w:val="20"/>
          <w:szCs w:val="20"/>
        </w:rPr>
        <w:t xml:space="preserve"> </w:t>
      </w:r>
      <w:r w:rsidRPr="005547CC">
        <w:rPr>
          <w:rFonts w:ascii="Arial" w:hAnsi="Arial" w:cs="Arial"/>
          <w:i/>
          <w:iCs/>
          <w:sz w:val="20"/>
          <w:szCs w:val="20"/>
        </w:rPr>
        <w:t>Bodycorp Repairers Pty Ltd v Maisano (No 2)</w:t>
      </w:r>
      <w:r>
        <w:rPr>
          <w:rFonts w:ascii="Arial" w:hAnsi="Arial" w:cs="Arial"/>
          <w:sz w:val="20"/>
          <w:szCs w:val="20"/>
        </w:rPr>
        <w:t xml:space="preserve"> [2013] VSC 235</w:t>
      </w:r>
      <w:r w:rsidRPr="005547CC">
        <w:rPr>
          <w:rFonts w:ascii="Arial" w:hAnsi="Arial" w:cs="Arial"/>
          <w:sz w:val="20"/>
          <w:szCs w:val="20"/>
        </w:rPr>
        <w:t xml:space="preserve">; </w:t>
      </w:r>
      <w:r w:rsidRPr="005547CC">
        <w:rPr>
          <w:rFonts w:ascii="Arial" w:hAnsi="Arial" w:cs="Arial"/>
          <w:i/>
          <w:iCs/>
          <w:sz w:val="20"/>
          <w:szCs w:val="20"/>
        </w:rPr>
        <w:t>LD Family Holdings Pty Ltd v Iceland Cold Storage Australia Pty Ltd</w:t>
      </w:r>
      <w:r w:rsidRPr="005547CC">
        <w:rPr>
          <w:rFonts w:ascii="Arial" w:hAnsi="Arial" w:cs="Arial"/>
          <w:sz w:val="20"/>
          <w:szCs w:val="20"/>
        </w:rPr>
        <w:t xml:space="preserve"> </w:t>
      </w:r>
      <w:r>
        <w:rPr>
          <w:rFonts w:ascii="Arial" w:hAnsi="Arial" w:cs="Arial"/>
          <w:sz w:val="20"/>
          <w:szCs w:val="20"/>
        </w:rPr>
        <w:t>[2022] VSC 439</w:t>
      </w:r>
      <w:r w:rsidRPr="005547CC">
        <w:rPr>
          <w:rFonts w:ascii="Arial" w:hAnsi="Arial" w:cs="Arial"/>
          <w:sz w:val="20"/>
          <w:szCs w:val="20"/>
        </w:rPr>
        <w:t xml:space="preserve"> and </w:t>
      </w:r>
      <w:r w:rsidRPr="005547CC">
        <w:rPr>
          <w:rFonts w:ascii="Arial" w:hAnsi="Arial" w:cs="Arial"/>
          <w:i/>
          <w:iCs/>
          <w:sz w:val="20"/>
          <w:szCs w:val="20"/>
        </w:rPr>
        <w:t>Swindells v Victoria</w:t>
      </w:r>
      <w:r>
        <w:rPr>
          <w:rFonts w:ascii="Arial" w:hAnsi="Arial" w:cs="Arial"/>
          <w:sz w:val="20"/>
          <w:szCs w:val="20"/>
        </w:rPr>
        <w:t xml:space="preserve"> [2016] VSCA 9</w:t>
      </w:r>
      <w:r w:rsidRPr="005547CC">
        <w:rPr>
          <w:rFonts w:ascii="Arial" w:hAnsi="Arial" w:cs="Arial"/>
          <w:sz w:val="20"/>
          <w:szCs w:val="20"/>
        </w:rPr>
        <w:t>.</w:t>
      </w:r>
    </w:p>
    <w:p w14:paraId="11242579" w14:textId="3C0EA316" w:rsidR="00D914D0" w:rsidRDefault="005547CC" w:rsidP="005547CC">
      <w:pPr>
        <w:spacing w:before="60"/>
        <w:ind w:left="454" w:right="454"/>
        <w:jc w:val="both"/>
        <w:rPr>
          <w:rFonts w:ascii="Arial" w:hAnsi="Arial" w:cs="Arial"/>
          <w:sz w:val="20"/>
          <w:szCs w:val="20"/>
        </w:rPr>
      </w:pPr>
      <w:r>
        <w:rPr>
          <w:rFonts w:ascii="Arial" w:hAnsi="Arial" w:cs="Arial"/>
          <w:sz w:val="20"/>
          <w:szCs w:val="20"/>
        </w:rPr>
        <w:t xml:space="preserve">[5] </w:t>
      </w:r>
      <w:r w:rsidRPr="005547CC">
        <w:rPr>
          <w:rFonts w:ascii="Arial" w:hAnsi="Arial" w:cs="Arial"/>
          <w:sz w:val="20"/>
          <w:szCs w:val="20"/>
        </w:rPr>
        <w:t>The position can be summarised as follows:</w:t>
      </w:r>
    </w:p>
    <w:p w14:paraId="32BE3F64" w14:textId="6A1AB501" w:rsidR="00D914D0" w:rsidRDefault="005547CC" w:rsidP="005547CC">
      <w:pPr>
        <w:spacing w:before="60"/>
        <w:ind w:left="1264" w:right="907" w:hanging="357"/>
        <w:jc w:val="both"/>
        <w:rPr>
          <w:rFonts w:ascii="Arial" w:hAnsi="Arial" w:cs="Arial"/>
          <w:sz w:val="20"/>
        </w:rPr>
      </w:pPr>
      <w:bookmarkStart w:id="410" w:name="_3.4.6_Duty_of"/>
      <w:bookmarkEnd w:id="410"/>
      <w:r>
        <w:rPr>
          <w:rFonts w:ascii="Arial" w:hAnsi="Arial" w:cs="Arial"/>
          <w:sz w:val="20"/>
        </w:rPr>
        <w:t>(a)</w:t>
      </w:r>
      <w:r>
        <w:rPr>
          <w:rFonts w:ascii="Arial" w:hAnsi="Arial" w:cs="Arial"/>
          <w:sz w:val="20"/>
        </w:rPr>
        <w:tab/>
        <w:t xml:space="preserve">the solicitor should serve the application on the party for whom the solicitor acts but need not serve it upon any other party or parties to the proceeding: </w:t>
      </w:r>
      <w:r w:rsidRPr="005547CC">
        <w:rPr>
          <w:rFonts w:ascii="Arial" w:hAnsi="Arial" w:cs="Arial"/>
          <w:i/>
          <w:iCs/>
          <w:sz w:val="20"/>
        </w:rPr>
        <w:t>Investic</w:t>
      </w:r>
      <w:r>
        <w:rPr>
          <w:rFonts w:ascii="Arial" w:hAnsi="Arial" w:cs="Arial"/>
          <w:sz w:val="20"/>
        </w:rPr>
        <w:t xml:space="preserve"> at [7];</w:t>
      </w:r>
    </w:p>
    <w:p w14:paraId="70580330" w14:textId="0E07BB51" w:rsidR="005547CC" w:rsidRDefault="005547CC" w:rsidP="005547CC">
      <w:pPr>
        <w:spacing w:before="60"/>
        <w:ind w:left="1264" w:right="907" w:hanging="357"/>
        <w:jc w:val="both"/>
        <w:rPr>
          <w:rFonts w:ascii="Arial" w:hAnsi="Arial" w:cs="Arial"/>
          <w:sz w:val="20"/>
        </w:rPr>
      </w:pPr>
      <w:r>
        <w:rPr>
          <w:rFonts w:ascii="Arial" w:hAnsi="Arial" w:cs="Arial"/>
          <w:sz w:val="20"/>
        </w:rPr>
        <w:t>(b)</w:t>
      </w:r>
      <w:r>
        <w:rPr>
          <w:rFonts w:ascii="Arial" w:hAnsi="Arial" w:cs="Arial"/>
          <w:sz w:val="20"/>
        </w:rPr>
        <w:tab/>
        <w:t xml:space="preserve">generally speaking, a solicitor who is unable to get instructions or funding from the client is entitled to cease acting for that client: </w:t>
      </w:r>
      <w:r w:rsidR="009F5EAB" w:rsidRPr="009F5EAB">
        <w:rPr>
          <w:rFonts w:ascii="Arial" w:hAnsi="Arial" w:cs="Arial"/>
          <w:i/>
          <w:iCs/>
          <w:sz w:val="20"/>
        </w:rPr>
        <w:t>Investic</w:t>
      </w:r>
      <w:r w:rsidR="009F5EAB">
        <w:rPr>
          <w:rFonts w:ascii="Arial" w:hAnsi="Arial" w:cs="Arial"/>
          <w:sz w:val="20"/>
        </w:rPr>
        <w:t xml:space="preserve"> at [2];</w:t>
      </w:r>
    </w:p>
    <w:p w14:paraId="633C2804" w14:textId="647203C8" w:rsidR="009F5EAB" w:rsidRDefault="009F5EAB" w:rsidP="005547CC">
      <w:pPr>
        <w:spacing w:before="60"/>
        <w:ind w:left="1264" w:right="907" w:hanging="357"/>
        <w:jc w:val="both"/>
        <w:rPr>
          <w:rFonts w:ascii="Arial" w:hAnsi="Arial" w:cs="Arial"/>
          <w:sz w:val="20"/>
        </w:rPr>
      </w:pPr>
      <w:r>
        <w:rPr>
          <w:rFonts w:ascii="Arial" w:hAnsi="Arial" w:cs="Arial"/>
          <w:sz w:val="20"/>
        </w:rPr>
        <w:t>(c)</w:t>
      </w:r>
      <w:r>
        <w:rPr>
          <w:rFonts w:ascii="Arial" w:hAnsi="Arial" w:cs="Arial"/>
          <w:sz w:val="20"/>
        </w:rPr>
        <w:tab/>
        <w:t xml:space="preserve">the Court retains a broad discretion about whether or not to grant leave: </w:t>
      </w:r>
      <w:r w:rsidRPr="009F5EAB">
        <w:rPr>
          <w:rFonts w:ascii="Arial" w:hAnsi="Arial" w:cs="Arial"/>
          <w:i/>
          <w:iCs/>
          <w:sz w:val="20"/>
        </w:rPr>
        <w:t xml:space="preserve">Investic </w:t>
      </w:r>
      <w:r>
        <w:rPr>
          <w:rFonts w:ascii="Arial" w:hAnsi="Arial" w:cs="Arial"/>
          <w:sz w:val="20"/>
        </w:rPr>
        <w:t>at [3];</w:t>
      </w:r>
    </w:p>
    <w:p w14:paraId="1E755DB4" w14:textId="6E7D22E6" w:rsidR="009F5EAB" w:rsidRDefault="009F5EAB" w:rsidP="005547CC">
      <w:pPr>
        <w:spacing w:before="60"/>
        <w:ind w:left="1264" w:right="907" w:hanging="357"/>
        <w:jc w:val="both"/>
        <w:rPr>
          <w:rFonts w:ascii="Arial" w:hAnsi="Arial" w:cs="Arial"/>
          <w:sz w:val="20"/>
        </w:rPr>
      </w:pPr>
      <w:r>
        <w:rPr>
          <w:rFonts w:ascii="Arial" w:hAnsi="Arial" w:cs="Arial"/>
          <w:sz w:val="20"/>
        </w:rPr>
        <w:t>(d)</w:t>
      </w:r>
      <w:r>
        <w:rPr>
          <w:rFonts w:ascii="Arial" w:hAnsi="Arial" w:cs="Arial"/>
          <w:sz w:val="20"/>
        </w:rPr>
        <w:tab/>
        <w:t xml:space="preserve">usually, the Court will grant the application but the Court may refuse leave where there are special circumstances which render it expedient to retain the solicitor on the record: </w:t>
      </w:r>
      <w:r w:rsidRPr="009F5EAB">
        <w:rPr>
          <w:rFonts w:ascii="Arial" w:hAnsi="Arial" w:cs="Arial"/>
          <w:i/>
          <w:iCs/>
          <w:sz w:val="20"/>
        </w:rPr>
        <w:t xml:space="preserve">Investic </w:t>
      </w:r>
      <w:r>
        <w:rPr>
          <w:rFonts w:ascii="Arial" w:hAnsi="Arial" w:cs="Arial"/>
          <w:sz w:val="20"/>
        </w:rPr>
        <w:t>at [3];</w:t>
      </w:r>
    </w:p>
    <w:p w14:paraId="05EAA28F" w14:textId="5AB09611" w:rsidR="009F5EAB" w:rsidRDefault="009F5EAB" w:rsidP="005547CC">
      <w:pPr>
        <w:spacing w:before="60"/>
        <w:ind w:left="1264" w:right="907" w:hanging="357"/>
        <w:jc w:val="both"/>
        <w:rPr>
          <w:rFonts w:ascii="Arial" w:hAnsi="Arial" w:cs="Arial"/>
          <w:sz w:val="20"/>
        </w:rPr>
      </w:pPr>
      <w:r>
        <w:rPr>
          <w:rFonts w:ascii="Arial" w:hAnsi="Arial" w:cs="Arial"/>
          <w:sz w:val="20"/>
        </w:rPr>
        <w:t>(e)</w:t>
      </w:r>
      <w:r>
        <w:rPr>
          <w:rFonts w:ascii="Arial" w:hAnsi="Arial" w:cs="Arial"/>
          <w:sz w:val="20"/>
        </w:rPr>
        <w:tab/>
        <w:t xml:space="preserve">the solicitor seeking leave to cease acting bears the burden of satisfying the Court that it is appropriate to grant leave: </w:t>
      </w:r>
      <w:r w:rsidRPr="009F5EAB">
        <w:rPr>
          <w:rFonts w:ascii="Arial" w:hAnsi="Arial" w:cs="Arial"/>
          <w:i/>
          <w:iCs/>
          <w:sz w:val="20"/>
        </w:rPr>
        <w:t>Investic</w:t>
      </w:r>
      <w:r>
        <w:rPr>
          <w:rFonts w:ascii="Arial" w:hAnsi="Arial" w:cs="Arial"/>
          <w:sz w:val="20"/>
        </w:rPr>
        <w:t xml:space="preserve"> at [7];</w:t>
      </w:r>
    </w:p>
    <w:p w14:paraId="3804A9EB" w14:textId="606B43B7" w:rsidR="009F5EAB" w:rsidRDefault="009F5EAB" w:rsidP="005547CC">
      <w:pPr>
        <w:spacing w:before="60"/>
        <w:ind w:left="1264" w:right="907" w:hanging="357"/>
        <w:jc w:val="both"/>
        <w:rPr>
          <w:rFonts w:ascii="Arial" w:hAnsi="Arial" w:cs="Arial"/>
          <w:sz w:val="20"/>
        </w:rPr>
      </w:pPr>
      <w:r>
        <w:rPr>
          <w:rFonts w:ascii="Arial" w:hAnsi="Arial" w:cs="Arial"/>
          <w:sz w:val="20"/>
        </w:rPr>
        <w:t>(f)</w:t>
      </w:r>
      <w:r>
        <w:rPr>
          <w:rFonts w:ascii="Arial" w:hAnsi="Arial" w:cs="Arial"/>
          <w:sz w:val="20"/>
        </w:rPr>
        <w:tab/>
        <w:t xml:space="preserve">while a solicitor remains on the record, the solicitor and client are expected to comply with Court orders even if they have no funding – the lack of funds does not absolve a solicitor from complying with Court orders: </w:t>
      </w:r>
      <w:r w:rsidRPr="009F5EAB">
        <w:rPr>
          <w:rFonts w:ascii="Arial" w:hAnsi="Arial" w:cs="Arial"/>
          <w:i/>
          <w:iCs/>
          <w:sz w:val="20"/>
        </w:rPr>
        <w:t>Investic</w:t>
      </w:r>
      <w:r>
        <w:rPr>
          <w:rFonts w:ascii="Arial" w:hAnsi="Arial" w:cs="Arial"/>
          <w:sz w:val="20"/>
        </w:rPr>
        <w:t xml:space="preserve"> at [2]; and</w:t>
      </w:r>
    </w:p>
    <w:p w14:paraId="0F8F0E29" w14:textId="15A7B50A" w:rsidR="009F5EAB" w:rsidRDefault="009F5EAB" w:rsidP="005547CC">
      <w:pPr>
        <w:spacing w:before="60"/>
        <w:ind w:left="1264" w:right="907" w:hanging="357"/>
        <w:jc w:val="both"/>
        <w:rPr>
          <w:rFonts w:ascii="Arial" w:hAnsi="Arial" w:cs="Arial"/>
          <w:sz w:val="20"/>
        </w:rPr>
      </w:pPr>
      <w:r>
        <w:rPr>
          <w:rFonts w:ascii="Arial" w:hAnsi="Arial" w:cs="Arial"/>
          <w:sz w:val="20"/>
        </w:rPr>
        <w:lastRenderedPageBreak/>
        <w:t>(g)</w:t>
      </w:r>
      <w:r>
        <w:rPr>
          <w:rFonts w:ascii="Arial" w:hAnsi="Arial" w:cs="Arial"/>
          <w:sz w:val="20"/>
        </w:rPr>
        <w:tab/>
        <w:t>when making such an application, solicitors should be mindful of their duties to the Court, their client or former client, an</w:t>
      </w:r>
      <w:r w:rsidR="00433CE1">
        <w:rPr>
          <w:rFonts w:ascii="Arial" w:hAnsi="Arial" w:cs="Arial"/>
          <w:sz w:val="20"/>
        </w:rPr>
        <w:t>d</w:t>
      </w:r>
      <w:r>
        <w:rPr>
          <w:rFonts w:ascii="Arial" w:hAnsi="Arial" w:cs="Arial"/>
          <w:sz w:val="20"/>
        </w:rPr>
        <w:t xml:space="preserve"> to the other parties and their legal representatives: </w:t>
      </w:r>
      <w:r w:rsidRPr="009F5EAB">
        <w:rPr>
          <w:rFonts w:ascii="Arial" w:hAnsi="Arial" w:cs="Arial"/>
          <w:i/>
          <w:iCs/>
          <w:sz w:val="20"/>
        </w:rPr>
        <w:t>Investic</w:t>
      </w:r>
      <w:r>
        <w:rPr>
          <w:rFonts w:ascii="Arial" w:hAnsi="Arial" w:cs="Arial"/>
          <w:sz w:val="20"/>
        </w:rPr>
        <w:t xml:space="preserve"> at [7].</w:t>
      </w:r>
    </w:p>
    <w:p w14:paraId="328103AE" w14:textId="7513F935" w:rsidR="00BA2335" w:rsidRDefault="00BA2335" w:rsidP="00BA2335">
      <w:pPr>
        <w:spacing w:before="60"/>
        <w:ind w:left="454" w:right="454"/>
        <w:jc w:val="both"/>
        <w:rPr>
          <w:rFonts w:ascii="Arial" w:hAnsi="Arial" w:cs="Arial"/>
          <w:sz w:val="20"/>
          <w:szCs w:val="20"/>
        </w:rPr>
      </w:pPr>
      <w:bookmarkStart w:id="411" w:name="_Hlk204063588"/>
      <w:r>
        <w:rPr>
          <w:rFonts w:ascii="Arial" w:hAnsi="Arial" w:cs="Arial"/>
          <w:sz w:val="20"/>
          <w:szCs w:val="20"/>
        </w:rPr>
        <w:t>…</w:t>
      </w:r>
    </w:p>
    <w:p w14:paraId="1F38C59A" w14:textId="1FC983A0" w:rsidR="00BA2335" w:rsidRDefault="00BA2335" w:rsidP="00BA2335">
      <w:pPr>
        <w:spacing w:before="60"/>
        <w:ind w:left="454" w:right="454"/>
        <w:jc w:val="both"/>
        <w:rPr>
          <w:rFonts w:ascii="Arial" w:hAnsi="Arial" w:cs="Arial"/>
          <w:sz w:val="20"/>
        </w:rPr>
      </w:pPr>
      <w:r>
        <w:rPr>
          <w:rFonts w:ascii="Arial" w:hAnsi="Arial" w:cs="Arial"/>
          <w:sz w:val="20"/>
          <w:szCs w:val="20"/>
        </w:rPr>
        <w:t xml:space="preserve">[8] </w:t>
      </w:r>
      <w:r w:rsidRPr="00BA2335">
        <w:rPr>
          <w:rFonts w:ascii="Arial" w:hAnsi="Arial" w:cs="Arial"/>
          <w:sz w:val="20"/>
        </w:rPr>
        <w:t xml:space="preserve">In </w:t>
      </w:r>
      <w:r w:rsidRPr="00BA2335">
        <w:rPr>
          <w:rFonts w:ascii="Arial" w:hAnsi="Arial" w:cs="Arial"/>
          <w:i/>
          <w:iCs/>
          <w:sz w:val="20"/>
        </w:rPr>
        <w:t>Investec</w:t>
      </w:r>
      <w:r>
        <w:rPr>
          <w:rFonts w:ascii="Arial" w:hAnsi="Arial" w:cs="Arial"/>
          <w:sz w:val="20"/>
        </w:rPr>
        <w:t xml:space="preserve"> at [8]</w:t>
      </w:r>
      <w:r w:rsidRPr="00BA2335">
        <w:rPr>
          <w:rFonts w:ascii="Arial" w:hAnsi="Arial" w:cs="Arial"/>
          <w:sz w:val="20"/>
        </w:rPr>
        <w:t>, Pagone J observed that practitioners “ought to guard against the possibility of the Court finding itself with unrepresented litigants close to the hearing date”.</w:t>
      </w:r>
    </w:p>
    <w:bookmarkEnd w:id="411"/>
    <w:p w14:paraId="33D43D6B" w14:textId="77777777" w:rsidR="00BA2335" w:rsidRDefault="00BA2335" w:rsidP="009F5EAB">
      <w:pPr>
        <w:spacing w:before="60"/>
        <w:jc w:val="both"/>
        <w:rPr>
          <w:rFonts w:ascii="Arial" w:hAnsi="Arial" w:cs="Arial"/>
          <w:sz w:val="20"/>
        </w:rPr>
      </w:pPr>
    </w:p>
    <w:p w14:paraId="584A60A8" w14:textId="60017AE3" w:rsidR="005547CC" w:rsidRDefault="00433CE1" w:rsidP="009F5EAB">
      <w:pPr>
        <w:spacing w:before="60"/>
        <w:jc w:val="both"/>
        <w:rPr>
          <w:rFonts w:ascii="Arial" w:hAnsi="Arial" w:cs="Arial"/>
          <w:sz w:val="20"/>
        </w:rPr>
      </w:pPr>
      <w:r>
        <w:rPr>
          <w:rFonts w:ascii="Arial" w:hAnsi="Arial" w:cs="Arial"/>
          <w:sz w:val="20"/>
        </w:rPr>
        <w:t>By and large t</w:t>
      </w:r>
      <w:r w:rsidR="009F5EAB">
        <w:rPr>
          <w:rFonts w:ascii="Arial" w:hAnsi="Arial" w:cs="Arial"/>
          <w:sz w:val="20"/>
        </w:rPr>
        <w:t>hese principles are also relevant to a solicitor for an adult party in the Family Division of the Children’s Court wishing to cease to act</w:t>
      </w:r>
      <w:r>
        <w:rPr>
          <w:rFonts w:ascii="Arial" w:hAnsi="Arial" w:cs="Arial"/>
          <w:sz w:val="20"/>
        </w:rPr>
        <w:t xml:space="preserve">. However, in relation to their application to a solicitor for a child in the Family Division of the Children’s Court, they must be read in conjunction with the statutory provisions in ss.524 &amp; 525(1) of the CYFA (as to which see the discussion in </w:t>
      </w:r>
      <w:r w:rsidRPr="00433CE1">
        <w:rPr>
          <w:rFonts w:ascii="Arial" w:hAnsi="Arial" w:cs="Arial"/>
          <w:b/>
          <w:bCs/>
          <w:sz w:val="20"/>
          <w:shd w:val="clear" w:color="auto" w:fill="C5E0B3" w:themeFill="accent6" w:themeFillTint="66"/>
        </w:rPr>
        <w:t>Part 4.7</w:t>
      </w:r>
      <w:r>
        <w:rPr>
          <w:rFonts w:ascii="Arial" w:hAnsi="Arial" w:cs="Arial"/>
          <w:sz w:val="20"/>
        </w:rPr>
        <w:t xml:space="preserve"> of the Research Materials).</w:t>
      </w:r>
    </w:p>
    <w:p w14:paraId="399B3020" w14:textId="77777777" w:rsidR="005547CC" w:rsidRPr="00836E86" w:rsidRDefault="005547CC" w:rsidP="00D914D0">
      <w:pPr>
        <w:jc w:val="both"/>
        <w:rPr>
          <w:rFonts w:ascii="Arial" w:hAnsi="Arial" w:cs="Arial"/>
          <w:sz w:val="20"/>
        </w:rPr>
      </w:pPr>
    </w:p>
    <w:p w14:paraId="4792AE27" w14:textId="77777777" w:rsidR="00D914D0" w:rsidRPr="00836E86" w:rsidRDefault="00D914D0" w:rsidP="00D914D0">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612FEB4D" w14:textId="77777777" w:rsidR="00D914D0" w:rsidRPr="00836E86" w:rsidRDefault="00D914D0" w:rsidP="00D914D0">
      <w:pPr>
        <w:rPr>
          <w:rFonts w:ascii="Arial" w:hAnsi="Arial" w:cs="Arial"/>
          <w:sz w:val="20"/>
        </w:rPr>
      </w:pPr>
    </w:p>
    <w:p w14:paraId="0662E0B6" w14:textId="77777777" w:rsidR="00D914D0" w:rsidRDefault="00D914D0" w:rsidP="00D914D0">
      <w:pPr>
        <w:rPr>
          <w:rFonts w:ascii="Arial" w:hAnsi="Arial" w:cs="Arial"/>
          <w:b/>
          <w:bCs/>
          <w:color w:val="000000"/>
          <w:kern w:val="28"/>
          <w:sz w:val="20"/>
          <w:szCs w:val="20"/>
          <w:lang w:val="en-GB"/>
        </w:rPr>
      </w:pPr>
      <w:r>
        <w:rPr>
          <w:rFonts w:ascii="Arial" w:hAnsi="Arial" w:cs="Arial"/>
          <w:b/>
          <w:bCs/>
          <w:color w:val="000000"/>
          <w:sz w:val="20"/>
        </w:rPr>
        <w:br w:type="page"/>
      </w:r>
    </w:p>
    <w:p w14:paraId="7969B96A" w14:textId="686C705B" w:rsidR="00E01B11" w:rsidRDefault="00E01B11" w:rsidP="00E01B11">
      <w:pPr>
        <w:pStyle w:val="Heading3"/>
        <w:keepNext/>
        <w:keepLines/>
        <w:spacing w:after="100" w:line="240" w:lineRule="auto"/>
        <w:rPr>
          <w:rFonts w:ascii="Arial" w:hAnsi="Arial" w:cs="Arial"/>
          <w:b/>
          <w:bCs/>
          <w:sz w:val="20"/>
        </w:rPr>
      </w:pPr>
      <w:bookmarkStart w:id="412" w:name="_3.4.6_Duty_of_1"/>
      <w:bookmarkEnd w:id="412"/>
      <w:r w:rsidRPr="00904185">
        <w:rPr>
          <w:rFonts w:ascii="Arial" w:hAnsi="Arial" w:cs="Arial"/>
          <w:b/>
          <w:sz w:val="20"/>
        </w:rPr>
        <w:lastRenderedPageBreak/>
        <w:t>3.4.</w:t>
      </w:r>
      <w:r>
        <w:rPr>
          <w:rFonts w:ascii="Arial" w:hAnsi="Arial" w:cs="Arial"/>
          <w:b/>
          <w:sz w:val="20"/>
        </w:rPr>
        <w:t>6</w:t>
      </w:r>
      <w:r w:rsidRPr="00904185">
        <w:rPr>
          <w:rFonts w:ascii="Arial" w:hAnsi="Arial" w:cs="Arial"/>
          <w:b/>
          <w:sz w:val="20"/>
        </w:rPr>
        <w:tab/>
      </w:r>
      <w:r>
        <w:rPr>
          <w:rFonts w:ascii="Arial" w:hAnsi="Arial" w:cs="Arial"/>
          <w:b/>
          <w:sz w:val="20"/>
        </w:rPr>
        <w:t xml:space="preserve">Duty of judicial officer to assist a self-represented litigant </w:t>
      </w:r>
      <w:r w:rsidRPr="00904185">
        <w:rPr>
          <w:rFonts w:ascii="Arial" w:hAnsi="Arial" w:cs="Arial"/>
          <w:b/>
          <w:sz w:val="20"/>
        </w:rPr>
        <w:t>in the Family Division</w:t>
      </w:r>
    </w:p>
    <w:p w14:paraId="1C3C3803" w14:textId="77777777" w:rsidR="005E185B" w:rsidRPr="00852729" w:rsidRDefault="005E185B">
      <w:pPr>
        <w:jc w:val="both"/>
        <w:rPr>
          <w:rFonts w:ascii="Arial" w:hAnsi="Arial" w:cs="Arial"/>
          <w:sz w:val="20"/>
          <w:szCs w:val="20"/>
        </w:rPr>
      </w:pPr>
      <w:r>
        <w:rPr>
          <w:rFonts w:ascii="Arial" w:hAnsi="Arial" w:cs="Arial"/>
          <w:sz w:val="20"/>
        </w:rPr>
        <w:t xml:space="preserve">In </w:t>
      </w:r>
      <w:r w:rsidRPr="005E185B">
        <w:rPr>
          <w:rFonts w:ascii="Helvetica" w:hAnsi="Helvetica"/>
          <w:i/>
          <w:sz w:val="20"/>
        </w:rPr>
        <w:t>Tomasevic v Travaglini</w:t>
      </w:r>
      <w:r>
        <w:rPr>
          <w:rFonts w:ascii="Helvetica" w:hAnsi="Helvetica"/>
          <w:sz w:val="20"/>
        </w:rPr>
        <w:t xml:space="preserve"> [2007] VSC 337 </w:t>
      </w:r>
      <w:r w:rsidR="00B8366E">
        <w:rPr>
          <w:rFonts w:ascii="Helvetica" w:hAnsi="Helvetica"/>
          <w:sz w:val="20"/>
        </w:rPr>
        <w:t xml:space="preserve">Bell J </w:t>
      </w:r>
      <w:r w:rsidR="00794542">
        <w:rPr>
          <w:rFonts w:ascii="Helvetica" w:hAnsi="Helvetica"/>
          <w:sz w:val="20"/>
        </w:rPr>
        <w:t>discussed</w:t>
      </w:r>
      <w:r w:rsidR="00B8366E">
        <w:rPr>
          <w:rFonts w:ascii="Helvetica" w:hAnsi="Helvetica"/>
          <w:sz w:val="20"/>
        </w:rPr>
        <w:t xml:space="preserve"> “The Duty of a Trial Judge to Assist a Self-</w:t>
      </w:r>
      <w:r w:rsidR="00B8366E" w:rsidRPr="00852729">
        <w:rPr>
          <w:rFonts w:ascii="Arial" w:hAnsi="Arial" w:cs="Arial"/>
          <w:sz w:val="20"/>
          <w:szCs w:val="20"/>
        </w:rPr>
        <w:t>represented Litigant”</w:t>
      </w:r>
      <w:r w:rsidR="00CE480A" w:rsidRPr="00852729">
        <w:rPr>
          <w:rFonts w:ascii="Arial" w:hAnsi="Arial" w:cs="Arial"/>
          <w:sz w:val="20"/>
          <w:szCs w:val="20"/>
        </w:rPr>
        <w:t xml:space="preserve"> under </w:t>
      </w:r>
      <w:r w:rsidR="001B7502" w:rsidRPr="00852729">
        <w:rPr>
          <w:rFonts w:ascii="Arial" w:hAnsi="Arial" w:cs="Arial"/>
          <w:sz w:val="20"/>
          <w:szCs w:val="20"/>
        </w:rPr>
        <w:t>a number of</w:t>
      </w:r>
      <w:r w:rsidR="00CE480A" w:rsidRPr="00852729">
        <w:rPr>
          <w:rFonts w:ascii="Arial" w:hAnsi="Arial" w:cs="Arial"/>
          <w:sz w:val="20"/>
          <w:szCs w:val="20"/>
        </w:rPr>
        <w:t xml:space="preserve"> headings</w:t>
      </w:r>
      <w:r w:rsidR="001B7502" w:rsidRPr="00852729">
        <w:rPr>
          <w:rFonts w:ascii="Arial" w:hAnsi="Arial" w:cs="Arial"/>
          <w:sz w:val="20"/>
          <w:szCs w:val="20"/>
        </w:rPr>
        <w:t xml:space="preserve">, citing </w:t>
      </w:r>
      <w:r w:rsidR="001B7502" w:rsidRPr="00852729">
        <w:rPr>
          <w:rFonts w:ascii="Arial" w:hAnsi="Arial" w:cs="Arial"/>
          <w:i/>
          <w:sz w:val="20"/>
          <w:szCs w:val="20"/>
        </w:rPr>
        <w:t>inter alia</w:t>
      </w:r>
      <w:r w:rsidR="001B7502" w:rsidRPr="00852729">
        <w:rPr>
          <w:rFonts w:ascii="Arial" w:hAnsi="Arial" w:cs="Arial"/>
          <w:sz w:val="20"/>
          <w:szCs w:val="20"/>
        </w:rPr>
        <w:t xml:space="preserve"> </w:t>
      </w:r>
      <w:r w:rsidR="00852729" w:rsidRPr="00852729">
        <w:rPr>
          <w:rFonts w:ascii="Arial" w:hAnsi="Arial" w:cs="Arial"/>
          <w:sz w:val="20"/>
          <w:szCs w:val="20"/>
        </w:rPr>
        <w:t xml:space="preserve">the </w:t>
      </w:r>
      <w:r w:rsidR="00852729" w:rsidRPr="00852729">
        <w:rPr>
          <w:rFonts w:ascii="Arial" w:hAnsi="Arial" w:cs="Arial"/>
          <w:i/>
          <w:sz w:val="20"/>
          <w:szCs w:val="20"/>
        </w:rPr>
        <w:t>International Covenant on Civil and Political Rights</w:t>
      </w:r>
      <w:r w:rsidR="00852729" w:rsidRPr="00852729">
        <w:rPr>
          <w:rFonts w:ascii="Arial" w:hAnsi="Arial" w:cs="Arial"/>
          <w:sz w:val="20"/>
          <w:szCs w:val="20"/>
        </w:rPr>
        <w:t xml:space="preserve"> and </w:t>
      </w:r>
      <w:r w:rsidR="001B7502" w:rsidRPr="00852729">
        <w:rPr>
          <w:rFonts w:ascii="Arial" w:hAnsi="Arial" w:cs="Arial"/>
          <w:sz w:val="20"/>
          <w:szCs w:val="20"/>
        </w:rPr>
        <w:t>a number of authorities including the following:</w:t>
      </w:r>
    </w:p>
    <w:p w14:paraId="4D3D9857" w14:textId="77777777" w:rsidR="00B8366E" w:rsidRDefault="00CE480A" w:rsidP="006A0F25">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[66]-[77] </w:t>
      </w:r>
      <w:r w:rsidR="00B8366E" w:rsidRPr="00852729">
        <w:rPr>
          <w:rFonts w:ascii="Arial" w:hAnsi="Arial" w:cs="Arial"/>
          <w:b/>
          <w:sz w:val="20"/>
        </w:rPr>
        <w:t>The significance of the human rights of equality before the law and access to justice</w:t>
      </w:r>
      <w:r w:rsidR="00852729">
        <w:rPr>
          <w:rFonts w:ascii="Arial" w:hAnsi="Arial" w:cs="Arial"/>
          <w:sz w:val="20"/>
        </w:rPr>
        <w:t>:</w:t>
      </w:r>
      <w:r w:rsidR="00852729" w:rsidRPr="00852729">
        <w:rPr>
          <w:rFonts w:ascii="Arial" w:hAnsi="Arial" w:cs="Arial"/>
          <w:sz w:val="20"/>
          <w:szCs w:val="20"/>
        </w:rPr>
        <w:t xml:space="preserve"> </w:t>
      </w:r>
      <w:r w:rsidR="00852729" w:rsidRPr="00852729">
        <w:rPr>
          <w:rFonts w:ascii="Arial" w:hAnsi="Arial" w:cs="Arial"/>
          <w:i/>
          <w:sz w:val="20"/>
          <w:szCs w:val="20"/>
        </w:rPr>
        <w:t>Gradidge v Grace Bros Pty Ltd</w:t>
      </w:r>
      <w:r w:rsidR="00852729" w:rsidRPr="00852729">
        <w:rPr>
          <w:rFonts w:ascii="Arial" w:hAnsi="Arial" w:cs="Arial"/>
          <w:sz w:val="20"/>
          <w:szCs w:val="20"/>
        </w:rPr>
        <w:t xml:space="preserve"> (1988) 93 FLR 414, 422 per Kirby P, 426 per Samuels JA and 427 per Clarke JA, agreeing with Kirby P</w:t>
      </w:r>
      <w:r w:rsidR="00852729">
        <w:rPr>
          <w:rFonts w:ascii="Arial" w:hAnsi="Arial" w:cs="Arial"/>
          <w:sz w:val="20"/>
          <w:szCs w:val="20"/>
        </w:rPr>
        <w:t xml:space="preserve">; </w:t>
      </w:r>
      <w:r w:rsidR="00852729" w:rsidRPr="00852729">
        <w:rPr>
          <w:rFonts w:ascii="Arial" w:hAnsi="Arial" w:cs="Arial"/>
          <w:i/>
          <w:sz w:val="20"/>
          <w:szCs w:val="20"/>
        </w:rPr>
        <w:t>Dietrich</w:t>
      </w:r>
      <w:r w:rsidR="00852729" w:rsidRPr="00852729">
        <w:rPr>
          <w:rFonts w:ascii="Arial" w:hAnsi="Arial" w:cs="Arial"/>
          <w:sz w:val="20"/>
          <w:szCs w:val="20"/>
        </w:rPr>
        <w:t xml:space="preserve"> </w:t>
      </w:r>
      <w:r w:rsidR="00852729" w:rsidRPr="00852729">
        <w:rPr>
          <w:rFonts w:ascii="Arial" w:hAnsi="Arial" w:cs="Arial"/>
          <w:i/>
          <w:sz w:val="20"/>
          <w:szCs w:val="20"/>
        </w:rPr>
        <w:t xml:space="preserve">v R </w:t>
      </w:r>
      <w:r w:rsidR="00852729" w:rsidRPr="00852729">
        <w:rPr>
          <w:rFonts w:ascii="Arial" w:hAnsi="Arial" w:cs="Arial"/>
          <w:sz w:val="20"/>
          <w:szCs w:val="20"/>
        </w:rPr>
        <w:t xml:space="preserve">(1992) 177 CLR 292, </w:t>
      </w:r>
      <w:r w:rsidR="00852729">
        <w:rPr>
          <w:rFonts w:ascii="Arial" w:hAnsi="Arial" w:cs="Arial"/>
          <w:sz w:val="20"/>
          <w:szCs w:val="20"/>
        </w:rPr>
        <w:t xml:space="preserve">321, </w:t>
      </w:r>
      <w:r w:rsidR="00852729" w:rsidRPr="00852729">
        <w:rPr>
          <w:rFonts w:ascii="Arial" w:hAnsi="Arial" w:cs="Arial"/>
          <w:sz w:val="20"/>
          <w:szCs w:val="20"/>
        </w:rPr>
        <w:t xml:space="preserve">326, 362; </w:t>
      </w:r>
      <w:r w:rsidR="00852729" w:rsidRPr="00852729">
        <w:rPr>
          <w:rFonts w:ascii="Arial" w:hAnsi="Arial" w:cs="Arial"/>
          <w:i/>
          <w:sz w:val="20"/>
          <w:szCs w:val="20"/>
        </w:rPr>
        <w:t xml:space="preserve">R v Kerbatieh </w:t>
      </w:r>
      <w:r w:rsidR="00852729">
        <w:rPr>
          <w:rFonts w:ascii="Arial" w:hAnsi="Arial" w:cs="Arial"/>
          <w:sz w:val="20"/>
          <w:szCs w:val="20"/>
        </w:rPr>
        <w:t>(2005) 155 A Crim R 367, 374;</w:t>
      </w:r>
      <w:r w:rsidR="00852729" w:rsidRPr="00852729">
        <w:rPr>
          <w:rFonts w:ascii="Arial" w:hAnsi="Arial" w:cs="Arial"/>
          <w:sz w:val="20"/>
          <w:szCs w:val="20"/>
        </w:rPr>
        <w:t xml:space="preserve"> </w:t>
      </w:r>
      <w:r w:rsidR="00852729" w:rsidRPr="00852729">
        <w:rPr>
          <w:rFonts w:ascii="Arial" w:hAnsi="Arial" w:cs="Arial"/>
          <w:i/>
          <w:sz w:val="20"/>
          <w:szCs w:val="20"/>
        </w:rPr>
        <w:t>Royal Women’s Hospital v Medical Practitioners Board of Victoria</w:t>
      </w:r>
      <w:r w:rsidR="00852729" w:rsidRPr="00852729">
        <w:rPr>
          <w:rFonts w:ascii="Arial" w:hAnsi="Arial" w:cs="Arial"/>
          <w:sz w:val="20"/>
          <w:szCs w:val="20"/>
        </w:rPr>
        <w:t xml:space="preserve"> (2006) 15 VR 22, 38</w:t>
      </w:r>
      <w:r w:rsidR="00852729">
        <w:rPr>
          <w:rFonts w:ascii="Arial" w:hAnsi="Arial" w:cs="Arial"/>
          <w:sz w:val="20"/>
          <w:szCs w:val="20"/>
        </w:rPr>
        <w:t>-39</w:t>
      </w:r>
      <w:r w:rsidR="00852729" w:rsidRPr="00852729">
        <w:rPr>
          <w:rFonts w:ascii="Arial" w:hAnsi="Arial" w:cs="Arial"/>
          <w:sz w:val="20"/>
          <w:szCs w:val="20"/>
        </w:rPr>
        <w:t xml:space="preserve"> per Maxwell P; </w:t>
      </w:r>
      <w:r w:rsidR="00852729" w:rsidRPr="00852729">
        <w:rPr>
          <w:rFonts w:ascii="Arial" w:hAnsi="Arial" w:cs="Arial"/>
          <w:i/>
          <w:sz w:val="20"/>
          <w:szCs w:val="20"/>
        </w:rPr>
        <w:t xml:space="preserve">Minister for Immigration and Ethnic Affairs v Teoh </w:t>
      </w:r>
      <w:r w:rsidR="00852729" w:rsidRPr="00852729">
        <w:rPr>
          <w:rFonts w:ascii="Arial" w:hAnsi="Arial" w:cs="Arial"/>
          <w:sz w:val="20"/>
          <w:szCs w:val="20"/>
        </w:rPr>
        <w:t xml:space="preserve">(1994-1995) 183 CLR 273, </w:t>
      </w:r>
      <w:r w:rsidR="00852729">
        <w:rPr>
          <w:rFonts w:ascii="Arial" w:hAnsi="Arial" w:cs="Arial"/>
          <w:sz w:val="20"/>
          <w:szCs w:val="20"/>
        </w:rPr>
        <w:t xml:space="preserve">288, </w:t>
      </w:r>
      <w:r w:rsidR="00852729" w:rsidRPr="00852729">
        <w:rPr>
          <w:rFonts w:ascii="Arial" w:hAnsi="Arial" w:cs="Arial"/>
          <w:sz w:val="20"/>
          <w:szCs w:val="20"/>
        </w:rPr>
        <w:t>291, 302, 304-305</w:t>
      </w:r>
      <w:r w:rsidR="00852729" w:rsidRPr="00852729">
        <w:rPr>
          <w:rFonts w:ascii="Arial" w:hAnsi="Arial" w:cs="Arial"/>
          <w:i/>
          <w:sz w:val="20"/>
          <w:szCs w:val="20"/>
        </w:rPr>
        <w:t>; Minogue v Human Rights and Equal Opportunity Commission</w:t>
      </w:r>
      <w:r w:rsidR="00852729" w:rsidRPr="00852729">
        <w:rPr>
          <w:rFonts w:ascii="Arial" w:hAnsi="Arial" w:cs="Arial"/>
          <w:sz w:val="20"/>
          <w:szCs w:val="20"/>
        </w:rPr>
        <w:t xml:space="preserve"> (1999) 84 FCR 438, 448; cf </w:t>
      </w:r>
      <w:r w:rsidR="00852729" w:rsidRPr="00852729">
        <w:rPr>
          <w:rFonts w:ascii="Arial" w:hAnsi="Arial" w:cs="Arial"/>
          <w:i/>
          <w:sz w:val="20"/>
          <w:szCs w:val="20"/>
        </w:rPr>
        <w:t>Re Minister for Immigration and Multicultural and Indigenous Affairs; Ex parte Lam</w:t>
      </w:r>
      <w:r w:rsidR="00852729" w:rsidRPr="00852729">
        <w:rPr>
          <w:rFonts w:ascii="Arial" w:hAnsi="Arial" w:cs="Arial"/>
          <w:sz w:val="20"/>
          <w:szCs w:val="20"/>
        </w:rPr>
        <w:t xml:space="preserve"> (2003) 214 CLR 1 and </w:t>
      </w:r>
      <w:r w:rsidR="00852729" w:rsidRPr="00852729">
        <w:rPr>
          <w:rFonts w:ascii="Arial" w:hAnsi="Arial" w:cs="Arial"/>
          <w:i/>
          <w:sz w:val="20"/>
          <w:szCs w:val="20"/>
        </w:rPr>
        <w:t>Royal Women’s Hospital v Medical Practitioners Board of Victoria</w:t>
      </w:r>
      <w:r w:rsidR="00852729">
        <w:rPr>
          <w:rFonts w:ascii="Arial" w:hAnsi="Arial" w:cs="Arial"/>
          <w:sz w:val="20"/>
          <w:szCs w:val="20"/>
        </w:rPr>
        <w:t xml:space="preserve"> (2006) 15 VR 22, 39-40;</w:t>
      </w:r>
      <w:r w:rsidR="00852729" w:rsidRPr="00852729">
        <w:rPr>
          <w:rFonts w:ascii="Arial" w:hAnsi="Arial" w:cs="Arial"/>
          <w:sz w:val="20"/>
          <w:szCs w:val="20"/>
        </w:rPr>
        <w:t xml:space="preserve">; </w:t>
      </w:r>
      <w:r w:rsidR="00852729" w:rsidRPr="00852729">
        <w:rPr>
          <w:rFonts w:ascii="Arial" w:hAnsi="Arial" w:cs="Arial"/>
          <w:i/>
          <w:sz w:val="20"/>
          <w:szCs w:val="20"/>
        </w:rPr>
        <w:t>Mabo v Queensland [No 2]</w:t>
      </w:r>
      <w:r w:rsidR="00852729" w:rsidRPr="00852729">
        <w:rPr>
          <w:rFonts w:ascii="Arial" w:hAnsi="Arial" w:cs="Arial"/>
          <w:sz w:val="20"/>
          <w:szCs w:val="20"/>
        </w:rPr>
        <w:t xml:space="preserve"> (1992) 175 CLR 1, 41-43 (per Brennan J with whom Mason CJ and McHugh J agreed); </w:t>
      </w:r>
      <w:r w:rsidR="00852729" w:rsidRPr="00852729">
        <w:rPr>
          <w:rFonts w:ascii="Arial" w:hAnsi="Arial" w:cs="Arial"/>
          <w:i/>
          <w:sz w:val="20"/>
          <w:szCs w:val="20"/>
        </w:rPr>
        <w:t>Jago v District Court of New South Wales</w:t>
      </w:r>
      <w:r w:rsidR="00852729" w:rsidRPr="00852729">
        <w:rPr>
          <w:rFonts w:ascii="Arial" w:hAnsi="Arial" w:cs="Arial"/>
          <w:sz w:val="20"/>
          <w:szCs w:val="20"/>
        </w:rPr>
        <w:t xml:space="preserve"> (1988) 12 NSWLR 558, 569; </w:t>
      </w:r>
      <w:r w:rsidR="00852729" w:rsidRPr="00852729">
        <w:rPr>
          <w:rFonts w:ascii="Arial" w:hAnsi="Arial" w:cs="Arial"/>
          <w:i/>
          <w:sz w:val="20"/>
          <w:szCs w:val="20"/>
        </w:rPr>
        <w:t>Derbyshire County Council v Times Newspapers</w:t>
      </w:r>
      <w:r w:rsidR="00852729" w:rsidRPr="00852729">
        <w:rPr>
          <w:rFonts w:ascii="Arial" w:hAnsi="Arial" w:cs="Arial"/>
          <w:sz w:val="20"/>
          <w:szCs w:val="20"/>
        </w:rPr>
        <w:t xml:space="preserve"> </w:t>
      </w:r>
      <w:r w:rsidR="00852729" w:rsidRPr="00852729">
        <w:rPr>
          <w:rFonts w:ascii="Arial" w:hAnsi="Arial" w:cs="Arial"/>
          <w:i/>
          <w:sz w:val="20"/>
          <w:szCs w:val="20"/>
        </w:rPr>
        <w:t>Ltd</w:t>
      </w:r>
      <w:r w:rsidR="00852729" w:rsidRPr="00852729">
        <w:rPr>
          <w:rFonts w:ascii="Arial" w:hAnsi="Arial" w:cs="Arial"/>
          <w:sz w:val="20"/>
          <w:szCs w:val="20"/>
        </w:rPr>
        <w:t xml:space="preserve"> [1992] QB 770, 812-813; </w:t>
      </w:r>
      <w:r w:rsidR="00852729" w:rsidRPr="00852729">
        <w:rPr>
          <w:rFonts w:ascii="Arial" w:hAnsi="Arial" w:cs="Arial"/>
          <w:i/>
          <w:sz w:val="20"/>
          <w:szCs w:val="20"/>
        </w:rPr>
        <w:t>Nulyarimma v Thompson</w:t>
      </w:r>
      <w:r w:rsidR="00852729" w:rsidRPr="00852729">
        <w:rPr>
          <w:rFonts w:ascii="Arial" w:hAnsi="Arial" w:cs="Arial"/>
          <w:sz w:val="20"/>
          <w:szCs w:val="20"/>
        </w:rPr>
        <w:t xml:space="preserve"> (1999) 165 ALR 621, 676</w:t>
      </w:r>
      <w:r w:rsidR="00852729" w:rsidRPr="00852729">
        <w:rPr>
          <w:rFonts w:ascii="Arial" w:hAnsi="Arial" w:cs="Arial"/>
          <w:i/>
          <w:sz w:val="20"/>
          <w:szCs w:val="20"/>
        </w:rPr>
        <w:t>;</w:t>
      </w:r>
      <w:r w:rsidR="00852729" w:rsidRPr="00852729">
        <w:rPr>
          <w:rFonts w:ascii="Arial" w:hAnsi="Arial" w:cs="Arial"/>
          <w:sz w:val="20"/>
          <w:szCs w:val="20"/>
        </w:rPr>
        <w:t xml:space="preserve"> </w:t>
      </w:r>
      <w:r w:rsidR="00852729" w:rsidRPr="00852729">
        <w:rPr>
          <w:rFonts w:ascii="Arial" w:hAnsi="Arial" w:cs="Arial"/>
          <w:i/>
          <w:sz w:val="20"/>
          <w:szCs w:val="20"/>
        </w:rPr>
        <w:t xml:space="preserve">Smits v Roach </w:t>
      </w:r>
      <w:r w:rsidR="00852729" w:rsidRPr="00852729">
        <w:rPr>
          <w:rFonts w:ascii="Arial" w:hAnsi="Arial" w:cs="Arial"/>
          <w:sz w:val="20"/>
          <w:szCs w:val="20"/>
        </w:rPr>
        <w:t>(2006) 227 CLR 423, 459-460.</w:t>
      </w:r>
    </w:p>
    <w:p w14:paraId="4F0A25DC" w14:textId="3557D7F3" w:rsidR="00B8366E" w:rsidRDefault="00CE480A" w:rsidP="00212E38">
      <w:pPr>
        <w:numPr>
          <w:ilvl w:val="0"/>
          <w:numId w:val="13"/>
        </w:numPr>
        <w:tabs>
          <w:tab w:val="clear" w:pos="420"/>
          <w:tab w:val="num" w:pos="357"/>
        </w:tabs>
        <w:ind w:left="357" w:hanging="357"/>
        <w:jc w:val="both"/>
        <w:rPr>
          <w:rFonts w:ascii="Arial" w:hAnsi="Arial" w:cs="Arial"/>
          <w:sz w:val="20"/>
        </w:rPr>
      </w:pPr>
      <w:r>
        <w:rPr>
          <w:rFonts w:ascii="Arial" w:hAnsi="Arial" w:cs="Arial"/>
          <w:sz w:val="20"/>
        </w:rPr>
        <w:t>[78]-</w:t>
      </w:r>
      <w:r w:rsidR="000A0150">
        <w:rPr>
          <w:rFonts w:ascii="Arial" w:hAnsi="Arial" w:cs="Arial"/>
          <w:sz w:val="20"/>
        </w:rPr>
        <w:t>[</w:t>
      </w:r>
      <w:r w:rsidR="00852729">
        <w:rPr>
          <w:rFonts w:ascii="Arial" w:hAnsi="Arial" w:cs="Arial"/>
          <w:sz w:val="20"/>
        </w:rPr>
        <w:t>85</w:t>
      </w:r>
      <w:r>
        <w:rPr>
          <w:rFonts w:ascii="Arial" w:hAnsi="Arial" w:cs="Arial"/>
          <w:sz w:val="20"/>
        </w:rPr>
        <w:t xml:space="preserve">] </w:t>
      </w:r>
      <w:r w:rsidRPr="00852729">
        <w:rPr>
          <w:rFonts w:ascii="Arial" w:hAnsi="Arial" w:cs="Arial"/>
          <w:b/>
          <w:sz w:val="20"/>
        </w:rPr>
        <w:t>The disadvantages suffered by self-represented litigants</w:t>
      </w:r>
      <w:r w:rsidR="00852729">
        <w:rPr>
          <w:rFonts w:ascii="Arial" w:hAnsi="Arial" w:cs="Arial"/>
          <w:sz w:val="20"/>
        </w:rPr>
        <w:t>:</w:t>
      </w:r>
      <w:r w:rsidR="00852729" w:rsidRPr="00852729">
        <w:rPr>
          <w:rFonts w:ascii="Arial" w:hAnsi="Arial" w:cs="Arial"/>
          <w:sz w:val="20"/>
          <w:szCs w:val="20"/>
        </w:rPr>
        <w:t xml:space="preserve"> </w:t>
      </w:r>
      <w:r w:rsidR="00852729" w:rsidRPr="00852729">
        <w:rPr>
          <w:rFonts w:ascii="Arial" w:hAnsi="Arial" w:cs="Arial"/>
          <w:i/>
          <w:sz w:val="20"/>
          <w:szCs w:val="20"/>
        </w:rPr>
        <w:t>R v Nilson</w:t>
      </w:r>
      <w:r w:rsidR="00852729" w:rsidRPr="00852729">
        <w:rPr>
          <w:rFonts w:ascii="Arial" w:hAnsi="Arial" w:cs="Arial"/>
          <w:sz w:val="20"/>
          <w:szCs w:val="20"/>
        </w:rPr>
        <w:t xml:space="preserve"> </w:t>
      </w:r>
      <w:r w:rsidR="00852729">
        <w:rPr>
          <w:rFonts w:ascii="Arial" w:hAnsi="Arial" w:cs="Arial"/>
          <w:sz w:val="20"/>
          <w:szCs w:val="20"/>
        </w:rPr>
        <w:t>[1971] VR 853, 864;</w:t>
      </w:r>
      <w:r w:rsidR="00852729" w:rsidRPr="006B45E3">
        <w:rPr>
          <w:rFonts w:ascii="Arial" w:hAnsi="Arial" w:cs="Arial"/>
          <w:sz w:val="20"/>
          <w:szCs w:val="20"/>
        </w:rPr>
        <w:t xml:space="preserve"> </w:t>
      </w:r>
      <w:r w:rsidR="006B45E3" w:rsidRPr="006B45E3">
        <w:rPr>
          <w:rFonts w:ascii="Arial" w:hAnsi="Arial" w:cs="Arial"/>
          <w:i/>
          <w:sz w:val="20"/>
          <w:szCs w:val="20"/>
        </w:rPr>
        <w:t>Nagy v Ryan</w:t>
      </w:r>
      <w:r w:rsidR="006B45E3" w:rsidRPr="006B45E3">
        <w:rPr>
          <w:rFonts w:ascii="Arial" w:hAnsi="Arial" w:cs="Arial"/>
          <w:sz w:val="20"/>
          <w:szCs w:val="20"/>
        </w:rPr>
        <w:t xml:space="preserve"> [2003] SASC 37, [40]-[41]; </w:t>
      </w:r>
      <w:r w:rsidR="006B45E3" w:rsidRPr="006B45E3">
        <w:rPr>
          <w:rFonts w:ascii="Arial" w:hAnsi="Arial" w:cs="Arial"/>
          <w:i/>
          <w:sz w:val="20"/>
          <w:szCs w:val="20"/>
        </w:rPr>
        <w:t>Commissioner of Taxation v Metaskills Pty Ltd</w:t>
      </w:r>
      <w:r w:rsidR="006B45E3" w:rsidRPr="006B45E3">
        <w:rPr>
          <w:rFonts w:ascii="Arial" w:hAnsi="Arial" w:cs="Arial"/>
          <w:sz w:val="20"/>
          <w:szCs w:val="20"/>
        </w:rPr>
        <w:t xml:space="preserve"> (2003) 130 FCR 248, 273; </w:t>
      </w:r>
      <w:r w:rsidR="006B45E3" w:rsidRPr="006B45E3">
        <w:rPr>
          <w:rFonts w:ascii="Arial" w:hAnsi="Arial" w:cs="Arial"/>
          <w:i/>
          <w:sz w:val="20"/>
          <w:szCs w:val="20"/>
        </w:rPr>
        <w:t>R v White</w:t>
      </w:r>
      <w:r w:rsidR="006B45E3" w:rsidRPr="006B45E3">
        <w:rPr>
          <w:rFonts w:ascii="Arial" w:hAnsi="Arial" w:cs="Arial"/>
          <w:sz w:val="20"/>
          <w:szCs w:val="20"/>
        </w:rPr>
        <w:t xml:space="preserve"> (2003) 7 VR 442, 454-459; </w:t>
      </w:r>
      <w:r w:rsidR="006B45E3" w:rsidRPr="006B45E3">
        <w:rPr>
          <w:rFonts w:ascii="Arial" w:hAnsi="Arial" w:cs="Arial"/>
          <w:i/>
          <w:sz w:val="20"/>
          <w:szCs w:val="20"/>
        </w:rPr>
        <w:t>Tobin v Dodd</w:t>
      </w:r>
      <w:r w:rsidR="006B45E3" w:rsidRPr="006B45E3">
        <w:rPr>
          <w:rFonts w:ascii="Arial" w:hAnsi="Arial" w:cs="Arial"/>
          <w:sz w:val="20"/>
          <w:szCs w:val="20"/>
        </w:rPr>
        <w:t xml:space="preserve"> [2004] WASCA 288, [13]; </w:t>
      </w:r>
      <w:r w:rsidR="006B45E3" w:rsidRPr="006B45E3">
        <w:rPr>
          <w:rFonts w:ascii="Arial" w:hAnsi="Arial" w:cs="Arial"/>
          <w:i/>
          <w:sz w:val="20"/>
          <w:szCs w:val="20"/>
        </w:rPr>
        <w:t xml:space="preserve">Panagiotopoulos v Rajendram </w:t>
      </w:r>
      <w:r w:rsidR="006B45E3" w:rsidRPr="006B45E3">
        <w:rPr>
          <w:rFonts w:ascii="Arial" w:hAnsi="Arial" w:cs="Arial"/>
          <w:sz w:val="20"/>
          <w:szCs w:val="20"/>
        </w:rPr>
        <w:t xml:space="preserve">[2005] NSWCA 58, [33]; </w:t>
      </w:r>
      <w:r w:rsidR="006B45E3" w:rsidRPr="006B45E3">
        <w:rPr>
          <w:rFonts w:ascii="Arial" w:hAnsi="Arial" w:cs="Arial"/>
          <w:i/>
          <w:sz w:val="20"/>
          <w:szCs w:val="20"/>
        </w:rPr>
        <w:t>Stock v Anning</w:t>
      </w:r>
      <w:r w:rsidR="006B45E3" w:rsidRPr="006B45E3">
        <w:rPr>
          <w:rFonts w:ascii="Arial" w:hAnsi="Arial" w:cs="Arial"/>
          <w:sz w:val="20"/>
          <w:szCs w:val="20"/>
        </w:rPr>
        <w:t xml:space="preserve"> [2006] WASC 275, [54]; </w:t>
      </w:r>
      <w:r w:rsidR="006B45E3" w:rsidRPr="006B45E3">
        <w:rPr>
          <w:rFonts w:ascii="Arial" w:hAnsi="Arial" w:cs="Arial"/>
          <w:i/>
          <w:sz w:val="20"/>
          <w:szCs w:val="20"/>
        </w:rPr>
        <w:t>R v Rostom</w:t>
      </w:r>
      <w:r w:rsidR="006B45E3" w:rsidRPr="006B45E3">
        <w:rPr>
          <w:rFonts w:ascii="Arial" w:hAnsi="Arial" w:cs="Arial"/>
          <w:sz w:val="20"/>
          <w:szCs w:val="20"/>
        </w:rPr>
        <w:t xml:space="preserve"> [2007] SASC 210, [59] (accused could not read English); </w:t>
      </w:r>
      <w:r w:rsidR="006B45E3" w:rsidRPr="006B45E3">
        <w:rPr>
          <w:rFonts w:ascii="Arial" w:hAnsi="Arial" w:cs="Arial"/>
          <w:i/>
          <w:sz w:val="20"/>
          <w:szCs w:val="20"/>
        </w:rPr>
        <w:t>In the Marriage of Sajdak</w:t>
      </w:r>
      <w:r w:rsidR="006B45E3" w:rsidRPr="006B45E3">
        <w:rPr>
          <w:rFonts w:ascii="Arial" w:hAnsi="Arial" w:cs="Arial"/>
          <w:sz w:val="20"/>
          <w:szCs w:val="20"/>
        </w:rPr>
        <w:t xml:space="preserve"> (1992) 16 </w:t>
      </w:r>
      <w:r w:rsidR="000F0BE9">
        <w:rPr>
          <w:rFonts w:ascii="Arial" w:hAnsi="Arial" w:cs="Arial"/>
          <w:sz w:val="20"/>
          <w:szCs w:val="20"/>
        </w:rPr>
        <w:t>I</w:t>
      </w:r>
      <w:r w:rsidR="006B45E3" w:rsidRPr="006B45E3">
        <w:rPr>
          <w:rFonts w:ascii="Arial" w:hAnsi="Arial" w:cs="Arial"/>
          <w:sz w:val="20"/>
          <w:szCs w:val="20"/>
        </w:rPr>
        <w:t xml:space="preserve"> LR 280, 283-284 (no legal representation or reliable interpreter, so “almost laughable to speak of notions such as equ</w:t>
      </w:r>
      <w:r w:rsidR="006B45E3">
        <w:rPr>
          <w:rFonts w:ascii="Arial" w:hAnsi="Arial" w:cs="Arial"/>
          <w:sz w:val="20"/>
          <w:szCs w:val="20"/>
        </w:rPr>
        <w:t>ality of access to the courts”);</w:t>
      </w:r>
      <w:r w:rsidR="006B45E3" w:rsidRPr="00F263FB">
        <w:rPr>
          <w:rFonts w:ascii="Arial" w:hAnsi="Arial" w:cs="Arial"/>
          <w:sz w:val="20"/>
          <w:szCs w:val="20"/>
        </w:rPr>
        <w:t xml:space="preserve"> </w:t>
      </w:r>
      <w:r w:rsidR="00F263FB" w:rsidRPr="00F263FB">
        <w:rPr>
          <w:rFonts w:ascii="Arial" w:hAnsi="Arial" w:cs="Arial"/>
          <w:i/>
          <w:sz w:val="20"/>
          <w:szCs w:val="20"/>
        </w:rPr>
        <w:t>Awan v Minister for Immigration and Multicultural and Indigenous Affairs</w:t>
      </w:r>
      <w:r w:rsidR="000A0150">
        <w:rPr>
          <w:rFonts w:ascii="Arial" w:hAnsi="Arial" w:cs="Arial"/>
          <w:sz w:val="20"/>
          <w:szCs w:val="20"/>
        </w:rPr>
        <w:t xml:space="preserve"> (2002) 120 FCR 1, [46].</w:t>
      </w:r>
    </w:p>
    <w:p w14:paraId="535B441C" w14:textId="77777777" w:rsidR="00CE480A" w:rsidRDefault="00852729" w:rsidP="00212E38">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[86]-[88] </w:t>
      </w:r>
      <w:r w:rsidRPr="00852729">
        <w:rPr>
          <w:rFonts w:ascii="Arial" w:hAnsi="Arial" w:cs="Arial"/>
          <w:b/>
          <w:sz w:val="20"/>
        </w:rPr>
        <w:t>The over-riding</w:t>
      </w:r>
      <w:r w:rsidRPr="000A0150">
        <w:rPr>
          <w:rFonts w:ascii="Arial" w:hAnsi="Arial" w:cs="Arial"/>
          <w:b/>
          <w:sz w:val="20"/>
          <w:szCs w:val="20"/>
        </w:rPr>
        <w:t xml:space="preserve"> duty of a trial judge to ensure a fair trial</w:t>
      </w:r>
      <w:r w:rsidRPr="000A0150">
        <w:rPr>
          <w:rFonts w:ascii="Arial" w:hAnsi="Arial" w:cs="Arial"/>
          <w:sz w:val="20"/>
          <w:szCs w:val="20"/>
        </w:rPr>
        <w:t xml:space="preserve">: </w:t>
      </w:r>
      <w:r w:rsidR="000A0150" w:rsidRPr="000A0150">
        <w:rPr>
          <w:rFonts w:ascii="Arial" w:hAnsi="Arial" w:cs="Arial"/>
          <w:i/>
          <w:sz w:val="20"/>
          <w:szCs w:val="20"/>
        </w:rPr>
        <w:t>Dietrich v R</w:t>
      </w:r>
      <w:r w:rsidR="000A0150" w:rsidRPr="000A0150">
        <w:rPr>
          <w:rFonts w:ascii="Arial" w:hAnsi="Arial" w:cs="Arial"/>
          <w:sz w:val="20"/>
          <w:szCs w:val="20"/>
        </w:rPr>
        <w:t xml:space="preserve">. (1992) 177 CLR 292; </w:t>
      </w:r>
      <w:r w:rsidR="000A0150" w:rsidRPr="000A0150">
        <w:rPr>
          <w:rFonts w:ascii="Arial" w:hAnsi="Arial" w:cs="Arial"/>
          <w:i/>
          <w:sz w:val="20"/>
          <w:szCs w:val="20"/>
        </w:rPr>
        <w:t>Jago v District Court of New South Wales</w:t>
      </w:r>
      <w:r w:rsidR="000A0150" w:rsidRPr="000A0150">
        <w:rPr>
          <w:rFonts w:ascii="Arial" w:hAnsi="Arial" w:cs="Arial"/>
          <w:sz w:val="20"/>
          <w:szCs w:val="20"/>
        </w:rPr>
        <w:t xml:space="preserve"> (1989) 168 CLR 23, 57; </w:t>
      </w:r>
      <w:r w:rsidR="000A0150" w:rsidRPr="000A0150">
        <w:rPr>
          <w:rFonts w:ascii="Arial" w:hAnsi="Arial" w:cs="Arial"/>
          <w:i/>
          <w:sz w:val="20"/>
          <w:szCs w:val="20"/>
        </w:rPr>
        <w:t>Barton v R</w:t>
      </w:r>
      <w:r w:rsidR="000A0150" w:rsidRPr="000A0150">
        <w:rPr>
          <w:rFonts w:ascii="Arial" w:hAnsi="Arial" w:cs="Arial"/>
          <w:sz w:val="20"/>
          <w:szCs w:val="20"/>
        </w:rPr>
        <w:t xml:space="preserve"> (1980) 147 CLR 75, 96.</w:t>
      </w:r>
    </w:p>
    <w:p w14:paraId="6F50C22E" w14:textId="77777777" w:rsidR="00CE480A" w:rsidRDefault="00852729" w:rsidP="00D721FF">
      <w:pPr>
        <w:numPr>
          <w:ilvl w:val="0"/>
          <w:numId w:val="13"/>
        </w:numPr>
        <w:tabs>
          <w:tab w:val="clear" w:pos="420"/>
          <w:tab w:val="num" w:pos="357"/>
        </w:tabs>
        <w:ind w:left="357" w:hanging="357"/>
        <w:jc w:val="both"/>
        <w:rPr>
          <w:rFonts w:ascii="Arial" w:hAnsi="Arial" w:cs="Arial"/>
          <w:sz w:val="20"/>
        </w:rPr>
      </w:pPr>
      <w:r>
        <w:rPr>
          <w:rFonts w:ascii="Arial" w:hAnsi="Arial" w:cs="Arial"/>
          <w:sz w:val="20"/>
        </w:rPr>
        <w:t>[89]-[</w:t>
      </w:r>
      <w:r w:rsidR="00C71C07">
        <w:rPr>
          <w:rFonts w:ascii="Arial" w:hAnsi="Arial" w:cs="Arial"/>
          <w:sz w:val="20"/>
        </w:rPr>
        <w:t>96</w:t>
      </w:r>
      <w:r>
        <w:rPr>
          <w:rFonts w:ascii="Arial" w:hAnsi="Arial" w:cs="Arial"/>
          <w:sz w:val="20"/>
        </w:rPr>
        <w:t xml:space="preserve">] </w:t>
      </w:r>
      <w:r w:rsidRPr="00C71C07">
        <w:rPr>
          <w:rFonts w:ascii="Arial" w:hAnsi="Arial" w:cs="Arial"/>
          <w:b/>
          <w:sz w:val="20"/>
        </w:rPr>
        <w:t>T</w:t>
      </w:r>
      <w:r w:rsidRPr="00E60421">
        <w:rPr>
          <w:rFonts w:ascii="Arial" w:hAnsi="Arial" w:cs="Arial"/>
          <w:b/>
          <w:sz w:val="20"/>
          <w:szCs w:val="20"/>
        </w:rPr>
        <w:t>he trial judge’s duty to assist self-represented litigants</w:t>
      </w:r>
      <w:r w:rsidRPr="00E60421">
        <w:rPr>
          <w:rFonts w:ascii="Arial" w:hAnsi="Arial" w:cs="Arial"/>
          <w:sz w:val="20"/>
          <w:szCs w:val="20"/>
        </w:rPr>
        <w:t xml:space="preserve">:  </w:t>
      </w:r>
      <w:r w:rsidR="00E60421" w:rsidRPr="00E60421">
        <w:rPr>
          <w:rFonts w:ascii="Arial" w:hAnsi="Arial" w:cs="Arial"/>
          <w:i/>
          <w:sz w:val="20"/>
          <w:szCs w:val="20"/>
        </w:rPr>
        <w:t xml:space="preserve">Self-represented Parties: A Trial Management Guide for the Judiciary </w:t>
      </w:r>
      <w:r w:rsidR="00E60421" w:rsidRPr="00E60421">
        <w:rPr>
          <w:rFonts w:ascii="Arial" w:hAnsi="Arial" w:cs="Arial"/>
          <w:sz w:val="20"/>
          <w:szCs w:val="20"/>
        </w:rPr>
        <w:t xml:space="preserve">(County Court of Victoria, 2004); </w:t>
      </w:r>
      <w:r w:rsidR="00E60421" w:rsidRPr="00E60421">
        <w:rPr>
          <w:rFonts w:ascii="Arial" w:hAnsi="Arial" w:cs="Arial"/>
          <w:i/>
          <w:sz w:val="20"/>
          <w:szCs w:val="20"/>
        </w:rPr>
        <w:t>R v Nilson</w:t>
      </w:r>
      <w:r w:rsidR="00E60421" w:rsidRPr="00E60421">
        <w:rPr>
          <w:rFonts w:ascii="Arial" w:hAnsi="Arial" w:cs="Arial"/>
          <w:sz w:val="20"/>
          <w:szCs w:val="20"/>
        </w:rPr>
        <w:t xml:space="preserve"> [1971] VR 853, 864; </w:t>
      </w:r>
      <w:r w:rsidR="00E60421" w:rsidRPr="00E60421">
        <w:rPr>
          <w:rFonts w:ascii="Arial" w:hAnsi="Arial" w:cs="Arial"/>
          <w:i/>
          <w:sz w:val="20"/>
          <w:szCs w:val="20"/>
        </w:rPr>
        <w:t>Cooling v Steel</w:t>
      </w:r>
      <w:r w:rsidR="00E60421" w:rsidRPr="00E60421">
        <w:rPr>
          <w:rFonts w:ascii="Arial" w:hAnsi="Arial" w:cs="Arial"/>
          <w:sz w:val="20"/>
          <w:szCs w:val="20"/>
        </w:rPr>
        <w:t xml:space="preserve"> [1971] 2 SASR 249, 251; </w:t>
      </w:r>
      <w:r w:rsidR="00E60421" w:rsidRPr="00E60421">
        <w:rPr>
          <w:rFonts w:ascii="Arial" w:hAnsi="Arial" w:cs="Arial"/>
          <w:i/>
          <w:sz w:val="20"/>
          <w:szCs w:val="20"/>
        </w:rPr>
        <w:t>MacPherson v R</w:t>
      </w:r>
      <w:r w:rsidR="00E60421" w:rsidRPr="00E60421">
        <w:rPr>
          <w:rFonts w:ascii="Arial" w:hAnsi="Arial" w:cs="Arial"/>
          <w:sz w:val="20"/>
          <w:szCs w:val="20"/>
        </w:rPr>
        <w:t xml:space="preserve"> (1981) 147 CLR 512, 524, 534, 546-547; </w:t>
      </w:r>
      <w:r w:rsidR="00E60421" w:rsidRPr="00E60421">
        <w:rPr>
          <w:rFonts w:ascii="Arial" w:hAnsi="Arial" w:cs="Arial"/>
          <w:i/>
          <w:sz w:val="20"/>
          <w:szCs w:val="20"/>
        </w:rPr>
        <w:t>R v Gidley</w:t>
      </w:r>
      <w:r w:rsidR="00E60421" w:rsidRPr="00E60421">
        <w:rPr>
          <w:rFonts w:ascii="Arial" w:hAnsi="Arial" w:cs="Arial"/>
          <w:sz w:val="20"/>
          <w:szCs w:val="20"/>
        </w:rPr>
        <w:t xml:space="preserve"> [1984] 3 NSWLR 168, 181; </w:t>
      </w:r>
      <w:r w:rsidR="00E60421" w:rsidRPr="00E60421">
        <w:rPr>
          <w:rFonts w:ascii="Arial" w:hAnsi="Arial" w:cs="Arial"/>
          <w:i/>
          <w:sz w:val="20"/>
          <w:szCs w:val="20"/>
        </w:rPr>
        <w:t>R v Zorad</w:t>
      </w:r>
      <w:r w:rsidR="00E60421" w:rsidRPr="00E60421">
        <w:rPr>
          <w:rFonts w:ascii="Arial" w:hAnsi="Arial" w:cs="Arial"/>
          <w:sz w:val="20"/>
          <w:szCs w:val="20"/>
        </w:rPr>
        <w:t xml:space="preserve"> (1990) 19 NSWLR 91, 100; </w:t>
      </w:r>
      <w:r w:rsidR="00E60421" w:rsidRPr="00E60421">
        <w:rPr>
          <w:rFonts w:ascii="Arial" w:hAnsi="Arial" w:cs="Arial"/>
          <w:i/>
          <w:sz w:val="20"/>
          <w:szCs w:val="20"/>
        </w:rPr>
        <w:t>Dietrich v R</w:t>
      </w:r>
      <w:r w:rsidR="00E60421" w:rsidRPr="00E60421">
        <w:rPr>
          <w:rFonts w:ascii="Arial" w:hAnsi="Arial" w:cs="Arial"/>
          <w:sz w:val="20"/>
          <w:szCs w:val="20"/>
        </w:rPr>
        <w:t xml:space="preserve"> (1992) 177 CLR 292, 327; </w:t>
      </w:r>
      <w:r w:rsidR="00E60421" w:rsidRPr="00E60421">
        <w:rPr>
          <w:rFonts w:ascii="Arial" w:hAnsi="Arial" w:cs="Arial"/>
          <w:i/>
          <w:sz w:val="20"/>
          <w:szCs w:val="20"/>
        </w:rPr>
        <w:t>R v White</w:t>
      </w:r>
      <w:r w:rsidR="00E60421" w:rsidRPr="00E60421">
        <w:rPr>
          <w:rFonts w:ascii="Arial" w:hAnsi="Arial" w:cs="Arial"/>
          <w:sz w:val="20"/>
          <w:szCs w:val="20"/>
        </w:rPr>
        <w:t xml:space="preserve"> (2003) 7 VR 442, 453-458; </w:t>
      </w:r>
      <w:r w:rsidR="00E60421" w:rsidRPr="00E60421">
        <w:rPr>
          <w:rFonts w:ascii="Arial" w:hAnsi="Arial" w:cs="Arial"/>
          <w:i/>
          <w:sz w:val="20"/>
          <w:szCs w:val="20"/>
        </w:rPr>
        <w:t>Pezos v Police</w:t>
      </w:r>
      <w:r w:rsidR="00E60421" w:rsidRPr="00E60421">
        <w:rPr>
          <w:rFonts w:ascii="Arial" w:hAnsi="Arial" w:cs="Arial"/>
          <w:sz w:val="20"/>
          <w:szCs w:val="20"/>
        </w:rPr>
        <w:t xml:space="preserve"> (2005) 94 SASR 154, 159-160; </w:t>
      </w:r>
      <w:r w:rsidR="00E60421" w:rsidRPr="00E60421">
        <w:rPr>
          <w:rFonts w:ascii="Arial" w:hAnsi="Arial" w:cs="Arial"/>
          <w:i/>
          <w:sz w:val="20"/>
          <w:szCs w:val="20"/>
        </w:rPr>
        <w:t>R v Kerbatieh</w:t>
      </w:r>
      <w:r w:rsidR="00E60421" w:rsidRPr="00E60421">
        <w:rPr>
          <w:rFonts w:ascii="Arial" w:hAnsi="Arial" w:cs="Arial"/>
          <w:sz w:val="20"/>
          <w:szCs w:val="20"/>
        </w:rPr>
        <w:t xml:space="preserve"> (2005) 155 A Crim R 367, 379-380; </w:t>
      </w:r>
      <w:r w:rsidR="00E60421" w:rsidRPr="00E60421">
        <w:rPr>
          <w:rFonts w:ascii="Arial" w:hAnsi="Arial" w:cs="Arial"/>
          <w:i/>
          <w:sz w:val="20"/>
          <w:szCs w:val="20"/>
        </w:rPr>
        <w:t>R v Rostom</w:t>
      </w:r>
      <w:r w:rsidR="00E60421" w:rsidRPr="00E60421">
        <w:rPr>
          <w:rFonts w:ascii="Arial" w:hAnsi="Arial" w:cs="Arial"/>
          <w:sz w:val="20"/>
          <w:szCs w:val="20"/>
        </w:rPr>
        <w:t xml:space="preserve"> [2007] SASC 210, [35]-[43]</w:t>
      </w:r>
      <w:r w:rsidR="00E60421">
        <w:rPr>
          <w:rFonts w:ascii="Arial" w:hAnsi="Arial" w:cs="Arial"/>
          <w:sz w:val="20"/>
          <w:szCs w:val="20"/>
        </w:rPr>
        <w:t xml:space="preserve">; </w:t>
      </w:r>
      <w:r w:rsidR="00E60421" w:rsidRPr="00E60421">
        <w:rPr>
          <w:rFonts w:ascii="Arial" w:hAnsi="Arial" w:cs="Arial"/>
          <w:i/>
          <w:sz w:val="20"/>
          <w:szCs w:val="20"/>
        </w:rPr>
        <w:t xml:space="preserve">MacPherson v R </w:t>
      </w:r>
      <w:r w:rsidR="00E60421" w:rsidRPr="00E60421">
        <w:rPr>
          <w:rFonts w:ascii="Arial" w:hAnsi="Arial" w:cs="Arial"/>
          <w:sz w:val="20"/>
          <w:szCs w:val="20"/>
        </w:rPr>
        <w:t>(1981) 147 CLR 512.</w:t>
      </w:r>
      <w:r w:rsidR="00E60421">
        <w:rPr>
          <w:rFonts w:ascii="Arial" w:hAnsi="Arial" w:cs="Arial"/>
          <w:sz w:val="20"/>
          <w:szCs w:val="20"/>
        </w:rPr>
        <w:t xml:space="preserve">  The same duty applies to magistrates: </w:t>
      </w:r>
      <w:r w:rsidR="00E60421" w:rsidRPr="00E60421">
        <w:rPr>
          <w:rFonts w:ascii="Arial" w:hAnsi="Arial" w:cs="Arial"/>
          <w:i/>
          <w:sz w:val="20"/>
          <w:szCs w:val="20"/>
        </w:rPr>
        <w:t>Cooling v Steel</w:t>
      </w:r>
      <w:r w:rsidR="00E60421" w:rsidRPr="00E60421">
        <w:rPr>
          <w:rFonts w:ascii="Arial" w:hAnsi="Arial" w:cs="Arial"/>
          <w:sz w:val="20"/>
          <w:szCs w:val="20"/>
        </w:rPr>
        <w:t xml:space="preserve"> [1971] 2 SASR 249, 250-251; </w:t>
      </w:r>
      <w:r w:rsidR="00E60421" w:rsidRPr="00E60421">
        <w:rPr>
          <w:rFonts w:ascii="Arial" w:hAnsi="Arial" w:cs="Arial"/>
          <w:i/>
          <w:sz w:val="20"/>
          <w:szCs w:val="20"/>
        </w:rPr>
        <w:t>Black v Smith</w:t>
      </w:r>
      <w:r w:rsidR="00E60421" w:rsidRPr="00E60421">
        <w:rPr>
          <w:rFonts w:ascii="Arial" w:hAnsi="Arial" w:cs="Arial"/>
          <w:sz w:val="20"/>
          <w:szCs w:val="20"/>
        </w:rPr>
        <w:t xml:space="preserve"> (1984) 75 FLR 110, 112-113; </w:t>
      </w:r>
      <w:r w:rsidR="00E60421" w:rsidRPr="00E60421">
        <w:rPr>
          <w:rFonts w:ascii="Arial" w:hAnsi="Arial" w:cs="Arial"/>
          <w:i/>
          <w:sz w:val="20"/>
          <w:szCs w:val="20"/>
        </w:rPr>
        <w:t>Nagy v Ryan</w:t>
      </w:r>
      <w:r w:rsidR="00E60421" w:rsidRPr="00E60421">
        <w:rPr>
          <w:rFonts w:ascii="Arial" w:hAnsi="Arial" w:cs="Arial"/>
          <w:sz w:val="20"/>
          <w:szCs w:val="20"/>
        </w:rPr>
        <w:t xml:space="preserve"> [2003] SASC 37, [39]-[46]; </w:t>
      </w:r>
      <w:r w:rsidR="00E60421" w:rsidRPr="00E60421">
        <w:rPr>
          <w:rFonts w:ascii="Arial" w:hAnsi="Arial" w:cs="Arial"/>
          <w:i/>
          <w:sz w:val="20"/>
          <w:szCs w:val="20"/>
        </w:rPr>
        <w:t>Pezos v Police</w:t>
      </w:r>
      <w:r w:rsidR="00E60421" w:rsidRPr="00E60421">
        <w:rPr>
          <w:rFonts w:ascii="Arial" w:hAnsi="Arial" w:cs="Arial"/>
          <w:sz w:val="20"/>
          <w:szCs w:val="20"/>
        </w:rPr>
        <w:t xml:space="preserve"> (2005) 94 SASR 154, [8]-[20]; </w:t>
      </w:r>
      <w:r w:rsidR="00E60421" w:rsidRPr="00E60421">
        <w:rPr>
          <w:rFonts w:ascii="Arial" w:hAnsi="Arial" w:cs="Arial"/>
          <w:i/>
          <w:sz w:val="20"/>
          <w:szCs w:val="20"/>
        </w:rPr>
        <w:t>KC Nominees Pty Ltd v Arrowsmith</w:t>
      </w:r>
      <w:r w:rsidR="00E60421" w:rsidRPr="00E60421">
        <w:rPr>
          <w:rFonts w:ascii="Arial" w:hAnsi="Arial" w:cs="Arial"/>
          <w:sz w:val="20"/>
          <w:szCs w:val="20"/>
        </w:rPr>
        <w:t xml:space="preserve"> (2006) 232 ALR 789, 798, 806; </w:t>
      </w:r>
      <w:r w:rsidR="00E60421" w:rsidRPr="00E60421">
        <w:rPr>
          <w:rFonts w:ascii="Arial" w:hAnsi="Arial" w:cs="Arial"/>
          <w:i/>
          <w:sz w:val="20"/>
          <w:szCs w:val="20"/>
        </w:rPr>
        <w:t>Stock v Anning</w:t>
      </w:r>
      <w:r w:rsidR="00E60421" w:rsidRPr="00E60421">
        <w:rPr>
          <w:rFonts w:ascii="Arial" w:hAnsi="Arial" w:cs="Arial"/>
          <w:sz w:val="20"/>
          <w:szCs w:val="20"/>
        </w:rPr>
        <w:t xml:space="preserve"> [2006] WASC 275, [54]-[58].</w:t>
      </w:r>
    </w:p>
    <w:p w14:paraId="08366104" w14:textId="77777777" w:rsidR="00BD3488" w:rsidRPr="00BD3488" w:rsidRDefault="00C71C07" w:rsidP="00212E38">
      <w:pPr>
        <w:numPr>
          <w:ilvl w:val="0"/>
          <w:numId w:val="13"/>
        </w:numPr>
        <w:tabs>
          <w:tab w:val="clear" w:pos="420"/>
          <w:tab w:val="num" w:pos="357"/>
        </w:tabs>
        <w:ind w:left="357" w:hanging="357"/>
        <w:jc w:val="both"/>
        <w:rPr>
          <w:rFonts w:ascii="Arial" w:hAnsi="Arial" w:cs="Arial"/>
          <w:sz w:val="20"/>
          <w:szCs w:val="20"/>
        </w:rPr>
      </w:pPr>
      <w:r>
        <w:rPr>
          <w:rFonts w:ascii="Arial" w:hAnsi="Arial" w:cs="Arial"/>
          <w:sz w:val="20"/>
        </w:rPr>
        <w:t xml:space="preserve">[97]-[132] </w:t>
      </w:r>
      <w:r w:rsidRPr="00C71C07">
        <w:rPr>
          <w:rFonts w:ascii="Arial" w:hAnsi="Arial" w:cs="Arial"/>
          <w:b/>
          <w:sz w:val="20"/>
        </w:rPr>
        <w:t>The scope of the duty to assist and the judge’s dilemma</w:t>
      </w:r>
      <w:r>
        <w:rPr>
          <w:rFonts w:ascii="Arial" w:hAnsi="Arial" w:cs="Arial"/>
          <w:sz w:val="20"/>
        </w:rPr>
        <w:t xml:space="preserve">: </w:t>
      </w:r>
      <w:r w:rsidRPr="00C71C07">
        <w:rPr>
          <w:rFonts w:ascii="Arial" w:hAnsi="Arial" w:cs="Arial"/>
          <w:i/>
          <w:sz w:val="20"/>
          <w:szCs w:val="20"/>
        </w:rPr>
        <w:t>Abram v Bank of New Zealand</w:t>
      </w:r>
      <w:r w:rsidRPr="00C71C07">
        <w:rPr>
          <w:rFonts w:ascii="Arial" w:hAnsi="Arial" w:cs="Arial"/>
          <w:sz w:val="20"/>
          <w:szCs w:val="20"/>
        </w:rPr>
        <w:t xml:space="preserve"> </w:t>
      </w:r>
      <w:r>
        <w:rPr>
          <w:rFonts w:ascii="Arial" w:hAnsi="Arial" w:cs="Arial"/>
          <w:sz w:val="20"/>
          <w:szCs w:val="20"/>
        </w:rPr>
        <w:t>(1996) ATPR ¶41-507, 43,341;</w:t>
      </w:r>
      <w:r w:rsidRPr="00E60421">
        <w:rPr>
          <w:rFonts w:ascii="Arial" w:hAnsi="Arial" w:cs="Arial"/>
          <w:sz w:val="20"/>
          <w:szCs w:val="20"/>
        </w:rPr>
        <w:t xml:space="preserve"> </w:t>
      </w:r>
      <w:r w:rsidR="00E60421" w:rsidRPr="00E60421">
        <w:rPr>
          <w:rFonts w:ascii="Arial" w:hAnsi="Arial" w:cs="Arial"/>
          <w:i/>
          <w:sz w:val="20"/>
          <w:szCs w:val="20"/>
        </w:rPr>
        <w:t xml:space="preserve">Microsoft Corporation v Ezy Loans Pty Ltd </w:t>
      </w:r>
      <w:r w:rsidR="00E60421" w:rsidRPr="00E60421">
        <w:rPr>
          <w:rFonts w:ascii="Arial" w:hAnsi="Arial" w:cs="Arial"/>
          <w:sz w:val="20"/>
          <w:szCs w:val="20"/>
        </w:rPr>
        <w:t>(2004) 63 IPR 54</w:t>
      </w:r>
      <w:r w:rsidR="00E60421" w:rsidRPr="00E60421">
        <w:rPr>
          <w:rFonts w:ascii="Arial" w:hAnsi="Arial" w:cs="Arial"/>
          <w:i/>
          <w:sz w:val="20"/>
          <w:szCs w:val="20"/>
        </w:rPr>
        <w:t xml:space="preserve">; Pezos v Police </w:t>
      </w:r>
      <w:r w:rsidR="00E60421" w:rsidRPr="00E60421">
        <w:rPr>
          <w:rFonts w:ascii="Arial" w:hAnsi="Arial" w:cs="Arial"/>
          <w:sz w:val="20"/>
          <w:szCs w:val="20"/>
        </w:rPr>
        <w:t>(2005) 94 SASR 154</w:t>
      </w:r>
      <w:r w:rsidR="00E60421">
        <w:rPr>
          <w:i/>
          <w:sz w:val="20"/>
        </w:rPr>
        <w:t>;</w:t>
      </w:r>
      <w:r w:rsidR="00E60421" w:rsidRPr="00E60421">
        <w:rPr>
          <w:rFonts w:ascii="Arial" w:hAnsi="Arial" w:cs="Arial"/>
          <w:i/>
          <w:sz w:val="20"/>
        </w:rPr>
        <w:t xml:space="preserve"> R v Gidley</w:t>
      </w:r>
      <w:r w:rsidR="00E60421" w:rsidRPr="00E60421">
        <w:rPr>
          <w:rFonts w:ascii="Arial" w:hAnsi="Arial" w:cs="Arial"/>
          <w:sz w:val="20"/>
        </w:rPr>
        <w:t xml:space="preserve"> [1984] 3 NSWLR 168; </w:t>
      </w:r>
      <w:r w:rsidR="00E60421" w:rsidRPr="00E60421">
        <w:rPr>
          <w:rFonts w:ascii="Arial" w:hAnsi="Arial" w:cs="Arial"/>
          <w:i/>
          <w:sz w:val="20"/>
        </w:rPr>
        <w:t>R v Zorad</w:t>
      </w:r>
      <w:r w:rsidR="00E60421" w:rsidRPr="00E60421">
        <w:rPr>
          <w:rFonts w:ascii="Arial" w:hAnsi="Arial" w:cs="Arial"/>
          <w:sz w:val="20"/>
        </w:rPr>
        <w:t xml:space="preserve"> (1990) 19 NSWLR 91;</w:t>
      </w:r>
      <w:r w:rsidR="00E60421" w:rsidRPr="00E60421">
        <w:rPr>
          <w:rFonts w:ascii="Arial" w:hAnsi="Arial" w:cs="Arial"/>
          <w:i/>
          <w:sz w:val="20"/>
        </w:rPr>
        <w:t xml:space="preserve"> Minogue v Human Rights and Equal Opportunity Commission</w:t>
      </w:r>
      <w:r w:rsidR="00BD3488">
        <w:rPr>
          <w:rFonts w:ascii="Arial" w:hAnsi="Arial" w:cs="Arial"/>
          <w:sz w:val="20"/>
        </w:rPr>
        <w:t xml:space="preserve"> (1999) 84 FCR 438; </w:t>
      </w:r>
      <w:r w:rsidR="00BD3488" w:rsidRPr="00BD3488">
        <w:rPr>
          <w:rFonts w:ascii="Arial" w:hAnsi="Arial" w:cs="Arial"/>
          <w:i/>
          <w:sz w:val="20"/>
          <w:szCs w:val="20"/>
        </w:rPr>
        <w:t>Panagopoulos v Southern Healthcare Network</w:t>
      </w:r>
      <w:r w:rsidR="00BD3488" w:rsidRPr="00BD3488">
        <w:rPr>
          <w:rFonts w:ascii="Arial" w:hAnsi="Arial" w:cs="Arial"/>
          <w:sz w:val="20"/>
          <w:szCs w:val="20"/>
        </w:rPr>
        <w:t xml:space="preserve"> [unreported, Supreme Court of Victoria-Smith J, 15/09/1997];</w:t>
      </w:r>
      <w:r w:rsidR="00BD3488">
        <w:rPr>
          <w:rFonts w:ascii="Arial" w:hAnsi="Arial" w:cs="Arial"/>
          <w:sz w:val="20"/>
          <w:szCs w:val="20"/>
        </w:rPr>
        <w:t xml:space="preserve"> </w:t>
      </w:r>
      <w:r w:rsidR="00BD3488" w:rsidRPr="00BD3488">
        <w:rPr>
          <w:rFonts w:ascii="Arial" w:hAnsi="Arial" w:cs="Arial"/>
          <w:i/>
          <w:sz w:val="20"/>
          <w:szCs w:val="20"/>
        </w:rPr>
        <w:t>Mentyn v Law Society of Tasmania</w:t>
      </w:r>
      <w:r w:rsidR="00BD3488">
        <w:rPr>
          <w:rFonts w:ascii="Arial" w:hAnsi="Arial" w:cs="Arial"/>
          <w:i/>
          <w:sz w:val="20"/>
          <w:szCs w:val="20"/>
        </w:rPr>
        <w:t xml:space="preserve"> </w:t>
      </w:r>
      <w:r w:rsidR="00BD3488" w:rsidRPr="00BD3488">
        <w:rPr>
          <w:rFonts w:ascii="Arial" w:hAnsi="Arial" w:cs="Arial"/>
          <w:sz w:val="20"/>
          <w:szCs w:val="20"/>
        </w:rPr>
        <w:t>[2004] TASSC 24</w:t>
      </w:r>
      <w:r w:rsidR="00BD3488">
        <w:rPr>
          <w:rFonts w:ascii="Arial" w:hAnsi="Arial" w:cs="Arial"/>
          <w:sz w:val="20"/>
          <w:szCs w:val="20"/>
        </w:rPr>
        <w:t xml:space="preserve">; </w:t>
      </w:r>
      <w:r w:rsidR="00BD3488" w:rsidRPr="00BD3488">
        <w:rPr>
          <w:rFonts w:ascii="Arial" w:hAnsi="Arial" w:cs="Arial"/>
          <w:i/>
          <w:sz w:val="20"/>
          <w:szCs w:val="20"/>
        </w:rPr>
        <w:t>R v White</w:t>
      </w:r>
      <w:r w:rsidR="00BD3488">
        <w:rPr>
          <w:rFonts w:ascii="Arial" w:hAnsi="Arial" w:cs="Arial"/>
          <w:sz w:val="20"/>
          <w:szCs w:val="20"/>
        </w:rPr>
        <w:t xml:space="preserve"> (2003) 7 VR 442; </w:t>
      </w:r>
      <w:r w:rsidR="00BD3488" w:rsidRPr="00BD3488">
        <w:rPr>
          <w:rFonts w:ascii="Arial" w:hAnsi="Arial" w:cs="Arial"/>
          <w:i/>
          <w:sz w:val="20"/>
          <w:szCs w:val="20"/>
        </w:rPr>
        <w:t xml:space="preserve">Zegarac v Tomasevic </w:t>
      </w:r>
      <w:r w:rsidR="00BD3488" w:rsidRPr="00BD3488">
        <w:rPr>
          <w:rFonts w:ascii="Arial" w:hAnsi="Arial" w:cs="Arial"/>
          <w:sz w:val="20"/>
          <w:szCs w:val="20"/>
        </w:rPr>
        <w:t>[2003] VSC 150, [3].</w:t>
      </w:r>
    </w:p>
    <w:p w14:paraId="29348523" w14:textId="6CBCC1DE" w:rsidR="00C71C07" w:rsidRPr="00BD3488" w:rsidRDefault="00C71C07" w:rsidP="00212E38">
      <w:pPr>
        <w:numPr>
          <w:ilvl w:val="0"/>
          <w:numId w:val="13"/>
        </w:numPr>
        <w:tabs>
          <w:tab w:val="clear" w:pos="420"/>
          <w:tab w:val="num" w:pos="357"/>
        </w:tabs>
        <w:ind w:left="357" w:hanging="357"/>
        <w:jc w:val="both"/>
        <w:rPr>
          <w:rFonts w:ascii="Arial" w:hAnsi="Arial" w:cs="Arial"/>
          <w:sz w:val="20"/>
        </w:rPr>
      </w:pPr>
      <w:r>
        <w:rPr>
          <w:rFonts w:ascii="Arial" w:hAnsi="Arial" w:cs="Arial"/>
          <w:sz w:val="20"/>
          <w:szCs w:val="20"/>
        </w:rPr>
        <w:t>[133]-[</w:t>
      </w:r>
      <w:r w:rsidR="00BD3488">
        <w:rPr>
          <w:rFonts w:ascii="Arial" w:hAnsi="Arial" w:cs="Arial"/>
          <w:sz w:val="20"/>
          <w:szCs w:val="20"/>
        </w:rPr>
        <w:t>137</w:t>
      </w:r>
      <w:r>
        <w:rPr>
          <w:rFonts w:ascii="Arial" w:hAnsi="Arial" w:cs="Arial"/>
          <w:sz w:val="20"/>
          <w:szCs w:val="20"/>
        </w:rPr>
        <w:t xml:space="preserve">] </w:t>
      </w:r>
      <w:r w:rsidRPr="00C71C07">
        <w:rPr>
          <w:rFonts w:ascii="Arial" w:hAnsi="Arial" w:cs="Arial"/>
          <w:b/>
          <w:sz w:val="20"/>
          <w:szCs w:val="20"/>
        </w:rPr>
        <w:t xml:space="preserve">The guidelines of the Family Court of </w:t>
      </w:r>
      <w:smartTag w:uri="urn:schemas-microsoft-com:office:smarttags" w:element="place">
        <w:smartTag w:uri="urn:schemas-microsoft-com:office:smarttags" w:element="country-region">
          <w:r w:rsidRPr="00C71C07">
            <w:rPr>
              <w:rFonts w:ascii="Arial" w:hAnsi="Arial" w:cs="Arial"/>
              <w:b/>
              <w:sz w:val="20"/>
              <w:szCs w:val="20"/>
            </w:rPr>
            <w:t>Australia</w:t>
          </w:r>
        </w:smartTag>
      </w:smartTag>
      <w:r>
        <w:rPr>
          <w:rFonts w:ascii="Arial" w:hAnsi="Arial" w:cs="Arial"/>
          <w:sz w:val="20"/>
          <w:szCs w:val="20"/>
        </w:rPr>
        <w:t xml:space="preserve">: </w:t>
      </w:r>
      <w:r w:rsidR="00BD3488" w:rsidRPr="00BD3488">
        <w:rPr>
          <w:rFonts w:ascii="Arial" w:hAnsi="Arial" w:cs="Arial"/>
          <w:i/>
          <w:sz w:val="20"/>
          <w:szCs w:val="20"/>
        </w:rPr>
        <w:t>Re F:  Litigants in Person Guidelines</w:t>
      </w:r>
      <w:r w:rsidR="00BD3488">
        <w:rPr>
          <w:rFonts w:ascii="Arial" w:hAnsi="Arial" w:cs="Arial"/>
          <w:i/>
          <w:sz w:val="20"/>
          <w:szCs w:val="20"/>
        </w:rPr>
        <w:t xml:space="preserve"> </w:t>
      </w:r>
      <w:r w:rsidR="00BD3488" w:rsidRPr="00BD3488">
        <w:rPr>
          <w:rFonts w:ascii="Arial" w:hAnsi="Arial" w:cs="Arial"/>
          <w:sz w:val="20"/>
          <w:szCs w:val="20"/>
        </w:rPr>
        <w:t xml:space="preserve">(2001) 27 </w:t>
      </w:r>
      <w:r w:rsidR="000F0BE9">
        <w:rPr>
          <w:rFonts w:ascii="Arial" w:hAnsi="Arial" w:cs="Arial"/>
          <w:sz w:val="20"/>
          <w:szCs w:val="20"/>
        </w:rPr>
        <w:t>I</w:t>
      </w:r>
      <w:r w:rsidR="00BD3488" w:rsidRPr="00BD3488">
        <w:rPr>
          <w:rFonts w:ascii="Arial" w:hAnsi="Arial" w:cs="Arial"/>
          <w:sz w:val="20"/>
          <w:szCs w:val="20"/>
        </w:rPr>
        <w:t xml:space="preserve"> LR 517, 551.</w:t>
      </w:r>
    </w:p>
    <w:p w14:paraId="5EE44968" w14:textId="77777777" w:rsidR="00CF0C70" w:rsidRDefault="00CF0C70">
      <w:pPr>
        <w:jc w:val="both"/>
        <w:rPr>
          <w:rFonts w:ascii="Arial" w:hAnsi="Arial" w:cs="Arial"/>
          <w:sz w:val="20"/>
        </w:rPr>
      </w:pPr>
    </w:p>
    <w:p w14:paraId="76E115BC" w14:textId="77777777" w:rsidR="005E185B" w:rsidRDefault="00FB37E4">
      <w:pPr>
        <w:jc w:val="both"/>
        <w:rPr>
          <w:rFonts w:ascii="Arial" w:hAnsi="Arial" w:cs="Arial"/>
          <w:sz w:val="20"/>
        </w:rPr>
      </w:pPr>
      <w:r>
        <w:rPr>
          <w:rFonts w:ascii="Arial" w:hAnsi="Arial" w:cs="Arial"/>
          <w:sz w:val="20"/>
        </w:rPr>
        <w:t>At [155] Bell J summed up the relevant duty as follows:</w:t>
      </w:r>
    </w:p>
    <w:p w14:paraId="340BD046" w14:textId="77777777" w:rsidR="00FB37E4" w:rsidRDefault="00FB37E4" w:rsidP="006A0F25">
      <w:pPr>
        <w:ind w:left="454" w:right="454"/>
        <w:jc w:val="both"/>
        <w:rPr>
          <w:rFonts w:ascii="Arial" w:hAnsi="Arial" w:cs="Arial"/>
          <w:iCs/>
          <w:sz w:val="20"/>
        </w:rPr>
      </w:pPr>
      <w:r>
        <w:rPr>
          <w:rFonts w:ascii="Arial" w:hAnsi="Arial" w:cs="Arial"/>
          <w:iCs/>
          <w:sz w:val="20"/>
        </w:rPr>
        <w:t>“</w:t>
      </w:r>
      <w:r w:rsidRPr="00FB37E4">
        <w:rPr>
          <w:rFonts w:ascii="Arial" w:hAnsi="Arial" w:cs="Arial"/>
          <w:sz w:val="20"/>
        </w:rPr>
        <w:t xml:space="preserve">A judge has a fundamental duty to ensure a fair trial by giving due assistance to a self-represented litigant, whilst at the same time maintaining the reality and appearance of judicial neutrality.  The duty is inherent in the rule of law and the judicial process.  The human rights of equality before the law and access to justice specified in the </w:t>
      </w:r>
      <w:r w:rsidRPr="00FB37E4">
        <w:rPr>
          <w:rFonts w:ascii="Arial" w:hAnsi="Arial" w:cs="Arial"/>
          <w:i/>
          <w:sz w:val="20"/>
        </w:rPr>
        <w:t>International Covenant on Civil and Political Rights</w:t>
      </w:r>
      <w:r w:rsidRPr="00FB37E4">
        <w:rPr>
          <w:rFonts w:ascii="Arial" w:hAnsi="Arial" w:cs="Arial"/>
          <w:sz w:val="20"/>
        </w:rPr>
        <w:t xml:space="preserve"> are relevant to its proper performance.  The assistance to be given depends on the particular litigant and the nature of the case, but can include information about the relevant legal and procedural issues.  Fairness and balance are the touchstones.</w:t>
      </w:r>
      <w:r>
        <w:rPr>
          <w:rFonts w:ascii="Arial" w:hAnsi="Arial" w:cs="Arial"/>
          <w:sz w:val="20"/>
        </w:rPr>
        <w:t>”</w:t>
      </w:r>
    </w:p>
    <w:p w14:paraId="4441D463" w14:textId="77777777" w:rsidR="00352003" w:rsidRDefault="00352003" w:rsidP="005E185B">
      <w:pPr>
        <w:pStyle w:val="Heading2"/>
        <w:tabs>
          <w:tab w:val="left" w:pos="567"/>
        </w:tabs>
        <w:spacing w:line="240" w:lineRule="auto"/>
        <w:rPr>
          <w:rFonts w:ascii="Helvetica" w:hAnsi="Helvetica"/>
          <w:color w:val="000000"/>
          <w:sz w:val="20"/>
        </w:rPr>
      </w:pPr>
    </w:p>
    <w:p w14:paraId="2C7DB454" w14:textId="77777777" w:rsidR="0022246F" w:rsidRPr="00E37520" w:rsidRDefault="00BA68A5" w:rsidP="0022246F">
      <w:pPr>
        <w:jc w:val="both"/>
        <w:rPr>
          <w:rFonts w:ascii="Arial" w:hAnsi="Arial" w:cs="Arial"/>
          <w:color w:val="000000"/>
          <w:sz w:val="20"/>
          <w:szCs w:val="20"/>
        </w:rPr>
      </w:pPr>
      <w:r w:rsidRPr="001A1BF2">
        <w:rPr>
          <w:rFonts w:ascii="Helvetica" w:hAnsi="Helvetica"/>
          <w:color w:val="000000"/>
          <w:sz w:val="20"/>
        </w:rPr>
        <w:t>In</w:t>
      </w:r>
      <w:r w:rsidR="00132D91" w:rsidRPr="001A1BF2">
        <w:rPr>
          <w:rFonts w:ascii="Arial" w:hAnsi="Arial" w:cs="Arial"/>
          <w:color w:val="000000"/>
          <w:sz w:val="20"/>
        </w:rPr>
        <w:t xml:space="preserve"> </w:t>
      </w:r>
      <w:r w:rsidR="00132D91" w:rsidRPr="001A1BF2">
        <w:rPr>
          <w:rFonts w:ascii="Arial" w:hAnsi="Arial" w:cs="Arial"/>
          <w:i/>
          <w:color w:val="000000"/>
          <w:sz w:val="20"/>
        </w:rPr>
        <w:t>Noone</w:t>
      </w:r>
      <w:r w:rsidR="00132D91" w:rsidRPr="001A1BF2">
        <w:rPr>
          <w:rFonts w:ascii="Arial" w:hAnsi="Arial" w:cs="Arial"/>
          <w:color w:val="000000"/>
          <w:sz w:val="20"/>
        </w:rPr>
        <w:t xml:space="preserve">, </w:t>
      </w:r>
      <w:r w:rsidR="00132D91" w:rsidRPr="001A1BF2">
        <w:rPr>
          <w:rFonts w:ascii="Arial" w:hAnsi="Arial" w:cs="Arial"/>
          <w:i/>
          <w:color w:val="000000"/>
          <w:sz w:val="20"/>
        </w:rPr>
        <w:t>Director of Consumer Affairs Victoria v Operation Smile (Australia) Inc &amp; Ors (No 2)</w:t>
      </w:r>
      <w:r w:rsidR="00132D91" w:rsidRPr="001A1BF2">
        <w:rPr>
          <w:rFonts w:ascii="Arial" w:hAnsi="Arial" w:cs="Arial"/>
          <w:color w:val="000000"/>
          <w:sz w:val="16"/>
        </w:rPr>
        <w:t xml:space="preserve"> </w:t>
      </w:r>
      <w:r w:rsidR="00132D91" w:rsidRPr="001A1BF2">
        <w:rPr>
          <w:rFonts w:ascii="Arial" w:hAnsi="Arial" w:cs="Arial"/>
          <w:color w:val="000000"/>
          <w:sz w:val="20"/>
        </w:rPr>
        <w:t xml:space="preserve">[2011] VSC 153 </w:t>
      </w:r>
      <w:r w:rsidRPr="001A1BF2">
        <w:rPr>
          <w:rFonts w:ascii="Helvetica" w:hAnsi="Helvetica"/>
          <w:color w:val="000000"/>
          <w:sz w:val="20"/>
        </w:rPr>
        <w:t xml:space="preserve">at [12]-[14] Pagone J – citing dicta of the Court of Appeal in </w:t>
      </w:r>
      <w:r w:rsidRPr="001A1BF2">
        <w:rPr>
          <w:rFonts w:ascii="Helvetica" w:hAnsi="Helvetica"/>
          <w:i/>
          <w:color w:val="000000"/>
          <w:sz w:val="20"/>
        </w:rPr>
        <w:t>McWhinney v Melbourne Health</w:t>
      </w:r>
      <w:r w:rsidRPr="001A1BF2">
        <w:rPr>
          <w:rFonts w:ascii="Helvetica" w:hAnsi="Helvetica"/>
          <w:color w:val="000000"/>
          <w:sz w:val="20"/>
        </w:rPr>
        <w:t xml:space="preserve"> [2011] VSCA 22 and of the High Court in </w:t>
      </w:r>
      <w:r w:rsidRPr="001A1BF2">
        <w:rPr>
          <w:rFonts w:ascii="Helvetica" w:hAnsi="Helvetica"/>
          <w:i/>
          <w:color w:val="000000"/>
          <w:sz w:val="20"/>
        </w:rPr>
        <w:t>Neil v Nott</w:t>
      </w:r>
      <w:r w:rsidRPr="001A1BF2">
        <w:rPr>
          <w:rFonts w:ascii="Helvetica" w:hAnsi="Helvetica"/>
          <w:color w:val="000000"/>
          <w:sz w:val="20"/>
        </w:rPr>
        <w:t xml:space="preserve"> (1994) 121 ALR 148, 150 – reiterated that a court has some obligation to assist an unrepresented </w:t>
      </w:r>
      <w:r w:rsidR="004E3CDB" w:rsidRPr="001A1BF2">
        <w:rPr>
          <w:rFonts w:ascii="Helvetica" w:hAnsi="Helvetica"/>
          <w:color w:val="000000"/>
          <w:sz w:val="20"/>
        </w:rPr>
        <w:t>litigant</w:t>
      </w:r>
      <w:r w:rsidRPr="001A1BF2">
        <w:rPr>
          <w:rFonts w:ascii="Helvetica" w:hAnsi="Helvetica"/>
          <w:color w:val="000000"/>
          <w:sz w:val="20"/>
        </w:rPr>
        <w:t>, an obligation which arises from the court’s duty to ascertain the rights of the parties and, in that process, to ensure that the parties have a fair trial.</w:t>
      </w:r>
      <w:r w:rsidR="004E3CDB" w:rsidRPr="001A1BF2">
        <w:rPr>
          <w:rFonts w:ascii="Helvetica" w:hAnsi="Helvetica"/>
          <w:color w:val="000000"/>
          <w:sz w:val="20"/>
        </w:rPr>
        <w:t xml:space="preserve">  However, despite this obligation the court must remain impartial [</w:t>
      </w:r>
      <w:r w:rsidR="004E3CDB" w:rsidRPr="001A1BF2">
        <w:rPr>
          <w:rFonts w:ascii="Helvetica" w:hAnsi="Helvetica"/>
          <w:i/>
          <w:color w:val="000000"/>
          <w:sz w:val="20"/>
        </w:rPr>
        <w:t>Minogue v HREOC</w:t>
      </w:r>
      <w:r w:rsidR="004E3CDB" w:rsidRPr="001A1BF2">
        <w:rPr>
          <w:rFonts w:ascii="Helvetica" w:hAnsi="Helvetica"/>
          <w:color w:val="000000"/>
          <w:sz w:val="20"/>
        </w:rPr>
        <w:t xml:space="preserve"> (1999) 84 FCR </w:t>
      </w:r>
      <w:r w:rsidR="004E3CDB" w:rsidRPr="001A1BF2">
        <w:rPr>
          <w:rFonts w:ascii="Helvetica" w:hAnsi="Helvetica"/>
          <w:color w:val="000000"/>
          <w:sz w:val="20"/>
        </w:rPr>
        <w:lastRenderedPageBreak/>
        <w:t>438,446] and must not confer upon the unrepresented litigant “a positive advantage” or give the represented parties less than they are entitled to [</w:t>
      </w:r>
      <w:r w:rsidR="004E3CDB" w:rsidRPr="001A1BF2">
        <w:rPr>
          <w:rFonts w:ascii="Helvetica" w:hAnsi="Helvetica"/>
          <w:i/>
          <w:color w:val="000000"/>
          <w:sz w:val="20"/>
        </w:rPr>
        <w:t>Rajski v Scitec Corporation Pty Ltd</w:t>
      </w:r>
      <w:r w:rsidR="004E3CDB" w:rsidRPr="001A1BF2">
        <w:rPr>
          <w:rFonts w:ascii="Helvetica" w:hAnsi="Helvetica"/>
          <w:color w:val="000000"/>
          <w:sz w:val="20"/>
        </w:rPr>
        <w:t xml:space="preserve"> (unreported, NSW Court of Appeal, 16/06/1986)].</w:t>
      </w:r>
    </w:p>
    <w:p w14:paraId="6D7BD69A" w14:textId="77777777" w:rsidR="00BA68A5" w:rsidRDefault="00BA68A5" w:rsidP="005E185B">
      <w:pPr>
        <w:pStyle w:val="Heading2"/>
        <w:tabs>
          <w:tab w:val="left" w:pos="567"/>
        </w:tabs>
        <w:spacing w:line="240" w:lineRule="auto"/>
        <w:rPr>
          <w:rFonts w:ascii="Helvetica" w:hAnsi="Helvetica"/>
          <w:color w:val="000000"/>
          <w:sz w:val="20"/>
        </w:rPr>
      </w:pPr>
    </w:p>
    <w:p w14:paraId="42E4B4DA" w14:textId="77777777" w:rsidR="0022246F" w:rsidRPr="00E37520" w:rsidRDefault="00B62D24" w:rsidP="0022246F">
      <w:pPr>
        <w:jc w:val="both"/>
        <w:rPr>
          <w:rFonts w:ascii="Arial" w:hAnsi="Arial" w:cs="Arial"/>
          <w:color w:val="000000"/>
          <w:sz w:val="20"/>
          <w:szCs w:val="20"/>
        </w:rPr>
      </w:pPr>
      <w:r>
        <w:rPr>
          <w:rFonts w:ascii="Helvetica" w:hAnsi="Helvetica"/>
          <w:color w:val="000000"/>
          <w:sz w:val="20"/>
        </w:rPr>
        <w:t xml:space="preserve">In </w:t>
      </w:r>
      <w:r w:rsidRPr="00B62D24">
        <w:rPr>
          <w:rFonts w:ascii="Helvetica" w:hAnsi="Helvetica"/>
          <w:i/>
          <w:color w:val="000000"/>
          <w:sz w:val="20"/>
        </w:rPr>
        <w:t>Austin v Dwyer</w:t>
      </w:r>
      <w:r>
        <w:rPr>
          <w:rFonts w:ascii="Helvetica" w:hAnsi="Helvetica"/>
          <w:color w:val="000000"/>
          <w:sz w:val="20"/>
        </w:rPr>
        <w:t xml:space="preserve"> [2018] VSC 770 at [30]-[32] Derham AsJ </w:t>
      </w:r>
      <w:r w:rsidR="002337CA">
        <w:rPr>
          <w:rFonts w:ascii="Helvetica" w:hAnsi="Helvetica"/>
          <w:color w:val="000000"/>
          <w:sz w:val="20"/>
        </w:rPr>
        <w:t>gathered together the various authorities relating to the Court’s duty to an unrepresented litigant</w:t>
      </w:r>
      <w:r>
        <w:rPr>
          <w:rFonts w:ascii="Helvetica" w:hAnsi="Helvetica"/>
          <w:color w:val="000000"/>
          <w:sz w:val="20"/>
        </w:rPr>
        <w:t>:</w:t>
      </w:r>
    </w:p>
    <w:p w14:paraId="5AFAE00B" w14:textId="7389D98D" w:rsidR="00B62D24" w:rsidRDefault="00B62D24" w:rsidP="00D721FF">
      <w:pPr>
        <w:spacing w:before="60"/>
        <w:ind w:left="454" w:right="454"/>
        <w:jc w:val="both"/>
        <w:rPr>
          <w:rFonts w:ascii="Helvetica" w:hAnsi="Helvetica"/>
          <w:color w:val="000000"/>
          <w:sz w:val="20"/>
        </w:rPr>
      </w:pPr>
      <w:r>
        <w:rPr>
          <w:rFonts w:ascii="Arial" w:hAnsi="Arial" w:cs="Arial"/>
          <w:iCs/>
          <w:sz w:val="20"/>
        </w:rPr>
        <w:t>“</w:t>
      </w:r>
      <w:r w:rsidRPr="00B62D24">
        <w:rPr>
          <w:rFonts w:ascii="Arial" w:hAnsi="Arial" w:cs="Arial"/>
          <w:color w:val="000000"/>
          <w:sz w:val="20"/>
        </w:rPr>
        <w:t>It is the duty of the Court in relation to represented and unrepresented litigants alike to ensure that a hearing or trial is conducted fairly and in accordance with law</w:t>
      </w:r>
      <w:r>
        <w:rPr>
          <w:rFonts w:ascii="Arial" w:hAnsi="Arial" w:cs="Arial"/>
          <w:color w:val="000000"/>
          <w:sz w:val="20"/>
        </w:rPr>
        <w:t xml:space="preserve">: </w:t>
      </w:r>
      <w:r w:rsidRPr="00B62D24">
        <w:rPr>
          <w:rFonts w:ascii="Arial" w:hAnsi="Arial" w:cs="Arial"/>
          <w:i/>
          <w:color w:val="000000"/>
          <w:sz w:val="20"/>
        </w:rPr>
        <w:t xml:space="preserve">MacPherson v The Queen </w:t>
      </w:r>
      <w:r w:rsidRPr="00B62D24">
        <w:rPr>
          <w:rFonts w:ascii="Arial" w:hAnsi="Arial" w:cs="Arial"/>
          <w:color w:val="000000"/>
          <w:sz w:val="20"/>
        </w:rPr>
        <w:t xml:space="preserve">(1981) 147 CLR 512, 523; </w:t>
      </w:r>
      <w:r w:rsidRPr="00B62D24">
        <w:rPr>
          <w:rFonts w:ascii="Arial" w:hAnsi="Arial" w:cs="Arial"/>
          <w:i/>
          <w:color w:val="000000"/>
          <w:sz w:val="20"/>
        </w:rPr>
        <w:t>Dietrich v The Queen</w:t>
      </w:r>
      <w:r w:rsidRPr="00B62D24">
        <w:rPr>
          <w:rFonts w:ascii="Arial" w:hAnsi="Arial" w:cs="Arial"/>
          <w:color w:val="000000"/>
          <w:sz w:val="20"/>
        </w:rPr>
        <w:t xml:space="preserve"> (1992) 177 CLR 292; </w:t>
      </w:r>
      <w:r w:rsidRPr="00B62D24">
        <w:rPr>
          <w:rFonts w:ascii="Arial" w:hAnsi="Arial" w:cs="Arial"/>
          <w:i/>
          <w:color w:val="000000"/>
          <w:sz w:val="20"/>
        </w:rPr>
        <w:t>Werden v Legal Services Board</w:t>
      </w:r>
      <w:r w:rsidRPr="00B62D24">
        <w:rPr>
          <w:rFonts w:ascii="Arial" w:hAnsi="Arial" w:cs="Arial"/>
          <w:color w:val="000000"/>
          <w:sz w:val="20"/>
        </w:rPr>
        <w:t xml:space="preserve"> (2012) 36 VR 637, [53].</w:t>
      </w:r>
      <w:r>
        <w:rPr>
          <w:rFonts w:ascii="Arial" w:hAnsi="Arial" w:cs="Arial"/>
          <w:color w:val="000000"/>
          <w:sz w:val="20"/>
        </w:rPr>
        <w:t xml:space="preserve"> </w:t>
      </w:r>
      <w:r w:rsidRPr="00B62D24">
        <w:rPr>
          <w:rFonts w:ascii="Arial" w:hAnsi="Arial" w:cs="Arial"/>
          <w:color w:val="000000"/>
          <w:sz w:val="20"/>
        </w:rPr>
        <w:t>Procedural fairness is ‘an essential attribute of a court’s procedure’</w:t>
      </w:r>
      <w:r>
        <w:rPr>
          <w:rFonts w:ascii="Arial" w:hAnsi="Arial" w:cs="Arial"/>
          <w:color w:val="000000"/>
          <w:sz w:val="20"/>
        </w:rPr>
        <w:t xml:space="preserve">: </w:t>
      </w:r>
      <w:r w:rsidRPr="00B62D24">
        <w:rPr>
          <w:rFonts w:ascii="Arial" w:hAnsi="Arial" w:cs="Arial"/>
          <w:i/>
          <w:color w:val="000000"/>
          <w:sz w:val="20"/>
        </w:rPr>
        <w:t>Assistant Commissioner Condon v Pompano Pty Ltd</w:t>
      </w:r>
      <w:r w:rsidRPr="00B62D24">
        <w:rPr>
          <w:rFonts w:ascii="Arial" w:hAnsi="Arial" w:cs="Arial"/>
          <w:color w:val="000000"/>
          <w:sz w:val="20"/>
        </w:rPr>
        <w:t xml:space="preserve"> (2013) 252 CLR 38, 99, [156].</w:t>
      </w:r>
      <w:r>
        <w:rPr>
          <w:rFonts w:ascii="Arial" w:hAnsi="Arial" w:cs="Arial"/>
          <w:color w:val="000000"/>
          <w:sz w:val="20"/>
        </w:rPr>
        <w:t xml:space="preserve">  </w:t>
      </w:r>
      <w:r w:rsidRPr="00B62D24">
        <w:rPr>
          <w:rFonts w:ascii="Arial" w:hAnsi="Arial" w:cs="Arial"/>
          <w:color w:val="000000"/>
          <w:sz w:val="20"/>
        </w:rPr>
        <w:t>It is a frequent consequence of self-representation that the Court must assume the burden of endeavouring to ascertain the rights of parties which are obfuscated by their own advocacy</w:t>
      </w:r>
      <w:r w:rsidR="00CB2764">
        <w:rPr>
          <w:rFonts w:ascii="Arial" w:hAnsi="Arial" w:cs="Arial"/>
          <w:color w:val="000000"/>
          <w:sz w:val="20"/>
        </w:rPr>
        <w:t xml:space="preserve">: </w:t>
      </w:r>
      <w:r w:rsidR="00CB2764" w:rsidRPr="00CB2764">
        <w:rPr>
          <w:rFonts w:ascii="Arial" w:hAnsi="Arial" w:cs="Arial"/>
          <w:i/>
          <w:color w:val="000000"/>
          <w:sz w:val="20"/>
        </w:rPr>
        <w:t>Neil v Nott</w:t>
      </w:r>
      <w:r w:rsidR="00CB2764" w:rsidRPr="00B62D24">
        <w:rPr>
          <w:rFonts w:ascii="Arial" w:hAnsi="Arial" w:cs="Arial"/>
          <w:color w:val="000000"/>
          <w:sz w:val="20"/>
        </w:rPr>
        <w:t xml:space="preserve"> (1994) 68 ALJR 509, 510; 121 ALR 148, 150; </w:t>
      </w:r>
      <w:r w:rsidR="00CB2764" w:rsidRPr="00CB2764">
        <w:rPr>
          <w:rFonts w:ascii="Arial" w:hAnsi="Arial" w:cs="Arial"/>
          <w:i/>
          <w:color w:val="000000"/>
          <w:sz w:val="20"/>
        </w:rPr>
        <w:t>Minogue v Human Rights and Equal Opportunity Commission</w:t>
      </w:r>
      <w:r w:rsidR="00CB2764" w:rsidRPr="00B62D24">
        <w:rPr>
          <w:rFonts w:ascii="Arial" w:hAnsi="Arial" w:cs="Arial"/>
          <w:color w:val="000000"/>
          <w:sz w:val="20"/>
        </w:rPr>
        <w:t xml:space="preserve"> (1999) 84 FCR 438, [27]-[29],</w:t>
      </w:r>
      <w:r w:rsidR="00CB2764">
        <w:rPr>
          <w:rFonts w:ascii="Arial" w:hAnsi="Arial" w:cs="Arial"/>
          <w:color w:val="000000"/>
          <w:sz w:val="20"/>
        </w:rPr>
        <w:t xml:space="preserve"> </w:t>
      </w:r>
      <w:r w:rsidR="00CB2764" w:rsidRPr="00B62D24">
        <w:rPr>
          <w:rFonts w:ascii="Arial" w:hAnsi="Arial" w:cs="Arial"/>
          <w:color w:val="000000"/>
          <w:sz w:val="20"/>
        </w:rPr>
        <w:t xml:space="preserve">[33]; </w:t>
      </w:r>
      <w:r w:rsidR="00CB2764" w:rsidRPr="00CB2764">
        <w:rPr>
          <w:rFonts w:ascii="Arial" w:hAnsi="Arial" w:cs="Arial"/>
          <w:i/>
          <w:color w:val="000000"/>
          <w:sz w:val="20"/>
        </w:rPr>
        <w:t>Platcher v Joseph</w:t>
      </w:r>
      <w:r w:rsidR="00CB2764" w:rsidRPr="00B62D24">
        <w:rPr>
          <w:rFonts w:ascii="Arial" w:hAnsi="Arial" w:cs="Arial"/>
          <w:color w:val="000000"/>
          <w:sz w:val="20"/>
        </w:rPr>
        <w:t xml:space="preserve"> [2004] FCAFC 68, [104].</w:t>
      </w:r>
      <w:r w:rsidR="00CB2764">
        <w:rPr>
          <w:rFonts w:ascii="Arial" w:hAnsi="Arial" w:cs="Arial"/>
          <w:color w:val="000000"/>
          <w:sz w:val="20"/>
        </w:rPr>
        <w:t xml:space="preserve">  </w:t>
      </w:r>
      <w:r w:rsidR="00CB2764" w:rsidRPr="00B62D24">
        <w:rPr>
          <w:rFonts w:ascii="Arial" w:hAnsi="Arial" w:cs="Arial"/>
          <w:color w:val="000000"/>
          <w:sz w:val="20"/>
        </w:rPr>
        <w:t>What a judge must do to assist a litigant in person depends on the litigant, the nature of the case, and the litigant’s intelligence and understanding of the case</w:t>
      </w:r>
      <w:r w:rsidR="00CB2764">
        <w:rPr>
          <w:rFonts w:ascii="Arial" w:hAnsi="Arial" w:cs="Arial"/>
          <w:color w:val="000000"/>
          <w:sz w:val="20"/>
        </w:rPr>
        <w:t xml:space="preserve">: </w:t>
      </w:r>
      <w:r w:rsidR="00CB2764" w:rsidRPr="00CB2764">
        <w:rPr>
          <w:rFonts w:ascii="Arial" w:eastAsia="Book Antiqua" w:hAnsi="Arial" w:cs="Arial"/>
          <w:i/>
          <w:sz w:val="20"/>
        </w:rPr>
        <w:t>Abram v Bank of New Zealand</w:t>
      </w:r>
      <w:r w:rsidR="00CB2764" w:rsidRPr="00CB2764">
        <w:rPr>
          <w:rFonts w:ascii="Arial" w:hAnsi="Arial" w:cs="Arial"/>
          <w:sz w:val="20"/>
        </w:rPr>
        <w:t xml:space="preserve"> (1996) </w:t>
      </w:r>
      <w:r w:rsidR="00CB2764" w:rsidRPr="00CB2764">
        <w:rPr>
          <w:rFonts w:ascii="Arial" w:hAnsi="Arial" w:cs="Arial"/>
          <w:color w:val="333333"/>
          <w:sz w:val="20"/>
        </w:rPr>
        <w:t>ATPR 41–507, 43,341, 43,347</w:t>
      </w:r>
      <w:r w:rsidR="00CB2764" w:rsidRPr="00CB2764">
        <w:rPr>
          <w:rFonts w:ascii="Arial" w:hAnsi="Arial" w:cs="Arial"/>
          <w:sz w:val="20"/>
        </w:rPr>
        <w:t xml:space="preserve"> ; </w:t>
      </w:r>
      <w:r w:rsidR="00CB2764" w:rsidRPr="00CB2764">
        <w:rPr>
          <w:rFonts w:ascii="Arial" w:eastAsia="Book Antiqua" w:hAnsi="Arial" w:cs="Arial"/>
          <w:i/>
          <w:sz w:val="20"/>
        </w:rPr>
        <w:t xml:space="preserve">Minogue v Human Rights and Equal Opportunity Commission </w:t>
      </w:r>
      <w:r w:rsidR="00CB2764" w:rsidRPr="00CB2764">
        <w:rPr>
          <w:rFonts w:ascii="Arial" w:hAnsi="Arial" w:cs="Arial"/>
          <w:sz w:val="20"/>
        </w:rPr>
        <w:t xml:space="preserve">(1999) 84 FCR 438, [27]-[29], [33]; </w:t>
      </w:r>
      <w:r w:rsidR="00CB2764" w:rsidRPr="00CB2764">
        <w:rPr>
          <w:rFonts w:ascii="Arial" w:eastAsia="Book Antiqua" w:hAnsi="Arial" w:cs="Arial"/>
          <w:i/>
          <w:sz w:val="20"/>
        </w:rPr>
        <w:t xml:space="preserve">Platcher v Joseph </w:t>
      </w:r>
      <w:r w:rsidR="00CB2764" w:rsidRPr="00CB2764">
        <w:rPr>
          <w:rFonts w:ascii="Arial" w:hAnsi="Arial" w:cs="Arial"/>
          <w:sz w:val="20"/>
        </w:rPr>
        <w:t xml:space="preserve">[2004] FCAFC 68 [104]; </w:t>
      </w:r>
      <w:r w:rsidR="00CB2764" w:rsidRPr="00CB2764">
        <w:rPr>
          <w:rFonts w:ascii="Arial" w:eastAsia="Book Antiqua" w:hAnsi="Arial" w:cs="Arial"/>
          <w:i/>
          <w:sz w:val="20"/>
        </w:rPr>
        <w:t xml:space="preserve">Tomasevic v Travaglini </w:t>
      </w:r>
      <w:r w:rsidR="00CB2764" w:rsidRPr="00CB2764">
        <w:rPr>
          <w:rFonts w:ascii="Arial" w:hAnsi="Arial" w:cs="Arial"/>
          <w:sz w:val="20"/>
        </w:rPr>
        <w:t>(2007) 17</w:t>
      </w:r>
      <w:r w:rsidR="00CB2764">
        <w:rPr>
          <w:rFonts w:ascii="Arial" w:hAnsi="Arial" w:cs="Arial"/>
          <w:sz w:val="20"/>
        </w:rPr>
        <w:t> </w:t>
      </w:r>
      <w:r w:rsidR="00CB2764" w:rsidRPr="00CB2764">
        <w:rPr>
          <w:rFonts w:ascii="Arial" w:hAnsi="Arial" w:cs="Arial"/>
          <w:sz w:val="20"/>
        </w:rPr>
        <w:t>VR 100, 130.</w:t>
      </w:r>
      <w:r w:rsidR="00CB2764">
        <w:rPr>
          <w:rFonts w:ascii="Arial" w:hAnsi="Arial" w:cs="Arial"/>
          <w:sz w:val="20"/>
        </w:rPr>
        <w:t xml:space="preserve">  </w:t>
      </w:r>
      <w:r w:rsidR="00CB2764" w:rsidRPr="00B62D24">
        <w:rPr>
          <w:rFonts w:ascii="Arial" w:hAnsi="Arial" w:cs="Arial"/>
          <w:color w:val="000000"/>
          <w:sz w:val="20"/>
        </w:rPr>
        <w:t>The judge cannot be the advocate of the self-represented litigant, for the role of the judge is fundamentally different to that of an advocate.  The judge must maintain the reality and appearance of judicial neutrality at all times and to all parties.  The assistance must be proportionate in the circumstances — it must ensure a fair trial and not afford an advantage to the self-represented litigant</w:t>
      </w:r>
      <w:r w:rsidR="00CB2764">
        <w:rPr>
          <w:rFonts w:ascii="Arial" w:hAnsi="Arial" w:cs="Arial"/>
          <w:color w:val="000000"/>
          <w:sz w:val="20"/>
        </w:rPr>
        <w:t xml:space="preserve">: </w:t>
      </w:r>
      <w:r w:rsidR="00CB2764" w:rsidRPr="00CB2764">
        <w:rPr>
          <w:rFonts w:ascii="Arial" w:hAnsi="Arial" w:cs="Arial"/>
          <w:i/>
          <w:color w:val="000000"/>
          <w:sz w:val="20"/>
        </w:rPr>
        <w:t xml:space="preserve">Tomasevic v Travaglini </w:t>
      </w:r>
      <w:r w:rsidR="00CB2764" w:rsidRPr="00B62D24">
        <w:rPr>
          <w:rFonts w:ascii="Arial" w:hAnsi="Arial" w:cs="Arial"/>
          <w:color w:val="000000"/>
          <w:sz w:val="20"/>
        </w:rPr>
        <w:t>(2007) 17 VR 100, 130.</w:t>
      </w:r>
    </w:p>
    <w:p w14:paraId="6571DF75" w14:textId="77777777" w:rsidR="00FF47AB" w:rsidRDefault="00CB2764" w:rsidP="00D721FF">
      <w:pPr>
        <w:spacing w:before="60"/>
        <w:ind w:left="454" w:right="454"/>
        <w:jc w:val="both"/>
        <w:rPr>
          <w:rFonts w:ascii="Helvetica" w:hAnsi="Helvetica"/>
          <w:color w:val="000000"/>
          <w:sz w:val="20"/>
        </w:rPr>
      </w:pPr>
      <w:r w:rsidRPr="00B62D24">
        <w:rPr>
          <w:rFonts w:ascii="Arial" w:hAnsi="Arial" w:cs="Arial"/>
          <w:color w:val="000000"/>
          <w:sz w:val="20"/>
        </w:rPr>
        <w:t>The advice and assistance which a litigant in person ought to receive from the court should be limited to that which is necessary to diminish, so far as this is possible, the disadvantage which she will ordinarily suffer when faced by a lawyer, and to prevent destruction from the traps which our adversary procedure offers to the unwary and untutored.  But the court should be astute to see that it does not extend its auxiliary role so as to confer upon a litigant in person a positive advantage over</w:t>
      </w:r>
      <w:r>
        <w:rPr>
          <w:rFonts w:ascii="Arial" w:hAnsi="Arial" w:cs="Arial"/>
          <w:color w:val="000000"/>
          <w:sz w:val="20"/>
        </w:rPr>
        <w:t xml:space="preserve"> </w:t>
      </w:r>
      <w:r w:rsidR="002337CA" w:rsidRPr="00CB2764">
        <w:rPr>
          <w:rFonts w:ascii="Arial" w:hAnsi="Arial" w:cs="Arial"/>
          <w:sz w:val="20"/>
        </w:rPr>
        <w:t>the represented opponent.  An unrepresented party is as much subject to the rules as any other litigant and, although the Court must be patient in explaining them and may be lenient in the stan</w:t>
      </w:r>
      <w:r w:rsidR="002337CA" w:rsidRPr="002337CA">
        <w:rPr>
          <w:rFonts w:ascii="Arial" w:hAnsi="Arial" w:cs="Arial"/>
          <w:sz w:val="20"/>
        </w:rPr>
        <w:t xml:space="preserve">dard of compliance which it exacts, it must see that the rules are obeyed, subject to any proper exceptions: </w:t>
      </w:r>
      <w:r w:rsidR="002337CA" w:rsidRPr="002337CA">
        <w:rPr>
          <w:rFonts w:ascii="Arial" w:eastAsia="Book Antiqua" w:hAnsi="Arial" w:cs="Arial"/>
          <w:i/>
          <w:sz w:val="20"/>
        </w:rPr>
        <w:t>Rajski v Scitec Corporation Pty Ltd</w:t>
      </w:r>
      <w:r w:rsidR="002337CA" w:rsidRPr="002337CA">
        <w:rPr>
          <w:rFonts w:ascii="Arial" w:hAnsi="Arial" w:cs="Arial"/>
          <w:sz w:val="20"/>
        </w:rPr>
        <w:t xml:space="preserve"> Unreported, Court of Appeal, NSW, Full Court, No CA 146 of 1986, (16</w:t>
      </w:r>
      <w:r w:rsidR="002337CA">
        <w:rPr>
          <w:rFonts w:ascii="Arial" w:hAnsi="Arial" w:cs="Arial"/>
          <w:sz w:val="20"/>
        </w:rPr>
        <w:t> </w:t>
      </w:r>
      <w:r w:rsidR="002337CA" w:rsidRPr="002337CA">
        <w:rPr>
          <w:rFonts w:ascii="Arial" w:hAnsi="Arial" w:cs="Arial"/>
          <w:sz w:val="20"/>
        </w:rPr>
        <w:t>June 1986), 14 (Samuels JA).</w:t>
      </w:r>
    </w:p>
    <w:p w14:paraId="5C96870F" w14:textId="77777777" w:rsidR="007B45EC" w:rsidRDefault="002337CA" w:rsidP="00D721FF">
      <w:pPr>
        <w:spacing w:before="60"/>
        <w:ind w:left="454" w:right="454"/>
        <w:jc w:val="both"/>
        <w:rPr>
          <w:rFonts w:ascii="Helvetica" w:hAnsi="Helvetica"/>
          <w:color w:val="000000"/>
          <w:sz w:val="20"/>
        </w:rPr>
      </w:pPr>
      <w:r w:rsidRPr="00B62D24">
        <w:rPr>
          <w:rFonts w:ascii="Helvetica" w:hAnsi="Helvetica"/>
          <w:color w:val="000000"/>
          <w:sz w:val="20"/>
        </w:rPr>
        <w:t xml:space="preserve">In the recent decision of the Court of Appeal in </w:t>
      </w:r>
      <w:r w:rsidRPr="002337CA">
        <w:rPr>
          <w:rFonts w:ascii="Helvetica" w:hAnsi="Helvetica"/>
          <w:i/>
          <w:color w:val="000000"/>
          <w:sz w:val="20"/>
        </w:rPr>
        <w:t>Roberts v Harkness</w:t>
      </w:r>
      <w:r>
        <w:rPr>
          <w:rFonts w:ascii="Helvetica" w:hAnsi="Helvetica"/>
          <w:color w:val="000000"/>
          <w:sz w:val="20"/>
        </w:rPr>
        <w:t xml:space="preserve"> [2018] VSCA 215 which was applied in </w:t>
      </w:r>
      <w:r w:rsidR="00B62D24" w:rsidRPr="002337CA">
        <w:rPr>
          <w:rFonts w:ascii="Helvetica" w:hAnsi="Helvetica"/>
          <w:i/>
          <w:color w:val="000000"/>
          <w:sz w:val="20"/>
        </w:rPr>
        <w:t>Doughty-Cowell v Kyriazis</w:t>
      </w:r>
      <w:r>
        <w:rPr>
          <w:rFonts w:ascii="Helvetica" w:hAnsi="Helvetica"/>
          <w:color w:val="000000"/>
          <w:sz w:val="20"/>
        </w:rPr>
        <w:t xml:space="preserve"> [2018] VSCA 216</w:t>
      </w:r>
      <w:r w:rsidR="00B62D24" w:rsidRPr="00B62D24">
        <w:rPr>
          <w:rFonts w:ascii="Helvetica" w:hAnsi="Helvetica"/>
          <w:color w:val="000000"/>
          <w:sz w:val="20"/>
        </w:rPr>
        <w:t>,</w:t>
      </w:r>
      <w:r>
        <w:rPr>
          <w:rFonts w:ascii="Helvetica" w:hAnsi="Helvetica"/>
          <w:color w:val="000000"/>
          <w:sz w:val="20"/>
        </w:rPr>
        <w:t xml:space="preserve"> </w:t>
      </w:r>
      <w:r w:rsidR="00B62D24" w:rsidRPr="00B62D24">
        <w:rPr>
          <w:rFonts w:ascii="Helvetica" w:hAnsi="Helvetica"/>
          <w:color w:val="000000"/>
          <w:sz w:val="20"/>
        </w:rPr>
        <w:t xml:space="preserve">the Court made it clear that a litigant must have a reasonable opportunity of presenting her case.  What amounts to a reasonable opportunity of presenting a case depend on the circumstances of the case, including the nature of the decision to be made, the nature and complexity of the issues in dispute, the nature and complexity of the submissions which the party wishes to advance, the significance to that party of an adverse decision (‘what is at stake’) and the competing </w:t>
      </w:r>
      <w:r w:rsidR="00B62D24" w:rsidRPr="002337CA">
        <w:rPr>
          <w:rFonts w:ascii="Arial" w:hAnsi="Arial" w:cs="Arial"/>
          <w:color w:val="000000"/>
          <w:sz w:val="20"/>
        </w:rPr>
        <w:t>demands on the time and resources of the court or tribunal</w:t>
      </w:r>
      <w:r w:rsidRPr="002337CA">
        <w:rPr>
          <w:rFonts w:ascii="Arial" w:hAnsi="Arial" w:cs="Arial"/>
          <w:color w:val="000000"/>
          <w:sz w:val="20"/>
        </w:rPr>
        <w:t xml:space="preserve">: </w:t>
      </w:r>
      <w:r w:rsidRPr="002337CA">
        <w:rPr>
          <w:rFonts w:ascii="Arial" w:eastAsia="Book Antiqua" w:hAnsi="Arial" w:cs="Arial"/>
          <w:i/>
          <w:sz w:val="20"/>
        </w:rPr>
        <w:t>Roberts v Harkness</w:t>
      </w:r>
      <w:r w:rsidRPr="002337CA">
        <w:rPr>
          <w:rFonts w:ascii="Arial" w:hAnsi="Arial" w:cs="Arial"/>
          <w:sz w:val="20"/>
        </w:rPr>
        <w:t xml:space="preserve"> [2018] VSCA 215, [8]-[49].</w:t>
      </w:r>
      <w:r>
        <w:rPr>
          <w:rFonts w:ascii="Arial" w:hAnsi="Arial" w:cs="Arial"/>
          <w:sz w:val="20"/>
        </w:rPr>
        <w:t>”</w:t>
      </w:r>
    </w:p>
    <w:p w14:paraId="15C83872" w14:textId="77777777" w:rsidR="00352003" w:rsidRDefault="00352003" w:rsidP="00352003">
      <w:pPr>
        <w:pStyle w:val="Heading2"/>
        <w:tabs>
          <w:tab w:val="left" w:pos="567"/>
        </w:tabs>
        <w:spacing w:line="240" w:lineRule="auto"/>
        <w:rPr>
          <w:rFonts w:ascii="Helvetica" w:hAnsi="Helvetica"/>
          <w:color w:val="000000"/>
          <w:sz w:val="20"/>
        </w:rPr>
      </w:pPr>
    </w:p>
    <w:p w14:paraId="3D2A39C4" w14:textId="32435678" w:rsidR="00352003" w:rsidRPr="00A27631" w:rsidRDefault="00292662" w:rsidP="00A27631">
      <w:pPr>
        <w:jc w:val="both"/>
        <w:rPr>
          <w:rFonts w:ascii="Arial" w:hAnsi="Arial" w:cs="Arial"/>
          <w:color w:val="000000"/>
          <w:sz w:val="20"/>
          <w:szCs w:val="20"/>
        </w:rPr>
      </w:pPr>
      <w:r w:rsidRPr="00A27631">
        <w:rPr>
          <w:rFonts w:ascii="Arial" w:hAnsi="Arial" w:cs="Arial"/>
          <w:color w:val="000000"/>
          <w:sz w:val="20"/>
          <w:szCs w:val="20"/>
        </w:rPr>
        <w:t xml:space="preserve">In </w:t>
      </w:r>
      <w:r w:rsidR="00352003" w:rsidRPr="00A27631">
        <w:rPr>
          <w:rFonts w:ascii="Arial" w:hAnsi="Arial" w:cs="Arial"/>
          <w:i/>
          <w:iCs/>
          <w:color w:val="000000"/>
          <w:sz w:val="20"/>
          <w:szCs w:val="20"/>
        </w:rPr>
        <w:t>She v RMIT University &amp; Anor</w:t>
      </w:r>
      <w:r w:rsidR="00352003" w:rsidRPr="00A27631">
        <w:rPr>
          <w:rFonts w:ascii="Arial" w:hAnsi="Arial" w:cs="Arial"/>
          <w:color w:val="000000"/>
          <w:sz w:val="20"/>
          <w:szCs w:val="20"/>
        </w:rPr>
        <w:t xml:space="preserve"> [2021] VSC 2 Incerti J discussed the cases of </w:t>
      </w:r>
      <w:r w:rsidR="00352003" w:rsidRPr="00A27631">
        <w:rPr>
          <w:rFonts w:ascii="Arial" w:hAnsi="Arial" w:cs="Arial"/>
          <w:i/>
          <w:iCs/>
          <w:color w:val="000000"/>
          <w:sz w:val="20"/>
          <w:szCs w:val="20"/>
        </w:rPr>
        <w:t>Roberts v Harkness</w:t>
      </w:r>
      <w:r w:rsidR="00352003" w:rsidRPr="00A27631">
        <w:rPr>
          <w:rFonts w:ascii="Arial" w:hAnsi="Arial" w:cs="Arial"/>
          <w:color w:val="000000"/>
          <w:sz w:val="20"/>
          <w:szCs w:val="20"/>
        </w:rPr>
        <w:t xml:space="preserve"> (2018) 57 VR 344, </w:t>
      </w:r>
      <w:r w:rsidR="00352003" w:rsidRPr="00A27631">
        <w:rPr>
          <w:rFonts w:ascii="Arial" w:eastAsia="Book Antiqua" w:hAnsi="Arial" w:cs="Arial"/>
          <w:i/>
          <w:sz w:val="20"/>
          <w:szCs w:val="20"/>
        </w:rPr>
        <w:t>Tomasevic v Travaglini &amp; Anor</w:t>
      </w:r>
      <w:r w:rsidR="00352003" w:rsidRPr="00A27631">
        <w:rPr>
          <w:rFonts w:ascii="Arial" w:hAnsi="Arial" w:cs="Arial"/>
          <w:sz w:val="20"/>
          <w:szCs w:val="20"/>
        </w:rPr>
        <w:t xml:space="preserve"> (2007) 17 VR 100 and </w:t>
      </w:r>
      <w:r w:rsidR="00352003" w:rsidRPr="00A27631">
        <w:rPr>
          <w:rFonts w:ascii="Arial" w:eastAsia="Book Antiqua" w:hAnsi="Arial" w:cs="Arial"/>
          <w:i/>
          <w:sz w:val="20"/>
          <w:szCs w:val="20"/>
        </w:rPr>
        <w:t xml:space="preserve">Matsoukatidou v Yarra Ranges Council </w:t>
      </w:r>
      <w:r w:rsidR="00352003" w:rsidRPr="00A27631">
        <w:rPr>
          <w:rFonts w:ascii="Arial" w:hAnsi="Arial" w:cs="Arial"/>
          <w:sz w:val="20"/>
          <w:szCs w:val="20"/>
        </w:rPr>
        <w:t xml:space="preserve">(2017) 51 VR 624 in the course of a judgment in which her Honour found that the self-represented plaintiff had not been given a reasonable opportunity by the presiding magistrate to respond to the first defendant’s application to strike the matter out and had failed to appropriately assist the plaintiff, and had thereby failed to comply with s.24 of the </w:t>
      </w:r>
      <w:r w:rsidR="00352003" w:rsidRPr="00A27631">
        <w:rPr>
          <w:rFonts w:ascii="Arial" w:hAnsi="Arial" w:cs="Arial"/>
          <w:i/>
          <w:iCs/>
          <w:sz w:val="20"/>
          <w:szCs w:val="20"/>
        </w:rPr>
        <w:t xml:space="preserve">Charter of Human Rights and Responsibilities Act 2006 </w:t>
      </w:r>
      <w:r w:rsidR="00352003" w:rsidRPr="00A27631">
        <w:rPr>
          <w:rFonts w:ascii="Arial" w:hAnsi="Arial" w:cs="Arial"/>
          <w:sz w:val="20"/>
          <w:szCs w:val="20"/>
        </w:rPr>
        <w:t>to afford her a fair hearing.</w:t>
      </w:r>
    </w:p>
    <w:p w14:paraId="17F6F191" w14:textId="5C590E09" w:rsidR="002337CA" w:rsidRDefault="002337CA" w:rsidP="00443E59">
      <w:pPr>
        <w:jc w:val="both"/>
        <w:rPr>
          <w:rFonts w:ascii="Helvetica" w:hAnsi="Helvetica"/>
          <w:color w:val="000000"/>
          <w:sz w:val="20"/>
        </w:rPr>
      </w:pPr>
    </w:p>
    <w:p w14:paraId="0BF0289C" w14:textId="75DDD6C1" w:rsidR="002523E5" w:rsidRPr="00ED706B" w:rsidRDefault="002523E5" w:rsidP="00443E59">
      <w:pPr>
        <w:jc w:val="both"/>
        <w:rPr>
          <w:rFonts w:ascii="Arial" w:hAnsi="Arial" w:cs="Arial"/>
          <w:color w:val="000000"/>
          <w:sz w:val="20"/>
        </w:rPr>
      </w:pPr>
      <w:r w:rsidRPr="00ED706B">
        <w:rPr>
          <w:rFonts w:ascii="Arial" w:hAnsi="Arial" w:cs="Arial"/>
          <w:color w:val="000000"/>
          <w:sz w:val="20"/>
        </w:rPr>
        <w:t xml:space="preserve">In </w:t>
      </w:r>
      <w:r w:rsidRPr="00ED706B">
        <w:rPr>
          <w:rFonts w:ascii="Arial" w:hAnsi="Arial" w:cs="Arial"/>
          <w:i/>
          <w:iCs/>
          <w:color w:val="000000"/>
          <w:sz w:val="20"/>
        </w:rPr>
        <w:t>Huang v Helou</w:t>
      </w:r>
      <w:r w:rsidRPr="00ED706B">
        <w:rPr>
          <w:rFonts w:ascii="Arial" w:hAnsi="Arial" w:cs="Arial"/>
          <w:color w:val="000000"/>
          <w:sz w:val="20"/>
        </w:rPr>
        <w:t xml:space="preserve"> [2025] VSC 212 Finanzio J dismissed an appeal by a landlord from a </w:t>
      </w:r>
      <w:r w:rsidR="002A6B29" w:rsidRPr="00ED706B">
        <w:rPr>
          <w:rFonts w:ascii="Arial" w:hAnsi="Arial" w:cs="Arial"/>
          <w:color w:val="000000"/>
          <w:sz w:val="20"/>
        </w:rPr>
        <w:t xml:space="preserve">VCAT </w:t>
      </w:r>
      <w:r w:rsidRPr="00ED706B">
        <w:rPr>
          <w:rFonts w:ascii="Arial" w:hAnsi="Arial" w:cs="Arial"/>
          <w:color w:val="000000"/>
          <w:sz w:val="20"/>
        </w:rPr>
        <w:t>decision substantially dismissing an application by the landlord following a break of lease. Both the landlord and the renter were unrepresented. At [30] his Honour said:</w:t>
      </w:r>
    </w:p>
    <w:p w14:paraId="2238773C" w14:textId="37058B89" w:rsidR="002A6B29" w:rsidRPr="00ED706B" w:rsidRDefault="002523E5" w:rsidP="009B1CFB">
      <w:pPr>
        <w:spacing w:before="60"/>
        <w:ind w:left="454" w:right="454"/>
        <w:jc w:val="both"/>
        <w:rPr>
          <w:rFonts w:ascii="Arial" w:hAnsi="Arial" w:cs="Arial"/>
          <w:color w:val="000000"/>
          <w:sz w:val="20"/>
        </w:rPr>
      </w:pPr>
      <w:r w:rsidRPr="00ED706B">
        <w:rPr>
          <w:rFonts w:ascii="Arial" w:hAnsi="Arial" w:cs="Arial"/>
          <w:color w:val="000000"/>
          <w:sz w:val="20"/>
        </w:rPr>
        <w:t xml:space="preserve">“In </w:t>
      </w:r>
      <w:r w:rsidRPr="00ED706B">
        <w:rPr>
          <w:rFonts w:ascii="Arial" w:hAnsi="Arial" w:cs="Arial"/>
          <w:i/>
          <w:iCs/>
          <w:color w:val="000000"/>
          <w:sz w:val="20"/>
        </w:rPr>
        <w:t>Trkulja v Markovic</w:t>
      </w:r>
      <w:r w:rsidRPr="00ED706B">
        <w:rPr>
          <w:rFonts w:ascii="Arial" w:hAnsi="Arial" w:cs="Arial"/>
          <w:color w:val="000000"/>
          <w:sz w:val="20"/>
        </w:rPr>
        <w:t xml:space="preserve"> </w:t>
      </w:r>
      <w:r w:rsidR="002A6B29" w:rsidRPr="00ED706B">
        <w:rPr>
          <w:rFonts w:ascii="Arial" w:hAnsi="Arial" w:cs="Arial"/>
          <w:color w:val="000000"/>
          <w:sz w:val="20"/>
        </w:rPr>
        <w:t>[</w:t>
      </w:r>
      <w:r w:rsidRPr="00ED706B">
        <w:rPr>
          <w:rFonts w:ascii="Arial" w:hAnsi="Arial" w:cs="Arial"/>
          <w:color w:val="000000"/>
          <w:sz w:val="20"/>
        </w:rPr>
        <w:t>2015] VSCA 298 [39]</w:t>
      </w:r>
      <w:r w:rsidR="002A6B29" w:rsidRPr="00ED706B">
        <w:rPr>
          <w:rFonts w:ascii="Arial" w:hAnsi="Arial" w:cs="Arial"/>
          <w:color w:val="000000"/>
          <w:sz w:val="20"/>
        </w:rPr>
        <w:t>-</w:t>
      </w:r>
      <w:r w:rsidRPr="00ED706B">
        <w:rPr>
          <w:rFonts w:ascii="Arial" w:hAnsi="Arial" w:cs="Arial"/>
          <w:color w:val="000000"/>
          <w:sz w:val="20"/>
        </w:rPr>
        <w:t>[40], the Court observed that:</w:t>
      </w:r>
    </w:p>
    <w:p w14:paraId="13BB6EAC" w14:textId="7B9DE362" w:rsidR="002A6B29" w:rsidRPr="00ED706B" w:rsidRDefault="002523E5" w:rsidP="009B1CFB">
      <w:pPr>
        <w:spacing w:before="60"/>
        <w:ind w:left="907" w:right="907"/>
        <w:jc w:val="both"/>
        <w:rPr>
          <w:rFonts w:ascii="Arial" w:hAnsi="Arial" w:cs="Arial"/>
          <w:color w:val="000000"/>
          <w:sz w:val="18"/>
          <w:szCs w:val="22"/>
        </w:rPr>
      </w:pPr>
      <w:r w:rsidRPr="00ED706B">
        <w:rPr>
          <w:rFonts w:ascii="Arial" w:hAnsi="Arial" w:cs="Arial"/>
          <w:color w:val="000000"/>
          <w:sz w:val="18"/>
          <w:szCs w:val="22"/>
        </w:rPr>
        <w:t>In determining the proper scope of assistance to be offered to a self-represented litigant, the touchstones are fairness and balance. The assistance may extend to issues concerning substantive legal rights as well as to issues concerning the procedure that will be followed</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McWhinney v Melbourne Health</w:t>
      </w:r>
      <w:r w:rsidR="002A6B29" w:rsidRPr="00ED706B">
        <w:rPr>
          <w:rFonts w:ascii="Arial" w:hAnsi="Arial" w:cs="Arial"/>
          <w:color w:val="000000"/>
          <w:sz w:val="18"/>
          <w:szCs w:val="22"/>
        </w:rPr>
        <w:t xml:space="preserve"> (2011) 31 VR 285, 293 [25], quoting </w:t>
      </w:r>
      <w:r w:rsidR="002A6B29" w:rsidRPr="00ED706B">
        <w:rPr>
          <w:rFonts w:ascii="Arial" w:hAnsi="Arial" w:cs="Arial"/>
          <w:i/>
          <w:iCs/>
          <w:color w:val="000000"/>
          <w:sz w:val="18"/>
          <w:szCs w:val="22"/>
        </w:rPr>
        <w:t>Tomasevic v Travaglini</w:t>
      </w:r>
      <w:r w:rsidR="002A6B29" w:rsidRPr="00ED706B">
        <w:rPr>
          <w:rFonts w:ascii="Arial" w:hAnsi="Arial" w:cs="Arial"/>
          <w:color w:val="000000"/>
          <w:sz w:val="18"/>
          <w:szCs w:val="22"/>
        </w:rPr>
        <w:t xml:space="preserve"> </w:t>
      </w:r>
      <w:r w:rsidR="002A6B29" w:rsidRPr="00ED706B">
        <w:rPr>
          <w:rFonts w:ascii="Arial" w:hAnsi="Arial" w:cs="Arial"/>
          <w:color w:val="000000"/>
          <w:sz w:val="18"/>
          <w:szCs w:val="22"/>
        </w:rPr>
        <w:lastRenderedPageBreak/>
        <w:t>(2007) 17 VR 100, 130 [141]</w:t>
      </w:r>
      <w:r w:rsidRPr="00ED706B">
        <w:rPr>
          <w:rFonts w:ascii="Arial" w:hAnsi="Arial" w:cs="Arial"/>
          <w:color w:val="000000"/>
          <w:sz w:val="18"/>
          <w:szCs w:val="22"/>
        </w:rPr>
        <w:t>. In some cases, it may be necessary for the judge to identify the issues and the state of the evidence in</w:t>
      </w:r>
      <w:r w:rsidR="002A6B29" w:rsidRPr="00ED706B">
        <w:rPr>
          <w:rFonts w:ascii="Arial" w:hAnsi="Arial" w:cs="Arial"/>
          <w:color w:val="000000"/>
          <w:sz w:val="18"/>
          <w:szCs w:val="22"/>
        </w:rPr>
        <w:t xml:space="preserve"> </w:t>
      </w:r>
      <w:r w:rsidRPr="00ED706B">
        <w:rPr>
          <w:rFonts w:ascii="Arial" w:hAnsi="Arial" w:cs="Arial"/>
          <w:color w:val="000000"/>
          <w:sz w:val="18"/>
          <w:szCs w:val="22"/>
        </w:rPr>
        <w:t>relation to them so as to enable the self-represented litigant to consider whether he or she wishes to adduce evidence</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Werden v Legal Services Board</w:t>
      </w:r>
      <w:r w:rsidR="002A6B29" w:rsidRPr="00ED706B">
        <w:rPr>
          <w:rFonts w:ascii="Arial" w:hAnsi="Arial" w:cs="Arial"/>
          <w:color w:val="000000"/>
          <w:sz w:val="18"/>
          <w:szCs w:val="22"/>
        </w:rPr>
        <w:t xml:space="preserve"> (2012) 36 VR 637, 651 [57]</w:t>
      </w:r>
      <w:r w:rsidRPr="00ED706B">
        <w:rPr>
          <w:rFonts w:ascii="Arial" w:hAnsi="Arial" w:cs="Arial"/>
          <w:color w:val="000000"/>
          <w:sz w:val="18"/>
          <w:szCs w:val="22"/>
        </w:rPr>
        <w:t>. …</w:t>
      </w:r>
    </w:p>
    <w:p w14:paraId="3872D3C3" w14:textId="3D08916D" w:rsidR="002A6B29" w:rsidRPr="00ED706B" w:rsidRDefault="002523E5" w:rsidP="009B1CFB">
      <w:pPr>
        <w:spacing w:before="60"/>
        <w:ind w:left="907" w:right="907"/>
        <w:jc w:val="both"/>
        <w:rPr>
          <w:rFonts w:ascii="Arial" w:hAnsi="Arial" w:cs="Arial"/>
          <w:color w:val="000000"/>
          <w:sz w:val="18"/>
          <w:szCs w:val="22"/>
        </w:rPr>
      </w:pPr>
      <w:r w:rsidRPr="00ED706B">
        <w:rPr>
          <w:rFonts w:ascii="Arial" w:hAnsi="Arial" w:cs="Arial"/>
          <w:color w:val="000000"/>
          <w:sz w:val="18"/>
          <w:szCs w:val="22"/>
        </w:rPr>
        <w:t>The High Court has stated that a frequent consequence of self-representation is that the court must assume the burden of endeavouring to ascertain the rights of parties which are obfuscated by their own advocacy</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Neil v Nott</w:t>
      </w:r>
      <w:r w:rsidR="002A6B29" w:rsidRPr="00ED706B">
        <w:rPr>
          <w:rFonts w:ascii="Arial" w:hAnsi="Arial" w:cs="Arial"/>
          <w:color w:val="000000"/>
          <w:sz w:val="18"/>
          <w:szCs w:val="22"/>
        </w:rPr>
        <w:t xml:space="preserve"> (1994) 121 ALR 148, 150.</w:t>
      </w:r>
      <w:r w:rsidRPr="00ED706B">
        <w:rPr>
          <w:rFonts w:ascii="Arial" w:hAnsi="Arial" w:cs="Arial"/>
          <w:color w:val="000000"/>
          <w:sz w:val="18"/>
          <w:szCs w:val="22"/>
        </w:rPr>
        <w:t xml:space="preserve"> Similarly, this Court has endorsed the proposition that ‘[c]oncealed in the lay rhetoric and inefficient presentation may be a just case’</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Downes v Maxwell Richard Rhys &amp; Co Pty Ltd</w:t>
      </w:r>
      <w:r w:rsidR="002A6B29" w:rsidRPr="00ED706B">
        <w:rPr>
          <w:rFonts w:ascii="Arial" w:hAnsi="Arial" w:cs="Arial"/>
          <w:color w:val="000000"/>
          <w:sz w:val="18"/>
          <w:szCs w:val="22"/>
        </w:rPr>
        <w:t xml:space="preserve"> (2014) 313 ALR 383, 390 [26], quoting </w:t>
      </w:r>
      <w:r w:rsidR="002A6B29" w:rsidRPr="00ED706B">
        <w:rPr>
          <w:rFonts w:ascii="Arial" w:hAnsi="Arial" w:cs="Arial"/>
          <w:i/>
          <w:iCs/>
          <w:color w:val="000000"/>
          <w:sz w:val="18"/>
          <w:szCs w:val="22"/>
        </w:rPr>
        <w:t>Edwards v Allmen Engineering Pty Ltd</w:t>
      </w:r>
      <w:r w:rsidR="002A6B29" w:rsidRPr="00ED706B">
        <w:rPr>
          <w:rFonts w:ascii="Arial" w:hAnsi="Arial" w:cs="Arial"/>
          <w:color w:val="000000"/>
          <w:sz w:val="18"/>
          <w:szCs w:val="22"/>
        </w:rPr>
        <w:t xml:space="preserve"> (New South Wales Court of Appeal, 17 October 1995).</w:t>
      </w:r>
    </w:p>
    <w:p w14:paraId="0A372C2E" w14:textId="77777777" w:rsidR="002523E5" w:rsidRPr="00ED706B" w:rsidRDefault="002523E5" w:rsidP="00443E59">
      <w:pPr>
        <w:jc w:val="both"/>
        <w:rPr>
          <w:rFonts w:ascii="Arial" w:hAnsi="Arial" w:cs="Arial"/>
          <w:color w:val="000000"/>
          <w:sz w:val="20"/>
        </w:rPr>
      </w:pPr>
    </w:p>
    <w:p w14:paraId="692824D1" w14:textId="6328F5F6" w:rsidR="00D7719E" w:rsidRPr="00ED706B" w:rsidRDefault="00D7719E" w:rsidP="00443E59">
      <w:pPr>
        <w:jc w:val="both"/>
        <w:rPr>
          <w:rFonts w:ascii="Arial" w:hAnsi="Arial" w:cs="Arial"/>
          <w:color w:val="000000"/>
          <w:sz w:val="20"/>
        </w:rPr>
      </w:pPr>
      <w:r w:rsidRPr="00ED706B">
        <w:rPr>
          <w:rFonts w:ascii="Arial" w:hAnsi="Arial" w:cs="Arial"/>
          <w:color w:val="000000"/>
          <w:sz w:val="20"/>
        </w:rPr>
        <w:t xml:space="preserve">In </w:t>
      </w:r>
      <w:r w:rsidRPr="00ED706B">
        <w:rPr>
          <w:rFonts w:ascii="Arial" w:hAnsi="Arial" w:cs="Arial"/>
          <w:i/>
          <w:iCs/>
          <w:color w:val="000000"/>
          <w:sz w:val="20"/>
        </w:rPr>
        <w:t>Turner v Norwalk Precast Burial Systems Pty Ltd</w:t>
      </w:r>
      <w:r w:rsidRPr="00ED706B">
        <w:rPr>
          <w:rFonts w:ascii="Arial" w:hAnsi="Arial" w:cs="Arial"/>
          <w:color w:val="000000"/>
          <w:sz w:val="20"/>
        </w:rPr>
        <w:t xml:space="preserve"> [2025] VSCA 94 the 76 year old applicant –</w:t>
      </w:r>
      <w:r w:rsidR="00E851A1">
        <w:rPr>
          <w:rFonts w:ascii="Arial" w:hAnsi="Arial" w:cs="Arial"/>
          <w:color w:val="000000"/>
          <w:sz w:val="20"/>
        </w:rPr>
        <w:t xml:space="preserve"> </w:t>
      </w:r>
      <w:r w:rsidRPr="00ED706B">
        <w:rPr>
          <w:rFonts w:ascii="Arial" w:hAnsi="Arial" w:cs="Arial"/>
          <w:color w:val="000000"/>
          <w:sz w:val="20"/>
        </w:rPr>
        <w:t>a</w:t>
      </w:r>
      <w:r w:rsidR="00E851A1">
        <w:rPr>
          <w:rFonts w:ascii="Arial" w:hAnsi="Arial" w:cs="Arial"/>
          <w:color w:val="000000"/>
          <w:sz w:val="20"/>
        </w:rPr>
        <w:t> </w:t>
      </w:r>
      <w:r w:rsidRPr="00ED706B">
        <w:rPr>
          <w:rFonts w:ascii="Arial" w:hAnsi="Arial" w:cs="Arial"/>
          <w:color w:val="000000"/>
          <w:sz w:val="20"/>
        </w:rPr>
        <w:t xml:space="preserve">qualified carpenter – had brought a case in negligence and contract against the manufacturer of a septic tank system which had been installed on his property, alleging that this system was missing an ‘aerator arm’ which caused him to suffer recurrent Helicobacter Pylori infections, sickness, loss and damage. At trial </w:t>
      </w:r>
      <w:r w:rsidR="00E851A1">
        <w:rPr>
          <w:rFonts w:ascii="Arial" w:hAnsi="Arial" w:cs="Arial"/>
          <w:color w:val="000000"/>
          <w:sz w:val="20"/>
        </w:rPr>
        <w:t>in the County Court</w:t>
      </w:r>
      <w:r w:rsidRPr="00ED706B">
        <w:rPr>
          <w:rFonts w:ascii="Arial" w:hAnsi="Arial" w:cs="Arial"/>
          <w:color w:val="000000"/>
          <w:sz w:val="20"/>
        </w:rPr>
        <w:t xml:space="preserve"> the applicant was self-represented. He gave evidence himself and adduced evidence from his friend, Ms Berry, who had assisted him at trial. He had</w:t>
      </w:r>
      <w:r w:rsidR="00364E48" w:rsidRPr="00ED706B">
        <w:rPr>
          <w:rFonts w:ascii="Arial" w:hAnsi="Arial" w:cs="Arial"/>
          <w:color w:val="000000"/>
          <w:sz w:val="20"/>
        </w:rPr>
        <w:t xml:space="preserve"> also tendered medical reports of 3 gastroenterologists. The trial judge had </w:t>
      </w:r>
      <w:r w:rsidR="00E851A1">
        <w:rPr>
          <w:rFonts w:ascii="Arial" w:hAnsi="Arial" w:cs="Arial"/>
          <w:color w:val="000000"/>
          <w:sz w:val="20"/>
        </w:rPr>
        <w:t xml:space="preserve">then </w:t>
      </w:r>
      <w:r w:rsidR="00364E48" w:rsidRPr="00ED706B">
        <w:rPr>
          <w:rFonts w:ascii="Arial" w:hAnsi="Arial" w:cs="Arial"/>
          <w:color w:val="000000"/>
          <w:sz w:val="20"/>
        </w:rPr>
        <w:t>dismissed the applicant’s claim on a no case submission by the respondent. On appeal – where the applicant was represented by counsel through the Victorian Bar pro bono scheme – the Court of Appeal granted leave to appeal and allowed the appeal on 2 grounds, namely:</w:t>
      </w:r>
    </w:p>
    <w:p w14:paraId="3EFA7740" w14:textId="05F186BC" w:rsidR="00364E48" w:rsidRPr="00ED706B" w:rsidRDefault="00364E48" w:rsidP="00B47736">
      <w:pPr>
        <w:pStyle w:val="ListParagraph"/>
        <w:numPr>
          <w:ilvl w:val="0"/>
          <w:numId w:val="156"/>
        </w:numPr>
        <w:spacing w:before="60"/>
        <w:ind w:left="357" w:hanging="357"/>
        <w:jc w:val="both"/>
        <w:rPr>
          <w:rFonts w:ascii="Arial" w:hAnsi="Arial" w:cs="Arial"/>
          <w:sz w:val="20"/>
        </w:rPr>
      </w:pPr>
      <w:r w:rsidRPr="00ED706B">
        <w:rPr>
          <w:rFonts w:ascii="Arial" w:hAnsi="Arial" w:cs="Arial"/>
          <w:sz w:val="20"/>
        </w:rPr>
        <w:t xml:space="preserve">Notwithstanding that “the judge was courteous and patient, provided extensive assistance to the applicant and informed the applicant that he needed to prove his case”, “the judge failed to appropriately correct the </w:t>
      </w:r>
      <w:r w:rsidR="00ED706B" w:rsidRPr="00ED706B">
        <w:rPr>
          <w:rFonts w:ascii="Arial" w:hAnsi="Arial" w:cs="Arial"/>
          <w:sz w:val="20"/>
        </w:rPr>
        <w:t xml:space="preserve">[applicant’s] </w:t>
      </w:r>
      <w:r w:rsidRPr="00ED706B">
        <w:rPr>
          <w:rFonts w:ascii="Arial" w:hAnsi="Arial" w:cs="Arial"/>
          <w:sz w:val="20"/>
        </w:rPr>
        <w:t>apparent misconception</w:t>
      </w:r>
      <w:r w:rsidR="00E851A1">
        <w:rPr>
          <w:rFonts w:ascii="Arial" w:hAnsi="Arial" w:cs="Arial"/>
          <w:sz w:val="20"/>
        </w:rPr>
        <w:t>”</w:t>
      </w:r>
      <w:r w:rsidRPr="00ED706B">
        <w:rPr>
          <w:rFonts w:ascii="Arial" w:hAnsi="Arial" w:cs="Arial"/>
          <w:sz w:val="20"/>
        </w:rPr>
        <w:t xml:space="preserve"> that </w:t>
      </w:r>
      <w:r w:rsidR="00E851A1">
        <w:rPr>
          <w:rFonts w:ascii="Arial" w:hAnsi="Arial" w:cs="Arial"/>
          <w:sz w:val="20"/>
        </w:rPr>
        <w:t>“</w:t>
      </w:r>
      <w:r w:rsidRPr="00ED706B">
        <w:rPr>
          <w:rFonts w:ascii="Arial" w:hAnsi="Arial" w:cs="Arial"/>
          <w:sz w:val="20"/>
        </w:rPr>
        <w:t>he would be able to adduce further evidence through the respondent’s witnesses”. The judge “thereby failed to ensure that the applicant, as an unrepresented litigant, had the degree of assistance required to ensure a fair trial and avoid ‘practical injustice’.</w:t>
      </w:r>
      <w:r w:rsidR="00B47736" w:rsidRPr="00ED706B">
        <w:rPr>
          <w:rFonts w:ascii="Arial" w:hAnsi="Arial" w:cs="Arial"/>
          <w:sz w:val="20"/>
        </w:rPr>
        <w:t>”</w:t>
      </w:r>
      <w:r w:rsidRPr="00ED706B">
        <w:rPr>
          <w:rFonts w:ascii="Arial" w:hAnsi="Arial" w:cs="Arial"/>
          <w:sz w:val="20"/>
        </w:rPr>
        <w:t xml:space="preserve"> See especially [6</w:t>
      </w:r>
      <w:r w:rsidR="009B1CFB">
        <w:rPr>
          <w:rFonts w:ascii="Arial" w:hAnsi="Arial" w:cs="Arial"/>
          <w:sz w:val="20"/>
        </w:rPr>
        <w:t>7], [6</w:t>
      </w:r>
      <w:r w:rsidRPr="00ED706B">
        <w:rPr>
          <w:rFonts w:ascii="Arial" w:hAnsi="Arial" w:cs="Arial"/>
          <w:sz w:val="20"/>
        </w:rPr>
        <w:t>8], [73] &amp; [75].</w:t>
      </w:r>
    </w:p>
    <w:p w14:paraId="1809D914" w14:textId="7FE6BBF6" w:rsidR="00B47736" w:rsidRPr="00ED706B" w:rsidRDefault="00B47736" w:rsidP="00B47736">
      <w:pPr>
        <w:pStyle w:val="ListParagraph"/>
        <w:numPr>
          <w:ilvl w:val="0"/>
          <w:numId w:val="156"/>
        </w:numPr>
        <w:spacing w:before="60"/>
        <w:ind w:left="357" w:hanging="357"/>
        <w:jc w:val="both"/>
        <w:rPr>
          <w:rFonts w:ascii="Arial" w:hAnsi="Arial" w:cs="Arial"/>
          <w:sz w:val="20"/>
        </w:rPr>
      </w:pPr>
      <w:r w:rsidRPr="00ED706B">
        <w:rPr>
          <w:rFonts w:ascii="Arial" w:hAnsi="Arial" w:cs="Arial"/>
          <w:sz w:val="20"/>
        </w:rPr>
        <w:t xml:space="preserve">The judge erred in ruling in favour of the respondent’s no case submission without providing the applicant, as an unrepresented litigant, the opportunity of proving causation by an alternative means under s.51(2) of the </w:t>
      </w:r>
      <w:r w:rsidRPr="00ED706B">
        <w:rPr>
          <w:rFonts w:ascii="Arial" w:hAnsi="Arial" w:cs="Arial"/>
          <w:i/>
          <w:iCs/>
          <w:sz w:val="20"/>
        </w:rPr>
        <w:t>Wrongs Act 1958</w:t>
      </w:r>
      <w:r w:rsidRPr="00ED706B">
        <w:rPr>
          <w:rFonts w:ascii="Arial" w:hAnsi="Arial" w:cs="Arial"/>
          <w:sz w:val="20"/>
        </w:rPr>
        <w:t xml:space="preserve"> if factual causation could not be established.</w:t>
      </w:r>
    </w:p>
    <w:p w14:paraId="37A601CC" w14:textId="03CE5A6D" w:rsidR="00364E48" w:rsidRPr="00ED706B" w:rsidRDefault="00B47736" w:rsidP="00B47736">
      <w:pPr>
        <w:spacing w:before="60"/>
        <w:jc w:val="both"/>
        <w:rPr>
          <w:rFonts w:ascii="Arial" w:hAnsi="Arial" w:cs="Arial"/>
          <w:color w:val="000000"/>
          <w:sz w:val="20"/>
        </w:rPr>
      </w:pPr>
      <w:r w:rsidRPr="00ED706B">
        <w:rPr>
          <w:rFonts w:ascii="Arial" w:hAnsi="Arial" w:cs="Arial"/>
          <w:color w:val="000000"/>
          <w:sz w:val="20"/>
        </w:rPr>
        <w:t xml:space="preserve">The Court of Appeal set aside the order of the County Court dismissing the proceeding and remitted it to the County Court for further hearing by </w:t>
      </w:r>
      <w:r w:rsidR="00E851A1">
        <w:rPr>
          <w:rFonts w:ascii="Arial" w:hAnsi="Arial" w:cs="Arial"/>
          <w:color w:val="000000"/>
          <w:sz w:val="20"/>
        </w:rPr>
        <w:t>the trial judge</w:t>
      </w:r>
      <w:r w:rsidRPr="00ED706B">
        <w:rPr>
          <w:rFonts w:ascii="Arial" w:hAnsi="Arial" w:cs="Arial"/>
          <w:color w:val="000000"/>
          <w:sz w:val="20"/>
        </w:rPr>
        <w:t xml:space="preserve"> in accordance with the Court of Appeal’s reasons.</w:t>
      </w:r>
    </w:p>
    <w:p w14:paraId="7BA36E3F" w14:textId="3D6F99B4" w:rsidR="00B47736" w:rsidRPr="00ED706B" w:rsidRDefault="00ED706B" w:rsidP="00B47736">
      <w:pPr>
        <w:spacing w:before="60"/>
        <w:jc w:val="both"/>
        <w:rPr>
          <w:rFonts w:ascii="Arial" w:hAnsi="Arial" w:cs="Arial"/>
          <w:color w:val="000000"/>
          <w:sz w:val="20"/>
        </w:rPr>
      </w:pPr>
      <w:r w:rsidRPr="00ED706B">
        <w:rPr>
          <w:rFonts w:ascii="Arial" w:hAnsi="Arial" w:cs="Arial"/>
          <w:color w:val="000000"/>
          <w:sz w:val="20"/>
        </w:rPr>
        <w:t>In discussing the legal framework relevant for self-represented litigants, Beach &amp; Kennedy JJA and J Forrest AJA said at [63]-[67]:</w:t>
      </w:r>
    </w:p>
    <w:p w14:paraId="5006A118" w14:textId="77777777" w:rsidR="00ED706B" w:rsidRPr="00ED706B"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[63] “When considering the obligations of a judge in respect of a self-represented litigant, the authorities highlight the flexibility of the applicable requirements.</w:t>
      </w:r>
    </w:p>
    <w:p w14:paraId="03141A14" w14:textId="5E2C91B1" w:rsidR="00ED706B" w:rsidRPr="00ED706B"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 xml:space="preserve">[64] In </w:t>
      </w:r>
      <w:r w:rsidRPr="00ED706B">
        <w:rPr>
          <w:rFonts w:ascii="Arial" w:hAnsi="Arial" w:cs="Arial"/>
          <w:i/>
          <w:iCs/>
          <w:color w:val="000000"/>
          <w:sz w:val="20"/>
        </w:rPr>
        <w:t>Trkulja v Markovic</w:t>
      </w:r>
      <w:r w:rsidRPr="00ED706B">
        <w:rPr>
          <w:rFonts w:ascii="Arial" w:hAnsi="Arial" w:cs="Arial"/>
          <w:color w:val="000000"/>
          <w:sz w:val="20"/>
        </w:rPr>
        <w:t xml:space="preserve"> [2015] VSCA 298, this Court examined a number of authorities, as well as the rationale for a judge’s duty in respect of self-represented litigants, before also highlighting at [37] the protean nature of the duty: </w:t>
      </w:r>
    </w:p>
    <w:p w14:paraId="797E6F03" w14:textId="048487A6" w:rsidR="00ED706B" w:rsidRPr="00ED706B" w:rsidRDefault="00ED706B" w:rsidP="009B1CFB">
      <w:pPr>
        <w:spacing w:before="60"/>
        <w:ind w:left="907" w:right="907"/>
        <w:jc w:val="both"/>
        <w:rPr>
          <w:rFonts w:ascii="Arial" w:hAnsi="Arial" w:cs="Arial"/>
          <w:color w:val="000000"/>
          <w:sz w:val="18"/>
          <w:szCs w:val="18"/>
        </w:rPr>
      </w:pPr>
      <w:r w:rsidRPr="00ED706B">
        <w:rPr>
          <w:rFonts w:ascii="Arial" w:hAnsi="Arial" w:cs="Arial"/>
          <w:color w:val="000000"/>
          <w:sz w:val="18"/>
          <w:szCs w:val="18"/>
        </w:rPr>
        <w:t>Whatever the rationale for the judge’s duty may be, it is clear that the boundaries of legitimate judicial intervention are flexible and will be influenced by the need to ensure a fair and just trial. It follows that what a judge must do to assist a self-represented litigant depends on the circumstances of the litigant and the nature and complexity of the case. The circumstances of the litigant include his or her age, physical and mental health, level of education, proficiency in the English language, level of intelligence, personality and experience as well as his or her understanding of the case. [citations omitted]</w:t>
      </w:r>
    </w:p>
    <w:p w14:paraId="5D328ACF" w14:textId="2F724C56" w:rsidR="00ED706B"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[65] The Court further stated</w:t>
      </w:r>
      <w:r>
        <w:rPr>
          <w:rFonts w:ascii="Arial" w:hAnsi="Arial" w:cs="Arial"/>
          <w:color w:val="000000"/>
          <w:sz w:val="20"/>
        </w:rPr>
        <w:t xml:space="preserve"> at [39]</w:t>
      </w:r>
      <w:r w:rsidRPr="00ED706B">
        <w:rPr>
          <w:rFonts w:ascii="Arial" w:hAnsi="Arial" w:cs="Arial"/>
          <w:color w:val="000000"/>
          <w:sz w:val="20"/>
        </w:rPr>
        <w:t>:</w:t>
      </w:r>
    </w:p>
    <w:p w14:paraId="55AFEAA4" w14:textId="52A66E20" w:rsidR="00ED706B" w:rsidRPr="00ED706B" w:rsidRDefault="00ED706B" w:rsidP="009B1CFB">
      <w:pPr>
        <w:spacing w:before="60"/>
        <w:ind w:left="907" w:right="907"/>
        <w:jc w:val="both"/>
        <w:rPr>
          <w:rFonts w:ascii="Arial" w:hAnsi="Arial" w:cs="Arial"/>
          <w:color w:val="000000"/>
          <w:sz w:val="18"/>
          <w:szCs w:val="18"/>
        </w:rPr>
      </w:pPr>
      <w:r w:rsidRPr="00ED706B">
        <w:rPr>
          <w:rFonts w:ascii="Arial" w:hAnsi="Arial" w:cs="Arial"/>
          <w:color w:val="000000"/>
          <w:sz w:val="18"/>
          <w:szCs w:val="22"/>
        </w:rPr>
        <w:t>In determining the proper scope of assistance to be offered to a self-represented litigant, the touchstones are fairness and balance. The assistance may extend to issues concerning substantive legal rights as well as to issues concerning the procedure that will be followed. In some cases, it may be necessary for the judge to identify the issues and the state of the evidence in relation to them so as to enable the self-represented litigant to consider whether he or she wishes to adduce evidence. It is elementary that a judge ought to ensure that the self</w:t>
      </w:r>
      <w:r>
        <w:rPr>
          <w:rFonts w:ascii="Arial" w:hAnsi="Arial" w:cs="Arial"/>
          <w:color w:val="000000"/>
          <w:sz w:val="18"/>
          <w:szCs w:val="22"/>
        </w:rPr>
        <w:t>-</w:t>
      </w:r>
      <w:r w:rsidRPr="00ED706B">
        <w:rPr>
          <w:rFonts w:ascii="Arial" w:hAnsi="Arial" w:cs="Arial"/>
          <w:color w:val="000000"/>
          <w:sz w:val="18"/>
          <w:szCs w:val="22"/>
        </w:rPr>
        <w:t>represented litigant understands his or her rights so that he or she is not unfairly disadvantaged by being in ignorance of those rights. Notwithstanding this, the judge should refrain from advising a litigant as to how or when he or she should exercise those rights.</w:t>
      </w:r>
      <w:r>
        <w:rPr>
          <w:rFonts w:ascii="Arial" w:hAnsi="Arial" w:cs="Arial"/>
          <w:color w:val="000000"/>
          <w:sz w:val="18"/>
          <w:szCs w:val="22"/>
        </w:rPr>
        <w:t xml:space="preserve"> </w:t>
      </w:r>
      <w:r w:rsidRPr="00ED706B">
        <w:rPr>
          <w:rFonts w:ascii="Arial" w:hAnsi="Arial" w:cs="Arial"/>
          <w:color w:val="000000"/>
          <w:sz w:val="18"/>
          <w:szCs w:val="18"/>
        </w:rPr>
        <w:t>[citations omitted]</w:t>
      </w:r>
    </w:p>
    <w:p w14:paraId="74A4F4E2" w14:textId="2B15D6C3" w:rsidR="00ED706B" w:rsidRDefault="00ED706B" w:rsidP="009B1CFB">
      <w:pPr>
        <w:spacing w:before="60"/>
        <w:ind w:left="454" w:right="454"/>
        <w:jc w:val="both"/>
        <w:rPr>
          <w:rFonts w:ascii="Arial" w:hAnsi="Arial" w:cs="Arial"/>
          <w:color w:val="000000"/>
          <w:sz w:val="20"/>
        </w:rPr>
      </w:pPr>
      <w:r>
        <w:rPr>
          <w:rFonts w:ascii="Arial" w:hAnsi="Arial" w:cs="Arial"/>
          <w:color w:val="000000"/>
          <w:sz w:val="20"/>
        </w:rPr>
        <w:t xml:space="preserve">[66] The Court also </w:t>
      </w:r>
      <w:r w:rsidRPr="00ED706B">
        <w:rPr>
          <w:rFonts w:ascii="Arial" w:hAnsi="Arial" w:cs="Arial"/>
          <w:color w:val="000000"/>
          <w:sz w:val="20"/>
        </w:rPr>
        <w:t>observed that the judge should not become the advocate of the self</w:t>
      </w:r>
      <w:r>
        <w:rPr>
          <w:rFonts w:ascii="Arial" w:hAnsi="Arial" w:cs="Arial"/>
          <w:color w:val="000000"/>
          <w:sz w:val="20"/>
        </w:rPr>
        <w:t>-</w:t>
      </w:r>
      <w:r w:rsidRPr="00ED706B">
        <w:rPr>
          <w:rFonts w:ascii="Arial" w:hAnsi="Arial" w:cs="Arial"/>
          <w:color w:val="000000"/>
          <w:sz w:val="20"/>
        </w:rPr>
        <w:t>represented litigant and must maintain the reality and appearance of judicial neutrality at all times and to all parties</w:t>
      </w:r>
      <w:r>
        <w:rPr>
          <w:rFonts w:ascii="Arial" w:hAnsi="Arial" w:cs="Arial"/>
          <w:color w:val="000000"/>
          <w:sz w:val="20"/>
        </w:rPr>
        <w:t xml:space="preserve">: </w:t>
      </w:r>
      <w:r w:rsidRPr="00ED706B">
        <w:rPr>
          <w:rFonts w:ascii="Arial" w:hAnsi="Arial" w:cs="Arial"/>
          <w:i/>
          <w:iCs/>
          <w:color w:val="000000"/>
          <w:sz w:val="20"/>
        </w:rPr>
        <w:t>Ibid</w:t>
      </w:r>
      <w:r>
        <w:rPr>
          <w:rFonts w:ascii="Arial" w:hAnsi="Arial" w:cs="Arial"/>
          <w:color w:val="000000"/>
          <w:sz w:val="20"/>
        </w:rPr>
        <w:t xml:space="preserve"> [41], citing </w:t>
      </w:r>
      <w:r w:rsidRPr="00ED706B">
        <w:rPr>
          <w:rFonts w:ascii="Arial" w:hAnsi="Arial" w:cs="Arial"/>
          <w:i/>
          <w:iCs/>
          <w:color w:val="000000"/>
          <w:sz w:val="20"/>
        </w:rPr>
        <w:t>McWhinney v Melbourne Health</w:t>
      </w:r>
      <w:r w:rsidRPr="00ED706B">
        <w:rPr>
          <w:rFonts w:ascii="Arial" w:hAnsi="Arial" w:cs="Arial"/>
          <w:color w:val="000000"/>
          <w:sz w:val="20"/>
        </w:rPr>
        <w:t xml:space="preserve"> (2011) 31 VR 285, 293 [25], quoting </w:t>
      </w:r>
      <w:r w:rsidRPr="00ED706B">
        <w:rPr>
          <w:rFonts w:ascii="Arial" w:hAnsi="Arial" w:cs="Arial"/>
          <w:i/>
          <w:iCs/>
          <w:color w:val="000000"/>
          <w:sz w:val="20"/>
        </w:rPr>
        <w:t>Tomasevic v Travaglini</w:t>
      </w:r>
      <w:r w:rsidRPr="00ED706B">
        <w:rPr>
          <w:rFonts w:ascii="Arial" w:hAnsi="Arial" w:cs="Arial"/>
          <w:color w:val="000000"/>
          <w:sz w:val="20"/>
        </w:rPr>
        <w:t xml:space="preserve"> (2007) 17 VR 100, 130 [141]</w:t>
      </w:r>
      <w:r>
        <w:rPr>
          <w:rFonts w:ascii="Arial" w:hAnsi="Arial" w:cs="Arial"/>
          <w:color w:val="000000"/>
          <w:sz w:val="20"/>
        </w:rPr>
        <w:t>-</w:t>
      </w:r>
      <w:r w:rsidRPr="00ED706B">
        <w:rPr>
          <w:rFonts w:ascii="Arial" w:hAnsi="Arial" w:cs="Arial"/>
          <w:color w:val="000000"/>
          <w:sz w:val="20"/>
        </w:rPr>
        <w:t>[142].</w:t>
      </w:r>
    </w:p>
    <w:p w14:paraId="7FCC24A6" w14:textId="05A17F54" w:rsidR="00C67BFD"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lastRenderedPageBreak/>
        <w:t xml:space="preserve">[67] In 2018, this Court delivered two further decisions where a self-represented litigant complained about a lack of procedural fairness: </w:t>
      </w:r>
      <w:r w:rsidRPr="00ED706B">
        <w:rPr>
          <w:rFonts w:ascii="Arial" w:hAnsi="Arial" w:cs="Arial"/>
          <w:i/>
          <w:iCs/>
          <w:color w:val="000000"/>
          <w:sz w:val="20"/>
        </w:rPr>
        <w:t>Roberts v Harkness</w:t>
      </w:r>
      <w:r>
        <w:rPr>
          <w:rFonts w:ascii="Arial" w:hAnsi="Arial" w:cs="Arial"/>
          <w:color w:val="000000"/>
          <w:sz w:val="20"/>
        </w:rPr>
        <w:t xml:space="preserve"> (2018) 57 VR 334; [2018] VSCA 215</w:t>
      </w:r>
      <w:r w:rsidRPr="00ED706B">
        <w:rPr>
          <w:rFonts w:ascii="Arial" w:hAnsi="Arial" w:cs="Arial"/>
          <w:color w:val="000000"/>
          <w:sz w:val="20"/>
        </w:rPr>
        <w:t xml:space="preserve"> and </w:t>
      </w:r>
      <w:r w:rsidRPr="00ED706B">
        <w:rPr>
          <w:rFonts w:ascii="Arial" w:hAnsi="Arial" w:cs="Arial"/>
          <w:i/>
          <w:iCs/>
          <w:color w:val="000000"/>
          <w:sz w:val="20"/>
        </w:rPr>
        <w:t>Doughty-Cowell v Kyriazis</w:t>
      </w:r>
      <w:r w:rsidRPr="00ED706B">
        <w:rPr>
          <w:rFonts w:ascii="Arial" w:hAnsi="Arial" w:cs="Arial"/>
          <w:color w:val="000000"/>
          <w:sz w:val="20"/>
        </w:rPr>
        <w:t xml:space="preserve"> </w:t>
      </w:r>
      <w:r>
        <w:rPr>
          <w:rFonts w:ascii="Arial" w:hAnsi="Arial" w:cs="Arial"/>
          <w:color w:val="000000"/>
          <w:sz w:val="20"/>
        </w:rPr>
        <w:t>[2018] VSCA 216</w:t>
      </w:r>
      <w:r w:rsidRPr="00ED706B">
        <w:rPr>
          <w:rFonts w:ascii="Arial" w:hAnsi="Arial" w:cs="Arial"/>
          <w:color w:val="000000"/>
          <w:sz w:val="20"/>
        </w:rPr>
        <w:t xml:space="preserve">. In the second of these decisions, that of </w:t>
      </w:r>
      <w:r w:rsidRPr="00ED706B">
        <w:rPr>
          <w:rFonts w:ascii="Arial" w:hAnsi="Arial" w:cs="Arial"/>
          <w:i/>
          <w:iCs/>
          <w:color w:val="000000"/>
          <w:sz w:val="20"/>
        </w:rPr>
        <w:t>Doughty-Cowell</w:t>
      </w:r>
      <w:r w:rsidRPr="00ED706B">
        <w:rPr>
          <w:rFonts w:ascii="Arial" w:hAnsi="Arial" w:cs="Arial"/>
          <w:color w:val="000000"/>
          <w:sz w:val="20"/>
        </w:rPr>
        <w:t xml:space="preserve">, the Court </w:t>
      </w:r>
      <w:r w:rsidR="00C67BFD">
        <w:rPr>
          <w:rFonts w:ascii="Arial" w:hAnsi="Arial" w:cs="Arial"/>
          <w:color w:val="000000"/>
          <w:sz w:val="20"/>
        </w:rPr>
        <w:t xml:space="preserve">(Maxwell P, Beach &amp; Niall JJA) </w:t>
      </w:r>
      <w:r w:rsidRPr="00ED706B">
        <w:rPr>
          <w:rFonts w:ascii="Arial" w:hAnsi="Arial" w:cs="Arial"/>
          <w:color w:val="000000"/>
          <w:sz w:val="20"/>
        </w:rPr>
        <w:t xml:space="preserve">helpfully collated </w:t>
      </w:r>
      <w:r w:rsidR="00C67BFD">
        <w:rPr>
          <w:rFonts w:ascii="Arial" w:hAnsi="Arial" w:cs="Arial"/>
          <w:color w:val="000000"/>
          <w:sz w:val="20"/>
        </w:rPr>
        <w:t xml:space="preserve">at [63] </w:t>
      </w:r>
      <w:r w:rsidRPr="00ED706B">
        <w:rPr>
          <w:rFonts w:ascii="Arial" w:hAnsi="Arial" w:cs="Arial"/>
          <w:color w:val="000000"/>
          <w:sz w:val="20"/>
        </w:rPr>
        <w:t>the following relevant principles, highlighting the need to avoid ‘practical injustice’:</w:t>
      </w:r>
    </w:p>
    <w:p w14:paraId="2727EE0E" w14:textId="5D46D78B" w:rsidR="00C67BFD" w:rsidRDefault="00C67BFD" w:rsidP="009B1CFB">
      <w:pPr>
        <w:spacing w:before="60"/>
        <w:ind w:left="1264" w:right="907" w:hanging="357"/>
        <w:jc w:val="both"/>
        <w:rPr>
          <w:rFonts w:ascii="Arial" w:hAnsi="Arial" w:cs="Arial"/>
          <w:color w:val="000000"/>
          <w:sz w:val="18"/>
          <w:szCs w:val="18"/>
        </w:rPr>
      </w:pPr>
      <w:r w:rsidRPr="00C67BFD">
        <w:rPr>
          <w:rFonts w:ascii="Arial" w:hAnsi="Arial" w:cs="Arial"/>
          <w:color w:val="000000"/>
          <w:sz w:val="18"/>
          <w:szCs w:val="18"/>
        </w:rPr>
        <w:t>(1)</w:t>
      </w:r>
      <w:r>
        <w:rPr>
          <w:rFonts w:ascii="Arial" w:hAnsi="Arial" w:cs="Arial"/>
          <w:color w:val="000000"/>
          <w:sz w:val="18"/>
          <w:szCs w:val="18"/>
        </w:rPr>
        <w:tab/>
      </w:r>
      <w:r w:rsidRPr="00C67BFD">
        <w:rPr>
          <w:rFonts w:ascii="Arial" w:hAnsi="Arial" w:cs="Arial"/>
          <w:color w:val="000000"/>
          <w:sz w:val="18"/>
          <w:szCs w:val="18"/>
        </w:rPr>
        <w:t>Fairness is not an abstract concept. When one talks in terms of procedural fairness or natural justice, the concern of the law is to avoid practical injustice.</w:t>
      </w:r>
    </w:p>
    <w:p w14:paraId="6D4962F3" w14:textId="1646594B"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18"/>
        </w:rPr>
        <w:t>(2)</w:t>
      </w:r>
      <w:r>
        <w:rPr>
          <w:rFonts w:ascii="Arial" w:hAnsi="Arial" w:cs="Arial"/>
          <w:color w:val="000000"/>
          <w:sz w:val="18"/>
          <w:szCs w:val="18"/>
        </w:rPr>
        <w:tab/>
      </w:r>
      <w:r w:rsidRPr="00C67BFD">
        <w:rPr>
          <w:rFonts w:ascii="Arial" w:hAnsi="Arial" w:cs="Arial"/>
          <w:color w:val="000000"/>
          <w:sz w:val="18"/>
          <w:szCs w:val="18"/>
        </w:rPr>
        <w:t>The practical question is</w:t>
      </w:r>
      <w:r w:rsidRPr="00C67BFD">
        <w:rPr>
          <w:rFonts w:ascii="Arial" w:hAnsi="Arial" w:cs="Arial"/>
          <w:color w:val="000000"/>
          <w:sz w:val="18"/>
          <w:szCs w:val="22"/>
        </w:rPr>
        <w:t xml:space="preserve"> whether the party in question was given a reasonable opportunity to present his or her case and advance submissions in support, and to know the case to be advanced by the opposing party and to make submissions in opposition to that case.</w:t>
      </w:r>
    </w:p>
    <w:p w14:paraId="3144E51C" w14:textId="77777777"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22"/>
        </w:rPr>
        <w:t>(3)</w:t>
      </w:r>
      <w:r>
        <w:rPr>
          <w:rFonts w:ascii="Arial" w:hAnsi="Arial" w:cs="Arial"/>
          <w:color w:val="000000"/>
          <w:sz w:val="18"/>
          <w:szCs w:val="22"/>
        </w:rPr>
        <w:tab/>
      </w:r>
      <w:r w:rsidRPr="00C67BFD">
        <w:rPr>
          <w:rFonts w:ascii="Arial" w:hAnsi="Arial" w:cs="Arial"/>
          <w:color w:val="000000"/>
          <w:sz w:val="18"/>
          <w:szCs w:val="22"/>
        </w:rPr>
        <w:t>What is reasonable for this purpose will necessarily depend upon the circumstances. Matters to be taken into account will include:</w:t>
      </w:r>
    </w:p>
    <w:p w14:paraId="3FCA27A0" w14:textId="0AF9EE12" w:rsid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nature and complexity of the issues in dispute;</w:t>
      </w:r>
    </w:p>
    <w:p w14:paraId="6E2A6248" w14:textId="4067D217" w:rsid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nature and complexity of the submissions which the party wishes to advance;</w:t>
      </w:r>
    </w:p>
    <w:p w14:paraId="3E072E2B" w14:textId="6A4962AE" w:rsid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significance to that party of an adverse decision; and</w:t>
      </w:r>
    </w:p>
    <w:p w14:paraId="03F60EBC" w14:textId="54D63542" w:rsidR="00C67BFD" w:rsidRP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competing demands of the time and resources of the Court.</w:t>
      </w:r>
    </w:p>
    <w:p w14:paraId="19837E84" w14:textId="13931233"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22"/>
        </w:rPr>
        <w:t>(4)</w:t>
      </w:r>
      <w:r>
        <w:rPr>
          <w:rFonts w:ascii="Arial" w:hAnsi="Arial" w:cs="Arial"/>
          <w:color w:val="000000"/>
          <w:sz w:val="18"/>
          <w:szCs w:val="22"/>
        </w:rPr>
        <w:tab/>
        <w:t xml:space="preserve">The question to be asked </w:t>
      </w:r>
      <w:r w:rsidRPr="00C67BFD">
        <w:rPr>
          <w:rFonts w:ascii="Arial" w:hAnsi="Arial" w:cs="Arial"/>
          <w:color w:val="000000"/>
          <w:sz w:val="18"/>
          <w:szCs w:val="22"/>
        </w:rPr>
        <w:t>is whether the party (represented or unrepresented) was given a reasonable opportunity to advance his or her own case and to be informed of and respond to the opposing case.</w:t>
      </w:r>
    </w:p>
    <w:p w14:paraId="55C8A31B" w14:textId="001F72A4"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22"/>
        </w:rPr>
        <w:t>(5)</w:t>
      </w:r>
      <w:r>
        <w:rPr>
          <w:rFonts w:ascii="Arial" w:hAnsi="Arial" w:cs="Arial"/>
          <w:color w:val="000000"/>
          <w:sz w:val="18"/>
          <w:szCs w:val="22"/>
        </w:rPr>
        <w:tab/>
      </w:r>
      <w:r w:rsidRPr="00C67BFD">
        <w:rPr>
          <w:rFonts w:ascii="Arial" w:hAnsi="Arial" w:cs="Arial"/>
          <w:color w:val="000000"/>
          <w:sz w:val="18"/>
          <w:szCs w:val="22"/>
        </w:rPr>
        <w:t>The key difference with respect to unrepresented litigants is the need for the Court to assess the capacity of an unrepresented person to formulate, and articulate, the case which they wish to present. As we said:</w:t>
      </w:r>
    </w:p>
    <w:p w14:paraId="7FA8E049" w14:textId="592E4D83" w:rsidR="00C67BFD" w:rsidRDefault="00C67BFD" w:rsidP="009B1CFB">
      <w:pPr>
        <w:spacing w:before="60"/>
        <w:ind w:left="1718" w:right="1361"/>
        <w:jc w:val="both"/>
        <w:rPr>
          <w:rFonts w:ascii="Arial" w:hAnsi="Arial" w:cs="Arial"/>
          <w:color w:val="000000"/>
          <w:sz w:val="20"/>
        </w:rPr>
      </w:pPr>
      <w:r w:rsidRPr="00C67BFD">
        <w:rPr>
          <w:rFonts w:ascii="Arial" w:hAnsi="Arial" w:cs="Arial"/>
          <w:color w:val="000000"/>
          <w:sz w:val="18"/>
          <w:szCs w:val="22"/>
        </w:rPr>
        <w:t>The assessment of capability will typically be based on any written documentation which the litigant has filed and, where there is an oral hearing, on the quality of the litigant’s verbal communication with the Court. Very often, the judicial officer will be able to assess relatively quickly whether, and to what extent, the litigant will need assistance, either from the Court or from a third party, in order for the Court to understand the litigant’s case.</w:t>
      </w:r>
      <w:r w:rsidR="009B1CFB">
        <w:rPr>
          <w:rFonts w:ascii="Arial" w:hAnsi="Arial" w:cs="Arial"/>
          <w:color w:val="000000"/>
          <w:sz w:val="18"/>
          <w:szCs w:val="22"/>
        </w:rPr>
        <w:t>”</w:t>
      </w:r>
    </w:p>
    <w:p w14:paraId="46E788AB" w14:textId="77777777" w:rsidR="00D7719E" w:rsidRDefault="00D7719E" w:rsidP="00443E59">
      <w:pPr>
        <w:jc w:val="both"/>
        <w:rPr>
          <w:rFonts w:ascii="Helvetica" w:hAnsi="Helvetica"/>
          <w:color w:val="000000"/>
          <w:sz w:val="20"/>
        </w:rPr>
      </w:pPr>
    </w:p>
    <w:p w14:paraId="366ED440" w14:textId="1686A63B" w:rsidR="00FE0AC1" w:rsidRDefault="00292662" w:rsidP="004479D0">
      <w:pPr>
        <w:jc w:val="both"/>
        <w:rPr>
          <w:rFonts w:ascii="Helvetica" w:hAnsi="Helvetica"/>
          <w:color w:val="000000"/>
          <w:sz w:val="20"/>
        </w:rPr>
      </w:pPr>
      <w:r>
        <w:rPr>
          <w:rFonts w:ascii="Helvetica" w:hAnsi="Helvetica"/>
          <w:color w:val="000000"/>
          <w:sz w:val="20"/>
        </w:rPr>
        <w:t xml:space="preserve">See also </w:t>
      </w:r>
      <w:r w:rsidR="00943BBA" w:rsidRPr="00943BBA">
        <w:rPr>
          <w:rFonts w:ascii="Helvetica" w:hAnsi="Helvetica"/>
          <w:i/>
          <w:iCs/>
          <w:color w:val="000000"/>
          <w:sz w:val="20"/>
        </w:rPr>
        <w:t>Daher v Bell</w:t>
      </w:r>
      <w:r w:rsidR="00943BBA">
        <w:rPr>
          <w:rFonts w:ascii="Helvetica" w:hAnsi="Helvetica"/>
          <w:color w:val="000000"/>
          <w:sz w:val="20"/>
        </w:rPr>
        <w:t xml:space="preserve"> [2020] VSC 346 at [8]-[9] per Derham AsJ; </w:t>
      </w:r>
      <w:r w:rsidR="00943BBA" w:rsidRPr="00943BBA">
        <w:rPr>
          <w:rFonts w:ascii="Helvetica" w:hAnsi="Helvetica"/>
          <w:i/>
          <w:iCs/>
          <w:color w:val="000000"/>
          <w:sz w:val="20"/>
        </w:rPr>
        <w:t>Re Rococo Group Pty Ltd (in liq)</w:t>
      </w:r>
      <w:r w:rsidR="00943BBA">
        <w:rPr>
          <w:rFonts w:ascii="Helvetica" w:hAnsi="Helvetica"/>
          <w:color w:val="000000"/>
          <w:sz w:val="20"/>
        </w:rPr>
        <w:t xml:space="preserve"> [2022] VSC 167 at [7] per Hetyey AsJ</w:t>
      </w:r>
      <w:r w:rsidR="00FE0AC1">
        <w:rPr>
          <w:rFonts w:ascii="Helvetica" w:hAnsi="Helvetica"/>
          <w:color w:val="000000"/>
          <w:sz w:val="20"/>
        </w:rPr>
        <w:t xml:space="preserve">; </w:t>
      </w:r>
      <w:r w:rsidR="00FE0AC1" w:rsidRPr="00FE0AC1">
        <w:rPr>
          <w:rFonts w:ascii="Helvetica" w:hAnsi="Helvetica"/>
          <w:i/>
          <w:iCs/>
          <w:color w:val="000000"/>
          <w:sz w:val="20"/>
        </w:rPr>
        <w:t>Kunc v Victoria Police (No 1)</w:t>
      </w:r>
      <w:r w:rsidR="00FE0AC1">
        <w:rPr>
          <w:rFonts w:ascii="Helvetica" w:hAnsi="Helvetica"/>
          <w:color w:val="000000"/>
          <w:sz w:val="20"/>
        </w:rPr>
        <w:t xml:space="preserve"> [2025] VSC 299 at [15]-[16] per Irving </w:t>
      </w:r>
      <w:proofErr w:type="spellStart"/>
      <w:r w:rsidR="00FE0AC1">
        <w:rPr>
          <w:rFonts w:ascii="Helvetica" w:hAnsi="Helvetica"/>
          <w:color w:val="000000"/>
          <w:sz w:val="20"/>
        </w:rPr>
        <w:t>AsJ</w:t>
      </w:r>
      <w:proofErr w:type="spellEnd"/>
      <w:r w:rsidR="002A4ADE">
        <w:rPr>
          <w:rFonts w:ascii="Helvetica" w:hAnsi="Helvetica"/>
          <w:color w:val="000000"/>
          <w:sz w:val="20"/>
        </w:rPr>
        <w:t xml:space="preserve">; </w:t>
      </w:r>
      <w:r w:rsidR="004479D0" w:rsidRPr="004479D0">
        <w:rPr>
          <w:rFonts w:ascii="Helvetica" w:hAnsi="Helvetica"/>
          <w:i/>
          <w:iCs/>
          <w:color w:val="000000"/>
          <w:sz w:val="20"/>
        </w:rPr>
        <w:t xml:space="preserve">ANZ Bank v Hau </w:t>
      </w:r>
      <w:proofErr w:type="spellStart"/>
      <w:r w:rsidR="004479D0" w:rsidRPr="004479D0">
        <w:rPr>
          <w:rFonts w:ascii="Helvetica" w:hAnsi="Helvetica"/>
          <w:i/>
          <w:iCs/>
          <w:color w:val="000000"/>
          <w:sz w:val="20"/>
        </w:rPr>
        <w:t>Thi</w:t>
      </w:r>
      <w:proofErr w:type="spellEnd"/>
      <w:r w:rsidR="004479D0" w:rsidRPr="004479D0">
        <w:rPr>
          <w:rFonts w:ascii="Helvetica" w:hAnsi="Helvetica"/>
          <w:i/>
          <w:iCs/>
          <w:color w:val="000000"/>
          <w:sz w:val="20"/>
        </w:rPr>
        <w:t xml:space="preserve"> Nguyen</w:t>
      </w:r>
      <w:r w:rsidR="004479D0">
        <w:rPr>
          <w:rFonts w:ascii="Helvetica" w:hAnsi="Helvetica"/>
          <w:color w:val="000000"/>
          <w:sz w:val="20"/>
        </w:rPr>
        <w:t xml:space="preserve"> </w:t>
      </w:r>
      <w:r w:rsidR="004479D0" w:rsidRPr="004479D0">
        <w:rPr>
          <w:rFonts w:ascii="Helvetica" w:hAnsi="Helvetica"/>
          <w:color w:val="000000"/>
          <w:sz w:val="20"/>
        </w:rPr>
        <w:t>[2026] VSC 31</w:t>
      </w:r>
      <w:r w:rsidR="004479D0">
        <w:rPr>
          <w:rFonts w:ascii="Helvetica" w:hAnsi="Helvetica"/>
          <w:color w:val="000000"/>
          <w:sz w:val="20"/>
        </w:rPr>
        <w:t xml:space="preserve"> at [34]-[36]</w:t>
      </w:r>
      <w:r w:rsidR="00181DED">
        <w:rPr>
          <w:rFonts w:ascii="Helvetica" w:hAnsi="Helvetica"/>
          <w:color w:val="000000"/>
          <w:sz w:val="20"/>
        </w:rPr>
        <w:t xml:space="preserve">; </w:t>
      </w:r>
      <w:r w:rsidR="00181DED" w:rsidRPr="00181DED">
        <w:rPr>
          <w:rFonts w:ascii="Helvetica" w:hAnsi="Helvetica"/>
          <w:i/>
          <w:iCs/>
          <w:color w:val="000000"/>
          <w:sz w:val="20"/>
        </w:rPr>
        <w:t>Schutz v County Court of Victoria</w:t>
      </w:r>
      <w:r w:rsidR="00181DED">
        <w:rPr>
          <w:rFonts w:ascii="Helvetica" w:hAnsi="Helvetica"/>
          <w:color w:val="000000"/>
          <w:sz w:val="20"/>
        </w:rPr>
        <w:t xml:space="preserve"> [2026] VSCA 279 at [121]-[159].</w:t>
      </w:r>
    </w:p>
    <w:p w14:paraId="0E6DA8C5" w14:textId="77777777" w:rsidR="004479D0" w:rsidRDefault="004479D0" w:rsidP="00443E59">
      <w:pPr>
        <w:jc w:val="both"/>
        <w:rPr>
          <w:rFonts w:ascii="Helvetica" w:hAnsi="Helvetica"/>
          <w:color w:val="000000"/>
          <w:sz w:val="20"/>
        </w:rPr>
      </w:pPr>
    </w:p>
    <w:p w14:paraId="7613362F" w14:textId="11196E26" w:rsidR="0007599F" w:rsidRDefault="0007599F" w:rsidP="0007599F">
      <w:pPr>
        <w:pStyle w:val="Heading3"/>
        <w:keepNext/>
        <w:keepLines/>
        <w:spacing w:after="100" w:line="240" w:lineRule="auto"/>
        <w:rPr>
          <w:rFonts w:ascii="Arial" w:hAnsi="Arial" w:cs="Arial"/>
          <w:b/>
          <w:bCs/>
          <w:sz w:val="20"/>
        </w:rPr>
      </w:pPr>
      <w:bookmarkStart w:id="413" w:name="_3.4.7_Duty_of"/>
      <w:bookmarkStart w:id="414" w:name="_Hlk219798156"/>
      <w:bookmarkEnd w:id="413"/>
      <w:r w:rsidRPr="00904185">
        <w:rPr>
          <w:rFonts w:ascii="Arial" w:hAnsi="Arial" w:cs="Arial"/>
          <w:b/>
          <w:sz w:val="20"/>
        </w:rPr>
        <w:t>3.4.</w:t>
      </w:r>
      <w:r>
        <w:rPr>
          <w:rFonts w:ascii="Arial" w:hAnsi="Arial" w:cs="Arial"/>
          <w:b/>
          <w:sz w:val="20"/>
        </w:rPr>
        <w:t>7</w:t>
      </w:r>
      <w:r w:rsidRPr="00904185">
        <w:rPr>
          <w:rFonts w:ascii="Arial" w:hAnsi="Arial" w:cs="Arial"/>
          <w:b/>
          <w:sz w:val="20"/>
        </w:rPr>
        <w:tab/>
      </w:r>
      <w:r>
        <w:rPr>
          <w:rFonts w:ascii="Arial" w:hAnsi="Arial" w:cs="Arial"/>
          <w:b/>
          <w:sz w:val="20"/>
        </w:rPr>
        <w:t>Dut</w:t>
      </w:r>
      <w:r w:rsidR="004D2D8F">
        <w:rPr>
          <w:rFonts w:ascii="Arial" w:hAnsi="Arial" w:cs="Arial"/>
          <w:b/>
          <w:sz w:val="20"/>
        </w:rPr>
        <w:t>ies</w:t>
      </w:r>
      <w:r>
        <w:rPr>
          <w:rFonts w:ascii="Arial" w:hAnsi="Arial" w:cs="Arial"/>
          <w:b/>
          <w:sz w:val="20"/>
        </w:rPr>
        <w:t xml:space="preserve"> of legal representatives</w:t>
      </w:r>
      <w:r w:rsidR="00CD6643">
        <w:rPr>
          <w:rFonts w:ascii="Arial" w:hAnsi="Arial" w:cs="Arial"/>
          <w:b/>
          <w:sz w:val="20"/>
        </w:rPr>
        <w:t xml:space="preserve"> </w:t>
      </w:r>
      <w:r w:rsidR="00661693">
        <w:rPr>
          <w:rFonts w:ascii="Arial" w:hAnsi="Arial" w:cs="Arial"/>
          <w:b/>
          <w:sz w:val="20"/>
        </w:rPr>
        <w:t>to the cour</w:t>
      </w:r>
      <w:r w:rsidR="004D2D8F">
        <w:rPr>
          <w:rFonts w:ascii="Arial" w:hAnsi="Arial" w:cs="Arial"/>
          <w:b/>
          <w:sz w:val="20"/>
        </w:rPr>
        <w:t>t and to their clients</w:t>
      </w:r>
    </w:p>
    <w:bookmarkEnd w:id="414"/>
    <w:p w14:paraId="779E0796" w14:textId="33BEABC5" w:rsidR="00443E59" w:rsidRPr="00E37520" w:rsidRDefault="007214B6" w:rsidP="00443E59">
      <w:pPr>
        <w:jc w:val="both"/>
        <w:rPr>
          <w:rFonts w:ascii="Arial" w:hAnsi="Arial" w:cs="Arial"/>
          <w:color w:val="000000"/>
          <w:sz w:val="20"/>
          <w:szCs w:val="20"/>
        </w:rPr>
      </w:pPr>
      <w:r w:rsidRPr="00E37520">
        <w:rPr>
          <w:rFonts w:ascii="Helvetica" w:hAnsi="Helvetica"/>
          <w:color w:val="000000"/>
          <w:sz w:val="20"/>
        </w:rPr>
        <w:t xml:space="preserve">The primary duty of counsel appearing for a party in court is to the court. That duty takes precedence over the duty owed by counsel to the client: see </w:t>
      </w:r>
      <w:r w:rsidRPr="00E37520">
        <w:rPr>
          <w:rFonts w:ascii="Arial" w:hAnsi="Arial" w:cs="Arial"/>
          <w:i/>
          <w:iCs/>
          <w:color w:val="000000"/>
          <w:sz w:val="20"/>
        </w:rPr>
        <w:t xml:space="preserve">Giannarelli v Wraith </w:t>
      </w:r>
      <w:r w:rsidRPr="00E37520">
        <w:rPr>
          <w:rFonts w:ascii="Arial" w:hAnsi="Arial" w:cs="Arial"/>
          <w:color w:val="000000"/>
          <w:sz w:val="20"/>
        </w:rPr>
        <w:t>(1988) 165 CLR 543 at 556</w:t>
      </w:r>
      <w:r w:rsidRPr="00E37520">
        <w:rPr>
          <w:rFonts w:ascii="Arial" w:hAnsi="Arial" w:cs="Arial"/>
          <w:color w:val="000000"/>
          <w:sz w:val="20"/>
        </w:rPr>
        <w:noBreakHyphen/>
        <w:t>7 per Mason CJ and 578</w:t>
      </w:r>
      <w:r w:rsidRPr="00E37520">
        <w:rPr>
          <w:rFonts w:ascii="Arial" w:hAnsi="Arial" w:cs="Arial"/>
          <w:color w:val="000000"/>
          <w:sz w:val="20"/>
        </w:rPr>
        <w:noBreakHyphen/>
        <w:t xml:space="preserve">9 per Brennan J; </w:t>
      </w:r>
      <w:r w:rsidR="00FB37E4" w:rsidRPr="00E37520">
        <w:rPr>
          <w:rFonts w:ascii="Helvetica" w:hAnsi="Helvetica"/>
          <w:i/>
          <w:color w:val="000000"/>
          <w:sz w:val="20"/>
        </w:rPr>
        <w:t>R v Serrano (Ruling No 4)</w:t>
      </w:r>
      <w:r w:rsidR="00FB37E4" w:rsidRPr="00E37520">
        <w:rPr>
          <w:rFonts w:ascii="Helvetica" w:hAnsi="Helvetica"/>
          <w:color w:val="000000"/>
          <w:sz w:val="20"/>
        </w:rPr>
        <w:t xml:space="preserve"> [2007] VSC 208 </w:t>
      </w:r>
      <w:r w:rsidRPr="00E37520">
        <w:rPr>
          <w:rFonts w:ascii="Helvetica" w:hAnsi="Helvetica"/>
          <w:color w:val="000000"/>
          <w:sz w:val="20"/>
        </w:rPr>
        <w:t>at [6] per Kaye J.</w:t>
      </w:r>
      <w:r w:rsidR="004E3CDB" w:rsidRPr="00E37520">
        <w:rPr>
          <w:rFonts w:ascii="Helvetica" w:hAnsi="Helvetica"/>
          <w:color w:val="000000"/>
          <w:sz w:val="20"/>
        </w:rPr>
        <w:t xml:space="preserve"> </w:t>
      </w:r>
      <w:r w:rsidR="00305EA5">
        <w:rPr>
          <w:rFonts w:ascii="Helvetica" w:hAnsi="Helvetica"/>
          <w:color w:val="000000"/>
          <w:sz w:val="20"/>
        </w:rPr>
        <w:t>S</w:t>
      </w:r>
      <w:r w:rsidR="004E3CDB" w:rsidRPr="00E37520">
        <w:rPr>
          <w:rFonts w:ascii="Helvetica" w:hAnsi="Helvetica"/>
          <w:color w:val="000000"/>
          <w:sz w:val="20"/>
        </w:rPr>
        <w:t>ee</w:t>
      </w:r>
      <w:r w:rsidR="0007599F">
        <w:rPr>
          <w:rFonts w:ascii="Helvetica" w:hAnsi="Helvetica"/>
          <w:color w:val="000000"/>
          <w:sz w:val="20"/>
        </w:rPr>
        <w:t> </w:t>
      </w:r>
      <w:r w:rsidR="004E3CDB" w:rsidRPr="00E37520">
        <w:rPr>
          <w:rFonts w:ascii="Helvetica" w:hAnsi="Helvetica"/>
          <w:color w:val="000000"/>
          <w:sz w:val="20"/>
        </w:rPr>
        <w:t xml:space="preserve">also </w:t>
      </w:r>
      <w:r w:rsidR="00212E60" w:rsidRPr="00E37520">
        <w:rPr>
          <w:rFonts w:ascii="Arial" w:hAnsi="Arial" w:cs="Arial"/>
          <w:i/>
          <w:color w:val="000000"/>
          <w:sz w:val="20"/>
        </w:rPr>
        <w:t>Noone</w:t>
      </w:r>
      <w:r w:rsidR="00212E60" w:rsidRPr="00E37520">
        <w:rPr>
          <w:rFonts w:ascii="Arial" w:hAnsi="Arial" w:cs="Arial"/>
          <w:color w:val="000000"/>
          <w:sz w:val="20"/>
        </w:rPr>
        <w:t xml:space="preserve">, </w:t>
      </w:r>
      <w:r w:rsidR="00212E60" w:rsidRPr="00E37520">
        <w:rPr>
          <w:rFonts w:ascii="Arial" w:hAnsi="Arial" w:cs="Arial"/>
          <w:i/>
          <w:color w:val="000000"/>
          <w:sz w:val="20"/>
        </w:rPr>
        <w:t>Director of Consumer Affairs Victoria v Operation Smile (Australia) Inc &amp; Ors (No 2)</w:t>
      </w:r>
      <w:r w:rsidR="00212E60" w:rsidRPr="00E37520">
        <w:rPr>
          <w:rFonts w:ascii="Arial" w:hAnsi="Arial" w:cs="Arial"/>
          <w:color w:val="000000"/>
          <w:sz w:val="16"/>
        </w:rPr>
        <w:t xml:space="preserve"> </w:t>
      </w:r>
      <w:r w:rsidR="00212E60" w:rsidRPr="00E37520">
        <w:rPr>
          <w:rFonts w:ascii="Arial" w:hAnsi="Arial" w:cs="Arial"/>
          <w:color w:val="000000"/>
          <w:sz w:val="20"/>
        </w:rPr>
        <w:t xml:space="preserve">[2011] VSC 153 at [12] </w:t>
      </w:r>
      <w:r w:rsidR="004E3CDB" w:rsidRPr="00E37520">
        <w:rPr>
          <w:rFonts w:ascii="Helvetica" w:hAnsi="Helvetica"/>
          <w:color w:val="000000"/>
          <w:sz w:val="20"/>
        </w:rPr>
        <w:t xml:space="preserve">where Pagone J </w:t>
      </w:r>
      <w:r w:rsidR="00023C2C" w:rsidRPr="00E37520">
        <w:rPr>
          <w:rFonts w:ascii="Helvetica" w:hAnsi="Helvetica"/>
          <w:color w:val="000000"/>
          <w:sz w:val="20"/>
        </w:rPr>
        <w:t>emphasized that “in every case the legal practitioners have duties to assist the court in the discharge of its functions”.</w:t>
      </w:r>
      <w:r w:rsidR="004F2207" w:rsidRPr="00E37520">
        <w:rPr>
          <w:rFonts w:ascii="Arial" w:hAnsi="Arial" w:cs="Arial"/>
          <w:color w:val="000000"/>
          <w:sz w:val="20"/>
          <w:szCs w:val="20"/>
        </w:rPr>
        <w:t xml:space="preserve"> See also </w:t>
      </w:r>
      <w:r w:rsidR="00443E59" w:rsidRPr="00E37520">
        <w:rPr>
          <w:rFonts w:ascii="Arial" w:hAnsi="Arial" w:cs="Arial"/>
          <w:i/>
          <w:color w:val="000000"/>
          <w:sz w:val="20"/>
          <w:szCs w:val="20"/>
        </w:rPr>
        <w:t>Westpac Banking Corporation v Angela Barrett &amp; Ors</w:t>
      </w:r>
      <w:r w:rsidR="00443E59" w:rsidRPr="00E37520">
        <w:rPr>
          <w:rFonts w:ascii="Arial" w:hAnsi="Arial" w:cs="Arial"/>
          <w:color w:val="000000"/>
          <w:sz w:val="20"/>
          <w:szCs w:val="20"/>
        </w:rPr>
        <w:t xml:space="preserve"> [2011] VSC 326 </w:t>
      </w:r>
      <w:r w:rsidR="009D30BE" w:rsidRPr="00E37520">
        <w:rPr>
          <w:rFonts w:ascii="Arial" w:hAnsi="Arial" w:cs="Arial"/>
          <w:color w:val="000000"/>
          <w:sz w:val="20"/>
          <w:szCs w:val="20"/>
        </w:rPr>
        <w:t xml:space="preserve">at [13] </w:t>
      </w:r>
      <w:r w:rsidR="00443E59" w:rsidRPr="00E37520">
        <w:rPr>
          <w:rFonts w:ascii="Arial" w:hAnsi="Arial" w:cs="Arial"/>
          <w:color w:val="000000"/>
          <w:sz w:val="20"/>
          <w:szCs w:val="20"/>
        </w:rPr>
        <w:t>where Pagone J reiterated:</w:t>
      </w:r>
    </w:p>
    <w:p w14:paraId="04960360" w14:textId="52882B1D" w:rsidR="00443E59" w:rsidRPr="00E37520" w:rsidRDefault="00443E59" w:rsidP="00EA7A65">
      <w:pPr>
        <w:spacing w:before="60"/>
        <w:ind w:left="454" w:right="454"/>
        <w:jc w:val="both"/>
        <w:rPr>
          <w:rFonts w:ascii="Arial" w:hAnsi="Arial" w:cs="Arial"/>
          <w:iCs/>
          <w:color w:val="000000"/>
          <w:sz w:val="20"/>
        </w:rPr>
      </w:pPr>
      <w:r w:rsidRPr="00E37520">
        <w:rPr>
          <w:rFonts w:ascii="Arial" w:hAnsi="Arial" w:cs="Arial"/>
          <w:iCs/>
          <w:color w:val="000000"/>
          <w:sz w:val="20"/>
        </w:rPr>
        <w:t>“</w:t>
      </w:r>
      <w:r w:rsidRPr="00E37520">
        <w:rPr>
          <w:rFonts w:ascii="Arial" w:hAnsi="Arial" w:cs="Arial"/>
          <w:color w:val="000000"/>
          <w:sz w:val="20"/>
          <w:szCs w:val="20"/>
        </w:rPr>
        <w:t>That legal practitioners are officers of the court is not an empty statement. The court relies fundamentally upon its officers, namely legal practitioners, to perform its work. It is unacceptable for a solicitor who acted for a party to continue to appear as solicitor on record for that party and not attend court on a day set down for trial. The proper procedure is for the solicitor who no longer wishes to represent a client who is a party to a proceeding to apply for leave to be removed as solicitor acting for the party pursuant to rule 20.03(3). On</w:t>
      </w:r>
      <w:r w:rsidR="00DA23B0">
        <w:rPr>
          <w:rFonts w:ascii="Arial" w:hAnsi="Arial" w:cs="Arial"/>
          <w:color w:val="000000"/>
          <w:sz w:val="20"/>
          <w:szCs w:val="20"/>
        </w:rPr>
        <w:t> </w:t>
      </w:r>
      <w:r w:rsidRPr="00E37520">
        <w:rPr>
          <w:rFonts w:ascii="Arial" w:hAnsi="Arial" w:cs="Arial"/>
          <w:color w:val="000000"/>
          <w:sz w:val="20"/>
          <w:szCs w:val="20"/>
        </w:rPr>
        <w:t xml:space="preserve">3 March 2011, two days before this trial was due to commence, Mr McGindle sent my associates a letter in which he explained that Mrs Barrett was entering into voluntary bankruptcy and that he no longer had instructions to act. He asked my associates, </w:t>
      </w:r>
      <w:r w:rsidR="009D30BE" w:rsidRPr="00E37520">
        <w:rPr>
          <w:rFonts w:ascii="Arial" w:hAnsi="Arial" w:cs="Arial"/>
          <w:color w:val="000000"/>
          <w:sz w:val="20"/>
          <w:szCs w:val="20"/>
        </w:rPr>
        <w:t>‘</w:t>
      </w:r>
      <w:r w:rsidRPr="00E37520">
        <w:rPr>
          <w:rFonts w:ascii="Arial" w:hAnsi="Arial" w:cs="Arial"/>
          <w:color w:val="000000"/>
          <w:sz w:val="20"/>
          <w:szCs w:val="20"/>
        </w:rPr>
        <w:t>In view of the above would you please advise as to any formal requirements.</w:t>
      </w:r>
      <w:r w:rsidR="009D30BE" w:rsidRPr="00E37520">
        <w:rPr>
          <w:rFonts w:ascii="Arial" w:hAnsi="Arial" w:cs="Arial"/>
          <w:color w:val="000000"/>
          <w:sz w:val="20"/>
          <w:szCs w:val="20"/>
        </w:rPr>
        <w:t>’</w:t>
      </w:r>
      <w:r w:rsidRPr="00E37520">
        <w:rPr>
          <w:rFonts w:ascii="Arial" w:hAnsi="Arial" w:cs="Arial"/>
          <w:color w:val="000000"/>
          <w:sz w:val="20"/>
          <w:szCs w:val="20"/>
        </w:rPr>
        <w:t xml:space="preserve"> It is not proper procedure for a solicitor to seek the advice of an associate of a judge about what to do. </w:t>
      </w:r>
      <w:r w:rsidR="009D30BE" w:rsidRPr="00E37520">
        <w:rPr>
          <w:rFonts w:ascii="Arial" w:hAnsi="Arial" w:cs="Arial"/>
          <w:color w:val="000000"/>
          <w:sz w:val="20"/>
          <w:szCs w:val="20"/>
        </w:rPr>
        <w:t>Legal practitioners are expected to be familiar with the rules and practice of the court in which they are admitted to practice and in which they hold themselves out, usually for a fee, to do so.”</w:t>
      </w:r>
    </w:p>
    <w:p w14:paraId="5713D48B" w14:textId="77777777" w:rsidR="00F161C2" w:rsidRDefault="00F161C2" w:rsidP="00F161C2">
      <w:pPr>
        <w:jc w:val="both"/>
        <w:rPr>
          <w:rFonts w:ascii="Arial" w:hAnsi="Arial" w:cs="Arial"/>
          <w:sz w:val="20"/>
        </w:rPr>
      </w:pPr>
      <w:bookmarkStart w:id="415" w:name="_3.5_What_happens"/>
      <w:bookmarkStart w:id="416" w:name="B35"/>
      <w:bookmarkStart w:id="417" w:name="_3.5_What_happens_1"/>
      <w:bookmarkStart w:id="418" w:name="_Hlk206401078"/>
      <w:bookmarkStart w:id="419" w:name="_Toc30608807"/>
      <w:bookmarkStart w:id="420" w:name="_Toc30610021"/>
      <w:bookmarkStart w:id="421" w:name="_Toc30610265"/>
      <w:bookmarkStart w:id="422" w:name="_Toc30638419"/>
      <w:bookmarkStart w:id="423" w:name="_Toc30644228"/>
      <w:bookmarkStart w:id="424" w:name="_Toc30644631"/>
      <w:bookmarkStart w:id="425" w:name="_Toc30645181"/>
      <w:bookmarkStart w:id="426" w:name="_Toc30646392"/>
      <w:bookmarkStart w:id="427" w:name="_Toc30646687"/>
      <w:bookmarkStart w:id="428" w:name="_Toc30646798"/>
      <w:bookmarkStart w:id="429" w:name="_Toc30648155"/>
      <w:bookmarkStart w:id="430" w:name="_Toc30649053"/>
      <w:bookmarkStart w:id="431" w:name="_Toc30649129"/>
      <w:bookmarkStart w:id="432" w:name="_Toc30649390"/>
      <w:bookmarkStart w:id="433" w:name="_Toc30649711"/>
      <w:bookmarkStart w:id="434" w:name="_Toc30651648"/>
      <w:bookmarkStart w:id="435" w:name="_Toc30652632"/>
      <w:bookmarkStart w:id="436" w:name="_Toc30652730"/>
      <w:bookmarkStart w:id="437" w:name="_Toc30654075"/>
      <w:bookmarkStart w:id="438" w:name="_Toc30654426"/>
      <w:bookmarkStart w:id="439" w:name="_Toc30655045"/>
      <w:bookmarkStart w:id="440" w:name="_Toc30655302"/>
      <w:bookmarkStart w:id="441" w:name="_Toc30656980"/>
      <w:bookmarkStart w:id="442" w:name="_Toc30661729"/>
      <w:bookmarkStart w:id="443" w:name="_Toc30666417"/>
      <w:bookmarkStart w:id="444" w:name="_Toc30666647"/>
      <w:bookmarkStart w:id="445" w:name="_Toc30667822"/>
      <w:bookmarkStart w:id="446" w:name="_Toc30669200"/>
      <w:bookmarkStart w:id="447" w:name="_Toc30671416"/>
      <w:bookmarkStart w:id="448" w:name="_Toc30673943"/>
      <w:bookmarkStart w:id="449" w:name="_Toc30691165"/>
      <w:bookmarkStart w:id="450" w:name="_Toc30691536"/>
      <w:bookmarkStart w:id="451" w:name="_Toc30691916"/>
      <w:bookmarkStart w:id="452" w:name="_Toc30692675"/>
      <w:bookmarkStart w:id="453" w:name="_Toc30693054"/>
      <w:bookmarkStart w:id="454" w:name="_Toc30693432"/>
      <w:bookmarkStart w:id="455" w:name="_Toc30693811"/>
      <w:bookmarkStart w:id="456" w:name="_Toc30694192"/>
      <w:bookmarkStart w:id="457" w:name="_Toc30698781"/>
      <w:bookmarkStart w:id="458" w:name="_Toc30699159"/>
      <w:bookmarkStart w:id="459" w:name="_Toc30699544"/>
      <w:bookmarkStart w:id="460" w:name="_Toc30700699"/>
      <w:bookmarkStart w:id="461" w:name="_Toc30701086"/>
      <w:bookmarkStart w:id="462" w:name="_Toc30743695"/>
      <w:bookmarkStart w:id="463" w:name="_Toc30754517"/>
      <w:bookmarkStart w:id="464" w:name="_Toc30756957"/>
      <w:bookmarkStart w:id="465" w:name="_Toc30757506"/>
      <w:bookmarkStart w:id="466" w:name="_Toc30757906"/>
      <w:bookmarkStart w:id="467" w:name="_Toc30762667"/>
      <w:bookmarkStart w:id="468" w:name="_Toc30767321"/>
      <w:bookmarkStart w:id="469" w:name="_Toc34823337"/>
      <w:bookmarkEnd w:id="415"/>
      <w:bookmarkEnd w:id="416"/>
      <w:bookmarkEnd w:id="417"/>
    </w:p>
    <w:p w14:paraId="0D1AD745" w14:textId="7B7C04F2" w:rsidR="00305EA5" w:rsidRDefault="00305EA5" w:rsidP="00305EA5">
      <w:pPr>
        <w:jc w:val="both"/>
        <w:rPr>
          <w:rFonts w:ascii="Helvetica" w:hAnsi="Helvetica"/>
          <w:color w:val="000000"/>
          <w:sz w:val="20"/>
        </w:rPr>
      </w:pPr>
      <w:r>
        <w:rPr>
          <w:rFonts w:ascii="Helvetica" w:hAnsi="Helvetica"/>
          <w:color w:val="000000"/>
          <w:sz w:val="20"/>
        </w:rPr>
        <w:t xml:space="preserve">In </w:t>
      </w:r>
      <w:r w:rsidRPr="00305EA5">
        <w:rPr>
          <w:rFonts w:ascii="Helvetica" w:hAnsi="Helvetica"/>
          <w:i/>
          <w:iCs/>
          <w:color w:val="000000"/>
          <w:sz w:val="20"/>
        </w:rPr>
        <w:t>Refuse to Lose Pty Ltd as trustee for the Refuse to Lose Trust v Kostakis</w:t>
      </w:r>
      <w:r w:rsidRPr="00305EA5">
        <w:rPr>
          <w:rFonts w:ascii="Helvetica" w:hAnsi="Helvetica"/>
          <w:color w:val="000000"/>
          <w:sz w:val="20"/>
        </w:rPr>
        <w:t xml:space="preserve"> [2026] VSC 5</w:t>
      </w:r>
      <w:r>
        <w:rPr>
          <w:rFonts w:ascii="Helvetica" w:hAnsi="Helvetica"/>
          <w:color w:val="000000"/>
          <w:sz w:val="20"/>
        </w:rPr>
        <w:t xml:space="preserve"> Delaney J quoted with approval:</w:t>
      </w:r>
    </w:p>
    <w:p w14:paraId="0B432B13" w14:textId="2A2AFEEF" w:rsidR="00305EA5" w:rsidRPr="00305EA5" w:rsidRDefault="00FC269A" w:rsidP="00305EA5">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at [42] </w:t>
      </w:r>
      <w:r w:rsidR="00305EA5">
        <w:rPr>
          <w:rFonts w:ascii="Arial" w:hAnsi="Arial" w:cs="Arial"/>
          <w:sz w:val="20"/>
        </w:rPr>
        <w:t xml:space="preserve">dicta of </w:t>
      </w:r>
      <w:proofErr w:type="spellStart"/>
      <w:r w:rsidR="00305EA5">
        <w:rPr>
          <w:rFonts w:ascii="Arial" w:hAnsi="Arial" w:cs="Arial"/>
          <w:sz w:val="20"/>
        </w:rPr>
        <w:t>Habersberger</w:t>
      </w:r>
      <w:proofErr w:type="spellEnd"/>
      <w:r w:rsidR="00305EA5">
        <w:rPr>
          <w:rFonts w:ascii="Arial" w:hAnsi="Arial" w:cs="Arial"/>
          <w:sz w:val="20"/>
        </w:rPr>
        <w:t xml:space="preserve"> J </w:t>
      </w:r>
      <w:r w:rsidR="00305EA5" w:rsidRPr="00305EA5">
        <w:rPr>
          <w:rFonts w:ascii="Helvetica" w:hAnsi="Helvetica"/>
          <w:color w:val="000000"/>
          <w:sz w:val="20"/>
        </w:rPr>
        <w:t xml:space="preserve">in </w:t>
      </w:r>
      <w:r w:rsidR="00305EA5" w:rsidRPr="00305EA5">
        <w:rPr>
          <w:rFonts w:ascii="Helvetica" w:hAnsi="Helvetica"/>
          <w:i/>
          <w:iCs/>
          <w:color w:val="000000"/>
          <w:sz w:val="20"/>
        </w:rPr>
        <w:t>Blue Cross Properties (Toorak) Pty Ltd v Mackie &amp; Staff Pty Ltd</w:t>
      </w:r>
      <w:r w:rsidR="00305EA5">
        <w:rPr>
          <w:rFonts w:ascii="Helvetica" w:hAnsi="Helvetica"/>
          <w:color w:val="000000"/>
          <w:sz w:val="20"/>
        </w:rPr>
        <w:t xml:space="preserve"> </w:t>
      </w:r>
      <w:r w:rsidR="00305EA5" w:rsidRPr="00305EA5">
        <w:rPr>
          <w:rFonts w:ascii="Helvetica" w:hAnsi="Helvetica"/>
          <w:color w:val="000000"/>
          <w:sz w:val="20"/>
        </w:rPr>
        <w:t>[2007] VSC 304</w:t>
      </w:r>
      <w:r w:rsidR="00305EA5">
        <w:rPr>
          <w:rFonts w:ascii="Helvetica" w:hAnsi="Helvetica"/>
          <w:color w:val="000000"/>
          <w:sz w:val="20"/>
        </w:rPr>
        <w:t xml:space="preserve"> at [16]:</w:t>
      </w:r>
    </w:p>
    <w:p w14:paraId="1D145380" w14:textId="659ED3D1" w:rsidR="00421D37" w:rsidRPr="00421D37" w:rsidRDefault="00421D37" w:rsidP="009816F6">
      <w:pPr>
        <w:spacing w:before="60" w:after="60"/>
        <w:ind w:left="924" w:right="567"/>
        <w:jc w:val="both"/>
        <w:rPr>
          <w:rFonts w:ascii="Arial" w:hAnsi="Arial" w:cs="Arial"/>
          <w:iCs/>
          <w:color w:val="000000"/>
          <w:sz w:val="18"/>
          <w:szCs w:val="22"/>
        </w:rPr>
      </w:pPr>
      <w:r>
        <w:rPr>
          <w:rFonts w:ascii="Helvetica" w:hAnsi="Helvetica"/>
          <w:color w:val="000000"/>
          <w:sz w:val="18"/>
          <w:szCs w:val="22"/>
        </w:rPr>
        <w:lastRenderedPageBreak/>
        <w:t>“</w:t>
      </w:r>
      <w:r w:rsidRPr="00421D37">
        <w:rPr>
          <w:rFonts w:ascii="Helvetica" w:hAnsi="Helvetica"/>
          <w:color w:val="000000"/>
          <w:sz w:val="18"/>
          <w:szCs w:val="22"/>
        </w:rPr>
        <w:t xml:space="preserve">Parties are required to comply with orders of the Court. It is not a matter of choice whether or not the steps set out in an interlocutory order are observed. If an order cannot be complied with for some good </w:t>
      </w:r>
      <w:proofErr w:type="gramStart"/>
      <w:r w:rsidRPr="00421D37">
        <w:rPr>
          <w:rFonts w:ascii="Helvetica" w:hAnsi="Helvetica"/>
          <w:color w:val="000000"/>
          <w:sz w:val="18"/>
          <w:szCs w:val="22"/>
        </w:rPr>
        <w:t>reason</w:t>
      </w:r>
      <w:proofErr w:type="gramEnd"/>
      <w:r w:rsidRPr="00421D37">
        <w:rPr>
          <w:rFonts w:ascii="Helvetica" w:hAnsi="Helvetica"/>
          <w:color w:val="000000"/>
          <w:sz w:val="18"/>
          <w:szCs w:val="22"/>
        </w:rPr>
        <w:t xml:space="preserve"> then application should be made to the Court for variation of the order. At</w:t>
      </w:r>
      <w:r>
        <w:rPr>
          <w:rFonts w:ascii="Helvetica" w:hAnsi="Helvetica"/>
          <w:color w:val="000000"/>
          <w:sz w:val="18"/>
          <w:szCs w:val="22"/>
        </w:rPr>
        <w:t> </w:t>
      </w:r>
      <w:r w:rsidRPr="00421D37">
        <w:rPr>
          <w:rFonts w:ascii="Helvetica" w:hAnsi="Helvetica"/>
          <w:color w:val="000000"/>
          <w:sz w:val="18"/>
          <w:szCs w:val="22"/>
        </w:rPr>
        <w:t xml:space="preserve">the very least, the consent of the other parties to the variation, such as an extension of time, should first be sought … </w:t>
      </w:r>
      <w:r w:rsidRPr="00777F70">
        <w:rPr>
          <w:rFonts w:ascii="Helvetica" w:hAnsi="Helvetica"/>
          <w:b/>
          <w:bCs/>
          <w:color w:val="000000"/>
          <w:sz w:val="18"/>
          <w:szCs w:val="22"/>
        </w:rPr>
        <w:t>If solicitors cannot obtain instructions or funding from the client then they are entitled to file a notice that they have ceased to act. B</w:t>
      </w:r>
      <w:r w:rsidRPr="00421D37">
        <w:rPr>
          <w:rFonts w:ascii="Helvetica" w:hAnsi="Helvetica"/>
          <w:b/>
          <w:bCs/>
          <w:color w:val="000000"/>
          <w:sz w:val="18"/>
          <w:szCs w:val="22"/>
        </w:rPr>
        <w:t>ut whilst they remain the solicitors on the record they are, in my opinion, required to comply with the orders of the Court even if they have no funding</w:t>
      </w:r>
      <w:r w:rsidRPr="00421D37">
        <w:rPr>
          <w:rFonts w:ascii="Helvetica" w:hAnsi="Helvetica"/>
          <w:color w:val="000000"/>
          <w:sz w:val="18"/>
          <w:szCs w:val="22"/>
        </w:rPr>
        <w:t xml:space="preserve"> …</w:t>
      </w:r>
      <w:r>
        <w:rPr>
          <w:rFonts w:ascii="Helvetica" w:hAnsi="Helvetica"/>
          <w:color w:val="000000"/>
          <w:sz w:val="18"/>
          <w:szCs w:val="22"/>
        </w:rPr>
        <w:t>” [emphasis added]</w:t>
      </w:r>
    </w:p>
    <w:p w14:paraId="13EAE5ED" w14:textId="69AE3C72" w:rsidR="00305EA5" w:rsidRPr="00BD3488" w:rsidRDefault="00FC269A" w:rsidP="00305EA5">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at [43] </w:t>
      </w:r>
      <w:r w:rsidR="00305EA5">
        <w:rPr>
          <w:rFonts w:ascii="Arial" w:hAnsi="Arial" w:cs="Arial"/>
          <w:sz w:val="20"/>
        </w:rPr>
        <w:t xml:space="preserve">dicta of Pagone J in </w:t>
      </w:r>
      <w:r w:rsidR="00305EA5" w:rsidRPr="00305EA5">
        <w:rPr>
          <w:rFonts w:ascii="Helvetica" w:hAnsi="Helvetica"/>
          <w:i/>
          <w:iCs/>
          <w:color w:val="000000"/>
          <w:sz w:val="20"/>
        </w:rPr>
        <w:t>Investec Bank (Australia) Ltd v Mann</w:t>
      </w:r>
      <w:r w:rsidR="00305EA5">
        <w:rPr>
          <w:rFonts w:ascii="Helvetica" w:hAnsi="Helvetica"/>
          <w:color w:val="000000"/>
          <w:sz w:val="20"/>
        </w:rPr>
        <w:t xml:space="preserve"> </w:t>
      </w:r>
      <w:r w:rsidR="009816F6" w:rsidRPr="009816F6">
        <w:rPr>
          <w:rFonts w:ascii="Helvetica" w:hAnsi="Helvetica"/>
          <w:color w:val="000000"/>
          <w:sz w:val="20"/>
        </w:rPr>
        <w:t>[2012] VSC 81</w:t>
      </w:r>
      <w:r w:rsidR="00F84454">
        <w:rPr>
          <w:rFonts w:ascii="Helvetica" w:hAnsi="Helvetica"/>
          <w:color w:val="000000"/>
          <w:sz w:val="20"/>
        </w:rPr>
        <w:t xml:space="preserve"> at [2]</w:t>
      </w:r>
      <w:r w:rsidR="009816F6">
        <w:rPr>
          <w:rFonts w:ascii="Helvetica" w:hAnsi="Helvetica"/>
          <w:color w:val="000000"/>
          <w:sz w:val="20"/>
        </w:rPr>
        <w:t>, referring to the above passage:</w:t>
      </w:r>
    </w:p>
    <w:p w14:paraId="63959AA3" w14:textId="500864D4" w:rsidR="009816F6" w:rsidRPr="009816F6" w:rsidRDefault="009816F6" w:rsidP="009816F6">
      <w:pPr>
        <w:spacing w:before="60"/>
        <w:ind w:left="924" w:right="567"/>
        <w:jc w:val="both"/>
        <w:rPr>
          <w:rFonts w:ascii="Arial" w:hAnsi="Arial" w:cs="Arial"/>
          <w:iCs/>
          <w:color w:val="000000"/>
          <w:sz w:val="16"/>
          <w:szCs w:val="20"/>
        </w:rPr>
      </w:pPr>
      <w:r w:rsidRPr="009816F6">
        <w:rPr>
          <w:rFonts w:ascii="Helvetica" w:hAnsi="Helvetica"/>
          <w:color w:val="000000"/>
          <w:sz w:val="18"/>
          <w:szCs w:val="22"/>
        </w:rPr>
        <w:t>“His Honour’s reasons make clear that a lack of funding does not absolve a solicitor from an obligation to comply with court orders made in respect of a proceeding in which the solicitor continued to be on record …”</w:t>
      </w:r>
    </w:p>
    <w:p w14:paraId="31E39507" w14:textId="77777777" w:rsidR="002A4ADE" w:rsidRDefault="002A4ADE" w:rsidP="0000798B">
      <w:pPr>
        <w:jc w:val="both"/>
        <w:rPr>
          <w:rFonts w:ascii="Helvetica" w:hAnsi="Helvetica"/>
          <w:color w:val="000000"/>
          <w:sz w:val="20"/>
        </w:rPr>
      </w:pPr>
      <w:bookmarkStart w:id="470" w:name="_Hlk206164261"/>
      <w:bookmarkEnd w:id="418"/>
    </w:p>
    <w:p w14:paraId="2EE68867" w14:textId="27A383EC" w:rsidR="00417C18" w:rsidRDefault="005000C4" w:rsidP="00417C18">
      <w:pPr>
        <w:jc w:val="both"/>
        <w:rPr>
          <w:rFonts w:ascii="Arial" w:hAnsi="Arial" w:cs="Arial"/>
          <w:sz w:val="20"/>
        </w:rPr>
      </w:pPr>
      <w:r>
        <w:rPr>
          <w:rFonts w:ascii="Helvetica" w:hAnsi="Helvetica"/>
          <w:color w:val="000000"/>
          <w:sz w:val="20"/>
        </w:rPr>
        <w:t xml:space="preserve">In </w:t>
      </w:r>
      <w:r w:rsidRPr="005000C4">
        <w:rPr>
          <w:rFonts w:ascii="Helvetica" w:hAnsi="Helvetica"/>
          <w:i/>
          <w:iCs/>
          <w:color w:val="000000"/>
          <w:sz w:val="20"/>
        </w:rPr>
        <w:t>Brewer (a pseudonym) v Swinburne University of Technology</w:t>
      </w:r>
      <w:r>
        <w:rPr>
          <w:rFonts w:ascii="Helvetica" w:hAnsi="Helvetica"/>
          <w:color w:val="000000"/>
          <w:sz w:val="20"/>
        </w:rPr>
        <w:t xml:space="preserve"> [2026] VSCA 141 </w:t>
      </w:r>
      <w:r w:rsidR="00417C18">
        <w:rPr>
          <w:rFonts w:ascii="Arial" w:hAnsi="Arial" w:cs="Arial"/>
          <w:sz w:val="20"/>
        </w:rPr>
        <w:t xml:space="preserve">the applicant had filed an application for leave to appeal more than 13 months previously. The respondent University had failed to file a response to the applicant’s written case and had failed to comply with time limits, orders and directions relating to the filing of its written case. Holding that the respondent was to be deprived of </w:t>
      </w:r>
      <w:r w:rsidR="00417C18" w:rsidRPr="00F73D6C">
        <w:rPr>
          <w:rFonts w:ascii="Arial" w:hAnsi="Arial" w:cs="Arial"/>
          <w:sz w:val="20"/>
        </w:rPr>
        <w:t xml:space="preserve">its costs from </w:t>
      </w:r>
      <w:r w:rsidR="00417C18">
        <w:rPr>
          <w:rFonts w:ascii="Arial" w:hAnsi="Arial" w:cs="Arial"/>
          <w:sz w:val="20"/>
        </w:rPr>
        <w:t xml:space="preserve">the </w:t>
      </w:r>
      <w:r w:rsidR="00417C18" w:rsidRPr="00F73D6C">
        <w:rPr>
          <w:rFonts w:ascii="Arial" w:hAnsi="Arial" w:cs="Arial"/>
          <w:sz w:val="20"/>
        </w:rPr>
        <w:t xml:space="preserve">commencement of </w:t>
      </w:r>
      <w:r w:rsidR="00417C18">
        <w:rPr>
          <w:rFonts w:ascii="Arial" w:hAnsi="Arial" w:cs="Arial"/>
          <w:sz w:val="20"/>
        </w:rPr>
        <w:t xml:space="preserve">the </w:t>
      </w:r>
      <w:r w:rsidR="00417C18" w:rsidRPr="00F73D6C">
        <w:rPr>
          <w:rFonts w:ascii="Arial" w:hAnsi="Arial" w:cs="Arial"/>
          <w:sz w:val="20"/>
        </w:rPr>
        <w:t xml:space="preserve">application for leave to appeal until after filing its written case, irrespective of </w:t>
      </w:r>
      <w:r w:rsidR="00417C18">
        <w:rPr>
          <w:rFonts w:ascii="Arial" w:hAnsi="Arial" w:cs="Arial"/>
          <w:sz w:val="20"/>
        </w:rPr>
        <w:t xml:space="preserve">the </w:t>
      </w:r>
      <w:r w:rsidR="00417C18" w:rsidRPr="00F73D6C">
        <w:rPr>
          <w:rFonts w:ascii="Arial" w:hAnsi="Arial" w:cs="Arial"/>
          <w:sz w:val="20"/>
        </w:rPr>
        <w:t xml:space="preserve">ultimate outcome of </w:t>
      </w:r>
      <w:r w:rsidR="00417C18">
        <w:rPr>
          <w:rFonts w:ascii="Arial" w:hAnsi="Arial" w:cs="Arial"/>
          <w:sz w:val="20"/>
        </w:rPr>
        <w:t xml:space="preserve">the </w:t>
      </w:r>
      <w:r w:rsidR="00417C18" w:rsidRPr="00F73D6C">
        <w:rPr>
          <w:rFonts w:ascii="Arial" w:hAnsi="Arial" w:cs="Arial"/>
          <w:sz w:val="20"/>
        </w:rPr>
        <w:t>proceeding</w:t>
      </w:r>
      <w:r w:rsidR="00417C18">
        <w:rPr>
          <w:rFonts w:ascii="Arial" w:hAnsi="Arial" w:cs="Arial"/>
          <w:sz w:val="20"/>
        </w:rPr>
        <w:t>, Beach JA said at [33]-[36] (emphasis added):</w:t>
      </w:r>
    </w:p>
    <w:p w14:paraId="5D0BA7AA" w14:textId="77777777" w:rsidR="00417C18" w:rsidRDefault="00417C18" w:rsidP="00417C18">
      <w:pPr>
        <w:spacing w:before="60"/>
        <w:ind w:left="454" w:right="454"/>
        <w:jc w:val="both"/>
        <w:rPr>
          <w:rFonts w:ascii="Arial" w:hAnsi="Arial" w:cs="Arial"/>
          <w:sz w:val="20"/>
        </w:rPr>
      </w:pPr>
      <w:r>
        <w:rPr>
          <w:rFonts w:ascii="Arial" w:hAnsi="Arial" w:cs="Arial"/>
          <w:sz w:val="20"/>
          <w:szCs w:val="20"/>
        </w:rPr>
        <w:t>[33] “</w:t>
      </w:r>
      <w:r w:rsidRPr="00F73D6C">
        <w:rPr>
          <w:rFonts w:ascii="Arial" w:hAnsi="Arial" w:cs="Arial"/>
          <w:sz w:val="20"/>
        </w:rPr>
        <w:t>The respondent’s conduct in this Court has been, to say the least, unsatisfactory. What may have started as mere torpid languor appears to have morphed into a studied refusal to engage with court orders and directions (at least until today).</w:t>
      </w:r>
    </w:p>
    <w:p w14:paraId="232C1334" w14:textId="77777777" w:rsidR="00417C18" w:rsidRDefault="00417C18" w:rsidP="00417C18">
      <w:pPr>
        <w:spacing w:before="60"/>
        <w:ind w:left="454" w:right="454"/>
        <w:jc w:val="both"/>
        <w:rPr>
          <w:rFonts w:ascii="Arial" w:hAnsi="Arial" w:cs="Arial"/>
          <w:sz w:val="20"/>
        </w:rPr>
      </w:pPr>
      <w:r>
        <w:rPr>
          <w:rFonts w:ascii="Arial" w:hAnsi="Arial" w:cs="Arial"/>
          <w:sz w:val="20"/>
        </w:rPr>
        <w:t xml:space="preserve">[34] </w:t>
      </w:r>
      <w:r w:rsidRPr="001E44CA">
        <w:rPr>
          <w:rFonts w:ascii="Arial" w:hAnsi="Arial" w:cs="Arial"/>
          <w:b/>
          <w:bCs/>
          <w:sz w:val="20"/>
        </w:rPr>
        <w:t>It is trite that compliance with procedural directions, whether made as part of case management, or made in applicable Practice Notes or rules of court, is not optional. All</w:t>
      </w:r>
      <w:r>
        <w:rPr>
          <w:rFonts w:ascii="Arial" w:hAnsi="Arial" w:cs="Arial"/>
          <w:b/>
          <w:bCs/>
          <w:sz w:val="20"/>
        </w:rPr>
        <w:t> </w:t>
      </w:r>
      <w:r w:rsidRPr="001E44CA">
        <w:rPr>
          <w:rFonts w:ascii="Arial" w:hAnsi="Arial" w:cs="Arial"/>
          <w:b/>
          <w:bCs/>
          <w:sz w:val="20"/>
        </w:rPr>
        <w:t xml:space="preserve">parties to litigation in any court are both expected, and required, to comply strictly with all of that court’s procedural directions. If authority were needed for that basic proposition, see </w:t>
      </w:r>
      <w:r w:rsidRPr="001E44CA">
        <w:rPr>
          <w:rFonts w:ascii="Arial" w:hAnsi="Arial" w:cs="Arial"/>
          <w:b/>
          <w:bCs/>
          <w:i/>
          <w:iCs/>
          <w:sz w:val="20"/>
        </w:rPr>
        <w:t>Lam v Liu</w:t>
      </w:r>
      <w:r w:rsidRPr="001E44CA">
        <w:rPr>
          <w:rFonts w:ascii="Arial" w:hAnsi="Arial" w:cs="Arial"/>
          <w:b/>
          <w:bCs/>
          <w:sz w:val="20"/>
        </w:rPr>
        <w:t xml:space="preserve"> [2025] NSWCA 254, [1], [2] &amp; [32].</w:t>
      </w:r>
    </w:p>
    <w:p w14:paraId="6CE981B0" w14:textId="77777777" w:rsidR="00417C18" w:rsidRDefault="00417C18" w:rsidP="00417C18">
      <w:pPr>
        <w:spacing w:before="60"/>
        <w:ind w:left="454" w:right="454"/>
        <w:jc w:val="both"/>
        <w:rPr>
          <w:rFonts w:ascii="Arial" w:hAnsi="Arial" w:cs="Arial"/>
          <w:sz w:val="20"/>
        </w:rPr>
      </w:pPr>
      <w:r>
        <w:rPr>
          <w:rFonts w:ascii="Arial" w:hAnsi="Arial" w:cs="Arial"/>
          <w:sz w:val="20"/>
        </w:rPr>
        <w:t xml:space="preserve">[35] </w:t>
      </w:r>
      <w:r w:rsidRPr="00F73D6C">
        <w:rPr>
          <w:rFonts w:ascii="Arial" w:hAnsi="Arial" w:cs="Arial"/>
          <w:sz w:val="20"/>
        </w:rPr>
        <w:t>In attempting to facilitate the just, efficient, timely and cost-effective resolution of applications for leave to appeal</w:t>
      </w:r>
      <w:r>
        <w:rPr>
          <w:rFonts w:ascii="Arial" w:hAnsi="Arial" w:cs="Arial"/>
          <w:sz w:val="20"/>
        </w:rPr>
        <w:t xml:space="preserve"> (s</w:t>
      </w:r>
      <w:r w:rsidRPr="00F73D6C">
        <w:rPr>
          <w:rFonts w:ascii="Arial" w:hAnsi="Arial" w:cs="Arial"/>
          <w:sz w:val="20"/>
        </w:rPr>
        <w:t xml:space="preserve">ee s 7 of the </w:t>
      </w:r>
      <w:r w:rsidRPr="00F73D6C">
        <w:rPr>
          <w:rFonts w:ascii="Arial" w:hAnsi="Arial" w:cs="Arial"/>
          <w:i/>
          <w:iCs/>
          <w:sz w:val="20"/>
        </w:rPr>
        <w:t>Civil Procedure Act 2010</w:t>
      </w:r>
      <w:r>
        <w:rPr>
          <w:rFonts w:ascii="Arial" w:hAnsi="Arial" w:cs="Arial"/>
          <w:sz w:val="20"/>
        </w:rPr>
        <w:t>),</w:t>
      </w:r>
      <w:r w:rsidRPr="00F73D6C">
        <w:rPr>
          <w:rFonts w:ascii="Arial" w:hAnsi="Arial" w:cs="Arial"/>
          <w:sz w:val="20"/>
        </w:rPr>
        <w:t xml:space="preserve"> this Court is heavily reliant on the work of the judicial registrar, registry lawyers and registry officers. The just, efficient, timely and cost-effective resolution of applications in this Court is also dependent upon litigants and their lawyers responding promptly to communications from the registry, particularly those containing requests or directions as to the conduct of a proceeding. The unsatisfactory conduct of this proceeding by the respondent has caused scarce registry resources to be consumed, impaired the efficiency of the Court and unnecessarily delayed the resolution of the applicant’s application for leave to appeal.</w:t>
      </w:r>
    </w:p>
    <w:p w14:paraId="552127EF" w14:textId="77777777" w:rsidR="00417C18" w:rsidRDefault="00417C18" w:rsidP="00417C18">
      <w:pPr>
        <w:spacing w:before="60"/>
        <w:ind w:left="454" w:right="454"/>
        <w:jc w:val="both"/>
        <w:rPr>
          <w:rFonts w:ascii="Arial" w:hAnsi="Arial" w:cs="Arial"/>
          <w:sz w:val="20"/>
          <w:szCs w:val="20"/>
        </w:rPr>
      </w:pPr>
      <w:r>
        <w:rPr>
          <w:rFonts w:ascii="Arial" w:hAnsi="Arial" w:cs="Arial"/>
          <w:sz w:val="20"/>
        </w:rPr>
        <w:t xml:space="preserve">[36] </w:t>
      </w:r>
      <w:r w:rsidRPr="00F73D6C">
        <w:rPr>
          <w:rFonts w:ascii="Arial" w:hAnsi="Arial" w:cs="Arial"/>
          <w:sz w:val="20"/>
        </w:rPr>
        <w:t xml:space="preserve">In the language of the </w:t>
      </w:r>
      <w:r w:rsidRPr="00F01466">
        <w:rPr>
          <w:rFonts w:ascii="Arial" w:hAnsi="Arial" w:cs="Arial"/>
          <w:i/>
          <w:iCs/>
          <w:sz w:val="20"/>
        </w:rPr>
        <w:t>Civil Procedure Act</w:t>
      </w:r>
      <w:r w:rsidRPr="00F73D6C">
        <w:rPr>
          <w:rFonts w:ascii="Arial" w:hAnsi="Arial" w:cs="Arial"/>
          <w:sz w:val="20"/>
        </w:rPr>
        <w:t>, in the management of the application for leave to appeal, the respondent has failed to cooperate with the applicant and the Court in the conduct of the proceeding (a breach of the overarching obligation set out in s 20 of the Act); and failed to use reasonable endeavours in connection with the proceeding to act promptly and minimise delay (a breach of the overarching obligation in s 25 of the Act).</w:t>
      </w:r>
      <w:r>
        <w:rPr>
          <w:rFonts w:ascii="Arial" w:hAnsi="Arial" w:cs="Arial"/>
          <w:sz w:val="20"/>
        </w:rPr>
        <w:t>”</w:t>
      </w:r>
    </w:p>
    <w:p w14:paraId="52ACA54F" w14:textId="77777777" w:rsidR="005000C4" w:rsidRDefault="005000C4" w:rsidP="0000798B">
      <w:pPr>
        <w:jc w:val="both"/>
        <w:rPr>
          <w:rFonts w:ascii="Helvetica" w:hAnsi="Helvetica"/>
          <w:color w:val="000000"/>
          <w:sz w:val="20"/>
        </w:rPr>
      </w:pPr>
    </w:p>
    <w:p w14:paraId="33634332" w14:textId="07165384" w:rsidR="00417C18" w:rsidRDefault="00417C18" w:rsidP="0000798B">
      <w:pPr>
        <w:jc w:val="both"/>
        <w:rPr>
          <w:rFonts w:ascii="Helvetica" w:hAnsi="Helvetica"/>
          <w:color w:val="000000"/>
          <w:sz w:val="20"/>
        </w:rPr>
      </w:pPr>
      <w:r>
        <w:rPr>
          <w:rFonts w:ascii="Helvetica" w:hAnsi="Helvetica"/>
          <w:color w:val="000000"/>
          <w:sz w:val="20"/>
        </w:rPr>
        <w:t>Coincidentally</w:t>
      </w:r>
      <w:r w:rsidR="00CC1526">
        <w:rPr>
          <w:rFonts w:ascii="Helvetica" w:hAnsi="Helvetica"/>
          <w:color w:val="000000"/>
          <w:sz w:val="20"/>
        </w:rPr>
        <w:t xml:space="preserve"> – </w:t>
      </w:r>
      <w:r>
        <w:rPr>
          <w:rFonts w:ascii="Helvetica" w:hAnsi="Helvetica"/>
          <w:color w:val="000000"/>
          <w:sz w:val="20"/>
        </w:rPr>
        <w:t>a</w:t>
      </w:r>
      <w:r w:rsidR="00CC1526">
        <w:rPr>
          <w:rFonts w:ascii="Helvetica" w:hAnsi="Helvetica"/>
          <w:color w:val="000000"/>
          <w:sz w:val="20"/>
        </w:rPr>
        <w:t xml:space="preserve"> </w:t>
      </w:r>
      <w:r>
        <w:rPr>
          <w:rFonts w:ascii="Helvetica" w:hAnsi="Helvetica"/>
          <w:color w:val="000000"/>
          <w:sz w:val="20"/>
        </w:rPr>
        <w:t>few weeks before the above</w:t>
      </w:r>
      <w:r w:rsidR="00CC1526">
        <w:rPr>
          <w:rFonts w:ascii="Helvetica" w:hAnsi="Helvetica"/>
          <w:color w:val="000000"/>
          <w:sz w:val="20"/>
        </w:rPr>
        <w:t>-mentioned</w:t>
      </w:r>
      <w:r>
        <w:rPr>
          <w:rFonts w:ascii="Helvetica" w:hAnsi="Helvetica"/>
          <w:color w:val="000000"/>
          <w:sz w:val="20"/>
        </w:rPr>
        <w:t xml:space="preserve"> judgment of Beach JA was handed down </w:t>
      </w:r>
      <w:r w:rsidR="00CC1526">
        <w:rPr>
          <w:rFonts w:ascii="Helvetica" w:hAnsi="Helvetica"/>
          <w:color w:val="000000"/>
          <w:sz w:val="20"/>
        </w:rPr>
        <w:t xml:space="preserve">– </w:t>
      </w:r>
      <w:r w:rsidR="0009786B">
        <w:rPr>
          <w:rFonts w:ascii="Helvetica" w:hAnsi="Helvetica"/>
          <w:color w:val="000000"/>
          <w:sz w:val="20"/>
        </w:rPr>
        <w:t xml:space="preserve">Bennett J in the New South Wales Supreme Court in </w:t>
      </w:r>
      <w:r w:rsidR="0009786B" w:rsidRPr="00CC1526">
        <w:rPr>
          <w:rFonts w:ascii="Helvetica" w:hAnsi="Helvetica"/>
          <w:i/>
          <w:iCs/>
          <w:color w:val="000000"/>
          <w:sz w:val="20"/>
        </w:rPr>
        <w:t>D’Apice v Passes (No 2)</w:t>
      </w:r>
      <w:r w:rsidR="0009786B">
        <w:rPr>
          <w:rFonts w:ascii="Helvetica" w:hAnsi="Helvetica"/>
          <w:color w:val="000000"/>
          <w:sz w:val="20"/>
        </w:rPr>
        <w:t xml:space="preserve"> [2026] NSWSC 570 </w:t>
      </w:r>
      <w:r w:rsidR="00CC1526">
        <w:rPr>
          <w:rFonts w:ascii="Helvetica" w:hAnsi="Helvetica"/>
          <w:color w:val="000000"/>
          <w:sz w:val="20"/>
        </w:rPr>
        <w:t xml:space="preserve">also quoted dicta of the New South Wales Court of Appeal in </w:t>
      </w:r>
      <w:r w:rsidR="00CC1526" w:rsidRPr="00CC1526">
        <w:rPr>
          <w:rFonts w:ascii="Arial" w:hAnsi="Arial" w:cs="Arial"/>
          <w:i/>
          <w:iCs/>
          <w:sz w:val="20"/>
        </w:rPr>
        <w:t>Lam v Liu</w:t>
      </w:r>
      <w:r w:rsidR="00CC1526" w:rsidRPr="00CC1526">
        <w:rPr>
          <w:rFonts w:ascii="Arial" w:hAnsi="Arial" w:cs="Arial"/>
          <w:sz w:val="20"/>
        </w:rPr>
        <w:t xml:space="preserve"> [2025] NSWCA 254</w:t>
      </w:r>
      <w:r w:rsidR="00CC1526">
        <w:rPr>
          <w:rFonts w:ascii="Arial" w:hAnsi="Arial" w:cs="Arial"/>
          <w:sz w:val="20"/>
        </w:rPr>
        <w:t xml:space="preserve"> at</w:t>
      </w:r>
      <w:r w:rsidR="00CC1526" w:rsidRPr="00CC1526">
        <w:rPr>
          <w:rFonts w:ascii="Arial" w:hAnsi="Arial" w:cs="Arial"/>
          <w:sz w:val="20"/>
        </w:rPr>
        <w:t xml:space="preserve"> [1],</w:t>
      </w:r>
      <w:r w:rsidR="00CC1526">
        <w:rPr>
          <w:rFonts w:ascii="Arial" w:hAnsi="Arial" w:cs="Arial"/>
          <w:sz w:val="20"/>
        </w:rPr>
        <w:t xml:space="preserve"> saying</w:t>
      </w:r>
      <w:r w:rsidR="0009786B">
        <w:rPr>
          <w:rFonts w:ascii="Arial" w:hAnsi="Arial" w:cs="Arial"/>
          <w:sz w:val="20"/>
        </w:rPr>
        <w:t xml:space="preserve"> at [17]</w:t>
      </w:r>
      <w:r w:rsidR="00CC1526">
        <w:rPr>
          <w:rFonts w:ascii="Arial" w:hAnsi="Arial" w:cs="Arial"/>
          <w:sz w:val="20"/>
        </w:rPr>
        <w:t>:</w:t>
      </w:r>
    </w:p>
    <w:p w14:paraId="6A56289D" w14:textId="136FD92C" w:rsidR="00CC1526" w:rsidRDefault="00CC1526" w:rsidP="00CC1526">
      <w:pPr>
        <w:spacing w:before="60"/>
        <w:ind w:left="454" w:right="454"/>
        <w:jc w:val="both"/>
        <w:rPr>
          <w:rFonts w:ascii="Arial" w:hAnsi="Arial" w:cs="Arial"/>
          <w:sz w:val="20"/>
        </w:rPr>
      </w:pPr>
      <w:r>
        <w:rPr>
          <w:rFonts w:ascii="Arial" w:hAnsi="Arial" w:cs="Arial"/>
          <w:sz w:val="20"/>
        </w:rPr>
        <w:t xml:space="preserve">[17] “It is appropriate to set out what Bell CJ said, with the agreement of Payne JA, in </w:t>
      </w:r>
      <w:r w:rsidRPr="00CC1526">
        <w:rPr>
          <w:rFonts w:ascii="Arial" w:hAnsi="Arial" w:cs="Arial"/>
          <w:i/>
          <w:iCs/>
          <w:sz w:val="20"/>
        </w:rPr>
        <w:t>Lam v Liu</w:t>
      </w:r>
      <w:r>
        <w:rPr>
          <w:rFonts w:ascii="Arial" w:hAnsi="Arial" w:cs="Arial"/>
          <w:sz w:val="20"/>
        </w:rPr>
        <w:t xml:space="preserve"> </w:t>
      </w:r>
      <w:r w:rsidRPr="00CC1526">
        <w:rPr>
          <w:rFonts w:ascii="Arial" w:hAnsi="Arial" w:cs="Arial"/>
          <w:sz w:val="20"/>
        </w:rPr>
        <w:t>[2025] NSWCA 254</w:t>
      </w:r>
      <w:r>
        <w:rPr>
          <w:rFonts w:ascii="Arial" w:hAnsi="Arial" w:cs="Arial"/>
          <w:sz w:val="20"/>
        </w:rPr>
        <w:t xml:space="preserve"> at [1]:</w:t>
      </w:r>
    </w:p>
    <w:p w14:paraId="55D9D762" w14:textId="56DA51F9" w:rsidR="00417C18" w:rsidRPr="00CC1526" w:rsidRDefault="008E4695" w:rsidP="00CC1526">
      <w:pPr>
        <w:spacing w:before="60"/>
        <w:ind w:left="907" w:right="907"/>
        <w:jc w:val="both"/>
        <w:rPr>
          <w:rFonts w:ascii="Arial" w:hAnsi="Arial" w:cs="Arial"/>
          <w:color w:val="000000"/>
          <w:sz w:val="18"/>
          <w:szCs w:val="22"/>
        </w:rPr>
      </w:pPr>
      <w:r>
        <w:rPr>
          <w:rFonts w:ascii="Arial" w:hAnsi="Arial" w:cs="Arial"/>
          <w:color w:val="000000"/>
          <w:sz w:val="18"/>
          <w:szCs w:val="22"/>
        </w:rPr>
        <w:t>‘</w:t>
      </w:r>
      <w:r w:rsidR="00CC1526" w:rsidRPr="00CC1526">
        <w:rPr>
          <w:rFonts w:ascii="Arial" w:hAnsi="Arial" w:cs="Arial"/>
          <w:color w:val="000000"/>
          <w:sz w:val="18"/>
          <w:szCs w:val="22"/>
        </w:rPr>
        <w:t>Procedural directions, whether made, as in the present case, as part of case management, or made in applicable Practice Notes or rules of court, such as, for example, prescribing page limits for written submissions on appeal or the preparation of a chronology, are not optional and must be strictly adhered to. If a party seeks to depart from such directions, leave may be sought timeously and will be considered on the merits of the application</w:t>
      </w:r>
      <w:r>
        <w:rPr>
          <w:rFonts w:ascii="Arial" w:hAnsi="Arial" w:cs="Arial"/>
          <w:color w:val="000000"/>
          <w:sz w:val="18"/>
          <w:szCs w:val="22"/>
        </w:rPr>
        <w:t>. Otherwise, the Court expects compliance with its directions, procedural rules and the requirements of its Practice Notes. So much is necessary for the efficient and expeditious disposition of litigation in this Court. Compliance with procedural directions, court rules and Practice Notes is not only part of a practitioner’s professional obligations but also his or her statutory duty…’”</w:t>
      </w:r>
    </w:p>
    <w:p w14:paraId="5B60FF1F" w14:textId="7063B893" w:rsidR="00417C18" w:rsidRPr="00417C18" w:rsidRDefault="008E4695" w:rsidP="008E4695">
      <w:pPr>
        <w:spacing w:before="60"/>
        <w:jc w:val="both"/>
        <w:rPr>
          <w:rFonts w:ascii="Helvetica" w:hAnsi="Helvetica"/>
          <w:color w:val="000000"/>
          <w:sz w:val="20"/>
        </w:rPr>
      </w:pPr>
      <w:r>
        <w:rPr>
          <w:rFonts w:ascii="Helvetica" w:hAnsi="Helvetica"/>
          <w:color w:val="000000"/>
          <w:sz w:val="20"/>
        </w:rPr>
        <w:t xml:space="preserve">Bennett J </w:t>
      </w:r>
      <w:r w:rsidR="005959AC">
        <w:rPr>
          <w:rFonts w:ascii="Helvetica" w:hAnsi="Helvetica"/>
          <w:color w:val="000000"/>
          <w:sz w:val="20"/>
        </w:rPr>
        <w:t>quoted</w:t>
      </w:r>
      <w:r>
        <w:rPr>
          <w:rFonts w:ascii="Helvetica" w:hAnsi="Helvetica"/>
          <w:color w:val="000000"/>
          <w:sz w:val="20"/>
        </w:rPr>
        <w:t xml:space="preserve"> the above dicta in the context of h</w:t>
      </w:r>
      <w:r w:rsidR="00411C48">
        <w:rPr>
          <w:rFonts w:ascii="Helvetica" w:hAnsi="Helvetica"/>
          <w:color w:val="000000"/>
          <w:sz w:val="20"/>
        </w:rPr>
        <w:t>er</w:t>
      </w:r>
      <w:r>
        <w:rPr>
          <w:rFonts w:ascii="Helvetica" w:hAnsi="Helvetica"/>
          <w:color w:val="000000"/>
          <w:sz w:val="20"/>
        </w:rPr>
        <w:t xml:space="preserve"> </w:t>
      </w:r>
      <w:r w:rsidR="00D61402">
        <w:rPr>
          <w:rFonts w:ascii="Helvetica" w:hAnsi="Helvetica"/>
          <w:color w:val="000000"/>
          <w:sz w:val="20"/>
        </w:rPr>
        <w:t xml:space="preserve">strong </w:t>
      </w:r>
      <w:r>
        <w:rPr>
          <w:rFonts w:ascii="Helvetica" w:hAnsi="Helvetica"/>
          <w:color w:val="000000"/>
          <w:sz w:val="20"/>
        </w:rPr>
        <w:t xml:space="preserve">criticism at [18] of the state of the </w:t>
      </w:r>
      <w:r w:rsidR="0013609F">
        <w:rPr>
          <w:rFonts w:ascii="Helvetica" w:hAnsi="Helvetica"/>
          <w:color w:val="000000"/>
          <w:sz w:val="20"/>
        </w:rPr>
        <w:t>Court</w:t>
      </w:r>
      <w:r>
        <w:rPr>
          <w:rFonts w:ascii="Helvetica" w:hAnsi="Helvetica"/>
          <w:color w:val="000000"/>
          <w:sz w:val="20"/>
        </w:rPr>
        <w:t xml:space="preserve"> Book </w:t>
      </w:r>
      <w:r w:rsidR="00DE23FA">
        <w:rPr>
          <w:rFonts w:ascii="Helvetica" w:hAnsi="Helvetica"/>
          <w:color w:val="000000"/>
          <w:sz w:val="20"/>
        </w:rPr>
        <w:t xml:space="preserve">compiled by the parties </w:t>
      </w:r>
      <w:r>
        <w:rPr>
          <w:rFonts w:ascii="Helvetica" w:hAnsi="Helvetica"/>
          <w:color w:val="000000"/>
          <w:sz w:val="20"/>
        </w:rPr>
        <w:t xml:space="preserve">and </w:t>
      </w:r>
      <w:r w:rsidR="009A0EBD">
        <w:rPr>
          <w:rFonts w:ascii="Helvetica" w:hAnsi="Helvetica"/>
          <w:color w:val="000000"/>
          <w:sz w:val="20"/>
        </w:rPr>
        <w:t xml:space="preserve">her </w:t>
      </w:r>
      <w:r w:rsidR="00D61402">
        <w:rPr>
          <w:rFonts w:ascii="Helvetica" w:hAnsi="Helvetica"/>
          <w:color w:val="000000"/>
          <w:sz w:val="20"/>
        </w:rPr>
        <w:t>comments</w:t>
      </w:r>
      <w:r>
        <w:rPr>
          <w:rFonts w:ascii="Helvetica" w:hAnsi="Helvetica"/>
          <w:color w:val="000000"/>
          <w:sz w:val="20"/>
        </w:rPr>
        <w:t xml:space="preserve"> at [19] about the </w:t>
      </w:r>
      <w:r w:rsidR="0009786B">
        <w:rPr>
          <w:rFonts w:ascii="Helvetica" w:hAnsi="Helvetica"/>
          <w:color w:val="000000"/>
          <w:sz w:val="20"/>
        </w:rPr>
        <w:t>importance</w:t>
      </w:r>
      <w:r>
        <w:rPr>
          <w:rFonts w:ascii="Helvetica" w:hAnsi="Helvetica"/>
          <w:color w:val="000000"/>
          <w:sz w:val="20"/>
        </w:rPr>
        <w:t xml:space="preserve"> of a </w:t>
      </w:r>
      <w:r w:rsidRPr="00417C18">
        <w:rPr>
          <w:rFonts w:ascii="Helvetica" w:hAnsi="Helvetica"/>
          <w:color w:val="000000"/>
          <w:sz w:val="20"/>
        </w:rPr>
        <w:t>well-prepared and timeously delivered Court Book</w:t>
      </w:r>
      <w:r w:rsidR="00145368">
        <w:rPr>
          <w:rFonts w:ascii="Helvetica" w:hAnsi="Helvetica"/>
          <w:color w:val="000000"/>
          <w:sz w:val="20"/>
        </w:rPr>
        <w:t xml:space="preserve"> for efficient </w:t>
      </w:r>
      <w:r w:rsidR="00DE23FA">
        <w:rPr>
          <w:rFonts w:ascii="Helvetica" w:hAnsi="Helvetica"/>
          <w:color w:val="000000"/>
          <w:sz w:val="20"/>
        </w:rPr>
        <w:t>use of court resources</w:t>
      </w:r>
      <w:r w:rsidR="00145368">
        <w:rPr>
          <w:rFonts w:ascii="Helvetica" w:hAnsi="Helvetica"/>
          <w:color w:val="000000"/>
          <w:sz w:val="20"/>
        </w:rPr>
        <w:t>:</w:t>
      </w:r>
    </w:p>
    <w:p w14:paraId="02FA6D83" w14:textId="049EF5F5" w:rsidR="00417C18" w:rsidRPr="0013609F" w:rsidRDefault="0013609F" w:rsidP="00EA7A65">
      <w:pPr>
        <w:keepNext/>
        <w:keepLines/>
        <w:spacing w:before="60"/>
        <w:ind w:left="454" w:right="454"/>
        <w:jc w:val="both"/>
        <w:rPr>
          <w:rFonts w:ascii="Arial" w:hAnsi="Arial" w:cs="Arial"/>
          <w:sz w:val="20"/>
        </w:rPr>
      </w:pPr>
      <w:r>
        <w:rPr>
          <w:rFonts w:ascii="Arial" w:hAnsi="Arial" w:cs="Arial"/>
          <w:sz w:val="20"/>
        </w:rPr>
        <w:lastRenderedPageBreak/>
        <w:t xml:space="preserve">[19] </w:t>
      </w:r>
      <w:r w:rsidR="00411C48">
        <w:rPr>
          <w:rFonts w:ascii="Arial" w:hAnsi="Arial" w:cs="Arial"/>
          <w:sz w:val="20"/>
        </w:rPr>
        <w:t>“</w:t>
      </w:r>
      <w:r w:rsidR="00417C18" w:rsidRPr="00417C18">
        <w:rPr>
          <w:rFonts w:ascii="Helvetica" w:hAnsi="Helvetica"/>
          <w:color w:val="000000"/>
          <w:sz w:val="20"/>
        </w:rPr>
        <w:t xml:space="preserve">A well-prepared and timeously delivered Court Book is essential to the efficient conduct of a trial and the efficient use of public resources more generally. The timely delivery of Court Books prepared in accordance with procedural orders prevents time being wastefully spent by a judge’s staff on either following up parties as to where the Court Book is or asking parties to fix issues with the Court Book. If a Court Book is physically hard to navigate, because of inaccurate hole punching or a lack of page numbers, that is inevitably going to slow down a hearing as counsel, witnesses and a trial judge all need to labour more than they should need to in order to find documents. Additionally, where a judge has time available before a hearing, having a well-prepared Court Book before them prior to the hearing, to be read alongside an outline of submissions (which is also hopefully delivered on time and with references to appropriate parts of the Court Book), gives them the opportunity to assimilate at least some of the material they will need to consider, and go into a hearing with some understanding of what needs to be decided. Such preparation, facilitated by compliance with the timetable set by the Court, enables a judge to hear and decide a matter more efficiently, as it means a judge can spend less effort during a hearing </w:t>
      </w:r>
      <w:r>
        <w:rPr>
          <w:rFonts w:ascii="Helvetica" w:hAnsi="Helvetica"/>
          <w:color w:val="000000"/>
          <w:sz w:val="20"/>
        </w:rPr>
        <w:t>‘</w:t>
      </w:r>
      <w:r w:rsidR="00417C18" w:rsidRPr="00417C18">
        <w:rPr>
          <w:rFonts w:ascii="Helvetica" w:hAnsi="Helvetica"/>
          <w:color w:val="000000"/>
          <w:sz w:val="20"/>
        </w:rPr>
        <w:t>getting up to speed</w:t>
      </w:r>
      <w:r>
        <w:rPr>
          <w:rFonts w:ascii="Helvetica" w:hAnsi="Helvetica"/>
          <w:color w:val="000000"/>
          <w:sz w:val="20"/>
        </w:rPr>
        <w:t>’</w:t>
      </w:r>
      <w:r w:rsidR="00417C18" w:rsidRPr="00417C18">
        <w:rPr>
          <w:rFonts w:ascii="Helvetica" w:hAnsi="Helvetica"/>
          <w:color w:val="000000"/>
          <w:sz w:val="20"/>
        </w:rPr>
        <w:t xml:space="preserve"> and more effort engaging with and understanding the evidence and submissions.</w:t>
      </w:r>
      <w:r>
        <w:rPr>
          <w:rFonts w:ascii="Helvetica" w:hAnsi="Helvetica"/>
          <w:color w:val="000000"/>
          <w:sz w:val="20"/>
        </w:rPr>
        <w:t>”</w:t>
      </w:r>
    </w:p>
    <w:p w14:paraId="538781A0" w14:textId="77777777" w:rsidR="00417C18" w:rsidRPr="009A0EBD" w:rsidRDefault="00417C18" w:rsidP="0000798B">
      <w:pPr>
        <w:jc w:val="both"/>
        <w:rPr>
          <w:rFonts w:ascii="Arial" w:hAnsi="Arial" w:cs="Arial"/>
          <w:color w:val="000000"/>
          <w:sz w:val="20"/>
        </w:rPr>
      </w:pPr>
    </w:p>
    <w:p w14:paraId="707CE08D" w14:textId="7FB6BB25" w:rsidR="00CB71A0" w:rsidRPr="005959AC" w:rsidRDefault="00661693" w:rsidP="0000798B">
      <w:pPr>
        <w:jc w:val="both"/>
        <w:rPr>
          <w:rFonts w:ascii="Arial" w:hAnsi="Arial" w:cs="Arial"/>
          <w:color w:val="000000"/>
          <w:sz w:val="20"/>
        </w:rPr>
      </w:pPr>
      <w:r w:rsidRPr="005959AC">
        <w:rPr>
          <w:rFonts w:ascii="Arial" w:hAnsi="Arial" w:cs="Arial"/>
          <w:color w:val="000000"/>
          <w:sz w:val="20"/>
        </w:rPr>
        <w:t xml:space="preserve">See also the cases on the misuse of artificial intelligence (IA) in the preparation of court documents which are discussed in </w:t>
      </w:r>
      <w:r w:rsidRPr="005959AC">
        <w:rPr>
          <w:rFonts w:ascii="Arial" w:hAnsi="Arial" w:cs="Arial"/>
          <w:b/>
          <w:bCs/>
          <w:color w:val="000000"/>
          <w:sz w:val="20"/>
          <w:shd w:val="clear" w:color="auto" w:fill="C5E0B3" w:themeFill="accent6" w:themeFillTint="66"/>
        </w:rPr>
        <w:t>Part 3.15</w:t>
      </w:r>
      <w:r w:rsidRPr="005959AC">
        <w:rPr>
          <w:rFonts w:ascii="Arial" w:hAnsi="Arial" w:cs="Arial"/>
          <w:color w:val="000000"/>
          <w:sz w:val="20"/>
        </w:rPr>
        <w:t>.</w:t>
      </w:r>
    </w:p>
    <w:p w14:paraId="27B8C83F" w14:textId="77777777" w:rsidR="00CB71A0" w:rsidRDefault="00CB71A0" w:rsidP="0000798B">
      <w:pPr>
        <w:jc w:val="both"/>
        <w:rPr>
          <w:rFonts w:ascii="Arial" w:hAnsi="Arial" w:cs="Arial"/>
          <w:color w:val="000000"/>
          <w:sz w:val="20"/>
        </w:rPr>
      </w:pPr>
    </w:p>
    <w:p w14:paraId="5A2024ED" w14:textId="684DAD3E" w:rsidR="003240AB" w:rsidRDefault="003240AB" w:rsidP="0000798B">
      <w:pPr>
        <w:jc w:val="both"/>
        <w:rPr>
          <w:rFonts w:ascii="Arial" w:hAnsi="Arial" w:cs="Arial"/>
          <w:color w:val="000000"/>
          <w:sz w:val="20"/>
        </w:rPr>
      </w:pPr>
      <w:r>
        <w:rPr>
          <w:rFonts w:ascii="Arial" w:hAnsi="Arial" w:cs="Arial"/>
          <w:color w:val="000000"/>
          <w:sz w:val="20"/>
        </w:rPr>
        <w:t xml:space="preserve">The case of </w:t>
      </w:r>
      <w:r w:rsidRPr="003240AB">
        <w:rPr>
          <w:rFonts w:ascii="Arial" w:hAnsi="Arial" w:cs="Arial"/>
          <w:i/>
          <w:iCs/>
          <w:color w:val="000000"/>
          <w:sz w:val="20"/>
        </w:rPr>
        <w:t>D’Aloia v The King</w:t>
      </w:r>
      <w:r w:rsidRPr="003240AB">
        <w:rPr>
          <w:rFonts w:ascii="Arial" w:hAnsi="Arial" w:cs="Arial"/>
          <w:color w:val="000000"/>
          <w:sz w:val="20"/>
        </w:rPr>
        <w:t xml:space="preserve"> [2026] VSC 424 </w:t>
      </w:r>
      <w:r>
        <w:rPr>
          <w:rFonts w:ascii="Arial" w:hAnsi="Arial" w:cs="Arial"/>
          <w:color w:val="000000"/>
          <w:sz w:val="20"/>
        </w:rPr>
        <w:t>involved a r</w:t>
      </w:r>
      <w:r w:rsidRPr="003240AB">
        <w:rPr>
          <w:rFonts w:ascii="Arial" w:hAnsi="Arial" w:cs="Arial"/>
          <w:color w:val="000000"/>
          <w:sz w:val="20"/>
        </w:rPr>
        <w:t xml:space="preserve">eferral pursuant to s 319A of the </w:t>
      </w:r>
      <w:r w:rsidRPr="003240AB">
        <w:rPr>
          <w:rFonts w:ascii="Arial" w:hAnsi="Arial" w:cs="Arial"/>
          <w:i/>
          <w:iCs/>
          <w:color w:val="000000"/>
          <w:sz w:val="20"/>
        </w:rPr>
        <w:t>Criminal Procedure Act 2009</w:t>
      </w:r>
      <w:r w:rsidRPr="003240AB">
        <w:rPr>
          <w:rFonts w:ascii="Arial" w:hAnsi="Arial" w:cs="Arial"/>
          <w:color w:val="000000"/>
          <w:sz w:val="20"/>
        </w:rPr>
        <w:t xml:space="preserve"> </w:t>
      </w:r>
      <w:r>
        <w:rPr>
          <w:rFonts w:ascii="Arial" w:hAnsi="Arial" w:cs="Arial"/>
          <w:color w:val="000000"/>
          <w:sz w:val="20"/>
        </w:rPr>
        <w:t>for a</w:t>
      </w:r>
      <w:r w:rsidRPr="003240AB">
        <w:rPr>
          <w:rFonts w:ascii="Arial" w:hAnsi="Arial" w:cs="Arial"/>
          <w:color w:val="000000"/>
          <w:sz w:val="20"/>
        </w:rPr>
        <w:t>nswers to questions</w:t>
      </w:r>
      <w:r w:rsidR="00AF5EBD">
        <w:rPr>
          <w:rFonts w:ascii="Arial" w:hAnsi="Arial" w:cs="Arial"/>
          <w:color w:val="000000"/>
          <w:sz w:val="20"/>
        </w:rPr>
        <w:t xml:space="preserve"> which related</w:t>
      </w:r>
      <w:r w:rsidR="0004539B">
        <w:rPr>
          <w:rFonts w:ascii="Arial" w:hAnsi="Arial" w:cs="Arial"/>
          <w:color w:val="000000"/>
          <w:sz w:val="20"/>
        </w:rPr>
        <w:t xml:space="preserve">, </w:t>
      </w:r>
      <w:r w:rsidR="0004539B" w:rsidRPr="0004539B">
        <w:rPr>
          <w:rFonts w:ascii="Arial" w:hAnsi="Arial" w:cs="Arial"/>
          <w:i/>
          <w:iCs/>
          <w:color w:val="000000"/>
          <w:sz w:val="20"/>
        </w:rPr>
        <w:t>inter alia</w:t>
      </w:r>
      <w:r w:rsidR="00AF5EBD">
        <w:rPr>
          <w:rFonts w:ascii="Arial" w:hAnsi="Arial" w:cs="Arial"/>
          <w:i/>
          <w:iCs/>
          <w:color w:val="000000"/>
          <w:sz w:val="20"/>
        </w:rPr>
        <w:t xml:space="preserve">, </w:t>
      </w:r>
      <w:r w:rsidRPr="003240AB">
        <w:rPr>
          <w:rFonts w:ascii="Arial" w:hAnsi="Arial" w:cs="Arial"/>
          <w:color w:val="000000"/>
          <w:sz w:val="20"/>
        </w:rPr>
        <w:t xml:space="preserve">to the conduct of </w:t>
      </w:r>
      <w:r>
        <w:rPr>
          <w:rFonts w:ascii="Arial" w:hAnsi="Arial" w:cs="Arial"/>
          <w:color w:val="000000"/>
          <w:sz w:val="20"/>
        </w:rPr>
        <w:t>the applicant’s former counsel</w:t>
      </w:r>
      <w:r w:rsidR="0004539B">
        <w:rPr>
          <w:rFonts w:ascii="Arial" w:hAnsi="Arial" w:cs="Arial"/>
          <w:color w:val="000000"/>
          <w:sz w:val="20"/>
        </w:rPr>
        <w:t xml:space="preserve"> who</w:t>
      </w:r>
      <w:r>
        <w:rPr>
          <w:rFonts w:ascii="Arial" w:hAnsi="Arial" w:cs="Arial"/>
          <w:color w:val="000000"/>
          <w:sz w:val="20"/>
        </w:rPr>
        <w:t xml:space="preserve"> was a police informer and also had a personal and professional relationship with the informant in criminal proceedings in which the applicant </w:t>
      </w:r>
      <w:r w:rsidR="00C71725">
        <w:rPr>
          <w:rFonts w:ascii="Arial" w:hAnsi="Arial" w:cs="Arial"/>
          <w:color w:val="000000"/>
          <w:sz w:val="20"/>
        </w:rPr>
        <w:t>was the accused. In the course of his extensive judgment Osborn JA detailed at [23</w:t>
      </w:r>
      <w:r w:rsidR="0004539B">
        <w:rPr>
          <w:rFonts w:ascii="Arial" w:hAnsi="Arial" w:cs="Arial"/>
          <w:color w:val="000000"/>
          <w:sz w:val="20"/>
        </w:rPr>
        <w:t>2</w:t>
      </w:r>
      <w:r w:rsidR="00C71725">
        <w:rPr>
          <w:rFonts w:ascii="Arial" w:hAnsi="Arial" w:cs="Arial"/>
          <w:color w:val="000000"/>
          <w:sz w:val="20"/>
        </w:rPr>
        <w:t>]-[2</w:t>
      </w:r>
      <w:r w:rsidR="009467C1">
        <w:rPr>
          <w:rFonts w:ascii="Arial" w:hAnsi="Arial" w:cs="Arial"/>
          <w:color w:val="000000"/>
          <w:sz w:val="20"/>
        </w:rPr>
        <w:t>39</w:t>
      </w:r>
      <w:r w:rsidR="00C71725">
        <w:rPr>
          <w:rFonts w:ascii="Arial" w:hAnsi="Arial" w:cs="Arial"/>
          <w:color w:val="000000"/>
          <w:sz w:val="20"/>
        </w:rPr>
        <w:t xml:space="preserve">] </w:t>
      </w:r>
      <w:r w:rsidR="00C71725" w:rsidRPr="00536A8F">
        <w:rPr>
          <w:rFonts w:ascii="Arial" w:hAnsi="Arial" w:cs="Arial"/>
          <w:b/>
          <w:bCs/>
          <w:color w:val="000000"/>
          <w:sz w:val="20"/>
        </w:rPr>
        <w:t>the general principles governing the duty owed by a legal representative to his or her client</w:t>
      </w:r>
      <w:r w:rsidR="0004539B">
        <w:rPr>
          <w:rFonts w:ascii="Arial" w:hAnsi="Arial" w:cs="Arial"/>
          <w:color w:val="000000"/>
          <w:sz w:val="20"/>
        </w:rPr>
        <w:t>:</w:t>
      </w:r>
    </w:p>
    <w:p w14:paraId="21CEC33C" w14:textId="744F708F" w:rsidR="0004539B" w:rsidRDefault="0004539B" w:rsidP="0004539B">
      <w:pPr>
        <w:spacing w:before="60"/>
        <w:ind w:left="454" w:right="454"/>
        <w:jc w:val="both"/>
        <w:rPr>
          <w:rFonts w:ascii="Arial" w:hAnsi="Arial" w:cs="Arial"/>
          <w:color w:val="000000"/>
          <w:sz w:val="20"/>
        </w:rPr>
      </w:pPr>
      <w:r>
        <w:rPr>
          <w:rFonts w:ascii="Arial" w:hAnsi="Arial" w:cs="Arial"/>
          <w:sz w:val="20"/>
        </w:rPr>
        <w:t>[232] “</w:t>
      </w:r>
      <w:r w:rsidRPr="0004539B">
        <w:rPr>
          <w:rFonts w:ascii="Arial" w:hAnsi="Arial" w:cs="Arial"/>
          <w:color w:val="000000"/>
          <w:sz w:val="20"/>
        </w:rPr>
        <w:t xml:space="preserve">The general principles governing the duty owed by </w:t>
      </w:r>
      <w:r>
        <w:rPr>
          <w:rFonts w:ascii="Arial" w:hAnsi="Arial" w:cs="Arial"/>
          <w:color w:val="000000"/>
          <w:sz w:val="20"/>
        </w:rPr>
        <w:t>[counsel]</w:t>
      </w:r>
      <w:r w:rsidRPr="0004539B">
        <w:rPr>
          <w:rFonts w:ascii="Arial" w:hAnsi="Arial" w:cs="Arial"/>
          <w:color w:val="000000"/>
          <w:sz w:val="20"/>
        </w:rPr>
        <w:t xml:space="preserve"> to the applicant when acting for him as counsel are uncontroversial.</w:t>
      </w:r>
    </w:p>
    <w:p w14:paraId="09530855" w14:textId="364B2745" w:rsidR="0004539B" w:rsidRDefault="0004539B" w:rsidP="0004539B">
      <w:pPr>
        <w:spacing w:before="60"/>
        <w:ind w:left="454" w:right="454"/>
        <w:jc w:val="both"/>
        <w:rPr>
          <w:rFonts w:ascii="Arial" w:hAnsi="Arial" w:cs="Arial"/>
          <w:color w:val="000000"/>
          <w:sz w:val="20"/>
        </w:rPr>
      </w:pPr>
      <w:r>
        <w:rPr>
          <w:rFonts w:ascii="Arial" w:hAnsi="Arial" w:cs="Arial"/>
          <w:sz w:val="20"/>
        </w:rPr>
        <w:t>[</w:t>
      </w:r>
      <w:r w:rsidRPr="0004539B">
        <w:rPr>
          <w:rFonts w:ascii="Arial" w:hAnsi="Arial" w:cs="Arial"/>
          <w:color w:val="000000"/>
          <w:sz w:val="20"/>
        </w:rPr>
        <w:t>233</w:t>
      </w:r>
      <w:r>
        <w:rPr>
          <w:rFonts w:ascii="Arial" w:hAnsi="Arial" w:cs="Arial"/>
          <w:color w:val="000000"/>
          <w:sz w:val="20"/>
        </w:rPr>
        <w:t>]</w:t>
      </w:r>
      <w:r w:rsidRPr="0004539B">
        <w:rPr>
          <w:rFonts w:ascii="Arial" w:hAnsi="Arial" w:cs="Arial"/>
          <w:color w:val="000000"/>
          <w:sz w:val="20"/>
        </w:rPr>
        <w:t xml:space="preserve"> In the present case, the relevant principles required </w:t>
      </w:r>
      <w:r>
        <w:rPr>
          <w:rFonts w:ascii="Arial" w:hAnsi="Arial" w:cs="Arial"/>
          <w:color w:val="000000"/>
          <w:sz w:val="20"/>
        </w:rPr>
        <w:t>[counsel]</w:t>
      </w:r>
      <w:r w:rsidRPr="0004539B">
        <w:rPr>
          <w:rFonts w:ascii="Arial" w:hAnsi="Arial" w:cs="Arial"/>
          <w:color w:val="000000"/>
          <w:sz w:val="20"/>
        </w:rPr>
        <w:t xml:space="preserve"> to act independently, loyally (in a manner which avoided any conflict of interest) and in a way which maintained client confidentiality. In </w:t>
      </w:r>
      <w:r w:rsidRPr="0004539B">
        <w:rPr>
          <w:rFonts w:ascii="Arial" w:hAnsi="Arial" w:cs="Arial"/>
          <w:i/>
          <w:iCs/>
          <w:color w:val="000000"/>
          <w:sz w:val="20"/>
        </w:rPr>
        <w:t>Mokbel v The King</w:t>
      </w:r>
      <w:r w:rsidRPr="0004539B">
        <w:rPr>
          <w:rFonts w:ascii="Arial" w:hAnsi="Arial" w:cs="Arial"/>
          <w:color w:val="000000"/>
          <w:sz w:val="20"/>
        </w:rPr>
        <w:t xml:space="preserve"> </w:t>
      </w:r>
      <w:r>
        <w:rPr>
          <w:rFonts w:ascii="Arial" w:hAnsi="Arial" w:cs="Arial"/>
          <w:color w:val="000000"/>
          <w:sz w:val="20"/>
        </w:rPr>
        <w:t xml:space="preserve">[2025] VSCA 243, [704]-[706] (emphasis added, citations in original), </w:t>
      </w:r>
      <w:r w:rsidRPr="0004539B">
        <w:rPr>
          <w:rFonts w:ascii="Arial" w:hAnsi="Arial" w:cs="Arial"/>
          <w:color w:val="000000"/>
          <w:sz w:val="20"/>
        </w:rPr>
        <w:t>McLeish, Kennedy and Kaye JJA said:</w:t>
      </w:r>
    </w:p>
    <w:p w14:paraId="51B3C4B2" w14:textId="29DA684D" w:rsidR="003240AB" w:rsidRDefault="0004539B" w:rsidP="0004539B">
      <w:pPr>
        <w:spacing w:before="60"/>
        <w:ind w:left="907" w:right="907"/>
        <w:jc w:val="both"/>
        <w:rPr>
          <w:rFonts w:ascii="Arial" w:hAnsi="Arial" w:cs="Arial"/>
          <w:color w:val="000000"/>
          <w:sz w:val="18"/>
          <w:szCs w:val="22"/>
        </w:rPr>
      </w:pPr>
      <w:r w:rsidRPr="0004539B">
        <w:rPr>
          <w:rFonts w:ascii="Arial" w:hAnsi="Arial" w:cs="Arial"/>
          <w:color w:val="000000"/>
          <w:sz w:val="18"/>
          <w:szCs w:val="22"/>
        </w:rPr>
        <w:t>As counsel acting for the applicant, and for other relevant clients</w:t>
      </w:r>
      <w:r w:rsidR="00BF1A45">
        <w:rPr>
          <w:rFonts w:ascii="Arial" w:hAnsi="Arial" w:cs="Arial"/>
          <w:color w:val="000000"/>
          <w:sz w:val="18"/>
          <w:szCs w:val="22"/>
        </w:rPr>
        <w:t xml:space="preserve"> …</w:t>
      </w:r>
      <w:r w:rsidRPr="0004539B">
        <w:rPr>
          <w:rFonts w:ascii="Arial" w:hAnsi="Arial" w:cs="Arial"/>
          <w:color w:val="000000"/>
          <w:sz w:val="18"/>
          <w:szCs w:val="22"/>
        </w:rPr>
        <w:t xml:space="preserve"> </w:t>
      </w:r>
      <w:r w:rsidRPr="0004539B">
        <w:rPr>
          <w:rFonts w:ascii="Arial" w:hAnsi="Arial" w:cs="Arial"/>
          <w:color w:val="000000"/>
          <w:sz w:val="18"/>
          <w:szCs w:val="22"/>
        </w:rPr>
        <w:t>[counsel]</w:t>
      </w:r>
      <w:r w:rsidRPr="0004539B">
        <w:rPr>
          <w:rFonts w:ascii="Arial" w:hAnsi="Arial" w:cs="Arial"/>
          <w:color w:val="000000"/>
          <w:sz w:val="18"/>
          <w:szCs w:val="22"/>
        </w:rPr>
        <w:t xml:space="preserve"> was subject to important</w:t>
      </w:r>
      <w:r>
        <w:rPr>
          <w:rFonts w:ascii="Arial" w:hAnsi="Arial" w:cs="Arial"/>
          <w:color w:val="000000"/>
          <w:sz w:val="18"/>
          <w:szCs w:val="22"/>
        </w:rPr>
        <w:t xml:space="preserve"> </w:t>
      </w:r>
      <w:r w:rsidRPr="0004539B">
        <w:rPr>
          <w:rFonts w:ascii="Arial" w:hAnsi="Arial" w:cs="Arial"/>
          <w:color w:val="000000"/>
          <w:sz w:val="18"/>
          <w:szCs w:val="22"/>
        </w:rPr>
        <w:t xml:space="preserve">duties, both to the clients and to the system of justice. As de Jersey CJ stated in </w:t>
      </w:r>
      <w:r w:rsidRPr="0004539B">
        <w:rPr>
          <w:rFonts w:ascii="Arial" w:hAnsi="Arial" w:cs="Arial"/>
          <w:i/>
          <w:iCs/>
          <w:color w:val="000000"/>
          <w:sz w:val="18"/>
          <w:szCs w:val="22"/>
        </w:rPr>
        <w:t>R v Szabo</w:t>
      </w:r>
      <w:r>
        <w:rPr>
          <w:rFonts w:ascii="Arial" w:hAnsi="Arial" w:cs="Arial"/>
          <w:color w:val="000000"/>
          <w:sz w:val="18"/>
          <w:szCs w:val="22"/>
        </w:rPr>
        <w:t xml:space="preserve"> [2000] 2 </w:t>
      </w:r>
      <w:proofErr w:type="spellStart"/>
      <w:r>
        <w:rPr>
          <w:rFonts w:ascii="Arial" w:hAnsi="Arial" w:cs="Arial"/>
          <w:color w:val="000000"/>
          <w:sz w:val="18"/>
          <w:szCs w:val="22"/>
        </w:rPr>
        <w:t>Qd</w:t>
      </w:r>
      <w:proofErr w:type="spellEnd"/>
      <w:r>
        <w:rPr>
          <w:rFonts w:ascii="Arial" w:hAnsi="Arial" w:cs="Arial"/>
          <w:color w:val="000000"/>
          <w:sz w:val="18"/>
          <w:szCs w:val="22"/>
        </w:rPr>
        <w:t xml:space="preserve"> R 214, 215 [5]:</w:t>
      </w:r>
    </w:p>
    <w:p w14:paraId="49B41EF9" w14:textId="1FD3C6FF" w:rsidR="0004539B" w:rsidRPr="0004539B" w:rsidRDefault="0004539B" w:rsidP="0004539B">
      <w:pPr>
        <w:spacing w:before="60"/>
        <w:ind w:left="1361" w:right="1361"/>
        <w:jc w:val="both"/>
        <w:rPr>
          <w:rFonts w:ascii="Arial" w:hAnsi="Arial" w:cs="Arial"/>
          <w:sz w:val="18"/>
          <w:szCs w:val="22"/>
        </w:rPr>
      </w:pPr>
      <w:r w:rsidRPr="0004539B">
        <w:rPr>
          <w:rFonts w:ascii="Arial" w:hAnsi="Arial" w:cs="Arial"/>
          <w:color w:val="000000"/>
          <w:sz w:val="18"/>
          <w:szCs w:val="22"/>
        </w:rPr>
        <w:t>Litigants see members of the Bar conducting themselves as officers of the Court, owing a special duty to the Court. Just as the Court expects fearlessly independent presentation by counsel, so the client expects that subject to counsel’s supervening duty to the Court, counsel will with fearless independence promote the client’s cause.</w:t>
      </w:r>
    </w:p>
    <w:p w14:paraId="01162F1A" w14:textId="609A4DB7" w:rsidR="00D73D88" w:rsidRDefault="00D73D88" w:rsidP="00D73D88">
      <w:pPr>
        <w:spacing w:before="60"/>
        <w:ind w:left="907" w:right="907"/>
        <w:jc w:val="both"/>
        <w:rPr>
          <w:rFonts w:ascii="Arial" w:hAnsi="Arial" w:cs="Arial"/>
          <w:color w:val="000000"/>
          <w:sz w:val="18"/>
          <w:szCs w:val="22"/>
        </w:rPr>
      </w:pPr>
      <w:r w:rsidRPr="00D73D88">
        <w:rPr>
          <w:rFonts w:ascii="Arial" w:hAnsi="Arial" w:cs="Arial"/>
          <w:color w:val="000000"/>
          <w:sz w:val="18"/>
          <w:szCs w:val="22"/>
        </w:rPr>
        <w:t xml:space="preserve">Allied to that obligation, and as an aspect of the fiduciary relationship between </w:t>
      </w:r>
      <w:r>
        <w:rPr>
          <w:rFonts w:ascii="Arial" w:hAnsi="Arial" w:cs="Arial"/>
          <w:color w:val="000000"/>
          <w:sz w:val="18"/>
          <w:szCs w:val="22"/>
        </w:rPr>
        <w:t>[counsel]</w:t>
      </w:r>
      <w:r w:rsidRPr="00D73D88">
        <w:rPr>
          <w:rFonts w:ascii="Arial" w:hAnsi="Arial" w:cs="Arial"/>
          <w:color w:val="000000"/>
          <w:sz w:val="18"/>
          <w:szCs w:val="22"/>
        </w:rPr>
        <w:t xml:space="preserve"> and her clients, </w:t>
      </w:r>
      <w:r w:rsidRPr="00D73D88">
        <w:rPr>
          <w:rFonts w:ascii="Arial" w:hAnsi="Arial" w:cs="Arial"/>
          <w:i/>
          <w:iCs/>
          <w:color w:val="000000"/>
          <w:sz w:val="18"/>
          <w:szCs w:val="22"/>
        </w:rPr>
        <w:t xml:space="preserve">was the obligation of loyalty owed by </w:t>
      </w:r>
      <w:r w:rsidRPr="00D73D88">
        <w:rPr>
          <w:rFonts w:ascii="Arial" w:hAnsi="Arial" w:cs="Arial"/>
          <w:i/>
          <w:iCs/>
          <w:color w:val="000000"/>
          <w:sz w:val="18"/>
          <w:szCs w:val="22"/>
        </w:rPr>
        <w:t>[counsel]</w:t>
      </w:r>
      <w:r w:rsidRPr="00D73D88">
        <w:rPr>
          <w:rFonts w:ascii="Arial" w:hAnsi="Arial" w:cs="Arial"/>
          <w:i/>
          <w:iCs/>
          <w:color w:val="000000"/>
          <w:sz w:val="18"/>
          <w:szCs w:val="22"/>
        </w:rPr>
        <w:t xml:space="preserve"> to each of her clients, the central aspect of which required that she avoid any conflict of interest between her role as counsel for the clients and any other role that she then undertook</w:t>
      </w:r>
      <w:r>
        <w:rPr>
          <w:rFonts w:ascii="Arial" w:hAnsi="Arial" w:cs="Arial"/>
          <w:color w:val="000000"/>
          <w:sz w:val="18"/>
          <w:szCs w:val="22"/>
        </w:rPr>
        <w:t xml:space="preserve">: </w:t>
      </w:r>
      <w:r w:rsidRPr="00D73D88">
        <w:rPr>
          <w:rFonts w:ascii="Arial" w:hAnsi="Arial" w:cs="Arial"/>
          <w:color w:val="000000"/>
          <w:sz w:val="18"/>
          <w:szCs w:val="18"/>
        </w:rPr>
        <w:t>s</w:t>
      </w:r>
      <w:r w:rsidRPr="00D73D88">
        <w:rPr>
          <w:rFonts w:ascii="Arial" w:hAnsi="Arial" w:cs="Arial"/>
          <w:color w:val="000000"/>
          <w:sz w:val="18"/>
          <w:szCs w:val="18"/>
        </w:rPr>
        <w:t xml:space="preserve">ee </w:t>
      </w:r>
      <w:r w:rsidRPr="00D73D88">
        <w:rPr>
          <w:rFonts w:ascii="Arial" w:hAnsi="Arial" w:cs="Arial"/>
          <w:i/>
          <w:iCs/>
          <w:color w:val="000000"/>
          <w:sz w:val="18"/>
          <w:szCs w:val="18"/>
        </w:rPr>
        <w:t>Hospital Products Ltd v United States Surgical Corporation</w:t>
      </w:r>
      <w:r w:rsidRPr="00D73D88">
        <w:rPr>
          <w:rFonts w:ascii="Arial" w:hAnsi="Arial" w:cs="Arial"/>
          <w:color w:val="000000"/>
          <w:sz w:val="18"/>
          <w:szCs w:val="18"/>
        </w:rPr>
        <w:t xml:space="preserve"> (1984) 156 CLR 41, 102–3; </w:t>
      </w:r>
      <w:r w:rsidRPr="00D73D88">
        <w:rPr>
          <w:rFonts w:ascii="Arial" w:hAnsi="Arial" w:cs="Arial"/>
          <w:i/>
          <w:iCs/>
          <w:color w:val="000000"/>
          <w:sz w:val="18"/>
          <w:szCs w:val="18"/>
        </w:rPr>
        <w:t xml:space="preserve">Maguire v </w:t>
      </w:r>
      <w:proofErr w:type="spellStart"/>
      <w:r w:rsidRPr="00D73D88">
        <w:rPr>
          <w:rFonts w:ascii="Arial" w:hAnsi="Arial" w:cs="Arial"/>
          <w:i/>
          <w:iCs/>
          <w:color w:val="000000"/>
          <w:sz w:val="18"/>
          <w:szCs w:val="18"/>
        </w:rPr>
        <w:t>Makaronis</w:t>
      </w:r>
      <w:proofErr w:type="spellEnd"/>
      <w:r w:rsidRPr="00D73D88">
        <w:rPr>
          <w:rFonts w:ascii="Arial" w:hAnsi="Arial" w:cs="Arial"/>
          <w:color w:val="000000"/>
          <w:sz w:val="18"/>
          <w:szCs w:val="18"/>
        </w:rPr>
        <w:t xml:space="preserve"> (1997) 188 CLR 449, 465; </w:t>
      </w:r>
      <w:r w:rsidRPr="00D73D88">
        <w:rPr>
          <w:rFonts w:ascii="Arial" w:hAnsi="Arial" w:cs="Arial"/>
          <w:i/>
          <w:iCs/>
          <w:color w:val="000000"/>
          <w:sz w:val="18"/>
          <w:szCs w:val="18"/>
        </w:rPr>
        <w:t>Breen v Williams</w:t>
      </w:r>
      <w:r w:rsidRPr="00D73D88">
        <w:rPr>
          <w:rFonts w:ascii="Arial" w:hAnsi="Arial" w:cs="Arial"/>
          <w:color w:val="000000"/>
          <w:sz w:val="18"/>
          <w:szCs w:val="18"/>
        </w:rPr>
        <w:t xml:space="preserve"> (1996) 186 CLR 71, 93; </w:t>
      </w:r>
      <w:r w:rsidRPr="00D73D88">
        <w:rPr>
          <w:rFonts w:ascii="Arial" w:hAnsi="Arial" w:cs="Arial"/>
          <w:i/>
          <w:iCs/>
          <w:color w:val="000000"/>
          <w:sz w:val="18"/>
          <w:szCs w:val="18"/>
        </w:rPr>
        <w:t>Nangus Pty Ltd v Charles Donovan Pty Ltd</w:t>
      </w:r>
      <w:r w:rsidRPr="00D73D88">
        <w:rPr>
          <w:rFonts w:ascii="Arial" w:hAnsi="Arial" w:cs="Arial"/>
          <w:color w:val="000000"/>
          <w:sz w:val="18"/>
          <w:szCs w:val="18"/>
        </w:rPr>
        <w:t xml:space="preserve"> [1989] VR 184, 185–6; </w:t>
      </w:r>
      <w:r w:rsidRPr="00D73D88">
        <w:rPr>
          <w:rFonts w:ascii="Arial" w:hAnsi="Arial" w:cs="Arial"/>
          <w:i/>
          <w:iCs/>
          <w:color w:val="000000"/>
          <w:sz w:val="18"/>
          <w:szCs w:val="18"/>
        </w:rPr>
        <w:t>Beach Petroleum</w:t>
      </w:r>
      <w:r w:rsidRPr="00D73D88">
        <w:rPr>
          <w:rFonts w:ascii="Arial" w:hAnsi="Arial" w:cs="Arial"/>
          <w:color w:val="000000"/>
          <w:sz w:val="18"/>
          <w:szCs w:val="18"/>
        </w:rPr>
        <w:t xml:space="preserve"> (1999) 48 NSWLR 1, 46–8 [192]–[205]. As</w:t>
      </w:r>
      <w:r>
        <w:rPr>
          <w:rFonts w:ascii="Arial" w:hAnsi="Arial" w:cs="Arial"/>
          <w:color w:val="000000"/>
          <w:sz w:val="18"/>
          <w:szCs w:val="18"/>
        </w:rPr>
        <w:t> </w:t>
      </w:r>
      <w:r w:rsidRPr="00D73D88">
        <w:rPr>
          <w:rFonts w:ascii="Arial" w:hAnsi="Arial" w:cs="Arial"/>
          <w:color w:val="000000"/>
          <w:sz w:val="18"/>
          <w:szCs w:val="18"/>
        </w:rPr>
        <w:t>the reference judge noted, the ‘no conflict’</w:t>
      </w:r>
      <w:r w:rsidRPr="00D73D88">
        <w:rPr>
          <w:rFonts w:ascii="Arial" w:hAnsi="Arial" w:cs="Arial"/>
          <w:color w:val="000000"/>
          <w:sz w:val="18"/>
          <w:szCs w:val="22"/>
        </w:rPr>
        <w:t xml:space="preserve"> rule also found its expression in the Victorian Bar Rules.</w:t>
      </w:r>
    </w:p>
    <w:p w14:paraId="2ABC1759" w14:textId="0F9F2BED" w:rsidR="00D73D88" w:rsidRDefault="00D73D88" w:rsidP="00D73D88">
      <w:pPr>
        <w:spacing w:before="60"/>
        <w:ind w:left="907" w:right="907"/>
        <w:jc w:val="both"/>
        <w:rPr>
          <w:rFonts w:ascii="Arial" w:hAnsi="Arial" w:cs="Arial"/>
          <w:color w:val="000000"/>
          <w:sz w:val="18"/>
          <w:szCs w:val="22"/>
        </w:rPr>
      </w:pPr>
      <w:r w:rsidRPr="00D73D88">
        <w:rPr>
          <w:rFonts w:ascii="Arial" w:hAnsi="Arial" w:cs="Arial"/>
          <w:color w:val="000000"/>
          <w:sz w:val="18"/>
          <w:szCs w:val="22"/>
        </w:rPr>
        <w:t>The duty owed by counsel to a client necessarily involves and includes maintenance of the confidentiality of communications made by the client to counsel. That aspect of the relationship is of utmost importance in enabling clients to have full confidence that communications made by them to their legal representatives will be respected.</w:t>
      </w:r>
    </w:p>
    <w:p w14:paraId="78D3C647" w14:textId="2778BB5C" w:rsidR="00D73D88" w:rsidRDefault="00D73D88" w:rsidP="00D73D88">
      <w:pPr>
        <w:spacing w:before="60"/>
        <w:ind w:left="454" w:right="454"/>
        <w:jc w:val="both"/>
        <w:rPr>
          <w:rFonts w:ascii="Arial" w:hAnsi="Arial" w:cs="Arial"/>
          <w:color w:val="000000"/>
          <w:sz w:val="20"/>
        </w:rPr>
      </w:pPr>
      <w:r>
        <w:rPr>
          <w:rFonts w:ascii="Arial" w:hAnsi="Arial" w:cs="Arial"/>
          <w:color w:val="000000"/>
          <w:sz w:val="20"/>
        </w:rPr>
        <w:t xml:space="preserve">[234] </w:t>
      </w:r>
      <w:r w:rsidRPr="0004539B">
        <w:rPr>
          <w:rFonts w:ascii="Arial" w:hAnsi="Arial" w:cs="Arial"/>
          <w:color w:val="000000"/>
          <w:sz w:val="20"/>
        </w:rPr>
        <w:t>Because of the public interest in the enforcement of these duties, a breach of them may be sufficiently established in circumstances such as those of the present case if the evidence establishes a real and sensible possibility that they were breached.</w:t>
      </w:r>
    </w:p>
    <w:p w14:paraId="4FF7A4D7" w14:textId="774A3EE4" w:rsidR="00D73D88" w:rsidRDefault="00D73D88" w:rsidP="00D73D88">
      <w:pPr>
        <w:spacing w:before="60"/>
        <w:ind w:left="454" w:right="454"/>
        <w:jc w:val="both"/>
        <w:rPr>
          <w:rFonts w:ascii="Arial" w:hAnsi="Arial" w:cs="Arial"/>
          <w:color w:val="000000"/>
          <w:sz w:val="20"/>
        </w:rPr>
      </w:pPr>
      <w:r>
        <w:rPr>
          <w:rFonts w:ascii="Arial" w:hAnsi="Arial" w:cs="Arial"/>
          <w:color w:val="000000"/>
          <w:sz w:val="20"/>
        </w:rPr>
        <w:t xml:space="preserve">[235] </w:t>
      </w:r>
      <w:r w:rsidR="0004539B" w:rsidRPr="0004539B">
        <w:rPr>
          <w:rFonts w:ascii="Arial" w:hAnsi="Arial" w:cs="Arial"/>
          <w:color w:val="000000"/>
          <w:sz w:val="20"/>
        </w:rPr>
        <w:t xml:space="preserve">In </w:t>
      </w:r>
      <w:r w:rsidR="0004539B" w:rsidRPr="00D73D88">
        <w:rPr>
          <w:rFonts w:ascii="Arial" w:hAnsi="Arial" w:cs="Arial"/>
          <w:i/>
          <w:iCs/>
          <w:color w:val="000000"/>
          <w:sz w:val="20"/>
        </w:rPr>
        <w:t>Mokbel v The King</w:t>
      </w:r>
      <w:r>
        <w:rPr>
          <w:rFonts w:ascii="Arial" w:hAnsi="Arial" w:cs="Arial"/>
          <w:i/>
          <w:iCs/>
          <w:color w:val="000000"/>
          <w:sz w:val="20"/>
        </w:rPr>
        <w:t xml:space="preserve"> </w:t>
      </w:r>
      <w:r>
        <w:rPr>
          <w:rFonts w:ascii="Arial" w:hAnsi="Arial" w:cs="Arial"/>
          <w:color w:val="000000"/>
          <w:sz w:val="20"/>
        </w:rPr>
        <w:t>[2025] VSCA 243</w:t>
      </w:r>
      <w:r w:rsidR="0004539B" w:rsidRPr="0004539B">
        <w:rPr>
          <w:rFonts w:ascii="Arial" w:hAnsi="Arial" w:cs="Arial"/>
          <w:color w:val="000000"/>
          <w:sz w:val="20"/>
        </w:rPr>
        <w:t>, the Court of Appeal stated</w:t>
      </w:r>
      <w:r>
        <w:rPr>
          <w:rFonts w:ascii="Arial" w:hAnsi="Arial" w:cs="Arial"/>
          <w:color w:val="000000"/>
          <w:sz w:val="20"/>
        </w:rPr>
        <w:t xml:space="preserve"> at [192]</w:t>
      </w:r>
      <w:r w:rsidR="0004539B" w:rsidRPr="0004539B">
        <w:rPr>
          <w:rFonts w:ascii="Arial" w:hAnsi="Arial" w:cs="Arial"/>
          <w:color w:val="000000"/>
          <w:sz w:val="20"/>
        </w:rPr>
        <w:t>:</w:t>
      </w:r>
    </w:p>
    <w:p w14:paraId="2B307CD9" w14:textId="4F39CBBF" w:rsidR="00D73D88" w:rsidRPr="00D73D88" w:rsidRDefault="00D73D88" w:rsidP="00D73D88">
      <w:pPr>
        <w:spacing w:before="60"/>
        <w:ind w:left="907" w:right="907"/>
        <w:jc w:val="both"/>
        <w:rPr>
          <w:rFonts w:ascii="Arial" w:hAnsi="Arial" w:cs="Arial"/>
          <w:color w:val="000000"/>
          <w:sz w:val="16"/>
          <w:szCs w:val="20"/>
        </w:rPr>
      </w:pPr>
      <w:r w:rsidRPr="00D73D88">
        <w:rPr>
          <w:rFonts w:ascii="Arial" w:hAnsi="Arial" w:cs="Arial"/>
          <w:color w:val="000000"/>
          <w:sz w:val="18"/>
          <w:szCs w:val="22"/>
        </w:rPr>
        <w:t xml:space="preserve">The test for identifying a breach of the ‘no conflict’ rule was set out by Osborn JA in </w:t>
      </w:r>
      <w:r w:rsidRPr="00536A8F">
        <w:rPr>
          <w:rFonts w:ascii="Arial" w:hAnsi="Arial" w:cs="Arial"/>
          <w:i/>
          <w:iCs/>
          <w:color w:val="000000"/>
          <w:sz w:val="18"/>
          <w:szCs w:val="22"/>
        </w:rPr>
        <w:t>Karam v The King</w:t>
      </w:r>
      <w:r>
        <w:rPr>
          <w:rFonts w:ascii="Arial" w:hAnsi="Arial" w:cs="Arial"/>
          <w:color w:val="000000"/>
          <w:sz w:val="18"/>
          <w:szCs w:val="22"/>
        </w:rPr>
        <w:t xml:space="preserve"> [2022] VSC 808</w:t>
      </w:r>
      <w:r w:rsidRPr="00D73D88">
        <w:rPr>
          <w:rFonts w:ascii="Arial" w:hAnsi="Arial" w:cs="Arial"/>
          <w:color w:val="000000"/>
          <w:sz w:val="18"/>
          <w:szCs w:val="22"/>
        </w:rPr>
        <w:t xml:space="preserve"> The reference judge adopted </w:t>
      </w:r>
      <w:r>
        <w:rPr>
          <w:rFonts w:ascii="Arial" w:hAnsi="Arial" w:cs="Arial"/>
          <w:color w:val="000000"/>
          <w:sz w:val="18"/>
          <w:szCs w:val="22"/>
        </w:rPr>
        <w:t xml:space="preserve">at [760] </w:t>
      </w:r>
      <w:r w:rsidRPr="00D73D88">
        <w:rPr>
          <w:rFonts w:ascii="Arial" w:hAnsi="Arial" w:cs="Arial"/>
          <w:color w:val="000000"/>
          <w:sz w:val="18"/>
          <w:szCs w:val="22"/>
        </w:rPr>
        <w:t>the following summary from the respondent’s submissions in the present matter</w:t>
      </w:r>
      <w:r>
        <w:rPr>
          <w:rFonts w:ascii="Arial" w:hAnsi="Arial" w:cs="Arial"/>
          <w:color w:val="000000"/>
          <w:sz w:val="18"/>
          <w:szCs w:val="22"/>
        </w:rPr>
        <w:t>:</w:t>
      </w:r>
    </w:p>
    <w:p w14:paraId="23E9FB84" w14:textId="1863BB8F" w:rsidR="00536A8F" w:rsidRDefault="00D73D88" w:rsidP="00536A8F">
      <w:pPr>
        <w:spacing w:before="60"/>
        <w:ind w:left="1361" w:right="1361"/>
        <w:jc w:val="both"/>
        <w:rPr>
          <w:rFonts w:ascii="Arial" w:hAnsi="Arial" w:cs="Arial"/>
          <w:color w:val="000000"/>
          <w:sz w:val="18"/>
          <w:szCs w:val="22"/>
        </w:rPr>
      </w:pPr>
      <w:r w:rsidRPr="00D73D88">
        <w:rPr>
          <w:rFonts w:ascii="Arial" w:hAnsi="Arial" w:cs="Arial"/>
          <w:sz w:val="18"/>
          <w:szCs w:val="18"/>
        </w:rPr>
        <w:t xml:space="preserve">There will be a ‘conflict’ – ie there </w:t>
      </w:r>
      <w:r w:rsidRPr="00D73D88">
        <w:rPr>
          <w:rFonts w:ascii="Arial" w:hAnsi="Arial" w:cs="Arial"/>
          <w:color w:val="000000"/>
          <w:sz w:val="18"/>
          <w:szCs w:val="18"/>
        </w:rPr>
        <w:t xml:space="preserve">be a breach of the no conflict rule — if there is a ‘real and sensible possibility’ that the personal interests of the fiduciary divide the loyalty of the fiduciary with the result that he or she could not properly </w:t>
      </w:r>
      <w:r w:rsidRPr="00D73D88">
        <w:rPr>
          <w:rFonts w:ascii="Arial" w:hAnsi="Arial" w:cs="Arial"/>
          <w:color w:val="000000"/>
          <w:sz w:val="18"/>
          <w:szCs w:val="18"/>
        </w:rPr>
        <w:lastRenderedPageBreak/>
        <w:t>discharge their duties to the beneficiary</w:t>
      </w:r>
      <w:r w:rsidR="00536A8F">
        <w:rPr>
          <w:rFonts w:ascii="Arial" w:hAnsi="Arial" w:cs="Arial"/>
          <w:color w:val="000000"/>
          <w:sz w:val="18"/>
          <w:szCs w:val="18"/>
        </w:rPr>
        <w:t xml:space="preserve">: </w:t>
      </w:r>
      <w:r w:rsidR="00536A8F" w:rsidRPr="00536A8F">
        <w:rPr>
          <w:rFonts w:ascii="Arial" w:hAnsi="Arial" w:cs="Arial"/>
          <w:i/>
          <w:iCs/>
          <w:color w:val="000000"/>
          <w:sz w:val="18"/>
          <w:szCs w:val="22"/>
        </w:rPr>
        <w:t xml:space="preserve">Maguire v </w:t>
      </w:r>
      <w:proofErr w:type="spellStart"/>
      <w:r w:rsidR="00536A8F" w:rsidRPr="00536A8F">
        <w:rPr>
          <w:rFonts w:ascii="Arial" w:hAnsi="Arial" w:cs="Arial"/>
          <w:i/>
          <w:iCs/>
          <w:color w:val="000000"/>
          <w:sz w:val="18"/>
          <w:szCs w:val="22"/>
        </w:rPr>
        <w:t>Makaronis</w:t>
      </w:r>
      <w:proofErr w:type="spellEnd"/>
      <w:r w:rsidR="00536A8F" w:rsidRPr="00536A8F">
        <w:rPr>
          <w:rFonts w:ascii="Arial" w:hAnsi="Arial" w:cs="Arial"/>
          <w:color w:val="000000"/>
          <w:sz w:val="18"/>
          <w:szCs w:val="22"/>
        </w:rPr>
        <w:t xml:space="preserve"> (1997) 188 CLR 449, 465</w:t>
      </w:r>
      <w:r w:rsidR="00536A8F">
        <w:rPr>
          <w:rFonts w:ascii="Arial" w:hAnsi="Arial" w:cs="Arial"/>
          <w:color w:val="000000"/>
          <w:sz w:val="18"/>
          <w:szCs w:val="22"/>
        </w:rPr>
        <w:t>; s</w:t>
      </w:r>
      <w:r w:rsidR="00536A8F" w:rsidRPr="00536A8F">
        <w:rPr>
          <w:rFonts w:ascii="Arial" w:hAnsi="Arial" w:cs="Arial"/>
          <w:color w:val="000000"/>
          <w:sz w:val="18"/>
          <w:szCs w:val="22"/>
        </w:rPr>
        <w:t xml:space="preserve">ee also </w:t>
      </w:r>
      <w:r w:rsidR="00536A8F" w:rsidRPr="00536A8F">
        <w:rPr>
          <w:rFonts w:ascii="Arial" w:hAnsi="Arial" w:cs="Arial"/>
          <w:i/>
          <w:iCs/>
          <w:color w:val="000000"/>
          <w:sz w:val="18"/>
          <w:szCs w:val="22"/>
        </w:rPr>
        <w:t>Karam reference determination</w:t>
      </w:r>
      <w:r w:rsidR="00536A8F" w:rsidRPr="00536A8F">
        <w:rPr>
          <w:rFonts w:ascii="Arial" w:hAnsi="Arial" w:cs="Arial"/>
          <w:color w:val="000000"/>
          <w:sz w:val="18"/>
          <w:szCs w:val="22"/>
        </w:rPr>
        <w:t xml:space="preserve"> [2022] VSC 808 [455]–[457]; </w:t>
      </w:r>
      <w:r w:rsidR="00536A8F" w:rsidRPr="00536A8F">
        <w:rPr>
          <w:rFonts w:ascii="Arial" w:hAnsi="Arial" w:cs="Arial"/>
          <w:i/>
          <w:iCs/>
          <w:color w:val="000000"/>
          <w:sz w:val="18"/>
          <w:szCs w:val="22"/>
        </w:rPr>
        <w:t>Break Fast Investments Pty Ltd v Rigby Cooke Lawyers (a firm)</w:t>
      </w:r>
      <w:r w:rsidR="00536A8F" w:rsidRPr="00536A8F">
        <w:rPr>
          <w:rFonts w:ascii="Arial" w:hAnsi="Arial" w:cs="Arial"/>
          <w:color w:val="000000"/>
          <w:sz w:val="18"/>
          <w:szCs w:val="22"/>
        </w:rPr>
        <w:t xml:space="preserve"> [2022] VSCA 118 [55]–[56], [71].</w:t>
      </w:r>
    </w:p>
    <w:p w14:paraId="3F098BAE" w14:textId="0D74A996" w:rsidR="00BA4BD7" w:rsidRPr="0004539B" w:rsidRDefault="00BA4BD7" w:rsidP="00536A8F">
      <w:pPr>
        <w:spacing w:before="60"/>
        <w:ind w:left="1361" w:right="1361"/>
        <w:jc w:val="both"/>
        <w:rPr>
          <w:rFonts w:ascii="Arial" w:hAnsi="Arial" w:cs="Arial"/>
          <w:sz w:val="18"/>
          <w:szCs w:val="22"/>
        </w:rPr>
      </w:pPr>
      <w:r w:rsidRPr="00BA4BD7">
        <w:rPr>
          <w:rFonts w:ascii="Arial" w:hAnsi="Arial" w:cs="Arial"/>
          <w:color w:val="000000"/>
          <w:sz w:val="18"/>
          <w:szCs w:val="22"/>
        </w:rPr>
        <w:t>Whether a conflict arises is an objective question</w:t>
      </w:r>
      <w:r w:rsidR="009467C1">
        <w:rPr>
          <w:rFonts w:ascii="Arial" w:hAnsi="Arial" w:cs="Arial"/>
          <w:color w:val="000000"/>
          <w:sz w:val="18"/>
          <w:szCs w:val="22"/>
        </w:rPr>
        <w:t>:</w:t>
      </w:r>
      <w:r>
        <w:rPr>
          <w:rFonts w:ascii="Arial" w:hAnsi="Arial" w:cs="Arial"/>
          <w:color w:val="000000"/>
          <w:sz w:val="18"/>
          <w:szCs w:val="22"/>
        </w:rPr>
        <w:t xml:space="preserve"> </w:t>
      </w:r>
      <w:r w:rsidRPr="009467C1">
        <w:rPr>
          <w:rFonts w:ascii="Arial" w:hAnsi="Arial" w:cs="Arial"/>
          <w:i/>
          <w:iCs/>
          <w:color w:val="000000"/>
          <w:sz w:val="18"/>
          <w:szCs w:val="22"/>
        </w:rPr>
        <w:t>Coope v Litigation Fund Pty Ltd</w:t>
      </w:r>
      <w:r>
        <w:rPr>
          <w:rFonts w:ascii="Arial" w:hAnsi="Arial" w:cs="Arial"/>
          <w:color w:val="000000"/>
          <w:sz w:val="18"/>
          <w:szCs w:val="22"/>
        </w:rPr>
        <w:t xml:space="preserve"> (2016) </w:t>
      </w:r>
      <w:r w:rsidR="009467C1">
        <w:rPr>
          <w:rFonts w:ascii="Arial" w:hAnsi="Arial" w:cs="Arial"/>
          <w:color w:val="000000"/>
          <w:sz w:val="18"/>
          <w:szCs w:val="22"/>
        </w:rPr>
        <w:t>333 ALR 524, 542 [109].</w:t>
      </w:r>
      <w:r w:rsidRPr="00BA4BD7">
        <w:rPr>
          <w:rFonts w:ascii="Arial" w:hAnsi="Arial" w:cs="Arial"/>
          <w:color w:val="000000"/>
          <w:sz w:val="18"/>
          <w:szCs w:val="22"/>
        </w:rPr>
        <w:t xml:space="preserve"> It requires the identification of the ‘conflicting duty or interests’</w:t>
      </w:r>
      <w:r w:rsidR="009467C1">
        <w:rPr>
          <w:rFonts w:ascii="Arial" w:hAnsi="Arial" w:cs="Arial"/>
          <w:color w:val="000000"/>
          <w:sz w:val="18"/>
          <w:szCs w:val="22"/>
        </w:rPr>
        <w:t xml:space="preserve">: </w:t>
      </w:r>
      <w:r w:rsidR="009467C1" w:rsidRPr="009467C1">
        <w:rPr>
          <w:rFonts w:ascii="Arial" w:hAnsi="Arial" w:cs="Arial"/>
          <w:i/>
          <w:iCs/>
          <w:color w:val="000000"/>
          <w:sz w:val="18"/>
          <w:szCs w:val="22"/>
        </w:rPr>
        <w:t xml:space="preserve">Pilmer v Duke Group Ltd (in </w:t>
      </w:r>
      <w:proofErr w:type="spellStart"/>
      <w:r w:rsidR="009467C1" w:rsidRPr="009467C1">
        <w:rPr>
          <w:rFonts w:ascii="Arial" w:hAnsi="Arial" w:cs="Arial"/>
          <w:i/>
          <w:iCs/>
          <w:color w:val="000000"/>
          <w:sz w:val="18"/>
          <w:szCs w:val="22"/>
        </w:rPr>
        <w:t>liq</w:t>
      </w:r>
      <w:proofErr w:type="spellEnd"/>
      <w:r w:rsidR="009467C1" w:rsidRPr="009467C1">
        <w:rPr>
          <w:rFonts w:ascii="Arial" w:hAnsi="Arial" w:cs="Arial"/>
          <w:i/>
          <w:iCs/>
          <w:color w:val="000000"/>
          <w:sz w:val="18"/>
          <w:szCs w:val="22"/>
        </w:rPr>
        <w:t>)</w:t>
      </w:r>
      <w:r w:rsidR="009467C1">
        <w:rPr>
          <w:rFonts w:ascii="Arial" w:hAnsi="Arial" w:cs="Arial"/>
          <w:color w:val="000000"/>
          <w:sz w:val="18"/>
          <w:szCs w:val="22"/>
        </w:rPr>
        <w:t xml:space="preserve"> (2001) 207 CLR 165, 200-1 [83]</w:t>
      </w:r>
      <w:r w:rsidRPr="00BA4BD7">
        <w:rPr>
          <w:rFonts w:ascii="Arial" w:hAnsi="Arial" w:cs="Arial"/>
          <w:color w:val="000000"/>
          <w:sz w:val="18"/>
          <w:szCs w:val="22"/>
        </w:rPr>
        <w:t>. The identification of those duties and interests must be done with specificity</w:t>
      </w:r>
      <w:r w:rsidR="009467C1">
        <w:rPr>
          <w:rFonts w:ascii="Arial" w:hAnsi="Arial" w:cs="Arial"/>
          <w:color w:val="000000"/>
          <w:sz w:val="18"/>
          <w:szCs w:val="22"/>
        </w:rPr>
        <w:t xml:space="preserve">: </w:t>
      </w:r>
      <w:r w:rsidR="009467C1" w:rsidRPr="009467C1">
        <w:rPr>
          <w:rFonts w:ascii="Arial" w:hAnsi="Arial" w:cs="Arial"/>
          <w:i/>
          <w:iCs/>
          <w:color w:val="000000"/>
          <w:sz w:val="18"/>
          <w:szCs w:val="22"/>
        </w:rPr>
        <w:t>Ibid</w:t>
      </w:r>
      <w:r w:rsidRPr="00BA4BD7">
        <w:rPr>
          <w:rFonts w:ascii="Arial" w:hAnsi="Arial" w:cs="Arial"/>
          <w:color w:val="000000"/>
          <w:sz w:val="18"/>
          <w:szCs w:val="22"/>
        </w:rPr>
        <w:t>.</w:t>
      </w:r>
      <w:r w:rsidR="009467C1">
        <w:rPr>
          <w:rFonts w:ascii="Arial" w:hAnsi="Arial" w:cs="Arial"/>
          <w:color w:val="000000"/>
          <w:sz w:val="18"/>
          <w:szCs w:val="22"/>
        </w:rPr>
        <w:t xml:space="preserve"> </w:t>
      </w:r>
      <w:r w:rsidRPr="00BA4BD7">
        <w:rPr>
          <w:rFonts w:ascii="Arial" w:hAnsi="Arial" w:cs="Arial"/>
          <w:color w:val="000000"/>
          <w:sz w:val="18"/>
          <w:szCs w:val="22"/>
        </w:rPr>
        <w:t>Otherwise, no sensible and practical appraisal can be made of whether there is a real and sensibility possibility of conflict</w:t>
      </w:r>
      <w:r w:rsidR="009467C1">
        <w:rPr>
          <w:rFonts w:ascii="Arial" w:hAnsi="Arial" w:cs="Arial"/>
          <w:color w:val="000000"/>
          <w:sz w:val="18"/>
          <w:szCs w:val="22"/>
        </w:rPr>
        <w:t xml:space="preserve">: </w:t>
      </w:r>
      <w:r w:rsidR="009467C1" w:rsidRPr="009467C1">
        <w:rPr>
          <w:rFonts w:ascii="Arial" w:hAnsi="Arial" w:cs="Arial"/>
          <w:i/>
          <w:iCs/>
          <w:color w:val="000000"/>
          <w:sz w:val="18"/>
          <w:szCs w:val="22"/>
        </w:rPr>
        <w:t>Break Fast Investments</w:t>
      </w:r>
      <w:r w:rsidR="009467C1" w:rsidRPr="009467C1">
        <w:rPr>
          <w:rFonts w:ascii="Arial" w:hAnsi="Arial" w:cs="Arial"/>
          <w:i/>
          <w:iCs/>
          <w:color w:val="000000"/>
          <w:sz w:val="18"/>
          <w:szCs w:val="22"/>
        </w:rPr>
        <w:t xml:space="preserve"> </w:t>
      </w:r>
      <w:r w:rsidR="009467C1" w:rsidRPr="009467C1">
        <w:rPr>
          <w:rFonts w:ascii="Arial" w:hAnsi="Arial" w:cs="Arial"/>
          <w:color w:val="000000"/>
          <w:sz w:val="18"/>
          <w:szCs w:val="22"/>
        </w:rPr>
        <w:t>[2022] VSCA 118, [71].</w:t>
      </w:r>
    </w:p>
    <w:p w14:paraId="3BB0428E" w14:textId="2E17665F" w:rsidR="009467C1" w:rsidRDefault="00BA4BD7" w:rsidP="009467C1">
      <w:pPr>
        <w:spacing w:before="60"/>
        <w:ind w:left="454" w:right="454"/>
        <w:jc w:val="both"/>
        <w:rPr>
          <w:rFonts w:ascii="Arial" w:hAnsi="Arial" w:cs="Arial"/>
          <w:color w:val="000000"/>
          <w:sz w:val="20"/>
        </w:rPr>
      </w:pPr>
      <w:r>
        <w:rPr>
          <w:rFonts w:ascii="Arial" w:hAnsi="Arial" w:cs="Arial"/>
          <w:color w:val="000000"/>
          <w:sz w:val="20"/>
        </w:rPr>
        <w:t xml:space="preserve">[236] </w:t>
      </w:r>
      <w:r w:rsidRPr="00BA4BD7">
        <w:rPr>
          <w:rFonts w:ascii="Arial" w:hAnsi="Arial" w:cs="Arial"/>
          <w:color w:val="000000"/>
          <w:sz w:val="20"/>
        </w:rPr>
        <w:t>The respondent accepts this test and relies upon the observations made in this passage concerning that test.</w:t>
      </w:r>
    </w:p>
    <w:p w14:paraId="3C933F59" w14:textId="3BD026B9" w:rsidR="009467C1" w:rsidRDefault="009467C1" w:rsidP="009467C1">
      <w:pPr>
        <w:spacing w:before="60"/>
        <w:ind w:left="454" w:right="454"/>
        <w:jc w:val="both"/>
        <w:rPr>
          <w:rFonts w:ascii="Arial" w:hAnsi="Arial" w:cs="Arial"/>
          <w:color w:val="000000"/>
          <w:sz w:val="20"/>
        </w:rPr>
      </w:pPr>
      <w:r>
        <w:rPr>
          <w:rFonts w:ascii="Arial" w:hAnsi="Arial" w:cs="Arial"/>
          <w:color w:val="000000"/>
          <w:sz w:val="20"/>
        </w:rPr>
        <w:t>[</w:t>
      </w:r>
      <w:r w:rsidR="00BA4BD7" w:rsidRPr="00BA4BD7">
        <w:rPr>
          <w:rFonts w:ascii="Arial" w:hAnsi="Arial" w:cs="Arial"/>
          <w:color w:val="000000"/>
          <w:sz w:val="20"/>
        </w:rPr>
        <w:t>237</w:t>
      </w:r>
      <w:r>
        <w:rPr>
          <w:rFonts w:ascii="Arial" w:hAnsi="Arial" w:cs="Arial"/>
          <w:color w:val="000000"/>
          <w:sz w:val="20"/>
        </w:rPr>
        <w:t>]</w:t>
      </w:r>
      <w:r w:rsidR="00BA4BD7" w:rsidRPr="00BA4BD7">
        <w:rPr>
          <w:rFonts w:ascii="Arial" w:hAnsi="Arial" w:cs="Arial"/>
          <w:color w:val="000000"/>
          <w:sz w:val="20"/>
        </w:rPr>
        <w:t xml:space="preserve"> In </w:t>
      </w:r>
      <w:r w:rsidR="00BA4BD7" w:rsidRPr="009467C1">
        <w:rPr>
          <w:rFonts w:ascii="Arial" w:hAnsi="Arial" w:cs="Arial"/>
          <w:i/>
          <w:iCs/>
          <w:color w:val="000000"/>
          <w:sz w:val="20"/>
        </w:rPr>
        <w:t>Break Fast Investments Pty Ltd v Rigby Cooke Lawyers (a firm)</w:t>
      </w:r>
      <w:r>
        <w:rPr>
          <w:rFonts w:ascii="Arial" w:hAnsi="Arial" w:cs="Arial"/>
          <w:color w:val="000000"/>
          <w:sz w:val="20"/>
        </w:rPr>
        <w:t xml:space="preserve"> [2021] VSC 398</w:t>
      </w:r>
      <w:r w:rsidR="00BA4BD7" w:rsidRPr="00BA4BD7">
        <w:rPr>
          <w:rFonts w:ascii="Arial" w:hAnsi="Arial" w:cs="Arial"/>
          <w:color w:val="000000"/>
          <w:sz w:val="20"/>
        </w:rPr>
        <w:t xml:space="preserve"> in a passage affirmed on appeal by Kyrou, McLeish and Walker JJA</w:t>
      </w:r>
      <w:r>
        <w:rPr>
          <w:rFonts w:ascii="Arial" w:hAnsi="Arial" w:cs="Arial"/>
          <w:color w:val="000000"/>
          <w:sz w:val="20"/>
        </w:rPr>
        <w:t xml:space="preserve"> [2022] VSCA 118 at [55]-[56] &amp; [71] </w:t>
      </w:r>
      <w:r w:rsidR="00BA4BD7" w:rsidRPr="00BA4BD7">
        <w:rPr>
          <w:rFonts w:ascii="Arial" w:hAnsi="Arial" w:cs="Arial"/>
          <w:color w:val="000000"/>
          <w:sz w:val="20"/>
        </w:rPr>
        <w:t>Macaulay J stated</w:t>
      </w:r>
      <w:r>
        <w:rPr>
          <w:rFonts w:ascii="Arial" w:hAnsi="Arial" w:cs="Arial"/>
          <w:color w:val="000000"/>
          <w:sz w:val="20"/>
        </w:rPr>
        <w:t xml:space="preserve"> at [135(c)]</w:t>
      </w:r>
      <w:r w:rsidR="00BA4BD7" w:rsidRPr="00BA4BD7">
        <w:rPr>
          <w:rFonts w:ascii="Arial" w:hAnsi="Arial" w:cs="Arial"/>
          <w:color w:val="000000"/>
          <w:sz w:val="20"/>
        </w:rPr>
        <w:t>:</w:t>
      </w:r>
    </w:p>
    <w:p w14:paraId="0B91F6C6" w14:textId="77777777" w:rsidR="009467C1" w:rsidRPr="009467C1" w:rsidRDefault="00BA4BD7" w:rsidP="009467C1">
      <w:pPr>
        <w:spacing w:before="60"/>
        <w:ind w:left="907" w:right="907"/>
        <w:jc w:val="both"/>
        <w:rPr>
          <w:rFonts w:ascii="Arial" w:hAnsi="Arial" w:cs="Arial"/>
          <w:color w:val="000000"/>
          <w:sz w:val="14"/>
          <w:szCs w:val="18"/>
        </w:rPr>
      </w:pPr>
      <w:r w:rsidRPr="009467C1">
        <w:rPr>
          <w:rFonts w:ascii="Arial" w:hAnsi="Arial" w:cs="Arial"/>
          <w:color w:val="000000"/>
          <w:sz w:val="18"/>
          <w:szCs w:val="22"/>
        </w:rPr>
        <w:t>to find a real and sensible possibility of conflict requires being able to identify, in a practical way, the potential for a real conflict to arise. A merely theoretical or remote possibility of an ill-defined conflict will not suffice;</w:t>
      </w:r>
    </w:p>
    <w:p w14:paraId="3356B986" w14:textId="77777777" w:rsidR="009467C1" w:rsidRDefault="009467C1" w:rsidP="009467C1">
      <w:pPr>
        <w:spacing w:before="60"/>
        <w:ind w:left="454" w:right="454"/>
        <w:jc w:val="both"/>
        <w:rPr>
          <w:rFonts w:ascii="Arial" w:hAnsi="Arial" w:cs="Arial"/>
          <w:color w:val="000000"/>
          <w:sz w:val="20"/>
        </w:rPr>
      </w:pPr>
      <w:r>
        <w:rPr>
          <w:rFonts w:ascii="Arial" w:hAnsi="Arial" w:cs="Arial"/>
          <w:color w:val="000000"/>
          <w:sz w:val="20"/>
        </w:rPr>
        <w:t>[</w:t>
      </w:r>
      <w:r w:rsidR="00BA4BD7" w:rsidRPr="00BA4BD7">
        <w:rPr>
          <w:rFonts w:ascii="Arial" w:hAnsi="Arial" w:cs="Arial"/>
          <w:color w:val="000000"/>
          <w:sz w:val="20"/>
        </w:rPr>
        <w:t>238</w:t>
      </w:r>
      <w:r>
        <w:rPr>
          <w:rFonts w:ascii="Arial" w:hAnsi="Arial" w:cs="Arial"/>
          <w:color w:val="000000"/>
          <w:sz w:val="20"/>
        </w:rPr>
        <w:t>]</w:t>
      </w:r>
      <w:r w:rsidR="00BA4BD7" w:rsidRPr="00BA4BD7">
        <w:rPr>
          <w:rFonts w:ascii="Arial" w:hAnsi="Arial" w:cs="Arial"/>
          <w:color w:val="000000"/>
          <w:sz w:val="20"/>
        </w:rPr>
        <w:t xml:space="preserve"> In this context ‘sensible’ has a meaning akin to ‘appreciable’. The composite test of a ‘real and sensible possibility’ ultimately requires the application of ordinary English words to the facts in issue. </w:t>
      </w:r>
    </w:p>
    <w:p w14:paraId="6F50090C" w14:textId="77777777" w:rsidR="009467C1" w:rsidRDefault="009467C1" w:rsidP="009467C1">
      <w:pPr>
        <w:spacing w:before="60"/>
        <w:ind w:left="454" w:right="454"/>
        <w:jc w:val="both"/>
        <w:rPr>
          <w:rFonts w:ascii="Arial" w:hAnsi="Arial" w:cs="Arial"/>
          <w:color w:val="000000"/>
          <w:sz w:val="20"/>
        </w:rPr>
      </w:pPr>
      <w:r>
        <w:rPr>
          <w:rFonts w:ascii="Arial" w:hAnsi="Arial" w:cs="Arial"/>
          <w:color w:val="000000"/>
          <w:sz w:val="20"/>
        </w:rPr>
        <w:t>[</w:t>
      </w:r>
      <w:r w:rsidR="00BA4BD7" w:rsidRPr="00BA4BD7">
        <w:rPr>
          <w:rFonts w:ascii="Arial" w:hAnsi="Arial" w:cs="Arial"/>
          <w:color w:val="000000"/>
          <w:sz w:val="20"/>
        </w:rPr>
        <w:t>239</w:t>
      </w:r>
      <w:r>
        <w:rPr>
          <w:rFonts w:ascii="Arial" w:hAnsi="Arial" w:cs="Arial"/>
          <w:color w:val="000000"/>
          <w:sz w:val="20"/>
        </w:rPr>
        <w:t>]</w:t>
      </w:r>
      <w:r w:rsidR="00BA4BD7" w:rsidRPr="00BA4BD7">
        <w:rPr>
          <w:rFonts w:ascii="Arial" w:hAnsi="Arial" w:cs="Arial"/>
          <w:color w:val="000000"/>
          <w:sz w:val="20"/>
        </w:rPr>
        <w:t xml:space="preserve"> The relevant test potentially informs the concept of substantial miscarriage of justice which the Court of Appeal will consider and which was expressed in </w:t>
      </w:r>
      <w:r w:rsidR="00BA4BD7" w:rsidRPr="009467C1">
        <w:rPr>
          <w:rFonts w:ascii="Arial" w:hAnsi="Arial" w:cs="Arial"/>
          <w:i/>
          <w:iCs/>
          <w:color w:val="000000"/>
          <w:sz w:val="20"/>
        </w:rPr>
        <w:t>Karam v The King</w:t>
      </w:r>
      <w:r w:rsidR="00BA4BD7" w:rsidRPr="00BA4BD7">
        <w:rPr>
          <w:rFonts w:ascii="Arial" w:hAnsi="Arial" w:cs="Arial"/>
          <w:color w:val="000000"/>
          <w:sz w:val="20"/>
        </w:rPr>
        <w:t xml:space="preserve"> </w:t>
      </w:r>
      <w:r>
        <w:rPr>
          <w:rFonts w:ascii="Arial" w:hAnsi="Arial" w:cs="Arial"/>
          <w:color w:val="000000"/>
          <w:sz w:val="20"/>
        </w:rPr>
        <w:t xml:space="preserve">[2023] VSCA 418, [347] </w:t>
      </w:r>
      <w:r w:rsidR="00BA4BD7" w:rsidRPr="00BA4BD7">
        <w:rPr>
          <w:rFonts w:ascii="Arial" w:hAnsi="Arial" w:cs="Arial"/>
          <w:color w:val="000000"/>
          <w:sz w:val="20"/>
        </w:rPr>
        <w:t>as follows:</w:t>
      </w:r>
    </w:p>
    <w:p w14:paraId="556071D2" w14:textId="2E36DC94" w:rsidR="009467C1" w:rsidRPr="009467C1" w:rsidRDefault="00BA4BD7" w:rsidP="009467C1">
      <w:pPr>
        <w:spacing w:before="60"/>
        <w:ind w:left="907" w:right="907"/>
        <w:jc w:val="both"/>
        <w:rPr>
          <w:rFonts w:ascii="Arial" w:hAnsi="Arial" w:cs="Arial"/>
          <w:color w:val="000000"/>
          <w:sz w:val="12"/>
          <w:szCs w:val="16"/>
        </w:rPr>
      </w:pPr>
      <w:r w:rsidRPr="009467C1">
        <w:rPr>
          <w:rFonts w:ascii="Arial" w:hAnsi="Arial" w:cs="Arial"/>
          <w:color w:val="000000"/>
          <w:sz w:val="18"/>
          <w:szCs w:val="22"/>
        </w:rPr>
        <w:t xml:space="preserve"> … a substantial miscarriage of justice will be established if it is shown that, with knowledge of all relevant circumstances, an ordinary fair-minded citizen in the position of the appellant might entertain a reasonable suspicion that justice might have miscarried on account of the misconduct of the appellant’s legal counsel.</w:t>
      </w:r>
      <w:r w:rsidR="009467C1">
        <w:rPr>
          <w:rFonts w:ascii="Arial" w:hAnsi="Arial" w:cs="Arial"/>
          <w:color w:val="000000"/>
          <w:sz w:val="18"/>
          <w:szCs w:val="22"/>
        </w:rPr>
        <w:t>”</w:t>
      </w:r>
    </w:p>
    <w:p w14:paraId="7E1B2F78" w14:textId="73897F24" w:rsidR="00536A8F" w:rsidRDefault="00AF5EBD" w:rsidP="00AF5EBD">
      <w:pPr>
        <w:spacing w:before="60"/>
        <w:jc w:val="both"/>
        <w:rPr>
          <w:rFonts w:ascii="Arial" w:hAnsi="Arial" w:cs="Arial"/>
          <w:color w:val="000000"/>
          <w:sz w:val="20"/>
        </w:rPr>
      </w:pPr>
      <w:r>
        <w:rPr>
          <w:rFonts w:ascii="Arial" w:hAnsi="Arial" w:cs="Arial"/>
          <w:color w:val="000000"/>
          <w:sz w:val="20"/>
        </w:rPr>
        <w:t>At [242]-[243] Osborn JA continued:</w:t>
      </w:r>
    </w:p>
    <w:p w14:paraId="246B1BB3" w14:textId="4D28E3B8" w:rsidR="00AF5EBD" w:rsidRDefault="00AF5EBD" w:rsidP="00AF5EBD">
      <w:pPr>
        <w:spacing w:before="60"/>
        <w:ind w:left="454" w:right="454"/>
        <w:jc w:val="both"/>
        <w:rPr>
          <w:rFonts w:ascii="Arial" w:hAnsi="Arial" w:cs="Arial"/>
          <w:color w:val="000000"/>
          <w:sz w:val="20"/>
        </w:rPr>
      </w:pPr>
      <w:r>
        <w:rPr>
          <w:rFonts w:ascii="Arial" w:hAnsi="Arial" w:cs="Arial"/>
          <w:color w:val="000000"/>
          <w:sz w:val="20"/>
        </w:rPr>
        <w:t>[242] “</w:t>
      </w:r>
      <w:r w:rsidRPr="00AF5EBD">
        <w:rPr>
          <w:rFonts w:ascii="Arial" w:hAnsi="Arial" w:cs="Arial"/>
          <w:color w:val="000000"/>
          <w:sz w:val="20"/>
        </w:rPr>
        <w:t xml:space="preserve">If the evidence discloses that there was a real and sensible possibility that </w:t>
      </w:r>
      <w:r>
        <w:rPr>
          <w:rFonts w:ascii="Arial" w:hAnsi="Arial" w:cs="Arial"/>
          <w:color w:val="000000"/>
          <w:sz w:val="20"/>
        </w:rPr>
        <w:t>[counsel’s]</w:t>
      </w:r>
      <w:r w:rsidRPr="00AF5EBD">
        <w:rPr>
          <w:rFonts w:ascii="Arial" w:hAnsi="Arial" w:cs="Arial"/>
          <w:color w:val="000000"/>
          <w:sz w:val="20"/>
        </w:rPr>
        <w:t xml:space="preserve"> personal interests divided her loyalties with the result that she could not properly discharge her duties to the applicant, then </w:t>
      </w:r>
      <w:r>
        <w:rPr>
          <w:rFonts w:ascii="Arial" w:hAnsi="Arial" w:cs="Arial"/>
          <w:color w:val="000000"/>
          <w:sz w:val="20"/>
        </w:rPr>
        <w:t>[counsel]</w:t>
      </w:r>
      <w:r w:rsidRPr="00AF5EBD">
        <w:rPr>
          <w:rFonts w:ascii="Arial" w:hAnsi="Arial" w:cs="Arial"/>
          <w:color w:val="000000"/>
          <w:sz w:val="20"/>
        </w:rPr>
        <w:t xml:space="preserve"> was bound to disclose to the applicant the matters forming the basis of that possibility and obtain his informed consent before she could act for him or continue to act for him.</w:t>
      </w:r>
    </w:p>
    <w:p w14:paraId="068826D3" w14:textId="0CC50EB9" w:rsidR="00AF5EBD" w:rsidRDefault="00AF5EBD" w:rsidP="00AF5EBD">
      <w:pPr>
        <w:spacing w:before="60"/>
        <w:ind w:left="454" w:right="454"/>
        <w:jc w:val="both"/>
        <w:rPr>
          <w:rFonts w:ascii="Arial" w:hAnsi="Arial" w:cs="Arial"/>
          <w:color w:val="000000"/>
          <w:sz w:val="20"/>
        </w:rPr>
      </w:pPr>
      <w:r>
        <w:rPr>
          <w:rFonts w:ascii="Arial" w:hAnsi="Arial" w:cs="Arial"/>
          <w:color w:val="000000"/>
          <w:sz w:val="20"/>
        </w:rPr>
        <w:t xml:space="preserve">[243] The obligation to disclose </w:t>
      </w:r>
      <w:r w:rsidRPr="00AF5EBD">
        <w:rPr>
          <w:rFonts w:ascii="Arial" w:hAnsi="Arial" w:cs="Arial"/>
          <w:color w:val="000000"/>
          <w:sz w:val="20"/>
        </w:rPr>
        <w:t xml:space="preserve">derives from the fiduciary nature of the relationship between </w:t>
      </w:r>
      <w:r>
        <w:rPr>
          <w:rFonts w:ascii="Arial" w:hAnsi="Arial" w:cs="Arial"/>
          <w:color w:val="000000"/>
          <w:sz w:val="20"/>
        </w:rPr>
        <w:t>[</w:t>
      </w:r>
      <w:r w:rsidRPr="00AF5EBD">
        <w:rPr>
          <w:rFonts w:ascii="Arial" w:hAnsi="Arial" w:cs="Arial"/>
          <w:color w:val="000000"/>
          <w:sz w:val="20"/>
        </w:rPr>
        <w:t>counsel</w:t>
      </w:r>
      <w:r>
        <w:rPr>
          <w:rFonts w:ascii="Arial" w:hAnsi="Arial" w:cs="Arial"/>
          <w:color w:val="000000"/>
          <w:sz w:val="20"/>
        </w:rPr>
        <w:t>]</w:t>
      </w:r>
      <w:r w:rsidRPr="00AF5EBD">
        <w:rPr>
          <w:rFonts w:ascii="Arial" w:hAnsi="Arial" w:cs="Arial"/>
          <w:color w:val="000000"/>
          <w:sz w:val="20"/>
        </w:rPr>
        <w:t xml:space="preserve"> and the applicant as client. In </w:t>
      </w:r>
      <w:r w:rsidRPr="00AF5EBD">
        <w:rPr>
          <w:rFonts w:ascii="Arial" w:hAnsi="Arial" w:cs="Arial"/>
          <w:i/>
          <w:iCs/>
          <w:color w:val="000000"/>
          <w:sz w:val="20"/>
        </w:rPr>
        <w:t xml:space="preserve">Maguire v </w:t>
      </w:r>
      <w:proofErr w:type="spellStart"/>
      <w:r w:rsidRPr="00AF5EBD">
        <w:rPr>
          <w:rFonts w:ascii="Arial" w:hAnsi="Arial" w:cs="Arial"/>
          <w:i/>
          <w:iCs/>
          <w:color w:val="000000"/>
          <w:sz w:val="20"/>
        </w:rPr>
        <w:t>Makaronis</w:t>
      </w:r>
      <w:proofErr w:type="spellEnd"/>
      <w:r w:rsidRPr="00AF5EBD">
        <w:rPr>
          <w:rFonts w:ascii="Arial" w:hAnsi="Arial" w:cs="Arial"/>
          <w:color w:val="000000"/>
          <w:sz w:val="20"/>
        </w:rPr>
        <w:t xml:space="preserve">, </w:t>
      </w:r>
      <w:r>
        <w:rPr>
          <w:rFonts w:ascii="Arial" w:hAnsi="Arial" w:cs="Arial"/>
          <w:color w:val="000000"/>
          <w:sz w:val="20"/>
        </w:rPr>
        <w:t xml:space="preserve">(1997) 188 CLR 449, 465 </w:t>
      </w:r>
      <w:r w:rsidRPr="00AF5EBD">
        <w:rPr>
          <w:rFonts w:ascii="Arial" w:hAnsi="Arial" w:cs="Arial"/>
          <w:color w:val="000000"/>
          <w:sz w:val="20"/>
        </w:rPr>
        <w:t xml:space="preserve">Brennan CJ, </w:t>
      </w:r>
      <w:proofErr w:type="spellStart"/>
      <w:r w:rsidRPr="00AF5EBD">
        <w:rPr>
          <w:rFonts w:ascii="Arial" w:hAnsi="Arial" w:cs="Arial"/>
          <w:color w:val="000000"/>
          <w:sz w:val="20"/>
        </w:rPr>
        <w:t>Gaudron</w:t>
      </w:r>
      <w:proofErr w:type="spellEnd"/>
      <w:r w:rsidRPr="00AF5EBD">
        <w:rPr>
          <w:rFonts w:ascii="Arial" w:hAnsi="Arial" w:cs="Arial"/>
          <w:color w:val="000000"/>
          <w:sz w:val="20"/>
        </w:rPr>
        <w:t xml:space="preserve">, McHugh and Gummow JJ cited the statement of the Privy Council decision in </w:t>
      </w:r>
      <w:r w:rsidRPr="00AF5EBD">
        <w:rPr>
          <w:rFonts w:ascii="Arial" w:hAnsi="Arial" w:cs="Arial"/>
          <w:i/>
          <w:iCs/>
          <w:color w:val="000000"/>
          <w:sz w:val="20"/>
        </w:rPr>
        <w:t>Clark Boyce v Mouat</w:t>
      </w:r>
      <w:r w:rsidRPr="00AF5EBD">
        <w:rPr>
          <w:rFonts w:ascii="Arial" w:hAnsi="Arial" w:cs="Arial"/>
          <w:color w:val="000000"/>
          <w:sz w:val="20"/>
        </w:rPr>
        <w:t xml:space="preserve"> </w:t>
      </w:r>
      <w:r>
        <w:rPr>
          <w:rFonts w:ascii="Arial" w:hAnsi="Arial" w:cs="Arial"/>
          <w:color w:val="000000"/>
          <w:sz w:val="20"/>
        </w:rPr>
        <w:t xml:space="preserve">[1994] 1 AC 428, 437 </w:t>
      </w:r>
      <w:r w:rsidRPr="00AF5EBD">
        <w:rPr>
          <w:rFonts w:ascii="Arial" w:hAnsi="Arial" w:cs="Arial"/>
          <w:color w:val="000000"/>
          <w:sz w:val="20"/>
        </w:rPr>
        <w:t>where it was held:</w:t>
      </w:r>
    </w:p>
    <w:p w14:paraId="54959009" w14:textId="1560D153" w:rsidR="00AF5EBD" w:rsidRPr="00AF5EBD" w:rsidRDefault="00AF5EBD" w:rsidP="00AF5EBD">
      <w:pPr>
        <w:spacing w:before="60"/>
        <w:ind w:left="907" w:right="907"/>
        <w:jc w:val="both"/>
        <w:rPr>
          <w:rFonts w:ascii="Arial" w:hAnsi="Arial" w:cs="Arial"/>
          <w:color w:val="000000"/>
          <w:sz w:val="10"/>
          <w:szCs w:val="14"/>
        </w:rPr>
      </w:pPr>
      <w:r w:rsidRPr="00AF5EBD">
        <w:rPr>
          <w:rFonts w:ascii="Arial" w:hAnsi="Arial" w:cs="Arial"/>
          <w:color w:val="000000"/>
          <w:sz w:val="18"/>
          <w:szCs w:val="22"/>
        </w:rPr>
        <w:t>The classic case of the [fiduciary] duty arising is where a solicitor acts for a client in a matter in which he has a personal interest. In such a case there is an obligation on the solicitor to disclose his interest and, if he fails so to do, the transaction, however favourable it may be to the client, may be set aside at his instance.</w:t>
      </w:r>
      <w:r>
        <w:rPr>
          <w:rFonts w:ascii="Arial" w:hAnsi="Arial" w:cs="Arial"/>
          <w:color w:val="000000"/>
          <w:sz w:val="18"/>
          <w:szCs w:val="22"/>
        </w:rPr>
        <w:t>”</w:t>
      </w:r>
    </w:p>
    <w:p w14:paraId="49E78A4A" w14:textId="77777777" w:rsidR="00AF5EBD" w:rsidRPr="009A0EBD" w:rsidRDefault="00AF5EBD" w:rsidP="00536A8F">
      <w:pPr>
        <w:jc w:val="both"/>
        <w:rPr>
          <w:rFonts w:ascii="Arial" w:hAnsi="Arial" w:cs="Arial"/>
          <w:color w:val="000000"/>
          <w:sz w:val="20"/>
        </w:rPr>
      </w:pPr>
    </w:p>
    <w:p w14:paraId="22B28954" w14:textId="41761865" w:rsidR="00D73D88" w:rsidRPr="00536A8F" w:rsidRDefault="00536A8F" w:rsidP="00536A8F">
      <w:pPr>
        <w:pStyle w:val="Heading3"/>
        <w:keepNext/>
        <w:keepLines/>
        <w:spacing w:after="100" w:line="240" w:lineRule="auto"/>
        <w:rPr>
          <w:rFonts w:ascii="Arial" w:hAnsi="Arial" w:cs="Arial"/>
          <w:b/>
          <w:bCs/>
          <w:sz w:val="20"/>
        </w:rPr>
      </w:pPr>
      <w:bookmarkStart w:id="471" w:name="_3.4.8_The_‘sovereign"/>
      <w:bookmarkEnd w:id="471"/>
      <w:r w:rsidRPr="00904185">
        <w:rPr>
          <w:rFonts w:ascii="Arial" w:hAnsi="Arial" w:cs="Arial"/>
          <w:b/>
          <w:sz w:val="20"/>
        </w:rPr>
        <w:t>3.4.</w:t>
      </w:r>
      <w:r>
        <w:rPr>
          <w:rFonts w:ascii="Arial" w:hAnsi="Arial" w:cs="Arial"/>
          <w:b/>
          <w:sz w:val="20"/>
        </w:rPr>
        <w:t>8</w:t>
      </w:r>
      <w:r w:rsidRPr="00904185">
        <w:rPr>
          <w:rFonts w:ascii="Arial" w:hAnsi="Arial" w:cs="Arial"/>
          <w:b/>
          <w:sz w:val="20"/>
        </w:rPr>
        <w:tab/>
      </w:r>
      <w:r>
        <w:rPr>
          <w:rFonts w:ascii="Arial" w:hAnsi="Arial" w:cs="Arial"/>
          <w:b/>
          <w:sz w:val="20"/>
        </w:rPr>
        <w:t>Pseudolaw and the ‘sovereign citizen’ movement</w:t>
      </w:r>
    </w:p>
    <w:p w14:paraId="3D91426E" w14:textId="4B3A196B" w:rsidR="0055258B" w:rsidRPr="0055258B" w:rsidRDefault="0055258B" w:rsidP="0055258B">
      <w:pPr>
        <w:jc w:val="both"/>
        <w:rPr>
          <w:rFonts w:ascii="Arial" w:hAnsi="Arial" w:cs="Arial"/>
          <w:b/>
          <w:bCs/>
          <w:sz w:val="20"/>
        </w:rPr>
      </w:pPr>
      <w:bookmarkStart w:id="472" w:name="_Hlk220050297"/>
      <w:r>
        <w:rPr>
          <w:rFonts w:ascii="Arial" w:hAnsi="Arial" w:cs="Arial"/>
          <w:sz w:val="20"/>
        </w:rPr>
        <w:t>“</w:t>
      </w:r>
      <w:r w:rsidRPr="0055258B">
        <w:rPr>
          <w:rFonts w:ascii="Arial" w:hAnsi="Arial" w:cs="Arial"/>
          <w:b/>
          <w:bCs/>
          <w:sz w:val="20"/>
        </w:rPr>
        <w:t>Pseudolaw and sovereign citizens</w:t>
      </w:r>
      <w:r w:rsidRPr="0055258B">
        <w:rPr>
          <w:rFonts w:ascii="Arial" w:hAnsi="Arial" w:cs="Arial"/>
          <w:sz w:val="20"/>
        </w:rPr>
        <w:t>”</w:t>
      </w:r>
      <w:r>
        <w:rPr>
          <w:rFonts w:ascii="Arial" w:hAnsi="Arial" w:cs="Arial"/>
          <w:sz w:val="20"/>
        </w:rPr>
        <w:t xml:space="preserve"> </w:t>
      </w:r>
      <w:r w:rsidR="00BC4B51">
        <w:rPr>
          <w:rFonts w:ascii="Arial" w:hAnsi="Arial" w:cs="Arial"/>
          <w:sz w:val="20"/>
        </w:rPr>
        <w:t xml:space="preserve">was assembled and edited by Harry Hobbs, Stephen Young &amp; Joe McIntyre and published in </w:t>
      </w:r>
      <w:r>
        <w:rPr>
          <w:rFonts w:ascii="Arial" w:hAnsi="Arial" w:cs="Arial"/>
          <w:sz w:val="20"/>
        </w:rPr>
        <w:t>London</w:t>
      </w:r>
      <w:r w:rsidR="00F015A8">
        <w:rPr>
          <w:rFonts w:ascii="Arial" w:hAnsi="Arial" w:cs="Arial"/>
          <w:sz w:val="20"/>
        </w:rPr>
        <w:t xml:space="preserve"> (</w:t>
      </w:r>
      <w:r>
        <w:rPr>
          <w:rFonts w:ascii="Arial" w:hAnsi="Arial" w:cs="Arial"/>
          <w:sz w:val="20"/>
        </w:rPr>
        <w:t>Bloomsbury UK</w:t>
      </w:r>
      <w:r w:rsidR="00F015A8">
        <w:rPr>
          <w:rFonts w:ascii="Arial" w:hAnsi="Arial" w:cs="Arial"/>
          <w:sz w:val="20"/>
        </w:rPr>
        <w:t>)</w:t>
      </w:r>
      <w:r w:rsidR="00BC4B51">
        <w:rPr>
          <w:rFonts w:ascii="Arial" w:hAnsi="Arial" w:cs="Arial"/>
          <w:sz w:val="20"/>
        </w:rPr>
        <w:t xml:space="preserve"> in </w:t>
      </w:r>
      <w:r>
        <w:rPr>
          <w:rFonts w:ascii="Arial" w:hAnsi="Arial" w:cs="Arial"/>
          <w:sz w:val="20"/>
        </w:rPr>
        <w:t>2025</w:t>
      </w:r>
      <w:r w:rsidR="00BC4B51">
        <w:rPr>
          <w:rFonts w:ascii="Arial" w:hAnsi="Arial" w:cs="Arial"/>
          <w:sz w:val="20"/>
        </w:rPr>
        <w:t>.</w:t>
      </w:r>
    </w:p>
    <w:p w14:paraId="2816BA76" w14:textId="5F2B66D6" w:rsidR="0055258B" w:rsidRPr="0055258B" w:rsidRDefault="0055258B" w:rsidP="0055258B">
      <w:pPr>
        <w:spacing w:before="60"/>
        <w:jc w:val="center"/>
        <w:rPr>
          <w:rFonts w:ascii="Arial" w:hAnsi="Arial" w:cs="Arial"/>
          <w:b/>
          <w:bCs/>
          <w:sz w:val="20"/>
        </w:rPr>
      </w:pPr>
      <w:r w:rsidRPr="0055258B">
        <w:rPr>
          <w:rFonts w:ascii="Arial" w:hAnsi="Arial" w:cs="Arial"/>
          <w:b/>
          <w:bCs/>
          <w:sz w:val="20"/>
        </w:rPr>
        <w:t>Abstract</w:t>
      </w:r>
    </w:p>
    <w:p w14:paraId="0AFBFB77" w14:textId="77777777" w:rsidR="0055258B" w:rsidRPr="0055258B" w:rsidRDefault="0055258B" w:rsidP="00BC4B51">
      <w:pPr>
        <w:ind w:left="357" w:right="357"/>
        <w:jc w:val="both"/>
        <w:rPr>
          <w:rFonts w:ascii="Arial" w:hAnsi="Arial" w:cs="Arial"/>
          <w:sz w:val="20"/>
        </w:rPr>
      </w:pPr>
      <w:r w:rsidRPr="0055258B">
        <w:rPr>
          <w:rFonts w:ascii="Arial" w:hAnsi="Arial" w:cs="Arial"/>
          <w:sz w:val="20"/>
        </w:rPr>
        <w:t xml:space="preserve">Can you avoid any law you do not consent to? Can you avoid paying taxes by declaring yourself sovereign? Do courts operate under admiralty or maritime law? No. But welcome to the strange world of pseudolaw. This is the first-ever edited volume solely dedicated to examining pseudolaw and its most prominent adherents, sovereign citizens. Drawing on the expertise of judges, criminologists, legal theorists and political sociologists, this collection offers insights into the global growth and alarming adaptability of pseudolaw. While it might be tempting to laugh at the ridiculousness of pseudolaw, it is a serious matter. People who make these claims rob themselves of meaningful legal opportunities and impose great costs to themselves, the administration of justice, and the community. Pseudolaw is also linked to violent extremism and indicative of growing social insecurity. Part I offers ways to analyse and differentiate pseudolaw from other forms of conspiracy ideation and fringe legal interpretation. Part II examines the rise of sovereign citizens and the global spread of pseudolaw. Part III explores contemporary issues arising from pseudolaw, including the rise of far-right extremism, lay-persons in judicial </w:t>
      </w:r>
      <w:r w:rsidRPr="0055258B">
        <w:rPr>
          <w:rFonts w:ascii="Arial" w:hAnsi="Arial" w:cs="Arial"/>
          <w:sz w:val="20"/>
        </w:rPr>
        <w:lastRenderedPageBreak/>
        <w:t>proceedings, fake claims of indigeneity, and fraudulent get out of jail schemes. It concludes by considering how we can respond to this phenomenon.</w:t>
      </w:r>
    </w:p>
    <w:p w14:paraId="5F221A5B" w14:textId="1F151648" w:rsidR="0055258B" w:rsidRPr="0055258B" w:rsidRDefault="0055258B" w:rsidP="00BC4B51">
      <w:pPr>
        <w:spacing w:before="60"/>
        <w:jc w:val="center"/>
        <w:rPr>
          <w:rFonts w:ascii="Arial" w:hAnsi="Arial" w:cs="Arial"/>
          <w:b/>
          <w:bCs/>
          <w:sz w:val="20"/>
        </w:rPr>
      </w:pPr>
      <w:r>
        <w:rPr>
          <w:rFonts w:ascii="Arial" w:hAnsi="Arial" w:cs="Arial"/>
          <w:b/>
          <w:bCs/>
          <w:sz w:val="20"/>
        </w:rPr>
        <w:t>Contents</w:t>
      </w:r>
    </w:p>
    <w:p w14:paraId="1410E336" w14:textId="59B54542"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 xml:space="preserve">Understanding </w:t>
      </w:r>
      <w:r>
        <w:rPr>
          <w:rFonts w:ascii="Arial" w:hAnsi="Arial" w:cs="Arial"/>
          <w:sz w:val="20"/>
        </w:rPr>
        <w:t>Pseudolaw</w:t>
      </w:r>
    </w:p>
    <w:p w14:paraId="3E4145C7" w14:textId="107F2BAD"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Pseudolaw, folk law and natural law: how to tell the difference</w:t>
      </w:r>
    </w:p>
    <w:p w14:paraId="2130F10A" w14:textId="78109579"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Pseudolaw and legal fictions: vaccine mandate claims during the COVID-19 pandemic and future implications</w:t>
      </w:r>
    </w:p>
    <w:p w14:paraId="3EB438D6" w14:textId="120DE881"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Pseudolaw as utopia and legal smorgasbord</w:t>
      </w:r>
    </w:p>
    <w:p w14:paraId="4008EC50" w14:textId="16EF224D"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Failure to perform: how can theatre and performance studies help us understand conspiracy theories?</w:t>
      </w:r>
    </w:p>
    <w:p w14:paraId="76AAF5E5" w14:textId="75657A7E"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The rise of sovereign citizen pseudolaw in the United States of America</w:t>
      </w:r>
    </w:p>
    <w:p w14:paraId="4E873405" w14:textId="5BCD85B9"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The sun only shines on YouTube: the marginal presence of pseudolaw in Canada</w:t>
      </w:r>
    </w:p>
    <w:p w14:paraId="0BE9D27B" w14:textId="06C6A240" w:rsidR="0055258B"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b/>
          <w:bCs/>
          <w:sz w:val="20"/>
        </w:rPr>
        <w:t>A kind of magic: pseudolaw in Australia</w:t>
      </w:r>
    </w:p>
    <w:p w14:paraId="1413492F" w14:textId="42EB4A4B" w:rsid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b/>
          <w:bCs/>
          <w:sz w:val="20"/>
        </w:rPr>
        <w:t>Asserting sovereignty: an empirical analysis of sovereign citizen litigation in Australian courts</w:t>
      </w:r>
    </w:p>
    <w:p w14:paraId="7D5FE9BD" w14:textId="71C892B2"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'Germanite is a rare mineral': sovereignism in Germany</w:t>
      </w:r>
    </w:p>
    <w:p w14:paraId="31EEB0A5" w14:textId="7EA90C04"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American state nationals: the next iteration of the sovereign citizen movement</w:t>
      </w:r>
    </w:p>
    <w:p w14:paraId="2574C19C" w14:textId="2F3C39B2"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Traffic matters and pseudolaw: the big shakedown</w:t>
      </w:r>
    </w:p>
    <w:p w14:paraId="66175F90" w14:textId="72C6D6D6"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The 'first nation medical board': a case study of pseudolegal parasitisation of legitimate indigenous sovereignty</w:t>
      </w:r>
    </w:p>
    <w:p w14:paraId="3B4155FB" w14:textId="5412EFFC"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Pseudolaw advocates: managing advocates who advance pseudolaw arguments</w:t>
      </w:r>
    </w:p>
    <w:p w14:paraId="274DB232" w14:textId="3EE5933E"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The paradox of pseudolaw and sovereign citizen ideology: vulnerability, malevolence and disengagement</w:t>
      </w:r>
    </w:p>
    <w:p w14:paraId="473CCC5B" w14:textId="0DE151B7"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Responding to pseudolaw</w:t>
      </w:r>
    </w:p>
    <w:p w14:paraId="7D5AD375" w14:textId="77777777" w:rsidR="0055258B" w:rsidRDefault="0055258B" w:rsidP="00C51FEE">
      <w:pPr>
        <w:jc w:val="both"/>
        <w:rPr>
          <w:rFonts w:ascii="Arial" w:hAnsi="Arial" w:cs="Arial"/>
          <w:sz w:val="20"/>
        </w:rPr>
      </w:pPr>
    </w:p>
    <w:p w14:paraId="3F431E3C" w14:textId="5B91A459" w:rsidR="00C51FEE" w:rsidRPr="00C51FEE" w:rsidRDefault="00C51FEE" w:rsidP="00C51FEE">
      <w:pPr>
        <w:jc w:val="both"/>
        <w:rPr>
          <w:rFonts w:ascii="Arial" w:hAnsi="Arial" w:cs="Arial"/>
          <w:sz w:val="20"/>
        </w:rPr>
      </w:pPr>
      <w:r>
        <w:rPr>
          <w:rFonts w:ascii="Arial" w:hAnsi="Arial" w:cs="Arial"/>
          <w:sz w:val="20"/>
        </w:rPr>
        <w:t xml:space="preserve">In </w:t>
      </w:r>
      <w:r w:rsidRPr="00C51FEE">
        <w:rPr>
          <w:rFonts w:ascii="Arial" w:hAnsi="Arial" w:cs="Arial"/>
          <w:i/>
          <w:iCs/>
          <w:sz w:val="20"/>
        </w:rPr>
        <w:t>Commonwealth Bank of Australia v Cahill &amp; Anor</w:t>
      </w:r>
      <w:r>
        <w:rPr>
          <w:rFonts w:ascii="Arial" w:hAnsi="Arial" w:cs="Arial"/>
          <w:sz w:val="20"/>
        </w:rPr>
        <w:t xml:space="preserve"> [2025] VCC 1860 Judge Wise granted summary jurisdiction </w:t>
      </w:r>
      <w:r w:rsidRPr="00C51FEE">
        <w:rPr>
          <w:rFonts w:ascii="Arial" w:hAnsi="Arial" w:cs="Arial"/>
          <w:sz w:val="20"/>
        </w:rPr>
        <w:t>in favour of the plaintiff</w:t>
      </w:r>
      <w:r>
        <w:rPr>
          <w:rFonts w:ascii="Arial" w:hAnsi="Arial" w:cs="Arial"/>
          <w:sz w:val="20"/>
        </w:rPr>
        <w:t xml:space="preserve"> </w:t>
      </w:r>
      <w:r w:rsidR="00CA1462">
        <w:rPr>
          <w:rFonts w:ascii="Arial" w:hAnsi="Arial" w:cs="Arial"/>
          <w:sz w:val="20"/>
        </w:rPr>
        <w:t xml:space="preserve">bank </w:t>
      </w:r>
      <w:r>
        <w:rPr>
          <w:rFonts w:ascii="Arial" w:hAnsi="Arial" w:cs="Arial"/>
          <w:sz w:val="20"/>
        </w:rPr>
        <w:t xml:space="preserve">and ordered that </w:t>
      </w:r>
      <w:r w:rsidR="00CA1462">
        <w:rPr>
          <w:rFonts w:ascii="Arial" w:hAnsi="Arial" w:cs="Arial"/>
          <w:sz w:val="20"/>
        </w:rPr>
        <w:t>it</w:t>
      </w:r>
      <w:r>
        <w:rPr>
          <w:rFonts w:ascii="Arial" w:hAnsi="Arial" w:cs="Arial"/>
          <w:sz w:val="20"/>
        </w:rPr>
        <w:t xml:space="preserve"> recover possession from the self-represented defendants of land at Leopold the subject of a mortgage to the plaintiff to secure a home loan </w:t>
      </w:r>
      <w:r w:rsidR="00CA1462">
        <w:rPr>
          <w:rFonts w:ascii="Arial" w:hAnsi="Arial" w:cs="Arial"/>
          <w:sz w:val="20"/>
        </w:rPr>
        <w:t>which it had granted</w:t>
      </w:r>
      <w:r>
        <w:rPr>
          <w:rFonts w:ascii="Arial" w:hAnsi="Arial" w:cs="Arial"/>
          <w:sz w:val="20"/>
        </w:rPr>
        <w:t xml:space="preserve"> to the defendants. Under the heading </w:t>
      </w:r>
      <w:r w:rsidRPr="00C51FEE">
        <w:rPr>
          <w:rFonts w:ascii="Arial" w:hAnsi="Arial" w:cs="Arial"/>
          <w:b/>
          <w:bCs/>
          <w:i/>
          <w:iCs/>
          <w:sz w:val="20"/>
        </w:rPr>
        <w:t>Sovereign Citizens and pseudo law</w:t>
      </w:r>
      <w:r>
        <w:rPr>
          <w:rFonts w:ascii="Arial" w:hAnsi="Arial" w:cs="Arial"/>
          <w:b/>
          <w:bCs/>
          <w:i/>
          <w:iCs/>
          <w:sz w:val="20"/>
        </w:rPr>
        <w:t xml:space="preserve"> </w:t>
      </w:r>
      <w:r w:rsidRPr="00C51FEE">
        <w:rPr>
          <w:rFonts w:ascii="Arial" w:hAnsi="Arial" w:cs="Arial"/>
          <w:sz w:val="20"/>
        </w:rPr>
        <w:t>Judge Wise stated at [21]-[25]:</w:t>
      </w:r>
    </w:p>
    <w:p w14:paraId="79218583" w14:textId="5AA1005C" w:rsidR="00C51FEE" w:rsidRDefault="00C51FEE" w:rsidP="00C51FEE">
      <w:pPr>
        <w:spacing w:before="60"/>
        <w:ind w:left="567" w:right="567"/>
        <w:jc w:val="both"/>
        <w:rPr>
          <w:rFonts w:ascii="Arial" w:hAnsi="Arial" w:cs="Arial"/>
          <w:sz w:val="20"/>
        </w:rPr>
      </w:pPr>
      <w:r>
        <w:rPr>
          <w:rFonts w:ascii="Arial" w:hAnsi="Arial" w:cs="Arial"/>
          <w:sz w:val="20"/>
        </w:rPr>
        <w:t>[21] “</w:t>
      </w:r>
      <w:r w:rsidRPr="00C51FEE">
        <w:rPr>
          <w:rFonts w:ascii="Arial" w:hAnsi="Arial" w:cs="Arial"/>
          <w:sz w:val="20"/>
        </w:rPr>
        <w:t xml:space="preserve">The documents and submissions made by the defendants fall into a by now well-known quasi-philosophy known as the </w:t>
      </w:r>
      <w:r>
        <w:rPr>
          <w:rFonts w:ascii="Arial" w:hAnsi="Arial" w:cs="Arial"/>
          <w:sz w:val="20"/>
        </w:rPr>
        <w:t>‘</w:t>
      </w:r>
      <w:r w:rsidRPr="00C51FEE">
        <w:rPr>
          <w:rFonts w:ascii="Arial" w:hAnsi="Arial" w:cs="Arial"/>
          <w:sz w:val="20"/>
        </w:rPr>
        <w:t>sovereign citizen</w:t>
      </w:r>
      <w:r>
        <w:rPr>
          <w:rFonts w:ascii="Arial" w:hAnsi="Arial" w:cs="Arial"/>
          <w:sz w:val="20"/>
        </w:rPr>
        <w:t>’</w:t>
      </w:r>
      <w:r w:rsidRPr="00C51FEE">
        <w:rPr>
          <w:rFonts w:ascii="Arial" w:hAnsi="Arial" w:cs="Arial"/>
          <w:sz w:val="20"/>
        </w:rPr>
        <w:t xml:space="preserve"> movement. The guiding philosophy appears to be that these persons consider that they are not subject to the laws of the Commonwealth of Australia unless they have expressly </w:t>
      </w:r>
      <w:r>
        <w:rPr>
          <w:rFonts w:ascii="Arial" w:hAnsi="Arial" w:cs="Arial"/>
          <w:sz w:val="20"/>
        </w:rPr>
        <w:t>‘</w:t>
      </w:r>
      <w:r w:rsidRPr="00C51FEE">
        <w:rPr>
          <w:rFonts w:ascii="Arial" w:hAnsi="Arial" w:cs="Arial"/>
          <w:sz w:val="20"/>
        </w:rPr>
        <w:t>contracted</w:t>
      </w:r>
      <w:r>
        <w:rPr>
          <w:rFonts w:ascii="Arial" w:hAnsi="Arial" w:cs="Arial"/>
          <w:sz w:val="20"/>
        </w:rPr>
        <w:t>’</w:t>
      </w:r>
      <w:r w:rsidRPr="00C51FEE">
        <w:rPr>
          <w:rFonts w:ascii="Arial" w:hAnsi="Arial" w:cs="Arial"/>
          <w:sz w:val="20"/>
        </w:rPr>
        <w:t xml:space="preserve"> or consented to be so bound. This philosophy has no basis in law and has been rejected in many cases to date. All persons living under the protection of the Crown in right of the Commonwealth or State are, as a matter of law, subject to the laws of the Commonwealth. Any suggestion to the contrary is both dangerous and undermines the orderly arrangement of any society. The courts of this country will give no credence to such philosophy.</w:t>
      </w:r>
    </w:p>
    <w:p w14:paraId="4BA0480E" w14:textId="2574930B" w:rsidR="00C51FEE" w:rsidRDefault="00C51FEE" w:rsidP="00C51FEE">
      <w:pPr>
        <w:spacing w:before="60"/>
        <w:ind w:left="567" w:right="567"/>
        <w:jc w:val="both"/>
        <w:rPr>
          <w:rFonts w:ascii="Arial" w:hAnsi="Arial" w:cs="Arial"/>
          <w:sz w:val="20"/>
        </w:rPr>
      </w:pPr>
      <w:r>
        <w:rPr>
          <w:rFonts w:ascii="Arial" w:hAnsi="Arial" w:cs="Arial"/>
          <w:sz w:val="20"/>
        </w:rPr>
        <w:t xml:space="preserve">[22] </w:t>
      </w:r>
      <w:r w:rsidRPr="00C51FEE">
        <w:rPr>
          <w:rFonts w:ascii="Arial" w:hAnsi="Arial" w:cs="Arial"/>
          <w:sz w:val="20"/>
        </w:rPr>
        <w:t xml:space="preserve">The documents and submissions filed by the defendants are informed by half-baked statements that contain traces of legal tit-bits scraped from current and ancient sources otherwise also referred to as </w:t>
      </w:r>
      <w:r>
        <w:rPr>
          <w:rFonts w:ascii="Arial" w:hAnsi="Arial" w:cs="Arial"/>
          <w:sz w:val="20"/>
        </w:rPr>
        <w:t>‘</w:t>
      </w:r>
      <w:r w:rsidRPr="00C51FEE">
        <w:rPr>
          <w:rFonts w:ascii="Arial" w:hAnsi="Arial" w:cs="Arial"/>
          <w:sz w:val="20"/>
        </w:rPr>
        <w:t>pseudo-law</w:t>
      </w:r>
      <w:r>
        <w:rPr>
          <w:rFonts w:ascii="Arial" w:hAnsi="Arial" w:cs="Arial"/>
          <w:sz w:val="20"/>
        </w:rPr>
        <w:t>’</w:t>
      </w:r>
      <w:r w:rsidRPr="00C51FEE">
        <w:rPr>
          <w:rFonts w:ascii="Arial" w:hAnsi="Arial" w:cs="Arial"/>
          <w:sz w:val="20"/>
        </w:rPr>
        <w:t>. They are legal gibberish and do not constitute proper statements of principles known to law.</w:t>
      </w:r>
    </w:p>
    <w:p w14:paraId="370F8E54" w14:textId="46F88698" w:rsidR="00C51FEE" w:rsidRDefault="00C51FEE" w:rsidP="00C51FEE">
      <w:pPr>
        <w:spacing w:before="60"/>
        <w:ind w:left="567" w:right="567"/>
        <w:jc w:val="both"/>
        <w:rPr>
          <w:rFonts w:ascii="Arial" w:hAnsi="Arial" w:cs="Arial"/>
          <w:sz w:val="20"/>
        </w:rPr>
      </w:pPr>
      <w:r>
        <w:rPr>
          <w:rFonts w:ascii="Arial" w:hAnsi="Arial" w:cs="Arial"/>
          <w:sz w:val="20"/>
        </w:rPr>
        <w:t xml:space="preserve">[23] </w:t>
      </w:r>
      <w:r w:rsidRPr="00C51FEE">
        <w:rPr>
          <w:rFonts w:ascii="Arial" w:hAnsi="Arial" w:cs="Arial"/>
          <w:sz w:val="20"/>
        </w:rPr>
        <w:t>In</w:t>
      </w:r>
      <w:r>
        <w:rPr>
          <w:rFonts w:ascii="Arial" w:hAnsi="Arial" w:cs="Arial"/>
          <w:sz w:val="20"/>
        </w:rPr>
        <w:t xml:space="preserve"> </w:t>
      </w:r>
      <w:r w:rsidRPr="00C51FEE">
        <w:rPr>
          <w:rFonts w:ascii="Arial" w:hAnsi="Arial" w:cs="Arial"/>
          <w:i/>
          <w:iCs/>
          <w:sz w:val="20"/>
        </w:rPr>
        <w:t>Re Coles Supermarkets Australia Pty Ltd</w:t>
      </w:r>
      <w:r>
        <w:rPr>
          <w:rFonts w:ascii="Arial" w:hAnsi="Arial" w:cs="Arial"/>
          <w:sz w:val="20"/>
        </w:rPr>
        <w:t xml:space="preserve"> [2022] VSC 438 at [17], </w:t>
      </w:r>
      <w:proofErr w:type="spellStart"/>
      <w:r w:rsidRPr="00C51FEE">
        <w:rPr>
          <w:rFonts w:ascii="Arial" w:hAnsi="Arial" w:cs="Arial"/>
          <w:sz w:val="20"/>
        </w:rPr>
        <w:t>Hetyey</w:t>
      </w:r>
      <w:proofErr w:type="spellEnd"/>
      <w:r w:rsidRPr="00C51FEE">
        <w:rPr>
          <w:rFonts w:ascii="Arial" w:hAnsi="Arial" w:cs="Arial"/>
          <w:sz w:val="20"/>
        </w:rPr>
        <w:t xml:space="preserve"> </w:t>
      </w:r>
      <w:proofErr w:type="spellStart"/>
      <w:r w:rsidRPr="00C51FEE">
        <w:rPr>
          <w:rFonts w:ascii="Arial" w:hAnsi="Arial" w:cs="Arial"/>
          <w:sz w:val="20"/>
        </w:rPr>
        <w:t>As</w:t>
      </w:r>
      <w:r>
        <w:rPr>
          <w:rFonts w:ascii="Arial" w:hAnsi="Arial" w:cs="Arial"/>
          <w:sz w:val="20"/>
        </w:rPr>
        <w:t>J</w:t>
      </w:r>
      <w:proofErr w:type="spellEnd"/>
      <w:r w:rsidRPr="00C51FEE">
        <w:rPr>
          <w:rFonts w:ascii="Arial" w:hAnsi="Arial" w:cs="Arial"/>
          <w:sz w:val="20"/>
        </w:rPr>
        <w:t xml:space="preserve"> said the following of such submissions:</w:t>
      </w:r>
    </w:p>
    <w:p w14:paraId="7706B1A7" w14:textId="61BF166B" w:rsidR="00C51FEE" w:rsidRPr="00C51FEE" w:rsidRDefault="00C51FEE" w:rsidP="00C51FEE">
      <w:pPr>
        <w:spacing w:before="60"/>
        <w:ind w:left="1021" w:right="1021"/>
        <w:jc w:val="both"/>
        <w:rPr>
          <w:rFonts w:ascii="Arial" w:hAnsi="Arial" w:cs="Arial"/>
          <w:sz w:val="18"/>
          <w:szCs w:val="22"/>
        </w:rPr>
      </w:pPr>
      <w:r w:rsidRPr="00C51FEE">
        <w:rPr>
          <w:rFonts w:ascii="Arial" w:hAnsi="Arial" w:cs="Arial"/>
          <w:sz w:val="18"/>
          <w:szCs w:val="22"/>
        </w:rPr>
        <w:t>The defendants appear to be seeking to draw a distinction between themselves as ‘natural’ or ‘living’ persons, on the one hand, and their status as ‘legal’ personalities, on the other. However, contemporary Australian law does not distinguish between a human being and their legal personality. Any such distinction would potentially leave a human being without legal rights, which would be unacceptable in modern society. The contentions put forward by the defendants in this regard are artificial and have no legal consequence.</w:t>
      </w:r>
    </w:p>
    <w:p w14:paraId="49247559" w14:textId="386DCE86" w:rsidR="00C51FEE" w:rsidRDefault="00C51FEE" w:rsidP="00C51FEE">
      <w:pPr>
        <w:spacing w:before="60"/>
        <w:ind w:left="567" w:right="567"/>
        <w:jc w:val="both"/>
        <w:rPr>
          <w:rFonts w:ascii="Arial" w:hAnsi="Arial" w:cs="Arial"/>
          <w:sz w:val="20"/>
        </w:rPr>
      </w:pPr>
      <w:r>
        <w:rPr>
          <w:rFonts w:ascii="Arial" w:hAnsi="Arial" w:cs="Arial"/>
          <w:sz w:val="20"/>
        </w:rPr>
        <w:t xml:space="preserve">[24] </w:t>
      </w:r>
      <w:r w:rsidRPr="00C51FEE">
        <w:rPr>
          <w:rFonts w:ascii="Arial" w:hAnsi="Arial" w:cs="Arial"/>
          <w:sz w:val="20"/>
        </w:rPr>
        <w:t>I adopt the analysis of John Dixon J in</w:t>
      </w:r>
      <w:r w:rsidR="007D71F4">
        <w:rPr>
          <w:rFonts w:ascii="Arial" w:hAnsi="Arial" w:cs="Arial"/>
          <w:sz w:val="20"/>
        </w:rPr>
        <w:t xml:space="preserve"> </w:t>
      </w:r>
      <w:r w:rsidRPr="00C51FEE">
        <w:rPr>
          <w:rFonts w:ascii="Arial" w:hAnsi="Arial" w:cs="Arial"/>
          <w:i/>
          <w:iCs/>
          <w:sz w:val="20"/>
        </w:rPr>
        <w:t>Stefan v McLachla</w:t>
      </w:r>
      <w:r>
        <w:rPr>
          <w:rFonts w:ascii="Arial" w:hAnsi="Arial" w:cs="Arial"/>
          <w:i/>
          <w:iCs/>
          <w:sz w:val="20"/>
        </w:rPr>
        <w:t xml:space="preserve">n </w:t>
      </w:r>
      <w:r w:rsidRPr="007D71F4">
        <w:rPr>
          <w:rFonts w:ascii="Arial" w:hAnsi="Arial" w:cs="Arial"/>
          <w:sz w:val="20"/>
        </w:rPr>
        <w:t>[2023] VSC 501 at [</w:t>
      </w:r>
      <w:r w:rsidR="007D71F4">
        <w:rPr>
          <w:rFonts w:ascii="Arial" w:hAnsi="Arial" w:cs="Arial"/>
          <w:sz w:val="20"/>
        </w:rPr>
        <w:t>23</w:t>
      </w:r>
      <w:r w:rsidRPr="007D71F4">
        <w:rPr>
          <w:rFonts w:ascii="Arial" w:hAnsi="Arial" w:cs="Arial"/>
          <w:sz w:val="20"/>
        </w:rPr>
        <w:t>],</w:t>
      </w:r>
      <w:r w:rsidR="007D71F4" w:rsidRPr="007D71F4">
        <w:rPr>
          <w:rFonts w:ascii="Arial" w:hAnsi="Arial" w:cs="Arial"/>
          <w:sz w:val="20"/>
        </w:rPr>
        <w:t xml:space="preserve"> </w:t>
      </w:r>
      <w:r w:rsidRPr="00C51FEE">
        <w:rPr>
          <w:rFonts w:ascii="Arial" w:hAnsi="Arial" w:cs="Arial"/>
          <w:sz w:val="20"/>
        </w:rPr>
        <w:t>dealing with the fictional concept of the ‘living man’, stating that:</w:t>
      </w:r>
    </w:p>
    <w:p w14:paraId="7A4735E9" w14:textId="10AB51F9" w:rsidR="00C51FEE" w:rsidRPr="00C51FEE" w:rsidRDefault="00C51FEE" w:rsidP="00C51FEE">
      <w:pPr>
        <w:spacing w:before="60"/>
        <w:ind w:left="1021" w:right="1021"/>
        <w:jc w:val="both"/>
        <w:rPr>
          <w:rFonts w:ascii="Arial" w:hAnsi="Arial" w:cs="Arial"/>
          <w:sz w:val="16"/>
          <w:szCs w:val="20"/>
        </w:rPr>
      </w:pPr>
      <w:r w:rsidRPr="00C51FEE">
        <w:rPr>
          <w:rFonts w:ascii="Arial" w:hAnsi="Arial" w:cs="Arial"/>
          <w:sz w:val="18"/>
          <w:szCs w:val="22"/>
        </w:rPr>
        <w:t>The law recognises a living person as having status in law and any person is, in this sense, a legal person. Conceptually, there may be differences between the legal status of a person and that of an entity that is granted a like legal status, but whatever they might be they have no application on this appeal. In asserting that he is a ‘living man’, the appellant does no more than identify that he is a person, an individual. Every person, every individual, and every entity accorded status as a legal person is subject to the rule of law. There are no exceptions in Australian society.</w:t>
      </w:r>
    </w:p>
    <w:p w14:paraId="0D4670CA" w14:textId="4F3D364D" w:rsidR="007D71F4" w:rsidRDefault="007D71F4" w:rsidP="007D71F4">
      <w:pPr>
        <w:spacing w:before="60"/>
        <w:ind w:left="567" w:right="567"/>
        <w:jc w:val="both"/>
        <w:rPr>
          <w:rFonts w:ascii="Arial" w:hAnsi="Arial" w:cs="Arial"/>
          <w:sz w:val="20"/>
        </w:rPr>
      </w:pPr>
      <w:r>
        <w:rPr>
          <w:rFonts w:ascii="Arial" w:hAnsi="Arial" w:cs="Arial"/>
          <w:sz w:val="20"/>
        </w:rPr>
        <w:lastRenderedPageBreak/>
        <w:t xml:space="preserve">[25] </w:t>
      </w:r>
      <w:r w:rsidRPr="00C51FEE">
        <w:rPr>
          <w:rFonts w:ascii="Arial" w:hAnsi="Arial" w:cs="Arial"/>
          <w:sz w:val="20"/>
        </w:rPr>
        <w:t xml:space="preserve">I also refer to </w:t>
      </w:r>
      <w:proofErr w:type="spellStart"/>
      <w:r w:rsidRPr="00C51FEE">
        <w:rPr>
          <w:rFonts w:ascii="Arial" w:hAnsi="Arial" w:cs="Arial"/>
          <w:sz w:val="20"/>
        </w:rPr>
        <w:t>AsJ</w:t>
      </w:r>
      <w:proofErr w:type="spellEnd"/>
      <w:r w:rsidRPr="00C51FEE">
        <w:rPr>
          <w:rFonts w:ascii="Arial" w:hAnsi="Arial" w:cs="Arial"/>
          <w:sz w:val="20"/>
        </w:rPr>
        <w:t xml:space="preserve"> Gobbo’s decision in</w:t>
      </w:r>
      <w:r>
        <w:rPr>
          <w:rFonts w:ascii="Arial" w:hAnsi="Arial" w:cs="Arial"/>
          <w:sz w:val="20"/>
        </w:rPr>
        <w:t xml:space="preserve"> </w:t>
      </w:r>
      <w:r w:rsidRPr="00C51FEE">
        <w:rPr>
          <w:rFonts w:ascii="Arial" w:hAnsi="Arial" w:cs="Arial"/>
          <w:i/>
          <w:iCs/>
          <w:sz w:val="20"/>
        </w:rPr>
        <w:t>Nelson v Greenman &amp; Anor</w:t>
      </w:r>
      <w:r>
        <w:rPr>
          <w:rFonts w:ascii="Arial" w:hAnsi="Arial" w:cs="Arial"/>
          <w:i/>
          <w:iCs/>
          <w:sz w:val="20"/>
        </w:rPr>
        <w:t xml:space="preserve"> </w:t>
      </w:r>
      <w:r w:rsidRPr="007D71F4">
        <w:rPr>
          <w:rFonts w:ascii="Arial" w:hAnsi="Arial" w:cs="Arial"/>
          <w:sz w:val="20"/>
        </w:rPr>
        <w:t>[2024] VSC 704</w:t>
      </w:r>
      <w:r>
        <w:rPr>
          <w:rFonts w:ascii="Arial" w:hAnsi="Arial" w:cs="Arial"/>
          <w:i/>
          <w:iCs/>
          <w:sz w:val="20"/>
        </w:rPr>
        <w:t xml:space="preserve"> </w:t>
      </w:r>
      <w:r w:rsidRPr="00C51FEE">
        <w:rPr>
          <w:rFonts w:ascii="Arial" w:hAnsi="Arial" w:cs="Arial"/>
          <w:sz w:val="20"/>
        </w:rPr>
        <w:t>in which her Honour gives a comprehensive treatment of the fallacies underlying the sovereign citizen and pseudo law movements. I concur with and adopt her Honour’s treatment of the subject at paragraphs [53]</w:t>
      </w:r>
      <w:r>
        <w:rPr>
          <w:rFonts w:ascii="Arial" w:hAnsi="Arial" w:cs="Arial"/>
          <w:sz w:val="20"/>
        </w:rPr>
        <w:t>-</w:t>
      </w:r>
      <w:r w:rsidRPr="00C51FEE">
        <w:rPr>
          <w:rFonts w:ascii="Arial" w:hAnsi="Arial" w:cs="Arial"/>
          <w:sz w:val="20"/>
        </w:rPr>
        <w:t>[78].</w:t>
      </w:r>
      <w:r>
        <w:rPr>
          <w:rFonts w:ascii="Arial" w:hAnsi="Arial" w:cs="Arial"/>
          <w:sz w:val="20"/>
        </w:rPr>
        <w:t>”</w:t>
      </w:r>
    </w:p>
    <w:p w14:paraId="04682E7E" w14:textId="77777777" w:rsidR="00187920" w:rsidRDefault="00187920" w:rsidP="00F161C2">
      <w:pPr>
        <w:jc w:val="both"/>
        <w:rPr>
          <w:rFonts w:ascii="Arial" w:hAnsi="Arial" w:cs="Arial"/>
          <w:sz w:val="20"/>
        </w:rPr>
      </w:pPr>
    </w:p>
    <w:p w14:paraId="5FDD3920" w14:textId="7C874ECB" w:rsidR="00E24638" w:rsidRDefault="0030035A" w:rsidP="00F161C2">
      <w:pPr>
        <w:jc w:val="both"/>
        <w:rPr>
          <w:rFonts w:ascii="Arial" w:hAnsi="Arial" w:cs="Arial"/>
          <w:sz w:val="20"/>
        </w:rPr>
      </w:pPr>
      <w:r>
        <w:rPr>
          <w:rFonts w:ascii="Arial" w:hAnsi="Arial" w:cs="Arial"/>
          <w:sz w:val="20"/>
        </w:rPr>
        <w:t xml:space="preserve">To elaborate on the judgment of </w:t>
      </w:r>
      <w:r w:rsidRPr="00C51FEE">
        <w:rPr>
          <w:rFonts w:ascii="Arial" w:hAnsi="Arial" w:cs="Arial"/>
          <w:sz w:val="20"/>
        </w:rPr>
        <w:t>John Dixon J in</w:t>
      </w:r>
      <w:r>
        <w:rPr>
          <w:rFonts w:ascii="Arial" w:hAnsi="Arial" w:cs="Arial"/>
          <w:sz w:val="20"/>
        </w:rPr>
        <w:t xml:space="preserve"> </w:t>
      </w:r>
      <w:r w:rsidRPr="00C51FEE">
        <w:rPr>
          <w:rFonts w:ascii="Arial" w:hAnsi="Arial" w:cs="Arial"/>
          <w:i/>
          <w:iCs/>
          <w:sz w:val="20"/>
        </w:rPr>
        <w:t>Stefan v McLachla</w:t>
      </w:r>
      <w:r>
        <w:rPr>
          <w:rFonts w:ascii="Arial" w:hAnsi="Arial" w:cs="Arial"/>
          <w:i/>
          <w:iCs/>
          <w:sz w:val="20"/>
        </w:rPr>
        <w:t xml:space="preserve">n </w:t>
      </w:r>
      <w:r w:rsidRPr="007D71F4">
        <w:rPr>
          <w:rFonts w:ascii="Arial" w:hAnsi="Arial" w:cs="Arial"/>
          <w:sz w:val="20"/>
        </w:rPr>
        <w:t>[2023] VSC 501</w:t>
      </w:r>
      <w:r>
        <w:rPr>
          <w:rFonts w:ascii="Arial" w:hAnsi="Arial" w:cs="Arial"/>
          <w:sz w:val="20"/>
        </w:rPr>
        <w:t xml:space="preserve"> </w:t>
      </w:r>
      <w:r w:rsidR="00F84454">
        <w:rPr>
          <w:rFonts w:ascii="Arial" w:hAnsi="Arial" w:cs="Arial"/>
          <w:sz w:val="20"/>
        </w:rPr>
        <w:t>cited</w:t>
      </w:r>
      <w:r>
        <w:rPr>
          <w:rFonts w:ascii="Arial" w:hAnsi="Arial" w:cs="Arial"/>
          <w:sz w:val="20"/>
        </w:rPr>
        <w:t xml:space="preserve"> by Judge Wise</w:t>
      </w:r>
      <w:r w:rsidR="00F84454">
        <w:rPr>
          <w:rFonts w:ascii="Arial" w:hAnsi="Arial" w:cs="Arial"/>
          <w:sz w:val="20"/>
        </w:rPr>
        <w:t xml:space="preserve"> at [24]</w:t>
      </w:r>
      <w:r>
        <w:rPr>
          <w:rFonts w:ascii="Arial" w:hAnsi="Arial" w:cs="Arial"/>
          <w:sz w:val="20"/>
        </w:rPr>
        <w:t xml:space="preserve">, the appellant had been found guilty of exceeding the speed limit and driving a vehicle without a number plate displayed. </w:t>
      </w:r>
      <w:r w:rsidR="00266727">
        <w:rPr>
          <w:rFonts w:ascii="Arial" w:hAnsi="Arial" w:cs="Arial"/>
          <w:sz w:val="20"/>
        </w:rPr>
        <w:t>H</w:t>
      </w:r>
      <w:r>
        <w:rPr>
          <w:rFonts w:ascii="Arial" w:hAnsi="Arial" w:cs="Arial"/>
          <w:sz w:val="20"/>
        </w:rPr>
        <w:t xml:space="preserve">is Honour noted that </w:t>
      </w:r>
      <w:r w:rsidR="00266727">
        <w:rPr>
          <w:rFonts w:ascii="Arial" w:hAnsi="Arial" w:cs="Arial"/>
          <w:sz w:val="20"/>
        </w:rPr>
        <w:t xml:space="preserve">in substance the appellant did not contest the facts. </w:t>
      </w:r>
      <w:r w:rsidR="00187920">
        <w:rPr>
          <w:rFonts w:ascii="Arial" w:hAnsi="Arial" w:cs="Arial"/>
          <w:sz w:val="20"/>
        </w:rPr>
        <w:t>As categorised at [6], h</w:t>
      </w:r>
      <w:r w:rsidR="00E133F1">
        <w:rPr>
          <w:rFonts w:ascii="Arial" w:hAnsi="Arial" w:cs="Arial"/>
          <w:sz w:val="20"/>
        </w:rPr>
        <w:t xml:space="preserve">is amended notice of appeal raised 71 questions, described as questions of law. </w:t>
      </w:r>
      <w:r w:rsidR="00266727">
        <w:rPr>
          <w:rFonts w:ascii="Arial" w:hAnsi="Arial" w:cs="Arial"/>
          <w:sz w:val="20"/>
        </w:rPr>
        <w:t xml:space="preserve">He contested </w:t>
      </w:r>
      <w:r w:rsidR="00266727" w:rsidRPr="0030035A">
        <w:rPr>
          <w:rFonts w:ascii="Arial" w:hAnsi="Arial" w:cs="Arial"/>
          <w:sz w:val="20"/>
        </w:rPr>
        <w:t>that he was amenable to the jurisdiction of the Magistrates’ Court to hear and determine such charges and that, properly construed, the relevant statutory provisions did not apply to him.</w:t>
      </w:r>
      <w:r w:rsidR="00266727">
        <w:rPr>
          <w:rFonts w:ascii="Arial" w:hAnsi="Arial" w:cs="Arial"/>
          <w:sz w:val="20"/>
        </w:rPr>
        <w:t xml:space="preserve"> In </w:t>
      </w:r>
      <w:r w:rsidR="006A4D3F">
        <w:rPr>
          <w:rFonts w:ascii="Arial" w:hAnsi="Arial" w:cs="Arial"/>
          <w:sz w:val="20"/>
        </w:rPr>
        <w:t xml:space="preserve">rejecting </w:t>
      </w:r>
      <w:r w:rsidR="006A4D3F" w:rsidRPr="006A4D3F">
        <w:rPr>
          <w:rFonts w:ascii="Arial" w:hAnsi="Arial" w:cs="Arial"/>
          <w:sz w:val="20"/>
        </w:rPr>
        <w:t xml:space="preserve">the </w:t>
      </w:r>
      <w:r w:rsidR="006A4D3F">
        <w:rPr>
          <w:rFonts w:ascii="Arial" w:hAnsi="Arial" w:cs="Arial"/>
          <w:sz w:val="20"/>
        </w:rPr>
        <w:t>appellant’s ‘</w:t>
      </w:r>
      <w:r w:rsidR="006A4D3F" w:rsidRPr="00187920">
        <w:rPr>
          <w:rFonts w:ascii="Arial" w:hAnsi="Arial" w:cs="Arial"/>
          <w:b/>
          <w:bCs/>
          <w:sz w:val="20"/>
        </w:rPr>
        <w:t>living man</w:t>
      </w:r>
      <w:r w:rsidR="006A4D3F">
        <w:rPr>
          <w:rFonts w:ascii="Arial" w:hAnsi="Arial" w:cs="Arial"/>
          <w:sz w:val="20"/>
        </w:rPr>
        <w:t>’</w:t>
      </w:r>
      <w:r w:rsidR="006A4D3F" w:rsidRPr="006A4D3F">
        <w:rPr>
          <w:rFonts w:ascii="Arial" w:hAnsi="Arial" w:cs="Arial"/>
          <w:sz w:val="20"/>
        </w:rPr>
        <w:t xml:space="preserve"> and </w:t>
      </w:r>
      <w:r w:rsidR="006A4D3F">
        <w:rPr>
          <w:rFonts w:ascii="Arial" w:hAnsi="Arial" w:cs="Arial"/>
          <w:sz w:val="20"/>
        </w:rPr>
        <w:t>‘</w:t>
      </w:r>
      <w:r w:rsidR="006A4D3F" w:rsidRPr="00187920">
        <w:rPr>
          <w:rFonts w:ascii="Arial" w:hAnsi="Arial" w:cs="Arial"/>
          <w:b/>
          <w:bCs/>
          <w:sz w:val="20"/>
        </w:rPr>
        <w:t>sovereign citizen</w:t>
      </w:r>
      <w:r w:rsidR="006A4D3F">
        <w:rPr>
          <w:rFonts w:ascii="Arial" w:hAnsi="Arial" w:cs="Arial"/>
          <w:sz w:val="20"/>
        </w:rPr>
        <w:t>’</w:t>
      </w:r>
      <w:r w:rsidR="006A4D3F" w:rsidRPr="006A4D3F">
        <w:rPr>
          <w:rFonts w:ascii="Arial" w:hAnsi="Arial" w:cs="Arial"/>
          <w:sz w:val="20"/>
        </w:rPr>
        <w:t xml:space="preserve"> arguments against jurisdiction</w:t>
      </w:r>
      <w:r w:rsidR="006A4D3F">
        <w:rPr>
          <w:rFonts w:ascii="Arial" w:hAnsi="Arial" w:cs="Arial"/>
          <w:sz w:val="20"/>
        </w:rPr>
        <w:t xml:space="preserve"> and </w:t>
      </w:r>
      <w:r w:rsidR="00266727">
        <w:rPr>
          <w:rFonts w:ascii="Arial" w:hAnsi="Arial" w:cs="Arial"/>
          <w:sz w:val="20"/>
        </w:rPr>
        <w:t xml:space="preserve">dismissing </w:t>
      </w:r>
      <w:r w:rsidR="00D11BB2">
        <w:rPr>
          <w:rFonts w:ascii="Arial" w:hAnsi="Arial" w:cs="Arial"/>
          <w:sz w:val="20"/>
        </w:rPr>
        <w:t>his</w:t>
      </w:r>
      <w:r w:rsidR="00266727">
        <w:rPr>
          <w:rFonts w:ascii="Arial" w:hAnsi="Arial" w:cs="Arial"/>
          <w:sz w:val="20"/>
        </w:rPr>
        <w:t xml:space="preserve"> appeal</w:t>
      </w:r>
      <w:r w:rsidR="00187920">
        <w:rPr>
          <w:rFonts w:ascii="Arial" w:hAnsi="Arial" w:cs="Arial"/>
          <w:sz w:val="20"/>
        </w:rPr>
        <w:t>,</w:t>
      </w:r>
      <w:r w:rsidR="00266727">
        <w:rPr>
          <w:rFonts w:ascii="Arial" w:hAnsi="Arial" w:cs="Arial"/>
          <w:sz w:val="20"/>
        </w:rPr>
        <w:t xml:space="preserve"> John Dixon J said at [22]-[30] [emphasis added]:</w:t>
      </w:r>
    </w:p>
    <w:p w14:paraId="4344A31E" w14:textId="6240ECC0" w:rsidR="00266727" w:rsidRDefault="00266727" w:rsidP="00266727">
      <w:pPr>
        <w:spacing w:before="60"/>
        <w:ind w:left="567" w:right="567"/>
        <w:jc w:val="both"/>
        <w:rPr>
          <w:rFonts w:ascii="Arial" w:hAnsi="Arial" w:cs="Arial"/>
          <w:sz w:val="20"/>
        </w:rPr>
      </w:pPr>
      <w:r>
        <w:rPr>
          <w:rFonts w:ascii="Arial" w:hAnsi="Arial" w:cs="Arial"/>
          <w:sz w:val="20"/>
        </w:rPr>
        <w:t>[22] “</w:t>
      </w:r>
      <w:r w:rsidRPr="00E24638">
        <w:rPr>
          <w:rFonts w:ascii="Arial" w:hAnsi="Arial" w:cs="Arial"/>
          <w:sz w:val="20"/>
        </w:rPr>
        <w:t>The appellant contended that he was a private man travelling in a private car for a private purpose on a common way without disturbing the peace nor causing any damage to people or property. As such he was not a person of direct concern to society and ‘therefore remains private’, meaning not amenable to the powers of the police or the jurisdiction of the magistrate. Apparently, in this context, the legal person who is so amenable is the person identified by the driver’s licence and not the living private man that the informant conceded he dealt with. That living private man, so the argument goes, is a conceptually distinct persona from the legal person.</w:t>
      </w:r>
    </w:p>
    <w:p w14:paraId="4FC66DDF" w14:textId="41A1B65A" w:rsidR="00266727" w:rsidRDefault="00266727" w:rsidP="00266727">
      <w:pPr>
        <w:spacing w:before="60"/>
        <w:ind w:left="567" w:right="567"/>
        <w:jc w:val="both"/>
        <w:rPr>
          <w:rFonts w:ascii="Arial" w:hAnsi="Arial" w:cs="Arial"/>
          <w:b/>
          <w:bCs/>
          <w:sz w:val="20"/>
        </w:rPr>
      </w:pPr>
      <w:r>
        <w:rPr>
          <w:rFonts w:ascii="Arial" w:hAnsi="Arial" w:cs="Arial"/>
          <w:sz w:val="20"/>
        </w:rPr>
        <w:t xml:space="preserve">[23] </w:t>
      </w:r>
      <w:r w:rsidRPr="00E24638">
        <w:rPr>
          <w:rFonts w:ascii="Arial" w:hAnsi="Arial" w:cs="Arial"/>
          <w:sz w:val="20"/>
        </w:rPr>
        <w:t xml:space="preserve">The law does not recognise an alternate, or paper, identity of the kind described by the appellant as represented by the name and persona identifiable from his driver’s licence as different from the identity of an individual human being. The identifying characteristics of a human being, such as name, are an integral part of the individual human being. The law recognises a living person as having status in law and any person is, in this sense, a legal person. </w:t>
      </w:r>
      <w:r w:rsidRPr="00E133F1">
        <w:rPr>
          <w:rFonts w:ascii="Arial" w:hAnsi="Arial" w:cs="Arial"/>
          <w:sz w:val="20"/>
        </w:rPr>
        <w:t xml:space="preserve">Conceptually, there may be differences between the legal status of a person and that of an entity that is granted a like legal status, but whatever they might be they have no application on this appeal. </w:t>
      </w:r>
      <w:r w:rsidRPr="00266727">
        <w:rPr>
          <w:rFonts w:ascii="Arial" w:hAnsi="Arial" w:cs="Arial"/>
          <w:b/>
          <w:bCs/>
          <w:sz w:val="20"/>
        </w:rPr>
        <w:t>In asserting that he is a ‘living man’, the appellant does no more than identify that he is a person, an individual. Every person, every individual, and every entity accorded status as a legal person is subject to the rule of law. There are no exceptions in Australian society.</w:t>
      </w:r>
    </w:p>
    <w:p w14:paraId="103FCF4B" w14:textId="1A2E361A" w:rsidR="00266727" w:rsidRDefault="00266727" w:rsidP="00266727">
      <w:pPr>
        <w:spacing w:before="60"/>
        <w:ind w:left="567" w:right="567"/>
        <w:jc w:val="both"/>
        <w:rPr>
          <w:rFonts w:ascii="Arial" w:hAnsi="Arial" w:cs="Arial"/>
          <w:b/>
          <w:bCs/>
          <w:sz w:val="20"/>
        </w:rPr>
      </w:pPr>
      <w:r w:rsidRPr="00266727">
        <w:rPr>
          <w:rFonts w:ascii="Arial" w:hAnsi="Arial" w:cs="Arial"/>
          <w:sz w:val="20"/>
        </w:rPr>
        <w:t xml:space="preserve">[24] </w:t>
      </w:r>
      <w:r w:rsidRPr="00266727">
        <w:rPr>
          <w:rFonts w:ascii="Arial" w:hAnsi="Arial" w:cs="Arial"/>
          <w:b/>
          <w:bCs/>
          <w:sz w:val="20"/>
        </w:rPr>
        <w:t>It is plainly wrong to assert that a natural person is not subject to statute law, only to common law and the principles of equity. All persons are subject to all law whether its source be the Constitution, statute, or judge made law. No distinction can be made by using an analogue, such as ‘living man’ for ‘person’. There was no legal significance in the informant’s agreement with the appellant’s proposition in cross-examination that he was a ‘living man’. That conclusion was, and remained, blindingly obvious.</w:t>
      </w:r>
    </w:p>
    <w:p w14:paraId="64EE73F2" w14:textId="751C2E7A" w:rsidR="00266727" w:rsidRDefault="00266727" w:rsidP="00266727">
      <w:pPr>
        <w:spacing w:before="60"/>
        <w:ind w:left="567" w:right="567"/>
        <w:jc w:val="both"/>
        <w:rPr>
          <w:rFonts w:ascii="Arial" w:hAnsi="Arial" w:cs="Arial"/>
          <w:sz w:val="20"/>
        </w:rPr>
      </w:pPr>
      <w:r w:rsidRPr="00266727">
        <w:rPr>
          <w:rFonts w:ascii="Arial" w:hAnsi="Arial" w:cs="Arial"/>
          <w:sz w:val="20"/>
        </w:rPr>
        <w:t xml:space="preserve">[25] </w:t>
      </w:r>
      <w:r w:rsidRPr="00E24638">
        <w:rPr>
          <w:rFonts w:ascii="Arial" w:hAnsi="Arial" w:cs="Arial"/>
          <w:sz w:val="20"/>
        </w:rPr>
        <w:t xml:space="preserve">A like argument was also based on the notion that the living man is created by God and not by the State and the Australian Constitution does not grant legislative power to the Parliament of Australia to affect the rights of the living man. No support can be found for such notions by reference to style guides, as the appellant sought to do, to draw inferences from obscure facts. In this case, the appellant noted that his name was printed on his driver’s licence wholly in capital letters. Such irrelevant matters cannot impugn the jurisdiction of a magistrate under the </w:t>
      </w:r>
      <w:r w:rsidRPr="00266727">
        <w:rPr>
          <w:rFonts w:ascii="Arial" w:hAnsi="Arial" w:cs="Arial"/>
          <w:i/>
          <w:iCs/>
          <w:sz w:val="20"/>
        </w:rPr>
        <w:t>Road Safety Act</w:t>
      </w:r>
      <w:r w:rsidRPr="00E24638">
        <w:rPr>
          <w:rFonts w:ascii="Arial" w:hAnsi="Arial" w:cs="Arial"/>
          <w:sz w:val="20"/>
        </w:rPr>
        <w:t>.</w:t>
      </w:r>
    </w:p>
    <w:p w14:paraId="2DF0A4AB" w14:textId="23F6301F" w:rsidR="00266727" w:rsidRDefault="00266727" w:rsidP="00266727">
      <w:pPr>
        <w:spacing w:before="60"/>
        <w:ind w:left="567" w:right="567"/>
        <w:jc w:val="both"/>
        <w:rPr>
          <w:rFonts w:ascii="Arial" w:hAnsi="Arial" w:cs="Arial"/>
          <w:sz w:val="20"/>
        </w:rPr>
      </w:pPr>
      <w:r>
        <w:rPr>
          <w:rFonts w:ascii="Arial" w:hAnsi="Arial" w:cs="Arial"/>
          <w:sz w:val="20"/>
        </w:rPr>
        <w:t xml:space="preserve">[26] </w:t>
      </w:r>
      <w:r w:rsidRPr="006A4D3F">
        <w:rPr>
          <w:rFonts w:ascii="Arial" w:hAnsi="Arial" w:cs="Arial"/>
          <w:b/>
          <w:bCs/>
          <w:sz w:val="20"/>
        </w:rPr>
        <w:t>The appellant also advanced a like proposition that seems to have developed some momentum as a ‘sovereign citizen defence’, based in some way on notions of freedom to contract with others, as developed in a commercial context. The defendant contends that a living man is only answerable to those articles of law and legal proceedings to which he or she has consented. The contractual notion that the appellant alluded to has no role in public law in the manner suggested. Regulatory schemes legislated by Parliament do not require the consent of every individual for the law to apply to that individual</w:t>
      </w:r>
      <w:r w:rsidRPr="00145818">
        <w:rPr>
          <w:rFonts w:ascii="Arial" w:hAnsi="Arial" w:cs="Arial"/>
          <w:b/>
          <w:bCs/>
          <w:sz w:val="20"/>
        </w:rPr>
        <w:t>. There is no contract and nor does the authority of the Parliament to pass such laws come from a sovereign, notwithstanding that the legislative power of the State is vested in the King and the Parliament of Victoria.</w:t>
      </w:r>
      <w:r w:rsidRPr="00E24638">
        <w:rPr>
          <w:rFonts w:ascii="Arial" w:hAnsi="Arial" w:cs="Arial"/>
          <w:sz w:val="20"/>
        </w:rPr>
        <w:t xml:space="preserve"> </w:t>
      </w:r>
      <w:r w:rsidRPr="008409DA">
        <w:rPr>
          <w:rFonts w:ascii="Arial" w:hAnsi="Arial" w:cs="Arial"/>
          <w:b/>
          <w:bCs/>
          <w:sz w:val="20"/>
        </w:rPr>
        <w:t>The ‘consent’ of Victorians to statute law, in the sense in which the appellant used the expression, follows from the election of parliamentarians to make laws for the peace, order and good governance of the State and their subsequent exercise of that legislative power.</w:t>
      </w:r>
    </w:p>
    <w:p w14:paraId="548C0670" w14:textId="5DD9A85C" w:rsidR="00266727" w:rsidRDefault="00266727" w:rsidP="00266727">
      <w:pPr>
        <w:spacing w:before="60"/>
        <w:ind w:left="567" w:right="567"/>
        <w:jc w:val="both"/>
        <w:rPr>
          <w:rFonts w:ascii="Arial" w:hAnsi="Arial" w:cs="Arial"/>
          <w:sz w:val="20"/>
        </w:rPr>
      </w:pPr>
      <w:r>
        <w:rPr>
          <w:rFonts w:ascii="Arial" w:hAnsi="Arial" w:cs="Arial"/>
          <w:sz w:val="20"/>
        </w:rPr>
        <w:t xml:space="preserve">[27] </w:t>
      </w:r>
      <w:r w:rsidRPr="00E24638">
        <w:rPr>
          <w:rFonts w:ascii="Arial" w:hAnsi="Arial" w:cs="Arial"/>
          <w:sz w:val="20"/>
        </w:rPr>
        <w:t xml:space="preserve">The appellant also expressed this notion of his personal exemption from the application of the </w:t>
      </w:r>
      <w:r w:rsidRPr="00D11BB2">
        <w:rPr>
          <w:rFonts w:ascii="Arial" w:hAnsi="Arial" w:cs="Arial"/>
          <w:i/>
          <w:iCs/>
          <w:sz w:val="20"/>
        </w:rPr>
        <w:t>Road Safety Act</w:t>
      </w:r>
      <w:r w:rsidRPr="00E24638">
        <w:rPr>
          <w:rFonts w:ascii="Arial" w:hAnsi="Arial" w:cs="Arial"/>
          <w:sz w:val="20"/>
        </w:rPr>
        <w:t xml:space="preserve"> as he drove his car on public streets by asserting that he is a subject </w:t>
      </w:r>
      <w:r w:rsidRPr="00E24638">
        <w:rPr>
          <w:rFonts w:ascii="Arial" w:hAnsi="Arial" w:cs="Arial"/>
          <w:sz w:val="20"/>
        </w:rPr>
        <w:lastRenderedPageBreak/>
        <w:t>of the King of the United Kingdom and not a citizen of the King of Australia</w:t>
      </w:r>
      <w:r w:rsidR="009A3F42">
        <w:rPr>
          <w:rFonts w:ascii="Arial" w:hAnsi="Arial" w:cs="Arial"/>
          <w:sz w:val="20"/>
        </w:rPr>
        <w:t>: c</w:t>
      </w:r>
      <w:r w:rsidR="009A3F42" w:rsidRPr="009A3F42">
        <w:rPr>
          <w:rFonts w:ascii="Arial" w:hAnsi="Arial" w:cs="Arial"/>
          <w:sz w:val="20"/>
        </w:rPr>
        <w:t xml:space="preserve">ompare </w:t>
      </w:r>
      <w:r w:rsidR="009A3F42" w:rsidRPr="009A3F42">
        <w:rPr>
          <w:rFonts w:ascii="Arial" w:hAnsi="Arial" w:cs="Arial"/>
          <w:i/>
          <w:iCs/>
          <w:sz w:val="20"/>
        </w:rPr>
        <w:t xml:space="preserve">Joosse v Australian Securities and Investments Commission </w:t>
      </w:r>
      <w:r w:rsidR="009A3F42" w:rsidRPr="009A3F42">
        <w:rPr>
          <w:rFonts w:ascii="Arial" w:hAnsi="Arial" w:cs="Arial"/>
          <w:sz w:val="20"/>
        </w:rPr>
        <w:t>(1998) 159 ALR 260.</w:t>
      </w:r>
    </w:p>
    <w:p w14:paraId="32AC7417" w14:textId="28F93466" w:rsidR="00266727" w:rsidRDefault="00266727" w:rsidP="00266727">
      <w:pPr>
        <w:spacing w:before="60"/>
        <w:ind w:left="567" w:right="567"/>
        <w:jc w:val="both"/>
        <w:rPr>
          <w:rFonts w:ascii="Arial" w:hAnsi="Arial" w:cs="Arial"/>
          <w:sz w:val="20"/>
        </w:rPr>
      </w:pPr>
      <w:r>
        <w:rPr>
          <w:rFonts w:ascii="Arial" w:hAnsi="Arial" w:cs="Arial"/>
          <w:sz w:val="20"/>
        </w:rPr>
        <w:t xml:space="preserve">[28] </w:t>
      </w:r>
      <w:r w:rsidRPr="00E24638">
        <w:rPr>
          <w:rFonts w:ascii="Arial" w:hAnsi="Arial" w:cs="Arial"/>
          <w:sz w:val="20"/>
        </w:rPr>
        <w:t xml:space="preserve">Like arguments, which perhaps find some development in obscure corners of the internet, were put to, and rejected by, Solomon J in </w:t>
      </w:r>
      <w:r w:rsidRPr="00266727">
        <w:rPr>
          <w:rFonts w:ascii="Arial" w:hAnsi="Arial" w:cs="Arial"/>
          <w:i/>
          <w:iCs/>
          <w:sz w:val="20"/>
        </w:rPr>
        <w:t>Yap v Matic</w:t>
      </w:r>
      <w:r w:rsidRPr="00E24638">
        <w:rPr>
          <w:rFonts w:ascii="Arial" w:hAnsi="Arial" w:cs="Arial"/>
          <w:sz w:val="20"/>
        </w:rPr>
        <w:t xml:space="preserve"> </w:t>
      </w:r>
      <w:r w:rsidR="009A3F42" w:rsidRPr="00E24638">
        <w:rPr>
          <w:rFonts w:ascii="Arial" w:hAnsi="Arial" w:cs="Arial"/>
          <w:sz w:val="20"/>
        </w:rPr>
        <w:t>[2022] WASC 181, [61]</w:t>
      </w:r>
      <w:r w:rsidR="006A4D3F">
        <w:rPr>
          <w:rFonts w:ascii="Arial" w:hAnsi="Arial" w:cs="Arial"/>
          <w:sz w:val="20"/>
        </w:rPr>
        <w:t>.</w:t>
      </w:r>
      <w:r w:rsidRPr="00E24638">
        <w:rPr>
          <w:rFonts w:ascii="Arial" w:hAnsi="Arial" w:cs="Arial"/>
          <w:sz w:val="20"/>
        </w:rPr>
        <w:t xml:space="preserve"> I</w:t>
      </w:r>
      <w:r w:rsidR="006A4D3F">
        <w:rPr>
          <w:rFonts w:ascii="Arial" w:hAnsi="Arial" w:cs="Arial"/>
          <w:sz w:val="20"/>
        </w:rPr>
        <w:t> </w:t>
      </w:r>
      <w:r w:rsidRPr="00E24638">
        <w:rPr>
          <w:rFonts w:ascii="Arial" w:hAnsi="Arial" w:cs="Arial"/>
          <w:sz w:val="20"/>
        </w:rPr>
        <w:t>agree with his Honour’s statement that:</w:t>
      </w:r>
    </w:p>
    <w:p w14:paraId="6E01A3F8" w14:textId="6136841F" w:rsidR="00266727" w:rsidRPr="00266727" w:rsidRDefault="00266727" w:rsidP="00266727">
      <w:pPr>
        <w:spacing w:before="60"/>
        <w:ind w:left="1021" w:right="1021"/>
        <w:jc w:val="both"/>
        <w:rPr>
          <w:rFonts w:ascii="Arial" w:hAnsi="Arial" w:cs="Arial"/>
          <w:sz w:val="20"/>
        </w:rPr>
      </w:pPr>
      <w:r w:rsidRPr="00266727">
        <w:rPr>
          <w:rFonts w:ascii="Arial" w:hAnsi="Arial" w:cs="Arial"/>
          <w:sz w:val="18"/>
          <w:szCs w:val="18"/>
        </w:rPr>
        <w:t>Insofar as it asserts a distinction between the fictional 'PERSON' na</w:t>
      </w:r>
      <w:r w:rsidR="005D5DB5">
        <w:rPr>
          <w:rFonts w:ascii="Arial" w:hAnsi="Arial" w:cs="Arial"/>
          <w:sz w:val="18"/>
          <w:szCs w:val="18"/>
        </w:rPr>
        <w:t>m</w:t>
      </w:r>
      <w:r w:rsidRPr="00266727">
        <w:rPr>
          <w:rFonts w:ascii="Arial" w:hAnsi="Arial" w:cs="Arial"/>
          <w:sz w:val="18"/>
          <w:szCs w:val="18"/>
        </w:rPr>
        <w:t>ed as the defendant in these proceedings and Mr Matic himself, it is a distinction that is neither recognised by the law nor suggested by rational observation. Mr Matic is quite entitled to his belief in that distinction, but it is not one that can impact upon the court's jurisdiction.</w:t>
      </w:r>
      <w:r w:rsidRPr="00266727">
        <w:rPr>
          <w:rFonts w:ascii="Arial" w:hAnsi="Arial" w:cs="Arial"/>
          <w:sz w:val="18"/>
          <w:szCs w:val="22"/>
        </w:rPr>
        <w:t xml:space="preserve"> Mr</w:t>
      </w:r>
      <w:r w:rsidR="005D5DB5">
        <w:rPr>
          <w:rFonts w:ascii="Arial" w:hAnsi="Arial" w:cs="Arial"/>
          <w:sz w:val="18"/>
          <w:szCs w:val="22"/>
        </w:rPr>
        <w:t xml:space="preserve"> </w:t>
      </w:r>
      <w:r w:rsidRPr="00266727">
        <w:rPr>
          <w:rFonts w:ascii="Arial" w:hAnsi="Arial" w:cs="Arial"/>
          <w:sz w:val="18"/>
          <w:szCs w:val="22"/>
        </w:rPr>
        <w:t xml:space="preserve">Matic, as a person or as a 'living breathing man', capitalised or in lower case, is subject to the court's jurisdiction and required to comply </w:t>
      </w:r>
      <w:r w:rsidRPr="00E24638">
        <w:rPr>
          <w:rFonts w:ascii="Arial" w:hAnsi="Arial" w:cs="Arial"/>
          <w:sz w:val="20"/>
        </w:rPr>
        <w:t>with its orders.</w:t>
      </w:r>
    </w:p>
    <w:p w14:paraId="1B062F34" w14:textId="72DE8F17" w:rsidR="009A3F42" w:rsidRDefault="009A3F42" w:rsidP="005D5DB5">
      <w:pPr>
        <w:spacing w:before="60"/>
        <w:ind w:left="567" w:right="567"/>
        <w:jc w:val="both"/>
        <w:rPr>
          <w:rFonts w:ascii="Arial" w:hAnsi="Arial" w:cs="Arial"/>
          <w:sz w:val="20"/>
        </w:rPr>
      </w:pPr>
      <w:r w:rsidRPr="009A3F42">
        <w:rPr>
          <w:rFonts w:ascii="Arial" w:hAnsi="Arial" w:cs="Arial"/>
          <w:sz w:val="20"/>
        </w:rPr>
        <w:t xml:space="preserve">See also </w:t>
      </w:r>
      <w:r w:rsidRPr="009A3F42">
        <w:rPr>
          <w:rFonts w:ascii="Arial" w:hAnsi="Arial" w:cs="Arial"/>
          <w:i/>
          <w:iCs/>
          <w:sz w:val="20"/>
        </w:rPr>
        <w:t>Deputy Commissioner of Taxation v Bonaccorso (No.3)</w:t>
      </w:r>
      <w:r w:rsidRPr="009A3F42">
        <w:rPr>
          <w:rFonts w:ascii="Arial" w:hAnsi="Arial" w:cs="Arial"/>
          <w:sz w:val="20"/>
        </w:rPr>
        <w:t xml:space="preserve"> [2016] NSWSC 1018, where Garling J struck out a pleading that advanced similar notions and </w:t>
      </w:r>
      <w:r w:rsidRPr="008409DA">
        <w:rPr>
          <w:rFonts w:ascii="Arial" w:hAnsi="Arial" w:cs="Arial"/>
          <w:i/>
          <w:iCs/>
          <w:sz w:val="20"/>
        </w:rPr>
        <w:t>Deputy Commissioner of Taxation v Palmer (No 2)</w:t>
      </w:r>
      <w:r w:rsidRPr="009A3F42">
        <w:rPr>
          <w:rFonts w:ascii="Arial" w:hAnsi="Arial" w:cs="Arial"/>
          <w:sz w:val="20"/>
        </w:rPr>
        <w:t xml:space="preserve"> [2022] VCC 2001, another case where Judge Macnamara rejected, </w:t>
      </w:r>
      <w:r w:rsidRPr="008409DA">
        <w:rPr>
          <w:rFonts w:ascii="Arial" w:hAnsi="Arial" w:cs="Arial"/>
          <w:i/>
          <w:iCs/>
          <w:sz w:val="20"/>
        </w:rPr>
        <w:t>inter alia</w:t>
      </w:r>
      <w:r w:rsidRPr="009A3F42">
        <w:rPr>
          <w:rFonts w:ascii="Arial" w:hAnsi="Arial" w:cs="Arial"/>
          <w:sz w:val="20"/>
        </w:rPr>
        <w:t>, like submissions at [15], [16], [62].</w:t>
      </w:r>
    </w:p>
    <w:p w14:paraId="104CC52C" w14:textId="72583D6F" w:rsidR="005D5DB5" w:rsidRDefault="005D5DB5" w:rsidP="005D5DB5">
      <w:pPr>
        <w:spacing w:before="60"/>
        <w:ind w:left="567" w:right="567"/>
        <w:jc w:val="both"/>
        <w:rPr>
          <w:rFonts w:ascii="Arial" w:hAnsi="Arial" w:cs="Arial"/>
          <w:b/>
          <w:bCs/>
          <w:sz w:val="20"/>
        </w:rPr>
      </w:pPr>
      <w:r>
        <w:rPr>
          <w:rFonts w:ascii="Arial" w:hAnsi="Arial" w:cs="Arial"/>
          <w:sz w:val="20"/>
        </w:rPr>
        <w:t xml:space="preserve">[29] </w:t>
      </w:r>
      <w:r w:rsidRPr="00E24638">
        <w:rPr>
          <w:rFonts w:ascii="Arial" w:hAnsi="Arial" w:cs="Arial"/>
          <w:sz w:val="20"/>
        </w:rPr>
        <w:t xml:space="preserve">In this court, like arguments were rejected by Ginnane J in </w:t>
      </w:r>
      <w:r w:rsidRPr="008409DA">
        <w:rPr>
          <w:rFonts w:ascii="Arial" w:hAnsi="Arial" w:cs="Arial"/>
          <w:i/>
          <w:iCs/>
          <w:sz w:val="20"/>
        </w:rPr>
        <w:t>Monteith v Fitzgerald</w:t>
      </w:r>
      <w:r w:rsidRPr="00E24638">
        <w:rPr>
          <w:rFonts w:ascii="Arial" w:hAnsi="Arial" w:cs="Arial"/>
          <w:sz w:val="20"/>
        </w:rPr>
        <w:t xml:space="preserve"> </w:t>
      </w:r>
      <w:r w:rsidR="008409DA" w:rsidRPr="008409DA">
        <w:rPr>
          <w:rFonts w:ascii="Arial" w:hAnsi="Arial" w:cs="Arial"/>
          <w:sz w:val="20"/>
        </w:rPr>
        <w:t>[2018] VSC 217</w:t>
      </w:r>
      <w:r w:rsidR="008409DA">
        <w:rPr>
          <w:rFonts w:ascii="Arial" w:hAnsi="Arial" w:cs="Arial"/>
          <w:sz w:val="20"/>
        </w:rPr>
        <w:t>.</w:t>
      </w:r>
      <w:r w:rsidRPr="00E24638">
        <w:rPr>
          <w:rFonts w:ascii="Arial" w:hAnsi="Arial" w:cs="Arial"/>
          <w:sz w:val="20"/>
        </w:rPr>
        <w:t xml:space="preserve"> In that case, as here, there was no challenge to the sufficiency of evidence to prove the charges, the challenge was to the jurisdiction of the magistrate. It was, in substance, put, as in this case, that the magistrate erred in determining that they had jurisdiction to hear and determine the charges. </w:t>
      </w:r>
      <w:r w:rsidRPr="005D5DB5">
        <w:rPr>
          <w:rFonts w:ascii="Arial" w:hAnsi="Arial" w:cs="Arial"/>
          <w:b/>
          <w:bCs/>
          <w:sz w:val="20"/>
        </w:rPr>
        <w:t>Busy judicial officers in the lower courts should not be troubled by such nonsense as is developed around these fatuous notions of ‘living man’ and ‘sovereign citizen’.</w:t>
      </w:r>
    </w:p>
    <w:p w14:paraId="016743ED" w14:textId="4AEA28BD" w:rsidR="005D5DB5" w:rsidRPr="005D5DB5" w:rsidRDefault="005D5DB5" w:rsidP="005D5DB5">
      <w:pPr>
        <w:spacing w:before="60"/>
        <w:ind w:left="567" w:right="567"/>
        <w:jc w:val="both"/>
        <w:rPr>
          <w:rFonts w:ascii="Arial" w:hAnsi="Arial" w:cs="Arial"/>
          <w:sz w:val="20"/>
        </w:rPr>
      </w:pPr>
      <w:r w:rsidRPr="005D5DB5">
        <w:rPr>
          <w:rFonts w:ascii="Arial" w:hAnsi="Arial" w:cs="Arial"/>
          <w:sz w:val="20"/>
        </w:rPr>
        <w:t xml:space="preserve">[30] </w:t>
      </w:r>
      <w:r w:rsidRPr="00E24638">
        <w:rPr>
          <w:rFonts w:ascii="Arial" w:hAnsi="Arial" w:cs="Arial"/>
          <w:sz w:val="20"/>
        </w:rPr>
        <w:t xml:space="preserve">There was no error by the magistrate in assuming jurisdiction to hear a summary offence under the </w:t>
      </w:r>
      <w:r w:rsidRPr="005D5DB5">
        <w:rPr>
          <w:rFonts w:ascii="Arial" w:hAnsi="Arial" w:cs="Arial"/>
          <w:i/>
          <w:iCs/>
          <w:sz w:val="20"/>
        </w:rPr>
        <w:t>Road Safety Act</w:t>
      </w:r>
      <w:r w:rsidRPr="00E24638">
        <w:rPr>
          <w:rFonts w:ascii="Arial" w:hAnsi="Arial" w:cs="Arial"/>
          <w:sz w:val="20"/>
        </w:rPr>
        <w:t xml:space="preserve"> against a driver involving a vehicle being driven in a manner contrary to the statutory regulatory scheme enacted to protect the safety of all road users.</w:t>
      </w:r>
      <w:r>
        <w:rPr>
          <w:rFonts w:ascii="Arial" w:hAnsi="Arial" w:cs="Arial"/>
          <w:sz w:val="20"/>
        </w:rPr>
        <w:t>”</w:t>
      </w:r>
    </w:p>
    <w:p w14:paraId="6C28F300" w14:textId="77777777" w:rsidR="005000C4" w:rsidRDefault="005000C4" w:rsidP="005000C4">
      <w:pPr>
        <w:jc w:val="both"/>
        <w:rPr>
          <w:rFonts w:ascii="Arial" w:hAnsi="Arial" w:cs="Arial"/>
          <w:sz w:val="20"/>
        </w:rPr>
      </w:pPr>
    </w:p>
    <w:p w14:paraId="79FF319F" w14:textId="77777777" w:rsidR="005000C4" w:rsidRDefault="005000C4" w:rsidP="005000C4">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63EBDD63" w14:textId="77777777" w:rsidR="005959AC" w:rsidRPr="005959AC" w:rsidRDefault="005959AC" w:rsidP="005959AC">
      <w:pPr>
        <w:pStyle w:val="ListParagraph"/>
        <w:ind w:left="0"/>
        <w:jc w:val="both"/>
        <w:rPr>
          <w:rFonts w:ascii="Arial" w:hAnsi="Arial" w:cs="Arial"/>
          <w:sz w:val="22"/>
          <w:szCs w:val="28"/>
        </w:rPr>
      </w:pPr>
    </w:p>
    <w:p w14:paraId="4E1F8CE2" w14:textId="2B6C9823" w:rsidR="005000C4" w:rsidRDefault="005000C4">
      <w:pPr>
        <w:rPr>
          <w:rFonts w:ascii="Arial" w:hAnsi="Arial" w:cs="Arial"/>
          <w:sz w:val="20"/>
        </w:rPr>
      </w:pPr>
      <w:r>
        <w:rPr>
          <w:rFonts w:ascii="Arial" w:hAnsi="Arial" w:cs="Arial"/>
          <w:sz w:val="20"/>
        </w:rPr>
        <w:br w:type="page"/>
      </w:r>
    </w:p>
    <w:bookmarkEnd w:id="470"/>
    <w:bookmarkEnd w:id="472"/>
    <w:p w14:paraId="111A9D06" w14:textId="6D8B8448" w:rsidR="00B21DA4" w:rsidRPr="001A1BF2" w:rsidRDefault="00B21DA4" w:rsidP="005000C4">
      <w:pPr>
        <w:pStyle w:val="Heading2"/>
        <w:tabs>
          <w:tab w:val="left" w:pos="567"/>
        </w:tabs>
        <w:spacing w:line="240" w:lineRule="auto"/>
        <w:rPr>
          <w:rFonts w:ascii="Arial" w:hAnsi="Arial" w:cs="Arial"/>
          <w:b/>
          <w:bCs/>
          <w:color w:val="000000"/>
        </w:rPr>
      </w:pPr>
      <w:r w:rsidRPr="001A1BF2">
        <w:rPr>
          <w:rFonts w:ascii="Arial" w:hAnsi="Arial" w:cs="Arial"/>
          <w:b/>
          <w:bCs/>
          <w:color w:val="000000"/>
        </w:rPr>
        <w:lastRenderedPageBreak/>
        <w:t>3.5</w:t>
      </w:r>
      <w:r w:rsidRPr="001A1BF2">
        <w:rPr>
          <w:rFonts w:ascii="Arial" w:hAnsi="Arial" w:cs="Arial"/>
          <w:b/>
          <w:bCs/>
          <w:color w:val="000000"/>
        </w:rPr>
        <w:tab/>
        <w:t>What happens in court</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62BB1167" w14:textId="06A5EDE0" w:rsidR="009A2F63" w:rsidRDefault="009A2F63" w:rsidP="009A2F63">
      <w:pPr>
        <w:spacing w:before="120"/>
        <w:jc w:val="both"/>
        <w:rPr>
          <w:rFonts w:ascii="Arial" w:hAnsi="Arial" w:cs="Arial"/>
          <w:color w:val="000000"/>
          <w:sz w:val="20"/>
        </w:rPr>
      </w:pPr>
      <w:r>
        <w:rPr>
          <w:rFonts w:ascii="Arial" w:hAnsi="Arial" w:cs="Arial"/>
          <w:color w:val="000000"/>
          <w:sz w:val="20"/>
        </w:rPr>
        <w:t xml:space="preserve">All </w:t>
      </w:r>
      <w:r w:rsidR="002B489D">
        <w:rPr>
          <w:rFonts w:ascii="Arial" w:hAnsi="Arial" w:cs="Arial"/>
          <w:color w:val="000000"/>
          <w:sz w:val="20"/>
        </w:rPr>
        <w:t xml:space="preserve">Court </w:t>
      </w:r>
      <w:r>
        <w:rPr>
          <w:rFonts w:ascii="Arial" w:hAnsi="Arial" w:cs="Arial"/>
          <w:color w:val="000000"/>
          <w:sz w:val="20"/>
        </w:rPr>
        <w:t xml:space="preserve">proceedings in the Children’s Court are </w:t>
      </w:r>
      <w:r w:rsidR="00E35E20">
        <w:rPr>
          <w:rFonts w:ascii="Arial" w:hAnsi="Arial" w:cs="Arial"/>
          <w:color w:val="000000"/>
          <w:sz w:val="20"/>
        </w:rPr>
        <w:t xml:space="preserve">digitally </w:t>
      </w:r>
      <w:r>
        <w:rPr>
          <w:rFonts w:ascii="Arial" w:hAnsi="Arial" w:cs="Arial"/>
          <w:color w:val="000000"/>
          <w:sz w:val="20"/>
        </w:rPr>
        <w:t>recorded</w:t>
      </w:r>
      <w:r w:rsidR="004D5892">
        <w:rPr>
          <w:rFonts w:ascii="Arial" w:hAnsi="Arial" w:cs="Arial"/>
          <w:color w:val="000000"/>
          <w:sz w:val="20"/>
        </w:rPr>
        <w:t xml:space="preserve"> in accordance with </w:t>
      </w:r>
      <w:r>
        <w:rPr>
          <w:rFonts w:ascii="Arial" w:hAnsi="Arial" w:cs="Arial"/>
          <w:color w:val="000000"/>
          <w:sz w:val="20"/>
        </w:rPr>
        <w:t xml:space="preserve">s.19A </w:t>
      </w:r>
      <w:r w:rsidRPr="009A2F63">
        <w:rPr>
          <w:rFonts w:ascii="Arial" w:hAnsi="Arial" w:cs="Arial"/>
          <w:i/>
          <w:iCs/>
          <w:color w:val="000000"/>
          <w:sz w:val="20"/>
        </w:rPr>
        <w:t>Magistrates’ Court Act 1989</w:t>
      </w:r>
      <w:r>
        <w:rPr>
          <w:rFonts w:ascii="Arial" w:hAnsi="Arial" w:cs="Arial"/>
          <w:color w:val="000000"/>
          <w:sz w:val="20"/>
        </w:rPr>
        <w:t xml:space="preserve"> read in conjunction with s.528(2)(a) CYFA.</w:t>
      </w:r>
      <w:r w:rsidR="004D5892">
        <w:rPr>
          <w:rFonts w:ascii="Arial" w:hAnsi="Arial" w:cs="Arial"/>
          <w:color w:val="000000"/>
          <w:sz w:val="20"/>
        </w:rPr>
        <w:t xml:space="preserve"> See also </w:t>
      </w:r>
      <w:r w:rsidR="004D5892" w:rsidRPr="00A975E6">
        <w:rPr>
          <w:rFonts w:ascii="Arial" w:hAnsi="Arial" w:cs="Arial"/>
          <w:b/>
          <w:bCs/>
          <w:color w:val="000000"/>
          <w:sz w:val="20"/>
          <w:shd w:val="clear" w:color="auto" w:fill="C5E0B3" w:themeFill="accent6" w:themeFillTint="66"/>
        </w:rPr>
        <w:t>section 2.7.6</w:t>
      </w:r>
      <w:r w:rsidR="004D5892">
        <w:rPr>
          <w:rFonts w:ascii="Arial" w:hAnsi="Arial" w:cs="Arial"/>
          <w:color w:val="000000"/>
          <w:sz w:val="20"/>
        </w:rPr>
        <w:t>.</w:t>
      </w:r>
    </w:p>
    <w:p w14:paraId="2039956B" w14:textId="4A86B561" w:rsidR="009A2F63" w:rsidRDefault="009A2F63">
      <w:pPr>
        <w:rPr>
          <w:rFonts w:ascii="Arial" w:hAnsi="Arial" w:cs="Arial"/>
          <w:color w:val="000000"/>
          <w:sz w:val="20"/>
        </w:rPr>
      </w:pPr>
    </w:p>
    <w:p w14:paraId="2CDF7E95" w14:textId="77777777" w:rsidR="00B21DA4" w:rsidRPr="001A1BF2" w:rsidRDefault="00B21DA4" w:rsidP="009774DD">
      <w:pPr>
        <w:pStyle w:val="Heading3"/>
        <w:widowControl/>
        <w:spacing w:after="120" w:line="240" w:lineRule="auto"/>
        <w:rPr>
          <w:rFonts w:ascii="Arial" w:hAnsi="Arial" w:cs="Arial"/>
          <w:b/>
          <w:bCs/>
          <w:color w:val="000000"/>
          <w:sz w:val="20"/>
        </w:rPr>
      </w:pPr>
      <w:bookmarkStart w:id="473" w:name="_3.5.1_Preparation"/>
      <w:bookmarkStart w:id="474" w:name="B351"/>
      <w:bookmarkStart w:id="475" w:name="_Toc30649712"/>
      <w:bookmarkStart w:id="476" w:name="_Toc30651649"/>
      <w:bookmarkStart w:id="477" w:name="_Toc30652633"/>
      <w:bookmarkStart w:id="478" w:name="_Toc30652731"/>
      <w:bookmarkStart w:id="479" w:name="_Toc30654076"/>
      <w:bookmarkStart w:id="480" w:name="_Toc30654427"/>
      <w:bookmarkStart w:id="481" w:name="_Toc30655046"/>
      <w:bookmarkStart w:id="482" w:name="_Toc30655303"/>
      <w:bookmarkStart w:id="483" w:name="_Toc30656981"/>
      <w:bookmarkStart w:id="484" w:name="_Toc30661730"/>
      <w:bookmarkStart w:id="485" w:name="_Toc30666418"/>
      <w:bookmarkStart w:id="486" w:name="_Toc30666648"/>
      <w:bookmarkStart w:id="487" w:name="_Toc30667823"/>
      <w:bookmarkStart w:id="488" w:name="_Toc30669201"/>
      <w:bookmarkStart w:id="489" w:name="_Toc30671417"/>
      <w:bookmarkStart w:id="490" w:name="_Toc30673944"/>
      <w:bookmarkStart w:id="491" w:name="_Toc30691166"/>
      <w:bookmarkStart w:id="492" w:name="_Toc30691537"/>
      <w:bookmarkStart w:id="493" w:name="_Toc30691917"/>
      <w:bookmarkStart w:id="494" w:name="_Toc30692676"/>
      <w:bookmarkStart w:id="495" w:name="_Toc30693055"/>
      <w:bookmarkStart w:id="496" w:name="_Toc30693433"/>
      <w:bookmarkStart w:id="497" w:name="_Toc30693812"/>
      <w:bookmarkStart w:id="498" w:name="_Toc30694193"/>
      <w:bookmarkStart w:id="499" w:name="_Toc30698782"/>
      <w:bookmarkStart w:id="500" w:name="_Toc30699160"/>
      <w:bookmarkStart w:id="501" w:name="_Toc30699545"/>
      <w:bookmarkStart w:id="502" w:name="_Toc30700700"/>
      <w:bookmarkStart w:id="503" w:name="_Toc30701087"/>
      <w:bookmarkStart w:id="504" w:name="_Toc30743696"/>
      <w:bookmarkStart w:id="505" w:name="_Toc30754518"/>
      <w:bookmarkStart w:id="506" w:name="_Toc30756958"/>
      <w:bookmarkStart w:id="507" w:name="_Toc30757507"/>
      <w:bookmarkStart w:id="508" w:name="_Toc30757907"/>
      <w:bookmarkStart w:id="509" w:name="_Toc30762668"/>
      <w:bookmarkStart w:id="510" w:name="_Toc30767322"/>
      <w:bookmarkStart w:id="511" w:name="_Toc34823338"/>
      <w:bookmarkEnd w:id="473"/>
      <w:bookmarkEnd w:id="474"/>
      <w:r w:rsidRPr="001A1BF2">
        <w:rPr>
          <w:rFonts w:ascii="Arial" w:hAnsi="Arial" w:cs="Arial"/>
          <w:b/>
          <w:bCs/>
          <w:color w:val="000000"/>
          <w:sz w:val="20"/>
        </w:rPr>
        <w:t>3.5.1</w:t>
      </w:r>
      <w:r w:rsidRPr="001A1BF2">
        <w:rPr>
          <w:rFonts w:ascii="Arial" w:hAnsi="Arial" w:cs="Arial"/>
          <w:b/>
          <w:bCs/>
          <w:color w:val="000000"/>
          <w:sz w:val="20"/>
        </w:rPr>
        <w:tab/>
        <w:t>Preparation</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1507D8B2" w14:textId="2699DACC" w:rsidR="00B21DA4" w:rsidRPr="001A1BF2" w:rsidRDefault="00B21DA4">
      <w:pPr>
        <w:jc w:val="both"/>
        <w:rPr>
          <w:rFonts w:ascii="Arial" w:hAnsi="Arial" w:cs="Arial"/>
          <w:color w:val="000000"/>
          <w:sz w:val="20"/>
        </w:rPr>
      </w:pPr>
      <w:r w:rsidRPr="001A1BF2">
        <w:rPr>
          <w:rFonts w:ascii="Arial" w:hAnsi="Arial" w:cs="Arial"/>
          <w:color w:val="000000"/>
          <w:sz w:val="20"/>
        </w:rPr>
        <w:t>Before a case goes before a judicial officer, it is prepared by the legal practitioners representing the various parties. The parties may negotiate a settlement at any time before or during a hearing before an order is made and entered by the Court into the records of the Court</w:t>
      </w:r>
      <w:r w:rsidR="00110910">
        <w:rPr>
          <w:rFonts w:ascii="Arial" w:hAnsi="Arial" w:cs="Arial"/>
          <w:color w:val="000000"/>
          <w:sz w:val="20"/>
        </w:rPr>
        <w:t>.</w:t>
      </w:r>
      <w:r w:rsidRPr="001A1BF2">
        <w:rPr>
          <w:rFonts w:ascii="Arial" w:hAnsi="Arial" w:cs="Arial"/>
          <w:color w:val="000000"/>
          <w:sz w:val="20"/>
        </w:rPr>
        <w:t xml:space="preserve"> However, while the Court usually accepts a settlement and makes consent orders, it is not bound to do so.</w:t>
      </w:r>
      <w:r w:rsidR="005A00C5">
        <w:rPr>
          <w:rFonts w:ascii="Arial" w:hAnsi="Arial" w:cs="Arial"/>
          <w:color w:val="000000"/>
          <w:sz w:val="20"/>
        </w:rPr>
        <w:t xml:space="preserve"> This is especially true of child protection proceedings in the Family Division of the Children’s Court where the Court has an </w:t>
      </w:r>
      <w:r w:rsidR="006426B4">
        <w:rPr>
          <w:rFonts w:ascii="Arial" w:hAnsi="Arial" w:cs="Arial"/>
          <w:color w:val="000000"/>
          <w:sz w:val="20"/>
        </w:rPr>
        <w:t xml:space="preserve">independent </w:t>
      </w:r>
      <w:r w:rsidR="005A00C5">
        <w:rPr>
          <w:rFonts w:ascii="Arial" w:hAnsi="Arial" w:cs="Arial"/>
          <w:color w:val="000000"/>
          <w:sz w:val="20"/>
        </w:rPr>
        <w:t>underlying duty to ensure that orders made by it are in the best interests of the subject child</w:t>
      </w:r>
      <w:r w:rsidR="0063109C">
        <w:rPr>
          <w:rFonts w:ascii="Arial" w:hAnsi="Arial" w:cs="Arial"/>
          <w:color w:val="000000"/>
          <w:sz w:val="20"/>
        </w:rPr>
        <w:t>: see ss.8(1) &amp; 10 of the CYFA</w:t>
      </w:r>
      <w:r w:rsidR="005A00C5">
        <w:rPr>
          <w:rFonts w:ascii="Arial" w:hAnsi="Arial" w:cs="Arial"/>
          <w:color w:val="000000"/>
          <w:sz w:val="20"/>
        </w:rPr>
        <w:t>.</w:t>
      </w:r>
    </w:p>
    <w:p w14:paraId="15279957" w14:textId="44CA6CDE" w:rsidR="00B77BA2" w:rsidRDefault="00B77BA2">
      <w:pPr>
        <w:rPr>
          <w:rFonts w:ascii="Arial" w:hAnsi="Arial" w:cs="Arial"/>
          <w:color w:val="000000"/>
          <w:sz w:val="20"/>
        </w:rPr>
      </w:pPr>
    </w:p>
    <w:p w14:paraId="4A1AA264" w14:textId="77777777" w:rsidR="00B21DA4" w:rsidRDefault="00B21DA4" w:rsidP="00212E60">
      <w:pPr>
        <w:pStyle w:val="Heading3"/>
        <w:keepNext/>
        <w:spacing w:after="120" w:line="240" w:lineRule="auto"/>
        <w:rPr>
          <w:rFonts w:ascii="Arial" w:hAnsi="Arial" w:cs="Arial"/>
          <w:b/>
          <w:bCs/>
          <w:sz w:val="20"/>
        </w:rPr>
      </w:pPr>
      <w:bookmarkStart w:id="512" w:name="_3.5.2_Mention"/>
      <w:bookmarkStart w:id="513" w:name="B352"/>
      <w:bookmarkStart w:id="514" w:name="_Toc30649714"/>
      <w:bookmarkStart w:id="515" w:name="_Toc30651651"/>
      <w:bookmarkStart w:id="516" w:name="_Toc30652635"/>
      <w:bookmarkStart w:id="517" w:name="_Toc30652733"/>
      <w:bookmarkStart w:id="518" w:name="_Toc30654078"/>
      <w:bookmarkStart w:id="519" w:name="_Toc30654429"/>
      <w:bookmarkStart w:id="520" w:name="_Toc30655048"/>
      <w:bookmarkStart w:id="521" w:name="_Toc30655305"/>
      <w:bookmarkStart w:id="522" w:name="_Toc30656983"/>
      <w:bookmarkStart w:id="523" w:name="_Toc30661732"/>
      <w:bookmarkStart w:id="524" w:name="_Toc30666420"/>
      <w:bookmarkStart w:id="525" w:name="_Toc30666650"/>
      <w:bookmarkStart w:id="526" w:name="_Toc30667825"/>
      <w:bookmarkStart w:id="527" w:name="_Toc30669203"/>
      <w:bookmarkStart w:id="528" w:name="_Toc30671419"/>
      <w:bookmarkStart w:id="529" w:name="_Toc30673946"/>
      <w:bookmarkStart w:id="530" w:name="_Toc30691168"/>
      <w:bookmarkStart w:id="531" w:name="_Toc30691539"/>
      <w:bookmarkStart w:id="532" w:name="_Toc30691919"/>
      <w:bookmarkStart w:id="533" w:name="_Toc30692678"/>
      <w:bookmarkStart w:id="534" w:name="_Toc30693057"/>
      <w:bookmarkStart w:id="535" w:name="_Toc30693435"/>
      <w:bookmarkStart w:id="536" w:name="_Toc30693814"/>
      <w:bookmarkStart w:id="537" w:name="_Toc30694195"/>
      <w:bookmarkStart w:id="538" w:name="_Toc30698784"/>
      <w:bookmarkStart w:id="539" w:name="_Toc30699162"/>
      <w:bookmarkStart w:id="540" w:name="_Toc30699547"/>
      <w:bookmarkStart w:id="541" w:name="_Toc30700702"/>
      <w:bookmarkStart w:id="542" w:name="_Toc30701089"/>
      <w:bookmarkStart w:id="543" w:name="_Toc30743698"/>
      <w:bookmarkStart w:id="544" w:name="_Toc30754520"/>
      <w:bookmarkStart w:id="545" w:name="_Toc30756960"/>
      <w:bookmarkStart w:id="546" w:name="_Toc30757509"/>
      <w:bookmarkStart w:id="547" w:name="_Toc30757909"/>
      <w:bookmarkStart w:id="548" w:name="_Toc30762670"/>
      <w:bookmarkStart w:id="549" w:name="_Toc30767324"/>
      <w:bookmarkStart w:id="550" w:name="_Toc34823340"/>
      <w:bookmarkEnd w:id="512"/>
      <w:bookmarkEnd w:id="513"/>
      <w:r>
        <w:rPr>
          <w:rFonts w:ascii="Arial" w:hAnsi="Arial" w:cs="Arial"/>
          <w:b/>
          <w:bCs/>
          <w:sz w:val="20"/>
        </w:rPr>
        <w:t>3.5.</w:t>
      </w:r>
      <w:r w:rsidR="00651711">
        <w:rPr>
          <w:rFonts w:ascii="Arial" w:hAnsi="Arial" w:cs="Arial"/>
          <w:b/>
          <w:bCs/>
          <w:sz w:val="20"/>
        </w:rPr>
        <w:t>2</w:t>
      </w:r>
      <w:r>
        <w:rPr>
          <w:rFonts w:ascii="Arial" w:hAnsi="Arial" w:cs="Arial"/>
          <w:b/>
          <w:bCs/>
          <w:sz w:val="20"/>
        </w:rPr>
        <w:tab/>
        <w:t>Mention</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7AD4B5A2" w14:textId="72DFCFC1" w:rsidR="00B21DA4" w:rsidRDefault="00B21DA4" w:rsidP="00440E22">
      <w:pPr>
        <w:jc w:val="both"/>
        <w:rPr>
          <w:rFonts w:ascii="Arial" w:hAnsi="Arial" w:cs="Arial"/>
          <w:sz w:val="20"/>
        </w:rPr>
      </w:pPr>
      <w:r>
        <w:rPr>
          <w:rFonts w:ascii="Arial" w:hAnsi="Arial" w:cs="Arial"/>
          <w:sz w:val="20"/>
        </w:rPr>
        <w:t xml:space="preserve">All cases, in both Divisions of the Court, are initially listed for </w:t>
      </w:r>
      <w:r w:rsidR="000F0BE9">
        <w:rPr>
          <w:rFonts w:ascii="Arial" w:hAnsi="Arial" w:cs="Arial"/>
          <w:sz w:val="20"/>
        </w:rPr>
        <w:t>“</w:t>
      </w:r>
      <w:r>
        <w:rPr>
          <w:rFonts w:ascii="Arial" w:hAnsi="Arial" w:cs="Arial"/>
          <w:sz w:val="20"/>
        </w:rPr>
        <w:t>mention</w:t>
      </w:r>
      <w:r w:rsidR="000F0BE9">
        <w:rPr>
          <w:rFonts w:ascii="Arial" w:hAnsi="Arial" w:cs="Arial"/>
          <w:sz w:val="20"/>
        </w:rPr>
        <w:t>”</w:t>
      </w:r>
      <w:r>
        <w:rPr>
          <w:rFonts w:ascii="Arial" w:hAnsi="Arial" w:cs="Arial"/>
          <w:sz w:val="20"/>
        </w:rPr>
        <w:t>. These are fairly informal hearings at which witnesses are generally not called. At a mention each of the parties is given an opportunity to say in summary what he or she considers should happen to the case, i.e. whether final or interim orders should be made or the case should be adjourned, on terms or otherwise, for mediation or contest.  If the parties do not agree on a settlement, the case will be adjourned:</w:t>
      </w:r>
    </w:p>
    <w:p w14:paraId="4D4909DA" w14:textId="6BDF060D" w:rsidR="00B21DA4" w:rsidRDefault="00B21DA4" w:rsidP="00731AFB">
      <w:pPr>
        <w:numPr>
          <w:ilvl w:val="0"/>
          <w:numId w:val="4"/>
        </w:numPr>
        <w:tabs>
          <w:tab w:val="clear" w:pos="360"/>
          <w:tab w:val="num" w:pos="363"/>
          <w:tab w:val="num" w:pos="720"/>
        </w:tabs>
        <w:ind w:left="363" w:hanging="363"/>
        <w:jc w:val="both"/>
        <w:rPr>
          <w:rFonts w:ascii="Arial" w:hAnsi="Arial" w:cs="Arial"/>
          <w:sz w:val="20"/>
        </w:rPr>
      </w:pPr>
      <w:r>
        <w:rPr>
          <w:rFonts w:ascii="Arial" w:hAnsi="Arial" w:cs="Arial"/>
          <w:sz w:val="20"/>
        </w:rPr>
        <w:t>in the Family Division for mediation (</w:t>
      </w:r>
      <w:r w:rsidR="008A1522">
        <w:rPr>
          <w:rFonts w:ascii="Arial" w:hAnsi="Arial" w:cs="Arial"/>
          <w:sz w:val="20"/>
        </w:rPr>
        <w:t>conciliation</w:t>
      </w:r>
      <w:r>
        <w:rPr>
          <w:rFonts w:ascii="Arial" w:hAnsi="Arial" w:cs="Arial"/>
          <w:sz w:val="20"/>
        </w:rPr>
        <w:t xml:space="preserve"> conference) and/or contest, the latter preceded by a </w:t>
      </w:r>
      <w:r w:rsidR="00AD093A">
        <w:rPr>
          <w:rFonts w:ascii="Arial" w:hAnsi="Arial" w:cs="Arial"/>
          <w:sz w:val="20"/>
        </w:rPr>
        <w:t>readiness</w:t>
      </w:r>
      <w:r>
        <w:rPr>
          <w:rFonts w:ascii="Arial" w:hAnsi="Arial" w:cs="Arial"/>
          <w:sz w:val="20"/>
        </w:rPr>
        <w:t xml:space="preserve"> hearing;</w:t>
      </w:r>
    </w:p>
    <w:p w14:paraId="060BCFBC" w14:textId="20B39497" w:rsidR="00B21DA4" w:rsidRDefault="00B21DA4" w:rsidP="00731AFB">
      <w:pPr>
        <w:numPr>
          <w:ilvl w:val="0"/>
          <w:numId w:val="4"/>
        </w:numPr>
        <w:tabs>
          <w:tab w:val="clear" w:pos="360"/>
          <w:tab w:val="num" w:pos="363"/>
          <w:tab w:val="num" w:pos="720"/>
        </w:tabs>
        <w:ind w:left="363" w:hanging="363"/>
        <w:jc w:val="both"/>
        <w:rPr>
          <w:rFonts w:ascii="Arial" w:hAnsi="Arial" w:cs="Arial"/>
          <w:sz w:val="20"/>
        </w:rPr>
      </w:pPr>
      <w:r>
        <w:rPr>
          <w:rFonts w:ascii="Arial" w:hAnsi="Arial" w:cs="Arial"/>
          <w:sz w:val="20"/>
        </w:rPr>
        <w:t xml:space="preserve">in the Criminal Division, for </w:t>
      </w:r>
      <w:r w:rsidR="00D62988">
        <w:rPr>
          <w:rFonts w:ascii="Arial" w:hAnsi="Arial" w:cs="Arial"/>
          <w:sz w:val="20"/>
        </w:rPr>
        <w:t xml:space="preserve">a </w:t>
      </w:r>
      <w:r>
        <w:rPr>
          <w:rFonts w:ascii="Arial" w:hAnsi="Arial" w:cs="Arial"/>
          <w:sz w:val="20"/>
        </w:rPr>
        <w:t>contest</w:t>
      </w:r>
      <w:r w:rsidR="0063109C">
        <w:rPr>
          <w:rFonts w:ascii="Arial" w:hAnsi="Arial" w:cs="Arial"/>
          <w:sz w:val="20"/>
        </w:rPr>
        <w:t xml:space="preserve"> </w:t>
      </w:r>
      <w:r>
        <w:rPr>
          <w:rFonts w:ascii="Arial" w:hAnsi="Arial" w:cs="Arial"/>
          <w:sz w:val="20"/>
        </w:rPr>
        <w:t>preceded by a contest mention</w:t>
      </w:r>
      <w:r w:rsidR="0063109C">
        <w:rPr>
          <w:rFonts w:ascii="Arial" w:hAnsi="Arial" w:cs="Arial"/>
          <w:sz w:val="20"/>
        </w:rPr>
        <w:t xml:space="preserve"> or for committal preceded by a committal mention.</w:t>
      </w:r>
    </w:p>
    <w:p w14:paraId="0378F432" w14:textId="77777777" w:rsidR="00024EBC" w:rsidRPr="00024EBC" w:rsidRDefault="00024EBC" w:rsidP="00024EBC">
      <w:pPr>
        <w:pStyle w:val="ListParagraph"/>
        <w:ind w:left="0"/>
        <w:jc w:val="both"/>
        <w:rPr>
          <w:rFonts w:ascii="Arial" w:hAnsi="Arial" w:cs="Arial"/>
          <w:sz w:val="20"/>
        </w:rPr>
      </w:pPr>
    </w:p>
    <w:p w14:paraId="6FDD42A1" w14:textId="071E69FC" w:rsidR="00651711" w:rsidRDefault="00651711" w:rsidP="00C42902">
      <w:pPr>
        <w:pStyle w:val="Heading3"/>
        <w:keepNext/>
        <w:keepLines/>
        <w:widowControl/>
        <w:spacing w:line="240" w:lineRule="auto"/>
        <w:rPr>
          <w:rFonts w:ascii="Arial" w:hAnsi="Arial" w:cs="Arial"/>
          <w:b/>
          <w:bCs/>
          <w:color w:val="000000"/>
          <w:sz w:val="20"/>
        </w:rPr>
      </w:pPr>
      <w:bookmarkStart w:id="551" w:name="_3.5.3_Evidence"/>
      <w:bookmarkStart w:id="552" w:name="_Toc30649713"/>
      <w:bookmarkStart w:id="553" w:name="_Toc30651650"/>
      <w:bookmarkStart w:id="554" w:name="_Toc30652634"/>
      <w:bookmarkStart w:id="555" w:name="_Toc30652732"/>
      <w:bookmarkStart w:id="556" w:name="_Toc30654077"/>
      <w:bookmarkStart w:id="557" w:name="_Toc30654428"/>
      <w:bookmarkStart w:id="558" w:name="_Toc30655047"/>
      <w:bookmarkStart w:id="559" w:name="_Toc30655304"/>
      <w:bookmarkStart w:id="560" w:name="_Toc30656982"/>
      <w:bookmarkStart w:id="561" w:name="_Toc30661731"/>
      <w:bookmarkStart w:id="562" w:name="_Toc30666419"/>
      <w:bookmarkStart w:id="563" w:name="_Toc30666649"/>
      <w:bookmarkStart w:id="564" w:name="_Toc30667824"/>
      <w:bookmarkStart w:id="565" w:name="_Toc30669202"/>
      <w:bookmarkStart w:id="566" w:name="_Toc30671418"/>
      <w:bookmarkStart w:id="567" w:name="_Toc30673945"/>
      <w:bookmarkStart w:id="568" w:name="_Toc30691167"/>
      <w:bookmarkStart w:id="569" w:name="_Toc30691538"/>
      <w:bookmarkStart w:id="570" w:name="_Toc30691918"/>
      <w:bookmarkStart w:id="571" w:name="_Toc30692677"/>
      <w:bookmarkStart w:id="572" w:name="_Toc30693056"/>
      <w:bookmarkStart w:id="573" w:name="_Toc30693434"/>
      <w:bookmarkStart w:id="574" w:name="_Toc30693813"/>
      <w:bookmarkStart w:id="575" w:name="_Toc30694194"/>
      <w:bookmarkStart w:id="576" w:name="_Toc30698783"/>
      <w:bookmarkStart w:id="577" w:name="_Toc30699161"/>
      <w:bookmarkStart w:id="578" w:name="_Toc30699546"/>
      <w:bookmarkStart w:id="579" w:name="_Toc30700701"/>
      <w:bookmarkStart w:id="580" w:name="_Toc30701088"/>
      <w:bookmarkStart w:id="581" w:name="_Toc30743697"/>
      <w:bookmarkStart w:id="582" w:name="_Toc30754519"/>
      <w:bookmarkStart w:id="583" w:name="_Toc30756959"/>
      <w:bookmarkStart w:id="584" w:name="_Toc30757508"/>
      <w:bookmarkStart w:id="585" w:name="_Toc30757908"/>
      <w:bookmarkStart w:id="586" w:name="_Toc30762669"/>
      <w:bookmarkStart w:id="587" w:name="_Toc30767323"/>
      <w:bookmarkStart w:id="588" w:name="_Toc34823339"/>
      <w:bookmarkEnd w:id="551"/>
      <w:r w:rsidRPr="001A1BF2">
        <w:rPr>
          <w:rFonts w:ascii="Arial" w:hAnsi="Arial" w:cs="Arial"/>
          <w:b/>
          <w:bCs/>
          <w:color w:val="000000"/>
          <w:sz w:val="20"/>
        </w:rPr>
        <w:t>3.5.</w:t>
      </w:r>
      <w:r>
        <w:rPr>
          <w:rFonts w:ascii="Arial" w:hAnsi="Arial" w:cs="Arial"/>
          <w:b/>
          <w:bCs/>
          <w:color w:val="000000"/>
          <w:sz w:val="20"/>
        </w:rPr>
        <w:t>3</w:t>
      </w:r>
      <w:r w:rsidRPr="001A1BF2">
        <w:rPr>
          <w:rFonts w:ascii="Arial" w:hAnsi="Arial" w:cs="Arial"/>
          <w:b/>
          <w:bCs/>
          <w:color w:val="000000"/>
          <w:sz w:val="20"/>
        </w:rPr>
        <w:tab/>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sidR="00C8544F">
        <w:rPr>
          <w:rFonts w:ascii="Arial" w:hAnsi="Arial" w:cs="Arial"/>
          <w:b/>
          <w:bCs/>
          <w:color w:val="000000"/>
          <w:sz w:val="20"/>
        </w:rPr>
        <w:t>Evidence</w:t>
      </w:r>
    </w:p>
    <w:p w14:paraId="65486ECB" w14:textId="77777777" w:rsidR="00DC519F" w:rsidRDefault="00244269" w:rsidP="00244269">
      <w:pPr>
        <w:spacing w:before="120"/>
        <w:jc w:val="both"/>
        <w:rPr>
          <w:rFonts w:ascii="Arial" w:hAnsi="Arial" w:cs="Arial"/>
          <w:sz w:val="20"/>
        </w:rPr>
      </w:pPr>
      <w:r>
        <w:rPr>
          <w:rFonts w:ascii="Arial" w:hAnsi="Arial" w:cs="Arial"/>
          <w:sz w:val="20"/>
        </w:rPr>
        <w:t xml:space="preserve">Except on those occasions in the Family Division where </w:t>
      </w:r>
      <w:r w:rsidR="00320CD4">
        <w:rPr>
          <w:rFonts w:ascii="Arial" w:hAnsi="Arial" w:cs="Arial"/>
          <w:sz w:val="20"/>
        </w:rPr>
        <w:t>a</w:t>
      </w:r>
      <w:r>
        <w:rPr>
          <w:rFonts w:ascii="Arial" w:hAnsi="Arial" w:cs="Arial"/>
          <w:sz w:val="20"/>
        </w:rPr>
        <w:t xml:space="preserve"> hearing is restricted, almost always with the consent of the parties, to legal submissions based on a statement of facts, a contested hearing involves the calling of </w:t>
      </w:r>
      <w:r w:rsidRPr="00244269">
        <w:rPr>
          <w:rFonts w:ascii="Arial" w:hAnsi="Arial" w:cs="Arial"/>
          <w:i/>
          <w:iCs/>
          <w:sz w:val="20"/>
        </w:rPr>
        <w:t>viva voce</w:t>
      </w:r>
      <w:r>
        <w:rPr>
          <w:rFonts w:ascii="Arial" w:hAnsi="Arial" w:cs="Arial"/>
          <w:sz w:val="20"/>
        </w:rPr>
        <w:t xml:space="preserve"> evidence and </w:t>
      </w:r>
      <w:r w:rsidR="00D72245">
        <w:rPr>
          <w:rFonts w:ascii="Arial" w:hAnsi="Arial" w:cs="Arial"/>
          <w:sz w:val="20"/>
        </w:rPr>
        <w:t xml:space="preserve">usually </w:t>
      </w:r>
      <w:r>
        <w:rPr>
          <w:rFonts w:ascii="Arial" w:hAnsi="Arial" w:cs="Arial"/>
          <w:sz w:val="20"/>
        </w:rPr>
        <w:t>the tendering of documents.</w:t>
      </w:r>
    </w:p>
    <w:p w14:paraId="0E07D340" w14:textId="77777777" w:rsidR="00DC519F" w:rsidRDefault="00DC519F" w:rsidP="00DC519F">
      <w:pPr>
        <w:jc w:val="both"/>
        <w:rPr>
          <w:rFonts w:ascii="Arial" w:hAnsi="Arial" w:cs="Arial"/>
          <w:sz w:val="20"/>
        </w:rPr>
      </w:pPr>
    </w:p>
    <w:p w14:paraId="16520530" w14:textId="54FDC152" w:rsidR="00244269" w:rsidRDefault="00320CD4" w:rsidP="00DC519F">
      <w:pPr>
        <w:jc w:val="both"/>
        <w:rPr>
          <w:rFonts w:ascii="Arial" w:hAnsi="Arial" w:cs="Arial"/>
          <w:sz w:val="20"/>
        </w:rPr>
      </w:pPr>
      <w:r>
        <w:rPr>
          <w:rFonts w:ascii="Arial" w:hAnsi="Arial" w:cs="Arial"/>
          <w:sz w:val="20"/>
        </w:rPr>
        <w:t>R</w:t>
      </w:r>
      <w:r w:rsidR="00347A50">
        <w:rPr>
          <w:rFonts w:ascii="Arial" w:hAnsi="Arial" w:cs="Arial"/>
          <w:sz w:val="20"/>
        </w:rPr>
        <w:t xml:space="preserve">ules governing the admissibility of evidence in hearings in the Children’s Court are </w:t>
      </w:r>
      <w:r w:rsidR="00427CCB">
        <w:rPr>
          <w:rFonts w:ascii="Arial" w:hAnsi="Arial" w:cs="Arial"/>
          <w:sz w:val="20"/>
        </w:rPr>
        <w:t>contained</w:t>
      </w:r>
      <w:r w:rsidR="00347A50">
        <w:rPr>
          <w:rFonts w:ascii="Arial" w:hAnsi="Arial" w:cs="Arial"/>
          <w:sz w:val="20"/>
        </w:rPr>
        <w:t xml:space="preserve"> in the </w:t>
      </w:r>
      <w:r w:rsidR="00347A50" w:rsidRPr="00934D0F">
        <w:rPr>
          <w:rFonts w:ascii="Arial" w:hAnsi="Arial" w:cs="Arial"/>
          <w:i/>
          <w:iCs/>
          <w:sz w:val="20"/>
        </w:rPr>
        <w:t>Evidence Act 2008</w:t>
      </w:r>
      <w:r w:rsidR="00347A50" w:rsidRPr="00347A50">
        <w:rPr>
          <w:rFonts w:ascii="Arial" w:hAnsi="Arial" w:cs="Arial"/>
          <w:sz w:val="20"/>
        </w:rPr>
        <w:t xml:space="preserve"> and</w:t>
      </w:r>
      <w:r w:rsidR="00427CCB">
        <w:rPr>
          <w:rFonts w:ascii="Arial" w:hAnsi="Arial" w:cs="Arial"/>
          <w:sz w:val="20"/>
        </w:rPr>
        <w:t xml:space="preserve"> in</w:t>
      </w:r>
      <w:r w:rsidR="00347A50" w:rsidRPr="00347A50">
        <w:rPr>
          <w:rFonts w:ascii="Arial" w:hAnsi="Arial" w:cs="Arial"/>
          <w:sz w:val="20"/>
        </w:rPr>
        <w:t xml:space="preserve"> the CYFA</w:t>
      </w:r>
      <w:r w:rsidR="00C97741">
        <w:rPr>
          <w:rFonts w:ascii="Arial" w:hAnsi="Arial" w:cs="Arial"/>
          <w:sz w:val="20"/>
        </w:rPr>
        <w:t xml:space="preserve"> and the Criminal Procedure Act 2009</w:t>
      </w:r>
      <w:r w:rsidR="00347A50" w:rsidRPr="00347A50">
        <w:rPr>
          <w:rFonts w:ascii="Arial" w:hAnsi="Arial" w:cs="Arial"/>
          <w:sz w:val="20"/>
        </w:rPr>
        <w:t>.</w:t>
      </w:r>
      <w:r w:rsidR="009B0A9D">
        <w:rPr>
          <w:rFonts w:ascii="Arial" w:hAnsi="Arial" w:cs="Arial"/>
          <w:sz w:val="20"/>
        </w:rPr>
        <w:t xml:space="preserve"> </w:t>
      </w:r>
      <w:r w:rsidR="00C179D6">
        <w:rPr>
          <w:rFonts w:ascii="Arial" w:hAnsi="Arial" w:cs="Arial"/>
          <w:sz w:val="20"/>
        </w:rPr>
        <w:t xml:space="preserve">A guide entitled </w:t>
      </w:r>
      <w:r w:rsidR="007A6C86">
        <w:rPr>
          <w:rFonts w:ascii="Arial" w:hAnsi="Arial" w:cs="Arial"/>
          <w:sz w:val="20"/>
        </w:rPr>
        <w:t>“Pocket Evidence Law”</w:t>
      </w:r>
      <w:r w:rsidR="00C179D6">
        <w:rPr>
          <w:rFonts w:ascii="Arial" w:hAnsi="Arial" w:cs="Arial"/>
          <w:sz w:val="20"/>
        </w:rPr>
        <w:t xml:space="preserve"> </w:t>
      </w:r>
      <w:r w:rsidR="007A6C86">
        <w:rPr>
          <w:rFonts w:ascii="Arial" w:hAnsi="Arial" w:cs="Arial"/>
          <w:sz w:val="20"/>
        </w:rPr>
        <w:t xml:space="preserve">© </w:t>
      </w:r>
      <w:r w:rsidR="009B0A9D">
        <w:rPr>
          <w:rFonts w:ascii="Arial" w:hAnsi="Arial" w:cs="Arial"/>
          <w:sz w:val="20"/>
        </w:rPr>
        <w:t xml:space="preserve">which analyses the operation of </w:t>
      </w:r>
      <w:r w:rsidR="00AF07FC">
        <w:rPr>
          <w:rFonts w:ascii="Arial" w:hAnsi="Arial" w:cs="Arial"/>
          <w:sz w:val="20"/>
        </w:rPr>
        <w:t xml:space="preserve">the </w:t>
      </w:r>
      <w:r w:rsidR="00AF07FC" w:rsidRPr="00AF07FC">
        <w:rPr>
          <w:rFonts w:ascii="Arial" w:hAnsi="Arial" w:cs="Arial"/>
          <w:i/>
          <w:iCs/>
          <w:sz w:val="20"/>
        </w:rPr>
        <w:t>Evidence Act</w:t>
      </w:r>
      <w:r w:rsidR="009B0A9D">
        <w:rPr>
          <w:rFonts w:ascii="Arial" w:hAnsi="Arial" w:cs="Arial"/>
          <w:sz w:val="20"/>
        </w:rPr>
        <w:t xml:space="preserve"> – </w:t>
      </w:r>
      <w:r w:rsidR="00C179D6">
        <w:rPr>
          <w:rFonts w:ascii="Arial" w:hAnsi="Arial" w:cs="Arial"/>
          <w:sz w:val="20"/>
        </w:rPr>
        <w:t xml:space="preserve">prepared by Justice Christopher Beale and </w:t>
      </w:r>
      <w:r w:rsidR="009B0A9D">
        <w:rPr>
          <w:rFonts w:ascii="Arial" w:hAnsi="Arial" w:cs="Arial"/>
          <w:sz w:val="20"/>
        </w:rPr>
        <w:t>focussing primarily on the admissibility of evidence in criminal proceedings in Victoria</w:t>
      </w:r>
      <w:r w:rsidR="00E61A5E">
        <w:rPr>
          <w:rFonts w:ascii="Arial" w:hAnsi="Arial" w:cs="Arial"/>
          <w:sz w:val="20"/>
        </w:rPr>
        <w:t>n courts</w:t>
      </w:r>
      <w:r w:rsidR="009B0A9D">
        <w:rPr>
          <w:rFonts w:ascii="Arial" w:hAnsi="Arial" w:cs="Arial"/>
          <w:sz w:val="20"/>
        </w:rPr>
        <w:t xml:space="preserve"> – can be downloaded from the JCV website: </w:t>
      </w:r>
      <w:hyperlink r:id="rId44" w:history="1">
        <w:r w:rsidR="00E74F00" w:rsidRPr="00DB2444">
          <w:rPr>
            <w:rStyle w:val="Hyperlink"/>
            <w:rFonts w:ascii="Arial" w:hAnsi="Arial" w:cs="Arial"/>
            <w:b/>
            <w:bCs/>
            <w:sz w:val="20"/>
          </w:rPr>
          <w:t>https://judicialcollege.vic.edu.au/resources/pocket-evidence-law</w:t>
        </w:r>
      </w:hyperlink>
      <w:r w:rsidR="009B0A9D" w:rsidRPr="009B0A9D">
        <w:rPr>
          <w:rFonts w:ascii="Arial" w:hAnsi="Arial" w:cs="Arial"/>
          <w:b/>
          <w:bCs/>
          <w:sz w:val="20"/>
        </w:rPr>
        <w:t>.</w:t>
      </w:r>
    </w:p>
    <w:p w14:paraId="639DCF16" w14:textId="77777777" w:rsidR="00347A50" w:rsidRDefault="00347A50" w:rsidP="00347A50">
      <w:pPr>
        <w:jc w:val="both"/>
        <w:rPr>
          <w:rFonts w:ascii="Arial" w:hAnsi="Arial" w:cs="Arial"/>
          <w:color w:val="000000"/>
          <w:sz w:val="20"/>
        </w:rPr>
      </w:pPr>
    </w:p>
    <w:p w14:paraId="381E783A" w14:textId="4A252531" w:rsidR="00347A50" w:rsidRDefault="00320CD4" w:rsidP="00347A50">
      <w:pPr>
        <w:jc w:val="both"/>
        <w:rPr>
          <w:rFonts w:ascii="Arial" w:hAnsi="Arial" w:cs="Arial"/>
          <w:sz w:val="20"/>
        </w:rPr>
      </w:pPr>
      <w:r>
        <w:rPr>
          <w:rFonts w:ascii="Arial" w:hAnsi="Arial" w:cs="Arial"/>
          <w:sz w:val="20"/>
        </w:rPr>
        <w:t xml:space="preserve">The Children’s Court is a “Victorian court” within paragraph (b) of the definition in the annexed dictionary.  </w:t>
      </w:r>
      <w:r w:rsidR="00347A50">
        <w:rPr>
          <w:rFonts w:ascii="Arial" w:hAnsi="Arial" w:cs="Arial"/>
          <w:sz w:val="20"/>
        </w:rPr>
        <w:t xml:space="preserve">Section 4 of the </w:t>
      </w:r>
      <w:r w:rsidR="00347A50" w:rsidRPr="00934D0F">
        <w:rPr>
          <w:rFonts w:ascii="Arial" w:hAnsi="Arial" w:cs="Arial"/>
          <w:i/>
          <w:iCs/>
          <w:sz w:val="20"/>
        </w:rPr>
        <w:t xml:space="preserve">Evidence Act 2008 </w:t>
      </w:r>
      <w:r w:rsidR="00347A50">
        <w:rPr>
          <w:rFonts w:ascii="Arial" w:hAnsi="Arial" w:cs="Arial"/>
          <w:sz w:val="20"/>
        </w:rPr>
        <w:t xml:space="preserve">provides, </w:t>
      </w:r>
      <w:r w:rsidR="00347A50" w:rsidRPr="00411BA1">
        <w:rPr>
          <w:rFonts w:ascii="Arial" w:hAnsi="Arial" w:cs="Arial"/>
          <w:i/>
          <w:sz w:val="20"/>
        </w:rPr>
        <w:t>inter alia</w:t>
      </w:r>
      <w:r w:rsidR="00DD0DA0" w:rsidRPr="00A31FFA">
        <w:rPr>
          <w:rFonts w:ascii="Arial" w:hAnsi="Arial" w:cs="Arial"/>
          <w:sz w:val="20"/>
        </w:rPr>
        <w:t>–</w:t>
      </w:r>
    </w:p>
    <w:p w14:paraId="03F71EDE" w14:textId="2F33B6A4" w:rsidR="00347A50" w:rsidRDefault="00347A50" w:rsidP="006A0F25">
      <w:pPr>
        <w:spacing w:before="60"/>
        <w:ind w:left="1021" w:right="567" w:hanging="454"/>
        <w:jc w:val="both"/>
        <w:rPr>
          <w:rFonts w:ascii="Arial" w:hAnsi="Arial" w:cs="Arial"/>
          <w:bCs/>
          <w:sz w:val="20"/>
        </w:rPr>
      </w:pPr>
      <w:r>
        <w:rPr>
          <w:rFonts w:ascii="Arial" w:hAnsi="Arial" w:cs="Arial"/>
          <w:bCs/>
          <w:sz w:val="20"/>
        </w:rPr>
        <w:t>“(1)</w:t>
      </w:r>
      <w:r>
        <w:rPr>
          <w:rFonts w:ascii="Arial" w:hAnsi="Arial" w:cs="Arial"/>
          <w:bCs/>
          <w:sz w:val="20"/>
        </w:rPr>
        <w:tab/>
        <w:t>This Act applies to all proceedings in a Victorian court, including proceedings that</w:t>
      </w:r>
      <w:bookmarkStart w:id="589" w:name="_Hlk109651830"/>
      <w:r w:rsidR="00DD0DA0" w:rsidRPr="00A31FFA">
        <w:rPr>
          <w:rFonts w:ascii="Arial" w:hAnsi="Arial" w:cs="Arial"/>
          <w:sz w:val="20"/>
        </w:rPr>
        <w:t>–</w:t>
      </w:r>
    </w:p>
    <w:bookmarkEnd w:id="589"/>
    <w:p w14:paraId="3A67DD4D" w14:textId="77777777" w:rsidR="00347A50" w:rsidRDefault="00347A50" w:rsidP="006A0F25">
      <w:pPr>
        <w:ind w:left="1021" w:right="567" w:hanging="454"/>
        <w:jc w:val="both"/>
        <w:rPr>
          <w:rFonts w:ascii="Arial" w:hAnsi="Arial" w:cs="Arial"/>
          <w:bCs/>
          <w:sz w:val="20"/>
        </w:rPr>
      </w:pPr>
      <w:r>
        <w:rPr>
          <w:rFonts w:ascii="Arial" w:hAnsi="Arial" w:cs="Arial"/>
          <w:bCs/>
          <w:sz w:val="20"/>
        </w:rPr>
        <w:tab/>
        <w:t>(a)</w:t>
      </w:r>
      <w:r>
        <w:rPr>
          <w:rFonts w:ascii="Arial" w:hAnsi="Arial" w:cs="Arial"/>
          <w:bCs/>
          <w:sz w:val="20"/>
        </w:rPr>
        <w:tab/>
        <w:t>relate to bail; or</w:t>
      </w:r>
    </w:p>
    <w:p w14:paraId="3DA1A4B8" w14:textId="77777777" w:rsidR="00347A50" w:rsidRDefault="00347A50" w:rsidP="00F37004">
      <w:pPr>
        <w:ind w:left="1021" w:right="567" w:hanging="454"/>
        <w:jc w:val="both"/>
        <w:rPr>
          <w:rFonts w:ascii="Arial" w:hAnsi="Arial" w:cs="Arial"/>
          <w:bCs/>
          <w:sz w:val="20"/>
        </w:rPr>
      </w:pPr>
      <w:r>
        <w:rPr>
          <w:rFonts w:ascii="Arial" w:hAnsi="Arial" w:cs="Arial"/>
          <w:bCs/>
          <w:sz w:val="20"/>
        </w:rPr>
        <w:tab/>
        <w:t>(b)</w:t>
      </w:r>
      <w:r>
        <w:rPr>
          <w:rFonts w:ascii="Arial" w:hAnsi="Arial" w:cs="Arial"/>
          <w:bCs/>
          <w:sz w:val="20"/>
        </w:rPr>
        <w:tab/>
        <w:t>are interlocutory proceedings or proceedings of a similar kind; or</w:t>
      </w:r>
    </w:p>
    <w:p w14:paraId="7D390733" w14:textId="77777777" w:rsidR="00347A50" w:rsidRDefault="00347A50" w:rsidP="00F37004">
      <w:pPr>
        <w:ind w:left="1021" w:right="567" w:hanging="454"/>
        <w:jc w:val="both"/>
        <w:rPr>
          <w:rFonts w:ascii="Arial" w:hAnsi="Arial" w:cs="Arial"/>
          <w:bCs/>
          <w:sz w:val="20"/>
        </w:rPr>
      </w:pPr>
      <w:r>
        <w:rPr>
          <w:rFonts w:ascii="Arial" w:hAnsi="Arial" w:cs="Arial"/>
          <w:bCs/>
          <w:sz w:val="20"/>
        </w:rPr>
        <w:tab/>
        <w:t>(c)</w:t>
      </w:r>
      <w:r>
        <w:rPr>
          <w:rFonts w:ascii="Arial" w:hAnsi="Arial" w:cs="Arial"/>
          <w:bCs/>
          <w:sz w:val="20"/>
        </w:rPr>
        <w:tab/>
        <w:t>are heard in chambers; or</w:t>
      </w:r>
    </w:p>
    <w:p w14:paraId="0FD61FFF" w14:textId="77777777" w:rsidR="00347A50" w:rsidRDefault="00347A50" w:rsidP="00F37004">
      <w:pPr>
        <w:ind w:left="1021" w:right="567" w:hanging="454"/>
        <w:jc w:val="both"/>
        <w:rPr>
          <w:rFonts w:ascii="Arial" w:hAnsi="Arial" w:cs="Arial"/>
          <w:bCs/>
          <w:sz w:val="20"/>
        </w:rPr>
      </w:pPr>
      <w:r>
        <w:rPr>
          <w:rFonts w:ascii="Arial" w:hAnsi="Arial" w:cs="Arial"/>
          <w:bCs/>
          <w:sz w:val="20"/>
        </w:rPr>
        <w:tab/>
        <w:t>(d)</w:t>
      </w:r>
      <w:r>
        <w:rPr>
          <w:rFonts w:ascii="Arial" w:hAnsi="Arial" w:cs="Arial"/>
          <w:bCs/>
          <w:sz w:val="20"/>
        </w:rPr>
        <w:tab/>
        <w:t>subject to subsection (2) relate to sentencing.</w:t>
      </w:r>
    </w:p>
    <w:p w14:paraId="249645D7" w14:textId="77777777" w:rsidR="00A10E05" w:rsidRDefault="00A10E05" w:rsidP="00A10E05">
      <w:pPr>
        <w:spacing w:before="60"/>
        <w:ind w:left="1021" w:right="567" w:hanging="454"/>
        <w:jc w:val="both"/>
        <w:rPr>
          <w:rFonts w:ascii="Arial" w:hAnsi="Arial" w:cs="Arial"/>
          <w:bCs/>
          <w:sz w:val="6"/>
          <w:szCs w:val="6"/>
        </w:rPr>
      </w:pPr>
    </w:p>
    <w:p w14:paraId="34021888" w14:textId="0D4894A2" w:rsidR="00347A50" w:rsidRDefault="00347A50" w:rsidP="006A0F25">
      <w:pPr>
        <w:ind w:left="1021" w:right="567" w:hanging="454"/>
        <w:jc w:val="both"/>
        <w:rPr>
          <w:rFonts w:ascii="Arial" w:hAnsi="Arial" w:cs="Arial"/>
          <w:bCs/>
          <w:sz w:val="20"/>
        </w:rPr>
      </w:pPr>
      <w:r>
        <w:rPr>
          <w:rFonts w:ascii="Arial" w:hAnsi="Arial" w:cs="Arial"/>
          <w:bCs/>
          <w:sz w:val="20"/>
        </w:rPr>
        <w:t>(2)</w:t>
      </w:r>
      <w:r>
        <w:rPr>
          <w:rFonts w:ascii="Arial" w:hAnsi="Arial" w:cs="Arial"/>
          <w:bCs/>
          <w:sz w:val="20"/>
        </w:rPr>
        <w:tab/>
        <w:t>If such a proceeding relates to sentencing</w:t>
      </w:r>
      <w:r w:rsidR="00DD0DA0" w:rsidRPr="00A31FFA">
        <w:rPr>
          <w:rFonts w:ascii="Arial" w:hAnsi="Arial" w:cs="Arial"/>
          <w:sz w:val="20"/>
        </w:rPr>
        <w:t>–</w:t>
      </w:r>
    </w:p>
    <w:p w14:paraId="4F73E190" w14:textId="77777777" w:rsidR="00347A50" w:rsidRDefault="00347A50" w:rsidP="00F37004">
      <w:pPr>
        <w:ind w:left="1475" w:right="567" w:hanging="454"/>
        <w:jc w:val="both"/>
        <w:rPr>
          <w:rFonts w:ascii="Arial" w:hAnsi="Arial" w:cs="Arial"/>
          <w:bCs/>
          <w:sz w:val="20"/>
        </w:rPr>
      </w:pPr>
      <w:r>
        <w:rPr>
          <w:rFonts w:ascii="Arial" w:hAnsi="Arial" w:cs="Arial"/>
          <w:bCs/>
          <w:sz w:val="20"/>
        </w:rPr>
        <w:t>(a)</w:t>
      </w:r>
      <w:r>
        <w:rPr>
          <w:rFonts w:ascii="Arial" w:hAnsi="Arial" w:cs="Arial"/>
          <w:bCs/>
          <w:sz w:val="20"/>
        </w:rPr>
        <w:tab/>
        <w:t>this Act applies only if the court directs that the law of evidence applies in the proceeding; and</w:t>
      </w:r>
    </w:p>
    <w:p w14:paraId="2BA12815" w14:textId="77777777" w:rsidR="00347A50" w:rsidRDefault="00347A50" w:rsidP="00F37004">
      <w:pPr>
        <w:ind w:left="1475" w:right="567" w:hanging="454"/>
        <w:jc w:val="both"/>
        <w:rPr>
          <w:rFonts w:ascii="Arial" w:hAnsi="Arial" w:cs="Arial"/>
          <w:bCs/>
          <w:sz w:val="20"/>
        </w:rPr>
      </w:pPr>
      <w:r>
        <w:rPr>
          <w:rFonts w:ascii="Arial" w:hAnsi="Arial" w:cs="Arial"/>
          <w:bCs/>
          <w:sz w:val="20"/>
        </w:rPr>
        <w:t>(b)</w:t>
      </w:r>
      <w:r>
        <w:rPr>
          <w:rFonts w:ascii="Arial" w:hAnsi="Arial" w:cs="Arial"/>
          <w:bCs/>
          <w:sz w:val="20"/>
        </w:rPr>
        <w:tab/>
        <w:t>if the court specifies in the direction that the law of evidence applies only in relation to specified matters – the direction has effect accordingly.”</w:t>
      </w:r>
    </w:p>
    <w:p w14:paraId="608B6E24" w14:textId="77777777" w:rsidR="008A1522" w:rsidRPr="00F65EB1" w:rsidRDefault="008A1522" w:rsidP="00A56CE4">
      <w:pPr>
        <w:jc w:val="both"/>
        <w:rPr>
          <w:rFonts w:ascii="Arial" w:hAnsi="Arial" w:cs="Arial"/>
          <w:color w:val="000000"/>
          <w:sz w:val="20"/>
        </w:rPr>
      </w:pPr>
    </w:p>
    <w:p w14:paraId="600D43FA" w14:textId="77777777" w:rsidR="0022246F" w:rsidRPr="009F25D4" w:rsidRDefault="008A1522" w:rsidP="0022246F">
      <w:pPr>
        <w:pStyle w:val="Heading3"/>
        <w:keepNext/>
        <w:spacing w:line="240" w:lineRule="auto"/>
        <w:rPr>
          <w:rFonts w:ascii="Arial" w:hAnsi="Arial" w:cs="Arial"/>
          <w:b/>
          <w:bCs/>
          <w:color w:val="000000"/>
          <w:sz w:val="20"/>
        </w:rPr>
      </w:pPr>
      <w:bookmarkStart w:id="590" w:name="_3.5.3.1_Admissibility_of"/>
      <w:bookmarkStart w:id="591" w:name="B3531"/>
      <w:bookmarkEnd w:id="590"/>
      <w:bookmarkEnd w:id="591"/>
      <w:r>
        <w:rPr>
          <w:rFonts w:ascii="Arial" w:hAnsi="Arial" w:cs="Arial"/>
          <w:b/>
          <w:bCs/>
          <w:color w:val="000000"/>
          <w:sz w:val="20"/>
        </w:rPr>
        <w:t>3.5.3.</w:t>
      </w:r>
      <w:r w:rsidR="00320CD4">
        <w:rPr>
          <w:rFonts w:ascii="Arial" w:hAnsi="Arial" w:cs="Arial"/>
          <w:b/>
          <w:bCs/>
          <w:color w:val="000000"/>
          <w:sz w:val="20"/>
        </w:rPr>
        <w:t>1</w:t>
      </w:r>
      <w:r>
        <w:rPr>
          <w:rFonts w:ascii="Arial" w:hAnsi="Arial" w:cs="Arial"/>
          <w:b/>
          <w:bCs/>
          <w:color w:val="000000"/>
          <w:sz w:val="20"/>
        </w:rPr>
        <w:tab/>
        <w:t xml:space="preserve">Admissibility of evidence </w:t>
      </w:r>
      <w:r w:rsidR="00C53FF5">
        <w:rPr>
          <w:rFonts w:ascii="Arial" w:hAnsi="Arial" w:cs="Arial"/>
          <w:b/>
          <w:bCs/>
          <w:color w:val="000000"/>
          <w:sz w:val="20"/>
        </w:rPr>
        <w:t>generally</w:t>
      </w:r>
    </w:p>
    <w:p w14:paraId="3D366053" w14:textId="573774A8" w:rsidR="00C41198" w:rsidRDefault="00C41198" w:rsidP="00A4066A">
      <w:pPr>
        <w:spacing w:before="120"/>
        <w:jc w:val="both"/>
        <w:rPr>
          <w:rFonts w:ascii="Arial" w:hAnsi="Arial" w:cs="Arial"/>
          <w:color w:val="000000"/>
          <w:sz w:val="20"/>
        </w:rPr>
      </w:pPr>
      <w:r>
        <w:rPr>
          <w:rFonts w:ascii="Arial" w:hAnsi="Arial" w:cs="Arial"/>
          <w:color w:val="000000"/>
          <w:sz w:val="20"/>
        </w:rPr>
        <w:t xml:space="preserve">In </w:t>
      </w:r>
      <w:r w:rsidRPr="00C41198">
        <w:rPr>
          <w:rFonts w:ascii="Arial" w:hAnsi="Arial" w:cs="Arial"/>
          <w:i/>
          <w:iCs/>
          <w:color w:val="000000"/>
          <w:sz w:val="20"/>
        </w:rPr>
        <w:t>DPP v Roberts (Ruling No 15)</w:t>
      </w:r>
      <w:r>
        <w:rPr>
          <w:rFonts w:ascii="Arial" w:hAnsi="Arial" w:cs="Arial"/>
          <w:color w:val="000000"/>
          <w:sz w:val="20"/>
        </w:rPr>
        <w:t xml:space="preserve"> [2022] VSC 345 </w:t>
      </w:r>
      <w:r w:rsidR="00181DA6">
        <w:rPr>
          <w:rFonts w:ascii="Arial" w:hAnsi="Arial" w:cs="Arial"/>
          <w:color w:val="000000"/>
          <w:sz w:val="20"/>
        </w:rPr>
        <w:t>in a murder retrial Kaye JA admitted – against an objection by the prosecution – evidence that the accused had advised police 15 years later of the location of weapons and other items involved in the murders.  At [7] &amp; [10] his Honour said:</w:t>
      </w:r>
    </w:p>
    <w:p w14:paraId="08A509B8" w14:textId="62D174C6" w:rsidR="00181DA6" w:rsidRDefault="00181DA6" w:rsidP="00181DA6">
      <w:pPr>
        <w:spacing w:before="60"/>
        <w:ind w:left="567" w:right="567"/>
        <w:jc w:val="both"/>
        <w:rPr>
          <w:rFonts w:ascii="Arial" w:hAnsi="Arial" w:cs="Arial"/>
          <w:sz w:val="20"/>
          <w:szCs w:val="20"/>
        </w:rPr>
      </w:pPr>
      <w:r>
        <w:rPr>
          <w:rFonts w:ascii="Arial" w:hAnsi="Arial" w:cs="Arial"/>
          <w:bCs/>
          <w:sz w:val="20"/>
        </w:rPr>
        <w:t>[7] “</w:t>
      </w:r>
      <w:r w:rsidRPr="00C41198">
        <w:rPr>
          <w:rFonts w:ascii="Arial" w:hAnsi="Arial" w:cs="Arial"/>
          <w:sz w:val="20"/>
          <w:szCs w:val="20"/>
        </w:rPr>
        <w:t xml:space="preserve">Section 55(1) of the </w:t>
      </w:r>
      <w:r w:rsidRPr="00C41198">
        <w:rPr>
          <w:rFonts w:ascii="Arial" w:hAnsi="Arial" w:cs="Arial"/>
          <w:i/>
          <w:iCs/>
          <w:sz w:val="20"/>
          <w:szCs w:val="20"/>
        </w:rPr>
        <w:t>Evidence Act 2008</w:t>
      </w:r>
      <w:r w:rsidRPr="00C41198">
        <w:rPr>
          <w:rFonts w:ascii="Arial" w:hAnsi="Arial" w:cs="Arial"/>
          <w:sz w:val="20"/>
          <w:szCs w:val="20"/>
        </w:rPr>
        <w:t xml:space="preserve"> provides that evidence is relevant in a proceeding if it could rationally affect (‘directly or indirectly’) the assessment of the probability of the existence of a fact that is in issue in the proceeding. Section 102 provides that ‘credibility evidence’ about a witness is not admissible. Section 101A defines credibility evidence as evidence that is relevant only because it affects the assessment of the credibility of a witness or a person</w:t>
      </w:r>
      <w:r>
        <w:rPr>
          <w:rFonts w:ascii="Arial" w:hAnsi="Arial" w:cs="Arial"/>
          <w:sz w:val="20"/>
          <w:szCs w:val="20"/>
        </w:rPr>
        <w:t>…</w:t>
      </w:r>
    </w:p>
    <w:p w14:paraId="4A9E0DE7" w14:textId="2EA22EE2" w:rsidR="00181DA6" w:rsidRDefault="00181DA6" w:rsidP="00181DA6">
      <w:pPr>
        <w:spacing w:before="60"/>
        <w:ind w:left="567" w:right="567"/>
        <w:jc w:val="both"/>
        <w:rPr>
          <w:rFonts w:ascii="Arial" w:hAnsi="Arial" w:cs="Arial"/>
          <w:bCs/>
          <w:sz w:val="20"/>
        </w:rPr>
      </w:pPr>
      <w:r>
        <w:rPr>
          <w:rFonts w:ascii="Arial" w:hAnsi="Arial" w:cs="Arial"/>
          <w:sz w:val="20"/>
          <w:szCs w:val="20"/>
        </w:rPr>
        <w:lastRenderedPageBreak/>
        <w:t>[10] …</w:t>
      </w:r>
      <w:r w:rsidRPr="00181DA6">
        <w:rPr>
          <w:rFonts w:ascii="Arial" w:hAnsi="Arial" w:cs="Arial"/>
          <w:sz w:val="20"/>
          <w:szCs w:val="20"/>
        </w:rPr>
        <w:t xml:space="preserve"> I consider that the potential relevance for the evidence is marginal, but the evidence is capable of having some probative value. That is, the evidence is capable of going beyond affecting the mere credibility of both </w:t>
      </w:r>
      <w:r>
        <w:rPr>
          <w:rFonts w:ascii="Arial" w:hAnsi="Arial" w:cs="Arial"/>
          <w:sz w:val="20"/>
          <w:szCs w:val="20"/>
        </w:rPr>
        <w:t xml:space="preserve">[the co-accused] </w:t>
      </w:r>
      <w:r w:rsidRPr="00181DA6">
        <w:rPr>
          <w:rFonts w:ascii="Arial" w:hAnsi="Arial" w:cs="Arial"/>
          <w:sz w:val="20"/>
          <w:szCs w:val="20"/>
        </w:rPr>
        <w:t>Debs and the accused as witnesses in the trial, as it could indirectly affect the jury’s assessment of the probability of one or more facts in issue in the trial.</w:t>
      </w:r>
      <w:r>
        <w:rPr>
          <w:rFonts w:ascii="Arial" w:hAnsi="Arial" w:cs="Arial"/>
          <w:sz w:val="20"/>
          <w:szCs w:val="20"/>
        </w:rPr>
        <w:t>”</w:t>
      </w:r>
    </w:p>
    <w:p w14:paraId="744E7712" w14:textId="615FCC7A" w:rsidR="00C41198" w:rsidRDefault="00C41198" w:rsidP="00BB2003">
      <w:pPr>
        <w:jc w:val="both"/>
        <w:rPr>
          <w:rFonts w:ascii="Arial" w:hAnsi="Arial" w:cs="Arial"/>
          <w:color w:val="000000"/>
          <w:sz w:val="20"/>
        </w:rPr>
      </w:pPr>
    </w:p>
    <w:p w14:paraId="70A8523D" w14:textId="19B7E267" w:rsidR="006B2AE8" w:rsidRDefault="00CC35DF" w:rsidP="006B2AE8">
      <w:pPr>
        <w:jc w:val="both"/>
        <w:rPr>
          <w:rFonts w:ascii="Arial" w:hAnsi="Arial" w:cs="Arial"/>
          <w:color w:val="000000"/>
          <w:sz w:val="20"/>
        </w:rPr>
      </w:pPr>
      <w:r>
        <w:rPr>
          <w:rFonts w:ascii="Arial" w:hAnsi="Arial" w:cs="Arial"/>
          <w:color w:val="000000"/>
          <w:sz w:val="20"/>
        </w:rPr>
        <w:t>In</w:t>
      </w:r>
      <w:r w:rsidR="006B2AE8">
        <w:rPr>
          <w:rFonts w:ascii="Arial" w:hAnsi="Arial" w:cs="Arial"/>
          <w:color w:val="000000"/>
          <w:sz w:val="20"/>
        </w:rPr>
        <w:t xml:space="preserve"> the manslaughter retrial of</w:t>
      </w:r>
      <w:r>
        <w:rPr>
          <w:rFonts w:ascii="Arial" w:hAnsi="Arial" w:cs="Arial"/>
          <w:color w:val="000000"/>
          <w:sz w:val="20"/>
        </w:rPr>
        <w:t xml:space="preserve"> </w:t>
      </w:r>
      <w:r w:rsidR="006B2AE8" w:rsidRPr="006B2AE8">
        <w:rPr>
          <w:rFonts w:ascii="Arial" w:hAnsi="Arial" w:cs="Arial"/>
          <w:i/>
          <w:iCs/>
          <w:color w:val="000000"/>
          <w:sz w:val="20"/>
        </w:rPr>
        <w:t>DPP v Maskell (Ruling No 2.1)</w:t>
      </w:r>
      <w:r w:rsidR="006B2AE8" w:rsidRPr="006B2AE8">
        <w:rPr>
          <w:rFonts w:ascii="Arial" w:hAnsi="Arial" w:cs="Arial"/>
          <w:color w:val="000000"/>
          <w:sz w:val="20"/>
        </w:rPr>
        <w:t xml:space="preserve"> [2026] VSC 159 </w:t>
      </w:r>
      <w:r w:rsidR="006B2AE8">
        <w:rPr>
          <w:rFonts w:ascii="Arial" w:hAnsi="Arial" w:cs="Arial"/>
          <w:color w:val="000000"/>
          <w:sz w:val="20"/>
        </w:rPr>
        <w:t>Elliott J held that e</w:t>
      </w:r>
      <w:r w:rsidRPr="00CC35DF">
        <w:rPr>
          <w:rFonts w:ascii="Arial" w:hAnsi="Arial" w:cs="Arial"/>
          <w:color w:val="000000"/>
          <w:sz w:val="20"/>
        </w:rPr>
        <w:t>vidence of Maskell’s intoxication may be adduced, except for the specific amount consumed</w:t>
      </w:r>
      <w:r w:rsidR="006B2AE8">
        <w:rPr>
          <w:rFonts w:ascii="Arial" w:hAnsi="Arial" w:cs="Arial"/>
          <w:color w:val="000000"/>
          <w:sz w:val="20"/>
        </w:rPr>
        <w:t>. Under the heading “</w:t>
      </w:r>
      <w:r w:rsidR="006B2AE8" w:rsidRPr="006B2AE8">
        <w:rPr>
          <w:rFonts w:ascii="Arial" w:hAnsi="Arial" w:cs="Arial"/>
          <w:b/>
          <w:bCs/>
          <w:color w:val="000000"/>
          <w:sz w:val="20"/>
        </w:rPr>
        <w:t>Intoxication relevant to intent</w:t>
      </w:r>
      <w:r w:rsidR="006B2AE8">
        <w:rPr>
          <w:rFonts w:ascii="Arial" w:hAnsi="Arial" w:cs="Arial"/>
          <w:color w:val="000000"/>
          <w:sz w:val="20"/>
        </w:rPr>
        <w:t>” his Honour held at [6]-[9]:</w:t>
      </w:r>
    </w:p>
    <w:p w14:paraId="58D3FA4C" w14:textId="123E63B6" w:rsidR="006B2AE8" w:rsidRDefault="006B2AE8" w:rsidP="006B2AE8">
      <w:pPr>
        <w:spacing w:before="60"/>
        <w:ind w:left="567" w:right="567"/>
        <w:jc w:val="both"/>
        <w:rPr>
          <w:rFonts w:ascii="Arial" w:hAnsi="Arial" w:cs="Arial"/>
          <w:color w:val="000000"/>
          <w:sz w:val="20"/>
        </w:rPr>
      </w:pPr>
      <w:r>
        <w:rPr>
          <w:rFonts w:ascii="Arial" w:hAnsi="Arial" w:cs="Arial"/>
          <w:sz w:val="20"/>
          <w:szCs w:val="20"/>
        </w:rPr>
        <w:t>[6] “</w:t>
      </w:r>
      <w:r w:rsidRPr="00CC35DF">
        <w:rPr>
          <w:rFonts w:ascii="Arial" w:hAnsi="Arial" w:cs="Arial"/>
          <w:color w:val="000000"/>
          <w:sz w:val="20"/>
        </w:rPr>
        <w:t xml:space="preserve">Maskell gave answers </w:t>
      </w:r>
      <w:r>
        <w:rPr>
          <w:rFonts w:ascii="Arial" w:hAnsi="Arial" w:cs="Arial"/>
          <w:color w:val="000000"/>
          <w:sz w:val="20"/>
        </w:rPr>
        <w:t xml:space="preserve">[in the record of interview] </w:t>
      </w:r>
      <w:r w:rsidRPr="00CC35DF">
        <w:rPr>
          <w:rFonts w:ascii="Arial" w:hAnsi="Arial" w:cs="Arial"/>
          <w:color w:val="000000"/>
          <w:sz w:val="20"/>
        </w:rPr>
        <w:t>to the effect that he was intoxicated when he assaulted Burke. Although there is no issue that Maskell acted consciously, deliberately and voluntarily, this evidence is relevant to the question of his intent.</w:t>
      </w:r>
      <w:r>
        <w:rPr>
          <w:rFonts w:ascii="Arial" w:hAnsi="Arial" w:cs="Arial"/>
          <w:color w:val="000000"/>
          <w:sz w:val="20"/>
        </w:rPr>
        <w:t xml:space="preserve"> </w:t>
      </w:r>
      <w:r w:rsidRPr="006B2AE8">
        <w:rPr>
          <w:rFonts w:ascii="Arial" w:hAnsi="Arial" w:cs="Arial"/>
          <w:color w:val="000000"/>
          <w:sz w:val="20"/>
        </w:rPr>
        <w:t>As was the position in the first trial (</w:t>
      </w:r>
      <w:r w:rsidRPr="006B2AE8">
        <w:rPr>
          <w:rFonts w:ascii="Arial" w:hAnsi="Arial" w:cs="Arial"/>
          <w:i/>
          <w:iCs/>
          <w:color w:val="000000"/>
          <w:sz w:val="20"/>
        </w:rPr>
        <w:t>Maskell v The King</w:t>
      </w:r>
      <w:r w:rsidRPr="006B2AE8">
        <w:rPr>
          <w:rFonts w:ascii="Arial" w:hAnsi="Arial" w:cs="Arial"/>
          <w:color w:val="000000"/>
          <w:sz w:val="20"/>
        </w:rPr>
        <w:t xml:space="preserve"> [2025] VSCA 170, [222], the defence will not seek to argue that Maskell was intoxicated to such an extent that he could not control his actions.</w:t>
      </w:r>
    </w:p>
    <w:p w14:paraId="4D4265AE" w14:textId="7548EC91" w:rsidR="006B2AE8" w:rsidRDefault="006B2AE8" w:rsidP="006B2AE8">
      <w:pPr>
        <w:spacing w:before="60"/>
        <w:ind w:left="567" w:right="567"/>
        <w:jc w:val="both"/>
        <w:rPr>
          <w:rFonts w:ascii="Arial" w:hAnsi="Arial" w:cs="Arial"/>
          <w:color w:val="000000"/>
          <w:sz w:val="20"/>
        </w:rPr>
      </w:pPr>
      <w:r>
        <w:rPr>
          <w:rFonts w:ascii="Arial" w:hAnsi="Arial" w:cs="Arial"/>
          <w:sz w:val="20"/>
          <w:szCs w:val="20"/>
        </w:rPr>
        <w:t xml:space="preserve">[7] </w:t>
      </w:r>
      <w:r w:rsidR="00CC35DF" w:rsidRPr="00CC35DF">
        <w:rPr>
          <w:rFonts w:ascii="Arial" w:hAnsi="Arial" w:cs="Arial"/>
          <w:color w:val="000000"/>
          <w:sz w:val="20"/>
        </w:rPr>
        <w:t xml:space="preserve">Contrary to the defence submissions, Maskell’s intoxication is relevant to the likelihood or otherwise of him intending to throw a bottle at Burke’s head or to kick Burke to the ground at the time he engaged in the relevant </w:t>
      </w:r>
      <w:proofErr w:type="spellStart"/>
      <w:r w:rsidR="00CC35DF" w:rsidRPr="00CC35DF">
        <w:rPr>
          <w:rFonts w:ascii="Arial" w:hAnsi="Arial" w:cs="Arial"/>
          <w:color w:val="000000"/>
          <w:sz w:val="20"/>
        </w:rPr>
        <w:t>acts</w:t>
      </w:r>
      <w:proofErr w:type="spellEnd"/>
      <w:r>
        <w:rPr>
          <w:rFonts w:ascii="Arial" w:hAnsi="Arial" w:cs="Arial"/>
          <w:color w:val="000000"/>
          <w:sz w:val="20"/>
        </w:rPr>
        <w:t>: s</w:t>
      </w:r>
      <w:r w:rsidRPr="006B2AE8">
        <w:rPr>
          <w:rFonts w:ascii="Arial" w:hAnsi="Arial" w:cs="Arial"/>
          <w:color w:val="000000"/>
          <w:sz w:val="20"/>
        </w:rPr>
        <w:t xml:space="preserve">ee </w:t>
      </w:r>
      <w:r w:rsidRPr="006B2AE8">
        <w:rPr>
          <w:rFonts w:ascii="Arial" w:hAnsi="Arial" w:cs="Arial"/>
          <w:i/>
          <w:iCs/>
          <w:color w:val="000000"/>
          <w:sz w:val="20"/>
        </w:rPr>
        <w:t>Evidence Act 2008</w:t>
      </w:r>
      <w:r w:rsidRPr="006B2AE8">
        <w:rPr>
          <w:rFonts w:ascii="Arial" w:hAnsi="Arial" w:cs="Arial"/>
          <w:color w:val="000000"/>
          <w:sz w:val="20"/>
        </w:rPr>
        <w:t xml:space="preserve"> (Vic), s 55.</w:t>
      </w:r>
      <w:r>
        <w:rPr>
          <w:rFonts w:ascii="Arial" w:hAnsi="Arial" w:cs="Arial"/>
          <w:color w:val="000000"/>
          <w:sz w:val="20"/>
        </w:rPr>
        <w:t xml:space="preserve"> </w:t>
      </w:r>
      <w:r w:rsidR="00CC35DF" w:rsidRPr="00CC35DF">
        <w:rPr>
          <w:rFonts w:ascii="Arial" w:hAnsi="Arial" w:cs="Arial"/>
          <w:color w:val="000000"/>
          <w:sz w:val="20"/>
        </w:rPr>
        <w:t>Numerous cases have established that in an appropriate case intoxication may be relied upon by the prosecution to provide an explanation for aggressive or unprovoked conduct the subject of a charge</w:t>
      </w:r>
      <w:r>
        <w:rPr>
          <w:rFonts w:ascii="Arial" w:hAnsi="Arial" w:cs="Arial"/>
          <w:color w:val="000000"/>
          <w:sz w:val="20"/>
        </w:rPr>
        <w:t>: s</w:t>
      </w:r>
      <w:r w:rsidRPr="006B2AE8">
        <w:rPr>
          <w:rFonts w:ascii="Arial" w:hAnsi="Arial" w:cs="Arial"/>
          <w:color w:val="000000"/>
          <w:sz w:val="20"/>
        </w:rPr>
        <w:t xml:space="preserve">ee, for example, </w:t>
      </w:r>
      <w:r w:rsidRPr="006B2AE8">
        <w:rPr>
          <w:rFonts w:ascii="Arial" w:hAnsi="Arial" w:cs="Arial"/>
          <w:i/>
          <w:iCs/>
          <w:color w:val="000000"/>
          <w:sz w:val="20"/>
        </w:rPr>
        <w:t>R v Le Broc</w:t>
      </w:r>
      <w:r w:rsidRPr="006B2AE8">
        <w:rPr>
          <w:rFonts w:ascii="Arial" w:hAnsi="Arial" w:cs="Arial"/>
          <w:color w:val="000000"/>
          <w:sz w:val="20"/>
        </w:rPr>
        <w:t xml:space="preserve"> (2000) 2 VR 43, 52 [28]</w:t>
      </w:r>
      <w:r>
        <w:rPr>
          <w:rFonts w:ascii="Arial" w:hAnsi="Arial" w:cs="Arial"/>
          <w:color w:val="000000"/>
          <w:sz w:val="20"/>
        </w:rPr>
        <w:t>;</w:t>
      </w:r>
      <w:r w:rsidRPr="006B2AE8">
        <w:rPr>
          <w:rFonts w:ascii="Arial" w:hAnsi="Arial" w:cs="Arial"/>
          <w:color w:val="000000"/>
          <w:sz w:val="20"/>
        </w:rPr>
        <w:t xml:space="preserve"> </w:t>
      </w:r>
      <w:r w:rsidRPr="006B2AE8">
        <w:rPr>
          <w:rFonts w:ascii="Arial" w:hAnsi="Arial" w:cs="Arial"/>
          <w:i/>
          <w:iCs/>
          <w:color w:val="000000"/>
          <w:sz w:val="20"/>
        </w:rPr>
        <w:t>The Queen v O’Connor</w:t>
      </w:r>
      <w:r w:rsidRPr="006B2AE8">
        <w:rPr>
          <w:rFonts w:ascii="Arial" w:hAnsi="Arial" w:cs="Arial"/>
          <w:color w:val="000000"/>
          <w:sz w:val="20"/>
        </w:rPr>
        <w:t xml:space="preserve"> (1980) 146 CLR 64, 71. 8 </w:t>
      </w:r>
    </w:p>
    <w:p w14:paraId="6C1A2B8D" w14:textId="77777777" w:rsidR="006B2AE8" w:rsidRDefault="006B2AE8" w:rsidP="006B2AE8">
      <w:pPr>
        <w:spacing w:before="60"/>
        <w:ind w:left="567" w:right="567"/>
        <w:jc w:val="both"/>
        <w:rPr>
          <w:rFonts w:ascii="Arial" w:hAnsi="Arial" w:cs="Arial"/>
          <w:color w:val="000000"/>
          <w:sz w:val="20"/>
        </w:rPr>
      </w:pPr>
      <w:r>
        <w:rPr>
          <w:rFonts w:ascii="Arial" w:hAnsi="Arial" w:cs="Arial"/>
          <w:sz w:val="20"/>
          <w:szCs w:val="20"/>
        </w:rPr>
        <w:t>[</w:t>
      </w:r>
      <w:r w:rsidR="00CC35DF" w:rsidRPr="00CC35DF">
        <w:rPr>
          <w:rFonts w:ascii="Arial" w:hAnsi="Arial" w:cs="Arial"/>
          <w:color w:val="000000"/>
          <w:sz w:val="20"/>
        </w:rPr>
        <w:t>8</w:t>
      </w:r>
      <w:r>
        <w:rPr>
          <w:rFonts w:ascii="Arial" w:hAnsi="Arial" w:cs="Arial"/>
          <w:color w:val="000000"/>
          <w:sz w:val="20"/>
        </w:rPr>
        <w:t>]</w:t>
      </w:r>
      <w:r w:rsidR="00CC35DF" w:rsidRPr="00CC35DF">
        <w:rPr>
          <w:rFonts w:ascii="Arial" w:hAnsi="Arial" w:cs="Arial"/>
          <w:color w:val="000000"/>
          <w:sz w:val="20"/>
        </w:rPr>
        <w:t xml:space="preserve"> In the particular circumstances of this case, the fact that Maskell was intoxicated when he threw the bottle and when he kicked Burke could rationally affect an assessment of whether he had the alleged intentions. Put succinctly, it could explain, at least in part, why he might have formed those intentions. </w:t>
      </w:r>
    </w:p>
    <w:p w14:paraId="6C2BCF60" w14:textId="4AE3A182" w:rsidR="00CC35DF" w:rsidRDefault="006B2AE8" w:rsidP="006B2AE8">
      <w:pPr>
        <w:spacing w:before="60"/>
        <w:ind w:left="567" w:right="567"/>
        <w:jc w:val="both"/>
        <w:rPr>
          <w:rFonts w:ascii="Arial" w:hAnsi="Arial" w:cs="Arial"/>
          <w:color w:val="000000"/>
          <w:sz w:val="20"/>
        </w:rPr>
      </w:pPr>
      <w:r>
        <w:rPr>
          <w:rFonts w:ascii="Arial" w:hAnsi="Arial" w:cs="Arial"/>
          <w:sz w:val="20"/>
          <w:szCs w:val="20"/>
        </w:rPr>
        <w:t>[</w:t>
      </w:r>
      <w:r w:rsidR="00CC35DF" w:rsidRPr="00CC35DF">
        <w:rPr>
          <w:rFonts w:ascii="Arial" w:hAnsi="Arial" w:cs="Arial"/>
          <w:color w:val="000000"/>
          <w:sz w:val="20"/>
        </w:rPr>
        <w:t>9</w:t>
      </w:r>
      <w:r>
        <w:rPr>
          <w:rFonts w:ascii="Arial" w:hAnsi="Arial" w:cs="Arial"/>
          <w:color w:val="000000"/>
          <w:sz w:val="20"/>
        </w:rPr>
        <w:t>]</w:t>
      </w:r>
      <w:r w:rsidR="00CC35DF" w:rsidRPr="00CC35DF">
        <w:rPr>
          <w:rFonts w:ascii="Arial" w:hAnsi="Arial" w:cs="Arial"/>
          <w:color w:val="000000"/>
          <w:sz w:val="20"/>
        </w:rPr>
        <w:t xml:space="preserve"> Relying upon this evidence does not invite “propensity type” reasoning</w:t>
      </w:r>
      <w:r w:rsidR="00BA67D2">
        <w:rPr>
          <w:rFonts w:ascii="Arial" w:hAnsi="Arial" w:cs="Arial"/>
          <w:color w:val="000000"/>
          <w:sz w:val="20"/>
        </w:rPr>
        <w:t>: s</w:t>
      </w:r>
      <w:r w:rsidR="00BA67D2" w:rsidRPr="006B2AE8">
        <w:rPr>
          <w:rFonts w:ascii="Arial" w:hAnsi="Arial" w:cs="Arial"/>
          <w:color w:val="000000"/>
          <w:sz w:val="20"/>
        </w:rPr>
        <w:t xml:space="preserve">ee </w:t>
      </w:r>
      <w:r w:rsidR="00BA67D2" w:rsidRPr="00BA67D2">
        <w:rPr>
          <w:rFonts w:ascii="Arial" w:hAnsi="Arial" w:cs="Arial"/>
          <w:i/>
          <w:iCs/>
          <w:color w:val="000000"/>
          <w:sz w:val="20"/>
        </w:rPr>
        <w:t>Evidence Act</w:t>
      </w:r>
      <w:r w:rsidR="00BA67D2" w:rsidRPr="006B2AE8">
        <w:rPr>
          <w:rFonts w:ascii="Arial" w:hAnsi="Arial" w:cs="Arial"/>
          <w:color w:val="000000"/>
          <w:sz w:val="20"/>
        </w:rPr>
        <w:t>, s 97(1).</w:t>
      </w:r>
      <w:r w:rsidR="00BA67D2">
        <w:rPr>
          <w:rFonts w:ascii="Arial" w:hAnsi="Arial" w:cs="Arial"/>
          <w:color w:val="000000"/>
          <w:sz w:val="20"/>
        </w:rPr>
        <w:t xml:space="preserve"> </w:t>
      </w:r>
      <w:r w:rsidR="00CC35DF" w:rsidRPr="00CC35DF">
        <w:rPr>
          <w:rFonts w:ascii="Arial" w:hAnsi="Arial" w:cs="Arial"/>
          <w:color w:val="000000"/>
          <w:sz w:val="20"/>
        </w:rPr>
        <w:t>The evidence is directly relevant to Maskell’s actual state of mind at the relevant time.</w:t>
      </w:r>
      <w:r w:rsidR="00BA67D2">
        <w:rPr>
          <w:rFonts w:ascii="Arial" w:hAnsi="Arial" w:cs="Arial"/>
          <w:color w:val="000000"/>
          <w:sz w:val="20"/>
        </w:rPr>
        <w:t xml:space="preserve"> The </w:t>
      </w:r>
      <w:r w:rsidR="00BA67D2" w:rsidRPr="00BA67D2">
        <w:rPr>
          <w:rFonts w:ascii="Arial" w:hAnsi="Arial" w:cs="Arial"/>
          <w:color w:val="000000"/>
          <w:sz w:val="20"/>
        </w:rPr>
        <w:t>provisions concerning tendency evidence are not directed to curtailing evidence being led for this purpose</w:t>
      </w:r>
      <w:r w:rsidR="00BA67D2">
        <w:rPr>
          <w:rFonts w:ascii="Arial" w:hAnsi="Arial" w:cs="Arial"/>
          <w:color w:val="000000"/>
          <w:sz w:val="20"/>
        </w:rPr>
        <w:t xml:space="preserve">: </w:t>
      </w:r>
      <w:proofErr w:type="spellStart"/>
      <w:r w:rsidR="00BA67D2" w:rsidRPr="00BA67D2">
        <w:rPr>
          <w:rFonts w:ascii="Arial" w:hAnsi="Arial" w:cs="Arial"/>
          <w:i/>
          <w:iCs/>
          <w:color w:val="000000"/>
          <w:sz w:val="20"/>
        </w:rPr>
        <w:t>Elomar</w:t>
      </w:r>
      <w:proofErr w:type="spellEnd"/>
      <w:r w:rsidR="00BA67D2" w:rsidRPr="00BA67D2">
        <w:rPr>
          <w:rFonts w:ascii="Arial" w:hAnsi="Arial" w:cs="Arial"/>
          <w:i/>
          <w:iCs/>
          <w:color w:val="000000"/>
          <w:sz w:val="20"/>
        </w:rPr>
        <w:t xml:space="preserve"> v The Queen</w:t>
      </w:r>
      <w:r w:rsidR="00BA67D2" w:rsidRPr="00BA67D2">
        <w:rPr>
          <w:rFonts w:ascii="Arial" w:hAnsi="Arial" w:cs="Arial"/>
          <w:color w:val="000000"/>
          <w:sz w:val="20"/>
        </w:rPr>
        <w:t xml:space="preserve"> (2014) 316 ALR 206, 278-280 [358], [361]-[363]</w:t>
      </w:r>
      <w:r w:rsidR="00BA67D2">
        <w:rPr>
          <w:rFonts w:ascii="Arial" w:hAnsi="Arial" w:cs="Arial"/>
          <w:color w:val="000000"/>
          <w:sz w:val="20"/>
        </w:rPr>
        <w:t>.</w:t>
      </w:r>
      <w:r>
        <w:rPr>
          <w:rFonts w:ascii="Arial" w:hAnsi="Arial" w:cs="Arial"/>
          <w:color w:val="000000"/>
          <w:sz w:val="20"/>
        </w:rPr>
        <w:t>”</w:t>
      </w:r>
    </w:p>
    <w:p w14:paraId="37DCBDD4" w14:textId="77777777" w:rsidR="00CC35DF" w:rsidRDefault="00CC35DF" w:rsidP="00BB2003">
      <w:pPr>
        <w:jc w:val="both"/>
        <w:rPr>
          <w:rFonts w:ascii="Arial" w:hAnsi="Arial" w:cs="Arial"/>
          <w:color w:val="000000"/>
          <w:sz w:val="20"/>
        </w:rPr>
      </w:pPr>
    </w:p>
    <w:p w14:paraId="33344F65" w14:textId="022BB956" w:rsidR="00BB2003" w:rsidRDefault="00BB2003" w:rsidP="00BB2003">
      <w:pPr>
        <w:jc w:val="both"/>
        <w:rPr>
          <w:rFonts w:ascii="Arial" w:hAnsi="Arial" w:cs="Arial"/>
          <w:color w:val="000000"/>
          <w:sz w:val="20"/>
        </w:rPr>
      </w:pPr>
      <w:r>
        <w:rPr>
          <w:rFonts w:ascii="Arial" w:hAnsi="Arial" w:cs="Arial"/>
          <w:color w:val="000000"/>
          <w:sz w:val="20"/>
        </w:rPr>
        <w:t xml:space="preserve">Section 135 of the </w:t>
      </w:r>
      <w:r w:rsidRPr="00BB2003">
        <w:rPr>
          <w:rFonts w:ascii="Arial" w:hAnsi="Arial" w:cs="Arial"/>
          <w:i/>
          <w:iCs/>
          <w:color w:val="000000"/>
          <w:sz w:val="20"/>
        </w:rPr>
        <w:t>Evidence Act 2008</w:t>
      </w:r>
      <w:r>
        <w:rPr>
          <w:rFonts w:ascii="Arial" w:hAnsi="Arial" w:cs="Arial"/>
          <w:color w:val="000000"/>
          <w:sz w:val="20"/>
        </w:rPr>
        <w:t xml:space="preserve"> provides</w:t>
      </w:r>
      <w:r w:rsidR="002C50BD">
        <w:rPr>
          <w:rFonts w:ascii="Arial" w:hAnsi="Arial" w:cs="Arial"/>
          <w:color w:val="000000"/>
          <w:sz w:val="20"/>
        </w:rPr>
        <w:t xml:space="preserve"> </w:t>
      </w:r>
      <w:r w:rsidR="002C50BD" w:rsidRPr="002C50BD">
        <w:rPr>
          <w:rFonts w:ascii="Arial" w:hAnsi="Arial" w:cs="Arial"/>
          <w:b/>
          <w:bCs/>
          <w:color w:val="000000"/>
          <w:sz w:val="20"/>
        </w:rPr>
        <w:t>a general discretion to exclude evidence</w:t>
      </w:r>
      <w:r>
        <w:rPr>
          <w:rFonts w:ascii="Arial" w:hAnsi="Arial" w:cs="Arial"/>
          <w:color w:val="000000"/>
          <w:sz w:val="20"/>
        </w:rPr>
        <w:t>:</w:t>
      </w:r>
    </w:p>
    <w:p w14:paraId="2B74AFC5" w14:textId="3AB34C3F" w:rsidR="00BB2003" w:rsidRDefault="00BB2003" w:rsidP="00BB2003">
      <w:pPr>
        <w:spacing w:before="60"/>
        <w:ind w:left="567" w:right="567"/>
        <w:jc w:val="both"/>
        <w:rPr>
          <w:rFonts w:ascii="Arial" w:hAnsi="Arial" w:cs="Arial"/>
          <w:color w:val="000000"/>
          <w:sz w:val="20"/>
        </w:rPr>
      </w:pPr>
      <w:r>
        <w:rPr>
          <w:rFonts w:ascii="Arial" w:hAnsi="Arial" w:cs="Arial"/>
          <w:color w:val="000000"/>
          <w:sz w:val="20"/>
        </w:rPr>
        <w:t>“</w:t>
      </w:r>
      <w:r w:rsidRPr="00BB2003">
        <w:rPr>
          <w:rFonts w:ascii="Arial" w:hAnsi="Arial" w:cs="Arial"/>
          <w:sz w:val="20"/>
          <w:szCs w:val="20"/>
        </w:rPr>
        <w:t>The court may refuse to admit evidence if its probative value is substantially outweighed by the danger that the evidence might—</w:t>
      </w:r>
    </w:p>
    <w:p w14:paraId="0A859987" w14:textId="51F7F84D"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(a)</w:t>
      </w:r>
      <w:r w:rsidRPr="00BB2003">
        <w:rPr>
          <w:rFonts w:ascii="Arial" w:hAnsi="Arial" w:cs="Arial"/>
          <w:sz w:val="20"/>
        </w:rPr>
        <w:tab/>
        <w:t>be unfairly prejudicial to a party; or</w:t>
      </w:r>
    </w:p>
    <w:p w14:paraId="269F2F7B" w14:textId="01535295"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(b)</w:t>
      </w:r>
      <w:r w:rsidRPr="00BB2003">
        <w:rPr>
          <w:rFonts w:ascii="Arial" w:hAnsi="Arial" w:cs="Arial"/>
          <w:sz w:val="20"/>
        </w:rPr>
        <w:tab/>
        <w:t>be misleading or confusing; or</w:t>
      </w:r>
    </w:p>
    <w:p w14:paraId="7493DBCB" w14:textId="7EB0DB3D"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(c)</w:t>
      </w:r>
      <w:r w:rsidRPr="00BB2003">
        <w:rPr>
          <w:rFonts w:ascii="Arial" w:hAnsi="Arial" w:cs="Arial"/>
          <w:sz w:val="20"/>
        </w:rPr>
        <w:tab/>
        <w:t>cause or result in undue waste of time; or</w:t>
      </w:r>
    </w:p>
    <w:p w14:paraId="2B05E8BD" w14:textId="77777777"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(d)</w:t>
      </w:r>
      <w:r w:rsidRPr="00BB2003">
        <w:rPr>
          <w:rFonts w:ascii="Arial" w:hAnsi="Arial" w:cs="Arial"/>
          <w:sz w:val="20"/>
        </w:rPr>
        <w:tab/>
        <w:t>unnecessarily demean the deceased in a criminal proceeding for a homicide offence.</w:t>
      </w:r>
    </w:p>
    <w:p w14:paraId="47AE27AC" w14:textId="77777777" w:rsidR="00BB2003" w:rsidRPr="00BB2003" w:rsidRDefault="00BB2003" w:rsidP="00BB2003">
      <w:pPr>
        <w:pStyle w:val="DraftSectionNote"/>
        <w:tabs>
          <w:tab w:val="right" w:pos="1304"/>
        </w:tabs>
        <w:ind w:left="850"/>
        <w:rPr>
          <w:rFonts w:ascii="Arial" w:hAnsi="Arial" w:cs="Arial"/>
          <w:b/>
        </w:rPr>
      </w:pPr>
      <w:r w:rsidRPr="00BB2003">
        <w:rPr>
          <w:rFonts w:ascii="Arial" w:hAnsi="Arial" w:cs="Arial"/>
          <w:b/>
        </w:rPr>
        <w:t>Note</w:t>
      </w:r>
    </w:p>
    <w:p w14:paraId="7F34C5A0" w14:textId="78405376" w:rsidR="00BB2003" w:rsidRPr="00BB2003" w:rsidRDefault="00BB2003" w:rsidP="00050A1B">
      <w:pPr>
        <w:pStyle w:val="DraftSectionNote"/>
        <w:tabs>
          <w:tab w:val="right" w:pos="1304"/>
        </w:tabs>
        <w:ind w:left="851" w:right="567"/>
        <w:jc w:val="both"/>
        <w:rPr>
          <w:rFonts w:ascii="Arial" w:hAnsi="Arial" w:cs="Arial"/>
        </w:rPr>
      </w:pPr>
      <w:r w:rsidRPr="00BB2003">
        <w:rPr>
          <w:rFonts w:ascii="Arial" w:hAnsi="Arial" w:cs="Arial"/>
        </w:rPr>
        <w:t xml:space="preserve">This section does not limit evidence of family violence that may be adduced under Part IC of the </w:t>
      </w:r>
      <w:r w:rsidRPr="00BB2003">
        <w:rPr>
          <w:rFonts w:ascii="Arial" w:hAnsi="Arial" w:cs="Arial"/>
          <w:b/>
        </w:rPr>
        <w:t>Crimes Act 1958</w:t>
      </w:r>
      <w:r w:rsidRPr="00BB2003">
        <w:rPr>
          <w:rFonts w:ascii="Arial" w:hAnsi="Arial" w:cs="Arial"/>
        </w:rPr>
        <w:t>.</w:t>
      </w:r>
      <w:r w:rsidR="002C50BD">
        <w:rPr>
          <w:rFonts w:ascii="Arial" w:hAnsi="Arial" w:cs="Arial"/>
        </w:rPr>
        <w:t>”</w:t>
      </w:r>
    </w:p>
    <w:p w14:paraId="79046E7E" w14:textId="77777777" w:rsidR="00BB2003" w:rsidRDefault="00BB2003" w:rsidP="00BB2003">
      <w:pPr>
        <w:jc w:val="both"/>
        <w:rPr>
          <w:rFonts w:ascii="Arial" w:hAnsi="Arial" w:cs="Arial"/>
          <w:color w:val="000000"/>
          <w:sz w:val="20"/>
        </w:rPr>
      </w:pPr>
    </w:p>
    <w:p w14:paraId="0924F5B1" w14:textId="09EF3135" w:rsidR="00056144" w:rsidRDefault="00056144" w:rsidP="00BB2003">
      <w:pPr>
        <w:jc w:val="both"/>
        <w:rPr>
          <w:rFonts w:ascii="Arial" w:hAnsi="Arial" w:cs="Arial"/>
          <w:color w:val="000000"/>
          <w:sz w:val="20"/>
        </w:rPr>
      </w:pPr>
      <w:r>
        <w:rPr>
          <w:rFonts w:ascii="Arial" w:hAnsi="Arial" w:cs="Arial"/>
          <w:color w:val="000000"/>
          <w:sz w:val="20"/>
        </w:rPr>
        <w:t xml:space="preserve">In </w:t>
      </w:r>
      <w:r w:rsidRPr="00056144">
        <w:rPr>
          <w:rFonts w:ascii="Arial" w:hAnsi="Arial" w:cs="Arial"/>
          <w:i/>
          <w:iCs/>
          <w:color w:val="000000"/>
          <w:sz w:val="20"/>
        </w:rPr>
        <w:t>DPP v Mehdi &amp; Ors (Ruling 5)</w:t>
      </w:r>
      <w:r w:rsidRPr="00056144">
        <w:rPr>
          <w:rFonts w:ascii="Arial" w:hAnsi="Arial" w:cs="Arial"/>
          <w:color w:val="000000"/>
          <w:sz w:val="20"/>
        </w:rPr>
        <w:t xml:space="preserve"> [2024] VSC 831</w:t>
      </w:r>
      <w:r>
        <w:rPr>
          <w:rFonts w:ascii="Arial" w:hAnsi="Arial" w:cs="Arial"/>
          <w:color w:val="000000"/>
          <w:sz w:val="20"/>
        </w:rPr>
        <w:t xml:space="preserve"> four co-accused were facing a joint trial for murder. </w:t>
      </w:r>
      <w:r w:rsidRPr="00056144">
        <w:rPr>
          <w:rFonts w:ascii="Arial" w:hAnsi="Arial" w:cs="Arial"/>
          <w:color w:val="000000"/>
          <w:sz w:val="20"/>
        </w:rPr>
        <w:t xml:space="preserve">On the prosecution case, it </w:t>
      </w:r>
      <w:r w:rsidR="00AD5C78">
        <w:rPr>
          <w:rFonts w:ascii="Arial" w:hAnsi="Arial" w:cs="Arial"/>
          <w:color w:val="000000"/>
          <w:sz w:val="20"/>
        </w:rPr>
        <w:t>wa</w:t>
      </w:r>
      <w:r w:rsidRPr="00056144">
        <w:rPr>
          <w:rFonts w:ascii="Arial" w:hAnsi="Arial" w:cs="Arial"/>
          <w:color w:val="000000"/>
          <w:sz w:val="20"/>
        </w:rPr>
        <w:t>s unknown which of the four accused fired the gun or inflicted the incised wounds. The prosecution case relie</w:t>
      </w:r>
      <w:r w:rsidR="00AD5C78">
        <w:rPr>
          <w:rFonts w:ascii="Arial" w:hAnsi="Arial" w:cs="Arial"/>
          <w:color w:val="000000"/>
          <w:sz w:val="20"/>
        </w:rPr>
        <w:t>d</w:t>
      </w:r>
      <w:r w:rsidRPr="00056144">
        <w:rPr>
          <w:rFonts w:ascii="Arial" w:hAnsi="Arial" w:cs="Arial"/>
          <w:color w:val="000000"/>
          <w:sz w:val="20"/>
        </w:rPr>
        <w:t xml:space="preserve"> on complicity: the four accused agreed upon a plan to kill or really seriously injure the deceased. Alternatively, they each assisted, encouraged or directed the principal offender to kill or cause really serious injury to the deceased.</w:t>
      </w:r>
      <w:r>
        <w:rPr>
          <w:rFonts w:ascii="Arial" w:hAnsi="Arial" w:cs="Arial"/>
          <w:color w:val="000000"/>
          <w:sz w:val="20"/>
        </w:rPr>
        <w:t xml:space="preserve"> The prosecution intend</w:t>
      </w:r>
      <w:r w:rsidR="00AD5C78">
        <w:rPr>
          <w:rFonts w:ascii="Arial" w:hAnsi="Arial" w:cs="Arial"/>
          <w:color w:val="000000"/>
          <w:sz w:val="20"/>
        </w:rPr>
        <w:t>ed</w:t>
      </w:r>
      <w:r>
        <w:rPr>
          <w:rFonts w:ascii="Arial" w:hAnsi="Arial" w:cs="Arial"/>
          <w:color w:val="000000"/>
          <w:sz w:val="20"/>
        </w:rPr>
        <w:t xml:space="preserve"> to lead </w:t>
      </w:r>
      <w:r w:rsidR="00D435FF">
        <w:rPr>
          <w:rFonts w:ascii="Arial" w:hAnsi="Arial" w:cs="Arial"/>
          <w:color w:val="000000"/>
          <w:sz w:val="20"/>
        </w:rPr>
        <w:t xml:space="preserve">certain </w:t>
      </w:r>
      <w:r>
        <w:rPr>
          <w:rFonts w:ascii="Arial" w:hAnsi="Arial" w:cs="Arial"/>
          <w:color w:val="000000"/>
          <w:sz w:val="20"/>
        </w:rPr>
        <w:t>evidence admissible in the trial of M</w:t>
      </w:r>
      <w:r w:rsidR="00AD5C78">
        <w:rPr>
          <w:rFonts w:ascii="Arial" w:hAnsi="Arial" w:cs="Arial"/>
          <w:color w:val="000000"/>
          <w:sz w:val="20"/>
        </w:rPr>
        <w:t>ehdi</w:t>
      </w:r>
      <w:r>
        <w:rPr>
          <w:rFonts w:ascii="Arial" w:hAnsi="Arial" w:cs="Arial"/>
          <w:color w:val="000000"/>
          <w:sz w:val="20"/>
        </w:rPr>
        <w:t xml:space="preserve"> only. Counsel for the accused Q</w:t>
      </w:r>
      <w:r w:rsidR="00AD5C78">
        <w:rPr>
          <w:rFonts w:ascii="Arial" w:hAnsi="Arial" w:cs="Arial"/>
          <w:color w:val="000000"/>
          <w:sz w:val="20"/>
        </w:rPr>
        <w:t>ian</w:t>
      </w:r>
      <w:r>
        <w:rPr>
          <w:rFonts w:ascii="Arial" w:hAnsi="Arial" w:cs="Arial"/>
          <w:color w:val="000000"/>
          <w:sz w:val="20"/>
        </w:rPr>
        <w:t xml:space="preserve"> objected to th</w:t>
      </w:r>
      <w:r w:rsidR="00D435FF">
        <w:rPr>
          <w:rFonts w:ascii="Arial" w:hAnsi="Arial" w:cs="Arial"/>
          <w:color w:val="000000"/>
          <w:sz w:val="20"/>
        </w:rPr>
        <w:t>at</w:t>
      </w:r>
      <w:r>
        <w:rPr>
          <w:rFonts w:ascii="Arial" w:hAnsi="Arial" w:cs="Arial"/>
          <w:color w:val="000000"/>
          <w:sz w:val="20"/>
        </w:rPr>
        <w:t xml:space="preserve"> evidence pursuant to s.135(a) of the </w:t>
      </w:r>
      <w:r w:rsidRPr="00056144">
        <w:rPr>
          <w:rFonts w:ascii="Arial" w:hAnsi="Arial" w:cs="Arial"/>
          <w:i/>
          <w:iCs/>
          <w:color w:val="000000"/>
          <w:sz w:val="20"/>
        </w:rPr>
        <w:t>Evidence Act 2008</w:t>
      </w:r>
      <w:r>
        <w:rPr>
          <w:rFonts w:ascii="Arial" w:hAnsi="Arial" w:cs="Arial"/>
          <w:color w:val="000000"/>
          <w:sz w:val="20"/>
        </w:rPr>
        <w:t xml:space="preserve"> and if th</w:t>
      </w:r>
      <w:r w:rsidR="00D435FF">
        <w:rPr>
          <w:rFonts w:ascii="Arial" w:hAnsi="Arial" w:cs="Arial"/>
          <w:color w:val="000000"/>
          <w:sz w:val="20"/>
        </w:rPr>
        <w:t>at</w:t>
      </w:r>
      <w:r>
        <w:rPr>
          <w:rFonts w:ascii="Arial" w:hAnsi="Arial" w:cs="Arial"/>
          <w:color w:val="000000"/>
          <w:sz w:val="20"/>
        </w:rPr>
        <w:t xml:space="preserve"> evidence was admitted sought a separate trial. Fox J refused both applications. At [</w:t>
      </w:r>
      <w:r w:rsidR="00AD5C78">
        <w:rPr>
          <w:rFonts w:ascii="Arial" w:hAnsi="Arial" w:cs="Arial"/>
          <w:color w:val="000000"/>
          <w:sz w:val="20"/>
        </w:rPr>
        <w:t>28</w:t>
      </w:r>
      <w:r>
        <w:rPr>
          <w:rFonts w:ascii="Arial" w:hAnsi="Arial" w:cs="Arial"/>
          <w:color w:val="000000"/>
          <w:sz w:val="20"/>
        </w:rPr>
        <w:t>]</w:t>
      </w:r>
      <w:r w:rsidR="00AD5C78">
        <w:rPr>
          <w:rFonts w:ascii="Arial" w:hAnsi="Arial" w:cs="Arial"/>
          <w:color w:val="000000"/>
          <w:sz w:val="20"/>
        </w:rPr>
        <w:t xml:space="preserve">-[30] </w:t>
      </w:r>
      <w:r w:rsidR="007B51A0">
        <w:rPr>
          <w:rFonts w:ascii="Arial" w:hAnsi="Arial" w:cs="Arial"/>
          <w:color w:val="000000"/>
          <w:sz w:val="20"/>
        </w:rPr>
        <w:t xml:space="preserve">&amp; [36]-[37] </w:t>
      </w:r>
      <w:r w:rsidR="00AD5C78">
        <w:rPr>
          <w:rFonts w:ascii="Arial" w:hAnsi="Arial" w:cs="Arial"/>
          <w:color w:val="000000"/>
          <w:sz w:val="20"/>
        </w:rPr>
        <w:t>her Honour said:</w:t>
      </w:r>
    </w:p>
    <w:p w14:paraId="055ECB9B" w14:textId="77777777" w:rsidR="00AD5C78" w:rsidRDefault="00AD5C78" w:rsidP="00AD5C78">
      <w:pPr>
        <w:spacing w:before="60"/>
        <w:ind w:left="567" w:right="567"/>
        <w:jc w:val="both"/>
        <w:rPr>
          <w:rFonts w:ascii="Arial" w:hAnsi="Arial" w:cs="Arial"/>
          <w:color w:val="000000"/>
          <w:sz w:val="20"/>
        </w:rPr>
      </w:pPr>
      <w:r>
        <w:rPr>
          <w:rFonts w:ascii="Arial" w:hAnsi="Arial" w:cs="Arial"/>
          <w:bCs/>
          <w:sz w:val="20"/>
        </w:rPr>
        <w:t>[28] “</w:t>
      </w:r>
      <w:r w:rsidR="00056144" w:rsidRPr="00056144">
        <w:rPr>
          <w:rFonts w:ascii="Arial" w:hAnsi="Arial" w:cs="Arial"/>
          <w:color w:val="000000"/>
          <w:sz w:val="20"/>
        </w:rPr>
        <w:t>The principles to be applied when considering an application pursuant to s 135(a) may be stated as follows:</w:t>
      </w:r>
    </w:p>
    <w:p w14:paraId="0B60CF03" w14:textId="77777777"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(a)</w:t>
      </w:r>
      <w:r w:rsidR="00AD5C78">
        <w:rPr>
          <w:rFonts w:ascii="Arial" w:hAnsi="Arial" w:cs="Arial"/>
          <w:color w:val="000000"/>
          <w:sz w:val="20"/>
        </w:rPr>
        <w:tab/>
      </w:r>
      <w:r w:rsidRPr="00056144">
        <w:rPr>
          <w:rFonts w:ascii="Arial" w:hAnsi="Arial" w:cs="Arial"/>
          <w:color w:val="000000"/>
          <w:sz w:val="20"/>
        </w:rPr>
        <w:t>The burden is on the party opposing the admission of the evidence.</w:t>
      </w:r>
    </w:p>
    <w:p w14:paraId="40FBC456" w14:textId="77777777"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(b)</w:t>
      </w:r>
      <w:r w:rsidR="00AD5C78">
        <w:rPr>
          <w:rFonts w:ascii="Arial" w:hAnsi="Arial" w:cs="Arial"/>
          <w:color w:val="000000"/>
          <w:sz w:val="20"/>
        </w:rPr>
        <w:tab/>
      </w:r>
      <w:r w:rsidRPr="00056144">
        <w:rPr>
          <w:rFonts w:ascii="Arial" w:hAnsi="Arial" w:cs="Arial"/>
          <w:color w:val="000000"/>
          <w:sz w:val="20"/>
        </w:rPr>
        <w:t>The court must first assess the probative value of the evidence sought to be admitted.</w:t>
      </w:r>
    </w:p>
    <w:p w14:paraId="5ECBDCA5" w14:textId="5075599D"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(c)</w:t>
      </w:r>
      <w:r w:rsidR="00AD5C78">
        <w:rPr>
          <w:rFonts w:ascii="Arial" w:hAnsi="Arial" w:cs="Arial"/>
          <w:color w:val="000000"/>
          <w:sz w:val="20"/>
        </w:rPr>
        <w:tab/>
      </w:r>
      <w:r w:rsidRPr="00056144">
        <w:rPr>
          <w:rFonts w:ascii="Arial" w:hAnsi="Arial" w:cs="Arial"/>
          <w:color w:val="000000"/>
          <w:sz w:val="20"/>
        </w:rPr>
        <w:t>The court must then determine whether, on balance, there is a danger that the evidence might be unfairly prejudicial to a party. It is not necessary to find that the evidence would be unfairly prejudicial.</w:t>
      </w:r>
    </w:p>
    <w:p w14:paraId="7274534A" w14:textId="77777777"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(d)</w:t>
      </w:r>
      <w:r w:rsidR="00AD5C78">
        <w:rPr>
          <w:rFonts w:ascii="Arial" w:hAnsi="Arial" w:cs="Arial"/>
          <w:color w:val="000000"/>
          <w:sz w:val="20"/>
        </w:rPr>
        <w:tab/>
      </w:r>
      <w:r w:rsidRPr="00056144">
        <w:rPr>
          <w:rFonts w:ascii="Arial" w:hAnsi="Arial" w:cs="Arial"/>
          <w:color w:val="000000"/>
          <w:sz w:val="20"/>
        </w:rPr>
        <w:t xml:space="preserve">If the court concludes there is such a danger, it must weigh that danger against the probative value of the evidence. In balancing the factors, the court must have regard </w:t>
      </w:r>
      <w:r w:rsidRPr="00056144">
        <w:rPr>
          <w:rFonts w:ascii="Arial" w:hAnsi="Arial" w:cs="Arial"/>
          <w:color w:val="000000"/>
          <w:sz w:val="20"/>
        </w:rPr>
        <w:lastRenderedPageBreak/>
        <w:t>to the extent that problems could be lessened by actions other than exclusion, such as limiting the use of the evidence or, in a jury trial, by directions. The imbalance must result in a danger that the unfair prejudice will substantially outweigh the probative of the evidence. This may be contrasted with s 137, where the probative value must only be ‘outweighed’ by the danger of unfair prejudice. For this reason, where the evidence is adduced by the prosecution against an accused, defence applications usually rely on s 137 not s 135.</w:t>
      </w:r>
    </w:p>
    <w:p w14:paraId="0C051EA2" w14:textId="0F320DEF" w:rsidR="00056144" w:rsidRPr="00AD5C78" w:rsidRDefault="00056144" w:rsidP="00AD5C78">
      <w:pPr>
        <w:spacing w:before="40"/>
        <w:ind w:left="924" w:right="567" w:hanging="357"/>
        <w:jc w:val="both"/>
        <w:rPr>
          <w:rFonts w:ascii="Arial" w:hAnsi="Arial" w:cs="Arial"/>
          <w:bCs/>
          <w:sz w:val="20"/>
        </w:rPr>
      </w:pPr>
      <w:r w:rsidRPr="00056144">
        <w:rPr>
          <w:rFonts w:ascii="Arial" w:hAnsi="Arial" w:cs="Arial"/>
          <w:color w:val="000000"/>
          <w:sz w:val="20"/>
        </w:rPr>
        <w:t>(e)</w:t>
      </w:r>
      <w:r w:rsidR="00AD5C78">
        <w:rPr>
          <w:rFonts w:ascii="Arial" w:hAnsi="Arial" w:cs="Arial"/>
          <w:color w:val="000000"/>
          <w:sz w:val="20"/>
        </w:rPr>
        <w:tab/>
      </w:r>
      <w:r w:rsidRPr="00056144">
        <w:rPr>
          <w:rFonts w:ascii="Arial" w:hAnsi="Arial" w:cs="Arial"/>
          <w:color w:val="000000"/>
          <w:sz w:val="20"/>
        </w:rPr>
        <w:t>Unfair prejudice has been held to have the same meaning in each of the sections in pt 3.11 of the Act and in s 101</w:t>
      </w:r>
      <w:r w:rsidR="00AD5C78">
        <w:rPr>
          <w:rFonts w:ascii="Arial" w:hAnsi="Arial" w:cs="Arial"/>
          <w:color w:val="000000"/>
          <w:sz w:val="20"/>
        </w:rPr>
        <w:t xml:space="preserve">: </w:t>
      </w:r>
      <w:r w:rsidR="00AD5C78" w:rsidRPr="00AD5C78">
        <w:rPr>
          <w:rFonts w:ascii="Arial" w:hAnsi="Arial" w:cs="Arial"/>
          <w:i/>
          <w:iCs/>
          <w:color w:val="000000"/>
          <w:sz w:val="20"/>
        </w:rPr>
        <w:t>R v Bauer (a pseudonym)</w:t>
      </w:r>
      <w:r w:rsidR="00AD5C78" w:rsidRPr="00056144">
        <w:rPr>
          <w:rFonts w:ascii="Arial" w:hAnsi="Arial" w:cs="Arial"/>
          <w:color w:val="000000"/>
          <w:sz w:val="20"/>
        </w:rPr>
        <w:t xml:space="preserve"> (2018) 266 CLR 56, [73].</w:t>
      </w:r>
      <w:r w:rsidRPr="00056144">
        <w:rPr>
          <w:rFonts w:ascii="Arial" w:hAnsi="Arial" w:cs="Arial"/>
          <w:color w:val="000000"/>
          <w:sz w:val="20"/>
        </w:rPr>
        <w:t xml:space="preserve"> It</w:t>
      </w:r>
      <w:r w:rsidR="00AD5C78">
        <w:rPr>
          <w:rFonts w:ascii="Arial" w:hAnsi="Arial" w:cs="Arial"/>
          <w:color w:val="000000"/>
          <w:sz w:val="20"/>
        </w:rPr>
        <w:t> </w:t>
      </w:r>
      <w:r w:rsidRPr="00056144">
        <w:rPr>
          <w:rFonts w:ascii="Arial" w:hAnsi="Arial" w:cs="Arial"/>
          <w:color w:val="000000"/>
          <w:sz w:val="20"/>
        </w:rPr>
        <w:t>may encompass procedural disadvantage, although this is less clear in the case of s</w:t>
      </w:r>
      <w:r w:rsidR="00AD5C78">
        <w:rPr>
          <w:rFonts w:ascii="Arial" w:hAnsi="Arial" w:cs="Arial"/>
          <w:color w:val="000000"/>
          <w:sz w:val="20"/>
        </w:rPr>
        <w:t> </w:t>
      </w:r>
      <w:r w:rsidRPr="00056144">
        <w:rPr>
          <w:rFonts w:ascii="Arial" w:hAnsi="Arial" w:cs="Arial"/>
          <w:color w:val="000000"/>
          <w:sz w:val="20"/>
        </w:rPr>
        <w:t>135 than s 137. Section 135 talks of ‘the evidence’ being unfairly prejudicial, whereas s 137 talks more generally of ‘the danger of unfair prejudice’.</w:t>
      </w:r>
    </w:p>
    <w:p w14:paraId="33272405" w14:textId="63677BA5" w:rsidR="00AD5C78" w:rsidRDefault="00AD5C78" w:rsidP="00AD5C78">
      <w:pPr>
        <w:spacing w:before="60"/>
        <w:ind w:left="567" w:right="567"/>
        <w:jc w:val="both"/>
        <w:rPr>
          <w:rFonts w:ascii="Arial" w:hAnsi="Arial" w:cs="Arial"/>
          <w:color w:val="000000"/>
          <w:sz w:val="20"/>
        </w:rPr>
      </w:pPr>
      <w:r>
        <w:rPr>
          <w:rFonts w:ascii="Arial" w:hAnsi="Arial" w:cs="Arial"/>
          <w:color w:val="000000"/>
          <w:sz w:val="20"/>
        </w:rPr>
        <w:t xml:space="preserve">[29] </w:t>
      </w:r>
      <w:r w:rsidRPr="00AD5C78">
        <w:rPr>
          <w:rFonts w:ascii="Arial" w:hAnsi="Arial" w:cs="Arial"/>
          <w:color w:val="000000"/>
          <w:sz w:val="20"/>
        </w:rPr>
        <w:t>Here, in determining the s 135(a) question, it is necessary to weigh the probative value of the evidence to the prosecution in the trial of Mehdi, against the prejudicial effect it will have on the accused Qian</w:t>
      </w:r>
      <w:r>
        <w:rPr>
          <w:rFonts w:ascii="Arial" w:hAnsi="Arial" w:cs="Arial"/>
          <w:color w:val="000000"/>
          <w:sz w:val="20"/>
        </w:rPr>
        <w:t>.</w:t>
      </w:r>
    </w:p>
    <w:p w14:paraId="12D4DB1A" w14:textId="49861791" w:rsidR="00AD5C78" w:rsidRDefault="00AD5C78" w:rsidP="00AD5C78">
      <w:pPr>
        <w:spacing w:before="60"/>
        <w:ind w:left="567" w:right="567"/>
        <w:jc w:val="both"/>
        <w:rPr>
          <w:rFonts w:ascii="Arial" w:hAnsi="Arial" w:cs="Arial"/>
          <w:color w:val="000000"/>
          <w:sz w:val="20"/>
        </w:rPr>
      </w:pPr>
      <w:r>
        <w:rPr>
          <w:rFonts w:ascii="Arial" w:hAnsi="Arial" w:cs="Arial"/>
          <w:color w:val="000000"/>
          <w:sz w:val="20"/>
        </w:rPr>
        <w:t xml:space="preserve">[30] </w:t>
      </w:r>
      <w:r w:rsidRPr="00AD5C78">
        <w:rPr>
          <w:rFonts w:ascii="Arial" w:hAnsi="Arial" w:cs="Arial"/>
          <w:color w:val="000000"/>
          <w:sz w:val="20"/>
        </w:rPr>
        <w:t>In my view, it is not appropriate to exclude the parts of the conversations that concern Qian; this would distort the evidence and cause unfairness to the accused Mehdi. Therefore the question is whether, if the matter continues as a joint trial, the entirety of the conversations should be excluded.</w:t>
      </w:r>
      <w:r>
        <w:rPr>
          <w:rFonts w:ascii="Arial" w:hAnsi="Arial" w:cs="Arial"/>
          <w:color w:val="000000"/>
          <w:sz w:val="20"/>
        </w:rPr>
        <w:t>”</w:t>
      </w:r>
    </w:p>
    <w:p w14:paraId="011F37C1" w14:textId="0E4D562E" w:rsidR="007B51A0" w:rsidRDefault="007B51A0" w:rsidP="007B51A0">
      <w:pPr>
        <w:spacing w:before="60"/>
        <w:ind w:left="567" w:right="567"/>
        <w:jc w:val="both"/>
        <w:rPr>
          <w:rFonts w:ascii="Arial" w:hAnsi="Arial" w:cs="Arial"/>
          <w:color w:val="000000"/>
          <w:sz w:val="20"/>
        </w:rPr>
      </w:pPr>
      <w:r>
        <w:rPr>
          <w:rFonts w:ascii="Arial" w:hAnsi="Arial" w:cs="Arial"/>
          <w:color w:val="000000"/>
          <w:sz w:val="20"/>
        </w:rPr>
        <w:t>[36] “</w:t>
      </w:r>
      <w:r w:rsidRPr="007B51A0">
        <w:rPr>
          <w:rFonts w:ascii="Arial" w:hAnsi="Arial" w:cs="Arial"/>
          <w:color w:val="000000"/>
          <w:sz w:val="20"/>
        </w:rPr>
        <w:t>The prejudice must be viewed as a whole. It is not appropriate to weigh each alleged prejudice against the probative value of the evidence and reach a conclusion. When, as here, a number of matters are relied upon, the overall prejudice must be determined and balanced against the probative value of the evidence.</w:t>
      </w:r>
    </w:p>
    <w:p w14:paraId="0390FBA0" w14:textId="0C6D8EE2" w:rsidR="007B51A0" w:rsidRDefault="007B51A0" w:rsidP="007B51A0">
      <w:pPr>
        <w:spacing w:before="60"/>
        <w:ind w:left="567" w:right="567"/>
        <w:jc w:val="both"/>
        <w:rPr>
          <w:rFonts w:ascii="Arial" w:hAnsi="Arial" w:cs="Arial"/>
          <w:color w:val="000000"/>
          <w:sz w:val="20"/>
        </w:rPr>
      </w:pPr>
      <w:r>
        <w:rPr>
          <w:rFonts w:ascii="Arial" w:hAnsi="Arial" w:cs="Arial"/>
          <w:color w:val="000000"/>
          <w:sz w:val="20"/>
        </w:rPr>
        <w:t>[</w:t>
      </w:r>
      <w:r w:rsidRPr="007B51A0">
        <w:rPr>
          <w:rFonts w:ascii="Arial" w:hAnsi="Arial" w:cs="Arial"/>
          <w:color w:val="000000"/>
          <w:sz w:val="20"/>
        </w:rPr>
        <w:t>37</w:t>
      </w:r>
      <w:r>
        <w:rPr>
          <w:rFonts w:ascii="Arial" w:hAnsi="Arial" w:cs="Arial"/>
          <w:color w:val="000000"/>
          <w:sz w:val="20"/>
        </w:rPr>
        <w:t>]</w:t>
      </w:r>
      <w:r w:rsidRPr="007B51A0">
        <w:rPr>
          <w:rFonts w:ascii="Arial" w:hAnsi="Arial" w:cs="Arial"/>
          <w:color w:val="000000"/>
          <w:sz w:val="20"/>
        </w:rPr>
        <w:t xml:space="preserve"> In my view and taking all matters into account, any danger that the evidence might be unfairly prejudicial does not substantially outweigh the probative value of the evidence. The jury will be given a strong direction that what Mehdi tells others after the shooting is not evidence in the trial of Qian and cannot be used against Qian. Directions concerning the evidence of Subu and Jabbour can also be given, if required.</w:t>
      </w:r>
      <w:r>
        <w:rPr>
          <w:rFonts w:ascii="Arial" w:hAnsi="Arial" w:cs="Arial"/>
          <w:color w:val="000000"/>
          <w:sz w:val="20"/>
        </w:rPr>
        <w:t>”</w:t>
      </w:r>
    </w:p>
    <w:p w14:paraId="2D34B8E0" w14:textId="4AF503A3" w:rsidR="00AD5C78" w:rsidRDefault="00AD5C78" w:rsidP="008E1494">
      <w:pPr>
        <w:spacing w:before="60"/>
        <w:jc w:val="both"/>
        <w:rPr>
          <w:rFonts w:ascii="Arial" w:hAnsi="Arial" w:cs="Arial"/>
          <w:color w:val="000000"/>
          <w:sz w:val="20"/>
        </w:rPr>
      </w:pPr>
      <w:r>
        <w:rPr>
          <w:rFonts w:ascii="Arial" w:hAnsi="Arial" w:cs="Arial"/>
          <w:color w:val="000000"/>
          <w:sz w:val="20"/>
        </w:rPr>
        <w:t xml:space="preserve">For </w:t>
      </w:r>
      <w:r w:rsidR="008E1494">
        <w:rPr>
          <w:rFonts w:ascii="Arial" w:hAnsi="Arial" w:cs="Arial"/>
          <w:color w:val="000000"/>
          <w:sz w:val="20"/>
        </w:rPr>
        <w:t>detai</w:t>
      </w:r>
      <w:r>
        <w:rPr>
          <w:rFonts w:ascii="Arial" w:hAnsi="Arial" w:cs="Arial"/>
          <w:color w:val="000000"/>
          <w:sz w:val="20"/>
        </w:rPr>
        <w:t xml:space="preserve">ls of her Honour’s ruling refusing a separate trial for Qian see </w:t>
      </w:r>
      <w:r w:rsidRPr="00AD5C78">
        <w:rPr>
          <w:rFonts w:ascii="Arial" w:hAnsi="Arial" w:cs="Arial"/>
          <w:b/>
          <w:bCs/>
          <w:color w:val="000000"/>
          <w:sz w:val="20"/>
          <w:shd w:val="clear" w:color="auto" w:fill="C5E0B3" w:themeFill="accent6" w:themeFillTint="66"/>
        </w:rPr>
        <w:t xml:space="preserve">section </w:t>
      </w:r>
      <w:r w:rsidR="00556C02">
        <w:rPr>
          <w:rFonts w:ascii="Arial" w:hAnsi="Arial" w:cs="Arial"/>
          <w:b/>
          <w:bCs/>
          <w:color w:val="000000"/>
          <w:sz w:val="20"/>
          <w:shd w:val="clear" w:color="auto" w:fill="C5E0B3" w:themeFill="accent6" w:themeFillTint="66"/>
        </w:rPr>
        <w:t>10</w:t>
      </w:r>
      <w:r w:rsidRPr="00AD5C78">
        <w:rPr>
          <w:rFonts w:ascii="Arial" w:hAnsi="Arial" w:cs="Arial"/>
          <w:b/>
          <w:bCs/>
          <w:color w:val="000000"/>
          <w:sz w:val="20"/>
          <w:shd w:val="clear" w:color="auto" w:fill="C5E0B3" w:themeFill="accent6" w:themeFillTint="66"/>
        </w:rPr>
        <w:t>.</w:t>
      </w:r>
      <w:r w:rsidR="00556C02">
        <w:rPr>
          <w:rFonts w:ascii="Arial" w:hAnsi="Arial" w:cs="Arial"/>
          <w:b/>
          <w:bCs/>
          <w:color w:val="000000"/>
          <w:sz w:val="20"/>
          <w:shd w:val="clear" w:color="auto" w:fill="C5E0B3" w:themeFill="accent6" w:themeFillTint="66"/>
        </w:rPr>
        <w:t>3</w:t>
      </w:r>
      <w:r w:rsidRPr="00AD5C78">
        <w:rPr>
          <w:rFonts w:ascii="Arial" w:hAnsi="Arial" w:cs="Arial"/>
          <w:b/>
          <w:bCs/>
          <w:color w:val="000000"/>
          <w:sz w:val="20"/>
          <w:shd w:val="clear" w:color="auto" w:fill="C5E0B3" w:themeFill="accent6" w:themeFillTint="66"/>
        </w:rPr>
        <w:t>.</w:t>
      </w:r>
      <w:r w:rsidR="00556C02">
        <w:rPr>
          <w:rFonts w:ascii="Arial" w:hAnsi="Arial" w:cs="Arial"/>
          <w:b/>
          <w:bCs/>
          <w:color w:val="000000"/>
          <w:sz w:val="20"/>
          <w:shd w:val="clear" w:color="auto" w:fill="C5E0B3" w:themeFill="accent6" w:themeFillTint="66"/>
        </w:rPr>
        <w:t>12</w:t>
      </w:r>
      <w:r w:rsidRPr="008E1494">
        <w:rPr>
          <w:rFonts w:ascii="Arial" w:hAnsi="Arial" w:cs="Arial"/>
          <w:color w:val="000000"/>
          <w:sz w:val="20"/>
        </w:rPr>
        <w:t>.</w:t>
      </w:r>
      <w:r w:rsidR="008E1494">
        <w:rPr>
          <w:rFonts w:ascii="Arial" w:hAnsi="Arial" w:cs="Arial"/>
          <w:color w:val="000000"/>
          <w:sz w:val="20"/>
        </w:rPr>
        <w:t xml:space="preserve"> For a discussion of s.135 in the context of a civil trial see </w:t>
      </w:r>
      <w:r w:rsidR="008E1494" w:rsidRPr="008E1494">
        <w:rPr>
          <w:rFonts w:ascii="Arial" w:hAnsi="Arial" w:cs="Arial"/>
          <w:i/>
          <w:iCs/>
          <w:color w:val="000000"/>
          <w:sz w:val="20"/>
        </w:rPr>
        <w:t>Mallard v Homes Victoria</w:t>
      </w:r>
      <w:r w:rsidR="008E1494">
        <w:rPr>
          <w:rFonts w:ascii="Arial" w:hAnsi="Arial" w:cs="Arial"/>
          <w:color w:val="000000"/>
          <w:sz w:val="20"/>
        </w:rPr>
        <w:t xml:space="preserve"> [2025] VSCA 339 at [228]-[252].</w:t>
      </w:r>
      <w:r w:rsidR="0002278F">
        <w:rPr>
          <w:rFonts w:ascii="Arial" w:hAnsi="Arial" w:cs="Arial"/>
          <w:color w:val="000000"/>
          <w:sz w:val="20"/>
        </w:rPr>
        <w:t xml:space="preserve"> For a discussion of s.135 in the context of a criminal trial see </w:t>
      </w:r>
      <w:r w:rsidR="0002278F" w:rsidRPr="00C35E9E">
        <w:rPr>
          <w:rFonts w:ascii="Arial" w:hAnsi="Arial" w:cs="Arial"/>
          <w:i/>
          <w:iCs/>
          <w:sz w:val="20"/>
          <w:szCs w:val="20"/>
        </w:rPr>
        <w:t>Rowan (a pseudonym) v The King</w:t>
      </w:r>
      <w:r w:rsidR="0002278F">
        <w:rPr>
          <w:rFonts w:ascii="Arial" w:hAnsi="Arial" w:cs="Arial"/>
          <w:sz w:val="20"/>
          <w:szCs w:val="20"/>
        </w:rPr>
        <w:t xml:space="preserve"> [2026] VSCA 44 at [160]-[174].</w:t>
      </w:r>
    </w:p>
    <w:p w14:paraId="6CCBFDDB" w14:textId="77777777" w:rsidR="008E1494" w:rsidRDefault="008E1494" w:rsidP="00BB2003">
      <w:pPr>
        <w:jc w:val="both"/>
        <w:rPr>
          <w:rFonts w:ascii="Arial" w:hAnsi="Arial" w:cs="Arial"/>
          <w:color w:val="000000"/>
          <w:sz w:val="20"/>
        </w:rPr>
      </w:pPr>
    </w:p>
    <w:p w14:paraId="3A0FE311" w14:textId="73AFDF1C" w:rsidR="00BB2003" w:rsidRDefault="00BB2003" w:rsidP="00E25700">
      <w:pPr>
        <w:jc w:val="both"/>
        <w:rPr>
          <w:rFonts w:ascii="Arial" w:hAnsi="Arial" w:cs="Arial"/>
          <w:color w:val="000000"/>
          <w:sz w:val="20"/>
        </w:rPr>
      </w:pPr>
      <w:r>
        <w:rPr>
          <w:rFonts w:ascii="Arial" w:hAnsi="Arial" w:cs="Arial"/>
          <w:color w:val="000000"/>
          <w:sz w:val="20"/>
        </w:rPr>
        <w:t xml:space="preserve">Section 136 of the </w:t>
      </w:r>
      <w:r w:rsidRPr="00BB2003">
        <w:rPr>
          <w:rFonts w:ascii="Arial" w:hAnsi="Arial" w:cs="Arial"/>
          <w:i/>
          <w:iCs/>
          <w:color w:val="000000"/>
          <w:sz w:val="20"/>
        </w:rPr>
        <w:t>Evidence Act 2008</w:t>
      </w:r>
      <w:r>
        <w:rPr>
          <w:rFonts w:ascii="Arial" w:hAnsi="Arial" w:cs="Arial"/>
          <w:color w:val="000000"/>
          <w:sz w:val="20"/>
        </w:rPr>
        <w:t xml:space="preserve"> provides</w:t>
      </w:r>
      <w:r w:rsidR="00050A1B">
        <w:rPr>
          <w:rFonts w:ascii="Arial" w:hAnsi="Arial" w:cs="Arial"/>
          <w:color w:val="000000"/>
          <w:sz w:val="20"/>
        </w:rPr>
        <w:t xml:space="preserve"> </w:t>
      </w:r>
      <w:r w:rsidR="00050A1B" w:rsidRPr="00050A1B">
        <w:rPr>
          <w:rFonts w:ascii="Arial" w:hAnsi="Arial" w:cs="Arial"/>
          <w:b/>
          <w:bCs/>
          <w:color w:val="000000"/>
          <w:sz w:val="20"/>
        </w:rPr>
        <w:t>a general discretion to limit the use of evidence</w:t>
      </w:r>
      <w:r>
        <w:rPr>
          <w:rFonts w:ascii="Arial" w:hAnsi="Arial" w:cs="Arial"/>
          <w:color w:val="000000"/>
          <w:sz w:val="20"/>
        </w:rPr>
        <w:t>:</w:t>
      </w:r>
    </w:p>
    <w:p w14:paraId="0E86D06E" w14:textId="7035CA69" w:rsidR="00BB2003" w:rsidRDefault="00BB2003" w:rsidP="00BB2003">
      <w:pPr>
        <w:spacing w:before="60"/>
        <w:ind w:left="567" w:right="567"/>
        <w:jc w:val="both"/>
        <w:rPr>
          <w:rFonts w:ascii="Arial" w:hAnsi="Arial" w:cs="Arial"/>
          <w:sz w:val="20"/>
          <w:szCs w:val="20"/>
        </w:rPr>
      </w:pPr>
      <w:r>
        <w:rPr>
          <w:rFonts w:ascii="Arial" w:hAnsi="Arial" w:cs="Arial"/>
          <w:color w:val="000000"/>
          <w:sz w:val="20"/>
        </w:rPr>
        <w:t>“</w:t>
      </w:r>
      <w:r w:rsidRPr="00BB2003">
        <w:rPr>
          <w:rFonts w:ascii="Arial" w:hAnsi="Arial" w:cs="Arial"/>
          <w:sz w:val="20"/>
          <w:szCs w:val="20"/>
        </w:rPr>
        <w:t>The court may limit the use to be made of evidence if there is a danger that a particular use of the evidence might—</w:t>
      </w:r>
    </w:p>
    <w:p w14:paraId="45A975B1" w14:textId="77777777" w:rsidR="00050A1B" w:rsidRPr="00BB2003" w:rsidRDefault="00050A1B" w:rsidP="00050A1B">
      <w:pPr>
        <w:pStyle w:val="DraftHeading3"/>
        <w:tabs>
          <w:tab w:val="right" w:pos="1757"/>
        </w:tabs>
        <w:spacing w:before="0"/>
        <w:ind w:left="924" w:hanging="357"/>
        <w:rPr>
          <w:rFonts w:ascii="Arial" w:hAnsi="Arial" w:cs="Arial"/>
          <w:sz w:val="20"/>
        </w:rPr>
      </w:pPr>
      <w:r w:rsidRPr="00BB2003">
        <w:rPr>
          <w:rFonts w:ascii="Arial" w:hAnsi="Arial" w:cs="Arial"/>
          <w:sz w:val="20"/>
        </w:rPr>
        <w:t>(a)</w:t>
      </w:r>
      <w:r w:rsidRPr="00BB2003">
        <w:rPr>
          <w:rFonts w:ascii="Arial" w:hAnsi="Arial" w:cs="Arial"/>
          <w:sz w:val="20"/>
        </w:rPr>
        <w:tab/>
        <w:t>be unfairly prejudicial to a party; or</w:t>
      </w:r>
    </w:p>
    <w:p w14:paraId="1114E723" w14:textId="41CDEE21" w:rsidR="00050A1B" w:rsidRPr="00BB2003" w:rsidRDefault="00050A1B" w:rsidP="00050A1B">
      <w:pPr>
        <w:pStyle w:val="DraftHeading3"/>
        <w:tabs>
          <w:tab w:val="right" w:pos="1757"/>
        </w:tabs>
        <w:spacing w:before="0"/>
        <w:ind w:left="924" w:hanging="357"/>
        <w:rPr>
          <w:rFonts w:ascii="Arial" w:hAnsi="Arial" w:cs="Arial"/>
          <w:sz w:val="20"/>
        </w:rPr>
      </w:pPr>
      <w:r w:rsidRPr="00BB2003">
        <w:rPr>
          <w:rFonts w:ascii="Arial" w:hAnsi="Arial" w:cs="Arial"/>
          <w:sz w:val="20"/>
        </w:rPr>
        <w:t>(b)</w:t>
      </w:r>
      <w:r w:rsidRPr="00BB2003">
        <w:rPr>
          <w:rFonts w:ascii="Arial" w:hAnsi="Arial" w:cs="Arial"/>
          <w:sz w:val="20"/>
        </w:rPr>
        <w:tab/>
        <w:t>be misleading or confusing</w:t>
      </w:r>
      <w:r w:rsidR="002C50BD">
        <w:rPr>
          <w:rFonts w:ascii="Arial" w:hAnsi="Arial" w:cs="Arial"/>
          <w:sz w:val="20"/>
        </w:rPr>
        <w:t>.”</w:t>
      </w:r>
    </w:p>
    <w:p w14:paraId="50A8A7DF" w14:textId="26D71989" w:rsidR="00BB2003" w:rsidRDefault="0079534A" w:rsidP="0079534A">
      <w:pPr>
        <w:pStyle w:val="BodySectionSub"/>
        <w:spacing w:before="60"/>
        <w:ind w:left="0"/>
        <w:rPr>
          <w:rFonts w:ascii="Arial" w:hAnsi="Arial" w:cs="Arial"/>
          <w:sz w:val="20"/>
        </w:rPr>
      </w:pPr>
      <w:r>
        <w:rPr>
          <w:rFonts w:ascii="Arial" w:hAnsi="Arial" w:cs="Arial"/>
          <w:sz w:val="20"/>
        </w:rPr>
        <w:t xml:space="preserve">For a case in which s.136 was applied to limit the use of evidence so that it was not unfairly prejudicial to the accused see </w:t>
      </w:r>
      <w:r w:rsidRPr="0079534A">
        <w:rPr>
          <w:rFonts w:ascii="Arial" w:hAnsi="Arial" w:cs="Arial"/>
          <w:i/>
          <w:iCs/>
          <w:sz w:val="20"/>
        </w:rPr>
        <w:t>DPP v KT (Ruling 2)</w:t>
      </w:r>
      <w:r>
        <w:rPr>
          <w:rFonts w:ascii="Arial" w:hAnsi="Arial" w:cs="Arial"/>
          <w:sz w:val="20"/>
        </w:rPr>
        <w:t xml:space="preserve"> [2025] VSC 398.</w:t>
      </w:r>
    </w:p>
    <w:p w14:paraId="42F4E7B1" w14:textId="77777777" w:rsidR="0079534A" w:rsidRPr="0079534A" w:rsidRDefault="0079534A" w:rsidP="0079534A"/>
    <w:p w14:paraId="77F5B30C" w14:textId="3687D051" w:rsidR="008A1522" w:rsidRDefault="008A1522" w:rsidP="002C50BD">
      <w:pPr>
        <w:jc w:val="both"/>
        <w:rPr>
          <w:rFonts w:ascii="Arial" w:hAnsi="Arial" w:cs="Arial"/>
          <w:color w:val="000000"/>
          <w:sz w:val="20"/>
        </w:rPr>
      </w:pPr>
      <w:r>
        <w:rPr>
          <w:rFonts w:ascii="Arial" w:hAnsi="Arial" w:cs="Arial"/>
          <w:color w:val="000000"/>
          <w:sz w:val="20"/>
        </w:rPr>
        <w:t xml:space="preserve">Section 142 of the </w:t>
      </w:r>
      <w:r w:rsidR="00A56CE4" w:rsidRPr="00934D0F">
        <w:rPr>
          <w:rFonts w:ascii="Arial" w:hAnsi="Arial" w:cs="Arial"/>
          <w:i/>
          <w:iCs/>
          <w:sz w:val="20"/>
        </w:rPr>
        <w:t>Evidence Act 2008</w:t>
      </w:r>
      <w:r w:rsidR="00A56CE4" w:rsidRPr="00934D0F">
        <w:rPr>
          <w:rFonts w:ascii="Arial" w:hAnsi="Arial" w:cs="Arial"/>
          <w:sz w:val="20"/>
        </w:rPr>
        <w:t>, headed “</w:t>
      </w:r>
      <w:r w:rsidR="00A56CE4" w:rsidRPr="00934D0F">
        <w:rPr>
          <w:rFonts w:ascii="Arial" w:hAnsi="Arial" w:cs="Arial"/>
          <w:b/>
          <w:bCs/>
          <w:sz w:val="20"/>
        </w:rPr>
        <w:t>Admissibility of evidence – standard of proof</w:t>
      </w:r>
      <w:r w:rsidR="00A56CE4" w:rsidRPr="00934D0F">
        <w:rPr>
          <w:rFonts w:ascii="Arial" w:hAnsi="Arial" w:cs="Arial"/>
          <w:sz w:val="20"/>
        </w:rPr>
        <w:t>”</w:t>
      </w:r>
      <w:r w:rsidR="00A56CE4" w:rsidRPr="00A56CE4">
        <w:rPr>
          <w:rFonts w:ascii="Arial" w:hAnsi="Arial" w:cs="Arial"/>
          <w:sz w:val="20"/>
        </w:rPr>
        <w:t xml:space="preserve"> provides:</w:t>
      </w:r>
      <w:r w:rsidR="00A56CE4">
        <w:rPr>
          <w:rFonts w:ascii="Arial" w:hAnsi="Arial" w:cs="Arial"/>
          <w:sz w:val="20"/>
          <w:u w:val="single"/>
        </w:rPr>
        <w:t xml:space="preserve"> </w:t>
      </w:r>
    </w:p>
    <w:p w14:paraId="27E2BC69" w14:textId="635A7465" w:rsidR="00A56CE4" w:rsidRDefault="00A56CE4" w:rsidP="000402D2">
      <w:pPr>
        <w:spacing w:before="60"/>
        <w:ind w:left="1021" w:right="567" w:hanging="454"/>
        <w:jc w:val="both"/>
        <w:rPr>
          <w:rFonts w:ascii="Arial" w:hAnsi="Arial" w:cs="Arial"/>
          <w:bCs/>
          <w:sz w:val="20"/>
        </w:rPr>
      </w:pPr>
      <w:r>
        <w:rPr>
          <w:rFonts w:ascii="Arial" w:hAnsi="Arial" w:cs="Arial"/>
          <w:bCs/>
          <w:sz w:val="20"/>
        </w:rPr>
        <w:t>“(1)</w:t>
      </w:r>
      <w:r>
        <w:rPr>
          <w:rFonts w:ascii="Arial" w:hAnsi="Arial" w:cs="Arial"/>
          <w:bCs/>
          <w:sz w:val="20"/>
        </w:rPr>
        <w:tab/>
        <w:t>Except as otherwise provided by this Act, in any proceeding the court is to find that the facts necessary for deciding</w:t>
      </w:r>
      <w:r w:rsidR="00DD0DA0" w:rsidRPr="00A31FFA">
        <w:rPr>
          <w:rFonts w:ascii="Arial" w:hAnsi="Arial" w:cs="Arial"/>
          <w:sz w:val="20"/>
        </w:rPr>
        <w:t>–</w:t>
      </w:r>
    </w:p>
    <w:p w14:paraId="4062D519" w14:textId="77777777" w:rsidR="008A1522" w:rsidRDefault="00A56CE4" w:rsidP="000402D2">
      <w:pPr>
        <w:numPr>
          <w:ilvl w:val="0"/>
          <w:numId w:val="47"/>
        </w:numPr>
        <w:ind w:left="1378" w:right="567" w:hanging="357"/>
        <w:jc w:val="both"/>
        <w:rPr>
          <w:rFonts w:ascii="Arial" w:hAnsi="Arial" w:cs="Arial"/>
          <w:color w:val="000000"/>
          <w:sz w:val="20"/>
        </w:rPr>
      </w:pPr>
      <w:r>
        <w:rPr>
          <w:rFonts w:ascii="Arial" w:hAnsi="Arial" w:cs="Arial"/>
          <w:color w:val="000000"/>
          <w:sz w:val="20"/>
        </w:rPr>
        <w:t>a question whether evidence should be admitted or not admitted, whether in the exercise of a discretion or not; or</w:t>
      </w:r>
    </w:p>
    <w:p w14:paraId="2A95E877" w14:textId="72318981" w:rsidR="00A56CE4" w:rsidRDefault="00A56CE4" w:rsidP="00D772F0">
      <w:pPr>
        <w:numPr>
          <w:ilvl w:val="0"/>
          <w:numId w:val="47"/>
        </w:numPr>
        <w:ind w:left="1378" w:right="567" w:hanging="357"/>
        <w:jc w:val="both"/>
        <w:rPr>
          <w:rFonts w:ascii="Arial" w:hAnsi="Arial" w:cs="Arial"/>
          <w:color w:val="000000"/>
          <w:sz w:val="20"/>
        </w:rPr>
      </w:pPr>
      <w:r>
        <w:rPr>
          <w:rFonts w:ascii="Arial" w:hAnsi="Arial" w:cs="Arial"/>
          <w:color w:val="000000"/>
          <w:sz w:val="20"/>
        </w:rPr>
        <w:t>any other question arising under this Act</w:t>
      </w:r>
      <w:r w:rsidR="00DD0DA0" w:rsidRPr="00A31FFA">
        <w:rPr>
          <w:rFonts w:ascii="Arial" w:hAnsi="Arial" w:cs="Arial"/>
          <w:sz w:val="20"/>
        </w:rPr>
        <w:t>–</w:t>
      </w:r>
    </w:p>
    <w:p w14:paraId="5403E28A" w14:textId="77777777" w:rsidR="008A1522" w:rsidRDefault="00A56CE4" w:rsidP="00A56CE4">
      <w:pPr>
        <w:ind w:left="1021" w:right="567"/>
        <w:jc w:val="both"/>
        <w:rPr>
          <w:rFonts w:ascii="Arial" w:hAnsi="Arial" w:cs="Arial"/>
          <w:color w:val="000000"/>
          <w:sz w:val="20"/>
        </w:rPr>
      </w:pPr>
      <w:r>
        <w:rPr>
          <w:rFonts w:ascii="Arial" w:hAnsi="Arial" w:cs="Arial"/>
          <w:color w:val="000000"/>
          <w:sz w:val="20"/>
        </w:rPr>
        <w:t>have been proved if it is satisfied that they have been proved on the balance of probabilities.</w:t>
      </w:r>
    </w:p>
    <w:p w14:paraId="3416A2A6" w14:textId="77777777" w:rsidR="00A56CE4" w:rsidRDefault="00A56CE4" w:rsidP="00A56CE4">
      <w:pPr>
        <w:spacing w:before="60"/>
        <w:ind w:left="1021" w:right="567" w:hanging="454"/>
        <w:jc w:val="both"/>
        <w:rPr>
          <w:rFonts w:ascii="Arial" w:hAnsi="Arial" w:cs="Arial"/>
          <w:bCs/>
          <w:sz w:val="6"/>
          <w:szCs w:val="6"/>
        </w:rPr>
      </w:pPr>
    </w:p>
    <w:p w14:paraId="636A7DF7" w14:textId="374D0199" w:rsidR="00A56CE4" w:rsidRPr="000F0BE9" w:rsidRDefault="00A56CE4">
      <w:pPr>
        <w:pStyle w:val="ListParagraph"/>
        <w:numPr>
          <w:ilvl w:val="0"/>
          <w:numId w:val="89"/>
        </w:numPr>
        <w:ind w:left="1037" w:right="567" w:hanging="357"/>
        <w:jc w:val="both"/>
        <w:rPr>
          <w:rFonts w:ascii="Arial" w:hAnsi="Arial" w:cs="Arial"/>
          <w:bCs/>
          <w:sz w:val="20"/>
        </w:rPr>
      </w:pPr>
      <w:r w:rsidRPr="000F0BE9">
        <w:rPr>
          <w:rFonts w:ascii="Arial" w:hAnsi="Arial" w:cs="Arial"/>
          <w:bCs/>
          <w:sz w:val="20"/>
        </w:rPr>
        <w:t>In determining whether it is so satisfied, the matters that the court must take into account include</w:t>
      </w:r>
      <w:r w:rsidR="00DD0DA0" w:rsidRPr="00A31FFA">
        <w:rPr>
          <w:rFonts w:ascii="Arial" w:hAnsi="Arial" w:cs="Arial"/>
          <w:sz w:val="20"/>
        </w:rPr>
        <w:t>–</w:t>
      </w:r>
    </w:p>
    <w:p w14:paraId="076F4766" w14:textId="77777777" w:rsidR="00A56CE4" w:rsidRDefault="00A56CE4" w:rsidP="000402D2">
      <w:pPr>
        <w:numPr>
          <w:ilvl w:val="0"/>
          <w:numId w:val="48"/>
        </w:numPr>
        <w:ind w:left="1378" w:right="567" w:hanging="357"/>
        <w:jc w:val="both"/>
        <w:rPr>
          <w:rFonts w:ascii="Arial" w:hAnsi="Arial" w:cs="Arial"/>
          <w:color w:val="000000"/>
          <w:sz w:val="20"/>
        </w:rPr>
      </w:pPr>
      <w:r>
        <w:rPr>
          <w:rFonts w:ascii="Arial" w:hAnsi="Arial" w:cs="Arial"/>
          <w:color w:val="000000"/>
          <w:sz w:val="20"/>
        </w:rPr>
        <w:t>the importance of the evidence in the proceeding; and</w:t>
      </w:r>
    </w:p>
    <w:p w14:paraId="5312BF4A" w14:textId="77777777" w:rsidR="00A56CE4" w:rsidRDefault="00A56CE4" w:rsidP="000402D2">
      <w:pPr>
        <w:numPr>
          <w:ilvl w:val="0"/>
          <w:numId w:val="48"/>
        </w:numPr>
        <w:ind w:left="1378" w:right="567" w:hanging="357"/>
        <w:jc w:val="both"/>
        <w:rPr>
          <w:rFonts w:ascii="Arial" w:hAnsi="Arial" w:cs="Arial"/>
          <w:color w:val="000000"/>
          <w:sz w:val="20"/>
        </w:rPr>
      </w:pPr>
      <w:r>
        <w:rPr>
          <w:rFonts w:ascii="Arial" w:hAnsi="Arial" w:cs="Arial"/>
          <w:color w:val="000000"/>
          <w:sz w:val="20"/>
        </w:rPr>
        <w:t>the gravity of the matters alleged in relation to the question.”</w:t>
      </w:r>
    </w:p>
    <w:p w14:paraId="0DF36983" w14:textId="77777777" w:rsidR="00C41198" w:rsidRDefault="00C41198" w:rsidP="00C41198">
      <w:pPr>
        <w:jc w:val="both"/>
        <w:rPr>
          <w:rFonts w:ascii="Arial" w:hAnsi="Arial" w:cs="Arial"/>
          <w:sz w:val="20"/>
        </w:rPr>
      </w:pPr>
    </w:p>
    <w:p w14:paraId="11191EAF" w14:textId="77777777" w:rsidR="00FD5828" w:rsidRPr="009F25D4" w:rsidRDefault="00C53FF5" w:rsidP="00FD5828">
      <w:pPr>
        <w:pStyle w:val="Heading3"/>
        <w:keepNext/>
        <w:spacing w:line="240" w:lineRule="auto"/>
        <w:rPr>
          <w:rFonts w:ascii="Arial" w:hAnsi="Arial" w:cs="Arial"/>
          <w:b/>
          <w:bCs/>
          <w:color w:val="000000"/>
          <w:sz w:val="20"/>
        </w:rPr>
      </w:pPr>
      <w:bookmarkStart w:id="592" w:name="_3.5.3.2_Admissibility_of"/>
      <w:bookmarkStart w:id="593" w:name="B3532"/>
      <w:bookmarkEnd w:id="592"/>
      <w:bookmarkEnd w:id="593"/>
      <w:r>
        <w:rPr>
          <w:rFonts w:ascii="Arial" w:hAnsi="Arial" w:cs="Arial"/>
          <w:b/>
          <w:bCs/>
          <w:color w:val="000000"/>
          <w:sz w:val="20"/>
        </w:rPr>
        <w:t>3.5.3.</w:t>
      </w:r>
      <w:r w:rsidR="00A10E05">
        <w:rPr>
          <w:rFonts w:ascii="Arial" w:hAnsi="Arial" w:cs="Arial"/>
          <w:b/>
          <w:bCs/>
          <w:color w:val="000000"/>
          <w:sz w:val="20"/>
        </w:rPr>
        <w:t>2</w:t>
      </w:r>
      <w:r>
        <w:rPr>
          <w:rFonts w:ascii="Arial" w:hAnsi="Arial" w:cs="Arial"/>
          <w:b/>
          <w:bCs/>
          <w:color w:val="000000"/>
          <w:sz w:val="20"/>
        </w:rPr>
        <w:tab/>
        <w:t xml:space="preserve">Admissibility of evidence in </w:t>
      </w:r>
      <w:r w:rsidR="00320CD4">
        <w:rPr>
          <w:rFonts w:ascii="Arial" w:hAnsi="Arial" w:cs="Arial"/>
          <w:b/>
          <w:bCs/>
          <w:color w:val="000000"/>
          <w:sz w:val="20"/>
        </w:rPr>
        <w:t>a contested criminal case</w:t>
      </w:r>
    </w:p>
    <w:p w14:paraId="3801557A" w14:textId="77777777" w:rsidR="0054755A" w:rsidRDefault="0054755A" w:rsidP="0054755A">
      <w:pPr>
        <w:jc w:val="both"/>
        <w:rPr>
          <w:rFonts w:ascii="Arial" w:hAnsi="Arial" w:cs="Arial"/>
          <w:color w:val="000000"/>
          <w:sz w:val="20"/>
        </w:rPr>
      </w:pPr>
    </w:p>
    <w:p w14:paraId="2638F6A6" w14:textId="23A7A2D6" w:rsidR="0054755A" w:rsidRPr="0047194B" w:rsidRDefault="0054755A" w:rsidP="0054755A">
      <w:pPr>
        <w:jc w:val="both"/>
        <w:rPr>
          <w:rFonts w:ascii="Arial" w:hAnsi="Arial" w:cs="Arial"/>
          <w:color w:val="000000"/>
          <w:sz w:val="20"/>
        </w:rPr>
      </w:pPr>
      <w:r w:rsidRPr="0047194B">
        <w:rPr>
          <w:rFonts w:ascii="Arial" w:hAnsi="Arial" w:cs="Arial"/>
          <w:color w:val="000000"/>
          <w:sz w:val="20"/>
        </w:rPr>
        <w:t xml:space="preserve">In the Criminal Division of the </w:t>
      </w:r>
      <w:r>
        <w:rPr>
          <w:rFonts w:ascii="Arial" w:hAnsi="Arial" w:cs="Arial"/>
          <w:color w:val="000000"/>
          <w:sz w:val="20"/>
        </w:rPr>
        <w:t xml:space="preserve">Children’s </w:t>
      </w:r>
      <w:r w:rsidRPr="0047194B">
        <w:rPr>
          <w:rFonts w:ascii="Arial" w:hAnsi="Arial" w:cs="Arial"/>
          <w:color w:val="000000"/>
          <w:sz w:val="20"/>
        </w:rPr>
        <w:t>Court</w:t>
      </w:r>
      <w:r>
        <w:rPr>
          <w:rFonts w:ascii="Arial" w:hAnsi="Arial" w:cs="Arial"/>
          <w:color w:val="000000"/>
          <w:sz w:val="20"/>
        </w:rPr>
        <w:t>,</w:t>
      </w:r>
      <w:r w:rsidRPr="0047194B">
        <w:rPr>
          <w:rFonts w:ascii="Arial" w:hAnsi="Arial" w:cs="Arial"/>
          <w:color w:val="000000"/>
          <w:sz w:val="20"/>
        </w:rPr>
        <w:t xml:space="preserve"> </w:t>
      </w:r>
      <w:r>
        <w:rPr>
          <w:rFonts w:ascii="Arial" w:hAnsi="Arial" w:cs="Arial"/>
          <w:color w:val="000000"/>
          <w:sz w:val="20"/>
        </w:rPr>
        <w:t>in determining whether or not a child is guilty of an offence, the rules relating to the admissibility of evidence apply strictly. Section 357(1) of the CYFA provides:</w:t>
      </w:r>
    </w:p>
    <w:p w14:paraId="725B0329" w14:textId="77777777" w:rsidR="0054755A" w:rsidRDefault="0054755A" w:rsidP="0054755A">
      <w:pPr>
        <w:spacing w:before="60" w:line="240" w:lineRule="exact"/>
        <w:ind w:left="567" w:right="567"/>
        <w:jc w:val="both"/>
        <w:rPr>
          <w:rFonts w:ascii="Arial" w:hAnsi="Arial" w:cs="Arial"/>
          <w:bCs/>
          <w:sz w:val="20"/>
        </w:rPr>
      </w:pPr>
      <w:r>
        <w:rPr>
          <w:rFonts w:ascii="Arial" w:hAnsi="Arial" w:cs="Arial"/>
          <w:bCs/>
          <w:sz w:val="20"/>
        </w:rPr>
        <w:lastRenderedPageBreak/>
        <w:t xml:space="preserve">“On the summary hearing of a charge for an offence, whether indictable or summary, the Court must be satisfied of a child’s guilt on proof beyond reasonable doubt by </w:t>
      </w:r>
      <w:r w:rsidRPr="008A1522">
        <w:rPr>
          <w:rFonts w:ascii="Arial" w:hAnsi="Arial" w:cs="Arial"/>
          <w:b/>
          <w:sz w:val="20"/>
        </w:rPr>
        <w:t>relevant and admissible</w:t>
      </w:r>
      <w:r>
        <w:rPr>
          <w:rFonts w:ascii="Arial" w:hAnsi="Arial" w:cs="Arial"/>
          <w:bCs/>
          <w:sz w:val="20"/>
        </w:rPr>
        <w:t xml:space="preserve"> evidence.”</w:t>
      </w:r>
    </w:p>
    <w:p w14:paraId="3E2DE8DD" w14:textId="77777777" w:rsidR="0054755A" w:rsidRDefault="0054755A" w:rsidP="0054755A">
      <w:pPr>
        <w:jc w:val="both"/>
        <w:rPr>
          <w:rFonts w:ascii="Arial" w:hAnsi="Arial" w:cs="Arial"/>
          <w:color w:val="000000"/>
          <w:sz w:val="20"/>
        </w:rPr>
      </w:pPr>
    </w:p>
    <w:p w14:paraId="2B485A17" w14:textId="09D15170" w:rsidR="00E8698A" w:rsidRDefault="00E8698A" w:rsidP="0054755A">
      <w:pPr>
        <w:jc w:val="both"/>
        <w:rPr>
          <w:rFonts w:ascii="Arial" w:hAnsi="Arial" w:cs="Arial"/>
          <w:color w:val="000000"/>
          <w:sz w:val="20"/>
        </w:rPr>
      </w:pPr>
      <w:r>
        <w:rPr>
          <w:rFonts w:ascii="Arial" w:hAnsi="Arial" w:cs="Arial"/>
          <w:color w:val="000000"/>
          <w:sz w:val="20"/>
        </w:rPr>
        <w:t xml:space="preserve">Section 137 of the Evidence Act 2008 relates to the </w:t>
      </w:r>
      <w:r w:rsidRPr="002C50BD">
        <w:rPr>
          <w:rFonts w:ascii="Arial" w:hAnsi="Arial" w:cs="Arial"/>
          <w:b/>
          <w:bCs/>
          <w:color w:val="000000"/>
          <w:sz w:val="20"/>
        </w:rPr>
        <w:t>exclusion of prejudicial evidence in criminal proceedings</w:t>
      </w:r>
      <w:r>
        <w:rPr>
          <w:rFonts w:ascii="Arial" w:hAnsi="Arial" w:cs="Arial"/>
          <w:color w:val="000000"/>
          <w:sz w:val="20"/>
        </w:rPr>
        <w:t>:</w:t>
      </w:r>
    </w:p>
    <w:p w14:paraId="11B4DD74" w14:textId="77777777" w:rsidR="00E8698A" w:rsidRDefault="00E8698A" w:rsidP="00E8698A">
      <w:pPr>
        <w:spacing w:before="60"/>
        <w:ind w:left="567" w:right="567"/>
        <w:jc w:val="both"/>
        <w:rPr>
          <w:rFonts w:ascii="Arial" w:hAnsi="Arial" w:cs="Arial"/>
          <w:color w:val="000000"/>
          <w:sz w:val="20"/>
        </w:rPr>
      </w:pPr>
      <w:r>
        <w:rPr>
          <w:rFonts w:ascii="Arial" w:hAnsi="Arial" w:cs="Arial"/>
          <w:color w:val="000000"/>
          <w:sz w:val="20"/>
        </w:rPr>
        <w:t>“</w:t>
      </w:r>
      <w:r w:rsidRPr="00BB2003">
        <w:rPr>
          <w:rFonts w:ascii="Arial" w:hAnsi="Arial" w:cs="Arial"/>
          <w:sz w:val="20"/>
        </w:rPr>
        <w:t>In a criminal proceeding, the court must refuse to admit evidence adduced by the prosecutor if its probative value is outweighed by the danger of unfair prejudice to the accused.</w:t>
      </w:r>
      <w:r>
        <w:rPr>
          <w:rFonts w:ascii="Arial" w:hAnsi="Arial" w:cs="Arial"/>
          <w:sz w:val="20"/>
        </w:rPr>
        <w:t>”</w:t>
      </w:r>
    </w:p>
    <w:p w14:paraId="3FB649EA" w14:textId="194F0D56" w:rsidR="00E8698A" w:rsidRDefault="00E8698A" w:rsidP="00E8698A">
      <w:pPr>
        <w:jc w:val="both"/>
        <w:rPr>
          <w:rFonts w:ascii="Arial" w:hAnsi="Arial" w:cs="Arial"/>
          <w:color w:val="000000"/>
          <w:sz w:val="20"/>
        </w:rPr>
      </w:pPr>
    </w:p>
    <w:p w14:paraId="08BF5903" w14:textId="2467E0D8" w:rsidR="00B218B9" w:rsidRDefault="00B218B9" w:rsidP="00E8698A">
      <w:pPr>
        <w:jc w:val="both"/>
        <w:rPr>
          <w:rFonts w:ascii="Arial" w:hAnsi="Arial" w:cs="Arial"/>
          <w:color w:val="000000"/>
          <w:sz w:val="20"/>
        </w:rPr>
      </w:pPr>
      <w:r>
        <w:rPr>
          <w:rFonts w:ascii="Arial" w:hAnsi="Arial" w:cs="Arial"/>
          <w:color w:val="000000"/>
          <w:sz w:val="20"/>
        </w:rPr>
        <w:t xml:space="preserve">In </w:t>
      </w:r>
      <w:r>
        <w:rPr>
          <w:rFonts w:ascii="Arial" w:hAnsi="Arial" w:cs="Arial"/>
          <w:i/>
          <w:iCs/>
          <w:color w:val="000000"/>
          <w:sz w:val="20"/>
        </w:rPr>
        <w:t>DPP v R</w:t>
      </w:r>
      <w:r w:rsidRPr="00B218B9">
        <w:rPr>
          <w:rFonts w:ascii="Arial" w:hAnsi="Arial" w:cs="Arial"/>
          <w:i/>
          <w:iCs/>
          <w:color w:val="000000"/>
          <w:sz w:val="20"/>
        </w:rPr>
        <w:t>oberts (Ruling No 4)</w:t>
      </w:r>
      <w:r>
        <w:rPr>
          <w:rFonts w:ascii="Arial" w:hAnsi="Arial" w:cs="Arial"/>
          <w:color w:val="000000"/>
          <w:sz w:val="20"/>
        </w:rPr>
        <w:t xml:space="preserve"> [2021] VSC 778 the accused was charged with two murder charges.  He applied for exclusion of </w:t>
      </w:r>
      <w:r w:rsidR="0080292F">
        <w:rPr>
          <w:rFonts w:ascii="Arial" w:hAnsi="Arial" w:cs="Arial"/>
          <w:color w:val="000000"/>
          <w:sz w:val="20"/>
        </w:rPr>
        <w:t xml:space="preserve">audio recordings of listening devices and telephone intercepts on the basis that </w:t>
      </w:r>
      <w:r w:rsidR="001B6F80" w:rsidRPr="001B6F80">
        <w:rPr>
          <w:rFonts w:ascii="Arial" w:hAnsi="Arial" w:cs="Arial"/>
          <w:sz w:val="20"/>
          <w:szCs w:val="20"/>
        </w:rPr>
        <w:t>the recordings of those conversations are so inaudible or unintelligible that it would not be open to the jury to find that the words or sounds, contained in the recordings, are those claimed by the prosecution.</w:t>
      </w:r>
      <w:r w:rsidR="00A76B36">
        <w:rPr>
          <w:rFonts w:ascii="Arial" w:hAnsi="Arial" w:cs="Arial"/>
          <w:sz w:val="20"/>
          <w:szCs w:val="20"/>
        </w:rPr>
        <w:t xml:space="preserve"> </w:t>
      </w:r>
      <w:r w:rsidR="001B6F80" w:rsidRPr="001B6F80">
        <w:rPr>
          <w:rFonts w:ascii="Arial" w:hAnsi="Arial" w:cs="Arial"/>
          <w:sz w:val="20"/>
          <w:szCs w:val="20"/>
        </w:rPr>
        <w:t xml:space="preserve"> Accordingly, it </w:t>
      </w:r>
      <w:r w:rsidR="00A76B36">
        <w:rPr>
          <w:rFonts w:ascii="Arial" w:hAnsi="Arial" w:cs="Arial"/>
          <w:sz w:val="20"/>
          <w:szCs w:val="20"/>
        </w:rPr>
        <w:t>wa</w:t>
      </w:r>
      <w:r w:rsidR="001B6F80" w:rsidRPr="001B6F80">
        <w:rPr>
          <w:rFonts w:ascii="Arial" w:hAnsi="Arial" w:cs="Arial"/>
          <w:sz w:val="20"/>
          <w:szCs w:val="20"/>
        </w:rPr>
        <w:t>s submitted that the evidence is irrelevant.</w:t>
      </w:r>
      <w:r w:rsidR="00036A81">
        <w:rPr>
          <w:rFonts w:ascii="Arial" w:hAnsi="Arial" w:cs="Arial"/>
          <w:sz w:val="20"/>
          <w:szCs w:val="20"/>
        </w:rPr>
        <w:t xml:space="preserve"> </w:t>
      </w:r>
      <w:r w:rsidR="001B6F80" w:rsidRPr="001B6F80">
        <w:rPr>
          <w:rFonts w:ascii="Arial" w:hAnsi="Arial" w:cs="Arial"/>
          <w:sz w:val="20"/>
          <w:szCs w:val="20"/>
        </w:rPr>
        <w:t xml:space="preserve"> Alternatively, it </w:t>
      </w:r>
      <w:r w:rsidR="00A76B36">
        <w:rPr>
          <w:rFonts w:ascii="Arial" w:hAnsi="Arial" w:cs="Arial"/>
          <w:sz w:val="20"/>
          <w:szCs w:val="20"/>
        </w:rPr>
        <w:t>wa</w:t>
      </w:r>
      <w:r w:rsidR="001B6F80" w:rsidRPr="001B6F80">
        <w:rPr>
          <w:rFonts w:ascii="Arial" w:hAnsi="Arial" w:cs="Arial"/>
          <w:sz w:val="20"/>
          <w:szCs w:val="20"/>
        </w:rPr>
        <w:t xml:space="preserve">s submitted that the evidence should be excluded under s 137 of the </w:t>
      </w:r>
      <w:r w:rsidR="001B6F80" w:rsidRPr="00A76B36">
        <w:rPr>
          <w:rFonts w:ascii="Arial" w:hAnsi="Arial" w:cs="Arial"/>
          <w:i/>
          <w:iCs/>
          <w:sz w:val="20"/>
          <w:szCs w:val="20"/>
        </w:rPr>
        <w:t>Evidence Act</w:t>
      </w:r>
      <w:r w:rsidR="001B6F80" w:rsidRPr="001B6F80">
        <w:rPr>
          <w:rFonts w:ascii="Arial" w:hAnsi="Arial" w:cs="Arial"/>
          <w:sz w:val="20"/>
          <w:szCs w:val="20"/>
        </w:rPr>
        <w:t xml:space="preserve"> on the basis that its probative value </w:t>
      </w:r>
      <w:r w:rsidR="00036A81">
        <w:rPr>
          <w:rFonts w:ascii="Arial" w:hAnsi="Arial" w:cs="Arial"/>
          <w:sz w:val="20"/>
          <w:szCs w:val="20"/>
        </w:rPr>
        <w:t>wa</w:t>
      </w:r>
      <w:r w:rsidR="001B6F80" w:rsidRPr="001B6F80">
        <w:rPr>
          <w:rFonts w:ascii="Arial" w:hAnsi="Arial" w:cs="Arial"/>
          <w:sz w:val="20"/>
          <w:szCs w:val="20"/>
        </w:rPr>
        <w:t>s outweighed by the danger of unfair prejudice to the accused</w:t>
      </w:r>
      <w:r w:rsidR="00A76B36">
        <w:rPr>
          <w:rFonts w:ascii="Arial" w:hAnsi="Arial" w:cs="Arial"/>
          <w:sz w:val="20"/>
          <w:szCs w:val="20"/>
        </w:rPr>
        <w:t xml:space="preserve">.  </w:t>
      </w:r>
      <w:r w:rsidR="0080292F">
        <w:rPr>
          <w:rFonts w:ascii="Arial" w:hAnsi="Arial" w:cs="Arial"/>
          <w:color w:val="000000"/>
          <w:sz w:val="20"/>
        </w:rPr>
        <w:t>Kaye JA held that some of the impugned passages were admissible and some were inadmissible.  At [</w:t>
      </w:r>
      <w:r w:rsidR="00A76B36">
        <w:rPr>
          <w:rFonts w:ascii="Arial" w:hAnsi="Arial" w:cs="Arial"/>
          <w:color w:val="000000"/>
          <w:sz w:val="20"/>
        </w:rPr>
        <w:t>5</w:t>
      </w:r>
      <w:r w:rsidR="0080292F">
        <w:rPr>
          <w:rFonts w:ascii="Arial" w:hAnsi="Arial" w:cs="Arial"/>
          <w:color w:val="000000"/>
          <w:sz w:val="20"/>
        </w:rPr>
        <w:t>]-[</w:t>
      </w:r>
      <w:r w:rsidR="00036A81">
        <w:rPr>
          <w:rFonts w:ascii="Arial" w:hAnsi="Arial" w:cs="Arial"/>
          <w:color w:val="000000"/>
          <w:sz w:val="20"/>
        </w:rPr>
        <w:t>10</w:t>
      </w:r>
      <w:r w:rsidR="0080292F">
        <w:rPr>
          <w:rFonts w:ascii="Arial" w:hAnsi="Arial" w:cs="Arial"/>
          <w:color w:val="000000"/>
          <w:sz w:val="20"/>
        </w:rPr>
        <w:t>] his Honour said:</w:t>
      </w:r>
    </w:p>
    <w:p w14:paraId="2D748071" w14:textId="77777777" w:rsidR="00A76B36" w:rsidRDefault="0080292F" w:rsidP="0080292F">
      <w:pPr>
        <w:spacing w:before="60"/>
        <w:ind w:left="567" w:right="567"/>
        <w:jc w:val="both"/>
        <w:rPr>
          <w:rFonts w:ascii="Arial" w:hAnsi="Arial" w:cs="Arial"/>
          <w:sz w:val="20"/>
          <w:szCs w:val="20"/>
        </w:rPr>
      </w:pPr>
      <w:r>
        <w:rPr>
          <w:rFonts w:ascii="Arial" w:hAnsi="Arial" w:cs="Arial"/>
          <w:color w:val="000000"/>
          <w:sz w:val="20"/>
        </w:rPr>
        <w:t>[</w:t>
      </w:r>
      <w:r w:rsidR="00A76B36">
        <w:rPr>
          <w:rFonts w:ascii="Arial" w:hAnsi="Arial" w:cs="Arial"/>
          <w:color w:val="000000"/>
          <w:sz w:val="20"/>
        </w:rPr>
        <w:t>5</w:t>
      </w:r>
      <w:r>
        <w:rPr>
          <w:rFonts w:ascii="Arial" w:hAnsi="Arial" w:cs="Arial"/>
          <w:color w:val="000000"/>
          <w:sz w:val="20"/>
        </w:rPr>
        <w:t>] “</w:t>
      </w:r>
      <w:r w:rsidR="00A76B36" w:rsidRPr="00A76B36">
        <w:rPr>
          <w:rFonts w:ascii="Arial" w:hAnsi="Arial" w:cs="Arial"/>
          <w:sz w:val="20"/>
          <w:szCs w:val="20"/>
        </w:rPr>
        <w:t>The principles that apply to the present application are well settled. In summary, they are as follows:</w:t>
      </w:r>
    </w:p>
    <w:p w14:paraId="1D467D82" w14:textId="4EEEAA5E" w:rsidR="00A76B36" w:rsidRDefault="00A76B36" w:rsidP="0040623A">
      <w:pPr>
        <w:spacing w:before="60"/>
        <w:ind w:left="851" w:right="567"/>
        <w:jc w:val="both"/>
        <w:rPr>
          <w:rFonts w:ascii="Arial" w:hAnsi="Arial" w:cs="Arial"/>
          <w:sz w:val="20"/>
          <w:szCs w:val="20"/>
        </w:rPr>
      </w:pPr>
      <w:r w:rsidRPr="00A76B36">
        <w:rPr>
          <w:rFonts w:ascii="Arial" w:hAnsi="Arial" w:cs="Arial"/>
          <w:sz w:val="20"/>
          <w:szCs w:val="20"/>
        </w:rPr>
        <w:t>(1) Where an out of court conversation has been recorded by mechanical means, the recording is the best evidence of the contents of the conversation. If the recording is available, there is no reason to admit evidence of an out of court listener of the recording, or a transcript made by that listener, as evidence of the content of the conversation</w:t>
      </w:r>
      <w:r>
        <w:rPr>
          <w:rFonts w:ascii="Arial" w:hAnsi="Arial" w:cs="Arial"/>
          <w:sz w:val="20"/>
          <w:szCs w:val="20"/>
        </w:rPr>
        <w:t xml:space="preserve">: </w:t>
      </w:r>
      <w:r w:rsidRPr="00A76B36">
        <w:rPr>
          <w:rFonts w:ascii="Arial" w:hAnsi="Arial" w:cs="Arial"/>
          <w:i/>
          <w:iCs/>
          <w:sz w:val="20"/>
          <w:szCs w:val="20"/>
        </w:rPr>
        <w:t>Butera v DPP</w:t>
      </w:r>
      <w:r w:rsidRPr="00A76B36">
        <w:rPr>
          <w:rFonts w:ascii="Arial" w:hAnsi="Arial" w:cs="Arial"/>
          <w:sz w:val="20"/>
          <w:szCs w:val="20"/>
        </w:rPr>
        <w:t xml:space="preserve"> (1987) 164 CLR 180, 186 (Mason CJ, Brennan </w:t>
      </w:r>
      <w:r w:rsidR="009774DD">
        <w:rPr>
          <w:rFonts w:ascii="Arial" w:hAnsi="Arial" w:cs="Arial"/>
          <w:sz w:val="20"/>
          <w:szCs w:val="20"/>
        </w:rPr>
        <w:t>&amp;</w:t>
      </w:r>
      <w:r w:rsidRPr="00A76B36">
        <w:rPr>
          <w:rFonts w:ascii="Arial" w:hAnsi="Arial" w:cs="Arial"/>
          <w:sz w:val="20"/>
          <w:szCs w:val="20"/>
        </w:rPr>
        <w:t xml:space="preserve"> Deane JJ).</w:t>
      </w:r>
    </w:p>
    <w:p w14:paraId="61545A7E" w14:textId="2AF48BC7" w:rsidR="00A76B36" w:rsidRDefault="00A76B36" w:rsidP="0040623A">
      <w:pPr>
        <w:spacing w:before="60"/>
        <w:ind w:left="851" w:right="567"/>
        <w:jc w:val="both"/>
        <w:rPr>
          <w:rFonts w:ascii="Arial" w:hAnsi="Arial" w:cs="Arial"/>
          <w:sz w:val="20"/>
          <w:szCs w:val="20"/>
        </w:rPr>
      </w:pPr>
      <w:r w:rsidRPr="00A76B36">
        <w:rPr>
          <w:rFonts w:ascii="Arial" w:hAnsi="Arial" w:cs="Arial"/>
          <w:sz w:val="20"/>
          <w:szCs w:val="20"/>
        </w:rPr>
        <w:t>(2) Where there are aspects of such a recording which are indistinct so as not to yield the full content of the conversation, so that it may need to be played over repeatedly before the conversation can be accurately understood, the court may receive a transcript of the conversation, not as evidence of the conversation, but rather as a means of assisting in the understanding of it</w:t>
      </w:r>
      <w:r>
        <w:rPr>
          <w:rFonts w:ascii="Arial" w:hAnsi="Arial" w:cs="Arial"/>
          <w:sz w:val="20"/>
          <w:szCs w:val="20"/>
        </w:rPr>
        <w:t xml:space="preserve">: </w:t>
      </w:r>
      <w:r w:rsidRPr="00A76B36">
        <w:rPr>
          <w:rFonts w:ascii="Arial" w:hAnsi="Arial" w:cs="Arial"/>
          <w:i/>
          <w:iCs/>
          <w:sz w:val="20"/>
          <w:szCs w:val="20"/>
        </w:rPr>
        <w:t>Butera</w:t>
      </w:r>
      <w:r>
        <w:rPr>
          <w:rFonts w:ascii="Arial" w:hAnsi="Arial" w:cs="Arial"/>
          <w:sz w:val="20"/>
          <w:szCs w:val="20"/>
        </w:rPr>
        <w:t xml:space="preserve"> at 187.</w:t>
      </w:r>
    </w:p>
    <w:p w14:paraId="3FDEF2D7" w14:textId="77777777" w:rsidR="00A76B36" w:rsidRDefault="00A76B36" w:rsidP="0040623A">
      <w:pPr>
        <w:spacing w:before="60"/>
        <w:ind w:left="851" w:right="567"/>
        <w:jc w:val="both"/>
        <w:rPr>
          <w:rFonts w:ascii="Arial" w:hAnsi="Arial" w:cs="Arial"/>
          <w:sz w:val="20"/>
          <w:szCs w:val="20"/>
        </w:rPr>
      </w:pPr>
      <w:r w:rsidRPr="00A76B36">
        <w:rPr>
          <w:rFonts w:ascii="Arial" w:hAnsi="Arial" w:cs="Arial"/>
          <w:sz w:val="20"/>
          <w:szCs w:val="20"/>
        </w:rPr>
        <w:t>(3) In such a case, the jury must be directed that the purpose of the transcript is not to provide independent evidence of the conversation, but rather to assist the jury to follow and understand it</w:t>
      </w:r>
      <w:r>
        <w:rPr>
          <w:rFonts w:ascii="Arial" w:hAnsi="Arial" w:cs="Arial"/>
          <w:sz w:val="20"/>
          <w:szCs w:val="20"/>
        </w:rPr>
        <w:t xml:space="preserve">: </w:t>
      </w:r>
      <w:r w:rsidRPr="00A76B36">
        <w:rPr>
          <w:rFonts w:ascii="Arial" w:hAnsi="Arial" w:cs="Arial"/>
          <w:i/>
          <w:iCs/>
          <w:sz w:val="20"/>
          <w:szCs w:val="20"/>
        </w:rPr>
        <w:t>Butera</w:t>
      </w:r>
      <w:r>
        <w:rPr>
          <w:rFonts w:ascii="Arial" w:hAnsi="Arial" w:cs="Arial"/>
          <w:sz w:val="20"/>
          <w:szCs w:val="20"/>
        </w:rPr>
        <w:t xml:space="preserve"> at 188</w:t>
      </w:r>
      <w:r w:rsidRPr="00A76B36">
        <w:rPr>
          <w:rFonts w:ascii="Arial" w:hAnsi="Arial" w:cs="Arial"/>
          <w:sz w:val="20"/>
          <w:szCs w:val="20"/>
        </w:rPr>
        <w:t>.</w:t>
      </w:r>
    </w:p>
    <w:p w14:paraId="2704060B" w14:textId="2CBAC788" w:rsidR="0040623A" w:rsidRDefault="00A76B36" w:rsidP="0040623A">
      <w:pPr>
        <w:spacing w:before="60"/>
        <w:ind w:left="851" w:right="567"/>
        <w:jc w:val="both"/>
        <w:rPr>
          <w:rFonts w:ascii="Arial" w:hAnsi="Arial" w:cs="Arial"/>
          <w:sz w:val="20"/>
          <w:szCs w:val="20"/>
        </w:rPr>
      </w:pPr>
      <w:r w:rsidRPr="00A76B36">
        <w:rPr>
          <w:rFonts w:ascii="Arial" w:hAnsi="Arial" w:cs="Arial"/>
          <w:sz w:val="20"/>
          <w:szCs w:val="20"/>
        </w:rPr>
        <w:t>(4) If the quality of the recording is so poor that the jury could not make a fair and reliable assessment of the conversation, or if there is a real risk that the jury might misconstrue the words contained in the recording in a manner that would be unfairly prejudicial to the accused, the recording should not be admitted in evidence</w:t>
      </w:r>
      <w:r w:rsidR="0040623A">
        <w:rPr>
          <w:rFonts w:ascii="Arial" w:hAnsi="Arial" w:cs="Arial"/>
          <w:sz w:val="20"/>
          <w:szCs w:val="20"/>
        </w:rPr>
        <w:t xml:space="preserve">: </w:t>
      </w:r>
      <w:r w:rsidR="0040623A" w:rsidRPr="0040623A">
        <w:rPr>
          <w:rFonts w:ascii="Arial" w:hAnsi="Arial" w:cs="Arial"/>
          <w:i/>
          <w:iCs/>
          <w:sz w:val="20"/>
          <w:szCs w:val="20"/>
        </w:rPr>
        <w:t>R v Robson</w:t>
      </w:r>
      <w:r w:rsidR="0040623A" w:rsidRPr="0040623A">
        <w:rPr>
          <w:rFonts w:ascii="Arial" w:hAnsi="Arial" w:cs="Arial"/>
          <w:sz w:val="20"/>
          <w:szCs w:val="20"/>
        </w:rPr>
        <w:t xml:space="preserve"> [1972] 1</w:t>
      </w:r>
      <w:r w:rsidR="0079534A">
        <w:rPr>
          <w:rFonts w:ascii="Arial" w:hAnsi="Arial" w:cs="Arial"/>
          <w:sz w:val="20"/>
          <w:szCs w:val="20"/>
        </w:rPr>
        <w:t> </w:t>
      </w:r>
      <w:r w:rsidR="0040623A" w:rsidRPr="0040623A">
        <w:rPr>
          <w:rFonts w:ascii="Arial" w:hAnsi="Arial" w:cs="Arial"/>
          <w:sz w:val="20"/>
          <w:szCs w:val="20"/>
        </w:rPr>
        <w:t>WLR 651, 656 (Shaw J)</w:t>
      </w:r>
      <w:r w:rsidR="0040623A">
        <w:rPr>
          <w:rFonts w:ascii="Arial" w:hAnsi="Arial" w:cs="Arial"/>
          <w:sz w:val="20"/>
          <w:szCs w:val="20"/>
        </w:rPr>
        <w:t xml:space="preserve">; </w:t>
      </w:r>
      <w:r w:rsidR="0040623A" w:rsidRPr="0040623A">
        <w:rPr>
          <w:rFonts w:ascii="Arial" w:hAnsi="Arial" w:cs="Arial"/>
          <w:i/>
          <w:iCs/>
          <w:sz w:val="20"/>
          <w:szCs w:val="20"/>
        </w:rPr>
        <w:t>Smith, Ashford &amp; Schevella v The Queen</w:t>
      </w:r>
      <w:r w:rsidR="0040623A" w:rsidRPr="0040623A">
        <w:rPr>
          <w:rFonts w:ascii="Arial" w:hAnsi="Arial" w:cs="Arial"/>
          <w:sz w:val="20"/>
          <w:szCs w:val="20"/>
        </w:rPr>
        <w:t xml:space="preserve"> (1990) 50 A Crim R 434, 450–1 (Young CJ, Crockett and Southwell JJ)</w:t>
      </w:r>
      <w:r w:rsidR="0040623A">
        <w:rPr>
          <w:rFonts w:ascii="Arial" w:hAnsi="Arial" w:cs="Arial"/>
          <w:sz w:val="20"/>
          <w:szCs w:val="20"/>
        </w:rPr>
        <w:t xml:space="preserve">; </w:t>
      </w:r>
      <w:r w:rsidR="0040623A" w:rsidRPr="0040623A">
        <w:rPr>
          <w:rFonts w:ascii="Arial" w:hAnsi="Arial" w:cs="Arial"/>
          <w:i/>
          <w:iCs/>
          <w:sz w:val="20"/>
          <w:szCs w:val="20"/>
        </w:rPr>
        <w:t>DPP v Debs and Roberts (Ruling No. 5)</w:t>
      </w:r>
      <w:r w:rsidR="0040623A" w:rsidRPr="0040623A">
        <w:rPr>
          <w:rFonts w:ascii="Arial" w:hAnsi="Arial" w:cs="Arial"/>
          <w:sz w:val="20"/>
          <w:szCs w:val="20"/>
        </w:rPr>
        <w:t xml:space="preserve"> [2002] VSC 386, [15]–[19] (Cummins J); </w:t>
      </w:r>
      <w:r w:rsidR="0040623A" w:rsidRPr="0040623A">
        <w:rPr>
          <w:rFonts w:ascii="Arial" w:hAnsi="Arial" w:cs="Arial"/>
          <w:i/>
          <w:iCs/>
          <w:sz w:val="20"/>
          <w:szCs w:val="20"/>
        </w:rPr>
        <w:t>Christos v The Queen</w:t>
      </w:r>
      <w:r w:rsidR="0040623A" w:rsidRPr="0040623A">
        <w:rPr>
          <w:rFonts w:ascii="Arial" w:hAnsi="Arial" w:cs="Arial"/>
          <w:sz w:val="20"/>
          <w:szCs w:val="20"/>
        </w:rPr>
        <w:t xml:space="preserve"> [2013] VSCA 202, [10] (Nettle AJA).</w:t>
      </w:r>
    </w:p>
    <w:p w14:paraId="12B9B3D8" w14:textId="77777777" w:rsidR="0040623A" w:rsidRDefault="00A76B36" w:rsidP="0040623A">
      <w:pPr>
        <w:spacing w:before="60"/>
        <w:ind w:left="851" w:right="567"/>
        <w:jc w:val="both"/>
        <w:rPr>
          <w:rFonts w:ascii="Arial" w:hAnsi="Arial" w:cs="Arial"/>
          <w:sz w:val="20"/>
          <w:szCs w:val="20"/>
        </w:rPr>
      </w:pPr>
      <w:r w:rsidRPr="00A76B36">
        <w:rPr>
          <w:rFonts w:ascii="Arial" w:hAnsi="Arial" w:cs="Arial"/>
          <w:sz w:val="20"/>
          <w:szCs w:val="20"/>
        </w:rPr>
        <w:t>(5) In such a case, it may be necessary to exclude the recording of a conversation where the inaudible parts of it might unfairly affect the meaning attributed to the parts of the recording that are audible</w:t>
      </w:r>
      <w:r w:rsidR="0040623A">
        <w:rPr>
          <w:rFonts w:ascii="Arial" w:hAnsi="Arial" w:cs="Arial"/>
          <w:sz w:val="20"/>
          <w:szCs w:val="20"/>
        </w:rPr>
        <w:t xml:space="preserve">: </w:t>
      </w:r>
      <w:r w:rsidR="0040623A" w:rsidRPr="0040623A">
        <w:rPr>
          <w:rFonts w:ascii="Arial" w:hAnsi="Arial" w:cs="Arial"/>
          <w:i/>
          <w:iCs/>
          <w:sz w:val="20"/>
          <w:szCs w:val="20"/>
        </w:rPr>
        <w:t>DPP v Debs and Roberts (Ruling No. 5)</w:t>
      </w:r>
      <w:r w:rsidR="0040623A" w:rsidRPr="0040623A">
        <w:rPr>
          <w:rFonts w:ascii="Arial" w:hAnsi="Arial" w:cs="Arial"/>
          <w:sz w:val="20"/>
          <w:szCs w:val="20"/>
        </w:rPr>
        <w:t xml:space="preserve"> [2002] VSC 386, [19] (Cummins J)</w:t>
      </w:r>
      <w:r w:rsidRPr="00A76B36">
        <w:rPr>
          <w:rFonts w:ascii="Arial" w:hAnsi="Arial" w:cs="Arial"/>
          <w:sz w:val="20"/>
          <w:szCs w:val="20"/>
        </w:rPr>
        <w:t>.</w:t>
      </w:r>
    </w:p>
    <w:p w14:paraId="00CF4274" w14:textId="519ECBC1" w:rsidR="0080292F" w:rsidRDefault="0040623A" w:rsidP="00A76B36">
      <w:pPr>
        <w:spacing w:before="60"/>
        <w:ind w:left="567" w:right="567"/>
        <w:jc w:val="both"/>
        <w:rPr>
          <w:rFonts w:ascii="Arial" w:hAnsi="Arial" w:cs="Arial"/>
          <w:sz w:val="20"/>
          <w:szCs w:val="20"/>
        </w:rPr>
      </w:pPr>
      <w:r>
        <w:rPr>
          <w:rFonts w:ascii="Arial" w:hAnsi="Arial" w:cs="Arial"/>
          <w:sz w:val="20"/>
          <w:szCs w:val="20"/>
        </w:rPr>
        <w:t>[</w:t>
      </w:r>
      <w:r w:rsidR="00A76B36" w:rsidRPr="00A76B36">
        <w:rPr>
          <w:rFonts w:ascii="Arial" w:hAnsi="Arial" w:cs="Arial"/>
          <w:sz w:val="20"/>
          <w:szCs w:val="20"/>
        </w:rPr>
        <w:t>6</w:t>
      </w:r>
      <w:r>
        <w:rPr>
          <w:rFonts w:ascii="Arial" w:hAnsi="Arial" w:cs="Arial"/>
          <w:sz w:val="20"/>
          <w:szCs w:val="20"/>
        </w:rPr>
        <w:t>]</w:t>
      </w:r>
      <w:r w:rsidR="00A76B36" w:rsidRPr="00A76B36">
        <w:rPr>
          <w:rFonts w:ascii="Arial" w:hAnsi="Arial" w:cs="Arial"/>
          <w:sz w:val="20"/>
          <w:szCs w:val="20"/>
        </w:rPr>
        <w:t xml:space="preserve"> The leading authority on the admissibility of such evidence is the decision of the</w:t>
      </w:r>
      <w:r>
        <w:rPr>
          <w:rFonts w:ascii="Arial" w:hAnsi="Arial" w:cs="Arial"/>
          <w:sz w:val="20"/>
          <w:szCs w:val="20"/>
        </w:rPr>
        <w:t xml:space="preserve"> </w:t>
      </w:r>
      <w:r w:rsidRPr="0040623A">
        <w:rPr>
          <w:rFonts w:ascii="Arial" w:hAnsi="Arial" w:cs="Arial"/>
          <w:sz w:val="20"/>
          <w:szCs w:val="20"/>
        </w:rPr>
        <w:t xml:space="preserve">High Court in </w:t>
      </w:r>
      <w:r w:rsidRPr="0040623A">
        <w:rPr>
          <w:rFonts w:ascii="Arial" w:hAnsi="Arial" w:cs="Arial"/>
          <w:i/>
          <w:iCs/>
          <w:sz w:val="20"/>
          <w:szCs w:val="20"/>
        </w:rPr>
        <w:t>Butera</w:t>
      </w:r>
      <w:r w:rsidRPr="0040623A">
        <w:rPr>
          <w:rFonts w:ascii="Arial" w:hAnsi="Arial" w:cs="Arial"/>
          <w:sz w:val="20"/>
          <w:szCs w:val="20"/>
        </w:rPr>
        <w:t>. That case was primarily concerned with the admissibility of transcripts of recorded conversations which were in a foreign language. The transcripts were produced by interpreters who had translated the foreign language into English. The High Court held that the transcripts had been properly admitted in evidence.</w:t>
      </w:r>
    </w:p>
    <w:p w14:paraId="53FB9489" w14:textId="660602DB" w:rsidR="00923F1C" w:rsidRDefault="00923F1C" w:rsidP="00A76B36">
      <w:pPr>
        <w:spacing w:before="60"/>
        <w:ind w:left="567" w:right="567"/>
        <w:jc w:val="both"/>
        <w:rPr>
          <w:rFonts w:ascii="Arial" w:hAnsi="Arial" w:cs="Arial"/>
          <w:sz w:val="20"/>
          <w:szCs w:val="20"/>
        </w:rPr>
      </w:pPr>
      <w:r>
        <w:rPr>
          <w:rFonts w:ascii="Arial" w:hAnsi="Arial" w:cs="Arial"/>
          <w:sz w:val="20"/>
          <w:szCs w:val="20"/>
        </w:rPr>
        <w:t xml:space="preserve">[7] </w:t>
      </w:r>
      <w:r w:rsidRPr="0040623A">
        <w:rPr>
          <w:rFonts w:ascii="Arial" w:hAnsi="Arial" w:cs="Arial"/>
          <w:sz w:val="20"/>
          <w:szCs w:val="20"/>
        </w:rPr>
        <w:t>In reaching that conclusion, the court considered the question of the admissibility and use of transcripts of recorded conversations.</w:t>
      </w:r>
    </w:p>
    <w:p w14:paraId="0FA86D1E" w14:textId="32892D60" w:rsidR="00923F1C" w:rsidRDefault="00923F1C" w:rsidP="00A76B36">
      <w:pPr>
        <w:spacing w:before="60"/>
        <w:ind w:left="567" w:right="567"/>
        <w:jc w:val="both"/>
        <w:rPr>
          <w:rFonts w:ascii="Arial" w:hAnsi="Arial" w:cs="Arial"/>
          <w:color w:val="000000"/>
          <w:sz w:val="20"/>
        </w:rPr>
      </w:pPr>
      <w:r>
        <w:rPr>
          <w:rFonts w:ascii="Arial" w:hAnsi="Arial" w:cs="Arial"/>
          <w:sz w:val="20"/>
          <w:szCs w:val="20"/>
        </w:rPr>
        <w:t xml:space="preserve">[8] </w:t>
      </w:r>
      <w:r w:rsidRPr="0040623A">
        <w:rPr>
          <w:rFonts w:ascii="Arial" w:hAnsi="Arial" w:cs="Arial"/>
          <w:sz w:val="20"/>
          <w:szCs w:val="20"/>
        </w:rPr>
        <w:t>In their joint judgment, Mason CJ, Brennan and Deane JJ commenced by stating the first proposition outlined above, namely, that the recording of a conversation is the best evidence of such a conversation, so that, where the recording is available, there is no reason to admit the evidence of an out of court listener to the conversation, or a transcript made by the listener</w:t>
      </w:r>
      <w:r>
        <w:rPr>
          <w:rFonts w:ascii="Arial" w:hAnsi="Arial" w:cs="Arial"/>
          <w:sz w:val="20"/>
          <w:szCs w:val="20"/>
        </w:rPr>
        <w:t xml:space="preserve">: </w:t>
      </w:r>
      <w:r w:rsidRPr="00923F1C">
        <w:rPr>
          <w:rFonts w:ascii="Arial" w:hAnsi="Arial" w:cs="Arial"/>
          <w:i/>
          <w:iCs/>
          <w:sz w:val="20"/>
          <w:szCs w:val="20"/>
        </w:rPr>
        <w:t>Butera</w:t>
      </w:r>
      <w:r>
        <w:rPr>
          <w:rFonts w:ascii="Arial" w:hAnsi="Arial" w:cs="Arial"/>
          <w:sz w:val="20"/>
          <w:szCs w:val="20"/>
        </w:rPr>
        <w:t xml:space="preserve"> at 186.  </w:t>
      </w:r>
      <w:r w:rsidRPr="0040623A">
        <w:rPr>
          <w:rFonts w:ascii="Arial" w:hAnsi="Arial" w:cs="Arial"/>
          <w:sz w:val="20"/>
          <w:szCs w:val="20"/>
        </w:rPr>
        <w:t xml:space="preserve">Nevertheless, their Honours recognised the practical assistance that might be provided to the court by the provision to it of a transcript of the </w:t>
      </w:r>
      <w:r w:rsidRPr="0040623A">
        <w:rPr>
          <w:rFonts w:ascii="Arial" w:hAnsi="Arial" w:cs="Arial"/>
          <w:sz w:val="20"/>
          <w:szCs w:val="20"/>
        </w:rPr>
        <w:lastRenderedPageBreak/>
        <w:t>conversation as an aid to assist it listen to and understand the recording. In that respect, they stated</w:t>
      </w:r>
      <w:r>
        <w:rPr>
          <w:rFonts w:ascii="Arial" w:hAnsi="Arial" w:cs="Arial"/>
          <w:sz w:val="20"/>
          <w:szCs w:val="20"/>
        </w:rPr>
        <w:t xml:space="preserve"> at 187</w:t>
      </w:r>
      <w:r w:rsidRPr="0040623A">
        <w:rPr>
          <w:rFonts w:ascii="Arial" w:hAnsi="Arial" w:cs="Arial"/>
          <w:sz w:val="20"/>
          <w:szCs w:val="20"/>
        </w:rPr>
        <w:t>:</w:t>
      </w:r>
    </w:p>
    <w:p w14:paraId="6E4846C8" w14:textId="1D38DC89" w:rsidR="00B218B9" w:rsidRDefault="00923F1C" w:rsidP="00923F1C">
      <w:pPr>
        <w:spacing w:before="60"/>
        <w:ind w:left="1021" w:right="1021"/>
        <w:jc w:val="both"/>
        <w:rPr>
          <w:rFonts w:ascii="Arial" w:hAnsi="Arial" w:cs="Arial"/>
          <w:color w:val="000000"/>
          <w:sz w:val="20"/>
        </w:rPr>
      </w:pPr>
      <w:r w:rsidRPr="00923F1C">
        <w:rPr>
          <w:rFonts w:ascii="Arial" w:hAnsi="Arial" w:cs="Arial"/>
          <w:sz w:val="18"/>
          <w:szCs w:val="18"/>
        </w:rPr>
        <w:t xml:space="preserve">Although evidence derived from a tape recording is not subject to some of the frailties of human testimony, it may exhibit deficiencies from which human testimony is usually free. A tape recording which is indistinct may not yield its full content to the listener on its first playing over. It may need to be played over repeatedly before the listener’s ear becomes attuned to the words or other sounds recorded. This situation has led courts to receive transcripts not as evidence of the conversation or other sounds recorded but as a means of assisting in the perception and understanding of the evidence tendered by the playing over of the tape. In </w:t>
      </w:r>
      <w:r w:rsidRPr="00923F1C">
        <w:rPr>
          <w:rFonts w:ascii="Arial" w:hAnsi="Arial" w:cs="Arial"/>
          <w:i/>
          <w:iCs/>
          <w:sz w:val="18"/>
          <w:szCs w:val="18"/>
        </w:rPr>
        <w:t>Williams v The Queen</w:t>
      </w:r>
      <w:r w:rsidRPr="00923F1C">
        <w:rPr>
          <w:rFonts w:ascii="Arial" w:hAnsi="Arial" w:cs="Arial"/>
          <w:sz w:val="18"/>
          <w:szCs w:val="18"/>
        </w:rPr>
        <w:t xml:space="preserve">, Neasey J. cited with approval a Canadian case </w:t>
      </w:r>
      <w:r w:rsidRPr="00923F1C">
        <w:rPr>
          <w:rFonts w:ascii="Arial" w:hAnsi="Arial" w:cs="Arial"/>
          <w:i/>
          <w:iCs/>
          <w:sz w:val="18"/>
          <w:szCs w:val="18"/>
        </w:rPr>
        <w:t>Reg. v MacLean and MacLean [No. 1]</w:t>
      </w:r>
      <w:r w:rsidRPr="00923F1C">
        <w:rPr>
          <w:rFonts w:ascii="Arial" w:hAnsi="Arial" w:cs="Arial"/>
          <w:sz w:val="18"/>
          <w:szCs w:val="18"/>
        </w:rPr>
        <w:t xml:space="preserve"> in which the trial judge held:</w:t>
      </w:r>
    </w:p>
    <w:p w14:paraId="0494EE28" w14:textId="6A420A2B" w:rsidR="00923F1C" w:rsidRDefault="00923F1C" w:rsidP="00923F1C">
      <w:pPr>
        <w:spacing w:before="60"/>
        <w:ind w:left="1418" w:right="1418"/>
        <w:jc w:val="both"/>
        <w:rPr>
          <w:rFonts w:ascii="Arial" w:hAnsi="Arial" w:cs="Arial"/>
          <w:color w:val="000000"/>
          <w:sz w:val="20"/>
        </w:rPr>
      </w:pPr>
      <w:r w:rsidRPr="00923F1C">
        <w:rPr>
          <w:rFonts w:ascii="Arial" w:hAnsi="Arial" w:cs="Arial"/>
          <w:sz w:val="18"/>
          <w:szCs w:val="18"/>
        </w:rPr>
        <w:t>that he would not permit the transcripts to be used as evidence of the contents of the recording, but did admit them for the use of ‘the trier of the facts, after being properly instructed in that regard, for the sale purpose of following the playing of the tape in court and to assist the trier of the facts in determining what is in fact recorded thereon’.</w:t>
      </w:r>
    </w:p>
    <w:p w14:paraId="71FE3535" w14:textId="30CD9EDA" w:rsidR="00036A81" w:rsidRDefault="00036A81" w:rsidP="00036A81">
      <w:pPr>
        <w:spacing w:before="60"/>
        <w:ind w:left="1021" w:right="1021"/>
        <w:jc w:val="both"/>
        <w:rPr>
          <w:rFonts w:ascii="Arial" w:hAnsi="Arial" w:cs="Arial"/>
          <w:color w:val="000000"/>
          <w:sz w:val="20"/>
        </w:rPr>
      </w:pPr>
      <w:r w:rsidRPr="00036A81">
        <w:rPr>
          <w:rFonts w:ascii="Arial" w:hAnsi="Arial" w:cs="Arial"/>
          <w:sz w:val="18"/>
          <w:szCs w:val="18"/>
        </w:rPr>
        <w:t>Where the quality of the recording is such that the provision of a transcript for the use of the jury would permit them clearly to follow an indistinct recording, a transcript may be seen as an aid to listening though it is not independent evidence of the recorded conversation.</w:t>
      </w:r>
    </w:p>
    <w:p w14:paraId="19CD6F29" w14:textId="3088CCA7" w:rsidR="00036A81" w:rsidRDefault="00036A81" w:rsidP="00036A81">
      <w:pPr>
        <w:spacing w:before="60"/>
        <w:ind w:left="567" w:right="567"/>
        <w:jc w:val="both"/>
        <w:rPr>
          <w:rFonts w:ascii="Arial" w:hAnsi="Arial" w:cs="Arial"/>
          <w:sz w:val="20"/>
          <w:szCs w:val="20"/>
        </w:rPr>
      </w:pPr>
      <w:r>
        <w:rPr>
          <w:rFonts w:ascii="Arial" w:hAnsi="Arial" w:cs="Arial"/>
          <w:color w:val="000000"/>
          <w:sz w:val="20"/>
        </w:rPr>
        <w:t xml:space="preserve">[9] </w:t>
      </w:r>
      <w:r w:rsidRPr="0040623A">
        <w:rPr>
          <w:rFonts w:ascii="Arial" w:hAnsi="Arial" w:cs="Arial"/>
          <w:sz w:val="20"/>
          <w:szCs w:val="20"/>
        </w:rPr>
        <w:t xml:space="preserve">In reaching that conclusion, the Court emphasised </w:t>
      </w:r>
      <w:r>
        <w:rPr>
          <w:rFonts w:ascii="Arial" w:hAnsi="Arial" w:cs="Arial"/>
          <w:sz w:val="20"/>
          <w:szCs w:val="20"/>
        </w:rPr>
        <w:t xml:space="preserve">at 188 </w:t>
      </w:r>
      <w:r w:rsidRPr="0040623A">
        <w:rPr>
          <w:rFonts w:ascii="Arial" w:hAnsi="Arial" w:cs="Arial"/>
          <w:sz w:val="20"/>
          <w:szCs w:val="20"/>
        </w:rPr>
        <w:t>that the jury should be given instruction that the purpose of admitting the transcript is not to provide independent evidence of the conversation, but in order to aid the jury to understand the conversation that was recorded on the tape, and the jury should be instructed that it could not use the transcript as a substitute for the tape is the jury is not satisfied that the transcript correctly sets out what the jury heard on the tape</w:t>
      </w:r>
      <w:r>
        <w:rPr>
          <w:rFonts w:ascii="Arial" w:hAnsi="Arial" w:cs="Arial"/>
          <w:sz w:val="20"/>
          <w:szCs w:val="20"/>
        </w:rPr>
        <w:t>.</w:t>
      </w:r>
    </w:p>
    <w:p w14:paraId="174E51ED" w14:textId="0C4C9057" w:rsidR="00036A81" w:rsidRDefault="00036A81" w:rsidP="00036A81">
      <w:pPr>
        <w:spacing w:before="60"/>
        <w:ind w:left="567" w:right="567"/>
        <w:jc w:val="both"/>
        <w:rPr>
          <w:rFonts w:ascii="Arial" w:hAnsi="Arial" w:cs="Arial"/>
          <w:color w:val="000000"/>
          <w:sz w:val="20"/>
        </w:rPr>
      </w:pPr>
      <w:r>
        <w:rPr>
          <w:rFonts w:ascii="Arial" w:hAnsi="Arial" w:cs="Arial"/>
          <w:sz w:val="20"/>
          <w:szCs w:val="20"/>
        </w:rPr>
        <w:t xml:space="preserve">[10] </w:t>
      </w:r>
      <w:r w:rsidRPr="0040623A">
        <w:rPr>
          <w:rFonts w:ascii="Arial" w:hAnsi="Arial" w:cs="Arial"/>
          <w:sz w:val="20"/>
          <w:szCs w:val="20"/>
        </w:rPr>
        <w:t xml:space="preserve">The fourth principle, which I have outlined above, was discussed by the Court of Criminal Appeal in </w:t>
      </w:r>
      <w:r w:rsidRPr="00036A81">
        <w:rPr>
          <w:rFonts w:ascii="Arial" w:hAnsi="Arial" w:cs="Arial"/>
          <w:i/>
          <w:iCs/>
          <w:sz w:val="20"/>
          <w:szCs w:val="20"/>
        </w:rPr>
        <w:t>Smith, Ashford &amp; Schevella</w:t>
      </w:r>
      <w:r w:rsidRPr="0040623A">
        <w:rPr>
          <w:rFonts w:ascii="Arial" w:hAnsi="Arial" w:cs="Arial"/>
          <w:sz w:val="20"/>
          <w:szCs w:val="20"/>
        </w:rPr>
        <w:t xml:space="preserve">. In that case, the Court expressed its acceptance of the test of admissibility applied by Shaw J in </w:t>
      </w:r>
      <w:r w:rsidRPr="00036A81">
        <w:rPr>
          <w:rFonts w:ascii="Arial" w:hAnsi="Arial" w:cs="Arial"/>
          <w:i/>
          <w:iCs/>
          <w:sz w:val="20"/>
          <w:szCs w:val="20"/>
        </w:rPr>
        <w:t>Robson</w:t>
      </w:r>
      <w:r>
        <w:rPr>
          <w:rFonts w:ascii="Arial" w:hAnsi="Arial" w:cs="Arial"/>
          <w:i/>
          <w:iCs/>
          <w:sz w:val="20"/>
          <w:szCs w:val="20"/>
        </w:rPr>
        <w:t xml:space="preserve"> </w:t>
      </w:r>
      <w:r w:rsidRPr="00036A81">
        <w:rPr>
          <w:rFonts w:ascii="Arial" w:hAnsi="Arial" w:cs="Arial"/>
          <w:sz w:val="20"/>
          <w:szCs w:val="20"/>
        </w:rPr>
        <w:t>at 656</w:t>
      </w:r>
      <w:r w:rsidRPr="0040623A">
        <w:rPr>
          <w:rFonts w:ascii="Arial" w:hAnsi="Arial" w:cs="Arial"/>
          <w:sz w:val="20"/>
          <w:szCs w:val="20"/>
        </w:rPr>
        <w:t>, namely, whether the quality of the recording was adequate in its ‘continuity, clarity and coherence’ to ‘enable the jury to form a fair and reliable assessment of the conversations’.</w:t>
      </w:r>
      <w:r>
        <w:rPr>
          <w:rFonts w:ascii="Arial" w:hAnsi="Arial" w:cs="Arial"/>
          <w:sz w:val="20"/>
          <w:szCs w:val="20"/>
        </w:rPr>
        <w:t>”</w:t>
      </w:r>
    </w:p>
    <w:p w14:paraId="0797E883" w14:textId="5BF37A63" w:rsidR="00F9358C" w:rsidRDefault="00F9358C" w:rsidP="00F9358C">
      <w:pPr>
        <w:jc w:val="both"/>
        <w:rPr>
          <w:rFonts w:ascii="Arial" w:hAnsi="Arial" w:cs="Arial"/>
          <w:color w:val="000000"/>
          <w:sz w:val="20"/>
        </w:rPr>
      </w:pPr>
    </w:p>
    <w:p w14:paraId="7BDF4E93" w14:textId="4D7FAD0B" w:rsidR="00D30F0A" w:rsidRPr="00851AAB" w:rsidRDefault="00D30F0A" w:rsidP="00D30F0A">
      <w:pPr>
        <w:jc w:val="both"/>
        <w:rPr>
          <w:rFonts w:ascii="Arial" w:hAnsi="Arial" w:cs="Arial"/>
          <w:sz w:val="20"/>
        </w:rPr>
      </w:pPr>
      <w:r>
        <w:rPr>
          <w:rFonts w:ascii="Arial" w:hAnsi="Arial" w:cs="Arial"/>
          <w:sz w:val="20"/>
        </w:rPr>
        <w:t xml:space="preserve">In </w:t>
      </w:r>
      <w:r w:rsidRPr="00851AAB">
        <w:rPr>
          <w:rFonts w:ascii="Arial" w:hAnsi="Arial" w:cs="Arial"/>
          <w:i/>
          <w:iCs/>
          <w:color w:val="000000"/>
          <w:sz w:val="20"/>
        </w:rPr>
        <w:t>Colin Stevenson (a pseudonym) v The Queen</w:t>
      </w:r>
      <w:r w:rsidRPr="00851AAB">
        <w:rPr>
          <w:rFonts w:ascii="Arial" w:hAnsi="Arial" w:cs="Arial"/>
          <w:color w:val="000000"/>
          <w:sz w:val="20"/>
        </w:rPr>
        <w:t xml:space="preserve"> [2020] VSCA 27 </w:t>
      </w:r>
      <w:r>
        <w:rPr>
          <w:rFonts w:ascii="Arial" w:hAnsi="Arial" w:cs="Arial"/>
          <w:color w:val="000000"/>
          <w:sz w:val="20"/>
        </w:rPr>
        <w:t>the applicant, aged 24, had been in a sexual relationship with a complainant, aged 14 to 15.  He had been charged with 9 counts of sexual penetration of a child under 16 and one of an indecent act with a child under 16.  He was acquitted of 8 charges but found guilty of the last two in the series.  The issue on appeal was whether the trial judge had erred in admitting evidence of Facebook posts capable of showing that the applicant became aware of the assertion that the complainant was aged 15 just prior to the last two instances of sexual penetration.  Finding no error in admitting evidence as to the purported date of the applicant’s comment on the Facebook posts, the Court of Appeal held:</w:t>
      </w:r>
    </w:p>
    <w:p w14:paraId="40D6591C" w14:textId="77777777" w:rsidR="00D30F0A" w:rsidRDefault="00D30F0A">
      <w:pPr>
        <w:numPr>
          <w:ilvl w:val="0"/>
          <w:numId w:val="110"/>
        </w:numPr>
        <w:ind w:left="357" w:hanging="357"/>
        <w:jc w:val="both"/>
        <w:rPr>
          <w:rFonts w:ascii="Arial" w:hAnsi="Arial" w:cs="Arial"/>
          <w:sz w:val="20"/>
          <w:szCs w:val="20"/>
        </w:rPr>
      </w:pPr>
      <w:r w:rsidRPr="00601F5F">
        <w:rPr>
          <w:rFonts w:ascii="Arial" w:hAnsi="Arial" w:cs="Arial"/>
          <w:b/>
          <w:bCs/>
          <w:sz w:val="20"/>
          <w:szCs w:val="20"/>
        </w:rPr>
        <w:t>Section 1</w:t>
      </w:r>
      <w:r>
        <w:rPr>
          <w:rFonts w:ascii="Arial" w:hAnsi="Arial" w:cs="Arial"/>
          <w:b/>
          <w:bCs/>
          <w:sz w:val="20"/>
          <w:szCs w:val="20"/>
        </w:rPr>
        <w:t>46</w:t>
      </w:r>
      <w:r w:rsidRPr="00601F5F">
        <w:rPr>
          <w:rFonts w:ascii="Arial" w:hAnsi="Arial" w:cs="Arial"/>
          <w:sz w:val="20"/>
          <w:szCs w:val="20"/>
        </w:rPr>
        <w:t xml:space="preserve">: </w:t>
      </w:r>
      <w:r>
        <w:rPr>
          <w:rFonts w:ascii="Arial" w:hAnsi="Arial" w:cs="Arial"/>
          <w:sz w:val="20"/>
          <w:szCs w:val="20"/>
        </w:rPr>
        <w:t>The impugned evidence was admissible pursuant to s.146 relating to “</w:t>
      </w:r>
      <w:r w:rsidRPr="00755563">
        <w:rPr>
          <w:rFonts w:ascii="Arial" w:hAnsi="Arial" w:cs="Arial"/>
          <w:b/>
          <w:bCs/>
          <w:sz w:val="20"/>
          <w:szCs w:val="20"/>
        </w:rPr>
        <w:t>Evidence produced by processes, machines and other devices</w:t>
      </w:r>
      <w:r>
        <w:rPr>
          <w:rFonts w:ascii="Arial" w:hAnsi="Arial" w:cs="Arial"/>
          <w:sz w:val="20"/>
          <w:szCs w:val="20"/>
        </w:rPr>
        <w:t>”: see [63] &amp; [71]-[73].</w:t>
      </w:r>
    </w:p>
    <w:p w14:paraId="7A255CD0" w14:textId="77777777" w:rsidR="00D30F0A" w:rsidRDefault="00D30F0A">
      <w:pPr>
        <w:numPr>
          <w:ilvl w:val="0"/>
          <w:numId w:val="110"/>
        </w:numPr>
        <w:ind w:left="357" w:hanging="357"/>
        <w:jc w:val="both"/>
        <w:rPr>
          <w:rFonts w:ascii="Arial" w:hAnsi="Arial" w:cs="Arial"/>
          <w:sz w:val="20"/>
          <w:szCs w:val="20"/>
        </w:rPr>
      </w:pPr>
      <w:r>
        <w:rPr>
          <w:rFonts w:ascii="Arial" w:hAnsi="Arial" w:cs="Arial"/>
          <w:b/>
          <w:bCs/>
          <w:sz w:val="20"/>
          <w:szCs w:val="20"/>
        </w:rPr>
        <w:t>Section 161</w:t>
      </w:r>
      <w:r w:rsidRPr="00755563">
        <w:rPr>
          <w:rFonts w:ascii="Arial" w:hAnsi="Arial" w:cs="Arial"/>
          <w:sz w:val="20"/>
          <w:szCs w:val="20"/>
        </w:rPr>
        <w:t>:</w:t>
      </w:r>
      <w:r>
        <w:rPr>
          <w:rFonts w:ascii="Arial" w:hAnsi="Arial" w:cs="Arial"/>
          <w:sz w:val="20"/>
          <w:szCs w:val="20"/>
        </w:rPr>
        <w:t xml:space="preserve"> The impugned evidence was also admissible pursuant to s.161 relating to “</w:t>
      </w:r>
      <w:r w:rsidRPr="00755563">
        <w:rPr>
          <w:rFonts w:ascii="Arial" w:eastAsia="Book Antiqua" w:hAnsi="Arial" w:cs="Arial"/>
          <w:b/>
          <w:sz w:val="20"/>
          <w:szCs w:val="22"/>
        </w:rPr>
        <w:t>Electronic communications</w:t>
      </w:r>
      <w:r>
        <w:rPr>
          <w:rFonts w:ascii="Arial" w:hAnsi="Arial" w:cs="Arial"/>
          <w:sz w:val="20"/>
          <w:szCs w:val="20"/>
        </w:rPr>
        <w:t>”: see [64] &amp; [75]-[77].</w:t>
      </w:r>
    </w:p>
    <w:p w14:paraId="06668902" w14:textId="77777777" w:rsidR="00D30F0A" w:rsidRPr="00601F5F" w:rsidRDefault="00D30F0A">
      <w:pPr>
        <w:numPr>
          <w:ilvl w:val="0"/>
          <w:numId w:val="110"/>
        </w:numPr>
        <w:ind w:left="357" w:hanging="357"/>
        <w:jc w:val="both"/>
        <w:rPr>
          <w:rFonts w:ascii="Arial" w:hAnsi="Arial" w:cs="Arial"/>
          <w:sz w:val="20"/>
          <w:szCs w:val="20"/>
        </w:rPr>
      </w:pPr>
      <w:r w:rsidRPr="00755563">
        <w:rPr>
          <w:rFonts w:ascii="Arial" w:hAnsi="Arial" w:cs="Arial"/>
          <w:b/>
          <w:bCs/>
          <w:sz w:val="20"/>
          <w:szCs w:val="20"/>
        </w:rPr>
        <w:t>Section 137</w:t>
      </w:r>
      <w:r>
        <w:rPr>
          <w:rFonts w:ascii="Arial" w:hAnsi="Arial" w:cs="Arial"/>
          <w:sz w:val="20"/>
          <w:szCs w:val="20"/>
        </w:rPr>
        <w:t>: The probative value of the evidence of the Facebook posts was not outweighed by the danger of unfair prejudice to the applicant: see [82]-[86].</w:t>
      </w:r>
    </w:p>
    <w:p w14:paraId="7454FF9E" w14:textId="77777777" w:rsidR="00D30F0A" w:rsidRDefault="00D30F0A" w:rsidP="00F9358C">
      <w:pPr>
        <w:jc w:val="both"/>
        <w:rPr>
          <w:rFonts w:ascii="Arial" w:hAnsi="Arial" w:cs="Arial"/>
          <w:color w:val="000000"/>
          <w:sz w:val="20"/>
        </w:rPr>
      </w:pPr>
    </w:p>
    <w:p w14:paraId="3A933DE0" w14:textId="4CF9175F" w:rsidR="00F9358C" w:rsidRDefault="00F9358C" w:rsidP="00F9358C">
      <w:pPr>
        <w:jc w:val="both"/>
        <w:rPr>
          <w:rFonts w:ascii="Arial" w:hAnsi="Arial" w:cs="Arial"/>
          <w:color w:val="000000"/>
          <w:sz w:val="20"/>
        </w:rPr>
      </w:pPr>
      <w:r>
        <w:rPr>
          <w:rFonts w:ascii="Arial" w:hAnsi="Arial" w:cs="Arial"/>
          <w:color w:val="000000"/>
          <w:sz w:val="20"/>
        </w:rPr>
        <w:t xml:space="preserve">In </w:t>
      </w:r>
      <w:r w:rsidR="005114B0" w:rsidRPr="005114B0">
        <w:rPr>
          <w:rFonts w:ascii="Arial" w:hAnsi="Arial" w:cs="Arial"/>
          <w:i/>
          <w:iCs/>
          <w:color w:val="000000"/>
          <w:sz w:val="20"/>
        </w:rPr>
        <w:t>Moreno (a pseudonym) v The King</w:t>
      </w:r>
      <w:r w:rsidR="005114B0">
        <w:rPr>
          <w:rFonts w:ascii="Arial" w:hAnsi="Arial" w:cs="Arial"/>
          <w:color w:val="000000"/>
          <w:sz w:val="20"/>
        </w:rPr>
        <w:t xml:space="preserve"> [2023] VSCA 98 the applicant was charged with murder and </w:t>
      </w:r>
      <w:r w:rsidR="00880EEB">
        <w:rPr>
          <w:rFonts w:ascii="Arial" w:hAnsi="Arial" w:cs="Arial"/>
          <w:color w:val="000000"/>
          <w:sz w:val="20"/>
        </w:rPr>
        <w:t xml:space="preserve">aggravated burglary arising from a single incident.  </w:t>
      </w:r>
      <w:r w:rsidR="005E6F10" w:rsidRPr="005E6F10">
        <w:rPr>
          <w:rFonts w:ascii="Arial" w:hAnsi="Arial" w:cs="Arial"/>
          <w:sz w:val="20"/>
          <w:szCs w:val="20"/>
        </w:rPr>
        <w:t>On the same indictment, the applicant was also charged with an earlier attempted armed robbery.</w:t>
      </w:r>
      <w:r w:rsidR="005E6F10">
        <w:rPr>
          <w:rFonts w:ascii="Arial" w:hAnsi="Arial" w:cs="Arial"/>
          <w:sz w:val="20"/>
          <w:szCs w:val="20"/>
        </w:rPr>
        <w:t xml:space="preserve">  </w:t>
      </w:r>
      <w:r w:rsidR="00880EEB">
        <w:rPr>
          <w:rFonts w:ascii="Arial" w:hAnsi="Arial" w:cs="Arial"/>
          <w:color w:val="000000"/>
          <w:sz w:val="20"/>
        </w:rPr>
        <w:t xml:space="preserve">A witness had identified the </w:t>
      </w:r>
      <w:r w:rsidR="00DB165F">
        <w:rPr>
          <w:rFonts w:ascii="Arial" w:hAnsi="Arial" w:cs="Arial"/>
          <w:color w:val="000000"/>
          <w:sz w:val="20"/>
        </w:rPr>
        <w:t>applicant after a conversation</w:t>
      </w:r>
      <w:r w:rsidR="00C555B5">
        <w:rPr>
          <w:rFonts w:ascii="Arial" w:hAnsi="Arial" w:cs="Arial"/>
          <w:color w:val="000000"/>
          <w:sz w:val="20"/>
        </w:rPr>
        <w:t xml:space="preserve"> with another person and having been shown a Facebook photograph of the applicant.  The trial judge had allowed the admission of the impugned identification evidence.  </w:t>
      </w:r>
      <w:r w:rsidR="00884E6E">
        <w:rPr>
          <w:rFonts w:ascii="Arial" w:hAnsi="Arial" w:cs="Arial"/>
          <w:color w:val="000000"/>
          <w:sz w:val="20"/>
        </w:rPr>
        <w:t>In its analysis at [</w:t>
      </w:r>
      <w:r w:rsidR="00C52CBD">
        <w:rPr>
          <w:rFonts w:ascii="Arial" w:hAnsi="Arial" w:cs="Arial"/>
          <w:color w:val="000000"/>
          <w:sz w:val="20"/>
        </w:rPr>
        <w:t>95</w:t>
      </w:r>
      <w:r w:rsidR="00884E6E">
        <w:rPr>
          <w:rFonts w:ascii="Arial" w:hAnsi="Arial" w:cs="Arial"/>
          <w:color w:val="000000"/>
          <w:sz w:val="20"/>
        </w:rPr>
        <w:t>]-[</w:t>
      </w:r>
      <w:r w:rsidR="00C52CBD">
        <w:rPr>
          <w:rFonts w:ascii="Arial" w:hAnsi="Arial" w:cs="Arial"/>
          <w:color w:val="000000"/>
          <w:sz w:val="20"/>
        </w:rPr>
        <w:t>107</w:t>
      </w:r>
      <w:r w:rsidR="00884E6E">
        <w:rPr>
          <w:rFonts w:ascii="Arial" w:hAnsi="Arial" w:cs="Arial"/>
          <w:color w:val="000000"/>
          <w:sz w:val="20"/>
        </w:rPr>
        <w:t>] t</w:t>
      </w:r>
      <w:r w:rsidR="008F2487">
        <w:rPr>
          <w:rFonts w:ascii="Arial" w:hAnsi="Arial" w:cs="Arial"/>
          <w:color w:val="000000"/>
          <w:sz w:val="20"/>
        </w:rPr>
        <w:t xml:space="preserve">he Court of Appeal </w:t>
      </w:r>
      <w:r w:rsidR="00EE5247">
        <w:rPr>
          <w:rFonts w:ascii="Arial" w:hAnsi="Arial" w:cs="Arial"/>
          <w:color w:val="000000"/>
          <w:sz w:val="20"/>
        </w:rPr>
        <w:t xml:space="preserve">allowed the appeal, </w:t>
      </w:r>
      <w:r w:rsidR="00037BB7">
        <w:rPr>
          <w:rFonts w:ascii="Arial" w:hAnsi="Arial" w:cs="Arial"/>
          <w:color w:val="000000"/>
          <w:sz w:val="20"/>
        </w:rPr>
        <w:t xml:space="preserve">applying s.137 of the Evidence Act 2008 and </w:t>
      </w:r>
      <w:r w:rsidR="00EE5247">
        <w:rPr>
          <w:rFonts w:ascii="Arial" w:hAnsi="Arial" w:cs="Arial"/>
          <w:color w:val="000000"/>
          <w:sz w:val="20"/>
        </w:rPr>
        <w:t xml:space="preserve">holding that the </w:t>
      </w:r>
      <w:r w:rsidR="007466FB">
        <w:rPr>
          <w:rFonts w:ascii="Arial" w:hAnsi="Arial" w:cs="Arial"/>
          <w:color w:val="000000"/>
          <w:sz w:val="20"/>
        </w:rPr>
        <w:t>probative value of the impugned evidence was low but the</w:t>
      </w:r>
      <w:r w:rsidR="00634286">
        <w:rPr>
          <w:rFonts w:ascii="Arial" w:hAnsi="Arial" w:cs="Arial"/>
          <w:color w:val="000000"/>
          <w:sz w:val="20"/>
        </w:rPr>
        <w:t xml:space="preserve"> prejudice to the applicant was substantial and was not capable of being </w:t>
      </w:r>
      <w:r w:rsidR="00884E6E">
        <w:rPr>
          <w:rFonts w:ascii="Arial" w:hAnsi="Arial" w:cs="Arial"/>
          <w:color w:val="000000"/>
          <w:sz w:val="20"/>
        </w:rPr>
        <w:t>adequately ameliorated by judicial direction.</w:t>
      </w:r>
    </w:p>
    <w:p w14:paraId="4F95DBF3" w14:textId="77777777" w:rsidR="00C84356" w:rsidRPr="00C15FDA" w:rsidRDefault="00C84356" w:rsidP="00C84356">
      <w:pPr>
        <w:rPr>
          <w:rFonts w:ascii="Arial" w:hAnsi="Arial" w:cs="Arial"/>
          <w:sz w:val="20"/>
          <w:szCs w:val="20"/>
        </w:rPr>
      </w:pPr>
    </w:p>
    <w:p w14:paraId="7789102A" w14:textId="44AFFE33" w:rsidR="00C84356" w:rsidRPr="00C84356" w:rsidRDefault="00C84356" w:rsidP="00C84356">
      <w:pPr>
        <w:jc w:val="both"/>
        <w:rPr>
          <w:rFonts w:ascii="Arial" w:hAnsi="Arial" w:cs="Arial"/>
          <w:sz w:val="20"/>
          <w:szCs w:val="20"/>
        </w:rPr>
      </w:pPr>
      <w:r w:rsidRPr="00C84356">
        <w:rPr>
          <w:rFonts w:ascii="Arial" w:hAnsi="Arial" w:cs="Arial"/>
          <w:sz w:val="20"/>
          <w:szCs w:val="20"/>
        </w:rPr>
        <w:t xml:space="preserve">In </w:t>
      </w:r>
      <w:r w:rsidRPr="00C84356">
        <w:rPr>
          <w:rFonts w:ascii="Arial" w:hAnsi="Arial" w:cs="Arial"/>
          <w:i/>
          <w:iCs/>
          <w:sz w:val="20"/>
          <w:szCs w:val="20"/>
        </w:rPr>
        <w:t>Wagner (a pseudonym) v The King</w:t>
      </w:r>
      <w:r w:rsidRPr="00C84356">
        <w:rPr>
          <w:rFonts w:ascii="Arial" w:hAnsi="Arial" w:cs="Arial"/>
          <w:sz w:val="20"/>
          <w:szCs w:val="20"/>
        </w:rPr>
        <w:t xml:space="preserve"> [2025] VSCA 56 the applicant </w:t>
      </w:r>
      <w:r w:rsidR="0054755A">
        <w:rPr>
          <w:rFonts w:ascii="Arial" w:hAnsi="Arial" w:cs="Arial"/>
          <w:sz w:val="20"/>
          <w:szCs w:val="20"/>
        </w:rPr>
        <w:t>wa</w:t>
      </w:r>
      <w:r w:rsidRPr="00C84356">
        <w:rPr>
          <w:rFonts w:ascii="Arial" w:hAnsi="Arial" w:cs="Arial"/>
          <w:sz w:val="20"/>
          <w:szCs w:val="20"/>
        </w:rPr>
        <w:t>s facing trial in the County Court on 9 charges of theft, 8 charges of burglary (committed with a co</w:t>
      </w:r>
      <w:r w:rsidRPr="00C84356">
        <w:rPr>
          <w:rFonts w:ascii="Arial" w:hAnsi="Arial" w:cs="Arial"/>
          <w:sz w:val="20"/>
          <w:szCs w:val="20"/>
        </w:rPr>
        <w:noBreakHyphen/>
        <w:t>accused) and 1 charge of arson (committed alone) of a car used in the burglaries. The prosecution case is circumstantial. The central issue in the trial is the identity of the offenders.</w:t>
      </w:r>
      <w:r>
        <w:rPr>
          <w:rFonts w:ascii="Arial" w:hAnsi="Arial" w:cs="Arial"/>
          <w:sz w:val="20"/>
          <w:szCs w:val="20"/>
        </w:rPr>
        <w:t xml:space="preserve"> O</w:t>
      </w:r>
      <w:r w:rsidRPr="00C84356">
        <w:rPr>
          <w:rFonts w:ascii="Arial" w:hAnsi="Arial" w:cs="Arial"/>
          <w:sz w:val="20"/>
          <w:szCs w:val="20"/>
        </w:rPr>
        <w:t>ne of the categories of evidence upon which the prosecution proposes to rely, which it described as ‘extremely significant’, is telecommunications evidence. It is said to establish that the applicant was in the vicinity of each of the burgled premises and in the vicinity of the burnt-out car at the time of the alleged offences. The</w:t>
      </w:r>
      <w:r w:rsidR="00116196">
        <w:rPr>
          <w:rFonts w:ascii="Arial" w:hAnsi="Arial" w:cs="Arial"/>
          <w:sz w:val="20"/>
          <w:szCs w:val="20"/>
        </w:rPr>
        <w:t xml:space="preserve"> </w:t>
      </w:r>
      <w:r w:rsidRPr="00C84356">
        <w:rPr>
          <w:rFonts w:ascii="Arial" w:hAnsi="Arial" w:cs="Arial"/>
          <w:sz w:val="20"/>
          <w:szCs w:val="20"/>
        </w:rPr>
        <w:t>telecommunications evidence consisted of 3 components:</w:t>
      </w:r>
    </w:p>
    <w:p w14:paraId="603E1012" w14:textId="77777777" w:rsidR="00C84356" w:rsidRPr="00C84356" w:rsidRDefault="00C84356">
      <w:pPr>
        <w:pStyle w:val="ListParagraph"/>
        <w:numPr>
          <w:ilvl w:val="0"/>
          <w:numId w:val="151"/>
        </w:numPr>
        <w:ind w:left="454" w:hanging="454"/>
        <w:contextualSpacing/>
        <w:jc w:val="both"/>
        <w:rPr>
          <w:rFonts w:ascii="Arial" w:hAnsi="Arial" w:cs="Arial"/>
          <w:sz w:val="20"/>
          <w:szCs w:val="16"/>
        </w:rPr>
      </w:pPr>
      <w:r w:rsidRPr="00C84356">
        <w:rPr>
          <w:rFonts w:ascii="Arial" w:hAnsi="Arial" w:cs="Arial"/>
          <w:sz w:val="20"/>
          <w:szCs w:val="16"/>
        </w:rPr>
        <w:lastRenderedPageBreak/>
        <w:t>‘</w:t>
      </w:r>
      <w:r w:rsidRPr="00C84356">
        <w:rPr>
          <w:rFonts w:ascii="Arial" w:hAnsi="Arial" w:cs="Arial"/>
          <w:b/>
          <w:bCs/>
          <w:sz w:val="20"/>
          <w:szCs w:val="16"/>
        </w:rPr>
        <w:t>The EBM data’</w:t>
      </w:r>
      <w:r w:rsidRPr="00C84356">
        <w:rPr>
          <w:rFonts w:ascii="Arial" w:hAnsi="Arial" w:cs="Arial"/>
          <w:sz w:val="20"/>
          <w:szCs w:val="16"/>
        </w:rPr>
        <w:t>: A spread-sheet produced by Optus containing ‘event based monitoring’ data for a mobile telephone service associated with the applicant.</w:t>
      </w:r>
    </w:p>
    <w:p w14:paraId="47FB6345" w14:textId="77777777" w:rsidR="00C84356" w:rsidRPr="00C84356" w:rsidRDefault="00C84356">
      <w:pPr>
        <w:pStyle w:val="ListParagraph"/>
        <w:numPr>
          <w:ilvl w:val="0"/>
          <w:numId w:val="151"/>
        </w:numPr>
        <w:ind w:left="454" w:hanging="454"/>
        <w:contextualSpacing/>
        <w:jc w:val="both"/>
        <w:rPr>
          <w:rFonts w:ascii="Arial" w:hAnsi="Arial" w:cs="Arial"/>
          <w:sz w:val="20"/>
          <w:szCs w:val="16"/>
        </w:rPr>
      </w:pPr>
      <w:r w:rsidRPr="00C84356">
        <w:rPr>
          <w:rFonts w:ascii="Arial" w:hAnsi="Arial" w:cs="Arial"/>
          <w:sz w:val="20"/>
          <w:szCs w:val="16"/>
        </w:rPr>
        <w:t>‘</w:t>
      </w:r>
      <w:r w:rsidRPr="00C84356">
        <w:rPr>
          <w:rFonts w:ascii="Arial" w:hAnsi="Arial" w:cs="Arial"/>
          <w:b/>
          <w:bCs/>
          <w:sz w:val="20"/>
          <w:szCs w:val="16"/>
        </w:rPr>
        <w:t>The base station evidence</w:t>
      </w:r>
      <w:r w:rsidRPr="00C84356">
        <w:rPr>
          <w:rFonts w:ascii="Arial" w:hAnsi="Arial" w:cs="Arial"/>
          <w:sz w:val="20"/>
          <w:szCs w:val="16"/>
        </w:rPr>
        <w:t>’: Ten witness statements prepared by 2 Optus technical specialists annexing a series of maps and tables containing information about particular mobile phone towers (‘base stations’) referred to in the EBM data.</w:t>
      </w:r>
    </w:p>
    <w:p w14:paraId="121C3B04" w14:textId="77777777" w:rsidR="00C84356" w:rsidRPr="00C84356" w:rsidRDefault="00C84356">
      <w:pPr>
        <w:pStyle w:val="ListParagraph"/>
        <w:numPr>
          <w:ilvl w:val="0"/>
          <w:numId w:val="151"/>
        </w:numPr>
        <w:ind w:left="454" w:hanging="454"/>
        <w:contextualSpacing/>
        <w:jc w:val="both"/>
        <w:rPr>
          <w:rFonts w:ascii="Arial" w:hAnsi="Arial" w:cs="Arial"/>
          <w:sz w:val="20"/>
          <w:szCs w:val="16"/>
        </w:rPr>
      </w:pPr>
      <w:r w:rsidRPr="00C84356">
        <w:rPr>
          <w:rFonts w:ascii="Arial" w:hAnsi="Arial" w:cs="Arial"/>
          <w:sz w:val="20"/>
          <w:szCs w:val="16"/>
        </w:rPr>
        <w:t>‘</w:t>
      </w:r>
      <w:r w:rsidRPr="00C84356">
        <w:rPr>
          <w:rFonts w:ascii="Arial" w:hAnsi="Arial" w:cs="Arial"/>
          <w:b/>
          <w:bCs/>
          <w:sz w:val="20"/>
          <w:szCs w:val="16"/>
        </w:rPr>
        <w:t>The reference table</w:t>
      </w:r>
      <w:r w:rsidRPr="00C84356">
        <w:rPr>
          <w:rFonts w:ascii="Arial" w:hAnsi="Arial" w:cs="Arial"/>
          <w:sz w:val="20"/>
          <w:szCs w:val="16"/>
        </w:rPr>
        <w:t>’: Created by the informant, this contains information sourced from items (i) &amp; (ii), cross-referenced to a ‘corresponding burglary/incident/fact’ and to the relevant charge.</w:t>
      </w:r>
    </w:p>
    <w:p w14:paraId="7DA1A425" w14:textId="6EA87702" w:rsidR="00C84356" w:rsidRPr="00C84356" w:rsidRDefault="007413D5" w:rsidP="00C84356">
      <w:pPr>
        <w:spacing w:before="120"/>
        <w:jc w:val="both"/>
        <w:rPr>
          <w:rFonts w:ascii="Arial" w:hAnsi="Arial" w:cs="Arial"/>
          <w:sz w:val="20"/>
          <w:szCs w:val="20"/>
        </w:rPr>
      </w:pPr>
      <w:r>
        <w:rPr>
          <w:rFonts w:ascii="Arial" w:hAnsi="Arial" w:cs="Arial"/>
          <w:sz w:val="20"/>
          <w:szCs w:val="20"/>
        </w:rPr>
        <w:t>In a pre-trial application before Judge Georgiou t</w:t>
      </w:r>
      <w:r w:rsidR="00C84356" w:rsidRPr="00C84356">
        <w:rPr>
          <w:rFonts w:ascii="Arial" w:hAnsi="Arial" w:cs="Arial"/>
          <w:sz w:val="20"/>
          <w:szCs w:val="20"/>
        </w:rPr>
        <w:t xml:space="preserve">he prosecution </w:t>
      </w:r>
      <w:r>
        <w:rPr>
          <w:rFonts w:ascii="Arial" w:hAnsi="Arial" w:cs="Arial"/>
          <w:sz w:val="20"/>
          <w:szCs w:val="20"/>
        </w:rPr>
        <w:t xml:space="preserve">had </w:t>
      </w:r>
      <w:r w:rsidR="00C84356" w:rsidRPr="00C84356">
        <w:rPr>
          <w:rFonts w:ascii="Arial" w:hAnsi="Arial" w:cs="Arial"/>
          <w:sz w:val="20"/>
          <w:szCs w:val="20"/>
        </w:rPr>
        <w:t>conceded that the telecommunications evidence could not place the applicant at the exact location of the burglaries</w:t>
      </w:r>
      <w:r>
        <w:rPr>
          <w:rFonts w:ascii="Arial" w:hAnsi="Arial" w:cs="Arial"/>
          <w:sz w:val="20"/>
          <w:szCs w:val="20"/>
        </w:rPr>
        <w:t xml:space="preserve"> but asserted</w:t>
      </w:r>
      <w:r w:rsidR="00C84356" w:rsidRPr="00C84356">
        <w:rPr>
          <w:rFonts w:ascii="Arial" w:hAnsi="Arial" w:cs="Arial"/>
          <w:sz w:val="20"/>
          <w:szCs w:val="20"/>
        </w:rPr>
        <w:t xml:space="preserve"> it had significant probative value when combined with 6 other pieces of circumstantial evidence:</w:t>
      </w:r>
    </w:p>
    <w:p w14:paraId="3D2326D6"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rPr>
        <w:t>A black Kia Cerato had been stolen outside a property in Reservoir on 05/11/2021.</w:t>
      </w:r>
    </w:p>
    <w:p w14:paraId="0895C247"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A black Kia Cerato was observed by witnesses to have been used, or recorded on CCTV footage, during each of the 8 burglaries.</w:t>
      </w:r>
    </w:p>
    <w:p w14:paraId="744ACBCC"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 xml:space="preserve">On 08/02/2022 a set of stolen Queensland registration plates were detected on a car travelling southbound on CityLink at Moreland Road – </w:t>
      </w:r>
      <w:r w:rsidRPr="00C84356">
        <w:rPr>
          <w:rFonts w:ascii="Arial" w:hAnsi="Arial" w:cs="Arial"/>
          <w:b/>
          <w:bCs/>
          <w:sz w:val="20"/>
          <w:szCs w:val="16"/>
        </w:rPr>
        <w:t>the EBM data</w:t>
      </w:r>
      <w:r w:rsidRPr="00C84356">
        <w:rPr>
          <w:rFonts w:ascii="Arial" w:hAnsi="Arial" w:cs="Arial"/>
          <w:sz w:val="20"/>
          <w:szCs w:val="16"/>
        </w:rPr>
        <w:t xml:space="preserve"> indicated that the applicant followed the path of the car in line with that detection.</w:t>
      </w:r>
    </w:p>
    <w:p w14:paraId="74793F2D"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On the same date, a black Kia Cerato bearing the stolen Queensland plates was used in 3 burglaries committed in Moonee Ponds, Essendon and Attwood.</w:t>
      </w:r>
    </w:p>
    <w:p w14:paraId="6A799B1B"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 xml:space="preserve">On 18/02/2022 the stolen black Kia Cerato bearing the stolen Queensland plates was found burnt out in a suspicious fire at Clarkefield – </w:t>
      </w:r>
      <w:r w:rsidRPr="00C84356">
        <w:rPr>
          <w:rFonts w:ascii="Arial" w:hAnsi="Arial" w:cs="Arial"/>
          <w:b/>
          <w:bCs/>
          <w:sz w:val="20"/>
          <w:szCs w:val="16"/>
        </w:rPr>
        <w:t>the EBM data</w:t>
      </w:r>
      <w:r w:rsidRPr="00C84356">
        <w:rPr>
          <w:rFonts w:ascii="Arial" w:hAnsi="Arial" w:cs="Arial"/>
          <w:sz w:val="20"/>
          <w:szCs w:val="16"/>
        </w:rPr>
        <w:t xml:space="preserve"> linked the applicant’s mobile phone to the location shortly before the car was destroyed.</w:t>
      </w:r>
    </w:p>
    <w:p w14:paraId="56403B17" w14:textId="77777777" w:rsidR="00C84356" w:rsidRPr="00C84356" w:rsidRDefault="00C84356">
      <w:pPr>
        <w:pStyle w:val="ListParagraph"/>
        <w:numPr>
          <w:ilvl w:val="0"/>
          <w:numId w:val="153"/>
        </w:numPr>
        <w:ind w:left="454" w:hanging="454"/>
        <w:contextualSpacing/>
        <w:jc w:val="both"/>
        <w:rPr>
          <w:rFonts w:ascii="Arial" w:hAnsi="Arial" w:cs="Arial"/>
          <w:sz w:val="20"/>
        </w:rPr>
      </w:pPr>
      <w:r w:rsidRPr="00C84356">
        <w:rPr>
          <w:rFonts w:ascii="Arial" w:hAnsi="Arial" w:cs="Arial"/>
          <w:sz w:val="20"/>
          <w:szCs w:val="16"/>
        </w:rPr>
        <w:t xml:space="preserve">On 05/03/2022 when the applicant was </w:t>
      </w:r>
      <w:proofErr w:type="gramStart"/>
      <w:r w:rsidRPr="00C84356">
        <w:rPr>
          <w:rFonts w:ascii="Arial" w:hAnsi="Arial" w:cs="Arial"/>
          <w:sz w:val="20"/>
          <w:szCs w:val="16"/>
        </w:rPr>
        <w:t>arrested</w:t>
      </w:r>
      <w:proofErr w:type="gramEnd"/>
      <w:r w:rsidRPr="00C84356">
        <w:rPr>
          <w:rFonts w:ascii="Arial" w:hAnsi="Arial" w:cs="Arial"/>
          <w:sz w:val="20"/>
          <w:szCs w:val="16"/>
        </w:rPr>
        <w:t xml:space="preserve"> he was found to be in possession of a shotgun and a Mercedes car key remote control that were stolen during the burglary committed in Essendon on 08/02/2022.</w:t>
      </w:r>
    </w:p>
    <w:p w14:paraId="069E03D0" w14:textId="77777777" w:rsidR="00C84356" w:rsidRPr="00C84356" w:rsidRDefault="00C84356" w:rsidP="00C84356">
      <w:pPr>
        <w:spacing w:before="120"/>
        <w:jc w:val="both"/>
        <w:rPr>
          <w:rFonts w:ascii="Arial" w:hAnsi="Arial" w:cs="Arial"/>
          <w:sz w:val="20"/>
          <w:szCs w:val="20"/>
        </w:rPr>
      </w:pPr>
      <w:r w:rsidRPr="00C84356">
        <w:rPr>
          <w:rFonts w:ascii="Arial" w:hAnsi="Arial" w:cs="Arial"/>
          <w:sz w:val="20"/>
          <w:szCs w:val="20"/>
        </w:rPr>
        <w:t>In his rulings Judge Georgiou:</w:t>
      </w:r>
    </w:p>
    <w:p w14:paraId="7704E45A" w14:textId="6A91C889" w:rsidR="00C84356" w:rsidRPr="003E6EC7" w:rsidRDefault="00C84356" w:rsidP="00834ED7">
      <w:pPr>
        <w:pStyle w:val="ListParagraph"/>
        <w:numPr>
          <w:ilvl w:val="0"/>
          <w:numId w:val="152"/>
        </w:numPr>
        <w:ind w:left="459" w:hanging="459"/>
        <w:contextualSpacing/>
        <w:jc w:val="both"/>
      </w:pPr>
      <w:r w:rsidRPr="00834ED7">
        <w:rPr>
          <w:rFonts w:ascii="Arial" w:hAnsi="Arial" w:cs="Arial"/>
          <w:sz w:val="20"/>
          <w:szCs w:val="16"/>
        </w:rPr>
        <w:t xml:space="preserve">held that </w:t>
      </w:r>
      <w:r w:rsidRPr="00834ED7">
        <w:rPr>
          <w:rFonts w:ascii="Arial" w:hAnsi="Arial" w:cs="Arial"/>
          <w:b/>
          <w:bCs/>
          <w:sz w:val="20"/>
          <w:szCs w:val="16"/>
        </w:rPr>
        <w:t>the EBM data</w:t>
      </w:r>
      <w:r w:rsidRPr="00834ED7">
        <w:rPr>
          <w:rFonts w:ascii="Arial" w:hAnsi="Arial" w:cs="Arial"/>
          <w:sz w:val="20"/>
          <w:szCs w:val="16"/>
        </w:rPr>
        <w:t xml:space="preserve"> met the business records exception to the hearsay rule in s.69 of the </w:t>
      </w:r>
      <w:r w:rsidRPr="00834ED7">
        <w:rPr>
          <w:rFonts w:ascii="Arial" w:hAnsi="Arial" w:cs="Arial"/>
          <w:i/>
          <w:iCs/>
          <w:sz w:val="20"/>
          <w:szCs w:val="16"/>
        </w:rPr>
        <w:t>Evidence Act 2008</w:t>
      </w:r>
      <w:r w:rsidRPr="00834ED7">
        <w:rPr>
          <w:rFonts w:ascii="Arial" w:hAnsi="Arial" w:cs="Arial"/>
          <w:sz w:val="20"/>
          <w:szCs w:val="16"/>
        </w:rPr>
        <w:t>; and</w:t>
      </w:r>
    </w:p>
    <w:p w14:paraId="11B94DD4" w14:textId="77777777" w:rsidR="00C84356" w:rsidRPr="00C84356" w:rsidRDefault="00C84356">
      <w:pPr>
        <w:pStyle w:val="ListParagraph"/>
        <w:numPr>
          <w:ilvl w:val="0"/>
          <w:numId w:val="152"/>
        </w:numPr>
        <w:ind w:left="459" w:hanging="459"/>
        <w:contextualSpacing/>
        <w:jc w:val="both"/>
        <w:rPr>
          <w:rFonts w:ascii="Arial" w:hAnsi="Arial" w:cs="Arial"/>
          <w:sz w:val="20"/>
          <w:szCs w:val="16"/>
        </w:rPr>
      </w:pPr>
      <w:r w:rsidRPr="00C84356">
        <w:rPr>
          <w:rFonts w:ascii="Arial" w:hAnsi="Arial" w:cs="Arial"/>
          <w:sz w:val="20"/>
          <w:szCs w:val="16"/>
        </w:rPr>
        <w:t xml:space="preserve">declined to exclude </w:t>
      </w:r>
      <w:r w:rsidRPr="00C84356">
        <w:rPr>
          <w:rFonts w:ascii="Arial" w:hAnsi="Arial" w:cs="Arial"/>
          <w:b/>
          <w:bCs/>
          <w:sz w:val="20"/>
          <w:szCs w:val="16"/>
        </w:rPr>
        <w:t>the base station evidence</w:t>
      </w:r>
      <w:r w:rsidRPr="00C84356">
        <w:rPr>
          <w:rFonts w:ascii="Arial" w:hAnsi="Arial" w:cs="Arial"/>
          <w:sz w:val="20"/>
          <w:szCs w:val="16"/>
        </w:rPr>
        <w:t xml:space="preserve"> or </w:t>
      </w:r>
      <w:r w:rsidRPr="00C84356">
        <w:rPr>
          <w:rFonts w:ascii="Arial" w:hAnsi="Arial" w:cs="Arial"/>
          <w:b/>
          <w:bCs/>
          <w:sz w:val="20"/>
          <w:szCs w:val="16"/>
        </w:rPr>
        <w:t>the reference table</w:t>
      </w:r>
      <w:r w:rsidRPr="00C84356">
        <w:rPr>
          <w:rFonts w:ascii="Arial" w:hAnsi="Arial" w:cs="Arial"/>
          <w:sz w:val="20"/>
          <w:szCs w:val="16"/>
        </w:rPr>
        <w:t xml:space="preserve"> under s.135 (General discretion to exclude evidence) or s.137 (Exclusion of prejudicial evidence in criminal proceedings) of the </w:t>
      </w:r>
      <w:r w:rsidRPr="00C84356">
        <w:rPr>
          <w:rFonts w:ascii="Arial" w:hAnsi="Arial" w:cs="Arial"/>
          <w:i/>
          <w:iCs/>
          <w:sz w:val="20"/>
          <w:szCs w:val="16"/>
        </w:rPr>
        <w:t>Evidence Act 2008</w:t>
      </w:r>
      <w:r w:rsidRPr="00C84356">
        <w:rPr>
          <w:rFonts w:ascii="Arial" w:hAnsi="Arial" w:cs="Arial"/>
          <w:sz w:val="20"/>
          <w:szCs w:val="16"/>
        </w:rPr>
        <w:t>.</w:t>
      </w:r>
    </w:p>
    <w:p w14:paraId="4167A9AF" w14:textId="7EBAACB4" w:rsidR="00C84356" w:rsidRPr="00C84356" w:rsidRDefault="007413D5" w:rsidP="00C84356">
      <w:pPr>
        <w:spacing w:before="120"/>
        <w:jc w:val="both"/>
        <w:rPr>
          <w:rFonts w:ascii="Arial" w:hAnsi="Arial" w:cs="Arial"/>
          <w:sz w:val="20"/>
          <w:szCs w:val="20"/>
        </w:rPr>
      </w:pPr>
      <w:r>
        <w:rPr>
          <w:rFonts w:ascii="Arial" w:hAnsi="Arial" w:cs="Arial"/>
          <w:sz w:val="20"/>
          <w:szCs w:val="20"/>
        </w:rPr>
        <w:t xml:space="preserve">In an interlocutory application under s.295(3)(a) of the </w:t>
      </w:r>
      <w:r w:rsidRPr="007413D5">
        <w:rPr>
          <w:rFonts w:ascii="Arial" w:hAnsi="Arial" w:cs="Arial"/>
          <w:i/>
          <w:iCs/>
          <w:sz w:val="20"/>
          <w:szCs w:val="20"/>
        </w:rPr>
        <w:t>Criminal Procedure Act 2009</w:t>
      </w:r>
      <w:r>
        <w:rPr>
          <w:rFonts w:ascii="Arial" w:hAnsi="Arial" w:cs="Arial"/>
          <w:sz w:val="20"/>
          <w:szCs w:val="20"/>
        </w:rPr>
        <w:t xml:space="preserve"> the applicant sought</w:t>
      </w:r>
      <w:r w:rsidR="00C84356" w:rsidRPr="00C84356">
        <w:rPr>
          <w:rFonts w:ascii="Arial" w:hAnsi="Arial" w:cs="Arial"/>
          <w:sz w:val="20"/>
          <w:szCs w:val="20"/>
        </w:rPr>
        <w:t xml:space="preserve"> leave to appeal against both rulings but in the Court of Appeal </w:t>
      </w:r>
      <w:r>
        <w:rPr>
          <w:rFonts w:ascii="Arial" w:hAnsi="Arial" w:cs="Arial"/>
          <w:sz w:val="20"/>
          <w:szCs w:val="20"/>
        </w:rPr>
        <w:t>he</w:t>
      </w:r>
      <w:r w:rsidR="00C84356" w:rsidRPr="00C84356">
        <w:rPr>
          <w:rFonts w:ascii="Arial" w:hAnsi="Arial" w:cs="Arial"/>
          <w:sz w:val="20"/>
          <w:szCs w:val="20"/>
        </w:rPr>
        <w:t xml:space="preserve"> abandoned the ‘busines</w:t>
      </w:r>
      <w:r w:rsidR="00C84356">
        <w:rPr>
          <w:rFonts w:ascii="Arial" w:hAnsi="Arial" w:cs="Arial"/>
          <w:sz w:val="20"/>
          <w:szCs w:val="20"/>
        </w:rPr>
        <w:t>s</w:t>
      </w:r>
      <w:r w:rsidR="00C84356" w:rsidRPr="00C84356">
        <w:rPr>
          <w:rFonts w:ascii="Arial" w:hAnsi="Arial" w:cs="Arial"/>
          <w:sz w:val="20"/>
          <w:szCs w:val="20"/>
        </w:rPr>
        <w:t xml:space="preserve"> records’ ground which had not been raised at first instance. The Court of Appeal said at [68] that this </w:t>
      </w:r>
      <w:r w:rsidR="00722C32">
        <w:rPr>
          <w:rFonts w:ascii="Arial" w:hAnsi="Arial" w:cs="Arial"/>
          <w:sz w:val="20"/>
          <w:szCs w:val="20"/>
        </w:rPr>
        <w:t>issue</w:t>
      </w:r>
      <w:r w:rsidR="00C84356" w:rsidRPr="00C84356">
        <w:rPr>
          <w:rFonts w:ascii="Arial" w:hAnsi="Arial" w:cs="Arial"/>
          <w:sz w:val="20"/>
          <w:szCs w:val="20"/>
        </w:rPr>
        <w:t xml:space="preserve"> will be a matter for the trial judge.</w:t>
      </w:r>
    </w:p>
    <w:p w14:paraId="3EC206C0" w14:textId="10D1C63E" w:rsidR="00C84356" w:rsidRPr="00C84356" w:rsidRDefault="00C84356" w:rsidP="00C84356">
      <w:pPr>
        <w:spacing w:before="120"/>
        <w:jc w:val="both"/>
        <w:rPr>
          <w:rFonts w:ascii="Arial" w:hAnsi="Arial" w:cs="Arial"/>
          <w:sz w:val="20"/>
          <w:szCs w:val="20"/>
        </w:rPr>
      </w:pPr>
      <w:r w:rsidRPr="00C84356">
        <w:rPr>
          <w:rFonts w:ascii="Arial" w:hAnsi="Arial" w:cs="Arial"/>
          <w:sz w:val="20"/>
          <w:szCs w:val="20"/>
        </w:rPr>
        <w:t xml:space="preserve">The Court of Appeal refused leave to appeal Judge Georgiou’s interlocutory ruling </w:t>
      </w:r>
      <w:r w:rsidR="00D97AC5">
        <w:rPr>
          <w:rFonts w:ascii="Arial" w:hAnsi="Arial" w:cs="Arial"/>
          <w:sz w:val="20"/>
          <w:szCs w:val="20"/>
        </w:rPr>
        <w:t>declining to exclude</w:t>
      </w:r>
      <w:r w:rsidRPr="00C84356">
        <w:rPr>
          <w:rFonts w:ascii="Arial" w:hAnsi="Arial" w:cs="Arial"/>
          <w:sz w:val="20"/>
          <w:szCs w:val="20"/>
        </w:rPr>
        <w:t xml:space="preserve"> </w:t>
      </w:r>
      <w:r w:rsidRPr="00C84356">
        <w:rPr>
          <w:rFonts w:ascii="Arial" w:hAnsi="Arial" w:cs="Arial"/>
          <w:b/>
          <w:bCs/>
          <w:sz w:val="20"/>
          <w:szCs w:val="20"/>
        </w:rPr>
        <w:t>the base station evidence</w:t>
      </w:r>
      <w:r w:rsidRPr="00C84356">
        <w:rPr>
          <w:rFonts w:ascii="Arial" w:hAnsi="Arial" w:cs="Arial"/>
          <w:sz w:val="20"/>
          <w:szCs w:val="20"/>
        </w:rPr>
        <w:t xml:space="preserve"> and </w:t>
      </w:r>
      <w:r w:rsidRPr="00C84356">
        <w:rPr>
          <w:rFonts w:ascii="Arial" w:hAnsi="Arial" w:cs="Arial"/>
          <w:b/>
          <w:bCs/>
          <w:sz w:val="20"/>
          <w:szCs w:val="20"/>
        </w:rPr>
        <w:t>the reference table</w:t>
      </w:r>
      <w:r w:rsidR="00D97AC5">
        <w:rPr>
          <w:rFonts w:ascii="Arial" w:hAnsi="Arial" w:cs="Arial"/>
          <w:sz w:val="20"/>
          <w:szCs w:val="20"/>
        </w:rPr>
        <w:t>, a ruling it described at [62] as “correct”.</w:t>
      </w:r>
      <w:r w:rsidRPr="00C84356">
        <w:rPr>
          <w:rFonts w:ascii="Arial" w:hAnsi="Arial" w:cs="Arial"/>
          <w:sz w:val="20"/>
          <w:szCs w:val="20"/>
        </w:rPr>
        <w:t xml:space="preserve"> At</w:t>
      </w:r>
      <w:r w:rsidR="00D97AC5">
        <w:rPr>
          <w:rFonts w:ascii="Arial" w:hAnsi="Arial" w:cs="Arial"/>
          <w:sz w:val="20"/>
          <w:szCs w:val="20"/>
        </w:rPr>
        <w:t> </w:t>
      </w:r>
      <w:r w:rsidRPr="00C84356">
        <w:rPr>
          <w:rFonts w:ascii="Arial" w:hAnsi="Arial" w:cs="Arial"/>
          <w:sz w:val="20"/>
          <w:szCs w:val="20"/>
        </w:rPr>
        <w:t>[</w:t>
      </w:r>
      <w:proofErr w:type="gramStart"/>
      <w:r w:rsidRPr="00C84356">
        <w:rPr>
          <w:rFonts w:ascii="Arial" w:hAnsi="Arial" w:cs="Arial"/>
          <w:sz w:val="20"/>
          <w:szCs w:val="20"/>
        </w:rPr>
        <w:t>63]</w:t>
      </w:r>
      <w:r w:rsidR="00D97AC5">
        <w:rPr>
          <w:rFonts w:ascii="Arial" w:hAnsi="Arial" w:cs="Arial"/>
          <w:sz w:val="20"/>
          <w:szCs w:val="20"/>
        </w:rPr>
        <w:noBreakHyphen/>
      </w:r>
      <w:proofErr w:type="gramEnd"/>
      <w:r w:rsidRPr="00C84356">
        <w:rPr>
          <w:rFonts w:ascii="Arial" w:hAnsi="Arial" w:cs="Arial"/>
          <w:sz w:val="20"/>
          <w:szCs w:val="20"/>
        </w:rPr>
        <w:t>[66] Priest, McLeish &amp; Orr JJA said [emphasis added]:</w:t>
      </w:r>
    </w:p>
    <w:p w14:paraId="3489B982" w14:textId="77777777" w:rsidR="00C84356" w:rsidRPr="00C84356" w:rsidRDefault="00C84356" w:rsidP="00440E22">
      <w:pPr>
        <w:spacing w:before="120"/>
        <w:ind w:left="454" w:right="454"/>
        <w:jc w:val="both"/>
        <w:rPr>
          <w:rFonts w:ascii="Arial" w:hAnsi="Arial" w:cs="Arial"/>
          <w:sz w:val="20"/>
          <w:szCs w:val="20"/>
        </w:rPr>
      </w:pPr>
      <w:r w:rsidRPr="00C84356">
        <w:rPr>
          <w:rFonts w:ascii="Arial" w:hAnsi="Arial" w:cs="Arial"/>
          <w:sz w:val="20"/>
          <w:szCs w:val="20"/>
        </w:rPr>
        <w:t xml:space="preserve">[63] “The </w:t>
      </w:r>
      <w:r w:rsidRPr="00C84356">
        <w:rPr>
          <w:rFonts w:ascii="Arial" w:hAnsi="Arial" w:cs="Arial"/>
          <w:b/>
          <w:bCs/>
          <w:sz w:val="20"/>
          <w:szCs w:val="20"/>
        </w:rPr>
        <w:t>base station evidence</w:t>
      </w:r>
      <w:r w:rsidRPr="00C84356">
        <w:rPr>
          <w:rFonts w:ascii="Arial" w:hAnsi="Arial" w:cs="Arial"/>
          <w:sz w:val="20"/>
          <w:szCs w:val="20"/>
        </w:rPr>
        <w:t xml:space="preserve"> is a piece of circumstantial evidence that bears on the probability that the applicant was one of the offenders who perpetrated the burglaries and the associated offences. When considered together with the other circumstantial evidence on which the prosecution relies, including </w:t>
      </w:r>
      <w:r w:rsidRPr="00C84356">
        <w:rPr>
          <w:rFonts w:ascii="Arial" w:hAnsi="Arial" w:cs="Arial"/>
          <w:b/>
          <w:bCs/>
          <w:sz w:val="20"/>
          <w:szCs w:val="20"/>
        </w:rPr>
        <w:t>the EBM data</w:t>
      </w:r>
      <w:r w:rsidRPr="00C84356">
        <w:rPr>
          <w:rFonts w:ascii="Arial" w:hAnsi="Arial" w:cs="Arial"/>
          <w:sz w:val="20"/>
          <w:szCs w:val="20"/>
        </w:rPr>
        <w:t xml:space="preserve">, the </w:t>
      </w:r>
      <w:r w:rsidRPr="00C84356">
        <w:rPr>
          <w:rFonts w:ascii="Arial" w:hAnsi="Arial" w:cs="Arial"/>
          <w:b/>
          <w:bCs/>
          <w:sz w:val="20"/>
          <w:szCs w:val="20"/>
        </w:rPr>
        <w:t>base station evidence</w:t>
      </w:r>
      <w:r w:rsidRPr="00C84356">
        <w:rPr>
          <w:rFonts w:ascii="Arial" w:hAnsi="Arial" w:cs="Arial"/>
          <w:sz w:val="20"/>
          <w:szCs w:val="20"/>
        </w:rPr>
        <w:t xml:space="preserve"> has considerable probative value. While it does not establish the precise location of the applicant’s phone at any particular point in time, when read together with </w:t>
      </w:r>
      <w:r w:rsidRPr="00C84356">
        <w:rPr>
          <w:rFonts w:ascii="Arial" w:hAnsi="Arial" w:cs="Arial"/>
          <w:b/>
          <w:bCs/>
          <w:sz w:val="20"/>
          <w:szCs w:val="20"/>
        </w:rPr>
        <w:t>the EBM data</w:t>
      </w:r>
      <w:r w:rsidRPr="00C84356">
        <w:rPr>
          <w:rFonts w:ascii="Arial" w:hAnsi="Arial" w:cs="Arial"/>
          <w:sz w:val="20"/>
          <w:szCs w:val="20"/>
        </w:rPr>
        <w:t>, it demonstrates that the applicant was located in the vicinity of particular base stations that are proximate to the sites of the burglaries and the arson at or around the times of the alleged offending.</w:t>
      </w:r>
    </w:p>
    <w:p w14:paraId="229E8E30"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[64] As the respondent accepted, both </w:t>
      </w:r>
      <w:r w:rsidRPr="00C84356">
        <w:rPr>
          <w:rFonts w:ascii="Arial" w:hAnsi="Arial" w:cs="Arial"/>
          <w:b/>
          <w:bCs/>
          <w:sz w:val="20"/>
          <w:szCs w:val="20"/>
        </w:rPr>
        <w:t>the base station evidence</w:t>
      </w:r>
      <w:r w:rsidRPr="00C84356">
        <w:rPr>
          <w:rFonts w:ascii="Arial" w:hAnsi="Arial" w:cs="Arial"/>
          <w:sz w:val="20"/>
          <w:szCs w:val="20"/>
        </w:rPr>
        <w:t xml:space="preserve"> and </w:t>
      </w:r>
      <w:r w:rsidRPr="00C84356">
        <w:rPr>
          <w:rFonts w:ascii="Arial" w:hAnsi="Arial" w:cs="Arial"/>
          <w:b/>
          <w:bCs/>
          <w:sz w:val="20"/>
          <w:szCs w:val="20"/>
        </w:rPr>
        <w:t>the reference table</w:t>
      </w:r>
      <w:r w:rsidRPr="00C84356">
        <w:rPr>
          <w:rFonts w:ascii="Arial" w:hAnsi="Arial" w:cs="Arial"/>
          <w:sz w:val="20"/>
          <w:szCs w:val="20"/>
        </w:rPr>
        <w:t xml:space="preserve"> — which brings </w:t>
      </w:r>
      <w:r w:rsidRPr="00C84356">
        <w:rPr>
          <w:rFonts w:ascii="Arial" w:hAnsi="Arial" w:cs="Arial"/>
          <w:b/>
          <w:bCs/>
          <w:sz w:val="20"/>
          <w:szCs w:val="20"/>
        </w:rPr>
        <w:t>the base station evidence</w:t>
      </w:r>
      <w:r w:rsidRPr="00C84356">
        <w:rPr>
          <w:rFonts w:ascii="Arial" w:hAnsi="Arial" w:cs="Arial"/>
          <w:sz w:val="20"/>
          <w:szCs w:val="20"/>
        </w:rPr>
        <w:t xml:space="preserve"> together with </w:t>
      </w:r>
      <w:r w:rsidRPr="00C84356">
        <w:rPr>
          <w:rFonts w:ascii="Arial" w:hAnsi="Arial" w:cs="Arial"/>
          <w:b/>
          <w:bCs/>
          <w:sz w:val="20"/>
          <w:szCs w:val="20"/>
        </w:rPr>
        <w:t>the EBM data</w:t>
      </w:r>
      <w:r w:rsidRPr="00C84356">
        <w:rPr>
          <w:rFonts w:ascii="Arial" w:hAnsi="Arial" w:cs="Arial"/>
          <w:sz w:val="20"/>
          <w:szCs w:val="20"/>
        </w:rPr>
        <w:t xml:space="preserve"> — are the result of a selective process. They are both premised on the choice the informant has made to focus on particular data points extracted from the much larger set of data points contained in </w:t>
      </w:r>
      <w:r w:rsidRPr="00C84356">
        <w:rPr>
          <w:rFonts w:ascii="Arial" w:hAnsi="Arial" w:cs="Arial"/>
          <w:b/>
          <w:bCs/>
          <w:sz w:val="20"/>
          <w:szCs w:val="20"/>
        </w:rPr>
        <w:t>the raw EBM data</w:t>
      </w:r>
      <w:r w:rsidRPr="00C84356">
        <w:rPr>
          <w:rFonts w:ascii="Arial" w:hAnsi="Arial" w:cs="Arial"/>
          <w:sz w:val="20"/>
          <w:szCs w:val="20"/>
        </w:rPr>
        <w:t xml:space="preserve">. In that sense, it is true that the reference table does not ‘tell the full story’ of all the base stations with which the applicant’s phone connected during and around the times of the burglaries and the arson and, therefore, of his likely location at these times. However, if the jury is also provided with a fair representation of </w:t>
      </w:r>
      <w:r w:rsidRPr="00C84356">
        <w:rPr>
          <w:rFonts w:ascii="Arial" w:hAnsi="Arial" w:cs="Arial"/>
          <w:b/>
          <w:bCs/>
          <w:sz w:val="20"/>
          <w:szCs w:val="20"/>
        </w:rPr>
        <w:t>the broader EBM data</w:t>
      </w:r>
      <w:r w:rsidRPr="00C84356">
        <w:rPr>
          <w:rFonts w:ascii="Arial" w:hAnsi="Arial" w:cs="Arial"/>
          <w:sz w:val="20"/>
          <w:szCs w:val="20"/>
        </w:rPr>
        <w:t xml:space="preserve"> during those periods, as the respondent indicates will occur, this will ameliorate any risk that the jury will be confused or misled into thinking that the reference table constitutes a comprehensive depiction of the base stations with which the applicant’s phone connected at the relevant times.</w:t>
      </w:r>
    </w:p>
    <w:p w14:paraId="37C198BC"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[65] Further, we are satisfied that the limitations of </w:t>
      </w:r>
      <w:r w:rsidRPr="00C84356">
        <w:rPr>
          <w:rFonts w:ascii="Arial" w:hAnsi="Arial" w:cs="Arial"/>
          <w:b/>
          <w:bCs/>
          <w:sz w:val="20"/>
          <w:szCs w:val="20"/>
        </w:rPr>
        <w:t>the reference table</w:t>
      </w:r>
      <w:r w:rsidRPr="00C84356">
        <w:rPr>
          <w:rFonts w:ascii="Arial" w:hAnsi="Arial" w:cs="Arial"/>
          <w:sz w:val="20"/>
          <w:szCs w:val="20"/>
        </w:rPr>
        <w:t xml:space="preserve"> and </w:t>
      </w:r>
      <w:r w:rsidRPr="00C84356">
        <w:rPr>
          <w:rFonts w:ascii="Arial" w:hAnsi="Arial" w:cs="Arial"/>
          <w:b/>
          <w:bCs/>
          <w:sz w:val="20"/>
          <w:szCs w:val="20"/>
        </w:rPr>
        <w:t>the base station evidence</w:t>
      </w:r>
      <w:r w:rsidRPr="00C84356">
        <w:rPr>
          <w:rFonts w:ascii="Arial" w:hAnsi="Arial" w:cs="Arial"/>
          <w:sz w:val="20"/>
          <w:szCs w:val="20"/>
        </w:rPr>
        <w:t xml:space="preserve"> are capable of being exposed in cross-examination, just as they were at the pre-</w:t>
      </w:r>
      <w:r w:rsidRPr="00C84356">
        <w:rPr>
          <w:rFonts w:ascii="Arial" w:hAnsi="Arial" w:cs="Arial"/>
          <w:sz w:val="20"/>
          <w:szCs w:val="20"/>
        </w:rPr>
        <w:lastRenderedPageBreak/>
        <w:t xml:space="preserve">trial hearing. The soundness of the informant’s decision to request analysis of only one base station for the majority of the burglaries (and two base stations for one of the burglaries) can be interrogated, as can the soundness of the process by which he selected each of those base stations. Equipped with </w:t>
      </w:r>
      <w:r w:rsidRPr="00C84356">
        <w:rPr>
          <w:rFonts w:ascii="Arial" w:hAnsi="Arial" w:cs="Arial"/>
          <w:b/>
          <w:bCs/>
          <w:sz w:val="20"/>
          <w:szCs w:val="20"/>
        </w:rPr>
        <w:t>the EBM data</w:t>
      </w:r>
      <w:r w:rsidRPr="00C84356">
        <w:rPr>
          <w:rFonts w:ascii="Arial" w:hAnsi="Arial" w:cs="Arial"/>
          <w:sz w:val="20"/>
          <w:szCs w:val="20"/>
        </w:rPr>
        <w:t>, the applicant’s counsel can draw attention to any of the base stations with which the applicant’s phone connected that are further removed from the locations of the burglaries. Counsel can also draw attention to any connections that otherwise appear anomalous, such as the connection with the Brighton Central base station around the time of the burglary in Point Cook. We are not persuaded that the applicant’s inability to produce ‘competing’ maps that depict arrows potentially pointing in different directions will occasion any material prejudice. As the judge explained, this evidence is not complex, and a jury will be well able to understand the limitations that flow from the informant’s selection of only certain data points for base station analysis.</w:t>
      </w:r>
    </w:p>
    <w:p w14:paraId="190D4136"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[66] As this Court said in </w:t>
      </w:r>
      <w:r w:rsidRPr="00C84356">
        <w:rPr>
          <w:rFonts w:ascii="Arial" w:hAnsi="Arial" w:cs="Arial"/>
          <w:i/>
          <w:iCs/>
          <w:sz w:val="20"/>
          <w:szCs w:val="20"/>
        </w:rPr>
        <w:t>Moreno (a pseudonym) v The King</w:t>
      </w:r>
      <w:r w:rsidRPr="00C84356">
        <w:rPr>
          <w:rFonts w:ascii="Arial" w:hAnsi="Arial" w:cs="Arial"/>
          <w:sz w:val="20"/>
          <w:szCs w:val="20"/>
        </w:rPr>
        <w:t xml:space="preserve"> [2023] VSCA 98 at [96]:</w:t>
      </w:r>
    </w:p>
    <w:p w14:paraId="2C8B7116" w14:textId="77777777" w:rsidR="00C84356" w:rsidRPr="00C84356" w:rsidRDefault="00C84356" w:rsidP="00C84356">
      <w:pPr>
        <w:spacing w:before="120"/>
        <w:ind w:left="907" w:right="907"/>
        <w:jc w:val="both"/>
        <w:rPr>
          <w:rFonts w:ascii="Arial" w:hAnsi="Arial" w:cs="Arial"/>
          <w:sz w:val="18"/>
          <w:szCs w:val="18"/>
        </w:rPr>
      </w:pPr>
      <w:r w:rsidRPr="00C84356">
        <w:rPr>
          <w:rFonts w:ascii="Arial" w:hAnsi="Arial" w:cs="Arial"/>
          <w:sz w:val="18"/>
          <w:szCs w:val="18"/>
        </w:rPr>
        <w:t>‘Where the flaws in the evidence will be obvious to the jury or can clearly be identified by the judge then they are unlikely to give rise to any significant prejudice and such prejudice as may exist will be capable of being addressed by direction.’”</w:t>
      </w:r>
    </w:p>
    <w:p w14:paraId="710AEDD3" w14:textId="77777777" w:rsidR="00C84356" w:rsidRDefault="00C84356" w:rsidP="00C84356">
      <w:pPr>
        <w:jc w:val="both"/>
        <w:rPr>
          <w:rFonts w:ascii="Arial" w:hAnsi="Arial" w:cs="Arial"/>
          <w:color w:val="000000"/>
          <w:sz w:val="20"/>
        </w:rPr>
      </w:pPr>
    </w:p>
    <w:p w14:paraId="7FC2C22C" w14:textId="39CEC4BE" w:rsidR="0026091F" w:rsidRDefault="003E6EC7" w:rsidP="00C84356">
      <w:pPr>
        <w:jc w:val="both"/>
        <w:rPr>
          <w:rFonts w:ascii="Arial" w:hAnsi="Arial" w:cs="Arial"/>
          <w:color w:val="000000"/>
          <w:sz w:val="20"/>
        </w:rPr>
      </w:pPr>
      <w:r>
        <w:rPr>
          <w:rFonts w:ascii="Arial" w:hAnsi="Arial" w:cs="Arial"/>
          <w:color w:val="000000"/>
          <w:sz w:val="20"/>
        </w:rPr>
        <w:t>In</w:t>
      </w:r>
      <w:r w:rsidR="0026091F">
        <w:rPr>
          <w:rFonts w:ascii="Arial" w:hAnsi="Arial" w:cs="Arial"/>
          <w:color w:val="000000"/>
          <w:sz w:val="20"/>
        </w:rPr>
        <w:t xml:space="preserve"> </w:t>
      </w:r>
      <w:r w:rsidR="0026091F" w:rsidRPr="0026091F">
        <w:rPr>
          <w:rFonts w:ascii="Arial" w:hAnsi="Arial" w:cs="Arial"/>
          <w:i/>
          <w:iCs/>
          <w:color w:val="000000"/>
          <w:sz w:val="20"/>
        </w:rPr>
        <w:t>Moorhouse (a pseudonym) v The King</w:t>
      </w:r>
      <w:r w:rsidR="0026091F">
        <w:rPr>
          <w:rFonts w:ascii="Arial" w:hAnsi="Arial" w:cs="Arial"/>
          <w:color w:val="000000"/>
          <w:sz w:val="20"/>
        </w:rPr>
        <w:t xml:space="preserve"> [2025] VSCA 325 the Court of Appeal </w:t>
      </w:r>
      <w:r>
        <w:rPr>
          <w:rFonts w:ascii="Arial" w:hAnsi="Arial" w:cs="Arial"/>
          <w:color w:val="000000"/>
          <w:sz w:val="20"/>
        </w:rPr>
        <w:t>– i</w:t>
      </w:r>
      <w:r w:rsidR="0026091F">
        <w:rPr>
          <w:rFonts w:ascii="Arial" w:hAnsi="Arial" w:cs="Arial"/>
          <w:color w:val="000000"/>
          <w:sz w:val="20"/>
        </w:rPr>
        <w:t>n a</w:t>
      </w:r>
      <w:r>
        <w:rPr>
          <w:rFonts w:ascii="Arial" w:hAnsi="Arial" w:cs="Arial"/>
          <w:color w:val="000000"/>
          <w:sz w:val="20"/>
        </w:rPr>
        <w:t>n appeal against a</w:t>
      </w:r>
      <w:r w:rsidR="0026091F">
        <w:rPr>
          <w:rFonts w:ascii="Arial" w:hAnsi="Arial" w:cs="Arial"/>
          <w:color w:val="000000"/>
          <w:sz w:val="20"/>
        </w:rPr>
        <w:t xml:space="preserve"> pre-trial </w:t>
      </w:r>
      <w:r>
        <w:rPr>
          <w:rFonts w:ascii="Arial" w:hAnsi="Arial" w:cs="Arial"/>
          <w:color w:val="000000"/>
          <w:sz w:val="20"/>
        </w:rPr>
        <w:t xml:space="preserve">ruling </w:t>
      </w:r>
      <w:r w:rsidR="0026091F">
        <w:rPr>
          <w:rFonts w:ascii="Arial" w:hAnsi="Arial" w:cs="Arial"/>
          <w:color w:val="000000"/>
          <w:sz w:val="20"/>
        </w:rPr>
        <w:t>in</w:t>
      </w:r>
      <w:r>
        <w:rPr>
          <w:rFonts w:ascii="Arial" w:hAnsi="Arial" w:cs="Arial"/>
          <w:color w:val="000000"/>
          <w:sz w:val="20"/>
        </w:rPr>
        <w:t xml:space="preserve"> </w:t>
      </w:r>
      <w:r w:rsidR="0026091F">
        <w:rPr>
          <w:rFonts w:ascii="Arial" w:hAnsi="Arial" w:cs="Arial"/>
          <w:color w:val="000000"/>
          <w:sz w:val="20"/>
        </w:rPr>
        <w:t xml:space="preserve">relation to </w:t>
      </w:r>
      <w:r>
        <w:rPr>
          <w:rFonts w:ascii="Arial" w:hAnsi="Arial" w:cs="Arial"/>
          <w:color w:val="000000"/>
          <w:sz w:val="20"/>
        </w:rPr>
        <w:t>proposed evidentiary material – held:</w:t>
      </w:r>
    </w:p>
    <w:p w14:paraId="3169219E" w14:textId="19B8B17D" w:rsidR="003E6EC7" w:rsidRDefault="007B6025" w:rsidP="001A754B">
      <w:pPr>
        <w:pStyle w:val="ListParagraph"/>
        <w:numPr>
          <w:ilvl w:val="0"/>
          <w:numId w:val="168"/>
        </w:numPr>
        <w:ind w:left="454" w:hanging="454"/>
        <w:contextualSpacing/>
        <w:jc w:val="both"/>
        <w:rPr>
          <w:rFonts w:ascii="Arial" w:hAnsi="Arial" w:cs="Arial"/>
          <w:sz w:val="20"/>
          <w:szCs w:val="16"/>
        </w:rPr>
      </w:pPr>
      <w:r>
        <w:rPr>
          <w:rFonts w:ascii="Arial" w:hAnsi="Arial" w:cs="Arial"/>
          <w:sz w:val="20"/>
          <w:szCs w:val="16"/>
        </w:rPr>
        <w:t>The mobile phone data depicted in Microsoft Excel spreadsheets and the mobile call charge records contained in the depositions were admissible as they were not misleading and were of high probative value not outweighed by the danger of unfair prejudice.</w:t>
      </w:r>
    </w:p>
    <w:p w14:paraId="2FF76A45" w14:textId="77777777" w:rsidR="007B6025" w:rsidRDefault="007B6025" w:rsidP="001A754B">
      <w:pPr>
        <w:pStyle w:val="ListParagraph"/>
        <w:numPr>
          <w:ilvl w:val="0"/>
          <w:numId w:val="168"/>
        </w:numPr>
        <w:ind w:left="454" w:hanging="454"/>
        <w:contextualSpacing/>
        <w:jc w:val="both"/>
        <w:rPr>
          <w:rFonts w:ascii="Arial" w:hAnsi="Arial" w:cs="Arial"/>
          <w:sz w:val="20"/>
          <w:szCs w:val="16"/>
        </w:rPr>
      </w:pPr>
      <w:r>
        <w:rPr>
          <w:rFonts w:ascii="Arial" w:hAnsi="Arial" w:cs="Arial"/>
          <w:sz w:val="20"/>
          <w:szCs w:val="16"/>
        </w:rPr>
        <w:t>The vehicle GPS data report and the evidence of the provider of the GPS data were relevant and of high probative value not outweighed by the danger of unfair prejudice.</w:t>
      </w:r>
    </w:p>
    <w:p w14:paraId="3D21D3AE" w14:textId="6E905622" w:rsidR="007B6025" w:rsidRPr="007B6025" w:rsidRDefault="007B6025" w:rsidP="001A754B">
      <w:pPr>
        <w:pStyle w:val="ListParagraph"/>
        <w:numPr>
          <w:ilvl w:val="0"/>
          <w:numId w:val="168"/>
        </w:numPr>
        <w:ind w:left="454" w:hanging="454"/>
        <w:contextualSpacing/>
        <w:jc w:val="both"/>
        <w:rPr>
          <w:rFonts w:ascii="Arial" w:hAnsi="Arial" w:cs="Arial"/>
          <w:sz w:val="20"/>
          <w:szCs w:val="16"/>
        </w:rPr>
      </w:pPr>
      <w:r>
        <w:rPr>
          <w:rFonts w:ascii="Arial" w:hAnsi="Arial" w:cs="Arial"/>
          <w:sz w:val="20"/>
          <w:szCs w:val="16"/>
        </w:rPr>
        <w:t>The evidence of Sgt Duncan Brown, including the animated mapping of the call charge records that he produces, was not admissible in its current form, being misleading in part and giving r</w:t>
      </w:r>
      <w:r w:rsidR="007E01BF">
        <w:rPr>
          <w:rFonts w:ascii="Arial" w:hAnsi="Arial" w:cs="Arial"/>
          <w:sz w:val="20"/>
          <w:szCs w:val="16"/>
        </w:rPr>
        <w:t>i</w:t>
      </w:r>
      <w:r>
        <w:rPr>
          <w:rFonts w:ascii="Arial" w:hAnsi="Arial" w:cs="Arial"/>
          <w:sz w:val="20"/>
          <w:szCs w:val="16"/>
        </w:rPr>
        <w:t>se</w:t>
      </w:r>
      <w:r w:rsidR="007E01BF">
        <w:rPr>
          <w:rFonts w:ascii="Arial" w:hAnsi="Arial" w:cs="Arial"/>
          <w:sz w:val="20"/>
          <w:szCs w:val="16"/>
        </w:rPr>
        <w:t xml:space="preserve"> to a danger of unfair prejudice.</w:t>
      </w:r>
    </w:p>
    <w:p w14:paraId="75DE9F80" w14:textId="77777777" w:rsidR="0026091F" w:rsidRDefault="0026091F" w:rsidP="00C84356">
      <w:pPr>
        <w:jc w:val="both"/>
        <w:rPr>
          <w:rFonts w:ascii="Arial" w:hAnsi="Arial" w:cs="Arial"/>
          <w:color w:val="000000"/>
          <w:sz w:val="20"/>
        </w:rPr>
      </w:pPr>
    </w:p>
    <w:p w14:paraId="3357260E" w14:textId="688DFC2F" w:rsidR="0099378C" w:rsidRDefault="0099378C" w:rsidP="00C84356">
      <w:pPr>
        <w:jc w:val="both"/>
        <w:rPr>
          <w:rFonts w:ascii="Arial" w:hAnsi="Arial" w:cs="Arial"/>
          <w:color w:val="000000"/>
          <w:sz w:val="20"/>
        </w:rPr>
      </w:pPr>
      <w:r w:rsidRPr="0099378C">
        <w:rPr>
          <w:rFonts w:ascii="Arial" w:hAnsi="Arial" w:cs="Arial"/>
          <w:sz w:val="20"/>
        </w:rPr>
        <w:t xml:space="preserve">In </w:t>
      </w:r>
      <w:r w:rsidRPr="00B853D7">
        <w:rPr>
          <w:rFonts w:ascii="Arial" w:hAnsi="Arial" w:cs="Arial"/>
          <w:i/>
          <w:iCs/>
          <w:sz w:val="20"/>
        </w:rPr>
        <w:t xml:space="preserve">R v Patterson (Ruling </w:t>
      </w:r>
      <w:r>
        <w:rPr>
          <w:rFonts w:ascii="Arial" w:hAnsi="Arial" w:cs="Arial"/>
          <w:i/>
          <w:iCs/>
          <w:sz w:val="20"/>
        </w:rPr>
        <w:t>2</w:t>
      </w:r>
      <w:r w:rsidRPr="00B853D7">
        <w:rPr>
          <w:rFonts w:ascii="Arial" w:hAnsi="Arial" w:cs="Arial"/>
          <w:i/>
          <w:iCs/>
          <w:sz w:val="20"/>
        </w:rPr>
        <w:t>)</w:t>
      </w:r>
      <w:r>
        <w:rPr>
          <w:rFonts w:ascii="Arial" w:hAnsi="Arial" w:cs="Arial"/>
          <w:sz w:val="20"/>
        </w:rPr>
        <w:t xml:space="preserve"> [2025] VSC 103 the accused had submitted that cell tower evidence intended to be led from Dr Sorrell by the prosecution </w:t>
      </w:r>
      <w:r w:rsidRPr="0099378C">
        <w:rPr>
          <w:rFonts w:ascii="Arial" w:hAnsi="Arial" w:cs="Arial"/>
          <w:sz w:val="20"/>
        </w:rPr>
        <w:t>was irrelevant (s 55, 56)</w:t>
      </w:r>
      <w:r>
        <w:rPr>
          <w:rFonts w:ascii="Arial" w:hAnsi="Arial" w:cs="Arial"/>
          <w:sz w:val="20"/>
        </w:rPr>
        <w:t xml:space="preserve">, alternatively </w:t>
      </w:r>
      <w:r w:rsidRPr="0099378C">
        <w:rPr>
          <w:rFonts w:ascii="Arial" w:hAnsi="Arial" w:cs="Arial"/>
          <w:sz w:val="20"/>
        </w:rPr>
        <w:t>that the probative value of the evidence was outweighed by the danger of unfair prejudice (s 137).</w:t>
      </w:r>
      <w:r>
        <w:rPr>
          <w:rFonts w:ascii="Arial" w:hAnsi="Arial" w:cs="Arial"/>
          <w:sz w:val="20"/>
        </w:rPr>
        <w:t xml:space="preserve"> In ruling that the evidence was admissible, Beale J said at [19]:</w:t>
      </w:r>
    </w:p>
    <w:p w14:paraId="285ABB19" w14:textId="2B0A65A5" w:rsidR="0099378C" w:rsidRPr="00C84356" w:rsidRDefault="0099378C" w:rsidP="0099378C">
      <w:pPr>
        <w:spacing w:before="60"/>
        <w:ind w:left="454" w:right="454"/>
        <w:jc w:val="both"/>
        <w:rPr>
          <w:rFonts w:ascii="Arial" w:hAnsi="Arial" w:cs="Arial"/>
          <w:sz w:val="20"/>
          <w:szCs w:val="20"/>
        </w:rPr>
      </w:pPr>
      <w:r>
        <w:rPr>
          <w:rFonts w:ascii="Arial" w:hAnsi="Arial" w:cs="Arial"/>
          <w:sz w:val="20"/>
          <w:szCs w:val="20"/>
        </w:rPr>
        <w:t>“</w:t>
      </w:r>
      <w:r w:rsidRPr="0099378C">
        <w:rPr>
          <w:rFonts w:ascii="Arial" w:hAnsi="Arial" w:cs="Arial"/>
          <w:color w:val="000000"/>
          <w:sz w:val="20"/>
        </w:rPr>
        <w:t>The impugned evidence does not prove that the accused visited Loch and Outtrim on the dates alleged: it rises no higher than the accused possibly visited those towns on those dates. But it is evidence of opportunity for the accused to have deliberately sourced death cap mushrooms for the fatal lunch at a time proximate to the lunch. As such it increases the probabilities of the accused having deliberately poisoned her lunch guests. A jury could reasonably reject the accused’s claim that she unwittingly sourced death cap mushrooms from an Asian grocery, given the extensive investigations by the Health Department and the non-reporting of other death cap mushrooms deaths or illnesses at the relevant time. The limitations of Dr Sorrell’s evidence are clearly articulated and easily understood. As such, it is unlikely that the jury will overvalue the evidence. Whilst the evidence is of modest probative value, I am not persuaded that its probative value is outweighed by the danger of unfair prejudice to the accused.</w:t>
      </w:r>
      <w:r>
        <w:rPr>
          <w:rFonts w:ascii="Arial" w:hAnsi="Arial" w:cs="Arial"/>
          <w:color w:val="000000"/>
          <w:sz w:val="20"/>
        </w:rPr>
        <w:t>”</w:t>
      </w:r>
    </w:p>
    <w:p w14:paraId="244AC0B5" w14:textId="77777777" w:rsidR="0099378C" w:rsidRDefault="0099378C" w:rsidP="00C84356">
      <w:pPr>
        <w:jc w:val="both"/>
        <w:rPr>
          <w:rFonts w:ascii="Arial" w:hAnsi="Arial" w:cs="Arial"/>
          <w:color w:val="000000"/>
          <w:sz w:val="20"/>
        </w:rPr>
      </w:pPr>
    </w:p>
    <w:p w14:paraId="00E72751" w14:textId="5C3F9A6E" w:rsidR="00D7021B" w:rsidRDefault="0054755A" w:rsidP="007E01BF">
      <w:pPr>
        <w:jc w:val="both"/>
        <w:rPr>
          <w:rFonts w:ascii="Arial" w:hAnsi="Arial" w:cs="Arial"/>
          <w:color w:val="000000"/>
          <w:sz w:val="20"/>
        </w:rPr>
      </w:pPr>
      <w:r>
        <w:rPr>
          <w:rFonts w:ascii="Arial" w:hAnsi="Arial" w:cs="Arial"/>
          <w:color w:val="000000"/>
          <w:sz w:val="20"/>
        </w:rPr>
        <w:t xml:space="preserve">In </w:t>
      </w:r>
      <w:r w:rsidRPr="0054755A">
        <w:rPr>
          <w:rFonts w:ascii="Arial" w:hAnsi="Arial" w:cs="Arial"/>
          <w:i/>
          <w:iCs/>
          <w:color w:val="000000"/>
          <w:sz w:val="20"/>
        </w:rPr>
        <w:t>R v Stott &amp; Ors (Rulings 1-6)</w:t>
      </w:r>
      <w:r>
        <w:rPr>
          <w:rFonts w:ascii="Arial" w:hAnsi="Arial" w:cs="Arial"/>
          <w:color w:val="000000"/>
          <w:sz w:val="20"/>
        </w:rPr>
        <w:t xml:space="preserve"> [2025] VSC </w:t>
      </w:r>
      <w:r w:rsidR="00D7021B">
        <w:rPr>
          <w:rFonts w:ascii="Arial" w:hAnsi="Arial" w:cs="Arial"/>
          <w:color w:val="000000"/>
          <w:sz w:val="20"/>
        </w:rPr>
        <w:t>286</w:t>
      </w:r>
      <w:r>
        <w:rPr>
          <w:rFonts w:ascii="Arial" w:hAnsi="Arial" w:cs="Arial"/>
          <w:color w:val="000000"/>
          <w:sz w:val="20"/>
        </w:rPr>
        <w:t xml:space="preserve"> </w:t>
      </w:r>
      <w:r w:rsidR="00D7021B">
        <w:rPr>
          <w:rFonts w:ascii="Arial" w:hAnsi="Arial" w:cs="Arial"/>
          <w:color w:val="000000"/>
          <w:sz w:val="20"/>
        </w:rPr>
        <w:t xml:space="preserve">the Crown alleged that the accused Mr D’Elio, Ms Stott &amp; Mr Clarke – motivated by a belief </w:t>
      </w:r>
      <w:r w:rsidR="00645C80">
        <w:rPr>
          <w:rFonts w:ascii="Arial" w:hAnsi="Arial" w:cs="Arial"/>
          <w:color w:val="000000"/>
          <w:sz w:val="20"/>
        </w:rPr>
        <w:t>that CG</w:t>
      </w:r>
      <w:r w:rsidR="00D7021B">
        <w:rPr>
          <w:rFonts w:ascii="Arial" w:hAnsi="Arial" w:cs="Arial"/>
          <w:color w:val="000000"/>
          <w:sz w:val="20"/>
        </w:rPr>
        <w:t xml:space="preserve"> had implicated another person to police – kidnapped </w:t>
      </w:r>
      <w:r w:rsidR="00645C80">
        <w:rPr>
          <w:rFonts w:ascii="Arial" w:hAnsi="Arial" w:cs="Arial"/>
          <w:color w:val="000000"/>
          <w:sz w:val="20"/>
        </w:rPr>
        <w:t>him</w:t>
      </w:r>
      <w:r w:rsidR="00D7021B">
        <w:rPr>
          <w:rFonts w:ascii="Arial" w:hAnsi="Arial" w:cs="Arial"/>
          <w:color w:val="000000"/>
          <w:sz w:val="20"/>
        </w:rPr>
        <w:t>, murdered him by unknown means and then burned the vehicle CG had been driving with his body inside it. The C</w:t>
      </w:r>
      <w:r w:rsidR="00D7021B" w:rsidRPr="00D7021B">
        <w:rPr>
          <w:rFonts w:ascii="Arial" w:hAnsi="Arial" w:cs="Arial"/>
          <w:color w:val="000000"/>
          <w:sz w:val="20"/>
        </w:rPr>
        <w:t xml:space="preserve">rown case on each charge against each accused </w:t>
      </w:r>
      <w:r w:rsidR="00D7021B">
        <w:rPr>
          <w:rFonts w:ascii="Arial" w:hAnsi="Arial" w:cs="Arial"/>
          <w:color w:val="000000"/>
          <w:sz w:val="20"/>
        </w:rPr>
        <w:t xml:space="preserve">was </w:t>
      </w:r>
      <w:r w:rsidR="00D7021B" w:rsidRPr="00D7021B">
        <w:rPr>
          <w:rFonts w:ascii="Arial" w:hAnsi="Arial" w:cs="Arial"/>
          <w:color w:val="000000"/>
          <w:sz w:val="20"/>
        </w:rPr>
        <w:t xml:space="preserve">put on basis of involvement in </w:t>
      </w:r>
      <w:r w:rsidR="00D7021B">
        <w:rPr>
          <w:rFonts w:ascii="Arial" w:hAnsi="Arial" w:cs="Arial"/>
          <w:color w:val="000000"/>
          <w:sz w:val="20"/>
        </w:rPr>
        <w:t xml:space="preserve">the </w:t>
      </w:r>
      <w:r w:rsidR="00D7021B" w:rsidRPr="00D7021B">
        <w:rPr>
          <w:rFonts w:ascii="Arial" w:hAnsi="Arial" w:cs="Arial"/>
          <w:color w:val="000000"/>
          <w:sz w:val="20"/>
        </w:rPr>
        <w:t xml:space="preserve">offence by way of agreement to commit </w:t>
      </w:r>
      <w:r w:rsidR="00D7021B">
        <w:rPr>
          <w:rFonts w:ascii="Arial" w:hAnsi="Arial" w:cs="Arial"/>
          <w:color w:val="000000"/>
          <w:sz w:val="20"/>
        </w:rPr>
        <w:t xml:space="preserve">the </w:t>
      </w:r>
      <w:r w:rsidR="00D7021B" w:rsidRPr="00D7021B">
        <w:rPr>
          <w:rFonts w:ascii="Arial" w:hAnsi="Arial" w:cs="Arial"/>
          <w:color w:val="000000"/>
          <w:sz w:val="20"/>
        </w:rPr>
        <w:t xml:space="preserve">offence or, alternatively, on direct basis of perpetration of </w:t>
      </w:r>
      <w:r w:rsidR="00D7021B">
        <w:rPr>
          <w:rFonts w:ascii="Arial" w:hAnsi="Arial" w:cs="Arial"/>
          <w:color w:val="000000"/>
          <w:sz w:val="20"/>
        </w:rPr>
        <w:t xml:space="preserve">the </w:t>
      </w:r>
      <w:r w:rsidR="00D7021B" w:rsidRPr="00D7021B">
        <w:rPr>
          <w:rFonts w:ascii="Arial" w:hAnsi="Arial" w:cs="Arial"/>
          <w:color w:val="000000"/>
          <w:sz w:val="20"/>
        </w:rPr>
        <w:t>offence</w:t>
      </w:r>
      <w:r w:rsidR="00D7021B">
        <w:rPr>
          <w:rFonts w:ascii="Arial" w:hAnsi="Arial" w:cs="Arial"/>
          <w:color w:val="000000"/>
          <w:sz w:val="20"/>
        </w:rPr>
        <w:t xml:space="preserve">. This judgment of Croucher J contains </w:t>
      </w:r>
      <w:r w:rsidR="00D318E4">
        <w:rPr>
          <w:rFonts w:ascii="Arial" w:hAnsi="Arial" w:cs="Arial"/>
          <w:color w:val="000000"/>
          <w:sz w:val="20"/>
        </w:rPr>
        <w:t>s</w:t>
      </w:r>
      <w:r w:rsidR="00D7021B" w:rsidRPr="00D7021B">
        <w:rPr>
          <w:rFonts w:ascii="Arial" w:hAnsi="Arial" w:cs="Arial"/>
          <w:color w:val="000000"/>
          <w:sz w:val="20"/>
        </w:rPr>
        <w:t xml:space="preserve">ix pre-trial rulings (and numerous sub-rulings) on </w:t>
      </w:r>
      <w:r w:rsidR="00D7021B">
        <w:rPr>
          <w:rFonts w:ascii="Arial" w:hAnsi="Arial" w:cs="Arial"/>
          <w:color w:val="000000"/>
          <w:sz w:val="20"/>
        </w:rPr>
        <w:t xml:space="preserve">the </w:t>
      </w:r>
      <w:r w:rsidR="00D7021B" w:rsidRPr="00D7021B">
        <w:rPr>
          <w:rFonts w:ascii="Arial" w:hAnsi="Arial" w:cs="Arial"/>
          <w:color w:val="000000"/>
          <w:sz w:val="20"/>
        </w:rPr>
        <w:t xml:space="preserve">admissibility or permitted use of evidence </w:t>
      </w:r>
      <w:r w:rsidR="00D7021B">
        <w:rPr>
          <w:rFonts w:ascii="Arial" w:hAnsi="Arial" w:cs="Arial"/>
          <w:color w:val="000000"/>
          <w:sz w:val="20"/>
        </w:rPr>
        <w:t xml:space="preserve">that the </w:t>
      </w:r>
      <w:r w:rsidR="00D7021B" w:rsidRPr="00D7021B">
        <w:rPr>
          <w:rFonts w:ascii="Arial" w:hAnsi="Arial" w:cs="Arial"/>
          <w:color w:val="000000"/>
          <w:sz w:val="20"/>
        </w:rPr>
        <w:t>Crown propose</w:t>
      </w:r>
      <w:r w:rsidR="00D7021B">
        <w:rPr>
          <w:rFonts w:ascii="Arial" w:hAnsi="Arial" w:cs="Arial"/>
          <w:color w:val="000000"/>
          <w:sz w:val="20"/>
        </w:rPr>
        <w:t>d</w:t>
      </w:r>
      <w:r w:rsidR="00D7021B" w:rsidRPr="00D7021B">
        <w:rPr>
          <w:rFonts w:ascii="Arial" w:hAnsi="Arial" w:cs="Arial"/>
          <w:color w:val="000000"/>
          <w:sz w:val="20"/>
        </w:rPr>
        <w:t xml:space="preserve"> to lead at </w:t>
      </w:r>
      <w:r w:rsidR="00D7021B">
        <w:rPr>
          <w:rFonts w:ascii="Arial" w:hAnsi="Arial" w:cs="Arial"/>
          <w:color w:val="000000"/>
          <w:sz w:val="20"/>
        </w:rPr>
        <w:t xml:space="preserve">a </w:t>
      </w:r>
      <w:r w:rsidR="00D7021B" w:rsidRPr="00D7021B">
        <w:rPr>
          <w:rFonts w:ascii="Arial" w:hAnsi="Arial" w:cs="Arial"/>
          <w:color w:val="000000"/>
          <w:sz w:val="20"/>
        </w:rPr>
        <w:t>joint trial</w:t>
      </w:r>
      <w:r w:rsidR="00D7021B">
        <w:rPr>
          <w:rFonts w:ascii="Arial" w:hAnsi="Arial" w:cs="Arial"/>
          <w:color w:val="000000"/>
          <w:sz w:val="20"/>
        </w:rPr>
        <w:t xml:space="preserve"> under the following headings:</w:t>
      </w:r>
    </w:p>
    <w:p w14:paraId="18CBF1E5" w14:textId="4A066F51" w:rsidR="00D7021B" w:rsidRPr="00434405" w:rsidRDefault="00D7021B" w:rsidP="00D318E4">
      <w:pPr>
        <w:jc w:val="both"/>
        <w:rPr>
          <w:rFonts w:ascii="Arial" w:hAnsi="Arial" w:cs="Arial"/>
          <w:color w:val="000000"/>
          <w:sz w:val="20"/>
        </w:rPr>
      </w:pPr>
      <w:r w:rsidRPr="00434405">
        <w:rPr>
          <w:rFonts w:ascii="Arial" w:hAnsi="Arial" w:cs="Arial"/>
          <w:color w:val="000000"/>
          <w:sz w:val="20"/>
        </w:rPr>
        <w:t>Ruling 1: Ms Stott’s police interview</w:t>
      </w:r>
      <w:r w:rsidR="00434405" w:rsidRPr="00434405">
        <w:rPr>
          <w:rFonts w:ascii="Arial" w:hAnsi="Arial" w:cs="Arial"/>
          <w:color w:val="000000"/>
          <w:sz w:val="20"/>
        </w:rPr>
        <w:t xml:space="preserve"> [s.90 </w:t>
      </w:r>
      <w:r w:rsidR="00434405" w:rsidRPr="00434405">
        <w:rPr>
          <w:rFonts w:ascii="Arial" w:hAnsi="Arial" w:cs="Arial"/>
          <w:i/>
          <w:iCs/>
          <w:color w:val="000000"/>
          <w:sz w:val="20"/>
        </w:rPr>
        <w:t>Evidence Act 2008</w:t>
      </w:r>
      <w:r w:rsidR="00434405" w:rsidRPr="00434405">
        <w:rPr>
          <w:rFonts w:ascii="Arial" w:hAnsi="Arial" w:cs="Arial"/>
          <w:color w:val="000000"/>
          <w:sz w:val="20"/>
        </w:rPr>
        <w:t xml:space="preserve"> [EA]]</w:t>
      </w:r>
    </w:p>
    <w:p w14:paraId="51D9B103" w14:textId="7A8B9400" w:rsidR="00D7021B" w:rsidRPr="00434405" w:rsidRDefault="00D7021B" w:rsidP="00D318E4">
      <w:pPr>
        <w:jc w:val="both"/>
        <w:rPr>
          <w:rFonts w:ascii="Arial" w:hAnsi="Arial" w:cs="Arial"/>
          <w:color w:val="000000"/>
          <w:sz w:val="20"/>
        </w:rPr>
      </w:pPr>
      <w:r w:rsidRPr="00434405">
        <w:rPr>
          <w:rFonts w:ascii="Arial" w:hAnsi="Arial" w:cs="Arial"/>
          <w:color w:val="000000"/>
          <w:sz w:val="20"/>
        </w:rPr>
        <w:t xml:space="preserve">Ruling 2: Secretly recorded conversation between Mr </w:t>
      </w:r>
      <w:proofErr w:type="spellStart"/>
      <w:r w:rsidRPr="00434405">
        <w:rPr>
          <w:rFonts w:ascii="Arial" w:hAnsi="Arial" w:cs="Arial"/>
          <w:color w:val="000000"/>
          <w:sz w:val="20"/>
        </w:rPr>
        <w:t>D’Elio</w:t>
      </w:r>
      <w:proofErr w:type="spellEnd"/>
      <w:r w:rsidRPr="00434405">
        <w:rPr>
          <w:rFonts w:ascii="Arial" w:hAnsi="Arial" w:cs="Arial"/>
          <w:color w:val="000000"/>
          <w:sz w:val="20"/>
        </w:rPr>
        <w:t xml:space="preserve"> and </w:t>
      </w:r>
      <w:r w:rsidR="00434405" w:rsidRPr="00434405">
        <w:rPr>
          <w:rFonts w:ascii="Arial" w:hAnsi="Arial" w:cs="Arial"/>
          <w:color w:val="000000"/>
          <w:sz w:val="20"/>
        </w:rPr>
        <w:t xml:space="preserve">a </w:t>
      </w:r>
      <w:r w:rsidRPr="00434405">
        <w:rPr>
          <w:rFonts w:ascii="Arial" w:hAnsi="Arial" w:cs="Arial"/>
          <w:color w:val="000000"/>
          <w:sz w:val="20"/>
        </w:rPr>
        <w:t>covert operative</w:t>
      </w:r>
      <w:r w:rsidR="00434405" w:rsidRPr="00434405">
        <w:rPr>
          <w:rFonts w:ascii="Arial" w:hAnsi="Arial" w:cs="Arial"/>
          <w:color w:val="000000"/>
          <w:sz w:val="20"/>
        </w:rPr>
        <w:t xml:space="preserve"> [ss.90,135,137EA]</w:t>
      </w:r>
    </w:p>
    <w:p w14:paraId="3AC7D47E" w14:textId="08B4A3E4" w:rsidR="00D7021B" w:rsidRPr="00434405" w:rsidRDefault="00D318E4" w:rsidP="00D318E4">
      <w:pPr>
        <w:jc w:val="both"/>
        <w:rPr>
          <w:rFonts w:ascii="Arial" w:hAnsi="Arial" w:cs="Arial"/>
          <w:color w:val="000000"/>
          <w:sz w:val="20"/>
        </w:rPr>
      </w:pPr>
      <w:r w:rsidRPr="00434405">
        <w:rPr>
          <w:rFonts w:ascii="Arial" w:hAnsi="Arial" w:cs="Arial"/>
          <w:color w:val="000000"/>
          <w:sz w:val="20"/>
        </w:rPr>
        <w:t>Ruling 3: Arunta calls between or concerning Ms Stott and others</w:t>
      </w:r>
      <w:r w:rsidR="00434405" w:rsidRPr="00434405">
        <w:rPr>
          <w:rFonts w:ascii="Arial" w:hAnsi="Arial" w:cs="Arial"/>
          <w:color w:val="000000"/>
          <w:sz w:val="20"/>
        </w:rPr>
        <w:t xml:space="preserve"> [ss.59 &amp; 76 EA]</w:t>
      </w:r>
    </w:p>
    <w:p w14:paraId="1DDC5825" w14:textId="6AC2B88C" w:rsidR="00D7021B" w:rsidRPr="00434405" w:rsidRDefault="00D318E4" w:rsidP="00D318E4">
      <w:pPr>
        <w:jc w:val="both"/>
        <w:rPr>
          <w:rFonts w:ascii="Arial" w:hAnsi="Arial" w:cs="Arial"/>
          <w:color w:val="000000"/>
          <w:sz w:val="20"/>
        </w:rPr>
      </w:pPr>
      <w:r w:rsidRPr="00434405">
        <w:rPr>
          <w:rFonts w:ascii="Arial" w:hAnsi="Arial" w:cs="Arial"/>
          <w:color w:val="000000"/>
          <w:sz w:val="20"/>
        </w:rPr>
        <w:t>Ruling 4: Miscellaneous pieces of evidence</w:t>
      </w:r>
      <w:r w:rsidR="00434405">
        <w:rPr>
          <w:rFonts w:ascii="Arial" w:hAnsi="Arial" w:cs="Arial"/>
          <w:color w:val="000000"/>
          <w:sz w:val="20"/>
        </w:rPr>
        <w:t xml:space="preserve"> [ss.87 &amp; 137 EA]</w:t>
      </w:r>
    </w:p>
    <w:p w14:paraId="41CE52CA" w14:textId="4D5FF252" w:rsidR="00D7021B" w:rsidRPr="00434405" w:rsidRDefault="00D318E4" w:rsidP="00D318E4">
      <w:pPr>
        <w:jc w:val="both"/>
        <w:rPr>
          <w:rFonts w:ascii="Arial" w:hAnsi="Arial" w:cs="Arial"/>
          <w:color w:val="000000"/>
          <w:sz w:val="20"/>
        </w:rPr>
      </w:pPr>
      <w:r w:rsidRPr="00434405">
        <w:rPr>
          <w:rFonts w:ascii="Arial" w:hAnsi="Arial" w:cs="Arial"/>
          <w:color w:val="000000"/>
          <w:sz w:val="20"/>
        </w:rPr>
        <w:t>Ruling 5: Mr Clarke’s edited police interview</w:t>
      </w:r>
    </w:p>
    <w:p w14:paraId="5667F28F" w14:textId="272FBCE5" w:rsidR="00D318E4" w:rsidRPr="00434405" w:rsidRDefault="00D318E4" w:rsidP="00D318E4">
      <w:pPr>
        <w:jc w:val="both"/>
        <w:rPr>
          <w:rFonts w:ascii="Arial" w:hAnsi="Arial" w:cs="Arial"/>
          <w:color w:val="000000"/>
          <w:sz w:val="20"/>
        </w:rPr>
      </w:pPr>
      <w:r w:rsidRPr="00434405">
        <w:rPr>
          <w:rFonts w:ascii="Arial" w:hAnsi="Arial" w:cs="Arial"/>
          <w:color w:val="000000"/>
          <w:sz w:val="20"/>
        </w:rPr>
        <w:t xml:space="preserve">Ruling 6: </w:t>
      </w:r>
      <w:r w:rsidR="00434405" w:rsidRPr="00434405">
        <w:rPr>
          <w:rFonts w:ascii="Arial" w:hAnsi="Arial" w:cs="Arial"/>
          <w:color w:val="000000"/>
          <w:sz w:val="20"/>
        </w:rPr>
        <w:t>Ms Stott &amp; Mr Clarke may use Mr D’Elio’s admissions in their cases [s.83 EA]</w:t>
      </w:r>
    </w:p>
    <w:p w14:paraId="015EED2A" w14:textId="77777777" w:rsidR="00D318E4" w:rsidRDefault="00D318E4" w:rsidP="00D318E4">
      <w:pPr>
        <w:jc w:val="both"/>
        <w:rPr>
          <w:rFonts w:ascii="Arial" w:hAnsi="Arial" w:cs="Arial"/>
          <w:color w:val="000000"/>
          <w:sz w:val="20"/>
        </w:rPr>
      </w:pPr>
    </w:p>
    <w:p w14:paraId="3456DD39" w14:textId="230EA1D9" w:rsidR="00A935DD" w:rsidRDefault="0086609B" w:rsidP="002119B0">
      <w:pPr>
        <w:jc w:val="both"/>
        <w:rPr>
          <w:rFonts w:ascii="Arial" w:hAnsi="Arial" w:cs="Arial"/>
          <w:color w:val="000000"/>
          <w:sz w:val="20"/>
        </w:rPr>
      </w:pPr>
      <w:r w:rsidRPr="000E443D">
        <w:rPr>
          <w:rFonts w:ascii="Arial" w:hAnsi="Arial" w:cs="Arial"/>
          <w:color w:val="000000"/>
          <w:sz w:val="20"/>
          <w:szCs w:val="20"/>
        </w:rPr>
        <w:t xml:space="preserve">See also </w:t>
      </w:r>
      <w:r w:rsidR="007A64B3" w:rsidRPr="000E443D">
        <w:rPr>
          <w:rFonts w:ascii="Arial" w:hAnsi="Arial" w:cs="Arial"/>
          <w:i/>
          <w:iCs/>
          <w:sz w:val="20"/>
          <w:szCs w:val="20"/>
        </w:rPr>
        <w:t>R v Dickman</w:t>
      </w:r>
      <w:r w:rsidR="007A64B3" w:rsidRPr="000E443D">
        <w:rPr>
          <w:rFonts w:ascii="Arial" w:hAnsi="Arial" w:cs="Arial"/>
          <w:sz w:val="20"/>
          <w:szCs w:val="20"/>
        </w:rPr>
        <w:t xml:space="preserve"> (2017) 261 CLR 601; </w:t>
      </w:r>
      <w:r w:rsidR="00C51A4B" w:rsidRPr="000E443D">
        <w:rPr>
          <w:rFonts w:ascii="Arial" w:hAnsi="Arial" w:cs="Arial"/>
          <w:i/>
          <w:iCs/>
          <w:color w:val="000000"/>
          <w:sz w:val="20"/>
          <w:szCs w:val="20"/>
        </w:rPr>
        <w:t>R v Crupi (Ruling No 3)</w:t>
      </w:r>
      <w:r w:rsidR="00C51A4B" w:rsidRPr="000E443D">
        <w:rPr>
          <w:rFonts w:ascii="Arial" w:hAnsi="Arial" w:cs="Arial"/>
          <w:color w:val="000000"/>
          <w:sz w:val="20"/>
          <w:szCs w:val="20"/>
        </w:rPr>
        <w:t xml:space="preserve"> [2020] VSC 783</w:t>
      </w:r>
      <w:r w:rsidR="00D43114" w:rsidRPr="000E443D">
        <w:rPr>
          <w:rFonts w:ascii="Arial" w:hAnsi="Arial" w:cs="Arial"/>
          <w:color w:val="000000"/>
          <w:sz w:val="20"/>
          <w:szCs w:val="20"/>
        </w:rPr>
        <w:t xml:space="preserve"> [summarised in </w:t>
      </w:r>
      <w:r w:rsidR="00D43114" w:rsidRPr="000E443D">
        <w:rPr>
          <w:rFonts w:ascii="Arial" w:hAnsi="Arial" w:cs="Arial"/>
          <w:b/>
          <w:bCs/>
          <w:color w:val="000000"/>
          <w:sz w:val="20"/>
          <w:szCs w:val="20"/>
          <w:shd w:val="clear" w:color="auto" w:fill="C5E0B3" w:themeFill="accent6" w:themeFillTint="66"/>
        </w:rPr>
        <w:t>section 10.</w:t>
      </w:r>
      <w:r w:rsidR="00BC1CA8" w:rsidRPr="000E443D">
        <w:rPr>
          <w:rFonts w:ascii="Arial" w:hAnsi="Arial" w:cs="Arial"/>
          <w:b/>
          <w:bCs/>
          <w:color w:val="000000"/>
          <w:sz w:val="20"/>
          <w:szCs w:val="20"/>
          <w:shd w:val="clear" w:color="auto" w:fill="C5E0B3" w:themeFill="accent6" w:themeFillTint="66"/>
        </w:rPr>
        <w:t>3.3.5</w:t>
      </w:r>
      <w:r w:rsidR="00BC1CA8" w:rsidRPr="000E443D">
        <w:rPr>
          <w:rFonts w:ascii="Arial" w:hAnsi="Arial" w:cs="Arial"/>
          <w:b/>
          <w:color w:val="FFFFFF" w:themeColor="background1"/>
          <w:sz w:val="20"/>
          <w:szCs w:val="20"/>
          <w:shd w:val="clear" w:color="auto" w:fill="000000"/>
        </w:rPr>
        <w:t>C</w:t>
      </w:r>
      <w:r w:rsidR="00D43114" w:rsidRPr="000E443D">
        <w:rPr>
          <w:rFonts w:ascii="Arial" w:hAnsi="Arial" w:cs="Arial"/>
          <w:color w:val="000000"/>
          <w:sz w:val="20"/>
          <w:szCs w:val="20"/>
        </w:rPr>
        <w:t>]</w:t>
      </w:r>
      <w:r w:rsidR="00C51A4B" w:rsidRPr="000E443D">
        <w:rPr>
          <w:rFonts w:ascii="Arial" w:hAnsi="Arial" w:cs="Arial"/>
          <w:color w:val="000000"/>
          <w:sz w:val="20"/>
          <w:szCs w:val="20"/>
        </w:rPr>
        <w:t xml:space="preserve">; </w:t>
      </w:r>
      <w:r w:rsidRPr="000E443D">
        <w:rPr>
          <w:rFonts w:ascii="Arial" w:hAnsi="Arial" w:cs="Arial"/>
          <w:i/>
          <w:iCs/>
          <w:color w:val="000000"/>
          <w:sz w:val="20"/>
          <w:szCs w:val="20"/>
        </w:rPr>
        <w:t>DPP v Roberts (Ruling No 3)</w:t>
      </w:r>
      <w:r w:rsidRPr="000E443D">
        <w:rPr>
          <w:rFonts w:ascii="Arial" w:hAnsi="Arial" w:cs="Arial"/>
          <w:color w:val="000000"/>
          <w:sz w:val="20"/>
          <w:szCs w:val="20"/>
        </w:rPr>
        <w:t xml:space="preserve"> [2021] VSC 658</w:t>
      </w:r>
      <w:r w:rsidR="00EA734F" w:rsidRPr="000E443D">
        <w:rPr>
          <w:rFonts w:ascii="Arial" w:hAnsi="Arial" w:cs="Arial"/>
          <w:color w:val="000000"/>
          <w:sz w:val="20"/>
          <w:szCs w:val="20"/>
        </w:rPr>
        <w:t xml:space="preserve">; </w:t>
      </w:r>
      <w:r w:rsidR="00EA734F" w:rsidRPr="000E443D">
        <w:rPr>
          <w:rFonts w:ascii="Arial" w:hAnsi="Arial" w:cs="Arial"/>
          <w:i/>
          <w:iCs/>
          <w:color w:val="000000"/>
          <w:sz w:val="20"/>
          <w:szCs w:val="20"/>
        </w:rPr>
        <w:t>Tate (a</w:t>
      </w:r>
      <w:r w:rsidR="007A64B3" w:rsidRPr="000E443D">
        <w:rPr>
          <w:rFonts w:ascii="Arial" w:hAnsi="Arial" w:cs="Arial"/>
          <w:i/>
          <w:iCs/>
          <w:color w:val="000000"/>
          <w:sz w:val="20"/>
          <w:szCs w:val="20"/>
        </w:rPr>
        <w:t> </w:t>
      </w:r>
      <w:r w:rsidR="00EA734F" w:rsidRPr="000E443D">
        <w:rPr>
          <w:rFonts w:ascii="Arial" w:hAnsi="Arial" w:cs="Arial"/>
          <w:i/>
          <w:iCs/>
          <w:color w:val="000000"/>
          <w:sz w:val="20"/>
          <w:szCs w:val="20"/>
        </w:rPr>
        <w:t xml:space="preserve">pseudonym) v The King </w:t>
      </w:r>
      <w:r w:rsidR="00EA734F" w:rsidRPr="000E443D">
        <w:rPr>
          <w:rFonts w:ascii="Arial" w:hAnsi="Arial" w:cs="Arial"/>
          <w:color w:val="000000"/>
          <w:sz w:val="20"/>
          <w:szCs w:val="20"/>
        </w:rPr>
        <w:t>[2023] VSCA 249</w:t>
      </w:r>
      <w:r w:rsidR="00886CA7" w:rsidRPr="000E443D">
        <w:rPr>
          <w:rFonts w:ascii="Arial" w:hAnsi="Arial" w:cs="Arial"/>
          <w:color w:val="000000"/>
          <w:sz w:val="20"/>
          <w:szCs w:val="20"/>
        </w:rPr>
        <w:t xml:space="preserve">; </w:t>
      </w:r>
      <w:r w:rsidR="00886CA7" w:rsidRPr="000E443D">
        <w:rPr>
          <w:rFonts w:ascii="Arial" w:hAnsi="Arial" w:cs="Arial"/>
          <w:i/>
          <w:iCs/>
          <w:color w:val="000000"/>
          <w:sz w:val="20"/>
          <w:szCs w:val="20"/>
        </w:rPr>
        <w:t>DPP v KT (Ruling 1)</w:t>
      </w:r>
      <w:r w:rsidR="00886CA7" w:rsidRPr="000E443D">
        <w:rPr>
          <w:rFonts w:ascii="Arial" w:hAnsi="Arial" w:cs="Arial"/>
          <w:color w:val="000000"/>
          <w:sz w:val="20"/>
          <w:szCs w:val="20"/>
        </w:rPr>
        <w:t xml:space="preserve"> [2025] VSC 397</w:t>
      </w:r>
      <w:r w:rsidR="00964619" w:rsidRPr="000E443D">
        <w:rPr>
          <w:rFonts w:ascii="Arial" w:hAnsi="Arial" w:cs="Arial"/>
          <w:color w:val="000000"/>
          <w:sz w:val="20"/>
          <w:szCs w:val="20"/>
        </w:rPr>
        <w:t xml:space="preserve">; </w:t>
      </w:r>
      <w:r w:rsidR="00964619" w:rsidRPr="000E443D">
        <w:rPr>
          <w:rFonts w:ascii="Arial" w:hAnsi="Arial" w:cs="Arial"/>
          <w:i/>
          <w:iCs/>
          <w:color w:val="000000"/>
          <w:sz w:val="20"/>
          <w:szCs w:val="20"/>
        </w:rPr>
        <w:t>Director of Public Prosecutions v Young (No 4)</w:t>
      </w:r>
      <w:r w:rsidR="00964619" w:rsidRPr="000E443D">
        <w:rPr>
          <w:rFonts w:ascii="Arial" w:hAnsi="Arial" w:cs="Arial"/>
          <w:color w:val="000000"/>
          <w:sz w:val="20"/>
          <w:szCs w:val="20"/>
        </w:rPr>
        <w:t xml:space="preserve"> </w:t>
      </w:r>
      <w:r w:rsidR="00964619" w:rsidRPr="000E443D">
        <w:rPr>
          <w:rFonts w:ascii="Arial" w:hAnsi="Arial" w:cs="Arial"/>
          <w:color w:val="000000"/>
          <w:sz w:val="20"/>
          <w:szCs w:val="20"/>
        </w:rPr>
        <w:lastRenderedPageBreak/>
        <w:t>[2025] VSC 424</w:t>
      </w:r>
      <w:r w:rsidR="000E443D" w:rsidRPr="000E443D">
        <w:rPr>
          <w:rFonts w:ascii="Arial" w:hAnsi="Arial" w:cs="Arial"/>
          <w:sz w:val="20"/>
          <w:szCs w:val="20"/>
        </w:rPr>
        <w:t xml:space="preserve">; </w:t>
      </w:r>
      <w:r w:rsidR="000E443D" w:rsidRPr="000E443D">
        <w:rPr>
          <w:rFonts w:ascii="Arial" w:hAnsi="Arial" w:cs="Arial"/>
          <w:i/>
          <w:iCs/>
          <w:sz w:val="20"/>
          <w:szCs w:val="20"/>
        </w:rPr>
        <w:t>McNally v The King | Doble v The King</w:t>
      </w:r>
      <w:r w:rsidR="000E443D" w:rsidRPr="000E443D">
        <w:rPr>
          <w:rFonts w:ascii="Arial" w:hAnsi="Arial" w:cs="Arial"/>
          <w:sz w:val="20"/>
          <w:szCs w:val="20"/>
        </w:rPr>
        <w:t xml:space="preserve"> [2025] VSCA 231; </w:t>
      </w:r>
      <w:r w:rsidR="000E443D" w:rsidRPr="000E443D">
        <w:rPr>
          <w:rFonts w:ascii="Arial" w:hAnsi="Arial" w:cs="Arial"/>
          <w:i/>
          <w:iCs/>
          <w:color w:val="000000"/>
          <w:sz w:val="20"/>
          <w:szCs w:val="20"/>
        </w:rPr>
        <w:t>Bosch (a pseudonym) v The King</w:t>
      </w:r>
      <w:r w:rsidR="000E443D" w:rsidRPr="000E443D">
        <w:rPr>
          <w:rFonts w:ascii="Arial" w:hAnsi="Arial" w:cs="Arial"/>
          <w:color w:val="000000"/>
          <w:sz w:val="20"/>
          <w:szCs w:val="20"/>
        </w:rPr>
        <w:t xml:space="preserve"> [2025] VSCA 257</w:t>
      </w:r>
      <w:r w:rsidR="006F42B1">
        <w:rPr>
          <w:rFonts w:ascii="Arial" w:hAnsi="Arial" w:cs="Arial"/>
          <w:color w:val="000000"/>
          <w:sz w:val="20"/>
          <w:szCs w:val="20"/>
        </w:rPr>
        <w:t xml:space="preserve">; </w:t>
      </w:r>
      <w:r w:rsidR="006F42B1" w:rsidRPr="006F42B1">
        <w:rPr>
          <w:rFonts w:ascii="Arial" w:hAnsi="Arial" w:cs="Arial"/>
          <w:i/>
          <w:iCs/>
          <w:color w:val="000000"/>
          <w:sz w:val="20"/>
          <w:szCs w:val="20"/>
        </w:rPr>
        <w:t>DPP v Gauci (Ruling No 1)</w:t>
      </w:r>
      <w:r w:rsidR="006F42B1" w:rsidRPr="006F42B1">
        <w:rPr>
          <w:rFonts w:ascii="Arial" w:hAnsi="Arial" w:cs="Arial"/>
          <w:color w:val="000000"/>
          <w:sz w:val="20"/>
          <w:szCs w:val="20"/>
        </w:rPr>
        <w:t xml:space="preserve"> [2024] VSC 742</w:t>
      </w:r>
      <w:r w:rsidR="00635D47">
        <w:rPr>
          <w:rFonts w:ascii="Arial" w:hAnsi="Arial" w:cs="Arial"/>
          <w:color w:val="000000"/>
          <w:sz w:val="20"/>
          <w:szCs w:val="20"/>
        </w:rPr>
        <w:t xml:space="preserve">; </w:t>
      </w:r>
      <w:r w:rsidR="00635D47" w:rsidRPr="00583B2D">
        <w:rPr>
          <w:rFonts w:ascii="Arial" w:hAnsi="Arial" w:cs="Arial"/>
          <w:i/>
          <w:iCs/>
          <w:sz w:val="20"/>
          <w:szCs w:val="20"/>
        </w:rPr>
        <w:t>SA (a pseudonym) v The King</w:t>
      </w:r>
      <w:r w:rsidR="00635D47">
        <w:rPr>
          <w:rFonts w:ascii="Arial" w:hAnsi="Arial" w:cs="Arial"/>
          <w:sz w:val="20"/>
          <w:szCs w:val="20"/>
        </w:rPr>
        <w:t xml:space="preserve"> [2025] VSCA 300 at [155]-[179</w:t>
      </w:r>
      <w:r w:rsidR="00635D47" w:rsidRPr="00E13B3B">
        <w:rPr>
          <w:rFonts w:ascii="Arial" w:hAnsi="Arial" w:cs="Arial"/>
          <w:sz w:val="20"/>
          <w:szCs w:val="20"/>
        </w:rPr>
        <w:t>]</w:t>
      </w:r>
      <w:r w:rsidR="00A935DD" w:rsidRPr="00E13B3B">
        <w:rPr>
          <w:rFonts w:ascii="Arial" w:hAnsi="Arial" w:cs="Arial"/>
          <w:sz w:val="20"/>
          <w:szCs w:val="20"/>
        </w:rPr>
        <w:t>;</w:t>
      </w:r>
      <w:r w:rsidR="00A935DD" w:rsidRPr="00E13B3B">
        <w:rPr>
          <w:rFonts w:ascii="Arial" w:hAnsi="Arial" w:cs="Arial"/>
          <w:i/>
          <w:iCs/>
          <w:sz w:val="20"/>
          <w:szCs w:val="20"/>
        </w:rPr>
        <w:t xml:space="preserve"> </w:t>
      </w:r>
      <w:r w:rsidR="00E13B3B" w:rsidRPr="00E13B3B">
        <w:rPr>
          <w:rFonts w:ascii="Arial" w:hAnsi="Arial" w:cs="Arial"/>
          <w:i/>
          <w:iCs/>
          <w:sz w:val="20"/>
          <w:szCs w:val="20"/>
        </w:rPr>
        <w:t>DPP (</w:t>
      </w:r>
      <w:proofErr w:type="spellStart"/>
      <w:r w:rsidR="00E13B3B" w:rsidRPr="00E13B3B">
        <w:rPr>
          <w:rFonts w:ascii="Arial" w:hAnsi="Arial" w:cs="Arial"/>
          <w:i/>
          <w:iCs/>
          <w:sz w:val="20"/>
          <w:szCs w:val="20"/>
        </w:rPr>
        <w:t>Cth</w:t>
      </w:r>
      <w:proofErr w:type="spellEnd"/>
      <w:r w:rsidR="00E13B3B" w:rsidRPr="00E13B3B">
        <w:rPr>
          <w:rFonts w:ascii="Arial" w:hAnsi="Arial" w:cs="Arial"/>
          <w:i/>
          <w:iCs/>
          <w:sz w:val="20"/>
          <w:szCs w:val="20"/>
        </w:rPr>
        <w:t>) v Al Salman</w:t>
      </w:r>
      <w:r w:rsidR="00E13B3B">
        <w:rPr>
          <w:rFonts w:ascii="Arial" w:hAnsi="Arial" w:cs="Arial"/>
          <w:sz w:val="20"/>
          <w:szCs w:val="20"/>
        </w:rPr>
        <w:t xml:space="preserve"> [2024] VSC 691; </w:t>
      </w:r>
      <w:r w:rsidR="00A935DD" w:rsidRPr="00A935DD">
        <w:rPr>
          <w:rFonts w:ascii="Arial" w:hAnsi="Arial" w:cs="Arial"/>
          <w:i/>
          <w:iCs/>
          <w:color w:val="000000"/>
          <w:sz w:val="20"/>
        </w:rPr>
        <w:t>DPP (</w:t>
      </w:r>
      <w:proofErr w:type="spellStart"/>
      <w:r w:rsidR="00A935DD" w:rsidRPr="00A935DD">
        <w:rPr>
          <w:rFonts w:ascii="Arial" w:hAnsi="Arial" w:cs="Arial"/>
          <w:i/>
          <w:iCs/>
          <w:color w:val="000000"/>
          <w:sz w:val="20"/>
        </w:rPr>
        <w:t>Cth</w:t>
      </w:r>
      <w:proofErr w:type="spellEnd"/>
      <w:r w:rsidR="00A935DD" w:rsidRPr="00A935DD">
        <w:rPr>
          <w:rFonts w:ascii="Arial" w:hAnsi="Arial" w:cs="Arial"/>
          <w:i/>
          <w:iCs/>
          <w:color w:val="000000"/>
          <w:sz w:val="20"/>
        </w:rPr>
        <w:t>) v Al Salman (No 4)</w:t>
      </w:r>
      <w:r w:rsidR="00A935DD" w:rsidRPr="00A935DD">
        <w:rPr>
          <w:rFonts w:ascii="Arial" w:hAnsi="Arial" w:cs="Arial"/>
          <w:color w:val="000000"/>
          <w:sz w:val="20"/>
        </w:rPr>
        <w:t xml:space="preserve"> [2025] VSC 811</w:t>
      </w:r>
      <w:r w:rsidR="009F23FD">
        <w:rPr>
          <w:rFonts w:ascii="Arial" w:hAnsi="Arial" w:cs="Arial"/>
          <w:color w:val="000000"/>
          <w:sz w:val="20"/>
        </w:rPr>
        <w:t xml:space="preserve">; </w:t>
      </w:r>
      <w:r w:rsidR="009F23FD" w:rsidRPr="00A935DD">
        <w:rPr>
          <w:rFonts w:ascii="Arial" w:hAnsi="Arial" w:cs="Arial"/>
          <w:i/>
          <w:iCs/>
          <w:color w:val="000000"/>
          <w:sz w:val="20"/>
        </w:rPr>
        <w:t>DPP (</w:t>
      </w:r>
      <w:proofErr w:type="spellStart"/>
      <w:r w:rsidR="009F23FD" w:rsidRPr="00A935DD">
        <w:rPr>
          <w:rFonts w:ascii="Arial" w:hAnsi="Arial" w:cs="Arial"/>
          <w:i/>
          <w:iCs/>
          <w:color w:val="000000"/>
          <w:sz w:val="20"/>
        </w:rPr>
        <w:t>Cth</w:t>
      </w:r>
      <w:proofErr w:type="spellEnd"/>
      <w:r w:rsidR="009F23FD" w:rsidRPr="00A935DD">
        <w:rPr>
          <w:rFonts w:ascii="Arial" w:hAnsi="Arial" w:cs="Arial"/>
          <w:i/>
          <w:iCs/>
          <w:color w:val="000000"/>
          <w:sz w:val="20"/>
        </w:rPr>
        <w:t xml:space="preserve">) v Al Salman (No </w:t>
      </w:r>
      <w:r w:rsidR="009F23FD">
        <w:rPr>
          <w:rFonts w:ascii="Arial" w:hAnsi="Arial" w:cs="Arial"/>
          <w:i/>
          <w:iCs/>
          <w:color w:val="000000"/>
          <w:sz w:val="20"/>
        </w:rPr>
        <w:t>6</w:t>
      </w:r>
      <w:r w:rsidR="009F23FD" w:rsidRPr="00A935DD">
        <w:rPr>
          <w:rFonts w:ascii="Arial" w:hAnsi="Arial" w:cs="Arial"/>
          <w:i/>
          <w:iCs/>
          <w:color w:val="000000"/>
          <w:sz w:val="20"/>
        </w:rPr>
        <w:t>)</w:t>
      </w:r>
      <w:r w:rsidR="009F23FD" w:rsidRPr="00A935DD">
        <w:rPr>
          <w:rFonts w:ascii="Arial" w:hAnsi="Arial" w:cs="Arial"/>
          <w:color w:val="000000"/>
          <w:sz w:val="20"/>
        </w:rPr>
        <w:t xml:space="preserve"> [2025] VSC 81</w:t>
      </w:r>
      <w:r w:rsidR="009F23FD">
        <w:rPr>
          <w:rFonts w:ascii="Arial" w:hAnsi="Arial" w:cs="Arial"/>
          <w:color w:val="000000"/>
          <w:sz w:val="20"/>
        </w:rPr>
        <w:t>3</w:t>
      </w:r>
      <w:r w:rsidR="005967F5">
        <w:rPr>
          <w:rFonts w:ascii="Arial" w:hAnsi="Arial" w:cs="Arial"/>
          <w:color w:val="000000"/>
          <w:sz w:val="20"/>
        </w:rPr>
        <w:t xml:space="preserve">; </w:t>
      </w:r>
      <w:r w:rsidR="005967F5" w:rsidRPr="005967F5">
        <w:rPr>
          <w:rFonts w:ascii="Arial" w:hAnsi="Arial" w:cs="Arial"/>
          <w:i/>
          <w:iCs/>
          <w:color w:val="000000"/>
          <w:sz w:val="20"/>
        </w:rPr>
        <w:t>Mano &amp; Ors v DPP (</w:t>
      </w:r>
      <w:proofErr w:type="spellStart"/>
      <w:r w:rsidR="005967F5" w:rsidRPr="005967F5">
        <w:rPr>
          <w:rFonts w:ascii="Arial" w:hAnsi="Arial" w:cs="Arial"/>
          <w:i/>
          <w:iCs/>
          <w:color w:val="000000"/>
          <w:sz w:val="20"/>
        </w:rPr>
        <w:t>Cth</w:t>
      </w:r>
      <w:proofErr w:type="spellEnd"/>
      <w:r w:rsidR="005967F5" w:rsidRPr="005967F5">
        <w:rPr>
          <w:rFonts w:ascii="Arial" w:hAnsi="Arial" w:cs="Arial"/>
          <w:i/>
          <w:iCs/>
          <w:color w:val="000000"/>
          <w:sz w:val="20"/>
        </w:rPr>
        <w:t>)</w:t>
      </w:r>
      <w:r w:rsidR="005967F5">
        <w:rPr>
          <w:rFonts w:ascii="Arial" w:hAnsi="Arial" w:cs="Arial"/>
          <w:color w:val="000000"/>
          <w:sz w:val="20"/>
        </w:rPr>
        <w:t xml:space="preserve"> [2025] VSCA 97</w:t>
      </w:r>
      <w:r w:rsidR="00151560">
        <w:rPr>
          <w:rFonts w:ascii="Arial" w:hAnsi="Arial" w:cs="Arial"/>
          <w:color w:val="000000"/>
          <w:sz w:val="20"/>
        </w:rPr>
        <w:t xml:space="preserve">; </w:t>
      </w:r>
      <w:r w:rsidR="00151560" w:rsidRPr="00151560">
        <w:rPr>
          <w:rFonts w:ascii="Arial" w:hAnsi="Arial" w:cs="Arial"/>
          <w:i/>
          <w:iCs/>
          <w:color w:val="000000"/>
          <w:sz w:val="20"/>
        </w:rPr>
        <w:t>Mehrdad (a pseudonym) v The King</w:t>
      </w:r>
      <w:r w:rsidR="00151560" w:rsidRPr="00151560">
        <w:rPr>
          <w:rFonts w:ascii="Arial" w:hAnsi="Arial" w:cs="Arial"/>
          <w:color w:val="000000"/>
          <w:sz w:val="20"/>
        </w:rPr>
        <w:t xml:space="preserve"> [2026] VSCA 52</w:t>
      </w:r>
      <w:r w:rsidR="0032595B">
        <w:rPr>
          <w:rFonts w:ascii="Arial" w:hAnsi="Arial" w:cs="Arial"/>
          <w:color w:val="000000"/>
          <w:sz w:val="20"/>
        </w:rPr>
        <w:t xml:space="preserve">; </w:t>
      </w:r>
      <w:r w:rsidR="0032595B" w:rsidRPr="0032595B">
        <w:rPr>
          <w:rFonts w:ascii="Arial" w:hAnsi="Arial" w:cs="Arial"/>
          <w:i/>
          <w:iCs/>
          <w:color w:val="000000"/>
          <w:sz w:val="20"/>
        </w:rPr>
        <w:t>DPP v Devlin (Ruling No 1)</w:t>
      </w:r>
      <w:r w:rsidR="0032595B">
        <w:rPr>
          <w:rFonts w:ascii="Arial" w:hAnsi="Arial" w:cs="Arial"/>
          <w:color w:val="000000"/>
          <w:sz w:val="20"/>
        </w:rPr>
        <w:t xml:space="preserve"> [2026] VSC 168</w:t>
      </w:r>
      <w:r w:rsidR="00727CC7">
        <w:rPr>
          <w:rFonts w:ascii="Arial" w:hAnsi="Arial" w:cs="Arial"/>
          <w:color w:val="000000"/>
          <w:sz w:val="20"/>
        </w:rPr>
        <w:t xml:space="preserve">; </w:t>
      </w:r>
      <w:r w:rsidR="00727CC7" w:rsidRPr="00727CC7">
        <w:rPr>
          <w:rFonts w:ascii="Arial" w:hAnsi="Arial" w:cs="Arial"/>
          <w:i/>
          <w:iCs/>
          <w:color w:val="000000"/>
          <w:sz w:val="20"/>
        </w:rPr>
        <w:t>Re Clarke (No 3)</w:t>
      </w:r>
      <w:r w:rsidR="00727CC7" w:rsidRPr="00727CC7">
        <w:rPr>
          <w:rFonts w:ascii="Arial" w:hAnsi="Arial" w:cs="Arial"/>
          <w:color w:val="000000"/>
          <w:sz w:val="20"/>
        </w:rPr>
        <w:t xml:space="preserve"> [2025] VSC 174</w:t>
      </w:r>
      <w:r w:rsidR="00727CC7">
        <w:rPr>
          <w:rFonts w:ascii="Arial" w:hAnsi="Arial" w:cs="Arial"/>
          <w:color w:val="000000"/>
          <w:sz w:val="20"/>
        </w:rPr>
        <w:t xml:space="preserve"> where Jane Dixon J discussed </w:t>
      </w:r>
      <w:proofErr w:type="spellStart"/>
      <w:r w:rsidR="00727CC7" w:rsidRPr="00727CC7">
        <w:rPr>
          <w:rFonts w:ascii="Arial" w:hAnsi="Arial" w:cs="Arial"/>
          <w:i/>
          <w:iCs/>
          <w:color w:val="000000"/>
          <w:sz w:val="20"/>
        </w:rPr>
        <w:t>Haddara</w:t>
      </w:r>
      <w:proofErr w:type="spellEnd"/>
      <w:r w:rsidR="00727CC7" w:rsidRPr="00727CC7">
        <w:rPr>
          <w:rFonts w:ascii="Arial" w:hAnsi="Arial" w:cs="Arial"/>
          <w:i/>
          <w:iCs/>
          <w:color w:val="000000"/>
          <w:sz w:val="20"/>
        </w:rPr>
        <w:t xml:space="preserve"> v R</w:t>
      </w:r>
      <w:r w:rsidR="00727CC7" w:rsidRPr="00727CC7">
        <w:rPr>
          <w:rFonts w:ascii="Arial" w:hAnsi="Arial" w:cs="Arial"/>
          <w:color w:val="000000"/>
          <w:sz w:val="20"/>
        </w:rPr>
        <w:t xml:space="preserve"> (2014) 43 VR 53</w:t>
      </w:r>
      <w:r w:rsidR="00727CC7">
        <w:rPr>
          <w:rFonts w:ascii="Arial" w:hAnsi="Arial" w:cs="Arial"/>
          <w:color w:val="000000"/>
          <w:sz w:val="20"/>
        </w:rPr>
        <w:t>.</w:t>
      </w:r>
    </w:p>
    <w:p w14:paraId="20E34C94" w14:textId="77777777" w:rsidR="00727CC7" w:rsidRPr="00F65EB1" w:rsidRDefault="00727CC7" w:rsidP="002119B0">
      <w:pPr>
        <w:jc w:val="both"/>
        <w:rPr>
          <w:rFonts w:ascii="Arial" w:hAnsi="Arial" w:cs="Arial"/>
          <w:color w:val="000000"/>
          <w:sz w:val="20"/>
        </w:rPr>
      </w:pPr>
    </w:p>
    <w:p w14:paraId="3184738A" w14:textId="77777777" w:rsidR="0022246F" w:rsidRPr="009F25D4" w:rsidRDefault="002119B0" w:rsidP="0022246F">
      <w:pPr>
        <w:pStyle w:val="Heading3"/>
        <w:keepNext/>
        <w:spacing w:line="240" w:lineRule="auto"/>
        <w:rPr>
          <w:rFonts w:ascii="Arial" w:hAnsi="Arial" w:cs="Arial"/>
          <w:b/>
          <w:bCs/>
          <w:color w:val="000000"/>
          <w:sz w:val="20"/>
        </w:rPr>
      </w:pPr>
      <w:bookmarkStart w:id="594" w:name="_3.5.3.3_Admissibility_of"/>
      <w:bookmarkStart w:id="595" w:name="B3533"/>
      <w:bookmarkEnd w:id="594"/>
      <w:bookmarkEnd w:id="595"/>
      <w:r>
        <w:rPr>
          <w:rFonts w:ascii="Arial" w:hAnsi="Arial" w:cs="Arial"/>
          <w:b/>
          <w:bCs/>
          <w:color w:val="000000"/>
          <w:sz w:val="20"/>
        </w:rPr>
        <w:t>3.5.3.</w:t>
      </w:r>
      <w:r w:rsidR="00A10E05">
        <w:rPr>
          <w:rFonts w:ascii="Arial" w:hAnsi="Arial" w:cs="Arial"/>
          <w:b/>
          <w:bCs/>
          <w:color w:val="000000"/>
          <w:sz w:val="20"/>
        </w:rPr>
        <w:t>3</w:t>
      </w:r>
      <w:r>
        <w:rPr>
          <w:rFonts w:ascii="Arial" w:hAnsi="Arial" w:cs="Arial"/>
          <w:b/>
          <w:bCs/>
          <w:color w:val="000000"/>
          <w:sz w:val="20"/>
        </w:rPr>
        <w:tab/>
        <w:t xml:space="preserve">Admissibility of evidence in </w:t>
      </w:r>
      <w:r w:rsidR="007C1C82">
        <w:rPr>
          <w:rFonts w:ascii="Arial" w:hAnsi="Arial" w:cs="Arial"/>
          <w:b/>
          <w:bCs/>
          <w:color w:val="000000"/>
          <w:sz w:val="20"/>
        </w:rPr>
        <w:t>a</w:t>
      </w:r>
      <w:r>
        <w:rPr>
          <w:rFonts w:ascii="Arial" w:hAnsi="Arial" w:cs="Arial"/>
          <w:b/>
          <w:bCs/>
          <w:color w:val="000000"/>
          <w:sz w:val="20"/>
        </w:rPr>
        <w:t xml:space="preserve"> Family Division</w:t>
      </w:r>
      <w:r w:rsidR="007C1C82">
        <w:rPr>
          <w:rFonts w:ascii="Arial" w:hAnsi="Arial" w:cs="Arial"/>
          <w:b/>
          <w:bCs/>
          <w:color w:val="000000"/>
          <w:sz w:val="20"/>
        </w:rPr>
        <w:t xml:space="preserve"> case</w:t>
      </w:r>
    </w:p>
    <w:p w14:paraId="20D57C30" w14:textId="77777777" w:rsidR="00ED6D68" w:rsidRDefault="00ED6D68" w:rsidP="00A13B31">
      <w:pPr>
        <w:spacing w:before="120"/>
        <w:jc w:val="both"/>
        <w:rPr>
          <w:rFonts w:ascii="Arial" w:hAnsi="Arial" w:cs="Arial"/>
          <w:sz w:val="20"/>
        </w:rPr>
      </w:pPr>
      <w:r>
        <w:rPr>
          <w:rFonts w:ascii="Arial" w:hAnsi="Arial" w:cs="Arial"/>
          <w:sz w:val="20"/>
        </w:rPr>
        <w:t xml:space="preserve">Section 215(1)(d) of the CYFA provides – with similar effect to s.65 of the </w:t>
      </w:r>
      <w:r w:rsidRPr="00934D0F">
        <w:rPr>
          <w:rFonts w:ascii="Arial" w:hAnsi="Arial" w:cs="Arial"/>
          <w:i/>
          <w:iCs/>
          <w:sz w:val="20"/>
        </w:rPr>
        <w:t xml:space="preserve">Family Violence Protection Act 2008 </w:t>
      </w:r>
      <w:r w:rsidRPr="000D1B14">
        <w:rPr>
          <w:rFonts w:ascii="Arial" w:hAnsi="Arial" w:cs="Arial"/>
          <w:sz w:val="20"/>
        </w:rPr>
        <w:t xml:space="preserve">and </w:t>
      </w:r>
      <w:r>
        <w:rPr>
          <w:rFonts w:ascii="Arial" w:hAnsi="Arial" w:cs="Arial"/>
          <w:bCs/>
          <w:sz w:val="20"/>
        </w:rPr>
        <w:t xml:space="preserve">s.47 of the </w:t>
      </w:r>
      <w:r w:rsidRPr="00934D0F">
        <w:rPr>
          <w:rFonts w:ascii="Arial" w:hAnsi="Arial" w:cs="Arial"/>
          <w:bCs/>
          <w:i/>
          <w:iCs/>
          <w:sz w:val="20"/>
        </w:rPr>
        <w:t>Personal Safety Intervention Orders Act 2010</w:t>
      </w:r>
      <w:r w:rsidRPr="00A10E05">
        <w:rPr>
          <w:rFonts w:ascii="Arial" w:hAnsi="Arial" w:cs="Arial"/>
          <w:sz w:val="20"/>
        </w:rPr>
        <w:t xml:space="preserve"> </w:t>
      </w:r>
      <w:r>
        <w:rPr>
          <w:rFonts w:ascii="Arial" w:hAnsi="Arial" w:cs="Arial"/>
          <w:sz w:val="20"/>
        </w:rPr>
        <w:t>–</w:t>
      </w:r>
      <w:r w:rsidRPr="00A10E05">
        <w:rPr>
          <w:rFonts w:ascii="Arial" w:hAnsi="Arial" w:cs="Arial"/>
          <w:sz w:val="20"/>
        </w:rPr>
        <w:t xml:space="preserve"> that</w:t>
      </w:r>
      <w:r>
        <w:rPr>
          <w:rFonts w:ascii="Arial" w:hAnsi="Arial" w:cs="Arial"/>
          <w:sz w:val="20"/>
        </w:rPr>
        <w:t>:</w:t>
      </w:r>
    </w:p>
    <w:p w14:paraId="390A0332" w14:textId="77777777" w:rsidR="00ED6D68" w:rsidRDefault="00ED6D68" w:rsidP="00ED6D68">
      <w:pPr>
        <w:spacing w:before="60" w:line="240" w:lineRule="exact"/>
        <w:ind w:left="567" w:right="567"/>
        <w:jc w:val="both"/>
        <w:rPr>
          <w:rFonts w:ascii="Arial" w:hAnsi="Arial" w:cs="Arial"/>
          <w:bCs/>
          <w:sz w:val="20"/>
        </w:rPr>
      </w:pPr>
      <w:r>
        <w:rPr>
          <w:rFonts w:ascii="Arial" w:hAnsi="Arial" w:cs="Arial"/>
          <w:bCs/>
          <w:sz w:val="20"/>
        </w:rPr>
        <w:t>“The Family Division may inform itself on a matter in such manner as it thinks fit, despite any rules of evidence to the contrary.”</w:t>
      </w:r>
    </w:p>
    <w:p w14:paraId="50297320" w14:textId="77777777" w:rsidR="00ED6D68" w:rsidRDefault="00ED6D68" w:rsidP="00ED6D68">
      <w:pPr>
        <w:jc w:val="both"/>
        <w:rPr>
          <w:rFonts w:ascii="Arial" w:hAnsi="Arial" w:cs="Arial"/>
          <w:bCs/>
          <w:sz w:val="20"/>
        </w:rPr>
      </w:pPr>
    </w:p>
    <w:p w14:paraId="4FEB3843" w14:textId="49DC2049" w:rsidR="00ED6D68" w:rsidRDefault="00EE245F" w:rsidP="00ED6D68">
      <w:pPr>
        <w:jc w:val="both"/>
        <w:rPr>
          <w:rFonts w:ascii="Arial" w:hAnsi="Arial" w:cs="Arial"/>
          <w:sz w:val="20"/>
        </w:rPr>
      </w:pPr>
      <w:r>
        <w:rPr>
          <w:rFonts w:ascii="Arial" w:hAnsi="Arial" w:cs="Arial"/>
          <w:sz w:val="20"/>
        </w:rPr>
        <w:t xml:space="preserve">On its face s.142 of the </w:t>
      </w:r>
      <w:r w:rsidRPr="00934D0F">
        <w:rPr>
          <w:rFonts w:ascii="Arial" w:hAnsi="Arial" w:cs="Arial"/>
          <w:i/>
          <w:iCs/>
          <w:sz w:val="20"/>
        </w:rPr>
        <w:t>Evidence Act 2008</w:t>
      </w:r>
      <w:r w:rsidRPr="00EE245F">
        <w:rPr>
          <w:rFonts w:ascii="Arial" w:hAnsi="Arial" w:cs="Arial"/>
          <w:sz w:val="20"/>
        </w:rPr>
        <w:t xml:space="preserve"> a</w:t>
      </w:r>
      <w:r>
        <w:rPr>
          <w:rFonts w:ascii="Arial" w:hAnsi="Arial" w:cs="Arial"/>
          <w:sz w:val="20"/>
        </w:rPr>
        <w:t>lso a</w:t>
      </w:r>
      <w:r w:rsidRPr="00EE245F">
        <w:rPr>
          <w:rFonts w:ascii="Arial" w:hAnsi="Arial" w:cs="Arial"/>
          <w:sz w:val="20"/>
        </w:rPr>
        <w:t xml:space="preserve">pplies to evidence led in proceedings in the </w:t>
      </w:r>
      <w:r>
        <w:rPr>
          <w:rFonts w:ascii="Arial" w:hAnsi="Arial" w:cs="Arial"/>
          <w:sz w:val="20"/>
        </w:rPr>
        <w:t>Family Division.  However, s.8 of that Act provides</w:t>
      </w:r>
      <w:r w:rsidR="00DD0DA0" w:rsidRPr="00A31FFA">
        <w:rPr>
          <w:rFonts w:ascii="Arial" w:hAnsi="Arial" w:cs="Arial"/>
          <w:sz w:val="20"/>
        </w:rPr>
        <w:t>–</w:t>
      </w:r>
      <w:r>
        <w:rPr>
          <w:rFonts w:ascii="Arial" w:hAnsi="Arial" w:cs="Arial"/>
          <w:sz w:val="20"/>
        </w:rPr>
        <w:t xml:space="preserve"> “This Act does not affect the operation of the provisions of any other Act.”  Note 4 to s.4 states: “Provisions in other Victorian Acts which relieve courts from the obligation to apply the rules of evidence in certain proceedings are preserved by s.8 of this Act.  These include s.215 of the </w:t>
      </w:r>
      <w:r w:rsidRPr="00411BA1">
        <w:rPr>
          <w:rFonts w:ascii="Arial" w:hAnsi="Arial" w:cs="Arial"/>
          <w:b/>
          <w:sz w:val="20"/>
        </w:rPr>
        <w:t>Children, Youth and Families Act 2005</w:t>
      </w:r>
      <w:r>
        <w:rPr>
          <w:rFonts w:ascii="Arial" w:hAnsi="Arial" w:cs="Arial"/>
          <w:sz w:val="20"/>
        </w:rPr>
        <w:t>.”</w:t>
      </w:r>
      <w:r w:rsidR="00A13B31">
        <w:rPr>
          <w:rFonts w:ascii="Arial" w:hAnsi="Arial" w:cs="Arial"/>
          <w:sz w:val="20"/>
        </w:rPr>
        <w:t xml:space="preserve">  </w:t>
      </w:r>
      <w:r w:rsidR="00ED6D68">
        <w:rPr>
          <w:rFonts w:ascii="Arial" w:hAnsi="Arial" w:cs="Arial"/>
          <w:sz w:val="20"/>
        </w:rPr>
        <w:t xml:space="preserve">It follows that s.142 of the </w:t>
      </w:r>
      <w:r w:rsidR="00ED6D68" w:rsidRPr="00934D0F">
        <w:rPr>
          <w:rFonts w:ascii="Arial" w:hAnsi="Arial" w:cs="Arial"/>
          <w:i/>
          <w:iCs/>
          <w:sz w:val="20"/>
        </w:rPr>
        <w:t>Evidence Act 2008</w:t>
      </w:r>
      <w:r w:rsidR="00ED6D68">
        <w:rPr>
          <w:rFonts w:ascii="Arial" w:hAnsi="Arial" w:cs="Arial"/>
          <w:sz w:val="20"/>
        </w:rPr>
        <w:t xml:space="preserve"> does not alter the power of the Family Division of the Children’s Court to “inform itself on a matter in such manner as it thinks fit, despite any rules of evidence to the contrary”.</w:t>
      </w:r>
    </w:p>
    <w:p w14:paraId="4FB512BE" w14:textId="77777777" w:rsidR="00ED6D68" w:rsidRDefault="00ED6D68" w:rsidP="00A10E05">
      <w:pPr>
        <w:jc w:val="both"/>
        <w:rPr>
          <w:rFonts w:ascii="Arial" w:hAnsi="Arial" w:cs="Arial"/>
          <w:bCs/>
          <w:sz w:val="20"/>
        </w:rPr>
      </w:pPr>
    </w:p>
    <w:p w14:paraId="44DCC58D" w14:textId="5EB9BFDD" w:rsidR="00A4066A" w:rsidRDefault="00A4066A" w:rsidP="00A10E05">
      <w:pPr>
        <w:jc w:val="both"/>
        <w:rPr>
          <w:rFonts w:ascii="Arial" w:hAnsi="Arial" w:cs="Arial"/>
          <w:bCs/>
          <w:sz w:val="20"/>
        </w:rPr>
      </w:pPr>
      <w:r>
        <w:rPr>
          <w:rFonts w:ascii="Arial" w:hAnsi="Arial" w:cs="Arial"/>
          <w:bCs/>
          <w:sz w:val="20"/>
        </w:rPr>
        <w:t xml:space="preserve">The proper operation of a provision </w:t>
      </w:r>
      <w:r w:rsidR="00A13B31">
        <w:rPr>
          <w:rFonts w:ascii="Arial" w:hAnsi="Arial" w:cs="Arial"/>
          <w:bCs/>
          <w:sz w:val="20"/>
        </w:rPr>
        <w:t xml:space="preserve">akin to s.215(1)(d) CYFA </w:t>
      </w:r>
      <w:r>
        <w:rPr>
          <w:rFonts w:ascii="Arial" w:hAnsi="Arial" w:cs="Arial"/>
          <w:bCs/>
          <w:sz w:val="20"/>
        </w:rPr>
        <w:t xml:space="preserve">was explained by Higgins J in the Supreme Court of the A.C.T. in </w:t>
      </w:r>
      <w:r>
        <w:rPr>
          <w:rFonts w:ascii="Arial" w:hAnsi="Arial" w:cs="Arial"/>
          <w:bCs/>
          <w:i/>
          <w:iCs/>
          <w:sz w:val="20"/>
        </w:rPr>
        <w:t xml:space="preserve">A &amp; B v Director of Family Services </w:t>
      </w:r>
      <w:r>
        <w:rPr>
          <w:rFonts w:ascii="Arial" w:hAnsi="Arial" w:cs="Arial"/>
          <w:sz w:val="20"/>
        </w:rPr>
        <w:t xml:space="preserve">(1996) 20 </w:t>
      </w:r>
      <w:r w:rsidR="000F0BE9">
        <w:rPr>
          <w:rFonts w:ascii="Arial" w:hAnsi="Arial" w:cs="Arial"/>
          <w:sz w:val="20"/>
        </w:rPr>
        <w:t>I</w:t>
      </w:r>
      <w:r>
        <w:rPr>
          <w:rFonts w:ascii="Arial" w:hAnsi="Arial" w:cs="Arial"/>
          <w:sz w:val="20"/>
        </w:rPr>
        <w:t xml:space="preserve"> LR 549 at 553-4</w:t>
      </w:r>
      <w:r w:rsidR="00DD0DA0">
        <w:rPr>
          <w:rFonts w:ascii="Arial" w:hAnsi="Arial" w:cs="Arial"/>
          <w:bCs/>
          <w:sz w:val="20"/>
        </w:rPr>
        <w:t>:</w:t>
      </w:r>
    </w:p>
    <w:p w14:paraId="64938504" w14:textId="77777777"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t>“[I]t should be recognised that such provisions do not render the rules of evidence irrelevant.  They should still be applied unless, for sound reason, their application is dispensed with.</w:t>
      </w:r>
    </w:p>
    <w:p w14:paraId="0A62DFA5" w14:textId="77777777"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t>In these proceedings, it seems to have been assumed that the rules of evidence relating to both hearsay and to expert evidence had no application.</w:t>
      </w:r>
    </w:p>
    <w:p w14:paraId="0E2A73B8" w14:textId="5484FD39"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t xml:space="preserve">The proper approach to the application of the rules of evidence in the face of such a provision was considered by Lockhart J in </w:t>
      </w:r>
      <w:r>
        <w:rPr>
          <w:rFonts w:ascii="Arial" w:hAnsi="Arial" w:cs="Arial"/>
          <w:bCs/>
          <w:i/>
          <w:iCs/>
          <w:sz w:val="20"/>
        </w:rPr>
        <w:t xml:space="preserve">Pearce v Button </w:t>
      </w:r>
      <w:r>
        <w:rPr>
          <w:rFonts w:ascii="Arial" w:hAnsi="Arial" w:cs="Arial"/>
          <w:sz w:val="20"/>
        </w:rPr>
        <w:t>(1985) 65 ALR 83 at 97; 8 FCR 408 at 422.</w:t>
      </w:r>
      <w:r>
        <w:rPr>
          <w:sz w:val="20"/>
        </w:rPr>
        <w:t xml:space="preserve">  </w:t>
      </w:r>
      <w:r>
        <w:rPr>
          <w:rFonts w:ascii="Arial" w:hAnsi="Arial" w:cs="Arial"/>
          <w:bCs/>
          <w:sz w:val="20"/>
        </w:rPr>
        <w:t>His Honour said</w:t>
      </w:r>
      <w:r w:rsidR="00DD0DA0" w:rsidRPr="00A31FFA">
        <w:rPr>
          <w:rFonts w:ascii="Arial" w:hAnsi="Arial" w:cs="Arial"/>
          <w:sz w:val="20"/>
        </w:rPr>
        <w:t>–</w:t>
      </w:r>
    </w:p>
    <w:p w14:paraId="0DA604DB" w14:textId="77777777" w:rsidR="00A4066A" w:rsidRDefault="00A4066A" w:rsidP="00A4066A">
      <w:pPr>
        <w:spacing w:before="60"/>
        <w:ind w:left="567" w:right="567"/>
        <w:jc w:val="both"/>
        <w:rPr>
          <w:rFonts w:ascii="Arial" w:hAnsi="Arial" w:cs="Arial"/>
          <w:bCs/>
          <w:sz w:val="20"/>
        </w:rPr>
      </w:pPr>
      <w:r>
        <w:rPr>
          <w:rFonts w:ascii="Arial" w:hAnsi="Arial" w:cs="Arial"/>
          <w:bCs/>
          <w:sz w:val="20"/>
        </w:rPr>
        <w:t>‘…a judge should be slow to invoke it [a power to dispense with compliance with rules of evidence] where there is a real dispute about matters which go to the heart of the case.’”</w:t>
      </w:r>
    </w:p>
    <w:p w14:paraId="35150313" w14:textId="729DC616" w:rsidR="00A4066A" w:rsidRDefault="00A4066A" w:rsidP="00A4066A">
      <w:pPr>
        <w:spacing w:before="120"/>
        <w:jc w:val="both"/>
        <w:rPr>
          <w:rFonts w:ascii="Arial" w:hAnsi="Arial" w:cs="Arial"/>
          <w:sz w:val="20"/>
        </w:rPr>
      </w:pPr>
      <w:r>
        <w:rPr>
          <w:rFonts w:ascii="Arial" w:hAnsi="Arial" w:cs="Arial"/>
          <w:bCs/>
          <w:sz w:val="20"/>
        </w:rPr>
        <w:t xml:space="preserve">Higgins J </w:t>
      </w:r>
      <w:r>
        <w:rPr>
          <w:rFonts w:ascii="Arial" w:hAnsi="Arial" w:cs="Arial"/>
          <w:sz w:val="20"/>
        </w:rPr>
        <w:t xml:space="preserve">went on to discuss in detail the dangers inherent in the reception of hearsay evidence, citing dicta of the High Court in </w:t>
      </w:r>
      <w:r>
        <w:rPr>
          <w:rFonts w:ascii="Arial" w:hAnsi="Arial" w:cs="Arial"/>
          <w:i/>
          <w:sz w:val="20"/>
        </w:rPr>
        <w:t>Bannon v R</w:t>
      </w:r>
      <w:r>
        <w:rPr>
          <w:rFonts w:ascii="Arial" w:hAnsi="Arial" w:cs="Arial"/>
          <w:sz w:val="20"/>
        </w:rPr>
        <w:t xml:space="preserve"> (1995) 132 ALR 87; 70 ALJR 25 and </w:t>
      </w:r>
      <w:r>
        <w:rPr>
          <w:rFonts w:ascii="Arial" w:hAnsi="Arial" w:cs="Arial"/>
          <w:i/>
          <w:sz w:val="20"/>
        </w:rPr>
        <w:t>Straker v R</w:t>
      </w:r>
      <w:r>
        <w:rPr>
          <w:rFonts w:ascii="Arial" w:hAnsi="Arial" w:cs="Arial"/>
          <w:sz w:val="20"/>
        </w:rPr>
        <w:t xml:space="preserve"> (1977) 15 ALR 103; 51 ALJR 690.</w:t>
      </w:r>
      <w:r w:rsidR="006668EB">
        <w:rPr>
          <w:rFonts w:ascii="Arial" w:hAnsi="Arial" w:cs="Arial"/>
          <w:sz w:val="20"/>
        </w:rPr>
        <w:t xml:space="preserve">  The writer saw a </w:t>
      </w:r>
      <w:r w:rsidR="00892D9B">
        <w:rPr>
          <w:rFonts w:ascii="Arial" w:hAnsi="Arial" w:cs="Arial"/>
          <w:sz w:val="20"/>
        </w:rPr>
        <w:t>striking</w:t>
      </w:r>
      <w:r w:rsidR="006668EB">
        <w:rPr>
          <w:rFonts w:ascii="Arial" w:hAnsi="Arial" w:cs="Arial"/>
          <w:sz w:val="20"/>
        </w:rPr>
        <w:t xml:space="preserve"> example of such a danger in a contested Family Division case in 2018 in which </w:t>
      </w:r>
      <w:r w:rsidR="00ED6D68">
        <w:rPr>
          <w:rFonts w:ascii="Arial" w:hAnsi="Arial" w:cs="Arial"/>
          <w:sz w:val="20"/>
        </w:rPr>
        <w:t>one of the</w:t>
      </w:r>
      <w:r w:rsidR="006668EB">
        <w:rPr>
          <w:rFonts w:ascii="Arial" w:hAnsi="Arial" w:cs="Arial"/>
          <w:sz w:val="20"/>
        </w:rPr>
        <w:t xml:space="preserve"> Department’s report</w:t>
      </w:r>
      <w:r w:rsidR="00ED6D68">
        <w:rPr>
          <w:rFonts w:ascii="Arial" w:hAnsi="Arial" w:cs="Arial"/>
          <w:sz w:val="20"/>
        </w:rPr>
        <w:t>s</w:t>
      </w:r>
      <w:r w:rsidR="006668EB">
        <w:rPr>
          <w:rFonts w:ascii="Arial" w:hAnsi="Arial" w:cs="Arial"/>
          <w:sz w:val="20"/>
        </w:rPr>
        <w:t xml:space="preserve"> had said that “a secondary report was received that [the father] had been seen with [</w:t>
      </w:r>
      <w:r w:rsidR="00892D9B">
        <w:rPr>
          <w:rFonts w:ascii="Arial" w:hAnsi="Arial" w:cs="Arial"/>
          <w:sz w:val="20"/>
        </w:rPr>
        <w:t xml:space="preserve">M, </w:t>
      </w:r>
      <w:r w:rsidR="006668EB">
        <w:rPr>
          <w:rFonts w:ascii="Arial" w:hAnsi="Arial" w:cs="Arial"/>
          <w:sz w:val="20"/>
        </w:rPr>
        <w:t>one of his children] in [X] shopping center [</w:t>
      </w:r>
      <w:r w:rsidR="006668EB" w:rsidRPr="006668EB">
        <w:rPr>
          <w:rFonts w:ascii="Arial" w:hAnsi="Arial" w:cs="Arial"/>
          <w:i/>
          <w:iCs/>
          <w:sz w:val="20"/>
        </w:rPr>
        <w:t>sic</w:t>
      </w:r>
      <w:r w:rsidR="006668EB">
        <w:rPr>
          <w:rFonts w:ascii="Arial" w:hAnsi="Arial" w:cs="Arial"/>
          <w:sz w:val="20"/>
        </w:rPr>
        <w:t xml:space="preserve">]”.  However, the case note </w:t>
      </w:r>
      <w:r w:rsidR="007D0083">
        <w:rPr>
          <w:rFonts w:ascii="Arial" w:hAnsi="Arial" w:cs="Arial"/>
          <w:sz w:val="20"/>
        </w:rPr>
        <w:t>i</w:t>
      </w:r>
      <w:r w:rsidR="006668EB">
        <w:rPr>
          <w:rFonts w:ascii="Arial" w:hAnsi="Arial" w:cs="Arial"/>
          <w:sz w:val="20"/>
        </w:rPr>
        <w:t xml:space="preserve">n which this comment was made – a case note on which reporter privilege was </w:t>
      </w:r>
      <w:r w:rsidR="001B6C9D">
        <w:rPr>
          <w:rFonts w:ascii="Arial" w:hAnsi="Arial" w:cs="Arial"/>
          <w:sz w:val="20"/>
        </w:rPr>
        <w:t xml:space="preserve">unsuccessfully </w:t>
      </w:r>
      <w:r w:rsidR="006668EB">
        <w:rPr>
          <w:rFonts w:ascii="Arial" w:hAnsi="Arial" w:cs="Arial"/>
          <w:sz w:val="20"/>
        </w:rPr>
        <w:t xml:space="preserve">claimed – included </w:t>
      </w:r>
      <w:r w:rsidR="00ED6D68">
        <w:rPr>
          <w:rFonts w:ascii="Arial" w:hAnsi="Arial" w:cs="Arial"/>
          <w:sz w:val="20"/>
        </w:rPr>
        <w:t>information</w:t>
      </w:r>
      <w:r w:rsidR="006668EB">
        <w:rPr>
          <w:rFonts w:ascii="Arial" w:hAnsi="Arial" w:cs="Arial"/>
          <w:sz w:val="20"/>
        </w:rPr>
        <w:t xml:space="preserve"> that the reporter “didn’t personally see [the father and </w:t>
      </w:r>
      <w:r w:rsidR="009C37B7">
        <w:rPr>
          <w:rFonts w:ascii="Arial" w:hAnsi="Arial" w:cs="Arial"/>
          <w:sz w:val="20"/>
        </w:rPr>
        <w:t>M</w:t>
      </w:r>
      <w:r w:rsidR="006668EB">
        <w:rPr>
          <w:rFonts w:ascii="Arial" w:hAnsi="Arial" w:cs="Arial"/>
          <w:sz w:val="20"/>
        </w:rPr>
        <w:t xml:space="preserve">] together but that it was an unrelated third person </w:t>
      </w:r>
      <w:r w:rsidR="00ED6D68">
        <w:rPr>
          <w:rFonts w:ascii="Arial" w:hAnsi="Arial" w:cs="Arial"/>
          <w:sz w:val="20"/>
        </w:rPr>
        <w:t>“</w:t>
      </w:r>
      <w:r w:rsidR="006668EB">
        <w:rPr>
          <w:rFonts w:ascii="Arial" w:hAnsi="Arial" w:cs="Arial"/>
          <w:sz w:val="20"/>
        </w:rPr>
        <w:t xml:space="preserve">who had told him she believed she saw [the father and </w:t>
      </w:r>
      <w:r w:rsidR="00892D9B">
        <w:rPr>
          <w:rFonts w:ascii="Arial" w:hAnsi="Arial" w:cs="Arial"/>
          <w:sz w:val="20"/>
        </w:rPr>
        <w:t>M</w:t>
      </w:r>
      <w:r w:rsidR="00ED6D68">
        <w:rPr>
          <w:rFonts w:ascii="Arial" w:hAnsi="Arial" w:cs="Arial"/>
          <w:sz w:val="20"/>
        </w:rPr>
        <w:t>] together at [X] shopping centre on the Saturday”.</w:t>
      </w:r>
    </w:p>
    <w:p w14:paraId="2A821BF3" w14:textId="77777777" w:rsidR="00A10E05" w:rsidRDefault="00A10E05" w:rsidP="00A4066A">
      <w:pPr>
        <w:jc w:val="both"/>
        <w:rPr>
          <w:rFonts w:ascii="Arial" w:hAnsi="Arial" w:cs="Arial"/>
          <w:sz w:val="20"/>
        </w:rPr>
      </w:pPr>
    </w:p>
    <w:p w14:paraId="5C77107E" w14:textId="704306D7" w:rsidR="00A4066A" w:rsidRDefault="0019386A" w:rsidP="00A4066A">
      <w:pPr>
        <w:jc w:val="both"/>
        <w:rPr>
          <w:rFonts w:ascii="Arial" w:hAnsi="Arial" w:cs="Arial"/>
          <w:sz w:val="20"/>
        </w:rPr>
      </w:pPr>
      <w:r>
        <w:rPr>
          <w:rFonts w:ascii="Arial" w:hAnsi="Arial" w:cs="Arial"/>
          <w:sz w:val="20"/>
        </w:rPr>
        <w:t>However, notwithstanding the broad words “as it thinks fit”</w:t>
      </w:r>
      <w:r w:rsidR="00ED6D68">
        <w:rPr>
          <w:rFonts w:ascii="Arial" w:hAnsi="Arial" w:cs="Arial"/>
          <w:sz w:val="20"/>
        </w:rPr>
        <w:t>,</w:t>
      </w:r>
      <w:r>
        <w:rPr>
          <w:rFonts w:ascii="Arial" w:hAnsi="Arial" w:cs="Arial"/>
          <w:sz w:val="20"/>
        </w:rPr>
        <w:t xml:space="preserve"> s.215(1)(d) of the CYFA</w:t>
      </w:r>
      <w:r w:rsidR="00427CCB">
        <w:rPr>
          <w:rFonts w:ascii="Arial" w:hAnsi="Arial" w:cs="Arial"/>
          <w:sz w:val="20"/>
        </w:rPr>
        <w:t xml:space="preserve"> </w:t>
      </w:r>
      <w:r>
        <w:rPr>
          <w:rFonts w:ascii="Arial" w:hAnsi="Arial" w:cs="Arial"/>
          <w:sz w:val="20"/>
        </w:rPr>
        <w:t xml:space="preserve">does not authorize the Family Division to dispense with procedural fairness in any case.  </w:t>
      </w:r>
      <w:r w:rsidR="00A4066A">
        <w:rPr>
          <w:rFonts w:ascii="Arial" w:hAnsi="Arial" w:cs="Arial"/>
          <w:sz w:val="20"/>
        </w:rPr>
        <w:t>In</w:t>
      </w:r>
      <w:r>
        <w:rPr>
          <w:rFonts w:ascii="Arial" w:hAnsi="Arial" w:cs="Arial"/>
          <w:sz w:val="20"/>
        </w:rPr>
        <w:t> </w:t>
      </w:r>
      <w:r w:rsidR="00A4066A" w:rsidRPr="00544F20">
        <w:rPr>
          <w:rFonts w:ascii="Arial" w:hAnsi="Arial" w:cs="Arial"/>
          <w:i/>
          <w:sz w:val="20"/>
        </w:rPr>
        <w:t>Weinstein v Medical Practitioners Board of Victoria</w:t>
      </w:r>
      <w:r w:rsidR="00A4066A">
        <w:rPr>
          <w:rFonts w:ascii="Arial" w:hAnsi="Arial" w:cs="Arial"/>
          <w:sz w:val="20"/>
        </w:rPr>
        <w:t xml:space="preserve"> [2008] VSCA 193 the Court of Appeal discussed the operation of a similar provision in s.52(1)(c) of the </w:t>
      </w:r>
      <w:r w:rsidR="00A4066A" w:rsidRPr="00934D0F">
        <w:rPr>
          <w:rFonts w:ascii="Arial" w:hAnsi="Arial" w:cs="Arial"/>
          <w:i/>
          <w:iCs/>
          <w:sz w:val="20"/>
        </w:rPr>
        <w:t>Medical Practice Act 1994</w:t>
      </w:r>
      <w:r w:rsidR="00A4066A">
        <w:rPr>
          <w:rFonts w:ascii="Arial" w:hAnsi="Arial" w:cs="Arial"/>
          <w:sz w:val="20"/>
        </w:rPr>
        <w:t>.  In rejecting a submission that the words “may inform itself in any way it thinks fit” should be regarded as redundant but holding that the words were subject to a requirement to accord procedural fairness, Maxwell P said at [28]-[29]</w:t>
      </w:r>
      <w:r w:rsidR="00D30F0A">
        <w:rPr>
          <w:rFonts w:ascii="Arial" w:hAnsi="Arial" w:cs="Arial"/>
          <w:sz w:val="20"/>
        </w:rPr>
        <w:t>:</w:t>
      </w:r>
    </w:p>
    <w:p w14:paraId="5EC09C18" w14:textId="77777777" w:rsidR="00A4066A" w:rsidRDefault="00A4066A" w:rsidP="006A0F25">
      <w:pPr>
        <w:spacing w:before="60"/>
        <w:ind w:left="567" w:right="567"/>
        <w:jc w:val="both"/>
        <w:rPr>
          <w:rFonts w:ascii="Arial" w:hAnsi="Arial" w:cs="Arial"/>
          <w:bCs/>
          <w:sz w:val="20"/>
        </w:rPr>
      </w:pPr>
      <w:r>
        <w:rPr>
          <w:rFonts w:ascii="Arial" w:hAnsi="Arial" w:cs="Arial"/>
          <w:bCs/>
          <w:sz w:val="20"/>
        </w:rPr>
        <w:t>“</w:t>
      </w:r>
      <w:r>
        <w:rPr>
          <w:rFonts w:ascii="Arial" w:hAnsi="Arial" w:cs="Arial"/>
          <w:sz w:val="20"/>
        </w:rPr>
        <w:t xml:space="preserve">The words ‘may inform itself…’ were plainly intended to have work to </w:t>
      </w:r>
      <w:proofErr w:type="gramStart"/>
      <w:r>
        <w:rPr>
          <w:rFonts w:ascii="Arial" w:hAnsi="Arial" w:cs="Arial"/>
          <w:sz w:val="20"/>
        </w:rPr>
        <w:t>do:</w:t>
      </w:r>
      <w:proofErr w:type="gramEnd"/>
      <w:r>
        <w:rPr>
          <w:rFonts w:ascii="Arial" w:hAnsi="Arial" w:cs="Arial"/>
          <w:sz w:val="20"/>
        </w:rPr>
        <w:t xml:space="preserve"> cf. </w:t>
      </w:r>
      <w:r w:rsidRPr="00FC40FC">
        <w:rPr>
          <w:rFonts w:ascii="Arial" w:hAnsi="Arial" w:cs="Arial"/>
          <w:i/>
          <w:sz w:val="20"/>
        </w:rPr>
        <w:t xml:space="preserve">Project Blue Sky Inc v </w:t>
      </w:r>
      <w:smartTag w:uri="urn:schemas-microsoft-com:office:smarttags" w:element="place">
        <w:smartTag w:uri="urn:schemas-microsoft-com:office:smarttags" w:element="City">
          <w:r w:rsidRPr="00FC40FC">
            <w:rPr>
              <w:rFonts w:ascii="Arial" w:hAnsi="Arial" w:cs="Arial"/>
              <w:i/>
              <w:sz w:val="20"/>
            </w:rPr>
            <w:t>ABA</w:t>
          </w:r>
        </w:smartTag>
      </w:smartTag>
      <w:r w:rsidRPr="00FC40FC">
        <w:rPr>
          <w:rFonts w:ascii="Arial" w:hAnsi="Arial" w:cs="Arial"/>
          <w:i/>
          <w:sz w:val="20"/>
        </w:rPr>
        <w:t xml:space="preserve"> </w:t>
      </w:r>
      <w:r>
        <w:rPr>
          <w:rFonts w:ascii="Arial" w:hAnsi="Arial" w:cs="Arial"/>
          <w:sz w:val="20"/>
        </w:rPr>
        <w:t xml:space="preserve">(1998) 194 CLR 335, 382 [71] (McHugh, Gummow, Kirby &amp; Hayne JJ).  They have a meaning and a purpose quite distinct from the meaning and purpose of the words ‘not bound by the rules of evidence’…For the purposes of ‘determining the matter before it’, the panel is authorised to ‘inform itself in any way it thinks fit’ subject always to the overriding obligation to accord procedural fairness.  This conclusion accords with what was said by McInerney J when considering analogous provisions in </w:t>
      </w:r>
      <w:r w:rsidRPr="00544F20">
        <w:rPr>
          <w:rFonts w:ascii="Arial" w:hAnsi="Arial" w:cs="Arial"/>
          <w:i/>
          <w:sz w:val="20"/>
        </w:rPr>
        <w:t xml:space="preserve">Wajnberg v Raynor and </w:t>
      </w:r>
      <w:smartTag w:uri="urn:schemas-microsoft-com:office:smarttags" w:element="place">
        <w:smartTag w:uri="urn:schemas-microsoft-com:office:smarttags" w:element="City">
          <w:r w:rsidRPr="00544F20">
            <w:rPr>
              <w:rFonts w:ascii="Arial" w:hAnsi="Arial" w:cs="Arial"/>
              <w:i/>
              <w:sz w:val="20"/>
            </w:rPr>
            <w:t>Melbourne</w:t>
          </w:r>
        </w:smartTag>
      </w:smartTag>
      <w:r w:rsidRPr="00544F20">
        <w:rPr>
          <w:rFonts w:ascii="Arial" w:hAnsi="Arial" w:cs="Arial"/>
          <w:i/>
          <w:sz w:val="20"/>
        </w:rPr>
        <w:t xml:space="preserve"> and Metropolitan Board of Works</w:t>
      </w:r>
      <w:r>
        <w:rPr>
          <w:rFonts w:ascii="Arial" w:hAnsi="Arial" w:cs="Arial"/>
          <w:sz w:val="20"/>
        </w:rPr>
        <w:t xml:space="preserve"> [1971] VR 665.  As Weinberg JA pointed out in argument, an equivalent power is conferred on the Family Division of the Children’s Court: s.215(1)(d) of the </w:t>
      </w:r>
      <w:r w:rsidRPr="00544F20">
        <w:rPr>
          <w:rFonts w:ascii="Arial" w:hAnsi="Arial" w:cs="Arial"/>
          <w:sz w:val="20"/>
        </w:rPr>
        <w:t>CYFA</w:t>
      </w:r>
      <w:r>
        <w:rPr>
          <w:rFonts w:ascii="Arial" w:hAnsi="Arial" w:cs="Arial"/>
          <w:sz w:val="20"/>
        </w:rPr>
        <w:t>.”</w:t>
      </w:r>
    </w:p>
    <w:p w14:paraId="767DBFC9" w14:textId="77777777" w:rsidR="002B489D" w:rsidRDefault="002B489D" w:rsidP="002B489D">
      <w:pPr>
        <w:jc w:val="both"/>
        <w:rPr>
          <w:rFonts w:ascii="Arial" w:hAnsi="Arial" w:cs="Arial"/>
          <w:sz w:val="20"/>
        </w:rPr>
      </w:pPr>
    </w:p>
    <w:p w14:paraId="61BB1416" w14:textId="529188EB" w:rsidR="0022246F" w:rsidRPr="009F25D4" w:rsidRDefault="00165BA9" w:rsidP="00C41198">
      <w:pPr>
        <w:pStyle w:val="Heading3"/>
        <w:keepNext/>
        <w:keepLines/>
        <w:widowControl/>
        <w:spacing w:line="240" w:lineRule="auto"/>
        <w:rPr>
          <w:rFonts w:ascii="Arial" w:hAnsi="Arial" w:cs="Arial"/>
          <w:b/>
          <w:bCs/>
          <w:color w:val="000000"/>
          <w:sz w:val="20"/>
        </w:rPr>
      </w:pPr>
      <w:bookmarkStart w:id="596" w:name="_3.5.3.4_The_hearsay"/>
      <w:bookmarkEnd w:id="596"/>
      <w:r>
        <w:rPr>
          <w:rFonts w:ascii="Arial" w:hAnsi="Arial" w:cs="Arial"/>
          <w:b/>
          <w:bCs/>
          <w:color w:val="000000"/>
          <w:sz w:val="20"/>
        </w:rPr>
        <w:lastRenderedPageBreak/>
        <w:t>3.</w:t>
      </w:r>
      <w:r w:rsidR="0019386A" w:rsidRPr="008C3BC8">
        <w:rPr>
          <w:rFonts w:ascii="Arial" w:hAnsi="Arial" w:cs="Arial"/>
          <w:b/>
          <w:bCs/>
          <w:color w:val="000000"/>
          <w:sz w:val="20"/>
        </w:rPr>
        <w:t>5.</w:t>
      </w:r>
      <w:r w:rsidR="0019386A">
        <w:rPr>
          <w:rFonts w:ascii="Arial" w:hAnsi="Arial" w:cs="Arial"/>
          <w:b/>
          <w:bCs/>
          <w:color w:val="000000"/>
          <w:sz w:val="20"/>
        </w:rPr>
        <w:t>3.4</w:t>
      </w:r>
      <w:r w:rsidR="0019386A">
        <w:rPr>
          <w:rFonts w:ascii="Arial" w:hAnsi="Arial" w:cs="Arial"/>
          <w:b/>
          <w:bCs/>
          <w:color w:val="000000"/>
          <w:sz w:val="20"/>
        </w:rPr>
        <w:tab/>
      </w:r>
      <w:r w:rsidR="0019386A" w:rsidRPr="008C3BC8">
        <w:rPr>
          <w:rFonts w:ascii="Arial" w:hAnsi="Arial" w:cs="Arial"/>
          <w:b/>
          <w:color w:val="000000"/>
          <w:sz w:val="20"/>
        </w:rPr>
        <w:t>The hearsay rule and exceptions thereto</w:t>
      </w:r>
    </w:p>
    <w:p w14:paraId="60FE8A46" w14:textId="2CA757E7" w:rsidR="0019386A" w:rsidRPr="00164487" w:rsidRDefault="0019386A" w:rsidP="00D62988">
      <w:pPr>
        <w:spacing w:before="120"/>
        <w:jc w:val="both"/>
        <w:rPr>
          <w:rFonts w:ascii="Arial" w:hAnsi="Arial" w:cs="Arial"/>
          <w:color w:val="000000"/>
          <w:sz w:val="20"/>
        </w:rPr>
      </w:pPr>
      <w:r w:rsidRPr="00164487">
        <w:rPr>
          <w:rFonts w:ascii="Arial" w:hAnsi="Arial" w:cs="Arial"/>
          <w:color w:val="000000"/>
          <w:sz w:val="20"/>
        </w:rPr>
        <w:t xml:space="preserve">Section 59 of the </w:t>
      </w:r>
      <w:r w:rsidRPr="0058675C">
        <w:rPr>
          <w:rFonts w:ascii="Arial" w:hAnsi="Arial" w:cs="Arial"/>
          <w:i/>
          <w:iCs/>
          <w:color w:val="000000"/>
          <w:sz w:val="20"/>
        </w:rPr>
        <w:t>Evidence Act 2008</w:t>
      </w:r>
      <w:r w:rsidRPr="00164487">
        <w:rPr>
          <w:rFonts w:ascii="Arial" w:hAnsi="Arial" w:cs="Arial"/>
          <w:color w:val="000000"/>
          <w:sz w:val="20"/>
        </w:rPr>
        <w:t xml:space="preserve"> sets out the hearsay rule: Evidence of a previous representation made by a person is not admissible to prove the existence of a fact that it can reasonably be supposed that the person intended to assert by the representation.  In determining whether it can reasonably be supposed that the person intended to assert a particular fact by the representation, the court may have regard to the circumstances in which the representation was made.</w:t>
      </w:r>
    </w:p>
    <w:p w14:paraId="200B8A0E" w14:textId="77777777" w:rsidR="0019386A" w:rsidRPr="00164487" w:rsidRDefault="0019386A" w:rsidP="0019386A">
      <w:pPr>
        <w:jc w:val="both"/>
        <w:rPr>
          <w:rFonts w:ascii="Arial" w:hAnsi="Arial" w:cs="Arial"/>
          <w:color w:val="000000"/>
          <w:sz w:val="20"/>
        </w:rPr>
      </w:pPr>
    </w:p>
    <w:p w14:paraId="75BC00C4" w14:textId="68890D4F" w:rsidR="0019386A" w:rsidRPr="00164487" w:rsidRDefault="0019386A" w:rsidP="0019386A">
      <w:pPr>
        <w:jc w:val="both"/>
        <w:rPr>
          <w:rFonts w:ascii="Arial" w:hAnsi="Arial" w:cs="Arial"/>
          <w:color w:val="000000"/>
          <w:sz w:val="20"/>
        </w:rPr>
      </w:pPr>
      <w:r w:rsidRPr="00164487">
        <w:rPr>
          <w:rFonts w:ascii="Arial" w:hAnsi="Arial" w:cs="Arial"/>
          <w:color w:val="000000"/>
          <w:sz w:val="20"/>
        </w:rPr>
        <w:t xml:space="preserve">The </w:t>
      </w:r>
      <w:r w:rsidRPr="0058675C">
        <w:rPr>
          <w:rFonts w:ascii="Arial" w:hAnsi="Arial" w:cs="Arial"/>
          <w:i/>
          <w:iCs/>
          <w:color w:val="000000"/>
          <w:sz w:val="20"/>
        </w:rPr>
        <w:t>Evidence Act 2008</w:t>
      </w:r>
      <w:r w:rsidR="0058675C" w:rsidRPr="0058675C">
        <w:rPr>
          <w:rFonts w:ascii="Arial" w:hAnsi="Arial" w:cs="Arial"/>
          <w:color w:val="000000"/>
          <w:sz w:val="20"/>
        </w:rPr>
        <w:t xml:space="preserve"> </w:t>
      </w:r>
      <w:r w:rsidRPr="00164487">
        <w:rPr>
          <w:rFonts w:ascii="Arial" w:hAnsi="Arial" w:cs="Arial"/>
          <w:color w:val="000000"/>
          <w:sz w:val="20"/>
        </w:rPr>
        <w:t>contains a large number of exceptions to the hearsay rule, including:</w:t>
      </w:r>
    </w:p>
    <w:p w14:paraId="48765C8F"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s.60: evidence relevant for a non-hearsay purpose;</w:t>
      </w:r>
    </w:p>
    <w:p w14:paraId="7FC9AF70" w14:textId="6F8FBC75"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ss.63-64: first-hand hearsay in civil proceedings</w:t>
      </w:r>
      <w:r w:rsidR="008F03B5">
        <w:rPr>
          <w:rFonts w:ascii="Arial" w:hAnsi="Arial" w:cs="Arial"/>
          <w:color w:val="000000"/>
          <w:sz w:val="20"/>
        </w:rPr>
        <w:t>;</w:t>
      </w:r>
    </w:p>
    <w:p w14:paraId="775C658D" w14:textId="1FED8EB9"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ss.65-66: first-hand hearsay in criminal proceedings</w:t>
      </w:r>
      <w:r w:rsidR="001B57FD">
        <w:rPr>
          <w:rFonts w:ascii="Arial" w:hAnsi="Arial" w:cs="Arial"/>
          <w:color w:val="000000"/>
          <w:sz w:val="20"/>
        </w:rPr>
        <w:t xml:space="preserve">: </w:t>
      </w:r>
      <w:r w:rsidR="00A27A0C">
        <w:rPr>
          <w:rFonts w:ascii="Arial" w:hAnsi="Arial" w:cs="Arial"/>
          <w:color w:val="000000"/>
          <w:sz w:val="20"/>
        </w:rPr>
        <w:t>see</w:t>
      </w:r>
      <w:r w:rsidR="001B57FD">
        <w:rPr>
          <w:rFonts w:ascii="Arial" w:hAnsi="Arial" w:cs="Arial"/>
          <w:color w:val="000000"/>
          <w:sz w:val="20"/>
        </w:rPr>
        <w:t xml:space="preserve"> </w:t>
      </w:r>
      <w:r w:rsidR="001B57FD" w:rsidRPr="00A27A0C">
        <w:rPr>
          <w:rFonts w:ascii="Arial" w:hAnsi="Arial" w:cs="Arial"/>
          <w:i/>
          <w:iCs/>
          <w:color w:val="000000"/>
          <w:sz w:val="20"/>
        </w:rPr>
        <w:t>Thorn v The King</w:t>
      </w:r>
      <w:r w:rsidR="001B57FD">
        <w:rPr>
          <w:rFonts w:ascii="Arial" w:hAnsi="Arial" w:cs="Arial"/>
          <w:color w:val="000000"/>
          <w:sz w:val="20"/>
        </w:rPr>
        <w:t xml:space="preserve"> [2026] VSCA 99</w:t>
      </w:r>
      <w:r w:rsidRPr="00164487">
        <w:rPr>
          <w:rFonts w:ascii="Arial" w:hAnsi="Arial" w:cs="Arial"/>
          <w:color w:val="000000"/>
          <w:sz w:val="20"/>
        </w:rPr>
        <w:t>;</w:t>
      </w:r>
    </w:p>
    <w:p w14:paraId="2EB0DAD1"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s.66A: contemporaneous statements about a person’s health etc;</w:t>
      </w:r>
    </w:p>
    <w:p w14:paraId="51C762DC" w14:textId="28DF8972" w:rsidR="0019386A" w:rsidRPr="00DC76C3"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s.69: business records</w:t>
      </w:r>
      <w:r w:rsidR="008F03B5">
        <w:rPr>
          <w:rFonts w:ascii="Arial" w:hAnsi="Arial" w:cs="Arial"/>
          <w:color w:val="000000"/>
          <w:sz w:val="20"/>
        </w:rPr>
        <w:t xml:space="preserve">: cf. </w:t>
      </w:r>
      <w:r w:rsidR="008F03B5" w:rsidRPr="008F03B5">
        <w:rPr>
          <w:rFonts w:ascii="Arial" w:hAnsi="Arial" w:cs="Arial"/>
          <w:i/>
          <w:iCs/>
          <w:sz w:val="20"/>
          <w:szCs w:val="20"/>
        </w:rPr>
        <w:t>Hayward v A &amp; T Goldman Pty Ltd (Ruling)</w:t>
      </w:r>
      <w:r w:rsidR="008F03B5" w:rsidRPr="008F03B5">
        <w:rPr>
          <w:rFonts w:ascii="Arial" w:hAnsi="Arial" w:cs="Arial"/>
          <w:sz w:val="20"/>
          <w:szCs w:val="20"/>
        </w:rPr>
        <w:t xml:space="preserve"> [2023] VSC 719</w:t>
      </w:r>
      <w:r w:rsidR="008F03B5">
        <w:rPr>
          <w:rFonts w:ascii="Arial" w:hAnsi="Arial" w:cs="Arial"/>
          <w:sz w:val="20"/>
          <w:szCs w:val="20"/>
        </w:rPr>
        <w:t>;</w:t>
      </w:r>
      <w:r w:rsidR="00DC76C3">
        <w:rPr>
          <w:rFonts w:ascii="Arial" w:hAnsi="Arial" w:cs="Arial"/>
          <w:sz w:val="20"/>
          <w:szCs w:val="20"/>
        </w:rPr>
        <w:t xml:space="preserve"> </w:t>
      </w:r>
      <w:r w:rsidR="00DC76C3" w:rsidRPr="00DC76C3">
        <w:rPr>
          <w:rFonts w:ascii="Arial" w:hAnsi="Arial" w:cs="Arial"/>
          <w:i/>
          <w:iCs/>
          <w:sz w:val="20"/>
          <w:szCs w:val="20"/>
        </w:rPr>
        <w:t>Kane (a pseudonym) v The King; Moon (a pseudonym) v The King</w:t>
      </w:r>
      <w:r w:rsidR="00DC76C3">
        <w:rPr>
          <w:rFonts w:ascii="Arial" w:hAnsi="Arial" w:cs="Arial"/>
          <w:sz w:val="20"/>
          <w:szCs w:val="20"/>
        </w:rPr>
        <w:t xml:space="preserve"> [2023] VSCA 305 at [65]-[66]</w:t>
      </w:r>
      <w:r w:rsidR="00116196">
        <w:rPr>
          <w:rFonts w:ascii="Arial" w:hAnsi="Arial" w:cs="Arial"/>
          <w:sz w:val="20"/>
          <w:szCs w:val="20"/>
        </w:rPr>
        <w:t xml:space="preserve">; </w:t>
      </w:r>
      <w:r w:rsidR="00116196" w:rsidRPr="00C84356">
        <w:rPr>
          <w:rFonts w:ascii="Arial" w:hAnsi="Arial" w:cs="Arial"/>
          <w:i/>
          <w:iCs/>
          <w:sz w:val="20"/>
          <w:szCs w:val="20"/>
        </w:rPr>
        <w:t>Wagner (a pseudonym) v The King</w:t>
      </w:r>
      <w:r w:rsidR="00116196" w:rsidRPr="00C84356">
        <w:rPr>
          <w:rFonts w:ascii="Arial" w:hAnsi="Arial" w:cs="Arial"/>
          <w:sz w:val="20"/>
          <w:szCs w:val="20"/>
        </w:rPr>
        <w:t xml:space="preserve"> [2025] VSCA 56</w:t>
      </w:r>
      <w:r w:rsidR="00116196">
        <w:rPr>
          <w:rFonts w:ascii="Arial" w:hAnsi="Arial" w:cs="Arial"/>
          <w:sz w:val="20"/>
          <w:szCs w:val="20"/>
        </w:rPr>
        <w:t xml:space="preserve"> at [6], [9]-[10] &amp; [68];</w:t>
      </w:r>
    </w:p>
    <w:p w14:paraId="69287114"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s.70: tags and labels;</w:t>
      </w:r>
    </w:p>
    <w:p w14:paraId="4F870054"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s.71: electronic communications;</w:t>
      </w:r>
    </w:p>
    <w:p w14:paraId="09247E38"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s.72: Aboriginal and Torres Strait Islander traditional laws and customs;</w:t>
      </w:r>
    </w:p>
    <w:p w14:paraId="580AECCE"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s.73: marriage, family history or family relationships;</w:t>
      </w:r>
    </w:p>
    <w:p w14:paraId="362B7919"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s.74: public or general rights;</w:t>
      </w:r>
    </w:p>
    <w:p w14:paraId="3CD17AE4"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s.75: use of evidence in interlocutory proceedings;</w:t>
      </w:r>
    </w:p>
    <w:p w14:paraId="4B644941" w14:textId="5A777CC3"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s.81: admissions</w:t>
      </w:r>
      <w:r w:rsidR="00A27A0C">
        <w:rPr>
          <w:rFonts w:ascii="Arial" w:hAnsi="Arial" w:cs="Arial"/>
          <w:color w:val="000000"/>
          <w:sz w:val="20"/>
        </w:rPr>
        <w:t xml:space="preserve">: see </w:t>
      </w:r>
      <w:r w:rsidR="00A27A0C" w:rsidRPr="00A27A0C">
        <w:rPr>
          <w:rFonts w:ascii="Arial" w:hAnsi="Arial" w:cs="Arial"/>
          <w:i/>
          <w:iCs/>
          <w:color w:val="000000"/>
          <w:sz w:val="20"/>
        </w:rPr>
        <w:t>Thorn v The King</w:t>
      </w:r>
      <w:r w:rsidR="00A27A0C">
        <w:rPr>
          <w:rFonts w:ascii="Arial" w:hAnsi="Arial" w:cs="Arial"/>
          <w:color w:val="000000"/>
          <w:sz w:val="20"/>
        </w:rPr>
        <w:t xml:space="preserve"> [2026] VSCA 99</w:t>
      </w:r>
      <w:r w:rsidRPr="00164487">
        <w:rPr>
          <w:rFonts w:ascii="Arial" w:hAnsi="Arial" w:cs="Arial"/>
          <w:color w:val="000000"/>
          <w:sz w:val="20"/>
        </w:rPr>
        <w:t>;</w:t>
      </w:r>
    </w:p>
    <w:p w14:paraId="615B26F1"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s.87(2): representations about employment or authority;</w:t>
      </w:r>
    </w:p>
    <w:p w14:paraId="00F1CDB6" w14:textId="29A5B918"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s.9</w:t>
      </w:r>
      <w:r w:rsidR="00CA4B60">
        <w:rPr>
          <w:rFonts w:ascii="Arial" w:hAnsi="Arial" w:cs="Arial"/>
          <w:color w:val="000000"/>
          <w:sz w:val="20"/>
        </w:rPr>
        <w:t>2</w:t>
      </w:r>
      <w:r w:rsidRPr="00164487">
        <w:rPr>
          <w:rFonts w:ascii="Arial" w:hAnsi="Arial" w:cs="Arial"/>
          <w:color w:val="000000"/>
          <w:sz w:val="20"/>
        </w:rPr>
        <w:t xml:space="preserve">: exceptions to the rule </w:t>
      </w:r>
      <w:r w:rsidR="00CA4B60">
        <w:rPr>
          <w:rFonts w:ascii="Arial" w:hAnsi="Arial" w:cs="Arial"/>
          <w:color w:val="000000"/>
          <w:sz w:val="20"/>
        </w:rPr>
        <w:t xml:space="preserve">in s.91 </w:t>
      </w:r>
      <w:r w:rsidRPr="00164487">
        <w:rPr>
          <w:rFonts w:ascii="Arial" w:hAnsi="Arial" w:cs="Arial"/>
          <w:color w:val="000000"/>
          <w:sz w:val="20"/>
        </w:rPr>
        <w:t>excluding evidence of judgments and convictions;</w:t>
      </w:r>
    </w:p>
    <w:p w14:paraId="576D70A5"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ss.110-111: character of and expert opinion about accused persons.</w:t>
      </w:r>
    </w:p>
    <w:p w14:paraId="1C874642" w14:textId="77777777" w:rsidR="0019386A" w:rsidRPr="00164487" w:rsidRDefault="0019386A" w:rsidP="0019386A">
      <w:pPr>
        <w:jc w:val="both"/>
        <w:rPr>
          <w:rFonts w:ascii="Arial" w:hAnsi="Arial" w:cs="Arial"/>
          <w:color w:val="000000"/>
          <w:sz w:val="20"/>
        </w:rPr>
      </w:pPr>
    </w:p>
    <w:p w14:paraId="0C9F0887" w14:textId="6C4C0D08" w:rsidR="0019386A" w:rsidRPr="00164487" w:rsidRDefault="0019386A" w:rsidP="0019386A">
      <w:pPr>
        <w:jc w:val="both"/>
        <w:rPr>
          <w:rFonts w:ascii="Arial" w:hAnsi="Arial" w:cs="Arial"/>
          <w:color w:val="000000"/>
          <w:sz w:val="20"/>
        </w:rPr>
      </w:pPr>
      <w:r w:rsidRPr="00164487">
        <w:rPr>
          <w:rFonts w:ascii="Arial" w:hAnsi="Arial" w:cs="Arial"/>
          <w:color w:val="000000"/>
          <w:sz w:val="20"/>
        </w:rPr>
        <w:t xml:space="preserve">Section 65 </w:t>
      </w:r>
      <w:r w:rsidR="00123639">
        <w:rPr>
          <w:rFonts w:ascii="Arial" w:hAnsi="Arial" w:cs="Arial"/>
          <w:color w:val="000000"/>
          <w:sz w:val="20"/>
        </w:rPr>
        <w:t xml:space="preserve">provides an exception to the hearsay rule in a criminal proceeding in a case where a person </w:t>
      </w:r>
      <w:r w:rsidRPr="00164487">
        <w:rPr>
          <w:rFonts w:ascii="Arial" w:hAnsi="Arial" w:cs="Arial"/>
          <w:color w:val="000000"/>
          <w:sz w:val="20"/>
        </w:rPr>
        <w:t xml:space="preserve">who made a previous representation </w:t>
      </w:r>
      <w:r w:rsidRPr="00123639">
        <w:rPr>
          <w:rFonts w:ascii="Arial" w:hAnsi="Arial" w:cs="Arial"/>
          <w:color w:val="000000"/>
          <w:sz w:val="20"/>
          <w:u w:val="single"/>
        </w:rPr>
        <w:t xml:space="preserve">is </w:t>
      </w:r>
      <w:r w:rsidRPr="00164487">
        <w:rPr>
          <w:rFonts w:ascii="Arial" w:hAnsi="Arial" w:cs="Arial"/>
          <w:color w:val="000000"/>
          <w:sz w:val="20"/>
          <w:u w:val="single"/>
        </w:rPr>
        <w:t>not available</w:t>
      </w:r>
      <w:r w:rsidRPr="00164487">
        <w:rPr>
          <w:rFonts w:ascii="Arial" w:hAnsi="Arial" w:cs="Arial"/>
          <w:color w:val="000000"/>
          <w:sz w:val="20"/>
        </w:rPr>
        <w:t xml:space="preserve"> to give evidence about an asserted fact.  Section 65(2) provides that the hearsay rule does not apply to evidence of a previous representation that is given by a person who saw, heard or otherwise perceived the representation being made if the representation</w:t>
      </w:r>
      <w:r w:rsidR="00DD0DA0" w:rsidRPr="00A31FFA">
        <w:rPr>
          <w:rFonts w:ascii="Arial" w:hAnsi="Arial" w:cs="Arial"/>
          <w:sz w:val="20"/>
        </w:rPr>
        <w:t>–</w:t>
      </w:r>
    </w:p>
    <w:p w14:paraId="4C16DF82" w14:textId="77777777" w:rsidR="0019386A" w:rsidRPr="00164487" w:rsidRDefault="0019386A" w:rsidP="006A0F25">
      <w:pPr>
        <w:ind w:left="357" w:hanging="357"/>
        <w:jc w:val="both"/>
        <w:rPr>
          <w:rFonts w:ascii="Arial" w:hAnsi="Arial" w:cs="Arial"/>
          <w:color w:val="000000"/>
          <w:sz w:val="20"/>
        </w:rPr>
      </w:pPr>
      <w:r w:rsidRPr="00164487">
        <w:rPr>
          <w:rFonts w:ascii="Arial" w:hAnsi="Arial" w:cs="Arial"/>
          <w:color w:val="000000"/>
          <w:sz w:val="20"/>
        </w:rPr>
        <w:t>(a)</w:t>
      </w:r>
      <w:r w:rsidRPr="00164487">
        <w:rPr>
          <w:rFonts w:ascii="Arial" w:hAnsi="Arial" w:cs="Arial"/>
          <w:color w:val="000000"/>
          <w:sz w:val="20"/>
        </w:rPr>
        <w:tab/>
        <w:t>was made under a duty to make that representation or to make representations of that kind; or</w:t>
      </w:r>
    </w:p>
    <w:p w14:paraId="24896E79" w14:textId="77777777" w:rsidR="0019386A" w:rsidRPr="00164487" w:rsidRDefault="0019386A" w:rsidP="0019386A">
      <w:pPr>
        <w:ind w:left="357" w:hanging="357"/>
        <w:jc w:val="both"/>
        <w:rPr>
          <w:rFonts w:ascii="Arial" w:hAnsi="Arial" w:cs="Arial"/>
          <w:color w:val="000000"/>
          <w:sz w:val="20"/>
        </w:rPr>
      </w:pPr>
      <w:r w:rsidRPr="00164487">
        <w:rPr>
          <w:rFonts w:ascii="Arial" w:hAnsi="Arial" w:cs="Arial"/>
          <w:color w:val="000000"/>
          <w:sz w:val="20"/>
        </w:rPr>
        <w:t>(b)</w:t>
      </w:r>
      <w:r w:rsidRPr="00164487">
        <w:rPr>
          <w:rFonts w:ascii="Arial" w:hAnsi="Arial" w:cs="Arial"/>
          <w:color w:val="000000"/>
          <w:sz w:val="20"/>
        </w:rPr>
        <w:tab/>
        <w:t>was made when or shortly after the asserted fact occurred and in circumstances that make it unlikely that the representation is a fabrication; or</w:t>
      </w:r>
    </w:p>
    <w:p w14:paraId="475FCF2E" w14:textId="77777777" w:rsidR="0019386A" w:rsidRPr="00164487" w:rsidRDefault="0019386A" w:rsidP="0019386A">
      <w:pPr>
        <w:ind w:left="357" w:hanging="357"/>
        <w:jc w:val="both"/>
        <w:rPr>
          <w:rFonts w:ascii="Arial" w:hAnsi="Arial" w:cs="Arial"/>
          <w:color w:val="000000"/>
          <w:sz w:val="20"/>
        </w:rPr>
      </w:pPr>
      <w:r w:rsidRPr="00164487">
        <w:rPr>
          <w:rFonts w:ascii="Arial" w:hAnsi="Arial" w:cs="Arial"/>
          <w:color w:val="000000"/>
          <w:sz w:val="20"/>
        </w:rPr>
        <w:t>(c)</w:t>
      </w:r>
      <w:r w:rsidRPr="00164487">
        <w:rPr>
          <w:rFonts w:ascii="Arial" w:hAnsi="Arial" w:cs="Arial"/>
          <w:color w:val="000000"/>
          <w:sz w:val="20"/>
        </w:rPr>
        <w:tab/>
        <w:t>was made in circumstances that make it highly probable that the representation is reliable; or</w:t>
      </w:r>
    </w:p>
    <w:p w14:paraId="419BEC88" w14:textId="77777777" w:rsidR="0019386A" w:rsidRPr="00164487" w:rsidRDefault="0019386A" w:rsidP="0019386A">
      <w:pPr>
        <w:ind w:left="357" w:hanging="357"/>
        <w:jc w:val="both"/>
        <w:rPr>
          <w:rFonts w:ascii="Arial" w:hAnsi="Arial" w:cs="Arial"/>
          <w:color w:val="000000"/>
          <w:sz w:val="20"/>
        </w:rPr>
      </w:pPr>
      <w:r w:rsidRPr="00164487">
        <w:rPr>
          <w:rFonts w:ascii="Arial" w:hAnsi="Arial" w:cs="Arial"/>
          <w:color w:val="000000"/>
          <w:sz w:val="20"/>
        </w:rPr>
        <w:t>(d)</w:t>
      </w:r>
      <w:r w:rsidRPr="00164487">
        <w:rPr>
          <w:rFonts w:ascii="Arial" w:hAnsi="Arial" w:cs="Arial"/>
          <w:color w:val="000000"/>
          <w:sz w:val="20"/>
        </w:rPr>
        <w:tab/>
        <w:t>was against the interests of the person who made it at the time it was made and was made in circumstances that make it likely that the representation is reliable.</w:t>
      </w:r>
    </w:p>
    <w:p w14:paraId="15CDE890" w14:textId="77777777" w:rsidR="0019386A" w:rsidRPr="00164487" w:rsidRDefault="0019386A" w:rsidP="0019386A">
      <w:pPr>
        <w:jc w:val="both"/>
        <w:rPr>
          <w:rFonts w:ascii="Arial" w:hAnsi="Arial" w:cs="Arial"/>
          <w:color w:val="000000"/>
          <w:sz w:val="20"/>
        </w:rPr>
      </w:pPr>
      <w:r w:rsidRPr="00164487">
        <w:rPr>
          <w:rFonts w:ascii="Arial" w:hAnsi="Arial" w:cs="Arial"/>
          <w:color w:val="000000"/>
          <w:sz w:val="20"/>
        </w:rPr>
        <w:t>Section 65(3) provides that the hearsay rule does not apply to evidence of a previous representation made in the course of giving evidence in court if in that previous proceeding the defendant in the current proceeding cross-examined – or had a reasonable opportunity to cross-examine – the person who made the representation about it.</w:t>
      </w:r>
    </w:p>
    <w:p w14:paraId="175F96E9" w14:textId="77777777" w:rsidR="0019386A" w:rsidRPr="00164487" w:rsidRDefault="0019386A" w:rsidP="0019386A">
      <w:pPr>
        <w:spacing w:before="120"/>
        <w:jc w:val="both"/>
        <w:rPr>
          <w:rFonts w:ascii="Arial" w:hAnsi="Arial" w:cs="Arial"/>
          <w:color w:val="000000"/>
          <w:sz w:val="20"/>
        </w:rPr>
      </w:pPr>
      <w:r w:rsidRPr="00164487">
        <w:rPr>
          <w:rFonts w:ascii="Arial" w:hAnsi="Arial" w:cs="Arial"/>
          <w:color w:val="000000"/>
          <w:sz w:val="20"/>
        </w:rPr>
        <w:t>Section 67 imposes notice requirements in relation to ss.65(2) &amp; 65(3).</w:t>
      </w:r>
    </w:p>
    <w:p w14:paraId="492D1DC5" w14:textId="669CF3A6" w:rsidR="0019386A" w:rsidRPr="00164487" w:rsidRDefault="0019386A" w:rsidP="0019386A">
      <w:pPr>
        <w:spacing w:before="120"/>
        <w:jc w:val="both"/>
        <w:rPr>
          <w:rFonts w:ascii="Arial" w:hAnsi="Arial" w:cs="Arial"/>
          <w:color w:val="000000"/>
          <w:sz w:val="20"/>
        </w:rPr>
      </w:pPr>
      <w:r w:rsidRPr="00164487">
        <w:rPr>
          <w:rFonts w:ascii="Arial" w:hAnsi="Arial" w:cs="Arial"/>
          <w:color w:val="000000"/>
          <w:sz w:val="20"/>
        </w:rPr>
        <w:t>Clause 4 of Part 2 of the Dictionary provides that a person is taken not to be available to give evidence about a fact if</w:t>
      </w:r>
      <w:r w:rsidR="00DD0DA0" w:rsidRPr="00A31FFA">
        <w:rPr>
          <w:rFonts w:ascii="Arial" w:hAnsi="Arial" w:cs="Arial"/>
          <w:sz w:val="20"/>
        </w:rPr>
        <w:t>–</w:t>
      </w:r>
    </w:p>
    <w:p w14:paraId="62DBE016"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the person is dead; or</w:t>
      </w:r>
    </w:p>
    <w:p w14:paraId="28309DCF"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the person is, for any reason other than the application of s.16 (Competence and compellability), not competent to give the evidence about the fact; or</w:t>
      </w:r>
    </w:p>
    <w:p w14:paraId="6C22E4AA"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it would be unlawful for the person to give evidence about the fact; or</w:t>
      </w:r>
    </w:p>
    <w:p w14:paraId="11AB3F21"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a provision of the Act prohibits the evidence being given; or</w:t>
      </w:r>
    </w:p>
    <w:p w14:paraId="71A181B8"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all reasonable steps have been taken, by the party seeking to prove the person is not available, to find the person or to secure his or her attendance, but without success; or</w:t>
      </w:r>
    </w:p>
    <w:p w14:paraId="5BFA5A8A"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all reasonable steps have been taken, by the party seeking to prove the person is not available, to compel the person to give evidence, but without success.</w:t>
      </w:r>
    </w:p>
    <w:p w14:paraId="2E705326" w14:textId="77777777" w:rsidR="00241128" w:rsidRDefault="00241128" w:rsidP="00241128">
      <w:pPr>
        <w:jc w:val="both"/>
        <w:rPr>
          <w:rFonts w:ascii="Arial" w:hAnsi="Arial" w:cs="Arial"/>
          <w:color w:val="000000"/>
          <w:sz w:val="20"/>
        </w:rPr>
      </w:pPr>
    </w:p>
    <w:p w14:paraId="00F0E1A5" w14:textId="19D49277" w:rsidR="00241128" w:rsidRDefault="0019386A" w:rsidP="00241128">
      <w:pPr>
        <w:jc w:val="both"/>
        <w:rPr>
          <w:rFonts w:ascii="Arial" w:hAnsi="Arial" w:cs="Arial"/>
          <w:color w:val="000000"/>
          <w:sz w:val="20"/>
        </w:rPr>
      </w:pPr>
      <w:r w:rsidRPr="00164487">
        <w:rPr>
          <w:rFonts w:ascii="Arial" w:hAnsi="Arial" w:cs="Arial"/>
          <w:color w:val="000000"/>
          <w:sz w:val="20"/>
        </w:rPr>
        <w:t xml:space="preserve">For judicial discussion of s.65 see </w:t>
      </w:r>
      <w:r w:rsidRPr="00164487">
        <w:rPr>
          <w:rFonts w:ascii="Arial" w:hAnsi="Arial" w:cs="Arial"/>
          <w:i/>
          <w:color w:val="000000"/>
          <w:sz w:val="20"/>
        </w:rPr>
        <w:t xml:space="preserve">DPP v BB &amp; QN </w:t>
      </w:r>
      <w:r w:rsidRPr="00164487">
        <w:rPr>
          <w:rFonts w:ascii="Arial" w:hAnsi="Arial" w:cs="Arial"/>
          <w:color w:val="000000"/>
          <w:sz w:val="20"/>
        </w:rPr>
        <w:t>[2011] VSCA 211 per Bongiorno JA (with whom Harper &amp; Hansen JJA agreed);</w:t>
      </w:r>
      <w:r w:rsidRPr="00164487">
        <w:rPr>
          <w:rFonts w:ascii="Arial" w:hAnsi="Arial" w:cs="Arial"/>
          <w:i/>
          <w:color w:val="000000"/>
          <w:sz w:val="20"/>
        </w:rPr>
        <w:t xml:space="preserve"> Sajanesh Easwaralingham v DPP </w:t>
      </w:r>
      <w:r w:rsidRPr="00164487">
        <w:rPr>
          <w:rFonts w:ascii="Arial" w:hAnsi="Arial" w:cs="Arial"/>
          <w:color w:val="000000"/>
          <w:sz w:val="20"/>
        </w:rPr>
        <w:t>[2010] VSCA 353</w:t>
      </w:r>
      <w:r w:rsidRPr="00164487">
        <w:rPr>
          <w:rFonts w:ascii="Arial" w:hAnsi="Arial" w:cs="Arial"/>
          <w:i/>
          <w:color w:val="000000"/>
          <w:sz w:val="20"/>
        </w:rPr>
        <w:t xml:space="preserve"> </w:t>
      </w:r>
      <w:r w:rsidRPr="00164487">
        <w:rPr>
          <w:rFonts w:ascii="Arial" w:hAnsi="Arial" w:cs="Arial"/>
          <w:color w:val="000000"/>
          <w:sz w:val="20"/>
        </w:rPr>
        <w:t xml:space="preserve">at [32]-[44] per Tate JA (with whom Buchanan JA agreed) dismissing on this issue an appeal from Pagone J [2010] VSC 437 at [13]-[19]; </w:t>
      </w:r>
      <w:r w:rsidRPr="00164487">
        <w:rPr>
          <w:rFonts w:ascii="Arial" w:hAnsi="Arial" w:cs="Arial"/>
          <w:i/>
          <w:color w:val="000000"/>
          <w:sz w:val="20"/>
        </w:rPr>
        <w:t>R v Rossi (Ruling No.1)</w:t>
      </w:r>
      <w:r w:rsidRPr="00164487">
        <w:rPr>
          <w:rFonts w:ascii="Arial" w:hAnsi="Arial" w:cs="Arial"/>
          <w:color w:val="000000"/>
          <w:sz w:val="20"/>
        </w:rPr>
        <w:t xml:space="preserve"> [2010] VSC 459 per Lasry J</w:t>
      </w:r>
      <w:r w:rsidR="00AE7BD1">
        <w:rPr>
          <w:rFonts w:ascii="Arial" w:hAnsi="Arial" w:cs="Arial"/>
          <w:color w:val="000000"/>
          <w:sz w:val="20"/>
        </w:rPr>
        <w:t xml:space="preserve">; </w:t>
      </w:r>
      <w:r w:rsidR="00AE7BD1" w:rsidRPr="00365B9A">
        <w:rPr>
          <w:rFonts w:ascii="Arial" w:hAnsi="Arial" w:cs="Arial"/>
          <w:i/>
          <w:iCs/>
          <w:color w:val="000000"/>
          <w:sz w:val="20"/>
          <w:szCs w:val="20"/>
        </w:rPr>
        <w:t xml:space="preserve">Snyder (a pseudonym) v The Queen </w:t>
      </w:r>
      <w:r w:rsidR="00AE7BD1" w:rsidRPr="00365B9A">
        <w:rPr>
          <w:rFonts w:ascii="Arial" w:hAnsi="Arial" w:cs="Arial"/>
          <w:color w:val="000000"/>
          <w:sz w:val="20"/>
          <w:szCs w:val="20"/>
        </w:rPr>
        <w:t>[202</w:t>
      </w:r>
      <w:r w:rsidR="00AE7BD1">
        <w:rPr>
          <w:rFonts w:ascii="Arial" w:hAnsi="Arial" w:cs="Arial"/>
          <w:color w:val="000000"/>
          <w:sz w:val="20"/>
          <w:szCs w:val="20"/>
        </w:rPr>
        <w:t>1</w:t>
      </w:r>
      <w:r w:rsidR="00AE7BD1" w:rsidRPr="00365B9A">
        <w:rPr>
          <w:rFonts w:ascii="Arial" w:hAnsi="Arial" w:cs="Arial"/>
          <w:color w:val="000000"/>
          <w:sz w:val="20"/>
          <w:szCs w:val="20"/>
        </w:rPr>
        <w:t xml:space="preserve">] VSCA </w:t>
      </w:r>
      <w:r w:rsidR="00AE7BD1">
        <w:rPr>
          <w:rFonts w:ascii="Arial" w:hAnsi="Arial" w:cs="Arial"/>
          <w:color w:val="000000"/>
          <w:sz w:val="20"/>
          <w:szCs w:val="20"/>
        </w:rPr>
        <w:t>96</w:t>
      </w:r>
      <w:r w:rsidR="00D14C7D">
        <w:rPr>
          <w:rFonts w:ascii="Arial" w:hAnsi="Arial" w:cs="Arial"/>
          <w:color w:val="000000"/>
          <w:sz w:val="20"/>
          <w:szCs w:val="20"/>
        </w:rPr>
        <w:t xml:space="preserve">; </w:t>
      </w:r>
      <w:r w:rsidR="00D14C7D" w:rsidRPr="00D14C7D">
        <w:rPr>
          <w:rFonts w:ascii="Arial" w:hAnsi="Arial" w:cs="Arial"/>
          <w:i/>
          <w:iCs/>
          <w:color w:val="000000"/>
          <w:sz w:val="20"/>
        </w:rPr>
        <w:t>Steven Moore (a pseudonym) v The King</w:t>
      </w:r>
      <w:r w:rsidR="00D14C7D" w:rsidRPr="00D14C7D">
        <w:rPr>
          <w:rFonts w:ascii="Arial" w:hAnsi="Arial" w:cs="Arial"/>
          <w:color w:val="000000"/>
          <w:sz w:val="20"/>
        </w:rPr>
        <w:t xml:space="preserve"> [2024] HCA 30</w:t>
      </w:r>
      <w:r w:rsidR="003E4759">
        <w:rPr>
          <w:rFonts w:ascii="Arial" w:hAnsi="Arial" w:cs="Arial"/>
          <w:color w:val="000000"/>
          <w:sz w:val="20"/>
        </w:rPr>
        <w:t xml:space="preserve">; Ruling 5 in </w:t>
      </w:r>
      <w:r w:rsidR="003E4759" w:rsidRPr="009A47B6">
        <w:rPr>
          <w:rFonts w:ascii="Arial" w:hAnsi="Arial" w:cs="Arial"/>
          <w:i/>
          <w:iCs/>
          <w:sz w:val="20"/>
        </w:rPr>
        <w:t>DPP v Alhassan (Rulings 1 to 5)</w:t>
      </w:r>
      <w:r w:rsidR="003E4759">
        <w:rPr>
          <w:rFonts w:ascii="Arial" w:hAnsi="Arial" w:cs="Arial"/>
          <w:sz w:val="20"/>
        </w:rPr>
        <w:t xml:space="preserve"> [2024] VSC 573 at [120]-[130]</w:t>
      </w:r>
      <w:r w:rsidR="00B853D7">
        <w:rPr>
          <w:rFonts w:ascii="Arial" w:hAnsi="Arial" w:cs="Arial"/>
          <w:sz w:val="20"/>
        </w:rPr>
        <w:t xml:space="preserve">; </w:t>
      </w:r>
      <w:r w:rsidR="00B853D7" w:rsidRPr="00B853D7">
        <w:rPr>
          <w:rFonts w:ascii="Arial" w:hAnsi="Arial" w:cs="Arial"/>
          <w:i/>
          <w:iCs/>
          <w:sz w:val="20"/>
        </w:rPr>
        <w:t>R v Patterson (Ruling 5)</w:t>
      </w:r>
      <w:r w:rsidR="00B853D7">
        <w:rPr>
          <w:rFonts w:ascii="Arial" w:hAnsi="Arial" w:cs="Arial"/>
          <w:sz w:val="20"/>
        </w:rPr>
        <w:t xml:space="preserve"> [2025] VSC 106</w:t>
      </w:r>
      <w:r w:rsidR="003E4759">
        <w:rPr>
          <w:rFonts w:ascii="Arial" w:hAnsi="Arial" w:cs="Arial"/>
          <w:sz w:val="20"/>
        </w:rPr>
        <w:t>.</w:t>
      </w:r>
    </w:p>
    <w:p w14:paraId="2FC275AF" w14:textId="77777777" w:rsidR="00D14C7D" w:rsidRDefault="00D14C7D" w:rsidP="00241128">
      <w:pPr>
        <w:jc w:val="both"/>
        <w:rPr>
          <w:rFonts w:ascii="Arial" w:hAnsi="Arial" w:cs="Arial"/>
          <w:color w:val="000000"/>
          <w:sz w:val="20"/>
        </w:rPr>
      </w:pPr>
    </w:p>
    <w:p w14:paraId="15ACBC1E" w14:textId="4FD0D0EE" w:rsidR="00123639" w:rsidRPr="00164487" w:rsidRDefault="00123639" w:rsidP="00123639">
      <w:pPr>
        <w:jc w:val="both"/>
        <w:rPr>
          <w:rFonts w:ascii="Arial" w:hAnsi="Arial" w:cs="Arial"/>
          <w:color w:val="000000"/>
          <w:sz w:val="20"/>
        </w:rPr>
      </w:pPr>
      <w:r>
        <w:rPr>
          <w:rFonts w:ascii="Arial" w:hAnsi="Arial" w:cs="Arial"/>
          <w:color w:val="000000"/>
          <w:sz w:val="20"/>
        </w:rPr>
        <w:lastRenderedPageBreak/>
        <w:t xml:space="preserve">Section 66 provides an exception to the hearsay rule in a criminal proceeding in a case where a person </w:t>
      </w:r>
      <w:r w:rsidRPr="00164487">
        <w:rPr>
          <w:rFonts w:ascii="Arial" w:hAnsi="Arial" w:cs="Arial"/>
          <w:color w:val="000000"/>
          <w:sz w:val="20"/>
        </w:rPr>
        <w:t xml:space="preserve">who made a previous representation </w:t>
      </w:r>
      <w:r w:rsidRPr="00123639">
        <w:rPr>
          <w:rFonts w:ascii="Arial" w:hAnsi="Arial" w:cs="Arial"/>
          <w:color w:val="000000"/>
          <w:sz w:val="20"/>
          <w:u w:val="single"/>
        </w:rPr>
        <w:t xml:space="preserve">is </w:t>
      </w:r>
      <w:r w:rsidRPr="00164487">
        <w:rPr>
          <w:rFonts w:ascii="Arial" w:hAnsi="Arial" w:cs="Arial"/>
          <w:color w:val="000000"/>
          <w:sz w:val="20"/>
          <w:u w:val="single"/>
        </w:rPr>
        <w:t>available</w:t>
      </w:r>
      <w:r w:rsidRPr="00164487">
        <w:rPr>
          <w:rFonts w:ascii="Arial" w:hAnsi="Arial" w:cs="Arial"/>
          <w:color w:val="000000"/>
          <w:sz w:val="20"/>
        </w:rPr>
        <w:t xml:space="preserve"> to give evidence about an asserted fact.  Section 6</w:t>
      </w:r>
      <w:r>
        <w:rPr>
          <w:rFonts w:ascii="Arial" w:hAnsi="Arial" w:cs="Arial"/>
          <w:color w:val="000000"/>
          <w:sz w:val="20"/>
        </w:rPr>
        <w:t>6</w:t>
      </w:r>
      <w:r w:rsidRPr="00164487">
        <w:rPr>
          <w:rFonts w:ascii="Arial" w:hAnsi="Arial" w:cs="Arial"/>
          <w:color w:val="000000"/>
          <w:sz w:val="20"/>
        </w:rPr>
        <w:t>(2) provides that the hearsay rule does not apply to evidence of a previous representation that is given by a person who saw, heard or otherwise perceived the representation being made if</w:t>
      </w:r>
      <w:r w:rsidR="00DD0DA0" w:rsidRPr="00A31FFA">
        <w:rPr>
          <w:rFonts w:ascii="Arial" w:hAnsi="Arial" w:cs="Arial"/>
          <w:sz w:val="20"/>
        </w:rPr>
        <w:t>–</w:t>
      </w:r>
    </w:p>
    <w:p w14:paraId="1EB9948E" w14:textId="503C45A6" w:rsidR="00123639" w:rsidRPr="00164487" w:rsidRDefault="00123639" w:rsidP="00123639">
      <w:pPr>
        <w:ind w:left="357" w:hanging="357"/>
        <w:jc w:val="both"/>
        <w:rPr>
          <w:rFonts w:ascii="Arial" w:hAnsi="Arial" w:cs="Arial"/>
          <w:color w:val="000000"/>
          <w:sz w:val="20"/>
        </w:rPr>
      </w:pPr>
      <w:r w:rsidRPr="00164487">
        <w:rPr>
          <w:rFonts w:ascii="Arial" w:hAnsi="Arial" w:cs="Arial"/>
          <w:color w:val="000000"/>
          <w:sz w:val="20"/>
        </w:rPr>
        <w:t>(a)</w:t>
      </w:r>
      <w:r w:rsidRPr="00164487">
        <w:rPr>
          <w:rFonts w:ascii="Arial" w:hAnsi="Arial" w:cs="Arial"/>
          <w:color w:val="000000"/>
          <w:sz w:val="20"/>
        </w:rPr>
        <w:tab/>
      </w:r>
      <w:r w:rsidR="000C0984">
        <w:rPr>
          <w:rFonts w:ascii="Arial" w:hAnsi="Arial" w:cs="Arial"/>
          <w:color w:val="000000"/>
          <w:sz w:val="20"/>
        </w:rPr>
        <w:t>the person who</w:t>
      </w:r>
      <w:r w:rsidRPr="00164487">
        <w:rPr>
          <w:rFonts w:ascii="Arial" w:hAnsi="Arial" w:cs="Arial"/>
          <w:color w:val="000000"/>
          <w:sz w:val="20"/>
        </w:rPr>
        <w:t xml:space="preserve"> made </w:t>
      </w:r>
      <w:r w:rsidR="000C0984">
        <w:rPr>
          <w:rFonts w:ascii="Arial" w:hAnsi="Arial" w:cs="Arial"/>
          <w:color w:val="000000"/>
          <w:sz w:val="20"/>
        </w:rPr>
        <w:t>the</w:t>
      </w:r>
      <w:r w:rsidRPr="00164487">
        <w:rPr>
          <w:rFonts w:ascii="Arial" w:hAnsi="Arial" w:cs="Arial"/>
          <w:color w:val="000000"/>
          <w:sz w:val="20"/>
        </w:rPr>
        <w:t xml:space="preserve"> representation </w:t>
      </w:r>
      <w:r w:rsidR="000C0984">
        <w:rPr>
          <w:rFonts w:ascii="Arial" w:hAnsi="Arial" w:cs="Arial"/>
          <w:color w:val="000000"/>
          <w:sz w:val="20"/>
        </w:rPr>
        <w:t>has been or is to be called to give evidence</w:t>
      </w:r>
      <w:r w:rsidRPr="00164487">
        <w:rPr>
          <w:rFonts w:ascii="Arial" w:hAnsi="Arial" w:cs="Arial"/>
          <w:color w:val="000000"/>
          <w:sz w:val="20"/>
        </w:rPr>
        <w:t xml:space="preserve">; </w:t>
      </w:r>
      <w:r w:rsidR="000C0984">
        <w:rPr>
          <w:rFonts w:ascii="Arial" w:hAnsi="Arial" w:cs="Arial"/>
          <w:color w:val="000000"/>
          <w:sz w:val="20"/>
        </w:rPr>
        <w:t>and</w:t>
      </w:r>
    </w:p>
    <w:p w14:paraId="5084D444" w14:textId="35E767B8" w:rsidR="00123639" w:rsidRPr="00164487" w:rsidRDefault="00123639" w:rsidP="00123639">
      <w:pPr>
        <w:ind w:left="357" w:hanging="357"/>
        <w:jc w:val="both"/>
        <w:rPr>
          <w:rFonts w:ascii="Arial" w:hAnsi="Arial" w:cs="Arial"/>
          <w:color w:val="000000"/>
          <w:sz w:val="20"/>
        </w:rPr>
      </w:pPr>
      <w:r w:rsidRPr="00164487">
        <w:rPr>
          <w:rFonts w:ascii="Arial" w:hAnsi="Arial" w:cs="Arial"/>
          <w:color w:val="000000"/>
          <w:sz w:val="20"/>
        </w:rPr>
        <w:t>(b)</w:t>
      </w:r>
      <w:r w:rsidRPr="00164487">
        <w:rPr>
          <w:rFonts w:ascii="Arial" w:hAnsi="Arial" w:cs="Arial"/>
          <w:color w:val="000000"/>
          <w:sz w:val="20"/>
        </w:rPr>
        <w:tab/>
      </w:r>
      <w:r w:rsidR="000C0984">
        <w:rPr>
          <w:rFonts w:ascii="Arial" w:hAnsi="Arial" w:cs="Arial"/>
          <w:color w:val="000000"/>
          <w:sz w:val="20"/>
        </w:rPr>
        <w:t>either</w:t>
      </w:r>
      <w:r w:rsidR="00DD0DA0" w:rsidRPr="00A31FFA">
        <w:rPr>
          <w:rFonts w:ascii="Arial" w:hAnsi="Arial" w:cs="Arial"/>
          <w:sz w:val="20"/>
        </w:rPr>
        <w:t>–</w:t>
      </w:r>
    </w:p>
    <w:p w14:paraId="79615A08" w14:textId="1776DF2F" w:rsidR="00123639" w:rsidRDefault="000C0984" w:rsidP="000C0984">
      <w:pPr>
        <w:ind w:left="714" w:hanging="357"/>
        <w:jc w:val="both"/>
        <w:rPr>
          <w:rFonts w:ascii="Arial" w:hAnsi="Arial" w:cs="Arial"/>
          <w:color w:val="000000"/>
          <w:sz w:val="20"/>
        </w:rPr>
      </w:pPr>
      <w:r>
        <w:rPr>
          <w:rFonts w:ascii="Arial" w:hAnsi="Arial" w:cs="Arial"/>
          <w:color w:val="000000"/>
          <w:sz w:val="20"/>
        </w:rPr>
        <w:t>(i)</w:t>
      </w:r>
      <w:r>
        <w:rPr>
          <w:rFonts w:ascii="Arial" w:hAnsi="Arial" w:cs="Arial"/>
          <w:color w:val="000000"/>
          <w:sz w:val="20"/>
        </w:rPr>
        <w:tab/>
        <w:t>when the representation was made, the occurrence of the asserted fact was fresh in the memory of the person who made the representation; or</w:t>
      </w:r>
    </w:p>
    <w:p w14:paraId="465CC838" w14:textId="5E6E3F74" w:rsidR="000C0984" w:rsidRDefault="000C0984" w:rsidP="000C0984">
      <w:pPr>
        <w:ind w:left="714" w:hanging="357"/>
        <w:jc w:val="both"/>
        <w:rPr>
          <w:rFonts w:ascii="Arial" w:hAnsi="Arial" w:cs="Arial"/>
          <w:color w:val="000000"/>
          <w:sz w:val="20"/>
        </w:rPr>
      </w:pPr>
      <w:r>
        <w:rPr>
          <w:rFonts w:ascii="Arial" w:hAnsi="Arial" w:cs="Arial"/>
          <w:color w:val="000000"/>
          <w:sz w:val="20"/>
        </w:rPr>
        <w:t>(ii)</w:t>
      </w:r>
      <w:r>
        <w:rPr>
          <w:rFonts w:ascii="Arial" w:hAnsi="Arial" w:cs="Arial"/>
          <w:color w:val="000000"/>
          <w:sz w:val="20"/>
        </w:rPr>
        <w:tab/>
        <w:t>the person who made the representation is a victim of an offence to which the proceeding relates and was under the age of 18 years at the time the representation was made.</w:t>
      </w:r>
    </w:p>
    <w:p w14:paraId="5A8E18DF" w14:textId="61373115" w:rsidR="00123639" w:rsidRDefault="00A70F14" w:rsidP="00241128">
      <w:pPr>
        <w:jc w:val="both"/>
        <w:rPr>
          <w:rFonts w:ascii="Arial" w:hAnsi="Arial" w:cs="Arial"/>
          <w:color w:val="000000"/>
          <w:sz w:val="20"/>
        </w:rPr>
      </w:pPr>
      <w:r>
        <w:rPr>
          <w:rFonts w:ascii="Arial" w:hAnsi="Arial" w:cs="Arial"/>
          <w:color w:val="000000"/>
          <w:sz w:val="20"/>
        </w:rPr>
        <w:t xml:space="preserve">See s.66(2A) for matters which may be taken into account in determining whether the occurrence of the asserted fact was “fresh in the memory of the person who made the representation”.  See also </w:t>
      </w:r>
      <w:r w:rsidRPr="00A70F14">
        <w:rPr>
          <w:rFonts w:ascii="Arial" w:hAnsi="Arial" w:cs="Arial"/>
          <w:i/>
          <w:iCs/>
          <w:color w:val="000000"/>
          <w:sz w:val="20"/>
        </w:rPr>
        <w:t>DPP v Roberts (Ruling No 14)</w:t>
      </w:r>
      <w:r>
        <w:rPr>
          <w:rFonts w:ascii="Arial" w:hAnsi="Arial" w:cs="Arial"/>
          <w:color w:val="000000"/>
          <w:sz w:val="20"/>
        </w:rPr>
        <w:t xml:space="preserve"> [2022] VSC 344 where hearsay evidence was allowed of representation made 15 years after the occurrence of the asserted fact.</w:t>
      </w:r>
    </w:p>
    <w:p w14:paraId="4598158F" w14:textId="77777777" w:rsidR="00A70F14" w:rsidRDefault="00A70F14" w:rsidP="00241128">
      <w:pPr>
        <w:jc w:val="both"/>
        <w:rPr>
          <w:rFonts w:ascii="Arial" w:hAnsi="Arial" w:cs="Arial"/>
          <w:color w:val="000000"/>
          <w:sz w:val="20"/>
        </w:rPr>
      </w:pPr>
    </w:p>
    <w:p w14:paraId="340D2998" w14:textId="02EA3A9E" w:rsidR="00241128" w:rsidRPr="00164487" w:rsidRDefault="00241128" w:rsidP="00241128">
      <w:pPr>
        <w:jc w:val="both"/>
        <w:rPr>
          <w:rFonts w:ascii="Arial" w:hAnsi="Arial" w:cs="Arial"/>
          <w:color w:val="000000"/>
          <w:sz w:val="20"/>
        </w:rPr>
      </w:pPr>
      <w:r>
        <w:rPr>
          <w:rFonts w:ascii="Arial" w:hAnsi="Arial" w:cs="Arial"/>
          <w:color w:val="000000"/>
          <w:sz w:val="20"/>
        </w:rPr>
        <w:t xml:space="preserve">For a judicial discussion of s.71 see </w:t>
      </w:r>
      <w:r w:rsidRPr="00241128">
        <w:rPr>
          <w:rFonts w:ascii="Arial" w:hAnsi="Arial" w:cs="Arial"/>
          <w:i/>
          <w:iCs/>
          <w:color w:val="000000"/>
          <w:sz w:val="20"/>
        </w:rPr>
        <w:t>Colin Stevenson (a pseudonym) v The Queen</w:t>
      </w:r>
      <w:r>
        <w:rPr>
          <w:rFonts w:ascii="Arial" w:hAnsi="Arial" w:cs="Arial"/>
          <w:color w:val="000000"/>
          <w:sz w:val="20"/>
        </w:rPr>
        <w:t xml:space="preserve"> [2020] VSCA 27 at [</w:t>
      </w:r>
      <w:r w:rsidR="00851AAB">
        <w:rPr>
          <w:rFonts w:ascii="Arial" w:hAnsi="Arial" w:cs="Arial"/>
          <w:color w:val="000000"/>
          <w:sz w:val="20"/>
        </w:rPr>
        <w:t>60</w:t>
      </w:r>
      <w:r>
        <w:rPr>
          <w:rFonts w:ascii="Arial" w:hAnsi="Arial" w:cs="Arial"/>
          <w:color w:val="000000"/>
          <w:sz w:val="20"/>
        </w:rPr>
        <w:t>] &amp; [</w:t>
      </w:r>
      <w:r w:rsidR="00851AAB">
        <w:rPr>
          <w:rFonts w:ascii="Arial" w:hAnsi="Arial" w:cs="Arial"/>
          <w:color w:val="000000"/>
          <w:sz w:val="20"/>
        </w:rPr>
        <w:t>81</w:t>
      </w:r>
      <w:r>
        <w:rPr>
          <w:rFonts w:ascii="Arial" w:hAnsi="Arial" w:cs="Arial"/>
          <w:color w:val="000000"/>
          <w:sz w:val="20"/>
        </w:rPr>
        <w:t xml:space="preserve">] per Croucher </w:t>
      </w:r>
      <w:r w:rsidR="00851AAB">
        <w:rPr>
          <w:rFonts w:ascii="Arial" w:hAnsi="Arial" w:cs="Arial"/>
          <w:color w:val="000000"/>
          <w:sz w:val="20"/>
        </w:rPr>
        <w:t>A</w:t>
      </w:r>
      <w:r>
        <w:rPr>
          <w:rFonts w:ascii="Arial" w:hAnsi="Arial" w:cs="Arial"/>
          <w:color w:val="000000"/>
          <w:sz w:val="20"/>
        </w:rPr>
        <w:t>JA (with whom Whelan &amp; Kyrou JJA agreed).</w:t>
      </w:r>
    </w:p>
    <w:p w14:paraId="78017DF7" w14:textId="5218EC59" w:rsidR="0019386A" w:rsidRDefault="0019386A" w:rsidP="0019386A">
      <w:pPr>
        <w:jc w:val="both"/>
        <w:rPr>
          <w:rFonts w:ascii="Arial" w:hAnsi="Arial" w:cs="Arial"/>
          <w:sz w:val="20"/>
        </w:rPr>
      </w:pPr>
    </w:p>
    <w:p w14:paraId="6C371621" w14:textId="79F0B44C" w:rsidR="00F5305E" w:rsidRDefault="00F5305E" w:rsidP="0019386A">
      <w:pPr>
        <w:jc w:val="both"/>
        <w:rPr>
          <w:rFonts w:ascii="Arial" w:hAnsi="Arial" w:cs="Arial"/>
          <w:sz w:val="20"/>
        </w:rPr>
      </w:pPr>
      <w:r>
        <w:rPr>
          <w:rFonts w:ascii="Arial" w:hAnsi="Arial" w:cs="Arial"/>
          <w:sz w:val="20"/>
        </w:rPr>
        <w:t xml:space="preserve">For an extensive judicial discussion of ss.91 &amp; 92 see </w:t>
      </w:r>
      <w:r w:rsidRPr="00F5305E">
        <w:rPr>
          <w:rFonts w:ascii="Arial" w:hAnsi="Arial" w:cs="Arial"/>
          <w:i/>
          <w:iCs/>
          <w:sz w:val="20"/>
        </w:rPr>
        <w:t>Osborne v Butler (a ps</w:t>
      </w:r>
      <w:r w:rsidR="00CA4B60">
        <w:rPr>
          <w:rFonts w:ascii="Arial" w:hAnsi="Arial" w:cs="Arial"/>
          <w:i/>
          <w:iCs/>
          <w:sz w:val="20"/>
        </w:rPr>
        <w:t>eu</w:t>
      </w:r>
      <w:r w:rsidRPr="00F5305E">
        <w:rPr>
          <w:rFonts w:ascii="Arial" w:hAnsi="Arial" w:cs="Arial"/>
          <w:i/>
          <w:iCs/>
          <w:sz w:val="20"/>
        </w:rPr>
        <w:t>donym)</w:t>
      </w:r>
      <w:r>
        <w:rPr>
          <w:rFonts w:ascii="Arial" w:hAnsi="Arial" w:cs="Arial"/>
          <w:sz w:val="20"/>
        </w:rPr>
        <w:t xml:space="preserve"> [2024] VSCA 6 at [19]-[37] &amp; [61]-[62]</w:t>
      </w:r>
      <w:r w:rsidR="00CA4B60">
        <w:rPr>
          <w:rFonts w:ascii="Arial" w:hAnsi="Arial" w:cs="Arial"/>
          <w:sz w:val="20"/>
        </w:rPr>
        <w:t xml:space="preserve">; see also </w:t>
      </w:r>
      <w:r w:rsidR="00CA4B60" w:rsidRPr="00CA4B60">
        <w:rPr>
          <w:rFonts w:ascii="Arial" w:hAnsi="Arial" w:cs="Arial"/>
          <w:i/>
          <w:iCs/>
          <w:sz w:val="20"/>
          <w:szCs w:val="20"/>
        </w:rPr>
        <w:t>Commissioner of the Australian Federal Police v Kannan (Evidence Ruling)</w:t>
      </w:r>
      <w:r w:rsidR="00CA4B60">
        <w:rPr>
          <w:rFonts w:ascii="Arial" w:hAnsi="Arial" w:cs="Arial"/>
          <w:i/>
          <w:iCs/>
          <w:sz w:val="20"/>
          <w:szCs w:val="20"/>
        </w:rPr>
        <w:t xml:space="preserve"> </w:t>
      </w:r>
      <w:r w:rsidR="00CA4B60" w:rsidRPr="00CA4B60">
        <w:rPr>
          <w:rFonts w:ascii="Arial" w:hAnsi="Arial" w:cs="Arial"/>
          <w:sz w:val="20"/>
          <w:szCs w:val="20"/>
        </w:rPr>
        <w:t>[2024] VSC 35 at [45]-[54].</w:t>
      </w:r>
    </w:p>
    <w:p w14:paraId="6A70E458" w14:textId="77777777" w:rsidR="00BA67D2" w:rsidRDefault="00BA67D2" w:rsidP="00BA67D2">
      <w:pPr>
        <w:jc w:val="both"/>
        <w:rPr>
          <w:rFonts w:ascii="Arial" w:hAnsi="Arial" w:cs="Arial"/>
          <w:sz w:val="20"/>
        </w:rPr>
      </w:pPr>
    </w:p>
    <w:p w14:paraId="07F4FD95" w14:textId="77777777" w:rsidR="00BA67D2" w:rsidRPr="00836E86" w:rsidRDefault="00BA67D2" w:rsidP="00BA67D2">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5CB0E909" w14:textId="77777777" w:rsidR="00BA67D2" w:rsidRPr="00836E86" w:rsidRDefault="00BA67D2" w:rsidP="00BA67D2">
      <w:pPr>
        <w:rPr>
          <w:rFonts w:ascii="Arial" w:hAnsi="Arial" w:cs="Arial"/>
          <w:sz w:val="20"/>
        </w:rPr>
      </w:pPr>
    </w:p>
    <w:p w14:paraId="45F5F611" w14:textId="77777777" w:rsidR="00CC35DF" w:rsidRDefault="00CC35DF">
      <w:pPr>
        <w:rPr>
          <w:rFonts w:ascii="Arial" w:hAnsi="Arial" w:cs="Arial"/>
          <w:b/>
          <w:bCs/>
          <w:color w:val="000000"/>
          <w:kern w:val="28"/>
          <w:sz w:val="20"/>
          <w:szCs w:val="20"/>
          <w:lang w:val="en-GB"/>
        </w:rPr>
      </w:pPr>
      <w:bookmarkStart w:id="597" w:name="_3.5.3.5_Expert_evidence"/>
      <w:bookmarkEnd w:id="597"/>
      <w:r>
        <w:rPr>
          <w:rFonts w:ascii="Arial" w:hAnsi="Arial" w:cs="Arial"/>
          <w:b/>
          <w:bCs/>
          <w:color w:val="000000"/>
          <w:sz w:val="20"/>
        </w:rPr>
        <w:br w:type="page"/>
      </w:r>
    </w:p>
    <w:p w14:paraId="157ADE9A" w14:textId="5392E8B3" w:rsidR="000F2CE5" w:rsidRPr="009F25D4" w:rsidRDefault="000F2CE5" w:rsidP="000F2CE5">
      <w:pPr>
        <w:pStyle w:val="Heading3"/>
        <w:keepNext/>
        <w:spacing w:line="240" w:lineRule="auto"/>
        <w:rPr>
          <w:rFonts w:ascii="Arial" w:hAnsi="Arial" w:cs="Arial"/>
          <w:b/>
          <w:bCs/>
          <w:color w:val="000000"/>
          <w:sz w:val="20"/>
        </w:rPr>
      </w:pPr>
      <w:r w:rsidRPr="008C3BC8">
        <w:rPr>
          <w:rFonts w:ascii="Arial" w:hAnsi="Arial" w:cs="Arial"/>
          <w:b/>
          <w:bCs/>
          <w:color w:val="000000"/>
          <w:sz w:val="20"/>
        </w:rPr>
        <w:lastRenderedPageBreak/>
        <w:t>3.5.</w:t>
      </w:r>
      <w:r>
        <w:rPr>
          <w:rFonts w:ascii="Arial" w:hAnsi="Arial" w:cs="Arial"/>
          <w:b/>
          <w:bCs/>
          <w:color w:val="000000"/>
          <w:sz w:val="20"/>
        </w:rPr>
        <w:t>3.5</w:t>
      </w:r>
      <w:r>
        <w:rPr>
          <w:rFonts w:ascii="Arial" w:hAnsi="Arial" w:cs="Arial"/>
          <w:b/>
          <w:bCs/>
          <w:color w:val="000000"/>
          <w:sz w:val="20"/>
        </w:rPr>
        <w:tab/>
      </w:r>
      <w:r w:rsidR="00E02733">
        <w:rPr>
          <w:rFonts w:ascii="Arial" w:hAnsi="Arial" w:cs="Arial"/>
          <w:b/>
          <w:bCs/>
          <w:color w:val="000000"/>
          <w:sz w:val="20"/>
        </w:rPr>
        <w:t>E</w:t>
      </w:r>
      <w:r>
        <w:rPr>
          <w:rFonts w:ascii="Arial" w:hAnsi="Arial" w:cs="Arial"/>
          <w:b/>
          <w:color w:val="000000"/>
          <w:sz w:val="20"/>
        </w:rPr>
        <w:t>xpert evidence</w:t>
      </w:r>
      <w:r w:rsidR="00346B40">
        <w:rPr>
          <w:rFonts w:ascii="Arial" w:hAnsi="Arial" w:cs="Arial"/>
          <w:b/>
          <w:color w:val="000000"/>
          <w:sz w:val="20"/>
        </w:rPr>
        <w:t>/Opinion evidence</w:t>
      </w:r>
    </w:p>
    <w:p w14:paraId="0B300787" w14:textId="1A867317" w:rsidR="004144C4" w:rsidRPr="00BE2ABB" w:rsidRDefault="009C5B94" w:rsidP="000107B6">
      <w:pPr>
        <w:spacing w:before="120"/>
        <w:jc w:val="both"/>
        <w:rPr>
          <w:rFonts w:ascii="Arial" w:hAnsi="Arial" w:cs="Arial"/>
          <w:bCs/>
          <w:color w:val="000000"/>
          <w:sz w:val="20"/>
        </w:rPr>
      </w:pPr>
      <w:r>
        <w:rPr>
          <w:rFonts w:ascii="Arial" w:hAnsi="Arial" w:cs="Arial"/>
          <w:bCs/>
          <w:sz w:val="20"/>
        </w:rPr>
        <w:t xml:space="preserve">From early times courts have been accustomed to act on the opinions of experts.  The topic is dealt with in great detail in "Expert Evidence", a 5 volume loose-leaf service by Ian Freckleton &amp; Hugh Selby. The relevant principles are discussed and applied in the </w:t>
      </w:r>
      <w:r w:rsidR="00585686">
        <w:rPr>
          <w:rFonts w:ascii="Arial" w:hAnsi="Arial" w:cs="Arial"/>
          <w:sz w:val="20"/>
        </w:rPr>
        <w:t>judgment</w:t>
      </w:r>
      <w:r>
        <w:rPr>
          <w:rFonts w:ascii="Arial" w:hAnsi="Arial" w:cs="Arial"/>
          <w:sz w:val="20"/>
        </w:rPr>
        <w:t>s</w:t>
      </w:r>
      <w:r w:rsidR="00585686">
        <w:rPr>
          <w:rFonts w:ascii="Arial" w:hAnsi="Arial" w:cs="Arial"/>
          <w:sz w:val="20"/>
        </w:rPr>
        <w:t xml:space="preserve"> of the </w:t>
      </w:r>
      <w:r w:rsidR="00585686" w:rsidRPr="00585686">
        <w:rPr>
          <w:rFonts w:ascii="Arial" w:hAnsi="Arial" w:cs="Arial"/>
          <w:sz w:val="20"/>
          <w:szCs w:val="20"/>
        </w:rPr>
        <w:t xml:space="preserve">High Court in </w:t>
      </w:r>
      <w:r w:rsidR="00585686" w:rsidRPr="00585686">
        <w:rPr>
          <w:rFonts w:ascii="Arial" w:hAnsi="Arial" w:cs="Arial"/>
          <w:i/>
          <w:iCs/>
          <w:sz w:val="20"/>
          <w:szCs w:val="20"/>
        </w:rPr>
        <w:t>Lang v The Queen</w:t>
      </w:r>
      <w:r w:rsidR="00585686" w:rsidRPr="00585686">
        <w:rPr>
          <w:rFonts w:ascii="Arial" w:hAnsi="Arial" w:cs="Arial"/>
          <w:sz w:val="20"/>
          <w:szCs w:val="20"/>
        </w:rPr>
        <w:t xml:space="preserve"> [2023] HCA 29</w:t>
      </w:r>
      <w:r>
        <w:rPr>
          <w:rFonts w:ascii="Arial" w:hAnsi="Arial" w:cs="Arial"/>
          <w:sz w:val="20"/>
          <w:szCs w:val="20"/>
        </w:rPr>
        <w:t xml:space="preserve"> and </w:t>
      </w:r>
      <w:r w:rsidR="000107B6" w:rsidRPr="00495449">
        <w:rPr>
          <w:rFonts w:ascii="Arial" w:hAnsi="Arial" w:cs="Arial"/>
          <w:bCs/>
          <w:i/>
          <w:sz w:val="20"/>
        </w:rPr>
        <w:t>HG v R</w:t>
      </w:r>
      <w:r w:rsidR="000107B6">
        <w:rPr>
          <w:rFonts w:ascii="Arial" w:hAnsi="Arial" w:cs="Arial"/>
          <w:bCs/>
          <w:sz w:val="20"/>
        </w:rPr>
        <w:t xml:space="preserve"> (1999) 197 CLR 414 at [39] &amp; [44] per Gleeson CJ.  See also </w:t>
      </w:r>
      <w:r w:rsidRPr="00495449">
        <w:rPr>
          <w:rFonts w:ascii="Arial" w:hAnsi="Arial" w:cs="Arial"/>
          <w:bCs/>
          <w:i/>
          <w:sz w:val="20"/>
        </w:rPr>
        <w:t>Makita Australia Pty Ltd v Sprowles</w:t>
      </w:r>
      <w:r>
        <w:rPr>
          <w:rFonts w:ascii="Arial" w:hAnsi="Arial" w:cs="Arial"/>
          <w:bCs/>
          <w:sz w:val="20"/>
        </w:rPr>
        <w:t xml:space="preserve"> (2001) 52 NSWLR 705 at [85] per Heydon JA; </w:t>
      </w:r>
      <w:r w:rsidRPr="00495449">
        <w:rPr>
          <w:rFonts w:ascii="Arial" w:hAnsi="Arial" w:cs="Arial"/>
          <w:bCs/>
          <w:i/>
          <w:sz w:val="20"/>
        </w:rPr>
        <w:t xml:space="preserve">Ocean Marine Mutual v Jetopay </w:t>
      </w:r>
      <w:r>
        <w:rPr>
          <w:rFonts w:ascii="Arial" w:hAnsi="Arial" w:cs="Arial"/>
          <w:bCs/>
          <w:sz w:val="20"/>
        </w:rPr>
        <w:t xml:space="preserve">(2000) 120 FCR 146 at [21]-[23] per Black CJ, Cooper &amp; Emmett JJ; </w:t>
      </w:r>
      <w:r w:rsidRPr="00495449">
        <w:rPr>
          <w:rFonts w:ascii="Arial" w:hAnsi="Arial" w:cs="Arial"/>
          <w:bCs/>
          <w:i/>
          <w:sz w:val="20"/>
        </w:rPr>
        <w:t>Ronchi v Alcoa</w:t>
      </w:r>
      <w:r>
        <w:rPr>
          <w:rFonts w:ascii="Arial" w:hAnsi="Arial" w:cs="Arial"/>
          <w:bCs/>
          <w:sz w:val="20"/>
        </w:rPr>
        <w:t xml:space="preserve"> [2008] VSCA 83 at [54] per Eames JA; </w:t>
      </w:r>
      <w:r w:rsidRPr="008A1184">
        <w:rPr>
          <w:rFonts w:ascii="Arial" w:hAnsi="Arial" w:cs="Arial"/>
          <w:bCs/>
          <w:i/>
          <w:sz w:val="20"/>
        </w:rPr>
        <w:t>Mackie &amp; Staff Pty Ltd v Glengollan Village for Aged People</w:t>
      </w:r>
      <w:r>
        <w:rPr>
          <w:rFonts w:ascii="Arial" w:hAnsi="Arial" w:cs="Arial"/>
          <w:bCs/>
          <w:sz w:val="20"/>
        </w:rPr>
        <w:t xml:space="preserve"> [2007] VSC 201 at [11]-[14] &amp; [30] per Habersberger J; </w:t>
      </w:r>
      <w:r w:rsidRPr="000547DB">
        <w:rPr>
          <w:rFonts w:ascii="Arial" w:hAnsi="Arial" w:cs="Arial"/>
          <w:bCs/>
          <w:i/>
          <w:sz w:val="20"/>
        </w:rPr>
        <w:t>R v Dong Song Choi &amp; Ors</w:t>
      </w:r>
      <w:r>
        <w:rPr>
          <w:rFonts w:ascii="Arial" w:hAnsi="Arial" w:cs="Arial"/>
          <w:bCs/>
          <w:sz w:val="20"/>
        </w:rPr>
        <w:t xml:space="preserve"> [aka </w:t>
      </w:r>
      <w:r w:rsidRPr="000547DB">
        <w:rPr>
          <w:rFonts w:ascii="Arial" w:hAnsi="Arial" w:cs="Arial"/>
          <w:bCs/>
          <w:i/>
          <w:sz w:val="20"/>
        </w:rPr>
        <w:t xml:space="preserve">In the Matter of </w:t>
      </w:r>
      <w:r w:rsidRPr="00BE2ABB">
        <w:rPr>
          <w:rFonts w:ascii="Arial" w:hAnsi="Arial" w:cs="Arial"/>
          <w:bCs/>
          <w:i/>
          <w:color w:val="000000"/>
          <w:sz w:val="20"/>
        </w:rPr>
        <w:t>the Pong Su (Ruling No. 19)</w:t>
      </w:r>
      <w:r w:rsidRPr="00BE2ABB">
        <w:rPr>
          <w:rFonts w:ascii="Arial" w:hAnsi="Arial" w:cs="Arial"/>
          <w:bCs/>
          <w:color w:val="000000"/>
          <w:sz w:val="20"/>
        </w:rPr>
        <w:t xml:space="preserve">] [2005] VSC 66 at [29]-[30] per Kellam J; </w:t>
      </w:r>
      <w:r w:rsidRPr="00BE2ABB">
        <w:rPr>
          <w:rFonts w:ascii="Arial" w:hAnsi="Arial" w:cs="Arial"/>
          <w:bCs/>
          <w:i/>
          <w:color w:val="000000"/>
          <w:sz w:val="20"/>
        </w:rPr>
        <w:t>R v Cox (Ruling No.1)</w:t>
      </w:r>
      <w:r w:rsidRPr="00BE2ABB">
        <w:rPr>
          <w:rFonts w:ascii="Arial" w:hAnsi="Arial" w:cs="Arial"/>
          <w:bCs/>
          <w:color w:val="000000"/>
          <w:sz w:val="20"/>
        </w:rPr>
        <w:t xml:space="preserve"> [2005] VSC 157 at [11] &amp; </w:t>
      </w:r>
      <w:r w:rsidRPr="00BE2ABB">
        <w:rPr>
          <w:rFonts w:ascii="Arial" w:hAnsi="Arial" w:cs="Arial"/>
          <w:bCs/>
          <w:i/>
          <w:color w:val="000000"/>
          <w:sz w:val="20"/>
        </w:rPr>
        <w:t>(Ruling No.2)</w:t>
      </w:r>
      <w:r w:rsidRPr="00BE2ABB">
        <w:rPr>
          <w:rFonts w:ascii="Arial" w:hAnsi="Arial" w:cs="Arial"/>
          <w:bCs/>
          <w:color w:val="000000"/>
          <w:sz w:val="20"/>
        </w:rPr>
        <w:t xml:space="preserve"> [2005] VSC 224 per Kaye J; </w:t>
      </w:r>
      <w:r w:rsidRPr="00BE2ABB">
        <w:rPr>
          <w:rFonts w:ascii="Arial" w:hAnsi="Arial" w:cs="Arial"/>
          <w:bCs/>
          <w:i/>
          <w:color w:val="000000"/>
          <w:sz w:val="20"/>
        </w:rPr>
        <w:t>R v Rich (Ruling No.10)</w:t>
      </w:r>
      <w:r w:rsidRPr="00BE2ABB">
        <w:rPr>
          <w:rFonts w:ascii="Arial" w:hAnsi="Arial" w:cs="Arial"/>
          <w:bCs/>
          <w:color w:val="000000"/>
          <w:sz w:val="20"/>
        </w:rPr>
        <w:t xml:space="preserve"> [2009] VSC 10 at [26]-[34] per Lasry J; </w:t>
      </w:r>
      <w:r w:rsidRPr="00BE2ABB">
        <w:rPr>
          <w:rFonts w:ascii="Arial" w:hAnsi="Arial" w:cs="Arial"/>
          <w:bCs/>
          <w:i/>
          <w:color w:val="000000"/>
          <w:sz w:val="20"/>
        </w:rPr>
        <w:t>MA v The Queen</w:t>
      </w:r>
      <w:r w:rsidRPr="00BE2ABB">
        <w:rPr>
          <w:rFonts w:ascii="Arial" w:hAnsi="Arial" w:cs="Arial"/>
          <w:bCs/>
          <w:color w:val="000000"/>
          <w:sz w:val="20"/>
        </w:rPr>
        <w:t xml:space="preserve"> [2013] VSCA 20 at [57]-[77] per Osborn JA &amp; [89]-[100] per Redlich &amp; Whelan JJA</w:t>
      </w:r>
      <w:r w:rsidR="00D974FD">
        <w:rPr>
          <w:rFonts w:ascii="Arial" w:hAnsi="Arial" w:cs="Arial"/>
          <w:bCs/>
          <w:color w:val="000000"/>
          <w:sz w:val="20"/>
        </w:rPr>
        <w:t xml:space="preserve">; </w:t>
      </w:r>
      <w:r w:rsidR="00D974FD" w:rsidRPr="00D974FD">
        <w:rPr>
          <w:rFonts w:ascii="Arial" w:hAnsi="Arial" w:cs="Arial"/>
          <w:bCs/>
          <w:i/>
          <w:iCs/>
          <w:color w:val="000000"/>
          <w:sz w:val="20"/>
        </w:rPr>
        <w:t>Godwin (a pseudonym) v The King</w:t>
      </w:r>
      <w:r w:rsidR="00D974FD">
        <w:rPr>
          <w:rFonts w:ascii="Arial" w:hAnsi="Arial" w:cs="Arial"/>
          <w:bCs/>
          <w:color w:val="000000"/>
          <w:sz w:val="20"/>
        </w:rPr>
        <w:t xml:space="preserve"> [2024] VSCA 225 at [46]-[54] &amp; [94]-[100] per Priest, Taylor &amp; Orr JJA</w:t>
      </w:r>
      <w:r w:rsidR="004144C4">
        <w:rPr>
          <w:rFonts w:ascii="Arial" w:hAnsi="Arial" w:cs="Arial"/>
          <w:bCs/>
          <w:color w:val="000000"/>
          <w:sz w:val="20"/>
        </w:rPr>
        <w:t xml:space="preserve">; </w:t>
      </w:r>
      <w:r w:rsidR="004144C4" w:rsidRPr="004144C4">
        <w:rPr>
          <w:rFonts w:ascii="Arial" w:hAnsi="Arial" w:cs="Arial"/>
          <w:bCs/>
          <w:i/>
          <w:iCs/>
          <w:color w:val="000000"/>
          <w:sz w:val="20"/>
        </w:rPr>
        <w:t>DPP v Maskell (Ruling No 2.2)</w:t>
      </w:r>
      <w:r w:rsidR="004144C4" w:rsidRPr="004144C4">
        <w:rPr>
          <w:rFonts w:ascii="Arial" w:hAnsi="Arial" w:cs="Arial"/>
          <w:bCs/>
          <w:color w:val="000000"/>
          <w:sz w:val="20"/>
        </w:rPr>
        <w:t xml:space="preserve"> [2026] VSC 160 </w:t>
      </w:r>
      <w:r w:rsidR="004144C4">
        <w:rPr>
          <w:rFonts w:ascii="Arial" w:hAnsi="Arial" w:cs="Arial"/>
          <w:bCs/>
          <w:color w:val="000000"/>
          <w:sz w:val="20"/>
        </w:rPr>
        <w:t>per Elliott J.</w:t>
      </w:r>
    </w:p>
    <w:p w14:paraId="333C2391" w14:textId="2075876C" w:rsidR="009C5B94" w:rsidRDefault="009C5B94" w:rsidP="000107B6">
      <w:pPr>
        <w:jc w:val="both"/>
        <w:rPr>
          <w:rFonts w:ascii="Arial" w:hAnsi="Arial" w:cs="Arial"/>
          <w:sz w:val="20"/>
          <w:szCs w:val="20"/>
        </w:rPr>
      </w:pPr>
    </w:p>
    <w:p w14:paraId="4ADB2B67" w14:textId="77777777" w:rsidR="00B86237" w:rsidRDefault="00B86237" w:rsidP="00B86237">
      <w:pPr>
        <w:pBdr>
          <w:top w:val="thinThickThinSmallGap" w:sz="24" w:space="1" w:color="auto"/>
        </w:pBdr>
        <w:jc w:val="both"/>
        <w:rPr>
          <w:rFonts w:ascii="Arial" w:hAnsi="Arial" w:cs="Arial"/>
          <w:sz w:val="20"/>
          <w:szCs w:val="20"/>
        </w:rPr>
      </w:pPr>
    </w:p>
    <w:p w14:paraId="4D2A954B" w14:textId="48A67B12" w:rsidR="00B86237" w:rsidRDefault="00B86237" w:rsidP="000107B6">
      <w:pPr>
        <w:jc w:val="both"/>
        <w:rPr>
          <w:rFonts w:ascii="Arial" w:hAnsi="Arial" w:cs="Arial"/>
          <w:sz w:val="20"/>
          <w:szCs w:val="20"/>
        </w:rPr>
      </w:pPr>
      <w:r>
        <w:rPr>
          <w:rFonts w:ascii="Arial" w:hAnsi="Arial" w:cs="Arial"/>
          <w:sz w:val="20"/>
          <w:szCs w:val="20"/>
        </w:rPr>
        <w:t xml:space="preserve">Part 3.3 of the </w:t>
      </w:r>
      <w:r w:rsidRPr="00B86237">
        <w:rPr>
          <w:rFonts w:ascii="Arial" w:hAnsi="Arial" w:cs="Arial"/>
          <w:i/>
          <w:iCs/>
          <w:sz w:val="20"/>
          <w:szCs w:val="20"/>
        </w:rPr>
        <w:t xml:space="preserve">Evidence Act 2008 </w:t>
      </w:r>
      <w:r w:rsidRPr="00B86237">
        <w:rPr>
          <w:rFonts w:ascii="Arial" w:hAnsi="Arial" w:cs="Arial"/>
          <w:sz w:val="20"/>
          <w:szCs w:val="20"/>
        </w:rPr>
        <w:t xml:space="preserve">(Vic) </w:t>
      </w:r>
      <w:r>
        <w:rPr>
          <w:rFonts w:ascii="Arial" w:hAnsi="Arial" w:cs="Arial"/>
          <w:sz w:val="20"/>
          <w:szCs w:val="20"/>
        </w:rPr>
        <w:t>contains a number of stipulations about the admissibility of opinion evidence.</w:t>
      </w:r>
    </w:p>
    <w:p w14:paraId="3648E592" w14:textId="38744AD6" w:rsidR="00B86237" w:rsidRDefault="00B86237" w:rsidP="000107B6">
      <w:pPr>
        <w:jc w:val="both"/>
        <w:rPr>
          <w:rFonts w:ascii="Arial" w:hAnsi="Arial" w:cs="Arial"/>
          <w:sz w:val="20"/>
          <w:szCs w:val="20"/>
        </w:rPr>
      </w:pPr>
    </w:p>
    <w:tbl>
      <w:tblPr>
        <w:tblStyle w:val="TableGrid"/>
        <w:tblW w:w="0" w:type="auto"/>
        <w:tblLook w:val="04A0" w:firstRow="1" w:lastRow="0" w:firstColumn="1" w:lastColumn="0" w:noHBand="0" w:noVBand="1"/>
      </w:tblPr>
      <w:tblGrid>
        <w:gridCol w:w="1105"/>
        <w:gridCol w:w="7931"/>
      </w:tblGrid>
      <w:tr w:rsidR="00B86237" w14:paraId="610AA632" w14:textId="77777777" w:rsidTr="00C0172E">
        <w:tc>
          <w:tcPr>
            <w:tcW w:w="1105" w:type="dxa"/>
            <w:shd w:val="clear" w:color="auto" w:fill="DDDDDD"/>
          </w:tcPr>
          <w:p w14:paraId="061FB288" w14:textId="0B3FA220" w:rsidR="00B86237" w:rsidRPr="00074514" w:rsidRDefault="00B86237" w:rsidP="00B86237">
            <w:pPr>
              <w:jc w:val="center"/>
              <w:rPr>
                <w:rFonts w:ascii="Arial" w:hAnsi="Arial" w:cs="Arial"/>
                <w:b/>
                <w:bCs/>
                <w:sz w:val="20"/>
                <w:szCs w:val="20"/>
              </w:rPr>
            </w:pPr>
            <w:r w:rsidRPr="00074514">
              <w:rPr>
                <w:rFonts w:ascii="Arial" w:hAnsi="Arial" w:cs="Arial"/>
                <w:b/>
                <w:bCs/>
                <w:sz w:val="20"/>
                <w:szCs w:val="20"/>
              </w:rPr>
              <w:t>SECTION</w:t>
            </w:r>
          </w:p>
        </w:tc>
        <w:tc>
          <w:tcPr>
            <w:tcW w:w="7931" w:type="dxa"/>
            <w:shd w:val="clear" w:color="auto" w:fill="DDDDDD"/>
          </w:tcPr>
          <w:p w14:paraId="0910B55F" w14:textId="1DFCF6C5" w:rsidR="00B86237" w:rsidRPr="00C0172E" w:rsidRDefault="00C0172E" w:rsidP="00C0172E">
            <w:pPr>
              <w:jc w:val="center"/>
              <w:rPr>
                <w:rFonts w:ascii="Arial" w:hAnsi="Arial" w:cs="Arial"/>
                <w:b/>
                <w:bCs/>
                <w:sz w:val="20"/>
                <w:szCs w:val="20"/>
              </w:rPr>
            </w:pPr>
            <w:r w:rsidRPr="00C0172E">
              <w:rPr>
                <w:rFonts w:ascii="Arial" w:hAnsi="Arial" w:cs="Arial"/>
                <w:b/>
                <w:bCs/>
                <w:noProof/>
                <w:sz w:val="20"/>
                <w:szCs w:val="20"/>
              </w:rPr>
              <w:t>PART 3.3—OPINION</w:t>
            </w:r>
          </w:p>
        </w:tc>
      </w:tr>
      <w:tr w:rsidR="00B86237" w14:paraId="77423B6A" w14:textId="77777777" w:rsidTr="00074514">
        <w:tc>
          <w:tcPr>
            <w:tcW w:w="1105" w:type="dxa"/>
          </w:tcPr>
          <w:p w14:paraId="7096BE34" w14:textId="4409967B" w:rsidR="00B86237" w:rsidRDefault="00B86237" w:rsidP="00B86237">
            <w:pPr>
              <w:jc w:val="center"/>
              <w:rPr>
                <w:rFonts w:ascii="Arial" w:hAnsi="Arial" w:cs="Arial"/>
                <w:sz w:val="20"/>
                <w:szCs w:val="20"/>
              </w:rPr>
            </w:pPr>
            <w:r>
              <w:rPr>
                <w:rFonts w:ascii="Arial" w:hAnsi="Arial" w:cs="Arial"/>
                <w:sz w:val="20"/>
                <w:szCs w:val="20"/>
              </w:rPr>
              <w:t>76</w:t>
            </w:r>
          </w:p>
        </w:tc>
        <w:tc>
          <w:tcPr>
            <w:tcW w:w="7931" w:type="dxa"/>
          </w:tcPr>
          <w:p w14:paraId="079C3FEB" w14:textId="41F1C8EC" w:rsidR="00B86237" w:rsidRPr="00B86237" w:rsidRDefault="00B86237" w:rsidP="00B86237">
            <w:pPr>
              <w:pStyle w:val="DraftHeading1"/>
              <w:tabs>
                <w:tab w:val="right" w:pos="680"/>
              </w:tabs>
              <w:spacing w:before="0"/>
              <w:ind w:left="850" w:hanging="850"/>
              <w:jc w:val="center"/>
              <w:rPr>
                <w:rFonts w:ascii="Arial" w:hAnsi="Arial" w:cs="Arial"/>
                <w:sz w:val="20"/>
                <w:szCs w:val="20"/>
              </w:rPr>
            </w:pPr>
            <w:r w:rsidRPr="00B86237">
              <w:rPr>
                <w:rFonts w:ascii="Arial" w:hAnsi="Arial" w:cs="Arial"/>
                <w:sz w:val="20"/>
                <w:szCs w:val="20"/>
              </w:rPr>
              <w:t>The opinion rule</w:t>
            </w:r>
          </w:p>
          <w:p w14:paraId="620BBC43" w14:textId="28B02E69" w:rsidR="00B86237" w:rsidRPr="00B86237" w:rsidRDefault="00B86237" w:rsidP="00B86237">
            <w:pPr>
              <w:pStyle w:val="BodySectionSub"/>
              <w:spacing w:before="0"/>
              <w:ind w:left="0"/>
              <w:jc w:val="both"/>
              <w:rPr>
                <w:rFonts w:ascii="Arial" w:hAnsi="Arial" w:cs="Arial"/>
                <w:sz w:val="20"/>
              </w:rPr>
            </w:pPr>
            <w:r w:rsidRPr="00B86237">
              <w:rPr>
                <w:rFonts w:ascii="Arial" w:hAnsi="Arial" w:cs="Arial"/>
                <w:sz w:val="20"/>
              </w:rPr>
              <w:t>Evidence of an opinion is not admissible to prove the existence of a fact about the existence of which the opinion was expressed.</w:t>
            </w:r>
          </w:p>
        </w:tc>
      </w:tr>
      <w:tr w:rsidR="00B86237" w14:paraId="2CBD1AEA" w14:textId="77777777" w:rsidTr="00074514">
        <w:tc>
          <w:tcPr>
            <w:tcW w:w="1105" w:type="dxa"/>
          </w:tcPr>
          <w:p w14:paraId="42EE52FC" w14:textId="47CD9791" w:rsidR="00B86237" w:rsidRDefault="00074514" w:rsidP="00B86237">
            <w:pPr>
              <w:jc w:val="center"/>
              <w:rPr>
                <w:rFonts w:ascii="Arial" w:hAnsi="Arial" w:cs="Arial"/>
                <w:sz w:val="20"/>
                <w:szCs w:val="20"/>
              </w:rPr>
            </w:pPr>
            <w:r>
              <w:rPr>
                <w:rFonts w:ascii="Arial" w:hAnsi="Arial" w:cs="Arial"/>
                <w:sz w:val="20"/>
                <w:szCs w:val="20"/>
              </w:rPr>
              <w:t>77</w:t>
            </w:r>
          </w:p>
        </w:tc>
        <w:tc>
          <w:tcPr>
            <w:tcW w:w="7931" w:type="dxa"/>
          </w:tcPr>
          <w:p w14:paraId="46338901" w14:textId="77777777" w:rsidR="00B86237" w:rsidRPr="00074514" w:rsidRDefault="00074514" w:rsidP="00074514">
            <w:pPr>
              <w:jc w:val="center"/>
              <w:rPr>
                <w:rFonts w:ascii="Arial" w:hAnsi="Arial" w:cs="Arial"/>
                <w:b/>
                <w:bCs/>
                <w:sz w:val="20"/>
                <w:szCs w:val="20"/>
              </w:rPr>
            </w:pPr>
            <w:r w:rsidRPr="00074514">
              <w:rPr>
                <w:rFonts w:ascii="Arial" w:hAnsi="Arial" w:cs="Arial"/>
                <w:b/>
                <w:bCs/>
                <w:sz w:val="20"/>
                <w:szCs w:val="20"/>
              </w:rPr>
              <w:t>Exception—evidence relevant otherwise than as opinion evidence</w:t>
            </w:r>
          </w:p>
          <w:p w14:paraId="4BF26297" w14:textId="0A9DE05B" w:rsidR="00074514" w:rsidRDefault="00074514" w:rsidP="000107B6">
            <w:pPr>
              <w:jc w:val="both"/>
              <w:rPr>
                <w:rFonts w:ascii="Arial" w:hAnsi="Arial" w:cs="Arial"/>
                <w:sz w:val="20"/>
                <w:szCs w:val="20"/>
              </w:rPr>
            </w:pPr>
            <w:r w:rsidRPr="00074514">
              <w:rPr>
                <w:rFonts w:ascii="Arial" w:hAnsi="Arial" w:cs="Arial"/>
                <w:sz w:val="20"/>
                <w:szCs w:val="16"/>
              </w:rPr>
              <w:t>The opinion rule does not apply to evidence of an opinion that is admitted because it is relevant for a purpose other than proof of the existence of a fact about the existence of which the opinion was expressed.</w:t>
            </w:r>
          </w:p>
        </w:tc>
      </w:tr>
      <w:tr w:rsidR="00B86237" w14:paraId="667DB3E7" w14:textId="77777777" w:rsidTr="00074514">
        <w:tc>
          <w:tcPr>
            <w:tcW w:w="1105" w:type="dxa"/>
          </w:tcPr>
          <w:p w14:paraId="6DBE5799" w14:textId="6ABFCA6D" w:rsidR="00B86237" w:rsidRDefault="00074514" w:rsidP="00B86237">
            <w:pPr>
              <w:jc w:val="center"/>
              <w:rPr>
                <w:rFonts w:ascii="Arial" w:hAnsi="Arial" w:cs="Arial"/>
                <w:sz w:val="20"/>
                <w:szCs w:val="20"/>
              </w:rPr>
            </w:pPr>
            <w:r>
              <w:rPr>
                <w:rFonts w:ascii="Arial" w:hAnsi="Arial" w:cs="Arial"/>
                <w:sz w:val="20"/>
                <w:szCs w:val="20"/>
              </w:rPr>
              <w:t>78</w:t>
            </w:r>
          </w:p>
        </w:tc>
        <w:tc>
          <w:tcPr>
            <w:tcW w:w="7931" w:type="dxa"/>
          </w:tcPr>
          <w:p w14:paraId="0A056983" w14:textId="6C9A44B2" w:rsidR="00B86237" w:rsidRPr="00074514" w:rsidRDefault="00074514" w:rsidP="00074514">
            <w:pPr>
              <w:jc w:val="center"/>
              <w:rPr>
                <w:rFonts w:ascii="Arial" w:hAnsi="Arial" w:cs="Arial"/>
                <w:b/>
                <w:bCs/>
                <w:sz w:val="20"/>
                <w:szCs w:val="20"/>
              </w:rPr>
            </w:pPr>
            <w:r w:rsidRPr="00074514">
              <w:rPr>
                <w:rFonts w:ascii="Arial" w:hAnsi="Arial" w:cs="Arial"/>
                <w:b/>
                <w:bCs/>
                <w:sz w:val="20"/>
                <w:szCs w:val="20"/>
              </w:rPr>
              <w:t>Exception—lay opinions</w:t>
            </w:r>
          </w:p>
          <w:p w14:paraId="322942BF" w14:textId="77777777" w:rsidR="00074514" w:rsidRDefault="004872F0" w:rsidP="000107B6">
            <w:pPr>
              <w:jc w:val="both"/>
              <w:rPr>
                <w:rFonts w:ascii="Arial" w:hAnsi="Arial" w:cs="Arial"/>
                <w:sz w:val="20"/>
                <w:szCs w:val="16"/>
              </w:rPr>
            </w:pPr>
            <w:r w:rsidRPr="00074514">
              <w:rPr>
                <w:rFonts w:ascii="Arial" w:hAnsi="Arial" w:cs="Arial"/>
                <w:sz w:val="20"/>
                <w:szCs w:val="16"/>
              </w:rPr>
              <w:t>The opinion rule does not apply to evidence of an opinion expressed by a person if—</w:t>
            </w:r>
          </w:p>
          <w:p w14:paraId="7FAD737B" w14:textId="3C34337D" w:rsidR="004872F0" w:rsidRPr="004872F0" w:rsidRDefault="004872F0">
            <w:pPr>
              <w:pStyle w:val="ListParagraph"/>
              <w:numPr>
                <w:ilvl w:val="0"/>
                <w:numId w:val="129"/>
              </w:numPr>
              <w:ind w:left="357" w:hanging="357"/>
              <w:jc w:val="both"/>
              <w:rPr>
                <w:rFonts w:ascii="Arial" w:hAnsi="Arial" w:cs="Arial"/>
                <w:sz w:val="20"/>
                <w:szCs w:val="16"/>
              </w:rPr>
            </w:pPr>
            <w:r w:rsidRPr="004872F0">
              <w:rPr>
                <w:rFonts w:ascii="Arial" w:hAnsi="Arial" w:cs="Arial"/>
                <w:sz w:val="20"/>
                <w:szCs w:val="16"/>
              </w:rPr>
              <w:t>the opinion is based on what the person saw, heard or otherwise perceived about a matter or event; and</w:t>
            </w:r>
          </w:p>
          <w:p w14:paraId="3A338B8F" w14:textId="6318CC49" w:rsidR="004872F0" w:rsidRPr="004872F0" w:rsidRDefault="004872F0">
            <w:pPr>
              <w:pStyle w:val="ListParagraph"/>
              <w:numPr>
                <w:ilvl w:val="0"/>
                <w:numId w:val="129"/>
              </w:numPr>
              <w:ind w:left="357" w:hanging="357"/>
              <w:jc w:val="both"/>
              <w:rPr>
                <w:rFonts w:ascii="Arial" w:hAnsi="Arial" w:cs="Arial"/>
                <w:sz w:val="20"/>
              </w:rPr>
            </w:pPr>
            <w:r w:rsidRPr="00074514">
              <w:rPr>
                <w:rFonts w:ascii="Arial" w:hAnsi="Arial" w:cs="Arial"/>
                <w:sz w:val="20"/>
                <w:szCs w:val="16"/>
              </w:rPr>
              <w:t>evidence of the opinion is necessary to obtain an adequate account or understanding of the person's perception of the matter or event.</w:t>
            </w:r>
          </w:p>
        </w:tc>
      </w:tr>
      <w:tr w:rsidR="00074514" w14:paraId="06DE5F95" w14:textId="77777777" w:rsidTr="00074514">
        <w:tc>
          <w:tcPr>
            <w:tcW w:w="1105" w:type="dxa"/>
          </w:tcPr>
          <w:p w14:paraId="6B55CB8A" w14:textId="34CD7C44" w:rsidR="00074514" w:rsidRDefault="00074514" w:rsidP="00635D47">
            <w:pPr>
              <w:jc w:val="center"/>
              <w:rPr>
                <w:rFonts w:ascii="Arial" w:hAnsi="Arial" w:cs="Arial"/>
                <w:sz w:val="20"/>
                <w:szCs w:val="20"/>
              </w:rPr>
            </w:pPr>
            <w:r>
              <w:rPr>
                <w:rFonts w:ascii="Arial" w:hAnsi="Arial" w:cs="Arial"/>
                <w:sz w:val="20"/>
                <w:szCs w:val="20"/>
              </w:rPr>
              <w:t>78A</w:t>
            </w:r>
          </w:p>
        </w:tc>
        <w:tc>
          <w:tcPr>
            <w:tcW w:w="7931" w:type="dxa"/>
          </w:tcPr>
          <w:p w14:paraId="222998DA" w14:textId="77777777" w:rsidR="00074514" w:rsidRPr="004872F0" w:rsidRDefault="004872F0" w:rsidP="004872F0">
            <w:pPr>
              <w:jc w:val="center"/>
              <w:rPr>
                <w:rFonts w:ascii="Arial" w:hAnsi="Arial" w:cs="Arial"/>
                <w:b/>
                <w:bCs/>
                <w:sz w:val="20"/>
                <w:szCs w:val="20"/>
              </w:rPr>
            </w:pPr>
            <w:r w:rsidRPr="004872F0">
              <w:rPr>
                <w:rFonts w:ascii="Arial" w:hAnsi="Arial" w:cs="Arial"/>
                <w:b/>
                <w:bCs/>
                <w:sz w:val="20"/>
                <w:szCs w:val="20"/>
              </w:rPr>
              <w:t>Exception—Aboriginal and Torres Strait Islander traditional laws and customs</w:t>
            </w:r>
          </w:p>
          <w:p w14:paraId="556E6325" w14:textId="6EEDEB5C" w:rsidR="004872F0" w:rsidRDefault="004872F0" w:rsidP="001A085A">
            <w:pPr>
              <w:jc w:val="both"/>
              <w:rPr>
                <w:rFonts w:ascii="Arial" w:hAnsi="Arial" w:cs="Arial"/>
                <w:sz w:val="20"/>
                <w:szCs w:val="20"/>
              </w:rPr>
            </w:pPr>
            <w:r w:rsidRPr="00074514">
              <w:rPr>
                <w:rFonts w:ascii="Arial" w:hAnsi="Arial" w:cs="Arial"/>
                <w:sz w:val="20"/>
                <w:szCs w:val="16"/>
              </w:rPr>
              <w:t>The opinion rule does not apply to evidence of an opinion expressed by a member of an Aboriginal or Torres Strait Islander group about the existence or non-existence, or the content, of the traditional laws and customs of the group.</w:t>
            </w:r>
          </w:p>
        </w:tc>
      </w:tr>
      <w:tr w:rsidR="00074514" w14:paraId="311311EE" w14:textId="77777777" w:rsidTr="00074514">
        <w:tc>
          <w:tcPr>
            <w:tcW w:w="1105" w:type="dxa"/>
          </w:tcPr>
          <w:p w14:paraId="1C058224" w14:textId="664C1DB0" w:rsidR="00074514" w:rsidRDefault="004872F0" w:rsidP="00635D47">
            <w:pPr>
              <w:keepNext/>
              <w:keepLines/>
              <w:jc w:val="center"/>
              <w:rPr>
                <w:rFonts w:ascii="Arial" w:hAnsi="Arial" w:cs="Arial"/>
                <w:sz w:val="20"/>
                <w:szCs w:val="20"/>
              </w:rPr>
            </w:pPr>
            <w:r>
              <w:rPr>
                <w:rFonts w:ascii="Arial" w:hAnsi="Arial" w:cs="Arial"/>
                <w:sz w:val="20"/>
                <w:szCs w:val="20"/>
              </w:rPr>
              <w:t>79</w:t>
            </w:r>
          </w:p>
        </w:tc>
        <w:tc>
          <w:tcPr>
            <w:tcW w:w="7931" w:type="dxa"/>
          </w:tcPr>
          <w:p w14:paraId="3C829800" w14:textId="77777777" w:rsidR="00074514" w:rsidRDefault="004872F0" w:rsidP="004872F0">
            <w:pPr>
              <w:jc w:val="center"/>
              <w:rPr>
                <w:rFonts w:ascii="Arial" w:hAnsi="Arial" w:cs="Arial"/>
                <w:b/>
                <w:bCs/>
                <w:sz w:val="20"/>
                <w:szCs w:val="20"/>
              </w:rPr>
            </w:pPr>
            <w:r w:rsidRPr="004872F0">
              <w:rPr>
                <w:rFonts w:ascii="Arial" w:hAnsi="Arial" w:cs="Arial"/>
                <w:b/>
                <w:bCs/>
                <w:sz w:val="20"/>
                <w:szCs w:val="20"/>
              </w:rPr>
              <w:t>Exception—opinions based on specialised knowledge</w:t>
            </w:r>
          </w:p>
          <w:p w14:paraId="16083E9E" w14:textId="555701EC" w:rsidR="004872F0" w:rsidRPr="00283F3B" w:rsidRDefault="00283F3B">
            <w:pPr>
              <w:pStyle w:val="ListParagraph"/>
              <w:numPr>
                <w:ilvl w:val="0"/>
                <w:numId w:val="130"/>
              </w:numPr>
              <w:ind w:left="357" w:hanging="357"/>
              <w:jc w:val="both"/>
              <w:rPr>
                <w:rFonts w:ascii="Arial" w:hAnsi="Arial" w:cs="Arial"/>
                <w:sz w:val="20"/>
                <w:szCs w:val="16"/>
              </w:rPr>
            </w:pPr>
            <w:r w:rsidRPr="00283F3B">
              <w:rPr>
                <w:rFonts w:ascii="Arial" w:hAnsi="Arial" w:cs="Arial"/>
                <w:sz w:val="20"/>
                <w:szCs w:val="16"/>
              </w:rPr>
              <w:t>If a person has specialised knowledge based on the person's training, study or experience, the opinion rule does not apply to evidence of an opinion of that person that is wholly or substantially based on that knowledge.</w:t>
            </w:r>
          </w:p>
          <w:p w14:paraId="044F5060" w14:textId="19A4FB35" w:rsidR="00283F3B" w:rsidRPr="00283F3B" w:rsidRDefault="00283F3B">
            <w:pPr>
              <w:pStyle w:val="ListParagraph"/>
              <w:numPr>
                <w:ilvl w:val="0"/>
                <w:numId w:val="130"/>
              </w:numPr>
              <w:ind w:left="357" w:hanging="357"/>
              <w:jc w:val="both"/>
              <w:rPr>
                <w:rFonts w:ascii="Arial" w:hAnsi="Arial" w:cs="Arial"/>
                <w:sz w:val="20"/>
              </w:rPr>
            </w:pPr>
            <w:r w:rsidRPr="00074514">
              <w:rPr>
                <w:rFonts w:ascii="Arial" w:hAnsi="Arial" w:cs="Arial"/>
                <w:sz w:val="20"/>
                <w:szCs w:val="16"/>
              </w:rPr>
              <w:t>To avoid doubt, and without limiting subsection</w:t>
            </w:r>
            <w:r>
              <w:rPr>
                <w:rFonts w:ascii="Arial" w:hAnsi="Arial" w:cs="Arial"/>
                <w:sz w:val="20"/>
                <w:szCs w:val="16"/>
              </w:rPr>
              <w:t xml:space="preserve"> </w:t>
            </w:r>
            <w:r w:rsidRPr="00074514">
              <w:rPr>
                <w:rFonts w:ascii="Arial" w:hAnsi="Arial" w:cs="Arial"/>
                <w:sz w:val="20"/>
                <w:szCs w:val="16"/>
              </w:rPr>
              <w:t>(1)—</w:t>
            </w:r>
          </w:p>
          <w:p w14:paraId="05AB98D3" w14:textId="77777777" w:rsidR="00283F3B" w:rsidRDefault="00283F3B">
            <w:pPr>
              <w:pStyle w:val="ListParagraph"/>
              <w:numPr>
                <w:ilvl w:val="0"/>
                <w:numId w:val="131"/>
              </w:numPr>
              <w:ind w:left="714" w:hanging="357"/>
              <w:jc w:val="both"/>
              <w:rPr>
                <w:rFonts w:ascii="Arial" w:hAnsi="Arial" w:cs="Arial"/>
                <w:sz w:val="20"/>
                <w:szCs w:val="16"/>
              </w:rPr>
            </w:pPr>
            <w:r w:rsidRPr="00283F3B">
              <w:rPr>
                <w:rFonts w:ascii="Arial" w:hAnsi="Arial" w:cs="Arial"/>
                <w:sz w:val="20"/>
                <w:szCs w:val="16"/>
              </w:rPr>
              <w:t>a reference in that subsection to specialised knowledge includes a reference to specialised knowledge of child development and child behaviour (including specialised knowledge of the impact of sexual abuse on children and their development and behaviour during and following the abuse); and</w:t>
            </w:r>
          </w:p>
          <w:p w14:paraId="231291EC" w14:textId="4F7C4147" w:rsidR="00283F3B" w:rsidRPr="00283F3B" w:rsidRDefault="00283F3B">
            <w:pPr>
              <w:pStyle w:val="ListParagraph"/>
              <w:numPr>
                <w:ilvl w:val="0"/>
                <w:numId w:val="131"/>
              </w:numPr>
              <w:ind w:left="714" w:hanging="357"/>
              <w:jc w:val="both"/>
              <w:rPr>
                <w:rFonts w:ascii="Arial" w:hAnsi="Arial" w:cs="Arial"/>
                <w:sz w:val="20"/>
                <w:szCs w:val="16"/>
              </w:rPr>
            </w:pPr>
            <w:r w:rsidRPr="00074514">
              <w:rPr>
                <w:rFonts w:ascii="Arial" w:hAnsi="Arial" w:cs="Arial"/>
                <w:sz w:val="20"/>
                <w:szCs w:val="16"/>
              </w:rPr>
              <w:t>a reference in that subsection to an opinion of a person includes, if the person has specialised knowledge of the kind referred to in paragraph (a), a reference to an opinion relating to either or both of the following—</w:t>
            </w:r>
          </w:p>
          <w:p w14:paraId="3DA867FD" w14:textId="77777777" w:rsidR="00283F3B" w:rsidRPr="00283F3B" w:rsidRDefault="00283F3B">
            <w:pPr>
              <w:pStyle w:val="ListParagraph"/>
              <w:numPr>
                <w:ilvl w:val="0"/>
                <w:numId w:val="132"/>
              </w:numPr>
              <w:jc w:val="both"/>
              <w:rPr>
                <w:rFonts w:ascii="Arial" w:hAnsi="Arial" w:cs="Arial"/>
                <w:sz w:val="20"/>
              </w:rPr>
            </w:pPr>
            <w:r w:rsidRPr="00074514">
              <w:rPr>
                <w:rFonts w:ascii="Arial" w:hAnsi="Arial" w:cs="Arial"/>
                <w:sz w:val="20"/>
                <w:szCs w:val="16"/>
              </w:rPr>
              <w:t>the development and behaviour of children generally;</w:t>
            </w:r>
          </w:p>
          <w:p w14:paraId="1A5E5C99" w14:textId="55D1319B" w:rsidR="00283F3B" w:rsidRPr="00283F3B" w:rsidRDefault="00283F3B">
            <w:pPr>
              <w:pStyle w:val="ListParagraph"/>
              <w:numPr>
                <w:ilvl w:val="0"/>
                <w:numId w:val="132"/>
              </w:numPr>
              <w:jc w:val="both"/>
              <w:rPr>
                <w:rFonts w:ascii="Arial" w:hAnsi="Arial" w:cs="Arial"/>
                <w:sz w:val="20"/>
              </w:rPr>
            </w:pPr>
            <w:r w:rsidRPr="00074514">
              <w:rPr>
                <w:rFonts w:ascii="Arial" w:hAnsi="Arial" w:cs="Arial"/>
                <w:sz w:val="20"/>
                <w:szCs w:val="16"/>
              </w:rPr>
              <w:t>the development and behaviour of children who have been victims of sexual offences, or offences similar to sexual offences.</w:t>
            </w:r>
          </w:p>
        </w:tc>
      </w:tr>
      <w:tr w:rsidR="00074514" w14:paraId="7B7D9212" w14:textId="77777777" w:rsidTr="00074514">
        <w:tc>
          <w:tcPr>
            <w:tcW w:w="1105" w:type="dxa"/>
          </w:tcPr>
          <w:p w14:paraId="43A3A1B7" w14:textId="3591EB84" w:rsidR="00074514" w:rsidRDefault="00283F3B" w:rsidP="001A085A">
            <w:pPr>
              <w:jc w:val="center"/>
              <w:rPr>
                <w:rFonts w:ascii="Arial" w:hAnsi="Arial" w:cs="Arial"/>
                <w:sz w:val="20"/>
                <w:szCs w:val="20"/>
              </w:rPr>
            </w:pPr>
            <w:r>
              <w:rPr>
                <w:rFonts w:ascii="Arial" w:hAnsi="Arial" w:cs="Arial"/>
                <w:sz w:val="20"/>
                <w:szCs w:val="20"/>
              </w:rPr>
              <w:t>80</w:t>
            </w:r>
          </w:p>
        </w:tc>
        <w:tc>
          <w:tcPr>
            <w:tcW w:w="7931" w:type="dxa"/>
          </w:tcPr>
          <w:p w14:paraId="68AD6286" w14:textId="77777777" w:rsidR="00074514" w:rsidRPr="00283F3B" w:rsidRDefault="00283F3B" w:rsidP="00283F3B">
            <w:pPr>
              <w:jc w:val="center"/>
              <w:rPr>
                <w:rFonts w:ascii="Arial" w:hAnsi="Arial" w:cs="Arial"/>
                <w:b/>
                <w:bCs/>
                <w:sz w:val="20"/>
                <w:szCs w:val="20"/>
              </w:rPr>
            </w:pPr>
            <w:r w:rsidRPr="00283F3B">
              <w:rPr>
                <w:rFonts w:ascii="Arial" w:hAnsi="Arial" w:cs="Arial"/>
                <w:b/>
                <w:bCs/>
                <w:sz w:val="20"/>
                <w:szCs w:val="20"/>
              </w:rPr>
              <w:t>Ultimate issue and common knowledge rules abolished</w:t>
            </w:r>
          </w:p>
          <w:p w14:paraId="4AC0C306" w14:textId="77777777" w:rsidR="00283F3B" w:rsidRDefault="00283F3B" w:rsidP="001A085A">
            <w:pPr>
              <w:jc w:val="both"/>
              <w:rPr>
                <w:rFonts w:ascii="Arial" w:hAnsi="Arial" w:cs="Arial"/>
                <w:sz w:val="20"/>
                <w:szCs w:val="16"/>
              </w:rPr>
            </w:pPr>
            <w:r w:rsidRPr="00074514">
              <w:rPr>
                <w:rFonts w:ascii="Arial" w:hAnsi="Arial" w:cs="Arial"/>
                <w:sz w:val="20"/>
                <w:szCs w:val="16"/>
              </w:rPr>
              <w:t>Evidence of an opinion is not inadmissible only because it is about—</w:t>
            </w:r>
          </w:p>
          <w:p w14:paraId="1492D552" w14:textId="77777777" w:rsidR="00283F3B" w:rsidRPr="00283F3B" w:rsidRDefault="00283F3B">
            <w:pPr>
              <w:pStyle w:val="ListParagraph"/>
              <w:numPr>
                <w:ilvl w:val="0"/>
                <w:numId w:val="133"/>
              </w:numPr>
              <w:ind w:left="357" w:hanging="357"/>
              <w:jc w:val="both"/>
              <w:rPr>
                <w:rFonts w:ascii="Arial" w:hAnsi="Arial" w:cs="Arial"/>
                <w:sz w:val="20"/>
              </w:rPr>
            </w:pPr>
            <w:r w:rsidRPr="00074514">
              <w:rPr>
                <w:rFonts w:ascii="Arial" w:hAnsi="Arial" w:cs="Arial"/>
                <w:sz w:val="20"/>
                <w:szCs w:val="16"/>
              </w:rPr>
              <w:t>a fact in issue or an ultimate issue; or</w:t>
            </w:r>
          </w:p>
          <w:p w14:paraId="777FC38B" w14:textId="673083F5" w:rsidR="00283F3B" w:rsidRDefault="00283F3B">
            <w:pPr>
              <w:pStyle w:val="ListParagraph"/>
              <w:numPr>
                <w:ilvl w:val="0"/>
                <w:numId w:val="133"/>
              </w:numPr>
              <w:ind w:left="357" w:hanging="357"/>
              <w:jc w:val="both"/>
              <w:rPr>
                <w:rFonts w:ascii="Arial" w:hAnsi="Arial" w:cs="Arial"/>
                <w:sz w:val="20"/>
              </w:rPr>
            </w:pPr>
            <w:r w:rsidRPr="00074514">
              <w:rPr>
                <w:rFonts w:ascii="Arial" w:hAnsi="Arial" w:cs="Arial"/>
                <w:sz w:val="20"/>
                <w:szCs w:val="16"/>
              </w:rPr>
              <w:t>a matter of common knowledge.</w:t>
            </w:r>
          </w:p>
        </w:tc>
      </w:tr>
    </w:tbl>
    <w:p w14:paraId="72FB8C21" w14:textId="77777777" w:rsidR="00435772" w:rsidRDefault="00435772" w:rsidP="000107B6">
      <w:pPr>
        <w:jc w:val="both"/>
        <w:rPr>
          <w:rFonts w:ascii="Arial" w:hAnsi="Arial" w:cs="Arial"/>
          <w:sz w:val="20"/>
          <w:szCs w:val="20"/>
        </w:rPr>
      </w:pPr>
    </w:p>
    <w:p w14:paraId="76960F57" w14:textId="01450065" w:rsidR="00B86237" w:rsidRDefault="00435772" w:rsidP="00F161C2">
      <w:pPr>
        <w:keepNext/>
        <w:keepLines/>
        <w:jc w:val="both"/>
        <w:rPr>
          <w:rFonts w:ascii="Arial" w:hAnsi="Arial" w:cs="Arial"/>
          <w:sz w:val="20"/>
          <w:szCs w:val="20"/>
        </w:rPr>
      </w:pPr>
      <w:r>
        <w:rPr>
          <w:rFonts w:ascii="Arial" w:hAnsi="Arial" w:cs="Arial"/>
          <w:sz w:val="20"/>
          <w:szCs w:val="20"/>
        </w:rPr>
        <w:t xml:space="preserve">Section 102 of the </w:t>
      </w:r>
      <w:r w:rsidRPr="00B86237">
        <w:rPr>
          <w:rFonts w:ascii="Arial" w:hAnsi="Arial" w:cs="Arial"/>
          <w:i/>
          <w:iCs/>
          <w:sz w:val="20"/>
          <w:szCs w:val="20"/>
        </w:rPr>
        <w:t xml:space="preserve">Evidence Act 2008 </w:t>
      </w:r>
      <w:r w:rsidRPr="00B86237">
        <w:rPr>
          <w:rFonts w:ascii="Arial" w:hAnsi="Arial" w:cs="Arial"/>
          <w:sz w:val="20"/>
          <w:szCs w:val="20"/>
        </w:rPr>
        <w:t>(Vic)</w:t>
      </w:r>
      <w:r>
        <w:rPr>
          <w:rFonts w:ascii="Arial" w:hAnsi="Arial" w:cs="Arial"/>
          <w:sz w:val="20"/>
          <w:szCs w:val="20"/>
        </w:rPr>
        <w:t xml:space="preserve"> contains the credibility rule: Credibility evidence about a witness is not admissible.  However, s.108C provides an exception to the credibility rule – in terms which are similar to those in s.79 – providing that the credibility rule does not apply to evidence of persons with specialised knowledge.</w:t>
      </w:r>
    </w:p>
    <w:p w14:paraId="358C5D9B" w14:textId="77777777" w:rsidR="00435772" w:rsidRDefault="00435772" w:rsidP="000107B6">
      <w:pPr>
        <w:jc w:val="both"/>
        <w:rPr>
          <w:rFonts w:ascii="Arial" w:hAnsi="Arial" w:cs="Arial"/>
          <w:sz w:val="20"/>
          <w:szCs w:val="20"/>
        </w:rPr>
      </w:pPr>
    </w:p>
    <w:p w14:paraId="603D7566" w14:textId="7FAB0ABD" w:rsidR="00435772" w:rsidRDefault="00435772" w:rsidP="000107B6">
      <w:pPr>
        <w:jc w:val="both"/>
        <w:rPr>
          <w:rFonts w:ascii="Arial" w:hAnsi="Arial" w:cs="Arial"/>
          <w:sz w:val="20"/>
          <w:szCs w:val="20"/>
        </w:rPr>
      </w:pPr>
      <w:r>
        <w:rPr>
          <w:rFonts w:ascii="Arial" w:hAnsi="Arial" w:cs="Arial"/>
          <w:sz w:val="20"/>
          <w:szCs w:val="20"/>
        </w:rPr>
        <w:lastRenderedPageBreak/>
        <w:t xml:space="preserve">See the judgment of the High Court in </w:t>
      </w:r>
      <w:r w:rsidRPr="00435772">
        <w:rPr>
          <w:rFonts w:ascii="Arial" w:hAnsi="Arial" w:cs="Arial"/>
          <w:i/>
          <w:iCs/>
          <w:sz w:val="20"/>
          <w:szCs w:val="20"/>
        </w:rPr>
        <w:t>BQ v The King</w:t>
      </w:r>
      <w:r w:rsidRPr="00435772">
        <w:rPr>
          <w:rFonts w:ascii="Arial" w:hAnsi="Arial" w:cs="Arial"/>
          <w:sz w:val="20"/>
          <w:szCs w:val="20"/>
        </w:rPr>
        <w:t xml:space="preserve"> [2024] HCA 29</w:t>
      </w:r>
      <w:r>
        <w:rPr>
          <w:rFonts w:ascii="Arial" w:hAnsi="Arial" w:cs="Arial"/>
          <w:sz w:val="20"/>
          <w:szCs w:val="20"/>
        </w:rPr>
        <w:t xml:space="preserve"> for a discussion of ss.79 &amp; 108C.</w:t>
      </w:r>
    </w:p>
    <w:p w14:paraId="2FF43429" w14:textId="77777777" w:rsidR="00B86237" w:rsidRDefault="00B86237" w:rsidP="000107B6">
      <w:pPr>
        <w:jc w:val="both"/>
        <w:rPr>
          <w:rFonts w:ascii="Arial" w:hAnsi="Arial" w:cs="Arial"/>
          <w:sz w:val="20"/>
          <w:szCs w:val="20"/>
        </w:rPr>
      </w:pPr>
    </w:p>
    <w:p w14:paraId="57D909E2" w14:textId="3C5D002A" w:rsidR="000107B6" w:rsidRDefault="000107B6" w:rsidP="000107B6">
      <w:pPr>
        <w:pBdr>
          <w:top w:val="thinThickThinSmallGap" w:sz="24" w:space="1" w:color="auto"/>
        </w:pBdr>
        <w:jc w:val="both"/>
        <w:rPr>
          <w:rFonts w:ascii="Arial" w:hAnsi="Arial" w:cs="Arial"/>
          <w:sz w:val="20"/>
          <w:szCs w:val="20"/>
        </w:rPr>
      </w:pPr>
    </w:p>
    <w:p w14:paraId="5BC469BE" w14:textId="329D52CF" w:rsidR="00585686" w:rsidRPr="00585686" w:rsidRDefault="000107B6" w:rsidP="000107B6">
      <w:pPr>
        <w:jc w:val="both"/>
        <w:rPr>
          <w:rFonts w:ascii="Arial" w:hAnsi="Arial" w:cs="Arial"/>
          <w:sz w:val="20"/>
          <w:szCs w:val="20"/>
        </w:rPr>
      </w:pPr>
      <w:r>
        <w:rPr>
          <w:rFonts w:ascii="Arial" w:hAnsi="Arial" w:cs="Arial"/>
          <w:sz w:val="20"/>
          <w:szCs w:val="20"/>
        </w:rPr>
        <w:t xml:space="preserve">The judgments in </w:t>
      </w:r>
      <w:r w:rsidRPr="000107B6">
        <w:rPr>
          <w:rFonts w:ascii="Arial" w:hAnsi="Arial" w:cs="Arial"/>
          <w:i/>
          <w:iCs/>
          <w:sz w:val="20"/>
          <w:szCs w:val="20"/>
        </w:rPr>
        <w:t>Lang v The Queen</w:t>
      </w:r>
      <w:r>
        <w:rPr>
          <w:rFonts w:ascii="Arial" w:hAnsi="Arial" w:cs="Arial"/>
          <w:sz w:val="20"/>
          <w:szCs w:val="20"/>
        </w:rPr>
        <w:t xml:space="preserve"> [2023] HCA 29 </w:t>
      </w:r>
      <w:r w:rsidR="00585686" w:rsidRPr="00585686">
        <w:rPr>
          <w:rFonts w:ascii="Arial" w:hAnsi="Arial" w:cs="Arial"/>
          <w:sz w:val="20"/>
          <w:szCs w:val="20"/>
        </w:rPr>
        <w:t>contain a very detailed analysis of expert evidence</w:t>
      </w:r>
      <w:r w:rsidR="00585686">
        <w:rPr>
          <w:rFonts w:ascii="Arial" w:hAnsi="Arial" w:cs="Arial"/>
          <w:sz w:val="20"/>
          <w:szCs w:val="20"/>
        </w:rPr>
        <w:t xml:space="preserve">, its admissibility generally and its admissibility in the circumstances of this </w:t>
      </w:r>
      <w:r w:rsidR="003A6B6B">
        <w:rPr>
          <w:rFonts w:ascii="Arial" w:hAnsi="Arial" w:cs="Arial"/>
          <w:sz w:val="20"/>
          <w:szCs w:val="20"/>
        </w:rPr>
        <w:t xml:space="preserve">quite unusual </w:t>
      </w:r>
      <w:r w:rsidR="00585686">
        <w:rPr>
          <w:rFonts w:ascii="Arial" w:hAnsi="Arial" w:cs="Arial"/>
          <w:sz w:val="20"/>
          <w:szCs w:val="20"/>
        </w:rPr>
        <w:t xml:space="preserve">case.  </w:t>
      </w:r>
      <w:r w:rsidR="00585686" w:rsidRPr="00585686">
        <w:rPr>
          <w:rFonts w:ascii="Arial" w:hAnsi="Arial" w:cs="Arial"/>
          <w:sz w:val="20"/>
          <w:szCs w:val="20"/>
        </w:rPr>
        <w:t>The appellant is a former medical practitioner.</w:t>
      </w:r>
      <w:r w:rsidR="00585686">
        <w:rPr>
          <w:rFonts w:ascii="Arial" w:hAnsi="Arial" w:cs="Arial"/>
          <w:sz w:val="20"/>
          <w:szCs w:val="20"/>
        </w:rPr>
        <w:t xml:space="preserve"> </w:t>
      </w:r>
      <w:r w:rsidR="00585686" w:rsidRPr="00585686">
        <w:rPr>
          <w:rFonts w:ascii="Arial" w:hAnsi="Arial" w:cs="Arial"/>
          <w:sz w:val="20"/>
          <w:szCs w:val="20"/>
        </w:rPr>
        <w:t xml:space="preserve"> The victim was his 68 year old girl</w:t>
      </w:r>
      <w:r w:rsidR="00585686">
        <w:rPr>
          <w:rFonts w:ascii="Arial" w:hAnsi="Arial" w:cs="Arial"/>
          <w:sz w:val="20"/>
          <w:szCs w:val="20"/>
        </w:rPr>
        <w:noBreakHyphen/>
      </w:r>
      <w:r w:rsidR="00585686" w:rsidRPr="00585686">
        <w:rPr>
          <w:rFonts w:ascii="Arial" w:hAnsi="Arial" w:cs="Arial"/>
          <w:sz w:val="20"/>
          <w:szCs w:val="20"/>
        </w:rPr>
        <w:t>friend. The cause of the victim’s death in her bed in her apartment in the early hours of the morning was blood loss from a stab wound to her abdomen from a knife.</w:t>
      </w:r>
      <w:r w:rsidR="00585686">
        <w:rPr>
          <w:rFonts w:ascii="Arial" w:hAnsi="Arial" w:cs="Arial"/>
          <w:sz w:val="20"/>
          <w:szCs w:val="20"/>
        </w:rPr>
        <w:t xml:space="preserve"> </w:t>
      </w:r>
      <w:r w:rsidR="00585686" w:rsidRPr="00585686">
        <w:rPr>
          <w:rFonts w:ascii="Arial" w:hAnsi="Arial" w:cs="Arial"/>
          <w:sz w:val="20"/>
          <w:szCs w:val="20"/>
        </w:rPr>
        <w:t xml:space="preserve"> The appellant and the victim were the only two people who were in the victim’s apartment at the time of her death.</w:t>
      </w:r>
      <w:r w:rsidR="00585686">
        <w:rPr>
          <w:rFonts w:ascii="Arial" w:hAnsi="Arial" w:cs="Arial"/>
          <w:sz w:val="20"/>
          <w:szCs w:val="20"/>
        </w:rPr>
        <w:t xml:space="preserve"> </w:t>
      </w:r>
      <w:r w:rsidR="00585686" w:rsidRPr="00585686">
        <w:rPr>
          <w:rFonts w:ascii="Arial" w:hAnsi="Arial" w:cs="Arial"/>
          <w:sz w:val="20"/>
          <w:szCs w:val="20"/>
        </w:rPr>
        <w:t xml:space="preserve"> The appellant accepted at trial and before the High Court that there were only two possibilities: either the victim committed suicide or she was murdered by the appellant. </w:t>
      </w:r>
      <w:r w:rsidR="00585686">
        <w:rPr>
          <w:rFonts w:ascii="Arial" w:hAnsi="Arial" w:cs="Arial"/>
          <w:sz w:val="20"/>
          <w:szCs w:val="20"/>
        </w:rPr>
        <w:t xml:space="preserve"> </w:t>
      </w:r>
      <w:r w:rsidR="00585686" w:rsidRPr="00585686">
        <w:rPr>
          <w:rFonts w:ascii="Arial" w:hAnsi="Arial" w:cs="Arial"/>
          <w:sz w:val="20"/>
          <w:szCs w:val="20"/>
        </w:rPr>
        <w:t xml:space="preserve">The appellant had been convicted </w:t>
      </w:r>
      <w:r w:rsidR="00665F5B">
        <w:rPr>
          <w:rFonts w:ascii="Arial" w:hAnsi="Arial" w:cs="Arial"/>
          <w:sz w:val="20"/>
          <w:szCs w:val="20"/>
        </w:rPr>
        <w:t>in</w:t>
      </w:r>
      <w:r w:rsidR="00585686" w:rsidRPr="00585686">
        <w:rPr>
          <w:rFonts w:ascii="Arial" w:hAnsi="Arial" w:cs="Arial"/>
          <w:sz w:val="20"/>
          <w:szCs w:val="20"/>
        </w:rPr>
        <w:t xml:space="preserve"> a </w:t>
      </w:r>
      <w:r w:rsidR="00665F5B">
        <w:rPr>
          <w:rFonts w:ascii="Arial" w:hAnsi="Arial" w:cs="Arial"/>
          <w:sz w:val="20"/>
          <w:szCs w:val="20"/>
        </w:rPr>
        <w:t xml:space="preserve">first </w:t>
      </w:r>
      <w:r w:rsidR="00585686" w:rsidRPr="00585686">
        <w:rPr>
          <w:rFonts w:ascii="Arial" w:hAnsi="Arial" w:cs="Arial"/>
          <w:sz w:val="20"/>
          <w:szCs w:val="20"/>
        </w:rPr>
        <w:t>trial before a judge and jury in which prejudicial evidence was admitted concerning the suicide rates of Australian women. The erroneous admission of that evidence led to that conviction being quashed on appeal.</w:t>
      </w:r>
    </w:p>
    <w:p w14:paraId="03A1CDBC" w14:textId="5441EC1F" w:rsidR="00585686" w:rsidRPr="00585686" w:rsidRDefault="00585686" w:rsidP="00AF0E6C">
      <w:pPr>
        <w:spacing w:before="120"/>
        <w:jc w:val="both"/>
        <w:rPr>
          <w:rFonts w:ascii="Arial" w:hAnsi="Arial" w:cs="Arial"/>
          <w:sz w:val="20"/>
          <w:szCs w:val="20"/>
        </w:rPr>
      </w:pPr>
      <w:r w:rsidRPr="00585686">
        <w:rPr>
          <w:rFonts w:ascii="Arial" w:hAnsi="Arial" w:cs="Arial"/>
          <w:sz w:val="20"/>
          <w:szCs w:val="20"/>
        </w:rPr>
        <w:t>The appellant was then retried before a judge and jury.</w:t>
      </w:r>
      <w:r>
        <w:rPr>
          <w:rFonts w:ascii="Arial" w:hAnsi="Arial" w:cs="Arial"/>
          <w:sz w:val="20"/>
          <w:szCs w:val="20"/>
        </w:rPr>
        <w:t xml:space="preserve"> </w:t>
      </w:r>
      <w:r w:rsidRPr="00585686">
        <w:rPr>
          <w:rFonts w:ascii="Arial" w:hAnsi="Arial" w:cs="Arial"/>
          <w:sz w:val="20"/>
          <w:szCs w:val="20"/>
        </w:rPr>
        <w:t xml:space="preserve"> He was convicted again and sentenced to life imprisonment. He appealed against that conviction on two grounds:</w:t>
      </w:r>
    </w:p>
    <w:p w14:paraId="715E4DAE" w14:textId="7288CBFE" w:rsidR="00585686" w:rsidRPr="00585686" w:rsidRDefault="00585686" w:rsidP="00AF0E6C">
      <w:pPr>
        <w:ind w:left="454" w:hanging="454"/>
        <w:jc w:val="both"/>
        <w:rPr>
          <w:rFonts w:ascii="Arial" w:hAnsi="Arial" w:cs="Arial"/>
          <w:sz w:val="20"/>
          <w:szCs w:val="20"/>
        </w:rPr>
      </w:pPr>
      <w:r w:rsidRPr="00585686">
        <w:rPr>
          <w:rFonts w:ascii="Arial" w:hAnsi="Arial" w:cs="Arial"/>
          <w:sz w:val="20"/>
          <w:szCs w:val="20"/>
        </w:rPr>
        <w:t>(1)</w:t>
      </w:r>
      <w:r>
        <w:rPr>
          <w:rFonts w:ascii="Arial" w:hAnsi="Arial" w:cs="Arial"/>
          <w:sz w:val="20"/>
          <w:szCs w:val="20"/>
        </w:rPr>
        <w:tab/>
      </w:r>
      <w:r w:rsidRPr="00585686">
        <w:rPr>
          <w:rFonts w:ascii="Arial" w:hAnsi="Arial" w:cs="Arial"/>
          <w:sz w:val="20"/>
          <w:szCs w:val="20"/>
        </w:rPr>
        <w:t>that the verdict was unreasonable; and</w:t>
      </w:r>
    </w:p>
    <w:p w14:paraId="49D708BE" w14:textId="7BE221A2" w:rsidR="00585686" w:rsidRPr="00585686" w:rsidRDefault="00585686" w:rsidP="00AF0E6C">
      <w:pPr>
        <w:ind w:left="454" w:hanging="454"/>
        <w:jc w:val="both"/>
        <w:rPr>
          <w:rFonts w:ascii="Arial" w:hAnsi="Arial" w:cs="Arial"/>
          <w:sz w:val="20"/>
          <w:szCs w:val="20"/>
        </w:rPr>
      </w:pPr>
      <w:r w:rsidRPr="00585686">
        <w:rPr>
          <w:rFonts w:ascii="Arial" w:hAnsi="Arial" w:cs="Arial"/>
          <w:sz w:val="20"/>
          <w:szCs w:val="20"/>
        </w:rPr>
        <w:t>(2)</w:t>
      </w:r>
      <w:r>
        <w:rPr>
          <w:rFonts w:ascii="Arial" w:hAnsi="Arial" w:cs="Arial"/>
          <w:sz w:val="20"/>
          <w:szCs w:val="20"/>
        </w:rPr>
        <w:tab/>
      </w:r>
      <w:r w:rsidRPr="00585686">
        <w:rPr>
          <w:rFonts w:ascii="Arial" w:hAnsi="Arial" w:cs="Arial"/>
          <w:sz w:val="20"/>
          <w:szCs w:val="20"/>
        </w:rPr>
        <w:t>that an important aspect of the expert evidence given by Dr Ong, a forensic pathologist, expressing his opinion that the victim’s knife injury was more likely to have been inflicted by another person than to have been self-inflicted was inadmissible.</w:t>
      </w:r>
    </w:p>
    <w:p w14:paraId="314841E2" w14:textId="77777777" w:rsidR="006747D4" w:rsidRPr="00585686" w:rsidRDefault="006747D4" w:rsidP="006747D4">
      <w:pPr>
        <w:spacing w:before="120"/>
        <w:jc w:val="both"/>
        <w:rPr>
          <w:rFonts w:ascii="Arial" w:hAnsi="Arial" w:cs="Arial"/>
          <w:sz w:val="20"/>
          <w:szCs w:val="20"/>
        </w:rPr>
      </w:pPr>
      <w:r w:rsidRPr="00585686">
        <w:rPr>
          <w:rFonts w:ascii="Arial" w:hAnsi="Arial" w:cs="Arial"/>
          <w:sz w:val="20"/>
          <w:szCs w:val="20"/>
        </w:rPr>
        <w:t>The Court of Appeal of the Supreme Court of Queensland dismissed the appeal. The appellant, by special leave, appealed to the High Court on the same two grounds.</w:t>
      </w:r>
      <w:r>
        <w:rPr>
          <w:rFonts w:ascii="Arial" w:hAnsi="Arial" w:cs="Arial"/>
          <w:sz w:val="20"/>
          <w:szCs w:val="20"/>
        </w:rPr>
        <w:t xml:space="preserve"> </w:t>
      </w:r>
      <w:r w:rsidRPr="00585686">
        <w:rPr>
          <w:rFonts w:ascii="Arial" w:hAnsi="Arial" w:cs="Arial"/>
          <w:sz w:val="20"/>
          <w:szCs w:val="20"/>
        </w:rPr>
        <w:t xml:space="preserve"> By a majority of 3:2 the High Court dismissed the appeal.</w:t>
      </w:r>
      <w:r>
        <w:rPr>
          <w:rFonts w:ascii="Arial" w:hAnsi="Arial" w:cs="Arial"/>
          <w:sz w:val="20"/>
          <w:szCs w:val="20"/>
        </w:rPr>
        <w:t xml:space="preserve"> </w:t>
      </w:r>
      <w:r w:rsidRPr="00585686">
        <w:rPr>
          <w:rFonts w:ascii="Arial" w:hAnsi="Arial" w:cs="Arial"/>
          <w:sz w:val="20"/>
          <w:szCs w:val="20"/>
        </w:rPr>
        <w:t xml:space="preserve"> The primary majority judgment was that of Jagot J.</w:t>
      </w:r>
      <w:r>
        <w:rPr>
          <w:rFonts w:ascii="Arial" w:hAnsi="Arial" w:cs="Arial"/>
          <w:sz w:val="20"/>
          <w:szCs w:val="20"/>
        </w:rPr>
        <w:t xml:space="preserve"> </w:t>
      </w:r>
      <w:r w:rsidRPr="00585686">
        <w:rPr>
          <w:rFonts w:ascii="Arial" w:hAnsi="Arial" w:cs="Arial"/>
          <w:sz w:val="20"/>
          <w:szCs w:val="20"/>
        </w:rPr>
        <w:t xml:space="preserve"> The secondary majority judgment was that of Kiefel CJ</w:t>
      </w:r>
      <w:r>
        <w:rPr>
          <w:rFonts w:ascii="Arial" w:hAnsi="Arial" w:cs="Arial"/>
          <w:sz w:val="20"/>
          <w:szCs w:val="20"/>
        </w:rPr>
        <w:t xml:space="preserve"> &amp; </w:t>
      </w:r>
      <w:r w:rsidRPr="00585686">
        <w:rPr>
          <w:rFonts w:ascii="Arial" w:hAnsi="Arial" w:cs="Arial"/>
          <w:sz w:val="20"/>
          <w:szCs w:val="20"/>
        </w:rPr>
        <w:t>Gageler J. The dissenting judgment was that of Gordon &amp; Edelman JJ.</w:t>
      </w:r>
    </w:p>
    <w:p w14:paraId="6F3AF36C" w14:textId="491A0555" w:rsidR="0048027E" w:rsidRDefault="006747D4" w:rsidP="0048027E">
      <w:pPr>
        <w:spacing w:before="120"/>
        <w:jc w:val="both"/>
        <w:rPr>
          <w:rFonts w:ascii="Arial" w:hAnsi="Arial" w:cs="Arial"/>
          <w:sz w:val="20"/>
          <w:szCs w:val="20"/>
        </w:rPr>
      </w:pPr>
      <w:r>
        <w:rPr>
          <w:rFonts w:ascii="Arial" w:hAnsi="Arial" w:cs="Arial"/>
          <w:sz w:val="20"/>
          <w:szCs w:val="20"/>
        </w:rPr>
        <w:t xml:space="preserve">In relation to ground (2), </w:t>
      </w:r>
      <w:r w:rsidR="0048027E">
        <w:rPr>
          <w:rFonts w:ascii="Arial" w:hAnsi="Arial" w:cs="Arial"/>
          <w:sz w:val="20"/>
          <w:szCs w:val="20"/>
        </w:rPr>
        <w:t>Jagot J noted at [422]</w:t>
      </w:r>
      <w:r w:rsidR="007F4A62">
        <w:rPr>
          <w:rFonts w:ascii="Arial" w:hAnsi="Arial" w:cs="Arial"/>
          <w:sz w:val="20"/>
          <w:szCs w:val="20"/>
        </w:rPr>
        <w:t>-[423]:</w:t>
      </w:r>
    </w:p>
    <w:p w14:paraId="1F437B42" w14:textId="75DF7194" w:rsidR="0048027E" w:rsidRDefault="007F4A62" w:rsidP="00722F42">
      <w:pPr>
        <w:spacing w:before="60"/>
        <w:ind w:left="567" w:right="567"/>
        <w:jc w:val="both"/>
        <w:rPr>
          <w:rFonts w:ascii="Arial" w:hAnsi="Arial" w:cs="Arial"/>
          <w:sz w:val="20"/>
          <w:szCs w:val="20"/>
        </w:rPr>
      </w:pPr>
      <w:r>
        <w:rPr>
          <w:rFonts w:ascii="Arial" w:hAnsi="Arial" w:cs="Arial"/>
          <w:sz w:val="20"/>
          <w:szCs w:val="20"/>
        </w:rPr>
        <w:t xml:space="preserve">[422] </w:t>
      </w:r>
      <w:r w:rsidR="0048027E">
        <w:rPr>
          <w:rFonts w:ascii="Arial" w:hAnsi="Arial" w:cs="Arial"/>
          <w:sz w:val="20"/>
          <w:szCs w:val="20"/>
        </w:rPr>
        <w:t>“</w:t>
      </w:r>
      <w:r w:rsidR="00722F42">
        <w:rPr>
          <w:rFonts w:ascii="Arial" w:hAnsi="Arial" w:cs="Arial"/>
          <w:sz w:val="20"/>
          <w:szCs w:val="20"/>
        </w:rPr>
        <w:t>…t</w:t>
      </w:r>
      <w:r w:rsidR="0048027E">
        <w:rPr>
          <w:rFonts w:ascii="Arial" w:hAnsi="Arial" w:cs="Arial"/>
          <w:sz w:val="20"/>
          <w:szCs w:val="20"/>
        </w:rPr>
        <w:t>he appellant accepted that</w:t>
      </w:r>
      <w:r w:rsidR="0048027E" w:rsidRPr="00CF288F">
        <w:rPr>
          <w:rFonts w:ascii="Arial" w:hAnsi="Arial" w:cs="Arial"/>
          <w:sz w:val="20"/>
          <w:szCs w:val="20"/>
        </w:rPr>
        <w:t xml:space="preserve"> the question whether wounds are self-inflicted or not is capable of being the subject of expert evidence, if the evidence is based on the witness's training, study, or experience</w:t>
      </w:r>
      <w:r w:rsidR="00722F42">
        <w:rPr>
          <w:rFonts w:ascii="Arial" w:hAnsi="Arial" w:cs="Arial"/>
          <w:sz w:val="20"/>
          <w:szCs w:val="20"/>
        </w:rPr>
        <w:t xml:space="preserve">: </w:t>
      </w:r>
      <w:r w:rsidR="00722F42" w:rsidRPr="00722F42">
        <w:rPr>
          <w:rFonts w:ascii="Arial" w:hAnsi="Arial" w:cs="Arial"/>
          <w:i/>
          <w:iCs/>
          <w:sz w:val="20"/>
          <w:szCs w:val="20"/>
        </w:rPr>
        <w:t>Velevski v The Queen</w:t>
      </w:r>
      <w:r w:rsidR="00722F42">
        <w:rPr>
          <w:rFonts w:ascii="Arial" w:hAnsi="Arial" w:cs="Arial"/>
          <w:sz w:val="20"/>
          <w:szCs w:val="20"/>
        </w:rPr>
        <w:t xml:space="preserve"> (2002) 76 ALJR 402 at 427 [156]; 187 ALR 233 at 268.  There was no </w:t>
      </w:r>
      <w:r w:rsidR="0048027E">
        <w:rPr>
          <w:rFonts w:ascii="Arial" w:hAnsi="Arial" w:cs="Arial"/>
          <w:sz w:val="20"/>
          <w:szCs w:val="20"/>
        </w:rPr>
        <w:t xml:space="preserve">question that </w:t>
      </w:r>
      <w:r w:rsidR="0048027E" w:rsidRPr="00CF288F">
        <w:rPr>
          <w:rFonts w:ascii="Arial" w:hAnsi="Arial" w:cs="Arial"/>
          <w:sz w:val="20"/>
          <w:szCs w:val="20"/>
        </w:rPr>
        <w:t>Dr Ong was an expert in a recognised field of expertise, forensic pathology, by reason of which he could provide the jury with an expert opinion (if</w:t>
      </w:r>
      <w:r w:rsidR="00722F42">
        <w:rPr>
          <w:rFonts w:ascii="Arial" w:hAnsi="Arial" w:cs="Arial"/>
          <w:sz w:val="20"/>
          <w:szCs w:val="20"/>
        </w:rPr>
        <w:t xml:space="preserve"> </w:t>
      </w:r>
      <w:r w:rsidR="0048027E" w:rsidRPr="00CF288F">
        <w:rPr>
          <w:rFonts w:ascii="Arial" w:hAnsi="Arial" w:cs="Arial"/>
          <w:sz w:val="20"/>
          <w:szCs w:val="20"/>
        </w:rPr>
        <w:t>based on that expertise), which the jury could not itself reach unassisted, about the more likely cause of the deceased's fatal stabbing wounds being infliction by another person rather than by the deceased herself</w:t>
      </w:r>
      <w:r w:rsidR="00722F42">
        <w:rPr>
          <w:rFonts w:ascii="Arial" w:hAnsi="Arial" w:cs="Arial"/>
          <w:sz w:val="20"/>
          <w:szCs w:val="20"/>
        </w:rPr>
        <w:t xml:space="preserve">: </w:t>
      </w:r>
      <w:r w:rsidR="00722F42" w:rsidRPr="00722F42">
        <w:rPr>
          <w:rFonts w:ascii="Arial" w:hAnsi="Arial" w:cs="Arial"/>
          <w:i/>
          <w:iCs/>
          <w:sz w:val="20"/>
          <w:szCs w:val="20"/>
        </w:rPr>
        <w:t>Clark v Ryan</w:t>
      </w:r>
      <w:r w:rsidR="00722F42">
        <w:rPr>
          <w:rFonts w:ascii="Arial" w:hAnsi="Arial" w:cs="Arial"/>
          <w:sz w:val="20"/>
          <w:szCs w:val="20"/>
        </w:rPr>
        <w:t xml:space="preserve"> (1960) 103 CLR 486 at 491; </w:t>
      </w:r>
      <w:r w:rsidR="00722F42" w:rsidRPr="00722F42">
        <w:rPr>
          <w:rFonts w:ascii="Arial" w:hAnsi="Arial" w:cs="Arial"/>
          <w:i/>
          <w:iCs/>
          <w:sz w:val="20"/>
          <w:szCs w:val="20"/>
        </w:rPr>
        <w:t>R v Bonython</w:t>
      </w:r>
      <w:r w:rsidR="00722F42">
        <w:rPr>
          <w:rFonts w:ascii="Arial" w:hAnsi="Arial" w:cs="Arial"/>
          <w:sz w:val="20"/>
          <w:szCs w:val="20"/>
        </w:rPr>
        <w:t xml:space="preserve"> (1984) 38 SASR 45 at 46-47.  </w:t>
      </w:r>
      <w:r w:rsidR="0048027E" w:rsidRPr="00CF288F">
        <w:rPr>
          <w:rFonts w:ascii="Arial" w:hAnsi="Arial" w:cs="Arial"/>
          <w:sz w:val="20"/>
          <w:szCs w:val="20"/>
        </w:rPr>
        <w:t>The appellant submitted, however, that the evidence exposed that the impugned evidence of Dr Ong was inadmissible under the applicable common law principles, as he was giving his opinion as to the likelihood of the deceased acting in a particular way, which was not an opinion based on his expertise as a forensic pathologist.</w:t>
      </w:r>
      <w:r w:rsidR="00722F42">
        <w:rPr>
          <w:rFonts w:ascii="Arial" w:hAnsi="Arial" w:cs="Arial"/>
          <w:sz w:val="20"/>
          <w:szCs w:val="20"/>
        </w:rPr>
        <w:t>”</w:t>
      </w:r>
    </w:p>
    <w:p w14:paraId="18153FB1" w14:textId="0FFF6E75" w:rsidR="007F4A62" w:rsidRDefault="007F4A62" w:rsidP="006747D4">
      <w:pPr>
        <w:spacing w:before="60"/>
        <w:ind w:left="567" w:right="567"/>
        <w:jc w:val="both"/>
        <w:rPr>
          <w:rFonts w:ascii="Arial" w:hAnsi="Arial" w:cs="Arial"/>
          <w:sz w:val="20"/>
          <w:szCs w:val="20"/>
        </w:rPr>
      </w:pPr>
      <w:r>
        <w:rPr>
          <w:rFonts w:ascii="Arial" w:hAnsi="Arial" w:cs="Arial"/>
          <w:sz w:val="20"/>
          <w:szCs w:val="20"/>
        </w:rPr>
        <w:t xml:space="preserve">[423] </w:t>
      </w:r>
      <w:r w:rsidRPr="00CF288F">
        <w:rPr>
          <w:rFonts w:ascii="Arial" w:hAnsi="Arial" w:cs="Arial"/>
          <w:sz w:val="20"/>
          <w:szCs w:val="20"/>
        </w:rPr>
        <w:t xml:space="preserve">As a result of the pre-trial hearing, the trial judge held that </w:t>
      </w:r>
      <w:r>
        <w:rPr>
          <w:rFonts w:ascii="Arial" w:hAnsi="Arial" w:cs="Arial"/>
          <w:sz w:val="20"/>
          <w:szCs w:val="20"/>
        </w:rPr>
        <w:t>‘</w:t>
      </w:r>
      <w:r w:rsidRPr="00CF288F">
        <w:rPr>
          <w:rFonts w:ascii="Arial" w:hAnsi="Arial" w:cs="Arial"/>
          <w:sz w:val="20"/>
          <w:szCs w:val="20"/>
        </w:rPr>
        <w:t>Dr Ong has laid a sufficient foundation for the evidence he has given based on his training, study and experience</w:t>
      </w:r>
      <w:r>
        <w:rPr>
          <w:rFonts w:ascii="Arial" w:hAnsi="Arial" w:cs="Arial"/>
          <w:sz w:val="20"/>
          <w:szCs w:val="20"/>
        </w:rPr>
        <w:t>’</w:t>
      </w:r>
      <w:r w:rsidRPr="00CF288F">
        <w:rPr>
          <w:rFonts w:ascii="Arial" w:hAnsi="Arial" w:cs="Arial"/>
          <w:sz w:val="20"/>
          <w:szCs w:val="20"/>
        </w:rPr>
        <w:t>, with the consequence that the application to exclude his evidence</w:t>
      </w:r>
      <w:r w:rsidR="006747D4">
        <w:rPr>
          <w:rFonts w:ascii="Arial" w:hAnsi="Arial" w:cs="Arial"/>
          <w:sz w:val="20"/>
          <w:szCs w:val="20"/>
        </w:rPr>
        <w:t>,</w:t>
      </w:r>
      <w:r w:rsidRPr="00CF288F">
        <w:rPr>
          <w:rFonts w:ascii="Arial" w:hAnsi="Arial" w:cs="Arial"/>
          <w:sz w:val="20"/>
          <w:szCs w:val="20"/>
        </w:rPr>
        <w:t xml:space="preserve"> that the deceased's wounds were more likely inflicted by another person than self-inflicted by the deceased, was refused. Accordingly, Dr Ong was able to, and did, give this evidence during the trial. The Court of Appeal dismissed the appeal on the ground of inadmissibility of this part of Dr Ong's evidence on the basis that it was </w:t>
      </w:r>
      <w:r w:rsidR="00284820">
        <w:rPr>
          <w:rFonts w:ascii="Arial" w:hAnsi="Arial" w:cs="Arial"/>
          <w:sz w:val="20"/>
          <w:szCs w:val="20"/>
        </w:rPr>
        <w:t>‘</w:t>
      </w:r>
      <w:r w:rsidRPr="00CF288F">
        <w:rPr>
          <w:rFonts w:ascii="Arial" w:hAnsi="Arial" w:cs="Arial"/>
          <w:sz w:val="20"/>
          <w:szCs w:val="20"/>
        </w:rPr>
        <w:t>not a fair reading of Dr Ong's evidence at trial to submit that the impugned answer was the expression of a personal opinion not based on his medical expertise in respect of stab wounds</w:t>
      </w:r>
      <w:r w:rsidR="00284820">
        <w:rPr>
          <w:rFonts w:ascii="Arial" w:hAnsi="Arial" w:cs="Arial"/>
          <w:sz w:val="20"/>
          <w:szCs w:val="20"/>
        </w:rPr>
        <w:t>’</w:t>
      </w:r>
      <w:r w:rsidRPr="00CF288F">
        <w:rPr>
          <w:rFonts w:ascii="Arial" w:hAnsi="Arial" w:cs="Arial"/>
          <w:sz w:val="20"/>
          <w:szCs w:val="20"/>
        </w:rPr>
        <w:t>.</w:t>
      </w:r>
    </w:p>
    <w:p w14:paraId="503744A7" w14:textId="43A983BD" w:rsidR="00585686" w:rsidRDefault="00AC6BFB" w:rsidP="00AF0E6C">
      <w:pPr>
        <w:spacing w:before="120"/>
        <w:jc w:val="both"/>
        <w:rPr>
          <w:rFonts w:ascii="Arial" w:hAnsi="Arial" w:cs="Arial"/>
          <w:sz w:val="20"/>
        </w:rPr>
      </w:pPr>
      <w:r>
        <w:rPr>
          <w:rFonts w:ascii="Arial" w:hAnsi="Arial" w:cs="Arial"/>
          <w:sz w:val="20"/>
        </w:rPr>
        <w:t xml:space="preserve">Speaking about the admissibility of opinion evidence, </w:t>
      </w:r>
      <w:r w:rsidR="00585686">
        <w:rPr>
          <w:rFonts w:ascii="Arial" w:hAnsi="Arial" w:cs="Arial"/>
          <w:sz w:val="20"/>
        </w:rPr>
        <w:t>Kiefel CJ &amp; Gageler J said</w:t>
      </w:r>
      <w:r>
        <w:rPr>
          <w:rFonts w:ascii="Arial" w:hAnsi="Arial" w:cs="Arial"/>
          <w:sz w:val="20"/>
        </w:rPr>
        <w:t xml:space="preserve"> at [4]-[</w:t>
      </w:r>
      <w:r w:rsidR="007F4A62">
        <w:rPr>
          <w:rFonts w:ascii="Arial" w:hAnsi="Arial" w:cs="Arial"/>
          <w:sz w:val="20"/>
        </w:rPr>
        <w:t>19</w:t>
      </w:r>
      <w:r>
        <w:rPr>
          <w:rFonts w:ascii="Arial" w:hAnsi="Arial" w:cs="Arial"/>
          <w:sz w:val="20"/>
        </w:rPr>
        <w:t>]</w:t>
      </w:r>
      <w:r w:rsidR="003A6B6B">
        <w:rPr>
          <w:rFonts w:ascii="Arial" w:hAnsi="Arial" w:cs="Arial"/>
          <w:sz w:val="20"/>
        </w:rPr>
        <w:t xml:space="preserve"> &amp; [26]</w:t>
      </w:r>
      <w:r>
        <w:rPr>
          <w:rFonts w:ascii="Arial" w:hAnsi="Arial" w:cs="Arial"/>
          <w:sz w:val="20"/>
        </w:rPr>
        <w:t xml:space="preserve"> [emphasis added]</w:t>
      </w:r>
      <w:r w:rsidR="00585686">
        <w:rPr>
          <w:rFonts w:ascii="Arial" w:hAnsi="Arial" w:cs="Arial"/>
          <w:sz w:val="20"/>
        </w:rPr>
        <w:t>:</w:t>
      </w:r>
    </w:p>
    <w:p w14:paraId="31828B88" w14:textId="6AD184B5" w:rsidR="00585686" w:rsidRDefault="00585686" w:rsidP="00AF0E6C">
      <w:pPr>
        <w:spacing w:before="60"/>
        <w:ind w:left="567" w:right="567"/>
        <w:jc w:val="both"/>
        <w:rPr>
          <w:rFonts w:ascii="Arial" w:hAnsi="Arial" w:cs="Arial"/>
          <w:sz w:val="20"/>
          <w:szCs w:val="20"/>
        </w:rPr>
      </w:pPr>
      <w:r>
        <w:rPr>
          <w:rFonts w:ascii="Arial" w:hAnsi="Arial" w:cs="Arial"/>
          <w:sz w:val="20"/>
          <w:szCs w:val="20"/>
        </w:rPr>
        <w:t>[4] “</w:t>
      </w:r>
      <w:r w:rsidR="005C1DBA" w:rsidRPr="005C1DBA">
        <w:rPr>
          <w:rFonts w:ascii="Arial" w:hAnsi="Arial" w:cs="Arial"/>
          <w:sz w:val="20"/>
          <w:szCs w:val="20"/>
        </w:rPr>
        <w:t>We write to elaborate on the common law principles which bore on the admissibility of Dr Ong's opinion.</w:t>
      </w:r>
    </w:p>
    <w:p w14:paraId="00AC7B85" w14:textId="77777777" w:rsidR="00585686" w:rsidRDefault="00585686" w:rsidP="00AF0E6C">
      <w:pPr>
        <w:spacing w:before="60"/>
        <w:ind w:left="567" w:right="567"/>
        <w:jc w:val="both"/>
        <w:rPr>
          <w:rFonts w:ascii="Arial" w:hAnsi="Arial" w:cs="Arial"/>
          <w:sz w:val="20"/>
          <w:szCs w:val="20"/>
        </w:rPr>
      </w:pPr>
      <w:r>
        <w:rPr>
          <w:rFonts w:ascii="Arial" w:hAnsi="Arial" w:cs="Arial"/>
          <w:sz w:val="20"/>
          <w:szCs w:val="20"/>
        </w:rPr>
        <w:t xml:space="preserve">[5] </w:t>
      </w:r>
      <w:r w:rsidR="005C1DBA" w:rsidRPr="005C1DBA">
        <w:rPr>
          <w:rFonts w:ascii="Arial" w:hAnsi="Arial" w:cs="Arial"/>
          <w:sz w:val="20"/>
          <w:szCs w:val="20"/>
        </w:rPr>
        <w:t>Expert evidence need not be opinion evidence. Evidence given by an expert sometimes involves nothing more than imparting expert knowledge and sometimes involves nothing more than giving a technical description of events and processes in which the expert was involved. Much of Dr Ong's evidence at the trial was evidence of the latter kind. It was evidence of what he did and saw in his capacity as a forensic pathologist when first he attended the scene of Mrs Boyce's death and when later he conducted her autopsy</w:t>
      </w:r>
    </w:p>
    <w:p w14:paraId="7619A1A2" w14:textId="77777777" w:rsidR="00AF0E6C" w:rsidRDefault="00585686" w:rsidP="00AF0E6C">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6</w:t>
      </w:r>
      <w:r>
        <w:rPr>
          <w:rFonts w:ascii="Arial" w:hAnsi="Arial" w:cs="Arial"/>
          <w:sz w:val="20"/>
          <w:szCs w:val="20"/>
        </w:rPr>
        <w:t>]</w:t>
      </w:r>
      <w:r w:rsidR="005C1DBA" w:rsidRPr="005C1DBA">
        <w:rPr>
          <w:rFonts w:ascii="Arial" w:hAnsi="Arial" w:cs="Arial"/>
          <w:sz w:val="20"/>
          <w:szCs w:val="20"/>
        </w:rPr>
        <w:t xml:space="preserve"> Subject to limited exceptions, however, opinion evidence can only be expert evidence. The reason lies in the nature of an opinion and in the nature of the curial process. </w:t>
      </w:r>
      <w:r w:rsidR="005C1DBA" w:rsidRPr="005C1DBA">
        <w:rPr>
          <w:rFonts w:ascii="Arial" w:hAnsi="Arial" w:cs="Arial"/>
          <w:sz w:val="20"/>
          <w:szCs w:val="20"/>
        </w:rPr>
        <w:lastRenderedPageBreak/>
        <w:t>An</w:t>
      </w:r>
      <w:r>
        <w:rPr>
          <w:rFonts w:ascii="Arial" w:hAnsi="Arial" w:cs="Arial"/>
          <w:sz w:val="20"/>
          <w:szCs w:val="20"/>
        </w:rPr>
        <w:t> </w:t>
      </w:r>
      <w:r w:rsidR="005C1DBA" w:rsidRPr="005C1DBA">
        <w:rPr>
          <w:rFonts w:ascii="Arial" w:hAnsi="Arial" w:cs="Arial"/>
          <w:sz w:val="20"/>
          <w:szCs w:val="20"/>
        </w:rPr>
        <w:t>opinion is an inference drawn from observed and communicable data</w:t>
      </w:r>
      <w:r>
        <w:rPr>
          <w:rFonts w:ascii="Arial" w:hAnsi="Arial" w:cs="Arial"/>
          <w:sz w:val="20"/>
          <w:szCs w:val="20"/>
        </w:rPr>
        <w:t xml:space="preserve">: </w:t>
      </w:r>
      <w:r w:rsidRPr="00585686">
        <w:rPr>
          <w:rFonts w:ascii="Arial" w:hAnsi="Arial" w:cs="Arial"/>
          <w:i/>
          <w:iCs/>
          <w:sz w:val="20"/>
          <w:szCs w:val="20"/>
        </w:rPr>
        <w:t>Honeysett v The Queen</w:t>
      </w:r>
      <w:r w:rsidRPr="005C1DBA">
        <w:rPr>
          <w:rFonts w:ascii="Arial" w:hAnsi="Arial" w:cs="Arial"/>
          <w:sz w:val="20"/>
          <w:szCs w:val="20"/>
        </w:rPr>
        <w:t xml:space="preserve"> (2014) 253 CLR 122 at 130-131 [21].</w:t>
      </w:r>
      <w:r w:rsidR="00AF0E6C">
        <w:rPr>
          <w:rFonts w:ascii="Arial" w:hAnsi="Arial" w:cs="Arial"/>
          <w:sz w:val="20"/>
          <w:szCs w:val="20"/>
        </w:rPr>
        <w:t xml:space="preserve">  </w:t>
      </w:r>
      <w:r w:rsidR="005C1DBA" w:rsidRPr="005C1DBA">
        <w:rPr>
          <w:rFonts w:ascii="Arial" w:hAnsi="Arial" w:cs="Arial"/>
          <w:sz w:val="20"/>
          <w:szCs w:val="20"/>
        </w:rPr>
        <w:t>Within the curial process, data that has been observed is communicated to a court through the adducing of evidence. Drawing inferences from that evidence to make findings of fact is the function of the tribunal of fact. The tribunal of fact, whether a judge or a jury, can be expected to perform that fact</w:t>
      </w:r>
      <w:r w:rsidR="00AF0E6C">
        <w:rPr>
          <w:rFonts w:ascii="Arial" w:hAnsi="Arial" w:cs="Arial"/>
          <w:sz w:val="20"/>
          <w:szCs w:val="20"/>
        </w:rPr>
        <w:noBreakHyphen/>
      </w:r>
      <w:r w:rsidR="005C1DBA" w:rsidRPr="005C1DBA">
        <w:rPr>
          <w:rFonts w:ascii="Arial" w:hAnsi="Arial" w:cs="Arial"/>
          <w:sz w:val="20"/>
          <w:szCs w:val="20"/>
        </w:rPr>
        <w:t>finding function forming their own opinion as to the inferences to be drawn from the evidence based on their own common knowledge and experience. Another person cannot usurp the factfinding function of the tribunal of fact, and an opinion of another person based on nothing more than the common knowledge and experience of that person cannot assist the tribunal of fact in performing that function</w:t>
      </w:r>
      <w:r w:rsidR="00AF0E6C">
        <w:rPr>
          <w:rFonts w:ascii="Arial" w:hAnsi="Arial" w:cs="Arial"/>
          <w:sz w:val="20"/>
          <w:szCs w:val="20"/>
        </w:rPr>
        <w:t xml:space="preserve">: </w:t>
      </w:r>
      <w:r w:rsidR="00AF0E6C" w:rsidRPr="00AF0E6C">
        <w:rPr>
          <w:rFonts w:ascii="Arial" w:hAnsi="Arial" w:cs="Arial"/>
          <w:i/>
          <w:iCs/>
          <w:sz w:val="20"/>
          <w:szCs w:val="20"/>
        </w:rPr>
        <w:t>Smith v The Queen</w:t>
      </w:r>
      <w:r w:rsidR="00AF0E6C" w:rsidRPr="005C1DBA">
        <w:rPr>
          <w:rFonts w:ascii="Arial" w:hAnsi="Arial" w:cs="Arial"/>
          <w:sz w:val="20"/>
          <w:szCs w:val="20"/>
        </w:rPr>
        <w:t xml:space="preserve"> (2001) 206 CLR 650 at 655 [11]</w:t>
      </w:r>
      <w:r w:rsidR="005C1DBA" w:rsidRPr="005C1DBA">
        <w:rPr>
          <w:rFonts w:ascii="Arial" w:hAnsi="Arial" w:cs="Arial"/>
          <w:sz w:val="20"/>
          <w:szCs w:val="20"/>
        </w:rPr>
        <w:t>. The tribunal of fact might at most be assisted in the performance of the function by being apprised of the opinion of another person – an expert – based on that person's specialised knowledge or experience. The probative value of evidence of an opinion that is based on specialised knowledge or experience then lies in the extent, if any, to which the opinion has the potential to assist the tribunal of fact in the process of drawing the requisite inferences for itself.</w:t>
      </w:r>
    </w:p>
    <w:p w14:paraId="41644105" w14:textId="2E156455" w:rsidR="00AF0E6C" w:rsidRDefault="00AF0E6C" w:rsidP="00AF0E6C">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7</w:t>
      </w:r>
      <w:r>
        <w:rPr>
          <w:rFonts w:ascii="Arial" w:hAnsi="Arial" w:cs="Arial"/>
          <w:sz w:val="20"/>
          <w:szCs w:val="20"/>
        </w:rPr>
        <w:t>]</w:t>
      </w:r>
      <w:r w:rsidR="005C1DBA" w:rsidRPr="005C1DBA">
        <w:rPr>
          <w:rFonts w:ascii="Arial" w:hAnsi="Arial" w:cs="Arial"/>
          <w:sz w:val="20"/>
          <w:szCs w:val="20"/>
        </w:rPr>
        <w:t xml:space="preserve"> That common law conception of the opinion of an expert having probative value only if and to the extent that the opinion can assist the tribunal of fact in forming its own opinion as to inferences to be drawn from evidence was the starting point and the dominant theme of the influential analysis in </w:t>
      </w:r>
      <w:r w:rsidR="005C1DBA" w:rsidRPr="00AF0E6C">
        <w:rPr>
          <w:rFonts w:ascii="Arial" w:hAnsi="Arial" w:cs="Arial"/>
          <w:i/>
          <w:iCs/>
          <w:sz w:val="20"/>
          <w:szCs w:val="20"/>
        </w:rPr>
        <w:t>Makita (Australia) Pty Ltd v Sprowles</w:t>
      </w:r>
      <w:r>
        <w:rPr>
          <w:rFonts w:ascii="Arial" w:hAnsi="Arial" w:cs="Arial"/>
          <w:sz w:val="20"/>
          <w:szCs w:val="20"/>
        </w:rPr>
        <w:t xml:space="preserve">: </w:t>
      </w:r>
      <w:r w:rsidRPr="005C1DBA">
        <w:rPr>
          <w:rFonts w:ascii="Arial" w:hAnsi="Arial" w:cs="Arial"/>
          <w:sz w:val="20"/>
          <w:szCs w:val="20"/>
        </w:rPr>
        <w:t>(2001) 52 NSWLR 705 at 729-745 [59]-[86].</w:t>
      </w:r>
      <w:r w:rsidR="005C1DBA" w:rsidRPr="005C1DBA">
        <w:rPr>
          <w:rFonts w:ascii="Arial" w:hAnsi="Arial" w:cs="Arial"/>
          <w:sz w:val="20"/>
          <w:szCs w:val="20"/>
        </w:rPr>
        <w:t xml:space="preserve"> The role of expert witnesses was explained at the commencement of that analysis in the following terms</w:t>
      </w:r>
      <w:r>
        <w:rPr>
          <w:rFonts w:ascii="Arial" w:hAnsi="Arial" w:cs="Arial"/>
          <w:sz w:val="20"/>
          <w:szCs w:val="20"/>
        </w:rPr>
        <w:t xml:space="preserve"> [citing] </w:t>
      </w:r>
      <w:r w:rsidRPr="00AF0E6C">
        <w:rPr>
          <w:rFonts w:ascii="Arial" w:hAnsi="Arial" w:cs="Arial"/>
          <w:i/>
          <w:iCs/>
          <w:sz w:val="20"/>
          <w:szCs w:val="20"/>
        </w:rPr>
        <w:t>Davie v Magistrates of Edinburgh</w:t>
      </w:r>
      <w:r w:rsidRPr="005C1DBA">
        <w:rPr>
          <w:rFonts w:ascii="Arial" w:hAnsi="Arial" w:cs="Arial"/>
          <w:sz w:val="20"/>
          <w:szCs w:val="20"/>
        </w:rPr>
        <w:t xml:space="preserve"> 1953 SC 34 at 40</w:t>
      </w:r>
      <w:r w:rsidR="006747D4">
        <w:rPr>
          <w:rFonts w:ascii="Arial" w:hAnsi="Arial" w:cs="Arial"/>
          <w:sz w:val="20"/>
          <w:szCs w:val="20"/>
        </w:rPr>
        <w:t xml:space="preserve">; </w:t>
      </w:r>
      <w:r w:rsidRPr="005C1DBA">
        <w:rPr>
          <w:rFonts w:ascii="Arial" w:hAnsi="Arial" w:cs="Arial"/>
          <w:sz w:val="20"/>
          <w:szCs w:val="20"/>
        </w:rPr>
        <w:t>Cross on Evidence, 13th Aust ed (2021) at 1143-1144 [29075] and the cases there noted</w:t>
      </w:r>
      <w:r>
        <w:rPr>
          <w:rFonts w:ascii="Arial" w:hAnsi="Arial" w:cs="Arial"/>
          <w:sz w:val="20"/>
          <w:szCs w:val="20"/>
        </w:rPr>
        <w:t>:</w:t>
      </w:r>
    </w:p>
    <w:p w14:paraId="4F69723A" w14:textId="2BE27390" w:rsidR="00AF0E6C" w:rsidRDefault="00AF0E6C" w:rsidP="00AF0E6C">
      <w:pPr>
        <w:spacing w:before="60"/>
        <w:ind w:left="1021" w:right="1021"/>
        <w:jc w:val="both"/>
        <w:rPr>
          <w:rFonts w:ascii="Arial" w:hAnsi="Arial" w:cs="Arial"/>
          <w:sz w:val="20"/>
          <w:szCs w:val="20"/>
        </w:rPr>
      </w:pPr>
      <w:r>
        <w:rPr>
          <w:rFonts w:ascii="Arial" w:hAnsi="Arial" w:cs="Arial"/>
          <w:sz w:val="18"/>
          <w:szCs w:val="18"/>
        </w:rPr>
        <w:t>‘</w:t>
      </w:r>
      <w:r w:rsidRPr="00AF0E6C">
        <w:rPr>
          <w:rFonts w:ascii="Arial" w:hAnsi="Arial" w:cs="Arial"/>
          <w:sz w:val="18"/>
          <w:szCs w:val="18"/>
        </w:rPr>
        <w:t>Their duty is to furnish the Judge or jury with the necessary scientific criteria for testing the accuracy of their conclusions, so as to enable the Judge or jury to form their own independent judgment by the application of these criteria to the facts proved in evidence. The scientific opinion evidence, if intelligible, convincing and tested, becomes a factor (and often an important factor) for consideration along with the whole other evidence in the case, but the decision is for the Judge or jury.</w:t>
      </w:r>
      <w:r>
        <w:rPr>
          <w:rFonts w:ascii="Arial" w:hAnsi="Arial" w:cs="Arial"/>
          <w:sz w:val="18"/>
          <w:szCs w:val="18"/>
        </w:rPr>
        <w:t>’</w:t>
      </w:r>
    </w:p>
    <w:p w14:paraId="100987ED" w14:textId="2EF165DD" w:rsidR="00AF0E6C" w:rsidRDefault="00AF0E6C" w:rsidP="002B1B43">
      <w:pPr>
        <w:spacing w:before="60"/>
        <w:ind w:left="567" w:right="567"/>
        <w:jc w:val="both"/>
        <w:rPr>
          <w:rFonts w:ascii="Arial" w:hAnsi="Arial" w:cs="Arial"/>
          <w:sz w:val="20"/>
          <w:szCs w:val="20"/>
        </w:rPr>
      </w:pPr>
      <w:r>
        <w:rPr>
          <w:rFonts w:ascii="Arial" w:hAnsi="Arial" w:cs="Arial"/>
          <w:sz w:val="20"/>
          <w:szCs w:val="20"/>
        </w:rPr>
        <w:t xml:space="preserve">[8] </w:t>
      </w:r>
      <w:r w:rsidRPr="005C1DBA">
        <w:rPr>
          <w:rFonts w:ascii="Arial" w:hAnsi="Arial" w:cs="Arial"/>
          <w:sz w:val="20"/>
          <w:szCs w:val="20"/>
        </w:rPr>
        <w:t xml:space="preserve">The traditional approach of the common law to the admissibility of evidence of the opinion of an expert has been consistent with that conception of the probative value of evidence of the opinion of an expert lying in the extent, if at all, to which the opinion might assist the tribunal of fact to draw inferences from other evidence that has been adduced. The approach has been simultaneously to accept that </w:t>
      </w:r>
      <w:r>
        <w:rPr>
          <w:rFonts w:ascii="Arial" w:hAnsi="Arial" w:cs="Arial"/>
          <w:sz w:val="20"/>
          <w:szCs w:val="20"/>
        </w:rPr>
        <w:t>‘</w:t>
      </w:r>
      <w:r w:rsidRPr="005C1DBA">
        <w:rPr>
          <w:rFonts w:ascii="Arial" w:hAnsi="Arial" w:cs="Arial"/>
          <w:sz w:val="20"/>
          <w:szCs w:val="20"/>
        </w:rPr>
        <w:t>the opinion of witnesses possessing peculiar skill is admissible whenever the subject-matter of inquiry is such that inexperienced persons are unlikely to prove capable of forming a correct judgment upon it without such assistance</w:t>
      </w:r>
      <w:r>
        <w:rPr>
          <w:rFonts w:ascii="Arial" w:hAnsi="Arial" w:cs="Arial"/>
          <w:sz w:val="20"/>
          <w:szCs w:val="20"/>
        </w:rPr>
        <w:t>’</w:t>
      </w:r>
      <w:r w:rsidRPr="005C1DBA">
        <w:rPr>
          <w:rFonts w:ascii="Arial" w:hAnsi="Arial" w:cs="Arial"/>
          <w:sz w:val="20"/>
          <w:szCs w:val="20"/>
        </w:rPr>
        <w:t xml:space="preserve"> and to deny that </w:t>
      </w:r>
      <w:r>
        <w:rPr>
          <w:rFonts w:ascii="Arial" w:hAnsi="Arial" w:cs="Arial"/>
          <w:sz w:val="20"/>
          <w:szCs w:val="20"/>
        </w:rPr>
        <w:t>‘</w:t>
      </w:r>
      <w:r w:rsidRPr="005C1DBA">
        <w:rPr>
          <w:rFonts w:ascii="Arial" w:hAnsi="Arial" w:cs="Arial"/>
          <w:sz w:val="20"/>
          <w:szCs w:val="20"/>
        </w:rPr>
        <w:t>the opinions of witnesses can be received when the inquiry is into a subject-matter, the nature of which is not such as to require any peculiar habits or study in order to qualify a man to understand it</w:t>
      </w:r>
      <w:r>
        <w:rPr>
          <w:rFonts w:ascii="Arial" w:hAnsi="Arial" w:cs="Arial"/>
          <w:sz w:val="20"/>
          <w:szCs w:val="20"/>
        </w:rPr>
        <w:t xml:space="preserve">’: </w:t>
      </w:r>
      <w:r w:rsidRPr="005C1DBA">
        <w:rPr>
          <w:rFonts w:ascii="Arial" w:hAnsi="Arial" w:cs="Arial"/>
          <w:sz w:val="20"/>
          <w:szCs w:val="20"/>
        </w:rPr>
        <w:t xml:space="preserve">Smith's Leading Cases, 7th ed (1876), vol 1 at 577, quoted and applied in </w:t>
      </w:r>
      <w:r w:rsidRPr="00AF0E6C">
        <w:rPr>
          <w:rFonts w:ascii="Arial" w:hAnsi="Arial" w:cs="Arial"/>
          <w:i/>
          <w:iCs/>
          <w:sz w:val="20"/>
          <w:szCs w:val="20"/>
        </w:rPr>
        <w:t>Clark v Ryan</w:t>
      </w:r>
      <w:r w:rsidRPr="005C1DBA">
        <w:rPr>
          <w:rFonts w:ascii="Arial" w:hAnsi="Arial" w:cs="Arial"/>
          <w:sz w:val="20"/>
          <w:szCs w:val="20"/>
        </w:rPr>
        <w:t xml:space="preserve"> (1960) 103 CLR 486 at 491 and </w:t>
      </w:r>
      <w:r w:rsidRPr="00AF0E6C">
        <w:rPr>
          <w:rFonts w:ascii="Arial" w:hAnsi="Arial" w:cs="Arial"/>
          <w:i/>
          <w:iCs/>
          <w:sz w:val="20"/>
          <w:szCs w:val="20"/>
        </w:rPr>
        <w:t>Burger King Corporation v Registrar of Trade Marks</w:t>
      </w:r>
      <w:r w:rsidRPr="005C1DBA">
        <w:rPr>
          <w:rFonts w:ascii="Arial" w:hAnsi="Arial" w:cs="Arial"/>
          <w:sz w:val="20"/>
          <w:szCs w:val="20"/>
        </w:rPr>
        <w:t xml:space="preserve"> (1973) 128 CLR 417 at 421.</w:t>
      </w:r>
    </w:p>
    <w:p w14:paraId="6C366F76" w14:textId="77649A76" w:rsidR="00AF0E6C" w:rsidRDefault="00AF0E6C" w:rsidP="00AC6BFB">
      <w:pPr>
        <w:spacing w:before="60"/>
        <w:ind w:left="567" w:right="567"/>
        <w:jc w:val="both"/>
        <w:rPr>
          <w:rFonts w:ascii="Arial" w:hAnsi="Arial" w:cs="Arial"/>
          <w:sz w:val="20"/>
          <w:szCs w:val="20"/>
        </w:rPr>
      </w:pPr>
      <w:r>
        <w:rPr>
          <w:rFonts w:ascii="Arial" w:hAnsi="Arial" w:cs="Arial"/>
          <w:sz w:val="20"/>
          <w:szCs w:val="20"/>
        </w:rPr>
        <w:t xml:space="preserve">[9] </w:t>
      </w:r>
      <w:r w:rsidR="005C1DBA" w:rsidRPr="005C1DBA">
        <w:rPr>
          <w:rFonts w:ascii="Arial" w:hAnsi="Arial" w:cs="Arial"/>
          <w:sz w:val="20"/>
          <w:szCs w:val="20"/>
        </w:rPr>
        <w:t>The traditional approach has come under strain as developments in specialised knowledge, especially in fields of behavioural science</w:t>
      </w:r>
      <w:r>
        <w:rPr>
          <w:rFonts w:ascii="Arial" w:hAnsi="Arial" w:cs="Arial"/>
          <w:sz w:val="20"/>
          <w:szCs w:val="20"/>
        </w:rPr>
        <w:t xml:space="preserve"> {</w:t>
      </w:r>
      <w:r w:rsidR="00AC6BFB" w:rsidRPr="005C1DBA">
        <w:rPr>
          <w:rFonts w:ascii="Arial" w:hAnsi="Arial" w:cs="Arial"/>
          <w:sz w:val="20"/>
          <w:szCs w:val="20"/>
        </w:rPr>
        <w:t xml:space="preserve">eg </w:t>
      </w:r>
      <w:r w:rsidR="00AC6BFB" w:rsidRPr="00AC6BFB">
        <w:rPr>
          <w:rFonts w:ascii="Arial" w:hAnsi="Arial" w:cs="Arial"/>
          <w:i/>
          <w:iCs/>
          <w:sz w:val="20"/>
          <w:szCs w:val="20"/>
        </w:rPr>
        <w:t>Murphy v The Queen</w:t>
      </w:r>
      <w:r w:rsidR="00AC6BFB" w:rsidRPr="005C1DBA">
        <w:rPr>
          <w:rFonts w:ascii="Arial" w:hAnsi="Arial" w:cs="Arial"/>
          <w:sz w:val="20"/>
          <w:szCs w:val="20"/>
        </w:rPr>
        <w:t xml:space="preserve"> (1989) 167 CLR 94 at 111, 122, 130-131; </w:t>
      </w:r>
      <w:r w:rsidR="00AC6BFB" w:rsidRPr="00AC6BFB">
        <w:rPr>
          <w:rFonts w:ascii="Arial" w:hAnsi="Arial" w:cs="Arial"/>
          <w:i/>
          <w:iCs/>
          <w:sz w:val="20"/>
          <w:szCs w:val="20"/>
        </w:rPr>
        <w:t>Farrell v The Queen</w:t>
      </w:r>
      <w:r w:rsidR="00AC6BFB" w:rsidRPr="005C1DBA">
        <w:rPr>
          <w:rFonts w:ascii="Arial" w:hAnsi="Arial" w:cs="Arial"/>
          <w:sz w:val="20"/>
          <w:szCs w:val="20"/>
        </w:rPr>
        <w:t xml:space="preserve"> (1998) 194 CLR 286 at 292-293 [10]-[13], 299-301 [27]-[31], 320-322 [91]- [93]</w:t>
      </w:r>
      <w:r w:rsidR="00AC6BFB">
        <w:rPr>
          <w:rFonts w:ascii="Arial" w:hAnsi="Arial" w:cs="Arial"/>
          <w:sz w:val="20"/>
          <w:szCs w:val="20"/>
        </w:rPr>
        <w:t xml:space="preserve">} and </w:t>
      </w:r>
      <w:r w:rsidR="005C1DBA" w:rsidRPr="005C1DBA">
        <w:rPr>
          <w:rFonts w:ascii="Arial" w:hAnsi="Arial" w:cs="Arial"/>
          <w:sz w:val="20"/>
          <w:szCs w:val="20"/>
        </w:rPr>
        <w:t>forensic science</w:t>
      </w:r>
      <w:r w:rsidR="00AC6BFB">
        <w:rPr>
          <w:rFonts w:ascii="Arial" w:hAnsi="Arial" w:cs="Arial"/>
          <w:sz w:val="20"/>
          <w:szCs w:val="20"/>
        </w:rPr>
        <w:t xml:space="preserve"> {</w:t>
      </w:r>
      <w:r w:rsidR="00AC6BFB" w:rsidRPr="005C1DBA">
        <w:rPr>
          <w:rFonts w:ascii="Arial" w:hAnsi="Arial" w:cs="Arial"/>
          <w:sz w:val="20"/>
          <w:szCs w:val="20"/>
        </w:rPr>
        <w:t xml:space="preserve">eg </w:t>
      </w:r>
      <w:r w:rsidR="00AC6BFB" w:rsidRPr="00AC6BFB">
        <w:rPr>
          <w:rFonts w:ascii="Arial" w:hAnsi="Arial" w:cs="Arial"/>
          <w:i/>
          <w:iCs/>
          <w:sz w:val="20"/>
          <w:szCs w:val="20"/>
        </w:rPr>
        <w:t>Velevski v The Queen</w:t>
      </w:r>
      <w:r w:rsidR="00AC6BFB" w:rsidRPr="005C1DBA">
        <w:rPr>
          <w:rFonts w:ascii="Arial" w:hAnsi="Arial" w:cs="Arial"/>
          <w:sz w:val="20"/>
          <w:szCs w:val="20"/>
        </w:rPr>
        <w:t xml:space="preserve"> (2002) 76 ALJR 402 at 427 [156]; 187 ALR 233 at 268</w:t>
      </w:r>
      <w:r w:rsidR="00AC6BFB">
        <w:rPr>
          <w:rFonts w:ascii="Arial" w:hAnsi="Arial" w:cs="Arial"/>
          <w:sz w:val="20"/>
          <w:szCs w:val="20"/>
        </w:rPr>
        <w:t>}</w:t>
      </w:r>
      <w:r w:rsidR="005C1DBA" w:rsidRPr="005C1DBA">
        <w:rPr>
          <w:rFonts w:ascii="Arial" w:hAnsi="Arial" w:cs="Arial"/>
          <w:sz w:val="20"/>
          <w:szCs w:val="20"/>
        </w:rPr>
        <w:t xml:space="preserve">, have narrowed the subject-matters in respect of which it might continue to be asserted categorically and with confidence that common knowledge and experience provide so firm a foundation upon which to engage in fact-finding that the opinion of an expert could be of no assistance. This Court has emphasised that </w:t>
      </w:r>
      <w:r w:rsidR="00AC6BFB">
        <w:rPr>
          <w:rFonts w:ascii="Arial" w:hAnsi="Arial" w:cs="Arial"/>
          <w:sz w:val="20"/>
          <w:szCs w:val="20"/>
        </w:rPr>
        <w:t>‘</w:t>
      </w:r>
      <w:r w:rsidR="005C1DBA" w:rsidRPr="005C1DBA">
        <w:rPr>
          <w:rFonts w:ascii="Arial" w:hAnsi="Arial" w:cs="Arial"/>
          <w:sz w:val="20"/>
          <w:szCs w:val="20"/>
        </w:rPr>
        <w:t>it does not follow that, because a lay witness can describe events and behaviour, expert evidence is unavailable to explain those events and that behaviour</w:t>
      </w:r>
      <w:r w:rsidR="00AC6BFB">
        <w:rPr>
          <w:rFonts w:ascii="Arial" w:hAnsi="Arial" w:cs="Arial"/>
          <w:sz w:val="20"/>
          <w:szCs w:val="20"/>
        </w:rPr>
        <w:t xml:space="preserve">’: </w:t>
      </w:r>
      <w:r w:rsidR="00AC6BFB" w:rsidRPr="00AC6BFB">
        <w:rPr>
          <w:rFonts w:ascii="Arial" w:hAnsi="Arial" w:cs="Arial"/>
          <w:i/>
          <w:iCs/>
          <w:sz w:val="20"/>
          <w:szCs w:val="20"/>
        </w:rPr>
        <w:t>Murphy v The Queen</w:t>
      </w:r>
      <w:r w:rsidR="00AC6BFB" w:rsidRPr="005C1DBA">
        <w:rPr>
          <w:rFonts w:ascii="Arial" w:hAnsi="Arial" w:cs="Arial"/>
          <w:sz w:val="20"/>
          <w:szCs w:val="20"/>
        </w:rPr>
        <w:t xml:space="preserve"> (1989) 167 CLR 94 at 112.</w:t>
      </w:r>
      <w:r w:rsidR="00AC6BFB">
        <w:rPr>
          <w:rFonts w:ascii="Arial" w:hAnsi="Arial" w:cs="Arial"/>
          <w:sz w:val="20"/>
          <w:szCs w:val="20"/>
        </w:rPr>
        <w:t xml:space="preserve">  </w:t>
      </w:r>
      <w:r w:rsidR="005C1DBA" w:rsidRPr="005C1DBA">
        <w:rPr>
          <w:rFonts w:ascii="Arial" w:hAnsi="Arial" w:cs="Arial"/>
          <w:sz w:val="20"/>
          <w:szCs w:val="20"/>
        </w:rPr>
        <w:t>Nor does it follow that evidence of the opinion of an expert is unavailable to assist the tribunal of fact merely because the tribunal of fact, whether a judge or a jury, could be expected in the absence of that expert evidence to work out their own explanation for events and behaviour making use of nothing more than the common knowledge and experience that can be attributed to them.</w:t>
      </w:r>
    </w:p>
    <w:p w14:paraId="68EFEE8C" w14:textId="17B4C4A4" w:rsidR="00AC6BFB" w:rsidRPr="00484192" w:rsidRDefault="00AF0E6C" w:rsidP="00AF0E6C">
      <w:pPr>
        <w:spacing w:before="60"/>
        <w:ind w:left="567" w:right="567"/>
        <w:jc w:val="both"/>
        <w:rPr>
          <w:rFonts w:ascii="Arial" w:hAnsi="Arial" w:cs="Arial"/>
          <w:b/>
          <w:bCs/>
          <w:sz w:val="20"/>
          <w:szCs w:val="20"/>
        </w:rPr>
      </w:pPr>
      <w:r w:rsidRPr="00484192">
        <w:rPr>
          <w:rFonts w:ascii="Arial" w:hAnsi="Arial" w:cs="Arial"/>
          <w:b/>
          <w:bCs/>
          <w:sz w:val="20"/>
          <w:szCs w:val="20"/>
        </w:rPr>
        <w:t>[</w:t>
      </w:r>
      <w:r w:rsidR="005C1DBA" w:rsidRPr="00484192">
        <w:rPr>
          <w:rFonts w:ascii="Arial" w:hAnsi="Arial" w:cs="Arial"/>
          <w:b/>
          <w:bCs/>
          <w:sz w:val="20"/>
          <w:szCs w:val="20"/>
        </w:rPr>
        <w:t>10</w:t>
      </w:r>
      <w:r w:rsidRPr="00484192">
        <w:rPr>
          <w:rFonts w:ascii="Arial" w:hAnsi="Arial" w:cs="Arial"/>
          <w:b/>
          <w:bCs/>
          <w:sz w:val="20"/>
          <w:szCs w:val="20"/>
        </w:rPr>
        <w:t>]</w:t>
      </w:r>
      <w:r w:rsidR="005C1DBA" w:rsidRPr="00484192">
        <w:rPr>
          <w:rFonts w:ascii="Arial" w:hAnsi="Arial" w:cs="Arial"/>
          <w:b/>
          <w:bCs/>
          <w:sz w:val="20"/>
          <w:szCs w:val="20"/>
        </w:rPr>
        <w:t xml:space="preserve"> Nonetheless, it remains a condition of the admissibility of evidence of the opinion of an expert at common law that the opinion be demonstrated to be based on specialised knowledge or experience of the expert that is beyond the common knowledge and experience attributable to the tribunal of fact. Only if that condition is satisfied can the opinion of the expert assist the tribunal of fact to form the </w:t>
      </w:r>
      <w:r w:rsidR="005C1DBA" w:rsidRPr="00484192">
        <w:rPr>
          <w:rFonts w:ascii="Arial" w:hAnsi="Arial" w:cs="Arial"/>
          <w:b/>
          <w:bCs/>
          <w:sz w:val="20"/>
          <w:szCs w:val="20"/>
        </w:rPr>
        <w:lastRenderedPageBreak/>
        <w:t>requisite opinion of its own as to the inferences to be drawn from the evidence to make findings about disputed facts should the tribunal of fact be persuaded to accept and act upon the opinion</w:t>
      </w:r>
      <w:r w:rsidR="00AC6BFB" w:rsidRPr="00484192">
        <w:rPr>
          <w:rFonts w:ascii="Arial" w:hAnsi="Arial" w:cs="Arial"/>
          <w:b/>
          <w:bCs/>
          <w:sz w:val="20"/>
          <w:szCs w:val="20"/>
        </w:rPr>
        <w:t xml:space="preserve">: </w:t>
      </w:r>
      <w:r w:rsidR="00AC6BFB" w:rsidRPr="00484192">
        <w:rPr>
          <w:rFonts w:ascii="Arial" w:hAnsi="Arial" w:cs="Arial"/>
          <w:b/>
          <w:bCs/>
          <w:i/>
          <w:iCs/>
          <w:sz w:val="20"/>
          <w:szCs w:val="20"/>
        </w:rPr>
        <w:t>Velevski v The Queen</w:t>
      </w:r>
      <w:r w:rsidR="00AC6BFB" w:rsidRPr="00484192">
        <w:rPr>
          <w:rFonts w:ascii="Arial" w:hAnsi="Arial" w:cs="Arial"/>
          <w:b/>
          <w:bCs/>
          <w:sz w:val="20"/>
          <w:szCs w:val="20"/>
        </w:rPr>
        <w:t xml:space="preserve"> (2002) 76 ALJR 402 at 432-433 [177]-[182]; 187 ALR 233 at 274-275.</w:t>
      </w:r>
    </w:p>
    <w:p w14:paraId="2A9F4551" w14:textId="2EC22071" w:rsidR="00AC6BFB" w:rsidRDefault="00AC6BFB" w:rsidP="00AC6BFB">
      <w:pPr>
        <w:spacing w:before="60"/>
        <w:ind w:left="567" w:right="567"/>
        <w:jc w:val="both"/>
        <w:rPr>
          <w:rFonts w:ascii="Arial" w:hAnsi="Arial" w:cs="Arial"/>
          <w:sz w:val="20"/>
          <w:szCs w:val="20"/>
        </w:rPr>
      </w:pPr>
      <w:r w:rsidRPr="00AC6BFB">
        <w:rPr>
          <w:rFonts w:ascii="Arial" w:hAnsi="Arial" w:cs="Arial"/>
          <w:b/>
          <w:bCs/>
          <w:sz w:val="20"/>
          <w:szCs w:val="20"/>
        </w:rPr>
        <w:t xml:space="preserve">[11] </w:t>
      </w:r>
      <w:r w:rsidR="005C1DBA" w:rsidRPr="00AC6BFB">
        <w:rPr>
          <w:rFonts w:ascii="Arial" w:hAnsi="Arial" w:cs="Arial"/>
          <w:b/>
          <w:bCs/>
          <w:sz w:val="20"/>
          <w:szCs w:val="20"/>
        </w:rPr>
        <w:t xml:space="preserve">The parties were therefore correct in choosing to present their arguments on the appeal on the common understanding that the principles stated in </w:t>
      </w:r>
      <w:r w:rsidR="005C1DBA" w:rsidRPr="00AC6BFB">
        <w:rPr>
          <w:rFonts w:ascii="Arial" w:hAnsi="Arial" w:cs="Arial"/>
          <w:b/>
          <w:bCs/>
          <w:i/>
          <w:iCs/>
          <w:sz w:val="20"/>
          <w:szCs w:val="20"/>
        </w:rPr>
        <w:t>Makita</w:t>
      </w:r>
      <w:r w:rsidRPr="00AC6BFB">
        <w:rPr>
          <w:rFonts w:ascii="Arial" w:hAnsi="Arial" w:cs="Arial"/>
          <w:b/>
          <w:bCs/>
          <w:sz w:val="20"/>
          <w:szCs w:val="20"/>
        </w:rPr>
        <w:t xml:space="preserve"> (2001) 52 NSWLR 705 at 743-744 [85]</w:t>
      </w:r>
      <w:r w:rsidR="005C1DBA" w:rsidRPr="00AC6BFB">
        <w:rPr>
          <w:rFonts w:ascii="Arial" w:hAnsi="Arial" w:cs="Arial"/>
          <w:b/>
          <w:bCs/>
          <w:sz w:val="20"/>
          <w:szCs w:val="20"/>
        </w:rPr>
        <w:t xml:space="preserve">, and acknowledged and applied in </w:t>
      </w:r>
      <w:r w:rsidR="005C1DBA" w:rsidRPr="00AC6BFB">
        <w:rPr>
          <w:rFonts w:ascii="Arial" w:hAnsi="Arial" w:cs="Arial"/>
          <w:b/>
          <w:bCs/>
          <w:i/>
          <w:iCs/>
          <w:sz w:val="20"/>
          <w:szCs w:val="20"/>
        </w:rPr>
        <w:t>Dasreef Pty Ltd v Hawchar</w:t>
      </w:r>
      <w:r w:rsidR="005C1DBA" w:rsidRPr="00AC6BFB">
        <w:rPr>
          <w:rFonts w:ascii="Arial" w:hAnsi="Arial" w:cs="Arial"/>
          <w:b/>
          <w:bCs/>
          <w:sz w:val="20"/>
          <w:szCs w:val="20"/>
        </w:rPr>
        <w:t xml:space="preserve"> </w:t>
      </w:r>
      <w:r w:rsidRPr="00AC6BFB">
        <w:rPr>
          <w:rFonts w:ascii="Arial" w:hAnsi="Arial" w:cs="Arial"/>
          <w:b/>
          <w:bCs/>
          <w:sz w:val="20"/>
          <w:szCs w:val="20"/>
        </w:rPr>
        <w:t xml:space="preserve">(2011) 243 CLR 588 at 604 [37] </w:t>
      </w:r>
      <w:r w:rsidR="005C1DBA" w:rsidRPr="00AC6BFB">
        <w:rPr>
          <w:rFonts w:ascii="Arial" w:hAnsi="Arial" w:cs="Arial"/>
          <w:b/>
          <w:bCs/>
          <w:sz w:val="20"/>
          <w:szCs w:val="20"/>
        </w:rPr>
        <w:t>in the context of considering the admissibility of the opinion of an expert under the uniform evidence legislation, apply equally to the determination of the admissibility of an expert opinion at common law. Those principles require that, in order to satisfy the condition of admissibility that the opinion of an expert be demonstrated to be based on specialised knowledge or experience, the inference drawn by the expert which constitutes the opinion be supported by reasoning on the part of the expert sufficient to demonstrate that the opinion is the product of the application of the specialised knowledge of the expert to facts which the expert has observed or assumed.</w:t>
      </w:r>
    </w:p>
    <w:p w14:paraId="1E4A774D" w14:textId="7DEAB705" w:rsidR="00AC6BFB" w:rsidRDefault="00AC6BFB"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12</w:t>
      </w:r>
      <w:r>
        <w:rPr>
          <w:rFonts w:ascii="Arial" w:hAnsi="Arial" w:cs="Arial"/>
          <w:sz w:val="20"/>
          <w:szCs w:val="20"/>
        </w:rPr>
        <w:t>]</w:t>
      </w:r>
      <w:r w:rsidR="005C1DBA" w:rsidRPr="005C1DBA">
        <w:rPr>
          <w:rFonts w:ascii="Arial" w:hAnsi="Arial" w:cs="Arial"/>
          <w:sz w:val="20"/>
          <w:szCs w:val="20"/>
        </w:rPr>
        <w:t xml:space="preserve"> The requirement for the opinion to be demonstrated to be the product of the application of the specialised knowledge of the expert is not absolute. In the terminology of the uniform evidence legislation, it is enough that the opinion be demonstrated to be based substantially on that specialised knowledge. Expression of the requirement in terms of substantiality recognises that specialised knowledge cannot be wholly divorced from common or ordinary knowledge and that it is </w:t>
      </w:r>
      <w:r>
        <w:rPr>
          <w:rFonts w:ascii="Arial" w:hAnsi="Arial" w:cs="Arial"/>
          <w:sz w:val="20"/>
          <w:szCs w:val="20"/>
        </w:rPr>
        <w:t>‘</w:t>
      </w:r>
      <w:r w:rsidR="005C1DBA" w:rsidRPr="005C1DBA">
        <w:rPr>
          <w:rFonts w:ascii="Arial" w:hAnsi="Arial" w:cs="Arial"/>
          <w:sz w:val="20"/>
          <w:szCs w:val="20"/>
        </w:rPr>
        <w:t>the added ingredient of specialised knowledge to the expert's body of general knowledge that equips the expert to give his or her opinion</w:t>
      </w:r>
      <w:r>
        <w:rPr>
          <w:rFonts w:ascii="Arial" w:hAnsi="Arial" w:cs="Arial"/>
          <w:sz w:val="20"/>
          <w:szCs w:val="20"/>
        </w:rPr>
        <w:t xml:space="preserve">’: </w:t>
      </w:r>
      <w:r w:rsidRPr="00AC6BFB">
        <w:rPr>
          <w:rFonts w:ascii="Arial" w:hAnsi="Arial" w:cs="Arial"/>
          <w:i/>
          <w:iCs/>
          <w:sz w:val="20"/>
          <w:szCs w:val="20"/>
        </w:rPr>
        <w:t>Velevski v The Queen</w:t>
      </w:r>
      <w:r w:rsidRPr="005C1DBA">
        <w:rPr>
          <w:rFonts w:ascii="Arial" w:hAnsi="Arial" w:cs="Arial"/>
          <w:sz w:val="20"/>
          <w:szCs w:val="20"/>
        </w:rPr>
        <w:t xml:space="preserve"> (2002) 76 ALJR 402 at 427 [158]; 187 ALR 233 at 268.</w:t>
      </w:r>
      <w:r>
        <w:rPr>
          <w:rFonts w:ascii="Arial" w:hAnsi="Arial" w:cs="Arial"/>
          <w:sz w:val="20"/>
          <w:szCs w:val="20"/>
        </w:rPr>
        <w:t xml:space="preserve"> </w:t>
      </w:r>
      <w:r w:rsidR="005C1DBA" w:rsidRPr="005C1DBA">
        <w:rPr>
          <w:rFonts w:ascii="Arial" w:hAnsi="Arial" w:cs="Arial"/>
          <w:sz w:val="20"/>
          <w:szCs w:val="20"/>
        </w:rPr>
        <w:t xml:space="preserve"> The requirement will not be contravened by a process of reasoning on the part of an expert which involves using only those parts of the common or ordinary knowledge of the expert that are necessary for the expert to use in forming his or her opinion through the application of specialised knowledge</w:t>
      </w:r>
      <w:r>
        <w:rPr>
          <w:rFonts w:ascii="Arial" w:hAnsi="Arial" w:cs="Arial"/>
          <w:sz w:val="20"/>
          <w:szCs w:val="20"/>
        </w:rPr>
        <w:t xml:space="preserve">: </w:t>
      </w:r>
      <w:r w:rsidRPr="00AC6BFB">
        <w:rPr>
          <w:rFonts w:ascii="Arial" w:hAnsi="Arial" w:cs="Arial"/>
          <w:i/>
          <w:iCs/>
          <w:sz w:val="20"/>
          <w:szCs w:val="20"/>
        </w:rPr>
        <w:t>Velevski v The Queen</w:t>
      </w:r>
      <w:r w:rsidRPr="005C1DBA">
        <w:rPr>
          <w:rFonts w:ascii="Arial" w:hAnsi="Arial" w:cs="Arial"/>
          <w:sz w:val="20"/>
          <w:szCs w:val="20"/>
        </w:rPr>
        <w:t xml:space="preserve"> (2002) 76 ALJR 402 at 429 [164]; 187 ALR 233 at 270.</w:t>
      </w:r>
    </w:p>
    <w:p w14:paraId="26C366AF" w14:textId="4E1F9B71" w:rsidR="0048027E" w:rsidRDefault="00AC6BFB" w:rsidP="00AC6BFB">
      <w:pPr>
        <w:spacing w:before="60"/>
        <w:ind w:left="567" w:right="567"/>
        <w:jc w:val="both"/>
        <w:rPr>
          <w:rFonts w:ascii="Arial" w:hAnsi="Arial" w:cs="Arial"/>
          <w:sz w:val="20"/>
          <w:szCs w:val="20"/>
        </w:rPr>
      </w:pPr>
      <w:r>
        <w:rPr>
          <w:rFonts w:ascii="Arial" w:hAnsi="Arial" w:cs="Arial"/>
          <w:sz w:val="20"/>
          <w:szCs w:val="20"/>
        </w:rPr>
        <w:t>[13]</w:t>
      </w:r>
      <w:r w:rsidR="005C1DBA" w:rsidRPr="005C1DBA">
        <w:rPr>
          <w:rFonts w:ascii="Arial" w:hAnsi="Arial" w:cs="Arial"/>
          <w:sz w:val="20"/>
          <w:szCs w:val="20"/>
        </w:rPr>
        <w:t xml:space="preserve"> Reasoning sufficient to demonstrate that the opinion formed by an expert is the product of the application of his or her specialised knowledge need not be limited to formal induction or deduction. Speculation, however, is not </w:t>
      </w:r>
      <w:proofErr w:type="gramStart"/>
      <w:r w:rsidR="005C1DBA" w:rsidRPr="005C1DBA">
        <w:rPr>
          <w:rFonts w:ascii="Arial" w:hAnsi="Arial" w:cs="Arial"/>
          <w:sz w:val="20"/>
          <w:szCs w:val="20"/>
        </w:rPr>
        <w:t>reasoning</w:t>
      </w:r>
      <w:r>
        <w:rPr>
          <w:rFonts w:ascii="Arial" w:hAnsi="Arial" w:cs="Arial"/>
          <w:sz w:val="20"/>
          <w:szCs w:val="20"/>
        </w:rPr>
        <w:t>:</w:t>
      </w:r>
      <w:proofErr w:type="gramEnd"/>
      <w:r>
        <w:rPr>
          <w:rFonts w:ascii="Arial" w:hAnsi="Arial" w:cs="Arial"/>
          <w:sz w:val="20"/>
          <w:szCs w:val="20"/>
        </w:rPr>
        <w:t xml:space="preserve"> </w:t>
      </w:r>
      <w:r w:rsidRPr="00AC6BFB">
        <w:rPr>
          <w:rFonts w:ascii="Arial" w:hAnsi="Arial" w:cs="Arial"/>
          <w:i/>
          <w:iCs/>
          <w:sz w:val="20"/>
          <w:szCs w:val="20"/>
        </w:rPr>
        <w:t>HG v The Queen</w:t>
      </w:r>
      <w:r w:rsidRPr="005C1DBA">
        <w:rPr>
          <w:rFonts w:ascii="Arial" w:hAnsi="Arial" w:cs="Arial"/>
          <w:sz w:val="20"/>
          <w:szCs w:val="20"/>
        </w:rPr>
        <w:t xml:space="preserve"> (1999) 197 CLR 414 at 428 [41].</w:t>
      </w:r>
      <w:r>
        <w:rPr>
          <w:rFonts w:ascii="Arial" w:hAnsi="Arial" w:cs="Arial"/>
          <w:sz w:val="20"/>
          <w:szCs w:val="20"/>
        </w:rPr>
        <w:t xml:space="preserve">  </w:t>
      </w:r>
      <w:r w:rsidR="005C1DBA" w:rsidRPr="005C1DBA">
        <w:rPr>
          <w:rFonts w:ascii="Arial" w:hAnsi="Arial" w:cs="Arial"/>
          <w:sz w:val="20"/>
          <w:szCs w:val="20"/>
        </w:rPr>
        <w:t xml:space="preserve">Nor is intuition. Writing extra-curially 90 years ago, in a passage adopted judicially in </w:t>
      </w:r>
      <w:r w:rsidR="005C1DBA" w:rsidRPr="0048027E">
        <w:rPr>
          <w:rFonts w:ascii="Arial" w:hAnsi="Arial" w:cs="Arial"/>
          <w:i/>
          <w:iCs/>
          <w:sz w:val="20"/>
          <w:szCs w:val="20"/>
        </w:rPr>
        <w:t>Makita</w:t>
      </w:r>
      <w:r w:rsidR="0048027E">
        <w:rPr>
          <w:rFonts w:ascii="Arial" w:hAnsi="Arial" w:cs="Arial"/>
          <w:i/>
          <w:iCs/>
          <w:sz w:val="20"/>
          <w:szCs w:val="20"/>
        </w:rPr>
        <w:t xml:space="preserve"> </w:t>
      </w:r>
      <w:r w:rsidR="0048027E" w:rsidRPr="005C1DBA">
        <w:rPr>
          <w:rFonts w:ascii="Arial" w:hAnsi="Arial" w:cs="Arial"/>
          <w:sz w:val="20"/>
          <w:szCs w:val="20"/>
        </w:rPr>
        <w:t>(2001) 52 NSWLR 705 at 730 [60]</w:t>
      </w:r>
      <w:r w:rsidR="005C1DBA" w:rsidRPr="005C1DBA">
        <w:rPr>
          <w:rFonts w:ascii="Arial" w:hAnsi="Arial" w:cs="Arial"/>
          <w:sz w:val="20"/>
          <w:szCs w:val="20"/>
        </w:rPr>
        <w:t xml:space="preserve"> and many times elsewhere</w:t>
      </w:r>
      <w:r w:rsidR="0048027E">
        <w:rPr>
          <w:rFonts w:ascii="Arial" w:hAnsi="Arial" w:cs="Arial"/>
          <w:sz w:val="20"/>
          <w:szCs w:val="20"/>
        </w:rPr>
        <w:t xml:space="preserve"> {</w:t>
      </w:r>
      <w:r w:rsidR="0048027E" w:rsidRPr="005C1DBA">
        <w:rPr>
          <w:rFonts w:ascii="Arial" w:hAnsi="Arial" w:cs="Arial"/>
          <w:sz w:val="20"/>
          <w:szCs w:val="20"/>
        </w:rPr>
        <w:t xml:space="preserve">eg </w:t>
      </w:r>
      <w:r w:rsidR="0048027E" w:rsidRPr="0048027E">
        <w:rPr>
          <w:rFonts w:ascii="Arial" w:hAnsi="Arial" w:cs="Arial"/>
          <w:i/>
          <w:iCs/>
          <w:sz w:val="20"/>
          <w:szCs w:val="20"/>
        </w:rPr>
        <w:t>R v Jenkins; Ex parte Morrison</w:t>
      </w:r>
      <w:r w:rsidR="0048027E" w:rsidRPr="005C1DBA">
        <w:rPr>
          <w:rFonts w:ascii="Arial" w:hAnsi="Arial" w:cs="Arial"/>
          <w:sz w:val="20"/>
          <w:szCs w:val="20"/>
        </w:rPr>
        <w:t xml:space="preserve"> [1949] VLR 277 at 303, approved in </w:t>
      </w:r>
      <w:r w:rsidR="0048027E" w:rsidRPr="0048027E">
        <w:rPr>
          <w:rFonts w:ascii="Arial" w:hAnsi="Arial" w:cs="Arial"/>
          <w:i/>
          <w:iCs/>
          <w:sz w:val="20"/>
          <w:szCs w:val="20"/>
        </w:rPr>
        <w:t>Morrison v Jenkins</w:t>
      </w:r>
      <w:r w:rsidR="0048027E" w:rsidRPr="005C1DBA">
        <w:rPr>
          <w:rFonts w:ascii="Arial" w:hAnsi="Arial" w:cs="Arial"/>
          <w:sz w:val="20"/>
          <w:szCs w:val="20"/>
        </w:rPr>
        <w:t xml:space="preserve"> (1949) 80 CLR 626 at 637, 641; </w:t>
      </w:r>
      <w:r w:rsidR="0048027E" w:rsidRPr="0048027E">
        <w:rPr>
          <w:rFonts w:ascii="Arial" w:hAnsi="Arial" w:cs="Arial"/>
          <w:i/>
          <w:iCs/>
          <w:sz w:val="20"/>
          <w:szCs w:val="20"/>
        </w:rPr>
        <w:t>R v Juric</w:t>
      </w:r>
      <w:r w:rsidR="0048027E" w:rsidRPr="005C1DBA">
        <w:rPr>
          <w:rFonts w:ascii="Arial" w:hAnsi="Arial" w:cs="Arial"/>
          <w:sz w:val="20"/>
          <w:szCs w:val="20"/>
        </w:rPr>
        <w:t xml:space="preserve"> (2002) 4 VR 411 at 426 [19]; </w:t>
      </w:r>
      <w:r w:rsidR="0048027E" w:rsidRPr="0048027E">
        <w:rPr>
          <w:rFonts w:ascii="Arial" w:hAnsi="Arial" w:cs="Arial"/>
          <w:i/>
          <w:iCs/>
          <w:sz w:val="20"/>
          <w:szCs w:val="20"/>
        </w:rPr>
        <w:t>Samuels v Flavel</w:t>
      </w:r>
      <w:r w:rsidR="0048027E" w:rsidRPr="005C1DBA">
        <w:rPr>
          <w:rFonts w:ascii="Arial" w:hAnsi="Arial" w:cs="Arial"/>
          <w:sz w:val="20"/>
          <w:szCs w:val="20"/>
        </w:rPr>
        <w:t xml:space="preserve"> [1970] SASR 256 at 260; </w:t>
      </w:r>
      <w:r w:rsidR="0048027E" w:rsidRPr="0048027E">
        <w:rPr>
          <w:rFonts w:ascii="Arial" w:hAnsi="Arial" w:cs="Arial"/>
          <w:i/>
          <w:iCs/>
          <w:sz w:val="20"/>
          <w:szCs w:val="20"/>
        </w:rPr>
        <w:t>Dasreef Pty Ltd v Hawchar</w:t>
      </w:r>
      <w:r w:rsidR="0048027E" w:rsidRPr="005C1DBA">
        <w:rPr>
          <w:rFonts w:ascii="Arial" w:hAnsi="Arial" w:cs="Arial"/>
          <w:sz w:val="20"/>
          <w:szCs w:val="20"/>
        </w:rPr>
        <w:t xml:space="preserve"> (2011) 243 CLR 588 at 623 [92]</w:t>
      </w:r>
      <w:r w:rsidR="0048027E">
        <w:rPr>
          <w:rFonts w:ascii="Arial" w:hAnsi="Arial" w:cs="Arial"/>
          <w:sz w:val="20"/>
          <w:szCs w:val="20"/>
        </w:rPr>
        <w:t>},</w:t>
      </w:r>
      <w:r w:rsidR="005C1DBA" w:rsidRPr="005C1DBA">
        <w:rPr>
          <w:rFonts w:ascii="Arial" w:hAnsi="Arial" w:cs="Arial"/>
          <w:sz w:val="20"/>
          <w:szCs w:val="20"/>
        </w:rPr>
        <w:t xml:space="preserve"> Sir Owen Dixon observed that </w:t>
      </w:r>
      <w:r w:rsidR="00722F42">
        <w:rPr>
          <w:rFonts w:ascii="Arial" w:hAnsi="Arial" w:cs="Arial"/>
          <w:sz w:val="20"/>
          <w:szCs w:val="20"/>
        </w:rPr>
        <w:t>‘</w:t>
      </w:r>
      <w:r w:rsidR="005C1DBA" w:rsidRPr="005C1DBA">
        <w:rPr>
          <w:rFonts w:ascii="Arial" w:hAnsi="Arial" w:cs="Arial"/>
          <w:sz w:val="20"/>
          <w:szCs w:val="20"/>
        </w:rPr>
        <w:t>courts cannot be expected to act upon opinions the basis of which is unexplained</w:t>
      </w:r>
      <w:r w:rsidR="00722F42">
        <w:rPr>
          <w:rFonts w:ascii="Arial" w:hAnsi="Arial" w:cs="Arial"/>
          <w:sz w:val="20"/>
          <w:szCs w:val="20"/>
        </w:rPr>
        <w:t xml:space="preserve">’: </w:t>
      </w:r>
      <w:r w:rsidR="00722F42" w:rsidRPr="005C1DBA">
        <w:rPr>
          <w:rFonts w:ascii="Arial" w:hAnsi="Arial" w:cs="Arial"/>
          <w:sz w:val="20"/>
          <w:szCs w:val="20"/>
        </w:rPr>
        <w:t>Dixon, "Science and Judicial Proceedings", in Crennan and Gummow (eds), Jesting Pilate, 3rd ed (2019) 124 at 130.</w:t>
      </w:r>
      <w:r w:rsidR="005C1DBA" w:rsidRPr="005C1DBA">
        <w:rPr>
          <w:rFonts w:ascii="Arial" w:hAnsi="Arial" w:cs="Arial"/>
          <w:sz w:val="20"/>
          <w:szCs w:val="20"/>
        </w:rPr>
        <w:t xml:space="preserve"> He continued: </w:t>
      </w:r>
      <w:r w:rsidR="00722F42">
        <w:rPr>
          <w:rFonts w:ascii="Arial" w:hAnsi="Arial" w:cs="Arial"/>
          <w:sz w:val="20"/>
          <w:szCs w:val="20"/>
        </w:rPr>
        <w:t>‘</w:t>
      </w:r>
      <w:r w:rsidR="005C1DBA" w:rsidRPr="005C1DBA">
        <w:rPr>
          <w:rFonts w:ascii="Arial" w:hAnsi="Arial" w:cs="Arial"/>
          <w:sz w:val="20"/>
          <w:szCs w:val="20"/>
        </w:rPr>
        <w:t>[h]owever valuable intuitive judgment founded upon experience may be in diagnosis and treatment, it requires the justification of reasoned explanation when its conclusions are controverted</w:t>
      </w:r>
      <w:r w:rsidR="00722F42">
        <w:rPr>
          <w:rFonts w:ascii="Arial" w:hAnsi="Arial" w:cs="Arial"/>
          <w:sz w:val="20"/>
          <w:szCs w:val="20"/>
        </w:rPr>
        <w:t xml:space="preserve">’: see also </w:t>
      </w:r>
      <w:r w:rsidR="00722F42" w:rsidRPr="00722F42">
        <w:rPr>
          <w:rFonts w:ascii="Arial" w:hAnsi="Arial" w:cs="Arial"/>
          <w:i/>
          <w:iCs/>
          <w:sz w:val="20"/>
          <w:szCs w:val="20"/>
        </w:rPr>
        <w:t>Dasreef Pty Ltd v Hawchar</w:t>
      </w:r>
      <w:r w:rsidR="00722F42" w:rsidRPr="005C1DBA">
        <w:rPr>
          <w:rFonts w:ascii="Arial" w:hAnsi="Arial" w:cs="Arial"/>
          <w:sz w:val="20"/>
          <w:szCs w:val="20"/>
        </w:rPr>
        <w:t xml:space="preserve"> (2011) 243 CLR 588 at 623 [92].</w:t>
      </w:r>
    </w:p>
    <w:p w14:paraId="1D1CD049" w14:textId="77777777" w:rsidR="00322E63" w:rsidRDefault="0048027E" w:rsidP="00322E63">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14</w:t>
      </w:r>
      <w:r>
        <w:rPr>
          <w:rFonts w:ascii="Arial" w:hAnsi="Arial" w:cs="Arial"/>
          <w:sz w:val="20"/>
          <w:szCs w:val="20"/>
        </w:rPr>
        <w:t>]</w:t>
      </w:r>
      <w:r w:rsidR="005C1DBA" w:rsidRPr="005C1DBA">
        <w:rPr>
          <w:rFonts w:ascii="Arial" w:hAnsi="Arial" w:cs="Arial"/>
          <w:sz w:val="20"/>
          <w:szCs w:val="20"/>
        </w:rPr>
        <w:t xml:space="preserve"> That is not to say that the permissible reasoning of an expert must be confined to matching an observed or assumed pattern of fact to patterns of fact encountered by the expert in the past. To adapt a comment made by the Supreme Court of the United States</w:t>
      </w:r>
      <w:r w:rsidR="00322E63">
        <w:rPr>
          <w:rFonts w:ascii="Arial" w:hAnsi="Arial" w:cs="Arial"/>
          <w:sz w:val="20"/>
          <w:szCs w:val="20"/>
        </w:rPr>
        <w:t xml:space="preserve"> in </w:t>
      </w:r>
      <w:r w:rsidR="00322E63" w:rsidRPr="00322E63">
        <w:rPr>
          <w:rFonts w:ascii="Arial" w:hAnsi="Arial" w:cs="Arial"/>
          <w:i/>
          <w:iCs/>
          <w:sz w:val="20"/>
          <w:szCs w:val="20"/>
        </w:rPr>
        <w:t>General Electric Co v Joiner</w:t>
      </w:r>
      <w:r w:rsidR="00322E63" w:rsidRPr="005C1DBA">
        <w:rPr>
          <w:rFonts w:ascii="Arial" w:hAnsi="Arial" w:cs="Arial"/>
          <w:sz w:val="20"/>
          <w:szCs w:val="20"/>
        </w:rPr>
        <w:t xml:space="preserve"> (1997) 522 US 136 at 146</w:t>
      </w:r>
      <w:r w:rsidR="00322E63">
        <w:rPr>
          <w:rFonts w:ascii="Arial" w:hAnsi="Arial" w:cs="Arial"/>
          <w:sz w:val="20"/>
          <w:szCs w:val="20"/>
        </w:rPr>
        <w:t xml:space="preserve"> </w:t>
      </w:r>
      <w:r w:rsidR="005C1DBA" w:rsidRPr="005C1DBA">
        <w:rPr>
          <w:rFonts w:ascii="Arial" w:hAnsi="Arial" w:cs="Arial"/>
          <w:sz w:val="20"/>
          <w:szCs w:val="20"/>
        </w:rPr>
        <w:t xml:space="preserve">in relation to </w:t>
      </w:r>
      <w:r w:rsidR="00322E63">
        <w:rPr>
          <w:rFonts w:ascii="Arial" w:hAnsi="Arial" w:cs="Arial"/>
          <w:sz w:val="20"/>
          <w:szCs w:val="20"/>
        </w:rPr>
        <w:t>F</w:t>
      </w:r>
      <w:r w:rsidR="005C1DBA" w:rsidRPr="005C1DBA">
        <w:rPr>
          <w:rFonts w:ascii="Arial" w:hAnsi="Arial" w:cs="Arial"/>
          <w:sz w:val="20"/>
          <w:szCs w:val="20"/>
        </w:rPr>
        <w:t xml:space="preserve">ederal rule </w:t>
      </w:r>
      <w:r w:rsidR="00322E63">
        <w:rPr>
          <w:rFonts w:ascii="Arial" w:hAnsi="Arial" w:cs="Arial"/>
          <w:sz w:val="20"/>
          <w:szCs w:val="20"/>
        </w:rPr>
        <w:t xml:space="preserve">702 </w:t>
      </w:r>
      <w:r w:rsidR="005C1DBA" w:rsidRPr="005C1DBA">
        <w:rPr>
          <w:rFonts w:ascii="Arial" w:hAnsi="Arial" w:cs="Arial"/>
          <w:sz w:val="20"/>
          <w:szCs w:val="20"/>
        </w:rPr>
        <w:t>of evidence</w:t>
      </w:r>
      <w:r w:rsidR="00322E63">
        <w:rPr>
          <w:rFonts w:ascii="Arial" w:hAnsi="Arial" w:cs="Arial"/>
          <w:sz w:val="20"/>
          <w:szCs w:val="20"/>
        </w:rPr>
        <w:t xml:space="preserve"> </w:t>
      </w:r>
      <w:r w:rsidR="005C1DBA" w:rsidRPr="005C1DBA">
        <w:rPr>
          <w:rFonts w:ascii="Arial" w:hAnsi="Arial" w:cs="Arial"/>
          <w:sz w:val="20"/>
          <w:szCs w:val="20"/>
        </w:rPr>
        <w:t xml:space="preserve">which there permits expert testimony to be given in the form of an opinion if </w:t>
      </w:r>
      <w:r w:rsidR="00322E63">
        <w:rPr>
          <w:rFonts w:ascii="Arial" w:hAnsi="Arial" w:cs="Arial"/>
          <w:sz w:val="20"/>
          <w:szCs w:val="20"/>
        </w:rPr>
        <w:t>‘</w:t>
      </w:r>
      <w:r w:rsidR="005C1DBA" w:rsidRPr="005C1DBA">
        <w:rPr>
          <w:rFonts w:ascii="Arial" w:hAnsi="Arial" w:cs="Arial"/>
          <w:sz w:val="20"/>
          <w:szCs w:val="20"/>
        </w:rPr>
        <w:t>scientific, technical, or other specialized knowledge will assist the trier of fact to understand the evidence or to determine a fact in issue</w:t>
      </w:r>
      <w:r w:rsidR="00322E63">
        <w:rPr>
          <w:rFonts w:ascii="Arial" w:hAnsi="Arial" w:cs="Arial"/>
          <w:sz w:val="20"/>
          <w:szCs w:val="20"/>
        </w:rPr>
        <w:t>’</w:t>
      </w:r>
      <w:r w:rsidR="005C1DBA" w:rsidRPr="005C1DBA">
        <w:rPr>
          <w:rFonts w:ascii="Arial" w:hAnsi="Arial" w:cs="Arial"/>
          <w:sz w:val="20"/>
          <w:szCs w:val="20"/>
        </w:rPr>
        <w:t>:</w:t>
      </w:r>
    </w:p>
    <w:p w14:paraId="09C1C7AA" w14:textId="77A7911D" w:rsidR="00322E63" w:rsidRPr="00322E63" w:rsidRDefault="00322E63" w:rsidP="00322E63">
      <w:pPr>
        <w:spacing w:before="60"/>
        <w:ind w:left="1021" w:right="1021"/>
        <w:jc w:val="both"/>
        <w:rPr>
          <w:rFonts w:ascii="Arial" w:hAnsi="Arial" w:cs="Arial"/>
          <w:sz w:val="18"/>
          <w:szCs w:val="18"/>
        </w:rPr>
      </w:pPr>
      <w:r>
        <w:rPr>
          <w:rFonts w:ascii="Arial" w:hAnsi="Arial" w:cs="Arial"/>
          <w:sz w:val="20"/>
          <w:szCs w:val="20"/>
        </w:rPr>
        <w:t>‘</w:t>
      </w:r>
      <w:r w:rsidRPr="00322E63">
        <w:rPr>
          <w:rFonts w:ascii="Arial" w:hAnsi="Arial" w:cs="Arial"/>
          <w:sz w:val="18"/>
          <w:szCs w:val="18"/>
        </w:rPr>
        <w:t xml:space="preserve">Trained experts commonly extrapolate from existing data. But nothing ... requires a ... court to admit opinion evidence that is connected to existing data only by the </w:t>
      </w:r>
      <w:r w:rsidRPr="00322E63">
        <w:rPr>
          <w:rFonts w:ascii="Arial" w:hAnsi="Arial" w:cs="Arial"/>
          <w:i/>
          <w:iCs/>
          <w:sz w:val="18"/>
          <w:szCs w:val="18"/>
        </w:rPr>
        <w:t>ipse dixit</w:t>
      </w:r>
      <w:r w:rsidRPr="00322E63">
        <w:rPr>
          <w:rFonts w:ascii="Arial" w:hAnsi="Arial" w:cs="Arial"/>
          <w:sz w:val="18"/>
          <w:szCs w:val="18"/>
        </w:rPr>
        <w:t xml:space="preserve"> of the expert. A court may conclude that there is simply too great an analytical gap between the data and the opinion proffered.</w:t>
      </w:r>
      <w:r>
        <w:rPr>
          <w:rFonts w:ascii="Arial" w:hAnsi="Arial" w:cs="Arial"/>
          <w:sz w:val="18"/>
          <w:szCs w:val="18"/>
        </w:rPr>
        <w:t>’</w:t>
      </w:r>
    </w:p>
    <w:p w14:paraId="1E69BDC5" w14:textId="66083FFC" w:rsidR="00322E63" w:rsidRDefault="0048027E"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15</w:t>
      </w:r>
      <w:r>
        <w:rPr>
          <w:rFonts w:ascii="Arial" w:hAnsi="Arial" w:cs="Arial"/>
          <w:sz w:val="20"/>
          <w:szCs w:val="20"/>
        </w:rPr>
        <w:t>]</w:t>
      </w:r>
      <w:r w:rsidR="005C1DBA" w:rsidRPr="005C1DBA">
        <w:rPr>
          <w:rFonts w:ascii="Arial" w:hAnsi="Arial" w:cs="Arial"/>
          <w:sz w:val="20"/>
          <w:szCs w:val="20"/>
        </w:rPr>
        <w:t xml:space="preserve"> Here, it is important to highlight a distinction touched on but not elaborated upon in </w:t>
      </w:r>
      <w:r w:rsidR="005C1DBA" w:rsidRPr="00322E63">
        <w:rPr>
          <w:rFonts w:ascii="Arial" w:hAnsi="Arial" w:cs="Arial"/>
          <w:i/>
          <w:iCs/>
          <w:sz w:val="20"/>
          <w:szCs w:val="20"/>
        </w:rPr>
        <w:t>Makita</w:t>
      </w:r>
      <w:r w:rsidR="00322E63">
        <w:rPr>
          <w:rFonts w:ascii="Arial" w:hAnsi="Arial" w:cs="Arial"/>
          <w:sz w:val="20"/>
          <w:szCs w:val="20"/>
        </w:rPr>
        <w:t xml:space="preserve"> at [85]-[86]</w:t>
      </w:r>
      <w:r w:rsidR="005C1DBA" w:rsidRPr="005C1DBA">
        <w:rPr>
          <w:rFonts w:ascii="Arial" w:hAnsi="Arial" w:cs="Arial"/>
          <w:sz w:val="20"/>
          <w:szCs w:val="20"/>
        </w:rPr>
        <w:t>. The distinction is between the present question as to whether a process of reasoning engaged in by an expert is sufficient to demonstrate that his or her opinion is the product of the application of specialised knowledge and the question of the extent to which a process of reasoning engaged in by an expert through the application of specialised knowledge is clear and convincing. Both questions can be described as going to the utility or value of the opinion</w:t>
      </w:r>
      <w:r w:rsidR="00484192">
        <w:rPr>
          <w:rFonts w:ascii="Arial" w:hAnsi="Arial" w:cs="Arial"/>
          <w:sz w:val="20"/>
          <w:szCs w:val="20"/>
        </w:rPr>
        <w:t xml:space="preserve">: </w:t>
      </w:r>
      <w:r w:rsidR="00484192" w:rsidRPr="00484192">
        <w:rPr>
          <w:rFonts w:ascii="Arial" w:hAnsi="Arial" w:cs="Arial"/>
          <w:i/>
          <w:iCs/>
          <w:sz w:val="20"/>
          <w:szCs w:val="20"/>
        </w:rPr>
        <w:t>Makita (Australia) Pty Ltd v Sprowles</w:t>
      </w:r>
      <w:r w:rsidR="00484192" w:rsidRPr="005C1DBA">
        <w:rPr>
          <w:rFonts w:ascii="Arial" w:hAnsi="Arial" w:cs="Arial"/>
          <w:sz w:val="20"/>
          <w:szCs w:val="20"/>
        </w:rPr>
        <w:t xml:space="preserve"> (2001) 52 NSWLR 705 at 732 [66], 733 [68]- [69], 735 [72].</w:t>
      </w:r>
    </w:p>
    <w:p w14:paraId="067BE5F5" w14:textId="770BC179" w:rsidR="00322E63" w:rsidRDefault="00322E63" w:rsidP="00AC6BFB">
      <w:pPr>
        <w:spacing w:before="60"/>
        <w:ind w:left="567" w:right="567"/>
        <w:jc w:val="both"/>
        <w:rPr>
          <w:rFonts w:ascii="Arial" w:hAnsi="Arial" w:cs="Arial"/>
          <w:sz w:val="20"/>
          <w:szCs w:val="20"/>
        </w:rPr>
      </w:pPr>
      <w:r>
        <w:rPr>
          <w:rFonts w:ascii="Arial" w:hAnsi="Arial" w:cs="Arial"/>
          <w:sz w:val="20"/>
          <w:szCs w:val="20"/>
        </w:rPr>
        <w:lastRenderedPageBreak/>
        <w:t>[</w:t>
      </w:r>
      <w:r w:rsidR="005C1DBA" w:rsidRPr="005C1DBA">
        <w:rPr>
          <w:rFonts w:ascii="Arial" w:hAnsi="Arial" w:cs="Arial"/>
          <w:sz w:val="20"/>
          <w:szCs w:val="20"/>
        </w:rPr>
        <w:t>16</w:t>
      </w:r>
      <w:r>
        <w:rPr>
          <w:rFonts w:ascii="Arial" w:hAnsi="Arial" w:cs="Arial"/>
          <w:sz w:val="20"/>
          <w:szCs w:val="20"/>
        </w:rPr>
        <w:t>]</w:t>
      </w:r>
      <w:r w:rsidR="005C1DBA" w:rsidRPr="005C1DBA">
        <w:rPr>
          <w:rFonts w:ascii="Arial" w:hAnsi="Arial" w:cs="Arial"/>
          <w:sz w:val="20"/>
          <w:szCs w:val="20"/>
        </w:rPr>
        <w:t xml:space="preserve"> However, it is the present question alone that goes inexorably to the </w:t>
      </w:r>
      <w:r>
        <w:rPr>
          <w:rFonts w:ascii="Arial" w:hAnsi="Arial" w:cs="Arial"/>
          <w:sz w:val="20"/>
          <w:szCs w:val="20"/>
        </w:rPr>
        <w:t>‘</w:t>
      </w:r>
      <w:r w:rsidR="005C1DBA" w:rsidRPr="005C1DBA">
        <w:rPr>
          <w:rFonts w:ascii="Arial" w:hAnsi="Arial" w:cs="Arial"/>
          <w:sz w:val="20"/>
          <w:szCs w:val="20"/>
        </w:rPr>
        <w:t>admissibility</w:t>
      </w:r>
      <w:r>
        <w:rPr>
          <w:rFonts w:ascii="Arial" w:hAnsi="Arial" w:cs="Arial"/>
          <w:sz w:val="20"/>
          <w:szCs w:val="20"/>
        </w:rPr>
        <w:t>’</w:t>
      </w:r>
      <w:r w:rsidR="005C1DBA" w:rsidRPr="005C1DBA">
        <w:rPr>
          <w:rFonts w:ascii="Arial" w:hAnsi="Arial" w:cs="Arial"/>
          <w:sz w:val="20"/>
          <w:szCs w:val="20"/>
        </w:rPr>
        <w:t xml:space="preserve"> of the opinion as distinct from its </w:t>
      </w:r>
      <w:r>
        <w:rPr>
          <w:rFonts w:ascii="Arial" w:hAnsi="Arial" w:cs="Arial"/>
          <w:sz w:val="20"/>
          <w:szCs w:val="20"/>
        </w:rPr>
        <w:t>‘</w:t>
      </w:r>
      <w:r w:rsidR="005C1DBA" w:rsidRPr="005C1DBA">
        <w:rPr>
          <w:rFonts w:ascii="Arial" w:hAnsi="Arial" w:cs="Arial"/>
          <w:sz w:val="20"/>
          <w:szCs w:val="20"/>
        </w:rPr>
        <w:t>weight</w:t>
      </w:r>
      <w:r>
        <w:rPr>
          <w:rFonts w:ascii="Arial" w:hAnsi="Arial" w:cs="Arial"/>
          <w:sz w:val="20"/>
          <w:szCs w:val="20"/>
        </w:rPr>
        <w:t>’</w:t>
      </w:r>
      <w:r w:rsidR="00484192">
        <w:rPr>
          <w:rFonts w:ascii="Arial" w:hAnsi="Arial" w:cs="Arial"/>
          <w:sz w:val="20"/>
          <w:szCs w:val="20"/>
        </w:rPr>
        <w:t xml:space="preserve">: </w:t>
      </w:r>
      <w:r w:rsidR="00484192" w:rsidRPr="00484192">
        <w:rPr>
          <w:rFonts w:ascii="Arial" w:hAnsi="Arial" w:cs="Arial"/>
          <w:i/>
          <w:iCs/>
          <w:sz w:val="20"/>
          <w:szCs w:val="20"/>
        </w:rPr>
        <w:t>Dasreef Pty Ltd v Hawchar</w:t>
      </w:r>
      <w:r w:rsidR="00484192" w:rsidRPr="005C1DBA">
        <w:rPr>
          <w:rFonts w:ascii="Arial" w:hAnsi="Arial" w:cs="Arial"/>
          <w:sz w:val="20"/>
          <w:szCs w:val="20"/>
        </w:rPr>
        <w:t xml:space="preserve"> (2011) 243 CLR 588 at 605 [42</w:t>
      </w:r>
      <w:r w:rsidR="00484192">
        <w:rPr>
          <w:rFonts w:ascii="Arial" w:hAnsi="Arial" w:cs="Arial"/>
          <w:sz w:val="20"/>
          <w:szCs w:val="20"/>
        </w:rPr>
        <w:t>]</w:t>
      </w:r>
      <w:r w:rsidR="005C1DBA" w:rsidRPr="005C1DBA">
        <w:rPr>
          <w:rFonts w:ascii="Arial" w:hAnsi="Arial" w:cs="Arial"/>
          <w:sz w:val="20"/>
          <w:szCs w:val="20"/>
        </w:rPr>
        <w:t xml:space="preserve">. In addressing the present question of whether the opinion satisfies the condition of admissibility that the opinion be demonstrated to be based on specialised knowledge or experience of the expert, lack of cogency in so much of the reasoning as is found to involve application of specialised knowledge is not to the point: </w:t>
      </w:r>
      <w:r w:rsidR="007F4A62">
        <w:rPr>
          <w:rFonts w:ascii="Arial" w:hAnsi="Arial" w:cs="Arial"/>
          <w:sz w:val="20"/>
          <w:szCs w:val="20"/>
        </w:rPr>
        <w:t>‘</w:t>
      </w:r>
      <w:r w:rsidR="005C1DBA" w:rsidRPr="005C1DBA">
        <w:rPr>
          <w:rFonts w:ascii="Arial" w:hAnsi="Arial" w:cs="Arial"/>
          <w:sz w:val="20"/>
          <w:szCs w:val="20"/>
        </w:rPr>
        <w:t>the giving of correct expert evidence cannot be treated as a qualification necessary for giving expert evidence</w:t>
      </w:r>
      <w:r w:rsidR="007F4A62">
        <w:rPr>
          <w:rFonts w:ascii="Arial" w:hAnsi="Arial" w:cs="Arial"/>
          <w:sz w:val="20"/>
          <w:szCs w:val="20"/>
        </w:rPr>
        <w:t xml:space="preserve">’: </w:t>
      </w:r>
      <w:r w:rsidR="007F4A62" w:rsidRPr="007F4A62">
        <w:rPr>
          <w:rFonts w:ascii="Arial" w:hAnsi="Arial" w:cs="Arial"/>
          <w:i/>
          <w:iCs/>
          <w:sz w:val="20"/>
          <w:szCs w:val="20"/>
        </w:rPr>
        <w:t>Commissioner for Government Transport v Adamcik</w:t>
      </w:r>
      <w:r w:rsidR="007F4A62" w:rsidRPr="005C1DBA">
        <w:rPr>
          <w:rFonts w:ascii="Arial" w:hAnsi="Arial" w:cs="Arial"/>
          <w:sz w:val="20"/>
          <w:szCs w:val="20"/>
        </w:rPr>
        <w:t xml:space="preserve"> (1961) 106 CLR 292 at 303; </w:t>
      </w:r>
      <w:r w:rsidR="007F4A62" w:rsidRPr="007F4A62">
        <w:rPr>
          <w:rFonts w:ascii="Arial" w:hAnsi="Arial" w:cs="Arial"/>
          <w:i/>
          <w:iCs/>
          <w:sz w:val="20"/>
          <w:szCs w:val="20"/>
        </w:rPr>
        <w:t>Dasreef Pty Ltd v Hawchar</w:t>
      </w:r>
      <w:r w:rsidR="007F4A62" w:rsidRPr="005C1DBA">
        <w:rPr>
          <w:rFonts w:ascii="Arial" w:hAnsi="Arial" w:cs="Arial"/>
          <w:sz w:val="20"/>
          <w:szCs w:val="20"/>
        </w:rPr>
        <w:t xml:space="preserve"> (2011) 243 CLR 588 at 623 [91].</w:t>
      </w:r>
    </w:p>
    <w:p w14:paraId="1EB39BB8" w14:textId="7075CB83" w:rsidR="007F4A62" w:rsidRDefault="00322E63"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17</w:t>
      </w:r>
      <w:r>
        <w:rPr>
          <w:rFonts w:ascii="Arial" w:hAnsi="Arial" w:cs="Arial"/>
          <w:sz w:val="20"/>
          <w:szCs w:val="20"/>
        </w:rPr>
        <w:t>]</w:t>
      </w:r>
      <w:r w:rsidR="005C1DBA" w:rsidRPr="005C1DBA">
        <w:rPr>
          <w:rFonts w:ascii="Arial" w:hAnsi="Arial" w:cs="Arial"/>
          <w:sz w:val="20"/>
          <w:szCs w:val="20"/>
        </w:rPr>
        <w:t xml:space="preserve"> The latter question – as to the cogency of reasoning involving the application of specialised knowledge – can also go to the admissibility of a resultant opinion. But that is only in so far as the degree of cogency of the reasoning bears on the extent to which the resultant opinion has the potential to assist the tribunal of fact in drawing requisite inferences from the evidence and so bears on the calculus to be undertaken by a court if and when the court is asked or required to consider whether the opinion should be excluded on the distinct ground</w:t>
      </w:r>
      <w:r w:rsidR="007F4A62">
        <w:rPr>
          <w:rFonts w:ascii="Arial" w:hAnsi="Arial" w:cs="Arial"/>
          <w:sz w:val="20"/>
          <w:szCs w:val="20"/>
        </w:rPr>
        <w:t xml:space="preserve"> {s</w:t>
      </w:r>
      <w:r w:rsidR="007F4A62" w:rsidRPr="005C1DBA">
        <w:rPr>
          <w:rFonts w:ascii="Arial" w:hAnsi="Arial" w:cs="Arial"/>
          <w:sz w:val="20"/>
          <w:szCs w:val="20"/>
        </w:rPr>
        <w:t xml:space="preserve">ee </w:t>
      </w:r>
      <w:r w:rsidR="007F4A62" w:rsidRPr="007F4A62">
        <w:rPr>
          <w:rFonts w:ascii="Arial" w:hAnsi="Arial" w:cs="Arial"/>
          <w:i/>
          <w:iCs/>
          <w:sz w:val="20"/>
          <w:szCs w:val="20"/>
        </w:rPr>
        <w:t>Stephens v The Queen</w:t>
      </w:r>
      <w:r w:rsidR="007F4A62" w:rsidRPr="005C1DBA">
        <w:rPr>
          <w:rFonts w:ascii="Arial" w:hAnsi="Arial" w:cs="Arial"/>
          <w:sz w:val="20"/>
          <w:szCs w:val="20"/>
        </w:rPr>
        <w:t xml:space="preserve"> (1985) 156 CLR 664 at 669; </w:t>
      </w:r>
      <w:r w:rsidR="007F4A62" w:rsidRPr="007F4A62">
        <w:rPr>
          <w:rFonts w:ascii="Arial" w:hAnsi="Arial" w:cs="Arial"/>
          <w:i/>
          <w:iCs/>
          <w:sz w:val="20"/>
          <w:szCs w:val="20"/>
        </w:rPr>
        <w:t>Festa v The Queen</w:t>
      </w:r>
      <w:r w:rsidR="007F4A62" w:rsidRPr="005C1DBA">
        <w:rPr>
          <w:rFonts w:ascii="Arial" w:hAnsi="Arial" w:cs="Arial"/>
          <w:sz w:val="20"/>
          <w:szCs w:val="20"/>
        </w:rPr>
        <w:t xml:space="preserve"> (2001) 208 CLR 593 at 609-610 [51]</w:t>
      </w:r>
      <w:r w:rsidR="007F4A62">
        <w:rPr>
          <w:rFonts w:ascii="Arial" w:hAnsi="Arial" w:cs="Arial"/>
          <w:sz w:val="20"/>
          <w:szCs w:val="20"/>
        </w:rPr>
        <w:t>; s</w:t>
      </w:r>
      <w:r w:rsidR="007F4A62" w:rsidRPr="005C1DBA">
        <w:rPr>
          <w:rFonts w:ascii="Arial" w:hAnsi="Arial" w:cs="Arial"/>
          <w:sz w:val="20"/>
          <w:szCs w:val="20"/>
        </w:rPr>
        <w:t xml:space="preserve">ee also ss 135 and 137 of the </w:t>
      </w:r>
      <w:r w:rsidR="007F4A62" w:rsidRPr="007F4A62">
        <w:rPr>
          <w:rFonts w:ascii="Arial" w:hAnsi="Arial" w:cs="Arial"/>
          <w:i/>
          <w:iCs/>
          <w:sz w:val="20"/>
          <w:szCs w:val="20"/>
        </w:rPr>
        <w:t>Evidence Act 1995 (NSW)</w:t>
      </w:r>
      <w:r w:rsidR="007F4A62" w:rsidRPr="005C1DBA">
        <w:rPr>
          <w:rFonts w:ascii="Arial" w:hAnsi="Arial" w:cs="Arial"/>
          <w:sz w:val="20"/>
          <w:szCs w:val="20"/>
        </w:rPr>
        <w:t xml:space="preserve"> considered in </w:t>
      </w:r>
      <w:r w:rsidR="007F4A62" w:rsidRPr="007F4A62">
        <w:rPr>
          <w:rFonts w:ascii="Arial" w:hAnsi="Arial" w:cs="Arial"/>
          <w:i/>
          <w:iCs/>
          <w:sz w:val="20"/>
          <w:szCs w:val="20"/>
        </w:rPr>
        <w:t>Aytugrul v The Queen</w:t>
      </w:r>
      <w:r w:rsidR="007F4A62" w:rsidRPr="005C1DBA">
        <w:rPr>
          <w:rFonts w:ascii="Arial" w:hAnsi="Arial" w:cs="Arial"/>
          <w:sz w:val="20"/>
          <w:szCs w:val="20"/>
        </w:rPr>
        <w:t xml:space="preserve"> (2012) 247 CLR 170 at 186 [32]</w:t>
      </w:r>
      <w:r w:rsidR="007F4A62">
        <w:rPr>
          <w:rFonts w:ascii="Arial" w:hAnsi="Arial" w:cs="Arial"/>
          <w:sz w:val="20"/>
          <w:szCs w:val="20"/>
        </w:rPr>
        <w:t>}</w:t>
      </w:r>
      <w:r w:rsidR="005C1DBA" w:rsidRPr="005C1DBA">
        <w:rPr>
          <w:rFonts w:ascii="Arial" w:hAnsi="Arial" w:cs="Arial"/>
          <w:sz w:val="20"/>
          <w:szCs w:val="20"/>
        </w:rPr>
        <w:t xml:space="preserve"> that the probative value of the opinion is outweighed by its prejudicial effect. Undertaking that calculus by assessing the probative value of the opinion having regard to the cogency of the reasoning proffered in evidence in support of it involves no departure from the now settled principle that the assessment of the probative value of evidence requires that evidence to be </w:t>
      </w:r>
      <w:r w:rsidR="007F4A62">
        <w:rPr>
          <w:rFonts w:ascii="Arial" w:hAnsi="Arial" w:cs="Arial"/>
          <w:sz w:val="20"/>
          <w:szCs w:val="20"/>
        </w:rPr>
        <w:t>‘</w:t>
      </w:r>
      <w:r w:rsidR="005C1DBA" w:rsidRPr="005C1DBA">
        <w:rPr>
          <w:rFonts w:ascii="Arial" w:hAnsi="Arial" w:cs="Arial"/>
          <w:sz w:val="20"/>
          <w:szCs w:val="20"/>
        </w:rPr>
        <w:t>taken at its highest</w:t>
      </w:r>
      <w:r w:rsidR="007F4A62">
        <w:rPr>
          <w:rFonts w:ascii="Arial" w:hAnsi="Arial" w:cs="Arial"/>
          <w:sz w:val="20"/>
          <w:szCs w:val="20"/>
        </w:rPr>
        <w:t>’</w:t>
      </w:r>
      <w:r w:rsidR="005C1DBA" w:rsidRPr="005C1DBA">
        <w:rPr>
          <w:rFonts w:ascii="Arial" w:hAnsi="Arial" w:cs="Arial"/>
          <w:sz w:val="20"/>
          <w:szCs w:val="20"/>
        </w:rPr>
        <w:t>: taking evidence at its highest involves making no assumption that the evidence in question is convincing</w:t>
      </w:r>
      <w:r w:rsidR="007F4A62">
        <w:rPr>
          <w:rFonts w:ascii="Arial" w:hAnsi="Arial" w:cs="Arial"/>
          <w:sz w:val="20"/>
          <w:szCs w:val="20"/>
        </w:rPr>
        <w:t xml:space="preserve">: see </w:t>
      </w:r>
      <w:r w:rsidR="007F4A62" w:rsidRPr="007F4A62">
        <w:rPr>
          <w:rFonts w:ascii="Arial" w:hAnsi="Arial" w:cs="Arial"/>
          <w:i/>
          <w:iCs/>
          <w:sz w:val="20"/>
          <w:szCs w:val="20"/>
        </w:rPr>
        <w:t>IMM v The Queen</w:t>
      </w:r>
      <w:r w:rsidR="007F4A62" w:rsidRPr="005C1DBA">
        <w:rPr>
          <w:rFonts w:ascii="Arial" w:hAnsi="Arial" w:cs="Arial"/>
          <w:sz w:val="20"/>
          <w:szCs w:val="20"/>
        </w:rPr>
        <w:t xml:space="preserve"> (2016) 257 CLR 300 at 314-315 [50]</w:t>
      </w:r>
      <w:r w:rsidR="005C1DBA" w:rsidRPr="005C1DBA">
        <w:rPr>
          <w:rFonts w:ascii="Arial" w:hAnsi="Arial" w:cs="Arial"/>
          <w:sz w:val="20"/>
          <w:szCs w:val="20"/>
        </w:rPr>
        <w:t>. The prejudicial effect which might in an appropriate case be required to be weighed against the probative value of an expert opinion has properly been recognised to be capable of including a risk that a jury might give the opinion more weight than it deserves by reason of a perception of the status of the expert – the so-called "white coat effect" – or by reason of difficulty in assessing information of a technical nature</w:t>
      </w:r>
      <w:r w:rsidR="007F4A62">
        <w:rPr>
          <w:rFonts w:ascii="Arial" w:hAnsi="Arial" w:cs="Arial"/>
          <w:sz w:val="20"/>
          <w:szCs w:val="20"/>
        </w:rPr>
        <w:t xml:space="preserve">: see </w:t>
      </w:r>
      <w:r w:rsidR="007F4A62" w:rsidRPr="007F4A62">
        <w:rPr>
          <w:rFonts w:ascii="Arial" w:hAnsi="Arial" w:cs="Arial"/>
          <w:i/>
          <w:iCs/>
          <w:sz w:val="20"/>
          <w:szCs w:val="20"/>
        </w:rPr>
        <w:t>R v Sica</w:t>
      </w:r>
      <w:r w:rsidR="007F4A62">
        <w:rPr>
          <w:rFonts w:ascii="Arial" w:hAnsi="Arial" w:cs="Arial"/>
          <w:sz w:val="20"/>
          <w:szCs w:val="20"/>
        </w:rPr>
        <w:t xml:space="preserve"> [2013] QCA 247 at [130].</w:t>
      </w:r>
    </w:p>
    <w:p w14:paraId="0272D8E0" w14:textId="77777777" w:rsidR="007F4A62" w:rsidRDefault="007F4A62" w:rsidP="007F4A62">
      <w:pPr>
        <w:spacing w:before="60"/>
        <w:ind w:left="567" w:right="567"/>
        <w:jc w:val="both"/>
        <w:rPr>
          <w:rFonts w:ascii="Arial" w:hAnsi="Arial" w:cs="Arial"/>
          <w:sz w:val="20"/>
          <w:szCs w:val="20"/>
        </w:rPr>
      </w:pPr>
      <w:r>
        <w:rPr>
          <w:rFonts w:ascii="Arial" w:hAnsi="Arial" w:cs="Arial"/>
          <w:sz w:val="20"/>
          <w:szCs w:val="20"/>
        </w:rPr>
        <w:t xml:space="preserve">[18] </w:t>
      </w:r>
      <w:r w:rsidR="005C1DBA" w:rsidRPr="005C1DBA">
        <w:rPr>
          <w:rFonts w:ascii="Arial" w:hAnsi="Arial" w:cs="Arial"/>
          <w:sz w:val="20"/>
          <w:szCs w:val="20"/>
        </w:rPr>
        <w:t>The latter question does not arise for consideration in the present appeal. The question is not within the scope of the second ground of appeal. The trial judge was not asked to exclude the opinion of Dr Ong on the ground that its probative value was outweighed by its prejudicial effect. No argument was put to the Court of Appeal or to this Court that failure to exclude the opinion on that ground constituted a miscarriage of justice.</w:t>
      </w:r>
    </w:p>
    <w:p w14:paraId="5A15E83A" w14:textId="592FB1F7" w:rsidR="000F2CE5" w:rsidRDefault="007F4A62" w:rsidP="007F4A62">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19</w:t>
      </w:r>
      <w:r>
        <w:rPr>
          <w:rFonts w:ascii="Arial" w:hAnsi="Arial" w:cs="Arial"/>
          <w:sz w:val="20"/>
          <w:szCs w:val="20"/>
        </w:rPr>
        <w:t>]</w:t>
      </w:r>
      <w:r w:rsidR="005C1DBA" w:rsidRPr="005C1DBA">
        <w:rPr>
          <w:rFonts w:ascii="Arial" w:hAnsi="Arial" w:cs="Arial"/>
          <w:sz w:val="20"/>
          <w:szCs w:val="20"/>
        </w:rPr>
        <w:t xml:space="preserve"> The question for determination on the second ground of appeal therefore reduces to whether the process of reasoning disclosed by Dr Ong's testimony was sufficient to demonstrate that his opinion that Mrs Boyce's wound was more likely to have been inflicted by another person than to have been self-inflicted was the product of his application of the specialised knowledge of the interpretation of incised injuries which he undoubtedly had to the facts which he recounted as having observed when he attended the scene of Mrs Boyce's death and when later he conducted her autopsy.</w:t>
      </w:r>
      <w:r>
        <w:rPr>
          <w:rFonts w:ascii="Arial" w:hAnsi="Arial" w:cs="Arial"/>
          <w:sz w:val="20"/>
          <w:szCs w:val="20"/>
        </w:rPr>
        <w:t>”</w:t>
      </w:r>
    </w:p>
    <w:p w14:paraId="15CB3570" w14:textId="665AFF74" w:rsidR="003A6B6B" w:rsidRDefault="003A6B6B" w:rsidP="007F4A62">
      <w:pPr>
        <w:spacing w:before="60"/>
        <w:ind w:left="567" w:right="567"/>
        <w:jc w:val="both"/>
        <w:rPr>
          <w:rFonts w:ascii="Arial" w:hAnsi="Arial" w:cs="Arial"/>
          <w:sz w:val="20"/>
          <w:szCs w:val="20"/>
        </w:rPr>
      </w:pPr>
      <w:r>
        <w:rPr>
          <w:rFonts w:ascii="Arial" w:hAnsi="Arial" w:cs="Arial"/>
          <w:sz w:val="20"/>
          <w:szCs w:val="20"/>
        </w:rPr>
        <w:t>…</w:t>
      </w:r>
    </w:p>
    <w:p w14:paraId="0396BDA8" w14:textId="7BFA55FB" w:rsidR="003A6B6B" w:rsidRDefault="003A6B6B" w:rsidP="007F4A62">
      <w:pPr>
        <w:spacing w:before="60"/>
        <w:ind w:left="567" w:right="567"/>
        <w:jc w:val="both"/>
        <w:rPr>
          <w:rFonts w:ascii="Arial" w:hAnsi="Arial" w:cs="Arial"/>
          <w:sz w:val="20"/>
          <w:szCs w:val="20"/>
        </w:rPr>
      </w:pPr>
      <w:r>
        <w:rPr>
          <w:rFonts w:ascii="Arial" w:hAnsi="Arial" w:cs="Arial"/>
          <w:sz w:val="20"/>
          <w:szCs w:val="20"/>
        </w:rPr>
        <w:t>[26] “…we cannot conclude that, in engaging in the process of reasoning which led to the formation of the opinion, Dr Ong did other than draw substantially on his specialised knowledge.  Accordingly, the appeal should be dismissed.”</w:t>
      </w:r>
    </w:p>
    <w:p w14:paraId="11210593" w14:textId="77777777" w:rsidR="00185DB2" w:rsidRPr="00E97289" w:rsidRDefault="00185DB2" w:rsidP="00185DB2">
      <w:pPr>
        <w:spacing w:before="120"/>
        <w:jc w:val="both"/>
        <w:rPr>
          <w:rFonts w:ascii="Arial" w:hAnsi="Arial" w:cs="Arial"/>
          <w:sz w:val="20"/>
          <w:szCs w:val="16"/>
        </w:rPr>
      </w:pPr>
      <w:r>
        <w:rPr>
          <w:rFonts w:ascii="Arial" w:hAnsi="Arial" w:cs="Arial"/>
          <w:sz w:val="20"/>
        </w:rPr>
        <w:t xml:space="preserve">See also the </w:t>
      </w:r>
      <w:r w:rsidRPr="00585686">
        <w:rPr>
          <w:rFonts w:ascii="Arial" w:hAnsi="Arial" w:cs="Arial"/>
          <w:sz w:val="20"/>
          <w:szCs w:val="16"/>
        </w:rPr>
        <w:t>dicta of Jagot J at [428]-[470]</w:t>
      </w:r>
      <w:r>
        <w:rPr>
          <w:rFonts w:ascii="Arial" w:hAnsi="Arial" w:cs="Arial"/>
          <w:sz w:val="20"/>
          <w:szCs w:val="16"/>
        </w:rPr>
        <w:t xml:space="preserve"> and the dicta of </w:t>
      </w:r>
      <w:r w:rsidRPr="00585686">
        <w:rPr>
          <w:rFonts w:ascii="Arial" w:hAnsi="Arial" w:cs="Arial"/>
          <w:sz w:val="20"/>
          <w:szCs w:val="16"/>
        </w:rPr>
        <w:t>Gordon &amp; Edelman JJ at [221]-[229] on admissibility of expert evidence generally and at [230]-[242] on the admissibility of Dr Ong’s evidence</w:t>
      </w:r>
      <w:r>
        <w:rPr>
          <w:rFonts w:ascii="Arial" w:hAnsi="Arial" w:cs="Arial"/>
          <w:sz w:val="20"/>
          <w:szCs w:val="16"/>
        </w:rPr>
        <w:t>.</w:t>
      </w:r>
    </w:p>
    <w:p w14:paraId="1BA2AF9C" w14:textId="77777777" w:rsidR="000107B6" w:rsidRDefault="000107B6" w:rsidP="000107B6">
      <w:pPr>
        <w:jc w:val="both"/>
        <w:rPr>
          <w:rFonts w:ascii="Arial" w:hAnsi="Arial" w:cs="Arial"/>
          <w:sz w:val="20"/>
          <w:szCs w:val="20"/>
        </w:rPr>
      </w:pPr>
    </w:p>
    <w:p w14:paraId="4B37AC3E" w14:textId="77777777" w:rsidR="000107B6" w:rsidRDefault="000107B6" w:rsidP="000107B6">
      <w:pPr>
        <w:pBdr>
          <w:top w:val="thinThickThinSmallGap" w:sz="24" w:space="1" w:color="auto"/>
        </w:pBdr>
        <w:jc w:val="both"/>
        <w:rPr>
          <w:rFonts w:ascii="Arial" w:hAnsi="Arial" w:cs="Arial"/>
          <w:sz w:val="20"/>
          <w:szCs w:val="20"/>
        </w:rPr>
      </w:pPr>
    </w:p>
    <w:p w14:paraId="49CDB0C5" w14:textId="77777777" w:rsidR="009C5B94" w:rsidRDefault="009C5B94" w:rsidP="009C5B94">
      <w:pPr>
        <w:jc w:val="both"/>
        <w:rPr>
          <w:rFonts w:ascii="Arial" w:hAnsi="Arial" w:cs="Arial"/>
          <w:bCs/>
          <w:sz w:val="20"/>
        </w:rPr>
      </w:pPr>
      <w:r>
        <w:rPr>
          <w:rFonts w:ascii="Arial" w:hAnsi="Arial" w:cs="Arial"/>
          <w:bCs/>
          <w:sz w:val="20"/>
        </w:rPr>
        <w:t>Whether or not a witness is qualified to give opinion evidence is a matter for the judge or magistrate who must determine:</w:t>
      </w:r>
    </w:p>
    <w:p w14:paraId="730357B9"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1.</w:t>
      </w:r>
      <w:r>
        <w:rPr>
          <w:rFonts w:ascii="Arial" w:hAnsi="Arial" w:cs="Arial"/>
          <w:bCs/>
          <w:sz w:val="20"/>
        </w:rPr>
        <w:tab/>
        <w:t>whether the field of knowledge in which the witness professes expertise is a recognized and organized body of knowledge (</w:t>
      </w:r>
      <w:r>
        <w:rPr>
          <w:rFonts w:ascii="Arial" w:hAnsi="Arial" w:cs="Arial"/>
          <w:bCs/>
          <w:i/>
          <w:iCs/>
          <w:sz w:val="20"/>
        </w:rPr>
        <w:t>R v Anderson</w:t>
      </w:r>
      <w:r>
        <w:rPr>
          <w:rFonts w:ascii="Arial" w:hAnsi="Arial" w:cs="Arial"/>
          <w:bCs/>
          <w:sz w:val="20"/>
        </w:rPr>
        <w:t xml:space="preserve"> (2000) 1 VR 1 per Winneke P at 22-3) which is outside the ordinary experiences of mankind (see e.g. </w:t>
      </w:r>
      <w:r>
        <w:rPr>
          <w:rFonts w:ascii="Arial" w:hAnsi="Arial" w:cs="Arial"/>
          <w:bCs/>
          <w:i/>
          <w:iCs/>
          <w:sz w:val="20"/>
        </w:rPr>
        <w:t>R v Smith</w:t>
      </w:r>
      <w:r>
        <w:rPr>
          <w:rFonts w:ascii="Arial" w:hAnsi="Arial" w:cs="Arial"/>
          <w:bCs/>
          <w:sz w:val="20"/>
        </w:rPr>
        <w:t xml:space="preserve"> [1987] VR 907 per Vincent J; </w:t>
      </w:r>
      <w:r>
        <w:rPr>
          <w:rFonts w:ascii="Arial" w:hAnsi="Arial" w:cs="Arial"/>
          <w:bCs/>
          <w:i/>
          <w:iCs/>
          <w:sz w:val="20"/>
        </w:rPr>
        <w:t>Murphy v The Queen</w:t>
      </w:r>
      <w:r>
        <w:rPr>
          <w:rFonts w:ascii="Arial" w:hAnsi="Arial" w:cs="Arial"/>
          <w:bCs/>
          <w:sz w:val="20"/>
        </w:rPr>
        <w:t xml:space="preserve"> (1989) 167 CLR 94 per Mason CJ &amp; Toohey J at 110, Deane J at 126 &amp; Dawson J at 130; </w:t>
      </w:r>
      <w:r>
        <w:rPr>
          <w:rFonts w:ascii="Arial" w:hAnsi="Arial" w:cs="Arial"/>
          <w:bCs/>
          <w:i/>
          <w:iCs/>
          <w:sz w:val="20"/>
        </w:rPr>
        <w:t>R v Perry</w:t>
      </w:r>
      <w:r>
        <w:rPr>
          <w:rFonts w:ascii="Arial" w:hAnsi="Arial" w:cs="Arial"/>
          <w:bCs/>
          <w:sz w:val="20"/>
        </w:rPr>
        <w:t xml:space="preserve"> (1990) 49 A Crim R 243 at 249 per Gleeson CJ, citing </w:t>
      </w:r>
      <w:r>
        <w:rPr>
          <w:rFonts w:ascii="Arial" w:hAnsi="Arial" w:cs="Arial"/>
          <w:bCs/>
          <w:i/>
          <w:iCs/>
          <w:sz w:val="20"/>
        </w:rPr>
        <w:t>Clark v Ryan</w:t>
      </w:r>
      <w:r>
        <w:rPr>
          <w:rFonts w:ascii="Arial" w:hAnsi="Arial" w:cs="Arial"/>
          <w:bCs/>
          <w:sz w:val="20"/>
        </w:rPr>
        <w:t xml:space="preserve"> (1960) 103 CLR 486); and</w:t>
      </w:r>
    </w:p>
    <w:p w14:paraId="6249378F"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2.</w:t>
      </w:r>
      <w:r>
        <w:rPr>
          <w:rFonts w:ascii="Arial" w:hAnsi="Arial" w:cs="Arial"/>
          <w:bCs/>
          <w:sz w:val="20"/>
        </w:rPr>
        <w:tab/>
        <w:t>whether the witness has sufficient expertise in such field as would enable him or her to assist the court (</w:t>
      </w:r>
      <w:r>
        <w:rPr>
          <w:rFonts w:ascii="Arial" w:hAnsi="Arial" w:cs="Arial"/>
          <w:bCs/>
          <w:i/>
          <w:iCs/>
          <w:sz w:val="20"/>
        </w:rPr>
        <w:t>Grace v Southern</w:t>
      </w:r>
      <w:r>
        <w:rPr>
          <w:rFonts w:ascii="Arial" w:hAnsi="Arial" w:cs="Arial"/>
          <w:bCs/>
          <w:sz w:val="20"/>
        </w:rPr>
        <w:t xml:space="preserve"> [1978] VR 75).</w:t>
      </w:r>
    </w:p>
    <w:p w14:paraId="2DE563C2" w14:textId="77777777" w:rsidR="009C5B94" w:rsidRDefault="009C5B94" w:rsidP="009C5B94">
      <w:pPr>
        <w:jc w:val="both"/>
        <w:rPr>
          <w:rFonts w:ascii="Arial" w:hAnsi="Arial" w:cs="Arial"/>
          <w:bCs/>
          <w:sz w:val="20"/>
        </w:rPr>
      </w:pPr>
    </w:p>
    <w:p w14:paraId="5430D826" w14:textId="77777777" w:rsidR="009C5B94" w:rsidRDefault="009C5B94" w:rsidP="009C5B94">
      <w:pPr>
        <w:jc w:val="both"/>
        <w:rPr>
          <w:rFonts w:ascii="Arial" w:hAnsi="Arial" w:cs="Arial"/>
          <w:bCs/>
          <w:sz w:val="20"/>
        </w:rPr>
      </w:pPr>
      <w:r>
        <w:rPr>
          <w:rFonts w:ascii="Arial" w:hAnsi="Arial" w:cs="Arial"/>
          <w:bCs/>
          <w:sz w:val="20"/>
        </w:rPr>
        <w:lastRenderedPageBreak/>
        <w:t xml:space="preserve">In </w:t>
      </w:r>
      <w:r w:rsidRPr="00495449">
        <w:rPr>
          <w:rFonts w:ascii="Arial" w:hAnsi="Arial" w:cs="Arial"/>
          <w:i/>
          <w:sz w:val="20"/>
        </w:rPr>
        <w:t>Baulch v Lyndoch Warrnambool &amp; Anor (Ruling No. 3)</w:t>
      </w:r>
      <w:r>
        <w:rPr>
          <w:rFonts w:ascii="Arial" w:hAnsi="Arial" w:cs="Arial"/>
          <w:sz w:val="20"/>
        </w:rPr>
        <w:t xml:space="preserve"> [2008] VSC 420 at [10]-[14] Forrest J – after citing many of the above cases – summarized the relevant principles as follows:</w:t>
      </w:r>
    </w:p>
    <w:p w14:paraId="70E11F5D" w14:textId="77777777" w:rsidR="009C5B94" w:rsidRDefault="009C5B94" w:rsidP="009C5B94">
      <w:pPr>
        <w:tabs>
          <w:tab w:val="left" w:pos="363"/>
        </w:tabs>
        <w:ind w:left="363" w:hanging="363"/>
        <w:jc w:val="both"/>
        <w:rPr>
          <w:rFonts w:ascii="Arial" w:hAnsi="Arial" w:cs="Arial"/>
          <w:bCs/>
          <w:sz w:val="20"/>
        </w:rPr>
      </w:pPr>
      <w:r w:rsidRPr="00D541BC">
        <w:rPr>
          <w:rFonts w:ascii="Arial" w:hAnsi="Arial" w:cs="Arial"/>
          <w:bCs/>
          <w:sz w:val="20"/>
        </w:rPr>
        <w:t>(a</w:t>
      </w:r>
      <w:r>
        <w:rPr>
          <w:rFonts w:ascii="Arial" w:hAnsi="Arial" w:cs="Arial"/>
          <w:bCs/>
          <w:sz w:val="20"/>
        </w:rPr>
        <w:t>)</w:t>
      </w:r>
      <w:r>
        <w:rPr>
          <w:rFonts w:ascii="Arial" w:hAnsi="Arial" w:cs="Arial"/>
          <w:bCs/>
          <w:sz w:val="20"/>
        </w:rPr>
        <w:tab/>
        <w:t>a party wishing to call an expert witness must clearly identify the field of specialized knowledge in respect of which it is said the witness can proffer an opinion;</w:t>
      </w:r>
    </w:p>
    <w:p w14:paraId="077D32C4"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(b)</w:t>
      </w:r>
      <w:r>
        <w:rPr>
          <w:rFonts w:ascii="Arial" w:hAnsi="Arial" w:cs="Arial"/>
          <w:bCs/>
          <w:sz w:val="20"/>
        </w:rPr>
        <w:tab/>
        <w:t xml:space="preserve">a party must then identify the expertise of the witness in that field; it must be </w:t>
      </w:r>
      <w:proofErr w:type="gramStart"/>
      <w:r>
        <w:rPr>
          <w:rFonts w:ascii="Arial" w:hAnsi="Arial" w:cs="Arial"/>
          <w:bCs/>
          <w:sz w:val="20"/>
        </w:rPr>
        <w:t>demonstrates</w:t>
      </w:r>
      <w:proofErr w:type="gramEnd"/>
      <w:r>
        <w:rPr>
          <w:rFonts w:ascii="Arial" w:hAnsi="Arial" w:cs="Arial"/>
          <w:bCs/>
          <w:sz w:val="20"/>
        </w:rPr>
        <w:t xml:space="preserve"> that by reason of specialized training, study or experience the witness is truly an expert in that area;</w:t>
      </w:r>
    </w:p>
    <w:p w14:paraId="691145F8"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(c)</w:t>
      </w:r>
      <w:r>
        <w:rPr>
          <w:rFonts w:ascii="Arial" w:hAnsi="Arial" w:cs="Arial"/>
          <w:bCs/>
          <w:sz w:val="20"/>
        </w:rPr>
        <w:tab/>
        <w:t>the opinion expressed by the witness must be either wholly or substantially based on that specialist knowledge and not on the everyday knowledge of the common person;</w:t>
      </w:r>
    </w:p>
    <w:p w14:paraId="56B620D8"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(d)</w:t>
      </w:r>
      <w:r>
        <w:rPr>
          <w:rFonts w:ascii="Arial" w:hAnsi="Arial" w:cs="Arial"/>
          <w:bCs/>
          <w:sz w:val="20"/>
        </w:rPr>
        <w:tab/>
        <w:t>the opinion must be based on clearly identified facts; and</w:t>
      </w:r>
    </w:p>
    <w:p w14:paraId="2416F1EF"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(e)</w:t>
      </w:r>
      <w:r>
        <w:rPr>
          <w:rFonts w:ascii="Arial" w:hAnsi="Arial" w:cs="Arial"/>
          <w:bCs/>
          <w:sz w:val="20"/>
        </w:rPr>
        <w:tab/>
        <w:t>the onus rests on the party calling the witness to satisfied the above criteria.</w:t>
      </w:r>
    </w:p>
    <w:p w14:paraId="1F4C3425" w14:textId="77777777" w:rsidR="009C5B94" w:rsidRDefault="009C5B94" w:rsidP="009C5B94">
      <w:pPr>
        <w:jc w:val="both"/>
        <w:rPr>
          <w:rFonts w:ascii="Arial" w:hAnsi="Arial" w:cs="Arial"/>
          <w:bCs/>
          <w:sz w:val="20"/>
        </w:rPr>
      </w:pPr>
    </w:p>
    <w:p w14:paraId="49792C82" w14:textId="77777777" w:rsidR="009C5B94" w:rsidRDefault="009C5B94" w:rsidP="009C5B94">
      <w:pPr>
        <w:jc w:val="both"/>
        <w:rPr>
          <w:rFonts w:ascii="Arial" w:hAnsi="Arial" w:cs="Arial"/>
          <w:bCs/>
          <w:sz w:val="20"/>
        </w:rPr>
      </w:pPr>
      <w:r>
        <w:rPr>
          <w:rFonts w:ascii="Arial" w:hAnsi="Arial" w:cs="Arial"/>
          <w:bCs/>
          <w:sz w:val="20"/>
        </w:rPr>
        <w:t xml:space="preserve">In </w:t>
      </w:r>
      <w:r>
        <w:rPr>
          <w:rFonts w:ascii="Arial" w:hAnsi="Arial" w:cs="Arial"/>
          <w:bCs/>
          <w:i/>
          <w:iCs/>
          <w:sz w:val="20"/>
        </w:rPr>
        <w:t xml:space="preserve">Re W and W: (Abuse allegations; Expert evidence) </w:t>
      </w:r>
      <w:r>
        <w:rPr>
          <w:rFonts w:ascii="Arial" w:hAnsi="Arial" w:cs="Arial"/>
          <w:bCs/>
          <w:sz w:val="20"/>
        </w:rPr>
        <w:t>[2001] FamCA 216 at [145]-[193] the Full Court of the Family Court of Australia:</w:t>
      </w:r>
    </w:p>
    <w:p w14:paraId="48AD527D" w14:textId="77777777" w:rsidR="009C5B94" w:rsidRDefault="009C5B94">
      <w:pPr>
        <w:numPr>
          <w:ilvl w:val="0"/>
          <w:numId w:val="112"/>
        </w:numPr>
        <w:jc w:val="both"/>
        <w:rPr>
          <w:rFonts w:ascii="Arial" w:hAnsi="Arial" w:cs="Arial"/>
          <w:bCs/>
          <w:sz w:val="20"/>
        </w:rPr>
      </w:pPr>
      <w:r>
        <w:rPr>
          <w:rFonts w:ascii="Arial" w:hAnsi="Arial" w:cs="Arial"/>
          <w:bCs/>
          <w:sz w:val="20"/>
        </w:rPr>
        <w:t xml:space="preserve">was very critical of a professional witness who "saw neither of the parties and none of the children and yet arrived at damaging conclusions about one of the parties, who happened to be on the opposite side to the party who commissioned him" (at [156]) and who had "stepped out of the role of an expert witness and assumed the role of advocate" (at [190]); </w:t>
      </w:r>
    </w:p>
    <w:p w14:paraId="3C426864" w14:textId="77777777" w:rsidR="009C5B94" w:rsidRDefault="009C5B94">
      <w:pPr>
        <w:numPr>
          <w:ilvl w:val="0"/>
          <w:numId w:val="112"/>
        </w:numPr>
        <w:jc w:val="both"/>
        <w:rPr>
          <w:rFonts w:ascii="Arial" w:hAnsi="Arial" w:cs="Arial"/>
          <w:bCs/>
          <w:sz w:val="20"/>
        </w:rPr>
      </w:pPr>
      <w:r>
        <w:rPr>
          <w:rFonts w:ascii="Arial" w:hAnsi="Arial" w:cs="Arial"/>
          <w:bCs/>
          <w:sz w:val="20"/>
        </w:rPr>
        <w:t>recommended significant reforms in the area of expert evidence (at [192]-[193]).</w:t>
      </w:r>
    </w:p>
    <w:p w14:paraId="5AAB9C25" w14:textId="77777777" w:rsidR="009C5B94" w:rsidRDefault="009C5B94" w:rsidP="009C5B94">
      <w:pPr>
        <w:jc w:val="both"/>
        <w:rPr>
          <w:rFonts w:ascii="Arial" w:hAnsi="Arial" w:cs="Arial"/>
          <w:bCs/>
          <w:sz w:val="20"/>
        </w:rPr>
      </w:pPr>
    </w:p>
    <w:p w14:paraId="04920CCA" w14:textId="77777777" w:rsidR="009C5B94" w:rsidRDefault="009C5B94" w:rsidP="009C5B94">
      <w:pPr>
        <w:jc w:val="both"/>
        <w:rPr>
          <w:rFonts w:ascii="Arial" w:hAnsi="Arial" w:cs="Arial"/>
          <w:bCs/>
          <w:sz w:val="20"/>
        </w:rPr>
      </w:pPr>
      <w:r>
        <w:rPr>
          <w:rFonts w:ascii="Arial" w:hAnsi="Arial" w:cs="Arial"/>
          <w:bCs/>
          <w:sz w:val="20"/>
        </w:rPr>
        <w:t>Typical expert witnesses in the Children's Court include paediatricians, nurses, psychiatrists, psychologists, child protection or child welfare workers or persons working in the "helping professions" generally.  From such professional witnesses it is usual for two types of evidence to be adduced:</w:t>
      </w:r>
    </w:p>
    <w:p w14:paraId="72015096" w14:textId="77777777" w:rsidR="009C5B94" w:rsidRDefault="009C5B94">
      <w:pPr>
        <w:numPr>
          <w:ilvl w:val="0"/>
          <w:numId w:val="111"/>
        </w:numPr>
        <w:jc w:val="both"/>
        <w:rPr>
          <w:rFonts w:ascii="Arial" w:hAnsi="Arial" w:cs="Arial"/>
          <w:bCs/>
          <w:sz w:val="20"/>
        </w:rPr>
      </w:pPr>
      <w:r>
        <w:rPr>
          <w:rFonts w:ascii="Arial" w:hAnsi="Arial" w:cs="Arial"/>
          <w:bCs/>
          <w:sz w:val="20"/>
        </w:rPr>
        <w:t>evidence of observed facts;</w:t>
      </w:r>
    </w:p>
    <w:p w14:paraId="377D74F7" w14:textId="77777777" w:rsidR="009C5B94" w:rsidRDefault="009C5B94">
      <w:pPr>
        <w:numPr>
          <w:ilvl w:val="0"/>
          <w:numId w:val="111"/>
        </w:numPr>
        <w:jc w:val="both"/>
        <w:rPr>
          <w:rFonts w:ascii="Arial" w:hAnsi="Arial" w:cs="Arial"/>
          <w:bCs/>
          <w:sz w:val="20"/>
        </w:rPr>
      </w:pPr>
      <w:r>
        <w:rPr>
          <w:rFonts w:ascii="Arial" w:hAnsi="Arial" w:cs="Arial"/>
          <w:bCs/>
          <w:sz w:val="20"/>
        </w:rPr>
        <w:t>evidence in the form of opinion and/or inference.</w:t>
      </w:r>
    </w:p>
    <w:p w14:paraId="62FD05EA" w14:textId="77777777" w:rsidR="009C5B94" w:rsidRDefault="009C5B94" w:rsidP="009C5B94">
      <w:pPr>
        <w:jc w:val="both"/>
        <w:rPr>
          <w:rFonts w:ascii="Arial" w:hAnsi="Arial" w:cs="Arial"/>
          <w:bCs/>
          <w:sz w:val="20"/>
        </w:rPr>
      </w:pPr>
    </w:p>
    <w:p w14:paraId="1FD8C836" w14:textId="77777777" w:rsidR="009C5B94" w:rsidRDefault="009C5B94" w:rsidP="009C5B94">
      <w:pPr>
        <w:jc w:val="both"/>
        <w:rPr>
          <w:rFonts w:ascii="Arial" w:hAnsi="Arial" w:cs="Arial"/>
          <w:sz w:val="20"/>
        </w:rPr>
      </w:pPr>
      <w:r>
        <w:rPr>
          <w:rFonts w:ascii="Arial" w:hAnsi="Arial" w:cs="Arial"/>
          <w:bCs/>
          <w:sz w:val="20"/>
        </w:rPr>
        <w:t xml:space="preserve">Most contested cases in the Family Division of the Court involve the receipt of evidence from one or more "expert witnesses".  Indeed, in </w:t>
      </w:r>
      <w:r>
        <w:rPr>
          <w:rFonts w:ascii="Arial" w:hAnsi="Arial" w:cs="Arial"/>
          <w:i/>
          <w:iCs/>
          <w:sz w:val="20"/>
        </w:rPr>
        <w:t xml:space="preserve">Director-General of Community Services </w:t>
      </w:r>
      <w:smartTag w:uri="urn:schemas-microsoft-com:office:smarttags" w:element="place">
        <w:smartTag w:uri="urn:schemas-microsoft-com:office:smarttags" w:element="State">
          <w:r>
            <w:rPr>
              <w:rFonts w:ascii="Arial" w:hAnsi="Arial" w:cs="Arial"/>
              <w:i/>
              <w:iCs/>
              <w:sz w:val="20"/>
            </w:rPr>
            <w:t>Victoria</w:t>
          </w:r>
        </w:smartTag>
      </w:smartTag>
      <w:r>
        <w:rPr>
          <w:rFonts w:ascii="Arial" w:hAnsi="Arial" w:cs="Arial"/>
          <w:i/>
          <w:iCs/>
          <w:sz w:val="20"/>
        </w:rPr>
        <w:t xml:space="preserve"> v Buckley &amp; Others</w:t>
      </w:r>
      <w:r>
        <w:rPr>
          <w:rFonts w:ascii="Arial" w:hAnsi="Arial" w:cs="Arial"/>
          <w:sz w:val="20"/>
        </w:rPr>
        <w:t xml:space="preserve"> [Supreme Court of Victoria, unreported, </w:t>
      </w:r>
      <w:smartTag w:uri="urn:schemas-microsoft-com:office:smarttags" w:element="date">
        <w:smartTagPr>
          <w:attr w:name="Month" w:val="12"/>
          <w:attr w:name="Day" w:val="11"/>
          <w:attr w:name="Year" w:val="1992"/>
        </w:smartTagPr>
        <w:r>
          <w:rPr>
            <w:rFonts w:ascii="Arial" w:hAnsi="Arial" w:cs="Arial"/>
            <w:sz w:val="20"/>
          </w:rPr>
          <w:t>11/12/1992</w:t>
        </w:r>
      </w:smartTag>
      <w:r>
        <w:rPr>
          <w:rFonts w:ascii="Arial" w:hAnsi="Arial" w:cs="Arial"/>
          <w:sz w:val="20"/>
        </w:rPr>
        <w:t>], O'Bryan J. commented (at p.6) that it would be very difficult for a court to find that a child has suffered significant harm from emotional abuse "in the absence of credible expert evidence".</w:t>
      </w:r>
    </w:p>
    <w:p w14:paraId="5A85902A" w14:textId="77777777" w:rsidR="009C5B94" w:rsidRDefault="009C5B94" w:rsidP="009C5B94">
      <w:pPr>
        <w:jc w:val="both"/>
        <w:rPr>
          <w:rFonts w:ascii="Arial" w:hAnsi="Arial" w:cs="Arial"/>
          <w:sz w:val="20"/>
        </w:rPr>
      </w:pPr>
    </w:p>
    <w:p w14:paraId="50F87F36" w14:textId="77777777" w:rsidR="009C5B94" w:rsidRDefault="009C5B94" w:rsidP="009C5B94">
      <w:pPr>
        <w:jc w:val="both"/>
        <w:rPr>
          <w:rFonts w:ascii="Arial" w:hAnsi="Arial" w:cs="Arial"/>
          <w:sz w:val="20"/>
        </w:rPr>
      </w:pPr>
      <w:r>
        <w:rPr>
          <w:rFonts w:ascii="Arial" w:hAnsi="Arial" w:cs="Arial"/>
          <w:sz w:val="20"/>
        </w:rPr>
        <w:t xml:space="preserve">In </w:t>
      </w:r>
      <w:r w:rsidRPr="0041519A">
        <w:rPr>
          <w:rFonts w:ascii="Arial" w:hAnsi="Arial" w:cs="Arial"/>
          <w:i/>
          <w:sz w:val="20"/>
        </w:rPr>
        <w:t>Re W (Sex Abuse: Standard of Proof)</w:t>
      </w:r>
      <w:r>
        <w:rPr>
          <w:rFonts w:ascii="Arial" w:hAnsi="Arial" w:cs="Arial"/>
          <w:sz w:val="20"/>
        </w:rPr>
        <w:t xml:space="preserve"> [2004] FamCA 768 the trial judge had accepted the evidence of a child psychiatrist who was appointed by him as a Court expert to enquire into and report on:</w:t>
      </w:r>
    </w:p>
    <w:p w14:paraId="6835204B" w14:textId="77777777" w:rsidR="009C5B94" w:rsidRDefault="009C5B94">
      <w:pPr>
        <w:numPr>
          <w:ilvl w:val="0"/>
          <w:numId w:val="111"/>
        </w:numPr>
        <w:jc w:val="both"/>
        <w:rPr>
          <w:rFonts w:ascii="Arial" w:hAnsi="Arial" w:cs="Arial"/>
          <w:bCs/>
          <w:sz w:val="20"/>
        </w:rPr>
      </w:pPr>
      <w:r>
        <w:rPr>
          <w:rFonts w:ascii="Arial" w:hAnsi="Arial" w:cs="Arial"/>
          <w:bCs/>
          <w:sz w:val="20"/>
        </w:rPr>
        <w:t>the nature and quality of the investigation into the allegations of child sexual abuse made in the case;</w:t>
      </w:r>
    </w:p>
    <w:p w14:paraId="5924C9BE" w14:textId="77777777" w:rsidR="009C5B94" w:rsidRDefault="009C5B94">
      <w:pPr>
        <w:numPr>
          <w:ilvl w:val="0"/>
          <w:numId w:val="111"/>
        </w:numPr>
        <w:jc w:val="both"/>
        <w:rPr>
          <w:rFonts w:ascii="Arial" w:hAnsi="Arial" w:cs="Arial"/>
          <w:bCs/>
          <w:sz w:val="20"/>
        </w:rPr>
      </w:pPr>
      <w:r>
        <w:rPr>
          <w:rFonts w:ascii="Arial" w:hAnsi="Arial" w:cs="Arial"/>
          <w:bCs/>
          <w:sz w:val="20"/>
        </w:rPr>
        <w:t>whether and if so, in what ways (if any) the process of investigation may have affected the integrity of the information obtained through the investigation process; and</w:t>
      </w:r>
    </w:p>
    <w:p w14:paraId="735C5876" w14:textId="77777777" w:rsidR="009C5B94" w:rsidRDefault="009C5B94">
      <w:pPr>
        <w:numPr>
          <w:ilvl w:val="0"/>
          <w:numId w:val="111"/>
        </w:numPr>
        <w:jc w:val="both"/>
        <w:rPr>
          <w:rFonts w:ascii="Arial" w:hAnsi="Arial" w:cs="Arial"/>
          <w:bCs/>
          <w:sz w:val="20"/>
        </w:rPr>
      </w:pPr>
      <w:r>
        <w:rPr>
          <w:rFonts w:ascii="Arial" w:hAnsi="Arial" w:cs="Arial"/>
          <w:bCs/>
          <w:sz w:val="20"/>
        </w:rPr>
        <w:t>any consequences arising therefrom.</w:t>
      </w:r>
    </w:p>
    <w:p w14:paraId="38BA89EC" w14:textId="77777777" w:rsidR="009C5B94" w:rsidRDefault="009C5B94" w:rsidP="009C5B94">
      <w:pPr>
        <w:jc w:val="both"/>
        <w:rPr>
          <w:rFonts w:ascii="Arial" w:hAnsi="Arial" w:cs="Arial"/>
          <w:sz w:val="20"/>
        </w:rPr>
      </w:pPr>
      <w:r>
        <w:rPr>
          <w:rFonts w:ascii="Arial" w:hAnsi="Arial" w:cs="Arial"/>
          <w:bCs/>
          <w:sz w:val="20"/>
        </w:rPr>
        <w:t xml:space="preserve">That psychiatrist gave evidence that while he had some criticisms of the procedures followed, it was his view that on the balance of probabilities there was sufficient evidence to have significant concerns that the father had sexually abused his daughter.  However, he had not seen either the parties or the children.  At [37] a </w:t>
      </w:r>
      <w:r>
        <w:rPr>
          <w:rFonts w:ascii="Arial" w:hAnsi="Arial" w:cs="Arial"/>
          <w:sz w:val="20"/>
        </w:rPr>
        <w:t>Full Court of the Family Court of Australia, comprising Kay, Holden &amp; O'Ryan JJ, described the trial judge’s reliance on the evidence of the psychiatrist as “particularly troublesome” and at [38]-[40] it concluded that the psychiatrist’s “evidence concerning the probabilities of something untoward having occurred should have been given very little weight” especially as he had not seen the family members:</w:t>
      </w:r>
    </w:p>
    <w:p w14:paraId="674A01AB" w14:textId="77777777" w:rsidR="009C5B94" w:rsidRDefault="009C5B94" w:rsidP="009C5B94">
      <w:pPr>
        <w:spacing w:before="60"/>
        <w:ind w:left="567" w:right="567"/>
        <w:jc w:val="both"/>
        <w:rPr>
          <w:rFonts w:ascii="Arial" w:hAnsi="Arial" w:cs="Arial"/>
          <w:sz w:val="20"/>
        </w:rPr>
      </w:pPr>
      <w:r>
        <w:rPr>
          <w:rFonts w:ascii="Arial" w:hAnsi="Arial" w:cs="Arial"/>
          <w:sz w:val="20"/>
        </w:rPr>
        <w:t>[38</w:t>
      </w:r>
      <w:proofErr w:type="gramStart"/>
      <w:r>
        <w:rPr>
          <w:rFonts w:ascii="Arial" w:hAnsi="Arial" w:cs="Arial"/>
          <w:sz w:val="20"/>
        </w:rPr>
        <w:t>]  “</w:t>
      </w:r>
      <w:proofErr w:type="gramEnd"/>
      <w:r>
        <w:rPr>
          <w:rFonts w:ascii="Arial" w:hAnsi="Arial" w:cs="Arial"/>
          <w:sz w:val="20"/>
        </w:rPr>
        <w:t xml:space="preserve">In </w:t>
      </w:r>
      <w:r w:rsidRPr="000A38F6">
        <w:rPr>
          <w:rFonts w:ascii="Arial" w:hAnsi="Arial" w:cs="Arial"/>
          <w:i/>
          <w:sz w:val="20"/>
        </w:rPr>
        <w:t>Re W Abuse Allegations; Expert Evidence</w:t>
      </w:r>
      <w:r>
        <w:rPr>
          <w:rFonts w:ascii="Arial" w:hAnsi="Arial" w:cs="Arial"/>
          <w:sz w:val="20"/>
        </w:rPr>
        <w:t xml:space="preserve"> (2001) FLC 93-085 Nicholson CJ and O’Ryan J (with whom Kay J agreed on this point) warned of giving weight to expert evidence of a psychiatrist who had not seen the parties nor the children but had reviewed the material.  Their Honours said at [147] ‘…there are grave dangers in reliance upon expert evidence given in such circumstances’.</w:t>
      </w:r>
    </w:p>
    <w:p w14:paraId="1D2EDC48" w14:textId="77777777" w:rsidR="009C5B94" w:rsidRDefault="009C5B94" w:rsidP="009C5B94">
      <w:pPr>
        <w:spacing w:before="60"/>
        <w:ind w:left="567" w:right="567"/>
        <w:jc w:val="both"/>
        <w:rPr>
          <w:rFonts w:ascii="Arial" w:hAnsi="Arial" w:cs="Arial"/>
          <w:sz w:val="20"/>
        </w:rPr>
      </w:pPr>
      <w:r>
        <w:rPr>
          <w:rFonts w:ascii="Arial" w:hAnsi="Arial" w:cs="Arial"/>
          <w:sz w:val="20"/>
        </w:rPr>
        <w:t xml:space="preserve">[39]  Whilst much of their Honours’ rejection of the evidence of the psychiatrist in </w:t>
      </w:r>
      <w:r w:rsidRPr="000A38F6">
        <w:rPr>
          <w:rFonts w:ascii="Arial" w:hAnsi="Arial" w:cs="Arial"/>
          <w:i/>
          <w:sz w:val="20"/>
        </w:rPr>
        <w:t>Re W</w:t>
      </w:r>
      <w:r>
        <w:rPr>
          <w:rFonts w:ascii="Arial" w:hAnsi="Arial" w:cs="Arial"/>
          <w:sz w:val="20"/>
        </w:rPr>
        <w:t xml:space="preserve"> appears to turn on the fact that he was retained by one side and must have brought unconscious bias to his task, in our view the criticism of relying upon an opinion about the ultimate issue from a witness who has not seen the parties nor the children remains just as valid when the witness is called by the court.  If an expert witness still purports to give an opinion as to the ultimate </w:t>
      </w:r>
      <w:proofErr w:type="gramStart"/>
      <w:r>
        <w:rPr>
          <w:rFonts w:ascii="Arial" w:hAnsi="Arial" w:cs="Arial"/>
          <w:sz w:val="20"/>
        </w:rPr>
        <w:t>issue</w:t>
      </w:r>
      <w:proofErr w:type="gramEnd"/>
      <w:r>
        <w:rPr>
          <w:rFonts w:ascii="Arial" w:hAnsi="Arial" w:cs="Arial"/>
          <w:sz w:val="20"/>
        </w:rPr>
        <w:t xml:space="preserve"> then such opinion would be expected to be heavily qualified by the expert having regard to the fact that the expert had not seen the parties nor the children.”</w:t>
      </w:r>
    </w:p>
    <w:p w14:paraId="29C583DC" w14:textId="77777777" w:rsidR="009C5B94" w:rsidRDefault="009C5B94" w:rsidP="009C5B94">
      <w:pPr>
        <w:jc w:val="both"/>
        <w:rPr>
          <w:rFonts w:ascii="Arial" w:hAnsi="Arial" w:cs="Arial"/>
          <w:sz w:val="20"/>
        </w:rPr>
      </w:pPr>
    </w:p>
    <w:p w14:paraId="19605043" w14:textId="77777777" w:rsidR="009C5B94" w:rsidRDefault="009C5B94" w:rsidP="009C5B94">
      <w:pPr>
        <w:jc w:val="both"/>
        <w:rPr>
          <w:rFonts w:ascii="Arial" w:hAnsi="Arial" w:cs="Arial"/>
          <w:sz w:val="20"/>
        </w:rPr>
      </w:pPr>
      <w:r>
        <w:rPr>
          <w:rFonts w:ascii="Arial" w:hAnsi="Arial" w:cs="Arial"/>
          <w:sz w:val="20"/>
        </w:rPr>
        <w:t xml:space="preserve">In </w:t>
      </w:r>
      <w:r>
        <w:rPr>
          <w:rFonts w:ascii="Arial" w:hAnsi="Arial" w:cs="Arial"/>
          <w:i/>
          <w:sz w:val="20"/>
        </w:rPr>
        <w:t>DOHS v Ms B &amp; Mr</w:t>
      </w:r>
      <w:r w:rsidRPr="00C16C56">
        <w:rPr>
          <w:rFonts w:ascii="Arial" w:hAnsi="Arial" w:cs="Arial"/>
          <w:i/>
          <w:sz w:val="20"/>
        </w:rPr>
        <w:t xml:space="preserve"> </w:t>
      </w:r>
      <w:r>
        <w:rPr>
          <w:rFonts w:ascii="Arial" w:hAnsi="Arial" w:cs="Arial"/>
          <w:i/>
          <w:sz w:val="20"/>
        </w:rPr>
        <w:t>G</w:t>
      </w:r>
      <w:r>
        <w:rPr>
          <w:rFonts w:ascii="Arial" w:hAnsi="Arial" w:cs="Arial"/>
          <w:sz w:val="20"/>
        </w:rPr>
        <w:t xml:space="preserve"> [2008] VChC 1 Power M referred with approval to the above dicta from </w:t>
      </w:r>
      <w:r w:rsidRPr="0041519A">
        <w:rPr>
          <w:rFonts w:ascii="Arial" w:hAnsi="Arial" w:cs="Arial"/>
          <w:i/>
          <w:sz w:val="20"/>
        </w:rPr>
        <w:t>Re W (Sex Abuse: Standard of Proof)</w:t>
      </w:r>
      <w:r>
        <w:rPr>
          <w:rFonts w:ascii="Arial" w:hAnsi="Arial" w:cs="Arial"/>
          <w:sz w:val="20"/>
        </w:rPr>
        <w:t xml:space="preserve"> [2004] FamCA 768 in a section discussing the limitations of the expert evidence adduced in that case.  Several clinical psychologists and an infant psychiatrist had been called to give expert evidence, part of which related to the ultimate issue, namely the frequency, duration and </w:t>
      </w:r>
      <w:r>
        <w:rPr>
          <w:rFonts w:ascii="Arial" w:hAnsi="Arial" w:cs="Arial"/>
          <w:sz w:val="20"/>
        </w:rPr>
        <w:lastRenderedPageBreak/>
        <w:t xml:space="preserve">nature </w:t>
      </w:r>
      <w:r w:rsidRPr="004E1436">
        <w:rPr>
          <w:rFonts w:ascii="Arial" w:hAnsi="Arial" w:cs="Arial"/>
          <w:color w:val="000000"/>
          <w:sz w:val="20"/>
        </w:rPr>
        <w:t>of contact between</w:t>
      </w:r>
      <w:r>
        <w:rPr>
          <w:rFonts w:ascii="Arial" w:hAnsi="Arial" w:cs="Arial"/>
          <w:sz w:val="20"/>
        </w:rPr>
        <w:t xml:space="preserve"> the family members.  His Honour considered that “a major limitation of their evidence is that each of their observations involved only part of the overall factual matrix”.  Each of the experts had met and assessed a sub-set of the family members.  None had met and assessed the entire family.  At pp.120-121 His Honour also commented on the weight to be given in any particular case to relevant general research and literature:</w:t>
      </w:r>
    </w:p>
    <w:p w14:paraId="1EF3DCCE" w14:textId="1C4E9E40" w:rsidR="009C5B94" w:rsidRDefault="009C5B94" w:rsidP="009C5B94">
      <w:pPr>
        <w:spacing w:before="60"/>
        <w:ind w:left="567" w:right="567"/>
        <w:jc w:val="both"/>
        <w:rPr>
          <w:rFonts w:ascii="Arial" w:hAnsi="Arial" w:cs="Arial"/>
          <w:sz w:val="20"/>
        </w:rPr>
      </w:pPr>
      <w:r>
        <w:rPr>
          <w:rFonts w:ascii="Arial" w:hAnsi="Arial" w:cs="Arial"/>
          <w:sz w:val="20"/>
        </w:rPr>
        <w:t>“</w:t>
      </w:r>
      <w:r w:rsidRPr="00FC3025">
        <w:rPr>
          <w:rFonts w:ascii="Arial" w:hAnsi="Arial" w:cs="Arial"/>
          <w:sz w:val="20"/>
        </w:rPr>
        <w:t>Part o</w:t>
      </w:r>
      <w:r>
        <w:rPr>
          <w:rFonts w:ascii="Arial" w:hAnsi="Arial" w:cs="Arial"/>
          <w:sz w:val="20"/>
        </w:rPr>
        <w:t>f the evidence of Dr M and Dr P</w:t>
      </w:r>
      <w:r w:rsidRPr="00FC3025">
        <w:rPr>
          <w:rFonts w:ascii="Arial" w:hAnsi="Arial" w:cs="Arial"/>
          <w:sz w:val="20"/>
        </w:rPr>
        <w:t xml:space="preserve"> involved a discussion of the research and literature relating to infant development, with particular emphasis on the development of attachment in infants. I found this evidence particularly interesting and of general assistance to me in my role as a magistrate allocated to the Children’s Court. But it is important not to over-emphasize its usefulness when applied to any particular case. The research and the literature do have an important role. But it is not an independent role. It provides the framework which enables observations of the behaviour of a particular person or persons to be evaluated and predictions to be made about the likelihood of future patterns of behaviour. Absent subjective observations of a particular caregiver and/or parent and of a particular child, preferably over a period of time, the framework – standing alone – is much less useful for it exists in a factual vacuum. Absent observations or other relevant evidence of the quality of the particular interactions or the characteristics </w:t>
      </w:r>
      <w:r w:rsidR="00DD0DA0" w:rsidRPr="00A31FFA">
        <w:rPr>
          <w:rFonts w:ascii="Arial" w:hAnsi="Arial" w:cs="Arial"/>
          <w:sz w:val="20"/>
        </w:rPr>
        <w:t>–</w:t>
      </w:r>
      <w:r w:rsidRPr="00FC3025">
        <w:rPr>
          <w:rFonts w:ascii="Arial" w:hAnsi="Arial" w:cs="Arial"/>
          <w:sz w:val="20"/>
        </w:rPr>
        <w:t xml:space="preserve"> including the resilience </w:t>
      </w:r>
      <w:r w:rsidR="00DD0DA0" w:rsidRPr="00A31FFA">
        <w:rPr>
          <w:rFonts w:ascii="Arial" w:hAnsi="Arial" w:cs="Arial"/>
          <w:sz w:val="20"/>
        </w:rPr>
        <w:t>–</w:t>
      </w:r>
      <w:r w:rsidRPr="00FC3025">
        <w:rPr>
          <w:rFonts w:ascii="Arial" w:hAnsi="Arial" w:cs="Arial"/>
          <w:sz w:val="20"/>
        </w:rPr>
        <w:t xml:space="preserve"> of the particular individuals, prediction of risk of future harm and analysis of what is in the best interests of the particular child are inevitably much less certain</w:t>
      </w:r>
      <w:r>
        <w:rPr>
          <w:rFonts w:ascii="Arial" w:hAnsi="Arial" w:cs="Arial"/>
          <w:sz w:val="20"/>
        </w:rPr>
        <w:t>…</w:t>
      </w:r>
    </w:p>
    <w:p w14:paraId="0C6A82BC" w14:textId="6A56875D" w:rsidR="009C5B94" w:rsidRDefault="009C5B94" w:rsidP="009C5B94">
      <w:pPr>
        <w:spacing w:before="120"/>
        <w:ind w:left="567" w:right="567"/>
        <w:jc w:val="both"/>
        <w:rPr>
          <w:rFonts w:ascii="Arial" w:hAnsi="Arial" w:cs="Arial"/>
          <w:sz w:val="20"/>
        </w:rPr>
      </w:pPr>
      <w:r w:rsidRPr="00FC3025">
        <w:rPr>
          <w:rFonts w:ascii="Arial" w:hAnsi="Arial" w:cs="Arial"/>
          <w:sz w:val="20"/>
        </w:rPr>
        <w:t xml:space="preserve">An opinion about appropriate levels of contact between </w:t>
      </w:r>
      <w:r>
        <w:rPr>
          <w:rFonts w:ascii="Arial" w:hAnsi="Arial" w:cs="Arial"/>
          <w:sz w:val="20"/>
        </w:rPr>
        <w:t>[the two older children]</w:t>
      </w:r>
      <w:r w:rsidRPr="00FC3025">
        <w:rPr>
          <w:rFonts w:ascii="Arial" w:hAnsi="Arial" w:cs="Arial"/>
          <w:sz w:val="20"/>
        </w:rPr>
        <w:t xml:space="preserve"> and their mother and siblings based on objective criteria – theoretical criteria </w:t>
      </w:r>
      <w:r>
        <w:rPr>
          <w:rFonts w:ascii="Arial" w:hAnsi="Arial" w:cs="Arial"/>
          <w:sz w:val="20"/>
        </w:rPr>
        <w:t>–</w:t>
      </w:r>
      <w:r w:rsidRPr="00FC3025">
        <w:rPr>
          <w:rFonts w:ascii="Arial" w:hAnsi="Arial" w:cs="Arial"/>
          <w:sz w:val="20"/>
        </w:rPr>
        <w:t xml:space="preserve"> but</w:t>
      </w:r>
      <w:r>
        <w:rPr>
          <w:rFonts w:ascii="Arial" w:hAnsi="Arial" w:cs="Arial"/>
          <w:sz w:val="20"/>
        </w:rPr>
        <w:t xml:space="preserve"> </w:t>
      </w:r>
      <w:r w:rsidRPr="00FC3025">
        <w:rPr>
          <w:rFonts w:ascii="Arial" w:hAnsi="Arial" w:cs="Arial"/>
          <w:sz w:val="20"/>
        </w:rPr>
        <w:t xml:space="preserve">made without knowledge of subjective evidence of the children’s behaviour must be treated with considerable caution. This conclusion also follows from the </w:t>
      </w:r>
      <w:r w:rsidRPr="005C0020">
        <w:rPr>
          <w:rFonts w:ascii="Arial" w:hAnsi="Arial" w:cs="Arial"/>
          <w:sz w:val="20"/>
        </w:rPr>
        <w:t>CYFA</w:t>
      </w:r>
      <w:r w:rsidRPr="00FC3025">
        <w:rPr>
          <w:rFonts w:ascii="Arial" w:hAnsi="Arial" w:cs="Arial"/>
          <w:sz w:val="20"/>
        </w:rPr>
        <w:t xml:space="preserve"> itself. Section 10 requires the Court to focus on – and treat as paramount – the best interests of the child, not children generally as a group but on the particular child the subject of each application.</w:t>
      </w:r>
      <w:r>
        <w:rPr>
          <w:rFonts w:ascii="Arial" w:hAnsi="Arial" w:cs="Arial"/>
          <w:sz w:val="20"/>
        </w:rPr>
        <w:t>”</w:t>
      </w:r>
    </w:p>
    <w:p w14:paraId="6D262D1A" w14:textId="76F73A25" w:rsidR="009C5B94" w:rsidRDefault="009C5B94" w:rsidP="009C5B94">
      <w:pPr>
        <w:jc w:val="both"/>
        <w:rPr>
          <w:rFonts w:ascii="Arial" w:hAnsi="Arial" w:cs="Arial"/>
          <w:color w:val="000000"/>
          <w:sz w:val="20"/>
        </w:rPr>
      </w:pPr>
    </w:p>
    <w:p w14:paraId="057E8AB1" w14:textId="3A4EAE61" w:rsidR="00720FCE" w:rsidRDefault="00720FCE" w:rsidP="009C5B94">
      <w:pPr>
        <w:jc w:val="both"/>
        <w:rPr>
          <w:rFonts w:ascii="Arial" w:hAnsi="Arial" w:cs="Arial"/>
          <w:color w:val="000000"/>
          <w:sz w:val="20"/>
        </w:rPr>
      </w:pPr>
      <w:r>
        <w:rPr>
          <w:rFonts w:ascii="Arial" w:hAnsi="Arial" w:cs="Arial"/>
          <w:color w:val="000000"/>
          <w:sz w:val="20"/>
        </w:rPr>
        <w:t xml:space="preserve">The case of </w:t>
      </w:r>
      <w:r w:rsidRPr="00720FCE">
        <w:rPr>
          <w:rFonts w:ascii="Arial" w:hAnsi="Arial" w:cs="Arial"/>
          <w:i/>
          <w:iCs/>
          <w:color w:val="000000"/>
          <w:sz w:val="20"/>
        </w:rPr>
        <w:t>DFFH v ZX</w:t>
      </w:r>
      <w:r>
        <w:rPr>
          <w:rFonts w:ascii="Arial" w:hAnsi="Arial" w:cs="Arial"/>
          <w:color w:val="000000"/>
          <w:sz w:val="20"/>
        </w:rPr>
        <w:t xml:space="preserve"> [2023] VChC </w:t>
      </w:r>
      <w:r w:rsidR="001A7C0E">
        <w:rPr>
          <w:rFonts w:ascii="Arial" w:hAnsi="Arial" w:cs="Arial"/>
          <w:color w:val="000000"/>
          <w:sz w:val="20"/>
        </w:rPr>
        <w:t>3</w:t>
      </w:r>
      <w:r>
        <w:rPr>
          <w:rFonts w:ascii="Arial" w:hAnsi="Arial" w:cs="Arial"/>
          <w:color w:val="000000"/>
          <w:sz w:val="20"/>
        </w:rPr>
        <w:t xml:space="preserve"> involved a protection application taken out in relation to a 9 year old boy ZX.  One of the protective concerns was family violence allegedly perpetrated by the father towards the mother.  In ultimately finding that family violence perpetrated by the father towards the mother was not a current protective concern, Hamilton M discussed the evidence given by a child protection practitioner – witness 3 – and drew a distinction between </w:t>
      </w:r>
      <w:r w:rsidR="0041421A">
        <w:rPr>
          <w:rFonts w:ascii="Arial" w:hAnsi="Arial" w:cs="Arial"/>
          <w:color w:val="000000"/>
          <w:sz w:val="20"/>
        </w:rPr>
        <w:t>evidence</w:t>
      </w:r>
      <w:r>
        <w:rPr>
          <w:rFonts w:ascii="Arial" w:hAnsi="Arial" w:cs="Arial"/>
          <w:color w:val="000000"/>
          <w:sz w:val="20"/>
        </w:rPr>
        <w:t xml:space="preserve"> of an expert witness called to provide </w:t>
      </w:r>
      <w:r w:rsidRPr="00720FCE">
        <w:rPr>
          <w:rFonts w:ascii="Arial" w:hAnsi="Arial" w:cs="Arial"/>
          <w:sz w:val="20"/>
          <w:szCs w:val="20"/>
        </w:rPr>
        <w:t xml:space="preserve">evidence “about the dynamics and characterisation of family violence” as expressly provided for under </w:t>
      </w:r>
      <w:r w:rsidR="0041421A">
        <w:rPr>
          <w:rFonts w:ascii="Arial" w:hAnsi="Arial" w:cs="Arial"/>
          <w:sz w:val="20"/>
          <w:szCs w:val="20"/>
        </w:rPr>
        <w:t>s.7</w:t>
      </w:r>
      <w:r w:rsidR="001A7C0E">
        <w:rPr>
          <w:rFonts w:ascii="Arial" w:hAnsi="Arial" w:cs="Arial"/>
          <w:sz w:val="20"/>
          <w:szCs w:val="20"/>
        </w:rPr>
        <w:t>3</w:t>
      </w:r>
      <w:r w:rsidR="0041421A">
        <w:rPr>
          <w:rFonts w:ascii="Arial" w:hAnsi="Arial" w:cs="Arial"/>
          <w:sz w:val="20"/>
          <w:szCs w:val="20"/>
        </w:rPr>
        <w:t xml:space="preserve"> of </w:t>
      </w:r>
      <w:r w:rsidRPr="00720FCE">
        <w:rPr>
          <w:rFonts w:ascii="Arial" w:hAnsi="Arial" w:cs="Arial"/>
          <w:sz w:val="20"/>
          <w:szCs w:val="20"/>
        </w:rPr>
        <w:t xml:space="preserve">the </w:t>
      </w:r>
      <w:r w:rsidRPr="00720FCE">
        <w:rPr>
          <w:rFonts w:ascii="Arial" w:hAnsi="Arial" w:cs="Arial"/>
          <w:i/>
          <w:iCs/>
          <w:sz w:val="20"/>
          <w:szCs w:val="20"/>
        </w:rPr>
        <w:t>Family Violence Protection Act 2008</w:t>
      </w:r>
      <w:r>
        <w:rPr>
          <w:rFonts w:ascii="Arial" w:hAnsi="Arial" w:cs="Arial"/>
          <w:color w:val="000000"/>
          <w:sz w:val="20"/>
        </w:rPr>
        <w:t xml:space="preserve"> and that </w:t>
      </w:r>
      <w:r w:rsidR="0041421A">
        <w:rPr>
          <w:rFonts w:ascii="Arial" w:hAnsi="Arial" w:cs="Arial"/>
          <w:color w:val="000000"/>
          <w:sz w:val="20"/>
        </w:rPr>
        <w:t>not falling within s.7</w:t>
      </w:r>
      <w:r w:rsidR="001A7C0E">
        <w:rPr>
          <w:rFonts w:ascii="Arial" w:hAnsi="Arial" w:cs="Arial"/>
          <w:color w:val="000000"/>
          <w:sz w:val="20"/>
        </w:rPr>
        <w:t>3</w:t>
      </w:r>
      <w:r w:rsidR="0041421A">
        <w:rPr>
          <w:rFonts w:ascii="Arial" w:hAnsi="Arial" w:cs="Arial"/>
          <w:color w:val="000000"/>
          <w:sz w:val="20"/>
        </w:rPr>
        <w:t xml:space="preserve">.  At </w:t>
      </w:r>
      <w:r w:rsidR="00C3735B">
        <w:rPr>
          <w:rFonts w:ascii="Arial" w:hAnsi="Arial" w:cs="Arial"/>
          <w:color w:val="000000"/>
          <w:sz w:val="20"/>
        </w:rPr>
        <w:t xml:space="preserve">[24] &amp; </w:t>
      </w:r>
      <w:r w:rsidR="0041421A">
        <w:rPr>
          <w:rFonts w:ascii="Arial" w:hAnsi="Arial" w:cs="Arial"/>
          <w:color w:val="000000"/>
          <w:sz w:val="20"/>
        </w:rPr>
        <w:t>[</w:t>
      </w:r>
      <w:proofErr w:type="gramStart"/>
      <w:r w:rsidR="00C3735B">
        <w:rPr>
          <w:rFonts w:ascii="Arial" w:hAnsi="Arial" w:cs="Arial"/>
          <w:color w:val="000000"/>
          <w:sz w:val="20"/>
        </w:rPr>
        <w:t>31</w:t>
      </w:r>
      <w:r w:rsidR="0041421A">
        <w:rPr>
          <w:rFonts w:ascii="Arial" w:hAnsi="Arial" w:cs="Arial"/>
          <w:color w:val="000000"/>
          <w:sz w:val="20"/>
        </w:rPr>
        <w:t>]</w:t>
      </w:r>
      <w:r w:rsidR="00C3735B">
        <w:rPr>
          <w:rFonts w:ascii="Arial" w:hAnsi="Arial" w:cs="Arial"/>
          <w:color w:val="000000"/>
          <w:sz w:val="20"/>
        </w:rPr>
        <w:noBreakHyphen/>
      </w:r>
      <w:proofErr w:type="gramEnd"/>
      <w:r w:rsidR="0041421A">
        <w:rPr>
          <w:rFonts w:ascii="Arial" w:hAnsi="Arial" w:cs="Arial"/>
          <w:color w:val="000000"/>
          <w:sz w:val="20"/>
        </w:rPr>
        <w:t>[</w:t>
      </w:r>
      <w:r w:rsidR="00C3735B">
        <w:rPr>
          <w:rFonts w:ascii="Arial" w:hAnsi="Arial" w:cs="Arial"/>
          <w:color w:val="000000"/>
          <w:sz w:val="20"/>
        </w:rPr>
        <w:t>43</w:t>
      </w:r>
      <w:r w:rsidR="0041421A">
        <w:rPr>
          <w:rFonts w:ascii="Arial" w:hAnsi="Arial" w:cs="Arial"/>
          <w:color w:val="000000"/>
          <w:sz w:val="20"/>
        </w:rPr>
        <w:t>] her Honour said:</w:t>
      </w:r>
    </w:p>
    <w:p w14:paraId="5F8D01DE" w14:textId="39C3373B" w:rsidR="00C3735B" w:rsidRDefault="00C3735B" w:rsidP="0041421A">
      <w:pPr>
        <w:spacing w:before="60"/>
        <w:ind w:left="567" w:right="567"/>
        <w:jc w:val="both"/>
        <w:rPr>
          <w:rFonts w:ascii="Arial" w:hAnsi="Arial" w:cs="Arial"/>
          <w:sz w:val="20"/>
          <w:szCs w:val="20"/>
        </w:rPr>
      </w:pPr>
      <w:r>
        <w:rPr>
          <w:rFonts w:ascii="Arial" w:hAnsi="Arial" w:cs="Arial"/>
          <w:sz w:val="20"/>
          <w:szCs w:val="20"/>
        </w:rPr>
        <w:t xml:space="preserve">[24] </w:t>
      </w:r>
      <w:r w:rsidR="00917A69">
        <w:rPr>
          <w:rFonts w:ascii="Arial" w:hAnsi="Arial" w:cs="Arial"/>
          <w:sz w:val="20"/>
          <w:szCs w:val="20"/>
        </w:rPr>
        <w:t>“The DFFH’s evidence, both within the tendered reports and in the oral evidence provided by the child protection practitioners was that the risk of exposing ZX to family violence between his parents was a current, ongoing and unaddressed protective concern.</w:t>
      </w:r>
    </w:p>
    <w:p w14:paraId="3C3EFD51" w14:textId="110DDC13" w:rsidR="00C3735B" w:rsidRDefault="00C3735B" w:rsidP="0041421A">
      <w:pPr>
        <w:spacing w:before="60"/>
        <w:ind w:left="567" w:right="567"/>
        <w:jc w:val="both"/>
        <w:rPr>
          <w:rFonts w:ascii="Arial" w:hAnsi="Arial" w:cs="Arial"/>
          <w:sz w:val="20"/>
          <w:szCs w:val="20"/>
        </w:rPr>
      </w:pPr>
      <w:r>
        <w:rPr>
          <w:rFonts w:ascii="Arial" w:hAnsi="Arial" w:cs="Arial"/>
          <w:sz w:val="20"/>
          <w:szCs w:val="20"/>
        </w:rPr>
        <w:t>…</w:t>
      </w:r>
    </w:p>
    <w:p w14:paraId="5D8B0C8A" w14:textId="3975CCAD" w:rsidR="0041421A" w:rsidRDefault="0041421A" w:rsidP="0041421A">
      <w:pPr>
        <w:spacing w:before="60"/>
        <w:ind w:left="567" w:right="567"/>
        <w:jc w:val="both"/>
        <w:rPr>
          <w:rFonts w:ascii="Arial" w:hAnsi="Arial" w:cs="Arial"/>
          <w:sz w:val="20"/>
          <w:szCs w:val="20"/>
        </w:rPr>
      </w:pPr>
      <w:r w:rsidRPr="0041421A">
        <w:rPr>
          <w:rFonts w:ascii="Arial" w:hAnsi="Arial" w:cs="Arial"/>
          <w:sz w:val="20"/>
          <w:szCs w:val="20"/>
        </w:rPr>
        <w:t>[</w:t>
      </w:r>
      <w:r w:rsidR="00C3735B">
        <w:rPr>
          <w:rFonts w:ascii="Arial" w:hAnsi="Arial" w:cs="Arial"/>
          <w:sz w:val="20"/>
          <w:szCs w:val="20"/>
        </w:rPr>
        <w:t>31</w:t>
      </w:r>
      <w:r w:rsidRPr="0041421A">
        <w:rPr>
          <w:rFonts w:ascii="Arial" w:hAnsi="Arial" w:cs="Arial"/>
          <w:sz w:val="20"/>
          <w:szCs w:val="20"/>
        </w:rPr>
        <w:t xml:space="preserve">] Witness 3 explained in her oral evidence that ‘ongoing’ meant ‘it had not been addressed by the father’ and that ‘not addressed’ meant </w:t>
      </w:r>
      <w:r w:rsidR="006C0FB7">
        <w:rPr>
          <w:rFonts w:ascii="Arial" w:hAnsi="Arial" w:cs="Arial"/>
          <w:sz w:val="20"/>
          <w:szCs w:val="20"/>
        </w:rPr>
        <w:t>‘</w:t>
      </w:r>
      <w:r w:rsidRPr="0041421A">
        <w:rPr>
          <w:rFonts w:ascii="Arial" w:hAnsi="Arial" w:cs="Arial"/>
          <w:sz w:val="20"/>
          <w:szCs w:val="20"/>
        </w:rPr>
        <w:t>the father has not done a Mens Behaviour Change Program despite being asked to complete one by the DFFH.</w:t>
      </w:r>
      <w:r w:rsidR="006C0FB7">
        <w:rPr>
          <w:rFonts w:ascii="Arial" w:hAnsi="Arial" w:cs="Arial"/>
          <w:sz w:val="20"/>
          <w:szCs w:val="20"/>
        </w:rPr>
        <w:t>’</w:t>
      </w:r>
      <w:r w:rsidRPr="0041421A">
        <w:rPr>
          <w:rFonts w:ascii="Arial" w:hAnsi="Arial" w:cs="Arial"/>
          <w:sz w:val="20"/>
          <w:szCs w:val="20"/>
        </w:rPr>
        <w:t xml:space="preserve">  [It was not a court ordered condition and the father’s evidence was that he had competed an online anger management course although no evidence of this was produced in this hearing.]</w:t>
      </w:r>
    </w:p>
    <w:p w14:paraId="69575F29" w14:textId="7780D454"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32</w:t>
      </w:r>
      <w:r>
        <w:rPr>
          <w:rFonts w:ascii="Arial" w:hAnsi="Arial" w:cs="Arial"/>
          <w:sz w:val="20"/>
          <w:szCs w:val="20"/>
        </w:rPr>
        <w:t xml:space="preserve">] </w:t>
      </w:r>
      <w:r w:rsidR="00917A69">
        <w:rPr>
          <w:rFonts w:ascii="Arial" w:hAnsi="Arial" w:cs="Arial"/>
          <w:sz w:val="20"/>
          <w:szCs w:val="20"/>
        </w:rPr>
        <w:t>The m</w:t>
      </w:r>
      <w:r w:rsidRPr="00720FCE">
        <w:rPr>
          <w:rFonts w:ascii="Arial" w:hAnsi="Arial" w:cs="Arial"/>
          <w:sz w:val="20"/>
          <w:szCs w:val="20"/>
        </w:rPr>
        <w:t xml:space="preserve">ost recent L17 </w:t>
      </w:r>
      <w:r w:rsidR="00917A69">
        <w:rPr>
          <w:rFonts w:ascii="Arial" w:hAnsi="Arial" w:cs="Arial"/>
          <w:sz w:val="20"/>
          <w:szCs w:val="20"/>
        </w:rPr>
        <w:t xml:space="preserve">dated </w:t>
      </w:r>
      <w:r w:rsidRPr="00720FCE">
        <w:rPr>
          <w:rFonts w:ascii="Arial" w:hAnsi="Arial" w:cs="Arial"/>
          <w:sz w:val="20"/>
          <w:szCs w:val="20"/>
        </w:rPr>
        <w:t xml:space="preserve">22/3/2023 </w:t>
      </w:r>
      <w:r w:rsidR="00917A69">
        <w:rPr>
          <w:rFonts w:ascii="Arial" w:hAnsi="Arial" w:cs="Arial"/>
          <w:sz w:val="20"/>
          <w:szCs w:val="20"/>
        </w:rPr>
        <w:t xml:space="preserve">was </w:t>
      </w:r>
      <w:r w:rsidRPr="00720FCE">
        <w:rPr>
          <w:rFonts w:ascii="Arial" w:hAnsi="Arial" w:cs="Arial"/>
          <w:sz w:val="20"/>
          <w:szCs w:val="20"/>
        </w:rPr>
        <w:t>followed by reports of a verbal argument between the parents while ZX was present during Easter 2023.</w:t>
      </w:r>
    </w:p>
    <w:p w14:paraId="3C71508C" w14:textId="7E072BE0"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33</w:t>
      </w:r>
      <w:r>
        <w:rPr>
          <w:rFonts w:ascii="Arial" w:hAnsi="Arial" w:cs="Arial"/>
          <w:sz w:val="20"/>
          <w:szCs w:val="20"/>
        </w:rPr>
        <w:t xml:space="preserve">] </w:t>
      </w:r>
      <w:r w:rsidRPr="00720FCE">
        <w:rPr>
          <w:rFonts w:ascii="Arial" w:hAnsi="Arial" w:cs="Arial"/>
          <w:sz w:val="20"/>
          <w:szCs w:val="20"/>
        </w:rPr>
        <w:t xml:space="preserve">In her evidence about the Department’s concerns about the family violence, witness 3 gave evidence that she saw family violence through a feminist lens: </w:t>
      </w:r>
      <w:r w:rsidR="006C0FB7">
        <w:rPr>
          <w:rFonts w:ascii="Arial" w:hAnsi="Arial" w:cs="Arial"/>
          <w:sz w:val="20"/>
          <w:szCs w:val="20"/>
        </w:rPr>
        <w:t>‘</w:t>
      </w:r>
      <w:r w:rsidRPr="00720FCE">
        <w:rPr>
          <w:rFonts w:ascii="Arial" w:hAnsi="Arial" w:cs="Arial"/>
          <w:sz w:val="20"/>
          <w:szCs w:val="20"/>
        </w:rPr>
        <w:t>Mr X has a position of power over the mother and therefore the mother’s response can be thought of as family violence because of the coercive control over her</w:t>
      </w:r>
      <w:r w:rsidR="006C0FB7">
        <w:rPr>
          <w:rFonts w:ascii="Arial" w:hAnsi="Arial" w:cs="Arial"/>
          <w:sz w:val="20"/>
          <w:szCs w:val="20"/>
        </w:rPr>
        <w:t>’</w:t>
      </w:r>
      <w:r w:rsidRPr="00720FCE">
        <w:rPr>
          <w:rFonts w:ascii="Arial" w:hAnsi="Arial" w:cs="Arial"/>
          <w:sz w:val="20"/>
          <w:szCs w:val="20"/>
        </w:rPr>
        <w:t xml:space="preserve"> and further </w:t>
      </w:r>
      <w:r w:rsidR="006C0FB7">
        <w:rPr>
          <w:rFonts w:ascii="Arial" w:hAnsi="Arial" w:cs="Arial"/>
          <w:sz w:val="20"/>
          <w:szCs w:val="20"/>
        </w:rPr>
        <w:t>‘</w:t>
      </w:r>
      <w:r w:rsidRPr="00720FCE">
        <w:rPr>
          <w:rFonts w:ascii="Arial" w:hAnsi="Arial" w:cs="Arial"/>
          <w:sz w:val="20"/>
          <w:szCs w:val="20"/>
        </w:rPr>
        <w:t>I consider the mother to be in a vulnerable position due to her stroke and the father used that vulnerability to exert control and coercion over her.</w:t>
      </w:r>
      <w:r w:rsidR="006C0FB7">
        <w:rPr>
          <w:rFonts w:ascii="Arial" w:hAnsi="Arial" w:cs="Arial"/>
          <w:sz w:val="20"/>
          <w:szCs w:val="20"/>
        </w:rPr>
        <w:t>’</w:t>
      </w:r>
      <w:r w:rsidRPr="00720FCE">
        <w:rPr>
          <w:rFonts w:ascii="Arial" w:hAnsi="Arial" w:cs="Arial"/>
          <w:sz w:val="20"/>
          <w:szCs w:val="20"/>
        </w:rPr>
        <w:t xml:space="preserve"> There were no specific examples given of incidents which demonstrate control and coercion other than witness 3 positioning the mother inviting the father to her home as her doing so as a result of the father’s coercive control rather than a decision made of </w:t>
      </w:r>
      <w:r w:rsidR="00917A69">
        <w:rPr>
          <w:rFonts w:ascii="Arial" w:hAnsi="Arial" w:cs="Arial"/>
          <w:sz w:val="20"/>
          <w:szCs w:val="20"/>
        </w:rPr>
        <w:t>the mother’s</w:t>
      </w:r>
      <w:r w:rsidRPr="00720FCE">
        <w:rPr>
          <w:rFonts w:ascii="Arial" w:hAnsi="Arial" w:cs="Arial"/>
          <w:sz w:val="20"/>
          <w:szCs w:val="20"/>
        </w:rPr>
        <w:t xml:space="preserve"> own free will. This is a position disputed by the mother.</w:t>
      </w:r>
    </w:p>
    <w:p w14:paraId="6FFB7FEE" w14:textId="3CED5C5E"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34</w:t>
      </w:r>
      <w:r>
        <w:rPr>
          <w:rFonts w:ascii="Arial" w:hAnsi="Arial" w:cs="Arial"/>
          <w:sz w:val="20"/>
          <w:szCs w:val="20"/>
        </w:rPr>
        <w:t xml:space="preserve">] </w:t>
      </w:r>
      <w:r w:rsidRPr="00720FCE">
        <w:rPr>
          <w:rFonts w:ascii="Arial" w:hAnsi="Arial" w:cs="Arial"/>
          <w:sz w:val="20"/>
          <w:szCs w:val="20"/>
        </w:rPr>
        <w:t>I find witness 3’s view of family violence through a feminist lens – in the absence of direct application to ascertainable incidents observed by witness 3 and/ or corroborated by credible, independent observation – to be an opinion as to the likely occurrence of family violence if certain criteria or circumstances are present.</w:t>
      </w:r>
    </w:p>
    <w:p w14:paraId="3AB23970" w14:textId="74FCB9A2"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35</w:t>
      </w:r>
      <w:r>
        <w:rPr>
          <w:rFonts w:ascii="Arial" w:hAnsi="Arial" w:cs="Arial"/>
          <w:sz w:val="20"/>
          <w:szCs w:val="20"/>
        </w:rPr>
        <w:t xml:space="preserve">] </w:t>
      </w:r>
      <w:r w:rsidRPr="00720FCE">
        <w:rPr>
          <w:rFonts w:ascii="Arial" w:hAnsi="Arial" w:cs="Arial"/>
          <w:sz w:val="20"/>
          <w:szCs w:val="20"/>
        </w:rPr>
        <w:t xml:space="preserve">In other words, it is the type of evidence the court would expect of an expert witness called to provide evidence </w:t>
      </w:r>
      <w:r w:rsidR="006C0FB7">
        <w:rPr>
          <w:rFonts w:ascii="Arial" w:hAnsi="Arial" w:cs="Arial"/>
          <w:sz w:val="20"/>
          <w:szCs w:val="20"/>
        </w:rPr>
        <w:t>‘</w:t>
      </w:r>
      <w:r w:rsidRPr="00720FCE">
        <w:rPr>
          <w:rFonts w:ascii="Arial" w:hAnsi="Arial" w:cs="Arial"/>
          <w:sz w:val="20"/>
          <w:szCs w:val="20"/>
        </w:rPr>
        <w:t>about the dynamics and characterisation of family violence</w:t>
      </w:r>
      <w:r w:rsidR="006C0FB7">
        <w:rPr>
          <w:rFonts w:ascii="Arial" w:hAnsi="Arial" w:cs="Arial"/>
          <w:sz w:val="20"/>
          <w:szCs w:val="20"/>
        </w:rPr>
        <w:t>’</w:t>
      </w:r>
      <w:r w:rsidRPr="00720FCE">
        <w:rPr>
          <w:rFonts w:ascii="Arial" w:hAnsi="Arial" w:cs="Arial"/>
          <w:sz w:val="20"/>
          <w:szCs w:val="20"/>
        </w:rPr>
        <w:t xml:space="preserve">, as </w:t>
      </w:r>
      <w:r w:rsidRPr="00720FCE">
        <w:rPr>
          <w:rFonts w:ascii="Arial" w:hAnsi="Arial" w:cs="Arial"/>
          <w:sz w:val="20"/>
          <w:szCs w:val="20"/>
        </w:rPr>
        <w:lastRenderedPageBreak/>
        <w:t xml:space="preserve">is expressly provided for under the </w:t>
      </w:r>
      <w:r w:rsidRPr="00720FCE">
        <w:rPr>
          <w:rFonts w:ascii="Arial" w:hAnsi="Arial" w:cs="Arial"/>
          <w:i/>
          <w:iCs/>
          <w:sz w:val="20"/>
          <w:szCs w:val="20"/>
        </w:rPr>
        <w:t>Family Violence Protection Act 2008</w:t>
      </w:r>
      <w:r w:rsidRPr="00720FCE">
        <w:rPr>
          <w:rFonts w:ascii="Arial" w:hAnsi="Arial" w:cs="Arial"/>
          <w:sz w:val="20"/>
          <w:szCs w:val="20"/>
        </w:rPr>
        <w:t xml:space="preserve"> in relation to proceedings under that Act.</w:t>
      </w:r>
    </w:p>
    <w:p w14:paraId="30D1990D" w14:textId="106F127E"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36</w:t>
      </w:r>
      <w:r>
        <w:rPr>
          <w:rFonts w:ascii="Arial" w:hAnsi="Arial" w:cs="Arial"/>
          <w:sz w:val="20"/>
          <w:szCs w:val="20"/>
        </w:rPr>
        <w:t xml:space="preserve">] Section </w:t>
      </w:r>
      <w:r w:rsidRPr="00720FCE">
        <w:rPr>
          <w:rFonts w:ascii="Arial" w:hAnsi="Arial" w:cs="Arial"/>
          <w:sz w:val="20"/>
          <w:szCs w:val="20"/>
        </w:rPr>
        <w:t>7</w:t>
      </w:r>
      <w:r w:rsidR="00917A69">
        <w:rPr>
          <w:rFonts w:ascii="Arial" w:hAnsi="Arial" w:cs="Arial"/>
          <w:sz w:val="20"/>
          <w:szCs w:val="20"/>
        </w:rPr>
        <w:t>3</w:t>
      </w:r>
      <w:r w:rsidRPr="00720FCE">
        <w:rPr>
          <w:rFonts w:ascii="Arial" w:hAnsi="Arial" w:cs="Arial"/>
          <w:sz w:val="20"/>
          <w:szCs w:val="20"/>
        </w:rPr>
        <w:t xml:space="preserve"> of the FVP Act provides </w:t>
      </w:r>
      <w:r w:rsidR="00917A69">
        <w:rPr>
          <w:rFonts w:ascii="Arial" w:hAnsi="Arial" w:cs="Arial"/>
          <w:sz w:val="20"/>
          <w:szCs w:val="20"/>
        </w:rPr>
        <w:t xml:space="preserve">that </w:t>
      </w:r>
      <w:r>
        <w:rPr>
          <w:rFonts w:ascii="Arial" w:hAnsi="Arial" w:cs="Arial"/>
          <w:sz w:val="20"/>
          <w:szCs w:val="20"/>
        </w:rPr>
        <w:t>‘</w:t>
      </w:r>
      <w:r w:rsidRPr="00720FCE">
        <w:rPr>
          <w:rFonts w:ascii="Arial" w:hAnsi="Arial" w:cs="Arial"/>
          <w:sz w:val="20"/>
          <w:szCs w:val="20"/>
        </w:rPr>
        <w:t>an expert witness may include evidence of “the general nature and dynamics of relationships affected by family violence…social , cultural or economic factors that impact on persons who are or have been in a relationship affected by family violence…” and importantly “expert witness means a witness with relevant qualification, training or expertise in family violence.</w:t>
      </w:r>
      <w:r w:rsidR="00917A69">
        <w:rPr>
          <w:rFonts w:ascii="Arial" w:hAnsi="Arial" w:cs="Arial"/>
          <w:sz w:val="20"/>
          <w:szCs w:val="20"/>
        </w:rPr>
        <w:t>’</w:t>
      </w:r>
    </w:p>
    <w:p w14:paraId="21FC0DE0" w14:textId="4DD73954" w:rsidR="0041421A" w:rsidRP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37</w:t>
      </w:r>
      <w:r>
        <w:rPr>
          <w:rFonts w:ascii="Arial" w:hAnsi="Arial" w:cs="Arial"/>
          <w:sz w:val="20"/>
          <w:szCs w:val="20"/>
        </w:rPr>
        <w:t xml:space="preserve">] </w:t>
      </w:r>
      <w:r w:rsidRPr="00720FCE">
        <w:rPr>
          <w:rFonts w:ascii="Arial" w:hAnsi="Arial" w:cs="Arial"/>
          <w:sz w:val="20"/>
          <w:szCs w:val="20"/>
        </w:rPr>
        <w:t xml:space="preserve">Counsel for the DFFH did not present witness 3’s evidence in this context nor did counsel make reference to or attempt to satisfy the recognised foundation enabling a Court to </w:t>
      </w:r>
      <w:r w:rsidRPr="0041421A">
        <w:rPr>
          <w:rFonts w:ascii="Arial" w:hAnsi="Arial" w:cs="Arial"/>
          <w:sz w:val="20"/>
          <w:szCs w:val="20"/>
        </w:rPr>
        <w:t>consider expert evidence. In this regard, I refer to</w:t>
      </w:r>
      <w:r w:rsidRPr="0041421A">
        <w:rPr>
          <w:rFonts w:ascii="Arial" w:hAnsi="Arial" w:cs="Arial"/>
          <w:bCs/>
          <w:sz w:val="20"/>
          <w:szCs w:val="20"/>
        </w:rPr>
        <w:t xml:space="preserve"> </w:t>
      </w:r>
      <w:r w:rsidRPr="0041421A">
        <w:rPr>
          <w:rFonts w:ascii="Arial" w:hAnsi="Arial" w:cs="Arial"/>
          <w:i/>
          <w:sz w:val="20"/>
          <w:szCs w:val="20"/>
        </w:rPr>
        <w:t>Baulch v Lyndoch Warrnambool &amp; Anor (Ruling No. 3)</w:t>
      </w:r>
      <w:r w:rsidRPr="0041421A">
        <w:rPr>
          <w:rFonts w:ascii="Arial" w:hAnsi="Arial" w:cs="Arial"/>
          <w:sz w:val="20"/>
          <w:szCs w:val="20"/>
        </w:rPr>
        <w:t xml:space="preserve"> [2008] VSC 420 at [10]-[14] where Forrest J summarized the relevant principles as follows, in part referring to and relying upon </w:t>
      </w:r>
      <w:r w:rsidRPr="0041421A">
        <w:rPr>
          <w:rFonts w:ascii="Arial" w:hAnsi="Arial" w:cs="Arial"/>
          <w:bCs/>
          <w:i/>
          <w:sz w:val="20"/>
          <w:szCs w:val="20"/>
        </w:rPr>
        <w:t>Makita Australia Pty Ltd v Sprowles</w:t>
      </w:r>
      <w:r w:rsidRPr="0041421A">
        <w:rPr>
          <w:rFonts w:ascii="Arial" w:hAnsi="Arial" w:cs="Arial"/>
          <w:bCs/>
          <w:sz w:val="20"/>
          <w:szCs w:val="20"/>
        </w:rPr>
        <w:t xml:space="preserve"> (2001) 52 NSWLR 705 at [85] per Heydon JA</w:t>
      </w:r>
      <w:r w:rsidRPr="0041421A">
        <w:rPr>
          <w:rFonts w:ascii="Arial" w:hAnsi="Arial" w:cs="Arial"/>
          <w:sz w:val="20"/>
          <w:szCs w:val="20"/>
        </w:rPr>
        <w:t>:</w:t>
      </w:r>
    </w:p>
    <w:p w14:paraId="5DA8ACB3"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(a)</w:t>
      </w:r>
      <w:r w:rsidRPr="0041421A">
        <w:rPr>
          <w:rFonts w:ascii="Arial" w:hAnsi="Arial" w:cs="Arial"/>
          <w:bCs/>
          <w:sz w:val="18"/>
          <w:szCs w:val="18"/>
        </w:rPr>
        <w:tab/>
        <w:t>a party wishing to call an expert witness must clearly identify the field of specialized knowledge in respect of which it is said the witness can proffer an opinion;</w:t>
      </w:r>
    </w:p>
    <w:p w14:paraId="2AF63CE0"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(b)</w:t>
      </w:r>
      <w:r w:rsidRPr="0041421A">
        <w:rPr>
          <w:rFonts w:ascii="Arial" w:hAnsi="Arial" w:cs="Arial"/>
          <w:bCs/>
          <w:sz w:val="18"/>
          <w:szCs w:val="18"/>
        </w:rPr>
        <w:tab/>
        <w:t xml:space="preserve">a party must then identify the expertise of the witness in that field; it must be </w:t>
      </w:r>
      <w:proofErr w:type="gramStart"/>
      <w:r w:rsidRPr="0041421A">
        <w:rPr>
          <w:rFonts w:ascii="Arial" w:hAnsi="Arial" w:cs="Arial"/>
          <w:bCs/>
          <w:sz w:val="18"/>
          <w:szCs w:val="18"/>
        </w:rPr>
        <w:t>demonstrates</w:t>
      </w:r>
      <w:proofErr w:type="gramEnd"/>
      <w:r w:rsidRPr="0041421A">
        <w:rPr>
          <w:rFonts w:ascii="Arial" w:hAnsi="Arial" w:cs="Arial"/>
          <w:bCs/>
          <w:sz w:val="18"/>
          <w:szCs w:val="18"/>
        </w:rPr>
        <w:t xml:space="preserve"> that by reason of specialized training, study or experience the witness is truly an expert in that area;</w:t>
      </w:r>
    </w:p>
    <w:p w14:paraId="438A1BCA"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(c)</w:t>
      </w:r>
      <w:r w:rsidRPr="0041421A">
        <w:rPr>
          <w:rFonts w:ascii="Arial" w:hAnsi="Arial" w:cs="Arial"/>
          <w:bCs/>
          <w:sz w:val="18"/>
          <w:szCs w:val="18"/>
        </w:rPr>
        <w:tab/>
        <w:t>the opinion expressed by the witness must be either wholly or substantially based on that specialist knowledge and not on the everyday knowledge of the common person;</w:t>
      </w:r>
    </w:p>
    <w:p w14:paraId="2458F9FD"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(d)</w:t>
      </w:r>
      <w:r w:rsidRPr="0041421A">
        <w:rPr>
          <w:rFonts w:ascii="Arial" w:hAnsi="Arial" w:cs="Arial"/>
          <w:bCs/>
          <w:sz w:val="18"/>
          <w:szCs w:val="18"/>
        </w:rPr>
        <w:tab/>
        <w:t>the opinion must be based on clearly identified facts; and</w:t>
      </w:r>
    </w:p>
    <w:p w14:paraId="047B1E14" w14:textId="51877650"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(e)</w:t>
      </w:r>
      <w:r w:rsidRPr="0041421A">
        <w:rPr>
          <w:rFonts w:ascii="Arial" w:hAnsi="Arial" w:cs="Arial"/>
          <w:bCs/>
          <w:sz w:val="18"/>
          <w:szCs w:val="18"/>
        </w:rPr>
        <w:tab/>
        <w:t>the onus rests on the party calling the witness to satisf</w:t>
      </w:r>
      <w:r w:rsidR="00917A69">
        <w:rPr>
          <w:rFonts w:ascii="Arial" w:hAnsi="Arial" w:cs="Arial"/>
          <w:bCs/>
          <w:sz w:val="18"/>
          <w:szCs w:val="18"/>
        </w:rPr>
        <w:t>y</w:t>
      </w:r>
      <w:r w:rsidRPr="0041421A">
        <w:rPr>
          <w:rFonts w:ascii="Arial" w:hAnsi="Arial" w:cs="Arial"/>
          <w:bCs/>
          <w:sz w:val="18"/>
          <w:szCs w:val="18"/>
        </w:rPr>
        <w:t xml:space="preserve"> the above criteria.</w:t>
      </w:r>
    </w:p>
    <w:p w14:paraId="0BEB6B4E" w14:textId="18B5A073" w:rsidR="0041421A" w:rsidRP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38</w:t>
      </w:r>
      <w:r>
        <w:rPr>
          <w:rFonts w:ascii="Arial" w:hAnsi="Arial" w:cs="Arial"/>
          <w:sz w:val="20"/>
          <w:szCs w:val="20"/>
        </w:rPr>
        <w:t xml:space="preserve">] </w:t>
      </w:r>
      <w:r w:rsidR="00337356" w:rsidRPr="00720FCE">
        <w:rPr>
          <w:rFonts w:ascii="Arial" w:hAnsi="Arial" w:cs="Arial"/>
          <w:sz w:val="20"/>
          <w:szCs w:val="20"/>
        </w:rPr>
        <w:t xml:space="preserve">Of course, in the Family Division the Court </w:t>
      </w:r>
      <w:r w:rsidR="00917A69">
        <w:rPr>
          <w:rFonts w:ascii="Arial" w:hAnsi="Arial" w:cs="Arial"/>
          <w:sz w:val="20"/>
          <w:szCs w:val="20"/>
        </w:rPr>
        <w:t>‘</w:t>
      </w:r>
      <w:r w:rsidR="00337356" w:rsidRPr="00720FCE">
        <w:rPr>
          <w:rFonts w:ascii="Arial" w:hAnsi="Arial" w:cs="Arial"/>
          <w:sz w:val="20"/>
          <w:szCs w:val="20"/>
        </w:rPr>
        <w:t>may inform itself on a matter in such manner as it thinks fit, despite any rules of evidence to the contrary</w:t>
      </w:r>
      <w:r w:rsidR="00917A69">
        <w:rPr>
          <w:rFonts w:ascii="Arial" w:hAnsi="Arial" w:cs="Arial"/>
          <w:sz w:val="20"/>
          <w:szCs w:val="20"/>
        </w:rPr>
        <w:t>’</w:t>
      </w:r>
      <w:r w:rsidR="00337356" w:rsidRPr="00720FCE">
        <w:rPr>
          <w:rFonts w:ascii="Arial" w:hAnsi="Arial" w:cs="Arial"/>
          <w:sz w:val="20"/>
          <w:szCs w:val="20"/>
        </w:rPr>
        <w:t>:</w:t>
      </w:r>
      <w:r w:rsidR="00337356">
        <w:rPr>
          <w:rFonts w:ascii="Arial" w:hAnsi="Arial" w:cs="Arial"/>
          <w:sz w:val="20"/>
          <w:szCs w:val="20"/>
        </w:rPr>
        <w:t xml:space="preserve"> s.215(1)(d) of the </w:t>
      </w:r>
      <w:proofErr w:type="gramStart"/>
      <w:r w:rsidR="00337356">
        <w:rPr>
          <w:rFonts w:ascii="Arial" w:hAnsi="Arial" w:cs="Arial"/>
          <w:sz w:val="20"/>
          <w:szCs w:val="20"/>
        </w:rPr>
        <w:t>CYFA</w:t>
      </w:r>
      <w:r w:rsidR="00337356" w:rsidRPr="00720FCE">
        <w:rPr>
          <w:rFonts w:ascii="Arial" w:hAnsi="Arial" w:cs="Arial"/>
          <w:sz w:val="20"/>
          <w:szCs w:val="20"/>
        </w:rPr>
        <w:t xml:space="preserve"> .</w:t>
      </w:r>
      <w:proofErr w:type="gramEnd"/>
      <w:r w:rsidR="00337356" w:rsidRPr="00720FCE">
        <w:rPr>
          <w:rFonts w:ascii="Arial" w:hAnsi="Arial" w:cs="Arial"/>
          <w:bCs/>
          <w:sz w:val="20"/>
          <w:szCs w:val="20"/>
        </w:rPr>
        <w:t xml:space="preserve"> However, in </w:t>
      </w:r>
      <w:r w:rsidR="006C0FB7" w:rsidRPr="00917A69">
        <w:rPr>
          <w:rFonts w:ascii="Arial" w:hAnsi="Arial" w:cs="Arial"/>
          <w:bCs/>
          <w:i/>
          <w:iCs/>
          <w:sz w:val="20"/>
          <w:szCs w:val="20"/>
        </w:rPr>
        <w:t>A &amp; B v Director of Family Services</w:t>
      </w:r>
      <w:r w:rsidR="006C0FB7">
        <w:rPr>
          <w:rFonts w:ascii="Arial" w:hAnsi="Arial" w:cs="Arial"/>
          <w:bCs/>
          <w:sz w:val="20"/>
          <w:szCs w:val="20"/>
        </w:rPr>
        <w:t xml:space="preserve"> (1996) 20 Fam LR 549 at 553-4 </w:t>
      </w:r>
      <w:r w:rsidR="00917A69" w:rsidRPr="00720FCE">
        <w:rPr>
          <w:rFonts w:ascii="Arial" w:hAnsi="Arial" w:cs="Arial"/>
          <w:bCs/>
          <w:sz w:val="20"/>
          <w:szCs w:val="20"/>
        </w:rPr>
        <w:t>Higgins J</w:t>
      </w:r>
      <w:r w:rsidR="00917A69">
        <w:rPr>
          <w:rFonts w:ascii="Arial" w:hAnsi="Arial" w:cs="Arial"/>
          <w:bCs/>
          <w:sz w:val="20"/>
          <w:szCs w:val="20"/>
        </w:rPr>
        <w:t xml:space="preserve"> </w:t>
      </w:r>
      <w:r w:rsidR="006C0FB7">
        <w:rPr>
          <w:rFonts w:ascii="Arial" w:hAnsi="Arial" w:cs="Arial"/>
          <w:bCs/>
          <w:sz w:val="20"/>
          <w:szCs w:val="20"/>
        </w:rPr>
        <w:t xml:space="preserve">in </w:t>
      </w:r>
      <w:r w:rsidR="00337356" w:rsidRPr="00720FCE">
        <w:rPr>
          <w:rFonts w:ascii="Arial" w:hAnsi="Arial" w:cs="Arial"/>
          <w:bCs/>
          <w:sz w:val="20"/>
          <w:szCs w:val="20"/>
        </w:rPr>
        <w:t>the Supreme Court of the A.C.T. explained the proper operation of such a provision as follows</w:t>
      </w:r>
      <w:r w:rsidR="00337356">
        <w:rPr>
          <w:rFonts w:ascii="Arial" w:hAnsi="Arial" w:cs="Arial"/>
          <w:bCs/>
          <w:sz w:val="20"/>
        </w:rPr>
        <w:t>:</w:t>
      </w:r>
    </w:p>
    <w:p w14:paraId="623BFA43" w14:textId="6D285C69" w:rsidR="00337356" w:rsidRPr="0041421A" w:rsidRDefault="006C0FB7" w:rsidP="00337356">
      <w:pPr>
        <w:spacing w:before="60"/>
        <w:ind w:left="1021" w:right="1021"/>
        <w:jc w:val="both"/>
        <w:rPr>
          <w:rFonts w:ascii="Arial" w:hAnsi="Arial" w:cs="Arial"/>
          <w:bCs/>
          <w:sz w:val="18"/>
          <w:szCs w:val="18"/>
        </w:rPr>
      </w:pPr>
      <w:r>
        <w:rPr>
          <w:rFonts w:ascii="Arial" w:hAnsi="Arial" w:cs="Arial"/>
          <w:bCs/>
          <w:sz w:val="18"/>
          <w:szCs w:val="18"/>
        </w:rPr>
        <w:t>‘</w:t>
      </w:r>
      <w:r w:rsidR="00337356" w:rsidRPr="00337356">
        <w:rPr>
          <w:rFonts w:ascii="Arial" w:hAnsi="Arial" w:cs="Arial"/>
          <w:bCs/>
          <w:sz w:val="18"/>
          <w:szCs w:val="18"/>
        </w:rPr>
        <w:t>[I]t should be recognised that such provisions do not render the rules of evidence irrelevant…</w:t>
      </w:r>
    </w:p>
    <w:p w14:paraId="552B6F1B" w14:textId="096DBA0F" w:rsidR="00C3735B" w:rsidRPr="0041421A" w:rsidRDefault="00720FCE" w:rsidP="00C3735B">
      <w:pPr>
        <w:spacing w:before="60"/>
        <w:ind w:left="1021" w:right="1021"/>
        <w:jc w:val="both"/>
        <w:rPr>
          <w:rFonts w:ascii="Arial" w:hAnsi="Arial" w:cs="Arial"/>
          <w:bCs/>
          <w:sz w:val="18"/>
          <w:szCs w:val="18"/>
        </w:rPr>
      </w:pPr>
      <w:r w:rsidRPr="00337356">
        <w:rPr>
          <w:rFonts w:ascii="Arial" w:hAnsi="Arial" w:cs="Arial"/>
          <w:bCs/>
          <w:sz w:val="18"/>
          <w:szCs w:val="18"/>
        </w:rPr>
        <w:t xml:space="preserve">The proper approach to the application of the rules of evidence in the face of such a provision was considered by Lockhart J in </w:t>
      </w:r>
      <w:r w:rsidRPr="00337356">
        <w:rPr>
          <w:rFonts w:ascii="Arial" w:hAnsi="Arial" w:cs="Arial"/>
          <w:bCs/>
          <w:i/>
          <w:iCs/>
          <w:sz w:val="18"/>
          <w:szCs w:val="18"/>
        </w:rPr>
        <w:t xml:space="preserve">Pearce v Button </w:t>
      </w:r>
      <w:r w:rsidRPr="00337356">
        <w:rPr>
          <w:rFonts w:ascii="Arial" w:hAnsi="Arial" w:cs="Arial"/>
          <w:sz w:val="18"/>
          <w:szCs w:val="18"/>
        </w:rPr>
        <w:t>(1985) 65 ALR 83 at 97; 8</w:t>
      </w:r>
      <w:r w:rsidR="008345B0">
        <w:rPr>
          <w:rFonts w:ascii="Arial" w:hAnsi="Arial" w:cs="Arial"/>
          <w:sz w:val="18"/>
          <w:szCs w:val="18"/>
        </w:rPr>
        <w:t> </w:t>
      </w:r>
      <w:r w:rsidRPr="00337356">
        <w:rPr>
          <w:rFonts w:ascii="Arial" w:hAnsi="Arial" w:cs="Arial"/>
          <w:sz w:val="18"/>
          <w:szCs w:val="18"/>
        </w:rPr>
        <w:t>FCR 408 at 422. “</w:t>
      </w:r>
      <w:r w:rsidRPr="00337356">
        <w:rPr>
          <w:rFonts w:ascii="Arial" w:hAnsi="Arial" w:cs="Arial"/>
          <w:bCs/>
          <w:sz w:val="18"/>
          <w:szCs w:val="18"/>
        </w:rPr>
        <w:t>…a judge should be slow to invoke it [a power to dispense with compliance with rules of evidence] where there is a real dispute about matters which go to the heart of the case.</w:t>
      </w:r>
      <w:r w:rsidR="008345B0">
        <w:rPr>
          <w:rFonts w:ascii="Arial" w:hAnsi="Arial" w:cs="Arial"/>
          <w:bCs/>
          <w:sz w:val="18"/>
          <w:szCs w:val="18"/>
        </w:rPr>
        <w:t>”’</w:t>
      </w:r>
    </w:p>
    <w:p w14:paraId="5E2668CA" w14:textId="7D47855F" w:rsidR="00720FCE" w:rsidRPr="00337356" w:rsidRDefault="008345B0" w:rsidP="008345B0">
      <w:pPr>
        <w:spacing w:before="60"/>
        <w:ind w:left="567" w:right="567"/>
        <w:jc w:val="both"/>
        <w:rPr>
          <w:rFonts w:ascii="Arial" w:hAnsi="Arial" w:cs="Arial"/>
          <w:bCs/>
          <w:sz w:val="18"/>
          <w:szCs w:val="18"/>
        </w:rPr>
      </w:pPr>
      <w:r>
        <w:rPr>
          <w:rFonts w:ascii="Arial" w:hAnsi="Arial" w:cs="Arial"/>
          <w:bCs/>
          <w:sz w:val="18"/>
          <w:szCs w:val="18"/>
        </w:rPr>
        <w:t xml:space="preserve">[39] </w:t>
      </w:r>
      <w:r w:rsidRPr="008345B0">
        <w:rPr>
          <w:rFonts w:ascii="Arial" w:hAnsi="Arial" w:cs="Arial"/>
          <w:bCs/>
          <w:sz w:val="20"/>
          <w:szCs w:val="20"/>
        </w:rPr>
        <w:t xml:space="preserve">This approach was confirmed by Bell J in </w:t>
      </w:r>
      <w:r w:rsidRPr="008345B0">
        <w:rPr>
          <w:rFonts w:ascii="Arial" w:hAnsi="Arial" w:cs="Arial"/>
          <w:bCs/>
          <w:i/>
          <w:sz w:val="20"/>
          <w:szCs w:val="20"/>
        </w:rPr>
        <w:t>DOHS v Sanding</w:t>
      </w:r>
      <w:r w:rsidRPr="008345B0">
        <w:rPr>
          <w:rFonts w:ascii="Arial" w:hAnsi="Arial" w:cs="Arial"/>
          <w:bCs/>
          <w:sz w:val="20"/>
          <w:szCs w:val="20"/>
        </w:rPr>
        <w:t xml:space="preserve"> [2011] VSC 42; (2011) 36 VR 221 where His Honour said at [64]: ‘</w:t>
      </w:r>
      <w:r w:rsidRPr="008345B0">
        <w:rPr>
          <w:rFonts w:ascii="Arial" w:hAnsi="Arial" w:cs="Arial"/>
          <w:sz w:val="20"/>
          <w:szCs w:val="20"/>
          <w:bdr w:val="none" w:sz="0" w:space="0" w:color="auto" w:frame="1"/>
        </w:rPr>
        <w:t>Certainly the rules of evidence may be valuable and should not be lightly discarded, particularly where there is a serious dispute over a matter which may be of importance to the outcome of the proceeding.’</w:t>
      </w:r>
    </w:p>
    <w:p w14:paraId="028EFE61" w14:textId="4748BDBF" w:rsidR="00720FCE" w:rsidRDefault="008345B0" w:rsidP="008345B0">
      <w:pPr>
        <w:spacing w:before="60"/>
        <w:ind w:left="567" w:right="567"/>
        <w:jc w:val="both"/>
        <w:rPr>
          <w:rFonts w:ascii="Arial" w:hAnsi="Arial" w:cs="Arial"/>
          <w:sz w:val="20"/>
        </w:rPr>
      </w:pPr>
      <w:r>
        <w:rPr>
          <w:rFonts w:ascii="Arial" w:hAnsi="Arial" w:cs="Arial"/>
          <w:bCs/>
          <w:sz w:val="20"/>
          <w:szCs w:val="20"/>
        </w:rPr>
        <w:t xml:space="preserve">[40] </w:t>
      </w:r>
      <w:r w:rsidRPr="00720FCE">
        <w:rPr>
          <w:rFonts w:ascii="Arial" w:hAnsi="Arial" w:cs="Arial"/>
          <w:sz w:val="20"/>
        </w:rPr>
        <w:t xml:space="preserve">The DFFH position on the father’s family violence towards the mother in the presence of the child is one of the </w:t>
      </w:r>
      <w:r>
        <w:rPr>
          <w:rFonts w:ascii="Arial" w:hAnsi="Arial" w:cs="Arial"/>
          <w:sz w:val="20"/>
        </w:rPr>
        <w:t>two</w:t>
      </w:r>
      <w:r w:rsidRPr="00720FCE">
        <w:rPr>
          <w:rFonts w:ascii="Arial" w:hAnsi="Arial" w:cs="Arial"/>
          <w:sz w:val="20"/>
        </w:rPr>
        <w:t xml:space="preserve"> central protective issues which are in dispute and which, on the DFFH case, has prevented and should continue to prevent the father spending time with the mother and child as a family, even to the extent that he ought not be permitted to facilitate contact between the child and the mother by providing transport, let alone providing co-parenting support in the mother’s home while ZX is in her care.</w:t>
      </w:r>
    </w:p>
    <w:p w14:paraId="4EA269AD" w14:textId="048A81D8" w:rsidR="008345B0" w:rsidRPr="00720FCE" w:rsidRDefault="008345B0" w:rsidP="00F73ED3">
      <w:pPr>
        <w:spacing w:before="60"/>
        <w:ind w:left="567" w:right="567"/>
        <w:jc w:val="both"/>
        <w:rPr>
          <w:rFonts w:ascii="Arial" w:hAnsi="Arial" w:cs="Arial"/>
          <w:bCs/>
          <w:sz w:val="20"/>
          <w:szCs w:val="20"/>
        </w:rPr>
      </w:pPr>
      <w:r>
        <w:rPr>
          <w:rFonts w:ascii="Arial" w:hAnsi="Arial" w:cs="Arial"/>
          <w:bCs/>
          <w:sz w:val="20"/>
          <w:szCs w:val="20"/>
        </w:rPr>
        <w:t xml:space="preserve">[41] </w:t>
      </w:r>
      <w:r w:rsidRPr="00720FCE">
        <w:rPr>
          <w:rFonts w:ascii="Arial" w:hAnsi="Arial" w:cs="Arial"/>
          <w:sz w:val="20"/>
        </w:rPr>
        <w:t xml:space="preserve">I find it is a real dispute which goes to the heart of the case and is of importance to the outcome of the proceedings and accordingly, I disregard witness 3’s evidence where it diverges into what I consider to be opinion evidence </w:t>
      </w:r>
      <w:r w:rsidRPr="00F73ED3">
        <w:rPr>
          <w:rFonts w:ascii="Arial" w:hAnsi="Arial" w:cs="Arial"/>
          <w:sz w:val="20"/>
        </w:rPr>
        <w:t>excluded by</w:t>
      </w:r>
      <w:r w:rsidRPr="00720FCE">
        <w:rPr>
          <w:rFonts w:ascii="Arial" w:hAnsi="Arial" w:cs="Arial"/>
          <w:sz w:val="20"/>
        </w:rPr>
        <w:t xml:space="preserve"> s.76 of the </w:t>
      </w:r>
      <w:r w:rsidRPr="00720FCE">
        <w:rPr>
          <w:rFonts w:ascii="Arial" w:hAnsi="Arial" w:cs="Arial"/>
          <w:i/>
          <w:iCs/>
          <w:sz w:val="20"/>
        </w:rPr>
        <w:t>Evidence Act 2008</w:t>
      </w:r>
      <w:r>
        <w:rPr>
          <w:rFonts w:ascii="Arial" w:hAnsi="Arial" w:cs="Arial"/>
          <w:sz w:val="20"/>
        </w:rPr>
        <w:t>:</w:t>
      </w:r>
    </w:p>
    <w:p w14:paraId="092E983F" w14:textId="796591A5" w:rsidR="00F73ED3" w:rsidRPr="00F73ED3" w:rsidRDefault="00F73ED3" w:rsidP="00F73ED3">
      <w:pPr>
        <w:pStyle w:val="ListParagraph"/>
        <w:spacing w:before="60"/>
        <w:ind w:left="1021" w:right="1021"/>
        <w:jc w:val="both"/>
        <w:rPr>
          <w:rFonts w:ascii="Arial" w:hAnsi="Arial" w:cs="Arial"/>
          <w:bCs/>
          <w:sz w:val="18"/>
          <w:szCs w:val="18"/>
        </w:rPr>
      </w:pPr>
      <w:r>
        <w:rPr>
          <w:rFonts w:ascii="Arial" w:hAnsi="Arial" w:cs="Arial"/>
          <w:bCs/>
          <w:sz w:val="18"/>
          <w:szCs w:val="18"/>
        </w:rPr>
        <w:t>‘</w:t>
      </w:r>
      <w:r w:rsidRPr="00F73ED3">
        <w:rPr>
          <w:rFonts w:ascii="Arial" w:hAnsi="Arial" w:cs="Arial"/>
          <w:sz w:val="18"/>
          <w:szCs w:val="18"/>
        </w:rPr>
        <w:t>The opinion rule</w:t>
      </w:r>
      <w:r w:rsidR="00DD0DA0" w:rsidRPr="00A31FFA">
        <w:rPr>
          <w:rFonts w:ascii="Arial" w:hAnsi="Arial" w:cs="Arial"/>
          <w:sz w:val="20"/>
        </w:rPr>
        <w:t>–</w:t>
      </w:r>
      <w:r w:rsidRPr="00F73ED3">
        <w:rPr>
          <w:rFonts w:ascii="Arial" w:hAnsi="Arial" w:cs="Arial"/>
          <w:sz w:val="18"/>
          <w:szCs w:val="18"/>
        </w:rPr>
        <w:t xml:space="preserve"> Evidence of an opinion is not admissible to prove the existence of a fact about the existence of which the opinion was expressed.</w:t>
      </w:r>
      <w:r>
        <w:rPr>
          <w:rFonts w:ascii="Arial" w:hAnsi="Arial" w:cs="Arial"/>
          <w:sz w:val="18"/>
          <w:szCs w:val="18"/>
        </w:rPr>
        <w:t>’</w:t>
      </w:r>
    </w:p>
    <w:p w14:paraId="75EBFF2C" w14:textId="77777777" w:rsidR="006F15A6" w:rsidRPr="006F15A6" w:rsidRDefault="006F15A6" w:rsidP="006F15A6">
      <w:pPr>
        <w:pStyle w:val="ListParagraph"/>
        <w:spacing w:before="60"/>
        <w:ind w:left="567" w:right="567"/>
        <w:contextualSpacing/>
        <w:jc w:val="both"/>
        <w:rPr>
          <w:rFonts w:ascii="Arial" w:hAnsi="Arial" w:cs="Arial"/>
          <w:bCs/>
          <w:sz w:val="6"/>
          <w:szCs w:val="6"/>
        </w:rPr>
      </w:pPr>
    </w:p>
    <w:p w14:paraId="42C17F6B" w14:textId="502D5393" w:rsidR="00720FCE" w:rsidRDefault="008345B0" w:rsidP="006F15A6">
      <w:pPr>
        <w:pStyle w:val="ListParagraph"/>
        <w:spacing w:before="60"/>
        <w:ind w:left="567" w:right="567"/>
        <w:contextualSpacing/>
        <w:jc w:val="both"/>
        <w:rPr>
          <w:rFonts w:ascii="Arial" w:hAnsi="Arial" w:cs="Arial"/>
          <w:sz w:val="20"/>
        </w:rPr>
      </w:pPr>
      <w:r>
        <w:rPr>
          <w:rFonts w:ascii="Arial" w:hAnsi="Arial" w:cs="Arial"/>
          <w:bCs/>
          <w:sz w:val="20"/>
        </w:rPr>
        <w:t>[4</w:t>
      </w:r>
      <w:r w:rsidR="006F15A6">
        <w:rPr>
          <w:rFonts w:ascii="Arial" w:hAnsi="Arial" w:cs="Arial"/>
          <w:bCs/>
          <w:sz w:val="20"/>
        </w:rPr>
        <w:t>2</w:t>
      </w:r>
      <w:r>
        <w:rPr>
          <w:rFonts w:ascii="Arial" w:hAnsi="Arial" w:cs="Arial"/>
          <w:bCs/>
          <w:sz w:val="20"/>
        </w:rPr>
        <w:t xml:space="preserve">] </w:t>
      </w:r>
      <w:r w:rsidR="006F15A6" w:rsidRPr="00720FCE">
        <w:rPr>
          <w:rFonts w:ascii="Arial" w:hAnsi="Arial" w:cs="Arial"/>
          <w:sz w:val="20"/>
        </w:rPr>
        <w:t>The mother has suffered a series of strokes and the medical evidence, and I might say common sense, indicates she has had periods of being slower to complete tasks, reduced physical prowess and it really goes without saying that she needs and, I am sure, appreciates the support the father provides around the home and his apparent availability and willingness to provide same.</w:t>
      </w:r>
    </w:p>
    <w:p w14:paraId="14E69D66" w14:textId="77777777" w:rsidR="006F15A6" w:rsidRPr="006F15A6" w:rsidRDefault="006F15A6" w:rsidP="006F15A6">
      <w:pPr>
        <w:pStyle w:val="ListParagraph"/>
        <w:spacing w:before="60"/>
        <w:ind w:left="567" w:right="567"/>
        <w:contextualSpacing/>
        <w:jc w:val="both"/>
        <w:rPr>
          <w:rFonts w:ascii="Arial" w:hAnsi="Arial" w:cs="Arial"/>
          <w:sz w:val="6"/>
          <w:szCs w:val="6"/>
        </w:rPr>
      </w:pPr>
    </w:p>
    <w:p w14:paraId="0627FFDC" w14:textId="7B36FB42" w:rsidR="006F15A6" w:rsidRPr="008345B0" w:rsidRDefault="006F15A6" w:rsidP="006F15A6">
      <w:pPr>
        <w:pStyle w:val="ListParagraph"/>
        <w:spacing w:before="60"/>
        <w:ind w:left="567" w:right="567"/>
        <w:contextualSpacing/>
        <w:jc w:val="both"/>
        <w:rPr>
          <w:rFonts w:ascii="Arial" w:hAnsi="Arial" w:cs="Arial"/>
          <w:bCs/>
          <w:sz w:val="20"/>
        </w:rPr>
      </w:pPr>
      <w:r>
        <w:rPr>
          <w:rFonts w:ascii="Arial" w:hAnsi="Arial" w:cs="Arial"/>
          <w:sz w:val="20"/>
        </w:rPr>
        <w:t xml:space="preserve">[43] </w:t>
      </w:r>
      <w:r w:rsidRPr="00720FCE">
        <w:rPr>
          <w:rFonts w:ascii="Arial" w:hAnsi="Arial" w:cs="Arial"/>
          <w:sz w:val="20"/>
        </w:rPr>
        <w:t xml:space="preserve">On the basis of the evidence, provided largely by the DFFH, I find the father has spent time with the mother on multiple occasions, including spending extended periods of time with the mother in her home and I presume he is providing her with any required supports and would continue to do so if ZX were placed into her care. In the absence of any further reported incidents of family violence since April 2023 and in the context of the father spending significant amounts of time with the mother, I do not find family violence perpetrated by the father towards the mother to be a current protective concern and I find </w:t>
      </w:r>
      <w:r w:rsidRPr="00720FCE">
        <w:rPr>
          <w:rFonts w:ascii="Arial" w:hAnsi="Arial" w:cs="Arial"/>
          <w:sz w:val="20"/>
        </w:rPr>
        <w:lastRenderedPageBreak/>
        <w:t>the risk of future family violence perpetrated by the father is mitigated by an order mandating him to complete a Mens Behaviour Change Program and to provide a certification of completion over the course of the order I have made.</w:t>
      </w:r>
      <w:r>
        <w:rPr>
          <w:rFonts w:ascii="Arial" w:hAnsi="Arial" w:cs="Arial"/>
          <w:sz w:val="20"/>
        </w:rPr>
        <w:t>”</w:t>
      </w:r>
    </w:p>
    <w:p w14:paraId="539085FC" w14:textId="77777777" w:rsidR="00720FCE" w:rsidRDefault="00720FCE" w:rsidP="009C5B94">
      <w:pPr>
        <w:jc w:val="both"/>
        <w:rPr>
          <w:rFonts w:ascii="Arial" w:hAnsi="Arial" w:cs="Arial"/>
          <w:color w:val="000000"/>
          <w:sz w:val="20"/>
        </w:rPr>
      </w:pPr>
    </w:p>
    <w:p w14:paraId="6C9D313C" w14:textId="77777777" w:rsidR="009C5B94" w:rsidRDefault="009C5B94" w:rsidP="009C5B94">
      <w:pPr>
        <w:jc w:val="both"/>
        <w:rPr>
          <w:rFonts w:ascii="Arial" w:hAnsi="Arial" w:cs="Arial"/>
          <w:sz w:val="20"/>
          <w:szCs w:val="20"/>
        </w:rPr>
      </w:pPr>
      <w:r w:rsidRPr="00C702E3">
        <w:rPr>
          <w:rFonts w:ascii="Arial" w:hAnsi="Arial" w:cs="Arial"/>
          <w:i/>
          <w:iCs/>
          <w:color w:val="000000"/>
          <w:sz w:val="20"/>
        </w:rPr>
        <w:t>R v Duong</w:t>
      </w:r>
      <w:r>
        <w:rPr>
          <w:rFonts w:ascii="Arial" w:hAnsi="Arial" w:cs="Arial"/>
          <w:color w:val="000000"/>
          <w:sz w:val="20"/>
        </w:rPr>
        <w:t xml:space="preserve"> [2022] VSC 816 involved a judge-along trial in which Jane Dixon J dismissed a charge of dangerous driving causing death pursuant to </w:t>
      </w:r>
      <w:r w:rsidRPr="002C7020">
        <w:rPr>
          <w:rFonts w:ascii="Arial" w:hAnsi="Arial" w:cs="Arial"/>
          <w:sz w:val="20"/>
          <w:szCs w:val="20"/>
        </w:rPr>
        <w:t xml:space="preserve">s.319(1) </w:t>
      </w:r>
      <w:r w:rsidRPr="002C7020">
        <w:rPr>
          <w:rFonts w:ascii="Arial" w:hAnsi="Arial" w:cs="Arial"/>
          <w:i/>
          <w:iCs/>
          <w:sz w:val="20"/>
          <w:szCs w:val="20"/>
        </w:rPr>
        <w:t>Crimes Act 1958</w:t>
      </w:r>
      <w:r w:rsidRPr="002C7020">
        <w:rPr>
          <w:rFonts w:ascii="Arial" w:hAnsi="Arial" w:cs="Arial"/>
          <w:sz w:val="20"/>
          <w:szCs w:val="20"/>
        </w:rPr>
        <w:t>.</w:t>
      </w:r>
      <w:r>
        <w:rPr>
          <w:rFonts w:ascii="Arial" w:hAnsi="Arial" w:cs="Arial"/>
          <w:sz w:val="20"/>
          <w:szCs w:val="20"/>
        </w:rPr>
        <w:t xml:space="preserve">  In dicta which is equally relevant to proceedings in the Family Division of the Children’s Court her Honour described the basis on which she was required to assess the evidence of the various expert witnesses who gave evidence at the trial.  At [28]-[30] her Honour said:</w:t>
      </w:r>
    </w:p>
    <w:p w14:paraId="6576AF20" w14:textId="77777777" w:rsidR="009C5B94" w:rsidRDefault="009C5B94" w:rsidP="009C5B94">
      <w:pPr>
        <w:spacing w:before="60"/>
        <w:ind w:left="567" w:right="567"/>
        <w:jc w:val="both"/>
        <w:rPr>
          <w:rFonts w:ascii="Arial" w:hAnsi="Arial" w:cs="Arial"/>
          <w:sz w:val="20"/>
          <w:szCs w:val="20"/>
        </w:rPr>
      </w:pPr>
      <w:r>
        <w:rPr>
          <w:rFonts w:ascii="Arial" w:hAnsi="Arial" w:cs="Arial"/>
          <w:sz w:val="20"/>
        </w:rPr>
        <w:t>[28] “</w:t>
      </w:r>
      <w:r w:rsidRPr="0048529E">
        <w:rPr>
          <w:rFonts w:ascii="Arial" w:hAnsi="Arial" w:cs="Arial"/>
          <w:sz w:val="20"/>
          <w:szCs w:val="20"/>
        </w:rPr>
        <w:t>Regarding unchallenged expert evidence, as the trier of the facts I am not required to accept an expert</w:t>
      </w:r>
      <w:r w:rsidRPr="0048529E">
        <w:rPr>
          <w:rFonts w:ascii="Arial" w:eastAsia="Book Antiqua" w:hAnsi="Arial" w:cs="Arial"/>
          <w:sz w:val="20"/>
          <w:szCs w:val="20"/>
        </w:rPr>
        <w:t>’</w:t>
      </w:r>
      <w:r w:rsidRPr="0048529E">
        <w:rPr>
          <w:rFonts w:ascii="Arial" w:hAnsi="Arial" w:cs="Arial"/>
          <w:sz w:val="20"/>
          <w:szCs w:val="20"/>
        </w:rPr>
        <w:t>s opinion, even where it was not challenged by the opposing party. Although the experts called are experts in their stated fields, like any other evidence their opinions are pieces of evidence which I am entitled to accept or reject.</w:t>
      </w:r>
    </w:p>
    <w:p w14:paraId="152940DC" w14:textId="77777777" w:rsidR="009C5B94" w:rsidRDefault="009C5B94" w:rsidP="009C5B94">
      <w:pPr>
        <w:spacing w:before="60"/>
        <w:ind w:left="567" w:right="567"/>
        <w:jc w:val="both"/>
        <w:rPr>
          <w:rFonts w:ascii="Arial" w:hAnsi="Arial" w:cs="Arial"/>
          <w:sz w:val="20"/>
          <w:szCs w:val="20"/>
        </w:rPr>
      </w:pPr>
      <w:r>
        <w:rPr>
          <w:rFonts w:ascii="Arial" w:hAnsi="Arial" w:cs="Arial"/>
          <w:sz w:val="20"/>
          <w:szCs w:val="20"/>
        </w:rPr>
        <w:t xml:space="preserve">[29] </w:t>
      </w:r>
      <w:r w:rsidRPr="0048529E">
        <w:rPr>
          <w:rFonts w:ascii="Arial" w:hAnsi="Arial" w:cs="Arial"/>
          <w:sz w:val="20"/>
          <w:szCs w:val="20"/>
        </w:rPr>
        <w:t xml:space="preserve">When assessing </w:t>
      </w:r>
      <w:r w:rsidRPr="0048529E">
        <w:rPr>
          <w:rFonts w:ascii="Arial" w:eastAsia="Book Antiqua" w:hAnsi="Arial" w:cs="Arial"/>
          <w:sz w:val="20"/>
          <w:szCs w:val="20"/>
        </w:rPr>
        <w:t>each expert’s</w:t>
      </w:r>
      <w:r w:rsidRPr="0048529E">
        <w:rPr>
          <w:rFonts w:ascii="Arial" w:hAnsi="Arial" w:cs="Arial"/>
          <w:sz w:val="20"/>
          <w:szCs w:val="20"/>
        </w:rPr>
        <w:t xml:space="preserve"> opinion, I am obliged to consider factors such as how well-qualified the expert is; whether the expert strayed outside their area of expertise, or just gave evidence of their understanding of certain factual matters (rather than applying expert knowledge to the subject at hand). I must also consider the overall objectivity of any expert witness called by either party.</w:t>
      </w:r>
    </w:p>
    <w:p w14:paraId="6AA9F06A" w14:textId="77777777" w:rsidR="009C5B94" w:rsidRDefault="009C5B94" w:rsidP="004935C2">
      <w:pPr>
        <w:spacing w:before="60"/>
        <w:ind w:left="567" w:right="567"/>
        <w:jc w:val="both"/>
        <w:rPr>
          <w:rFonts w:ascii="Arial" w:hAnsi="Arial" w:cs="Arial"/>
          <w:sz w:val="20"/>
        </w:rPr>
      </w:pPr>
      <w:r>
        <w:rPr>
          <w:rFonts w:ascii="Arial" w:hAnsi="Arial" w:cs="Arial"/>
          <w:sz w:val="20"/>
          <w:szCs w:val="20"/>
        </w:rPr>
        <w:t xml:space="preserve">[30] </w:t>
      </w:r>
      <w:r w:rsidRPr="0048529E">
        <w:rPr>
          <w:rFonts w:ascii="Arial" w:hAnsi="Arial" w:cs="Arial"/>
          <w:sz w:val="20"/>
          <w:szCs w:val="20"/>
        </w:rPr>
        <w:t xml:space="preserve">Subject to these kinds of considerations, however, I am required to have good reason for not accepting unchallenged expert evidence. Where there is unanimous agreement amongst expert witnesses, I may only reject their evidence for the following reasons: if the facts underlying the opinion are not present; if the process of reasoning that led to the opinion is unsound; or if there is some other factor casting doubt on the validity of the opinion: </w:t>
      </w:r>
      <w:r w:rsidRPr="0048529E">
        <w:rPr>
          <w:rFonts w:ascii="Arial" w:eastAsia="Book Antiqua" w:hAnsi="Arial" w:cs="Arial"/>
          <w:i/>
          <w:sz w:val="20"/>
          <w:szCs w:val="20"/>
        </w:rPr>
        <w:t xml:space="preserve">Taylor v The Queen </w:t>
      </w:r>
      <w:r w:rsidRPr="0048529E">
        <w:rPr>
          <w:rFonts w:ascii="Arial" w:hAnsi="Arial" w:cs="Arial"/>
          <w:sz w:val="20"/>
          <w:szCs w:val="20"/>
        </w:rPr>
        <w:t>(1978) 45 FLR 343;</w:t>
      </w:r>
      <w:r w:rsidRPr="0048529E">
        <w:rPr>
          <w:rFonts w:ascii="Arial" w:eastAsia="Book Antiqua" w:hAnsi="Arial" w:cs="Arial"/>
          <w:i/>
          <w:sz w:val="20"/>
          <w:szCs w:val="20"/>
        </w:rPr>
        <w:t xml:space="preserve"> R v Kotzmann </w:t>
      </w:r>
      <w:r w:rsidRPr="0048529E">
        <w:rPr>
          <w:rFonts w:ascii="Arial" w:hAnsi="Arial" w:cs="Arial"/>
          <w:sz w:val="20"/>
          <w:szCs w:val="20"/>
        </w:rPr>
        <w:t xml:space="preserve">[1999] 2 VR 123; </w:t>
      </w:r>
      <w:r w:rsidRPr="0048529E">
        <w:rPr>
          <w:rFonts w:ascii="Arial" w:eastAsia="Book Antiqua" w:hAnsi="Arial" w:cs="Arial"/>
          <w:i/>
          <w:sz w:val="20"/>
          <w:szCs w:val="20"/>
        </w:rPr>
        <w:t xml:space="preserve">R v Hilder </w:t>
      </w:r>
      <w:r w:rsidRPr="0048529E">
        <w:rPr>
          <w:rFonts w:ascii="Arial" w:hAnsi="Arial" w:cs="Arial"/>
          <w:sz w:val="20"/>
          <w:szCs w:val="20"/>
        </w:rPr>
        <w:t xml:space="preserve">(1997) 97 A Crim R 70; </w:t>
      </w:r>
      <w:r w:rsidRPr="0048529E">
        <w:rPr>
          <w:rFonts w:ascii="Arial" w:eastAsia="Book Antiqua" w:hAnsi="Arial" w:cs="Arial"/>
          <w:i/>
          <w:sz w:val="20"/>
          <w:szCs w:val="20"/>
        </w:rPr>
        <w:t>R v Klamo</w:t>
      </w:r>
      <w:r w:rsidRPr="0048529E">
        <w:rPr>
          <w:rFonts w:ascii="Arial" w:hAnsi="Arial" w:cs="Arial"/>
          <w:sz w:val="20"/>
          <w:szCs w:val="20"/>
        </w:rPr>
        <w:t xml:space="preserve"> (2008) 18 VR 644; </w:t>
      </w:r>
      <w:r w:rsidRPr="0048529E">
        <w:rPr>
          <w:rFonts w:ascii="Arial" w:eastAsia="Book Antiqua" w:hAnsi="Arial" w:cs="Arial"/>
          <w:i/>
          <w:sz w:val="20"/>
          <w:szCs w:val="20"/>
        </w:rPr>
        <w:t xml:space="preserve">R v Matheson </w:t>
      </w:r>
      <w:r w:rsidRPr="0048529E">
        <w:rPr>
          <w:rFonts w:ascii="Arial" w:hAnsi="Arial" w:cs="Arial"/>
          <w:sz w:val="20"/>
          <w:szCs w:val="20"/>
        </w:rPr>
        <w:t xml:space="preserve">[1958] 1 WLR 474. Where the evidence of competing expert opinions is in conflict, I am entitled to prefer the evidence of one expert over another, based on my assessment of the expert opinion I consider most persuasive: </w:t>
      </w:r>
      <w:r w:rsidRPr="0048529E">
        <w:rPr>
          <w:rFonts w:ascii="Arial" w:eastAsia="Book Antiqua" w:hAnsi="Arial" w:cs="Arial"/>
          <w:i/>
          <w:sz w:val="20"/>
          <w:szCs w:val="20"/>
        </w:rPr>
        <w:t>Velevski v R</w:t>
      </w:r>
      <w:r w:rsidRPr="0048529E">
        <w:rPr>
          <w:rFonts w:ascii="Arial" w:hAnsi="Arial" w:cs="Arial"/>
          <w:sz w:val="20"/>
          <w:szCs w:val="20"/>
        </w:rPr>
        <w:t xml:space="preserve"> (2002) 76 ALJR 402.</w:t>
      </w:r>
      <w:r>
        <w:rPr>
          <w:rFonts w:ascii="Arial" w:hAnsi="Arial" w:cs="Arial"/>
          <w:sz w:val="20"/>
          <w:szCs w:val="20"/>
        </w:rPr>
        <w:t>”</w:t>
      </w:r>
    </w:p>
    <w:p w14:paraId="3D76597C" w14:textId="77777777" w:rsidR="009C5B94" w:rsidRDefault="009C5B94" w:rsidP="005C1DBA">
      <w:pPr>
        <w:jc w:val="both"/>
        <w:rPr>
          <w:rFonts w:ascii="Arial" w:hAnsi="Arial" w:cs="Arial"/>
          <w:sz w:val="20"/>
        </w:rPr>
      </w:pPr>
      <w:bookmarkStart w:id="598" w:name="_4.8.6_Attendance_of"/>
      <w:bookmarkStart w:id="599" w:name="B486"/>
      <w:bookmarkEnd w:id="598"/>
      <w:bookmarkEnd w:id="599"/>
    </w:p>
    <w:p w14:paraId="4A607DB4" w14:textId="4E10D514" w:rsidR="00346B40" w:rsidRDefault="00346B40" w:rsidP="005C1DBA">
      <w:pPr>
        <w:jc w:val="both"/>
        <w:rPr>
          <w:rFonts w:ascii="Arial" w:hAnsi="Arial" w:cs="Arial"/>
          <w:sz w:val="20"/>
          <w:szCs w:val="20"/>
        </w:rPr>
      </w:pPr>
      <w:r>
        <w:rPr>
          <w:rFonts w:ascii="Arial" w:hAnsi="Arial" w:cs="Arial"/>
          <w:sz w:val="20"/>
        </w:rPr>
        <w:t xml:space="preserve">As noted above, in </w:t>
      </w:r>
      <w:r w:rsidRPr="00346B40">
        <w:rPr>
          <w:rFonts w:ascii="Arial" w:hAnsi="Arial" w:cs="Arial"/>
          <w:i/>
          <w:iCs/>
          <w:sz w:val="20"/>
        </w:rPr>
        <w:t>Lang v The Queen</w:t>
      </w:r>
      <w:r>
        <w:rPr>
          <w:rFonts w:ascii="Arial" w:hAnsi="Arial" w:cs="Arial"/>
          <w:sz w:val="20"/>
        </w:rPr>
        <w:t xml:space="preserve"> [2023] HCA 29 at [5] Kiefel CJ &amp; Gageler J said: </w:t>
      </w:r>
      <w:r>
        <w:rPr>
          <w:rFonts w:ascii="Arial" w:hAnsi="Arial" w:cs="Arial"/>
          <w:sz w:val="20"/>
          <w:szCs w:val="20"/>
        </w:rPr>
        <w:t>“</w:t>
      </w:r>
      <w:r w:rsidRPr="005C1DBA">
        <w:rPr>
          <w:rFonts w:ascii="Arial" w:hAnsi="Arial" w:cs="Arial"/>
          <w:sz w:val="20"/>
          <w:szCs w:val="20"/>
        </w:rPr>
        <w:t>Expert evidence need not be opinion evidence</w:t>
      </w:r>
      <w:r>
        <w:rPr>
          <w:rFonts w:ascii="Arial" w:hAnsi="Arial" w:cs="Arial"/>
          <w:sz w:val="20"/>
          <w:szCs w:val="20"/>
        </w:rPr>
        <w:t xml:space="preserve">.” The converse is also true: compare ss.78 &amp; 79 </w:t>
      </w:r>
      <w:r w:rsidRPr="00346B40">
        <w:rPr>
          <w:rFonts w:ascii="Arial" w:hAnsi="Arial" w:cs="Arial"/>
          <w:i/>
          <w:iCs/>
          <w:sz w:val="20"/>
          <w:szCs w:val="20"/>
        </w:rPr>
        <w:t>Evidence Act 2008</w:t>
      </w:r>
      <w:r>
        <w:rPr>
          <w:rFonts w:ascii="Arial" w:hAnsi="Arial" w:cs="Arial"/>
          <w:sz w:val="20"/>
          <w:szCs w:val="20"/>
        </w:rPr>
        <w:t xml:space="preserve"> (Vic). In </w:t>
      </w:r>
      <w:r w:rsidRPr="00346B40">
        <w:rPr>
          <w:rFonts w:ascii="Arial" w:hAnsi="Arial" w:cs="Arial"/>
          <w:i/>
          <w:iCs/>
          <w:sz w:val="20"/>
          <w:szCs w:val="20"/>
        </w:rPr>
        <w:t>DPP v KT (Ruling 3)</w:t>
      </w:r>
      <w:r>
        <w:rPr>
          <w:rFonts w:ascii="Arial" w:hAnsi="Arial" w:cs="Arial"/>
          <w:sz w:val="20"/>
          <w:szCs w:val="20"/>
        </w:rPr>
        <w:t xml:space="preserve"> [2025] VSC 399 </w:t>
      </w:r>
      <w:r w:rsidR="00A91272">
        <w:rPr>
          <w:rFonts w:ascii="Arial" w:hAnsi="Arial" w:cs="Arial"/>
          <w:sz w:val="20"/>
          <w:szCs w:val="20"/>
        </w:rPr>
        <w:t xml:space="preserve">– a ruling given in a murder trial – </w:t>
      </w:r>
      <w:r>
        <w:rPr>
          <w:rFonts w:ascii="Arial" w:hAnsi="Arial" w:cs="Arial"/>
          <w:sz w:val="20"/>
          <w:szCs w:val="20"/>
        </w:rPr>
        <w:t>Fox</w:t>
      </w:r>
      <w:r w:rsidR="00A91272">
        <w:rPr>
          <w:rFonts w:ascii="Arial" w:hAnsi="Arial" w:cs="Arial"/>
          <w:sz w:val="20"/>
          <w:szCs w:val="20"/>
        </w:rPr>
        <w:t xml:space="preserve"> </w:t>
      </w:r>
      <w:r>
        <w:rPr>
          <w:rFonts w:ascii="Arial" w:hAnsi="Arial" w:cs="Arial"/>
          <w:sz w:val="20"/>
          <w:szCs w:val="20"/>
        </w:rPr>
        <w:t xml:space="preserve">J </w:t>
      </w:r>
      <w:r w:rsidR="00A91272">
        <w:rPr>
          <w:rFonts w:ascii="Arial" w:hAnsi="Arial" w:cs="Arial"/>
          <w:sz w:val="20"/>
          <w:szCs w:val="20"/>
        </w:rPr>
        <w:t xml:space="preserve">held that the defence was not permitted to adduce lay opinion evidence from a prosecution witness (who may or may not have seen at least the start of the interaction between the deceased and the accused) that the deceased ‘would have’ badly bashed the accused. </w:t>
      </w:r>
      <w:r w:rsidR="004935C2">
        <w:rPr>
          <w:rFonts w:ascii="Arial" w:hAnsi="Arial" w:cs="Arial"/>
          <w:sz w:val="20"/>
          <w:szCs w:val="20"/>
        </w:rPr>
        <w:t>At [13]-[20] – under the heading “</w:t>
      </w:r>
      <w:r w:rsidR="004935C2" w:rsidRPr="004935C2">
        <w:rPr>
          <w:rFonts w:ascii="Arial" w:hAnsi="Arial" w:cs="Arial"/>
          <w:b/>
          <w:bCs/>
          <w:sz w:val="20"/>
          <w:szCs w:val="20"/>
        </w:rPr>
        <w:t>Legislation and legal principles</w:t>
      </w:r>
      <w:r w:rsidR="004935C2">
        <w:rPr>
          <w:rFonts w:ascii="Arial" w:hAnsi="Arial" w:cs="Arial"/>
          <w:sz w:val="20"/>
          <w:szCs w:val="20"/>
        </w:rPr>
        <w:t xml:space="preserve">” – her Honour discussed ss.76-78 </w:t>
      </w:r>
      <w:r w:rsidR="004935C2" w:rsidRPr="00945BD7">
        <w:rPr>
          <w:rFonts w:ascii="Arial" w:hAnsi="Arial" w:cs="Arial"/>
          <w:i/>
          <w:iCs/>
          <w:sz w:val="20"/>
          <w:szCs w:val="20"/>
        </w:rPr>
        <w:t>Evidence Act 2008</w:t>
      </w:r>
      <w:r w:rsidR="004935C2">
        <w:rPr>
          <w:rFonts w:ascii="Arial" w:hAnsi="Arial" w:cs="Arial"/>
          <w:sz w:val="20"/>
          <w:szCs w:val="20"/>
        </w:rPr>
        <w:t xml:space="preserve"> and the analysis of s.78 by the High Court in the case of </w:t>
      </w:r>
      <w:r w:rsidR="004935C2" w:rsidRPr="004935C2">
        <w:rPr>
          <w:rFonts w:ascii="Arial" w:hAnsi="Arial" w:cs="Arial"/>
          <w:i/>
          <w:iCs/>
          <w:sz w:val="20"/>
          <w:szCs w:val="20"/>
        </w:rPr>
        <w:t>Lithgow City Council v Jackson</w:t>
      </w:r>
      <w:r w:rsidR="004935C2">
        <w:rPr>
          <w:rFonts w:ascii="Arial" w:hAnsi="Arial" w:cs="Arial"/>
          <w:sz w:val="20"/>
          <w:szCs w:val="20"/>
        </w:rPr>
        <w:t xml:space="preserve"> </w:t>
      </w:r>
      <w:r w:rsidR="004935C2" w:rsidRPr="004935C2">
        <w:rPr>
          <w:rFonts w:ascii="Arial" w:hAnsi="Arial" w:cs="Arial"/>
          <w:sz w:val="20"/>
          <w:szCs w:val="20"/>
        </w:rPr>
        <w:t>(2011) 244 CLR 352</w:t>
      </w:r>
      <w:r w:rsidR="00347572">
        <w:rPr>
          <w:rFonts w:ascii="Arial" w:hAnsi="Arial" w:cs="Arial"/>
          <w:sz w:val="20"/>
          <w:szCs w:val="20"/>
        </w:rPr>
        <w:t xml:space="preserve">; </w:t>
      </w:r>
      <w:r w:rsidR="00347572" w:rsidRPr="004935C2">
        <w:rPr>
          <w:rFonts w:ascii="Arial" w:hAnsi="Arial" w:cs="Arial"/>
          <w:sz w:val="20"/>
          <w:szCs w:val="20"/>
        </w:rPr>
        <w:t>[2011] HCA 36</w:t>
      </w:r>
      <w:r w:rsidR="004935C2">
        <w:rPr>
          <w:rFonts w:ascii="Arial" w:hAnsi="Arial" w:cs="Arial"/>
          <w:sz w:val="20"/>
          <w:szCs w:val="20"/>
        </w:rPr>
        <w:t xml:space="preserve">. At </w:t>
      </w:r>
      <w:r w:rsidR="004937E6">
        <w:rPr>
          <w:rFonts w:ascii="Arial" w:hAnsi="Arial" w:cs="Arial"/>
          <w:sz w:val="20"/>
          <w:szCs w:val="20"/>
        </w:rPr>
        <w:t>[21]</w:t>
      </w:r>
      <w:r w:rsidR="00CD4F49">
        <w:rPr>
          <w:rFonts w:ascii="Arial" w:hAnsi="Arial" w:cs="Arial"/>
          <w:sz w:val="20"/>
          <w:szCs w:val="20"/>
        </w:rPr>
        <w:t>-[24]</w:t>
      </w:r>
      <w:r w:rsidR="004937E6">
        <w:rPr>
          <w:rFonts w:ascii="Arial" w:hAnsi="Arial" w:cs="Arial"/>
          <w:sz w:val="20"/>
          <w:szCs w:val="20"/>
        </w:rPr>
        <w:t xml:space="preserve"> </w:t>
      </w:r>
      <w:r w:rsidR="004935C2">
        <w:rPr>
          <w:rFonts w:ascii="Arial" w:hAnsi="Arial" w:cs="Arial"/>
          <w:sz w:val="20"/>
          <w:szCs w:val="20"/>
        </w:rPr>
        <w:t>her Honour</w:t>
      </w:r>
      <w:r w:rsidR="004937E6">
        <w:rPr>
          <w:rFonts w:ascii="Arial" w:hAnsi="Arial" w:cs="Arial"/>
          <w:sz w:val="20"/>
          <w:szCs w:val="20"/>
        </w:rPr>
        <w:t xml:space="preserve"> </w:t>
      </w:r>
      <w:r w:rsidR="00CD4F49">
        <w:rPr>
          <w:rFonts w:ascii="Arial" w:hAnsi="Arial" w:cs="Arial"/>
          <w:sz w:val="20"/>
          <w:szCs w:val="20"/>
        </w:rPr>
        <w:t>said:</w:t>
      </w:r>
    </w:p>
    <w:p w14:paraId="76E15864" w14:textId="64EDEC56" w:rsidR="00CD4F49" w:rsidRDefault="00CD4F49" w:rsidP="00CD4F49">
      <w:pPr>
        <w:spacing w:before="60"/>
        <w:ind w:left="567" w:right="567"/>
        <w:jc w:val="both"/>
        <w:rPr>
          <w:rFonts w:ascii="Arial" w:hAnsi="Arial" w:cs="Arial"/>
          <w:sz w:val="20"/>
          <w:szCs w:val="20"/>
        </w:rPr>
      </w:pPr>
      <w:r>
        <w:rPr>
          <w:rFonts w:ascii="Arial" w:hAnsi="Arial" w:cs="Arial"/>
          <w:sz w:val="20"/>
        </w:rPr>
        <w:t>[21] “</w:t>
      </w:r>
      <w:r w:rsidRPr="004937E6">
        <w:rPr>
          <w:rFonts w:ascii="Arial" w:hAnsi="Arial" w:cs="Arial"/>
          <w:sz w:val="20"/>
          <w:szCs w:val="20"/>
        </w:rPr>
        <w:t xml:space="preserve">The first question is whether the evidence is relevant. </w:t>
      </w:r>
      <w:r w:rsidR="004935C2">
        <w:rPr>
          <w:rFonts w:ascii="Arial" w:hAnsi="Arial" w:cs="Arial"/>
          <w:sz w:val="20"/>
          <w:szCs w:val="20"/>
        </w:rPr>
        <w:t xml:space="preserve">[The witness] </w:t>
      </w:r>
      <w:r w:rsidRPr="004937E6">
        <w:rPr>
          <w:rFonts w:ascii="Arial" w:hAnsi="Arial" w:cs="Arial"/>
          <w:sz w:val="20"/>
          <w:szCs w:val="20"/>
        </w:rPr>
        <w:t>LJ’s view of what he thought would happen between Dr Gordon and KT cannot be used to infer or suggest that KT held the same view. Importantly, KT had a knife. It will be a matter for the jury to determine how, if at all, this impacted KT’s thinking. The disputed evidence is a theory, not just as to what would happen (</w:t>
      </w:r>
      <w:r w:rsidR="004935C2">
        <w:rPr>
          <w:rFonts w:ascii="Arial" w:hAnsi="Arial" w:cs="Arial"/>
          <w:sz w:val="20"/>
          <w:szCs w:val="20"/>
        </w:rPr>
        <w:t>‘</w:t>
      </w:r>
      <w:r w:rsidRPr="004937E6">
        <w:rPr>
          <w:rFonts w:ascii="Arial" w:hAnsi="Arial" w:cs="Arial"/>
          <w:sz w:val="20"/>
          <w:szCs w:val="20"/>
        </w:rPr>
        <w:t>the deceased would have bashed KT</w:t>
      </w:r>
      <w:r w:rsidR="004935C2">
        <w:rPr>
          <w:rFonts w:ascii="Arial" w:hAnsi="Arial" w:cs="Arial"/>
          <w:sz w:val="20"/>
          <w:szCs w:val="20"/>
        </w:rPr>
        <w:t>’</w:t>
      </w:r>
      <w:r w:rsidRPr="004937E6">
        <w:rPr>
          <w:rFonts w:ascii="Arial" w:hAnsi="Arial" w:cs="Arial"/>
          <w:sz w:val="20"/>
          <w:szCs w:val="20"/>
        </w:rPr>
        <w:t>), but also as to how KT would have been ‘bashed’ (‘badly’). LJ’s view, or theory, as to what would have occurred in a one-on-one fight is not relevant to the issue of what KT was thinking. It is arguably relevant to how Dr Gordon presented on this night. If approached in this way, many lay opinions would pass the test of relevance. Witnesses who were present at a scene could give their opinion on what they thought was going to happen next, based on what they had observed thus far.</w:t>
      </w:r>
    </w:p>
    <w:p w14:paraId="0CCC4FE0" w14:textId="1B285C76" w:rsidR="00CD4F49" w:rsidRDefault="00CD4F49" w:rsidP="00CD4F49">
      <w:pPr>
        <w:spacing w:before="60"/>
        <w:ind w:left="567" w:right="567"/>
        <w:jc w:val="both"/>
        <w:rPr>
          <w:rFonts w:ascii="Arial" w:hAnsi="Arial" w:cs="Arial"/>
          <w:sz w:val="20"/>
          <w:szCs w:val="20"/>
        </w:rPr>
      </w:pPr>
      <w:r>
        <w:rPr>
          <w:rFonts w:ascii="Arial" w:hAnsi="Arial" w:cs="Arial"/>
          <w:sz w:val="20"/>
          <w:szCs w:val="20"/>
        </w:rPr>
        <w:t xml:space="preserve">[22] </w:t>
      </w:r>
      <w:r w:rsidRPr="004937E6">
        <w:rPr>
          <w:rFonts w:ascii="Arial" w:hAnsi="Arial" w:cs="Arial"/>
          <w:sz w:val="20"/>
          <w:szCs w:val="20"/>
        </w:rPr>
        <w:t xml:space="preserve">If the evidence is relevant, I am very doubtful it comes within the meaning of ‘opinion’. The dividing line between a perception, an opinion, a theory, an inference, speculation and guesswork is not necessarily bright or clear. The Australian Law Reform Commission Interim Report 26 noted </w:t>
      </w:r>
      <w:r w:rsidR="004935C2">
        <w:rPr>
          <w:rFonts w:ascii="Arial" w:hAnsi="Arial" w:cs="Arial"/>
          <w:sz w:val="20"/>
          <w:szCs w:val="20"/>
        </w:rPr>
        <w:t xml:space="preserve">at [470] </w:t>
      </w:r>
      <w:r w:rsidRPr="004937E6">
        <w:rPr>
          <w:rFonts w:ascii="Arial" w:hAnsi="Arial" w:cs="Arial"/>
          <w:sz w:val="20"/>
          <w:szCs w:val="20"/>
        </w:rPr>
        <w:t>that the proposed s 78 revives the original rationale for lay opinion evidence, ‘based on the distinction between opinion based on the witness’ perception and mere uniformed speculation’.</w:t>
      </w:r>
      <w:r w:rsidR="004935C2">
        <w:rPr>
          <w:rFonts w:ascii="Arial" w:hAnsi="Arial" w:cs="Arial"/>
          <w:sz w:val="20"/>
          <w:szCs w:val="20"/>
        </w:rPr>
        <w:t xml:space="preserve"> </w:t>
      </w:r>
      <w:r w:rsidRPr="004937E6">
        <w:rPr>
          <w:rFonts w:ascii="Arial" w:hAnsi="Arial" w:cs="Arial"/>
          <w:sz w:val="20"/>
          <w:szCs w:val="20"/>
        </w:rPr>
        <w:t xml:space="preserve">In my view, LJ’s view about what the deceased ‘would have’ done to KT is speculation; it may be informed speculation, in the sense that LJ had knowledge or information as to how the deceased appeared and how he was behaving, but it is still speculation. For example, if a witness saw a vehicle driving at high speed and disappearing around a corner, and other evidence established that the vehicle struck a person 50 metres further along the roadway, the witness could not say that the vehicle ‘would have’ hit the person at high speed. That would be a theory, not an opinion. Perhaps a better example, more relevant to the facts of this case, is that if LJ had </w:t>
      </w:r>
      <w:r w:rsidRPr="004937E6">
        <w:rPr>
          <w:rFonts w:ascii="Arial" w:hAnsi="Arial" w:cs="Arial"/>
          <w:sz w:val="20"/>
          <w:szCs w:val="20"/>
        </w:rPr>
        <w:lastRenderedPageBreak/>
        <w:t>witnessed the accused become angry, approach the deceased and pull out his knife, LJ could not give evidence that the accused ‘would have’ stabbed the deceased.</w:t>
      </w:r>
    </w:p>
    <w:p w14:paraId="1A2E6F1E" w14:textId="2D0215AC" w:rsidR="00CD4F49" w:rsidRDefault="00CD4F49" w:rsidP="00CD4F49">
      <w:pPr>
        <w:spacing w:before="60"/>
        <w:ind w:left="567" w:right="567"/>
        <w:jc w:val="both"/>
        <w:rPr>
          <w:rFonts w:ascii="Arial" w:hAnsi="Arial" w:cs="Arial"/>
          <w:sz w:val="20"/>
          <w:szCs w:val="20"/>
        </w:rPr>
      </w:pPr>
      <w:r>
        <w:rPr>
          <w:rFonts w:ascii="Arial" w:hAnsi="Arial" w:cs="Arial"/>
          <w:sz w:val="20"/>
          <w:szCs w:val="20"/>
        </w:rPr>
        <w:t>[</w:t>
      </w:r>
      <w:r w:rsidRPr="004937E6">
        <w:rPr>
          <w:rFonts w:ascii="Arial" w:hAnsi="Arial" w:cs="Arial"/>
          <w:sz w:val="20"/>
          <w:szCs w:val="20"/>
        </w:rPr>
        <w:t>23</w:t>
      </w:r>
      <w:r>
        <w:rPr>
          <w:rFonts w:ascii="Arial" w:hAnsi="Arial" w:cs="Arial"/>
          <w:sz w:val="20"/>
          <w:szCs w:val="20"/>
        </w:rPr>
        <w:t>]</w:t>
      </w:r>
      <w:r w:rsidRPr="004937E6">
        <w:rPr>
          <w:rFonts w:ascii="Arial" w:hAnsi="Arial" w:cs="Arial"/>
          <w:sz w:val="20"/>
          <w:szCs w:val="20"/>
        </w:rPr>
        <w:t xml:space="preserve"> If I am wrong, and the evidence is an opinion, then I move to consider s 78(1)(a). Pursuant to that sub-section, it is necessary to identify the ‘matter or event’ which the person saw, heard or otherwise perceived. Here, LJ saw the deceased run towards KT with his head down, grab him and start to wrestle with him; that is the ‘matter or event’ upon which the opinion must be based. I accept that LJ’s opinion is based on this matter or event, which he witnessed. It may also be based on other matters or events he witnessed, such as the manner of the deceased’s driving. To the extent the opinion was based on LJ’s belief that the deceased used steroids, that would not be a ‘matter or event’ that LJ had heard, seen or otherwise perceived. It would be no more than a theory, and LJ would be using one theory to support another theory.</w:t>
      </w:r>
    </w:p>
    <w:p w14:paraId="3A33B64E" w14:textId="4D89C996" w:rsidR="00CD4F49" w:rsidRDefault="00CD4F49" w:rsidP="00CD4F49">
      <w:pPr>
        <w:spacing w:before="60"/>
        <w:ind w:left="567" w:right="567"/>
        <w:jc w:val="both"/>
        <w:rPr>
          <w:rFonts w:ascii="Arial" w:hAnsi="Arial" w:cs="Arial"/>
          <w:sz w:val="20"/>
        </w:rPr>
      </w:pPr>
      <w:r>
        <w:rPr>
          <w:rFonts w:ascii="Arial" w:hAnsi="Arial" w:cs="Arial"/>
          <w:sz w:val="20"/>
        </w:rPr>
        <w:t xml:space="preserve">[24] </w:t>
      </w:r>
      <w:r w:rsidRPr="004937E6">
        <w:rPr>
          <w:rFonts w:ascii="Arial" w:hAnsi="Arial" w:cs="Arial"/>
          <w:sz w:val="20"/>
          <w:szCs w:val="20"/>
        </w:rPr>
        <w:t xml:space="preserve">Finally, and accepting that the evidence is an opinion based on what LJ perceived, in my view the evidence is not necessary to obtain an adequate account or understanding of LJ’s perception of the events of this night. As the High Court stated in </w:t>
      </w:r>
      <w:r w:rsidRPr="004935C2">
        <w:rPr>
          <w:rFonts w:ascii="Arial" w:hAnsi="Arial" w:cs="Arial"/>
          <w:i/>
          <w:iCs/>
          <w:sz w:val="20"/>
          <w:szCs w:val="20"/>
        </w:rPr>
        <w:t>Lithgow City Council v Jackson</w:t>
      </w:r>
      <w:r w:rsidR="00945BD7">
        <w:rPr>
          <w:rFonts w:ascii="Arial" w:hAnsi="Arial" w:cs="Arial"/>
          <w:sz w:val="20"/>
          <w:szCs w:val="20"/>
        </w:rPr>
        <w:t xml:space="preserve"> at [51],</w:t>
      </w:r>
      <w:r w:rsidRPr="004937E6">
        <w:rPr>
          <w:rFonts w:ascii="Arial" w:hAnsi="Arial" w:cs="Arial"/>
          <w:sz w:val="20"/>
          <w:szCs w:val="20"/>
        </w:rPr>
        <w:t xml:space="preserve"> ‘the function of s 78(b) is to make up for incapacity of a witness to perceive the primary aspects of events and conditions, or to remember the perception, or to express the memory of that perception’. LJ is capable of expressing what he observed on this night. He is capable of expressing admissible opinions, such as the deceased appeared to be in a rage. There is no real risk that his observations and admissible opinions will not be adequately or fairly understood by the jury. In the circumstances, I am not satisfied that the evidence is necessary to obtain an adequate account or understanding of LJ’s perceptions at the time the deceased and accused interacted in the driveway.</w:t>
      </w:r>
      <w:r w:rsidR="004935C2">
        <w:rPr>
          <w:rFonts w:ascii="Arial" w:hAnsi="Arial" w:cs="Arial"/>
          <w:sz w:val="20"/>
          <w:szCs w:val="20"/>
        </w:rPr>
        <w:t>”</w:t>
      </w:r>
    </w:p>
    <w:p w14:paraId="26134B43" w14:textId="77777777" w:rsidR="00346B40" w:rsidRDefault="00346B40" w:rsidP="005C1DBA">
      <w:pPr>
        <w:jc w:val="both"/>
        <w:rPr>
          <w:rFonts w:ascii="Arial" w:hAnsi="Arial" w:cs="Arial"/>
          <w:sz w:val="20"/>
        </w:rPr>
      </w:pPr>
    </w:p>
    <w:p w14:paraId="0A012EC8" w14:textId="44653CDE" w:rsidR="004D7413" w:rsidRDefault="004D7413" w:rsidP="005C1DBA">
      <w:pPr>
        <w:jc w:val="both"/>
        <w:rPr>
          <w:rFonts w:ascii="Arial" w:hAnsi="Arial" w:cs="Arial"/>
          <w:sz w:val="20"/>
        </w:rPr>
      </w:pPr>
      <w:r>
        <w:rPr>
          <w:rFonts w:ascii="Arial" w:hAnsi="Arial" w:cs="Arial"/>
          <w:sz w:val="20"/>
        </w:rPr>
        <w:t xml:space="preserve">See also </w:t>
      </w:r>
      <w:r w:rsidRPr="004D7413">
        <w:rPr>
          <w:rFonts w:ascii="Arial" w:hAnsi="Arial" w:cs="Arial"/>
          <w:i/>
          <w:iCs/>
          <w:sz w:val="20"/>
        </w:rPr>
        <w:t>Teague &amp; Daley v DPP Cth</w:t>
      </w:r>
      <w:r>
        <w:rPr>
          <w:rFonts w:ascii="Arial" w:hAnsi="Arial" w:cs="Arial"/>
          <w:sz w:val="20"/>
        </w:rPr>
        <w:t xml:space="preserve"> [2025] VSCA 70 at [70]-[97] where the Court of Appeal – in an interlocutory appeal – held that a detective’s voice identification evidence that 6 recorded phone calls regarding the transportation of a consignment containing 111kg of methamphetamine was not admissible as lay opinion evidence, Priest &amp; T Forrest JJA holding that if all or the majority of </w:t>
      </w:r>
      <w:r w:rsidRPr="004D7413">
        <w:rPr>
          <w:rFonts w:ascii="Arial" w:hAnsi="Arial" w:cs="Arial"/>
          <w:sz w:val="20"/>
        </w:rPr>
        <w:t xml:space="preserve">voice recordings </w:t>
      </w:r>
      <w:r>
        <w:rPr>
          <w:rFonts w:ascii="Arial" w:hAnsi="Arial" w:cs="Arial"/>
          <w:sz w:val="20"/>
        </w:rPr>
        <w:t xml:space="preserve">are </w:t>
      </w:r>
      <w:r w:rsidRPr="004D7413">
        <w:rPr>
          <w:rFonts w:ascii="Arial" w:hAnsi="Arial" w:cs="Arial"/>
          <w:sz w:val="20"/>
        </w:rPr>
        <w:t xml:space="preserve">played to jury, </w:t>
      </w:r>
      <w:r>
        <w:rPr>
          <w:rFonts w:ascii="Arial" w:hAnsi="Arial" w:cs="Arial"/>
          <w:sz w:val="20"/>
        </w:rPr>
        <w:t>the d</w:t>
      </w:r>
      <w:r w:rsidRPr="004D7413">
        <w:rPr>
          <w:rFonts w:ascii="Arial" w:hAnsi="Arial" w:cs="Arial"/>
          <w:sz w:val="20"/>
        </w:rPr>
        <w:t xml:space="preserve">etective will be in no better position than </w:t>
      </w:r>
      <w:r>
        <w:rPr>
          <w:rFonts w:ascii="Arial" w:hAnsi="Arial" w:cs="Arial"/>
          <w:sz w:val="20"/>
        </w:rPr>
        <w:t xml:space="preserve">the </w:t>
      </w:r>
      <w:r w:rsidRPr="004D7413">
        <w:rPr>
          <w:rFonts w:ascii="Arial" w:hAnsi="Arial" w:cs="Arial"/>
          <w:sz w:val="20"/>
        </w:rPr>
        <w:t xml:space="preserve">jury to compare Teague’s voice with </w:t>
      </w:r>
      <w:r>
        <w:rPr>
          <w:rFonts w:ascii="Arial" w:hAnsi="Arial" w:cs="Arial"/>
          <w:sz w:val="20"/>
        </w:rPr>
        <w:t xml:space="preserve">the </w:t>
      </w:r>
      <w:r w:rsidRPr="004D7413">
        <w:rPr>
          <w:rFonts w:ascii="Arial" w:hAnsi="Arial" w:cs="Arial"/>
          <w:sz w:val="20"/>
        </w:rPr>
        <w:t>recorded voice.</w:t>
      </w:r>
    </w:p>
    <w:p w14:paraId="04648624" w14:textId="77777777" w:rsidR="004D7413" w:rsidRDefault="004D7413" w:rsidP="005C1DBA">
      <w:pPr>
        <w:jc w:val="both"/>
        <w:rPr>
          <w:rFonts w:ascii="Arial" w:hAnsi="Arial" w:cs="Arial"/>
          <w:sz w:val="20"/>
        </w:rPr>
      </w:pPr>
    </w:p>
    <w:p w14:paraId="6C4A5896" w14:textId="5A99CDFF" w:rsidR="0022246F" w:rsidRPr="009F25D4" w:rsidRDefault="0019386A" w:rsidP="0022246F">
      <w:pPr>
        <w:pStyle w:val="Heading3"/>
        <w:keepNext/>
        <w:spacing w:line="240" w:lineRule="auto"/>
        <w:rPr>
          <w:rFonts w:ascii="Arial" w:hAnsi="Arial" w:cs="Arial"/>
          <w:b/>
          <w:bCs/>
          <w:color w:val="000000"/>
          <w:sz w:val="20"/>
        </w:rPr>
      </w:pPr>
      <w:bookmarkStart w:id="600" w:name="_3.5.3.6_Other_cases"/>
      <w:bookmarkStart w:id="601" w:name="B3536"/>
      <w:bookmarkStart w:id="602" w:name="_3.5.3.5_Illegally_or"/>
      <w:bookmarkStart w:id="603" w:name="B3535"/>
      <w:bookmarkEnd w:id="600"/>
      <w:bookmarkEnd w:id="601"/>
      <w:bookmarkEnd w:id="602"/>
      <w:bookmarkEnd w:id="603"/>
      <w:r w:rsidRPr="008C3BC8">
        <w:rPr>
          <w:rFonts w:ascii="Arial" w:hAnsi="Arial" w:cs="Arial"/>
          <w:b/>
          <w:bCs/>
          <w:color w:val="000000"/>
          <w:sz w:val="20"/>
        </w:rPr>
        <w:t>3.5.</w:t>
      </w:r>
      <w:r>
        <w:rPr>
          <w:rFonts w:ascii="Arial" w:hAnsi="Arial" w:cs="Arial"/>
          <w:b/>
          <w:bCs/>
          <w:color w:val="000000"/>
          <w:sz w:val="20"/>
        </w:rPr>
        <w:t>3.</w:t>
      </w:r>
      <w:r w:rsidR="000F2CE5">
        <w:rPr>
          <w:rFonts w:ascii="Arial" w:hAnsi="Arial" w:cs="Arial"/>
          <w:b/>
          <w:bCs/>
          <w:color w:val="000000"/>
          <w:sz w:val="20"/>
        </w:rPr>
        <w:t>6</w:t>
      </w:r>
      <w:r>
        <w:rPr>
          <w:rFonts w:ascii="Arial" w:hAnsi="Arial" w:cs="Arial"/>
          <w:b/>
          <w:bCs/>
          <w:color w:val="000000"/>
          <w:sz w:val="20"/>
        </w:rPr>
        <w:tab/>
      </w:r>
      <w:r w:rsidR="00CF0C70">
        <w:rPr>
          <w:rFonts w:ascii="Arial" w:hAnsi="Arial" w:cs="Arial"/>
          <w:b/>
          <w:color w:val="000000"/>
          <w:sz w:val="20"/>
        </w:rPr>
        <w:t xml:space="preserve">Illegally </w:t>
      </w:r>
      <w:r w:rsidR="0086178A">
        <w:rPr>
          <w:rFonts w:ascii="Arial" w:hAnsi="Arial" w:cs="Arial"/>
          <w:b/>
          <w:color w:val="000000"/>
          <w:sz w:val="20"/>
        </w:rPr>
        <w:t xml:space="preserve">or improperly </w:t>
      </w:r>
      <w:r w:rsidR="00CF0C70">
        <w:rPr>
          <w:rFonts w:ascii="Arial" w:hAnsi="Arial" w:cs="Arial"/>
          <w:b/>
          <w:color w:val="000000"/>
          <w:sz w:val="20"/>
        </w:rPr>
        <w:t>obtain</w:t>
      </w:r>
      <w:r w:rsidR="00241128">
        <w:rPr>
          <w:rFonts w:ascii="Arial" w:hAnsi="Arial" w:cs="Arial"/>
          <w:b/>
          <w:color w:val="000000"/>
          <w:sz w:val="20"/>
        </w:rPr>
        <w:t>e</w:t>
      </w:r>
      <w:r w:rsidR="00CF0C70">
        <w:rPr>
          <w:rFonts w:ascii="Arial" w:hAnsi="Arial" w:cs="Arial"/>
          <w:b/>
          <w:color w:val="000000"/>
          <w:sz w:val="20"/>
        </w:rPr>
        <w:t>d evidence</w:t>
      </w:r>
    </w:p>
    <w:p w14:paraId="7B3571A4" w14:textId="77777777" w:rsidR="0086178A" w:rsidRPr="00FD0640" w:rsidRDefault="0086178A" w:rsidP="0086178A">
      <w:pPr>
        <w:spacing w:before="120"/>
        <w:jc w:val="both"/>
        <w:rPr>
          <w:rFonts w:ascii="Arial" w:hAnsi="Arial" w:cs="Arial"/>
          <w:color w:val="000000"/>
          <w:sz w:val="20"/>
        </w:rPr>
      </w:pPr>
      <w:r>
        <w:rPr>
          <w:rFonts w:ascii="Arial" w:hAnsi="Arial" w:cs="Arial"/>
          <w:sz w:val="20"/>
        </w:rPr>
        <w:t xml:space="preserve">Admissibility of illegally or improperly obtained evidence is subject to the common law discretion to exclude it, as discussed in </w:t>
      </w:r>
      <w:r>
        <w:rPr>
          <w:rFonts w:ascii="Arial" w:hAnsi="Arial" w:cs="Arial"/>
          <w:i/>
          <w:iCs/>
          <w:sz w:val="20"/>
        </w:rPr>
        <w:t>Bunning v Cross</w:t>
      </w:r>
      <w:r>
        <w:rPr>
          <w:rFonts w:ascii="Arial" w:hAnsi="Arial" w:cs="Arial"/>
          <w:sz w:val="20"/>
        </w:rPr>
        <w:t xml:space="preserve"> (1978) 141 CLR 54.  </w:t>
      </w:r>
      <w:r w:rsidRPr="00FD0640">
        <w:rPr>
          <w:rFonts w:ascii="Arial" w:hAnsi="Arial" w:cs="Arial"/>
          <w:color w:val="000000"/>
          <w:sz w:val="20"/>
        </w:rPr>
        <w:t>Th</w:t>
      </w:r>
      <w:r>
        <w:rPr>
          <w:rFonts w:ascii="Arial" w:hAnsi="Arial" w:cs="Arial"/>
          <w:color w:val="000000"/>
          <w:sz w:val="20"/>
        </w:rPr>
        <w:t>at</w:t>
      </w:r>
      <w:r w:rsidRPr="00FD0640">
        <w:rPr>
          <w:rFonts w:ascii="Arial" w:hAnsi="Arial" w:cs="Arial"/>
          <w:color w:val="000000"/>
          <w:sz w:val="20"/>
        </w:rPr>
        <w:t xml:space="preserve"> common law public policy exclusionary discretion has now been modified by s.138 of the </w:t>
      </w:r>
      <w:r w:rsidRPr="0058675C">
        <w:rPr>
          <w:rFonts w:ascii="Arial" w:hAnsi="Arial" w:cs="Arial"/>
          <w:i/>
          <w:iCs/>
          <w:color w:val="000000"/>
          <w:sz w:val="20"/>
        </w:rPr>
        <w:t>Evidence Act 2008</w:t>
      </w:r>
      <w:r w:rsidRPr="00FD0640">
        <w:rPr>
          <w:rFonts w:ascii="Arial" w:hAnsi="Arial" w:cs="Arial"/>
          <w:color w:val="000000"/>
          <w:sz w:val="20"/>
        </w:rPr>
        <w:t xml:space="preserve"> which provides:</w:t>
      </w:r>
    </w:p>
    <w:p w14:paraId="4C55AA39" w14:textId="612A145C" w:rsidR="0086178A" w:rsidRPr="00FD0640" w:rsidRDefault="0086178A" w:rsidP="002B1B43">
      <w:pPr>
        <w:spacing w:before="120"/>
        <w:ind w:left="1134" w:right="567" w:hanging="567"/>
        <w:jc w:val="both"/>
        <w:rPr>
          <w:rFonts w:ascii="Arial" w:hAnsi="Arial" w:cs="Arial"/>
          <w:color w:val="000000"/>
          <w:sz w:val="20"/>
        </w:rPr>
      </w:pPr>
      <w:r w:rsidRPr="00FD0640">
        <w:rPr>
          <w:rFonts w:ascii="Arial" w:hAnsi="Arial" w:cs="Arial"/>
          <w:color w:val="000000"/>
          <w:sz w:val="20"/>
        </w:rPr>
        <w:t>“(1)</w:t>
      </w:r>
      <w:r w:rsidRPr="00FD0640">
        <w:rPr>
          <w:rFonts w:ascii="Arial" w:hAnsi="Arial" w:cs="Arial"/>
          <w:color w:val="000000"/>
          <w:sz w:val="20"/>
        </w:rPr>
        <w:tab/>
        <w:t>Evidence that was obtained</w:t>
      </w:r>
      <w:r w:rsidR="00DD0DA0" w:rsidRPr="00A31FFA">
        <w:rPr>
          <w:rFonts w:ascii="Arial" w:hAnsi="Arial" w:cs="Arial"/>
          <w:sz w:val="20"/>
        </w:rPr>
        <w:t>–</w:t>
      </w:r>
    </w:p>
    <w:p w14:paraId="0D701A1D" w14:textId="77777777" w:rsidR="0086178A" w:rsidRPr="00FD0640" w:rsidRDefault="0086178A" w:rsidP="0086178A">
      <w:pPr>
        <w:tabs>
          <w:tab w:val="left" w:pos="567"/>
        </w:tabs>
        <w:ind w:left="1701"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improperly or in contravention of an Australian law; or</w:t>
      </w:r>
    </w:p>
    <w:p w14:paraId="20A67000" w14:textId="69273576" w:rsidR="0086178A" w:rsidRPr="00FD0640" w:rsidRDefault="0086178A" w:rsidP="0086178A">
      <w:pPr>
        <w:tabs>
          <w:tab w:val="left" w:pos="567"/>
        </w:tabs>
        <w:ind w:left="1701"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in consequence of an impropriety or of a contravention of an Australian law</w:t>
      </w:r>
      <w:r w:rsidR="00DD0DA0" w:rsidRPr="00A31FFA">
        <w:rPr>
          <w:rFonts w:ascii="Arial" w:hAnsi="Arial" w:cs="Arial"/>
          <w:sz w:val="20"/>
        </w:rPr>
        <w:t>–</w:t>
      </w:r>
    </w:p>
    <w:p w14:paraId="2C2382F2" w14:textId="724DDCAF" w:rsidR="0086178A" w:rsidRPr="00FD0640" w:rsidRDefault="00E9533E" w:rsidP="0086178A">
      <w:pPr>
        <w:ind w:left="1134" w:right="567"/>
        <w:jc w:val="both"/>
        <w:rPr>
          <w:rFonts w:ascii="Arial" w:hAnsi="Arial" w:cs="Arial"/>
          <w:color w:val="000000"/>
          <w:sz w:val="20"/>
        </w:rPr>
      </w:pPr>
      <w:r>
        <w:rPr>
          <w:rFonts w:ascii="Arial" w:hAnsi="Arial" w:cs="Arial"/>
          <w:color w:val="000000"/>
          <w:sz w:val="20"/>
        </w:rPr>
        <w:t>i</w:t>
      </w:r>
      <w:r w:rsidR="0086178A" w:rsidRPr="00FD0640">
        <w:rPr>
          <w:rFonts w:ascii="Arial" w:hAnsi="Arial" w:cs="Arial"/>
          <w:color w:val="000000"/>
          <w:sz w:val="20"/>
        </w:rPr>
        <w:t>s not to be admitted unless the desirability of admitting the evidence outweighs the undesirability of admitting evidence that has been obtained in the way in which the evidence was obtained.</w:t>
      </w:r>
    </w:p>
    <w:p w14:paraId="69635AAC" w14:textId="7FAA3965" w:rsidR="0086178A" w:rsidRPr="00FD0640" w:rsidRDefault="0086178A" w:rsidP="00A51A86">
      <w:pPr>
        <w:spacing w:before="120"/>
        <w:ind w:left="1134" w:right="567" w:hanging="567"/>
        <w:jc w:val="both"/>
        <w:rPr>
          <w:rFonts w:ascii="Arial" w:hAnsi="Arial" w:cs="Arial"/>
          <w:color w:val="000000"/>
          <w:sz w:val="20"/>
        </w:rPr>
      </w:pPr>
      <w:r w:rsidRPr="00FD0640">
        <w:rPr>
          <w:rFonts w:ascii="Arial" w:hAnsi="Arial" w:cs="Arial"/>
          <w:color w:val="000000"/>
          <w:sz w:val="20"/>
        </w:rPr>
        <w:t>(2)</w:t>
      </w:r>
      <w:r w:rsidRPr="00FD0640">
        <w:rPr>
          <w:rFonts w:ascii="Arial" w:hAnsi="Arial" w:cs="Arial"/>
          <w:color w:val="000000"/>
          <w:sz w:val="20"/>
        </w:rPr>
        <w:tab/>
        <w:t>Without limiting subsection (1), evidence of an admission that was made during or in consequence of questioning, and evidence obtained in consequence of the admission, is taken to have been obtained improperly if the person conducting the questioning</w:t>
      </w:r>
      <w:r w:rsidR="00DD0DA0" w:rsidRPr="00A31FFA">
        <w:rPr>
          <w:rFonts w:ascii="Arial" w:hAnsi="Arial" w:cs="Arial"/>
          <w:sz w:val="20"/>
        </w:rPr>
        <w:t>–</w:t>
      </w:r>
    </w:p>
    <w:p w14:paraId="239A73BE"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did, or omitted to do, an act in the course of the questioning even though he or she knew or ought reasonably to have known that the act or omission was likely to impair substantially the ability of the person being questioned to respond rationally to the questioning; or</w:t>
      </w:r>
    </w:p>
    <w:p w14:paraId="77571224"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made a false statement in the course of the questioning even though he or she knew or ought reasonably to have known that the statement was false and that making the false statement was likely to cause the person who was being questioned to make an admission.</w:t>
      </w:r>
    </w:p>
    <w:p w14:paraId="625FF247" w14:textId="12968DB3" w:rsidR="0086178A" w:rsidRPr="00FD0640" w:rsidRDefault="0086178A" w:rsidP="0086178A">
      <w:pPr>
        <w:spacing w:before="120"/>
        <w:ind w:left="1134" w:right="567" w:hanging="567"/>
        <w:jc w:val="both"/>
        <w:rPr>
          <w:rFonts w:ascii="Arial" w:hAnsi="Arial" w:cs="Arial"/>
          <w:color w:val="000000"/>
          <w:sz w:val="20"/>
        </w:rPr>
      </w:pPr>
      <w:r w:rsidRPr="00FD0640">
        <w:rPr>
          <w:rFonts w:ascii="Arial" w:hAnsi="Arial" w:cs="Arial"/>
          <w:color w:val="000000"/>
          <w:sz w:val="20"/>
        </w:rPr>
        <w:t>(3)</w:t>
      </w:r>
      <w:r w:rsidRPr="00FD0640">
        <w:rPr>
          <w:rFonts w:ascii="Arial" w:hAnsi="Arial" w:cs="Arial"/>
          <w:color w:val="000000"/>
          <w:sz w:val="20"/>
        </w:rPr>
        <w:tab/>
        <w:t>Without limiting the matters that the court may take into account under subsection (1), it is to take into account</w:t>
      </w:r>
      <w:r w:rsidR="00DD0DA0" w:rsidRPr="00A31FFA">
        <w:rPr>
          <w:rFonts w:ascii="Arial" w:hAnsi="Arial" w:cs="Arial"/>
          <w:sz w:val="20"/>
        </w:rPr>
        <w:t>–</w:t>
      </w:r>
    </w:p>
    <w:p w14:paraId="15DE69BC"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the probative value of the evidence; and</w:t>
      </w:r>
    </w:p>
    <w:p w14:paraId="108AFFE8"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the importance of the evidence in the proceeding; and</w:t>
      </w:r>
    </w:p>
    <w:p w14:paraId="3F881A02"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(c)</w:t>
      </w:r>
      <w:r w:rsidRPr="00FD0640">
        <w:rPr>
          <w:rFonts w:ascii="Arial" w:hAnsi="Arial" w:cs="Arial"/>
          <w:color w:val="000000"/>
          <w:sz w:val="20"/>
        </w:rPr>
        <w:tab/>
        <w:t>the nature of the relevant offence, cause of action or defence and the nature of the subject-matter of the proceeding; and</w:t>
      </w:r>
    </w:p>
    <w:p w14:paraId="635A9771"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(d)</w:t>
      </w:r>
      <w:r w:rsidRPr="00FD0640">
        <w:rPr>
          <w:rFonts w:ascii="Arial" w:hAnsi="Arial" w:cs="Arial"/>
          <w:color w:val="000000"/>
          <w:sz w:val="20"/>
        </w:rPr>
        <w:tab/>
        <w:t>the gravity of the impropriety or contravention; and</w:t>
      </w:r>
    </w:p>
    <w:p w14:paraId="2570A64A"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(e)</w:t>
      </w:r>
      <w:r w:rsidRPr="00FD0640">
        <w:rPr>
          <w:rFonts w:ascii="Arial" w:hAnsi="Arial" w:cs="Arial"/>
          <w:color w:val="000000"/>
          <w:sz w:val="20"/>
        </w:rPr>
        <w:tab/>
        <w:t>whether the impropriety or contravention was deliberate or reckless; and</w:t>
      </w:r>
    </w:p>
    <w:p w14:paraId="6DA82F5C"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lastRenderedPageBreak/>
        <w:t>(f)</w:t>
      </w:r>
      <w:r w:rsidRPr="00FD0640">
        <w:rPr>
          <w:rFonts w:ascii="Arial" w:hAnsi="Arial" w:cs="Arial"/>
          <w:color w:val="000000"/>
          <w:sz w:val="20"/>
        </w:rPr>
        <w:tab/>
        <w:t>whether the impropriety or contravention was contrary to or inconsistent with a right of a person recognized by the the International Covenant on Civil and Political Rights; and</w:t>
      </w:r>
    </w:p>
    <w:p w14:paraId="682DCB63"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(g)</w:t>
      </w:r>
      <w:r w:rsidRPr="00FD0640">
        <w:rPr>
          <w:rFonts w:ascii="Arial" w:hAnsi="Arial" w:cs="Arial"/>
          <w:color w:val="000000"/>
          <w:sz w:val="20"/>
        </w:rPr>
        <w:tab/>
        <w:t>whether any other proceeding (whether or not in a court) has been or is likely to be taken in relation to the impropriety or contravention; and</w:t>
      </w:r>
    </w:p>
    <w:p w14:paraId="3FE0959E"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(h)</w:t>
      </w:r>
      <w:r w:rsidRPr="00FD0640">
        <w:rPr>
          <w:rFonts w:ascii="Arial" w:hAnsi="Arial" w:cs="Arial"/>
          <w:color w:val="000000"/>
          <w:sz w:val="20"/>
        </w:rPr>
        <w:tab/>
        <w:t>the difficulty (if any) of obtaining the evidence without impropriety or contravention of an Australian law.”</w:t>
      </w:r>
    </w:p>
    <w:p w14:paraId="25D8A385" w14:textId="77777777" w:rsidR="0086178A" w:rsidRDefault="0086178A" w:rsidP="00523E9C">
      <w:pPr>
        <w:jc w:val="both"/>
        <w:rPr>
          <w:rFonts w:ascii="Arial" w:hAnsi="Arial" w:cs="Arial"/>
          <w:color w:val="000000"/>
          <w:sz w:val="20"/>
        </w:rPr>
      </w:pPr>
    </w:p>
    <w:p w14:paraId="0305E5FC" w14:textId="77777777" w:rsidR="0086178A" w:rsidRDefault="0086178A" w:rsidP="0086178A">
      <w:pPr>
        <w:jc w:val="both"/>
        <w:rPr>
          <w:rFonts w:ascii="Arial" w:hAnsi="Arial" w:cs="Arial"/>
          <w:color w:val="000000"/>
          <w:sz w:val="20"/>
        </w:rPr>
      </w:pPr>
      <w:r>
        <w:rPr>
          <w:rFonts w:ascii="Arial" w:hAnsi="Arial" w:cs="Arial"/>
          <w:color w:val="000000"/>
          <w:sz w:val="20"/>
        </w:rPr>
        <w:t xml:space="preserve">In </w:t>
      </w:r>
      <w:r w:rsidRPr="00650181">
        <w:rPr>
          <w:rFonts w:ascii="Arial" w:hAnsi="Arial" w:cs="Arial"/>
          <w:i/>
          <w:iCs/>
          <w:color w:val="000000"/>
          <w:sz w:val="20"/>
        </w:rPr>
        <w:t>Kadir v The Queen; Grech v The Queen</w:t>
      </w:r>
      <w:r>
        <w:rPr>
          <w:rFonts w:ascii="Arial" w:hAnsi="Arial" w:cs="Arial"/>
          <w:color w:val="000000"/>
          <w:sz w:val="20"/>
        </w:rPr>
        <w:t xml:space="preserve"> [2020] HCA 1 the appellants were jointly charged with acts of serious animal cruelty arising from the alleged use of rabbits as live bait in training racing greyhounds.  At the trial the prosecution proposed to tender 7 video recordings made by Animals Australia in contravention of s.8(1) of the </w:t>
      </w:r>
      <w:r w:rsidRPr="00E525BE">
        <w:rPr>
          <w:rFonts w:ascii="Arial" w:hAnsi="Arial" w:cs="Arial"/>
          <w:i/>
          <w:iCs/>
          <w:color w:val="000000"/>
          <w:sz w:val="20"/>
        </w:rPr>
        <w:t>Surveillance Devices Act 2007</w:t>
      </w:r>
      <w:r>
        <w:rPr>
          <w:rFonts w:ascii="Arial" w:hAnsi="Arial" w:cs="Arial"/>
          <w:color w:val="000000"/>
          <w:sz w:val="20"/>
        </w:rPr>
        <w:t xml:space="preserve"> (NSW).  Armed with this material officers of the RSPCA obtained a search warrant for the property and material supportive of the prosecution case was obtained as a consequence of the execution of the search warrant.  Further, acting at the request of Animals Australia the photographer, Ms Lynch, engaged in conversations with Mr Kadir in which he is alleged to have made admissions.  On a </w:t>
      </w:r>
      <w:r w:rsidRPr="00063071">
        <w:rPr>
          <w:rFonts w:ascii="Arial" w:hAnsi="Arial" w:cs="Arial"/>
          <w:i/>
          <w:iCs/>
          <w:color w:val="000000"/>
          <w:sz w:val="20"/>
        </w:rPr>
        <w:t>voir dire</w:t>
      </w:r>
      <w:r>
        <w:rPr>
          <w:rFonts w:ascii="Arial" w:hAnsi="Arial" w:cs="Arial"/>
          <w:color w:val="000000"/>
          <w:sz w:val="20"/>
        </w:rPr>
        <w:t xml:space="preserve"> the trial judge found that (1) the surveillance evidence had been obtained improperly or in contravention of Australian law and that (2) the search warrant evidence and (3) the admissions had been obtained in consequence of that contravention. Holding that the desirability of admitting the evidence was outweighed by the undesirability of admitting evidence obtained in the way the evidence had been obtained his Honour, applying s.138(1) of the </w:t>
      </w:r>
      <w:r w:rsidRPr="0058675C">
        <w:rPr>
          <w:rFonts w:ascii="Arial" w:hAnsi="Arial" w:cs="Arial"/>
          <w:i/>
          <w:iCs/>
          <w:color w:val="000000"/>
          <w:sz w:val="20"/>
        </w:rPr>
        <w:t>Evidence Act 2008</w:t>
      </w:r>
      <w:r>
        <w:rPr>
          <w:rFonts w:ascii="Arial" w:hAnsi="Arial" w:cs="Arial"/>
          <w:color w:val="000000"/>
          <w:sz w:val="20"/>
        </w:rPr>
        <w:t>, ruled that each of the 3 categories of impugned evidence was inadmissible.  The Court of Criminal Appeal reversed this ruling, holding that the desirability of admitting each of the 3 categories of evidence outweighed the undesirability of admitting evidence obtained in the way the evidence was obtained: [2017] NSWCCA 288 at [111], [130] &amp; [142].  In its joint judgment the High Court (Kiefel CJ, Bell, Keane, Nettle &amp; Edelman JJ)</w:t>
      </w:r>
      <w:r w:rsidRPr="0089368A">
        <w:rPr>
          <w:rFonts w:ascii="Arial" w:hAnsi="Arial" w:cs="Arial"/>
          <w:color w:val="000000"/>
          <w:sz w:val="20"/>
        </w:rPr>
        <w:t xml:space="preserve"> </w:t>
      </w:r>
      <w:r>
        <w:rPr>
          <w:rFonts w:ascii="Arial" w:hAnsi="Arial" w:cs="Arial"/>
          <w:color w:val="000000"/>
          <w:sz w:val="20"/>
        </w:rPr>
        <w:t>took an intermediate position, holding at [9]:</w:t>
      </w:r>
    </w:p>
    <w:p w14:paraId="14549EA9" w14:textId="77777777" w:rsidR="0086178A" w:rsidRDefault="0086178A" w:rsidP="00FC57FC">
      <w:pPr>
        <w:spacing w:before="60" w:after="60"/>
        <w:ind w:left="567" w:right="567"/>
        <w:jc w:val="both"/>
        <w:rPr>
          <w:rFonts w:ascii="Arial" w:hAnsi="Arial" w:cs="Arial"/>
          <w:sz w:val="20"/>
        </w:rPr>
      </w:pPr>
      <w:r>
        <w:rPr>
          <w:rFonts w:ascii="Arial" w:hAnsi="Arial" w:cs="Arial"/>
          <w:sz w:val="20"/>
        </w:rPr>
        <w:t>“The trial judge’s conclusion that all of the surveillance evidence should be excluded was correct.  The Court of Criminal Appeal was right to find that the trial judge’s assessment of the admissibility of the search warrant evidence and the admissions was flawed.  The Court of Criminal Appeal’s conclusion that each of these items of evidence is admissible is correct.”</w:t>
      </w:r>
    </w:p>
    <w:p w14:paraId="0D577006" w14:textId="77777777" w:rsidR="0086178A" w:rsidRDefault="0086178A" w:rsidP="0086178A">
      <w:pPr>
        <w:spacing w:before="60"/>
        <w:jc w:val="both"/>
        <w:rPr>
          <w:rFonts w:ascii="Arial" w:hAnsi="Arial" w:cs="Arial"/>
          <w:color w:val="000000"/>
          <w:sz w:val="20"/>
        </w:rPr>
      </w:pPr>
      <w:r>
        <w:rPr>
          <w:rFonts w:ascii="Arial" w:hAnsi="Arial" w:cs="Arial"/>
          <w:color w:val="000000"/>
          <w:sz w:val="20"/>
        </w:rPr>
        <w:t>At [11]-[20] their Honours traced the aetiology of s.138, noting at [15] that “the Act does not provide guidance as to the relative weighing of each s.138(3) factor” and holding at [13]:</w:t>
      </w:r>
    </w:p>
    <w:p w14:paraId="6E714A41" w14:textId="77777777" w:rsidR="0086178A" w:rsidRDefault="0086178A" w:rsidP="0086178A">
      <w:pPr>
        <w:spacing w:before="60" w:after="60"/>
        <w:ind w:left="567" w:right="567"/>
        <w:jc w:val="both"/>
        <w:rPr>
          <w:rFonts w:ascii="Arial" w:hAnsi="Arial" w:cs="Arial"/>
          <w:sz w:val="20"/>
        </w:rPr>
      </w:pPr>
      <w:r>
        <w:rPr>
          <w:rFonts w:ascii="Arial" w:hAnsi="Arial" w:cs="Arial"/>
          <w:sz w:val="20"/>
        </w:rPr>
        <w:t xml:space="preserve">“As s.138 is not </w:t>
      </w:r>
      <w:r w:rsidRPr="002A06EA">
        <w:rPr>
          <w:rFonts w:ascii="Arial" w:hAnsi="Arial" w:cs="Arial"/>
          <w:sz w:val="20"/>
          <w:szCs w:val="20"/>
        </w:rPr>
        <w:t xml:space="preserve">confined to criminal proceedings </w:t>
      </w:r>
      <w:r>
        <w:rPr>
          <w:rFonts w:ascii="Arial" w:hAnsi="Arial" w:cs="Arial"/>
          <w:sz w:val="20"/>
          <w:szCs w:val="20"/>
        </w:rPr>
        <w:t xml:space="preserve">or </w:t>
      </w:r>
      <w:r w:rsidRPr="002A06EA">
        <w:rPr>
          <w:rFonts w:ascii="Arial" w:hAnsi="Arial" w:cs="Arial"/>
          <w:sz w:val="20"/>
          <w:szCs w:val="20"/>
        </w:rPr>
        <w:t>to evidence obtained by, or in</w:t>
      </w:r>
      <w:r>
        <w:rPr>
          <w:rFonts w:ascii="Arial" w:hAnsi="Arial" w:cs="Arial"/>
          <w:sz w:val="20"/>
          <w:szCs w:val="20"/>
        </w:rPr>
        <w:t xml:space="preserve"> </w:t>
      </w:r>
      <w:r w:rsidRPr="002A06EA">
        <w:rPr>
          <w:rFonts w:ascii="Arial" w:hAnsi="Arial" w:cs="Arial"/>
          <w:sz w:val="20"/>
          <w:szCs w:val="20"/>
        </w:rPr>
        <w:t xml:space="preserve">consequence of, the misconduct of those engaged in law enforcement, the public interests </w:t>
      </w:r>
      <w:r>
        <w:rPr>
          <w:rFonts w:ascii="Arial" w:hAnsi="Arial" w:cs="Arial"/>
          <w:sz w:val="20"/>
          <w:szCs w:val="20"/>
        </w:rPr>
        <w:t>that</w:t>
      </w:r>
      <w:r w:rsidRPr="002A06EA">
        <w:rPr>
          <w:rFonts w:ascii="Arial" w:hAnsi="Arial" w:cs="Arial"/>
          <w:sz w:val="20"/>
          <w:szCs w:val="20"/>
        </w:rPr>
        <w:t xml:space="preserve"> the court is required to weigh a</w:t>
      </w:r>
      <w:r>
        <w:rPr>
          <w:rFonts w:ascii="Arial" w:hAnsi="Arial" w:cs="Arial"/>
          <w:sz w:val="20"/>
          <w:szCs w:val="20"/>
        </w:rPr>
        <w:t>re</w:t>
      </w:r>
      <w:r w:rsidRPr="002A06EA">
        <w:rPr>
          <w:rFonts w:ascii="Arial" w:hAnsi="Arial" w:cs="Arial"/>
          <w:sz w:val="20"/>
          <w:szCs w:val="20"/>
        </w:rPr>
        <w:t xml:space="preserve"> broader than those weighed in the exercise of the </w:t>
      </w:r>
      <w:r w:rsidRPr="003E1D36">
        <w:rPr>
          <w:rFonts w:ascii="Arial" w:hAnsi="Arial" w:cs="Arial"/>
          <w:i/>
          <w:iCs/>
          <w:sz w:val="20"/>
          <w:szCs w:val="20"/>
        </w:rPr>
        <w:t>Bunning v Cross</w:t>
      </w:r>
      <w:r w:rsidRPr="002A06EA">
        <w:rPr>
          <w:rFonts w:ascii="Arial" w:hAnsi="Arial" w:cs="Arial"/>
          <w:sz w:val="20"/>
          <w:szCs w:val="20"/>
        </w:rPr>
        <w:t xml:space="preserve"> discretion. The desirability of admitting evidence recognises the public interest in all relevant evidence being before the fact</w:t>
      </w:r>
      <w:r>
        <w:rPr>
          <w:rFonts w:ascii="Arial" w:hAnsi="Arial" w:cs="Arial"/>
          <w:sz w:val="20"/>
          <w:szCs w:val="20"/>
        </w:rPr>
        <w:t>-</w:t>
      </w:r>
      <w:r w:rsidRPr="002A06EA">
        <w:rPr>
          <w:rFonts w:ascii="Arial" w:hAnsi="Arial" w:cs="Arial"/>
          <w:sz w:val="20"/>
          <w:szCs w:val="20"/>
        </w:rPr>
        <w:t>finding tribunal. The undesirab</w:t>
      </w:r>
      <w:r>
        <w:rPr>
          <w:rFonts w:ascii="Arial" w:hAnsi="Arial" w:cs="Arial"/>
          <w:sz w:val="20"/>
          <w:szCs w:val="20"/>
        </w:rPr>
        <w:t>ility</w:t>
      </w:r>
      <w:r w:rsidRPr="002A06EA">
        <w:rPr>
          <w:rFonts w:ascii="Arial" w:hAnsi="Arial" w:cs="Arial"/>
          <w:sz w:val="20"/>
          <w:szCs w:val="20"/>
        </w:rPr>
        <w:t xml:space="preserve"> of admitting evidence recognises the public interest in not giving curial approval, or encouragement, to illegally or improperly obtaining evidence generally. In a criminal proceeding in which the prosecution seeks to </w:t>
      </w:r>
      <w:r>
        <w:rPr>
          <w:rFonts w:ascii="Arial" w:hAnsi="Arial" w:cs="Arial"/>
          <w:sz w:val="20"/>
          <w:szCs w:val="20"/>
        </w:rPr>
        <w:t>ad</w:t>
      </w:r>
      <w:r w:rsidRPr="002A06EA">
        <w:rPr>
          <w:rFonts w:ascii="Arial" w:hAnsi="Arial" w:cs="Arial"/>
          <w:sz w:val="20"/>
          <w:szCs w:val="20"/>
        </w:rPr>
        <w:t>duce evidence that has been improperly or illegally obtained by the police or another l</w:t>
      </w:r>
      <w:r>
        <w:rPr>
          <w:rFonts w:ascii="Arial" w:hAnsi="Arial" w:cs="Arial"/>
          <w:sz w:val="20"/>
          <w:szCs w:val="20"/>
        </w:rPr>
        <w:t>aw</w:t>
      </w:r>
      <w:r w:rsidRPr="002A06EA">
        <w:rPr>
          <w:rFonts w:ascii="Arial" w:hAnsi="Arial" w:cs="Arial"/>
          <w:sz w:val="20"/>
          <w:szCs w:val="20"/>
        </w:rPr>
        <w:t xml:space="preserve"> enforcement agency, the more focused public interests identified in </w:t>
      </w:r>
      <w:r w:rsidRPr="003E1D36">
        <w:rPr>
          <w:rFonts w:ascii="Arial" w:hAnsi="Arial" w:cs="Arial"/>
          <w:i/>
          <w:iCs/>
          <w:sz w:val="20"/>
          <w:szCs w:val="20"/>
        </w:rPr>
        <w:t>Bunning v Cross</w:t>
      </w:r>
      <w:r w:rsidRPr="002A06EA">
        <w:rPr>
          <w:rFonts w:ascii="Arial" w:hAnsi="Arial" w:cs="Arial"/>
          <w:sz w:val="20"/>
          <w:szCs w:val="20"/>
        </w:rPr>
        <w:t xml:space="preserve"> remain apt.</w:t>
      </w:r>
      <w:r>
        <w:rPr>
          <w:rFonts w:ascii="Arial" w:hAnsi="Arial" w:cs="Arial"/>
          <w:sz w:val="20"/>
          <w:szCs w:val="20"/>
        </w:rPr>
        <w:t>”</w:t>
      </w:r>
    </w:p>
    <w:p w14:paraId="0B3A82AC" w14:textId="77777777" w:rsidR="0086178A" w:rsidRDefault="0086178A" w:rsidP="0086178A">
      <w:pPr>
        <w:jc w:val="both"/>
        <w:rPr>
          <w:rFonts w:ascii="Arial" w:hAnsi="Arial" w:cs="Arial"/>
          <w:color w:val="000000"/>
          <w:sz w:val="20"/>
        </w:rPr>
      </w:pPr>
      <w:r>
        <w:rPr>
          <w:rFonts w:ascii="Arial" w:hAnsi="Arial" w:cs="Arial"/>
          <w:color w:val="000000"/>
          <w:sz w:val="20"/>
        </w:rPr>
        <w:t>In holding that the none of the surveillance evidence was admissible, their Honours said at [37]:</w:t>
      </w:r>
    </w:p>
    <w:p w14:paraId="5EB3B90E" w14:textId="77777777" w:rsidR="0086178A" w:rsidRDefault="0086178A" w:rsidP="0086178A">
      <w:pPr>
        <w:spacing w:before="60" w:after="60"/>
        <w:ind w:left="567" w:right="567"/>
        <w:jc w:val="both"/>
        <w:rPr>
          <w:rFonts w:ascii="Arial" w:hAnsi="Arial" w:cs="Arial"/>
          <w:sz w:val="20"/>
        </w:rPr>
      </w:pPr>
      <w:r>
        <w:rPr>
          <w:rFonts w:ascii="Arial" w:hAnsi="Arial" w:cs="Arial"/>
          <w:sz w:val="20"/>
        </w:rPr>
        <w:t>“</w:t>
      </w:r>
      <w:r w:rsidRPr="007B42D6">
        <w:rPr>
          <w:rFonts w:ascii="Arial" w:hAnsi="Arial" w:cs="Arial"/>
          <w:sz w:val="20"/>
          <w:szCs w:val="20"/>
        </w:rPr>
        <w:t xml:space="preserve">The gravity of the contravention </w:t>
      </w:r>
      <w:r>
        <w:rPr>
          <w:rFonts w:ascii="Arial" w:hAnsi="Arial" w:cs="Arial"/>
          <w:sz w:val="20"/>
          <w:szCs w:val="20"/>
        </w:rPr>
        <w:t>{s.</w:t>
      </w:r>
      <w:r w:rsidRPr="007B42D6">
        <w:rPr>
          <w:rFonts w:ascii="Arial" w:hAnsi="Arial" w:cs="Arial"/>
          <w:sz w:val="20"/>
          <w:szCs w:val="20"/>
        </w:rPr>
        <w:t>138</w:t>
      </w:r>
      <w:r>
        <w:rPr>
          <w:rFonts w:ascii="Arial" w:hAnsi="Arial" w:cs="Arial"/>
          <w:sz w:val="20"/>
          <w:szCs w:val="20"/>
        </w:rPr>
        <w:t xml:space="preserve">(3)(d)} </w:t>
      </w:r>
      <w:r w:rsidRPr="007B42D6">
        <w:rPr>
          <w:rFonts w:ascii="Arial" w:hAnsi="Arial" w:cs="Arial"/>
          <w:sz w:val="20"/>
          <w:szCs w:val="20"/>
        </w:rPr>
        <w:t xml:space="preserve">and the difficulty of obtaining evidence lawfully </w:t>
      </w:r>
      <w:r>
        <w:rPr>
          <w:rFonts w:ascii="Arial" w:hAnsi="Arial" w:cs="Arial"/>
          <w:sz w:val="20"/>
          <w:szCs w:val="20"/>
        </w:rPr>
        <w:t>{s.138(3)(h)}</w:t>
      </w:r>
      <w:r w:rsidRPr="007B42D6">
        <w:rPr>
          <w:rFonts w:ascii="Arial" w:hAnsi="Arial" w:cs="Arial"/>
          <w:sz w:val="20"/>
          <w:szCs w:val="20"/>
        </w:rPr>
        <w:t xml:space="preserve">, along with whether the impropriety or contravention was deliberate or reckless </w:t>
      </w:r>
      <w:r>
        <w:rPr>
          <w:rFonts w:ascii="Arial" w:hAnsi="Arial" w:cs="Arial"/>
          <w:sz w:val="20"/>
          <w:szCs w:val="20"/>
        </w:rPr>
        <w:t xml:space="preserve">{s.138(3)(e)}, </w:t>
      </w:r>
      <w:r w:rsidRPr="007B42D6">
        <w:rPr>
          <w:rFonts w:ascii="Arial" w:hAnsi="Arial" w:cs="Arial"/>
          <w:sz w:val="20"/>
          <w:szCs w:val="20"/>
        </w:rPr>
        <w:t xml:space="preserve">are overlapping factors. In the circumstances of this case, the trial judge did not </w:t>
      </w:r>
      <w:r>
        <w:rPr>
          <w:rFonts w:ascii="Arial" w:hAnsi="Arial" w:cs="Arial"/>
          <w:sz w:val="20"/>
          <w:szCs w:val="20"/>
        </w:rPr>
        <w:t>err</w:t>
      </w:r>
      <w:r w:rsidRPr="007B42D6">
        <w:rPr>
          <w:rFonts w:ascii="Arial" w:hAnsi="Arial" w:cs="Arial"/>
          <w:sz w:val="20"/>
          <w:szCs w:val="20"/>
        </w:rPr>
        <w:t xml:space="preserve"> in failing to weigh the </w:t>
      </w:r>
      <w:r>
        <w:rPr>
          <w:rFonts w:ascii="Arial" w:hAnsi="Arial" w:cs="Arial"/>
          <w:sz w:val="20"/>
          <w:szCs w:val="20"/>
        </w:rPr>
        <w:t>s.</w:t>
      </w:r>
      <w:r w:rsidRPr="007B42D6">
        <w:rPr>
          <w:rFonts w:ascii="Arial" w:hAnsi="Arial" w:cs="Arial"/>
          <w:sz w:val="20"/>
          <w:szCs w:val="20"/>
        </w:rPr>
        <w:t>138</w:t>
      </w:r>
      <w:r>
        <w:rPr>
          <w:rFonts w:ascii="Arial" w:hAnsi="Arial" w:cs="Arial"/>
          <w:sz w:val="20"/>
          <w:szCs w:val="20"/>
        </w:rPr>
        <w:t>(</w:t>
      </w:r>
      <w:r w:rsidRPr="007B42D6">
        <w:rPr>
          <w:rFonts w:ascii="Arial" w:hAnsi="Arial" w:cs="Arial"/>
          <w:sz w:val="20"/>
          <w:szCs w:val="20"/>
        </w:rPr>
        <w:t>3</w:t>
      </w:r>
      <w:r>
        <w:rPr>
          <w:rFonts w:ascii="Arial" w:hAnsi="Arial" w:cs="Arial"/>
          <w:sz w:val="20"/>
          <w:szCs w:val="20"/>
        </w:rPr>
        <w:t>)</w:t>
      </w:r>
      <w:r w:rsidRPr="007B42D6">
        <w:rPr>
          <w:rFonts w:ascii="Arial" w:hAnsi="Arial" w:cs="Arial"/>
          <w:sz w:val="20"/>
          <w:szCs w:val="20"/>
        </w:rPr>
        <w:t xml:space="preserve"> factors separately in relation to the first video recording. His </w:t>
      </w:r>
      <w:r>
        <w:rPr>
          <w:rFonts w:ascii="Arial" w:hAnsi="Arial" w:cs="Arial"/>
          <w:sz w:val="20"/>
          <w:szCs w:val="20"/>
        </w:rPr>
        <w:t>Honour</w:t>
      </w:r>
      <w:r w:rsidRPr="007B42D6">
        <w:rPr>
          <w:rFonts w:ascii="Arial" w:hAnsi="Arial" w:cs="Arial"/>
          <w:sz w:val="20"/>
          <w:szCs w:val="20"/>
        </w:rPr>
        <w:t xml:space="preserve"> was right to find that each video recording was the product of a serious contravention of Australian law. The seriousness of the contravention was in each case the greater because the recording was made in deliberate contravention of the law with a view to assembling evidence which it was believed the proper authorities would be unable to lawfully obtain. To the extent that it was more difficult to lawfully obtain evidence of live baiting before the </w:t>
      </w:r>
      <w:r>
        <w:rPr>
          <w:rFonts w:ascii="Arial" w:hAnsi="Arial" w:cs="Arial"/>
          <w:sz w:val="20"/>
          <w:szCs w:val="20"/>
        </w:rPr>
        <w:t>first</w:t>
      </w:r>
      <w:r w:rsidRPr="007B42D6">
        <w:rPr>
          <w:rFonts w:ascii="Arial" w:hAnsi="Arial" w:cs="Arial"/>
          <w:sz w:val="20"/>
          <w:szCs w:val="20"/>
        </w:rPr>
        <w:t xml:space="preserve"> video recording was made, this was </w:t>
      </w:r>
      <w:r>
        <w:rPr>
          <w:rFonts w:ascii="Arial" w:hAnsi="Arial" w:cs="Arial"/>
          <w:sz w:val="20"/>
          <w:szCs w:val="20"/>
        </w:rPr>
        <w:t>a factor</w:t>
      </w:r>
      <w:r w:rsidRPr="007B42D6">
        <w:rPr>
          <w:rFonts w:ascii="Arial" w:hAnsi="Arial" w:cs="Arial"/>
          <w:sz w:val="20"/>
          <w:szCs w:val="20"/>
        </w:rPr>
        <w:t xml:space="preserve"> which weighed against admitting it. There is no suggestion that the trial judge erred in his assessment of the other </w:t>
      </w:r>
      <w:r>
        <w:rPr>
          <w:rFonts w:ascii="Arial" w:hAnsi="Arial" w:cs="Arial"/>
          <w:sz w:val="20"/>
          <w:szCs w:val="20"/>
        </w:rPr>
        <w:t>s.1</w:t>
      </w:r>
      <w:r w:rsidRPr="007B42D6">
        <w:rPr>
          <w:rFonts w:ascii="Arial" w:hAnsi="Arial" w:cs="Arial"/>
          <w:sz w:val="20"/>
          <w:szCs w:val="20"/>
        </w:rPr>
        <w:t>38</w:t>
      </w:r>
      <w:r>
        <w:rPr>
          <w:rFonts w:ascii="Arial" w:hAnsi="Arial" w:cs="Arial"/>
          <w:sz w:val="20"/>
          <w:szCs w:val="20"/>
        </w:rPr>
        <w:t>(</w:t>
      </w:r>
      <w:r w:rsidRPr="007B42D6">
        <w:rPr>
          <w:rFonts w:ascii="Arial" w:hAnsi="Arial" w:cs="Arial"/>
          <w:sz w:val="20"/>
          <w:szCs w:val="20"/>
        </w:rPr>
        <w:t>3</w:t>
      </w:r>
      <w:r>
        <w:rPr>
          <w:rFonts w:ascii="Arial" w:hAnsi="Arial" w:cs="Arial"/>
          <w:sz w:val="20"/>
          <w:szCs w:val="20"/>
        </w:rPr>
        <w:t>)</w:t>
      </w:r>
      <w:r w:rsidRPr="007B42D6">
        <w:rPr>
          <w:rFonts w:ascii="Arial" w:hAnsi="Arial" w:cs="Arial"/>
          <w:sz w:val="20"/>
          <w:szCs w:val="20"/>
        </w:rPr>
        <w:t xml:space="preserve"> factors. His </w:t>
      </w:r>
      <w:r>
        <w:rPr>
          <w:rFonts w:ascii="Arial" w:hAnsi="Arial" w:cs="Arial"/>
          <w:sz w:val="20"/>
          <w:szCs w:val="20"/>
        </w:rPr>
        <w:t>Honour’s</w:t>
      </w:r>
      <w:r w:rsidRPr="007B42D6">
        <w:rPr>
          <w:rFonts w:ascii="Arial" w:hAnsi="Arial" w:cs="Arial"/>
          <w:sz w:val="20"/>
          <w:szCs w:val="20"/>
        </w:rPr>
        <w:t xml:space="preserve"> determination that none of the surveillance evidence is admissible is correct.</w:t>
      </w:r>
      <w:r>
        <w:rPr>
          <w:rFonts w:ascii="Arial" w:hAnsi="Arial" w:cs="Arial"/>
          <w:sz w:val="20"/>
          <w:szCs w:val="20"/>
        </w:rPr>
        <w:t>”</w:t>
      </w:r>
    </w:p>
    <w:p w14:paraId="2FCF2D3F" w14:textId="77777777" w:rsidR="0086178A" w:rsidRDefault="0086178A" w:rsidP="0086178A">
      <w:pPr>
        <w:jc w:val="both"/>
        <w:rPr>
          <w:rFonts w:ascii="Arial" w:hAnsi="Arial" w:cs="Arial"/>
          <w:color w:val="000000"/>
          <w:sz w:val="20"/>
        </w:rPr>
      </w:pPr>
      <w:r>
        <w:rPr>
          <w:rFonts w:ascii="Arial" w:hAnsi="Arial" w:cs="Arial"/>
          <w:color w:val="000000"/>
          <w:sz w:val="20"/>
        </w:rPr>
        <w:t>At [40] their Honours noted: “Section 138 does not enact the doctrine that prevailed in the United States, requiring the exclusion of the ‘fruit’ of official illegality unless the impugned evidence was derived ‘by means sufficiently distinguishable to be purged of the primary taint’.”  In holding that the search warrant evidence was admissible, their Honours focussed on ‘vigilantism’, saying at [48]:</w:t>
      </w:r>
    </w:p>
    <w:p w14:paraId="3A079797" w14:textId="2E57E2D2" w:rsidR="0086178A" w:rsidRDefault="0086178A" w:rsidP="0086178A">
      <w:pPr>
        <w:spacing w:before="60" w:after="60"/>
        <w:ind w:left="567" w:right="567"/>
        <w:jc w:val="both"/>
        <w:rPr>
          <w:rFonts w:ascii="Arial" w:hAnsi="Arial" w:cs="Arial"/>
          <w:sz w:val="20"/>
        </w:rPr>
      </w:pPr>
      <w:r>
        <w:rPr>
          <w:rFonts w:ascii="Arial" w:hAnsi="Arial" w:cs="Arial"/>
          <w:sz w:val="20"/>
        </w:rPr>
        <w:lastRenderedPageBreak/>
        <w:t>“</w:t>
      </w:r>
      <w:r w:rsidRPr="007B42D6">
        <w:rPr>
          <w:rFonts w:ascii="Arial" w:hAnsi="Arial" w:cs="Arial"/>
          <w:sz w:val="20"/>
          <w:szCs w:val="20"/>
        </w:rPr>
        <w:t>The admissibility of the search w</w:t>
      </w:r>
      <w:r>
        <w:rPr>
          <w:rFonts w:ascii="Arial" w:hAnsi="Arial" w:cs="Arial"/>
          <w:sz w:val="20"/>
          <w:szCs w:val="20"/>
        </w:rPr>
        <w:t>arrant</w:t>
      </w:r>
      <w:r w:rsidRPr="007B42D6">
        <w:rPr>
          <w:rFonts w:ascii="Arial" w:hAnsi="Arial" w:cs="Arial"/>
          <w:sz w:val="20"/>
          <w:szCs w:val="20"/>
        </w:rPr>
        <w:t xml:space="preserve"> evidence arises in criminal proceedings in which the desirability </w:t>
      </w:r>
      <w:r>
        <w:rPr>
          <w:rFonts w:ascii="Arial" w:hAnsi="Arial" w:cs="Arial"/>
          <w:sz w:val="20"/>
          <w:szCs w:val="20"/>
        </w:rPr>
        <w:t xml:space="preserve">of </w:t>
      </w:r>
      <w:r w:rsidRPr="007B42D6">
        <w:rPr>
          <w:rFonts w:ascii="Arial" w:hAnsi="Arial" w:cs="Arial"/>
          <w:sz w:val="20"/>
          <w:szCs w:val="20"/>
        </w:rPr>
        <w:t>admitting the evidence reflects the public interest in the conviction of wrongdoers</w:t>
      </w:r>
      <w:r>
        <w:rPr>
          <w:rFonts w:ascii="Arial" w:hAnsi="Arial" w:cs="Arial"/>
          <w:sz w:val="20"/>
          <w:szCs w:val="20"/>
        </w:rPr>
        <w:t>.</w:t>
      </w:r>
      <w:r w:rsidRPr="007B42D6">
        <w:rPr>
          <w:rFonts w:ascii="Arial" w:hAnsi="Arial" w:cs="Arial"/>
          <w:sz w:val="20"/>
          <w:szCs w:val="20"/>
        </w:rPr>
        <w:t xml:space="preserve"> </w:t>
      </w:r>
      <w:r>
        <w:rPr>
          <w:rFonts w:ascii="Arial" w:hAnsi="Arial" w:cs="Arial"/>
          <w:sz w:val="20"/>
          <w:szCs w:val="20"/>
        </w:rPr>
        <w:t>T</w:t>
      </w:r>
      <w:r w:rsidRPr="007B42D6">
        <w:rPr>
          <w:rFonts w:ascii="Arial" w:hAnsi="Arial" w:cs="Arial"/>
          <w:sz w:val="20"/>
          <w:szCs w:val="20"/>
        </w:rPr>
        <w:t>he undesirab</w:t>
      </w:r>
      <w:r>
        <w:rPr>
          <w:rFonts w:ascii="Arial" w:hAnsi="Arial" w:cs="Arial"/>
          <w:sz w:val="20"/>
          <w:szCs w:val="20"/>
        </w:rPr>
        <w:t>ility</w:t>
      </w:r>
      <w:r w:rsidRPr="007B42D6">
        <w:rPr>
          <w:rFonts w:ascii="Arial" w:hAnsi="Arial" w:cs="Arial"/>
          <w:sz w:val="20"/>
          <w:szCs w:val="20"/>
        </w:rPr>
        <w:t xml:space="preserve"> of admitting evidence obtained in</w:t>
      </w:r>
      <w:r>
        <w:rPr>
          <w:rFonts w:ascii="Arial" w:hAnsi="Arial" w:cs="Arial"/>
          <w:sz w:val="20"/>
          <w:szCs w:val="20"/>
        </w:rPr>
        <w:t xml:space="preserve"> </w:t>
      </w:r>
      <w:r w:rsidRPr="007B42D6">
        <w:rPr>
          <w:rFonts w:ascii="Arial" w:hAnsi="Arial" w:cs="Arial"/>
          <w:sz w:val="20"/>
          <w:szCs w:val="20"/>
        </w:rPr>
        <w:t xml:space="preserve">consequence of the deliberate unlawful conduct of a private </w:t>
      </w:r>
      <w:r>
        <w:rPr>
          <w:rFonts w:ascii="Arial" w:hAnsi="Arial" w:cs="Arial"/>
          <w:sz w:val="20"/>
          <w:szCs w:val="20"/>
        </w:rPr>
        <w:t>‘</w:t>
      </w:r>
      <w:r w:rsidRPr="007B42D6">
        <w:rPr>
          <w:rFonts w:ascii="Arial" w:hAnsi="Arial" w:cs="Arial"/>
          <w:sz w:val="20"/>
          <w:szCs w:val="20"/>
        </w:rPr>
        <w:t>activist</w:t>
      </w:r>
      <w:r>
        <w:rPr>
          <w:rFonts w:ascii="Arial" w:hAnsi="Arial" w:cs="Arial"/>
          <w:sz w:val="20"/>
          <w:szCs w:val="20"/>
        </w:rPr>
        <w:t>’</w:t>
      </w:r>
      <w:r w:rsidRPr="007B42D6">
        <w:rPr>
          <w:rFonts w:ascii="Arial" w:hAnsi="Arial" w:cs="Arial"/>
          <w:sz w:val="20"/>
          <w:szCs w:val="20"/>
        </w:rPr>
        <w:t xml:space="preserve"> entity is the effect of curial approval, or even encouragement, of vigilantism. The RSPCA had no advance knowledge of </w:t>
      </w:r>
      <w:r>
        <w:rPr>
          <w:rFonts w:ascii="Arial" w:hAnsi="Arial" w:cs="Arial"/>
          <w:sz w:val="20"/>
          <w:szCs w:val="20"/>
        </w:rPr>
        <w:t>A</w:t>
      </w:r>
      <w:r w:rsidRPr="007B42D6">
        <w:rPr>
          <w:rFonts w:ascii="Arial" w:hAnsi="Arial" w:cs="Arial"/>
          <w:sz w:val="20"/>
          <w:szCs w:val="20"/>
        </w:rPr>
        <w:t xml:space="preserve">nimals </w:t>
      </w:r>
      <w:r>
        <w:rPr>
          <w:rFonts w:ascii="Arial" w:hAnsi="Arial" w:cs="Arial"/>
          <w:sz w:val="20"/>
          <w:szCs w:val="20"/>
        </w:rPr>
        <w:t>A</w:t>
      </w:r>
      <w:r w:rsidRPr="007B42D6">
        <w:rPr>
          <w:rFonts w:ascii="Arial" w:hAnsi="Arial" w:cs="Arial"/>
          <w:sz w:val="20"/>
          <w:szCs w:val="20"/>
        </w:rPr>
        <w:t>ustralia</w:t>
      </w:r>
      <w:r w:rsidR="000F0BE9">
        <w:rPr>
          <w:rFonts w:ascii="Arial" w:hAnsi="Arial" w:cs="Arial"/>
          <w:sz w:val="20"/>
          <w:szCs w:val="20"/>
        </w:rPr>
        <w:t>’</w:t>
      </w:r>
      <w:r w:rsidRPr="007B42D6">
        <w:rPr>
          <w:rFonts w:ascii="Arial" w:hAnsi="Arial" w:cs="Arial"/>
          <w:sz w:val="20"/>
          <w:szCs w:val="20"/>
        </w:rPr>
        <w:t xml:space="preserve">s plan to illegally record activities at the Londonderry property. There is nothing to suggest a pattern of conduct by which </w:t>
      </w:r>
      <w:r>
        <w:rPr>
          <w:rFonts w:ascii="Arial" w:hAnsi="Arial" w:cs="Arial"/>
          <w:sz w:val="20"/>
          <w:szCs w:val="20"/>
        </w:rPr>
        <w:t>A</w:t>
      </w:r>
      <w:r w:rsidRPr="007B42D6">
        <w:rPr>
          <w:rFonts w:ascii="Arial" w:hAnsi="Arial" w:cs="Arial"/>
          <w:sz w:val="20"/>
          <w:szCs w:val="20"/>
        </w:rPr>
        <w:t xml:space="preserve">nimals Australia or other activist groups illegally collect material </w:t>
      </w:r>
      <w:r>
        <w:rPr>
          <w:rFonts w:ascii="Arial" w:hAnsi="Arial" w:cs="Arial"/>
          <w:sz w:val="20"/>
          <w:szCs w:val="20"/>
        </w:rPr>
        <w:t>upon</w:t>
      </w:r>
      <w:r w:rsidRPr="007B42D6">
        <w:rPr>
          <w:rFonts w:ascii="Arial" w:hAnsi="Arial" w:cs="Arial"/>
          <w:sz w:val="20"/>
          <w:szCs w:val="20"/>
        </w:rPr>
        <w:t xml:space="preserve"> which the RSPCA takes action. The desirability of admitting evidence that is important to the prosecution of these serious offences outweighs the undesirab</w:t>
      </w:r>
      <w:r>
        <w:rPr>
          <w:rFonts w:ascii="Arial" w:hAnsi="Arial" w:cs="Arial"/>
          <w:sz w:val="20"/>
          <w:szCs w:val="20"/>
        </w:rPr>
        <w:t>ility</w:t>
      </w:r>
      <w:r w:rsidRPr="007B42D6">
        <w:rPr>
          <w:rFonts w:ascii="Arial" w:hAnsi="Arial" w:cs="Arial"/>
          <w:sz w:val="20"/>
          <w:szCs w:val="20"/>
        </w:rPr>
        <w:t xml:space="preserve"> of not admitting evidence obtained in the way the search warrant evidence was obtained.</w:t>
      </w:r>
      <w:r>
        <w:rPr>
          <w:rFonts w:ascii="Arial" w:hAnsi="Arial" w:cs="Arial"/>
          <w:sz w:val="20"/>
          <w:szCs w:val="20"/>
        </w:rPr>
        <w:t>”</w:t>
      </w:r>
    </w:p>
    <w:p w14:paraId="504F3D31" w14:textId="77777777" w:rsidR="0086178A" w:rsidRPr="00FD0640" w:rsidRDefault="0086178A" w:rsidP="0086178A">
      <w:pPr>
        <w:jc w:val="both"/>
        <w:rPr>
          <w:rFonts w:ascii="Arial" w:hAnsi="Arial" w:cs="Arial"/>
          <w:color w:val="000000"/>
          <w:sz w:val="20"/>
        </w:rPr>
      </w:pPr>
      <w:r>
        <w:rPr>
          <w:rFonts w:ascii="Arial" w:hAnsi="Arial" w:cs="Arial"/>
          <w:color w:val="000000"/>
          <w:sz w:val="20"/>
        </w:rPr>
        <w:t>And in holding that the admissions were admissible against Mr Kadir, their Honours said at [51]:</w:t>
      </w:r>
    </w:p>
    <w:p w14:paraId="0AEB69A1" w14:textId="77777777" w:rsidR="0086178A" w:rsidRDefault="0086178A" w:rsidP="00AD093A">
      <w:pPr>
        <w:spacing w:before="60"/>
        <w:ind w:left="567" w:right="567"/>
        <w:jc w:val="both"/>
        <w:rPr>
          <w:rFonts w:ascii="Arial" w:hAnsi="Arial" w:cs="Arial"/>
          <w:sz w:val="20"/>
        </w:rPr>
      </w:pPr>
      <w:r>
        <w:rPr>
          <w:rFonts w:ascii="Arial" w:hAnsi="Arial" w:cs="Arial"/>
          <w:sz w:val="20"/>
        </w:rPr>
        <w:t>“</w:t>
      </w:r>
      <w:r w:rsidRPr="007B42D6">
        <w:rPr>
          <w:rFonts w:ascii="Arial" w:hAnsi="Arial" w:cs="Arial"/>
          <w:sz w:val="20"/>
          <w:szCs w:val="20"/>
        </w:rPr>
        <w:t>Since the evidence of the admissions is capable of rational acceptance</w:t>
      </w:r>
      <w:r>
        <w:rPr>
          <w:rFonts w:ascii="Arial" w:hAnsi="Arial" w:cs="Arial"/>
          <w:sz w:val="20"/>
          <w:szCs w:val="20"/>
        </w:rPr>
        <w:t xml:space="preserve"> {</w:t>
      </w:r>
      <w:r w:rsidRPr="00D60095">
        <w:rPr>
          <w:rFonts w:ascii="Arial" w:hAnsi="Arial" w:cs="Arial"/>
          <w:i/>
          <w:iCs/>
          <w:sz w:val="20"/>
          <w:szCs w:val="20"/>
        </w:rPr>
        <w:t>IMM v The Queen</w:t>
      </w:r>
      <w:r>
        <w:rPr>
          <w:rFonts w:ascii="Arial" w:hAnsi="Arial" w:cs="Arial"/>
          <w:sz w:val="20"/>
          <w:szCs w:val="20"/>
        </w:rPr>
        <w:t xml:space="preserve"> (2016) 257 CLR 300 at [39] &amp; [58]; </w:t>
      </w:r>
      <w:r w:rsidRPr="00D60095">
        <w:rPr>
          <w:rFonts w:ascii="Arial" w:hAnsi="Arial" w:cs="Arial"/>
          <w:i/>
          <w:iCs/>
          <w:sz w:val="20"/>
          <w:szCs w:val="20"/>
        </w:rPr>
        <w:t>R v Bauer</w:t>
      </w:r>
      <w:r>
        <w:rPr>
          <w:rFonts w:ascii="Arial" w:hAnsi="Arial" w:cs="Arial"/>
          <w:sz w:val="20"/>
          <w:szCs w:val="20"/>
        </w:rPr>
        <w:t xml:space="preserve"> (2018) 92 ALJR at [69]}</w:t>
      </w:r>
      <w:r w:rsidRPr="007B42D6">
        <w:rPr>
          <w:rFonts w:ascii="Arial" w:hAnsi="Arial" w:cs="Arial"/>
          <w:sz w:val="20"/>
          <w:szCs w:val="20"/>
        </w:rPr>
        <w:t>, consideration of the probative value of the admissions is to be ass</w:t>
      </w:r>
      <w:r>
        <w:rPr>
          <w:rFonts w:ascii="Arial" w:hAnsi="Arial" w:cs="Arial"/>
          <w:sz w:val="20"/>
          <w:szCs w:val="20"/>
        </w:rPr>
        <w:t>essed</w:t>
      </w:r>
      <w:r w:rsidRPr="007B42D6">
        <w:rPr>
          <w:rFonts w:ascii="Arial" w:hAnsi="Arial" w:cs="Arial"/>
          <w:sz w:val="20"/>
          <w:szCs w:val="20"/>
        </w:rPr>
        <w:t xml:space="preserve"> </w:t>
      </w:r>
      <w:r>
        <w:rPr>
          <w:rFonts w:ascii="Arial" w:hAnsi="Arial" w:cs="Arial"/>
          <w:sz w:val="20"/>
          <w:szCs w:val="20"/>
        </w:rPr>
        <w:t>upon</w:t>
      </w:r>
      <w:r w:rsidRPr="007B42D6">
        <w:rPr>
          <w:rFonts w:ascii="Arial" w:hAnsi="Arial" w:cs="Arial"/>
          <w:sz w:val="20"/>
          <w:szCs w:val="20"/>
        </w:rPr>
        <w:t xml:space="preserve"> the assumption that the evidence w</w:t>
      </w:r>
      <w:r>
        <w:rPr>
          <w:rFonts w:ascii="Arial" w:hAnsi="Arial" w:cs="Arial"/>
          <w:sz w:val="20"/>
          <w:szCs w:val="20"/>
        </w:rPr>
        <w:t>ill</w:t>
      </w:r>
      <w:r w:rsidRPr="007B42D6">
        <w:rPr>
          <w:rFonts w:ascii="Arial" w:hAnsi="Arial" w:cs="Arial"/>
          <w:sz w:val="20"/>
          <w:szCs w:val="20"/>
        </w:rPr>
        <w:t xml:space="preserve"> be accepted</w:t>
      </w:r>
      <w:r>
        <w:rPr>
          <w:rFonts w:ascii="Arial" w:hAnsi="Arial" w:cs="Arial"/>
          <w:sz w:val="20"/>
          <w:szCs w:val="20"/>
        </w:rPr>
        <w:t xml:space="preserve"> {</w:t>
      </w:r>
      <w:r w:rsidRPr="00D60095">
        <w:rPr>
          <w:rFonts w:ascii="Arial" w:hAnsi="Arial" w:cs="Arial"/>
          <w:i/>
          <w:iCs/>
          <w:sz w:val="20"/>
          <w:szCs w:val="20"/>
        </w:rPr>
        <w:t>IMM v The Queen</w:t>
      </w:r>
      <w:r>
        <w:rPr>
          <w:rFonts w:ascii="Arial" w:hAnsi="Arial" w:cs="Arial"/>
          <w:i/>
          <w:iCs/>
          <w:sz w:val="20"/>
          <w:szCs w:val="20"/>
        </w:rPr>
        <w:t xml:space="preserve"> </w:t>
      </w:r>
      <w:r w:rsidRPr="00D60095">
        <w:rPr>
          <w:rFonts w:ascii="Arial" w:hAnsi="Arial" w:cs="Arial"/>
          <w:sz w:val="20"/>
          <w:szCs w:val="20"/>
        </w:rPr>
        <w:t>at [52]}</w:t>
      </w:r>
      <w:r w:rsidRPr="007B42D6">
        <w:rPr>
          <w:rFonts w:ascii="Arial" w:hAnsi="Arial" w:cs="Arial"/>
          <w:sz w:val="20"/>
          <w:szCs w:val="20"/>
        </w:rPr>
        <w:t xml:space="preserve">. Their </w:t>
      </w:r>
      <w:r>
        <w:rPr>
          <w:rFonts w:ascii="Arial" w:hAnsi="Arial" w:cs="Arial"/>
          <w:sz w:val="20"/>
          <w:szCs w:val="20"/>
        </w:rPr>
        <w:t>probative</w:t>
      </w:r>
      <w:r w:rsidRPr="007B42D6">
        <w:rPr>
          <w:rFonts w:ascii="Arial" w:hAnsi="Arial" w:cs="Arial"/>
          <w:sz w:val="20"/>
          <w:szCs w:val="20"/>
        </w:rPr>
        <w:t xml:space="preserve"> value is high and they</w:t>
      </w:r>
      <w:r>
        <w:rPr>
          <w:rFonts w:ascii="Arial" w:hAnsi="Arial" w:cs="Arial"/>
          <w:sz w:val="20"/>
          <w:szCs w:val="20"/>
        </w:rPr>
        <w:t xml:space="preserve"> a</w:t>
      </w:r>
      <w:r w:rsidRPr="007B42D6">
        <w:rPr>
          <w:rFonts w:ascii="Arial" w:hAnsi="Arial" w:cs="Arial"/>
          <w:sz w:val="20"/>
          <w:szCs w:val="20"/>
        </w:rPr>
        <w:t>re important evidence in the case against M</w:t>
      </w:r>
      <w:r>
        <w:rPr>
          <w:rFonts w:ascii="Arial" w:hAnsi="Arial" w:cs="Arial"/>
          <w:sz w:val="20"/>
          <w:szCs w:val="20"/>
        </w:rPr>
        <w:t>r Kadir</w:t>
      </w:r>
      <w:r w:rsidRPr="007B42D6">
        <w:rPr>
          <w:rFonts w:ascii="Arial" w:hAnsi="Arial" w:cs="Arial"/>
          <w:sz w:val="20"/>
          <w:szCs w:val="20"/>
        </w:rPr>
        <w:t>. The remaining factors under s</w:t>
      </w:r>
      <w:r>
        <w:rPr>
          <w:rFonts w:ascii="Arial" w:hAnsi="Arial" w:cs="Arial"/>
          <w:sz w:val="20"/>
          <w:szCs w:val="20"/>
        </w:rPr>
        <w:t>.</w:t>
      </w:r>
      <w:r w:rsidRPr="007B42D6">
        <w:rPr>
          <w:rFonts w:ascii="Arial" w:hAnsi="Arial" w:cs="Arial"/>
          <w:sz w:val="20"/>
          <w:szCs w:val="20"/>
        </w:rPr>
        <w:t>138</w:t>
      </w:r>
      <w:r>
        <w:rPr>
          <w:rFonts w:ascii="Arial" w:hAnsi="Arial" w:cs="Arial"/>
          <w:sz w:val="20"/>
          <w:szCs w:val="20"/>
        </w:rPr>
        <w:t>(</w:t>
      </w:r>
      <w:r w:rsidRPr="007B42D6">
        <w:rPr>
          <w:rFonts w:ascii="Arial" w:hAnsi="Arial" w:cs="Arial"/>
          <w:sz w:val="20"/>
          <w:szCs w:val="20"/>
        </w:rPr>
        <w:t>3</w:t>
      </w:r>
      <w:r>
        <w:rPr>
          <w:rFonts w:ascii="Arial" w:hAnsi="Arial" w:cs="Arial"/>
          <w:sz w:val="20"/>
          <w:szCs w:val="20"/>
        </w:rPr>
        <w:t>)</w:t>
      </w:r>
      <w:r w:rsidRPr="007B42D6">
        <w:rPr>
          <w:rFonts w:ascii="Arial" w:hAnsi="Arial" w:cs="Arial"/>
          <w:sz w:val="20"/>
          <w:szCs w:val="20"/>
        </w:rPr>
        <w:t xml:space="preserve"> have the same weight in relation to the admissions as to the search warrant evidence</w:t>
      </w:r>
      <w:r>
        <w:rPr>
          <w:rFonts w:ascii="Arial" w:hAnsi="Arial" w:cs="Arial"/>
          <w:sz w:val="20"/>
          <w:szCs w:val="20"/>
        </w:rPr>
        <w:t>.</w:t>
      </w:r>
      <w:r w:rsidRPr="007B42D6">
        <w:rPr>
          <w:rFonts w:ascii="Arial" w:hAnsi="Arial" w:cs="Arial"/>
          <w:sz w:val="20"/>
          <w:szCs w:val="20"/>
        </w:rPr>
        <w:t xml:space="preserve"> </w:t>
      </w:r>
      <w:r>
        <w:rPr>
          <w:rFonts w:ascii="Arial" w:hAnsi="Arial" w:cs="Arial"/>
          <w:sz w:val="20"/>
          <w:szCs w:val="20"/>
        </w:rPr>
        <w:t>T</w:t>
      </w:r>
      <w:r w:rsidRPr="007B42D6">
        <w:rPr>
          <w:rFonts w:ascii="Arial" w:hAnsi="Arial" w:cs="Arial"/>
          <w:sz w:val="20"/>
          <w:szCs w:val="20"/>
        </w:rPr>
        <w:t>he undesirab</w:t>
      </w:r>
      <w:r>
        <w:rPr>
          <w:rFonts w:ascii="Arial" w:hAnsi="Arial" w:cs="Arial"/>
          <w:sz w:val="20"/>
          <w:szCs w:val="20"/>
        </w:rPr>
        <w:t>ility</w:t>
      </w:r>
      <w:r w:rsidRPr="007B42D6">
        <w:rPr>
          <w:rFonts w:ascii="Arial" w:hAnsi="Arial" w:cs="Arial"/>
          <w:sz w:val="20"/>
          <w:szCs w:val="20"/>
        </w:rPr>
        <w:t xml:space="preserve"> of admitting the admissions does not r</w:t>
      </w:r>
      <w:r>
        <w:rPr>
          <w:rFonts w:ascii="Arial" w:hAnsi="Arial" w:cs="Arial"/>
          <w:sz w:val="20"/>
          <w:szCs w:val="20"/>
        </w:rPr>
        <w:t>a</w:t>
      </w:r>
      <w:r w:rsidRPr="007B42D6">
        <w:rPr>
          <w:rFonts w:ascii="Arial" w:hAnsi="Arial" w:cs="Arial"/>
          <w:sz w:val="20"/>
          <w:szCs w:val="20"/>
        </w:rPr>
        <w:t>ise the same concerns with respect to condoning vigilantism as the search warrant evidence</w:t>
      </w:r>
      <w:r>
        <w:rPr>
          <w:rFonts w:ascii="Arial" w:hAnsi="Arial" w:cs="Arial"/>
          <w:sz w:val="20"/>
          <w:szCs w:val="20"/>
        </w:rPr>
        <w:t>.  A</w:t>
      </w:r>
      <w:r w:rsidRPr="007B42D6">
        <w:rPr>
          <w:rFonts w:ascii="Arial" w:hAnsi="Arial" w:cs="Arial"/>
          <w:sz w:val="20"/>
          <w:szCs w:val="20"/>
        </w:rPr>
        <w:t xml:space="preserve">s the </w:t>
      </w:r>
      <w:r>
        <w:rPr>
          <w:rFonts w:ascii="Arial" w:hAnsi="Arial" w:cs="Arial"/>
          <w:sz w:val="20"/>
          <w:szCs w:val="20"/>
        </w:rPr>
        <w:t>C</w:t>
      </w:r>
      <w:r w:rsidRPr="007B42D6">
        <w:rPr>
          <w:rFonts w:ascii="Arial" w:hAnsi="Arial" w:cs="Arial"/>
          <w:sz w:val="20"/>
          <w:szCs w:val="20"/>
        </w:rPr>
        <w:t xml:space="preserve">ourt of </w:t>
      </w:r>
      <w:r>
        <w:rPr>
          <w:rFonts w:ascii="Arial" w:hAnsi="Arial" w:cs="Arial"/>
          <w:sz w:val="20"/>
          <w:szCs w:val="20"/>
        </w:rPr>
        <w:t>C</w:t>
      </w:r>
      <w:r w:rsidRPr="007B42D6">
        <w:rPr>
          <w:rFonts w:ascii="Arial" w:hAnsi="Arial" w:cs="Arial"/>
          <w:sz w:val="20"/>
          <w:szCs w:val="20"/>
        </w:rPr>
        <w:t xml:space="preserve">riminal </w:t>
      </w:r>
      <w:r>
        <w:rPr>
          <w:rFonts w:ascii="Arial" w:hAnsi="Arial" w:cs="Arial"/>
          <w:sz w:val="20"/>
          <w:szCs w:val="20"/>
        </w:rPr>
        <w:t>A</w:t>
      </w:r>
      <w:r w:rsidRPr="007B42D6">
        <w:rPr>
          <w:rFonts w:ascii="Arial" w:hAnsi="Arial" w:cs="Arial"/>
          <w:sz w:val="20"/>
          <w:szCs w:val="20"/>
        </w:rPr>
        <w:t>ppeal rightly observed</w:t>
      </w:r>
      <w:r>
        <w:rPr>
          <w:rFonts w:ascii="Arial" w:hAnsi="Arial" w:cs="Arial"/>
          <w:sz w:val="20"/>
          <w:szCs w:val="20"/>
        </w:rPr>
        <w:t>,</w:t>
      </w:r>
      <w:r w:rsidRPr="007B42D6">
        <w:rPr>
          <w:rFonts w:ascii="Arial" w:hAnsi="Arial" w:cs="Arial"/>
          <w:sz w:val="20"/>
          <w:szCs w:val="20"/>
        </w:rPr>
        <w:t xml:space="preserve"> the obtaining and viewing of the surveillance evidence was a step in the investigation by </w:t>
      </w:r>
      <w:r>
        <w:rPr>
          <w:rFonts w:ascii="Arial" w:hAnsi="Arial" w:cs="Arial"/>
          <w:sz w:val="20"/>
          <w:szCs w:val="20"/>
        </w:rPr>
        <w:t>A</w:t>
      </w:r>
      <w:r w:rsidRPr="007B42D6">
        <w:rPr>
          <w:rFonts w:ascii="Arial" w:hAnsi="Arial" w:cs="Arial"/>
          <w:sz w:val="20"/>
          <w:szCs w:val="20"/>
        </w:rPr>
        <w:t xml:space="preserve">nimals Australia that led to </w:t>
      </w:r>
      <w:r>
        <w:rPr>
          <w:rFonts w:ascii="Arial" w:hAnsi="Arial" w:cs="Arial"/>
          <w:sz w:val="20"/>
          <w:szCs w:val="20"/>
        </w:rPr>
        <w:t>Ms Lynch</w:t>
      </w:r>
      <w:r w:rsidRPr="007B42D6">
        <w:rPr>
          <w:rFonts w:ascii="Arial" w:hAnsi="Arial" w:cs="Arial"/>
          <w:sz w:val="20"/>
          <w:szCs w:val="20"/>
        </w:rPr>
        <w:t xml:space="preserve"> speaking with M</w:t>
      </w:r>
      <w:r>
        <w:rPr>
          <w:rFonts w:ascii="Arial" w:hAnsi="Arial" w:cs="Arial"/>
          <w:sz w:val="20"/>
          <w:szCs w:val="20"/>
        </w:rPr>
        <w:t>r Kadir</w:t>
      </w:r>
      <w:r w:rsidRPr="007B42D6">
        <w:rPr>
          <w:rFonts w:ascii="Arial" w:hAnsi="Arial" w:cs="Arial"/>
          <w:sz w:val="20"/>
          <w:szCs w:val="20"/>
        </w:rPr>
        <w:t xml:space="preserve">, but that was all. And as their </w:t>
      </w:r>
      <w:r>
        <w:rPr>
          <w:rFonts w:ascii="Arial" w:hAnsi="Arial" w:cs="Arial"/>
          <w:sz w:val="20"/>
          <w:szCs w:val="20"/>
        </w:rPr>
        <w:t>Honour</w:t>
      </w:r>
      <w:r w:rsidRPr="007B42D6">
        <w:rPr>
          <w:rFonts w:ascii="Arial" w:hAnsi="Arial" w:cs="Arial"/>
          <w:sz w:val="20"/>
          <w:szCs w:val="20"/>
        </w:rPr>
        <w:t xml:space="preserve">s also observed, </w:t>
      </w:r>
      <w:r>
        <w:rPr>
          <w:rFonts w:ascii="Arial" w:hAnsi="Arial" w:cs="Arial"/>
          <w:sz w:val="20"/>
          <w:szCs w:val="20"/>
        </w:rPr>
        <w:t>M</w:t>
      </w:r>
      <w:r w:rsidRPr="007B42D6">
        <w:rPr>
          <w:rFonts w:ascii="Arial" w:hAnsi="Arial" w:cs="Arial"/>
          <w:sz w:val="20"/>
          <w:szCs w:val="20"/>
        </w:rPr>
        <w:t xml:space="preserve">s Lynch did not make use of any knowledge that she gained from the surveillance evidence in </w:t>
      </w:r>
      <w:r>
        <w:rPr>
          <w:rFonts w:ascii="Arial" w:hAnsi="Arial" w:cs="Arial"/>
          <w:sz w:val="20"/>
          <w:szCs w:val="20"/>
        </w:rPr>
        <w:t>her</w:t>
      </w:r>
      <w:r w:rsidRPr="007B42D6">
        <w:rPr>
          <w:rFonts w:ascii="Arial" w:hAnsi="Arial" w:cs="Arial"/>
          <w:sz w:val="20"/>
          <w:szCs w:val="20"/>
        </w:rPr>
        <w:t xml:space="preserve"> conversation with M</w:t>
      </w:r>
      <w:r>
        <w:rPr>
          <w:rFonts w:ascii="Arial" w:hAnsi="Arial" w:cs="Arial"/>
          <w:sz w:val="20"/>
          <w:szCs w:val="20"/>
        </w:rPr>
        <w:t>r Kadir</w:t>
      </w:r>
      <w:r w:rsidRPr="007B42D6">
        <w:rPr>
          <w:rFonts w:ascii="Arial" w:hAnsi="Arial" w:cs="Arial"/>
          <w:sz w:val="20"/>
          <w:szCs w:val="20"/>
        </w:rPr>
        <w:t xml:space="preserve">. Their </w:t>
      </w:r>
      <w:r>
        <w:rPr>
          <w:rFonts w:ascii="Arial" w:hAnsi="Arial" w:cs="Arial"/>
          <w:sz w:val="20"/>
          <w:szCs w:val="20"/>
        </w:rPr>
        <w:t>Honours’</w:t>
      </w:r>
      <w:r w:rsidRPr="007B42D6">
        <w:rPr>
          <w:rFonts w:ascii="Arial" w:hAnsi="Arial" w:cs="Arial"/>
          <w:sz w:val="20"/>
          <w:szCs w:val="20"/>
        </w:rPr>
        <w:t xml:space="preserve"> conclusion, that the b</w:t>
      </w:r>
      <w:r>
        <w:rPr>
          <w:rFonts w:ascii="Arial" w:hAnsi="Arial" w:cs="Arial"/>
          <w:sz w:val="20"/>
          <w:szCs w:val="20"/>
        </w:rPr>
        <w:t>are</w:t>
      </w:r>
      <w:r w:rsidRPr="007B42D6">
        <w:rPr>
          <w:rFonts w:ascii="Arial" w:hAnsi="Arial" w:cs="Arial"/>
          <w:sz w:val="20"/>
          <w:szCs w:val="20"/>
        </w:rPr>
        <w:t xml:space="preserve"> connection between the contravention of Australian law and obtaining the admissions is unlikely to convey curial approval or encouragement of the contravention, is apt. The undesirab</w:t>
      </w:r>
      <w:r>
        <w:rPr>
          <w:rFonts w:ascii="Arial" w:hAnsi="Arial" w:cs="Arial"/>
          <w:sz w:val="20"/>
          <w:szCs w:val="20"/>
        </w:rPr>
        <w:t>ility</w:t>
      </w:r>
      <w:r w:rsidRPr="007B42D6">
        <w:rPr>
          <w:rFonts w:ascii="Arial" w:hAnsi="Arial" w:cs="Arial"/>
          <w:sz w:val="20"/>
          <w:szCs w:val="20"/>
        </w:rPr>
        <w:t xml:space="preserve"> of admitting evidence obtained in the way the admissions </w:t>
      </w:r>
      <w:proofErr w:type="gramStart"/>
      <w:r w:rsidRPr="007B42D6">
        <w:rPr>
          <w:rFonts w:ascii="Arial" w:hAnsi="Arial" w:cs="Arial"/>
          <w:sz w:val="20"/>
          <w:szCs w:val="20"/>
        </w:rPr>
        <w:t>were is</w:t>
      </w:r>
      <w:proofErr w:type="gramEnd"/>
      <w:r w:rsidRPr="007B42D6">
        <w:rPr>
          <w:rFonts w:ascii="Arial" w:hAnsi="Arial" w:cs="Arial"/>
          <w:sz w:val="20"/>
          <w:szCs w:val="20"/>
        </w:rPr>
        <w:t xml:space="preserve"> outweighed </w:t>
      </w:r>
      <w:r>
        <w:rPr>
          <w:rFonts w:ascii="Arial" w:hAnsi="Arial" w:cs="Arial"/>
          <w:sz w:val="20"/>
          <w:szCs w:val="20"/>
        </w:rPr>
        <w:t xml:space="preserve">by </w:t>
      </w:r>
      <w:r w:rsidRPr="007B42D6">
        <w:rPr>
          <w:rFonts w:ascii="Arial" w:hAnsi="Arial" w:cs="Arial"/>
          <w:sz w:val="20"/>
          <w:szCs w:val="20"/>
        </w:rPr>
        <w:t>the desirability of the evidence being admitted in support of the prosecution c</w:t>
      </w:r>
      <w:r>
        <w:rPr>
          <w:rFonts w:ascii="Arial" w:hAnsi="Arial" w:cs="Arial"/>
          <w:sz w:val="20"/>
          <w:szCs w:val="20"/>
        </w:rPr>
        <w:t>ase.”</w:t>
      </w:r>
    </w:p>
    <w:p w14:paraId="043FFD64" w14:textId="60C11541" w:rsidR="00523E9C" w:rsidRDefault="00523E9C" w:rsidP="00523E9C">
      <w:pPr>
        <w:jc w:val="both"/>
        <w:rPr>
          <w:rFonts w:ascii="Arial" w:hAnsi="Arial" w:cs="Arial"/>
          <w:sz w:val="20"/>
        </w:rPr>
      </w:pPr>
    </w:p>
    <w:p w14:paraId="052876B4" w14:textId="045FCFE9" w:rsidR="00023DF2" w:rsidRDefault="00434FF4" w:rsidP="00523E9C">
      <w:pPr>
        <w:jc w:val="both"/>
        <w:rPr>
          <w:rFonts w:ascii="Arial" w:hAnsi="Arial" w:cs="Arial"/>
          <w:color w:val="000000"/>
          <w:sz w:val="20"/>
        </w:rPr>
      </w:pPr>
      <w:bookmarkStart w:id="604" w:name="_Hlk130306205"/>
      <w:r>
        <w:rPr>
          <w:rFonts w:ascii="Arial" w:hAnsi="Arial" w:cs="Arial"/>
          <w:sz w:val="20"/>
        </w:rPr>
        <w:t xml:space="preserve">In </w:t>
      </w:r>
      <w:r w:rsidRPr="002457C1">
        <w:rPr>
          <w:rFonts w:ascii="Arial" w:hAnsi="Arial" w:cs="Arial"/>
          <w:i/>
          <w:iCs/>
          <w:color w:val="000000"/>
          <w:sz w:val="20"/>
        </w:rPr>
        <w:t>Peter Johns</w:t>
      </w:r>
      <w:r w:rsidR="00290658">
        <w:rPr>
          <w:rFonts w:ascii="Arial" w:hAnsi="Arial" w:cs="Arial"/>
          <w:i/>
          <w:iCs/>
          <w:color w:val="000000"/>
          <w:sz w:val="20"/>
        </w:rPr>
        <w:t>t</w:t>
      </w:r>
      <w:r w:rsidRPr="002457C1">
        <w:rPr>
          <w:rFonts w:ascii="Arial" w:hAnsi="Arial" w:cs="Arial"/>
          <w:i/>
          <w:iCs/>
          <w:color w:val="000000"/>
          <w:sz w:val="20"/>
        </w:rPr>
        <w:t>on (a</w:t>
      </w:r>
      <w:r>
        <w:rPr>
          <w:rFonts w:ascii="Arial" w:hAnsi="Arial" w:cs="Arial"/>
          <w:i/>
          <w:iCs/>
          <w:color w:val="000000"/>
          <w:sz w:val="20"/>
        </w:rPr>
        <w:t> </w:t>
      </w:r>
      <w:r w:rsidRPr="002457C1">
        <w:rPr>
          <w:rFonts w:ascii="Arial" w:hAnsi="Arial" w:cs="Arial"/>
          <w:i/>
          <w:iCs/>
          <w:color w:val="000000"/>
          <w:sz w:val="20"/>
        </w:rPr>
        <w:t>pseudonym)</w:t>
      </w:r>
      <w:r>
        <w:rPr>
          <w:rFonts w:ascii="Arial" w:hAnsi="Arial" w:cs="Arial"/>
          <w:i/>
          <w:iCs/>
          <w:color w:val="000000"/>
          <w:sz w:val="20"/>
        </w:rPr>
        <w:t xml:space="preserve"> v The King</w:t>
      </w:r>
      <w:r>
        <w:rPr>
          <w:rFonts w:ascii="Arial" w:hAnsi="Arial" w:cs="Arial"/>
          <w:color w:val="000000"/>
          <w:sz w:val="20"/>
        </w:rPr>
        <w:t xml:space="preserve"> [2023] VSCA 49 </w:t>
      </w:r>
      <w:r w:rsidR="001C0801">
        <w:rPr>
          <w:rFonts w:ascii="Arial" w:hAnsi="Arial" w:cs="Arial"/>
          <w:color w:val="000000"/>
          <w:sz w:val="20"/>
        </w:rPr>
        <w:t>on Christmas Day 2020</w:t>
      </w:r>
      <w:r w:rsidR="00023DF2">
        <w:rPr>
          <w:rFonts w:ascii="Arial" w:hAnsi="Arial" w:cs="Arial"/>
          <w:color w:val="000000"/>
          <w:sz w:val="20"/>
        </w:rPr>
        <w:t xml:space="preserve"> </w:t>
      </w:r>
      <w:r w:rsidR="001C0801">
        <w:rPr>
          <w:rFonts w:ascii="Arial" w:hAnsi="Arial" w:cs="Arial"/>
          <w:color w:val="000000"/>
          <w:sz w:val="20"/>
        </w:rPr>
        <w:t xml:space="preserve">– pursuant to a warrant </w:t>
      </w:r>
      <w:r w:rsidR="006B6807">
        <w:rPr>
          <w:rFonts w:ascii="Arial" w:hAnsi="Arial" w:cs="Arial"/>
          <w:color w:val="000000"/>
          <w:sz w:val="20"/>
        </w:rPr>
        <w:t xml:space="preserve">believed to have been issued by the Children’s Court under s.598(1) CYFA </w:t>
      </w:r>
      <w:r w:rsidR="001C0801">
        <w:rPr>
          <w:rFonts w:ascii="Arial" w:hAnsi="Arial" w:cs="Arial"/>
          <w:color w:val="000000"/>
          <w:sz w:val="20"/>
        </w:rPr>
        <w:t>to search for a 17</w:t>
      </w:r>
      <w:r w:rsidR="00023DF2">
        <w:rPr>
          <w:rFonts w:ascii="Arial" w:hAnsi="Arial" w:cs="Arial"/>
          <w:color w:val="000000"/>
          <w:sz w:val="20"/>
        </w:rPr>
        <w:t> </w:t>
      </w:r>
      <w:r w:rsidR="001C0801">
        <w:rPr>
          <w:rFonts w:ascii="Arial" w:hAnsi="Arial" w:cs="Arial"/>
          <w:color w:val="000000"/>
          <w:sz w:val="20"/>
        </w:rPr>
        <w:t xml:space="preserve">year old female </w:t>
      </w:r>
      <w:r w:rsidR="006B6807">
        <w:rPr>
          <w:rFonts w:ascii="Arial" w:hAnsi="Arial" w:cs="Arial"/>
          <w:color w:val="000000"/>
          <w:sz w:val="20"/>
        </w:rPr>
        <w:t xml:space="preserve">CM </w:t>
      </w:r>
      <w:r w:rsidR="001C0801">
        <w:rPr>
          <w:rFonts w:ascii="Arial" w:hAnsi="Arial" w:cs="Arial"/>
          <w:color w:val="000000"/>
          <w:sz w:val="20"/>
        </w:rPr>
        <w:t xml:space="preserve">in the care of the State of Victoria – </w:t>
      </w:r>
      <w:r w:rsidR="00023DF2">
        <w:rPr>
          <w:rFonts w:ascii="Arial" w:hAnsi="Arial" w:cs="Arial"/>
          <w:color w:val="000000"/>
          <w:sz w:val="20"/>
        </w:rPr>
        <w:t xml:space="preserve">six police members (including 2 sergeants) </w:t>
      </w:r>
      <w:r w:rsidR="001C0801">
        <w:rPr>
          <w:rFonts w:ascii="Arial" w:hAnsi="Arial" w:cs="Arial"/>
          <w:color w:val="000000"/>
          <w:sz w:val="20"/>
        </w:rPr>
        <w:t xml:space="preserve">had entered and searched </w:t>
      </w:r>
      <w:r w:rsidR="006B6807">
        <w:rPr>
          <w:rFonts w:ascii="Arial" w:hAnsi="Arial" w:cs="Arial"/>
          <w:color w:val="000000"/>
          <w:sz w:val="20"/>
        </w:rPr>
        <w:t>CM’s</w:t>
      </w:r>
      <w:r w:rsidR="001C0801">
        <w:rPr>
          <w:rFonts w:ascii="Arial" w:hAnsi="Arial" w:cs="Arial"/>
          <w:color w:val="000000"/>
          <w:sz w:val="20"/>
        </w:rPr>
        <w:t xml:space="preserve"> father’s house where it was suspected that </w:t>
      </w:r>
      <w:r w:rsidR="006B6807">
        <w:rPr>
          <w:rFonts w:ascii="Arial" w:hAnsi="Arial" w:cs="Arial"/>
          <w:color w:val="000000"/>
          <w:sz w:val="20"/>
        </w:rPr>
        <w:t>CM</w:t>
      </w:r>
      <w:r w:rsidR="001C0801">
        <w:rPr>
          <w:rFonts w:ascii="Arial" w:hAnsi="Arial" w:cs="Arial"/>
          <w:color w:val="000000"/>
          <w:sz w:val="20"/>
        </w:rPr>
        <w:t xml:space="preserve"> may be located.  </w:t>
      </w:r>
      <w:r w:rsidR="00023DF2">
        <w:rPr>
          <w:rFonts w:ascii="Arial" w:hAnsi="Arial" w:cs="Arial"/>
          <w:color w:val="000000"/>
          <w:sz w:val="20"/>
        </w:rPr>
        <w:t xml:space="preserve">For some time after it became clear that CM was not at the house, the officers continued to conduct an intensive search of the house.  In the course of their search, several items </w:t>
      </w:r>
      <w:r w:rsidR="00CE497B">
        <w:rPr>
          <w:rFonts w:ascii="Arial" w:hAnsi="Arial" w:cs="Arial"/>
          <w:color w:val="000000"/>
          <w:sz w:val="20"/>
        </w:rPr>
        <w:t xml:space="preserve">– in particular a video depicting a male engaged in sexual intercourse with an unconscious female and iPhone text messages evidencing drug trafficking – </w:t>
      </w:r>
      <w:r w:rsidR="00023DF2">
        <w:rPr>
          <w:rFonts w:ascii="Arial" w:hAnsi="Arial" w:cs="Arial"/>
          <w:color w:val="000000"/>
          <w:sz w:val="20"/>
        </w:rPr>
        <w:t>were identified by police officers.  This in turn led to a s.465 warrant to search for property being executed on 21 April 2021.</w:t>
      </w:r>
    </w:p>
    <w:p w14:paraId="6A737DC3" w14:textId="0BE5D896" w:rsidR="00EC69C7" w:rsidRDefault="001C0801" w:rsidP="00CE497B">
      <w:pPr>
        <w:spacing w:before="120"/>
        <w:jc w:val="both"/>
        <w:rPr>
          <w:rFonts w:ascii="Arial" w:hAnsi="Arial" w:cs="Arial"/>
          <w:color w:val="000000"/>
          <w:sz w:val="20"/>
        </w:rPr>
      </w:pPr>
      <w:r>
        <w:rPr>
          <w:rFonts w:ascii="Arial" w:hAnsi="Arial" w:cs="Arial"/>
          <w:color w:val="000000"/>
          <w:sz w:val="20"/>
        </w:rPr>
        <w:t xml:space="preserve">Both the trial </w:t>
      </w:r>
      <w:r w:rsidR="006B6807">
        <w:rPr>
          <w:rFonts w:ascii="Arial" w:hAnsi="Arial" w:cs="Arial"/>
          <w:color w:val="000000"/>
          <w:sz w:val="20"/>
        </w:rPr>
        <w:t xml:space="preserve">judge and the Court of Appeal held that the Christmas Day search was </w:t>
      </w:r>
      <w:r w:rsidR="00874A4F">
        <w:rPr>
          <w:rFonts w:ascii="Arial" w:hAnsi="Arial" w:cs="Arial"/>
          <w:color w:val="000000"/>
          <w:sz w:val="20"/>
        </w:rPr>
        <w:t xml:space="preserve">in part </w:t>
      </w:r>
      <w:r w:rsidR="006B6807">
        <w:rPr>
          <w:rFonts w:ascii="Arial" w:hAnsi="Arial" w:cs="Arial"/>
          <w:color w:val="000000"/>
          <w:sz w:val="20"/>
        </w:rPr>
        <w:t xml:space="preserve">unlawful, although they differed </w:t>
      </w:r>
      <w:r w:rsidR="00EB727C">
        <w:rPr>
          <w:rFonts w:ascii="Arial" w:hAnsi="Arial" w:cs="Arial"/>
          <w:color w:val="000000"/>
          <w:sz w:val="20"/>
        </w:rPr>
        <w:t xml:space="preserve">substantially </w:t>
      </w:r>
      <w:r w:rsidR="006B6807">
        <w:rPr>
          <w:rFonts w:ascii="Arial" w:hAnsi="Arial" w:cs="Arial"/>
          <w:color w:val="000000"/>
          <w:sz w:val="20"/>
        </w:rPr>
        <w:t xml:space="preserve">as to the extent.  </w:t>
      </w:r>
      <w:r w:rsidR="00EC69C7">
        <w:rPr>
          <w:rFonts w:ascii="Arial" w:hAnsi="Arial" w:cs="Arial"/>
          <w:color w:val="000000"/>
          <w:sz w:val="20"/>
        </w:rPr>
        <w:t xml:space="preserve">The trial judge </w:t>
      </w:r>
      <w:r w:rsidR="00EB727C">
        <w:rPr>
          <w:rFonts w:ascii="Arial" w:hAnsi="Arial" w:cs="Arial"/>
          <w:color w:val="000000"/>
          <w:sz w:val="20"/>
        </w:rPr>
        <w:t xml:space="preserve">had </w:t>
      </w:r>
      <w:r w:rsidR="00EC69C7">
        <w:rPr>
          <w:rFonts w:ascii="Arial" w:hAnsi="Arial" w:cs="Arial"/>
          <w:color w:val="000000"/>
          <w:sz w:val="20"/>
        </w:rPr>
        <w:t xml:space="preserve">held in </w:t>
      </w:r>
      <w:r w:rsidR="00941E07">
        <w:rPr>
          <w:rFonts w:ascii="Arial" w:hAnsi="Arial" w:cs="Arial"/>
          <w:color w:val="000000"/>
          <w:sz w:val="20"/>
        </w:rPr>
        <w:t>[2022] VCC 1083 at [44]-[45]:</w:t>
      </w:r>
    </w:p>
    <w:p w14:paraId="04BFB797" w14:textId="1D1818EC" w:rsidR="00941E07" w:rsidRPr="00023DF2" w:rsidRDefault="00874A4F" w:rsidP="00941E07">
      <w:pPr>
        <w:spacing w:before="60"/>
        <w:ind w:left="567" w:right="567"/>
        <w:jc w:val="both"/>
        <w:rPr>
          <w:rFonts w:ascii="Arial" w:hAnsi="Arial" w:cs="Arial"/>
          <w:sz w:val="20"/>
          <w:szCs w:val="16"/>
        </w:rPr>
      </w:pPr>
      <w:r>
        <w:rPr>
          <w:rFonts w:ascii="Arial" w:hAnsi="Arial" w:cs="Arial"/>
          <w:sz w:val="20"/>
        </w:rPr>
        <w:t xml:space="preserve">[44] </w:t>
      </w:r>
      <w:r w:rsidR="00941E07" w:rsidRPr="00941E07">
        <w:rPr>
          <w:rFonts w:ascii="Arial" w:hAnsi="Arial" w:cs="Arial"/>
          <w:sz w:val="20"/>
        </w:rPr>
        <w:t>“</w:t>
      </w:r>
      <w:r w:rsidR="00941E07" w:rsidRPr="00941E07">
        <w:rPr>
          <w:rFonts w:ascii="Arial" w:hAnsi="Arial" w:cs="Arial"/>
          <w:sz w:val="20"/>
          <w:szCs w:val="16"/>
        </w:rPr>
        <w:t xml:space="preserve">The purpose for which a safe custody warrant is issued is to locate and return a child (believed or found to be in need of protection) into emergency care or a place nominated by the Secretary. </w:t>
      </w:r>
      <w:r w:rsidR="00941E07" w:rsidRPr="00023DF2">
        <w:rPr>
          <w:rFonts w:ascii="Arial" w:hAnsi="Arial" w:cs="Arial"/>
          <w:sz w:val="20"/>
          <w:szCs w:val="16"/>
        </w:rPr>
        <w:t>Given its purpose, the authority conferred on police to enter and search premises under such a warrant should not be construed narrowly. For instance, the authority given to police may well extend to searches of electronic devices found at the premises, where there are reasonable grounds for suspecting that such a search may elicit information regarding the child’s whereabouts.</w:t>
      </w:r>
    </w:p>
    <w:p w14:paraId="529AC0F1" w14:textId="3750A24A" w:rsidR="00941E07" w:rsidRPr="00941E07" w:rsidRDefault="00874A4F" w:rsidP="00874A4F">
      <w:pPr>
        <w:spacing w:before="60"/>
        <w:ind w:left="567" w:right="567"/>
        <w:jc w:val="both"/>
        <w:rPr>
          <w:rFonts w:ascii="Arial" w:hAnsi="Arial" w:cs="Arial"/>
          <w:sz w:val="20"/>
        </w:rPr>
      </w:pPr>
      <w:r>
        <w:rPr>
          <w:rFonts w:ascii="Arial" w:hAnsi="Arial" w:cs="Arial"/>
          <w:sz w:val="20"/>
          <w:szCs w:val="16"/>
        </w:rPr>
        <w:t xml:space="preserve">[45] </w:t>
      </w:r>
      <w:r w:rsidR="00941E07" w:rsidRPr="00941E07">
        <w:rPr>
          <w:rFonts w:ascii="Arial" w:hAnsi="Arial" w:cs="Arial"/>
          <w:sz w:val="20"/>
          <w:szCs w:val="16"/>
        </w:rPr>
        <w:t xml:space="preserve">Here however, the search conducted by F/C </w:t>
      </w:r>
      <w:r w:rsidR="00941E07">
        <w:rPr>
          <w:rFonts w:ascii="Arial" w:hAnsi="Arial" w:cs="Arial"/>
          <w:sz w:val="20"/>
          <w:szCs w:val="16"/>
        </w:rPr>
        <w:t>[M]</w:t>
      </w:r>
      <w:r w:rsidR="00941E07" w:rsidRPr="00941E07">
        <w:rPr>
          <w:rFonts w:ascii="Arial" w:hAnsi="Arial" w:cs="Arial"/>
          <w:sz w:val="20"/>
          <w:szCs w:val="16"/>
        </w:rPr>
        <w:t xml:space="preserve"> continued for approximately 30</w:t>
      </w:r>
      <w:r>
        <w:rPr>
          <w:rFonts w:ascii="Arial" w:hAnsi="Arial" w:cs="Arial"/>
          <w:sz w:val="20"/>
          <w:szCs w:val="16"/>
        </w:rPr>
        <w:t> </w:t>
      </w:r>
      <w:r w:rsidR="00941E07" w:rsidRPr="00941E07">
        <w:rPr>
          <w:rFonts w:ascii="Arial" w:hAnsi="Arial" w:cs="Arial"/>
          <w:sz w:val="20"/>
          <w:szCs w:val="16"/>
        </w:rPr>
        <w:t xml:space="preserve">minutes after police became aware that </w:t>
      </w:r>
      <w:r w:rsidR="00941E07">
        <w:rPr>
          <w:rFonts w:ascii="Arial" w:hAnsi="Arial" w:cs="Arial"/>
          <w:sz w:val="20"/>
          <w:szCs w:val="16"/>
        </w:rPr>
        <w:t>[CM]</w:t>
      </w:r>
      <w:r w:rsidR="00941E07" w:rsidRPr="00941E07">
        <w:rPr>
          <w:rFonts w:ascii="Arial" w:hAnsi="Arial" w:cs="Arial"/>
          <w:sz w:val="20"/>
          <w:szCs w:val="16"/>
        </w:rPr>
        <w:t xml:space="preserve"> was </w:t>
      </w:r>
      <w:r w:rsidR="00941E07">
        <w:rPr>
          <w:rFonts w:ascii="Arial" w:hAnsi="Arial" w:cs="Arial"/>
          <w:sz w:val="20"/>
          <w:szCs w:val="16"/>
        </w:rPr>
        <w:t>‘</w:t>
      </w:r>
      <w:r w:rsidR="00941E07" w:rsidRPr="00941E07">
        <w:rPr>
          <w:rFonts w:ascii="Arial" w:hAnsi="Arial" w:cs="Arial"/>
          <w:sz w:val="20"/>
          <w:szCs w:val="16"/>
        </w:rPr>
        <w:t>long gone</w:t>
      </w:r>
      <w:r w:rsidR="00941E07">
        <w:rPr>
          <w:rFonts w:ascii="Arial" w:hAnsi="Arial" w:cs="Arial"/>
          <w:sz w:val="20"/>
          <w:szCs w:val="16"/>
        </w:rPr>
        <w:t>’</w:t>
      </w:r>
      <w:r w:rsidR="00941E07" w:rsidRPr="00941E07">
        <w:rPr>
          <w:rFonts w:ascii="Arial" w:hAnsi="Arial" w:cs="Arial"/>
          <w:sz w:val="20"/>
          <w:szCs w:val="16"/>
        </w:rPr>
        <w:t xml:space="preserve"> and on a train. From that point in time, I find that F/C </w:t>
      </w:r>
      <w:r w:rsidR="00941E07">
        <w:rPr>
          <w:rFonts w:ascii="Arial" w:hAnsi="Arial" w:cs="Arial"/>
          <w:sz w:val="20"/>
          <w:szCs w:val="16"/>
        </w:rPr>
        <w:t>[</w:t>
      </w:r>
      <w:r w:rsidR="00941E07" w:rsidRPr="00941E07">
        <w:rPr>
          <w:rFonts w:ascii="Arial" w:hAnsi="Arial" w:cs="Arial"/>
          <w:sz w:val="20"/>
          <w:szCs w:val="16"/>
        </w:rPr>
        <w:t>M</w:t>
      </w:r>
      <w:r w:rsidR="00941E07">
        <w:rPr>
          <w:rFonts w:ascii="Arial" w:hAnsi="Arial" w:cs="Arial"/>
          <w:sz w:val="20"/>
          <w:szCs w:val="16"/>
        </w:rPr>
        <w:t>]</w:t>
      </w:r>
      <w:r w:rsidR="00941E07" w:rsidRPr="00941E07">
        <w:rPr>
          <w:rFonts w:ascii="Arial" w:hAnsi="Arial" w:cs="Arial"/>
          <w:sz w:val="20"/>
          <w:szCs w:val="16"/>
        </w:rPr>
        <w:t xml:space="preserve"> continued his search of the property for the purpose of investigating whether a crime had been committed, albeit with respect to </w:t>
      </w:r>
      <w:r w:rsidR="00941E07">
        <w:rPr>
          <w:rFonts w:ascii="Arial" w:hAnsi="Arial" w:cs="Arial"/>
          <w:sz w:val="20"/>
          <w:szCs w:val="16"/>
        </w:rPr>
        <w:t>[CM]</w:t>
      </w:r>
      <w:r w:rsidR="00941E07" w:rsidRPr="00941E07">
        <w:rPr>
          <w:rFonts w:ascii="Arial" w:hAnsi="Arial" w:cs="Arial"/>
          <w:sz w:val="20"/>
          <w:szCs w:val="16"/>
        </w:rPr>
        <w:t xml:space="preserve">. He did so without authority. The safe custody warrant did not authorise a search for this purpose. F/C </w:t>
      </w:r>
      <w:r w:rsidR="00941E07">
        <w:rPr>
          <w:rFonts w:ascii="Arial" w:hAnsi="Arial" w:cs="Arial"/>
          <w:sz w:val="20"/>
          <w:szCs w:val="16"/>
        </w:rPr>
        <w:t>[</w:t>
      </w:r>
      <w:r w:rsidR="00941E07" w:rsidRPr="00941E07">
        <w:rPr>
          <w:rFonts w:ascii="Arial" w:hAnsi="Arial" w:cs="Arial"/>
          <w:sz w:val="20"/>
          <w:szCs w:val="16"/>
        </w:rPr>
        <w:t>M’s</w:t>
      </w:r>
      <w:r w:rsidR="00941E07">
        <w:rPr>
          <w:rFonts w:ascii="Arial" w:hAnsi="Arial" w:cs="Arial"/>
          <w:sz w:val="20"/>
          <w:szCs w:val="16"/>
        </w:rPr>
        <w:t>]</w:t>
      </w:r>
      <w:r w:rsidR="00941E07" w:rsidRPr="00941E07">
        <w:rPr>
          <w:rFonts w:ascii="Arial" w:hAnsi="Arial" w:cs="Arial"/>
          <w:sz w:val="20"/>
          <w:szCs w:val="16"/>
        </w:rPr>
        <w:t xml:space="preserve"> search of the property, without a s 465 warrant having been sought and obtained, was in contravention of Australian law, in that it exceeded the authority of the safe custody warrant, and was improper.</w:t>
      </w:r>
      <w:r w:rsidR="00941E07">
        <w:rPr>
          <w:rFonts w:ascii="Arial" w:hAnsi="Arial" w:cs="Arial"/>
          <w:sz w:val="20"/>
          <w:szCs w:val="16"/>
        </w:rPr>
        <w:t>”</w:t>
      </w:r>
    </w:p>
    <w:p w14:paraId="566A2D58" w14:textId="6A8E71C1" w:rsidR="00EC69C7" w:rsidRPr="00941E07" w:rsidRDefault="00941E07" w:rsidP="001C0801">
      <w:pPr>
        <w:spacing w:before="120"/>
        <w:jc w:val="both"/>
        <w:rPr>
          <w:rFonts w:ascii="Arial" w:hAnsi="Arial" w:cs="Arial"/>
          <w:color w:val="000000"/>
          <w:sz w:val="20"/>
        </w:rPr>
      </w:pPr>
      <w:r>
        <w:rPr>
          <w:rFonts w:ascii="Arial" w:hAnsi="Arial" w:cs="Arial"/>
          <w:color w:val="000000"/>
          <w:sz w:val="20"/>
        </w:rPr>
        <w:t>By contrast the Court of Appeal held at [5] that the search was unlawful “once it was clear that CM was not on the premises”</w:t>
      </w:r>
      <w:r w:rsidR="00A32EDE">
        <w:rPr>
          <w:rFonts w:ascii="Arial" w:hAnsi="Arial" w:cs="Arial"/>
          <w:color w:val="000000"/>
          <w:sz w:val="20"/>
        </w:rPr>
        <w:t>.</w:t>
      </w:r>
      <w:r w:rsidR="00EB727C">
        <w:rPr>
          <w:rFonts w:ascii="Arial" w:hAnsi="Arial" w:cs="Arial"/>
          <w:color w:val="000000"/>
          <w:sz w:val="20"/>
        </w:rPr>
        <w:t xml:space="preserve">  They elaborated</w:t>
      </w:r>
      <w:r>
        <w:rPr>
          <w:rFonts w:ascii="Arial" w:hAnsi="Arial" w:cs="Arial"/>
          <w:color w:val="000000"/>
          <w:sz w:val="20"/>
        </w:rPr>
        <w:t xml:space="preserve"> </w:t>
      </w:r>
      <w:r w:rsidR="00EB727C">
        <w:rPr>
          <w:rFonts w:ascii="Arial" w:hAnsi="Arial" w:cs="Arial"/>
          <w:color w:val="000000"/>
          <w:sz w:val="20"/>
        </w:rPr>
        <w:t xml:space="preserve">on this </w:t>
      </w:r>
      <w:r w:rsidR="00874A4F">
        <w:rPr>
          <w:rFonts w:ascii="Arial" w:hAnsi="Arial" w:cs="Arial"/>
          <w:color w:val="000000"/>
          <w:sz w:val="20"/>
        </w:rPr>
        <w:t>at</w:t>
      </w:r>
      <w:r>
        <w:rPr>
          <w:rFonts w:ascii="Arial" w:hAnsi="Arial" w:cs="Arial"/>
          <w:color w:val="000000"/>
          <w:sz w:val="20"/>
        </w:rPr>
        <w:t xml:space="preserve"> </w:t>
      </w:r>
      <w:r w:rsidR="00EB727C">
        <w:rPr>
          <w:rFonts w:ascii="Arial" w:hAnsi="Arial" w:cs="Arial"/>
          <w:color w:val="000000"/>
          <w:sz w:val="20"/>
        </w:rPr>
        <w:t xml:space="preserve">[122]-[123] &amp; </w:t>
      </w:r>
      <w:r>
        <w:rPr>
          <w:rFonts w:ascii="Arial" w:hAnsi="Arial" w:cs="Arial"/>
          <w:color w:val="000000"/>
          <w:sz w:val="20"/>
        </w:rPr>
        <w:t>[201]</w:t>
      </w:r>
      <w:r w:rsidR="00874A4F">
        <w:rPr>
          <w:rFonts w:ascii="Arial" w:hAnsi="Arial" w:cs="Arial"/>
          <w:color w:val="000000"/>
          <w:sz w:val="20"/>
        </w:rPr>
        <w:t xml:space="preserve"> as follows:</w:t>
      </w:r>
    </w:p>
    <w:p w14:paraId="51ABBA0E" w14:textId="5E31F411" w:rsidR="00EB727C" w:rsidRDefault="00EB727C" w:rsidP="00874A4F">
      <w:pPr>
        <w:pStyle w:val="CCVNumberLevel1"/>
        <w:tabs>
          <w:tab w:val="clear" w:pos="1134"/>
        </w:tabs>
        <w:spacing w:before="60" w:after="0" w:line="240" w:lineRule="auto"/>
        <w:ind w:left="567" w:right="567" w:firstLine="0"/>
        <w:rPr>
          <w:sz w:val="20"/>
          <w:szCs w:val="16"/>
        </w:rPr>
      </w:pPr>
      <w:r>
        <w:rPr>
          <w:sz w:val="20"/>
          <w:szCs w:val="16"/>
        </w:rPr>
        <w:t>[122] “</w:t>
      </w:r>
      <w:r w:rsidRPr="00EB727C">
        <w:rPr>
          <w:rFonts w:cs="Arial"/>
          <w:sz w:val="20"/>
        </w:rPr>
        <w:t xml:space="preserve">There is nothing in the terms of a warrant that would permit a search for information as to the whereabouts of CM. The warrant solely covers the recovery of CM and not an unlimited search of premises whatever the purpose. Because of the invasive nature of a </w:t>
      </w:r>
      <w:r w:rsidRPr="00EB727C">
        <w:rPr>
          <w:rFonts w:cs="Arial"/>
          <w:sz w:val="20"/>
        </w:rPr>
        <w:lastRenderedPageBreak/>
        <w:t>warrant — permitting what would otherwise be unlawful in terms of entry onto any premises where the police suspect a child to be present — it should be given no greater scope than that which its express terms permit. There is no basis for the implication of wider powers of search of a property. An interpretation which conforms with the terms of the safe custody warrant is necessary given that the warrant can be executed anywhere and at any time in the search for a missing child based on the suspicion of the relevant police officer.</w:t>
      </w:r>
    </w:p>
    <w:p w14:paraId="58210DB4" w14:textId="4DA12A0F" w:rsidR="00EB727C" w:rsidRDefault="00EB727C" w:rsidP="00874A4F">
      <w:pPr>
        <w:pStyle w:val="CCVNumberLevel1"/>
        <w:tabs>
          <w:tab w:val="clear" w:pos="1134"/>
        </w:tabs>
        <w:spacing w:before="60" w:after="0" w:line="240" w:lineRule="auto"/>
        <w:ind w:left="567" w:right="567" w:firstLine="0"/>
        <w:rPr>
          <w:sz w:val="20"/>
          <w:szCs w:val="16"/>
        </w:rPr>
      </w:pPr>
      <w:r>
        <w:rPr>
          <w:sz w:val="20"/>
          <w:szCs w:val="16"/>
        </w:rPr>
        <w:t xml:space="preserve">[123] </w:t>
      </w:r>
      <w:r w:rsidRPr="00EB727C">
        <w:rPr>
          <w:rFonts w:cs="Arial"/>
          <w:sz w:val="20"/>
        </w:rPr>
        <w:t>In summary, there was no power (either express or implied) to permit a search of the house (or of the electronic devices within it) to elicit information regarding CM’s whereabouts — if indeed that was ever the purpose of the search, which we doubt.</w:t>
      </w:r>
      <w:r>
        <w:rPr>
          <w:rFonts w:cs="Arial"/>
          <w:sz w:val="20"/>
        </w:rPr>
        <w:t>”</w:t>
      </w:r>
    </w:p>
    <w:p w14:paraId="22F2085F" w14:textId="440D952F" w:rsidR="00874A4F" w:rsidRPr="00874A4F" w:rsidRDefault="006D47B2" w:rsidP="00874A4F">
      <w:pPr>
        <w:pStyle w:val="CCVNumberLevel1"/>
        <w:tabs>
          <w:tab w:val="clear" w:pos="1134"/>
        </w:tabs>
        <w:spacing w:before="60" w:after="0" w:line="240" w:lineRule="auto"/>
        <w:ind w:left="567" w:right="567" w:firstLine="0"/>
        <w:rPr>
          <w:sz w:val="20"/>
          <w:szCs w:val="16"/>
        </w:rPr>
      </w:pPr>
      <w:r>
        <w:rPr>
          <w:sz w:val="20"/>
          <w:szCs w:val="16"/>
        </w:rPr>
        <w:t xml:space="preserve">[201] </w:t>
      </w:r>
      <w:r w:rsidR="00874A4F">
        <w:rPr>
          <w:sz w:val="20"/>
          <w:szCs w:val="16"/>
        </w:rPr>
        <w:t>“</w:t>
      </w:r>
      <w:r w:rsidR="00874A4F" w:rsidRPr="00EC69C7">
        <w:rPr>
          <w:rFonts w:cs="Arial"/>
          <w:sz w:val="20"/>
        </w:rPr>
        <w:t>No part of the search after five minutes was directed to ascertain the whereabouts of CM, but rather it appears to have been a forensic exercise directed to eliciting evidence of general criminality without any proper basis for the police officers being on the premises. The house search video is compelling in relation to the invasiveness and duration of the search.</w:t>
      </w:r>
      <w:r w:rsidR="00874A4F">
        <w:rPr>
          <w:rFonts w:cs="Arial"/>
          <w:sz w:val="20"/>
        </w:rPr>
        <w:t>”</w:t>
      </w:r>
    </w:p>
    <w:bookmarkEnd w:id="604"/>
    <w:p w14:paraId="2C92DE6F" w14:textId="656FCEEB" w:rsidR="00434FF4" w:rsidRDefault="00874A4F" w:rsidP="001C0801">
      <w:pPr>
        <w:spacing w:before="120"/>
        <w:jc w:val="both"/>
        <w:rPr>
          <w:rFonts w:ascii="Arial" w:hAnsi="Arial" w:cs="Arial"/>
          <w:color w:val="000000"/>
          <w:sz w:val="20"/>
        </w:rPr>
      </w:pPr>
      <w:r>
        <w:rPr>
          <w:rFonts w:ascii="Arial" w:hAnsi="Arial" w:cs="Arial"/>
          <w:color w:val="000000"/>
          <w:sz w:val="20"/>
        </w:rPr>
        <w:t xml:space="preserve">The trial judge and the Court of Appeal also differed on the </w:t>
      </w:r>
      <w:r w:rsidR="00A84CF5">
        <w:rPr>
          <w:rFonts w:ascii="Arial" w:hAnsi="Arial" w:cs="Arial"/>
          <w:color w:val="000000"/>
          <w:sz w:val="20"/>
        </w:rPr>
        <w:t xml:space="preserve">outcome of the </w:t>
      </w:r>
      <w:r>
        <w:rPr>
          <w:rFonts w:ascii="Arial" w:hAnsi="Arial" w:cs="Arial"/>
          <w:color w:val="000000"/>
          <w:sz w:val="20"/>
        </w:rPr>
        <w:t xml:space="preserve">balancing exercise under s.138 </w:t>
      </w:r>
      <w:r w:rsidRPr="00FD0640">
        <w:rPr>
          <w:rFonts w:ascii="Arial" w:hAnsi="Arial" w:cs="Arial"/>
          <w:color w:val="000000"/>
          <w:sz w:val="20"/>
        </w:rPr>
        <w:t xml:space="preserve">of the </w:t>
      </w:r>
      <w:r w:rsidRPr="0058675C">
        <w:rPr>
          <w:rFonts w:ascii="Arial" w:hAnsi="Arial" w:cs="Arial"/>
          <w:i/>
          <w:iCs/>
          <w:color w:val="000000"/>
          <w:sz w:val="20"/>
        </w:rPr>
        <w:t>Evidence Act 2008</w:t>
      </w:r>
      <w:r>
        <w:rPr>
          <w:rFonts w:ascii="Arial" w:hAnsi="Arial" w:cs="Arial"/>
          <w:color w:val="000000"/>
          <w:sz w:val="20"/>
        </w:rPr>
        <w:t xml:space="preserve">.  </w:t>
      </w:r>
      <w:r w:rsidR="006B6807">
        <w:rPr>
          <w:rFonts w:ascii="Arial" w:hAnsi="Arial" w:cs="Arial"/>
          <w:color w:val="000000"/>
          <w:sz w:val="20"/>
        </w:rPr>
        <w:t xml:space="preserve">The trial judge </w:t>
      </w:r>
      <w:r>
        <w:rPr>
          <w:rFonts w:ascii="Arial" w:hAnsi="Arial" w:cs="Arial"/>
          <w:color w:val="000000"/>
          <w:sz w:val="20"/>
        </w:rPr>
        <w:t>– conceding that there is “a difficult tension in the competing public interest considerations in this case</w:t>
      </w:r>
      <w:r w:rsidR="008D2B51">
        <w:rPr>
          <w:rFonts w:ascii="Arial" w:hAnsi="Arial" w:cs="Arial"/>
          <w:color w:val="000000"/>
          <w:sz w:val="20"/>
        </w:rPr>
        <w:t>”</w:t>
      </w:r>
      <w:r>
        <w:rPr>
          <w:rFonts w:ascii="Arial" w:hAnsi="Arial" w:cs="Arial"/>
          <w:color w:val="000000"/>
          <w:sz w:val="20"/>
        </w:rPr>
        <w:t xml:space="preserve"> – </w:t>
      </w:r>
      <w:r w:rsidR="006B6807">
        <w:rPr>
          <w:rFonts w:ascii="Arial" w:hAnsi="Arial" w:cs="Arial"/>
          <w:color w:val="000000"/>
          <w:sz w:val="20"/>
        </w:rPr>
        <w:t>h</w:t>
      </w:r>
      <w:r>
        <w:rPr>
          <w:rFonts w:ascii="Arial" w:hAnsi="Arial" w:cs="Arial"/>
          <w:color w:val="000000"/>
          <w:sz w:val="20"/>
        </w:rPr>
        <w:t>ad held the evidence admissible for the reasons she set out at [77]-[86] including</w:t>
      </w:r>
      <w:r w:rsidR="008D2B51">
        <w:rPr>
          <w:rFonts w:ascii="Arial" w:hAnsi="Arial" w:cs="Arial"/>
          <w:color w:val="000000"/>
          <w:sz w:val="20"/>
        </w:rPr>
        <w:t>:</w:t>
      </w:r>
    </w:p>
    <w:p w14:paraId="17F9E927" w14:textId="50E3C4A4" w:rsidR="008D2B51" w:rsidRPr="008D2B51" w:rsidRDefault="008D2B51">
      <w:pPr>
        <w:pStyle w:val="CCVNumberLevel1"/>
        <w:numPr>
          <w:ilvl w:val="0"/>
          <w:numId w:val="98"/>
        </w:numPr>
        <w:spacing w:after="0" w:line="240" w:lineRule="auto"/>
        <w:ind w:left="357" w:hanging="357"/>
        <w:rPr>
          <w:rFonts w:cs="Arial"/>
          <w:sz w:val="20"/>
          <w:szCs w:val="16"/>
        </w:rPr>
      </w:pPr>
      <w:r w:rsidRPr="008D2B51">
        <w:rPr>
          <w:rFonts w:cs="Arial"/>
          <w:sz w:val="20"/>
          <w:szCs w:val="16"/>
        </w:rPr>
        <w:t>the video evidence is distinctly probative and of significant weight in relation to the prosecution case that the complainant was raped whilst unconscious</w:t>
      </w:r>
      <w:r w:rsidR="00BB6B41">
        <w:rPr>
          <w:rFonts w:cs="Arial"/>
          <w:sz w:val="20"/>
          <w:szCs w:val="16"/>
        </w:rPr>
        <w:t xml:space="preserve"> and if it was ruled </w:t>
      </w:r>
      <w:r w:rsidRPr="008D2B51">
        <w:rPr>
          <w:rFonts w:cs="Arial"/>
          <w:sz w:val="20"/>
          <w:szCs w:val="16"/>
        </w:rPr>
        <w:t>inadmissible, the</w:t>
      </w:r>
      <w:r w:rsidR="00BB6B41">
        <w:rPr>
          <w:rFonts w:cs="Arial"/>
          <w:sz w:val="20"/>
          <w:szCs w:val="16"/>
        </w:rPr>
        <w:t xml:space="preserve"> rape</w:t>
      </w:r>
      <w:r w:rsidRPr="008D2B51">
        <w:rPr>
          <w:rFonts w:cs="Arial"/>
          <w:sz w:val="20"/>
          <w:szCs w:val="16"/>
        </w:rPr>
        <w:t xml:space="preserve"> charges could not proceed</w:t>
      </w:r>
      <w:r w:rsidR="00BB6B41">
        <w:rPr>
          <w:rFonts w:cs="Arial"/>
          <w:sz w:val="20"/>
          <w:szCs w:val="16"/>
        </w:rPr>
        <w:t>;</w:t>
      </w:r>
    </w:p>
    <w:p w14:paraId="30140AD7" w14:textId="5121DC87" w:rsidR="008D2B51" w:rsidRPr="00BB6B41" w:rsidRDefault="00BB6B41">
      <w:pPr>
        <w:pStyle w:val="ListParagraph"/>
        <w:numPr>
          <w:ilvl w:val="0"/>
          <w:numId w:val="98"/>
        </w:numPr>
        <w:ind w:left="357" w:hanging="357"/>
        <w:jc w:val="both"/>
        <w:rPr>
          <w:rFonts w:ascii="Arial" w:hAnsi="Arial" w:cs="Arial"/>
          <w:color w:val="000000"/>
          <w:sz w:val="20"/>
        </w:rPr>
      </w:pPr>
      <w:r>
        <w:rPr>
          <w:rFonts w:ascii="Arial" w:hAnsi="Arial" w:cs="Arial"/>
          <w:sz w:val="20"/>
          <w:szCs w:val="16"/>
        </w:rPr>
        <w:t>t</w:t>
      </w:r>
      <w:r w:rsidR="008D2B51" w:rsidRPr="008D2B51">
        <w:rPr>
          <w:rFonts w:ascii="Arial" w:hAnsi="Arial" w:cs="Arial"/>
          <w:sz w:val="20"/>
          <w:szCs w:val="16"/>
        </w:rPr>
        <w:t>he evidence of the text messages which found the drug trafficking charge are of similar centrality to the prosecution case</w:t>
      </w:r>
      <w:r>
        <w:rPr>
          <w:rFonts w:ascii="Arial" w:hAnsi="Arial" w:cs="Arial"/>
          <w:sz w:val="20"/>
          <w:szCs w:val="16"/>
        </w:rPr>
        <w:t>;</w:t>
      </w:r>
    </w:p>
    <w:p w14:paraId="1B15F964" w14:textId="6743FB1F" w:rsidR="00BB6B41" w:rsidRPr="00BB6B41" w:rsidRDefault="00BB6B41">
      <w:pPr>
        <w:pStyle w:val="ListParagraph"/>
        <w:numPr>
          <w:ilvl w:val="0"/>
          <w:numId w:val="98"/>
        </w:numPr>
        <w:ind w:left="357" w:hanging="357"/>
        <w:jc w:val="both"/>
        <w:rPr>
          <w:rFonts w:ascii="Arial" w:hAnsi="Arial" w:cs="Arial"/>
          <w:color w:val="000000"/>
          <w:sz w:val="16"/>
          <w:szCs w:val="16"/>
        </w:rPr>
      </w:pPr>
      <w:r w:rsidRPr="00BB6B41">
        <w:rPr>
          <w:rFonts w:ascii="Arial" w:hAnsi="Arial" w:cs="Arial"/>
          <w:sz w:val="20"/>
          <w:szCs w:val="16"/>
        </w:rPr>
        <w:t xml:space="preserve">there is a high public interest in the apprehension, prosecution and conviction of those allegedly engaged in </w:t>
      </w:r>
      <w:r>
        <w:rPr>
          <w:rFonts w:ascii="Arial" w:hAnsi="Arial" w:cs="Arial"/>
          <w:sz w:val="20"/>
          <w:szCs w:val="16"/>
        </w:rPr>
        <w:t xml:space="preserve">such </w:t>
      </w:r>
      <w:r w:rsidRPr="00BB6B41">
        <w:rPr>
          <w:rFonts w:ascii="Arial" w:hAnsi="Arial" w:cs="Arial"/>
          <w:sz w:val="20"/>
          <w:szCs w:val="16"/>
        </w:rPr>
        <w:t>extremely serious criminal conduct</w:t>
      </w:r>
      <w:r>
        <w:rPr>
          <w:rFonts w:ascii="Arial" w:hAnsi="Arial" w:cs="Arial"/>
          <w:sz w:val="20"/>
          <w:szCs w:val="16"/>
        </w:rPr>
        <w:t>.</w:t>
      </w:r>
    </w:p>
    <w:p w14:paraId="5657CBA1" w14:textId="34514BBD" w:rsidR="006B6807" w:rsidRDefault="003C2346" w:rsidP="001C0801">
      <w:pPr>
        <w:spacing w:before="120"/>
        <w:jc w:val="both"/>
        <w:rPr>
          <w:rFonts w:ascii="Arial" w:hAnsi="Arial" w:cs="Arial"/>
          <w:color w:val="000000"/>
          <w:sz w:val="20"/>
        </w:rPr>
      </w:pPr>
      <w:r>
        <w:rPr>
          <w:rFonts w:ascii="Arial" w:hAnsi="Arial" w:cs="Arial"/>
          <w:color w:val="000000"/>
          <w:sz w:val="20"/>
        </w:rPr>
        <w:t xml:space="preserve">In allowing the appeal and </w:t>
      </w:r>
      <w:bookmarkStart w:id="605" w:name="_Hlk130308460"/>
      <w:r>
        <w:rPr>
          <w:rFonts w:ascii="Arial" w:hAnsi="Arial" w:cs="Arial"/>
          <w:color w:val="000000"/>
          <w:sz w:val="20"/>
        </w:rPr>
        <w:t>holding that all items seized pursuant to the execution of the April 2021 warrant were not to be admitted into evidence in the applicant’s trial, the Court of Appeal said at [</w:t>
      </w:r>
      <w:proofErr w:type="gramStart"/>
      <w:r>
        <w:rPr>
          <w:rFonts w:ascii="Arial" w:hAnsi="Arial" w:cs="Arial"/>
          <w:color w:val="000000"/>
          <w:sz w:val="20"/>
        </w:rPr>
        <w:t>198]</w:t>
      </w:r>
      <w:r w:rsidR="006D47B2">
        <w:rPr>
          <w:rFonts w:ascii="Arial" w:hAnsi="Arial" w:cs="Arial"/>
          <w:color w:val="000000"/>
          <w:sz w:val="20"/>
        </w:rPr>
        <w:noBreakHyphen/>
      </w:r>
      <w:proofErr w:type="gramEnd"/>
      <w:r>
        <w:rPr>
          <w:rFonts w:ascii="Arial" w:hAnsi="Arial" w:cs="Arial"/>
          <w:color w:val="000000"/>
          <w:sz w:val="20"/>
        </w:rPr>
        <w:t>[204]:</w:t>
      </w:r>
    </w:p>
    <w:p w14:paraId="6050F30D" w14:textId="77777777" w:rsidR="003C2346" w:rsidRDefault="003C2346" w:rsidP="003C2346">
      <w:pPr>
        <w:pStyle w:val="CCVNumberLevel1"/>
        <w:tabs>
          <w:tab w:val="clear" w:pos="1134"/>
        </w:tabs>
        <w:spacing w:before="60" w:after="0" w:line="240" w:lineRule="auto"/>
        <w:ind w:left="567" w:right="567" w:firstLine="0"/>
        <w:rPr>
          <w:rFonts w:cs="Arial"/>
          <w:sz w:val="20"/>
        </w:rPr>
      </w:pPr>
      <w:r>
        <w:rPr>
          <w:sz w:val="20"/>
          <w:szCs w:val="16"/>
        </w:rPr>
        <w:t>[198] “</w:t>
      </w:r>
      <w:r w:rsidRPr="00EC69C7">
        <w:rPr>
          <w:rFonts w:cs="Arial"/>
          <w:sz w:val="20"/>
        </w:rPr>
        <w:t>Returning to the synthesis, the prosecution has not discharged the burden imposed by s 138. Specifically, the prosecution has not demonstrated that the desirability of admitting this unlawfully obtained evidence outweighs the undesirability of admitting it into evidence.</w:t>
      </w:r>
    </w:p>
    <w:bookmarkEnd w:id="605"/>
    <w:p w14:paraId="5B732C16" w14:textId="4237AFCB" w:rsidR="003C2346" w:rsidRDefault="003C2346" w:rsidP="003C2346">
      <w:pPr>
        <w:pStyle w:val="CCVNumberLevel1"/>
        <w:tabs>
          <w:tab w:val="clear" w:pos="1134"/>
        </w:tabs>
        <w:spacing w:before="60" w:after="0" w:line="240" w:lineRule="auto"/>
        <w:ind w:left="567" w:right="567" w:firstLine="0"/>
        <w:rPr>
          <w:rFonts w:cs="Arial"/>
          <w:sz w:val="20"/>
        </w:rPr>
      </w:pPr>
      <w:r>
        <w:rPr>
          <w:sz w:val="20"/>
          <w:szCs w:val="16"/>
        </w:rPr>
        <w:t xml:space="preserve">[199] </w:t>
      </w:r>
      <w:r w:rsidRPr="00EC69C7">
        <w:rPr>
          <w:rFonts w:cs="Arial"/>
          <w:sz w:val="20"/>
        </w:rPr>
        <w:t>We accept that in many cases the importance of the evidence and the seriousness of the charges will mean that it is more desirable to admit the evidence despite an impropriety or unlawfulness, as the judge held in this case.</w:t>
      </w:r>
    </w:p>
    <w:p w14:paraId="6BF6C06A" w14:textId="40D94F3C" w:rsidR="003C2346" w:rsidRDefault="003C2346" w:rsidP="003C2346">
      <w:pPr>
        <w:pStyle w:val="CCVNumberLevel1"/>
        <w:tabs>
          <w:tab w:val="clear" w:pos="1134"/>
        </w:tabs>
        <w:spacing w:before="60" w:after="0" w:line="240" w:lineRule="auto"/>
        <w:ind w:left="567" w:right="567" w:firstLine="0"/>
        <w:rPr>
          <w:rFonts w:cs="Arial"/>
          <w:sz w:val="20"/>
        </w:rPr>
      </w:pPr>
      <w:r>
        <w:rPr>
          <w:rFonts w:cs="Arial"/>
          <w:sz w:val="20"/>
        </w:rPr>
        <w:t xml:space="preserve">[200] </w:t>
      </w:r>
      <w:r w:rsidRPr="00EC69C7">
        <w:rPr>
          <w:rFonts w:cs="Arial"/>
          <w:sz w:val="20"/>
        </w:rPr>
        <w:t>However, this is not such a case. Whilst the iMac video and the iPhone text messages are critical to the prosecution of very serious charges, the impropriety and contravention of the law by two senior police officers and their junior officer is stark and deliberate</w:t>
      </w:r>
      <w:r>
        <w:rPr>
          <w:rFonts w:cs="Arial"/>
          <w:sz w:val="20"/>
        </w:rPr>
        <w:t>…</w:t>
      </w:r>
    </w:p>
    <w:p w14:paraId="13C526B8" w14:textId="77777777" w:rsidR="003C2346" w:rsidRDefault="003C2346" w:rsidP="003C2346">
      <w:pPr>
        <w:pStyle w:val="CCVNumberLevel1"/>
        <w:tabs>
          <w:tab w:val="clear" w:pos="1134"/>
        </w:tabs>
        <w:spacing w:before="60" w:after="0" w:line="240" w:lineRule="auto"/>
        <w:ind w:left="567" w:right="567" w:firstLine="0"/>
        <w:rPr>
          <w:rFonts w:cs="Arial"/>
          <w:sz w:val="20"/>
        </w:rPr>
      </w:pPr>
      <w:r>
        <w:rPr>
          <w:rFonts w:cs="Arial"/>
          <w:sz w:val="20"/>
        </w:rPr>
        <w:t xml:space="preserve">[202] </w:t>
      </w:r>
      <w:r w:rsidRPr="00EC69C7">
        <w:rPr>
          <w:rFonts w:cs="Arial"/>
          <w:sz w:val="20"/>
        </w:rPr>
        <w:t>The applicant’s right to privacy was seriously violated over a lengthy period of time and with no apparent consideration given to the illegality of the search and the breach of that right.</w:t>
      </w:r>
    </w:p>
    <w:p w14:paraId="4F0481EF" w14:textId="77777777" w:rsidR="003C2346" w:rsidRDefault="003C2346" w:rsidP="003C2346">
      <w:pPr>
        <w:pStyle w:val="CCVNumberLevel1"/>
        <w:tabs>
          <w:tab w:val="clear" w:pos="1134"/>
        </w:tabs>
        <w:spacing w:before="60" w:after="0" w:line="240" w:lineRule="auto"/>
        <w:ind w:left="567" w:right="567" w:firstLine="0"/>
        <w:rPr>
          <w:rFonts w:cs="Arial"/>
          <w:sz w:val="20"/>
        </w:rPr>
      </w:pPr>
      <w:r>
        <w:rPr>
          <w:rFonts w:cs="Arial"/>
          <w:sz w:val="20"/>
        </w:rPr>
        <w:t>[</w:t>
      </w:r>
      <w:r w:rsidRPr="00EC69C7">
        <w:rPr>
          <w:rFonts w:cs="Arial"/>
          <w:sz w:val="20"/>
        </w:rPr>
        <w:t>203</w:t>
      </w:r>
      <w:r>
        <w:rPr>
          <w:rFonts w:cs="Arial"/>
          <w:sz w:val="20"/>
        </w:rPr>
        <w:t>]</w:t>
      </w:r>
      <w:r w:rsidRPr="00EC69C7">
        <w:rPr>
          <w:rFonts w:cs="Arial"/>
          <w:sz w:val="20"/>
        </w:rPr>
        <w:t xml:space="preserve"> It is of real significance that no disciplinary action has been taken against any of the officers and that the prosecution now endeavours to persuade the Court to give its imprimatur to this significant impropriety. Whilst it is not determinative to the outcome of this application, we decline to give judicial imprimatur to a search carried out by sworn officers with such astonishing disregard for both the law and the rights of the applicant.</w:t>
      </w:r>
    </w:p>
    <w:p w14:paraId="6BC179C6" w14:textId="298FC232" w:rsidR="003C2346" w:rsidRPr="00874A4F" w:rsidRDefault="003C2346" w:rsidP="003C2346">
      <w:pPr>
        <w:pStyle w:val="CCVNumberLevel1"/>
        <w:tabs>
          <w:tab w:val="clear" w:pos="1134"/>
        </w:tabs>
        <w:spacing w:before="60" w:after="0" w:line="240" w:lineRule="auto"/>
        <w:ind w:left="567" w:right="567" w:firstLine="0"/>
        <w:rPr>
          <w:sz w:val="20"/>
          <w:szCs w:val="16"/>
        </w:rPr>
      </w:pPr>
      <w:r>
        <w:rPr>
          <w:rFonts w:cs="Arial"/>
          <w:sz w:val="20"/>
        </w:rPr>
        <w:t>[</w:t>
      </w:r>
      <w:r w:rsidRPr="00EC69C7">
        <w:rPr>
          <w:rFonts w:cs="Arial"/>
          <w:sz w:val="20"/>
        </w:rPr>
        <w:t>204</w:t>
      </w:r>
      <w:r>
        <w:rPr>
          <w:rFonts w:cs="Arial"/>
          <w:sz w:val="20"/>
        </w:rPr>
        <w:t>]</w:t>
      </w:r>
      <w:r w:rsidRPr="00EC69C7">
        <w:rPr>
          <w:rFonts w:cs="Arial"/>
          <w:sz w:val="20"/>
        </w:rPr>
        <w:t xml:space="preserve"> In our view, and notwithstanding the public interest in pursuing these serious charges, we are not satisfied that that public interest prevails when balanced against the public interest in deterring police illegality, protecting individual rights and maintaining juridical legitimacy.</w:t>
      </w:r>
      <w:r>
        <w:rPr>
          <w:rFonts w:cs="Arial"/>
          <w:sz w:val="20"/>
        </w:rPr>
        <w:t>”</w:t>
      </w:r>
    </w:p>
    <w:p w14:paraId="61A4D2E9" w14:textId="77777777" w:rsidR="00C46F79" w:rsidRDefault="00C46F79" w:rsidP="00C46F79">
      <w:pPr>
        <w:jc w:val="both"/>
        <w:rPr>
          <w:rFonts w:ascii="Arial" w:hAnsi="Arial" w:cs="Arial"/>
          <w:sz w:val="20"/>
        </w:rPr>
      </w:pPr>
    </w:p>
    <w:p w14:paraId="1B0CF0D3" w14:textId="2F8576C0" w:rsidR="00C46F79" w:rsidRDefault="00C46F79" w:rsidP="00C46F79">
      <w:pPr>
        <w:jc w:val="both"/>
        <w:rPr>
          <w:rFonts w:ascii="Arial" w:hAnsi="Arial" w:cs="Arial"/>
          <w:sz w:val="20"/>
          <w:szCs w:val="20"/>
        </w:rPr>
      </w:pPr>
      <w:r w:rsidRPr="008E5682">
        <w:rPr>
          <w:rFonts w:ascii="Arial" w:hAnsi="Arial" w:cs="Arial"/>
          <w:sz w:val="20"/>
          <w:szCs w:val="20"/>
        </w:rPr>
        <w:t xml:space="preserve">See also </w:t>
      </w:r>
      <w:r w:rsidR="00542A14">
        <w:rPr>
          <w:rFonts w:ascii="Arial" w:hAnsi="Arial" w:cs="Arial"/>
          <w:i/>
          <w:iCs/>
          <w:sz w:val="20"/>
          <w:szCs w:val="20"/>
        </w:rPr>
        <w:t xml:space="preserve">Slaveski v Victoria </w:t>
      </w:r>
      <w:r w:rsidR="00542A14" w:rsidRPr="00542A14">
        <w:rPr>
          <w:rFonts w:ascii="Arial" w:hAnsi="Arial" w:cs="Arial"/>
          <w:sz w:val="20"/>
          <w:szCs w:val="20"/>
        </w:rPr>
        <w:t>[2010] VSC 441 at [</w:t>
      </w:r>
      <w:r w:rsidR="003921B9">
        <w:rPr>
          <w:rFonts w:ascii="Arial" w:hAnsi="Arial" w:cs="Arial"/>
          <w:sz w:val="20"/>
          <w:szCs w:val="20"/>
        </w:rPr>
        <w:t>89</w:t>
      </w:r>
      <w:r w:rsidR="00542A14" w:rsidRPr="00542A14">
        <w:rPr>
          <w:rFonts w:ascii="Arial" w:hAnsi="Arial" w:cs="Arial"/>
          <w:sz w:val="20"/>
          <w:szCs w:val="20"/>
        </w:rPr>
        <w:t>]-[</w:t>
      </w:r>
      <w:r w:rsidR="003921B9">
        <w:rPr>
          <w:rFonts w:ascii="Arial" w:hAnsi="Arial" w:cs="Arial"/>
          <w:sz w:val="20"/>
          <w:szCs w:val="20"/>
        </w:rPr>
        <w:t>220</w:t>
      </w:r>
      <w:r w:rsidR="00542A14" w:rsidRPr="00542A14">
        <w:rPr>
          <w:rFonts w:ascii="Arial" w:hAnsi="Arial" w:cs="Arial"/>
          <w:sz w:val="20"/>
          <w:szCs w:val="20"/>
        </w:rPr>
        <w:t xml:space="preserve">] summarized in </w:t>
      </w:r>
      <w:r w:rsidR="00542A14" w:rsidRPr="00542A14">
        <w:rPr>
          <w:rFonts w:ascii="Arial" w:hAnsi="Arial" w:cs="Arial"/>
          <w:b/>
          <w:bCs/>
          <w:sz w:val="20"/>
          <w:szCs w:val="20"/>
          <w:shd w:val="clear" w:color="auto" w:fill="C5E0B3" w:themeFill="accent6" w:themeFillTint="66"/>
        </w:rPr>
        <w:t>Part 7.2</w:t>
      </w:r>
      <w:r w:rsidR="00542A14" w:rsidRPr="00542A14">
        <w:rPr>
          <w:rFonts w:ascii="Arial" w:hAnsi="Arial" w:cs="Arial"/>
          <w:sz w:val="20"/>
          <w:szCs w:val="20"/>
        </w:rPr>
        <w:t>;</w:t>
      </w:r>
      <w:r w:rsidR="00542A14">
        <w:rPr>
          <w:rFonts w:ascii="Arial" w:hAnsi="Arial" w:cs="Arial"/>
          <w:i/>
          <w:iCs/>
          <w:sz w:val="20"/>
          <w:szCs w:val="20"/>
        </w:rPr>
        <w:t xml:space="preserve"> J</w:t>
      </w:r>
      <w:r w:rsidRPr="008E5682">
        <w:rPr>
          <w:rFonts w:ascii="Arial" w:hAnsi="Arial" w:cs="Arial"/>
          <w:i/>
          <w:iCs/>
          <w:sz w:val="20"/>
          <w:szCs w:val="20"/>
        </w:rPr>
        <w:t>ackson Elliot (a</w:t>
      </w:r>
      <w:r w:rsidR="00542A14">
        <w:rPr>
          <w:rFonts w:ascii="Arial" w:hAnsi="Arial" w:cs="Arial"/>
          <w:i/>
          <w:iCs/>
          <w:sz w:val="20"/>
          <w:szCs w:val="20"/>
        </w:rPr>
        <w:t> </w:t>
      </w:r>
      <w:r w:rsidRPr="008E5682">
        <w:rPr>
          <w:rFonts w:ascii="Arial" w:hAnsi="Arial" w:cs="Arial"/>
          <w:i/>
          <w:iCs/>
          <w:sz w:val="20"/>
          <w:szCs w:val="20"/>
        </w:rPr>
        <w:t>pseudonym) v The King</w:t>
      </w:r>
      <w:r w:rsidRPr="008E5682">
        <w:rPr>
          <w:rFonts w:ascii="Arial" w:hAnsi="Arial" w:cs="Arial"/>
          <w:sz w:val="20"/>
          <w:szCs w:val="20"/>
        </w:rPr>
        <w:t xml:space="preserve"> [2023] VSCA 48 at [30]-[32]; </w:t>
      </w:r>
      <w:r w:rsidRPr="008E5682">
        <w:rPr>
          <w:rFonts w:ascii="Arial" w:hAnsi="Arial" w:cs="Arial"/>
          <w:i/>
          <w:iCs/>
          <w:sz w:val="20"/>
          <w:szCs w:val="20"/>
        </w:rPr>
        <w:t>Duran (a pseudonym) v The King</w:t>
      </w:r>
      <w:r w:rsidRPr="008E5682">
        <w:rPr>
          <w:rFonts w:ascii="Arial" w:hAnsi="Arial" w:cs="Arial"/>
          <w:sz w:val="20"/>
          <w:szCs w:val="20"/>
        </w:rPr>
        <w:t xml:space="preserve"> [2023] VSCA 314 at [27]-[35];</w:t>
      </w:r>
      <w:r w:rsidRPr="008E5682">
        <w:rPr>
          <w:rFonts w:ascii="Arial" w:hAnsi="Arial" w:cs="Arial"/>
          <w:i/>
          <w:iCs/>
          <w:sz w:val="20"/>
          <w:szCs w:val="20"/>
        </w:rPr>
        <w:t xml:space="preserve"> CDPP v Carrick (a pseudonym)</w:t>
      </w:r>
      <w:r w:rsidRPr="008E5682">
        <w:rPr>
          <w:rFonts w:ascii="Arial" w:hAnsi="Arial" w:cs="Arial"/>
          <w:sz w:val="20"/>
          <w:szCs w:val="20"/>
        </w:rPr>
        <w:t xml:space="preserve"> [2023] VChC 2 at [85]-[89]; </w:t>
      </w:r>
      <w:r w:rsidRPr="008E5682">
        <w:rPr>
          <w:rFonts w:ascii="Arial" w:hAnsi="Arial" w:cs="Arial"/>
          <w:i/>
          <w:iCs/>
          <w:sz w:val="20"/>
          <w:szCs w:val="20"/>
        </w:rPr>
        <w:t>R v Lynn (Rulings 1-4)</w:t>
      </w:r>
      <w:r w:rsidRPr="008E5682">
        <w:rPr>
          <w:rFonts w:ascii="Arial" w:hAnsi="Arial" w:cs="Arial"/>
          <w:sz w:val="20"/>
          <w:szCs w:val="20"/>
        </w:rPr>
        <w:t xml:space="preserve"> [2024] VSC 373 </w:t>
      </w:r>
      <w:bookmarkStart w:id="606" w:name="_Hlk180498930"/>
      <w:r w:rsidRPr="008E5682">
        <w:rPr>
          <w:rFonts w:ascii="Arial" w:hAnsi="Arial" w:cs="Arial"/>
          <w:sz w:val="20"/>
          <w:szCs w:val="20"/>
        </w:rPr>
        <w:t xml:space="preserve">and footnotes 2-4 in </w:t>
      </w:r>
      <w:r w:rsidRPr="008E5682">
        <w:rPr>
          <w:rFonts w:ascii="Arial" w:hAnsi="Arial" w:cs="Arial"/>
          <w:i/>
          <w:iCs/>
          <w:sz w:val="20"/>
          <w:szCs w:val="20"/>
        </w:rPr>
        <w:t>R v Lynn</w:t>
      </w:r>
      <w:r w:rsidRPr="008E5682">
        <w:rPr>
          <w:rFonts w:ascii="Arial" w:hAnsi="Arial" w:cs="Arial"/>
          <w:sz w:val="20"/>
          <w:szCs w:val="20"/>
        </w:rPr>
        <w:t xml:space="preserve"> [2024] VSC 635</w:t>
      </w:r>
      <w:bookmarkEnd w:id="606"/>
      <w:r w:rsidR="00C92AE2" w:rsidRPr="00C92AE2">
        <w:rPr>
          <w:rFonts w:ascii="Arial" w:hAnsi="Arial" w:cs="Arial"/>
          <w:sz w:val="20"/>
          <w:szCs w:val="20"/>
        </w:rPr>
        <w:t>;</w:t>
      </w:r>
      <w:r w:rsidR="00C92AE2" w:rsidRPr="00C92AE2">
        <w:rPr>
          <w:rFonts w:ascii="Arial" w:hAnsi="Arial" w:cs="Arial"/>
          <w:i/>
          <w:iCs/>
          <w:sz w:val="20"/>
          <w:szCs w:val="20"/>
        </w:rPr>
        <w:t xml:space="preserve"> Benson (a pseudonym) v The King; Roberts (a pseudonym) v The King</w:t>
      </w:r>
      <w:r w:rsidR="00C92AE2" w:rsidRPr="00C92AE2">
        <w:rPr>
          <w:rFonts w:ascii="Arial" w:hAnsi="Arial" w:cs="Arial"/>
          <w:sz w:val="20"/>
          <w:szCs w:val="20"/>
        </w:rPr>
        <w:t xml:space="preserve"> [2026] VSCA 137</w:t>
      </w:r>
      <w:r w:rsidR="00C92AE2">
        <w:rPr>
          <w:rFonts w:ascii="Arial" w:hAnsi="Arial" w:cs="Arial"/>
          <w:sz w:val="20"/>
          <w:szCs w:val="20"/>
        </w:rPr>
        <w:t>.</w:t>
      </w:r>
    </w:p>
    <w:p w14:paraId="051AC5B1" w14:textId="77777777" w:rsidR="00C92AE2" w:rsidRPr="008E5682" w:rsidRDefault="00C92AE2" w:rsidP="00C46F79">
      <w:pPr>
        <w:jc w:val="both"/>
        <w:rPr>
          <w:rFonts w:ascii="Arial" w:hAnsi="Arial" w:cs="Arial"/>
          <w:sz w:val="20"/>
          <w:szCs w:val="20"/>
        </w:rPr>
      </w:pPr>
    </w:p>
    <w:p w14:paraId="5A7F862C" w14:textId="77777777" w:rsidR="00C46F79" w:rsidRDefault="00C46F79" w:rsidP="00C46F79">
      <w:pPr>
        <w:pBdr>
          <w:top w:val="single" w:sz="4" w:space="1" w:color="auto"/>
          <w:left w:val="single" w:sz="4" w:space="4" w:color="auto"/>
          <w:bottom w:val="single" w:sz="4" w:space="1" w:color="auto"/>
          <w:right w:val="single" w:sz="4" w:space="4" w:color="auto"/>
        </w:pBdr>
        <w:shd w:val="pct10" w:color="auto" w:fill="auto"/>
        <w:jc w:val="both"/>
        <w:rPr>
          <w:rFonts w:ascii="Arial" w:hAnsi="Arial" w:cs="Arial"/>
          <w:sz w:val="20"/>
        </w:rPr>
      </w:pPr>
      <w:r>
        <w:rPr>
          <w:rFonts w:ascii="Arial" w:hAnsi="Arial" w:cs="Arial"/>
          <w:sz w:val="20"/>
        </w:rPr>
        <w:t xml:space="preserve">See also the cases discussed in </w:t>
      </w:r>
      <w:r w:rsidRPr="003967DB">
        <w:rPr>
          <w:rFonts w:ascii="Arial" w:hAnsi="Arial" w:cs="Arial"/>
          <w:b/>
          <w:bCs/>
          <w:sz w:val="20"/>
          <w:shd w:val="clear" w:color="auto" w:fill="C5E0B3"/>
        </w:rPr>
        <w:t>sections 8.2.10 &amp; 8.2.11</w:t>
      </w:r>
      <w:r>
        <w:rPr>
          <w:rFonts w:ascii="Arial" w:hAnsi="Arial" w:cs="Arial"/>
          <w:sz w:val="20"/>
        </w:rPr>
        <w:t xml:space="preserve"> which are primarily related to the admissibility of records of interview in which police have failed to comply with the statutory pre-requisites in ss.464A</w:t>
      </w:r>
      <w:r>
        <w:rPr>
          <w:rFonts w:ascii="Arial" w:hAnsi="Arial" w:cs="Arial"/>
          <w:sz w:val="20"/>
        </w:rPr>
        <w:noBreakHyphen/>
        <w:t xml:space="preserve">H of the </w:t>
      </w:r>
      <w:r w:rsidRPr="0058675C">
        <w:rPr>
          <w:rFonts w:ascii="Arial" w:hAnsi="Arial" w:cs="Arial"/>
          <w:i/>
          <w:iCs/>
          <w:sz w:val="20"/>
        </w:rPr>
        <w:t>Crimes Act 1958</w:t>
      </w:r>
      <w:r>
        <w:rPr>
          <w:rFonts w:ascii="Arial" w:hAnsi="Arial" w:cs="Arial"/>
          <w:sz w:val="20"/>
        </w:rPr>
        <w:t>.</w:t>
      </w:r>
    </w:p>
    <w:p w14:paraId="6460C95B" w14:textId="079D3EF7" w:rsidR="00523E9C" w:rsidRDefault="00523E9C" w:rsidP="0019386A">
      <w:pPr>
        <w:jc w:val="both"/>
        <w:rPr>
          <w:rFonts w:ascii="Arial" w:hAnsi="Arial" w:cs="Arial"/>
          <w:sz w:val="20"/>
        </w:rPr>
      </w:pPr>
    </w:p>
    <w:p w14:paraId="2A21612D" w14:textId="55031C6A" w:rsidR="00F41C6E" w:rsidRPr="009F25D4" w:rsidRDefault="00F41C6E" w:rsidP="00F41C6E">
      <w:pPr>
        <w:pStyle w:val="Heading3"/>
        <w:keepNext/>
        <w:spacing w:line="240" w:lineRule="auto"/>
        <w:rPr>
          <w:rFonts w:ascii="Arial" w:hAnsi="Arial" w:cs="Arial"/>
          <w:b/>
          <w:bCs/>
          <w:color w:val="000000"/>
          <w:sz w:val="20"/>
        </w:rPr>
      </w:pPr>
      <w:bookmarkStart w:id="607" w:name="_3.5.3.6_Admissibility_of"/>
      <w:bookmarkStart w:id="608" w:name="_Hlk202261531"/>
      <w:bookmarkEnd w:id="607"/>
      <w:r w:rsidRPr="008C3BC8">
        <w:rPr>
          <w:rFonts w:ascii="Arial" w:hAnsi="Arial" w:cs="Arial"/>
          <w:b/>
          <w:bCs/>
          <w:color w:val="000000"/>
          <w:sz w:val="20"/>
        </w:rPr>
        <w:t>3.5.</w:t>
      </w:r>
      <w:r>
        <w:rPr>
          <w:rFonts w:ascii="Arial" w:hAnsi="Arial" w:cs="Arial"/>
          <w:b/>
          <w:bCs/>
          <w:color w:val="000000"/>
          <w:sz w:val="20"/>
        </w:rPr>
        <w:t>3.</w:t>
      </w:r>
      <w:r w:rsidR="000F2CE5">
        <w:rPr>
          <w:rFonts w:ascii="Arial" w:hAnsi="Arial" w:cs="Arial"/>
          <w:b/>
          <w:bCs/>
          <w:color w:val="000000"/>
          <w:sz w:val="20"/>
        </w:rPr>
        <w:t>7</w:t>
      </w:r>
      <w:r>
        <w:rPr>
          <w:rFonts w:ascii="Arial" w:hAnsi="Arial" w:cs="Arial"/>
          <w:b/>
          <w:bCs/>
          <w:color w:val="000000"/>
          <w:sz w:val="20"/>
        </w:rPr>
        <w:tab/>
        <w:t>A</w:t>
      </w:r>
      <w:r>
        <w:rPr>
          <w:rFonts w:ascii="Arial" w:hAnsi="Arial" w:cs="Arial"/>
          <w:b/>
          <w:color w:val="000000"/>
          <w:sz w:val="20"/>
        </w:rPr>
        <w:t>dmissibility of tendency evidence</w:t>
      </w:r>
      <w:r w:rsidR="00C41908">
        <w:rPr>
          <w:rFonts w:ascii="Arial" w:hAnsi="Arial" w:cs="Arial"/>
          <w:b/>
          <w:color w:val="000000"/>
          <w:sz w:val="20"/>
        </w:rPr>
        <w:t xml:space="preserve"> and coincidence evidence</w:t>
      </w:r>
      <w:bookmarkEnd w:id="608"/>
    </w:p>
    <w:p w14:paraId="368550FD" w14:textId="67715B01" w:rsidR="00106472" w:rsidRDefault="00A51A86" w:rsidP="00A51A86">
      <w:pPr>
        <w:spacing w:before="120"/>
        <w:jc w:val="both"/>
        <w:rPr>
          <w:rFonts w:ascii="Arial" w:hAnsi="Arial" w:cs="Arial"/>
          <w:sz w:val="20"/>
        </w:rPr>
      </w:pPr>
      <w:r>
        <w:rPr>
          <w:rFonts w:ascii="Arial" w:hAnsi="Arial" w:cs="Arial"/>
          <w:sz w:val="20"/>
        </w:rPr>
        <w:t xml:space="preserve">Section 97 of the </w:t>
      </w:r>
      <w:r w:rsidRPr="00A51A86">
        <w:rPr>
          <w:rFonts w:ascii="Arial" w:hAnsi="Arial" w:cs="Arial"/>
          <w:i/>
          <w:iCs/>
          <w:sz w:val="20"/>
        </w:rPr>
        <w:t>Evidence Act 2008</w:t>
      </w:r>
      <w:r>
        <w:rPr>
          <w:rFonts w:ascii="Arial" w:hAnsi="Arial" w:cs="Arial"/>
          <w:sz w:val="20"/>
        </w:rPr>
        <w:t xml:space="preserve"> </w:t>
      </w:r>
      <w:r w:rsidR="00C41908">
        <w:rPr>
          <w:rFonts w:ascii="Arial" w:hAnsi="Arial" w:cs="Arial"/>
          <w:sz w:val="20"/>
        </w:rPr>
        <w:t>– under the heading “</w:t>
      </w:r>
      <w:r w:rsidR="00C41908" w:rsidRPr="00C41908">
        <w:rPr>
          <w:rFonts w:ascii="Arial" w:hAnsi="Arial" w:cs="Arial"/>
          <w:b/>
          <w:bCs/>
          <w:sz w:val="20"/>
        </w:rPr>
        <w:t xml:space="preserve">The </w:t>
      </w:r>
      <w:r w:rsidR="00C41908">
        <w:rPr>
          <w:rFonts w:ascii="Arial" w:hAnsi="Arial" w:cs="Arial"/>
          <w:b/>
          <w:bCs/>
          <w:sz w:val="20"/>
        </w:rPr>
        <w:t>t</w:t>
      </w:r>
      <w:r w:rsidR="00C41908" w:rsidRPr="00C41908">
        <w:rPr>
          <w:rFonts w:ascii="Arial" w:hAnsi="Arial" w:cs="Arial"/>
          <w:b/>
          <w:bCs/>
          <w:sz w:val="20"/>
        </w:rPr>
        <w:t xml:space="preserve">endency </w:t>
      </w:r>
      <w:r w:rsidR="00C41908">
        <w:rPr>
          <w:rFonts w:ascii="Arial" w:hAnsi="Arial" w:cs="Arial"/>
          <w:b/>
          <w:bCs/>
          <w:sz w:val="20"/>
        </w:rPr>
        <w:t>r</w:t>
      </w:r>
      <w:r w:rsidR="00C41908" w:rsidRPr="00C41908">
        <w:rPr>
          <w:rFonts w:ascii="Arial" w:hAnsi="Arial" w:cs="Arial"/>
          <w:b/>
          <w:bCs/>
          <w:sz w:val="20"/>
        </w:rPr>
        <w:t>ule</w:t>
      </w:r>
      <w:r w:rsidR="00C41908">
        <w:rPr>
          <w:rFonts w:ascii="Arial" w:hAnsi="Arial" w:cs="Arial"/>
          <w:sz w:val="20"/>
        </w:rPr>
        <w:t xml:space="preserve">” </w:t>
      </w:r>
      <w:r>
        <w:rPr>
          <w:rFonts w:ascii="Arial" w:hAnsi="Arial" w:cs="Arial"/>
          <w:sz w:val="20"/>
        </w:rPr>
        <w:t>provides:</w:t>
      </w:r>
    </w:p>
    <w:p w14:paraId="792F18FE" w14:textId="337CCAFE" w:rsidR="00A51A86" w:rsidRPr="00FD0640" w:rsidRDefault="00A51A86" w:rsidP="005D4DC5">
      <w:pPr>
        <w:spacing w:before="120"/>
        <w:ind w:left="1021" w:right="567" w:hanging="454"/>
        <w:jc w:val="both"/>
        <w:rPr>
          <w:rFonts w:ascii="Arial" w:hAnsi="Arial" w:cs="Arial"/>
          <w:color w:val="000000"/>
          <w:sz w:val="20"/>
        </w:rPr>
      </w:pPr>
      <w:r>
        <w:rPr>
          <w:rFonts w:ascii="Arial" w:hAnsi="Arial" w:cs="Arial"/>
          <w:color w:val="000000"/>
          <w:sz w:val="20"/>
        </w:rPr>
        <w:t>“</w:t>
      </w:r>
      <w:r w:rsidRPr="00F85775">
        <w:rPr>
          <w:rFonts w:ascii="Arial" w:hAnsi="Arial" w:cs="Arial"/>
          <w:sz w:val="20"/>
          <w:szCs w:val="20"/>
        </w:rPr>
        <w:t>(1)</w:t>
      </w:r>
      <w:r>
        <w:rPr>
          <w:rFonts w:ascii="Arial" w:hAnsi="Arial" w:cs="Arial"/>
          <w:sz w:val="20"/>
          <w:szCs w:val="20"/>
        </w:rPr>
        <w:tab/>
      </w:r>
      <w:r w:rsidRPr="00F85775">
        <w:rPr>
          <w:rFonts w:ascii="Arial" w:hAnsi="Arial" w:cs="Arial"/>
          <w:sz w:val="20"/>
          <w:szCs w:val="20"/>
        </w:rPr>
        <w:t>Evidence of the character, reputation or conduct of a person, or a tendency that a person has or had, is not admissible to prove that a person has or had a tendency (whether because of the person's character or otherwise) to act in a particular way, or to have a particular state of mind unless—</w:t>
      </w:r>
    </w:p>
    <w:p w14:paraId="2B2F5A74" w14:textId="1F5281AE" w:rsidR="00A51A86" w:rsidRDefault="00A51A86">
      <w:pPr>
        <w:pStyle w:val="ListParagraph"/>
        <w:numPr>
          <w:ilvl w:val="0"/>
          <w:numId w:val="99"/>
        </w:numPr>
        <w:ind w:left="1588" w:right="1021" w:hanging="567"/>
        <w:jc w:val="both"/>
        <w:rPr>
          <w:rFonts w:ascii="Arial" w:hAnsi="Arial" w:cs="Arial"/>
          <w:sz w:val="20"/>
        </w:rPr>
      </w:pPr>
      <w:r w:rsidRPr="00A51A86">
        <w:rPr>
          <w:rFonts w:ascii="Arial" w:hAnsi="Arial" w:cs="Arial"/>
          <w:sz w:val="20"/>
        </w:rPr>
        <w:t>the party seeking to adduce the evidence gave reasonable notice in writing to each other party of the party's intention to adduce the evidence; and</w:t>
      </w:r>
    </w:p>
    <w:p w14:paraId="3B45C255" w14:textId="6E08970B" w:rsidR="00A51A86" w:rsidRPr="00A51A86" w:rsidRDefault="00A51A86">
      <w:pPr>
        <w:pStyle w:val="ListParagraph"/>
        <w:numPr>
          <w:ilvl w:val="0"/>
          <w:numId w:val="99"/>
        </w:numPr>
        <w:ind w:left="1588" w:right="1021" w:hanging="567"/>
        <w:jc w:val="both"/>
        <w:rPr>
          <w:rFonts w:ascii="Arial" w:hAnsi="Arial" w:cs="Arial"/>
          <w:sz w:val="20"/>
        </w:rPr>
      </w:pPr>
      <w:r w:rsidRPr="00F85775">
        <w:rPr>
          <w:rFonts w:ascii="Arial" w:hAnsi="Arial" w:cs="Arial"/>
          <w:sz w:val="20"/>
        </w:rPr>
        <w:t>the court thinks that the evidence will, either by itself or having regard to other evidence adduced or to be adduced by the party seeking to adduce the evidence, have significant probative value.</w:t>
      </w:r>
    </w:p>
    <w:p w14:paraId="02636E32" w14:textId="3F09B56D" w:rsidR="00C41908" w:rsidRPr="00FD0640" w:rsidRDefault="00C41908" w:rsidP="00742FD8">
      <w:pPr>
        <w:spacing w:before="120"/>
        <w:ind w:left="1021" w:right="567"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Subsection (1)(a) does not apply if</w:t>
      </w:r>
      <w:r w:rsidRPr="00F85775">
        <w:rPr>
          <w:rFonts w:ascii="Arial" w:hAnsi="Arial" w:cs="Arial"/>
          <w:sz w:val="20"/>
          <w:szCs w:val="20"/>
        </w:rPr>
        <w:t>—</w:t>
      </w:r>
    </w:p>
    <w:p w14:paraId="02296354" w14:textId="7999FAA0" w:rsidR="00C41908" w:rsidRDefault="00C41908">
      <w:pPr>
        <w:pStyle w:val="ListParagraph"/>
        <w:numPr>
          <w:ilvl w:val="0"/>
          <w:numId w:val="100"/>
        </w:numPr>
        <w:ind w:left="1378" w:right="1021" w:hanging="357"/>
        <w:jc w:val="both"/>
        <w:rPr>
          <w:rFonts w:ascii="Arial" w:hAnsi="Arial" w:cs="Arial"/>
          <w:sz w:val="20"/>
        </w:rPr>
      </w:pPr>
      <w:r>
        <w:rPr>
          <w:rFonts w:ascii="Arial" w:hAnsi="Arial" w:cs="Arial"/>
          <w:sz w:val="20"/>
        </w:rPr>
        <w:t>the evidence is adduced in accordance with any directions made by the court under section 100; or</w:t>
      </w:r>
    </w:p>
    <w:p w14:paraId="2330C609" w14:textId="6C19957F" w:rsidR="00C41908" w:rsidRDefault="00C41908">
      <w:pPr>
        <w:pStyle w:val="ListParagraph"/>
        <w:numPr>
          <w:ilvl w:val="0"/>
          <w:numId w:val="100"/>
        </w:numPr>
        <w:ind w:left="1378" w:right="1021" w:hanging="357"/>
        <w:jc w:val="both"/>
        <w:rPr>
          <w:rFonts w:ascii="Arial" w:hAnsi="Arial" w:cs="Arial"/>
          <w:sz w:val="20"/>
        </w:rPr>
      </w:pPr>
      <w:r>
        <w:rPr>
          <w:rFonts w:ascii="Arial" w:hAnsi="Arial" w:cs="Arial"/>
          <w:sz w:val="20"/>
        </w:rPr>
        <w:t>the evidence is adduced to explain or contradict tendency evidence adduced by another part</w:t>
      </w:r>
      <w:r w:rsidR="005D4DC5">
        <w:rPr>
          <w:rFonts w:ascii="Arial" w:hAnsi="Arial" w:cs="Arial"/>
          <w:sz w:val="20"/>
        </w:rPr>
        <w:t>y</w:t>
      </w:r>
      <w:r>
        <w:rPr>
          <w:rFonts w:ascii="Arial" w:hAnsi="Arial" w:cs="Arial"/>
          <w:sz w:val="20"/>
        </w:rPr>
        <w:t>.</w:t>
      </w:r>
    </w:p>
    <w:p w14:paraId="76C032E5" w14:textId="77777777" w:rsidR="00C41908" w:rsidRPr="00C41908" w:rsidRDefault="00C41908" w:rsidP="00C41908">
      <w:pPr>
        <w:pStyle w:val="DraftSectionNote"/>
        <w:tabs>
          <w:tab w:val="right" w:pos="1304"/>
        </w:tabs>
        <w:ind w:left="567"/>
        <w:rPr>
          <w:rFonts w:ascii="Arial" w:hAnsi="Arial" w:cs="Arial"/>
          <w:b/>
          <w:sz w:val="18"/>
          <w:szCs w:val="18"/>
        </w:rPr>
      </w:pPr>
      <w:r w:rsidRPr="00C41908">
        <w:rPr>
          <w:rFonts w:ascii="Arial" w:hAnsi="Arial" w:cs="Arial"/>
          <w:b/>
          <w:sz w:val="18"/>
          <w:szCs w:val="18"/>
        </w:rPr>
        <w:t>Note</w:t>
      </w:r>
    </w:p>
    <w:p w14:paraId="466D76D3" w14:textId="7F12026B" w:rsidR="00C41908" w:rsidRPr="00C41908" w:rsidRDefault="00C41908" w:rsidP="00C41908">
      <w:pPr>
        <w:pStyle w:val="DraftSectionNote"/>
        <w:tabs>
          <w:tab w:val="right" w:pos="1304"/>
        </w:tabs>
        <w:ind w:left="567" w:right="567"/>
        <w:jc w:val="both"/>
        <w:rPr>
          <w:rFonts w:ascii="Arial" w:hAnsi="Arial" w:cs="Arial"/>
          <w:sz w:val="18"/>
          <w:szCs w:val="18"/>
        </w:rPr>
      </w:pPr>
      <w:r w:rsidRPr="00C41908">
        <w:rPr>
          <w:rFonts w:ascii="Arial" w:hAnsi="Arial" w:cs="Arial"/>
          <w:sz w:val="18"/>
          <w:szCs w:val="18"/>
        </w:rPr>
        <w:t>The tendency rule is subject to specific exceptions concerning character of and expert opinion about an accused</w:t>
      </w:r>
      <w:r w:rsidRPr="00C41908" w:rsidDel="00D03791">
        <w:rPr>
          <w:rFonts w:ascii="Arial" w:hAnsi="Arial" w:cs="Arial"/>
          <w:sz w:val="18"/>
          <w:szCs w:val="18"/>
        </w:rPr>
        <w:t xml:space="preserve"> </w:t>
      </w:r>
      <w:r w:rsidRPr="00C41908">
        <w:rPr>
          <w:rFonts w:ascii="Arial" w:hAnsi="Arial" w:cs="Arial"/>
          <w:sz w:val="18"/>
          <w:szCs w:val="18"/>
        </w:rPr>
        <w:t>(sections</w:t>
      </w:r>
      <w:r>
        <w:rPr>
          <w:rFonts w:ascii="Arial" w:hAnsi="Arial" w:cs="Arial"/>
          <w:sz w:val="18"/>
          <w:szCs w:val="18"/>
        </w:rPr>
        <w:t xml:space="preserve"> </w:t>
      </w:r>
      <w:r w:rsidRPr="00C41908">
        <w:rPr>
          <w:rFonts w:ascii="Arial" w:hAnsi="Arial" w:cs="Arial"/>
          <w:sz w:val="18"/>
          <w:szCs w:val="18"/>
        </w:rPr>
        <w:t xml:space="preserve">110 </w:t>
      </w:r>
      <w:r>
        <w:rPr>
          <w:rFonts w:ascii="Arial" w:hAnsi="Arial" w:cs="Arial"/>
          <w:sz w:val="18"/>
          <w:szCs w:val="18"/>
        </w:rPr>
        <w:t xml:space="preserve">and </w:t>
      </w:r>
      <w:r w:rsidRPr="00C41908">
        <w:rPr>
          <w:rFonts w:ascii="Arial" w:hAnsi="Arial" w:cs="Arial"/>
          <w:sz w:val="18"/>
          <w:szCs w:val="18"/>
        </w:rPr>
        <w:t>111). Other provisions of this Act, or of other laws, may operate as further exceptions.</w:t>
      </w:r>
    </w:p>
    <w:p w14:paraId="40AA068E" w14:textId="77777777" w:rsidR="00C41908" w:rsidRDefault="00C41908" w:rsidP="00C41908">
      <w:pPr>
        <w:jc w:val="both"/>
        <w:rPr>
          <w:rFonts w:ascii="Arial" w:hAnsi="Arial" w:cs="Arial"/>
          <w:sz w:val="20"/>
        </w:rPr>
      </w:pPr>
    </w:p>
    <w:p w14:paraId="269C5B92" w14:textId="2A15C74F" w:rsidR="00C41908" w:rsidRDefault="00C41908" w:rsidP="00C41908">
      <w:pPr>
        <w:jc w:val="both"/>
        <w:rPr>
          <w:rFonts w:ascii="Arial" w:hAnsi="Arial" w:cs="Arial"/>
          <w:sz w:val="20"/>
        </w:rPr>
      </w:pPr>
      <w:r>
        <w:rPr>
          <w:rFonts w:ascii="Arial" w:hAnsi="Arial" w:cs="Arial"/>
          <w:sz w:val="20"/>
        </w:rPr>
        <w:t xml:space="preserve">Section 98 of the </w:t>
      </w:r>
      <w:r w:rsidRPr="00A51A86">
        <w:rPr>
          <w:rFonts w:ascii="Arial" w:hAnsi="Arial" w:cs="Arial"/>
          <w:i/>
          <w:iCs/>
          <w:sz w:val="20"/>
        </w:rPr>
        <w:t>Evidence Act 2008</w:t>
      </w:r>
      <w:r>
        <w:rPr>
          <w:rFonts w:ascii="Arial" w:hAnsi="Arial" w:cs="Arial"/>
          <w:sz w:val="20"/>
        </w:rPr>
        <w:t xml:space="preserve"> – under the heading “</w:t>
      </w:r>
      <w:r w:rsidRPr="00C41908">
        <w:rPr>
          <w:rFonts w:ascii="Arial" w:hAnsi="Arial" w:cs="Arial"/>
          <w:b/>
          <w:bCs/>
          <w:sz w:val="20"/>
        </w:rPr>
        <w:t xml:space="preserve">The </w:t>
      </w:r>
      <w:r w:rsidR="005D4DC5">
        <w:rPr>
          <w:rFonts w:ascii="Arial" w:hAnsi="Arial" w:cs="Arial"/>
          <w:b/>
          <w:bCs/>
          <w:sz w:val="20"/>
        </w:rPr>
        <w:t>coincidence</w:t>
      </w:r>
      <w:r w:rsidRPr="00C41908">
        <w:rPr>
          <w:rFonts w:ascii="Arial" w:hAnsi="Arial" w:cs="Arial"/>
          <w:b/>
          <w:bCs/>
          <w:sz w:val="20"/>
        </w:rPr>
        <w:t xml:space="preserve"> </w:t>
      </w:r>
      <w:r>
        <w:rPr>
          <w:rFonts w:ascii="Arial" w:hAnsi="Arial" w:cs="Arial"/>
          <w:b/>
          <w:bCs/>
          <w:sz w:val="20"/>
        </w:rPr>
        <w:t>r</w:t>
      </w:r>
      <w:r w:rsidRPr="00C41908">
        <w:rPr>
          <w:rFonts w:ascii="Arial" w:hAnsi="Arial" w:cs="Arial"/>
          <w:b/>
          <w:bCs/>
          <w:sz w:val="20"/>
        </w:rPr>
        <w:t>ule</w:t>
      </w:r>
      <w:r>
        <w:rPr>
          <w:rFonts w:ascii="Arial" w:hAnsi="Arial" w:cs="Arial"/>
          <w:sz w:val="20"/>
        </w:rPr>
        <w:t>” provides:</w:t>
      </w:r>
    </w:p>
    <w:p w14:paraId="5771C29C" w14:textId="233E59B2" w:rsidR="00C41908" w:rsidRPr="00FD0640" w:rsidRDefault="00C41908" w:rsidP="00C41908">
      <w:pPr>
        <w:spacing w:before="120"/>
        <w:ind w:left="1021" w:right="567" w:hanging="454"/>
        <w:jc w:val="both"/>
        <w:rPr>
          <w:rFonts w:ascii="Arial" w:hAnsi="Arial" w:cs="Arial"/>
          <w:color w:val="000000"/>
          <w:sz w:val="20"/>
        </w:rPr>
      </w:pPr>
      <w:r>
        <w:rPr>
          <w:rFonts w:ascii="Arial" w:hAnsi="Arial" w:cs="Arial"/>
          <w:color w:val="000000"/>
          <w:sz w:val="20"/>
        </w:rPr>
        <w:t>“</w:t>
      </w:r>
      <w:r w:rsidRPr="00F85775">
        <w:rPr>
          <w:rFonts w:ascii="Arial" w:hAnsi="Arial" w:cs="Arial"/>
          <w:sz w:val="20"/>
          <w:szCs w:val="20"/>
        </w:rPr>
        <w:t>(1)</w:t>
      </w:r>
      <w:r>
        <w:rPr>
          <w:rFonts w:ascii="Arial" w:hAnsi="Arial" w:cs="Arial"/>
          <w:sz w:val="20"/>
          <w:szCs w:val="20"/>
        </w:rPr>
        <w:tab/>
      </w:r>
      <w:r w:rsidR="005D4DC5" w:rsidRPr="005D4DC5">
        <w:rPr>
          <w:rFonts w:ascii="Arial" w:hAnsi="Arial" w:cs="Arial"/>
          <w:sz w:val="20"/>
          <w:szCs w:val="16"/>
        </w:rPr>
        <w:t>Evidence that 2 or more events occurred is not admissible to prove that a person did a particular act or had a particular state of mind on the basis that, having regard to any similarities in the events or the circumstances in which they occurred, or any similarities in both the events and the circumstances in which they occurred, it is improbable that the events occurred coincidentally unless—</w:t>
      </w:r>
    </w:p>
    <w:p w14:paraId="4243BAF4" w14:textId="701F29BB" w:rsidR="00C41908" w:rsidRDefault="00C41908">
      <w:pPr>
        <w:pStyle w:val="ListParagraph"/>
        <w:numPr>
          <w:ilvl w:val="0"/>
          <w:numId w:val="101"/>
        </w:numPr>
        <w:ind w:left="1588" w:right="1021" w:hanging="567"/>
        <w:jc w:val="both"/>
        <w:rPr>
          <w:rFonts w:ascii="Arial" w:hAnsi="Arial" w:cs="Arial"/>
          <w:sz w:val="20"/>
        </w:rPr>
      </w:pPr>
      <w:r w:rsidRPr="00A51A86">
        <w:rPr>
          <w:rFonts w:ascii="Arial" w:hAnsi="Arial" w:cs="Arial"/>
          <w:sz w:val="20"/>
        </w:rPr>
        <w:t>the party seeking to adduce the evidence gave reasonable notice in writing to each other party of the party's intention to adduce the evidence; and</w:t>
      </w:r>
    </w:p>
    <w:p w14:paraId="6DD73629" w14:textId="77777777" w:rsidR="005D4DC5" w:rsidRPr="00A51A86" w:rsidRDefault="005D4DC5">
      <w:pPr>
        <w:pStyle w:val="ListParagraph"/>
        <w:numPr>
          <w:ilvl w:val="0"/>
          <w:numId w:val="102"/>
        </w:numPr>
        <w:ind w:left="1588" w:right="1021" w:hanging="567"/>
        <w:jc w:val="both"/>
        <w:rPr>
          <w:rFonts w:ascii="Arial" w:hAnsi="Arial" w:cs="Arial"/>
          <w:sz w:val="20"/>
        </w:rPr>
      </w:pPr>
      <w:r w:rsidRPr="00F85775">
        <w:rPr>
          <w:rFonts w:ascii="Arial" w:hAnsi="Arial" w:cs="Arial"/>
          <w:sz w:val="20"/>
        </w:rPr>
        <w:t>the court thinks that the evidence will, either by itself or having regard to other evidence adduced or to be adduced by the party seeking to adduce the evidence, have significant probative value.</w:t>
      </w:r>
    </w:p>
    <w:p w14:paraId="15E064D5" w14:textId="77777777" w:rsidR="005D4DC5" w:rsidRPr="00C41908" w:rsidRDefault="005D4DC5" w:rsidP="00841853">
      <w:pPr>
        <w:pStyle w:val="DraftSectionNote"/>
        <w:keepNext/>
        <w:keepLines/>
        <w:tabs>
          <w:tab w:val="right" w:pos="1304"/>
        </w:tabs>
        <w:ind w:left="567"/>
        <w:rPr>
          <w:rFonts w:ascii="Arial" w:hAnsi="Arial" w:cs="Arial"/>
          <w:b/>
          <w:sz w:val="18"/>
          <w:szCs w:val="18"/>
        </w:rPr>
      </w:pPr>
      <w:r w:rsidRPr="00C41908">
        <w:rPr>
          <w:rFonts w:ascii="Arial" w:hAnsi="Arial" w:cs="Arial"/>
          <w:b/>
          <w:sz w:val="18"/>
          <w:szCs w:val="18"/>
        </w:rPr>
        <w:t>Note</w:t>
      </w:r>
    </w:p>
    <w:p w14:paraId="5C88F15B" w14:textId="348DD75B" w:rsidR="005D4DC5" w:rsidRPr="00C41908" w:rsidRDefault="005D4DC5" w:rsidP="005D4DC5">
      <w:pPr>
        <w:pStyle w:val="DraftSectionNote"/>
        <w:tabs>
          <w:tab w:val="right" w:pos="1304"/>
        </w:tabs>
        <w:ind w:left="567" w:right="567"/>
        <w:jc w:val="both"/>
        <w:rPr>
          <w:rFonts w:ascii="Arial" w:hAnsi="Arial" w:cs="Arial"/>
          <w:sz w:val="18"/>
          <w:szCs w:val="18"/>
        </w:rPr>
      </w:pPr>
      <w:r>
        <w:rPr>
          <w:rFonts w:ascii="Arial" w:hAnsi="Arial" w:cs="Arial"/>
          <w:sz w:val="18"/>
          <w:szCs w:val="18"/>
        </w:rPr>
        <w:t>One of the events referred to in subsection (1) may be an event the occurrence of which is a fact in issue in the proceedings</w:t>
      </w:r>
      <w:r w:rsidRPr="00C41908">
        <w:rPr>
          <w:rFonts w:ascii="Arial" w:hAnsi="Arial" w:cs="Arial"/>
          <w:sz w:val="18"/>
          <w:szCs w:val="18"/>
        </w:rPr>
        <w:t>.</w:t>
      </w:r>
    </w:p>
    <w:p w14:paraId="7445B4DC" w14:textId="77777777" w:rsidR="005D4DC5" w:rsidRPr="00FD0640" w:rsidRDefault="005D4DC5" w:rsidP="005D4DC5">
      <w:pPr>
        <w:spacing w:before="120"/>
        <w:ind w:left="1021" w:right="567"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Subsection (1)(a) does not apply if</w:t>
      </w:r>
      <w:r w:rsidRPr="00F85775">
        <w:rPr>
          <w:rFonts w:ascii="Arial" w:hAnsi="Arial" w:cs="Arial"/>
          <w:sz w:val="20"/>
          <w:szCs w:val="20"/>
        </w:rPr>
        <w:t>—</w:t>
      </w:r>
    </w:p>
    <w:p w14:paraId="31384067" w14:textId="77777777" w:rsidR="005D4DC5" w:rsidRDefault="005D4DC5">
      <w:pPr>
        <w:pStyle w:val="ListParagraph"/>
        <w:numPr>
          <w:ilvl w:val="0"/>
          <w:numId w:val="103"/>
        </w:numPr>
        <w:ind w:left="1378" w:right="1021" w:hanging="357"/>
        <w:jc w:val="both"/>
        <w:rPr>
          <w:rFonts w:ascii="Arial" w:hAnsi="Arial" w:cs="Arial"/>
          <w:sz w:val="20"/>
        </w:rPr>
      </w:pPr>
      <w:r>
        <w:rPr>
          <w:rFonts w:ascii="Arial" w:hAnsi="Arial" w:cs="Arial"/>
          <w:sz w:val="20"/>
        </w:rPr>
        <w:t>the evidence is adduced in accordance with any directions made by the court under section 100; or</w:t>
      </w:r>
    </w:p>
    <w:p w14:paraId="560B7939" w14:textId="4F6B8D53" w:rsidR="005D4DC5" w:rsidRDefault="005D4DC5">
      <w:pPr>
        <w:pStyle w:val="ListParagraph"/>
        <w:numPr>
          <w:ilvl w:val="0"/>
          <w:numId w:val="103"/>
        </w:numPr>
        <w:ind w:left="1378" w:right="1021" w:hanging="357"/>
        <w:jc w:val="both"/>
        <w:rPr>
          <w:rFonts w:ascii="Arial" w:hAnsi="Arial" w:cs="Arial"/>
          <w:sz w:val="20"/>
        </w:rPr>
      </w:pPr>
      <w:r>
        <w:rPr>
          <w:rFonts w:ascii="Arial" w:hAnsi="Arial" w:cs="Arial"/>
          <w:sz w:val="20"/>
        </w:rPr>
        <w:t>the evidence is adduced to explain or contradict coincidence evidence adduced by another party.</w:t>
      </w:r>
    </w:p>
    <w:p w14:paraId="11365654" w14:textId="77777777" w:rsidR="005D4DC5" w:rsidRPr="00C41908" w:rsidRDefault="005D4DC5" w:rsidP="005D4DC5">
      <w:pPr>
        <w:pStyle w:val="DraftSectionNote"/>
        <w:tabs>
          <w:tab w:val="right" w:pos="1304"/>
        </w:tabs>
        <w:ind w:left="567"/>
        <w:rPr>
          <w:rFonts w:ascii="Arial" w:hAnsi="Arial" w:cs="Arial"/>
          <w:b/>
          <w:sz w:val="18"/>
          <w:szCs w:val="18"/>
        </w:rPr>
      </w:pPr>
      <w:r w:rsidRPr="00C41908">
        <w:rPr>
          <w:rFonts w:ascii="Arial" w:hAnsi="Arial" w:cs="Arial"/>
          <w:b/>
          <w:sz w:val="18"/>
          <w:szCs w:val="18"/>
        </w:rPr>
        <w:t>Note</w:t>
      </w:r>
    </w:p>
    <w:p w14:paraId="6C9A8717" w14:textId="3FA6D040" w:rsidR="005D4DC5" w:rsidRPr="00C41908" w:rsidRDefault="005D4DC5" w:rsidP="005D4DC5">
      <w:pPr>
        <w:pStyle w:val="DraftSectionNote"/>
        <w:tabs>
          <w:tab w:val="right" w:pos="1304"/>
        </w:tabs>
        <w:ind w:left="567" w:right="567"/>
        <w:jc w:val="both"/>
        <w:rPr>
          <w:rFonts w:ascii="Arial" w:hAnsi="Arial" w:cs="Arial"/>
          <w:sz w:val="18"/>
          <w:szCs w:val="18"/>
        </w:rPr>
      </w:pPr>
      <w:r>
        <w:rPr>
          <w:rFonts w:ascii="Arial" w:hAnsi="Arial" w:cs="Arial"/>
          <w:sz w:val="18"/>
          <w:szCs w:val="18"/>
        </w:rPr>
        <w:t>Other provisions of this Act, or of other laws, may operate as exceptions to the coincidence rule</w:t>
      </w:r>
      <w:r w:rsidRPr="00C41908">
        <w:rPr>
          <w:rFonts w:ascii="Arial" w:hAnsi="Arial" w:cs="Arial"/>
          <w:sz w:val="18"/>
          <w:szCs w:val="18"/>
        </w:rPr>
        <w:t>.</w:t>
      </w:r>
    </w:p>
    <w:p w14:paraId="48E8FA28" w14:textId="77777777" w:rsidR="006D01D1" w:rsidRDefault="006D01D1" w:rsidP="006D01D1">
      <w:pPr>
        <w:jc w:val="both"/>
        <w:rPr>
          <w:rFonts w:ascii="Arial" w:hAnsi="Arial" w:cs="Arial"/>
          <w:color w:val="000000"/>
          <w:sz w:val="20"/>
          <w:szCs w:val="20"/>
        </w:rPr>
      </w:pPr>
    </w:p>
    <w:p w14:paraId="186A052C" w14:textId="77777777" w:rsidR="006D01D1" w:rsidRDefault="006D01D1" w:rsidP="006D01D1">
      <w:pPr>
        <w:jc w:val="both"/>
        <w:rPr>
          <w:rFonts w:ascii="Arial" w:hAnsi="Arial" w:cs="Arial"/>
          <w:sz w:val="20"/>
          <w:szCs w:val="20"/>
        </w:rPr>
      </w:pPr>
      <w:r>
        <w:rPr>
          <w:rFonts w:ascii="Arial" w:hAnsi="Arial" w:cs="Arial"/>
          <w:sz w:val="20"/>
          <w:szCs w:val="20"/>
        </w:rPr>
        <w:t xml:space="preserve">For an analysis of the difference between tendency evidence and context evidence see the judgment of the Court of Appeal in </w:t>
      </w:r>
      <w:r w:rsidRPr="00BC4144">
        <w:rPr>
          <w:rFonts w:ascii="Arial" w:hAnsi="Arial" w:cs="Arial"/>
          <w:i/>
          <w:iCs/>
          <w:sz w:val="20"/>
          <w:szCs w:val="20"/>
        </w:rPr>
        <w:t>Clayton (a pseudonym) v The King</w:t>
      </w:r>
      <w:r>
        <w:rPr>
          <w:rFonts w:ascii="Arial" w:hAnsi="Arial" w:cs="Arial"/>
          <w:sz w:val="20"/>
          <w:szCs w:val="20"/>
        </w:rPr>
        <w:t xml:space="preserve"> [2024] VSCA 203 at [122]-[129].</w:t>
      </w:r>
    </w:p>
    <w:p w14:paraId="2C497068" w14:textId="77777777" w:rsidR="006D01D1" w:rsidRDefault="006D01D1" w:rsidP="006D01D1">
      <w:pPr>
        <w:jc w:val="both"/>
        <w:rPr>
          <w:rFonts w:ascii="Arial" w:hAnsi="Arial" w:cs="Arial"/>
          <w:color w:val="000000"/>
          <w:sz w:val="20"/>
          <w:szCs w:val="20"/>
        </w:rPr>
      </w:pPr>
    </w:p>
    <w:p w14:paraId="2CD1A9FF" w14:textId="2940E892" w:rsidR="006D01D1" w:rsidRDefault="006D01D1" w:rsidP="006D01D1">
      <w:pPr>
        <w:jc w:val="both"/>
        <w:rPr>
          <w:rFonts w:ascii="Arial" w:hAnsi="Arial" w:cs="Arial"/>
          <w:color w:val="000000"/>
          <w:sz w:val="20"/>
          <w:szCs w:val="20"/>
        </w:rPr>
      </w:pPr>
      <w:bookmarkStart w:id="609" w:name="_Hlk202260795"/>
      <w:r>
        <w:rPr>
          <w:rFonts w:ascii="Arial" w:hAnsi="Arial" w:cs="Arial"/>
          <w:sz w:val="20"/>
          <w:szCs w:val="20"/>
        </w:rPr>
        <w:t xml:space="preserve">In </w:t>
      </w:r>
      <w:r w:rsidRPr="0066660A">
        <w:rPr>
          <w:rFonts w:ascii="Arial" w:hAnsi="Arial" w:cs="Arial"/>
          <w:i/>
          <w:iCs/>
          <w:sz w:val="20"/>
          <w:szCs w:val="20"/>
        </w:rPr>
        <w:t>Culibrk v The King</w:t>
      </w:r>
      <w:r>
        <w:rPr>
          <w:rFonts w:ascii="Arial" w:hAnsi="Arial" w:cs="Arial"/>
          <w:sz w:val="20"/>
          <w:szCs w:val="20"/>
        </w:rPr>
        <w:t xml:space="preserve"> [2025] VSCA 137 the applicant had been found guilty of multiple offences of burglary and theft. The prosecution had relied on coincidence evidence to prove his guilt. The Court of Appeal refused his application for an extension of time in which to seek leave to appeal, holding that the trial judge had not erred in finding that the coincidence evidence was significantly probative and that the use of coincidence evidence had not occasioned unfair prejudice. At [55]-[</w:t>
      </w:r>
      <w:r w:rsidR="00133DDB">
        <w:rPr>
          <w:rFonts w:ascii="Arial" w:hAnsi="Arial" w:cs="Arial"/>
          <w:sz w:val="20"/>
          <w:szCs w:val="20"/>
        </w:rPr>
        <w:t>60</w:t>
      </w:r>
      <w:r>
        <w:rPr>
          <w:rFonts w:ascii="Arial" w:hAnsi="Arial" w:cs="Arial"/>
          <w:sz w:val="20"/>
          <w:szCs w:val="20"/>
        </w:rPr>
        <w:t xml:space="preserve">] Walker, Taylor &amp; Osborn JJA </w:t>
      </w:r>
      <w:r w:rsidR="004C6D1B">
        <w:rPr>
          <w:rFonts w:ascii="Arial" w:hAnsi="Arial" w:cs="Arial"/>
          <w:sz w:val="20"/>
          <w:szCs w:val="20"/>
        </w:rPr>
        <w:t>summarise</w:t>
      </w:r>
      <w:r>
        <w:rPr>
          <w:rFonts w:ascii="Arial" w:hAnsi="Arial" w:cs="Arial"/>
          <w:sz w:val="20"/>
          <w:szCs w:val="20"/>
        </w:rPr>
        <w:t>d the principles involving the use of coincidence evidence:</w:t>
      </w:r>
    </w:p>
    <w:p w14:paraId="027370D6" w14:textId="2025C224" w:rsidR="006D01D1" w:rsidRDefault="006D01D1" w:rsidP="006D01D1">
      <w:pPr>
        <w:pStyle w:val="CCVNumberLevel1"/>
        <w:tabs>
          <w:tab w:val="clear" w:pos="1134"/>
        </w:tabs>
        <w:spacing w:before="60" w:after="0" w:line="240" w:lineRule="auto"/>
        <w:ind w:left="567" w:right="567" w:firstLine="0"/>
        <w:rPr>
          <w:rFonts w:cs="Arial"/>
          <w:color w:val="000000"/>
          <w:sz w:val="20"/>
        </w:rPr>
      </w:pPr>
      <w:r>
        <w:rPr>
          <w:rFonts w:cs="Arial"/>
          <w:sz w:val="20"/>
        </w:rPr>
        <w:t>[55] “</w:t>
      </w:r>
      <w:r w:rsidRPr="0066660A">
        <w:rPr>
          <w:rFonts w:cs="Arial"/>
          <w:color w:val="000000"/>
          <w:sz w:val="20"/>
        </w:rPr>
        <w:t xml:space="preserve">Coincidence evidence is evidence which uses the improbability of two or more events occurring coincidentally to prove, relevantly, that a person performed a particular act. The use of coincidence evidence relies on a process of inferential reasoning in which it is open </w:t>
      </w:r>
      <w:r w:rsidRPr="0066660A">
        <w:rPr>
          <w:rFonts w:cs="Arial"/>
          <w:color w:val="000000"/>
          <w:sz w:val="20"/>
        </w:rPr>
        <w:lastRenderedPageBreak/>
        <w:t>to a jury to draw two inferences. First, from evidence of similarities between two or more events and the circumstances in which those events occurred, that it is improbable that the events occurred coincidentally. Secondly, from the improbability of such a coincidence, the existence of a relevant fact in issue.</w:t>
      </w:r>
    </w:p>
    <w:p w14:paraId="0148A808" w14:textId="7779CB69" w:rsidR="006D01D1" w:rsidRDefault="006D01D1" w:rsidP="006D01D1">
      <w:pPr>
        <w:pStyle w:val="CCVNumberLevel1"/>
        <w:tabs>
          <w:tab w:val="clear" w:pos="1134"/>
        </w:tabs>
        <w:spacing w:before="60" w:after="0" w:line="240" w:lineRule="auto"/>
        <w:ind w:left="567" w:right="567" w:firstLine="0"/>
        <w:rPr>
          <w:rFonts w:cs="Arial"/>
          <w:color w:val="000000"/>
          <w:sz w:val="20"/>
        </w:rPr>
      </w:pPr>
      <w:r>
        <w:rPr>
          <w:rFonts w:cs="Arial"/>
          <w:sz w:val="20"/>
        </w:rPr>
        <w:t xml:space="preserve">[56] </w:t>
      </w:r>
      <w:r w:rsidRPr="0066660A">
        <w:rPr>
          <w:rFonts w:cs="Arial"/>
          <w:color w:val="000000"/>
          <w:sz w:val="20"/>
        </w:rPr>
        <w:t xml:space="preserve">The coincidence rule in s 98 of the </w:t>
      </w:r>
      <w:r w:rsidRPr="006D01D1">
        <w:rPr>
          <w:rFonts w:cs="Arial"/>
          <w:i/>
          <w:iCs/>
          <w:color w:val="000000"/>
          <w:sz w:val="20"/>
        </w:rPr>
        <w:t>Evidence Act</w:t>
      </w:r>
      <w:r w:rsidRPr="0066660A">
        <w:rPr>
          <w:rFonts w:cs="Arial"/>
          <w:color w:val="000000"/>
          <w:sz w:val="20"/>
        </w:rPr>
        <w:t xml:space="preserve"> states that evidence is generally not admissible as coincidence evidence unless the party seeking to adduce it has given reasonable notice and the court thinks that the evidence will have significant probative value. Section 101 of the </w:t>
      </w:r>
      <w:r w:rsidRPr="006D01D1">
        <w:rPr>
          <w:rFonts w:cs="Arial"/>
          <w:i/>
          <w:iCs/>
          <w:color w:val="000000"/>
          <w:sz w:val="20"/>
        </w:rPr>
        <w:t>Evidence Act</w:t>
      </w:r>
      <w:r w:rsidRPr="0066660A">
        <w:rPr>
          <w:rFonts w:cs="Arial"/>
          <w:color w:val="000000"/>
          <w:sz w:val="20"/>
        </w:rPr>
        <w:t xml:space="preserve"> establishes that where the prosecution seeks to lead coincidence evidence about the accused, the evidence will only be admissible if its probative value substantially outweighs any prejudicial effect that it may have on the accused.</w:t>
      </w:r>
    </w:p>
    <w:p w14:paraId="62F2851E" w14:textId="1304C107" w:rsidR="006D01D1" w:rsidRDefault="006D01D1" w:rsidP="006D01D1">
      <w:pPr>
        <w:pStyle w:val="CCVNumberLevel1"/>
        <w:tabs>
          <w:tab w:val="clear" w:pos="1134"/>
        </w:tabs>
        <w:spacing w:before="60" w:after="0" w:line="240" w:lineRule="auto"/>
        <w:ind w:left="567" w:right="567" w:firstLine="0"/>
        <w:rPr>
          <w:rFonts w:cs="Arial"/>
          <w:sz w:val="20"/>
        </w:rPr>
      </w:pPr>
      <w:r>
        <w:rPr>
          <w:rFonts w:cs="Arial"/>
          <w:sz w:val="20"/>
        </w:rPr>
        <w:t xml:space="preserve">[57] </w:t>
      </w:r>
      <w:r w:rsidRPr="0066660A">
        <w:rPr>
          <w:rFonts w:cs="Arial"/>
          <w:color w:val="000000"/>
          <w:sz w:val="20"/>
        </w:rPr>
        <w:t xml:space="preserve">In </w:t>
      </w:r>
      <w:r w:rsidRPr="006D01D1">
        <w:rPr>
          <w:rFonts w:cs="Arial"/>
          <w:i/>
          <w:iCs/>
          <w:color w:val="000000"/>
          <w:sz w:val="20"/>
        </w:rPr>
        <w:t>CGL v DPP</w:t>
      </w:r>
      <w:r>
        <w:rPr>
          <w:rFonts w:cs="Arial"/>
          <w:i/>
          <w:iCs/>
          <w:color w:val="000000"/>
          <w:sz w:val="20"/>
        </w:rPr>
        <w:t xml:space="preserve"> </w:t>
      </w:r>
      <w:r w:rsidRPr="006D01D1">
        <w:rPr>
          <w:rFonts w:cs="Arial"/>
          <w:color w:val="000000"/>
          <w:sz w:val="20"/>
        </w:rPr>
        <w:t>(2010) 24 VR 486, 493 [22]; [2010] VSCA 26</w:t>
      </w:r>
      <w:r w:rsidRPr="0066660A">
        <w:rPr>
          <w:rFonts w:cs="Arial"/>
          <w:color w:val="000000"/>
          <w:sz w:val="20"/>
        </w:rPr>
        <w:t>, this Court summarised those legislative requirements as involving four questions:</w:t>
      </w:r>
    </w:p>
    <w:p w14:paraId="5089CEC7" w14:textId="77777777" w:rsidR="006D01D1" w:rsidRDefault="006D01D1" w:rsidP="00EC4653">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1.</w:t>
      </w:r>
      <w:r>
        <w:rPr>
          <w:rFonts w:ascii="Arial" w:hAnsi="Arial" w:cs="Arial"/>
          <w:color w:val="000000"/>
          <w:sz w:val="18"/>
          <w:szCs w:val="18"/>
        </w:rPr>
        <w:tab/>
      </w:r>
      <w:r w:rsidRPr="006D01D1">
        <w:rPr>
          <w:rFonts w:ascii="Arial" w:hAnsi="Arial" w:cs="Arial"/>
          <w:color w:val="000000"/>
          <w:sz w:val="18"/>
          <w:szCs w:val="18"/>
        </w:rPr>
        <w:t>Are the similarities in the specified events and/or in the circumstances in which they occurred such that it is improbable that the events occurred coincidentally?</w:t>
      </w:r>
    </w:p>
    <w:p w14:paraId="46316B8F" w14:textId="77777777" w:rsidR="006D01D1" w:rsidRDefault="006D01D1" w:rsidP="006D01D1">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2.</w:t>
      </w:r>
      <w:r>
        <w:rPr>
          <w:rFonts w:ascii="Arial" w:hAnsi="Arial" w:cs="Arial"/>
          <w:color w:val="000000"/>
          <w:sz w:val="18"/>
          <w:szCs w:val="18"/>
        </w:rPr>
        <w:tab/>
      </w:r>
      <w:r w:rsidRPr="006D01D1">
        <w:rPr>
          <w:rFonts w:ascii="Arial" w:hAnsi="Arial" w:cs="Arial"/>
          <w:color w:val="000000"/>
          <w:sz w:val="18"/>
          <w:szCs w:val="18"/>
        </w:rPr>
        <w:t xml:space="preserve">If so, would the evidence of those events and circumstances tend to prove that the accused: </w:t>
      </w:r>
    </w:p>
    <w:p w14:paraId="7A70AB00" w14:textId="1A750C38" w:rsidR="006D01D1" w:rsidRDefault="006D01D1" w:rsidP="006D01D1">
      <w:pPr>
        <w:ind w:left="1378" w:right="1021"/>
        <w:jc w:val="both"/>
        <w:rPr>
          <w:rFonts w:ascii="Arial" w:hAnsi="Arial" w:cs="Arial"/>
          <w:color w:val="000000"/>
          <w:sz w:val="18"/>
          <w:szCs w:val="18"/>
        </w:rPr>
      </w:pPr>
      <w:r w:rsidRPr="006D01D1">
        <w:rPr>
          <w:rFonts w:ascii="Arial" w:hAnsi="Arial" w:cs="Arial"/>
          <w:color w:val="000000"/>
          <w:sz w:val="18"/>
          <w:szCs w:val="18"/>
        </w:rPr>
        <w:t>(a)</w:t>
      </w:r>
      <w:r>
        <w:rPr>
          <w:rFonts w:ascii="Arial" w:hAnsi="Arial" w:cs="Arial"/>
          <w:color w:val="000000"/>
          <w:sz w:val="18"/>
          <w:szCs w:val="18"/>
        </w:rPr>
        <w:tab/>
      </w:r>
      <w:r w:rsidRPr="006D01D1">
        <w:rPr>
          <w:rFonts w:ascii="Arial" w:hAnsi="Arial" w:cs="Arial"/>
          <w:color w:val="000000"/>
          <w:sz w:val="18"/>
          <w:szCs w:val="18"/>
        </w:rPr>
        <w:t>did the specified act; or</w:t>
      </w:r>
    </w:p>
    <w:p w14:paraId="2FE36C83" w14:textId="3B68DE44" w:rsidR="006D01D1" w:rsidRDefault="006D01D1" w:rsidP="006D01D1">
      <w:pPr>
        <w:ind w:left="1378" w:right="1021"/>
        <w:jc w:val="both"/>
        <w:rPr>
          <w:rFonts w:ascii="Arial" w:hAnsi="Arial" w:cs="Arial"/>
          <w:color w:val="000000"/>
          <w:sz w:val="18"/>
          <w:szCs w:val="18"/>
        </w:rPr>
      </w:pPr>
      <w:r w:rsidRPr="006D01D1">
        <w:rPr>
          <w:rFonts w:ascii="Arial" w:hAnsi="Arial" w:cs="Arial"/>
          <w:color w:val="000000"/>
          <w:sz w:val="18"/>
          <w:szCs w:val="18"/>
        </w:rPr>
        <w:t>(b)</w:t>
      </w:r>
      <w:r>
        <w:rPr>
          <w:rFonts w:ascii="Arial" w:hAnsi="Arial" w:cs="Arial"/>
          <w:color w:val="000000"/>
          <w:sz w:val="18"/>
          <w:szCs w:val="18"/>
        </w:rPr>
        <w:tab/>
      </w:r>
      <w:r w:rsidRPr="006D01D1">
        <w:rPr>
          <w:rFonts w:ascii="Arial" w:hAnsi="Arial" w:cs="Arial"/>
          <w:color w:val="000000"/>
          <w:sz w:val="18"/>
          <w:szCs w:val="18"/>
        </w:rPr>
        <w:t>had the specified state of mind</w:t>
      </w:r>
    </w:p>
    <w:p w14:paraId="7B1376E1" w14:textId="77777777" w:rsidR="006D01D1" w:rsidRDefault="006D01D1" w:rsidP="006D01D1">
      <w:pPr>
        <w:ind w:left="1378" w:right="1021"/>
        <w:jc w:val="both"/>
        <w:rPr>
          <w:rFonts w:ascii="Arial" w:hAnsi="Arial" w:cs="Arial"/>
          <w:color w:val="000000"/>
          <w:sz w:val="18"/>
          <w:szCs w:val="18"/>
        </w:rPr>
      </w:pPr>
      <w:r w:rsidRPr="006D01D1">
        <w:rPr>
          <w:rFonts w:ascii="Arial" w:hAnsi="Arial" w:cs="Arial"/>
          <w:color w:val="000000"/>
          <w:sz w:val="18"/>
          <w:szCs w:val="18"/>
        </w:rPr>
        <w:t xml:space="preserve">where doing that act or having that state of mind is a fact in issue or is relevant to a fact in issue? </w:t>
      </w:r>
    </w:p>
    <w:p w14:paraId="741537BE" w14:textId="5A122C10" w:rsidR="006D01D1" w:rsidRDefault="006D01D1" w:rsidP="00EC4653">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3.</w:t>
      </w:r>
      <w:r>
        <w:rPr>
          <w:rFonts w:ascii="Arial" w:hAnsi="Arial" w:cs="Arial"/>
          <w:color w:val="000000"/>
          <w:sz w:val="18"/>
          <w:szCs w:val="18"/>
        </w:rPr>
        <w:tab/>
      </w:r>
      <w:r w:rsidRPr="006D01D1">
        <w:rPr>
          <w:rFonts w:ascii="Arial" w:hAnsi="Arial" w:cs="Arial"/>
          <w:color w:val="000000"/>
          <w:sz w:val="18"/>
          <w:szCs w:val="18"/>
        </w:rPr>
        <w:t>If so, does the evidence have significant probative value, either by itself or having regard to other evidence adduced or sought to be adduce</w:t>
      </w:r>
      <w:r>
        <w:rPr>
          <w:rFonts w:ascii="Arial" w:hAnsi="Arial" w:cs="Arial"/>
          <w:color w:val="000000"/>
          <w:sz w:val="18"/>
          <w:szCs w:val="18"/>
        </w:rPr>
        <w:t>d</w:t>
      </w:r>
      <w:r w:rsidRPr="006D01D1">
        <w:rPr>
          <w:rFonts w:ascii="Arial" w:hAnsi="Arial" w:cs="Arial"/>
          <w:color w:val="000000"/>
          <w:sz w:val="18"/>
          <w:szCs w:val="18"/>
        </w:rPr>
        <w:t xml:space="preserve"> by the prosecution?</w:t>
      </w:r>
    </w:p>
    <w:p w14:paraId="21BC6303" w14:textId="7B523DEA" w:rsidR="006D01D1" w:rsidRPr="006D01D1" w:rsidRDefault="006D01D1" w:rsidP="006D01D1">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4.</w:t>
      </w:r>
      <w:r>
        <w:rPr>
          <w:rFonts w:ascii="Arial" w:hAnsi="Arial" w:cs="Arial"/>
          <w:color w:val="000000"/>
          <w:sz w:val="18"/>
          <w:szCs w:val="18"/>
        </w:rPr>
        <w:tab/>
      </w:r>
      <w:r w:rsidRPr="006D01D1">
        <w:rPr>
          <w:rFonts w:ascii="Arial" w:hAnsi="Arial" w:cs="Arial"/>
          <w:color w:val="000000"/>
          <w:sz w:val="18"/>
          <w:szCs w:val="18"/>
        </w:rPr>
        <w:t>If so, does the probative value of the evidence substantially outweigh any prejudicial effect it may have on the accused?</w:t>
      </w:r>
    </w:p>
    <w:p w14:paraId="5C35B459" w14:textId="63C54D05" w:rsidR="00133DDB" w:rsidRDefault="00133DDB" w:rsidP="00133DDB">
      <w:pPr>
        <w:pStyle w:val="CCVNumberLevel1"/>
        <w:tabs>
          <w:tab w:val="clear" w:pos="1134"/>
        </w:tabs>
        <w:spacing w:before="60" w:after="0" w:line="240" w:lineRule="auto"/>
        <w:ind w:left="567" w:right="567" w:firstLine="0"/>
        <w:rPr>
          <w:rFonts w:cs="Arial"/>
          <w:color w:val="000000"/>
          <w:sz w:val="20"/>
        </w:rPr>
      </w:pPr>
      <w:r>
        <w:rPr>
          <w:rFonts w:cs="Arial"/>
          <w:sz w:val="20"/>
        </w:rPr>
        <w:t xml:space="preserve">[58] </w:t>
      </w:r>
      <w:r w:rsidRPr="0066660A">
        <w:rPr>
          <w:rFonts w:cs="Arial"/>
          <w:color w:val="000000"/>
          <w:sz w:val="20"/>
        </w:rPr>
        <w:t xml:space="preserve">Sections 98 and 101 of the </w:t>
      </w:r>
      <w:r w:rsidRPr="00133DDB">
        <w:rPr>
          <w:rFonts w:cs="Arial"/>
          <w:i/>
          <w:iCs/>
          <w:color w:val="000000"/>
          <w:sz w:val="20"/>
        </w:rPr>
        <w:t>Evidence Act</w:t>
      </w:r>
      <w:r w:rsidRPr="0066660A">
        <w:rPr>
          <w:rFonts w:cs="Arial"/>
          <w:color w:val="000000"/>
          <w:sz w:val="20"/>
        </w:rPr>
        <w:t xml:space="preserve"> do not require a ‘striking similarity’ in circumstances before two or more events may be admitted as coincidence evidence. Rather, what is required is a sufficient ‘underlying unity’, which is dependent upon the facts in issue, the nature and circumstances of the other acts, the degree of similarity between the events, the relationship between any relevant parties and all the circumstances of the case</w:t>
      </w:r>
      <w:r>
        <w:rPr>
          <w:rFonts w:cs="Arial"/>
          <w:color w:val="000000"/>
          <w:sz w:val="20"/>
        </w:rPr>
        <w:t xml:space="preserve">: </w:t>
      </w:r>
      <w:r w:rsidRPr="00133DDB">
        <w:rPr>
          <w:rFonts w:cs="Arial"/>
          <w:i/>
          <w:iCs/>
          <w:color w:val="000000"/>
          <w:sz w:val="20"/>
        </w:rPr>
        <w:t>PG v The Queen</w:t>
      </w:r>
      <w:r>
        <w:rPr>
          <w:rFonts w:cs="Arial"/>
          <w:color w:val="000000"/>
          <w:sz w:val="20"/>
        </w:rPr>
        <w:t xml:space="preserve"> [2010] VSCA 289, [70]; see also </w:t>
      </w:r>
      <w:r w:rsidRPr="00133DDB">
        <w:rPr>
          <w:rFonts w:cs="Arial"/>
          <w:i/>
          <w:iCs/>
          <w:color w:val="000000"/>
          <w:sz w:val="20"/>
        </w:rPr>
        <w:t>CW v The Queen</w:t>
      </w:r>
      <w:r>
        <w:rPr>
          <w:rFonts w:cs="Arial"/>
          <w:color w:val="000000"/>
          <w:sz w:val="20"/>
        </w:rPr>
        <w:t xml:space="preserve"> [2010] VSCA 288.</w:t>
      </w:r>
    </w:p>
    <w:p w14:paraId="6BF5AA7F" w14:textId="4CE77569" w:rsidR="00133DDB" w:rsidRDefault="00133DDB" w:rsidP="00133DDB">
      <w:pPr>
        <w:pStyle w:val="CCVNumberLevel1"/>
        <w:tabs>
          <w:tab w:val="clear" w:pos="1134"/>
        </w:tabs>
        <w:spacing w:before="60" w:after="0" w:line="240" w:lineRule="auto"/>
        <w:ind w:left="567" w:right="567" w:firstLine="0"/>
        <w:rPr>
          <w:rFonts w:cs="Arial"/>
          <w:sz w:val="20"/>
        </w:rPr>
      </w:pPr>
      <w:r>
        <w:rPr>
          <w:rFonts w:cs="Arial"/>
          <w:sz w:val="20"/>
        </w:rPr>
        <w:t xml:space="preserve">[59] Thus, in </w:t>
      </w:r>
      <w:r w:rsidRPr="00133DDB">
        <w:rPr>
          <w:rFonts w:cs="Arial"/>
          <w:i/>
          <w:iCs/>
          <w:color w:val="000000"/>
          <w:sz w:val="20"/>
        </w:rPr>
        <w:t>PG</w:t>
      </w:r>
      <w:r w:rsidRPr="0066660A">
        <w:rPr>
          <w:rFonts w:cs="Arial"/>
          <w:color w:val="000000"/>
          <w:sz w:val="20"/>
        </w:rPr>
        <w:t>, Nettle JA said</w:t>
      </w:r>
      <w:r>
        <w:rPr>
          <w:rFonts w:cs="Arial"/>
          <w:color w:val="000000"/>
          <w:sz w:val="20"/>
        </w:rPr>
        <w:t xml:space="preserve"> at [71]</w:t>
      </w:r>
    </w:p>
    <w:p w14:paraId="2563B6BA" w14:textId="60F4B5D5" w:rsidR="00133DDB" w:rsidRDefault="00133DDB" w:rsidP="00133DDB">
      <w:pPr>
        <w:spacing w:before="60"/>
        <w:ind w:left="1021" w:right="1021"/>
        <w:jc w:val="both"/>
        <w:rPr>
          <w:rFonts w:ascii="Arial" w:hAnsi="Arial" w:cs="Arial"/>
          <w:color w:val="000000"/>
          <w:sz w:val="18"/>
          <w:szCs w:val="18"/>
        </w:rPr>
      </w:pPr>
      <w:r w:rsidRPr="00133DDB">
        <w:rPr>
          <w:rFonts w:ascii="Arial" w:hAnsi="Arial" w:cs="Arial"/>
          <w:color w:val="000000"/>
          <w:sz w:val="18"/>
          <w:szCs w:val="18"/>
        </w:rPr>
        <w:t>Sometimes, it will be a matter of striking similarity as between one act and another which bespeaks the underlying unity that makes evidence of the former admissible in proof of the latter. Sometimes, there will be something peculiar about the acts which makes evidence of one admissible in proof of the commission of the other. Sometimes, it will be the circumstances of the offending which makes evidence of one act admissible in proof of the other, and examples can be multiplied. In short, it is a question to be assessed in all the circumstances of the case, bearing in mind what has been said in previously decided cases as to what is sufficient in kindred circumstances.</w:t>
      </w:r>
    </w:p>
    <w:p w14:paraId="59D2705F" w14:textId="24646684" w:rsidR="00133DDB" w:rsidRDefault="00133DDB" w:rsidP="00133DDB">
      <w:pPr>
        <w:pStyle w:val="CCVNumberLevel1"/>
        <w:tabs>
          <w:tab w:val="clear" w:pos="1134"/>
        </w:tabs>
        <w:spacing w:before="60" w:after="0" w:line="240" w:lineRule="auto"/>
        <w:ind w:left="567" w:right="567" w:firstLine="0"/>
        <w:rPr>
          <w:rFonts w:cs="Arial"/>
          <w:sz w:val="20"/>
        </w:rPr>
      </w:pPr>
      <w:r>
        <w:rPr>
          <w:rFonts w:cs="Arial"/>
          <w:sz w:val="20"/>
        </w:rPr>
        <w:t xml:space="preserve">[60] Where a modus operandi used makes it likely that the same person is responsible for two or more particular offences, coincidence evidence may be used to establish the identity of the offender: </w:t>
      </w:r>
      <w:r w:rsidRPr="00133DDB">
        <w:rPr>
          <w:rFonts w:cs="Arial"/>
          <w:i/>
          <w:iCs/>
          <w:sz w:val="20"/>
        </w:rPr>
        <w:t>Pfennig v The Queen</w:t>
      </w:r>
      <w:r>
        <w:rPr>
          <w:rFonts w:cs="Arial"/>
          <w:sz w:val="20"/>
        </w:rPr>
        <w:t xml:space="preserve"> (1995) 182 CLR 461; [1995] HCA 7; </w:t>
      </w:r>
      <w:r w:rsidRPr="00133DDB">
        <w:rPr>
          <w:rFonts w:cs="Arial"/>
          <w:i/>
          <w:iCs/>
          <w:sz w:val="20"/>
        </w:rPr>
        <w:t>R v Dupas (No 2)</w:t>
      </w:r>
      <w:r>
        <w:rPr>
          <w:rFonts w:cs="Arial"/>
          <w:sz w:val="20"/>
        </w:rPr>
        <w:t xml:space="preserve"> (2005) 12 VR 601; [2005] VSCA 212. The evidence of connection between the modus operandi used on another occasion (or occasions) and the modus operandi of the charged offence must demonstrate more than the ‘stock in trade’ of that type of offending: </w:t>
      </w:r>
      <w:r w:rsidRPr="00133DDB">
        <w:rPr>
          <w:rFonts w:cs="Arial"/>
          <w:i/>
          <w:iCs/>
          <w:sz w:val="20"/>
        </w:rPr>
        <w:t>CW v The Queen</w:t>
      </w:r>
      <w:r>
        <w:rPr>
          <w:rFonts w:cs="Arial"/>
          <w:sz w:val="20"/>
        </w:rPr>
        <w:t xml:space="preserve"> [2010] VSCA 288, [24]. In such cases, the evidence can only be used if the jury is satisfied that both offences were committed </w:t>
      </w:r>
      <w:r w:rsidR="004C6D1B">
        <w:rPr>
          <w:rFonts w:cs="Arial"/>
          <w:sz w:val="20"/>
        </w:rPr>
        <w:t xml:space="preserve">by the same person and that the accused committed one of them: </w:t>
      </w:r>
      <w:r w:rsidR="004C6D1B" w:rsidRPr="00133DDB">
        <w:rPr>
          <w:rFonts w:cs="Arial"/>
          <w:i/>
          <w:iCs/>
          <w:sz w:val="20"/>
        </w:rPr>
        <w:t>Pfennig v The Queen</w:t>
      </w:r>
      <w:r w:rsidR="004C6D1B">
        <w:rPr>
          <w:rFonts w:cs="Arial"/>
          <w:sz w:val="20"/>
        </w:rPr>
        <w:t xml:space="preserve"> (1995) 182 CLR 461; [1995] HCA 7.</w:t>
      </w:r>
    </w:p>
    <w:p w14:paraId="5548816A" w14:textId="314A5FFD" w:rsidR="006D01D1" w:rsidRDefault="004C6D1B" w:rsidP="004C6D1B">
      <w:pPr>
        <w:spacing w:before="60"/>
        <w:jc w:val="both"/>
        <w:rPr>
          <w:rFonts w:ascii="Arial" w:hAnsi="Arial" w:cs="Arial"/>
          <w:color w:val="000000"/>
          <w:sz w:val="20"/>
          <w:szCs w:val="20"/>
        </w:rPr>
      </w:pPr>
      <w:r>
        <w:rPr>
          <w:rFonts w:ascii="Arial" w:hAnsi="Arial" w:cs="Arial"/>
          <w:color w:val="000000"/>
          <w:sz w:val="20"/>
          <w:szCs w:val="20"/>
        </w:rPr>
        <w:t>At [61]-[72] their Honours summarised the coincidence evidence that had been admitted against the applicant, leading their Honours to conclude at [73]-[74]:</w:t>
      </w:r>
    </w:p>
    <w:p w14:paraId="44F916A7" w14:textId="1ED7C99B" w:rsidR="004C6D1B" w:rsidRDefault="002D2AD1" w:rsidP="002D2AD1">
      <w:pPr>
        <w:pStyle w:val="ListParagraph"/>
        <w:numPr>
          <w:ilvl w:val="0"/>
          <w:numId w:val="137"/>
        </w:numPr>
        <w:ind w:left="357" w:hanging="357"/>
        <w:jc w:val="both"/>
        <w:rPr>
          <w:rFonts w:ascii="Arial" w:hAnsi="Arial" w:cs="Arial"/>
          <w:sz w:val="20"/>
        </w:rPr>
      </w:pPr>
      <w:r>
        <w:rPr>
          <w:rFonts w:ascii="Arial" w:hAnsi="Arial" w:cs="Arial"/>
          <w:sz w:val="20"/>
        </w:rPr>
        <w:t>T</w:t>
      </w:r>
      <w:r w:rsidR="004C6D1B">
        <w:rPr>
          <w:rFonts w:ascii="Arial" w:hAnsi="Arial" w:cs="Arial"/>
          <w:sz w:val="20"/>
        </w:rPr>
        <w:t xml:space="preserve">aken </w:t>
      </w:r>
      <w:r>
        <w:rPr>
          <w:rFonts w:ascii="Arial" w:hAnsi="Arial" w:cs="Arial"/>
          <w:sz w:val="20"/>
        </w:rPr>
        <w:t>as a while, the evidence of those events and circumstances tended to prove that the accused was involved in the offences charged. It had significant probative value. The judge was correct so to rule.</w:t>
      </w:r>
    </w:p>
    <w:p w14:paraId="49D61F17" w14:textId="7D49F25C" w:rsidR="002D2AD1" w:rsidRDefault="002D2AD1" w:rsidP="002D2AD1">
      <w:pPr>
        <w:pStyle w:val="ListParagraph"/>
        <w:numPr>
          <w:ilvl w:val="0"/>
          <w:numId w:val="137"/>
        </w:numPr>
        <w:ind w:left="357" w:hanging="357"/>
        <w:jc w:val="both"/>
        <w:rPr>
          <w:rFonts w:ascii="Arial" w:hAnsi="Arial" w:cs="Arial"/>
          <w:sz w:val="20"/>
        </w:rPr>
      </w:pPr>
      <w:r>
        <w:rPr>
          <w:rFonts w:ascii="Arial" w:hAnsi="Arial" w:cs="Arial"/>
          <w:sz w:val="20"/>
        </w:rPr>
        <w:t>Any prejudicial effect it carried was substantially outweighed by that significant probative value. The pathway of coincidence reasoning was logical and readily understood. It did not invite impermissible tendency reasoning. Defence counsel</w:t>
      </w:r>
      <w:r w:rsidR="00EC4653">
        <w:rPr>
          <w:rFonts w:ascii="Arial" w:hAnsi="Arial" w:cs="Arial"/>
          <w:sz w:val="20"/>
        </w:rPr>
        <w:t xml:space="preserve"> had argued</w:t>
      </w:r>
      <w:r>
        <w:rPr>
          <w:rFonts w:ascii="Arial" w:hAnsi="Arial" w:cs="Arial"/>
          <w:sz w:val="20"/>
        </w:rPr>
        <w:t xml:space="preserve"> that the coincidence that another or others was or were involved with co-accused Messenger – whom it was not disputed was involved in all six incidents the subject of the indictment </w:t>
      </w:r>
      <w:r w:rsidR="00E168EC">
        <w:rPr>
          <w:rFonts w:ascii="Arial" w:hAnsi="Arial" w:cs="Arial"/>
          <w:sz w:val="20"/>
        </w:rPr>
        <w:t>against the applicant –</w:t>
      </w:r>
      <w:r w:rsidR="00EC4653">
        <w:rPr>
          <w:rFonts w:ascii="Arial" w:hAnsi="Arial" w:cs="Arial"/>
          <w:sz w:val="20"/>
        </w:rPr>
        <w:t xml:space="preserve"> </w:t>
      </w:r>
      <w:r>
        <w:rPr>
          <w:rFonts w:ascii="Arial" w:hAnsi="Arial" w:cs="Arial"/>
          <w:sz w:val="20"/>
        </w:rPr>
        <w:t>was a reasonable possibility consistent with innocence</w:t>
      </w:r>
      <w:r w:rsidR="00EC4653" w:rsidRPr="00EC4653">
        <w:rPr>
          <w:rFonts w:ascii="Arial" w:hAnsi="Arial" w:cs="Arial"/>
          <w:sz w:val="20"/>
        </w:rPr>
        <w:t xml:space="preserve"> </w:t>
      </w:r>
      <w:r w:rsidR="00EC4653">
        <w:rPr>
          <w:rFonts w:ascii="Arial" w:hAnsi="Arial" w:cs="Arial"/>
          <w:sz w:val="20"/>
        </w:rPr>
        <w:t>notwithstanding the circumstances of the applicant’s arrest as detailed at [39]-[42].</w:t>
      </w:r>
      <w:r>
        <w:rPr>
          <w:rFonts w:ascii="Arial" w:hAnsi="Arial" w:cs="Arial"/>
          <w:sz w:val="20"/>
        </w:rPr>
        <w:t xml:space="preserve"> </w:t>
      </w:r>
      <w:r w:rsidR="00EC4653">
        <w:rPr>
          <w:rFonts w:ascii="Arial" w:hAnsi="Arial" w:cs="Arial"/>
          <w:sz w:val="20"/>
        </w:rPr>
        <w:lastRenderedPageBreak/>
        <w:t xml:space="preserve">His argument </w:t>
      </w:r>
      <w:r>
        <w:rPr>
          <w:rFonts w:ascii="Arial" w:hAnsi="Arial" w:cs="Arial"/>
          <w:sz w:val="20"/>
        </w:rPr>
        <w:t>was accurately summarised by the judge. It was open to the jury to reject that argument.</w:t>
      </w:r>
    </w:p>
    <w:p w14:paraId="7C081A61" w14:textId="77777777" w:rsidR="004C6D1B" w:rsidRDefault="004C6D1B" w:rsidP="00E168EC">
      <w:pPr>
        <w:jc w:val="both"/>
        <w:rPr>
          <w:rFonts w:ascii="Arial" w:hAnsi="Arial" w:cs="Arial"/>
          <w:color w:val="000000"/>
          <w:sz w:val="20"/>
          <w:szCs w:val="20"/>
        </w:rPr>
      </w:pPr>
    </w:p>
    <w:bookmarkEnd w:id="609"/>
    <w:p w14:paraId="2C0DD645" w14:textId="5ABABCC7" w:rsidR="00C94F3C" w:rsidRDefault="00117D3F" w:rsidP="005D4DC5">
      <w:pPr>
        <w:jc w:val="both"/>
        <w:rPr>
          <w:rFonts w:ascii="Arial" w:hAnsi="Arial" w:cs="Arial"/>
          <w:sz w:val="20"/>
        </w:rPr>
      </w:pPr>
      <w:r>
        <w:rPr>
          <w:rFonts w:ascii="Arial" w:hAnsi="Arial" w:cs="Arial"/>
          <w:sz w:val="20"/>
        </w:rPr>
        <w:t xml:space="preserve">In the interlocutory appeal of </w:t>
      </w:r>
      <w:r w:rsidRPr="00117D3F">
        <w:rPr>
          <w:rFonts w:ascii="Arial" w:hAnsi="Arial" w:cs="Arial"/>
          <w:i/>
          <w:iCs/>
          <w:sz w:val="20"/>
        </w:rPr>
        <w:t>Matthews (a pseudonym) v The King</w:t>
      </w:r>
      <w:r>
        <w:rPr>
          <w:rFonts w:ascii="Arial" w:hAnsi="Arial" w:cs="Arial"/>
          <w:sz w:val="20"/>
        </w:rPr>
        <w:t xml:space="preserve"> [2023] VSCA 229 the applicant </w:t>
      </w:r>
      <w:r w:rsidR="006D01D1">
        <w:rPr>
          <w:rFonts w:ascii="Arial" w:hAnsi="Arial" w:cs="Arial"/>
          <w:sz w:val="20"/>
        </w:rPr>
        <w:t>wa</w:t>
      </w:r>
      <w:r>
        <w:rPr>
          <w:rFonts w:ascii="Arial" w:hAnsi="Arial" w:cs="Arial"/>
          <w:sz w:val="20"/>
        </w:rPr>
        <w:t xml:space="preserve">s currently facing trial charged with the sexual assault of 3 women and rape of one of the women.  The prosecution gave notice under s.97(1)(a) of the </w:t>
      </w:r>
      <w:r w:rsidRPr="00A51A86">
        <w:rPr>
          <w:rFonts w:ascii="Arial" w:hAnsi="Arial" w:cs="Arial"/>
          <w:i/>
          <w:iCs/>
          <w:sz w:val="20"/>
        </w:rPr>
        <w:t>Evidence Act 2008</w:t>
      </w:r>
      <w:r w:rsidRPr="00117D3F">
        <w:rPr>
          <w:rFonts w:ascii="Arial" w:hAnsi="Arial" w:cs="Arial"/>
          <w:sz w:val="20"/>
        </w:rPr>
        <w:t xml:space="preserve"> that it intended to </w:t>
      </w:r>
      <w:r>
        <w:rPr>
          <w:rFonts w:ascii="Arial" w:hAnsi="Arial" w:cs="Arial"/>
          <w:sz w:val="20"/>
        </w:rPr>
        <w:t>use the evidence of each of the women to prove the tendency of the applicant to have both a particular state of mind (namely a sexual interest in his female clients) and to sexually assault females who were attending him in his capacity as a masseur.</w:t>
      </w:r>
      <w:r w:rsidR="00C94F3C">
        <w:rPr>
          <w:rFonts w:ascii="Arial" w:hAnsi="Arial" w:cs="Arial"/>
          <w:sz w:val="20"/>
        </w:rPr>
        <w:t xml:space="preserve">  For the 7 reasons set out at [5] in the judgment the trial judge held that the evidence as set out in the notice could be led.  The Court of Appeal was satisfied that it was in the interests of justice to grant leave to appeal the interlocutory decision but affirmed the trial judge’s reasoning and decision with which they </w:t>
      </w:r>
      <w:r w:rsidR="002F1043">
        <w:rPr>
          <w:rFonts w:ascii="Arial" w:hAnsi="Arial" w:cs="Arial"/>
          <w:sz w:val="20"/>
        </w:rPr>
        <w:t xml:space="preserve">expressly </w:t>
      </w:r>
      <w:r w:rsidR="00C94F3C">
        <w:rPr>
          <w:rFonts w:ascii="Arial" w:hAnsi="Arial" w:cs="Arial"/>
          <w:sz w:val="20"/>
        </w:rPr>
        <w:t>agreed</w:t>
      </w:r>
      <w:r w:rsidR="002F1043">
        <w:rPr>
          <w:rFonts w:ascii="Arial" w:hAnsi="Arial" w:cs="Arial"/>
          <w:sz w:val="20"/>
        </w:rPr>
        <w:t>: see [9]</w:t>
      </w:r>
      <w:r w:rsidR="00C94F3C">
        <w:rPr>
          <w:rFonts w:ascii="Arial" w:hAnsi="Arial" w:cs="Arial"/>
          <w:sz w:val="20"/>
        </w:rPr>
        <w:t>.</w:t>
      </w:r>
    </w:p>
    <w:p w14:paraId="1A56D30B" w14:textId="51C63679" w:rsidR="00117D3F" w:rsidRDefault="00C94F3C" w:rsidP="00A32FE1">
      <w:pPr>
        <w:spacing w:before="120"/>
        <w:jc w:val="both"/>
        <w:rPr>
          <w:rFonts w:ascii="Arial" w:hAnsi="Arial" w:cs="Arial"/>
          <w:sz w:val="20"/>
        </w:rPr>
      </w:pPr>
      <w:r>
        <w:rPr>
          <w:rFonts w:ascii="Arial" w:hAnsi="Arial" w:cs="Arial"/>
          <w:sz w:val="20"/>
        </w:rPr>
        <w:t xml:space="preserve">At [33]-[36] the Court of Appeal (Kennedy &amp; Macaulay JJA, J Forrest AJA) discussed ss.97 &amp; 101 </w:t>
      </w:r>
      <w:r w:rsidR="001478D7">
        <w:rPr>
          <w:rFonts w:ascii="Arial" w:hAnsi="Arial" w:cs="Arial"/>
          <w:sz w:val="20"/>
        </w:rPr>
        <w:t>in the context of</w:t>
      </w:r>
      <w:r>
        <w:rPr>
          <w:rFonts w:ascii="Arial" w:hAnsi="Arial" w:cs="Arial"/>
          <w:sz w:val="20"/>
        </w:rPr>
        <w:t xml:space="preserve"> the recent case law</w:t>
      </w:r>
      <w:r w:rsidR="00CF211F">
        <w:rPr>
          <w:rFonts w:ascii="Arial" w:hAnsi="Arial" w:cs="Arial"/>
          <w:sz w:val="20"/>
        </w:rPr>
        <w:t xml:space="preserve"> relating to admissibility of tendency evidence</w:t>
      </w:r>
      <w:r>
        <w:rPr>
          <w:rFonts w:ascii="Arial" w:hAnsi="Arial" w:cs="Arial"/>
          <w:sz w:val="20"/>
        </w:rPr>
        <w:t>:</w:t>
      </w:r>
    </w:p>
    <w:p w14:paraId="2ADFD41D" w14:textId="637274D4" w:rsidR="00C94F3C" w:rsidRDefault="00C94F3C" w:rsidP="00C94F3C">
      <w:pPr>
        <w:pStyle w:val="CCVNumberLevel1"/>
        <w:tabs>
          <w:tab w:val="clear" w:pos="1134"/>
        </w:tabs>
        <w:spacing w:before="60" w:after="0" w:line="240" w:lineRule="auto"/>
        <w:ind w:left="567" w:right="567" w:firstLine="0"/>
        <w:rPr>
          <w:rFonts w:cs="Arial"/>
          <w:sz w:val="20"/>
        </w:rPr>
      </w:pPr>
      <w:r>
        <w:rPr>
          <w:rFonts w:cs="Arial"/>
          <w:sz w:val="20"/>
        </w:rPr>
        <w:t>[33] “</w:t>
      </w:r>
      <w:r w:rsidR="00643C18" w:rsidRPr="00F85775">
        <w:rPr>
          <w:rFonts w:cs="Arial"/>
          <w:sz w:val="20"/>
        </w:rPr>
        <w:t>In a criminal proceeding, it is not sufficient that the tendency evidence is of significant probative value. Pursuant to s 101 of the Act, the probative value of the evidence must also substantially outweigh any prejudicial effect that it may have on the accused:</w:t>
      </w:r>
    </w:p>
    <w:p w14:paraId="43BDC6CD" w14:textId="25AD611B" w:rsidR="00C94F3C" w:rsidRPr="00643C18" w:rsidRDefault="00643C18" w:rsidP="00643C18">
      <w:pPr>
        <w:spacing w:before="60"/>
        <w:ind w:left="1021" w:right="1021"/>
        <w:jc w:val="both"/>
        <w:rPr>
          <w:rFonts w:ascii="Arial" w:hAnsi="Arial" w:cs="Arial"/>
          <w:b/>
          <w:bCs/>
          <w:sz w:val="20"/>
        </w:rPr>
      </w:pPr>
      <w:r w:rsidRPr="00643C18">
        <w:rPr>
          <w:rFonts w:ascii="Arial" w:hAnsi="Arial" w:cs="Arial"/>
          <w:b/>
          <w:bCs/>
          <w:sz w:val="20"/>
          <w:szCs w:val="20"/>
        </w:rPr>
        <w:t>101 Further restrictions on tendency evidence and coincidence evidence adduced by prosecution</w:t>
      </w:r>
    </w:p>
    <w:p w14:paraId="4158F505" w14:textId="77777777" w:rsidR="00643C18" w:rsidRPr="00643C18" w:rsidRDefault="00F85775">
      <w:pPr>
        <w:pStyle w:val="ListParagraph"/>
        <w:numPr>
          <w:ilvl w:val="0"/>
          <w:numId w:val="104"/>
        </w:numPr>
        <w:spacing w:before="60"/>
        <w:ind w:left="1378" w:right="1021" w:hanging="357"/>
        <w:jc w:val="both"/>
        <w:rPr>
          <w:rFonts w:ascii="Arial" w:hAnsi="Arial" w:cs="Arial"/>
          <w:sz w:val="16"/>
        </w:rPr>
      </w:pPr>
      <w:r w:rsidRPr="00643C18">
        <w:rPr>
          <w:rFonts w:ascii="Arial" w:hAnsi="Arial" w:cs="Arial"/>
          <w:sz w:val="20"/>
        </w:rPr>
        <w:t>This section only applies in a criminal proceeding and so applies in addition to sections 97 and 98.</w:t>
      </w:r>
    </w:p>
    <w:p w14:paraId="6EC9EF9F" w14:textId="7E9BAB3A" w:rsidR="00106472" w:rsidRPr="00643C18" w:rsidRDefault="00F85775">
      <w:pPr>
        <w:pStyle w:val="ListParagraph"/>
        <w:numPr>
          <w:ilvl w:val="0"/>
          <w:numId w:val="104"/>
        </w:numPr>
        <w:spacing w:before="60"/>
        <w:ind w:left="1378" w:right="1021" w:hanging="357"/>
        <w:jc w:val="both"/>
        <w:rPr>
          <w:rFonts w:ascii="Arial" w:hAnsi="Arial" w:cs="Arial"/>
          <w:sz w:val="16"/>
        </w:rPr>
      </w:pPr>
      <w:r w:rsidRPr="00643C18">
        <w:rPr>
          <w:rFonts w:ascii="Arial" w:hAnsi="Arial" w:cs="Arial"/>
          <w:sz w:val="20"/>
        </w:rPr>
        <w:t>Tendency evidence about an accused, or coincidence evidence about an accused, that is adduced by the prosecution cannot be used against the accused unless the probative value of the evidence substantially outweighs any prejudicial effect it may have on the accused.</w:t>
      </w:r>
    </w:p>
    <w:p w14:paraId="0A889F0C" w14:textId="55F9EB20" w:rsidR="00643C18" w:rsidRDefault="00643C18" w:rsidP="00D30F0A">
      <w:pPr>
        <w:pStyle w:val="CCVNumberLevel1"/>
        <w:tabs>
          <w:tab w:val="clear" w:pos="1134"/>
        </w:tabs>
        <w:spacing w:before="60" w:after="0" w:line="240" w:lineRule="auto"/>
        <w:ind w:left="567" w:right="567" w:firstLine="0"/>
        <w:rPr>
          <w:sz w:val="20"/>
          <w:szCs w:val="16"/>
        </w:rPr>
      </w:pPr>
      <w:r>
        <w:rPr>
          <w:rFonts w:cs="Arial"/>
          <w:sz w:val="20"/>
        </w:rPr>
        <w:t xml:space="preserve">[34] </w:t>
      </w:r>
      <w:r w:rsidRPr="00643C18">
        <w:rPr>
          <w:sz w:val="20"/>
          <w:szCs w:val="16"/>
        </w:rPr>
        <w:t xml:space="preserve">In </w:t>
      </w:r>
      <w:r w:rsidRPr="00643C18">
        <w:rPr>
          <w:i/>
          <w:iCs/>
          <w:sz w:val="20"/>
          <w:szCs w:val="16"/>
        </w:rPr>
        <w:t>Hughes v The Queen</w:t>
      </w:r>
      <w:r>
        <w:rPr>
          <w:sz w:val="20"/>
          <w:szCs w:val="16"/>
        </w:rPr>
        <w:t xml:space="preserve"> (2017) 263 CLR 3</w:t>
      </w:r>
      <w:r w:rsidR="00E86F6C">
        <w:rPr>
          <w:sz w:val="20"/>
          <w:szCs w:val="16"/>
        </w:rPr>
        <w:t>3</w:t>
      </w:r>
      <w:r>
        <w:rPr>
          <w:sz w:val="20"/>
          <w:szCs w:val="16"/>
        </w:rPr>
        <w:t>8, 35</w:t>
      </w:r>
      <w:r w:rsidR="00E86F6C">
        <w:rPr>
          <w:sz w:val="20"/>
          <w:szCs w:val="16"/>
        </w:rPr>
        <w:t>6-7</w:t>
      </w:r>
      <w:r>
        <w:rPr>
          <w:sz w:val="20"/>
          <w:szCs w:val="16"/>
        </w:rPr>
        <w:t xml:space="preserve"> [</w:t>
      </w:r>
      <w:r w:rsidR="00E86F6C">
        <w:rPr>
          <w:sz w:val="20"/>
          <w:szCs w:val="16"/>
        </w:rPr>
        <w:t>41</w:t>
      </w:r>
      <w:r>
        <w:rPr>
          <w:sz w:val="20"/>
          <w:szCs w:val="16"/>
        </w:rPr>
        <w:t>]</w:t>
      </w:r>
      <w:r w:rsidR="00E86F6C">
        <w:rPr>
          <w:sz w:val="20"/>
          <w:szCs w:val="16"/>
        </w:rPr>
        <w:t>; [2017] HCA 20 –</w:t>
      </w:r>
      <w:r>
        <w:rPr>
          <w:sz w:val="20"/>
          <w:szCs w:val="16"/>
        </w:rPr>
        <w:t xml:space="preserve"> </w:t>
      </w:r>
      <w:r w:rsidR="00E86F6C">
        <w:rPr>
          <w:sz w:val="20"/>
          <w:szCs w:val="16"/>
        </w:rPr>
        <w:t xml:space="preserve">cited in </w:t>
      </w:r>
      <w:r w:rsidR="00E86F6C" w:rsidRPr="00E86F6C">
        <w:rPr>
          <w:i/>
          <w:iCs/>
          <w:sz w:val="20"/>
          <w:szCs w:val="16"/>
        </w:rPr>
        <w:t>Klein (a pseudonym) v The King</w:t>
      </w:r>
      <w:r w:rsidR="00E86F6C">
        <w:rPr>
          <w:sz w:val="20"/>
          <w:szCs w:val="16"/>
        </w:rPr>
        <w:t xml:space="preserve"> [2022] VSCA 249, [85] – Ki</w:t>
      </w:r>
      <w:r w:rsidRPr="00643C18">
        <w:rPr>
          <w:sz w:val="20"/>
          <w:szCs w:val="16"/>
        </w:rPr>
        <w:t>efel CJ, Bell, Keane and Edelman JJ enunciated the two-step test applied by the judge in determining whether evidence is of ‘significant probative value’:</w:t>
      </w:r>
    </w:p>
    <w:p w14:paraId="5A55BF92" w14:textId="799DCC7F" w:rsidR="00643C18" w:rsidRPr="00643C18" w:rsidRDefault="00643C18" w:rsidP="00643C18">
      <w:pPr>
        <w:pStyle w:val="CCVNumberLevel1"/>
        <w:tabs>
          <w:tab w:val="clear" w:pos="1134"/>
        </w:tabs>
        <w:spacing w:before="60" w:after="0" w:line="240" w:lineRule="auto"/>
        <w:ind w:left="1021" w:right="1021" w:firstLine="0"/>
        <w:rPr>
          <w:rFonts w:cs="Arial"/>
          <w:sz w:val="18"/>
          <w:szCs w:val="18"/>
        </w:rPr>
      </w:pPr>
      <w:r w:rsidRPr="00643C18">
        <w:rPr>
          <w:sz w:val="18"/>
          <w:szCs w:val="14"/>
        </w:rPr>
        <w:t>The assessment of whether evidence has significant probative value in relation to each count involves consideration of two interrelated but separate matters. The first matter is the extent to which the evidence supports the tendency. The second matter is the extent to which the tendency makes more likely the facts making up the charged offence … In summary, there is likely to be a high degree of probative value where (i) the evidence, by itself or together with other evidence, strongly supports proof of a tendency, and (ii) the tendency strongly supports the proof of a fact that makes up the offence charged.</w:t>
      </w:r>
    </w:p>
    <w:p w14:paraId="578FB868" w14:textId="2C2A7B0F" w:rsidR="00E86F6C" w:rsidRDefault="00E86F6C" w:rsidP="00E86F6C">
      <w:pPr>
        <w:pStyle w:val="CCVNumberLevel1"/>
        <w:tabs>
          <w:tab w:val="clear" w:pos="1134"/>
        </w:tabs>
        <w:spacing w:before="60" w:after="0" w:line="240" w:lineRule="auto"/>
        <w:ind w:left="567" w:right="567" w:firstLine="0"/>
        <w:rPr>
          <w:sz w:val="20"/>
          <w:szCs w:val="16"/>
        </w:rPr>
      </w:pPr>
      <w:r>
        <w:rPr>
          <w:sz w:val="20"/>
          <w:szCs w:val="16"/>
        </w:rPr>
        <w:t xml:space="preserve">See also </w:t>
      </w:r>
      <w:r w:rsidRPr="00643C18">
        <w:rPr>
          <w:sz w:val="20"/>
          <w:szCs w:val="16"/>
        </w:rPr>
        <w:t xml:space="preserve">See also </w:t>
      </w:r>
      <w:r w:rsidRPr="00E86F6C">
        <w:rPr>
          <w:i/>
          <w:iCs/>
          <w:sz w:val="20"/>
          <w:szCs w:val="16"/>
        </w:rPr>
        <w:t>McPhillamy v The Queen</w:t>
      </w:r>
      <w:r w:rsidRPr="00643C18">
        <w:rPr>
          <w:sz w:val="20"/>
          <w:szCs w:val="16"/>
        </w:rPr>
        <w:t xml:space="preserve"> (2018) 361 ALR 13, 19 [26], 20–1 [33]</w:t>
      </w:r>
      <w:r>
        <w:rPr>
          <w:sz w:val="20"/>
          <w:szCs w:val="16"/>
        </w:rPr>
        <w:t>;</w:t>
      </w:r>
      <w:r w:rsidRPr="00643C18">
        <w:rPr>
          <w:sz w:val="20"/>
          <w:szCs w:val="16"/>
        </w:rPr>
        <w:t xml:space="preserve"> [2018] HCA 52; </w:t>
      </w:r>
      <w:r w:rsidRPr="00E86F6C">
        <w:rPr>
          <w:i/>
          <w:iCs/>
          <w:sz w:val="20"/>
          <w:szCs w:val="16"/>
        </w:rPr>
        <w:t>TL v The King</w:t>
      </w:r>
      <w:r w:rsidRPr="00643C18">
        <w:rPr>
          <w:sz w:val="20"/>
          <w:szCs w:val="16"/>
        </w:rPr>
        <w:t xml:space="preserve"> (2022) 405 ALR 578, 585–6 [28]</w:t>
      </w:r>
      <w:proofErr w:type="gramStart"/>
      <w:r w:rsidRPr="00643C18">
        <w:rPr>
          <w:sz w:val="20"/>
          <w:szCs w:val="16"/>
        </w:rPr>
        <w:t>–[</w:t>
      </w:r>
      <w:proofErr w:type="gramEnd"/>
      <w:r w:rsidRPr="00643C18">
        <w:rPr>
          <w:sz w:val="20"/>
          <w:szCs w:val="16"/>
        </w:rPr>
        <w:t>29]; [2022] HCA 35.</w:t>
      </w:r>
    </w:p>
    <w:p w14:paraId="3D6C69BB" w14:textId="62AADD43" w:rsidR="00E86F6C" w:rsidRDefault="00E86F6C" w:rsidP="00E86F6C">
      <w:pPr>
        <w:pStyle w:val="CCVNumberLevel1"/>
        <w:tabs>
          <w:tab w:val="clear" w:pos="1134"/>
        </w:tabs>
        <w:spacing w:before="60" w:after="0" w:line="240" w:lineRule="auto"/>
        <w:ind w:left="567" w:right="567" w:firstLine="0"/>
        <w:rPr>
          <w:sz w:val="20"/>
          <w:szCs w:val="16"/>
        </w:rPr>
      </w:pPr>
      <w:r>
        <w:rPr>
          <w:sz w:val="20"/>
          <w:szCs w:val="16"/>
        </w:rPr>
        <w:t xml:space="preserve">[35] </w:t>
      </w:r>
      <w:r w:rsidRPr="00643C18">
        <w:rPr>
          <w:sz w:val="20"/>
          <w:szCs w:val="16"/>
        </w:rPr>
        <w:t xml:space="preserve">Recently, in </w:t>
      </w:r>
      <w:r w:rsidRPr="00E86F6C">
        <w:rPr>
          <w:i/>
          <w:iCs/>
          <w:sz w:val="20"/>
          <w:szCs w:val="16"/>
        </w:rPr>
        <w:t>Townsend (a pseudonym) v The King</w:t>
      </w:r>
      <w:r>
        <w:rPr>
          <w:sz w:val="20"/>
          <w:szCs w:val="16"/>
        </w:rPr>
        <w:t xml:space="preserve"> </w:t>
      </w:r>
      <w:r w:rsidRPr="00643C18">
        <w:rPr>
          <w:sz w:val="20"/>
          <w:szCs w:val="16"/>
        </w:rPr>
        <w:t>[2022] VSCA 201</w:t>
      </w:r>
      <w:r w:rsidR="001478D7">
        <w:rPr>
          <w:sz w:val="20"/>
          <w:szCs w:val="16"/>
        </w:rPr>
        <w:t xml:space="preserve"> at [21]</w:t>
      </w:r>
      <w:r w:rsidRPr="00643C18">
        <w:rPr>
          <w:sz w:val="20"/>
          <w:szCs w:val="16"/>
        </w:rPr>
        <w:t>, this Court (Kyrou, Kennedy and Kaye JJA) said of the admissibility of tendency evidence:</w:t>
      </w:r>
    </w:p>
    <w:p w14:paraId="0E2C8255" w14:textId="1A5A2529" w:rsidR="00E86F6C" w:rsidRPr="00643C18" w:rsidRDefault="00E86F6C" w:rsidP="00E86F6C">
      <w:pPr>
        <w:pStyle w:val="CCVNumberLevel1"/>
        <w:tabs>
          <w:tab w:val="clear" w:pos="1134"/>
        </w:tabs>
        <w:spacing w:before="60" w:after="0" w:line="240" w:lineRule="auto"/>
        <w:ind w:left="1021" w:right="1021" w:firstLine="0"/>
        <w:rPr>
          <w:rFonts w:cs="Arial"/>
          <w:sz w:val="18"/>
          <w:szCs w:val="18"/>
        </w:rPr>
      </w:pPr>
      <w:r w:rsidRPr="00E86F6C">
        <w:rPr>
          <w:sz w:val="18"/>
          <w:szCs w:val="14"/>
        </w:rPr>
        <w:t>In order to determine whether the evidence, on each of the charges in this case, is admissible as tendency evidence in respect of the other charges, it is necessary to address four fundamental questions, namely:</w:t>
      </w:r>
    </w:p>
    <w:p w14:paraId="59BD3ACA" w14:textId="14D50D37" w:rsidR="00E86F6C" w:rsidRDefault="00643C18">
      <w:pPr>
        <w:pStyle w:val="CCVNumberLevel1"/>
        <w:numPr>
          <w:ilvl w:val="0"/>
          <w:numId w:val="105"/>
        </w:numPr>
        <w:spacing w:before="60" w:after="0" w:line="240" w:lineRule="auto"/>
        <w:ind w:right="1021"/>
        <w:rPr>
          <w:sz w:val="18"/>
          <w:szCs w:val="14"/>
        </w:rPr>
      </w:pPr>
      <w:r w:rsidRPr="00E86F6C">
        <w:rPr>
          <w:sz w:val="18"/>
          <w:szCs w:val="14"/>
        </w:rPr>
        <w:t>Whether the evidence, in respect of a particular charge, supports the particular tendency that is sought to be relied on;</w:t>
      </w:r>
    </w:p>
    <w:p w14:paraId="36848452" w14:textId="53E4093A" w:rsidR="00E86F6C" w:rsidRPr="00E86F6C" w:rsidRDefault="00E86F6C">
      <w:pPr>
        <w:pStyle w:val="CCVNumberLevel1"/>
        <w:numPr>
          <w:ilvl w:val="0"/>
          <w:numId w:val="105"/>
        </w:numPr>
        <w:spacing w:before="60" w:after="0" w:line="240" w:lineRule="auto"/>
        <w:ind w:right="1021"/>
        <w:rPr>
          <w:rFonts w:cs="Arial"/>
          <w:sz w:val="18"/>
          <w:szCs w:val="18"/>
        </w:rPr>
      </w:pPr>
      <w:r w:rsidRPr="00E86F6C">
        <w:rPr>
          <w:sz w:val="18"/>
          <w:szCs w:val="14"/>
        </w:rPr>
        <w:t>Whether that tendency has a probative value in respect of the offence that is the subject of one of the other charges; that is, whether the proposed tendency evidence is capable of rationally affecting the assessment, by the jury, of the probability of a particular fact in issue on one or more of the other charges;</w:t>
      </w:r>
    </w:p>
    <w:p w14:paraId="6E42D095" w14:textId="3925E682" w:rsidR="00E86F6C" w:rsidRPr="001478D7" w:rsidRDefault="001478D7">
      <w:pPr>
        <w:pStyle w:val="CCVNumberLevel1"/>
        <w:numPr>
          <w:ilvl w:val="0"/>
          <w:numId w:val="105"/>
        </w:numPr>
        <w:spacing w:before="60" w:after="0" w:line="240" w:lineRule="auto"/>
        <w:ind w:right="1021"/>
        <w:rPr>
          <w:rFonts w:cs="Arial"/>
          <w:sz w:val="18"/>
          <w:szCs w:val="18"/>
        </w:rPr>
      </w:pPr>
      <w:r w:rsidRPr="00E86F6C">
        <w:rPr>
          <w:sz w:val="18"/>
          <w:szCs w:val="14"/>
        </w:rPr>
        <w:t>Whether, as such, the tendency evidence sought to be relied on has significant probative value in respect of that fact in issue;</w:t>
      </w:r>
    </w:p>
    <w:p w14:paraId="7E08EA41" w14:textId="4A67091A" w:rsidR="001478D7" w:rsidRPr="00643C18" w:rsidRDefault="001478D7">
      <w:pPr>
        <w:pStyle w:val="CCVNumberLevel1"/>
        <w:numPr>
          <w:ilvl w:val="0"/>
          <w:numId w:val="105"/>
        </w:numPr>
        <w:spacing w:before="60" w:after="0" w:line="240" w:lineRule="auto"/>
        <w:ind w:right="1021"/>
        <w:rPr>
          <w:rFonts w:cs="Arial"/>
          <w:sz w:val="18"/>
          <w:szCs w:val="18"/>
        </w:rPr>
      </w:pPr>
      <w:r w:rsidRPr="00E86F6C">
        <w:rPr>
          <w:sz w:val="18"/>
          <w:szCs w:val="14"/>
        </w:rPr>
        <w:t>Whether the probative value of that tendency evidence would substantially outweigh any prejudicial effect it may have on the accused person.</w:t>
      </w:r>
    </w:p>
    <w:p w14:paraId="64C5F5D1" w14:textId="2197312B" w:rsidR="001478D7" w:rsidRDefault="001478D7" w:rsidP="00E86F6C">
      <w:pPr>
        <w:pStyle w:val="CCVNumberLevel1"/>
        <w:tabs>
          <w:tab w:val="clear" w:pos="1134"/>
        </w:tabs>
        <w:spacing w:before="60" w:after="0" w:line="240" w:lineRule="auto"/>
        <w:ind w:left="567" w:right="567" w:firstLine="0"/>
        <w:rPr>
          <w:sz w:val="20"/>
          <w:szCs w:val="16"/>
        </w:rPr>
      </w:pPr>
      <w:r>
        <w:rPr>
          <w:sz w:val="18"/>
          <w:szCs w:val="14"/>
        </w:rPr>
        <w:t>[</w:t>
      </w:r>
      <w:r w:rsidR="00643C18" w:rsidRPr="00643C18">
        <w:rPr>
          <w:sz w:val="20"/>
          <w:szCs w:val="16"/>
        </w:rPr>
        <w:t>36</w:t>
      </w:r>
      <w:r>
        <w:rPr>
          <w:sz w:val="20"/>
          <w:szCs w:val="16"/>
        </w:rPr>
        <w:t>]</w:t>
      </w:r>
      <w:r w:rsidR="00643C18" w:rsidRPr="00643C18">
        <w:rPr>
          <w:sz w:val="20"/>
          <w:szCs w:val="16"/>
        </w:rPr>
        <w:t xml:space="preserve"> We should also refer to another recent decision of this Court in </w:t>
      </w:r>
      <w:r w:rsidR="00643C18" w:rsidRPr="001478D7">
        <w:rPr>
          <w:i/>
          <w:iCs/>
          <w:sz w:val="20"/>
          <w:szCs w:val="16"/>
        </w:rPr>
        <w:t>Gustav (a</w:t>
      </w:r>
      <w:r>
        <w:rPr>
          <w:i/>
          <w:iCs/>
          <w:sz w:val="20"/>
          <w:szCs w:val="16"/>
        </w:rPr>
        <w:t> </w:t>
      </w:r>
      <w:r w:rsidR="00643C18" w:rsidRPr="001478D7">
        <w:rPr>
          <w:i/>
          <w:iCs/>
          <w:sz w:val="20"/>
          <w:szCs w:val="16"/>
        </w:rPr>
        <w:t>pseudonym) v The King</w:t>
      </w:r>
      <w:r w:rsidR="00643C18" w:rsidRPr="00643C18">
        <w:rPr>
          <w:sz w:val="20"/>
          <w:szCs w:val="16"/>
        </w:rPr>
        <w:t xml:space="preserve"> </w:t>
      </w:r>
      <w:r>
        <w:rPr>
          <w:sz w:val="20"/>
          <w:szCs w:val="16"/>
        </w:rPr>
        <w:t>[2023] VSCA 141</w:t>
      </w:r>
      <w:r w:rsidR="00643C18" w:rsidRPr="00643C18">
        <w:rPr>
          <w:sz w:val="20"/>
          <w:szCs w:val="16"/>
        </w:rPr>
        <w:t xml:space="preserve"> in which Priest, Niall and Taylor JJA set out </w:t>
      </w:r>
      <w:r w:rsidR="00A32FE1">
        <w:rPr>
          <w:sz w:val="20"/>
          <w:szCs w:val="16"/>
        </w:rPr>
        <w:t xml:space="preserve">at [23]-[24] </w:t>
      </w:r>
      <w:r w:rsidR="00643C18" w:rsidRPr="00643C18">
        <w:rPr>
          <w:sz w:val="20"/>
          <w:szCs w:val="16"/>
        </w:rPr>
        <w:t xml:space="preserve">the critical parts and effect of the decisions of </w:t>
      </w:r>
      <w:r w:rsidR="00643C18" w:rsidRPr="001478D7">
        <w:rPr>
          <w:i/>
          <w:iCs/>
          <w:sz w:val="20"/>
          <w:szCs w:val="16"/>
        </w:rPr>
        <w:t>Hughes</w:t>
      </w:r>
      <w:r w:rsidR="00643C18" w:rsidRPr="00643C18">
        <w:rPr>
          <w:sz w:val="20"/>
          <w:szCs w:val="16"/>
        </w:rPr>
        <w:t xml:space="preserve"> and </w:t>
      </w:r>
      <w:r w:rsidR="00643C18" w:rsidRPr="001478D7">
        <w:rPr>
          <w:i/>
          <w:iCs/>
          <w:sz w:val="20"/>
          <w:szCs w:val="16"/>
        </w:rPr>
        <w:t>Bauer</w:t>
      </w:r>
      <w:r w:rsidR="00643C18" w:rsidRPr="00643C18">
        <w:rPr>
          <w:sz w:val="20"/>
          <w:szCs w:val="16"/>
        </w:rPr>
        <w:t>:</w:t>
      </w:r>
    </w:p>
    <w:p w14:paraId="223CC260" w14:textId="14D5901F" w:rsidR="001478D7" w:rsidRPr="00643C18" w:rsidRDefault="00643C18" w:rsidP="001478D7">
      <w:pPr>
        <w:pStyle w:val="CCVNumberLevel1"/>
        <w:tabs>
          <w:tab w:val="clear" w:pos="1134"/>
        </w:tabs>
        <w:spacing w:before="60" w:after="0" w:line="240" w:lineRule="auto"/>
        <w:ind w:left="1021" w:right="1021" w:firstLine="0"/>
        <w:rPr>
          <w:rFonts w:cs="Arial"/>
          <w:sz w:val="18"/>
          <w:szCs w:val="18"/>
        </w:rPr>
      </w:pPr>
      <w:r w:rsidRPr="001478D7">
        <w:rPr>
          <w:sz w:val="18"/>
          <w:szCs w:val="14"/>
        </w:rPr>
        <w:t xml:space="preserve">The High Court has held that, in a case for sexual offences involving a single complainant, proof of the accused’s commission of a sexual offence against the complainant on one occasion makes it more likely that the accused may have committed another, generally similar sexual offence against the complainant on another occasion, so long as they are </w:t>
      </w:r>
      <w:r w:rsidRPr="001478D7">
        <w:rPr>
          <w:sz w:val="18"/>
          <w:szCs w:val="14"/>
        </w:rPr>
        <w:lastRenderedPageBreak/>
        <w:t xml:space="preserve">not too far separated in time. Hence, in </w:t>
      </w:r>
      <w:r w:rsidR="001478D7">
        <w:rPr>
          <w:i/>
          <w:iCs/>
          <w:sz w:val="18"/>
          <w:szCs w:val="14"/>
        </w:rPr>
        <w:t>R v B</w:t>
      </w:r>
      <w:r w:rsidRPr="001478D7">
        <w:rPr>
          <w:i/>
          <w:iCs/>
          <w:sz w:val="18"/>
          <w:szCs w:val="14"/>
        </w:rPr>
        <w:t>auer</w:t>
      </w:r>
      <w:r w:rsidR="001478D7">
        <w:rPr>
          <w:sz w:val="18"/>
          <w:szCs w:val="14"/>
        </w:rPr>
        <w:t xml:space="preserve"> (2018) 266 CLR 56, 83 [50]</w:t>
      </w:r>
      <w:r w:rsidRPr="001478D7">
        <w:rPr>
          <w:sz w:val="18"/>
          <w:szCs w:val="14"/>
        </w:rPr>
        <w:t xml:space="preserve"> the High Court said:</w:t>
      </w:r>
    </w:p>
    <w:p w14:paraId="1A619BCE" w14:textId="2C3E6813" w:rsidR="001478D7" w:rsidRPr="00B82D7C" w:rsidRDefault="00643C18" w:rsidP="00B82D7C">
      <w:pPr>
        <w:pStyle w:val="CCVNumberLevel1"/>
        <w:tabs>
          <w:tab w:val="clear" w:pos="1134"/>
        </w:tabs>
        <w:spacing w:before="60" w:after="0" w:line="240" w:lineRule="auto"/>
        <w:ind w:left="1474" w:right="1474" w:firstLine="0"/>
        <w:rPr>
          <w:sz w:val="16"/>
          <w:szCs w:val="12"/>
        </w:rPr>
      </w:pPr>
      <w:r w:rsidRPr="001478D7">
        <w:rPr>
          <w:sz w:val="16"/>
          <w:szCs w:val="12"/>
        </w:rPr>
        <w:t>Since proof of an accused’s commission of a sexual offence against a complainant on one occasion makes it more likely that the accused may have committed another, generally similar sexual offence against the complainant on another occasion, at least where the two are not too far separated in point of time, where an accused is charged with a number of counts of generally similar sexual offences against a single complainant the several counts may ordinarily be joined in a single indictment and so tried together</w:t>
      </w:r>
      <w:r w:rsidR="00B82D7C">
        <w:rPr>
          <w:sz w:val="16"/>
          <w:szCs w:val="12"/>
        </w:rPr>
        <w:t xml:space="preserve">: see </w:t>
      </w:r>
      <w:r w:rsidR="00B82D7C" w:rsidRPr="00B82D7C">
        <w:rPr>
          <w:i/>
          <w:iCs/>
          <w:sz w:val="16"/>
          <w:szCs w:val="12"/>
        </w:rPr>
        <w:t>Criminal Procedure Act 2009</w:t>
      </w:r>
      <w:r w:rsidR="00B82D7C">
        <w:rPr>
          <w:sz w:val="16"/>
          <w:szCs w:val="12"/>
        </w:rPr>
        <w:t xml:space="preserve"> s 194.  </w:t>
      </w:r>
      <w:r w:rsidRPr="001478D7">
        <w:rPr>
          <w:sz w:val="16"/>
          <w:szCs w:val="12"/>
        </w:rPr>
        <w:t>In such cases, evidence of each charged act is admissible as circumstantial evidence in proof of each other charged act and, for the same reason, evidence of each uncharged act is admissible in proof of each charged act</w:t>
      </w:r>
      <w:r w:rsidR="00B82D7C">
        <w:rPr>
          <w:sz w:val="16"/>
          <w:szCs w:val="12"/>
        </w:rPr>
        <w:t>: HML v The Queen (2008) 235 CLR 334, 397-8 [168], 401-2 [181]</w:t>
      </w:r>
      <w:r w:rsidRPr="001478D7">
        <w:rPr>
          <w:sz w:val="16"/>
          <w:szCs w:val="12"/>
        </w:rPr>
        <w:t>.</w:t>
      </w:r>
    </w:p>
    <w:p w14:paraId="28DA81AF" w14:textId="5A5927EF" w:rsidR="00B82D7C" w:rsidRPr="00643C18" w:rsidRDefault="00B82D7C" w:rsidP="00B82D7C">
      <w:pPr>
        <w:pStyle w:val="CCVNumberLevel1"/>
        <w:tabs>
          <w:tab w:val="clear" w:pos="1134"/>
        </w:tabs>
        <w:spacing w:before="60" w:after="0" w:line="240" w:lineRule="auto"/>
        <w:ind w:left="1021" w:right="1021" w:firstLine="0"/>
        <w:rPr>
          <w:rFonts w:cs="Arial"/>
          <w:sz w:val="18"/>
          <w:szCs w:val="18"/>
        </w:rPr>
      </w:pPr>
      <w:r w:rsidRPr="00B82D7C">
        <w:rPr>
          <w:sz w:val="18"/>
          <w:szCs w:val="14"/>
        </w:rPr>
        <w:t xml:space="preserve">In </w:t>
      </w:r>
      <w:r w:rsidRPr="00B82D7C">
        <w:rPr>
          <w:i/>
          <w:iCs/>
          <w:sz w:val="18"/>
          <w:szCs w:val="14"/>
        </w:rPr>
        <w:t>Bauer</w:t>
      </w:r>
      <w:r w:rsidRPr="00B82D7C">
        <w:rPr>
          <w:sz w:val="18"/>
          <w:szCs w:val="14"/>
        </w:rPr>
        <w:t xml:space="preserve"> </w:t>
      </w:r>
      <w:r>
        <w:rPr>
          <w:sz w:val="18"/>
          <w:szCs w:val="14"/>
        </w:rPr>
        <w:t xml:space="preserve">at [58]-[60] </w:t>
      </w:r>
      <w:r w:rsidRPr="00B82D7C">
        <w:rPr>
          <w:sz w:val="18"/>
          <w:szCs w:val="14"/>
        </w:rPr>
        <w:t>the Court also made it clear that, in cases involving multiple complainants, where a question arises as to whether evidence that the accused has committed a sexual offence against one complainant is significantly probative of the accused having committed a sexual offence against another, the logic of probability reasoning dictates there must be some feature of or about the offending which links the two together:</w:t>
      </w:r>
    </w:p>
    <w:p w14:paraId="3AAEA632" w14:textId="2C65AC49" w:rsidR="00B82D7C" w:rsidRPr="00A32FE1" w:rsidRDefault="00B82D7C" w:rsidP="00B82D7C">
      <w:pPr>
        <w:pStyle w:val="CCVNumberLevel1"/>
        <w:tabs>
          <w:tab w:val="clear" w:pos="1134"/>
        </w:tabs>
        <w:spacing w:before="60" w:after="0" w:line="240" w:lineRule="auto"/>
        <w:ind w:left="1474" w:right="1474" w:firstLine="0"/>
        <w:rPr>
          <w:sz w:val="16"/>
          <w:szCs w:val="16"/>
        </w:rPr>
      </w:pPr>
      <w:r w:rsidRPr="00A32FE1">
        <w:rPr>
          <w:sz w:val="16"/>
          <w:szCs w:val="12"/>
        </w:rPr>
        <w:t xml:space="preserve">In a multiple complainant sexual offences case, where a question arises as to whether evidence that the accused has committed a sexual offence against one complainant is significantly probative of the accused having committed a sexual offence against another complainant, the logic of probability reasoning dictates that, for evidence of the offending against one complainant to be significantly probative of the offending against the other, there must ordinarily be some feature of or about the offending which links the two together. More specifically, absent such a feature of or about the offending, evidence that an accused has committed a sexual offence against the first complainant proves no more about the alleged offence against the second complainant than that the accused has committed a sexual offence against the first complainant. And the mere fact that an accused has </w:t>
      </w:r>
      <w:r w:rsidRPr="00A32FE1">
        <w:rPr>
          <w:sz w:val="16"/>
          <w:szCs w:val="16"/>
        </w:rPr>
        <w:t xml:space="preserve">committed an offence against one complainant is ordinarily not significantly probative of the accused having committed an offence against another complainant: see </w:t>
      </w:r>
      <w:r w:rsidRPr="00A32FE1">
        <w:rPr>
          <w:i/>
          <w:iCs/>
          <w:sz w:val="16"/>
          <w:szCs w:val="16"/>
        </w:rPr>
        <w:t>HML</w:t>
      </w:r>
      <w:r w:rsidRPr="00A32FE1">
        <w:rPr>
          <w:sz w:val="16"/>
          <w:szCs w:val="16"/>
        </w:rPr>
        <w:t xml:space="preserve"> (2008) 235 CLR 334, 354 [11]-[12], 382-3 [105], 370 [59]; </w:t>
      </w:r>
      <w:r w:rsidRPr="00A32FE1">
        <w:rPr>
          <w:i/>
          <w:iCs/>
          <w:sz w:val="16"/>
          <w:szCs w:val="16"/>
        </w:rPr>
        <w:t>GBF v The Queen</w:t>
      </w:r>
      <w:r w:rsidRPr="00A32FE1">
        <w:rPr>
          <w:sz w:val="16"/>
          <w:szCs w:val="16"/>
        </w:rPr>
        <w:t xml:space="preserve"> [2010] VSCA 135 [26]; </w:t>
      </w:r>
      <w:r w:rsidRPr="00A32FE1">
        <w:rPr>
          <w:i/>
          <w:iCs/>
          <w:sz w:val="16"/>
          <w:szCs w:val="16"/>
        </w:rPr>
        <w:t>BBH v The Queen</w:t>
      </w:r>
      <w:r w:rsidRPr="00A32FE1">
        <w:rPr>
          <w:sz w:val="16"/>
          <w:szCs w:val="16"/>
        </w:rPr>
        <w:t xml:space="preserve"> (2012) 245 CLR 499, 525 [70]-[71].  If, however, there is some common feature of or about the offending, it may demonstrate a tendency to act in a particular way proof of which increases the likelihood that the account of the offence under consideration is true.</w:t>
      </w:r>
    </w:p>
    <w:p w14:paraId="08CC5D7A" w14:textId="3D6F1E75" w:rsidR="00B82D7C" w:rsidRPr="00643C18" w:rsidRDefault="00B82D7C" w:rsidP="00B82D7C">
      <w:pPr>
        <w:pStyle w:val="CCVNumberLevel1"/>
        <w:tabs>
          <w:tab w:val="clear" w:pos="1134"/>
        </w:tabs>
        <w:spacing w:before="60" w:after="0" w:line="240" w:lineRule="auto"/>
        <w:ind w:left="1021" w:right="1021" w:firstLine="0"/>
        <w:rPr>
          <w:rFonts w:cs="Arial"/>
          <w:sz w:val="18"/>
          <w:szCs w:val="18"/>
        </w:rPr>
      </w:pPr>
      <w:r w:rsidRPr="00B82D7C">
        <w:rPr>
          <w:i/>
          <w:iCs/>
          <w:sz w:val="18"/>
          <w:szCs w:val="14"/>
        </w:rPr>
        <w:t>Hughes</w:t>
      </w:r>
      <w:r w:rsidRPr="00B82D7C">
        <w:rPr>
          <w:sz w:val="18"/>
          <w:szCs w:val="14"/>
        </w:rPr>
        <w:t xml:space="preserve"> illustrates the point. The case involved multiple complainants each alleging that the accused had committed one or more sexual offences against her, where the offences that were alleged to have been committed against some groups of complainants were in significant respects different in kind and circumstance from the sexual offences alleged to have been committed against each other group of complainants</w:t>
      </w:r>
      <w:r>
        <w:rPr>
          <w:sz w:val="18"/>
          <w:szCs w:val="14"/>
        </w:rPr>
        <w:t>: see [44]-[54]</w:t>
      </w:r>
      <w:r w:rsidRPr="00B82D7C">
        <w:rPr>
          <w:sz w:val="18"/>
          <w:szCs w:val="14"/>
        </w:rPr>
        <w:t>.</w:t>
      </w:r>
      <w:r>
        <w:rPr>
          <w:sz w:val="18"/>
          <w:szCs w:val="14"/>
        </w:rPr>
        <w:t xml:space="preserve"> </w:t>
      </w:r>
      <w:r w:rsidRPr="00B82D7C">
        <w:rPr>
          <w:sz w:val="18"/>
          <w:szCs w:val="14"/>
        </w:rPr>
        <w:t xml:space="preserve"> It was not disputed that evidence of each sexual offence alleged to have been committed against a complainant was admissible as tendency evidence in proof of other sexual offences alleged to have been committed against that complainant, even though, in some cases, the nature of the offending differed significantly from one charge to another. The issue was how much if any of each complainant’s evidence of the sexual offences and uncharged acts alleged to have been committed against her was admissible as tendency evidence in proof of the sexual offences alleged to have been committed against the other complainants. And the case was ultimately decided by majority on the basis that, taken as a whole, the evidence of each alleged sexual offence and uncharged act demonstrated a common feature that a man of mature years had a sexual interest in female children under 16 years of age and a tendency to act upon it by committing sexual offences against them opportunistically in circumstances which entailed a high risk of detection. In the view of the majority, such was the significance of that common feature that evidence of each alleged sexual offence and uncharged act had significant probative value in proof of each other charged offence. By contrast, in a single complainant sexual offences case, where a question arises as to whether evidence that the accused has committed one sexual offence against the complainant is significantly probative of the accused having committed another sexual offence against that complainant, there is ordinarily no need of a particular feature of the offending to render evidence of one offence significantly probative of the other.</w:t>
      </w:r>
    </w:p>
    <w:p w14:paraId="1996D195" w14:textId="7680AA63" w:rsidR="00CF211F" w:rsidRDefault="00CF211F" w:rsidP="00CF211F">
      <w:pPr>
        <w:spacing w:before="120"/>
        <w:jc w:val="both"/>
        <w:rPr>
          <w:rFonts w:ascii="Arial" w:hAnsi="Arial" w:cs="Arial"/>
          <w:sz w:val="20"/>
        </w:rPr>
      </w:pPr>
      <w:r>
        <w:rPr>
          <w:rFonts w:ascii="Arial" w:hAnsi="Arial" w:cs="Arial"/>
          <w:sz w:val="20"/>
        </w:rPr>
        <w:t>In rejecting the applicant’s submission that the</w:t>
      </w:r>
      <w:r w:rsidR="007C67E9">
        <w:rPr>
          <w:rFonts w:ascii="Arial" w:hAnsi="Arial" w:cs="Arial"/>
          <w:sz w:val="20"/>
        </w:rPr>
        <w:t xml:space="preserve"> ruling is inconsistent with the decision of the High Court in </w:t>
      </w:r>
      <w:r w:rsidR="007C67E9" w:rsidRPr="007C67E9">
        <w:rPr>
          <w:rFonts w:ascii="Arial" w:hAnsi="Arial" w:cs="Arial"/>
          <w:i/>
          <w:iCs/>
          <w:sz w:val="20"/>
        </w:rPr>
        <w:t>Phillips v The Queen</w:t>
      </w:r>
      <w:r w:rsidR="007C67E9">
        <w:rPr>
          <w:rFonts w:ascii="Arial" w:hAnsi="Arial" w:cs="Arial"/>
          <w:sz w:val="20"/>
        </w:rPr>
        <w:t xml:space="preserve"> (2006) 225 CLR 303; [2006] HCA 4 on the issue of consent, the Court of Appeal said at [50]-[52] &amp; [56]:</w:t>
      </w:r>
    </w:p>
    <w:p w14:paraId="5884C24F" w14:textId="0FC343CC" w:rsidR="007C67E9" w:rsidRDefault="007C67E9" w:rsidP="007C67E9">
      <w:pPr>
        <w:pStyle w:val="CCVNumberLevel1"/>
        <w:tabs>
          <w:tab w:val="clear" w:pos="1134"/>
        </w:tabs>
        <w:spacing w:before="60" w:after="0" w:line="240" w:lineRule="auto"/>
        <w:ind w:left="567" w:right="567" w:firstLine="0"/>
        <w:rPr>
          <w:sz w:val="20"/>
          <w:szCs w:val="16"/>
        </w:rPr>
      </w:pPr>
      <w:r>
        <w:rPr>
          <w:sz w:val="20"/>
          <w:szCs w:val="16"/>
        </w:rPr>
        <w:t>[50] “</w:t>
      </w:r>
      <w:r w:rsidRPr="007C67E9">
        <w:rPr>
          <w:sz w:val="20"/>
        </w:rPr>
        <w:t xml:space="preserve">In </w:t>
      </w:r>
      <w:r w:rsidRPr="007C67E9">
        <w:rPr>
          <w:i/>
          <w:iCs/>
          <w:sz w:val="20"/>
        </w:rPr>
        <w:t>Phillips</w:t>
      </w:r>
      <w:r w:rsidRPr="007C67E9">
        <w:rPr>
          <w:sz w:val="20"/>
        </w:rPr>
        <w:t>, a joint trial of the accused had been conducted with multiple complainants, each of whom gave evidence that the accused pursued sexual activity with them in circumstances where they did not consent. The High Court (Gleeson CJ, Gummow, Kirby, Hayne and Heydon JJ), in holding that the evidence of each complainant was not cross-admissible in proof of offending against each other complainant, said this</w:t>
      </w:r>
      <w:r>
        <w:rPr>
          <w:sz w:val="20"/>
        </w:rPr>
        <w:t xml:space="preserve"> at [46]</w:t>
      </w:r>
      <w:r w:rsidRPr="007C67E9">
        <w:rPr>
          <w:sz w:val="20"/>
        </w:rPr>
        <w:t>:</w:t>
      </w:r>
    </w:p>
    <w:p w14:paraId="7E20C34B" w14:textId="2BF8BCD1" w:rsidR="007C67E9" w:rsidRPr="00643C18" w:rsidRDefault="007C67E9" w:rsidP="007C67E9">
      <w:pPr>
        <w:pStyle w:val="CCVNumberLevel1"/>
        <w:tabs>
          <w:tab w:val="clear" w:pos="1134"/>
        </w:tabs>
        <w:spacing w:before="60" w:after="0" w:line="240" w:lineRule="auto"/>
        <w:ind w:left="1021" w:right="1021" w:firstLine="0"/>
        <w:rPr>
          <w:rFonts w:cs="Arial"/>
          <w:sz w:val="18"/>
          <w:szCs w:val="18"/>
        </w:rPr>
      </w:pPr>
      <w:r w:rsidRPr="007C67E9">
        <w:rPr>
          <w:sz w:val="18"/>
          <w:szCs w:val="18"/>
        </w:rPr>
        <w:t xml:space="preserve">Normally similar fact evidence is used to assist on issues relating only to the conduct and mental state of an accused. Did the accused do a particular thing? Or did the accused do </w:t>
      </w:r>
      <w:r w:rsidRPr="007C67E9">
        <w:rPr>
          <w:sz w:val="18"/>
          <w:szCs w:val="18"/>
        </w:rPr>
        <w:lastRenderedPageBreak/>
        <w:t xml:space="preserve">it with a particular mental state? But where a particular count supported by one complainant’s evidence raises the issue of whether she consented to certain conduct by an accused, the issue relates much more to her mental state than his. The trial judge kept referring to ‘the improbability of similar lies’ on that issue. That is an expression used by Mason CJ, Wilson and Gaudron JJ in </w:t>
      </w:r>
      <w:r w:rsidRPr="007C67E9">
        <w:rPr>
          <w:i/>
          <w:iCs/>
          <w:sz w:val="18"/>
          <w:szCs w:val="18"/>
        </w:rPr>
        <w:t>Hoch v The Queen</w:t>
      </w:r>
      <w:r w:rsidRPr="007C67E9">
        <w:rPr>
          <w:sz w:val="18"/>
          <w:szCs w:val="18"/>
        </w:rPr>
        <w:t>; however, as counsel for the appellant pointed out, they used it not on the question of whether the complainants in that case consented, but on whether the accused behaved towards them as he said he did. To tell the jury that the evidence went to the improbability of each complainant lying or being unreliable about consent was to say that a lack of consent by five complainants tended to establish lack of consent by the sixth.</w:t>
      </w:r>
    </w:p>
    <w:p w14:paraId="61509631" w14:textId="5555E4AB" w:rsidR="001478D7" w:rsidRDefault="007C67E9" w:rsidP="00E86F6C">
      <w:pPr>
        <w:pStyle w:val="CCVNumberLevel1"/>
        <w:tabs>
          <w:tab w:val="clear" w:pos="1134"/>
        </w:tabs>
        <w:spacing w:before="60" w:after="0" w:line="240" w:lineRule="auto"/>
        <w:ind w:left="567" w:right="567" w:firstLine="0"/>
        <w:rPr>
          <w:sz w:val="20"/>
        </w:rPr>
      </w:pPr>
      <w:r>
        <w:rPr>
          <w:sz w:val="20"/>
          <w:szCs w:val="16"/>
        </w:rPr>
        <w:t xml:space="preserve">[51] </w:t>
      </w:r>
      <w:r w:rsidRPr="007C67E9">
        <w:rPr>
          <w:sz w:val="20"/>
        </w:rPr>
        <w:t xml:space="preserve">The tendency evidence in this case is not sought to be adduced to prove a lack of consent. The relevant evidence here, as in </w:t>
      </w:r>
      <w:r w:rsidRPr="007C67E9">
        <w:rPr>
          <w:i/>
          <w:iCs/>
          <w:sz w:val="20"/>
        </w:rPr>
        <w:t>Hoch v The Queen</w:t>
      </w:r>
      <w:r>
        <w:rPr>
          <w:sz w:val="20"/>
        </w:rPr>
        <w:t xml:space="preserve"> (1988) 165 CLR 292</w:t>
      </w:r>
      <w:r w:rsidRPr="007C67E9">
        <w:rPr>
          <w:sz w:val="20"/>
        </w:rPr>
        <w:t>, is to be adduced not on</w:t>
      </w:r>
      <w:r w:rsidR="004E60EF">
        <w:rPr>
          <w:sz w:val="20"/>
        </w:rPr>
        <w:t xml:space="preserve"> </w:t>
      </w:r>
      <w:r w:rsidR="004E60EF" w:rsidRPr="007C67E9">
        <w:rPr>
          <w:sz w:val="20"/>
        </w:rPr>
        <w:t>the question of whether the complainants consented but on whether the applicant behaved towards them as they said he did (and he said he did not) while performing a massage.</w:t>
      </w:r>
    </w:p>
    <w:p w14:paraId="5B325381" w14:textId="7359E15E" w:rsidR="004E60EF" w:rsidRDefault="004E60EF" w:rsidP="00E86F6C">
      <w:pPr>
        <w:pStyle w:val="CCVNumberLevel1"/>
        <w:tabs>
          <w:tab w:val="clear" w:pos="1134"/>
        </w:tabs>
        <w:spacing w:before="60" w:after="0" w:line="240" w:lineRule="auto"/>
        <w:ind w:left="567" w:right="567" w:firstLine="0"/>
        <w:rPr>
          <w:sz w:val="20"/>
        </w:rPr>
      </w:pPr>
      <w:r>
        <w:rPr>
          <w:sz w:val="20"/>
        </w:rPr>
        <w:t xml:space="preserve">[52] </w:t>
      </w:r>
      <w:r w:rsidRPr="007C67E9">
        <w:rPr>
          <w:sz w:val="20"/>
        </w:rPr>
        <w:t>If there is any risk of the jury considering that this body of evidence goes to the question of consent in each of the individual cases, then that, undoubtedly, will be dealt with by a direction by the trial judge.</w:t>
      </w:r>
    </w:p>
    <w:p w14:paraId="5A27BF1E" w14:textId="53B5653D" w:rsidR="004E60EF" w:rsidRDefault="004E60EF" w:rsidP="00E86F6C">
      <w:pPr>
        <w:pStyle w:val="CCVNumberLevel1"/>
        <w:tabs>
          <w:tab w:val="clear" w:pos="1134"/>
        </w:tabs>
        <w:spacing w:before="60" w:after="0" w:line="240" w:lineRule="auto"/>
        <w:ind w:left="567" w:right="567" w:firstLine="0"/>
        <w:rPr>
          <w:sz w:val="20"/>
        </w:rPr>
      </w:pPr>
      <w:r>
        <w:rPr>
          <w:sz w:val="20"/>
        </w:rPr>
        <w:t>…</w:t>
      </w:r>
    </w:p>
    <w:p w14:paraId="70F9A8B4" w14:textId="0C32BB06" w:rsidR="004E60EF" w:rsidRDefault="004E60EF" w:rsidP="00E86F6C">
      <w:pPr>
        <w:pStyle w:val="CCVNumberLevel1"/>
        <w:tabs>
          <w:tab w:val="clear" w:pos="1134"/>
        </w:tabs>
        <w:spacing w:before="60" w:after="0" w:line="240" w:lineRule="auto"/>
        <w:ind w:left="567" w:right="567" w:firstLine="0"/>
        <w:rPr>
          <w:sz w:val="20"/>
          <w:szCs w:val="16"/>
        </w:rPr>
      </w:pPr>
      <w:r>
        <w:rPr>
          <w:sz w:val="20"/>
        </w:rPr>
        <w:t xml:space="preserve">[56] </w:t>
      </w:r>
      <w:r w:rsidRPr="007C67E9">
        <w:rPr>
          <w:sz w:val="20"/>
        </w:rPr>
        <w:t>In our view, the judge was correct to admit the tendency evidence. Here, there is a remarkable congruity between each episode as the judge noted. The features of each of the alleged offences were strikingly similar. Each occurred at the applicant’s house with only himself and a vulnerable adult female present in the room, partially clothed, whilst undergoing a massage. Each allegedly involved or commenced with the applicant’s hands on the breast; and concerned him moving his hands beneath a towel; and the three alleged incidents were all reasonably proximate in time. The occurrence of one alleged sexual assault, in that specific way, makes more likely the occurrence of another when it is alleged to have occurred in the same or very similar fashion. The judge was correct to identify these similarities as providing a solid foundation for admitting the evidence of the three complainants under s 97 of the Act.</w:t>
      </w:r>
      <w:r>
        <w:rPr>
          <w:sz w:val="20"/>
        </w:rPr>
        <w:t>”</w:t>
      </w:r>
    </w:p>
    <w:p w14:paraId="56140DA9" w14:textId="6A2C7670" w:rsidR="004E60EF" w:rsidRDefault="004E60EF" w:rsidP="004E60EF">
      <w:pPr>
        <w:spacing w:before="120"/>
        <w:jc w:val="both"/>
        <w:rPr>
          <w:rFonts w:ascii="Arial" w:hAnsi="Arial" w:cs="Arial"/>
          <w:sz w:val="20"/>
        </w:rPr>
      </w:pPr>
      <w:r>
        <w:rPr>
          <w:rFonts w:ascii="Arial" w:hAnsi="Arial" w:cs="Arial"/>
          <w:sz w:val="20"/>
        </w:rPr>
        <w:t>In rejecting the applicant’s submission pursuant to s.101(2) of the Act that the probative value of the evidence does not substantially outweigh its prejudicial effect, the Court of Appeal said at [67]:</w:t>
      </w:r>
    </w:p>
    <w:p w14:paraId="67A7E913" w14:textId="360A40CE" w:rsidR="004E60EF" w:rsidRDefault="004E60EF" w:rsidP="004E60EF">
      <w:pPr>
        <w:pStyle w:val="CCVNumberLevel1"/>
        <w:tabs>
          <w:tab w:val="clear" w:pos="1134"/>
        </w:tabs>
        <w:spacing w:before="60" w:after="0" w:line="240" w:lineRule="auto"/>
        <w:ind w:left="567" w:right="567" w:firstLine="0"/>
        <w:rPr>
          <w:sz w:val="20"/>
          <w:szCs w:val="16"/>
        </w:rPr>
      </w:pPr>
      <w:r>
        <w:rPr>
          <w:sz w:val="20"/>
          <w:szCs w:val="16"/>
        </w:rPr>
        <w:t>[67] “We agree with the judge’s characterisation of the probative value of the evidence.  It is clear that this body of evidence is significant in proving each of the charges.  The similarities in the conduct of the applicant, as we have already noted, are striking.  The prejudice occasioned by admitting the evidence (which we accept will occur) can be ameliorated by an appropriate judicial direction</w:t>
      </w:r>
      <w:r w:rsidR="002F1043">
        <w:rPr>
          <w:sz w:val="20"/>
          <w:szCs w:val="16"/>
        </w:rPr>
        <w:t>…</w:t>
      </w:r>
      <w:r>
        <w:rPr>
          <w:sz w:val="20"/>
          <w:szCs w:val="16"/>
        </w:rPr>
        <w:t>”</w:t>
      </w:r>
    </w:p>
    <w:p w14:paraId="36803B33" w14:textId="600B54F1" w:rsidR="00106472" w:rsidRDefault="00106472" w:rsidP="0019386A">
      <w:pPr>
        <w:jc w:val="both"/>
        <w:rPr>
          <w:rFonts w:ascii="Arial" w:hAnsi="Arial" w:cs="Arial"/>
          <w:sz w:val="20"/>
        </w:rPr>
      </w:pPr>
    </w:p>
    <w:p w14:paraId="2653C9E6" w14:textId="41A0F7CB" w:rsidR="00CA2279" w:rsidRDefault="000F2367" w:rsidP="0019386A">
      <w:pPr>
        <w:jc w:val="both"/>
        <w:rPr>
          <w:rFonts w:ascii="Arial" w:hAnsi="Arial" w:cs="Arial"/>
          <w:sz w:val="20"/>
          <w:szCs w:val="20"/>
        </w:rPr>
      </w:pPr>
      <w:r w:rsidRPr="000F2367">
        <w:rPr>
          <w:rFonts w:ascii="Arial" w:hAnsi="Arial" w:cs="Arial"/>
          <w:sz w:val="20"/>
          <w:szCs w:val="20"/>
        </w:rPr>
        <w:t>In</w:t>
      </w:r>
      <w:r w:rsidR="00587727" w:rsidRPr="000F2367">
        <w:rPr>
          <w:rFonts w:ascii="Arial" w:hAnsi="Arial" w:cs="Arial"/>
          <w:sz w:val="20"/>
          <w:szCs w:val="20"/>
        </w:rPr>
        <w:t xml:space="preserve"> </w:t>
      </w:r>
      <w:r w:rsidR="00587727" w:rsidRPr="000F2367">
        <w:rPr>
          <w:rFonts w:ascii="Arial" w:hAnsi="Arial" w:cs="Arial"/>
          <w:i/>
          <w:iCs/>
          <w:sz w:val="20"/>
          <w:szCs w:val="20"/>
        </w:rPr>
        <w:t>DPP v Roder (a pseudonym)</w:t>
      </w:r>
      <w:r w:rsidR="00587727" w:rsidRPr="000F2367">
        <w:rPr>
          <w:rFonts w:ascii="Arial" w:hAnsi="Arial" w:cs="Arial"/>
          <w:sz w:val="20"/>
          <w:szCs w:val="20"/>
        </w:rPr>
        <w:t xml:space="preserve"> </w:t>
      </w:r>
      <w:r w:rsidRPr="000F2367">
        <w:rPr>
          <w:rFonts w:ascii="Arial" w:hAnsi="Arial" w:cs="Arial"/>
          <w:sz w:val="20"/>
          <w:szCs w:val="20"/>
        </w:rPr>
        <w:t>the tendency evidence relied on by the prosecution consisted of both charged and uncharged acts</w:t>
      </w:r>
      <w:r w:rsidR="00587727" w:rsidRPr="000F2367">
        <w:rPr>
          <w:rFonts w:ascii="Arial" w:hAnsi="Arial" w:cs="Arial"/>
          <w:sz w:val="20"/>
          <w:szCs w:val="20"/>
        </w:rPr>
        <w:t>.</w:t>
      </w:r>
      <w:r>
        <w:rPr>
          <w:rFonts w:ascii="Arial" w:hAnsi="Arial" w:cs="Arial"/>
          <w:sz w:val="20"/>
          <w:szCs w:val="20"/>
        </w:rPr>
        <w:t xml:space="preserve"> </w:t>
      </w:r>
      <w:r w:rsidR="00943C7B">
        <w:rPr>
          <w:rFonts w:ascii="Arial" w:hAnsi="Arial" w:cs="Arial"/>
          <w:sz w:val="20"/>
          <w:szCs w:val="20"/>
        </w:rPr>
        <w:t xml:space="preserve">In [2023] VSCA 262 the Court of Appeal (Priest, Niall &amp; Taylor JJA) had said at </w:t>
      </w:r>
      <w:r w:rsidR="007B5842">
        <w:rPr>
          <w:rFonts w:ascii="Arial" w:hAnsi="Arial" w:cs="Arial"/>
          <w:sz w:val="20"/>
          <w:szCs w:val="20"/>
        </w:rPr>
        <w:t xml:space="preserve">[29] &amp; </w:t>
      </w:r>
      <w:r w:rsidR="00BE6C3B">
        <w:rPr>
          <w:rFonts w:ascii="Arial" w:hAnsi="Arial" w:cs="Arial"/>
          <w:sz w:val="20"/>
          <w:szCs w:val="20"/>
        </w:rPr>
        <w:t>[33]-</w:t>
      </w:r>
      <w:r w:rsidR="00943C7B">
        <w:rPr>
          <w:rFonts w:ascii="Arial" w:hAnsi="Arial" w:cs="Arial"/>
          <w:sz w:val="20"/>
          <w:szCs w:val="20"/>
        </w:rPr>
        <w:t>[34]:</w:t>
      </w:r>
    </w:p>
    <w:p w14:paraId="0E450699" w14:textId="57466A94" w:rsidR="007B5842" w:rsidRDefault="007B5842" w:rsidP="00943C7B">
      <w:pPr>
        <w:pStyle w:val="CCVNumberLevel1"/>
        <w:tabs>
          <w:tab w:val="clear" w:pos="1134"/>
        </w:tabs>
        <w:spacing w:before="60" w:after="0" w:line="240" w:lineRule="auto"/>
        <w:ind w:left="567" w:right="567" w:firstLine="0"/>
        <w:rPr>
          <w:rFonts w:cs="Arial"/>
          <w:sz w:val="20"/>
        </w:rPr>
      </w:pPr>
      <w:r>
        <w:rPr>
          <w:sz w:val="20"/>
          <w:szCs w:val="16"/>
        </w:rPr>
        <w:t>[29] “</w:t>
      </w:r>
      <w:r w:rsidRPr="000F2367">
        <w:rPr>
          <w:rFonts w:cs="Arial"/>
          <w:sz w:val="20"/>
        </w:rPr>
        <w:t xml:space="preserve">In our opinion, the circumstances of the present case are indistinguishable in any relevant sense from those of </w:t>
      </w:r>
      <w:r w:rsidRPr="00A44886">
        <w:rPr>
          <w:i/>
          <w:iCs/>
          <w:sz w:val="20"/>
          <w:szCs w:val="16"/>
        </w:rPr>
        <w:t>Dempsey (a pseudonym) v The Queen</w:t>
      </w:r>
      <w:r w:rsidRPr="00A44886">
        <w:rPr>
          <w:sz w:val="20"/>
          <w:szCs w:val="16"/>
        </w:rPr>
        <w:t xml:space="preserve"> </w:t>
      </w:r>
      <w:r w:rsidRPr="00A44886">
        <w:rPr>
          <w:sz w:val="20"/>
        </w:rPr>
        <w:t>[2019] VSCA 224</w:t>
      </w:r>
      <w:r w:rsidRPr="00A44886">
        <w:rPr>
          <w:rFonts w:cs="Arial"/>
          <w:sz w:val="20"/>
        </w:rPr>
        <w:t>. I</w:t>
      </w:r>
      <w:r w:rsidRPr="000F2367">
        <w:rPr>
          <w:rFonts w:cs="Arial"/>
          <w:sz w:val="20"/>
        </w:rPr>
        <w:t>f</w:t>
      </w:r>
      <w:r>
        <w:rPr>
          <w:rFonts w:cs="Arial"/>
          <w:sz w:val="20"/>
        </w:rPr>
        <w:t> </w:t>
      </w:r>
      <w:r w:rsidRPr="000F2367">
        <w:rPr>
          <w:rFonts w:cs="Arial"/>
          <w:sz w:val="20"/>
        </w:rPr>
        <w:t>the judge were to direct the jury that they need not be satisfied beyond reasonable doubt of the existence of any charged act in order to use it for tendency purposes, whilst concomitantly directing that they could not find the respondent guilty of any particular charge unless satisfied that the elements of that charge (including the particular charged act) had been proven beyond reasonable doubt, the criminal standard of proof would doubtlessly be confused, and unacceptably undermined.</w:t>
      </w:r>
    </w:p>
    <w:p w14:paraId="67D35E19" w14:textId="384D1E1F" w:rsidR="007B5842" w:rsidRDefault="007B5842" w:rsidP="00943C7B">
      <w:pPr>
        <w:pStyle w:val="CCVNumberLevel1"/>
        <w:tabs>
          <w:tab w:val="clear" w:pos="1134"/>
        </w:tabs>
        <w:spacing w:before="60" w:after="0" w:line="240" w:lineRule="auto"/>
        <w:ind w:left="567" w:right="567" w:firstLine="0"/>
        <w:rPr>
          <w:rFonts w:cs="Arial"/>
          <w:sz w:val="20"/>
        </w:rPr>
      </w:pPr>
      <w:r>
        <w:rPr>
          <w:rFonts w:cs="Arial"/>
          <w:sz w:val="20"/>
        </w:rPr>
        <w:t>…</w:t>
      </w:r>
    </w:p>
    <w:p w14:paraId="4F1157DE" w14:textId="2227431D" w:rsidR="00BE6C3B" w:rsidRDefault="00BE6C3B" w:rsidP="00943C7B">
      <w:pPr>
        <w:pStyle w:val="CCVNumberLevel1"/>
        <w:tabs>
          <w:tab w:val="clear" w:pos="1134"/>
        </w:tabs>
        <w:spacing w:before="60" w:after="0" w:line="240" w:lineRule="auto"/>
        <w:ind w:left="567" w:right="567" w:firstLine="0"/>
        <w:rPr>
          <w:rFonts w:cs="Arial"/>
          <w:sz w:val="20"/>
        </w:rPr>
      </w:pPr>
      <w:r>
        <w:rPr>
          <w:rFonts w:cs="Arial"/>
          <w:sz w:val="20"/>
        </w:rPr>
        <w:t xml:space="preserve">[33] </w:t>
      </w:r>
      <w:r w:rsidRPr="000F2367">
        <w:rPr>
          <w:rFonts w:cs="Arial"/>
          <w:sz w:val="20"/>
        </w:rPr>
        <w:t xml:space="preserve">In our view, </w:t>
      </w:r>
      <w:r w:rsidRPr="00742FD8">
        <w:rPr>
          <w:rFonts w:cs="Arial"/>
          <w:i/>
          <w:iCs/>
          <w:sz w:val="20"/>
        </w:rPr>
        <w:t>Dempsey</w:t>
      </w:r>
      <w:r w:rsidRPr="000F2367">
        <w:rPr>
          <w:rFonts w:cs="Arial"/>
          <w:sz w:val="20"/>
        </w:rPr>
        <w:t xml:space="preserve"> should be followed. Section 61 of the JDA differs from the provision considered in </w:t>
      </w:r>
      <w:r w:rsidRPr="00742FD8">
        <w:rPr>
          <w:i/>
          <w:iCs/>
          <w:sz w:val="20"/>
        </w:rPr>
        <w:t>Rassi v R</w:t>
      </w:r>
      <w:r w:rsidRPr="00742FD8">
        <w:rPr>
          <w:sz w:val="20"/>
        </w:rPr>
        <w:t xml:space="preserve"> [2023] NSWCCA 119 </w:t>
      </w:r>
      <w:r w:rsidRPr="00742FD8">
        <w:rPr>
          <w:rFonts w:cs="Arial"/>
          <w:sz w:val="20"/>
        </w:rPr>
        <w:t xml:space="preserve">at [9] </w:t>
      </w:r>
      <w:r w:rsidRPr="000F2367">
        <w:rPr>
          <w:rFonts w:cs="Arial"/>
          <w:sz w:val="20"/>
        </w:rPr>
        <w:t>and the cases that preceded it. By its clear terms, s 61 requires a trial judge to direct the jury that ‘the elements of the offence charged’ must be proved beyond reasonable doubt. In the present case, every sexual act alleged in every charge on the indictment is an element of that charge. A</w:t>
      </w:r>
      <w:r>
        <w:rPr>
          <w:rFonts w:cs="Arial"/>
          <w:sz w:val="20"/>
        </w:rPr>
        <w:t> </w:t>
      </w:r>
      <w:r w:rsidRPr="000F2367">
        <w:rPr>
          <w:rFonts w:cs="Arial"/>
          <w:sz w:val="20"/>
        </w:rPr>
        <w:t xml:space="preserve">direction that any such element must be proved beyond reasonable doubt — no matter the use sought to be made of the evidence — would not offend s 61 of the </w:t>
      </w:r>
      <w:r w:rsidRPr="00742FD8">
        <w:rPr>
          <w:rFonts w:cs="Arial"/>
          <w:i/>
          <w:iCs/>
          <w:sz w:val="20"/>
        </w:rPr>
        <w:t>Jury Directions Act 2015</w:t>
      </w:r>
      <w:r w:rsidRPr="000F2367">
        <w:rPr>
          <w:rFonts w:cs="Arial"/>
          <w:sz w:val="20"/>
        </w:rPr>
        <w:t>. Indeed, such a direction would plainly be in conformity with the section.</w:t>
      </w:r>
    </w:p>
    <w:p w14:paraId="27E1C7A8" w14:textId="7D92E9A8" w:rsidR="00943C7B" w:rsidRPr="000F2367" w:rsidRDefault="00943C7B" w:rsidP="00943C7B">
      <w:pPr>
        <w:pStyle w:val="CCVNumberLevel1"/>
        <w:tabs>
          <w:tab w:val="clear" w:pos="1134"/>
        </w:tabs>
        <w:spacing w:before="60" w:after="0" w:line="240" w:lineRule="auto"/>
        <w:ind w:left="567" w:right="567" w:firstLine="0"/>
        <w:rPr>
          <w:rFonts w:cs="Arial"/>
          <w:sz w:val="16"/>
          <w:szCs w:val="16"/>
        </w:rPr>
      </w:pPr>
      <w:r w:rsidRPr="007B5842">
        <w:rPr>
          <w:rFonts w:cs="Arial"/>
          <w:sz w:val="20"/>
        </w:rPr>
        <w:t xml:space="preserve">[34] </w:t>
      </w:r>
      <w:r w:rsidR="007B5842" w:rsidRPr="007B5842">
        <w:rPr>
          <w:rFonts w:cs="Arial"/>
          <w:color w:val="000000"/>
          <w:sz w:val="20"/>
          <w:shd w:val="clear" w:color="auto" w:fill="FFFFFF"/>
        </w:rPr>
        <w:t>For these reasons, we</w:t>
      </w:r>
      <w:r w:rsidRPr="007B5842">
        <w:rPr>
          <w:rFonts w:cs="Arial"/>
          <w:sz w:val="20"/>
        </w:rPr>
        <w:t xml:space="preserve"> consider that the judge was correct to hold that the jury</w:t>
      </w:r>
      <w:r w:rsidRPr="000F2367">
        <w:rPr>
          <w:rFonts w:cs="Arial"/>
          <w:sz w:val="20"/>
        </w:rPr>
        <w:t xml:space="preserve"> should be directed that every charged act relied upon by the prosecution as tendency evidence must be proved beyond reasonable doubt before it can be so used. To direct differently </w:t>
      </w:r>
      <w:r w:rsidRPr="000F2367">
        <w:rPr>
          <w:rFonts w:cs="Arial"/>
          <w:sz w:val="20"/>
        </w:rPr>
        <w:lastRenderedPageBreak/>
        <w:t>would be to risk confusing, and unacceptably undermining, the criminal standard of proof. Indeed, we consider that to direct differently would be an invitation to the jury to indulge in an impermissible circular reasoning process, and to apply a less rigorous standard of proof to the charges on the indictment. We would add that the judge will not need to direct the jury ‘sequentially’, so long as it is made clear that none of the charged conduct may be used by the jury for the purposes of tendency reasoning unless the particular conduct has been proved to the jury’s satisfaction beyond reasonable doubt.</w:t>
      </w:r>
      <w:r>
        <w:rPr>
          <w:rFonts w:cs="Arial"/>
          <w:sz w:val="20"/>
        </w:rPr>
        <w:t>”</w:t>
      </w:r>
    </w:p>
    <w:p w14:paraId="6863F62F" w14:textId="254EE8F7" w:rsidR="00CA2279" w:rsidRDefault="00592325" w:rsidP="00AC74C4">
      <w:pPr>
        <w:spacing w:before="120"/>
        <w:jc w:val="both"/>
        <w:rPr>
          <w:rFonts w:ascii="Arial" w:hAnsi="Arial" w:cs="Arial"/>
          <w:sz w:val="20"/>
          <w:szCs w:val="20"/>
        </w:rPr>
      </w:pPr>
      <w:r>
        <w:rPr>
          <w:rFonts w:ascii="Arial" w:hAnsi="Arial" w:cs="Arial"/>
          <w:sz w:val="20"/>
          <w:szCs w:val="20"/>
        </w:rPr>
        <w:t xml:space="preserve">In </w:t>
      </w:r>
      <w:r w:rsidR="00513B2E" w:rsidRPr="00513B2E">
        <w:rPr>
          <w:rFonts w:ascii="Arial" w:hAnsi="Arial" w:cs="Arial"/>
          <w:i/>
          <w:iCs/>
          <w:sz w:val="20"/>
          <w:szCs w:val="20"/>
        </w:rPr>
        <w:t xml:space="preserve">Director of Public Prosecutions (Vic) v Benjamin </w:t>
      </w:r>
      <w:proofErr w:type="spellStart"/>
      <w:r w:rsidR="00513B2E" w:rsidRPr="00513B2E">
        <w:rPr>
          <w:rFonts w:ascii="Arial" w:hAnsi="Arial" w:cs="Arial"/>
          <w:i/>
          <w:iCs/>
          <w:sz w:val="20"/>
          <w:szCs w:val="20"/>
        </w:rPr>
        <w:t>Roder</w:t>
      </w:r>
      <w:proofErr w:type="spellEnd"/>
      <w:r w:rsidR="00513B2E" w:rsidRPr="00513B2E">
        <w:rPr>
          <w:rFonts w:ascii="Arial" w:hAnsi="Arial" w:cs="Arial"/>
          <w:i/>
          <w:iCs/>
          <w:sz w:val="20"/>
          <w:szCs w:val="20"/>
        </w:rPr>
        <w:t xml:space="preserve"> (a pseudonym)</w:t>
      </w:r>
      <w:r w:rsidR="00513B2E">
        <w:rPr>
          <w:rFonts w:ascii="Arial" w:hAnsi="Arial" w:cs="Arial"/>
          <w:sz w:val="20"/>
          <w:szCs w:val="20"/>
        </w:rPr>
        <w:t xml:space="preserve"> </w:t>
      </w:r>
      <w:r w:rsidR="00AC74C4">
        <w:rPr>
          <w:rFonts w:ascii="Arial" w:hAnsi="Arial" w:cs="Arial"/>
          <w:sz w:val="20"/>
          <w:szCs w:val="20"/>
        </w:rPr>
        <w:t>(2</w:t>
      </w:r>
      <w:r w:rsidR="00AC74C4" w:rsidRPr="00AC74C4">
        <w:rPr>
          <w:rFonts w:ascii="Arial" w:hAnsi="Arial" w:cs="Arial"/>
          <w:sz w:val="20"/>
          <w:szCs w:val="20"/>
        </w:rPr>
        <w:t>024) 281 CLR 18 at 33-34 [28], 37 [37]</w:t>
      </w:r>
      <w:r w:rsidR="00AC74C4">
        <w:rPr>
          <w:rFonts w:ascii="Arial" w:hAnsi="Arial" w:cs="Arial"/>
          <w:sz w:val="20"/>
          <w:szCs w:val="20"/>
        </w:rPr>
        <w:t xml:space="preserve">; </w:t>
      </w:r>
      <w:r w:rsidR="00CF34DD" w:rsidRPr="005159D1">
        <w:rPr>
          <w:rFonts w:ascii="Arial" w:hAnsi="Arial" w:cs="Arial"/>
          <w:sz w:val="20"/>
          <w:szCs w:val="20"/>
        </w:rPr>
        <w:t>[2024] HCA 15</w:t>
      </w:r>
      <w:r w:rsidR="00CF34DD">
        <w:rPr>
          <w:rFonts w:ascii="Arial" w:hAnsi="Arial" w:cs="Arial"/>
          <w:sz w:val="20"/>
          <w:szCs w:val="20"/>
        </w:rPr>
        <w:t xml:space="preserve"> </w:t>
      </w:r>
      <w:r>
        <w:rPr>
          <w:rFonts w:ascii="Arial" w:hAnsi="Arial" w:cs="Arial"/>
          <w:sz w:val="20"/>
          <w:szCs w:val="20"/>
        </w:rPr>
        <w:t>t</w:t>
      </w:r>
      <w:r w:rsidR="00943C7B">
        <w:rPr>
          <w:rFonts w:ascii="Arial" w:hAnsi="Arial" w:cs="Arial"/>
          <w:sz w:val="20"/>
          <w:szCs w:val="20"/>
        </w:rPr>
        <w:t xml:space="preserve">he High Court allowed the Director’s appeal, set aside the orders of the Court of Appeal and the ruling of the trial judge and remitted the matter to the trial judge to consider what ruling, if any, should be made in </w:t>
      </w:r>
      <w:r>
        <w:rPr>
          <w:rFonts w:ascii="Arial" w:hAnsi="Arial" w:cs="Arial"/>
          <w:sz w:val="20"/>
          <w:szCs w:val="20"/>
        </w:rPr>
        <w:t>relation to the respondent’s application. At [1]-[2]</w:t>
      </w:r>
      <w:r w:rsidR="006B1D82">
        <w:rPr>
          <w:rFonts w:ascii="Arial" w:hAnsi="Arial" w:cs="Arial"/>
          <w:sz w:val="20"/>
          <w:szCs w:val="20"/>
        </w:rPr>
        <w:t xml:space="preserve"> &amp; [37]</w:t>
      </w:r>
      <w:r>
        <w:rPr>
          <w:rFonts w:ascii="Arial" w:hAnsi="Arial" w:cs="Arial"/>
          <w:sz w:val="20"/>
          <w:szCs w:val="20"/>
        </w:rPr>
        <w:t xml:space="preserve"> </w:t>
      </w:r>
      <w:r w:rsidRPr="00943C7B">
        <w:rPr>
          <w:rFonts w:ascii="Arial" w:hAnsi="Arial" w:cs="Arial"/>
          <w:sz w:val="20"/>
          <w:szCs w:val="20"/>
        </w:rPr>
        <w:t xml:space="preserve">Gageler </w:t>
      </w:r>
      <w:r>
        <w:rPr>
          <w:rFonts w:ascii="Arial" w:hAnsi="Arial" w:cs="Arial"/>
          <w:sz w:val="20"/>
          <w:szCs w:val="20"/>
        </w:rPr>
        <w:t>CJ</w:t>
      </w:r>
      <w:r w:rsidRPr="00943C7B">
        <w:rPr>
          <w:rFonts w:ascii="Arial" w:hAnsi="Arial" w:cs="Arial"/>
          <w:sz w:val="20"/>
          <w:szCs w:val="20"/>
        </w:rPr>
        <w:t xml:space="preserve">, </w:t>
      </w:r>
      <w:r>
        <w:rPr>
          <w:rFonts w:ascii="Arial" w:hAnsi="Arial" w:cs="Arial"/>
          <w:sz w:val="20"/>
          <w:szCs w:val="20"/>
        </w:rPr>
        <w:t>G</w:t>
      </w:r>
      <w:r w:rsidRPr="00943C7B">
        <w:rPr>
          <w:rFonts w:ascii="Arial" w:hAnsi="Arial" w:cs="Arial"/>
          <w:sz w:val="20"/>
          <w:szCs w:val="20"/>
        </w:rPr>
        <w:t xml:space="preserve">ordon, </w:t>
      </w:r>
      <w:r>
        <w:rPr>
          <w:rFonts w:ascii="Arial" w:hAnsi="Arial" w:cs="Arial"/>
          <w:sz w:val="20"/>
          <w:szCs w:val="20"/>
        </w:rPr>
        <w:t>E</w:t>
      </w:r>
      <w:r w:rsidRPr="00943C7B">
        <w:rPr>
          <w:rFonts w:ascii="Arial" w:hAnsi="Arial" w:cs="Arial"/>
          <w:sz w:val="20"/>
          <w:szCs w:val="20"/>
        </w:rPr>
        <w:t xml:space="preserve">delman, </w:t>
      </w:r>
      <w:r>
        <w:rPr>
          <w:rFonts w:ascii="Arial" w:hAnsi="Arial" w:cs="Arial"/>
          <w:sz w:val="20"/>
          <w:szCs w:val="20"/>
        </w:rPr>
        <w:t>S</w:t>
      </w:r>
      <w:r w:rsidRPr="00943C7B">
        <w:rPr>
          <w:rFonts w:ascii="Arial" w:hAnsi="Arial" w:cs="Arial"/>
          <w:sz w:val="20"/>
          <w:szCs w:val="20"/>
        </w:rPr>
        <w:t xml:space="preserve">teward, </w:t>
      </w:r>
      <w:r>
        <w:rPr>
          <w:rFonts w:ascii="Arial" w:hAnsi="Arial" w:cs="Arial"/>
          <w:sz w:val="20"/>
          <w:szCs w:val="20"/>
        </w:rPr>
        <w:t>G</w:t>
      </w:r>
      <w:r w:rsidRPr="00943C7B">
        <w:rPr>
          <w:rFonts w:ascii="Arial" w:hAnsi="Arial" w:cs="Arial"/>
          <w:sz w:val="20"/>
          <w:szCs w:val="20"/>
        </w:rPr>
        <w:t xml:space="preserve">leeson, </w:t>
      </w:r>
      <w:r>
        <w:rPr>
          <w:rFonts w:ascii="Arial" w:hAnsi="Arial" w:cs="Arial"/>
          <w:sz w:val="20"/>
          <w:szCs w:val="20"/>
        </w:rPr>
        <w:t>J</w:t>
      </w:r>
      <w:r w:rsidRPr="00943C7B">
        <w:rPr>
          <w:rFonts w:ascii="Arial" w:hAnsi="Arial" w:cs="Arial"/>
          <w:sz w:val="20"/>
          <w:szCs w:val="20"/>
        </w:rPr>
        <w:t xml:space="preserve">agot and </w:t>
      </w:r>
      <w:r>
        <w:rPr>
          <w:rFonts w:ascii="Arial" w:hAnsi="Arial" w:cs="Arial"/>
          <w:sz w:val="20"/>
          <w:szCs w:val="20"/>
        </w:rPr>
        <w:t>B</w:t>
      </w:r>
      <w:r w:rsidRPr="00943C7B">
        <w:rPr>
          <w:rFonts w:ascii="Arial" w:hAnsi="Arial" w:cs="Arial"/>
          <w:sz w:val="20"/>
          <w:szCs w:val="20"/>
        </w:rPr>
        <w:t>eech-</w:t>
      </w:r>
      <w:r>
        <w:rPr>
          <w:rFonts w:ascii="Arial" w:hAnsi="Arial" w:cs="Arial"/>
          <w:sz w:val="20"/>
          <w:szCs w:val="20"/>
        </w:rPr>
        <w:t>J</w:t>
      </w:r>
      <w:r w:rsidRPr="00943C7B">
        <w:rPr>
          <w:rFonts w:ascii="Arial" w:hAnsi="Arial" w:cs="Arial"/>
          <w:sz w:val="20"/>
          <w:szCs w:val="20"/>
        </w:rPr>
        <w:t>ones</w:t>
      </w:r>
      <w:r>
        <w:rPr>
          <w:rFonts w:ascii="Arial" w:hAnsi="Arial" w:cs="Arial"/>
          <w:sz w:val="20"/>
          <w:szCs w:val="20"/>
        </w:rPr>
        <w:t xml:space="preserve"> </w:t>
      </w:r>
      <w:r w:rsidR="007B5842">
        <w:rPr>
          <w:rFonts w:ascii="Arial" w:hAnsi="Arial" w:cs="Arial"/>
          <w:sz w:val="20"/>
          <w:szCs w:val="20"/>
        </w:rPr>
        <w:t xml:space="preserve">JJ </w:t>
      </w:r>
      <w:r>
        <w:rPr>
          <w:rFonts w:ascii="Arial" w:hAnsi="Arial" w:cs="Arial"/>
          <w:sz w:val="20"/>
          <w:szCs w:val="20"/>
        </w:rPr>
        <w:t>said:</w:t>
      </w:r>
    </w:p>
    <w:p w14:paraId="19D59E0F" w14:textId="77777777" w:rsidR="00BE6C3B" w:rsidRDefault="00592325" w:rsidP="00592325">
      <w:pPr>
        <w:pStyle w:val="CCVNumberLevel1"/>
        <w:tabs>
          <w:tab w:val="clear" w:pos="1134"/>
        </w:tabs>
        <w:spacing w:before="60" w:after="0" w:line="240" w:lineRule="auto"/>
        <w:ind w:left="567" w:right="567" w:firstLine="0"/>
        <w:rPr>
          <w:rFonts w:cs="Arial"/>
          <w:sz w:val="20"/>
        </w:rPr>
      </w:pPr>
      <w:r>
        <w:rPr>
          <w:rFonts w:cs="Arial"/>
          <w:sz w:val="20"/>
        </w:rPr>
        <w:t xml:space="preserve">[1] “In </w:t>
      </w:r>
      <w:r w:rsidR="00943C7B" w:rsidRPr="00592325">
        <w:rPr>
          <w:rFonts w:cs="Arial"/>
          <w:i/>
          <w:iCs/>
          <w:sz w:val="20"/>
        </w:rPr>
        <w:t>R v Dennis Bauer (a pseudonym)</w:t>
      </w:r>
      <w:r>
        <w:rPr>
          <w:rFonts w:cs="Arial"/>
          <w:sz w:val="20"/>
        </w:rPr>
        <w:t xml:space="preserve"> </w:t>
      </w:r>
      <w:r w:rsidR="006B1D82">
        <w:rPr>
          <w:rFonts w:cs="Arial"/>
          <w:sz w:val="20"/>
        </w:rPr>
        <w:t>(2018) 266 CLR 56 at</w:t>
      </w:r>
      <w:r w:rsidR="00BE6C3B">
        <w:rPr>
          <w:rFonts w:cs="Arial"/>
          <w:sz w:val="20"/>
        </w:rPr>
        <w:t xml:space="preserve"> </w:t>
      </w:r>
      <w:r w:rsidR="006B1D82">
        <w:rPr>
          <w:rFonts w:cs="Arial"/>
          <w:sz w:val="20"/>
        </w:rPr>
        <w:t>[86]</w:t>
      </w:r>
      <w:r w:rsidR="00943C7B" w:rsidRPr="00943C7B">
        <w:rPr>
          <w:rFonts w:cs="Arial"/>
          <w:sz w:val="20"/>
        </w:rPr>
        <w:t xml:space="preserve">, this Court observed that trial judges in New South Wales should not ordinarily direct a jury that, before they may act on evidence of uncharged acts adduced to support an alleged tendency on the part of an accused, they must be satisfied of proof of the uncharged acts beyond reasonable doubt. The Court noted </w:t>
      </w:r>
      <w:r w:rsidR="00BE6C3B">
        <w:rPr>
          <w:rFonts w:cs="Arial"/>
          <w:sz w:val="20"/>
        </w:rPr>
        <w:t xml:space="preserve">at [86] </w:t>
      </w:r>
      <w:r w:rsidR="00943C7B" w:rsidRPr="00943C7B">
        <w:rPr>
          <w:rFonts w:cs="Arial"/>
          <w:sz w:val="20"/>
        </w:rPr>
        <w:t xml:space="preserve">that one circumstance in which such a direction should be given is where there is a </w:t>
      </w:r>
      <w:r w:rsidR="00BE6C3B">
        <w:rPr>
          <w:rFonts w:cs="Arial"/>
          <w:sz w:val="20"/>
        </w:rPr>
        <w:t>‘</w:t>
      </w:r>
      <w:r w:rsidR="00943C7B" w:rsidRPr="00943C7B">
        <w:rPr>
          <w:rFonts w:cs="Arial"/>
          <w:sz w:val="20"/>
        </w:rPr>
        <w:t>significant possibility of the jury treating the uncharged acts as an indispensable link in their chain of reasoning to guilt</w:t>
      </w:r>
      <w:r w:rsidR="00BE6C3B">
        <w:rPr>
          <w:rFonts w:cs="Arial"/>
          <w:sz w:val="20"/>
        </w:rPr>
        <w:t>’</w:t>
      </w:r>
      <w:r w:rsidR="00943C7B" w:rsidRPr="00943C7B">
        <w:rPr>
          <w:rFonts w:cs="Arial"/>
          <w:sz w:val="20"/>
        </w:rPr>
        <w:t xml:space="preserve">, citing, amongst other cases, </w:t>
      </w:r>
      <w:r w:rsidR="00943C7B" w:rsidRPr="00BE6C3B">
        <w:rPr>
          <w:rFonts w:cs="Arial"/>
          <w:i/>
          <w:iCs/>
          <w:sz w:val="20"/>
        </w:rPr>
        <w:t>Shepherd v The Queen</w:t>
      </w:r>
      <w:r w:rsidR="00BE6C3B">
        <w:rPr>
          <w:rFonts w:cs="Arial"/>
          <w:sz w:val="20"/>
        </w:rPr>
        <w:t xml:space="preserve"> (1990) 170 CLR 573 at 584-585</w:t>
      </w:r>
      <w:r w:rsidR="00943C7B" w:rsidRPr="00943C7B">
        <w:rPr>
          <w:rFonts w:cs="Arial"/>
          <w:sz w:val="20"/>
        </w:rPr>
        <w:t>.</w:t>
      </w:r>
    </w:p>
    <w:p w14:paraId="36A5EB47" w14:textId="6B85824C" w:rsidR="00CA2279" w:rsidRPr="00943C7B" w:rsidRDefault="00BE6C3B" w:rsidP="00BE6C3B">
      <w:pPr>
        <w:pStyle w:val="CCVNumberLevel1"/>
        <w:tabs>
          <w:tab w:val="clear" w:pos="1134"/>
        </w:tabs>
        <w:spacing w:before="60" w:after="0" w:line="240" w:lineRule="auto"/>
        <w:ind w:left="567" w:right="567" w:firstLine="0"/>
        <w:rPr>
          <w:rFonts w:cs="Arial"/>
          <w:sz w:val="20"/>
        </w:rPr>
      </w:pPr>
      <w:r>
        <w:rPr>
          <w:rFonts w:cs="Arial"/>
          <w:sz w:val="20"/>
        </w:rPr>
        <w:t>[</w:t>
      </w:r>
      <w:r w:rsidR="00943C7B" w:rsidRPr="00943C7B">
        <w:rPr>
          <w:rFonts w:cs="Arial"/>
          <w:sz w:val="20"/>
        </w:rPr>
        <w:t>2</w:t>
      </w:r>
      <w:r>
        <w:rPr>
          <w:rFonts w:cs="Arial"/>
          <w:sz w:val="20"/>
        </w:rPr>
        <w:t>]</w:t>
      </w:r>
      <w:r w:rsidR="00943C7B" w:rsidRPr="00943C7B">
        <w:rPr>
          <w:rFonts w:cs="Arial"/>
          <w:sz w:val="20"/>
        </w:rPr>
        <w:t xml:space="preserve"> In </w:t>
      </w:r>
      <w:r w:rsidR="00943C7B" w:rsidRPr="00BE6C3B">
        <w:rPr>
          <w:rFonts w:cs="Arial"/>
          <w:i/>
          <w:iCs/>
          <w:sz w:val="20"/>
        </w:rPr>
        <w:t>Bauer</w:t>
      </w:r>
      <w:r>
        <w:rPr>
          <w:rFonts w:cs="Arial"/>
          <w:i/>
          <w:iCs/>
          <w:sz w:val="20"/>
        </w:rPr>
        <w:t xml:space="preserve"> </w:t>
      </w:r>
      <w:r w:rsidRPr="00BE6C3B">
        <w:rPr>
          <w:rFonts w:cs="Arial"/>
          <w:sz w:val="20"/>
        </w:rPr>
        <w:t>at [86]</w:t>
      </w:r>
      <w:r w:rsidR="00943C7B" w:rsidRPr="00943C7B">
        <w:rPr>
          <w:rFonts w:cs="Arial"/>
          <w:sz w:val="20"/>
        </w:rPr>
        <w:t>, this Court also observed that the giving of a direction to the effect that such uncharged acts should be proved beyond reasonable doubt is precluded in Victoria by ss</w:t>
      </w:r>
      <w:r>
        <w:rPr>
          <w:rFonts w:cs="Arial"/>
          <w:sz w:val="20"/>
        </w:rPr>
        <w:t>.</w:t>
      </w:r>
      <w:r w:rsidR="00943C7B" w:rsidRPr="00943C7B">
        <w:rPr>
          <w:rFonts w:cs="Arial"/>
          <w:sz w:val="20"/>
        </w:rPr>
        <w:t xml:space="preserve">61 and 62 of the </w:t>
      </w:r>
      <w:r w:rsidR="00943C7B" w:rsidRPr="00BE6C3B">
        <w:rPr>
          <w:rFonts w:cs="Arial"/>
          <w:i/>
          <w:iCs/>
          <w:sz w:val="20"/>
        </w:rPr>
        <w:t>Jury Directions Act 2015</w:t>
      </w:r>
      <w:r w:rsidR="00943C7B" w:rsidRPr="00943C7B">
        <w:rPr>
          <w:rFonts w:cs="Arial"/>
          <w:sz w:val="20"/>
        </w:rPr>
        <w:t xml:space="preserve"> (Vic). The principal question raised by this application is whether the same position applies in Victoria in relation to evidence of </w:t>
      </w:r>
      <w:r w:rsidR="00943C7B" w:rsidRPr="00BE6C3B">
        <w:rPr>
          <w:rFonts w:cs="Arial"/>
          <w:i/>
          <w:iCs/>
          <w:sz w:val="20"/>
        </w:rPr>
        <w:t>charged</w:t>
      </w:r>
      <w:r w:rsidR="00943C7B" w:rsidRPr="00943C7B">
        <w:rPr>
          <w:rFonts w:cs="Arial"/>
          <w:sz w:val="20"/>
        </w:rPr>
        <w:t xml:space="preserve"> acts relied on to support an alleged tendency on the part of the accused. For the reasons that follow, the answer is </w:t>
      </w:r>
      <w:r w:rsidR="007B5842">
        <w:rPr>
          <w:rFonts w:cs="Arial"/>
          <w:sz w:val="20"/>
        </w:rPr>
        <w:t>‘</w:t>
      </w:r>
      <w:r w:rsidR="00943C7B" w:rsidRPr="00943C7B">
        <w:rPr>
          <w:rFonts w:cs="Arial"/>
          <w:sz w:val="20"/>
        </w:rPr>
        <w:t>yes</w:t>
      </w:r>
      <w:r w:rsidR="007B5842">
        <w:rPr>
          <w:rFonts w:cs="Arial"/>
          <w:sz w:val="20"/>
        </w:rPr>
        <w:t>’</w:t>
      </w:r>
      <w:r w:rsidR="00943C7B" w:rsidRPr="00943C7B">
        <w:rPr>
          <w:rFonts w:cs="Arial"/>
          <w:sz w:val="20"/>
        </w:rPr>
        <w:t>. As the Victorian Court of Appeal was wrong to conclude otherwise</w:t>
      </w:r>
      <w:r>
        <w:rPr>
          <w:rFonts w:cs="Arial"/>
          <w:sz w:val="20"/>
        </w:rPr>
        <w:t xml:space="preserve"> {[2023] VSCA 262 at [33]}, </w:t>
      </w:r>
      <w:r w:rsidR="00943C7B" w:rsidRPr="00943C7B">
        <w:rPr>
          <w:rFonts w:cs="Arial"/>
          <w:sz w:val="20"/>
        </w:rPr>
        <w:t>special leave to appeal should be granted, the appeal should be allowed and the trial judge's ruling to the contrary should be set aside.</w:t>
      </w:r>
    </w:p>
    <w:p w14:paraId="2ABB07A1" w14:textId="5A90B9F3" w:rsidR="00CA2279" w:rsidRDefault="00BE6C3B" w:rsidP="00BE6C3B">
      <w:pPr>
        <w:ind w:left="567"/>
        <w:jc w:val="both"/>
        <w:rPr>
          <w:rFonts w:ascii="Arial" w:hAnsi="Arial" w:cs="Arial"/>
          <w:sz w:val="20"/>
          <w:szCs w:val="20"/>
        </w:rPr>
      </w:pPr>
      <w:r>
        <w:rPr>
          <w:rFonts w:ascii="Arial" w:hAnsi="Arial" w:cs="Arial"/>
          <w:sz w:val="20"/>
          <w:szCs w:val="20"/>
        </w:rPr>
        <w:t>…</w:t>
      </w:r>
    </w:p>
    <w:p w14:paraId="65813332" w14:textId="67A776DF" w:rsidR="006B1D82" w:rsidRPr="00943C7B" w:rsidRDefault="006B1D82" w:rsidP="006B1D82">
      <w:pPr>
        <w:pStyle w:val="CCVNumberLevel1"/>
        <w:tabs>
          <w:tab w:val="clear" w:pos="1134"/>
        </w:tabs>
        <w:spacing w:before="60" w:after="0" w:line="240" w:lineRule="auto"/>
        <w:ind w:left="567" w:right="567" w:firstLine="0"/>
        <w:rPr>
          <w:rFonts w:cs="Arial"/>
          <w:sz w:val="20"/>
        </w:rPr>
      </w:pPr>
      <w:r>
        <w:rPr>
          <w:rFonts w:cs="Arial"/>
          <w:sz w:val="20"/>
        </w:rPr>
        <w:t xml:space="preserve">[37] </w:t>
      </w:r>
      <w:r w:rsidRPr="006B1D82">
        <w:rPr>
          <w:rFonts w:cs="Arial"/>
          <w:sz w:val="20"/>
        </w:rPr>
        <w:t xml:space="preserve">As this case concerns Victoria, the primary point of reference for determining the content of the appropriate directions in relation to tendency evidence is the </w:t>
      </w:r>
      <w:r w:rsidRPr="00BE6C3B">
        <w:rPr>
          <w:rFonts w:cs="Arial"/>
          <w:i/>
          <w:iCs/>
          <w:sz w:val="20"/>
        </w:rPr>
        <w:t>Jury Directions Act</w:t>
      </w:r>
      <w:r w:rsidR="00BE6C3B">
        <w:rPr>
          <w:rFonts w:cs="Arial"/>
          <w:sz w:val="20"/>
        </w:rPr>
        <w:t>, Pt 4 Div 2</w:t>
      </w:r>
      <w:r w:rsidRPr="006B1D82">
        <w:rPr>
          <w:rFonts w:cs="Arial"/>
          <w:sz w:val="20"/>
        </w:rPr>
        <w:t>. That said, it follows from the nature of tendency evidence that, in a case where the prosecution relies on both uncharged and charged acts to establish an alleged tendency of the kind under consideration here, a single separate tendency direction should ordinarily be given. Such a direction should not direct or invite the jury to make findings in respect of charged conduct, but instead should indicate the evidence relied on to support the alleged tendency</w:t>
      </w:r>
      <w:r w:rsidR="00BE6C3B">
        <w:rPr>
          <w:rFonts w:cs="Arial"/>
          <w:sz w:val="20"/>
        </w:rPr>
        <w:t xml:space="preserve"> {</w:t>
      </w:r>
      <w:r w:rsidR="00BE6C3B" w:rsidRPr="00BE6C3B">
        <w:rPr>
          <w:rFonts w:cs="Arial"/>
          <w:i/>
          <w:iCs/>
          <w:sz w:val="20"/>
        </w:rPr>
        <w:t>JS</w:t>
      </w:r>
      <w:r w:rsidR="00BE6C3B">
        <w:rPr>
          <w:rFonts w:cs="Arial"/>
          <w:sz w:val="20"/>
        </w:rPr>
        <w:t xml:space="preserve"> [2022] NSWCCA 145 at [43]; see also </w:t>
      </w:r>
      <w:r w:rsidR="00BE6C3B" w:rsidRPr="00BE6C3B">
        <w:rPr>
          <w:rFonts w:cs="Arial"/>
          <w:i/>
          <w:iCs/>
          <w:sz w:val="20"/>
        </w:rPr>
        <w:t>Jury Directions Act</w:t>
      </w:r>
      <w:r w:rsidR="00BE6C3B">
        <w:rPr>
          <w:rFonts w:cs="Arial"/>
          <w:sz w:val="20"/>
        </w:rPr>
        <w:t xml:space="preserve">, s.27(3)(a)}, </w:t>
      </w:r>
      <w:r w:rsidRPr="006B1D82">
        <w:rPr>
          <w:rFonts w:cs="Arial"/>
          <w:sz w:val="20"/>
        </w:rPr>
        <w:t>direct the jury to consider whether they are satisfied of the alleged tendency and then advise the jury that, if they are so satisfied, they can use that tendency in considering whether it is more likely that the accused committed the specific offences with which he or she is charged. Careful directions should be given to the jury as to the requisite onus and standard of proof</w:t>
      </w:r>
      <w:r w:rsidR="007B5842">
        <w:rPr>
          <w:rFonts w:cs="Arial"/>
          <w:sz w:val="20"/>
        </w:rPr>
        <w:t xml:space="preserve"> {</w:t>
      </w:r>
      <w:r w:rsidR="007B5842" w:rsidRPr="00BE6C3B">
        <w:rPr>
          <w:rFonts w:cs="Arial"/>
          <w:i/>
          <w:iCs/>
          <w:sz w:val="20"/>
        </w:rPr>
        <w:t>Jury Directions Act</w:t>
      </w:r>
      <w:r w:rsidR="007B5842">
        <w:rPr>
          <w:rFonts w:cs="Arial"/>
          <w:sz w:val="20"/>
        </w:rPr>
        <w:t>, ss.61-64}</w:t>
      </w:r>
      <w:r w:rsidRPr="006B1D82">
        <w:rPr>
          <w:rFonts w:cs="Arial"/>
          <w:sz w:val="20"/>
        </w:rPr>
        <w:t xml:space="preserve"> as well as to the contents of the elements of the offence and the need for separate consideration of each charge</w:t>
      </w:r>
      <w:r w:rsidR="007B5842">
        <w:rPr>
          <w:rFonts w:cs="Arial"/>
          <w:sz w:val="20"/>
        </w:rPr>
        <w:t xml:space="preserve">: </w:t>
      </w:r>
      <w:r w:rsidR="007B5842" w:rsidRPr="007B5842">
        <w:rPr>
          <w:rFonts w:cs="Arial"/>
          <w:i/>
          <w:iCs/>
          <w:sz w:val="20"/>
        </w:rPr>
        <w:t>MFA v The Queen</w:t>
      </w:r>
      <w:r w:rsidR="007B5842">
        <w:rPr>
          <w:rFonts w:cs="Arial"/>
          <w:sz w:val="20"/>
        </w:rPr>
        <w:t xml:space="preserve"> (2002) 213 CLR 606 at 617 [34]; </w:t>
      </w:r>
      <w:r w:rsidR="007B5842" w:rsidRPr="007B5842">
        <w:rPr>
          <w:rFonts w:cs="Arial"/>
          <w:i/>
          <w:iCs/>
          <w:sz w:val="20"/>
        </w:rPr>
        <w:t>JS</w:t>
      </w:r>
      <w:r w:rsidR="007B5842">
        <w:rPr>
          <w:rFonts w:cs="Arial"/>
          <w:sz w:val="20"/>
        </w:rPr>
        <w:t xml:space="preserve"> [2022] NSWCCA 145 at [44]</w:t>
      </w:r>
      <w:r w:rsidRPr="006B1D82">
        <w:rPr>
          <w:rFonts w:cs="Arial"/>
          <w:sz w:val="20"/>
        </w:rPr>
        <w:t>.</w:t>
      </w:r>
      <w:r w:rsidR="007B5842">
        <w:rPr>
          <w:rFonts w:cs="Arial"/>
          <w:sz w:val="20"/>
        </w:rPr>
        <w:t>”</w:t>
      </w:r>
    </w:p>
    <w:p w14:paraId="6C90BB68" w14:textId="77777777" w:rsidR="003D2B80" w:rsidRDefault="003D2B80" w:rsidP="002768B3">
      <w:pPr>
        <w:jc w:val="both"/>
        <w:rPr>
          <w:rFonts w:ascii="Arial" w:hAnsi="Arial" w:cs="Arial"/>
          <w:sz w:val="20"/>
        </w:rPr>
      </w:pPr>
    </w:p>
    <w:p w14:paraId="4D7B08E7" w14:textId="7B17BC3C" w:rsidR="003D2B80" w:rsidRDefault="003D2B80" w:rsidP="002768B3">
      <w:pPr>
        <w:jc w:val="both"/>
        <w:rPr>
          <w:rFonts w:ascii="Arial" w:hAnsi="Arial" w:cs="Arial"/>
          <w:sz w:val="20"/>
        </w:rPr>
      </w:pPr>
      <w:r>
        <w:rPr>
          <w:rFonts w:ascii="Arial" w:hAnsi="Arial" w:cs="Arial"/>
          <w:sz w:val="20"/>
        </w:rPr>
        <w:t xml:space="preserve">In </w:t>
      </w:r>
      <w:r w:rsidR="00B77BD9">
        <w:rPr>
          <w:rFonts w:ascii="Arial" w:hAnsi="Arial" w:cs="Arial"/>
          <w:sz w:val="20"/>
        </w:rPr>
        <w:t xml:space="preserve">allowing the Crown appeal in </w:t>
      </w:r>
      <w:r w:rsidRPr="003D2B80">
        <w:rPr>
          <w:rFonts w:ascii="Arial" w:hAnsi="Arial" w:cs="Arial"/>
          <w:i/>
          <w:iCs/>
          <w:sz w:val="20"/>
        </w:rPr>
        <w:t>The King v AR</w:t>
      </w:r>
      <w:r w:rsidRPr="003D2B80">
        <w:rPr>
          <w:rFonts w:ascii="Arial" w:hAnsi="Arial" w:cs="Arial"/>
          <w:sz w:val="20"/>
        </w:rPr>
        <w:t xml:space="preserve"> [2026] HCA 10</w:t>
      </w:r>
      <w:r>
        <w:rPr>
          <w:rFonts w:ascii="Arial" w:hAnsi="Arial" w:cs="Arial"/>
          <w:sz w:val="20"/>
        </w:rPr>
        <w:t xml:space="preserve"> </w:t>
      </w:r>
      <w:r w:rsidR="00B77BD9">
        <w:rPr>
          <w:rFonts w:ascii="Arial" w:hAnsi="Arial" w:cs="Arial"/>
          <w:sz w:val="20"/>
        </w:rPr>
        <w:t xml:space="preserve">Gageler CJ, Gleeson &amp; Beech-Jones JJ </w:t>
      </w:r>
      <w:r w:rsidR="00C10C13">
        <w:rPr>
          <w:rFonts w:ascii="Arial" w:hAnsi="Arial" w:cs="Arial"/>
          <w:sz w:val="20"/>
        </w:rPr>
        <w:t xml:space="preserve">(3 of the 4 judges in the majority) </w:t>
      </w:r>
      <w:r w:rsidR="00AC74C4">
        <w:rPr>
          <w:rFonts w:ascii="Arial" w:hAnsi="Arial" w:cs="Arial"/>
          <w:sz w:val="20"/>
        </w:rPr>
        <w:t xml:space="preserve">in effect reiterated what </w:t>
      </w:r>
      <w:r w:rsidR="00B77BD9">
        <w:rPr>
          <w:rFonts w:ascii="Arial" w:hAnsi="Arial" w:cs="Arial"/>
          <w:sz w:val="20"/>
        </w:rPr>
        <w:t>the High Court</w:t>
      </w:r>
      <w:r w:rsidR="00AC74C4">
        <w:rPr>
          <w:rFonts w:ascii="Arial" w:hAnsi="Arial" w:cs="Arial"/>
          <w:sz w:val="20"/>
        </w:rPr>
        <w:t xml:space="preserve"> had ruled in </w:t>
      </w:r>
      <w:r w:rsidR="00AC74C4" w:rsidRPr="00513B2E">
        <w:rPr>
          <w:rFonts w:ascii="Arial" w:hAnsi="Arial" w:cs="Arial"/>
          <w:i/>
          <w:iCs/>
          <w:sz w:val="20"/>
          <w:szCs w:val="20"/>
        </w:rPr>
        <w:t xml:space="preserve">Director of Public Prosecutions (Vic) v Benjamin </w:t>
      </w:r>
      <w:proofErr w:type="spellStart"/>
      <w:r w:rsidR="00AC74C4" w:rsidRPr="00513B2E">
        <w:rPr>
          <w:rFonts w:ascii="Arial" w:hAnsi="Arial" w:cs="Arial"/>
          <w:i/>
          <w:iCs/>
          <w:sz w:val="20"/>
          <w:szCs w:val="20"/>
        </w:rPr>
        <w:t>Roder</w:t>
      </w:r>
      <w:proofErr w:type="spellEnd"/>
      <w:r w:rsidR="00AC74C4" w:rsidRPr="00513B2E">
        <w:rPr>
          <w:rFonts w:ascii="Arial" w:hAnsi="Arial" w:cs="Arial"/>
          <w:i/>
          <w:iCs/>
          <w:sz w:val="20"/>
          <w:szCs w:val="20"/>
        </w:rPr>
        <w:t xml:space="preserve"> (a pseudonym)</w:t>
      </w:r>
      <w:r w:rsidR="00AC74C4">
        <w:rPr>
          <w:rFonts w:ascii="Arial" w:hAnsi="Arial" w:cs="Arial"/>
          <w:sz w:val="20"/>
          <w:szCs w:val="20"/>
        </w:rPr>
        <w:t xml:space="preserve"> (2</w:t>
      </w:r>
      <w:r w:rsidR="00AC74C4" w:rsidRPr="00AC74C4">
        <w:rPr>
          <w:rFonts w:ascii="Arial" w:hAnsi="Arial" w:cs="Arial"/>
          <w:sz w:val="20"/>
          <w:szCs w:val="20"/>
        </w:rPr>
        <w:t>024) 281 CLR 18</w:t>
      </w:r>
      <w:r w:rsidR="00AC74C4">
        <w:rPr>
          <w:rFonts w:ascii="Arial" w:hAnsi="Arial" w:cs="Arial"/>
          <w:sz w:val="20"/>
          <w:szCs w:val="20"/>
        </w:rPr>
        <w:t xml:space="preserve">. </w:t>
      </w:r>
      <w:r>
        <w:rPr>
          <w:rFonts w:ascii="Arial" w:hAnsi="Arial" w:cs="Arial"/>
          <w:sz w:val="20"/>
        </w:rPr>
        <w:t>At [5]-[12] – under the heading “</w:t>
      </w:r>
      <w:r w:rsidRPr="003D2B80">
        <w:rPr>
          <w:rFonts w:ascii="Arial" w:hAnsi="Arial" w:cs="Arial"/>
          <w:b/>
          <w:bCs/>
          <w:sz w:val="20"/>
        </w:rPr>
        <w:t>Standard of proof of tendency in a criminal case</w:t>
      </w:r>
      <w:r>
        <w:rPr>
          <w:rFonts w:ascii="Arial" w:hAnsi="Arial" w:cs="Arial"/>
          <w:sz w:val="20"/>
        </w:rPr>
        <w:t xml:space="preserve">” </w:t>
      </w:r>
      <w:r w:rsidR="00AC74C4">
        <w:rPr>
          <w:rFonts w:ascii="Arial" w:hAnsi="Arial" w:cs="Arial"/>
          <w:sz w:val="20"/>
        </w:rPr>
        <w:t>–</w:t>
      </w:r>
      <w:r w:rsidR="00FD5B8B">
        <w:rPr>
          <w:rFonts w:ascii="Arial" w:hAnsi="Arial" w:cs="Arial"/>
          <w:sz w:val="20"/>
        </w:rPr>
        <w:t xml:space="preserve">their Honours </w:t>
      </w:r>
      <w:r>
        <w:rPr>
          <w:rFonts w:ascii="Arial" w:hAnsi="Arial" w:cs="Arial"/>
          <w:sz w:val="20"/>
        </w:rPr>
        <w:t>said</w:t>
      </w:r>
      <w:r w:rsidR="00A76BB6">
        <w:rPr>
          <w:rFonts w:ascii="Arial" w:hAnsi="Arial" w:cs="Arial"/>
          <w:sz w:val="20"/>
        </w:rPr>
        <w:t xml:space="preserve"> </w:t>
      </w:r>
      <w:r w:rsidR="00C10C13" w:rsidRPr="00C10C13">
        <w:rPr>
          <w:rFonts w:ascii="Arial" w:hAnsi="Arial" w:cs="Arial"/>
          <w:sz w:val="20"/>
        </w:rPr>
        <w:t xml:space="preserve">of s.97(1) of the </w:t>
      </w:r>
      <w:r w:rsidR="00C10C13" w:rsidRPr="00C10C13">
        <w:rPr>
          <w:rFonts w:ascii="Arial" w:hAnsi="Arial" w:cs="Arial"/>
          <w:i/>
          <w:iCs/>
          <w:sz w:val="20"/>
        </w:rPr>
        <w:t>Evidence Act 1995</w:t>
      </w:r>
      <w:r w:rsidR="00C10C13" w:rsidRPr="00C10C13">
        <w:rPr>
          <w:rFonts w:ascii="Arial" w:hAnsi="Arial" w:cs="Arial"/>
          <w:sz w:val="20"/>
        </w:rPr>
        <w:t xml:space="preserve"> (NSW) which is identical to s.97(1) of the </w:t>
      </w:r>
      <w:r w:rsidR="00C10C13" w:rsidRPr="00C10C13">
        <w:rPr>
          <w:rFonts w:ascii="Arial" w:hAnsi="Arial" w:cs="Arial"/>
          <w:i/>
          <w:iCs/>
          <w:sz w:val="20"/>
        </w:rPr>
        <w:t>Evidence Act 2008</w:t>
      </w:r>
      <w:r w:rsidR="00C10C13" w:rsidRPr="00C10C13">
        <w:rPr>
          <w:rFonts w:ascii="Arial" w:hAnsi="Arial" w:cs="Arial"/>
          <w:sz w:val="20"/>
        </w:rPr>
        <w:t xml:space="preserve"> (Vic)</w:t>
      </w:r>
      <w:r w:rsidR="00C10C13">
        <w:rPr>
          <w:rFonts w:ascii="Arial" w:hAnsi="Arial" w:cs="Arial"/>
          <w:sz w:val="20"/>
        </w:rPr>
        <w:t xml:space="preserve"> </w:t>
      </w:r>
      <w:r w:rsidR="00A76BB6">
        <w:rPr>
          <w:rFonts w:ascii="Arial" w:hAnsi="Arial" w:cs="Arial"/>
          <w:sz w:val="20"/>
        </w:rPr>
        <w:t>[emphasis added]</w:t>
      </w:r>
      <w:r>
        <w:rPr>
          <w:rFonts w:ascii="Arial" w:hAnsi="Arial" w:cs="Arial"/>
          <w:sz w:val="20"/>
        </w:rPr>
        <w:t>:</w:t>
      </w:r>
    </w:p>
    <w:p w14:paraId="351D3089" w14:textId="6BDAC5AC" w:rsidR="003D2B80" w:rsidRDefault="003D2B80" w:rsidP="003D2B80">
      <w:pPr>
        <w:pStyle w:val="CCVNumberLevel1"/>
        <w:tabs>
          <w:tab w:val="clear" w:pos="1134"/>
        </w:tabs>
        <w:spacing w:before="60" w:after="0" w:line="240" w:lineRule="auto"/>
        <w:ind w:left="567" w:right="567" w:firstLine="0"/>
        <w:rPr>
          <w:rFonts w:cs="Arial"/>
          <w:sz w:val="20"/>
        </w:rPr>
      </w:pPr>
      <w:r>
        <w:rPr>
          <w:rFonts w:cs="Arial"/>
          <w:sz w:val="20"/>
        </w:rPr>
        <w:t>[5] “</w:t>
      </w:r>
      <w:r w:rsidRPr="003D2B80">
        <w:rPr>
          <w:rFonts w:cs="Arial"/>
          <w:sz w:val="20"/>
        </w:rPr>
        <w:t xml:space="preserve">Section 97(1) of the </w:t>
      </w:r>
      <w:r w:rsidRPr="003D2B80">
        <w:rPr>
          <w:rFonts w:cs="Arial"/>
          <w:i/>
          <w:iCs/>
          <w:sz w:val="20"/>
        </w:rPr>
        <w:t>Evidence Act 1995</w:t>
      </w:r>
      <w:r w:rsidRPr="003D2B80">
        <w:rPr>
          <w:rFonts w:cs="Arial"/>
          <w:sz w:val="20"/>
        </w:rPr>
        <w:t xml:space="preserve"> (NSW) precludes the admission of evidence of, inter alia, </w:t>
      </w:r>
      <w:r>
        <w:rPr>
          <w:rFonts w:cs="Arial"/>
          <w:sz w:val="20"/>
        </w:rPr>
        <w:t>‘</w:t>
      </w:r>
      <w:r w:rsidRPr="003D2B80">
        <w:rPr>
          <w:rFonts w:cs="Arial"/>
          <w:sz w:val="20"/>
        </w:rPr>
        <w:t>a tendency that a person has or had ... to act in a particular way, or to have a particular state of mind</w:t>
      </w:r>
      <w:r>
        <w:rPr>
          <w:rFonts w:cs="Arial"/>
          <w:sz w:val="20"/>
        </w:rPr>
        <w:t>’</w:t>
      </w:r>
      <w:r w:rsidRPr="003D2B80">
        <w:rPr>
          <w:rFonts w:cs="Arial"/>
          <w:sz w:val="20"/>
        </w:rPr>
        <w:t xml:space="preserve"> to prove that the person has or had that tendency unless </w:t>
      </w:r>
      <w:r>
        <w:rPr>
          <w:rFonts w:cs="Arial"/>
          <w:sz w:val="20"/>
        </w:rPr>
        <w:t>‘</w:t>
      </w:r>
      <w:r w:rsidRPr="003D2B80">
        <w:rPr>
          <w:rFonts w:cs="Arial"/>
          <w:sz w:val="20"/>
        </w:rPr>
        <w:t>the party seeking to adduce the evidence [has given] reasonable notice in writing</w:t>
      </w:r>
      <w:r>
        <w:rPr>
          <w:rFonts w:cs="Arial"/>
          <w:sz w:val="20"/>
        </w:rPr>
        <w:t>’</w:t>
      </w:r>
      <w:r w:rsidRPr="003D2B80">
        <w:rPr>
          <w:rFonts w:cs="Arial"/>
          <w:sz w:val="20"/>
        </w:rPr>
        <w:t xml:space="preserve"> and </w:t>
      </w:r>
      <w:r>
        <w:rPr>
          <w:rFonts w:cs="Arial"/>
          <w:sz w:val="20"/>
        </w:rPr>
        <w:t>‘</w:t>
      </w:r>
      <w:r w:rsidRPr="003D2B80">
        <w:rPr>
          <w:rFonts w:cs="Arial"/>
          <w:sz w:val="20"/>
        </w:rPr>
        <w:t>the court thinks that the evidence will, either by itself or having regard to other evidence adduced or [sought] to be adduced ... have significant probative value</w:t>
      </w:r>
      <w:r>
        <w:rPr>
          <w:rFonts w:cs="Arial"/>
          <w:sz w:val="20"/>
        </w:rPr>
        <w:t>’</w:t>
      </w:r>
      <w:r w:rsidRPr="003D2B80">
        <w:rPr>
          <w:rFonts w:cs="Arial"/>
          <w:sz w:val="20"/>
        </w:rPr>
        <w:t xml:space="preserve">. Section 101(2) precludes the prosecution in a criminal case from using such evidence about an accused </w:t>
      </w:r>
      <w:r>
        <w:rPr>
          <w:rFonts w:cs="Arial"/>
          <w:sz w:val="20"/>
        </w:rPr>
        <w:t>‘</w:t>
      </w:r>
      <w:r w:rsidRPr="003D2B80">
        <w:rPr>
          <w:rFonts w:cs="Arial"/>
          <w:sz w:val="20"/>
        </w:rPr>
        <w:t>unless its probative value substantially outweighs any prejudicial effect that it may have on the accused"</w:t>
      </w:r>
      <w:r>
        <w:rPr>
          <w:rFonts w:cs="Arial"/>
          <w:sz w:val="20"/>
        </w:rPr>
        <w:t xml:space="preserve">: see </w:t>
      </w:r>
      <w:r w:rsidRPr="003D2B80">
        <w:rPr>
          <w:rFonts w:cs="Arial"/>
          <w:i/>
          <w:iCs/>
          <w:sz w:val="20"/>
        </w:rPr>
        <w:t>Hughes v The Queen</w:t>
      </w:r>
      <w:r w:rsidRPr="003D2B80">
        <w:rPr>
          <w:rFonts w:cs="Arial"/>
          <w:sz w:val="20"/>
        </w:rPr>
        <w:t xml:space="preserve"> (2017) 263 CLR 338 at 349 [17].</w:t>
      </w:r>
      <w:r>
        <w:rPr>
          <w:rFonts w:cs="Arial"/>
          <w:sz w:val="20"/>
        </w:rPr>
        <w:t xml:space="preserve"> </w:t>
      </w:r>
      <w:r w:rsidRPr="003D2B80">
        <w:rPr>
          <w:rFonts w:cs="Arial"/>
          <w:sz w:val="20"/>
        </w:rPr>
        <w:t>Section 97</w:t>
      </w:r>
      <w:proofErr w:type="gramStart"/>
      <w:r w:rsidRPr="003D2B80">
        <w:rPr>
          <w:rFonts w:cs="Arial"/>
          <w:sz w:val="20"/>
        </w:rPr>
        <w:t>A(</w:t>
      </w:r>
      <w:proofErr w:type="gramEnd"/>
      <w:r w:rsidRPr="003D2B80">
        <w:rPr>
          <w:rFonts w:cs="Arial"/>
          <w:sz w:val="20"/>
        </w:rPr>
        <w:t xml:space="preserve">2) of the </w:t>
      </w:r>
      <w:r w:rsidRPr="003D2B80">
        <w:rPr>
          <w:rFonts w:cs="Arial"/>
          <w:i/>
          <w:iCs/>
          <w:sz w:val="20"/>
        </w:rPr>
        <w:t>Evidence Act</w:t>
      </w:r>
      <w:r w:rsidRPr="003D2B80">
        <w:rPr>
          <w:rFonts w:cs="Arial"/>
          <w:sz w:val="20"/>
        </w:rPr>
        <w:t xml:space="preserve"> establishes a presumption in proceedings involving </w:t>
      </w:r>
      <w:r>
        <w:rPr>
          <w:rFonts w:cs="Arial"/>
          <w:sz w:val="20"/>
        </w:rPr>
        <w:t>‘</w:t>
      </w:r>
      <w:r w:rsidRPr="003D2B80">
        <w:rPr>
          <w:rFonts w:cs="Arial"/>
          <w:sz w:val="20"/>
        </w:rPr>
        <w:t>a child sexual offence</w:t>
      </w:r>
      <w:r>
        <w:rPr>
          <w:rFonts w:cs="Arial"/>
          <w:sz w:val="20"/>
        </w:rPr>
        <w:t>’</w:t>
      </w:r>
      <w:r w:rsidRPr="003D2B80">
        <w:rPr>
          <w:rFonts w:cs="Arial"/>
          <w:sz w:val="20"/>
        </w:rPr>
        <w:t xml:space="preserve"> that tendency evidence about the sexual interest a defendant has or had in children </w:t>
      </w:r>
      <w:r w:rsidRPr="003D2B80">
        <w:rPr>
          <w:rFonts w:cs="Arial"/>
          <w:sz w:val="20"/>
        </w:rPr>
        <w:lastRenderedPageBreak/>
        <w:t>and about a defendant acting on that interest has significant probative value for the purposes of ss 97(1)(b) and 101(2).</w:t>
      </w:r>
      <w:r>
        <w:rPr>
          <w:rFonts w:cs="Arial"/>
          <w:sz w:val="20"/>
        </w:rPr>
        <w:t xml:space="preserve"> </w:t>
      </w:r>
      <w:r w:rsidRPr="003D2B80">
        <w:rPr>
          <w:rFonts w:cs="Arial"/>
          <w:sz w:val="20"/>
        </w:rPr>
        <w:t>No issue arose concerning s 97A in this appeal.</w:t>
      </w:r>
    </w:p>
    <w:p w14:paraId="612A7193" w14:textId="75AC0F77" w:rsidR="003D2B80" w:rsidRDefault="003D2B80" w:rsidP="003D2B80">
      <w:pPr>
        <w:pStyle w:val="CCVNumberLevel1"/>
        <w:tabs>
          <w:tab w:val="clear" w:pos="1134"/>
        </w:tabs>
        <w:spacing w:before="60" w:after="0" w:line="240" w:lineRule="auto"/>
        <w:ind w:left="567" w:right="567" w:firstLine="0"/>
        <w:rPr>
          <w:rFonts w:cs="Arial"/>
          <w:sz w:val="20"/>
        </w:rPr>
      </w:pPr>
      <w:r>
        <w:rPr>
          <w:rFonts w:cs="Arial"/>
          <w:sz w:val="20"/>
        </w:rPr>
        <w:t>[6] T</w:t>
      </w:r>
      <w:r w:rsidRPr="003D2B80">
        <w:rPr>
          <w:rFonts w:cs="Arial"/>
          <w:sz w:val="20"/>
        </w:rPr>
        <w:t xml:space="preserve">he evidence said to demonstrate the relevant tendency on the part of the respondent was also evidence of the acts the subject of the charges on the indictment, and no issue was ultimately pursued as to whether that evidence was cross-admissible at his trial. Nevertheless, the evidence said to support the existence of the alleged tendency had to satisfy ss 97 and 101(2) of the </w:t>
      </w:r>
      <w:r w:rsidRPr="003D2B80">
        <w:rPr>
          <w:rFonts w:cs="Arial"/>
          <w:i/>
          <w:iCs/>
          <w:sz w:val="20"/>
        </w:rPr>
        <w:t>Evidence Act</w:t>
      </w:r>
      <w:r w:rsidRPr="003D2B80">
        <w:rPr>
          <w:rFonts w:cs="Arial"/>
          <w:sz w:val="20"/>
        </w:rPr>
        <w:t xml:space="preserve"> before the Crown could invite the jury to deploy tendency reasoning or the trial judge could direct the jury that such reasoning could be deployed</w:t>
      </w:r>
      <w:r>
        <w:rPr>
          <w:rFonts w:cs="Arial"/>
          <w:sz w:val="20"/>
        </w:rPr>
        <w:t xml:space="preserve">: </w:t>
      </w:r>
      <w:r w:rsidRPr="003D2B80">
        <w:rPr>
          <w:rFonts w:cs="Arial"/>
          <w:i/>
          <w:iCs/>
          <w:sz w:val="20"/>
        </w:rPr>
        <w:t>McPhillamy v The Queen</w:t>
      </w:r>
      <w:r w:rsidRPr="003D2B80">
        <w:rPr>
          <w:rFonts w:cs="Arial"/>
          <w:sz w:val="20"/>
        </w:rPr>
        <w:t xml:space="preserve"> (2018) 92 ALJR 1045 at 1049 [16]; 361 ALR 13 at 17.</w:t>
      </w:r>
    </w:p>
    <w:p w14:paraId="64074938" w14:textId="6EAB23B0" w:rsidR="003D2B80" w:rsidRPr="00A76BB6" w:rsidRDefault="003D2B80" w:rsidP="003D2B80">
      <w:pPr>
        <w:pStyle w:val="CCVNumberLevel1"/>
        <w:tabs>
          <w:tab w:val="clear" w:pos="1134"/>
        </w:tabs>
        <w:spacing w:before="60" w:after="0" w:line="240" w:lineRule="auto"/>
        <w:ind w:left="567" w:right="567" w:firstLine="0"/>
        <w:rPr>
          <w:rFonts w:cs="Arial"/>
          <w:b/>
          <w:bCs/>
          <w:sz w:val="20"/>
        </w:rPr>
      </w:pPr>
      <w:r w:rsidRPr="00A76BB6">
        <w:rPr>
          <w:rFonts w:cs="Arial"/>
          <w:b/>
          <w:bCs/>
          <w:sz w:val="20"/>
        </w:rPr>
        <w:t xml:space="preserve">[7] Tendency evidence is a form of circumstantial evidence: </w:t>
      </w:r>
      <w:proofErr w:type="spellStart"/>
      <w:r w:rsidRPr="00A76BB6">
        <w:rPr>
          <w:rFonts w:cs="Arial"/>
          <w:b/>
          <w:bCs/>
          <w:i/>
          <w:iCs/>
          <w:sz w:val="20"/>
        </w:rPr>
        <w:t>Roder</w:t>
      </w:r>
      <w:proofErr w:type="spellEnd"/>
      <w:r w:rsidRPr="00A76BB6">
        <w:rPr>
          <w:rFonts w:cs="Arial"/>
          <w:b/>
          <w:bCs/>
          <w:sz w:val="20"/>
        </w:rPr>
        <w:t xml:space="preserve"> (2024) 281 CLR 18 at 31 [23].</w:t>
      </w:r>
      <w:r w:rsidR="00513B2E" w:rsidRPr="00A76BB6">
        <w:rPr>
          <w:rFonts w:cs="Arial"/>
          <w:b/>
          <w:bCs/>
          <w:sz w:val="20"/>
        </w:rPr>
        <w:t xml:space="preserve"> </w:t>
      </w:r>
      <w:r w:rsidRPr="00A76BB6">
        <w:rPr>
          <w:rFonts w:cs="Arial"/>
          <w:b/>
          <w:bCs/>
          <w:sz w:val="20"/>
        </w:rPr>
        <w:t>The alleged tendency is an ‘intermediate fact’</w:t>
      </w:r>
      <w:r w:rsidR="00513B2E" w:rsidRPr="00A76BB6">
        <w:rPr>
          <w:rFonts w:cs="Arial"/>
          <w:b/>
          <w:bCs/>
          <w:sz w:val="20"/>
        </w:rPr>
        <w:t xml:space="preserve"> {</w:t>
      </w:r>
      <w:r w:rsidR="00513B2E" w:rsidRPr="00A76BB6">
        <w:rPr>
          <w:rFonts w:cs="Arial"/>
          <w:b/>
          <w:bCs/>
          <w:i/>
          <w:iCs/>
          <w:sz w:val="20"/>
        </w:rPr>
        <w:t>Shepherd v The Queen</w:t>
      </w:r>
      <w:r w:rsidR="00513B2E" w:rsidRPr="00A76BB6">
        <w:rPr>
          <w:rFonts w:cs="Arial"/>
          <w:b/>
          <w:bCs/>
          <w:sz w:val="20"/>
        </w:rPr>
        <w:t xml:space="preserve"> (1990) 170 CLR 573 at 579}</w:t>
      </w:r>
      <w:r w:rsidRPr="00A76BB6">
        <w:rPr>
          <w:rFonts w:cs="Arial"/>
          <w:b/>
          <w:bCs/>
          <w:sz w:val="20"/>
        </w:rPr>
        <w:t xml:space="preserve"> to be proved in its own right and, if established, the tendency can then be deployed in aid of proof of the charge(s) to which it relates</w:t>
      </w:r>
      <w:r w:rsidR="00513B2E" w:rsidRPr="00A76BB6">
        <w:rPr>
          <w:rFonts w:cs="Arial"/>
          <w:b/>
          <w:bCs/>
          <w:sz w:val="20"/>
        </w:rPr>
        <w:t xml:space="preserve">: </w:t>
      </w:r>
      <w:proofErr w:type="spellStart"/>
      <w:r w:rsidR="00513B2E" w:rsidRPr="00A76BB6">
        <w:rPr>
          <w:rFonts w:cs="Arial"/>
          <w:b/>
          <w:bCs/>
          <w:i/>
          <w:iCs/>
          <w:sz w:val="20"/>
        </w:rPr>
        <w:t>Roder</w:t>
      </w:r>
      <w:proofErr w:type="spellEnd"/>
      <w:r w:rsidR="00513B2E" w:rsidRPr="00A76BB6">
        <w:rPr>
          <w:rFonts w:cs="Arial"/>
          <w:b/>
          <w:bCs/>
          <w:sz w:val="20"/>
        </w:rPr>
        <w:t xml:space="preserve"> (2024) 281 CLR 18 at 33 [27]. </w:t>
      </w:r>
      <w:r w:rsidRPr="00A76BB6">
        <w:rPr>
          <w:rFonts w:cs="Arial"/>
          <w:b/>
          <w:bCs/>
          <w:sz w:val="20"/>
        </w:rPr>
        <w:t>Tendency reasoning involves first assessing the strength of the evidence said to establish the tendency and then considering the extent to which the tendency makes it more likely that the elements of the relevant offence or offences charged are established</w:t>
      </w:r>
      <w:r w:rsidR="00513B2E" w:rsidRPr="00A76BB6">
        <w:rPr>
          <w:rFonts w:cs="Arial"/>
          <w:b/>
          <w:bCs/>
          <w:sz w:val="20"/>
        </w:rPr>
        <w:t xml:space="preserve">: </w:t>
      </w:r>
      <w:proofErr w:type="spellStart"/>
      <w:r w:rsidR="00513B2E" w:rsidRPr="00A76BB6">
        <w:rPr>
          <w:rFonts w:cs="Arial"/>
          <w:b/>
          <w:bCs/>
          <w:i/>
          <w:iCs/>
          <w:sz w:val="20"/>
        </w:rPr>
        <w:t>Roder</w:t>
      </w:r>
      <w:proofErr w:type="spellEnd"/>
      <w:r w:rsidR="00513B2E" w:rsidRPr="00A76BB6">
        <w:rPr>
          <w:rFonts w:cs="Arial"/>
          <w:b/>
          <w:bCs/>
          <w:sz w:val="20"/>
        </w:rPr>
        <w:t xml:space="preserve"> (2024) 281 CLR 18 at 31-32 [24].</w:t>
      </w:r>
    </w:p>
    <w:p w14:paraId="715C8F62" w14:textId="6700FA47" w:rsidR="00513B2E" w:rsidRDefault="003D2B80" w:rsidP="003D2B80">
      <w:pPr>
        <w:pStyle w:val="CCVNumberLevel1"/>
        <w:tabs>
          <w:tab w:val="clear" w:pos="1134"/>
        </w:tabs>
        <w:spacing w:before="60" w:after="0" w:line="240" w:lineRule="auto"/>
        <w:ind w:left="567" w:right="567" w:firstLine="0"/>
        <w:rPr>
          <w:rFonts w:cs="Arial"/>
          <w:sz w:val="20"/>
        </w:rPr>
      </w:pPr>
      <w:r>
        <w:rPr>
          <w:rFonts w:cs="Arial"/>
          <w:sz w:val="20"/>
        </w:rPr>
        <w:t>[</w:t>
      </w:r>
      <w:r w:rsidRPr="003D2B80">
        <w:rPr>
          <w:rFonts w:cs="Arial"/>
          <w:sz w:val="20"/>
        </w:rPr>
        <w:t>8</w:t>
      </w:r>
      <w:r>
        <w:rPr>
          <w:rFonts w:cs="Arial"/>
          <w:sz w:val="20"/>
        </w:rPr>
        <w:t>]</w:t>
      </w:r>
      <w:r w:rsidRPr="003D2B80">
        <w:rPr>
          <w:rFonts w:cs="Arial"/>
          <w:sz w:val="20"/>
        </w:rPr>
        <w:t xml:space="preserve"> </w:t>
      </w:r>
      <w:r w:rsidRPr="00FD5B8B">
        <w:rPr>
          <w:rFonts w:cs="Arial"/>
          <w:b/>
          <w:bCs/>
          <w:sz w:val="20"/>
        </w:rPr>
        <w:t>Evidence of either or both charged acts</w:t>
      </w:r>
      <w:r w:rsidR="00513B2E">
        <w:rPr>
          <w:rFonts w:cs="Arial"/>
          <w:sz w:val="20"/>
        </w:rPr>
        <w:t xml:space="preserve"> {s</w:t>
      </w:r>
      <w:r w:rsidR="00513B2E" w:rsidRPr="003D2B80">
        <w:rPr>
          <w:rFonts w:cs="Arial"/>
          <w:sz w:val="20"/>
        </w:rPr>
        <w:t xml:space="preserve">ee, </w:t>
      </w:r>
      <w:proofErr w:type="spellStart"/>
      <w:r w:rsidR="00513B2E" w:rsidRPr="003D2B80">
        <w:rPr>
          <w:rFonts w:cs="Arial"/>
          <w:sz w:val="20"/>
        </w:rPr>
        <w:t>eg</w:t>
      </w:r>
      <w:proofErr w:type="spellEnd"/>
      <w:r w:rsidR="00513B2E" w:rsidRPr="003D2B80">
        <w:rPr>
          <w:rFonts w:cs="Arial"/>
          <w:sz w:val="20"/>
        </w:rPr>
        <w:t xml:space="preserve">, </w:t>
      </w:r>
      <w:r w:rsidR="00513B2E" w:rsidRPr="00513B2E">
        <w:rPr>
          <w:rFonts w:cs="Arial"/>
          <w:i/>
          <w:iCs/>
          <w:sz w:val="20"/>
        </w:rPr>
        <w:t>Hughes</w:t>
      </w:r>
      <w:r w:rsidR="00513B2E" w:rsidRPr="003D2B80">
        <w:rPr>
          <w:rFonts w:cs="Arial"/>
          <w:sz w:val="20"/>
        </w:rPr>
        <w:t xml:space="preserve"> (2017) 263 CLR 338 at 344-345 [3]-[4]; </w:t>
      </w:r>
      <w:proofErr w:type="spellStart"/>
      <w:r w:rsidR="00513B2E" w:rsidRPr="00513B2E">
        <w:rPr>
          <w:rFonts w:cs="Arial"/>
          <w:i/>
          <w:iCs/>
          <w:sz w:val="20"/>
        </w:rPr>
        <w:t>Roder</w:t>
      </w:r>
      <w:proofErr w:type="spellEnd"/>
      <w:r w:rsidR="00513B2E" w:rsidRPr="003D2B80">
        <w:rPr>
          <w:rFonts w:cs="Arial"/>
          <w:sz w:val="20"/>
        </w:rPr>
        <w:t xml:space="preserve"> (2024) 281 CLR 18 at 31 [22]</w:t>
      </w:r>
      <w:r w:rsidR="00513B2E">
        <w:rPr>
          <w:rFonts w:cs="Arial"/>
          <w:sz w:val="20"/>
        </w:rPr>
        <w:t>}</w:t>
      </w:r>
      <w:r w:rsidRPr="003D2B80">
        <w:rPr>
          <w:rFonts w:cs="Arial"/>
          <w:sz w:val="20"/>
        </w:rPr>
        <w:t xml:space="preserve"> </w:t>
      </w:r>
      <w:r w:rsidRPr="00FD5B8B">
        <w:rPr>
          <w:rFonts w:cs="Arial"/>
          <w:b/>
          <w:bCs/>
          <w:sz w:val="20"/>
        </w:rPr>
        <w:t>or uncharged acts</w:t>
      </w:r>
      <w:r w:rsidR="00513B2E">
        <w:rPr>
          <w:rFonts w:cs="Arial"/>
          <w:sz w:val="20"/>
        </w:rPr>
        <w:t xml:space="preserve"> {s</w:t>
      </w:r>
      <w:r w:rsidR="00513B2E" w:rsidRPr="003D2B80">
        <w:rPr>
          <w:rFonts w:cs="Arial"/>
          <w:sz w:val="20"/>
        </w:rPr>
        <w:t xml:space="preserve">ee, </w:t>
      </w:r>
      <w:proofErr w:type="spellStart"/>
      <w:r w:rsidR="00513B2E" w:rsidRPr="003D2B80">
        <w:rPr>
          <w:rFonts w:cs="Arial"/>
          <w:sz w:val="20"/>
        </w:rPr>
        <w:t>eg</w:t>
      </w:r>
      <w:proofErr w:type="spellEnd"/>
      <w:r w:rsidR="00513B2E" w:rsidRPr="003D2B80">
        <w:rPr>
          <w:rFonts w:cs="Arial"/>
          <w:sz w:val="20"/>
        </w:rPr>
        <w:t xml:space="preserve">, </w:t>
      </w:r>
      <w:r w:rsidR="00513B2E" w:rsidRPr="00513B2E">
        <w:rPr>
          <w:rFonts w:cs="Arial"/>
          <w:i/>
          <w:iCs/>
          <w:sz w:val="20"/>
        </w:rPr>
        <w:t>Hughes</w:t>
      </w:r>
      <w:r w:rsidR="00513B2E" w:rsidRPr="003D2B80">
        <w:rPr>
          <w:rFonts w:cs="Arial"/>
          <w:sz w:val="20"/>
        </w:rPr>
        <w:t xml:space="preserve"> (2017) 263 CLR 338 at 345-346 [5]-[10]; </w:t>
      </w:r>
      <w:r w:rsidR="00513B2E" w:rsidRPr="00513B2E">
        <w:rPr>
          <w:rFonts w:cs="Arial"/>
          <w:i/>
          <w:iCs/>
          <w:sz w:val="20"/>
        </w:rPr>
        <w:t>R v Dennis Bauer (a pseudonym)</w:t>
      </w:r>
      <w:r w:rsidR="00513B2E" w:rsidRPr="003D2B80">
        <w:rPr>
          <w:rFonts w:cs="Arial"/>
          <w:sz w:val="20"/>
        </w:rPr>
        <w:t xml:space="preserve"> (2018) 266 CLR 56 at 82 [48]; </w:t>
      </w:r>
      <w:r w:rsidR="00513B2E" w:rsidRPr="00513B2E">
        <w:rPr>
          <w:rFonts w:cs="Arial"/>
          <w:i/>
          <w:iCs/>
          <w:sz w:val="20"/>
        </w:rPr>
        <w:t>McPhillamy</w:t>
      </w:r>
      <w:r w:rsidR="00513B2E" w:rsidRPr="003D2B80">
        <w:rPr>
          <w:rFonts w:cs="Arial"/>
          <w:sz w:val="20"/>
        </w:rPr>
        <w:t xml:space="preserve"> (2018) 92 ALJR 1045 at 1048 [10]; 361 ALR 13 at 15-16; </w:t>
      </w:r>
      <w:r w:rsidR="00513B2E" w:rsidRPr="00513B2E">
        <w:rPr>
          <w:rFonts w:cs="Arial"/>
          <w:i/>
          <w:iCs/>
          <w:sz w:val="20"/>
        </w:rPr>
        <w:t>BQ v The King</w:t>
      </w:r>
      <w:r w:rsidR="00513B2E" w:rsidRPr="003D2B80">
        <w:rPr>
          <w:rFonts w:cs="Arial"/>
          <w:sz w:val="20"/>
        </w:rPr>
        <w:t xml:space="preserve"> (2024) 279 CLR 124 at 130 [8]- [9]</w:t>
      </w:r>
      <w:r w:rsidR="00513B2E">
        <w:rPr>
          <w:rFonts w:cs="Arial"/>
          <w:sz w:val="20"/>
        </w:rPr>
        <w:t>}</w:t>
      </w:r>
      <w:r w:rsidRPr="003D2B80">
        <w:rPr>
          <w:rFonts w:cs="Arial"/>
          <w:sz w:val="20"/>
        </w:rPr>
        <w:t xml:space="preserve"> </w:t>
      </w:r>
      <w:r w:rsidRPr="00FD5B8B">
        <w:rPr>
          <w:rFonts w:cs="Arial"/>
          <w:b/>
          <w:bCs/>
          <w:sz w:val="20"/>
        </w:rPr>
        <w:t>can be relied on to establish a tendency. Absent legislative intervention and whether the evidence said to demonstrate the tendency is evidence of charged acts or uncharged acts, the standard of proof concerning such evidence is governed by the principles applicable to circumstantial evidence</w:t>
      </w:r>
      <w:r w:rsidR="00513B2E">
        <w:rPr>
          <w:rFonts w:cs="Arial"/>
          <w:sz w:val="20"/>
        </w:rPr>
        <w:t xml:space="preserve">: </w:t>
      </w:r>
      <w:proofErr w:type="spellStart"/>
      <w:r w:rsidR="00FD5B8B" w:rsidRPr="00FD5B8B">
        <w:rPr>
          <w:rFonts w:cs="Arial"/>
          <w:i/>
          <w:iCs/>
          <w:sz w:val="20"/>
        </w:rPr>
        <w:t>Roder</w:t>
      </w:r>
      <w:proofErr w:type="spellEnd"/>
      <w:r w:rsidR="00FD5B8B" w:rsidRPr="00FD5B8B">
        <w:rPr>
          <w:rFonts w:cs="Arial"/>
          <w:sz w:val="20"/>
        </w:rPr>
        <w:t xml:space="preserve"> (2024) 281 CLR 18 at 31 [23].</w:t>
      </w:r>
      <w:r w:rsidR="00FD5B8B">
        <w:rPr>
          <w:rFonts w:cs="Arial"/>
          <w:sz w:val="20"/>
        </w:rPr>
        <w:t xml:space="preserve"> </w:t>
      </w:r>
      <w:r w:rsidRPr="00FD5B8B">
        <w:rPr>
          <w:rFonts w:cs="Arial"/>
          <w:b/>
          <w:bCs/>
          <w:sz w:val="20"/>
        </w:rPr>
        <w:t xml:space="preserve">Unless the tendency is an indispensable </w:t>
      </w:r>
      <w:r w:rsidR="00513B2E" w:rsidRPr="00FD5B8B">
        <w:rPr>
          <w:rFonts w:cs="Arial"/>
          <w:b/>
          <w:bCs/>
          <w:sz w:val="20"/>
        </w:rPr>
        <w:t>intermediate step in reasoning to guilt</w:t>
      </w:r>
      <w:r w:rsidR="00B77BD9">
        <w:rPr>
          <w:rFonts w:cs="Arial"/>
          <w:sz w:val="20"/>
        </w:rPr>
        <w:t xml:space="preserve"> {s</w:t>
      </w:r>
      <w:r w:rsidR="00B77BD9" w:rsidRPr="00513B2E">
        <w:rPr>
          <w:rFonts w:cs="Arial"/>
          <w:sz w:val="20"/>
        </w:rPr>
        <w:t xml:space="preserve">ee </w:t>
      </w:r>
      <w:r w:rsidR="00B77BD9" w:rsidRPr="00B77BD9">
        <w:rPr>
          <w:rFonts w:cs="Arial"/>
          <w:i/>
          <w:iCs/>
          <w:sz w:val="20"/>
        </w:rPr>
        <w:t xml:space="preserve">Shepherd </w:t>
      </w:r>
      <w:r w:rsidR="00B77BD9" w:rsidRPr="00513B2E">
        <w:rPr>
          <w:rFonts w:cs="Arial"/>
          <w:sz w:val="20"/>
        </w:rPr>
        <w:t xml:space="preserve">(1990) 170 CLR 573 at 584-585; </w:t>
      </w:r>
      <w:r w:rsidR="00B77BD9" w:rsidRPr="00B77BD9">
        <w:rPr>
          <w:rFonts w:cs="Arial"/>
          <w:i/>
          <w:iCs/>
          <w:sz w:val="20"/>
        </w:rPr>
        <w:t>Gipp v The Queen</w:t>
      </w:r>
      <w:r w:rsidR="00B77BD9" w:rsidRPr="00513B2E">
        <w:rPr>
          <w:rFonts w:cs="Arial"/>
          <w:sz w:val="20"/>
        </w:rPr>
        <w:t xml:space="preserve"> (1998) 194 CLR 106 at 133 [79]; </w:t>
      </w:r>
      <w:r w:rsidR="00B77BD9" w:rsidRPr="00B77BD9">
        <w:rPr>
          <w:rFonts w:cs="Arial"/>
          <w:i/>
          <w:iCs/>
          <w:sz w:val="20"/>
        </w:rPr>
        <w:t>Bauer</w:t>
      </w:r>
      <w:r w:rsidR="00B77BD9" w:rsidRPr="00513B2E">
        <w:rPr>
          <w:rFonts w:cs="Arial"/>
          <w:sz w:val="20"/>
        </w:rPr>
        <w:t xml:space="preserve"> (2018) 266 CLR 56 at 96 [80], 97-98 [86]</w:t>
      </w:r>
      <w:r w:rsidR="00B77BD9">
        <w:rPr>
          <w:rFonts w:cs="Arial"/>
          <w:sz w:val="20"/>
        </w:rPr>
        <w:t>}</w:t>
      </w:r>
      <w:r w:rsidR="00513B2E" w:rsidRPr="00513B2E">
        <w:rPr>
          <w:rFonts w:cs="Arial"/>
          <w:sz w:val="20"/>
        </w:rPr>
        <w:t xml:space="preserve"> </w:t>
      </w:r>
      <w:r w:rsidR="00513B2E" w:rsidRPr="00FD5B8B">
        <w:rPr>
          <w:rFonts w:cs="Arial"/>
          <w:b/>
          <w:bCs/>
          <w:sz w:val="20"/>
        </w:rPr>
        <w:t>then, whether the evidence said to establish the tendency is evidence of charged acts or uncharged acts, the jury should not be instructed that before it may act on evidence of those acts to support the finding of an alleged tendency it must be satisfied that those acts have been proved beyond reasonable doubt</w:t>
      </w:r>
      <w:r w:rsidR="00FD5B8B">
        <w:rPr>
          <w:rFonts w:cs="Arial"/>
          <w:sz w:val="20"/>
        </w:rPr>
        <w:t xml:space="preserve">: </w:t>
      </w:r>
      <w:r w:rsidR="00FD5B8B" w:rsidRPr="00FD5B8B">
        <w:rPr>
          <w:rFonts w:cs="Arial"/>
          <w:i/>
          <w:iCs/>
          <w:sz w:val="20"/>
        </w:rPr>
        <w:t>Bauer</w:t>
      </w:r>
      <w:r w:rsidR="00FD5B8B" w:rsidRPr="00513B2E">
        <w:rPr>
          <w:rFonts w:cs="Arial"/>
          <w:sz w:val="20"/>
        </w:rPr>
        <w:t xml:space="preserve"> (2018) 266 CLR 56 at 97-98 [86]; </w:t>
      </w:r>
      <w:proofErr w:type="spellStart"/>
      <w:r w:rsidR="00FD5B8B" w:rsidRPr="00FD5B8B">
        <w:rPr>
          <w:rFonts w:cs="Arial"/>
          <w:i/>
          <w:iCs/>
          <w:sz w:val="20"/>
        </w:rPr>
        <w:t>Roder</w:t>
      </w:r>
      <w:proofErr w:type="spellEnd"/>
      <w:r w:rsidR="00FD5B8B" w:rsidRPr="00513B2E">
        <w:rPr>
          <w:rFonts w:cs="Arial"/>
          <w:sz w:val="20"/>
        </w:rPr>
        <w:t xml:space="preserve"> (2024) 281 CLR 18 at 25 [1]-[2].</w:t>
      </w:r>
      <w:r w:rsidR="00513B2E" w:rsidRPr="00513B2E">
        <w:rPr>
          <w:rFonts w:cs="Arial"/>
          <w:sz w:val="20"/>
        </w:rPr>
        <w:t xml:space="preserve"> In New South Wales, this approach is reflected in s 161A of the </w:t>
      </w:r>
      <w:r w:rsidR="00513B2E" w:rsidRPr="00FD5B8B">
        <w:rPr>
          <w:rFonts w:cs="Arial"/>
          <w:i/>
          <w:iCs/>
          <w:sz w:val="20"/>
        </w:rPr>
        <w:t>Criminal Procedure Act 1986</w:t>
      </w:r>
      <w:r w:rsidR="00513B2E" w:rsidRPr="00513B2E">
        <w:rPr>
          <w:rFonts w:cs="Arial"/>
          <w:sz w:val="20"/>
        </w:rPr>
        <w:t xml:space="preserve"> (NSW)</w:t>
      </w:r>
      <w:r w:rsidR="00B77BD9">
        <w:rPr>
          <w:rFonts w:cs="Arial"/>
          <w:sz w:val="20"/>
        </w:rPr>
        <w:t>: s</w:t>
      </w:r>
      <w:r w:rsidR="00B77BD9" w:rsidRPr="00513B2E">
        <w:rPr>
          <w:rFonts w:cs="Arial"/>
          <w:sz w:val="20"/>
        </w:rPr>
        <w:t xml:space="preserve">ee </w:t>
      </w:r>
      <w:r w:rsidR="00B77BD9" w:rsidRPr="00B77BD9">
        <w:rPr>
          <w:rFonts w:cs="Arial"/>
          <w:i/>
          <w:iCs/>
          <w:sz w:val="20"/>
        </w:rPr>
        <w:t>JS v The Queen</w:t>
      </w:r>
      <w:r w:rsidR="00B77BD9" w:rsidRPr="00513B2E">
        <w:rPr>
          <w:rFonts w:cs="Arial"/>
          <w:sz w:val="20"/>
        </w:rPr>
        <w:t xml:space="preserve"> [2022] NSWCCA 145</w:t>
      </w:r>
      <w:r w:rsidR="00B77BD9">
        <w:rPr>
          <w:rFonts w:cs="Arial"/>
          <w:sz w:val="20"/>
        </w:rPr>
        <w:t>; i</w:t>
      </w:r>
      <w:r w:rsidR="00B77BD9" w:rsidRPr="00513B2E">
        <w:rPr>
          <w:rFonts w:cs="Arial"/>
          <w:sz w:val="20"/>
        </w:rPr>
        <w:t xml:space="preserve">n relation to Victoria, see </w:t>
      </w:r>
      <w:r w:rsidR="00B77BD9" w:rsidRPr="00B77BD9">
        <w:rPr>
          <w:rFonts w:cs="Arial"/>
          <w:i/>
          <w:iCs/>
          <w:sz w:val="20"/>
        </w:rPr>
        <w:t>Jury Directions Act 2015</w:t>
      </w:r>
      <w:r w:rsidR="00B77BD9" w:rsidRPr="00513B2E">
        <w:rPr>
          <w:rFonts w:cs="Arial"/>
          <w:sz w:val="20"/>
        </w:rPr>
        <w:t xml:space="preserve"> (Vic), ss 61, 62; </w:t>
      </w:r>
      <w:proofErr w:type="spellStart"/>
      <w:r w:rsidR="00B77BD9" w:rsidRPr="00B77BD9">
        <w:rPr>
          <w:rFonts w:cs="Arial"/>
          <w:i/>
          <w:iCs/>
          <w:sz w:val="20"/>
        </w:rPr>
        <w:t>Roder</w:t>
      </w:r>
      <w:proofErr w:type="spellEnd"/>
      <w:r w:rsidR="00B77BD9" w:rsidRPr="00513B2E">
        <w:rPr>
          <w:rFonts w:cs="Arial"/>
          <w:sz w:val="20"/>
        </w:rPr>
        <w:t xml:space="preserve"> (2024) 281 CLR 18 at 25 [2].</w:t>
      </w:r>
    </w:p>
    <w:p w14:paraId="19938684" w14:textId="60C52228" w:rsidR="00513B2E" w:rsidRDefault="00513B2E" w:rsidP="003D2B80">
      <w:pPr>
        <w:pStyle w:val="CCVNumberLevel1"/>
        <w:tabs>
          <w:tab w:val="clear" w:pos="1134"/>
        </w:tabs>
        <w:spacing w:before="60" w:after="0" w:line="240" w:lineRule="auto"/>
        <w:ind w:left="567" w:right="567" w:firstLine="0"/>
        <w:rPr>
          <w:rFonts w:cs="Arial"/>
          <w:sz w:val="20"/>
        </w:rPr>
      </w:pPr>
      <w:r>
        <w:rPr>
          <w:rFonts w:cs="Arial"/>
          <w:sz w:val="20"/>
        </w:rPr>
        <w:t>[</w:t>
      </w:r>
      <w:r w:rsidRPr="00513B2E">
        <w:rPr>
          <w:rFonts w:cs="Arial"/>
          <w:sz w:val="20"/>
        </w:rPr>
        <w:t>9</w:t>
      </w:r>
      <w:r>
        <w:rPr>
          <w:rFonts w:cs="Arial"/>
          <w:sz w:val="20"/>
        </w:rPr>
        <w:t>]</w:t>
      </w:r>
      <w:r w:rsidRPr="00513B2E">
        <w:rPr>
          <w:rFonts w:cs="Arial"/>
          <w:sz w:val="20"/>
        </w:rPr>
        <w:t xml:space="preserve"> Accordingly, in a criminal case, the tribunal of fact, including a jury, may, if it finds that an alleged tendency has been proved to a lesser standard by relying on direct evidence of charged acts, deploy that tendency in determining whether the charged acts have been proved beyond reasonable doubt. Such reasoning is not </w:t>
      </w:r>
      <w:r>
        <w:rPr>
          <w:rFonts w:cs="Arial"/>
          <w:sz w:val="20"/>
        </w:rPr>
        <w:t>‘</w:t>
      </w:r>
      <w:r w:rsidRPr="00513B2E">
        <w:rPr>
          <w:rFonts w:cs="Arial"/>
          <w:sz w:val="20"/>
        </w:rPr>
        <w:t>circular or incoherent</w:t>
      </w:r>
      <w:r>
        <w:rPr>
          <w:rFonts w:cs="Arial"/>
          <w:sz w:val="20"/>
        </w:rPr>
        <w:t xml:space="preserve">’: </w:t>
      </w:r>
      <w:proofErr w:type="spellStart"/>
      <w:r w:rsidR="00FD5B8B" w:rsidRPr="00FD5B8B">
        <w:rPr>
          <w:rFonts w:cs="Arial"/>
          <w:i/>
          <w:iCs/>
          <w:sz w:val="20"/>
        </w:rPr>
        <w:t>Roder</w:t>
      </w:r>
      <w:proofErr w:type="spellEnd"/>
      <w:r w:rsidR="00FD5B8B" w:rsidRPr="00513B2E">
        <w:rPr>
          <w:rFonts w:cs="Arial"/>
          <w:sz w:val="20"/>
        </w:rPr>
        <w:t xml:space="preserve"> (2024) 281 CLR 18 at 33 [27].</w:t>
      </w:r>
      <w:r w:rsidR="00FD5B8B">
        <w:rPr>
          <w:rFonts w:cs="Arial"/>
          <w:sz w:val="20"/>
        </w:rPr>
        <w:t xml:space="preserve"> </w:t>
      </w:r>
      <w:r w:rsidRPr="00513B2E">
        <w:rPr>
          <w:rFonts w:cs="Arial"/>
          <w:sz w:val="20"/>
        </w:rPr>
        <w:t xml:space="preserve">However, in </w:t>
      </w:r>
      <w:proofErr w:type="spellStart"/>
      <w:r w:rsidRPr="00FD5B8B">
        <w:rPr>
          <w:rFonts w:cs="Arial"/>
          <w:i/>
          <w:iCs/>
          <w:sz w:val="20"/>
        </w:rPr>
        <w:t>Roder</w:t>
      </w:r>
      <w:proofErr w:type="spellEnd"/>
      <w:r w:rsidRPr="00513B2E">
        <w:rPr>
          <w:rFonts w:cs="Arial"/>
          <w:sz w:val="20"/>
        </w:rPr>
        <w:t xml:space="preserve"> it was accepted that such reasoning carries a risk of undermining the jury's understanding of the necessity for proof of the elements of the charged offence beyond reasonable doubt</w:t>
      </w:r>
      <w:r w:rsidR="00FD5B8B">
        <w:rPr>
          <w:rFonts w:cs="Arial"/>
          <w:sz w:val="20"/>
        </w:rPr>
        <w:t xml:space="preserve">: </w:t>
      </w:r>
      <w:proofErr w:type="spellStart"/>
      <w:r w:rsidR="00FD5B8B" w:rsidRPr="00FD5B8B">
        <w:rPr>
          <w:rFonts w:cs="Arial"/>
          <w:i/>
          <w:iCs/>
          <w:sz w:val="20"/>
        </w:rPr>
        <w:t>Roder</w:t>
      </w:r>
      <w:proofErr w:type="spellEnd"/>
      <w:r w:rsidR="00FD5B8B" w:rsidRPr="00513B2E">
        <w:rPr>
          <w:rFonts w:cs="Arial"/>
          <w:sz w:val="20"/>
        </w:rPr>
        <w:t xml:space="preserve"> (2024) 281 CLR 18 at 33 [28].</w:t>
      </w:r>
      <w:r w:rsidR="00FD5B8B">
        <w:rPr>
          <w:rFonts w:cs="Arial"/>
          <w:sz w:val="20"/>
        </w:rPr>
        <w:t xml:space="preserve"> </w:t>
      </w:r>
      <w:r w:rsidRPr="00513B2E">
        <w:rPr>
          <w:rFonts w:cs="Arial"/>
          <w:sz w:val="20"/>
        </w:rPr>
        <w:t>One means of minimising that risk is for the trial judge, when directing the jury in relation to the alleged tendency, to avoid inviting the jury to make findings as to the conduct relied on in proof of the charged offence. Instead, the trial judge should identify the evidence said to support the alleged tendency and invite the jury to consider whether that tendency has been established</w:t>
      </w:r>
      <w:r w:rsidR="00134543">
        <w:rPr>
          <w:rFonts w:cs="Arial"/>
          <w:sz w:val="20"/>
        </w:rPr>
        <w:t xml:space="preserve">: </w:t>
      </w:r>
      <w:proofErr w:type="spellStart"/>
      <w:r w:rsidR="00134543" w:rsidRPr="00134543">
        <w:rPr>
          <w:rFonts w:cs="Arial"/>
          <w:i/>
          <w:iCs/>
          <w:sz w:val="20"/>
        </w:rPr>
        <w:t>Roder</w:t>
      </w:r>
      <w:proofErr w:type="spellEnd"/>
      <w:r w:rsidR="00134543" w:rsidRPr="00513B2E">
        <w:rPr>
          <w:rFonts w:cs="Arial"/>
          <w:sz w:val="20"/>
        </w:rPr>
        <w:t xml:space="preserve"> (2024) 281 CLR 18 at 33 [28], 37 [37].</w:t>
      </w:r>
    </w:p>
    <w:p w14:paraId="48E48186" w14:textId="77777777" w:rsidR="00FD5B8B" w:rsidRDefault="00513B2E" w:rsidP="003D2B80">
      <w:pPr>
        <w:pStyle w:val="CCVNumberLevel1"/>
        <w:tabs>
          <w:tab w:val="clear" w:pos="1134"/>
        </w:tabs>
        <w:spacing w:before="60" w:after="0" w:line="240" w:lineRule="auto"/>
        <w:ind w:left="567" w:right="567" w:firstLine="0"/>
        <w:rPr>
          <w:rFonts w:cs="Arial"/>
          <w:sz w:val="20"/>
        </w:rPr>
      </w:pPr>
      <w:r>
        <w:rPr>
          <w:rFonts w:cs="Arial"/>
          <w:sz w:val="20"/>
        </w:rPr>
        <w:t>[</w:t>
      </w:r>
      <w:r w:rsidRPr="00513B2E">
        <w:rPr>
          <w:rFonts w:cs="Arial"/>
          <w:sz w:val="20"/>
        </w:rPr>
        <w:t>10</w:t>
      </w:r>
      <w:r>
        <w:rPr>
          <w:rFonts w:cs="Arial"/>
          <w:sz w:val="20"/>
        </w:rPr>
        <w:t>]</w:t>
      </w:r>
      <w:r w:rsidRPr="00513B2E">
        <w:rPr>
          <w:rFonts w:cs="Arial"/>
          <w:sz w:val="20"/>
        </w:rPr>
        <w:t xml:space="preserve"> Ultimately in </w:t>
      </w:r>
      <w:proofErr w:type="spellStart"/>
      <w:r w:rsidRPr="00134543">
        <w:rPr>
          <w:rFonts w:cs="Arial"/>
          <w:i/>
          <w:iCs/>
          <w:sz w:val="20"/>
        </w:rPr>
        <w:t>Roder</w:t>
      </w:r>
      <w:proofErr w:type="spellEnd"/>
      <w:r w:rsidRPr="00513B2E">
        <w:rPr>
          <w:rFonts w:cs="Arial"/>
          <w:sz w:val="20"/>
        </w:rPr>
        <w:t>, this Court observed as follows in relation to a tendency direction where the evidence supporting the alleged tendency includes evidence of charged acts:</w:t>
      </w:r>
    </w:p>
    <w:p w14:paraId="7A7845AD" w14:textId="1473E698" w:rsidR="003D2B80" w:rsidRPr="00FD5B8B" w:rsidRDefault="00650775" w:rsidP="00FD5B8B">
      <w:pPr>
        <w:pStyle w:val="CCVNumberLevel1"/>
        <w:tabs>
          <w:tab w:val="clear" w:pos="1134"/>
        </w:tabs>
        <w:spacing w:before="60" w:after="0" w:line="240" w:lineRule="auto"/>
        <w:ind w:left="1021" w:right="1021" w:firstLine="0"/>
        <w:rPr>
          <w:rFonts w:cs="Arial"/>
          <w:sz w:val="18"/>
          <w:szCs w:val="18"/>
        </w:rPr>
      </w:pPr>
      <w:r>
        <w:rPr>
          <w:rFonts w:cs="Arial"/>
          <w:sz w:val="18"/>
          <w:szCs w:val="18"/>
        </w:rPr>
        <w:t>‘</w:t>
      </w:r>
      <w:r w:rsidR="00513B2E" w:rsidRPr="00FD5B8B">
        <w:rPr>
          <w:rFonts w:cs="Arial"/>
          <w:sz w:val="18"/>
          <w:szCs w:val="18"/>
        </w:rPr>
        <w:t xml:space="preserve">Such a direction should not direct or invite the jury to make findings in respect of charged conduct, but instead should indicate the evidence relied on to support the alleged tendency, direct the jury to consider whether they are satisfied of the alleged tendency and then advise the jury that, if they </w:t>
      </w:r>
      <w:r w:rsidR="00FD5B8B" w:rsidRPr="00FD5B8B">
        <w:rPr>
          <w:rFonts w:cs="Arial"/>
          <w:sz w:val="18"/>
          <w:szCs w:val="18"/>
        </w:rPr>
        <w:t>are so satisfied, they can use that tendency in considering whether it is more likely that the accused committed the specific offences with which he or she is charged. Careful directions should be given to the jury as to the requisite onus and standard of proof as well as to the contents of the elements of the offence and the need for separate consideration of each charge.</w:t>
      </w:r>
      <w:r>
        <w:rPr>
          <w:rFonts w:cs="Arial"/>
          <w:sz w:val="18"/>
          <w:szCs w:val="18"/>
        </w:rPr>
        <w:t>’</w:t>
      </w:r>
      <w:r w:rsidR="00FD5B8B" w:rsidRPr="00FD5B8B">
        <w:rPr>
          <w:rFonts w:cs="Arial"/>
          <w:sz w:val="18"/>
          <w:szCs w:val="18"/>
        </w:rPr>
        <w:t xml:space="preserve"> (emphasis added; footnotes omitted)</w:t>
      </w:r>
      <w:r w:rsidR="00FD5B8B">
        <w:rPr>
          <w:rFonts w:cs="Arial"/>
          <w:sz w:val="18"/>
          <w:szCs w:val="18"/>
        </w:rPr>
        <w:t>.</w:t>
      </w:r>
    </w:p>
    <w:p w14:paraId="3E50D166" w14:textId="707FDEE7" w:rsidR="00513B2E" w:rsidRDefault="00513B2E" w:rsidP="003D2B80">
      <w:pPr>
        <w:pStyle w:val="CCVNumberLevel1"/>
        <w:tabs>
          <w:tab w:val="clear" w:pos="1134"/>
        </w:tabs>
        <w:spacing w:before="60" w:after="0" w:line="240" w:lineRule="auto"/>
        <w:ind w:left="567" w:right="567" w:firstLine="0"/>
        <w:rPr>
          <w:rFonts w:cs="Arial"/>
          <w:sz w:val="20"/>
        </w:rPr>
      </w:pPr>
      <w:r>
        <w:rPr>
          <w:rFonts w:cs="Arial"/>
          <w:sz w:val="20"/>
        </w:rPr>
        <w:t xml:space="preserve">[11] </w:t>
      </w:r>
      <w:r w:rsidR="00FD5B8B" w:rsidRPr="00FD5B8B">
        <w:rPr>
          <w:rFonts w:cs="Arial"/>
          <w:sz w:val="20"/>
        </w:rPr>
        <w:t xml:space="preserve">It follows from the reference in this passage to </w:t>
      </w:r>
      <w:r w:rsidR="00650775">
        <w:rPr>
          <w:rFonts w:cs="Arial"/>
          <w:sz w:val="20"/>
        </w:rPr>
        <w:t>‘</w:t>
      </w:r>
      <w:r w:rsidR="00FD5B8B" w:rsidRPr="00FD5B8B">
        <w:rPr>
          <w:rFonts w:cs="Arial"/>
          <w:sz w:val="20"/>
        </w:rPr>
        <w:t>should</w:t>
      </w:r>
      <w:r w:rsidR="00650775">
        <w:rPr>
          <w:rFonts w:cs="Arial"/>
          <w:sz w:val="20"/>
        </w:rPr>
        <w:t>’</w:t>
      </w:r>
      <w:r w:rsidR="00FD5B8B" w:rsidRPr="00FD5B8B">
        <w:rPr>
          <w:rFonts w:cs="Arial"/>
          <w:sz w:val="20"/>
        </w:rPr>
        <w:t xml:space="preserve">, as opposed to </w:t>
      </w:r>
      <w:r w:rsidR="00650775">
        <w:rPr>
          <w:rFonts w:cs="Arial"/>
          <w:sz w:val="20"/>
        </w:rPr>
        <w:t>‘</w:t>
      </w:r>
      <w:r w:rsidR="00FD5B8B" w:rsidRPr="00FD5B8B">
        <w:rPr>
          <w:rFonts w:cs="Arial"/>
          <w:sz w:val="20"/>
        </w:rPr>
        <w:t>must</w:t>
      </w:r>
      <w:r w:rsidR="00650775">
        <w:rPr>
          <w:rFonts w:cs="Arial"/>
          <w:sz w:val="20"/>
        </w:rPr>
        <w:t>’</w:t>
      </w:r>
      <w:r w:rsidR="00FD5B8B" w:rsidRPr="00FD5B8B">
        <w:rPr>
          <w:rFonts w:cs="Arial"/>
          <w:sz w:val="20"/>
        </w:rPr>
        <w:t>, that the mere fact that a tendency direction invites a jury to make findings in respect of the charged acts does not of itself amount to an error or irregularity, much less a miscarriage of justice</w:t>
      </w:r>
      <w:r w:rsidR="00650775">
        <w:rPr>
          <w:rFonts w:cs="Arial"/>
          <w:sz w:val="20"/>
        </w:rPr>
        <w:t xml:space="preserve">: </w:t>
      </w:r>
      <w:r w:rsidR="00650775" w:rsidRPr="00650775">
        <w:rPr>
          <w:rFonts w:cs="Arial"/>
          <w:i/>
          <w:iCs/>
          <w:sz w:val="20"/>
        </w:rPr>
        <w:lastRenderedPageBreak/>
        <w:t>Criminal Appeal Act</w:t>
      </w:r>
      <w:r w:rsidR="00650775">
        <w:rPr>
          <w:rFonts w:cs="Arial"/>
          <w:sz w:val="20"/>
        </w:rPr>
        <w:t xml:space="preserve"> (NSW)</w:t>
      </w:r>
      <w:r w:rsidR="00650775" w:rsidRPr="00650775">
        <w:rPr>
          <w:rFonts w:cs="Arial"/>
          <w:sz w:val="20"/>
        </w:rPr>
        <w:t>, s 6(1).</w:t>
      </w:r>
      <w:r w:rsidR="00FD5B8B" w:rsidRPr="00FD5B8B">
        <w:rPr>
          <w:rFonts w:cs="Arial"/>
          <w:sz w:val="20"/>
        </w:rPr>
        <w:t xml:space="preserve"> Instead, where a direction to that effect is given, the relevant question on any appeal is whether that direction considered as part of the summing up as a whole gave rise to a </w:t>
      </w:r>
      <w:r w:rsidR="00650775">
        <w:rPr>
          <w:rFonts w:cs="Arial"/>
          <w:sz w:val="20"/>
        </w:rPr>
        <w:t>‘</w:t>
      </w:r>
      <w:r w:rsidR="00FD5B8B" w:rsidRPr="00FD5B8B">
        <w:rPr>
          <w:rFonts w:cs="Arial"/>
          <w:sz w:val="20"/>
        </w:rPr>
        <w:t>real</w:t>
      </w:r>
      <w:r w:rsidR="00650775">
        <w:rPr>
          <w:rFonts w:cs="Arial"/>
          <w:sz w:val="20"/>
        </w:rPr>
        <w:t>’ {</w:t>
      </w:r>
      <w:r w:rsidR="00650775" w:rsidRPr="00650775">
        <w:rPr>
          <w:rFonts w:cs="Arial"/>
          <w:i/>
          <w:iCs/>
          <w:sz w:val="20"/>
        </w:rPr>
        <w:t>Sutton v The Queen</w:t>
      </w:r>
      <w:r w:rsidR="00650775" w:rsidRPr="00650775">
        <w:rPr>
          <w:rFonts w:cs="Arial"/>
          <w:sz w:val="20"/>
        </w:rPr>
        <w:t xml:space="preserve"> (1984) 152 CLR 528 at 541-542; </w:t>
      </w:r>
      <w:r w:rsidR="00650775" w:rsidRPr="00650775">
        <w:rPr>
          <w:rFonts w:cs="Arial"/>
          <w:i/>
          <w:iCs/>
          <w:sz w:val="20"/>
        </w:rPr>
        <w:t>Hamilton (a pseudonym) v The Queen</w:t>
      </w:r>
      <w:r w:rsidR="00650775" w:rsidRPr="00650775">
        <w:rPr>
          <w:rFonts w:cs="Arial"/>
          <w:sz w:val="20"/>
        </w:rPr>
        <w:t xml:space="preserve"> (2021) 274 CLR 531 at 560 [67], 561 [69], 564 [78]</w:t>
      </w:r>
      <w:r w:rsidR="00650775">
        <w:rPr>
          <w:rFonts w:cs="Arial"/>
          <w:sz w:val="20"/>
        </w:rPr>
        <w:t>}</w:t>
      </w:r>
      <w:r w:rsidR="00FD5B8B" w:rsidRPr="00FD5B8B">
        <w:rPr>
          <w:rFonts w:cs="Arial"/>
          <w:sz w:val="20"/>
        </w:rPr>
        <w:t xml:space="preserve"> or </w:t>
      </w:r>
      <w:r w:rsidR="00650775">
        <w:rPr>
          <w:rFonts w:cs="Arial"/>
          <w:sz w:val="20"/>
        </w:rPr>
        <w:t>‘</w:t>
      </w:r>
      <w:r w:rsidR="00FD5B8B" w:rsidRPr="00FD5B8B">
        <w:rPr>
          <w:rFonts w:cs="Arial"/>
          <w:sz w:val="20"/>
        </w:rPr>
        <w:t>practical</w:t>
      </w:r>
      <w:r w:rsidR="00650775">
        <w:rPr>
          <w:rFonts w:cs="Arial"/>
          <w:sz w:val="20"/>
        </w:rPr>
        <w:t>’ {</w:t>
      </w:r>
      <w:r w:rsidR="00650775" w:rsidRPr="00650775">
        <w:rPr>
          <w:rFonts w:cs="Arial"/>
          <w:i/>
          <w:iCs/>
          <w:sz w:val="20"/>
        </w:rPr>
        <w:t>Hamilton</w:t>
      </w:r>
      <w:r w:rsidR="00650775" w:rsidRPr="00650775">
        <w:rPr>
          <w:rFonts w:cs="Arial"/>
          <w:sz w:val="20"/>
        </w:rPr>
        <w:t xml:space="preserve"> (2021) 274 CLR 531 at 551-552 [35], [37]</w:t>
      </w:r>
      <w:r w:rsidR="00650775">
        <w:rPr>
          <w:rFonts w:cs="Arial"/>
          <w:sz w:val="20"/>
        </w:rPr>
        <w:t>}</w:t>
      </w:r>
      <w:r w:rsidR="00FD5B8B" w:rsidRPr="00FD5B8B">
        <w:rPr>
          <w:rFonts w:cs="Arial"/>
          <w:sz w:val="20"/>
        </w:rPr>
        <w:t xml:space="preserve"> risk of </w:t>
      </w:r>
      <w:r w:rsidR="00650775">
        <w:rPr>
          <w:rFonts w:cs="Arial"/>
          <w:sz w:val="20"/>
        </w:rPr>
        <w:t>‘</w:t>
      </w:r>
      <w:r w:rsidR="00FD5B8B" w:rsidRPr="00FD5B8B">
        <w:rPr>
          <w:rFonts w:cs="Arial"/>
          <w:sz w:val="20"/>
        </w:rPr>
        <w:t>undermining the jury's understanding of the necessity for proof of the elements of the [charged offence] beyond reasonable doubt</w:t>
      </w:r>
      <w:r w:rsidR="00650775">
        <w:rPr>
          <w:rFonts w:cs="Arial"/>
          <w:sz w:val="20"/>
        </w:rPr>
        <w:t xml:space="preserve">’: </w:t>
      </w:r>
      <w:proofErr w:type="spellStart"/>
      <w:r w:rsidR="00650775" w:rsidRPr="00650775">
        <w:rPr>
          <w:rFonts w:cs="Arial"/>
          <w:i/>
          <w:iCs/>
          <w:sz w:val="20"/>
        </w:rPr>
        <w:t>Roder</w:t>
      </w:r>
      <w:proofErr w:type="spellEnd"/>
      <w:r w:rsidR="00650775" w:rsidRPr="00650775">
        <w:rPr>
          <w:rFonts w:cs="Arial"/>
          <w:sz w:val="20"/>
        </w:rPr>
        <w:t xml:space="preserve"> (2024) 281 CLR 18 at 33 [28].</w:t>
      </w:r>
      <w:r w:rsidR="00FD5B8B" w:rsidRPr="00FD5B8B">
        <w:rPr>
          <w:rFonts w:cs="Arial"/>
          <w:sz w:val="20"/>
        </w:rPr>
        <w:t xml:space="preserve"> Only if so, would there be a material misdirection amounting to a miscarriage of justice</w:t>
      </w:r>
      <w:r w:rsidR="00650775">
        <w:rPr>
          <w:rFonts w:cs="Arial"/>
          <w:sz w:val="20"/>
        </w:rPr>
        <w:t>: s</w:t>
      </w:r>
      <w:r w:rsidR="00650775" w:rsidRPr="00650775">
        <w:rPr>
          <w:rFonts w:cs="Arial"/>
          <w:sz w:val="20"/>
        </w:rPr>
        <w:t xml:space="preserve">ee </w:t>
      </w:r>
      <w:r w:rsidR="00650775" w:rsidRPr="00650775">
        <w:rPr>
          <w:rFonts w:cs="Arial"/>
          <w:i/>
          <w:iCs/>
          <w:sz w:val="20"/>
        </w:rPr>
        <w:t>Brawn v The King</w:t>
      </w:r>
      <w:r w:rsidR="00650775" w:rsidRPr="00650775">
        <w:rPr>
          <w:rFonts w:cs="Arial"/>
          <w:sz w:val="20"/>
        </w:rPr>
        <w:t xml:space="preserve"> (2025) 99 ALJR 872 at 874 [3]; 423 ALR 69 at 71; </w:t>
      </w:r>
      <w:r w:rsidR="00650775" w:rsidRPr="00650775">
        <w:rPr>
          <w:rFonts w:cs="Arial"/>
          <w:i/>
          <w:iCs/>
          <w:sz w:val="20"/>
        </w:rPr>
        <w:t>MDP v The King</w:t>
      </w:r>
      <w:r w:rsidR="00650775" w:rsidRPr="00650775">
        <w:rPr>
          <w:rFonts w:cs="Arial"/>
          <w:sz w:val="20"/>
        </w:rPr>
        <w:t xml:space="preserve"> (2025) 99 ALJR 969 at 975 [3], 976 [9], 982 [44], 992 [98]; 423 ALR 204 at 207, 208-209, 217, 230.</w:t>
      </w:r>
    </w:p>
    <w:p w14:paraId="3495AD7A" w14:textId="74D49B56" w:rsidR="00513B2E" w:rsidRDefault="00513B2E" w:rsidP="003D2B80">
      <w:pPr>
        <w:pStyle w:val="CCVNumberLevel1"/>
        <w:tabs>
          <w:tab w:val="clear" w:pos="1134"/>
        </w:tabs>
        <w:spacing w:before="60" w:after="0" w:line="240" w:lineRule="auto"/>
        <w:ind w:left="567" w:right="567" w:firstLine="0"/>
        <w:rPr>
          <w:rFonts w:cs="Arial"/>
          <w:sz w:val="20"/>
        </w:rPr>
      </w:pPr>
      <w:r>
        <w:rPr>
          <w:rFonts w:cs="Arial"/>
          <w:sz w:val="20"/>
        </w:rPr>
        <w:t xml:space="preserve">[12] </w:t>
      </w:r>
      <w:r w:rsidR="00650775" w:rsidRPr="00650775">
        <w:rPr>
          <w:rFonts w:cs="Arial"/>
          <w:sz w:val="20"/>
        </w:rPr>
        <w:t xml:space="preserve">This is illustrated by </w:t>
      </w:r>
      <w:r w:rsidR="00650775" w:rsidRPr="00650775">
        <w:rPr>
          <w:rFonts w:cs="Arial"/>
          <w:i/>
          <w:iCs/>
          <w:sz w:val="20"/>
        </w:rPr>
        <w:t>JS v The Queen</w:t>
      </w:r>
      <w:r w:rsidR="00650775">
        <w:rPr>
          <w:rFonts w:cs="Arial"/>
          <w:i/>
          <w:iCs/>
          <w:sz w:val="20"/>
        </w:rPr>
        <w:t xml:space="preserve"> </w:t>
      </w:r>
      <w:r w:rsidR="00650775" w:rsidRPr="00650775">
        <w:rPr>
          <w:rFonts w:cs="Arial"/>
          <w:sz w:val="20"/>
        </w:rPr>
        <w:t xml:space="preserve">[2022] NSWCCA 145 at [42], where, even though the trial judge's tendency direction invited the jury to </w:t>
      </w:r>
      <w:r w:rsidR="00650775">
        <w:rPr>
          <w:rFonts w:cs="Arial"/>
          <w:sz w:val="20"/>
        </w:rPr>
        <w:t>‘</w:t>
      </w:r>
      <w:r w:rsidR="00650775" w:rsidRPr="00650775">
        <w:rPr>
          <w:rFonts w:cs="Arial"/>
          <w:sz w:val="20"/>
        </w:rPr>
        <w:t>decide whether [the accused] did in fact conduct himself in the way the Crown allege[d]</w:t>
      </w:r>
      <w:r w:rsidR="00650775">
        <w:rPr>
          <w:rFonts w:cs="Arial"/>
          <w:sz w:val="20"/>
        </w:rPr>
        <w:t>’</w:t>
      </w:r>
      <w:r w:rsidR="00650775" w:rsidRPr="00650775">
        <w:rPr>
          <w:rFonts w:cs="Arial"/>
          <w:sz w:val="20"/>
        </w:rPr>
        <w:t xml:space="preserve"> on the occasions the subject of the charge, the directions as a whole were found to have </w:t>
      </w:r>
      <w:r w:rsidR="00650775">
        <w:rPr>
          <w:rFonts w:cs="Arial"/>
          <w:sz w:val="20"/>
        </w:rPr>
        <w:t>‘</w:t>
      </w:r>
      <w:r w:rsidR="00650775" w:rsidRPr="00650775">
        <w:rPr>
          <w:rFonts w:cs="Arial"/>
          <w:sz w:val="20"/>
        </w:rPr>
        <w:t>conformed to the legal requirements</w:t>
      </w:r>
      <w:r w:rsidR="00650775">
        <w:rPr>
          <w:rFonts w:cs="Arial"/>
          <w:sz w:val="20"/>
        </w:rPr>
        <w:t xml:space="preserve">’: </w:t>
      </w:r>
      <w:r w:rsidR="00650775" w:rsidRPr="0078173B">
        <w:rPr>
          <w:rFonts w:cs="Arial"/>
          <w:i/>
          <w:iCs/>
          <w:sz w:val="20"/>
        </w:rPr>
        <w:t>JS</w:t>
      </w:r>
      <w:r w:rsidR="00650775" w:rsidRPr="00650775">
        <w:rPr>
          <w:rFonts w:cs="Arial"/>
          <w:sz w:val="20"/>
        </w:rPr>
        <w:t xml:space="preserve"> [2022] NSWCCA 145 at [50]. As will be explained, the ultimate issue in this appeal is whether the same can be said of the trial judge's directions in this case.</w:t>
      </w:r>
      <w:r w:rsidR="00650775">
        <w:rPr>
          <w:rFonts w:cs="Arial"/>
          <w:sz w:val="20"/>
        </w:rPr>
        <w:t>”</w:t>
      </w:r>
    </w:p>
    <w:p w14:paraId="712C48E6" w14:textId="77777777" w:rsidR="00650775" w:rsidRDefault="00650775" w:rsidP="002768B3">
      <w:pPr>
        <w:jc w:val="both"/>
        <w:rPr>
          <w:rFonts w:ascii="Arial" w:hAnsi="Arial" w:cs="Arial"/>
          <w:sz w:val="20"/>
        </w:rPr>
      </w:pPr>
    </w:p>
    <w:p w14:paraId="60176495" w14:textId="724A639E" w:rsidR="002768B3" w:rsidRDefault="002768B3" w:rsidP="002768B3">
      <w:pPr>
        <w:jc w:val="both"/>
        <w:rPr>
          <w:rFonts w:ascii="Arial" w:hAnsi="Arial" w:cs="Arial"/>
          <w:sz w:val="20"/>
        </w:rPr>
      </w:pPr>
      <w:r>
        <w:rPr>
          <w:rFonts w:ascii="Arial" w:hAnsi="Arial" w:cs="Arial"/>
          <w:sz w:val="20"/>
        </w:rPr>
        <w:t xml:space="preserve">In </w:t>
      </w:r>
      <w:r w:rsidRPr="00E456F6">
        <w:rPr>
          <w:rFonts w:ascii="Arial" w:hAnsi="Arial" w:cs="Arial"/>
          <w:i/>
          <w:iCs/>
          <w:sz w:val="20"/>
        </w:rPr>
        <w:t>Clifford v Missionaries of the Sacred Heart</w:t>
      </w:r>
      <w:r w:rsidRPr="00E456F6">
        <w:rPr>
          <w:rFonts w:ascii="Arial" w:hAnsi="Arial" w:cs="Arial"/>
          <w:sz w:val="20"/>
        </w:rPr>
        <w:t xml:space="preserve"> [2024] VSC 812 Tsalamandris J</w:t>
      </w:r>
      <w:r>
        <w:rPr>
          <w:rFonts w:ascii="Arial" w:hAnsi="Arial" w:cs="Arial"/>
          <w:sz w:val="20"/>
        </w:rPr>
        <w:t xml:space="preserve"> dismissed the plaintiff’s action in negligence based on allegations of abuse at a boarding school in the mid 1970s. At [175]-[176] her Honour discussed the principles relating to the admissibility and use of tendency evidence from two other students, Mr R and Mr P:</w:t>
      </w:r>
    </w:p>
    <w:p w14:paraId="7C7A87BC" w14:textId="77777777" w:rsidR="002768B3" w:rsidRDefault="002768B3" w:rsidP="002768B3">
      <w:pPr>
        <w:pStyle w:val="CCVNumberLevel1"/>
        <w:tabs>
          <w:tab w:val="clear" w:pos="1134"/>
        </w:tabs>
        <w:spacing w:before="60" w:after="0" w:line="240" w:lineRule="auto"/>
        <w:ind w:left="567" w:right="567" w:firstLine="0"/>
        <w:rPr>
          <w:rFonts w:cs="Arial"/>
          <w:sz w:val="20"/>
        </w:rPr>
      </w:pPr>
      <w:r>
        <w:rPr>
          <w:rFonts w:cs="Arial"/>
          <w:sz w:val="20"/>
        </w:rPr>
        <w:t xml:space="preserve">[175] “...In </w:t>
      </w:r>
      <w:r w:rsidRPr="00E456F6">
        <w:rPr>
          <w:rFonts w:cs="Arial"/>
          <w:i/>
          <w:iCs/>
          <w:sz w:val="20"/>
        </w:rPr>
        <w:t xml:space="preserve">Clancy v Plaintiffs A, </w:t>
      </w:r>
      <w:proofErr w:type="gramStart"/>
      <w:r w:rsidRPr="00E456F6">
        <w:rPr>
          <w:rFonts w:cs="Arial"/>
          <w:i/>
          <w:iCs/>
          <w:sz w:val="20"/>
        </w:rPr>
        <w:t>B,C</w:t>
      </w:r>
      <w:proofErr w:type="gramEnd"/>
      <w:r w:rsidRPr="00E456F6">
        <w:rPr>
          <w:rFonts w:cs="Arial"/>
          <w:i/>
          <w:iCs/>
          <w:sz w:val="20"/>
        </w:rPr>
        <w:t xml:space="preserve"> and D; Bird v Plaintiffs A, B, C and D</w:t>
      </w:r>
      <w:r>
        <w:rPr>
          <w:rFonts w:cs="Arial"/>
          <w:sz w:val="20"/>
        </w:rPr>
        <w:t xml:space="preserve"> [2022] NSWCA 119 at [40] (citations omitted), </w:t>
      </w:r>
      <w:r w:rsidRPr="00E456F6">
        <w:rPr>
          <w:rFonts w:cs="Arial"/>
          <w:sz w:val="20"/>
        </w:rPr>
        <w:t>the New South Wales Court of Appeal outlined the use to be made of tendency evidence adduced in a civil trial:</w:t>
      </w:r>
    </w:p>
    <w:p w14:paraId="03B62ED0" w14:textId="77777777" w:rsidR="002768B3" w:rsidRDefault="002768B3" w:rsidP="002768B3">
      <w:pPr>
        <w:pStyle w:val="CCVNumberLevel1"/>
        <w:tabs>
          <w:tab w:val="clear" w:pos="1134"/>
        </w:tabs>
        <w:spacing w:before="60" w:after="0" w:line="240" w:lineRule="auto"/>
        <w:ind w:left="1021" w:right="1021" w:firstLine="0"/>
        <w:rPr>
          <w:rFonts w:cs="Arial"/>
          <w:sz w:val="18"/>
          <w:szCs w:val="22"/>
        </w:rPr>
      </w:pPr>
      <w:r w:rsidRPr="00E456F6">
        <w:rPr>
          <w:rFonts w:cs="Arial"/>
          <w:sz w:val="18"/>
          <w:szCs w:val="18"/>
        </w:rPr>
        <w:t xml:space="preserve">Although, for the purposes of admissibility and determination as to whether the tendency evidence relied upon is of significant probative value within the meaning of s 97 of the </w:t>
      </w:r>
      <w:r w:rsidRPr="00EE604E">
        <w:rPr>
          <w:rFonts w:cs="Arial"/>
          <w:i/>
          <w:iCs/>
          <w:sz w:val="18"/>
          <w:szCs w:val="18"/>
        </w:rPr>
        <w:t>Evidence Act</w:t>
      </w:r>
      <w:r w:rsidRPr="00E456F6">
        <w:rPr>
          <w:rFonts w:cs="Arial"/>
          <w:sz w:val="18"/>
          <w:szCs w:val="18"/>
        </w:rPr>
        <w:t>, it is to be assumed that the evidence will</w:t>
      </w:r>
      <w:r>
        <w:rPr>
          <w:rFonts w:cs="Arial"/>
          <w:sz w:val="18"/>
          <w:szCs w:val="18"/>
        </w:rPr>
        <w:t xml:space="preserve"> </w:t>
      </w:r>
      <w:r w:rsidRPr="00E456F6">
        <w:rPr>
          <w:rFonts w:cs="Arial"/>
          <w:sz w:val="18"/>
          <w:szCs w:val="22"/>
        </w:rPr>
        <w:t xml:space="preserve">be accepted as correct, that does not mean that, for the purposes of its ultimate use by the trier of fact, the evidence or aspects of the evidence adduced as tendency evidence must be accepted. Acceptance of the tendency evidence relied upon by the Plaintiffs needed to have regard to </w:t>
      </w:r>
      <w:r w:rsidRPr="00EE604E">
        <w:rPr>
          <w:rFonts w:cs="Arial"/>
          <w:i/>
          <w:iCs/>
          <w:sz w:val="18"/>
          <w:szCs w:val="22"/>
        </w:rPr>
        <w:t>Briginshaw</w:t>
      </w:r>
      <w:r w:rsidRPr="00E456F6">
        <w:rPr>
          <w:rFonts w:cs="Arial"/>
          <w:sz w:val="18"/>
          <w:szCs w:val="22"/>
        </w:rPr>
        <w:t xml:space="preserve"> principles because of the nature of what was being claimed in that evidence. If the evidence should not have been accepted taking into account </w:t>
      </w:r>
      <w:r w:rsidRPr="00EE604E">
        <w:rPr>
          <w:rFonts w:cs="Arial"/>
          <w:i/>
          <w:iCs/>
          <w:sz w:val="18"/>
          <w:szCs w:val="22"/>
        </w:rPr>
        <w:t>Briginshaw</w:t>
      </w:r>
      <w:r w:rsidRPr="00E456F6">
        <w:rPr>
          <w:rFonts w:cs="Arial"/>
          <w:sz w:val="18"/>
          <w:szCs w:val="22"/>
        </w:rPr>
        <w:t>, then it could not be used to support the tendency asserted either by itself or in conjunction with other evidence.</w:t>
      </w:r>
    </w:p>
    <w:p w14:paraId="7F2E8A3F" w14:textId="77777777" w:rsidR="002768B3" w:rsidRDefault="002768B3" w:rsidP="002768B3">
      <w:pPr>
        <w:pStyle w:val="CCVNumberLevel1"/>
        <w:tabs>
          <w:tab w:val="clear" w:pos="1134"/>
        </w:tabs>
        <w:spacing w:before="60" w:after="0" w:line="240" w:lineRule="auto"/>
        <w:ind w:left="567" w:right="567" w:firstLine="0"/>
        <w:rPr>
          <w:rFonts w:cs="Arial"/>
          <w:sz w:val="20"/>
        </w:rPr>
      </w:pPr>
      <w:r>
        <w:rPr>
          <w:rFonts w:cs="Arial"/>
          <w:sz w:val="20"/>
        </w:rPr>
        <w:t xml:space="preserve">[176] </w:t>
      </w:r>
      <w:r w:rsidRPr="00EE604E">
        <w:rPr>
          <w:rFonts w:cs="Arial"/>
          <w:sz w:val="20"/>
          <w:szCs w:val="24"/>
        </w:rPr>
        <w:t>In closing oral submissions, the plaintiff’s counsel accepted that the principles in Clancy were applicable to my assessment of the evidence of Mr R and Mr P</w:t>
      </w:r>
      <w:r>
        <w:rPr>
          <w:rFonts w:cs="Arial"/>
          <w:sz w:val="20"/>
          <w:szCs w:val="24"/>
        </w:rPr>
        <w:t>.”</w:t>
      </w:r>
    </w:p>
    <w:p w14:paraId="3413419E" w14:textId="2895E5E6" w:rsidR="006B1D82" w:rsidRDefault="006B1D82" w:rsidP="0019386A">
      <w:pPr>
        <w:jc w:val="both"/>
        <w:rPr>
          <w:rFonts w:ascii="Arial" w:hAnsi="Arial" w:cs="Arial"/>
          <w:sz w:val="20"/>
          <w:szCs w:val="20"/>
        </w:rPr>
      </w:pPr>
    </w:p>
    <w:p w14:paraId="116E0F80" w14:textId="7868463B" w:rsidR="006728BA" w:rsidRDefault="00114134" w:rsidP="0019386A">
      <w:pPr>
        <w:jc w:val="both"/>
        <w:rPr>
          <w:rFonts w:ascii="Arial" w:hAnsi="Arial" w:cs="Arial"/>
          <w:sz w:val="20"/>
          <w:szCs w:val="20"/>
        </w:rPr>
      </w:pPr>
      <w:r>
        <w:rPr>
          <w:rFonts w:ascii="Arial" w:hAnsi="Arial" w:cs="Arial"/>
          <w:sz w:val="20"/>
          <w:szCs w:val="20"/>
        </w:rPr>
        <w:t xml:space="preserve">In </w:t>
      </w:r>
      <w:r w:rsidRPr="00A56007">
        <w:rPr>
          <w:rFonts w:ascii="Arial" w:hAnsi="Arial" w:cs="Arial"/>
          <w:i/>
          <w:iCs/>
          <w:sz w:val="20"/>
          <w:szCs w:val="20"/>
        </w:rPr>
        <w:t>Jacobs (a pseudonym) v The King</w:t>
      </w:r>
      <w:r>
        <w:rPr>
          <w:rFonts w:ascii="Arial" w:hAnsi="Arial" w:cs="Arial"/>
          <w:sz w:val="20"/>
          <w:szCs w:val="20"/>
        </w:rPr>
        <w:t xml:space="preserve"> [2024] VSCA 309 the Court of Appeal refused leave to appeal against an interlocutory ruling that evidence supporting 14 charges involving 3 complainants was cross-admissible </w:t>
      </w:r>
      <w:r w:rsidR="006728BA">
        <w:rPr>
          <w:rFonts w:ascii="Arial" w:hAnsi="Arial" w:cs="Arial"/>
          <w:sz w:val="20"/>
          <w:szCs w:val="20"/>
        </w:rPr>
        <w:t xml:space="preserve">as </w:t>
      </w:r>
      <w:r>
        <w:rPr>
          <w:rFonts w:ascii="Arial" w:hAnsi="Arial" w:cs="Arial"/>
          <w:sz w:val="20"/>
          <w:szCs w:val="20"/>
        </w:rPr>
        <w:t xml:space="preserve">tendency evidence of the accused’s sexual interest in the complainants and his willingness to act on that interest. </w:t>
      </w:r>
      <w:r w:rsidR="006728BA">
        <w:rPr>
          <w:rFonts w:ascii="Arial" w:hAnsi="Arial" w:cs="Arial"/>
          <w:sz w:val="20"/>
          <w:szCs w:val="20"/>
        </w:rPr>
        <w:t>Priest &amp; T Forrest JJA held</w:t>
      </w:r>
      <w:r>
        <w:rPr>
          <w:rFonts w:ascii="Arial" w:hAnsi="Arial" w:cs="Arial"/>
          <w:sz w:val="20"/>
          <w:szCs w:val="20"/>
        </w:rPr>
        <w:t xml:space="preserve"> that the evidence had significant probative value, that the charges were linked by familial connection and trust and that the risk to prejudice c</w:t>
      </w:r>
      <w:r w:rsidR="00593A96">
        <w:rPr>
          <w:rFonts w:ascii="Arial" w:hAnsi="Arial" w:cs="Arial"/>
          <w:sz w:val="20"/>
          <w:szCs w:val="20"/>
        </w:rPr>
        <w:t>ould</w:t>
      </w:r>
      <w:r>
        <w:rPr>
          <w:rFonts w:ascii="Arial" w:hAnsi="Arial" w:cs="Arial"/>
          <w:sz w:val="20"/>
          <w:szCs w:val="20"/>
        </w:rPr>
        <w:t xml:space="preserve"> be overcome with jury directions</w:t>
      </w:r>
      <w:r w:rsidR="006728BA">
        <w:rPr>
          <w:rFonts w:ascii="Arial" w:hAnsi="Arial" w:cs="Arial"/>
          <w:sz w:val="20"/>
          <w:szCs w:val="20"/>
        </w:rPr>
        <w:t>. In particular at [25] their Honours</w:t>
      </w:r>
      <w:r>
        <w:rPr>
          <w:rFonts w:ascii="Arial" w:hAnsi="Arial" w:cs="Arial"/>
          <w:sz w:val="20"/>
          <w:szCs w:val="20"/>
        </w:rPr>
        <w:t xml:space="preserve"> </w:t>
      </w:r>
      <w:r w:rsidR="006728BA">
        <w:rPr>
          <w:rFonts w:ascii="Arial" w:hAnsi="Arial" w:cs="Arial"/>
          <w:sz w:val="20"/>
          <w:szCs w:val="20"/>
        </w:rPr>
        <w:t xml:space="preserve">summed up the legal principles in s.97(1) &amp; 101(2) of the </w:t>
      </w:r>
      <w:r w:rsidR="006728BA" w:rsidRPr="006728BA">
        <w:rPr>
          <w:rFonts w:ascii="Arial" w:hAnsi="Arial" w:cs="Arial"/>
          <w:i/>
          <w:iCs/>
          <w:sz w:val="20"/>
          <w:szCs w:val="20"/>
        </w:rPr>
        <w:t>Evidence Act 2008</w:t>
      </w:r>
      <w:r w:rsidR="006728BA">
        <w:rPr>
          <w:rFonts w:ascii="Arial" w:hAnsi="Arial" w:cs="Arial"/>
          <w:sz w:val="20"/>
          <w:szCs w:val="20"/>
        </w:rPr>
        <w:t xml:space="preserve"> </w:t>
      </w:r>
      <w:r w:rsidR="00593A96">
        <w:rPr>
          <w:rFonts w:ascii="Arial" w:hAnsi="Arial" w:cs="Arial"/>
          <w:sz w:val="20"/>
          <w:szCs w:val="20"/>
        </w:rPr>
        <w:t xml:space="preserve">and the relevant case law </w:t>
      </w:r>
      <w:r w:rsidR="006728BA">
        <w:rPr>
          <w:rFonts w:ascii="Arial" w:hAnsi="Arial" w:cs="Arial"/>
          <w:sz w:val="20"/>
          <w:szCs w:val="20"/>
        </w:rPr>
        <w:t>as follows:</w:t>
      </w:r>
    </w:p>
    <w:p w14:paraId="32795D2E" w14:textId="78001DB2" w:rsidR="006728BA" w:rsidRPr="00943C7B" w:rsidRDefault="006728BA" w:rsidP="006728BA">
      <w:pPr>
        <w:pStyle w:val="CCVNumberLevel1"/>
        <w:tabs>
          <w:tab w:val="clear" w:pos="1134"/>
        </w:tabs>
        <w:spacing w:before="60" w:after="0" w:line="240" w:lineRule="auto"/>
        <w:ind w:left="567" w:right="567" w:firstLine="0"/>
        <w:rPr>
          <w:rFonts w:cs="Arial"/>
          <w:sz w:val="20"/>
        </w:rPr>
      </w:pPr>
      <w:r>
        <w:rPr>
          <w:rFonts w:cs="Arial"/>
          <w:sz w:val="20"/>
        </w:rPr>
        <w:t>“In short compass:</w:t>
      </w:r>
    </w:p>
    <w:p w14:paraId="6DC4D5E7" w14:textId="2E2AD82F" w:rsidR="00114134" w:rsidRDefault="006728BA"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Tendency evidence is a form of circumstantial evidence that invites inferential reasoning</w:t>
      </w:r>
      <w:r>
        <w:rPr>
          <w:rFonts w:ascii="Arial" w:hAnsi="Arial" w:cs="Arial"/>
          <w:sz w:val="20"/>
        </w:rPr>
        <w:t xml:space="preserve">: </w:t>
      </w:r>
      <w:r w:rsidRPr="006728BA">
        <w:rPr>
          <w:rFonts w:ascii="Arial" w:hAnsi="Arial" w:cs="Arial"/>
          <w:i/>
          <w:iCs/>
          <w:sz w:val="20"/>
        </w:rPr>
        <w:t>RWC v R</w:t>
      </w:r>
      <w:r w:rsidRPr="006728BA">
        <w:rPr>
          <w:rFonts w:ascii="Arial" w:hAnsi="Arial" w:cs="Arial"/>
          <w:sz w:val="20"/>
        </w:rPr>
        <w:t xml:space="preserve"> [2010] NSWCCA 332, [123]</w:t>
      </w:r>
      <w:r>
        <w:rPr>
          <w:rFonts w:ascii="Arial" w:hAnsi="Arial" w:cs="Arial"/>
          <w:sz w:val="20"/>
        </w:rPr>
        <w:t xml:space="preserve"> &amp; [151]-[152]</w:t>
      </w:r>
      <w:r w:rsidRPr="006728BA">
        <w:rPr>
          <w:rFonts w:ascii="Arial" w:hAnsi="Arial" w:cs="Arial"/>
          <w:sz w:val="20"/>
        </w:rPr>
        <w:t xml:space="preserve">. See also </w:t>
      </w:r>
      <w:r w:rsidRPr="006728BA">
        <w:rPr>
          <w:rFonts w:ascii="Arial" w:hAnsi="Arial" w:cs="Arial"/>
          <w:i/>
          <w:iCs/>
          <w:sz w:val="20"/>
        </w:rPr>
        <w:t>Elomar v The Queen</w:t>
      </w:r>
      <w:r w:rsidRPr="006728BA">
        <w:rPr>
          <w:rFonts w:ascii="Arial" w:hAnsi="Arial" w:cs="Arial"/>
          <w:sz w:val="20"/>
        </w:rPr>
        <w:t xml:space="preserve"> (2014) 316 ALR 206, 278 [360]; [2014] NSWCCA 303. In </w:t>
      </w:r>
      <w:r w:rsidRPr="0013683D">
        <w:rPr>
          <w:rFonts w:ascii="Arial" w:hAnsi="Arial" w:cs="Arial"/>
          <w:i/>
          <w:iCs/>
          <w:sz w:val="20"/>
        </w:rPr>
        <w:t>Hughes v The Queen</w:t>
      </w:r>
      <w:r w:rsidRPr="006728BA">
        <w:rPr>
          <w:rFonts w:ascii="Arial" w:hAnsi="Arial" w:cs="Arial"/>
          <w:sz w:val="20"/>
        </w:rPr>
        <w:t xml:space="preserve"> (2017) 263 CLR 338, 206 [70]</w:t>
      </w:r>
      <w:proofErr w:type="gramStart"/>
      <w:r w:rsidRPr="006728BA">
        <w:rPr>
          <w:rFonts w:ascii="Arial" w:hAnsi="Arial" w:cs="Arial"/>
          <w:sz w:val="20"/>
        </w:rPr>
        <w:t>–[</w:t>
      </w:r>
      <w:proofErr w:type="gramEnd"/>
      <w:r w:rsidRPr="006728BA">
        <w:rPr>
          <w:rFonts w:ascii="Arial" w:hAnsi="Arial" w:cs="Arial"/>
          <w:sz w:val="20"/>
        </w:rPr>
        <w:t>71], Gageler J in his minority judgment observed that tendency reasoning is not deductive logic, but is a form of inferential or inductive reasoning.</w:t>
      </w:r>
      <w:r w:rsidR="0013683D">
        <w:rPr>
          <w:rFonts w:ascii="Arial" w:hAnsi="Arial" w:cs="Arial"/>
          <w:sz w:val="20"/>
        </w:rPr>
        <w:t xml:space="preserve"> </w:t>
      </w:r>
      <w:r w:rsidR="0013683D" w:rsidRPr="006728BA">
        <w:rPr>
          <w:rFonts w:ascii="Arial" w:hAnsi="Arial" w:cs="Arial"/>
          <w:sz w:val="20"/>
        </w:rPr>
        <w:t>The jury is asked to reason that a person who is shown to have a tendency to act in a particular way, or to have a particular state of mind, will behave in conformity with that tendency on other occasions. This makes it more probable that the person acted in that similar way on the charged occasion</w:t>
      </w:r>
      <w:r w:rsidR="0013683D">
        <w:rPr>
          <w:rFonts w:ascii="Arial" w:hAnsi="Arial" w:cs="Arial"/>
          <w:sz w:val="20"/>
        </w:rPr>
        <w:t xml:space="preserve">: </w:t>
      </w:r>
      <w:r w:rsidR="0013683D" w:rsidRPr="0013683D">
        <w:rPr>
          <w:rFonts w:ascii="Arial" w:hAnsi="Arial" w:cs="Arial"/>
          <w:i/>
          <w:iCs/>
          <w:sz w:val="20"/>
        </w:rPr>
        <w:t>Gardiner v The Queen</w:t>
      </w:r>
      <w:r w:rsidR="0013683D" w:rsidRPr="006728BA">
        <w:rPr>
          <w:rFonts w:ascii="Arial" w:hAnsi="Arial" w:cs="Arial"/>
          <w:sz w:val="20"/>
        </w:rPr>
        <w:t xml:space="preserve"> (2006) 162 A Crim R 233 [124]; [2006] NSWCCA 190.</w:t>
      </w:r>
    </w:p>
    <w:p w14:paraId="57B6BA15" w14:textId="3C409322" w:rsidR="0013683D" w:rsidRDefault="0013683D"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To be admissible as tendency evidence, the Court must determine that the impugned evidence, taken by itself or in combination with other evidence, has significant probative value</w:t>
      </w:r>
      <w:r>
        <w:rPr>
          <w:rFonts w:ascii="Arial" w:hAnsi="Arial" w:cs="Arial"/>
          <w:sz w:val="20"/>
        </w:rPr>
        <w:t xml:space="preserve">: </w:t>
      </w:r>
      <w:r w:rsidRPr="0013683D">
        <w:rPr>
          <w:rFonts w:ascii="Arial" w:hAnsi="Arial" w:cs="Arial"/>
          <w:i/>
          <w:iCs/>
          <w:sz w:val="20"/>
        </w:rPr>
        <w:t>Evidence Act 2008</w:t>
      </w:r>
      <w:r w:rsidRPr="006728BA">
        <w:rPr>
          <w:rFonts w:ascii="Arial" w:hAnsi="Arial" w:cs="Arial"/>
          <w:sz w:val="20"/>
        </w:rPr>
        <w:t>, s 97(1)(b).</w:t>
      </w:r>
    </w:p>
    <w:p w14:paraId="44718AF2" w14:textId="65112C03" w:rsidR="0013683D" w:rsidRDefault="0013683D"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‘Probative value’ means the extent to which the evidence could rationally affect the assessment of the probability of a fact in issue</w:t>
      </w:r>
      <w:r>
        <w:rPr>
          <w:rFonts w:ascii="Arial" w:hAnsi="Arial" w:cs="Arial"/>
          <w:sz w:val="20"/>
        </w:rPr>
        <w:t xml:space="preserve">: </w:t>
      </w:r>
      <w:r w:rsidRPr="0013683D">
        <w:rPr>
          <w:rFonts w:ascii="Arial" w:hAnsi="Arial" w:cs="Arial"/>
          <w:i/>
          <w:iCs/>
          <w:sz w:val="20"/>
        </w:rPr>
        <w:t>Evidence Act 2008</w:t>
      </w:r>
      <w:r w:rsidRPr="006728BA">
        <w:rPr>
          <w:rFonts w:ascii="Arial" w:hAnsi="Arial" w:cs="Arial"/>
          <w:sz w:val="20"/>
        </w:rPr>
        <w:t>, Dictionary Pt 1</w:t>
      </w:r>
      <w:r>
        <w:rPr>
          <w:rFonts w:ascii="Arial" w:hAnsi="Arial" w:cs="Arial"/>
          <w:sz w:val="20"/>
        </w:rPr>
        <w:t>.</w:t>
      </w:r>
    </w:p>
    <w:p w14:paraId="44F3FC3E" w14:textId="5639E8C3" w:rsidR="0013683D" w:rsidRDefault="0013683D"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Evidence will have ‘significant probative value’ if it could rationally affect the assessment of the probability of a fact in issue to a significant extent</w:t>
      </w:r>
      <w:r>
        <w:rPr>
          <w:rFonts w:ascii="Arial" w:hAnsi="Arial" w:cs="Arial"/>
          <w:sz w:val="20"/>
        </w:rPr>
        <w:t xml:space="preserve">: </w:t>
      </w:r>
      <w:r w:rsidRPr="00585A10">
        <w:rPr>
          <w:rFonts w:ascii="Arial" w:hAnsi="Arial" w:cs="Arial"/>
          <w:i/>
          <w:iCs/>
          <w:sz w:val="20"/>
        </w:rPr>
        <w:t>Hughes</w:t>
      </w:r>
      <w:r>
        <w:rPr>
          <w:rFonts w:ascii="Arial" w:hAnsi="Arial" w:cs="Arial"/>
          <w:sz w:val="20"/>
        </w:rPr>
        <w:t xml:space="preserve"> at 348 </w:t>
      </w:r>
      <w:r>
        <w:rPr>
          <w:rFonts w:ascii="Arial" w:hAnsi="Arial" w:cs="Arial"/>
          <w:sz w:val="20"/>
        </w:rPr>
        <w:lastRenderedPageBreak/>
        <w:t xml:space="preserve">[16]; [2017] HCA 20. </w:t>
      </w:r>
      <w:r w:rsidRPr="006728BA">
        <w:rPr>
          <w:rFonts w:ascii="Arial" w:hAnsi="Arial" w:cs="Arial"/>
          <w:sz w:val="20"/>
        </w:rPr>
        <w:t>The evidence must be important or of consequence to that evaluation</w:t>
      </w:r>
      <w:r>
        <w:rPr>
          <w:rFonts w:ascii="Arial" w:hAnsi="Arial" w:cs="Arial"/>
          <w:sz w:val="20"/>
        </w:rPr>
        <w:t>: Ibid at 336 [41].</w:t>
      </w:r>
    </w:p>
    <w:p w14:paraId="44606197" w14:textId="6C8F9FCD" w:rsidR="0013683D"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It is necessary to identify with precision the tendency alleged and the facts in issue</w:t>
      </w:r>
      <w:r w:rsidR="0013683D">
        <w:rPr>
          <w:rFonts w:ascii="Arial" w:hAnsi="Arial" w:cs="Arial"/>
          <w:sz w:val="20"/>
        </w:rPr>
        <w:t xml:space="preserve">: </w:t>
      </w:r>
      <w:r w:rsidR="0013683D" w:rsidRPr="0013683D">
        <w:rPr>
          <w:rFonts w:ascii="Arial" w:hAnsi="Arial" w:cs="Arial"/>
          <w:i/>
          <w:iCs/>
          <w:sz w:val="20"/>
        </w:rPr>
        <w:t>Hughes</w:t>
      </w:r>
      <w:r w:rsidR="0013683D">
        <w:rPr>
          <w:rFonts w:ascii="Arial" w:hAnsi="Arial" w:cs="Arial"/>
          <w:sz w:val="20"/>
        </w:rPr>
        <w:t xml:space="preserve"> at </w:t>
      </w:r>
      <w:r w:rsidR="0013683D" w:rsidRPr="0013683D">
        <w:rPr>
          <w:rFonts w:ascii="Arial" w:hAnsi="Arial" w:cs="Arial"/>
          <w:sz w:val="20"/>
        </w:rPr>
        <w:t xml:space="preserve">363 [64]; [2017] HCA 20; </w:t>
      </w:r>
      <w:r w:rsidR="0013683D" w:rsidRPr="0013683D">
        <w:rPr>
          <w:rFonts w:ascii="Arial" w:hAnsi="Arial" w:cs="Arial"/>
          <w:i/>
          <w:iCs/>
          <w:sz w:val="20"/>
        </w:rPr>
        <w:t>Dempsey (a pseudonym) v The Queen</w:t>
      </w:r>
      <w:r w:rsidR="0013683D" w:rsidRPr="0013683D">
        <w:rPr>
          <w:rFonts w:ascii="Arial" w:hAnsi="Arial" w:cs="Arial"/>
          <w:sz w:val="20"/>
        </w:rPr>
        <w:t xml:space="preserve"> [2019] VSCA 224, [60].</w:t>
      </w:r>
    </w:p>
    <w:p w14:paraId="5C8278F9" w14:textId="38BEF8BA" w:rsidR="0013683D"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The assessment of ‘significant probative value’ involves an assessment of: (a) the extent to which the evidence supports the tendency; and (b) the extent to which the tendency makes more likely the facts constituting the charged offence</w:t>
      </w:r>
      <w:r w:rsidR="0013683D">
        <w:rPr>
          <w:rFonts w:ascii="Arial" w:hAnsi="Arial" w:cs="Arial"/>
          <w:sz w:val="20"/>
        </w:rPr>
        <w:t xml:space="preserve">: </w:t>
      </w:r>
      <w:r w:rsidR="0013683D" w:rsidRPr="0013683D">
        <w:rPr>
          <w:rFonts w:ascii="Arial" w:hAnsi="Arial" w:cs="Arial"/>
          <w:i/>
          <w:iCs/>
          <w:sz w:val="20"/>
        </w:rPr>
        <w:t>TL v The King</w:t>
      </w:r>
      <w:r w:rsidR="0013683D" w:rsidRPr="0013683D">
        <w:rPr>
          <w:rFonts w:ascii="Arial" w:hAnsi="Arial" w:cs="Arial"/>
          <w:sz w:val="20"/>
        </w:rPr>
        <w:t xml:space="preserve"> (2022) CLR 83, 95 [28]; [2022] HCA 35; </w:t>
      </w:r>
      <w:r w:rsidR="0013683D" w:rsidRPr="0013683D">
        <w:rPr>
          <w:rFonts w:ascii="Arial" w:hAnsi="Arial" w:cs="Arial"/>
          <w:i/>
          <w:iCs/>
          <w:sz w:val="20"/>
        </w:rPr>
        <w:t>Hughes</w:t>
      </w:r>
      <w:r w:rsidR="0013683D" w:rsidRPr="0013683D">
        <w:rPr>
          <w:rFonts w:ascii="Arial" w:hAnsi="Arial" w:cs="Arial"/>
          <w:sz w:val="20"/>
        </w:rPr>
        <w:t xml:space="preserve"> </w:t>
      </w:r>
      <w:r w:rsidR="00585A10">
        <w:rPr>
          <w:rFonts w:ascii="Arial" w:hAnsi="Arial" w:cs="Arial"/>
          <w:sz w:val="20"/>
        </w:rPr>
        <w:t xml:space="preserve">at </w:t>
      </w:r>
      <w:r w:rsidR="0013683D" w:rsidRPr="0013683D">
        <w:rPr>
          <w:rFonts w:ascii="Arial" w:hAnsi="Arial" w:cs="Arial"/>
          <w:sz w:val="20"/>
        </w:rPr>
        <w:t>356 [41].</w:t>
      </w:r>
    </w:p>
    <w:p w14:paraId="343C4556" w14:textId="3B1AA8EE" w:rsidR="00AD7480"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In a muti-complainant case, the question that arises is whether the evidence that the accused committed a sexual offence against one complainant is significantly probative of the accused having committed a sexual offence against another complainant</w:t>
      </w:r>
      <w:r w:rsidR="0013683D">
        <w:rPr>
          <w:rFonts w:ascii="Arial" w:hAnsi="Arial" w:cs="Arial"/>
          <w:sz w:val="20"/>
        </w:rPr>
        <w:t xml:space="preserve">: </w:t>
      </w:r>
      <w:r w:rsidR="0013683D" w:rsidRPr="00AD7480">
        <w:rPr>
          <w:rFonts w:ascii="Arial" w:hAnsi="Arial" w:cs="Arial"/>
          <w:i/>
          <w:iCs/>
          <w:sz w:val="20"/>
        </w:rPr>
        <w:t>R v Bauer</w:t>
      </w:r>
      <w:r w:rsidR="00AD7480">
        <w:rPr>
          <w:rFonts w:ascii="Arial" w:hAnsi="Arial" w:cs="Arial"/>
          <w:sz w:val="20"/>
        </w:rPr>
        <w:t xml:space="preserve"> </w:t>
      </w:r>
      <w:r w:rsidR="0013683D" w:rsidRPr="0013683D">
        <w:rPr>
          <w:rFonts w:ascii="Arial" w:hAnsi="Arial" w:cs="Arial"/>
          <w:sz w:val="20"/>
        </w:rPr>
        <w:t>(2018) 266 CLR 56, 87 [58]; [2018] HCA 40.</w:t>
      </w:r>
      <w:r w:rsidR="0013683D">
        <w:rPr>
          <w:rFonts w:ascii="Arial" w:hAnsi="Arial" w:cs="Arial"/>
          <w:sz w:val="20"/>
        </w:rPr>
        <w:t xml:space="preserve"> </w:t>
      </w:r>
      <w:r w:rsidRPr="0013683D">
        <w:rPr>
          <w:rFonts w:ascii="Arial" w:hAnsi="Arial" w:cs="Arial"/>
          <w:sz w:val="20"/>
        </w:rPr>
        <w:t>Ordinarily, there must be some feature of or about the offending which links the two together; if there is some common feature, it may demonstrate a tendency to act in a particular way, proof of which increases the likelihood that the account under consideration is true</w:t>
      </w:r>
      <w:r w:rsidR="00AD7480">
        <w:rPr>
          <w:rFonts w:ascii="Arial" w:hAnsi="Arial" w:cs="Arial"/>
          <w:sz w:val="20"/>
        </w:rPr>
        <w:t>: Ibid.</w:t>
      </w:r>
    </w:p>
    <w:p w14:paraId="1BC508FA" w14:textId="05565FB0" w:rsidR="00AD7480" w:rsidRDefault="006728BA" w:rsidP="002D1856">
      <w:pPr>
        <w:pStyle w:val="ListParagraph"/>
        <w:numPr>
          <w:ilvl w:val="0"/>
          <w:numId w:val="137"/>
        </w:numPr>
        <w:spacing w:before="40"/>
        <w:ind w:left="924" w:right="567" w:hanging="357"/>
        <w:jc w:val="both"/>
        <w:rPr>
          <w:rFonts w:ascii="Arial" w:hAnsi="Arial" w:cs="Arial"/>
          <w:sz w:val="20"/>
        </w:rPr>
      </w:pPr>
      <w:r w:rsidRPr="00AD7480">
        <w:rPr>
          <w:rFonts w:ascii="Arial" w:hAnsi="Arial" w:cs="Arial"/>
          <w:i/>
          <w:iCs/>
          <w:sz w:val="20"/>
        </w:rPr>
        <w:t>In Harris (a pseudonym) v The Queen</w:t>
      </w:r>
      <w:r w:rsidR="00AD7480">
        <w:rPr>
          <w:rFonts w:ascii="Arial" w:hAnsi="Arial" w:cs="Arial"/>
          <w:sz w:val="20"/>
        </w:rPr>
        <w:t xml:space="preserve"> [2024] VSCA 43, </w:t>
      </w:r>
      <w:r w:rsidRPr="0013683D">
        <w:rPr>
          <w:rFonts w:ascii="Arial" w:hAnsi="Arial" w:cs="Arial"/>
          <w:sz w:val="20"/>
        </w:rPr>
        <w:t xml:space="preserve">a critical underlying feature of the offending conduct was the domestic context in which the offending occurred: the applicant was either a parent or a carer. The relationship provided the opportunity </w:t>
      </w:r>
      <w:proofErr w:type="gramStart"/>
      <w:r w:rsidRPr="0013683D">
        <w:rPr>
          <w:rFonts w:ascii="Arial" w:hAnsi="Arial" w:cs="Arial"/>
          <w:sz w:val="20"/>
        </w:rPr>
        <w:t xml:space="preserve">and </w:t>
      </w:r>
      <w:r w:rsidR="00585A10">
        <w:rPr>
          <w:rFonts w:ascii="Arial" w:hAnsi="Arial" w:cs="Arial"/>
          <w:sz w:val="20"/>
        </w:rPr>
        <w:t xml:space="preserve"> </w:t>
      </w:r>
      <w:r w:rsidRPr="0013683D">
        <w:rPr>
          <w:rFonts w:ascii="Arial" w:hAnsi="Arial" w:cs="Arial"/>
          <w:sz w:val="20"/>
        </w:rPr>
        <w:t>explained</w:t>
      </w:r>
      <w:proofErr w:type="gramEnd"/>
      <w:r w:rsidRPr="0013683D">
        <w:rPr>
          <w:rFonts w:ascii="Arial" w:hAnsi="Arial" w:cs="Arial"/>
          <w:sz w:val="20"/>
        </w:rPr>
        <w:t xml:space="preserve"> the circumstances in which the applicant was prepared to act on his sexual interest</w:t>
      </w:r>
      <w:r w:rsidR="00AD7480">
        <w:rPr>
          <w:rFonts w:ascii="Arial" w:hAnsi="Arial" w:cs="Arial"/>
          <w:sz w:val="20"/>
        </w:rPr>
        <w:t>: Ibid at [68].</w:t>
      </w:r>
    </w:p>
    <w:p w14:paraId="779E4597" w14:textId="5DA1A5FF" w:rsidR="00114134" w:rsidRPr="0013683D"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 xml:space="preserve">There is a risk that tendency evidence may be given too much weight, either as a result of a jury understanding the number of persons who share the tendency, or misapprehending whether the tendency contributed to the alleged act occurring. The evaluation of tendency evidence ‘may be clouded by the jury’s emotional response’ to </w:t>
      </w:r>
      <w:proofErr w:type="gramStart"/>
      <w:r w:rsidRPr="0013683D">
        <w:rPr>
          <w:rFonts w:ascii="Arial" w:hAnsi="Arial" w:cs="Arial"/>
          <w:sz w:val="20"/>
        </w:rPr>
        <w:t>it,and</w:t>
      </w:r>
      <w:proofErr w:type="gramEnd"/>
      <w:r w:rsidRPr="0013683D">
        <w:rPr>
          <w:rFonts w:ascii="Arial" w:hAnsi="Arial" w:cs="Arial"/>
          <w:sz w:val="20"/>
        </w:rPr>
        <w:t xml:space="preserve"> prejudice may also arise if an accused is required ‘to answer a raft of uncharged conduct stretching back, perhaps, over many </w:t>
      </w:r>
      <w:proofErr w:type="gramStart"/>
      <w:r w:rsidRPr="0013683D">
        <w:rPr>
          <w:rFonts w:ascii="Arial" w:hAnsi="Arial" w:cs="Arial"/>
          <w:sz w:val="20"/>
        </w:rPr>
        <w:t>years’</w:t>
      </w:r>
      <w:proofErr w:type="gramEnd"/>
      <w:r w:rsidRPr="0013683D">
        <w:rPr>
          <w:rFonts w:ascii="Arial" w:hAnsi="Arial" w:cs="Arial"/>
          <w:sz w:val="20"/>
        </w:rPr>
        <w:t xml:space="preserve">. </w:t>
      </w:r>
      <w:r w:rsidR="00585A10">
        <w:rPr>
          <w:rFonts w:ascii="Arial" w:hAnsi="Arial" w:cs="Arial"/>
          <w:sz w:val="20"/>
        </w:rPr>
        <w:t xml:space="preserve">See </w:t>
      </w:r>
      <w:r w:rsidR="00585A10" w:rsidRPr="00585A10">
        <w:rPr>
          <w:rFonts w:ascii="Arial" w:hAnsi="Arial" w:cs="Arial"/>
          <w:i/>
          <w:iCs/>
          <w:sz w:val="20"/>
        </w:rPr>
        <w:t>Hughes</w:t>
      </w:r>
      <w:r w:rsidR="00585A10">
        <w:rPr>
          <w:rFonts w:ascii="Arial" w:hAnsi="Arial" w:cs="Arial"/>
          <w:sz w:val="20"/>
        </w:rPr>
        <w:t xml:space="preserve"> at 349 [17].”</w:t>
      </w:r>
    </w:p>
    <w:p w14:paraId="35796DBB" w14:textId="77777777" w:rsidR="00114134" w:rsidRDefault="00114134" w:rsidP="0019386A">
      <w:pPr>
        <w:jc w:val="both"/>
        <w:rPr>
          <w:rFonts w:ascii="Arial" w:hAnsi="Arial" w:cs="Arial"/>
          <w:sz w:val="20"/>
          <w:szCs w:val="20"/>
        </w:rPr>
      </w:pPr>
    </w:p>
    <w:p w14:paraId="1FB84C8F" w14:textId="598DB99D" w:rsidR="002768B3" w:rsidRDefault="002768B3" w:rsidP="0019386A">
      <w:pPr>
        <w:jc w:val="both"/>
        <w:rPr>
          <w:rFonts w:ascii="Arial" w:hAnsi="Arial" w:cs="Arial"/>
          <w:color w:val="000000"/>
          <w:sz w:val="20"/>
          <w:szCs w:val="20"/>
        </w:rPr>
      </w:pPr>
      <w:r>
        <w:rPr>
          <w:rFonts w:ascii="Arial" w:hAnsi="Arial" w:cs="Arial"/>
          <w:sz w:val="20"/>
          <w:szCs w:val="20"/>
        </w:rPr>
        <w:t xml:space="preserve">In </w:t>
      </w:r>
      <w:r w:rsidRPr="002768B3">
        <w:rPr>
          <w:rFonts w:ascii="Arial" w:hAnsi="Arial" w:cs="Arial"/>
          <w:i/>
          <w:iCs/>
          <w:sz w:val="20"/>
          <w:szCs w:val="20"/>
        </w:rPr>
        <w:t>DPP v Clifford (Ruling No 2)</w:t>
      </w:r>
      <w:r>
        <w:rPr>
          <w:rFonts w:ascii="Arial" w:hAnsi="Arial" w:cs="Arial"/>
          <w:sz w:val="20"/>
          <w:szCs w:val="20"/>
        </w:rPr>
        <w:t xml:space="preserve"> [2025] VSC 157 the 18 year old accused had been charged with murder. </w:t>
      </w:r>
      <w:r w:rsidR="00E56632">
        <w:rPr>
          <w:rFonts w:ascii="Arial" w:hAnsi="Arial" w:cs="Arial"/>
          <w:color w:val="000000"/>
          <w:sz w:val="20"/>
          <w:szCs w:val="20"/>
        </w:rPr>
        <w:t>He had stabbed the 40 year old victim seven times when confronted by the victim while searching inside the victim’s parked car. In a pre-trial hearing the prosecution sought to adduce two items of alleged tendency evidence:</w:t>
      </w:r>
    </w:p>
    <w:p w14:paraId="5A1B5189" w14:textId="62B033AF" w:rsidR="00E56632" w:rsidRDefault="00E56632" w:rsidP="0017796C">
      <w:pPr>
        <w:pStyle w:val="ListParagraph"/>
        <w:numPr>
          <w:ilvl w:val="0"/>
          <w:numId w:val="155"/>
        </w:numPr>
        <w:ind w:left="357" w:hanging="357"/>
        <w:jc w:val="both"/>
        <w:rPr>
          <w:rFonts w:ascii="Arial" w:hAnsi="Arial" w:cs="Arial"/>
          <w:color w:val="000000"/>
          <w:sz w:val="20"/>
        </w:rPr>
      </w:pPr>
      <w:r w:rsidRPr="00E56632">
        <w:rPr>
          <w:rFonts w:ascii="Arial" w:hAnsi="Arial" w:cs="Arial"/>
          <w:color w:val="000000"/>
          <w:sz w:val="20"/>
        </w:rPr>
        <w:t xml:space="preserve">that the accused </w:t>
      </w:r>
      <w:r>
        <w:rPr>
          <w:rFonts w:ascii="Arial" w:hAnsi="Arial" w:cs="Arial"/>
          <w:color w:val="000000"/>
          <w:sz w:val="20"/>
        </w:rPr>
        <w:t xml:space="preserve">had </w:t>
      </w:r>
      <w:r w:rsidRPr="00E56632">
        <w:rPr>
          <w:rFonts w:ascii="Arial" w:hAnsi="Arial" w:cs="Arial"/>
          <w:color w:val="000000"/>
          <w:sz w:val="20"/>
        </w:rPr>
        <w:t xml:space="preserve">pleaded guilty to </w:t>
      </w:r>
      <w:r>
        <w:rPr>
          <w:rFonts w:ascii="Arial" w:hAnsi="Arial" w:cs="Arial"/>
          <w:color w:val="000000"/>
          <w:sz w:val="20"/>
        </w:rPr>
        <w:t xml:space="preserve">earlier </w:t>
      </w:r>
      <w:r w:rsidRPr="00E56632">
        <w:rPr>
          <w:rFonts w:ascii="Arial" w:hAnsi="Arial" w:cs="Arial"/>
          <w:color w:val="000000"/>
          <w:sz w:val="20"/>
        </w:rPr>
        <w:t xml:space="preserve">charges including attempted theft, possession of a controlled weapon without lawful excuse, and assault with a weapon arising out of an </w:t>
      </w:r>
      <w:r>
        <w:rPr>
          <w:rFonts w:ascii="Arial" w:hAnsi="Arial" w:cs="Arial"/>
          <w:color w:val="000000"/>
          <w:sz w:val="20"/>
        </w:rPr>
        <w:t xml:space="preserve">earlier </w:t>
      </w:r>
      <w:r w:rsidRPr="00E56632">
        <w:rPr>
          <w:rFonts w:ascii="Arial" w:hAnsi="Arial" w:cs="Arial"/>
          <w:color w:val="000000"/>
          <w:sz w:val="20"/>
        </w:rPr>
        <w:t>incident in which he was confronted when attempting to steal from a vehicle and pulled a knife, pointing it at the victim;</w:t>
      </w:r>
    </w:p>
    <w:p w14:paraId="689D7272" w14:textId="78C2259F" w:rsidR="00E56632" w:rsidRPr="00E56632" w:rsidRDefault="00E56632" w:rsidP="0017796C">
      <w:pPr>
        <w:pStyle w:val="ListParagraph"/>
        <w:numPr>
          <w:ilvl w:val="0"/>
          <w:numId w:val="155"/>
        </w:numPr>
        <w:ind w:left="357" w:hanging="357"/>
        <w:jc w:val="both"/>
        <w:rPr>
          <w:rFonts w:ascii="Arial" w:hAnsi="Arial" w:cs="Arial"/>
          <w:color w:val="000000"/>
          <w:sz w:val="20"/>
        </w:rPr>
      </w:pPr>
      <w:r>
        <w:rPr>
          <w:rFonts w:ascii="Arial" w:hAnsi="Arial" w:cs="Arial"/>
          <w:color w:val="000000"/>
          <w:sz w:val="20"/>
        </w:rPr>
        <w:t xml:space="preserve">evidence of the accused’s admissions to a friend of his that </w:t>
      </w:r>
      <w:r w:rsidRPr="00E56632">
        <w:rPr>
          <w:rFonts w:ascii="Arial" w:hAnsi="Arial" w:cs="Arial"/>
          <w:color w:val="000000"/>
          <w:sz w:val="20"/>
        </w:rPr>
        <w:t>he had been breaking into cars on the night of the deceased’s death, that he was confronted by the deceased, and that during this confrontation he had pulled out ‘his’ knife and stabbed the deceased</w:t>
      </w:r>
      <w:r>
        <w:rPr>
          <w:rFonts w:ascii="Arial" w:hAnsi="Arial" w:cs="Arial"/>
          <w:color w:val="000000"/>
          <w:sz w:val="20"/>
        </w:rPr>
        <w:t>.</w:t>
      </w:r>
    </w:p>
    <w:p w14:paraId="3E5DFE93" w14:textId="77777777" w:rsidR="0017796C" w:rsidRDefault="00E56632" w:rsidP="00E56632">
      <w:pPr>
        <w:spacing w:before="120"/>
        <w:jc w:val="both"/>
        <w:rPr>
          <w:rFonts w:ascii="Arial" w:hAnsi="Arial" w:cs="Arial"/>
          <w:color w:val="000000"/>
          <w:sz w:val="20"/>
          <w:szCs w:val="20"/>
        </w:rPr>
      </w:pPr>
      <w:r>
        <w:rPr>
          <w:rFonts w:ascii="Arial" w:hAnsi="Arial" w:cs="Arial"/>
          <w:color w:val="000000"/>
          <w:sz w:val="20"/>
          <w:szCs w:val="20"/>
        </w:rPr>
        <w:t xml:space="preserve">After quoting at [29]-[30] dicta from </w:t>
      </w:r>
      <w:r w:rsidRPr="00E56632">
        <w:rPr>
          <w:rFonts w:ascii="Arial" w:hAnsi="Arial" w:cs="Arial"/>
          <w:i/>
          <w:iCs/>
          <w:color w:val="000000"/>
          <w:sz w:val="20"/>
          <w:szCs w:val="20"/>
        </w:rPr>
        <w:t>DPP (Vic) v Roder (a pseudonym)</w:t>
      </w:r>
      <w:r>
        <w:rPr>
          <w:rFonts w:ascii="Arial" w:hAnsi="Arial" w:cs="Arial"/>
          <w:color w:val="000000"/>
          <w:sz w:val="20"/>
          <w:szCs w:val="20"/>
        </w:rPr>
        <w:t xml:space="preserve"> (2024) 307 A Crim R 283 at [24] and </w:t>
      </w:r>
      <w:r w:rsidRPr="00E56632">
        <w:rPr>
          <w:rFonts w:ascii="Arial" w:hAnsi="Arial" w:cs="Arial"/>
          <w:i/>
          <w:iCs/>
          <w:color w:val="000000"/>
          <w:sz w:val="20"/>
          <w:szCs w:val="20"/>
        </w:rPr>
        <w:t>TL v The King</w:t>
      </w:r>
      <w:r>
        <w:rPr>
          <w:rFonts w:ascii="Arial" w:hAnsi="Arial" w:cs="Arial"/>
          <w:color w:val="000000"/>
          <w:sz w:val="20"/>
          <w:szCs w:val="20"/>
        </w:rPr>
        <w:t xml:space="preserve"> (2022) 275 CLR 83 at [29], Incerti J ultimately held </w:t>
      </w:r>
      <w:r w:rsidR="0017796C">
        <w:rPr>
          <w:rFonts w:ascii="Arial" w:hAnsi="Arial" w:cs="Arial"/>
          <w:color w:val="000000"/>
          <w:sz w:val="20"/>
          <w:szCs w:val="20"/>
        </w:rPr>
        <w:t>at [68] that–</w:t>
      </w:r>
    </w:p>
    <w:p w14:paraId="05F6866F" w14:textId="77777777" w:rsidR="0017796C" w:rsidRPr="0013683D" w:rsidRDefault="0017796C" w:rsidP="0017796C">
      <w:pPr>
        <w:pStyle w:val="ListParagraph"/>
        <w:numPr>
          <w:ilvl w:val="0"/>
          <w:numId w:val="137"/>
        </w:numPr>
        <w:ind w:left="357" w:hanging="357"/>
        <w:jc w:val="both"/>
        <w:rPr>
          <w:rFonts w:ascii="Arial" w:hAnsi="Arial" w:cs="Arial"/>
          <w:sz w:val="20"/>
        </w:rPr>
      </w:pPr>
      <w:r>
        <w:rPr>
          <w:rFonts w:ascii="Arial" w:hAnsi="Arial" w:cs="Arial"/>
          <w:color w:val="000000"/>
          <w:sz w:val="20"/>
        </w:rPr>
        <w:t>the evidence of each of the two items detailed above was not admissible as tendency evidence; and</w:t>
      </w:r>
    </w:p>
    <w:p w14:paraId="7A952E21" w14:textId="77777777" w:rsidR="0017796C" w:rsidRPr="0013683D" w:rsidRDefault="0017796C" w:rsidP="0017796C">
      <w:pPr>
        <w:pStyle w:val="ListParagraph"/>
        <w:numPr>
          <w:ilvl w:val="0"/>
          <w:numId w:val="137"/>
        </w:numPr>
        <w:ind w:left="357" w:hanging="357"/>
        <w:jc w:val="both"/>
        <w:rPr>
          <w:rFonts w:ascii="Arial" w:hAnsi="Arial" w:cs="Arial"/>
          <w:sz w:val="20"/>
        </w:rPr>
      </w:pPr>
      <w:r>
        <w:rPr>
          <w:rFonts w:ascii="Arial" w:hAnsi="Arial" w:cs="Arial"/>
          <w:color w:val="000000"/>
          <w:sz w:val="20"/>
        </w:rPr>
        <w:t xml:space="preserve">in any event she would have excluded it on the basis that its probative value does not </w:t>
      </w:r>
      <w:r w:rsidRPr="0017796C">
        <w:rPr>
          <w:rFonts w:ascii="Arial" w:hAnsi="Arial" w:cs="Arial"/>
          <w:color w:val="000000"/>
          <w:sz w:val="20"/>
        </w:rPr>
        <w:t>substantially outweigh the prejudicial effect it may have on the accused.</w:t>
      </w:r>
    </w:p>
    <w:p w14:paraId="3EC10C1E" w14:textId="3A05AE8D" w:rsidR="0017796C" w:rsidRDefault="0017796C" w:rsidP="0017796C">
      <w:pPr>
        <w:spacing w:before="120"/>
        <w:jc w:val="both"/>
        <w:rPr>
          <w:rFonts w:ascii="Arial" w:hAnsi="Arial" w:cs="Arial"/>
          <w:color w:val="000000"/>
          <w:sz w:val="20"/>
          <w:szCs w:val="20"/>
        </w:rPr>
      </w:pPr>
      <w:r>
        <w:rPr>
          <w:rFonts w:ascii="Arial" w:hAnsi="Arial" w:cs="Arial"/>
          <w:color w:val="000000"/>
          <w:sz w:val="20"/>
          <w:szCs w:val="20"/>
        </w:rPr>
        <w:t xml:space="preserve">The accused had </w:t>
      </w:r>
      <w:r w:rsidRPr="00E56632">
        <w:rPr>
          <w:rFonts w:ascii="Arial" w:hAnsi="Arial" w:cs="Arial"/>
          <w:color w:val="000000"/>
          <w:sz w:val="20"/>
          <w:szCs w:val="20"/>
        </w:rPr>
        <w:t xml:space="preserve">indicated </w:t>
      </w:r>
      <w:r>
        <w:rPr>
          <w:rFonts w:ascii="Arial" w:hAnsi="Arial" w:cs="Arial"/>
          <w:color w:val="000000"/>
          <w:sz w:val="20"/>
          <w:szCs w:val="20"/>
        </w:rPr>
        <w:t xml:space="preserve">at the pre-trial hearing </w:t>
      </w:r>
      <w:r w:rsidRPr="00E56632">
        <w:rPr>
          <w:rFonts w:ascii="Arial" w:hAnsi="Arial" w:cs="Arial"/>
          <w:color w:val="000000"/>
          <w:sz w:val="20"/>
          <w:szCs w:val="20"/>
        </w:rPr>
        <w:t>that he intend</w:t>
      </w:r>
      <w:r>
        <w:rPr>
          <w:rFonts w:ascii="Arial" w:hAnsi="Arial" w:cs="Arial"/>
          <w:color w:val="000000"/>
          <w:sz w:val="20"/>
          <w:szCs w:val="20"/>
        </w:rPr>
        <w:t>ed</w:t>
      </w:r>
      <w:r w:rsidRPr="00E56632">
        <w:rPr>
          <w:rFonts w:ascii="Arial" w:hAnsi="Arial" w:cs="Arial"/>
          <w:color w:val="000000"/>
          <w:sz w:val="20"/>
          <w:szCs w:val="20"/>
        </w:rPr>
        <w:t xml:space="preserve"> to plead guilty to manslaughter at the commencement of the trial.</w:t>
      </w:r>
      <w:r>
        <w:rPr>
          <w:rFonts w:ascii="Arial" w:hAnsi="Arial" w:cs="Arial"/>
          <w:color w:val="000000"/>
          <w:sz w:val="20"/>
          <w:szCs w:val="20"/>
        </w:rPr>
        <w:t xml:space="preserve"> Ultimately the prosecution accepted the plea. Her Honour’s sentencing remarks are detailed in </w:t>
      </w:r>
      <w:r w:rsidRPr="0017796C">
        <w:rPr>
          <w:rFonts w:ascii="Arial" w:hAnsi="Arial" w:cs="Arial"/>
          <w:b/>
          <w:bCs/>
          <w:color w:val="000000"/>
          <w:sz w:val="20"/>
          <w:szCs w:val="20"/>
          <w:shd w:val="clear" w:color="auto" w:fill="C5E0B3" w:themeFill="accent6" w:themeFillTint="66"/>
        </w:rPr>
        <w:t>section 11.2.22.1</w:t>
      </w:r>
      <w:r>
        <w:rPr>
          <w:rFonts w:ascii="Arial" w:hAnsi="Arial" w:cs="Arial"/>
          <w:color w:val="000000"/>
          <w:sz w:val="20"/>
          <w:szCs w:val="20"/>
        </w:rPr>
        <w:t>.</w:t>
      </w:r>
    </w:p>
    <w:p w14:paraId="27F8A4D5" w14:textId="77777777" w:rsidR="00E456F6" w:rsidRPr="006B1D82" w:rsidRDefault="00E456F6" w:rsidP="0019386A">
      <w:pPr>
        <w:jc w:val="both"/>
        <w:rPr>
          <w:rFonts w:ascii="Arial" w:hAnsi="Arial" w:cs="Arial"/>
          <w:sz w:val="20"/>
          <w:szCs w:val="20"/>
        </w:rPr>
      </w:pPr>
    </w:p>
    <w:p w14:paraId="1BA2090E" w14:textId="7EF8134C" w:rsidR="00630923" w:rsidRPr="00EF7505" w:rsidRDefault="00976CB1" w:rsidP="00A44886">
      <w:pPr>
        <w:jc w:val="both"/>
        <w:rPr>
          <w:rFonts w:ascii="Arial" w:hAnsi="Arial" w:cs="Arial"/>
          <w:sz w:val="20"/>
          <w:szCs w:val="20"/>
        </w:rPr>
      </w:pPr>
      <w:bookmarkStart w:id="610" w:name="_3.5.3.8_Conflicting_evidence"/>
      <w:bookmarkStart w:id="611" w:name="_Hlk96415398"/>
      <w:bookmarkEnd w:id="610"/>
      <w:r w:rsidRPr="00EF7505">
        <w:rPr>
          <w:rFonts w:ascii="Arial" w:hAnsi="Arial" w:cs="Arial"/>
          <w:sz w:val="20"/>
          <w:szCs w:val="20"/>
        </w:rPr>
        <w:t>For further dicta on tendency evidence s</w:t>
      </w:r>
      <w:r w:rsidR="006B2259" w:rsidRPr="00EF7505">
        <w:rPr>
          <w:rFonts w:ascii="Arial" w:hAnsi="Arial" w:cs="Arial"/>
          <w:sz w:val="20"/>
          <w:szCs w:val="20"/>
        </w:rPr>
        <w:t xml:space="preserve">ee </w:t>
      </w:r>
      <w:r w:rsidR="0060345A" w:rsidRPr="0060345A">
        <w:rPr>
          <w:rFonts w:ascii="Arial" w:hAnsi="Arial" w:cs="Arial"/>
          <w:i/>
          <w:iCs/>
          <w:sz w:val="20"/>
          <w:szCs w:val="20"/>
        </w:rPr>
        <w:t>DPP v Pearson (a pseudonym)</w:t>
      </w:r>
      <w:r w:rsidR="0060345A">
        <w:rPr>
          <w:rFonts w:ascii="Arial" w:hAnsi="Arial" w:cs="Arial"/>
          <w:sz w:val="20"/>
          <w:szCs w:val="20"/>
        </w:rPr>
        <w:t xml:space="preserve"> [2021] VSCA 336 at [</w:t>
      </w:r>
      <w:r w:rsidR="00D6160B">
        <w:rPr>
          <w:rFonts w:ascii="Arial" w:hAnsi="Arial" w:cs="Arial"/>
          <w:sz w:val="20"/>
          <w:szCs w:val="20"/>
        </w:rPr>
        <w:t>79</w:t>
      </w:r>
      <w:r w:rsidR="0060345A">
        <w:rPr>
          <w:rFonts w:ascii="Arial" w:hAnsi="Arial" w:cs="Arial"/>
          <w:sz w:val="20"/>
          <w:szCs w:val="20"/>
        </w:rPr>
        <w:t>]</w:t>
      </w:r>
      <w:r w:rsidR="00D6160B">
        <w:rPr>
          <w:rFonts w:ascii="Arial" w:hAnsi="Arial" w:cs="Arial"/>
          <w:sz w:val="20"/>
          <w:szCs w:val="20"/>
        </w:rPr>
        <w:noBreakHyphen/>
      </w:r>
      <w:r w:rsidR="0060345A">
        <w:rPr>
          <w:rFonts w:ascii="Arial" w:hAnsi="Arial" w:cs="Arial"/>
          <w:sz w:val="20"/>
          <w:szCs w:val="20"/>
        </w:rPr>
        <w:t>[</w:t>
      </w:r>
      <w:r w:rsidR="00D6160B">
        <w:rPr>
          <w:rFonts w:ascii="Arial" w:hAnsi="Arial" w:cs="Arial"/>
          <w:sz w:val="20"/>
          <w:szCs w:val="20"/>
        </w:rPr>
        <w:t>82</w:t>
      </w:r>
      <w:r w:rsidR="0060345A">
        <w:rPr>
          <w:rFonts w:ascii="Arial" w:hAnsi="Arial" w:cs="Arial"/>
          <w:sz w:val="20"/>
          <w:szCs w:val="20"/>
        </w:rPr>
        <w:t xml:space="preserve">]; </w:t>
      </w:r>
      <w:r w:rsidR="006B2259" w:rsidRPr="00EF7505">
        <w:rPr>
          <w:rFonts w:ascii="Arial" w:hAnsi="Arial" w:cs="Arial"/>
          <w:i/>
          <w:iCs/>
          <w:sz w:val="20"/>
          <w:szCs w:val="20"/>
        </w:rPr>
        <w:t>Harlen (a pseudonym) v The King</w:t>
      </w:r>
      <w:r w:rsidR="006B2259" w:rsidRPr="00EF7505">
        <w:rPr>
          <w:rFonts w:ascii="Arial" w:hAnsi="Arial" w:cs="Arial"/>
          <w:sz w:val="20"/>
          <w:szCs w:val="20"/>
        </w:rPr>
        <w:t xml:space="preserve"> [2023] VSCA 269 at [61]-[85]</w:t>
      </w:r>
      <w:r w:rsidR="0066245E" w:rsidRPr="00EF7505">
        <w:rPr>
          <w:rFonts w:ascii="Arial" w:hAnsi="Arial" w:cs="Arial"/>
          <w:sz w:val="20"/>
          <w:szCs w:val="20"/>
        </w:rPr>
        <w:t xml:space="preserve">; </w:t>
      </w:r>
      <w:r w:rsidR="0066245E" w:rsidRPr="00EF7505">
        <w:rPr>
          <w:rFonts w:ascii="Arial" w:hAnsi="Arial" w:cs="Arial"/>
          <w:i/>
          <w:iCs/>
          <w:sz w:val="20"/>
          <w:szCs w:val="20"/>
        </w:rPr>
        <w:t xml:space="preserve">Sharman (a pseudonym) v The King </w:t>
      </w:r>
      <w:r w:rsidR="0066245E" w:rsidRPr="00EF7505">
        <w:rPr>
          <w:rFonts w:ascii="Arial" w:hAnsi="Arial" w:cs="Arial"/>
          <w:sz w:val="20"/>
          <w:szCs w:val="20"/>
        </w:rPr>
        <w:t>[2024] VSCA 5 at [67]-[68]</w:t>
      </w:r>
      <w:r w:rsidR="002D42B7" w:rsidRPr="00EF7505">
        <w:rPr>
          <w:rFonts w:ascii="Arial" w:hAnsi="Arial" w:cs="Arial"/>
          <w:sz w:val="20"/>
          <w:szCs w:val="20"/>
        </w:rPr>
        <w:t xml:space="preserve">; </w:t>
      </w:r>
      <w:r w:rsidR="002D42B7" w:rsidRPr="00EF7505">
        <w:rPr>
          <w:rFonts w:ascii="Arial" w:hAnsi="Arial" w:cs="Arial"/>
          <w:i/>
          <w:iCs/>
          <w:color w:val="000000"/>
          <w:sz w:val="20"/>
          <w:szCs w:val="20"/>
        </w:rPr>
        <w:t>Lee v The King</w:t>
      </w:r>
      <w:r w:rsidR="002D42B7" w:rsidRPr="00EF7505">
        <w:rPr>
          <w:rFonts w:ascii="Arial" w:hAnsi="Arial" w:cs="Arial"/>
          <w:color w:val="000000"/>
          <w:sz w:val="20"/>
          <w:szCs w:val="20"/>
        </w:rPr>
        <w:t xml:space="preserve"> [2024] VSCA 10 at [54]-[61]</w:t>
      </w:r>
      <w:r w:rsidR="00626134" w:rsidRPr="00EF7505">
        <w:rPr>
          <w:rFonts w:ascii="Arial" w:hAnsi="Arial" w:cs="Arial"/>
          <w:color w:val="000000"/>
          <w:sz w:val="20"/>
          <w:szCs w:val="20"/>
        </w:rPr>
        <w:t xml:space="preserve">; </w:t>
      </w:r>
      <w:r w:rsidR="00626134" w:rsidRPr="00EF7505">
        <w:rPr>
          <w:rFonts w:ascii="Arial" w:hAnsi="Arial" w:cs="Arial"/>
          <w:i/>
          <w:iCs/>
          <w:color w:val="000000"/>
          <w:sz w:val="20"/>
          <w:szCs w:val="20"/>
        </w:rPr>
        <w:t>Rhodes (a pseudonym) v The King</w:t>
      </w:r>
      <w:r w:rsidR="00626134" w:rsidRPr="00EF7505">
        <w:rPr>
          <w:rFonts w:ascii="Arial" w:hAnsi="Arial" w:cs="Arial"/>
          <w:color w:val="000000"/>
          <w:sz w:val="20"/>
          <w:szCs w:val="20"/>
        </w:rPr>
        <w:t xml:space="preserve"> [2024] VSCA 15</w:t>
      </w:r>
      <w:r w:rsidR="008766F1" w:rsidRPr="00EF7505">
        <w:rPr>
          <w:rFonts w:ascii="Arial" w:hAnsi="Arial" w:cs="Arial"/>
          <w:color w:val="000000"/>
          <w:sz w:val="20"/>
          <w:szCs w:val="20"/>
        </w:rPr>
        <w:t xml:space="preserve">; </w:t>
      </w:r>
      <w:r w:rsidR="008766F1" w:rsidRPr="00EF7505">
        <w:rPr>
          <w:rFonts w:ascii="Arial" w:hAnsi="Arial" w:cs="Arial"/>
          <w:i/>
          <w:iCs/>
          <w:color w:val="000000"/>
          <w:sz w:val="20"/>
          <w:szCs w:val="20"/>
        </w:rPr>
        <w:t>Gibson (a pseudonym) v The King</w:t>
      </w:r>
      <w:r w:rsidR="008766F1" w:rsidRPr="00EF7505">
        <w:rPr>
          <w:rFonts w:ascii="Arial" w:hAnsi="Arial" w:cs="Arial"/>
          <w:color w:val="000000"/>
          <w:sz w:val="20"/>
          <w:szCs w:val="20"/>
        </w:rPr>
        <w:t xml:space="preserve"> [2024] VSCA 33 at [26]</w:t>
      </w:r>
      <w:r w:rsidR="008766F1" w:rsidRPr="00EF7505">
        <w:rPr>
          <w:rFonts w:ascii="Arial" w:hAnsi="Arial" w:cs="Arial"/>
          <w:color w:val="000000"/>
          <w:sz w:val="20"/>
          <w:szCs w:val="20"/>
        </w:rPr>
        <w:noBreakHyphen/>
        <w:t>[43]</w:t>
      </w:r>
      <w:r w:rsidR="00976B16" w:rsidRPr="00EF7505">
        <w:rPr>
          <w:rFonts w:ascii="Arial" w:hAnsi="Arial" w:cs="Arial"/>
          <w:color w:val="000000"/>
          <w:sz w:val="20"/>
          <w:szCs w:val="20"/>
        </w:rPr>
        <w:t xml:space="preserve">; </w:t>
      </w:r>
      <w:r w:rsidR="00976B16" w:rsidRPr="00EF7505">
        <w:rPr>
          <w:rFonts w:ascii="Arial" w:hAnsi="Arial" w:cs="Arial"/>
          <w:i/>
          <w:iCs/>
          <w:color w:val="000000"/>
          <w:sz w:val="20"/>
          <w:szCs w:val="20"/>
        </w:rPr>
        <w:t>Healy (a pseudonym) v The King</w:t>
      </w:r>
      <w:r w:rsidR="00976B16" w:rsidRPr="00EF7505">
        <w:rPr>
          <w:rFonts w:ascii="Arial" w:hAnsi="Arial" w:cs="Arial"/>
          <w:color w:val="000000"/>
          <w:sz w:val="20"/>
          <w:szCs w:val="20"/>
        </w:rPr>
        <w:t xml:space="preserve"> [2024] VSCA 80 at [50]-[65]</w:t>
      </w:r>
      <w:r w:rsidR="00FC556C" w:rsidRPr="00EF7505">
        <w:rPr>
          <w:rFonts w:ascii="Arial" w:hAnsi="Arial" w:cs="Arial"/>
          <w:color w:val="000000"/>
          <w:sz w:val="20"/>
          <w:szCs w:val="20"/>
        </w:rPr>
        <w:t xml:space="preserve">; </w:t>
      </w:r>
      <w:r w:rsidR="00FC556C" w:rsidRPr="00EF7505">
        <w:rPr>
          <w:rFonts w:ascii="Arial" w:hAnsi="Arial" w:cs="Arial"/>
          <w:i/>
          <w:iCs/>
          <w:color w:val="000000"/>
          <w:sz w:val="20"/>
          <w:szCs w:val="20"/>
        </w:rPr>
        <w:t>Callaway (a pseudonym) v The King</w:t>
      </w:r>
      <w:r w:rsidR="00FC556C" w:rsidRPr="00EF7505">
        <w:rPr>
          <w:rFonts w:ascii="Arial" w:hAnsi="Arial" w:cs="Arial"/>
          <w:color w:val="000000"/>
          <w:sz w:val="20"/>
          <w:szCs w:val="20"/>
        </w:rPr>
        <w:t xml:space="preserve"> [2024] VSCA 103 at [19]-[43]</w:t>
      </w:r>
      <w:r w:rsidR="003B52E6" w:rsidRPr="00EF7505">
        <w:rPr>
          <w:rFonts w:ascii="Arial" w:hAnsi="Arial" w:cs="Arial"/>
          <w:color w:val="000000"/>
          <w:sz w:val="20"/>
          <w:szCs w:val="20"/>
        </w:rPr>
        <w:t xml:space="preserve">; </w:t>
      </w:r>
      <w:r w:rsidR="003B52E6" w:rsidRPr="00EF7505">
        <w:rPr>
          <w:rFonts w:ascii="Arial" w:hAnsi="Arial" w:cs="Arial"/>
          <w:i/>
          <w:iCs/>
          <w:color w:val="000000"/>
          <w:sz w:val="20"/>
          <w:szCs w:val="20"/>
        </w:rPr>
        <w:t>Fares v The King</w:t>
      </w:r>
      <w:r w:rsidR="003B52E6" w:rsidRPr="00EF7505">
        <w:rPr>
          <w:rFonts w:ascii="Arial" w:hAnsi="Arial" w:cs="Arial"/>
          <w:color w:val="000000"/>
          <w:sz w:val="20"/>
          <w:szCs w:val="20"/>
        </w:rPr>
        <w:t xml:space="preserve"> [2024] VSCA 108 at [90]-[127]</w:t>
      </w:r>
      <w:r w:rsidR="009B6C10" w:rsidRPr="00EF7505">
        <w:rPr>
          <w:rFonts w:ascii="Arial" w:hAnsi="Arial" w:cs="Arial"/>
          <w:color w:val="000000"/>
          <w:sz w:val="20"/>
          <w:szCs w:val="20"/>
        </w:rPr>
        <w:t xml:space="preserve">; </w:t>
      </w:r>
      <w:r w:rsidR="009B6C10" w:rsidRPr="00EF7505">
        <w:rPr>
          <w:rFonts w:ascii="Arial" w:hAnsi="Arial" w:cs="Arial"/>
          <w:i/>
          <w:iCs/>
          <w:sz w:val="20"/>
          <w:szCs w:val="20"/>
        </w:rPr>
        <w:t>Milky v The King</w:t>
      </w:r>
      <w:r w:rsidR="009B6C10" w:rsidRPr="00EF7505">
        <w:rPr>
          <w:rFonts w:ascii="Arial" w:hAnsi="Arial" w:cs="Arial"/>
          <w:sz w:val="20"/>
          <w:szCs w:val="20"/>
        </w:rPr>
        <w:t xml:space="preserve"> [2024] VSCA 136 at [13]-[33]</w:t>
      </w:r>
      <w:r w:rsidR="00BF0559" w:rsidRPr="00EF7505">
        <w:rPr>
          <w:rFonts w:ascii="Arial" w:hAnsi="Arial" w:cs="Arial"/>
          <w:sz w:val="20"/>
          <w:szCs w:val="20"/>
        </w:rPr>
        <w:t xml:space="preserve">; </w:t>
      </w:r>
      <w:r w:rsidR="00BF0559" w:rsidRPr="00EF7505">
        <w:rPr>
          <w:rFonts w:ascii="Arial" w:hAnsi="Arial" w:cs="Arial"/>
          <w:i/>
          <w:iCs/>
          <w:sz w:val="20"/>
          <w:szCs w:val="20"/>
        </w:rPr>
        <w:t>R v Lynn (Ruling 7)</w:t>
      </w:r>
      <w:r w:rsidR="00BF0559" w:rsidRPr="00EF7505">
        <w:rPr>
          <w:rFonts w:ascii="Arial" w:hAnsi="Arial" w:cs="Arial"/>
          <w:sz w:val="20"/>
          <w:szCs w:val="20"/>
        </w:rPr>
        <w:t xml:space="preserve"> [2024] VSC 376 at [22]-[30]</w:t>
      </w:r>
      <w:r w:rsidR="00DD6F1E" w:rsidRPr="00EF7505">
        <w:rPr>
          <w:rFonts w:ascii="Arial" w:hAnsi="Arial" w:cs="Arial"/>
          <w:sz w:val="20"/>
          <w:szCs w:val="20"/>
        </w:rPr>
        <w:t xml:space="preserve">; </w:t>
      </w:r>
      <w:r w:rsidR="00DD6F1E" w:rsidRPr="00EF7505">
        <w:rPr>
          <w:rFonts w:ascii="Arial" w:hAnsi="Arial" w:cs="Arial"/>
          <w:i/>
          <w:iCs/>
          <w:sz w:val="20"/>
          <w:szCs w:val="20"/>
        </w:rPr>
        <w:t>Franklin (a pseudonym) v The King</w:t>
      </w:r>
      <w:r w:rsidR="00DD6F1E" w:rsidRPr="00EF7505">
        <w:rPr>
          <w:rFonts w:ascii="Arial" w:hAnsi="Arial" w:cs="Arial"/>
          <w:sz w:val="20"/>
          <w:szCs w:val="20"/>
        </w:rPr>
        <w:t xml:space="preserve"> [2024] VSCA 213 at [66]-[81], [89]-[104], [109]-[123] &amp; [127]-[141]</w:t>
      </w:r>
      <w:r w:rsidR="00215CB5" w:rsidRPr="00EF7505">
        <w:rPr>
          <w:rFonts w:ascii="Arial" w:hAnsi="Arial" w:cs="Arial"/>
          <w:sz w:val="20"/>
          <w:szCs w:val="20"/>
        </w:rPr>
        <w:t xml:space="preserve">; Rulings 2 &amp; 3 in </w:t>
      </w:r>
      <w:r w:rsidR="00215CB5" w:rsidRPr="00EF7505">
        <w:rPr>
          <w:rFonts w:ascii="Arial" w:hAnsi="Arial" w:cs="Arial"/>
          <w:i/>
          <w:iCs/>
          <w:sz w:val="20"/>
          <w:szCs w:val="20"/>
        </w:rPr>
        <w:t>DPP v Alhassan (Rulings 1 to 5)</w:t>
      </w:r>
      <w:r w:rsidR="00215CB5" w:rsidRPr="00EF7505">
        <w:rPr>
          <w:rFonts w:ascii="Arial" w:hAnsi="Arial" w:cs="Arial"/>
          <w:sz w:val="20"/>
          <w:szCs w:val="20"/>
        </w:rPr>
        <w:t xml:space="preserve"> [2024] VSC 573 at [46]-[82] &amp; [83]-[99]</w:t>
      </w:r>
      <w:bookmarkStart w:id="612" w:name="_Hlk185238093"/>
      <w:r w:rsidR="007B0655" w:rsidRPr="00EF7505">
        <w:rPr>
          <w:rFonts w:ascii="Arial" w:hAnsi="Arial" w:cs="Arial"/>
          <w:sz w:val="20"/>
          <w:szCs w:val="20"/>
        </w:rPr>
        <w:t xml:space="preserve">; </w:t>
      </w:r>
      <w:r w:rsidR="007B0655" w:rsidRPr="00EF7505">
        <w:rPr>
          <w:rFonts w:ascii="Arial" w:hAnsi="Arial" w:cs="Arial"/>
          <w:i/>
          <w:iCs/>
          <w:sz w:val="20"/>
          <w:szCs w:val="20"/>
        </w:rPr>
        <w:t>DP (a pseudonym) v Bird</w:t>
      </w:r>
      <w:r w:rsidR="007B0655" w:rsidRPr="00EF7505">
        <w:rPr>
          <w:rFonts w:ascii="Arial" w:hAnsi="Arial" w:cs="Arial"/>
          <w:sz w:val="20"/>
          <w:szCs w:val="20"/>
        </w:rPr>
        <w:t xml:space="preserve"> [2021] VSC 850 at [91]-[98]</w:t>
      </w:r>
      <w:r w:rsidRPr="00EF7505">
        <w:rPr>
          <w:rFonts w:ascii="Arial" w:hAnsi="Arial" w:cs="Arial"/>
          <w:sz w:val="20"/>
          <w:szCs w:val="20"/>
        </w:rPr>
        <w:t xml:space="preserve">; </w:t>
      </w:r>
      <w:r w:rsidRPr="00EF7505">
        <w:rPr>
          <w:rFonts w:ascii="Arial" w:hAnsi="Arial" w:cs="Arial"/>
          <w:i/>
          <w:iCs/>
          <w:sz w:val="20"/>
          <w:szCs w:val="20"/>
        </w:rPr>
        <w:t>Ward v The King</w:t>
      </w:r>
      <w:r w:rsidRPr="00EF7505">
        <w:rPr>
          <w:rFonts w:ascii="Arial" w:hAnsi="Arial" w:cs="Arial"/>
          <w:sz w:val="20"/>
          <w:szCs w:val="20"/>
        </w:rPr>
        <w:t xml:space="preserve"> [2025] VSCA 101 at [184]-[194]</w:t>
      </w:r>
      <w:r w:rsidR="00630923" w:rsidRPr="00EF7505">
        <w:rPr>
          <w:rFonts w:ascii="Arial" w:hAnsi="Arial" w:cs="Arial"/>
          <w:sz w:val="20"/>
          <w:szCs w:val="20"/>
        </w:rPr>
        <w:t xml:space="preserve">; </w:t>
      </w:r>
      <w:r w:rsidR="00630923" w:rsidRPr="00EF7505">
        <w:rPr>
          <w:rFonts w:ascii="Arial" w:hAnsi="Arial" w:cs="Arial"/>
          <w:i/>
          <w:iCs/>
          <w:sz w:val="20"/>
          <w:szCs w:val="20"/>
        </w:rPr>
        <w:t>DPP v Mehdi &amp; Ors (Ruling 1)</w:t>
      </w:r>
      <w:r w:rsidR="00630923" w:rsidRPr="00EF7505">
        <w:rPr>
          <w:rFonts w:ascii="Arial" w:hAnsi="Arial" w:cs="Arial"/>
          <w:sz w:val="20"/>
          <w:szCs w:val="20"/>
        </w:rPr>
        <w:t xml:space="preserve"> [2024] VSC 830 at [22]-[40]</w:t>
      </w:r>
      <w:r w:rsidR="009C60AB" w:rsidRPr="00EF7505">
        <w:rPr>
          <w:rFonts w:ascii="Arial" w:hAnsi="Arial" w:cs="Arial"/>
          <w:sz w:val="20"/>
          <w:szCs w:val="20"/>
        </w:rPr>
        <w:t xml:space="preserve">; </w:t>
      </w:r>
      <w:r w:rsidR="009C60AB" w:rsidRPr="00EF7505">
        <w:rPr>
          <w:rFonts w:ascii="Arial" w:hAnsi="Arial" w:cs="Arial"/>
          <w:i/>
          <w:iCs/>
          <w:sz w:val="20"/>
          <w:szCs w:val="20"/>
        </w:rPr>
        <w:t>Poole (a pseudonym) v The King</w:t>
      </w:r>
      <w:r w:rsidR="009C60AB" w:rsidRPr="00EF7505">
        <w:rPr>
          <w:rFonts w:ascii="Arial" w:hAnsi="Arial" w:cs="Arial"/>
          <w:sz w:val="20"/>
          <w:szCs w:val="20"/>
        </w:rPr>
        <w:t xml:space="preserve"> [2025] VSCA 127 at [19]-[26] &amp; [59]-[91]</w:t>
      </w:r>
      <w:r w:rsidR="00C62AB3" w:rsidRPr="00EF7505">
        <w:rPr>
          <w:rFonts w:ascii="Arial" w:hAnsi="Arial" w:cs="Arial"/>
          <w:sz w:val="20"/>
          <w:szCs w:val="20"/>
        </w:rPr>
        <w:t xml:space="preserve">; </w:t>
      </w:r>
      <w:r w:rsidR="006F4F2A" w:rsidRPr="00EF7505">
        <w:rPr>
          <w:rFonts w:ascii="Arial" w:hAnsi="Arial" w:cs="Arial"/>
          <w:i/>
          <w:iCs/>
          <w:sz w:val="20"/>
          <w:szCs w:val="20"/>
        </w:rPr>
        <w:t>R v Patterson (Ruling 1)</w:t>
      </w:r>
      <w:r w:rsidR="006F4F2A" w:rsidRPr="00EF7505">
        <w:rPr>
          <w:rFonts w:ascii="Arial" w:hAnsi="Arial" w:cs="Arial"/>
          <w:sz w:val="20"/>
          <w:szCs w:val="20"/>
        </w:rPr>
        <w:t xml:space="preserve"> [2025] VSC 102 at [</w:t>
      </w:r>
      <w:r w:rsidR="005226EC" w:rsidRPr="00EF7505">
        <w:rPr>
          <w:rFonts w:ascii="Arial" w:hAnsi="Arial" w:cs="Arial"/>
          <w:sz w:val="20"/>
          <w:szCs w:val="20"/>
        </w:rPr>
        <w:t>123] &amp; [</w:t>
      </w:r>
      <w:r w:rsidR="006F4F2A" w:rsidRPr="00EF7505">
        <w:rPr>
          <w:rFonts w:ascii="Arial" w:hAnsi="Arial" w:cs="Arial"/>
          <w:sz w:val="20"/>
          <w:szCs w:val="20"/>
        </w:rPr>
        <w:t>1</w:t>
      </w:r>
      <w:r w:rsidR="005226EC" w:rsidRPr="00EF7505">
        <w:rPr>
          <w:rFonts w:ascii="Arial" w:hAnsi="Arial" w:cs="Arial"/>
          <w:sz w:val="20"/>
          <w:szCs w:val="20"/>
        </w:rPr>
        <w:t>35</w:t>
      </w:r>
      <w:r w:rsidR="006F4F2A" w:rsidRPr="00EF7505">
        <w:rPr>
          <w:rFonts w:ascii="Arial" w:hAnsi="Arial" w:cs="Arial"/>
          <w:sz w:val="20"/>
          <w:szCs w:val="20"/>
        </w:rPr>
        <w:t>]-[1</w:t>
      </w:r>
      <w:r w:rsidR="005226EC" w:rsidRPr="00EF7505">
        <w:rPr>
          <w:rFonts w:ascii="Arial" w:hAnsi="Arial" w:cs="Arial"/>
          <w:sz w:val="20"/>
          <w:szCs w:val="20"/>
        </w:rPr>
        <w:t>39</w:t>
      </w:r>
      <w:r w:rsidR="006F4F2A" w:rsidRPr="00EF7505">
        <w:rPr>
          <w:rFonts w:ascii="Arial" w:hAnsi="Arial" w:cs="Arial"/>
          <w:sz w:val="20"/>
          <w:szCs w:val="20"/>
        </w:rPr>
        <w:t xml:space="preserve">]; </w:t>
      </w:r>
      <w:r w:rsidR="00DE27F9" w:rsidRPr="00EF7505">
        <w:rPr>
          <w:rFonts w:ascii="Arial" w:hAnsi="Arial" w:cs="Arial"/>
          <w:i/>
          <w:iCs/>
          <w:sz w:val="20"/>
          <w:szCs w:val="20"/>
        </w:rPr>
        <w:t>R v Patterson (Ruling 3)</w:t>
      </w:r>
      <w:r w:rsidR="00DE27F9" w:rsidRPr="00EF7505">
        <w:rPr>
          <w:rFonts w:ascii="Arial" w:hAnsi="Arial" w:cs="Arial"/>
          <w:sz w:val="20"/>
          <w:szCs w:val="20"/>
        </w:rPr>
        <w:t xml:space="preserve"> [2025] VSC 104 at [14]-[15]; </w:t>
      </w:r>
      <w:r w:rsidR="002A4FAE" w:rsidRPr="00EF7505">
        <w:rPr>
          <w:rFonts w:ascii="Arial" w:hAnsi="Arial" w:cs="Arial"/>
          <w:i/>
          <w:iCs/>
          <w:sz w:val="20"/>
          <w:szCs w:val="20"/>
        </w:rPr>
        <w:t>R v Patterson (Ruling 6)</w:t>
      </w:r>
      <w:r w:rsidR="002A4FAE" w:rsidRPr="00EF7505">
        <w:rPr>
          <w:rFonts w:ascii="Arial" w:hAnsi="Arial" w:cs="Arial"/>
          <w:sz w:val="20"/>
          <w:szCs w:val="20"/>
        </w:rPr>
        <w:t xml:space="preserve"> [2025] VSC 108 {appeal dismissed: see </w:t>
      </w:r>
      <w:r w:rsidR="00C62AB3" w:rsidRPr="00EF7505">
        <w:rPr>
          <w:rFonts w:ascii="Arial" w:hAnsi="Arial" w:cs="Arial"/>
          <w:i/>
          <w:iCs/>
          <w:sz w:val="20"/>
          <w:szCs w:val="20"/>
        </w:rPr>
        <w:t>DPP v Patterson</w:t>
      </w:r>
      <w:r w:rsidR="00C62AB3" w:rsidRPr="00EF7505">
        <w:rPr>
          <w:rFonts w:ascii="Arial" w:hAnsi="Arial" w:cs="Arial"/>
          <w:sz w:val="20"/>
          <w:szCs w:val="20"/>
        </w:rPr>
        <w:t xml:space="preserve"> [2025] VSCA 82 at </w:t>
      </w:r>
      <w:r w:rsidR="00C62AB3" w:rsidRPr="00EF7505">
        <w:rPr>
          <w:rFonts w:ascii="Arial" w:hAnsi="Arial" w:cs="Arial"/>
          <w:sz w:val="20"/>
          <w:szCs w:val="20"/>
        </w:rPr>
        <w:lastRenderedPageBreak/>
        <w:t>[</w:t>
      </w:r>
      <w:r w:rsidR="00FB6197" w:rsidRPr="00EF7505">
        <w:rPr>
          <w:rFonts w:ascii="Arial" w:hAnsi="Arial" w:cs="Arial"/>
          <w:sz w:val="20"/>
          <w:szCs w:val="20"/>
        </w:rPr>
        <w:t>67</w:t>
      </w:r>
      <w:r w:rsidR="00C62AB3" w:rsidRPr="00EF7505">
        <w:rPr>
          <w:rFonts w:ascii="Arial" w:hAnsi="Arial" w:cs="Arial"/>
          <w:sz w:val="20"/>
          <w:szCs w:val="20"/>
        </w:rPr>
        <w:t>]-[</w:t>
      </w:r>
      <w:r w:rsidR="00FB6197" w:rsidRPr="00EF7505">
        <w:rPr>
          <w:rFonts w:ascii="Arial" w:hAnsi="Arial" w:cs="Arial"/>
          <w:sz w:val="20"/>
          <w:szCs w:val="20"/>
        </w:rPr>
        <w:t>78</w:t>
      </w:r>
      <w:r w:rsidR="00C62AB3" w:rsidRPr="00EF7505">
        <w:rPr>
          <w:rFonts w:ascii="Arial" w:hAnsi="Arial" w:cs="Arial"/>
          <w:sz w:val="20"/>
          <w:szCs w:val="20"/>
        </w:rPr>
        <w:t>]</w:t>
      </w:r>
      <w:r w:rsidR="00FB6197" w:rsidRPr="00EF7505">
        <w:rPr>
          <w:rFonts w:ascii="Arial" w:hAnsi="Arial" w:cs="Arial"/>
          <w:sz w:val="20"/>
          <w:szCs w:val="20"/>
        </w:rPr>
        <w:t>, [88]-[109] &amp; [113]-[127]</w:t>
      </w:r>
      <w:r w:rsidR="00C62AB3" w:rsidRPr="00EF7505">
        <w:rPr>
          <w:rFonts w:ascii="Arial" w:hAnsi="Arial" w:cs="Arial"/>
          <w:sz w:val="20"/>
          <w:szCs w:val="20"/>
        </w:rPr>
        <w:t xml:space="preserve"> </w:t>
      </w:r>
      <w:r w:rsidR="00FB6197" w:rsidRPr="00EF7505">
        <w:rPr>
          <w:rFonts w:ascii="Arial" w:hAnsi="Arial" w:cs="Arial"/>
          <w:sz w:val="20"/>
          <w:szCs w:val="20"/>
        </w:rPr>
        <w:t>per Emerton P &amp; T Forrest JA and</w:t>
      </w:r>
      <w:r w:rsidR="00C62AB3" w:rsidRPr="00EF7505">
        <w:rPr>
          <w:rFonts w:ascii="Arial" w:hAnsi="Arial" w:cs="Arial"/>
          <w:sz w:val="20"/>
          <w:szCs w:val="20"/>
        </w:rPr>
        <w:t xml:space="preserve"> </w:t>
      </w:r>
      <w:r w:rsidR="00FB6197" w:rsidRPr="00EF7505">
        <w:rPr>
          <w:rFonts w:ascii="Arial" w:hAnsi="Arial" w:cs="Arial"/>
          <w:sz w:val="20"/>
          <w:szCs w:val="20"/>
        </w:rPr>
        <w:t xml:space="preserve">at </w:t>
      </w:r>
      <w:r w:rsidR="00C62AB3" w:rsidRPr="00EF7505">
        <w:rPr>
          <w:rFonts w:ascii="Arial" w:hAnsi="Arial" w:cs="Arial"/>
          <w:sz w:val="20"/>
          <w:szCs w:val="20"/>
        </w:rPr>
        <w:t>[</w:t>
      </w:r>
      <w:r w:rsidR="00FB6197" w:rsidRPr="00EF7505">
        <w:rPr>
          <w:rFonts w:ascii="Arial" w:hAnsi="Arial" w:cs="Arial"/>
          <w:sz w:val="20"/>
          <w:szCs w:val="20"/>
        </w:rPr>
        <w:t>186</w:t>
      </w:r>
      <w:r w:rsidR="00C62AB3" w:rsidRPr="00EF7505">
        <w:rPr>
          <w:rFonts w:ascii="Arial" w:hAnsi="Arial" w:cs="Arial"/>
          <w:sz w:val="20"/>
          <w:szCs w:val="20"/>
        </w:rPr>
        <w:t>]-[</w:t>
      </w:r>
      <w:r w:rsidR="00FB6197" w:rsidRPr="00EF7505">
        <w:rPr>
          <w:rFonts w:ascii="Arial" w:hAnsi="Arial" w:cs="Arial"/>
          <w:sz w:val="20"/>
          <w:szCs w:val="20"/>
        </w:rPr>
        <w:t>236</w:t>
      </w:r>
      <w:r w:rsidR="00C62AB3" w:rsidRPr="00EF7505">
        <w:rPr>
          <w:rFonts w:ascii="Arial" w:hAnsi="Arial" w:cs="Arial"/>
          <w:sz w:val="20"/>
          <w:szCs w:val="20"/>
        </w:rPr>
        <w:t>]</w:t>
      </w:r>
      <w:r w:rsidR="00FB6197" w:rsidRPr="00EF7505">
        <w:rPr>
          <w:rFonts w:ascii="Arial" w:hAnsi="Arial" w:cs="Arial"/>
          <w:sz w:val="20"/>
          <w:szCs w:val="20"/>
        </w:rPr>
        <w:t xml:space="preserve"> per Priest</w:t>
      </w:r>
      <w:r w:rsidR="005226EC" w:rsidRPr="00EF7505">
        <w:rPr>
          <w:rFonts w:ascii="Arial" w:hAnsi="Arial" w:cs="Arial"/>
          <w:sz w:val="20"/>
          <w:szCs w:val="20"/>
        </w:rPr>
        <w:t xml:space="preserve"> </w:t>
      </w:r>
      <w:r w:rsidR="00FB6197" w:rsidRPr="00EF7505">
        <w:rPr>
          <w:rFonts w:ascii="Arial" w:hAnsi="Arial" w:cs="Arial"/>
          <w:sz w:val="20"/>
          <w:szCs w:val="20"/>
        </w:rPr>
        <w:t>JA</w:t>
      </w:r>
      <w:r w:rsidR="00DE27F9" w:rsidRPr="00EF7505">
        <w:rPr>
          <w:rFonts w:ascii="Arial" w:hAnsi="Arial" w:cs="Arial"/>
          <w:sz w:val="20"/>
          <w:szCs w:val="20"/>
        </w:rPr>
        <w:t>}</w:t>
      </w:r>
      <w:r w:rsidR="00D15E25" w:rsidRPr="00EF7505">
        <w:rPr>
          <w:rFonts w:ascii="Arial" w:hAnsi="Arial" w:cs="Arial"/>
          <w:sz w:val="20"/>
          <w:szCs w:val="20"/>
        </w:rPr>
        <w:t xml:space="preserve">; </w:t>
      </w:r>
      <w:r w:rsidR="0060345A" w:rsidRPr="0060345A">
        <w:rPr>
          <w:rFonts w:ascii="Arial" w:hAnsi="Arial" w:cs="Arial"/>
          <w:i/>
          <w:iCs/>
          <w:sz w:val="20"/>
        </w:rPr>
        <w:t>Chee Loh (a pseudonym) v The King</w:t>
      </w:r>
      <w:r w:rsidR="0060345A" w:rsidRPr="0060345A">
        <w:rPr>
          <w:rFonts w:ascii="Arial" w:hAnsi="Arial" w:cs="Arial"/>
          <w:sz w:val="20"/>
        </w:rPr>
        <w:t xml:space="preserve"> [2025] VSCA 175</w:t>
      </w:r>
      <w:r w:rsidR="0060345A">
        <w:rPr>
          <w:rFonts w:ascii="Arial" w:hAnsi="Arial" w:cs="Arial"/>
          <w:sz w:val="20"/>
        </w:rPr>
        <w:t xml:space="preserve"> at [</w:t>
      </w:r>
      <w:r w:rsidR="00D6160B">
        <w:rPr>
          <w:rFonts w:ascii="Arial" w:hAnsi="Arial" w:cs="Arial"/>
          <w:sz w:val="20"/>
        </w:rPr>
        <w:t>79</w:t>
      </w:r>
      <w:r w:rsidR="0060345A">
        <w:rPr>
          <w:rFonts w:ascii="Arial" w:hAnsi="Arial" w:cs="Arial"/>
          <w:sz w:val="20"/>
        </w:rPr>
        <w:t>]-[</w:t>
      </w:r>
      <w:r w:rsidR="00D6160B">
        <w:rPr>
          <w:rFonts w:ascii="Arial" w:hAnsi="Arial" w:cs="Arial"/>
          <w:sz w:val="20"/>
        </w:rPr>
        <w:t>83</w:t>
      </w:r>
      <w:r w:rsidR="0060345A">
        <w:rPr>
          <w:rFonts w:ascii="Arial" w:hAnsi="Arial" w:cs="Arial"/>
          <w:sz w:val="20"/>
        </w:rPr>
        <w:t xml:space="preserve">]; </w:t>
      </w:r>
      <w:r w:rsidR="00D15E25" w:rsidRPr="00EF7505">
        <w:rPr>
          <w:rFonts w:ascii="Arial" w:hAnsi="Arial" w:cs="Arial"/>
          <w:i/>
          <w:iCs/>
          <w:sz w:val="20"/>
          <w:szCs w:val="20"/>
        </w:rPr>
        <w:t>Morgan (a pseudonym) v The King</w:t>
      </w:r>
      <w:r w:rsidR="00D15E25" w:rsidRPr="00EF7505">
        <w:rPr>
          <w:rFonts w:ascii="Arial" w:hAnsi="Arial" w:cs="Arial"/>
          <w:sz w:val="20"/>
          <w:szCs w:val="20"/>
        </w:rPr>
        <w:t xml:space="preserve"> [2025] VSCA 227 at [91]-[104]</w:t>
      </w:r>
      <w:r w:rsidR="00EF7505" w:rsidRPr="00EF7505">
        <w:rPr>
          <w:rFonts w:ascii="Arial" w:hAnsi="Arial" w:cs="Arial"/>
          <w:sz w:val="20"/>
          <w:szCs w:val="20"/>
        </w:rPr>
        <w:t xml:space="preserve">; </w:t>
      </w:r>
      <w:r w:rsidR="00EF7505" w:rsidRPr="00EF7505">
        <w:rPr>
          <w:rFonts w:ascii="Arial" w:hAnsi="Arial" w:cs="Arial"/>
          <w:i/>
          <w:iCs/>
          <w:sz w:val="20"/>
          <w:szCs w:val="20"/>
        </w:rPr>
        <w:t>Garside (a pseudonym) v The King</w:t>
      </w:r>
      <w:r w:rsidR="00EF7505" w:rsidRPr="00EF7505">
        <w:rPr>
          <w:rFonts w:ascii="Arial" w:hAnsi="Arial" w:cs="Arial"/>
          <w:sz w:val="20"/>
          <w:szCs w:val="20"/>
        </w:rPr>
        <w:t xml:space="preserve"> [2026] VSCA 41 at [24]-[46] &amp; [60]-[77].</w:t>
      </w:r>
    </w:p>
    <w:p w14:paraId="6EAF6BE5" w14:textId="77777777" w:rsidR="00306AA0" w:rsidRDefault="00306AA0" w:rsidP="00306AA0">
      <w:pPr>
        <w:jc w:val="both"/>
        <w:rPr>
          <w:rFonts w:ascii="Arial" w:hAnsi="Arial" w:cs="Arial"/>
          <w:sz w:val="20"/>
        </w:rPr>
      </w:pPr>
    </w:p>
    <w:p w14:paraId="5ACB162B" w14:textId="77777777" w:rsidR="00306AA0" w:rsidRPr="00BD3BA0" w:rsidRDefault="00306AA0" w:rsidP="00306AA0">
      <w:pPr>
        <w:jc w:val="center"/>
        <w:rPr>
          <w:rFonts w:ascii="Arial" w:hAnsi="Arial" w:cs="Arial"/>
          <w:b/>
          <w:bCs/>
          <w:sz w:val="22"/>
          <w:szCs w:val="28"/>
        </w:rPr>
      </w:pPr>
      <w:r w:rsidRPr="00BD3BA0">
        <w:rPr>
          <w:rFonts w:ascii="Arial" w:hAnsi="Arial" w:cs="Arial"/>
          <w:b/>
          <w:bCs/>
          <w:sz w:val="22"/>
          <w:szCs w:val="28"/>
        </w:rPr>
        <w:t>THE REST OF THIS PAGE IS BLANK</w:t>
      </w:r>
    </w:p>
    <w:p w14:paraId="3C1E51B4" w14:textId="77777777" w:rsidR="00306AA0" w:rsidRDefault="00306AA0" w:rsidP="00306AA0">
      <w:pPr>
        <w:jc w:val="both"/>
        <w:rPr>
          <w:rFonts w:ascii="Arial" w:hAnsi="Arial" w:cs="Arial"/>
          <w:sz w:val="20"/>
        </w:rPr>
      </w:pPr>
    </w:p>
    <w:p w14:paraId="2AE7FBA7" w14:textId="7231374F" w:rsidR="00306AA0" w:rsidRDefault="00306AA0">
      <w:pPr>
        <w:rPr>
          <w:rFonts w:ascii="Arial" w:hAnsi="Arial" w:cs="Arial"/>
          <w:sz w:val="20"/>
        </w:rPr>
      </w:pPr>
      <w:r>
        <w:rPr>
          <w:rFonts w:ascii="Arial" w:hAnsi="Arial" w:cs="Arial"/>
          <w:sz w:val="20"/>
        </w:rPr>
        <w:br w:type="page"/>
      </w:r>
    </w:p>
    <w:p w14:paraId="1504CBEC" w14:textId="07E0335C" w:rsidR="00DC56AA" w:rsidRPr="009F25D4" w:rsidRDefault="00DC56AA" w:rsidP="0066351D">
      <w:pPr>
        <w:pStyle w:val="Heading3"/>
        <w:keepNext/>
        <w:widowControl/>
        <w:spacing w:line="240" w:lineRule="auto"/>
        <w:ind w:left="737" w:hanging="737"/>
        <w:rPr>
          <w:rFonts w:ascii="Arial" w:hAnsi="Arial" w:cs="Arial"/>
          <w:b/>
          <w:bCs/>
          <w:color w:val="000000"/>
          <w:sz w:val="20"/>
        </w:rPr>
      </w:pPr>
      <w:bookmarkStart w:id="613" w:name="_3.5.3.8_Conflicting_evidence_1"/>
      <w:bookmarkEnd w:id="612"/>
      <w:bookmarkEnd w:id="613"/>
      <w:r w:rsidRPr="008C3BC8">
        <w:rPr>
          <w:rFonts w:ascii="Arial" w:hAnsi="Arial" w:cs="Arial"/>
          <w:b/>
          <w:bCs/>
          <w:color w:val="000000"/>
          <w:sz w:val="20"/>
        </w:rPr>
        <w:lastRenderedPageBreak/>
        <w:t>3.5.</w:t>
      </w:r>
      <w:r>
        <w:rPr>
          <w:rFonts w:ascii="Arial" w:hAnsi="Arial" w:cs="Arial"/>
          <w:b/>
          <w:bCs/>
          <w:color w:val="000000"/>
          <w:sz w:val="20"/>
        </w:rPr>
        <w:t>3.</w:t>
      </w:r>
      <w:r w:rsidR="00106472">
        <w:rPr>
          <w:rFonts w:ascii="Arial" w:hAnsi="Arial" w:cs="Arial"/>
          <w:b/>
          <w:bCs/>
          <w:color w:val="000000"/>
          <w:sz w:val="20"/>
        </w:rPr>
        <w:t>8</w:t>
      </w:r>
      <w:r>
        <w:rPr>
          <w:rFonts w:ascii="Arial" w:hAnsi="Arial" w:cs="Arial"/>
          <w:b/>
          <w:bCs/>
          <w:color w:val="000000"/>
          <w:sz w:val="20"/>
        </w:rPr>
        <w:tab/>
      </w:r>
      <w:r w:rsidR="00AC659F">
        <w:rPr>
          <w:rFonts w:ascii="Arial" w:hAnsi="Arial" w:cs="Arial"/>
          <w:b/>
          <w:bCs/>
          <w:color w:val="000000"/>
          <w:sz w:val="20"/>
        </w:rPr>
        <w:t xml:space="preserve">Conflicting evidence </w:t>
      </w:r>
      <w:r w:rsidR="0066351D">
        <w:rPr>
          <w:rFonts w:ascii="Arial" w:hAnsi="Arial" w:cs="Arial"/>
          <w:b/>
          <w:bCs/>
          <w:color w:val="000000"/>
          <w:sz w:val="20"/>
        </w:rPr>
        <w:t xml:space="preserve">– </w:t>
      </w:r>
      <w:r w:rsidR="00492ABD">
        <w:rPr>
          <w:rFonts w:ascii="Arial" w:hAnsi="Arial" w:cs="Arial"/>
          <w:b/>
          <w:bCs/>
          <w:color w:val="000000"/>
          <w:sz w:val="20"/>
        </w:rPr>
        <w:t>D</w:t>
      </w:r>
      <w:r w:rsidR="0066351D">
        <w:rPr>
          <w:rFonts w:ascii="Arial" w:hAnsi="Arial" w:cs="Arial"/>
          <w:b/>
          <w:bCs/>
          <w:color w:val="000000"/>
          <w:sz w:val="20"/>
        </w:rPr>
        <w:t xml:space="preserve">angers of </w:t>
      </w:r>
      <w:r w:rsidR="00735ADA">
        <w:rPr>
          <w:rFonts w:ascii="Arial" w:hAnsi="Arial" w:cs="Arial"/>
          <w:b/>
          <w:bCs/>
          <w:color w:val="000000"/>
          <w:sz w:val="20"/>
        </w:rPr>
        <w:t>d</w:t>
      </w:r>
      <w:r w:rsidR="0066351D">
        <w:rPr>
          <w:rFonts w:ascii="Arial" w:hAnsi="Arial" w:cs="Arial"/>
          <w:b/>
          <w:bCs/>
          <w:color w:val="000000"/>
          <w:sz w:val="20"/>
        </w:rPr>
        <w:t>emeanour</w:t>
      </w:r>
      <w:r w:rsidR="00B62342">
        <w:rPr>
          <w:rFonts w:ascii="Arial" w:hAnsi="Arial" w:cs="Arial"/>
          <w:b/>
          <w:bCs/>
          <w:color w:val="000000"/>
          <w:sz w:val="20"/>
        </w:rPr>
        <w:t xml:space="preserve"> – Fallibility of human memory</w:t>
      </w:r>
    </w:p>
    <w:p w14:paraId="3B5D8D82" w14:textId="2213D63D" w:rsidR="00DC56AA" w:rsidRDefault="0066351D" w:rsidP="00DC56AA">
      <w:pPr>
        <w:spacing w:before="120"/>
        <w:jc w:val="both"/>
        <w:rPr>
          <w:rFonts w:ascii="Arial" w:hAnsi="Arial" w:cs="Arial"/>
          <w:sz w:val="20"/>
        </w:rPr>
      </w:pPr>
      <w:r>
        <w:rPr>
          <w:rFonts w:ascii="Arial" w:hAnsi="Arial" w:cs="Arial"/>
          <w:sz w:val="20"/>
        </w:rPr>
        <w:t>Resolution of m</w:t>
      </w:r>
      <w:r w:rsidR="00DC56AA">
        <w:rPr>
          <w:rFonts w:ascii="Arial" w:hAnsi="Arial" w:cs="Arial"/>
          <w:sz w:val="20"/>
        </w:rPr>
        <w:t>any cases require</w:t>
      </w:r>
      <w:r>
        <w:rPr>
          <w:rFonts w:ascii="Arial" w:hAnsi="Arial" w:cs="Arial"/>
          <w:sz w:val="20"/>
        </w:rPr>
        <w:t>s</w:t>
      </w:r>
      <w:r w:rsidR="00DC56AA">
        <w:rPr>
          <w:rFonts w:ascii="Arial" w:hAnsi="Arial" w:cs="Arial"/>
          <w:sz w:val="20"/>
        </w:rPr>
        <w:t xml:space="preserve"> a judicial officer to choose between two or more conflicting pieces of evidence. </w:t>
      </w:r>
      <w:r w:rsidR="00FB1630">
        <w:rPr>
          <w:rFonts w:ascii="Arial" w:hAnsi="Arial" w:cs="Arial"/>
          <w:sz w:val="20"/>
        </w:rPr>
        <w:t>How does the judicial officer decide which version of the evidence to accept? It used to be said that the primary method of resolving conflicts in evidence was to rely on the demeanour of witnesses in the witness-box.  But g</w:t>
      </w:r>
      <w:r w:rsidR="00DC56AA">
        <w:rPr>
          <w:rFonts w:ascii="Arial" w:hAnsi="Arial" w:cs="Arial"/>
          <w:sz w:val="20"/>
        </w:rPr>
        <w:t xml:space="preserve">enerally </w:t>
      </w:r>
      <w:r w:rsidR="00FB1630">
        <w:rPr>
          <w:rFonts w:ascii="Arial" w:hAnsi="Arial" w:cs="Arial"/>
          <w:sz w:val="20"/>
        </w:rPr>
        <w:t xml:space="preserve">speaking, </w:t>
      </w:r>
      <w:r w:rsidR="00DC56AA">
        <w:rPr>
          <w:rFonts w:ascii="Arial" w:hAnsi="Arial" w:cs="Arial"/>
          <w:sz w:val="20"/>
        </w:rPr>
        <w:t xml:space="preserve">a judicial officer is not a particularly efficient ‘lie detector’.  Sir Harry Gibbs, a former Chief Justice of the High Court, </w:t>
      </w:r>
      <w:r w:rsidR="00AD093A">
        <w:rPr>
          <w:rFonts w:ascii="Arial" w:hAnsi="Arial" w:cs="Arial"/>
          <w:sz w:val="20"/>
        </w:rPr>
        <w:t xml:space="preserve">acknowledged this when he </w:t>
      </w:r>
      <w:r w:rsidR="00D53D45">
        <w:rPr>
          <w:rFonts w:ascii="Arial" w:hAnsi="Arial" w:cs="Arial"/>
          <w:sz w:val="20"/>
        </w:rPr>
        <w:t>observ</w:t>
      </w:r>
      <w:r w:rsidR="00AD093A">
        <w:rPr>
          <w:rFonts w:ascii="Arial" w:hAnsi="Arial" w:cs="Arial"/>
          <w:sz w:val="20"/>
        </w:rPr>
        <w:t>ed:</w:t>
      </w:r>
    </w:p>
    <w:p w14:paraId="7E4807AC" w14:textId="23208C7C" w:rsidR="00AD093A" w:rsidRDefault="00AD093A" w:rsidP="00AD093A">
      <w:pPr>
        <w:spacing w:before="60"/>
        <w:ind w:left="567" w:right="567"/>
        <w:jc w:val="both"/>
        <w:rPr>
          <w:rFonts w:ascii="Arial" w:hAnsi="Arial" w:cs="Arial"/>
          <w:sz w:val="20"/>
        </w:rPr>
      </w:pPr>
      <w:r>
        <w:rPr>
          <w:rFonts w:ascii="Arial" w:hAnsi="Arial" w:cs="Arial"/>
          <w:sz w:val="20"/>
        </w:rPr>
        <w:t>“I sometimes think the power of a judge to divine the hidden truth simply by observing a witness is exaggerated and I am sure that where inferences can be drawn from established facts, one is on much stronger ground in reaching the truth than by reliance on the demeanour of witnesses.”</w:t>
      </w:r>
    </w:p>
    <w:p w14:paraId="6A0FD1E3" w14:textId="65F80EB7" w:rsidR="00DC56AA" w:rsidRDefault="00DC56AA">
      <w:pPr>
        <w:jc w:val="both"/>
        <w:rPr>
          <w:rFonts w:ascii="Arial" w:hAnsi="Arial" w:cs="Arial"/>
          <w:sz w:val="20"/>
        </w:rPr>
      </w:pPr>
    </w:p>
    <w:p w14:paraId="78597531" w14:textId="4BC3133B" w:rsidR="00AD093A" w:rsidRDefault="00AD093A">
      <w:pPr>
        <w:jc w:val="both"/>
        <w:rPr>
          <w:rFonts w:ascii="Arial" w:hAnsi="Arial" w:cs="Arial"/>
          <w:sz w:val="20"/>
        </w:rPr>
      </w:pPr>
      <w:r>
        <w:rPr>
          <w:rFonts w:ascii="Arial" w:hAnsi="Arial" w:cs="Arial"/>
          <w:sz w:val="20"/>
        </w:rPr>
        <w:t>In an article in 72 ALJ 21 the then editor Justice Peter Young issued a similar warning to judicial officers:</w:t>
      </w:r>
    </w:p>
    <w:p w14:paraId="4E7E983A" w14:textId="29B58A1B" w:rsidR="00AD093A" w:rsidRDefault="00AD093A" w:rsidP="0066351D">
      <w:pPr>
        <w:numPr>
          <w:ilvl w:val="0"/>
          <w:numId w:val="49"/>
        </w:numPr>
        <w:spacing w:before="60"/>
        <w:ind w:left="567" w:hanging="567"/>
        <w:jc w:val="both"/>
        <w:rPr>
          <w:rFonts w:ascii="Arial" w:hAnsi="Arial" w:cs="Arial"/>
          <w:sz w:val="20"/>
        </w:rPr>
      </w:pPr>
      <w:r>
        <w:rPr>
          <w:rFonts w:ascii="Arial" w:hAnsi="Arial" w:cs="Arial"/>
          <w:sz w:val="20"/>
        </w:rPr>
        <w:t>“Don’t think you have some innate ability to spot a fraud or a liar.”</w:t>
      </w:r>
    </w:p>
    <w:p w14:paraId="347FE99A" w14:textId="1020709A" w:rsidR="00AD093A" w:rsidRPr="00851AAB" w:rsidRDefault="00AD093A" w:rsidP="0066351D">
      <w:pPr>
        <w:numPr>
          <w:ilvl w:val="0"/>
          <w:numId w:val="49"/>
        </w:numPr>
        <w:ind w:left="567" w:hanging="567"/>
        <w:jc w:val="both"/>
        <w:rPr>
          <w:rFonts w:ascii="Arial" w:hAnsi="Arial" w:cs="Arial"/>
          <w:sz w:val="20"/>
        </w:rPr>
      </w:pPr>
      <w:r>
        <w:rPr>
          <w:rFonts w:ascii="Arial" w:hAnsi="Arial" w:cs="Arial"/>
          <w:sz w:val="20"/>
        </w:rPr>
        <w:t>“Try not to judge a case wholly on observation of demeanour.”</w:t>
      </w:r>
    </w:p>
    <w:p w14:paraId="71BBA4FF" w14:textId="77777777" w:rsidR="007C53E6" w:rsidRDefault="007C53E6" w:rsidP="007C53E6">
      <w:pPr>
        <w:jc w:val="both"/>
        <w:rPr>
          <w:rFonts w:ascii="Arial" w:hAnsi="Arial" w:cs="Arial"/>
          <w:sz w:val="20"/>
        </w:rPr>
      </w:pPr>
    </w:p>
    <w:p w14:paraId="46B5BA94" w14:textId="50E3831F" w:rsidR="007C53E6" w:rsidRDefault="007C53E6" w:rsidP="007C53E6">
      <w:pPr>
        <w:jc w:val="both"/>
        <w:rPr>
          <w:rFonts w:ascii="Arial" w:hAnsi="Arial" w:cs="Arial"/>
          <w:sz w:val="20"/>
        </w:rPr>
      </w:pPr>
      <w:r>
        <w:rPr>
          <w:rFonts w:ascii="Arial" w:hAnsi="Arial" w:cs="Arial"/>
          <w:sz w:val="20"/>
        </w:rPr>
        <w:t xml:space="preserve">In </w:t>
      </w:r>
      <w:r w:rsidRPr="00D14D69">
        <w:rPr>
          <w:rFonts w:ascii="Arial" w:hAnsi="Arial" w:cs="Arial"/>
          <w:i/>
          <w:iCs/>
          <w:sz w:val="20"/>
        </w:rPr>
        <w:t>“Guilt and the Consciousness of Guilt: The Use of Lies, Flight and other ‘Guilty Behaviour’ in the Investigation and Prosecution of Crime”</w:t>
      </w:r>
      <w:r>
        <w:rPr>
          <w:rFonts w:ascii="Arial" w:hAnsi="Arial" w:cs="Arial"/>
          <w:sz w:val="20"/>
        </w:rPr>
        <w:t xml:space="preserve"> (1997) 21 Melbourne University Law Review 95, Andrew Palmer explored the notion that an accused’s guilt can be determined by examining his or her behaviour and/or demeanour in the aftermath of a crime and during its investigation.  Although the primary focus of the article was on the investigative phase of the criminal process</w:t>
      </w:r>
      <w:r w:rsidR="00CA085E">
        <w:rPr>
          <w:rFonts w:ascii="Arial" w:hAnsi="Arial" w:cs="Arial"/>
          <w:sz w:val="20"/>
        </w:rPr>
        <w:t>,</w:t>
      </w:r>
      <w:r>
        <w:rPr>
          <w:rFonts w:ascii="Arial" w:hAnsi="Arial" w:cs="Arial"/>
          <w:sz w:val="20"/>
        </w:rPr>
        <w:t xml:space="preserve"> much of </w:t>
      </w:r>
      <w:r w:rsidR="00CA085E">
        <w:rPr>
          <w:rFonts w:ascii="Arial" w:hAnsi="Arial" w:cs="Arial"/>
          <w:sz w:val="20"/>
        </w:rPr>
        <w:t>the author’s</w:t>
      </w:r>
      <w:r>
        <w:rPr>
          <w:rFonts w:ascii="Arial" w:hAnsi="Arial" w:cs="Arial"/>
          <w:sz w:val="20"/>
        </w:rPr>
        <w:t xml:space="preserve"> analysis is </w:t>
      </w:r>
      <w:r w:rsidR="00413325">
        <w:rPr>
          <w:rFonts w:ascii="Arial" w:hAnsi="Arial" w:cs="Arial"/>
          <w:sz w:val="20"/>
        </w:rPr>
        <w:t>no less</w:t>
      </w:r>
      <w:r>
        <w:rPr>
          <w:rFonts w:ascii="Arial" w:hAnsi="Arial" w:cs="Arial"/>
          <w:sz w:val="20"/>
        </w:rPr>
        <w:t xml:space="preserve"> relevant to the adjudicative phase.  In particular, at 119-120, </w:t>
      </w:r>
      <w:r w:rsidR="00CA085E">
        <w:rPr>
          <w:rFonts w:ascii="Arial" w:hAnsi="Arial" w:cs="Arial"/>
          <w:sz w:val="20"/>
        </w:rPr>
        <w:t>he</w:t>
      </w:r>
      <w:r>
        <w:rPr>
          <w:rFonts w:ascii="Arial" w:hAnsi="Arial" w:cs="Arial"/>
          <w:sz w:val="20"/>
        </w:rPr>
        <w:t xml:space="preserve"> says:</w:t>
      </w:r>
    </w:p>
    <w:p w14:paraId="44C3A7FE" w14:textId="2A15AA21" w:rsidR="007C53E6" w:rsidRDefault="007C53E6" w:rsidP="007C53E6">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w:t>
      </w:r>
      <w:r w:rsidRPr="008266AA">
        <w:rPr>
          <w:rFonts w:ascii="Arial" w:hAnsi="Arial" w:cs="Arial"/>
          <w:sz w:val="20"/>
          <w:szCs w:val="20"/>
        </w:rPr>
        <w:t xml:space="preserve">Because an innocent person may find the experience of interrogation </w:t>
      </w:r>
      <w:proofErr w:type="gramStart"/>
      <w:r w:rsidRPr="008266AA">
        <w:rPr>
          <w:rFonts w:ascii="Arial" w:hAnsi="Arial" w:cs="Arial"/>
          <w:sz w:val="20"/>
          <w:szCs w:val="20"/>
        </w:rPr>
        <w:t>stressful</w:t>
      </w:r>
      <w:proofErr w:type="gramEnd"/>
      <w:r w:rsidRPr="008266AA">
        <w:rPr>
          <w:rFonts w:ascii="Arial" w:hAnsi="Arial" w:cs="Arial"/>
          <w:sz w:val="20"/>
          <w:szCs w:val="20"/>
        </w:rPr>
        <w:t xml:space="preserve"> they may display the same indicators of emotional arousal as the guilty person. Other emotions which may lead to the conclusion that a truthful suspect is lying include 'extreme emotional tension or nervousn</w:t>
      </w:r>
      <w:r w:rsidR="00FB1630">
        <w:rPr>
          <w:rFonts w:ascii="Arial" w:hAnsi="Arial" w:cs="Arial"/>
          <w:sz w:val="20"/>
          <w:szCs w:val="20"/>
        </w:rPr>
        <w:t>ess</w:t>
      </w:r>
      <w:r w:rsidRPr="008266AA">
        <w:rPr>
          <w:rFonts w:ascii="Arial" w:hAnsi="Arial" w:cs="Arial"/>
          <w:sz w:val="20"/>
          <w:szCs w:val="20"/>
        </w:rPr>
        <w:t>'; 'overanxiety'; anger or resentment at being the subject of an investigation; 'concern over neglect of duty or responsibility that made possible the commission of the offence by someone else'; and 'involvement in other similar acts or offenses'</w:t>
      </w:r>
      <w:r>
        <w:rPr>
          <w:rFonts w:ascii="Arial" w:hAnsi="Arial" w:cs="Arial"/>
          <w:sz w:val="20"/>
          <w:szCs w:val="20"/>
        </w:rPr>
        <w:t xml:space="preserve">: John Reid &amp; Fred Inbau, </w:t>
      </w:r>
      <w:r w:rsidRPr="008266AA">
        <w:rPr>
          <w:rFonts w:ascii="Arial" w:hAnsi="Arial" w:cs="Arial"/>
          <w:i/>
          <w:iCs/>
          <w:sz w:val="20"/>
          <w:szCs w:val="20"/>
        </w:rPr>
        <w:t>Truth and Deception.  The Polygraph (“Lie Detector”) Technique</w:t>
      </w:r>
      <w:r>
        <w:rPr>
          <w:rFonts w:ascii="Arial" w:hAnsi="Arial" w:cs="Arial"/>
          <w:sz w:val="20"/>
          <w:szCs w:val="20"/>
        </w:rPr>
        <w:t xml:space="preserve"> (1966) 169-176).  </w:t>
      </w:r>
      <w:r w:rsidRPr="008266AA">
        <w:rPr>
          <w:rFonts w:ascii="Arial" w:hAnsi="Arial" w:cs="Arial"/>
          <w:sz w:val="20"/>
          <w:szCs w:val="20"/>
        </w:rPr>
        <w:t xml:space="preserve">The ambiguity of emotional arousal, and the possibility of concealing it through behaviour, means that any confidence that deception can be detected through a person's demeanour is probably misplaced. </w:t>
      </w:r>
      <w:r w:rsidR="00FB1630">
        <w:rPr>
          <w:rFonts w:ascii="Arial" w:hAnsi="Arial" w:cs="Arial"/>
          <w:sz w:val="20"/>
          <w:szCs w:val="20"/>
        </w:rPr>
        <w:t xml:space="preserve"> </w:t>
      </w:r>
      <w:r w:rsidRPr="008266AA">
        <w:rPr>
          <w:rFonts w:ascii="Arial" w:hAnsi="Arial" w:cs="Arial"/>
          <w:sz w:val="20"/>
          <w:szCs w:val="20"/>
        </w:rPr>
        <w:t xml:space="preserve">Ekman, for example, tested a range of professional groups whose jobs involved the detection of lies in order to assess their accuracy at this task. Of all the professional groups </w:t>
      </w:r>
      <w:r>
        <w:rPr>
          <w:rFonts w:ascii="Arial" w:hAnsi="Arial" w:cs="Arial"/>
          <w:sz w:val="20"/>
          <w:szCs w:val="20"/>
        </w:rPr>
        <w:t>–</w:t>
      </w:r>
      <w:r w:rsidRPr="008266AA">
        <w:rPr>
          <w:rFonts w:ascii="Arial" w:hAnsi="Arial" w:cs="Arial"/>
          <w:sz w:val="20"/>
          <w:szCs w:val="20"/>
        </w:rPr>
        <w:t xml:space="preserve"> which</w:t>
      </w:r>
      <w:r>
        <w:rPr>
          <w:rFonts w:ascii="Arial" w:hAnsi="Arial" w:cs="Arial"/>
          <w:sz w:val="20"/>
          <w:szCs w:val="20"/>
        </w:rPr>
        <w:t xml:space="preserve"> </w:t>
      </w:r>
      <w:r w:rsidRPr="008266AA">
        <w:rPr>
          <w:rFonts w:ascii="Arial" w:hAnsi="Arial" w:cs="Arial"/>
          <w:sz w:val="20"/>
          <w:szCs w:val="20"/>
        </w:rPr>
        <w:t xml:space="preserve">included judges, trial attorneys, police, polygraph operators, and agents of the CIA and FBI </w:t>
      </w:r>
      <w:r>
        <w:rPr>
          <w:rFonts w:ascii="Arial" w:hAnsi="Arial" w:cs="Arial"/>
          <w:sz w:val="20"/>
          <w:szCs w:val="20"/>
        </w:rPr>
        <w:t>–</w:t>
      </w:r>
      <w:r w:rsidRPr="008266AA">
        <w:rPr>
          <w:rFonts w:ascii="Arial" w:hAnsi="Arial" w:cs="Arial"/>
          <w:sz w:val="20"/>
          <w:szCs w:val="20"/>
        </w:rPr>
        <w:t xml:space="preserve"> only</w:t>
      </w:r>
      <w:r>
        <w:rPr>
          <w:rFonts w:ascii="Arial" w:hAnsi="Arial" w:cs="Arial"/>
          <w:sz w:val="20"/>
          <w:szCs w:val="20"/>
        </w:rPr>
        <w:t xml:space="preserve"> </w:t>
      </w:r>
      <w:r w:rsidRPr="008266AA">
        <w:rPr>
          <w:rFonts w:ascii="Arial" w:hAnsi="Arial" w:cs="Arial"/>
          <w:sz w:val="20"/>
          <w:szCs w:val="20"/>
        </w:rPr>
        <w:t>US Secret Service agents did better than they would have if they had simply tossed a coin</w:t>
      </w:r>
      <w:r>
        <w:rPr>
          <w:rFonts w:ascii="Arial" w:hAnsi="Arial" w:cs="Arial"/>
          <w:sz w:val="20"/>
          <w:szCs w:val="20"/>
        </w:rPr>
        <w:t xml:space="preserve">: Paul Ekman, </w:t>
      </w:r>
      <w:r w:rsidRPr="002837EB">
        <w:rPr>
          <w:rFonts w:ascii="Arial" w:hAnsi="Arial" w:cs="Arial"/>
          <w:i/>
          <w:iCs/>
          <w:sz w:val="20"/>
          <w:szCs w:val="20"/>
        </w:rPr>
        <w:t>Telling Lies: Clues to Deceit in the Marketplace, Politics, and Marriage</w:t>
      </w:r>
      <w:r w:rsidRPr="002837EB">
        <w:rPr>
          <w:rFonts w:ascii="Arial" w:hAnsi="Arial" w:cs="Arial"/>
          <w:sz w:val="20"/>
          <w:szCs w:val="20"/>
        </w:rPr>
        <w:t xml:space="preserve"> (1992) 45</w:t>
      </w:r>
      <w:r>
        <w:rPr>
          <w:rFonts w:ascii="Arial" w:hAnsi="Arial" w:cs="Arial"/>
          <w:sz w:val="20"/>
          <w:szCs w:val="20"/>
        </w:rPr>
        <w:t xml:space="preserve">. </w:t>
      </w:r>
      <w:r w:rsidRPr="008266AA">
        <w:rPr>
          <w:rFonts w:ascii="Arial" w:hAnsi="Arial" w:cs="Arial"/>
          <w:sz w:val="20"/>
          <w:szCs w:val="20"/>
        </w:rPr>
        <w:t>Given the extent to which criminal interrogators tend to assume the guilt of suspects, their errors are likely to be all in the same direction, with the interrogator invariably, and sometimes falsely, interpreting any symptoms of emotional arousal as indicating that the suspect is lying and hence guilty.</w:t>
      </w:r>
    </w:p>
    <w:p w14:paraId="21108827" w14:textId="663C3FC7" w:rsidR="007C53E6" w:rsidRDefault="007C53E6" w:rsidP="008C5AC2">
      <w:pPr>
        <w:pStyle w:val="NormalWeb"/>
        <w:shd w:val="clear" w:color="auto" w:fill="FFFFFF"/>
        <w:spacing w:before="80" w:beforeAutospacing="0" w:after="0" w:afterAutospacing="0"/>
        <w:ind w:left="567" w:right="567"/>
        <w:jc w:val="both"/>
        <w:rPr>
          <w:rFonts w:ascii="Arial" w:hAnsi="Arial" w:cs="Arial"/>
          <w:sz w:val="20"/>
          <w:szCs w:val="20"/>
        </w:rPr>
      </w:pPr>
      <w:r w:rsidRPr="008266AA">
        <w:rPr>
          <w:rFonts w:ascii="Arial" w:hAnsi="Arial" w:cs="Arial"/>
          <w:sz w:val="20"/>
          <w:szCs w:val="20"/>
        </w:rPr>
        <w:t>These clues to deception also play a role in the courtroom in terms of the decision the tribunal of fact must make about whether or not a witness is telling the truth. The importance of being able to observe a witness' demeanour is constantly put forward as a reason for an appellate court to refuse to overturn a jury verdict</w:t>
      </w:r>
      <w:r>
        <w:rPr>
          <w:rFonts w:ascii="Arial" w:hAnsi="Arial" w:cs="Arial"/>
          <w:sz w:val="20"/>
          <w:szCs w:val="20"/>
        </w:rPr>
        <w:t xml:space="preserve">: see e.g. </w:t>
      </w:r>
      <w:r w:rsidRPr="002837EB">
        <w:rPr>
          <w:rFonts w:ascii="Arial" w:hAnsi="Arial" w:cs="Arial"/>
          <w:i/>
          <w:iCs/>
          <w:sz w:val="20"/>
          <w:szCs w:val="20"/>
        </w:rPr>
        <w:t>M v R</w:t>
      </w:r>
      <w:r>
        <w:rPr>
          <w:rFonts w:ascii="Arial" w:hAnsi="Arial" w:cs="Arial"/>
          <w:sz w:val="20"/>
          <w:szCs w:val="20"/>
        </w:rPr>
        <w:t xml:space="preserve"> (1994) 181 CLR 487,531; </w:t>
      </w:r>
      <w:r w:rsidRPr="002837EB">
        <w:rPr>
          <w:rFonts w:ascii="Arial" w:hAnsi="Arial" w:cs="Arial"/>
          <w:i/>
          <w:iCs/>
          <w:sz w:val="20"/>
          <w:szCs w:val="20"/>
        </w:rPr>
        <w:t>Edwards</w:t>
      </w:r>
      <w:r>
        <w:rPr>
          <w:rFonts w:ascii="Arial" w:hAnsi="Arial" w:cs="Arial"/>
          <w:sz w:val="20"/>
          <w:szCs w:val="20"/>
        </w:rPr>
        <w:t xml:space="preserve"> (1993) 178 CLR 193, 213;</w:t>
      </w:r>
      <w:r w:rsidRPr="008266AA">
        <w:rPr>
          <w:rFonts w:ascii="Arial" w:hAnsi="Arial" w:cs="Arial"/>
          <w:sz w:val="20"/>
          <w:szCs w:val="20"/>
        </w:rPr>
        <w:t xml:space="preserve"> it is also one of the commonly-advanced justifications for the hearsay rule</w:t>
      </w:r>
      <w:r>
        <w:rPr>
          <w:rFonts w:ascii="Arial" w:hAnsi="Arial" w:cs="Arial"/>
          <w:sz w:val="20"/>
          <w:szCs w:val="20"/>
        </w:rPr>
        <w:t xml:space="preserve">: see e.g. </w:t>
      </w:r>
      <w:r w:rsidRPr="002837EB">
        <w:rPr>
          <w:rFonts w:ascii="Arial" w:hAnsi="Arial" w:cs="Arial"/>
          <w:i/>
          <w:iCs/>
          <w:sz w:val="20"/>
          <w:szCs w:val="20"/>
        </w:rPr>
        <w:t>Teper v R</w:t>
      </w:r>
      <w:r>
        <w:rPr>
          <w:rFonts w:ascii="Arial" w:hAnsi="Arial" w:cs="Arial"/>
          <w:sz w:val="20"/>
          <w:szCs w:val="20"/>
        </w:rPr>
        <w:t xml:space="preserve"> [1952] AC 480, 486.  </w:t>
      </w:r>
      <w:r w:rsidRPr="008266AA">
        <w:rPr>
          <w:rFonts w:ascii="Arial" w:hAnsi="Arial" w:cs="Arial"/>
          <w:sz w:val="20"/>
          <w:szCs w:val="20"/>
        </w:rPr>
        <w:t>In fact, as Ekman argues</w:t>
      </w:r>
      <w:r>
        <w:rPr>
          <w:rFonts w:ascii="Arial" w:hAnsi="Arial" w:cs="Arial"/>
          <w:sz w:val="20"/>
          <w:szCs w:val="20"/>
        </w:rPr>
        <w:t xml:space="preserve"> at 291-2</w:t>
      </w:r>
      <w:r w:rsidRPr="008266AA">
        <w:rPr>
          <w:rFonts w:ascii="Arial" w:hAnsi="Arial" w:cs="Arial"/>
          <w:sz w:val="20"/>
          <w:szCs w:val="20"/>
        </w:rPr>
        <w:t>, this belief in the ability of the judge or jury to successfully detect deceit from demeanour is largely unfounded</w:t>
      </w:r>
      <w:r w:rsidR="00FB1630">
        <w:rPr>
          <w:rFonts w:ascii="Arial" w:hAnsi="Arial" w:cs="Arial"/>
          <w:sz w:val="20"/>
          <w:szCs w:val="20"/>
        </w:rPr>
        <w:t>:</w:t>
      </w:r>
    </w:p>
    <w:p w14:paraId="12440195" w14:textId="77777777" w:rsidR="007C53E6" w:rsidRPr="002837EB" w:rsidRDefault="007C53E6" w:rsidP="00413325">
      <w:pPr>
        <w:pStyle w:val="NormalWeb"/>
        <w:shd w:val="clear" w:color="auto" w:fill="FFFFFF"/>
        <w:spacing w:before="80" w:beforeAutospacing="0" w:after="0" w:afterAutospacing="0"/>
        <w:ind w:left="851" w:right="851"/>
        <w:jc w:val="both"/>
        <w:rPr>
          <w:rFonts w:ascii="Arial" w:hAnsi="Arial" w:cs="Arial"/>
          <w:sz w:val="18"/>
          <w:szCs w:val="18"/>
        </w:rPr>
      </w:pPr>
      <w:r>
        <w:rPr>
          <w:rFonts w:ascii="Arial" w:hAnsi="Arial" w:cs="Arial"/>
          <w:sz w:val="18"/>
          <w:szCs w:val="18"/>
        </w:rPr>
        <w:t>‘</w:t>
      </w:r>
      <w:r w:rsidRPr="002837EB">
        <w:rPr>
          <w:rFonts w:ascii="Arial" w:hAnsi="Arial" w:cs="Arial"/>
          <w:sz w:val="18"/>
          <w:szCs w:val="18"/>
        </w:rPr>
        <w:t>The criminal justice system must have been designed by someone who wanted to make it impossible to detect deceit from demeanour. The guilty suspect is given many chances to prepare and rehearse her replies before her truthfulness is evaluated by jury or judge, thus increasing her confidence and decreasing her fear of being detected. Score one against the judge and jury. The direct exa</w:t>
      </w:r>
      <w:r>
        <w:rPr>
          <w:rFonts w:ascii="Arial" w:hAnsi="Arial" w:cs="Arial"/>
          <w:sz w:val="18"/>
          <w:szCs w:val="18"/>
        </w:rPr>
        <w:t>mi</w:t>
      </w:r>
      <w:r w:rsidRPr="002837EB">
        <w:rPr>
          <w:rFonts w:ascii="Arial" w:hAnsi="Arial" w:cs="Arial"/>
          <w:sz w:val="18"/>
          <w:szCs w:val="18"/>
        </w:rPr>
        <w:t xml:space="preserve">nation and cross-examination take place months, if not years, after the incident, thereby blunting emotions associated with the criminal event. Score two against the judge and jury. Because of the </w:t>
      </w:r>
      <w:proofErr w:type="gramStart"/>
      <w:r w:rsidRPr="002837EB">
        <w:rPr>
          <w:rFonts w:ascii="Arial" w:hAnsi="Arial" w:cs="Arial"/>
          <w:sz w:val="18"/>
          <w:szCs w:val="18"/>
        </w:rPr>
        <w:t>long time</w:t>
      </w:r>
      <w:proofErr w:type="gramEnd"/>
      <w:r w:rsidRPr="002837EB">
        <w:rPr>
          <w:rFonts w:ascii="Arial" w:hAnsi="Arial" w:cs="Arial"/>
          <w:sz w:val="18"/>
          <w:szCs w:val="18"/>
        </w:rPr>
        <w:t xml:space="preserve"> delay before the beginning of the trial, the suspect will have repeated her false account so often that she may start to believe her own story; when that </w:t>
      </w:r>
      <w:proofErr w:type="gramStart"/>
      <w:r w:rsidRPr="002837EB">
        <w:rPr>
          <w:rFonts w:ascii="Arial" w:hAnsi="Arial" w:cs="Arial"/>
          <w:sz w:val="18"/>
          <w:szCs w:val="18"/>
        </w:rPr>
        <w:t>happens</w:t>
      </w:r>
      <w:proofErr w:type="gramEnd"/>
      <w:r w:rsidRPr="002837EB">
        <w:rPr>
          <w:rFonts w:ascii="Arial" w:hAnsi="Arial" w:cs="Arial"/>
          <w:sz w:val="18"/>
          <w:szCs w:val="18"/>
        </w:rPr>
        <w:t xml:space="preserve"> she is, in a sense, not lying when she testifies. Score three against the judge and jury. When challenged in cross</w:t>
      </w:r>
      <w:r>
        <w:rPr>
          <w:rFonts w:ascii="Arial" w:hAnsi="Arial" w:cs="Arial"/>
          <w:sz w:val="18"/>
          <w:szCs w:val="18"/>
        </w:rPr>
        <w:t>-</w:t>
      </w:r>
      <w:r w:rsidRPr="002837EB">
        <w:rPr>
          <w:rFonts w:ascii="Arial" w:hAnsi="Arial" w:cs="Arial"/>
          <w:sz w:val="18"/>
          <w:szCs w:val="18"/>
        </w:rPr>
        <w:t xml:space="preserve">examination, the defendant typically has been prepared if not rehearsed by her own attorney, and the questions asked often </w:t>
      </w:r>
      <w:proofErr w:type="gramStart"/>
      <w:r w:rsidRPr="002837EB">
        <w:rPr>
          <w:rFonts w:ascii="Arial" w:hAnsi="Arial" w:cs="Arial"/>
          <w:sz w:val="18"/>
          <w:szCs w:val="18"/>
        </w:rPr>
        <w:t>allow</w:t>
      </w:r>
      <w:proofErr w:type="gramEnd"/>
      <w:r w:rsidRPr="002837EB">
        <w:rPr>
          <w:rFonts w:ascii="Arial" w:hAnsi="Arial" w:cs="Arial"/>
          <w:sz w:val="18"/>
          <w:szCs w:val="18"/>
        </w:rPr>
        <w:t xml:space="preserve"> a simple yes or no reply. Score four against the judge and jury. And then there is the innocent defendant who comes to trial terrified of being disbelieved. Why should the jury and judge believe her, if the police, prosecutor, and the judge, in pretrial moves for dismissal, did not? </w:t>
      </w:r>
      <w:r w:rsidRPr="002837EB">
        <w:rPr>
          <w:rFonts w:ascii="Arial" w:hAnsi="Arial" w:cs="Arial"/>
          <w:sz w:val="18"/>
          <w:szCs w:val="18"/>
        </w:rPr>
        <w:lastRenderedPageBreak/>
        <w:t xml:space="preserve">The signs of fear of being disbelieved can be misinterpreted as a </w:t>
      </w:r>
      <w:r>
        <w:rPr>
          <w:rFonts w:ascii="Arial" w:hAnsi="Arial" w:cs="Arial"/>
          <w:sz w:val="18"/>
          <w:szCs w:val="18"/>
        </w:rPr>
        <w:t>g</w:t>
      </w:r>
      <w:r w:rsidRPr="002837EB">
        <w:rPr>
          <w:rFonts w:ascii="Arial" w:hAnsi="Arial" w:cs="Arial"/>
          <w:sz w:val="18"/>
          <w:szCs w:val="18"/>
        </w:rPr>
        <w:t>uilty person's fear of being caught. Score five against the judge and jury.</w:t>
      </w:r>
      <w:r>
        <w:rPr>
          <w:rFonts w:ascii="Arial" w:hAnsi="Arial" w:cs="Arial"/>
          <w:sz w:val="18"/>
          <w:szCs w:val="18"/>
        </w:rPr>
        <w:t>’”</w:t>
      </w:r>
    </w:p>
    <w:p w14:paraId="026B0579" w14:textId="2FF29D5F" w:rsidR="00FB1630" w:rsidRDefault="00FB1630" w:rsidP="00FB1630">
      <w:pPr>
        <w:jc w:val="both"/>
        <w:rPr>
          <w:rFonts w:ascii="Arial" w:hAnsi="Arial" w:cs="Arial"/>
          <w:sz w:val="20"/>
        </w:rPr>
      </w:pPr>
    </w:p>
    <w:p w14:paraId="098C086D" w14:textId="75D4F89A" w:rsidR="00973CF1" w:rsidRPr="00413325" w:rsidRDefault="0003177E" w:rsidP="00FB1630">
      <w:pPr>
        <w:jc w:val="both"/>
        <w:rPr>
          <w:rFonts w:ascii="Arial" w:hAnsi="Arial" w:cs="Arial"/>
          <w:sz w:val="20"/>
          <w:szCs w:val="20"/>
        </w:rPr>
      </w:pPr>
      <w:r w:rsidRPr="00413325">
        <w:rPr>
          <w:rFonts w:ascii="Arial" w:hAnsi="Arial" w:cs="Arial"/>
          <w:sz w:val="20"/>
          <w:szCs w:val="20"/>
        </w:rPr>
        <w:t>Palmer</w:t>
      </w:r>
      <w:r w:rsidR="00973CF1" w:rsidRPr="00413325">
        <w:rPr>
          <w:rFonts w:ascii="Arial" w:hAnsi="Arial" w:cs="Arial"/>
          <w:sz w:val="20"/>
          <w:szCs w:val="20"/>
        </w:rPr>
        <w:t xml:space="preserve"> also </w:t>
      </w:r>
      <w:r w:rsidRPr="00413325">
        <w:rPr>
          <w:rFonts w:ascii="Arial" w:hAnsi="Arial" w:cs="Arial"/>
          <w:sz w:val="20"/>
          <w:szCs w:val="20"/>
        </w:rPr>
        <w:t>footnot</w:t>
      </w:r>
      <w:r w:rsidR="00973CF1" w:rsidRPr="00413325">
        <w:rPr>
          <w:rFonts w:ascii="Arial" w:hAnsi="Arial" w:cs="Arial"/>
          <w:sz w:val="20"/>
          <w:szCs w:val="20"/>
        </w:rPr>
        <w:t xml:space="preserve">ed at </w:t>
      </w:r>
      <w:r w:rsidR="00413325">
        <w:rPr>
          <w:rFonts w:ascii="Arial" w:hAnsi="Arial" w:cs="Arial"/>
          <w:sz w:val="20"/>
          <w:szCs w:val="20"/>
        </w:rPr>
        <w:t>n.69 on p.</w:t>
      </w:r>
      <w:r w:rsidRPr="00413325">
        <w:rPr>
          <w:rFonts w:ascii="Arial" w:hAnsi="Arial" w:cs="Arial"/>
          <w:sz w:val="20"/>
          <w:szCs w:val="20"/>
        </w:rPr>
        <w:t>117 a fascinating case of a police officer who believed that he could prevent a polygraph lie-detector from working by placing bullets under the pneumograph tube and the blood pressure-pulse cuff.  In fact, the bullet</w:t>
      </w:r>
      <w:r w:rsidR="00E019B8">
        <w:rPr>
          <w:rFonts w:ascii="Arial" w:hAnsi="Arial" w:cs="Arial"/>
          <w:sz w:val="20"/>
          <w:szCs w:val="20"/>
        </w:rPr>
        <w:t>s</w:t>
      </w:r>
      <w:r w:rsidRPr="00413325">
        <w:rPr>
          <w:rFonts w:ascii="Arial" w:hAnsi="Arial" w:cs="Arial"/>
          <w:sz w:val="20"/>
          <w:szCs w:val="20"/>
        </w:rPr>
        <w:t xml:space="preserve"> had no such effect but the fact that the police officer believed that </w:t>
      </w:r>
      <w:r w:rsidR="00E019B8">
        <w:rPr>
          <w:rFonts w:ascii="Arial" w:hAnsi="Arial" w:cs="Arial"/>
          <w:sz w:val="20"/>
          <w:szCs w:val="20"/>
        </w:rPr>
        <w:t>they</w:t>
      </w:r>
      <w:r w:rsidRPr="00413325">
        <w:rPr>
          <w:rFonts w:ascii="Arial" w:hAnsi="Arial" w:cs="Arial"/>
          <w:sz w:val="20"/>
          <w:szCs w:val="20"/>
        </w:rPr>
        <w:t xml:space="preserve"> did </w:t>
      </w:r>
      <w:proofErr w:type="gramStart"/>
      <w:r w:rsidRPr="00413325">
        <w:rPr>
          <w:rFonts w:ascii="Arial" w:hAnsi="Arial" w:cs="Arial"/>
          <w:sz w:val="20"/>
          <w:szCs w:val="20"/>
        </w:rPr>
        <w:t>resulted</w:t>
      </w:r>
      <w:proofErr w:type="gramEnd"/>
      <w:r w:rsidRPr="00413325">
        <w:rPr>
          <w:rFonts w:ascii="Arial" w:hAnsi="Arial" w:cs="Arial"/>
          <w:sz w:val="20"/>
          <w:szCs w:val="20"/>
        </w:rPr>
        <w:t xml:space="preserve"> in him giving no discernible indications of deception when he lied.</w:t>
      </w:r>
    </w:p>
    <w:p w14:paraId="1DFA09FF" w14:textId="12C59252" w:rsidR="00973CF1" w:rsidRDefault="00973CF1" w:rsidP="00FB1630">
      <w:pPr>
        <w:jc w:val="both"/>
        <w:rPr>
          <w:rFonts w:ascii="Arial" w:hAnsi="Arial" w:cs="Arial"/>
          <w:sz w:val="20"/>
        </w:rPr>
      </w:pPr>
    </w:p>
    <w:p w14:paraId="5EBD98DF" w14:textId="1C91CD7B" w:rsidR="00FB1630" w:rsidRDefault="00FB1630" w:rsidP="00FB1630">
      <w:pPr>
        <w:jc w:val="both"/>
        <w:rPr>
          <w:rFonts w:ascii="Arial" w:hAnsi="Arial" w:cs="Arial"/>
          <w:sz w:val="20"/>
        </w:rPr>
      </w:pPr>
      <w:r>
        <w:rPr>
          <w:rFonts w:ascii="Arial" w:hAnsi="Arial" w:cs="Arial"/>
          <w:sz w:val="20"/>
        </w:rPr>
        <w:t>Nowadays less weight is given to demeanour and more weight to logic and objective fact-finding. In </w:t>
      </w:r>
      <w:r w:rsidRPr="004F7367">
        <w:rPr>
          <w:rFonts w:ascii="Arial" w:hAnsi="Arial" w:cs="Arial"/>
          <w:i/>
          <w:sz w:val="20"/>
        </w:rPr>
        <w:t>Fox v Percy</w:t>
      </w:r>
      <w:r>
        <w:rPr>
          <w:rFonts w:ascii="Arial" w:hAnsi="Arial" w:cs="Arial"/>
          <w:sz w:val="20"/>
        </w:rPr>
        <w:t xml:space="preserve"> (2003) 214 CLR 118 at 128-9 Gleeson CJ and Gummow &amp; Kirby JJ said:</w:t>
      </w:r>
    </w:p>
    <w:p w14:paraId="2A9E7968" w14:textId="77777777" w:rsidR="00FB1630" w:rsidRDefault="00FB1630" w:rsidP="00115A9E">
      <w:pPr>
        <w:spacing w:before="80"/>
        <w:ind w:left="567" w:right="567"/>
        <w:jc w:val="both"/>
        <w:rPr>
          <w:rFonts w:ascii="Arial" w:hAnsi="Arial" w:cs="Arial"/>
          <w:iCs/>
          <w:sz w:val="20"/>
        </w:rPr>
      </w:pPr>
      <w:r>
        <w:rPr>
          <w:rFonts w:ascii="Arial" w:hAnsi="Arial" w:cs="Arial"/>
          <w:iCs/>
          <w:sz w:val="20"/>
        </w:rPr>
        <w:t>“</w:t>
      </w:r>
      <w:r>
        <w:rPr>
          <w:rFonts w:ascii="Arial" w:hAnsi="Arial" w:cs="Arial"/>
          <w:sz w:val="20"/>
          <w:szCs w:val="22"/>
        </w:rPr>
        <w:t>[I]</w:t>
      </w:r>
      <w:r w:rsidRPr="004F7367">
        <w:rPr>
          <w:rFonts w:ascii="Arial" w:hAnsi="Arial" w:cs="Arial"/>
          <w:sz w:val="20"/>
          <w:szCs w:val="22"/>
        </w:rPr>
        <w:t>n recent years, judges have become more aware of scientific research that has cast doubt on the ability of judges (or anyone else) to tell truth from falsehood accurately on the basis of such appearances. Considerations such as these have encouraged judges, both at trial and on appeal</w:t>
      </w:r>
      <w:r>
        <w:rPr>
          <w:rFonts w:ascii="Arial" w:hAnsi="Arial" w:cs="Arial"/>
          <w:sz w:val="20"/>
          <w:szCs w:val="22"/>
        </w:rPr>
        <w:t>, t</w:t>
      </w:r>
      <w:r w:rsidRPr="004F7367">
        <w:rPr>
          <w:rFonts w:ascii="Arial" w:hAnsi="Arial" w:cs="Arial"/>
          <w:sz w:val="20"/>
          <w:szCs w:val="22"/>
        </w:rPr>
        <w:t>o limit their reliance on the appearances of witnesses and to reason to their conclusions, as far as possible, on the basis of contemporary materials, objectively established facts and the apparent logic of events.  This does not eliminate the established principles about witness credibility; but it tends to reduce the occasions where those principles are seen as critical.</w:t>
      </w:r>
      <w:r>
        <w:rPr>
          <w:rFonts w:ascii="Arial" w:hAnsi="Arial" w:cs="Arial"/>
          <w:sz w:val="20"/>
          <w:szCs w:val="22"/>
        </w:rPr>
        <w:t>”</w:t>
      </w:r>
    </w:p>
    <w:p w14:paraId="1E299890" w14:textId="0A746789" w:rsidR="00C22AF6" w:rsidRDefault="00C22AF6" w:rsidP="00726AA6">
      <w:pPr>
        <w:spacing w:before="80"/>
        <w:jc w:val="both"/>
        <w:rPr>
          <w:rFonts w:ascii="Arial" w:hAnsi="Arial" w:cs="Arial"/>
          <w:sz w:val="20"/>
          <w:szCs w:val="20"/>
        </w:rPr>
      </w:pPr>
      <w:r>
        <w:rPr>
          <w:rFonts w:ascii="Arial" w:hAnsi="Arial" w:cs="Arial"/>
          <w:sz w:val="20"/>
        </w:rPr>
        <w:t xml:space="preserve">In dismissing the appeal in </w:t>
      </w:r>
      <w:r w:rsidRPr="00C22AF6">
        <w:rPr>
          <w:rFonts w:ascii="Arial" w:hAnsi="Arial" w:cs="Arial"/>
          <w:i/>
          <w:iCs/>
          <w:sz w:val="20"/>
        </w:rPr>
        <w:t>Gobel Aviation Pty Ltd (in liquidation) v Ripper</w:t>
      </w:r>
      <w:r>
        <w:rPr>
          <w:rFonts w:ascii="Arial" w:hAnsi="Arial" w:cs="Arial"/>
          <w:sz w:val="20"/>
        </w:rPr>
        <w:t xml:space="preserve"> [2025] VSCA 344 </w:t>
      </w:r>
      <w:r w:rsidR="00726AA6" w:rsidRPr="00726AA6">
        <w:rPr>
          <w:rFonts w:ascii="Arial" w:hAnsi="Arial" w:cs="Arial"/>
          <w:sz w:val="20"/>
        </w:rPr>
        <w:t>N</w:t>
      </w:r>
      <w:r w:rsidR="00726AA6">
        <w:rPr>
          <w:rFonts w:ascii="Arial" w:hAnsi="Arial" w:cs="Arial"/>
          <w:sz w:val="20"/>
        </w:rPr>
        <w:t>iall</w:t>
      </w:r>
      <w:r w:rsidR="00726AA6" w:rsidRPr="00726AA6">
        <w:rPr>
          <w:rFonts w:ascii="Arial" w:hAnsi="Arial" w:cs="Arial"/>
          <w:sz w:val="20"/>
        </w:rPr>
        <w:t xml:space="preserve"> CJ, B</w:t>
      </w:r>
      <w:r w:rsidR="00726AA6">
        <w:rPr>
          <w:rFonts w:ascii="Arial" w:hAnsi="Arial" w:cs="Arial"/>
          <w:sz w:val="20"/>
        </w:rPr>
        <w:t>each</w:t>
      </w:r>
      <w:r w:rsidR="00726AA6" w:rsidRPr="00726AA6">
        <w:rPr>
          <w:rFonts w:ascii="Arial" w:hAnsi="Arial" w:cs="Arial"/>
          <w:sz w:val="20"/>
        </w:rPr>
        <w:t xml:space="preserve"> JA and O’M</w:t>
      </w:r>
      <w:r w:rsidR="00726AA6">
        <w:rPr>
          <w:rFonts w:ascii="Arial" w:hAnsi="Arial" w:cs="Arial"/>
          <w:sz w:val="20"/>
        </w:rPr>
        <w:t>eara</w:t>
      </w:r>
      <w:r w:rsidR="00726AA6" w:rsidRPr="00726AA6">
        <w:rPr>
          <w:rFonts w:ascii="Arial" w:hAnsi="Arial" w:cs="Arial"/>
          <w:sz w:val="20"/>
        </w:rPr>
        <w:t xml:space="preserve"> AJA</w:t>
      </w:r>
      <w:r>
        <w:rPr>
          <w:rFonts w:ascii="Arial" w:hAnsi="Arial" w:cs="Arial"/>
          <w:sz w:val="20"/>
        </w:rPr>
        <w:t xml:space="preserve"> cited at [72] the above dicta from </w:t>
      </w:r>
      <w:r w:rsidRPr="00C22AF6">
        <w:rPr>
          <w:rFonts w:ascii="Arial" w:hAnsi="Arial" w:cs="Arial"/>
          <w:i/>
          <w:iCs/>
          <w:sz w:val="20"/>
        </w:rPr>
        <w:t>Fox v Percy</w:t>
      </w:r>
      <w:r>
        <w:rPr>
          <w:rFonts w:ascii="Arial" w:hAnsi="Arial" w:cs="Arial"/>
          <w:sz w:val="20"/>
        </w:rPr>
        <w:t xml:space="preserve"> and continued at [73]:</w:t>
      </w:r>
    </w:p>
    <w:p w14:paraId="3B05A618" w14:textId="7E0370D5" w:rsidR="00C22AF6" w:rsidRDefault="00C22AF6" w:rsidP="00C22AF6">
      <w:pPr>
        <w:spacing w:before="80"/>
        <w:ind w:left="567" w:right="567"/>
        <w:jc w:val="both"/>
        <w:rPr>
          <w:rFonts w:ascii="Arial" w:hAnsi="Arial" w:cs="Arial"/>
          <w:iCs/>
          <w:sz w:val="20"/>
        </w:rPr>
      </w:pPr>
      <w:r>
        <w:rPr>
          <w:rFonts w:ascii="Arial" w:hAnsi="Arial" w:cs="Arial"/>
          <w:sz w:val="20"/>
          <w:szCs w:val="20"/>
        </w:rPr>
        <w:t>“</w:t>
      </w:r>
      <w:r w:rsidRPr="00C22AF6">
        <w:rPr>
          <w:rFonts w:ascii="Arial" w:hAnsi="Arial" w:cs="Arial"/>
          <w:sz w:val="20"/>
          <w:szCs w:val="20"/>
        </w:rPr>
        <w:t>It follows that when the credibility or reliability of the evidence of witnesses is in question, it is commonly desirable for the trier of fact, if possible, to look also to the content of ‘contemporary materials, objectively established facts and the apparent logic of events’.</w:t>
      </w:r>
      <w:r>
        <w:rPr>
          <w:rFonts w:ascii="Arial" w:hAnsi="Arial" w:cs="Arial"/>
          <w:sz w:val="20"/>
          <w:szCs w:val="20"/>
        </w:rPr>
        <w:t>”</w:t>
      </w:r>
    </w:p>
    <w:p w14:paraId="3E1F38A0" w14:textId="77777777" w:rsidR="00C22AF6" w:rsidRDefault="00C22AF6" w:rsidP="00AF5922">
      <w:pPr>
        <w:jc w:val="both"/>
        <w:rPr>
          <w:rFonts w:ascii="Arial" w:hAnsi="Arial" w:cs="Arial"/>
          <w:sz w:val="20"/>
          <w:szCs w:val="20"/>
        </w:rPr>
      </w:pPr>
    </w:p>
    <w:p w14:paraId="129309C2" w14:textId="4280F4F8" w:rsidR="00B61B1D" w:rsidRDefault="00B61B1D" w:rsidP="00AF5922">
      <w:pPr>
        <w:jc w:val="both"/>
        <w:rPr>
          <w:rFonts w:ascii="Arial" w:hAnsi="Arial" w:cs="Arial"/>
          <w:sz w:val="20"/>
          <w:szCs w:val="20"/>
        </w:rPr>
      </w:pPr>
      <w:r>
        <w:rPr>
          <w:rFonts w:ascii="Arial" w:hAnsi="Arial" w:cs="Arial"/>
          <w:sz w:val="20"/>
          <w:szCs w:val="20"/>
        </w:rPr>
        <w:t xml:space="preserve">In refusing leave to appeal in </w:t>
      </w:r>
      <w:proofErr w:type="spellStart"/>
      <w:r w:rsidRPr="00B61B1D">
        <w:rPr>
          <w:rFonts w:ascii="Arial" w:hAnsi="Arial" w:cs="Arial"/>
          <w:i/>
          <w:iCs/>
          <w:sz w:val="20"/>
          <w:szCs w:val="20"/>
        </w:rPr>
        <w:t>Eatertainment</w:t>
      </w:r>
      <w:proofErr w:type="spellEnd"/>
      <w:r w:rsidRPr="00B61B1D">
        <w:rPr>
          <w:rFonts w:ascii="Arial" w:hAnsi="Arial" w:cs="Arial"/>
          <w:i/>
          <w:iCs/>
          <w:sz w:val="20"/>
          <w:szCs w:val="20"/>
        </w:rPr>
        <w:t xml:space="preserve"> Group Pty Ltd v Curtis Family Developments Pty Ltd as trustee for The Curtis Family Trust</w:t>
      </w:r>
      <w:r>
        <w:rPr>
          <w:rFonts w:ascii="Arial" w:hAnsi="Arial" w:cs="Arial"/>
          <w:sz w:val="20"/>
          <w:szCs w:val="20"/>
        </w:rPr>
        <w:t xml:space="preserve"> [2025] VSCA 193 Kennedy, Walker &amp; Orr JJA said at [58]-[60]:</w:t>
      </w:r>
    </w:p>
    <w:p w14:paraId="56F9FD4C" w14:textId="4BF6C80D" w:rsidR="00B61B1D" w:rsidRDefault="00B61B1D" w:rsidP="00B61B1D">
      <w:pPr>
        <w:spacing w:before="80"/>
        <w:ind w:left="567" w:right="567"/>
        <w:jc w:val="both"/>
        <w:rPr>
          <w:rFonts w:ascii="Arial" w:hAnsi="Arial" w:cs="Arial"/>
          <w:sz w:val="20"/>
          <w:szCs w:val="20"/>
        </w:rPr>
      </w:pPr>
      <w:r>
        <w:rPr>
          <w:rFonts w:ascii="Arial" w:hAnsi="Arial" w:cs="Arial"/>
          <w:iCs/>
          <w:sz w:val="20"/>
        </w:rPr>
        <w:t>[58] “</w:t>
      </w:r>
      <w:r w:rsidRPr="00B61B1D">
        <w:rPr>
          <w:rFonts w:ascii="Arial" w:hAnsi="Arial" w:cs="Arial"/>
          <w:iCs/>
          <w:sz w:val="20"/>
        </w:rPr>
        <w:t>The only evidence that supported the new offsetting claim was the evidence of Mr</w:t>
      </w:r>
      <w:r>
        <w:rPr>
          <w:rFonts w:ascii="Arial" w:hAnsi="Arial" w:cs="Arial"/>
          <w:iCs/>
          <w:sz w:val="20"/>
        </w:rPr>
        <w:t> </w:t>
      </w:r>
      <w:proofErr w:type="spellStart"/>
      <w:r w:rsidRPr="00B61B1D">
        <w:rPr>
          <w:rFonts w:ascii="Arial" w:hAnsi="Arial" w:cs="Arial"/>
          <w:iCs/>
          <w:sz w:val="20"/>
        </w:rPr>
        <w:t>Pezaros</w:t>
      </w:r>
      <w:proofErr w:type="spellEnd"/>
      <w:r w:rsidRPr="00B61B1D">
        <w:rPr>
          <w:rFonts w:ascii="Arial" w:hAnsi="Arial" w:cs="Arial"/>
          <w:iCs/>
          <w:sz w:val="20"/>
        </w:rPr>
        <w:t xml:space="preserve"> in his affidavits dated 22 March 2024 and 3 May 2024. But we are not required simply to accept that </w:t>
      </w:r>
      <w:proofErr w:type="spellStart"/>
      <w:r w:rsidRPr="00B61B1D">
        <w:rPr>
          <w:rFonts w:ascii="Arial" w:hAnsi="Arial" w:cs="Arial"/>
          <w:iCs/>
          <w:sz w:val="20"/>
        </w:rPr>
        <w:t>Eatertainment</w:t>
      </w:r>
      <w:proofErr w:type="spellEnd"/>
      <w:r w:rsidRPr="00B61B1D">
        <w:rPr>
          <w:rFonts w:ascii="Arial" w:hAnsi="Arial" w:cs="Arial"/>
          <w:iCs/>
          <w:sz w:val="20"/>
        </w:rPr>
        <w:t xml:space="preserve"> has discharged its onus based on Mr Pezaros’s assertions about the conversations he says he had with Mr Curtis.</w:t>
      </w:r>
      <w:r>
        <w:rPr>
          <w:rFonts w:ascii="Arial" w:hAnsi="Arial" w:cs="Arial"/>
          <w:iCs/>
          <w:sz w:val="20"/>
        </w:rPr>
        <w:t xml:space="preserve"> As this Court </w:t>
      </w:r>
      <w:r w:rsidRPr="00B61B1D">
        <w:rPr>
          <w:rFonts w:ascii="Arial" w:hAnsi="Arial" w:cs="Arial"/>
          <w:sz w:val="20"/>
          <w:szCs w:val="20"/>
        </w:rPr>
        <w:t xml:space="preserve">observed in </w:t>
      </w:r>
      <w:r w:rsidRPr="00B61B1D">
        <w:rPr>
          <w:rFonts w:ascii="Arial" w:hAnsi="Arial" w:cs="Arial"/>
          <w:i/>
          <w:iCs/>
          <w:sz w:val="20"/>
          <w:szCs w:val="20"/>
        </w:rPr>
        <w:t xml:space="preserve">Malec Holdings Pty Ltd v </w:t>
      </w:r>
      <w:proofErr w:type="spellStart"/>
      <w:r w:rsidRPr="00B61B1D">
        <w:rPr>
          <w:rFonts w:ascii="Arial" w:hAnsi="Arial" w:cs="Arial"/>
          <w:i/>
          <w:iCs/>
          <w:sz w:val="20"/>
          <w:szCs w:val="20"/>
        </w:rPr>
        <w:t>Scotts</w:t>
      </w:r>
      <w:proofErr w:type="spellEnd"/>
      <w:r w:rsidRPr="00B61B1D">
        <w:rPr>
          <w:rFonts w:ascii="Arial" w:hAnsi="Arial" w:cs="Arial"/>
          <w:i/>
          <w:iCs/>
          <w:sz w:val="20"/>
          <w:szCs w:val="20"/>
        </w:rPr>
        <w:t xml:space="preserve"> Agencies Pty Ltd (in </w:t>
      </w:r>
      <w:proofErr w:type="spellStart"/>
      <w:r w:rsidRPr="00B61B1D">
        <w:rPr>
          <w:rFonts w:ascii="Arial" w:hAnsi="Arial" w:cs="Arial"/>
          <w:i/>
          <w:iCs/>
          <w:sz w:val="20"/>
          <w:szCs w:val="20"/>
        </w:rPr>
        <w:t>liq</w:t>
      </w:r>
      <w:proofErr w:type="spellEnd"/>
      <w:r w:rsidRPr="00B61B1D">
        <w:rPr>
          <w:rFonts w:ascii="Arial" w:hAnsi="Arial" w:cs="Arial"/>
          <w:i/>
          <w:iCs/>
          <w:sz w:val="20"/>
          <w:szCs w:val="20"/>
        </w:rPr>
        <w:t>)</w:t>
      </w:r>
      <w:r>
        <w:rPr>
          <w:rFonts w:ascii="Arial" w:hAnsi="Arial" w:cs="Arial"/>
          <w:sz w:val="20"/>
          <w:szCs w:val="20"/>
        </w:rPr>
        <w:t xml:space="preserve"> [2015] VSCA 330 at [50]:</w:t>
      </w:r>
    </w:p>
    <w:p w14:paraId="2B88FEBE" w14:textId="4FA1FB2F" w:rsidR="00B61B1D" w:rsidRPr="00B61B1D" w:rsidRDefault="00B61B1D" w:rsidP="00B61B1D">
      <w:pPr>
        <w:spacing w:before="80"/>
        <w:ind w:left="1021" w:right="1021"/>
        <w:jc w:val="both"/>
        <w:rPr>
          <w:rFonts w:ascii="Arial" w:hAnsi="Arial" w:cs="Arial"/>
          <w:sz w:val="18"/>
          <w:szCs w:val="18"/>
        </w:rPr>
      </w:pPr>
      <w:r w:rsidRPr="00B61B1D">
        <w:rPr>
          <w:rFonts w:ascii="Arial" w:hAnsi="Arial" w:cs="Arial"/>
          <w:sz w:val="18"/>
          <w:szCs w:val="18"/>
        </w:rPr>
        <w:t>The court is not required to accept uncritically every statement in an affidavit however equivocal, lacking in precision, inconsistent with undisputed contemporary documents or other statements by the same deponent, or inherently improbable in itself, it may be, as it may not have sufficient prima facie plausibility to merit further investigation as to its truth. The court is also not required to accept uncritically a patently feeble legal argument or an assertion of facts unsupported by evidence, although this should not be read as suggesting that the applicant must formally or comprehensively evidence the basis of its dispute or offsetting claim.</w:t>
      </w:r>
    </w:p>
    <w:p w14:paraId="6A8160DC" w14:textId="343AD249" w:rsidR="00B61B1D" w:rsidRDefault="00B61B1D" w:rsidP="00B61B1D">
      <w:pPr>
        <w:spacing w:before="80"/>
        <w:ind w:left="567" w:right="567"/>
        <w:jc w:val="both"/>
        <w:rPr>
          <w:rFonts w:ascii="Arial" w:hAnsi="Arial" w:cs="Arial"/>
          <w:sz w:val="20"/>
          <w:szCs w:val="20"/>
        </w:rPr>
      </w:pPr>
      <w:r>
        <w:rPr>
          <w:rFonts w:ascii="Arial" w:hAnsi="Arial" w:cs="Arial"/>
          <w:sz w:val="20"/>
          <w:szCs w:val="20"/>
        </w:rPr>
        <w:t xml:space="preserve">[59] </w:t>
      </w:r>
      <w:r w:rsidRPr="00B61B1D">
        <w:rPr>
          <w:rFonts w:ascii="Arial" w:hAnsi="Arial" w:cs="Arial"/>
          <w:sz w:val="20"/>
          <w:szCs w:val="20"/>
        </w:rPr>
        <w:t>In the present case, there was no other evidence to support Mr Pezaros’s evidence that Mr Curtis had made the two representations. In short, he relies upon an assertion of facts unsupported by independent evidence.</w:t>
      </w:r>
    </w:p>
    <w:p w14:paraId="455779D8" w14:textId="494C06CF" w:rsidR="00B61B1D" w:rsidRDefault="00B61B1D" w:rsidP="00B61B1D">
      <w:pPr>
        <w:spacing w:before="80"/>
        <w:ind w:left="567" w:right="567"/>
        <w:jc w:val="both"/>
        <w:rPr>
          <w:rFonts w:ascii="Arial" w:hAnsi="Arial" w:cs="Arial"/>
          <w:sz w:val="20"/>
          <w:szCs w:val="20"/>
        </w:rPr>
      </w:pPr>
      <w:r>
        <w:rPr>
          <w:rFonts w:ascii="Arial" w:hAnsi="Arial" w:cs="Arial"/>
          <w:sz w:val="20"/>
          <w:szCs w:val="20"/>
        </w:rPr>
        <w:t xml:space="preserve">[60] </w:t>
      </w:r>
      <w:r w:rsidRPr="00B61B1D">
        <w:rPr>
          <w:rFonts w:ascii="Arial" w:hAnsi="Arial" w:cs="Arial"/>
          <w:sz w:val="20"/>
          <w:szCs w:val="20"/>
        </w:rPr>
        <w:t>First, it is significant that there were no contemporaneous documents consistent with the two representations having been made</w:t>
      </w:r>
      <w:r>
        <w:rPr>
          <w:rFonts w:ascii="Arial" w:hAnsi="Arial" w:cs="Arial"/>
          <w:sz w:val="20"/>
          <w:szCs w:val="20"/>
        </w:rPr>
        <w:t>…”</w:t>
      </w:r>
    </w:p>
    <w:p w14:paraId="1862B487" w14:textId="77777777" w:rsidR="00B61B1D" w:rsidRDefault="00B61B1D" w:rsidP="00AF5922">
      <w:pPr>
        <w:jc w:val="both"/>
        <w:rPr>
          <w:rFonts w:ascii="Arial" w:hAnsi="Arial" w:cs="Arial"/>
          <w:sz w:val="20"/>
          <w:szCs w:val="20"/>
        </w:rPr>
      </w:pPr>
    </w:p>
    <w:p w14:paraId="6B242AE1" w14:textId="5C9A0B72" w:rsidR="00E110E4" w:rsidRDefault="00E110E4" w:rsidP="00AF5922">
      <w:pPr>
        <w:jc w:val="both"/>
        <w:rPr>
          <w:rFonts w:ascii="Arial" w:hAnsi="Arial" w:cs="Arial"/>
          <w:sz w:val="20"/>
          <w:szCs w:val="20"/>
        </w:rPr>
      </w:pPr>
      <w:r>
        <w:rPr>
          <w:rFonts w:ascii="Arial" w:hAnsi="Arial" w:cs="Arial"/>
          <w:sz w:val="20"/>
          <w:szCs w:val="20"/>
        </w:rPr>
        <w:t xml:space="preserve">In his </w:t>
      </w:r>
      <w:r w:rsidRPr="00E110E4">
        <w:rPr>
          <w:rFonts w:ascii="Arial" w:hAnsi="Arial" w:cs="Arial"/>
          <w:i/>
          <w:iCs/>
          <w:sz w:val="20"/>
          <w:szCs w:val="20"/>
        </w:rPr>
        <w:t>tour de force</w:t>
      </w:r>
      <w:r>
        <w:rPr>
          <w:rFonts w:ascii="Arial" w:hAnsi="Arial" w:cs="Arial"/>
          <w:sz w:val="20"/>
          <w:szCs w:val="20"/>
        </w:rPr>
        <w:t xml:space="preserve"> judgment in </w:t>
      </w:r>
      <w:proofErr w:type="spellStart"/>
      <w:r w:rsidRPr="00CA290B">
        <w:rPr>
          <w:rFonts w:ascii="Arial" w:hAnsi="Arial" w:cs="Arial"/>
          <w:i/>
          <w:iCs/>
          <w:sz w:val="20"/>
          <w:szCs w:val="20"/>
        </w:rPr>
        <w:t>Yimiao</w:t>
      </w:r>
      <w:proofErr w:type="spellEnd"/>
      <w:r w:rsidRPr="00CA290B">
        <w:rPr>
          <w:rFonts w:ascii="Arial" w:hAnsi="Arial" w:cs="Arial"/>
          <w:i/>
          <w:iCs/>
          <w:sz w:val="20"/>
          <w:szCs w:val="20"/>
        </w:rPr>
        <w:t xml:space="preserve"> Australia v 3V Development</w:t>
      </w:r>
      <w:r w:rsidRPr="00E110E4">
        <w:rPr>
          <w:rFonts w:ascii="Arial" w:hAnsi="Arial" w:cs="Arial"/>
          <w:sz w:val="20"/>
          <w:szCs w:val="20"/>
        </w:rPr>
        <w:t xml:space="preserve"> [2026] VSC 133</w:t>
      </w:r>
      <w:r>
        <w:rPr>
          <w:rFonts w:ascii="Arial" w:hAnsi="Arial" w:cs="Arial"/>
          <w:sz w:val="20"/>
          <w:szCs w:val="20"/>
        </w:rPr>
        <w:t xml:space="preserve"> </w:t>
      </w:r>
      <w:proofErr w:type="spellStart"/>
      <w:r>
        <w:rPr>
          <w:rFonts w:ascii="Arial" w:hAnsi="Arial" w:cs="Arial"/>
          <w:sz w:val="20"/>
          <w:szCs w:val="20"/>
        </w:rPr>
        <w:t>Attiwill</w:t>
      </w:r>
      <w:proofErr w:type="spellEnd"/>
      <w:r>
        <w:rPr>
          <w:rFonts w:ascii="Arial" w:hAnsi="Arial" w:cs="Arial"/>
          <w:sz w:val="20"/>
          <w:szCs w:val="20"/>
        </w:rPr>
        <w:t xml:space="preserve"> J </w:t>
      </w:r>
      <w:r w:rsidR="00CF5ECF">
        <w:rPr>
          <w:rFonts w:ascii="Arial" w:hAnsi="Arial" w:cs="Arial"/>
          <w:sz w:val="20"/>
          <w:szCs w:val="20"/>
        </w:rPr>
        <w:t>summarised</w:t>
      </w:r>
      <w:r>
        <w:rPr>
          <w:rFonts w:ascii="Arial" w:hAnsi="Arial" w:cs="Arial"/>
          <w:sz w:val="20"/>
          <w:szCs w:val="20"/>
        </w:rPr>
        <w:t xml:space="preserve"> the issue of the “</w:t>
      </w:r>
      <w:r w:rsidRPr="00E110E4">
        <w:rPr>
          <w:rFonts w:ascii="Arial" w:hAnsi="Arial" w:cs="Arial"/>
          <w:b/>
          <w:bCs/>
          <w:sz w:val="20"/>
          <w:szCs w:val="20"/>
        </w:rPr>
        <w:t>Credibility of witnesses</w:t>
      </w:r>
      <w:r>
        <w:rPr>
          <w:rFonts w:ascii="Arial" w:hAnsi="Arial" w:cs="Arial"/>
          <w:sz w:val="20"/>
          <w:szCs w:val="20"/>
        </w:rPr>
        <w:t>” at [7]-[10]</w:t>
      </w:r>
      <w:r w:rsidR="00CA290B">
        <w:rPr>
          <w:rFonts w:ascii="Arial" w:hAnsi="Arial" w:cs="Arial"/>
          <w:sz w:val="20"/>
          <w:szCs w:val="20"/>
        </w:rPr>
        <w:t xml:space="preserve"> as follows:</w:t>
      </w:r>
    </w:p>
    <w:p w14:paraId="229E9125" w14:textId="3DFEFDE3" w:rsidR="00E110E4" w:rsidRDefault="00E110E4" w:rsidP="00193BD5">
      <w:pPr>
        <w:spacing w:before="60"/>
        <w:ind w:left="567" w:right="567"/>
        <w:jc w:val="both"/>
        <w:rPr>
          <w:rFonts w:ascii="Arial" w:hAnsi="Arial" w:cs="Arial"/>
          <w:sz w:val="20"/>
          <w:szCs w:val="20"/>
        </w:rPr>
      </w:pPr>
      <w:r>
        <w:rPr>
          <w:rFonts w:ascii="Arial" w:hAnsi="Arial" w:cs="Arial"/>
          <w:sz w:val="20"/>
          <w:szCs w:val="20"/>
        </w:rPr>
        <w:t>[7] “</w:t>
      </w:r>
      <w:r w:rsidRPr="00E110E4">
        <w:rPr>
          <w:rFonts w:ascii="Arial" w:hAnsi="Arial" w:cs="Arial"/>
          <w:sz w:val="20"/>
          <w:szCs w:val="20"/>
        </w:rPr>
        <w:t>The law proceeds upon a starting assumption that witnesses are creditworthy</w:t>
      </w:r>
      <w:r>
        <w:rPr>
          <w:rFonts w:ascii="Arial" w:hAnsi="Arial" w:cs="Arial"/>
          <w:sz w:val="20"/>
          <w:szCs w:val="20"/>
        </w:rPr>
        <w:t xml:space="preserve">: </w:t>
      </w:r>
      <w:r w:rsidRPr="00E110E4">
        <w:rPr>
          <w:rFonts w:ascii="Arial" w:hAnsi="Arial" w:cs="Arial"/>
          <w:sz w:val="20"/>
          <w:szCs w:val="20"/>
        </w:rPr>
        <w:t>JD</w:t>
      </w:r>
      <w:r>
        <w:rPr>
          <w:rFonts w:ascii="Arial" w:hAnsi="Arial" w:cs="Arial"/>
          <w:sz w:val="20"/>
          <w:szCs w:val="20"/>
        </w:rPr>
        <w:t> </w:t>
      </w:r>
      <w:r w:rsidRPr="00E110E4">
        <w:rPr>
          <w:rFonts w:ascii="Arial" w:hAnsi="Arial" w:cs="Arial"/>
          <w:sz w:val="20"/>
          <w:szCs w:val="20"/>
        </w:rPr>
        <w:t xml:space="preserve">Heydon, Cross on Evidence (LexisNexis, 14 </w:t>
      </w:r>
      <w:proofErr w:type="spellStart"/>
      <w:r w:rsidRPr="00E110E4">
        <w:rPr>
          <w:rFonts w:ascii="Arial" w:hAnsi="Arial" w:cs="Arial"/>
          <w:sz w:val="20"/>
          <w:szCs w:val="20"/>
        </w:rPr>
        <w:t>th</w:t>
      </w:r>
      <w:proofErr w:type="spellEnd"/>
      <w:r w:rsidRPr="00E110E4">
        <w:rPr>
          <w:rFonts w:ascii="Arial" w:hAnsi="Arial" w:cs="Arial"/>
          <w:sz w:val="20"/>
          <w:szCs w:val="20"/>
        </w:rPr>
        <w:t xml:space="preserve"> ed, 2024) 756 [19005]. This position may, however, be displaced in the course of evidence</w:t>
      </w:r>
      <w:r>
        <w:rPr>
          <w:rFonts w:ascii="Arial" w:hAnsi="Arial" w:cs="Arial"/>
          <w:sz w:val="20"/>
          <w:szCs w:val="20"/>
        </w:rPr>
        <w:t xml:space="preserve">: </w:t>
      </w:r>
      <w:r w:rsidR="00CA290B">
        <w:rPr>
          <w:rFonts w:ascii="Arial" w:hAnsi="Arial" w:cs="Arial"/>
          <w:sz w:val="20"/>
          <w:szCs w:val="20"/>
        </w:rPr>
        <w:t>i</w:t>
      </w:r>
      <w:r>
        <w:rPr>
          <w:rFonts w:ascii="Arial" w:hAnsi="Arial" w:cs="Arial"/>
          <w:sz w:val="20"/>
          <w:szCs w:val="20"/>
        </w:rPr>
        <w:t>bid</w:t>
      </w:r>
      <w:r w:rsidRPr="00E110E4">
        <w:rPr>
          <w:rFonts w:ascii="Arial" w:hAnsi="Arial" w:cs="Arial"/>
          <w:sz w:val="20"/>
          <w:szCs w:val="20"/>
        </w:rPr>
        <w:t>. It is recognised that human memory is a fallible reconstructive process and that ‘[e]</w:t>
      </w:r>
      <w:proofErr w:type="spellStart"/>
      <w:r w:rsidRPr="00E110E4">
        <w:rPr>
          <w:rFonts w:ascii="Arial" w:hAnsi="Arial" w:cs="Arial"/>
          <w:sz w:val="20"/>
          <w:szCs w:val="20"/>
        </w:rPr>
        <w:t>xternal</w:t>
      </w:r>
      <w:proofErr w:type="spellEnd"/>
      <w:r w:rsidRPr="00E110E4">
        <w:rPr>
          <w:rFonts w:ascii="Arial" w:hAnsi="Arial" w:cs="Arial"/>
          <w:sz w:val="20"/>
          <w:szCs w:val="20"/>
        </w:rPr>
        <w:t xml:space="preserve"> information can intrude into a witness’s memory, as can [their] own thoughts and beliefs, and both can cause dramatic changes in recollection’</w:t>
      </w:r>
      <w:r w:rsidR="00CA290B">
        <w:rPr>
          <w:rFonts w:ascii="Arial" w:hAnsi="Arial" w:cs="Arial"/>
          <w:sz w:val="20"/>
          <w:szCs w:val="20"/>
        </w:rPr>
        <w:t xml:space="preserve">: </w:t>
      </w:r>
      <w:r w:rsidR="00CA290B" w:rsidRPr="00CA290B">
        <w:rPr>
          <w:rFonts w:ascii="Arial" w:hAnsi="Arial" w:cs="Arial"/>
          <w:i/>
          <w:iCs/>
          <w:sz w:val="20"/>
          <w:szCs w:val="20"/>
        </w:rPr>
        <w:t xml:space="preserve">LL Up Pty Ltd v </w:t>
      </w:r>
      <w:proofErr w:type="spellStart"/>
      <w:r w:rsidR="00CA290B" w:rsidRPr="00CA290B">
        <w:rPr>
          <w:rFonts w:ascii="Arial" w:hAnsi="Arial" w:cs="Arial"/>
          <w:i/>
          <w:iCs/>
          <w:sz w:val="20"/>
          <w:szCs w:val="20"/>
        </w:rPr>
        <w:t>Kegland</w:t>
      </w:r>
      <w:proofErr w:type="spellEnd"/>
      <w:r w:rsidR="00CA290B" w:rsidRPr="00CA290B">
        <w:rPr>
          <w:rFonts w:ascii="Arial" w:hAnsi="Arial" w:cs="Arial"/>
          <w:i/>
          <w:iCs/>
          <w:sz w:val="20"/>
          <w:szCs w:val="20"/>
        </w:rPr>
        <w:t xml:space="preserve"> Distribution Pty Ltd</w:t>
      </w:r>
      <w:r w:rsidR="00CA290B" w:rsidRPr="00E110E4">
        <w:rPr>
          <w:rFonts w:ascii="Arial" w:hAnsi="Arial" w:cs="Arial"/>
          <w:sz w:val="20"/>
          <w:szCs w:val="20"/>
        </w:rPr>
        <w:t xml:space="preserve"> [2024] VSC 651, [23] discussing </w:t>
      </w:r>
      <w:proofErr w:type="spellStart"/>
      <w:r w:rsidR="00CA290B" w:rsidRPr="00CA290B">
        <w:rPr>
          <w:rFonts w:ascii="Arial" w:hAnsi="Arial" w:cs="Arial"/>
          <w:i/>
          <w:iCs/>
          <w:sz w:val="20"/>
          <w:szCs w:val="20"/>
        </w:rPr>
        <w:t>Gestmin</w:t>
      </w:r>
      <w:proofErr w:type="spellEnd"/>
      <w:r w:rsidR="00CA290B" w:rsidRPr="00CA290B">
        <w:rPr>
          <w:rFonts w:ascii="Arial" w:hAnsi="Arial" w:cs="Arial"/>
          <w:i/>
          <w:iCs/>
          <w:sz w:val="20"/>
          <w:szCs w:val="20"/>
        </w:rPr>
        <w:t xml:space="preserve"> SGPS SA v Credit Suisse (UK) Ltd</w:t>
      </w:r>
      <w:r w:rsidR="00CA290B" w:rsidRPr="00E110E4">
        <w:rPr>
          <w:rFonts w:ascii="Arial" w:hAnsi="Arial" w:cs="Arial"/>
          <w:sz w:val="20"/>
          <w:szCs w:val="20"/>
        </w:rPr>
        <w:t xml:space="preserve"> [2013] EWHC 3560 (Comm) [15]–[21]</w:t>
      </w:r>
      <w:r w:rsidRPr="00E110E4">
        <w:rPr>
          <w:rFonts w:ascii="Arial" w:hAnsi="Arial" w:cs="Arial"/>
          <w:sz w:val="20"/>
          <w:szCs w:val="20"/>
        </w:rPr>
        <w:t>. Indeed, the memories of witnesses may be influenced by the partisan nature of civil litigation, whereby witnesses often have a stake in a particular version of events, which is ‘obvious where the witness is a party</w:t>
      </w:r>
      <w:r w:rsidR="00CA290B">
        <w:rPr>
          <w:rFonts w:ascii="Arial" w:hAnsi="Arial" w:cs="Arial"/>
          <w:sz w:val="20"/>
          <w:szCs w:val="20"/>
        </w:rPr>
        <w:t xml:space="preserve"> </w:t>
      </w:r>
      <w:r w:rsidR="00CA290B" w:rsidRPr="00E110E4">
        <w:rPr>
          <w:rFonts w:ascii="Arial" w:hAnsi="Arial" w:cs="Arial"/>
          <w:sz w:val="20"/>
          <w:szCs w:val="20"/>
        </w:rPr>
        <w:t>or has a tie of loyalty … to a party to the proceedings’</w:t>
      </w:r>
      <w:r w:rsidR="00CA290B">
        <w:rPr>
          <w:rFonts w:ascii="Arial" w:hAnsi="Arial" w:cs="Arial"/>
          <w:sz w:val="20"/>
          <w:szCs w:val="20"/>
        </w:rPr>
        <w:t xml:space="preserve">: </w:t>
      </w:r>
      <w:proofErr w:type="spellStart"/>
      <w:r w:rsidR="00CA290B" w:rsidRPr="00CA290B">
        <w:rPr>
          <w:rFonts w:ascii="Arial" w:hAnsi="Arial" w:cs="Arial"/>
          <w:i/>
          <w:iCs/>
          <w:sz w:val="20"/>
          <w:szCs w:val="20"/>
        </w:rPr>
        <w:t>Gestmin</w:t>
      </w:r>
      <w:proofErr w:type="spellEnd"/>
      <w:r w:rsidR="00CA290B">
        <w:rPr>
          <w:rFonts w:ascii="Arial" w:hAnsi="Arial" w:cs="Arial"/>
          <w:sz w:val="20"/>
          <w:szCs w:val="20"/>
        </w:rPr>
        <w:t xml:space="preserve"> at [19]. Leggatt J in </w:t>
      </w:r>
      <w:proofErr w:type="spellStart"/>
      <w:r w:rsidR="00CA290B">
        <w:rPr>
          <w:rFonts w:ascii="Arial" w:hAnsi="Arial" w:cs="Arial"/>
          <w:sz w:val="20"/>
          <w:szCs w:val="20"/>
        </w:rPr>
        <w:t>Gestmin</w:t>
      </w:r>
      <w:proofErr w:type="spellEnd"/>
      <w:r w:rsidR="00CA290B">
        <w:rPr>
          <w:rFonts w:ascii="Arial" w:hAnsi="Arial" w:cs="Arial"/>
          <w:sz w:val="20"/>
          <w:szCs w:val="20"/>
        </w:rPr>
        <w:t xml:space="preserve"> said at [22]:</w:t>
      </w:r>
    </w:p>
    <w:p w14:paraId="0D03270A" w14:textId="65BDE472" w:rsidR="00E110E4" w:rsidRPr="00CA290B" w:rsidRDefault="00CA290B" w:rsidP="00193BD5">
      <w:pPr>
        <w:spacing w:before="60"/>
        <w:ind w:left="1021" w:right="1021"/>
        <w:jc w:val="both"/>
        <w:rPr>
          <w:rFonts w:ascii="Arial" w:hAnsi="Arial" w:cs="Arial"/>
          <w:sz w:val="18"/>
          <w:szCs w:val="18"/>
        </w:rPr>
      </w:pPr>
      <w:r w:rsidRPr="00CA290B">
        <w:rPr>
          <w:rFonts w:ascii="Arial" w:hAnsi="Arial" w:cs="Arial"/>
          <w:sz w:val="18"/>
          <w:szCs w:val="18"/>
        </w:rPr>
        <w:t xml:space="preserve">[T]he best approach for a judge to adopt in the trial of a commercial case is, in my view, to place little if any reliance at all on witnesses’ recollections of what was said in meetings and conversations, and to base factual findings on inferences drawn from the documentary evidence and known or probable facts. This does not mean that oral </w:t>
      </w:r>
      <w:r w:rsidRPr="00CA290B">
        <w:rPr>
          <w:rFonts w:ascii="Arial" w:hAnsi="Arial" w:cs="Arial"/>
          <w:sz w:val="18"/>
          <w:szCs w:val="18"/>
        </w:rPr>
        <w:lastRenderedPageBreak/>
        <w:t>testimony serves no useful purpose — though its utility is often disproportionate to its length. But its value lies largely, as I see it, in the opportunity which cross</w:t>
      </w:r>
      <w:r w:rsidRPr="00CA290B">
        <w:rPr>
          <w:rFonts w:ascii="Arial" w:hAnsi="Arial" w:cs="Arial"/>
          <w:sz w:val="18"/>
          <w:szCs w:val="18"/>
        </w:rPr>
        <w:noBreakHyphen/>
        <w:t>examination affords to subject the documentary record to critical scrutiny and to gauge the personality, motivations and working practices of a witness, rather than in testimony of what the witness recalls of particular conversations and events. Above all, it is important to avoid the fallacy of supposing that, because a witness has confidence in his or her recollection and is honest, evidence based on that recollection provides any reliable guide to the truth.</w:t>
      </w:r>
    </w:p>
    <w:p w14:paraId="02EADCCC" w14:textId="0EAA0820" w:rsidR="00CA290B" w:rsidRDefault="00CA290B" w:rsidP="00193BD5">
      <w:pPr>
        <w:spacing w:before="60"/>
        <w:ind w:left="567" w:right="567"/>
        <w:jc w:val="both"/>
        <w:rPr>
          <w:rFonts w:ascii="Arial" w:hAnsi="Arial" w:cs="Arial"/>
          <w:sz w:val="20"/>
          <w:szCs w:val="20"/>
        </w:rPr>
      </w:pPr>
      <w:r>
        <w:rPr>
          <w:rFonts w:ascii="Arial" w:hAnsi="Arial" w:cs="Arial"/>
          <w:sz w:val="20"/>
          <w:szCs w:val="20"/>
        </w:rPr>
        <w:t xml:space="preserve">[8] In </w:t>
      </w:r>
      <w:r w:rsidRPr="00CA290B">
        <w:rPr>
          <w:rFonts w:ascii="Arial" w:hAnsi="Arial" w:cs="Arial"/>
          <w:i/>
          <w:iCs/>
          <w:sz w:val="20"/>
          <w:szCs w:val="20"/>
        </w:rPr>
        <w:t>Sangha v Baxter</w:t>
      </w:r>
      <w:r>
        <w:rPr>
          <w:rFonts w:ascii="Arial" w:hAnsi="Arial" w:cs="Arial"/>
          <w:i/>
          <w:iCs/>
          <w:sz w:val="20"/>
          <w:szCs w:val="20"/>
        </w:rPr>
        <w:t xml:space="preserve"> </w:t>
      </w:r>
      <w:r w:rsidRPr="00CF5ECF">
        <w:rPr>
          <w:rFonts w:ascii="Arial" w:hAnsi="Arial" w:cs="Arial"/>
          <w:sz w:val="20"/>
          <w:szCs w:val="20"/>
        </w:rPr>
        <w:t>[2009] 52 MVR 492, 5</w:t>
      </w:r>
      <w:r w:rsidR="00CF5ECF" w:rsidRPr="00CF5ECF">
        <w:rPr>
          <w:rFonts w:ascii="Arial" w:hAnsi="Arial" w:cs="Arial"/>
          <w:sz w:val="20"/>
          <w:szCs w:val="20"/>
        </w:rPr>
        <w:t>26 [155]</w:t>
      </w:r>
      <w:r w:rsidRPr="00E110E4">
        <w:rPr>
          <w:rFonts w:ascii="Arial" w:hAnsi="Arial" w:cs="Arial"/>
          <w:sz w:val="20"/>
          <w:szCs w:val="20"/>
        </w:rPr>
        <w:t>, Basten JA cautioned against drawing inferences of credibility between different parts of a witness’s evidence, stating:</w:t>
      </w:r>
    </w:p>
    <w:p w14:paraId="109AF4A0" w14:textId="1357D1C0" w:rsidR="00CA290B" w:rsidRPr="00CA290B" w:rsidRDefault="00CA290B" w:rsidP="00193BD5">
      <w:pPr>
        <w:spacing w:before="60"/>
        <w:ind w:left="1021" w:right="1021"/>
        <w:jc w:val="both"/>
        <w:rPr>
          <w:rFonts w:ascii="Arial" w:hAnsi="Arial" w:cs="Arial"/>
          <w:sz w:val="18"/>
          <w:szCs w:val="18"/>
        </w:rPr>
      </w:pPr>
      <w:r w:rsidRPr="00CA290B">
        <w:rPr>
          <w:rFonts w:ascii="Arial" w:hAnsi="Arial" w:cs="Arial"/>
          <w:sz w:val="18"/>
          <w:szCs w:val="18"/>
        </w:rPr>
        <w:t>There are risks in making global findings about credibility of any particular witness. Because a witness has not told the truth with respect to a particular matter does not mean that other parts of his or her evidence are untruthful. Where possible, an assessment should be made of the reasons for the untruthfulness in order to see if other aspects of the evidence are likely to be infected by the same concern. Further, evidence may be rejected because it is apparently unreliable, possibly mistaken or deliberately untruthful …</w:t>
      </w:r>
    </w:p>
    <w:p w14:paraId="5118612E" w14:textId="0A306EF6" w:rsidR="00CF5ECF" w:rsidRDefault="00CF5ECF" w:rsidP="00193BD5">
      <w:pPr>
        <w:spacing w:before="60"/>
        <w:ind w:left="567" w:right="567"/>
        <w:jc w:val="both"/>
        <w:rPr>
          <w:rFonts w:ascii="Arial" w:hAnsi="Arial" w:cs="Arial"/>
          <w:sz w:val="20"/>
          <w:szCs w:val="20"/>
        </w:rPr>
      </w:pPr>
      <w:r>
        <w:rPr>
          <w:rFonts w:ascii="Arial" w:hAnsi="Arial" w:cs="Arial"/>
          <w:sz w:val="20"/>
          <w:szCs w:val="20"/>
        </w:rPr>
        <w:t xml:space="preserve">[9] Cotter J in </w:t>
      </w:r>
      <w:proofErr w:type="spellStart"/>
      <w:r w:rsidRPr="00CF5ECF">
        <w:rPr>
          <w:rFonts w:ascii="Arial" w:hAnsi="Arial" w:cs="Arial"/>
          <w:i/>
          <w:iCs/>
          <w:sz w:val="20"/>
          <w:szCs w:val="20"/>
        </w:rPr>
        <w:t>Muyepa</w:t>
      </w:r>
      <w:proofErr w:type="spellEnd"/>
      <w:r w:rsidRPr="00CF5ECF">
        <w:rPr>
          <w:rFonts w:ascii="Arial" w:hAnsi="Arial" w:cs="Arial"/>
          <w:i/>
          <w:iCs/>
          <w:sz w:val="20"/>
          <w:szCs w:val="20"/>
        </w:rPr>
        <w:t xml:space="preserve"> v The Ministry of Defence</w:t>
      </w:r>
      <w:r w:rsidRPr="00E110E4">
        <w:rPr>
          <w:rFonts w:ascii="Arial" w:hAnsi="Arial" w:cs="Arial"/>
          <w:sz w:val="20"/>
          <w:szCs w:val="20"/>
        </w:rPr>
        <w:t xml:space="preserve"> </w:t>
      </w:r>
      <w:r>
        <w:rPr>
          <w:rFonts w:ascii="Arial" w:hAnsi="Arial" w:cs="Arial"/>
          <w:sz w:val="20"/>
          <w:szCs w:val="20"/>
        </w:rPr>
        <w:t xml:space="preserve">[2022] EWHC 2648, [11] </w:t>
      </w:r>
      <w:r w:rsidRPr="00E110E4">
        <w:rPr>
          <w:rFonts w:ascii="Arial" w:hAnsi="Arial" w:cs="Arial"/>
          <w:sz w:val="20"/>
          <w:szCs w:val="20"/>
        </w:rPr>
        <w:t xml:space="preserve">said: </w:t>
      </w:r>
    </w:p>
    <w:p w14:paraId="4424A418" w14:textId="77777777" w:rsidR="00CF5ECF" w:rsidRPr="00CF5ECF" w:rsidRDefault="00CF5ECF" w:rsidP="00193BD5">
      <w:pPr>
        <w:spacing w:before="60"/>
        <w:ind w:left="1021" w:right="1021"/>
        <w:jc w:val="both"/>
        <w:rPr>
          <w:rFonts w:ascii="Arial" w:hAnsi="Arial" w:cs="Arial"/>
          <w:sz w:val="16"/>
          <w:szCs w:val="16"/>
        </w:rPr>
      </w:pPr>
      <w:r w:rsidRPr="00CF5ECF">
        <w:rPr>
          <w:rFonts w:ascii="Arial" w:hAnsi="Arial" w:cs="Arial"/>
          <w:sz w:val="18"/>
          <w:szCs w:val="18"/>
        </w:rPr>
        <w:t>When evaluating the evidence of a witness whose evidence has been challenged it should be broken down into its component parts. If one element is incorrect it may, but does not necessarily, mean that the rest of the evidence is unreliable. There are a number of reasons why an incorrect element has crept in. Apart from the obvious loss of recollection due to the passage of time, there may be a process of conscious or subconscious reconstruction or exposure to the recollection of another which has corrupted or created the recollection of an event or part of an event.</w:t>
      </w:r>
    </w:p>
    <w:p w14:paraId="6652AF93" w14:textId="6A1FF6B0" w:rsidR="00CA290B" w:rsidRDefault="00CF5ECF" w:rsidP="00193BD5">
      <w:pPr>
        <w:spacing w:before="60"/>
        <w:ind w:left="567" w:right="567"/>
        <w:jc w:val="both"/>
        <w:rPr>
          <w:rFonts w:ascii="Arial" w:hAnsi="Arial" w:cs="Arial"/>
          <w:sz w:val="20"/>
          <w:szCs w:val="20"/>
        </w:rPr>
      </w:pPr>
      <w:r>
        <w:rPr>
          <w:rFonts w:ascii="Arial" w:hAnsi="Arial" w:cs="Arial"/>
          <w:sz w:val="20"/>
          <w:szCs w:val="20"/>
        </w:rPr>
        <w:t xml:space="preserve">[10] </w:t>
      </w:r>
      <w:r w:rsidRPr="00E110E4">
        <w:rPr>
          <w:rFonts w:ascii="Arial" w:hAnsi="Arial" w:cs="Arial"/>
          <w:sz w:val="20"/>
          <w:szCs w:val="20"/>
        </w:rPr>
        <w:t>The position of a particular witness may also be significant. Evidence that a witness gives against his or her interest will ordinarily be preferred</w:t>
      </w:r>
      <w:r>
        <w:rPr>
          <w:rFonts w:ascii="Arial" w:hAnsi="Arial" w:cs="Arial"/>
          <w:sz w:val="20"/>
          <w:szCs w:val="20"/>
        </w:rPr>
        <w:t xml:space="preserve">: </w:t>
      </w:r>
      <w:proofErr w:type="spellStart"/>
      <w:r w:rsidRPr="00CF5ECF">
        <w:rPr>
          <w:rFonts w:ascii="Arial" w:hAnsi="Arial" w:cs="Arial"/>
          <w:i/>
          <w:iCs/>
          <w:sz w:val="20"/>
          <w:szCs w:val="20"/>
        </w:rPr>
        <w:t>Saravinovska</w:t>
      </w:r>
      <w:proofErr w:type="spellEnd"/>
      <w:r w:rsidRPr="00CF5ECF">
        <w:rPr>
          <w:rFonts w:ascii="Arial" w:hAnsi="Arial" w:cs="Arial"/>
          <w:i/>
          <w:iCs/>
          <w:sz w:val="20"/>
          <w:szCs w:val="20"/>
        </w:rPr>
        <w:t xml:space="preserve"> v </w:t>
      </w:r>
      <w:proofErr w:type="spellStart"/>
      <w:r w:rsidRPr="00CF5ECF">
        <w:rPr>
          <w:rFonts w:ascii="Arial" w:hAnsi="Arial" w:cs="Arial"/>
          <w:i/>
          <w:iCs/>
          <w:sz w:val="20"/>
          <w:szCs w:val="20"/>
        </w:rPr>
        <w:t>Saravinovski</w:t>
      </w:r>
      <w:proofErr w:type="spellEnd"/>
      <w:r w:rsidRPr="00E110E4">
        <w:rPr>
          <w:rFonts w:ascii="Arial" w:hAnsi="Arial" w:cs="Arial"/>
          <w:sz w:val="20"/>
          <w:szCs w:val="20"/>
        </w:rPr>
        <w:t xml:space="preserve"> </w:t>
      </w:r>
      <w:r w:rsidRPr="00CF5ECF">
        <w:rPr>
          <w:rFonts w:ascii="Arial" w:hAnsi="Arial" w:cs="Arial"/>
          <w:i/>
          <w:iCs/>
          <w:sz w:val="20"/>
          <w:szCs w:val="20"/>
        </w:rPr>
        <w:t>[No 6]</w:t>
      </w:r>
      <w:r w:rsidRPr="00E110E4">
        <w:rPr>
          <w:rFonts w:ascii="Arial" w:hAnsi="Arial" w:cs="Arial"/>
          <w:sz w:val="20"/>
          <w:szCs w:val="20"/>
        </w:rPr>
        <w:t xml:space="preserve"> [2016] NSWSC 964, [467].</w:t>
      </w:r>
      <w:r>
        <w:rPr>
          <w:rFonts w:ascii="Arial" w:hAnsi="Arial" w:cs="Arial"/>
          <w:sz w:val="20"/>
          <w:szCs w:val="20"/>
        </w:rPr>
        <w:t xml:space="preserve"> </w:t>
      </w:r>
      <w:r w:rsidRPr="00E110E4">
        <w:rPr>
          <w:rFonts w:ascii="Arial" w:hAnsi="Arial" w:cs="Arial"/>
          <w:sz w:val="20"/>
          <w:szCs w:val="20"/>
        </w:rPr>
        <w:t>It is often necessary for a court to assess the credibility and reliability of witnesses who have no reason to be partisan, as their evidence may be decisive in resolving the conflicting evidence of interested parties</w:t>
      </w:r>
      <w:r>
        <w:rPr>
          <w:rFonts w:ascii="Arial" w:hAnsi="Arial" w:cs="Arial"/>
          <w:sz w:val="20"/>
          <w:szCs w:val="20"/>
        </w:rPr>
        <w:t xml:space="preserve">: </w:t>
      </w:r>
      <w:r w:rsidRPr="00CF5ECF">
        <w:rPr>
          <w:rFonts w:ascii="Arial" w:hAnsi="Arial" w:cs="Arial"/>
          <w:i/>
          <w:iCs/>
          <w:sz w:val="20"/>
          <w:szCs w:val="20"/>
        </w:rPr>
        <w:t>LL Up</w:t>
      </w:r>
      <w:r>
        <w:rPr>
          <w:rFonts w:ascii="Arial" w:hAnsi="Arial" w:cs="Arial"/>
          <w:sz w:val="20"/>
          <w:szCs w:val="20"/>
        </w:rPr>
        <w:t xml:space="preserve"> at [23]</w:t>
      </w:r>
      <w:r w:rsidRPr="00E110E4">
        <w:rPr>
          <w:rFonts w:ascii="Arial" w:hAnsi="Arial" w:cs="Arial"/>
          <w:sz w:val="20"/>
          <w:szCs w:val="20"/>
        </w:rPr>
        <w:t>.</w:t>
      </w:r>
      <w:r>
        <w:rPr>
          <w:rFonts w:ascii="Arial" w:hAnsi="Arial" w:cs="Arial"/>
          <w:sz w:val="20"/>
          <w:szCs w:val="20"/>
        </w:rPr>
        <w:t xml:space="preserve"> </w:t>
      </w:r>
      <w:r w:rsidRPr="00E110E4">
        <w:rPr>
          <w:rFonts w:ascii="Arial" w:hAnsi="Arial" w:cs="Arial"/>
          <w:sz w:val="20"/>
          <w:szCs w:val="20"/>
        </w:rPr>
        <w:t>As a starting point, when a court comes to evaluate the evidence of a witness, foremost importance should be placed upon contemporaneous documents</w:t>
      </w:r>
      <w:r>
        <w:rPr>
          <w:rFonts w:ascii="Arial" w:hAnsi="Arial" w:cs="Arial"/>
          <w:sz w:val="20"/>
          <w:szCs w:val="20"/>
        </w:rPr>
        <w:t xml:space="preserve">: </w:t>
      </w:r>
      <w:r w:rsidRPr="00CF5ECF">
        <w:rPr>
          <w:rFonts w:ascii="Arial" w:hAnsi="Arial" w:cs="Arial"/>
          <w:i/>
          <w:iCs/>
          <w:sz w:val="20"/>
          <w:szCs w:val="20"/>
        </w:rPr>
        <w:t>LL Up</w:t>
      </w:r>
      <w:r>
        <w:rPr>
          <w:rFonts w:ascii="Arial" w:hAnsi="Arial" w:cs="Arial"/>
          <w:sz w:val="20"/>
          <w:szCs w:val="20"/>
        </w:rPr>
        <w:t xml:space="preserve"> at [22]-[</w:t>
      </w:r>
      <w:proofErr w:type="gramStart"/>
      <w:r>
        <w:rPr>
          <w:rFonts w:ascii="Arial" w:hAnsi="Arial" w:cs="Arial"/>
          <w:sz w:val="20"/>
          <w:szCs w:val="20"/>
        </w:rPr>
        <w:t>23]…</w:t>
      </w:r>
      <w:proofErr w:type="gramEnd"/>
      <w:r>
        <w:rPr>
          <w:rFonts w:ascii="Arial" w:hAnsi="Arial" w:cs="Arial"/>
          <w:sz w:val="20"/>
          <w:szCs w:val="20"/>
        </w:rPr>
        <w:t>”</w:t>
      </w:r>
    </w:p>
    <w:p w14:paraId="5FA0BF81" w14:textId="77777777" w:rsidR="00501FDB" w:rsidRDefault="00501FDB" w:rsidP="00AF5922">
      <w:pPr>
        <w:jc w:val="both"/>
        <w:rPr>
          <w:rFonts w:ascii="Arial" w:hAnsi="Arial" w:cs="Arial"/>
          <w:sz w:val="20"/>
          <w:szCs w:val="20"/>
        </w:rPr>
      </w:pPr>
    </w:p>
    <w:p w14:paraId="049FA19F" w14:textId="10AB3E10" w:rsidR="00501FDB" w:rsidRDefault="00501FDB" w:rsidP="00AF5922">
      <w:pPr>
        <w:jc w:val="both"/>
        <w:rPr>
          <w:rFonts w:ascii="Arial" w:hAnsi="Arial" w:cs="Arial"/>
          <w:sz w:val="20"/>
          <w:szCs w:val="20"/>
        </w:rPr>
      </w:pPr>
      <w:r>
        <w:rPr>
          <w:rFonts w:ascii="Arial" w:hAnsi="Arial" w:cs="Arial"/>
          <w:sz w:val="20"/>
        </w:rPr>
        <w:t xml:space="preserve">In </w:t>
      </w:r>
      <w:r w:rsidRPr="00A86407">
        <w:rPr>
          <w:rFonts w:ascii="Arial" w:hAnsi="Arial" w:cs="Arial"/>
          <w:i/>
          <w:iCs/>
          <w:sz w:val="20"/>
        </w:rPr>
        <w:t>Country Club Villages Pty Ltd &amp; Ors v Burke &amp; Ors</w:t>
      </w:r>
      <w:r w:rsidRPr="00A86407">
        <w:rPr>
          <w:rFonts w:ascii="Arial" w:hAnsi="Arial" w:cs="Arial"/>
          <w:sz w:val="20"/>
        </w:rPr>
        <w:t xml:space="preserve"> [2026] VSC 171</w:t>
      </w:r>
      <w:r>
        <w:rPr>
          <w:rFonts w:ascii="Arial" w:hAnsi="Arial" w:cs="Arial"/>
          <w:sz w:val="20"/>
        </w:rPr>
        <w:t xml:space="preserve"> – after a 10-day trial – Craig J dismissed the plaintiffs’ </w:t>
      </w:r>
      <w:r w:rsidRPr="00D631C5">
        <w:rPr>
          <w:rFonts w:ascii="Arial" w:hAnsi="Arial" w:cs="Arial"/>
          <w:sz w:val="20"/>
        </w:rPr>
        <w:t>claims for relief in equity and statutory compensation</w:t>
      </w:r>
      <w:r>
        <w:rPr>
          <w:rFonts w:ascii="Arial" w:hAnsi="Arial" w:cs="Arial"/>
          <w:sz w:val="20"/>
        </w:rPr>
        <w:t xml:space="preserve"> which were essentially for breach of </w:t>
      </w:r>
      <w:r w:rsidRPr="00A86407">
        <w:rPr>
          <w:rFonts w:ascii="Arial" w:hAnsi="Arial" w:cs="Arial"/>
          <w:sz w:val="20"/>
        </w:rPr>
        <w:t>fiduciary and statutory duties</w:t>
      </w:r>
      <w:r>
        <w:rPr>
          <w:rFonts w:ascii="Arial" w:hAnsi="Arial" w:cs="Arial"/>
          <w:sz w:val="20"/>
        </w:rPr>
        <w:t>. At [44]-[51] his Honour explained the way in which he had undertaken the process of fact finding:</w:t>
      </w:r>
    </w:p>
    <w:p w14:paraId="4D6FBD1A" w14:textId="1F4BADE2" w:rsidR="00501FDB" w:rsidRDefault="00501FDB" w:rsidP="00501FDB">
      <w:pPr>
        <w:spacing w:before="60"/>
        <w:ind w:left="567" w:right="567"/>
        <w:jc w:val="both"/>
        <w:rPr>
          <w:rFonts w:ascii="Arial" w:hAnsi="Arial" w:cs="Arial"/>
          <w:sz w:val="20"/>
          <w:szCs w:val="20"/>
        </w:rPr>
      </w:pPr>
      <w:r>
        <w:rPr>
          <w:rFonts w:ascii="Arial" w:hAnsi="Arial" w:cs="Arial"/>
          <w:sz w:val="20"/>
          <w:szCs w:val="20"/>
        </w:rPr>
        <w:t>[</w:t>
      </w:r>
      <w:r w:rsidRPr="00501FDB">
        <w:rPr>
          <w:rFonts w:ascii="Arial" w:hAnsi="Arial" w:cs="Arial"/>
          <w:sz w:val="20"/>
          <w:szCs w:val="20"/>
        </w:rPr>
        <w:t>44</w:t>
      </w:r>
      <w:r>
        <w:rPr>
          <w:rFonts w:ascii="Arial" w:hAnsi="Arial" w:cs="Arial"/>
          <w:sz w:val="20"/>
          <w:szCs w:val="20"/>
        </w:rPr>
        <w:t>]</w:t>
      </w:r>
      <w:r w:rsidRPr="00501FDB">
        <w:rPr>
          <w:rFonts w:ascii="Arial" w:hAnsi="Arial" w:cs="Arial"/>
          <w:sz w:val="20"/>
          <w:szCs w:val="20"/>
        </w:rPr>
        <w:t xml:space="preserve"> </w:t>
      </w:r>
      <w:r>
        <w:rPr>
          <w:rFonts w:ascii="Arial" w:hAnsi="Arial" w:cs="Arial"/>
          <w:sz w:val="20"/>
          <w:szCs w:val="20"/>
        </w:rPr>
        <w:t>“</w:t>
      </w:r>
      <w:r w:rsidRPr="00501FDB">
        <w:rPr>
          <w:rFonts w:ascii="Arial" w:hAnsi="Arial" w:cs="Arial"/>
          <w:sz w:val="20"/>
          <w:szCs w:val="20"/>
        </w:rPr>
        <w:t xml:space="preserve">In undertaking the process of fact finding in respect of events occurring principally between five and ten years ago, I have had regard to and applied the approach articulated by Leggatt J in </w:t>
      </w:r>
      <w:proofErr w:type="spellStart"/>
      <w:r w:rsidRPr="00501FDB">
        <w:rPr>
          <w:rFonts w:ascii="Arial" w:hAnsi="Arial" w:cs="Arial"/>
          <w:i/>
          <w:iCs/>
          <w:sz w:val="20"/>
          <w:szCs w:val="20"/>
        </w:rPr>
        <w:t>Gestmin</w:t>
      </w:r>
      <w:proofErr w:type="spellEnd"/>
      <w:r w:rsidRPr="00501FDB">
        <w:rPr>
          <w:rFonts w:ascii="Arial" w:hAnsi="Arial" w:cs="Arial"/>
          <w:i/>
          <w:iCs/>
          <w:sz w:val="20"/>
          <w:szCs w:val="20"/>
        </w:rPr>
        <w:t xml:space="preserve"> SGPS SA v Credit Suisse (UK) Limited</w:t>
      </w:r>
      <w:r w:rsidRPr="00501FDB">
        <w:rPr>
          <w:rFonts w:ascii="Arial" w:hAnsi="Arial" w:cs="Arial"/>
          <w:sz w:val="20"/>
          <w:szCs w:val="20"/>
        </w:rPr>
        <w:t xml:space="preserve">: </w:t>
      </w:r>
      <w:r>
        <w:rPr>
          <w:rFonts w:ascii="Arial" w:hAnsi="Arial" w:cs="Arial"/>
          <w:sz w:val="20"/>
          <w:szCs w:val="20"/>
        </w:rPr>
        <w:t>[2013] EWHC 3560 (Comm), [15]-[22]:</w:t>
      </w:r>
    </w:p>
    <w:p w14:paraId="44672221" w14:textId="77777777" w:rsidR="00501FDB" w:rsidRDefault="00501FDB" w:rsidP="00501FDB">
      <w:pPr>
        <w:spacing w:before="60"/>
        <w:ind w:left="1021" w:right="1021"/>
        <w:jc w:val="both"/>
        <w:rPr>
          <w:rFonts w:ascii="Arial" w:hAnsi="Arial" w:cs="Arial"/>
          <w:sz w:val="18"/>
          <w:szCs w:val="18"/>
        </w:rPr>
      </w:pPr>
      <w:r w:rsidRPr="00501FDB">
        <w:rPr>
          <w:rFonts w:ascii="Arial" w:hAnsi="Arial" w:cs="Arial"/>
          <w:sz w:val="18"/>
          <w:szCs w:val="18"/>
        </w:rPr>
        <w:t>15. An obvious difficulty which affects allegations and oral evidence based on recollection of events which occurred several years ago is the unreliability of human memory.</w:t>
      </w:r>
    </w:p>
    <w:p w14:paraId="7DC7445A" w14:textId="77777777" w:rsidR="00501FDB" w:rsidRDefault="00501FDB" w:rsidP="00501FDB">
      <w:pPr>
        <w:spacing w:before="60"/>
        <w:ind w:left="1021" w:right="1021"/>
        <w:jc w:val="both"/>
        <w:rPr>
          <w:rFonts w:ascii="Arial" w:hAnsi="Arial" w:cs="Arial"/>
          <w:sz w:val="18"/>
          <w:szCs w:val="18"/>
        </w:rPr>
      </w:pPr>
      <w:r w:rsidRPr="00501FDB">
        <w:rPr>
          <w:rFonts w:ascii="Arial" w:hAnsi="Arial" w:cs="Arial"/>
          <w:sz w:val="18"/>
          <w:szCs w:val="18"/>
        </w:rPr>
        <w:t>16. While everyone knows that memory is fallible, I do not believe that the legal system has sufficiently absorbed the lessons of a century of psychological research into the nature of memory and the unreliability of eyewitness testimony. One of the most important lessons of such research is that in everyday life we are not aware of the extent to which our own and other people’s memories are unreliable and believe our memories to be more faithful than they are. Two common (and related) errors are to suppose: (1) that the stronger and more vivid is our feeling or experience of recollection, the more likely the recollection is to be accurate; and (2) that the more confident another person is in their recollection, the more likely their recollection is to be accurate.</w:t>
      </w:r>
    </w:p>
    <w:p w14:paraId="6464AA4D" w14:textId="77777777" w:rsidR="00501FDB" w:rsidRDefault="00501FDB" w:rsidP="00501FDB">
      <w:pPr>
        <w:spacing w:before="60"/>
        <w:ind w:left="1021" w:right="1021"/>
        <w:jc w:val="both"/>
        <w:rPr>
          <w:rFonts w:ascii="Arial" w:hAnsi="Arial" w:cs="Arial"/>
          <w:sz w:val="18"/>
          <w:szCs w:val="18"/>
        </w:rPr>
      </w:pPr>
      <w:r w:rsidRPr="00501FDB">
        <w:rPr>
          <w:rFonts w:ascii="Arial" w:hAnsi="Arial" w:cs="Arial"/>
          <w:sz w:val="18"/>
          <w:szCs w:val="18"/>
        </w:rPr>
        <w:t>17. Underlying both these errors is a faulty model of memory as a mental record which is fixed at the time of experience of an event and then fades (more or less slowly) over time. In fact, psychological research has demonstrated that memories are fluid and malleable, being constantly rewritten whenever they are retrieved. This is true even of so-called ‘flashbulb’ memories, that is memories of experiencing or learning of a particularly shocking or traumatic event. (The very description ‘flashbulb’ memory is in fact misleading, reflecting as it does the misconception that memory operates like a camera or other device that makes a fixed record of an experience.) External information can intrude into a witness’s memory, as can his or her own thoughts and beliefs, and both can cause dramatic changes in recollection. Events can come to be recalled as memories which did not happen at all or which happened to someone else (referred to in the literature as a failure of source memory).</w:t>
      </w:r>
    </w:p>
    <w:p w14:paraId="6B2A253E" w14:textId="77777777" w:rsidR="00501FDB" w:rsidRDefault="00501FDB" w:rsidP="00501FDB">
      <w:pPr>
        <w:spacing w:before="60"/>
        <w:ind w:left="1021" w:right="1021"/>
        <w:jc w:val="both"/>
        <w:rPr>
          <w:rFonts w:ascii="Arial" w:hAnsi="Arial" w:cs="Arial"/>
          <w:sz w:val="18"/>
          <w:szCs w:val="18"/>
        </w:rPr>
      </w:pPr>
      <w:r w:rsidRPr="00501FDB">
        <w:rPr>
          <w:rFonts w:ascii="Arial" w:hAnsi="Arial" w:cs="Arial"/>
          <w:sz w:val="18"/>
          <w:szCs w:val="18"/>
        </w:rPr>
        <w:t xml:space="preserve">18. Memory is especially unreliable when it comes to recalling past beliefs. Our memories of past beliefs are revised to make them more consistent with our present beliefs. Studies </w:t>
      </w:r>
      <w:r w:rsidRPr="00501FDB">
        <w:rPr>
          <w:rFonts w:ascii="Arial" w:hAnsi="Arial" w:cs="Arial"/>
          <w:sz w:val="18"/>
          <w:szCs w:val="18"/>
        </w:rPr>
        <w:lastRenderedPageBreak/>
        <w:t>have also shown that memory is particularly vulnerable to interference and alteration when a person is presented with new information or suggestions about an event in circumstances where his or her memory of it is already weak due to the passage of time.</w:t>
      </w:r>
    </w:p>
    <w:p w14:paraId="4248B384" w14:textId="77777777" w:rsidR="00501FDB" w:rsidRDefault="00501FDB" w:rsidP="00501FDB">
      <w:pPr>
        <w:spacing w:before="60"/>
        <w:ind w:left="1021" w:right="1021"/>
        <w:jc w:val="both"/>
        <w:rPr>
          <w:rFonts w:ascii="Arial" w:hAnsi="Arial" w:cs="Arial"/>
          <w:sz w:val="18"/>
          <w:szCs w:val="18"/>
        </w:rPr>
      </w:pPr>
      <w:r w:rsidRPr="00501FDB">
        <w:rPr>
          <w:rFonts w:ascii="Arial" w:hAnsi="Arial" w:cs="Arial"/>
          <w:sz w:val="18"/>
          <w:szCs w:val="18"/>
        </w:rPr>
        <w:t xml:space="preserve">19. The process of civil litigation itself subjects the memories of witnesses to powerful biases. The nature of litigation is such that witnesses often have a stake in a particular version of events. This is obvious where the witness is a party or has a tie of loyalty (such as an employment relationship) to a party to the proceedings. Other, more subtle influences include allegiances created by the process of preparing a witness statement and of coming to court to give evidence for one side in the dispute. A desire to assist, or at least not to prejudice, the party who has called the witness or that party’s lawyers, as well as a natural desire to give a good impression in a public forum, can be significant motivating forces. </w:t>
      </w:r>
    </w:p>
    <w:p w14:paraId="1138B028" w14:textId="77777777" w:rsidR="00501FDB" w:rsidRDefault="00501FDB" w:rsidP="00501FDB">
      <w:pPr>
        <w:spacing w:before="60"/>
        <w:ind w:left="1021" w:right="1021"/>
        <w:jc w:val="both"/>
        <w:rPr>
          <w:rFonts w:ascii="Arial" w:hAnsi="Arial" w:cs="Arial"/>
          <w:sz w:val="18"/>
          <w:szCs w:val="18"/>
        </w:rPr>
      </w:pPr>
      <w:r w:rsidRPr="00501FDB">
        <w:rPr>
          <w:rFonts w:ascii="Arial" w:hAnsi="Arial" w:cs="Arial"/>
          <w:sz w:val="18"/>
          <w:szCs w:val="18"/>
        </w:rPr>
        <w:t xml:space="preserve">20. Considerable interference with memory is also introduced in civil litigation by the procedure of preparing for trial. A witness is asked to make a statement, often (as in the present case) when a long time has already elapsed since the relevant events. The statement is usually drafted for the witness by a lawyer who is inevitably conscious of the significance for the issues in the case of what the witness does nor does not say. The statement is made after the witness’s memory has been “refreshed” by reading documents. The documents considered often include statements of case and other argumentative material as well as documents which the witness did not see at the time or which came into existence after the events which he or she is being asked to recall. The statement may go through several iterations before it is finalised. Then, usually months later, the witness will be asked to re-read his or her statement and review documents again before giving evidence in court. The effect of this process is to establish in the mind of the witness the matters recorded in his or her own statement and other written material, whether they be true or false, and to cause the witness’s memory of events to be based increasingly on this material and later interpretations of it rather than on the original experience of the events. </w:t>
      </w:r>
    </w:p>
    <w:p w14:paraId="662BFE9B" w14:textId="77777777" w:rsidR="00501FDB" w:rsidRDefault="00501FDB" w:rsidP="00501FDB">
      <w:pPr>
        <w:spacing w:before="60"/>
        <w:ind w:left="1021" w:right="1021"/>
        <w:jc w:val="both"/>
        <w:rPr>
          <w:rFonts w:ascii="Arial" w:hAnsi="Arial" w:cs="Arial"/>
          <w:sz w:val="18"/>
          <w:szCs w:val="18"/>
        </w:rPr>
      </w:pPr>
      <w:r w:rsidRPr="00501FDB">
        <w:rPr>
          <w:rFonts w:ascii="Arial" w:hAnsi="Arial" w:cs="Arial"/>
          <w:sz w:val="18"/>
          <w:szCs w:val="18"/>
        </w:rPr>
        <w:t xml:space="preserve">21. It is not uncommon (and the present case was no exception) for witnesses to be asked in cross-examination if they understand the difference between recollection and reconstruction or whether their evidence is a genuine recollection or a reconstruction of events. Such questions are misguided in at least two ways. First, they erroneously presuppose that there is a clear distinction between recollection and reconstruction, when all remembering of distant events involves reconstructive processes. Second, such questions disregard the fact that such processes are largely unconscious and that the strength, vividness and apparent authenticity of memories is not a reliable measure of their truth. </w:t>
      </w:r>
    </w:p>
    <w:p w14:paraId="4D2B2832" w14:textId="68647306" w:rsidR="00501FDB" w:rsidRPr="00501FDB" w:rsidRDefault="00501FDB" w:rsidP="00501FDB">
      <w:pPr>
        <w:spacing w:before="60"/>
        <w:ind w:left="1021" w:right="1021"/>
        <w:jc w:val="both"/>
        <w:rPr>
          <w:rFonts w:ascii="Arial" w:hAnsi="Arial" w:cs="Arial"/>
          <w:sz w:val="18"/>
          <w:szCs w:val="18"/>
        </w:rPr>
      </w:pPr>
      <w:r w:rsidRPr="00501FDB">
        <w:rPr>
          <w:rFonts w:ascii="Arial" w:hAnsi="Arial" w:cs="Arial"/>
          <w:sz w:val="18"/>
          <w:szCs w:val="18"/>
        </w:rPr>
        <w:t>22. In the light of these considerations, the best approach for a judge to adopt in the trial of a commercial case is, in my view, to place little if any reliance at all on witnesses’ recollections of what was said in meetings and conversations, and to base factual findings on inferences drawn from the documentary evidence and known or probable facts. This does not mean that oral testimony serves no useful purpose – though its utility is often disproportionate to its length. But its value lies largely, as I see it, in the opportunity which cross-examination affords to subject the documentary record to critical scrutiny and to gauge the personality, motivations and working practices of a witness, rather than in testimony of what the witness recalls of particular conversations and events. Above all, it is important to avoid the fallacy of supposing that, because a witness has confidence in his or her recollection and is honest, evidence based on that recollection provides any reliable guide to the truth.</w:t>
      </w:r>
    </w:p>
    <w:p w14:paraId="0C7A8CE6" w14:textId="246DAC20" w:rsidR="00501FDB" w:rsidRDefault="00501FDB" w:rsidP="00501FDB">
      <w:pPr>
        <w:spacing w:before="60"/>
        <w:ind w:left="567" w:right="567"/>
        <w:jc w:val="both"/>
        <w:rPr>
          <w:rFonts w:ascii="Arial" w:hAnsi="Arial" w:cs="Arial"/>
          <w:sz w:val="20"/>
          <w:szCs w:val="20"/>
        </w:rPr>
      </w:pPr>
      <w:r>
        <w:rPr>
          <w:rFonts w:ascii="Arial" w:hAnsi="Arial" w:cs="Arial"/>
          <w:sz w:val="20"/>
          <w:szCs w:val="20"/>
        </w:rPr>
        <w:t>[</w:t>
      </w:r>
      <w:r w:rsidRPr="00501FDB">
        <w:rPr>
          <w:rFonts w:ascii="Arial" w:hAnsi="Arial" w:cs="Arial"/>
          <w:sz w:val="20"/>
          <w:szCs w:val="20"/>
        </w:rPr>
        <w:t>45</w:t>
      </w:r>
      <w:r>
        <w:rPr>
          <w:rFonts w:ascii="Arial" w:hAnsi="Arial" w:cs="Arial"/>
          <w:sz w:val="20"/>
          <w:szCs w:val="20"/>
        </w:rPr>
        <w:t>]</w:t>
      </w:r>
      <w:r w:rsidRPr="00501FDB">
        <w:rPr>
          <w:rFonts w:ascii="Arial" w:hAnsi="Arial" w:cs="Arial"/>
          <w:sz w:val="20"/>
          <w:szCs w:val="20"/>
        </w:rPr>
        <w:t xml:space="preserve"> The correctness of the approach articulated by Leggatt J is reinforced by the following observations of Lord Pearce in </w:t>
      </w:r>
      <w:r w:rsidRPr="00501FDB">
        <w:rPr>
          <w:rFonts w:ascii="Arial" w:hAnsi="Arial" w:cs="Arial"/>
          <w:i/>
          <w:iCs/>
          <w:sz w:val="20"/>
          <w:szCs w:val="20"/>
        </w:rPr>
        <w:t xml:space="preserve">Onassis and </w:t>
      </w:r>
      <w:proofErr w:type="spellStart"/>
      <w:r w:rsidRPr="00501FDB">
        <w:rPr>
          <w:rFonts w:ascii="Arial" w:hAnsi="Arial" w:cs="Arial"/>
          <w:i/>
          <w:iCs/>
          <w:sz w:val="20"/>
          <w:szCs w:val="20"/>
        </w:rPr>
        <w:t>Calogeropoulos</w:t>
      </w:r>
      <w:proofErr w:type="spellEnd"/>
      <w:r w:rsidRPr="00501FDB">
        <w:rPr>
          <w:rFonts w:ascii="Arial" w:hAnsi="Arial" w:cs="Arial"/>
          <w:i/>
          <w:iCs/>
          <w:sz w:val="20"/>
          <w:szCs w:val="20"/>
        </w:rPr>
        <w:t xml:space="preserve"> v </w:t>
      </w:r>
      <w:proofErr w:type="spellStart"/>
      <w:r w:rsidRPr="00501FDB">
        <w:rPr>
          <w:rFonts w:ascii="Arial" w:hAnsi="Arial" w:cs="Arial"/>
          <w:i/>
          <w:iCs/>
          <w:sz w:val="20"/>
          <w:szCs w:val="20"/>
        </w:rPr>
        <w:t>Vergottis</w:t>
      </w:r>
      <w:proofErr w:type="spellEnd"/>
      <w:r w:rsidRPr="00501FDB">
        <w:rPr>
          <w:rFonts w:ascii="Arial" w:hAnsi="Arial" w:cs="Arial"/>
          <w:sz w:val="20"/>
          <w:szCs w:val="20"/>
        </w:rPr>
        <w:t xml:space="preserve">: </w:t>
      </w:r>
      <w:r>
        <w:rPr>
          <w:rFonts w:ascii="Arial" w:hAnsi="Arial" w:cs="Arial"/>
          <w:sz w:val="20"/>
          <w:szCs w:val="20"/>
        </w:rPr>
        <w:t>[1968] 2 Lloyd’s Rep 403, 431 (emphasis added):</w:t>
      </w:r>
    </w:p>
    <w:p w14:paraId="36881FAC" w14:textId="70FFA6C4" w:rsidR="00501FDB" w:rsidRPr="00501FDB" w:rsidRDefault="00501FDB" w:rsidP="00501FDB">
      <w:pPr>
        <w:spacing w:before="60"/>
        <w:ind w:left="1021" w:right="1021"/>
        <w:jc w:val="both"/>
        <w:rPr>
          <w:rFonts w:ascii="Arial" w:hAnsi="Arial" w:cs="Arial"/>
          <w:sz w:val="16"/>
          <w:szCs w:val="16"/>
        </w:rPr>
      </w:pPr>
      <w:r w:rsidRPr="00501FDB">
        <w:rPr>
          <w:rFonts w:ascii="Arial" w:hAnsi="Arial" w:cs="Arial"/>
          <w:sz w:val="18"/>
          <w:szCs w:val="18"/>
        </w:rPr>
        <w:t xml:space="preserve">‘Credibility’ involves wider problems than mere </w:t>
      </w:r>
      <w:r>
        <w:rPr>
          <w:rFonts w:ascii="Arial" w:hAnsi="Arial" w:cs="Arial"/>
          <w:sz w:val="18"/>
          <w:szCs w:val="18"/>
        </w:rPr>
        <w:t>‘</w:t>
      </w:r>
      <w:r w:rsidRPr="00501FDB">
        <w:rPr>
          <w:rFonts w:ascii="Arial" w:hAnsi="Arial" w:cs="Arial"/>
          <w:sz w:val="18"/>
          <w:szCs w:val="18"/>
        </w:rPr>
        <w:t>demeanour</w:t>
      </w:r>
      <w:r>
        <w:rPr>
          <w:rFonts w:ascii="Arial" w:hAnsi="Arial" w:cs="Arial"/>
          <w:sz w:val="18"/>
          <w:szCs w:val="18"/>
        </w:rPr>
        <w:t>’</w:t>
      </w:r>
      <w:r w:rsidRPr="00501FDB">
        <w:rPr>
          <w:rFonts w:ascii="Arial" w:hAnsi="Arial" w:cs="Arial"/>
          <w:sz w:val="18"/>
          <w:szCs w:val="18"/>
        </w:rPr>
        <w:t xml:space="preserve"> which is mostly concerned with whether the witness appears to be telling the truth as he now believes it to be. Credibility covers the following problems. First, is the witness a truthful or untruthful person? Secondly, is he, though a truthful person, telling something less than the truth on this issue, or, though an untruthful person, telling the truth on this issue? Thirdly, though he is a truthful person telling the truth as he sees it, did he register the intentions of the conversation correctly and, if so, has his memory correctly retained them? </w:t>
      </w:r>
      <w:r w:rsidRPr="00B56149">
        <w:rPr>
          <w:rFonts w:ascii="Arial" w:hAnsi="Arial" w:cs="Arial"/>
          <w:b/>
          <w:bCs/>
          <w:sz w:val="18"/>
          <w:szCs w:val="18"/>
        </w:rPr>
        <w:t>Also, has his recollection been subsequently altered by unconscious bias or wishful thinking or by overmuch discussion of it with others? Witnesses, especially those who are emotional, who think that they are morally in the right, tend very easily and unconsciously to conjure up a legal right that did not exist.</w:t>
      </w:r>
      <w:r w:rsidRPr="00501FDB">
        <w:rPr>
          <w:rFonts w:ascii="Arial" w:hAnsi="Arial" w:cs="Arial"/>
          <w:sz w:val="18"/>
          <w:szCs w:val="18"/>
        </w:rPr>
        <w:t xml:space="preserve"> It is a truism, often used in accident cases, that with every day that passes the memory becomes fainter and the imagination becomes more active. For that reason a witness, however honest, rarely persuades a Judge that his present recollection is preferable to that which was taken down in writing immediately after the accident occurred.</w:t>
      </w:r>
    </w:p>
    <w:p w14:paraId="6DCC0795" w14:textId="63665EF3" w:rsidR="00B56149" w:rsidRDefault="00B56149" w:rsidP="00152314">
      <w:pPr>
        <w:spacing w:before="60"/>
        <w:ind w:left="567" w:right="567"/>
        <w:jc w:val="both"/>
        <w:rPr>
          <w:rFonts w:ascii="Arial" w:hAnsi="Arial" w:cs="Arial"/>
          <w:sz w:val="20"/>
          <w:szCs w:val="20"/>
        </w:rPr>
      </w:pPr>
      <w:r>
        <w:rPr>
          <w:rFonts w:ascii="Arial" w:hAnsi="Arial" w:cs="Arial"/>
          <w:sz w:val="20"/>
          <w:szCs w:val="20"/>
        </w:rPr>
        <w:lastRenderedPageBreak/>
        <w:t>[</w:t>
      </w:r>
      <w:r w:rsidR="00501FDB" w:rsidRPr="00501FDB">
        <w:rPr>
          <w:rFonts w:ascii="Arial" w:hAnsi="Arial" w:cs="Arial"/>
          <w:sz w:val="20"/>
          <w:szCs w:val="20"/>
        </w:rPr>
        <w:t>46</w:t>
      </w:r>
      <w:r>
        <w:rPr>
          <w:rFonts w:ascii="Arial" w:hAnsi="Arial" w:cs="Arial"/>
          <w:sz w:val="20"/>
          <w:szCs w:val="20"/>
        </w:rPr>
        <w:t>]</w:t>
      </w:r>
      <w:r w:rsidR="00501FDB" w:rsidRPr="00501FDB">
        <w:rPr>
          <w:rFonts w:ascii="Arial" w:hAnsi="Arial" w:cs="Arial"/>
          <w:sz w:val="20"/>
          <w:szCs w:val="20"/>
        </w:rPr>
        <w:t xml:space="preserve"> The Court of Appeal</w:t>
      </w:r>
      <w:r w:rsidR="00152314">
        <w:rPr>
          <w:rFonts w:ascii="Arial" w:hAnsi="Arial" w:cs="Arial"/>
          <w:sz w:val="20"/>
          <w:szCs w:val="20"/>
        </w:rPr>
        <w:t xml:space="preserve"> {</w:t>
      </w:r>
      <w:r w:rsidR="00152314" w:rsidRPr="00152314">
        <w:rPr>
          <w:rFonts w:ascii="Arial" w:hAnsi="Arial" w:cs="Arial"/>
          <w:i/>
          <w:iCs/>
          <w:sz w:val="20"/>
          <w:szCs w:val="20"/>
        </w:rPr>
        <w:t>Pell v R</w:t>
      </w:r>
      <w:r w:rsidR="00152314" w:rsidRPr="00501FDB">
        <w:rPr>
          <w:rFonts w:ascii="Arial" w:hAnsi="Arial" w:cs="Arial"/>
          <w:sz w:val="20"/>
          <w:szCs w:val="20"/>
        </w:rPr>
        <w:t xml:space="preserve"> [2019] VSCA 186, [56] </w:t>
      </w:r>
      <w:r w:rsidR="00152314">
        <w:rPr>
          <w:rFonts w:ascii="Arial" w:hAnsi="Arial" w:cs="Arial"/>
          <w:sz w:val="20"/>
          <w:szCs w:val="20"/>
        </w:rPr>
        <w:t>&amp;</w:t>
      </w:r>
      <w:r w:rsidR="00152314" w:rsidRPr="00501FDB">
        <w:rPr>
          <w:rFonts w:ascii="Arial" w:hAnsi="Arial" w:cs="Arial"/>
          <w:sz w:val="20"/>
          <w:szCs w:val="20"/>
        </w:rPr>
        <w:t xml:space="preserve"> [897]</w:t>
      </w:r>
      <w:r w:rsidR="00152314">
        <w:rPr>
          <w:rFonts w:ascii="Arial" w:hAnsi="Arial" w:cs="Arial"/>
          <w:sz w:val="20"/>
          <w:szCs w:val="20"/>
        </w:rPr>
        <w:t>}</w:t>
      </w:r>
      <w:r w:rsidR="005F394E">
        <w:rPr>
          <w:rFonts w:ascii="Arial" w:hAnsi="Arial" w:cs="Arial"/>
          <w:sz w:val="20"/>
          <w:szCs w:val="20"/>
        </w:rPr>
        <w:t>,</w:t>
      </w:r>
      <w:r w:rsidR="008C5C95">
        <w:rPr>
          <w:rFonts w:ascii="Arial" w:hAnsi="Arial" w:cs="Arial"/>
          <w:sz w:val="20"/>
          <w:szCs w:val="20"/>
        </w:rPr>
        <w:t xml:space="preserve"> </w:t>
      </w:r>
      <w:r w:rsidR="00501FDB" w:rsidRPr="00501FDB">
        <w:rPr>
          <w:rFonts w:ascii="Arial" w:hAnsi="Arial" w:cs="Arial"/>
          <w:sz w:val="20"/>
          <w:szCs w:val="20"/>
        </w:rPr>
        <w:t>and fellow judges of this Court</w:t>
      </w:r>
      <w:r w:rsidR="00152314">
        <w:rPr>
          <w:rFonts w:ascii="Arial" w:hAnsi="Arial" w:cs="Arial"/>
          <w:sz w:val="20"/>
          <w:szCs w:val="20"/>
        </w:rPr>
        <w:t xml:space="preserve"> {</w:t>
      </w:r>
      <w:proofErr w:type="spellStart"/>
      <w:r w:rsidR="00152314" w:rsidRPr="00152314">
        <w:rPr>
          <w:rFonts w:ascii="Arial" w:hAnsi="Arial" w:cs="Arial"/>
          <w:i/>
          <w:iCs/>
          <w:sz w:val="20"/>
          <w:szCs w:val="20"/>
        </w:rPr>
        <w:t>Euromark</w:t>
      </w:r>
      <w:proofErr w:type="spellEnd"/>
      <w:r w:rsidR="00152314" w:rsidRPr="00152314">
        <w:rPr>
          <w:rFonts w:ascii="Arial" w:hAnsi="Arial" w:cs="Arial"/>
          <w:i/>
          <w:iCs/>
          <w:sz w:val="20"/>
          <w:szCs w:val="20"/>
        </w:rPr>
        <w:t xml:space="preserve"> &amp; Limited v Smash Enterprise Pty Ltd &amp; Ors</w:t>
      </w:r>
      <w:r w:rsidR="00152314" w:rsidRPr="00501FDB">
        <w:rPr>
          <w:rFonts w:ascii="Arial" w:hAnsi="Arial" w:cs="Arial"/>
          <w:sz w:val="20"/>
          <w:szCs w:val="20"/>
        </w:rPr>
        <w:t xml:space="preserve"> [2021] VSC 97, [41]</w:t>
      </w:r>
      <w:r w:rsidR="00152314">
        <w:rPr>
          <w:rFonts w:ascii="Arial" w:hAnsi="Arial" w:cs="Arial"/>
          <w:sz w:val="20"/>
          <w:szCs w:val="20"/>
        </w:rPr>
        <w:t>}</w:t>
      </w:r>
      <w:r w:rsidR="00501FDB" w:rsidRPr="00501FDB">
        <w:rPr>
          <w:rFonts w:ascii="Arial" w:hAnsi="Arial" w:cs="Arial"/>
          <w:sz w:val="20"/>
          <w:szCs w:val="20"/>
        </w:rPr>
        <w:t>, have also clearly identified the factors that a judge will ordinarily take into account in deciding whether the evidence of a particular witness is credible and reliable. Drawing upon the work of Sir Richard Eggleston</w:t>
      </w:r>
      <w:r>
        <w:rPr>
          <w:rFonts w:ascii="Arial" w:hAnsi="Arial" w:cs="Arial"/>
          <w:sz w:val="20"/>
          <w:szCs w:val="20"/>
        </w:rPr>
        <w:t xml:space="preserve"> </w:t>
      </w:r>
      <w:r w:rsidRPr="005F394E">
        <w:rPr>
          <w:rFonts w:ascii="Arial" w:hAnsi="Arial" w:cs="Arial"/>
          <w:i/>
          <w:iCs/>
          <w:sz w:val="20"/>
          <w:szCs w:val="20"/>
        </w:rPr>
        <w:t>Evidence, Proof</w:t>
      </w:r>
      <w:r w:rsidRPr="00B56149">
        <w:rPr>
          <w:rFonts w:ascii="Arial" w:hAnsi="Arial" w:cs="Arial"/>
          <w:i/>
          <w:iCs/>
          <w:sz w:val="20"/>
          <w:szCs w:val="20"/>
        </w:rPr>
        <w:t xml:space="preserve"> and Probability</w:t>
      </w:r>
      <w:r w:rsidRPr="00501FDB">
        <w:rPr>
          <w:rFonts w:ascii="Arial" w:hAnsi="Arial" w:cs="Arial"/>
          <w:sz w:val="20"/>
          <w:szCs w:val="20"/>
        </w:rPr>
        <w:t xml:space="preserve"> (Weidenfeld and Nicolson, 2nd ed, 1983) 192–3</w:t>
      </w:r>
      <w:r w:rsidR="00501FDB" w:rsidRPr="00501FDB">
        <w:rPr>
          <w:rFonts w:ascii="Arial" w:hAnsi="Arial" w:cs="Arial"/>
          <w:sz w:val="20"/>
          <w:szCs w:val="20"/>
        </w:rPr>
        <w:t xml:space="preserve">, </w:t>
      </w:r>
      <w:r>
        <w:rPr>
          <w:rFonts w:ascii="Arial" w:hAnsi="Arial" w:cs="Arial"/>
          <w:sz w:val="20"/>
          <w:szCs w:val="20"/>
        </w:rPr>
        <w:t xml:space="preserve">Weinberg JA in </w:t>
      </w:r>
      <w:r w:rsidR="00501FDB" w:rsidRPr="00501FDB">
        <w:rPr>
          <w:rFonts w:ascii="Arial" w:hAnsi="Arial" w:cs="Arial"/>
          <w:sz w:val="20"/>
          <w:szCs w:val="20"/>
        </w:rPr>
        <w:t xml:space="preserve">the Court of Appeal </w:t>
      </w:r>
      <w:r>
        <w:rPr>
          <w:rFonts w:ascii="Arial" w:hAnsi="Arial" w:cs="Arial"/>
          <w:sz w:val="20"/>
          <w:szCs w:val="20"/>
        </w:rPr>
        <w:t xml:space="preserve">in </w:t>
      </w:r>
      <w:r w:rsidRPr="00B56149">
        <w:rPr>
          <w:rFonts w:ascii="Arial" w:hAnsi="Arial" w:cs="Arial"/>
          <w:i/>
          <w:iCs/>
          <w:sz w:val="20"/>
          <w:szCs w:val="20"/>
        </w:rPr>
        <w:t>Pell</w:t>
      </w:r>
      <w:r>
        <w:rPr>
          <w:rFonts w:ascii="Arial" w:hAnsi="Arial" w:cs="Arial"/>
          <w:sz w:val="20"/>
          <w:szCs w:val="20"/>
        </w:rPr>
        <w:t xml:space="preserve"> at [897] </w:t>
      </w:r>
      <w:r w:rsidR="00501FDB" w:rsidRPr="00501FDB">
        <w:rPr>
          <w:rFonts w:ascii="Arial" w:hAnsi="Arial" w:cs="Arial"/>
          <w:sz w:val="20"/>
          <w:szCs w:val="20"/>
        </w:rPr>
        <w:t>has identified those factors as including:</w:t>
      </w:r>
    </w:p>
    <w:p w14:paraId="4EE8607A" w14:textId="77777777" w:rsidR="00B56149" w:rsidRPr="00B56149" w:rsidRDefault="00501FDB" w:rsidP="00B56149">
      <w:pPr>
        <w:spacing w:before="60"/>
        <w:ind w:left="1021" w:right="1021"/>
        <w:jc w:val="both"/>
        <w:rPr>
          <w:rFonts w:ascii="Arial" w:hAnsi="Arial" w:cs="Arial"/>
          <w:sz w:val="14"/>
          <w:szCs w:val="14"/>
        </w:rPr>
      </w:pPr>
      <w:r w:rsidRPr="00B56149">
        <w:rPr>
          <w:rFonts w:ascii="Arial" w:hAnsi="Arial" w:cs="Arial"/>
          <w:sz w:val="18"/>
          <w:szCs w:val="18"/>
        </w:rPr>
        <w:t xml:space="preserve"> …the inherent consistency of the witness’ account; the consistency of that account with those of other witnesses; the consistency of that account with undisputed facts; the ‘credit’ of the witness (based upon matters which include, for example, demeanour); any relevant infirmities of the witness; and, importantly, the inherent probability or improbability of the evidence in question.</w:t>
      </w:r>
    </w:p>
    <w:p w14:paraId="23B33FD0" w14:textId="5C279439" w:rsidR="00B56149" w:rsidRDefault="00B56149" w:rsidP="00B56149">
      <w:pPr>
        <w:spacing w:before="60"/>
        <w:ind w:left="567" w:right="567"/>
        <w:jc w:val="both"/>
        <w:rPr>
          <w:rFonts w:ascii="Arial" w:hAnsi="Arial" w:cs="Arial"/>
          <w:sz w:val="20"/>
          <w:szCs w:val="20"/>
        </w:rPr>
      </w:pPr>
      <w:r>
        <w:rPr>
          <w:rFonts w:ascii="Arial" w:hAnsi="Arial" w:cs="Arial"/>
          <w:sz w:val="20"/>
          <w:szCs w:val="20"/>
        </w:rPr>
        <w:t xml:space="preserve">[47] </w:t>
      </w:r>
      <w:r w:rsidRPr="00501FDB">
        <w:rPr>
          <w:rFonts w:ascii="Arial" w:hAnsi="Arial" w:cs="Arial"/>
          <w:sz w:val="20"/>
          <w:szCs w:val="20"/>
        </w:rPr>
        <w:t>Authority emphasises the importance of contemporary materials, objectively established facts and the apparent logic or probability of events</w:t>
      </w:r>
      <w:r>
        <w:rPr>
          <w:rFonts w:ascii="Arial" w:hAnsi="Arial" w:cs="Arial"/>
          <w:sz w:val="20"/>
          <w:szCs w:val="20"/>
        </w:rPr>
        <w:t xml:space="preserve">: </w:t>
      </w:r>
      <w:r w:rsidRPr="00B56149">
        <w:rPr>
          <w:rFonts w:ascii="Arial" w:hAnsi="Arial" w:cs="Arial"/>
          <w:i/>
          <w:iCs/>
          <w:sz w:val="20"/>
          <w:szCs w:val="20"/>
        </w:rPr>
        <w:t>Fox v Percy</w:t>
      </w:r>
      <w:r w:rsidRPr="00B56149">
        <w:rPr>
          <w:rFonts w:ascii="Arial" w:hAnsi="Arial" w:cs="Arial"/>
          <w:sz w:val="20"/>
          <w:szCs w:val="20"/>
        </w:rPr>
        <w:t xml:space="preserve"> (2003) 214 CLR 118, 129 [31]; [2003] HCA 22; </w:t>
      </w:r>
      <w:r w:rsidRPr="00B56149">
        <w:rPr>
          <w:rFonts w:ascii="Arial" w:hAnsi="Arial" w:cs="Arial"/>
          <w:i/>
          <w:iCs/>
          <w:sz w:val="20"/>
          <w:szCs w:val="20"/>
        </w:rPr>
        <w:t>Admiral International Pty Ltd v Insurance Australia Ltd</w:t>
      </w:r>
      <w:r w:rsidRPr="00B56149">
        <w:rPr>
          <w:rFonts w:ascii="Arial" w:hAnsi="Arial" w:cs="Arial"/>
          <w:sz w:val="20"/>
          <w:szCs w:val="20"/>
        </w:rPr>
        <w:t xml:space="preserve"> [2022] NSWCA 277, [103]; </w:t>
      </w:r>
      <w:r w:rsidRPr="00B56149">
        <w:rPr>
          <w:rFonts w:ascii="Arial" w:hAnsi="Arial" w:cs="Arial"/>
          <w:i/>
          <w:iCs/>
          <w:sz w:val="20"/>
          <w:szCs w:val="20"/>
        </w:rPr>
        <w:t>White Constructions Pty Ltd v PBS Holdings Pty Ltd</w:t>
      </w:r>
      <w:r w:rsidRPr="00B56149">
        <w:rPr>
          <w:rFonts w:ascii="Arial" w:hAnsi="Arial" w:cs="Arial"/>
          <w:sz w:val="20"/>
          <w:szCs w:val="20"/>
        </w:rPr>
        <w:t xml:space="preserve"> [2020] NSWCA 277, [106]; </w:t>
      </w:r>
      <w:r w:rsidRPr="00B56149">
        <w:rPr>
          <w:rFonts w:ascii="Arial" w:hAnsi="Arial" w:cs="Arial"/>
          <w:i/>
          <w:iCs/>
          <w:sz w:val="20"/>
          <w:szCs w:val="20"/>
        </w:rPr>
        <w:t>Hutchinson v Van Den Berg</w:t>
      </w:r>
      <w:r w:rsidRPr="00B56149">
        <w:rPr>
          <w:rFonts w:ascii="Arial" w:hAnsi="Arial" w:cs="Arial"/>
          <w:sz w:val="20"/>
          <w:szCs w:val="20"/>
        </w:rPr>
        <w:t xml:space="preserve"> [2024] SASCA 117, [39].</w:t>
      </w:r>
    </w:p>
    <w:p w14:paraId="78552850" w14:textId="38BDC40E" w:rsidR="00B56149" w:rsidRDefault="00B56149" w:rsidP="00B56149">
      <w:pPr>
        <w:spacing w:before="60"/>
        <w:ind w:left="567" w:right="567"/>
        <w:jc w:val="both"/>
        <w:rPr>
          <w:rFonts w:ascii="Arial" w:hAnsi="Arial" w:cs="Arial"/>
          <w:sz w:val="20"/>
          <w:szCs w:val="20"/>
        </w:rPr>
      </w:pPr>
      <w:r>
        <w:rPr>
          <w:rFonts w:ascii="Arial" w:hAnsi="Arial" w:cs="Arial"/>
          <w:sz w:val="20"/>
          <w:szCs w:val="20"/>
        </w:rPr>
        <w:t xml:space="preserve">[48] </w:t>
      </w:r>
      <w:r w:rsidRPr="00501FDB">
        <w:rPr>
          <w:rFonts w:ascii="Arial" w:hAnsi="Arial" w:cs="Arial"/>
          <w:sz w:val="20"/>
          <w:szCs w:val="20"/>
        </w:rPr>
        <w:t>I have adopted this approach. In assessing the credit of witnesses, I have taken into account the fact that the events in question occurred several years before the witnesses gave evidence and that the witnesses’ dealings with each other were generally conducted with a degree of informality.</w:t>
      </w:r>
    </w:p>
    <w:p w14:paraId="09DE480A" w14:textId="324E21C6" w:rsidR="00B56149" w:rsidRDefault="00B56149" w:rsidP="00B56149">
      <w:pPr>
        <w:spacing w:before="60"/>
        <w:ind w:left="567" w:right="567"/>
        <w:jc w:val="both"/>
        <w:rPr>
          <w:rFonts w:ascii="Arial" w:hAnsi="Arial" w:cs="Arial"/>
          <w:sz w:val="20"/>
          <w:szCs w:val="20"/>
        </w:rPr>
      </w:pPr>
      <w:r>
        <w:rPr>
          <w:rFonts w:ascii="Arial" w:hAnsi="Arial" w:cs="Arial"/>
          <w:sz w:val="20"/>
          <w:szCs w:val="20"/>
        </w:rPr>
        <w:t xml:space="preserve">[49] </w:t>
      </w:r>
      <w:r w:rsidRPr="00501FDB">
        <w:rPr>
          <w:rFonts w:ascii="Arial" w:hAnsi="Arial" w:cs="Arial"/>
          <w:sz w:val="20"/>
          <w:szCs w:val="20"/>
        </w:rPr>
        <w:t xml:space="preserve">As can be common in commercial cases, the closing submissions encouraged a binary assessment of a witness’s evidence as being credible and reliable, or incredible and unreliable. A binary characterisation of a witness’s evidence in this way is inapt in a case such as this. As Nichols J observed in </w:t>
      </w:r>
      <w:proofErr w:type="spellStart"/>
      <w:r w:rsidRPr="008C5C95">
        <w:rPr>
          <w:rFonts w:ascii="Arial" w:hAnsi="Arial" w:cs="Arial"/>
          <w:i/>
          <w:iCs/>
          <w:sz w:val="20"/>
          <w:szCs w:val="20"/>
        </w:rPr>
        <w:t>Coonwarra</w:t>
      </w:r>
      <w:proofErr w:type="spellEnd"/>
      <w:r w:rsidRPr="008C5C95">
        <w:rPr>
          <w:rFonts w:ascii="Arial" w:hAnsi="Arial" w:cs="Arial"/>
          <w:i/>
          <w:iCs/>
          <w:sz w:val="20"/>
          <w:szCs w:val="20"/>
        </w:rPr>
        <w:t xml:space="preserve"> Pty Ltd v </w:t>
      </w:r>
      <w:proofErr w:type="spellStart"/>
      <w:r w:rsidRPr="008C5C95">
        <w:rPr>
          <w:rFonts w:ascii="Arial" w:hAnsi="Arial" w:cs="Arial"/>
          <w:i/>
          <w:iCs/>
          <w:sz w:val="20"/>
          <w:szCs w:val="20"/>
        </w:rPr>
        <w:t>CornoNero</w:t>
      </w:r>
      <w:proofErr w:type="spellEnd"/>
      <w:r w:rsidRPr="008C5C95">
        <w:rPr>
          <w:rFonts w:ascii="Arial" w:hAnsi="Arial" w:cs="Arial"/>
          <w:i/>
          <w:iCs/>
          <w:sz w:val="20"/>
          <w:szCs w:val="20"/>
        </w:rPr>
        <w:t xml:space="preserve"> Pty Ltd</w:t>
      </w:r>
      <w:r w:rsidR="00152314">
        <w:rPr>
          <w:rFonts w:ascii="Arial" w:hAnsi="Arial" w:cs="Arial"/>
          <w:sz w:val="20"/>
          <w:szCs w:val="20"/>
        </w:rPr>
        <w:t xml:space="preserve"> </w:t>
      </w:r>
      <w:r w:rsidR="00152314" w:rsidRPr="00B56149">
        <w:rPr>
          <w:rFonts w:ascii="Arial" w:hAnsi="Arial" w:cs="Arial"/>
          <w:sz w:val="20"/>
          <w:szCs w:val="20"/>
        </w:rPr>
        <w:t>[2023] VSC 781</w:t>
      </w:r>
      <w:r w:rsidR="00152314">
        <w:rPr>
          <w:rFonts w:ascii="Arial" w:hAnsi="Arial" w:cs="Arial"/>
          <w:sz w:val="20"/>
          <w:szCs w:val="20"/>
        </w:rPr>
        <w:t xml:space="preserve"> at </w:t>
      </w:r>
      <w:r w:rsidR="00152314" w:rsidRPr="00B56149">
        <w:rPr>
          <w:rFonts w:ascii="Arial" w:hAnsi="Arial" w:cs="Arial"/>
          <w:sz w:val="20"/>
          <w:szCs w:val="20"/>
        </w:rPr>
        <w:t>[44]</w:t>
      </w:r>
      <w:r w:rsidR="00152314">
        <w:rPr>
          <w:rFonts w:ascii="Arial" w:hAnsi="Arial" w:cs="Arial"/>
          <w:sz w:val="20"/>
          <w:szCs w:val="20"/>
        </w:rPr>
        <w:t xml:space="preserve">, </w:t>
      </w:r>
      <w:r w:rsidRPr="00501FDB">
        <w:rPr>
          <w:rFonts w:ascii="Arial" w:hAnsi="Arial" w:cs="Arial"/>
          <w:sz w:val="20"/>
          <w:szCs w:val="20"/>
        </w:rPr>
        <w:t>appositely to the present context, ‘[b]</w:t>
      </w:r>
      <w:proofErr w:type="spellStart"/>
      <w:r w:rsidRPr="00501FDB">
        <w:rPr>
          <w:rFonts w:ascii="Arial" w:hAnsi="Arial" w:cs="Arial"/>
          <w:sz w:val="20"/>
          <w:szCs w:val="20"/>
        </w:rPr>
        <w:t>inary</w:t>
      </w:r>
      <w:proofErr w:type="spellEnd"/>
      <w:r w:rsidRPr="00501FDB">
        <w:rPr>
          <w:rFonts w:ascii="Arial" w:hAnsi="Arial" w:cs="Arial"/>
          <w:sz w:val="20"/>
          <w:szCs w:val="20"/>
        </w:rPr>
        <w:t xml:space="preserve"> characterisations are ill-suited to the assessment of witness evidence that address a range of inter-related subjects that traversed not only the occurrence of many events and discussions, but the witnesses’ subjective understandings of the parties’ dealings and the implications of those dealings’.</w:t>
      </w:r>
    </w:p>
    <w:p w14:paraId="32542813" w14:textId="30FA0D68" w:rsidR="00B56149" w:rsidRDefault="00B56149" w:rsidP="00B56149">
      <w:pPr>
        <w:spacing w:before="60"/>
        <w:ind w:left="567" w:right="567"/>
        <w:jc w:val="both"/>
        <w:rPr>
          <w:rFonts w:ascii="Arial" w:hAnsi="Arial" w:cs="Arial"/>
          <w:sz w:val="20"/>
          <w:szCs w:val="20"/>
        </w:rPr>
      </w:pPr>
      <w:r>
        <w:rPr>
          <w:rFonts w:ascii="Arial" w:hAnsi="Arial" w:cs="Arial"/>
          <w:sz w:val="20"/>
          <w:szCs w:val="20"/>
        </w:rPr>
        <w:t xml:space="preserve">[50] </w:t>
      </w:r>
      <w:r w:rsidRPr="00501FDB">
        <w:rPr>
          <w:rFonts w:ascii="Arial" w:hAnsi="Arial" w:cs="Arial"/>
          <w:sz w:val="20"/>
          <w:szCs w:val="20"/>
        </w:rPr>
        <w:t>On each matter in issue, I have therefore sought to make my determination by paying particular regard to the coherence of the witnesses’ evidence on that issue, its inherent reliability and its relationship with objectively ascertainable facts including the documentary record.</w:t>
      </w:r>
    </w:p>
    <w:p w14:paraId="6E0E8262" w14:textId="68EB28DB" w:rsidR="00B56149" w:rsidRDefault="00B56149" w:rsidP="00B56149">
      <w:pPr>
        <w:spacing w:before="60"/>
        <w:ind w:left="567" w:right="567"/>
        <w:jc w:val="both"/>
        <w:rPr>
          <w:rFonts w:ascii="Arial" w:hAnsi="Arial" w:cs="Arial"/>
          <w:sz w:val="20"/>
          <w:szCs w:val="20"/>
        </w:rPr>
      </w:pPr>
      <w:r>
        <w:rPr>
          <w:rFonts w:ascii="Arial" w:hAnsi="Arial" w:cs="Arial"/>
          <w:sz w:val="20"/>
          <w:szCs w:val="20"/>
        </w:rPr>
        <w:t xml:space="preserve">[51] </w:t>
      </w:r>
      <w:r w:rsidRPr="00B56149">
        <w:rPr>
          <w:rFonts w:ascii="Arial" w:hAnsi="Arial" w:cs="Arial"/>
          <w:sz w:val="20"/>
          <w:szCs w:val="20"/>
        </w:rPr>
        <w:t>Each of the witnesses presented as a person who endeavoured to tell the truth and separate their recollection from self-interested speculation. Consistently with the fact finding process I have identified, in specific instances, it has been necessary to prefer the evidence of one witness over another or reject certain evidence. In doing so, I have made the requisite assessment by reference to any documentary evidence, the clarity</w:t>
      </w:r>
      <w:r>
        <w:rPr>
          <w:rFonts w:ascii="Arial" w:hAnsi="Arial" w:cs="Arial"/>
          <w:sz w:val="20"/>
          <w:szCs w:val="20"/>
        </w:rPr>
        <w:t xml:space="preserve"> of the evidence given, the consistency of the witness’s evidence with other lay evidence and the inherent probability of the contested accounts.”</w:t>
      </w:r>
    </w:p>
    <w:p w14:paraId="5F2F3464" w14:textId="77777777" w:rsidR="00B56149" w:rsidRDefault="00B56149" w:rsidP="00AF5922">
      <w:pPr>
        <w:jc w:val="both"/>
        <w:rPr>
          <w:rFonts w:ascii="Arial" w:hAnsi="Arial" w:cs="Arial"/>
          <w:sz w:val="18"/>
          <w:szCs w:val="18"/>
        </w:rPr>
      </w:pPr>
    </w:p>
    <w:p w14:paraId="6A91A126" w14:textId="751EF120" w:rsidR="00590A7D" w:rsidRDefault="00590A7D" w:rsidP="00AF5922">
      <w:pPr>
        <w:jc w:val="both"/>
        <w:rPr>
          <w:rFonts w:ascii="Arial" w:hAnsi="Arial" w:cs="Arial"/>
          <w:sz w:val="20"/>
          <w:szCs w:val="20"/>
        </w:rPr>
      </w:pPr>
      <w:r w:rsidRPr="00590A7D">
        <w:rPr>
          <w:rFonts w:ascii="Arial" w:hAnsi="Arial" w:cs="Arial"/>
          <w:sz w:val="20"/>
          <w:szCs w:val="20"/>
        </w:rPr>
        <w:t xml:space="preserve">In </w:t>
      </w:r>
      <w:r w:rsidRPr="00FA2043">
        <w:rPr>
          <w:rFonts w:ascii="Arial" w:hAnsi="Arial" w:cs="Arial"/>
          <w:i/>
          <w:iCs/>
          <w:sz w:val="20"/>
          <w:szCs w:val="20"/>
        </w:rPr>
        <w:t>3</w:t>
      </w:r>
      <w:r>
        <w:rPr>
          <w:rFonts w:ascii="Arial" w:hAnsi="Arial" w:cs="Arial"/>
          <w:i/>
          <w:iCs/>
          <w:sz w:val="20"/>
          <w:szCs w:val="20"/>
        </w:rPr>
        <w:t> </w:t>
      </w:r>
      <w:r w:rsidRPr="00FA2043">
        <w:rPr>
          <w:rFonts w:ascii="Arial" w:hAnsi="Arial" w:cs="Arial"/>
          <w:i/>
          <w:iCs/>
          <w:sz w:val="20"/>
          <w:szCs w:val="20"/>
        </w:rPr>
        <w:t>Apples Childcare Centre Pty Ltd v MMC Pacific International Pty Ltd</w:t>
      </w:r>
      <w:r w:rsidRPr="00FA2043">
        <w:rPr>
          <w:rFonts w:ascii="Arial" w:hAnsi="Arial" w:cs="Arial"/>
          <w:sz w:val="20"/>
          <w:szCs w:val="20"/>
        </w:rPr>
        <w:t xml:space="preserve"> [2023] VSC 21</w:t>
      </w:r>
      <w:r>
        <w:rPr>
          <w:rFonts w:ascii="Arial" w:hAnsi="Arial" w:cs="Arial"/>
          <w:sz w:val="20"/>
          <w:szCs w:val="20"/>
        </w:rPr>
        <w:t xml:space="preserve"> at [143]-[145] M Osborne J said:</w:t>
      </w:r>
    </w:p>
    <w:p w14:paraId="496BBAFB" w14:textId="144C0DA7" w:rsidR="00590A7D" w:rsidRDefault="00590A7D" w:rsidP="00590A7D">
      <w:pPr>
        <w:spacing w:before="80"/>
        <w:ind w:left="567" w:right="567"/>
        <w:jc w:val="both"/>
        <w:rPr>
          <w:rFonts w:ascii="Arial" w:hAnsi="Arial" w:cs="Arial"/>
          <w:color w:val="000000"/>
          <w:sz w:val="20"/>
          <w:szCs w:val="20"/>
        </w:rPr>
      </w:pPr>
      <w:r>
        <w:rPr>
          <w:rFonts w:ascii="Arial" w:hAnsi="Arial" w:cs="Arial"/>
          <w:iCs/>
          <w:sz w:val="20"/>
        </w:rPr>
        <w:t>[143] “</w:t>
      </w:r>
      <w:r w:rsidRPr="00590A7D">
        <w:rPr>
          <w:rFonts w:ascii="Arial" w:hAnsi="Arial" w:cs="Arial"/>
          <w:color w:val="000000"/>
          <w:sz w:val="20"/>
          <w:szCs w:val="20"/>
        </w:rPr>
        <w:t>Even if I were to accept that Lucy’s account of the events on that day could be accurately characterised as clear and vivid, which I do not, for reasons adverted to below, the submission proceeds on the premise that a purported independent actual recollection is a more reliable account of events than a recollection assisted by or arrived at following a consideration of objective surrounding material.</w:t>
      </w:r>
    </w:p>
    <w:p w14:paraId="44F10534" w14:textId="6FCD75DD" w:rsidR="00590A7D" w:rsidRPr="00590A7D" w:rsidRDefault="00590A7D" w:rsidP="00590A7D">
      <w:pPr>
        <w:spacing w:before="80"/>
        <w:ind w:left="567" w:right="567"/>
        <w:jc w:val="both"/>
        <w:rPr>
          <w:rFonts w:ascii="Arial" w:hAnsi="Arial" w:cs="Arial"/>
          <w:color w:val="000000"/>
          <w:sz w:val="20"/>
          <w:szCs w:val="20"/>
        </w:rPr>
      </w:pPr>
      <w:r>
        <w:rPr>
          <w:rFonts w:ascii="Arial" w:hAnsi="Arial" w:cs="Arial"/>
          <w:color w:val="000000"/>
          <w:sz w:val="20"/>
          <w:szCs w:val="20"/>
        </w:rPr>
        <w:t>[144] I</w:t>
      </w:r>
      <w:r w:rsidRPr="00590A7D">
        <w:rPr>
          <w:rFonts w:ascii="Arial" w:hAnsi="Arial" w:cs="Arial"/>
          <w:color w:val="000000"/>
          <w:sz w:val="20"/>
          <w:szCs w:val="20"/>
        </w:rPr>
        <w:t>n my view, such an approach to the consideration of competing evidence is unsafe. The more appropriate course in evaluating competing evidence is ‘to place primary emphasis on the objective factual surrounding material and the inherent commercial probabilities, together with the documentation tendered in evidence’</w:t>
      </w:r>
      <w:r>
        <w:rPr>
          <w:rFonts w:ascii="Arial" w:hAnsi="Arial" w:cs="Arial"/>
          <w:color w:val="000000"/>
          <w:sz w:val="20"/>
          <w:szCs w:val="20"/>
        </w:rPr>
        <w:t xml:space="preserve"> {</w:t>
      </w:r>
      <w:r w:rsidRPr="00590A7D">
        <w:rPr>
          <w:rFonts w:ascii="Arial" w:hAnsi="Arial" w:cs="Arial"/>
          <w:i/>
          <w:iCs/>
          <w:color w:val="000000"/>
          <w:sz w:val="20"/>
          <w:szCs w:val="20"/>
        </w:rPr>
        <w:t>Effem Foods Pty Ltd v Lake Cumbeline Pty Ltd</w:t>
      </w:r>
      <w:r w:rsidRPr="00590A7D">
        <w:rPr>
          <w:rFonts w:ascii="Arial" w:hAnsi="Arial" w:cs="Arial"/>
          <w:color w:val="000000"/>
          <w:sz w:val="20"/>
          <w:szCs w:val="20"/>
        </w:rPr>
        <w:t> (1999) 161 ALR 599, [15]-[16], upholding the approach of Tamberlin J in the Federal Court of Australia, in </w:t>
      </w:r>
      <w:r w:rsidRPr="00590A7D">
        <w:rPr>
          <w:rFonts w:ascii="Arial" w:hAnsi="Arial" w:cs="Arial"/>
          <w:i/>
          <w:iCs/>
          <w:color w:val="000000"/>
          <w:sz w:val="20"/>
          <w:szCs w:val="20"/>
        </w:rPr>
        <w:t>Lake Cumbeline Pty Ltd v Effem Foods Pty Ltd (trading as Uncle Ben’s of Australia) </w:t>
      </w:r>
      <w:r w:rsidRPr="00590A7D">
        <w:rPr>
          <w:rFonts w:ascii="Arial" w:hAnsi="Arial" w:cs="Arial"/>
          <w:color w:val="000000"/>
          <w:sz w:val="20"/>
          <w:szCs w:val="20"/>
        </w:rPr>
        <w:t>(Federal Court of Australia, Tamberlin J, 29 June 1995) 122-3</w:t>
      </w:r>
      <w:r>
        <w:rPr>
          <w:rFonts w:ascii="Arial" w:hAnsi="Arial" w:cs="Arial"/>
          <w:color w:val="000000"/>
          <w:sz w:val="20"/>
          <w:szCs w:val="20"/>
        </w:rPr>
        <w:t>)} and make</w:t>
      </w:r>
      <w:r w:rsidRPr="00590A7D">
        <w:rPr>
          <w:rFonts w:ascii="Arial" w:hAnsi="Arial" w:cs="Arial"/>
          <w:color w:val="000000"/>
          <w:sz w:val="20"/>
          <w:szCs w:val="20"/>
        </w:rPr>
        <w:t xml:space="preserve"> ‘inferences drawn from the documentary evidence and known or probable facts’</w:t>
      </w:r>
      <w:r>
        <w:rPr>
          <w:rFonts w:ascii="Arial" w:hAnsi="Arial" w:cs="Arial"/>
          <w:color w:val="000000"/>
          <w:sz w:val="20"/>
          <w:szCs w:val="20"/>
        </w:rPr>
        <w:t xml:space="preserve"> {</w:t>
      </w:r>
      <w:r w:rsidRPr="00590A7D">
        <w:rPr>
          <w:rFonts w:ascii="Arial" w:hAnsi="Arial" w:cs="Arial"/>
          <w:i/>
          <w:iCs/>
          <w:color w:val="000000"/>
          <w:sz w:val="20"/>
          <w:szCs w:val="20"/>
        </w:rPr>
        <w:t>Gestmin SGPS SA v Credit Suisse (UK) Ltd </w:t>
      </w:r>
      <w:r w:rsidRPr="00590A7D">
        <w:rPr>
          <w:rFonts w:ascii="Arial" w:hAnsi="Arial" w:cs="Arial"/>
          <w:color w:val="000000"/>
          <w:sz w:val="20"/>
          <w:szCs w:val="20"/>
        </w:rPr>
        <w:t>[2013] EWHC 3560 (Comm), [22]</w:t>
      </w:r>
      <w:r>
        <w:rPr>
          <w:rFonts w:ascii="Arial" w:hAnsi="Arial" w:cs="Arial"/>
          <w:color w:val="000000"/>
          <w:sz w:val="20"/>
          <w:szCs w:val="20"/>
        </w:rPr>
        <w:t>; s</w:t>
      </w:r>
      <w:r w:rsidRPr="00590A7D">
        <w:rPr>
          <w:rFonts w:ascii="Arial" w:hAnsi="Arial" w:cs="Arial"/>
          <w:color w:val="000000"/>
          <w:sz w:val="20"/>
          <w:szCs w:val="20"/>
        </w:rPr>
        <w:t>ee also </w:t>
      </w:r>
      <w:r w:rsidRPr="00590A7D">
        <w:rPr>
          <w:rFonts w:ascii="Arial" w:hAnsi="Arial" w:cs="Arial"/>
          <w:i/>
          <w:iCs/>
          <w:color w:val="000000"/>
          <w:sz w:val="20"/>
          <w:szCs w:val="20"/>
        </w:rPr>
        <w:t>Camden v McKenzie</w:t>
      </w:r>
      <w:r w:rsidRPr="00590A7D">
        <w:rPr>
          <w:rFonts w:ascii="Arial" w:hAnsi="Arial" w:cs="Arial"/>
          <w:color w:val="000000"/>
          <w:sz w:val="20"/>
          <w:szCs w:val="20"/>
        </w:rPr>
        <w:t> [2008] 1 Qd R 39, 48 [34] (‘[u]sually, the rational resolution of an issue involving the credibility of witnesses will require reference to, and analysis of, any evidence independent of the parties which is apt to cast light on the probabilities of the situation.’)</w:t>
      </w:r>
      <w:r>
        <w:rPr>
          <w:rFonts w:ascii="Arial" w:hAnsi="Arial" w:cs="Arial"/>
          <w:color w:val="000000"/>
          <w:sz w:val="20"/>
          <w:szCs w:val="20"/>
        </w:rPr>
        <w:t xml:space="preserve">}. </w:t>
      </w:r>
      <w:r w:rsidRPr="00590A7D">
        <w:rPr>
          <w:rFonts w:ascii="Arial" w:hAnsi="Arial" w:cs="Arial"/>
          <w:color w:val="000000"/>
          <w:sz w:val="20"/>
          <w:szCs w:val="20"/>
        </w:rPr>
        <w:t xml:space="preserve"> Such a preference in approach has been stated on many </w:t>
      </w:r>
      <w:r w:rsidRPr="00590A7D">
        <w:rPr>
          <w:rFonts w:ascii="Arial" w:hAnsi="Arial" w:cs="Arial"/>
          <w:color w:val="000000"/>
          <w:sz w:val="20"/>
          <w:szCs w:val="20"/>
        </w:rPr>
        <w:lastRenderedPageBreak/>
        <w:t>occasions in various judgments of a weighty nature among them that of Lord Goff in </w:t>
      </w:r>
      <w:r w:rsidRPr="00590A7D">
        <w:rPr>
          <w:rFonts w:ascii="Arial" w:hAnsi="Arial" w:cs="Arial"/>
          <w:i/>
          <w:iCs/>
          <w:color w:val="000000"/>
          <w:sz w:val="20"/>
          <w:szCs w:val="20"/>
        </w:rPr>
        <w:t>Grace Shipping Inc v C F Sharp &amp; Co (Malaya) Pte Ltd</w:t>
      </w:r>
      <w:r w:rsidR="005452C5">
        <w:rPr>
          <w:rFonts w:ascii="Arial" w:hAnsi="Arial" w:cs="Arial"/>
          <w:i/>
          <w:iCs/>
          <w:color w:val="000000"/>
          <w:sz w:val="20"/>
          <w:szCs w:val="20"/>
        </w:rPr>
        <w:t xml:space="preserve"> </w:t>
      </w:r>
      <w:r w:rsidR="005452C5">
        <w:rPr>
          <w:rFonts w:ascii="Arial" w:hAnsi="Arial" w:cs="Arial"/>
          <w:color w:val="000000"/>
          <w:sz w:val="20"/>
          <w:szCs w:val="20"/>
        </w:rPr>
        <w:t xml:space="preserve">(1987) 1 Lloyds Rep 207, 215-216 </w:t>
      </w:r>
      <w:r w:rsidRPr="00590A7D">
        <w:rPr>
          <w:rFonts w:ascii="Arial" w:hAnsi="Arial" w:cs="Arial"/>
          <w:color w:val="000000"/>
          <w:sz w:val="20"/>
          <w:szCs w:val="20"/>
        </w:rPr>
        <w:t>where in delivering the judgment of the Privy Council, His Lordship endorsed an earlier passage from the House of Lords in </w:t>
      </w:r>
      <w:r w:rsidRPr="00590A7D">
        <w:rPr>
          <w:rFonts w:ascii="Arial" w:hAnsi="Arial" w:cs="Arial"/>
          <w:i/>
          <w:iCs/>
          <w:color w:val="000000"/>
          <w:sz w:val="20"/>
          <w:szCs w:val="20"/>
        </w:rPr>
        <w:t>Armagas Ltd v Mundogas SA (the Ocean Frost)</w:t>
      </w:r>
      <w:r w:rsidR="005452C5" w:rsidRPr="005452C5">
        <w:rPr>
          <w:rFonts w:ascii="Arial" w:hAnsi="Arial" w:cs="Arial"/>
          <w:color w:val="000000"/>
          <w:sz w:val="20"/>
          <w:szCs w:val="20"/>
        </w:rPr>
        <w:t xml:space="preserve"> (1985) 1 Lloyds Rep 1, 57</w:t>
      </w:r>
      <w:r w:rsidRPr="00590A7D">
        <w:rPr>
          <w:rFonts w:ascii="Arial" w:hAnsi="Arial" w:cs="Arial"/>
          <w:color w:val="000000"/>
          <w:sz w:val="20"/>
          <w:szCs w:val="20"/>
        </w:rPr>
        <w:t>:</w:t>
      </w:r>
    </w:p>
    <w:p w14:paraId="6D616372" w14:textId="77777777" w:rsidR="00590A7D" w:rsidRPr="00590A7D" w:rsidRDefault="00590A7D" w:rsidP="00590A7D">
      <w:pPr>
        <w:pStyle w:val="NormalWeb"/>
        <w:shd w:val="clear" w:color="auto" w:fill="FFFFFF"/>
        <w:spacing w:before="60" w:beforeAutospacing="0" w:after="0" w:afterAutospacing="0"/>
        <w:ind w:left="1021" w:right="1021"/>
        <w:jc w:val="both"/>
        <w:rPr>
          <w:rFonts w:ascii="Arial" w:hAnsi="Arial" w:cs="Arial"/>
          <w:sz w:val="18"/>
          <w:szCs w:val="18"/>
        </w:rPr>
      </w:pPr>
      <w:r w:rsidRPr="00590A7D">
        <w:rPr>
          <w:rFonts w:ascii="Arial" w:hAnsi="Arial" w:cs="Arial"/>
          <w:sz w:val="18"/>
          <w:szCs w:val="18"/>
        </w:rPr>
        <w:t>Speaking from my own experience, I have found it essential in cases of fraud, when considering the credibility of witnesses, always to test their veracity by reference to the objective facts proved independently of their testimony, in particular by reference to the documents in the case, and also to pay particular regard to their motives and to the overall probabilities.  It is frequently very difficult to tell whether a witness is telling the truth or not; and where there is a conflict of evidence such as there was in the present case, reference to the objective facts and documents, to the witness’s motives, and to the overall probabilities, can be of very great assistance to a judge in ascertaining the truth …</w:t>
      </w:r>
    </w:p>
    <w:p w14:paraId="4C30F829" w14:textId="77777777" w:rsidR="00590A7D" w:rsidRPr="00590A7D" w:rsidRDefault="00590A7D" w:rsidP="00590A7D">
      <w:pPr>
        <w:pStyle w:val="NormalWeb"/>
        <w:shd w:val="clear" w:color="auto" w:fill="FFFFFF"/>
        <w:spacing w:before="60" w:beforeAutospacing="0" w:after="0" w:afterAutospacing="0"/>
        <w:ind w:left="1021" w:right="1021"/>
        <w:jc w:val="both"/>
        <w:rPr>
          <w:rFonts w:ascii="Arial" w:hAnsi="Arial" w:cs="Arial"/>
          <w:sz w:val="18"/>
          <w:szCs w:val="18"/>
        </w:rPr>
      </w:pPr>
      <w:r w:rsidRPr="00590A7D">
        <w:rPr>
          <w:rFonts w:ascii="Arial" w:hAnsi="Arial" w:cs="Arial"/>
          <w:sz w:val="18"/>
          <w:szCs w:val="18"/>
        </w:rPr>
        <w:t>That observation is, in their Lordships’ opinion, equally apposite in a case where the evidence of the witnesses is likely to be unreliable; and it is to be remembered that in commercial cases, such as the present, there is usually a substantial body of contemporary documentary evidence.</w:t>
      </w:r>
    </w:p>
    <w:p w14:paraId="0738B55C" w14:textId="74F28F21" w:rsidR="005452C5" w:rsidRDefault="005452C5" w:rsidP="005452C5">
      <w:pPr>
        <w:spacing w:before="80"/>
        <w:ind w:left="567" w:right="567"/>
        <w:jc w:val="both"/>
        <w:rPr>
          <w:rFonts w:ascii="Arial" w:hAnsi="Arial" w:cs="Arial"/>
          <w:color w:val="000000"/>
          <w:sz w:val="20"/>
          <w:szCs w:val="20"/>
        </w:rPr>
      </w:pPr>
      <w:r>
        <w:rPr>
          <w:rFonts w:ascii="Arial" w:hAnsi="Arial" w:cs="Arial"/>
          <w:color w:val="000000"/>
          <w:sz w:val="20"/>
          <w:szCs w:val="20"/>
        </w:rPr>
        <w:t xml:space="preserve">[145] </w:t>
      </w:r>
      <w:r w:rsidR="00590A7D" w:rsidRPr="00590A7D">
        <w:rPr>
          <w:rFonts w:ascii="Arial" w:hAnsi="Arial" w:cs="Arial"/>
          <w:color w:val="000000"/>
          <w:sz w:val="20"/>
          <w:szCs w:val="20"/>
        </w:rPr>
        <w:t>Closer to home in</w:t>
      </w:r>
      <w:r w:rsidR="00EE7F79">
        <w:rPr>
          <w:rFonts w:ascii="Arial" w:hAnsi="Arial" w:cs="Arial"/>
          <w:color w:val="000000"/>
          <w:sz w:val="20"/>
          <w:szCs w:val="20"/>
        </w:rPr>
        <w:t xml:space="preserve"> </w:t>
      </w:r>
      <w:r w:rsidR="00590A7D" w:rsidRPr="00EE7F79">
        <w:rPr>
          <w:rFonts w:ascii="Arial" w:hAnsi="Arial" w:cs="Arial"/>
          <w:i/>
          <w:iCs/>
          <w:color w:val="000000"/>
          <w:sz w:val="20"/>
          <w:szCs w:val="20"/>
        </w:rPr>
        <w:t>Fox v Percy</w:t>
      </w:r>
      <w:r w:rsidR="00EE7F79">
        <w:rPr>
          <w:rFonts w:ascii="Arial" w:hAnsi="Arial" w:cs="Arial"/>
          <w:color w:val="000000"/>
          <w:sz w:val="20"/>
          <w:szCs w:val="20"/>
        </w:rPr>
        <w:t xml:space="preserve"> </w:t>
      </w:r>
      <w:r w:rsidR="000B1261">
        <w:rPr>
          <w:rFonts w:ascii="Arial" w:hAnsi="Arial" w:cs="Arial"/>
          <w:color w:val="000000"/>
          <w:sz w:val="20"/>
          <w:szCs w:val="20"/>
        </w:rPr>
        <w:t xml:space="preserve">(2003) 214 CLR 118, 129 [30] </w:t>
      </w:r>
      <w:r w:rsidR="00590A7D" w:rsidRPr="00590A7D">
        <w:rPr>
          <w:rFonts w:ascii="Arial" w:hAnsi="Arial" w:cs="Arial"/>
          <w:color w:val="000000"/>
          <w:sz w:val="20"/>
          <w:szCs w:val="20"/>
        </w:rPr>
        <w:t>the High Court of Australia cautioned against the dangers of drawing conclusions about truthfulness or reliability solely by reference to the appearance of witnesses, reciting an observation of Atkin LJ</w:t>
      </w:r>
      <w:r>
        <w:rPr>
          <w:rFonts w:ascii="Arial" w:hAnsi="Arial" w:cs="Arial"/>
          <w:color w:val="000000"/>
          <w:sz w:val="20"/>
          <w:szCs w:val="20"/>
        </w:rPr>
        <w:t xml:space="preserve"> in </w:t>
      </w:r>
      <w:r w:rsidRPr="00590A7D">
        <w:rPr>
          <w:rFonts w:ascii="Arial" w:hAnsi="Arial" w:cs="Arial"/>
          <w:i/>
          <w:iCs/>
          <w:color w:val="000000"/>
          <w:sz w:val="20"/>
          <w:szCs w:val="20"/>
        </w:rPr>
        <w:t>Société d’Avances Commerciales (Société Anonyme Egyptienne) v Merchants’ Marine Insurance Co (The Palitana)</w:t>
      </w:r>
      <w:r w:rsidRPr="00590A7D">
        <w:rPr>
          <w:rFonts w:ascii="Arial" w:hAnsi="Arial" w:cs="Arial"/>
          <w:color w:val="000000"/>
          <w:sz w:val="20"/>
          <w:szCs w:val="20"/>
        </w:rPr>
        <w:t> (1924) 20 LI L Rep 140, 152</w:t>
      </w:r>
      <w:r w:rsidR="000B1261">
        <w:rPr>
          <w:rFonts w:ascii="Arial" w:hAnsi="Arial" w:cs="Arial"/>
          <w:color w:val="000000"/>
          <w:sz w:val="20"/>
          <w:szCs w:val="20"/>
        </w:rPr>
        <w:t>:</w:t>
      </w:r>
    </w:p>
    <w:p w14:paraId="6BD7C288" w14:textId="2FB8AF80" w:rsidR="000B1261" w:rsidRPr="000B1261" w:rsidRDefault="000B1261" w:rsidP="000B1261">
      <w:pPr>
        <w:pStyle w:val="NormalWeb"/>
        <w:shd w:val="clear" w:color="auto" w:fill="FFFFFF"/>
        <w:spacing w:before="60" w:beforeAutospacing="0" w:after="0" w:afterAutospacing="0"/>
        <w:ind w:left="1021" w:right="1021"/>
        <w:jc w:val="both"/>
        <w:rPr>
          <w:rFonts w:ascii="Arial" w:hAnsi="Arial" w:cs="Arial"/>
          <w:sz w:val="16"/>
          <w:szCs w:val="16"/>
        </w:rPr>
      </w:pPr>
      <w:r w:rsidRPr="000B1261">
        <w:rPr>
          <w:rFonts w:ascii="Arial" w:hAnsi="Arial" w:cs="Arial"/>
          <w:sz w:val="18"/>
          <w:szCs w:val="18"/>
        </w:rPr>
        <w:t>I think tha</w:t>
      </w:r>
      <w:r w:rsidR="00EE7F79">
        <w:rPr>
          <w:rFonts w:ascii="Arial" w:hAnsi="Arial" w:cs="Arial"/>
          <w:sz w:val="18"/>
          <w:szCs w:val="18"/>
        </w:rPr>
        <w:t>t</w:t>
      </w:r>
      <w:r w:rsidRPr="000B1261">
        <w:rPr>
          <w:rFonts w:ascii="Arial" w:hAnsi="Arial" w:cs="Arial"/>
          <w:sz w:val="18"/>
          <w:szCs w:val="18"/>
        </w:rPr>
        <w:t xml:space="preserve"> an ounce of intrinsic merit or demerit in the evidence, that is to say, the value of the comparison of evidence with known facts, is worth pounds of demeanour.”</w:t>
      </w:r>
    </w:p>
    <w:p w14:paraId="780F7EB2" w14:textId="77777777" w:rsidR="005452C5" w:rsidRDefault="005452C5" w:rsidP="000B2B0E">
      <w:pPr>
        <w:ind w:right="567"/>
        <w:jc w:val="both"/>
        <w:rPr>
          <w:rFonts w:ascii="Arial" w:hAnsi="Arial" w:cs="Arial"/>
          <w:color w:val="000000"/>
          <w:sz w:val="20"/>
          <w:szCs w:val="20"/>
        </w:rPr>
      </w:pPr>
    </w:p>
    <w:p w14:paraId="1D8139AB" w14:textId="0B1DE5E2" w:rsidR="00A45E2E" w:rsidRDefault="00A45E2E" w:rsidP="00A45E2E">
      <w:pPr>
        <w:jc w:val="both"/>
        <w:rPr>
          <w:rFonts w:ascii="Arial" w:hAnsi="Arial" w:cs="Arial"/>
          <w:color w:val="000000"/>
          <w:sz w:val="20"/>
          <w:szCs w:val="20"/>
        </w:rPr>
      </w:pPr>
      <w:r>
        <w:rPr>
          <w:rFonts w:ascii="Arial" w:hAnsi="Arial" w:cs="Arial"/>
          <w:color w:val="000000"/>
          <w:sz w:val="20"/>
          <w:szCs w:val="20"/>
        </w:rPr>
        <w:t xml:space="preserve">In </w:t>
      </w:r>
      <w:r w:rsidRPr="001975EB">
        <w:rPr>
          <w:rFonts w:ascii="Arial" w:hAnsi="Arial" w:cs="Arial"/>
          <w:i/>
          <w:iCs/>
          <w:color w:val="000000"/>
          <w:sz w:val="20"/>
          <w:szCs w:val="20"/>
        </w:rPr>
        <w:t>Gliddon v Latham Professional Services Company Pty Ltd &amp; Ors</w:t>
      </w:r>
      <w:r>
        <w:rPr>
          <w:rFonts w:ascii="Arial" w:hAnsi="Arial" w:cs="Arial"/>
          <w:color w:val="000000"/>
          <w:sz w:val="20"/>
          <w:szCs w:val="20"/>
        </w:rPr>
        <w:t xml:space="preserve"> [2026] VSC 338 – </w:t>
      </w:r>
      <w:r w:rsidR="006F03B9">
        <w:rPr>
          <w:rFonts w:ascii="Arial" w:hAnsi="Arial" w:cs="Arial"/>
          <w:color w:val="000000"/>
          <w:sz w:val="20"/>
          <w:szCs w:val="20"/>
        </w:rPr>
        <w:t>in preferring the evidence of Dr Latham to that of Dr Gliddon – Croft J said at [13</w:t>
      </w:r>
      <w:r w:rsidR="00001F15">
        <w:rPr>
          <w:rFonts w:ascii="Arial" w:hAnsi="Arial" w:cs="Arial"/>
          <w:color w:val="000000"/>
          <w:sz w:val="20"/>
          <w:szCs w:val="20"/>
        </w:rPr>
        <w:t>0</w:t>
      </w:r>
      <w:r w:rsidR="006F03B9">
        <w:rPr>
          <w:rFonts w:ascii="Arial" w:hAnsi="Arial" w:cs="Arial"/>
          <w:color w:val="000000"/>
          <w:sz w:val="20"/>
          <w:szCs w:val="20"/>
        </w:rPr>
        <w:t xml:space="preserve">]-[132] under the heading </w:t>
      </w:r>
      <w:r>
        <w:rPr>
          <w:rFonts w:ascii="Arial" w:hAnsi="Arial" w:cs="Arial"/>
          <w:color w:val="000000"/>
          <w:sz w:val="20"/>
          <w:szCs w:val="20"/>
        </w:rPr>
        <w:t>“</w:t>
      </w:r>
      <w:r w:rsidRPr="00A45E2E">
        <w:rPr>
          <w:rFonts w:ascii="Arial" w:hAnsi="Arial" w:cs="Arial"/>
          <w:b/>
          <w:bCs/>
          <w:color w:val="000000"/>
          <w:sz w:val="20"/>
          <w:szCs w:val="20"/>
        </w:rPr>
        <w:t>Evidence,</w:t>
      </w:r>
      <w:r w:rsidR="003E4612" w:rsidRPr="00401D67">
        <w:rPr>
          <w:rFonts w:ascii="Arial" w:hAnsi="Arial" w:cs="Arial"/>
          <w:b/>
          <w:bCs/>
          <w:color w:val="FFFFFF" w:themeColor="background1"/>
          <w:sz w:val="20"/>
          <w:szCs w:val="20"/>
        </w:rPr>
        <w:t> </w:t>
      </w:r>
      <w:r w:rsidRPr="00A45E2E">
        <w:rPr>
          <w:rFonts w:ascii="Arial" w:hAnsi="Arial" w:cs="Arial"/>
          <w:b/>
          <w:bCs/>
          <w:color w:val="000000"/>
          <w:sz w:val="20"/>
          <w:szCs w:val="20"/>
        </w:rPr>
        <w:t>memory, contemporaneous documents and credibility</w:t>
      </w:r>
      <w:r>
        <w:rPr>
          <w:rFonts w:ascii="Arial" w:hAnsi="Arial" w:cs="Arial"/>
          <w:color w:val="000000"/>
          <w:sz w:val="20"/>
          <w:szCs w:val="20"/>
        </w:rPr>
        <w:t>”:</w:t>
      </w:r>
    </w:p>
    <w:p w14:paraId="64369173" w14:textId="3A9C765A" w:rsidR="00001F15" w:rsidRDefault="00001F15" w:rsidP="00001F15">
      <w:pPr>
        <w:spacing w:before="80"/>
        <w:ind w:left="284" w:right="284"/>
        <w:jc w:val="both"/>
        <w:rPr>
          <w:rFonts w:ascii="Arial" w:hAnsi="Arial" w:cs="Arial"/>
          <w:color w:val="000000"/>
          <w:sz w:val="20"/>
          <w:szCs w:val="20"/>
        </w:rPr>
      </w:pPr>
      <w:r>
        <w:rPr>
          <w:rFonts w:ascii="Arial" w:hAnsi="Arial" w:cs="Arial"/>
          <w:color w:val="000000"/>
          <w:sz w:val="20"/>
          <w:szCs w:val="20"/>
        </w:rPr>
        <w:t>[130] “</w:t>
      </w:r>
      <w:r w:rsidRPr="00001F15">
        <w:rPr>
          <w:rFonts w:ascii="Arial" w:hAnsi="Arial" w:cs="Arial"/>
          <w:color w:val="000000"/>
          <w:sz w:val="20"/>
          <w:szCs w:val="20"/>
        </w:rPr>
        <w:t>This is a case where the surrounding circumstances with respect to the parties’ arrangement must be taken into consideration, given their agreement was not express and contained within a written document. On this basis, it is necessary to make some observations about the evidence in the proceeding, including the documentary and oral evidence, and its limitations.</w:t>
      </w:r>
    </w:p>
    <w:p w14:paraId="6E7EC448" w14:textId="552FF3AC" w:rsidR="00A45E2E" w:rsidRDefault="00A45E2E" w:rsidP="00001F15">
      <w:pPr>
        <w:spacing w:before="80"/>
        <w:ind w:left="284" w:right="284"/>
        <w:jc w:val="both"/>
        <w:rPr>
          <w:rFonts w:ascii="Arial" w:hAnsi="Arial" w:cs="Arial"/>
          <w:color w:val="000000"/>
          <w:sz w:val="20"/>
          <w:szCs w:val="20"/>
        </w:rPr>
      </w:pPr>
      <w:r>
        <w:rPr>
          <w:rFonts w:ascii="Arial" w:hAnsi="Arial" w:cs="Arial"/>
          <w:color w:val="000000"/>
          <w:sz w:val="20"/>
          <w:szCs w:val="20"/>
        </w:rPr>
        <w:t xml:space="preserve">[131] </w:t>
      </w:r>
      <w:r w:rsidRPr="00A45E2E">
        <w:rPr>
          <w:rFonts w:ascii="Arial" w:hAnsi="Arial" w:cs="Arial"/>
          <w:color w:val="000000"/>
          <w:sz w:val="20"/>
          <w:szCs w:val="20"/>
        </w:rPr>
        <w:t xml:space="preserve">In the recent decision of </w:t>
      </w:r>
      <w:proofErr w:type="spellStart"/>
      <w:r w:rsidRPr="00A45E2E">
        <w:rPr>
          <w:rFonts w:ascii="Arial" w:hAnsi="Arial" w:cs="Arial"/>
          <w:i/>
          <w:iCs/>
          <w:color w:val="000000"/>
          <w:sz w:val="20"/>
          <w:szCs w:val="20"/>
        </w:rPr>
        <w:t>Monland</w:t>
      </w:r>
      <w:proofErr w:type="spellEnd"/>
      <w:r w:rsidRPr="00A45E2E">
        <w:rPr>
          <w:rFonts w:ascii="Arial" w:hAnsi="Arial" w:cs="Arial"/>
          <w:i/>
          <w:iCs/>
          <w:color w:val="000000"/>
          <w:sz w:val="20"/>
          <w:szCs w:val="20"/>
        </w:rPr>
        <w:t xml:space="preserve"> Pty Ltd v Oman</w:t>
      </w:r>
      <w:r w:rsidRPr="00A45E2E">
        <w:rPr>
          <w:rFonts w:ascii="Arial" w:hAnsi="Arial" w:cs="Arial"/>
          <w:color w:val="000000"/>
          <w:sz w:val="20"/>
          <w:szCs w:val="20"/>
        </w:rPr>
        <w:t xml:space="preserve"> </w:t>
      </w:r>
      <w:r>
        <w:rPr>
          <w:rFonts w:ascii="Arial" w:hAnsi="Arial" w:cs="Arial"/>
          <w:color w:val="000000"/>
          <w:sz w:val="20"/>
          <w:szCs w:val="20"/>
        </w:rPr>
        <w:t>[2026] VSC 240</w:t>
      </w:r>
      <w:r w:rsidR="003A3469">
        <w:rPr>
          <w:rFonts w:ascii="Arial" w:hAnsi="Arial" w:cs="Arial"/>
          <w:color w:val="000000"/>
          <w:sz w:val="20"/>
          <w:szCs w:val="20"/>
        </w:rPr>
        <w:t xml:space="preserve"> </w:t>
      </w:r>
      <w:r w:rsidRPr="00A45E2E">
        <w:rPr>
          <w:rFonts w:ascii="Arial" w:hAnsi="Arial" w:cs="Arial"/>
          <w:color w:val="000000"/>
          <w:sz w:val="20"/>
          <w:szCs w:val="20"/>
        </w:rPr>
        <w:t xml:space="preserve">Waller J discussed in detail </w:t>
      </w:r>
      <w:r>
        <w:rPr>
          <w:rFonts w:ascii="Arial" w:hAnsi="Arial" w:cs="Arial"/>
          <w:color w:val="000000"/>
          <w:sz w:val="20"/>
          <w:szCs w:val="20"/>
        </w:rPr>
        <w:t xml:space="preserve">at [106]-[119] </w:t>
      </w:r>
      <w:r w:rsidRPr="00A45E2E">
        <w:rPr>
          <w:rFonts w:ascii="Arial" w:hAnsi="Arial" w:cs="Arial"/>
          <w:color w:val="000000"/>
          <w:sz w:val="20"/>
          <w:szCs w:val="20"/>
        </w:rPr>
        <w:t>the impact of the human memory on oral evidence. It is worthwhile setting out Waller J’s remarks in full, in light of the competing oral evidence of Dr Gliddon and Dr Latham:</w:t>
      </w:r>
    </w:p>
    <w:p w14:paraId="1A9C529A" w14:textId="605DA545" w:rsidR="00A45E2E" w:rsidRPr="00A45E2E" w:rsidRDefault="00A45E2E" w:rsidP="00A45E2E">
      <w:pPr>
        <w:pStyle w:val="NormalWeb"/>
        <w:shd w:val="clear" w:color="auto" w:fill="FFFFFF"/>
        <w:spacing w:before="60" w:beforeAutospacing="0" w:after="0" w:afterAutospacing="0"/>
        <w:ind w:left="1021" w:right="1021"/>
        <w:jc w:val="both"/>
        <w:rPr>
          <w:rFonts w:ascii="Arial" w:hAnsi="Arial" w:cs="Arial"/>
          <w:b/>
          <w:bCs/>
          <w:i/>
          <w:iCs/>
          <w:sz w:val="14"/>
          <w:szCs w:val="14"/>
        </w:rPr>
      </w:pPr>
      <w:r w:rsidRPr="00A45E2E">
        <w:rPr>
          <w:rFonts w:ascii="Arial" w:hAnsi="Arial" w:cs="Arial"/>
          <w:b/>
          <w:bCs/>
          <w:i/>
          <w:iCs/>
          <w:sz w:val="18"/>
          <w:szCs w:val="18"/>
        </w:rPr>
        <w:t>The fallibility of memory</w:t>
      </w:r>
    </w:p>
    <w:p w14:paraId="65409FC5" w14:textId="13C334A2" w:rsidR="00A45E2E" w:rsidRDefault="00001F15" w:rsidP="001975EB">
      <w:pPr>
        <w:spacing w:before="60"/>
        <w:ind w:left="567" w:right="567"/>
        <w:jc w:val="both"/>
        <w:rPr>
          <w:rFonts w:ascii="Arial" w:hAnsi="Arial" w:cs="Arial"/>
          <w:color w:val="000000"/>
          <w:sz w:val="18"/>
          <w:szCs w:val="18"/>
        </w:rPr>
      </w:pPr>
      <w:r>
        <w:rPr>
          <w:rFonts w:ascii="Arial" w:hAnsi="Arial" w:cs="Arial"/>
          <w:color w:val="000000"/>
          <w:sz w:val="18"/>
          <w:szCs w:val="18"/>
        </w:rPr>
        <w:t xml:space="preserve">[106] </w:t>
      </w:r>
      <w:r w:rsidR="00A45E2E" w:rsidRPr="00A45E2E">
        <w:rPr>
          <w:rFonts w:ascii="Arial" w:hAnsi="Arial" w:cs="Arial"/>
          <w:color w:val="000000"/>
          <w:sz w:val="18"/>
          <w:szCs w:val="18"/>
        </w:rPr>
        <w:t>Human memory is an inherently unreliable vehicle for establishing the content of conversations occurring years before trial. Memory is not a fixed record. Each act of recall involves a process of reconstruction, and the very act of remembering alters what is subsequently retained. Neither the vividness of a recollection nor the confidence with which it is held provides a reliable indication of its accuracy</w:t>
      </w:r>
      <w:r w:rsidR="001975EB">
        <w:rPr>
          <w:rFonts w:ascii="Arial" w:hAnsi="Arial" w:cs="Arial"/>
          <w:color w:val="000000"/>
          <w:sz w:val="18"/>
          <w:szCs w:val="18"/>
        </w:rPr>
        <w:t xml:space="preserve">: </w:t>
      </w:r>
      <w:proofErr w:type="spellStart"/>
      <w:r w:rsidR="001975EB" w:rsidRPr="001975EB">
        <w:rPr>
          <w:rFonts w:ascii="Arial" w:hAnsi="Arial" w:cs="Arial"/>
          <w:i/>
          <w:iCs/>
          <w:color w:val="000000"/>
          <w:sz w:val="18"/>
          <w:szCs w:val="18"/>
        </w:rPr>
        <w:t>Euromark</w:t>
      </w:r>
      <w:proofErr w:type="spellEnd"/>
      <w:r w:rsidR="001975EB" w:rsidRPr="001975EB">
        <w:rPr>
          <w:rFonts w:ascii="Arial" w:hAnsi="Arial" w:cs="Arial"/>
          <w:i/>
          <w:iCs/>
          <w:color w:val="000000"/>
          <w:sz w:val="18"/>
          <w:szCs w:val="18"/>
        </w:rPr>
        <w:t xml:space="preserve"> Ltd v Smash Enterprises Pty Ltd</w:t>
      </w:r>
      <w:r w:rsidR="001975EB" w:rsidRPr="00A45E2E">
        <w:rPr>
          <w:rFonts w:ascii="Arial" w:hAnsi="Arial" w:cs="Arial"/>
          <w:color w:val="000000"/>
          <w:sz w:val="18"/>
          <w:szCs w:val="18"/>
        </w:rPr>
        <w:t xml:space="preserve"> [2021] VSC 97, [38]–[41]; </w:t>
      </w:r>
      <w:proofErr w:type="spellStart"/>
      <w:r w:rsidR="001975EB" w:rsidRPr="001975EB">
        <w:rPr>
          <w:rFonts w:ascii="Arial" w:hAnsi="Arial" w:cs="Arial"/>
          <w:i/>
          <w:iCs/>
          <w:color w:val="000000"/>
          <w:sz w:val="18"/>
          <w:szCs w:val="18"/>
        </w:rPr>
        <w:t>Gestmin</w:t>
      </w:r>
      <w:proofErr w:type="spellEnd"/>
      <w:r w:rsidR="001975EB" w:rsidRPr="001975EB">
        <w:rPr>
          <w:rFonts w:ascii="Arial" w:hAnsi="Arial" w:cs="Arial"/>
          <w:i/>
          <w:iCs/>
          <w:color w:val="000000"/>
          <w:sz w:val="18"/>
          <w:szCs w:val="18"/>
        </w:rPr>
        <w:t xml:space="preserve"> SGPS SA v Credit Suisse (UK) Limited</w:t>
      </w:r>
      <w:r w:rsidR="001975EB" w:rsidRPr="00A45E2E">
        <w:rPr>
          <w:rFonts w:ascii="Arial" w:hAnsi="Arial" w:cs="Arial"/>
          <w:color w:val="000000"/>
          <w:sz w:val="18"/>
          <w:szCs w:val="18"/>
        </w:rPr>
        <w:t xml:space="preserve"> [2013] EWHC 3560 (Comm) [15]–[22]; </w:t>
      </w:r>
      <w:r w:rsidR="001975EB" w:rsidRPr="001975EB">
        <w:rPr>
          <w:rFonts w:ascii="Arial" w:hAnsi="Arial" w:cs="Arial"/>
          <w:i/>
          <w:iCs/>
          <w:color w:val="000000"/>
          <w:sz w:val="18"/>
          <w:szCs w:val="18"/>
        </w:rPr>
        <w:t>Turner v Richards</w:t>
      </w:r>
      <w:r w:rsidR="001975EB" w:rsidRPr="00A45E2E">
        <w:rPr>
          <w:rFonts w:ascii="Arial" w:hAnsi="Arial" w:cs="Arial"/>
          <w:color w:val="000000"/>
          <w:sz w:val="18"/>
          <w:szCs w:val="18"/>
        </w:rPr>
        <w:t xml:space="preserve"> [2025] NSWCA 83, [58]–[60]; </w:t>
      </w:r>
      <w:r w:rsidR="001975EB" w:rsidRPr="001975EB">
        <w:rPr>
          <w:rFonts w:ascii="Arial" w:hAnsi="Arial" w:cs="Arial"/>
          <w:i/>
          <w:iCs/>
          <w:color w:val="000000"/>
          <w:sz w:val="18"/>
          <w:szCs w:val="18"/>
        </w:rPr>
        <w:t>ET-China.com International Holdings Ltd v Cheung</w:t>
      </w:r>
      <w:r w:rsidR="001975EB" w:rsidRPr="00A45E2E">
        <w:rPr>
          <w:rFonts w:ascii="Arial" w:hAnsi="Arial" w:cs="Arial"/>
          <w:color w:val="000000"/>
          <w:sz w:val="18"/>
          <w:szCs w:val="18"/>
        </w:rPr>
        <w:t xml:space="preserve"> (2021) 388 ALR 128, [26]</w:t>
      </w:r>
      <w:r w:rsidR="001975EB">
        <w:rPr>
          <w:rFonts w:ascii="Arial" w:hAnsi="Arial" w:cs="Arial"/>
          <w:color w:val="000000"/>
          <w:sz w:val="18"/>
          <w:szCs w:val="18"/>
        </w:rPr>
        <w:t>;</w:t>
      </w:r>
      <w:r w:rsidR="001975EB" w:rsidRPr="00A45E2E">
        <w:rPr>
          <w:rFonts w:ascii="Arial" w:hAnsi="Arial" w:cs="Arial"/>
          <w:color w:val="000000"/>
          <w:sz w:val="18"/>
          <w:szCs w:val="18"/>
        </w:rPr>
        <w:t xml:space="preserve"> </w:t>
      </w:r>
      <w:r w:rsidR="001975EB" w:rsidRPr="001975EB">
        <w:rPr>
          <w:rFonts w:ascii="Arial" w:hAnsi="Arial" w:cs="Arial"/>
          <w:i/>
          <w:iCs/>
          <w:color w:val="000000"/>
          <w:sz w:val="18"/>
          <w:szCs w:val="18"/>
        </w:rPr>
        <w:t>Country Club Villages Pty Ltd v Burke</w:t>
      </w:r>
      <w:r w:rsidR="001975EB" w:rsidRPr="00A45E2E">
        <w:rPr>
          <w:rFonts w:ascii="Arial" w:hAnsi="Arial" w:cs="Arial"/>
          <w:color w:val="000000"/>
          <w:sz w:val="18"/>
          <w:szCs w:val="18"/>
        </w:rPr>
        <w:t xml:space="preserve"> [2026] VSC 171, [44]</w:t>
      </w:r>
      <w:r w:rsidR="001975EB">
        <w:rPr>
          <w:rFonts w:ascii="Arial" w:hAnsi="Arial" w:cs="Arial"/>
          <w:color w:val="000000"/>
          <w:sz w:val="18"/>
          <w:szCs w:val="18"/>
        </w:rPr>
        <w:t>.</w:t>
      </w:r>
    </w:p>
    <w:p w14:paraId="01666A8D" w14:textId="69D3645D" w:rsidR="00A45E2E" w:rsidRDefault="00001F15" w:rsidP="001975EB">
      <w:pPr>
        <w:spacing w:before="60"/>
        <w:ind w:left="567" w:right="567"/>
        <w:jc w:val="both"/>
        <w:rPr>
          <w:rFonts w:ascii="Arial" w:hAnsi="Arial" w:cs="Arial"/>
          <w:color w:val="000000"/>
          <w:sz w:val="18"/>
          <w:szCs w:val="18"/>
        </w:rPr>
      </w:pPr>
      <w:r>
        <w:rPr>
          <w:rFonts w:ascii="Arial" w:hAnsi="Arial" w:cs="Arial"/>
          <w:color w:val="000000"/>
          <w:sz w:val="18"/>
          <w:szCs w:val="18"/>
        </w:rPr>
        <w:t xml:space="preserve">[107] </w:t>
      </w:r>
      <w:r w:rsidR="00A45E2E" w:rsidRPr="00A45E2E">
        <w:rPr>
          <w:rFonts w:ascii="Arial" w:hAnsi="Arial" w:cs="Arial"/>
          <w:color w:val="000000"/>
          <w:sz w:val="18"/>
          <w:szCs w:val="18"/>
        </w:rPr>
        <w:t>The unreliability of memory in relation to conversations has several identifiable causes. Accuracy diminishes with time, regardless of the significance of the event. Where a dispute has emerged, a witness’s recollection becomes susceptible to subconscious distortion by self-interest and by hindsight about what ought to have been said. Perhaps most significantly, a witness may sincerely believe they are recalling a conversation when they are in fact constructing a plausible account from the surrounding circumstances, with little or no connection to what was actually said</w:t>
      </w:r>
      <w:r w:rsidR="001975EB">
        <w:rPr>
          <w:rFonts w:ascii="Arial" w:hAnsi="Arial" w:cs="Arial"/>
          <w:color w:val="000000"/>
          <w:sz w:val="18"/>
          <w:szCs w:val="18"/>
        </w:rPr>
        <w:t xml:space="preserve">: </w:t>
      </w:r>
      <w:r w:rsidR="001975EB" w:rsidRPr="001975EB">
        <w:rPr>
          <w:rFonts w:ascii="Arial" w:hAnsi="Arial" w:cs="Arial"/>
          <w:i/>
          <w:iCs/>
          <w:color w:val="000000"/>
          <w:sz w:val="18"/>
          <w:szCs w:val="18"/>
        </w:rPr>
        <w:t>Watson v Foxman</w:t>
      </w:r>
      <w:r w:rsidR="001975EB" w:rsidRPr="00A45E2E">
        <w:rPr>
          <w:rFonts w:ascii="Arial" w:hAnsi="Arial" w:cs="Arial"/>
          <w:color w:val="000000"/>
          <w:sz w:val="18"/>
          <w:szCs w:val="18"/>
        </w:rPr>
        <w:t xml:space="preserve"> (1995) 49 NSWLR 315, 319</w:t>
      </w:r>
      <w:r w:rsidR="00A45E2E" w:rsidRPr="00A45E2E">
        <w:rPr>
          <w:rFonts w:ascii="Arial" w:hAnsi="Arial" w:cs="Arial"/>
          <w:color w:val="000000"/>
          <w:sz w:val="18"/>
          <w:szCs w:val="18"/>
        </w:rPr>
        <w:t>.</w:t>
      </w:r>
    </w:p>
    <w:p w14:paraId="6B34CE6C" w14:textId="7D83C586" w:rsidR="00A45E2E" w:rsidRDefault="00001F15" w:rsidP="001975EB">
      <w:pPr>
        <w:spacing w:before="60"/>
        <w:ind w:left="567" w:right="567"/>
        <w:jc w:val="both"/>
        <w:rPr>
          <w:rFonts w:ascii="Arial" w:hAnsi="Arial" w:cs="Arial"/>
          <w:color w:val="000000"/>
          <w:sz w:val="18"/>
          <w:szCs w:val="18"/>
        </w:rPr>
      </w:pPr>
      <w:r>
        <w:rPr>
          <w:rFonts w:ascii="Arial" w:hAnsi="Arial" w:cs="Arial"/>
          <w:color w:val="000000"/>
          <w:sz w:val="18"/>
          <w:szCs w:val="18"/>
        </w:rPr>
        <w:t xml:space="preserve">[108] </w:t>
      </w:r>
      <w:r w:rsidR="00A45E2E" w:rsidRPr="00A45E2E">
        <w:rPr>
          <w:rFonts w:ascii="Arial" w:hAnsi="Arial" w:cs="Arial"/>
          <w:color w:val="000000"/>
          <w:sz w:val="18"/>
          <w:szCs w:val="18"/>
        </w:rPr>
        <w:t>The process of preparing for trial compounds these difficulties. Drafting and revising witness statements, reviewing documents including materials the witness did not see at the time of the relevant events, and discussing the matter with lawyers can progressively replace original memory with a later reconstruction that feels equally authentic but may be substantially less accurate. The act of confronting a witness with inconsistencies during preparation may itself introduce further distortion</w:t>
      </w:r>
      <w:r w:rsidR="001975EB">
        <w:rPr>
          <w:rFonts w:ascii="Arial" w:hAnsi="Arial" w:cs="Arial"/>
          <w:color w:val="000000"/>
          <w:sz w:val="18"/>
          <w:szCs w:val="18"/>
        </w:rPr>
        <w:t xml:space="preserve">: </w:t>
      </w:r>
      <w:proofErr w:type="spellStart"/>
      <w:r w:rsidR="001975EB" w:rsidRPr="001975EB">
        <w:rPr>
          <w:rFonts w:ascii="Arial" w:hAnsi="Arial" w:cs="Arial"/>
          <w:i/>
          <w:iCs/>
          <w:color w:val="000000"/>
          <w:sz w:val="18"/>
          <w:szCs w:val="18"/>
        </w:rPr>
        <w:t>Gestmin</w:t>
      </w:r>
      <w:proofErr w:type="spellEnd"/>
      <w:r w:rsidR="001975EB" w:rsidRPr="00A45E2E">
        <w:rPr>
          <w:rFonts w:ascii="Arial" w:hAnsi="Arial" w:cs="Arial"/>
          <w:color w:val="000000"/>
          <w:sz w:val="18"/>
          <w:szCs w:val="18"/>
        </w:rPr>
        <w:t xml:space="preserve"> [2013] EWHC 3560 (Comm) [22]</w:t>
      </w:r>
      <w:r w:rsidR="006F03B9">
        <w:rPr>
          <w:rFonts w:ascii="Arial" w:hAnsi="Arial" w:cs="Arial"/>
          <w:color w:val="000000"/>
          <w:sz w:val="18"/>
          <w:szCs w:val="18"/>
        </w:rPr>
        <w:t>-</w:t>
      </w:r>
      <w:r w:rsidR="001975EB" w:rsidRPr="00A45E2E">
        <w:rPr>
          <w:rFonts w:ascii="Arial" w:hAnsi="Arial" w:cs="Arial"/>
          <w:color w:val="000000"/>
          <w:sz w:val="18"/>
          <w:szCs w:val="18"/>
        </w:rPr>
        <w:t>[23]; Mark Steele, Jason Chin and Celine van Golde, ‘Witness Preparation and the Corruption of Memory: A Survey of Australian Trial Judges’ (2024) 48(1) Melbourne University Law Review 152.</w:t>
      </w:r>
    </w:p>
    <w:p w14:paraId="1F26D930" w14:textId="3069C1E8" w:rsidR="00A45E2E" w:rsidRDefault="00001F15" w:rsidP="001975EB">
      <w:pPr>
        <w:spacing w:before="60"/>
        <w:ind w:left="567" w:right="567"/>
        <w:jc w:val="both"/>
        <w:rPr>
          <w:rFonts w:ascii="Arial" w:hAnsi="Arial" w:cs="Arial"/>
          <w:color w:val="000000"/>
          <w:sz w:val="18"/>
          <w:szCs w:val="18"/>
        </w:rPr>
      </w:pPr>
      <w:r>
        <w:rPr>
          <w:rFonts w:ascii="Arial" w:hAnsi="Arial" w:cs="Arial"/>
          <w:color w:val="000000"/>
          <w:sz w:val="18"/>
          <w:szCs w:val="18"/>
        </w:rPr>
        <w:t xml:space="preserve">[109] </w:t>
      </w:r>
      <w:r w:rsidR="00A45E2E" w:rsidRPr="00A45E2E">
        <w:rPr>
          <w:rFonts w:ascii="Arial" w:hAnsi="Arial" w:cs="Arial"/>
          <w:color w:val="000000"/>
          <w:sz w:val="18"/>
          <w:szCs w:val="18"/>
        </w:rPr>
        <w:t xml:space="preserve">Questions asked of witnesses in cross examination about whether they are recollecting rather than reconstructing tend to be unhelpful at best and misleading at worst. All memory of past events involves some reconstruction, and a witness has no reliable means of distinguishing one from the </w:t>
      </w:r>
      <w:r w:rsidR="00A45E2E" w:rsidRPr="00A45E2E">
        <w:rPr>
          <w:rFonts w:ascii="Arial" w:hAnsi="Arial" w:cs="Arial"/>
          <w:color w:val="000000"/>
          <w:sz w:val="18"/>
          <w:szCs w:val="18"/>
        </w:rPr>
        <w:lastRenderedPageBreak/>
        <w:t>other. The apparent certainty with which a witness advances their account says nothing about its accuracy. Indeed, the greater the precision with which a witness purports to recall the exact words of a conversation held years before trial, the more reason there may be to question whether what is being offered is genuine memory or a version shaped by the litigation process</w:t>
      </w:r>
      <w:r w:rsidR="001975EB">
        <w:rPr>
          <w:rFonts w:ascii="Arial" w:hAnsi="Arial" w:cs="Arial"/>
          <w:color w:val="000000"/>
          <w:sz w:val="18"/>
          <w:szCs w:val="18"/>
        </w:rPr>
        <w:t xml:space="preserve">: </w:t>
      </w:r>
      <w:proofErr w:type="spellStart"/>
      <w:r w:rsidR="001975EB" w:rsidRPr="001975EB">
        <w:rPr>
          <w:rFonts w:ascii="Arial" w:hAnsi="Arial" w:cs="Arial"/>
          <w:i/>
          <w:iCs/>
          <w:color w:val="000000"/>
          <w:sz w:val="18"/>
          <w:szCs w:val="18"/>
        </w:rPr>
        <w:t>Gestmin</w:t>
      </w:r>
      <w:proofErr w:type="spellEnd"/>
      <w:r w:rsidR="001975EB" w:rsidRPr="00A45E2E">
        <w:rPr>
          <w:rFonts w:ascii="Arial" w:hAnsi="Arial" w:cs="Arial"/>
          <w:color w:val="000000"/>
          <w:sz w:val="18"/>
          <w:szCs w:val="18"/>
        </w:rPr>
        <w:t xml:space="preserve"> [2013] EWHC 3560 (Comm) [21]; </w:t>
      </w:r>
      <w:r w:rsidR="001975EB" w:rsidRPr="0009165A">
        <w:rPr>
          <w:rFonts w:ascii="Arial" w:hAnsi="Arial" w:cs="Arial"/>
          <w:i/>
          <w:iCs/>
          <w:color w:val="000000"/>
          <w:sz w:val="18"/>
          <w:szCs w:val="18"/>
        </w:rPr>
        <w:t>Country Club</w:t>
      </w:r>
      <w:r w:rsidR="001975EB" w:rsidRPr="00A45E2E">
        <w:rPr>
          <w:rFonts w:ascii="Arial" w:hAnsi="Arial" w:cs="Arial"/>
          <w:color w:val="000000"/>
          <w:sz w:val="18"/>
          <w:szCs w:val="18"/>
        </w:rPr>
        <w:t xml:space="preserve"> [2026] VSC 171, [44]</w:t>
      </w:r>
      <w:r w:rsidR="001975EB">
        <w:rPr>
          <w:rFonts w:ascii="Arial" w:hAnsi="Arial" w:cs="Arial"/>
          <w:color w:val="000000"/>
          <w:sz w:val="18"/>
          <w:szCs w:val="18"/>
        </w:rPr>
        <w:t>.</w:t>
      </w:r>
    </w:p>
    <w:p w14:paraId="44EAF6E1" w14:textId="77777777" w:rsidR="00A45E2E" w:rsidRDefault="00A45E2E" w:rsidP="00001F15">
      <w:pPr>
        <w:spacing w:before="80"/>
        <w:ind w:left="567" w:right="567"/>
        <w:jc w:val="both"/>
        <w:rPr>
          <w:rFonts w:ascii="Arial" w:hAnsi="Arial" w:cs="Arial"/>
          <w:color w:val="000000"/>
          <w:sz w:val="18"/>
          <w:szCs w:val="18"/>
        </w:rPr>
      </w:pPr>
      <w:r w:rsidRPr="00A45E2E">
        <w:rPr>
          <w:rFonts w:ascii="Arial" w:hAnsi="Arial" w:cs="Arial"/>
          <w:b/>
          <w:bCs/>
          <w:i/>
          <w:iCs/>
          <w:color w:val="000000"/>
          <w:sz w:val="18"/>
          <w:szCs w:val="18"/>
        </w:rPr>
        <w:t>Contemporaneous documents and the primacy of objective evidence</w:t>
      </w:r>
      <w:r w:rsidRPr="00A45E2E">
        <w:rPr>
          <w:rFonts w:ascii="Arial" w:hAnsi="Arial" w:cs="Arial"/>
          <w:color w:val="000000"/>
          <w:sz w:val="18"/>
          <w:szCs w:val="18"/>
        </w:rPr>
        <w:t xml:space="preserve"> </w:t>
      </w:r>
    </w:p>
    <w:p w14:paraId="21CEDB9D" w14:textId="64E73B3B" w:rsidR="001975EB" w:rsidRDefault="00001F15" w:rsidP="001975EB">
      <w:pPr>
        <w:spacing w:before="60"/>
        <w:ind w:left="567" w:right="567"/>
        <w:jc w:val="both"/>
        <w:rPr>
          <w:rFonts w:ascii="Arial" w:hAnsi="Arial" w:cs="Arial"/>
          <w:color w:val="000000"/>
          <w:sz w:val="18"/>
          <w:szCs w:val="18"/>
        </w:rPr>
      </w:pPr>
      <w:r>
        <w:rPr>
          <w:rFonts w:ascii="Arial" w:hAnsi="Arial" w:cs="Arial"/>
          <w:color w:val="000000"/>
          <w:sz w:val="18"/>
          <w:szCs w:val="18"/>
        </w:rPr>
        <w:t xml:space="preserve">[110] </w:t>
      </w:r>
      <w:r w:rsidR="00A45E2E" w:rsidRPr="00A45E2E">
        <w:rPr>
          <w:rFonts w:ascii="Arial" w:hAnsi="Arial" w:cs="Arial"/>
          <w:color w:val="000000"/>
          <w:sz w:val="18"/>
          <w:szCs w:val="18"/>
        </w:rPr>
        <w:t>In cases turning on conversations occurring years earlier, factual findings should be grounded primarily in the contemporaneous documentary record, in established and undisputed facts, and in the inherent logic and probability of events. Recollection evidence functions as a secondary and inherently less reliable source</w:t>
      </w:r>
      <w:r w:rsidR="006F03B9">
        <w:rPr>
          <w:rFonts w:ascii="Arial" w:hAnsi="Arial" w:cs="Arial"/>
          <w:color w:val="000000"/>
          <w:sz w:val="18"/>
          <w:szCs w:val="18"/>
        </w:rPr>
        <w:t xml:space="preserve">: </w:t>
      </w:r>
      <w:r w:rsidR="006F03B9" w:rsidRPr="006F03B9">
        <w:rPr>
          <w:rFonts w:ascii="Arial" w:hAnsi="Arial" w:cs="Arial"/>
          <w:i/>
          <w:iCs/>
          <w:color w:val="000000"/>
          <w:sz w:val="18"/>
          <w:szCs w:val="18"/>
        </w:rPr>
        <w:t xml:space="preserve">Timeless Sunrise Pty Ltd v </w:t>
      </w:r>
      <w:proofErr w:type="spellStart"/>
      <w:r w:rsidR="006F03B9" w:rsidRPr="006F03B9">
        <w:rPr>
          <w:rFonts w:ascii="Arial" w:hAnsi="Arial" w:cs="Arial"/>
          <w:i/>
          <w:iCs/>
          <w:color w:val="000000"/>
          <w:sz w:val="18"/>
          <w:szCs w:val="18"/>
        </w:rPr>
        <w:t>BigJ</w:t>
      </w:r>
      <w:proofErr w:type="spellEnd"/>
      <w:r w:rsidR="006F03B9" w:rsidRPr="006F03B9">
        <w:rPr>
          <w:rFonts w:ascii="Arial" w:hAnsi="Arial" w:cs="Arial"/>
          <w:i/>
          <w:iCs/>
          <w:color w:val="000000"/>
          <w:sz w:val="18"/>
          <w:szCs w:val="18"/>
        </w:rPr>
        <w:t xml:space="preserve"> Enterprises Pty Ltd (No 10)</w:t>
      </w:r>
      <w:r w:rsidR="006F03B9" w:rsidRPr="006F03B9">
        <w:rPr>
          <w:rFonts w:ascii="Arial" w:hAnsi="Arial" w:cs="Arial"/>
          <w:color w:val="000000"/>
          <w:sz w:val="18"/>
          <w:szCs w:val="18"/>
        </w:rPr>
        <w:t xml:space="preserve"> [2023] VSC 524, [286]; </w:t>
      </w:r>
      <w:proofErr w:type="spellStart"/>
      <w:r w:rsidR="006F03B9" w:rsidRPr="006F03B9">
        <w:rPr>
          <w:rFonts w:ascii="Arial" w:hAnsi="Arial" w:cs="Arial"/>
          <w:i/>
          <w:iCs/>
          <w:color w:val="000000"/>
          <w:sz w:val="18"/>
          <w:szCs w:val="18"/>
        </w:rPr>
        <w:t>Euromark</w:t>
      </w:r>
      <w:proofErr w:type="spellEnd"/>
      <w:r w:rsidR="006F03B9" w:rsidRPr="006F03B9">
        <w:rPr>
          <w:rFonts w:ascii="Arial" w:hAnsi="Arial" w:cs="Arial"/>
          <w:color w:val="000000"/>
          <w:sz w:val="18"/>
          <w:szCs w:val="18"/>
        </w:rPr>
        <w:t xml:space="preserve"> [2021] VSC 97, [39]–[41]; </w:t>
      </w:r>
      <w:proofErr w:type="spellStart"/>
      <w:r w:rsidR="006F03B9" w:rsidRPr="006F03B9">
        <w:rPr>
          <w:rFonts w:ascii="Arial" w:hAnsi="Arial" w:cs="Arial"/>
          <w:i/>
          <w:iCs/>
          <w:color w:val="000000"/>
          <w:sz w:val="18"/>
          <w:szCs w:val="18"/>
        </w:rPr>
        <w:t>Gestmin</w:t>
      </w:r>
      <w:proofErr w:type="spellEnd"/>
      <w:r w:rsidR="006F03B9" w:rsidRPr="006F03B9">
        <w:rPr>
          <w:rFonts w:ascii="Arial" w:hAnsi="Arial" w:cs="Arial"/>
          <w:color w:val="000000"/>
          <w:sz w:val="18"/>
          <w:szCs w:val="18"/>
        </w:rPr>
        <w:t xml:space="preserve"> [2013] EWHC 3560 (Comm) [22]; </w:t>
      </w:r>
      <w:r w:rsidR="006F03B9" w:rsidRPr="006F03B9">
        <w:rPr>
          <w:rFonts w:ascii="Arial" w:hAnsi="Arial" w:cs="Arial"/>
          <w:i/>
          <w:iCs/>
          <w:color w:val="000000"/>
          <w:sz w:val="18"/>
          <w:szCs w:val="18"/>
        </w:rPr>
        <w:t>Fox v Percy</w:t>
      </w:r>
      <w:r w:rsidR="006F03B9" w:rsidRPr="006F03B9">
        <w:rPr>
          <w:rFonts w:ascii="Arial" w:hAnsi="Arial" w:cs="Arial"/>
          <w:color w:val="000000"/>
          <w:sz w:val="18"/>
          <w:szCs w:val="18"/>
        </w:rPr>
        <w:t xml:space="preserve"> (2003) 214 CLR 118, [31]; </w:t>
      </w:r>
      <w:r w:rsidR="006F03B9" w:rsidRPr="006F03B9">
        <w:rPr>
          <w:rFonts w:ascii="Arial" w:hAnsi="Arial" w:cs="Arial"/>
          <w:i/>
          <w:iCs/>
          <w:color w:val="000000"/>
          <w:sz w:val="18"/>
          <w:szCs w:val="18"/>
        </w:rPr>
        <w:t>ET-China.com</w:t>
      </w:r>
      <w:r w:rsidR="006F03B9" w:rsidRPr="006F03B9">
        <w:rPr>
          <w:rFonts w:ascii="Arial" w:hAnsi="Arial" w:cs="Arial"/>
          <w:color w:val="000000"/>
          <w:sz w:val="18"/>
          <w:szCs w:val="18"/>
        </w:rPr>
        <w:t xml:space="preserve"> (2021) 388 ALR 128, [26]–[29]; </w:t>
      </w:r>
      <w:r w:rsidR="006F03B9" w:rsidRPr="006F03B9">
        <w:rPr>
          <w:rFonts w:ascii="Arial" w:hAnsi="Arial" w:cs="Arial"/>
          <w:i/>
          <w:iCs/>
          <w:color w:val="000000"/>
          <w:sz w:val="18"/>
          <w:szCs w:val="18"/>
        </w:rPr>
        <w:t>Country Club</w:t>
      </w:r>
      <w:r w:rsidR="006F03B9" w:rsidRPr="006F03B9">
        <w:rPr>
          <w:rFonts w:ascii="Arial" w:hAnsi="Arial" w:cs="Arial"/>
          <w:color w:val="000000"/>
          <w:sz w:val="18"/>
          <w:szCs w:val="18"/>
        </w:rPr>
        <w:t xml:space="preserve"> [2026] VSC 171,[44], [47]–[48]</w:t>
      </w:r>
      <w:r w:rsidR="006F03B9">
        <w:rPr>
          <w:rFonts w:ascii="Arial" w:hAnsi="Arial" w:cs="Arial"/>
          <w:color w:val="000000"/>
          <w:sz w:val="18"/>
          <w:szCs w:val="18"/>
        </w:rPr>
        <w:t>.</w:t>
      </w:r>
    </w:p>
    <w:p w14:paraId="4A7051F7" w14:textId="408C43A4" w:rsidR="001975EB" w:rsidRDefault="00001F15" w:rsidP="001975EB">
      <w:pPr>
        <w:spacing w:before="60"/>
        <w:ind w:left="567" w:right="567"/>
        <w:jc w:val="both"/>
        <w:rPr>
          <w:rFonts w:ascii="Arial" w:hAnsi="Arial" w:cs="Arial"/>
          <w:color w:val="000000"/>
          <w:sz w:val="18"/>
          <w:szCs w:val="18"/>
        </w:rPr>
      </w:pPr>
      <w:r>
        <w:rPr>
          <w:rFonts w:ascii="Arial" w:hAnsi="Arial" w:cs="Arial"/>
          <w:color w:val="000000"/>
          <w:sz w:val="18"/>
          <w:szCs w:val="18"/>
        </w:rPr>
        <w:t xml:space="preserve">[111] </w:t>
      </w:r>
      <w:r w:rsidR="00A45E2E" w:rsidRPr="00A45E2E">
        <w:rPr>
          <w:rFonts w:ascii="Arial" w:hAnsi="Arial" w:cs="Arial"/>
          <w:color w:val="000000"/>
          <w:sz w:val="18"/>
          <w:szCs w:val="18"/>
        </w:rPr>
        <w:t>Documents do not automatically prevail over oral testimony. Where the documentary record is sparse or indirect, and oral evidence has not been challenged in cross-examination and has not been found to be unreliable, that testimony should not be lightly discounted. All evidence must be weighed in context. The quality and character of any document, including its proximity to the relevant events and the purpose for which it was created, must itself be assessed before weight is accorded to it</w:t>
      </w:r>
      <w:r w:rsidR="006F03B9">
        <w:rPr>
          <w:rFonts w:ascii="Arial" w:hAnsi="Arial" w:cs="Arial"/>
          <w:color w:val="000000"/>
          <w:sz w:val="18"/>
          <w:szCs w:val="18"/>
        </w:rPr>
        <w:t xml:space="preserve">: </w:t>
      </w:r>
      <w:proofErr w:type="spellStart"/>
      <w:r w:rsidR="006F03B9" w:rsidRPr="006F03B9">
        <w:rPr>
          <w:rFonts w:ascii="Arial" w:hAnsi="Arial" w:cs="Arial"/>
          <w:i/>
          <w:iCs/>
          <w:color w:val="000000"/>
          <w:sz w:val="18"/>
          <w:szCs w:val="18"/>
        </w:rPr>
        <w:t>Tjiong</w:t>
      </w:r>
      <w:proofErr w:type="spellEnd"/>
      <w:r w:rsidR="006F03B9" w:rsidRPr="006F03B9">
        <w:rPr>
          <w:rFonts w:ascii="Arial" w:hAnsi="Arial" w:cs="Arial"/>
          <w:i/>
          <w:iCs/>
          <w:color w:val="000000"/>
          <w:sz w:val="18"/>
          <w:szCs w:val="18"/>
        </w:rPr>
        <w:t xml:space="preserve"> v Chang</w:t>
      </w:r>
      <w:r w:rsidR="006F03B9" w:rsidRPr="006F03B9">
        <w:rPr>
          <w:rFonts w:ascii="Arial" w:hAnsi="Arial" w:cs="Arial"/>
          <w:color w:val="000000"/>
          <w:sz w:val="18"/>
          <w:szCs w:val="18"/>
        </w:rPr>
        <w:t xml:space="preserve"> [2025] NSWCA 25, [41]</w:t>
      </w:r>
      <w:proofErr w:type="gramStart"/>
      <w:r w:rsidR="0009165A" w:rsidRPr="006F03B9">
        <w:rPr>
          <w:rFonts w:ascii="Arial" w:hAnsi="Arial" w:cs="Arial"/>
          <w:color w:val="000000"/>
          <w:sz w:val="18"/>
          <w:szCs w:val="18"/>
        </w:rPr>
        <w:t>–</w:t>
      </w:r>
      <w:r w:rsidR="006F03B9" w:rsidRPr="006F03B9">
        <w:rPr>
          <w:rFonts w:ascii="Arial" w:hAnsi="Arial" w:cs="Arial"/>
          <w:color w:val="000000"/>
          <w:sz w:val="18"/>
          <w:szCs w:val="18"/>
        </w:rPr>
        <w:t>[</w:t>
      </w:r>
      <w:proofErr w:type="gramEnd"/>
      <w:r w:rsidR="006F03B9" w:rsidRPr="006F03B9">
        <w:rPr>
          <w:rFonts w:ascii="Arial" w:hAnsi="Arial" w:cs="Arial"/>
          <w:color w:val="000000"/>
          <w:sz w:val="18"/>
          <w:szCs w:val="18"/>
        </w:rPr>
        <w:t>44], [502]</w:t>
      </w:r>
      <w:proofErr w:type="gramStart"/>
      <w:r w:rsidR="0009165A" w:rsidRPr="006F03B9">
        <w:rPr>
          <w:rFonts w:ascii="Arial" w:hAnsi="Arial" w:cs="Arial"/>
          <w:color w:val="000000"/>
          <w:sz w:val="18"/>
          <w:szCs w:val="18"/>
        </w:rPr>
        <w:t>–</w:t>
      </w:r>
      <w:r w:rsidR="006F03B9" w:rsidRPr="006F03B9">
        <w:rPr>
          <w:rFonts w:ascii="Arial" w:hAnsi="Arial" w:cs="Arial"/>
          <w:color w:val="000000"/>
          <w:sz w:val="18"/>
          <w:szCs w:val="18"/>
        </w:rPr>
        <w:t>[</w:t>
      </w:r>
      <w:proofErr w:type="gramEnd"/>
      <w:r w:rsidR="006F03B9" w:rsidRPr="006F03B9">
        <w:rPr>
          <w:rFonts w:ascii="Arial" w:hAnsi="Arial" w:cs="Arial"/>
          <w:color w:val="000000"/>
          <w:sz w:val="18"/>
          <w:szCs w:val="18"/>
        </w:rPr>
        <w:t xml:space="preserve">503]; </w:t>
      </w:r>
      <w:r w:rsidR="006F03B9" w:rsidRPr="006F03B9">
        <w:rPr>
          <w:rFonts w:ascii="Arial" w:hAnsi="Arial" w:cs="Arial"/>
          <w:i/>
          <w:iCs/>
          <w:color w:val="000000"/>
          <w:sz w:val="18"/>
          <w:szCs w:val="18"/>
        </w:rPr>
        <w:t>Turner</w:t>
      </w:r>
      <w:r w:rsidR="006F03B9" w:rsidRPr="006F03B9">
        <w:rPr>
          <w:rFonts w:ascii="Arial" w:hAnsi="Arial" w:cs="Arial"/>
          <w:color w:val="000000"/>
          <w:sz w:val="18"/>
          <w:szCs w:val="18"/>
        </w:rPr>
        <w:t xml:space="preserve"> [2025] NSWCA 83, [61]</w:t>
      </w:r>
      <w:r w:rsidR="006F03B9">
        <w:rPr>
          <w:rFonts w:ascii="Arial" w:hAnsi="Arial" w:cs="Arial"/>
          <w:color w:val="000000"/>
          <w:sz w:val="18"/>
          <w:szCs w:val="18"/>
        </w:rPr>
        <w:t>.</w:t>
      </w:r>
    </w:p>
    <w:p w14:paraId="3A6C26FB" w14:textId="01F0EC47" w:rsidR="001975EB" w:rsidRDefault="00001F15" w:rsidP="001975EB">
      <w:pPr>
        <w:spacing w:before="60"/>
        <w:ind w:left="567" w:right="567"/>
        <w:jc w:val="both"/>
        <w:rPr>
          <w:rFonts w:ascii="Arial" w:hAnsi="Arial" w:cs="Arial"/>
          <w:color w:val="000000"/>
          <w:sz w:val="18"/>
          <w:szCs w:val="18"/>
        </w:rPr>
      </w:pPr>
      <w:r>
        <w:rPr>
          <w:rFonts w:ascii="Arial" w:hAnsi="Arial" w:cs="Arial"/>
          <w:color w:val="000000"/>
          <w:sz w:val="18"/>
          <w:szCs w:val="18"/>
        </w:rPr>
        <w:t xml:space="preserve">[112] </w:t>
      </w:r>
      <w:r w:rsidR="00A45E2E" w:rsidRPr="00A45E2E">
        <w:rPr>
          <w:rFonts w:ascii="Arial" w:hAnsi="Arial" w:cs="Arial"/>
          <w:color w:val="000000"/>
          <w:sz w:val="18"/>
          <w:szCs w:val="18"/>
        </w:rPr>
        <w:t>However, it is generally difficult to persuade a court that a witness’s recollection of a conversation is preferable to a contemporaneous document recording the position at or near the relevant time, particularly where the two are inconsistent. A witness’s recollection and a contemporaneous document will rarely stand as equivalent sources. The document, having been made before the dispute arose, is unaffected by the distortions that litigation subsequently introduces</w:t>
      </w:r>
      <w:r w:rsidR="006F03B9">
        <w:rPr>
          <w:rFonts w:ascii="Arial" w:hAnsi="Arial" w:cs="Arial"/>
          <w:color w:val="000000"/>
          <w:sz w:val="18"/>
          <w:szCs w:val="18"/>
        </w:rPr>
        <w:t xml:space="preserve">: </w:t>
      </w:r>
      <w:r w:rsidR="006F03B9" w:rsidRPr="006F03B9">
        <w:rPr>
          <w:rFonts w:ascii="Arial" w:hAnsi="Arial" w:cs="Arial"/>
          <w:i/>
          <w:iCs/>
          <w:color w:val="000000"/>
          <w:sz w:val="18"/>
          <w:szCs w:val="18"/>
        </w:rPr>
        <w:t>Timeless Sunrise</w:t>
      </w:r>
      <w:r w:rsidR="006F03B9" w:rsidRPr="006F03B9">
        <w:rPr>
          <w:rFonts w:ascii="Arial" w:hAnsi="Arial" w:cs="Arial"/>
          <w:color w:val="000000"/>
          <w:sz w:val="18"/>
          <w:szCs w:val="18"/>
        </w:rPr>
        <w:t xml:space="preserve"> [2023] VSC 524, [286]; </w:t>
      </w:r>
      <w:r w:rsidR="006F03B9" w:rsidRPr="006F03B9">
        <w:rPr>
          <w:rFonts w:ascii="Arial" w:hAnsi="Arial" w:cs="Arial"/>
          <w:i/>
          <w:iCs/>
          <w:color w:val="000000"/>
          <w:sz w:val="18"/>
          <w:szCs w:val="18"/>
        </w:rPr>
        <w:t xml:space="preserve">Onassis v </w:t>
      </w:r>
      <w:proofErr w:type="spellStart"/>
      <w:r w:rsidR="006F03B9" w:rsidRPr="006F03B9">
        <w:rPr>
          <w:rFonts w:ascii="Arial" w:hAnsi="Arial" w:cs="Arial"/>
          <w:i/>
          <w:iCs/>
          <w:color w:val="000000"/>
          <w:sz w:val="18"/>
          <w:szCs w:val="18"/>
        </w:rPr>
        <w:t>Vergottis</w:t>
      </w:r>
      <w:proofErr w:type="spellEnd"/>
      <w:r w:rsidR="006F03B9" w:rsidRPr="006F03B9">
        <w:rPr>
          <w:rFonts w:ascii="Arial" w:hAnsi="Arial" w:cs="Arial"/>
          <w:color w:val="000000"/>
          <w:sz w:val="18"/>
          <w:szCs w:val="18"/>
        </w:rPr>
        <w:t xml:space="preserve"> [1968] 2 </w:t>
      </w:r>
      <w:proofErr w:type="spellStart"/>
      <w:r w:rsidR="006F03B9" w:rsidRPr="006F03B9">
        <w:rPr>
          <w:rFonts w:ascii="Arial" w:hAnsi="Arial" w:cs="Arial"/>
          <w:color w:val="000000"/>
          <w:sz w:val="18"/>
          <w:szCs w:val="18"/>
        </w:rPr>
        <w:t>Ll</w:t>
      </w:r>
      <w:proofErr w:type="spellEnd"/>
      <w:r w:rsidR="006F03B9" w:rsidRPr="006F03B9">
        <w:rPr>
          <w:rFonts w:ascii="Arial" w:hAnsi="Arial" w:cs="Arial"/>
          <w:color w:val="000000"/>
          <w:sz w:val="18"/>
          <w:szCs w:val="18"/>
        </w:rPr>
        <w:t xml:space="preserve"> 403, 431; </w:t>
      </w:r>
      <w:proofErr w:type="spellStart"/>
      <w:r w:rsidR="006F03B9" w:rsidRPr="006F03B9">
        <w:rPr>
          <w:rFonts w:ascii="Arial" w:hAnsi="Arial" w:cs="Arial"/>
          <w:i/>
          <w:iCs/>
          <w:color w:val="000000"/>
          <w:sz w:val="18"/>
          <w:szCs w:val="18"/>
        </w:rPr>
        <w:t>Gestmin</w:t>
      </w:r>
      <w:proofErr w:type="spellEnd"/>
      <w:r w:rsidR="006F03B9" w:rsidRPr="006F03B9">
        <w:rPr>
          <w:rFonts w:ascii="Arial" w:hAnsi="Arial" w:cs="Arial"/>
          <w:color w:val="000000"/>
          <w:sz w:val="18"/>
          <w:szCs w:val="18"/>
        </w:rPr>
        <w:t xml:space="preserve"> [2013] EWHC 3560 (Comm) [22]; </w:t>
      </w:r>
      <w:r w:rsidR="006F03B9" w:rsidRPr="006F03B9">
        <w:rPr>
          <w:rFonts w:ascii="Arial" w:hAnsi="Arial" w:cs="Arial"/>
          <w:i/>
          <w:iCs/>
          <w:color w:val="000000"/>
          <w:sz w:val="18"/>
          <w:szCs w:val="18"/>
        </w:rPr>
        <w:t>Turner</w:t>
      </w:r>
      <w:r w:rsidR="006F03B9" w:rsidRPr="006F03B9">
        <w:rPr>
          <w:rFonts w:ascii="Arial" w:hAnsi="Arial" w:cs="Arial"/>
          <w:color w:val="000000"/>
          <w:sz w:val="18"/>
          <w:szCs w:val="18"/>
        </w:rPr>
        <w:t xml:space="preserve"> [2025] NSWCA 83, [81].</w:t>
      </w:r>
    </w:p>
    <w:p w14:paraId="7F6998DE" w14:textId="77777777" w:rsidR="001975EB" w:rsidRPr="001975EB" w:rsidRDefault="00A45E2E" w:rsidP="001975EB">
      <w:pPr>
        <w:spacing w:before="60"/>
        <w:ind w:left="567" w:right="567"/>
        <w:jc w:val="both"/>
        <w:rPr>
          <w:rFonts w:ascii="Arial" w:hAnsi="Arial" w:cs="Arial"/>
          <w:b/>
          <w:bCs/>
          <w:i/>
          <w:iCs/>
          <w:color w:val="000000"/>
          <w:sz w:val="18"/>
          <w:szCs w:val="18"/>
        </w:rPr>
      </w:pPr>
      <w:r w:rsidRPr="001975EB">
        <w:rPr>
          <w:rFonts w:ascii="Arial" w:hAnsi="Arial" w:cs="Arial"/>
          <w:b/>
          <w:bCs/>
          <w:i/>
          <w:iCs/>
          <w:color w:val="000000"/>
          <w:sz w:val="18"/>
          <w:szCs w:val="18"/>
        </w:rPr>
        <w:t xml:space="preserve">Credibility, reliability and the assessment of witnesses </w:t>
      </w:r>
    </w:p>
    <w:p w14:paraId="184A8C9D" w14:textId="633F8F7F" w:rsidR="001975EB" w:rsidRDefault="00001F15" w:rsidP="001975EB">
      <w:pPr>
        <w:spacing w:before="60"/>
        <w:ind w:left="567" w:right="567"/>
        <w:jc w:val="both"/>
        <w:rPr>
          <w:rFonts w:ascii="Arial" w:hAnsi="Arial" w:cs="Arial"/>
          <w:color w:val="000000"/>
          <w:sz w:val="18"/>
          <w:szCs w:val="18"/>
        </w:rPr>
      </w:pPr>
      <w:r>
        <w:rPr>
          <w:rFonts w:ascii="Arial" w:hAnsi="Arial" w:cs="Arial"/>
          <w:color w:val="000000"/>
          <w:sz w:val="18"/>
          <w:szCs w:val="18"/>
        </w:rPr>
        <w:t xml:space="preserve">[113] </w:t>
      </w:r>
      <w:r w:rsidR="00A45E2E" w:rsidRPr="00A45E2E">
        <w:rPr>
          <w:rFonts w:ascii="Arial" w:hAnsi="Arial" w:cs="Arial"/>
          <w:color w:val="000000"/>
          <w:sz w:val="18"/>
          <w:szCs w:val="18"/>
        </w:rPr>
        <w:t>In assessing whether to accept a witness’s evidence, the Court will have regard to the internal coherence of that witness’s account, its consistency with the evidence of other witnesses and with undisputed facts, the general credit of the witness including impressions from demeanour, any relevant infirmities or vulnerabilities, and the inherent probability or improbability of the account in question. Evidence given against a witness’s apparent interest, or which is inherently probable in light of the surrounding circumstances, carries particular weight in this assessment</w:t>
      </w:r>
      <w:r w:rsidR="00A82558">
        <w:rPr>
          <w:rFonts w:ascii="Arial" w:hAnsi="Arial" w:cs="Arial"/>
          <w:color w:val="000000"/>
          <w:sz w:val="18"/>
          <w:szCs w:val="18"/>
        </w:rPr>
        <w:t xml:space="preserve">: </w:t>
      </w:r>
      <w:r w:rsidR="00A82558" w:rsidRPr="00A82558">
        <w:rPr>
          <w:rFonts w:ascii="Arial" w:hAnsi="Arial" w:cs="Arial"/>
          <w:i/>
          <w:iCs/>
          <w:color w:val="000000"/>
          <w:sz w:val="18"/>
          <w:szCs w:val="18"/>
        </w:rPr>
        <w:t>Pell v R</w:t>
      </w:r>
      <w:r w:rsidR="00A82558" w:rsidRPr="006F03B9">
        <w:rPr>
          <w:rFonts w:ascii="Arial" w:hAnsi="Arial" w:cs="Arial"/>
          <w:color w:val="000000"/>
          <w:sz w:val="18"/>
          <w:szCs w:val="18"/>
        </w:rPr>
        <w:t xml:space="preserve"> [2019] VSCA 186, [897] (Weinberg JA) citing Sir Richard Eggleston, Evidence, Proof and Probability (Weidenfeld and Nicolson, 2nd ed, 1983) 192–3; </w:t>
      </w:r>
      <w:r w:rsidR="00A82558" w:rsidRPr="00A82558">
        <w:rPr>
          <w:rFonts w:ascii="Arial" w:hAnsi="Arial" w:cs="Arial"/>
          <w:i/>
          <w:iCs/>
          <w:color w:val="000000"/>
          <w:sz w:val="18"/>
          <w:szCs w:val="18"/>
        </w:rPr>
        <w:t>Fox v Percy</w:t>
      </w:r>
      <w:r w:rsidR="00A82558" w:rsidRPr="006F03B9">
        <w:rPr>
          <w:rFonts w:ascii="Arial" w:hAnsi="Arial" w:cs="Arial"/>
          <w:color w:val="000000"/>
          <w:sz w:val="18"/>
          <w:szCs w:val="18"/>
        </w:rPr>
        <w:t xml:space="preserve"> (2003) 214 CLR 118, [31]; </w:t>
      </w:r>
      <w:r w:rsidR="00A82558" w:rsidRPr="00A82558">
        <w:rPr>
          <w:rFonts w:ascii="Arial" w:hAnsi="Arial" w:cs="Arial"/>
          <w:i/>
          <w:iCs/>
          <w:color w:val="000000"/>
          <w:sz w:val="18"/>
          <w:szCs w:val="18"/>
        </w:rPr>
        <w:t>ET-China.com</w:t>
      </w:r>
      <w:r w:rsidR="00A82558" w:rsidRPr="006F03B9">
        <w:rPr>
          <w:rFonts w:ascii="Arial" w:hAnsi="Arial" w:cs="Arial"/>
          <w:color w:val="000000"/>
          <w:sz w:val="18"/>
          <w:szCs w:val="18"/>
        </w:rPr>
        <w:t xml:space="preserve"> (2021) 388 ALR 128, [26]–[29].</w:t>
      </w:r>
    </w:p>
    <w:p w14:paraId="786ACC0D" w14:textId="3C09AF35" w:rsidR="00A82558" w:rsidRDefault="00001F15" w:rsidP="001975EB">
      <w:pPr>
        <w:spacing w:before="60"/>
        <w:ind w:left="567" w:right="567"/>
        <w:jc w:val="both"/>
        <w:rPr>
          <w:rFonts w:ascii="Arial" w:hAnsi="Arial" w:cs="Arial"/>
          <w:color w:val="000000"/>
          <w:sz w:val="18"/>
          <w:szCs w:val="18"/>
        </w:rPr>
      </w:pPr>
      <w:r>
        <w:rPr>
          <w:rFonts w:ascii="Arial" w:hAnsi="Arial" w:cs="Arial"/>
          <w:color w:val="000000"/>
          <w:sz w:val="18"/>
          <w:szCs w:val="18"/>
        </w:rPr>
        <w:t xml:space="preserve">[114] </w:t>
      </w:r>
      <w:r w:rsidR="00A45E2E" w:rsidRPr="00A45E2E">
        <w:rPr>
          <w:rFonts w:ascii="Arial" w:hAnsi="Arial" w:cs="Arial"/>
          <w:color w:val="000000"/>
          <w:sz w:val="18"/>
          <w:szCs w:val="18"/>
        </w:rPr>
        <w:t>Credibility, which concerns whether a witness is honest and genuinely attempting to tell the truth, is a distinct question from reliability, which concerns whether their account of a particular event is accurate. A witness may be entirely truthful and yet give evidence about a specific conversation that is substantially inaccurate, because their recollection has been distorted by the passage of time, the pressure of litigation, or unconscious self-interest, without any deliberate intent to mislead</w:t>
      </w:r>
      <w:r w:rsidR="00A82558">
        <w:rPr>
          <w:rFonts w:ascii="Arial" w:hAnsi="Arial" w:cs="Arial"/>
          <w:color w:val="000000"/>
          <w:sz w:val="18"/>
          <w:szCs w:val="18"/>
        </w:rPr>
        <w:t xml:space="preserve">: </w:t>
      </w:r>
      <w:r w:rsidR="00A82558" w:rsidRPr="00A82558">
        <w:rPr>
          <w:rFonts w:ascii="Arial" w:hAnsi="Arial" w:cs="Arial"/>
          <w:i/>
          <w:iCs/>
          <w:color w:val="000000"/>
          <w:sz w:val="18"/>
          <w:szCs w:val="18"/>
        </w:rPr>
        <w:t>Timeless Sunrise</w:t>
      </w:r>
      <w:r w:rsidR="00A82558" w:rsidRPr="006F03B9">
        <w:rPr>
          <w:rFonts w:ascii="Arial" w:hAnsi="Arial" w:cs="Arial"/>
          <w:color w:val="000000"/>
          <w:sz w:val="18"/>
          <w:szCs w:val="18"/>
        </w:rPr>
        <w:t xml:space="preserve"> [2023] VSC 524, [286]; </w:t>
      </w:r>
      <w:r w:rsidR="00A82558" w:rsidRPr="00A82558">
        <w:rPr>
          <w:rFonts w:ascii="Arial" w:hAnsi="Arial" w:cs="Arial"/>
          <w:i/>
          <w:iCs/>
          <w:color w:val="000000"/>
          <w:sz w:val="18"/>
          <w:szCs w:val="18"/>
        </w:rPr>
        <w:t xml:space="preserve">Onassis v </w:t>
      </w:r>
      <w:proofErr w:type="spellStart"/>
      <w:r w:rsidR="00A82558" w:rsidRPr="00A82558">
        <w:rPr>
          <w:rFonts w:ascii="Arial" w:hAnsi="Arial" w:cs="Arial"/>
          <w:i/>
          <w:iCs/>
          <w:color w:val="000000"/>
          <w:sz w:val="18"/>
          <w:szCs w:val="18"/>
        </w:rPr>
        <w:t>Vergottis</w:t>
      </w:r>
      <w:proofErr w:type="spellEnd"/>
      <w:r w:rsidR="00A82558" w:rsidRPr="006F03B9">
        <w:rPr>
          <w:rFonts w:ascii="Arial" w:hAnsi="Arial" w:cs="Arial"/>
          <w:color w:val="000000"/>
          <w:sz w:val="18"/>
          <w:szCs w:val="18"/>
        </w:rPr>
        <w:t xml:space="preserve"> [1968] 2 Lloyds Rep 403, 431; </w:t>
      </w:r>
      <w:r w:rsidR="00A82558" w:rsidRPr="00A82558">
        <w:rPr>
          <w:rFonts w:ascii="Arial" w:hAnsi="Arial" w:cs="Arial"/>
          <w:i/>
          <w:iCs/>
          <w:color w:val="000000"/>
          <w:sz w:val="18"/>
          <w:szCs w:val="18"/>
        </w:rPr>
        <w:t>Watson</w:t>
      </w:r>
      <w:r w:rsidR="00A82558" w:rsidRPr="006F03B9">
        <w:rPr>
          <w:rFonts w:ascii="Arial" w:hAnsi="Arial" w:cs="Arial"/>
          <w:color w:val="000000"/>
          <w:sz w:val="18"/>
          <w:szCs w:val="18"/>
        </w:rPr>
        <w:t xml:space="preserve"> (1995) 49 NSWLR 315, 319; </w:t>
      </w:r>
      <w:r w:rsidR="00A82558" w:rsidRPr="00A82558">
        <w:rPr>
          <w:rFonts w:ascii="Arial" w:hAnsi="Arial" w:cs="Arial"/>
          <w:i/>
          <w:iCs/>
          <w:color w:val="000000"/>
          <w:sz w:val="18"/>
          <w:szCs w:val="18"/>
        </w:rPr>
        <w:t>Country Club</w:t>
      </w:r>
      <w:r w:rsidR="00A82558" w:rsidRPr="006F03B9">
        <w:rPr>
          <w:rFonts w:ascii="Arial" w:hAnsi="Arial" w:cs="Arial"/>
          <w:color w:val="000000"/>
          <w:sz w:val="18"/>
          <w:szCs w:val="18"/>
        </w:rPr>
        <w:t xml:space="preserve"> [2026] VSC 171, [45].</w:t>
      </w:r>
    </w:p>
    <w:p w14:paraId="42F786D0" w14:textId="48E23A5A" w:rsidR="00A82558" w:rsidRDefault="00001F15" w:rsidP="001975EB">
      <w:pPr>
        <w:spacing w:before="60"/>
        <w:ind w:left="567" w:right="567"/>
        <w:jc w:val="both"/>
        <w:rPr>
          <w:rFonts w:ascii="Arial" w:hAnsi="Arial" w:cs="Arial"/>
          <w:color w:val="000000"/>
          <w:sz w:val="18"/>
          <w:szCs w:val="18"/>
        </w:rPr>
      </w:pPr>
      <w:r>
        <w:rPr>
          <w:rFonts w:ascii="Arial" w:hAnsi="Arial" w:cs="Arial"/>
          <w:color w:val="000000"/>
          <w:sz w:val="18"/>
          <w:szCs w:val="18"/>
        </w:rPr>
        <w:t xml:space="preserve">[115] </w:t>
      </w:r>
      <w:r w:rsidR="00A45E2E" w:rsidRPr="00A82558">
        <w:rPr>
          <w:rFonts w:ascii="Arial" w:hAnsi="Arial" w:cs="Arial"/>
          <w:color w:val="000000"/>
          <w:sz w:val="18"/>
          <w:szCs w:val="18"/>
        </w:rPr>
        <w:t>A court possesses no special capacity to determine from a witness’s manner of giving evidence alone, whether they are telling the truth. The surest guide to credibility and reliability is the comparison of the witness’s account with objective fact, documentary evidence, and the inherent probabilities. Separately, the rejection of a witness’s evidence on a particular matter does not of itself</w:t>
      </w:r>
      <w:r w:rsidR="00A45E2E" w:rsidRPr="006F03B9">
        <w:rPr>
          <w:rFonts w:ascii="Arial" w:hAnsi="Arial" w:cs="Arial"/>
          <w:color w:val="000000"/>
          <w:sz w:val="18"/>
          <w:szCs w:val="18"/>
        </w:rPr>
        <w:t xml:space="preserve"> establish the truth of the contrary proposition. While inferences may, in appropriate circumstances, arise to support an alternative state of affairs, the Court must be cautious about treating its disbelief of one account as constituting affirmative proof of the other</w:t>
      </w:r>
      <w:r w:rsidR="00A82558">
        <w:rPr>
          <w:rFonts w:ascii="Arial" w:hAnsi="Arial" w:cs="Arial"/>
          <w:color w:val="000000"/>
          <w:sz w:val="18"/>
          <w:szCs w:val="18"/>
        </w:rPr>
        <w:t xml:space="preserve">: </w:t>
      </w:r>
      <w:r w:rsidR="00A82558" w:rsidRPr="00A82558">
        <w:rPr>
          <w:rFonts w:ascii="Arial" w:hAnsi="Arial" w:cs="Arial"/>
          <w:i/>
          <w:iCs/>
          <w:color w:val="000000"/>
          <w:sz w:val="18"/>
          <w:szCs w:val="18"/>
        </w:rPr>
        <w:t>Timeless Sunrise</w:t>
      </w:r>
      <w:r w:rsidR="00A82558" w:rsidRPr="00A82558">
        <w:rPr>
          <w:rFonts w:ascii="Arial" w:hAnsi="Arial" w:cs="Arial"/>
          <w:color w:val="000000"/>
          <w:sz w:val="18"/>
          <w:szCs w:val="18"/>
        </w:rPr>
        <w:t xml:space="preserve"> [2023] VSC 524, [288]</w:t>
      </w:r>
      <w:r w:rsidR="00A82558">
        <w:rPr>
          <w:rFonts w:ascii="Arial" w:hAnsi="Arial" w:cs="Arial"/>
          <w:color w:val="000000"/>
          <w:sz w:val="18"/>
          <w:szCs w:val="18"/>
        </w:rPr>
        <w:t>.</w:t>
      </w:r>
    </w:p>
    <w:p w14:paraId="208BE4E5" w14:textId="06E3DDC9" w:rsidR="00A82558" w:rsidRDefault="00001F15" w:rsidP="001975EB">
      <w:pPr>
        <w:spacing w:before="60"/>
        <w:ind w:left="567" w:right="567"/>
        <w:jc w:val="both"/>
        <w:rPr>
          <w:rFonts w:ascii="Arial" w:hAnsi="Arial" w:cs="Arial"/>
          <w:color w:val="000000"/>
          <w:sz w:val="18"/>
          <w:szCs w:val="18"/>
        </w:rPr>
      </w:pPr>
      <w:r>
        <w:rPr>
          <w:rFonts w:ascii="Arial" w:hAnsi="Arial" w:cs="Arial"/>
          <w:color w:val="000000"/>
          <w:sz w:val="18"/>
          <w:szCs w:val="18"/>
        </w:rPr>
        <w:t xml:space="preserve">[116] </w:t>
      </w:r>
      <w:r w:rsidR="00A45E2E" w:rsidRPr="006F03B9">
        <w:rPr>
          <w:rFonts w:ascii="Arial" w:hAnsi="Arial" w:cs="Arial"/>
          <w:color w:val="000000"/>
          <w:sz w:val="18"/>
          <w:szCs w:val="18"/>
        </w:rPr>
        <w:t>Witnesses should not be assessed in binary terms as wholly credible or wholly lacking in credibility. The proper approach is to assess each witness’s evidence issue by issue, by reference to its coherence, its consistency with the objective materials, and its inherent plausibility on the specific matter in question. A witness who gives reliable evidence on one aspect of a dispute may give unreliable evidence on another</w:t>
      </w:r>
      <w:r w:rsidR="00A82558">
        <w:rPr>
          <w:rFonts w:ascii="Arial" w:hAnsi="Arial" w:cs="Arial"/>
          <w:color w:val="000000"/>
          <w:sz w:val="18"/>
          <w:szCs w:val="18"/>
        </w:rPr>
        <w:t xml:space="preserve">: </w:t>
      </w:r>
      <w:proofErr w:type="spellStart"/>
      <w:r w:rsidR="00A82558" w:rsidRPr="00A82558">
        <w:rPr>
          <w:rFonts w:ascii="Arial" w:hAnsi="Arial" w:cs="Arial"/>
          <w:i/>
          <w:iCs/>
          <w:color w:val="000000"/>
          <w:sz w:val="18"/>
          <w:szCs w:val="18"/>
        </w:rPr>
        <w:t>Coonwarra</w:t>
      </w:r>
      <w:proofErr w:type="spellEnd"/>
      <w:r w:rsidR="00A82558" w:rsidRPr="00A82558">
        <w:rPr>
          <w:rFonts w:ascii="Arial" w:hAnsi="Arial" w:cs="Arial"/>
          <w:i/>
          <w:iCs/>
          <w:color w:val="000000"/>
          <w:sz w:val="18"/>
          <w:szCs w:val="18"/>
        </w:rPr>
        <w:t xml:space="preserve"> Pty Ltd v </w:t>
      </w:r>
      <w:proofErr w:type="spellStart"/>
      <w:r w:rsidR="00A82558" w:rsidRPr="00A82558">
        <w:rPr>
          <w:rFonts w:ascii="Arial" w:hAnsi="Arial" w:cs="Arial"/>
          <w:i/>
          <w:iCs/>
          <w:color w:val="000000"/>
          <w:sz w:val="18"/>
          <w:szCs w:val="18"/>
        </w:rPr>
        <w:t>CornoNero</w:t>
      </w:r>
      <w:proofErr w:type="spellEnd"/>
      <w:r w:rsidR="00A82558" w:rsidRPr="00A82558">
        <w:rPr>
          <w:rFonts w:ascii="Arial" w:hAnsi="Arial" w:cs="Arial"/>
          <w:i/>
          <w:iCs/>
          <w:color w:val="000000"/>
          <w:sz w:val="18"/>
          <w:szCs w:val="18"/>
        </w:rPr>
        <w:t xml:space="preserve"> Pty Ltd</w:t>
      </w:r>
      <w:r w:rsidR="00A82558" w:rsidRPr="00A82558">
        <w:rPr>
          <w:rFonts w:ascii="Arial" w:hAnsi="Arial" w:cs="Arial"/>
          <w:color w:val="000000"/>
          <w:sz w:val="18"/>
          <w:szCs w:val="18"/>
        </w:rPr>
        <w:t xml:space="preserve"> [2023] VSC 781, [44]; </w:t>
      </w:r>
      <w:r w:rsidR="00A82558" w:rsidRPr="00A82558">
        <w:rPr>
          <w:rFonts w:ascii="Arial" w:hAnsi="Arial" w:cs="Arial"/>
          <w:i/>
          <w:iCs/>
          <w:color w:val="000000"/>
          <w:sz w:val="18"/>
          <w:szCs w:val="18"/>
        </w:rPr>
        <w:t>Timeless Sunrise</w:t>
      </w:r>
      <w:r w:rsidR="00A82558" w:rsidRPr="00A82558">
        <w:rPr>
          <w:rFonts w:ascii="Arial" w:hAnsi="Arial" w:cs="Arial"/>
          <w:color w:val="000000"/>
          <w:sz w:val="18"/>
          <w:szCs w:val="18"/>
        </w:rPr>
        <w:t xml:space="preserve"> [2023] VSC 524, [286]; </w:t>
      </w:r>
      <w:r w:rsidR="00A82558" w:rsidRPr="00A82558">
        <w:rPr>
          <w:rFonts w:ascii="Arial" w:hAnsi="Arial" w:cs="Arial"/>
          <w:i/>
          <w:iCs/>
          <w:color w:val="000000"/>
          <w:sz w:val="18"/>
          <w:szCs w:val="18"/>
        </w:rPr>
        <w:t>Turner</w:t>
      </w:r>
      <w:r w:rsidR="00A82558" w:rsidRPr="00A82558">
        <w:rPr>
          <w:rFonts w:ascii="Arial" w:hAnsi="Arial" w:cs="Arial"/>
          <w:color w:val="000000"/>
          <w:sz w:val="18"/>
          <w:szCs w:val="18"/>
        </w:rPr>
        <w:t xml:space="preserve"> [2025] NSWCA 83, [61]; </w:t>
      </w:r>
      <w:r w:rsidR="00A82558" w:rsidRPr="00A82558">
        <w:rPr>
          <w:rFonts w:ascii="Arial" w:hAnsi="Arial" w:cs="Arial"/>
          <w:i/>
          <w:iCs/>
          <w:color w:val="000000"/>
          <w:sz w:val="18"/>
          <w:szCs w:val="18"/>
        </w:rPr>
        <w:t>Country Club</w:t>
      </w:r>
      <w:r w:rsidR="00A82558" w:rsidRPr="00A82558">
        <w:rPr>
          <w:rFonts w:ascii="Arial" w:hAnsi="Arial" w:cs="Arial"/>
          <w:color w:val="000000"/>
          <w:sz w:val="18"/>
          <w:szCs w:val="18"/>
        </w:rPr>
        <w:t xml:space="preserve"> [2026] VSC 171, [49].</w:t>
      </w:r>
    </w:p>
    <w:p w14:paraId="529F6819" w14:textId="77777777" w:rsidR="00A82558" w:rsidRPr="00A82558" w:rsidRDefault="00A45E2E" w:rsidP="001975EB">
      <w:pPr>
        <w:spacing w:before="60"/>
        <w:ind w:left="567" w:right="567"/>
        <w:jc w:val="both"/>
        <w:rPr>
          <w:rFonts w:ascii="Arial" w:hAnsi="Arial" w:cs="Arial"/>
          <w:b/>
          <w:bCs/>
          <w:i/>
          <w:iCs/>
          <w:color w:val="000000"/>
          <w:sz w:val="18"/>
          <w:szCs w:val="18"/>
        </w:rPr>
      </w:pPr>
      <w:r w:rsidRPr="00A82558">
        <w:rPr>
          <w:rFonts w:ascii="Arial" w:hAnsi="Arial" w:cs="Arial"/>
          <w:b/>
          <w:bCs/>
          <w:i/>
          <w:iCs/>
          <w:color w:val="000000"/>
          <w:sz w:val="18"/>
          <w:szCs w:val="18"/>
        </w:rPr>
        <w:t>Surrounding context and inherent plausibility</w:t>
      </w:r>
    </w:p>
    <w:p w14:paraId="30758B24" w14:textId="1E3A2760" w:rsidR="00A82558" w:rsidRDefault="00001F15" w:rsidP="001975EB">
      <w:pPr>
        <w:spacing w:before="60"/>
        <w:ind w:left="567" w:right="567"/>
        <w:jc w:val="both"/>
        <w:rPr>
          <w:rFonts w:ascii="Arial" w:hAnsi="Arial" w:cs="Arial"/>
          <w:color w:val="000000"/>
          <w:sz w:val="18"/>
          <w:szCs w:val="18"/>
        </w:rPr>
      </w:pPr>
      <w:r>
        <w:rPr>
          <w:rFonts w:ascii="Arial" w:hAnsi="Arial" w:cs="Arial"/>
          <w:color w:val="000000"/>
          <w:sz w:val="18"/>
          <w:szCs w:val="18"/>
        </w:rPr>
        <w:t xml:space="preserve">[117] </w:t>
      </w:r>
      <w:r w:rsidR="00A45E2E" w:rsidRPr="006F03B9">
        <w:rPr>
          <w:rFonts w:ascii="Arial" w:hAnsi="Arial" w:cs="Arial"/>
          <w:color w:val="000000"/>
          <w:sz w:val="18"/>
          <w:szCs w:val="18"/>
        </w:rPr>
        <w:t>Surrounding circumstances, undisputed facts, the apparent logic of events, and the commercial context are all relevant to the assessment of what was most probably said or agreed. In commercial cases, an account that lacks commercial logic, or that describes an agreement a reasonable commercial party would be unlikely to have accepted, will be scrutinised with corresponding care</w:t>
      </w:r>
      <w:r w:rsidR="00A82558">
        <w:rPr>
          <w:rFonts w:ascii="Arial" w:hAnsi="Arial" w:cs="Arial"/>
          <w:color w:val="000000"/>
          <w:sz w:val="18"/>
          <w:szCs w:val="18"/>
        </w:rPr>
        <w:t xml:space="preserve">: </w:t>
      </w:r>
      <w:r w:rsidR="00A82558" w:rsidRPr="00A82558">
        <w:rPr>
          <w:rFonts w:ascii="Arial" w:hAnsi="Arial" w:cs="Arial"/>
          <w:i/>
          <w:iCs/>
          <w:color w:val="000000"/>
          <w:sz w:val="18"/>
          <w:szCs w:val="18"/>
        </w:rPr>
        <w:t>Timeless Sunrise</w:t>
      </w:r>
      <w:r w:rsidR="00A82558" w:rsidRPr="00A82558">
        <w:rPr>
          <w:rFonts w:ascii="Arial" w:hAnsi="Arial" w:cs="Arial"/>
          <w:color w:val="000000"/>
          <w:sz w:val="18"/>
          <w:szCs w:val="18"/>
        </w:rPr>
        <w:t xml:space="preserve"> [2023] VSC 524, [286]; </w:t>
      </w:r>
      <w:r w:rsidR="00A82558" w:rsidRPr="00A82558">
        <w:rPr>
          <w:rFonts w:ascii="Arial" w:hAnsi="Arial" w:cs="Arial"/>
          <w:i/>
          <w:iCs/>
          <w:color w:val="000000"/>
          <w:sz w:val="18"/>
          <w:szCs w:val="18"/>
        </w:rPr>
        <w:t>Turner</w:t>
      </w:r>
      <w:r w:rsidR="00A82558" w:rsidRPr="00A82558">
        <w:rPr>
          <w:rFonts w:ascii="Arial" w:hAnsi="Arial" w:cs="Arial"/>
          <w:color w:val="000000"/>
          <w:sz w:val="18"/>
          <w:szCs w:val="18"/>
        </w:rPr>
        <w:t xml:space="preserve"> [2025] NSWCA 83, [82];</w:t>
      </w:r>
      <w:r w:rsidR="00A82558" w:rsidRPr="00A82558">
        <w:rPr>
          <w:rFonts w:ascii="Arial" w:hAnsi="Arial" w:cs="Arial"/>
          <w:i/>
          <w:iCs/>
          <w:color w:val="000000"/>
          <w:sz w:val="18"/>
          <w:szCs w:val="18"/>
        </w:rPr>
        <w:t xml:space="preserve"> Realestate.com.au Pty Ltd v Hardingham RP Data Pty Ltd</w:t>
      </w:r>
      <w:r w:rsidR="00A82558" w:rsidRPr="00A82558">
        <w:rPr>
          <w:rFonts w:ascii="Arial" w:hAnsi="Arial" w:cs="Arial"/>
          <w:color w:val="000000"/>
          <w:sz w:val="18"/>
          <w:szCs w:val="18"/>
        </w:rPr>
        <w:t xml:space="preserve"> (2022) 277 CLR 115, [46]; </w:t>
      </w:r>
      <w:r w:rsidR="00A82558" w:rsidRPr="00A82558">
        <w:rPr>
          <w:rFonts w:ascii="Arial" w:hAnsi="Arial" w:cs="Arial"/>
          <w:i/>
          <w:iCs/>
          <w:color w:val="000000"/>
          <w:sz w:val="18"/>
          <w:szCs w:val="18"/>
        </w:rPr>
        <w:t>ET-China.com</w:t>
      </w:r>
      <w:r w:rsidR="00A82558" w:rsidRPr="00A82558">
        <w:rPr>
          <w:rFonts w:ascii="Arial" w:hAnsi="Arial" w:cs="Arial"/>
          <w:color w:val="000000"/>
          <w:sz w:val="18"/>
          <w:szCs w:val="18"/>
        </w:rPr>
        <w:t xml:space="preserve"> (2021) 388 ALR 128, [27]</w:t>
      </w:r>
      <w:r w:rsidR="00A82558">
        <w:rPr>
          <w:rFonts w:ascii="Arial" w:hAnsi="Arial" w:cs="Arial"/>
          <w:color w:val="000000"/>
          <w:sz w:val="18"/>
          <w:szCs w:val="18"/>
        </w:rPr>
        <w:noBreakHyphen/>
      </w:r>
      <w:r w:rsidR="00A82558" w:rsidRPr="00A82558">
        <w:rPr>
          <w:rFonts w:ascii="Arial" w:hAnsi="Arial" w:cs="Arial"/>
          <w:color w:val="000000"/>
          <w:sz w:val="18"/>
          <w:szCs w:val="18"/>
        </w:rPr>
        <w:t>[29].</w:t>
      </w:r>
    </w:p>
    <w:p w14:paraId="6E4A9CA4" w14:textId="5BF311F8" w:rsidR="00A82558" w:rsidRDefault="00001F15" w:rsidP="001975EB">
      <w:pPr>
        <w:spacing w:before="60"/>
        <w:ind w:left="567" w:right="567"/>
        <w:jc w:val="both"/>
        <w:rPr>
          <w:rFonts w:ascii="Arial" w:hAnsi="Arial" w:cs="Arial"/>
          <w:color w:val="000000"/>
          <w:sz w:val="18"/>
          <w:szCs w:val="18"/>
        </w:rPr>
      </w:pPr>
      <w:r>
        <w:rPr>
          <w:rFonts w:ascii="Arial" w:hAnsi="Arial" w:cs="Arial"/>
          <w:color w:val="000000"/>
          <w:sz w:val="18"/>
          <w:szCs w:val="18"/>
        </w:rPr>
        <w:t xml:space="preserve">[118] </w:t>
      </w:r>
      <w:r w:rsidR="00A45E2E" w:rsidRPr="006F03B9">
        <w:rPr>
          <w:rFonts w:ascii="Arial" w:hAnsi="Arial" w:cs="Arial"/>
          <w:color w:val="000000"/>
          <w:sz w:val="18"/>
          <w:szCs w:val="18"/>
        </w:rPr>
        <w:t xml:space="preserve">The parties’ conduct after the alleged conversation may be relevant both to whether an agreement was formed and to its terms. Where a party who asserts a contractual right has behaved </w:t>
      </w:r>
      <w:r w:rsidR="00A45E2E" w:rsidRPr="006F03B9">
        <w:rPr>
          <w:rFonts w:ascii="Arial" w:hAnsi="Arial" w:cs="Arial"/>
          <w:color w:val="000000"/>
          <w:sz w:val="18"/>
          <w:szCs w:val="18"/>
        </w:rPr>
        <w:lastRenderedPageBreak/>
        <w:t>in a manner inconsistent with holding that right, or where the claimed agreement has left no trace in subsequent dealings, those matters weigh against the account alleged. Conversely, consistent post-contractual conduct may provide corroborating support</w:t>
      </w:r>
      <w:r w:rsidR="003F3932">
        <w:rPr>
          <w:rFonts w:ascii="Arial" w:hAnsi="Arial" w:cs="Arial"/>
          <w:color w:val="000000"/>
          <w:sz w:val="18"/>
          <w:szCs w:val="18"/>
        </w:rPr>
        <w:t xml:space="preserve">: </w:t>
      </w:r>
      <w:r w:rsidR="003F3932" w:rsidRPr="003F3932">
        <w:rPr>
          <w:rFonts w:ascii="Arial" w:hAnsi="Arial" w:cs="Arial"/>
          <w:i/>
          <w:iCs/>
          <w:color w:val="000000"/>
          <w:sz w:val="18"/>
          <w:szCs w:val="18"/>
        </w:rPr>
        <w:t>Darzi Group Pty Ltd v Nolde Pty Ltd</w:t>
      </w:r>
      <w:r w:rsidR="003F3932" w:rsidRPr="00A82558">
        <w:rPr>
          <w:rFonts w:ascii="Arial" w:hAnsi="Arial" w:cs="Arial"/>
          <w:color w:val="000000"/>
          <w:sz w:val="18"/>
          <w:szCs w:val="18"/>
        </w:rPr>
        <w:t xml:space="preserve"> [2019] NSWCA 210, [159].</w:t>
      </w:r>
    </w:p>
    <w:p w14:paraId="40D407CC" w14:textId="4B2239AA" w:rsidR="003F3932" w:rsidRDefault="00001F15" w:rsidP="001975EB">
      <w:pPr>
        <w:spacing w:before="60"/>
        <w:ind w:left="567" w:right="567"/>
        <w:jc w:val="both"/>
        <w:rPr>
          <w:rFonts w:ascii="Arial" w:hAnsi="Arial" w:cs="Arial"/>
          <w:color w:val="000000"/>
          <w:sz w:val="18"/>
          <w:szCs w:val="18"/>
        </w:rPr>
      </w:pPr>
      <w:r>
        <w:rPr>
          <w:rFonts w:ascii="Arial" w:hAnsi="Arial" w:cs="Arial"/>
          <w:color w:val="000000"/>
          <w:sz w:val="18"/>
          <w:szCs w:val="18"/>
        </w:rPr>
        <w:t xml:space="preserve">[119] </w:t>
      </w:r>
      <w:r w:rsidR="00A45E2E" w:rsidRPr="00A82558">
        <w:rPr>
          <w:rFonts w:ascii="Arial" w:hAnsi="Arial" w:cs="Arial"/>
          <w:color w:val="000000"/>
          <w:sz w:val="18"/>
          <w:szCs w:val="18"/>
        </w:rPr>
        <w:t>The absence of any documentary record of a significant agreement in a commercial context where one might ordinarily be expected, is itself a matter bearing on the inherent plausibility of the alleged conversation. It does not preclude a finding that the agreement was made, but is a consideration to be weighed in the overall assessment.</w:t>
      </w:r>
    </w:p>
    <w:p w14:paraId="096D2407" w14:textId="4B27E010" w:rsidR="00A45E2E" w:rsidRPr="003F3932" w:rsidRDefault="003F3932" w:rsidP="00001F15">
      <w:pPr>
        <w:spacing w:before="60"/>
        <w:ind w:left="284" w:right="284"/>
        <w:jc w:val="both"/>
        <w:rPr>
          <w:rFonts w:ascii="Arial" w:hAnsi="Arial" w:cs="Arial"/>
          <w:color w:val="000000"/>
          <w:sz w:val="20"/>
          <w:szCs w:val="20"/>
        </w:rPr>
      </w:pPr>
      <w:r w:rsidRPr="003F3932">
        <w:rPr>
          <w:rFonts w:ascii="Arial" w:hAnsi="Arial" w:cs="Arial"/>
          <w:color w:val="000000"/>
          <w:sz w:val="20"/>
          <w:szCs w:val="20"/>
        </w:rPr>
        <w:t>[</w:t>
      </w:r>
      <w:r w:rsidR="00A45E2E" w:rsidRPr="003F3932">
        <w:rPr>
          <w:rFonts w:ascii="Arial" w:hAnsi="Arial" w:cs="Arial"/>
          <w:color w:val="000000"/>
          <w:sz w:val="20"/>
          <w:szCs w:val="20"/>
        </w:rPr>
        <w:t>132</w:t>
      </w:r>
      <w:r w:rsidRPr="003F3932">
        <w:rPr>
          <w:rFonts w:ascii="Arial" w:hAnsi="Arial" w:cs="Arial"/>
          <w:color w:val="000000"/>
          <w:sz w:val="20"/>
          <w:szCs w:val="20"/>
        </w:rPr>
        <w:t>]</w:t>
      </w:r>
      <w:r w:rsidR="00A45E2E" w:rsidRPr="003F3932">
        <w:rPr>
          <w:rFonts w:ascii="Arial" w:hAnsi="Arial" w:cs="Arial"/>
          <w:color w:val="000000"/>
          <w:sz w:val="20"/>
          <w:szCs w:val="20"/>
        </w:rPr>
        <w:t xml:space="preserve"> These issues were also discussed in </w:t>
      </w:r>
      <w:r w:rsidR="00A45E2E" w:rsidRPr="003F3932">
        <w:rPr>
          <w:rFonts w:ascii="Arial" w:hAnsi="Arial" w:cs="Arial"/>
          <w:i/>
          <w:iCs/>
          <w:color w:val="000000"/>
          <w:sz w:val="20"/>
          <w:szCs w:val="20"/>
        </w:rPr>
        <w:t xml:space="preserve">LL Up Pty Ltd v </w:t>
      </w:r>
      <w:proofErr w:type="spellStart"/>
      <w:r w:rsidR="00A45E2E" w:rsidRPr="003F3932">
        <w:rPr>
          <w:rFonts w:ascii="Arial" w:hAnsi="Arial" w:cs="Arial"/>
          <w:i/>
          <w:iCs/>
          <w:color w:val="000000"/>
          <w:sz w:val="20"/>
          <w:szCs w:val="20"/>
        </w:rPr>
        <w:t>Kegland</w:t>
      </w:r>
      <w:proofErr w:type="spellEnd"/>
      <w:r w:rsidR="00A45E2E" w:rsidRPr="003F3932">
        <w:rPr>
          <w:rFonts w:ascii="Arial" w:hAnsi="Arial" w:cs="Arial"/>
          <w:i/>
          <w:iCs/>
          <w:color w:val="000000"/>
          <w:sz w:val="20"/>
          <w:szCs w:val="20"/>
        </w:rPr>
        <w:t xml:space="preserve"> Distribution Pty Ltd</w:t>
      </w:r>
      <w:r w:rsidR="00A45E2E" w:rsidRPr="003F3932">
        <w:rPr>
          <w:rFonts w:ascii="Arial" w:hAnsi="Arial" w:cs="Arial"/>
          <w:color w:val="000000"/>
          <w:sz w:val="20"/>
          <w:szCs w:val="20"/>
        </w:rPr>
        <w:t xml:space="preserve"> [2024] VSC 651, [22]</w:t>
      </w:r>
      <w:proofErr w:type="gramStart"/>
      <w:r w:rsidR="0009165A" w:rsidRPr="006F03B9">
        <w:rPr>
          <w:rFonts w:ascii="Arial" w:hAnsi="Arial" w:cs="Arial"/>
          <w:color w:val="000000"/>
          <w:sz w:val="18"/>
          <w:szCs w:val="18"/>
        </w:rPr>
        <w:t>–</w:t>
      </w:r>
      <w:r w:rsidR="00A45E2E" w:rsidRPr="003F3932">
        <w:rPr>
          <w:rFonts w:ascii="Arial" w:hAnsi="Arial" w:cs="Arial"/>
          <w:color w:val="000000"/>
          <w:sz w:val="20"/>
          <w:szCs w:val="20"/>
        </w:rPr>
        <w:t>[</w:t>
      </w:r>
      <w:proofErr w:type="gramEnd"/>
      <w:r w:rsidR="00A45E2E" w:rsidRPr="003F3932">
        <w:rPr>
          <w:rFonts w:ascii="Arial" w:hAnsi="Arial" w:cs="Arial"/>
          <w:color w:val="000000"/>
          <w:sz w:val="20"/>
          <w:szCs w:val="20"/>
        </w:rPr>
        <w:t>24].</w:t>
      </w:r>
      <w:r>
        <w:rPr>
          <w:rFonts w:ascii="Arial" w:hAnsi="Arial" w:cs="Arial"/>
          <w:color w:val="000000"/>
          <w:sz w:val="20"/>
          <w:szCs w:val="20"/>
        </w:rPr>
        <w:t>”</w:t>
      </w:r>
    </w:p>
    <w:p w14:paraId="51C89EDB" w14:textId="77777777" w:rsidR="00A45E2E" w:rsidRDefault="00A45E2E" w:rsidP="000B2B0E">
      <w:pPr>
        <w:ind w:right="567"/>
        <w:jc w:val="both"/>
        <w:rPr>
          <w:rFonts w:ascii="Arial" w:hAnsi="Arial" w:cs="Arial"/>
          <w:color w:val="000000"/>
          <w:sz w:val="20"/>
          <w:szCs w:val="20"/>
        </w:rPr>
      </w:pPr>
    </w:p>
    <w:p w14:paraId="442674F6" w14:textId="5E8E2F0B" w:rsidR="00115A9E" w:rsidRDefault="00AF5922" w:rsidP="00AF5922">
      <w:pPr>
        <w:jc w:val="both"/>
        <w:rPr>
          <w:rFonts w:ascii="Arial" w:hAnsi="Arial" w:cs="Arial"/>
          <w:sz w:val="20"/>
        </w:rPr>
      </w:pPr>
      <w:r>
        <w:rPr>
          <w:rFonts w:ascii="Arial" w:hAnsi="Arial" w:cs="Arial"/>
          <w:sz w:val="20"/>
        </w:rPr>
        <w:t xml:space="preserve">In his dissenting judgment in </w:t>
      </w:r>
      <w:r w:rsidRPr="00AF5922">
        <w:rPr>
          <w:rFonts w:ascii="Arial" w:hAnsi="Arial" w:cs="Arial"/>
          <w:i/>
          <w:iCs/>
          <w:sz w:val="20"/>
        </w:rPr>
        <w:t>Pell v The Queen</w:t>
      </w:r>
      <w:r>
        <w:rPr>
          <w:rFonts w:ascii="Arial" w:hAnsi="Arial" w:cs="Arial"/>
          <w:sz w:val="20"/>
        </w:rPr>
        <w:t xml:space="preserve"> [2019] VSCA 186 at [897] Weinberg JA </w:t>
      </w:r>
      <w:r w:rsidR="00115A9E">
        <w:rPr>
          <w:rFonts w:ascii="Arial" w:hAnsi="Arial" w:cs="Arial"/>
          <w:sz w:val="20"/>
        </w:rPr>
        <w:t>made it clear that demeanour was only one in a number of factors relevant to an assessment of a witness’ evidence:</w:t>
      </w:r>
    </w:p>
    <w:p w14:paraId="3618EF29" w14:textId="77777777" w:rsidR="00AF5922" w:rsidRDefault="00AF5922" w:rsidP="00115A9E">
      <w:pPr>
        <w:spacing w:before="80"/>
        <w:ind w:left="567" w:right="567"/>
        <w:jc w:val="both"/>
        <w:rPr>
          <w:rFonts w:ascii="Arial" w:hAnsi="Arial" w:cs="Arial"/>
          <w:sz w:val="20"/>
        </w:rPr>
      </w:pPr>
      <w:r>
        <w:rPr>
          <w:rFonts w:ascii="Arial" w:hAnsi="Arial" w:cs="Arial"/>
          <w:sz w:val="20"/>
        </w:rPr>
        <w:t>“</w:t>
      </w:r>
      <w:r w:rsidRPr="00AF5922">
        <w:rPr>
          <w:rFonts w:ascii="Arial" w:hAnsi="Arial" w:cs="Arial"/>
          <w:sz w:val="20"/>
          <w:szCs w:val="20"/>
        </w:rPr>
        <w:t>The factors that any trier of fact, whether judge or jury, will ordinarily take into account when deciding whether the evidence of a particular witness is credible and reliable include: the inherent consistency of the witness’ account; the consistency of that account with those of other witnesses; the consistency of that account with undisputed facts; the ‘credit’ of the witness (based upon matters which include, for example, demeanour); any relevant infirmities of the witness; and, importantly, the inherent probability or improbability of the evidence in question.”</w:t>
      </w:r>
    </w:p>
    <w:p w14:paraId="51F409FB" w14:textId="77777777" w:rsidR="00AF5922" w:rsidRDefault="00AF5922" w:rsidP="00AF5922">
      <w:pPr>
        <w:jc w:val="both"/>
        <w:rPr>
          <w:rFonts w:ascii="Arial" w:hAnsi="Arial" w:cs="Arial"/>
          <w:sz w:val="20"/>
          <w:szCs w:val="20"/>
        </w:rPr>
      </w:pPr>
    </w:p>
    <w:p w14:paraId="3B51E827" w14:textId="36AF18CB" w:rsidR="00BD4176" w:rsidRDefault="00BD4176" w:rsidP="00AF5922">
      <w:pPr>
        <w:jc w:val="both"/>
        <w:rPr>
          <w:rFonts w:ascii="Arial" w:hAnsi="Arial" w:cs="Arial"/>
          <w:sz w:val="20"/>
          <w:szCs w:val="20"/>
        </w:rPr>
      </w:pPr>
      <w:r>
        <w:rPr>
          <w:rFonts w:ascii="Arial" w:hAnsi="Arial" w:cs="Arial"/>
          <w:sz w:val="20"/>
          <w:szCs w:val="20"/>
        </w:rPr>
        <w:t xml:space="preserve">In his comprehensive demolition of the credibility of the seventh defendant, Lin, in </w:t>
      </w:r>
      <w:r w:rsidRPr="00BD4176">
        <w:rPr>
          <w:rFonts w:ascii="Arial" w:hAnsi="Arial" w:cs="Arial"/>
          <w:i/>
          <w:iCs/>
          <w:sz w:val="20"/>
          <w:szCs w:val="20"/>
        </w:rPr>
        <w:t>Yeung v Zank Capital Ltd</w:t>
      </w:r>
      <w:r w:rsidRPr="00BD4176">
        <w:rPr>
          <w:rFonts w:ascii="Arial" w:hAnsi="Arial" w:cs="Arial"/>
          <w:sz w:val="20"/>
          <w:szCs w:val="20"/>
        </w:rPr>
        <w:t xml:space="preserve"> [2026] VSC 75</w:t>
      </w:r>
      <w:r>
        <w:rPr>
          <w:rFonts w:ascii="Arial" w:hAnsi="Arial" w:cs="Arial"/>
          <w:sz w:val="20"/>
          <w:szCs w:val="20"/>
        </w:rPr>
        <w:t xml:space="preserve"> at [82]-[92] Cosgrave J drew negative inferences both from Lin’s demeanour and from objective considerations.</w:t>
      </w:r>
    </w:p>
    <w:p w14:paraId="1D899002" w14:textId="77777777" w:rsidR="00BD4176" w:rsidRDefault="00BD4176" w:rsidP="00AF5922">
      <w:pPr>
        <w:jc w:val="both"/>
        <w:rPr>
          <w:rFonts w:ascii="Arial" w:hAnsi="Arial" w:cs="Arial"/>
          <w:sz w:val="20"/>
          <w:szCs w:val="20"/>
        </w:rPr>
      </w:pPr>
    </w:p>
    <w:p w14:paraId="059AB230" w14:textId="1F80B0A1" w:rsidR="002531BB" w:rsidRDefault="00FB1630">
      <w:pPr>
        <w:jc w:val="both"/>
        <w:rPr>
          <w:rFonts w:ascii="Arial" w:hAnsi="Arial" w:cs="Arial"/>
          <w:sz w:val="20"/>
          <w:szCs w:val="20"/>
        </w:rPr>
      </w:pPr>
      <w:r w:rsidRPr="004F7367">
        <w:rPr>
          <w:rFonts w:ascii="Arial" w:hAnsi="Arial" w:cs="Arial"/>
          <w:sz w:val="20"/>
          <w:szCs w:val="20"/>
        </w:rPr>
        <w:t xml:space="preserve">See also </w:t>
      </w:r>
      <w:r w:rsidRPr="004F7367">
        <w:rPr>
          <w:rFonts w:ascii="Arial" w:hAnsi="Arial" w:cs="Arial"/>
          <w:i/>
          <w:sz w:val="20"/>
          <w:szCs w:val="20"/>
        </w:rPr>
        <w:t>Insurance Manufacturers of Australia v Villella</w:t>
      </w:r>
      <w:r w:rsidRPr="004F7367">
        <w:rPr>
          <w:rFonts w:ascii="Arial" w:hAnsi="Arial" w:cs="Arial"/>
          <w:sz w:val="20"/>
          <w:szCs w:val="20"/>
        </w:rPr>
        <w:t xml:space="preserve"> [2007] VSC 94 at [26] per King J</w:t>
      </w:r>
      <w:r w:rsidR="001C577A">
        <w:rPr>
          <w:rFonts w:ascii="Arial" w:hAnsi="Arial" w:cs="Arial"/>
          <w:sz w:val="20"/>
          <w:szCs w:val="20"/>
        </w:rPr>
        <w:t xml:space="preserve">; </w:t>
      </w:r>
      <w:r w:rsidR="001C577A" w:rsidRPr="001C577A">
        <w:rPr>
          <w:rFonts w:ascii="Arial" w:hAnsi="Arial" w:cs="Arial"/>
          <w:i/>
          <w:iCs/>
          <w:sz w:val="20"/>
          <w:szCs w:val="20"/>
        </w:rPr>
        <w:t>Re Cassar</w:t>
      </w:r>
      <w:r w:rsidR="001C577A">
        <w:rPr>
          <w:rFonts w:ascii="Arial" w:hAnsi="Arial" w:cs="Arial"/>
          <w:sz w:val="20"/>
          <w:szCs w:val="20"/>
        </w:rPr>
        <w:t xml:space="preserve"> [2022] VSC 126 at [200] per Moore J</w:t>
      </w:r>
      <w:r w:rsidR="0005362E">
        <w:rPr>
          <w:rFonts w:ascii="Arial" w:hAnsi="Arial" w:cs="Arial"/>
          <w:sz w:val="20"/>
          <w:szCs w:val="20"/>
        </w:rPr>
        <w:t xml:space="preserve">; </w:t>
      </w:r>
      <w:r w:rsidR="0005362E" w:rsidRPr="0005362E">
        <w:rPr>
          <w:rFonts w:ascii="Arial" w:hAnsi="Arial" w:cs="Arial"/>
          <w:i/>
          <w:iCs/>
          <w:sz w:val="20"/>
          <w:szCs w:val="20"/>
        </w:rPr>
        <w:t>Re Klapsas; Klapsas v Muscat</w:t>
      </w:r>
      <w:r w:rsidR="0005362E">
        <w:rPr>
          <w:rFonts w:ascii="Arial" w:hAnsi="Arial" w:cs="Arial"/>
          <w:sz w:val="20"/>
          <w:szCs w:val="20"/>
        </w:rPr>
        <w:t xml:space="preserve"> [2022] VSC 755 at [108]-[128] per Walker JA</w:t>
      </w:r>
      <w:r w:rsidR="00333CE4">
        <w:rPr>
          <w:rFonts w:ascii="Arial" w:hAnsi="Arial" w:cs="Arial"/>
          <w:sz w:val="20"/>
          <w:szCs w:val="20"/>
        </w:rPr>
        <w:t xml:space="preserve">; </w:t>
      </w:r>
      <w:r w:rsidR="00333CE4" w:rsidRPr="00CB1286">
        <w:rPr>
          <w:rFonts w:ascii="Arial" w:hAnsi="Arial" w:cs="Arial"/>
          <w:i/>
          <w:iCs/>
          <w:sz w:val="20"/>
          <w:szCs w:val="20"/>
        </w:rPr>
        <w:t>China Insurance Group Finance Company Limited v Kingston (No 3)</w:t>
      </w:r>
      <w:r w:rsidR="00333CE4" w:rsidRPr="00CB1286">
        <w:rPr>
          <w:rFonts w:ascii="Arial" w:hAnsi="Arial" w:cs="Arial"/>
          <w:sz w:val="20"/>
          <w:szCs w:val="20"/>
        </w:rPr>
        <w:t xml:space="preserve"> [2023] VSC 6</w:t>
      </w:r>
      <w:r w:rsidR="00220EE2">
        <w:rPr>
          <w:rFonts w:ascii="Arial" w:hAnsi="Arial" w:cs="Arial"/>
          <w:sz w:val="20"/>
          <w:szCs w:val="20"/>
        </w:rPr>
        <w:t xml:space="preserve">; </w:t>
      </w:r>
      <w:r w:rsidR="00220EE2" w:rsidRPr="00220EE2">
        <w:rPr>
          <w:rFonts w:ascii="Arial" w:hAnsi="Arial" w:cs="Arial"/>
          <w:i/>
          <w:iCs/>
          <w:sz w:val="20"/>
          <w:szCs w:val="20"/>
        </w:rPr>
        <w:t>Double v The Salvation Army (Victoria) Property Trust</w:t>
      </w:r>
      <w:r w:rsidR="00220EE2">
        <w:rPr>
          <w:rFonts w:ascii="Arial" w:hAnsi="Arial" w:cs="Arial"/>
          <w:sz w:val="20"/>
          <w:szCs w:val="20"/>
        </w:rPr>
        <w:t xml:space="preserve"> [2023] VSC 452</w:t>
      </w:r>
      <w:r w:rsidR="004F1EE7">
        <w:rPr>
          <w:rFonts w:ascii="Arial" w:hAnsi="Arial" w:cs="Arial"/>
          <w:sz w:val="20"/>
          <w:szCs w:val="20"/>
        </w:rPr>
        <w:t xml:space="preserve">; </w:t>
      </w:r>
      <w:bookmarkStart w:id="614" w:name="_Hlk145579936"/>
      <w:r w:rsidR="004F1EE7" w:rsidRPr="004F1EE7">
        <w:rPr>
          <w:rFonts w:ascii="Arial" w:hAnsi="Arial" w:cs="Arial"/>
          <w:i/>
          <w:iCs/>
          <w:sz w:val="20"/>
        </w:rPr>
        <w:t>Salehi v Salehi</w:t>
      </w:r>
      <w:r w:rsidR="004F1EE7">
        <w:rPr>
          <w:rFonts w:ascii="Arial" w:hAnsi="Arial" w:cs="Arial"/>
          <w:sz w:val="20"/>
        </w:rPr>
        <w:t xml:space="preserve"> [2023] VSC 535 at [119]-</w:t>
      </w:r>
      <w:r w:rsidR="004F1EE7" w:rsidRPr="002531BB">
        <w:rPr>
          <w:rFonts w:ascii="Arial" w:hAnsi="Arial" w:cs="Arial"/>
          <w:sz w:val="20"/>
          <w:szCs w:val="20"/>
        </w:rPr>
        <w:t>[151] per Daly AsJ</w:t>
      </w:r>
      <w:r w:rsidR="002531BB" w:rsidRPr="002531BB">
        <w:rPr>
          <w:rFonts w:ascii="Arial" w:hAnsi="Arial" w:cs="Arial"/>
          <w:sz w:val="20"/>
          <w:szCs w:val="20"/>
        </w:rPr>
        <w:t xml:space="preserve">; </w:t>
      </w:r>
      <w:bookmarkEnd w:id="614"/>
      <w:r w:rsidR="002531BB" w:rsidRPr="002531BB">
        <w:rPr>
          <w:rFonts w:ascii="Arial" w:hAnsi="Arial" w:cs="Arial"/>
          <w:i/>
          <w:iCs/>
          <w:sz w:val="20"/>
          <w:szCs w:val="20"/>
        </w:rPr>
        <w:t>Glideware Pty Ltd v Hadad &amp; Anor</w:t>
      </w:r>
      <w:r w:rsidR="002531BB" w:rsidRPr="002531BB">
        <w:rPr>
          <w:rFonts w:ascii="Arial" w:hAnsi="Arial" w:cs="Arial"/>
          <w:sz w:val="20"/>
          <w:szCs w:val="20"/>
        </w:rPr>
        <w:t xml:space="preserve"> [2024] VSC 34</w:t>
      </w:r>
      <w:r w:rsidR="002531BB">
        <w:rPr>
          <w:rFonts w:ascii="Arial" w:hAnsi="Arial" w:cs="Arial"/>
          <w:sz w:val="20"/>
          <w:szCs w:val="20"/>
        </w:rPr>
        <w:t xml:space="preserve"> at [46]-[62] per Daly </w:t>
      </w:r>
      <w:proofErr w:type="spellStart"/>
      <w:r w:rsidR="002531BB">
        <w:rPr>
          <w:rFonts w:ascii="Arial" w:hAnsi="Arial" w:cs="Arial"/>
          <w:sz w:val="20"/>
          <w:szCs w:val="20"/>
        </w:rPr>
        <w:t>AsJ</w:t>
      </w:r>
      <w:proofErr w:type="spellEnd"/>
      <w:r w:rsidR="0018645E">
        <w:rPr>
          <w:rFonts w:ascii="Arial" w:hAnsi="Arial" w:cs="Arial"/>
          <w:sz w:val="20"/>
          <w:szCs w:val="20"/>
        </w:rPr>
        <w:t xml:space="preserve">; </w:t>
      </w:r>
      <w:r w:rsidR="0018645E" w:rsidRPr="0018645E">
        <w:rPr>
          <w:rFonts w:ascii="Arial" w:hAnsi="Arial" w:cs="Arial"/>
          <w:i/>
          <w:iCs/>
          <w:sz w:val="20"/>
          <w:szCs w:val="20"/>
        </w:rPr>
        <w:t xml:space="preserve">Rowson v </w:t>
      </w:r>
      <w:proofErr w:type="spellStart"/>
      <w:r w:rsidR="0018645E" w:rsidRPr="0018645E">
        <w:rPr>
          <w:rFonts w:ascii="Arial" w:hAnsi="Arial" w:cs="Arial"/>
          <w:i/>
          <w:iCs/>
          <w:sz w:val="20"/>
          <w:szCs w:val="20"/>
        </w:rPr>
        <w:t>Alpass</w:t>
      </w:r>
      <w:proofErr w:type="spellEnd"/>
      <w:r w:rsidR="0018645E" w:rsidRPr="0018645E">
        <w:rPr>
          <w:rFonts w:ascii="Arial" w:hAnsi="Arial" w:cs="Arial"/>
          <w:sz w:val="20"/>
          <w:szCs w:val="20"/>
        </w:rPr>
        <w:t xml:space="preserve"> [2026] VSCA 120</w:t>
      </w:r>
      <w:r w:rsidR="0018645E">
        <w:rPr>
          <w:rFonts w:ascii="Arial" w:hAnsi="Arial" w:cs="Arial"/>
          <w:sz w:val="20"/>
          <w:szCs w:val="20"/>
        </w:rPr>
        <w:t xml:space="preserve"> at [91]-[138].</w:t>
      </w:r>
    </w:p>
    <w:p w14:paraId="44F898D7" w14:textId="77777777" w:rsidR="0018645E" w:rsidRPr="002531BB" w:rsidRDefault="0018645E">
      <w:pPr>
        <w:jc w:val="both"/>
        <w:rPr>
          <w:rFonts w:ascii="Arial" w:hAnsi="Arial" w:cs="Arial"/>
          <w:sz w:val="20"/>
          <w:szCs w:val="20"/>
        </w:rPr>
      </w:pPr>
    </w:p>
    <w:p w14:paraId="358DB644" w14:textId="382C2186" w:rsidR="00DC56AA" w:rsidRDefault="00A13DCA">
      <w:pPr>
        <w:jc w:val="both"/>
        <w:rPr>
          <w:rFonts w:ascii="Arial" w:hAnsi="Arial" w:cs="Arial"/>
          <w:sz w:val="20"/>
          <w:szCs w:val="20"/>
        </w:rPr>
      </w:pPr>
      <w:r>
        <w:rPr>
          <w:rFonts w:ascii="Arial" w:hAnsi="Arial" w:cs="Arial"/>
          <w:sz w:val="20"/>
        </w:rPr>
        <w:t xml:space="preserve">A practical </w:t>
      </w:r>
      <w:r w:rsidR="004121E4">
        <w:rPr>
          <w:rFonts w:ascii="Arial" w:hAnsi="Arial" w:cs="Arial"/>
          <w:sz w:val="20"/>
        </w:rPr>
        <w:t>example</w:t>
      </w:r>
      <w:r>
        <w:rPr>
          <w:rFonts w:ascii="Arial" w:hAnsi="Arial" w:cs="Arial"/>
          <w:sz w:val="20"/>
        </w:rPr>
        <w:t xml:space="preserve"> of Sir Harry Gibbs’ </w:t>
      </w:r>
      <w:r w:rsidR="00885FB5">
        <w:rPr>
          <w:rFonts w:ascii="Arial" w:hAnsi="Arial" w:cs="Arial"/>
          <w:sz w:val="20"/>
        </w:rPr>
        <w:t>observation</w:t>
      </w:r>
      <w:r>
        <w:rPr>
          <w:rFonts w:ascii="Arial" w:hAnsi="Arial" w:cs="Arial"/>
          <w:sz w:val="20"/>
        </w:rPr>
        <w:t xml:space="preserve"> </w:t>
      </w:r>
      <w:r w:rsidR="00735ADA">
        <w:rPr>
          <w:rFonts w:ascii="Arial" w:hAnsi="Arial" w:cs="Arial"/>
          <w:sz w:val="20"/>
        </w:rPr>
        <w:t xml:space="preserve">and </w:t>
      </w:r>
      <w:r w:rsidR="0019628D">
        <w:rPr>
          <w:rFonts w:ascii="Arial" w:hAnsi="Arial" w:cs="Arial"/>
          <w:sz w:val="20"/>
        </w:rPr>
        <w:t xml:space="preserve">of </w:t>
      </w:r>
      <w:r w:rsidR="00735ADA">
        <w:rPr>
          <w:rFonts w:ascii="Arial" w:hAnsi="Arial" w:cs="Arial"/>
          <w:sz w:val="20"/>
        </w:rPr>
        <w:t xml:space="preserve">the dicta in </w:t>
      </w:r>
      <w:r w:rsidR="00735ADA" w:rsidRPr="00735ADA">
        <w:rPr>
          <w:rFonts w:ascii="Arial" w:hAnsi="Arial" w:cs="Arial"/>
          <w:i/>
          <w:iCs/>
          <w:sz w:val="20"/>
        </w:rPr>
        <w:t>Fox v Percy</w:t>
      </w:r>
      <w:r w:rsidR="00735ADA">
        <w:rPr>
          <w:rFonts w:ascii="Arial" w:hAnsi="Arial" w:cs="Arial"/>
          <w:sz w:val="20"/>
        </w:rPr>
        <w:t xml:space="preserve"> </w:t>
      </w:r>
      <w:r>
        <w:rPr>
          <w:rFonts w:ascii="Arial" w:hAnsi="Arial" w:cs="Arial"/>
          <w:sz w:val="20"/>
        </w:rPr>
        <w:t xml:space="preserve">is to be found in the judgment of M Osborne J in </w:t>
      </w:r>
      <w:r w:rsidRPr="00A13DCA">
        <w:rPr>
          <w:rFonts w:ascii="Arial" w:hAnsi="Arial" w:cs="Arial"/>
          <w:i/>
          <w:iCs/>
          <w:color w:val="000000"/>
          <w:sz w:val="20"/>
          <w:szCs w:val="20"/>
          <w:shd w:val="clear" w:color="auto" w:fill="FFFFFF"/>
        </w:rPr>
        <w:t>Pacreef Investments Pty Ltd v GTW Investments (Aust) Pty Ltd</w:t>
      </w:r>
      <w:r w:rsidRPr="00A13DCA">
        <w:rPr>
          <w:rFonts w:ascii="Arial" w:hAnsi="Arial" w:cs="Arial"/>
          <w:sz w:val="20"/>
          <w:szCs w:val="20"/>
        </w:rPr>
        <w:t xml:space="preserve"> [2022] VSC 56 at [15]:</w:t>
      </w:r>
    </w:p>
    <w:p w14:paraId="2F34AE21" w14:textId="5A53F421" w:rsidR="00A13DCA" w:rsidRDefault="00A13DCA" w:rsidP="00A13DCA">
      <w:pPr>
        <w:spacing w:before="60"/>
        <w:ind w:left="567" w:right="567"/>
        <w:jc w:val="both"/>
        <w:rPr>
          <w:rFonts w:ascii="Arial" w:hAnsi="Arial" w:cs="Arial"/>
          <w:sz w:val="20"/>
        </w:rPr>
      </w:pPr>
      <w:r>
        <w:rPr>
          <w:rFonts w:ascii="Arial" w:hAnsi="Arial" w:cs="Arial"/>
          <w:sz w:val="20"/>
        </w:rPr>
        <w:t>“</w:t>
      </w:r>
      <w:r w:rsidRPr="00A13DCA">
        <w:rPr>
          <w:rFonts w:ascii="Arial" w:hAnsi="Arial" w:cs="Arial"/>
          <w:color w:val="000000"/>
          <w:sz w:val="20"/>
          <w:szCs w:val="20"/>
          <w:lang w:eastAsia="en-AU"/>
        </w:rPr>
        <w:t>As is common in modern commercial disputes, a significant body of contemporaneous documentation, including a proliferation of emails, was produced.</w:t>
      </w:r>
      <w:r>
        <w:rPr>
          <w:rFonts w:ascii="Arial" w:hAnsi="Arial" w:cs="Arial"/>
          <w:color w:val="000000"/>
          <w:sz w:val="20"/>
          <w:szCs w:val="20"/>
          <w:lang w:eastAsia="en-AU"/>
        </w:rPr>
        <w:t xml:space="preserve"> </w:t>
      </w:r>
      <w:r w:rsidRPr="00A13DCA">
        <w:rPr>
          <w:rFonts w:ascii="Arial" w:hAnsi="Arial" w:cs="Arial"/>
          <w:color w:val="000000"/>
          <w:sz w:val="20"/>
          <w:szCs w:val="20"/>
          <w:lang w:eastAsia="en-AU"/>
        </w:rPr>
        <w:t xml:space="preserve"> This established a reliable and near comprehensive account of the events necessary to resolve the dispute.</w:t>
      </w:r>
      <w:r>
        <w:rPr>
          <w:rFonts w:ascii="Arial" w:hAnsi="Arial" w:cs="Arial"/>
          <w:color w:val="000000"/>
          <w:sz w:val="20"/>
          <w:szCs w:val="20"/>
          <w:lang w:eastAsia="en-AU"/>
        </w:rPr>
        <w:t xml:space="preserve"> </w:t>
      </w:r>
      <w:r w:rsidRPr="00A13DCA">
        <w:rPr>
          <w:rFonts w:ascii="Arial" w:hAnsi="Arial" w:cs="Arial"/>
          <w:color w:val="000000"/>
          <w:sz w:val="20"/>
          <w:szCs w:val="20"/>
          <w:lang w:eastAsia="en-AU"/>
        </w:rPr>
        <w:t xml:space="preserve"> In the fact-finding exercise which I have been required to undertake, I have found the contemporaneous documents of far greater assistance than the oral evidence, which was given by witnesses some years after the event.</w:t>
      </w:r>
      <w:r>
        <w:rPr>
          <w:rFonts w:ascii="Arial" w:hAnsi="Arial" w:cs="Arial"/>
          <w:color w:val="000000"/>
          <w:sz w:val="20"/>
          <w:szCs w:val="20"/>
          <w:lang w:eastAsia="en-AU"/>
        </w:rPr>
        <w:t>”</w:t>
      </w:r>
    </w:p>
    <w:p w14:paraId="7C143B52" w14:textId="77777777" w:rsidR="00A13DCA" w:rsidRPr="00A13DCA" w:rsidRDefault="00A13DCA">
      <w:pPr>
        <w:jc w:val="both"/>
        <w:rPr>
          <w:rFonts w:ascii="Arial" w:hAnsi="Arial" w:cs="Arial"/>
          <w:sz w:val="20"/>
          <w:szCs w:val="20"/>
        </w:rPr>
      </w:pPr>
    </w:p>
    <w:p w14:paraId="48EB97C1" w14:textId="28CAC96C" w:rsidR="00455D72" w:rsidRDefault="00A13DCA">
      <w:pPr>
        <w:jc w:val="both"/>
        <w:rPr>
          <w:rFonts w:ascii="Arial" w:hAnsi="Arial" w:cs="Arial"/>
          <w:sz w:val="20"/>
        </w:rPr>
      </w:pPr>
      <w:r>
        <w:rPr>
          <w:rFonts w:ascii="Arial" w:hAnsi="Arial" w:cs="Arial"/>
          <w:sz w:val="20"/>
        </w:rPr>
        <w:t xml:space="preserve">A very interesting illustration of Sir Harry Gibbs’ </w:t>
      </w:r>
      <w:r w:rsidR="00885FB5">
        <w:rPr>
          <w:rFonts w:ascii="Arial" w:hAnsi="Arial" w:cs="Arial"/>
          <w:sz w:val="20"/>
        </w:rPr>
        <w:t>observation</w:t>
      </w:r>
      <w:r>
        <w:rPr>
          <w:rFonts w:ascii="Arial" w:hAnsi="Arial" w:cs="Arial"/>
          <w:sz w:val="20"/>
        </w:rPr>
        <w:t xml:space="preserve"> </w:t>
      </w:r>
      <w:r w:rsidR="00D92FA4">
        <w:rPr>
          <w:rFonts w:ascii="Arial" w:hAnsi="Arial" w:cs="Arial"/>
          <w:sz w:val="20"/>
        </w:rPr>
        <w:t xml:space="preserve">– and an acknowledgement that </w:t>
      </w:r>
      <w:r w:rsidR="004C50DF">
        <w:rPr>
          <w:rFonts w:ascii="Arial" w:hAnsi="Arial" w:cs="Arial"/>
          <w:sz w:val="20"/>
        </w:rPr>
        <w:t xml:space="preserve">conflicting evidence does not necessarily mean that </w:t>
      </w:r>
      <w:r w:rsidR="00AC659F">
        <w:rPr>
          <w:rFonts w:ascii="Arial" w:hAnsi="Arial" w:cs="Arial"/>
          <w:sz w:val="20"/>
        </w:rPr>
        <w:t>a</w:t>
      </w:r>
      <w:r w:rsidR="004C50DF">
        <w:rPr>
          <w:rFonts w:ascii="Arial" w:hAnsi="Arial" w:cs="Arial"/>
          <w:sz w:val="20"/>
        </w:rPr>
        <w:t xml:space="preserve"> witness is lying – </w:t>
      </w:r>
      <w:r w:rsidR="00CA085E">
        <w:rPr>
          <w:rFonts w:ascii="Arial" w:hAnsi="Arial" w:cs="Arial"/>
          <w:sz w:val="20"/>
        </w:rPr>
        <w:t>is to be found in</w:t>
      </w:r>
      <w:r>
        <w:rPr>
          <w:rFonts w:ascii="Arial" w:hAnsi="Arial" w:cs="Arial"/>
          <w:sz w:val="20"/>
        </w:rPr>
        <w:t xml:space="preserve"> the judgment of Incerti J in </w:t>
      </w:r>
      <w:r w:rsidRPr="00455D72">
        <w:rPr>
          <w:rFonts w:ascii="Arial" w:hAnsi="Arial" w:cs="Arial"/>
          <w:i/>
          <w:iCs/>
          <w:sz w:val="20"/>
        </w:rPr>
        <w:t>Archer v Garcia</w:t>
      </w:r>
      <w:r>
        <w:rPr>
          <w:rFonts w:ascii="Arial" w:hAnsi="Arial" w:cs="Arial"/>
          <w:sz w:val="20"/>
        </w:rPr>
        <w:t xml:space="preserve"> [2022] VSC 57. This was an action in negligence brought by a motocross rider against the event manager and promotor of a monster truck and freestyle motocross event in country Victoria.  </w:t>
      </w:r>
      <w:r w:rsidR="00455D72">
        <w:rPr>
          <w:rFonts w:ascii="Arial" w:hAnsi="Arial" w:cs="Arial"/>
          <w:sz w:val="20"/>
        </w:rPr>
        <w:t xml:space="preserve">The rider – held by Incerti J to be an independent contractor – had been injured when he overshot the down ramp while completing an FMX jump.  </w:t>
      </w:r>
      <w:r w:rsidR="00380C1F">
        <w:rPr>
          <w:rFonts w:ascii="Arial" w:hAnsi="Arial" w:cs="Arial"/>
          <w:sz w:val="20"/>
        </w:rPr>
        <w:t xml:space="preserve">The down ramp was supposed to be positioned at a distance of 75 feet from the up ramp. In fact it was positioned at a distance of </w:t>
      </w:r>
      <w:r w:rsidR="00251510">
        <w:rPr>
          <w:rFonts w:ascii="Arial" w:hAnsi="Arial" w:cs="Arial"/>
          <w:sz w:val="20"/>
        </w:rPr>
        <w:t>less than 7</w:t>
      </w:r>
      <w:r w:rsidR="00380C1F">
        <w:rPr>
          <w:rFonts w:ascii="Arial" w:hAnsi="Arial" w:cs="Arial"/>
          <w:sz w:val="20"/>
        </w:rPr>
        <w:t>5 feet. A</w:t>
      </w:r>
      <w:r w:rsidR="00401D67">
        <w:rPr>
          <w:rFonts w:ascii="Arial" w:hAnsi="Arial" w:cs="Arial"/>
          <w:sz w:val="20"/>
        </w:rPr>
        <w:t xml:space="preserve"> </w:t>
      </w:r>
      <w:r w:rsidR="00380C1F">
        <w:rPr>
          <w:rFonts w:ascii="Arial" w:hAnsi="Arial" w:cs="Arial"/>
          <w:sz w:val="20"/>
        </w:rPr>
        <w:t>major factual issue was whether the plaintiff was warned of the ramp misplacement by a ‘stunt clown’, Mr</w:t>
      </w:r>
      <w:r w:rsidR="00CA085E">
        <w:rPr>
          <w:rFonts w:ascii="Arial" w:hAnsi="Arial" w:cs="Arial"/>
          <w:sz w:val="20"/>
        </w:rPr>
        <w:t> </w:t>
      </w:r>
      <w:r w:rsidR="00380C1F">
        <w:rPr>
          <w:rFonts w:ascii="Arial" w:hAnsi="Arial" w:cs="Arial"/>
          <w:sz w:val="20"/>
        </w:rPr>
        <w:t xml:space="preserve">Bowen. </w:t>
      </w:r>
      <w:bookmarkStart w:id="615" w:name="_Hlk96417904"/>
      <w:r w:rsidR="00A70980">
        <w:rPr>
          <w:rFonts w:ascii="Arial" w:hAnsi="Arial" w:cs="Arial"/>
          <w:sz w:val="20"/>
        </w:rPr>
        <w:t>Ultimately</w:t>
      </w:r>
      <w:r w:rsidR="00380C1F">
        <w:rPr>
          <w:rFonts w:ascii="Arial" w:hAnsi="Arial" w:cs="Arial"/>
          <w:sz w:val="20"/>
        </w:rPr>
        <w:t xml:space="preserve"> this case developed into something </w:t>
      </w:r>
      <w:r w:rsidR="00A70980">
        <w:rPr>
          <w:rFonts w:ascii="Arial" w:hAnsi="Arial" w:cs="Arial"/>
          <w:sz w:val="20"/>
        </w:rPr>
        <w:t>akin to</w:t>
      </w:r>
      <w:r w:rsidR="00380C1F">
        <w:rPr>
          <w:rFonts w:ascii="Arial" w:hAnsi="Arial" w:cs="Arial"/>
          <w:sz w:val="20"/>
        </w:rPr>
        <w:t xml:space="preserve"> an experiment into the functioning of the human brain. </w:t>
      </w:r>
      <w:bookmarkEnd w:id="615"/>
      <w:r w:rsidR="00455D72">
        <w:rPr>
          <w:rFonts w:ascii="Arial" w:hAnsi="Arial" w:cs="Arial"/>
          <w:sz w:val="20"/>
        </w:rPr>
        <w:t xml:space="preserve">Nine witnesses gave </w:t>
      </w:r>
      <w:r w:rsidR="00455D72" w:rsidRPr="00E07077">
        <w:rPr>
          <w:rFonts w:ascii="Arial" w:hAnsi="Arial" w:cs="Arial"/>
          <w:i/>
          <w:iCs/>
          <w:sz w:val="20"/>
        </w:rPr>
        <w:t>viva voce</w:t>
      </w:r>
      <w:r w:rsidR="00455D72">
        <w:rPr>
          <w:rFonts w:ascii="Arial" w:hAnsi="Arial" w:cs="Arial"/>
          <w:sz w:val="20"/>
        </w:rPr>
        <w:t xml:space="preserve"> evidence, five for the plaintiff and four for the defendant. </w:t>
      </w:r>
      <w:r w:rsidR="00E07077">
        <w:rPr>
          <w:rFonts w:ascii="Arial" w:hAnsi="Arial" w:cs="Arial"/>
          <w:sz w:val="20"/>
        </w:rPr>
        <w:t>At the time they gave evidence they were unaware of the existence of a one</w:t>
      </w:r>
      <w:r w:rsidR="004C50DF">
        <w:rPr>
          <w:rFonts w:ascii="Arial" w:hAnsi="Arial" w:cs="Arial"/>
          <w:sz w:val="20"/>
        </w:rPr>
        <w:t>-</w:t>
      </w:r>
      <w:r w:rsidR="00E07077">
        <w:rPr>
          <w:rFonts w:ascii="Arial" w:hAnsi="Arial" w:cs="Arial"/>
          <w:sz w:val="20"/>
        </w:rPr>
        <w:t>hour</w:t>
      </w:r>
      <w:r w:rsidR="004C50DF">
        <w:rPr>
          <w:rFonts w:ascii="Arial" w:hAnsi="Arial" w:cs="Arial"/>
          <w:sz w:val="20"/>
        </w:rPr>
        <w:t>-</w:t>
      </w:r>
      <w:r w:rsidR="00E07077">
        <w:rPr>
          <w:rFonts w:ascii="Arial" w:hAnsi="Arial" w:cs="Arial"/>
          <w:sz w:val="20"/>
        </w:rPr>
        <w:t xml:space="preserve">long video of the event. Subsequently the defendant </w:t>
      </w:r>
      <w:r w:rsidR="00A70980">
        <w:rPr>
          <w:rFonts w:ascii="Arial" w:hAnsi="Arial" w:cs="Arial"/>
          <w:sz w:val="20"/>
        </w:rPr>
        <w:t xml:space="preserve">(who had no solicitor and was represented by a barrister </w:t>
      </w:r>
      <w:r w:rsidR="00A70980">
        <w:rPr>
          <w:rFonts w:ascii="Arial" w:hAnsi="Arial" w:cs="Arial"/>
          <w:sz w:val="20"/>
          <w:szCs w:val="20"/>
        </w:rPr>
        <w:t>briefed directly pursuant to Victorian Bar Pro Bono Scheme</w:t>
      </w:r>
      <w:r w:rsidR="00A70980">
        <w:rPr>
          <w:rFonts w:ascii="Arial" w:hAnsi="Arial" w:cs="Arial"/>
          <w:sz w:val="20"/>
        </w:rPr>
        <w:t xml:space="preserve">) </w:t>
      </w:r>
      <w:r w:rsidR="00E07077">
        <w:rPr>
          <w:rFonts w:ascii="Arial" w:hAnsi="Arial" w:cs="Arial"/>
          <w:sz w:val="20"/>
        </w:rPr>
        <w:t>became aware of this video and was granted leave to reopen his ca</w:t>
      </w:r>
      <w:r w:rsidR="00AC659F">
        <w:rPr>
          <w:rFonts w:ascii="Arial" w:hAnsi="Arial" w:cs="Arial"/>
          <w:sz w:val="20"/>
        </w:rPr>
        <w:t>s</w:t>
      </w:r>
      <w:r w:rsidR="00E07077">
        <w:rPr>
          <w:rFonts w:ascii="Arial" w:hAnsi="Arial" w:cs="Arial"/>
          <w:sz w:val="20"/>
        </w:rPr>
        <w:t xml:space="preserve">e for the purpose of adducing the video evidence. The plaintiff, the defendant and </w:t>
      </w:r>
      <w:r w:rsidR="00D92FA4">
        <w:rPr>
          <w:rFonts w:ascii="Arial" w:hAnsi="Arial" w:cs="Arial"/>
          <w:sz w:val="20"/>
        </w:rPr>
        <w:t>the</w:t>
      </w:r>
      <w:r w:rsidR="00E07077">
        <w:rPr>
          <w:rFonts w:ascii="Arial" w:hAnsi="Arial" w:cs="Arial"/>
          <w:sz w:val="20"/>
        </w:rPr>
        <w:t xml:space="preserve"> clown – who was one of the defendant’s witnesses – were recalled</w:t>
      </w:r>
      <w:r w:rsidR="00D92FA4">
        <w:rPr>
          <w:rFonts w:ascii="Arial" w:hAnsi="Arial" w:cs="Arial"/>
          <w:sz w:val="20"/>
        </w:rPr>
        <w:t>.</w:t>
      </w:r>
      <w:r w:rsidR="00E07077">
        <w:rPr>
          <w:rFonts w:ascii="Arial" w:hAnsi="Arial" w:cs="Arial"/>
          <w:sz w:val="20"/>
        </w:rPr>
        <w:t xml:space="preserve"> </w:t>
      </w:r>
      <w:r w:rsidR="00455D72">
        <w:rPr>
          <w:rFonts w:ascii="Arial" w:hAnsi="Arial" w:cs="Arial"/>
          <w:sz w:val="20"/>
        </w:rPr>
        <w:t>Incerti</w:t>
      </w:r>
      <w:r w:rsidR="0019628D">
        <w:rPr>
          <w:rFonts w:ascii="Arial" w:hAnsi="Arial" w:cs="Arial"/>
          <w:sz w:val="20"/>
        </w:rPr>
        <w:t> </w:t>
      </w:r>
      <w:r w:rsidR="00455D72">
        <w:rPr>
          <w:rFonts w:ascii="Arial" w:hAnsi="Arial" w:cs="Arial"/>
          <w:sz w:val="20"/>
        </w:rPr>
        <w:t>J dismissed the plaintiff’s action. At [</w:t>
      </w:r>
      <w:r w:rsidR="00D92FA4">
        <w:rPr>
          <w:rFonts w:ascii="Arial" w:hAnsi="Arial" w:cs="Arial"/>
          <w:sz w:val="20"/>
        </w:rPr>
        <w:t>127</w:t>
      </w:r>
      <w:r w:rsidR="00455D72">
        <w:rPr>
          <w:rFonts w:ascii="Arial" w:hAnsi="Arial" w:cs="Arial"/>
          <w:sz w:val="20"/>
        </w:rPr>
        <w:t>]</w:t>
      </w:r>
      <w:r w:rsidR="000E4F95">
        <w:rPr>
          <w:rFonts w:ascii="Arial" w:hAnsi="Arial" w:cs="Arial"/>
          <w:sz w:val="20"/>
        </w:rPr>
        <w:t>-</w:t>
      </w:r>
      <w:r w:rsidR="00455D72">
        <w:rPr>
          <w:rFonts w:ascii="Arial" w:hAnsi="Arial" w:cs="Arial"/>
          <w:sz w:val="20"/>
        </w:rPr>
        <w:t>[</w:t>
      </w:r>
      <w:r w:rsidR="00D92FA4">
        <w:rPr>
          <w:rFonts w:ascii="Arial" w:hAnsi="Arial" w:cs="Arial"/>
          <w:sz w:val="20"/>
        </w:rPr>
        <w:t>135</w:t>
      </w:r>
      <w:r w:rsidR="00455D72">
        <w:rPr>
          <w:rFonts w:ascii="Arial" w:hAnsi="Arial" w:cs="Arial"/>
          <w:sz w:val="20"/>
        </w:rPr>
        <w:t>] her Honour said:</w:t>
      </w:r>
    </w:p>
    <w:p w14:paraId="5B633C89" w14:textId="4789088A" w:rsidR="00D92FA4" w:rsidRPr="00D92FA4" w:rsidRDefault="00D92FA4" w:rsidP="00D92FA4">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[127] “</w:t>
      </w:r>
      <w:r w:rsidRPr="00D92FA4">
        <w:rPr>
          <w:rFonts w:ascii="Arial" w:hAnsi="Arial" w:cs="Arial"/>
          <w:sz w:val="20"/>
          <w:szCs w:val="20"/>
        </w:rPr>
        <w:t>Relevantly, the footage is not entirely consistent with the</w:t>
      </w:r>
      <w:r w:rsidR="00A96B39">
        <w:rPr>
          <w:rFonts w:ascii="Arial" w:hAnsi="Arial" w:cs="Arial"/>
          <w:sz w:val="20"/>
          <w:szCs w:val="20"/>
        </w:rPr>
        <w:t xml:space="preserve"> </w:t>
      </w:r>
      <w:r w:rsidRPr="00D92FA4">
        <w:rPr>
          <w:rFonts w:ascii="Arial" w:hAnsi="Arial" w:cs="Arial"/>
          <w:i/>
          <w:iCs/>
          <w:sz w:val="20"/>
          <w:szCs w:val="20"/>
        </w:rPr>
        <w:t>viva voce</w:t>
      </w:r>
      <w:r w:rsidR="00A96B39">
        <w:rPr>
          <w:rFonts w:ascii="Arial" w:hAnsi="Arial" w:cs="Arial"/>
          <w:i/>
          <w:iCs/>
          <w:sz w:val="20"/>
          <w:szCs w:val="20"/>
        </w:rPr>
        <w:t xml:space="preserve"> </w:t>
      </w:r>
      <w:r w:rsidRPr="00D92FA4">
        <w:rPr>
          <w:rFonts w:ascii="Arial" w:hAnsi="Arial" w:cs="Arial"/>
          <w:sz w:val="20"/>
          <w:szCs w:val="20"/>
        </w:rPr>
        <w:t>evidence of any one witness.</w:t>
      </w:r>
      <w:r w:rsidR="004C50DF">
        <w:rPr>
          <w:rFonts w:ascii="Arial" w:hAnsi="Arial" w:cs="Arial"/>
          <w:sz w:val="20"/>
          <w:szCs w:val="20"/>
        </w:rPr>
        <w:t xml:space="preserve"> </w:t>
      </w:r>
      <w:r w:rsidRPr="00D92FA4">
        <w:rPr>
          <w:rFonts w:ascii="Arial" w:hAnsi="Arial" w:cs="Arial"/>
          <w:sz w:val="20"/>
          <w:szCs w:val="20"/>
        </w:rPr>
        <w:t>Of course, this is not surprising — it is well established that memory formation is a complex phenomenon that does not operate in the manner of a mechanical recording device.</w:t>
      </w:r>
      <w:r>
        <w:rPr>
          <w:rFonts w:ascii="Arial" w:hAnsi="Arial" w:cs="Arial"/>
          <w:sz w:val="20"/>
          <w:szCs w:val="20"/>
        </w:rPr>
        <w:t xml:space="preserve"> </w:t>
      </w:r>
      <w:r w:rsidRPr="00D92FA4">
        <w:rPr>
          <w:rFonts w:ascii="Arial" w:hAnsi="Arial" w:cs="Arial"/>
          <w:sz w:val="20"/>
          <w:szCs w:val="20"/>
        </w:rPr>
        <w:t xml:space="preserve">Honestly held memories can be unreliable and memories change with the passage </w:t>
      </w:r>
      <w:r w:rsidRPr="00D92FA4">
        <w:rPr>
          <w:rFonts w:ascii="Arial" w:hAnsi="Arial" w:cs="Arial"/>
          <w:sz w:val="20"/>
          <w:szCs w:val="20"/>
        </w:rPr>
        <w:lastRenderedPageBreak/>
        <w:t>of time.</w:t>
      </w:r>
      <w:r>
        <w:rPr>
          <w:rFonts w:ascii="Arial" w:hAnsi="Arial" w:cs="Arial"/>
          <w:sz w:val="20"/>
          <w:szCs w:val="20"/>
        </w:rPr>
        <w:t xml:space="preserve"> </w:t>
      </w:r>
      <w:r w:rsidRPr="00D92FA4">
        <w:rPr>
          <w:rFonts w:ascii="Arial" w:hAnsi="Arial" w:cs="Arial"/>
          <w:sz w:val="20"/>
          <w:szCs w:val="20"/>
        </w:rPr>
        <w:t>In an oft-quoted passage from</w:t>
      </w:r>
      <w:r w:rsidR="00401D67">
        <w:rPr>
          <w:rFonts w:ascii="Arial" w:hAnsi="Arial" w:cs="Arial"/>
          <w:sz w:val="20"/>
          <w:szCs w:val="20"/>
        </w:rPr>
        <w:t xml:space="preserve"> </w:t>
      </w:r>
      <w:r w:rsidRPr="00D92FA4">
        <w:rPr>
          <w:rFonts w:ascii="Arial" w:hAnsi="Arial" w:cs="Arial"/>
          <w:i/>
          <w:iCs/>
          <w:sz w:val="20"/>
          <w:szCs w:val="20"/>
        </w:rPr>
        <w:t>Watson v Foxman</w:t>
      </w:r>
      <w:r>
        <w:rPr>
          <w:rFonts w:ascii="Arial" w:hAnsi="Arial" w:cs="Arial"/>
          <w:i/>
          <w:iCs/>
          <w:sz w:val="20"/>
          <w:szCs w:val="20"/>
        </w:rPr>
        <w:t xml:space="preserve"> </w:t>
      </w:r>
      <w:r w:rsidRPr="00D92FA4">
        <w:rPr>
          <w:rFonts w:ascii="Arial" w:hAnsi="Arial" w:cs="Arial"/>
          <w:sz w:val="20"/>
          <w:szCs w:val="20"/>
        </w:rPr>
        <w:t>(1995) 49 NSWLR 315, 318-9</w:t>
      </w:r>
      <w:r w:rsidRPr="00D92FA4">
        <w:rPr>
          <w:rFonts w:ascii="Arial" w:hAnsi="Arial" w:cs="Arial"/>
          <w:i/>
          <w:iCs/>
          <w:sz w:val="20"/>
          <w:szCs w:val="20"/>
        </w:rPr>
        <w:t>,</w:t>
      </w:r>
      <w:r>
        <w:rPr>
          <w:rFonts w:ascii="Arial" w:hAnsi="Arial" w:cs="Arial"/>
          <w:i/>
          <w:iCs/>
          <w:sz w:val="20"/>
          <w:szCs w:val="20"/>
        </w:rPr>
        <w:t xml:space="preserve"> </w:t>
      </w:r>
      <w:r w:rsidRPr="00D92FA4">
        <w:rPr>
          <w:rFonts w:ascii="Arial" w:hAnsi="Arial" w:cs="Arial"/>
          <w:sz w:val="20"/>
          <w:szCs w:val="20"/>
        </w:rPr>
        <w:t>a</w:t>
      </w:r>
      <w:r w:rsidR="00401D67">
        <w:rPr>
          <w:rFonts w:ascii="Arial" w:hAnsi="Arial" w:cs="Arial"/>
          <w:sz w:val="20"/>
          <w:szCs w:val="20"/>
        </w:rPr>
        <w:t> </w:t>
      </w:r>
      <w:r w:rsidRPr="00D92FA4">
        <w:rPr>
          <w:rFonts w:ascii="Arial" w:hAnsi="Arial" w:cs="Arial"/>
          <w:sz w:val="20"/>
          <w:szCs w:val="20"/>
        </w:rPr>
        <w:t>case concerning allegedly misleading spoken words, McClelland CJ said:</w:t>
      </w:r>
    </w:p>
    <w:p w14:paraId="091645F7" w14:textId="592546FC" w:rsidR="00D92FA4" w:rsidRPr="00D46F41" w:rsidRDefault="00D92FA4" w:rsidP="00292662">
      <w:pPr>
        <w:pStyle w:val="NormalWeb"/>
        <w:shd w:val="clear" w:color="auto" w:fill="FFFFFF"/>
        <w:spacing w:before="80" w:beforeAutospacing="0" w:after="0" w:afterAutospacing="0"/>
        <w:ind w:left="1134" w:right="1134"/>
        <w:jc w:val="both"/>
        <w:rPr>
          <w:rFonts w:ascii="Arial" w:hAnsi="Arial" w:cs="Arial"/>
          <w:sz w:val="18"/>
          <w:szCs w:val="18"/>
        </w:rPr>
      </w:pPr>
      <w:r w:rsidRPr="00D46F41">
        <w:rPr>
          <w:rFonts w:ascii="Arial" w:hAnsi="Arial" w:cs="Arial"/>
          <w:sz w:val="18"/>
          <w:szCs w:val="18"/>
        </w:rPr>
        <w:t>‘[H]uman memory of what was said in a conversation is fallible for a variety of reasons, and ordinarily the degree of fallibility increases with the passage of time, particularly where disputes or litigation intervene, and the processes of memory are overlaid, often subconsciously, by perceptions or self-interest as well as conscious consideration of what should have been said or could have been said.  All too often what is actually remembered is little more than an impression from which plausible details are then, again often subconsciously, constructed. All this is a matter of ordinary human experience.’</w:t>
      </w:r>
    </w:p>
    <w:p w14:paraId="00D712D2" w14:textId="2F31F79F" w:rsidR="00D92FA4" w:rsidRDefault="00D92FA4"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[128] </w:t>
      </w:r>
      <w:r w:rsidRPr="00D92FA4">
        <w:rPr>
          <w:rFonts w:ascii="Arial" w:hAnsi="Arial" w:cs="Arial"/>
          <w:sz w:val="20"/>
          <w:szCs w:val="20"/>
        </w:rPr>
        <w:t>In</w:t>
      </w:r>
      <w:r w:rsidR="004C50DF">
        <w:rPr>
          <w:rFonts w:ascii="Arial" w:hAnsi="Arial" w:cs="Arial"/>
          <w:sz w:val="20"/>
          <w:szCs w:val="20"/>
        </w:rPr>
        <w:t xml:space="preserve"> </w:t>
      </w:r>
      <w:r w:rsidRPr="00D92FA4">
        <w:rPr>
          <w:rFonts w:ascii="Arial" w:hAnsi="Arial" w:cs="Arial"/>
          <w:i/>
          <w:iCs/>
          <w:sz w:val="20"/>
          <w:szCs w:val="20"/>
        </w:rPr>
        <w:t>Graham v The Queen,</w:t>
      </w:r>
      <w:r>
        <w:rPr>
          <w:rFonts w:ascii="Arial" w:hAnsi="Arial" w:cs="Arial"/>
          <w:i/>
          <w:iCs/>
          <w:sz w:val="20"/>
          <w:szCs w:val="20"/>
        </w:rPr>
        <w:t xml:space="preserve"> </w:t>
      </w:r>
      <w:r w:rsidRPr="00D92FA4">
        <w:rPr>
          <w:rFonts w:ascii="Arial" w:hAnsi="Arial" w:cs="Arial"/>
          <w:sz w:val="20"/>
          <w:szCs w:val="20"/>
        </w:rPr>
        <w:t xml:space="preserve">Gaudron, Gummow and Hayne JJ </w:t>
      </w:r>
      <w:r w:rsidR="00A96B39">
        <w:rPr>
          <w:rFonts w:ascii="Arial" w:hAnsi="Arial" w:cs="Arial"/>
          <w:sz w:val="20"/>
          <w:szCs w:val="20"/>
        </w:rPr>
        <w:t xml:space="preserve">(1998) 195 CLR 606, 608 [5] </w:t>
      </w:r>
      <w:r w:rsidRPr="00D92FA4">
        <w:rPr>
          <w:rFonts w:ascii="Arial" w:hAnsi="Arial" w:cs="Arial"/>
          <w:sz w:val="20"/>
          <w:szCs w:val="20"/>
        </w:rPr>
        <w:t xml:space="preserve">similarly noted that, ‘whatever a person may believe, and no matter how earnestly that person may try to be accurate, experience demonstrates that the memory of events does change as time passes.’ </w:t>
      </w:r>
      <w:r w:rsidR="00A96B39">
        <w:rPr>
          <w:rFonts w:ascii="Arial" w:hAnsi="Arial" w:cs="Arial"/>
          <w:sz w:val="20"/>
          <w:szCs w:val="20"/>
        </w:rPr>
        <w:t xml:space="preserve"> </w:t>
      </w:r>
      <w:r w:rsidRPr="00D92FA4">
        <w:rPr>
          <w:rFonts w:ascii="Arial" w:hAnsi="Arial" w:cs="Arial"/>
          <w:sz w:val="20"/>
          <w:szCs w:val="20"/>
        </w:rPr>
        <w:t>In the present case, almost six years had passed between the events in question and the witnesses giving evidence of those events.</w:t>
      </w:r>
    </w:p>
    <w:p w14:paraId="6B662250" w14:textId="3CDBF61C" w:rsidR="00A96B39" w:rsidRDefault="00A96B39"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[129] </w:t>
      </w:r>
      <w:r w:rsidRPr="00A96B39">
        <w:rPr>
          <w:rFonts w:ascii="Arial" w:hAnsi="Arial" w:cs="Arial"/>
          <w:sz w:val="20"/>
          <w:szCs w:val="20"/>
        </w:rPr>
        <w:t>By chance of fate, this case included a rare opportunity to test the accuracy of witness</w:t>
      </w:r>
      <w:r w:rsidR="00885FB5">
        <w:rPr>
          <w:rFonts w:ascii="Arial" w:hAnsi="Arial" w:cs="Arial"/>
          <w:sz w:val="20"/>
          <w:szCs w:val="20"/>
        </w:rPr>
        <w:t xml:space="preserve"> </w:t>
      </w:r>
      <w:r w:rsidRPr="00A96B39">
        <w:rPr>
          <w:rFonts w:ascii="Arial" w:hAnsi="Arial" w:cs="Arial"/>
          <w:sz w:val="20"/>
          <w:szCs w:val="20"/>
        </w:rPr>
        <w:t>memories by comparing their</w:t>
      </w:r>
      <w:r>
        <w:rPr>
          <w:rFonts w:ascii="Arial" w:hAnsi="Arial" w:cs="Arial"/>
          <w:sz w:val="20"/>
          <w:szCs w:val="20"/>
        </w:rPr>
        <w:t xml:space="preserve"> </w:t>
      </w:r>
      <w:r w:rsidRPr="00A96B39">
        <w:rPr>
          <w:rFonts w:ascii="Arial" w:hAnsi="Arial" w:cs="Arial"/>
          <w:i/>
          <w:iCs/>
          <w:sz w:val="20"/>
          <w:szCs w:val="20"/>
        </w:rPr>
        <w:t>viva voce</w:t>
      </w:r>
      <w:r>
        <w:rPr>
          <w:rFonts w:ascii="Arial" w:hAnsi="Arial" w:cs="Arial"/>
          <w:i/>
          <w:iCs/>
          <w:sz w:val="20"/>
          <w:szCs w:val="20"/>
        </w:rPr>
        <w:t xml:space="preserve"> </w:t>
      </w:r>
      <w:r w:rsidRPr="00A96B39">
        <w:rPr>
          <w:rFonts w:ascii="Arial" w:hAnsi="Arial" w:cs="Arial"/>
          <w:sz w:val="20"/>
          <w:szCs w:val="20"/>
        </w:rPr>
        <w:t>evidence to a relevant</w:t>
      </w:r>
      <w:r w:rsidR="00885FB5">
        <w:rPr>
          <w:rFonts w:ascii="Arial" w:hAnsi="Arial" w:cs="Arial"/>
          <w:sz w:val="20"/>
          <w:szCs w:val="20"/>
        </w:rPr>
        <w:t xml:space="preserve"> video</w:t>
      </w:r>
      <w:r w:rsidRPr="00A96B39">
        <w:rPr>
          <w:rFonts w:ascii="Arial" w:hAnsi="Arial" w:cs="Arial"/>
          <w:sz w:val="20"/>
          <w:szCs w:val="20"/>
        </w:rPr>
        <w:t>recording, the existence of which was unknown to the witnesses when they gave their evidence.</w:t>
      </w:r>
    </w:p>
    <w:p w14:paraId="3C1B760A" w14:textId="6872148E" w:rsidR="00A96B39" w:rsidRDefault="00A96B39"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[130] </w:t>
      </w:r>
      <w:r w:rsidRPr="00A96B39">
        <w:rPr>
          <w:rFonts w:ascii="Arial" w:hAnsi="Arial" w:cs="Arial"/>
          <w:sz w:val="20"/>
          <w:szCs w:val="20"/>
        </w:rPr>
        <w:t>Broadly, discrepancies between the</w:t>
      </w:r>
      <w:r>
        <w:rPr>
          <w:rFonts w:ascii="Arial" w:hAnsi="Arial" w:cs="Arial"/>
          <w:sz w:val="20"/>
          <w:szCs w:val="20"/>
        </w:rPr>
        <w:t xml:space="preserve"> </w:t>
      </w:r>
      <w:r w:rsidRPr="00A96B39">
        <w:rPr>
          <w:rFonts w:ascii="Arial" w:hAnsi="Arial" w:cs="Arial"/>
          <w:i/>
          <w:iCs/>
          <w:sz w:val="20"/>
          <w:szCs w:val="20"/>
        </w:rPr>
        <w:t>viva voce</w:t>
      </w:r>
      <w:r>
        <w:rPr>
          <w:rFonts w:ascii="Arial" w:hAnsi="Arial" w:cs="Arial"/>
          <w:i/>
          <w:iCs/>
          <w:sz w:val="20"/>
          <w:szCs w:val="20"/>
        </w:rPr>
        <w:t xml:space="preserve"> </w:t>
      </w:r>
      <w:r w:rsidRPr="00A96B39">
        <w:rPr>
          <w:rFonts w:ascii="Arial" w:hAnsi="Arial" w:cs="Arial"/>
          <w:sz w:val="20"/>
          <w:szCs w:val="20"/>
        </w:rPr>
        <w:t>and</w:t>
      </w:r>
      <w:r>
        <w:rPr>
          <w:rFonts w:ascii="Arial" w:hAnsi="Arial" w:cs="Arial"/>
          <w:sz w:val="20"/>
          <w:szCs w:val="20"/>
        </w:rPr>
        <w:t xml:space="preserve"> </w:t>
      </w:r>
      <w:r w:rsidR="00885FB5">
        <w:rPr>
          <w:rFonts w:ascii="Arial" w:hAnsi="Arial" w:cs="Arial"/>
          <w:sz w:val="20"/>
          <w:szCs w:val="20"/>
        </w:rPr>
        <w:t xml:space="preserve">video </w:t>
      </w:r>
      <w:r w:rsidRPr="00A96B39">
        <w:rPr>
          <w:rFonts w:ascii="Arial" w:hAnsi="Arial" w:cs="Arial"/>
          <w:sz w:val="20"/>
          <w:szCs w:val="20"/>
        </w:rPr>
        <w:t>evidence may go to either reliability or credit — either the witness was honestly mistaken about precisely what occurred (including for the reasons outlined in the extracts above), or the witness was deliberately dishonest in recalling the relevant events.</w:t>
      </w:r>
    </w:p>
    <w:p w14:paraId="13EAFB1B" w14:textId="6384E218" w:rsidR="00A96B39" w:rsidRDefault="00A96B39"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[131] </w:t>
      </w:r>
      <w:r w:rsidRPr="00A96B39">
        <w:rPr>
          <w:rFonts w:ascii="Arial" w:hAnsi="Arial" w:cs="Arial"/>
          <w:sz w:val="20"/>
          <w:szCs w:val="20"/>
        </w:rPr>
        <w:t>In the present case, I consider that discrepancies between Mr Bowen’s evidence and the</w:t>
      </w:r>
      <w:r w:rsidR="00885FB5">
        <w:rPr>
          <w:rFonts w:ascii="Arial" w:hAnsi="Arial" w:cs="Arial"/>
          <w:sz w:val="20"/>
          <w:szCs w:val="20"/>
        </w:rPr>
        <w:t xml:space="preserve"> video</w:t>
      </w:r>
      <w:r>
        <w:rPr>
          <w:rFonts w:ascii="Arial" w:hAnsi="Arial" w:cs="Arial"/>
          <w:sz w:val="20"/>
          <w:szCs w:val="20"/>
        </w:rPr>
        <w:t xml:space="preserve"> </w:t>
      </w:r>
      <w:r w:rsidRPr="00A96B39">
        <w:rPr>
          <w:rFonts w:ascii="Arial" w:hAnsi="Arial" w:cs="Arial"/>
          <w:sz w:val="20"/>
          <w:szCs w:val="20"/>
        </w:rPr>
        <w:t>footage go to reliability, whereas the discrepancies between the plaintiff’s evidence and the</w:t>
      </w:r>
      <w:r w:rsidR="00885FB5">
        <w:rPr>
          <w:rFonts w:ascii="Arial" w:hAnsi="Arial" w:cs="Arial"/>
          <w:sz w:val="20"/>
          <w:szCs w:val="20"/>
        </w:rPr>
        <w:t xml:space="preserve"> video</w:t>
      </w:r>
      <w:r>
        <w:rPr>
          <w:rFonts w:ascii="Arial" w:hAnsi="Arial" w:cs="Arial"/>
          <w:sz w:val="20"/>
          <w:szCs w:val="20"/>
        </w:rPr>
        <w:t xml:space="preserve"> </w:t>
      </w:r>
      <w:r w:rsidRPr="00A96B39">
        <w:rPr>
          <w:rFonts w:ascii="Arial" w:hAnsi="Arial" w:cs="Arial"/>
          <w:sz w:val="20"/>
          <w:szCs w:val="20"/>
        </w:rPr>
        <w:t>footage go to credibility.</w:t>
      </w:r>
    </w:p>
    <w:p w14:paraId="55F9BB02" w14:textId="7EFBAA3E" w:rsidR="00D92FA4" w:rsidRPr="00D92FA4"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w:t>
      </w:r>
      <w:r w:rsidR="00A96B39">
        <w:rPr>
          <w:rFonts w:ascii="Arial" w:hAnsi="Arial" w:cs="Arial"/>
          <w:sz w:val="20"/>
          <w:szCs w:val="20"/>
        </w:rPr>
        <w:t>3</w:t>
      </w:r>
      <w:r>
        <w:rPr>
          <w:rFonts w:ascii="Arial" w:hAnsi="Arial" w:cs="Arial"/>
          <w:sz w:val="20"/>
          <w:szCs w:val="20"/>
        </w:rPr>
        <w:t xml:space="preserve">2] </w:t>
      </w:r>
      <w:r w:rsidR="00D92FA4" w:rsidRPr="00D92FA4">
        <w:rPr>
          <w:rFonts w:ascii="Arial" w:hAnsi="Arial" w:cs="Arial"/>
          <w:sz w:val="20"/>
          <w:szCs w:val="20"/>
        </w:rPr>
        <w:t>The main discrepancy between Mr Bowen’s evidence and the</w:t>
      </w:r>
      <w:r w:rsidR="00885FB5">
        <w:rPr>
          <w:rFonts w:ascii="Arial" w:hAnsi="Arial" w:cs="Arial"/>
          <w:sz w:val="20"/>
          <w:szCs w:val="20"/>
        </w:rPr>
        <w:t xml:space="preserve"> video</w:t>
      </w:r>
      <w:r>
        <w:rPr>
          <w:rFonts w:ascii="Arial" w:hAnsi="Arial" w:cs="Arial"/>
          <w:sz w:val="20"/>
          <w:szCs w:val="20"/>
        </w:rPr>
        <w:t xml:space="preserve"> </w:t>
      </w:r>
      <w:r w:rsidR="00D92FA4" w:rsidRPr="00D92FA4">
        <w:rPr>
          <w:rFonts w:ascii="Arial" w:hAnsi="Arial" w:cs="Arial"/>
          <w:sz w:val="20"/>
          <w:szCs w:val="20"/>
        </w:rPr>
        <w:t xml:space="preserve">footage is the location of the plaintiff when Mr Bowen is conversing with Mr Schubring </w:t>
      </w:r>
      <w:r w:rsidR="00A70980">
        <w:rPr>
          <w:rFonts w:ascii="Arial" w:hAnsi="Arial" w:cs="Arial"/>
          <w:sz w:val="20"/>
          <w:szCs w:val="20"/>
        </w:rPr>
        <w:t xml:space="preserve">[another FMX rider] </w:t>
      </w:r>
      <w:r w:rsidR="00D92FA4" w:rsidRPr="00D92FA4">
        <w:rPr>
          <w:rFonts w:ascii="Arial" w:hAnsi="Arial" w:cs="Arial"/>
          <w:sz w:val="20"/>
          <w:szCs w:val="20"/>
        </w:rPr>
        <w:t>on the perimeter of the oval. Whereas Mr Bowen remembered speaking with Mr Schubring alone when the plaintiff completed the jump that resulted in his injuries, the footage shows that the plaintiff was present during that conversation, and that it was not until the conversation concluded that the plaintiff rode away to complete his jump. The footage also indicates that Mr</w:t>
      </w:r>
      <w:r w:rsidR="00885FB5">
        <w:rPr>
          <w:rFonts w:ascii="Arial" w:hAnsi="Arial" w:cs="Arial"/>
          <w:sz w:val="20"/>
          <w:szCs w:val="20"/>
        </w:rPr>
        <w:t> </w:t>
      </w:r>
      <w:r w:rsidR="00D92FA4" w:rsidRPr="00D92FA4">
        <w:rPr>
          <w:rFonts w:ascii="Arial" w:hAnsi="Arial" w:cs="Arial"/>
          <w:sz w:val="20"/>
          <w:szCs w:val="20"/>
        </w:rPr>
        <w:t>Schubring, and not the plaintiff, rode away from Mr Bowen first.</w:t>
      </w:r>
    </w:p>
    <w:p w14:paraId="48A1E705" w14:textId="7BA1D23F" w:rsidR="004C50DF" w:rsidRPr="00D92FA4"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[13</w:t>
      </w:r>
      <w:r w:rsidR="00A96B39">
        <w:rPr>
          <w:rFonts w:ascii="Arial" w:hAnsi="Arial" w:cs="Arial"/>
          <w:sz w:val="20"/>
          <w:szCs w:val="20"/>
        </w:rPr>
        <w:t>3</w:t>
      </w:r>
      <w:r>
        <w:rPr>
          <w:rFonts w:ascii="Arial" w:hAnsi="Arial" w:cs="Arial"/>
          <w:sz w:val="20"/>
          <w:szCs w:val="20"/>
        </w:rPr>
        <w:t xml:space="preserve">] </w:t>
      </w:r>
      <w:r w:rsidR="00D92FA4" w:rsidRPr="00D92FA4">
        <w:rPr>
          <w:rFonts w:ascii="Arial" w:hAnsi="Arial" w:cs="Arial"/>
          <w:sz w:val="20"/>
          <w:szCs w:val="20"/>
        </w:rPr>
        <w:t>In my view, this discrepancy can be explained by the efflux of time and does not undermine the substance of Mr Bowen’s evidence — that he ran across the field and intercepted the plaintiff, that he warned the plaintiff that the ramps were too close, and that he went over to Mr Schubring after the plaintiff said that ‘Schuey measured it’. These key events are all consistent with the</w:t>
      </w:r>
      <w:r w:rsidR="00885FB5">
        <w:rPr>
          <w:rFonts w:ascii="Arial" w:hAnsi="Arial" w:cs="Arial"/>
          <w:sz w:val="20"/>
          <w:szCs w:val="20"/>
        </w:rPr>
        <w:t xml:space="preserve"> video</w:t>
      </w:r>
      <w:r>
        <w:rPr>
          <w:rFonts w:ascii="Arial" w:hAnsi="Arial" w:cs="Arial"/>
          <w:sz w:val="20"/>
          <w:szCs w:val="20"/>
        </w:rPr>
        <w:t xml:space="preserve"> </w:t>
      </w:r>
      <w:r w:rsidR="00D92FA4" w:rsidRPr="00D92FA4">
        <w:rPr>
          <w:rFonts w:ascii="Arial" w:hAnsi="Arial" w:cs="Arial"/>
          <w:sz w:val="20"/>
          <w:szCs w:val="20"/>
        </w:rPr>
        <w:t>footage and I am satisfied that they occurred substantially as Mr Bowen described them.</w:t>
      </w:r>
    </w:p>
    <w:p w14:paraId="0F3557E6" w14:textId="031D23DD" w:rsidR="004C50DF"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[13</w:t>
      </w:r>
      <w:r w:rsidR="00A96B39">
        <w:rPr>
          <w:rFonts w:ascii="Arial" w:hAnsi="Arial" w:cs="Arial"/>
          <w:sz w:val="20"/>
          <w:szCs w:val="20"/>
        </w:rPr>
        <w:t>4</w:t>
      </w:r>
      <w:r>
        <w:rPr>
          <w:rFonts w:ascii="Arial" w:hAnsi="Arial" w:cs="Arial"/>
          <w:sz w:val="20"/>
          <w:szCs w:val="20"/>
        </w:rPr>
        <w:t xml:space="preserve">] </w:t>
      </w:r>
      <w:r w:rsidR="00D92FA4" w:rsidRPr="00D92FA4">
        <w:rPr>
          <w:rFonts w:ascii="Arial" w:hAnsi="Arial" w:cs="Arial"/>
          <w:sz w:val="20"/>
          <w:szCs w:val="20"/>
        </w:rPr>
        <w:t>Mr Bowen’s recollection of the plaintiff coming to a stop on carpet is also inconsistent with the footage, which shows that the carpet was laid on the approach to the up ramp that was not ultimately used.</w:t>
      </w:r>
      <w:r>
        <w:rPr>
          <w:rFonts w:ascii="Arial" w:hAnsi="Arial" w:cs="Arial"/>
          <w:sz w:val="20"/>
          <w:szCs w:val="20"/>
        </w:rPr>
        <w:t xml:space="preserve">  </w:t>
      </w:r>
      <w:r w:rsidR="00D92FA4" w:rsidRPr="00D92FA4">
        <w:rPr>
          <w:rFonts w:ascii="Arial" w:hAnsi="Arial" w:cs="Arial"/>
          <w:sz w:val="20"/>
          <w:szCs w:val="20"/>
        </w:rPr>
        <w:t>However, again, this is not a discrepancy that I regard as undermining the substance of Mr Bowen’s evidence.</w:t>
      </w:r>
      <w:r>
        <w:rPr>
          <w:rFonts w:ascii="Arial" w:hAnsi="Arial" w:cs="Arial"/>
          <w:sz w:val="20"/>
          <w:szCs w:val="20"/>
        </w:rPr>
        <w:t xml:space="preserve"> </w:t>
      </w:r>
      <w:r w:rsidR="00D92FA4" w:rsidRPr="00D92FA4">
        <w:rPr>
          <w:rFonts w:ascii="Arial" w:hAnsi="Arial" w:cs="Arial"/>
          <w:sz w:val="20"/>
          <w:szCs w:val="20"/>
        </w:rPr>
        <w:t xml:space="preserve"> The footage clearly shows that carpet was laid, and it is therefore unsurprising that Mr Bowen recalled that it was used by the riders.</w:t>
      </w:r>
      <w:r>
        <w:rPr>
          <w:rFonts w:ascii="Arial" w:hAnsi="Arial" w:cs="Arial"/>
          <w:sz w:val="20"/>
          <w:szCs w:val="20"/>
        </w:rPr>
        <w:t xml:space="preserve"> </w:t>
      </w:r>
      <w:r w:rsidR="00D92FA4" w:rsidRPr="00D92FA4">
        <w:rPr>
          <w:rFonts w:ascii="Arial" w:hAnsi="Arial" w:cs="Arial"/>
          <w:sz w:val="20"/>
          <w:szCs w:val="20"/>
        </w:rPr>
        <w:t xml:space="preserve"> Notably, the plaintiff’s original evidence was consistent with Mr Bowen’s in this respect.</w:t>
      </w:r>
    </w:p>
    <w:p w14:paraId="35586526" w14:textId="16D667A4" w:rsidR="004C50DF" w:rsidRPr="00D92FA4"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[13</w:t>
      </w:r>
      <w:r w:rsidR="00A96B39">
        <w:rPr>
          <w:rFonts w:ascii="Arial" w:hAnsi="Arial" w:cs="Arial"/>
          <w:sz w:val="20"/>
          <w:szCs w:val="20"/>
        </w:rPr>
        <w:t>5</w:t>
      </w:r>
      <w:r>
        <w:rPr>
          <w:rFonts w:ascii="Arial" w:hAnsi="Arial" w:cs="Arial"/>
          <w:sz w:val="20"/>
          <w:szCs w:val="20"/>
        </w:rPr>
        <w:t xml:space="preserve">] </w:t>
      </w:r>
      <w:r w:rsidRPr="00D92FA4">
        <w:rPr>
          <w:rFonts w:ascii="Arial" w:hAnsi="Arial" w:cs="Arial"/>
          <w:sz w:val="20"/>
          <w:szCs w:val="20"/>
        </w:rPr>
        <w:t>On the other hand, the major discrepancies between the plaintiff’s evidence and the</w:t>
      </w:r>
      <w:r w:rsidR="00885FB5">
        <w:rPr>
          <w:rFonts w:ascii="Arial" w:hAnsi="Arial" w:cs="Arial"/>
          <w:sz w:val="20"/>
          <w:szCs w:val="20"/>
        </w:rPr>
        <w:t xml:space="preserve"> video</w:t>
      </w:r>
      <w:r>
        <w:rPr>
          <w:rFonts w:ascii="Arial" w:hAnsi="Arial" w:cs="Arial"/>
          <w:sz w:val="20"/>
          <w:szCs w:val="20"/>
        </w:rPr>
        <w:t xml:space="preserve"> </w:t>
      </w:r>
      <w:r w:rsidRPr="00D92FA4">
        <w:rPr>
          <w:rFonts w:ascii="Arial" w:hAnsi="Arial" w:cs="Arial"/>
          <w:sz w:val="20"/>
          <w:szCs w:val="20"/>
        </w:rPr>
        <w:t>footage cannot be explained by the fallibility of memory. During his original evidence, the plaintiff categorically denied having any interaction with Mr Bowen at the base of the up ramp, or of being warned that the ramps were too close. He repeated this denial when told that four witnesses would attest to this version of events. The footage demonstrates that the plaintiff’s denial was untrue. The plaintiff’s attempts at explaining away his interaction with Mr Bowen when shown the footage — including that he was just ‘cruising around’</w:t>
      </w:r>
      <w:r>
        <w:rPr>
          <w:rFonts w:ascii="Arial" w:hAnsi="Arial" w:cs="Arial"/>
          <w:sz w:val="20"/>
          <w:szCs w:val="20"/>
        </w:rPr>
        <w:t xml:space="preserve"> </w:t>
      </w:r>
      <w:r w:rsidRPr="00D92FA4">
        <w:rPr>
          <w:rFonts w:ascii="Arial" w:hAnsi="Arial" w:cs="Arial"/>
          <w:sz w:val="20"/>
          <w:szCs w:val="20"/>
        </w:rPr>
        <w:t>at the base of the up ramp and that the footage shows ‘contact’ but no ‘conversation’ between the plaintiff and Mr</w:t>
      </w:r>
      <w:r w:rsidR="0063616B">
        <w:rPr>
          <w:rFonts w:ascii="Arial" w:hAnsi="Arial" w:cs="Arial"/>
          <w:sz w:val="20"/>
          <w:szCs w:val="20"/>
        </w:rPr>
        <w:t xml:space="preserve"> </w:t>
      </w:r>
      <w:r w:rsidRPr="00D92FA4">
        <w:rPr>
          <w:rFonts w:ascii="Arial" w:hAnsi="Arial" w:cs="Arial"/>
          <w:sz w:val="20"/>
          <w:szCs w:val="20"/>
        </w:rPr>
        <w:t>Bowen</w:t>
      </w:r>
      <w:r>
        <w:rPr>
          <w:rFonts w:ascii="Arial" w:hAnsi="Arial" w:cs="Arial"/>
          <w:sz w:val="20"/>
          <w:szCs w:val="20"/>
        </w:rPr>
        <w:t xml:space="preserve"> </w:t>
      </w:r>
      <w:r w:rsidRPr="00D92FA4">
        <w:rPr>
          <w:rFonts w:ascii="Arial" w:hAnsi="Arial" w:cs="Arial"/>
          <w:sz w:val="20"/>
          <w:szCs w:val="20"/>
        </w:rPr>
        <w:t>— were wholly unconvincing.</w:t>
      </w:r>
      <w:r>
        <w:rPr>
          <w:rFonts w:ascii="Arial" w:hAnsi="Arial" w:cs="Arial"/>
          <w:sz w:val="20"/>
          <w:szCs w:val="20"/>
        </w:rPr>
        <w:t xml:space="preserve"> </w:t>
      </w:r>
      <w:r w:rsidRPr="00D92FA4">
        <w:rPr>
          <w:rFonts w:ascii="Arial" w:hAnsi="Arial" w:cs="Arial"/>
          <w:sz w:val="20"/>
          <w:szCs w:val="20"/>
        </w:rPr>
        <w:t xml:space="preserve"> His insistence that Mr Bowen, the defendant, Mr Brunner and Mr O’Neill were all mistaken about his being stopped, in face of footage to the contrary,</w:t>
      </w:r>
      <w:r>
        <w:rPr>
          <w:rFonts w:ascii="Arial" w:hAnsi="Arial" w:cs="Arial"/>
          <w:sz w:val="20"/>
          <w:szCs w:val="20"/>
        </w:rPr>
        <w:t xml:space="preserve"> </w:t>
      </w:r>
      <w:r w:rsidRPr="00D92FA4">
        <w:rPr>
          <w:rFonts w:ascii="Arial" w:hAnsi="Arial" w:cs="Arial"/>
          <w:sz w:val="20"/>
          <w:szCs w:val="20"/>
        </w:rPr>
        <w:t>was nothing short of remarkable.</w:t>
      </w:r>
      <w:r>
        <w:rPr>
          <w:rFonts w:ascii="Arial" w:hAnsi="Arial" w:cs="Arial"/>
          <w:sz w:val="20"/>
          <w:szCs w:val="20"/>
        </w:rPr>
        <w:t>”</w:t>
      </w:r>
    </w:p>
    <w:p w14:paraId="31F378B8" w14:textId="12FE1371" w:rsidR="008266AA" w:rsidRDefault="008266AA">
      <w:pPr>
        <w:jc w:val="both"/>
        <w:rPr>
          <w:rFonts w:ascii="Arial" w:hAnsi="Arial" w:cs="Arial"/>
          <w:sz w:val="20"/>
        </w:rPr>
      </w:pPr>
    </w:p>
    <w:p w14:paraId="383C94EB" w14:textId="37052FF8" w:rsidR="004D0577" w:rsidRDefault="004D0577">
      <w:pPr>
        <w:jc w:val="both"/>
        <w:rPr>
          <w:rFonts w:ascii="Arial" w:hAnsi="Arial" w:cs="Arial"/>
          <w:sz w:val="20"/>
        </w:rPr>
      </w:pPr>
      <w:r>
        <w:rPr>
          <w:rFonts w:ascii="Arial" w:hAnsi="Arial" w:cs="Arial"/>
          <w:sz w:val="20"/>
        </w:rPr>
        <w:t xml:space="preserve">In </w:t>
      </w:r>
      <w:r w:rsidRPr="004D0577">
        <w:rPr>
          <w:rFonts w:ascii="Arial" w:hAnsi="Arial" w:cs="Arial"/>
          <w:i/>
          <w:iCs/>
          <w:sz w:val="20"/>
        </w:rPr>
        <w:t>Singh v Ward</w:t>
      </w:r>
      <w:r>
        <w:rPr>
          <w:rFonts w:ascii="Arial" w:hAnsi="Arial" w:cs="Arial"/>
          <w:sz w:val="20"/>
        </w:rPr>
        <w:t xml:space="preserve"> [2022] VSC 155 the plaintiff had stopped his car in an emergency lane because his two year old daughter was crying and could not be settled.  He opened the door, got out, closed his door and was walking towards the front of his car </w:t>
      </w:r>
      <w:r w:rsidR="007A379E">
        <w:rPr>
          <w:rFonts w:ascii="Arial" w:hAnsi="Arial" w:cs="Arial"/>
          <w:sz w:val="20"/>
        </w:rPr>
        <w:t xml:space="preserve">intending to change drivers </w:t>
      </w:r>
      <w:r>
        <w:rPr>
          <w:rFonts w:ascii="Arial" w:hAnsi="Arial" w:cs="Arial"/>
          <w:sz w:val="20"/>
        </w:rPr>
        <w:t xml:space="preserve">when he was struck from behind </w:t>
      </w:r>
      <w:r>
        <w:rPr>
          <w:rFonts w:ascii="Arial" w:hAnsi="Arial" w:cs="Arial"/>
          <w:sz w:val="20"/>
        </w:rPr>
        <w:lastRenderedPageBreak/>
        <w:t>by a car being driven at approximately 100kph by the defendant</w:t>
      </w:r>
      <w:r w:rsidR="006D3686">
        <w:rPr>
          <w:rFonts w:ascii="Arial" w:hAnsi="Arial" w:cs="Arial"/>
          <w:sz w:val="20"/>
        </w:rPr>
        <w:t xml:space="preserve"> and sustained </w:t>
      </w:r>
      <w:r w:rsidR="007A379E">
        <w:rPr>
          <w:rFonts w:ascii="Arial" w:hAnsi="Arial" w:cs="Arial"/>
          <w:sz w:val="20"/>
        </w:rPr>
        <w:t xml:space="preserve">a broken leg.  </w:t>
      </w:r>
      <w:r w:rsidR="004756F5">
        <w:rPr>
          <w:rFonts w:ascii="Arial" w:hAnsi="Arial" w:cs="Arial"/>
          <w:sz w:val="20"/>
        </w:rPr>
        <w:t xml:space="preserve">Evidence </w:t>
      </w:r>
      <w:r w:rsidR="006D3686">
        <w:rPr>
          <w:rFonts w:ascii="Arial" w:hAnsi="Arial" w:cs="Arial"/>
          <w:sz w:val="20"/>
        </w:rPr>
        <w:t>was given by both drivers and their p</w:t>
      </w:r>
      <w:r w:rsidR="007A379E">
        <w:rPr>
          <w:rFonts w:ascii="Arial" w:hAnsi="Arial" w:cs="Arial"/>
          <w:sz w:val="20"/>
        </w:rPr>
        <w:t>assenger</w:t>
      </w:r>
      <w:r w:rsidR="006D3686">
        <w:rPr>
          <w:rFonts w:ascii="Arial" w:hAnsi="Arial" w:cs="Arial"/>
          <w:sz w:val="20"/>
        </w:rPr>
        <w:t>s and by an independent couple who had been in a car driving behind the defendant.</w:t>
      </w:r>
      <w:r w:rsidR="007A379E">
        <w:rPr>
          <w:rFonts w:ascii="Arial" w:hAnsi="Arial" w:cs="Arial"/>
          <w:sz w:val="20"/>
        </w:rPr>
        <w:t xml:space="preserve">  At [8]-[9] Gorton J set the scene as follows:</w:t>
      </w:r>
    </w:p>
    <w:p w14:paraId="46D88550" w14:textId="5FD6A11F" w:rsidR="007A379E" w:rsidRDefault="007A379E" w:rsidP="00205820">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“None of these people had made a statement at the time of or shortly after the accident, and so each was giving evidence in March 2022 as to what had happened in December 2014 unassisted by any contemporaneous record of events.  Some of the witnesses had in more recent years been interviewed for the purposes of this case, </w:t>
      </w:r>
      <w:r w:rsidR="00135FEB">
        <w:rPr>
          <w:rFonts w:ascii="Arial" w:hAnsi="Arial" w:cs="Arial"/>
          <w:sz w:val="20"/>
          <w:szCs w:val="20"/>
        </w:rPr>
        <w:t>and the persons interviewing had typed up their versions of what the witnesses had said.  On two occasions, those versions were signed by the person interviewed.  There were many inconsistencies, or tensions, in the evidence.</w:t>
      </w:r>
    </w:p>
    <w:p w14:paraId="47F0144D" w14:textId="04217577" w:rsidR="00135FEB" w:rsidRPr="00D92FA4" w:rsidRDefault="00135FEB" w:rsidP="007A379E">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There are starkly diverging views on how and where the accident occurred.  I am required to form a view having regard to the whole of the evidence, but I am not required either to accept or reject the entirety of any particular witness’s evidence, and am able to accept some parts of it and to reject other parts of it: see e.g. </w:t>
      </w:r>
      <w:r w:rsidRPr="00135FEB">
        <w:rPr>
          <w:rFonts w:ascii="Arial" w:hAnsi="Arial" w:cs="Arial"/>
          <w:i/>
          <w:iCs/>
          <w:sz w:val="20"/>
          <w:szCs w:val="20"/>
        </w:rPr>
        <w:t>Cubillo v Commonwealth</w:t>
      </w:r>
      <w:r>
        <w:rPr>
          <w:rFonts w:ascii="Arial" w:hAnsi="Arial" w:cs="Arial"/>
          <w:sz w:val="20"/>
          <w:szCs w:val="20"/>
        </w:rPr>
        <w:t xml:space="preserve"> (2000) 103 FCR 1, 45 [118]-[125] (O’LoughlinJ).  I can use the impressions I formed of the way in which the witnesses gave </w:t>
      </w:r>
      <w:r w:rsidR="006E045C">
        <w:rPr>
          <w:rFonts w:ascii="Arial" w:hAnsi="Arial" w:cs="Arial"/>
          <w:sz w:val="20"/>
          <w:szCs w:val="20"/>
        </w:rPr>
        <w:t xml:space="preserve">their </w:t>
      </w:r>
      <w:r>
        <w:rPr>
          <w:rFonts w:ascii="Arial" w:hAnsi="Arial" w:cs="Arial"/>
          <w:sz w:val="20"/>
          <w:szCs w:val="20"/>
        </w:rPr>
        <w:t>evidence</w:t>
      </w:r>
      <w:r w:rsidR="006E045C">
        <w:rPr>
          <w:rFonts w:ascii="Arial" w:hAnsi="Arial" w:cs="Arial"/>
          <w:sz w:val="20"/>
          <w:szCs w:val="20"/>
        </w:rPr>
        <w:t xml:space="preserve">, and the extent to which their evidence accords with what I consider to have been likely behaviour </w:t>
      </w:r>
      <w:r w:rsidR="00286FE5">
        <w:rPr>
          <w:rFonts w:ascii="Arial" w:hAnsi="Arial" w:cs="Arial"/>
          <w:sz w:val="20"/>
          <w:szCs w:val="20"/>
        </w:rPr>
        <w:t xml:space="preserve">in the circumstances having regard to human experience and commonsense.  Also, as Mr Ward pointed out, I must bear in mind that recollections with the passage of time may, with the best will in the world, become distorted by unconscious bias </w:t>
      </w:r>
      <w:r w:rsidR="001866AC">
        <w:rPr>
          <w:rFonts w:ascii="Arial" w:hAnsi="Arial" w:cs="Arial"/>
          <w:sz w:val="20"/>
          <w:szCs w:val="20"/>
        </w:rPr>
        <w:t>{</w:t>
      </w:r>
      <w:r w:rsidR="00286FE5">
        <w:rPr>
          <w:rFonts w:ascii="Arial" w:hAnsi="Arial" w:cs="Arial"/>
          <w:sz w:val="20"/>
          <w:szCs w:val="20"/>
        </w:rPr>
        <w:t xml:space="preserve">see </w:t>
      </w:r>
      <w:r w:rsidR="00286FE5" w:rsidRPr="001866AC">
        <w:rPr>
          <w:rFonts w:ascii="Arial" w:hAnsi="Arial" w:cs="Arial"/>
          <w:i/>
          <w:iCs/>
          <w:sz w:val="20"/>
          <w:szCs w:val="20"/>
        </w:rPr>
        <w:t>Onassis and Calogeropoulos v Vergotis</w:t>
      </w:r>
      <w:r w:rsidR="00286FE5">
        <w:rPr>
          <w:rFonts w:ascii="Arial" w:hAnsi="Arial" w:cs="Arial"/>
          <w:sz w:val="20"/>
          <w:szCs w:val="20"/>
        </w:rPr>
        <w:t xml:space="preserve"> [1968] 2 Lloyd’s LR 403, 431 (Lord Pearce)</w:t>
      </w:r>
      <w:r w:rsidR="001866AC">
        <w:rPr>
          <w:rFonts w:ascii="Arial" w:hAnsi="Arial" w:cs="Arial"/>
          <w:sz w:val="20"/>
          <w:szCs w:val="20"/>
        </w:rPr>
        <w:t>}</w:t>
      </w:r>
      <w:r>
        <w:rPr>
          <w:rFonts w:ascii="Arial" w:hAnsi="Arial" w:cs="Arial"/>
          <w:sz w:val="20"/>
          <w:szCs w:val="20"/>
        </w:rPr>
        <w:t xml:space="preserve"> </w:t>
      </w:r>
      <w:r w:rsidR="001866AC">
        <w:rPr>
          <w:rFonts w:ascii="Arial" w:hAnsi="Arial" w:cs="Arial"/>
          <w:sz w:val="20"/>
          <w:szCs w:val="20"/>
        </w:rPr>
        <w:t xml:space="preserve">and even through the process of coming to court to give evidence for one side, rather than the other side, in a dispute: </w:t>
      </w:r>
      <w:r w:rsidR="001866AC" w:rsidRPr="001866AC">
        <w:rPr>
          <w:rFonts w:ascii="Arial" w:hAnsi="Arial" w:cs="Arial"/>
          <w:i/>
          <w:iCs/>
          <w:sz w:val="20"/>
          <w:szCs w:val="20"/>
        </w:rPr>
        <w:t>Nominal Defendant v Cordin</w:t>
      </w:r>
      <w:r w:rsidR="001866AC">
        <w:rPr>
          <w:rFonts w:ascii="Arial" w:hAnsi="Arial" w:cs="Arial"/>
          <w:sz w:val="20"/>
          <w:szCs w:val="20"/>
        </w:rPr>
        <w:t xml:space="preserve"> (2017) 79 MRV 210, 240-46 [165]-[166] (Davies J).  Ultimately, my decision is to be on the balance of probabilities, doing the best I can on the evidence led, with the onus remaining on Mr Singh to establish any negligence on the part of Mr Ward, and the onus on Mr Ward to establish any contributory negligence on the part of Mr Singh.”</w:t>
      </w:r>
    </w:p>
    <w:p w14:paraId="70F5C6FF" w14:textId="0CF84F50" w:rsidR="004D0577" w:rsidRDefault="00205820" w:rsidP="00FC57FC">
      <w:pPr>
        <w:spacing w:before="80"/>
        <w:jc w:val="both"/>
        <w:rPr>
          <w:rFonts w:ascii="Arial" w:hAnsi="Arial" w:cs="Arial"/>
          <w:sz w:val="20"/>
        </w:rPr>
      </w:pPr>
      <w:r>
        <w:rPr>
          <w:rFonts w:ascii="Arial" w:hAnsi="Arial" w:cs="Arial"/>
          <w:sz w:val="20"/>
        </w:rPr>
        <w:t xml:space="preserve">Gorton J </w:t>
      </w:r>
      <w:r w:rsidR="004675A0">
        <w:rPr>
          <w:rFonts w:ascii="Arial" w:hAnsi="Arial" w:cs="Arial"/>
          <w:sz w:val="20"/>
        </w:rPr>
        <w:t xml:space="preserve">ultimately </w:t>
      </w:r>
      <w:r>
        <w:rPr>
          <w:rFonts w:ascii="Arial" w:hAnsi="Arial" w:cs="Arial"/>
          <w:sz w:val="20"/>
        </w:rPr>
        <w:t>found that the accident happened because Mr Ward momentarily lost concentration and drifted from the northbound left lane into the emergency lane as he passed Mr</w:t>
      </w:r>
      <w:r w:rsidR="004F1EE7">
        <w:rPr>
          <w:rFonts w:ascii="Arial" w:hAnsi="Arial" w:cs="Arial"/>
          <w:sz w:val="20"/>
        </w:rPr>
        <w:t> </w:t>
      </w:r>
      <w:r>
        <w:rPr>
          <w:rFonts w:ascii="Arial" w:hAnsi="Arial" w:cs="Arial"/>
          <w:sz w:val="20"/>
        </w:rPr>
        <w:t>Singh and that Mr Singh was 10% contributorily negligent by not stopping further to the left in the emergency lane.</w:t>
      </w:r>
    </w:p>
    <w:p w14:paraId="59F0A5E8" w14:textId="52D2A674" w:rsidR="008C7C9C" w:rsidRDefault="008C7C9C">
      <w:pPr>
        <w:jc w:val="both"/>
        <w:rPr>
          <w:rFonts w:ascii="Arial" w:hAnsi="Arial" w:cs="Arial"/>
          <w:sz w:val="20"/>
        </w:rPr>
      </w:pPr>
    </w:p>
    <w:p w14:paraId="7648985D" w14:textId="6CAE1E95" w:rsidR="008C7C9C" w:rsidRPr="008C7C9C" w:rsidRDefault="008C7C9C">
      <w:pPr>
        <w:jc w:val="both"/>
        <w:rPr>
          <w:rFonts w:ascii="Arial" w:hAnsi="Arial" w:cs="Arial"/>
          <w:sz w:val="20"/>
        </w:rPr>
      </w:pPr>
      <w:r w:rsidRPr="008C7C9C">
        <w:rPr>
          <w:rFonts w:ascii="Arial" w:hAnsi="Arial" w:cs="Arial"/>
          <w:sz w:val="20"/>
        </w:rPr>
        <w:t xml:space="preserve">In </w:t>
      </w:r>
      <w:r w:rsidRPr="008C7C9C">
        <w:rPr>
          <w:rFonts w:ascii="Arial" w:hAnsi="Arial" w:cs="Arial"/>
          <w:i/>
          <w:iCs/>
          <w:sz w:val="20"/>
          <w:szCs w:val="20"/>
        </w:rPr>
        <w:t>Gurappaji v Duncan &amp; Anor</w:t>
      </w:r>
      <w:r w:rsidRPr="008C7C9C">
        <w:rPr>
          <w:rFonts w:ascii="Arial" w:hAnsi="Arial" w:cs="Arial"/>
          <w:sz w:val="20"/>
          <w:szCs w:val="20"/>
        </w:rPr>
        <w:t xml:space="preserve"> [2023] VSC 558 the plaintiff </w:t>
      </w:r>
      <w:r>
        <w:rPr>
          <w:rFonts w:ascii="Arial" w:hAnsi="Arial" w:cs="Arial"/>
          <w:sz w:val="20"/>
          <w:szCs w:val="20"/>
        </w:rPr>
        <w:t>– who had been in a relationship with the deceased which had ended six years prior to the deceased’s death</w:t>
      </w:r>
      <w:r w:rsidR="009F194F">
        <w:rPr>
          <w:rFonts w:ascii="Arial" w:hAnsi="Arial" w:cs="Arial"/>
          <w:sz w:val="20"/>
          <w:szCs w:val="20"/>
        </w:rPr>
        <w:t xml:space="preserve"> </w:t>
      </w:r>
      <w:proofErr w:type="gramStart"/>
      <w:r w:rsidR="009F194F">
        <w:rPr>
          <w:rFonts w:ascii="Arial" w:hAnsi="Arial" w:cs="Arial"/>
          <w:sz w:val="20"/>
          <w:szCs w:val="20"/>
        </w:rPr>
        <w:t xml:space="preserve">in </w:t>
      </w:r>
      <w:r>
        <w:rPr>
          <w:rFonts w:ascii="Arial" w:hAnsi="Arial" w:cs="Arial"/>
          <w:sz w:val="20"/>
          <w:szCs w:val="20"/>
        </w:rPr>
        <w:t xml:space="preserve"> –</w:t>
      </w:r>
      <w:proofErr w:type="gramEnd"/>
      <w:r>
        <w:rPr>
          <w:rFonts w:ascii="Arial" w:hAnsi="Arial" w:cs="Arial"/>
          <w:sz w:val="20"/>
          <w:szCs w:val="20"/>
        </w:rPr>
        <w:t xml:space="preserve"> failed to prove that she had an equitable interest in a property in which the deceased held title.  </w:t>
      </w:r>
      <w:r w:rsidR="00162CDC">
        <w:rPr>
          <w:rFonts w:ascii="Arial" w:hAnsi="Arial" w:cs="Arial"/>
          <w:sz w:val="20"/>
          <w:szCs w:val="20"/>
        </w:rPr>
        <w:t>At [231]-[232] Forbes J said of the plaintiff’s evidence:</w:t>
      </w:r>
    </w:p>
    <w:p w14:paraId="6CE92475" w14:textId="77484AEA" w:rsidR="00162CDC" w:rsidRPr="00D92FA4" w:rsidRDefault="00162CDC" w:rsidP="00F10DC3">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162CDC">
        <w:rPr>
          <w:rFonts w:ascii="Arial" w:hAnsi="Arial" w:cs="Arial"/>
          <w:sz w:val="20"/>
          <w:szCs w:val="20"/>
        </w:rPr>
        <w:t>I formed the view that Kavitha was an unimpressive witness and that her evidence was largely unreliable. In part, Kavitha acknowledged that her memory was adversely affected by health issues and the passage of time. However, she also made grand and</w:t>
      </w:r>
      <w:r>
        <w:rPr>
          <w:rFonts w:ascii="Arial" w:hAnsi="Arial" w:cs="Arial"/>
          <w:sz w:val="20"/>
          <w:szCs w:val="20"/>
        </w:rPr>
        <w:t xml:space="preserve"> </w:t>
      </w:r>
      <w:r w:rsidRPr="00162CDC">
        <w:rPr>
          <w:rFonts w:ascii="Arial" w:hAnsi="Arial" w:cs="Arial"/>
          <w:sz w:val="20"/>
          <w:szCs w:val="20"/>
        </w:rPr>
        <w:t xml:space="preserve">unsubstantiated statements that were not corroborated and were often contradicted by other evidence including contemporaneous documentary evidence. On occasion her own oral evidence was contradictory. Faced with many contradictions she took refuge in the explanation that she left such matters to others or did not read or understand the documents that she signed. I found such explanations frankly implausible, for a woman who on the one hand describes herself as having left school at 17 to become a farmer, but on the other hand in her oral evidence before me described herself as having a </w:t>
      </w:r>
      <w:proofErr w:type="gramStart"/>
      <w:r w:rsidRPr="00162CDC">
        <w:rPr>
          <w:rFonts w:ascii="Arial" w:hAnsi="Arial" w:cs="Arial"/>
          <w:sz w:val="20"/>
          <w:szCs w:val="20"/>
        </w:rPr>
        <w:t>Masters in Economics</w:t>
      </w:r>
      <w:proofErr w:type="gramEnd"/>
      <w:r w:rsidRPr="00162CDC">
        <w:rPr>
          <w:rFonts w:ascii="Arial" w:hAnsi="Arial" w:cs="Arial"/>
          <w:sz w:val="20"/>
          <w:szCs w:val="20"/>
        </w:rPr>
        <w:t>.</w:t>
      </w:r>
      <w:r w:rsidR="001D5204">
        <w:rPr>
          <w:rFonts w:ascii="Arial" w:hAnsi="Arial" w:cs="Arial"/>
          <w:sz w:val="20"/>
          <w:szCs w:val="20"/>
        </w:rPr>
        <w:t xml:space="preserve"> </w:t>
      </w:r>
      <w:r w:rsidRPr="00162CDC">
        <w:rPr>
          <w:rFonts w:ascii="Arial" w:hAnsi="Arial" w:cs="Arial"/>
          <w:sz w:val="20"/>
          <w:szCs w:val="20"/>
        </w:rPr>
        <w:t>Moreover in the course of giving her evidence she displayed a profound sense of entitlement.</w:t>
      </w:r>
      <w:r>
        <w:rPr>
          <w:rFonts w:ascii="Arial" w:hAnsi="Arial" w:cs="Arial"/>
          <w:sz w:val="20"/>
          <w:szCs w:val="20"/>
        </w:rPr>
        <w:t>”</w:t>
      </w:r>
    </w:p>
    <w:p w14:paraId="7B1F4C3E" w14:textId="0874D399" w:rsidR="008C7C9C" w:rsidRDefault="00F10DC3" w:rsidP="00162CDC">
      <w:pPr>
        <w:spacing w:before="60"/>
        <w:jc w:val="both"/>
        <w:rPr>
          <w:rFonts w:ascii="Arial" w:hAnsi="Arial" w:cs="Arial"/>
          <w:sz w:val="20"/>
        </w:rPr>
      </w:pPr>
      <w:r>
        <w:rPr>
          <w:rFonts w:ascii="Arial" w:hAnsi="Arial" w:cs="Arial"/>
          <w:sz w:val="20"/>
        </w:rPr>
        <w:t>Under the heading “</w:t>
      </w:r>
      <w:r w:rsidRPr="00F10DC3">
        <w:rPr>
          <w:rFonts w:ascii="Arial" w:hAnsi="Arial" w:cs="Arial"/>
          <w:b/>
          <w:bCs/>
          <w:sz w:val="20"/>
        </w:rPr>
        <w:t>Fact-finding</w:t>
      </w:r>
      <w:r>
        <w:rPr>
          <w:rFonts w:ascii="Arial" w:hAnsi="Arial" w:cs="Arial"/>
          <w:sz w:val="20"/>
        </w:rPr>
        <w:t>” Forbes J said at [227]-[230]:</w:t>
      </w:r>
    </w:p>
    <w:p w14:paraId="2286EDD7" w14:textId="7F9228DA" w:rsidR="00F10DC3" w:rsidRDefault="00BD1DCC" w:rsidP="00F10DC3">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[227] “G</w:t>
      </w:r>
      <w:r w:rsidRPr="00BD1DCC">
        <w:rPr>
          <w:rFonts w:ascii="Arial" w:hAnsi="Arial" w:cs="Arial"/>
          <w:sz w:val="20"/>
          <w:szCs w:val="20"/>
        </w:rPr>
        <w:t xml:space="preserve">iven the factual contest between the parties in large part centres on evidence of </w:t>
      </w:r>
      <w:r w:rsidR="00F10DC3" w:rsidRPr="00162CDC">
        <w:rPr>
          <w:rFonts w:ascii="Arial" w:hAnsi="Arial" w:cs="Arial"/>
          <w:sz w:val="20"/>
          <w:szCs w:val="20"/>
        </w:rPr>
        <w:t>conversations on the one hand, and inconsistent or incomplete documentary evidence on the other, the principles by which a court approaches the fact-finding exercise are worth restating. These principles apply to recollections of conversations where all parties give evidence of what was said and done, as well as specific cautions where one person, subsequently deceased, cannot give evidence as to conversations.</w:t>
      </w:r>
    </w:p>
    <w:p w14:paraId="5C462653" w14:textId="77777777" w:rsidR="00F10DC3" w:rsidRDefault="00F10DC3" w:rsidP="00F10DC3">
      <w:pPr>
        <w:pStyle w:val="NormalWeb"/>
        <w:shd w:val="clear" w:color="auto" w:fill="FFFFFF"/>
        <w:spacing w:before="60" w:beforeAutospacing="0" w:after="0" w:afterAutospacing="0"/>
        <w:ind w:left="567" w:right="567"/>
        <w:jc w:val="both"/>
        <w:rPr>
          <w:rFonts w:ascii="Arial" w:hAnsi="Arial" w:cs="Arial"/>
          <w:sz w:val="20"/>
          <w:szCs w:val="20"/>
        </w:rPr>
      </w:pPr>
      <w:r w:rsidRPr="00F10DC3">
        <w:rPr>
          <w:rFonts w:ascii="Arial" w:hAnsi="Arial" w:cs="Arial"/>
          <w:sz w:val="20"/>
          <w:szCs w:val="20"/>
        </w:rPr>
        <w:t xml:space="preserve">[228] The observations of McClelland J in </w:t>
      </w:r>
      <w:r w:rsidRPr="00F10DC3">
        <w:rPr>
          <w:rFonts w:ascii="Arial" w:hAnsi="Arial" w:cs="Arial"/>
          <w:i/>
          <w:iCs/>
          <w:sz w:val="20"/>
          <w:szCs w:val="20"/>
        </w:rPr>
        <w:t>Watson v Foxman</w:t>
      </w:r>
      <w:r w:rsidRPr="00F10DC3">
        <w:rPr>
          <w:rFonts w:ascii="Arial" w:hAnsi="Arial" w:cs="Arial"/>
          <w:sz w:val="20"/>
          <w:szCs w:val="20"/>
        </w:rPr>
        <w:t xml:space="preserve"> (1995) 49 NSWLR 315, 319 are frequently quoted as to the difficulty generally with evidence of recollection of</w:t>
      </w:r>
      <w:r w:rsidRPr="00162CDC">
        <w:rPr>
          <w:rFonts w:ascii="Arial" w:hAnsi="Arial" w:cs="Arial"/>
          <w:sz w:val="20"/>
          <w:szCs w:val="20"/>
        </w:rPr>
        <w:t xml:space="preserve"> spoken words: </w:t>
      </w:r>
    </w:p>
    <w:p w14:paraId="6420903A" w14:textId="5401988C" w:rsidR="00F10DC3" w:rsidRPr="00F10DC3" w:rsidRDefault="00F10DC3" w:rsidP="00F10DC3">
      <w:pPr>
        <w:pStyle w:val="NormalWeb"/>
        <w:shd w:val="clear" w:color="auto" w:fill="FFFFFF"/>
        <w:spacing w:before="60" w:beforeAutospacing="0" w:after="0" w:afterAutospacing="0"/>
        <w:ind w:left="1021" w:right="1021"/>
        <w:jc w:val="both"/>
        <w:rPr>
          <w:rFonts w:ascii="Arial" w:hAnsi="Arial" w:cs="Arial"/>
          <w:sz w:val="18"/>
          <w:szCs w:val="18"/>
        </w:rPr>
      </w:pPr>
      <w:r w:rsidRPr="00F10DC3">
        <w:rPr>
          <w:rFonts w:ascii="Arial" w:hAnsi="Arial" w:cs="Arial"/>
          <w:sz w:val="18"/>
          <w:szCs w:val="18"/>
        </w:rPr>
        <w:t xml:space="preserve">In many cases (but not all) the question of whether spoken words were misleading may depend on what, if examined at the time, may have been seen as relatively subtle nuances flowing from the use of one word, phrase or grammatical construction rather than another, or the presence or absence of some qualifying word or phrase, or conditions. Furthermore human memory of what was said in a conversation is fallible for a variety of </w:t>
      </w:r>
      <w:r w:rsidRPr="00F10DC3">
        <w:rPr>
          <w:rFonts w:ascii="Arial" w:hAnsi="Arial" w:cs="Arial"/>
          <w:sz w:val="18"/>
          <w:szCs w:val="18"/>
        </w:rPr>
        <w:lastRenderedPageBreak/>
        <w:t>reasons and ordinarily the degree of fallibility increases with the passage of time, particularly where disputes or litigation intervened and the process of memory are overlaid, often subconsciously, by perceptions or self interest as well as conscious consideration of what should have been said or could have been said, all too often what is remembered is little more than an impression from which plausible details are then, often subconsciously, constructed. All this is a matter of ordinary human experience.</w:t>
      </w:r>
    </w:p>
    <w:p w14:paraId="06533CF2" w14:textId="3AB35B75" w:rsidR="00F10DC3" w:rsidRDefault="00F10DC3" w:rsidP="00F10DC3">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[229] </w:t>
      </w:r>
      <w:r w:rsidRPr="00162CDC">
        <w:rPr>
          <w:rFonts w:ascii="Arial" w:hAnsi="Arial" w:cs="Arial"/>
          <w:sz w:val="20"/>
          <w:szCs w:val="20"/>
        </w:rPr>
        <w:t xml:space="preserve">In the context of fact-finding where credit findings assume significance, Hallen J summarised the principles in </w:t>
      </w:r>
      <w:r w:rsidRPr="00F10DC3">
        <w:rPr>
          <w:rFonts w:ascii="Arial" w:hAnsi="Arial" w:cs="Arial"/>
          <w:i/>
          <w:iCs/>
          <w:sz w:val="20"/>
          <w:szCs w:val="20"/>
        </w:rPr>
        <w:t>Pollock v NSW Trustee and Guardian</w:t>
      </w:r>
      <w:r>
        <w:rPr>
          <w:rFonts w:ascii="Arial" w:hAnsi="Arial" w:cs="Arial"/>
          <w:sz w:val="20"/>
          <w:szCs w:val="20"/>
        </w:rPr>
        <w:t xml:space="preserve"> [2022] NSWSC 923, [73]-[93]</w:t>
      </w:r>
      <w:r w:rsidRPr="00162CDC">
        <w:rPr>
          <w:rFonts w:ascii="Arial" w:hAnsi="Arial" w:cs="Arial"/>
          <w:sz w:val="20"/>
          <w:szCs w:val="20"/>
        </w:rPr>
        <w:t xml:space="preserve">. </w:t>
      </w:r>
      <w:r w:rsidR="00191D39">
        <w:rPr>
          <w:rFonts w:ascii="Arial" w:hAnsi="Arial" w:cs="Arial"/>
          <w:sz w:val="20"/>
          <w:szCs w:val="20"/>
        </w:rPr>
        <w:t xml:space="preserve"> </w:t>
      </w:r>
      <w:r w:rsidRPr="00162CDC">
        <w:rPr>
          <w:rFonts w:ascii="Arial" w:hAnsi="Arial" w:cs="Arial"/>
          <w:sz w:val="20"/>
          <w:szCs w:val="20"/>
        </w:rPr>
        <w:t>Relevant to this case those principles include:</w:t>
      </w:r>
    </w:p>
    <w:p w14:paraId="479ACFC4" w14:textId="007D2EB4"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(a)</w:t>
      </w:r>
      <w:r>
        <w:rPr>
          <w:rFonts w:ascii="Arial" w:hAnsi="Arial" w:cs="Arial"/>
          <w:sz w:val="20"/>
          <w:szCs w:val="20"/>
        </w:rPr>
        <w:tab/>
      </w:r>
      <w:r w:rsidRPr="00162CDC">
        <w:rPr>
          <w:rFonts w:ascii="Arial" w:hAnsi="Arial" w:cs="Arial"/>
          <w:sz w:val="20"/>
          <w:szCs w:val="20"/>
        </w:rPr>
        <w:t>Proof of a fact requires the court to feel actual persuasion of the existence of that fact, not simply a mechanical comparison of probability</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[74], citing </w:t>
      </w:r>
      <w:r w:rsidR="001D5204" w:rsidRPr="001D5204">
        <w:rPr>
          <w:rFonts w:ascii="Arial" w:hAnsi="Arial" w:cs="Arial"/>
          <w:i/>
          <w:iCs/>
          <w:sz w:val="20"/>
          <w:szCs w:val="20"/>
        </w:rPr>
        <w:t>Warner v Hung</w:t>
      </w:r>
      <w:r w:rsidR="001D5204" w:rsidRPr="00162CDC">
        <w:rPr>
          <w:rFonts w:ascii="Arial" w:hAnsi="Arial" w:cs="Arial"/>
          <w:sz w:val="20"/>
          <w:szCs w:val="20"/>
        </w:rPr>
        <w:t xml:space="preserve"> (2011) 297 ALR 56; and </w:t>
      </w:r>
      <w:r w:rsidR="001D5204" w:rsidRPr="001D5204">
        <w:rPr>
          <w:rFonts w:ascii="Arial" w:hAnsi="Arial" w:cs="Arial"/>
          <w:i/>
          <w:iCs/>
          <w:sz w:val="20"/>
          <w:szCs w:val="20"/>
        </w:rPr>
        <w:t xml:space="preserve">NOM v Director of Public Prosecutions </w:t>
      </w:r>
      <w:r w:rsidR="001D5204" w:rsidRPr="00162CDC">
        <w:rPr>
          <w:rFonts w:ascii="Arial" w:hAnsi="Arial" w:cs="Arial"/>
          <w:sz w:val="20"/>
          <w:szCs w:val="20"/>
        </w:rPr>
        <w:t>(2012) 38 VR 16, [106]-[109].</w:t>
      </w:r>
    </w:p>
    <w:p w14:paraId="70A52623" w14:textId="396DA17D"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(b)</w:t>
      </w:r>
      <w:r>
        <w:rPr>
          <w:rFonts w:ascii="Arial" w:hAnsi="Arial" w:cs="Arial"/>
          <w:sz w:val="20"/>
          <w:szCs w:val="20"/>
        </w:rPr>
        <w:tab/>
      </w:r>
      <w:r w:rsidRPr="00162CDC">
        <w:rPr>
          <w:rFonts w:ascii="Arial" w:hAnsi="Arial" w:cs="Arial"/>
          <w:sz w:val="20"/>
          <w:szCs w:val="20"/>
        </w:rPr>
        <w:t>The credibility, veracity or motives of a witness may be tested by reference to objective facts proved independently of the oral evidence given and in particular by reference to documents</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[76], quoting </w:t>
      </w:r>
      <w:r w:rsidR="001D5204" w:rsidRPr="001D5204">
        <w:rPr>
          <w:rFonts w:ascii="Arial" w:hAnsi="Arial" w:cs="Arial"/>
          <w:i/>
          <w:iCs/>
          <w:sz w:val="20"/>
          <w:szCs w:val="20"/>
        </w:rPr>
        <w:t>Re Kit Digital Australia Pty Ltd (in liq)</w:t>
      </w:r>
      <w:r w:rsidR="001D5204" w:rsidRPr="00162CDC">
        <w:rPr>
          <w:rFonts w:ascii="Arial" w:hAnsi="Arial" w:cs="Arial"/>
          <w:sz w:val="20"/>
          <w:szCs w:val="20"/>
        </w:rPr>
        <w:t xml:space="preserve"> [2014] NSWSC 1547 at [7].</w:t>
      </w:r>
    </w:p>
    <w:p w14:paraId="43311528" w14:textId="7FF2AADE"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(c)</w:t>
      </w:r>
      <w:r>
        <w:rPr>
          <w:rFonts w:ascii="Arial" w:hAnsi="Arial" w:cs="Arial"/>
          <w:sz w:val="20"/>
          <w:szCs w:val="20"/>
        </w:rPr>
        <w:tab/>
      </w:r>
      <w:r w:rsidRPr="00162CDC">
        <w:rPr>
          <w:rFonts w:ascii="Arial" w:hAnsi="Arial" w:cs="Arial"/>
          <w:sz w:val="20"/>
          <w:szCs w:val="20"/>
        </w:rPr>
        <w:t>Evidence of the words and actions of the person subsequently deceased, given by those who carry the onus of proof, should be approached with ‘suspicion’ given the other person cannot give their own version of what took place</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[78], quoting </w:t>
      </w:r>
      <w:r w:rsidR="001D5204" w:rsidRPr="001D5204">
        <w:rPr>
          <w:rFonts w:ascii="Arial" w:hAnsi="Arial" w:cs="Arial"/>
          <w:i/>
          <w:iCs/>
          <w:sz w:val="20"/>
          <w:szCs w:val="20"/>
        </w:rPr>
        <w:t>Thomas v Times Book Co</w:t>
      </w:r>
      <w:r w:rsidR="001D5204" w:rsidRPr="00162CDC">
        <w:rPr>
          <w:rFonts w:ascii="Arial" w:hAnsi="Arial" w:cs="Arial"/>
          <w:sz w:val="20"/>
          <w:szCs w:val="20"/>
        </w:rPr>
        <w:t xml:space="preserve"> [1966] 2 All ER 241 at 244.</w:t>
      </w:r>
      <w:r w:rsidRPr="00162CDC">
        <w:rPr>
          <w:rFonts w:ascii="Arial" w:hAnsi="Arial" w:cs="Arial"/>
          <w:sz w:val="20"/>
          <w:szCs w:val="20"/>
        </w:rPr>
        <w:t xml:space="preserve"> Suspicion in this context means the evidence is approached with great care and scrutiny such that ‘the evidence ought be thoroughly sifted, and in the mind of</w:t>
      </w:r>
      <w:r w:rsidRPr="00F10DC3">
        <w:rPr>
          <w:rFonts w:ascii="Arial" w:hAnsi="Arial" w:cs="Arial"/>
          <w:sz w:val="20"/>
          <w:szCs w:val="20"/>
        </w:rPr>
        <w:t xml:space="preserve"> </w:t>
      </w:r>
      <w:r w:rsidRPr="00162CDC">
        <w:rPr>
          <w:rFonts w:ascii="Arial" w:hAnsi="Arial" w:cs="Arial"/>
          <w:sz w:val="20"/>
          <w:szCs w:val="20"/>
        </w:rPr>
        <w:t>any judge who hears it ought to be, first of all, in a state of suspicion; but if in the end the truthfulness of the witness is made perfectly clear and apparent’, and the court believes their evidence, then it may act on that evidence.</w:t>
      </w:r>
    </w:p>
    <w:p w14:paraId="75AFB61F" w14:textId="4BDA3027"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(d)</w:t>
      </w:r>
      <w:r>
        <w:rPr>
          <w:rFonts w:ascii="Arial" w:hAnsi="Arial" w:cs="Arial"/>
          <w:sz w:val="20"/>
          <w:szCs w:val="20"/>
        </w:rPr>
        <w:tab/>
      </w:r>
      <w:r w:rsidRPr="00162CDC">
        <w:rPr>
          <w:rFonts w:ascii="Arial" w:hAnsi="Arial" w:cs="Arial"/>
          <w:sz w:val="20"/>
          <w:szCs w:val="20"/>
        </w:rPr>
        <w:t>In particular, evidence of conversations with a deceased is treated with care given the deceased is not available to confirm or deny, or to expand or explain the conversations. Memories of such conversations deteriorate with time. Additional caution is needed and the expectation that independent evidence of such conversations, where available, is led.</w:t>
      </w:r>
    </w:p>
    <w:p w14:paraId="0C762216" w14:textId="5927BF5D" w:rsidR="00F10DC3" w:rsidRDefault="00F10DC3" w:rsidP="001D5204">
      <w:pPr>
        <w:pStyle w:val="NormalWeb"/>
        <w:shd w:val="clear" w:color="auto" w:fill="FFFFFF"/>
        <w:spacing w:before="60" w:beforeAutospacing="0" w:after="0" w:afterAutospacing="0"/>
        <w:ind w:left="1021" w:right="567" w:hanging="454"/>
        <w:jc w:val="both"/>
        <w:rPr>
          <w:rFonts w:ascii="Arial" w:hAnsi="Arial" w:cs="Arial"/>
          <w:sz w:val="20"/>
          <w:szCs w:val="20"/>
        </w:rPr>
      </w:pPr>
      <w:r>
        <w:rPr>
          <w:rFonts w:ascii="Arial" w:hAnsi="Arial" w:cs="Arial"/>
          <w:sz w:val="20"/>
          <w:szCs w:val="20"/>
        </w:rPr>
        <w:t>(e)</w:t>
      </w:r>
      <w:r>
        <w:rPr>
          <w:rFonts w:ascii="Arial" w:hAnsi="Arial" w:cs="Arial"/>
          <w:sz w:val="20"/>
          <w:szCs w:val="20"/>
        </w:rPr>
        <w:tab/>
      </w:r>
      <w:r w:rsidRPr="00162CDC">
        <w:rPr>
          <w:rFonts w:ascii="Arial" w:hAnsi="Arial" w:cs="Arial"/>
          <w:sz w:val="20"/>
          <w:szCs w:val="20"/>
        </w:rPr>
        <w:t>In relation to such conversations, there is a significant risk of reconstruction</w:t>
      </w:r>
      <w:r w:rsidR="001D5204">
        <w:rPr>
          <w:rFonts w:ascii="Arial" w:hAnsi="Arial" w:cs="Arial"/>
          <w:sz w:val="20"/>
          <w:szCs w:val="20"/>
        </w:rPr>
        <w:t xml:space="preserve"> {</w:t>
      </w:r>
      <w:r w:rsidR="001D5204" w:rsidRPr="001D5204">
        <w:rPr>
          <w:rFonts w:ascii="Arial" w:hAnsi="Arial" w:cs="Arial"/>
          <w:i/>
          <w:iCs/>
          <w:sz w:val="20"/>
          <w:szCs w:val="20"/>
        </w:rPr>
        <w:t>Pollock</w:t>
      </w:r>
      <w:r w:rsidR="001D5204" w:rsidRPr="00162CDC">
        <w:rPr>
          <w:rFonts w:ascii="Arial" w:hAnsi="Arial" w:cs="Arial"/>
          <w:sz w:val="20"/>
          <w:szCs w:val="20"/>
        </w:rPr>
        <w:t xml:space="preserve"> </w:t>
      </w:r>
      <w:r w:rsidR="001D5204">
        <w:rPr>
          <w:rFonts w:ascii="Arial" w:hAnsi="Arial" w:cs="Arial"/>
          <w:sz w:val="20"/>
          <w:szCs w:val="20"/>
        </w:rPr>
        <w:t>at</w:t>
      </w:r>
      <w:r w:rsidR="001D5204" w:rsidRPr="00162CDC">
        <w:rPr>
          <w:rFonts w:ascii="Arial" w:hAnsi="Arial" w:cs="Arial"/>
          <w:sz w:val="20"/>
          <w:szCs w:val="20"/>
        </w:rPr>
        <w:t xml:space="preserve"> [83]</w:t>
      </w:r>
      <w:r w:rsidR="001D5204">
        <w:rPr>
          <w:rFonts w:ascii="Arial" w:hAnsi="Arial" w:cs="Arial"/>
          <w:sz w:val="20"/>
          <w:szCs w:val="20"/>
        </w:rPr>
        <w:t>,</w:t>
      </w:r>
      <w:r w:rsidR="001D5204" w:rsidRPr="00162CDC">
        <w:rPr>
          <w:rFonts w:ascii="Arial" w:hAnsi="Arial" w:cs="Arial"/>
          <w:sz w:val="20"/>
          <w:szCs w:val="20"/>
        </w:rPr>
        <w:t xml:space="preserve"> </w:t>
      </w:r>
      <w:r w:rsidR="001D5204" w:rsidRPr="00397B47">
        <w:rPr>
          <w:rFonts w:ascii="Arial" w:hAnsi="Arial" w:cs="Arial"/>
          <w:sz w:val="20"/>
          <w:szCs w:val="20"/>
        </w:rPr>
        <w:t xml:space="preserve">quoting </w:t>
      </w:r>
      <w:r w:rsidR="001D5204" w:rsidRPr="001D5204">
        <w:rPr>
          <w:rFonts w:ascii="Arial" w:hAnsi="Arial" w:cs="Arial"/>
          <w:i/>
          <w:iCs/>
          <w:sz w:val="20"/>
          <w:szCs w:val="20"/>
        </w:rPr>
        <w:t>Webb v Ryan</w:t>
      </w:r>
      <w:r w:rsidR="001D5204" w:rsidRPr="00162CDC">
        <w:rPr>
          <w:rFonts w:ascii="Arial" w:hAnsi="Arial" w:cs="Arial"/>
          <w:sz w:val="20"/>
          <w:szCs w:val="20"/>
        </w:rPr>
        <w:t xml:space="preserve"> [2012] VSC 377, [22]</w:t>
      </w:r>
      <w:r w:rsidR="001D5204">
        <w:rPr>
          <w:rFonts w:ascii="Arial" w:hAnsi="Arial" w:cs="Arial"/>
          <w:sz w:val="20"/>
          <w:szCs w:val="20"/>
        </w:rPr>
        <w:t xml:space="preserve">} </w:t>
      </w:r>
      <w:r w:rsidRPr="00162CDC">
        <w:rPr>
          <w:rFonts w:ascii="Arial" w:hAnsi="Arial" w:cs="Arial"/>
          <w:sz w:val="20"/>
          <w:szCs w:val="20"/>
        </w:rPr>
        <w:t>and the process of litigation itself subjects memories to powerful biases</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[85]</w:t>
      </w:r>
      <w:r w:rsidRPr="00162CDC">
        <w:rPr>
          <w:rFonts w:ascii="Arial" w:hAnsi="Arial" w:cs="Arial"/>
          <w:sz w:val="20"/>
          <w:szCs w:val="20"/>
        </w:rPr>
        <w:t>. The prospect not only of unconscious reconstruction, but of a self-interest to give evidence favourable to one’s case, requires a court to proceed with caution.</w:t>
      </w:r>
    </w:p>
    <w:p w14:paraId="64E544D3" w14:textId="1FEDF008" w:rsidR="001D5204" w:rsidRPr="00D92FA4" w:rsidRDefault="001D5204" w:rsidP="001D5204">
      <w:pPr>
        <w:pStyle w:val="NormalWeb"/>
        <w:shd w:val="clear" w:color="auto" w:fill="FFFFFF"/>
        <w:spacing w:before="60" w:beforeAutospacing="0" w:after="0" w:afterAutospacing="0"/>
        <w:ind w:left="1021" w:right="567" w:hanging="454"/>
        <w:jc w:val="both"/>
        <w:rPr>
          <w:rFonts w:ascii="Arial" w:hAnsi="Arial" w:cs="Arial"/>
          <w:sz w:val="20"/>
          <w:szCs w:val="20"/>
        </w:rPr>
      </w:pPr>
      <w:r>
        <w:rPr>
          <w:rFonts w:ascii="Arial" w:hAnsi="Arial" w:cs="Arial"/>
          <w:sz w:val="20"/>
          <w:szCs w:val="20"/>
        </w:rPr>
        <w:t>[230] As a result of the cautions attaching to present recollection of words and conversations, greater weight is usually accorded to contemporaneous documents as ‘safer repository of reliable fact’ {</w:t>
      </w:r>
      <w:r w:rsidRPr="001D5204">
        <w:rPr>
          <w:rFonts w:ascii="Arial" w:hAnsi="Arial" w:cs="Arial"/>
          <w:i/>
          <w:iCs/>
          <w:sz w:val="20"/>
          <w:szCs w:val="20"/>
        </w:rPr>
        <w:t>Pollock</w:t>
      </w:r>
      <w:r>
        <w:rPr>
          <w:rFonts w:ascii="Arial" w:hAnsi="Arial" w:cs="Arial"/>
          <w:sz w:val="20"/>
          <w:szCs w:val="20"/>
        </w:rPr>
        <w:t xml:space="preserve"> at [88]}, subject to consideration of who has prepared those documents.  This is not to discount recollection but to assess it in ‘its proper place alongside contemporaneous documentary evidence and other evidence upon which undoubted or probable reliance can be placed’ {</w:t>
      </w:r>
      <w:r w:rsidRPr="00397B47">
        <w:rPr>
          <w:rFonts w:ascii="Arial" w:hAnsi="Arial" w:cs="Arial"/>
          <w:i/>
          <w:iCs/>
          <w:sz w:val="20"/>
          <w:szCs w:val="20"/>
        </w:rPr>
        <w:t>Pollock</w:t>
      </w:r>
      <w:r>
        <w:rPr>
          <w:rFonts w:ascii="Arial" w:hAnsi="Arial" w:cs="Arial"/>
          <w:sz w:val="20"/>
          <w:szCs w:val="20"/>
        </w:rPr>
        <w:t xml:space="preserve"> at [88], quoting </w:t>
      </w:r>
      <w:r w:rsidRPr="00397B47">
        <w:rPr>
          <w:rFonts w:ascii="Arial" w:hAnsi="Arial" w:cs="Arial"/>
          <w:i/>
          <w:iCs/>
          <w:sz w:val="20"/>
          <w:szCs w:val="20"/>
        </w:rPr>
        <w:t>Kogan v Martin</w:t>
      </w:r>
      <w:r>
        <w:rPr>
          <w:rFonts w:ascii="Arial" w:hAnsi="Arial" w:cs="Arial"/>
          <w:sz w:val="20"/>
          <w:szCs w:val="20"/>
        </w:rPr>
        <w:t xml:space="preserve"> [2019] EWCA Civ 1645}.”</w:t>
      </w:r>
    </w:p>
    <w:p w14:paraId="7DA057D8" w14:textId="77777777" w:rsidR="008C7C9C" w:rsidRPr="002F1752" w:rsidRDefault="008C7C9C">
      <w:pPr>
        <w:jc w:val="both"/>
        <w:rPr>
          <w:rFonts w:ascii="Arial" w:hAnsi="Arial" w:cs="Arial"/>
          <w:sz w:val="20"/>
        </w:rPr>
      </w:pPr>
    </w:p>
    <w:p w14:paraId="20FFC698" w14:textId="7D2C0E93" w:rsidR="005D6DF0" w:rsidRPr="005D6DF0" w:rsidRDefault="002F1752" w:rsidP="005D6DF0">
      <w:pPr>
        <w:jc w:val="both"/>
        <w:rPr>
          <w:rFonts w:ascii="Arial" w:hAnsi="Arial" w:cs="Arial"/>
          <w:sz w:val="20"/>
        </w:rPr>
      </w:pPr>
      <w:r>
        <w:rPr>
          <w:rFonts w:ascii="Arial" w:hAnsi="Arial" w:cs="Arial"/>
          <w:sz w:val="20"/>
        </w:rPr>
        <w:t>A</w:t>
      </w:r>
      <w:r w:rsidR="005D6DF0">
        <w:rPr>
          <w:rFonts w:ascii="Arial" w:hAnsi="Arial" w:cs="Arial"/>
          <w:sz w:val="20"/>
        </w:rPr>
        <w:t xml:space="preserve"> powerful illustration of the value of objective evidence and a cautionary word on placing excessive weight on the</w:t>
      </w:r>
      <w:r w:rsidR="00E348A9">
        <w:rPr>
          <w:rFonts w:ascii="Arial" w:hAnsi="Arial" w:cs="Arial"/>
          <w:sz w:val="20"/>
        </w:rPr>
        <w:t xml:space="preserve"> general </w:t>
      </w:r>
      <w:r w:rsidR="005D6DF0">
        <w:rPr>
          <w:rFonts w:ascii="Arial" w:hAnsi="Arial" w:cs="Arial"/>
          <w:sz w:val="20"/>
        </w:rPr>
        <w:t xml:space="preserve">credibility of witnesses is to be found in the case of </w:t>
      </w:r>
      <w:r w:rsidR="005D6DF0" w:rsidRPr="005D6DF0">
        <w:rPr>
          <w:rFonts w:ascii="Arial" w:hAnsi="Arial" w:cs="Arial"/>
          <w:i/>
          <w:iCs/>
          <w:sz w:val="20"/>
        </w:rPr>
        <w:t>Gazzard v Metro Finance Pty Ltd</w:t>
      </w:r>
      <w:r w:rsidR="005D6DF0" w:rsidRPr="005D6DF0">
        <w:rPr>
          <w:rFonts w:ascii="Arial" w:hAnsi="Arial" w:cs="Arial"/>
          <w:sz w:val="20"/>
        </w:rPr>
        <w:t xml:space="preserve"> [2025] VCC 592</w:t>
      </w:r>
      <w:r w:rsidR="005D6DF0">
        <w:rPr>
          <w:rFonts w:ascii="Arial" w:hAnsi="Arial" w:cs="Arial"/>
          <w:sz w:val="20"/>
        </w:rPr>
        <w:t>. A</w:t>
      </w:r>
      <w:r w:rsidR="005D6DF0" w:rsidRPr="005D6DF0">
        <w:rPr>
          <w:rFonts w:ascii="Arial" w:hAnsi="Arial" w:cs="Arial"/>
          <w:sz w:val="20"/>
        </w:rPr>
        <w:t xml:space="preserve">fter a </w:t>
      </w:r>
      <w:proofErr w:type="gramStart"/>
      <w:r w:rsidR="005D6DF0" w:rsidRPr="005D6DF0">
        <w:rPr>
          <w:rFonts w:ascii="Arial" w:hAnsi="Arial" w:cs="Arial"/>
          <w:sz w:val="20"/>
        </w:rPr>
        <w:t>5 day</w:t>
      </w:r>
      <w:proofErr w:type="gramEnd"/>
      <w:r w:rsidR="005D6DF0" w:rsidRPr="005D6DF0">
        <w:rPr>
          <w:rFonts w:ascii="Arial" w:hAnsi="Arial" w:cs="Arial"/>
          <w:sz w:val="20"/>
        </w:rPr>
        <w:t xml:space="preserve"> trial Judge Palmer found that the plaintiff Vera Gazzard was the owner of a Porsche which had been converted by the respondent and </w:t>
      </w:r>
      <w:r w:rsidR="00BB3EA0">
        <w:rPr>
          <w:rFonts w:ascii="Arial" w:hAnsi="Arial" w:cs="Arial"/>
          <w:sz w:val="20"/>
        </w:rPr>
        <w:t>ordered</w:t>
      </w:r>
      <w:r w:rsidR="005D6DF0" w:rsidRPr="005D6DF0">
        <w:rPr>
          <w:rFonts w:ascii="Arial" w:hAnsi="Arial" w:cs="Arial"/>
          <w:sz w:val="20"/>
        </w:rPr>
        <w:t xml:space="preserve"> judgment for Ms</w:t>
      </w:r>
      <w:r w:rsidR="00001F15">
        <w:rPr>
          <w:rFonts w:ascii="Arial" w:hAnsi="Arial" w:cs="Arial"/>
          <w:sz w:val="20"/>
        </w:rPr>
        <w:t xml:space="preserve"> </w:t>
      </w:r>
      <w:r w:rsidR="005D6DF0" w:rsidRPr="005D6DF0">
        <w:rPr>
          <w:rFonts w:ascii="Arial" w:hAnsi="Arial" w:cs="Arial"/>
          <w:sz w:val="20"/>
        </w:rPr>
        <w:t>Gazzard in the sum of $114,816.</w:t>
      </w:r>
    </w:p>
    <w:p w14:paraId="778892EE" w14:textId="4A3BFEB5" w:rsidR="005D6DF0" w:rsidRPr="005D6DF0" w:rsidRDefault="00E348A9" w:rsidP="00E348A9">
      <w:pPr>
        <w:spacing w:before="60"/>
        <w:jc w:val="both"/>
        <w:rPr>
          <w:rFonts w:ascii="Arial" w:hAnsi="Arial" w:cs="Arial"/>
          <w:sz w:val="20"/>
        </w:rPr>
      </w:pPr>
      <w:r>
        <w:rPr>
          <w:rFonts w:ascii="Arial" w:hAnsi="Arial" w:cs="Arial"/>
          <w:sz w:val="20"/>
        </w:rPr>
        <w:t>Ms Gazzard succeeded in her action primarily on the basis of the objective evidence despite the fact that n</w:t>
      </w:r>
      <w:r w:rsidR="005D6DF0" w:rsidRPr="005D6DF0">
        <w:rPr>
          <w:rFonts w:ascii="Arial" w:hAnsi="Arial" w:cs="Arial"/>
          <w:sz w:val="20"/>
        </w:rPr>
        <w:t xml:space="preserve">either </w:t>
      </w:r>
      <w:r>
        <w:rPr>
          <w:rFonts w:ascii="Arial" w:hAnsi="Arial" w:cs="Arial"/>
          <w:sz w:val="20"/>
        </w:rPr>
        <w:t xml:space="preserve">she nor her primary witness </w:t>
      </w:r>
      <w:r w:rsidR="005D6DF0" w:rsidRPr="005D6DF0">
        <w:rPr>
          <w:rFonts w:ascii="Arial" w:hAnsi="Arial" w:cs="Arial"/>
          <w:sz w:val="20"/>
        </w:rPr>
        <w:t xml:space="preserve">Mr Ceylan </w:t>
      </w:r>
      <w:r w:rsidR="002F1752">
        <w:rPr>
          <w:rFonts w:ascii="Arial" w:hAnsi="Arial" w:cs="Arial"/>
          <w:sz w:val="20"/>
        </w:rPr>
        <w:t>– who may or may have been her boyfriend (see footnote 17) – pr</w:t>
      </w:r>
      <w:r w:rsidR="005D6DF0" w:rsidRPr="005D6DF0">
        <w:rPr>
          <w:rFonts w:ascii="Arial" w:hAnsi="Arial" w:cs="Arial"/>
          <w:sz w:val="20"/>
        </w:rPr>
        <w:t xml:space="preserve">esented to Judge Palmer as </w:t>
      </w:r>
      <w:r w:rsidR="00D0335C">
        <w:rPr>
          <w:rFonts w:ascii="Arial" w:hAnsi="Arial" w:cs="Arial"/>
          <w:sz w:val="20"/>
        </w:rPr>
        <w:t>witnesses of good credit</w:t>
      </w:r>
      <w:r w:rsidR="005D6DF0" w:rsidRPr="005D6DF0">
        <w:rPr>
          <w:rFonts w:ascii="Arial" w:hAnsi="Arial" w:cs="Arial"/>
          <w:sz w:val="20"/>
        </w:rPr>
        <w:t>:</w:t>
      </w:r>
    </w:p>
    <w:p w14:paraId="4D799E7C" w14:textId="34BF9963" w:rsidR="005D6DF0" w:rsidRPr="005D6DF0" w:rsidRDefault="009D5EF1" w:rsidP="009D5EF1">
      <w:pPr>
        <w:spacing w:before="60"/>
        <w:ind w:left="1021" w:right="567" w:hanging="454"/>
        <w:jc w:val="both"/>
        <w:rPr>
          <w:rFonts w:ascii="Arial" w:hAnsi="Arial" w:cs="Arial"/>
          <w:sz w:val="20"/>
        </w:rPr>
      </w:pPr>
      <w:r>
        <w:rPr>
          <w:rFonts w:ascii="Arial" w:hAnsi="Arial" w:cs="Arial"/>
          <w:sz w:val="20"/>
        </w:rPr>
        <w:t>[23]</w:t>
      </w:r>
      <w:r>
        <w:rPr>
          <w:rFonts w:ascii="Arial" w:hAnsi="Arial" w:cs="Arial"/>
          <w:sz w:val="20"/>
        </w:rPr>
        <w:tab/>
      </w:r>
      <w:r w:rsidR="005D6DF0" w:rsidRPr="005D6DF0">
        <w:rPr>
          <w:rFonts w:ascii="Arial" w:hAnsi="Arial" w:cs="Arial"/>
          <w:sz w:val="20"/>
        </w:rPr>
        <w:t>“Metro also raises numerous well-founded objections to the credibility of both Ms</w:t>
      </w:r>
      <w:r w:rsidR="00E348A9">
        <w:rPr>
          <w:rFonts w:ascii="Arial" w:hAnsi="Arial" w:cs="Arial"/>
          <w:sz w:val="20"/>
        </w:rPr>
        <w:t> </w:t>
      </w:r>
      <w:r w:rsidR="005D6DF0" w:rsidRPr="005D6DF0">
        <w:rPr>
          <w:rFonts w:ascii="Arial" w:hAnsi="Arial" w:cs="Arial"/>
          <w:sz w:val="20"/>
        </w:rPr>
        <w:t>Gazzard and Mr Ceylan. Mr Ceylan has spent time in prison for dishonesty offences, attempting to pervert the course of justice by trying to get a witness to change their statement, and obtaining financial advantage by a deception that involved getting finance for a car owned by someone else.</w:t>
      </w:r>
      <w:r w:rsidR="00E348A9">
        <w:rPr>
          <w:rFonts w:ascii="Arial" w:hAnsi="Arial" w:cs="Arial"/>
          <w:sz w:val="20"/>
        </w:rPr>
        <w:t xml:space="preserve"> </w:t>
      </w:r>
      <w:r w:rsidR="005D6DF0" w:rsidRPr="005D6DF0">
        <w:rPr>
          <w:rFonts w:ascii="Arial" w:hAnsi="Arial" w:cs="Arial"/>
          <w:sz w:val="20"/>
        </w:rPr>
        <w:t>That said, as a witness he seemed reasonably open and candid, and several times gave answers that contradicted Ms</w:t>
      </w:r>
      <w:r w:rsidR="00967753">
        <w:rPr>
          <w:rFonts w:ascii="Arial" w:hAnsi="Arial" w:cs="Arial"/>
          <w:sz w:val="20"/>
        </w:rPr>
        <w:t xml:space="preserve"> </w:t>
      </w:r>
      <w:r w:rsidR="005D6DF0" w:rsidRPr="005D6DF0">
        <w:rPr>
          <w:rFonts w:ascii="Arial" w:hAnsi="Arial" w:cs="Arial"/>
          <w:sz w:val="20"/>
        </w:rPr>
        <w:t>Gazzard’s testimony, suggesting that they had not colluded in their evidence.</w:t>
      </w:r>
    </w:p>
    <w:p w14:paraId="4DC1D5C9" w14:textId="21E04122" w:rsidR="005D6DF0" w:rsidRPr="005D6DF0" w:rsidRDefault="009D5EF1" w:rsidP="009D5EF1">
      <w:pPr>
        <w:spacing w:before="80"/>
        <w:ind w:left="1021" w:right="567" w:hanging="454"/>
        <w:jc w:val="both"/>
        <w:rPr>
          <w:rFonts w:ascii="Arial" w:hAnsi="Arial" w:cs="Arial"/>
          <w:sz w:val="20"/>
        </w:rPr>
      </w:pPr>
      <w:r>
        <w:rPr>
          <w:rFonts w:ascii="Arial" w:hAnsi="Arial" w:cs="Arial"/>
          <w:sz w:val="20"/>
        </w:rPr>
        <w:lastRenderedPageBreak/>
        <w:t>[24]</w:t>
      </w:r>
      <w:r>
        <w:rPr>
          <w:rFonts w:ascii="Arial" w:hAnsi="Arial" w:cs="Arial"/>
          <w:sz w:val="20"/>
        </w:rPr>
        <w:tab/>
      </w:r>
      <w:r w:rsidR="005D6DF0" w:rsidRPr="005D6DF0">
        <w:rPr>
          <w:rFonts w:ascii="Arial" w:hAnsi="Arial" w:cs="Arial"/>
          <w:sz w:val="20"/>
        </w:rPr>
        <w:t>Ms Gazzard’s testimony included non-responsive, evasive and sometimes demonstrably false answers. She had also engaged in various dubious schemes. For</w:t>
      </w:r>
      <w:r w:rsidR="002F1752">
        <w:rPr>
          <w:rFonts w:ascii="Arial" w:hAnsi="Arial" w:cs="Arial"/>
          <w:sz w:val="20"/>
        </w:rPr>
        <w:t> </w:t>
      </w:r>
      <w:r w:rsidR="005D6DF0" w:rsidRPr="005D6DF0">
        <w:rPr>
          <w:rFonts w:ascii="Arial" w:hAnsi="Arial" w:cs="Arial"/>
          <w:sz w:val="20"/>
        </w:rPr>
        <w:t>example:</w:t>
      </w:r>
    </w:p>
    <w:p w14:paraId="1AD648B6" w14:textId="77777777" w:rsidR="002F1752" w:rsidRDefault="005D6DF0" w:rsidP="00234037">
      <w:pPr>
        <w:numPr>
          <w:ilvl w:val="1"/>
          <w:numId w:val="160"/>
        </w:numPr>
        <w:ind w:left="1378" w:right="567" w:hanging="357"/>
        <w:jc w:val="both"/>
        <w:rPr>
          <w:rFonts w:ascii="Arial" w:hAnsi="Arial" w:cs="Arial"/>
          <w:sz w:val="20"/>
        </w:rPr>
      </w:pPr>
      <w:r w:rsidRPr="005D6DF0">
        <w:rPr>
          <w:rFonts w:ascii="Arial" w:hAnsi="Arial" w:cs="Arial"/>
          <w:sz w:val="20"/>
        </w:rPr>
        <w:t>She insisted that the primer that was clearly visible on the left front wheel arch of the Porsche in numerous photos, taken on different days and in different settings, was in fact a shadow or a reflection of light on the photograph.</w:t>
      </w:r>
      <w:bookmarkStart w:id="616" w:name="fnB56"/>
    </w:p>
    <w:p w14:paraId="633CD114" w14:textId="77777777" w:rsidR="002F1752"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She admitted that information she had provided in a loan application was a lie.</w:t>
      </w:r>
    </w:p>
    <w:p w14:paraId="0843C693" w14:textId="77777777" w:rsidR="002F1752"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She had permitted others, including both Sedat and Burak Ceylan, to complete documents or make representations on her behalf, relating to obtaining finance and insurance.</w:t>
      </w:r>
    </w:p>
    <w:p w14:paraId="5E10A106" w14:textId="77777777" w:rsidR="002F1752"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She also submitted, or acquiesced to documents being submitted, in her name, which included false information.</w:t>
      </w:r>
    </w:p>
    <w:p w14:paraId="20335896" w14:textId="16F432AC" w:rsidR="005D6DF0" w:rsidRPr="005D6DF0"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According to Mr Ceylan’s sentencing remarks, in July 2018 she had also been involved in an attempt by Mr Ceylan to pervert the course of justice.</w:t>
      </w:r>
      <w:hyperlink r:id="rId45" w:anchor="fn56" w:history="1"/>
      <w:bookmarkEnd w:id="616"/>
    </w:p>
    <w:p w14:paraId="03A14445" w14:textId="1419031A" w:rsidR="005D6DF0" w:rsidRPr="005D6DF0" w:rsidRDefault="009D5EF1" w:rsidP="009D5EF1">
      <w:pPr>
        <w:spacing w:before="60"/>
        <w:ind w:left="1021" w:right="567" w:hanging="454"/>
        <w:jc w:val="both"/>
        <w:rPr>
          <w:rFonts w:ascii="Arial" w:hAnsi="Arial" w:cs="Arial"/>
          <w:sz w:val="20"/>
        </w:rPr>
      </w:pPr>
      <w:r w:rsidRPr="009D5EF1">
        <w:rPr>
          <w:rFonts w:ascii="Arial" w:hAnsi="Arial" w:cs="Arial"/>
          <w:sz w:val="20"/>
        </w:rPr>
        <w:t>[25]</w:t>
      </w:r>
      <w:r w:rsidRPr="009D5EF1">
        <w:rPr>
          <w:rFonts w:ascii="Arial" w:hAnsi="Arial" w:cs="Arial"/>
          <w:sz w:val="20"/>
        </w:rPr>
        <w:tab/>
        <w:t xml:space="preserve"> </w:t>
      </w:r>
      <w:r w:rsidR="005D6DF0" w:rsidRPr="005D6DF0">
        <w:rPr>
          <w:rFonts w:ascii="Arial" w:hAnsi="Arial" w:cs="Arial"/>
          <w:b/>
          <w:bCs/>
          <w:sz w:val="20"/>
          <w:u w:val="single"/>
        </w:rPr>
        <w:t>I do not consider either Ms Gazzard or Mr Ceylan to be witnesses of good credit.</w:t>
      </w:r>
      <w:r w:rsidR="00E348A9" w:rsidRPr="00E348A9">
        <w:rPr>
          <w:rFonts w:ascii="Arial" w:hAnsi="Arial" w:cs="Arial"/>
          <w:b/>
          <w:bCs/>
          <w:sz w:val="20"/>
          <w:u w:val="single"/>
        </w:rPr>
        <w:t xml:space="preserve"> </w:t>
      </w:r>
      <w:r w:rsidR="005D6DF0" w:rsidRPr="005D6DF0">
        <w:rPr>
          <w:rFonts w:ascii="Arial" w:hAnsi="Arial" w:cs="Arial"/>
          <w:b/>
          <w:bCs/>
          <w:sz w:val="20"/>
          <w:u w:val="single"/>
        </w:rPr>
        <w:t xml:space="preserve">Nevertheless, just because a witness is untrustworthy does not mean that </w:t>
      </w:r>
      <w:proofErr w:type="gramStart"/>
      <w:r w:rsidR="005D6DF0" w:rsidRPr="005D6DF0">
        <w:rPr>
          <w:rFonts w:ascii="Arial" w:hAnsi="Arial" w:cs="Arial"/>
          <w:b/>
          <w:bCs/>
          <w:sz w:val="20"/>
          <w:u w:val="single"/>
        </w:rPr>
        <w:t>everything</w:t>
      </w:r>
      <w:proofErr w:type="gramEnd"/>
      <w:r w:rsidR="005D6DF0" w:rsidRPr="005D6DF0">
        <w:rPr>
          <w:rFonts w:ascii="Arial" w:hAnsi="Arial" w:cs="Arial"/>
          <w:b/>
          <w:bCs/>
          <w:sz w:val="20"/>
          <w:u w:val="single"/>
        </w:rPr>
        <w:t xml:space="preserve"> they say is a lie.</w:t>
      </w:r>
      <w:r w:rsidR="005D6DF0" w:rsidRPr="005D6DF0">
        <w:rPr>
          <w:rFonts w:ascii="Arial" w:hAnsi="Arial" w:cs="Arial"/>
          <w:sz w:val="20"/>
        </w:rPr>
        <w:t xml:space="preserve"> In this case, the objective evidence – in particular, the invoices issued by Pickles, and, most importantly, the fact that the Porsche was paid for with money from Ms Gazzard’s bank accounts – is consistent with their testimony that it was Ms Gazzard who bought the Porsche from Pickles. There is no objective evidence that is inconsistent with that conclusion. I therefore find that Ms</w:t>
      </w:r>
      <w:r w:rsidR="00E348A9">
        <w:rPr>
          <w:rFonts w:ascii="Arial" w:hAnsi="Arial" w:cs="Arial"/>
          <w:sz w:val="20"/>
        </w:rPr>
        <w:t xml:space="preserve"> </w:t>
      </w:r>
      <w:r w:rsidR="005D6DF0" w:rsidRPr="005D6DF0">
        <w:rPr>
          <w:rFonts w:ascii="Arial" w:hAnsi="Arial" w:cs="Arial"/>
          <w:sz w:val="20"/>
        </w:rPr>
        <w:t>Gazzard became the sole owner of the Porsche on or around 14 July 2017.”</w:t>
      </w:r>
      <w:r w:rsidR="00E348A9">
        <w:rPr>
          <w:rFonts w:ascii="Arial" w:hAnsi="Arial" w:cs="Arial"/>
          <w:sz w:val="20"/>
        </w:rPr>
        <w:t xml:space="preserve"> [footnotes omitted and emphasis added]</w:t>
      </w:r>
    </w:p>
    <w:p w14:paraId="17A18988" w14:textId="77777777" w:rsidR="005D6DF0" w:rsidRDefault="005D6DF0">
      <w:pPr>
        <w:jc w:val="both"/>
        <w:rPr>
          <w:rFonts w:ascii="Arial" w:hAnsi="Arial" w:cs="Arial"/>
          <w:sz w:val="20"/>
        </w:rPr>
      </w:pPr>
    </w:p>
    <w:p w14:paraId="2843CD3E" w14:textId="560C5496" w:rsidR="006C4A9A" w:rsidRDefault="006C4A9A" w:rsidP="006C4A9A">
      <w:pPr>
        <w:pStyle w:val="Heading3"/>
        <w:keepNext/>
        <w:widowControl/>
        <w:spacing w:line="240" w:lineRule="auto"/>
        <w:ind w:left="737" w:hanging="737"/>
        <w:rPr>
          <w:rFonts w:ascii="Arial" w:hAnsi="Arial" w:cs="Arial"/>
          <w:sz w:val="20"/>
        </w:rPr>
      </w:pPr>
      <w:bookmarkStart w:id="617" w:name="_3.5.3.9_Inadmissibility_without"/>
      <w:bookmarkEnd w:id="617"/>
      <w:r w:rsidRPr="008C3BC8">
        <w:rPr>
          <w:rFonts w:ascii="Arial" w:hAnsi="Arial" w:cs="Arial"/>
          <w:b/>
          <w:bCs/>
          <w:color w:val="000000"/>
          <w:sz w:val="20"/>
        </w:rPr>
        <w:t>3.5.</w:t>
      </w:r>
      <w:r>
        <w:rPr>
          <w:rFonts w:ascii="Arial" w:hAnsi="Arial" w:cs="Arial"/>
          <w:b/>
          <w:bCs/>
          <w:color w:val="000000"/>
          <w:sz w:val="20"/>
        </w:rPr>
        <w:t>3.9</w:t>
      </w:r>
      <w:r>
        <w:rPr>
          <w:rFonts w:ascii="Arial" w:hAnsi="Arial" w:cs="Arial"/>
          <w:b/>
          <w:bCs/>
          <w:color w:val="000000"/>
          <w:sz w:val="20"/>
        </w:rPr>
        <w:tab/>
      </w:r>
      <w:r w:rsidR="0019274F">
        <w:rPr>
          <w:rFonts w:ascii="Arial" w:hAnsi="Arial" w:cs="Arial"/>
          <w:b/>
          <w:bCs/>
          <w:color w:val="000000"/>
          <w:sz w:val="20"/>
        </w:rPr>
        <w:t>A</w:t>
      </w:r>
      <w:r>
        <w:rPr>
          <w:rFonts w:ascii="Arial" w:hAnsi="Arial" w:cs="Arial"/>
          <w:b/>
          <w:bCs/>
          <w:color w:val="000000"/>
          <w:sz w:val="20"/>
        </w:rPr>
        <w:t>dduc</w:t>
      </w:r>
      <w:r w:rsidR="0019274F">
        <w:rPr>
          <w:rFonts w:ascii="Arial" w:hAnsi="Arial" w:cs="Arial"/>
          <w:b/>
          <w:bCs/>
          <w:color w:val="000000"/>
          <w:sz w:val="20"/>
        </w:rPr>
        <w:t>ing evidence of</w:t>
      </w:r>
      <w:r>
        <w:rPr>
          <w:rFonts w:ascii="Arial" w:hAnsi="Arial" w:cs="Arial"/>
          <w:b/>
          <w:bCs/>
          <w:color w:val="000000"/>
          <w:sz w:val="20"/>
        </w:rPr>
        <w:t xml:space="preserve"> confidential communication or protected health information</w:t>
      </w:r>
    </w:p>
    <w:p w14:paraId="0F702964" w14:textId="16CE0F3C" w:rsidR="002E7182" w:rsidRDefault="00B22FB4" w:rsidP="006C4A9A">
      <w:pPr>
        <w:spacing w:before="120"/>
        <w:jc w:val="both"/>
        <w:rPr>
          <w:rFonts w:ascii="Arial" w:hAnsi="Arial" w:cs="Arial"/>
          <w:sz w:val="20"/>
          <w:szCs w:val="20"/>
        </w:rPr>
      </w:pPr>
      <w:r>
        <w:rPr>
          <w:rFonts w:ascii="Arial" w:hAnsi="Arial" w:cs="Arial"/>
          <w:sz w:val="20"/>
        </w:rPr>
        <w:t xml:space="preserve">The provisions of </w:t>
      </w:r>
      <w:r w:rsidR="006C4A9A">
        <w:rPr>
          <w:rFonts w:ascii="Arial" w:hAnsi="Arial" w:cs="Arial"/>
          <w:sz w:val="20"/>
        </w:rPr>
        <w:t xml:space="preserve">Division 2A of the </w:t>
      </w:r>
      <w:r w:rsidR="006C4A9A" w:rsidRPr="00AD1396">
        <w:rPr>
          <w:rFonts w:ascii="Arial" w:hAnsi="Arial" w:cs="Arial"/>
          <w:i/>
          <w:iCs/>
          <w:sz w:val="20"/>
          <w:szCs w:val="20"/>
        </w:rPr>
        <w:t>Evidence (Miscellaneous Provisions) Act 1958</w:t>
      </w:r>
      <w:r w:rsidR="006C4A9A">
        <w:rPr>
          <w:rFonts w:ascii="Arial" w:hAnsi="Arial" w:cs="Arial"/>
          <w:sz w:val="20"/>
          <w:szCs w:val="20"/>
        </w:rPr>
        <w:t xml:space="preserve"> [the EMPA] </w:t>
      </w:r>
      <w:r>
        <w:rPr>
          <w:rFonts w:ascii="Arial" w:hAnsi="Arial" w:cs="Arial"/>
          <w:sz w:val="20"/>
          <w:szCs w:val="20"/>
        </w:rPr>
        <w:t xml:space="preserve">provide that leave of a court is generally required to compel the production of – </w:t>
      </w:r>
      <w:r w:rsidR="00506DE2">
        <w:rPr>
          <w:rFonts w:ascii="Arial" w:hAnsi="Arial" w:cs="Arial"/>
          <w:sz w:val="20"/>
          <w:szCs w:val="20"/>
        </w:rPr>
        <w:t xml:space="preserve">and to adduce evidence of – </w:t>
      </w:r>
      <w:r>
        <w:rPr>
          <w:rFonts w:ascii="Arial" w:hAnsi="Arial" w:cs="Arial"/>
          <w:sz w:val="20"/>
          <w:szCs w:val="20"/>
        </w:rPr>
        <w:t xml:space="preserve">confidential communications and protected health information.  </w:t>
      </w:r>
      <w:r w:rsidR="002E7182">
        <w:rPr>
          <w:rFonts w:ascii="Arial" w:hAnsi="Arial" w:cs="Arial"/>
          <w:sz w:val="20"/>
          <w:szCs w:val="20"/>
        </w:rPr>
        <w:t xml:space="preserve">However, in </w:t>
      </w:r>
      <w:r w:rsidR="002E7182" w:rsidRPr="002E7182">
        <w:rPr>
          <w:rFonts w:ascii="Arial" w:hAnsi="Arial" w:cs="Arial"/>
          <w:i/>
          <w:iCs/>
          <w:sz w:val="20"/>
          <w:szCs w:val="20"/>
        </w:rPr>
        <w:t>HM v Sister Mary Monaghan</w:t>
      </w:r>
      <w:r w:rsidR="002E7182">
        <w:rPr>
          <w:rFonts w:ascii="Arial" w:hAnsi="Arial" w:cs="Arial"/>
          <w:sz w:val="20"/>
          <w:szCs w:val="20"/>
        </w:rPr>
        <w:t xml:space="preserve"> [2024] VSC 257 Keogh J held that s.32E(1)(a) operates to make an application for leave unnecessary if the protected person consents to the production.</w:t>
      </w:r>
    </w:p>
    <w:p w14:paraId="166A9517" w14:textId="4A502C78" w:rsidR="006C4A9A" w:rsidRDefault="00756701" w:rsidP="006C4A9A">
      <w:pPr>
        <w:spacing w:before="120"/>
        <w:jc w:val="both"/>
        <w:rPr>
          <w:rFonts w:ascii="Arial" w:hAnsi="Arial" w:cs="Arial"/>
          <w:sz w:val="20"/>
        </w:rPr>
      </w:pPr>
      <w:r>
        <w:rPr>
          <w:rFonts w:ascii="Arial" w:hAnsi="Arial" w:cs="Arial"/>
          <w:sz w:val="20"/>
          <w:szCs w:val="20"/>
        </w:rPr>
        <w:t>Section 32AB sets out the guiding principles to which a court is required to have regard when deciding whether or not to grant leave to compel production of or adduce evidence of a confidential communication or protected health information.</w:t>
      </w:r>
    </w:p>
    <w:p w14:paraId="48D473FC" w14:textId="77777777" w:rsidR="00D16A96" w:rsidRDefault="006C4A9A" w:rsidP="006C4A9A">
      <w:pPr>
        <w:spacing w:before="120"/>
        <w:jc w:val="both"/>
        <w:rPr>
          <w:rFonts w:ascii="Arial" w:hAnsi="Arial" w:cs="Arial"/>
          <w:sz w:val="20"/>
          <w:szCs w:val="20"/>
        </w:rPr>
      </w:pPr>
      <w:r>
        <w:rPr>
          <w:rFonts w:ascii="Arial" w:hAnsi="Arial" w:cs="Arial"/>
          <w:sz w:val="20"/>
          <w:szCs w:val="20"/>
        </w:rPr>
        <w:t>Under s.32B(1) of the EMPA</w:t>
      </w:r>
      <w:r w:rsidR="00D16A96">
        <w:rPr>
          <w:rFonts w:ascii="Arial" w:hAnsi="Arial" w:cs="Arial"/>
          <w:sz w:val="20"/>
          <w:szCs w:val="20"/>
        </w:rPr>
        <w:t>:</w:t>
      </w:r>
    </w:p>
    <w:p w14:paraId="06E7AA05" w14:textId="1C8AF7D8" w:rsidR="006C4A9A" w:rsidRDefault="006C4A9A">
      <w:pPr>
        <w:pStyle w:val="ListParagraph"/>
        <w:numPr>
          <w:ilvl w:val="0"/>
          <w:numId w:val="179"/>
        </w:numPr>
        <w:ind w:left="357" w:hanging="357"/>
        <w:jc w:val="both"/>
        <w:rPr>
          <w:rFonts w:ascii="Arial" w:hAnsi="Arial" w:cs="Arial"/>
          <w:sz w:val="20"/>
        </w:rPr>
      </w:pPr>
      <w:r w:rsidRPr="00D16A96">
        <w:rPr>
          <w:rFonts w:ascii="Arial" w:hAnsi="Arial" w:cs="Arial"/>
          <w:sz w:val="20"/>
        </w:rPr>
        <w:t>a ‘confidential communication’ includes an oral or written communication made in confidence by a person against whom a sexual offence has been committed to a counsellor in the course of the relationship of counsellor and client and a ‘protected person’ is the person who made the confidential communication</w:t>
      </w:r>
      <w:r w:rsidR="00D16A96">
        <w:rPr>
          <w:rFonts w:ascii="Arial" w:hAnsi="Arial" w:cs="Arial"/>
          <w:sz w:val="20"/>
        </w:rPr>
        <w:t>;</w:t>
      </w:r>
    </w:p>
    <w:p w14:paraId="7A7DF8AE" w14:textId="51A66B0E" w:rsidR="00D16A96" w:rsidRPr="00D16A96" w:rsidRDefault="00D16A96">
      <w:pPr>
        <w:pStyle w:val="ListParagraph"/>
        <w:numPr>
          <w:ilvl w:val="0"/>
          <w:numId w:val="179"/>
        </w:numPr>
        <w:ind w:left="357" w:hanging="357"/>
        <w:jc w:val="both"/>
        <w:rPr>
          <w:rFonts w:ascii="Arial" w:hAnsi="Arial" w:cs="Arial"/>
          <w:sz w:val="20"/>
        </w:rPr>
      </w:pPr>
      <w:r>
        <w:rPr>
          <w:rFonts w:ascii="Arial" w:hAnsi="Arial" w:cs="Arial"/>
          <w:sz w:val="20"/>
        </w:rPr>
        <w:t xml:space="preserve">‘parent’ has the same meaning as in the </w:t>
      </w:r>
      <w:r w:rsidRPr="00D16A96">
        <w:rPr>
          <w:rFonts w:ascii="Arial" w:hAnsi="Arial" w:cs="Arial"/>
          <w:i/>
          <w:iCs/>
          <w:sz w:val="20"/>
        </w:rPr>
        <w:t>Youth Justice Act 2024</w:t>
      </w:r>
      <w:r>
        <w:rPr>
          <w:rFonts w:ascii="Arial" w:hAnsi="Arial" w:cs="Arial"/>
          <w:sz w:val="20"/>
        </w:rPr>
        <w:t>.</w:t>
      </w:r>
    </w:p>
    <w:p w14:paraId="72D6ECD2" w14:textId="4A1629B2" w:rsidR="00E91692" w:rsidRDefault="00756701" w:rsidP="006C4A9A">
      <w:pPr>
        <w:spacing w:before="120"/>
        <w:jc w:val="both"/>
        <w:rPr>
          <w:rFonts w:ascii="Arial" w:hAnsi="Arial" w:cs="Arial"/>
          <w:sz w:val="20"/>
          <w:szCs w:val="20"/>
        </w:rPr>
      </w:pPr>
      <w:r>
        <w:rPr>
          <w:rFonts w:ascii="Arial" w:hAnsi="Arial" w:cs="Arial"/>
          <w:sz w:val="20"/>
          <w:szCs w:val="20"/>
        </w:rPr>
        <w:t xml:space="preserve">Under s.32BA </w:t>
      </w:r>
      <w:r w:rsidR="00E91692">
        <w:rPr>
          <w:rFonts w:ascii="Arial" w:hAnsi="Arial" w:cs="Arial"/>
          <w:sz w:val="20"/>
          <w:szCs w:val="20"/>
        </w:rPr>
        <w:t>‘</w:t>
      </w:r>
      <w:r w:rsidR="00E91692" w:rsidRPr="00E91692">
        <w:rPr>
          <w:rFonts w:ascii="Arial" w:hAnsi="Arial" w:cs="Arial"/>
          <w:b/>
          <w:bCs/>
          <w:sz w:val="20"/>
          <w:szCs w:val="20"/>
        </w:rPr>
        <w:t>health information</w:t>
      </w:r>
      <w:r w:rsidR="00E91692" w:rsidRPr="00E91692">
        <w:rPr>
          <w:rFonts w:ascii="Arial" w:hAnsi="Arial" w:cs="Arial"/>
          <w:sz w:val="20"/>
          <w:szCs w:val="20"/>
        </w:rPr>
        <w:t>’</w:t>
      </w:r>
      <w:r w:rsidR="00E91692">
        <w:rPr>
          <w:rFonts w:ascii="Arial" w:hAnsi="Arial" w:cs="Arial"/>
          <w:sz w:val="20"/>
          <w:szCs w:val="20"/>
        </w:rPr>
        <w:t xml:space="preserve"> has the same meaning as in the </w:t>
      </w:r>
      <w:r w:rsidR="00E91692" w:rsidRPr="00E91692">
        <w:rPr>
          <w:rFonts w:ascii="Arial" w:hAnsi="Arial" w:cs="Arial"/>
          <w:i/>
          <w:iCs/>
          <w:sz w:val="20"/>
          <w:szCs w:val="20"/>
        </w:rPr>
        <w:t>Health Records Act 2001</w:t>
      </w:r>
      <w:r w:rsidR="00E91692">
        <w:rPr>
          <w:rFonts w:ascii="Arial" w:hAnsi="Arial" w:cs="Arial"/>
          <w:sz w:val="20"/>
          <w:szCs w:val="20"/>
        </w:rPr>
        <w:t xml:space="preserve"> and is ‘</w:t>
      </w:r>
      <w:r w:rsidR="00E91692" w:rsidRPr="00E91692">
        <w:rPr>
          <w:rFonts w:ascii="Arial" w:hAnsi="Arial" w:cs="Arial"/>
          <w:b/>
          <w:bCs/>
          <w:sz w:val="20"/>
          <w:szCs w:val="20"/>
        </w:rPr>
        <w:t>protected health information</w:t>
      </w:r>
      <w:r w:rsidR="00E91692" w:rsidRPr="00E91692">
        <w:rPr>
          <w:rFonts w:ascii="Arial" w:hAnsi="Arial" w:cs="Arial"/>
          <w:sz w:val="20"/>
          <w:szCs w:val="20"/>
        </w:rPr>
        <w:t>’</w:t>
      </w:r>
      <w:r w:rsidR="00E91692">
        <w:rPr>
          <w:rFonts w:ascii="Arial" w:hAnsi="Arial" w:cs="Arial"/>
          <w:sz w:val="20"/>
          <w:szCs w:val="20"/>
        </w:rPr>
        <w:t xml:space="preserve"> for the purposes of Division 2A if–</w:t>
      </w:r>
    </w:p>
    <w:p w14:paraId="7CB412BB" w14:textId="1536F052" w:rsid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the proceeding is a criminal proceeding; and</w:t>
      </w:r>
    </w:p>
    <w:p w14:paraId="21459750" w14:textId="1D17AD58" w:rsid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the proceeding relates (wholly or partly) to a charge for a sexual offence; and</w:t>
      </w:r>
    </w:p>
    <w:p w14:paraId="74C3F546" w14:textId="4A1B103E" w:rsid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the health information is about a person against whom that sexual offence is alleged to have been committed or any against whom any other sexual offence has been committed or is alleged to have been committed; and</w:t>
      </w:r>
    </w:p>
    <w:p w14:paraId="56569C67" w14:textId="2D917DC2" w:rsidR="00E91692" w:rsidRP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 xml:space="preserve">the person </w:t>
      </w:r>
      <w:r w:rsidRPr="00E91692">
        <w:rPr>
          <w:rFonts w:ascii="Arial" w:hAnsi="Arial" w:cs="Arial"/>
          <w:sz w:val="20"/>
        </w:rPr>
        <w:t>who recorded or collected the information (or, if the information is an opinion, formed that opinion) did so in a professional capacity.</w:t>
      </w:r>
    </w:p>
    <w:p w14:paraId="23C3D6E7" w14:textId="65686132" w:rsidR="00E91692" w:rsidRDefault="00E91692" w:rsidP="005E5575">
      <w:pPr>
        <w:spacing w:before="120"/>
        <w:jc w:val="both"/>
        <w:rPr>
          <w:rFonts w:ascii="Arial" w:hAnsi="Arial" w:cs="Arial"/>
          <w:sz w:val="20"/>
          <w:szCs w:val="20"/>
        </w:rPr>
      </w:pPr>
      <w:r>
        <w:rPr>
          <w:rFonts w:ascii="Arial" w:hAnsi="Arial" w:cs="Arial"/>
          <w:sz w:val="20"/>
          <w:szCs w:val="20"/>
        </w:rPr>
        <w:t>Section 32C of the EMPA – headed “</w:t>
      </w:r>
      <w:r w:rsidRPr="00E91692">
        <w:rPr>
          <w:rFonts w:ascii="Arial" w:hAnsi="Arial" w:cs="Arial"/>
          <w:b/>
          <w:bCs/>
          <w:sz w:val="20"/>
          <w:szCs w:val="20"/>
        </w:rPr>
        <w:t>Exclusion of evidence of confidential communications and protected health information</w:t>
      </w:r>
      <w:r>
        <w:rPr>
          <w:rFonts w:ascii="Arial" w:hAnsi="Arial" w:cs="Arial"/>
          <w:sz w:val="20"/>
          <w:szCs w:val="20"/>
        </w:rPr>
        <w:t>” – provides:</w:t>
      </w:r>
    </w:p>
    <w:p w14:paraId="4BEB61A3" w14:textId="5147A6E5" w:rsidR="00E91692" w:rsidRPr="00AD1396" w:rsidRDefault="00E91692" w:rsidP="008D22DB">
      <w:pPr>
        <w:spacing w:before="60"/>
        <w:ind w:left="1191" w:right="567" w:hanging="624"/>
        <w:jc w:val="both"/>
        <w:rPr>
          <w:rFonts w:ascii="Arial" w:hAnsi="Arial" w:cs="Arial"/>
          <w:sz w:val="20"/>
          <w:szCs w:val="20"/>
        </w:rPr>
      </w:pPr>
      <w:r>
        <w:rPr>
          <w:rFonts w:ascii="Arial" w:hAnsi="Arial" w:cs="Arial"/>
          <w:sz w:val="20"/>
          <w:szCs w:val="20"/>
        </w:rPr>
        <w:t>(1AA)</w:t>
      </w:r>
      <w:r>
        <w:rPr>
          <w:rFonts w:ascii="Arial" w:hAnsi="Arial" w:cs="Arial"/>
          <w:sz w:val="20"/>
          <w:szCs w:val="20"/>
        </w:rPr>
        <w:tab/>
      </w:r>
      <w:r w:rsidRPr="00AD1396">
        <w:rPr>
          <w:rFonts w:ascii="Arial" w:hAnsi="Arial" w:cs="Arial"/>
          <w:sz w:val="20"/>
          <w:szCs w:val="20"/>
        </w:rPr>
        <w:t>This section applies to the following information—</w:t>
      </w:r>
    </w:p>
    <w:p w14:paraId="4DE456FB" w14:textId="4BE9B5D9" w:rsidR="00DB171D" w:rsidRDefault="006C4A9A" w:rsidP="008D22DB">
      <w:pPr>
        <w:pStyle w:val="DraftHeading3"/>
        <w:numPr>
          <w:ilvl w:val="0"/>
          <w:numId w:val="118"/>
        </w:numPr>
        <w:spacing w:before="0"/>
        <w:ind w:left="1656" w:right="567"/>
        <w:jc w:val="both"/>
        <w:rPr>
          <w:rFonts w:ascii="Arial" w:hAnsi="Arial" w:cs="Arial"/>
          <w:sz w:val="20"/>
        </w:rPr>
      </w:pPr>
      <w:r w:rsidRPr="00AD1396">
        <w:rPr>
          <w:rFonts w:ascii="Arial" w:hAnsi="Arial" w:cs="Arial"/>
          <w:sz w:val="20"/>
        </w:rPr>
        <w:t>in a civil proceeding, a confidential communication;</w:t>
      </w:r>
    </w:p>
    <w:p w14:paraId="2BFD3920" w14:textId="6A25E701" w:rsidR="006C4A9A" w:rsidRPr="00AD1396" w:rsidRDefault="00DB171D" w:rsidP="008D22DB">
      <w:pPr>
        <w:pStyle w:val="DraftHeading3"/>
        <w:numPr>
          <w:ilvl w:val="0"/>
          <w:numId w:val="118"/>
        </w:numPr>
        <w:spacing w:before="0"/>
        <w:ind w:left="1656" w:right="567"/>
        <w:jc w:val="both"/>
        <w:rPr>
          <w:rFonts w:ascii="Arial" w:hAnsi="Arial" w:cs="Arial"/>
          <w:sz w:val="20"/>
        </w:rPr>
      </w:pPr>
      <w:r>
        <w:rPr>
          <w:rFonts w:ascii="Arial" w:hAnsi="Arial" w:cs="Arial"/>
          <w:sz w:val="20"/>
        </w:rPr>
        <w:t>in a criminal proceeding, a confidential communication or protected health information.</w:t>
      </w:r>
    </w:p>
    <w:p w14:paraId="59A901C8" w14:textId="3C96DBC6" w:rsidR="00DB171D" w:rsidRPr="00AD1396" w:rsidRDefault="006C4A9A" w:rsidP="008D22DB">
      <w:pPr>
        <w:spacing w:before="60"/>
        <w:ind w:left="1191" w:right="567" w:hanging="624"/>
        <w:jc w:val="both"/>
        <w:rPr>
          <w:rFonts w:ascii="Arial" w:hAnsi="Arial" w:cs="Arial"/>
          <w:sz w:val="20"/>
          <w:szCs w:val="20"/>
        </w:rPr>
      </w:pPr>
      <w:r w:rsidRPr="00AD1396">
        <w:rPr>
          <w:rFonts w:ascii="Arial" w:hAnsi="Arial" w:cs="Arial"/>
          <w:sz w:val="20"/>
          <w:szCs w:val="20"/>
        </w:rPr>
        <w:t>(1)</w:t>
      </w:r>
      <w:r w:rsidRPr="00AD1396">
        <w:rPr>
          <w:rFonts w:ascii="Arial" w:hAnsi="Arial" w:cs="Arial"/>
          <w:sz w:val="20"/>
          <w:szCs w:val="20"/>
        </w:rPr>
        <w:tab/>
        <w:t>In a legal proceeding—</w:t>
      </w:r>
    </w:p>
    <w:p w14:paraId="1FC68363" w14:textId="1A387B69" w:rsidR="00DB171D" w:rsidRDefault="006C4A9A" w:rsidP="008D22DB">
      <w:pPr>
        <w:pStyle w:val="DraftHeading3"/>
        <w:numPr>
          <w:ilvl w:val="0"/>
          <w:numId w:val="119"/>
        </w:numPr>
        <w:spacing w:before="0"/>
        <w:ind w:left="1645" w:right="567" w:hanging="454"/>
        <w:jc w:val="both"/>
        <w:rPr>
          <w:rFonts w:ascii="Arial" w:hAnsi="Arial" w:cs="Arial"/>
          <w:sz w:val="20"/>
        </w:rPr>
      </w:pPr>
      <w:r w:rsidRPr="00AD1396">
        <w:rPr>
          <w:rFonts w:ascii="Arial" w:hAnsi="Arial" w:cs="Arial"/>
          <w:sz w:val="20"/>
        </w:rPr>
        <w:t>a party cannot seek to compel another party to produce a document containing information to which this section applies;</w:t>
      </w:r>
    </w:p>
    <w:p w14:paraId="3E4A9138" w14:textId="03E323F2" w:rsidR="00DB171D" w:rsidRDefault="006C4A9A" w:rsidP="008D22DB">
      <w:pPr>
        <w:pStyle w:val="DraftHeading3"/>
        <w:numPr>
          <w:ilvl w:val="0"/>
          <w:numId w:val="119"/>
        </w:numPr>
        <w:spacing w:before="0"/>
        <w:ind w:left="1645" w:right="567" w:hanging="454"/>
        <w:jc w:val="both"/>
        <w:rPr>
          <w:rFonts w:ascii="Arial" w:hAnsi="Arial" w:cs="Arial"/>
          <w:sz w:val="20"/>
        </w:rPr>
      </w:pPr>
      <w:r w:rsidRPr="00AD1396">
        <w:rPr>
          <w:rFonts w:ascii="Arial" w:hAnsi="Arial" w:cs="Arial"/>
          <w:sz w:val="20"/>
        </w:rPr>
        <w:t xml:space="preserve">a document is not to be produced if it would disclose </w:t>
      </w:r>
      <w:bookmarkStart w:id="618" w:name="_Hlk138924367"/>
      <w:r w:rsidRPr="00AD1396">
        <w:rPr>
          <w:rFonts w:ascii="Arial" w:hAnsi="Arial" w:cs="Arial"/>
          <w:sz w:val="20"/>
        </w:rPr>
        <w:t>information to which this section applies</w:t>
      </w:r>
      <w:bookmarkEnd w:id="618"/>
      <w:r w:rsidRPr="00AD1396">
        <w:rPr>
          <w:rFonts w:ascii="Arial" w:hAnsi="Arial" w:cs="Arial"/>
          <w:sz w:val="20"/>
        </w:rPr>
        <w:t>;</w:t>
      </w:r>
    </w:p>
    <w:p w14:paraId="562FAC3C" w14:textId="3BE6A241" w:rsidR="00DB171D" w:rsidRDefault="006C4A9A" w:rsidP="008D22DB">
      <w:pPr>
        <w:pStyle w:val="DraftHeading3"/>
        <w:numPr>
          <w:ilvl w:val="0"/>
          <w:numId w:val="119"/>
        </w:numPr>
        <w:spacing w:before="0"/>
        <w:ind w:left="1645" w:right="567" w:hanging="454"/>
        <w:jc w:val="both"/>
        <w:rPr>
          <w:rFonts w:ascii="Arial" w:hAnsi="Arial" w:cs="Arial"/>
          <w:sz w:val="20"/>
        </w:rPr>
      </w:pPr>
      <w:r w:rsidRPr="00AD1396">
        <w:rPr>
          <w:rFonts w:ascii="Arial" w:hAnsi="Arial" w:cs="Arial"/>
          <w:sz w:val="20"/>
        </w:rPr>
        <w:t>evidence is not to be adduced if it would disclose—</w:t>
      </w:r>
    </w:p>
    <w:p w14:paraId="2939D926" w14:textId="3226A79E" w:rsidR="006C4A9A" w:rsidRPr="00AD1396" w:rsidRDefault="006C4A9A" w:rsidP="008D22DB">
      <w:pPr>
        <w:pStyle w:val="DraftHeading4"/>
        <w:tabs>
          <w:tab w:val="right" w:pos="2268"/>
        </w:tabs>
        <w:spacing w:before="0"/>
        <w:ind w:left="1984" w:right="567" w:hanging="340"/>
        <w:jc w:val="both"/>
        <w:rPr>
          <w:rFonts w:ascii="Arial" w:hAnsi="Arial" w:cs="Arial"/>
          <w:sz w:val="20"/>
        </w:rPr>
      </w:pPr>
      <w:r w:rsidRPr="00AD1396">
        <w:rPr>
          <w:rFonts w:ascii="Arial" w:hAnsi="Arial" w:cs="Arial"/>
          <w:sz w:val="20"/>
        </w:rPr>
        <w:lastRenderedPageBreak/>
        <w:t>(i)</w:t>
      </w:r>
      <w:r w:rsidRPr="00AD1396">
        <w:rPr>
          <w:rFonts w:ascii="Arial" w:hAnsi="Arial" w:cs="Arial"/>
          <w:sz w:val="20"/>
        </w:rPr>
        <w:tab/>
        <w:t>information to which this section applies; or</w:t>
      </w:r>
    </w:p>
    <w:p w14:paraId="37E8D7BF" w14:textId="0FF92773" w:rsidR="006C4A9A" w:rsidRPr="00AD1396" w:rsidRDefault="006C4A9A" w:rsidP="008D22DB">
      <w:pPr>
        <w:pStyle w:val="DraftHeading4"/>
        <w:tabs>
          <w:tab w:val="right" w:pos="2268"/>
        </w:tabs>
        <w:spacing w:before="0"/>
        <w:ind w:left="1984" w:right="567" w:hanging="340"/>
        <w:jc w:val="both"/>
        <w:rPr>
          <w:rFonts w:ascii="Arial" w:hAnsi="Arial" w:cs="Arial"/>
          <w:sz w:val="20"/>
        </w:rPr>
      </w:pPr>
      <w:r w:rsidRPr="00AD1396">
        <w:rPr>
          <w:rFonts w:ascii="Arial" w:hAnsi="Arial" w:cs="Arial"/>
          <w:sz w:val="20"/>
        </w:rPr>
        <w:t>(ii)</w:t>
      </w:r>
      <w:r w:rsidRPr="00AD1396">
        <w:rPr>
          <w:rFonts w:ascii="Arial" w:hAnsi="Arial" w:cs="Arial"/>
          <w:sz w:val="20"/>
        </w:rPr>
        <w:tab/>
        <w:t>the contents of a document recording information to which this section applies—</w:t>
      </w:r>
    </w:p>
    <w:p w14:paraId="7AA97E7E" w14:textId="77777777" w:rsidR="006C4A9A" w:rsidRPr="00AD1396" w:rsidRDefault="006C4A9A" w:rsidP="008D22DB">
      <w:pPr>
        <w:pStyle w:val="BodySectionSub"/>
        <w:spacing w:before="0"/>
        <w:ind w:left="1701" w:right="567"/>
        <w:jc w:val="both"/>
        <w:rPr>
          <w:rFonts w:ascii="Arial" w:hAnsi="Arial" w:cs="Arial"/>
          <w:sz w:val="20"/>
        </w:rPr>
      </w:pPr>
      <w:r w:rsidRPr="00AD1396">
        <w:rPr>
          <w:rFonts w:ascii="Arial" w:hAnsi="Arial" w:cs="Arial"/>
          <w:sz w:val="20"/>
        </w:rPr>
        <w:t xml:space="preserve">unless the court grants leave to compel the production of the document or to produce it or to adduce the evidence, and the party seeking to have the document produced or to produce it or to adduce the evidence </w:t>
      </w:r>
      <w:bookmarkStart w:id="619" w:name="_Hlk106300027"/>
      <w:r w:rsidRPr="00AD1396">
        <w:rPr>
          <w:rFonts w:ascii="Arial" w:hAnsi="Arial" w:cs="Arial"/>
          <w:sz w:val="20"/>
        </w:rPr>
        <w:t>has complied with the requirements under section 32CA or 32CC (as the case requires) that are not waived</w:t>
      </w:r>
      <w:bookmarkEnd w:id="619"/>
      <w:r w:rsidRPr="00AD1396">
        <w:rPr>
          <w:rFonts w:ascii="Arial" w:hAnsi="Arial" w:cs="Arial"/>
          <w:sz w:val="20"/>
        </w:rPr>
        <w:t>.</w:t>
      </w:r>
    </w:p>
    <w:p w14:paraId="4F306A0B" w14:textId="4C83705D" w:rsidR="00183219" w:rsidRPr="00AD1396" w:rsidRDefault="00183219" w:rsidP="008D22DB">
      <w:pPr>
        <w:spacing w:before="60"/>
        <w:ind w:left="1191" w:right="567" w:hanging="624"/>
        <w:jc w:val="both"/>
        <w:rPr>
          <w:rFonts w:ascii="Arial" w:hAnsi="Arial" w:cs="Arial"/>
          <w:sz w:val="20"/>
          <w:szCs w:val="20"/>
        </w:rPr>
      </w:pPr>
      <w:r>
        <w:rPr>
          <w:rFonts w:ascii="Arial" w:hAnsi="Arial" w:cs="Arial"/>
          <w:sz w:val="20"/>
          <w:szCs w:val="20"/>
        </w:rPr>
        <w:t>Subsections (2) to (6) have been repealed.</w:t>
      </w:r>
    </w:p>
    <w:p w14:paraId="0F59717A" w14:textId="7670BF4A" w:rsidR="00E74E79" w:rsidRPr="00AD1396" w:rsidRDefault="006C4A9A" w:rsidP="008D22DB">
      <w:pPr>
        <w:spacing w:before="60"/>
        <w:ind w:left="1191" w:right="567" w:hanging="624"/>
        <w:jc w:val="both"/>
        <w:rPr>
          <w:rFonts w:ascii="Arial" w:hAnsi="Arial" w:cs="Arial"/>
          <w:sz w:val="20"/>
          <w:szCs w:val="20"/>
        </w:rPr>
      </w:pPr>
      <w:r w:rsidRPr="00AD1396">
        <w:rPr>
          <w:rFonts w:ascii="Arial" w:hAnsi="Arial" w:cs="Arial"/>
          <w:sz w:val="20"/>
          <w:szCs w:val="20"/>
        </w:rPr>
        <w:t>(7)</w:t>
      </w:r>
      <w:r w:rsidRPr="00AD1396">
        <w:rPr>
          <w:rFonts w:ascii="Arial" w:hAnsi="Arial" w:cs="Arial"/>
          <w:sz w:val="20"/>
          <w:szCs w:val="20"/>
        </w:rPr>
        <w:tab/>
        <w:t>Evidence that, because of subsection (1), is not to be compelled to be produced, produced or adduced in a legal proceeding is not admissible in the proceeding.</w:t>
      </w:r>
    </w:p>
    <w:p w14:paraId="1CB27B67" w14:textId="42D95932" w:rsidR="006C4A9A" w:rsidRDefault="005E5575" w:rsidP="008D22DB">
      <w:pPr>
        <w:pStyle w:val="DraftHeading2"/>
        <w:tabs>
          <w:tab w:val="right" w:pos="1247"/>
        </w:tabs>
        <w:ind w:left="1361" w:hanging="1361"/>
        <w:jc w:val="both"/>
        <w:rPr>
          <w:rFonts w:ascii="Arial" w:hAnsi="Arial" w:cs="Arial"/>
          <w:sz w:val="20"/>
        </w:rPr>
      </w:pPr>
      <w:r>
        <w:rPr>
          <w:rFonts w:ascii="Arial" w:hAnsi="Arial" w:cs="Arial"/>
          <w:sz w:val="20"/>
        </w:rPr>
        <w:t>Section 32D of the EMPA restricts the circumstances in which leave can be granted. It provides:</w:t>
      </w:r>
    </w:p>
    <w:p w14:paraId="577E7CF3" w14:textId="0D1F2EC2" w:rsidR="005E5575" w:rsidRPr="005E5575" w:rsidRDefault="005E5575" w:rsidP="008D22DB">
      <w:pPr>
        <w:pStyle w:val="ListParagraph"/>
        <w:numPr>
          <w:ilvl w:val="0"/>
          <w:numId w:val="120"/>
        </w:numPr>
        <w:spacing w:before="60"/>
        <w:ind w:left="1191" w:right="567" w:hanging="624"/>
        <w:jc w:val="both"/>
        <w:rPr>
          <w:rFonts w:ascii="Arial" w:hAnsi="Arial" w:cs="Arial"/>
          <w:sz w:val="20"/>
        </w:rPr>
      </w:pPr>
      <w:r w:rsidRPr="005E5575">
        <w:rPr>
          <w:rFonts w:ascii="Arial" w:hAnsi="Arial" w:cs="Arial"/>
          <w:sz w:val="20"/>
        </w:rPr>
        <w:t>A court must not grant leave to compel the production of, to produce or to adduce protected evidence unless it is satisfied, on the balance of probabilities, that</w:t>
      </w:r>
      <w:r>
        <w:rPr>
          <w:rFonts w:ascii="Arial" w:hAnsi="Arial" w:cs="Arial"/>
          <w:sz w:val="20"/>
        </w:rPr>
        <w:t>–</w:t>
      </w:r>
    </w:p>
    <w:p w14:paraId="2801E006" w14:textId="242F3107" w:rsidR="005E5575" w:rsidRDefault="005E5575" w:rsidP="008D22DB">
      <w:pPr>
        <w:pStyle w:val="DraftHeading3"/>
        <w:numPr>
          <w:ilvl w:val="0"/>
          <w:numId w:val="121"/>
        </w:numPr>
        <w:spacing w:before="0"/>
        <w:ind w:left="1645" w:right="567" w:hanging="454"/>
        <w:jc w:val="both"/>
        <w:rPr>
          <w:rFonts w:ascii="Arial" w:hAnsi="Arial" w:cs="Arial"/>
          <w:sz w:val="20"/>
        </w:rPr>
      </w:pPr>
      <w:r w:rsidRPr="005E5575">
        <w:rPr>
          <w:rFonts w:ascii="Arial" w:hAnsi="Arial" w:cs="Arial"/>
          <w:sz w:val="20"/>
        </w:rPr>
        <w:t>the evidence will, either by itself or having regard to other evidence produced or adduced or to be produced or adduced by the party seeking leave, have substantial probative value to a fact in issue; and</w:t>
      </w:r>
    </w:p>
    <w:p w14:paraId="6BBCE954" w14:textId="7FD5010D" w:rsidR="005E5575" w:rsidRDefault="005E5575" w:rsidP="008D22DB">
      <w:pPr>
        <w:pStyle w:val="DraftHeading3"/>
        <w:numPr>
          <w:ilvl w:val="0"/>
          <w:numId w:val="121"/>
        </w:numPr>
        <w:spacing w:before="0"/>
        <w:ind w:left="1645" w:right="567" w:hanging="454"/>
        <w:jc w:val="both"/>
        <w:rPr>
          <w:rFonts w:ascii="Arial" w:hAnsi="Arial" w:cs="Arial"/>
          <w:sz w:val="20"/>
        </w:rPr>
      </w:pPr>
      <w:r w:rsidRPr="005E5575">
        <w:rPr>
          <w:rFonts w:ascii="Arial" w:hAnsi="Arial" w:cs="Arial"/>
          <w:sz w:val="20"/>
        </w:rPr>
        <w:t>other evidence of similar or greater probative value concerning the matters to which the protected evidence relates is not available; and</w:t>
      </w:r>
    </w:p>
    <w:p w14:paraId="07C6FA5D" w14:textId="56D75A09" w:rsidR="00D04F26" w:rsidRDefault="005E5575" w:rsidP="008D22DB">
      <w:pPr>
        <w:pStyle w:val="DraftHeading3"/>
        <w:numPr>
          <w:ilvl w:val="0"/>
          <w:numId w:val="121"/>
        </w:numPr>
        <w:spacing w:before="0"/>
        <w:ind w:left="1645" w:right="567" w:hanging="454"/>
        <w:jc w:val="both"/>
        <w:rPr>
          <w:rFonts w:ascii="Arial" w:hAnsi="Arial" w:cs="Arial"/>
          <w:sz w:val="20"/>
        </w:rPr>
      </w:pPr>
      <w:r w:rsidRPr="005E5575">
        <w:rPr>
          <w:rFonts w:ascii="Arial" w:hAnsi="Arial" w:cs="Arial"/>
          <w:sz w:val="20"/>
        </w:rPr>
        <w:t>the public interest in preserving the confidentiality of confidential communications and protected health information and protecting a protected person from harm is substantially outweighed by the public interest in admitting, into evidence, evidence of substantial probative value.</w:t>
      </w:r>
    </w:p>
    <w:p w14:paraId="2915BB73" w14:textId="45E37257" w:rsidR="008D22DB" w:rsidRDefault="008D22DB" w:rsidP="008D22DB">
      <w:pPr>
        <w:spacing w:before="60"/>
        <w:ind w:left="1191" w:right="567" w:hanging="624"/>
        <w:jc w:val="both"/>
        <w:rPr>
          <w:rFonts w:ascii="Arial" w:hAnsi="Arial" w:cs="Arial"/>
          <w:sz w:val="20"/>
        </w:rPr>
      </w:pPr>
      <w:r>
        <w:rPr>
          <w:rFonts w:ascii="Arial" w:hAnsi="Arial" w:cs="Arial"/>
          <w:sz w:val="20"/>
        </w:rPr>
        <w:t>(1A)</w:t>
      </w:r>
      <w:r>
        <w:rPr>
          <w:rFonts w:ascii="Arial" w:hAnsi="Arial" w:cs="Arial"/>
          <w:sz w:val="20"/>
        </w:rPr>
        <w:tab/>
        <w:t>Additionally, in a criminal proceeding, a court must not grant leave described in subsection (1) unless it is satisfied that–</w:t>
      </w:r>
    </w:p>
    <w:p w14:paraId="720102A8" w14:textId="526AC5D0" w:rsidR="008D22DB" w:rsidRDefault="008D22DB">
      <w:pPr>
        <w:pStyle w:val="DraftHeading3"/>
        <w:numPr>
          <w:ilvl w:val="0"/>
          <w:numId w:val="176"/>
        </w:numPr>
        <w:spacing w:before="0"/>
        <w:ind w:right="567"/>
        <w:jc w:val="both"/>
        <w:rPr>
          <w:rFonts w:ascii="Arial" w:hAnsi="Arial" w:cs="Arial"/>
          <w:sz w:val="20"/>
        </w:rPr>
      </w:pPr>
      <w:r>
        <w:rPr>
          <w:rFonts w:ascii="Arial" w:hAnsi="Arial" w:cs="Arial"/>
          <w:sz w:val="20"/>
        </w:rPr>
        <w:t>the protected person–</w:t>
      </w:r>
    </w:p>
    <w:p w14:paraId="08F809C1" w14:textId="7E2F6B34" w:rsidR="008D22DB" w:rsidRDefault="008D22DB">
      <w:pPr>
        <w:pStyle w:val="ListParagraph"/>
        <w:numPr>
          <w:ilvl w:val="0"/>
          <w:numId w:val="177"/>
        </w:numPr>
        <w:ind w:left="2234" w:right="567" w:hanging="454"/>
        <w:jc w:val="both"/>
        <w:rPr>
          <w:rFonts w:ascii="Arial" w:hAnsi="Arial" w:cs="Arial"/>
          <w:sz w:val="20"/>
        </w:rPr>
      </w:pPr>
      <w:r>
        <w:rPr>
          <w:rFonts w:ascii="Arial" w:hAnsi="Arial" w:cs="Arial"/>
          <w:sz w:val="20"/>
        </w:rPr>
        <w:t>is aware of the application for leave; and</w:t>
      </w:r>
    </w:p>
    <w:p w14:paraId="70BB1ABE" w14:textId="16C07F3F" w:rsidR="008D22DB" w:rsidRPr="008D22DB" w:rsidRDefault="008D22DB">
      <w:pPr>
        <w:pStyle w:val="ListParagraph"/>
        <w:numPr>
          <w:ilvl w:val="0"/>
          <w:numId w:val="177"/>
        </w:numPr>
        <w:ind w:left="2234" w:right="567" w:hanging="454"/>
        <w:jc w:val="both"/>
        <w:rPr>
          <w:rFonts w:ascii="Arial" w:hAnsi="Arial" w:cs="Arial"/>
          <w:sz w:val="20"/>
        </w:rPr>
      </w:pPr>
      <w:r>
        <w:rPr>
          <w:rFonts w:ascii="Arial" w:hAnsi="Arial" w:cs="Arial"/>
          <w:sz w:val="20"/>
        </w:rPr>
        <w:t>has had a reasonable opportunity to consider obtaining legal advice about the application; or</w:t>
      </w:r>
    </w:p>
    <w:p w14:paraId="1B234EFA" w14:textId="3C17375F" w:rsidR="008D22DB" w:rsidRDefault="008D22DB">
      <w:pPr>
        <w:pStyle w:val="DraftHeading3"/>
        <w:numPr>
          <w:ilvl w:val="0"/>
          <w:numId w:val="176"/>
        </w:numPr>
        <w:spacing w:before="0"/>
        <w:ind w:right="567"/>
        <w:jc w:val="both"/>
        <w:rPr>
          <w:rFonts w:ascii="Arial" w:hAnsi="Arial" w:cs="Arial"/>
          <w:sz w:val="20"/>
          <w:szCs w:val="16"/>
        </w:rPr>
      </w:pPr>
      <w:r w:rsidRPr="008D22DB">
        <w:rPr>
          <w:rFonts w:ascii="Arial" w:hAnsi="Arial" w:cs="Arial"/>
          <w:sz w:val="20"/>
          <w:szCs w:val="16"/>
        </w:rPr>
        <w:t xml:space="preserve">the prosecuting party has ensured that all reasonable steps </w:t>
      </w:r>
      <w:r w:rsidR="00D16A96">
        <w:rPr>
          <w:rFonts w:ascii="Arial" w:hAnsi="Arial" w:cs="Arial"/>
          <w:sz w:val="20"/>
          <w:szCs w:val="16"/>
        </w:rPr>
        <w:t xml:space="preserve">were taken </w:t>
      </w:r>
      <w:r w:rsidRPr="008D22DB">
        <w:rPr>
          <w:rFonts w:ascii="Arial" w:hAnsi="Arial" w:cs="Arial"/>
          <w:sz w:val="20"/>
          <w:szCs w:val="16"/>
        </w:rPr>
        <w:t xml:space="preserve">to locate the person </w:t>
      </w:r>
      <w:r w:rsidR="00D16A96">
        <w:rPr>
          <w:rFonts w:ascii="Arial" w:hAnsi="Arial" w:cs="Arial"/>
          <w:sz w:val="20"/>
          <w:szCs w:val="16"/>
        </w:rPr>
        <w:t>to whom notice is to be given under s.32CD and that person has not been located</w:t>
      </w:r>
      <w:r w:rsidRPr="008D22DB">
        <w:rPr>
          <w:rFonts w:ascii="Arial" w:hAnsi="Arial" w:cs="Arial"/>
          <w:sz w:val="20"/>
          <w:szCs w:val="16"/>
        </w:rPr>
        <w:t>; or</w:t>
      </w:r>
    </w:p>
    <w:p w14:paraId="08039264" w14:textId="6495AE3E" w:rsidR="008D22DB" w:rsidRDefault="008D22DB">
      <w:pPr>
        <w:pStyle w:val="DraftHeading3"/>
        <w:numPr>
          <w:ilvl w:val="0"/>
          <w:numId w:val="176"/>
        </w:numPr>
        <w:spacing w:before="0"/>
        <w:ind w:right="567"/>
        <w:jc w:val="both"/>
        <w:rPr>
          <w:rFonts w:ascii="Arial" w:hAnsi="Arial" w:cs="Arial"/>
          <w:sz w:val="20"/>
          <w:szCs w:val="16"/>
        </w:rPr>
      </w:pPr>
      <w:r w:rsidRPr="008D22DB">
        <w:rPr>
          <w:rFonts w:ascii="Arial" w:hAnsi="Arial" w:cs="Arial"/>
          <w:sz w:val="20"/>
          <w:szCs w:val="16"/>
        </w:rPr>
        <w:t>the protected person has consented in writing to not being notified about an application for leave under section 32</w:t>
      </w:r>
      <w:proofErr w:type="gramStart"/>
      <w:r w:rsidRPr="008D22DB">
        <w:rPr>
          <w:rFonts w:ascii="Arial" w:hAnsi="Arial" w:cs="Arial"/>
          <w:sz w:val="20"/>
          <w:szCs w:val="16"/>
        </w:rPr>
        <w:t>C(</w:t>
      </w:r>
      <w:proofErr w:type="gramEnd"/>
      <w:r w:rsidRPr="008D22DB">
        <w:rPr>
          <w:rFonts w:ascii="Arial" w:hAnsi="Arial" w:cs="Arial"/>
          <w:sz w:val="20"/>
          <w:szCs w:val="16"/>
        </w:rPr>
        <w:t>1); or</w:t>
      </w:r>
    </w:p>
    <w:p w14:paraId="7528308F" w14:textId="0EEEA7D7" w:rsidR="008D22DB" w:rsidRDefault="008D22DB">
      <w:pPr>
        <w:pStyle w:val="DraftHeading3"/>
        <w:numPr>
          <w:ilvl w:val="0"/>
          <w:numId w:val="176"/>
        </w:numPr>
        <w:spacing w:before="0"/>
        <w:ind w:right="567"/>
        <w:jc w:val="both"/>
        <w:rPr>
          <w:rFonts w:ascii="Arial" w:hAnsi="Arial" w:cs="Arial"/>
          <w:sz w:val="20"/>
          <w:szCs w:val="16"/>
        </w:rPr>
      </w:pPr>
      <w:r w:rsidRPr="008D22DB">
        <w:rPr>
          <w:rFonts w:ascii="Arial" w:hAnsi="Arial" w:cs="Arial"/>
          <w:sz w:val="20"/>
          <w:szCs w:val="16"/>
        </w:rPr>
        <w:t xml:space="preserve">notice </w:t>
      </w:r>
      <w:r w:rsidR="00D16A96">
        <w:rPr>
          <w:rFonts w:ascii="Arial" w:hAnsi="Arial" w:cs="Arial"/>
          <w:sz w:val="20"/>
          <w:szCs w:val="16"/>
        </w:rPr>
        <w:t xml:space="preserve">has already been given </w:t>
      </w:r>
      <w:r w:rsidRPr="008D22DB">
        <w:rPr>
          <w:rFonts w:ascii="Arial" w:hAnsi="Arial" w:cs="Arial"/>
          <w:sz w:val="20"/>
          <w:szCs w:val="16"/>
        </w:rPr>
        <w:t>under section 32CD—</w:t>
      </w:r>
    </w:p>
    <w:p w14:paraId="2470D402" w14:textId="15258A96" w:rsidR="008D22DB" w:rsidRDefault="008D22DB">
      <w:pPr>
        <w:pStyle w:val="ListParagraph"/>
        <w:numPr>
          <w:ilvl w:val="0"/>
          <w:numId w:val="178"/>
        </w:numPr>
        <w:ind w:left="2234" w:right="567" w:hanging="454"/>
        <w:jc w:val="both"/>
        <w:rPr>
          <w:rFonts w:ascii="Arial" w:hAnsi="Arial" w:cs="Arial"/>
          <w:sz w:val="20"/>
        </w:rPr>
      </w:pPr>
      <w:r>
        <w:rPr>
          <w:rFonts w:ascii="Arial" w:hAnsi="Arial" w:cs="Arial"/>
          <w:sz w:val="20"/>
        </w:rPr>
        <w:t>in respect of the same confidential communication or protected health information as that to which the application relates; and</w:t>
      </w:r>
    </w:p>
    <w:p w14:paraId="17820E65" w14:textId="37A48350" w:rsidR="008D22DB" w:rsidRPr="008D22DB" w:rsidRDefault="008D22DB">
      <w:pPr>
        <w:pStyle w:val="ListParagraph"/>
        <w:numPr>
          <w:ilvl w:val="0"/>
          <w:numId w:val="178"/>
        </w:numPr>
        <w:ind w:left="2234" w:right="567" w:hanging="454"/>
        <w:jc w:val="both"/>
        <w:rPr>
          <w:rFonts w:ascii="Arial" w:hAnsi="Arial" w:cs="Arial"/>
          <w:sz w:val="20"/>
        </w:rPr>
      </w:pPr>
      <w:r>
        <w:rPr>
          <w:rFonts w:ascii="Arial" w:hAnsi="Arial" w:cs="Arial"/>
          <w:sz w:val="20"/>
        </w:rPr>
        <w:t>in the same proceeding as that in which the application is made.</w:t>
      </w:r>
    </w:p>
    <w:p w14:paraId="1184B873" w14:textId="3E15A78C" w:rsidR="00D04F26" w:rsidRPr="005E5575" w:rsidRDefault="00D04F26" w:rsidP="003E4770">
      <w:pPr>
        <w:pStyle w:val="ListParagraph"/>
        <w:numPr>
          <w:ilvl w:val="0"/>
          <w:numId w:val="120"/>
        </w:numPr>
        <w:spacing w:before="60"/>
        <w:ind w:left="1191" w:right="567" w:hanging="624"/>
        <w:rPr>
          <w:rFonts w:ascii="Arial" w:hAnsi="Arial" w:cs="Arial"/>
          <w:sz w:val="20"/>
        </w:rPr>
      </w:pPr>
      <w:r>
        <w:rPr>
          <w:rFonts w:ascii="Arial" w:hAnsi="Arial" w:cs="Arial"/>
          <w:sz w:val="20"/>
        </w:rPr>
        <w:t>Without limiting the matters that the court may take into account for the purposes of subsection (1)(c), the court must take into account–</w:t>
      </w:r>
    </w:p>
    <w:p w14:paraId="6BD8C2FA" w14:textId="52465B34"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likelihood, and the nature or extent, of harm that would be caused to the protected person if the protected evidence is produced or adduced;</w:t>
      </w:r>
    </w:p>
    <w:p w14:paraId="6ACF959B" w14:textId="2E95E1AA"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extent to which the protected evidence is necessary to allow the accused to make a full defence;</w:t>
      </w:r>
    </w:p>
    <w:p w14:paraId="7749526C" w14:textId="57B9085C"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need to encourage victims of sexual offences to seek counselling and the extent to which victims may be discouraged to do so, or the extent to which the effectiveness of counselling may be diminished, if the protected evidence were produced or adduced;</w:t>
      </w:r>
    </w:p>
    <w:p w14:paraId="116922AA" w14:textId="55358128"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whether the party seeking to compel the production of or to produce or adduce the protected evidence is doing so on the basis of a discriminatory belief or bias;</w:t>
      </w:r>
    </w:p>
    <w:p w14:paraId="32935D47" w14:textId="5462255A"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whether the protected person objects to the disclosure of the protected evidence;</w:t>
      </w:r>
    </w:p>
    <w:p w14:paraId="6C93EDCF" w14:textId="45F37BD9"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nature and extent of the reasonable expectation of confidentiality and the potential prejudice to the privacy of any person.</w:t>
      </w:r>
    </w:p>
    <w:p w14:paraId="6F17F899" w14:textId="46EEF56B" w:rsidR="00D04F26" w:rsidRPr="005E5575" w:rsidRDefault="00D04F26" w:rsidP="003E4770">
      <w:pPr>
        <w:pStyle w:val="ListParagraph"/>
        <w:numPr>
          <w:ilvl w:val="0"/>
          <w:numId w:val="120"/>
        </w:numPr>
        <w:spacing w:before="60"/>
        <w:ind w:left="1191" w:right="567" w:hanging="624"/>
        <w:jc w:val="both"/>
        <w:rPr>
          <w:rFonts w:ascii="Arial" w:hAnsi="Arial" w:cs="Arial"/>
          <w:sz w:val="20"/>
        </w:rPr>
      </w:pPr>
      <w:r w:rsidRPr="00AD1396">
        <w:rPr>
          <w:rFonts w:ascii="Arial" w:hAnsi="Arial" w:cs="Arial"/>
          <w:sz w:val="20"/>
        </w:rPr>
        <w:t>A court may grant leave to compel the production of, or to produce or adduce, part of—</w:t>
      </w:r>
    </w:p>
    <w:p w14:paraId="3BE12717" w14:textId="6076116C" w:rsidR="00D04F26" w:rsidRDefault="00D04F26" w:rsidP="003E4770">
      <w:pPr>
        <w:pStyle w:val="DraftHeading3"/>
        <w:numPr>
          <w:ilvl w:val="0"/>
          <w:numId w:val="123"/>
        </w:numPr>
        <w:spacing w:before="0"/>
        <w:ind w:left="1645" w:right="567" w:hanging="454"/>
        <w:jc w:val="both"/>
        <w:rPr>
          <w:rFonts w:ascii="Arial" w:hAnsi="Arial" w:cs="Arial"/>
          <w:sz w:val="20"/>
        </w:rPr>
      </w:pPr>
      <w:r w:rsidRPr="00AD1396">
        <w:rPr>
          <w:rFonts w:ascii="Arial" w:hAnsi="Arial" w:cs="Arial"/>
          <w:sz w:val="20"/>
        </w:rPr>
        <w:t xml:space="preserve">a confidential communication </w:t>
      </w:r>
      <w:r w:rsidR="00CE4E2D">
        <w:rPr>
          <w:rFonts w:ascii="Arial" w:hAnsi="Arial" w:cs="Arial"/>
          <w:sz w:val="20"/>
        </w:rPr>
        <w:t>or protected health information</w:t>
      </w:r>
      <w:r w:rsidRPr="00AD1396">
        <w:rPr>
          <w:rFonts w:ascii="Arial" w:hAnsi="Arial" w:cs="Arial"/>
          <w:sz w:val="20"/>
        </w:rPr>
        <w:t>; or</w:t>
      </w:r>
    </w:p>
    <w:p w14:paraId="79901490" w14:textId="23F6E2B5" w:rsidR="00D04F26" w:rsidRDefault="00D04F26" w:rsidP="003E4770">
      <w:pPr>
        <w:pStyle w:val="DraftHeading3"/>
        <w:numPr>
          <w:ilvl w:val="0"/>
          <w:numId w:val="123"/>
        </w:numPr>
        <w:spacing w:before="0"/>
        <w:ind w:left="1645" w:right="567" w:hanging="454"/>
        <w:jc w:val="both"/>
        <w:rPr>
          <w:rFonts w:ascii="Arial" w:hAnsi="Arial" w:cs="Arial"/>
          <w:sz w:val="20"/>
        </w:rPr>
      </w:pPr>
      <w:r w:rsidRPr="00AD1396">
        <w:rPr>
          <w:rFonts w:ascii="Arial" w:hAnsi="Arial" w:cs="Arial"/>
          <w:sz w:val="20"/>
        </w:rPr>
        <w:t>the contents of a document recording a confidential communication</w:t>
      </w:r>
      <w:r>
        <w:rPr>
          <w:rFonts w:ascii="Arial" w:hAnsi="Arial" w:cs="Arial"/>
          <w:sz w:val="20"/>
        </w:rPr>
        <w:t xml:space="preserve"> </w:t>
      </w:r>
      <w:r w:rsidR="00CE4E2D">
        <w:rPr>
          <w:rFonts w:ascii="Arial" w:hAnsi="Arial" w:cs="Arial"/>
          <w:sz w:val="20"/>
        </w:rPr>
        <w:t>or protected health information</w:t>
      </w:r>
      <w:r w:rsidR="00CE4E2D" w:rsidRPr="00AD1396">
        <w:rPr>
          <w:rFonts w:ascii="Arial" w:hAnsi="Arial" w:cs="Arial"/>
          <w:sz w:val="20"/>
        </w:rPr>
        <w:t>—</w:t>
      </w:r>
    </w:p>
    <w:p w14:paraId="1D51DDD9" w14:textId="68B88C78" w:rsidR="00CE4E2D" w:rsidRPr="005E5575" w:rsidRDefault="00CE4E2D" w:rsidP="00CE4E2D">
      <w:pPr>
        <w:ind w:left="1191" w:right="567"/>
        <w:jc w:val="both"/>
      </w:pPr>
      <w:r w:rsidRPr="00CE4E2D">
        <w:rPr>
          <w:rFonts w:ascii="Arial" w:hAnsi="Arial" w:cs="Arial"/>
          <w:sz w:val="20"/>
          <w:szCs w:val="20"/>
        </w:rPr>
        <w:lastRenderedPageBreak/>
        <w:t>and, if so, that part of the document may be made available, or that part of its contents disclosed, in any manner that the court thinks fit to the party seeking to compel its production or to produce or adduce it in evidence.</w:t>
      </w:r>
    </w:p>
    <w:p w14:paraId="451673DB" w14:textId="41D30ADB" w:rsidR="00CE4E2D" w:rsidRPr="005E5575" w:rsidRDefault="00D04F26" w:rsidP="003E4770">
      <w:pPr>
        <w:pStyle w:val="ListParagraph"/>
        <w:numPr>
          <w:ilvl w:val="0"/>
          <w:numId w:val="120"/>
        </w:numPr>
        <w:spacing w:before="60"/>
        <w:ind w:left="1191" w:right="567" w:hanging="624"/>
        <w:jc w:val="both"/>
        <w:rPr>
          <w:rFonts w:ascii="Arial" w:hAnsi="Arial" w:cs="Arial"/>
          <w:sz w:val="20"/>
        </w:rPr>
      </w:pPr>
      <w:r w:rsidRPr="00CE4E2D">
        <w:rPr>
          <w:rFonts w:ascii="Arial" w:hAnsi="Arial" w:cs="Arial"/>
          <w:sz w:val="20"/>
        </w:rPr>
        <w:t>The court must state its reasons for giving or refusing to give leave under this section.</w:t>
      </w:r>
    </w:p>
    <w:p w14:paraId="5344505D" w14:textId="48F346B3" w:rsidR="00CE4E2D" w:rsidRPr="005E5575" w:rsidRDefault="00D04F26" w:rsidP="003E4770">
      <w:pPr>
        <w:pStyle w:val="ListParagraph"/>
        <w:numPr>
          <w:ilvl w:val="0"/>
          <w:numId w:val="120"/>
        </w:numPr>
        <w:spacing w:before="60"/>
        <w:ind w:left="1191" w:right="567" w:hanging="624"/>
        <w:jc w:val="both"/>
        <w:rPr>
          <w:rFonts w:ascii="Arial" w:hAnsi="Arial" w:cs="Arial"/>
          <w:sz w:val="20"/>
        </w:rPr>
      </w:pPr>
      <w:r w:rsidRPr="00CE4E2D">
        <w:rPr>
          <w:rFonts w:ascii="Arial" w:hAnsi="Arial" w:cs="Arial"/>
          <w:sz w:val="20"/>
        </w:rPr>
        <w:t>If leave is refused under this section, that fact must not be referred to in the presence of the jury, if any.</w:t>
      </w:r>
    </w:p>
    <w:p w14:paraId="5E1EDBEA" w14:textId="64474CBB" w:rsidR="002E7182" w:rsidRPr="002E7182" w:rsidRDefault="002E7182" w:rsidP="002E7182">
      <w:pPr>
        <w:spacing w:before="120"/>
        <w:jc w:val="both"/>
        <w:rPr>
          <w:rFonts w:ascii="Arial" w:hAnsi="Arial" w:cs="Arial"/>
          <w:sz w:val="20"/>
          <w:szCs w:val="20"/>
        </w:rPr>
      </w:pPr>
      <w:r w:rsidRPr="002E7182">
        <w:rPr>
          <w:rFonts w:ascii="Arial" w:hAnsi="Arial" w:cs="Arial"/>
          <w:sz w:val="20"/>
          <w:szCs w:val="20"/>
        </w:rPr>
        <w:t>Section 32</w:t>
      </w:r>
      <w:proofErr w:type="gramStart"/>
      <w:r w:rsidRPr="002E7182">
        <w:rPr>
          <w:rFonts w:ascii="Arial" w:hAnsi="Arial" w:cs="Arial"/>
          <w:sz w:val="20"/>
          <w:szCs w:val="20"/>
        </w:rPr>
        <w:t>E(</w:t>
      </w:r>
      <w:proofErr w:type="gramEnd"/>
      <w:r w:rsidRPr="002E7182">
        <w:rPr>
          <w:rFonts w:ascii="Arial" w:hAnsi="Arial" w:cs="Arial"/>
          <w:sz w:val="20"/>
          <w:szCs w:val="20"/>
        </w:rPr>
        <w:t xml:space="preserve">1) of the EMPA provides that Division 2A does not prevent the production or adducing of evidence in any of 5 specified circumstances. See </w:t>
      </w:r>
      <w:r w:rsidRPr="002E7182">
        <w:rPr>
          <w:rFonts w:ascii="Arial" w:hAnsi="Arial" w:cs="Arial"/>
          <w:i/>
          <w:iCs/>
          <w:sz w:val="20"/>
          <w:szCs w:val="20"/>
        </w:rPr>
        <w:t>Skarbek v The Society of Jesus in Victoria &amp; Ors</w:t>
      </w:r>
      <w:r w:rsidRPr="002E7182">
        <w:rPr>
          <w:rFonts w:ascii="Arial" w:hAnsi="Arial" w:cs="Arial"/>
          <w:sz w:val="20"/>
          <w:szCs w:val="20"/>
        </w:rPr>
        <w:t xml:space="preserve"> [2016] VSC 622; </w:t>
      </w:r>
      <w:r w:rsidRPr="002E7182">
        <w:rPr>
          <w:rFonts w:ascii="Arial" w:hAnsi="Arial" w:cs="Arial"/>
          <w:i/>
          <w:iCs/>
          <w:sz w:val="20"/>
          <w:szCs w:val="20"/>
        </w:rPr>
        <w:t>KR v BR</w:t>
      </w:r>
      <w:r w:rsidRPr="002E7182">
        <w:rPr>
          <w:rFonts w:ascii="Arial" w:hAnsi="Arial" w:cs="Arial"/>
          <w:sz w:val="20"/>
          <w:szCs w:val="20"/>
        </w:rPr>
        <w:t xml:space="preserve"> [2018] VSCA 159; </w:t>
      </w:r>
      <w:r w:rsidRPr="002E7182">
        <w:rPr>
          <w:rFonts w:ascii="Arial" w:hAnsi="Arial" w:cs="Arial"/>
          <w:i/>
          <w:iCs/>
          <w:sz w:val="20"/>
          <w:szCs w:val="20"/>
        </w:rPr>
        <w:t>HM v Sister Mary Monaghan</w:t>
      </w:r>
      <w:r w:rsidRPr="002E7182">
        <w:rPr>
          <w:rFonts w:ascii="Arial" w:hAnsi="Arial" w:cs="Arial"/>
          <w:sz w:val="20"/>
          <w:szCs w:val="20"/>
        </w:rPr>
        <w:t xml:space="preserve"> [2024] VSC 257.</w:t>
      </w:r>
    </w:p>
    <w:p w14:paraId="2EC0E2E6" w14:textId="639E57E9" w:rsidR="002E7182" w:rsidRPr="002E7182" w:rsidRDefault="002E7182" w:rsidP="002E7182">
      <w:pPr>
        <w:rPr>
          <w:rFonts w:ascii="Arial" w:hAnsi="Arial" w:cs="Arial"/>
          <w:sz w:val="20"/>
          <w:szCs w:val="20"/>
        </w:rPr>
      </w:pPr>
    </w:p>
    <w:p w14:paraId="3026B737" w14:textId="1ECF3A1C" w:rsidR="002B7946" w:rsidRDefault="00CE4E2D" w:rsidP="002E7182">
      <w:pPr>
        <w:jc w:val="both"/>
        <w:rPr>
          <w:rFonts w:ascii="Arial" w:hAnsi="Arial" w:cs="Arial"/>
          <w:sz w:val="20"/>
          <w:szCs w:val="20"/>
        </w:rPr>
      </w:pPr>
      <w:r>
        <w:rPr>
          <w:rFonts w:ascii="Arial" w:hAnsi="Arial" w:cs="Arial"/>
          <w:sz w:val="20"/>
          <w:szCs w:val="20"/>
        </w:rPr>
        <w:t xml:space="preserve">In </w:t>
      </w:r>
      <w:bookmarkStart w:id="620" w:name="_Hlk161151061"/>
      <w:r w:rsidR="00C25F9E" w:rsidRPr="00C25F9E">
        <w:rPr>
          <w:rFonts w:ascii="Arial" w:hAnsi="Arial" w:cs="Arial"/>
          <w:i/>
          <w:iCs/>
          <w:sz w:val="20"/>
          <w:szCs w:val="20"/>
        </w:rPr>
        <w:t>Duncan (a pseudonym) v The King</w:t>
      </w:r>
      <w:r w:rsidR="00C25F9E">
        <w:rPr>
          <w:rFonts w:ascii="Arial" w:hAnsi="Arial" w:cs="Arial"/>
          <w:sz w:val="20"/>
          <w:szCs w:val="20"/>
        </w:rPr>
        <w:t xml:space="preserve"> [2024] VSCA 27 </w:t>
      </w:r>
      <w:bookmarkEnd w:id="620"/>
      <w:r w:rsidR="00C25F9E">
        <w:rPr>
          <w:rFonts w:ascii="Arial" w:hAnsi="Arial" w:cs="Arial"/>
          <w:sz w:val="20"/>
          <w:szCs w:val="20"/>
        </w:rPr>
        <w:t xml:space="preserve">the appellant was </w:t>
      </w:r>
      <w:r w:rsidR="002B7946">
        <w:rPr>
          <w:rFonts w:ascii="Arial" w:hAnsi="Arial" w:cs="Arial"/>
          <w:sz w:val="20"/>
          <w:szCs w:val="20"/>
        </w:rPr>
        <w:t xml:space="preserve">facing a </w:t>
      </w:r>
      <w:r w:rsidR="00C25F9E">
        <w:rPr>
          <w:rFonts w:ascii="Arial" w:hAnsi="Arial" w:cs="Arial"/>
          <w:sz w:val="20"/>
          <w:szCs w:val="20"/>
        </w:rPr>
        <w:t xml:space="preserve">pending trial for sexual offences involving a stepchild. The complainant claimed to have repressed memories and a psychologist assisted the complainant to remember. </w:t>
      </w:r>
      <w:r w:rsidR="002B7946">
        <w:rPr>
          <w:rFonts w:ascii="Arial" w:hAnsi="Arial" w:cs="Arial"/>
          <w:sz w:val="20"/>
          <w:szCs w:val="20"/>
        </w:rPr>
        <w:t>The applicant had applied to the trial judge under s.32C of the EMPA for leave to issue subpoenas compelling the production of–</w:t>
      </w:r>
    </w:p>
    <w:p w14:paraId="51B2A71C" w14:textId="112B48B2"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documents in the possession of a psychologist; and</w:t>
      </w:r>
    </w:p>
    <w:p w14:paraId="790E2FE0" w14:textId="4164C415"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other documents in the possession of the Centre Against Violence [CAV]–</w:t>
      </w:r>
    </w:p>
    <w:p w14:paraId="7CE26A6C" w14:textId="54412F43" w:rsidR="002B7946" w:rsidRDefault="002B7946" w:rsidP="00A41496">
      <w:pPr>
        <w:jc w:val="both"/>
        <w:rPr>
          <w:rFonts w:ascii="Arial" w:hAnsi="Arial" w:cs="Arial"/>
          <w:sz w:val="20"/>
          <w:szCs w:val="20"/>
        </w:rPr>
      </w:pPr>
      <w:r>
        <w:rPr>
          <w:rFonts w:ascii="Arial" w:hAnsi="Arial" w:cs="Arial"/>
          <w:sz w:val="20"/>
          <w:szCs w:val="20"/>
        </w:rPr>
        <w:t>containing counselling notes relating to the complainant.</w:t>
      </w:r>
    </w:p>
    <w:p w14:paraId="6D76012B" w14:textId="0EF50FB4" w:rsidR="002B7946" w:rsidRDefault="00C25F9E" w:rsidP="002B7946">
      <w:pPr>
        <w:spacing w:before="120"/>
        <w:jc w:val="both"/>
        <w:rPr>
          <w:rFonts w:ascii="Arial" w:hAnsi="Arial" w:cs="Arial"/>
          <w:sz w:val="20"/>
          <w:szCs w:val="20"/>
        </w:rPr>
      </w:pPr>
      <w:r>
        <w:rPr>
          <w:rFonts w:ascii="Arial" w:hAnsi="Arial" w:cs="Arial"/>
          <w:sz w:val="20"/>
          <w:szCs w:val="20"/>
        </w:rPr>
        <w:t xml:space="preserve">The trial judge had refused to grant leave to compel the production of confidential communications pursuant to s.32C of the EMPA. </w:t>
      </w:r>
      <w:r w:rsidR="002B7946">
        <w:rPr>
          <w:rFonts w:ascii="Arial" w:hAnsi="Arial" w:cs="Arial"/>
          <w:sz w:val="20"/>
          <w:szCs w:val="20"/>
        </w:rPr>
        <w:t>Holding that–</w:t>
      </w:r>
    </w:p>
    <w:p w14:paraId="20F0C2A6" w14:textId="78DB7CDB"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the confidential communications in the counselling notes had substantial probative value; and</w:t>
      </w:r>
    </w:p>
    <w:p w14:paraId="28609EC6" w14:textId="1C1978C1"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production of the counselling notes was required for the applicant to make a full defence; and</w:t>
      </w:r>
    </w:p>
    <w:p w14:paraId="0E0E7B09" w14:textId="202E453D" w:rsidR="002B7946" w:rsidRP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other evidence of similar or greater probative value was not available–</w:t>
      </w:r>
    </w:p>
    <w:p w14:paraId="3775A10C" w14:textId="6A682376" w:rsidR="006C4A9A" w:rsidRDefault="002B7946" w:rsidP="00A41496">
      <w:pPr>
        <w:jc w:val="both"/>
        <w:rPr>
          <w:rFonts w:ascii="Arial" w:hAnsi="Arial" w:cs="Arial"/>
          <w:sz w:val="20"/>
          <w:szCs w:val="20"/>
        </w:rPr>
      </w:pPr>
      <w:r>
        <w:rPr>
          <w:rFonts w:ascii="Arial" w:hAnsi="Arial" w:cs="Arial"/>
          <w:sz w:val="20"/>
          <w:szCs w:val="20"/>
        </w:rPr>
        <w:t>t</w:t>
      </w:r>
      <w:r w:rsidR="00C25F9E">
        <w:rPr>
          <w:rFonts w:ascii="Arial" w:hAnsi="Arial" w:cs="Arial"/>
          <w:sz w:val="20"/>
          <w:szCs w:val="20"/>
        </w:rPr>
        <w:t>he Court of Appeal granted leave to appeal, allowed the appeal and set aside the interlocutory decision of the trial judge.</w:t>
      </w:r>
      <w:r w:rsidR="00A41496">
        <w:rPr>
          <w:rFonts w:ascii="Arial" w:hAnsi="Arial" w:cs="Arial"/>
          <w:sz w:val="20"/>
          <w:szCs w:val="20"/>
        </w:rPr>
        <w:t xml:space="preserve"> At [33]</w:t>
      </w:r>
      <w:r w:rsidR="00A41496">
        <w:rPr>
          <w:rFonts w:ascii="Arial" w:hAnsi="Arial" w:cs="Arial"/>
          <w:sz w:val="20"/>
          <w:szCs w:val="20"/>
        </w:rPr>
        <w:noBreakHyphen/>
        <w:t>[35] Priest &amp; Beach JJA said:</w:t>
      </w:r>
    </w:p>
    <w:p w14:paraId="4FB69537" w14:textId="1CFE575F" w:rsidR="00A41496" w:rsidRDefault="00A41496" w:rsidP="00A41496">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A41496">
        <w:rPr>
          <w:rFonts w:ascii="Arial" w:hAnsi="Arial" w:cs="Arial"/>
          <w:sz w:val="20"/>
          <w:szCs w:val="20"/>
        </w:rPr>
        <w:t>33</w:t>
      </w:r>
      <w:r>
        <w:rPr>
          <w:rFonts w:ascii="Arial" w:hAnsi="Arial" w:cs="Arial"/>
          <w:sz w:val="20"/>
          <w:szCs w:val="20"/>
        </w:rPr>
        <w:t>]</w:t>
      </w:r>
      <w:r w:rsidRPr="00A41496">
        <w:rPr>
          <w:rFonts w:ascii="Arial" w:hAnsi="Arial" w:cs="Arial"/>
          <w:sz w:val="20"/>
          <w:szCs w:val="20"/>
        </w:rPr>
        <w:t xml:space="preserve"> </w:t>
      </w:r>
      <w:r>
        <w:rPr>
          <w:rFonts w:ascii="Arial" w:hAnsi="Arial" w:cs="Arial"/>
          <w:sz w:val="20"/>
          <w:szCs w:val="20"/>
        </w:rPr>
        <w:t>“</w:t>
      </w:r>
      <w:r w:rsidRPr="00A41496">
        <w:rPr>
          <w:rFonts w:ascii="Arial" w:hAnsi="Arial" w:cs="Arial"/>
          <w:sz w:val="20"/>
          <w:szCs w:val="20"/>
        </w:rPr>
        <w:t xml:space="preserve">Turning first to the psychologist’s notes, in his ruling the judge observed at least one reference in the notes containing the confidential communications possesses substantial probative value. </w:t>
      </w:r>
      <w:r>
        <w:rPr>
          <w:rFonts w:ascii="Arial" w:hAnsi="Arial" w:cs="Arial"/>
          <w:sz w:val="20"/>
          <w:szCs w:val="20"/>
        </w:rPr>
        <w:t xml:space="preserve"> </w:t>
      </w:r>
      <w:r w:rsidRPr="00A41496">
        <w:rPr>
          <w:rFonts w:ascii="Arial" w:hAnsi="Arial" w:cs="Arial"/>
          <w:sz w:val="20"/>
          <w:szCs w:val="20"/>
        </w:rPr>
        <w:t xml:space="preserve">It does not appear from his reasons, however, that the judge gave any consideration to the issue whether other evidence of similar or greater probative value concerning the matters to which the protected evidence relates is not available. </w:t>
      </w:r>
      <w:r>
        <w:rPr>
          <w:rFonts w:ascii="Arial" w:hAnsi="Arial" w:cs="Arial"/>
          <w:sz w:val="20"/>
          <w:szCs w:val="20"/>
        </w:rPr>
        <w:t xml:space="preserve"> </w:t>
      </w:r>
      <w:r w:rsidRPr="00A41496">
        <w:rPr>
          <w:rFonts w:ascii="Arial" w:hAnsi="Arial" w:cs="Arial"/>
          <w:sz w:val="20"/>
          <w:szCs w:val="20"/>
        </w:rPr>
        <w:t>Had the judge done so, he could not have failed to conclude that other evidence of similar or greater probative value concerning the matter to which the protected evidence — the confidential communications recorded in the notes — was not available.</w:t>
      </w:r>
      <w:r>
        <w:rPr>
          <w:rFonts w:ascii="Arial" w:hAnsi="Arial" w:cs="Arial"/>
          <w:sz w:val="20"/>
          <w:szCs w:val="20"/>
        </w:rPr>
        <w:t xml:space="preserve"> </w:t>
      </w:r>
      <w:r w:rsidRPr="00A41496">
        <w:rPr>
          <w:rFonts w:ascii="Arial" w:hAnsi="Arial" w:cs="Arial"/>
          <w:sz w:val="20"/>
          <w:szCs w:val="20"/>
        </w:rPr>
        <w:t xml:space="preserve"> Indeed, it is plain that there is no other evidence available which possesses the substantial probative value of the confidential communications in the psychologist’s counselling notes.</w:t>
      </w:r>
    </w:p>
    <w:p w14:paraId="1698FBEA" w14:textId="6851BBE3" w:rsidR="00A41496" w:rsidRDefault="00A41496" w:rsidP="00A41496">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[34] </w:t>
      </w:r>
      <w:r w:rsidRPr="00A41496">
        <w:rPr>
          <w:rFonts w:ascii="Arial" w:hAnsi="Arial" w:cs="Arial"/>
          <w:sz w:val="20"/>
          <w:szCs w:val="20"/>
        </w:rPr>
        <w:t>Moreover, having regard to the guiding principles referred to in s 32AB, we consider that, proper consideration of the criteria in s 32</w:t>
      </w:r>
      <w:proofErr w:type="gramStart"/>
      <w:r w:rsidRPr="00A41496">
        <w:rPr>
          <w:rFonts w:ascii="Arial" w:hAnsi="Arial" w:cs="Arial"/>
          <w:sz w:val="20"/>
          <w:szCs w:val="20"/>
        </w:rPr>
        <w:t>D(</w:t>
      </w:r>
      <w:proofErr w:type="gramEnd"/>
      <w:r w:rsidRPr="00A41496">
        <w:rPr>
          <w:rFonts w:ascii="Arial" w:hAnsi="Arial" w:cs="Arial"/>
          <w:sz w:val="20"/>
          <w:szCs w:val="20"/>
        </w:rPr>
        <w:t>2) should have led to the judge making orders effecting disclosure of the protected evidence in the psychologist’s notes. Accepting that disclosure might cause the complainant some anxiety, distress and emotional harm, and that the complainant’s privacy may be prejudiced, we are of the view that production of the protected evidence is absolutely necessary for the applicant to make a full defence. Without disclosing the contents of the psychologist’s documents (see s 32</w:t>
      </w:r>
      <w:proofErr w:type="gramStart"/>
      <w:r w:rsidRPr="00A41496">
        <w:rPr>
          <w:rFonts w:ascii="Arial" w:hAnsi="Arial" w:cs="Arial"/>
          <w:sz w:val="20"/>
          <w:szCs w:val="20"/>
        </w:rPr>
        <w:t>CF(</w:t>
      </w:r>
      <w:proofErr w:type="gramEnd"/>
      <w:r w:rsidRPr="00A41496">
        <w:rPr>
          <w:rFonts w:ascii="Arial" w:hAnsi="Arial" w:cs="Arial"/>
          <w:sz w:val="20"/>
          <w:szCs w:val="20"/>
        </w:rPr>
        <w:t>2) of the Act)</w:t>
      </w:r>
      <w:r>
        <w:rPr>
          <w:rFonts w:ascii="Arial" w:hAnsi="Arial" w:cs="Arial"/>
          <w:sz w:val="20"/>
          <w:szCs w:val="20"/>
        </w:rPr>
        <w:t>,</w:t>
      </w:r>
      <w:r w:rsidRPr="00A41496">
        <w:rPr>
          <w:rFonts w:ascii="Arial" w:hAnsi="Arial" w:cs="Arial"/>
          <w:sz w:val="20"/>
          <w:szCs w:val="20"/>
        </w:rPr>
        <w:t xml:space="preserve"> it is clear to us that the counselling notes are replete with confidential communications which have significant probative value with respect to the credibility and reliability of the complainant’s memory, and hence the principal fact in issue on each charge. To make a ‘full defence’, the applicant must be capable of adducing material that will bear directly on the credibility and reliability of the complainant’s memory of critical events. In our opinion, the applicant will not be able to make a full defence without access to the documents, and we are satisfied that other evidence of similar or greater probative value concerning the matters to which the protected evidence relates is not available (none of substance being pointed to by the prosecution).</w:t>
      </w:r>
    </w:p>
    <w:p w14:paraId="0A7E855F" w14:textId="0C673CE1" w:rsidR="00A41496" w:rsidRDefault="00A41496" w:rsidP="00A41496">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A41496">
        <w:rPr>
          <w:rFonts w:ascii="Arial" w:hAnsi="Arial" w:cs="Arial"/>
          <w:sz w:val="20"/>
          <w:szCs w:val="20"/>
        </w:rPr>
        <w:t>35</w:t>
      </w:r>
      <w:r>
        <w:rPr>
          <w:rFonts w:ascii="Arial" w:hAnsi="Arial" w:cs="Arial"/>
          <w:sz w:val="20"/>
          <w:szCs w:val="20"/>
        </w:rPr>
        <w:t>]</w:t>
      </w:r>
      <w:r w:rsidRPr="00A41496">
        <w:rPr>
          <w:rFonts w:ascii="Arial" w:hAnsi="Arial" w:cs="Arial"/>
          <w:sz w:val="20"/>
          <w:szCs w:val="20"/>
        </w:rPr>
        <w:t xml:space="preserve"> We take a different view with respect to the CAV documents. Although we consider the ‘cryptic’ note referred to by the judge possesses significant probative value, other evidence of similar or greater probative value concerning the matters to which the protected evidence relates will be available in the form of the psychologist’s notes. Further, we agree with the submissions made by counsel for the CAV that the ‘second category’ of documents sought by the applicant do not fall within the definition of ‘confidential communication’, and thus do not fall to be considered through the prism of s 32D.</w:t>
      </w:r>
      <w:r>
        <w:rPr>
          <w:rFonts w:ascii="Arial" w:hAnsi="Arial" w:cs="Arial"/>
          <w:sz w:val="20"/>
          <w:szCs w:val="20"/>
        </w:rPr>
        <w:t>”</w:t>
      </w:r>
    </w:p>
    <w:p w14:paraId="6279DCF3" w14:textId="54E55070" w:rsidR="00A41496" w:rsidRDefault="00A41496" w:rsidP="00183219">
      <w:pPr>
        <w:spacing w:before="120"/>
        <w:jc w:val="both"/>
        <w:rPr>
          <w:rFonts w:ascii="Arial" w:hAnsi="Arial" w:cs="Arial"/>
          <w:sz w:val="20"/>
          <w:szCs w:val="20"/>
        </w:rPr>
      </w:pPr>
      <w:r>
        <w:rPr>
          <w:rFonts w:ascii="Arial" w:hAnsi="Arial" w:cs="Arial"/>
          <w:sz w:val="20"/>
          <w:szCs w:val="20"/>
        </w:rPr>
        <w:t xml:space="preserve">See also </w:t>
      </w:r>
      <w:r w:rsidR="00183219" w:rsidRPr="00183219">
        <w:rPr>
          <w:rFonts w:ascii="Arial" w:hAnsi="Arial" w:cs="Arial"/>
          <w:i/>
          <w:iCs/>
          <w:sz w:val="20"/>
          <w:szCs w:val="20"/>
        </w:rPr>
        <w:t>Todd (a pseudonym) v The Queen</w:t>
      </w:r>
      <w:r w:rsidR="00183219" w:rsidRPr="00183219">
        <w:rPr>
          <w:rFonts w:ascii="Arial" w:hAnsi="Arial" w:cs="Arial"/>
          <w:sz w:val="20"/>
          <w:szCs w:val="20"/>
        </w:rPr>
        <w:t xml:space="preserve"> [2016] VSCA 29, [32]</w:t>
      </w:r>
      <w:proofErr w:type="gramStart"/>
      <w:r w:rsidR="00183219" w:rsidRPr="00183219">
        <w:rPr>
          <w:rFonts w:ascii="Arial" w:hAnsi="Arial" w:cs="Arial"/>
          <w:sz w:val="20"/>
          <w:szCs w:val="20"/>
        </w:rPr>
        <w:t>–[</w:t>
      </w:r>
      <w:proofErr w:type="gramEnd"/>
      <w:r w:rsidR="00183219" w:rsidRPr="00183219">
        <w:rPr>
          <w:rFonts w:ascii="Arial" w:hAnsi="Arial" w:cs="Arial"/>
          <w:sz w:val="20"/>
          <w:szCs w:val="20"/>
        </w:rPr>
        <w:t xml:space="preserve">33]; </w:t>
      </w:r>
      <w:r w:rsidR="00183219" w:rsidRPr="00183219">
        <w:rPr>
          <w:rFonts w:ascii="Arial" w:hAnsi="Arial" w:cs="Arial"/>
          <w:i/>
          <w:iCs/>
          <w:sz w:val="20"/>
          <w:szCs w:val="20"/>
        </w:rPr>
        <w:t>KR v The Queen</w:t>
      </w:r>
      <w:r w:rsidR="00183219" w:rsidRPr="00183219">
        <w:rPr>
          <w:rFonts w:ascii="Arial" w:hAnsi="Arial" w:cs="Arial"/>
          <w:sz w:val="20"/>
          <w:szCs w:val="20"/>
        </w:rPr>
        <w:t xml:space="preserve"> [2018] VSCA 159, [34], [41]</w:t>
      </w:r>
      <w:r w:rsidR="00152314">
        <w:rPr>
          <w:rFonts w:ascii="Arial" w:hAnsi="Arial" w:cs="Arial"/>
          <w:sz w:val="20"/>
          <w:szCs w:val="20"/>
        </w:rPr>
        <w:t>-</w:t>
      </w:r>
      <w:r w:rsidR="00183219" w:rsidRPr="00183219">
        <w:rPr>
          <w:rFonts w:ascii="Arial" w:hAnsi="Arial" w:cs="Arial"/>
          <w:sz w:val="20"/>
          <w:szCs w:val="20"/>
        </w:rPr>
        <w:t xml:space="preserve">[42]; </w:t>
      </w:r>
      <w:r w:rsidR="00183219" w:rsidRPr="00183219">
        <w:rPr>
          <w:rFonts w:ascii="Arial" w:hAnsi="Arial" w:cs="Arial"/>
          <w:i/>
          <w:iCs/>
          <w:sz w:val="20"/>
          <w:szCs w:val="20"/>
        </w:rPr>
        <w:t>Bowers (a pseudonym) v The Queen</w:t>
      </w:r>
      <w:r w:rsidR="00183219" w:rsidRPr="00183219">
        <w:rPr>
          <w:rFonts w:ascii="Arial" w:hAnsi="Arial" w:cs="Arial"/>
          <w:sz w:val="20"/>
          <w:szCs w:val="20"/>
        </w:rPr>
        <w:t xml:space="preserve"> [2020] VSCA 246, [14]</w:t>
      </w:r>
      <w:proofErr w:type="gramStart"/>
      <w:r w:rsidR="00183219" w:rsidRPr="00183219">
        <w:rPr>
          <w:rFonts w:ascii="Arial" w:hAnsi="Arial" w:cs="Arial"/>
          <w:sz w:val="20"/>
          <w:szCs w:val="20"/>
        </w:rPr>
        <w:t>–[</w:t>
      </w:r>
      <w:proofErr w:type="gramEnd"/>
      <w:r w:rsidR="00183219" w:rsidRPr="00183219">
        <w:rPr>
          <w:rFonts w:ascii="Arial" w:hAnsi="Arial" w:cs="Arial"/>
          <w:sz w:val="20"/>
          <w:szCs w:val="20"/>
        </w:rPr>
        <w:t>16].</w:t>
      </w:r>
    </w:p>
    <w:p w14:paraId="28FD7AC2" w14:textId="77777777" w:rsidR="008C6255" w:rsidRDefault="008C6255" w:rsidP="008C6255">
      <w:pPr>
        <w:jc w:val="both"/>
        <w:rPr>
          <w:rFonts w:ascii="Arial" w:hAnsi="Arial" w:cs="Arial"/>
          <w:sz w:val="20"/>
        </w:rPr>
      </w:pPr>
    </w:p>
    <w:p w14:paraId="1F5B395F" w14:textId="73A6B085" w:rsidR="008C6255" w:rsidRDefault="008C6255" w:rsidP="008C6255">
      <w:pPr>
        <w:pStyle w:val="Heading3"/>
        <w:keepNext/>
        <w:widowControl/>
        <w:spacing w:line="240" w:lineRule="auto"/>
        <w:ind w:left="737" w:hanging="737"/>
        <w:rPr>
          <w:rFonts w:ascii="Arial" w:hAnsi="Arial" w:cs="Arial"/>
          <w:sz w:val="20"/>
        </w:rPr>
      </w:pPr>
      <w:bookmarkStart w:id="621" w:name="_3.5.3.10__Common"/>
      <w:bookmarkEnd w:id="621"/>
      <w:r w:rsidRPr="008C3BC8">
        <w:rPr>
          <w:rFonts w:ascii="Arial" w:hAnsi="Arial" w:cs="Arial"/>
          <w:b/>
          <w:bCs/>
          <w:color w:val="000000"/>
          <w:sz w:val="20"/>
        </w:rPr>
        <w:t>3.5.</w:t>
      </w:r>
      <w:r>
        <w:rPr>
          <w:rFonts w:ascii="Arial" w:hAnsi="Arial" w:cs="Arial"/>
          <w:b/>
          <w:bCs/>
          <w:color w:val="000000"/>
          <w:sz w:val="20"/>
        </w:rPr>
        <w:t>3.10</w:t>
      </w:r>
      <w:r>
        <w:rPr>
          <w:rFonts w:ascii="Arial" w:hAnsi="Arial" w:cs="Arial"/>
          <w:b/>
          <w:bCs/>
          <w:color w:val="000000"/>
          <w:sz w:val="20"/>
        </w:rPr>
        <w:tab/>
        <w:t xml:space="preserve"> Common knowledge</w:t>
      </w:r>
    </w:p>
    <w:p w14:paraId="7F651DB3" w14:textId="213C5F8D" w:rsidR="008C6255" w:rsidRDefault="008C6255" w:rsidP="00152314">
      <w:pPr>
        <w:keepNext/>
        <w:keepLines/>
        <w:spacing w:before="120"/>
        <w:jc w:val="both"/>
        <w:rPr>
          <w:rFonts w:ascii="Arial" w:hAnsi="Arial" w:cs="Arial"/>
          <w:sz w:val="20"/>
          <w:szCs w:val="20"/>
        </w:rPr>
      </w:pPr>
      <w:r w:rsidRPr="008C6255">
        <w:rPr>
          <w:rFonts w:ascii="Arial" w:hAnsi="Arial" w:cs="Arial"/>
          <w:sz w:val="20"/>
          <w:szCs w:val="20"/>
        </w:rPr>
        <w:t xml:space="preserve">Section 144 of the </w:t>
      </w:r>
      <w:r w:rsidRPr="008C6255">
        <w:rPr>
          <w:rFonts w:ascii="Arial" w:hAnsi="Arial" w:cs="Arial"/>
          <w:i/>
          <w:iCs/>
          <w:sz w:val="20"/>
          <w:szCs w:val="20"/>
        </w:rPr>
        <w:t xml:space="preserve">Evidence Act 2008 </w:t>
      </w:r>
      <w:r w:rsidRPr="008C6255">
        <w:rPr>
          <w:rFonts w:ascii="Arial" w:hAnsi="Arial" w:cs="Arial"/>
          <w:sz w:val="20"/>
          <w:szCs w:val="20"/>
        </w:rPr>
        <w:t>(Vic) provides:</w:t>
      </w:r>
    </w:p>
    <w:p w14:paraId="5632AA03" w14:textId="7130C4DD" w:rsidR="008C6255" w:rsidRPr="008C6255" w:rsidRDefault="008C6255" w:rsidP="006543AD">
      <w:pPr>
        <w:spacing w:before="120"/>
        <w:jc w:val="center"/>
        <w:rPr>
          <w:rFonts w:ascii="Arial" w:hAnsi="Arial" w:cs="Arial"/>
          <w:b/>
          <w:bCs/>
          <w:sz w:val="20"/>
          <w:szCs w:val="20"/>
        </w:rPr>
      </w:pPr>
      <w:r w:rsidRPr="008C6255">
        <w:rPr>
          <w:rFonts w:ascii="Arial" w:hAnsi="Arial" w:cs="Arial"/>
          <w:b/>
          <w:bCs/>
          <w:sz w:val="20"/>
          <w:szCs w:val="20"/>
        </w:rPr>
        <w:t>Matters of common knowledge</w:t>
      </w:r>
    </w:p>
    <w:p w14:paraId="14E66C30" w14:textId="0240F54D" w:rsidR="008C6255" w:rsidRDefault="008C6255">
      <w:pPr>
        <w:pStyle w:val="ListParagraph"/>
        <w:numPr>
          <w:ilvl w:val="0"/>
          <w:numId w:val="128"/>
        </w:numPr>
        <w:spacing w:before="60"/>
        <w:ind w:left="357" w:hanging="357"/>
        <w:jc w:val="both"/>
        <w:rPr>
          <w:rFonts w:ascii="Arial" w:hAnsi="Arial" w:cs="Arial"/>
          <w:sz w:val="20"/>
        </w:rPr>
      </w:pPr>
      <w:r w:rsidRPr="008C6255">
        <w:rPr>
          <w:rFonts w:ascii="Arial" w:hAnsi="Arial" w:cs="Arial"/>
          <w:sz w:val="20"/>
        </w:rPr>
        <w:t>Proof is not required about knowledge that is not reasonably open to question and is—</w:t>
      </w:r>
    </w:p>
    <w:p w14:paraId="0E0A13EA" w14:textId="3F21B974" w:rsidR="008C6255" w:rsidRDefault="008C6255" w:rsidP="008C6255">
      <w:pPr>
        <w:pStyle w:val="ListParagraph"/>
        <w:spacing w:before="60"/>
        <w:ind w:left="357"/>
        <w:jc w:val="both"/>
        <w:rPr>
          <w:rFonts w:ascii="Arial" w:hAnsi="Arial" w:cs="Arial"/>
          <w:sz w:val="20"/>
        </w:rPr>
      </w:pPr>
      <w:r w:rsidRPr="008C6255">
        <w:rPr>
          <w:rFonts w:ascii="Arial" w:hAnsi="Arial" w:cs="Arial"/>
          <w:sz w:val="20"/>
        </w:rPr>
        <w:t>(a)</w:t>
      </w:r>
      <w:r>
        <w:rPr>
          <w:rFonts w:ascii="Arial" w:hAnsi="Arial" w:cs="Arial"/>
          <w:sz w:val="20"/>
        </w:rPr>
        <w:tab/>
      </w:r>
      <w:r w:rsidRPr="008C6255">
        <w:rPr>
          <w:rFonts w:ascii="Arial" w:hAnsi="Arial" w:cs="Arial"/>
          <w:sz w:val="20"/>
        </w:rPr>
        <w:t>common knowledge in the locality in which the proceeding is being held or generally; or</w:t>
      </w:r>
    </w:p>
    <w:p w14:paraId="0F05DA73" w14:textId="77777777" w:rsidR="008C6255" w:rsidRDefault="008C6255" w:rsidP="008C6255">
      <w:pPr>
        <w:pStyle w:val="ListParagraph"/>
        <w:spacing w:before="120"/>
        <w:ind w:left="714" w:hanging="357"/>
        <w:jc w:val="both"/>
        <w:rPr>
          <w:rFonts w:ascii="Arial" w:hAnsi="Arial" w:cs="Arial"/>
          <w:sz w:val="20"/>
        </w:rPr>
      </w:pPr>
      <w:r w:rsidRPr="008C6255">
        <w:rPr>
          <w:rFonts w:ascii="Arial" w:hAnsi="Arial" w:cs="Arial"/>
          <w:sz w:val="20"/>
        </w:rPr>
        <w:t>(b)</w:t>
      </w:r>
      <w:r>
        <w:rPr>
          <w:rFonts w:ascii="Arial" w:hAnsi="Arial" w:cs="Arial"/>
          <w:sz w:val="20"/>
        </w:rPr>
        <w:tab/>
      </w:r>
      <w:r w:rsidRPr="008C6255">
        <w:rPr>
          <w:rFonts w:ascii="Arial" w:hAnsi="Arial" w:cs="Arial"/>
          <w:sz w:val="20"/>
        </w:rPr>
        <w:t xml:space="preserve">capable of verification by reference to a document the authority of which cannot reasonably be questioned. </w:t>
      </w:r>
    </w:p>
    <w:p w14:paraId="05436B1A" w14:textId="77777777" w:rsidR="008C6255" w:rsidRDefault="008C6255" w:rsidP="008C6255">
      <w:pPr>
        <w:pStyle w:val="ListParagraph"/>
        <w:spacing w:before="60"/>
        <w:ind w:left="357" w:hanging="357"/>
        <w:jc w:val="both"/>
        <w:rPr>
          <w:rFonts w:ascii="Arial" w:hAnsi="Arial" w:cs="Arial"/>
          <w:sz w:val="20"/>
        </w:rPr>
      </w:pPr>
      <w:r w:rsidRPr="008C6255">
        <w:rPr>
          <w:rFonts w:ascii="Arial" w:hAnsi="Arial" w:cs="Arial"/>
          <w:sz w:val="20"/>
        </w:rPr>
        <w:t>(2)</w:t>
      </w:r>
      <w:r>
        <w:rPr>
          <w:rFonts w:ascii="Arial" w:hAnsi="Arial" w:cs="Arial"/>
          <w:sz w:val="20"/>
        </w:rPr>
        <w:tab/>
      </w:r>
      <w:r w:rsidRPr="008C6255">
        <w:rPr>
          <w:rFonts w:ascii="Arial" w:hAnsi="Arial" w:cs="Arial"/>
          <w:sz w:val="20"/>
        </w:rPr>
        <w:t>The judge may acquire knowledge of that kind in any way the judge thinks fit.</w:t>
      </w:r>
    </w:p>
    <w:p w14:paraId="05F5DDF4" w14:textId="081F1A32" w:rsidR="008C6255" w:rsidRDefault="008C6255" w:rsidP="008C6255">
      <w:pPr>
        <w:pStyle w:val="ListParagraph"/>
        <w:spacing w:before="60"/>
        <w:ind w:left="357" w:hanging="357"/>
        <w:jc w:val="both"/>
        <w:rPr>
          <w:rFonts w:ascii="Arial" w:hAnsi="Arial" w:cs="Arial"/>
          <w:sz w:val="20"/>
        </w:rPr>
      </w:pPr>
      <w:r w:rsidRPr="008C6255">
        <w:rPr>
          <w:rFonts w:ascii="Arial" w:hAnsi="Arial" w:cs="Arial"/>
          <w:sz w:val="20"/>
        </w:rPr>
        <w:t>(3)</w:t>
      </w:r>
      <w:r>
        <w:rPr>
          <w:rFonts w:ascii="Arial" w:hAnsi="Arial" w:cs="Arial"/>
          <w:sz w:val="20"/>
        </w:rPr>
        <w:tab/>
        <w:t>T</w:t>
      </w:r>
      <w:r w:rsidRPr="008C6255">
        <w:rPr>
          <w:rFonts w:ascii="Arial" w:hAnsi="Arial" w:cs="Arial"/>
          <w:sz w:val="20"/>
        </w:rPr>
        <w:t>he court (including, if there is a jury, the jury) is to take knowledge of that kind into account.</w:t>
      </w:r>
    </w:p>
    <w:p w14:paraId="09B4C3A3" w14:textId="0292D0BD" w:rsidR="008C6255" w:rsidRPr="008C6255" w:rsidRDefault="008C6255" w:rsidP="008C6255">
      <w:pPr>
        <w:pStyle w:val="ListParagraph"/>
        <w:spacing w:before="60"/>
        <w:ind w:left="357" w:hanging="357"/>
        <w:jc w:val="both"/>
        <w:rPr>
          <w:rFonts w:ascii="Arial" w:hAnsi="Arial" w:cs="Arial"/>
          <w:sz w:val="20"/>
        </w:rPr>
      </w:pPr>
      <w:r w:rsidRPr="008C6255">
        <w:rPr>
          <w:rFonts w:ascii="Arial" w:hAnsi="Arial" w:cs="Arial"/>
          <w:sz w:val="20"/>
        </w:rPr>
        <w:t>(4)</w:t>
      </w:r>
      <w:r>
        <w:rPr>
          <w:rFonts w:ascii="Arial" w:hAnsi="Arial" w:cs="Arial"/>
          <w:sz w:val="20"/>
        </w:rPr>
        <w:tab/>
      </w:r>
      <w:r w:rsidRPr="008C6255">
        <w:rPr>
          <w:rFonts w:ascii="Arial" w:hAnsi="Arial" w:cs="Arial"/>
          <w:sz w:val="20"/>
        </w:rPr>
        <w:t>The judge is to give a party such opportunity to make submissions, and to refer to relevant information, relating to the acquiring or taking into account of knowledge of that kind as is necessary to ensure that the party is not unfairly prejudiced.</w:t>
      </w:r>
    </w:p>
    <w:p w14:paraId="76A1671B" w14:textId="77777777" w:rsidR="008C6255" w:rsidRDefault="008C6255" w:rsidP="00641166">
      <w:pPr>
        <w:jc w:val="both"/>
        <w:rPr>
          <w:rFonts w:ascii="Arial" w:hAnsi="Arial" w:cs="Arial"/>
          <w:sz w:val="20"/>
        </w:rPr>
      </w:pPr>
    </w:p>
    <w:p w14:paraId="0F90ED82" w14:textId="789D3B20" w:rsidR="00877E48" w:rsidRDefault="008C6255" w:rsidP="00641166">
      <w:pPr>
        <w:jc w:val="both"/>
        <w:rPr>
          <w:rFonts w:ascii="Arial" w:hAnsi="Arial" w:cs="Arial"/>
          <w:sz w:val="20"/>
        </w:rPr>
      </w:pPr>
      <w:r>
        <w:rPr>
          <w:rFonts w:ascii="Arial" w:hAnsi="Arial" w:cs="Arial"/>
          <w:sz w:val="20"/>
        </w:rPr>
        <w:t xml:space="preserve">In </w:t>
      </w:r>
      <w:r w:rsidRPr="008C6255">
        <w:rPr>
          <w:rFonts w:ascii="Arial" w:hAnsi="Arial" w:cs="Arial"/>
          <w:i/>
          <w:iCs/>
          <w:sz w:val="20"/>
        </w:rPr>
        <w:t>Pelligra v Forbes</w:t>
      </w:r>
      <w:r>
        <w:rPr>
          <w:rFonts w:ascii="Arial" w:hAnsi="Arial" w:cs="Arial"/>
          <w:sz w:val="20"/>
        </w:rPr>
        <w:t xml:space="preserve"> [2024] VSC 311 </w:t>
      </w:r>
      <w:r w:rsidR="00877E48" w:rsidRPr="00877E48">
        <w:rPr>
          <w:rFonts w:ascii="Arial" w:hAnsi="Arial" w:cs="Arial"/>
          <w:sz w:val="20"/>
        </w:rPr>
        <w:t>a magistrate found the applicant guilty of the offence of exceeding a speed limit of 100 k</w:t>
      </w:r>
      <w:r w:rsidR="00877E48">
        <w:rPr>
          <w:rFonts w:ascii="Arial" w:hAnsi="Arial" w:cs="Arial"/>
          <w:sz w:val="20"/>
        </w:rPr>
        <w:t>ph</w:t>
      </w:r>
      <w:r w:rsidR="00877E48" w:rsidRPr="00877E48">
        <w:rPr>
          <w:rFonts w:ascii="Arial" w:hAnsi="Arial" w:cs="Arial"/>
          <w:sz w:val="20"/>
        </w:rPr>
        <w:t xml:space="preserve"> contrary to r 20(2) of the Road Safety Road Rules 2017. </w:t>
      </w:r>
      <w:r w:rsidR="00877E48">
        <w:rPr>
          <w:rFonts w:ascii="Arial" w:hAnsi="Arial" w:cs="Arial"/>
          <w:sz w:val="20"/>
        </w:rPr>
        <w:t>On appeal t</w:t>
      </w:r>
      <w:r w:rsidR="00877E48" w:rsidRPr="00877E48">
        <w:rPr>
          <w:rFonts w:ascii="Arial" w:hAnsi="Arial" w:cs="Arial"/>
          <w:sz w:val="20"/>
        </w:rPr>
        <w:t>he applicant contend</w:t>
      </w:r>
      <w:r w:rsidR="00877E48">
        <w:rPr>
          <w:rFonts w:ascii="Arial" w:hAnsi="Arial" w:cs="Arial"/>
          <w:sz w:val="20"/>
        </w:rPr>
        <w:t>ed</w:t>
      </w:r>
      <w:r w:rsidR="00877E48" w:rsidRPr="00877E48">
        <w:rPr>
          <w:rFonts w:ascii="Arial" w:hAnsi="Arial" w:cs="Arial"/>
          <w:sz w:val="20"/>
        </w:rPr>
        <w:t xml:space="preserve"> that the magistrate erred in finding that the Mercedes sports utility vehicle (‘SUV’) driven by the applicant was ‘other than a heavy vehicle’ — that being an element of the offence — and in finding that his speed exceeded the applicable speed limit of 100 </w:t>
      </w:r>
      <w:r w:rsidR="00877E48">
        <w:rPr>
          <w:rFonts w:ascii="Arial" w:hAnsi="Arial" w:cs="Arial"/>
          <w:sz w:val="20"/>
        </w:rPr>
        <w:t>kph</w:t>
      </w:r>
      <w:r w:rsidR="00877E48" w:rsidRPr="00877E48">
        <w:rPr>
          <w:rFonts w:ascii="Arial" w:hAnsi="Arial" w:cs="Arial"/>
          <w:sz w:val="20"/>
        </w:rPr>
        <w:t xml:space="preserve">. </w:t>
      </w:r>
      <w:r w:rsidR="00877E48">
        <w:rPr>
          <w:rFonts w:ascii="Arial" w:hAnsi="Arial" w:cs="Arial"/>
          <w:sz w:val="20"/>
        </w:rPr>
        <w:t>Watson J dismissed the appeal</w:t>
      </w:r>
      <w:r w:rsidR="00877E48" w:rsidRPr="00877E48">
        <w:rPr>
          <w:rFonts w:ascii="Arial" w:hAnsi="Arial" w:cs="Arial"/>
          <w:sz w:val="20"/>
        </w:rPr>
        <w:t>, finding that it was not reasonably open to question and was common knowledge generally that a Mercedes SUV of the kind driven by the applicant was a vehicle that could be driven with a car licence and did not require any form of heavy vehicle licence.</w:t>
      </w:r>
      <w:r w:rsidR="00877E48">
        <w:rPr>
          <w:rFonts w:ascii="Arial" w:hAnsi="Arial" w:cs="Arial"/>
          <w:sz w:val="20"/>
        </w:rPr>
        <w:t xml:space="preserve"> At [19]-[21] Watson J said of s.144:</w:t>
      </w:r>
    </w:p>
    <w:p w14:paraId="53777F1B" w14:textId="30B568B7" w:rsidR="008C6255" w:rsidRDefault="008C6255" w:rsidP="008C6255">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[19] “</w:t>
      </w:r>
      <w:r w:rsidRPr="008C6255">
        <w:rPr>
          <w:rFonts w:ascii="Arial" w:hAnsi="Arial" w:cs="Arial"/>
          <w:sz w:val="20"/>
          <w:szCs w:val="20"/>
        </w:rPr>
        <w:t>The section speaks of common knowledge that is not reasonably open to question. It</w:t>
      </w:r>
      <w:r w:rsidR="00354552">
        <w:rPr>
          <w:rFonts w:ascii="Arial" w:hAnsi="Arial" w:cs="Arial"/>
          <w:sz w:val="20"/>
          <w:szCs w:val="20"/>
        </w:rPr>
        <w:t> </w:t>
      </w:r>
      <w:r w:rsidRPr="008C6255">
        <w:rPr>
          <w:rFonts w:ascii="Arial" w:hAnsi="Arial" w:cs="Arial"/>
          <w:sz w:val="20"/>
          <w:szCs w:val="20"/>
        </w:rPr>
        <w:t>does not require universal knowledge. It is not necessary that literally ‘all persons’ must be aware of a fact for it to be common knowledge.</w:t>
      </w:r>
    </w:p>
    <w:p w14:paraId="3B4166D1" w14:textId="4B63C666" w:rsidR="008C6255" w:rsidRDefault="008C6255" w:rsidP="008C6255">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[20] </w:t>
      </w:r>
      <w:r w:rsidRPr="008C6255">
        <w:rPr>
          <w:rFonts w:ascii="Arial" w:hAnsi="Arial" w:cs="Arial"/>
          <w:sz w:val="20"/>
          <w:szCs w:val="20"/>
        </w:rPr>
        <w:t>In this regard, statements to the effect that a fact would be common knowledge or capable of judicial notice if it is ‘of a class that is so generally known as to give rise to the presumption that all persons are aware of it’</w:t>
      </w:r>
      <w:r w:rsidR="006543AD">
        <w:rPr>
          <w:rFonts w:ascii="Arial" w:hAnsi="Arial" w:cs="Arial"/>
          <w:sz w:val="20"/>
          <w:szCs w:val="20"/>
        </w:rPr>
        <w:t xml:space="preserve"> {</w:t>
      </w:r>
      <w:r w:rsidR="006543AD" w:rsidRPr="006543AD">
        <w:rPr>
          <w:rFonts w:ascii="Arial" w:hAnsi="Arial" w:cs="Arial"/>
          <w:i/>
          <w:iCs/>
          <w:sz w:val="20"/>
          <w:szCs w:val="20"/>
        </w:rPr>
        <w:t>Holland v Jones</w:t>
      </w:r>
      <w:r w:rsidR="006543AD" w:rsidRPr="006543AD">
        <w:rPr>
          <w:rFonts w:ascii="Arial" w:hAnsi="Arial" w:cs="Arial"/>
          <w:sz w:val="20"/>
          <w:szCs w:val="20"/>
        </w:rPr>
        <w:t xml:space="preserve"> (1917) 23 CLR 149, 153 [Isaacs J]; </w:t>
      </w:r>
      <w:r w:rsidR="006543AD" w:rsidRPr="006543AD">
        <w:rPr>
          <w:rFonts w:ascii="Arial" w:hAnsi="Arial" w:cs="Arial"/>
          <w:i/>
          <w:iCs/>
          <w:sz w:val="20"/>
          <w:szCs w:val="20"/>
        </w:rPr>
        <w:t>Properjohn v Gaughan</w:t>
      </w:r>
      <w:r w:rsidR="006543AD" w:rsidRPr="006543AD">
        <w:rPr>
          <w:rFonts w:ascii="Arial" w:hAnsi="Arial" w:cs="Arial"/>
          <w:sz w:val="20"/>
          <w:szCs w:val="20"/>
        </w:rPr>
        <w:t xml:space="preserve"> [1998] ACTSC 26, [13]</w:t>
      </w:r>
      <w:r w:rsidR="006543AD">
        <w:rPr>
          <w:rFonts w:ascii="Arial" w:hAnsi="Arial" w:cs="Arial"/>
          <w:sz w:val="20"/>
          <w:szCs w:val="20"/>
        </w:rPr>
        <w:t xml:space="preserve">} </w:t>
      </w:r>
      <w:r w:rsidRPr="008C6255">
        <w:rPr>
          <w:rFonts w:ascii="Arial" w:hAnsi="Arial" w:cs="Arial"/>
          <w:sz w:val="20"/>
          <w:szCs w:val="20"/>
        </w:rPr>
        <w:t>do not require that all persons are actually aware of the fact. The fact need only be sufficiently generally known that it gives rise to a presumption that it is something overwhelmingly understood and accepted within the community as true.</w:t>
      </w:r>
    </w:p>
    <w:p w14:paraId="4020B5CD" w14:textId="4674C10E" w:rsidR="008C6255" w:rsidRDefault="008C6255" w:rsidP="008C6255">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[21] </w:t>
      </w:r>
      <w:r w:rsidR="006543AD" w:rsidRPr="006543AD">
        <w:rPr>
          <w:rFonts w:ascii="Arial" w:hAnsi="Arial" w:cs="Arial"/>
          <w:sz w:val="20"/>
          <w:szCs w:val="20"/>
        </w:rPr>
        <w:t>If complete universality were required then even on issues such as whether the Earth is round, a court would not be permitted to treat the matter as common knowledge because of the potential existence of some infinitesimal proportion of the community who believed in a flat Earth. This cannot have been the intention of Parliament in enacting s 144.</w:t>
      </w:r>
      <w:r w:rsidR="006543AD">
        <w:rPr>
          <w:rFonts w:ascii="Arial" w:hAnsi="Arial" w:cs="Arial"/>
          <w:sz w:val="20"/>
          <w:szCs w:val="20"/>
        </w:rPr>
        <w:t>”</w:t>
      </w:r>
    </w:p>
    <w:p w14:paraId="104A7629" w14:textId="35ED9048" w:rsidR="008C6255" w:rsidRDefault="008C6255" w:rsidP="00641166">
      <w:pPr>
        <w:jc w:val="both"/>
        <w:rPr>
          <w:rFonts w:ascii="Arial" w:hAnsi="Arial" w:cs="Arial"/>
          <w:sz w:val="16"/>
          <w:szCs w:val="20"/>
        </w:rPr>
      </w:pPr>
    </w:p>
    <w:p w14:paraId="1CAD2153" w14:textId="6E87B70D" w:rsidR="00877E48" w:rsidRDefault="00877E48" w:rsidP="00641166">
      <w:pPr>
        <w:jc w:val="both"/>
        <w:rPr>
          <w:rFonts w:ascii="Arial" w:hAnsi="Arial" w:cs="Arial"/>
          <w:sz w:val="20"/>
          <w:szCs w:val="20"/>
        </w:rPr>
      </w:pPr>
      <w:r>
        <w:rPr>
          <w:rFonts w:ascii="Arial" w:hAnsi="Arial" w:cs="Arial"/>
          <w:sz w:val="20"/>
          <w:szCs w:val="20"/>
        </w:rPr>
        <w:t>Subsequently the Court of Appeal allowed the applicant’s appeal from the order of Watson J and dismissed the charge. In [2024] VSCA 242 at [52]-[63] Niall, Macaulay &amp; T Forrest JJA explained their conclusion that the prosecution had failed to prove that the applicant’s car was not a heavy vehicle, saying in particular at [57]-[58] &amp; [62]-[63]:</w:t>
      </w:r>
    </w:p>
    <w:p w14:paraId="05616FA4" w14:textId="41F9562A" w:rsidR="00877E48" w:rsidRDefault="00877E48" w:rsidP="00877E48">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[57] “</w:t>
      </w:r>
      <w:r w:rsidRPr="00877E48">
        <w:rPr>
          <w:rFonts w:ascii="Arial" w:hAnsi="Arial" w:cs="Arial"/>
          <w:sz w:val="20"/>
        </w:rPr>
        <w:t>The judge concluded that, as a matter of common knowledge, a car of this type, namely an SUV, does not require a special licence. In our opinion, the licencing requirements that attach to particular kinds of vehicles are not matters of common knowledge that are not reasonably open to question within the meaning of s 144(1) of the Evidence Act. That is so because the fact of which there is said to be common knowledge elides the practical understanding of how the law operates with the true legal position. Moreover, it relies upon a contestable inference. Rather than an assertion of direct common knowledge of a fact — such as that Christmas Day falls on 25 December — here, it is an assertion of common knowledge of a common practice (that SUVs are generally driven using a car licence) from which to infer that, as a matter of law, drivers of SUVs do not require a special licence.</w:t>
      </w:r>
    </w:p>
    <w:p w14:paraId="285B394A" w14:textId="60BD398A" w:rsidR="00877E48" w:rsidRDefault="00877E48" w:rsidP="00877E48">
      <w:pPr>
        <w:pStyle w:val="NormalWeb"/>
        <w:shd w:val="clear" w:color="auto" w:fill="FFFFFF"/>
        <w:spacing w:before="60" w:beforeAutospacing="0" w:after="0" w:afterAutospacing="0"/>
        <w:ind w:left="567" w:right="567"/>
        <w:jc w:val="both"/>
        <w:rPr>
          <w:rFonts w:ascii="Arial" w:hAnsi="Arial" w:cs="Arial"/>
          <w:sz w:val="20"/>
        </w:rPr>
      </w:pPr>
      <w:r>
        <w:rPr>
          <w:rFonts w:ascii="Arial" w:hAnsi="Arial" w:cs="Arial"/>
          <w:sz w:val="20"/>
          <w:szCs w:val="20"/>
        </w:rPr>
        <w:t xml:space="preserve">[58] </w:t>
      </w:r>
      <w:r w:rsidRPr="00877E48">
        <w:rPr>
          <w:rFonts w:ascii="Arial" w:hAnsi="Arial" w:cs="Arial"/>
          <w:sz w:val="20"/>
        </w:rPr>
        <w:t>Further, whether or not that understanding or knowledge is reasonably open to question depends on whether it is legally correct. In turn, that would require establishing the correct legal position. In this case, that would require proving that the vehicle is not a heavy vehicle. The vice also flows from treating people’s common understanding of the law as establishing the state of the law in the context of a criminal prosecution, where the standard of proof attracting to elements of the offence is beyond reasonable doubt.</w:t>
      </w:r>
    </w:p>
    <w:p w14:paraId="203620F1" w14:textId="7F51DC50" w:rsidR="00877E48" w:rsidRDefault="00877E48" w:rsidP="00877E48">
      <w:pPr>
        <w:pStyle w:val="NormalWeb"/>
        <w:shd w:val="clear" w:color="auto" w:fill="FFFFFF"/>
        <w:spacing w:before="60" w:beforeAutospacing="0" w:after="0" w:afterAutospacing="0"/>
        <w:ind w:left="567" w:right="567"/>
        <w:jc w:val="both"/>
        <w:rPr>
          <w:rFonts w:ascii="Arial" w:hAnsi="Arial" w:cs="Arial"/>
          <w:sz w:val="20"/>
        </w:rPr>
      </w:pPr>
      <w:r>
        <w:rPr>
          <w:rFonts w:ascii="Arial" w:hAnsi="Arial" w:cs="Arial"/>
          <w:sz w:val="20"/>
        </w:rPr>
        <w:t>…</w:t>
      </w:r>
    </w:p>
    <w:p w14:paraId="33ACC48D" w14:textId="65F4F4B3" w:rsidR="00877E48" w:rsidRDefault="00877E48" w:rsidP="00877E48">
      <w:pPr>
        <w:pStyle w:val="NormalWeb"/>
        <w:shd w:val="clear" w:color="auto" w:fill="FFFFFF"/>
        <w:spacing w:before="60" w:beforeAutospacing="0" w:after="0" w:afterAutospacing="0"/>
        <w:ind w:left="567" w:right="567"/>
        <w:jc w:val="both"/>
        <w:rPr>
          <w:rFonts w:ascii="Arial" w:hAnsi="Arial" w:cs="Arial"/>
          <w:sz w:val="20"/>
        </w:rPr>
      </w:pPr>
      <w:r>
        <w:rPr>
          <w:rFonts w:ascii="Arial" w:hAnsi="Arial" w:cs="Arial"/>
          <w:sz w:val="20"/>
        </w:rPr>
        <w:lastRenderedPageBreak/>
        <w:t xml:space="preserve">[62] </w:t>
      </w:r>
      <w:r w:rsidR="00660230" w:rsidRPr="00877E48">
        <w:rPr>
          <w:rFonts w:ascii="Arial" w:hAnsi="Arial" w:cs="Arial"/>
          <w:sz w:val="20"/>
        </w:rPr>
        <w:t>In our opinion, there is an insufficient factual foundation to prove beyond reasonable doubt by inference that any specification or statement of the GVM of the applicant’s car would have been no more than 4.5 tonnes. It is likely that, if there was a specification or statement, it would have been less than that, but any firmer conclusion would entail impermissible speculation or guesswork based on unstated and unproved assumptions. It requires assumptions regarding how the registration authority might or might not have viewed the appropriate maximum loaded mass. Attempting to infer how a specialist regulatory agency might have approached the question of whether to specify a maximum loaded mass and, if so, what that mass might be is an entirely inadequate basis to make a finding beyond reasonable doubt as to the GVM of the applicant’s car or whether it exceeded 4.5 tonnes.</w:t>
      </w:r>
    </w:p>
    <w:p w14:paraId="500F89DE" w14:textId="73AA50F1" w:rsidR="00660230" w:rsidRDefault="00660230" w:rsidP="00877E48">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rPr>
        <w:t xml:space="preserve">[63] </w:t>
      </w:r>
      <w:r w:rsidRPr="00877E48">
        <w:rPr>
          <w:rFonts w:ascii="Arial" w:hAnsi="Arial" w:cs="Arial"/>
          <w:sz w:val="20"/>
        </w:rPr>
        <w:t>In conclusion, the prosecution made no attempt to prove by direct evidence that the applicant’s car was not a heavy vehicle and, although not impermissible in principle, the evidence did not sustain an inference beyond reasonable doubt that the car was not a heavy vehicle. Since proof that the car was ‘other than a heavy vehicle’ was an element of the offence, this conclusion means that the charge was not proved.</w:t>
      </w:r>
      <w:r>
        <w:rPr>
          <w:rFonts w:ascii="Arial" w:hAnsi="Arial" w:cs="Arial"/>
          <w:sz w:val="20"/>
        </w:rPr>
        <w:t>”</w:t>
      </w:r>
    </w:p>
    <w:p w14:paraId="2761FD02" w14:textId="77777777" w:rsidR="00877E48" w:rsidRDefault="00877E48" w:rsidP="00641166">
      <w:pPr>
        <w:jc w:val="both"/>
        <w:rPr>
          <w:rFonts w:ascii="Arial" w:hAnsi="Arial" w:cs="Arial"/>
          <w:sz w:val="20"/>
          <w:szCs w:val="20"/>
        </w:rPr>
      </w:pPr>
    </w:p>
    <w:p w14:paraId="08D2009F" w14:textId="56A12EB4" w:rsidR="008C6255" w:rsidRDefault="008C6255" w:rsidP="00641166">
      <w:pPr>
        <w:jc w:val="both"/>
        <w:rPr>
          <w:rFonts w:ascii="Arial" w:hAnsi="Arial" w:cs="Arial"/>
          <w:sz w:val="20"/>
        </w:rPr>
      </w:pPr>
      <w:r>
        <w:rPr>
          <w:rFonts w:ascii="Arial" w:hAnsi="Arial" w:cs="Arial"/>
          <w:sz w:val="20"/>
        </w:rPr>
        <w:t xml:space="preserve">See also </w:t>
      </w:r>
      <w:r w:rsidR="00354552" w:rsidRPr="00354552">
        <w:rPr>
          <w:rFonts w:ascii="Arial" w:hAnsi="Arial" w:cs="Arial"/>
          <w:i/>
          <w:iCs/>
          <w:sz w:val="20"/>
        </w:rPr>
        <w:t>Fox v Feltham</w:t>
      </w:r>
      <w:r w:rsidR="00354552">
        <w:rPr>
          <w:rFonts w:ascii="Arial" w:hAnsi="Arial" w:cs="Arial"/>
          <w:sz w:val="20"/>
        </w:rPr>
        <w:t xml:space="preserve"> [2024] VSC 310; </w:t>
      </w:r>
      <w:r w:rsidR="006543AD" w:rsidRPr="00354552">
        <w:rPr>
          <w:rFonts w:ascii="Arial" w:hAnsi="Arial" w:cs="Arial"/>
          <w:i/>
          <w:iCs/>
          <w:sz w:val="20"/>
        </w:rPr>
        <w:t>Theodoridis v DPP</w:t>
      </w:r>
      <w:r w:rsidR="006543AD">
        <w:rPr>
          <w:rFonts w:ascii="Arial" w:hAnsi="Arial" w:cs="Arial"/>
          <w:sz w:val="20"/>
        </w:rPr>
        <w:t xml:space="preserve"> [2021] VCC 2050.</w:t>
      </w:r>
    </w:p>
    <w:p w14:paraId="5DF7C5C1" w14:textId="77777777" w:rsidR="00A240A5" w:rsidRDefault="00A240A5" w:rsidP="00A240A5">
      <w:pPr>
        <w:jc w:val="both"/>
        <w:rPr>
          <w:rFonts w:ascii="Arial" w:hAnsi="Arial" w:cs="Arial"/>
          <w:sz w:val="20"/>
        </w:rPr>
      </w:pPr>
    </w:p>
    <w:p w14:paraId="056A6C3C" w14:textId="57380378" w:rsidR="00A240A5" w:rsidRDefault="00A240A5" w:rsidP="00A240A5">
      <w:pPr>
        <w:pStyle w:val="Heading3"/>
        <w:keepNext/>
        <w:widowControl/>
        <w:spacing w:line="240" w:lineRule="auto"/>
        <w:ind w:left="737" w:hanging="737"/>
        <w:rPr>
          <w:rFonts w:ascii="Arial" w:hAnsi="Arial" w:cs="Arial"/>
          <w:sz w:val="20"/>
        </w:rPr>
      </w:pPr>
      <w:bookmarkStart w:id="622" w:name="_3.5.3.11__Admissibility"/>
      <w:bookmarkEnd w:id="622"/>
      <w:r w:rsidRPr="008C3BC8">
        <w:rPr>
          <w:rFonts w:ascii="Arial" w:hAnsi="Arial" w:cs="Arial"/>
          <w:b/>
          <w:bCs/>
          <w:color w:val="000000"/>
          <w:sz w:val="20"/>
        </w:rPr>
        <w:t>3.5.</w:t>
      </w:r>
      <w:r>
        <w:rPr>
          <w:rFonts w:ascii="Arial" w:hAnsi="Arial" w:cs="Arial"/>
          <w:b/>
          <w:bCs/>
          <w:color w:val="000000"/>
          <w:sz w:val="20"/>
        </w:rPr>
        <w:t>3.11</w:t>
      </w:r>
      <w:r>
        <w:rPr>
          <w:rFonts w:ascii="Arial" w:hAnsi="Arial" w:cs="Arial"/>
          <w:b/>
          <w:bCs/>
          <w:color w:val="000000"/>
          <w:sz w:val="20"/>
        </w:rPr>
        <w:tab/>
        <w:t xml:space="preserve"> Admissibility of evidence of distress</w:t>
      </w:r>
    </w:p>
    <w:p w14:paraId="54595F06" w14:textId="77777777" w:rsidR="008A225F" w:rsidRDefault="008A225F" w:rsidP="008A225F">
      <w:pPr>
        <w:jc w:val="both"/>
        <w:rPr>
          <w:rFonts w:ascii="Arial" w:hAnsi="Arial" w:cs="Arial"/>
          <w:sz w:val="20"/>
        </w:rPr>
      </w:pPr>
    </w:p>
    <w:p w14:paraId="039F4C3D" w14:textId="6886C5E5" w:rsidR="008A225F" w:rsidRDefault="008A225F" w:rsidP="008A225F">
      <w:pPr>
        <w:jc w:val="both"/>
        <w:rPr>
          <w:rFonts w:ascii="Arial" w:hAnsi="Arial" w:cs="Arial"/>
          <w:sz w:val="20"/>
        </w:rPr>
      </w:pPr>
      <w:bookmarkStart w:id="623" w:name="_Hlk195009418"/>
      <w:r>
        <w:rPr>
          <w:rFonts w:ascii="Arial" w:hAnsi="Arial" w:cs="Arial"/>
          <w:sz w:val="20"/>
        </w:rPr>
        <w:t xml:space="preserve">In </w:t>
      </w:r>
      <w:r w:rsidRPr="00A305E3">
        <w:rPr>
          <w:rFonts w:ascii="Arial" w:hAnsi="Arial" w:cs="Arial"/>
          <w:i/>
          <w:iCs/>
          <w:sz w:val="20"/>
        </w:rPr>
        <w:t>The King v Churchill (a pseudonym)</w:t>
      </w:r>
      <w:r>
        <w:rPr>
          <w:rFonts w:ascii="Arial" w:hAnsi="Arial" w:cs="Arial"/>
          <w:sz w:val="20"/>
        </w:rPr>
        <w:t xml:space="preserve"> [2025] HCA 11 </w:t>
      </w:r>
      <w:r w:rsidRPr="00787056">
        <w:rPr>
          <w:rFonts w:ascii="Arial" w:hAnsi="Arial" w:cs="Arial"/>
          <w:sz w:val="20"/>
        </w:rPr>
        <w:t xml:space="preserve">the respondent </w:t>
      </w:r>
      <w:r>
        <w:rPr>
          <w:rFonts w:ascii="Arial" w:hAnsi="Arial" w:cs="Arial"/>
          <w:sz w:val="20"/>
        </w:rPr>
        <w:t>had been</w:t>
      </w:r>
      <w:r w:rsidRPr="00787056">
        <w:rPr>
          <w:rFonts w:ascii="Arial" w:hAnsi="Arial" w:cs="Arial"/>
          <w:sz w:val="20"/>
        </w:rPr>
        <w:t xml:space="preserve"> found guilty </w:t>
      </w:r>
      <w:r>
        <w:rPr>
          <w:rFonts w:ascii="Arial" w:hAnsi="Arial" w:cs="Arial"/>
          <w:sz w:val="20"/>
        </w:rPr>
        <w:t>of two offences of incest in 2005 against hi</w:t>
      </w:r>
      <w:r w:rsidRPr="00787056">
        <w:rPr>
          <w:rFonts w:ascii="Arial" w:hAnsi="Arial" w:cs="Arial"/>
          <w:sz w:val="20"/>
        </w:rPr>
        <w:t xml:space="preserve">s </w:t>
      </w:r>
      <w:r>
        <w:rPr>
          <w:rFonts w:ascii="Arial" w:hAnsi="Arial" w:cs="Arial"/>
          <w:sz w:val="20"/>
        </w:rPr>
        <w:t xml:space="preserve">then 13 or 14 year old stepdaughter. The issue on appeal was in relation to directions given by the trial judge to the jury on the use they could make of </w:t>
      </w:r>
      <w:r w:rsidRPr="00A305E3">
        <w:rPr>
          <w:rFonts w:ascii="Arial" w:hAnsi="Arial" w:cs="Arial"/>
          <w:sz w:val="20"/>
        </w:rPr>
        <w:t>pre</w:t>
      </w:r>
      <w:r>
        <w:rPr>
          <w:rFonts w:ascii="Arial" w:hAnsi="Arial" w:cs="Arial"/>
          <w:sz w:val="20"/>
        </w:rPr>
        <w:t>-</w:t>
      </w:r>
      <w:r w:rsidRPr="00A305E3">
        <w:rPr>
          <w:rFonts w:ascii="Arial" w:hAnsi="Arial" w:cs="Arial"/>
          <w:sz w:val="20"/>
        </w:rPr>
        <w:t xml:space="preserve">trial distress evidence </w:t>
      </w:r>
      <w:r>
        <w:rPr>
          <w:rFonts w:ascii="Arial" w:hAnsi="Arial" w:cs="Arial"/>
          <w:sz w:val="20"/>
        </w:rPr>
        <w:t>by the complainant. The Court of Appeal had allowed the respondent’s appeal and quashed the convictions: see [2024] VSCA 151. The High Court allowed the Crown appeal, set aside the Court of Appeal’s orders quashing the convictions and dismissed the respondent’s appeal to the Court of Appeal. At [1]-[4] Gageler CJ, Gordon, Gleeson, Jagot &amp; Beech-Jones JJ said:</w:t>
      </w:r>
    </w:p>
    <w:p w14:paraId="113C7896" w14:textId="77777777" w:rsidR="008A225F" w:rsidRDefault="008A225F" w:rsidP="008A225F">
      <w:pPr>
        <w:spacing w:before="80"/>
        <w:ind w:left="567" w:right="567"/>
        <w:jc w:val="both"/>
        <w:rPr>
          <w:rFonts w:ascii="Arial" w:hAnsi="Arial" w:cs="Arial"/>
          <w:sz w:val="20"/>
        </w:rPr>
      </w:pPr>
      <w:r>
        <w:rPr>
          <w:rFonts w:ascii="Arial" w:hAnsi="Arial" w:cs="Arial"/>
          <w:sz w:val="20"/>
        </w:rPr>
        <w:t>[1] “</w:t>
      </w:r>
      <w:r w:rsidRPr="00787056">
        <w:rPr>
          <w:rFonts w:ascii="Arial" w:hAnsi="Arial" w:cs="Arial"/>
          <w:sz w:val="20"/>
        </w:rPr>
        <w:t>The issue of principle raised by this appeal from a decision of the Court of Appeal of the Supreme Court of Victoria (Beach, Taylor and Orr JJA)</w:t>
      </w:r>
      <w:r>
        <w:rPr>
          <w:rFonts w:ascii="Arial" w:hAnsi="Arial" w:cs="Arial"/>
          <w:sz w:val="20"/>
        </w:rPr>
        <w:t xml:space="preserve"> </w:t>
      </w:r>
      <w:r w:rsidRPr="00787056">
        <w:rPr>
          <w:rFonts w:ascii="Arial" w:hAnsi="Arial" w:cs="Arial"/>
          <w:sz w:val="20"/>
        </w:rPr>
        <w:t xml:space="preserve">is whether, in a trial of a sexual offence governed by the </w:t>
      </w:r>
      <w:r w:rsidRPr="00416D08">
        <w:rPr>
          <w:rFonts w:ascii="Arial" w:hAnsi="Arial" w:cs="Arial"/>
          <w:i/>
          <w:iCs/>
          <w:sz w:val="20"/>
        </w:rPr>
        <w:t>Evidence Act 2008</w:t>
      </w:r>
      <w:r w:rsidRPr="00787056">
        <w:rPr>
          <w:rFonts w:ascii="Arial" w:hAnsi="Arial" w:cs="Arial"/>
          <w:sz w:val="20"/>
        </w:rPr>
        <w:t xml:space="preserve"> (Vic) and the </w:t>
      </w:r>
      <w:r w:rsidRPr="00416D08">
        <w:rPr>
          <w:rFonts w:ascii="Arial" w:hAnsi="Arial" w:cs="Arial"/>
          <w:i/>
          <w:iCs/>
          <w:sz w:val="20"/>
        </w:rPr>
        <w:t>Jury Directions Act 2015</w:t>
      </w:r>
      <w:r w:rsidRPr="00787056">
        <w:rPr>
          <w:rFonts w:ascii="Arial" w:hAnsi="Arial" w:cs="Arial"/>
          <w:sz w:val="20"/>
        </w:rPr>
        <w:t xml:space="preserve"> (Vic)</w:t>
      </w:r>
      <w:r>
        <w:rPr>
          <w:rFonts w:ascii="Arial" w:hAnsi="Arial" w:cs="Arial"/>
          <w:sz w:val="20"/>
        </w:rPr>
        <w:t xml:space="preserve"> [JDA]</w:t>
      </w:r>
      <w:r w:rsidRPr="00787056">
        <w:rPr>
          <w:rFonts w:ascii="Arial" w:hAnsi="Arial" w:cs="Arial"/>
          <w:sz w:val="20"/>
        </w:rPr>
        <w:t>, where evidence that the complainant was distressed at the time of making a pre</w:t>
      </w:r>
      <w:r>
        <w:rPr>
          <w:rFonts w:ascii="Arial" w:hAnsi="Arial" w:cs="Arial"/>
          <w:sz w:val="20"/>
        </w:rPr>
        <w:noBreakHyphen/>
      </w:r>
      <w:r w:rsidRPr="00787056">
        <w:rPr>
          <w:rFonts w:ascii="Arial" w:hAnsi="Arial" w:cs="Arial"/>
          <w:sz w:val="20"/>
        </w:rPr>
        <w:t xml:space="preserve">trial complaint was relied upon by the prosecution to support the complainant's version of events, there are </w:t>
      </w:r>
      <w:r>
        <w:rPr>
          <w:rFonts w:ascii="Arial" w:hAnsi="Arial" w:cs="Arial"/>
          <w:sz w:val="20"/>
        </w:rPr>
        <w:t>‘</w:t>
      </w:r>
      <w:r w:rsidRPr="00787056">
        <w:rPr>
          <w:rFonts w:ascii="Arial" w:hAnsi="Arial" w:cs="Arial"/>
          <w:sz w:val="20"/>
        </w:rPr>
        <w:t>substantial and compelling reasons</w:t>
      </w:r>
      <w:r>
        <w:rPr>
          <w:rFonts w:ascii="Arial" w:hAnsi="Arial" w:cs="Arial"/>
          <w:sz w:val="20"/>
        </w:rPr>
        <w:t>’</w:t>
      </w:r>
      <w:r w:rsidRPr="00787056">
        <w:rPr>
          <w:rFonts w:ascii="Arial" w:hAnsi="Arial" w:cs="Arial"/>
          <w:sz w:val="20"/>
        </w:rPr>
        <w:t xml:space="preserve"> </w:t>
      </w:r>
      <w:r>
        <w:rPr>
          <w:rFonts w:ascii="Arial" w:hAnsi="Arial" w:cs="Arial"/>
          <w:sz w:val="20"/>
        </w:rPr>
        <w:t xml:space="preserve">[s.16 JDA] </w:t>
      </w:r>
      <w:r w:rsidRPr="00787056">
        <w:rPr>
          <w:rFonts w:ascii="Arial" w:hAnsi="Arial" w:cs="Arial"/>
          <w:sz w:val="20"/>
        </w:rPr>
        <w:t>for the trial judge to warn the jury that:</w:t>
      </w:r>
    </w:p>
    <w:p w14:paraId="57EABD5A" w14:textId="77777777" w:rsidR="008A225F" w:rsidRDefault="008A225F" w:rsidP="008A225F">
      <w:pPr>
        <w:ind w:left="924" w:right="567" w:hanging="357"/>
        <w:jc w:val="both"/>
        <w:rPr>
          <w:rFonts w:ascii="Arial" w:hAnsi="Arial" w:cs="Arial"/>
          <w:sz w:val="20"/>
        </w:rPr>
      </w:pPr>
      <w:r w:rsidRPr="00787056">
        <w:rPr>
          <w:rFonts w:ascii="Arial" w:hAnsi="Arial" w:cs="Arial"/>
          <w:sz w:val="20"/>
        </w:rPr>
        <w:t>(1)</w:t>
      </w:r>
      <w:r>
        <w:rPr>
          <w:rFonts w:ascii="Arial" w:hAnsi="Arial" w:cs="Arial"/>
          <w:sz w:val="20"/>
        </w:rPr>
        <w:tab/>
      </w:r>
      <w:r w:rsidRPr="00787056">
        <w:rPr>
          <w:rFonts w:ascii="Arial" w:hAnsi="Arial" w:cs="Arial"/>
          <w:sz w:val="20"/>
        </w:rPr>
        <w:t>before the evidence of distress could be used for that purpose the jury had to be satisfied that there was a causal link between the distress and the alleged offending; and</w:t>
      </w:r>
    </w:p>
    <w:p w14:paraId="636EFBA3" w14:textId="77777777" w:rsidR="008A225F" w:rsidRDefault="008A225F" w:rsidP="008A225F">
      <w:pPr>
        <w:ind w:left="924" w:right="567" w:hanging="357"/>
        <w:jc w:val="both"/>
        <w:rPr>
          <w:rFonts w:ascii="Arial" w:hAnsi="Arial" w:cs="Arial"/>
          <w:sz w:val="20"/>
        </w:rPr>
      </w:pPr>
      <w:r w:rsidRPr="00787056">
        <w:rPr>
          <w:rFonts w:ascii="Arial" w:hAnsi="Arial" w:cs="Arial"/>
          <w:sz w:val="20"/>
        </w:rPr>
        <w:t>(2)</w:t>
      </w:r>
      <w:r>
        <w:rPr>
          <w:rFonts w:ascii="Arial" w:hAnsi="Arial" w:cs="Arial"/>
          <w:sz w:val="20"/>
        </w:rPr>
        <w:tab/>
      </w:r>
      <w:r w:rsidRPr="00787056">
        <w:rPr>
          <w:rFonts w:ascii="Arial" w:hAnsi="Arial" w:cs="Arial"/>
          <w:sz w:val="20"/>
        </w:rPr>
        <w:t>such evidence generally carries little weight.</w:t>
      </w:r>
    </w:p>
    <w:p w14:paraId="33B8832B" w14:textId="77777777" w:rsidR="008A225F" w:rsidRDefault="008A225F" w:rsidP="008A225F">
      <w:pPr>
        <w:ind w:left="567" w:right="567"/>
        <w:jc w:val="both"/>
        <w:rPr>
          <w:rFonts w:ascii="Arial" w:hAnsi="Arial" w:cs="Arial"/>
          <w:sz w:val="20"/>
        </w:rPr>
      </w:pPr>
      <w:r w:rsidRPr="00787056">
        <w:rPr>
          <w:rFonts w:ascii="Arial" w:hAnsi="Arial" w:cs="Arial"/>
          <w:sz w:val="20"/>
        </w:rPr>
        <w:t>As will be explained, there are no such reasons and a trial judge is not required to give such directions.</w:t>
      </w:r>
    </w:p>
    <w:p w14:paraId="488CD220" w14:textId="77777777" w:rsidR="008A225F" w:rsidRDefault="008A225F" w:rsidP="008A225F">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2</w:t>
      </w:r>
      <w:r>
        <w:rPr>
          <w:rFonts w:ascii="Arial" w:hAnsi="Arial" w:cs="Arial"/>
          <w:sz w:val="20"/>
        </w:rPr>
        <w:t>]</w:t>
      </w:r>
      <w:r w:rsidRPr="00787056">
        <w:rPr>
          <w:rFonts w:ascii="Arial" w:hAnsi="Arial" w:cs="Arial"/>
          <w:sz w:val="20"/>
        </w:rPr>
        <w:t xml:space="preserve"> The Court of Appeal was wrong to hold that such directions were required to be given by the trial judge to the jury in the trial of the respondent in the County Court of Victoria in which he was found guilty of two offences of incest contrary to s 44(2) of the </w:t>
      </w:r>
      <w:r w:rsidRPr="00C50E61">
        <w:rPr>
          <w:rFonts w:ascii="Arial" w:hAnsi="Arial" w:cs="Arial"/>
          <w:i/>
          <w:iCs/>
          <w:sz w:val="20"/>
        </w:rPr>
        <w:t>Crimes Act 1958</w:t>
      </w:r>
      <w:r w:rsidRPr="00787056">
        <w:rPr>
          <w:rFonts w:ascii="Arial" w:hAnsi="Arial" w:cs="Arial"/>
          <w:sz w:val="20"/>
        </w:rPr>
        <w:t xml:space="preserve"> (Vic) and, accordingly, was wrong to hold that the absence of such directions occasioned a substantial miscarriage of justice warranting the setting aside of his convictions for those offences under s 276 of the </w:t>
      </w:r>
      <w:r w:rsidRPr="00C50E61">
        <w:rPr>
          <w:rFonts w:ascii="Arial" w:hAnsi="Arial" w:cs="Arial"/>
          <w:i/>
          <w:iCs/>
          <w:sz w:val="20"/>
        </w:rPr>
        <w:t xml:space="preserve">Criminal Procedure Act 2009 </w:t>
      </w:r>
      <w:r w:rsidRPr="00787056">
        <w:rPr>
          <w:rFonts w:ascii="Arial" w:hAnsi="Arial" w:cs="Arial"/>
          <w:sz w:val="20"/>
        </w:rPr>
        <w:t>(Vic).</w:t>
      </w:r>
    </w:p>
    <w:p w14:paraId="5D65F6BB" w14:textId="77777777" w:rsidR="008A225F" w:rsidRDefault="008A225F" w:rsidP="008A225F">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3</w:t>
      </w:r>
      <w:r>
        <w:rPr>
          <w:rFonts w:ascii="Arial" w:hAnsi="Arial" w:cs="Arial"/>
          <w:sz w:val="20"/>
        </w:rPr>
        <w:t>]</w:t>
      </w:r>
      <w:r w:rsidRPr="00787056">
        <w:rPr>
          <w:rFonts w:ascii="Arial" w:hAnsi="Arial" w:cs="Arial"/>
          <w:sz w:val="20"/>
        </w:rPr>
        <w:t xml:space="preserve"> In a trial of a sexual offence in Victoria, evidence that a complainant was distressed at the time of making a pre-trial complaint is ordinarily relevant and admissible. It is relevant within the meaning of s 55 of the </w:t>
      </w:r>
      <w:r w:rsidRPr="00C50E61">
        <w:rPr>
          <w:rFonts w:ascii="Arial" w:hAnsi="Arial" w:cs="Arial"/>
          <w:i/>
          <w:iCs/>
          <w:sz w:val="20"/>
        </w:rPr>
        <w:t>Evidence Act</w:t>
      </w:r>
      <w:r w:rsidRPr="00787056">
        <w:rPr>
          <w:rFonts w:ascii="Arial" w:hAnsi="Arial" w:cs="Arial"/>
          <w:sz w:val="20"/>
        </w:rPr>
        <w:t xml:space="preserve"> on either or both of two bases: as evidence that, if accepted, could</w:t>
      </w:r>
      <w:r>
        <w:rPr>
          <w:rFonts w:ascii="Arial" w:hAnsi="Arial" w:cs="Arial"/>
          <w:sz w:val="20"/>
        </w:rPr>
        <w:t>–</w:t>
      </w:r>
    </w:p>
    <w:p w14:paraId="2BB74D5C" w14:textId="77777777" w:rsidR="008A225F" w:rsidRDefault="008A225F" w:rsidP="008A225F">
      <w:pPr>
        <w:pStyle w:val="ListParagraph"/>
        <w:numPr>
          <w:ilvl w:val="0"/>
          <w:numId w:val="154"/>
        </w:numPr>
        <w:ind w:left="924" w:right="567" w:hanging="357"/>
        <w:jc w:val="both"/>
        <w:rPr>
          <w:rFonts w:ascii="Arial" w:hAnsi="Arial" w:cs="Arial"/>
          <w:sz w:val="20"/>
        </w:rPr>
      </w:pPr>
      <w:r>
        <w:rPr>
          <w:rFonts w:ascii="Arial" w:hAnsi="Arial" w:cs="Arial"/>
          <w:sz w:val="20"/>
        </w:rPr>
        <w:t xml:space="preserve">first, </w:t>
      </w:r>
      <w:r w:rsidRPr="00787056">
        <w:rPr>
          <w:rFonts w:ascii="Arial" w:hAnsi="Arial" w:cs="Arial"/>
          <w:sz w:val="20"/>
        </w:rPr>
        <w:t xml:space="preserve">enhance the </w:t>
      </w:r>
      <w:r w:rsidRPr="00C50E61">
        <w:rPr>
          <w:rFonts w:ascii="Arial" w:hAnsi="Arial" w:cs="Arial"/>
          <w:i/>
          <w:iCs/>
          <w:sz w:val="20"/>
        </w:rPr>
        <w:t>credit</w:t>
      </w:r>
      <w:r w:rsidRPr="00787056">
        <w:rPr>
          <w:rFonts w:ascii="Arial" w:hAnsi="Arial" w:cs="Arial"/>
          <w:sz w:val="20"/>
        </w:rPr>
        <w:t xml:space="preserve"> of the complainant if</w:t>
      </w:r>
      <w:r>
        <w:rPr>
          <w:rFonts w:ascii="Arial" w:hAnsi="Arial" w:cs="Arial"/>
          <w:sz w:val="20"/>
        </w:rPr>
        <w:t xml:space="preserve"> </w:t>
      </w:r>
      <w:r w:rsidRPr="00C50E61">
        <w:rPr>
          <w:rFonts w:ascii="Arial" w:hAnsi="Arial" w:cs="Arial"/>
          <w:sz w:val="20"/>
        </w:rPr>
        <w:t>the jury were to find a causal connection between the distress and the making of the complaint</w:t>
      </w:r>
      <w:r>
        <w:rPr>
          <w:rFonts w:ascii="Arial" w:hAnsi="Arial" w:cs="Arial"/>
          <w:sz w:val="20"/>
        </w:rPr>
        <w:t xml:space="preserve"> [s.55(2)(a) of the </w:t>
      </w:r>
      <w:r w:rsidRPr="00C50E61">
        <w:rPr>
          <w:rFonts w:ascii="Arial" w:hAnsi="Arial" w:cs="Arial"/>
          <w:i/>
          <w:iCs/>
          <w:sz w:val="20"/>
        </w:rPr>
        <w:t>Evidence Act</w:t>
      </w:r>
      <w:r>
        <w:rPr>
          <w:rFonts w:ascii="Arial" w:hAnsi="Arial" w:cs="Arial"/>
          <w:sz w:val="20"/>
        </w:rPr>
        <w:t xml:space="preserve"> provides that evidence is not to be taken to be irrelevant only because it relates to the credibility of a witness]; and</w:t>
      </w:r>
    </w:p>
    <w:p w14:paraId="321F8BB4" w14:textId="77777777" w:rsidR="008A225F" w:rsidRDefault="008A225F" w:rsidP="008A225F">
      <w:pPr>
        <w:pStyle w:val="ListParagraph"/>
        <w:numPr>
          <w:ilvl w:val="0"/>
          <w:numId w:val="154"/>
        </w:numPr>
        <w:ind w:left="924" w:right="567" w:hanging="357"/>
        <w:jc w:val="both"/>
        <w:rPr>
          <w:rFonts w:ascii="Arial" w:hAnsi="Arial" w:cs="Arial"/>
          <w:sz w:val="20"/>
        </w:rPr>
      </w:pPr>
      <w:r w:rsidRPr="00C50E61">
        <w:rPr>
          <w:rFonts w:ascii="Arial" w:hAnsi="Arial" w:cs="Arial"/>
          <w:sz w:val="20"/>
        </w:rPr>
        <w:t xml:space="preserve">second, support the </w:t>
      </w:r>
      <w:r w:rsidRPr="00C50E61">
        <w:rPr>
          <w:rFonts w:ascii="Arial" w:hAnsi="Arial" w:cs="Arial"/>
          <w:i/>
          <w:iCs/>
          <w:sz w:val="20"/>
        </w:rPr>
        <w:t>occurrence</w:t>
      </w:r>
      <w:r w:rsidRPr="00C50E61">
        <w:rPr>
          <w:rFonts w:ascii="Arial" w:hAnsi="Arial" w:cs="Arial"/>
          <w:sz w:val="20"/>
        </w:rPr>
        <w:t xml:space="preserve"> of the offending if the jury were to find a causal connection between the distress and the offending.</w:t>
      </w:r>
    </w:p>
    <w:p w14:paraId="7F3F4497" w14:textId="77777777" w:rsidR="008A225F" w:rsidRPr="00C50E61" w:rsidRDefault="008A225F" w:rsidP="008A225F">
      <w:pPr>
        <w:ind w:left="567" w:right="567"/>
        <w:jc w:val="both"/>
        <w:rPr>
          <w:rFonts w:ascii="Arial" w:hAnsi="Arial" w:cs="Arial"/>
          <w:sz w:val="20"/>
        </w:rPr>
      </w:pPr>
      <w:r w:rsidRPr="00C50E61">
        <w:rPr>
          <w:rFonts w:ascii="Arial" w:hAnsi="Arial" w:cs="Arial"/>
          <w:sz w:val="20"/>
        </w:rPr>
        <w:t xml:space="preserve">On either basis, the evidence could rationally indirectly affect the assessment of the probability of the existence of a fact in issue – namely, whether the offending occurred – and is therefore relevant within the meaning of s 55. Consequently, it is admissible in a trial of a sexual offence under s 56 of the </w:t>
      </w:r>
      <w:r w:rsidRPr="00C50E61">
        <w:rPr>
          <w:rFonts w:ascii="Arial" w:hAnsi="Arial" w:cs="Arial"/>
          <w:i/>
          <w:iCs/>
          <w:sz w:val="20"/>
        </w:rPr>
        <w:t>Evidence Act</w:t>
      </w:r>
      <w:r>
        <w:rPr>
          <w:rFonts w:ascii="Arial" w:hAnsi="Arial" w:cs="Arial"/>
          <w:sz w:val="20"/>
        </w:rPr>
        <w:t xml:space="preserve"> subject to the potential for exclusion or </w:t>
      </w:r>
      <w:r>
        <w:rPr>
          <w:rFonts w:ascii="Arial" w:hAnsi="Arial" w:cs="Arial"/>
          <w:sz w:val="20"/>
        </w:rPr>
        <w:lastRenderedPageBreak/>
        <w:t xml:space="preserve">limitation in the circumstances of a particular case under ss.66, 135, 136 or 137 of the </w:t>
      </w:r>
      <w:r w:rsidRPr="00C50E61">
        <w:rPr>
          <w:rFonts w:ascii="Arial" w:hAnsi="Arial" w:cs="Arial"/>
          <w:i/>
          <w:iCs/>
          <w:sz w:val="20"/>
        </w:rPr>
        <w:t>Evidence Act</w:t>
      </w:r>
      <w:r>
        <w:rPr>
          <w:rFonts w:ascii="Arial" w:hAnsi="Arial" w:cs="Arial"/>
          <w:sz w:val="20"/>
        </w:rPr>
        <w:t>.</w:t>
      </w:r>
    </w:p>
    <w:p w14:paraId="39374AA5" w14:textId="77777777" w:rsidR="008A225F" w:rsidRDefault="008A225F" w:rsidP="008A225F">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4</w:t>
      </w:r>
      <w:r>
        <w:rPr>
          <w:rFonts w:ascii="Arial" w:hAnsi="Arial" w:cs="Arial"/>
          <w:sz w:val="20"/>
        </w:rPr>
        <w:t>]</w:t>
      </w:r>
      <w:r w:rsidRPr="00787056">
        <w:rPr>
          <w:rFonts w:ascii="Arial" w:hAnsi="Arial" w:cs="Arial"/>
          <w:sz w:val="20"/>
        </w:rPr>
        <w:t xml:space="preserve"> Evidence that a complainant was distressed at the time of making a pre-trial complaint is not evidence </w:t>
      </w:r>
      <w:r>
        <w:rPr>
          <w:rFonts w:ascii="Arial" w:hAnsi="Arial" w:cs="Arial"/>
          <w:sz w:val="20"/>
        </w:rPr>
        <w:t>‘</w:t>
      </w:r>
      <w:r w:rsidRPr="00787056">
        <w:rPr>
          <w:rFonts w:ascii="Arial" w:hAnsi="Arial" w:cs="Arial"/>
          <w:sz w:val="20"/>
        </w:rPr>
        <w:t>of a kind that may be unreliable</w:t>
      </w:r>
      <w:r>
        <w:rPr>
          <w:rFonts w:ascii="Arial" w:hAnsi="Arial" w:cs="Arial"/>
          <w:sz w:val="20"/>
        </w:rPr>
        <w:t>’</w:t>
      </w:r>
      <w:r w:rsidRPr="00787056">
        <w:rPr>
          <w:rFonts w:ascii="Arial" w:hAnsi="Arial" w:cs="Arial"/>
          <w:sz w:val="20"/>
        </w:rPr>
        <w:t xml:space="preserve"> under </w:t>
      </w:r>
      <w:r>
        <w:rPr>
          <w:rFonts w:ascii="Arial" w:hAnsi="Arial" w:cs="Arial"/>
          <w:sz w:val="20"/>
        </w:rPr>
        <w:t xml:space="preserve">s.31 of </w:t>
      </w:r>
      <w:r w:rsidRPr="00787056">
        <w:rPr>
          <w:rFonts w:ascii="Arial" w:hAnsi="Arial" w:cs="Arial"/>
          <w:sz w:val="20"/>
        </w:rPr>
        <w:t xml:space="preserve">the </w:t>
      </w:r>
      <w:r w:rsidRPr="00C50E61">
        <w:rPr>
          <w:rFonts w:ascii="Arial" w:hAnsi="Arial" w:cs="Arial"/>
          <w:sz w:val="20"/>
        </w:rPr>
        <w:t>JDA.</w:t>
      </w:r>
      <w:r w:rsidRPr="00787056">
        <w:rPr>
          <w:rFonts w:ascii="Arial" w:hAnsi="Arial" w:cs="Arial"/>
          <w:sz w:val="20"/>
        </w:rPr>
        <w:t xml:space="preserve"> Therefore, the </w:t>
      </w:r>
      <w:r w:rsidRPr="00C50E61">
        <w:rPr>
          <w:rFonts w:ascii="Arial" w:hAnsi="Arial" w:cs="Arial"/>
          <w:sz w:val="20"/>
        </w:rPr>
        <w:t xml:space="preserve">JDA </w:t>
      </w:r>
      <w:r w:rsidRPr="00787056">
        <w:rPr>
          <w:rFonts w:ascii="Arial" w:hAnsi="Arial" w:cs="Arial"/>
          <w:sz w:val="20"/>
        </w:rPr>
        <w:t xml:space="preserve">does not permit a prosecutor or defence counsel to request the trial judge to direct the jury that such evidence is </w:t>
      </w:r>
      <w:r>
        <w:rPr>
          <w:rFonts w:ascii="Arial" w:hAnsi="Arial" w:cs="Arial"/>
          <w:sz w:val="20"/>
        </w:rPr>
        <w:t>‘</w:t>
      </w:r>
      <w:r w:rsidRPr="00787056">
        <w:rPr>
          <w:rFonts w:ascii="Arial" w:hAnsi="Arial" w:cs="Arial"/>
          <w:sz w:val="20"/>
        </w:rPr>
        <w:t>of a kind that may be unreliable</w:t>
      </w:r>
      <w:r>
        <w:rPr>
          <w:rFonts w:ascii="Arial" w:hAnsi="Arial" w:cs="Arial"/>
          <w:sz w:val="20"/>
        </w:rPr>
        <w:t xml:space="preserve">’: see s.34(1) of the JDA read with ss.32, 12 &amp; 14. </w:t>
      </w:r>
      <w:r w:rsidRPr="00787056">
        <w:rPr>
          <w:rFonts w:ascii="Arial" w:hAnsi="Arial" w:cs="Arial"/>
          <w:sz w:val="20"/>
        </w:rPr>
        <w:t>Any rule of the common law to the contrary is abolished</w:t>
      </w:r>
      <w:r>
        <w:rPr>
          <w:rFonts w:ascii="Arial" w:hAnsi="Arial" w:cs="Arial"/>
          <w:sz w:val="20"/>
        </w:rPr>
        <w:t>: s.34(2) of the JDA</w:t>
      </w:r>
      <w:r w:rsidRPr="00787056">
        <w:rPr>
          <w:rFonts w:ascii="Arial" w:hAnsi="Arial" w:cs="Arial"/>
          <w:sz w:val="20"/>
        </w:rPr>
        <w:t>.</w:t>
      </w:r>
      <w:r>
        <w:rPr>
          <w:rFonts w:ascii="Arial" w:hAnsi="Arial" w:cs="Arial"/>
          <w:sz w:val="20"/>
        </w:rPr>
        <w:t xml:space="preserve"> </w:t>
      </w:r>
      <w:r w:rsidRPr="00787056">
        <w:rPr>
          <w:rFonts w:ascii="Arial" w:hAnsi="Arial" w:cs="Arial"/>
          <w:sz w:val="20"/>
        </w:rPr>
        <w:t>Where that evidence is admitted as indirect or circumstantial evidence of the offending conduct, it is for the jury to determine whether to accept the evidence and the weight to be given to that evidence. The use of such evidence as indirect or circumstantial evidence can be addressed by appropriate general directions as to the drawing of conclusions and the distinction between direct and circumstantial evidence. Where there is no request for such a direction, then the trial judge is only obliged to so direct a jury if the trial judge considers there are substantial and compelling reasons for doing so in the particular case</w:t>
      </w:r>
      <w:r>
        <w:rPr>
          <w:rFonts w:ascii="Arial" w:hAnsi="Arial" w:cs="Arial"/>
          <w:sz w:val="20"/>
        </w:rPr>
        <w:t>: s.16 of the JDA.”</w:t>
      </w:r>
    </w:p>
    <w:bookmarkEnd w:id="623"/>
    <w:p w14:paraId="7D07E9D8" w14:textId="77777777" w:rsidR="008A225F" w:rsidRDefault="008A225F" w:rsidP="008A225F">
      <w:pPr>
        <w:jc w:val="both"/>
        <w:rPr>
          <w:rFonts w:ascii="Arial" w:hAnsi="Arial" w:cs="Arial"/>
          <w:sz w:val="20"/>
        </w:rPr>
      </w:pPr>
    </w:p>
    <w:p w14:paraId="0B0BE402" w14:textId="1937641A" w:rsidR="0058227C" w:rsidRDefault="00871A33" w:rsidP="008A225F">
      <w:pPr>
        <w:jc w:val="both"/>
        <w:rPr>
          <w:rFonts w:ascii="Arial" w:hAnsi="Arial" w:cs="Arial"/>
          <w:sz w:val="20"/>
        </w:rPr>
      </w:pPr>
      <w:r>
        <w:rPr>
          <w:rFonts w:ascii="Arial" w:hAnsi="Arial" w:cs="Arial"/>
          <w:sz w:val="20"/>
        </w:rPr>
        <w:t xml:space="preserve">In </w:t>
      </w:r>
      <w:r w:rsidRPr="00FB1B56">
        <w:rPr>
          <w:rFonts w:ascii="Arial" w:hAnsi="Arial" w:cs="Arial"/>
          <w:i/>
          <w:iCs/>
          <w:sz w:val="20"/>
        </w:rPr>
        <w:t>Tsalkos v The King</w:t>
      </w:r>
      <w:r>
        <w:rPr>
          <w:rFonts w:ascii="Arial" w:hAnsi="Arial" w:cs="Arial"/>
          <w:sz w:val="20"/>
        </w:rPr>
        <w:t xml:space="preserve"> [2024] VSCA 324 </w:t>
      </w:r>
      <w:r w:rsidR="0058227C" w:rsidRPr="00614EE8">
        <w:rPr>
          <w:rFonts w:ascii="Arial" w:hAnsi="Arial" w:cs="Arial"/>
          <w:sz w:val="20"/>
        </w:rPr>
        <w:t xml:space="preserve">the respondent </w:t>
      </w:r>
      <w:r w:rsidR="0058227C">
        <w:rPr>
          <w:rFonts w:ascii="Arial" w:hAnsi="Arial" w:cs="Arial"/>
          <w:sz w:val="20"/>
        </w:rPr>
        <w:t>had been</w:t>
      </w:r>
      <w:r w:rsidR="0058227C" w:rsidRPr="00614EE8">
        <w:rPr>
          <w:rFonts w:ascii="Arial" w:hAnsi="Arial" w:cs="Arial"/>
          <w:sz w:val="20"/>
        </w:rPr>
        <w:t xml:space="preserve"> found guilty by a jury </w:t>
      </w:r>
      <w:r>
        <w:rPr>
          <w:rFonts w:ascii="Arial" w:hAnsi="Arial" w:cs="Arial"/>
          <w:sz w:val="20"/>
        </w:rPr>
        <w:t xml:space="preserve">in the County Court of Victoria </w:t>
      </w:r>
      <w:r w:rsidR="0058227C" w:rsidRPr="00614EE8">
        <w:rPr>
          <w:rFonts w:ascii="Arial" w:hAnsi="Arial" w:cs="Arial"/>
          <w:sz w:val="20"/>
        </w:rPr>
        <w:t>of two charges of kidnapping and two charges of rape with aggravating circumstances of two female complainants, AB and JJ. The respondent was also found guilty of four charges of procuring or inciting the commission of an act of gross indecency with a person under the age of 16 years, 3 each committed against JJ. AB and JJ were 16 years and 15 years of age respectively at the time of the offences. The respondent was sentenced to a substantial term of imprisonment.</w:t>
      </w:r>
    </w:p>
    <w:p w14:paraId="5D3E488A" w14:textId="5E85A16D" w:rsidR="0058227C" w:rsidRDefault="0058227C" w:rsidP="0058227C">
      <w:pPr>
        <w:spacing w:before="120"/>
        <w:jc w:val="both"/>
        <w:rPr>
          <w:rFonts w:ascii="Arial" w:hAnsi="Arial" w:cs="Arial"/>
          <w:sz w:val="20"/>
        </w:rPr>
      </w:pPr>
      <w:r w:rsidRPr="00614EE8">
        <w:rPr>
          <w:rFonts w:ascii="Arial" w:hAnsi="Arial" w:cs="Arial"/>
          <w:sz w:val="20"/>
        </w:rPr>
        <w:t>The respondent applied for leave to appeal against conviction and sentence.</w:t>
      </w:r>
      <w:r>
        <w:rPr>
          <w:rFonts w:ascii="Arial" w:hAnsi="Arial" w:cs="Arial"/>
          <w:sz w:val="20"/>
        </w:rPr>
        <w:t xml:space="preserve"> </w:t>
      </w:r>
      <w:r w:rsidR="00D75146">
        <w:rPr>
          <w:rFonts w:ascii="Arial" w:hAnsi="Arial" w:cs="Arial"/>
          <w:sz w:val="20"/>
        </w:rPr>
        <w:t>At [6]-[7] the Court of Appeal noted that t</w:t>
      </w:r>
      <w:r>
        <w:rPr>
          <w:rFonts w:ascii="Arial" w:hAnsi="Arial" w:cs="Arial"/>
          <w:sz w:val="20"/>
        </w:rPr>
        <w:t xml:space="preserve">he </w:t>
      </w:r>
      <w:r w:rsidR="00D75146">
        <w:rPr>
          <w:rFonts w:ascii="Arial" w:hAnsi="Arial" w:cs="Arial"/>
          <w:sz w:val="20"/>
        </w:rPr>
        <w:t xml:space="preserve">conviction </w:t>
      </w:r>
      <w:r w:rsidR="00B20376">
        <w:rPr>
          <w:rFonts w:ascii="Arial" w:hAnsi="Arial" w:cs="Arial"/>
          <w:sz w:val="20"/>
        </w:rPr>
        <w:t>appeal</w:t>
      </w:r>
      <w:r w:rsidRPr="00614EE8">
        <w:rPr>
          <w:rFonts w:ascii="Arial" w:hAnsi="Arial" w:cs="Arial"/>
          <w:sz w:val="20"/>
        </w:rPr>
        <w:t xml:space="preserve"> </w:t>
      </w:r>
      <w:r>
        <w:rPr>
          <w:rFonts w:ascii="Arial" w:hAnsi="Arial" w:cs="Arial"/>
          <w:sz w:val="20"/>
        </w:rPr>
        <w:t>involved</w:t>
      </w:r>
      <w:r w:rsidRPr="00FB1B56">
        <w:rPr>
          <w:rFonts w:ascii="Arial" w:hAnsi="Arial" w:cs="Arial"/>
          <w:sz w:val="20"/>
        </w:rPr>
        <w:t xml:space="preserve"> the admissibility of evidence of the distress of</w:t>
      </w:r>
      <w:r>
        <w:rPr>
          <w:rFonts w:ascii="Arial" w:hAnsi="Arial" w:cs="Arial"/>
          <w:sz w:val="20"/>
        </w:rPr>
        <w:t xml:space="preserve"> </w:t>
      </w:r>
      <w:r w:rsidRPr="00FB1B56">
        <w:rPr>
          <w:rFonts w:ascii="Arial" w:hAnsi="Arial" w:cs="Arial"/>
          <w:sz w:val="20"/>
        </w:rPr>
        <w:t xml:space="preserve">complainant </w:t>
      </w:r>
      <w:r>
        <w:rPr>
          <w:rFonts w:ascii="Arial" w:hAnsi="Arial" w:cs="Arial"/>
          <w:sz w:val="20"/>
        </w:rPr>
        <w:t xml:space="preserve">AB </w:t>
      </w:r>
      <w:r w:rsidRPr="00FB1B56">
        <w:rPr>
          <w:rFonts w:ascii="Arial" w:hAnsi="Arial" w:cs="Arial"/>
          <w:sz w:val="20"/>
        </w:rPr>
        <w:t>and the directions which should be given to a jury in respect of such evidence</w:t>
      </w:r>
      <w:r>
        <w:rPr>
          <w:rFonts w:ascii="Arial" w:hAnsi="Arial" w:cs="Arial"/>
          <w:sz w:val="20"/>
        </w:rPr>
        <w:t>. AB’s mother had given evidence – referred to in the judgments as ‘</w:t>
      </w:r>
      <w:r w:rsidRPr="00D604AC">
        <w:rPr>
          <w:rFonts w:ascii="Arial" w:hAnsi="Arial" w:cs="Arial"/>
          <w:b/>
          <w:bCs/>
          <w:sz w:val="20"/>
        </w:rPr>
        <w:t>distress evidence</w:t>
      </w:r>
      <w:r>
        <w:rPr>
          <w:rFonts w:ascii="Arial" w:hAnsi="Arial" w:cs="Arial"/>
          <w:sz w:val="20"/>
        </w:rPr>
        <w:t xml:space="preserve">’ – about what she observed of AB’s demeanour when she attended a hospital to </w:t>
      </w:r>
      <w:r w:rsidRPr="00FB1B56">
        <w:rPr>
          <w:rFonts w:ascii="Arial" w:hAnsi="Arial" w:cs="Arial"/>
          <w:sz w:val="20"/>
        </w:rPr>
        <w:t xml:space="preserve">offer support to AB in the morning after the night on which the alleged offences occurred. </w:t>
      </w:r>
      <w:r>
        <w:rPr>
          <w:rFonts w:ascii="Arial" w:hAnsi="Arial" w:cs="Arial"/>
          <w:sz w:val="20"/>
        </w:rPr>
        <w:t xml:space="preserve">The mother said that she </w:t>
      </w:r>
      <w:r w:rsidR="002C30B4">
        <w:rPr>
          <w:rFonts w:ascii="Arial" w:hAnsi="Arial" w:cs="Arial"/>
          <w:sz w:val="20"/>
        </w:rPr>
        <w:t>“</w:t>
      </w:r>
      <w:r w:rsidRPr="00FB1B56">
        <w:rPr>
          <w:rFonts w:ascii="Arial" w:hAnsi="Arial" w:cs="Arial"/>
          <w:sz w:val="20"/>
        </w:rPr>
        <w:t xml:space="preserve">walked into the cubicle and saw AB on the bed ‘very </w:t>
      </w:r>
      <w:proofErr w:type="spellStart"/>
      <w:r w:rsidRPr="00FB1B56">
        <w:rPr>
          <w:rFonts w:ascii="Arial" w:hAnsi="Arial" w:cs="Arial"/>
          <w:sz w:val="20"/>
        </w:rPr>
        <w:t>very</w:t>
      </w:r>
      <w:proofErr w:type="spellEnd"/>
      <w:r w:rsidRPr="00FB1B56">
        <w:rPr>
          <w:rFonts w:ascii="Arial" w:hAnsi="Arial" w:cs="Arial"/>
          <w:sz w:val="20"/>
        </w:rPr>
        <w:t xml:space="preserve"> distressed’. AB ‘was very </w:t>
      </w:r>
      <w:proofErr w:type="spellStart"/>
      <w:r w:rsidRPr="00FB1B56">
        <w:rPr>
          <w:rFonts w:ascii="Arial" w:hAnsi="Arial" w:cs="Arial"/>
          <w:sz w:val="20"/>
        </w:rPr>
        <w:t>very</w:t>
      </w:r>
      <w:proofErr w:type="spellEnd"/>
      <w:r w:rsidRPr="00FB1B56">
        <w:rPr>
          <w:rFonts w:ascii="Arial" w:hAnsi="Arial" w:cs="Arial"/>
          <w:sz w:val="20"/>
        </w:rPr>
        <w:t xml:space="preserve"> upset and very emotional’</w:t>
      </w:r>
      <w:r w:rsidR="002C30B4">
        <w:rPr>
          <w:rFonts w:ascii="Arial" w:hAnsi="Arial" w:cs="Arial"/>
          <w:sz w:val="20"/>
        </w:rPr>
        <w:t>…</w:t>
      </w:r>
      <w:r w:rsidRPr="00FB1B56">
        <w:rPr>
          <w:rFonts w:ascii="Arial" w:hAnsi="Arial" w:cs="Arial"/>
          <w:sz w:val="20"/>
        </w:rPr>
        <w:t>AB told her mother that she had been raped, that she was with a friend, and that they got into a car with a man before he raped both of them. They were very frightened because he threatened them and he had a knife</w:t>
      </w:r>
      <w:r w:rsidR="00727523">
        <w:rPr>
          <w:rFonts w:ascii="Arial" w:hAnsi="Arial" w:cs="Arial"/>
          <w:sz w:val="20"/>
        </w:rPr>
        <w:t>.</w:t>
      </w:r>
      <w:r w:rsidR="00D75146">
        <w:rPr>
          <w:rFonts w:ascii="Arial" w:hAnsi="Arial" w:cs="Arial"/>
          <w:sz w:val="20"/>
        </w:rPr>
        <w:t>”</w:t>
      </w:r>
    </w:p>
    <w:p w14:paraId="1BEA16CC" w14:textId="456954FB" w:rsidR="00C72113" w:rsidRDefault="00C72113" w:rsidP="0058227C">
      <w:pPr>
        <w:spacing w:before="120"/>
        <w:jc w:val="both"/>
        <w:rPr>
          <w:rFonts w:ascii="Arial" w:hAnsi="Arial" w:cs="Arial"/>
          <w:sz w:val="20"/>
        </w:rPr>
      </w:pPr>
      <w:r>
        <w:rPr>
          <w:rFonts w:ascii="Arial" w:hAnsi="Arial" w:cs="Arial"/>
          <w:sz w:val="20"/>
        </w:rPr>
        <w:t>In their joint judgment at [8]-[10] Emerton P, McLeish &amp; Boyce JJA noted:</w:t>
      </w:r>
    </w:p>
    <w:p w14:paraId="5CBFAC3A" w14:textId="6F30BE1A" w:rsidR="00C72113" w:rsidRDefault="00C72113" w:rsidP="00C72113">
      <w:pPr>
        <w:spacing w:before="60"/>
        <w:ind w:left="924" w:right="567" w:hanging="357"/>
        <w:jc w:val="both"/>
        <w:rPr>
          <w:rFonts w:ascii="Arial" w:hAnsi="Arial" w:cs="Arial"/>
          <w:sz w:val="20"/>
        </w:rPr>
      </w:pPr>
      <w:r>
        <w:rPr>
          <w:rFonts w:ascii="Arial" w:hAnsi="Arial" w:cs="Arial"/>
          <w:sz w:val="20"/>
        </w:rPr>
        <w:t>[8]</w:t>
      </w:r>
      <w:r>
        <w:rPr>
          <w:rFonts w:ascii="Arial" w:hAnsi="Arial" w:cs="Arial"/>
          <w:sz w:val="20"/>
        </w:rPr>
        <w:tab/>
        <w:t>“The distress evidence, and the circumstances and manner in which it was left to be used by the jury, is amply described in the judgments of Priest JA and Niall JA. In short:</w:t>
      </w:r>
    </w:p>
    <w:p w14:paraId="403F0ABB" w14:textId="77777777" w:rsidR="00C72113"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There was no dispute that the distress evidence was admissible as part of the context in which AB complained to her mother about having been raped.</w:t>
      </w:r>
    </w:p>
    <w:p w14:paraId="4D8B83B8" w14:textId="77777777" w:rsidR="00C72113"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However, the prosecutor told the jury in his closing address that they could use the distress evidence as ‘independent’ evidence of the events alleged by AB.</w:t>
      </w:r>
    </w:p>
    <w:p w14:paraId="7C49173C" w14:textId="77777777" w:rsidR="00C72113"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In her charge, the judge recorded that the prosecution had invited the jury to use the distress evidence as indirect or circumstantial evidence supporting the case that AB and JJ did not consent to the sexual penetration.</w:t>
      </w:r>
    </w:p>
    <w:p w14:paraId="1B0D607F" w14:textId="18548E81" w:rsidR="00C72113" w:rsidRPr="00CF787A"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The judge gave the jury a direction on distress, leaving it to the jury to determine whether AB’s distress was because she had been raped or for some other reason. Her Honour warned the jury that they could not use AB’s distress as indirect evidence supporting the charges unless satisfied that AB was distressed because of the alleged sexual offending and not for some other reason.</w:t>
      </w:r>
    </w:p>
    <w:p w14:paraId="42AA1B30" w14:textId="65A10950" w:rsidR="00C72113" w:rsidRDefault="00C72113" w:rsidP="00C72113">
      <w:pPr>
        <w:spacing w:before="60"/>
        <w:ind w:left="924" w:right="567" w:hanging="357"/>
        <w:jc w:val="both"/>
        <w:rPr>
          <w:rFonts w:ascii="Arial" w:hAnsi="Arial" w:cs="Arial"/>
          <w:sz w:val="20"/>
        </w:rPr>
      </w:pPr>
      <w:r>
        <w:rPr>
          <w:rFonts w:ascii="Arial" w:hAnsi="Arial" w:cs="Arial"/>
          <w:sz w:val="20"/>
        </w:rPr>
        <w:t>[9]</w:t>
      </w:r>
      <w:r>
        <w:rPr>
          <w:rFonts w:ascii="Arial" w:hAnsi="Arial" w:cs="Arial"/>
          <w:sz w:val="20"/>
        </w:rPr>
        <w:tab/>
      </w:r>
      <w:r w:rsidRPr="00C72113">
        <w:rPr>
          <w:rFonts w:ascii="Arial" w:hAnsi="Arial" w:cs="Arial"/>
          <w:sz w:val="20"/>
        </w:rPr>
        <w:t>We understand the terms ‘independent’, ‘indirect’ and ‘circumstantial’ to be used interchangeably and to mean the same as ‘corroborative’, that is, evidence of the events alleged that is independent of the complainant and, in this case, the accompanying complaint to the mother.</w:t>
      </w:r>
    </w:p>
    <w:p w14:paraId="0AD18A4A" w14:textId="7F193C51" w:rsidR="00C72113" w:rsidRDefault="00C72113" w:rsidP="00C72113">
      <w:pPr>
        <w:spacing w:before="60"/>
        <w:ind w:left="924" w:right="567" w:hanging="357"/>
        <w:jc w:val="both"/>
        <w:rPr>
          <w:rFonts w:ascii="Arial" w:hAnsi="Arial" w:cs="Arial"/>
          <w:sz w:val="20"/>
        </w:rPr>
      </w:pPr>
      <w:r>
        <w:rPr>
          <w:rFonts w:ascii="Arial" w:hAnsi="Arial" w:cs="Arial"/>
          <w:sz w:val="20"/>
        </w:rPr>
        <w:t>[10]</w:t>
      </w:r>
      <w:r>
        <w:rPr>
          <w:rFonts w:ascii="Arial" w:hAnsi="Arial" w:cs="Arial"/>
          <w:sz w:val="20"/>
        </w:rPr>
        <w:tab/>
      </w:r>
      <w:r w:rsidRPr="00C72113">
        <w:rPr>
          <w:rFonts w:ascii="Arial" w:hAnsi="Arial" w:cs="Arial"/>
          <w:sz w:val="20"/>
        </w:rPr>
        <w:t>We agree with Priest JA that, having regard to the circumstances in which AB’s distress was observed, the distress evidence was not capable of being used by the jury as ‘independent’, ‘indirect’ or ‘circumstantial’ evidence of the events alleged by AB (as opposed to evidence of the context in which the complaint was made to the mother). Nonetheless, the jury was invited to do so by the prosecution and the judge left it to the jury to decide whether it was open for it to do so.</w:t>
      </w:r>
      <w:r>
        <w:rPr>
          <w:rFonts w:ascii="Arial" w:hAnsi="Arial" w:cs="Arial"/>
          <w:sz w:val="20"/>
        </w:rPr>
        <w:t>”</w:t>
      </w:r>
    </w:p>
    <w:p w14:paraId="048B5C56" w14:textId="43BEF3BD" w:rsidR="00B20376" w:rsidRDefault="001456E1" w:rsidP="00B20376">
      <w:pPr>
        <w:spacing w:before="60"/>
        <w:jc w:val="both"/>
        <w:rPr>
          <w:rFonts w:ascii="Arial" w:hAnsi="Arial" w:cs="Arial"/>
          <w:sz w:val="20"/>
        </w:rPr>
      </w:pPr>
      <w:r>
        <w:rPr>
          <w:rFonts w:ascii="Arial" w:hAnsi="Arial" w:cs="Arial"/>
          <w:sz w:val="20"/>
        </w:rPr>
        <w:t>In a joint judgment in</w:t>
      </w:r>
      <w:r w:rsidR="00871A33">
        <w:rPr>
          <w:rFonts w:ascii="Arial" w:hAnsi="Arial" w:cs="Arial"/>
          <w:sz w:val="20"/>
        </w:rPr>
        <w:t xml:space="preserve"> </w:t>
      </w:r>
      <w:r w:rsidR="00871A33" w:rsidRPr="00614EE8">
        <w:rPr>
          <w:rFonts w:ascii="Arial" w:hAnsi="Arial" w:cs="Arial"/>
          <w:i/>
          <w:iCs/>
          <w:sz w:val="20"/>
        </w:rPr>
        <w:t>The King v Tsalkos</w:t>
      </w:r>
      <w:r w:rsidR="00871A33" w:rsidRPr="00614EE8">
        <w:rPr>
          <w:rFonts w:ascii="Arial" w:hAnsi="Arial" w:cs="Arial"/>
          <w:sz w:val="20"/>
        </w:rPr>
        <w:t xml:space="preserve"> [2025] HCA 49</w:t>
      </w:r>
      <w:r w:rsidR="00871A33">
        <w:rPr>
          <w:rFonts w:ascii="Arial" w:hAnsi="Arial" w:cs="Arial"/>
          <w:sz w:val="20"/>
        </w:rPr>
        <w:t xml:space="preserve"> the High Court allowed the Crown appeal and </w:t>
      </w:r>
      <w:r w:rsidR="00871A33" w:rsidRPr="008060F5">
        <w:rPr>
          <w:rFonts w:ascii="Arial" w:hAnsi="Arial" w:cs="Arial"/>
          <w:sz w:val="20"/>
        </w:rPr>
        <w:t>order</w:t>
      </w:r>
      <w:r w:rsidR="00871A33">
        <w:rPr>
          <w:rFonts w:ascii="Arial" w:hAnsi="Arial" w:cs="Arial"/>
          <w:sz w:val="20"/>
        </w:rPr>
        <w:t>ed</w:t>
      </w:r>
      <w:r w:rsidR="00871A33" w:rsidRPr="008060F5">
        <w:rPr>
          <w:rFonts w:ascii="Arial" w:hAnsi="Arial" w:cs="Arial"/>
          <w:sz w:val="20"/>
        </w:rPr>
        <w:t xml:space="preserve"> that</w:t>
      </w:r>
      <w:r w:rsidR="00B20376">
        <w:rPr>
          <w:rFonts w:ascii="Arial" w:hAnsi="Arial" w:cs="Arial"/>
          <w:sz w:val="20"/>
        </w:rPr>
        <w:t>–</w:t>
      </w:r>
    </w:p>
    <w:p w14:paraId="21B54FC9" w14:textId="77777777" w:rsidR="00B20376" w:rsidRDefault="00B20376" w:rsidP="00F11BDE">
      <w:pPr>
        <w:pStyle w:val="ListParagraph"/>
        <w:keepNext/>
        <w:keepLines/>
        <w:numPr>
          <w:ilvl w:val="0"/>
          <w:numId w:val="154"/>
        </w:numPr>
        <w:ind w:left="357" w:hanging="357"/>
        <w:jc w:val="both"/>
        <w:rPr>
          <w:rFonts w:ascii="Arial" w:hAnsi="Arial" w:cs="Arial"/>
          <w:sz w:val="20"/>
        </w:rPr>
      </w:pPr>
      <w:r>
        <w:rPr>
          <w:rFonts w:ascii="Arial" w:hAnsi="Arial" w:cs="Arial"/>
          <w:sz w:val="20"/>
        </w:rPr>
        <w:lastRenderedPageBreak/>
        <w:t>t</w:t>
      </w:r>
      <w:r w:rsidR="00871A33" w:rsidRPr="008060F5">
        <w:rPr>
          <w:rFonts w:ascii="Arial" w:hAnsi="Arial" w:cs="Arial"/>
          <w:sz w:val="20"/>
        </w:rPr>
        <w:t xml:space="preserve">he </w:t>
      </w:r>
      <w:r>
        <w:rPr>
          <w:rFonts w:ascii="Arial" w:hAnsi="Arial" w:cs="Arial"/>
          <w:sz w:val="20"/>
        </w:rPr>
        <w:t xml:space="preserve">respondent’s </w:t>
      </w:r>
      <w:r w:rsidR="00871A33" w:rsidRPr="008060F5">
        <w:rPr>
          <w:rFonts w:ascii="Arial" w:hAnsi="Arial" w:cs="Arial"/>
          <w:sz w:val="20"/>
        </w:rPr>
        <w:t>appeal against conviction to th</w:t>
      </w:r>
      <w:r w:rsidR="00871A33">
        <w:rPr>
          <w:rFonts w:ascii="Arial" w:hAnsi="Arial" w:cs="Arial"/>
          <w:sz w:val="20"/>
        </w:rPr>
        <w:t>e</w:t>
      </w:r>
      <w:r w:rsidR="00871A33" w:rsidRPr="008060F5">
        <w:rPr>
          <w:rFonts w:ascii="Arial" w:hAnsi="Arial" w:cs="Arial"/>
          <w:sz w:val="20"/>
        </w:rPr>
        <w:t xml:space="preserve"> Court </w:t>
      </w:r>
      <w:r w:rsidR="00871A33">
        <w:rPr>
          <w:rFonts w:ascii="Arial" w:hAnsi="Arial" w:cs="Arial"/>
          <w:sz w:val="20"/>
        </w:rPr>
        <w:t xml:space="preserve">of Appeal </w:t>
      </w:r>
      <w:r w:rsidR="00871A33" w:rsidRPr="008060F5">
        <w:rPr>
          <w:rFonts w:ascii="Arial" w:hAnsi="Arial" w:cs="Arial"/>
          <w:sz w:val="20"/>
        </w:rPr>
        <w:t>be dismissed</w:t>
      </w:r>
      <w:r>
        <w:rPr>
          <w:rFonts w:ascii="Arial" w:hAnsi="Arial" w:cs="Arial"/>
          <w:sz w:val="20"/>
        </w:rPr>
        <w:t>;</w:t>
      </w:r>
    </w:p>
    <w:p w14:paraId="4D139EBF" w14:textId="742ECD49" w:rsidR="00B20376" w:rsidRDefault="00B20376" w:rsidP="00B20376">
      <w:pPr>
        <w:pStyle w:val="ListParagraph"/>
        <w:numPr>
          <w:ilvl w:val="0"/>
          <w:numId w:val="154"/>
        </w:numPr>
        <w:ind w:left="357" w:hanging="357"/>
        <w:jc w:val="both"/>
        <w:rPr>
          <w:rFonts w:ascii="Arial" w:hAnsi="Arial" w:cs="Arial"/>
          <w:sz w:val="20"/>
        </w:rPr>
      </w:pPr>
      <w:r>
        <w:rPr>
          <w:rFonts w:ascii="Arial" w:hAnsi="Arial" w:cs="Arial"/>
          <w:sz w:val="20"/>
        </w:rPr>
        <w:t>the respondent’s application for leave to appeal against sentence be remitted to the Court of Appeal for determination.</w:t>
      </w:r>
    </w:p>
    <w:p w14:paraId="5776559A" w14:textId="336A447D" w:rsidR="001456E1" w:rsidRDefault="001456E1" w:rsidP="001456E1">
      <w:pPr>
        <w:spacing w:before="60"/>
        <w:jc w:val="both"/>
        <w:rPr>
          <w:rFonts w:ascii="Arial" w:hAnsi="Arial" w:cs="Arial"/>
          <w:sz w:val="20"/>
        </w:rPr>
      </w:pPr>
      <w:r>
        <w:rPr>
          <w:rFonts w:ascii="Arial" w:hAnsi="Arial" w:cs="Arial"/>
          <w:sz w:val="20"/>
        </w:rPr>
        <w:t>At [2]-[3] G</w:t>
      </w:r>
      <w:r w:rsidRPr="00614EE8">
        <w:rPr>
          <w:rFonts w:ascii="Arial" w:hAnsi="Arial" w:cs="Arial"/>
          <w:sz w:val="20"/>
        </w:rPr>
        <w:t xml:space="preserve">ageler </w:t>
      </w:r>
      <w:r>
        <w:rPr>
          <w:rFonts w:ascii="Arial" w:hAnsi="Arial" w:cs="Arial"/>
          <w:sz w:val="20"/>
        </w:rPr>
        <w:t>CJ</w:t>
      </w:r>
      <w:r w:rsidRPr="00614EE8">
        <w:rPr>
          <w:rFonts w:ascii="Arial" w:hAnsi="Arial" w:cs="Arial"/>
          <w:sz w:val="20"/>
        </w:rPr>
        <w:t xml:space="preserve">, </w:t>
      </w:r>
      <w:r>
        <w:rPr>
          <w:rFonts w:ascii="Arial" w:hAnsi="Arial" w:cs="Arial"/>
          <w:sz w:val="20"/>
        </w:rPr>
        <w:t>G</w:t>
      </w:r>
      <w:r w:rsidRPr="00614EE8">
        <w:rPr>
          <w:rFonts w:ascii="Arial" w:hAnsi="Arial" w:cs="Arial"/>
          <w:sz w:val="20"/>
        </w:rPr>
        <w:t xml:space="preserve">ordon, </w:t>
      </w:r>
      <w:r>
        <w:rPr>
          <w:rFonts w:ascii="Arial" w:hAnsi="Arial" w:cs="Arial"/>
          <w:sz w:val="20"/>
        </w:rPr>
        <w:t>E</w:t>
      </w:r>
      <w:r w:rsidRPr="00614EE8">
        <w:rPr>
          <w:rFonts w:ascii="Arial" w:hAnsi="Arial" w:cs="Arial"/>
          <w:sz w:val="20"/>
        </w:rPr>
        <w:t xml:space="preserve">delman, </w:t>
      </w:r>
      <w:r>
        <w:rPr>
          <w:rFonts w:ascii="Arial" w:hAnsi="Arial" w:cs="Arial"/>
          <w:sz w:val="20"/>
        </w:rPr>
        <w:t>S</w:t>
      </w:r>
      <w:r w:rsidRPr="00614EE8">
        <w:rPr>
          <w:rFonts w:ascii="Arial" w:hAnsi="Arial" w:cs="Arial"/>
          <w:sz w:val="20"/>
        </w:rPr>
        <w:t xml:space="preserve">teward, </w:t>
      </w:r>
      <w:r>
        <w:rPr>
          <w:rFonts w:ascii="Arial" w:hAnsi="Arial" w:cs="Arial"/>
          <w:sz w:val="20"/>
        </w:rPr>
        <w:t>G</w:t>
      </w:r>
      <w:r w:rsidRPr="00614EE8">
        <w:rPr>
          <w:rFonts w:ascii="Arial" w:hAnsi="Arial" w:cs="Arial"/>
          <w:sz w:val="20"/>
        </w:rPr>
        <w:t xml:space="preserve">leeson, </w:t>
      </w:r>
      <w:r>
        <w:rPr>
          <w:rFonts w:ascii="Arial" w:hAnsi="Arial" w:cs="Arial"/>
          <w:sz w:val="20"/>
        </w:rPr>
        <w:t>J</w:t>
      </w:r>
      <w:r w:rsidRPr="00614EE8">
        <w:rPr>
          <w:rFonts w:ascii="Arial" w:hAnsi="Arial" w:cs="Arial"/>
          <w:sz w:val="20"/>
        </w:rPr>
        <w:t xml:space="preserve">agot and </w:t>
      </w:r>
      <w:r>
        <w:rPr>
          <w:rFonts w:ascii="Arial" w:hAnsi="Arial" w:cs="Arial"/>
          <w:sz w:val="20"/>
        </w:rPr>
        <w:t>B</w:t>
      </w:r>
      <w:r w:rsidRPr="00614EE8">
        <w:rPr>
          <w:rFonts w:ascii="Arial" w:hAnsi="Arial" w:cs="Arial"/>
          <w:sz w:val="20"/>
        </w:rPr>
        <w:t>eech-</w:t>
      </w:r>
      <w:r>
        <w:rPr>
          <w:rFonts w:ascii="Arial" w:hAnsi="Arial" w:cs="Arial"/>
          <w:sz w:val="20"/>
        </w:rPr>
        <w:t>J</w:t>
      </w:r>
      <w:r w:rsidRPr="00614EE8">
        <w:rPr>
          <w:rFonts w:ascii="Arial" w:hAnsi="Arial" w:cs="Arial"/>
          <w:sz w:val="20"/>
        </w:rPr>
        <w:t xml:space="preserve">ones </w:t>
      </w:r>
      <w:r>
        <w:rPr>
          <w:rFonts w:ascii="Arial" w:hAnsi="Arial" w:cs="Arial"/>
          <w:sz w:val="20"/>
        </w:rPr>
        <w:t>JJ summarised their reasons as follows:</w:t>
      </w:r>
    </w:p>
    <w:p w14:paraId="2560E946" w14:textId="77777777" w:rsidR="00B80003" w:rsidRDefault="001456E1" w:rsidP="008A225F">
      <w:pPr>
        <w:spacing w:before="60"/>
        <w:ind w:left="567" w:right="567"/>
        <w:jc w:val="both"/>
        <w:rPr>
          <w:rFonts w:ascii="Arial" w:hAnsi="Arial" w:cs="Arial"/>
          <w:b/>
          <w:bCs/>
          <w:sz w:val="20"/>
        </w:rPr>
      </w:pPr>
      <w:r>
        <w:rPr>
          <w:rFonts w:ascii="Arial" w:hAnsi="Arial" w:cs="Arial"/>
          <w:sz w:val="20"/>
        </w:rPr>
        <w:t>[2] “</w:t>
      </w:r>
      <w:r w:rsidRPr="001456E1">
        <w:rPr>
          <w:rFonts w:ascii="Arial" w:hAnsi="Arial" w:cs="Arial"/>
          <w:sz w:val="20"/>
        </w:rPr>
        <w:t>A majority of the Court of Appeal (Emerton P, McLeish and Boyce JJA, and Priest JA; Niall JA dissenting) found that a substantial miscarriage of justice</w:t>
      </w:r>
      <w:r>
        <w:rPr>
          <w:rFonts w:ascii="Arial" w:hAnsi="Arial" w:cs="Arial"/>
          <w:sz w:val="20"/>
        </w:rPr>
        <w:t xml:space="preserve"> {</w:t>
      </w:r>
      <w:r w:rsidRPr="001456E1">
        <w:rPr>
          <w:rFonts w:ascii="Arial" w:hAnsi="Arial" w:cs="Arial"/>
          <w:i/>
          <w:iCs/>
          <w:sz w:val="20"/>
        </w:rPr>
        <w:t>Criminal Procedure Act 2009</w:t>
      </w:r>
      <w:r>
        <w:rPr>
          <w:rFonts w:ascii="Arial" w:hAnsi="Arial" w:cs="Arial"/>
          <w:sz w:val="20"/>
        </w:rPr>
        <w:t xml:space="preserve"> (Vic), s.276(1)(c)} </w:t>
      </w:r>
      <w:r w:rsidRPr="001456E1">
        <w:rPr>
          <w:rFonts w:ascii="Arial" w:hAnsi="Arial" w:cs="Arial"/>
          <w:sz w:val="20"/>
        </w:rPr>
        <w:t xml:space="preserve">was occasioned because the trial judge's directions supposedly invited the jury to use evidence that AB was distressed at the time she complained about the alleged offences to her mother as </w:t>
      </w:r>
      <w:r>
        <w:rPr>
          <w:rFonts w:ascii="Arial" w:hAnsi="Arial" w:cs="Arial"/>
          <w:sz w:val="20"/>
        </w:rPr>
        <w:t>‘</w:t>
      </w:r>
      <w:r w:rsidRPr="001456E1">
        <w:rPr>
          <w:rFonts w:ascii="Arial" w:hAnsi="Arial" w:cs="Arial"/>
          <w:sz w:val="20"/>
        </w:rPr>
        <w:t>independent support</w:t>
      </w:r>
      <w:r>
        <w:rPr>
          <w:rFonts w:ascii="Arial" w:hAnsi="Arial" w:cs="Arial"/>
          <w:sz w:val="20"/>
        </w:rPr>
        <w:t>’</w:t>
      </w:r>
      <w:r w:rsidRPr="001456E1">
        <w:rPr>
          <w:rFonts w:ascii="Arial" w:hAnsi="Arial" w:cs="Arial"/>
          <w:sz w:val="20"/>
        </w:rPr>
        <w:t xml:space="preserve"> for AB's account in circumstances where, according to the majority, it was not open to the jury to find the requisite causal link between the distress and the events complained of</w:t>
      </w:r>
      <w:r>
        <w:rPr>
          <w:rFonts w:ascii="Arial" w:hAnsi="Arial" w:cs="Arial"/>
          <w:sz w:val="20"/>
        </w:rPr>
        <w:t xml:space="preserve">: see </w:t>
      </w:r>
      <w:r w:rsidRPr="001456E1">
        <w:rPr>
          <w:rFonts w:ascii="Arial" w:hAnsi="Arial" w:cs="Arial"/>
          <w:sz w:val="20"/>
        </w:rPr>
        <w:t>[2024] VSCA 324 at [65], [75</w:t>
      </w:r>
      <w:r>
        <w:rPr>
          <w:rFonts w:ascii="Arial" w:hAnsi="Arial" w:cs="Arial"/>
          <w:sz w:val="20"/>
        </w:rPr>
        <w:t>]</w:t>
      </w:r>
      <w:r>
        <w:rPr>
          <w:rFonts w:ascii="Arial" w:hAnsi="Arial" w:cs="Arial"/>
          <w:b/>
          <w:bCs/>
          <w:sz w:val="20"/>
        </w:rPr>
        <w:t>.</w:t>
      </w:r>
    </w:p>
    <w:p w14:paraId="2742C07F" w14:textId="38F74798" w:rsidR="001456E1" w:rsidRPr="001456E1" w:rsidRDefault="001456E1" w:rsidP="00B80003">
      <w:pPr>
        <w:spacing w:before="60"/>
        <w:ind w:left="567" w:right="567"/>
        <w:jc w:val="both"/>
        <w:rPr>
          <w:rFonts w:ascii="Arial" w:hAnsi="Arial" w:cs="Arial"/>
          <w:b/>
          <w:bCs/>
          <w:sz w:val="20"/>
        </w:rPr>
      </w:pPr>
      <w:r w:rsidRPr="001456E1">
        <w:rPr>
          <w:rFonts w:ascii="Arial" w:hAnsi="Arial" w:cs="Arial"/>
          <w:sz w:val="20"/>
        </w:rPr>
        <w:t>[3] As will be explained, the reasoning of the majority of the Court of Appeal in upholding this ground was inconsistent with the subsequent decision of this</w:t>
      </w:r>
      <w:r>
        <w:rPr>
          <w:rFonts w:ascii="Arial" w:hAnsi="Arial" w:cs="Arial"/>
          <w:sz w:val="20"/>
        </w:rPr>
        <w:t xml:space="preserve"> Court in </w:t>
      </w:r>
      <w:r w:rsidRPr="001456E1">
        <w:rPr>
          <w:rFonts w:ascii="Arial" w:hAnsi="Arial" w:cs="Arial"/>
          <w:i/>
          <w:iCs/>
          <w:sz w:val="20"/>
        </w:rPr>
        <w:t>R v Churchill (a</w:t>
      </w:r>
      <w:r>
        <w:rPr>
          <w:rFonts w:ascii="Arial" w:hAnsi="Arial" w:cs="Arial"/>
          <w:i/>
          <w:iCs/>
          <w:sz w:val="20"/>
        </w:rPr>
        <w:t> </w:t>
      </w:r>
      <w:r w:rsidRPr="001456E1">
        <w:rPr>
          <w:rFonts w:ascii="Arial" w:hAnsi="Arial" w:cs="Arial"/>
          <w:i/>
          <w:iCs/>
          <w:sz w:val="20"/>
        </w:rPr>
        <w:t>pseudonym)</w:t>
      </w:r>
      <w:r w:rsidR="00B80003">
        <w:rPr>
          <w:rFonts w:ascii="Arial" w:hAnsi="Arial" w:cs="Arial"/>
          <w:i/>
          <w:iCs/>
          <w:sz w:val="20"/>
        </w:rPr>
        <w:t xml:space="preserve"> </w:t>
      </w:r>
      <w:r w:rsidR="00064D97" w:rsidRPr="00064D97">
        <w:rPr>
          <w:rFonts w:ascii="Arial" w:hAnsi="Arial" w:cs="Arial"/>
          <w:sz w:val="20"/>
        </w:rPr>
        <w:t xml:space="preserve">[2025] HCA 11; </w:t>
      </w:r>
      <w:r w:rsidR="00B80003" w:rsidRPr="00614EE8">
        <w:rPr>
          <w:rFonts w:ascii="Arial" w:hAnsi="Arial" w:cs="Arial"/>
          <w:sz w:val="20"/>
        </w:rPr>
        <w:t>(2025) 99 ALJR 719; 422 ALR 265</w:t>
      </w:r>
      <w:r w:rsidRPr="001456E1">
        <w:rPr>
          <w:rFonts w:ascii="Arial" w:hAnsi="Arial" w:cs="Arial"/>
          <w:i/>
          <w:iCs/>
          <w:sz w:val="20"/>
        </w:rPr>
        <w:t>.</w:t>
      </w:r>
      <w:r w:rsidRPr="001456E1">
        <w:rPr>
          <w:rFonts w:ascii="Arial" w:hAnsi="Arial" w:cs="Arial"/>
          <w:b/>
          <w:bCs/>
          <w:sz w:val="20"/>
        </w:rPr>
        <w:t xml:space="preserve"> </w:t>
      </w:r>
      <w:r w:rsidRPr="001456E1">
        <w:rPr>
          <w:rFonts w:ascii="Arial" w:hAnsi="Arial" w:cs="Arial"/>
          <w:sz w:val="20"/>
        </w:rPr>
        <w:t xml:space="preserve">Contrary to the conclusion of the majority, AB's mother's evidence that AB was distressed at the time AB complained to her was capable of supporting the occurrence of the alleged offending. Further, contrary to the conclusion of the majority, the trial judge's directions did not invite the jury to treat the evidence as </w:t>
      </w:r>
      <w:r w:rsidR="00B80003">
        <w:rPr>
          <w:rFonts w:ascii="Arial" w:hAnsi="Arial" w:cs="Arial"/>
          <w:sz w:val="20"/>
        </w:rPr>
        <w:t>‘</w:t>
      </w:r>
      <w:r w:rsidRPr="001456E1">
        <w:rPr>
          <w:rFonts w:ascii="Arial" w:hAnsi="Arial" w:cs="Arial"/>
          <w:sz w:val="20"/>
        </w:rPr>
        <w:t>independent support</w:t>
      </w:r>
      <w:r w:rsidR="00B80003">
        <w:rPr>
          <w:rFonts w:ascii="Arial" w:hAnsi="Arial" w:cs="Arial"/>
          <w:sz w:val="20"/>
        </w:rPr>
        <w:t>’</w:t>
      </w:r>
      <w:r w:rsidRPr="001456E1">
        <w:rPr>
          <w:rFonts w:ascii="Arial" w:hAnsi="Arial" w:cs="Arial"/>
          <w:sz w:val="20"/>
        </w:rPr>
        <w:t xml:space="preserve"> for AB's evidence in the sense of being independent evidence corroborative of AB's testimony. Additional complaints raised by the respondent in this Court to the effect that a substantial miscarriage of justice was occasioned by either or both the failure of the trial judge to exclude the evidence of distress under s 137 of the </w:t>
      </w:r>
      <w:r w:rsidRPr="001456E1">
        <w:rPr>
          <w:rFonts w:ascii="Arial" w:hAnsi="Arial" w:cs="Arial"/>
          <w:i/>
          <w:iCs/>
          <w:sz w:val="20"/>
        </w:rPr>
        <w:t xml:space="preserve">Evidence Act 2008 </w:t>
      </w:r>
      <w:r w:rsidRPr="001456E1">
        <w:rPr>
          <w:rFonts w:ascii="Arial" w:hAnsi="Arial" w:cs="Arial"/>
          <w:sz w:val="20"/>
        </w:rPr>
        <w:t xml:space="preserve">(Vic) or the failure of the trial judge to correct a submission made by the prosecutor in the prosecutor's closing address that the evidence of distress was </w:t>
      </w:r>
      <w:r w:rsidR="00B80003">
        <w:rPr>
          <w:rFonts w:ascii="Arial" w:hAnsi="Arial" w:cs="Arial"/>
          <w:sz w:val="20"/>
        </w:rPr>
        <w:t>‘</w:t>
      </w:r>
      <w:r w:rsidRPr="001456E1">
        <w:rPr>
          <w:rFonts w:ascii="Arial" w:hAnsi="Arial" w:cs="Arial"/>
          <w:sz w:val="20"/>
        </w:rPr>
        <w:t>independent evidence</w:t>
      </w:r>
      <w:r w:rsidR="00B80003">
        <w:rPr>
          <w:rFonts w:ascii="Arial" w:hAnsi="Arial" w:cs="Arial"/>
          <w:sz w:val="20"/>
        </w:rPr>
        <w:t>’</w:t>
      </w:r>
      <w:r w:rsidRPr="001456E1">
        <w:rPr>
          <w:rFonts w:ascii="Arial" w:hAnsi="Arial" w:cs="Arial"/>
          <w:sz w:val="20"/>
        </w:rPr>
        <w:t xml:space="preserve"> should also be rejected.</w:t>
      </w:r>
      <w:r w:rsidR="00B80003">
        <w:rPr>
          <w:rFonts w:ascii="Arial" w:hAnsi="Arial" w:cs="Arial"/>
          <w:sz w:val="20"/>
        </w:rPr>
        <w:t>”</w:t>
      </w:r>
    </w:p>
    <w:p w14:paraId="22C4611A" w14:textId="5C38B89D" w:rsidR="00B80003" w:rsidRDefault="00B80003" w:rsidP="00B80003">
      <w:pPr>
        <w:spacing w:before="60"/>
        <w:jc w:val="both"/>
        <w:rPr>
          <w:rFonts w:ascii="Arial" w:hAnsi="Arial" w:cs="Arial"/>
          <w:sz w:val="20"/>
        </w:rPr>
      </w:pPr>
      <w:r>
        <w:rPr>
          <w:rFonts w:ascii="Arial" w:hAnsi="Arial" w:cs="Arial"/>
          <w:sz w:val="20"/>
        </w:rPr>
        <w:t>At [24]-[2</w:t>
      </w:r>
      <w:r w:rsidR="0034762B">
        <w:rPr>
          <w:rFonts w:ascii="Arial" w:hAnsi="Arial" w:cs="Arial"/>
          <w:sz w:val="20"/>
        </w:rPr>
        <w:t>8</w:t>
      </w:r>
      <w:r>
        <w:rPr>
          <w:rFonts w:ascii="Arial" w:hAnsi="Arial" w:cs="Arial"/>
          <w:sz w:val="20"/>
        </w:rPr>
        <w:t>] G</w:t>
      </w:r>
      <w:r w:rsidRPr="00614EE8">
        <w:rPr>
          <w:rFonts w:ascii="Arial" w:hAnsi="Arial" w:cs="Arial"/>
          <w:sz w:val="20"/>
        </w:rPr>
        <w:t xml:space="preserve">ageler </w:t>
      </w:r>
      <w:r>
        <w:rPr>
          <w:rFonts w:ascii="Arial" w:hAnsi="Arial" w:cs="Arial"/>
          <w:sz w:val="20"/>
        </w:rPr>
        <w:t>CJ</w:t>
      </w:r>
      <w:r w:rsidRPr="00614EE8">
        <w:rPr>
          <w:rFonts w:ascii="Arial" w:hAnsi="Arial" w:cs="Arial"/>
          <w:sz w:val="20"/>
        </w:rPr>
        <w:t xml:space="preserve">, </w:t>
      </w:r>
      <w:r>
        <w:rPr>
          <w:rFonts w:ascii="Arial" w:hAnsi="Arial" w:cs="Arial"/>
          <w:sz w:val="20"/>
        </w:rPr>
        <w:t>G</w:t>
      </w:r>
      <w:r w:rsidRPr="00614EE8">
        <w:rPr>
          <w:rFonts w:ascii="Arial" w:hAnsi="Arial" w:cs="Arial"/>
          <w:sz w:val="20"/>
        </w:rPr>
        <w:t xml:space="preserve">ordon, </w:t>
      </w:r>
      <w:r>
        <w:rPr>
          <w:rFonts w:ascii="Arial" w:hAnsi="Arial" w:cs="Arial"/>
          <w:sz w:val="20"/>
        </w:rPr>
        <w:t>E</w:t>
      </w:r>
      <w:r w:rsidRPr="00614EE8">
        <w:rPr>
          <w:rFonts w:ascii="Arial" w:hAnsi="Arial" w:cs="Arial"/>
          <w:sz w:val="20"/>
        </w:rPr>
        <w:t xml:space="preserve">delman, </w:t>
      </w:r>
      <w:r>
        <w:rPr>
          <w:rFonts w:ascii="Arial" w:hAnsi="Arial" w:cs="Arial"/>
          <w:sz w:val="20"/>
        </w:rPr>
        <w:t>S</w:t>
      </w:r>
      <w:r w:rsidRPr="00614EE8">
        <w:rPr>
          <w:rFonts w:ascii="Arial" w:hAnsi="Arial" w:cs="Arial"/>
          <w:sz w:val="20"/>
        </w:rPr>
        <w:t xml:space="preserve">teward, </w:t>
      </w:r>
      <w:r>
        <w:rPr>
          <w:rFonts w:ascii="Arial" w:hAnsi="Arial" w:cs="Arial"/>
          <w:sz w:val="20"/>
        </w:rPr>
        <w:t>G</w:t>
      </w:r>
      <w:r w:rsidRPr="00614EE8">
        <w:rPr>
          <w:rFonts w:ascii="Arial" w:hAnsi="Arial" w:cs="Arial"/>
          <w:sz w:val="20"/>
        </w:rPr>
        <w:t xml:space="preserve">leeson, </w:t>
      </w:r>
      <w:r>
        <w:rPr>
          <w:rFonts w:ascii="Arial" w:hAnsi="Arial" w:cs="Arial"/>
          <w:sz w:val="20"/>
        </w:rPr>
        <w:t>J</w:t>
      </w:r>
      <w:r w:rsidRPr="00614EE8">
        <w:rPr>
          <w:rFonts w:ascii="Arial" w:hAnsi="Arial" w:cs="Arial"/>
          <w:sz w:val="20"/>
        </w:rPr>
        <w:t xml:space="preserve">agot and </w:t>
      </w:r>
      <w:r>
        <w:rPr>
          <w:rFonts w:ascii="Arial" w:hAnsi="Arial" w:cs="Arial"/>
          <w:sz w:val="20"/>
        </w:rPr>
        <w:t>B</w:t>
      </w:r>
      <w:r w:rsidRPr="00614EE8">
        <w:rPr>
          <w:rFonts w:ascii="Arial" w:hAnsi="Arial" w:cs="Arial"/>
          <w:sz w:val="20"/>
        </w:rPr>
        <w:t>eech-</w:t>
      </w:r>
      <w:r>
        <w:rPr>
          <w:rFonts w:ascii="Arial" w:hAnsi="Arial" w:cs="Arial"/>
          <w:sz w:val="20"/>
        </w:rPr>
        <w:t>J</w:t>
      </w:r>
      <w:r w:rsidRPr="00614EE8">
        <w:rPr>
          <w:rFonts w:ascii="Arial" w:hAnsi="Arial" w:cs="Arial"/>
          <w:sz w:val="20"/>
        </w:rPr>
        <w:t xml:space="preserve">ones </w:t>
      </w:r>
      <w:r>
        <w:rPr>
          <w:rFonts w:ascii="Arial" w:hAnsi="Arial" w:cs="Arial"/>
          <w:sz w:val="20"/>
        </w:rPr>
        <w:t xml:space="preserve">JJ detailed “four related errors” in the reasoning of the majority of the Court of Appeal which follow from </w:t>
      </w:r>
      <w:r w:rsidRPr="001456E1">
        <w:rPr>
          <w:rFonts w:ascii="Arial" w:hAnsi="Arial" w:cs="Arial"/>
          <w:i/>
          <w:iCs/>
          <w:sz w:val="20"/>
        </w:rPr>
        <w:t>R v Churchill</w:t>
      </w:r>
      <w:r w:rsidR="0034762B">
        <w:rPr>
          <w:rFonts w:ascii="Arial" w:hAnsi="Arial" w:cs="Arial"/>
          <w:sz w:val="20"/>
        </w:rPr>
        <w:t xml:space="preserve"> and their consequence:</w:t>
      </w:r>
    </w:p>
    <w:p w14:paraId="3673E079" w14:textId="47DD4D50" w:rsidR="00007D7F" w:rsidRDefault="00B80003" w:rsidP="00007D7F">
      <w:pPr>
        <w:spacing w:before="60"/>
        <w:ind w:left="567" w:right="567"/>
        <w:jc w:val="both"/>
        <w:rPr>
          <w:rFonts w:ascii="Arial" w:hAnsi="Arial" w:cs="Arial"/>
          <w:sz w:val="20"/>
        </w:rPr>
      </w:pPr>
      <w:r>
        <w:rPr>
          <w:rFonts w:ascii="Arial" w:hAnsi="Arial" w:cs="Arial"/>
          <w:sz w:val="20"/>
        </w:rPr>
        <w:t>[24] “</w:t>
      </w:r>
      <w:r w:rsidRPr="008060F5">
        <w:rPr>
          <w:rFonts w:ascii="Arial" w:hAnsi="Arial" w:cs="Arial"/>
          <w:sz w:val="20"/>
        </w:rPr>
        <w:t>First, it was erroneous to separate AB's distress from the content of her complaint in assessing the admissibility and use of the evidence given by AB's mother of what transpired at the hospital. Just as the jury must consider all the evidence</w:t>
      </w:r>
      <w:r w:rsidR="00007D7F">
        <w:rPr>
          <w:rFonts w:ascii="Arial" w:hAnsi="Arial" w:cs="Arial"/>
          <w:sz w:val="20"/>
        </w:rPr>
        <w:t xml:space="preserve"> {</w:t>
      </w:r>
      <w:r w:rsidR="00007D7F" w:rsidRPr="00007D7F">
        <w:rPr>
          <w:rFonts w:ascii="Arial" w:hAnsi="Arial" w:cs="Arial"/>
          <w:i/>
          <w:iCs/>
          <w:sz w:val="20"/>
        </w:rPr>
        <w:t xml:space="preserve">Shepherd v The Queen </w:t>
      </w:r>
      <w:r w:rsidR="00007D7F" w:rsidRPr="00007D7F">
        <w:rPr>
          <w:rFonts w:ascii="Arial" w:hAnsi="Arial" w:cs="Arial"/>
          <w:sz w:val="20"/>
        </w:rPr>
        <w:t xml:space="preserve">(1990) 170 CLR 573 at 580, quoting </w:t>
      </w:r>
      <w:r w:rsidR="00007D7F" w:rsidRPr="00007D7F">
        <w:rPr>
          <w:rFonts w:ascii="Arial" w:hAnsi="Arial" w:cs="Arial"/>
          <w:i/>
          <w:iCs/>
          <w:sz w:val="20"/>
        </w:rPr>
        <w:t>Chamberlain v The Queen [No 2]</w:t>
      </w:r>
      <w:r w:rsidR="00007D7F" w:rsidRPr="00007D7F">
        <w:rPr>
          <w:rFonts w:ascii="Arial" w:hAnsi="Arial" w:cs="Arial"/>
          <w:sz w:val="20"/>
        </w:rPr>
        <w:t xml:space="preserve"> (1984) 153 CLR 521 at 535-536</w:t>
      </w:r>
      <w:r w:rsidR="00007D7F">
        <w:rPr>
          <w:rFonts w:ascii="Arial" w:hAnsi="Arial" w:cs="Arial"/>
          <w:sz w:val="20"/>
        </w:rPr>
        <w:t>}</w:t>
      </w:r>
      <w:r w:rsidRPr="008060F5">
        <w:rPr>
          <w:rFonts w:ascii="Arial" w:hAnsi="Arial" w:cs="Arial"/>
          <w:sz w:val="20"/>
        </w:rPr>
        <w:t>,</w:t>
      </w:r>
      <w:r w:rsidR="00007D7F">
        <w:rPr>
          <w:rFonts w:ascii="Arial" w:hAnsi="Arial" w:cs="Arial"/>
          <w:sz w:val="20"/>
        </w:rPr>
        <w:t xml:space="preserve"> </w:t>
      </w:r>
      <w:r w:rsidRPr="008060F5">
        <w:rPr>
          <w:rFonts w:ascii="Arial" w:hAnsi="Arial" w:cs="Arial"/>
          <w:sz w:val="20"/>
        </w:rPr>
        <w:t>an assessment of the relevance of evidence and its possible uses must involve a consideration of that evidence's effect when taken with other evidence</w:t>
      </w:r>
      <w:r w:rsidR="00007D7F">
        <w:rPr>
          <w:rFonts w:ascii="Arial" w:hAnsi="Arial" w:cs="Arial"/>
          <w:sz w:val="20"/>
        </w:rPr>
        <w:t xml:space="preserve"> {</w:t>
      </w:r>
      <w:r w:rsidR="00007D7F" w:rsidRPr="00007D7F">
        <w:rPr>
          <w:rFonts w:ascii="Arial" w:hAnsi="Arial" w:cs="Arial"/>
          <w:i/>
          <w:iCs/>
          <w:sz w:val="20"/>
        </w:rPr>
        <w:t>Festa v The Queen</w:t>
      </w:r>
      <w:r w:rsidR="00007D7F" w:rsidRPr="00007D7F">
        <w:rPr>
          <w:rFonts w:ascii="Arial" w:hAnsi="Arial" w:cs="Arial"/>
          <w:sz w:val="20"/>
        </w:rPr>
        <w:t xml:space="preserve"> (2001) 208 CLR 593 at 599 [14]; </w:t>
      </w:r>
      <w:r w:rsidR="00007D7F" w:rsidRPr="00007D7F">
        <w:rPr>
          <w:rFonts w:ascii="Arial" w:hAnsi="Arial" w:cs="Arial"/>
          <w:i/>
          <w:iCs/>
          <w:sz w:val="20"/>
        </w:rPr>
        <w:t>Evans v The Queen</w:t>
      </w:r>
      <w:r w:rsidR="00007D7F" w:rsidRPr="00007D7F">
        <w:rPr>
          <w:rFonts w:ascii="Arial" w:hAnsi="Arial" w:cs="Arial"/>
          <w:sz w:val="20"/>
        </w:rPr>
        <w:t xml:space="preserve"> (2007) 235 CLR 521 at 568 [177]</w:t>
      </w:r>
      <w:r w:rsidR="00007D7F">
        <w:rPr>
          <w:rFonts w:ascii="Arial" w:hAnsi="Arial" w:cs="Arial"/>
          <w:sz w:val="20"/>
        </w:rPr>
        <w:t xml:space="preserve">}. </w:t>
      </w:r>
      <w:r w:rsidRPr="008060F5">
        <w:rPr>
          <w:rFonts w:ascii="Arial" w:hAnsi="Arial" w:cs="Arial"/>
          <w:sz w:val="20"/>
        </w:rPr>
        <w:t>AB's distress was an aspect of her complaint in telling her mother what happened to her</w:t>
      </w:r>
      <w:r w:rsidR="00007D7F">
        <w:rPr>
          <w:rFonts w:ascii="Arial" w:hAnsi="Arial" w:cs="Arial"/>
          <w:sz w:val="20"/>
        </w:rPr>
        <w:t xml:space="preserve"> {</w:t>
      </w:r>
      <w:r w:rsidR="00007D7F" w:rsidRPr="00007D7F">
        <w:rPr>
          <w:rFonts w:ascii="Arial" w:hAnsi="Arial" w:cs="Arial"/>
          <w:i/>
          <w:iCs/>
          <w:sz w:val="20"/>
        </w:rPr>
        <w:t>Evidence Act 2008</w:t>
      </w:r>
      <w:r w:rsidR="00007D7F" w:rsidRPr="00007D7F">
        <w:rPr>
          <w:rFonts w:ascii="Arial" w:hAnsi="Arial" w:cs="Arial"/>
          <w:sz w:val="20"/>
        </w:rPr>
        <w:t xml:space="preserve"> (Vic), s 66(1), (2)(a), (2)(b)(i), (2)(b)(ii)</w:t>
      </w:r>
      <w:r w:rsidR="00007D7F">
        <w:rPr>
          <w:rFonts w:ascii="Arial" w:hAnsi="Arial" w:cs="Arial"/>
          <w:sz w:val="20"/>
        </w:rPr>
        <w:t>; s</w:t>
      </w:r>
      <w:r w:rsidR="00007D7F" w:rsidRPr="00007D7F">
        <w:rPr>
          <w:rFonts w:ascii="Arial" w:hAnsi="Arial" w:cs="Arial"/>
          <w:sz w:val="20"/>
        </w:rPr>
        <w:t xml:space="preserve">ee also </w:t>
      </w:r>
      <w:r w:rsidR="00007D7F" w:rsidRPr="00007D7F">
        <w:rPr>
          <w:rFonts w:ascii="Arial" w:hAnsi="Arial" w:cs="Arial"/>
          <w:i/>
          <w:iCs/>
          <w:sz w:val="20"/>
        </w:rPr>
        <w:t>Churchill</w:t>
      </w:r>
      <w:r w:rsidR="00007D7F" w:rsidRPr="00007D7F">
        <w:rPr>
          <w:rFonts w:ascii="Arial" w:hAnsi="Arial" w:cs="Arial"/>
          <w:sz w:val="20"/>
        </w:rPr>
        <w:t xml:space="preserve"> at </w:t>
      </w:r>
      <w:r w:rsidR="00064D97">
        <w:rPr>
          <w:rFonts w:ascii="Arial" w:hAnsi="Arial" w:cs="Arial"/>
          <w:sz w:val="20"/>
        </w:rPr>
        <w:t>[52]</w:t>
      </w:r>
      <w:r w:rsidR="00007D7F">
        <w:rPr>
          <w:rFonts w:ascii="Arial" w:hAnsi="Arial" w:cs="Arial"/>
          <w:sz w:val="20"/>
        </w:rPr>
        <w:t>}</w:t>
      </w:r>
      <w:r w:rsidR="00007D7F" w:rsidRPr="00007D7F">
        <w:rPr>
          <w:rFonts w:ascii="Arial" w:hAnsi="Arial" w:cs="Arial"/>
          <w:sz w:val="20"/>
        </w:rPr>
        <w:t>.</w:t>
      </w:r>
      <w:r w:rsidR="00007D7F">
        <w:rPr>
          <w:rFonts w:ascii="Arial" w:hAnsi="Arial" w:cs="Arial"/>
          <w:sz w:val="20"/>
        </w:rPr>
        <w:t xml:space="preserve"> </w:t>
      </w:r>
      <w:r w:rsidR="00007D7F" w:rsidRPr="007B4F28">
        <w:rPr>
          <w:rFonts w:ascii="Arial" w:hAnsi="Arial" w:cs="Arial"/>
          <w:b/>
          <w:bCs/>
          <w:sz w:val="20"/>
        </w:rPr>
        <w:t xml:space="preserve">Thus the evidence of AB's distress was admissible for the purposes identified in </w:t>
      </w:r>
      <w:r w:rsidR="00007D7F" w:rsidRPr="007B4F28">
        <w:rPr>
          <w:rFonts w:ascii="Arial" w:hAnsi="Arial" w:cs="Arial"/>
          <w:b/>
          <w:bCs/>
          <w:i/>
          <w:iCs/>
          <w:sz w:val="20"/>
        </w:rPr>
        <w:t>Churchill</w:t>
      </w:r>
      <w:r w:rsidR="00007D7F" w:rsidRPr="007B4F28">
        <w:rPr>
          <w:rFonts w:ascii="Arial" w:hAnsi="Arial" w:cs="Arial"/>
          <w:b/>
          <w:bCs/>
          <w:sz w:val="20"/>
        </w:rPr>
        <w:t>: namely, not only as evidence relevant to credit but also as (indirect) proof that the offending occurred</w:t>
      </w:r>
      <w:r w:rsidR="007B4F28" w:rsidRPr="007B4F28">
        <w:rPr>
          <w:rFonts w:ascii="Arial" w:hAnsi="Arial" w:cs="Arial"/>
          <w:b/>
          <w:bCs/>
          <w:sz w:val="20"/>
        </w:rPr>
        <w:t xml:space="preserve"> {</w:t>
      </w:r>
      <w:r w:rsidR="007B4F28" w:rsidRPr="007B4F28">
        <w:rPr>
          <w:rFonts w:ascii="Arial" w:hAnsi="Arial" w:cs="Arial"/>
          <w:b/>
          <w:bCs/>
          <w:i/>
          <w:iCs/>
          <w:sz w:val="20"/>
        </w:rPr>
        <w:t>Churchill</w:t>
      </w:r>
      <w:r w:rsidR="007B4F28" w:rsidRPr="007B4F28">
        <w:rPr>
          <w:rFonts w:ascii="Arial" w:hAnsi="Arial" w:cs="Arial"/>
          <w:b/>
          <w:bCs/>
          <w:sz w:val="20"/>
        </w:rPr>
        <w:t xml:space="preserve"> </w:t>
      </w:r>
      <w:r w:rsidR="00064D97">
        <w:rPr>
          <w:rFonts w:ascii="Arial" w:hAnsi="Arial" w:cs="Arial"/>
          <w:b/>
          <w:bCs/>
          <w:sz w:val="20"/>
        </w:rPr>
        <w:t>at</w:t>
      </w:r>
      <w:r w:rsidR="007B4F28" w:rsidRPr="007B4F28">
        <w:rPr>
          <w:rFonts w:ascii="Arial" w:hAnsi="Arial" w:cs="Arial"/>
          <w:b/>
          <w:bCs/>
          <w:sz w:val="20"/>
        </w:rPr>
        <w:t xml:space="preserve"> [3]}.</w:t>
      </w:r>
      <w:r w:rsidR="007B4F28">
        <w:rPr>
          <w:rFonts w:ascii="Arial" w:hAnsi="Arial" w:cs="Arial"/>
          <w:sz w:val="20"/>
        </w:rPr>
        <w:t xml:space="preserve"> </w:t>
      </w:r>
      <w:r w:rsidR="007B4F28" w:rsidRPr="008060F5">
        <w:rPr>
          <w:rFonts w:ascii="Arial" w:hAnsi="Arial" w:cs="Arial"/>
          <w:sz w:val="20"/>
        </w:rPr>
        <w:t xml:space="preserve">In this Court, the respondent submitted that the reasoning in </w:t>
      </w:r>
      <w:r w:rsidR="007B4F28" w:rsidRPr="008060F5">
        <w:rPr>
          <w:rFonts w:ascii="Arial" w:hAnsi="Arial" w:cs="Arial"/>
          <w:i/>
          <w:iCs/>
          <w:sz w:val="20"/>
        </w:rPr>
        <w:t xml:space="preserve">Churchill </w:t>
      </w:r>
      <w:r w:rsidR="007B4F28" w:rsidRPr="008060F5">
        <w:rPr>
          <w:rFonts w:ascii="Arial" w:hAnsi="Arial" w:cs="Arial"/>
          <w:sz w:val="20"/>
        </w:rPr>
        <w:t xml:space="preserve">was not engaged because the evidence of AB's distress given by her mother involved an observation of distress prior to the making of the complaint. This submission must be rejected. As the above description makes clear, AB's mother described AB's distress </w:t>
      </w:r>
      <w:r w:rsidR="007B4F28">
        <w:rPr>
          <w:rFonts w:ascii="Arial" w:hAnsi="Arial" w:cs="Arial"/>
          <w:sz w:val="20"/>
        </w:rPr>
        <w:t>‘</w:t>
      </w:r>
      <w:r w:rsidR="007B4F28" w:rsidRPr="008060F5">
        <w:rPr>
          <w:rFonts w:ascii="Arial" w:hAnsi="Arial" w:cs="Arial"/>
          <w:sz w:val="20"/>
        </w:rPr>
        <w:t>at the time</w:t>
      </w:r>
      <w:r w:rsidR="007B4F28">
        <w:rPr>
          <w:rFonts w:ascii="Arial" w:hAnsi="Arial" w:cs="Arial"/>
          <w:sz w:val="20"/>
        </w:rPr>
        <w:t>’</w:t>
      </w:r>
      <w:r w:rsidR="007B4F28" w:rsidRPr="008060F5">
        <w:rPr>
          <w:rFonts w:ascii="Arial" w:hAnsi="Arial" w:cs="Arial"/>
          <w:sz w:val="20"/>
        </w:rPr>
        <w:t xml:space="preserve"> AB complained about being raped</w:t>
      </w:r>
      <w:r w:rsidR="007B4F28">
        <w:rPr>
          <w:rFonts w:ascii="Arial" w:hAnsi="Arial" w:cs="Arial"/>
          <w:sz w:val="20"/>
        </w:rPr>
        <w:t xml:space="preserve"> {see above at </w:t>
      </w:r>
      <w:r w:rsidR="007B4F28" w:rsidRPr="00007D7F">
        <w:rPr>
          <w:rFonts w:ascii="Arial" w:hAnsi="Arial" w:cs="Arial"/>
          <w:sz w:val="20"/>
        </w:rPr>
        <w:t>[2], [3], [12]</w:t>
      </w:r>
      <w:r w:rsidR="007B4F28">
        <w:rPr>
          <w:rFonts w:ascii="Arial" w:hAnsi="Arial" w:cs="Arial"/>
          <w:sz w:val="20"/>
        </w:rPr>
        <w:t>}</w:t>
      </w:r>
      <w:r w:rsidR="007B4F28" w:rsidRPr="00007D7F">
        <w:rPr>
          <w:rFonts w:ascii="Arial" w:hAnsi="Arial" w:cs="Arial"/>
          <w:sz w:val="20"/>
        </w:rPr>
        <w:t>.</w:t>
      </w:r>
    </w:p>
    <w:p w14:paraId="1D24DBC0" w14:textId="626316BB" w:rsidR="007B4F28" w:rsidRDefault="007B4F28" w:rsidP="007B4F28">
      <w:pPr>
        <w:spacing w:before="60"/>
        <w:ind w:left="567" w:right="567"/>
        <w:jc w:val="both"/>
        <w:rPr>
          <w:rFonts w:ascii="Arial" w:hAnsi="Arial" w:cs="Arial"/>
          <w:sz w:val="20"/>
        </w:rPr>
      </w:pPr>
      <w:r>
        <w:rPr>
          <w:rFonts w:ascii="Arial" w:hAnsi="Arial" w:cs="Arial"/>
          <w:sz w:val="20"/>
        </w:rPr>
        <w:t xml:space="preserve">[25] </w:t>
      </w:r>
      <w:r w:rsidRPr="00007D7F">
        <w:rPr>
          <w:rFonts w:ascii="Arial" w:hAnsi="Arial" w:cs="Arial"/>
          <w:sz w:val="20"/>
        </w:rPr>
        <w:t xml:space="preserve">Second, the focus of the majority of the Court of Appeal </w:t>
      </w:r>
      <w:r>
        <w:rPr>
          <w:rFonts w:ascii="Arial" w:hAnsi="Arial" w:cs="Arial"/>
          <w:sz w:val="20"/>
        </w:rPr>
        <w:t xml:space="preserve">{at [51]} </w:t>
      </w:r>
      <w:r w:rsidRPr="00007D7F">
        <w:rPr>
          <w:rFonts w:ascii="Arial" w:hAnsi="Arial" w:cs="Arial"/>
          <w:sz w:val="20"/>
        </w:rPr>
        <w:t>upon whether the evidence of AB's distress at the time she was recounting the alleged offending to</w:t>
      </w:r>
      <w:r>
        <w:rPr>
          <w:rFonts w:ascii="Arial" w:hAnsi="Arial" w:cs="Arial"/>
          <w:sz w:val="20"/>
        </w:rPr>
        <w:t xml:space="preserve"> </w:t>
      </w:r>
      <w:r w:rsidR="00007D7F" w:rsidRPr="00007D7F">
        <w:rPr>
          <w:rFonts w:ascii="Arial" w:hAnsi="Arial" w:cs="Arial"/>
          <w:sz w:val="20"/>
        </w:rPr>
        <w:t xml:space="preserve">her mother provided </w:t>
      </w:r>
      <w:r>
        <w:rPr>
          <w:rFonts w:ascii="Arial" w:hAnsi="Arial" w:cs="Arial"/>
          <w:sz w:val="20"/>
        </w:rPr>
        <w:t>‘</w:t>
      </w:r>
      <w:r w:rsidR="00007D7F" w:rsidRPr="00007D7F">
        <w:rPr>
          <w:rFonts w:ascii="Arial" w:hAnsi="Arial" w:cs="Arial"/>
          <w:sz w:val="20"/>
        </w:rPr>
        <w:t>independent support</w:t>
      </w:r>
      <w:r>
        <w:rPr>
          <w:rFonts w:ascii="Arial" w:hAnsi="Arial" w:cs="Arial"/>
          <w:sz w:val="20"/>
        </w:rPr>
        <w:t>’</w:t>
      </w:r>
      <w:r w:rsidR="00007D7F" w:rsidRPr="00007D7F">
        <w:rPr>
          <w:rFonts w:ascii="Arial" w:hAnsi="Arial" w:cs="Arial"/>
          <w:sz w:val="20"/>
        </w:rPr>
        <w:t xml:space="preserve"> for AB's account was misplaced</w:t>
      </w:r>
      <w:r>
        <w:rPr>
          <w:rFonts w:ascii="Arial" w:hAnsi="Arial" w:cs="Arial"/>
          <w:sz w:val="20"/>
        </w:rPr>
        <w:t xml:space="preserve">. </w:t>
      </w:r>
      <w:r w:rsidR="00007D7F" w:rsidRPr="00007D7F">
        <w:rPr>
          <w:rFonts w:ascii="Arial" w:hAnsi="Arial" w:cs="Arial"/>
          <w:sz w:val="20"/>
        </w:rPr>
        <w:t>That approach reflects one of the historical evidentiary rules</w:t>
      </w:r>
      <w:r>
        <w:rPr>
          <w:rFonts w:ascii="Arial" w:hAnsi="Arial" w:cs="Arial"/>
          <w:sz w:val="20"/>
        </w:rPr>
        <w:t xml:space="preserve"> </w:t>
      </w:r>
      <w:r w:rsidR="00007D7F" w:rsidRPr="00007D7F">
        <w:rPr>
          <w:rFonts w:ascii="Arial" w:hAnsi="Arial" w:cs="Arial"/>
          <w:sz w:val="20"/>
        </w:rPr>
        <w:t xml:space="preserve">identified in </w:t>
      </w:r>
      <w:r w:rsidR="00007D7F" w:rsidRPr="007B4F28">
        <w:rPr>
          <w:rFonts w:ascii="Arial" w:hAnsi="Arial" w:cs="Arial"/>
          <w:i/>
          <w:iCs/>
          <w:sz w:val="20"/>
        </w:rPr>
        <w:t>Churchill</w:t>
      </w:r>
      <w:r w:rsidR="00007D7F" w:rsidRPr="00007D7F">
        <w:rPr>
          <w:rFonts w:ascii="Arial" w:hAnsi="Arial" w:cs="Arial"/>
          <w:sz w:val="20"/>
        </w:rPr>
        <w:t xml:space="preserve"> as having been abolished: namely, that to be evidence in corroboration of the testimony of the complainant in the context of a sexual offence the evidence must be </w:t>
      </w:r>
      <w:r w:rsidR="00064D97">
        <w:rPr>
          <w:rFonts w:ascii="Arial" w:hAnsi="Arial" w:cs="Arial"/>
          <w:sz w:val="20"/>
        </w:rPr>
        <w:t>‘</w:t>
      </w:r>
      <w:r w:rsidR="00007D7F" w:rsidRPr="00007D7F">
        <w:rPr>
          <w:rFonts w:ascii="Arial" w:hAnsi="Arial" w:cs="Arial"/>
          <w:sz w:val="20"/>
        </w:rPr>
        <w:t>independent</w:t>
      </w:r>
      <w:r w:rsidR="00064D97">
        <w:rPr>
          <w:rFonts w:ascii="Arial" w:hAnsi="Arial" w:cs="Arial"/>
          <w:sz w:val="20"/>
        </w:rPr>
        <w:t>’</w:t>
      </w:r>
      <w:r w:rsidR="00007D7F" w:rsidRPr="00007D7F">
        <w:rPr>
          <w:rFonts w:ascii="Arial" w:hAnsi="Arial" w:cs="Arial"/>
          <w:sz w:val="20"/>
        </w:rPr>
        <w:t xml:space="preserve"> of the testimony of the complainant</w:t>
      </w:r>
      <w:r w:rsidR="00064D97">
        <w:rPr>
          <w:rFonts w:ascii="Arial" w:hAnsi="Arial" w:cs="Arial"/>
          <w:sz w:val="20"/>
        </w:rPr>
        <w:t xml:space="preserve"> {</w:t>
      </w:r>
      <w:r w:rsidR="00064D97" w:rsidRPr="00064D97">
        <w:rPr>
          <w:rFonts w:ascii="Arial" w:hAnsi="Arial" w:cs="Arial"/>
          <w:i/>
          <w:iCs/>
          <w:sz w:val="20"/>
        </w:rPr>
        <w:t>Churchill</w:t>
      </w:r>
      <w:r w:rsidR="00064D97" w:rsidRPr="00007D7F">
        <w:rPr>
          <w:rFonts w:ascii="Arial" w:hAnsi="Arial" w:cs="Arial"/>
          <w:sz w:val="20"/>
        </w:rPr>
        <w:t xml:space="preserve"> </w:t>
      </w:r>
      <w:r w:rsidR="00064D97">
        <w:rPr>
          <w:rFonts w:ascii="Arial" w:hAnsi="Arial" w:cs="Arial"/>
          <w:sz w:val="20"/>
        </w:rPr>
        <w:t>at</w:t>
      </w:r>
      <w:r w:rsidR="00064D97" w:rsidRPr="00007D7F">
        <w:rPr>
          <w:rFonts w:ascii="Arial" w:hAnsi="Arial" w:cs="Arial"/>
          <w:sz w:val="20"/>
        </w:rPr>
        <w:t xml:space="preserve"> [43]</w:t>
      </w:r>
      <w:r w:rsidR="00064D97">
        <w:rPr>
          <w:rFonts w:ascii="Arial" w:hAnsi="Arial" w:cs="Arial"/>
          <w:sz w:val="20"/>
        </w:rPr>
        <w:t>}</w:t>
      </w:r>
      <w:r w:rsidR="00007D7F" w:rsidRPr="00007D7F">
        <w:rPr>
          <w:rFonts w:ascii="Arial" w:hAnsi="Arial" w:cs="Arial"/>
          <w:sz w:val="20"/>
        </w:rPr>
        <w:t xml:space="preserve">. Under that superseded evidentiary rule, evidence of distress could only be considered to be </w:t>
      </w:r>
      <w:r w:rsidR="00064D97">
        <w:rPr>
          <w:rFonts w:ascii="Arial" w:hAnsi="Arial" w:cs="Arial"/>
          <w:sz w:val="20"/>
        </w:rPr>
        <w:t>‘</w:t>
      </w:r>
      <w:r w:rsidR="00007D7F" w:rsidRPr="00007D7F">
        <w:rPr>
          <w:rFonts w:ascii="Arial" w:hAnsi="Arial" w:cs="Arial"/>
          <w:sz w:val="20"/>
        </w:rPr>
        <w:t>independent</w:t>
      </w:r>
      <w:r w:rsidR="00064D97">
        <w:rPr>
          <w:rFonts w:ascii="Arial" w:hAnsi="Arial" w:cs="Arial"/>
          <w:sz w:val="20"/>
        </w:rPr>
        <w:t>’</w:t>
      </w:r>
      <w:r w:rsidR="00007D7F" w:rsidRPr="00007D7F">
        <w:rPr>
          <w:rFonts w:ascii="Arial" w:hAnsi="Arial" w:cs="Arial"/>
          <w:sz w:val="20"/>
        </w:rPr>
        <w:t xml:space="preserve"> and thus corroborative if there was a causal connection rationally open to be drawn by the jury between the alleged offence and the complainant's distress and that connection could not be established if the evidence was </w:t>
      </w:r>
      <w:r w:rsidR="00064D97">
        <w:rPr>
          <w:rFonts w:ascii="Arial" w:hAnsi="Arial" w:cs="Arial"/>
          <w:sz w:val="20"/>
        </w:rPr>
        <w:t>‘</w:t>
      </w:r>
      <w:r w:rsidR="00007D7F" w:rsidRPr="00007D7F">
        <w:rPr>
          <w:rFonts w:ascii="Arial" w:hAnsi="Arial" w:cs="Arial"/>
          <w:sz w:val="20"/>
        </w:rPr>
        <w:t>of an equivocal nature</w:t>
      </w:r>
      <w:r w:rsidR="00064D97">
        <w:rPr>
          <w:rFonts w:ascii="Arial" w:hAnsi="Arial" w:cs="Arial"/>
          <w:sz w:val="20"/>
        </w:rPr>
        <w:t>’ {</w:t>
      </w:r>
      <w:r w:rsidR="00064D97" w:rsidRPr="00064D97">
        <w:rPr>
          <w:rFonts w:ascii="Arial" w:hAnsi="Arial" w:cs="Arial"/>
          <w:i/>
          <w:iCs/>
          <w:sz w:val="20"/>
        </w:rPr>
        <w:t>Churchill</w:t>
      </w:r>
      <w:r w:rsidR="00064D97" w:rsidRPr="00007D7F">
        <w:rPr>
          <w:rFonts w:ascii="Arial" w:hAnsi="Arial" w:cs="Arial"/>
          <w:sz w:val="20"/>
        </w:rPr>
        <w:t xml:space="preserve"> </w:t>
      </w:r>
      <w:r w:rsidR="00064D97">
        <w:rPr>
          <w:rFonts w:ascii="Arial" w:hAnsi="Arial" w:cs="Arial"/>
          <w:sz w:val="20"/>
        </w:rPr>
        <w:t>at</w:t>
      </w:r>
      <w:r w:rsidR="00064D97" w:rsidRPr="00007D7F">
        <w:rPr>
          <w:rFonts w:ascii="Arial" w:hAnsi="Arial" w:cs="Arial"/>
          <w:sz w:val="20"/>
        </w:rPr>
        <w:t xml:space="preserve"> [4</w:t>
      </w:r>
      <w:r w:rsidR="00064D97">
        <w:rPr>
          <w:rFonts w:ascii="Arial" w:hAnsi="Arial" w:cs="Arial"/>
          <w:sz w:val="20"/>
        </w:rPr>
        <w:t>4</w:t>
      </w:r>
      <w:r w:rsidR="00064D97" w:rsidRPr="00007D7F">
        <w:rPr>
          <w:rFonts w:ascii="Arial" w:hAnsi="Arial" w:cs="Arial"/>
          <w:sz w:val="20"/>
        </w:rPr>
        <w:t xml:space="preserve">], quoting </w:t>
      </w:r>
      <w:r w:rsidR="00064D97" w:rsidRPr="00064D97">
        <w:rPr>
          <w:rFonts w:ascii="Arial" w:hAnsi="Arial" w:cs="Arial"/>
          <w:i/>
          <w:iCs/>
          <w:sz w:val="20"/>
        </w:rPr>
        <w:t>R v Flannery</w:t>
      </w:r>
      <w:r w:rsidR="00064D97" w:rsidRPr="00007D7F">
        <w:rPr>
          <w:rFonts w:ascii="Arial" w:hAnsi="Arial" w:cs="Arial"/>
          <w:sz w:val="20"/>
        </w:rPr>
        <w:t xml:space="preserve"> [1969] VR 586 at 592</w:t>
      </w:r>
      <w:r w:rsidR="00064D97">
        <w:rPr>
          <w:rFonts w:ascii="Arial" w:hAnsi="Arial" w:cs="Arial"/>
          <w:sz w:val="20"/>
        </w:rPr>
        <w:t>}</w:t>
      </w:r>
      <w:r w:rsidR="00064D97" w:rsidRPr="00007D7F">
        <w:rPr>
          <w:rFonts w:ascii="Arial" w:hAnsi="Arial" w:cs="Arial"/>
          <w:sz w:val="20"/>
        </w:rPr>
        <w:t>.</w:t>
      </w:r>
    </w:p>
    <w:p w14:paraId="2352EE5A" w14:textId="775004FA" w:rsidR="007B4F28" w:rsidRDefault="007B4F28" w:rsidP="007B4F28">
      <w:pPr>
        <w:spacing w:before="60"/>
        <w:ind w:left="567" w:right="567"/>
        <w:jc w:val="both"/>
        <w:rPr>
          <w:rFonts w:ascii="Arial" w:hAnsi="Arial" w:cs="Arial"/>
          <w:sz w:val="20"/>
        </w:rPr>
      </w:pPr>
      <w:r>
        <w:rPr>
          <w:rFonts w:ascii="Arial" w:hAnsi="Arial" w:cs="Arial"/>
          <w:sz w:val="20"/>
        </w:rPr>
        <w:t>[</w:t>
      </w:r>
      <w:r w:rsidR="00007D7F" w:rsidRPr="00007D7F">
        <w:rPr>
          <w:rFonts w:ascii="Arial" w:hAnsi="Arial" w:cs="Arial"/>
          <w:sz w:val="20"/>
        </w:rPr>
        <w:t>26</w:t>
      </w:r>
      <w:r>
        <w:rPr>
          <w:rFonts w:ascii="Arial" w:hAnsi="Arial" w:cs="Arial"/>
          <w:sz w:val="20"/>
        </w:rPr>
        <w:t>]</w:t>
      </w:r>
      <w:r w:rsidR="00007D7F" w:rsidRPr="00007D7F">
        <w:rPr>
          <w:rFonts w:ascii="Arial" w:hAnsi="Arial" w:cs="Arial"/>
          <w:sz w:val="20"/>
        </w:rPr>
        <w:t xml:space="preserve"> Third, the majority's description of the distress evidence as </w:t>
      </w:r>
      <w:r>
        <w:rPr>
          <w:rFonts w:ascii="Arial" w:hAnsi="Arial" w:cs="Arial"/>
          <w:sz w:val="20"/>
        </w:rPr>
        <w:t>‘</w:t>
      </w:r>
      <w:r w:rsidR="00007D7F" w:rsidRPr="00007D7F">
        <w:rPr>
          <w:rFonts w:ascii="Arial" w:hAnsi="Arial" w:cs="Arial"/>
          <w:sz w:val="20"/>
        </w:rPr>
        <w:t>intractably neutral</w:t>
      </w:r>
      <w:r>
        <w:rPr>
          <w:rFonts w:ascii="Arial" w:hAnsi="Arial" w:cs="Arial"/>
          <w:sz w:val="20"/>
        </w:rPr>
        <w:t>’</w:t>
      </w:r>
      <w:r w:rsidR="00007D7F" w:rsidRPr="00007D7F">
        <w:rPr>
          <w:rFonts w:ascii="Arial" w:hAnsi="Arial" w:cs="Arial"/>
          <w:sz w:val="20"/>
        </w:rPr>
        <w:t xml:space="preserve"> does not reflect a proper application of s 55 of the </w:t>
      </w:r>
      <w:r w:rsidR="00007D7F" w:rsidRPr="007B4F28">
        <w:rPr>
          <w:rFonts w:ascii="Arial" w:hAnsi="Arial" w:cs="Arial"/>
          <w:i/>
          <w:iCs/>
          <w:sz w:val="20"/>
        </w:rPr>
        <w:t>Evidence Act</w:t>
      </w:r>
      <w:r w:rsidR="00007D7F" w:rsidRPr="00007D7F">
        <w:rPr>
          <w:rFonts w:ascii="Arial" w:hAnsi="Arial" w:cs="Arial"/>
          <w:sz w:val="20"/>
        </w:rPr>
        <w:t xml:space="preserve">. Instead, it reflects the application of the superseded historical evidentiary rule just noted. Section 55(1) merely provides that evidence is relevant where the evidence, if accepted, </w:t>
      </w:r>
      <w:r>
        <w:rPr>
          <w:rFonts w:ascii="Arial" w:hAnsi="Arial" w:cs="Arial"/>
          <w:sz w:val="20"/>
        </w:rPr>
        <w:t>‘</w:t>
      </w:r>
      <w:r w:rsidR="00007D7F" w:rsidRPr="00007D7F">
        <w:rPr>
          <w:rFonts w:ascii="Arial" w:hAnsi="Arial" w:cs="Arial"/>
          <w:sz w:val="20"/>
        </w:rPr>
        <w:t xml:space="preserve">could rationally affect (directly or </w:t>
      </w:r>
      <w:r w:rsidR="00007D7F" w:rsidRPr="00007D7F">
        <w:rPr>
          <w:rFonts w:ascii="Arial" w:hAnsi="Arial" w:cs="Arial"/>
          <w:sz w:val="20"/>
        </w:rPr>
        <w:lastRenderedPageBreak/>
        <w:t>indirectly) the assessment of the probability of the existence of a fact in issue in the proceeding</w:t>
      </w:r>
      <w:r>
        <w:rPr>
          <w:rFonts w:ascii="Arial" w:hAnsi="Arial" w:cs="Arial"/>
          <w:sz w:val="20"/>
        </w:rPr>
        <w:t>’</w:t>
      </w:r>
      <w:r w:rsidR="00007D7F" w:rsidRPr="00007D7F">
        <w:rPr>
          <w:rFonts w:ascii="Arial" w:hAnsi="Arial" w:cs="Arial"/>
          <w:sz w:val="20"/>
        </w:rPr>
        <w:t>. The circumstance that there could be another explanation for the distress evidence does not mean that the test of relevance in s 55 is not satisfied. Instead, consideration must be given to whether there is a process of reasoning by which the evidence could rationally affect the assessment of the probabilities</w:t>
      </w:r>
      <w:r w:rsidR="00064D97">
        <w:rPr>
          <w:rFonts w:ascii="Arial" w:hAnsi="Arial" w:cs="Arial"/>
          <w:sz w:val="20"/>
        </w:rPr>
        <w:t xml:space="preserve"> {</w:t>
      </w:r>
      <w:r w:rsidR="00064D97" w:rsidRPr="00064D97">
        <w:rPr>
          <w:rFonts w:ascii="Arial" w:hAnsi="Arial" w:cs="Arial"/>
          <w:i/>
          <w:iCs/>
          <w:sz w:val="20"/>
        </w:rPr>
        <w:t>Washer v Western Australia</w:t>
      </w:r>
      <w:r w:rsidR="00064D97" w:rsidRPr="00007D7F">
        <w:rPr>
          <w:rFonts w:ascii="Arial" w:hAnsi="Arial" w:cs="Arial"/>
          <w:sz w:val="20"/>
        </w:rPr>
        <w:t xml:space="preserve"> (2007) 234 CLR 492 at 497-498 [5]</w:t>
      </w:r>
      <w:r w:rsidR="00064D97">
        <w:rPr>
          <w:rFonts w:ascii="Arial" w:hAnsi="Arial" w:cs="Arial"/>
          <w:sz w:val="20"/>
        </w:rPr>
        <w:t>}.</w:t>
      </w:r>
      <w:r w:rsidR="00007D7F" w:rsidRPr="00007D7F">
        <w:rPr>
          <w:rFonts w:ascii="Arial" w:hAnsi="Arial" w:cs="Arial"/>
          <w:sz w:val="20"/>
        </w:rPr>
        <w:t xml:space="preserve"> In circumstances where the complaint of rape was accompanied by evidence of distress and the probative effect of the distress evidence was to be considered having regard to the content of the complaint</w:t>
      </w:r>
      <w:r w:rsidR="00064D97">
        <w:rPr>
          <w:rFonts w:ascii="Arial" w:hAnsi="Arial" w:cs="Arial"/>
          <w:sz w:val="20"/>
        </w:rPr>
        <w:t xml:space="preserve"> {</w:t>
      </w:r>
      <w:r w:rsidR="00064D97" w:rsidRPr="00064D97">
        <w:rPr>
          <w:rFonts w:ascii="Arial" w:hAnsi="Arial" w:cs="Arial"/>
          <w:i/>
          <w:iCs/>
          <w:sz w:val="20"/>
        </w:rPr>
        <w:t>HML v The Queen</w:t>
      </w:r>
      <w:r w:rsidR="00064D97" w:rsidRPr="00007D7F">
        <w:rPr>
          <w:rFonts w:ascii="Arial" w:hAnsi="Arial" w:cs="Arial"/>
          <w:sz w:val="20"/>
        </w:rPr>
        <w:t xml:space="preserve"> (2008) 235 CLR 334 at 352 [6]</w:t>
      </w:r>
      <w:r w:rsidR="00064D97">
        <w:rPr>
          <w:rFonts w:ascii="Arial" w:hAnsi="Arial" w:cs="Arial"/>
          <w:sz w:val="20"/>
        </w:rPr>
        <w:t>}</w:t>
      </w:r>
      <w:r w:rsidR="00007D7F" w:rsidRPr="00007D7F">
        <w:rPr>
          <w:rFonts w:ascii="Arial" w:hAnsi="Arial" w:cs="Arial"/>
          <w:sz w:val="20"/>
        </w:rPr>
        <w:t>, the test of relevance in s 55 was satisfied.</w:t>
      </w:r>
    </w:p>
    <w:p w14:paraId="69D000CB" w14:textId="1945B9E2" w:rsidR="007B4F28" w:rsidRDefault="007B4F28" w:rsidP="007B4F28">
      <w:pPr>
        <w:spacing w:before="60"/>
        <w:ind w:left="567" w:right="567"/>
        <w:jc w:val="both"/>
        <w:rPr>
          <w:rFonts w:ascii="Arial" w:hAnsi="Arial" w:cs="Arial"/>
          <w:sz w:val="20"/>
        </w:rPr>
      </w:pPr>
      <w:r>
        <w:rPr>
          <w:rFonts w:ascii="Arial" w:hAnsi="Arial" w:cs="Arial"/>
          <w:sz w:val="20"/>
        </w:rPr>
        <w:t>[</w:t>
      </w:r>
      <w:r w:rsidR="00007D7F" w:rsidRPr="00007D7F">
        <w:rPr>
          <w:rFonts w:ascii="Arial" w:hAnsi="Arial" w:cs="Arial"/>
          <w:sz w:val="20"/>
        </w:rPr>
        <w:t>27</w:t>
      </w:r>
      <w:r>
        <w:rPr>
          <w:rFonts w:ascii="Arial" w:hAnsi="Arial" w:cs="Arial"/>
          <w:sz w:val="20"/>
        </w:rPr>
        <w:t>]</w:t>
      </w:r>
      <w:r w:rsidR="00007D7F" w:rsidRPr="00007D7F">
        <w:rPr>
          <w:rFonts w:ascii="Arial" w:hAnsi="Arial" w:cs="Arial"/>
          <w:sz w:val="20"/>
        </w:rPr>
        <w:t xml:space="preserve"> Fourth, as Niall JA found</w:t>
      </w:r>
      <w:r w:rsidR="00064D97">
        <w:rPr>
          <w:rFonts w:ascii="Arial" w:hAnsi="Arial" w:cs="Arial"/>
          <w:sz w:val="20"/>
        </w:rPr>
        <w:t xml:space="preserve"> at [</w:t>
      </w:r>
      <w:r w:rsidR="008A225F">
        <w:rPr>
          <w:rFonts w:ascii="Arial" w:hAnsi="Arial" w:cs="Arial"/>
          <w:sz w:val="20"/>
        </w:rPr>
        <w:t>281</w:t>
      </w:r>
      <w:r w:rsidR="00064D97">
        <w:rPr>
          <w:rFonts w:ascii="Arial" w:hAnsi="Arial" w:cs="Arial"/>
          <w:sz w:val="20"/>
        </w:rPr>
        <w:t>]</w:t>
      </w:r>
      <w:r w:rsidR="00007D7F" w:rsidRPr="00007D7F">
        <w:rPr>
          <w:rFonts w:ascii="Arial" w:hAnsi="Arial" w:cs="Arial"/>
          <w:sz w:val="20"/>
        </w:rPr>
        <w:t xml:space="preserve">, the trial judge's directions did not invite </w:t>
      </w:r>
      <w:r>
        <w:rPr>
          <w:rFonts w:ascii="Arial" w:hAnsi="Arial" w:cs="Arial"/>
          <w:sz w:val="20"/>
        </w:rPr>
        <w:t>‘</w:t>
      </w:r>
      <w:r w:rsidR="00007D7F" w:rsidRPr="00007D7F">
        <w:rPr>
          <w:rFonts w:ascii="Arial" w:hAnsi="Arial" w:cs="Arial"/>
          <w:sz w:val="20"/>
        </w:rPr>
        <w:t>the jury to treat the distress evidence as independent corroboration</w:t>
      </w:r>
      <w:r>
        <w:rPr>
          <w:rFonts w:ascii="Arial" w:hAnsi="Arial" w:cs="Arial"/>
          <w:sz w:val="20"/>
        </w:rPr>
        <w:t>’</w:t>
      </w:r>
      <w:r w:rsidR="00007D7F" w:rsidRPr="00007D7F">
        <w:rPr>
          <w:rFonts w:ascii="Arial" w:hAnsi="Arial" w:cs="Arial"/>
          <w:sz w:val="20"/>
        </w:rPr>
        <w:t xml:space="preserve"> of AB's account</w:t>
      </w:r>
      <w:r w:rsidR="008A225F">
        <w:rPr>
          <w:rFonts w:ascii="Arial" w:hAnsi="Arial" w:cs="Arial"/>
          <w:sz w:val="20"/>
        </w:rPr>
        <w:t>.</w:t>
      </w:r>
      <w:r w:rsidR="00007D7F" w:rsidRPr="00007D7F">
        <w:rPr>
          <w:rFonts w:ascii="Arial" w:hAnsi="Arial" w:cs="Arial"/>
          <w:sz w:val="20"/>
        </w:rPr>
        <w:t xml:space="preserve"> Once any requirement for corroboration is put aside, it is potentially misleading to treat indirect or circumstantial evidence as synonymous with "independent" evidence. Two pieces of evidence can be </w:t>
      </w:r>
      <w:r w:rsidR="008A225F">
        <w:rPr>
          <w:rFonts w:ascii="Arial" w:hAnsi="Arial" w:cs="Arial"/>
          <w:sz w:val="20"/>
        </w:rPr>
        <w:t>‘</w:t>
      </w:r>
      <w:r w:rsidR="00007D7F" w:rsidRPr="00007D7F">
        <w:rPr>
          <w:rFonts w:ascii="Arial" w:hAnsi="Arial" w:cs="Arial"/>
          <w:sz w:val="20"/>
        </w:rPr>
        <w:t>independent</w:t>
      </w:r>
      <w:r w:rsidR="008A225F">
        <w:rPr>
          <w:rFonts w:ascii="Arial" w:hAnsi="Arial" w:cs="Arial"/>
          <w:sz w:val="20"/>
        </w:rPr>
        <w:t>’</w:t>
      </w:r>
      <w:r w:rsidR="00007D7F" w:rsidRPr="00007D7F">
        <w:rPr>
          <w:rFonts w:ascii="Arial" w:hAnsi="Arial" w:cs="Arial"/>
          <w:sz w:val="20"/>
        </w:rPr>
        <w:t xml:space="preserve"> in the sense that each emanates from a different and unrelated source, such as two separate eyewitnesses to an offence. Evidence such as that given by AB's mother can also be characterised as </w:t>
      </w:r>
      <w:r w:rsidR="008A225F">
        <w:rPr>
          <w:rFonts w:ascii="Arial" w:hAnsi="Arial" w:cs="Arial"/>
          <w:sz w:val="20"/>
        </w:rPr>
        <w:t>‘</w:t>
      </w:r>
      <w:r w:rsidR="00007D7F" w:rsidRPr="00007D7F">
        <w:rPr>
          <w:rFonts w:ascii="Arial" w:hAnsi="Arial" w:cs="Arial"/>
          <w:sz w:val="20"/>
        </w:rPr>
        <w:t>independent</w:t>
      </w:r>
      <w:r w:rsidR="008A225F">
        <w:rPr>
          <w:rFonts w:ascii="Arial" w:hAnsi="Arial" w:cs="Arial"/>
          <w:sz w:val="20"/>
        </w:rPr>
        <w:t>’</w:t>
      </w:r>
      <w:r w:rsidR="00007D7F" w:rsidRPr="00007D7F">
        <w:rPr>
          <w:rFonts w:ascii="Arial" w:hAnsi="Arial" w:cs="Arial"/>
          <w:sz w:val="20"/>
        </w:rPr>
        <w:t xml:space="preserve"> if it is adduced from a separate source to the testimony of the witness who was distressed, even though, as Niall</w:t>
      </w:r>
      <w:r w:rsidR="008A225F">
        <w:rPr>
          <w:rFonts w:ascii="Arial" w:hAnsi="Arial" w:cs="Arial"/>
          <w:sz w:val="20"/>
        </w:rPr>
        <w:t> </w:t>
      </w:r>
      <w:r w:rsidR="00007D7F" w:rsidRPr="00007D7F">
        <w:rPr>
          <w:rFonts w:ascii="Arial" w:hAnsi="Arial" w:cs="Arial"/>
          <w:sz w:val="20"/>
        </w:rPr>
        <w:t>JA observed</w:t>
      </w:r>
      <w:r w:rsidR="008A225F">
        <w:rPr>
          <w:rFonts w:ascii="Arial" w:hAnsi="Arial" w:cs="Arial"/>
          <w:sz w:val="20"/>
        </w:rPr>
        <w:t xml:space="preserve"> at [264]</w:t>
      </w:r>
      <w:r w:rsidR="00007D7F" w:rsidRPr="00007D7F">
        <w:rPr>
          <w:rFonts w:ascii="Arial" w:hAnsi="Arial" w:cs="Arial"/>
          <w:sz w:val="20"/>
        </w:rPr>
        <w:t xml:space="preserve">, </w:t>
      </w:r>
      <w:r w:rsidR="008A225F">
        <w:rPr>
          <w:rFonts w:ascii="Arial" w:hAnsi="Arial" w:cs="Arial"/>
          <w:sz w:val="20"/>
        </w:rPr>
        <w:t>‘</w:t>
      </w:r>
      <w:r w:rsidR="00007D7F" w:rsidRPr="00007D7F">
        <w:rPr>
          <w:rFonts w:ascii="Arial" w:hAnsi="Arial" w:cs="Arial"/>
          <w:sz w:val="20"/>
        </w:rPr>
        <w:t>[d]</w:t>
      </w:r>
      <w:proofErr w:type="spellStart"/>
      <w:r w:rsidR="00007D7F" w:rsidRPr="00007D7F">
        <w:rPr>
          <w:rFonts w:ascii="Arial" w:hAnsi="Arial" w:cs="Arial"/>
          <w:sz w:val="20"/>
        </w:rPr>
        <w:t>istress</w:t>
      </w:r>
      <w:proofErr w:type="spellEnd"/>
      <w:r w:rsidR="00007D7F" w:rsidRPr="00007D7F">
        <w:rPr>
          <w:rFonts w:ascii="Arial" w:hAnsi="Arial" w:cs="Arial"/>
          <w:sz w:val="20"/>
        </w:rPr>
        <w:t xml:space="preserve"> evidence always [ultimately] emanates from the complainant</w:t>
      </w:r>
      <w:r w:rsidR="008A225F">
        <w:rPr>
          <w:rFonts w:ascii="Arial" w:hAnsi="Arial" w:cs="Arial"/>
          <w:sz w:val="20"/>
        </w:rPr>
        <w:t>’.</w:t>
      </w:r>
      <w:r w:rsidR="00007D7F" w:rsidRPr="00007D7F">
        <w:rPr>
          <w:rFonts w:ascii="Arial" w:hAnsi="Arial" w:cs="Arial"/>
          <w:sz w:val="20"/>
        </w:rPr>
        <w:t xml:space="preserve"> In light of </w:t>
      </w:r>
      <w:r w:rsidR="00007D7F" w:rsidRPr="008A225F">
        <w:rPr>
          <w:rFonts w:ascii="Arial" w:hAnsi="Arial" w:cs="Arial"/>
          <w:i/>
          <w:iCs/>
          <w:sz w:val="20"/>
        </w:rPr>
        <w:t>Churchill</w:t>
      </w:r>
      <w:r w:rsidR="00007D7F" w:rsidRPr="00007D7F">
        <w:rPr>
          <w:rFonts w:ascii="Arial" w:hAnsi="Arial" w:cs="Arial"/>
          <w:sz w:val="20"/>
        </w:rPr>
        <w:t xml:space="preserve"> it suffices to note that whether or not distress evidence is </w:t>
      </w:r>
      <w:r w:rsidR="008A225F">
        <w:rPr>
          <w:rFonts w:ascii="Arial" w:hAnsi="Arial" w:cs="Arial"/>
          <w:sz w:val="20"/>
        </w:rPr>
        <w:t>‘</w:t>
      </w:r>
      <w:r w:rsidR="00007D7F" w:rsidRPr="00007D7F">
        <w:rPr>
          <w:rFonts w:ascii="Arial" w:hAnsi="Arial" w:cs="Arial"/>
          <w:sz w:val="20"/>
        </w:rPr>
        <w:t>independent</w:t>
      </w:r>
      <w:r w:rsidR="008A225F">
        <w:rPr>
          <w:rFonts w:ascii="Arial" w:hAnsi="Arial" w:cs="Arial"/>
          <w:sz w:val="20"/>
        </w:rPr>
        <w:t>’</w:t>
      </w:r>
      <w:r w:rsidR="00007D7F" w:rsidRPr="00007D7F">
        <w:rPr>
          <w:rFonts w:ascii="Arial" w:hAnsi="Arial" w:cs="Arial"/>
          <w:sz w:val="20"/>
        </w:rPr>
        <w:t xml:space="preserve"> in either sense is generally irrelevant to an assessment of the evidence's admissibility and use.</w:t>
      </w:r>
    </w:p>
    <w:p w14:paraId="0B1C9F2A" w14:textId="1C9B4EBA" w:rsidR="008060F5" w:rsidRPr="008060F5" w:rsidRDefault="007B4F28" w:rsidP="007B4F28">
      <w:pPr>
        <w:spacing w:before="60"/>
        <w:ind w:left="567" w:right="567"/>
        <w:jc w:val="both"/>
        <w:rPr>
          <w:rFonts w:ascii="Arial" w:hAnsi="Arial" w:cs="Arial"/>
          <w:sz w:val="20"/>
        </w:rPr>
      </w:pPr>
      <w:r>
        <w:rPr>
          <w:rFonts w:ascii="Arial" w:hAnsi="Arial" w:cs="Arial"/>
          <w:sz w:val="20"/>
        </w:rPr>
        <w:t>[</w:t>
      </w:r>
      <w:r w:rsidR="00007D7F" w:rsidRPr="00007D7F">
        <w:rPr>
          <w:rFonts w:ascii="Arial" w:hAnsi="Arial" w:cs="Arial"/>
          <w:sz w:val="20"/>
        </w:rPr>
        <w:t>28</w:t>
      </w:r>
      <w:r>
        <w:rPr>
          <w:rFonts w:ascii="Arial" w:hAnsi="Arial" w:cs="Arial"/>
          <w:sz w:val="20"/>
        </w:rPr>
        <w:t>]</w:t>
      </w:r>
      <w:r w:rsidR="00007D7F" w:rsidRPr="00007D7F">
        <w:rPr>
          <w:rFonts w:ascii="Arial" w:hAnsi="Arial" w:cs="Arial"/>
          <w:sz w:val="20"/>
        </w:rPr>
        <w:t xml:space="preserve"> In the end result, the trial judge's directions to the jury were consistent with </w:t>
      </w:r>
      <w:r w:rsidR="00007D7F" w:rsidRPr="007B4F28">
        <w:rPr>
          <w:rFonts w:ascii="Arial" w:hAnsi="Arial" w:cs="Arial"/>
          <w:i/>
          <w:iCs/>
          <w:sz w:val="20"/>
        </w:rPr>
        <w:t>Churchill</w:t>
      </w:r>
      <w:r w:rsidR="00007D7F" w:rsidRPr="00007D7F">
        <w:rPr>
          <w:rFonts w:ascii="Arial" w:hAnsi="Arial" w:cs="Arial"/>
          <w:sz w:val="20"/>
        </w:rPr>
        <w:t>. Those directions did not occasion a substantial miscarriage of justice. It follows that the sole ground of appeal must be upheld.</w:t>
      </w:r>
      <w:r>
        <w:rPr>
          <w:rFonts w:ascii="Arial" w:hAnsi="Arial" w:cs="Arial"/>
          <w:sz w:val="20"/>
        </w:rPr>
        <w:t>”</w:t>
      </w:r>
    </w:p>
    <w:p w14:paraId="79958553" w14:textId="77777777" w:rsidR="00787056" w:rsidRDefault="00787056" w:rsidP="00466896">
      <w:pPr>
        <w:jc w:val="both"/>
        <w:rPr>
          <w:rFonts w:ascii="Arial" w:hAnsi="Arial" w:cs="Arial"/>
          <w:sz w:val="20"/>
        </w:rPr>
      </w:pPr>
    </w:p>
    <w:p w14:paraId="0A572667" w14:textId="41BCC09B" w:rsidR="001F20F0" w:rsidRPr="00326ED0" w:rsidRDefault="001F20F0" w:rsidP="00466896">
      <w:pPr>
        <w:jc w:val="both"/>
        <w:rPr>
          <w:rFonts w:ascii="Arial" w:hAnsi="Arial" w:cs="Arial"/>
          <w:sz w:val="20"/>
          <w:szCs w:val="20"/>
        </w:rPr>
      </w:pPr>
      <w:r>
        <w:rPr>
          <w:rFonts w:ascii="Arial" w:hAnsi="Arial" w:cs="Arial"/>
          <w:sz w:val="20"/>
        </w:rPr>
        <w:t xml:space="preserve">See also </w:t>
      </w:r>
      <w:bookmarkStart w:id="624" w:name="_Hlk211241266"/>
      <w:r w:rsidRPr="001F20F0">
        <w:rPr>
          <w:rFonts w:ascii="Arial" w:hAnsi="Arial" w:cs="Arial"/>
          <w:i/>
          <w:iCs/>
          <w:sz w:val="20"/>
        </w:rPr>
        <w:t>Foster (a pseudonym) v The King</w:t>
      </w:r>
      <w:r>
        <w:rPr>
          <w:rFonts w:ascii="Arial" w:hAnsi="Arial" w:cs="Arial"/>
          <w:sz w:val="20"/>
        </w:rPr>
        <w:t xml:space="preserve"> [2025] VSCA 242 at [49]-[76]</w:t>
      </w:r>
      <w:bookmarkEnd w:id="624"/>
      <w:r w:rsidR="00326ED0">
        <w:rPr>
          <w:rFonts w:ascii="Arial" w:hAnsi="Arial" w:cs="Arial"/>
          <w:sz w:val="20"/>
        </w:rPr>
        <w:t xml:space="preserve">; </w:t>
      </w:r>
      <w:r w:rsidR="00326ED0" w:rsidRPr="00F26C35">
        <w:rPr>
          <w:rFonts w:ascii="Arial" w:hAnsi="Arial" w:cs="Arial"/>
          <w:i/>
          <w:iCs/>
          <w:color w:val="000000"/>
          <w:sz w:val="20"/>
          <w:szCs w:val="20"/>
        </w:rPr>
        <w:t>Poyser v The King</w:t>
      </w:r>
      <w:r w:rsidR="00326ED0">
        <w:rPr>
          <w:rFonts w:ascii="Arial" w:hAnsi="Arial" w:cs="Arial"/>
          <w:color w:val="000000"/>
          <w:sz w:val="20"/>
          <w:szCs w:val="20"/>
        </w:rPr>
        <w:t xml:space="preserve"> [2025] </w:t>
      </w:r>
      <w:r w:rsidR="00326ED0" w:rsidRPr="00326ED0">
        <w:rPr>
          <w:rFonts w:ascii="Arial" w:hAnsi="Arial" w:cs="Arial"/>
          <w:color w:val="000000"/>
          <w:sz w:val="20"/>
          <w:szCs w:val="20"/>
        </w:rPr>
        <w:t xml:space="preserve">VSCA 308 at [24] &amp; [32] detailed in </w:t>
      </w:r>
      <w:r w:rsidR="00326ED0" w:rsidRPr="00326ED0">
        <w:rPr>
          <w:rFonts w:ascii="Arial" w:hAnsi="Arial" w:cs="Arial"/>
          <w:b/>
          <w:bCs/>
          <w:color w:val="000000"/>
          <w:sz w:val="20"/>
          <w:szCs w:val="20"/>
          <w:shd w:val="clear" w:color="auto" w:fill="C5E0B3" w:themeFill="accent6" w:themeFillTint="66"/>
        </w:rPr>
        <w:t xml:space="preserve">section </w:t>
      </w:r>
      <w:r w:rsidR="00326ED0" w:rsidRPr="00326ED0">
        <w:rPr>
          <w:rFonts w:ascii="Arial" w:hAnsi="Arial" w:cs="Arial"/>
          <w:b/>
          <w:bCs/>
          <w:sz w:val="20"/>
          <w:szCs w:val="20"/>
          <w:shd w:val="clear" w:color="auto" w:fill="C5E0B3" w:themeFill="accent6" w:themeFillTint="66"/>
        </w:rPr>
        <w:t>10.3.3.5</w:t>
      </w:r>
      <w:r w:rsidR="00326ED0" w:rsidRPr="00326ED0">
        <w:rPr>
          <w:rFonts w:ascii="Arial" w:hAnsi="Arial" w:cs="Arial"/>
          <w:b/>
          <w:color w:val="FFFFFF" w:themeColor="background1"/>
          <w:sz w:val="20"/>
          <w:szCs w:val="20"/>
          <w:shd w:val="clear" w:color="auto" w:fill="000000"/>
        </w:rPr>
        <w:t>C</w:t>
      </w:r>
      <w:r w:rsidR="00326ED0" w:rsidRPr="00326ED0">
        <w:rPr>
          <w:rFonts w:ascii="Arial" w:hAnsi="Arial" w:cs="Arial"/>
          <w:bCs/>
          <w:color w:val="000000" w:themeColor="text1"/>
          <w:sz w:val="20"/>
          <w:szCs w:val="20"/>
        </w:rPr>
        <w:t>.</w:t>
      </w:r>
    </w:p>
    <w:p w14:paraId="6F16E812" w14:textId="77777777" w:rsidR="001F20F0" w:rsidRDefault="001F20F0" w:rsidP="00466896">
      <w:pPr>
        <w:jc w:val="both"/>
        <w:rPr>
          <w:rFonts w:ascii="Arial" w:hAnsi="Arial" w:cs="Arial"/>
          <w:sz w:val="20"/>
        </w:rPr>
      </w:pPr>
    </w:p>
    <w:p w14:paraId="311AE02D" w14:textId="15BC7066" w:rsidR="00466896" w:rsidRDefault="00466896" w:rsidP="00466896">
      <w:pPr>
        <w:pStyle w:val="Heading3"/>
        <w:keepNext/>
        <w:widowControl/>
        <w:spacing w:line="240" w:lineRule="auto"/>
        <w:ind w:left="737" w:hanging="737"/>
        <w:rPr>
          <w:rFonts w:ascii="Arial" w:hAnsi="Arial" w:cs="Arial"/>
          <w:sz w:val="20"/>
        </w:rPr>
      </w:pPr>
      <w:bookmarkStart w:id="625" w:name="_3.5.3.12__Tendering"/>
      <w:bookmarkStart w:id="626" w:name="_Hlk189124062"/>
      <w:bookmarkEnd w:id="625"/>
      <w:r w:rsidRPr="008C3BC8">
        <w:rPr>
          <w:rFonts w:ascii="Arial" w:hAnsi="Arial" w:cs="Arial"/>
          <w:b/>
          <w:bCs/>
          <w:color w:val="000000"/>
          <w:sz w:val="20"/>
        </w:rPr>
        <w:t>3.5.</w:t>
      </w:r>
      <w:r>
        <w:rPr>
          <w:rFonts w:ascii="Arial" w:hAnsi="Arial" w:cs="Arial"/>
          <w:b/>
          <w:bCs/>
          <w:color w:val="000000"/>
          <w:sz w:val="20"/>
        </w:rPr>
        <w:t>3.12</w:t>
      </w:r>
      <w:r>
        <w:rPr>
          <w:rFonts w:ascii="Arial" w:hAnsi="Arial" w:cs="Arial"/>
          <w:b/>
          <w:bCs/>
          <w:color w:val="000000"/>
          <w:sz w:val="20"/>
        </w:rPr>
        <w:tab/>
        <w:t xml:space="preserve"> Tendering of documents</w:t>
      </w:r>
    </w:p>
    <w:p w14:paraId="729A11DA" w14:textId="4FE2B511" w:rsidR="00A77B0E" w:rsidRDefault="00A77B0E" w:rsidP="00466896">
      <w:pPr>
        <w:spacing w:before="120"/>
        <w:jc w:val="both"/>
        <w:rPr>
          <w:rFonts w:ascii="Arial" w:hAnsi="Arial" w:cs="Arial"/>
          <w:sz w:val="20"/>
        </w:rPr>
      </w:pPr>
      <w:r>
        <w:rPr>
          <w:rFonts w:ascii="Arial" w:hAnsi="Arial" w:cs="Arial"/>
          <w:sz w:val="20"/>
        </w:rPr>
        <w:t>Essentially a document may be tendered in an evidence-based case if:</w:t>
      </w:r>
    </w:p>
    <w:p w14:paraId="259FA185" w14:textId="50B64B53" w:rsidR="00A77B0E" w:rsidRDefault="00A77B0E" w:rsidP="00A77B0E">
      <w:pPr>
        <w:pStyle w:val="ListParagraph"/>
        <w:numPr>
          <w:ilvl w:val="0"/>
          <w:numId w:val="140"/>
        </w:numPr>
        <w:ind w:left="357" w:hanging="357"/>
        <w:jc w:val="both"/>
        <w:rPr>
          <w:rFonts w:ascii="Arial" w:hAnsi="Arial" w:cs="Arial"/>
          <w:sz w:val="20"/>
        </w:rPr>
      </w:pPr>
      <w:r w:rsidRPr="00A77B0E">
        <w:rPr>
          <w:rFonts w:ascii="Arial" w:hAnsi="Arial" w:cs="Arial"/>
          <w:sz w:val="20"/>
        </w:rPr>
        <w:t xml:space="preserve">it </w:t>
      </w:r>
      <w:r w:rsidR="004651AA">
        <w:rPr>
          <w:rFonts w:ascii="Arial" w:hAnsi="Arial" w:cs="Arial"/>
          <w:sz w:val="20"/>
        </w:rPr>
        <w:t>contains material that is</w:t>
      </w:r>
      <w:r w:rsidRPr="00A77B0E">
        <w:rPr>
          <w:rFonts w:ascii="Arial" w:hAnsi="Arial" w:cs="Arial"/>
          <w:sz w:val="20"/>
        </w:rPr>
        <w:t xml:space="preserve"> </w:t>
      </w:r>
      <w:r w:rsidRPr="004651AA">
        <w:rPr>
          <w:rFonts w:ascii="Arial" w:hAnsi="Arial" w:cs="Arial"/>
          <w:b/>
          <w:bCs/>
          <w:sz w:val="20"/>
        </w:rPr>
        <w:t>relevant</w:t>
      </w:r>
      <w:r w:rsidRPr="00A77B0E">
        <w:rPr>
          <w:rFonts w:ascii="Arial" w:hAnsi="Arial" w:cs="Arial"/>
          <w:sz w:val="20"/>
        </w:rPr>
        <w:t xml:space="preserve"> to the determination of one or more issues in the case</w:t>
      </w:r>
      <w:r>
        <w:rPr>
          <w:rFonts w:ascii="Arial" w:hAnsi="Arial" w:cs="Arial"/>
          <w:sz w:val="20"/>
        </w:rPr>
        <w:t>;</w:t>
      </w:r>
      <w:r w:rsidRPr="00A77B0E">
        <w:rPr>
          <w:rFonts w:ascii="Arial" w:hAnsi="Arial" w:cs="Arial"/>
          <w:sz w:val="20"/>
        </w:rPr>
        <w:t xml:space="preserve"> and</w:t>
      </w:r>
    </w:p>
    <w:p w14:paraId="7DF300FA" w14:textId="293C0192" w:rsidR="00A77B0E" w:rsidRPr="00A77B0E" w:rsidRDefault="00A77B0E" w:rsidP="00A77B0E">
      <w:pPr>
        <w:pStyle w:val="ListParagraph"/>
        <w:numPr>
          <w:ilvl w:val="0"/>
          <w:numId w:val="140"/>
        </w:numPr>
        <w:ind w:left="357" w:hanging="357"/>
        <w:jc w:val="both"/>
        <w:rPr>
          <w:rFonts w:ascii="Arial" w:hAnsi="Arial" w:cs="Arial"/>
          <w:sz w:val="20"/>
        </w:rPr>
      </w:pPr>
      <w:r w:rsidRPr="00A77B0E">
        <w:rPr>
          <w:rFonts w:ascii="Arial" w:hAnsi="Arial" w:cs="Arial"/>
          <w:sz w:val="20"/>
        </w:rPr>
        <w:t xml:space="preserve">it would be </w:t>
      </w:r>
      <w:r w:rsidRPr="004651AA">
        <w:rPr>
          <w:rFonts w:ascii="Arial" w:hAnsi="Arial" w:cs="Arial"/>
          <w:b/>
          <w:bCs/>
          <w:sz w:val="20"/>
        </w:rPr>
        <w:t>procedurally fair</w:t>
      </w:r>
      <w:r w:rsidRPr="00A77B0E">
        <w:rPr>
          <w:rFonts w:ascii="Arial" w:hAnsi="Arial" w:cs="Arial"/>
          <w:sz w:val="20"/>
        </w:rPr>
        <w:t xml:space="preserve"> to all of the parties for the document to be received and considered by the court.</w:t>
      </w:r>
    </w:p>
    <w:p w14:paraId="7E1CD3A2" w14:textId="77777777" w:rsidR="00A77B0E" w:rsidRDefault="00A77B0E" w:rsidP="00A77B0E">
      <w:pPr>
        <w:jc w:val="both"/>
        <w:rPr>
          <w:rFonts w:ascii="Arial" w:hAnsi="Arial" w:cs="Arial"/>
          <w:sz w:val="20"/>
          <w:szCs w:val="20"/>
        </w:rPr>
      </w:pPr>
    </w:p>
    <w:p w14:paraId="7BC044A2" w14:textId="73288910" w:rsidR="00A77B0E" w:rsidRDefault="00A77B0E" w:rsidP="00A77B0E">
      <w:pPr>
        <w:jc w:val="both"/>
        <w:rPr>
          <w:rFonts w:ascii="Arial" w:hAnsi="Arial" w:cs="Arial"/>
          <w:sz w:val="20"/>
          <w:szCs w:val="20"/>
        </w:rPr>
      </w:pPr>
      <w:r w:rsidRPr="00C41198">
        <w:rPr>
          <w:rFonts w:ascii="Arial" w:hAnsi="Arial" w:cs="Arial"/>
          <w:sz w:val="20"/>
          <w:szCs w:val="20"/>
        </w:rPr>
        <w:t xml:space="preserve">Section 55(1) of the </w:t>
      </w:r>
      <w:r w:rsidRPr="00C41198">
        <w:rPr>
          <w:rFonts w:ascii="Arial" w:hAnsi="Arial" w:cs="Arial"/>
          <w:i/>
          <w:iCs/>
          <w:sz w:val="20"/>
          <w:szCs w:val="20"/>
        </w:rPr>
        <w:t>Evidence Act 2008</w:t>
      </w:r>
      <w:r w:rsidRPr="00C41198">
        <w:rPr>
          <w:rFonts w:ascii="Arial" w:hAnsi="Arial" w:cs="Arial"/>
          <w:sz w:val="20"/>
          <w:szCs w:val="20"/>
        </w:rPr>
        <w:t xml:space="preserve"> provides that evidence is </w:t>
      </w:r>
      <w:r w:rsidRPr="003B0602">
        <w:rPr>
          <w:rFonts w:ascii="Arial" w:hAnsi="Arial" w:cs="Arial"/>
          <w:b/>
          <w:bCs/>
          <w:sz w:val="20"/>
          <w:szCs w:val="20"/>
        </w:rPr>
        <w:t>relevant</w:t>
      </w:r>
      <w:r w:rsidRPr="00C41198">
        <w:rPr>
          <w:rFonts w:ascii="Arial" w:hAnsi="Arial" w:cs="Arial"/>
          <w:sz w:val="20"/>
          <w:szCs w:val="20"/>
        </w:rPr>
        <w:t xml:space="preserve"> in a proceeding if</w:t>
      </w:r>
      <w:r w:rsidR="00786256">
        <w:rPr>
          <w:rFonts w:ascii="Arial" w:hAnsi="Arial" w:cs="Arial"/>
          <w:sz w:val="20"/>
          <w:szCs w:val="20"/>
        </w:rPr>
        <w:t>, were it accepted, it</w:t>
      </w:r>
      <w:r w:rsidRPr="00C41198">
        <w:rPr>
          <w:rFonts w:ascii="Arial" w:hAnsi="Arial" w:cs="Arial"/>
          <w:sz w:val="20"/>
          <w:szCs w:val="20"/>
        </w:rPr>
        <w:t xml:space="preserve"> </w:t>
      </w:r>
      <w:r w:rsidR="00786256">
        <w:rPr>
          <w:rFonts w:ascii="Arial" w:hAnsi="Arial" w:cs="Arial"/>
          <w:sz w:val="20"/>
          <w:szCs w:val="20"/>
        </w:rPr>
        <w:t>“</w:t>
      </w:r>
      <w:r w:rsidRPr="00C41198">
        <w:rPr>
          <w:rFonts w:ascii="Arial" w:hAnsi="Arial" w:cs="Arial"/>
          <w:sz w:val="20"/>
          <w:szCs w:val="20"/>
        </w:rPr>
        <w:t>could rationally affect (directly or indirectly) the assessment of the probability of the existence of a fact in issue in the proceeding</w:t>
      </w:r>
      <w:r w:rsidR="004651AA">
        <w:rPr>
          <w:rFonts w:ascii="Arial" w:hAnsi="Arial" w:cs="Arial"/>
          <w:sz w:val="20"/>
          <w:szCs w:val="20"/>
        </w:rPr>
        <w:t>”</w:t>
      </w:r>
      <w:r w:rsidRPr="00C41198">
        <w:rPr>
          <w:rFonts w:ascii="Arial" w:hAnsi="Arial" w:cs="Arial"/>
          <w:sz w:val="20"/>
          <w:szCs w:val="20"/>
        </w:rPr>
        <w:t>.</w:t>
      </w:r>
    </w:p>
    <w:p w14:paraId="2572297E" w14:textId="77777777" w:rsidR="004651AA" w:rsidRDefault="004651AA" w:rsidP="00A77B0E">
      <w:pPr>
        <w:jc w:val="both"/>
        <w:rPr>
          <w:rFonts w:ascii="Arial" w:hAnsi="Arial" w:cs="Arial"/>
          <w:sz w:val="20"/>
          <w:szCs w:val="20"/>
        </w:rPr>
      </w:pPr>
    </w:p>
    <w:p w14:paraId="636C30B3" w14:textId="7AA96B21" w:rsidR="00A77B0E" w:rsidRDefault="004651AA" w:rsidP="00A77B0E">
      <w:pPr>
        <w:jc w:val="both"/>
        <w:rPr>
          <w:rFonts w:ascii="Arial" w:hAnsi="Arial" w:cs="Arial"/>
          <w:bCs/>
          <w:color w:val="000000"/>
          <w:sz w:val="20"/>
        </w:rPr>
      </w:pPr>
      <w:r>
        <w:rPr>
          <w:rFonts w:ascii="Arial" w:hAnsi="Arial" w:cs="Arial"/>
          <w:sz w:val="20"/>
        </w:rPr>
        <w:t xml:space="preserve">A wider-ranging discussion of </w:t>
      </w:r>
      <w:r w:rsidRPr="003B0602">
        <w:rPr>
          <w:rFonts w:ascii="Arial" w:hAnsi="Arial" w:cs="Arial"/>
          <w:b/>
          <w:bCs/>
          <w:sz w:val="20"/>
        </w:rPr>
        <w:t>procedural fairness</w:t>
      </w:r>
      <w:r>
        <w:rPr>
          <w:rFonts w:ascii="Arial" w:hAnsi="Arial" w:cs="Arial"/>
          <w:sz w:val="20"/>
        </w:rPr>
        <w:t xml:space="preserve"> is contained in </w:t>
      </w:r>
      <w:r w:rsidRPr="004651AA">
        <w:rPr>
          <w:rFonts w:ascii="Arial" w:hAnsi="Arial" w:cs="Arial"/>
          <w:b/>
          <w:bCs/>
          <w:sz w:val="20"/>
          <w:shd w:val="clear" w:color="auto" w:fill="C5E0B3" w:themeFill="accent6" w:themeFillTint="66"/>
        </w:rPr>
        <w:t>section 3.1.1</w:t>
      </w:r>
      <w:r>
        <w:rPr>
          <w:rFonts w:ascii="Arial" w:hAnsi="Arial" w:cs="Arial"/>
          <w:sz w:val="20"/>
        </w:rPr>
        <w:t xml:space="preserve"> above. </w:t>
      </w:r>
      <w:r w:rsidR="00786256">
        <w:rPr>
          <w:rFonts w:ascii="Arial" w:hAnsi="Arial" w:cs="Arial"/>
          <w:sz w:val="20"/>
        </w:rPr>
        <w:t xml:space="preserve">Of particular note is </w:t>
      </w:r>
      <w:r w:rsidR="00786256" w:rsidRPr="00701A60">
        <w:rPr>
          <w:rFonts w:ascii="Arial" w:hAnsi="Arial" w:cs="Arial"/>
          <w:bCs/>
          <w:i/>
          <w:iCs/>
          <w:color w:val="000000"/>
          <w:sz w:val="20"/>
        </w:rPr>
        <w:t>Konidaris v The Queen</w:t>
      </w:r>
      <w:r w:rsidR="00786256">
        <w:rPr>
          <w:rFonts w:ascii="Arial" w:hAnsi="Arial" w:cs="Arial"/>
          <w:bCs/>
          <w:color w:val="000000"/>
          <w:sz w:val="20"/>
        </w:rPr>
        <w:t xml:space="preserve"> [2021] VSCA 309 where the Court of Appeal held that </w:t>
      </w:r>
      <w:r w:rsidR="003B0602">
        <w:rPr>
          <w:rFonts w:ascii="Arial" w:hAnsi="Arial" w:cs="Arial"/>
          <w:bCs/>
          <w:color w:val="000000"/>
          <w:sz w:val="20"/>
        </w:rPr>
        <w:t xml:space="preserve">in the circumstances of that case the sentencing judge </w:t>
      </w:r>
      <w:r w:rsidR="00786256">
        <w:rPr>
          <w:rFonts w:ascii="Arial" w:hAnsi="Arial" w:cs="Arial"/>
          <w:bCs/>
          <w:color w:val="000000"/>
          <w:sz w:val="20"/>
        </w:rPr>
        <w:t>had failed to afford procedural fairness to the appellant by accessing and relying on a medical report not formally tendered or relied on in the plea and by using the report to make findings contrary to the expert evidence before the Court.</w:t>
      </w:r>
    </w:p>
    <w:p w14:paraId="5E36A20F" w14:textId="77777777" w:rsidR="00786256" w:rsidRDefault="00786256" w:rsidP="00A77B0E">
      <w:pPr>
        <w:jc w:val="both"/>
        <w:rPr>
          <w:rFonts w:ascii="Arial" w:hAnsi="Arial" w:cs="Arial"/>
          <w:bCs/>
          <w:color w:val="000000"/>
          <w:sz w:val="20"/>
        </w:rPr>
      </w:pPr>
    </w:p>
    <w:p w14:paraId="7E213E51" w14:textId="2F503EDB" w:rsidR="00A77B0E" w:rsidRDefault="00786256" w:rsidP="00786256">
      <w:pPr>
        <w:jc w:val="both"/>
        <w:rPr>
          <w:rFonts w:ascii="Arial" w:hAnsi="Arial" w:cs="Arial"/>
          <w:sz w:val="20"/>
        </w:rPr>
      </w:pPr>
      <w:r>
        <w:rPr>
          <w:rFonts w:ascii="Arial" w:hAnsi="Arial" w:cs="Arial"/>
          <w:sz w:val="20"/>
        </w:rPr>
        <w:t xml:space="preserve">In </w:t>
      </w:r>
      <w:r w:rsidRPr="00A77B0E">
        <w:rPr>
          <w:rFonts w:ascii="Arial" w:hAnsi="Arial" w:cs="Arial"/>
          <w:i/>
          <w:iCs/>
          <w:sz w:val="20"/>
        </w:rPr>
        <w:t>Oberoi v Douglas</w:t>
      </w:r>
      <w:r w:rsidRPr="00A77B0E">
        <w:rPr>
          <w:rFonts w:ascii="Arial" w:hAnsi="Arial" w:cs="Arial"/>
          <w:sz w:val="20"/>
        </w:rPr>
        <w:t xml:space="preserve"> [2025] VSC 7</w:t>
      </w:r>
      <w:r>
        <w:rPr>
          <w:rFonts w:ascii="Arial" w:hAnsi="Arial" w:cs="Arial"/>
          <w:sz w:val="20"/>
        </w:rPr>
        <w:t xml:space="preserve"> Gray J dismissed an application by </w:t>
      </w:r>
      <w:r w:rsidR="007D3DFE">
        <w:rPr>
          <w:rFonts w:ascii="Arial" w:hAnsi="Arial" w:cs="Arial"/>
          <w:sz w:val="20"/>
        </w:rPr>
        <w:t xml:space="preserve">the plaintiff </w:t>
      </w:r>
      <w:r>
        <w:rPr>
          <w:rFonts w:ascii="Arial" w:hAnsi="Arial" w:cs="Arial"/>
          <w:sz w:val="20"/>
        </w:rPr>
        <w:t xml:space="preserve">driver </w:t>
      </w:r>
      <w:r w:rsidR="00A77B0E" w:rsidRPr="00A77B0E">
        <w:rPr>
          <w:rFonts w:ascii="Arial" w:hAnsi="Arial" w:cs="Arial"/>
          <w:sz w:val="20"/>
        </w:rPr>
        <w:t xml:space="preserve">for judicial review of an </w:t>
      </w:r>
      <w:r>
        <w:rPr>
          <w:rFonts w:ascii="Arial" w:hAnsi="Arial" w:cs="Arial"/>
          <w:sz w:val="20"/>
        </w:rPr>
        <w:t xml:space="preserve">order </w:t>
      </w:r>
      <w:r w:rsidR="00A77B0E" w:rsidRPr="00A77B0E">
        <w:rPr>
          <w:rFonts w:ascii="Arial" w:hAnsi="Arial" w:cs="Arial"/>
          <w:sz w:val="20"/>
        </w:rPr>
        <w:t xml:space="preserve">imposing a four year </w:t>
      </w:r>
      <w:r w:rsidR="007D3DFE">
        <w:rPr>
          <w:rFonts w:ascii="Arial" w:hAnsi="Arial" w:cs="Arial"/>
          <w:sz w:val="20"/>
        </w:rPr>
        <w:t xml:space="preserve">licence </w:t>
      </w:r>
      <w:r w:rsidR="00A77B0E" w:rsidRPr="00A77B0E">
        <w:rPr>
          <w:rFonts w:ascii="Arial" w:hAnsi="Arial" w:cs="Arial"/>
          <w:sz w:val="20"/>
        </w:rPr>
        <w:t xml:space="preserve">disqualification for an offence under s 49(1)(e) of </w:t>
      </w:r>
      <w:r w:rsidR="00A77B0E" w:rsidRPr="00A77B0E">
        <w:rPr>
          <w:rFonts w:ascii="Arial" w:hAnsi="Arial" w:cs="Arial"/>
          <w:i/>
          <w:iCs/>
          <w:sz w:val="20"/>
        </w:rPr>
        <w:t>Road Safety Act 1986</w:t>
      </w:r>
      <w:r w:rsidR="00A77B0E" w:rsidRPr="00A77B0E">
        <w:rPr>
          <w:rFonts w:ascii="Arial" w:hAnsi="Arial" w:cs="Arial"/>
          <w:sz w:val="20"/>
        </w:rPr>
        <w:t xml:space="preserve"> [RSA] of refusing to comply with a requirement under s 55(1).</w:t>
      </w:r>
      <w:r>
        <w:rPr>
          <w:rFonts w:ascii="Arial" w:hAnsi="Arial" w:cs="Arial"/>
          <w:sz w:val="20"/>
        </w:rPr>
        <w:t xml:space="preserve"> </w:t>
      </w:r>
      <w:r w:rsidR="000C7ECE">
        <w:rPr>
          <w:rFonts w:ascii="Arial" w:hAnsi="Arial" w:cs="Arial"/>
          <w:sz w:val="20"/>
        </w:rPr>
        <w:t>T</w:t>
      </w:r>
      <w:r>
        <w:rPr>
          <w:rFonts w:ascii="Arial" w:hAnsi="Arial" w:cs="Arial"/>
          <w:sz w:val="20"/>
        </w:rPr>
        <w:t xml:space="preserve">he third ground on which the application for </w:t>
      </w:r>
      <w:r w:rsidR="00A77B0E" w:rsidRPr="00A77B0E">
        <w:rPr>
          <w:rFonts w:ascii="Arial" w:hAnsi="Arial" w:cs="Arial"/>
          <w:sz w:val="20"/>
        </w:rPr>
        <w:t>judicial review was based</w:t>
      </w:r>
      <w:r>
        <w:rPr>
          <w:rFonts w:ascii="Arial" w:hAnsi="Arial" w:cs="Arial"/>
          <w:sz w:val="20"/>
        </w:rPr>
        <w:t xml:space="preserve"> w</w:t>
      </w:r>
      <w:r w:rsidR="00A77B0E" w:rsidRPr="00A77B0E">
        <w:rPr>
          <w:rFonts w:ascii="Arial" w:hAnsi="Arial" w:cs="Arial"/>
          <w:sz w:val="20"/>
        </w:rPr>
        <w:t xml:space="preserve">as that the driver’s prior history certificate under s.84(1) of the </w:t>
      </w:r>
      <w:r w:rsidR="00A77B0E" w:rsidRPr="00A77B0E">
        <w:rPr>
          <w:rFonts w:ascii="Arial" w:hAnsi="Arial" w:cs="Arial"/>
          <w:i/>
          <w:iCs/>
          <w:sz w:val="20"/>
        </w:rPr>
        <w:t>R</w:t>
      </w:r>
      <w:r w:rsidRPr="007D3DFE">
        <w:rPr>
          <w:rFonts w:ascii="Arial" w:hAnsi="Arial" w:cs="Arial"/>
          <w:i/>
          <w:iCs/>
          <w:sz w:val="20"/>
        </w:rPr>
        <w:t>oad Safety Act 1986</w:t>
      </w:r>
      <w:r>
        <w:rPr>
          <w:rFonts w:ascii="Arial" w:hAnsi="Arial" w:cs="Arial"/>
          <w:sz w:val="20"/>
        </w:rPr>
        <w:t xml:space="preserve"> </w:t>
      </w:r>
      <w:r w:rsidR="003B0602">
        <w:rPr>
          <w:rFonts w:ascii="Arial" w:hAnsi="Arial" w:cs="Arial"/>
          <w:sz w:val="20"/>
        </w:rPr>
        <w:t xml:space="preserve">– </w:t>
      </w:r>
      <w:r>
        <w:rPr>
          <w:rFonts w:ascii="Arial" w:hAnsi="Arial" w:cs="Arial"/>
          <w:sz w:val="20"/>
        </w:rPr>
        <w:t>on</w:t>
      </w:r>
      <w:r w:rsidR="003B0602">
        <w:rPr>
          <w:rFonts w:ascii="Arial" w:hAnsi="Arial" w:cs="Arial"/>
          <w:sz w:val="20"/>
        </w:rPr>
        <w:t xml:space="preserve"> </w:t>
      </w:r>
      <w:r>
        <w:rPr>
          <w:rFonts w:ascii="Arial" w:hAnsi="Arial" w:cs="Arial"/>
          <w:sz w:val="20"/>
        </w:rPr>
        <w:t xml:space="preserve">which the sentencing judge had relied to base a 4y disqualification rather than a 2y one </w:t>
      </w:r>
      <w:r w:rsidR="003B0602">
        <w:rPr>
          <w:rFonts w:ascii="Arial" w:hAnsi="Arial" w:cs="Arial"/>
          <w:sz w:val="20"/>
        </w:rPr>
        <w:t xml:space="preserve">– </w:t>
      </w:r>
      <w:r>
        <w:rPr>
          <w:rFonts w:ascii="Arial" w:hAnsi="Arial" w:cs="Arial"/>
          <w:sz w:val="20"/>
        </w:rPr>
        <w:t>was</w:t>
      </w:r>
      <w:r w:rsidR="003B0602">
        <w:rPr>
          <w:rFonts w:ascii="Arial" w:hAnsi="Arial" w:cs="Arial"/>
          <w:sz w:val="20"/>
        </w:rPr>
        <w:t xml:space="preserve"> </w:t>
      </w:r>
      <w:r w:rsidR="00A77B0E" w:rsidRPr="00A77B0E">
        <w:rPr>
          <w:rFonts w:ascii="Arial" w:hAnsi="Arial" w:cs="Arial"/>
          <w:sz w:val="20"/>
        </w:rPr>
        <w:t>“not admissible” because it was “simply handed up by the prosecutor over the plaintiff’s objection and viewed … without being formally tendered as an exhibit for the prosecution … or marked as an exhibit”: see paragraph [94].</w:t>
      </w:r>
      <w:r>
        <w:rPr>
          <w:rFonts w:ascii="Arial" w:hAnsi="Arial" w:cs="Arial"/>
          <w:sz w:val="20"/>
        </w:rPr>
        <w:t xml:space="preserve"> In dismissing this third ground Gray J said at [95]-[10</w:t>
      </w:r>
      <w:r w:rsidR="00863F5C">
        <w:rPr>
          <w:rFonts w:ascii="Arial" w:hAnsi="Arial" w:cs="Arial"/>
          <w:sz w:val="20"/>
        </w:rPr>
        <w:t>3</w:t>
      </w:r>
      <w:r>
        <w:rPr>
          <w:rFonts w:ascii="Arial" w:hAnsi="Arial" w:cs="Arial"/>
          <w:sz w:val="20"/>
        </w:rPr>
        <w:t>]:</w:t>
      </w:r>
    </w:p>
    <w:p w14:paraId="1059C891" w14:textId="7BA4D4AA" w:rsidR="00786256" w:rsidRDefault="00786256" w:rsidP="00786256">
      <w:pPr>
        <w:spacing w:before="60"/>
        <w:ind w:left="567" w:right="567"/>
        <w:jc w:val="both"/>
        <w:rPr>
          <w:rFonts w:ascii="Arial" w:hAnsi="Arial" w:cs="Arial"/>
          <w:sz w:val="20"/>
        </w:rPr>
      </w:pPr>
      <w:r>
        <w:rPr>
          <w:rFonts w:ascii="Arial" w:hAnsi="Arial" w:cs="Arial"/>
          <w:sz w:val="20"/>
        </w:rPr>
        <w:t>[95] “</w:t>
      </w:r>
      <w:r w:rsidRPr="00786256">
        <w:rPr>
          <w:rFonts w:ascii="Arial" w:hAnsi="Arial" w:cs="Arial"/>
          <w:sz w:val="20"/>
        </w:rPr>
        <w:t>The originating motion contained no alternative claim that the County Court breached the rules of procedural fairness in connection with its handling of the certificate. This is significant. It means that the only issues before me are whether a formal and express</w:t>
      </w:r>
      <w:r>
        <w:rPr>
          <w:rFonts w:ascii="Arial" w:hAnsi="Arial" w:cs="Arial"/>
          <w:sz w:val="20"/>
        </w:rPr>
        <w:t xml:space="preserve"> </w:t>
      </w:r>
      <w:r w:rsidRPr="00786256">
        <w:rPr>
          <w:rFonts w:ascii="Arial" w:hAnsi="Arial" w:cs="Arial"/>
          <w:sz w:val="20"/>
        </w:rPr>
        <w:t>‘tender’ by the prosecution was required, and whether the certificate needed to be formally noted as received in evidence and marked as an exhibit. I am not required to determine whether any broader form of procedural unfairness occurred.</w:t>
      </w:r>
    </w:p>
    <w:p w14:paraId="1EB41C41" w14:textId="131BFAC9" w:rsidR="00786256" w:rsidRDefault="00786256" w:rsidP="007D3DFE">
      <w:pPr>
        <w:spacing w:before="60"/>
        <w:ind w:left="567" w:right="567"/>
        <w:jc w:val="both"/>
        <w:rPr>
          <w:rFonts w:ascii="Arial" w:hAnsi="Arial" w:cs="Arial"/>
          <w:sz w:val="20"/>
        </w:rPr>
      </w:pPr>
      <w:r>
        <w:rPr>
          <w:rFonts w:ascii="Arial" w:hAnsi="Arial" w:cs="Arial"/>
          <w:sz w:val="20"/>
        </w:rPr>
        <w:t xml:space="preserve">[96] </w:t>
      </w:r>
      <w:r w:rsidRPr="00786256">
        <w:rPr>
          <w:rFonts w:ascii="Arial" w:hAnsi="Arial" w:cs="Arial"/>
          <w:sz w:val="20"/>
        </w:rPr>
        <w:t xml:space="preserve">I was not taken to any case in which a court has decided whether any particular formal words of tender must be used by a party or legal representative in order to tender (or adduce) a document in evidence. The </w:t>
      </w:r>
      <w:r w:rsidRPr="00786256">
        <w:rPr>
          <w:rFonts w:ascii="Arial" w:hAnsi="Arial" w:cs="Arial"/>
          <w:i/>
          <w:iCs/>
          <w:sz w:val="20"/>
        </w:rPr>
        <w:t xml:space="preserve">Evidence Act </w:t>
      </w:r>
      <w:r w:rsidRPr="00786256">
        <w:rPr>
          <w:rFonts w:ascii="Arial" w:hAnsi="Arial" w:cs="Arial"/>
          <w:sz w:val="20"/>
        </w:rPr>
        <w:t>speaks of adducing evidence</w:t>
      </w:r>
      <w:r w:rsidR="007D3DFE">
        <w:rPr>
          <w:rFonts w:ascii="Arial" w:hAnsi="Arial" w:cs="Arial"/>
          <w:sz w:val="20"/>
        </w:rPr>
        <w:t xml:space="preserve"> (</w:t>
      </w:r>
      <w:r w:rsidRPr="00786256">
        <w:rPr>
          <w:rFonts w:ascii="Arial" w:hAnsi="Arial" w:cs="Arial"/>
          <w:sz w:val="20"/>
        </w:rPr>
        <w:t xml:space="preserve">Eg, </w:t>
      </w:r>
      <w:r w:rsidRPr="00786256">
        <w:rPr>
          <w:rFonts w:ascii="Arial" w:hAnsi="Arial" w:cs="Arial"/>
          <w:i/>
          <w:iCs/>
          <w:sz w:val="20"/>
        </w:rPr>
        <w:t xml:space="preserve">Evidence Act 2008 </w:t>
      </w:r>
      <w:r w:rsidRPr="00786256">
        <w:rPr>
          <w:rFonts w:ascii="Arial" w:hAnsi="Arial" w:cs="Arial"/>
          <w:sz w:val="20"/>
        </w:rPr>
        <w:t>ch 2 heading and ss 43, 46, 47, 48, 50 and 52</w:t>
      </w:r>
      <w:r w:rsidR="007D3DFE">
        <w:rPr>
          <w:rFonts w:ascii="Arial" w:hAnsi="Arial" w:cs="Arial"/>
          <w:sz w:val="20"/>
        </w:rPr>
        <w:t>),</w:t>
      </w:r>
      <w:r w:rsidRPr="00786256">
        <w:rPr>
          <w:rFonts w:ascii="Arial" w:hAnsi="Arial" w:cs="Arial"/>
          <w:sz w:val="20"/>
        </w:rPr>
        <w:t xml:space="preserve"> including by tendering </w:t>
      </w:r>
      <w:r w:rsidRPr="00786256">
        <w:rPr>
          <w:rFonts w:ascii="Arial" w:hAnsi="Arial" w:cs="Arial"/>
          <w:sz w:val="20"/>
        </w:rPr>
        <w:lastRenderedPageBreak/>
        <w:t xml:space="preserve">documents </w:t>
      </w:r>
      <w:r w:rsidR="007D3DFE">
        <w:rPr>
          <w:rFonts w:ascii="Arial" w:hAnsi="Arial" w:cs="Arial"/>
          <w:sz w:val="20"/>
        </w:rPr>
        <w:t>(</w:t>
      </w:r>
      <w:r w:rsidRPr="00786256">
        <w:rPr>
          <w:rFonts w:ascii="Arial" w:hAnsi="Arial" w:cs="Arial"/>
          <w:sz w:val="20"/>
        </w:rPr>
        <w:t xml:space="preserve">Eg, </w:t>
      </w:r>
      <w:r w:rsidRPr="00786256">
        <w:rPr>
          <w:rFonts w:ascii="Arial" w:hAnsi="Arial" w:cs="Arial"/>
          <w:i/>
          <w:iCs/>
          <w:sz w:val="20"/>
        </w:rPr>
        <w:t>Ibid</w:t>
      </w:r>
      <w:r w:rsidRPr="00786256">
        <w:rPr>
          <w:rFonts w:ascii="Arial" w:hAnsi="Arial" w:cs="Arial"/>
          <w:sz w:val="20"/>
        </w:rPr>
        <w:t xml:space="preserve"> pt 2.2, ss 35, 37, 45, 48, 49 and 52</w:t>
      </w:r>
      <w:r w:rsidR="007D3DFE">
        <w:rPr>
          <w:rFonts w:ascii="Arial" w:hAnsi="Arial" w:cs="Arial"/>
          <w:sz w:val="20"/>
        </w:rPr>
        <w:t>)</w:t>
      </w:r>
      <w:r w:rsidRPr="00786256">
        <w:rPr>
          <w:rFonts w:ascii="Arial" w:hAnsi="Arial" w:cs="Arial"/>
          <w:sz w:val="20"/>
        </w:rPr>
        <w:t xml:space="preserve"> but it does so without prescribing what is required to be done or said to tender a document.</w:t>
      </w:r>
    </w:p>
    <w:p w14:paraId="03550E76" w14:textId="2C450251" w:rsidR="007D3DFE" w:rsidRDefault="007D3DFE" w:rsidP="007D3DFE">
      <w:pPr>
        <w:spacing w:before="60"/>
        <w:ind w:left="567" w:right="567"/>
        <w:jc w:val="both"/>
        <w:rPr>
          <w:rFonts w:ascii="Arial" w:hAnsi="Arial" w:cs="Arial"/>
          <w:sz w:val="20"/>
        </w:rPr>
      </w:pPr>
      <w:r>
        <w:rPr>
          <w:rFonts w:ascii="Arial" w:hAnsi="Arial" w:cs="Arial"/>
          <w:sz w:val="20"/>
        </w:rPr>
        <w:t xml:space="preserve">[97] </w:t>
      </w:r>
      <w:r w:rsidRPr="00786256">
        <w:rPr>
          <w:rFonts w:ascii="Arial" w:hAnsi="Arial" w:cs="Arial"/>
          <w:sz w:val="20"/>
        </w:rPr>
        <w:t>In my view, as a matter of elementary procedural fairness, parties to litigation must make it clear when they intend to tender a document. In this regard, best practice is to state one’s intention to tender the document in question by using the word ‘tender’. However, I do not think that there is a firm rule that the validity of a tender depends on the use of the word ‘tender’. A tender can be implied, provided it is clear what is happening. In my view, the question of whether a document has been validly tendered by a party depends on whether it was clear in all the circumstances that this is what was intended by that party.</w:t>
      </w:r>
    </w:p>
    <w:p w14:paraId="1A136AAD" w14:textId="7F0EE059" w:rsidR="00786256" w:rsidRDefault="007D3DFE" w:rsidP="007D3DFE">
      <w:pPr>
        <w:spacing w:before="60"/>
        <w:ind w:left="567" w:right="567"/>
        <w:jc w:val="both"/>
        <w:rPr>
          <w:rFonts w:ascii="Arial" w:hAnsi="Arial" w:cs="Arial"/>
          <w:sz w:val="20"/>
        </w:rPr>
      </w:pPr>
      <w:r>
        <w:rPr>
          <w:rFonts w:ascii="Arial" w:hAnsi="Arial" w:cs="Arial"/>
          <w:sz w:val="20"/>
        </w:rPr>
        <w:t xml:space="preserve">[98] </w:t>
      </w:r>
      <w:r w:rsidRPr="00786256">
        <w:rPr>
          <w:rFonts w:ascii="Arial" w:hAnsi="Arial" w:cs="Arial"/>
          <w:sz w:val="20"/>
        </w:rPr>
        <w:t>Here, although the prosecutor did not at any point state that he sought to ‘tender’ the certificate, it was clear to all concerned that this is what he intended. As noted in my factual findings above, at the hearing before his Honour Judge McInerney, the plaintiff’s legal representative stated her understanding that the prosecution was seeking to tender the certificate. Once Ms Davis had acknowledged that, it was unnecessary for the prosecution to repeat it. Later in the hearing, when his Honour asked the prosecutor for a copy of the certificate and this was provided, it was clear to all that the certificate had been tendered, subject to resolution of the admissibility issues raised on behalf of the plaintiff. No other characterisation of events is reasonably open. In these circumstances, there was no need for a further statement by Mr Trent that the certificate was being tendered either during the sentencing hearing</w:t>
      </w:r>
      <w:r>
        <w:rPr>
          <w:rFonts w:ascii="Arial" w:hAnsi="Arial" w:cs="Arial"/>
          <w:sz w:val="20"/>
        </w:rPr>
        <w:t xml:space="preserve"> </w:t>
      </w:r>
      <w:r w:rsidR="00786256" w:rsidRPr="00786256">
        <w:rPr>
          <w:rFonts w:ascii="Arial" w:hAnsi="Arial" w:cs="Arial"/>
          <w:sz w:val="20"/>
        </w:rPr>
        <w:t>on Friday 17 November 2023</w:t>
      </w:r>
      <w:r>
        <w:rPr>
          <w:rFonts w:ascii="Arial" w:hAnsi="Arial" w:cs="Arial"/>
          <w:sz w:val="20"/>
        </w:rPr>
        <w:t>,</w:t>
      </w:r>
      <w:r w:rsidR="00786256" w:rsidRPr="00786256">
        <w:rPr>
          <w:rFonts w:ascii="Arial" w:hAnsi="Arial" w:cs="Arial"/>
          <w:sz w:val="20"/>
        </w:rPr>
        <w:t xml:space="preserve"> or in the written submissions provided over the weekend on the question of the certificate’s admissibility, or after his Honour delivered his ruling relating to the certificate the following Tuesday. </w:t>
      </w:r>
    </w:p>
    <w:p w14:paraId="1BB4758C" w14:textId="19B90DA2" w:rsidR="00786256" w:rsidRPr="00786256" w:rsidRDefault="007D3DFE" w:rsidP="007D3DFE">
      <w:pPr>
        <w:spacing w:before="60"/>
        <w:ind w:left="567" w:right="567"/>
        <w:jc w:val="both"/>
        <w:rPr>
          <w:rFonts w:ascii="Arial" w:hAnsi="Arial" w:cs="Arial"/>
          <w:sz w:val="20"/>
        </w:rPr>
      </w:pPr>
      <w:r>
        <w:rPr>
          <w:rFonts w:ascii="Arial" w:hAnsi="Arial" w:cs="Arial"/>
          <w:sz w:val="20"/>
        </w:rPr>
        <w:t xml:space="preserve">[99] The ruling </w:t>
      </w:r>
      <w:r w:rsidR="00786256" w:rsidRPr="00786256">
        <w:rPr>
          <w:rFonts w:ascii="Arial" w:hAnsi="Arial" w:cs="Arial"/>
          <w:sz w:val="20"/>
        </w:rPr>
        <w:t>did not expressly state a conclusion that the certificate was ‘admissible’ but did identify Ms Davis’s objection to the prosecution’s reliance on the RSA certificate, and moreover identified Ms Davis’ reliance in that regard on ‘s 78(2A)’ of the CPA, which must be understood as an intended reference to s 77(2A). Having identified these matters, his Honour said:</w:t>
      </w:r>
    </w:p>
    <w:p w14:paraId="46692F5E" w14:textId="0F74D95A" w:rsidR="007D3DFE" w:rsidRPr="007D3DFE" w:rsidRDefault="007D3DFE" w:rsidP="007D3DFE">
      <w:pPr>
        <w:spacing w:before="60"/>
        <w:ind w:left="1021" w:right="1021"/>
        <w:jc w:val="both"/>
        <w:rPr>
          <w:rFonts w:ascii="Arial" w:hAnsi="Arial" w:cs="Arial"/>
          <w:sz w:val="18"/>
          <w:szCs w:val="22"/>
        </w:rPr>
      </w:pPr>
      <w:r w:rsidRPr="00786256">
        <w:rPr>
          <w:rFonts w:ascii="Arial" w:hAnsi="Arial" w:cs="Arial"/>
          <w:sz w:val="18"/>
          <w:szCs w:val="22"/>
        </w:rPr>
        <w:t>The problem with that of course is that what the prosecution rely on is not a criminal record insofar as the requirements of the Criminal Procedure Act is concerned. But the prosecution rely on s84(1) … of the Road Safety Act to prove an earlier offence and penalty.</w:t>
      </w:r>
    </w:p>
    <w:p w14:paraId="2C3A55C4" w14:textId="44418EF8" w:rsidR="007D3DFE" w:rsidRDefault="007D3DFE" w:rsidP="007D3DFE">
      <w:pPr>
        <w:spacing w:before="60"/>
        <w:ind w:left="567" w:right="567"/>
        <w:jc w:val="both"/>
        <w:rPr>
          <w:rFonts w:ascii="Arial" w:hAnsi="Arial" w:cs="Arial"/>
          <w:sz w:val="20"/>
        </w:rPr>
      </w:pPr>
      <w:r>
        <w:rPr>
          <w:rFonts w:ascii="Arial" w:hAnsi="Arial" w:cs="Arial"/>
          <w:sz w:val="20"/>
        </w:rPr>
        <w:t xml:space="preserve">[100] </w:t>
      </w:r>
      <w:r w:rsidRPr="00786256">
        <w:rPr>
          <w:rFonts w:ascii="Arial" w:hAnsi="Arial" w:cs="Arial"/>
          <w:sz w:val="20"/>
        </w:rPr>
        <w:t>It was sufficiently clear from this statement that his Honour was overruling the objection on the basis that the RSA certificate had the character of a certificate under s</w:t>
      </w:r>
      <w:r>
        <w:rPr>
          <w:rFonts w:ascii="Arial" w:hAnsi="Arial" w:cs="Arial"/>
          <w:sz w:val="20"/>
        </w:rPr>
        <w:t> </w:t>
      </w:r>
      <w:r w:rsidRPr="00786256">
        <w:rPr>
          <w:rFonts w:ascii="Arial" w:hAnsi="Arial" w:cs="Arial"/>
          <w:sz w:val="20"/>
        </w:rPr>
        <w:t>84(1) of the RSA. The overruling of the objection amounted to its admission into evidence.</w:t>
      </w:r>
    </w:p>
    <w:p w14:paraId="55BAD2EA" w14:textId="074ADBEC" w:rsidR="007D3DFE" w:rsidRDefault="007D3DFE" w:rsidP="007D3DFE">
      <w:pPr>
        <w:spacing w:before="60"/>
        <w:ind w:left="567" w:right="567"/>
        <w:jc w:val="both"/>
        <w:rPr>
          <w:rFonts w:ascii="Arial" w:hAnsi="Arial" w:cs="Arial"/>
          <w:sz w:val="20"/>
        </w:rPr>
      </w:pPr>
      <w:r>
        <w:rPr>
          <w:rFonts w:ascii="Arial" w:hAnsi="Arial" w:cs="Arial"/>
          <w:sz w:val="20"/>
        </w:rPr>
        <w:t xml:space="preserve">[101] </w:t>
      </w:r>
      <w:r w:rsidRPr="00786256">
        <w:rPr>
          <w:rFonts w:ascii="Arial" w:hAnsi="Arial" w:cs="Arial"/>
          <w:sz w:val="20"/>
        </w:rPr>
        <w:t>Likewise, there was no need for the certificate to be marked as an exhibit in order for it to be ‘admissible’. I was not taken to any decided case in support of the plaintiff’s argument in this regard. The attempt to relate the marking of an exhibit to the question of admissibility is in any event illogical. In my view, the question of admissibility was an anterior question, and is not capable of being affected by whether the document was or was not ultimately marked as exhibit.</w:t>
      </w:r>
    </w:p>
    <w:p w14:paraId="01356168" w14:textId="5E491E40" w:rsidR="007D3DFE" w:rsidRDefault="007D3DFE" w:rsidP="007D3DFE">
      <w:pPr>
        <w:spacing w:before="60"/>
        <w:ind w:left="567" w:right="567"/>
        <w:jc w:val="both"/>
        <w:rPr>
          <w:rFonts w:ascii="Arial" w:hAnsi="Arial" w:cs="Arial"/>
          <w:sz w:val="20"/>
        </w:rPr>
      </w:pPr>
      <w:r>
        <w:rPr>
          <w:rFonts w:ascii="Arial" w:hAnsi="Arial" w:cs="Arial"/>
          <w:sz w:val="20"/>
        </w:rPr>
        <w:t xml:space="preserve">[102] </w:t>
      </w:r>
      <w:r w:rsidRPr="00786256">
        <w:rPr>
          <w:rFonts w:ascii="Arial" w:hAnsi="Arial" w:cs="Arial"/>
          <w:sz w:val="20"/>
        </w:rPr>
        <w:t>In case the plaintiff did not intend to advance this strand of his argument in the manner addressed in the preceding paragraph, I have also considered whether — absent formal identification as an exhibit — a document should not be taken to have been adduced or accepted into evidence. I do not think there is any such rule. As in the case of the tendering of documents, no doubt a court should make it clear to all concerned when a tendered document is accepted into evidence and when it is not.</w:t>
      </w:r>
      <w:r>
        <w:rPr>
          <w:rFonts w:ascii="Arial" w:hAnsi="Arial" w:cs="Arial"/>
          <w:sz w:val="20"/>
        </w:rPr>
        <w:t xml:space="preserve"> </w:t>
      </w:r>
      <w:r w:rsidRPr="00786256">
        <w:rPr>
          <w:rFonts w:ascii="Arial" w:hAnsi="Arial" w:cs="Arial"/>
          <w:sz w:val="20"/>
        </w:rPr>
        <w:t>But there may be ways in which that can occur without specifically and formally marking a document as an exhibit.</w:t>
      </w:r>
    </w:p>
    <w:p w14:paraId="13D79943" w14:textId="369B63F7" w:rsidR="007D3DFE" w:rsidRPr="00786256" w:rsidRDefault="00863F5C" w:rsidP="007D3DFE">
      <w:pPr>
        <w:spacing w:before="60"/>
        <w:ind w:left="567" w:right="567"/>
        <w:jc w:val="both"/>
        <w:rPr>
          <w:rFonts w:ascii="Arial" w:hAnsi="Arial" w:cs="Arial"/>
          <w:sz w:val="20"/>
        </w:rPr>
      </w:pPr>
      <w:r>
        <w:rPr>
          <w:rFonts w:ascii="Arial" w:hAnsi="Arial" w:cs="Arial"/>
          <w:sz w:val="20"/>
        </w:rPr>
        <w:t xml:space="preserve">[103] </w:t>
      </w:r>
      <w:r w:rsidRPr="00786256">
        <w:rPr>
          <w:rFonts w:ascii="Arial" w:hAnsi="Arial" w:cs="Arial"/>
          <w:sz w:val="20"/>
        </w:rPr>
        <w:t>Here, as already noted, it was clear to all that the prosecution were tendering the certificate, subject to the validity or admissibility issues raised by the plaintiff. It was clear from his Honour’s ruling on 21 November 2022 that those issues were resolved in favour of the prosecution. His Honour ruled that the certificate was not invalid and that it would be taken into account, resulting in a longer minimum period of driver disqualification for the plaintiff. His Honour did not need to make a further, formal, statement that he was admitting the certificate into evidence. His ruling clearly implied that he was doing so, as explained above. If there was any doubt about the ruling carrying that implication, then his Honour’s further explanation to the plaintiff (to the effect that the plaintiff would be subject to a four year driver disqualification) should have dispelled that doubt. It was clear in all the circumstances that the certificate was received into evidence by his Honour.</w:t>
      </w:r>
      <w:r>
        <w:rPr>
          <w:rFonts w:ascii="Arial" w:hAnsi="Arial" w:cs="Arial"/>
          <w:sz w:val="20"/>
        </w:rPr>
        <w:t>”</w:t>
      </w:r>
    </w:p>
    <w:p w14:paraId="77875582" w14:textId="6CF4BF23" w:rsidR="007D3DFE" w:rsidRDefault="00863F5C" w:rsidP="00863F5C">
      <w:pPr>
        <w:spacing w:before="60"/>
        <w:jc w:val="both"/>
        <w:rPr>
          <w:rFonts w:ascii="Arial" w:hAnsi="Arial" w:cs="Arial"/>
          <w:sz w:val="20"/>
        </w:rPr>
      </w:pPr>
      <w:r>
        <w:rPr>
          <w:rFonts w:ascii="Arial" w:hAnsi="Arial" w:cs="Arial"/>
          <w:sz w:val="20"/>
        </w:rPr>
        <w:t>Gray J concluded at [104] with the following comment on “best practice” when documents are tendered:</w:t>
      </w:r>
    </w:p>
    <w:p w14:paraId="0848E4FD" w14:textId="49AABB2A" w:rsidR="00863F5C" w:rsidRPr="00786256" w:rsidRDefault="00863F5C" w:rsidP="00863F5C">
      <w:pPr>
        <w:spacing w:before="60"/>
        <w:ind w:left="567" w:right="567"/>
        <w:jc w:val="both"/>
        <w:rPr>
          <w:rFonts w:ascii="Arial" w:hAnsi="Arial" w:cs="Arial"/>
          <w:sz w:val="20"/>
        </w:rPr>
      </w:pPr>
      <w:r>
        <w:rPr>
          <w:rFonts w:ascii="Arial" w:hAnsi="Arial" w:cs="Arial"/>
          <w:sz w:val="20"/>
        </w:rPr>
        <w:t xml:space="preserve">[104] </w:t>
      </w:r>
      <w:r w:rsidRPr="00786256">
        <w:rPr>
          <w:rFonts w:ascii="Arial" w:hAnsi="Arial" w:cs="Arial"/>
          <w:sz w:val="20"/>
        </w:rPr>
        <w:t xml:space="preserve">The best practice of parties clearly stating when documents are being tendered, and the best practice of the courts marking such documents as exhibits when they are received </w:t>
      </w:r>
      <w:r w:rsidRPr="00786256">
        <w:rPr>
          <w:rFonts w:ascii="Arial" w:hAnsi="Arial" w:cs="Arial"/>
          <w:sz w:val="20"/>
        </w:rPr>
        <w:lastRenderedPageBreak/>
        <w:t>into evidence, no doubt are adopted because they are well adapted to ensuring that procedural fairness is accorded. But this does not mean that every failure to adhere to these practices is procedurally unfair. Provided a tender is clearly implied, and provided it is clear when a document is received into evidence, it may be that no breach of procedural fairness will have occurred. In any event, given the way the grounds were framed, I was not required to determine any claim of denial of procedural fairness. It is unnecessary for me to say anything further on that issue.</w:t>
      </w:r>
      <w:r>
        <w:rPr>
          <w:rFonts w:ascii="Arial" w:hAnsi="Arial" w:cs="Arial"/>
          <w:sz w:val="20"/>
        </w:rPr>
        <w:t>”</w:t>
      </w:r>
    </w:p>
    <w:p w14:paraId="7F5B55DE" w14:textId="77777777" w:rsidR="00F46FEB" w:rsidRDefault="00F46FEB" w:rsidP="00641166">
      <w:pPr>
        <w:jc w:val="both"/>
        <w:rPr>
          <w:rFonts w:ascii="Arial" w:hAnsi="Arial" w:cs="Arial"/>
          <w:sz w:val="20"/>
        </w:rPr>
      </w:pPr>
      <w:bookmarkStart w:id="627" w:name="_3.5.3.13_Application_of"/>
      <w:bookmarkEnd w:id="627"/>
    </w:p>
    <w:p w14:paraId="0B88A422" w14:textId="77777777" w:rsidR="00501FDB" w:rsidRPr="00BD3BA0" w:rsidRDefault="00501FDB" w:rsidP="00501FDB">
      <w:pPr>
        <w:jc w:val="center"/>
        <w:rPr>
          <w:rFonts w:ascii="Arial" w:hAnsi="Arial" w:cs="Arial"/>
          <w:b/>
          <w:bCs/>
          <w:sz w:val="22"/>
          <w:szCs w:val="28"/>
        </w:rPr>
      </w:pPr>
      <w:r w:rsidRPr="00BD3BA0">
        <w:rPr>
          <w:rFonts w:ascii="Arial" w:hAnsi="Arial" w:cs="Arial"/>
          <w:b/>
          <w:bCs/>
          <w:sz w:val="22"/>
          <w:szCs w:val="28"/>
        </w:rPr>
        <w:t>THE REST OF THIS PAGE IS BLANK</w:t>
      </w:r>
    </w:p>
    <w:p w14:paraId="45EFB287" w14:textId="77777777" w:rsidR="00501FDB" w:rsidRDefault="00501FDB" w:rsidP="00641166">
      <w:pPr>
        <w:jc w:val="both"/>
        <w:rPr>
          <w:rFonts w:ascii="Arial" w:hAnsi="Arial" w:cs="Arial"/>
          <w:sz w:val="20"/>
        </w:rPr>
      </w:pPr>
    </w:p>
    <w:p w14:paraId="24958F9F" w14:textId="6A75C55E" w:rsidR="00501FDB" w:rsidRDefault="00501FDB">
      <w:pPr>
        <w:rPr>
          <w:rFonts w:ascii="Arial" w:hAnsi="Arial" w:cs="Arial"/>
          <w:sz w:val="20"/>
        </w:rPr>
      </w:pPr>
      <w:r>
        <w:rPr>
          <w:rFonts w:ascii="Arial" w:hAnsi="Arial" w:cs="Arial"/>
          <w:sz w:val="20"/>
        </w:rPr>
        <w:br w:type="page"/>
      </w:r>
    </w:p>
    <w:p w14:paraId="78F45C11" w14:textId="697A87C9" w:rsidR="00B21DA4" w:rsidRDefault="00B21DA4" w:rsidP="001C1A58">
      <w:pPr>
        <w:pStyle w:val="Heading3"/>
        <w:keepNext/>
        <w:keepLines/>
        <w:spacing w:after="120" w:line="240" w:lineRule="auto"/>
        <w:rPr>
          <w:rFonts w:ascii="Arial" w:hAnsi="Arial" w:cs="Arial"/>
          <w:b/>
          <w:bCs/>
          <w:sz w:val="20"/>
        </w:rPr>
      </w:pPr>
      <w:bookmarkStart w:id="628" w:name="_3.5.4_Contested_Criminal"/>
      <w:bookmarkStart w:id="629" w:name="_Toc30649715"/>
      <w:bookmarkStart w:id="630" w:name="_Toc30651652"/>
      <w:bookmarkStart w:id="631" w:name="_Toc30652636"/>
      <w:bookmarkStart w:id="632" w:name="_Toc30652734"/>
      <w:bookmarkStart w:id="633" w:name="_Toc30654079"/>
      <w:bookmarkStart w:id="634" w:name="_Toc30654430"/>
      <w:bookmarkStart w:id="635" w:name="_Toc30655049"/>
      <w:bookmarkStart w:id="636" w:name="_Toc30655306"/>
      <w:bookmarkStart w:id="637" w:name="_Toc30656984"/>
      <w:bookmarkStart w:id="638" w:name="_Toc30661733"/>
      <w:bookmarkStart w:id="639" w:name="_Toc30666421"/>
      <w:bookmarkStart w:id="640" w:name="_Toc30666651"/>
      <w:bookmarkStart w:id="641" w:name="_Toc30667826"/>
      <w:bookmarkStart w:id="642" w:name="_Toc30669204"/>
      <w:bookmarkStart w:id="643" w:name="_Toc30671420"/>
      <w:bookmarkStart w:id="644" w:name="_Toc30673947"/>
      <w:bookmarkStart w:id="645" w:name="_Toc30691169"/>
      <w:bookmarkStart w:id="646" w:name="_Toc30691540"/>
      <w:bookmarkStart w:id="647" w:name="_Toc30691920"/>
      <w:bookmarkStart w:id="648" w:name="_Toc30692679"/>
      <w:bookmarkStart w:id="649" w:name="_Toc30693058"/>
      <w:bookmarkStart w:id="650" w:name="_Toc30693436"/>
      <w:bookmarkStart w:id="651" w:name="_Toc30693815"/>
      <w:bookmarkStart w:id="652" w:name="_Toc30694196"/>
      <w:bookmarkStart w:id="653" w:name="_Toc30698785"/>
      <w:bookmarkStart w:id="654" w:name="_Toc30699163"/>
      <w:bookmarkStart w:id="655" w:name="_Toc30699548"/>
      <w:bookmarkStart w:id="656" w:name="_Toc30700703"/>
      <w:bookmarkStart w:id="657" w:name="_Toc30701090"/>
      <w:bookmarkStart w:id="658" w:name="_Toc30743699"/>
      <w:bookmarkStart w:id="659" w:name="_Toc30754521"/>
      <w:bookmarkStart w:id="660" w:name="_Toc30756961"/>
      <w:bookmarkStart w:id="661" w:name="_Toc30757510"/>
      <w:bookmarkStart w:id="662" w:name="_Toc30757910"/>
      <w:bookmarkStart w:id="663" w:name="_Toc30762671"/>
      <w:bookmarkStart w:id="664" w:name="_Toc30767325"/>
      <w:bookmarkStart w:id="665" w:name="_Toc34823341"/>
      <w:bookmarkEnd w:id="611"/>
      <w:bookmarkEnd w:id="626"/>
      <w:bookmarkEnd w:id="628"/>
      <w:r>
        <w:rPr>
          <w:rFonts w:ascii="Arial" w:hAnsi="Arial" w:cs="Arial"/>
          <w:b/>
          <w:bCs/>
          <w:sz w:val="20"/>
        </w:rPr>
        <w:lastRenderedPageBreak/>
        <w:t>3.5.4</w:t>
      </w:r>
      <w:r>
        <w:rPr>
          <w:rFonts w:ascii="Arial" w:hAnsi="Arial" w:cs="Arial"/>
          <w:b/>
          <w:bCs/>
          <w:sz w:val="20"/>
        </w:rPr>
        <w:tab/>
        <w:t>Contested Criminal Division case</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4CE3B42C" w14:textId="24926C85" w:rsidR="00EB58D5" w:rsidRPr="009F25D4" w:rsidRDefault="00EB58D5" w:rsidP="00EB58D5">
      <w:pPr>
        <w:pStyle w:val="Heading3"/>
        <w:keepNext/>
        <w:spacing w:after="120" w:line="240" w:lineRule="auto"/>
        <w:rPr>
          <w:rFonts w:ascii="Arial" w:hAnsi="Arial" w:cs="Arial"/>
          <w:b/>
          <w:bCs/>
          <w:color w:val="000000"/>
          <w:sz w:val="20"/>
        </w:rPr>
      </w:pPr>
      <w:bookmarkStart w:id="666" w:name="_3.5.4.1_The_usual"/>
      <w:bookmarkEnd w:id="666"/>
      <w:r w:rsidRPr="00520380">
        <w:rPr>
          <w:rFonts w:ascii="Arial" w:hAnsi="Arial" w:cs="Arial"/>
          <w:b/>
          <w:sz w:val="20"/>
        </w:rPr>
        <w:t>3.5.</w:t>
      </w:r>
      <w:r>
        <w:rPr>
          <w:rFonts w:ascii="Arial" w:hAnsi="Arial" w:cs="Arial"/>
          <w:b/>
          <w:sz w:val="20"/>
        </w:rPr>
        <w:t>4</w:t>
      </w:r>
      <w:r w:rsidRPr="00520380">
        <w:rPr>
          <w:rFonts w:ascii="Arial" w:hAnsi="Arial" w:cs="Arial"/>
          <w:b/>
          <w:sz w:val="20"/>
        </w:rPr>
        <w:t>.1</w:t>
      </w:r>
      <w:r w:rsidRPr="00520380">
        <w:rPr>
          <w:rFonts w:ascii="Arial" w:hAnsi="Arial" w:cs="Arial"/>
          <w:b/>
          <w:sz w:val="20"/>
        </w:rPr>
        <w:tab/>
      </w:r>
      <w:r>
        <w:rPr>
          <w:rFonts w:ascii="Arial" w:hAnsi="Arial" w:cs="Arial"/>
          <w:b/>
          <w:sz w:val="20"/>
        </w:rPr>
        <w:t>The usual procedure</w:t>
      </w:r>
    </w:p>
    <w:p w14:paraId="517CE652" w14:textId="01F106D9" w:rsidR="00B21DA4" w:rsidRDefault="00B21DA4">
      <w:pPr>
        <w:jc w:val="both"/>
        <w:rPr>
          <w:rFonts w:ascii="Arial" w:hAnsi="Arial" w:cs="Arial"/>
          <w:sz w:val="20"/>
        </w:rPr>
      </w:pPr>
      <w:r>
        <w:rPr>
          <w:rFonts w:ascii="Arial" w:hAnsi="Arial" w:cs="Arial"/>
          <w:sz w:val="20"/>
        </w:rPr>
        <w:t>The conduct of a contested summary hearing is the same as in the Magistrates</w:t>
      </w:r>
      <w:r w:rsidR="000F0BE9">
        <w:rPr>
          <w:rFonts w:ascii="Arial" w:hAnsi="Arial" w:cs="Arial"/>
          <w:sz w:val="20"/>
        </w:rPr>
        <w:t>’</w:t>
      </w:r>
      <w:r>
        <w:rPr>
          <w:rFonts w:ascii="Arial" w:hAnsi="Arial" w:cs="Arial"/>
          <w:sz w:val="20"/>
        </w:rPr>
        <w:t xml:space="preserve"> Court.  The prosecution usually calls one or more witnesses in support of its case and each may be cross-examined by the defendant</w:t>
      </w:r>
      <w:r w:rsidR="00C15156" w:rsidRPr="00C15156">
        <w:rPr>
          <w:rFonts w:ascii="Arial" w:hAnsi="Arial" w:cs="Arial"/>
          <w:sz w:val="20"/>
        </w:rPr>
        <w:t xml:space="preserve"> </w:t>
      </w:r>
      <w:r w:rsidR="00C15156">
        <w:rPr>
          <w:rFonts w:ascii="Arial" w:hAnsi="Arial" w:cs="Arial"/>
          <w:sz w:val="20"/>
        </w:rPr>
        <w:t>or his or her legal representative</w:t>
      </w:r>
      <w:r>
        <w:rPr>
          <w:rFonts w:ascii="Arial" w:hAnsi="Arial" w:cs="Arial"/>
          <w:sz w:val="20"/>
        </w:rPr>
        <w:t xml:space="preserve">.  </w:t>
      </w:r>
      <w:r w:rsidR="0082781D">
        <w:rPr>
          <w:rFonts w:ascii="Arial" w:hAnsi="Arial" w:cs="Arial"/>
          <w:sz w:val="20"/>
        </w:rPr>
        <w:t xml:space="preserve">There is no obligation on the defendant to lead any evidence.  </w:t>
      </w:r>
      <w:r>
        <w:rPr>
          <w:rFonts w:ascii="Arial" w:hAnsi="Arial" w:cs="Arial"/>
          <w:sz w:val="20"/>
        </w:rPr>
        <w:t>The judicial officer has to be satisfied of the defendant</w:t>
      </w:r>
      <w:r w:rsidR="000F0BE9">
        <w:rPr>
          <w:rFonts w:ascii="Arial" w:hAnsi="Arial" w:cs="Arial"/>
          <w:sz w:val="20"/>
        </w:rPr>
        <w:t>’</w:t>
      </w:r>
      <w:r>
        <w:rPr>
          <w:rFonts w:ascii="Arial" w:hAnsi="Arial" w:cs="Arial"/>
          <w:sz w:val="20"/>
        </w:rPr>
        <w:t>s guilt on proof beyond reasonable doubt by relevant and admissible evidence: s.</w:t>
      </w:r>
      <w:r w:rsidR="00D06F3B">
        <w:rPr>
          <w:rFonts w:ascii="Arial" w:hAnsi="Arial" w:cs="Arial"/>
          <w:sz w:val="20"/>
        </w:rPr>
        <w:t>357</w:t>
      </w:r>
      <w:r>
        <w:rPr>
          <w:rFonts w:ascii="Arial" w:hAnsi="Arial" w:cs="Arial"/>
          <w:sz w:val="20"/>
        </w:rPr>
        <w:t>(1) of the CY</w:t>
      </w:r>
      <w:r w:rsidR="00D06F3B">
        <w:rPr>
          <w:rFonts w:ascii="Arial" w:hAnsi="Arial" w:cs="Arial"/>
          <w:sz w:val="20"/>
        </w:rPr>
        <w:t>F</w:t>
      </w:r>
      <w:r>
        <w:rPr>
          <w:rFonts w:ascii="Arial" w:hAnsi="Arial" w:cs="Arial"/>
          <w:sz w:val="20"/>
        </w:rPr>
        <w:t>A.  If the Court is not so satisfied,</w:t>
      </w:r>
      <w:r w:rsidR="00D06F3B">
        <w:rPr>
          <w:rFonts w:ascii="Arial" w:hAnsi="Arial" w:cs="Arial"/>
          <w:sz w:val="20"/>
        </w:rPr>
        <w:t xml:space="preserve"> it must dismiss the charge: s.</w:t>
      </w:r>
      <w:r>
        <w:rPr>
          <w:rFonts w:ascii="Arial" w:hAnsi="Arial" w:cs="Arial"/>
          <w:sz w:val="20"/>
        </w:rPr>
        <w:t>35</w:t>
      </w:r>
      <w:r w:rsidR="00D06F3B">
        <w:rPr>
          <w:rFonts w:ascii="Arial" w:hAnsi="Arial" w:cs="Arial"/>
          <w:sz w:val="20"/>
        </w:rPr>
        <w:t>7</w:t>
      </w:r>
      <w:r>
        <w:rPr>
          <w:rFonts w:ascii="Arial" w:hAnsi="Arial" w:cs="Arial"/>
          <w:sz w:val="20"/>
        </w:rPr>
        <w:t>(2).</w:t>
      </w:r>
    </w:p>
    <w:p w14:paraId="3F9CB23A" w14:textId="77777777" w:rsidR="00D70241" w:rsidRDefault="00D70241">
      <w:pPr>
        <w:jc w:val="both"/>
        <w:rPr>
          <w:rFonts w:ascii="Arial" w:hAnsi="Arial" w:cs="Arial"/>
          <w:sz w:val="20"/>
        </w:rPr>
      </w:pPr>
    </w:p>
    <w:p w14:paraId="21C52433" w14:textId="77777777" w:rsidR="00D70241" w:rsidRDefault="00D70241">
      <w:pPr>
        <w:jc w:val="both"/>
        <w:rPr>
          <w:rFonts w:ascii="Arial" w:hAnsi="Arial" w:cs="Arial"/>
          <w:sz w:val="20"/>
        </w:rPr>
      </w:pPr>
      <w:r>
        <w:rPr>
          <w:rFonts w:ascii="Arial" w:hAnsi="Arial" w:cs="Arial"/>
          <w:sz w:val="20"/>
        </w:rPr>
        <w:t xml:space="preserve">Criminal Division proceedings are adversarial in nature.  </w:t>
      </w:r>
      <w:r w:rsidR="00C15156">
        <w:rPr>
          <w:rFonts w:ascii="Arial" w:hAnsi="Arial" w:cs="Arial"/>
          <w:sz w:val="20"/>
        </w:rPr>
        <w:t xml:space="preserve">But though adversarial, it is not open slather for the Crown which is obliged to act at all times with fairness and detachment as Nettle JA made clear in </w:t>
      </w:r>
      <w:r w:rsidR="00C15156" w:rsidRPr="00C15156">
        <w:rPr>
          <w:rFonts w:ascii="Arial" w:hAnsi="Arial" w:cs="Arial"/>
          <w:i/>
          <w:sz w:val="20"/>
        </w:rPr>
        <w:t>R v Calway</w:t>
      </w:r>
      <w:r w:rsidR="00C15156">
        <w:rPr>
          <w:rFonts w:ascii="Arial" w:hAnsi="Arial" w:cs="Arial"/>
          <w:sz w:val="20"/>
        </w:rPr>
        <w:t xml:space="preserve"> [2005] VSCA 266 at [37]:</w:t>
      </w:r>
    </w:p>
    <w:p w14:paraId="230A827C" w14:textId="77777777" w:rsidR="00C15156" w:rsidRDefault="00C15156" w:rsidP="0066351D">
      <w:pPr>
        <w:spacing w:before="80"/>
        <w:ind w:left="454" w:right="454"/>
        <w:jc w:val="both"/>
        <w:rPr>
          <w:rFonts w:ascii="Arial" w:hAnsi="Arial" w:cs="Arial"/>
          <w:iCs/>
          <w:sz w:val="20"/>
        </w:rPr>
      </w:pPr>
      <w:r>
        <w:rPr>
          <w:rFonts w:ascii="Arial" w:hAnsi="Arial" w:cs="Arial"/>
          <w:iCs/>
          <w:sz w:val="20"/>
        </w:rPr>
        <w:t>“</w:t>
      </w:r>
      <w:r w:rsidRPr="00C15156">
        <w:rPr>
          <w:rFonts w:ascii="Arial" w:hAnsi="Arial" w:cs="Arial"/>
          <w:sz w:val="20"/>
        </w:rPr>
        <w:t>It is of course a basic requirement of the adversary system of criminal justice that the Crown must act with fairness and detachment and always with the objectives of establishing the whole truth in accordance with the procedures and standards which the law requires to be observed and of helping to ensure that the accused’s trial is a fair one</w:t>
      </w:r>
      <w:r>
        <w:rPr>
          <w:rFonts w:ascii="Arial" w:hAnsi="Arial" w:cs="Arial"/>
          <w:sz w:val="20"/>
        </w:rPr>
        <w:t xml:space="preserve">: </w:t>
      </w:r>
      <w:r w:rsidRPr="00C15156">
        <w:rPr>
          <w:rFonts w:ascii="Arial" w:hAnsi="Arial" w:cs="Arial"/>
          <w:i/>
          <w:sz w:val="20"/>
        </w:rPr>
        <w:t>Dyers v The Queen</w:t>
      </w:r>
      <w:r>
        <w:rPr>
          <w:rFonts w:ascii="Arial" w:hAnsi="Arial" w:cs="Arial"/>
          <w:sz w:val="20"/>
        </w:rPr>
        <w:t xml:space="preserve"> (2002) 210 CLR 285 at 293 [11] per Gaudron &amp; Hayne JJ</w:t>
      </w:r>
      <w:r w:rsidRPr="00C15156">
        <w:rPr>
          <w:rFonts w:ascii="Arial" w:hAnsi="Arial" w:cs="Arial"/>
          <w:sz w:val="20"/>
        </w:rPr>
        <w:t>.  Plainly, therefore, the Crown is required to call all available material witnesses unless there is some good reason not to do so and the fact that a witness may give an account inconsistent with the Crown case is not a sufficient reason for not doing so.  But the Crown is not obliged to shape its case according to some view of the potential range of evidence most favourable to the accused.  To the contrary, the Crown may for good reason and frequently does advance a case which is inconsistent with a significant portion of the available evidence that is favourable to the accused.  Subject always to the imperative that the Crown act rationally and fairly, in the end it is for the Crown to determine the view of the evidence for which it will contend and it is for the jury to decide whether that view is to be accepted.  Provided therefore that the Crown acts in good faith and fairly, and thus calls all available credible witnesses or makes them available for cross examination, I see no injustice in the fact of disconformity between some feature of the Crown case and some part of the evidence which is or may have been called.</w:t>
      </w:r>
      <w:r>
        <w:rPr>
          <w:rFonts w:ascii="Arial" w:hAnsi="Arial" w:cs="Arial"/>
          <w:sz w:val="20"/>
        </w:rPr>
        <w:t>”</w:t>
      </w:r>
    </w:p>
    <w:p w14:paraId="653C8D3C" w14:textId="77777777" w:rsidR="00B21DA4" w:rsidRDefault="00B21DA4">
      <w:pPr>
        <w:jc w:val="both"/>
        <w:rPr>
          <w:rFonts w:ascii="Arial" w:hAnsi="Arial" w:cs="Arial"/>
          <w:sz w:val="20"/>
        </w:rPr>
      </w:pPr>
    </w:p>
    <w:p w14:paraId="5F032DDB" w14:textId="77777777" w:rsidR="00C65F9B" w:rsidRDefault="00C65F9B" w:rsidP="002531BB">
      <w:pPr>
        <w:jc w:val="both"/>
        <w:rPr>
          <w:rFonts w:ascii="Arial" w:hAnsi="Arial" w:cs="Arial"/>
          <w:sz w:val="20"/>
        </w:rPr>
      </w:pPr>
      <w:r>
        <w:rPr>
          <w:rFonts w:ascii="Arial" w:hAnsi="Arial" w:cs="Arial"/>
          <w:sz w:val="20"/>
        </w:rPr>
        <w:t xml:space="preserve">See also </w:t>
      </w:r>
      <w:r>
        <w:rPr>
          <w:rFonts w:ascii="Arial" w:hAnsi="Arial" w:cs="Arial"/>
          <w:i/>
          <w:iCs/>
          <w:sz w:val="20"/>
        </w:rPr>
        <w:t>R v Lucas</w:t>
      </w:r>
      <w:r>
        <w:rPr>
          <w:rFonts w:ascii="Arial" w:hAnsi="Arial" w:cs="Arial"/>
          <w:sz w:val="20"/>
        </w:rPr>
        <w:t xml:space="preserve"> [1973] VR 693 at 697 where Smith ACJ said:</w:t>
      </w:r>
    </w:p>
    <w:p w14:paraId="18031C74" w14:textId="3E338FDC" w:rsidR="00C65F9B" w:rsidRDefault="000F0BE9" w:rsidP="00D46F41">
      <w:pPr>
        <w:spacing w:before="60"/>
        <w:ind w:left="454" w:right="454"/>
        <w:jc w:val="both"/>
        <w:rPr>
          <w:rFonts w:ascii="Arial" w:hAnsi="Arial" w:cs="Arial"/>
          <w:iCs/>
          <w:sz w:val="20"/>
        </w:rPr>
      </w:pPr>
      <w:r>
        <w:rPr>
          <w:rFonts w:ascii="Arial" w:hAnsi="Arial" w:cs="Arial"/>
          <w:iCs/>
          <w:sz w:val="20"/>
        </w:rPr>
        <w:t>“</w:t>
      </w:r>
      <w:r w:rsidR="00C65F9B">
        <w:rPr>
          <w:rFonts w:ascii="Arial" w:hAnsi="Arial" w:cs="Arial"/>
          <w:iCs/>
          <w:sz w:val="20"/>
        </w:rPr>
        <w:t>The Crown</w:t>
      </w:r>
      <w:r>
        <w:rPr>
          <w:rFonts w:ascii="Arial" w:hAnsi="Arial" w:cs="Arial"/>
          <w:iCs/>
          <w:sz w:val="20"/>
        </w:rPr>
        <w:t>’</w:t>
      </w:r>
      <w:r w:rsidR="00C65F9B">
        <w:rPr>
          <w:rFonts w:ascii="Arial" w:hAnsi="Arial" w:cs="Arial"/>
          <w:iCs/>
          <w:sz w:val="20"/>
        </w:rPr>
        <w:t>s duty to act with fairness, and with the single aim of establishing the truth, denies to it the right to pick and choose as between independent and apparently credible witnesses for merely tactical reasons, such as a desire to be able to cross-examine those who are unfavourable, or less favourable than others, to the Crown case; or the desire to force the defence to call evidence and thereby lose the right of the last address…[A]ll those witnesses whose testimony is necessary to put before the court the complete story of the events on which the prosecution is based ought in general to be called by the Crown…This general duty is subject to the qualification that the Crown, in its discretion, may properly decline to call any such person as its witness when it has strong and satisfactory reasons for doing so, as for example when the witness is clearly untruthful or unreliable</w:t>
      </w:r>
      <w:r>
        <w:rPr>
          <w:rFonts w:ascii="Arial" w:hAnsi="Arial" w:cs="Arial"/>
          <w:iCs/>
          <w:sz w:val="20"/>
        </w:rPr>
        <w:t>”</w:t>
      </w:r>
      <w:r w:rsidR="00C65F9B">
        <w:rPr>
          <w:rFonts w:ascii="Arial" w:hAnsi="Arial" w:cs="Arial"/>
          <w:iCs/>
          <w:sz w:val="20"/>
        </w:rPr>
        <w:t>.</w:t>
      </w:r>
    </w:p>
    <w:p w14:paraId="4A674536" w14:textId="77777777" w:rsidR="00C65F9B" w:rsidRDefault="00C65F9B" w:rsidP="002125C5">
      <w:pPr>
        <w:spacing w:before="80"/>
        <w:jc w:val="both"/>
        <w:rPr>
          <w:rFonts w:ascii="Arial" w:hAnsi="Arial" w:cs="Arial"/>
          <w:sz w:val="20"/>
        </w:rPr>
      </w:pPr>
      <w:r>
        <w:rPr>
          <w:rFonts w:ascii="Arial" w:hAnsi="Arial" w:cs="Arial"/>
          <w:sz w:val="20"/>
        </w:rPr>
        <w:t>And at p.705 where Ne</w:t>
      </w:r>
      <w:r w:rsidR="005418C0">
        <w:rPr>
          <w:rFonts w:ascii="Arial" w:hAnsi="Arial" w:cs="Arial"/>
          <w:sz w:val="20"/>
        </w:rPr>
        <w:t xml:space="preserve">wton J &amp; Norris AJ, </w:t>
      </w:r>
      <w:r>
        <w:rPr>
          <w:rFonts w:ascii="Arial" w:hAnsi="Arial" w:cs="Arial"/>
          <w:sz w:val="20"/>
        </w:rPr>
        <w:t>on the basis of a raft of authority dating back to 1838</w:t>
      </w:r>
      <w:r w:rsidR="005418C0">
        <w:rPr>
          <w:rFonts w:ascii="Arial" w:hAnsi="Arial" w:cs="Arial"/>
          <w:sz w:val="20"/>
        </w:rPr>
        <w:t>,</w:t>
      </w:r>
      <w:r>
        <w:rPr>
          <w:rFonts w:ascii="Arial" w:hAnsi="Arial" w:cs="Arial"/>
          <w:sz w:val="20"/>
        </w:rPr>
        <w:t xml:space="preserve"> said:</w:t>
      </w:r>
    </w:p>
    <w:p w14:paraId="76D715DC" w14:textId="730CE935" w:rsidR="00C65F9B" w:rsidRDefault="000F0BE9" w:rsidP="00023C2C">
      <w:pPr>
        <w:spacing w:before="60"/>
        <w:ind w:left="454" w:right="454"/>
        <w:jc w:val="both"/>
        <w:rPr>
          <w:rFonts w:ascii="Arial" w:hAnsi="Arial" w:cs="Arial"/>
          <w:iCs/>
          <w:sz w:val="20"/>
        </w:rPr>
      </w:pPr>
      <w:r>
        <w:rPr>
          <w:rFonts w:ascii="Arial" w:hAnsi="Arial" w:cs="Arial"/>
          <w:iCs/>
          <w:sz w:val="20"/>
        </w:rPr>
        <w:t>“</w:t>
      </w:r>
      <w:r w:rsidR="00C65F9B">
        <w:rPr>
          <w:rFonts w:ascii="Arial" w:hAnsi="Arial" w:cs="Arial"/>
          <w:iCs/>
          <w:sz w:val="20"/>
        </w:rPr>
        <w:t>It is very well established that prosecuting counsel are ministers of justice, who ought not to struggle for a conviction nor be betrayed by feelings of professional rivalry, and that it is their duty to assist the court in the attainment of the purpose of criminal prosecutions, namely to make certain that justice is done as between the subject and the State.  Consistently with these principles, it is the duty of prosecuting counsel not to try to shut out any evidence which the jury could reasonably regard as credible and which could be of importance to the accused</w:t>
      </w:r>
      <w:r>
        <w:rPr>
          <w:rFonts w:ascii="Arial" w:hAnsi="Arial" w:cs="Arial"/>
          <w:iCs/>
          <w:sz w:val="20"/>
        </w:rPr>
        <w:t>’</w:t>
      </w:r>
      <w:r w:rsidR="00C65F9B">
        <w:rPr>
          <w:rFonts w:ascii="Arial" w:hAnsi="Arial" w:cs="Arial"/>
          <w:iCs/>
          <w:sz w:val="20"/>
        </w:rPr>
        <w:t>s case.  We may add that these obligations which attach to prosecuting counsel apply, in our opinion, to officers in the service of the Crown, whose function it is to prepare the Crown case in criminal proceedings.</w:t>
      </w:r>
      <w:r>
        <w:rPr>
          <w:rFonts w:ascii="Arial" w:hAnsi="Arial" w:cs="Arial"/>
          <w:iCs/>
          <w:sz w:val="20"/>
        </w:rPr>
        <w:t>”</w:t>
      </w:r>
    </w:p>
    <w:p w14:paraId="346E92AE" w14:textId="77777777" w:rsidR="00C65F9B" w:rsidRDefault="00C65F9B" w:rsidP="00C65F9B">
      <w:pPr>
        <w:jc w:val="both"/>
        <w:rPr>
          <w:rFonts w:ascii="Arial" w:hAnsi="Arial" w:cs="Arial"/>
          <w:sz w:val="20"/>
        </w:rPr>
      </w:pPr>
    </w:p>
    <w:p w14:paraId="10FDFD7F" w14:textId="3778CDAA" w:rsidR="00C65F9B" w:rsidRDefault="00C65F9B" w:rsidP="00C65F9B">
      <w:pPr>
        <w:jc w:val="both"/>
        <w:rPr>
          <w:rFonts w:ascii="Arial" w:hAnsi="Arial" w:cs="Arial"/>
          <w:sz w:val="20"/>
        </w:rPr>
      </w:pPr>
      <w:r>
        <w:rPr>
          <w:rFonts w:ascii="Arial" w:hAnsi="Arial" w:cs="Arial"/>
          <w:sz w:val="20"/>
        </w:rPr>
        <w:t xml:space="preserve">In </w:t>
      </w:r>
      <w:r>
        <w:rPr>
          <w:rFonts w:ascii="Arial" w:hAnsi="Arial" w:cs="Arial"/>
          <w:i/>
          <w:iCs/>
          <w:sz w:val="20"/>
        </w:rPr>
        <w:t>R v Parsons &amp; Stocker</w:t>
      </w:r>
      <w:r>
        <w:rPr>
          <w:rFonts w:ascii="Arial" w:hAnsi="Arial" w:cs="Arial"/>
          <w:sz w:val="20"/>
        </w:rPr>
        <w:t xml:space="preserve"> [2004] VSCA 92 at [109] Smith AJA said </w:t>
      </w:r>
      <w:r w:rsidR="009F6173">
        <w:rPr>
          <w:rFonts w:ascii="Arial" w:hAnsi="Arial" w:cs="Arial"/>
          <w:sz w:val="20"/>
        </w:rPr>
        <w:t xml:space="preserve">much </w:t>
      </w:r>
      <w:r>
        <w:rPr>
          <w:rFonts w:ascii="Arial" w:hAnsi="Arial" w:cs="Arial"/>
          <w:sz w:val="20"/>
        </w:rPr>
        <w:t xml:space="preserve">the same in more colourful terms: </w:t>
      </w:r>
      <w:r w:rsidR="000F0BE9">
        <w:rPr>
          <w:rFonts w:ascii="Arial" w:hAnsi="Arial" w:cs="Arial"/>
          <w:sz w:val="20"/>
        </w:rPr>
        <w:t>“</w:t>
      </w:r>
      <w:r>
        <w:rPr>
          <w:rFonts w:ascii="Arial" w:hAnsi="Arial" w:cs="Arial"/>
          <w:sz w:val="20"/>
        </w:rPr>
        <w:t xml:space="preserve">I suggest…that the best way for prosecuting counsel to present the Crown case fairly is to conduct it strictly according to the rules and not to conduct it according to what is sometimes referred to as the </w:t>
      </w:r>
      <w:r w:rsidR="000F0BE9">
        <w:rPr>
          <w:rFonts w:ascii="Arial" w:hAnsi="Arial" w:cs="Arial"/>
          <w:sz w:val="20"/>
        </w:rPr>
        <w:t>‘</w:t>
      </w:r>
      <w:r>
        <w:rPr>
          <w:rFonts w:ascii="Arial" w:hAnsi="Arial" w:cs="Arial"/>
          <w:sz w:val="20"/>
        </w:rPr>
        <w:t>rule in Dyer</w:t>
      </w:r>
      <w:r w:rsidR="000F0BE9">
        <w:rPr>
          <w:rFonts w:ascii="Arial" w:hAnsi="Arial" w:cs="Arial"/>
          <w:sz w:val="20"/>
        </w:rPr>
        <w:t>’</w:t>
      </w:r>
      <w:r>
        <w:rPr>
          <w:rFonts w:ascii="Arial" w:hAnsi="Arial" w:cs="Arial"/>
          <w:sz w:val="20"/>
        </w:rPr>
        <w:t>s case: Don</w:t>
      </w:r>
      <w:r w:rsidR="000F0BE9">
        <w:rPr>
          <w:rFonts w:ascii="Arial" w:hAnsi="Arial" w:cs="Arial"/>
          <w:sz w:val="20"/>
        </w:rPr>
        <w:t>’</w:t>
      </w:r>
      <w:r>
        <w:rPr>
          <w:rFonts w:ascii="Arial" w:hAnsi="Arial" w:cs="Arial"/>
          <w:sz w:val="20"/>
        </w:rPr>
        <w:t>t worry about the rules.  Just keep going until the umpire blows the whistle</w:t>
      </w:r>
      <w:r w:rsidR="000F0BE9">
        <w:rPr>
          <w:rFonts w:ascii="Arial" w:hAnsi="Arial" w:cs="Arial"/>
          <w:sz w:val="20"/>
        </w:rPr>
        <w:t>’</w:t>
      </w:r>
      <w:r>
        <w:rPr>
          <w:rFonts w:ascii="Arial" w:hAnsi="Arial" w:cs="Arial"/>
          <w:sz w:val="20"/>
        </w:rPr>
        <w:t>.</w:t>
      </w:r>
      <w:r w:rsidR="000F0BE9">
        <w:rPr>
          <w:rFonts w:ascii="Arial" w:hAnsi="Arial" w:cs="Arial"/>
          <w:sz w:val="20"/>
        </w:rPr>
        <w:t>”</w:t>
      </w:r>
      <w:r>
        <w:rPr>
          <w:rFonts w:ascii="Arial" w:hAnsi="Arial" w:cs="Arial"/>
          <w:sz w:val="20"/>
        </w:rPr>
        <w:t xml:space="preserve">  See also </w:t>
      </w:r>
      <w:r>
        <w:rPr>
          <w:rFonts w:ascii="Arial" w:hAnsi="Arial" w:cs="Arial"/>
          <w:i/>
          <w:iCs/>
          <w:sz w:val="20"/>
        </w:rPr>
        <w:t>R v Apostilidis</w:t>
      </w:r>
      <w:r w:rsidR="007D0245">
        <w:rPr>
          <w:rFonts w:ascii="Arial" w:hAnsi="Arial" w:cs="Arial"/>
          <w:sz w:val="20"/>
        </w:rPr>
        <w:t xml:space="preserve"> (1984) 154 CLR 563; </w:t>
      </w:r>
      <w:r w:rsidR="007D0245" w:rsidRPr="007D0245">
        <w:rPr>
          <w:rFonts w:ascii="Arial" w:hAnsi="Arial" w:cs="Arial"/>
          <w:i/>
          <w:sz w:val="20"/>
        </w:rPr>
        <w:t>R v Libke</w:t>
      </w:r>
      <w:r w:rsidR="007D0245">
        <w:rPr>
          <w:rFonts w:ascii="Arial" w:hAnsi="Arial" w:cs="Arial"/>
          <w:sz w:val="20"/>
        </w:rPr>
        <w:t xml:space="preserve"> [2007] HCA</w:t>
      </w:r>
      <w:r w:rsidR="008F4302">
        <w:rPr>
          <w:rFonts w:ascii="Arial" w:hAnsi="Arial" w:cs="Arial"/>
          <w:sz w:val="20"/>
        </w:rPr>
        <w:t xml:space="preserve"> 30 at [117]-[131] per Heydon J; </w:t>
      </w:r>
      <w:r w:rsidR="008F4302" w:rsidRPr="008F4302">
        <w:rPr>
          <w:rFonts w:ascii="Arial" w:hAnsi="Arial" w:cs="Arial"/>
          <w:i/>
          <w:sz w:val="20"/>
        </w:rPr>
        <w:t>R v Smart (Ruling No. 4)</w:t>
      </w:r>
      <w:r w:rsidR="008E56A1">
        <w:rPr>
          <w:rFonts w:ascii="Arial" w:hAnsi="Arial" w:cs="Arial"/>
          <w:sz w:val="20"/>
        </w:rPr>
        <w:t xml:space="preserve"> [2008] VSC 89 at [14]-[21]; </w:t>
      </w:r>
      <w:r w:rsidR="008E56A1" w:rsidRPr="008E56A1">
        <w:rPr>
          <w:rFonts w:ascii="Arial" w:hAnsi="Arial" w:cs="Arial"/>
          <w:i/>
          <w:sz w:val="20"/>
          <w:szCs w:val="20"/>
        </w:rPr>
        <w:t>R v Chimirri</w:t>
      </w:r>
      <w:r w:rsidR="008E56A1" w:rsidRPr="008E56A1">
        <w:rPr>
          <w:rFonts w:ascii="Arial" w:hAnsi="Arial" w:cs="Arial"/>
          <w:sz w:val="20"/>
          <w:szCs w:val="20"/>
        </w:rPr>
        <w:t xml:space="preserve"> [2010] VSCA 57 at [</w:t>
      </w:r>
      <w:proofErr w:type="gramStart"/>
      <w:r w:rsidR="008E56A1" w:rsidRPr="008E56A1">
        <w:rPr>
          <w:rFonts w:ascii="Arial" w:hAnsi="Arial" w:cs="Arial"/>
          <w:sz w:val="20"/>
          <w:szCs w:val="20"/>
        </w:rPr>
        <w:t>59]</w:t>
      </w:r>
      <w:r w:rsidR="00A13B31">
        <w:rPr>
          <w:rFonts w:ascii="Arial" w:hAnsi="Arial" w:cs="Arial"/>
          <w:sz w:val="20"/>
          <w:szCs w:val="20"/>
        </w:rPr>
        <w:noBreakHyphen/>
      </w:r>
      <w:proofErr w:type="gramEnd"/>
      <w:r w:rsidR="008E56A1" w:rsidRPr="008E56A1">
        <w:rPr>
          <w:rFonts w:ascii="Arial" w:hAnsi="Arial" w:cs="Arial"/>
          <w:sz w:val="20"/>
          <w:szCs w:val="20"/>
        </w:rPr>
        <w:t>[76].</w:t>
      </w:r>
    </w:p>
    <w:p w14:paraId="7AF2B445" w14:textId="77777777" w:rsidR="00C65F9B" w:rsidRDefault="00C65F9B">
      <w:pPr>
        <w:jc w:val="both"/>
        <w:rPr>
          <w:rFonts w:ascii="Arial" w:hAnsi="Arial" w:cs="Arial"/>
          <w:sz w:val="20"/>
        </w:rPr>
      </w:pPr>
    </w:p>
    <w:p w14:paraId="4BFAB1AD" w14:textId="77777777" w:rsidR="00AA1CCE" w:rsidRDefault="00AA1CCE">
      <w:pPr>
        <w:jc w:val="both"/>
        <w:rPr>
          <w:rFonts w:ascii="Arial" w:hAnsi="Arial" w:cs="Arial"/>
          <w:sz w:val="20"/>
        </w:rPr>
      </w:pPr>
      <w:r>
        <w:rPr>
          <w:rFonts w:ascii="Arial" w:hAnsi="Arial" w:cs="Arial"/>
          <w:sz w:val="20"/>
        </w:rPr>
        <w:lastRenderedPageBreak/>
        <w:t xml:space="preserve">In the course of quashing a conviction for money laundering and ordering a new trial in </w:t>
      </w:r>
      <w:r w:rsidRPr="00AA1CCE">
        <w:rPr>
          <w:rFonts w:ascii="Arial" w:hAnsi="Arial" w:cs="Arial"/>
          <w:i/>
          <w:iCs/>
          <w:sz w:val="20"/>
        </w:rPr>
        <w:t>Anile v The Queen</w:t>
      </w:r>
      <w:r>
        <w:rPr>
          <w:rFonts w:ascii="Arial" w:hAnsi="Arial" w:cs="Arial"/>
          <w:sz w:val="20"/>
        </w:rPr>
        <w:t xml:space="preserve"> [2019] VSCA 235 the Court of Appeal (</w:t>
      </w:r>
      <w:r w:rsidR="00C80ED6">
        <w:rPr>
          <w:rFonts w:ascii="Arial" w:hAnsi="Arial" w:cs="Arial"/>
          <w:sz w:val="20"/>
        </w:rPr>
        <w:t>Priest, Beach &amp; Weinberg JJA</w:t>
      </w:r>
      <w:r>
        <w:rPr>
          <w:rFonts w:ascii="Arial" w:hAnsi="Arial" w:cs="Arial"/>
          <w:sz w:val="20"/>
        </w:rPr>
        <w:t>)</w:t>
      </w:r>
      <w:r w:rsidR="00C80ED6">
        <w:rPr>
          <w:rFonts w:ascii="Arial" w:hAnsi="Arial" w:cs="Arial"/>
          <w:sz w:val="20"/>
        </w:rPr>
        <w:t xml:space="preserve"> was highly critical of all of the participants in the trial, saying at [1]:</w:t>
      </w:r>
    </w:p>
    <w:p w14:paraId="6B7F285D" w14:textId="1E93184E" w:rsidR="00C80ED6" w:rsidRPr="00C80ED6" w:rsidRDefault="00C80ED6" w:rsidP="00C80ED6">
      <w:pPr>
        <w:spacing w:before="80"/>
        <w:ind w:left="454" w:right="454"/>
        <w:jc w:val="both"/>
        <w:rPr>
          <w:rFonts w:ascii="Arial" w:hAnsi="Arial" w:cs="Arial"/>
          <w:iCs/>
          <w:sz w:val="20"/>
          <w:szCs w:val="20"/>
        </w:rPr>
      </w:pPr>
      <w:r w:rsidRPr="00C80ED6">
        <w:rPr>
          <w:rFonts w:ascii="Arial" w:hAnsi="Arial" w:cs="Arial"/>
          <w:iCs/>
          <w:sz w:val="20"/>
          <w:szCs w:val="20"/>
        </w:rPr>
        <w:t>“</w:t>
      </w:r>
      <w:r w:rsidRPr="00C80ED6">
        <w:rPr>
          <w:rFonts w:ascii="Arial" w:hAnsi="Arial" w:cs="Arial"/>
          <w:sz w:val="20"/>
          <w:szCs w:val="20"/>
        </w:rPr>
        <w:t>It has been said that the central prescript of our criminal law is that no person shall be convicted of crime otherwise than after a fair trial according to law</w:t>
      </w:r>
      <w:r w:rsidR="006D4E83">
        <w:rPr>
          <w:rFonts w:ascii="Arial" w:hAnsi="Arial" w:cs="Arial"/>
          <w:sz w:val="20"/>
          <w:szCs w:val="20"/>
        </w:rPr>
        <w:t>: s</w:t>
      </w:r>
      <w:r w:rsidRPr="006D4E83">
        <w:rPr>
          <w:rFonts w:ascii="Arial" w:hAnsi="Arial" w:cs="Arial"/>
          <w:sz w:val="20"/>
          <w:szCs w:val="20"/>
        </w:rPr>
        <w:t xml:space="preserve">ee </w:t>
      </w:r>
      <w:r w:rsidRPr="006D4E83">
        <w:rPr>
          <w:rFonts w:ascii="Arial" w:eastAsia="Book Antiqua" w:hAnsi="Arial" w:cs="Arial"/>
          <w:i/>
          <w:sz w:val="20"/>
          <w:szCs w:val="20"/>
        </w:rPr>
        <w:t>Jago v District Court of NSW</w:t>
      </w:r>
      <w:r w:rsidRPr="006D4E83">
        <w:rPr>
          <w:rFonts w:ascii="Arial" w:hAnsi="Arial" w:cs="Arial"/>
          <w:sz w:val="20"/>
          <w:szCs w:val="20"/>
        </w:rPr>
        <w:t xml:space="preserve"> (1989) 168 CLR 23, 56–7 (Deane J) </w:t>
      </w:r>
      <w:r w:rsidR="004D3E5D">
        <w:rPr>
          <w:rFonts w:ascii="Arial" w:hAnsi="Arial" w:cs="Arial"/>
          <w:sz w:val="20"/>
          <w:szCs w:val="20"/>
        </w:rPr>
        <w:t>[</w:t>
      </w:r>
      <w:r w:rsidRPr="006D4E83">
        <w:rPr>
          <w:rFonts w:ascii="Arial" w:hAnsi="Arial" w:cs="Arial"/>
          <w:sz w:val="20"/>
          <w:szCs w:val="20"/>
        </w:rPr>
        <w:t>‘</w:t>
      </w:r>
      <w:r w:rsidRPr="006D4E83">
        <w:rPr>
          <w:rFonts w:ascii="Arial" w:eastAsia="Book Antiqua" w:hAnsi="Arial" w:cs="Arial"/>
          <w:i/>
          <w:sz w:val="20"/>
          <w:szCs w:val="20"/>
        </w:rPr>
        <w:t>Jago</w:t>
      </w:r>
      <w:r w:rsidRPr="006D4E83">
        <w:rPr>
          <w:rFonts w:ascii="Arial" w:hAnsi="Arial" w:cs="Arial"/>
          <w:sz w:val="20"/>
          <w:szCs w:val="20"/>
        </w:rPr>
        <w:t>’</w:t>
      </w:r>
      <w:r w:rsidR="004D3E5D">
        <w:rPr>
          <w:rFonts w:ascii="Arial" w:hAnsi="Arial" w:cs="Arial"/>
          <w:sz w:val="20"/>
          <w:szCs w:val="20"/>
        </w:rPr>
        <w:t>]</w:t>
      </w:r>
      <w:r w:rsidRPr="006D4E83">
        <w:rPr>
          <w:rFonts w:ascii="Arial" w:hAnsi="Arial" w:cs="Arial"/>
          <w:sz w:val="20"/>
          <w:szCs w:val="20"/>
        </w:rPr>
        <w:t xml:space="preserve">.  It has also been observed that a criminal defendant ‘is entitled to a fair trial but not a perfect one’: </w:t>
      </w:r>
      <w:r w:rsidRPr="006D4E83">
        <w:rPr>
          <w:rFonts w:ascii="Arial" w:eastAsia="Book Antiqua" w:hAnsi="Arial" w:cs="Arial"/>
          <w:i/>
          <w:sz w:val="20"/>
          <w:szCs w:val="20"/>
        </w:rPr>
        <w:t>US v Lutwak</w:t>
      </w:r>
      <w:r w:rsidRPr="006D4E83">
        <w:rPr>
          <w:rFonts w:ascii="Arial" w:hAnsi="Arial" w:cs="Arial"/>
          <w:sz w:val="20"/>
          <w:szCs w:val="20"/>
        </w:rPr>
        <w:t xml:space="preserve">, 344 US 604, 619 (1953).  See also </w:t>
      </w:r>
      <w:r w:rsidRPr="006D4E83">
        <w:rPr>
          <w:rFonts w:ascii="Arial" w:eastAsia="Book Antiqua" w:hAnsi="Arial" w:cs="Arial"/>
          <w:i/>
          <w:sz w:val="20"/>
          <w:szCs w:val="20"/>
        </w:rPr>
        <w:t>Jago</w:t>
      </w:r>
      <w:r w:rsidRPr="006D4E83">
        <w:rPr>
          <w:rFonts w:ascii="Arial" w:hAnsi="Arial" w:cs="Arial"/>
          <w:sz w:val="20"/>
          <w:szCs w:val="20"/>
        </w:rPr>
        <w:t xml:space="preserve">, 49 (Brennan J); </w:t>
      </w:r>
      <w:r w:rsidRPr="006D4E83">
        <w:rPr>
          <w:rFonts w:ascii="Arial" w:eastAsia="Book Antiqua" w:hAnsi="Arial" w:cs="Arial"/>
          <w:i/>
          <w:sz w:val="20"/>
          <w:szCs w:val="20"/>
        </w:rPr>
        <w:t>Dietrich v The Queen</w:t>
      </w:r>
      <w:r w:rsidRPr="006D4E83">
        <w:rPr>
          <w:rFonts w:ascii="Arial" w:hAnsi="Arial" w:cs="Arial"/>
          <w:sz w:val="20"/>
          <w:szCs w:val="20"/>
        </w:rPr>
        <w:t xml:space="preserve"> (1992) 177 CLR 292, 362 (Gaudron J); </w:t>
      </w:r>
      <w:r w:rsidRPr="006D4E83">
        <w:rPr>
          <w:rFonts w:ascii="Arial" w:eastAsia="Book Antiqua" w:hAnsi="Arial" w:cs="Arial"/>
          <w:i/>
          <w:sz w:val="20"/>
          <w:szCs w:val="20"/>
        </w:rPr>
        <w:t>R v Dupas (No 3)</w:t>
      </w:r>
      <w:r w:rsidRPr="006D4E83">
        <w:rPr>
          <w:rFonts w:ascii="Arial" w:hAnsi="Arial" w:cs="Arial"/>
          <w:sz w:val="20"/>
          <w:szCs w:val="20"/>
        </w:rPr>
        <w:t xml:space="preserve"> (2009) 28 VR 380, 422 [158] (fn 93) (Ashley JA), 430–31 [188] (Weinberg JA); </w:t>
      </w:r>
      <w:r w:rsidRPr="006D4E83">
        <w:rPr>
          <w:rFonts w:ascii="Arial" w:eastAsia="Book Antiqua" w:hAnsi="Arial" w:cs="Arial"/>
          <w:i/>
          <w:sz w:val="20"/>
          <w:szCs w:val="20"/>
        </w:rPr>
        <w:t>Romolo v The Queen</w:t>
      </w:r>
      <w:r w:rsidRPr="006D4E83">
        <w:rPr>
          <w:rFonts w:ascii="Arial" w:hAnsi="Arial" w:cs="Arial"/>
          <w:sz w:val="20"/>
          <w:szCs w:val="20"/>
        </w:rPr>
        <w:t xml:space="preserve"> [2016] NSWCCA 240 [28] (Button J); </w:t>
      </w:r>
      <w:r w:rsidRPr="006D4E83">
        <w:rPr>
          <w:rFonts w:ascii="Arial" w:eastAsia="Book Antiqua" w:hAnsi="Arial" w:cs="Arial"/>
          <w:i/>
          <w:sz w:val="20"/>
          <w:szCs w:val="20"/>
        </w:rPr>
        <w:t>Packard (a Pseudonym) v The Queen</w:t>
      </w:r>
      <w:r w:rsidRPr="006D4E83">
        <w:rPr>
          <w:rFonts w:ascii="Arial" w:hAnsi="Arial" w:cs="Arial"/>
          <w:sz w:val="20"/>
          <w:szCs w:val="20"/>
        </w:rPr>
        <w:t xml:space="preserve"> [2018] VSCA 45 [112]–[114] (Priest JA).</w:t>
      </w:r>
      <w:r w:rsidR="006D4E83">
        <w:rPr>
          <w:rFonts w:ascii="Arial" w:hAnsi="Arial" w:cs="Arial"/>
          <w:sz w:val="20"/>
          <w:szCs w:val="20"/>
        </w:rPr>
        <w:t xml:space="preserve">  </w:t>
      </w:r>
      <w:r w:rsidRPr="00C80ED6">
        <w:rPr>
          <w:rFonts w:ascii="Arial" w:hAnsi="Arial" w:cs="Arial"/>
          <w:sz w:val="20"/>
          <w:szCs w:val="20"/>
        </w:rPr>
        <w:t>Another way of putting this is that an accused person has the right not to be tried unfairly.  In the present case, far too many things went wrong in the appellant’s trial for this Court to conclude that his trial was not unacceptably unfair.  In our view, an aggregate of defects — including the objectively unfair tactics of the prosecutor, the incompetence of defence counsel in the manner in which he conducted the trial, the judge’s failure to rein-in improper cross-examination, and the significant misdirection of the jury in a particular respect — combined to effect a substantial miscarriage of justice.</w:t>
      </w:r>
      <w:r w:rsidR="006D4E83">
        <w:rPr>
          <w:rFonts w:ascii="Arial" w:hAnsi="Arial" w:cs="Arial"/>
          <w:sz w:val="20"/>
          <w:szCs w:val="20"/>
        </w:rPr>
        <w:t>”</w:t>
      </w:r>
    </w:p>
    <w:p w14:paraId="083C74EB" w14:textId="77777777" w:rsidR="00AA1CCE" w:rsidRDefault="006D4E83" w:rsidP="006D4E83">
      <w:pPr>
        <w:spacing w:before="80"/>
        <w:jc w:val="both"/>
        <w:rPr>
          <w:rFonts w:ascii="Arial" w:hAnsi="Arial" w:cs="Arial"/>
          <w:sz w:val="20"/>
        </w:rPr>
      </w:pPr>
      <w:r>
        <w:rPr>
          <w:rFonts w:ascii="Arial" w:hAnsi="Arial" w:cs="Arial"/>
          <w:sz w:val="20"/>
        </w:rPr>
        <w:t>At [130] &amp; [136] the Court of Appeal said:</w:t>
      </w:r>
    </w:p>
    <w:p w14:paraId="125E1C0A" w14:textId="77777777" w:rsidR="006D4E83" w:rsidRPr="006D4E83" w:rsidRDefault="006D4E83" w:rsidP="006D4E83">
      <w:pPr>
        <w:spacing w:before="80"/>
        <w:ind w:left="454" w:right="454"/>
        <w:jc w:val="both"/>
        <w:rPr>
          <w:rFonts w:ascii="Arial" w:hAnsi="Arial" w:cs="Arial"/>
          <w:sz w:val="20"/>
          <w:szCs w:val="20"/>
        </w:rPr>
      </w:pPr>
      <w:r>
        <w:rPr>
          <w:rFonts w:ascii="Arial" w:hAnsi="Arial" w:cs="Arial"/>
          <w:iCs/>
          <w:sz w:val="20"/>
          <w:szCs w:val="20"/>
        </w:rPr>
        <w:t>[130] “</w:t>
      </w:r>
      <w:r w:rsidRPr="006D4E83">
        <w:rPr>
          <w:rFonts w:ascii="Arial" w:hAnsi="Arial" w:cs="Arial"/>
          <w:sz w:val="20"/>
          <w:szCs w:val="20"/>
        </w:rPr>
        <w:t>The duty which rests upon the prosecution to disclose to the defence any material that might be of assistance in meeting the charges brought is well established.  The principles that govern that duty may be summarised as follows:</w:t>
      </w:r>
    </w:p>
    <w:p w14:paraId="3F6655BE"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 xml:space="preserve">the duty to disclose is one that is owed to the Court, and not to the accused: </w:t>
      </w:r>
      <w:r w:rsidRPr="006D4E83">
        <w:rPr>
          <w:rFonts w:ascii="Arial" w:eastAsia="Book Antiqua" w:hAnsi="Arial" w:cs="Arial"/>
          <w:i/>
          <w:sz w:val="20"/>
          <w:szCs w:val="20"/>
        </w:rPr>
        <w:t>Cannon v Tahche</w:t>
      </w:r>
      <w:r w:rsidRPr="006D4E83">
        <w:rPr>
          <w:rFonts w:ascii="Arial" w:hAnsi="Arial" w:cs="Arial"/>
          <w:sz w:val="20"/>
          <w:szCs w:val="20"/>
        </w:rPr>
        <w:t xml:space="preserve"> (2002) 5 VR 317, 340;</w:t>
      </w:r>
    </w:p>
    <w:p w14:paraId="53F43702"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the duty is to disclose, prior to trial, all material which can be seen on a sensible appraisal to be relevant, or even possibly relevant, to an issue in the case;</w:t>
      </w:r>
    </w:p>
    <w:p w14:paraId="5AEF3186"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 xml:space="preserve">the duty is also to disclose, prior to trial all material which could hold out a real (as opposed to fanciful) prospect of providing a lead towards exculpatory evidence: </w:t>
      </w:r>
      <w:r w:rsidRPr="006D4E83">
        <w:rPr>
          <w:rFonts w:ascii="Arial" w:eastAsia="Book Antiqua" w:hAnsi="Arial" w:cs="Arial"/>
          <w:i/>
          <w:sz w:val="20"/>
          <w:szCs w:val="20"/>
        </w:rPr>
        <w:t>R v Farquharson</w:t>
      </w:r>
      <w:r w:rsidRPr="006D4E83">
        <w:rPr>
          <w:rFonts w:ascii="Arial" w:hAnsi="Arial" w:cs="Arial"/>
          <w:sz w:val="20"/>
          <w:szCs w:val="20"/>
        </w:rPr>
        <w:t xml:space="preserve"> (2009) 26 VR 410, 464 [213]</w:t>
      </w:r>
      <w:r>
        <w:rPr>
          <w:rFonts w:ascii="Arial" w:hAnsi="Arial" w:cs="Arial"/>
          <w:sz w:val="20"/>
          <w:szCs w:val="20"/>
        </w:rPr>
        <w:t>; s</w:t>
      </w:r>
      <w:r w:rsidRPr="006D4E83">
        <w:rPr>
          <w:rFonts w:ascii="Arial" w:hAnsi="Arial" w:cs="Arial"/>
          <w:sz w:val="20"/>
          <w:szCs w:val="20"/>
        </w:rPr>
        <w:t xml:space="preserve">ee also </w:t>
      </w:r>
      <w:r w:rsidRPr="006D4E83">
        <w:rPr>
          <w:rFonts w:ascii="Arial" w:eastAsia="Book Antiqua" w:hAnsi="Arial" w:cs="Arial"/>
          <w:i/>
          <w:sz w:val="20"/>
          <w:szCs w:val="20"/>
        </w:rPr>
        <w:t>R v Reardon</w:t>
      </w:r>
      <w:r w:rsidRPr="006D4E83">
        <w:rPr>
          <w:rFonts w:ascii="Arial" w:hAnsi="Arial" w:cs="Arial"/>
          <w:sz w:val="20"/>
          <w:szCs w:val="20"/>
        </w:rPr>
        <w:t xml:space="preserve"> </w:t>
      </w:r>
      <w:r w:rsidRPr="006D4E83">
        <w:rPr>
          <w:rFonts w:ascii="Arial" w:eastAsia="Book Antiqua" w:hAnsi="Arial" w:cs="Arial"/>
          <w:i/>
          <w:sz w:val="20"/>
          <w:szCs w:val="20"/>
        </w:rPr>
        <w:t>(No 2)</w:t>
      </w:r>
      <w:r w:rsidRPr="006D4E83">
        <w:rPr>
          <w:rFonts w:ascii="Arial" w:hAnsi="Arial" w:cs="Arial"/>
          <w:sz w:val="20"/>
          <w:szCs w:val="20"/>
        </w:rPr>
        <w:t xml:space="preserve"> (2004) 60 NSWLR 454, and </w:t>
      </w:r>
      <w:r w:rsidRPr="006D4E83">
        <w:rPr>
          <w:rFonts w:ascii="Arial" w:eastAsia="Book Antiqua" w:hAnsi="Arial" w:cs="Arial"/>
          <w:i/>
          <w:sz w:val="20"/>
          <w:szCs w:val="20"/>
        </w:rPr>
        <w:t>R v</w:t>
      </w:r>
      <w:r w:rsidRPr="006D4E83">
        <w:rPr>
          <w:rFonts w:ascii="Arial" w:hAnsi="Arial" w:cs="Arial"/>
          <w:sz w:val="20"/>
          <w:szCs w:val="20"/>
        </w:rPr>
        <w:t xml:space="preserve"> </w:t>
      </w:r>
      <w:r w:rsidRPr="006D4E83">
        <w:rPr>
          <w:rFonts w:ascii="Arial" w:eastAsia="Book Antiqua" w:hAnsi="Arial" w:cs="Arial"/>
          <w:i/>
          <w:sz w:val="20"/>
          <w:szCs w:val="20"/>
        </w:rPr>
        <w:t>Spiteri</w:t>
      </w:r>
      <w:r w:rsidRPr="006D4E83">
        <w:rPr>
          <w:rFonts w:ascii="Arial" w:hAnsi="Arial" w:cs="Arial"/>
          <w:sz w:val="20"/>
          <w:szCs w:val="20"/>
        </w:rPr>
        <w:t xml:space="preserve"> (2004) 61 NSWLR 369;</w:t>
      </w:r>
    </w:p>
    <w:p w14:paraId="254BCDCE"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 xml:space="preserve">a failure to comply with that duty may, in some circumstances, give rise to a miscarriage of justice: </w:t>
      </w:r>
      <w:r w:rsidRPr="006D4E83">
        <w:rPr>
          <w:rFonts w:ascii="Arial" w:eastAsia="Book Antiqua" w:hAnsi="Arial" w:cs="Arial"/>
          <w:i/>
          <w:sz w:val="20"/>
          <w:szCs w:val="20"/>
        </w:rPr>
        <w:t>Mallard v The Queen</w:t>
      </w:r>
      <w:r w:rsidRPr="006D4E83">
        <w:rPr>
          <w:rFonts w:ascii="Arial" w:hAnsi="Arial" w:cs="Arial"/>
          <w:sz w:val="20"/>
          <w:szCs w:val="20"/>
        </w:rPr>
        <w:t xml:space="preserve"> (2005) 224 CLR 125;</w:t>
      </w:r>
      <w:r>
        <w:rPr>
          <w:rFonts w:ascii="Arial" w:hAnsi="Arial" w:cs="Arial"/>
          <w:sz w:val="20"/>
          <w:szCs w:val="20"/>
        </w:rPr>
        <w:t xml:space="preserve"> and</w:t>
      </w:r>
    </w:p>
    <w:p w14:paraId="68230F6E" w14:textId="77777777" w:rsidR="006D4E83" w:rsidRPr="006D4E83" w:rsidRDefault="006D4E83" w:rsidP="00D772F0">
      <w:pPr>
        <w:numPr>
          <w:ilvl w:val="1"/>
          <w:numId w:val="46"/>
        </w:numPr>
        <w:ind w:left="738" w:right="782" w:hanging="284"/>
        <w:jc w:val="both"/>
        <w:rPr>
          <w:rFonts w:ascii="Arial" w:hAnsi="Arial" w:cs="Arial"/>
          <w:sz w:val="20"/>
        </w:rPr>
      </w:pPr>
      <w:r w:rsidRPr="006D4E83">
        <w:rPr>
          <w:rFonts w:ascii="Arial" w:hAnsi="Arial" w:cs="Arial"/>
          <w:sz w:val="20"/>
          <w:szCs w:val="20"/>
        </w:rPr>
        <w:t xml:space="preserve">the rule requiring disclosure applies in relation to material both in the possession of the prosecution, and material which it should obtain.  In </w:t>
      </w:r>
      <w:proofErr w:type="gramStart"/>
      <w:r w:rsidRPr="006D4E83">
        <w:rPr>
          <w:rFonts w:ascii="Arial" w:hAnsi="Arial" w:cs="Arial"/>
          <w:sz w:val="20"/>
          <w:szCs w:val="20"/>
        </w:rPr>
        <w:t>others</w:t>
      </w:r>
      <w:proofErr w:type="gramEnd"/>
      <w:r w:rsidRPr="006D4E83">
        <w:rPr>
          <w:rFonts w:ascii="Arial" w:hAnsi="Arial" w:cs="Arial"/>
          <w:sz w:val="20"/>
          <w:szCs w:val="20"/>
        </w:rPr>
        <w:t xml:space="preserve"> words, the obligation to disclose includes, in an appropriate case, an obligation to make enquiries: </w:t>
      </w:r>
      <w:r w:rsidRPr="006D4E83">
        <w:rPr>
          <w:rFonts w:ascii="Arial" w:eastAsia="Book Antiqua" w:hAnsi="Arial" w:cs="Arial"/>
          <w:i/>
          <w:sz w:val="20"/>
          <w:szCs w:val="20"/>
        </w:rPr>
        <w:t xml:space="preserve">AJ v The Queen </w:t>
      </w:r>
      <w:r w:rsidRPr="006D4E83">
        <w:rPr>
          <w:rFonts w:ascii="Arial" w:hAnsi="Arial" w:cs="Arial"/>
          <w:sz w:val="20"/>
          <w:szCs w:val="20"/>
        </w:rPr>
        <w:t>(2011) 32 VR 614, 620 [22].</w:t>
      </w:r>
      <w:r>
        <w:rPr>
          <w:rFonts w:ascii="Arial" w:hAnsi="Arial" w:cs="Arial"/>
          <w:sz w:val="20"/>
          <w:szCs w:val="20"/>
        </w:rPr>
        <w:t>”</w:t>
      </w:r>
    </w:p>
    <w:p w14:paraId="2413E6A0" w14:textId="77777777" w:rsidR="00213156" w:rsidRPr="00213156" w:rsidRDefault="00213156" w:rsidP="00213156">
      <w:pPr>
        <w:spacing w:before="80"/>
        <w:ind w:left="360" w:right="454"/>
        <w:jc w:val="both"/>
        <w:rPr>
          <w:rFonts w:ascii="Arial" w:hAnsi="Arial" w:cs="Arial"/>
          <w:sz w:val="20"/>
          <w:szCs w:val="20"/>
        </w:rPr>
      </w:pPr>
      <w:r w:rsidRPr="00213156">
        <w:rPr>
          <w:rFonts w:ascii="Arial" w:hAnsi="Arial" w:cs="Arial"/>
          <w:sz w:val="20"/>
          <w:szCs w:val="20"/>
        </w:rPr>
        <w:t>[136] “</w:t>
      </w:r>
      <w:r w:rsidR="00CF56D8">
        <w:rPr>
          <w:rFonts w:ascii="Arial" w:hAnsi="Arial" w:cs="Arial"/>
          <w:sz w:val="20"/>
          <w:szCs w:val="20"/>
        </w:rPr>
        <w:t>…t</w:t>
      </w:r>
      <w:r w:rsidRPr="00213156">
        <w:rPr>
          <w:rFonts w:ascii="Arial" w:hAnsi="Arial" w:cs="Arial"/>
          <w:sz w:val="20"/>
          <w:szCs w:val="20"/>
        </w:rPr>
        <w:t>he duty to disclose is not confined to material that bears upon the credit of prosecution witnesses, though that is sometimes mistakenly believed.  Any material that might enable the defence to prepare its case properly, whether seemingly admissible in evidence or not, and whether considered by the prosecution to be more generally harmful to the accused than of assistance, must be discl</w:t>
      </w:r>
      <w:r w:rsidRPr="00C267FB">
        <w:rPr>
          <w:rFonts w:ascii="Arial" w:hAnsi="Arial" w:cs="Arial"/>
          <w:sz w:val="20"/>
          <w:szCs w:val="20"/>
        </w:rPr>
        <w:t xml:space="preserve">osed.  What use, if any, is to </w:t>
      </w:r>
      <w:r w:rsidR="00E3485C" w:rsidRPr="00C267FB">
        <w:rPr>
          <w:rFonts w:ascii="Arial" w:hAnsi="Arial" w:cs="Arial"/>
          <w:sz w:val="20"/>
          <w:szCs w:val="20"/>
        </w:rPr>
        <w:t>be made of that material is a matter for the defence, not for the prosecution.</w:t>
      </w:r>
      <w:r w:rsidR="00C267FB">
        <w:rPr>
          <w:rFonts w:ascii="Arial" w:hAnsi="Arial" w:cs="Arial"/>
          <w:sz w:val="20"/>
          <w:szCs w:val="20"/>
        </w:rPr>
        <w:t>”</w:t>
      </w:r>
    </w:p>
    <w:p w14:paraId="2A833EAD" w14:textId="2FB526A5" w:rsidR="006D4E83" w:rsidRDefault="00C267FB" w:rsidP="00C267FB">
      <w:pPr>
        <w:spacing w:before="80"/>
        <w:ind w:right="782"/>
        <w:jc w:val="both"/>
        <w:rPr>
          <w:rFonts w:ascii="Arial" w:hAnsi="Arial" w:cs="Arial"/>
          <w:sz w:val="20"/>
        </w:rPr>
      </w:pPr>
      <w:r>
        <w:rPr>
          <w:rFonts w:ascii="Arial" w:hAnsi="Arial" w:cs="Arial"/>
          <w:sz w:val="20"/>
        </w:rPr>
        <w:t>At [149]</w:t>
      </w:r>
      <w:r w:rsidR="00B62342">
        <w:rPr>
          <w:rFonts w:ascii="Arial" w:hAnsi="Arial" w:cs="Arial"/>
          <w:sz w:val="20"/>
        </w:rPr>
        <w:t>-</w:t>
      </w:r>
      <w:r>
        <w:rPr>
          <w:rFonts w:ascii="Arial" w:hAnsi="Arial" w:cs="Arial"/>
          <w:sz w:val="20"/>
        </w:rPr>
        <w:t xml:space="preserve">[152] the Court of Appeal </w:t>
      </w:r>
      <w:r w:rsidR="00C37348">
        <w:rPr>
          <w:rFonts w:ascii="Arial" w:hAnsi="Arial" w:cs="Arial"/>
          <w:sz w:val="20"/>
        </w:rPr>
        <w:t>set out some principles in relation to cross-examination:</w:t>
      </w:r>
    </w:p>
    <w:p w14:paraId="08082F52" w14:textId="77777777" w:rsidR="00C267FB" w:rsidRDefault="00C267FB" w:rsidP="00C267FB">
      <w:pPr>
        <w:spacing w:before="80"/>
        <w:ind w:left="454" w:right="454"/>
        <w:jc w:val="both"/>
        <w:rPr>
          <w:rFonts w:ascii="Arial" w:hAnsi="Arial" w:cs="Arial"/>
          <w:sz w:val="20"/>
          <w:szCs w:val="20"/>
        </w:rPr>
      </w:pPr>
      <w:r>
        <w:rPr>
          <w:rFonts w:ascii="Arial" w:hAnsi="Arial" w:cs="Arial"/>
          <w:sz w:val="20"/>
          <w:szCs w:val="20"/>
        </w:rPr>
        <w:t xml:space="preserve">[149] </w:t>
      </w:r>
      <w:r w:rsidRPr="00C267FB">
        <w:rPr>
          <w:rFonts w:ascii="Arial" w:hAnsi="Arial" w:cs="Arial"/>
          <w:sz w:val="20"/>
          <w:szCs w:val="20"/>
        </w:rPr>
        <w:t xml:space="preserve">“There are rules which govern the conduct of cross-examination in this and every other State.  Cross-examination can and, within proper limits, should be searching, and in appropriate cases, vigorous.  It should not, however, be unduly annoying, harassing, intimidating, offensive, oppressive, humiliating or repetitive: </w:t>
      </w:r>
      <w:r w:rsidRPr="00C267FB">
        <w:rPr>
          <w:rFonts w:ascii="Arial" w:eastAsia="Book Antiqua" w:hAnsi="Arial" w:cs="Arial"/>
          <w:i/>
          <w:sz w:val="20"/>
          <w:szCs w:val="20"/>
        </w:rPr>
        <w:t>Evidence Act 2008</w:t>
      </w:r>
      <w:r w:rsidRPr="00C267FB">
        <w:rPr>
          <w:rFonts w:ascii="Arial" w:hAnsi="Arial" w:cs="Arial"/>
          <w:sz w:val="20"/>
          <w:szCs w:val="20"/>
        </w:rPr>
        <w:t xml:space="preserve"> s 41(3). Questions which are intended only to annoy or insult should not be put.”</w:t>
      </w:r>
    </w:p>
    <w:p w14:paraId="3D0C004E" w14:textId="77777777" w:rsidR="00C267FB" w:rsidRDefault="00C267FB" w:rsidP="00C267FB">
      <w:pPr>
        <w:spacing w:before="80"/>
        <w:ind w:left="454" w:right="454"/>
        <w:jc w:val="both"/>
        <w:rPr>
          <w:rFonts w:ascii="Arial" w:hAnsi="Arial" w:cs="Arial"/>
          <w:sz w:val="20"/>
          <w:szCs w:val="20"/>
        </w:rPr>
      </w:pPr>
      <w:r>
        <w:rPr>
          <w:rFonts w:ascii="Arial" w:hAnsi="Arial" w:cs="Arial"/>
          <w:sz w:val="20"/>
          <w:szCs w:val="20"/>
        </w:rPr>
        <w:t xml:space="preserve">[150] </w:t>
      </w:r>
      <w:r w:rsidRPr="003E1273">
        <w:rPr>
          <w:rFonts w:ascii="Arial" w:hAnsi="Arial" w:cs="Arial"/>
          <w:sz w:val="20"/>
          <w:szCs w:val="18"/>
        </w:rPr>
        <w:t>While it is not improper, in cross-examination as to credit, to put questions suggesting fraud, misconduct, or the commission of criminal offences, such questions should not be put unless (a) the matters suggested are part of the client’s case, and (b) counsel has no reason to believe they are only put forward for the purpose of impugning the character of the witness.  Questions which affect the credibility of a witness by attacking their character, but are not otherwise relevant to the actual matters in issue, ought not be asked unless the cross-examiner has r</w:t>
      </w:r>
      <w:r w:rsidRPr="00C267FB">
        <w:rPr>
          <w:rFonts w:ascii="Arial" w:hAnsi="Arial" w:cs="Arial"/>
          <w:sz w:val="20"/>
          <w:szCs w:val="20"/>
        </w:rPr>
        <w:t xml:space="preserve">easonable grounds for thinking that the imputation conveyed by those questions are well-founded or true: Sir Gregory Gowans, </w:t>
      </w:r>
      <w:r w:rsidRPr="00C267FB">
        <w:rPr>
          <w:rFonts w:ascii="Arial" w:eastAsia="Book Antiqua" w:hAnsi="Arial" w:cs="Arial"/>
          <w:i/>
          <w:sz w:val="20"/>
          <w:szCs w:val="20"/>
        </w:rPr>
        <w:t>The Victorian Bar</w:t>
      </w:r>
      <w:r w:rsidRPr="00C267FB">
        <w:rPr>
          <w:rFonts w:ascii="Arial" w:hAnsi="Arial" w:cs="Arial"/>
          <w:sz w:val="20"/>
          <w:szCs w:val="20"/>
        </w:rPr>
        <w:t xml:space="preserve"> </w:t>
      </w:r>
      <w:r w:rsidRPr="00C267FB">
        <w:rPr>
          <w:rFonts w:ascii="Arial" w:eastAsia="Book Antiqua" w:hAnsi="Arial" w:cs="Arial"/>
          <w:i/>
          <w:sz w:val="20"/>
          <w:szCs w:val="20"/>
        </w:rPr>
        <w:t>Professional Conduct, Practice and Etiquette</w:t>
      </w:r>
      <w:r w:rsidRPr="00C267FB">
        <w:rPr>
          <w:rFonts w:ascii="Arial" w:hAnsi="Arial" w:cs="Arial"/>
          <w:sz w:val="20"/>
          <w:szCs w:val="20"/>
        </w:rPr>
        <w:t xml:space="preserve"> (The Law Book Company Limited, 1979) </w:t>
      </w:r>
      <w:r>
        <w:rPr>
          <w:rFonts w:ascii="Arial" w:hAnsi="Arial" w:cs="Arial"/>
          <w:sz w:val="20"/>
          <w:szCs w:val="20"/>
        </w:rPr>
        <w:t xml:space="preserve">69 &amp; </w:t>
      </w:r>
      <w:r w:rsidRPr="00C267FB">
        <w:rPr>
          <w:rFonts w:ascii="Arial" w:hAnsi="Arial" w:cs="Arial"/>
          <w:sz w:val="20"/>
          <w:szCs w:val="20"/>
        </w:rPr>
        <w:t>74.</w:t>
      </w:r>
    </w:p>
    <w:p w14:paraId="10748DED" w14:textId="77777777" w:rsidR="00C267FB" w:rsidRDefault="00C267FB" w:rsidP="00C267FB">
      <w:pPr>
        <w:spacing w:before="80"/>
        <w:ind w:left="454" w:right="454"/>
        <w:jc w:val="both"/>
        <w:rPr>
          <w:rFonts w:ascii="Arial" w:hAnsi="Arial" w:cs="Arial"/>
          <w:sz w:val="20"/>
          <w:szCs w:val="18"/>
        </w:rPr>
      </w:pPr>
      <w:r>
        <w:rPr>
          <w:rFonts w:ascii="Arial" w:hAnsi="Arial" w:cs="Arial"/>
          <w:sz w:val="20"/>
          <w:szCs w:val="20"/>
        </w:rPr>
        <w:t xml:space="preserve">[151] </w:t>
      </w:r>
      <w:r w:rsidRPr="003E1273">
        <w:rPr>
          <w:rFonts w:ascii="Arial" w:hAnsi="Arial" w:cs="Arial"/>
          <w:sz w:val="20"/>
          <w:szCs w:val="18"/>
        </w:rPr>
        <w:t>It is important in the interests of justice that cross-examination be conducted within reasonable limits.  For example, previous convictions are ordinarily only likely to bear upon credibility where they are capable of showing a propensity to be untruthful</w:t>
      </w:r>
      <w:r w:rsidR="00C37348">
        <w:rPr>
          <w:rFonts w:ascii="Arial" w:hAnsi="Arial" w:cs="Arial"/>
          <w:sz w:val="20"/>
          <w:szCs w:val="18"/>
        </w:rPr>
        <w:t xml:space="preserve">: R v Hanson [2005] </w:t>
      </w:r>
      <w:r w:rsidR="00C37348">
        <w:rPr>
          <w:rFonts w:ascii="Arial" w:hAnsi="Arial" w:cs="Arial"/>
          <w:sz w:val="20"/>
          <w:szCs w:val="18"/>
        </w:rPr>
        <w:lastRenderedPageBreak/>
        <w:t>2 Cr App R 21</w:t>
      </w:r>
      <w:r w:rsidRPr="003E1273">
        <w:rPr>
          <w:rFonts w:ascii="Arial" w:hAnsi="Arial" w:cs="Arial"/>
          <w:sz w:val="20"/>
          <w:szCs w:val="18"/>
        </w:rPr>
        <w:t>.  Thus convictions for traffic offences would not normally be put to a witne</w:t>
      </w:r>
      <w:r w:rsidRPr="00C37348">
        <w:rPr>
          <w:rFonts w:ascii="Arial" w:hAnsi="Arial" w:cs="Arial"/>
          <w:sz w:val="20"/>
          <w:szCs w:val="20"/>
        </w:rPr>
        <w:t>ss by way of an attack upon credibility</w:t>
      </w:r>
      <w:r w:rsidR="00C37348" w:rsidRPr="00C37348">
        <w:rPr>
          <w:rFonts w:ascii="Arial" w:hAnsi="Arial" w:cs="Arial"/>
          <w:sz w:val="20"/>
          <w:szCs w:val="20"/>
        </w:rPr>
        <w:t xml:space="preserve">: Compare </w:t>
      </w:r>
      <w:r w:rsidR="00C37348" w:rsidRPr="00C37348">
        <w:rPr>
          <w:rFonts w:ascii="Arial" w:eastAsia="Book Antiqua" w:hAnsi="Arial" w:cs="Arial"/>
          <w:i/>
          <w:sz w:val="20"/>
          <w:szCs w:val="20"/>
        </w:rPr>
        <w:t xml:space="preserve">Bugg v Day </w:t>
      </w:r>
      <w:r w:rsidR="00C37348" w:rsidRPr="00C37348">
        <w:rPr>
          <w:rFonts w:ascii="Arial" w:hAnsi="Arial" w:cs="Arial"/>
          <w:sz w:val="20"/>
          <w:szCs w:val="20"/>
        </w:rPr>
        <w:t>(1949) 79 CLR 442.</w:t>
      </w:r>
    </w:p>
    <w:p w14:paraId="62756B8D" w14:textId="77777777" w:rsidR="00C37348" w:rsidRPr="00C37348" w:rsidRDefault="00C37348" w:rsidP="00C267FB">
      <w:pPr>
        <w:spacing w:before="80"/>
        <w:ind w:left="454" w:right="454"/>
        <w:jc w:val="both"/>
        <w:rPr>
          <w:rFonts w:ascii="Arial" w:hAnsi="Arial" w:cs="Arial"/>
          <w:sz w:val="20"/>
          <w:szCs w:val="20"/>
        </w:rPr>
      </w:pPr>
      <w:r>
        <w:rPr>
          <w:rFonts w:ascii="Arial" w:hAnsi="Arial" w:cs="Arial"/>
          <w:sz w:val="20"/>
          <w:szCs w:val="18"/>
        </w:rPr>
        <w:t xml:space="preserve">[152] </w:t>
      </w:r>
      <w:r w:rsidRPr="00C90BA2">
        <w:rPr>
          <w:rFonts w:ascii="Arial" w:hAnsi="Arial" w:cs="Arial"/>
          <w:sz w:val="20"/>
          <w:szCs w:val="20"/>
        </w:rPr>
        <w:t>Of course, there are additional constraints upon the way in which a prosecutor should go about the task of conducting cross-examination.  The role of prosecuting counsel differs from that of an advocate representing an accused person.  Prosecutors have a positive duty to make any evidence which could be in the interest of an accused available to that accused or their counsel.  Their duty is not to obtain a conviction by any or all means.  They must not adopt tactics that involve an appeal to prejudice or amount to an intemperate or emotional attack upon an accused person.  That does not mean in properly carrying out their role, cross-examination and jury address must be bland or colourless, but they are not to be zealots and must ensure that they present the case against the accused fairly and honestly</w:t>
      </w:r>
      <w:r>
        <w:rPr>
          <w:rFonts w:ascii="Arial" w:hAnsi="Arial" w:cs="Arial"/>
          <w:sz w:val="20"/>
          <w:szCs w:val="20"/>
        </w:rPr>
        <w:t xml:space="preserve">: </w:t>
      </w:r>
      <w:r w:rsidRPr="00C37348">
        <w:rPr>
          <w:rFonts w:ascii="Arial" w:hAnsi="Arial" w:cs="Arial"/>
          <w:i/>
          <w:sz w:val="20"/>
          <w:szCs w:val="20"/>
        </w:rPr>
        <w:t xml:space="preserve">R v Smith </w:t>
      </w:r>
      <w:r w:rsidRPr="00C37348">
        <w:rPr>
          <w:rFonts w:ascii="Arial" w:hAnsi="Arial" w:cs="Arial"/>
          <w:sz w:val="20"/>
          <w:szCs w:val="20"/>
        </w:rPr>
        <w:t xml:space="preserve">(2007) 179 A Crim R 453.  See also </w:t>
      </w:r>
      <w:r w:rsidRPr="00C37348">
        <w:rPr>
          <w:rFonts w:ascii="Arial" w:hAnsi="Arial" w:cs="Arial"/>
          <w:i/>
          <w:sz w:val="20"/>
          <w:szCs w:val="20"/>
        </w:rPr>
        <w:t xml:space="preserve">R v Bathgate </w:t>
      </w:r>
      <w:r w:rsidRPr="00C37348">
        <w:rPr>
          <w:rFonts w:ascii="Arial" w:hAnsi="Arial" w:cs="Arial"/>
          <w:sz w:val="20"/>
          <w:szCs w:val="20"/>
        </w:rPr>
        <w:t xml:space="preserve">(1946) 46 SR (NSW) 281, 284–5; </w:t>
      </w:r>
      <w:r w:rsidRPr="00C37348">
        <w:rPr>
          <w:rFonts w:ascii="Arial" w:hAnsi="Arial" w:cs="Arial"/>
          <w:i/>
          <w:sz w:val="20"/>
          <w:szCs w:val="20"/>
        </w:rPr>
        <w:t xml:space="preserve">Whitehorn v The Queen </w:t>
      </w:r>
      <w:r w:rsidRPr="00C37348">
        <w:rPr>
          <w:rFonts w:ascii="Arial" w:hAnsi="Arial" w:cs="Arial"/>
          <w:sz w:val="20"/>
          <w:szCs w:val="20"/>
        </w:rPr>
        <w:t xml:space="preserve">(1983) 152 CLR 657; </w:t>
      </w:r>
      <w:r w:rsidRPr="00C37348">
        <w:rPr>
          <w:rFonts w:ascii="Arial" w:hAnsi="Arial" w:cs="Arial"/>
          <w:i/>
          <w:sz w:val="20"/>
          <w:szCs w:val="20"/>
        </w:rPr>
        <w:t xml:space="preserve">King v The Queen </w:t>
      </w:r>
      <w:r w:rsidRPr="00C37348">
        <w:rPr>
          <w:rFonts w:ascii="Arial" w:hAnsi="Arial" w:cs="Arial"/>
          <w:sz w:val="20"/>
          <w:szCs w:val="20"/>
        </w:rPr>
        <w:t xml:space="preserve">(1986) 161 CLR 423; and </w:t>
      </w:r>
      <w:r w:rsidRPr="00C37348">
        <w:rPr>
          <w:rFonts w:ascii="Arial" w:hAnsi="Arial" w:cs="Arial"/>
          <w:i/>
          <w:sz w:val="20"/>
          <w:szCs w:val="20"/>
        </w:rPr>
        <w:t xml:space="preserve">R v Bazley </w:t>
      </w:r>
      <w:r w:rsidRPr="00C37348">
        <w:rPr>
          <w:rFonts w:ascii="Arial" w:hAnsi="Arial" w:cs="Arial"/>
          <w:sz w:val="20"/>
          <w:szCs w:val="20"/>
        </w:rPr>
        <w:t>(1986) 21 A Crim R 19, 29.”</w:t>
      </w:r>
    </w:p>
    <w:p w14:paraId="4DABF1BD" w14:textId="77777777" w:rsidR="00C267FB" w:rsidRDefault="00C267FB" w:rsidP="00C65F9B">
      <w:pPr>
        <w:jc w:val="both"/>
        <w:rPr>
          <w:rFonts w:ascii="Arial" w:hAnsi="Arial" w:cs="Arial"/>
          <w:sz w:val="20"/>
        </w:rPr>
      </w:pPr>
    </w:p>
    <w:p w14:paraId="5865C09E" w14:textId="77777777" w:rsidR="00320BA9" w:rsidRDefault="00320BA9" w:rsidP="00C65F9B">
      <w:pPr>
        <w:jc w:val="both"/>
        <w:rPr>
          <w:rFonts w:ascii="Arial" w:hAnsi="Arial" w:cs="Arial"/>
          <w:sz w:val="20"/>
        </w:rPr>
      </w:pPr>
      <w:r>
        <w:rPr>
          <w:rFonts w:ascii="Arial" w:hAnsi="Arial" w:cs="Arial"/>
          <w:sz w:val="20"/>
        </w:rPr>
        <w:t xml:space="preserve">In </w:t>
      </w:r>
      <w:r w:rsidRPr="00320BA9">
        <w:rPr>
          <w:rFonts w:ascii="Arial" w:hAnsi="Arial" w:cs="Arial"/>
          <w:i/>
          <w:iCs/>
          <w:sz w:val="20"/>
        </w:rPr>
        <w:t>Brown v R</w:t>
      </w:r>
      <w:r>
        <w:rPr>
          <w:rFonts w:ascii="Arial" w:hAnsi="Arial" w:cs="Arial"/>
          <w:sz w:val="20"/>
        </w:rPr>
        <w:t xml:space="preserve"> [2020] VSCA 26 the Court of Appeal </w:t>
      </w:r>
      <w:r w:rsidR="00F61A65">
        <w:rPr>
          <w:rFonts w:ascii="Arial" w:hAnsi="Arial" w:cs="Arial"/>
          <w:sz w:val="20"/>
        </w:rPr>
        <w:t>set aside the app</w:t>
      </w:r>
      <w:r w:rsidR="005744C0">
        <w:rPr>
          <w:rFonts w:ascii="Arial" w:hAnsi="Arial" w:cs="Arial"/>
          <w:sz w:val="20"/>
        </w:rPr>
        <w:t>lic</w:t>
      </w:r>
      <w:r w:rsidR="00F61A65">
        <w:rPr>
          <w:rFonts w:ascii="Arial" w:hAnsi="Arial" w:cs="Arial"/>
          <w:sz w:val="20"/>
        </w:rPr>
        <w:t xml:space="preserve">ant’s conviction on a charge of recklessly causing injury to his partner.  </w:t>
      </w:r>
      <w:r w:rsidR="005744C0">
        <w:rPr>
          <w:rFonts w:ascii="Arial" w:hAnsi="Arial" w:cs="Arial"/>
          <w:sz w:val="20"/>
        </w:rPr>
        <w:t xml:space="preserve">The basis of the Court’s reasoning was that there had been a miscarriage of justice in that fresh evidence – a report – had become available since the time of the conviction which, had it been before the jury, would have led the jury to hold a reasonable doubt as to the applicant’s guilt or would have given rise to a significant possibility that the jury would have held such doubt.  Although the report was in existence at the time of the trial, the applicant had exercised reasonable diligence in obtaining relevant records but this had failed to result in the production of the </w:t>
      </w:r>
      <w:r w:rsidR="00B01F25">
        <w:rPr>
          <w:rFonts w:ascii="Arial" w:hAnsi="Arial" w:cs="Arial"/>
          <w:sz w:val="20"/>
        </w:rPr>
        <w:t xml:space="preserve">report.  </w:t>
      </w:r>
      <w:r w:rsidR="005744C0">
        <w:rPr>
          <w:rFonts w:ascii="Arial" w:hAnsi="Arial" w:cs="Arial"/>
          <w:sz w:val="20"/>
        </w:rPr>
        <w:t xml:space="preserve">Because of difficulties associated with a retrial, a judgment of acquittal was entered: cf. </w:t>
      </w:r>
      <w:r w:rsidR="005744C0" w:rsidRPr="005744C0">
        <w:rPr>
          <w:rFonts w:ascii="Arial" w:hAnsi="Arial" w:cs="Arial"/>
          <w:i/>
          <w:iCs/>
          <w:sz w:val="20"/>
        </w:rPr>
        <w:t>Spies v The Queen</w:t>
      </w:r>
      <w:r w:rsidR="005744C0">
        <w:rPr>
          <w:rFonts w:ascii="Arial" w:hAnsi="Arial" w:cs="Arial"/>
          <w:sz w:val="20"/>
        </w:rPr>
        <w:t xml:space="preserve"> (2000) 201 CLR 603 at [104].</w:t>
      </w:r>
    </w:p>
    <w:p w14:paraId="529B48E3" w14:textId="77777777" w:rsidR="005744C0" w:rsidRDefault="005744C0" w:rsidP="00C65F9B">
      <w:pPr>
        <w:jc w:val="both"/>
        <w:rPr>
          <w:rFonts w:ascii="Arial" w:hAnsi="Arial" w:cs="Arial"/>
          <w:sz w:val="20"/>
        </w:rPr>
      </w:pPr>
    </w:p>
    <w:p w14:paraId="2A47FDFD" w14:textId="1B1DB2E1" w:rsidR="00C65F9B" w:rsidRDefault="00C65F9B" w:rsidP="00735ADA">
      <w:pPr>
        <w:jc w:val="both"/>
        <w:rPr>
          <w:rFonts w:ascii="Arial" w:hAnsi="Arial" w:cs="Arial"/>
          <w:sz w:val="20"/>
        </w:rPr>
      </w:pPr>
      <w:r>
        <w:rPr>
          <w:rFonts w:ascii="Arial" w:hAnsi="Arial" w:cs="Arial"/>
          <w:sz w:val="20"/>
        </w:rPr>
        <w:t>Flowing from the same source as the Crown’s obligation to act fairly is the obligation of any presiding judicial officer to ensure that a trial is not unfair to an unrepresented party</w:t>
      </w:r>
      <w:r w:rsidR="00260CFC">
        <w:rPr>
          <w:rFonts w:ascii="Arial" w:hAnsi="Arial" w:cs="Arial"/>
          <w:sz w:val="20"/>
        </w:rPr>
        <w:t>: see e.g</w:t>
      </w:r>
      <w:r w:rsidR="00260CFC" w:rsidRPr="00260CFC">
        <w:rPr>
          <w:rFonts w:ascii="Arial" w:hAnsi="Arial" w:cs="Arial"/>
          <w:i/>
          <w:iCs/>
          <w:sz w:val="20"/>
        </w:rPr>
        <w:t>. Anile v The Queen</w:t>
      </w:r>
      <w:r w:rsidR="00260CFC">
        <w:rPr>
          <w:rFonts w:ascii="Arial" w:hAnsi="Arial" w:cs="Arial"/>
          <w:sz w:val="20"/>
        </w:rPr>
        <w:t xml:space="preserve"> [2019] VSCA 235 at [180]</w:t>
      </w:r>
      <w:r>
        <w:rPr>
          <w:rFonts w:ascii="Arial" w:hAnsi="Arial" w:cs="Arial"/>
          <w:sz w:val="20"/>
        </w:rPr>
        <w:t xml:space="preserve">.  </w:t>
      </w:r>
      <w:r w:rsidR="00AA6787">
        <w:rPr>
          <w:rFonts w:ascii="Arial" w:hAnsi="Arial" w:cs="Arial"/>
          <w:sz w:val="20"/>
        </w:rPr>
        <w:t>As i</w:t>
      </w:r>
      <w:r>
        <w:rPr>
          <w:rFonts w:ascii="Arial" w:hAnsi="Arial" w:cs="Arial"/>
          <w:sz w:val="20"/>
        </w:rPr>
        <w:t>t rarely happens that children are unrepresented in criminal proceedings in the Children’s Court</w:t>
      </w:r>
      <w:r w:rsidR="00AA6787">
        <w:rPr>
          <w:rFonts w:ascii="Arial" w:hAnsi="Arial" w:cs="Arial"/>
          <w:sz w:val="20"/>
        </w:rPr>
        <w:t>,</w:t>
      </w:r>
      <w:r>
        <w:rPr>
          <w:rFonts w:ascii="Arial" w:hAnsi="Arial" w:cs="Arial"/>
          <w:sz w:val="20"/>
        </w:rPr>
        <w:t xml:space="preserve"> the following discussion is more apposite to unrepresented adult parties in the Family Division.</w:t>
      </w:r>
      <w:r w:rsidR="00AA6787">
        <w:rPr>
          <w:rFonts w:ascii="Arial" w:hAnsi="Arial" w:cs="Arial"/>
          <w:sz w:val="20"/>
        </w:rPr>
        <w:t xml:space="preserve">  </w:t>
      </w:r>
      <w:r>
        <w:rPr>
          <w:rFonts w:ascii="Arial" w:hAnsi="Arial" w:cs="Arial"/>
          <w:sz w:val="20"/>
        </w:rPr>
        <w:t xml:space="preserve">In </w:t>
      </w:r>
      <w:r w:rsidRPr="00C22B69">
        <w:rPr>
          <w:rFonts w:ascii="Arial" w:hAnsi="Arial" w:cs="Arial"/>
          <w:i/>
          <w:sz w:val="20"/>
        </w:rPr>
        <w:t>R v Kerbaitch</w:t>
      </w:r>
      <w:r>
        <w:rPr>
          <w:rFonts w:ascii="Arial" w:hAnsi="Arial" w:cs="Arial"/>
          <w:sz w:val="20"/>
        </w:rPr>
        <w:t xml:space="preserve"> [2005] VSCA 194 at [52]-[53] Chernov &amp; Nettle JJA </w:t>
      </w:r>
      <w:r w:rsidR="000F0BE9">
        <w:rPr>
          <w:rFonts w:ascii="Arial" w:hAnsi="Arial" w:cs="Arial"/>
          <w:sz w:val="20"/>
        </w:rPr>
        <w:t>–</w:t>
      </w:r>
      <w:r>
        <w:rPr>
          <w:rFonts w:ascii="Arial" w:hAnsi="Arial" w:cs="Arial"/>
          <w:sz w:val="20"/>
        </w:rPr>
        <w:t xml:space="preserve"> with whom Byrne AJA agreed on this point – said of the Court’s duty to an unrepresented accused in a criminal case:</w:t>
      </w:r>
    </w:p>
    <w:p w14:paraId="26E79E5D" w14:textId="77777777" w:rsidR="00C65F9B" w:rsidRDefault="00C65F9B" w:rsidP="00D46F41">
      <w:pPr>
        <w:spacing w:before="60"/>
        <w:ind w:left="454" w:right="454"/>
        <w:jc w:val="both"/>
        <w:rPr>
          <w:rFonts w:ascii="Arial" w:hAnsi="Arial" w:cs="Arial"/>
          <w:sz w:val="20"/>
        </w:rPr>
      </w:pPr>
      <w:r>
        <w:rPr>
          <w:rFonts w:ascii="Arial" w:hAnsi="Arial" w:cs="Arial"/>
          <w:iCs/>
          <w:sz w:val="20"/>
        </w:rPr>
        <w:t>“It is a duty that has been described as ‘onerous’ [</w:t>
      </w:r>
      <w:r w:rsidRPr="00302F4D">
        <w:rPr>
          <w:rFonts w:ascii="Arial" w:hAnsi="Arial" w:cs="Arial"/>
          <w:i/>
          <w:iCs/>
          <w:sz w:val="20"/>
        </w:rPr>
        <w:t>MacPherson v The Queen</w:t>
      </w:r>
      <w:r>
        <w:rPr>
          <w:rFonts w:ascii="Arial" w:hAnsi="Arial" w:cs="Arial"/>
          <w:iCs/>
          <w:sz w:val="20"/>
        </w:rPr>
        <w:t xml:space="preserve"> (1981) 147 CLR 512 at 544-546 per Brennan J] and it is plain enough that it stems from the accused’s right not to be tried unfairly: see </w:t>
      </w:r>
      <w:r w:rsidRPr="001D728B">
        <w:rPr>
          <w:rFonts w:ascii="Arial" w:hAnsi="Arial" w:cs="Arial"/>
          <w:i/>
          <w:iCs/>
          <w:sz w:val="20"/>
        </w:rPr>
        <w:t>R v Rich</w:t>
      </w:r>
      <w:r>
        <w:rPr>
          <w:rFonts w:ascii="Arial" w:hAnsi="Arial" w:cs="Arial"/>
          <w:iCs/>
          <w:sz w:val="20"/>
        </w:rPr>
        <w:t xml:space="preserve"> [1998] 4 VR 44 at 47 per Brooking JA; see also </w:t>
      </w:r>
      <w:r w:rsidRPr="001D728B">
        <w:rPr>
          <w:rFonts w:ascii="Arial" w:hAnsi="Arial" w:cs="Arial"/>
          <w:i/>
          <w:iCs/>
          <w:sz w:val="20"/>
        </w:rPr>
        <w:t>Jago v District Court (NSW)</w:t>
      </w:r>
      <w:r>
        <w:rPr>
          <w:rFonts w:ascii="Arial" w:hAnsi="Arial" w:cs="Arial"/>
          <w:iCs/>
          <w:sz w:val="20"/>
        </w:rPr>
        <w:t xml:space="preserve"> (1998) 168 CLR 23 at 56-57 per Deane J; </w:t>
      </w:r>
      <w:r w:rsidRPr="001D728B">
        <w:rPr>
          <w:rFonts w:ascii="Arial" w:hAnsi="Arial" w:cs="Arial"/>
          <w:i/>
          <w:iCs/>
          <w:sz w:val="20"/>
        </w:rPr>
        <w:t xml:space="preserve">Dietrich v The Queen </w:t>
      </w:r>
      <w:r>
        <w:rPr>
          <w:rFonts w:ascii="Arial" w:hAnsi="Arial" w:cs="Arial"/>
          <w:iCs/>
          <w:sz w:val="20"/>
        </w:rPr>
        <w:t xml:space="preserve">(1992) 177 CLR 292 at 299-300 per Mason CJ &amp; McHugh J; </w:t>
      </w:r>
      <w:r w:rsidRPr="001D728B">
        <w:rPr>
          <w:rFonts w:ascii="Arial" w:hAnsi="Arial" w:cs="Arial"/>
          <w:i/>
          <w:iCs/>
          <w:sz w:val="20"/>
        </w:rPr>
        <w:t>Azzopardi v The Queen</w:t>
      </w:r>
      <w:r>
        <w:rPr>
          <w:rFonts w:ascii="Arial" w:hAnsi="Arial" w:cs="Arial"/>
          <w:iCs/>
          <w:sz w:val="20"/>
        </w:rPr>
        <w:t xml:space="preserve"> (2001) 205 CLR 50 at 105 per McHugh J; </w:t>
      </w:r>
      <w:r w:rsidRPr="001D728B">
        <w:rPr>
          <w:rFonts w:ascii="Arial" w:hAnsi="Arial" w:cs="Arial"/>
          <w:i/>
          <w:iCs/>
          <w:sz w:val="20"/>
        </w:rPr>
        <w:t>Victoria Legal Aid v Beljajev</w:t>
      </w:r>
      <w:r>
        <w:rPr>
          <w:rFonts w:ascii="Arial" w:hAnsi="Arial" w:cs="Arial"/>
          <w:iCs/>
          <w:sz w:val="20"/>
        </w:rPr>
        <w:t xml:space="preserve"> [1999] 3 VR 764 at 772 per Winneke P.; </w:t>
      </w:r>
      <w:r w:rsidRPr="001D728B">
        <w:rPr>
          <w:rFonts w:ascii="Arial" w:hAnsi="Arial" w:cs="Arial"/>
          <w:i/>
          <w:iCs/>
          <w:sz w:val="20"/>
        </w:rPr>
        <w:t>A-G (NSW) v X</w:t>
      </w:r>
      <w:r>
        <w:rPr>
          <w:rFonts w:ascii="Arial" w:hAnsi="Arial" w:cs="Arial"/>
          <w:iCs/>
          <w:sz w:val="20"/>
        </w:rPr>
        <w:t xml:space="preserve"> (2000) 49 NSWLR 653 at 688 per Mason P and </w:t>
      </w:r>
      <w:r w:rsidRPr="001D728B">
        <w:rPr>
          <w:rFonts w:ascii="Arial" w:hAnsi="Arial" w:cs="Arial"/>
          <w:i/>
          <w:iCs/>
          <w:sz w:val="20"/>
        </w:rPr>
        <w:t>Bayeh v A-G (NSW)</w:t>
      </w:r>
      <w:r>
        <w:rPr>
          <w:rFonts w:ascii="Arial" w:hAnsi="Arial" w:cs="Arial"/>
          <w:iCs/>
          <w:sz w:val="20"/>
        </w:rPr>
        <w:t xml:space="preserve"> (1995) 82 A Crim R 270 at 275 per Hunt CJ at CL.  </w:t>
      </w:r>
      <w:r w:rsidRPr="001D728B">
        <w:rPr>
          <w:rFonts w:ascii="Arial" w:hAnsi="Arial" w:cs="Arial"/>
          <w:sz w:val="20"/>
        </w:rPr>
        <w:t xml:space="preserve">Not surprisingly, however, when the courts have identified the scope of that duty, they have done so only in general terms. </w:t>
      </w:r>
      <w:r>
        <w:rPr>
          <w:rFonts w:ascii="Arial" w:hAnsi="Arial" w:cs="Arial"/>
          <w:sz w:val="20"/>
        </w:rPr>
        <w:t xml:space="preserve"> </w:t>
      </w:r>
      <w:r w:rsidRPr="001D728B">
        <w:rPr>
          <w:rFonts w:ascii="Arial" w:hAnsi="Arial" w:cs="Arial"/>
          <w:sz w:val="20"/>
        </w:rPr>
        <w:t xml:space="preserve">Thus, for example, in </w:t>
      </w:r>
      <w:r w:rsidRPr="001D728B">
        <w:rPr>
          <w:rFonts w:ascii="Arial" w:hAnsi="Arial" w:cs="Arial"/>
          <w:i/>
          <w:sz w:val="20"/>
        </w:rPr>
        <w:t>MacPherson</w:t>
      </w:r>
      <w:r w:rsidRPr="001D728B">
        <w:rPr>
          <w:rFonts w:ascii="Arial" w:hAnsi="Arial" w:cs="Arial"/>
          <w:sz w:val="20"/>
        </w:rPr>
        <w:t xml:space="preserve"> </w:t>
      </w:r>
      <w:r w:rsidRPr="001D728B">
        <w:rPr>
          <w:rFonts w:ascii="Arial" w:hAnsi="Arial" w:cs="Arial"/>
          <w:i/>
          <w:sz w:val="20"/>
        </w:rPr>
        <w:t>v The Queen</w:t>
      </w:r>
      <w:r>
        <w:rPr>
          <w:rFonts w:ascii="Arial" w:hAnsi="Arial" w:cs="Arial"/>
          <w:sz w:val="20"/>
        </w:rPr>
        <w:t xml:space="preserve">, </w:t>
      </w:r>
      <w:r w:rsidRPr="001D728B">
        <w:rPr>
          <w:rFonts w:ascii="Arial" w:hAnsi="Arial" w:cs="Arial"/>
          <w:sz w:val="20"/>
        </w:rPr>
        <w:t>Gibbs</w:t>
      </w:r>
      <w:r>
        <w:rPr>
          <w:rFonts w:ascii="Arial" w:hAnsi="Arial" w:cs="Arial"/>
          <w:sz w:val="20"/>
        </w:rPr>
        <w:t xml:space="preserve"> CJ &amp;</w:t>
      </w:r>
      <w:r w:rsidRPr="001D728B">
        <w:rPr>
          <w:rFonts w:ascii="Arial" w:hAnsi="Arial" w:cs="Arial"/>
          <w:sz w:val="20"/>
        </w:rPr>
        <w:t xml:space="preserve"> Wilson J said</w:t>
      </w:r>
      <w:r>
        <w:rPr>
          <w:rFonts w:ascii="Arial" w:hAnsi="Arial" w:cs="Arial"/>
          <w:sz w:val="20"/>
        </w:rPr>
        <w:t xml:space="preserve"> at 546:</w:t>
      </w:r>
    </w:p>
    <w:p w14:paraId="1EB32C41" w14:textId="77777777" w:rsidR="00C65F9B" w:rsidRDefault="00C65F9B" w:rsidP="00F623AD">
      <w:pPr>
        <w:ind w:left="907" w:right="907"/>
        <w:jc w:val="both"/>
        <w:rPr>
          <w:rFonts w:ascii="Arial" w:hAnsi="Arial" w:cs="Arial"/>
          <w:iCs/>
          <w:sz w:val="20"/>
        </w:rPr>
      </w:pPr>
      <w:r>
        <w:rPr>
          <w:rFonts w:ascii="Arial" w:hAnsi="Arial" w:cs="Arial"/>
          <w:sz w:val="20"/>
        </w:rPr>
        <w:t>‘There is no limited category of matter regarding which a judge must advise an unrepresented accused – the judge must give an unrepresented accused such information as is necessary to enable him to have a fair trial.’</w:t>
      </w:r>
    </w:p>
    <w:p w14:paraId="5AB5849D" w14:textId="77777777" w:rsidR="00C65F9B" w:rsidRPr="0016581C" w:rsidRDefault="00C65F9B" w:rsidP="00AB2E5E">
      <w:pPr>
        <w:spacing w:before="120"/>
        <w:jc w:val="both"/>
        <w:rPr>
          <w:rFonts w:ascii="Arial" w:hAnsi="Arial" w:cs="Arial"/>
          <w:sz w:val="20"/>
          <w:szCs w:val="20"/>
        </w:rPr>
      </w:pPr>
      <w:r>
        <w:rPr>
          <w:rFonts w:ascii="Arial" w:hAnsi="Arial" w:cs="Arial"/>
          <w:sz w:val="20"/>
        </w:rPr>
        <w:t xml:space="preserve">And in </w:t>
      </w:r>
      <w:r w:rsidRPr="00845E95">
        <w:rPr>
          <w:rFonts w:ascii="Arial" w:hAnsi="Arial" w:cs="Arial"/>
          <w:i/>
          <w:sz w:val="20"/>
        </w:rPr>
        <w:t>R v White and Piggin</w:t>
      </w:r>
      <w:r>
        <w:rPr>
          <w:rFonts w:ascii="Arial" w:hAnsi="Arial" w:cs="Arial"/>
          <w:sz w:val="20"/>
        </w:rPr>
        <w:t xml:space="preserve"> (2003) 7 VR 442 it was said [by Chernov JA at 454] that the trial judge should ‘ensure that the accused is fully aware of the legal position in relation to the substantive and procedural aspects of the case without effectively </w:t>
      </w:r>
      <w:r w:rsidRPr="00845E95">
        <w:rPr>
          <w:rFonts w:ascii="Arial" w:hAnsi="Arial" w:cs="Arial"/>
          <w:i/>
          <w:sz w:val="20"/>
        </w:rPr>
        <w:t>advising</w:t>
      </w:r>
      <w:r>
        <w:rPr>
          <w:rFonts w:ascii="Arial" w:hAnsi="Arial" w:cs="Arial"/>
          <w:sz w:val="20"/>
        </w:rPr>
        <w:t xml:space="preserve"> him or her of what course should be followed, or unduly interfering with the Crown’s case as if the judge were the accused’s counsel’.  </w:t>
      </w:r>
      <w:r w:rsidRPr="0016581C">
        <w:rPr>
          <w:rFonts w:ascii="Arial" w:hAnsi="Arial" w:cs="Arial"/>
          <w:sz w:val="20"/>
        </w:rPr>
        <w:t>It was also recognised in that case</w:t>
      </w:r>
      <w:r>
        <w:rPr>
          <w:rFonts w:ascii="Arial" w:hAnsi="Arial" w:cs="Arial"/>
          <w:sz w:val="20"/>
        </w:rPr>
        <w:t xml:space="preserve"> [at 456]</w:t>
      </w:r>
      <w:r w:rsidRPr="0016581C">
        <w:rPr>
          <w:rFonts w:ascii="Arial" w:hAnsi="Arial" w:cs="Arial"/>
          <w:sz w:val="20"/>
        </w:rPr>
        <w:t xml:space="preserve"> that, in order to ensure that there is no miscarriage of justice in a trial involving an unrepresente</w:t>
      </w:r>
      <w:r>
        <w:rPr>
          <w:rFonts w:ascii="Arial" w:hAnsi="Arial" w:cs="Arial"/>
          <w:sz w:val="20"/>
        </w:rPr>
        <w:t>d accused, the trial judge has ‘</w:t>
      </w:r>
      <w:r w:rsidRPr="0016581C">
        <w:rPr>
          <w:rFonts w:ascii="Arial" w:hAnsi="Arial" w:cs="Arial"/>
          <w:sz w:val="20"/>
        </w:rPr>
        <w:t>considerable discretion not to apply strictly the procedural and evidentiary rules that would otherwise operate notwithstanding that strict adherence to such rules may be required by the Crown.</w:t>
      </w:r>
      <w:r>
        <w:rPr>
          <w:rFonts w:ascii="Arial" w:hAnsi="Arial" w:cs="Arial"/>
          <w:sz w:val="20"/>
        </w:rPr>
        <w:t>’</w:t>
      </w:r>
      <w:r>
        <w:rPr>
          <w:sz w:val="20"/>
        </w:rPr>
        <w:t>…</w:t>
      </w:r>
      <w:r w:rsidRPr="0016581C">
        <w:rPr>
          <w:rFonts w:ascii="Arial" w:hAnsi="Arial" w:cs="Arial"/>
          <w:sz w:val="20"/>
        </w:rPr>
        <w:t xml:space="preserve"> But a trial judge must not assume the role of counsel and instruct the accused </w:t>
      </w:r>
      <w:r w:rsidRPr="0016581C">
        <w:rPr>
          <w:rFonts w:ascii="Arial" w:hAnsi="Arial" w:cs="Arial"/>
          <w:i/>
          <w:sz w:val="20"/>
        </w:rPr>
        <w:t>how</w:t>
      </w:r>
      <w:r w:rsidRPr="0016581C">
        <w:rPr>
          <w:rFonts w:ascii="Arial" w:hAnsi="Arial" w:cs="Arial"/>
          <w:sz w:val="20"/>
        </w:rPr>
        <w:t xml:space="preserve"> to </w:t>
      </w:r>
      <w:r>
        <w:rPr>
          <w:rFonts w:ascii="Arial" w:hAnsi="Arial" w:cs="Arial"/>
          <w:sz w:val="20"/>
        </w:rPr>
        <w:t xml:space="preserve">conduct a defence.  As Brennan </w:t>
      </w:r>
      <w:r w:rsidRPr="0016581C">
        <w:rPr>
          <w:rFonts w:ascii="Arial" w:hAnsi="Arial" w:cs="Arial"/>
          <w:sz w:val="20"/>
        </w:rPr>
        <w:t xml:space="preserve">J said in </w:t>
      </w:r>
      <w:r w:rsidRPr="0016581C">
        <w:rPr>
          <w:rFonts w:ascii="Arial" w:hAnsi="Arial" w:cs="Arial"/>
          <w:i/>
          <w:sz w:val="20"/>
        </w:rPr>
        <w:t>MacPherson</w:t>
      </w:r>
      <w:r w:rsidRPr="0016581C">
        <w:rPr>
          <w:rFonts w:ascii="Arial" w:hAnsi="Arial" w:cs="Arial"/>
          <w:sz w:val="20"/>
        </w:rPr>
        <w:t xml:space="preserve"> </w:t>
      </w:r>
      <w:r>
        <w:rPr>
          <w:rFonts w:ascii="Arial" w:hAnsi="Arial" w:cs="Arial"/>
          <w:sz w:val="20"/>
        </w:rPr>
        <w:t xml:space="preserve">[at 546] </w:t>
      </w:r>
      <w:r w:rsidRPr="0016581C">
        <w:rPr>
          <w:rFonts w:ascii="Arial" w:hAnsi="Arial" w:cs="Arial"/>
          <w:sz w:val="20"/>
        </w:rPr>
        <w:t xml:space="preserve">in defining the </w:t>
      </w:r>
      <w:r w:rsidRPr="0016581C">
        <w:rPr>
          <w:rFonts w:ascii="Arial" w:hAnsi="Arial" w:cs="Arial"/>
          <w:sz w:val="20"/>
          <w:szCs w:val="20"/>
        </w:rPr>
        <w:t xml:space="preserve">limits of a judge’s duty to an unrepresented accused, a distinction </w:t>
      </w:r>
      <w:r>
        <w:rPr>
          <w:rFonts w:ascii="Arial" w:hAnsi="Arial" w:cs="Arial"/>
          <w:sz w:val="20"/>
          <w:szCs w:val="20"/>
        </w:rPr>
        <w:t>must be drawn between ‘</w:t>
      </w:r>
      <w:r w:rsidRPr="0016581C">
        <w:rPr>
          <w:rFonts w:ascii="Arial" w:hAnsi="Arial" w:cs="Arial"/>
          <w:sz w:val="20"/>
          <w:szCs w:val="20"/>
        </w:rPr>
        <w:t>telling the</w:t>
      </w:r>
      <w:r>
        <w:rPr>
          <w:rFonts w:ascii="Arial" w:hAnsi="Arial" w:cs="Arial"/>
          <w:sz w:val="20"/>
          <w:szCs w:val="20"/>
        </w:rPr>
        <w:t xml:space="preserve"> players how play and telling them the rules of the game’.”</w:t>
      </w:r>
    </w:p>
    <w:p w14:paraId="24A36D73" w14:textId="77777777" w:rsidR="00A17CD3" w:rsidRDefault="00A17CD3" w:rsidP="00A17CD3">
      <w:pPr>
        <w:jc w:val="both"/>
        <w:rPr>
          <w:rFonts w:ascii="Arial" w:hAnsi="Arial" w:cs="Arial"/>
          <w:sz w:val="20"/>
        </w:rPr>
      </w:pPr>
      <w:bookmarkStart w:id="667" w:name="_Toc30651653"/>
      <w:bookmarkStart w:id="668" w:name="_Toc30652637"/>
      <w:bookmarkStart w:id="669" w:name="_Toc30652735"/>
      <w:bookmarkStart w:id="670" w:name="_Toc30654080"/>
      <w:bookmarkStart w:id="671" w:name="_Toc30654431"/>
      <w:bookmarkStart w:id="672" w:name="_Toc30655050"/>
      <w:bookmarkStart w:id="673" w:name="_Toc30655307"/>
      <w:bookmarkStart w:id="674" w:name="_Toc30656985"/>
      <w:bookmarkStart w:id="675" w:name="_Toc30661734"/>
      <w:bookmarkStart w:id="676" w:name="_Toc30666422"/>
      <w:bookmarkStart w:id="677" w:name="_Toc30666652"/>
      <w:bookmarkStart w:id="678" w:name="_Toc30667827"/>
      <w:bookmarkStart w:id="679" w:name="_Toc30669205"/>
      <w:bookmarkStart w:id="680" w:name="_Toc30671421"/>
      <w:bookmarkStart w:id="681" w:name="_Toc30673948"/>
      <w:bookmarkStart w:id="682" w:name="_Toc30691170"/>
      <w:bookmarkStart w:id="683" w:name="_Toc30691541"/>
      <w:bookmarkStart w:id="684" w:name="_Toc30691921"/>
      <w:bookmarkStart w:id="685" w:name="_Toc30692680"/>
      <w:bookmarkStart w:id="686" w:name="_Toc30693059"/>
      <w:bookmarkStart w:id="687" w:name="_Toc30693437"/>
      <w:bookmarkStart w:id="688" w:name="_Toc30693816"/>
      <w:bookmarkStart w:id="689" w:name="_Toc30694197"/>
      <w:bookmarkStart w:id="690" w:name="_Toc30698786"/>
      <w:bookmarkStart w:id="691" w:name="_Toc30699164"/>
      <w:bookmarkStart w:id="692" w:name="_Toc30699549"/>
      <w:bookmarkStart w:id="693" w:name="_Toc30700704"/>
      <w:bookmarkStart w:id="694" w:name="_Toc30701091"/>
      <w:bookmarkStart w:id="695" w:name="_Toc30743700"/>
      <w:bookmarkStart w:id="696" w:name="_Toc30754522"/>
      <w:bookmarkStart w:id="697" w:name="_Toc30756962"/>
      <w:bookmarkStart w:id="698" w:name="_Toc30757511"/>
      <w:bookmarkStart w:id="699" w:name="_Toc30757911"/>
      <w:bookmarkStart w:id="700" w:name="_Toc30762672"/>
      <w:bookmarkStart w:id="701" w:name="_Toc30767326"/>
      <w:bookmarkStart w:id="702" w:name="_Toc34823342"/>
    </w:p>
    <w:p w14:paraId="6F311421" w14:textId="46BBD322" w:rsidR="00F46FEB" w:rsidRPr="00666FA7" w:rsidRDefault="00F46FEB" w:rsidP="00F46FEB">
      <w:pPr>
        <w:pStyle w:val="Heading3"/>
        <w:keepNext/>
        <w:spacing w:line="240" w:lineRule="auto"/>
        <w:rPr>
          <w:rFonts w:ascii="Arial" w:hAnsi="Arial" w:cs="Arial"/>
          <w:b/>
          <w:bCs/>
          <w:sz w:val="20"/>
          <w:lang w:val="en-AU"/>
        </w:rPr>
      </w:pPr>
      <w:bookmarkStart w:id="703" w:name="_3.5.4.2_Application_of"/>
      <w:bookmarkEnd w:id="703"/>
      <w:r>
        <w:rPr>
          <w:rFonts w:ascii="Arial" w:hAnsi="Arial" w:cs="Arial"/>
          <w:b/>
          <w:bCs/>
          <w:sz w:val="20"/>
        </w:rPr>
        <w:t>3.5.</w:t>
      </w:r>
      <w:r w:rsidR="00EB58D5">
        <w:rPr>
          <w:rFonts w:ascii="Arial" w:hAnsi="Arial" w:cs="Arial"/>
          <w:b/>
          <w:bCs/>
          <w:sz w:val="20"/>
        </w:rPr>
        <w:t>4</w:t>
      </w:r>
      <w:r>
        <w:rPr>
          <w:rFonts w:ascii="Arial" w:hAnsi="Arial" w:cs="Arial"/>
          <w:b/>
          <w:bCs/>
          <w:sz w:val="20"/>
        </w:rPr>
        <w:t>.</w:t>
      </w:r>
      <w:r w:rsidR="00EB58D5">
        <w:rPr>
          <w:rFonts w:ascii="Arial" w:hAnsi="Arial" w:cs="Arial"/>
          <w:b/>
          <w:bCs/>
          <w:sz w:val="20"/>
        </w:rPr>
        <w:t>2</w:t>
      </w:r>
      <w:r>
        <w:rPr>
          <w:rFonts w:ascii="Arial" w:hAnsi="Arial" w:cs="Arial"/>
          <w:b/>
          <w:bCs/>
          <w:sz w:val="20"/>
        </w:rPr>
        <w:t xml:space="preserve"> Application of Part 8.2 of the Criminal Procedure Act 2009</w:t>
      </w:r>
    </w:p>
    <w:p w14:paraId="48DE27E1" w14:textId="77777777" w:rsidR="00F46FEB" w:rsidRDefault="00F46FEB" w:rsidP="00F46FEB">
      <w:pPr>
        <w:jc w:val="both"/>
        <w:rPr>
          <w:rFonts w:ascii="Arial" w:hAnsi="Arial" w:cs="Arial"/>
          <w:sz w:val="20"/>
        </w:rPr>
      </w:pPr>
    </w:p>
    <w:p w14:paraId="0DACC02D" w14:textId="00856C4C" w:rsidR="00F46FEB" w:rsidRDefault="00F46FEB" w:rsidP="00F46FEB">
      <w:pPr>
        <w:jc w:val="both"/>
        <w:rPr>
          <w:rFonts w:ascii="Arial" w:hAnsi="Arial" w:cs="Arial"/>
          <w:sz w:val="20"/>
        </w:rPr>
      </w:pPr>
      <w:r>
        <w:rPr>
          <w:rFonts w:ascii="Arial" w:hAnsi="Arial" w:cs="Arial"/>
          <w:sz w:val="20"/>
        </w:rPr>
        <w:t xml:space="preserve">Part 8.2 of the </w:t>
      </w:r>
      <w:r w:rsidRPr="00CE3CBF">
        <w:rPr>
          <w:rFonts w:ascii="Arial" w:hAnsi="Arial" w:cs="Arial"/>
          <w:i/>
          <w:iCs/>
          <w:sz w:val="20"/>
        </w:rPr>
        <w:t>Criminal Procedure Act 2009</w:t>
      </w:r>
      <w:r>
        <w:rPr>
          <w:rFonts w:ascii="Arial" w:hAnsi="Arial" w:cs="Arial"/>
          <w:sz w:val="20"/>
        </w:rPr>
        <w:t xml:space="preserve"> [CPA] contains provisions governing the giving of evidence by certain witnesses in </w:t>
      </w:r>
      <w:r w:rsidR="00891897">
        <w:rPr>
          <w:rFonts w:ascii="Arial" w:hAnsi="Arial" w:cs="Arial"/>
          <w:sz w:val="20"/>
        </w:rPr>
        <w:t>various</w:t>
      </w:r>
      <w:r>
        <w:rPr>
          <w:rFonts w:ascii="Arial" w:hAnsi="Arial" w:cs="Arial"/>
          <w:sz w:val="20"/>
        </w:rPr>
        <w:t xml:space="preserve"> types of contested criminal proceedings</w:t>
      </w:r>
      <w:r w:rsidR="00B97558">
        <w:rPr>
          <w:rFonts w:ascii="Arial" w:hAnsi="Arial" w:cs="Arial"/>
          <w:sz w:val="20"/>
        </w:rPr>
        <w:t xml:space="preserve"> and </w:t>
      </w:r>
      <w:r w:rsidR="00E449BE">
        <w:rPr>
          <w:rFonts w:ascii="Arial" w:hAnsi="Arial" w:cs="Arial"/>
          <w:sz w:val="20"/>
        </w:rPr>
        <w:t xml:space="preserve">– </w:t>
      </w:r>
      <w:r w:rsidR="00B97558">
        <w:rPr>
          <w:rFonts w:ascii="Arial" w:hAnsi="Arial" w:cs="Arial"/>
          <w:sz w:val="20"/>
        </w:rPr>
        <w:t>in</w:t>
      </w:r>
      <w:r w:rsidR="00E449BE">
        <w:rPr>
          <w:rFonts w:ascii="Arial" w:hAnsi="Arial" w:cs="Arial"/>
          <w:sz w:val="20"/>
        </w:rPr>
        <w:t xml:space="preserve"> </w:t>
      </w:r>
      <w:r w:rsidR="00B97558">
        <w:rPr>
          <w:rFonts w:ascii="Arial" w:hAnsi="Arial" w:cs="Arial"/>
          <w:sz w:val="20"/>
        </w:rPr>
        <w:t xml:space="preserve">a few instances </w:t>
      </w:r>
      <w:r w:rsidR="00E449BE">
        <w:rPr>
          <w:rFonts w:ascii="Arial" w:hAnsi="Arial" w:cs="Arial"/>
          <w:sz w:val="20"/>
        </w:rPr>
        <w:t xml:space="preserve">– </w:t>
      </w:r>
      <w:r w:rsidR="00B97558">
        <w:rPr>
          <w:rFonts w:ascii="Arial" w:hAnsi="Arial" w:cs="Arial"/>
          <w:sz w:val="20"/>
        </w:rPr>
        <w:t>Family</w:t>
      </w:r>
      <w:r w:rsidR="00E449BE">
        <w:rPr>
          <w:rFonts w:ascii="Arial" w:hAnsi="Arial" w:cs="Arial"/>
          <w:sz w:val="20"/>
        </w:rPr>
        <w:t xml:space="preserve"> </w:t>
      </w:r>
      <w:r w:rsidR="00B97558">
        <w:rPr>
          <w:rFonts w:ascii="Arial" w:hAnsi="Arial" w:cs="Arial"/>
          <w:sz w:val="20"/>
        </w:rPr>
        <w:t>Division proceedings</w:t>
      </w:r>
      <w:r>
        <w:rPr>
          <w:rFonts w:ascii="Arial" w:hAnsi="Arial" w:cs="Arial"/>
          <w:sz w:val="20"/>
        </w:rPr>
        <w:t>. The provisions include–</w:t>
      </w:r>
    </w:p>
    <w:p w14:paraId="3755453B" w14:textId="77777777" w:rsidR="00F46FEB" w:rsidRPr="002251EE" w:rsidRDefault="00F46FEB" w:rsidP="00F46FEB">
      <w:pPr>
        <w:jc w:val="both"/>
        <w:rPr>
          <w:rFonts w:ascii="Arial" w:hAnsi="Arial" w:cs="Arial"/>
          <w:b/>
          <w:bCs/>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1247"/>
        <w:gridCol w:w="7824"/>
      </w:tblGrid>
      <w:tr w:rsidR="00707E1B" w:rsidRPr="002251EE" w14:paraId="7A82F516" w14:textId="77777777" w:rsidTr="006010C0">
        <w:trPr>
          <w:trHeight w:val="700"/>
        </w:trPr>
        <w:tc>
          <w:tcPr>
            <w:tcW w:w="9071" w:type="dxa"/>
            <w:gridSpan w:val="2"/>
            <w:shd w:val="clear" w:color="auto" w:fill="000000" w:themeFill="text1"/>
          </w:tcPr>
          <w:p w14:paraId="4CD48050" w14:textId="77777777" w:rsidR="00707E1B" w:rsidRPr="002251EE" w:rsidRDefault="00707E1B" w:rsidP="006010C0">
            <w:pPr>
              <w:jc w:val="center"/>
              <w:rPr>
                <w:rFonts w:ascii="Arial" w:hAnsi="Arial" w:cs="Arial"/>
                <w:b/>
                <w:bCs/>
                <w:sz w:val="20"/>
              </w:rPr>
            </w:pPr>
            <w:r w:rsidRPr="00C31AA5">
              <w:rPr>
                <w:rFonts w:ascii="Arial" w:hAnsi="Arial" w:cs="Arial"/>
                <w:b/>
                <w:bCs/>
                <w:color w:val="000000" w:themeColor="text1"/>
                <w:sz w:val="20"/>
                <w:shd w:val="clear" w:color="auto" w:fill="FFFF00"/>
              </w:rPr>
              <w:lastRenderedPageBreak/>
              <w:t>Part 8.2 Division 2</w:t>
            </w:r>
          </w:p>
          <w:p w14:paraId="05FA9DC3" w14:textId="7C9A6805" w:rsidR="00707E1B" w:rsidRPr="002251EE" w:rsidRDefault="00707E1B" w:rsidP="006010C0">
            <w:pPr>
              <w:jc w:val="center"/>
              <w:rPr>
                <w:rFonts w:ascii="Arial" w:hAnsi="Arial" w:cs="Arial"/>
                <w:b/>
                <w:bCs/>
                <w:sz w:val="20"/>
              </w:rPr>
            </w:pPr>
            <w:r w:rsidRPr="002251EE">
              <w:rPr>
                <w:rFonts w:ascii="Arial" w:hAnsi="Arial" w:cs="Arial"/>
                <w:b/>
                <w:bCs/>
                <w:sz w:val="20"/>
              </w:rPr>
              <w:t xml:space="preserve">Evidence </w:t>
            </w:r>
            <w:r>
              <w:rPr>
                <w:rFonts w:ascii="Arial" w:hAnsi="Arial" w:cs="Arial"/>
                <w:b/>
                <w:bCs/>
                <w:sz w:val="20"/>
              </w:rPr>
              <w:t xml:space="preserve">by </w:t>
            </w:r>
            <w:r w:rsidRPr="002251EE">
              <w:rPr>
                <w:rFonts w:ascii="Arial" w:hAnsi="Arial" w:cs="Arial"/>
                <w:b/>
                <w:bCs/>
                <w:sz w:val="20"/>
              </w:rPr>
              <w:t>complainant</w:t>
            </w:r>
            <w:r>
              <w:rPr>
                <w:rFonts w:ascii="Arial" w:hAnsi="Arial" w:cs="Arial"/>
                <w:b/>
                <w:bCs/>
                <w:sz w:val="20"/>
              </w:rPr>
              <w:t xml:space="preserve">s in a criminal proceeding that relates (wholly or partly) to a charge for a </w:t>
            </w:r>
            <w:r w:rsidR="00B311A4">
              <w:rPr>
                <w:rFonts w:ascii="Arial" w:hAnsi="Arial" w:cs="Arial"/>
                <w:b/>
                <w:bCs/>
                <w:sz w:val="20"/>
              </w:rPr>
              <w:t>sexu</w:t>
            </w:r>
            <w:r>
              <w:rPr>
                <w:rFonts w:ascii="Arial" w:hAnsi="Arial" w:cs="Arial"/>
                <w:b/>
                <w:bCs/>
                <w:sz w:val="20"/>
              </w:rPr>
              <w:t>al offence</w:t>
            </w:r>
            <w:r w:rsidR="00B311A4">
              <w:rPr>
                <w:rFonts w:ascii="Arial" w:hAnsi="Arial" w:cs="Arial"/>
                <w:b/>
                <w:bCs/>
                <w:sz w:val="20"/>
              </w:rPr>
              <w:t xml:space="preserve"> (as defined in s.4(1) of the CPA and set out in </w:t>
            </w:r>
            <w:r w:rsidR="00B311A4" w:rsidRPr="00B311A4">
              <w:rPr>
                <w:rFonts w:ascii="Arial" w:hAnsi="Arial" w:cs="Arial"/>
                <w:b/>
                <w:bCs/>
                <w:sz w:val="20"/>
                <w:shd w:val="clear" w:color="auto" w:fill="C5E0B3" w:themeFill="accent6" w:themeFillTint="66"/>
              </w:rPr>
              <w:t>section 3.</w:t>
            </w:r>
            <w:r w:rsidR="00B311A4">
              <w:rPr>
                <w:rFonts w:ascii="Arial" w:hAnsi="Arial" w:cs="Arial"/>
                <w:b/>
                <w:bCs/>
                <w:sz w:val="20"/>
                <w:shd w:val="clear" w:color="auto" w:fill="C5E0B3" w:themeFill="accent6" w:themeFillTint="66"/>
              </w:rPr>
              <w:t>5</w:t>
            </w:r>
            <w:r w:rsidR="00B311A4" w:rsidRPr="00B311A4">
              <w:rPr>
                <w:rFonts w:ascii="Arial" w:hAnsi="Arial" w:cs="Arial"/>
                <w:b/>
                <w:bCs/>
                <w:sz w:val="20"/>
                <w:shd w:val="clear" w:color="auto" w:fill="C5E0B3" w:themeFill="accent6" w:themeFillTint="66"/>
              </w:rPr>
              <w:t>.5</w:t>
            </w:r>
            <w:r w:rsidR="00B311A4">
              <w:rPr>
                <w:rFonts w:ascii="Arial" w:hAnsi="Arial" w:cs="Arial"/>
                <w:b/>
                <w:bCs/>
                <w:sz w:val="20"/>
              </w:rPr>
              <w:t>).</w:t>
            </w:r>
          </w:p>
        </w:tc>
      </w:tr>
      <w:tr w:rsidR="00F46FEB" w14:paraId="53A953CC" w14:textId="77777777" w:rsidTr="00FE7228">
        <w:tc>
          <w:tcPr>
            <w:tcW w:w="1247" w:type="dxa"/>
            <w:tcBorders>
              <w:top w:val="nil"/>
              <w:bottom w:val="single" w:sz="4" w:space="0" w:color="auto"/>
              <w:right w:val="single" w:sz="4" w:space="0" w:color="auto"/>
            </w:tcBorders>
          </w:tcPr>
          <w:p w14:paraId="57B1BA1D" w14:textId="77777777" w:rsidR="00F46FEB" w:rsidRDefault="00F46FEB" w:rsidP="006010C0">
            <w:pPr>
              <w:jc w:val="center"/>
              <w:rPr>
                <w:rFonts w:ascii="Arial" w:hAnsi="Arial" w:cs="Arial"/>
                <w:sz w:val="20"/>
              </w:rPr>
            </w:pPr>
            <w:r>
              <w:rPr>
                <w:rFonts w:ascii="Arial" w:hAnsi="Arial" w:cs="Arial"/>
                <w:sz w:val="20"/>
              </w:rPr>
              <w:t>s.339</w:t>
            </w:r>
          </w:p>
        </w:tc>
        <w:tc>
          <w:tcPr>
            <w:tcW w:w="7824" w:type="dxa"/>
            <w:tcBorders>
              <w:top w:val="single" w:sz="4" w:space="0" w:color="auto"/>
              <w:left w:val="single" w:sz="4" w:space="0" w:color="auto"/>
              <w:bottom w:val="single" w:sz="4" w:space="0" w:color="auto"/>
            </w:tcBorders>
            <w:shd w:val="clear" w:color="auto" w:fill="DDDDDD"/>
          </w:tcPr>
          <w:p w14:paraId="583DBDDB" w14:textId="1DB738D3" w:rsidR="00F46FEB" w:rsidRPr="002216EF" w:rsidRDefault="00F46FEB" w:rsidP="002216EF">
            <w:pPr>
              <w:jc w:val="center"/>
              <w:rPr>
                <w:rFonts w:ascii="Arial" w:hAnsi="Arial" w:cs="Arial"/>
                <w:b/>
                <w:bCs/>
                <w:sz w:val="20"/>
              </w:rPr>
            </w:pPr>
            <w:r w:rsidRPr="002216EF">
              <w:rPr>
                <w:rFonts w:ascii="Arial" w:hAnsi="Arial" w:cs="Arial"/>
                <w:b/>
                <w:bCs/>
                <w:sz w:val="20"/>
              </w:rPr>
              <w:t>Application of Division</w:t>
            </w:r>
            <w:r w:rsidR="00A31BA1">
              <w:rPr>
                <w:rFonts w:ascii="Arial" w:hAnsi="Arial" w:cs="Arial"/>
                <w:b/>
                <w:bCs/>
                <w:sz w:val="20"/>
              </w:rPr>
              <w:t xml:space="preserve"> 2</w:t>
            </w:r>
          </w:p>
        </w:tc>
      </w:tr>
      <w:tr w:rsidR="00F46FEB" w14:paraId="001B0FF9" w14:textId="77777777" w:rsidTr="00FE7228">
        <w:tc>
          <w:tcPr>
            <w:tcW w:w="1247" w:type="dxa"/>
            <w:tcBorders>
              <w:top w:val="single" w:sz="4" w:space="0" w:color="auto"/>
              <w:bottom w:val="single" w:sz="4" w:space="0" w:color="auto"/>
              <w:right w:val="single" w:sz="4" w:space="0" w:color="auto"/>
            </w:tcBorders>
          </w:tcPr>
          <w:p w14:paraId="22009FC3" w14:textId="77777777" w:rsidR="00F46FEB" w:rsidRDefault="00F46FEB" w:rsidP="006010C0">
            <w:pPr>
              <w:jc w:val="center"/>
              <w:rPr>
                <w:rFonts w:ascii="Arial" w:hAnsi="Arial" w:cs="Arial"/>
                <w:sz w:val="20"/>
              </w:rPr>
            </w:pPr>
            <w:r>
              <w:rPr>
                <w:rFonts w:ascii="Arial" w:hAnsi="Arial" w:cs="Arial"/>
                <w:sz w:val="20"/>
              </w:rPr>
              <w:t>s.340</w:t>
            </w:r>
          </w:p>
        </w:tc>
        <w:tc>
          <w:tcPr>
            <w:tcW w:w="7824" w:type="dxa"/>
            <w:tcBorders>
              <w:top w:val="single" w:sz="4" w:space="0" w:color="auto"/>
              <w:left w:val="single" w:sz="4" w:space="0" w:color="auto"/>
              <w:bottom w:val="single" w:sz="4" w:space="0" w:color="auto"/>
            </w:tcBorders>
            <w:shd w:val="clear" w:color="auto" w:fill="DDDDDD"/>
          </w:tcPr>
          <w:p w14:paraId="0CFDCFD7" w14:textId="77777777" w:rsidR="00F46FEB" w:rsidRPr="002216EF" w:rsidRDefault="00F46FEB" w:rsidP="002216EF">
            <w:pPr>
              <w:jc w:val="center"/>
              <w:rPr>
                <w:rFonts w:ascii="Arial" w:hAnsi="Arial" w:cs="Arial"/>
                <w:b/>
                <w:bCs/>
                <w:sz w:val="20"/>
              </w:rPr>
            </w:pPr>
            <w:r w:rsidRPr="002216EF">
              <w:rPr>
                <w:rFonts w:ascii="Arial" w:hAnsi="Arial" w:cs="Arial"/>
                <w:b/>
                <w:bCs/>
                <w:sz w:val="20"/>
              </w:rPr>
              <w:t>Definition of ‘sexual history evidence’</w:t>
            </w:r>
          </w:p>
        </w:tc>
      </w:tr>
      <w:tr w:rsidR="00F46FEB" w14:paraId="2A8A138F" w14:textId="77777777" w:rsidTr="00FE7228">
        <w:tc>
          <w:tcPr>
            <w:tcW w:w="1247" w:type="dxa"/>
            <w:tcBorders>
              <w:top w:val="single" w:sz="4" w:space="0" w:color="auto"/>
              <w:bottom w:val="single" w:sz="4" w:space="0" w:color="auto"/>
              <w:right w:val="single" w:sz="4" w:space="0" w:color="auto"/>
            </w:tcBorders>
          </w:tcPr>
          <w:p w14:paraId="29408505" w14:textId="77777777" w:rsidR="00F46FEB" w:rsidRDefault="00F46FEB" w:rsidP="006010C0">
            <w:pPr>
              <w:jc w:val="center"/>
              <w:rPr>
                <w:rFonts w:ascii="Arial" w:hAnsi="Arial" w:cs="Arial"/>
                <w:sz w:val="20"/>
              </w:rPr>
            </w:pPr>
            <w:r>
              <w:rPr>
                <w:rFonts w:ascii="Arial" w:hAnsi="Arial" w:cs="Arial"/>
                <w:sz w:val="20"/>
              </w:rPr>
              <w:t>s.341</w:t>
            </w:r>
          </w:p>
        </w:tc>
        <w:tc>
          <w:tcPr>
            <w:tcW w:w="7824" w:type="dxa"/>
            <w:tcBorders>
              <w:top w:val="single" w:sz="4" w:space="0" w:color="auto"/>
              <w:left w:val="single" w:sz="4" w:space="0" w:color="auto"/>
            </w:tcBorders>
          </w:tcPr>
          <w:p w14:paraId="2B3BE830"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Prohibition on questions and evidence concerning sexual reputation of complainant</w:t>
            </w:r>
          </w:p>
          <w:p w14:paraId="3447335C" w14:textId="77777777" w:rsidR="00F46FEB" w:rsidRDefault="00F46FEB" w:rsidP="006010C0">
            <w:pPr>
              <w:spacing w:after="20"/>
              <w:jc w:val="both"/>
              <w:rPr>
                <w:rFonts w:ascii="Arial" w:hAnsi="Arial" w:cs="Arial"/>
                <w:sz w:val="20"/>
              </w:rPr>
            </w:pPr>
            <w:r w:rsidRPr="000A2C86">
              <w:rPr>
                <w:rFonts w:ascii="Arial" w:hAnsi="Arial" w:cs="Arial"/>
                <w:sz w:val="20"/>
                <w:szCs w:val="20"/>
              </w:rPr>
              <w:t>The court must not allow any questions as to, or admit any evidence of, the sexual reputation of the complainant.</w:t>
            </w:r>
          </w:p>
        </w:tc>
      </w:tr>
      <w:tr w:rsidR="00F46FEB" w14:paraId="4BA2DB97" w14:textId="77777777" w:rsidTr="00FE7228">
        <w:tc>
          <w:tcPr>
            <w:tcW w:w="1247" w:type="dxa"/>
            <w:tcBorders>
              <w:top w:val="single" w:sz="4" w:space="0" w:color="auto"/>
              <w:bottom w:val="single" w:sz="4" w:space="0" w:color="auto"/>
              <w:right w:val="single" w:sz="4" w:space="0" w:color="auto"/>
            </w:tcBorders>
          </w:tcPr>
          <w:p w14:paraId="0E1D2533" w14:textId="77777777" w:rsidR="00F46FEB" w:rsidRDefault="00F46FEB" w:rsidP="006010C0">
            <w:pPr>
              <w:jc w:val="center"/>
              <w:rPr>
                <w:rFonts w:ascii="Arial" w:hAnsi="Arial" w:cs="Arial"/>
                <w:sz w:val="20"/>
              </w:rPr>
            </w:pPr>
            <w:r>
              <w:rPr>
                <w:rFonts w:ascii="Arial" w:hAnsi="Arial" w:cs="Arial"/>
                <w:sz w:val="20"/>
              </w:rPr>
              <w:t>s.342</w:t>
            </w:r>
          </w:p>
        </w:tc>
        <w:tc>
          <w:tcPr>
            <w:tcW w:w="7824" w:type="dxa"/>
            <w:tcBorders>
              <w:left w:val="single" w:sz="4" w:space="0" w:color="auto"/>
            </w:tcBorders>
          </w:tcPr>
          <w:p w14:paraId="0F28DD9D"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Restriction on questions and evidence concerning complainant's sexual activities</w:t>
            </w:r>
          </w:p>
          <w:p w14:paraId="2DCA7979" w14:textId="77777777" w:rsidR="00F46FEB" w:rsidRDefault="00F46FEB" w:rsidP="006010C0">
            <w:pPr>
              <w:spacing w:after="20"/>
              <w:jc w:val="both"/>
              <w:rPr>
                <w:rFonts w:ascii="Arial" w:hAnsi="Arial" w:cs="Arial"/>
                <w:sz w:val="20"/>
              </w:rPr>
            </w:pPr>
            <w:r w:rsidRPr="000A2C86">
              <w:rPr>
                <w:rFonts w:ascii="Arial" w:hAnsi="Arial" w:cs="Arial"/>
                <w:sz w:val="20"/>
                <w:szCs w:val="20"/>
              </w:rPr>
              <w:t>The complainant must not be cross-examined, and</w:t>
            </w:r>
            <w:r>
              <w:rPr>
                <w:rFonts w:ascii="Arial" w:hAnsi="Arial" w:cs="Arial"/>
                <w:sz w:val="20"/>
                <w:szCs w:val="20"/>
              </w:rPr>
              <w:t xml:space="preserve"> </w:t>
            </w:r>
            <w:r w:rsidRPr="000A2C86">
              <w:rPr>
                <w:rFonts w:ascii="Arial" w:hAnsi="Arial" w:cs="Arial"/>
                <w:sz w:val="20"/>
                <w:szCs w:val="20"/>
              </w:rPr>
              <w:t>the court must not admit any evidence, as to</w:t>
            </w:r>
            <w:r>
              <w:rPr>
                <w:rFonts w:ascii="Arial" w:hAnsi="Arial" w:cs="Arial"/>
                <w:sz w:val="20"/>
                <w:szCs w:val="20"/>
              </w:rPr>
              <w:t xml:space="preserve"> </w:t>
            </w:r>
            <w:r w:rsidRPr="000A2C86">
              <w:rPr>
                <w:rFonts w:ascii="Arial" w:hAnsi="Arial" w:cs="Arial"/>
                <w:sz w:val="20"/>
                <w:szCs w:val="20"/>
              </w:rPr>
              <w:t>the sexual activities (whether consensual or non-consensual) of the complainant (other than those to which the charge relates), without the leave of the court.</w:t>
            </w:r>
          </w:p>
        </w:tc>
      </w:tr>
      <w:tr w:rsidR="00F46FEB" w14:paraId="3AEEE3D2" w14:textId="77777777" w:rsidTr="00FE7228">
        <w:tc>
          <w:tcPr>
            <w:tcW w:w="1247" w:type="dxa"/>
            <w:tcBorders>
              <w:top w:val="single" w:sz="4" w:space="0" w:color="auto"/>
              <w:bottom w:val="single" w:sz="4" w:space="0" w:color="auto"/>
              <w:right w:val="single" w:sz="4" w:space="0" w:color="auto"/>
            </w:tcBorders>
          </w:tcPr>
          <w:p w14:paraId="41CF1861" w14:textId="77777777" w:rsidR="00F46FEB" w:rsidRDefault="00F46FEB" w:rsidP="006010C0">
            <w:pPr>
              <w:jc w:val="center"/>
              <w:rPr>
                <w:rFonts w:ascii="Arial" w:hAnsi="Arial" w:cs="Arial"/>
                <w:sz w:val="20"/>
              </w:rPr>
            </w:pPr>
            <w:r>
              <w:rPr>
                <w:rFonts w:ascii="Arial" w:hAnsi="Arial" w:cs="Arial"/>
                <w:sz w:val="20"/>
              </w:rPr>
              <w:t>s.343</w:t>
            </w:r>
          </w:p>
        </w:tc>
        <w:tc>
          <w:tcPr>
            <w:tcW w:w="7824" w:type="dxa"/>
            <w:tcBorders>
              <w:left w:val="single" w:sz="4" w:space="0" w:color="auto"/>
            </w:tcBorders>
          </w:tcPr>
          <w:p w14:paraId="40E729FD"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Admissibility of sexual history evidence</w:t>
            </w:r>
          </w:p>
          <w:p w14:paraId="7F42A633" w14:textId="77777777" w:rsidR="00F46FEB" w:rsidRDefault="00F46FEB" w:rsidP="006010C0">
            <w:pPr>
              <w:spacing w:after="20"/>
              <w:jc w:val="both"/>
              <w:rPr>
                <w:rFonts w:ascii="Arial" w:hAnsi="Arial" w:cs="Arial"/>
                <w:sz w:val="20"/>
              </w:rPr>
            </w:pPr>
            <w:r w:rsidRPr="000A2C86">
              <w:rPr>
                <w:rFonts w:ascii="Arial" w:hAnsi="Arial" w:cs="Arial"/>
                <w:sz w:val="20"/>
                <w:szCs w:val="20"/>
              </w:rPr>
              <w:t>Sexual history evidence is not admissible to support an inference that the complainant is the type of person who is more likely to have consented to the sexual activity to which the charge relates.</w:t>
            </w:r>
          </w:p>
        </w:tc>
      </w:tr>
      <w:tr w:rsidR="00F46FEB" w14:paraId="76F00BAD" w14:textId="77777777" w:rsidTr="00FE7228">
        <w:tc>
          <w:tcPr>
            <w:tcW w:w="1247" w:type="dxa"/>
            <w:tcBorders>
              <w:top w:val="single" w:sz="4" w:space="0" w:color="auto"/>
              <w:bottom w:val="single" w:sz="4" w:space="0" w:color="auto"/>
              <w:right w:val="single" w:sz="4" w:space="0" w:color="auto"/>
            </w:tcBorders>
          </w:tcPr>
          <w:p w14:paraId="79A6BB57" w14:textId="77777777" w:rsidR="00F46FEB" w:rsidRDefault="00F46FEB" w:rsidP="006010C0">
            <w:pPr>
              <w:jc w:val="center"/>
              <w:rPr>
                <w:rFonts w:ascii="Arial" w:hAnsi="Arial" w:cs="Arial"/>
                <w:sz w:val="20"/>
              </w:rPr>
            </w:pPr>
            <w:r>
              <w:rPr>
                <w:rFonts w:ascii="Arial" w:hAnsi="Arial" w:cs="Arial"/>
                <w:sz w:val="20"/>
              </w:rPr>
              <w:t>s.344</w:t>
            </w:r>
          </w:p>
        </w:tc>
        <w:tc>
          <w:tcPr>
            <w:tcW w:w="7824" w:type="dxa"/>
            <w:tcBorders>
              <w:left w:val="single" w:sz="4" w:space="0" w:color="auto"/>
            </w:tcBorders>
          </w:tcPr>
          <w:p w14:paraId="0C6DE076"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A</w:t>
            </w:r>
            <w:r>
              <w:rPr>
                <w:rFonts w:ascii="Arial" w:hAnsi="Arial" w:cs="Arial"/>
                <w:b/>
                <w:sz w:val="20"/>
                <w:szCs w:val="20"/>
              </w:rPr>
              <w:t>pplication for leave under s.342 CPA</w:t>
            </w:r>
          </w:p>
          <w:p w14:paraId="6E48B90D" w14:textId="38630A33" w:rsidR="00F46FEB" w:rsidRDefault="00F46FEB" w:rsidP="006010C0">
            <w:pPr>
              <w:jc w:val="both"/>
              <w:rPr>
                <w:rFonts w:ascii="Arial" w:hAnsi="Arial" w:cs="Arial"/>
                <w:sz w:val="20"/>
              </w:rPr>
            </w:pPr>
            <w:r>
              <w:rPr>
                <w:rFonts w:ascii="Arial" w:hAnsi="Arial" w:cs="Arial"/>
                <w:sz w:val="20"/>
              </w:rPr>
              <w:t xml:space="preserve">Section 344 sets out the filing </w:t>
            </w:r>
            <w:r w:rsidR="006A48E1">
              <w:rPr>
                <w:rFonts w:ascii="Arial" w:hAnsi="Arial" w:cs="Arial"/>
                <w:sz w:val="20"/>
              </w:rPr>
              <w:t xml:space="preserve">and service </w:t>
            </w:r>
            <w:r>
              <w:rPr>
                <w:rFonts w:ascii="Arial" w:hAnsi="Arial" w:cs="Arial"/>
                <w:sz w:val="20"/>
              </w:rPr>
              <w:t>requirements for an application for leave under s.342.</w:t>
            </w:r>
          </w:p>
        </w:tc>
      </w:tr>
      <w:tr w:rsidR="00F46FEB" w14:paraId="389A023E" w14:textId="77777777" w:rsidTr="00FE7228">
        <w:tc>
          <w:tcPr>
            <w:tcW w:w="1247" w:type="dxa"/>
            <w:tcBorders>
              <w:top w:val="single" w:sz="4" w:space="0" w:color="auto"/>
              <w:bottom w:val="single" w:sz="4" w:space="0" w:color="auto"/>
              <w:right w:val="single" w:sz="4" w:space="0" w:color="auto"/>
            </w:tcBorders>
          </w:tcPr>
          <w:p w14:paraId="71FCD1AC" w14:textId="77777777" w:rsidR="00F46FEB" w:rsidRDefault="00F46FEB" w:rsidP="006010C0">
            <w:pPr>
              <w:jc w:val="center"/>
              <w:rPr>
                <w:rFonts w:ascii="Arial" w:hAnsi="Arial" w:cs="Arial"/>
                <w:sz w:val="20"/>
              </w:rPr>
            </w:pPr>
            <w:r>
              <w:rPr>
                <w:rFonts w:ascii="Arial" w:hAnsi="Arial" w:cs="Arial"/>
                <w:sz w:val="20"/>
              </w:rPr>
              <w:t>s.345</w:t>
            </w:r>
          </w:p>
        </w:tc>
        <w:tc>
          <w:tcPr>
            <w:tcW w:w="7824" w:type="dxa"/>
            <w:tcBorders>
              <w:left w:val="single" w:sz="4" w:space="0" w:color="auto"/>
            </w:tcBorders>
          </w:tcPr>
          <w:p w14:paraId="0B04ADFF"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A</w:t>
            </w:r>
            <w:r>
              <w:rPr>
                <w:rFonts w:ascii="Arial" w:hAnsi="Arial" w:cs="Arial"/>
                <w:b/>
                <w:sz w:val="20"/>
                <w:szCs w:val="20"/>
              </w:rPr>
              <w:t>pplication for leave out of time</w:t>
            </w:r>
          </w:p>
          <w:p w14:paraId="4D93C283" w14:textId="77777777" w:rsidR="00F46FEB" w:rsidRDefault="00F46FEB" w:rsidP="006010C0">
            <w:pPr>
              <w:spacing w:after="20"/>
              <w:jc w:val="both"/>
              <w:rPr>
                <w:rFonts w:ascii="Arial" w:hAnsi="Arial" w:cs="Arial"/>
                <w:sz w:val="20"/>
              </w:rPr>
            </w:pPr>
            <w:r w:rsidRPr="000A2C86">
              <w:rPr>
                <w:rFonts w:ascii="Arial" w:hAnsi="Arial" w:cs="Arial"/>
                <w:sz w:val="20"/>
                <w:szCs w:val="20"/>
              </w:rPr>
              <w:t>If it is in the interests of justice to do so, the court may hear and determine an application for leave under section 342 after the expiry of the relevant time limit specified in section 344.</w:t>
            </w:r>
          </w:p>
        </w:tc>
      </w:tr>
      <w:tr w:rsidR="00F46FEB" w14:paraId="69F4CB99" w14:textId="77777777" w:rsidTr="00FE7228">
        <w:tc>
          <w:tcPr>
            <w:tcW w:w="1247" w:type="dxa"/>
            <w:tcBorders>
              <w:top w:val="single" w:sz="4" w:space="0" w:color="auto"/>
              <w:bottom w:val="single" w:sz="4" w:space="0" w:color="auto"/>
              <w:right w:val="single" w:sz="4" w:space="0" w:color="auto"/>
            </w:tcBorders>
          </w:tcPr>
          <w:p w14:paraId="0754D886" w14:textId="77777777" w:rsidR="00F46FEB" w:rsidRDefault="00F46FEB" w:rsidP="006010C0">
            <w:pPr>
              <w:jc w:val="center"/>
              <w:rPr>
                <w:rFonts w:ascii="Arial" w:hAnsi="Arial" w:cs="Arial"/>
                <w:sz w:val="20"/>
              </w:rPr>
            </w:pPr>
            <w:r>
              <w:rPr>
                <w:rFonts w:ascii="Arial" w:hAnsi="Arial" w:cs="Arial"/>
                <w:sz w:val="20"/>
              </w:rPr>
              <w:t>s.346</w:t>
            </w:r>
          </w:p>
        </w:tc>
        <w:tc>
          <w:tcPr>
            <w:tcW w:w="7824" w:type="dxa"/>
            <w:tcBorders>
              <w:left w:val="single" w:sz="4" w:space="0" w:color="auto"/>
              <w:bottom w:val="single" w:sz="4" w:space="0" w:color="auto"/>
            </w:tcBorders>
          </w:tcPr>
          <w:p w14:paraId="5D03318B"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Contents of application for leave under s.342 CPA</w:t>
            </w:r>
          </w:p>
          <w:p w14:paraId="5E90896C" w14:textId="77777777" w:rsidR="00F46FEB" w:rsidRDefault="00F46FEB" w:rsidP="006010C0">
            <w:pPr>
              <w:jc w:val="both"/>
              <w:rPr>
                <w:rFonts w:ascii="Arial" w:hAnsi="Arial" w:cs="Arial"/>
                <w:sz w:val="20"/>
              </w:rPr>
            </w:pPr>
            <w:r w:rsidRPr="000A2C86">
              <w:rPr>
                <w:rFonts w:ascii="Arial" w:hAnsi="Arial" w:cs="Arial"/>
                <w:sz w:val="20"/>
                <w:szCs w:val="20"/>
              </w:rPr>
              <w:t>An application for leave under section 342 must be in writing and set out the matters required by subsection (2) or (3), as the case requires.</w:t>
            </w:r>
          </w:p>
        </w:tc>
      </w:tr>
      <w:tr w:rsidR="00FE7228" w14:paraId="79C6C347" w14:textId="77777777" w:rsidTr="006010C0">
        <w:tc>
          <w:tcPr>
            <w:tcW w:w="1247" w:type="dxa"/>
            <w:vMerge w:val="restart"/>
            <w:tcBorders>
              <w:top w:val="single" w:sz="4" w:space="0" w:color="auto"/>
              <w:right w:val="single" w:sz="4" w:space="0" w:color="auto"/>
            </w:tcBorders>
          </w:tcPr>
          <w:p w14:paraId="6F33A4D7" w14:textId="77777777" w:rsidR="00FE7228" w:rsidRDefault="00FE7228" w:rsidP="006010C0">
            <w:pPr>
              <w:jc w:val="center"/>
              <w:rPr>
                <w:rFonts w:ascii="Arial" w:hAnsi="Arial" w:cs="Arial"/>
                <w:sz w:val="20"/>
              </w:rPr>
            </w:pPr>
            <w:r>
              <w:rPr>
                <w:rFonts w:ascii="Arial" w:hAnsi="Arial" w:cs="Arial"/>
                <w:sz w:val="20"/>
              </w:rPr>
              <w:t>s.347</w:t>
            </w:r>
          </w:p>
        </w:tc>
        <w:tc>
          <w:tcPr>
            <w:tcW w:w="7824" w:type="dxa"/>
            <w:tcBorders>
              <w:top w:val="single" w:sz="4" w:space="0" w:color="auto"/>
              <w:left w:val="single" w:sz="4" w:space="0" w:color="auto"/>
              <w:bottom w:val="single" w:sz="4" w:space="0" w:color="auto"/>
            </w:tcBorders>
            <w:shd w:val="clear" w:color="auto" w:fill="DDDDDD"/>
          </w:tcPr>
          <w:p w14:paraId="2B47BA67" w14:textId="77777777" w:rsidR="00FE7228" w:rsidRDefault="00FE7228" w:rsidP="006010C0">
            <w:pPr>
              <w:jc w:val="center"/>
              <w:rPr>
                <w:rFonts w:ascii="Arial" w:hAnsi="Arial" w:cs="Arial"/>
                <w:sz w:val="20"/>
              </w:rPr>
            </w:pPr>
            <w:r w:rsidRPr="000A2C86">
              <w:rPr>
                <w:rFonts w:ascii="Arial" w:hAnsi="Arial" w:cs="Arial"/>
                <w:b/>
                <w:sz w:val="20"/>
                <w:szCs w:val="20"/>
              </w:rPr>
              <w:t>Waiver of requirement to apply for leave in writing</w:t>
            </w:r>
          </w:p>
        </w:tc>
      </w:tr>
      <w:tr w:rsidR="00FE7228" w14:paraId="426292BF" w14:textId="77777777" w:rsidTr="00FE7228">
        <w:tc>
          <w:tcPr>
            <w:tcW w:w="1247" w:type="dxa"/>
            <w:vMerge/>
            <w:tcBorders>
              <w:bottom w:val="single" w:sz="4" w:space="0" w:color="auto"/>
              <w:right w:val="single" w:sz="4" w:space="0" w:color="auto"/>
            </w:tcBorders>
          </w:tcPr>
          <w:p w14:paraId="593E6E08" w14:textId="77777777" w:rsidR="00FE7228" w:rsidRDefault="00FE7228" w:rsidP="006010C0">
            <w:pPr>
              <w:jc w:val="center"/>
              <w:rPr>
                <w:rFonts w:ascii="Arial" w:hAnsi="Arial" w:cs="Arial"/>
                <w:sz w:val="20"/>
              </w:rPr>
            </w:pPr>
          </w:p>
        </w:tc>
        <w:tc>
          <w:tcPr>
            <w:tcW w:w="7824" w:type="dxa"/>
            <w:tcBorders>
              <w:top w:val="single" w:sz="4" w:space="0" w:color="auto"/>
              <w:left w:val="single" w:sz="4" w:space="0" w:color="auto"/>
            </w:tcBorders>
          </w:tcPr>
          <w:p w14:paraId="4B1010D5" w14:textId="77777777" w:rsidR="00FE7228" w:rsidRDefault="00FE7228" w:rsidP="006010C0">
            <w:pPr>
              <w:jc w:val="both"/>
              <w:rPr>
                <w:rFonts w:ascii="Arial" w:hAnsi="Arial" w:cs="Arial"/>
                <w:sz w:val="20"/>
              </w:rPr>
            </w:pPr>
            <w:r w:rsidRPr="000A2C86">
              <w:rPr>
                <w:rFonts w:ascii="Arial" w:hAnsi="Arial" w:cs="Arial"/>
                <w:sz w:val="20"/>
                <w:szCs w:val="20"/>
              </w:rPr>
              <w:t>If it is in the interests of justice to do so, the court may waive the requirement that an application for leave under section 342 be made in writing.</w:t>
            </w:r>
          </w:p>
        </w:tc>
      </w:tr>
      <w:tr w:rsidR="00F46FEB" w14:paraId="251DE651" w14:textId="77777777" w:rsidTr="00FE7228">
        <w:tc>
          <w:tcPr>
            <w:tcW w:w="1247" w:type="dxa"/>
            <w:tcBorders>
              <w:top w:val="single" w:sz="4" w:space="0" w:color="auto"/>
              <w:bottom w:val="single" w:sz="4" w:space="0" w:color="auto"/>
              <w:right w:val="single" w:sz="4" w:space="0" w:color="auto"/>
            </w:tcBorders>
          </w:tcPr>
          <w:p w14:paraId="5AA47B48" w14:textId="77777777" w:rsidR="00F46FEB" w:rsidRDefault="00F46FEB" w:rsidP="006010C0">
            <w:pPr>
              <w:jc w:val="center"/>
              <w:rPr>
                <w:rFonts w:ascii="Arial" w:hAnsi="Arial" w:cs="Arial"/>
                <w:sz w:val="20"/>
              </w:rPr>
            </w:pPr>
            <w:r>
              <w:rPr>
                <w:rFonts w:ascii="Arial" w:hAnsi="Arial" w:cs="Arial"/>
                <w:sz w:val="20"/>
              </w:rPr>
              <w:t>s.348</w:t>
            </w:r>
          </w:p>
        </w:tc>
        <w:tc>
          <w:tcPr>
            <w:tcW w:w="7824" w:type="dxa"/>
            <w:tcBorders>
              <w:left w:val="single" w:sz="4" w:space="0" w:color="auto"/>
              <w:bottom w:val="single" w:sz="4" w:space="0" w:color="auto"/>
            </w:tcBorders>
          </w:tcPr>
          <w:p w14:paraId="731A6773"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Hearing of application for leave under s.342 CPA</w:t>
            </w:r>
          </w:p>
          <w:p w14:paraId="56FF8F00" w14:textId="77777777" w:rsidR="00F46FEB" w:rsidRDefault="00F46FEB" w:rsidP="006010C0">
            <w:pPr>
              <w:spacing w:after="20"/>
              <w:jc w:val="both"/>
              <w:rPr>
                <w:rFonts w:ascii="Arial" w:hAnsi="Arial" w:cs="Arial"/>
                <w:sz w:val="20"/>
              </w:rPr>
            </w:pPr>
            <w:r w:rsidRPr="000A2C86">
              <w:rPr>
                <w:rFonts w:ascii="Arial" w:hAnsi="Arial" w:cs="Arial"/>
                <w:sz w:val="20"/>
                <w:szCs w:val="20"/>
              </w:rPr>
              <w:t>An application for leave under section 342 must be heard in the absence of the jury (if any) and, if the accused so requests, in the absence of the complainant.</w:t>
            </w:r>
          </w:p>
        </w:tc>
      </w:tr>
      <w:tr w:rsidR="00F46FEB" w14:paraId="05BE32E8" w14:textId="77777777" w:rsidTr="00BD4176">
        <w:trPr>
          <w:trHeight w:val="454"/>
        </w:trPr>
        <w:tc>
          <w:tcPr>
            <w:tcW w:w="1247" w:type="dxa"/>
            <w:vMerge w:val="restart"/>
            <w:tcBorders>
              <w:top w:val="single" w:sz="4" w:space="0" w:color="auto"/>
              <w:bottom w:val="nil"/>
              <w:right w:val="single" w:sz="4" w:space="0" w:color="auto"/>
            </w:tcBorders>
          </w:tcPr>
          <w:p w14:paraId="071979CF" w14:textId="77777777" w:rsidR="00F46FEB" w:rsidRDefault="00F46FEB" w:rsidP="006010C0">
            <w:pPr>
              <w:jc w:val="center"/>
              <w:rPr>
                <w:rFonts w:ascii="Arial" w:hAnsi="Arial" w:cs="Arial"/>
                <w:sz w:val="20"/>
              </w:rPr>
            </w:pPr>
            <w:r>
              <w:rPr>
                <w:rFonts w:ascii="Arial" w:hAnsi="Arial" w:cs="Arial"/>
                <w:sz w:val="20"/>
              </w:rPr>
              <w:t>s.349</w:t>
            </w:r>
          </w:p>
        </w:tc>
        <w:tc>
          <w:tcPr>
            <w:tcW w:w="7824" w:type="dxa"/>
            <w:tcBorders>
              <w:left w:val="single" w:sz="4" w:space="0" w:color="auto"/>
            </w:tcBorders>
          </w:tcPr>
          <w:p w14:paraId="7762BF81"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both"/>
              <w:rPr>
                <w:rFonts w:ascii="Arial" w:hAnsi="Arial" w:cs="Arial"/>
                <w:sz w:val="20"/>
                <w:szCs w:val="20"/>
              </w:rPr>
            </w:pPr>
            <w:r>
              <w:rPr>
                <w:rFonts w:ascii="Arial" w:hAnsi="Arial" w:cs="Arial"/>
                <w:b/>
                <w:sz w:val="20"/>
                <w:szCs w:val="20"/>
              </w:rPr>
              <w:t>Determination of application for leave under s.342 CPA during summary hearing, committal proceeding or trial</w:t>
            </w:r>
          </w:p>
          <w:p w14:paraId="2259B8BE" w14:textId="77777777" w:rsidR="00F46FEB" w:rsidRPr="000A2C86" w:rsidRDefault="00F46FEB" w:rsidP="006010C0">
            <w:pPr>
              <w:jc w:val="both"/>
              <w:rPr>
                <w:rFonts w:ascii="Arial" w:hAnsi="Arial" w:cs="Arial"/>
                <w:sz w:val="20"/>
                <w:szCs w:val="20"/>
              </w:rPr>
            </w:pPr>
            <w:r w:rsidRPr="000A2C86">
              <w:rPr>
                <w:rFonts w:ascii="Arial" w:hAnsi="Arial" w:cs="Arial"/>
                <w:sz w:val="20"/>
                <w:szCs w:val="20"/>
              </w:rPr>
              <w:t>In the course of a summary hearing, committal proceeding or trial, the court must not grant leave under section 342 unless it is satisfied that the evidence has substantial relevance to a fact in issue and that it is in the interests of justice to allow the cross-examination or to admit the evidence, having regard to—</w:t>
            </w:r>
          </w:p>
          <w:p w14:paraId="671114AE"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(a)</w:t>
            </w:r>
            <w:r w:rsidRPr="000A2C86">
              <w:rPr>
                <w:rFonts w:ascii="Arial" w:hAnsi="Arial" w:cs="Arial"/>
                <w:sz w:val="20"/>
                <w:szCs w:val="20"/>
              </w:rPr>
              <w:tab/>
              <w:t>whether the probative value of the evidence outweighs the distress, humiliation and embarrassment that the complainant may experience as a result of the cross-examination or the admission of the evidence, in view of the age of the complainant and the number and nature of the questions that the complainant is likely to be asked; and</w:t>
            </w:r>
          </w:p>
          <w:p w14:paraId="1553583E"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(b)</w:t>
            </w:r>
            <w:r w:rsidRPr="000A2C86">
              <w:rPr>
                <w:rFonts w:ascii="Arial" w:hAnsi="Arial" w:cs="Arial"/>
                <w:sz w:val="20"/>
                <w:szCs w:val="20"/>
              </w:rPr>
              <w:tab/>
              <w:t>the risk that the evidence may arouse in the jury discriminatory belief or bias, prejudice, sympathy or hostility; and</w:t>
            </w:r>
          </w:p>
          <w:p w14:paraId="396CEDC2"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(c)</w:t>
            </w:r>
            <w:r w:rsidRPr="000A2C86">
              <w:rPr>
                <w:rFonts w:ascii="Arial" w:hAnsi="Arial" w:cs="Arial"/>
                <w:sz w:val="20"/>
                <w:szCs w:val="20"/>
              </w:rPr>
              <w:tab/>
              <w:t>the need to respect the complainant's personal dignity and privacy; and</w:t>
            </w:r>
          </w:p>
          <w:p w14:paraId="22E9FDE6" w14:textId="77777777" w:rsidR="00F46FEB" w:rsidRDefault="00F46FEB" w:rsidP="006010C0">
            <w:pPr>
              <w:ind w:left="454" w:hanging="454"/>
              <w:jc w:val="both"/>
              <w:rPr>
                <w:rFonts w:ascii="Arial" w:hAnsi="Arial" w:cs="Arial"/>
                <w:sz w:val="20"/>
              </w:rPr>
            </w:pPr>
            <w:r w:rsidRPr="000A2C86">
              <w:rPr>
                <w:rFonts w:ascii="Arial" w:hAnsi="Arial" w:cs="Arial"/>
                <w:sz w:val="20"/>
                <w:szCs w:val="20"/>
              </w:rPr>
              <w:t>(d)</w:t>
            </w:r>
            <w:r w:rsidRPr="000A2C86">
              <w:rPr>
                <w:rFonts w:ascii="Arial" w:hAnsi="Arial" w:cs="Arial"/>
                <w:sz w:val="20"/>
                <w:szCs w:val="20"/>
              </w:rPr>
              <w:tab/>
              <w:t>the right of the accused to fully answer and defend the charge.</w:t>
            </w:r>
          </w:p>
        </w:tc>
      </w:tr>
      <w:tr w:rsidR="00F46FEB" w14:paraId="23F2F360" w14:textId="77777777" w:rsidTr="00FE7228">
        <w:tc>
          <w:tcPr>
            <w:tcW w:w="1247" w:type="dxa"/>
            <w:vMerge/>
            <w:tcBorders>
              <w:top w:val="nil"/>
              <w:bottom w:val="single" w:sz="8" w:space="0" w:color="auto"/>
              <w:right w:val="single" w:sz="4" w:space="0" w:color="auto"/>
            </w:tcBorders>
          </w:tcPr>
          <w:p w14:paraId="6CB3934B" w14:textId="77777777" w:rsidR="00F46FEB" w:rsidRDefault="00F46FEB" w:rsidP="006010C0">
            <w:pPr>
              <w:jc w:val="center"/>
              <w:rPr>
                <w:rFonts w:ascii="Arial" w:hAnsi="Arial" w:cs="Arial"/>
                <w:sz w:val="20"/>
              </w:rPr>
            </w:pPr>
          </w:p>
        </w:tc>
        <w:tc>
          <w:tcPr>
            <w:tcW w:w="7824" w:type="dxa"/>
            <w:tcBorders>
              <w:left w:val="single" w:sz="4" w:space="0" w:color="auto"/>
              <w:bottom w:val="single" w:sz="8" w:space="0" w:color="auto"/>
            </w:tcBorders>
            <w:shd w:val="clear" w:color="auto" w:fill="DDDDDD"/>
          </w:tcPr>
          <w:p w14:paraId="40269A1C" w14:textId="77777777" w:rsidR="00F46FEB" w:rsidRPr="009F1124" w:rsidRDefault="00F46FEB" w:rsidP="006010C0">
            <w:pPr>
              <w:jc w:val="both"/>
              <w:rPr>
                <w:rFonts w:ascii="Arial" w:hAnsi="Arial" w:cs="Arial"/>
                <w:bCs/>
                <w:sz w:val="20"/>
                <w:szCs w:val="20"/>
              </w:rPr>
            </w:pPr>
            <w:r w:rsidRPr="004931B8">
              <w:rPr>
                <w:rFonts w:ascii="Arial" w:hAnsi="Arial" w:cs="Arial"/>
                <w:bCs/>
                <w:sz w:val="20"/>
                <w:szCs w:val="20"/>
              </w:rPr>
              <w:t xml:space="preserve">In </w:t>
            </w:r>
            <w:r w:rsidRPr="00804F02">
              <w:rPr>
                <w:rFonts w:ascii="Arial" w:hAnsi="Arial" w:cs="Arial"/>
                <w:bCs/>
                <w:i/>
                <w:iCs/>
                <w:sz w:val="20"/>
                <w:szCs w:val="20"/>
              </w:rPr>
              <w:t>Bloomfield (a pseudonym) v The King</w:t>
            </w:r>
            <w:r>
              <w:rPr>
                <w:rFonts w:ascii="Arial" w:hAnsi="Arial" w:cs="Arial"/>
                <w:bCs/>
                <w:sz w:val="20"/>
                <w:szCs w:val="20"/>
              </w:rPr>
              <w:t xml:space="preserve"> [2025] VSCA 98 the Court of Appeal allowed an interlocutory appeal against a decision of the trial judge refusing leave to cross-examine the complainant about sexual activities where the complainant had made prior complaints of sexual abuse in circumstances similar to the present complaint. The trial judge had not been satisfied that the evidence of prior complaints was substantially relevant to a fact in issue. In granting leave to cross-examine the Court of Appeal held that the complaints were sufficiently similar to permit inferential reasoning and it was in the interests of justice to allow the applicant to cross-examine the complainant about the prior complaints.</w:t>
            </w:r>
          </w:p>
        </w:tc>
      </w:tr>
      <w:tr w:rsidR="00F46FEB" w14:paraId="0C830CDF" w14:textId="77777777" w:rsidTr="00FE7228">
        <w:tc>
          <w:tcPr>
            <w:tcW w:w="1247" w:type="dxa"/>
            <w:tcBorders>
              <w:top w:val="single" w:sz="8" w:space="0" w:color="auto"/>
              <w:bottom w:val="single" w:sz="4" w:space="0" w:color="auto"/>
              <w:right w:val="single" w:sz="8" w:space="0" w:color="auto"/>
            </w:tcBorders>
          </w:tcPr>
          <w:p w14:paraId="3A6F5D20" w14:textId="77777777" w:rsidR="00F46FEB" w:rsidRDefault="00F46FEB" w:rsidP="006010C0">
            <w:pPr>
              <w:jc w:val="center"/>
              <w:rPr>
                <w:rFonts w:ascii="Arial" w:hAnsi="Arial" w:cs="Arial"/>
                <w:sz w:val="20"/>
              </w:rPr>
            </w:pPr>
            <w:r>
              <w:rPr>
                <w:rFonts w:ascii="Arial" w:hAnsi="Arial" w:cs="Arial"/>
                <w:sz w:val="20"/>
              </w:rPr>
              <w:lastRenderedPageBreak/>
              <w:t>s.350</w:t>
            </w:r>
          </w:p>
        </w:tc>
        <w:tc>
          <w:tcPr>
            <w:tcW w:w="7824" w:type="dxa"/>
            <w:tcBorders>
              <w:top w:val="single" w:sz="8" w:space="0" w:color="auto"/>
              <w:left w:val="single" w:sz="8" w:space="0" w:color="auto"/>
              <w:bottom w:val="single" w:sz="4" w:space="0" w:color="auto"/>
            </w:tcBorders>
          </w:tcPr>
          <w:p w14:paraId="5D5477C1" w14:textId="77777777" w:rsidR="00F46FEB" w:rsidRPr="0097498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Determination of application for leave under s.342 CPA during sentencing hearing</w:t>
            </w:r>
          </w:p>
        </w:tc>
      </w:tr>
      <w:tr w:rsidR="00F46FEB" w14:paraId="32FCB09B" w14:textId="77777777" w:rsidTr="00FE7228">
        <w:tc>
          <w:tcPr>
            <w:tcW w:w="1247" w:type="dxa"/>
            <w:tcBorders>
              <w:top w:val="single" w:sz="4" w:space="0" w:color="auto"/>
              <w:bottom w:val="single" w:sz="4" w:space="0" w:color="auto"/>
              <w:right w:val="single" w:sz="4" w:space="0" w:color="auto"/>
            </w:tcBorders>
          </w:tcPr>
          <w:p w14:paraId="1A916DC1" w14:textId="77777777" w:rsidR="00F46FEB" w:rsidRDefault="00F46FEB" w:rsidP="006010C0">
            <w:pPr>
              <w:jc w:val="center"/>
              <w:rPr>
                <w:rFonts w:ascii="Arial" w:hAnsi="Arial" w:cs="Arial"/>
                <w:sz w:val="20"/>
              </w:rPr>
            </w:pPr>
            <w:r>
              <w:rPr>
                <w:rFonts w:ascii="Arial" w:hAnsi="Arial" w:cs="Arial"/>
                <w:sz w:val="20"/>
              </w:rPr>
              <w:t>s.351</w:t>
            </w:r>
          </w:p>
        </w:tc>
        <w:tc>
          <w:tcPr>
            <w:tcW w:w="7824" w:type="dxa"/>
            <w:tcBorders>
              <w:top w:val="single" w:sz="4" w:space="0" w:color="auto"/>
              <w:left w:val="single" w:sz="4" w:space="0" w:color="auto"/>
              <w:bottom w:val="single" w:sz="4" w:space="0" w:color="auto"/>
            </w:tcBorders>
          </w:tcPr>
          <w:p w14:paraId="582C3511" w14:textId="77777777" w:rsidR="00F46FEB" w:rsidRPr="0097498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Court must state reasons if leave under s.342 CPA granted</w:t>
            </w:r>
          </w:p>
        </w:tc>
      </w:tr>
      <w:tr w:rsidR="00F46FEB" w14:paraId="6DA6AB8E" w14:textId="77777777" w:rsidTr="00FE7228">
        <w:tblPrEx>
          <w:tblBorders>
            <w:insideH w:val="single" w:sz="4" w:space="0" w:color="auto"/>
            <w:insideV w:val="single" w:sz="4" w:space="0" w:color="auto"/>
          </w:tblBorders>
        </w:tblPrEx>
        <w:tc>
          <w:tcPr>
            <w:tcW w:w="1247" w:type="dxa"/>
            <w:tcBorders>
              <w:top w:val="single" w:sz="4" w:space="0" w:color="auto"/>
            </w:tcBorders>
          </w:tcPr>
          <w:p w14:paraId="23100593" w14:textId="77777777" w:rsidR="00F46FEB" w:rsidRDefault="00F46FEB" w:rsidP="006010C0">
            <w:pPr>
              <w:jc w:val="center"/>
              <w:rPr>
                <w:rFonts w:ascii="Arial" w:hAnsi="Arial" w:cs="Arial"/>
                <w:sz w:val="20"/>
              </w:rPr>
            </w:pPr>
            <w:r>
              <w:rPr>
                <w:rFonts w:ascii="Arial" w:hAnsi="Arial" w:cs="Arial"/>
                <w:sz w:val="20"/>
              </w:rPr>
              <w:t>s.352</w:t>
            </w:r>
          </w:p>
        </w:tc>
        <w:tc>
          <w:tcPr>
            <w:tcW w:w="7824" w:type="dxa"/>
          </w:tcPr>
          <w:p w14:paraId="38B29505"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Limitation on sexual history evidence</w:t>
            </w:r>
          </w:p>
          <w:p w14:paraId="360BB8A2" w14:textId="77777777" w:rsidR="00F46FEB" w:rsidRPr="000A2C86" w:rsidRDefault="00F46FEB" w:rsidP="006010C0">
            <w:pPr>
              <w:jc w:val="both"/>
              <w:rPr>
                <w:rFonts w:ascii="Arial" w:hAnsi="Arial" w:cs="Arial"/>
                <w:sz w:val="20"/>
                <w:szCs w:val="20"/>
              </w:rPr>
            </w:pPr>
            <w:r w:rsidRPr="000A2C86">
              <w:rPr>
                <w:rFonts w:ascii="Arial" w:hAnsi="Arial" w:cs="Arial"/>
                <w:sz w:val="20"/>
                <w:szCs w:val="20"/>
              </w:rPr>
              <w:t>Sexual history evidence is not to be regarded—</w:t>
            </w:r>
          </w:p>
          <w:p w14:paraId="7AB6F431"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(a)</w:t>
            </w:r>
            <w:r w:rsidRPr="000A2C86">
              <w:rPr>
                <w:rFonts w:ascii="Arial" w:hAnsi="Arial" w:cs="Arial"/>
                <w:sz w:val="20"/>
                <w:szCs w:val="20"/>
              </w:rPr>
              <w:tab/>
              <w:t>as having a substantial relevance to the facts in issue by virtue of any inferences it may raise as to general disposition; or</w:t>
            </w:r>
          </w:p>
          <w:p w14:paraId="57C2F7BB" w14:textId="77777777" w:rsidR="00F46FEB" w:rsidRPr="009F1124" w:rsidRDefault="00F46FEB" w:rsidP="006010C0">
            <w:pPr>
              <w:ind w:left="454" w:hanging="454"/>
              <w:jc w:val="both"/>
              <w:rPr>
                <w:rFonts w:ascii="Arial" w:hAnsi="Arial" w:cs="Arial"/>
                <w:sz w:val="20"/>
                <w:szCs w:val="20"/>
              </w:rPr>
            </w:pPr>
            <w:r w:rsidRPr="000A2C86">
              <w:rPr>
                <w:rFonts w:ascii="Arial" w:hAnsi="Arial" w:cs="Arial"/>
                <w:sz w:val="20"/>
                <w:szCs w:val="20"/>
              </w:rPr>
              <w:t>(b)</w:t>
            </w:r>
            <w:r w:rsidRPr="000A2C86">
              <w:rPr>
                <w:rFonts w:ascii="Arial" w:hAnsi="Arial" w:cs="Arial"/>
                <w:sz w:val="20"/>
                <w:szCs w:val="20"/>
              </w:rPr>
              <w:tab/>
              <w:t>as being proper matter for cross-examination as to credit unless, because of special circumstances, it would be likely materially to impair confidence in the reliability of the evidence of the complainant.</w:t>
            </w:r>
          </w:p>
        </w:tc>
      </w:tr>
    </w:tbl>
    <w:p w14:paraId="2E1052A2" w14:textId="77777777" w:rsidR="00F46FEB" w:rsidRPr="002251EE" w:rsidRDefault="00F46FEB" w:rsidP="00F46FEB">
      <w:pPr>
        <w:jc w:val="both"/>
        <w:rPr>
          <w:rFonts w:ascii="Arial" w:hAnsi="Arial" w:cs="Arial"/>
          <w:b/>
          <w:bCs/>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1247"/>
        <w:gridCol w:w="7824"/>
      </w:tblGrid>
      <w:tr w:rsidR="00707E1B" w:rsidRPr="002251EE" w14:paraId="22A79AC9" w14:textId="77777777" w:rsidTr="006010C0">
        <w:tc>
          <w:tcPr>
            <w:tcW w:w="9071" w:type="dxa"/>
            <w:gridSpan w:val="2"/>
            <w:shd w:val="clear" w:color="auto" w:fill="000000" w:themeFill="text1"/>
          </w:tcPr>
          <w:p w14:paraId="32931BB1" w14:textId="178466AC" w:rsidR="00707E1B" w:rsidRDefault="00707E1B"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3</w:t>
            </w:r>
          </w:p>
          <w:p w14:paraId="5F56DEA0" w14:textId="67989388" w:rsidR="00707E1B" w:rsidRPr="002251EE" w:rsidRDefault="00B311A4" w:rsidP="006010C0">
            <w:pPr>
              <w:jc w:val="center"/>
              <w:rPr>
                <w:rFonts w:ascii="Arial" w:hAnsi="Arial" w:cs="Arial"/>
                <w:b/>
                <w:bCs/>
                <w:sz w:val="20"/>
              </w:rPr>
            </w:pPr>
            <w:r>
              <w:rPr>
                <w:rFonts w:ascii="Arial" w:hAnsi="Arial" w:cs="Arial"/>
                <w:b/>
                <w:bCs/>
                <w:sz w:val="20"/>
              </w:rPr>
              <w:t xml:space="preserve">Cross-examination </w:t>
            </w:r>
            <w:proofErr w:type="gramStart"/>
            <w:r>
              <w:rPr>
                <w:rFonts w:ascii="Arial" w:hAnsi="Arial" w:cs="Arial"/>
                <w:b/>
                <w:bCs/>
                <w:sz w:val="20"/>
              </w:rPr>
              <w:t xml:space="preserve">of </w:t>
            </w:r>
            <w:r w:rsidR="00707E1B">
              <w:rPr>
                <w:rFonts w:ascii="Arial" w:hAnsi="Arial" w:cs="Arial"/>
                <w:b/>
                <w:bCs/>
                <w:sz w:val="20"/>
              </w:rPr>
              <w:t xml:space="preserve"> a</w:t>
            </w:r>
            <w:proofErr w:type="gramEnd"/>
            <w:r w:rsidR="00707E1B">
              <w:rPr>
                <w:rFonts w:ascii="Arial" w:hAnsi="Arial" w:cs="Arial"/>
                <w:b/>
                <w:bCs/>
                <w:sz w:val="20"/>
              </w:rPr>
              <w:t xml:space="preserve"> protected witness in a criminal proceeding that relates (wholly or partly) to a</w:t>
            </w:r>
            <w:r>
              <w:rPr>
                <w:rFonts w:ascii="Arial" w:hAnsi="Arial" w:cs="Arial"/>
                <w:b/>
                <w:bCs/>
                <w:sz w:val="20"/>
              </w:rPr>
              <w:t xml:space="preserve"> </w:t>
            </w:r>
            <w:r w:rsidR="00707E1B">
              <w:rPr>
                <w:rFonts w:ascii="Arial" w:hAnsi="Arial" w:cs="Arial"/>
                <w:b/>
                <w:bCs/>
                <w:sz w:val="20"/>
              </w:rPr>
              <w:t>charge for a sexual offence or an offence where the offending conduct consists of family violence within the meaning of the</w:t>
            </w:r>
            <w:r>
              <w:rPr>
                <w:rFonts w:ascii="Arial" w:hAnsi="Arial" w:cs="Arial"/>
                <w:b/>
                <w:bCs/>
                <w:sz w:val="20"/>
              </w:rPr>
              <w:t xml:space="preserve"> </w:t>
            </w:r>
            <w:r w:rsidR="00707E1B" w:rsidRPr="008F23CD">
              <w:rPr>
                <w:rFonts w:ascii="Arial" w:hAnsi="Arial" w:cs="Arial"/>
                <w:b/>
                <w:bCs/>
                <w:i/>
                <w:iCs/>
                <w:sz w:val="20"/>
              </w:rPr>
              <w:t>Family</w:t>
            </w:r>
            <w:r>
              <w:rPr>
                <w:rFonts w:ascii="Arial" w:hAnsi="Arial" w:cs="Arial"/>
                <w:b/>
                <w:bCs/>
                <w:i/>
                <w:iCs/>
                <w:sz w:val="20"/>
              </w:rPr>
              <w:t xml:space="preserve"> </w:t>
            </w:r>
            <w:r w:rsidR="00707E1B" w:rsidRPr="008F23CD">
              <w:rPr>
                <w:rFonts w:ascii="Arial" w:hAnsi="Arial" w:cs="Arial"/>
                <w:b/>
                <w:bCs/>
                <w:i/>
                <w:iCs/>
                <w:sz w:val="20"/>
              </w:rPr>
              <w:t>Violence</w:t>
            </w:r>
            <w:r>
              <w:rPr>
                <w:rFonts w:ascii="Arial" w:hAnsi="Arial" w:cs="Arial"/>
                <w:b/>
                <w:bCs/>
                <w:i/>
                <w:iCs/>
                <w:sz w:val="20"/>
              </w:rPr>
              <w:t xml:space="preserve"> </w:t>
            </w:r>
            <w:r w:rsidR="00707E1B" w:rsidRPr="008F23CD">
              <w:rPr>
                <w:rFonts w:ascii="Arial" w:hAnsi="Arial" w:cs="Arial"/>
                <w:b/>
                <w:bCs/>
                <w:i/>
                <w:iCs/>
                <w:sz w:val="20"/>
              </w:rPr>
              <w:t>Protection Act 2008</w:t>
            </w:r>
            <w:r w:rsidR="00707E1B" w:rsidRPr="0008741D">
              <w:rPr>
                <w:rFonts w:ascii="Arial" w:hAnsi="Arial" w:cs="Arial"/>
                <w:b/>
                <w:bCs/>
                <w:sz w:val="20"/>
              </w:rPr>
              <w:t xml:space="preserve"> [FVPA]</w:t>
            </w:r>
            <w:r w:rsidR="00814753">
              <w:rPr>
                <w:rFonts w:ascii="Arial" w:hAnsi="Arial" w:cs="Arial"/>
                <w:b/>
                <w:bCs/>
                <w:sz w:val="20"/>
              </w:rPr>
              <w:t>.</w:t>
            </w:r>
          </w:p>
        </w:tc>
      </w:tr>
      <w:tr w:rsidR="00F46FEB" w14:paraId="19E1CE3D" w14:textId="77777777" w:rsidTr="00FE7228">
        <w:tc>
          <w:tcPr>
            <w:tcW w:w="1247" w:type="dxa"/>
            <w:tcBorders>
              <w:top w:val="nil"/>
              <w:bottom w:val="single" w:sz="4" w:space="0" w:color="auto"/>
              <w:right w:val="single" w:sz="4" w:space="0" w:color="auto"/>
            </w:tcBorders>
          </w:tcPr>
          <w:p w14:paraId="12E9D1C3" w14:textId="77777777" w:rsidR="00F46FEB" w:rsidRDefault="00F46FEB" w:rsidP="006010C0">
            <w:pPr>
              <w:jc w:val="center"/>
              <w:rPr>
                <w:rFonts w:ascii="Arial" w:hAnsi="Arial" w:cs="Arial"/>
                <w:sz w:val="20"/>
              </w:rPr>
            </w:pPr>
            <w:r>
              <w:rPr>
                <w:rFonts w:ascii="Arial" w:hAnsi="Arial" w:cs="Arial"/>
                <w:sz w:val="20"/>
              </w:rPr>
              <w:t>s.353</w:t>
            </w:r>
          </w:p>
        </w:tc>
        <w:tc>
          <w:tcPr>
            <w:tcW w:w="7824" w:type="dxa"/>
            <w:tcBorders>
              <w:left w:val="single" w:sz="4" w:space="0" w:color="auto"/>
            </w:tcBorders>
            <w:shd w:val="clear" w:color="auto" w:fill="DDDDDD"/>
          </w:tcPr>
          <w:p w14:paraId="2F20D6EB" w14:textId="740851ED" w:rsidR="00F46FEB" w:rsidRPr="002216EF" w:rsidRDefault="00F46FEB" w:rsidP="002216EF">
            <w:pPr>
              <w:jc w:val="center"/>
              <w:rPr>
                <w:rFonts w:ascii="Arial" w:hAnsi="Arial" w:cs="Arial"/>
                <w:b/>
                <w:bCs/>
                <w:sz w:val="20"/>
              </w:rPr>
            </w:pPr>
            <w:r w:rsidRPr="002216EF">
              <w:rPr>
                <w:rFonts w:ascii="Arial" w:hAnsi="Arial" w:cs="Arial"/>
                <w:b/>
                <w:bCs/>
                <w:sz w:val="20"/>
              </w:rPr>
              <w:t>Application of Division</w:t>
            </w:r>
            <w:r w:rsidR="00A31BA1">
              <w:rPr>
                <w:rFonts w:ascii="Arial" w:hAnsi="Arial" w:cs="Arial"/>
                <w:b/>
                <w:bCs/>
                <w:sz w:val="20"/>
              </w:rPr>
              <w:t xml:space="preserve"> 3</w:t>
            </w:r>
          </w:p>
        </w:tc>
      </w:tr>
      <w:tr w:rsidR="00F46FEB" w14:paraId="681A6504" w14:textId="77777777" w:rsidTr="00FE7228">
        <w:tc>
          <w:tcPr>
            <w:tcW w:w="1247" w:type="dxa"/>
            <w:tcBorders>
              <w:top w:val="single" w:sz="4" w:space="0" w:color="auto"/>
              <w:bottom w:val="single" w:sz="4" w:space="0" w:color="auto"/>
              <w:right w:val="single" w:sz="4" w:space="0" w:color="auto"/>
            </w:tcBorders>
          </w:tcPr>
          <w:p w14:paraId="06B1BDF9" w14:textId="77777777" w:rsidR="00F46FEB" w:rsidRDefault="00F46FEB" w:rsidP="006010C0">
            <w:pPr>
              <w:jc w:val="center"/>
              <w:rPr>
                <w:rFonts w:ascii="Arial" w:hAnsi="Arial" w:cs="Arial"/>
                <w:sz w:val="20"/>
              </w:rPr>
            </w:pPr>
            <w:r>
              <w:rPr>
                <w:rFonts w:ascii="Arial" w:hAnsi="Arial" w:cs="Arial"/>
                <w:sz w:val="20"/>
              </w:rPr>
              <w:t>s.354</w:t>
            </w:r>
          </w:p>
        </w:tc>
        <w:tc>
          <w:tcPr>
            <w:tcW w:w="7824" w:type="dxa"/>
            <w:tcBorders>
              <w:left w:val="single" w:sz="4" w:space="0" w:color="auto"/>
            </w:tcBorders>
          </w:tcPr>
          <w:p w14:paraId="2F13F0B7" w14:textId="77777777" w:rsidR="00F46FEB" w:rsidRDefault="00F46FEB" w:rsidP="00891897">
            <w:pPr>
              <w:pStyle w:val="ListParagraph"/>
              <w:numPr>
                <w:ilvl w:val="0"/>
                <w:numId w:val="158"/>
              </w:numPr>
              <w:ind w:left="357" w:hanging="357"/>
              <w:jc w:val="both"/>
              <w:rPr>
                <w:rFonts w:ascii="Arial" w:hAnsi="Arial" w:cs="Arial"/>
                <w:sz w:val="20"/>
              </w:rPr>
            </w:pPr>
            <w:r w:rsidRPr="00891897">
              <w:rPr>
                <w:rFonts w:ascii="Arial" w:hAnsi="Arial" w:cs="Arial"/>
                <w:sz w:val="20"/>
              </w:rPr>
              <w:t>Definition of ‘</w:t>
            </w:r>
            <w:r w:rsidR="00891897">
              <w:rPr>
                <w:rFonts w:ascii="Arial" w:hAnsi="Arial" w:cs="Arial"/>
                <w:sz w:val="20"/>
              </w:rPr>
              <w:t>family member</w:t>
            </w:r>
            <w:r w:rsidRPr="00891897">
              <w:rPr>
                <w:rFonts w:ascii="Arial" w:hAnsi="Arial" w:cs="Arial"/>
                <w:sz w:val="20"/>
              </w:rPr>
              <w:t>’</w:t>
            </w:r>
            <w:r w:rsidR="00891897">
              <w:rPr>
                <w:rFonts w:ascii="Arial" w:hAnsi="Arial" w:cs="Arial"/>
                <w:sz w:val="20"/>
              </w:rPr>
              <w:t>, in relation to the complainant or the accused.</w:t>
            </w:r>
          </w:p>
          <w:p w14:paraId="13E8B155" w14:textId="4E8043E0" w:rsidR="00891897" w:rsidRDefault="00B311A4" w:rsidP="00891897">
            <w:pPr>
              <w:pStyle w:val="ListParagraph"/>
              <w:numPr>
                <w:ilvl w:val="0"/>
                <w:numId w:val="158"/>
              </w:numPr>
              <w:ind w:left="357" w:hanging="357"/>
              <w:jc w:val="both"/>
              <w:rPr>
                <w:rFonts w:ascii="Arial" w:hAnsi="Arial" w:cs="Arial"/>
                <w:sz w:val="20"/>
              </w:rPr>
            </w:pPr>
            <w:r>
              <w:rPr>
                <w:rFonts w:ascii="Arial" w:hAnsi="Arial" w:cs="Arial"/>
                <w:sz w:val="20"/>
              </w:rPr>
              <w:t xml:space="preserve">Definition of </w:t>
            </w:r>
            <w:r w:rsidR="00891897">
              <w:rPr>
                <w:rFonts w:ascii="Arial" w:hAnsi="Arial" w:cs="Arial"/>
                <w:sz w:val="20"/>
              </w:rPr>
              <w:t>‘</w:t>
            </w:r>
            <w:r>
              <w:rPr>
                <w:rFonts w:ascii="Arial" w:hAnsi="Arial" w:cs="Arial"/>
                <w:sz w:val="20"/>
              </w:rPr>
              <w:t>p</w:t>
            </w:r>
            <w:r w:rsidR="00891897">
              <w:rPr>
                <w:rFonts w:ascii="Arial" w:hAnsi="Arial" w:cs="Arial"/>
                <w:sz w:val="20"/>
              </w:rPr>
              <w:t xml:space="preserve">rotected witness’ </w:t>
            </w:r>
            <w:r>
              <w:rPr>
                <w:rFonts w:ascii="Arial" w:hAnsi="Arial" w:cs="Arial"/>
                <w:sz w:val="20"/>
              </w:rPr>
              <w:t xml:space="preserve">which </w:t>
            </w:r>
            <w:r w:rsidR="00891897">
              <w:rPr>
                <w:rFonts w:ascii="Arial" w:hAnsi="Arial" w:cs="Arial"/>
                <w:sz w:val="20"/>
              </w:rPr>
              <w:t>means</w:t>
            </w:r>
            <w:r w:rsidR="00CF1F55" w:rsidRPr="000A2C86">
              <w:rPr>
                <w:rFonts w:ascii="Arial" w:hAnsi="Arial" w:cs="Arial"/>
                <w:sz w:val="20"/>
              </w:rPr>
              <w:t>—</w:t>
            </w:r>
          </w:p>
          <w:p w14:paraId="7C39D3AC" w14:textId="3ED78400" w:rsidR="00CF1F55" w:rsidRDefault="00CF1F55" w:rsidP="00CF1F55">
            <w:pPr>
              <w:pStyle w:val="ListParagraph"/>
              <w:numPr>
                <w:ilvl w:val="0"/>
                <w:numId w:val="159"/>
              </w:numPr>
              <w:jc w:val="both"/>
              <w:rPr>
                <w:rFonts w:ascii="Arial" w:hAnsi="Arial" w:cs="Arial"/>
                <w:sz w:val="20"/>
              </w:rPr>
            </w:pPr>
            <w:r>
              <w:rPr>
                <w:rFonts w:ascii="Arial" w:hAnsi="Arial" w:cs="Arial"/>
                <w:sz w:val="20"/>
              </w:rPr>
              <w:t>the complainant; or</w:t>
            </w:r>
          </w:p>
          <w:p w14:paraId="71C9F039" w14:textId="77777777" w:rsidR="00CF1F55" w:rsidRDefault="00CF1F55" w:rsidP="00CF1F55">
            <w:pPr>
              <w:pStyle w:val="ListParagraph"/>
              <w:numPr>
                <w:ilvl w:val="0"/>
                <w:numId w:val="159"/>
              </w:numPr>
              <w:jc w:val="both"/>
              <w:rPr>
                <w:rFonts w:ascii="Arial" w:hAnsi="Arial" w:cs="Arial"/>
                <w:sz w:val="20"/>
              </w:rPr>
            </w:pPr>
            <w:r>
              <w:rPr>
                <w:rFonts w:ascii="Arial" w:hAnsi="Arial" w:cs="Arial"/>
                <w:sz w:val="20"/>
              </w:rPr>
              <w:t>a family member of the complainant; or</w:t>
            </w:r>
          </w:p>
          <w:p w14:paraId="2A36DC5D" w14:textId="77777777" w:rsidR="00CF1F55" w:rsidRDefault="00CF1F55" w:rsidP="00CF1F55">
            <w:pPr>
              <w:pStyle w:val="ListParagraph"/>
              <w:numPr>
                <w:ilvl w:val="0"/>
                <w:numId w:val="159"/>
              </w:numPr>
              <w:jc w:val="both"/>
              <w:rPr>
                <w:rFonts w:ascii="Arial" w:hAnsi="Arial" w:cs="Arial"/>
                <w:sz w:val="20"/>
              </w:rPr>
            </w:pPr>
            <w:r>
              <w:rPr>
                <w:rFonts w:ascii="Arial" w:hAnsi="Arial" w:cs="Arial"/>
                <w:sz w:val="20"/>
              </w:rPr>
              <w:t>a family member of the accused; or</w:t>
            </w:r>
          </w:p>
          <w:p w14:paraId="6BD1BBB1" w14:textId="1B592508" w:rsidR="00CF1F55" w:rsidRPr="00891897" w:rsidRDefault="00CF1F55" w:rsidP="00CF1F55">
            <w:pPr>
              <w:pStyle w:val="ListParagraph"/>
              <w:numPr>
                <w:ilvl w:val="0"/>
                <w:numId w:val="159"/>
              </w:numPr>
              <w:spacing w:after="20"/>
              <w:ind w:left="714" w:hanging="357"/>
              <w:jc w:val="both"/>
              <w:rPr>
                <w:rFonts w:ascii="Arial" w:hAnsi="Arial" w:cs="Arial"/>
                <w:sz w:val="20"/>
              </w:rPr>
            </w:pPr>
            <w:r>
              <w:rPr>
                <w:rFonts w:ascii="Arial" w:hAnsi="Arial" w:cs="Arial"/>
                <w:sz w:val="20"/>
              </w:rPr>
              <w:t>any other witness whom the court declares under s.355 to be a protected witness.</w:t>
            </w:r>
          </w:p>
        </w:tc>
      </w:tr>
      <w:tr w:rsidR="00891897" w14:paraId="03132DB0" w14:textId="77777777" w:rsidTr="00FE7228">
        <w:tblPrEx>
          <w:tblBorders>
            <w:insideH w:val="single" w:sz="4" w:space="0" w:color="auto"/>
            <w:insideV w:val="single" w:sz="4" w:space="0" w:color="auto"/>
          </w:tblBorders>
        </w:tblPrEx>
        <w:tc>
          <w:tcPr>
            <w:tcW w:w="1247" w:type="dxa"/>
            <w:tcBorders>
              <w:top w:val="single" w:sz="4" w:space="0" w:color="auto"/>
            </w:tcBorders>
          </w:tcPr>
          <w:p w14:paraId="21501721" w14:textId="39A5E8BC" w:rsidR="00891897" w:rsidRDefault="00891897" w:rsidP="006010C0">
            <w:pPr>
              <w:jc w:val="center"/>
              <w:rPr>
                <w:rFonts w:ascii="Arial" w:hAnsi="Arial" w:cs="Arial"/>
                <w:sz w:val="20"/>
              </w:rPr>
            </w:pPr>
            <w:r>
              <w:rPr>
                <w:rFonts w:ascii="Arial" w:hAnsi="Arial" w:cs="Arial"/>
                <w:sz w:val="20"/>
              </w:rPr>
              <w:t>s.355</w:t>
            </w:r>
          </w:p>
        </w:tc>
        <w:tc>
          <w:tcPr>
            <w:tcW w:w="7824" w:type="dxa"/>
            <w:shd w:val="clear" w:color="auto" w:fill="DDDDDD"/>
          </w:tcPr>
          <w:p w14:paraId="18940F14" w14:textId="74AC6443" w:rsidR="00891897" w:rsidRPr="00CF1F55" w:rsidRDefault="00CF1F55" w:rsidP="00CF1F55">
            <w:pPr>
              <w:jc w:val="center"/>
              <w:rPr>
                <w:rFonts w:ascii="Arial" w:hAnsi="Arial" w:cs="Arial"/>
                <w:b/>
                <w:bCs/>
                <w:sz w:val="20"/>
              </w:rPr>
            </w:pPr>
            <w:r w:rsidRPr="00CF1F55">
              <w:rPr>
                <w:rFonts w:ascii="Arial" w:hAnsi="Arial" w:cs="Arial"/>
                <w:b/>
                <w:bCs/>
                <w:sz w:val="20"/>
              </w:rPr>
              <w:t>Court may at any time declare a witness to be a protected witness</w:t>
            </w:r>
          </w:p>
        </w:tc>
      </w:tr>
      <w:tr w:rsidR="00891897" w14:paraId="3C3CB4CF" w14:textId="77777777" w:rsidTr="00891897">
        <w:tblPrEx>
          <w:tblBorders>
            <w:insideH w:val="single" w:sz="4" w:space="0" w:color="auto"/>
            <w:insideV w:val="single" w:sz="4" w:space="0" w:color="auto"/>
          </w:tblBorders>
        </w:tblPrEx>
        <w:tc>
          <w:tcPr>
            <w:tcW w:w="1247" w:type="dxa"/>
          </w:tcPr>
          <w:p w14:paraId="11CC6DFD" w14:textId="64CAA485" w:rsidR="00891897" w:rsidRDefault="00891897" w:rsidP="006010C0">
            <w:pPr>
              <w:jc w:val="center"/>
              <w:rPr>
                <w:rFonts w:ascii="Arial" w:hAnsi="Arial" w:cs="Arial"/>
                <w:sz w:val="20"/>
              </w:rPr>
            </w:pPr>
            <w:r>
              <w:rPr>
                <w:rFonts w:ascii="Arial" w:hAnsi="Arial" w:cs="Arial"/>
                <w:sz w:val="20"/>
              </w:rPr>
              <w:t>s.356</w:t>
            </w:r>
          </w:p>
        </w:tc>
        <w:tc>
          <w:tcPr>
            <w:tcW w:w="7824" w:type="dxa"/>
            <w:shd w:val="clear" w:color="auto" w:fill="DDDDDD"/>
          </w:tcPr>
          <w:p w14:paraId="6AA44D77" w14:textId="59EBD965" w:rsidR="00891897" w:rsidRPr="00891897" w:rsidRDefault="00891897" w:rsidP="00891897">
            <w:pPr>
              <w:jc w:val="center"/>
              <w:rPr>
                <w:rFonts w:ascii="Arial" w:hAnsi="Arial" w:cs="Arial"/>
                <w:b/>
                <w:bCs/>
                <w:sz w:val="20"/>
              </w:rPr>
            </w:pPr>
            <w:r>
              <w:rPr>
                <w:rFonts w:ascii="Arial" w:hAnsi="Arial" w:cs="Arial"/>
                <w:b/>
                <w:bCs/>
                <w:sz w:val="20"/>
              </w:rPr>
              <w:t>Protected witness must not be cross-examined by accused in person</w:t>
            </w:r>
          </w:p>
        </w:tc>
      </w:tr>
      <w:tr w:rsidR="00891897" w14:paraId="762DD67E" w14:textId="77777777" w:rsidTr="00891897">
        <w:tblPrEx>
          <w:tblBorders>
            <w:insideH w:val="single" w:sz="4" w:space="0" w:color="auto"/>
            <w:insideV w:val="single" w:sz="4" w:space="0" w:color="auto"/>
          </w:tblBorders>
        </w:tblPrEx>
        <w:tc>
          <w:tcPr>
            <w:tcW w:w="1247" w:type="dxa"/>
          </w:tcPr>
          <w:p w14:paraId="7FF13639" w14:textId="6DF41B09" w:rsidR="00891897" w:rsidRDefault="00891897" w:rsidP="006010C0">
            <w:pPr>
              <w:jc w:val="center"/>
              <w:rPr>
                <w:rFonts w:ascii="Arial" w:hAnsi="Arial" w:cs="Arial"/>
                <w:sz w:val="20"/>
              </w:rPr>
            </w:pPr>
            <w:r>
              <w:rPr>
                <w:rFonts w:ascii="Arial" w:hAnsi="Arial" w:cs="Arial"/>
                <w:sz w:val="20"/>
              </w:rPr>
              <w:t>s.357</w:t>
            </w:r>
          </w:p>
        </w:tc>
        <w:tc>
          <w:tcPr>
            <w:tcW w:w="7824" w:type="dxa"/>
            <w:shd w:val="clear" w:color="auto" w:fill="DDDDDD"/>
          </w:tcPr>
          <w:p w14:paraId="63BA1E6B" w14:textId="3E28D86D" w:rsidR="00891897" w:rsidRPr="00891897" w:rsidRDefault="00891897" w:rsidP="00891897">
            <w:pPr>
              <w:jc w:val="center"/>
              <w:rPr>
                <w:rFonts w:ascii="Arial" w:hAnsi="Arial" w:cs="Arial"/>
                <w:b/>
                <w:bCs/>
                <w:sz w:val="20"/>
              </w:rPr>
            </w:pPr>
            <w:r w:rsidRPr="00891897">
              <w:rPr>
                <w:rFonts w:ascii="Arial" w:hAnsi="Arial" w:cs="Arial"/>
                <w:b/>
                <w:bCs/>
                <w:sz w:val="20"/>
              </w:rPr>
              <w:t>Procedure when accused is not legally represented</w:t>
            </w:r>
          </w:p>
        </w:tc>
      </w:tr>
      <w:tr w:rsidR="00891897" w14:paraId="3EC1BC35" w14:textId="77777777" w:rsidTr="00891897">
        <w:tblPrEx>
          <w:tblBorders>
            <w:insideH w:val="single" w:sz="4" w:space="0" w:color="auto"/>
            <w:insideV w:val="single" w:sz="4" w:space="0" w:color="auto"/>
          </w:tblBorders>
        </w:tblPrEx>
        <w:tc>
          <w:tcPr>
            <w:tcW w:w="1247" w:type="dxa"/>
          </w:tcPr>
          <w:p w14:paraId="578AA7FE" w14:textId="42431A5B" w:rsidR="00891897" w:rsidRDefault="00891897" w:rsidP="006010C0">
            <w:pPr>
              <w:jc w:val="center"/>
              <w:rPr>
                <w:rFonts w:ascii="Arial" w:hAnsi="Arial" w:cs="Arial"/>
                <w:sz w:val="20"/>
              </w:rPr>
            </w:pPr>
            <w:r>
              <w:rPr>
                <w:rFonts w:ascii="Arial" w:hAnsi="Arial" w:cs="Arial"/>
                <w:sz w:val="20"/>
              </w:rPr>
              <w:t>s.358</w:t>
            </w:r>
          </w:p>
        </w:tc>
        <w:tc>
          <w:tcPr>
            <w:tcW w:w="7824" w:type="dxa"/>
            <w:shd w:val="clear" w:color="auto" w:fill="DDDDDD"/>
          </w:tcPr>
          <w:p w14:paraId="7D5B9DCD" w14:textId="2A3788EC" w:rsidR="00891897" w:rsidRPr="00891897" w:rsidRDefault="00891897" w:rsidP="00891897">
            <w:pPr>
              <w:jc w:val="center"/>
              <w:rPr>
                <w:rFonts w:ascii="Arial" w:hAnsi="Arial" w:cs="Arial"/>
                <w:b/>
                <w:bCs/>
                <w:sz w:val="20"/>
              </w:rPr>
            </w:pPr>
            <w:r w:rsidRPr="00891897">
              <w:rPr>
                <w:rFonts w:ascii="Arial" w:hAnsi="Arial" w:cs="Arial"/>
                <w:b/>
                <w:bCs/>
                <w:sz w:val="20"/>
              </w:rPr>
              <w:t>Jury warning concerning legal representation for cross-examination</w:t>
            </w:r>
          </w:p>
        </w:tc>
      </w:tr>
    </w:tbl>
    <w:p w14:paraId="57A24410" w14:textId="77777777" w:rsidR="00F46FEB" w:rsidRDefault="00F46FEB" w:rsidP="00F46FEB">
      <w:pPr>
        <w:jc w:val="both"/>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521FA82A" w14:textId="77777777" w:rsidTr="006010C0">
        <w:tc>
          <w:tcPr>
            <w:tcW w:w="9071" w:type="dxa"/>
            <w:tcBorders>
              <w:bottom w:val="nil"/>
            </w:tcBorders>
            <w:shd w:val="clear" w:color="auto" w:fill="000000" w:themeFill="text1"/>
          </w:tcPr>
          <w:p w14:paraId="1FD333D4" w14:textId="0FED2661" w:rsidR="00B97558" w:rsidRDefault="00B97558" w:rsidP="0008741D">
            <w:pPr>
              <w:jc w:val="center"/>
              <w:rPr>
                <w:rFonts w:ascii="Arial" w:hAnsi="Arial" w:cs="Arial"/>
                <w:b/>
                <w:bCs/>
                <w:sz w:val="20"/>
              </w:rPr>
            </w:pPr>
            <w:r w:rsidRPr="00C31AA5">
              <w:rPr>
                <w:rFonts w:ascii="Arial" w:hAnsi="Arial" w:cs="Arial"/>
                <w:b/>
                <w:bCs/>
                <w:color w:val="000000" w:themeColor="text1"/>
                <w:sz w:val="20"/>
                <w:shd w:val="clear" w:color="auto" w:fill="FFFF00"/>
              </w:rPr>
              <w:t>Part 8.2 Division 4</w:t>
            </w:r>
          </w:p>
          <w:p w14:paraId="7CE757C9" w14:textId="6360A637" w:rsidR="00B97558" w:rsidRPr="002251EE" w:rsidRDefault="00B97558" w:rsidP="0008741D">
            <w:pPr>
              <w:jc w:val="center"/>
              <w:rPr>
                <w:rFonts w:ascii="Arial" w:hAnsi="Arial" w:cs="Arial"/>
                <w:b/>
                <w:bCs/>
                <w:sz w:val="20"/>
              </w:rPr>
            </w:pPr>
            <w:r>
              <w:rPr>
                <w:rFonts w:ascii="Arial" w:hAnsi="Arial" w:cs="Arial"/>
                <w:b/>
                <w:bCs/>
                <w:sz w:val="20"/>
              </w:rPr>
              <w:t xml:space="preserve">Alternative arrangements for giving evidence in a criminal proceeding that relates (wholly or partly) to a charge for a sexual offence or an offence where the offending conduct consists of family violence within the meaning of the </w:t>
            </w:r>
            <w:r w:rsidRPr="0008741D">
              <w:rPr>
                <w:rFonts w:ascii="Arial" w:hAnsi="Arial" w:cs="Arial"/>
                <w:b/>
                <w:bCs/>
                <w:sz w:val="20"/>
              </w:rPr>
              <w:t>FVPA</w:t>
            </w:r>
            <w:r>
              <w:rPr>
                <w:rFonts w:ascii="Arial" w:hAnsi="Arial" w:cs="Arial"/>
                <w:b/>
                <w:bCs/>
                <w:sz w:val="20"/>
              </w:rPr>
              <w:t xml:space="preserve"> or an offence against ss.17(1) or 19</w:t>
            </w:r>
            <w:r w:rsidR="00814753">
              <w:rPr>
                <w:rFonts w:ascii="Arial" w:hAnsi="Arial" w:cs="Arial"/>
                <w:b/>
                <w:bCs/>
                <w:sz w:val="20"/>
              </w:rPr>
              <w:t xml:space="preserve"> of the</w:t>
            </w:r>
            <w:r>
              <w:rPr>
                <w:rFonts w:ascii="Arial" w:hAnsi="Arial" w:cs="Arial"/>
                <w:b/>
                <w:bCs/>
                <w:sz w:val="20"/>
              </w:rPr>
              <w:t xml:space="preserve"> </w:t>
            </w:r>
            <w:r w:rsidRPr="00247079">
              <w:rPr>
                <w:rFonts w:ascii="Arial" w:hAnsi="Arial" w:cs="Arial"/>
                <w:b/>
                <w:bCs/>
                <w:i/>
                <w:iCs/>
                <w:sz w:val="20"/>
              </w:rPr>
              <w:t>Summary Offences Act 1966</w:t>
            </w:r>
            <w:r>
              <w:rPr>
                <w:rFonts w:ascii="Arial" w:hAnsi="Arial" w:cs="Arial"/>
                <w:b/>
                <w:bCs/>
                <w:i/>
                <w:iCs/>
                <w:sz w:val="20"/>
              </w:rPr>
              <w:t xml:space="preserve"> </w:t>
            </w:r>
            <w:r w:rsidRPr="00247079">
              <w:rPr>
                <w:rFonts w:ascii="Arial" w:hAnsi="Arial" w:cs="Arial"/>
                <w:b/>
                <w:bCs/>
                <w:sz w:val="20"/>
              </w:rPr>
              <w:t>[SOA]</w:t>
            </w:r>
            <w:r w:rsidR="00814753">
              <w:rPr>
                <w:rFonts w:ascii="Arial" w:hAnsi="Arial" w:cs="Arial"/>
                <w:b/>
                <w:bCs/>
                <w:sz w:val="20"/>
              </w:rPr>
              <w:t>.</w:t>
            </w:r>
          </w:p>
        </w:tc>
      </w:tr>
      <w:tr w:rsidR="00CF1F55" w14:paraId="3CA7AC79" w14:textId="77777777" w:rsidTr="00CF1F55">
        <w:tc>
          <w:tcPr>
            <w:tcW w:w="9071" w:type="dxa"/>
            <w:shd w:val="clear" w:color="auto" w:fill="C5E0B3" w:themeFill="accent6" w:themeFillTint="66"/>
          </w:tcPr>
          <w:p w14:paraId="3C73AC59" w14:textId="57E307FC" w:rsidR="00CF1F55" w:rsidRPr="00CF1F55" w:rsidRDefault="00247079" w:rsidP="00CF1F55">
            <w:pPr>
              <w:jc w:val="center"/>
              <w:rPr>
                <w:rFonts w:ascii="Arial" w:hAnsi="Arial" w:cs="Arial"/>
                <w:b/>
                <w:bCs/>
                <w:sz w:val="20"/>
              </w:rPr>
            </w:pPr>
            <w:r>
              <w:rPr>
                <w:rFonts w:ascii="Arial" w:hAnsi="Arial" w:cs="Arial"/>
                <w:b/>
                <w:bCs/>
                <w:sz w:val="20"/>
              </w:rPr>
              <w:t>For details s</w:t>
            </w:r>
            <w:r w:rsidR="00CF1F55" w:rsidRPr="00CF1F55">
              <w:rPr>
                <w:rFonts w:ascii="Arial" w:hAnsi="Arial" w:cs="Arial"/>
                <w:b/>
                <w:bCs/>
                <w:sz w:val="20"/>
              </w:rPr>
              <w:t xml:space="preserve">ee </w:t>
            </w:r>
            <w:r w:rsidR="005B005D">
              <w:rPr>
                <w:rFonts w:ascii="Arial" w:hAnsi="Arial" w:cs="Arial"/>
                <w:b/>
                <w:bCs/>
                <w:sz w:val="20"/>
              </w:rPr>
              <w:t>sub</w:t>
            </w:r>
            <w:r w:rsidR="00CF1F55" w:rsidRPr="00CF1F55">
              <w:rPr>
                <w:rFonts w:ascii="Arial" w:hAnsi="Arial" w:cs="Arial"/>
                <w:b/>
                <w:bCs/>
                <w:sz w:val="20"/>
              </w:rPr>
              <w:t>section 3.5.</w:t>
            </w:r>
            <w:r w:rsidR="00A265E1">
              <w:rPr>
                <w:rFonts w:ascii="Arial" w:hAnsi="Arial" w:cs="Arial"/>
                <w:b/>
                <w:bCs/>
                <w:sz w:val="20"/>
              </w:rPr>
              <w:t>12</w:t>
            </w:r>
            <w:r w:rsidR="00CF1F55" w:rsidRPr="00CF1F55">
              <w:rPr>
                <w:rFonts w:ascii="Arial" w:hAnsi="Arial" w:cs="Arial"/>
                <w:b/>
                <w:bCs/>
                <w:sz w:val="20"/>
              </w:rPr>
              <w:t>.</w:t>
            </w:r>
            <w:r w:rsidR="00A265E1">
              <w:rPr>
                <w:rFonts w:ascii="Arial" w:hAnsi="Arial" w:cs="Arial"/>
                <w:b/>
                <w:bCs/>
                <w:sz w:val="20"/>
              </w:rPr>
              <w:t>3</w:t>
            </w:r>
            <w:r w:rsidR="00CF1F55" w:rsidRPr="00CF1F55">
              <w:rPr>
                <w:rFonts w:ascii="Arial" w:hAnsi="Arial" w:cs="Arial"/>
                <w:b/>
                <w:bCs/>
                <w:sz w:val="20"/>
              </w:rPr>
              <w:t>.</w:t>
            </w:r>
          </w:p>
        </w:tc>
      </w:tr>
    </w:tbl>
    <w:p w14:paraId="0719EC16" w14:textId="77777777" w:rsidR="00F46FEB" w:rsidRDefault="00F46FEB" w:rsidP="00F46FEB">
      <w:pPr>
        <w:jc w:val="both"/>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639E2B71" w14:textId="77777777" w:rsidTr="006010C0">
        <w:tc>
          <w:tcPr>
            <w:tcW w:w="9071" w:type="dxa"/>
            <w:tcBorders>
              <w:bottom w:val="nil"/>
            </w:tcBorders>
            <w:shd w:val="clear" w:color="auto" w:fill="000000" w:themeFill="text1"/>
          </w:tcPr>
          <w:p w14:paraId="6426E032" w14:textId="4BA2CEE1" w:rsidR="00B97558" w:rsidRDefault="00B97558" w:rsidP="00A378AE">
            <w:pPr>
              <w:jc w:val="center"/>
              <w:rPr>
                <w:rFonts w:ascii="Arial" w:hAnsi="Arial" w:cs="Arial"/>
                <w:b/>
                <w:bCs/>
                <w:sz w:val="20"/>
              </w:rPr>
            </w:pPr>
            <w:r w:rsidRPr="00C31AA5">
              <w:rPr>
                <w:rFonts w:ascii="Arial" w:hAnsi="Arial" w:cs="Arial"/>
                <w:b/>
                <w:bCs/>
                <w:color w:val="000000" w:themeColor="text1"/>
                <w:sz w:val="20"/>
                <w:shd w:val="clear" w:color="auto" w:fill="FFFF00"/>
              </w:rPr>
              <w:t>Part 8.2 Division 5</w:t>
            </w:r>
          </w:p>
          <w:p w14:paraId="7A106FCE" w14:textId="0DD575B5" w:rsidR="00B97558" w:rsidRPr="002251EE" w:rsidRDefault="00B97558" w:rsidP="00A378AE">
            <w:pPr>
              <w:jc w:val="center"/>
              <w:rPr>
                <w:rFonts w:ascii="Arial" w:hAnsi="Arial" w:cs="Arial"/>
                <w:b/>
                <w:bCs/>
                <w:sz w:val="20"/>
              </w:rPr>
            </w:pPr>
            <w:r>
              <w:rPr>
                <w:rFonts w:ascii="Arial" w:hAnsi="Arial" w:cs="Arial"/>
                <w:b/>
                <w:bCs/>
                <w:sz w:val="20"/>
              </w:rPr>
              <w:t>Use o</w:t>
            </w:r>
            <w:r w:rsidR="00814753">
              <w:rPr>
                <w:rFonts w:ascii="Arial" w:hAnsi="Arial" w:cs="Arial"/>
                <w:b/>
                <w:bCs/>
                <w:sz w:val="20"/>
              </w:rPr>
              <w:t>f</w:t>
            </w:r>
            <w:r>
              <w:rPr>
                <w:rFonts w:ascii="Arial" w:hAnsi="Arial" w:cs="Arial"/>
                <w:b/>
                <w:bCs/>
                <w:sz w:val="20"/>
              </w:rPr>
              <w:t xml:space="preserve"> recorded evidence-in-chief of children or cognitively impaired witnesses in sexual offence, assault and family violence matters</w:t>
            </w:r>
            <w:r w:rsidR="00814753">
              <w:rPr>
                <w:rFonts w:ascii="Arial" w:hAnsi="Arial" w:cs="Arial"/>
                <w:b/>
                <w:bCs/>
                <w:sz w:val="20"/>
              </w:rPr>
              <w:t>.</w:t>
            </w:r>
          </w:p>
        </w:tc>
      </w:tr>
      <w:tr w:rsidR="005B005D" w14:paraId="068268F0" w14:textId="77777777" w:rsidTr="006010C0">
        <w:tc>
          <w:tcPr>
            <w:tcW w:w="9071" w:type="dxa"/>
            <w:shd w:val="clear" w:color="auto" w:fill="C5E0B3" w:themeFill="accent6" w:themeFillTint="66"/>
          </w:tcPr>
          <w:p w14:paraId="182CB758" w14:textId="662D94A2" w:rsidR="005B005D" w:rsidRPr="00CF1F55" w:rsidRDefault="005B005D"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section </w:t>
            </w:r>
            <w:r>
              <w:rPr>
                <w:rFonts w:ascii="Arial" w:hAnsi="Arial" w:cs="Arial"/>
                <w:b/>
                <w:bCs/>
                <w:sz w:val="20"/>
              </w:rPr>
              <w:t>3.5.5 &amp; subsection 3.5.5.1</w:t>
            </w:r>
            <w:r w:rsidR="00707E1B">
              <w:rPr>
                <w:rFonts w:ascii="Arial" w:hAnsi="Arial" w:cs="Arial"/>
                <w:b/>
                <w:bCs/>
                <w:sz w:val="20"/>
              </w:rPr>
              <w:t>.</w:t>
            </w:r>
          </w:p>
        </w:tc>
      </w:tr>
    </w:tbl>
    <w:p w14:paraId="669279DF" w14:textId="77777777" w:rsidR="00F46FEB" w:rsidRDefault="00F46FEB" w:rsidP="00F46FEB">
      <w:pPr>
        <w:rPr>
          <w:rFonts w:ascii="Arial" w:hAnsi="Arial" w:cs="Arial"/>
          <w:sz w:val="20"/>
          <w:szCs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39BFB616" w14:textId="77777777" w:rsidTr="006010C0">
        <w:tc>
          <w:tcPr>
            <w:tcW w:w="9071" w:type="dxa"/>
            <w:tcBorders>
              <w:bottom w:val="nil"/>
            </w:tcBorders>
            <w:shd w:val="clear" w:color="auto" w:fill="000000" w:themeFill="text1"/>
          </w:tcPr>
          <w:p w14:paraId="41915B77" w14:textId="0B0D9F4F"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6</w:t>
            </w:r>
          </w:p>
          <w:p w14:paraId="6E4A76E2" w14:textId="51115F8B" w:rsidR="00B97558" w:rsidRPr="002251EE" w:rsidRDefault="00B97558" w:rsidP="006010C0">
            <w:pPr>
              <w:jc w:val="center"/>
              <w:rPr>
                <w:rFonts w:ascii="Arial" w:hAnsi="Arial" w:cs="Arial"/>
                <w:b/>
                <w:bCs/>
                <w:sz w:val="20"/>
              </w:rPr>
            </w:pPr>
            <w:r>
              <w:rPr>
                <w:rFonts w:ascii="Arial" w:hAnsi="Arial" w:cs="Arial"/>
                <w:b/>
                <w:bCs/>
                <w:sz w:val="20"/>
              </w:rPr>
              <w:t>Procedure and rules for witnesses who are children or cognitively impaired complainants in a criminal proceeding that relates (wholly or partly) to a charge</w:t>
            </w:r>
            <w:r w:rsidR="00814753">
              <w:rPr>
                <w:rFonts w:ascii="Arial" w:hAnsi="Arial" w:cs="Arial"/>
                <w:b/>
                <w:bCs/>
                <w:sz w:val="20"/>
              </w:rPr>
              <w:t xml:space="preserve"> </w:t>
            </w:r>
            <w:r>
              <w:rPr>
                <w:rFonts w:ascii="Arial" w:hAnsi="Arial" w:cs="Arial"/>
                <w:b/>
                <w:bCs/>
                <w:sz w:val="20"/>
              </w:rPr>
              <w:t xml:space="preserve">for a </w:t>
            </w:r>
            <w:r w:rsidR="00814753">
              <w:rPr>
                <w:rFonts w:ascii="Arial" w:hAnsi="Arial" w:cs="Arial"/>
                <w:b/>
                <w:bCs/>
                <w:sz w:val="20"/>
              </w:rPr>
              <w:t>sexu</w:t>
            </w:r>
            <w:r>
              <w:rPr>
                <w:rFonts w:ascii="Arial" w:hAnsi="Arial" w:cs="Arial"/>
                <w:b/>
                <w:bCs/>
                <w:sz w:val="20"/>
              </w:rPr>
              <w:t>al offence</w:t>
            </w:r>
            <w:r w:rsidR="00814753">
              <w:rPr>
                <w:rFonts w:ascii="Arial" w:hAnsi="Arial" w:cs="Arial"/>
                <w:b/>
                <w:bCs/>
                <w:sz w:val="20"/>
              </w:rPr>
              <w:t>.</w:t>
            </w:r>
          </w:p>
        </w:tc>
      </w:tr>
      <w:tr w:rsidR="005B005D" w14:paraId="0213C6F5" w14:textId="77777777" w:rsidTr="006010C0">
        <w:tc>
          <w:tcPr>
            <w:tcW w:w="9071" w:type="dxa"/>
            <w:shd w:val="clear" w:color="auto" w:fill="C5E0B3" w:themeFill="accent6" w:themeFillTint="66"/>
          </w:tcPr>
          <w:p w14:paraId="00D18CD0" w14:textId="6A07BF93" w:rsidR="005B005D" w:rsidRPr="00CF1F55" w:rsidRDefault="005B005D"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3.5.5.1</w:t>
            </w:r>
            <w:r w:rsidR="00707E1B">
              <w:rPr>
                <w:rFonts w:ascii="Arial" w:hAnsi="Arial" w:cs="Arial"/>
                <w:b/>
                <w:bCs/>
                <w:sz w:val="20"/>
              </w:rPr>
              <w:t>.</w:t>
            </w:r>
          </w:p>
        </w:tc>
      </w:tr>
    </w:tbl>
    <w:p w14:paraId="410FDFCF" w14:textId="77777777" w:rsidR="00657C22" w:rsidRPr="00657C22" w:rsidRDefault="00657C22" w:rsidP="00F46FEB">
      <w:pPr>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771DF57C" w14:textId="77777777" w:rsidTr="006010C0">
        <w:tc>
          <w:tcPr>
            <w:tcW w:w="9071" w:type="dxa"/>
            <w:tcBorders>
              <w:bottom w:val="nil"/>
            </w:tcBorders>
            <w:shd w:val="clear" w:color="auto" w:fill="000000" w:themeFill="text1"/>
          </w:tcPr>
          <w:p w14:paraId="4C80E441" w14:textId="440967DE"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7</w:t>
            </w:r>
          </w:p>
          <w:p w14:paraId="6CB50216" w14:textId="228B3994" w:rsidR="00B97558" w:rsidRPr="002251EE" w:rsidRDefault="00B97558" w:rsidP="006010C0">
            <w:pPr>
              <w:jc w:val="center"/>
              <w:rPr>
                <w:rFonts w:ascii="Arial" w:hAnsi="Arial" w:cs="Arial"/>
                <w:b/>
                <w:bCs/>
                <w:sz w:val="20"/>
              </w:rPr>
            </w:pPr>
            <w:r>
              <w:rPr>
                <w:rFonts w:ascii="Arial" w:hAnsi="Arial" w:cs="Arial"/>
                <w:b/>
                <w:bCs/>
                <w:sz w:val="20"/>
              </w:rPr>
              <w:t>Admission of recorded evidence of complainant (other than a complainant whose evidence has been taken at a special hearing under Division 6) given in a trial for sexual offences</w:t>
            </w:r>
            <w:r w:rsidR="00814753">
              <w:rPr>
                <w:rFonts w:ascii="Arial" w:hAnsi="Arial" w:cs="Arial"/>
                <w:b/>
                <w:bCs/>
                <w:sz w:val="20"/>
              </w:rPr>
              <w:t>.</w:t>
            </w:r>
          </w:p>
        </w:tc>
      </w:tr>
      <w:tr w:rsidR="00707E1B" w14:paraId="4FFD0859" w14:textId="77777777" w:rsidTr="006010C0">
        <w:tc>
          <w:tcPr>
            <w:tcW w:w="9071" w:type="dxa"/>
            <w:shd w:val="clear" w:color="auto" w:fill="C5E0B3" w:themeFill="accent6" w:themeFillTint="66"/>
          </w:tcPr>
          <w:p w14:paraId="45EA7E53" w14:textId="464D6270" w:rsidR="00707E1B" w:rsidRPr="00CF1F55" w:rsidRDefault="00707E1B"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3.5.5.2.</w:t>
            </w:r>
          </w:p>
        </w:tc>
      </w:tr>
    </w:tbl>
    <w:p w14:paraId="3B3DFE16" w14:textId="77777777" w:rsidR="008F781E" w:rsidRPr="00657C22" w:rsidRDefault="008F781E" w:rsidP="008F781E">
      <w:pPr>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53373736" w14:textId="77777777" w:rsidTr="006010C0">
        <w:tc>
          <w:tcPr>
            <w:tcW w:w="9071" w:type="dxa"/>
            <w:tcBorders>
              <w:bottom w:val="nil"/>
            </w:tcBorders>
            <w:shd w:val="clear" w:color="auto" w:fill="000000" w:themeFill="text1"/>
          </w:tcPr>
          <w:p w14:paraId="6F86C8E2" w14:textId="38FBDF4F"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7A</w:t>
            </w:r>
          </w:p>
          <w:p w14:paraId="72737AB4" w14:textId="522CB3B0" w:rsidR="00B97558" w:rsidRPr="002251EE" w:rsidRDefault="00B97558" w:rsidP="006010C0">
            <w:pPr>
              <w:jc w:val="center"/>
              <w:rPr>
                <w:rFonts w:ascii="Arial" w:hAnsi="Arial" w:cs="Arial"/>
                <w:b/>
                <w:bCs/>
                <w:sz w:val="20"/>
              </w:rPr>
            </w:pPr>
            <w:r>
              <w:rPr>
                <w:rFonts w:ascii="Arial" w:hAnsi="Arial" w:cs="Arial"/>
                <w:b/>
                <w:bCs/>
                <w:sz w:val="20"/>
              </w:rPr>
              <w:t>Admission of recorded evidence of complainant given in a summary hearing by the Children’s Court of certain sexual offences</w:t>
            </w:r>
            <w:r w:rsidR="00814753">
              <w:rPr>
                <w:rFonts w:ascii="Arial" w:hAnsi="Arial" w:cs="Arial"/>
                <w:b/>
                <w:bCs/>
                <w:sz w:val="20"/>
              </w:rPr>
              <w:t>.</w:t>
            </w:r>
          </w:p>
        </w:tc>
      </w:tr>
      <w:tr w:rsidR="00FE7228" w14:paraId="2BE73A67" w14:textId="77777777" w:rsidTr="00FE7228">
        <w:tblPrEx>
          <w:tblBorders>
            <w:insideH w:val="single" w:sz="4" w:space="0" w:color="auto"/>
            <w:insideV w:val="single" w:sz="4" w:space="0" w:color="auto"/>
          </w:tblBorders>
        </w:tblPrEx>
        <w:tc>
          <w:tcPr>
            <w:tcW w:w="9071" w:type="dxa"/>
            <w:shd w:val="clear" w:color="auto" w:fill="C5E0B3" w:themeFill="accent6" w:themeFillTint="66"/>
          </w:tcPr>
          <w:p w14:paraId="555EAB87" w14:textId="77777777" w:rsidR="00FE7228" w:rsidRPr="00CF1F55" w:rsidRDefault="00FE7228"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3.5.5.2.</w:t>
            </w:r>
          </w:p>
        </w:tc>
      </w:tr>
    </w:tbl>
    <w:p w14:paraId="1733AD39" w14:textId="77777777" w:rsidR="008F781E" w:rsidRPr="00657C22" w:rsidRDefault="008F781E" w:rsidP="008F781E">
      <w:pPr>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05400A9D" w14:textId="77777777" w:rsidTr="006010C0">
        <w:tc>
          <w:tcPr>
            <w:tcW w:w="9071" w:type="dxa"/>
            <w:tcBorders>
              <w:bottom w:val="nil"/>
            </w:tcBorders>
            <w:shd w:val="clear" w:color="auto" w:fill="000000" w:themeFill="text1"/>
          </w:tcPr>
          <w:p w14:paraId="01D01F5A" w14:textId="3F279553" w:rsidR="00B97558" w:rsidRDefault="00B97558" w:rsidP="00BD4176">
            <w:pPr>
              <w:keepNext/>
              <w:keepLines/>
              <w:jc w:val="center"/>
              <w:rPr>
                <w:rFonts w:ascii="Arial" w:hAnsi="Arial" w:cs="Arial"/>
                <w:b/>
                <w:bCs/>
                <w:sz w:val="20"/>
              </w:rPr>
            </w:pPr>
            <w:r w:rsidRPr="00C31AA5">
              <w:rPr>
                <w:rFonts w:ascii="Arial" w:hAnsi="Arial" w:cs="Arial"/>
                <w:b/>
                <w:bCs/>
                <w:color w:val="000000" w:themeColor="text1"/>
                <w:sz w:val="20"/>
                <w:shd w:val="clear" w:color="auto" w:fill="FFFF00"/>
              </w:rPr>
              <w:t>Part 8.2 Division 7B</w:t>
            </w:r>
          </w:p>
          <w:p w14:paraId="3748F732" w14:textId="17F6475F" w:rsidR="00B97558" w:rsidRPr="002251EE" w:rsidRDefault="00B97558" w:rsidP="006010C0">
            <w:pPr>
              <w:jc w:val="center"/>
              <w:rPr>
                <w:rFonts w:ascii="Arial" w:hAnsi="Arial" w:cs="Arial"/>
                <w:b/>
                <w:bCs/>
                <w:sz w:val="20"/>
              </w:rPr>
            </w:pPr>
            <w:r>
              <w:rPr>
                <w:rFonts w:ascii="Arial" w:hAnsi="Arial" w:cs="Arial"/>
                <w:b/>
                <w:bCs/>
                <w:sz w:val="20"/>
              </w:rPr>
              <w:t>Admission of recorded evidence-in-chief of complainant in family violence offence proceedings</w:t>
            </w:r>
            <w:r w:rsidR="00814753">
              <w:rPr>
                <w:rFonts w:ascii="Arial" w:hAnsi="Arial" w:cs="Arial"/>
                <w:b/>
                <w:bCs/>
                <w:sz w:val="20"/>
              </w:rPr>
              <w:t>.</w:t>
            </w:r>
          </w:p>
        </w:tc>
      </w:tr>
      <w:tr w:rsidR="00B97558" w14:paraId="73F2F109" w14:textId="77777777" w:rsidTr="00B97558">
        <w:tblPrEx>
          <w:tblBorders>
            <w:insideH w:val="single" w:sz="4" w:space="0" w:color="auto"/>
            <w:insideV w:val="single" w:sz="4" w:space="0" w:color="auto"/>
          </w:tblBorders>
        </w:tblPrEx>
        <w:tc>
          <w:tcPr>
            <w:tcW w:w="9071" w:type="dxa"/>
            <w:shd w:val="clear" w:color="auto" w:fill="C5E0B3" w:themeFill="accent6" w:themeFillTint="66"/>
          </w:tcPr>
          <w:p w14:paraId="29EC93E8" w14:textId="77777777" w:rsidR="00B97558" w:rsidRPr="00CF1F55" w:rsidRDefault="00B97558"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3.5.5.2.</w:t>
            </w:r>
          </w:p>
        </w:tc>
      </w:tr>
    </w:tbl>
    <w:p w14:paraId="57616DB9" w14:textId="77777777" w:rsidR="00657C22" w:rsidRPr="00657C22" w:rsidRDefault="00657C22" w:rsidP="00F46FEB">
      <w:pPr>
        <w:rPr>
          <w:rFonts w:ascii="Arial" w:hAnsi="Arial" w:cs="Arial"/>
          <w:sz w:val="20"/>
        </w:rPr>
      </w:pPr>
    </w:p>
    <w:p w14:paraId="1958109A" w14:textId="4BA25841" w:rsidR="00B21DA4" w:rsidRDefault="00EE5B6C" w:rsidP="00212E60">
      <w:pPr>
        <w:pStyle w:val="Heading3"/>
        <w:keepNext/>
        <w:spacing w:after="120" w:line="240" w:lineRule="auto"/>
        <w:rPr>
          <w:rFonts w:ascii="Arial" w:hAnsi="Arial" w:cs="Arial"/>
          <w:b/>
          <w:bCs/>
          <w:sz w:val="20"/>
        </w:rPr>
      </w:pPr>
      <w:r>
        <w:rPr>
          <w:rFonts w:ascii="Arial" w:hAnsi="Arial" w:cs="Arial"/>
          <w:b/>
          <w:bCs/>
          <w:sz w:val="20"/>
        </w:rPr>
        <w:lastRenderedPageBreak/>
        <w:t>3.5.5</w:t>
      </w:r>
      <w:r>
        <w:rPr>
          <w:rFonts w:ascii="Arial" w:hAnsi="Arial" w:cs="Arial"/>
          <w:b/>
          <w:bCs/>
          <w:sz w:val="20"/>
        </w:rPr>
        <w:tab/>
      </w:r>
      <w:r w:rsidR="00520380">
        <w:rPr>
          <w:rFonts w:ascii="Arial" w:hAnsi="Arial" w:cs="Arial"/>
          <w:b/>
          <w:bCs/>
          <w:sz w:val="20"/>
        </w:rPr>
        <w:t>Use of recorded evidence</w:t>
      </w:r>
      <w:r>
        <w:rPr>
          <w:rFonts w:ascii="Arial" w:hAnsi="Arial" w:cs="Arial"/>
          <w:b/>
          <w:bCs/>
          <w:sz w:val="20"/>
        </w:rPr>
        <w:t xml:space="preserve"> </w:t>
      </w:r>
      <w:r w:rsidR="00747350" w:rsidRPr="00F65EB1">
        <w:rPr>
          <w:rFonts w:ascii="Arial" w:hAnsi="Arial" w:cs="Arial"/>
          <w:b/>
          <w:bCs/>
          <w:color w:val="000000"/>
          <w:sz w:val="20"/>
        </w:rPr>
        <w:t>[VARE]</w:t>
      </w:r>
      <w:r w:rsidR="00747350">
        <w:rPr>
          <w:rFonts w:ascii="Arial" w:hAnsi="Arial" w:cs="Arial"/>
          <w:b/>
          <w:bCs/>
          <w:sz w:val="20"/>
        </w:rPr>
        <w:t xml:space="preserve"> </w:t>
      </w:r>
      <w:r>
        <w:rPr>
          <w:rFonts w:ascii="Arial" w:hAnsi="Arial" w:cs="Arial"/>
          <w:b/>
          <w:bCs/>
          <w:sz w:val="20"/>
        </w:rPr>
        <w:t xml:space="preserve">in </w:t>
      </w:r>
      <w:r w:rsidR="00122115">
        <w:rPr>
          <w:rFonts w:ascii="Arial" w:hAnsi="Arial" w:cs="Arial"/>
          <w:b/>
          <w:bCs/>
          <w:sz w:val="20"/>
        </w:rPr>
        <w:t xml:space="preserve">certain </w:t>
      </w:r>
      <w:r w:rsidR="00B21DA4">
        <w:rPr>
          <w:rFonts w:ascii="Arial" w:hAnsi="Arial" w:cs="Arial"/>
          <w:b/>
          <w:bCs/>
          <w:sz w:val="20"/>
        </w:rPr>
        <w:t xml:space="preserve">criminal </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r w:rsidR="00122115">
        <w:rPr>
          <w:rFonts w:ascii="Arial" w:hAnsi="Arial" w:cs="Arial"/>
          <w:b/>
          <w:bCs/>
          <w:sz w:val="20"/>
        </w:rPr>
        <w:t>cases</w:t>
      </w:r>
    </w:p>
    <w:p w14:paraId="6281B4B8" w14:textId="6D5E5056" w:rsidR="00122115" w:rsidRDefault="00122115" w:rsidP="00122115">
      <w:pPr>
        <w:jc w:val="both"/>
        <w:rPr>
          <w:rFonts w:ascii="Arial" w:hAnsi="Arial" w:cs="Arial"/>
          <w:sz w:val="20"/>
        </w:rPr>
      </w:pPr>
      <w:r>
        <w:rPr>
          <w:rFonts w:ascii="Arial" w:hAnsi="Arial" w:cs="Arial"/>
          <w:sz w:val="20"/>
        </w:rPr>
        <w:t xml:space="preserve">The </w:t>
      </w:r>
      <w:r w:rsidRPr="0058675C">
        <w:rPr>
          <w:rFonts w:ascii="Arial" w:hAnsi="Arial" w:cs="Arial"/>
          <w:i/>
          <w:iCs/>
          <w:sz w:val="20"/>
        </w:rPr>
        <w:t xml:space="preserve">Criminal Procedure Act 2009 </w:t>
      </w:r>
      <w:r>
        <w:rPr>
          <w:rFonts w:ascii="Arial" w:hAnsi="Arial" w:cs="Arial"/>
          <w:sz w:val="20"/>
        </w:rPr>
        <w:t xml:space="preserve">makes provision for the use of recorded evidence in </w:t>
      </w:r>
      <w:r w:rsidR="00FE10D4">
        <w:rPr>
          <w:rFonts w:ascii="Arial" w:hAnsi="Arial" w:cs="Arial"/>
          <w:sz w:val="20"/>
        </w:rPr>
        <w:t>certain criminal cases</w:t>
      </w:r>
      <w:r w:rsidR="00481276">
        <w:rPr>
          <w:rFonts w:ascii="Arial" w:hAnsi="Arial" w:cs="Arial"/>
          <w:sz w:val="20"/>
        </w:rPr>
        <w:t>, some of which</w:t>
      </w:r>
      <w:r w:rsidR="00FE10D4">
        <w:rPr>
          <w:rFonts w:ascii="Arial" w:hAnsi="Arial" w:cs="Arial"/>
          <w:sz w:val="20"/>
        </w:rPr>
        <w:t xml:space="preserve"> involv</w:t>
      </w:r>
      <w:r w:rsidR="00481276">
        <w:rPr>
          <w:rFonts w:ascii="Arial" w:hAnsi="Arial" w:cs="Arial"/>
          <w:sz w:val="20"/>
        </w:rPr>
        <w:t>e</w:t>
      </w:r>
      <w:r w:rsidR="00FE10D4">
        <w:rPr>
          <w:rFonts w:ascii="Arial" w:hAnsi="Arial" w:cs="Arial"/>
          <w:sz w:val="20"/>
        </w:rPr>
        <w:t xml:space="preserve"> witnesses who are children or have a cognitive impairment or both.</w:t>
      </w:r>
      <w:r w:rsidR="00066CC5">
        <w:rPr>
          <w:rFonts w:ascii="Arial" w:hAnsi="Arial" w:cs="Arial"/>
          <w:sz w:val="20"/>
        </w:rPr>
        <w:t xml:space="preserve"> For</w:t>
      </w:r>
      <w:r w:rsidR="00B311A4">
        <w:rPr>
          <w:rFonts w:ascii="Arial" w:hAnsi="Arial" w:cs="Arial"/>
          <w:sz w:val="20"/>
        </w:rPr>
        <w:t> </w:t>
      </w:r>
      <w:r w:rsidR="00066CC5">
        <w:rPr>
          <w:rFonts w:ascii="Arial" w:hAnsi="Arial" w:cs="Arial"/>
          <w:sz w:val="20"/>
        </w:rPr>
        <w:t>the</w:t>
      </w:r>
      <w:r w:rsidR="00B311A4">
        <w:rPr>
          <w:rFonts w:ascii="Arial" w:hAnsi="Arial" w:cs="Arial"/>
          <w:sz w:val="20"/>
        </w:rPr>
        <w:t> </w:t>
      </w:r>
      <w:r w:rsidR="00066CC5">
        <w:rPr>
          <w:rFonts w:ascii="Arial" w:hAnsi="Arial" w:cs="Arial"/>
          <w:sz w:val="20"/>
        </w:rPr>
        <w:t xml:space="preserve">purposes of the following </w:t>
      </w:r>
      <w:r w:rsidR="00BA5B6D">
        <w:rPr>
          <w:rFonts w:ascii="Arial" w:hAnsi="Arial" w:cs="Arial"/>
          <w:sz w:val="20"/>
        </w:rPr>
        <w:t>subsections</w:t>
      </w:r>
      <w:r w:rsidR="00066CC5">
        <w:rPr>
          <w:rFonts w:ascii="Arial" w:hAnsi="Arial" w:cs="Arial"/>
          <w:sz w:val="20"/>
        </w:rPr>
        <w:t>, “sexual offence” is defined in s.</w:t>
      </w:r>
      <w:r w:rsidR="00EE2F17">
        <w:rPr>
          <w:rFonts w:ascii="Arial" w:hAnsi="Arial" w:cs="Arial"/>
          <w:sz w:val="20"/>
        </w:rPr>
        <w:t>4(1)</w:t>
      </w:r>
      <w:r w:rsidR="00066CC5">
        <w:rPr>
          <w:rFonts w:ascii="Arial" w:hAnsi="Arial" w:cs="Arial"/>
          <w:sz w:val="20"/>
        </w:rPr>
        <w:t xml:space="preserve"> of that Act as</w:t>
      </w:r>
      <w:r w:rsidR="00DD0DA0" w:rsidRPr="00A31FFA">
        <w:rPr>
          <w:rFonts w:ascii="Arial" w:hAnsi="Arial" w:cs="Arial"/>
          <w:sz w:val="20"/>
        </w:rPr>
        <w:t>–</w:t>
      </w:r>
    </w:p>
    <w:p w14:paraId="20D2CF28" w14:textId="473A58BF" w:rsidR="00F21B68" w:rsidRDefault="00066CC5" w:rsidP="00D772F0">
      <w:pPr>
        <w:numPr>
          <w:ilvl w:val="0"/>
          <w:numId w:val="22"/>
        </w:numPr>
        <w:tabs>
          <w:tab w:val="clear" w:pos="720"/>
        </w:tabs>
        <w:ind w:left="357" w:hanging="357"/>
        <w:jc w:val="both"/>
        <w:rPr>
          <w:rFonts w:ascii="Arial" w:hAnsi="Arial" w:cs="Arial"/>
          <w:sz w:val="20"/>
        </w:rPr>
      </w:pPr>
      <w:r w:rsidRPr="00066CC5">
        <w:rPr>
          <w:rFonts w:ascii="Arial" w:hAnsi="Arial" w:cs="Arial"/>
          <w:sz w:val="20"/>
        </w:rPr>
        <w:t xml:space="preserve">an offence </w:t>
      </w:r>
      <w:r w:rsidR="00F21B68">
        <w:rPr>
          <w:rFonts w:ascii="Arial" w:hAnsi="Arial" w:cs="Arial"/>
          <w:sz w:val="20"/>
        </w:rPr>
        <w:t>against</w:t>
      </w:r>
      <w:r w:rsidR="00DD0DA0" w:rsidRPr="00A31FFA">
        <w:rPr>
          <w:rFonts w:ascii="Arial" w:hAnsi="Arial" w:cs="Arial"/>
          <w:sz w:val="20"/>
        </w:rPr>
        <w:t>–</w:t>
      </w:r>
    </w:p>
    <w:p w14:paraId="107E90B2" w14:textId="7671DDE8" w:rsidR="00F21B68" w:rsidRDefault="00F21B68">
      <w:pPr>
        <w:pStyle w:val="ListParagraph"/>
        <w:numPr>
          <w:ilvl w:val="0"/>
          <w:numId w:val="66"/>
        </w:numPr>
        <w:ind w:left="811" w:hanging="454"/>
        <w:jc w:val="both"/>
        <w:rPr>
          <w:rFonts w:ascii="Arial" w:hAnsi="Arial" w:cs="Arial"/>
          <w:sz w:val="20"/>
        </w:rPr>
      </w:pPr>
      <w:r>
        <w:rPr>
          <w:rFonts w:ascii="Arial" w:hAnsi="Arial" w:cs="Arial"/>
          <w:sz w:val="20"/>
        </w:rPr>
        <w:t xml:space="preserve">a provision of </w:t>
      </w:r>
      <w:r w:rsidRPr="00066CC5">
        <w:rPr>
          <w:rFonts w:ascii="Arial" w:hAnsi="Arial" w:cs="Arial"/>
          <w:sz w:val="20"/>
        </w:rPr>
        <w:t>Subdivision (8A), (8B), (8C), (8D), (8E)</w:t>
      </w:r>
      <w:r>
        <w:rPr>
          <w:rFonts w:ascii="Arial" w:hAnsi="Arial" w:cs="Arial"/>
          <w:sz w:val="20"/>
        </w:rPr>
        <w:t>, (8F)</w:t>
      </w:r>
      <w:r w:rsidRPr="00066CC5">
        <w:rPr>
          <w:rFonts w:ascii="Arial" w:hAnsi="Arial" w:cs="Arial"/>
          <w:sz w:val="20"/>
        </w:rPr>
        <w:t xml:space="preserve"> or (8</w:t>
      </w:r>
      <w:r>
        <w:rPr>
          <w:rFonts w:ascii="Arial" w:hAnsi="Arial" w:cs="Arial"/>
          <w:sz w:val="20"/>
        </w:rPr>
        <w:t>F</w:t>
      </w:r>
      <w:r w:rsidRPr="00066CC5">
        <w:rPr>
          <w:rFonts w:ascii="Arial" w:hAnsi="Arial" w:cs="Arial"/>
          <w:sz w:val="20"/>
        </w:rPr>
        <w:t xml:space="preserve">A) of Division 1 of Part I of the </w:t>
      </w:r>
      <w:r w:rsidRPr="0058675C">
        <w:rPr>
          <w:rFonts w:ascii="Arial" w:hAnsi="Arial" w:cs="Arial"/>
          <w:i/>
          <w:iCs/>
          <w:sz w:val="20"/>
        </w:rPr>
        <w:t>Crimes Act 1958</w:t>
      </w:r>
      <w:r w:rsidRPr="00F21B68">
        <w:rPr>
          <w:rFonts w:ascii="Arial" w:hAnsi="Arial" w:cs="Arial"/>
          <w:sz w:val="20"/>
        </w:rPr>
        <w:t>; or</w:t>
      </w:r>
    </w:p>
    <w:p w14:paraId="095B126F" w14:textId="4AA5D17A" w:rsidR="00F21B68" w:rsidRDefault="00F21B68">
      <w:pPr>
        <w:pStyle w:val="ListParagraph"/>
        <w:numPr>
          <w:ilvl w:val="0"/>
          <w:numId w:val="66"/>
        </w:numPr>
        <w:ind w:left="811" w:hanging="454"/>
        <w:jc w:val="both"/>
        <w:rPr>
          <w:rFonts w:ascii="Arial" w:hAnsi="Arial" w:cs="Arial"/>
          <w:sz w:val="20"/>
        </w:rPr>
      </w:pPr>
      <w:r>
        <w:rPr>
          <w:rFonts w:ascii="Arial" w:hAnsi="Arial" w:cs="Arial"/>
          <w:sz w:val="20"/>
        </w:rPr>
        <w:t xml:space="preserve">s.327(2) (failure to disclose a sexual offence committed against a child under the age of 16 years) </w:t>
      </w:r>
      <w:r w:rsidRPr="00066CC5">
        <w:rPr>
          <w:rFonts w:ascii="Arial" w:hAnsi="Arial" w:cs="Arial"/>
          <w:sz w:val="20"/>
        </w:rPr>
        <w:t xml:space="preserve">of the </w:t>
      </w:r>
      <w:r w:rsidRPr="0058675C">
        <w:rPr>
          <w:rFonts w:ascii="Arial" w:hAnsi="Arial" w:cs="Arial"/>
          <w:i/>
          <w:iCs/>
          <w:sz w:val="20"/>
        </w:rPr>
        <w:t>Crimes Act 1958</w:t>
      </w:r>
      <w:r w:rsidRPr="00F21B68">
        <w:rPr>
          <w:rFonts w:ascii="Arial" w:hAnsi="Arial" w:cs="Arial"/>
          <w:sz w:val="20"/>
        </w:rPr>
        <w:t>; or</w:t>
      </w:r>
    </w:p>
    <w:p w14:paraId="5662220A" w14:textId="4683845A" w:rsidR="00F21B68" w:rsidRPr="00F21B68" w:rsidRDefault="00F21B68">
      <w:pPr>
        <w:pStyle w:val="ListParagraph"/>
        <w:numPr>
          <w:ilvl w:val="0"/>
          <w:numId w:val="66"/>
        </w:numPr>
        <w:ind w:left="811" w:hanging="454"/>
        <w:jc w:val="both"/>
        <w:rPr>
          <w:rFonts w:ascii="Arial" w:hAnsi="Arial" w:cs="Arial"/>
          <w:sz w:val="20"/>
        </w:rPr>
      </w:pPr>
      <w:r>
        <w:rPr>
          <w:rFonts w:ascii="Arial" w:hAnsi="Arial" w:cs="Arial"/>
          <w:sz w:val="20"/>
        </w:rPr>
        <w:t xml:space="preserve">ss.5(1), 6(1), 7(1), 8(1), 9(1) or 11(1) of the </w:t>
      </w:r>
      <w:r w:rsidRPr="0058675C">
        <w:rPr>
          <w:rFonts w:ascii="Arial" w:hAnsi="Arial" w:cs="Arial"/>
          <w:i/>
          <w:iCs/>
          <w:sz w:val="20"/>
        </w:rPr>
        <w:t>Sex Work Act 1994</w:t>
      </w:r>
      <w:r w:rsidRPr="00F21B68">
        <w:rPr>
          <w:rFonts w:ascii="Arial" w:hAnsi="Arial" w:cs="Arial"/>
          <w:sz w:val="20"/>
        </w:rPr>
        <w:t>;</w:t>
      </w:r>
      <w:r>
        <w:rPr>
          <w:rFonts w:ascii="Arial" w:hAnsi="Arial" w:cs="Arial"/>
          <w:sz w:val="20"/>
        </w:rPr>
        <w:t xml:space="preserve"> </w:t>
      </w:r>
    </w:p>
    <w:p w14:paraId="24FED4D8" w14:textId="4A3C8039" w:rsidR="00122115" w:rsidRDefault="00F21B68" w:rsidP="00D772F0">
      <w:pPr>
        <w:numPr>
          <w:ilvl w:val="0"/>
          <w:numId w:val="22"/>
        </w:numPr>
        <w:tabs>
          <w:tab w:val="clear" w:pos="720"/>
        </w:tabs>
        <w:ind w:left="357" w:hanging="357"/>
        <w:jc w:val="both"/>
        <w:rPr>
          <w:rFonts w:ascii="Arial" w:hAnsi="Arial" w:cs="Arial"/>
          <w:sz w:val="20"/>
        </w:rPr>
      </w:pPr>
      <w:r>
        <w:rPr>
          <w:rFonts w:ascii="Arial" w:hAnsi="Arial" w:cs="Arial"/>
          <w:sz w:val="20"/>
        </w:rPr>
        <w:t>an offence an element of which involves</w:t>
      </w:r>
      <w:r w:rsidR="00DD0DA0" w:rsidRPr="00A31FFA">
        <w:rPr>
          <w:rFonts w:ascii="Arial" w:hAnsi="Arial" w:cs="Arial"/>
          <w:sz w:val="20"/>
        </w:rPr>
        <w:t>–</w:t>
      </w:r>
    </w:p>
    <w:p w14:paraId="20C86CD6" w14:textId="633C2B19"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any person engaging in sexual activity; or</w:t>
      </w:r>
    </w:p>
    <w:p w14:paraId="164E543F" w14:textId="0A7C2C61"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any person taking part in a sexual act; or</w:t>
      </w:r>
    </w:p>
    <w:p w14:paraId="58BF4D2B" w14:textId="6CC2E6A5"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commercial sexual services; or</w:t>
      </w:r>
    </w:p>
    <w:p w14:paraId="0C17485F" w14:textId="2B42C4D4"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a sexual performance involving a child;</w:t>
      </w:r>
    </w:p>
    <w:p w14:paraId="5F38241B" w14:textId="134F5A11" w:rsidR="00066CC5" w:rsidRDefault="00066CC5" w:rsidP="00D772F0">
      <w:pPr>
        <w:numPr>
          <w:ilvl w:val="0"/>
          <w:numId w:val="22"/>
        </w:numPr>
        <w:tabs>
          <w:tab w:val="clear" w:pos="720"/>
        </w:tabs>
        <w:ind w:left="357" w:hanging="357"/>
        <w:jc w:val="both"/>
        <w:rPr>
          <w:rFonts w:ascii="Arial" w:hAnsi="Arial" w:cs="Arial"/>
          <w:sz w:val="20"/>
        </w:rPr>
      </w:pPr>
      <w:r w:rsidRPr="00066CC5">
        <w:rPr>
          <w:rFonts w:ascii="Arial" w:hAnsi="Arial" w:cs="Arial"/>
          <w:sz w:val="20"/>
        </w:rPr>
        <w:t xml:space="preserve">an </w:t>
      </w:r>
      <w:r w:rsidR="00F21B68">
        <w:rPr>
          <w:rFonts w:ascii="Arial" w:hAnsi="Arial" w:cs="Arial"/>
          <w:sz w:val="20"/>
        </w:rPr>
        <w:t>offence an element of which involves</w:t>
      </w:r>
      <w:r w:rsidR="00DD0DA0" w:rsidRPr="00A31FFA">
        <w:rPr>
          <w:rFonts w:ascii="Arial" w:hAnsi="Arial" w:cs="Arial"/>
          <w:sz w:val="20"/>
        </w:rPr>
        <w:t>–</w:t>
      </w:r>
    </w:p>
    <w:p w14:paraId="32C90B81" w14:textId="1AEAAC7E" w:rsidR="00F21B68" w:rsidRDefault="00F21B68">
      <w:pPr>
        <w:pStyle w:val="ListParagraph"/>
        <w:numPr>
          <w:ilvl w:val="0"/>
          <w:numId w:val="68"/>
        </w:numPr>
        <w:ind w:left="811" w:hanging="454"/>
        <w:jc w:val="both"/>
        <w:rPr>
          <w:rFonts w:ascii="Arial" w:hAnsi="Arial" w:cs="Arial"/>
          <w:sz w:val="20"/>
        </w:rPr>
      </w:pPr>
      <w:r>
        <w:rPr>
          <w:rFonts w:ascii="Arial" w:hAnsi="Arial" w:cs="Arial"/>
          <w:sz w:val="20"/>
        </w:rPr>
        <w:t>an</w:t>
      </w:r>
      <w:r w:rsidR="0065371A">
        <w:rPr>
          <w:rFonts w:ascii="Arial" w:hAnsi="Arial" w:cs="Arial"/>
          <w:sz w:val="20"/>
        </w:rPr>
        <w:t xml:space="preserve"> intention that any of the conduct referred to </w:t>
      </w:r>
      <w:r w:rsidR="004078C3">
        <w:rPr>
          <w:rFonts w:ascii="Arial" w:hAnsi="Arial" w:cs="Arial"/>
          <w:sz w:val="20"/>
        </w:rPr>
        <w:t>in paragraph (b) is to occur</w:t>
      </w:r>
      <w:r>
        <w:rPr>
          <w:rFonts w:ascii="Arial" w:hAnsi="Arial" w:cs="Arial"/>
          <w:sz w:val="20"/>
        </w:rPr>
        <w:t>; or</w:t>
      </w:r>
    </w:p>
    <w:p w14:paraId="65CB1101" w14:textId="454C4E70" w:rsidR="00F21B68" w:rsidRDefault="004078C3">
      <w:pPr>
        <w:pStyle w:val="ListParagraph"/>
        <w:numPr>
          <w:ilvl w:val="0"/>
          <w:numId w:val="68"/>
        </w:numPr>
        <w:ind w:left="811" w:hanging="454"/>
        <w:jc w:val="both"/>
        <w:rPr>
          <w:rFonts w:ascii="Arial" w:hAnsi="Arial" w:cs="Arial"/>
          <w:sz w:val="20"/>
        </w:rPr>
      </w:pPr>
      <w:r>
        <w:rPr>
          <w:rFonts w:ascii="Arial" w:hAnsi="Arial" w:cs="Arial"/>
          <w:sz w:val="20"/>
        </w:rPr>
        <w:t>soliciting, procuring, enabling or threatening any of the conduct referred to in paragraph (b)</w:t>
      </w:r>
      <w:r w:rsidR="00F21B68">
        <w:rPr>
          <w:rFonts w:ascii="Arial" w:hAnsi="Arial" w:cs="Arial"/>
          <w:sz w:val="20"/>
        </w:rPr>
        <w:t>; or</w:t>
      </w:r>
    </w:p>
    <w:p w14:paraId="3A583598" w14:textId="16202C93" w:rsidR="00F21B68" w:rsidRDefault="004078C3">
      <w:pPr>
        <w:pStyle w:val="ListParagraph"/>
        <w:numPr>
          <w:ilvl w:val="0"/>
          <w:numId w:val="68"/>
        </w:numPr>
        <w:ind w:left="811" w:hanging="454"/>
        <w:jc w:val="both"/>
        <w:rPr>
          <w:rFonts w:ascii="Arial" w:hAnsi="Arial" w:cs="Arial"/>
          <w:sz w:val="20"/>
        </w:rPr>
      </w:pPr>
      <w:r>
        <w:rPr>
          <w:rFonts w:ascii="Arial" w:hAnsi="Arial" w:cs="Arial"/>
          <w:sz w:val="20"/>
        </w:rPr>
        <w:t>inducing or knowingly allowing a child to enter or remain on premises so that any of the conduct referred to in paragraph (b) may occur;</w:t>
      </w:r>
    </w:p>
    <w:p w14:paraId="07CDFE26" w14:textId="2AEA3CD4" w:rsidR="00066CC5" w:rsidRDefault="00066CC5" w:rsidP="00D772F0">
      <w:pPr>
        <w:numPr>
          <w:ilvl w:val="0"/>
          <w:numId w:val="22"/>
        </w:numPr>
        <w:tabs>
          <w:tab w:val="clear" w:pos="720"/>
        </w:tabs>
        <w:ind w:left="357" w:hanging="357"/>
        <w:jc w:val="both"/>
        <w:rPr>
          <w:rFonts w:ascii="Arial" w:hAnsi="Arial" w:cs="Arial"/>
          <w:sz w:val="20"/>
        </w:rPr>
      </w:pPr>
      <w:r w:rsidRPr="00066CC5">
        <w:rPr>
          <w:rFonts w:ascii="Arial" w:hAnsi="Arial" w:cs="Arial"/>
          <w:sz w:val="20"/>
        </w:rPr>
        <w:t xml:space="preserve">an </w:t>
      </w:r>
      <w:r w:rsidR="004078C3">
        <w:rPr>
          <w:rFonts w:ascii="Arial" w:hAnsi="Arial" w:cs="Arial"/>
          <w:sz w:val="20"/>
        </w:rPr>
        <w:t>offence an element of which involves child abuse material; or</w:t>
      </w:r>
    </w:p>
    <w:p w14:paraId="772C59C5" w14:textId="089B9042" w:rsidR="004078C3" w:rsidRDefault="004078C3" w:rsidP="00D772F0">
      <w:pPr>
        <w:numPr>
          <w:ilvl w:val="0"/>
          <w:numId w:val="22"/>
        </w:numPr>
        <w:tabs>
          <w:tab w:val="clear" w:pos="720"/>
        </w:tabs>
        <w:ind w:left="357" w:hanging="357"/>
        <w:jc w:val="both"/>
        <w:rPr>
          <w:rFonts w:ascii="Arial" w:hAnsi="Arial" w:cs="Arial"/>
          <w:sz w:val="20"/>
        </w:rPr>
      </w:pPr>
      <w:r>
        <w:rPr>
          <w:rFonts w:ascii="Arial" w:hAnsi="Arial" w:cs="Arial"/>
          <w:sz w:val="20"/>
        </w:rPr>
        <w:t>an offence an element of which involves indecency; or</w:t>
      </w:r>
    </w:p>
    <w:p w14:paraId="52F9DDB6" w14:textId="38AF17D8" w:rsidR="004078C3" w:rsidRDefault="004078C3" w:rsidP="00D772F0">
      <w:pPr>
        <w:numPr>
          <w:ilvl w:val="0"/>
          <w:numId w:val="22"/>
        </w:numPr>
        <w:tabs>
          <w:tab w:val="clear" w:pos="720"/>
        </w:tabs>
        <w:ind w:left="357" w:hanging="357"/>
        <w:jc w:val="both"/>
        <w:rPr>
          <w:rFonts w:ascii="Arial" w:hAnsi="Arial" w:cs="Arial"/>
          <w:sz w:val="20"/>
        </w:rPr>
      </w:pPr>
      <w:r>
        <w:rPr>
          <w:rFonts w:ascii="Arial" w:hAnsi="Arial" w:cs="Arial"/>
          <w:sz w:val="20"/>
        </w:rPr>
        <w:t>an offence of attempting to commit, or of incitement or conspiracy to commit, an offence referred to in paragraphs (a), (b), (c), (d) or (e); or</w:t>
      </w:r>
    </w:p>
    <w:p w14:paraId="6F14584B" w14:textId="567DB7CF" w:rsidR="004078C3" w:rsidRPr="00066CC5" w:rsidRDefault="004078C3" w:rsidP="00D772F0">
      <w:pPr>
        <w:numPr>
          <w:ilvl w:val="0"/>
          <w:numId w:val="22"/>
        </w:numPr>
        <w:tabs>
          <w:tab w:val="clear" w:pos="720"/>
        </w:tabs>
        <w:ind w:left="357" w:hanging="357"/>
        <w:jc w:val="both"/>
        <w:rPr>
          <w:rFonts w:ascii="Arial" w:hAnsi="Arial" w:cs="Arial"/>
          <w:sz w:val="20"/>
        </w:rPr>
      </w:pPr>
      <w:r>
        <w:rPr>
          <w:rFonts w:ascii="Arial" w:hAnsi="Arial" w:cs="Arial"/>
          <w:sz w:val="20"/>
        </w:rPr>
        <w:t xml:space="preserve">an offence against s.49C(2) (failure by a person in authority to protect child from sexual offence) of the </w:t>
      </w:r>
      <w:r w:rsidRPr="0058675C">
        <w:rPr>
          <w:rFonts w:ascii="Arial" w:hAnsi="Arial" w:cs="Arial"/>
          <w:i/>
          <w:iCs/>
          <w:sz w:val="20"/>
        </w:rPr>
        <w:t>Crimes Act 1958</w:t>
      </w:r>
      <w:r>
        <w:rPr>
          <w:rFonts w:ascii="Arial" w:hAnsi="Arial" w:cs="Arial"/>
          <w:sz w:val="20"/>
        </w:rPr>
        <w:t xml:space="preserve"> as in force before the commencement of s.16 of the </w:t>
      </w:r>
      <w:r w:rsidRPr="0058675C">
        <w:rPr>
          <w:rFonts w:ascii="Arial" w:hAnsi="Arial" w:cs="Arial"/>
          <w:i/>
          <w:iCs/>
          <w:sz w:val="20"/>
        </w:rPr>
        <w:t>Crimes Amendment (Sexual Offences) Act 2016</w:t>
      </w:r>
      <w:r>
        <w:rPr>
          <w:rFonts w:ascii="Arial" w:hAnsi="Arial" w:cs="Arial"/>
          <w:sz w:val="20"/>
        </w:rPr>
        <w:t>.</w:t>
      </w:r>
    </w:p>
    <w:p w14:paraId="049B9F39" w14:textId="017AC2BB" w:rsidR="00066CC5" w:rsidRDefault="00066CC5" w:rsidP="00122115">
      <w:pPr>
        <w:jc w:val="both"/>
        <w:rPr>
          <w:rFonts w:ascii="Arial" w:hAnsi="Arial" w:cs="Arial"/>
          <w:color w:val="000000"/>
          <w:sz w:val="20"/>
        </w:rPr>
      </w:pPr>
    </w:p>
    <w:p w14:paraId="5D8D3522" w14:textId="15FFE2C8" w:rsidR="0090535E" w:rsidRDefault="0090535E" w:rsidP="00122115">
      <w:pPr>
        <w:jc w:val="both"/>
        <w:rPr>
          <w:rFonts w:ascii="Arial" w:hAnsi="Arial" w:cs="Arial"/>
          <w:color w:val="000000"/>
          <w:sz w:val="20"/>
        </w:rPr>
      </w:pPr>
      <w:r>
        <w:rPr>
          <w:rFonts w:ascii="Arial" w:hAnsi="Arial" w:cs="Arial"/>
          <w:color w:val="000000"/>
          <w:sz w:val="20"/>
        </w:rPr>
        <w:t xml:space="preserve">See also s.368A </w:t>
      </w:r>
      <w:r w:rsidR="009B2C8B">
        <w:rPr>
          <w:rFonts w:ascii="Arial" w:hAnsi="Arial" w:cs="Arial"/>
          <w:color w:val="000000"/>
          <w:sz w:val="20"/>
        </w:rPr>
        <w:t xml:space="preserve">&amp; </w:t>
      </w:r>
      <w:r w:rsidR="00036D92">
        <w:rPr>
          <w:rFonts w:ascii="Arial" w:hAnsi="Arial" w:cs="Arial"/>
          <w:color w:val="000000"/>
          <w:sz w:val="20"/>
        </w:rPr>
        <w:t>ss.</w:t>
      </w:r>
      <w:r w:rsidR="009B2C8B">
        <w:rPr>
          <w:rFonts w:ascii="Arial" w:hAnsi="Arial" w:cs="Arial"/>
          <w:color w:val="000000"/>
          <w:sz w:val="20"/>
        </w:rPr>
        <w:t xml:space="preserve">387J-387K </w:t>
      </w:r>
      <w:r>
        <w:rPr>
          <w:rFonts w:ascii="Arial" w:hAnsi="Arial" w:cs="Arial"/>
          <w:color w:val="000000"/>
          <w:sz w:val="20"/>
        </w:rPr>
        <w:t xml:space="preserve">of the </w:t>
      </w:r>
      <w:r w:rsidRPr="0058675C">
        <w:rPr>
          <w:rFonts w:ascii="Arial" w:hAnsi="Arial" w:cs="Arial"/>
          <w:i/>
          <w:iCs/>
          <w:color w:val="000000"/>
          <w:sz w:val="20"/>
        </w:rPr>
        <w:t>Criminal Procedure Act 2009</w:t>
      </w:r>
      <w:r>
        <w:rPr>
          <w:rFonts w:ascii="Arial" w:hAnsi="Arial" w:cs="Arial"/>
          <w:color w:val="000000"/>
          <w:sz w:val="20"/>
        </w:rPr>
        <w:t xml:space="preserve"> and </w:t>
      </w:r>
      <w:r w:rsidRPr="00A975E6">
        <w:rPr>
          <w:rFonts w:ascii="Arial" w:hAnsi="Arial" w:cs="Arial"/>
          <w:b/>
          <w:bCs/>
          <w:color w:val="000000"/>
          <w:sz w:val="20"/>
          <w:shd w:val="clear" w:color="auto" w:fill="C5E0B3" w:themeFill="accent6" w:themeFillTint="66"/>
        </w:rPr>
        <w:t>section 3.5.8</w:t>
      </w:r>
      <w:r>
        <w:rPr>
          <w:rFonts w:ascii="Arial" w:hAnsi="Arial" w:cs="Arial"/>
          <w:color w:val="000000"/>
          <w:sz w:val="20"/>
        </w:rPr>
        <w:t xml:space="preserve"> below for a discussion of the use of recorded evidence in cases in the Family Division of the Children’s Court.</w:t>
      </w:r>
    </w:p>
    <w:p w14:paraId="1ECCDB0D" w14:textId="77777777" w:rsidR="0090535E" w:rsidRPr="00F65EB1" w:rsidRDefault="0090535E" w:rsidP="00122115">
      <w:pPr>
        <w:jc w:val="both"/>
        <w:rPr>
          <w:rFonts w:ascii="Arial" w:hAnsi="Arial" w:cs="Arial"/>
          <w:color w:val="000000"/>
          <w:sz w:val="20"/>
        </w:rPr>
      </w:pPr>
    </w:p>
    <w:p w14:paraId="6137EFA6" w14:textId="61E79C4A" w:rsidR="009E733E" w:rsidRPr="00F65EB1" w:rsidRDefault="009E733E" w:rsidP="009E733E">
      <w:pPr>
        <w:jc w:val="both"/>
        <w:rPr>
          <w:rFonts w:ascii="Arial" w:hAnsi="Arial" w:cs="Arial"/>
          <w:color w:val="000000"/>
          <w:sz w:val="20"/>
        </w:rPr>
      </w:pPr>
      <w:r w:rsidRPr="00F65EB1">
        <w:rPr>
          <w:rFonts w:ascii="Arial" w:hAnsi="Arial" w:cs="Arial"/>
          <w:color w:val="000000"/>
          <w:sz w:val="20"/>
        </w:rPr>
        <w:t xml:space="preserve">For a discussion about the VARE [Video and Audio Recorded Evidence] </w:t>
      </w:r>
      <w:r w:rsidR="006D4E0D" w:rsidRPr="00F65EB1">
        <w:rPr>
          <w:rFonts w:ascii="Arial" w:hAnsi="Arial" w:cs="Arial"/>
          <w:color w:val="000000"/>
          <w:sz w:val="20"/>
        </w:rPr>
        <w:t xml:space="preserve">rationale and </w:t>
      </w:r>
      <w:r w:rsidRPr="00F65EB1">
        <w:rPr>
          <w:rFonts w:ascii="Arial" w:hAnsi="Arial" w:cs="Arial"/>
          <w:color w:val="000000"/>
          <w:sz w:val="20"/>
        </w:rPr>
        <w:t>procedure</w:t>
      </w:r>
      <w:r w:rsidR="00747350" w:rsidRPr="00F65EB1">
        <w:rPr>
          <w:rFonts w:ascii="Arial" w:hAnsi="Arial" w:cs="Arial"/>
          <w:color w:val="000000"/>
          <w:sz w:val="20"/>
        </w:rPr>
        <w:t xml:space="preserve"> and about the reliability of child witnesses</w:t>
      </w:r>
      <w:r w:rsidR="00747350" w:rsidRPr="00F65EB1">
        <w:rPr>
          <w:rFonts w:ascii="Arial" w:hAnsi="Arial" w:cs="Arial"/>
          <w:color w:val="000000"/>
          <w:sz w:val="16"/>
        </w:rPr>
        <w:t xml:space="preserve"> </w:t>
      </w:r>
      <w:r w:rsidR="00747350" w:rsidRPr="00F65EB1">
        <w:rPr>
          <w:rFonts w:ascii="Arial" w:hAnsi="Arial" w:cs="Arial"/>
          <w:color w:val="000000"/>
          <w:sz w:val="20"/>
        </w:rPr>
        <w:t xml:space="preserve">generally, </w:t>
      </w:r>
      <w:r w:rsidRPr="00F65EB1">
        <w:rPr>
          <w:rFonts w:ascii="Arial" w:hAnsi="Arial" w:cs="Arial"/>
          <w:color w:val="000000"/>
          <w:sz w:val="20"/>
        </w:rPr>
        <w:t>see</w:t>
      </w:r>
      <w:r w:rsidR="00C31AA5">
        <w:rPr>
          <w:rFonts w:ascii="Arial" w:hAnsi="Arial" w:cs="Arial"/>
          <w:color w:val="000000"/>
          <w:sz w:val="20"/>
        </w:rPr>
        <w:t xml:space="preserve"> </w:t>
      </w:r>
      <w:r w:rsidRPr="00F65EB1">
        <w:rPr>
          <w:rFonts w:ascii="Arial" w:hAnsi="Arial" w:cs="Arial"/>
          <w:i/>
          <w:color w:val="000000"/>
          <w:sz w:val="20"/>
        </w:rPr>
        <w:t xml:space="preserve">Martin v The Queen </w:t>
      </w:r>
      <w:r w:rsidRPr="00F65EB1">
        <w:rPr>
          <w:rFonts w:ascii="Arial" w:hAnsi="Arial" w:cs="Arial"/>
          <w:color w:val="000000"/>
          <w:sz w:val="20"/>
        </w:rPr>
        <w:t>[2013] VSCA 377 at [20]-[58] per Redlich JA and at [3]-[</w:t>
      </w:r>
      <w:r w:rsidR="00187EBB" w:rsidRPr="00F65EB1">
        <w:rPr>
          <w:rFonts w:ascii="Arial" w:hAnsi="Arial" w:cs="Arial"/>
          <w:color w:val="000000"/>
          <w:sz w:val="20"/>
        </w:rPr>
        <w:t>5</w:t>
      </w:r>
      <w:r w:rsidRPr="00F65EB1">
        <w:rPr>
          <w:rFonts w:ascii="Arial" w:hAnsi="Arial" w:cs="Arial"/>
          <w:color w:val="000000"/>
          <w:sz w:val="20"/>
        </w:rPr>
        <w:t>] per Neave JA.</w:t>
      </w:r>
    </w:p>
    <w:p w14:paraId="39F19802" w14:textId="77777777" w:rsidR="009E733E" w:rsidRPr="00F65EB1" w:rsidRDefault="009E733E" w:rsidP="00122115">
      <w:pPr>
        <w:jc w:val="both"/>
        <w:rPr>
          <w:rFonts w:ascii="Arial" w:hAnsi="Arial" w:cs="Arial"/>
          <w:color w:val="000000"/>
          <w:sz w:val="20"/>
        </w:rPr>
      </w:pPr>
    </w:p>
    <w:p w14:paraId="0461635D" w14:textId="1C253288" w:rsidR="00FD5828" w:rsidRPr="009F25D4" w:rsidRDefault="00520380" w:rsidP="00C236AA">
      <w:pPr>
        <w:pStyle w:val="Heading3"/>
        <w:keepNext/>
        <w:keepLines/>
        <w:widowControl/>
        <w:spacing w:line="240" w:lineRule="auto"/>
        <w:rPr>
          <w:rFonts w:ascii="Arial" w:hAnsi="Arial" w:cs="Arial"/>
          <w:b/>
          <w:bCs/>
          <w:color w:val="000000"/>
          <w:sz w:val="20"/>
        </w:rPr>
      </w:pPr>
      <w:bookmarkStart w:id="704" w:name="_3.5.5.1_Evidence-in-chief_in"/>
      <w:bookmarkStart w:id="705" w:name="B3551"/>
      <w:bookmarkStart w:id="706" w:name="_3.5.5.1_Use_of"/>
      <w:bookmarkEnd w:id="704"/>
      <w:bookmarkEnd w:id="705"/>
      <w:bookmarkEnd w:id="706"/>
      <w:r w:rsidRPr="00520380">
        <w:rPr>
          <w:rFonts w:ascii="Arial" w:hAnsi="Arial" w:cs="Arial"/>
          <w:b/>
          <w:sz w:val="20"/>
        </w:rPr>
        <w:t>3.5.5.1</w:t>
      </w:r>
      <w:r w:rsidRPr="00520380">
        <w:rPr>
          <w:rFonts w:ascii="Arial" w:hAnsi="Arial" w:cs="Arial"/>
          <w:b/>
          <w:sz w:val="20"/>
        </w:rPr>
        <w:tab/>
      </w:r>
      <w:r w:rsidR="00120AA9">
        <w:rPr>
          <w:rFonts w:ascii="Arial" w:hAnsi="Arial" w:cs="Arial"/>
          <w:b/>
          <w:sz w:val="20"/>
        </w:rPr>
        <w:t>Use of recorded evidence-in-chief of a child or cognitively impaired witness</w:t>
      </w:r>
    </w:p>
    <w:p w14:paraId="272DAA13" w14:textId="7C9D6B57" w:rsidR="00E15762" w:rsidRDefault="00120AA9" w:rsidP="00120AA9">
      <w:pPr>
        <w:spacing w:before="120"/>
        <w:jc w:val="both"/>
        <w:rPr>
          <w:rFonts w:ascii="Arial" w:hAnsi="Arial" w:cs="Arial"/>
          <w:sz w:val="20"/>
        </w:rPr>
      </w:pPr>
      <w:r w:rsidRPr="00C31AA5">
        <w:rPr>
          <w:rFonts w:ascii="Arial" w:hAnsi="Arial" w:cs="Arial"/>
          <w:b/>
          <w:bCs/>
          <w:color w:val="000000" w:themeColor="text1"/>
          <w:sz w:val="20"/>
          <w:shd w:val="clear" w:color="auto" w:fill="FFFF00"/>
        </w:rPr>
        <w:t xml:space="preserve">Division 5 (ss.366-368) of </w:t>
      </w:r>
      <w:r w:rsidR="00481276" w:rsidRPr="00C31AA5">
        <w:rPr>
          <w:rFonts w:ascii="Arial" w:hAnsi="Arial" w:cs="Arial"/>
          <w:b/>
          <w:bCs/>
          <w:color w:val="000000" w:themeColor="text1"/>
          <w:sz w:val="20"/>
          <w:shd w:val="clear" w:color="auto" w:fill="FFFF00"/>
        </w:rPr>
        <w:t>Part 8.2</w:t>
      </w:r>
      <w:r w:rsidR="00481276">
        <w:rPr>
          <w:rFonts w:ascii="Arial" w:hAnsi="Arial" w:cs="Arial"/>
          <w:sz w:val="20"/>
        </w:rPr>
        <w:t xml:space="preserve"> of </w:t>
      </w:r>
      <w:r w:rsidR="00E15762">
        <w:rPr>
          <w:rFonts w:ascii="Arial" w:hAnsi="Arial" w:cs="Arial"/>
          <w:sz w:val="20"/>
        </w:rPr>
        <w:t xml:space="preserve">the </w:t>
      </w:r>
      <w:r w:rsidR="00E15762" w:rsidRPr="0058675C">
        <w:rPr>
          <w:rFonts w:ascii="Arial" w:hAnsi="Arial" w:cs="Arial"/>
          <w:i/>
          <w:iCs/>
          <w:sz w:val="20"/>
        </w:rPr>
        <w:t>Criminal Procedure Act 2009</w:t>
      </w:r>
      <w:r w:rsidR="0058675C" w:rsidRPr="0058675C">
        <w:rPr>
          <w:rFonts w:ascii="Arial" w:hAnsi="Arial" w:cs="Arial"/>
          <w:sz w:val="20"/>
        </w:rPr>
        <w:t xml:space="preserve"> </w:t>
      </w:r>
      <w:r w:rsidR="00481276">
        <w:rPr>
          <w:rFonts w:ascii="Arial" w:hAnsi="Arial" w:cs="Arial"/>
          <w:sz w:val="20"/>
        </w:rPr>
        <w:t>applies</w:t>
      </w:r>
      <w:r w:rsidR="00E15762">
        <w:rPr>
          <w:rFonts w:ascii="Arial" w:hAnsi="Arial" w:cs="Arial"/>
          <w:sz w:val="20"/>
        </w:rPr>
        <w:t xml:space="preserve"> to a criminal proceeding (other than a committal hearing) that relates (wholly or partly) to a charge for</w:t>
      </w:r>
      <w:r w:rsidR="00FD5F44" w:rsidRPr="00A31FFA">
        <w:rPr>
          <w:rFonts w:ascii="Arial" w:hAnsi="Arial" w:cs="Arial"/>
          <w:sz w:val="20"/>
        </w:rPr>
        <w:t>–</w:t>
      </w:r>
    </w:p>
    <w:p w14:paraId="1DE252BA" w14:textId="684B362C" w:rsidR="00E15762" w:rsidRPr="004078C3" w:rsidRDefault="00E15762">
      <w:pPr>
        <w:pStyle w:val="ListParagraph"/>
        <w:numPr>
          <w:ilvl w:val="0"/>
          <w:numId w:val="69"/>
        </w:numPr>
        <w:ind w:left="448" w:hanging="448"/>
        <w:jc w:val="both"/>
        <w:rPr>
          <w:rFonts w:ascii="Arial" w:hAnsi="Arial" w:cs="Arial"/>
          <w:sz w:val="20"/>
        </w:rPr>
      </w:pPr>
      <w:r w:rsidRPr="004078C3">
        <w:rPr>
          <w:rFonts w:ascii="Arial" w:hAnsi="Arial" w:cs="Arial"/>
          <w:sz w:val="20"/>
        </w:rPr>
        <w:t>a sexual offence; or</w:t>
      </w:r>
    </w:p>
    <w:p w14:paraId="4185D203" w14:textId="23E80ECF" w:rsidR="004078C3" w:rsidRDefault="004078C3" w:rsidP="00120AA9">
      <w:pPr>
        <w:ind w:left="454" w:hanging="454"/>
        <w:jc w:val="both"/>
        <w:rPr>
          <w:rFonts w:ascii="Arial" w:hAnsi="Arial" w:cs="Arial"/>
          <w:sz w:val="20"/>
        </w:rPr>
      </w:pPr>
      <w:r>
        <w:rPr>
          <w:rFonts w:ascii="Arial" w:hAnsi="Arial" w:cs="Arial"/>
          <w:sz w:val="20"/>
        </w:rPr>
        <w:t>(ab)</w:t>
      </w:r>
      <w:r>
        <w:rPr>
          <w:rFonts w:ascii="Arial" w:hAnsi="Arial" w:cs="Arial"/>
          <w:sz w:val="20"/>
        </w:rPr>
        <w:tab/>
        <w:t xml:space="preserve">an offence where the conduct constituting the offence consists of family violence within the meaning of the </w:t>
      </w:r>
      <w:r w:rsidRPr="0058675C">
        <w:rPr>
          <w:rFonts w:ascii="Arial" w:hAnsi="Arial" w:cs="Arial"/>
          <w:i/>
          <w:iCs/>
          <w:sz w:val="20"/>
        </w:rPr>
        <w:t>Family Violence Protection Act 2008</w:t>
      </w:r>
      <w:r>
        <w:rPr>
          <w:rFonts w:ascii="Arial" w:hAnsi="Arial" w:cs="Arial"/>
          <w:sz w:val="20"/>
        </w:rPr>
        <w:t>; or</w:t>
      </w:r>
    </w:p>
    <w:p w14:paraId="2428D760" w14:textId="47ED94C1" w:rsidR="004078C3" w:rsidRDefault="00E15762">
      <w:pPr>
        <w:pStyle w:val="ListParagraph"/>
        <w:numPr>
          <w:ilvl w:val="0"/>
          <w:numId w:val="69"/>
        </w:numPr>
        <w:ind w:left="448" w:hanging="448"/>
        <w:jc w:val="both"/>
        <w:rPr>
          <w:rFonts w:ascii="Arial" w:hAnsi="Arial" w:cs="Arial"/>
          <w:sz w:val="20"/>
        </w:rPr>
      </w:pPr>
      <w:r w:rsidRPr="004078C3">
        <w:rPr>
          <w:rFonts w:ascii="Arial" w:hAnsi="Arial" w:cs="Arial"/>
          <w:sz w:val="20"/>
        </w:rPr>
        <w:t>an indictable offence which involves an assault on, or injury or a threat of injury to, a person</w:t>
      </w:r>
      <w:r w:rsidR="004078C3" w:rsidRPr="004078C3">
        <w:rPr>
          <w:rFonts w:ascii="Arial" w:hAnsi="Arial" w:cs="Arial"/>
          <w:sz w:val="20"/>
        </w:rPr>
        <w:t>; or</w:t>
      </w:r>
    </w:p>
    <w:p w14:paraId="007094BF" w14:textId="2A32519C" w:rsidR="002F1043" w:rsidRPr="004078C3" w:rsidRDefault="002F1043">
      <w:pPr>
        <w:pStyle w:val="ListParagraph"/>
        <w:numPr>
          <w:ilvl w:val="0"/>
          <w:numId w:val="69"/>
        </w:numPr>
        <w:ind w:left="448" w:hanging="448"/>
        <w:jc w:val="both"/>
        <w:rPr>
          <w:rFonts w:ascii="Arial" w:hAnsi="Arial" w:cs="Arial"/>
          <w:sz w:val="20"/>
        </w:rPr>
      </w:pPr>
      <w:r>
        <w:rPr>
          <w:rFonts w:ascii="Arial" w:hAnsi="Arial" w:cs="Arial"/>
          <w:sz w:val="20"/>
        </w:rPr>
        <w:t>…; or</w:t>
      </w:r>
    </w:p>
    <w:p w14:paraId="0E8C696A" w14:textId="4E299AD8" w:rsidR="00E15762" w:rsidRPr="004078C3" w:rsidRDefault="004078C3">
      <w:pPr>
        <w:pStyle w:val="ListParagraph"/>
        <w:numPr>
          <w:ilvl w:val="0"/>
          <w:numId w:val="70"/>
        </w:numPr>
        <w:ind w:left="448" w:hanging="448"/>
        <w:jc w:val="both"/>
        <w:rPr>
          <w:rFonts w:ascii="Arial" w:hAnsi="Arial" w:cs="Arial"/>
          <w:sz w:val="20"/>
        </w:rPr>
      </w:pPr>
      <w:r>
        <w:rPr>
          <w:rFonts w:ascii="Arial" w:hAnsi="Arial" w:cs="Arial"/>
          <w:sz w:val="20"/>
        </w:rPr>
        <w:t xml:space="preserve">any offences against ss.23 or 24 of the </w:t>
      </w:r>
      <w:r w:rsidRPr="0058675C">
        <w:rPr>
          <w:rFonts w:ascii="Arial" w:hAnsi="Arial" w:cs="Arial"/>
          <w:i/>
          <w:iCs/>
          <w:sz w:val="20"/>
        </w:rPr>
        <w:t>Summary Offences Act 1966</w:t>
      </w:r>
      <w:r>
        <w:rPr>
          <w:rFonts w:ascii="Arial" w:hAnsi="Arial" w:cs="Arial"/>
          <w:sz w:val="20"/>
        </w:rPr>
        <w:t xml:space="preserve"> </w:t>
      </w:r>
      <w:r w:rsidR="00114B38">
        <w:rPr>
          <w:rFonts w:ascii="Arial" w:hAnsi="Arial" w:cs="Arial"/>
          <w:sz w:val="20"/>
        </w:rPr>
        <w:t>if those offences are related offences to an offence specified in paragraph (a), (ab) or (b), despite whether any such related offences are withdrawn or dismissed before an offence against ss.23 or 24 is heard and determined</w:t>
      </w:r>
      <w:r w:rsidR="00E15762" w:rsidRPr="004078C3">
        <w:rPr>
          <w:rFonts w:ascii="Arial" w:hAnsi="Arial" w:cs="Arial"/>
          <w:sz w:val="20"/>
        </w:rPr>
        <w:t>.</w:t>
      </w:r>
    </w:p>
    <w:p w14:paraId="3BB4B1B1" w14:textId="77777777" w:rsidR="00066CC5" w:rsidRDefault="00066CC5" w:rsidP="00066CC5">
      <w:pPr>
        <w:jc w:val="both"/>
        <w:rPr>
          <w:rFonts w:ascii="Arial" w:hAnsi="Arial" w:cs="Arial"/>
          <w:sz w:val="20"/>
        </w:rPr>
      </w:pPr>
    </w:p>
    <w:p w14:paraId="1E11B742" w14:textId="3746EB16" w:rsidR="00834407" w:rsidRDefault="00B21DA4" w:rsidP="008C5AC2">
      <w:pPr>
        <w:keepNext/>
        <w:keepLines/>
        <w:jc w:val="both"/>
        <w:rPr>
          <w:rFonts w:ascii="Arial" w:hAnsi="Arial" w:cs="Arial"/>
          <w:sz w:val="20"/>
        </w:rPr>
      </w:pPr>
      <w:r>
        <w:rPr>
          <w:rFonts w:ascii="Arial" w:hAnsi="Arial" w:cs="Arial"/>
          <w:sz w:val="20"/>
        </w:rPr>
        <w:t xml:space="preserve">Under </w:t>
      </w:r>
      <w:r w:rsidR="00C067B4">
        <w:rPr>
          <w:rFonts w:ascii="Arial" w:hAnsi="Arial" w:cs="Arial"/>
          <w:sz w:val="20"/>
        </w:rPr>
        <w:t>ss.366</w:t>
      </w:r>
      <w:r w:rsidR="002E5AF5">
        <w:rPr>
          <w:rFonts w:ascii="Arial" w:hAnsi="Arial" w:cs="Arial"/>
          <w:sz w:val="20"/>
        </w:rPr>
        <w:t>-36</w:t>
      </w:r>
      <w:r w:rsidR="00317357">
        <w:rPr>
          <w:rFonts w:ascii="Arial" w:hAnsi="Arial" w:cs="Arial"/>
          <w:sz w:val="20"/>
        </w:rPr>
        <w:t>7</w:t>
      </w:r>
      <w:r w:rsidR="00D109FE" w:rsidRPr="00D109FE">
        <w:rPr>
          <w:rFonts w:ascii="Arial" w:hAnsi="Arial" w:cs="Arial"/>
          <w:sz w:val="20"/>
        </w:rPr>
        <w:t>,</w:t>
      </w:r>
      <w:r w:rsidR="00520380">
        <w:rPr>
          <w:rFonts w:ascii="Arial" w:hAnsi="Arial" w:cs="Arial"/>
          <w:sz w:val="20"/>
        </w:rPr>
        <w:t xml:space="preserve"> </w:t>
      </w:r>
      <w:r>
        <w:rPr>
          <w:rFonts w:ascii="Arial" w:hAnsi="Arial" w:cs="Arial"/>
          <w:sz w:val="20"/>
        </w:rPr>
        <w:t xml:space="preserve">a witness </w:t>
      </w:r>
      <w:r w:rsidR="00E15762">
        <w:rPr>
          <w:rFonts w:ascii="Arial" w:hAnsi="Arial" w:cs="Arial"/>
          <w:sz w:val="20"/>
        </w:rPr>
        <w:t xml:space="preserve">in such a criminal proceeding </w:t>
      </w:r>
      <w:r>
        <w:rPr>
          <w:rFonts w:ascii="Arial" w:hAnsi="Arial" w:cs="Arial"/>
          <w:sz w:val="20"/>
        </w:rPr>
        <w:t>who</w:t>
      </w:r>
      <w:r w:rsidR="00FD5F44" w:rsidRPr="00A31FFA">
        <w:rPr>
          <w:rFonts w:ascii="Arial" w:hAnsi="Arial" w:cs="Arial"/>
          <w:sz w:val="20"/>
        </w:rPr>
        <w:t>–</w:t>
      </w:r>
    </w:p>
    <w:p w14:paraId="28B01E4B" w14:textId="16FA0BC1" w:rsidR="00834407" w:rsidRDefault="00B21DA4" w:rsidP="008C5AC2">
      <w:pPr>
        <w:pStyle w:val="ListParagraph"/>
        <w:keepNext/>
        <w:keepLines/>
        <w:numPr>
          <w:ilvl w:val="0"/>
          <w:numId w:val="49"/>
        </w:numPr>
        <w:ind w:left="357" w:hanging="357"/>
        <w:jc w:val="both"/>
        <w:rPr>
          <w:rFonts w:ascii="Arial" w:hAnsi="Arial" w:cs="Arial"/>
          <w:sz w:val="20"/>
        </w:rPr>
      </w:pPr>
      <w:r w:rsidRPr="007C4486">
        <w:rPr>
          <w:rFonts w:ascii="Arial" w:hAnsi="Arial" w:cs="Arial"/>
          <w:sz w:val="20"/>
        </w:rPr>
        <w:t>is under the age of 18 years</w:t>
      </w:r>
      <w:r w:rsidR="00834407" w:rsidRPr="007C4486">
        <w:rPr>
          <w:rFonts w:ascii="Arial" w:hAnsi="Arial" w:cs="Arial"/>
          <w:sz w:val="20"/>
        </w:rPr>
        <w:t>;</w:t>
      </w:r>
      <w:r w:rsidRPr="007C4486">
        <w:rPr>
          <w:rFonts w:ascii="Arial" w:hAnsi="Arial" w:cs="Arial"/>
          <w:sz w:val="20"/>
        </w:rPr>
        <w:t xml:space="preserve"> </w:t>
      </w:r>
      <w:r w:rsidR="00834407" w:rsidRPr="007C4486">
        <w:rPr>
          <w:rFonts w:ascii="Arial" w:hAnsi="Arial" w:cs="Arial"/>
          <w:sz w:val="20"/>
        </w:rPr>
        <w:t>or</w:t>
      </w:r>
    </w:p>
    <w:p w14:paraId="11A1A70F" w14:textId="6A236EAA" w:rsidR="007C4486" w:rsidRPr="007C4486" w:rsidRDefault="007C4486" w:rsidP="00D772F0">
      <w:pPr>
        <w:pStyle w:val="ListParagraph"/>
        <w:numPr>
          <w:ilvl w:val="0"/>
          <w:numId w:val="49"/>
        </w:numPr>
        <w:ind w:left="357" w:hanging="357"/>
        <w:jc w:val="both"/>
        <w:rPr>
          <w:rFonts w:ascii="Arial" w:hAnsi="Arial" w:cs="Arial"/>
          <w:sz w:val="20"/>
        </w:rPr>
      </w:pPr>
      <w:r>
        <w:rPr>
          <w:rFonts w:ascii="Arial" w:hAnsi="Arial" w:cs="Arial"/>
          <w:sz w:val="20"/>
        </w:rPr>
        <w:t>has a cognitive impairment</w:t>
      </w:r>
      <w:r w:rsidR="00FD5F44" w:rsidRPr="00A31FFA">
        <w:rPr>
          <w:rFonts w:ascii="Arial" w:hAnsi="Arial" w:cs="Arial"/>
          <w:sz w:val="20"/>
        </w:rPr>
        <w:t>–</w:t>
      </w:r>
    </w:p>
    <w:p w14:paraId="5DB408AD" w14:textId="4A2E5472" w:rsidR="00317357" w:rsidRDefault="00520380" w:rsidP="00317357">
      <w:pPr>
        <w:jc w:val="both"/>
        <w:rPr>
          <w:rFonts w:ascii="Arial" w:hAnsi="Arial" w:cs="Arial"/>
          <w:sz w:val="20"/>
        </w:rPr>
      </w:pPr>
      <w:r>
        <w:rPr>
          <w:rFonts w:ascii="Arial" w:hAnsi="Arial" w:cs="Arial"/>
          <w:sz w:val="20"/>
        </w:rPr>
        <w:t>may give</w:t>
      </w:r>
      <w:r w:rsidR="00B21DA4">
        <w:rPr>
          <w:rFonts w:ascii="Arial" w:hAnsi="Arial" w:cs="Arial"/>
          <w:sz w:val="20"/>
        </w:rPr>
        <w:t xml:space="preserve"> </w:t>
      </w:r>
      <w:r>
        <w:rPr>
          <w:rFonts w:ascii="Arial" w:hAnsi="Arial" w:cs="Arial"/>
          <w:sz w:val="20"/>
        </w:rPr>
        <w:t xml:space="preserve">evidence-in-chief </w:t>
      </w:r>
      <w:r w:rsidR="00B21DA4">
        <w:rPr>
          <w:rFonts w:ascii="Arial" w:hAnsi="Arial" w:cs="Arial"/>
          <w:sz w:val="20"/>
        </w:rPr>
        <w:t>(who</w:t>
      </w:r>
      <w:r>
        <w:rPr>
          <w:rFonts w:ascii="Arial" w:hAnsi="Arial" w:cs="Arial"/>
          <w:sz w:val="20"/>
        </w:rPr>
        <w:t>lly or partly) in the form of an audio or audio</w:t>
      </w:r>
      <w:r w:rsidR="00712515">
        <w:rPr>
          <w:rFonts w:ascii="Arial" w:hAnsi="Arial" w:cs="Arial"/>
          <w:sz w:val="20"/>
        </w:rPr>
        <w:t xml:space="preserve"> </w:t>
      </w:r>
      <w:r>
        <w:rPr>
          <w:rFonts w:ascii="Arial" w:hAnsi="Arial" w:cs="Arial"/>
          <w:sz w:val="20"/>
        </w:rPr>
        <w:t>visual recording</w:t>
      </w:r>
      <w:r w:rsidRPr="00114B38">
        <w:rPr>
          <w:rFonts w:ascii="Arial" w:hAnsi="Arial" w:cs="Arial"/>
          <w:color w:val="000000" w:themeColor="text1"/>
          <w:sz w:val="20"/>
        </w:rPr>
        <w:t xml:space="preserve"> </w:t>
      </w:r>
      <w:r w:rsidR="003E184D" w:rsidRPr="00114B38">
        <w:rPr>
          <w:rFonts w:ascii="Arial" w:hAnsi="Arial" w:cs="Arial"/>
          <w:color w:val="000000" w:themeColor="text1"/>
          <w:sz w:val="20"/>
        </w:rPr>
        <w:t xml:space="preserve">[VARE] </w:t>
      </w:r>
      <w:r>
        <w:rPr>
          <w:rFonts w:ascii="Arial" w:hAnsi="Arial" w:cs="Arial"/>
          <w:sz w:val="20"/>
        </w:rPr>
        <w:t>of the witness answering questions put to him or her by a person prescribed by the regulations for the purposes of s.367</w:t>
      </w:r>
      <w:r w:rsidR="005B005D">
        <w:rPr>
          <w:rFonts w:ascii="Arial" w:hAnsi="Arial" w:cs="Arial"/>
          <w:sz w:val="20"/>
        </w:rPr>
        <w:t xml:space="preserve">: see regulations 6-13 of the </w:t>
      </w:r>
      <w:r w:rsidR="005B005D" w:rsidRPr="00E3289B">
        <w:rPr>
          <w:rFonts w:ascii="Arial" w:hAnsi="Arial" w:cs="Arial"/>
          <w:i/>
          <w:iCs/>
          <w:sz w:val="20"/>
        </w:rPr>
        <w:t>Criminal Procedure Regulations 2020</w:t>
      </w:r>
      <w:r w:rsidR="005B005D">
        <w:rPr>
          <w:rFonts w:ascii="Arial" w:hAnsi="Arial" w:cs="Arial"/>
          <w:sz w:val="20"/>
        </w:rPr>
        <w:t xml:space="preserve">. </w:t>
      </w:r>
      <w:r w:rsidR="00317357">
        <w:rPr>
          <w:rFonts w:ascii="Arial" w:hAnsi="Arial" w:cs="Arial"/>
          <w:sz w:val="20"/>
        </w:rPr>
        <w:t xml:space="preserve">This is broader than its predecessor in that it is not restricted to evidence by </w:t>
      </w:r>
      <w:r w:rsidR="004434DB">
        <w:rPr>
          <w:rFonts w:ascii="Arial" w:hAnsi="Arial" w:cs="Arial"/>
          <w:sz w:val="20"/>
        </w:rPr>
        <w:t xml:space="preserve">a witness for the prosecution although in practice </w:t>
      </w:r>
      <w:r w:rsidR="00E15762">
        <w:rPr>
          <w:rFonts w:ascii="Arial" w:hAnsi="Arial" w:cs="Arial"/>
          <w:sz w:val="20"/>
        </w:rPr>
        <w:t xml:space="preserve">the majority of such witnesses are likely to be witnesses for the </w:t>
      </w:r>
      <w:r w:rsidR="004434DB">
        <w:rPr>
          <w:rFonts w:ascii="Arial" w:hAnsi="Arial" w:cs="Arial"/>
          <w:sz w:val="20"/>
        </w:rPr>
        <w:t>prosecution.</w:t>
      </w:r>
    </w:p>
    <w:p w14:paraId="5EBDB7E7" w14:textId="77777777" w:rsidR="00030902" w:rsidRDefault="00030902">
      <w:pPr>
        <w:jc w:val="both"/>
        <w:rPr>
          <w:rFonts w:ascii="Arial" w:hAnsi="Arial" w:cs="Arial"/>
          <w:sz w:val="20"/>
        </w:rPr>
      </w:pPr>
    </w:p>
    <w:p w14:paraId="2F44F7B4" w14:textId="2235E992" w:rsidR="009E733E" w:rsidRDefault="00B21DA4">
      <w:pPr>
        <w:jc w:val="both"/>
        <w:rPr>
          <w:rFonts w:ascii="Arial" w:hAnsi="Arial" w:cs="Arial"/>
          <w:sz w:val="20"/>
        </w:rPr>
      </w:pPr>
      <w:r>
        <w:rPr>
          <w:rFonts w:ascii="Arial" w:hAnsi="Arial" w:cs="Arial"/>
          <w:sz w:val="20"/>
        </w:rPr>
        <w:t xml:space="preserve">Provisions regulating the </w:t>
      </w:r>
      <w:r w:rsidR="00114B38">
        <w:rPr>
          <w:rFonts w:ascii="Arial" w:hAnsi="Arial" w:cs="Arial"/>
          <w:sz w:val="20"/>
        </w:rPr>
        <w:t>admissibility</w:t>
      </w:r>
      <w:r>
        <w:rPr>
          <w:rFonts w:ascii="Arial" w:hAnsi="Arial" w:cs="Arial"/>
          <w:sz w:val="20"/>
        </w:rPr>
        <w:t xml:space="preserve"> of </w:t>
      </w:r>
      <w:r w:rsidR="003E184D" w:rsidRPr="00F65EB1">
        <w:rPr>
          <w:rFonts w:ascii="Arial" w:hAnsi="Arial" w:cs="Arial"/>
          <w:color w:val="000000"/>
          <w:sz w:val="20"/>
        </w:rPr>
        <w:t>VARE evidence</w:t>
      </w:r>
      <w:r w:rsidR="00122115">
        <w:rPr>
          <w:rFonts w:ascii="Arial" w:hAnsi="Arial" w:cs="Arial"/>
          <w:sz w:val="20"/>
        </w:rPr>
        <w:t xml:space="preserve"> in</w:t>
      </w:r>
      <w:r w:rsidR="004434DB">
        <w:rPr>
          <w:rFonts w:ascii="Arial" w:hAnsi="Arial" w:cs="Arial"/>
          <w:sz w:val="20"/>
        </w:rPr>
        <w:t xml:space="preserve"> summary hearings, special hearings and trials </w:t>
      </w:r>
      <w:r>
        <w:rPr>
          <w:rFonts w:ascii="Arial" w:hAnsi="Arial" w:cs="Arial"/>
          <w:sz w:val="20"/>
        </w:rPr>
        <w:t>are contained in s.3</w:t>
      </w:r>
      <w:r w:rsidR="004434DB">
        <w:rPr>
          <w:rFonts w:ascii="Arial" w:hAnsi="Arial" w:cs="Arial"/>
          <w:sz w:val="20"/>
        </w:rPr>
        <w:t>68</w:t>
      </w:r>
      <w:r>
        <w:rPr>
          <w:rFonts w:ascii="Arial" w:hAnsi="Arial" w:cs="Arial"/>
          <w:sz w:val="20"/>
        </w:rPr>
        <w:t xml:space="preserve"> of the </w:t>
      </w:r>
      <w:r w:rsidR="00317357" w:rsidRPr="0058675C">
        <w:rPr>
          <w:rFonts w:ascii="Arial" w:hAnsi="Arial" w:cs="Arial"/>
          <w:i/>
          <w:iCs/>
          <w:sz w:val="20"/>
        </w:rPr>
        <w:t>Criminal Procedure Act 2009</w:t>
      </w:r>
      <w:r>
        <w:rPr>
          <w:rFonts w:ascii="Arial" w:hAnsi="Arial" w:cs="Arial"/>
          <w:sz w:val="20"/>
        </w:rPr>
        <w:t xml:space="preserve">.  In </w:t>
      </w:r>
      <w:r>
        <w:rPr>
          <w:rFonts w:ascii="Arial" w:hAnsi="Arial" w:cs="Arial"/>
          <w:i/>
          <w:iCs/>
          <w:sz w:val="20"/>
        </w:rPr>
        <w:t>R v NRC</w:t>
      </w:r>
      <w:r>
        <w:rPr>
          <w:rFonts w:ascii="Arial" w:hAnsi="Arial" w:cs="Arial"/>
          <w:sz w:val="20"/>
        </w:rPr>
        <w:t xml:space="preserve"> [1999] 3 VR 537 at 540 Winneke P spoke of the overriding obligation of the trial judge to ensure that such procedures do not expose the accused to the risk of an unfair trial.  </w:t>
      </w:r>
      <w:r w:rsidR="00AC5998">
        <w:rPr>
          <w:rFonts w:ascii="Arial" w:hAnsi="Arial" w:cs="Arial"/>
          <w:sz w:val="20"/>
        </w:rPr>
        <w:t>In</w:t>
      </w:r>
      <w:r>
        <w:rPr>
          <w:rFonts w:ascii="Arial" w:hAnsi="Arial" w:cs="Arial"/>
          <w:sz w:val="20"/>
        </w:rPr>
        <w:t xml:space="preserve"> </w:t>
      </w:r>
      <w:r>
        <w:rPr>
          <w:rFonts w:ascii="Arial" w:hAnsi="Arial" w:cs="Arial"/>
          <w:i/>
          <w:iCs/>
          <w:sz w:val="20"/>
        </w:rPr>
        <w:t>R v Lewis</w:t>
      </w:r>
      <w:r>
        <w:rPr>
          <w:rFonts w:ascii="Arial" w:hAnsi="Arial" w:cs="Arial"/>
          <w:sz w:val="20"/>
        </w:rPr>
        <w:t xml:space="preserve"> [2002] VSCA 200</w:t>
      </w:r>
      <w:r w:rsidR="00AC5998">
        <w:rPr>
          <w:rFonts w:ascii="Arial" w:hAnsi="Arial" w:cs="Arial"/>
          <w:sz w:val="20"/>
        </w:rPr>
        <w:t xml:space="preserve"> the Court of Appeal said </w:t>
      </w:r>
      <w:r w:rsidR="00AC5998">
        <w:rPr>
          <w:rFonts w:ascii="Arial" w:hAnsi="Arial" w:cs="Arial"/>
          <w:sz w:val="20"/>
        </w:rPr>
        <w:lastRenderedPageBreak/>
        <w:t xml:space="preserve">that </w:t>
      </w:r>
      <w:r w:rsidR="003E184D" w:rsidRPr="00F65EB1">
        <w:rPr>
          <w:rFonts w:ascii="Arial" w:hAnsi="Arial" w:cs="Arial"/>
          <w:color w:val="000000"/>
          <w:sz w:val="20"/>
        </w:rPr>
        <w:t>VARE</w:t>
      </w:r>
      <w:r w:rsidR="00122115">
        <w:rPr>
          <w:rFonts w:ascii="Arial" w:hAnsi="Arial" w:cs="Arial"/>
          <w:sz w:val="20"/>
        </w:rPr>
        <w:t xml:space="preserve"> recordings</w:t>
      </w:r>
      <w:r w:rsidR="00AC5998">
        <w:rPr>
          <w:rFonts w:ascii="Arial" w:hAnsi="Arial" w:cs="Arial"/>
          <w:sz w:val="20"/>
        </w:rPr>
        <w:t xml:space="preserve"> should not be admitted as exhibits in a trial but should </w:t>
      </w:r>
      <w:r w:rsidR="006B4665">
        <w:rPr>
          <w:rFonts w:ascii="Arial" w:hAnsi="Arial" w:cs="Arial"/>
          <w:sz w:val="20"/>
        </w:rPr>
        <w:t>simp</w:t>
      </w:r>
      <w:r w:rsidR="00AC5998">
        <w:rPr>
          <w:rFonts w:ascii="Arial" w:hAnsi="Arial" w:cs="Arial"/>
          <w:sz w:val="20"/>
        </w:rPr>
        <w:t xml:space="preserve">ly be marked ‘for identification’. See also </w:t>
      </w:r>
      <w:r w:rsidR="00AC5998" w:rsidRPr="00AC5998">
        <w:rPr>
          <w:rFonts w:ascii="Arial" w:hAnsi="Arial" w:cs="Arial"/>
          <w:i/>
          <w:sz w:val="20"/>
        </w:rPr>
        <w:t>R v BAH</w:t>
      </w:r>
      <w:r w:rsidR="00AC5998">
        <w:rPr>
          <w:rFonts w:ascii="Arial" w:hAnsi="Arial" w:cs="Arial"/>
          <w:sz w:val="20"/>
        </w:rPr>
        <w:t xml:space="preserve"> [2002] VSCA 164</w:t>
      </w:r>
      <w:r w:rsidR="001B57FD">
        <w:rPr>
          <w:rFonts w:ascii="Arial" w:hAnsi="Arial" w:cs="Arial"/>
          <w:sz w:val="20"/>
        </w:rPr>
        <w:t xml:space="preserve">; </w:t>
      </w:r>
      <w:r w:rsidR="001B57FD" w:rsidRPr="001B57FD">
        <w:rPr>
          <w:rFonts w:ascii="Arial" w:hAnsi="Arial" w:cs="Arial"/>
          <w:i/>
          <w:iCs/>
          <w:sz w:val="20"/>
        </w:rPr>
        <w:t>Thorn v The King</w:t>
      </w:r>
      <w:r w:rsidR="001B57FD">
        <w:rPr>
          <w:rFonts w:ascii="Arial" w:hAnsi="Arial" w:cs="Arial"/>
          <w:sz w:val="20"/>
        </w:rPr>
        <w:t xml:space="preserve"> [2026] VSCA 99.</w:t>
      </w:r>
    </w:p>
    <w:p w14:paraId="0BEACC46" w14:textId="77777777" w:rsidR="00C65E7C" w:rsidRDefault="00C65E7C">
      <w:pPr>
        <w:jc w:val="both"/>
        <w:rPr>
          <w:rFonts w:ascii="Arial" w:hAnsi="Arial" w:cs="Arial"/>
          <w:sz w:val="20"/>
        </w:rPr>
      </w:pPr>
    </w:p>
    <w:p w14:paraId="06358919" w14:textId="5DB713FE" w:rsidR="00447687" w:rsidRPr="00447687" w:rsidRDefault="00481276" w:rsidP="00447687">
      <w:pPr>
        <w:jc w:val="both"/>
        <w:rPr>
          <w:rFonts w:ascii="Arial" w:hAnsi="Arial" w:cs="Arial"/>
          <w:sz w:val="20"/>
          <w:szCs w:val="20"/>
        </w:rPr>
      </w:pPr>
      <w:r w:rsidRPr="00C31AA5">
        <w:rPr>
          <w:rFonts w:ascii="Arial" w:hAnsi="Arial" w:cs="Arial"/>
          <w:b/>
          <w:bCs/>
          <w:color w:val="000000" w:themeColor="text1"/>
          <w:sz w:val="20"/>
          <w:shd w:val="clear" w:color="auto" w:fill="FFFF00"/>
        </w:rPr>
        <w:t>Division 6 (ss.369-376</w:t>
      </w:r>
      <w:r w:rsidR="00C31AA5">
        <w:rPr>
          <w:rFonts w:ascii="Arial" w:hAnsi="Arial" w:cs="Arial"/>
          <w:b/>
          <w:bCs/>
          <w:color w:val="000000" w:themeColor="text1"/>
          <w:sz w:val="20"/>
          <w:shd w:val="clear" w:color="auto" w:fill="FFFF00"/>
        </w:rPr>
        <w:t xml:space="preserve"> and former s.377</w:t>
      </w:r>
      <w:r w:rsidRPr="00C31AA5">
        <w:rPr>
          <w:rFonts w:ascii="Arial" w:hAnsi="Arial" w:cs="Arial"/>
          <w:b/>
          <w:bCs/>
          <w:color w:val="000000" w:themeColor="text1"/>
          <w:sz w:val="20"/>
          <w:shd w:val="clear" w:color="auto" w:fill="FFFF00"/>
        </w:rPr>
        <w:t>) of Part 8.2</w:t>
      </w:r>
      <w:r>
        <w:rPr>
          <w:rFonts w:ascii="Arial" w:hAnsi="Arial" w:cs="Arial"/>
          <w:sz w:val="20"/>
        </w:rPr>
        <w:t xml:space="preserve"> of the </w:t>
      </w:r>
      <w:r w:rsidRPr="0058675C">
        <w:rPr>
          <w:rFonts w:ascii="Arial" w:hAnsi="Arial" w:cs="Arial"/>
          <w:i/>
          <w:iCs/>
          <w:sz w:val="20"/>
        </w:rPr>
        <w:t>Criminal Procedure Act 2009</w:t>
      </w:r>
      <w:r>
        <w:rPr>
          <w:rFonts w:ascii="Arial" w:hAnsi="Arial" w:cs="Arial"/>
          <w:sz w:val="20"/>
        </w:rPr>
        <w:t xml:space="preserve"> applies</w:t>
      </w:r>
      <w:r w:rsidR="005A2D16">
        <w:rPr>
          <w:rFonts w:ascii="Arial" w:hAnsi="Arial" w:cs="Arial"/>
          <w:sz w:val="20"/>
        </w:rPr>
        <w:t xml:space="preserve"> to </w:t>
      </w:r>
      <w:r w:rsidR="00AA7D97">
        <w:rPr>
          <w:rFonts w:ascii="Arial" w:hAnsi="Arial" w:cs="Arial"/>
          <w:sz w:val="20"/>
        </w:rPr>
        <w:t>a special hearing and</w:t>
      </w:r>
      <w:r>
        <w:rPr>
          <w:rFonts w:ascii="Arial" w:hAnsi="Arial" w:cs="Arial"/>
          <w:sz w:val="20"/>
        </w:rPr>
        <w:t>/or</w:t>
      </w:r>
      <w:r w:rsidR="00AA7D97">
        <w:rPr>
          <w:rFonts w:ascii="Arial" w:hAnsi="Arial" w:cs="Arial"/>
          <w:sz w:val="20"/>
        </w:rPr>
        <w:t xml:space="preserve"> </w:t>
      </w:r>
      <w:r w:rsidR="005A2D16">
        <w:rPr>
          <w:rFonts w:ascii="Arial" w:hAnsi="Arial" w:cs="Arial"/>
          <w:sz w:val="20"/>
        </w:rPr>
        <w:t xml:space="preserve">a trial in a criminal proceeding that relates </w:t>
      </w:r>
      <w:r w:rsidR="00F6484E">
        <w:rPr>
          <w:rFonts w:ascii="Arial" w:hAnsi="Arial" w:cs="Arial"/>
          <w:sz w:val="20"/>
        </w:rPr>
        <w:t>(wholly or partly) to a charge for a sexual offence</w:t>
      </w:r>
      <w:r w:rsidR="00066CC5">
        <w:rPr>
          <w:rFonts w:ascii="Arial" w:hAnsi="Arial" w:cs="Arial"/>
          <w:sz w:val="20"/>
        </w:rPr>
        <w:t>.</w:t>
      </w:r>
      <w:r w:rsidR="00AA7D97">
        <w:rPr>
          <w:rFonts w:ascii="Arial" w:hAnsi="Arial" w:cs="Arial"/>
          <w:sz w:val="20"/>
        </w:rPr>
        <w:t xml:space="preserve">  Th</w:t>
      </w:r>
      <w:r>
        <w:rPr>
          <w:rFonts w:ascii="Arial" w:hAnsi="Arial" w:cs="Arial"/>
          <w:sz w:val="20"/>
        </w:rPr>
        <w:t xml:space="preserve">ese provisions </w:t>
      </w:r>
      <w:r w:rsidR="00E74C2D">
        <w:rPr>
          <w:rFonts w:ascii="Arial" w:hAnsi="Arial" w:cs="Arial"/>
          <w:sz w:val="20"/>
        </w:rPr>
        <w:t xml:space="preserve">have no application </w:t>
      </w:r>
      <w:r w:rsidR="00AA7D97">
        <w:rPr>
          <w:rFonts w:ascii="Arial" w:hAnsi="Arial" w:cs="Arial"/>
          <w:sz w:val="20"/>
        </w:rPr>
        <w:t>to summary hearings</w:t>
      </w:r>
      <w:r w:rsidR="00447687">
        <w:rPr>
          <w:rFonts w:ascii="Arial" w:hAnsi="Arial" w:cs="Arial"/>
          <w:sz w:val="20"/>
        </w:rPr>
        <w:t xml:space="preserve"> in the Magistrates’ Court or Children’s Court: see the explanatory memorandum </w:t>
      </w:r>
      <w:r w:rsidR="00447687" w:rsidRPr="00447687">
        <w:rPr>
          <w:rFonts w:ascii="Arial" w:hAnsi="Arial" w:cs="Arial"/>
          <w:sz w:val="20"/>
          <w:szCs w:val="20"/>
        </w:rPr>
        <w:t xml:space="preserve">to </w:t>
      </w:r>
      <w:r w:rsidR="00447687">
        <w:rPr>
          <w:rFonts w:ascii="Arial" w:hAnsi="Arial" w:cs="Arial"/>
          <w:sz w:val="20"/>
          <w:szCs w:val="20"/>
        </w:rPr>
        <w:t xml:space="preserve">the </w:t>
      </w:r>
      <w:r w:rsidR="00447687" w:rsidRPr="00447687">
        <w:rPr>
          <w:rFonts w:ascii="Arial" w:hAnsi="Arial" w:cs="Arial"/>
          <w:i/>
          <w:iCs/>
          <w:sz w:val="20"/>
          <w:szCs w:val="20"/>
        </w:rPr>
        <w:t>Criminal Procedure Amendment (Consequential and Transitional Provisions) Bill 2009</w:t>
      </w:r>
      <w:r w:rsidR="00447687">
        <w:rPr>
          <w:rFonts w:ascii="Arial" w:hAnsi="Arial" w:cs="Arial"/>
          <w:sz w:val="20"/>
          <w:szCs w:val="20"/>
        </w:rPr>
        <w:t>.</w:t>
      </w:r>
    </w:p>
    <w:p w14:paraId="14021370" w14:textId="77777777" w:rsidR="00066CC5" w:rsidRDefault="00066CC5" w:rsidP="00066CC5">
      <w:pPr>
        <w:jc w:val="both"/>
        <w:rPr>
          <w:rFonts w:ascii="Arial" w:hAnsi="Arial" w:cs="Arial"/>
          <w:sz w:val="20"/>
        </w:rPr>
      </w:pPr>
    </w:p>
    <w:p w14:paraId="2EB06A6F" w14:textId="3BCA7D54" w:rsidR="00066CC5" w:rsidRDefault="00066CC5" w:rsidP="00066CC5">
      <w:pPr>
        <w:jc w:val="both"/>
        <w:rPr>
          <w:rFonts w:ascii="Arial" w:hAnsi="Arial" w:cs="Arial"/>
          <w:sz w:val="20"/>
        </w:rPr>
      </w:pPr>
      <w:r>
        <w:rPr>
          <w:rFonts w:ascii="Arial" w:hAnsi="Arial" w:cs="Arial"/>
          <w:sz w:val="20"/>
        </w:rPr>
        <w:t>Under ss.369-370 the whole of the evidence (including cross-examination and re-examination) of a complainant who</w:t>
      </w:r>
      <w:r w:rsidR="00FD5F44" w:rsidRPr="00A31FFA">
        <w:rPr>
          <w:rFonts w:ascii="Arial" w:hAnsi="Arial" w:cs="Arial"/>
          <w:sz w:val="20"/>
        </w:rPr>
        <w:t>–</w:t>
      </w:r>
    </w:p>
    <w:p w14:paraId="115371C7" w14:textId="77777777" w:rsidR="00114B38" w:rsidRPr="007C4486" w:rsidRDefault="00030902">
      <w:pPr>
        <w:pStyle w:val="ListParagraph"/>
        <w:numPr>
          <w:ilvl w:val="0"/>
          <w:numId w:val="72"/>
        </w:numPr>
        <w:ind w:left="357" w:hanging="357"/>
        <w:jc w:val="both"/>
        <w:rPr>
          <w:rFonts w:ascii="Arial" w:hAnsi="Arial" w:cs="Arial"/>
          <w:sz w:val="20"/>
        </w:rPr>
      </w:pPr>
      <w:r w:rsidRPr="007C4486">
        <w:rPr>
          <w:rFonts w:ascii="Arial" w:hAnsi="Arial" w:cs="Arial"/>
          <w:sz w:val="20"/>
        </w:rPr>
        <w:t xml:space="preserve">was </w:t>
      </w:r>
      <w:r w:rsidR="004434DB" w:rsidRPr="007C4486">
        <w:rPr>
          <w:rFonts w:ascii="Arial" w:hAnsi="Arial" w:cs="Arial"/>
          <w:sz w:val="20"/>
        </w:rPr>
        <w:t>under the age of 18 years</w:t>
      </w:r>
      <w:r w:rsidRPr="007C4486">
        <w:rPr>
          <w:rFonts w:ascii="Arial" w:hAnsi="Arial" w:cs="Arial"/>
          <w:sz w:val="20"/>
        </w:rPr>
        <w:t>; or</w:t>
      </w:r>
    </w:p>
    <w:p w14:paraId="4C822A4A" w14:textId="6B43607D" w:rsidR="00114B38" w:rsidRPr="007C4486" w:rsidRDefault="00030902">
      <w:pPr>
        <w:pStyle w:val="ListParagraph"/>
        <w:numPr>
          <w:ilvl w:val="0"/>
          <w:numId w:val="72"/>
        </w:numPr>
        <w:ind w:left="357" w:hanging="357"/>
        <w:jc w:val="both"/>
        <w:rPr>
          <w:rFonts w:ascii="Arial" w:hAnsi="Arial" w:cs="Arial"/>
          <w:sz w:val="20"/>
        </w:rPr>
      </w:pPr>
      <w:r w:rsidRPr="007C4486">
        <w:rPr>
          <w:rFonts w:ascii="Arial" w:hAnsi="Arial" w:cs="Arial"/>
          <w:sz w:val="20"/>
        </w:rPr>
        <w:t>had a cognitive impairment</w:t>
      </w:r>
      <w:r w:rsidR="00FD5F44" w:rsidRPr="00A31FFA">
        <w:rPr>
          <w:rFonts w:ascii="Arial" w:hAnsi="Arial" w:cs="Arial"/>
          <w:sz w:val="20"/>
        </w:rPr>
        <w:t>–</w:t>
      </w:r>
    </w:p>
    <w:p w14:paraId="00A05F18" w14:textId="40986EC4" w:rsidR="00030902" w:rsidRDefault="00F6484E">
      <w:pPr>
        <w:jc w:val="both"/>
        <w:rPr>
          <w:rFonts w:ascii="Arial" w:hAnsi="Arial" w:cs="Arial"/>
          <w:sz w:val="20"/>
        </w:rPr>
      </w:pPr>
      <w:r>
        <w:rPr>
          <w:rFonts w:ascii="Arial" w:hAnsi="Arial" w:cs="Arial"/>
          <w:sz w:val="20"/>
        </w:rPr>
        <w:t xml:space="preserve">at the time </w:t>
      </w:r>
      <w:r w:rsidR="004434DB">
        <w:rPr>
          <w:rFonts w:ascii="Arial" w:hAnsi="Arial" w:cs="Arial"/>
          <w:sz w:val="20"/>
        </w:rPr>
        <w:t xml:space="preserve">at which the proceeding </w:t>
      </w:r>
      <w:r>
        <w:rPr>
          <w:rFonts w:ascii="Arial" w:hAnsi="Arial" w:cs="Arial"/>
          <w:sz w:val="20"/>
        </w:rPr>
        <w:t>commenced must be</w:t>
      </w:r>
      <w:r w:rsidR="00FD5F44" w:rsidRPr="00A31FFA">
        <w:rPr>
          <w:rFonts w:ascii="Arial" w:hAnsi="Arial" w:cs="Arial"/>
          <w:sz w:val="20"/>
        </w:rPr>
        <w:t>–</w:t>
      </w:r>
    </w:p>
    <w:p w14:paraId="236CC4C8" w14:textId="77777777" w:rsidR="00030902" w:rsidRDefault="00030902" w:rsidP="00066CC5">
      <w:pPr>
        <w:ind w:left="357" w:hanging="357"/>
        <w:jc w:val="both"/>
        <w:rPr>
          <w:rFonts w:ascii="Arial" w:hAnsi="Arial" w:cs="Arial"/>
          <w:sz w:val="20"/>
        </w:rPr>
      </w:pPr>
      <w:r>
        <w:rPr>
          <w:rFonts w:ascii="Arial" w:hAnsi="Arial" w:cs="Arial"/>
          <w:sz w:val="20"/>
        </w:rPr>
        <w:t>(a)</w:t>
      </w:r>
      <w:r>
        <w:rPr>
          <w:rFonts w:ascii="Arial" w:hAnsi="Arial" w:cs="Arial"/>
          <w:sz w:val="20"/>
        </w:rPr>
        <w:tab/>
      </w:r>
      <w:r w:rsidR="004434DB">
        <w:rPr>
          <w:rFonts w:ascii="Arial" w:hAnsi="Arial" w:cs="Arial"/>
          <w:sz w:val="20"/>
        </w:rPr>
        <w:t>give</w:t>
      </w:r>
      <w:r>
        <w:rPr>
          <w:rFonts w:ascii="Arial" w:hAnsi="Arial" w:cs="Arial"/>
          <w:sz w:val="20"/>
        </w:rPr>
        <w:t>n at a special hearing and recorded</w:t>
      </w:r>
      <w:r w:rsidR="00BE1886">
        <w:rPr>
          <w:rFonts w:ascii="Arial" w:hAnsi="Arial" w:cs="Arial"/>
          <w:sz w:val="20"/>
        </w:rPr>
        <w:t xml:space="preserve"> as an audio</w:t>
      </w:r>
      <w:r w:rsidR="00712515">
        <w:rPr>
          <w:rFonts w:ascii="Arial" w:hAnsi="Arial" w:cs="Arial"/>
          <w:sz w:val="20"/>
        </w:rPr>
        <w:t xml:space="preserve"> </w:t>
      </w:r>
      <w:r w:rsidR="00BE1886">
        <w:rPr>
          <w:rFonts w:ascii="Arial" w:hAnsi="Arial" w:cs="Arial"/>
          <w:sz w:val="20"/>
        </w:rPr>
        <w:t>visual recording</w:t>
      </w:r>
      <w:r>
        <w:rPr>
          <w:rFonts w:ascii="Arial" w:hAnsi="Arial" w:cs="Arial"/>
          <w:sz w:val="20"/>
        </w:rPr>
        <w:t>; and</w:t>
      </w:r>
    </w:p>
    <w:p w14:paraId="1EC5F4D1" w14:textId="77777777" w:rsidR="00030902" w:rsidRDefault="00030902" w:rsidP="00066CC5">
      <w:pPr>
        <w:ind w:left="357" w:hanging="357"/>
        <w:jc w:val="both"/>
        <w:rPr>
          <w:rFonts w:ascii="Arial" w:hAnsi="Arial" w:cs="Arial"/>
          <w:sz w:val="20"/>
        </w:rPr>
      </w:pPr>
      <w:r>
        <w:rPr>
          <w:rFonts w:ascii="Arial" w:hAnsi="Arial" w:cs="Arial"/>
          <w:sz w:val="20"/>
        </w:rPr>
        <w:t>(b)</w:t>
      </w:r>
      <w:r>
        <w:rPr>
          <w:rFonts w:ascii="Arial" w:hAnsi="Arial" w:cs="Arial"/>
          <w:sz w:val="20"/>
        </w:rPr>
        <w:tab/>
        <w:t xml:space="preserve">presented to the </w:t>
      </w:r>
      <w:r w:rsidR="00E74C2D">
        <w:rPr>
          <w:rFonts w:ascii="Arial" w:hAnsi="Arial" w:cs="Arial"/>
          <w:sz w:val="20"/>
        </w:rPr>
        <w:t xml:space="preserve">trial </w:t>
      </w:r>
      <w:r>
        <w:rPr>
          <w:rFonts w:ascii="Arial" w:hAnsi="Arial" w:cs="Arial"/>
          <w:sz w:val="20"/>
        </w:rPr>
        <w:t>court in the form of that recording.</w:t>
      </w:r>
    </w:p>
    <w:p w14:paraId="2B4DB1D5" w14:textId="77777777" w:rsidR="00BE1886" w:rsidRDefault="00BE1886">
      <w:pPr>
        <w:jc w:val="both"/>
        <w:rPr>
          <w:rFonts w:ascii="Arial" w:hAnsi="Arial" w:cs="Arial"/>
          <w:sz w:val="20"/>
        </w:rPr>
      </w:pPr>
    </w:p>
    <w:p w14:paraId="5EAC078A" w14:textId="10946C9C" w:rsidR="00BE1886" w:rsidRDefault="00F6484E">
      <w:pPr>
        <w:jc w:val="both"/>
        <w:rPr>
          <w:rFonts w:ascii="Arial" w:hAnsi="Arial" w:cs="Arial"/>
          <w:sz w:val="20"/>
        </w:rPr>
      </w:pPr>
      <w:r>
        <w:rPr>
          <w:rFonts w:ascii="Arial" w:hAnsi="Arial" w:cs="Arial"/>
          <w:sz w:val="20"/>
        </w:rPr>
        <w:t>Under s.</w:t>
      </w:r>
      <w:r w:rsidR="00BE1886">
        <w:rPr>
          <w:rFonts w:ascii="Arial" w:hAnsi="Arial" w:cs="Arial"/>
          <w:sz w:val="20"/>
        </w:rPr>
        <w:t>370</w:t>
      </w:r>
      <w:r>
        <w:rPr>
          <w:rFonts w:ascii="Arial" w:hAnsi="Arial" w:cs="Arial"/>
          <w:sz w:val="20"/>
        </w:rPr>
        <w:t>(</w:t>
      </w:r>
      <w:r w:rsidR="00BE1886">
        <w:rPr>
          <w:rFonts w:ascii="Arial" w:hAnsi="Arial" w:cs="Arial"/>
          <w:sz w:val="20"/>
        </w:rPr>
        <w:t>2</w:t>
      </w:r>
      <w:r>
        <w:rPr>
          <w:rFonts w:ascii="Arial" w:hAnsi="Arial" w:cs="Arial"/>
          <w:sz w:val="20"/>
        </w:rPr>
        <w:t>) the court may, on the application of the prosecution, direct that s.</w:t>
      </w:r>
      <w:r w:rsidR="00BE1886">
        <w:rPr>
          <w:rFonts w:ascii="Arial" w:hAnsi="Arial" w:cs="Arial"/>
          <w:sz w:val="20"/>
        </w:rPr>
        <w:t>370</w:t>
      </w:r>
      <w:r>
        <w:rPr>
          <w:rFonts w:ascii="Arial" w:hAnsi="Arial" w:cs="Arial"/>
          <w:sz w:val="20"/>
        </w:rPr>
        <w:t>(</w:t>
      </w:r>
      <w:r w:rsidR="00BE1886">
        <w:rPr>
          <w:rFonts w:ascii="Arial" w:hAnsi="Arial" w:cs="Arial"/>
          <w:sz w:val="20"/>
        </w:rPr>
        <w:t>1</w:t>
      </w:r>
      <w:r>
        <w:rPr>
          <w:rFonts w:ascii="Arial" w:hAnsi="Arial" w:cs="Arial"/>
          <w:sz w:val="20"/>
        </w:rPr>
        <w:t xml:space="preserve">) is not to apply and that the complainant is to give direct testimony </w:t>
      </w:r>
      <w:r w:rsidR="00BE1886">
        <w:rPr>
          <w:rFonts w:ascii="Arial" w:hAnsi="Arial" w:cs="Arial"/>
          <w:sz w:val="20"/>
        </w:rPr>
        <w:t xml:space="preserve">in the </w:t>
      </w:r>
      <w:r w:rsidR="00E74C2D">
        <w:rPr>
          <w:rFonts w:ascii="Arial" w:hAnsi="Arial" w:cs="Arial"/>
          <w:sz w:val="20"/>
        </w:rPr>
        <w:t>trial</w:t>
      </w:r>
      <w:r w:rsidR="00BE1886">
        <w:rPr>
          <w:rFonts w:ascii="Arial" w:hAnsi="Arial" w:cs="Arial"/>
          <w:sz w:val="20"/>
        </w:rPr>
        <w:t xml:space="preserve"> if the court is satisfied that the complainant</w:t>
      </w:r>
      <w:r w:rsidR="00FD5F44" w:rsidRPr="00A31FFA">
        <w:rPr>
          <w:rFonts w:ascii="Arial" w:hAnsi="Arial" w:cs="Arial"/>
          <w:sz w:val="20"/>
        </w:rPr>
        <w:t>–</w:t>
      </w:r>
    </w:p>
    <w:p w14:paraId="08AA2273" w14:textId="77777777" w:rsidR="00BE1886" w:rsidRDefault="00BE1886" w:rsidP="007C4486">
      <w:pPr>
        <w:ind w:left="357" w:hanging="357"/>
        <w:jc w:val="both"/>
        <w:rPr>
          <w:rFonts w:ascii="Arial" w:hAnsi="Arial" w:cs="Arial"/>
          <w:sz w:val="20"/>
        </w:rPr>
      </w:pPr>
      <w:r>
        <w:rPr>
          <w:rFonts w:ascii="Arial" w:hAnsi="Arial" w:cs="Arial"/>
          <w:sz w:val="20"/>
        </w:rPr>
        <w:t>(a)</w:t>
      </w:r>
      <w:r>
        <w:rPr>
          <w:rFonts w:ascii="Arial" w:hAnsi="Arial" w:cs="Arial"/>
          <w:sz w:val="20"/>
        </w:rPr>
        <w:tab/>
        <w:t>is aware of the right to have his or her evidence taken at a special hearing under Division 6 of Part 8.2 and audiovisually recorded; and</w:t>
      </w:r>
    </w:p>
    <w:p w14:paraId="01F84164" w14:textId="77777777" w:rsidR="00BE1886" w:rsidRDefault="00BE1886" w:rsidP="007C4486">
      <w:pPr>
        <w:ind w:left="357" w:hanging="357"/>
        <w:jc w:val="both"/>
        <w:rPr>
          <w:rFonts w:ascii="Arial" w:hAnsi="Arial" w:cs="Arial"/>
          <w:sz w:val="20"/>
        </w:rPr>
      </w:pPr>
      <w:r>
        <w:rPr>
          <w:rFonts w:ascii="Arial" w:hAnsi="Arial" w:cs="Arial"/>
          <w:sz w:val="20"/>
        </w:rPr>
        <w:t>(b)</w:t>
      </w:r>
      <w:r>
        <w:rPr>
          <w:rFonts w:ascii="Arial" w:hAnsi="Arial" w:cs="Arial"/>
          <w:sz w:val="20"/>
        </w:rPr>
        <w:tab/>
        <w:t>is able and wishes to give direct testimony in the proceeding.</w:t>
      </w:r>
    </w:p>
    <w:p w14:paraId="2BF141DE" w14:textId="77777777" w:rsidR="00BD1CF2" w:rsidRPr="001D6106" w:rsidRDefault="00BD1CF2" w:rsidP="007C4486">
      <w:pPr>
        <w:jc w:val="both"/>
        <w:rPr>
          <w:rFonts w:ascii="Arial" w:hAnsi="Arial" w:cs="Arial"/>
          <w:sz w:val="16"/>
        </w:rPr>
      </w:pPr>
    </w:p>
    <w:p w14:paraId="61789F64" w14:textId="1D324D0F" w:rsidR="00E74C2D" w:rsidRDefault="00BE1886" w:rsidP="007C4486">
      <w:pPr>
        <w:jc w:val="both"/>
        <w:rPr>
          <w:rFonts w:ascii="Arial" w:hAnsi="Arial" w:cs="Arial"/>
          <w:sz w:val="20"/>
        </w:rPr>
      </w:pPr>
      <w:r>
        <w:rPr>
          <w:rFonts w:ascii="Arial" w:hAnsi="Arial" w:cs="Arial"/>
          <w:sz w:val="20"/>
        </w:rPr>
        <w:t xml:space="preserve">Provisions governing </w:t>
      </w:r>
      <w:r w:rsidR="00F21EE5">
        <w:rPr>
          <w:rFonts w:ascii="Arial" w:hAnsi="Arial" w:cs="Arial"/>
          <w:sz w:val="20"/>
        </w:rPr>
        <w:t xml:space="preserve">the holding and conduct of </w:t>
      </w:r>
      <w:r w:rsidR="0071427D">
        <w:rPr>
          <w:rFonts w:ascii="Arial" w:hAnsi="Arial" w:cs="Arial"/>
          <w:sz w:val="20"/>
        </w:rPr>
        <w:t xml:space="preserve">a special hearing </w:t>
      </w:r>
      <w:r w:rsidR="00AA7D97">
        <w:rPr>
          <w:rFonts w:ascii="Arial" w:hAnsi="Arial" w:cs="Arial"/>
          <w:sz w:val="20"/>
        </w:rPr>
        <w:t>are set out in ss.371</w:t>
      </w:r>
      <w:r w:rsidR="00114B38">
        <w:rPr>
          <w:rFonts w:ascii="Arial" w:hAnsi="Arial" w:cs="Arial"/>
          <w:sz w:val="20"/>
        </w:rPr>
        <w:t xml:space="preserve">, 371A &amp; </w:t>
      </w:r>
      <w:r w:rsidR="00AA7D97">
        <w:rPr>
          <w:rFonts w:ascii="Arial" w:hAnsi="Arial" w:cs="Arial"/>
          <w:sz w:val="20"/>
        </w:rPr>
        <w:t xml:space="preserve">372 of the </w:t>
      </w:r>
      <w:r w:rsidR="00AA7D97" w:rsidRPr="0058675C">
        <w:rPr>
          <w:rFonts w:ascii="Arial" w:hAnsi="Arial" w:cs="Arial"/>
          <w:i/>
          <w:iCs/>
          <w:sz w:val="20"/>
        </w:rPr>
        <w:t>Criminal Procedure Act 2009</w:t>
      </w:r>
      <w:r w:rsidR="00AA7D97">
        <w:rPr>
          <w:rFonts w:ascii="Arial" w:hAnsi="Arial" w:cs="Arial"/>
          <w:sz w:val="20"/>
        </w:rPr>
        <w:t>.  Provisions governing</w:t>
      </w:r>
      <w:r w:rsidR="00E74C2D">
        <w:rPr>
          <w:rFonts w:ascii="Arial" w:hAnsi="Arial" w:cs="Arial"/>
          <w:sz w:val="20"/>
        </w:rPr>
        <w:t xml:space="preserve"> </w:t>
      </w:r>
      <w:r w:rsidR="00AA7D97">
        <w:rPr>
          <w:rFonts w:ascii="Arial" w:hAnsi="Arial" w:cs="Arial"/>
          <w:sz w:val="20"/>
        </w:rPr>
        <w:t xml:space="preserve">the subsequent tendering and admissibility at trial of evidence </w:t>
      </w:r>
      <w:r w:rsidR="00E74C2D">
        <w:rPr>
          <w:rFonts w:ascii="Arial" w:hAnsi="Arial" w:cs="Arial"/>
          <w:sz w:val="20"/>
        </w:rPr>
        <w:t>from</w:t>
      </w:r>
      <w:r w:rsidR="00AA7D97">
        <w:rPr>
          <w:rFonts w:ascii="Arial" w:hAnsi="Arial" w:cs="Arial"/>
          <w:sz w:val="20"/>
        </w:rPr>
        <w:t xml:space="preserve"> a special hearing</w:t>
      </w:r>
      <w:r w:rsidR="00E74C2D">
        <w:rPr>
          <w:rFonts w:ascii="Arial" w:hAnsi="Arial" w:cs="Arial"/>
          <w:sz w:val="20"/>
        </w:rPr>
        <w:t xml:space="preserve"> are set out in ss.373-37</w:t>
      </w:r>
      <w:r w:rsidR="00481276">
        <w:rPr>
          <w:rFonts w:ascii="Arial" w:hAnsi="Arial" w:cs="Arial"/>
          <w:sz w:val="20"/>
        </w:rPr>
        <w:t>5</w:t>
      </w:r>
      <w:r w:rsidR="00E74C2D">
        <w:rPr>
          <w:rFonts w:ascii="Arial" w:hAnsi="Arial" w:cs="Arial"/>
          <w:sz w:val="20"/>
        </w:rPr>
        <w:t>.  Section 376 prohibits cross-examination or re-examination at trial without leave of a complainant whose evidence is recorded under s.370.</w:t>
      </w:r>
      <w:r w:rsidR="005B005D">
        <w:rPr>
          <w:rFonts w:ascii="Arial" w:hAnsi="Arial" w:cs="Arial"/>
          <w:sz w:val="20"/>
        </w:rPr>
        <w:t xml:space="preserve"> Section 377 previously provided an exception to the hearsay rule in relation to previous representations made by a complainant under 18 years in certain circumstances. This matter is now provided for in s.66 of the </w:t>
      </w:r>
      <w:r w:rsidR="005B005D" w:rsidRPr="00657C22">
        <w:rPr>
          <w:rFonts w:ascii="Arial" w:hAnsi="Arial" w:cs="Arial"/>
          <w:i/>
          <w:iCs/>
          <w:sz w:val="20"/>
        </w:rPr>
        <w:t>Evidence Act 2008</w:t>
      </w:r>
      <w:r w:rsidR="005B005D">
        <w:rPr>
          <w:rFonts w:ascii="Arial" w:hAnsi="Arial" w:cs="Arial"/>
          <w:sz w:val="20"/>
        </w:rPr>
        <w:t>.</w:t>
      </w:r>
    </w:p>
    <w:p w14:paraId="7452307A" w14:textId="77777777" w:rsidR="00DE379A" w:rsidRDefault="00DE379A" w:rsidP="00DE379A">
      <w:pPr>
        <w:jc w:val="both"/>
        <w:rPr>
          <w:rFonts w:ascii="Arial" w:hAnsi="Arial" w:cs="Arial"/>
          <w:sz w:val="20"/>
        </w:rPr>
      </w:pPr>
    </w:p>
    <w:p w14:paraId="101A9D41" w14:textId="3D9EDFBE" w:rsidR="00DE379A" w:rsidRPr="009F25D4" w:rsidRDefault="00DE379A" w:rsidP="00DE379A">
      <w:pPr>
        <w:pStyle w:val="Heading3"/>
        <w:keepNext/>
        <w:spacing w:line="240" w:lineRule="auto"/>
        <w:rPr>
          <w:rFonts w:ascii="Arial" w:hAnsi="Arial" w:cs="Arial"/>
          <w:b/>
          <w:bCs/>
          <w:color w:val="000000"/>
          <w:sz w:val="20"/>
        </w:rPr>
      </w:pPr>
      <w:bookmarkStart w:id="707" w:name="_3.5.5.2_Evidence_in"/>
      <w:bookmarkStart w:id="708" w:name="B3552"/>
      <w:bookmarkStart w:id="709" w:name="_3.5.5.2_Use_of"/>
      <w:bookmarkEnd w:id="707"/>
      <w:bookmarkEnd w:id="708"/>
      <w:bookmarkEnd w:id="709"/>
      <w:r w:rsidRPr="00520380">
        <w:rPr>
          <w:rFonts w:ascii="Arial" w:hAnsi="Arial" w:cs="Arial"/>
          <w:b/>
          <w:sz w:val="20"/>
        </w:rPr>
        <w:t>3.5.5.</w:t>
      </w:r>
      <w:r>
        <w:rPr>
          <w:rFonts w:ascii="Arial" w:hAnsi="Arial" w:cs="Arial"/>
          <w:b/>
          <w:sz w:val="20"/>
        </w:rPr>
        <w:t>2</w:t>
      </w:r>
      <w:r w:rsidRPr="00520380">
        <w:rPr>
          <w:rFonts w:ascii="Arial" w:hAnsi="Arial" w:cs="Arial"/>
          <w:b/>
          <w:sz w:val="20"/>
        </w:rPr>
        <w:tab/>
      </w:r>
      <w:r>
        <w:rPr>
          <w:rFonts w:ascii="Arial" w:hAnsi="Arial" w:cs="Arial"/>
          <w:b/>
          <w:sz w:val="20"/>
        </w:rPr>
        <w:t>Use of recorded evidence</w:t>
      </w:r>
      <w:r w:rsidR="00E825F9">
        <w:rPr>
          <w:rFonts w:ascii="Arial" w:hAnsi="Arial" w:cs="Arial"/>
          <w:b/>
          <w:sz w:val="20"/>
        </w:rPr>
        <w:t xml:space="preserve"> </w:t>
      </w:r>
      <w:r w:rsidR="0056008F">
        <w:rPr>
          <w:rFonts w:ascii="Arial" w:hAnsi="Arial" w:cs="Arial"/>
          <w:b/>
          <w:sz w:val="20"/>
        </w:rPr>
        <w:t xml:space="preserve">of complainants </w:t>
      </w:r>
      <w:r w:rsidR="00BB1C44">
        <w:rPr>
          <w:rFonts w:ascii="Arial" w:hAnsi="Arial" w:cs="Arial"/>
          <w:b/>
          <w:sz w:val="20"/>
        </w:rPr>
        <w:t xml:space="preserve">more </w:t>
      </w:r>
      <w:r>
        <w:rPr>
          <w:rFonts w:ascii="Arial" w:hAnsi="Arial" w:cs="Arial"/>
          <w:b/>
          <w:sz w:val="20"/>
        </w:rPr>
        <w:t>generally</w:t>
      </w:r>
    </w:p>
    <w:p w14:paraId="16FD943C" w14:textId="01DD0BC7" w:rsidR="00BB62AF" w:rsidRDefault="00D13481" w:rsidP="008A1AD2">
      <w:pPr>
        <w:spacing w:before="120"/>
        <w:jc w:val="both"/>
        <w:rPr>
          <w:rFonts w:ascii="Arial" w:hAnsi="Arial" w:cs="Arial"/>
          <w:sz w:val="20"/>
        </w:rPr>
      </w:pPr>
      <w:r>
        <w:rPr>
          <w:rFonts w:ascii="Arial" w:hAnsi="Arial" w:cs="Arial"/>
          <w:b/>
          <w:bCs/>
          <w:color w:val="FFFFFF" w:themeColor="background1"/>
          <w:sz w:val="20"/>
          <w:shd w:val="clear" w:color="auto" w:fill="000000" w:themeFill="text1"/>
        </w:rPr>
        <w:t>Special hearing and/or trial:</w:t>
      </w:r>
      <w:r w:rsidRPr="00D13481">
        <w:rPr>
          <w:rFonts w:ascii="Arial" w:hAnsi="Arial" w:cs="Arial"/>
          <w:color w:val="000000" w:themeColor="text1"/>
          <w:sz w:val="20"/>
        </w:rPr>
        <w:t xml:space="preserve"> </w:t>
      </w:r>
      <w:r w:rsidR="008A1AD2">
        <w:rPr>
          <w:rFonts w:ascii="Arial" w:hAnsi="Arial" w:cs="Arial"/>
          <w:color w:val="000000" w:themeColor="text1"/>
          <w:sz w:val="20"/>
        </w:rPr>
        <w:t xml:space="preserve"> </w:t>
      </w:r>
      <w:r w:rsidR="00481276" w:rsidRPr="00C31AA5">
        <w:rPr>
          <w:rFonts w:ascii="Arial" w:hAnsi="Arial" w:cs="Arial"/>
          <w:b/>
          <w:bCs/>
          <w:color w:val="000000" w:themeColor="text1"/>
          <w:sz w:val="20"/>
          <w:shd w:val="clear" w:color="auto" w:fill="FFFF00"/>
        </w:rPr>
        <w:t>Division 7 (ss.378-38</w:t>
      </w:r>
      <w:r w:rsidR="00BB62AF" w:rsidRPr="00C31AA5">
        <w:rPr>
          <w:rFonts w:ascii="Arial" w:hAnsi="Arial" w:cs="Arial"/>
          <w:b/>
          <w:bCs/>
          <w:color w:val="000000" w:themeColor="text1"/>
          <w:sz w:val="20"/>
          <w:shd w:val="clear" w:color="auto" w:fill="FFFF00"/>
        </w:rPr>
        <w:t>7</w:t>
      </w:r>
      <w:r w:rsidR="00481276" w:rsidRPr="00C31AA5">
        <w:rPr>
          <w:rFonts w:ascii="Arial" w:hAnsi="Arial" w:cs="Arial"/>
          <w:b/>
          <w:bCs/>
          <w:color w:val="000000" w:themeColor="text1"/>
          <w:sz w:val="20"/>
          <w:shd w:val="clear" w:color="auto" w:fill="FFFF00"/>
        </w:rPr>
        <w:t>) of Part 8.2</w:t>
      </w:r>
      <w:r w:rsidR="00481276">
        <w:rPr>
          <w:rFonts w:ascii="Arial" w:hAnsi="Arial" w:cs="Arial"/>
          <w:sz w:val="20"/>
        </w:rPr>
        <w:t xml:space="preserve"> of the </w:t>
      </w:r>
      <w:r w:rsidR="00481276" w:rsidRPr="0058675C">
        <w:rPr>
          <w:rFonts w:ascii="Arial" w:hAnsi="Arial" w:cs="Arial"/>
          <w:i/>
          <w:iCs/>
          <w:sz w:val="20"/>
        </w:rPr>
        <w:t>Criminal Procedure Act 2009</w:t>
      </w:r>
      <w:r w:rsidR="00481276" w:rsidRPr="00C067B4">
        <w:rPr>
          <w:rFonts w:ascii="Arial" w:hAnsi="Arial" w:cs="Arial"/>
          <w:sz w:val="20"/>
          <w:u w:val="single"/>
        </w:rPr>
        <w:t xml:space="preserve"> </w:t>
      </w:r>
      <w:r w:rsidR="00481276">
        <w:rPr>
          <w:rFonts w:ascii="Arial" w:hAnsi="Arial" w:cs="Arial"/>
          <w:sz w:val="20"/>
        </w:rPr>
        <w:t>applies</w:t>
      </w:r>
      <w:r w:rsidR="00FD5F44" w:rsidRPr="00A31FFA">
        <w:rPr>
          <w:rFonts w:ascii="Arial" w:hAnsi="Arial" w:cs="Arial"/>
          <w:sz w:val="20"/>
        </w:rPr>
        <w:t>–</w:t>
      </w:r>
    </w:p>
    <w:p w14:paraId="50EBBB15" w14:textId="5B3ACF72" w:rsidR="00BB62AF" w:rsidRPr="007C4486" w:rsidRDefault="00BB62AF">
      <w:pPr>
        <w:pStyle w:val="ListParagraph"/>
        <w:numPr>
          <w:ilvl w:val="0"/>
          <w:numId w:val="73"/>
        </w:numPr>
        <w:ind w:left="357" w:hanging="357"/>
        <w:jc w:val="both"/>
        <w:rPr>
          <w:rFonts w:ascii="Arial" w:hAnsi="Arial" w:cs="Arial"/>
          <w:sz w:val="20"/>
        </w:rPr>
      </w:pPr>
      <w:r w:rsidRPr="007C4486">
        <w:rPr>
          <w:rFonts w:ascii="Arial" w:hAnsi="Arial" w:cs="Arial"/>
          <w:sz w:val="20"/>
        </w:rPr>
        <w:t xml:space="preserve">to </w:t>
      </w:r>
      <w:r w:rsidR="009B4F19" w:rsidRPr="007C4486">
        <w:rPr>
          <w:rFonts w:ascii="Arial" w:hAnsi="Arial" w:cs="Arial"/>
          <w:sz w:val="20"/>
        </w:rPr>
        <w:t xml:space="preserve">a </w:t>
      </w:r>
      <w:r w:rsidR="002D1BA6" w:rsidRPr="007C4486">
        <w:rPr>
          <w:rFonts w:ascii="Arial" w:hAnsi="Arial" w:cs="Arial"/>
          <w:sz w:val="20"/>
        </w:rPr>
        <w:t xml:space="preserve">special hearing and/or a trial in a </w:t>
      </w:r>
      <w:r w:rsidRPr="007C4486">
        <w:rPr>
          <w:rFonts w:ascii="Arial" w:hAnsi="Arial" w:cs="Arial"/>
          <w:sz w:val="20"/>
        </w:rPr>
        <w:t>criminal proceeding that relates (wholly or partly) to a charge for a sexual offence; and</w:t>
      </w:r>
    </w:p>
    <w:p w14:paraId="5F361352" w14:textId="7A351D4E" w:rsidR="009B4F19" w:rsidRPr="007C4486" w:rsidRDefault="00BB62AF">
      <w:pPr>
        <w:pStyle w:val="ListParagraph"/>
        <w:numPr>
          <w:ilvl w:val="0"/>
          <w:numId w:val="73"/>
        </w:numPr>
        <w:ind w:left="357" w:hanging="357"/>
        <w:jc w:val="both"/>
        <w:rPr>
          <w:rFonts w:ascii="Arial" w:hAnsi="Arial" w:cs="Arial"/>
          <w:sz w:val="20"/>
        </w:rPr>
      </w:pPr>
      <w:r w:rsidRPr="007C4486">
        <w:rPr>
          <w:rFonts w:ascii="Arial" w:hAnsi="Arial" w:cs="Arial"/>
          <w:sz w:val="20"/>
        </w:rPr>
        <w:t xml:space="preserve">to a </w:t>
      </w:r>
      <w:r w:rsidR="009B4F19" w:rsidRPr="007C4486">
        <w:rPr>
          <w:rFonts w:ascii="Arial" w:hAnsi="Arial" w:cs="Arial"/>
          <w:sz w:val="20"/>
        </w:rPr>
        <w:t>recording of the evidence (including cross-examination and re-examination) of a complainant (other than one whose evidence has been taken at a special hearing under Division 6).</w:t>
      </w:r>
    </w:p>
    <w:p w14:paraId="5DDA5F37" w14:textId="6EFC7A42" w:rsidR="00BB62AF" w:rsidRDefault="002D1BA6" w:rsidP="00BB62AF">
      <w:pPr>
        <w:jc w:val="both"/>
        <w:rPr>
          <w:rFonts w:ascii="Arial" w:hAnsi="Arial" w:cs="Arial"/>
          <w:sz w:val="20"/>
        </w:rPr>
      </w:pPr>
      <w:r>
        <w:rPr>
          <w:rFonts w:ascii="Arial" w:hAnsi="Arial" w:cs="Arial"/>
          <w:sz w:val="20"/>
        </w:rPr>
        <w:t>These provisions have no application to summary hearings</w:t>
      </w:r>
      <w:r w:rsidR="00447687">
        <w:rPr>
          <w:rFonts w:ascii="Arial" w:hAnsi="Arial" w:cs="Arial"/>
          <w:sz w:val="20"/>
        </w:rPr>
        <w:t xml:space="preserve"> in the Magistrates’ Court or Children’s Court: see the explanatory memorandum </w:t>
      </w:r>
      <w:r w:rsidR="00447687" w:rsidRPr="00447687">
        <w:rPr>
          <w:rFonts w:ascii="Arial" w:hAnsi="Arial" w:cs="Arial"/>
          <w:sz w:val="20"/>
          <w:szCs w:val="20"/>
        </w:rPr>
        <w:t xml:space="preserve">to </w:t>
      </w:r>
      <w:r w:rsidR="00447687">
        <w:rPr>
          <w:rFonts w:ascii="Arial" w:hAnsi="Arial" w:cs="Arial"/>
          <w:sz w:val="20"/>
          <w:szCs w:val="20"/>
        </w:rPr>
        <w:t xml:space="preserve">the </w:t>
      </w:r>
      <w:r w:rsidR="00447687" w:rsidRPr="00447687">
        <w:rPr>
          <w:rFonts w:ascii="Arial" w:hAnsi="Arial" w:cs="Arial"/>
          <w:i/>
          <w:iCs/>
          <w:sz w:val="20"/>
          <w:szCs w:val="20"/>
        </w:rPr>
        <w:t>Criminal Procedure Amendment (Consequential and Transitional Provisions) Bill 2009</w:t>
      </w:r>
      <w:r w:rsidR="00447687">
        <w:rPr>
          <w:rFonts w:ascii="Arial" w:hAnsi="Arial" w:cs="Arial"/>
          <w:sz w:val="20"/>
          <w:szCs w:val="20"/>
        </w:rPr>
        <w:t>.</w:t>
      </w:r>
    </w:p>
    <w:p w14:paraId="24B37951" w14:textId="77777777" w:rsidR="003B1399" w:rsidRDefault="003B1399" w:rsidP="003B1399">
      <w:pPr>
        <w:jc w:val="both"/>
        <w:rPr>
          <w:rFonts w:ascii="Arial" w:hAnsi="Arial" w:cs="Arial"/>
          <w:sz w:val="20"/>
        </w:rPr>
      </w:pPr>
    </w:p>
    <w:p w14:paraId="1441E215" w14:textId="2615AA99" w:rsidR="003B1399" w:rsidRDefault="003B1399" w:rsidP="003B1399">
      <w:pPr>
        <w:jc w:val="both"/>
        <w:rPr>
          <w:rFonts w:ascii="Arial" w:hAnsi="Arial" w:cs="Arial"/>
          <w:sz w:val="20"/>
        </w:rPr>
      </w:pPr>
      <w:r>
        <w:rPr>
          <w:rFonts w:ascii="Arial" w:hAnsi="Arial" w:cs="Arial"/>
          <w:sz w:val="20"/>
        </w:rPr>
        <w:t>Under s.379 a recording is admissible in evidence as if its contents were the direct testimony of the complainant</w:t>
      </w:r>
      <w:r w:rsidR="00FD5F44" w:rsidRPr="00A31FFA">
        <w:rPr>
          <w:rFonts w:ascii="Arial" w:hAnsi="Arial" w:cs="Arial"/>
          <w:sz w:val="20"/>
        </w:rPr>
        <w:t>–</w:t>
      </w:r>
    </w:p>
    <w:p w14:paraId="3E8B084F" w14:textId="77777777" w:rsidR="003B1399" w:rsidRDefault="003B1399" w:rsidP="003B1399">
      <w:pPr>
        <w:ind w:left="357" w:hanging="357"/>
        <w:jc w:val="both"/>
        <w:rPr>
          <w:rFonts w:ascii="Arial" w:hAnsi="Arial" w:cs="Arial"/>
          <w:sz w:val="20"/>
        </w:rPr>
      </w:pPr>
      <w:r>
        <w:rPr>
          <w:rFonts w:ascii="Arial" w:hAnsi="Arial" w:cs="Arial"/>
          <w:sz w:val="20"/>
        </w:rPr>
        <w:t>(a)</w:t>
      </w:r>
      <w:r>
        <w:rPr>
          <w:rFonts w:ascii="Arial" w:hAnsi="Arial" w:cs="Arial"/>
          <w:sz w:val="20"/>
        </w:rPr>
        <w:tab/>
        <w:t>in the proceeding; and</w:t>
      </w:r>
    </w:p>
    <w:p w14:paraId="76CA9FE1" w14:textId="7CB5C4C1" w:rsidR="003B1399" w:rsidRDefault="003B1399" w:rsidP="003B1399">
      <w:pPr>
        <w:ind w:left="357" w:hanging="357"/>
        <w:jc w:val="both"/>
        <w:rPr>
          <w:rFonts w:ascii="Arial" w:hAnsi="Arial" w:cs="Arial"/>
          <w:sz w:val="20"/>
        </w:rPr>
      </w:pPr>
      <w:r>
        <w:rPr>
          <w:rFonts w:ascii="Arial" w:hAnsi="Arial" w:cs="Arial"/>
          <w:sz w:val="20"/>
        </w:rPr>
        <w:t>(b)</w:t>
      </w:r>
      <w:r>
        <w:rPr>
          <w:rFonts w:ascii="Arial" w:hAnsi="Arial" w:cs="Arial"/>
          <w:sz w:val="20"/>
        </w:rPr>
        <w:tab/>
        <w:t>unless the relevant court otherwise orders, in</w:t>
      </w:r>
      <w:r w:rsidR="00FD5F44" w:rsidRPr="00A31FFA">
        <w:rPr>
          <w:rFonts w:ascii="Arial" w:hAnsi="Arial" w:cs="Arial"/>
          <w:sz w:val="20"/>
        </w:rPr>
        <w:t>–</w:t>
      </w:r>
    </w:p>
    <w:p w14:paraId="56646B21" w14:textId="75DBFB44" w:rsidR="003B1399" w:rsidRDefault="003B1399" w:rsidP="003B1399">
      <w:pPr>
        <w:ind w:left="811" w:hanging="454"/>
        <w:jc w:val="both"/>
        <w:rPr>
          <w:rFonts w:ascii="Arial" w:hAnsi="Arial" w:cs="Arial"/>
          <w:sz w:val="20"/>
        </w:rPr>
      </w:pPr>
      <w:r>
        <w:rPr>
          <w:rFonts w:ascii="Arial" w:hAnsi="Arial" w:cs="Arial"/>
          <w:sz w:val="20"/>
        </w:rPr>
        <w:t>(i)</w:t>
      </w:r>
      <w:r>
        <w:rPr>
          <w:rFonts w:ascii="Arial" w:hAnsi="Arial" w:cs="Arial"/>
          <w:sz w:val="20"/>
        </w:rPr>
        <w:tab/>
        <w:t>in any new trial of, or appeal from, the proceeding; or</w:t>
      </w:r>
    </w:p>
    <w:p w14:paraId="656EBC82" w14:textId="3C18B655" w:rsidR="003B1399" w:rsidRDefault="003B1399" w:rsidP="00C42902">
      <w:pPr>
        <w:ind w:left="811" w:hanging="454"/>
        <w:jc w:val="both"/>
        <w:rPr>
          <w:rFonts w:ascii="Arial" w:hAnsi="Arial" w:cs="Arial"/>
          <w:sz w:val="20"/>
        </w:rPr>
      </w:pPr>
      <w:r>
        <w:rPr>
          <w:rFonts w:ascii="Arial" w:hAnsi="Arial" w:cs="Arial"/>
          <w:sz w:val="20"/>
        </w:rPr>
        <w:t>(ii)</w:t>
      </w:r>
      <w:r>
        <w:rPr>
          <w:rFonts w:ascii="Arial" w:hAnsi="Arial" w:cs="Arial"/>
          <w:sz w:val="20"/>
        </w:rPr>
        <w:tab/>
        <w:t>another proceeding in the same court for the charge for a sexual offence or a related offence; or</w:t>
      </w:r>
    </w:p>
    <w:p w14:paraId="4CA39EA3" w14:textId="760E216F" w:rsidR="00C42902" w:rsidRPr="00C42902" w:rsidRDefault="00C42902">
      <w:pPr>
        <w:pStyle w:val="ListParagraph"/>
        <w:numPr>
          <w:ilvl w:val="0"/>
          <w:numId w:val="77"/>
        </w:numPr>
        <w:ind w:left="811" w:hanging="454"/>
        <w:jc w:val="both"/>
        <w:rPr>
          <w:rFonts w:ascii="Arial" w:hAnsi="Arial" w:cs="Arial"/>
          <w:sz w:val="20"/>
        </w:rPr>
      </w:pPr>
      <w:r w:rsidRPr="000F0BE9">
        <w:rPr>
          <w:rFonts w:ascii="Arial" w:hAnsi="Arial" w:cs="Arial"/>
          <w:sz w:val="20"/>
        </w:rPr>
        <w:t>a civil proceeding arising from the same facts as those for which the charge for a sexual offence is founded.</w:t>
      </w:r>
    </w:p>
    <w:p w14:paraId="0DE22199" w14:textId="77777777" w:rsidR="003B1399" w:rsidRDefault="003B1399" w:rsidP="00BB62AF">
      <w:pPr>
        <w:jc w:val="both"/>
        <w:rPr>
          <w:rFonts w:ascii="Arial" w:hAnsi="Arial" w:cs="Arial"/>
          <w:sz w:val="20"/>
        </w:rPr>
      </w:pPr>
    </w:p>
    <w:p w14:paraId="5F0AA29D" w14:textId="0BE6083E" w:rsidR="00BB62AF" w:rsidRDefault="00BB62AF" w:rsidP="00BD4176">
      <w:pPr>
        <w:jc w:val="both"/>
        <w:rPr>
          <w:rFonts w:ascii="Arial" w:hAnsi="Arial" w:cs="Arial"/>
          <w:sz w:val="20"/>
        </w:rPr>
      </w:pPr>
      <w:r>
        <w:rPr>
          <w:rFonts w:ascii="Arial" w:hAnsi="Arial" w:cs="Arial"/>
          <w:sz w:val="20"/>
        </w:rPr>
        <w:t xml:space="preserve">Under s.381(2) the court may admit the whole </w:t>
      </w:r>
      <w:r w:rsidR="0056008F">
        <w:rPr>
          <w:rFonts w:ascii="Arial" w:hAnsi="Arial" w:cs="Arial"/>
          <w:sz w:val="20"/>
        </w:rPr>
        <w:t xml:space="preserve">or any part of the contents of a recording and may direct that the recording be edited or altered to delete any part of it that is inadmissible.  Under ss.381(1AB) &amp; 381(1) there is a </w:t>
      </w:r>
      <w:r>
        <w:rPr>
          <w:rFonts w:ascii="Arial" w:hAnsi="Arial" w:cs="Arial"/>
          <w:sz w:val="20"/>
        </w:rPr>
        <w:t xml:space="preserve">presumption in favour of admitting </w:t>
      </w:r>
      <w:r w:rsidR="0056008F">
        <w:rPr>
          <w:rFonts w:ascii="Arial" w:hAnsi="Arial" w:cs="Arial"/>
          <w:sz w:val="20"/>
        </w:rPr>
        <w:t>a</w:t>
      </w:r>
      <w:r>
        <w:rPr>
          <w:rFonts w:ascii="Arial" w:hAnsi="Arial" w:cs="Arial"/>
          <w:sz w:val="20"/>
        </w:rPr>
        <w:t xml:space="preserve"> recording of the evidence </w:t>
      </w:r>
      <w:r w:rsidR="0056008F">
        <w:rPr>
          <w:rFonts w:ascii="Arial" w:hAnsi="Arial" w:cs="Arial"/>
          <w:sz w:val="20"/>
        </w:rPr>
        <w:t>of a complainant to a charge for a sexual offence</w:t>
      </w:r>
      <w:r w:rsidR="002D1BA6">
        <w:rPr>
          <w:rFonts w:ascii="Arial" w:hAnsi="Arial" w:cs="Arial"/>
          <w:sz w:val="20"/>
        </w:rPr>
        <w:t>, a presumption</w:t>
      </w:r>
      <w:r>
        <w:rPr>
          <w:rFonts w:ascii="Arial" w:hAnsi="Arial" w:cs="Arial"/>
          <w:sz w:val="20"/>
        </w:rPr>
        <w:t xml:space="preserve"> which is rebutted only if the court considers it is in the interests of justice that the recording </w:t>
      </w:r>
      <w:proofErr w:type="gramStart"/>
      <w:r>
        <w:rPr>
          <w:rFonts w:ascii="Arial" w:hAnsi="Arial" w:cs="Arial"/>
          <w:sz w:val="20"/>
        </w:rPr>
        <w:t>not be</w:t>
      </w:r>
      <w:proofErr w:type="gramEnd"/>
      <w:r>
        <w:rPr>
          <w:rFonts w:ascii="Arial" w:hAnsi="Arial" w:cs="Arial"/>
          <w:sz w:val="20"/>
        </w:rPr>
        <w:t xml:space="preserve"> admitted.</w:t>
      </w:r>
      <w:r w:rsidR="002D1BA6">
        <w:rPr>
          <w:rFonts w:ascii="Arial" w:hAnsi="Arial" w:cs="Arial"/>
          <w:sz w:val="20"/>
        </w:rPr>
        <w:t xml:space="preserve">  Under s.384(1), on the application of the prosecution, the court may direct that the complainant is to give direct testimony additional to a recording if the court is satisfied that</w:t>
      </w:r>
      <w:r w:rsidR="00FD5F44" w:rsidRPr="00A31FFA">
        <w:rPr>
          <w:rFonts w:ascii="Arial" w:hAnsi="Arial" w:cs="Arial"/>
          <w:sz w:val="20"/>
        </w:rPr>
        <w:t>–</w:t>
      </w:r>
    </w:p>
    <w:p w14:paraId="7716450A" w14:textId="0C7B92CA" w:rsidR="009B4F19" w:rsidRDefault="009B4F19" w:rsidP="009B4F19">
      <w:pPr>
        <w:ind w:left="357" w:hanging="357"/>
        <w:jc w:val="both"/>
        <w:rPr>
          <w:rFonts w:ascii="Arial" w:hAnsi="Arial" w:cs="Arial"/>
          <w:sz w:val="20"/>
        </w:rPr>
      </w:pPr>
      <w:r>
        <w:rPr>
          <w:rFonts w:ascii="Arial" w:hAnsi="Arial" w:cs="Arial"/>
          <w:sz w:val="20"/>
        </w:rPr>
        <w:t>(a)</w:t>
      </w:r>
      <w:r>
        <w:rPr>
          <w:rFonts w:ascii="Arial" w:hAnsi="Arial" w:cs="Arial"/>
          <w:sz w:val="20"/>
        </w:rPr>
        <w:tab/>
        <w:t>the complainant is able and wishes to give direct testimony; and</w:t>
      </w:r>
    </w:p>
    <w:p w14:paraId="7BBB149D" w14:textId="62491EE6" w:rsidR="009B4F19" w:rsidRDefault="009B4F19" w:rsidP="009B4F19">
      <w:pPr>
        <w:ind w:left="357" w:hanging="357"/>
        <w:jc w:val="both"/>
        <w:rPr>
          <w:rFonts w:ascii="Arial" w:hAnsi="Arial" w:cs="Arial"/>
          <w:sz w:val="20"/>
        </w:rPr>
      </w:pPr>
      <w:r>
        <w:rPr>
          <w:rFonts w:ascii="Arial" w:hAnsi="Arial" w:cs="Arial"/>
          <w:sz w:val="20"/>
        </w:rPr>
        <w:t>(b)</w:t>
      </w:r>
      <w:r>
        <w:rPr>
          <w:rFonts w:ascii="Arial" w:hAnsi="Arial" w:cs="Arial"/>
          <w:sz w:val="20"/>
        </w:rPr>
        <w:tab/>
        <w:t>it is in the interests of justice to do so.</w:t>
      </w:r>
    </w:p>
    <w:p w14:paraId="363609CC" w14:textId="48E93313" w:rsidR="002E4AE1" w:rsidRPr="008A1AD2" w:rsidRDefault="00D13481" w:rsidP="008A1AD2">
      <w:pPr>
        <w:spacing w:before="120"/>
        <w:jc w:val="both"/>
        <w:rPr>
          <w:rFonts w:ascii="Arial" w:hAnsi="Arial" w:cs="Arial"/>
          <w:b/>
          <w:bCs/>
          <w:color w:val="FFFFFF" w:themeColor="background1"/>
          <w:sz w:val="20"/>
          <w:shd w:val="clear" w:color="auto" w:fill="000000" w:themeFill="text1"/>
        </w:rPr>
      </w:pPr>
      <w:r>
        <w:rPr>
          <w:rFonts w:ascii="Arial" w:hAnsi="Arial" w:cs="Arial"/>
          <w:b/>
          <w:bCs/>
          <w:color w:val="FFFFFF" w:themeColor="background1"/>
          <w:sz w:val="20"/>
          <w:shd w:val="clear" w:color="auto" w:fill="000000" w:themeFill="text1"/>
        </w:rPr>
        <w:lastRenderedPageBreak/>
        <w:t xml:space="preserve">Summary hearing </w:t>
      </w:r>
      <w:r w:rsidR="008A1AD2">
        <w:rPr>
          <w:rFonts w:ascii="Arial" w:hAnsi="Arial" w:cs="Arial"/>
          <w:b/>
          <w:bCs/>
          <w:color w:val="FFFFFF" w:themeColor="background1"/>
          <w:sz w:val="20"/>
          <w:shd w:val="clear" w:color="auto" w:fill="000000" w:themeFill="text1"/>
        </w:rPr>
        <w:t xml:space="preserve">of sexual offence </w:t>
      </w:r>
      <w:r>
        <w:rPr>
          <w:rFonts w:ascii="Arial" w:hAnsi="Arial" w:cs="Arial"/>
          <w:b/>
          <w:bCs/>
          <w:color w:val="FFFFFF" w:themeColor="background1"/>
          <w:sz w:val="20"/>
          <w:shd w:val="clear" w:color="auto" w:fill="000000" w:themeFill="text1"/>
        </w:rPr>
        <w:t>in Children’s Court:</w:t>
      </w:r>
      <w:r w:rsidR="008A1AD2" w:rsidRPr="008A1AD2">
        <w:rPr>
          <w:rFonts w:ascii="Arial" w:hAnsi="Arial" w:cs="Arial"/>
          <w:color w:val="000000" w:themeColor="text1"/>
          <w:sz w:val="20"/>
        </w:rPr>
        <w:t xml:space="preserve">  </w:t>
      </w:r>
      <w:r w:rsidR="002E4AE1" w:rsidRPr="00C31AA5">
        <w:rPr>
          <w:rFonts w:ascii="Arial" w:hAnsi="Arial" w:cs="Arial"/>
          <w:b/>
          <w:bCs/>
          <w:color w:val="000000" w:themeColor="text1"/>
          <w:sz w:val="20"/>
          <w:shd w:val="clear" w:color="auto" w:fill="FFFF00"/>
        </w:rPr>
        <w:t>Division 7A (ss.387A</w:t>
      </w:r>
      <w:r w:rsidR="00CF21A2" w:rsidRPr="00C31AA5">
        <w:rPr>
          <w:rFonts w:ascii="Arial" w:hAnsi="Arial" w:cs="Arial"/>
          <w:b/>
          <w:bCs/>
          <w:color w:val="000000" w:themeColor="text1"/>
          <w:sz w:val="20"/>
          <w:shd w:val="clear" w:color="auto" w:fill="FFFF00"/>
        </w:rPr>
        <w:t xml:space="preserve"> &amp; </w:t>
      </w:r>
      <w:r w:rsidR="009B4F19" w:rsidRPr="00C31AA5">
        <w:rPr>
          <w:rFonts w:ascii="Arial" w:hAnsi="Arial" w:cs="Arial"/>
          <w:b/>
          <w:bCs/>
          <w:color w:val="000000" w:themeColor="text1"/>
          <w:sz w:val="20"/>
          <w:shd w:val="clear" w:color="auto" w:fill="FFFF00"/>
        </w:rPr>
        <w:t>B</w:t>
      </w:r>
      <w:r w:rsidR="002E4AE1" w:rsidRPr="00C31AA5">
        <w:rPr>
          <w:rFonts w:ascii="Arial" w:hAnsi="Arial" w:cs="Arial"/>
          <w:b/>
          <w:bCs/>
          <w:color w:val="000000" w:themeColor="text1"/>
          <w:sz w:val="20"/>
          <w:shd w:val="clear" w:color="auto" w:fill="FFFF00"/>
        </w:rPr>
        <w:t>) of Part 8.2</w:t>
      </w:r>
      <w:r w:rsidR="002E4AE1">
        <w:rPr>
          <w:rFonts w:ascii="Arial" w:hAnsi="Arial" w:cs="Arial"/>
          <w:sz w:val="20"/>
        </w:rPr>
        <w:t xml:space="preserve"> of</w:t>
      </w:r>
      <w:r w:rsidR="00CF21A2">
        <w:rPr>
          <w:rFonts w:ascii="Arial" w:hAnsi="Arial" w:cs="Arial"/>
          <w:sz w:val="20"/>
        </w:rPr>
        <w:t> </w:t>
      </w:r>
      <w:r w:rsidR="002E4AE1">
        <w:rPr>
          <w:rFonts w:ascii="Arial" w:hAnsi="Arial" w:cs="Arial"/>
          <w:sz w:val="20"/>
        </w:rPr>
        <w:t xml:space="preserve">the </w:t>
      </w:r>
      <w:r w:rsidR="002E4AE1" w:rsidRPr="0058675C">
        <w:rPr>
          <w:rFonts w:ascii="Arial" w:hAnsi="Arial" w:cs="Arial"/>
          <w:i/>
          <w:iCs/>
          <w:sz w:val="20"/>
        </w:rPr>
        <w:t>Criminal Procedure Act 2009</w:t>
      </w:r>
      <w:r w:rsidR="0058675C" w:rsidRPr="0058675C">
        <w:rPr>
          <w:rFonts w:ascii="Arial" w:hAnsi="Arial" w:cs="Arial"/>
          <w:sz w:val="20"/>
        </w:rPr>
        <w:t xml:space="preserve"> </w:t>
      </w:r>
      <w:r w:rsidR="002E4AE1">
        <w:rPr>
          <w:rFonts w:ascii="Arial" w:hAnsi="Arial" w:cs="Arial"/>
          <w:sz w:val="20"/>
        </w:rPr>
        <w:t>applies</w:t>
      </w:r>
      <w:r w:rsidR="009B4F19">
        <w:rPr>
          <w:rFonts w:ascii="Arial" w:hAnsi="Arial" w:cs="Arial"/>
          <w:sz w:val="20"/>
        </w:rPr>
        <w:t xml:space="preserve"> to a </w:t>
      </w:r>
      <w:r w:rsidR="00B1605A">
        <w:rPr>
          <w:rFonts w:ascii="Arial" w:hAnsi="Arial" w:cs="Arial"/>
          <w:sz w:val="20"/>
        </w:rPr>
        <w:t xml:space="preserve">summary hearing by the Children’s Court of a </w:t>
      </w:r>
      <w:r w:rsidR="009B4F19">
        <w:rPr>
          <w:rFonts w:ascii="Arial" w:hAnsi="Arial" w:cs="Arial"/>
          <w:sz w:val="20"/>
        </w:rPr>
        <w:t>criminal proceeding that relates (wholly or partly) to a charge for</w:t>
      </w:r>
      <w:r w:rsidR="00641166">
        <w:rPr>
          <w:rFonts w:ascii="Arial" w:hAnsi="Arial" w:cs="Arial"/>
          <w:sz w:val="20"/>
        </w:rPr>
        <w:t>–</w:t>
      </w:r>
    </w:p>
    <w:p w14:paraId="68F16BEC" w14:textId="31319252" w:rsidR="009B4F19" w:rsidRDefault="009B4F19" w:rsidP="009B4F19">
      <w:pPr>
        <w:ind w:left="357" w:hanging="357"/>
        <w:jc w:val="both"/>
        <w:rPr>
          <w:rFonts w:ascii="Arial" w:hAnsi="Arial" w:cs="Arial"/>
          <w:sz w:val="20"/>
        </w:rPr>
      </w:pPr>
      <w:r>
        <w:rPr>
          <w:rFonts w:ascii="Arial" w:hAnsi="Arial" w:cs="Arial"/>
          <w:sz w:val="20"/>
        </w:rPr>
        <w:t>(a)</w:t>
      </w:r>
      <w:r>
        <w:rPr>
          <w:rFonts w:ascii="Arial" w:hAnsi="Arial" w:cs="Arial"/>
          <w:sz w:val="20"/>
        </w:rPr>
        <w:tab/>
        <w:t xml:space="preserve">an offence against any of the following provisions of the </w:t>
      </w:r>
      <w:r w:rsidRPr="0058675C">
        <w:rPr>
          <w:rFonts w:ascii="Arial" w:hAnsi="Arial" w:cs="Arial"/>
          <w:i/>
          <w:iCs/>
          <w:sz w:val="20"/>
        </w:rPr>
        <w:t>Crimes Act 1958</w:t>
      </w:r>
      <w:r w:rsidR="00641166">
        <w:rPr>
          <w:rFonts w:ascii="Arial" w:hAnsi="Arial" w:cs="Arial"/>
          <w:sz w:val="20"/>
        </w:rPr>
        <w:t>–</w:t>
      </w:r>
    </w:p>
    <w:p w14:paraId="1FB51984" w14:textId="24C1403E" w:rsidR="009B4F19" w:rsidRDefault="009B4F19" w:rsidP="009B4F19">
      <w:pPr>
        <w:ind w:left="811" w:hanging="454"/>
        <w:jc w:val="both"/>
        <w:rPr>
          <w:rFonts w:ascii="Arial" w:hAnsi="Arial" w:cs="Arial"/>
          <w:sz w:val="20"/>
        </w:rPr>
      </w:pPr>
      <w:r>
        <w:rPr>
          <w:rFonts w:ascii="Arial" w:hAnsi="Arial" w:cs="Arial"/>
          <w:sz w:val="20"/>
        </w:rPr>
        <w:t>(i)</w:t>
      </w:r>
      <w:r>
        <w:rPr>
          <w:rFonts w:ascii="Arial" w:hAnsi="Arial" w:cs="Arial"/>
          <w:sz w:val="20"/>
        </w:rPr>
        <w:tab/>
        <w:t>s.38 (rape);</w:t>
      </w:r>
    </w:p>
    <w:p w14:paraId="01A0B140" w14:textId="7B27DD38" w:rsidR="009B4F19" w:rsidRDefault="009B4F19" w:rsidP="009B4F19">
      <w:pPr>
        <w:ind w:left="811" w:hanging="454"/>
        <w:jc w:val="both"/>
        <w:rPr>
          <w:rFonts w:ascii="Arial" w:hAnsi="Arial" w:cs="Arial"/>
          <w:sz w:val="20"/>
        </w:rPr>
      </w:pPr>
      <w:r>
        <w:rPr>
          <w:rFonts w:ascii="Arial" w:hAnsi="Arial" w:cs="Arial"/>
          <w:sz w:val="20"/>
        </w:rPr>
        <w:t>(ii)</w:t>
      </w:r>
      <w:r>
        <w:rPr>
          <w:rFonts w:ascii="Arial" w:hAnsi="Arial" w:cs="Arial"/>
          <w:sz w:val="20"/>
        </w:rPr>
        <w:tab/>
        <w:t>s.39 (rape by compelling sexual penetration);</w:t>
      </w:r>
    </w:p>
    <w:p w14:paraId="0CBCA4FE" w14:textId="368B8820" w:rsidR="009B4F19" w:rsidRPr="00C42902" w:rsidRDefault="00C42902" w:rsidP="00C42902">
      <w:pPr>
        <w:ind w:left="811" w:hanging="454"/>
        <w:jc w:val="both"/>
        <w:rPr>
          <w:rFonts w:ascii="Arial" w:hAnsi="Arial" w:cs="Arial"/>
          <w:sz w:val="20"/>
        </w:rPr>
      </w:pPr>
      <w:r>
        <w:rPr>
          <w:rFonts w:ascii="Arial" w:hAnsi="Arial" w:cs="Arial"/>
          <w:sz w:val="20"/>
        </w:rPr>
        <w:t>(iii)</w:t>
      </w:r>
      <w:r>
        <w:rPr>
          <w:rFonts w:ascii="Arial" w:hAnsi="Arial" w:cs="Arial"/>
          <w:sz w:val="20"/>
        </w:rPr>
        <w:tab/>
      </w:r>
      <w:r w:rsidRPr="000F0BE9">
        <w:rPr>
          <w:rFonts w:ascii="Arial" w:hAnsi="Arial" w:cs="Arial"/>
          <w:sz w:val="20"/>
        </w:rPr>
        <w:t>s.49A (sexual penetration of a child &lt; 12);</w:t>
      </w:r>
    </w:p>
    <w:p w14:paraId="7BF7CF7D" w14:textId="1F8A7F30" w:rsidR="009B4F19" w:rsidRPr="009B4F19" w:rsidRDefault="009B4F19">
      <w:pPr>
        <w:pStyle w:val="ListParagraph"/>
        <w:numPr>
          <w:ilvl w:val="0"/>
          <w:numId w:val="68"/>
        </w:numPr>
        <w:ind w:left="811" w:hanging="454"/>
        <w:jc w:val="both"/>
        <w:rPr>
          <w:rFonts w:ascii="Arial" w:hAnsi="Arial" w:cs="Arial"/>
          <w:sz w:val="20"/>
        </w:rPr>
      </w:pPr>
      <w:r>
        <w:rPr>
          <w:rFonts w:ascii="Arial" w:hAnsi="Arial" w:cs="Arial"/>
          <w:sz w:val="20"/>
        </w:rPr>
        <w:t>s.49B (sexual penetration of a child &lt; 16);</w:t>
      </w:r>
    </w:p>
    <w:p w14:paraId="3602D850" w14:textId="2F2FFF66" w:rsidR="009B4F19" w:rsidRPr="009B4F19" w:rsidRDefault="009B4F19">
      <w:pPr>
        <w:pStyle w:val="ListParagraph"/>
        <w:numPr>
          <w:ilvl w:val="0"/>
          <w:numId w:val="68"/>
        </w:numPr>
        <w:ind w:left="811" w:hanging="454"/>
        <w:jc w:val="both"/>
        <w:rPr>
          <w:rFonts w:ascii="Arial" w:hAnsi="Arial" w:cs="Arial"/>
          <w:sz w:val="20"/>
        </w:rPr>
      </w:pPr>
      <w:r>
        <w:rPr>
          <w:rFonts w:ascii="Arial" w:hAnsi="Arial" w:cs="Arial"/>
          <w:sz w:val="20"/>
        </w:rPr>
        <w:t xml:space="preserve">s.49C (sexual penetration of a child aged 16 or 17 </w:t>
      </w:r>
      <w:r w:rsidR="00B1605A">
        <w:rPr>
          <w:rFonts w:ascii="Arial" w:hAnsi="Arial" w:cs="Arial"/>
          <w:sz w:val="20"/>
        </w:rPr>
        <w:t>under care, supervision or authority);</w:t>
      </w:r>
    </w:p>
    <w:p w14:paraId="52B38A9E" w14:textId="77777777" w:rsidR="00C42902" w:rsidRPr="009B4F19" w:rsidRDefault="00B1605A">
      <w:pPr>
        <w:pStyle w:val="ListParagraph"/>
        <w:numPr>
          <w:ilvl w:val="0"/>
          <w:numId w:val="68"/>
        </w:numPr>
        <w:ind w:left="811" w:hanging="454"/>
        <w:jc w:val="both"/>
        <w:rPr>
          <w:rFonts w:ascii="Arial" w:hAnsi="Arial" w:cs="Arial"/>
          <w:sz w:val="20"/>
        </w:rPr>
      </w:pPr>
      <w:r w:rsidRPr="000F0BE9">
        <w:rPr>
          <w:rFonts w:ascii="Arial" w:hAnsi="Arial" w:cs="Arial"/>
          <w:sz w:val="20"/>
        </w:rPr>
        <w:t>s.49D (sexual assault of a child &lt; 1</w:t>
      </w:r>
      <w:r w:rsidR="00FA7DB6" w:rsidRPr="000F0BE9">
        <w:rPr>
          <w:rFonts w:ascii="Arial" w:hAnsi="Arial" w:cs="Arial"/>
          <w:sz w:val="20"/>
        </w:rPr>
        <w:t>6</w:t>
      </w:r>
      <w:r w:rsidRPr="000F0BE9">
        <w:rPr>
          <w:rFonts w:ascii="Arial" w:hAnsi="Arial" w:cs="Arial"/>
          <w:sz w:val="20"/>
        </w:rPr>
        <w:t>);</w:t>
      </w:r>
    </w:p>
    <w:p w14:paraId="014D7469" w14:textId="77777777" w:rsidR="00C42902" w:rsidRPr="009B4F19" w:rsidRDefault="00B1605A">
      <w:pPr>
        <w:pStyle w:val="ListParagraph"/>
        <w:numPr>
          <w:ilvl w:val="0"/>
          <w:numId w:val="68"/>
        </w:numPr>
        <w:ind w:left="811" w:hanging="454"/>
        <w:jc w:val="both"/>
        <w:rPr>
          <w:rFonts w:ascii="Arial" w:hAnsi="Arial" w:cs="Arial"/>
          <w:sz w:val="20"/>
        </w:rPr>
      </w:pPr>
      <w:r w:rsidRPr="000F0BE9">
        <w:rPr>
          <w:rFonts w:ascii="Arial" w:hAnsi="Arial" w:cs="Arial"/>
          <w:sz w:val="20"/>
        </w:rPr>
        <w:t>s.49E (</w:t>
      </w:r>
      <w:r w:rsidR="00FA7DB6" w:rsidRPr="000F0BE9">
        <w:rPr>
          <w:rFonts w:ascii="Arial" w:hAnsi="Arial" w:cs="Arial"/>
          <w:sz w:val="20"/>
        </w:rPr>
        <w:t>sexual assault of a child aged 16 or 17 under care, supervision or authority</w:t>
      </w:r>
      <w:r w:rsidRPr="000F0BE9">
        <w:rPr>
          <w:rFonts w:ascii="Arial" w:hAnsi="Arial" w:cs="Arial"/>
          <w:sz w:val="20"/>
        </w:rPr>
        <w:t>);</w:t>
      </w:r>
    </w:p>
    <w:p w14:paraId="65C6E08E" w14:textId="7B145CA7" w:rsidR="00B1605A" w:rsidRDefault="00B1605A" w:rsidP="00B1605A">
      <w:pPr>
        <w:ind w:left="811" w:hanging="454"/>
        <w:jc w:val="both"/>
        <w:rPr>
          <w:rFonts w:ascii="Arial" w:hAnsi="Arial" w:cs="Arial"/>
          <w:sz w:val="20"/>
        </w:rPr>
      </w:pPr>
      <w:r>
        <w:rPr>
          <w:rFonts w:ascii="Arial" w:hAnsi="Arial" w:cs="Arial"/>
          <w:sz w:val="20"/>
        </w:rPr>
        <w:t>(viii)</w:t>
      </w:r>
      <w:r>
        <w:rPr>
          <w:rFonts w:ascii="Arial" w:hAnsi="Arial" w:cs="Arial"/>
          <w:sz w:val="20"/>
        </w:rPr>
        <w:tab/>
        <w:t>s.49</w:t>
      </w:r>
      <w:r w:rsidR="00FA7DB6">
        <w:rPr>
          <w:rFonts w:ascii="Arial" w:hAnsi="Arial" w:cs="Arial"/>
          <w:sz w:val="20"/>
        </w:rPr>
        <w:t>F</w:t>
      </w:r>
      <w:r>
        <w:rPr>
          <w:rFonts w:ascii="Arial" w:hAnsi="Arial" w:cs="Arial"/>
          <w:sz w:val="20"/>
        </w:rPr>
        <w:t xml:space="preserve"> (</w:t>
      </w:r>
      <w:r w:rsidR="00FA7DB6">
        <w:rPr>
          <w:rFonts w:ascii="Arial" w:hAnsi="Arial" w:cs="Arial"/>
          <w:sz w:val="20"/>
        </w:rPr>
        <w:t>sexual activity in presence of a child &lt; 16</w:t>
      </w:r>
      <w:r>
        <w:rPr>
          <w:rFonts w:ascii="Arial" w:hAnsi="Arial" w:cs="Arial"/>
          <w:sz w:val="20"/>
        </w:rPr>
        <w:t>);</w:t>
      </w:r>
    </w:p>
    <w:p w14:paraId="5208A928" w14:textId="06F94A57" w:rsidR="00B1605A" w:rsidRDefault="00B1605A" w:rsidP="00B1605A">
      <w:pPr>
        <w:ind w:left="811" w:hanging="454"/>
        <w:jc w:val="both"/>
        <w:rPr>
          <w:rFonts w:ascii="Arial" w:hAnsi="Arial" w:cs="Arial"/>
          <w:sz w:val="20"/>
        </w:rPr>
      </w:pPr>
      <w:r>
        <w:rPr>
          <w:rFonts w:ascii="Arial" w:hAnsi="Arial" w:cs="Arial"/>
          <w:sz w:val="20"/>
        </w:rPr>
        <w:t>(ix)</w:t>
      </w:r>
      <w:r>
        <w:rPr>
          <w:rFonts w:ascii="Arial" w:hAnsi="Arial" w:cs="Arial"/>
          <w:sz w:val="20"/>
        </w:rPr>
        <w:tab/>
        <w:t>s.</w:t>
      </w:r>
      <w:r w:rsidR="00FA7DB6">
        <w:rPr>
          <w:rFonts w:ascii="Arial" w:hAnsi="Arial" w:cs="Arial"/>
          <w:sz w:val="20"/>
        </w:rPr>
        <w:t>49G (sexual activity in presence of a child aged 16 or 17 under care, supervision or authority);</w:t>
      </w:r>
    </w:p>
    <w:p w14:paraId="6AC657F0" w14:textId="4F41CD00" w:rsidR="00B1605A" w:rsidRDefault="00B1605A" w:rsidP="00B1605A">
      <w:pPr>
        <w:ind w:left="811" w:hanging="454"/>
        <w:jc w:val="both"/>
        <w:rPr>
          <w:rFonts w:ascii="Arial" w:hAnsi="Arial" w:cs="Arial"/>
          <w:sz w:val="20"/>
        </w:rPr>
      </w:pPr>
      <w:r>
        <w:rPr>
          <w:rFonts w:ascii="Arial" w:hAnsi="Arial" w:cs="Arial"/>
          <w:sz w:val="20"/>
        </w:rPr>
        <w:t>(x)</w:t>
      </w:r>
      <w:r>
        <w:rPr>
          <w:rFonts w:ascii="Arial" w:hAnsi="Arial" w:cs="Arial"/>
          <w:sz w:val="20"/>
        </w:rPr>
        <w:tab/>
        <w:t>s.</w:t>
      </w:r>
      <w:r w:rsidR="00FA7DB6">
        <w:rPr>
          <w:rFonts w:ascii="Arial" w:hAnsi="Arial" w:cs="Arial"/>
          <w:sz w:val="20"/>
        </w:rPr>
        <w:t>49H (causing a child &lt; 16 to be present during sexual activity);</w:t>
      </w:r>
    </w:p>
    <w:p w14:paraId="0AD16EBE" w14:textId="4E2ADEA4" w:rsidR="00B1605A" w:rsidRDefault="00B1605A" w:rsidP="00B1605A">
      <w:pPr>
        <w:ind w:left="811" w:hanging="454"/>
        <w:jc w:val="both"/>
        <w:rPr>
          <w:rFonts w:ascii="Arial" w:hAnsi="Arial" w:cs="Arial"/>
          <w:sz w:val="20"/>
        </w:rPr>
      </w:pPr>
      <w:r>
        <w:rPr>
          <w:rFonts w:ascii="Arial" w:hAnsi="Arial" w:cs="Arial"/>
          <w:sz w:val="20"/>
        </w:rPr>
        <w:t>(xi)</w:t>
      </w:r>
      <w:r>
        <w:rPr>
          <w:rFonts w:ascii="Arial" w:hAnsi="Arial" w:cs="Arial"/>
          <w:sz w:val="20"/>
        </w:rPr>
        <w:tab/>
        <w:t>s.</w:t>
      </w:r>
      <w:r w:rsidR="00FA7DB6">
        <w:rPr>
          <w:rFonts w:ascii="Arial" w:hAnsi="Arial" w:cs="Arial"/>
          <w:sz w:val="20"/>
        </w:rPr>
        <w:t>49I (causing a child aged 16 or 17 under care etc to be present during sexual activity);</w:t>
      </w:r>
    </w:p>
    <w:p w14:paraId="2CEB5CB9" w14:textId="1BC8D5C9" w:rsidR="00B1605A" w:rsidRDefault="00B1605A" w:rsidP="00B1605A">
      <w:pPr>
        <w:ind w:left="811" w:hanging="454"/>
        <w:jc w:val="both"/>
        <w:rPr>
          <w:rFonts w:ascii="Arial" w:hAnsi="Arial" w:cs="Arial"/>
          <w:sz w:val="20"/>
        </w:rPr>
      </w:pPr>
      <w:r>
        <w:rPr>
          <w:rFonts w:ascii="Arial" w:hAnsi="Arial" w:cs="Arial"/>
          <w:sz w:val="20"/>
        </w:rPr>
        <w:t>(xii)</w:t>
      </w:r>
      <w:r>
        <w:rPr>
          <w:rFonts w:ascii="Arial" w:hAnsi="Arial" w:cs="Arial"/>
          <w:sz w:val="20"/>
        </w:rPr>
        <w:tab/>
        <w:t>s.</w:t>
      </w:r>
      <w:r w:rsidR="00FA7DB6">
        <w:rPr>
          <w:rFonts w:ascii="Arial" w:hAnsi="Arial" w:cs="Arial"/>
          <w:sz w:val="20"/>
        </w:rPr>
        <w:t>49J (persistent sexual abuse of a child &lt; 16);</w:t>
      </w:r>
    </w:p>
    <w:p w14:paraId="2DCC7B4F" w14:textId="2148968A" w:rsidR="00B1605A" w:rsidRDefault="00B1605A" w:rsidP="00B1605A">
      <w:pPr>
        <w:ind w:left="811" w:hanging="454"/>
        <w:jc w:val="both"/>
        <w:rPr>
          <w:rFonts w:ascii="Arial" w:hAnsi="Arial" w:cs="Arial"/>
          <w:sz w:val="20"/>
        </w:rPr>
      </w:pPr>
      <w:r>
        <w:rPr>
          <w:rFonts w:ascii="Arial" w:hAnsi="Arial" w:cs="Arial"/>
          <w:sz w:val="20"/>
        </w:rPr>
        <w:t>(xiii)</w:t>
      </w:r>
      <w:r>
        <w:rPr>
          <w:rFonts w:ascii="Arial" w:hAnsi="Arial" w:cs="Arial"/>
          <w:sz w:val="20"/>
        </w:rPr>
        <w:tab/>
        <w:t>s.</w:t>
      </w:r>
      <w:r w:rsidR="00FA7DB6">
        <w:rPr>
          <w:rFonts w:ascii="Arial" w:hAnsi="Arial" w:cs="Arial"/>
          <w:sz w:val="20"/>
        </w:rPr>
        <w:t>50C (sexual penetration of a child or lineal descendent);</w:t>
      </w:r>
    </w:p>
    <w:p w14:paraId="78C402D2" w14:textId="039ED335" w:rsidR="00FA7DB6" w:rsidRDefault="00FA7DB6" w:rsidP="00B1605A">
      <w:pPr>
        <w:ind w:left="811" w:hanging="454"/>
        <w:jc w:val="both"/>
        <w:rPr>
          <w:rFonts w:ascii="Arial" w:hAnsi="Arial" w:cs="Arial"/>
          <w:sz w:val="20"/>
        </w:rPr>
      </w:pPr>
      <w:r>
        <w:rPr>
          <w:rFonts w:ascii="Arial" w:hAnsi="Arial" w:cs="Arial"/>
          <w:sz w:val="20"/>
        </w:rPr>
        <w:t>(xiv)</w:t>
      </w:r>
      <w:r>
        <w:rPr>
          <w:rFonts w:ascii="Arial" w:hAnsi="Arial" w:cs="Arial"/>
          <w:sz w:val="20"/>
        </w:rPr>
        <w:tab/>
        <w:t>s.50D (sexual penetration of a step-child);</w:t>
      </w:r>
    </w:p>
    <w:p w14:paraId="7F193D6A" w14:textId="1702B5F6" w:rsidR="00FA7DB6" w:rsidRDefault="00FA7DB6" w:rsidP="00B1605A">
      <w:pPr>
        <w:ind w:left="811" w:hanging="454"/>
        <w:jc w:val="both"/>
        <w:rPr>
          <w:rFonts w:ascii="Arial" w:hAnsi="Arial" w:cs="Arial"/>
          <w:sz w:val="20"/>
        </w:rPr>
      </w:pPr>
      <w:r>
        <w:rPr>
          <w:rFonts w:ascii="Arial" w:hAnsi="Arial" w:cs="Arial"/>
          <w:sz w:val="20"/>
        </w:rPr>
        <w:t>(xv)</w:t>
      </w:r>
      <w:r>
        <w:rPr>
          <w:rFonts w:ascii="Arial" w:hAnsi="Arial" w:cs="Arial"/>
          <w:sz w:val="20"/>
        </w:rPr>
        <w:tab/>
        <w:t>s.50E (sexual penetration of a parent, lineal ancestor or step-parent);</w:t>
      </w:r>
    </w:p>
    <w:p w14:paraId="5E0B6194" w14:textId="2CA9133B" w:rsidR="00FA7DB6" w:rsidRDefault="00FA7DB6" w:rsidP="00B1605A">
      <w:pPr>
        <w:ind w:left="811" w:hanging="454"/>
        <w:jc w:val="both"/>
        <w:rPr>
          <w:rFonts w:ascii="Arial" w:hAnsi="Arial" w:cs="Arial"/>
          <w:sz w:val="20"/>
        </w:rPr>
      </w:pPr>
      <w:r>
        <w:rPr>
          <w:rFonts w:ascii="Arial" w:hAnsi="Arial" w:cs="Arial"/>
          <w:sz w:val="20"/>
        </w:rPr>
        <w:t>(xvi)</w:t>
      </w:r>
      <w:r>
        <w:rPr>
          <w:rFonts w:ascii="Arial" w:hAnsi="Arial" w:cs="Arial"/>
          <w:sz w:val="20"/>
        </w:rPr>
        <w:tab/>
        <w:t>s.50F (sexual penetration of a sibling or half-sibling)</w:t>
      </w:r>
      <w:r w:rsidR="00641166">
        <w:rPr>
          <w:rFonts w:ascii="Arial" w:hAnsi="Arial" w:cs="Arial"/>
          <w:sz w:val="20"/>
        </w:rPr>
        <w:t>;</w:t>
      </w:r>
    </w:p>
    <w:p w14:paraId="6DFF6594" w14:textId="3263EBC2" w:rsidR="00C42902" w:rsidRPr="00641166" w:rsidRDefault="00641166" w:rsidP="00641166">
      <w:pPr>
        <w:ind w:left="357" w:hanging="357"/>
        <w:jc w:val="both"/>
        <w:rPr>
          <w:rFonts w:ascii="Arial" w:hAnsi="Arial" w:cs="Arial"/>
          <w:sz w:val="20"/>
        </w:rPr>
      </w:pPr>
      <w:r>
        <w:rPr>
          <w:rFonts w:ascii="Arial" w:hAnsi="Arial" w:cs="Arial"/>
          <w:sz w:val="20"/>
        </w:rPr>
        <w:t>(b)</w:t>
      </w:r>
      <w:r>
        <w:rPr>
          <w:rFonts w:ascii="Arial" w:hAnsi="Arial" w:cs="Arial"/>
          <w:sz w:val="20"/>
        </w:rPr>
        <w:tab/>
      </w:r>
      <w:r w:rsidR="00FA7DB6" w:rsidRPr="000F0BE9">
        <w:rPr>
          <w:rFonts w:ascii="Arial" w:hAnsi="Arial" w:cs="Arial"/>
          <w:sz w:val="20"/>
        </w:rPr>
        <w:t>an offence of attempting to commit, or of incitement or conspiracy to commit, an offence referred to in paragraph (a).</w:t>
      </w:r>
    </w:p>
    <w:p w14:paraId="4C8D2703" w14:textId="77777777" w:rsidR="009B4F19" w:rsidRDefault="009B4F19">
      <w:pPr>
        <w:jc w:val="both"/>
        <w:rPr>
          <w:rFonts w:ascii="Arial" w:hAnsi="Arial" w:cs="Arial"/>
          <w:sz w:val="20"/>
        </w:rPr>
      </w:pPr>
    </w:p>
    <w:p w14:paraId="2A78EEC1" w14:textId="3347E3A6" w:rsidR="002E4AE1" w:rsidRDefault="00A77FBB" w:rsidP="002E4AE1">
      <w:pPr>
        <w:jc w:val="both"/>
        <w:rPr>
          <w:rFonts w:ascii="Arial" w:hAnsi="Arial" w:cs="Arial"/>
          <w:sz w:val="20"/>
        </w:rPr>
      </w:pPr>
      <w:r>
        <w:rPr>
          <w:rFonts w:ascii="Arial" w:hAnsi="Arial" w:cs="Arial"/>
          <w:sz w:val="20"/>
        </w:rPr>
        <w:t xml:space="preserve">Section 387B provides that </w:t>
      </w:r>
      <w:r w:rsidR="00FA7DB6" w:rsidRPr="00A77FBB">
        <w:rPr>
          <w:rFonts w:ascii="Arial" w:hAnsi="Arial" w:cs="Arial"/>
          <w:b/>
          <w:bCs/>
          <w:sz w:val="20"/>
          <w:highlight w:val="yellow"/>
        </w:rPr>
        <w:t>Division 7</w:t>
      </w:r>
      <w:r w:rsidR="00FA7DB6">
        <w:rPr>
          <w:rFonts w:ascii="Arial" w:hAnsi="Arial" w:cs="Arial"/>
          <w:sz w:val="20"/>
        </w:rPr>
        <w:t xml:space="preserve"> (other than s.378) applies with relevant modifications to the admissibility of a recording of the complainant’s evidence in a summary hearing in the Children’s Court.</w:t>
      </w:r>
    </w:p>
    <w:p w14:paraId="7C6C2792" w14:textId="5BB7E359" w:rsidR="002E4AE1" w:rsidRDefault="008A1AD2" w:rsidP="002E4AE1">
      <w:pPr>
        <w:spacing w:before="120"/>
        <w:jc w:val="both"/>
        <w:rPr>
          <w:rFonts w:ascii="Arial" w:hAnsi="Arial" w:cs="Arial"/>
          <w:sz w:val="20"/>
        </w:rPr>
      </w:pPr>
      <w:r>
        <w:rPr>
          <w:rFonts w:ascii="Arial" w:hAnsi="Arial" w:cs="Arial"/>
          <w:b/>
          <w:bCs/>
          <w:color w:val="FFFFFF" w:themeColor="background1"/>
          <w:sz w:val="20"/>
          <w:shd w:val="clear" w:color="auto" w:fill="000000" w:themeFill="text1"/>
        </w:rPr>
        <w:t>Hearing of family violence offence:</w:t>
      </w:r>
      <w:r w:rsidRPr="008A1AD2">
        <w:rPr>
          <w:rFonts w:ascii="Arial" w:hAnsi="Arial" w:cs="Arial"/>
          <w:color w:val="000000" w:themeColor="text1"/>
          <w:sz w:val="20"/>
        </w:rPr>
        <w:t xml:space="preserve">  </w:t>
      </w:r>
      <w:r w:rsidR="002E4AE1" w:rsidRPr="00C31AA5">
        <w:rPr>
          <w:rFonts w:ascii="Arial" w:hAnsi="Arial" w:cs="Arial"/>
          <w:b/>
          <w:bCs/>
          <w:color w:val="000000" w:themeColor="text1"/>
          <w:sz w:val="20"/>
          <w:shd w:val="clear" w:color="auto" w:fill="FFFF00"/>
        </w:rPr>
        <w:t>Division 7B (ss.387</w:t>
      </w:r>
      <w:r w:rsidR="00775924" w:rsidRPr="00C31AA5">
        <w:rPr>
          <w:rFonts w:ascii="Arial" w:hAnsi="Arial" w:cs="Arial"/>
          <w:b/>
          <w:bCs/>
          <w:color w:val="000000" w:themeColor="text1"/>
          <w:sz w:val="20"/>
          <w:shd w:val="clear" w:color="auto" w:fill="FFFF00"/>
        </w:rPr>
        <w:t>C-387P</w:t>
      </w:r>
      <w:r w:rsidR="002E4AE1" w:rsidRPr="00C31AA5">
        <w:rPr>
          <w:rFonts w:ascii="Arial" w:hAnsi="Arial" w:cs="Arial"/>
          <w:b/>
          <w:bCs/>
          <w:color w:val="000000" w:themeColor="text1"/>
          <w:sz w:val="20"/>
          <w:shd w:val="clear" w:color="auto" w:fill="FFFF00"/>
        </w:rPr>
        <w:t>) of Part 8.2</w:t>
      </w:r>
      <w:r w:rsidR="002E4AE1">
        <w:rPr>
          <w:rFonts w:ascii="Arial" w:hAnsi="Arial" w:cs="Arial"/>
          <w:sz w:val="20"/>
        </w:rPr>
        <w:t xml:space="preserve"> of the </w:t>
      </w:r>
      <w:r w:rsidR="002E4AE1" w:rsidRPr="0058675C">
        <w:rPr>
          <w:rFonts w:ascii="Arial" w:hAnsi="Arial" w:cs="Arial"/>
          <w:i/>
          <w:iCs/>
          <w:sz w:val="20"/>
        </w:rPr>
        <w:t>Criminal Procedure Act 2009</w:t>
      </w:r>
      <w:r w:rsidR="002E4AE1">
        <w:rPr>
          <w:rFonts w:ascii="Arial" w:hAnsi="Arial" w:cs="Arial"/>
          <w:sz w:val="20"/>
        </w:rPr>
        <w:t xml:space="preserve"> applies</w:t>
      </w:r>
      <w:r w:rsidR="00775924">
        <w:rPr>
          <w:rFonts w:ascii="Arial" w:hAnsi="Arial" w:cs="Arial"/>
          <w:sz w:val="20"/>
        </w:rPr>
        <w:t xml:space="preserve"> to a criminal proceeding (including a summary hearing, a committal proceeding and a trial) that relates (wholly or partly) to a charge for a family violence offence but does not apply if the accused was under 18 years of age at the time the family violence offence is alleged to have been committed.  A ‘family violence offence’ is defined as</w:t>
      </w:r>
      <w:r w:rsidR="00FD5F44" w:rsidRPr="00A31FFA">
        <w:rPr>
          <w:rFonts w:ascii="Arial" w:hAnsi="Arial" w:cs="Arial"/>
          <w:sz w:val="20"/>
        </w:rPr>
        <w:t>–</w:t>
      </w:r>
    </w:p>
    <w:p w14:paraId="0A1B3B1A" w14:textId="713DDD91" w:rsidR="00775924" w:rsidRDefault="00775924" w:rsidP="00775924">
      <w:pPr>
        <w:ind w:left="357" w:hanging="357"/>
        <w:jc w:val="both"/>
        <w:rPr>
          <w:rFonts w:ascii="Arial" w:hAnsi="Arial" w:cs="Arial"/>
          <w:sz w:val="20"/>
        </w:rPr>
      </w:pPr>
      <w:r>
        <w:rPr>
          <w:rFonts w:ascii="Arial" w:hAnsi="Arial" w:cs="Arial"/>
          <w:sz w:val="20"/>
        </w:rPr>
        <w:t>(a)</w:t>
      </w:r>
      <w:r>
        <w:rPr>
          <w:rFonts w:ascii="Arial" w:hAnsi="Arial" w:cs="Arial"/>
          <w:sz w:val="20"/>
        </w:rPr>
        <w:tab/>
        <w:t>an offence against s.37(2), 37</w:t>
      </w:r>
      <w:proofErr w:type="gramStart"/>
      <w:r>
        <w:rPr>
          <w:rFonts w:ascii="Arial" w:hAnsi="Arial" w:cs="Arial"/>
          <w:sz w:val="20"/>
        </w:rPr>
        <w:t>A(</w:t>
      </w:r>
      <w:proofErr w:type="gramEnd"/>
      <w:r>
        <w:rPr>
          <w:rFonts w:ascii="Arial" w:hAnsi="Arial" w:cs="Arial"/>
          <w:sz w:val="20"/>
        </w:rPr>
        <w:t>2), 123(2), 123</w:t>
      </w:r>
      <w:proofErr w:type="gramStart"/>
      <w:r>
        <w:rPr>
          <w:rFonts w:ascii="Arial" w:hAnsi="Arial" w:cs="Arial"/>
          <w:sz w:val="20"/>
        </w:rPr>
        <w:t>A(</w:t>
      </w:r>
      <w:proofErr w:type="gramEnd"/>
      <w:r>
        <w:rPr>
          <w:rFonts w:ascii="Arial" w:hAnsi="Arial" w:cs="Arial"/>
          <w:sz w:val="20"/>
        </w:rPr>
        <w:t>2) or 125</w:t>
      </w:r>
      <w:proofErr w:type="gramStart"/>
      <w:r>
        <w:rPr>
          <w:rFonts w:ascii="Arial" w:hAnsi="Arial" w:cs="Arial"/>
          <w:sz w:val="20"/>
        </w:rPr>
        <w:t>A(</w:t>
      </w:r>
      <w:proofErr w:type="gramEnd"/>
      <w:r>
        <w:rPr>
          <w:rFonts w:ascii="Arial" w:hAnsi="Arial" w:cs="Arial"/>
          <w:sz w:val="20"/>
        </w:rPr>
        <w:t xml:space="preserve">1) of the </w:t>
      </w:r>
      <w:r w:rsidRPr="0058675C">
        <w:rPr>
          <w:rFonts w:ascii="Arial" w:hAnsi="Arial" w:cs="Arial"/>
          <w:i/>
          <w:iCs/>
          <w:sz w:val="20"/>
        </w:rPr>
        <w:t>Family Violence Protection Act 2008</w:t>
      </w:r>
      <w:r>
        <w:rPr>
          <w:rFonts w:ascii="Arial" w:hAnsi="Arial" w:cs="Arial"/>
          <w:sz w:val="20"/>
        </w:rPr>
        <w:t>; or</w:t>
      </w:r>
    </w:p>
    <w:p w14:paraId="6D69FD6F" w14:textId="39E467FA" w:rsidR="00775924" w:rsidRDefault="00775924" w:rsidP="00775924">
      <w:pPr>
        <w:ind w:left="357" w:hanging="357"/>
        <w:jc w:val="both"/>
        <w:rPr>
          <w:rFonts w:ascii="Arial" w:hAnsi="Arial" w:cs="Arial"/>
          <w:sz w:val="20"/>
        </w:rPr>
      </w:pPr>
      <w:r>
        <w:rPr>
          <w:rFonts w:ascii="Arial" w:hAnsi="Arial" w:cs="Arial"/>
          <w:sz w:val="20"/>
        </w:rPr>
        <w:t>(b)</w:t>
      </w:r>
      <w:r>
        <w:rPr>
          <w:rFonts w:ascii="Arial" w:hAnsi="Arial" w:cs="Arial"/>
          <w:sz w:val="20"/>
        </w:rPr>
        <w:tab/>
        <w:t>an offence where the conduct of the accused is family violence within the meaning of that Act.</w:t>
      </w:r>
    </w:p>
    <w:p w14:paraId="3B665432" w14:textId="77777777" w:rsidR="003B1399" w:rsidRDefault="003B1399" w:rsidP="003B1399">
      <w:pPr>
        <w:jc w:val="both"/>
        <w:rPr>
          <w:rFonts w:ascii="Arial" w:hAnsi="Arial" w:cs="Arial"/>
          <w:sz w:val="20"/>
        </w:rPr>
      </w:pPr>
    </w:p>
    <w:p w14:paraId="0FD001C0" w14:textId="7C585601" w:rsidR="003B1399" w:rsidRDefault="003B1399" w:rsidP="003B1399">
      <w:pPr>
        <w:jc w:val="both"/>
        <w:rPr>
          <w:rFonts w:ascii="Arial" w:hAnsi="Arial" w:cs="Arial"/>
          <w:sz w:val="20"/>
        </w:rPr>
      </w:pPr>
      <w:r>
        <w:rPr>
          <w:rFonts w:ascii="Arial" w:hAnsi="Arial" w:cs="Arial"/>
          <w:sz w:val="20"/>
        </w:rPr>
        <w:t xml:space="preserve">Under s.387E a complainant </w:t>
      </w:r>
      <w:r w:rsidR="008A1AD2">
        <w:rPr>
          <w:rFonts w:ascii="Arial" w:hAnsi="Arial" w:cs="Arial"/>
          <w:sz w:val="20"/>
        </w:rPr>
        <w:t>m</w:t>
      </w:r>
      <w:r>
        <w:rPr>
          <w:rFonts w:ascii="Arial" w:hAnsi="Arial" w:cs="Arial"/>
          <w:sz w:val="20"/>
        </w:rPr>
        <w:t xml:space="preserve">ay give evidence-in-chief (wholly or partly) in the form of a recorded statement.  In determining whether or not to have a complainant </w:t>
      </w:r>
      <w:r w:rsidR="00CF21A2">
        <w:rPr>
          <w:rFonts w:ascii="Arial" w:hAnsi="Arial" w:cs="Arial"/>
          <w:sz w:val="20"/>
        </w:rPr>
        <w:t xml:space="preserve">give evidence-in-chief </w:t>
      </w:r>
      <w:r w:rsidR="008A1AD2">
        <w:rPr>
          <w:rFonts w:ascii="Arial" w:hAnsi="Arial" w:cs="Arial"/>
          <w:sz w:val="20"/>
        </w:rPr>
        <w:t>in this way</w:t>
      </w:r>
      <w:r>
        <w:rPr>
          <w:rFonts w:ascii="Arial" w:hAnsi="Arial" w:cs="Arial"/>
          <w:sz w:val="20"/>
        </w:rPr>
        <w:t>, the prosecution must take into account</w:t>
      </w:r>
      <w:r w:rsidR="00FD5F44" w:rsidRPr="00A31FFA">
        <w:rPr>
          <w:rFonts w:ascii="Arial" w:hAnsi="Arial" w:cs="Arial"/>
          <w:sz w:val="20"/>
        </w:rPr>
        <w:t>–</w:t>
      </w:r>
    </w:p>
    <w:p w14:paraId="091B359C" w14:textId="43A382E1" w:rsidR="003B1399" w:rsidRDefault="003B1399" w:rsidP="003B1399">
      <w:pPr>
        <w:ind w:left="357" w:hanging="357"/>
        <w:jc w:val="both"/>
        <w:rPr>
          <w:rFonts w:ascii="Arial" w:hAnsi="Arial" w:cs="Arial"/>
          <w:sz w:val="20"/>
        </w:rPr>
      </w:pPr>
      <w:r>
        <w:rPr>
          <w:rFonts w:ascii="Arial" w:hAnsi="Arial" w:cs="Arial"/>
          <w:sz w:val="20"/>
        </w:rPr>
        <w:t>(a)</w:t>
      </w:r>
      <w:r>
        <w:rPr>
          <w:rFonts w:ascii="Arial" w:hAnsi="Arial" w:cs="Arial"/>
          <w:sz w:val="20"/>
        </w:rPr>
        <w:tab/>
        <w:t>the wishes of the complainant; and</w:t>
      </w:r>
    </w:p>
    <w:p w14:paraId="72E0CF79" w14:textId="7A242034" w:rsidR="003B1399" w:rsidRDefault="003B1399" w:rsidP="003B1399">
      <w:pPr>
        <w:ind w:left="357" w:hanging="357"/>
        <w:jc w:val="both"/>
        <w:rPr>
          <w:rFonts w:ascii="Arial" w:hAnsi="Arial" w:cs="Arial"/>
          <w:sz w:val="20"/>
        </w:rPr>
      </w:pPr>
      <w:r>
        <w:rPr>
          <w:rFonts w:ascii="Arial" w:hAnsi="Arial" w:cs="Arial"/>
          <w:sz w:val="20"/>
        </w:rPr>
        <w:t>(b)</w:t>
      </w:r>
      <w:r>
        <w:rPr>
          <w:rFonts w:ascii="Arial" w:hAnsi="Arial" w:cs="Arial"/>
          <w:sz w:val="20"/>
        </w:rPr>
        <w:tab/>
        <w:t>any evidence of intimidation of the complainant by the accused; and</w:t>
      </w:r>
    </w:p>
    <w:p w14:paraId="56F452BD" w14:textId="1661F48B" w:rsidR="003B1399" w:rsidRDefault="003B1399" w:rsidP="003B1399">
      <w:pPr>
        <w:ind w:left="357" w:hanging="357"/>
        <w:jc w:val="both"/>
        <w:rPr>
          <w:rFonts w:ascii="Arial" w:hAnsi="Arial" w:cs="Arial"/>
          <w:sz w:val="20"/>
        </w:rPr>
      </w:pPr>
      <w:r>
        <w:rPr>
          <w:rFonts w:ascii="Arial" w:hAnsi="Arial" w:cs="Arial"/>
          <w:sz w:val="20"/>
        </w:rPr>
        <w:t>(c)</w:t>
      </w:r>
      <w:r>
        <w:rPr>
          <w:rFonts w:ascii="Arial" w:hAnsi="Arial" w:cs="Arial"/>
          <w:sz w:val="20"/>
        </w:rPr>
        <w:tab/>
        <w:t xml:space="preserve">the purpose of the </w:t>
      </w:r>
      <w:r w:rsidRPr="0058675C">
        <w:rPr>
          <w:rFonts w:ascii="Arial" w:hAnsi="Arial" w:cs="Arial"/>
          <w:i/>
          <w:iCs/>
          <w:sz w:val="20"/>
        </w:rPr>
        <w:t>Family Violence Protection Act 2008</w:t>
      </w:r>
      <w:r>
        <w:rPr>
          <w:rFonts w:ascii="Arial" w:hAnsi="Arial" w:cs="Arial"/>
          <w:sz w:val="20"/>
        </w:rPr>
        <w:t>.</w:t>
      </w:r>
    </w:p>
    <w:p w14:paraId="5A86681D" w14:textId="77777777" w:rsidR="003B1399" w:rsidRDefault="003B1399" w:rsidP="003B1399">
      <w:pPr>
        <w:jc w:val="both"/>
        <w:rPr>
          <w:rFonts w:ascii="Arial" w:hAnsi="Arial" w:cs="Arial"/>
          <w:sz w:val="20"/>
        </w:rPr>
      </w:pPr>
    </w:p>
    <w:p w14:paraId="5023F6DE" w14:textId="62B21FAA" w:rsidR="003B1399" w:rsidRDefault="00D13481" w:rsidP="003B1399">
      <w:pPr>
        <w:jc w:val="both"/>
        <w:rPr>
          <w:rFonts w:ascii="Arial" w:hAnsi="Arial" w:cs="Arial"/>
          <w:sz w:val="20"/>
        </w:rPr>
      </w:pPr>
      <w:r>
        <w:rPr>
          <w:rFonts w:ascii="Arial" w:hAnsi="Arial" w:cs="Arial"/>
          <w:sz w:val="20"/>
        </w:rPr>
        <w:t xml:space="preserve">Under s.387F a </w:t>
      </w:r>
      <w:r w:rsidR="003B1399">
        <w:rPr>
          <w:rFonts w:ascii="Arial" w:hAnsi="Arial" w:cs="Arial"/>
          <w:sz w:val="20"/>
        </w:rPr>
        <w:t>record</w:t>
      </w:r>
      <w:r>
        <w:rPr>
          <w:rFonts w:ascii="Arial" w:hAnsi="Arial" w:cs="Arial"/>
          <w:sz w:val="20"/>
        </w:rPr>
        <w:t xml:space="preserve">ed statement </w:t>
      </w:r>
      <w:r w:rsidR="003B1399">
        <w:rPr>
          <w:rFonts w:ascii="Arial" w:hAnsi="Arial" w:cs="Arial"/>
          <w:sz w:val="20"/>
        </w:rPr>
        <w:t>is admissible in evidence as if its contents were the direct testimony of the complainant</w:t>
      </w:r>
      <w:r w:rsidR="00FD5F44" w:rsidRPr="00A31FFA">
        <w:rPr>
          <w:rFonts w:ascii="Arial" w:hAnsi="Arial" w:cs="Arial"/>
          <w:sz w:val="20"/>
        </w:rPr>
        <w:t>–</w:t>
      </w:r>
    </w:p>
    <w:p w14:paraId="0EC27719" w14:textId="77777777" w:rsidR="003B1399" w:rsidRDefault="003B1399" w:rsidP="003B1399">
      <w:pPr>
        <w:ind w:left="357" w:hanging="357"/>
        <w:jc w:val="both"/>
        <w:rPr>
          <w:rFonts w:ascii="Arial" w:hAnsi="Arial" w:cs="Arial"/>
          <w:sz w:val="20"/>
        </w:rPr>
      </w:pPr>
      <w:r>
        <w:rPr>
          <w:rFonts w:ascii="Arial" w:hAnsi="Arial" w:cs="Arial"/>
          <w:sz w:val="20"/>
        </w:rPr>
        <w:t>(a)</w:t>
      </w:r>
      <w:r>
        <w:rPr>
          <w:rFonts w:ascii="Arial" w:hAnsi="Arial" w:cs="Arial"/>
          <w:sz w:val="20"/>
        </w:rPr>
        <w:tab/>
        <w:t>in the proceeding; and</w:t>
      </w:r>
    </w:p>
    <w:p w14:paraId="555FA264" w14:textId="4980CD59" w:rsidR="003B1399" w:rsidRDefault="003B1399" w:rsidP="003B1399">
      <w:pPr>
        <w:ind w:left="357" w:hanging="357"/>
        <w:jc w:val="both"/>
        <w:rPr>
          <w:rFonts w:ascii="Arial" w:hAnsi="Arial" w:cs="Arial"/>
          <w:sz w:val="20"/>
        </w:rPr>
      </w:pPr>
      <w:r>
        <w:rPr>
          <w:rFonts w:ascii="Arial" w:hAnsi="Arial" w:cs="Arial"/>
          <w:sz w:val="20"/>
        </w:rPr>
        <w:t>(b)</w:t>
      </w:r>
      <w:r>
        <w:rPr>
          <w:rFonts w:ascii="Arial" w:hAnsi="Arial" w:cs="Arial"/>
          <w:sz w:val="20"/>
        </w:rPr>
        <w:tab/>
        <w:t>unless the relevant court otherwise orders, in</w:t>
      </w:r>
      <w:r w:rsidR="00D13481">
        <w:rPr>
          <w:rFonts w:ascii="Arial" w:hAnsi="Arial" w:cs="Arial"/>
          <w:sz w:val="20"/>
        </w:rPr>
        <w:t xml:space="preserve"> any new trial of, or appeal from, the proceeding</w:t>
      </w:r>
      <w:r w:rsidR="00FD5F44" w:rsidRPr="00A31FFA">
        <w:rPr>
          <w:rFonts w:ascii="Arial" w:hAnsi="Arial" w:cs="Arial"/>
          <w:sz w:val="20"/>
        </w:rPr>
        <w:t>–</w:t>
      </w:r>
    </w:p>
    <w:p w14:paraId="58082F76" w14:textId="22054B2F" w:rsidR="003B1399" w:rsidRDefault="00CF21A2" w:rsidP="00D13481">
      <w:pPr>
        <w:jc w:val="both"/>
        <w:rPr>
          <w:rFonts w:ascii="Arial" w:hAnsi="Arial" w:cs="Arial"/>
          <w:sz w:val="20"/>
        </w:rPr>
      </w:pPr>
      <w:r>
        <w:rPr>
          <w:rFonts w:ascii="Arial" w:hAnsi="Arial" w:cs="Arial"/>
          <w:sz w:val="20"/>
        </w:rPr>
        <w:t>provided that</w:t>
      </w:r>
      <w:r w:rsidR="00D13481">
        <w:rPr>
          <w:rFonts w:ascii="Arial" w:hAnsi="Arial" w:cs="Arial"/>
          <w:sz w:val="20"/>
        </w:rPr>
        <w:t xml:space="preserve"> the provisions of s</w:t>
      </w:r>
      <w:r w:rsidR="00036D92">
        <w:rPr>
          <w:rFonts w:ascii="Arial" w:hAnsi="Arial" w:cs="Arial"/>
          <w:sz w:val="20"/>
        </w:rPr>
        <w:t>s</w:t>
      </w:r>
      <w:r w:rsidR="00D13481">
        <w:rPr>
          <w:rFonts w:ascii="Arial" w:hAnsi="Arial" w:cs="Arial"/>
          <w:sz w:val="20"/>
        </w:rPr>
        <w:t>.387</w:t>
      </w:r>
      <w:proofErr w:type="gramStart"/>
      <w:r w:rsidR="00D13481">
        <w:rPr>
          <w:rFonts w:ascii="Arial" w:hAnsi="Arial" w:cs="Arial"/>
          <w:sz w:val="20"/>
        </w:rPr>
        <w:t>F(</w:t>
      </w:r>
      <w:proofErr w:type="gramEnd"/>
      <w:r w:rsidR="00D13481">
        <w:rPr>
          <w:rFonts w:ascii="Arial" w:hAnsi="Arial" w:cs="Arial"/>
          <w:sz w:val="20"/>
        </w:rPr>
        <w:t>2)</w:t>
      </w:r>
      <w:r w:rsidR="00036D92">
        <w:rPr>
          <w:rFonts w:ascii="Arial" w:hAnsi="Arial" w:cs="Arial"/>
          <w:sz w:val="20"/>
        </w:rPr>
        <w:t xml:space="preserve">, </w:t>
      </w:r>
      <w:r w:rsidR="00D13481">
        <w:rPr>
          <w:rFonts w:ascii="Arial" w:hAnsi="Arial" w:cs="Arial"/>
          <w:sz w:val="20"/>
        </w:rPr>
        <w:t>387</w:t>
      </w:r>
      <w:proofErr w:type="gramStart"/>
      <w:r w:rsidR="00D13481">
        <w:rPr>
          <w:rFonts w:ascii="Arial" w:hAnsi="Arial" w:cs="Arial"/>
          <w:sz w:val="20"/>
        </w:rPr>
        <w:t>F(</w:t>
      </w:r>
      <w:proofErr w:type="gramEnd"/>
      <w:r w:rsidR="00D13481">
        <w:rPr>
          <w:rFonts w:ascii="Arial" w:hAnsi="Arial" w:cs="Arial"/>
          <w:sz w:val="20"/>
        </w:rPr>
        <w:t xml:space="preserve">3) </w:t>
      </w:r>
      <w:r>
        <w:rPr>
          <w:rFonts w:ascii="Arial" w:hAnsi="Arial" w:cs="Arial"/>
          <w:sz w:val="20"/>
        </w:rPr>
        <w:t xml:space="preserve">&amp; 387G </w:t>
      </w:r>
      <w:r w:rsidR="00D13481">
        <w:rPr>
          <w:rFonts w:ascii="Arial" w:hAnsi="Arial" w:cs="Arial"/>
          <w:sz w:val="20"/>
        </w:rPr>
        <w:t>are complied with.</w:t>
      </w:r>
    </w:p>
    <w:p w14:paraId="67B3494D" w14:textId="77777777" w:rsidR="00C84C37" w:rsidRDefault="00C84C37" w:rsidP="00775924">
      <w:pPr>
        <w:jc w:val="both"/>
        <w:rPr>
          <w:rFonts w:ascii="Arial" w:hAnsi="Arial" w:cs="Arial"/>
          <w:sz w:val="20"/>
        </w:rPr>
      </w:pPr>
    </w:p>
    <w:p w14:paraId="78FC9BE5" w14:textId="577ECC11" w:rsidR="00CF21A2" w:rsidRDefault="00775924" w:rsidP="00775924">
      <w:pPr>
        <w:jc w:val="both"/>
        <w:rPr>
          <w:rFonts w:ascii="Arial" w:hAnsi="Arial" w:cs="Arial"/>
          <w:sz w:val="20"/>
        </w:rPr>
      </w:pPr>
      <w:r>
        <w:rPr>
          <w:rFonts w:ascii="Arial" w:hAnsi="Arial" w:cs="Arial"/>
          <w:sz w:val="20"/>
        </w:rPr>
        <w:t>Under s.38</w:t>
      </w:r>
      <w:r w:rsidR="00CF21A2">
        <w:rPr>
          <w:rFonts w:ascii="Arial" w:hAnsi="Arial" w:cs="Arial"/>
          <w:sz w:val="20"/>
        </w:rPr>
        <w:t>7F</w:t>
      </w:r>
      <w:r>
        <w:rPr>
          <w:rFonts w:ascii="Arial" w:hAnsi="Arial" w:cs="Arial"/>
          <w:sz w:val="20"/>
        </w:rPr>
        <w:t>(</w:t>
      </w:r>
      <w:r w:rsidR="00CF21A2">
        <w:rPr>
          <w:rFonts w:ascii="Arial" w:hAnsi="Arial" w:cs="Arial"/>
          <w:sz w:val="20"/>
        </w:rPr>
        <w:t>4</w:t>
      </w:r>
      <w:r>
        <w:rPr>
          <w:rFonts w:ascii="Arial" w:hAnsi="Arial" w:cs="Arial"/>
          <w:sz w:val="20"/>
        </w:rPr>
        <w:t xml:space="preserve">) the court may </w:t>
      </w:r>
      <w:r w:rsidR="00CF21A2">
        <w:rPr>
          <w:rFonts w:ascii="Arial" w:hAnsi="Arial" w:cs="Arial"/>
          <w:sz w:val="20"/>
        </w:rPr>
        <w:t xml:space="preserve">rule as inadmissible the whole or any part of the content of a recorded statement and, if so, the court may direct that the recorded statement </w:t>
      </w:r>
      <w:r>
        <w:rPr>
          <w:rFonts w:ascii="Arial" w:hAnsi="Arial" w:cs="Arial"/>
          <w:sz w:val="20"/>
        </w:rPr>
        <w:t xml:space="preserve">be edited or </w:t>
      </w:r>
      <w:r w:rsidR="00CF21A2">
        <w:rPr>
          <w:rFonts w:ascii="Arial" w:hAnsi="Arial" w:cs="Arial"/>
          <w:sz w:val="20"/>
        </w:rPr>
        <w:t xml:space="preserve">otherwise </w:t>
      </w:r>
      <w:r>
        <w:rPr>
          <w:rFonts w:ascii="Arial" w:hAnsi="Arial" w:cs="Arial"/>
          <w:sz w:val="20"/>
        </w:rPr>
        <w:t xml:space="preserve">altered to delete any part that is inadmissible.  </w:t>
      </w:r>
      <w:r w:rsidR="00CF21A2">
        <w:rPr>
          <w:rFonts w:ascii="Arial" w:hAnsi="Arial" w:cs="Arial"/>
          <w:sz w:val="20"/>
        </w:rPr>
        <w:t>Other bases on which a recorded statement may be edited or otherwise altered are set out in s.387I.</w:t>
      </w:r>
    </w:p>
    <w:p w14:paraId="7ED638FA" w14:textId="77777777" w:rsidR="00EA3478" w:rsidRDefault="00EA3478">
      <w:pPr>
        <w:jc w:val="both"/>
        <w:rPr>
          <w:rFonts w:ascii="Arial" w:hAnsi="Arial" w:cs="Arial"/>
          <w:sz w:val="20"/>
        </w:rPr>
      </w:pPr>
    </w:p>
    <w:p w14:paraId="4D9B6651" w14:textId="77777777" w:rsidR="00B21DA4" w:rsidRDefault="00B21DA4" w:rsidP="004B120D">
      <w:pPr>
        <w:pStyle w:val="Heading3"/>
        <w:keepNext/>
        <w:keepLines/>
        <w:spacing w:after="120" w:line="240" w:lineRule="auto"/>
        <w:rPr>
          <w:rFonts w:ascii="Arial" w:hAnsi="Arial" w:cs="Arial"/>
          <w:b/>
          <w:bCs/>
          <w:sz w:val="20"/>
        </w:rPr>
      </w:pPr>
      <w:bookmarkStart w:id="710" w:name="_3.5.6_Contested_Family"/>
      <w:bookmarkStart w:id="711" w:name="B356"/>
      <w:bookmarkStart w:id="712" w:name="_Toc30651654"/>
      <w:bookmarkStart w:id="713" w:name="_Toc30652638"/>
      <w:bookmarkStart w:id="714" w:name="_Toc30652736"/>
      <w:bookmarkStart w:id="715" w:name="_Toc30654081"/>
      <w:bookmarkStart w:id="716" w:name="_Toc30654432"/>
      <w:bookmarkStart w:id="717" w:name="_Toc30655051"/>
      <w:bookmarkStart w:id="718" w:name="_Toc30655308"/>
      <w:bookmarkStart w:id="719" w:name="_Toc30656986"/>
      <w:bookmarkStart w:id="720" w:name="_Toc30661735"/>
      <w:bookmarkStart w:id="721" w:name="_Toc30666423"/>
      <w:bookmarkStart w:id="722" w:name="_Toc30666653"/>
      <w:bookmarkStart w:id="723" w:name="_Toc30667828"/>
      <w:bookmarkStart w:id="724" w:name="_Toc30669206"/>
      <w:bookmarkStart w:id="725" w:name="_Toc30671422"/>
      <w:bookmarkStart w:id="726" w:name="_Toc30673949"/>
      <w:bookmarkStart w:id="727" w:name="_Toc30691171"/>
      <w:bookmarkStart w:id="728" w:name="_Toc30691542"/>
      <w:bookmarkStart w:id="729" w:name="_Toc30691922"/>
      <w:bookmarkStart w:id="730" w:name="_Toc30692681"/>
      <w:bookmarkStart w:id="731" w:name="_Toc30693060"/>
      <w:bookmarkStart w:id="732" w:name="_Toc30693438"/>
      <w:bookmarkStart w:id="733" w:name="_Toc30693817"/>
      <w:bookmarkStart w:id="734" w:name="_Toc30694198"/>
      <w:bookmarkStart w:id="735" w:name="_Toc30698787"/>
      <w:bookmarkStart w:id="736" w:name="_Toc30699165"/>
      <w:bookmarkStart w:id="737" w:name="_Toc30699550"/>
      <w:bookmarkStart w:id="738" w:name="_Toc30700705"/>
      <w:bookmarkStart w:id="739" w:name="_Toc30701092"/>
      <w:bookmarkStart w:id="740" w:name="_Toc30743701"/>
      <w:bookmarkStart w:id="741" w:name="_Toc30754523"/>
      <w:bookmarkStart w:id="742" w:name="_Toc30756963"/>
      <w:bookmarkStart w:id="743" w:name="_Toc30757512"/>
      <w:bookmarkStart w:id="744" w:name="_Toc30757912"/>
      <w:bookmarkStart w:id="745" w:name="_Toc30762673"/>
      <w:bookmarkStart w:id="746" w:name="_Toc30767327"/>
      <w:bookmarkStart w:id="747" w:name="_Toc34823343"/>
      <w:bookmarkStart w:id="748" w:name="_Toc40580922"/>
      <w:bookmarkStart w:id="749" w:name="_Toc40581326"/>
      <w:bookmarkStart w:id="750" w:name="_Toc40581814"/>
      <w:bookmarkStart w:id="751" w:name="_Toc30651655"/>
      <w:bookmarkStart w:id="752" w:name="_Toc30652639"/>
      <w:bookmarkStart w:id="753" w:name="_Toc30652737"/>
      <w:bookmarkStart w:id="754" w:name="_Toc30654082"/>
      <w:bookmarkStart w:id="755" w:name="_Toc30654433"/>
      <w:bookmarkStart w:id="756" w:name="_Toc30655052"/>
      <w:bookmarkStart w:id="757" w:name="_Toc30655309"/>
      <w:bookmarkStart w:id="758" w:name="_Toc30656987"/>
      <w:bookmarkStart w:id="759" w:name="_Toc30661736"/>
      <w:bookmarkStart w:id="760" w:name="_Toc30666424"/>
      <w:bookmarkStart w:id="761" w:name="_Toc30666654"/>
      <w:bookmarkStart w:id="762" w:name="_Toc30667829"/>
      <w:bookmarkStart w:id="763" w:name="_Toc30669207"/>
      <w:bookmarkStart w:id="764" w:name="_Toc30671423"/>
      <w:bookmarkStart w:id="765" w:name="_Toc30673950"/>
      <w:bookmarkStart w:id="766" w:name="_Toc30691172"/>
      <w:bookmarkStart w:id="767" w:name="_Toc30691543"/>
      <w:bookmarkStart w:id="768" w:name="_Toc30691923"/>
      <w:bookmarkStart w:id="769" w:name="_Toc30692682"/>
      <w:bookmarkStart w:id="770" w:name="_Toc30693061"/>
      <w:bookmarkStart w:id="771" w:name="_Toc30693439"/>
      <w:bookmarkStart w:id="772" w:name="_Toc30693818"/>
      <w:bookmarkStart w:id="773" w:name="_Toc30694199"/>
      <w:bookmarkStart w:id="774" w:name="_Toc30698788"/>
      <w:bookmarkStart w:id="775" w:name="_Toc30699166"/>
      <w:bookmarkStart w:id="776" w:name="_Toc30699551"/>
      <w:bookmarkStart w:id="777" w:name="_Toc30700706"/>
      <w:bookmarkStart w:id="778" w:name="_Toc30701093"/>
      <w:bookmarkStart w:id="779" w:name="_Toc30743702"/>
      <w:bookmarkStart w:id="780" w:name="_Toc30754524"/>
      <w:bookmarkStart w:id="781" w:name="_Toc30756964"/>
      <w:bookmarkStart w:id="782" w:name="_Toc30757513"/>
      <w:bookmarkStart w:id="783" w:name="_Toc30757913"/>
      <w:bookmarkStart w:id="784" w:name="_Toc30762674"/>
      <w:bookmarkStart w:id="785" w:name="_Toc30767328"/>
      <w:bookmarkStart w:id="786" w:name="_Toc34823344"/>
      <w:bookmarkEnd w:id="710"/>
      <w:bookmarkEnd w:id="711"/>
      <w:r>
        <w:rPr>
          <w:rFonts w:ascii="Arial" w:hAnsi="Arial" w:cs="Arial"/>
          <w:b/>
          <w:bCs/>
          <w:sz w:val="20"/>
        </w:rPr>
        <w:t>3.5.6</w:t>
      </w:r>
      <w:r>
        <w:rPr>
          <w:rFonts w:ascii="Arial" w:hAnsi="Arial" w:cs="Arial"/>
          <w:b/>
          <w:bCs/>
          <w:sz w:val="20"/>
        </w:rPr>
        <w:tab/>
        <w:t>Contested Family Division case</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5DB10D83" w14:textId="77777777" w:rsidR="00FD5828" w:rsidRPr="009F25D4" w:rsidRDefault="00D9355C" w:rsidP="00FD5828">
      <w:pPr>
        <w:pStyle w:val="Heading3"/>
        <w:keepNext/>
        <w:spacing w:line="240" w:lineRule="auto"/>
        <w:rPr>
          <w:rFonts w:ascii="Arial" w:hAnsi="Arial" w:cs="Arial"/>
          <w:b/>
          <w:bCs/>
          <w:color w:val="000000"/>
          <w:sz w:val="20"/>
        </w:rPr>
      </w:pPr>
      <w:bookmarkStart w:id="787" w:name="_3.5.6.1_The_usual"/>
      <w:bookmarkStart w:id="788" w:name="B3561"/>
      <w:bookmarkEnd w:id="787"/>
      <w:bookmarkEnd w:id="788"/>
      <w:r w:rsidRPr="00520380">
        <w:rPr>
          <w:rFonts w:ascii="Arial" w:hAnsi="Arial" w:cs="Arial"/>
          <w:b/>
          <w:sz w:val="20"/>
        </w:rPr>
        <w:t>3.5.</w:t>
      </w:r>
      <w:r>
        <w:rPr>
          <w:rFonts w:ascii="Arial" w:hAnsi="Arial" w:cs="Arial"/>
          <w:b/>
          <w:sz w:val="20"/>
        </w:rPr>
        <w:t>6</w:t>
      </w:r>
      <w:r w:rsidRPr="00520380">
        <w:rPr>
          <w:rFonts w:ascii="Arial" w:hAnsi="Arial" w:cs="Arial"/>
          <w:b/>
          <w:sz w:val="20"/>
        </w:rPr>
        <w:t>.1</w:t>
      </w:r>
      <w:r w:rsidRPr="00520380">
        <w:rPr>
          <w:rFonts w:ascii="Arial" w:hAnsi="Arial" w:cs="Arial"/>
          <w:b/>
          <w:sz w:val="20"/>
        </w:rPr>
        <w:tab/>
      </w:r>
      <w:r>
        <w:rPr>
          <w:rFonts w:ascii="Arial" w:hAnsi="Arial" w:cs="Arial"/>
          <w:b/>
          <w:sz w:val="20"/>
        </w:rPr>
        <w:t>The usual procedure</w:t>
      </w:r>
    </w:p>
    <w:p w14:paraId="6C603D7E" w14:textId="585C8FBB" w:rsidR="00182570" w:rsidRDefault="00B21DA4" w:rsidP="00D9355C">
      <w:pPr>
        <w:spacing w:before="120"/>
        <w:jc w:val="both"/>
        <w:rPr>
          <w:rFonts w:ascii="Arial" w:hAnsi="Arial" w:cs="Arial"/>
          <w:sz w:val="20"/>
        </w:rPr>
      </w:pPr>
      <w:r>
        <w:rPr>
          <w:rFonts w:ascii="Arial" w:hAnsi="Arial" w:cs="Arial"/>
          <w:sz w:val="20"/>
        </w:rPr>
        <w:t>Each party or his or her legal representative usually outlines what they are seeking in the case.  Each in turn often calls one or more witnesses to give oral and/or documentary evidence about the case.</w:t>
      </w:r>
      <w:r w:rsidR="00182570">
        <w:rPr>
          <w:rFonts w:ascii="Arial" w:hAnsi="Arial" w:cs="Arial"/>
          <w:sz w:val="20"/>
        </w:rPr>
        <w:t xml:space="preserve">  Witnesses who are experts in a particular area of knowledge may be called to support a party</w:t>
      </w:r>
      <w:r w:rsidR="000F0BE9">
        <w:rPr>
          <w:rFonts w:ascii="Arial" w:hAnsi="Arial" w:cs="Arial"/>
          <w:sz w:val="20"/>
        </w:rPr>
        <w:t>’</w:t>
      </w:r>
      <w:r w:rsidR="00182570">
        <w:rPr>
          <w:rFonts w:ascii="Arial" w:hAnsi="Arial" w:cs="Arial"/>
          <w:sz w:val="20"/>
        </w:rPr>
        <w:t>s case.  For example, a psychologist may be called to give evidence about a child</w:t>
      </w:r>
      <w:r w:rsidR="000F0BE9">
        <w:rPr>
          <w:rFonts w:ascii="Arial" w:hAnsi="Arial" w:cs="Arial"/>
          <w:sz w:val="20"/>
        </w:rPr>
        <w:t>’</w:t>
      </w:r>
      <w:r w:rsidR="00182570">
        <w:rPr>
          <w:rFonts w:ascii="Arial" w:hAnsi="Arial" w:cs="Arial"/>
          <w:sz w:val="20"/>
        </w:rPr>
        <w:t>s psychological state.  The Department</w:t>
      </w:r>
      <w:r w:rsidR="000F0BE9">
        <w:rPr>
          <w:rFonts w:ascii="Arial" w:hAnsi="Arial" w:cs="Arial"/>
          <w:sz w:val="20"/>
        </w:rPr>
        <w:t>’</w:t>
      </w:r>
      <w:r w:rsidR="00182570">
        <w:rPr>
          <w:rFonts w:ascii="Arial" w:hAnsi="Arial" w:cs="Arial"/>
          <w:sz w:val="20"/>
        </w:rPr>
        <w:t>s witnesses are usually called first.  Each witness who gives evidence for one party can be cross-examined by every other party.  The purpose of cross-examination is to allow the accuracy and truth of the witness</w:t>
      </w:r>
      <w:r w:rsidR="000F0BE9">
        <w:rPr>
          <w:rFonts w:ascii="Arial" w:hAnsi="Arial" w:cs="Arial"/>
          <w:sz w:val="20"/>
        </w:rPr>
        <w:t>’</w:t>
      </w:r>
      <w:r w:rsidR="00182570">
        <w:rPr>
          <w:rFonts w:ascii="Arial" w:hAnsi="Arial" w:cs="Arial"/>
          <w:sz w:val="20"/>
        </w:rPr>
        <w:t xml:space="preserve"> evidence to be tested or challenged by the other parties</w:t>
      </w:r>
      <w:r w:rsidR="007D0245">
        <w:rPr>
          <w:rFonts w:ascii="Arial" w:hAnsi="Arial" w:cs="Arial"/>
          <w:sz w:val="20"/>
        </w:rPr>
        <w:t xml:space="preserve">: see </w:t>
      </w:r>
      <w:r w:rsidR="007D0245" w:rsidRPr="007D0245">
        <w:rPr>
          <w:rFonts w:ascii="Arial" w:hAnsi="Arial" w:cs="Arial"/>
          <w:i/>
          <w:sz w:val="20"/>
        </w:rPr>
        <w:t>Libke v The Queen</w:t>
      </w:r>
      <w:r w:rsidR="007D0245">
        <w:rPr>
          <w:rFonts w:ascii="Arial" w:hAnsi="Arial" w:cs="Arial"/>
          <w:sz w:val="20"/>
        </w:rPr>
        <w:t xml:space="preserve"> [2007] HCA 30 esp</w:t>
      </w:r>
      <w:r w:rsidR="00F65EB1">
        <w:rPr>
          <w:rFonts w:ascii="Arial" w:hAnsi="Arial" w:cs="Arial"/>
          <w:sz w:val="20"/>
        </w:rPr>
        <w:t>ecially</w:t>
      </w:r>
      <w:r w:rsidR="007D0245">
        <w:rPr>
          <w:rFonts w:ascii="Arial" w:hAnsi="Arial" w:cs="Arial"/>
          <w:sz w:val="20"/>
        </w:rPr>
        <w:t xml:space="preserve"> at [117]-[131] per Heydon J</w:t>
      </w:r>
      <w:r w:rsidR="00182570">
        <w:rPr>
          <w:rFonts w:ascii="Arial" w:hAnsi="Arial" w:cs="Arial"/>
          <w:sz w:val="20"/>
        </w:rPr>
        <w:t xml:space="preserve">.  Where there are conflicting accounts or material, </w:t>
      </w:r>
      <w:r w:rsidR="00182570">
        <w:rPr>
          <w:rFonts w:ascii="Arial" w:hAnsi="Arial" w:cs="Arial"/>
          <w:sz w:val="20"/>
        </w:rPr>
        <w:lastRenderedPageBreak/>
        <w:t>the judicial officer must make a decision about which</w:t>
      </w:r>
      <w:r w:rsidR="00610405">
        <w:rPr>
          <w:rFonts w:ascii="Arial" w:hAnsi="Arial" w:cs="Arial"/>
          <w:sz w:val="20"/>
        </w:rPr>
        <w:t xml:space="preserve"> is the more probable account, bearing in mind the dicta of Gleeson CJ and Gummow &amp; Kirby JJ i</w:t>
      </w:r>
      <w:r w:rsidR="00C7057F">
        <w:rPr>
          <w:rFonts w:ascii="Arial" w:hAnsi="Arial" w:cs="Arial"/>
          <w:sz w:val="20"/>
        </w:rPr>
        <w:t xml:space="preserve">n </w:t>
      </w:r>
      <w:r w:rsidR="00C7057F" w:rsidRPr="004F7367">
        <w:rPr>
          <w:rFonts w:ascii="Arial" w:hAnsi="Arial" w:cs="Arial"/>
          <w:i/>
          <w:sz w:val="20"/>
        </w:rPr>
        <w:t>Fox v Percy</w:t>
      </w:r>
      <w:r w:rsidR="00C7057F">
        <w:rPr>
          <w:rFonts w:ascii="Arial" w:hAnsi="Arial" w:cs="Arial"/>
          <w:sz w:val="20"/>
        </w:rPr>
        <w:t xml:space="preserve"> (2003) 214 CLR </w:t>
      </w:r>
      <w:r w:rsidR="00610405">
        <w:rPr>
          <w:rFonts w:ascii="Arial" w:hAnsi="Arial" w:cs="Arial"/>
          <w:sz w:val="20"/>
        </w:rPr>
        <w:t>118 at 128</w:t>
      </w:r>
      <w:r w:rsidR="00610405">
        <w:rPr>
          <w:rFonts w:ascii="Arial" w:hAnsi="Arial" w:cs="Arial"/>
          <w:sz w:val="20"/>
        </w:rPr>
        <w:noBreakHyphen/>
        <w:t>9</w:t>
      </w:r>
      <w:r w:rsidR="007A3695">
        <w:rPr>
          <w:rFonts w:ascii="Arial" w:hAnsi="Arial" w:cs="Arial"/>
          <w:sz w:val="20"/>
        </w:rPr>
        <w:t xml:space="preserve">: see </w:t>
      </w:r>
      <w:r w:rsidR="007A3695" w:rsidRPr="00A975E6">
        <w:rPr>
          <w:rFonts w:ascii="Arial" w:hAnsi="Arial" w:cs="Arial"/>
          <w:b/>
          <w:bCs/>
          <w:sz w:val="20"/>
          <w:shd w:val="clear" w:color="auto" w:fill="C5E0B3" w:themeFill="accent6" w:themeFillTint="66"/>
        </w:rPr>
        <w:t>subsection 3.5.3.</w:t>
      </w:r>
      <w:r w:rsidR="00106472" w:rsidRPr="00A975E6">
        <w:rPr>
          <w:rFonts w:ascii="Arial" w:hAnsi="Arial" w:cs="Arial"/>
          <w:b/>
          <w:bCs/>
          <w:sz w:val="20"/>
          <w:shd w:val="clear" w:color="auto" w:fill="C5E0B3" w:themeFill="accent6" w:themeFillTint="66"/>
        </w:rPr>
        <w:t>8</w:t>
      </w:r>
      <w:r w:rsidR="007A3695">
        <w:rPr>
          <w:rFonts w:ascii="Arial" w:hAnsi="Arial" w:cs="Arial"/>
          <w:sz w:val="20"/>
        </w:rPr>
        <w:t xml:space="preserve"> above; s</w:t>
      </w:r>
      <w:r w:rsidR="00A73084">
        <w:rPr>
          <w:rFonts w:ascii="Arial" w:hAnsi="Arial" w:cs="Arial"/>
          <w:sz w:val="20"/>
        </w:rPr>
        <w:t xml:space="preserve">ee also </w:t>
      </w:r>
      <w:r w:rsidR="007A3695" w:rsidRPr="007A3695">
        <w:rPr>
          <w:rFonts w:ascii="Arial" w:hAnsi="Arial" w:cs="Arial"/>
          <w:i/>
          <w:iCs/>
          <w:sz w:val="20"/>
        </w:rPr>
        <w:t>Eumeralla Estate Pty Ltd v Chen</w:t>
      </w:r>
      <w:r w:rsidR="007A3695">
        <w:rPr>
          <w:rFonts w:ascii="Arial" w:hAnsi="Arial" w:cs="Arial"/>
          <w:sz w:val="20"/>
        </w:rPr>
        <w:t xml:space="preserve"> [2022] VSCA 78 at [42]-[68].  </w:t>
      </w:r>
      <w:r w:rsidR="00182570">
        <w:rPr>
          <w:rFonts w:ascii="Arial" w:hAnsi="Arial" w:cs="Arial"/>
          <w:sz w:val="20"/>
        </w:rPr>
        <w:t>The law is then applied to those facts to arrive at a decision.</w:t>
      </w:r>
    </w:p>
    <w:p w14:paraId="432401FC" w14:textId="623255E1" w:rsidR="00C80D87" w:rsidRDefault="00C80D87" w:rsidP="00C80D87">
      <w:pPr>
        <w:jc w:val="both"/>
        <w:rPr>
          <w:rFonts w:ascii="Arial" w:hAnsi="Arial" w:cs="Arial"/>
          <w:sz w:val="20"/>
        </w:rPr>
      </w:pPr>
    </w:p>
    <w:p w14:paraId="576CFA16" w14:textId="348BA43B" w:rsidR="00C80D87" w:rsidRDefault="00C80D87" w:rsidP="00C80D87">
      <w:pPr>
        <w:jc w:val="both"/>
        <w:rPr>
          <w:rFonts w:ascii="Arial" w:hAnsi="Arial" w:cs="Arial"/>
          <w:sz w:val="20"/>
        </w:rPr>
      </w:pPr>
      <w:r>
        <w:rPr>
          <w:rFonts w:ascii="Arial" w:hAnsi="Arial" w:cs="Arial"/>
          <w:sz w:val="20"/>
        </w:rPr>
        <w:t xml:space="preserve">Judicial officers can and do ask questions of witnesses, especially in the sorts of circumstances adverted to by Davies AJA in </w:t>
      </w:r>
      <w:r>
        <w:rPr>
          <w:rFonts w:ascii="Arial" w:hAnsi="Arial" w:cs="Arial"/>
          <w:i/>
          <w:iCs/>
          <w:sz w:val="20"/>
        </w:rPr>
        <w:t>S v DOCS</w:t>
      </w:r>
      <w:r>
        <w:rPr>
          <w:rFonts w:ascii="Arial" w:hAnsi="Arial" w:cs="Arial"/>
          <w:sz w:val="20"/>
        </w:rPr>
        <w:t xml:space="preserve"> (2002) 29 </w:t>
      </w:r>
      <w:r w:rsidR="000F0BE9">
        <w:rPr>
          <w:rFonts w:ascii="Arial" w:hAnsi="Arial" w:cs="Arial"/>
          <w:sz w:val="20"/>
        </w:rPr>
        <w:t>I</w:t>
      </w:r>
      <w:r>
        <w:rPr>
          <w:rFonts w:ascii="Arial" w:hAnsi="Arial" w:cs="Arial"/>
          <w:sz w:val="20"/>
        </w:rPr>
        <w:t xml:space="preserve"> LR 144; [2002] NSWCA 151 at [40]:</w:t>
      </w:r>
    </w:p>
    <w:p w14:paraId="0AC2FA28" w14:textId="15492AD8" w:rsidR="00C80D87" w:rsidRDefault="000F0BE9" w:rsidP="00C31AA5">
      <w:pPr>
        <w:spacing w:before="60"/>
        <w:ind w:left="454" w:right="454"/>
        <w:jc w:val="both"/>
        <w:rPr>
          <w:rFonts w:ascii="Arial" w:hAnsi="Arial" w:cs="Arial"/>
          <w:iCs/>
          <w:sz w:val="20"/>
        </w:rPr>
      </w:pPr>
      <w:r>
        <w:rPr>
          <w:rFonts w:ascii="Arial" w:hAnsi="Arial" w:cs="Arial"/>
          <w:sz w:val="20"/>
        </w:rPr>
        <w:t>“</w:t>
      </w:r>
      <w:r w:rsidR="00C80D87">
        <w:rPr>
          <w:rFonts w:ascii="Arial" w:hAnsi="Arial" w:cs="Arial"/>
          <w:sz w:val="20"/>
        </w:rPr>
        <w:t>In cases of this type, where persons are often unrepresented, and may be emotionally upset by the care order which has been [or may be] made, it is essential that all relevant information is obtained so that an order is made in the best interests of the child…[I]t would have been the duty of the [Children</w:t>
      </w:r>
      <w:r>
        <w:rPr>
          <w:rFonts w:ascii="Arial" w:hAnsi="Arial" w:cs="Arial"/>
          <w:sz w:val="20"/>
        </w:rPr>
        <w:t>’</w:t>
      </w:r>
      <w:r w:rsidR="00C80D87">
        <w:rPr>
          <w:rFonts w:ascii="Arial" w:hAnsi="Arial" w:cs="Arial"/>
          <w:sz w:val="20"/>
        </w:rPr>
        <w:t>s] Court to ensure that, if relevant information was not in the affidavits, the information was obtained and examined.</w:t>
      </w:r>
      <w:r>
        <w:rPr>
          <w:rFonts w:ascii="Arial" w:hAnsi="Arial" w:cs="Arial"/>
          <w:sz w:val="20"/>
        </w:rPr>
        <w:t>”</w:t>
      </w:r>
    </w:p>
    <w:p w14:paraId="7503940A" w14:textId="77777777" w:rsidR="00937ADE" w:rsidRDefault="00937ADE" w:rsidP="00937ADE">
      <w:pPr>
        <w:jc w:val="both"/>
        <w:rPr>
          <w:rFonts w:ascii="Arial" w:hAnsi="Arial" w:cs="Arial"/>
          <w:sz w:val="20"/>
        </w:rPr>
      </w:pPr>
    </w:p>
    <w:p w14:paraId="255336BA" w14:textId="24574989" w:rsidR="00937ADE" w:rsidRPr="0040353D" w:rsidRDefault="00937ADE" w:rsidP="00937ADE">
      <w:pPr>
        <w:jc w:val="both"/>
        <w:rPr>
          <w:rFonts w:ascii="Arial" w:hAnsi="Arial" w:cs="Arial"/>
          <w:color w:val="000000"/>
          <w:sz w:val="20"/>
        </w:rPr>
      </w:pPr>
      <w:r w:rsidRPr="0040353D">
        <w:rPr>
          <w:rFonts w:ascii="Arial" w:hAnsi="Arial" w:cs="Arial"/>
          <w:color w:val="000000"/>
          <w:sz w:val="20"/>
        </w:rPr>
        <w:t>The Children</w:t>
      </w:r>
      <w:r w:rsidR="000F0BE9">
        <w:rPr>
          <w:rFonts w:ascii="Arial" w:hAnsi="Arial" w:cs="Arial"/>
          <w:color w:val="000000"/>
          <w:sz w:val="20"/>
        </w:rPr>
        <w:t>’</w:t>
      </w:r>
      <w:r w:rsidRPr="0040353D">
        <w:rPr>
          <w:rFonts w:ascii="Arial" w:hAnsi="Arial" w:cs="Arial"/>
          <w:color w:val="000000"/>
          <w:sz w:val="20"/>
        </w:rPr>
        <w:t>s Court is faced with similar problems on a daily basis.  It is all very well to say that the Court has a duty to ensure that all relevant information is obtained.  However, the Court</w:t>
      </w:r>
      <w:r w:rsidR="000F0BE9">
        <w:rPr>
          <w:rFonts w:ascii="Arial" w:hAnsi="Arial" w:cs="Arial"/>
          <w:color w:val="000000"/>
          <w:sz w:val="20"/>
        </w:rPr>
        <w:t>’</w:t>
      </w:r>
      <w:r w:rsidRPr="0040353D">
        <w:rPr>
          <w:rFonts w:ascii="Arial" w:hAnsi="Arial" w:cs="Arial"/>
          <w:color w:val="000000"/>
          <w:sz w:val="20"/>
        </w:rPr>
        <w:t>s ability to inquire is limited.  While it now has power under s.532 of the CYFA to sub-poena material – such as hospital files or school or police records – which it believes to be relevant but which the parties have failed or refused to produce – it will not necessarily know of the existence of such materials unless one of the parties alerts it.  In practice, the Court</w:t>
      </w:r>
      <w:r w:rsidR="000F0BE9">
        <w:rPr>
          <w:rFonts w:ascii="Arial" w:hAnsi="Arial" w:cs="Arial"/>
          <w:color w:val="000000"/>
          <w:sz w:val="20"/>
        </w:rPr>
        <w:t>’</w:t>
      </w:r>
      <w:r w:rsidRPr="0040353D">
        <w:rPr>
          <w:rFonts w:ascii="Arial" w:hAnsi="Arial" w:cs="Arial"/>
          <w:color w:val="000000"/>
          <w:sz w:val="20"/>
        </w:rPr>
        <w:t>s investigative arm is largely restricted to the use of the Children</w:t>
      </w:r>
      <w:r w:rsidR="000F0BE9">
        <w:rPr>
          <w:rFonts w:ascii="Arial" w:hAnsi="Arial" w:cs="Arial"/>
          <w:color w:val="000000"/>
          <w:sz w:val="20"/>
        </w:rPr>
        <w:t>’</w:t>
      </w:r>
      <w:r w:rsidRPr="0040353D">
        <w:rPr>
          <w:rFonts w:ascii="Arial" w:hAnsi="Arial" w:cs="Arial"/>
          <w:color w:val="000000"/>
          <w:sz w:val="20"/>
        </w:rPr>
        <w:t xml:space="preserve">s Court Clinic, an </w:t>
      </w:r>
      <w:r w:rsidR="00667D1D">
        <w:rPr>
          <w:rFonts w:ascii="Arial" w:hAnsi="Arial" w:cs="Arial"/>
          <w:color w:val="000000"/>
          <w:sz w:val="20"/>
        </w:rPr>
        <w:t>excellent</w:t>
      </w:r>
      <w:r w:rsidRPr="0040353D">
        <w:rPr>
          <w:rFonts w:ascii="Arial" w:hAnsi="Arial" w:cs="Arial"/>
          <w:color w:val="000000"/>
          <w:sz w:val="20"/>
        </w:rPr>
        <w:t xml:space="preserve"> resource but a </w:t>
      </w:r>
      <w:r>
        <w:rPr>
          <w:rFonts w:ascii="Arial" w:hAnsi="Arial" w:cs="Arial"/>
          <w:color w:val="000000"/>
          <w:sz w:val="20"/>
        </w:rPr>
        <w:t xml:space="preserve">necessarily </w:t>
      </w:r>
      <w:r w:rsidRPr="0040353D">
        <w:rPr>
          <w:rFonts w:ascii="Arial" w:hAnsi="Arial" w:cs="Arial"/>
          <w:color w:val="000000"/>
          <w:sz w:val="20"/>
        </w:rPr>
        <w:t>limited one</w:t>
      </w:r>
      <w:r>
        <w:rPr>
          <w:rFonts w:ascii="Arial" w:hAnsi="Arial" w:cs="Arial"/>
          <w:color w:val="000000"/>
          <w:sz w:val="20"/>
        </w:rPr>
        <w:t>.</w:t>
      </w:r>
    </w:p>
    <w:p w14:paraId="0467310D" w14:textId="77777777" w:rsidR="00937ADE" w:rsidRDefault="00937ADE" w:rsidP="00C80D87">
      <w:pPr>
        <w:jc w:val="both"/>
        <w:rPr>
          <w:rFonts w:ascii="Arial" w:hAnsi="Arial" w:cs="Arial"/>
          <w:sz w:val="20"/>
        </w:rPr>
      </w:pPr>
    </w:p>
    <w:p w14:paraId="05D16B09" w14:textId="77777777" w:rsidR="00154576" w:rsidRDefault="00154576" w:rsidP="00C80D87">
      <w:pPr>
        <w:jc w:val="both"/>
        <w:rPr>
          <w:rFonts w:ascii="Arial" w:hAnsi="Arial" w:cs="Arial"/>
          <w:sz w:val="20"/>
        </w:rPr>
      </w:pPr>
      <w:r>
        <w:rPr>
          <w:rFonts w:ascii="Arial" w:hAnsi="Arial" w:cs="Arial"/>
          <w:sz w:val="20"/>
        </w:rPr>
        <w:t xml:space="preserve">As with criminal trials, a submission can be made in civil proceedings at the conclusion of the applicant’s case that the respondent has no case to answer.  The relevant test is set out in </w:t>
      </w:r>
      <w:r w:rsidRPr="00AF7766">
        <w:rPr>
          <w:rFonts w:ascii="Arial" w:hAnsi="Arial" w:cs="Arial"/>
          <w:i/>
          <w:sz w:val="20"/>
          <w:szCs w:val="20"/>
        </w:rPr>
        <w:t xml:space="preserve">Protean (Holdings) Ltd and </w:t>
      </w:r>
      <w:r>
        <w:rPr>
          <w:rFonts w:ascii="Arial" w:hAnsi="Arial" w:cs="Arial"/>
          <w:i/>
          <w:sz w:val="20"/>
          <w:szCs w:val="20"/>
        </w:rPr>
        <w:t>O</w:t>
      </w:r>
      <w:r w:rsidRPr="00AF7766">
        <w:rPr>
          <w:rFonts w:ascii="Arial" w:hAnsi="Arial" w:cs="Arial"/>
          <w:i/>
          <w:sz w:val="20"/>
          <w:szCs w:val="20"/>
        </w:rPr>
        <w:t>rs v American Home Assurance Co</w:t>
      </w:r>
      <w:r>
        <w:rPr>
          <w:rFonts w:ascii="Arial" w:hAnsi="Arial" w:cs="Arial"/>
          <w:i/>
          <w:sz w:val="20"/>
          <w:szCs w:val="20"/>
        </w:rPr>
        <w:t xml:space="preserve"> </w:t>
      </w:r>
      <w:r w:rsidRPr="00AF7766">
        <w:rPr>
          <w:rFonts w:ascii="Arial" w:hAnsi="Arial" w:cs="Arial"/>
          <w:sz w:val="20"/>
          <w:szCs w:val="20"/>
        </w:rPr>
        <w:t>[1985] VR 187</w:t>
      </w:r>
      <w:r>
        <w:rPr>
          <w:rFonts w:ascii="Arial" w:hAnsi="Arial" w:cs="Arial"/>
          <w:sz w:val="20"/>
          <w:szCs w:val="20"/>
        </w:rPr>
        <w:t xml:space="preserve">; see also </w:t>
      </w:r>
      <w:r w:rsidRPr="008F4302">
        <w:rPr>
          <w:rFonts w:ascii="Arial" w:hAnsi="Arial" w:cs="Arial"/>
          <w:i/>
          <w:sz w:val="20"/>
          <w:szCs w:val="20"/>
        </w:rPr>
        <w:t>Oakley and Anor v Insurance Manufacturers of Australia Pty Ltd</w:t>
      </w:r>
      <w:r>
        <w:rPr>
          <w:rFonts w:ascii="Arial" w:hAnsi="Arial" w:cs="Arial"/>
          <w:i/>
          <w:sz w:val="20"/>
          <w:szCs w:val="20"/>
        </w:rPr>
        <w:t xml:space="preserve"> </w:t>
      </w:r>
      <w:r w:rsidRPr="008F4302">
        <w:rPr>
          <w:rFonts w:ascii="Arial" w:hAnsi="Arial" w:cs="Arial"/>
          <w:sz w:val="20"/>
          <w:szCs w:val="20"/>
        </w:rPr>
        <w:t xml:space="preserve">[2008] VSC 68 esp at </w:t>
      </w:r>
      <w:r>
        <w:rPr>
          <w:rFonts w:ascii="Arial" w:hAnsi="Arial" w:cs="Arial"/>
          <w:sz w:val="20"/>
          <w:szCs w:val="20"/>
        </w:rPr>
        <w:t>[4]-[11].  However a no case submission is rare in the Family Division.  The writer is only aware of two cases in which no case submissions have been made:</w:t>
      </w:r>
      <w:r w:rsidRPr="00154576">
        <w:rPr>
          <w:rFonts w:ascii="Arial" w:hAnsi="Arial" w:cs="Arial"/>
          <w:i/>
          <w:sz w:val="20"/>
          <w:szCs w:val="20"/>
        </w:rPr>
        <w:t xml:space="preserve"> DOHS v C</w:t>
      </w:r>
      <w:r>
        <w:rPr>
          <w:rFonts w:ascii="Arial" w:hAnsi="Arial" w:cs="Arial"/>
          <w:i/>
          <w:sz w:val="20"/>
          <w:szCs w:val="20"/>
        </w:rPr>
        <w:t>S</w:t>
      </w:r>
      <w:r>
        <w:rPr>
          <w:rFonts w:ascii="Arial" w:hAnsi="Arial" w:cs="Arial"/>
          <w:sz w:val="20"/>
          <w:szCs w:val="20"/>
        </w:rPr>
        <w:t xml:space="preserve"> {PA268/96} [[Children’s Court of Victoria-Power M, unreported, </w:t>
      </w:r>
      <w:smartTag w:uri="urn:schemas-microsoft-com:office:smarttags" w:element="date">
        <w:smartTagPr>
          <w:attr w:name="Month" w:val="12"/>
          <w:attr w:name="Day" w:val="5"/>
          <w:attr w:name="Year" w:val="1996"/>
        </w:smartTagPr>
        <w:r>
          <w:rPr>
            <w:rFonts w:ascii="Arial" w:hAnsi="Arial" w:cs="Arial"/>
            <w:sz w:val="20"/>
            <w:szCs w:val="20"/>
          </w:rPr>
          <w:t>05/12/1996</w:t>
        </w:r>
      </w:smartTag>
      <w:r>
        <w:rPr>
          <w:rFonts w:ascii="Arial" w:hAnsi="Arial" w:cs="Arial"/>
          <w:sz w:val="20"/>
          <w:szCs w:val="20"/>
        </w:rPr>
        <w:t xml:space="preserve">] and </w:t>
      </w:r>
      <w:r w:rsidRPr="00154576">
        <w:rPr>
          <w:rFonts w:ascii="Arial" w:hAnsi="Arial" w:cs="Arial"/>
          <w:i/>
          <w:sz w:val="20"/>
          <w:szCs w:val="20"/>
        </w:rPr>
        <w:t>DOHS v TD</w:t>
      </w:r>
      <w:r>
        <w:rPr>
          <w:rFonts w:ascii="Arial" w:hAnsi="Arial" w:cs="Arial"/>
          <w:sz w:val="20"/>
          <w:szCs w:val="20"/>
        </w:rPr>
        <w:t xml:space="preserve"> {PA0835/2002} [Children’s Court of Victoria-Power M, unreported, </w:t>
      </w:r>
      <w:smartTag w:uri="urn:schemas-microsoft-com:office:smarttags" w:element="date">
        <w:smartTagPr>
          <w:attr w:name="Month" w:val="7"/>
          <w:attr w:name="Day" w:val="28"/>
          <w:attr w:name="Year" w:val="2002"/>
        </w:smartTagPr>
        <w:r>
          <w:rPr>
            <w:rFonts w:ascii="Arial" w:hAnsi="Arial" w:cs="Arial"/>
            <w:sz w:val="20"/>
            <w:szCs w:val="20"/>
          </w:rPr>
          <w:t>28/07/2002</w:t>
        </w:r>
      </w:smartTag>
      <w:r>
        <w:rPr>
          <w:rFonts w:ascii="Arial" w:hAnsi="Arial" w:cs="Arial"/>
          <w:sz w:val="20"/>
          <w:szCs w:val="20"/>
        </w:rPr>
        <w:t>].  The submission was upheld in the first case but not in the second.</w:t>
      </w:r>
    </w:p>
    <w:p w14:paraId="4E03EB4C" w14:textId="77777777" w:rsidR="00D9355C" w:rsidRDefault="00D9355C" w:rsidP="00D9355C">
      <w:pPr>
        <w:jc w:val="both"/>
        <w:rPr>
          <w:rFonts w:ascii="Arial" w:hAnsi="Arial" w:cs="Arial"/>
          <w:sz w:val="20"/>
        </w:rPr>
      </w:pPr>
    </w:p>
    <w:p w14:paraId="076690D7" w14:textId="06BB3411" w:rsidR="00FD5828" w:rsidRPr="009F25D4" w:rsidRDefault="00D9355C" w:rsidP="00FD5828">
      <w:pPr>
        <w:pStyle w:val="Heading3"/>
        <w:keepNext/>
        <w:spacing w:line="240" w:lineRule="auto"/>
        <w:rPr>
          <w:rFonts w:ascii="Arial" w:hAnsi="Arial" w:cs="Arial"/>
          <w:b/>
          <w:bCs/>
          <w:color w:val="000000"/>
          <w:sz w:val="20"/>
        </w:rPr>
      </w:pPr>
      <w:bookmarkStart w:id="789" w:name="_3.5.6.2_Informal_procedure"/>
      <w:bookmarkStart w:id="790" w:name="B3562"/>
      <w:bookmarkEnd w:id="789"/>
      <w:bookmarkEnd w:id="790"/>
      <w:r w:rsidRPr="00520380">
        <w:rPr>
          <w:rFonts w:ascii="Arial" w:hAnsi="Arial" w:cs="Arial"/>
          <w:b/>
          <w:sz w:val="20"/>
        </w:rPr>
        <w:t>3.5.</w:t>
      </w:r>
      <w:r>
        <w:rPr>
          <w:rFonts w:ascii="Arial" w:hAnsi="Arial" w:cs="Arial"/>
          <w:b/>
          <w:sz w:val="20"/>
        </w:rPr>
        <w:t>6</w:t>
      </w:r>
      <w:r w:rsidRPr="00520380">
        <w:rPr>
          <w:rFonts w:ascii="Arial" w:hAnsi="Arial" w:cs="Arial"/>
          <w:b/>
          <w:sz w:val="20"/>
        </w:rPr>
        <w:t>.</w:t>
      </w:r>
      <w:r>
        <w:rPr>
          <w:rFonts w:ascii="Arial" w:hAnsi="Arial" w:cs="Arial"/>
          <w:b/>
          <w:sz w:val="20"/>
        </w:rPr>
        <w:t>2</w:t>
      </w:r>
      <w:r w:rsidRPr="00520380">
        <w:rPr>
          <w:rFonts w:ascii="Arial" w:hAnsi="Arial" w:cs="Arial"/>
          <w:b/>
          <w:sz w:val="20"/>
        </w:rPr>
        <w:tab/>
      </w:r>
      <w:r>
        <w:rPr>
          <w:rFonts w:ascii="Arial" w:hAnsi="Arial" w:cs="Arial"/>
          <w:b/>
          <w:sz w:val="20"/>
        </w:rPr>
        <w:t>Informal procedure</w:t>
      </w:r>
      <w:r w:rsidR="00367E55">
        <w:rPr>
          <w:rFonts w:ascii="Arial" w:hAnsi="Arial" w:cs="Arial"/>
          <w:b/>
          <w:sz w:val="20"/>
        </w:rPr>
        <w:t xml:space="preserve"> – s</w:t>
      </w:r>
      <w:r w:rsidR="00C22B3A">
        <w:rPr>
          <w:rFonts w:ascii="Arial" w:hAnsi="Arial" w:cs="Arial"/>
          <w:b/>
          <w:sz w:val="20"/>
        </w:rPr>
        <w:t>.</w:t>
      </w:r>
      <w:r w:rsidR="00367E55">
        <w:rPr>
          <w:rFonts w:ascii="Arial" w:hAnsi="Arial" w:cs="Arial"/>
          <w:b/>
          <w:sz w:val="20"/>
        </w:rPr>
        <w:t>215(1)</w:t>
      </w:r>
      <w:r w:rsidR="004D795E">
        <w:rPr>
          <w:rFonts w:ascii="Arial" w:hAnsi="Arial" w:cs="Arial"/>
          <w:b/>
          <w:sz w:val="20"/>
        </w:rPr>
        <w:t xml:space="preserve"> </w:t>
      </w:r>
      <w:r w:rsidR="00367E55">
        <w:rPr>
          <w:rFonts w:ascii="Arial" w:hAnsi="Arial" w:cs="Arial"/>
          <w:b/>
          <w:sz w:val="20"/>
        </w:rPr>
        <w:t>of the CYFA</w:t>
      </w:r>
    </w:p>
    <w:p w14:paraId="04CF2D80" w14:textId="77777777" w:rsidR="00052871" w:rsidRDefault="00B21DA4" w:rsidP="004D795E">
      <w:pPr>
        <w:spacing w:before="120"/>
        <w:jc w:val="both"/>
        <w:rPr>
          <w:rFonts w:ascii="Arial" w:hAnsi="Arial" w:cs="Arial"/>
          <w:sz w:val="20"/>
        </w:rPr>
      </w:pPr>
      <w:r>
        <w:rPr>
          <w:rFonts w:ascii="Arial" w:hAnsi="Arial" w:cs="Arial"/>
          <w:sz w:val="20"/>
        </w:rPr>
        <w:t xml:space="preserve">Although Family Division proceedings </w:t>
      </w:r>
      <w:r w:rsidR="00AF3D8D">
        <w:rPr>
          <w:rFonts w:ascii="Arial" w:hAnsi="Arial" w:cs="Arial"/>
          <w:sz w:val="20"/>
        </w:rPr>
        <w:t>remain to some extent</w:t>
      </w:r>
      <w:r>
        <w:rPr>
          <w:rFonts w:ascii="Arial" w:hAnsi="Arial" w:cs="Arial"/>
          <w:sz w:val="20"/>
        </w:rPr>
        <w:t xml:space="preserve"> adversarial in nature, the Court is required to conduct them in an informal manner and without regard to legal forms: </w:t>
      </w:r>
      <w:r w:rsidRPr="00C5633C">
        <w:rPr>
          <w:rFonts w:ascii="Arial" w:hAnsi="Arial" w:cs="Arial"/>
          <w:b/>
          <w:bCs/>
          <w:sz w:val="20"/>
        </w:rPr>
        <w:t>ss.</w:t>
      </w:r>
      <w:r w:rsidR="00595D4C" w:rsidRPr="00C5633C">
        <w:rPr>
          <w:rFonts w:ascii="Arial" w:hAnsi="Arial" w:cs="Arial"/>
          <w:b/>
          <w:bCs/>
          <w:sz w:val="20"/>
        </w:rPr>
        <w:t>215</w:t>
      </w:r>
      <w:r w:rsidRPr="00C5633C">
        <w:rPr>
          <w:rFonts w:ascii="Arial" w:hAnsi="Arial" w:cs="Arial"/>
          <w:b/>
          <w:bCs/>
          <w:sz w:val="20"/>
        </w:rPr>
        <w:t xml:space="preserve">(1)(a) &amp; </w:t>
      </w:r>
      <w:r w:rsidR="00595D4C" w:rsidRPr="00C5633C">
        <w:rPr>
          <w:rFonts w:ascii="Arial" w:hAnsi="Arial" w:cs="Arial"/>
          <w:b/>
          <w:bCs/>
          <w:sz w:val="20"/>
        </w:rPr>
        <w:t>215</w:t>
      </w:r>
      <w:r w:rsidRPr="00C5633C">
        <w:rPr>
          <w:rFonts w:ascii="Arial" w:hAnsi="Arial" w:cs="Arial"/>
          <w:b/>
          <w:bCs/>
          <w:sz w:val="20"/>
        </w:rPr>
        <w:t>(1)(b) of the CY</w:t>
      </w:r>
      <w:r w:rsidR="00595D4C" w:rsidRPr="00C5633C">
        <w:rPr>
          <w:rFonts w:ascii="Arial" w:hAnsi="Arial" w:cs="Arial"/>
          <w:b/>
          <w:bCs/>
          <w:sz w:val="20"/>
        </w:rPr>
        <w:t>F</w:t>
      </w:r>
      <w:r w:rsidRPr="00C5633C">
        <w:rPr>
          <w:rFonts w:ascii="Arial" w:hAnsi="Arial" w:cs="Arial"/>
          <w:b/>
          <w:bCs/>
          <w:sz w:val="20"/>
        </w:rPr>
        <w:t>A</w:t>
      </w:r>
      <w:r>
        <w:rPr>
          <w:rFonts w:ascii="Arial" w:hAnsi="Arial" w:cs="Arial"/>
          <w:sz w:val="20"/>
        </w:rPr>
        <w:t xml:space="preserve">.  </w:t>
      </w:r>
      <w:r w:rsidR="00052871">
        <w:rPr>
          <w:rFonts w:ascii="Arial" w:hAnsi="Arial" w:cs="Arial"/>
          <w:sz w:val="20"/>
        </w:rPr>
        <w:t xml:space="preserve">These provisions sound as if they confer a very broad discretion on the judicial officer conducting the proceeding.  However, in </w:t>
      </w:r>
      <w:r w:rsidR="00052871" w:rsidRPr="00741D02">
        <w:rPr>
          <w:rFonts w:ascii="Arial" w:hAnsi="Arial" w:cs="Arial"/>
          <w:i/>
          <w:iCs/>
          <w:sz w:val="20"/>
        </w:rPr>
        <w:t xml:space="preserve">Re Watson; </w:t>
      </w:r>
      <w:r w:rsidR="00052871">
        <w:rPr>
          <w:rFonts w:ascii="Arial" w:hAnsi="Arial" w:cs="Arial"/>
          <w:i/>
          <w:iCs/>
          <w:sz w:val="20"/>
        </w:rPr>
        <w:t xml:space="preserve">Ex </w:t>
      </w:r>
      <w:r w:rsidR="00052871" w:rsidRPr="00741D02">
        <w:rPr>
          <w:rFonts w:ascii="Arial" w:hAnsi="Arial" w:cs="Arial"/>
          <w:i/>
          <w:iCs/>
          <w:sz w:val="20"/>
        </w:rPr>
        <w:t xml:space="preserve">parte Armstrong </w:t>
      </w:r>
      <w:r w:rsidR="00052871">
        <w:rPr>
          <w:rFonts w:ascii="Arial" w:hAnsi="Arial" w:cs="Arial"/>
          <w:iCs/>
          <w:sz w:val="20"/>
        </w:rPr>
        <w:t xml:space="preserve">(1976) 136 CLR 248, </w:t>
      </w:r>
      <w:r w:rsidR="00052871">
        <w:rPr>
          <w:rFonts w:ascii="Arial" w:hAnsi="Arial" w:cs="Arial"/>
          <w:sz w:val="20"/>
        </w:rPr>
        <w:t xml:space="preserve">the earliest superior court case on the </w:t>
      </w:r>
      <w:r w:rsidR="00052871">
        <w:rPr>
          <w:rFonts w:ascii="Arial" w:hAnsi="Arial" w:cs="Arial"/>
          <w:iCs/>
          <w:sz w:val="20"/>
        </w:rPr>
        <w:t xml:space="preserve">interpretation of the similar provision in the </w:t>
      </w:r>
      <w:r w:rsidR="00052871" w:rsidRPr="0058675C">
        <w:rPr>
          <w:rFonts w:ascii="Arial" w:hAnsi="Arial" w:cs="Arial"/>
          <w:i/>
          <w:sz w:val="20"/>
        </w:rPr>
        <w:t>Family Law Act 1975</w:t>
      </w:r>
      <w:r w:rsidR="00052871">
        <w:rPr>
          <w:rFonts w:ascii="Arial" w:hAnsi="Arial" w:cs="Arial"/>
          <w:iCs/>
          <w:sz w:val="20"/>
        </w:rPr>
        <w:t xml:space="preserve"> (Cth) empowering the Family Court to proceed without undue formality, the High Court by majority granted a wife’s application for a writ of prohibition against Justice Watson continuing to hear Family Court proceedings further.  One of the impugned statements of Justice Watson was as follows:</w:t>
      </w:r>
    </w:p>
    <w:p w14:paraId="1B112D1E" w14:textId="77777777" w:rsidR="00052871" w:rsidRDefault="00052871" w:rsidP="00052871">
      <w:pPr>
        <w:spacing w:before="60"/>
        <w:ind w:left="454" w:right="454"/>
        <w:jc w:val="both"/>
        <w:rPr>
          <w:rFonts w:ascii="Arial" w:hAnsi="Arial" w:cs="Arial"/>
          <w:iCs/>
          <w:sz w:val="20"/>
        </w:rPr>
      </w:pPr>
      <w:r>
        <w:rPr>
          <w:rFonts w:ascii="Arial" w:hAnsi="Arial" w:cs="Arial"/>
          <w:iCs/>
          <w:sz w:val="20"/>
        </w:rPr>
        <w:t>“[T]his will sound a strange comment but the proceedings in this Court are not strictly adversary proceedings.  The matter in which I am involved is more in the nature of an inquiry, an inquisition followed by an arbitration.”</w:t>
      </w:r>
    </w:p>
    <w:p w14:paraId="7CFC926A" w14:textId="77777777" w:rsidR="00052871" w:rsidRDefault="00052871" w:rsidP="00036D92">
      <w:pPr>
        <w:spacing w:before="120"/>
        <w:jc w:val="both"/>
        <w:rPr>
          <w:rFonts w:ascii="Arial" w:hAnsi="Arial" w:cs="Arial"/>
          <w:sz w:val="20"/>
        </w:rPr>
      </w:pPr>
      <w:r>
        <w:rPr>
          <w:rFonts w:ascii="Arial" w:hAnsi="Arial" w:cs="Arial"/>
          <w:sz w:val="20"/>
        </w:rPr>
        <w:t>A majority of the High Court (Barwick CJ, Gibbs, Stephen &amp; Mason JJ) disagreed, saying at 257-258:</w:t>
      </w:r>
    </w:p>
    <w:p w14:paraId="0089E765" w14:textId="77777777" w:rsidR="00052871" w:rsidRDefault="00052871" w:rsidP="00052871">
      <w:pPr>
        <w:spacing w:before="60"/>
        <w:ind w:left="454" w:right="454"/>
        <w:jc w:val="both"/>
        <w:rPr>
          <w:rFonts w:ascii="Arial" w:hAnsi="Arial" w:cs="Arial"/>
          <w:iCs/>
          <w:sz w:val="20"/>
        </w:rPr>
      </w:pPr>
      <w:r>
        <w:rPr>
          <w:rFonts w:ascii="Arial" w:hAnsi="Arial" w:cs="Arial"/>
          <w:iCs/>
          <w:sz w:val="20"/>
        </w:rPr>
        <w:t>“The judge called upon to decide proceedings of that kind is not entitled to do what has been described as ‘palm tree justice’.   No doubt he is given a wide discretion, but he must exercise it in accordance with legal principles, including the principles which the Act itself lays down…He must follow the procedure provided by the law.  The provisions of s.97(3) of the Act, which require him to proceed without undue formality, do not authorize him to convert proceedings between parties into an enquiry which he conducts as he chooses.”</w:t>
      </w:r>
    </w:p>
    <w:p w14:paraId="457EBCF9" w14:textId="77777777" w:rsidR="00D9355C" w:rsidRDefault="00052871" w:rsidP="00052871">
      <w:pPr>
        <w:spacing w:before="120"/>
        <w:jc w:val="both"/>
        <w:rPr>
          <w:rFonts w:ascii="Arial" w:hAnsi="Arial" w:cs="Arial"/>
          <w:iCs/>
          <w:sz w:val="20"/>
        </w:rPr>
      </w:pPr>
      <w:r w:rsidRPr="00741D02">
        <w:rPr>
          <w:rFonts w:ascii="Arial" w:hAnsi="Arial" w:cs="Arial"/>
          <w:i/>
          <w:iCs/>
          <w:sz w:val="20"/>
        </w:rPr>
        <w:t xml:space="preserve">Re Watson; </w:t>
      </w:r>
      <w:r>
        <w:rPr>
          <w:rFonts w:ascii="Arial" w:hAnsi="Arial" w:cs="Arial"/>
          <w:i/>
          <w:iCs/>
          <w:sz w:val="20"/>
        </w:rPr>
        <w:t xml:space="preserve">Ex </w:t>
      </w:r>
      <w:r w:rsidRPr="00741D02">
        <w:rPr>
          <w:rFonts w:ascii="Arial" w:hAnsi="Arial" w:cs="Arial"/>
          <w:i/>
          <w:iCs/>
          <w:sz w:val="20"/>
        </w:rPr>
        <w:t>parte Armstrong</w:t>
      </w:r>
      <w:r>
        <w:rPr>
          <w:rFonts w:ascii="Arial" w:hAnsi="Arial" w:cs="Arial"/>
          <w:i/>
          <w:iCs/>
          <w:sz w:val="20"/>
        </w:rPr>
        <w:t xml:space="preserve"> </w:t>
      </w:r>
      <w:r w:rsidRPr="001C6EDC">
        <w:rPr>
          <w:rFonts w:ascii="Arial" w:hAnsi="Arial" w:cs="Arial"/>
          <w:iCs/>
          <w:sz w:val="20"/>
        </w:rPr>
        <w:t xml:space="preserve">was a </w:t>
      </w:r>
      <w:r>
        <w:rPr>
          <w:rFonts w:ascii="Arial" w:hAnsi="Arial" w:cs="Arial"/>
          <w:iCs/>
          <w:sz w:val="20"/>
        </w:rPr>
        <w:t>financial</w:t>
      </w:r>
      <w:r w:rsidRPr="001C6EDC">
        <w:rPr>
          <w:rFonts w:ascii="Arial" w:hAnsi="Arial" w:cs="Arial"/>
          <w:iCs/>
          <w:sz w:val="20"/>
        </w:rPr>
        <w:t xml:space="preserve"> dispute.  </w:t>
      </w:r>
      <w:r>
        <w:rPr>
          <w:rFonts w:ascii="Arial" w:hAnsi="Arial" w:cs="Arial"/>
          <w:iCs/>
          <w:sz w:val="20"/>
        </w:rPr>
        <w:t xml:space="preserve">The case of </w:t>
      </w:r>
      <w:r w:rsidRPr="001C6EDC">
        <w:rPr>
          <w:rFonts w:ascii="Arial" w:hAnsi="Arial" w:cs="Arial"/>
          <w:i/>
          <w:iCs/>
          <w:sz w:val="20"/>
        </w:rPr>
        <w:t>Lonard</w:t>
      </w:r>
      <w:r>
        <w:rPr>
          <w:rFonts w:ascii="Arial" w:hAnsi="Arial" w:cs="Arial"/>
          <w:iCs/>
          <w:sz w:val="20"/>
        </w:rPr>
        <w:t xml:space="preserve"> (1976) FLC 90-098, also decided in 1976, was a custody dispute.  The Full Court of the Family Court drew a distinction between the two and held that judges would find it necessary to exercise more extensive powers of inquiry in children’s matters.  However, in </w:t>
      </w:r>
      <w:r w:rsidRPr="003714F9">
        <w:rPr>
          <w:rFonts w:ascii="Arial" w:hAnsi="Arial" w:cs="Arial"/>
          <w:i/>
          <w:iCs/>
          <w:sz w:val="20"/>
        </w:rPr>
        <w:t>Wood v Wood</w:t>
      </w:r>
      <w:r>
        <w:rPr>
          <w:rFonts w:ascii="Arial" w:hAnsi="Arial" w:cs="Arial"/>
          <w:iCs/>
          <w:sz w:val="20"/>
        </w:rPr>
        <w:t xml:space="preserve"> (1976) FLC 90-098, the Full Court of the Family Court set aside an order of a trial judge which had dispensed with both </w:t>
      </w:r>
      <w:r w:rsidRPr="003714F9">
        <w:rPr>
          <w:rFonts w:ascii="Arial" w:hAnsi="Arial" w:cs="Arial"/>
          <w:i/>
          <w:iCs/>
          <w:sz w:val="20"/>
        </w:rPr>
        <w:t>viva voce</w:t>
      </w:r>
      <w:r>
        <w:rPr>
          <w:rFonts w:ascii="Arial" w:hAnsi="Arial" w:cs="Arial"/>
          <w:iCs/>
          <w:sz w:val="20"/>
        </w:rPr>
        <w:t xml:space="preserve"> evidence and cross-examination, on the basis that the best available evidence had not been available at first instance which, it noted, was of particular importance i</w:t>
      </w:r>
      <w:r w:rsidR="007A49E9">
        <w:rPr>
          <w:rFonts w:ascii="Arial" w:hAnsi="Arial" w:cs="Arial"/>
          <w:iCs/>
          <w:sz w:val="20"/>
        </w:rPr>
        <w:t>n cases in involving children.</w:t>
      </w:r>
    </w:p>
    <w:p w14:paraId="2A24678A" w14:textId="77777777" w:rsidR="00D9355C" w:rsidRDefault="00D9355C" w:rsidP="00D9355C">
      <w:pPr>
        <w:jc w:val="both"/>
        <w:rPr>
          <w:rFonts w:ascii="Arial" w:hAnsi="Arial" w:cs="Arial"/>
          <w:iCs/>
          <w:sz w:val="20"/>
        </w:rPr>
      </w:pPr>
    </w:p>
    <w:p w14:paraId="51A4D839" w14:textId="77777777" w:rsidR="00052871" w:rsidRDefault="00052871" w:rsidP="00D9355C">
      <w:pPr>
        <w:jc w:val="both"/>
        <w:rPr>
          <w:rFonts w:ascii="Arial" w:hAnsi="Arial" w:cs="Arial"/>
          <w:sz w:val="20"/>
        </w:rPr>
      </w:pPr>
      <w:r>
        <w:rPr>
          <w:rFonts w:ascii="Arial" w:hAnsi="Arial" w:cs="Arial"/>
          <w:iCs/>
          <w:sz w:val="20"/>
        </w:rPr>
        <w:t xml:space="preserve">In a dissenting judgment in </w:t>
      </w:r>
      <w:r w:rsidRPr="003714F9">
        <w:rPr>
          <w:rFonts w:ascii="Arial" w:hAnsi="Arial" w:cs="Arial"/>
          <w:i/>
          <w:iCs/>
          <w:sz w:val="20"/>
        </w:rPr>
        <w:t>Re JRL; Ex parte CJL</w:t>
      </w:r>
      <w:r>
        <w:rPr>
          <w:rFonts w:ascii="Arial" w:hAnsi="Arial" w:cs="Arial"/>
          <w:iCs/>
          <w:sz w:val="20"/>
        </w:rPr>
        <w:t xml:space="preserve"> (1986) 161 CLR 342 at 373 Dawson J said – in dicta not inconsistent with the majority views:</w:t>
      </w:r>
    </w:p>
    <w:p w14:paraId="3C07DA4C" w14:textId="77777777" w:rsidR="00052871" w:rsidRDefault="00052871" w:rsidP="00052871">
      <w:pPr>
        <w:spacing w:before="60"/>
        <w:ind w:left="454" w:right="454"/>
        <w:jc w:val="both"/>
        <w:rPr>
          <w:rFonts w:ascii="Arial" w:hAnsi="Arial" w:cs="Arial"/>
          <w:iCs/>
          <w:sz w:val="20"/>
        </w:rPr>
      </w:pPr>
      <w:r>
        <w:rPr>
          <w:rFonts w:ascii="Arial" w:hAnsi="Arial" w:cs="Arial"/>
          <w:iCs/>
          <w:sz w:val="20"/>
        </w:rPr>
        <w:t xml:space="preserve">“Proceedings in the Family Court in relation to the custody, guardianship or welfare of or access to a child are, in an important respect, not of the ordinary kind…Thus the jurisdiction </w:t>
      </w:r>
      <w:r>
        <w:rPr>
          <w:rFonts w:ascii="Arial" w:hAnsi="Arial" w:cs="Arial"/>
          <w:iCs/>
          <w:sz w:val="20"/>
        </w:rPr>
        <w:lastRenderedPageBreak/>
        <w:t xml:space="preserve">being exercised in this case, whilst essentially judicial, was not entirely </w:t>
      </w:r>
      <w:r w:rsidRPr="003714F9">
        <w:rPr>
          <w:rFonts w:ascii="Arial" w:hAnsi="Arial" w:cs="Arial"/>
          <w:i/>
          <w:iCs/>
          <w:sz w:val="20"/>
        </w:rPr>
        <w:t>inter partes</w:t>
      </w:r>
      <w:r>
        <w:rPr>
          <w:rFonts w:ascii="Arial" w:hAnsi="Arial" w:cs="Arial"/>
          <w:iCs/>
          <w:sz w:val="20"/>
        </w:rPr>
        <w:t xml:space="preserve"> because the paramount consideration was the welfare of the child.  In this respect it was a jurisdiction analogous to the jurisdiction of the Court of Chancery in wardship cases which was of a special kind, permitting procedures which would not be permitted in judicial proceedings of the ordinary kind.  See </w:t>
      </w:r>
      <w:r w:rsidRPr="003714F9">
        <w:rPr>
          <w:rFonts w:ascii="Arial" w:hAnsi="Arial" w:cs="Arial"/>
          <w:i/>
          <w:iCs/>
          <w:sz w:val="20"/>
        </w:rPr>
        <w:t>In re K (Infants)</w:t>
      </w:r>
      <w:r>
        <w:rPr>
          <w:rFonts w:ascii="Arial" w:hAnsi="Arial" w:cs="Arial"/>
          <w:iCs/>
          <w:sz w:val="20"/>
        </w:rPr>
        <w:t xml:space="preserve"> [1965] AC 201…Nevertheless there proceedings remained judicial proceedings.  Neither their special nature nor the requirement in s.97(3) that the court should proceed without undue formality relieved the court of the obligation to observe, where applicable, the procedures which are followed by courts acting judicially in order to ensure impartiality and fairness.”</w:t>
      </w:r>
    </w:p>
    <w:p w14:paraId="144E7C6A" w14:textId="77777777" w:rsidR="00B202B7" w:rsidRDefault="00B202B7" w:rsidP="00B202B7">
      <w:pPr>
        <w:jc w:val="both"/>
        <w:rPr>
          <w:rFonts w:ascii="Arial" w:hAnsi="Arial" w:cs="Arial"/>
          <w:sz w:val="20"/>
        </w:rPr>
      </w:pPr>
    </w:p>
    <w:p w14:paraId="2207AA14" w14:textId="77777777" w:rsidR="00B202B7" w:rsidRDefault="00B202B7" w:rsidP="00B202B7">
      <w:pPr>
        <w:jc w:val="both"/>
        <w:rPr>
          <w:rFonts w:ascii="Arial" w:hAnsi="Arial" w:cs="Arial"/>
          <w:sz w:val="20"/>
        </w:rPr>
      </w:pPr>
      <w:r>
        <w:rPr>
          <w:rFonts w:ascii="Arial" w:hAnsi="Arial" w:cs="Arial"/>
          <w:sz w:val="20"/>
        </w:rPr>
        <w:t xml:space="preserve">See also </w:t>
      </w:r>
      <w:r w:rsidRPr="00420048">
        <w:rPr>
          <w:rFonts w:ascii="Arial" w:hAnsi="Arial" w:cs="Arial"/>
          <w:i/>
          <w:sz w:val="20"/>
        </w:rPr>
        <w:t>M v M</w:t>
      </w:r>
      <w:r>
        <w:rPr>
          <w:rFonts w:ascii="Arial" w:hAnsi="Arial" w:cs="Arial"/>
          <w:sz w:val="20"/>
        </w:rPr>
        <w:t xml:space="preserve"> (1988) 166 CLR 69 at 76; In </w:t>
      </w:r>
      <w:r w:rsidRPr="00420048">
        <w:rPr>
          <w:rFonts w:ascii="Arial" w:hAnsi="Arial" w:cs="Arial"/>
          <w:i/>
          <w:sz w:val="20"/>
        </w:rPr>
        <w:t>Re P (a child) and the Separate Representative</w:t>
      </w:r>
      <w:r>
        <w:rPr>
          <w:rFonts w:ascii="Arial" w:hAnsi="Arial" w:cs="Arial"/>
          <w:sz w:val="20"/>
        </w:rPr>
        <w:t xml:space="preserve"> (1993) FLC 92-376; </w:t>
      </w:r>
      <w:r w:rsidRPr="00420048">
        <w:rPr>
          <w:rFonts w:ascii="Arial" w:hAnsi="Arial" w:cs="Arial"/>
          <w:i/>
          <w:sz w:val="20"/>
        </w:rPr>
        <w:t>D and Y</w:t>
      </w:r>
      <w:r>
        <w:rPr>
          <w:rFonts w:ascii="Arial" w:hAnsi="Arial" w:cs="Arial"/>
          <w:sz w:val="20"/>
        </w:rPr>
        <w:t xml:space="preserve"> (1995) FLC 92-581; </w:t>
      </w:r>
      <w:r w:rsidRPr="00420048">
        <w:rPr>
          <w:rFonts w:ascii="Arial" w:hAnsi="Arial" w:cs="Arial"/>
          <w:i/>
          <w:sz w:val="20"/>
        </w:rPr>
        <w:t>C and C</w:t>
      </w:r>
      <w:r>
        <w:rPr>
          <w:rFonts w:ascii="Arial" w:hAnsi="Arial" w:cs="Arial"/>
          <w:sz w:val="20"/>
        </w:rPr>
        <w:t xml:space="preserve"> (1996) FLC 92-651; </w:t>
      </w:r>
      <w:r w:rsidRPr="009E3793">
        <w:rPr>
          <w:rFonts w:ascii="Arial" w:hAnsi="Arial" w:cs="Arial"/>
          <w:i/>
          <w:sz w:val="20"/>
        </w:rPr>
        <w:t>U</w:t>
      </w:r>
      <w:r>
        <w:rPr>
          <w:rFonts w:ascii="Arial" w:hAnsi="Arial" w:cs="Arial"/>
          <w:i/>
          <w:sz w:val="20"/>
        </w:rPr>
        <w:t> </w:t>
      </w:r>
      <w:r w:rsidRPr="009E3793">
        <w:rPr>
          <w:rFonts w:ascii="Arial" w:hAnsi="Arial" w:cs="Arial"/>
          <w:i/>
          <w:sz w:val="20"/>
        </w:rPr>
        <w:t>v</w:t>
      </w:r>
      <w:r>
        <w:rPr>
          <w:rFonts w:ascii="Arial" w:hAnsi="Arial" w:cs="Arial"/>
          <w:i/>
          <w:sz w:val="20"/>
        </w:rPr>
        <w:t> </w:t>
      </w:r>
      <w:r w:rsidRPr="009E3793">
        <w:rPr>
          <w:rFonts w:ascii="Arial" w:hAnsi="Arial" w:cs="Arial"/>
          <w:i/>
          <w:sz w:val="20"/>
        </w:rPr>
        <w:t>U</w:t>
      </w:r>
      <w:r>
        <w:rPr>
          <w:rFonts w:ascii="Arial" w:hAnsi="Arial" w:cs="Arial"/>
          <w:sz w:val="20"/>
        </w:rPr>
        <w:t xml:space="preserve"> (2002) 211 CLR 238.</w:t>
      </w:r>
    </w:p>
    <w:p w14:paraId="1B148441" w14:textId="77777777" w:rsidR="00B202B7" w:rsidRDefault="00B202B7" w:rsidP="00B202B7">
      <w:pPr>
        <w:jc w:val="both"/>
        <w:rPr>
          <w:rFonts w:ascii="Arial" w:hAnsi="Arial" w:cs="Arial"/>
          <w:sz w:val="20"/>
        </w:rPr>
      </w:pPr>
    </w:p>
    <w:p w14:paraId="7D2273EC" w14:textId="275FC817" w:rsidR="00D9355C" w:rsidRDefault="00D9355C" w:rsidP="00D17F43">
      <w:pPr>
        <w:jc w:val="both"/>
        <w:rPr>
          <w:rFonts w:ascii="Arial" w:hAnsi="Arial" w:cs="Arial"/>
          <w:sz w:val="20"/>
        </w:rPr>
      </w:pPr>
      <w:r>
        <w:rPr>
          <w:rFonts w:ascii="Arial" w:hAnsi="Arial" w:cs="Arial"/>
          <w:sz w:val="20"/>
        </w:rPr>
        <w:t>In</w:t>
      </w:r>
      <w:r w:rsidR="009406A5">
        <w:rPr>
          <w:rFonts w:ascii="Arial" w:hAnsi="Arial" w:cs="Arial"/>
          <w:sz w:val="20"/>
        </w:rPr>
        <w:t xml:space="preserve"> </w:t>
      </w:r>
      <w:r w:rsidRPr="00420048">
        <w:rPr>
          <w:rFonts w:ascii="Arial" w:hAnsi="Arial" w:cs="Arial"/>
          <w:i/>
          <w:sz w:val="20"/>
        </w:rPr>
        <w:t>Re Lynette</w:t>
      </w:r>
      <w:r>
        <w:rPr>
          <w:rFonts w:ascii="Arial" w:hAnsi="Arial" w:cs="Arial"/>
          <w:sz w:val="20"/>
        </w:rPr>
        <w:t xml:space="preserve"> (1999) FLC 92-863 at 86,203 the Full Court of the Family Court said:</w:t>
      </w:r>
    </w:p>
    <w:p w14:paraId="2DC61B6C" w14:textId="77777777" w:rsidR="00D9355C" w:rsidRDefault="00D9355C" w:rsidP="006A0F25">
      <w:pPr>
        <w:spacing w:before="60"/>
        <w:ind w:left="454" w:right="454"/>
        <w:jc w:val="both"/>
        <w:rPr>
          <w:rFonts w:ascii="Arial" w:hAnsi="Arial" w:cs="Arial"/>
          <w:iCs/>
          <w:sz w:val="20"/>
        </w:rPr>
      </w:pPr>
      <w:r>
        <w:rPr>
          <w:rFonts w:ascii="Arial" w:hAnsi="Arial" w:cs="Arial"/>
          <w:iCs/>
          <w:sz w:val="20"/>
        </w:rPr>
        <w:t>“[I]t is well established that proceedings in relation to the best interests of children are not strictly adversarial.  The wellspring for the departure from a strictly adversarial approach to proceedings is to be found in the Court’s obligation to treat the best interests of the child the subject of proceedings as the paramount consideration.”</w:t>
      </w:r>
    </w:p>
    <w:p w14:paraId="2416CD49" w14:textId="77777777" w:rsidR="007A49E9" w:rsidRDefault="007A49E9" w:rsidP="00AF3D8D">
      <w:pPr>
        <w:jc w:val="both"/>
        <w:rPr>
          <w:rFonts w:ascii="Arial" w:hAnsi="Arial" w:cs="Arial"/>
          <w:sz w:val="20"/>
        </w:rPr>
      </w:pPr>
    </w:p>
    <w:p w14:paraId="19CE3533" w14:textId="4ADF9A57" w:rsidR="007A49E9" w:rsidRDefault="007A49E9" w:rsidP="007A49E9">
      <w:pPr>
        <w:jc w:val="both"/>
        <w:rPr>
          <w:rFonts w:ascii="Arial" w:hAnsi="Arial" w:cs="Arial"/>
          <w:sz w:val="20"/>
        </w:rPr>
      </w:pPr>
      <w:r>
        <w:rPr>
          <w:rFonts w:ascii="Arial" w:hAnsi="Arial" w:cs="Arial"/>
          <w:sz w:val="20"/>
        </w:rPr>
        <w:t xml:space="preserve">Proceedings under the </w:t>
      </w:r>
      <w:r w:rsidRPr="0058675C">
        <w:rPr>
          <w:rFonts w:ascii="Arial" w:hAnsi="Arial" w:cs="Arial"/>
          <w:i/>
          <w:iCs/>
          <w:sz w:val="20"/>
        </w:rPr>
        <w:t>Children Act 1989</w:t>
      </w:r>
      <w:r w:rsidRPr="0058675C">
        <w:rPr>
          <w:rFonts w:ascii="Arial" w:hAnsi="Arial" w:cs="Arial"/>
          <w:sz w:val="20"/>
        </w:rPr>
        <w:t xml:space="preserve"> (UK)</w:t>
      </w:r>
      <w:r>
        <w:rPr>
          <w:rFonts w:ascii="Arial" w:hAnsi="Arial" w:cs="Arial"/>
          <w:sz w:val="20"/>
        </w:rPr>
        <w:t xml:space="preserve"> have also been similarly characterized: see </w:t>
      </w:r>
      <w:smartTag w:uri="urn:schemas-microsoft-com:office:smarttags" w:element="place">
        <w:smartTag w:uri="urn:schemas-microsoft-com:office:smarttags" w:element="PlaceName">
          <w:r w:rsidRPr="000511A5">
            <w:rPr>
              <w:rFonts w:ascii="Arial" w:hAnsi="Arial" w:cs="Arial"/>
              <w:i/>
              <w:sz w:val="20"/>
            </w:rPr>
            <w:t>Oxfordshire</w:t>
          </w:r>
        </w:smartTag>
        <w:r w:rsidRPr="000511A5">
          <w:rPr>
            <w:rFonts w:ascii="Arial" w:hAnsi="Arial" w:cs="Arial"/>
            <w:i/>
            <w:sz w:val="20"/>
          </w:rPr>
          <w:t xml:space="preserve"> </w:t>
        </w:r>
        <w:smartTag w:uri="urn:schemas-microsoft-com:office:smarttags" w:element="PlaceType">
          <w:r w:rsidRPr="000511A5">
            <w:rPr>
              <w:rFonts w:ascii="Arial" w:hAnsi="Arial" w:cs="Arial"/>
              <w:i/>
              <w:sz w:val="20"/>
            </w:rPr>
            <w:t>County</w:t>
          </w:r>
        </w:smartTag>
      </w:smartTag>
      <w:r w:rsidRPr="000511A5">
        <w:rPr>
          <w:rFonts w:ascii="Arial" w:hAnsi="Arial" w:cs="Arial"/>
          <w:i/>
          <w:sz w:val="20"/>
        </w:rPr>
        <w:t xml:space="preserve"> Council v M</w:t>
      </w:r>
      <w:r>
        <w:rPr>
          <w:rFonts w:ascii="Arial" w:hAnsi="Arial" w:cs="Arial"/>
          <w:sz w:val="20"/>
        </w:rPr>
        <w:t xml:space="preserve"> [1994] </w:t>
      </w:r>
      <w:r w:rsidR="000F0BE9">
        <w:rPr>
          <w:rFonts w:ascii="Arial" w:hAnsi="Arial" w:cs="Arial"/>
          <w:sz w:val="20"/>
        </w:rPr>
        <w:t>I</w:t>
      </w:r>
      <w:r>
        <w:rPr>
          <w:rFonts w:ascii="Arial" w:hAnsi="Arial" w:cs="Arial"/>
          <w:sz w:val="20"/>
        </w:rPr>
        <w:t xml:space="preserve"> 151.  The Court has power </w:t>
      </w:r>
      <w:r w:rsidR="000F0BE9">
        <w:rPr>
          <w:rFonts w:ascii="Arial" w:hAnsi="Arial" w:cs="Arial"/>
          <w:sz w:val="20"/>
        </w:rPr>
        <w:t>–</w:t>
      </w:r>
      <w:r>
        <w:rPr>
          <w:rFonts w:ascii="Arial" w:hAnsi="Arial" w:cs="Arial"/>
          <w:sz w:val="20"/>
        </w:rPr>
        <w:t xml:space="preserve"> and in some instances a duty </w:t>
      </w:r>
      <w:r w:rsidR="000F0BE9">
        <w:rPr>
          <w:rFonts w:ascii="Arial" w:hAnsi="Arial" w:cs="Arial"/>
          <w:sz w:val="20"/>
        </w:rPr>
        <w:t>–</w:t>
      </w:r>
      <w:r>
        <w:rPr>
          <w:rFonts w:ascii="Arial" w:hAnsi="Arial" w:cs="Arial"/>
          <w:sz w:val="20"/>
        </w:rPr>
        <w:t xml:space="preserve"> to inquire about issues which it considers relevant to the best interests of the child.  This is especially so where the parties are not on a </w:t>
      </w:r>
      <w:r w:rsidR="000F0BE9">
        <w:rPr>
          <w:rFonts w:ascii="Arial" w:hAnsi="Arial" w:cs="Arial"/>
          <w:sz w:val="20"/>
        </w:rPr>
        <w:t>‘</w:t>
      </w:r>
      <w:r>
        <w:rPr>
          <w:rFonts w:ascii="Arial" w:hAnsi="Arial" w:cs="Arial"/>
          <w:sz w:val="20"/>
        </w:rPr>
        <w:t>level playing field</w:t>
      </w:r>
      <w:r w:rsidR="000F0BE9">
        <w:rPr>
          <w:rFonts w:ascii="Arial" w:hAnsi="Arial" w:cs="Arial"/>
          <w:sz w:val="20"/>
        </w:rPr>
        <w:t>’</w:t>
      </w:r>
      <w:r>
        <w:rPr>
          <w:rFonts w:ascii="Arial" w:hAnsi="Arial" w:cs="Arial"/>
          <w:sz w:val="20"/>
        </w:rPr>
        <w:t xml:space="preserve">, e.g. where the Department is legally represented and a parent is not.  As Legal Aid guidelines tighten, unrepresented parents are regrettably an increasing phenomenon, a phenomenon which often makes the adversarial system unworkable.  A striking illustration is the Family Court case of </w:t>
      </w:r>
      <w:r>
        <w:rPr>
          <w:rFonts w:ascii="Arial" w:hAnsi="Arial" w:cs="Arial"/>
          <w:i/>
          <w:iCs/>
          <w:sz w:val="20"/>
        </w:rPr>
        <w:t>T v S</w:t>
      </w:r>
      <w:r>
        <w:rPr>
          <w:rFonts w:ascii="Arial" w:hAnsi="Arial" w:cs="Arial"/>
          <w:sz w:val="20"/>
        </w:rPr>
        <w:t xml:space="preserve"> [2001] </w:t>
      </w:r>
      <w:r w:rsidR="000F0BE9">
        <w:rPr>
          <w:rFonts w:ascii="Arial" w:hAnsi="Arial" w:cs="Arial"/>
          <w:sz w:val="20"/>
        </w:rPr>
        <w:t>I</w:t>
      </w:r>
      <w:r>
        <w:rPr>
          <w:rFonts w:ascii="Arial" w:hAnsi="Arial" w:cs="Arial"/>
          <w:sz w:val="20"/>
        </w:rPr>
        <w:t xml:space="preserve"> CA 1147 in which the mother, unrepresented until the 6</w:t>
      </w:r>
      <w:r>
        <w:rPr>
          <w:rFonts w:ascii="Arial" w:hAnsi="Arial" w:cs="Arial"/>
          <w:sz w:val="20"/>
          <w:vertAlign w:val="superscript"/>
        </w:rPr>
        <w:t>th</w:t>
      </w:r>
      <w:r>
        <w:rPr>
          <w:rFonts w:ascii="Arial" w:hAnsi="Arial" w:cs="Arial"/>
          <w:sz w:val="20"/>
        </w:rPr>
        <w:t xml:space="preserve"> day of the trial, had been faced with the Herculean task of cross-examining an expert witness called by the father who had testified that she suffered from a histrionic personality disorder, the symptoms of which included attention-seeking behaviour, crisis manufacture and self-harm.  To put her case properly, she had also had to cross-examine the father about allegations that he had perpetrated domestic violence on her throughout the relationship.  It is scarcely surprising that much of her questioning was irrelevant and of little assistance to the trial judge.  The Full Court, noting that </w:t>
      </w:r>
      <w:r w:rsidR="000F0BE9">
        <w:rPr>
          <w:rFonts w:ascii="Arial" w:hAnsi="Arial" w:cs="Arial"/>
          <w:sz w:val="20"/>
        </w:rPr>
        <w:t>“</w:t>
      </w:r>
      <w:r>
        <w:rPr>
          <w:rFonts w:ascii="Arial" w:hAnsi="Arial" w:cs="Arial"/>
          <w:sz w:val="20"/>
        </w:rPr>
        <w:t>this case highlights a serious problem affecting the administration of justice in family law proceedings</w:t>
      </w:r>
      <w:r w:rsidR="000F0BE9">
        <w:rPr>
          <w:rFonts w:ascii="Arial" w:hAnsi="Arial" w:cs="Arial"/>
          <w:sz w:val="20"/>
        </w:rPr>
        <w:t>”</w:t>
      </w:r>
      <w:r>
        <w:rPr>
          <w:rFonts w:ascii="Arial" w:hAnsi="Arial" w:cs="Arial"/>
          <w:sz w:val="20"/>
        </w:rPr>
        <w:t xml:space="preserve">, concluded that because of her lack of legal representation the mother had not been granted a fair trial, procedural fairness or the opportunity to present all material evidence relevant to the best interests and welfare of the child.  In particular the Chief Justice commented that </w:t>
      </w:r>
      <w:r w:rsidR="000F0BE9">
        <w:rPr>
          <w:rFonts w:ascii="Arial" w:hAnsi="Arial" w:cs="Arial"/>
          <w:sz w:val="20"/>
        </w:rPr>
        <w:t>“</w:t>
      </w:r>
      <w:r>
        <w:rPr>
          <w:rFonts w:ascii="Arial" w:hAnsi="Arial" w:cs="Arial"/>
          <w:sz w:val="20"/>
        </w:rPr>
        <w:t>women who have suffered serious domestic violence may be unable to present their cases unaided in family law proceedings</w:t>
      </w:r>
      <w:r w:rsidR="000F0BE9">
        <w:rPr>
          <w:rFonts w:ascii="Arial" w:hAnsi="Arial" w:cs="Arial"/>
          <w:sz w:val="20"/>
        </w:rPr>
        <w:t>”</w:t>
      </w:r>
      <w:r>
        <w:rPr>
          <w:rFonts w:ascii="Arial" w:hAnsi="Arial" w:cs="Arial"/>
          <w:sz w:val="20"/>
        </w:rPr>
        <w:t>.  A re-trial was ordered.</w:t>
      </w:r>
    </w:p>
    <w:p w14:paraId="16DBAA8A" w14:textId="77777777" w:rsidR="007A49E9" w:rsidRDefault="007A49E9" w:rsidP="007A49E9">
      <w:pPr>
        <w:jc w:val="both"/>
        <w:rPr>
          <w:rFonts w:ascii="Arial" w:hAnsi="Arial" w:cs="Arial"/>
          <w:color w:val="000000"/>
          <w:sz w:val="20"/>
        </w:rPr>
      </w:pPr>
    </w:p>
    <w:p w14:paraId="042A2EC7" w14:textId="786B4DDC" w:rsidR="004D795E" w:rsidRDefault="004D795E" w:rsidP="007A49E9">
      <w:pPr>
        <w:jc w:val="both"/>
        <w:rPr>
          <w:rFonts w:ascii="Arial" w:hAnsi="Arial" w:cs="Arial"/>
          <w:color w:val="000000"/>
          <w:sz w:val="20"/>
        </w:rPr>
      </w:pPr>
      <w:r w:rsidRPr="00C5633C">
        <w:rPr>
          <w:rFonts w:ascii="Arial" w:hAnsi="Arial" w:cs="Arial"/>
          <w:b/>
          <w:bCs/>
          <w:sz w:val="20"/>
        </w:rPr>
        <w:t>Section 215(1)(d) of the CYFA</w:t>
      </w:r>
      <w:r>
        <w:rPr>
          <w:rFonts w:ascii="Arial" w:hAnsi="Arial" w:cs="Arial"/>
          <w:sz w:val="20"/>
        </w:rPr>
        <w:t xml:space="preserve"> is also expressed very broadly, empowering the Family Division of the Children’s Court to “inform itself on a matter in such manner as it thinks fit, despite any rules of evidence to the contrary”.</w:t>
      </w:r>
      <w:r w:rsidR="00FB31EB">
        <w:rPr>
          <w:rFonts w:ascii="Arial" w:hAnsi="Arial" w:cs="Arial"/>
          <w:sz w:val="20"/>
        </w:rPr>
        <w:t xml:space="preserve">  However, see </w:t>
      </w:r>
      <w:r w:rsidR="00FB31EB" w:rsidRPr="00544F20">
        <w:rPr>
          <w:rFonts w:ascii="Arial" w:hAnsi="Arial" w:cs="Arial"/>
          <w:i/>
          <w:sz w:val="20"/>
        </w:rPr>
        <w:t>Weinstein v Medical Practitioners Board of Victoria</w:t>
      </w:r>
      <w:r w:rsidR="00FB31EB">
        <w:rPr>
          <w:rFonts w:ascii="Arial" w:hAnsi="Arial" w:cs="Arial"/>
          <w:sz w:val="20"/>
        </w:rPr>
        <w:t xml:space="preserve"> [2008] VSCA 193.</w:t>
      </w:r>
    </w:p>
    <w:p w14:paraId="61513613" w14:textId="77777777" w:rsidR="004D795E" w:rsidRPr="0040353D" w:rsidRDefault="004D795E" w:rsidP="007A49E9">
      <w:pPr>
        <w:jc w:val="both"/>
        <w:rPr>
          <w:rFonts w:ascii="Arial" w:hAnsi="Arial" w:cs="Arial"/>
          <w:color w:val="000000"/>
          <w:sz w:val="20"/>
        </w:rPr>
      </w:pPr>
    </w:p>
    <w:p w14:paraId="03945012" w14:textId="1AA91B9F" w:rsidR="007A49E9" w:rsidRDefault="007A49E9" w:rsidP="007A49E9">
      <w:pPr>
        <w:jc w:val="both"/>
        <w:rPr>
          <w:rFonts w:ascii="Arial" w:hAnsi="Arial" w:cs="Arial"/>
          <w:sz w:val="20"/>
        </w:rPr>
      </w:pPr>
      <w:r>
        <w:rPr>
          <w:rFonts w:ascii="Arial" w:hAnsi="Arial" w:cs="Arial"/>
          <w:sz w:val="20"/>
        </w:rPr>
        <w:t xml:space="preserve">In a paper entitled </w:t>
      </w:r>
      <w:r w:rsidR="000F0BE9">
        <w:rPr>
          <w:rFonts w:ascii="Arial" w:hAnsi="Arial" w:cs="Arial"/>
          <w:sz w:val="20"/>
        </w:rPr>
        <w:t>“</w:t>
      </w:r>
      <w:r>
        <w:rPr>
          <w:rFonts w:ascii="Arial" w:hAnsi="Arial" w:cs="Arial"/>
          <w:sz w:val="20"/>
        </w:rPr>
        <w:t>Restructuring Child and Family Courts</w:t>
      </w:r>
      <w:r w:rsidR="000F0BE9">
        <w:rPr>
          <w:rFonts w:ascii="Arial" w:hAnsi="Arial" w:cs="Arial"/>
          <w:sz w:val="20"/>
        </w:rPr>
        <w:t>”</w:t>
      </w:r>
      <w:r>
        <w:rPr>
          <w:rFonts w:ascii="Arial" w:hAnsi="Arial" w:cs="Arial"/>
          <w:sz w:val="20"/>
        </w:rPr>
        <w:t>, delivered at a conference in Capetown, RSA in April 2003, Judge Coate explained the significant concerns which the Court has about the adversarial model of judicial decision-making in contested Family Division cases:</w:t>
      </w:r>
    </w:p>
    <w:p w14:paraId="6BD07BDB" w14:textId="535BCE54" w:rsidR="007A49E9" w:rsidRDefault="000F0BE9" w:rsidP="006A0F25">
      <w:pPr>
        <w:ind w:left="454" w:right="454"/>
        <w:jc w:val="both"/>
        <w:rPr>
          <w:rFonts w:ascii="Arial" w:hAnsi="Arial" w:cs="Arial"/>
          <w:iCs/>
          <w:sz w:val="20"/>
        </w:rPr>
      </w:pPr>
      <w:r>
        <w:rPr>
          <w:rFonts w:ascii="Arial" w:hAnsi="Arial" w:cs="Arial"/>
          <w:iCs/>
          <w:sz w:val="20"/>
        </w:rPr>
        <w:t>“</w:t>
      </w:r>
      <w:r w:rsidR="007A49E9">
        <w:rPr>
          <w:rFonts w:ascii="Arial" w:hAnsi="Arial" w:cs="Arial"/>
          <w:iCs/>
          <w:sz w:val="20"/>
        </w:rPr>
        <w:t xml:space="preserve">In the </w:t>
      </w:r>
      <w:r w:rsidR="007A49E9">
        <w:rPr>
          <w:rFonts w:ascii="Arial" w:hAnsi="Arial" w:cs="Arial"/>
          <w:sz w:val="20"/>
        </w:rPr>
        <w:t xml:space="preserve">last couple of years it has become the firm view of the </w:t>
      </w:r>
      <w:proofErr w:type="gramStart"/>
      <w:r w:rsidR="007A49E9">
        <w:rPr>
          <w:rFonts w:ascii="Arial" w:hAnsi="Arial" w:cs="Arial"/>
          <w:sz w:val="20"/>
        </w:rPr>
        <w:t>full time</w:t>
      </w:r>
      <w:proofErr w:type="gramEnd"/>
      <w:r w:rsidR="007A49E9">
        <w:rPr>
          <w:rFonts w:ascii="Arial" w:hAnsi="Arial" w:cs="Arial"/>
          <w:sz w:val="20"/>
        </w:rPr>
        <w:t xml:space="preserve"> judicial members of the Children’s Court of Victoria that this model is in need of an extensive rethink. There is a strongly developing view amongst the members of the Court that some aspects of the current system would be greatly improved by changes such as the following:</w:t>
      </w:r>
    </w:p>
    <w:p w14:paraId="382C7F0A" w14:textId="77777777" w:rsidR="007A49E9" w:rsidRDefault="007A49E9" w:rsidP="007A49E9">
      <w:pPr>
        <w:ind w:left="908" w:right="454" w:hanging="454"/>
        <w:jc w:val="both"/>
        <w:rPr>
          <w:rFonts w:ascii="Arial" w:hAnsi="Arial" w:cs="Arial"/>
          <w:sz w:val="20"/>
        </w:rPr>
      </w:pPr>
      <w:r>
        <w:rPr>
          <w:rFonts w:ascii="Arial" w:hAnsi="Arial" w:cs="Arial"/>
          <w:sz w:val="20"/>
        </w:rPr>
        <w:t>(</w:t>
      </w:r>
      <w:r w:rsidR="003C69DA">
        <w:rPr>
          <w:rFonts w:ascii="Arial" w:hAnsi="Arial" w:cs="Arial"/>
          <w:sz w:val="20"/>
        </w:rPr>
        <w:t>1</w:t>
      </w:r>
      <w:r>
        <w:rPr>
          <w:rFonts w:ascii="Arial" w:hAnsi="Arial" w:cs="Arial"/>
          <w:sz w:val="20"/>
        </w:rPr>
        <w:t>)</w:t>
      </w:r>
      <w:r>
        <w:rPr>
          <w:rFonts w:ascii="Arial" w:hAnsi="Arial" w:cs="Arial"/>
          <w:sz w:val="20"/>
        </w:rPr>
        <w:tab/>
        <w:t xml:space="preserve">An </w:t>
      </w:r>
      <w:r>
        <w:rPr>
          <w:rFonts w:ascii="Arial" w:hAnsi="Arial" w:cs="Arial"/>
          <w:b/>
          <w:sz w:val="20"/>
        </w:rPr>
        <w:t>independent</w:t>
      </w:r>
      <w:r>
        <w:rPr>
          <w:rFonts w:ascii="Arial" w:hAnsi="Arial" w:cs="Arial"/>
          <w:sz w:val="20"/>
        </w:rPr>
        <w:t xml:space="preserve"> skilled investigative team that is not a </w:t>
      </w:r>
      <w:r>
        <w:rPr>
          <w:rFonts w:ascii="Arial" w:hAnsi="Arial" w:cs="Arial"/>
          <w:b/>
          <w:sz w:val="20"/>
        </w:rPr>
        <w:t xml:space="preserve">party </w:t>
      </w:r>
      <w:r>
        <w:rPr>
          <w:rFonts w:ascii="Arial" w:hAnsi="Arial" w:cs="Arial"/>
          <w:sz w:val="20"/>
        </w:rPr>
        <w:t>to the action with appropriate training and an understanding of how the legal system works;</w:t>
      </w:r>
    </w:p>
    <w:p w14:paraId="1E126D7D" w14:textId="77777777" w:rsidR="007A49E9" w:rsidRDefault="007A49E9" w:rsidP="007A49E9">
      <w:pPr>
        <w:ind w:left="908" w:right="454" w:hanging="454"/>
        <w:jc w:val="both"/>
        <w:rPr>
          <w:rFonts w:ascii="Arial" w:hAnsi="Arial" w:cs="Arial"/>
          <w:sz w:val="20"/>
        </w:rPr>
      </w:pPr>
      <w:r>
        <w:rPr>
          <w:rFonts w:ascii="Arial" w:hAnsi="Arial" w:cs="Arial"/>
          <w:sz w:val="20"/>
        </w:rPr>
        <w:t>(</w:t>
      </w:r>
      <w:r w:rsidR="003C69DA">
        <w:rPr>
          <w:rFonts w:ascii="Arial" w:hAnsi="Arial" w:cs="Arial"/>
          <w:sz w:val="20"/>
        </w:rPr>
        <w:t>2</w:t>
      </w:r>
      <w:r>
        <w:rPr>
          <w:rFonts w:ascii="Arial" w:hAnsi="Arial" w:cs="Arial"/>
          <w:sz w:val="20"/>
        </w:rPr>
        <w:t>)</w:t>
      </w:r>
      <w:r>
        <w:rPr>
          <w:rFonts w:ascii="Arial" w:hAnsi="Arial" w:cs="Arial"/>
          <w:sz w:val="20"/>
        </w:rPr>
        <w:tab/>
        <w:t>A statutory power available to the Court to direct the attendance of a party or the production of a document;</w:t>
      </w:r>
    </w:p>
    <w:p w14:paraId="43FF197E" w14:textId="77777777" w:rsidR="007A49E9" w:rsidRDefault="007A49E9" w:rsidP="003361DB">
      <w:pPr>
        <w:ind w:left="908" w:right="454" w:hanging="454"/>
        <w:jc w:val="both"/>
        <w:rPr>
          <w:rFonts w:ascii="Arial" w:hAnsi="Arial" w:cs="Arial"/>
          <w:sz w:val="20"/>
        </w:rPr>
      </w:pPr>
      <w:r>
        <w:rPr>
          <w:rFonts w:ascii="Arial" w:hAnsi="Arial" w:cs="Arial"/>
          <w:sz w:val="20"/>
        </w:rPr>
        <w:t>(</w:t>
      </w:r>
      <w:r w:rsidR="003C69DA">
        <w:rPr>
          <w:rFonts w:ascii="Arial" w:hAnsi="Arial" w:cs="Arial"/>
          <w:sz w:val="20"/>
        </w:rPr>
        <w:t>3</w:t>
      </w:r>
      <w:r>
        <w:rPr>
          <w:rFonts w:ascii="Arial" w:hAnsi="Arial" w:cs="Arial"/>
          <w:sz w:val="20"/>
        </w:rPr>
        <w:t>)</w:t>
      </w:r>
      <w:r>
        <w:rPr>
          <w:rFonts w:ascii="Arial" w:hAnsi="Arial" w:cs="Arial"/>
          <w:sz w:val="20"/>
        </w:rPr>
        <w:tab/>
        <w:t>A court hearing that was an inquiry rather than an adversarial battle;</w:t>
      </w:r>
    </w:p>
    <w:p w14:paraId="2C81E2BF" w14:textId="25316D99" w:rsidR="007A49E9" w:rsidRDefault="007A49E9" w:rsidP="007A49E9">
      <w:pPr>
        <w:ind w:left="908" w:right="454" w:hanging="454"/>
        <w:jc w:val="both"/>
        <w:rPr>
          <w:rFonts w:ascii="Arial" w:hAnsi="Arial" w:cs="Arial"/>
          <w:sz w:val="20"/>
        </w:rPr>
      </w:pPr>
      <w:r>
        <w:rPr>
          <w:rFonts w:ascii="Arial" w:hAnsi="Arial" w:cs="Arial"/>
          <w:sz w:val="20"/>
        </w:rPr>
        <w:t>(</w:t>
      </w:r>
      <w:r w:rsidR="003C69DA">
        <w:rPr>
          <w:rFonts w:ascii="Arial" w:hAnsi="Arial" w:cs="Arial"/>
          <w:sz w:val="20"/>
        </w:rPr>
        <w:t>4</w:t>
      </w:r>
      <w:r>
        <w:rPr>
          <w:rFonts w:ascii="Arial" w:hAnsi="Arial" w:cs="Arial"/>
          <w:sz w:val="20"/>
        </w:rPr>
        <w:t>)</w:t>
      </w:r>
      <w:r>
        <w:rPr>
          <w:rFonts w:ascii="Arial" w:hAnsi="Arial" w:cs="Arial"/>
          <w:sz w:val="20"/>
        </w:rPr>
        <w:tab/>
        <w:t>A capacity to order further expert assessments or examinations to assist in the first stage of the decision-making process of deciding whether or not the child was in need of protection.</w:t>
      </w:r>
      <w:r w:rsidR="000F0BE9">
        <w:rPr>
          <w:rFonts w:ascii="Arial" w:hAnsi="Arial" w:cs="Arial"/>
          <w:sz w:val="20"/>
        </w:rPr>
        <w:t>”</w:t>
      </w:r>
    </w:p>
    <w:p w14:paraId="0DE4896A" w14:textId="77777777" w:rsidR="007A49E9" w:rsidRDefault="007A49E9" w:rsidP="007A49E9">
      <w:pPr>
        <w:jc w:val="both"/>
        <w:rPr>
          <w:rFonts w:ascii="Arial" w:hAnsi="Arial" w:cs="Arial"/>
          <w:sz w:val="20"/>
        </w:rPr>
      </w:pPr>
    </w:p>
    <w:p w14:paraId="13785AB0" w14:textId="6D300BEE" w:rsidR="007A49E9" w:rsidRDefault="007A49E9" w:rsidP="007A49E9">
      <w:pPr>
        <w:jc w:val="both"/>
        <w:rPr>
          <w:rFonts w:ascii="Arial" w:hAnsi="Arial" w:cs="Arial"/>
          <w:sz w:val="20"/>
        </w:rPr>
      </w:pPr>
      <w:r>
        <w:rPr>
          <w:rFonts w:ascii="Arial" w:hAnsi="Arial" w:cs="Arial"/>
          <w:sz w:val="20"/>
        </w:rPr>
        <w:t xml:space="preserve">In s.532(1) of the CYFA the second of Judge Coate’s expressed concerns has now been met by the provision to the Family Division of a power to issue witness summonses of its own motion, i.e. without there being any application by a party to do so.  And the writer considers that s.560 of the CYFA [when read in conjunction with s.557(1)(e)] is probably broad enough to enable a Children’s Court judicial </w:t>
      </w:r>
      <w:r>
        <w:rPr>
          <w:rFonts w:ascii="Arial" w:hAnsi="Arial" w:cs="Arial"/>
          <w:sz w:val="20"/>
        </w:rPr>
        <w:lastRenderedPageBreak/>
        <w:t xml:space="preserve">officer to order a Children’s Court Clinic assessment as to whether or not the child was in need of protection whether or not the parties consent to such an assessment.  But notwithstanding these qualifications, the fundamental principles of the adversarial system still remain operative, </w:t>
      </w:r>
      <w:r w:rsidR="002E777F">
        <w:rPr>
          <w:rFonts w:ascii="Arial" w:hAnsi="Arial" w:cs="Arial"/>
          <w:sz w:val="20"/>
        </w:rPr>
        <w:t>albeit</w:t>
      </w:r>
      <w:r>
        <w:rPr>
          <w:rFonts w:ascii="Arial" w:hAnsi="Arial" w:cs="Arial"/>
          <w:sz w:val="20"/>
        </w:rPr>
        <w:t xml:space="preserve"> </w:t>
      </w:r>
      <w:r w:rsidR="00B202B7">
        <w:rPr>
          <w:rFonts w:ascii="Arial" w:hAnsi="Arial" w:cs="Arial"/>
          <w:sz w:val="20"/>
        </w:rPr>
        <w:t>somewhat modified by ss.215(1)(a)</w:t>
      </w:r>
      <w:r w:rsidR="001079B7">
        <w:rPr>
          <w:rFonts w:ascii="Arial" w:hAnsi="Arial" w:cs="Arial"/>
          <w:sz w:val="20"/>
        </w:rPr>
        <w:t xml:space="preserve">, </w:t>
      </w:r>
      <w:r w:rsidR="00B202B7">
        <w:rPr>
          <w:rFonts w:ascii="Arial" w:hAnsi="Arial" w:cs="Arial"/>
          <w:sz w:val="20"/>
        </w:rPr>
        <w:t>215(1)(b)</w:t>
      </w:r>
      <w:r w:rsidR="001079B7">
        <w:rPr>
          <w:rFonts w:ascii="Arial" w:hAnsi="Arial" w:cs="Arial"/>
          <w:sz w:val="20"/>
        </w:rPr>
        <w:t>, 215(1)(d) &amp; 215B</w:t>
      </w:r>
      <w:r w:rsidR="00B202B7">
        <w:rPr>
          <w:rFonts w:ascii="Arial" w:hAnsi="Arial" w:cs="Arial"/>
          <w:sz w:val="20"/>
        </w:rPr>
        <w:t xml:space="preserve"> of the CYFA.</w:t>
      </w:r>
    </w:p>
    <w:p w14:paraId="0B3BC7BD" w14:textId="77777777" w:rsidR="00715AEF" w:rsidRDefault="00715AEF" w:rsidP="00715AEF">
      <w:pPr>
        <w:jc w:val="both"/>
        <w:rPr>
          <w:rFonts w:ascii="Arial" w:hAnsi="Arial" w:cs="Arial"/>
          <w:sz w:val="20"/>
        </w:rPr>
      </w:pPr>
    </w:p>
    <w:p w14:paraId="0F6A612D" w14:textId="77777777" w:rsidR="00FD5828" w:rsidRPr="009F25D4" w:rsidRDefault="00715AEF" w:rsidP="00FD5828">
      <w:pPr>
        <w:pStyle w:val="Heading3"/>
        <w:keepNext/>
        <w:spacing w:line="240" w:lineRule="auto"/>
        <w:rPr>
          <w:rFonts w:ascii="Arial" w:hAnsi="Arial" w:cs="Arial"/>
          <w:b/>
          <w:bCs/>
          <w:color w:val="000000"/>
          <w:sz w:val="20"/>
        </w:rPr>
      </w:pPr>
      <w:bookmarkStart w:id="791" w:name="_3.5.6.3_Section_215B"/>
      <w:bookmarkStart w:id="792" w:name="_3.5.6.3_Management_of"/>
      <w:bookmarkStart w:id="793" w:name="B3563"/>
      <w:bookmarkEnd w:id="791"/>
      <w:bookmarkEnd w:id="792"/>
      <w:bookmarkEnd w:id="793"/>
      <w:r w:rsidRPr="00520380">
        <w:rPr>
          <w:rFonts w:ascii="Arial" w:hAnsi="Arial" w:cs="Arial"/>
          <w:b/>
          <w:sz w:val="20"/>
        </w:rPr>
        <w:t>3.5.</w:t>
      </w:r>
      <w:r>
        <w:rPr>
          <w:rFonts w:ascii="Arial" w:hAnsi="Arial" w:cs="Arial"/>
          <w:b/>
          <w:sz w:val="20"/>
        </w:rPr>
        <w:t>6</w:t>
      </w:r>
      <w:r w:rsidRPr="00520380">
        <w:rPr>
          <w:rFonts w:ascii="Arial" w:hAnsi="Arial" w:cs="Arial"/>
          <w:b/>
          <w:sz w:val="20"/>
        </w:rPr>
        <w:t>.</w:t>
      </w:r>
      <w:r>
        <w:rPr>
          <w:rFonts w:ascii="Arial" w:hAnsi="Arial" w:cs="Arial"/>
          <w:b/>
          <w:sz w:val="20"/>
        </w:rPr>
        <w:t>3</w:t>
      </w:r>
      <w:r w:rsidRPr="00520380">
        <w:rPr>
          <w:rFonts w:ascii="Arial" w:hAnsi="Arial" w:cs="Arial"/>
          <w:b/>
          <w:sz w:val="20"/>
        </w:rPr>
        <w:tab/>
      </w:r>
      <w:r w:rsidR="00367E55">
        <w:rPr>
          <w:rFonts w:ascii="Arial" w:hAnsi="Arial" w:cs="Arial"/>
          <w:b/>
          <w:sz w:val="20"/>
        </w:rPr>
        <w:t>Management of child protection proceedings – s.</w:t>
      </w:r>
      <w:r>
        <w:rPr>
          <w:rFonts w:ascii="Arial" w:hAnsi="Arial" w:cs="Arial"/>
          <w:b/>
          <w:sz w:val="20"/>
        </w:rPr>
        <w:t>215B of the CYFA</w:t>
      </w:r>
    </w:p>
    <w:p w14:paraId="7F1EA1B5" w14:textId="731C7BDE" w:rsidR="002208A5" w:rsidRPr="00C22B3A" w:rsidRDefault="00F730A1" w:rsidP="002208A5">
      <w:pPr>
        <w:tabs>
          <w:tab w:val="left" w:pos="363"/>
        </w:tabs>
        <w:spacing w:before="120"/>
        <w:jc w:val="both"/>
        <w:rPr>
          <w:rFonts w:ascii="Arial" w:hAnsi="Arial" w:cs="Arial"/>
          <w:color w:val="000000"/>
          <w:sz w:val="20"/>
        </w:rPr>
      </w:pPr>
      <w:r>
        <w:rPr>
          <w:rFonts w:ascii="Arial" w:hAnsi="Arial" w:cs="Arial"/>
          <w:color w:val="000000"/>
          <w:sz w:val="20"/>
        </w:rPr>
        <w:t xml:space="preserve">The third of Judge Coate’s </w:t>
      </w:r>
      <w:r w:rsidR="00C22B3A">
        <w:rPr>
          <w:rFonts w:ascii="Arial" w:hAnsi="Arial" w:cs="Arial"/>
          <w:color w:val="000000"/>
          <w:sz w:val="20"/>
        </w:rPr>
        <w:t>recommended changes</w:t>
      </w:r>
      <w:r>
        <w:rPr>
          <w:rFonts w:ascii="Arial" w:hAnsi="Arial" w:cs="Arial"/>
          <w:color w:val="000000"/>
          <w:sz w:val="20"/>
        </w:rPr>
        <w:t xml:space="preserve"> </w:t>
      </w:r>
      <w:r w:rsidR="00C22B3A">
        <w:rPr>
          <w:rFonts w:ascii="Arial" w:hAnsi="Arial" w:cs="Arial"/>
          <w:color w:val="000000"/>
          <w:sz w:val="20"/>
        </w:rPr>
        <w:t xml:space="preserve">– namely a “court hearing that was an inquiry rather than an adversarial battle” – was finally partly addressed </w:t>
      </w:r>
      <w:r w:rsidR="00BC1218">
        <w:rPr>
          <w:rFonts w:ascii="Arial" w:hAnsi="Arial" w:cs="Arial"/>
          <w:color w:val="000000"/>
          <w:sz w:val="20"/>
        </w:rPr>
        <w:t xml:space="preserve">in late </w:t>
      </w:r>
      <w:r w:rsidR="00C22B3A">
        <w:rPr>
          <w:rFonts w:ascii="Arial" w:hAnsi="Arial" w:cs="Arial"/>
          <w:color w:val="000000"/>
          <w:sz w:val="20"/>
        </w:rPr>
        <w:t xml:space="preserve">2013 by the introduction of s.215B of the CYFA. This section </w:t>
      </w:r>
      <w:r w:rsidR="00AF3D8D" w:rsidRPr="003D4BCE">
        <w:rPr>
          <w:rFonts w:ascii="Arial" w:hAnsi="Arial" w:cs="Arial"/>
          <w:color w:val="000000"/>
          <w:sz w:val="20"/>
        </w:rPr>
        <w:t xml:space="preserve">gives judicial officers much greater power to manage the conduct of </w:t>
      </w:r>
      <w:r w:rsidR="00FE49DB">
        <w:rPr>
          <w:rFonts w:ascii="Arial" w:hAnsi="Arial" w:cs="Arial"/>
          <w:color w:val="000000"/>
          <w:sz w:val="20"/>
        </w:rPr>
        <w:t xml:space="preserve">child protection proceedings </w:t>
      </w:r>
      <w:r w:rsidR="00AB2E5E">
        <w:rPr>
          <w:rFonts w:ascii="Arial" w:hAnsi="Arial" w:cs="Arial"/>
          <w:color w:val="000000"/>
          <w:sz w:val="20"/>
        </w:rPr>
        <w:t>in a less a</w:t>
      </w:r>
      <w:r w:rsidR="007A49E9">
        <w:rPr>
          <w:rFonts w:ascii="Arial" w:hAnsi="Arial" w:cs="Arial"/>
          <w:color w:val="000000"/>
          <w:sz w:val="20"/>
        </w:rPr>
        <w:t xml:space="preserve">dversarial way than the </w:t>
      </w:r>
      <w:r w:rsidR="00AB2E5E">
        <w:rPr>
          <w:rFonts w:ascii="Arial" w:hAnsi="Arial" w:cs="Arial"/>
          <w:color w:val="000000"/>
          <w:sz w:val="20"/>
        </w:rPr>
        <w:t xml:space="preserve">power granted by ss.215(1)(a) &amp; 215(1)(b) </w:t>
      </w:r>
      <w:r w:rsidR="001B615A">
        <w:rPr>
          <w:rFonts w:ascii="Arial" w:hAnsi="Arial" w:cs="Arial"/>
          <w:color w:val="000000"/>
          <w:sz w:val="20"/>
        </w:rPr>
        <w:t>as</w:t>
      </w:r>
      <w:r w:rsidR="00FE49DB">
        <w:rPr>
          <w:rFonts w:ascii="Arial" w:hAnsi="Arial" w:cs="Arial"/>
          <w:color w:val="000000"/>
          <w:sz w:val="20"/>
        </w:rPr>
        <w:t xml:space="preserve"> diluted by</w:t>
      </w:r>
      <w:r w:rsidR="00AB2E5E">
        <w:rPr>
          <w:rFonts w:ascii="Arial" w:hAnsi="Arial" w:cs="Arial"/>
          <w:color w:val="000000"/>
          <w:sz w:val="20"/>
        </w:rPr>
        <w:t xml:space="preserve"> cases like </w:t>
      </w:r>
      <w:r w:rsidR="00AB2E5E" w:rsidRPr="00741D02">
        <w:rPr>
          <w:rFonts w:ascii="Arial" w:hAnsi="Arial" w:cs="Arial"/>
          <w:i/>
          <w:iCs/>
          <w:sz w:val="20"/>
        </w:rPr>
        <w:t xml:space="preserve">Re Watson; </w:t>
      </w:r>
      <w:r w:rsidR="00AB2E5E">
        <w:rPr>
          <w:rFonts w:ascii="Arial" w:hAnsi="Arial" w:cs="Arial"/>
          <w:i/>
          <w:iCs/>
          <w:sz w:val="20"/>
        </w:rPr>
        <w:t xml:space="preserve">Ex </w:t>
      </w:r>
      <w:r w:rsidR="00AB2E5E" w:rsidRPr="00741D02">
        <w:rPr>
          <w:rFonts w:ascii="Arial" w:hAnsi="Arial" w:cs="Arial"/>
          <w:i/>
          <w:iCs/>
          <w:sz w:val="20"/>
        </w:rPr>
        <w:t>parte Armstrong</w:t>
      </w:r>
      <w:r w:rsidR="00AB2E5E">
        <w:rPr>
          <w:rFonts w:ascii="Arial" w:hAnsi="Arial" w:cs="Arial"/>
          <w:i/>
          <w:iCs/>
          <w:sz w:val="20"/>
        </w:rPr>
        <w:t xml:space="preserve"> </w:t>
      </w:r>
      <w:r w:rsidR="00AB2E5E" w:rsidRPr="00AB2E5E">
        <w:rPr>
          <w:rFonts w:ascii="Arial" w:hAnsi="Arial" w:cs="Arial"/>
          <w:iCs/>
          <w:sz w:val="20"/>
        </w:rPr>
        <w:t>and</w:t>
      </w:r>
      <w:r w:rsidR="00AB2E5E" w:rsidRPr="00AB2E5E">
        <w:rPr>
          <w:rFonts w:ascii="Arial" w:hAnsi="Arial" w:cs="Arial"/>
          <w:i/>
          <w:iCs/>
          <w:sz w:val="20"/>
        </w:rPr>
        <w:t xml:space="preserve"> </w:t>
      </w:r>
      <w:r w:rsidR="00AB2E5E" w:rsidRPr="003714F9">
        <w:rPr>
          <w:rFonts w:ascii="Arial" w:hAnsi="Arial" w:cs="Arial"/>
          <w:i/>
          <w:iCs/>
          <w:sz w:val="20"/>
        </w:rPr>
        <w:t>Wood v Wood</w:t>
      </w:r>
      <w:r w:rsidR="00AB2E5E">
        <w:rPr>
          <w:rFonts w:ascii="Arial" w:hAnsi="Arial" w:cs="Arial"/>
          <w:i/>
          <w:iCs/>
          <w:sz w:val="20"/>
        </w:rPr>
        <w:t>.</w:t>
      </w:r>
      <w:r w:rsidR="00AB2E5E">
        <w:rPr>
          <w:rFonts w:ascii="Arial" w:hAnsi="Arial" w:cs="Arial"/>
          <w:color w:val="000000"/>
          <w:sz w:val="20"/>
          <w:szCs w:val="20"/>
        </w:rPr>
        <w:t xml:space="preserve">  </w:t>
      </w:r>
      <w:r w:rsidR="002208A5">
        <w:rPr>
          <w:rFonts w:ascii="Arial" w:hAnsi="Arial" w:cs="Arial"/>
          <w:color w:val="000000"/>
          <w:sz w:val="20"/>
        </w:rPr>
        <w:t>Section 215B provides:</w:t>
      </w:r>
    </w:p>
    <w:p w14:paraId="552E9CF5" w14:textId="3232092E" w:rsidR="002208A5" w:rsidRPr="003D4BCE" w:rsidRDefault="002208A5" w:rsidP="002208A5">
      <w:pPr>
        <w:tabs>
          <w:tab w:val="left" w:pos="363"/>
        </w:tabs>
        <w:spacing w:before="60" w:line="240" w:lineRule="exact"/>
        <w:ind w:left="363" w:hanging="363"/>
        <w:jc w:val="both"/>
        <w:rPr>
          <w:rFonts w:ascii="Arial" w:hAnsi="Arial" w:cs="Arial"/>
          <w:color w:val="000000"/>
          <w:sz w:val="20"/>
        </w:rPr>
      </w:pPr>
      <w:r w:rsidRPr="003D4BCE">
        <w:rPr>
          <w:rFonts w:ascii="Arial" w:hAnsi="Arial" w:cs="Arial"/>
          <w:color w:val="000000"/>
          <w:sz w:val="20"/>
        </w:rPr>
        <w:t>“(1) Without limiting Part 1.2 [</w:t>
      </w:r>
      <w:r w:rsidR="00D57939">
        <w:rPr>
          <w:rFonts w:ascii="Arial" w:hAnsi="Arial" w:cs="Arial"/>
          <w:color w:val="000000"/>
          <w:sz w:val="20"/>
        </w:rPr>
        <w:t>‘b</w:t>
      </w:r>
      <w:r w:rsidRPr="003D4BCE">
        <w:rPr>
          <w:rFonts w:ascii="Arial" w:hAnsi="Arial" w:cs="Arial"/>
          <w:color w:val="000000"/>
          <w:sz w:val="20"/>
        </w:rPr>
        <w:t>est Interests</w:t>
      </w:r>
      <w:r w:rsidR="00D57939">
        <w:rPr>
          <w:rFonts w:ascii="Arial" w:hAnsi="Arial" w:cs="Arial"/>
          <w:color w:val="000000"/>
          <w:sz w:val="20"/>
        </w:rPr>
        <w:t>’</w:t>
      </w:r>
      <w:r w:rsidRPr="003D4BCE">
        <w:rPr>
          <w:rFonts w:ascii="Arial" w:hAnsi="Arial" w:cs="Arial"/>
          <w:color w:val="000000"/>
          <w:sz w:val="20"/>
        </w:rPr>
        <w:t xml:space="preserve"> principles] or s.215(1), in any proceeding before the Family Division under this Act, the Court may</w:t>
      </w:r>
      <w:r w:rsidR="00641166">
        <w:rPr>
          <w:rFonts w:ascii="Arial" w:hAnsi="Arial" w:cs="Arial"/>
          <w:color w:val="000000"/>
          <w:sz w:val="20"/>
        </w:rPr>
        <w:t>–</w:t>
      </w:r>
    </w:p>
    <w:p w14:paraId="784834BF" w14:textId="77777777" w:rsidR="002208A5" w:rsidRPr="003D4BCE" w:rsidRDefault="002208A5" w:rsidP="002208A5">
      <w:pPr>
        <w:tabs>
          <w:tab w:val="left" w:pos="851"/>
        </w:tabs>
        <w:spacing w:line="240" w:lineRule="exact"/>
        <w:ind w:left="714" w:hanging="357"/>
        <w:jc w:val="both"/>
        <w:rPr>
          <w:rFonts w:ascii="Arial" w:hAnsi="Arial" w:cs="Arial"/>
          <w:color w:val="000000"/>
          <w:sz w:val="20"/>
        </w:rPr>
      </w:pPr>
      <w:r w:rsidRPr="003D4BCE">
        <w:rPr>
          <w:rFonts w:ascii="Arial" w:hAnsi="Arial" w:cs="Arial"/>
          <w:color w:val="000000"/>
          <w:sz w:val="20"/>
        </w:rPr>
        <w:t>(a)</w:t>
      </w:r>
      <w:r w:rsidRPr="003D4BCE">
        <w:rPr>
          <w:rFonts w:ascii="Arial" w:hAnsi="Arial" w:cs="Arial"/>
          <w:color w:val="000000"/>
          <w:sz w:val="20"/>
        </w:rPr>
        <w:tab/>
        <w:t>consider the needs of the child and the impact that the proceeding may have on the child;</w:t>
      </w:r>
    </w:p>
    <w:p w14:paraId="051C8A1D" w14:textId="77777777" w:rsidR="002208A5" w:rsidRPr="003D4BCE" w:rsidRDefault="002208A5" w:rsidP="002208A5">
      <w:pPr>
        <w:tabs>
          <w:tab w:val="left" w:pos="851"/>
        </w:tabs>
        <w:spacing w:line="240" w:lineRule="exact"/>
        <w:ind w:left="714" w:hanging="357"/>
        <w:jc w:val="both"/>
        <w:rPr>
          <w:rFonts w:ascii="Arial" w:hAnsi="Arial" w:cs="Arial"/>
          <w:color w:val="000000"/>
          <w:sz w:val="20"/>
        </w:rPr>
      </w:pPr>
      <w:r w:rsidRPr="003D4BCE">
        <w:rPr>
          <w:rFonts w:ascii="Arial" w:hAnsi="Arial" w:cs="Arial"/>
          <w:color w:val="000000"/>
          <w:sz w:val="20"/>
        </w:rPr>
        <w:t>(b)</w:t>
      </w:r>
      <w:r w:rsidRPr="003D4BCE">
        <w:rPr>
          <w:rFonts w:ascii="Arial" w:hAnsi="Arial" w:cs="Arial"/>
          <w:color w:val="000000"/>
          <w:sz w:val="20"/>
        </w:rPr>
        <w:tab/>
        <w:t xml:space="preserve">conduct proceedings in a manner that promotes cooperative relationships between the parties; </w:t>
      </w:r>
    </w:p>
    <w:p w14:paraId="32EB1E6D" w14:textId="15E63D88" w:rsidR="002208A5" w:rsidRPr="003D4BCE" w:rsidRDefault="002208A5" w:rsidP="006A0F25">
      <w:pPr>
        <w:tabs>
          <w:tab w:val="left" w:pos="851"/>
        </w:tabs>
        <w:spacing w:line="240" w:lineRule="exact"/>
        <w:ind w:left="714" w:hanging="357"/>
        <w:jc w:val="both"/>
        <w:rPr>
          <w:rFonts w:ascii="Arial" w:hAnsi="Arial" w:cs="Arial"/>
          <w:color w:val="000000"/>
          <w:sz w:val="20"/>
        </w:rPr>
      </w:pPr>
      <w:r w:rsidRPr="003D4BCE">
        <w:rPr>
          <w:rFonts w:ascii="Arial" w:hAnsi="Arial" w:cs="Arial"/>
          <w:color w:val="000000"/>
          <w:sz w:val="20"/>
        </w:rPr>
        <w:t>(c)</w:t>
      </w:r>
      <w:r w:rsidRPr="003D4BCE">
        <w:rPr>
          <w:rFonts w:ascii="Arial" w:hAnsi="Arial" w:cs="Arial"/>
          <w:color w:val="000000"/>
          <w:sz w:val="20"/>
        </w:rPr>
        <w:tab/>
        <w:t>ask any person connected to the proceeding whether that person considers that</w:t>
      </w:r>
      <w:r w:rsidR="00FD5F44" w:rsidRPr="00A31FFA">
        <w:rPr>
          <w:rFonts w:ascii="Arial" w:hAnsi="Arial" w:cs="Arial"/>
          <w:sz w:val="20"/>
        </w:rPr>
        <w:t>–</w:t>
      </w:r>
    </w:p>
    <w:p w14:paraId="00FB15AA" w14:textId="77777777" w:rsidR="002208A5" w:rsidRPr="003D4BCE" w:rsidRDefault="002208A5" w:rsidP="002208A5">
      <w:pPr>
        <w:tabs>
          <w:tab w:val="left" w:pos="363"/>
        </w:tabs>
        <w:spacing w:line="240" w:lineRule="exact"/>
        <w:ind w:left="1083" w:hanging="363"/>
        <w:jc w:val="both"/>
        <w:rPr>
          <w:rFonts w:ascii="Arial" w:hAnsi="Arial" w:cs="Arial"/>
          <w:color w:val="000000"/>
          <w:sz w:val="20"/>
          <w:lang w:val="en-US"/>
        </w:rPr>
      </w:pPr>
      <w:r w:rsidRPr="003D4BCE">
        <w:rPr>
          <w:rFonts w:ascii="Arial" w:hAnsi="Arial" w:cs="Arial"/>
          <w:color w:val="000000"/>
          <w:sz w:val="20"/>
          <w:lang w:val="en-US"/>
        </w:rPr>
        <w:t>(i)</w:t>
      </w:r>
      <w:r w:rsidRPr="003D4BCE">
        <w:rPr>
          <w:rFonts w:ascii="Arial" w:hAnsi="Arial" w:cs="Arial"/>
          <w:color w:val="000000"/>
          <w:sz w:val="20"/>
          <w:lang w:val="en-US"/>
        </w:rPr>
        <w:tab/>
        <w:t>the child has been, or is at risk of being, subjected to or exposed to abuse, neglect or family violence within the meaning of the</w:t>
      </w:r>
      <w:r>
        <w:rPr>
          <w:rFonts w:ascii="Arial" w:hAnsi="Arial" w:cs="Arial"/>
          <w:color w:val="000000"/>
          <w:sz w:val="20"/>
          <w:lang w:val="en-US"/>
        </w:rPr>
        <w:t xml:space="preserve"> </w:t>
      </w:r>
      <w:r w:rsidRPr="0058675C">
        <w:rPr>
          <w:rFonts w:ascii="Arial" w:hAnsi="Arial" w:cs="Arial"/>
          <w:i/>
          <w:iCs/>
          <w:color w:val="000000"/>
          <w:sz w:val="20"/>
          <w:lang w:val="en-US"/>
        </w:rPr>
        <w:t>Family Violence Protection Act 2008</w:t>
      </w:r>
      <w:r>
        <w:rPr>
          <w:rFonts w:ascii="Arial" w:hAnsi="Arial" w:cs="Arial"/>
          <w:color w:val="000000"/>
          <w:sz w:val="20"/>
          <w:lang w:val="en-US"/>
        </w:rPr>
        <w:t>;</w:t>
      </w:r>
    </w:p>
    <w:p w14:paraId="3B7ADAF9" w14:textId="77777777" w:rsidR="002208A5" w:rsidRPr="003D4BCE" w:rsidRDefault="002208A5" w:rsidP="002208A5">
      <w:pPr>
        <w:tabs>
          <w:tab w:val="left" w:pos="363"/>
        </w:tabs>
        <w:spacing w:line="240" w:lineRule="exact"/>
        <w:ind w:left="1083" w:hanging="363"/>
        <w:jc w:val="both"/>
        <w:rPr>
          <w:rFonts w:ascii="Arial" w:hAnsi="Arial" w:cs="Arial"/>
          <w:color w:val="000000"/>
          <w:sz w:val="20"/>
          <w:lang w:val="en-US"/>
        </w:rPr>
      </w:pPr>
      <w:r w:rsidRPr="003D4BCE">
        <w:rPr>
          <w:rFonts w:ascii="Arial" w:hAnsi="Arial" w:cs="Arial"/>
          <w:color w:val="000000"/>
          <w:sz w:val="20"/>
          <w:lang w:val="en-US"/>
        </w:rPr>
        <w:t>(ii)</w:t>
      </w:r>
      <w:r w:rsidRPr="003D4BCE">
        <w:rPr>
          <w:rFonts w:ascii="Arial" w:hAnsi="Arial" w:cs="Arial"/>
          <w:color w:val="000000"/>
          <w:sz w:val="20"/>
          <w:lang w:val="en-US"/>
        </w:rPr>
        <w:tab/>
        <w:t>he or she or any other person connected to the proceeding has been, or is at risk of being subjected to family violence;</w:t>
      </w:r>
    </w:p>
    <w:p w14:paraId="732F4F7B" w14:textId="77777777" w:rsidR="002208A5" w:rsidRPr="003D4BCE"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actively direct, control and manage proceedings;</w:t>
      </w:r>
    </w:p>
    <w:p w14:paraId="790922DB" w14:textId="77777777" w:rsidR="002208A5" w:rsidRPr="003D4BCE"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 xml:space="preserve">narrow the issues in dispute; </w:t>
      </w:r>
    </w:p>
    <w:p w14:paraId="6E8B3174"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determine the order in which the issues are decided;</w:t>
      </w:r>
    </w:p>
    <w:p w14:paraId="6CF51FC1"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give directions or make orders about the timing of steps that are to be taken in proceedings;</w:t>
      </w:r>
    </w:p>
    <w:p w14:paraId="12D02F9E"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in deciding whether a particular step is to be taken, consider whether the likely benefits justify the costs of taking it;</w:t>
      </w:r>
    </w:p>
    <w:p w14:paraId="57BF87A7"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make appropriate use of technology, such as videoconferencing;</w:t>
      </w:r>
    </w:p>
    <w:p w14:paraId="69C407E7"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deal with as many aspects of the matter on a single occasion as possible;</w:t>
      </w:r>
    </w:p>
    <w:p w14:paraId="20701AE3"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where possible, deal with the matter without requiring the parties attend Court;</w:t>
      </w:r>
    </w:p>
    <w:p w14:paraId="07C43482" w14:textId="77777777" w:rsidR="002208A5" w:rsidRPr="003D4BCE"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do any other thing that the Court thinks fit.”</w:t>
      </w:r>
    </w:p>
    <w:p w14:paraId="0D1F21FE" w14:textId="77777777" w:rsidR="002208A5" w:rsidRDefault="002208A5" w:rsidP="002208A5">
      <w:pPr>
        <w:tabs>
          <w:tab w:val="left" w:pos="363"/>
        </w:tabs>
        <w:jc w:val="both"/>
        <w:rPr>
          <w:rFonts w:ascii="Arial" w:hAnsi="Arial" w:cs="Arial"/>
          <w:color w:val="000000"/>
          <w:sz w:val="20"/>
          <w:szCs w:val="20"/>
        </w:rPr>
      </w:pPr>
    </w:p>
    <w:p w14:paraId="7E67BAAD" w14:textId="7685E503" w:rsidR="003B68A0" w:rsidRDefault="00AF3D8D" w:rsidP="002208A5">
      <w:pPr>
        <w:tabs>
          <w:tab w:val="left" w:pos="363"/>
        </w:tabs>
        <w:jc w:val="both"/>
        <w:rPr>
          <w:rFonts w:ascii="Arial" w:hAnsi="Arial" w:cs="Arial"/>
          <w:sz w:val="20"/>
          <w:szCs w:val="20"/>
        </w:rPr>
      </w:pPr>
      <w:r w:rsidRPr="003D4BCE">
        <w:rPr>
          <w:rFonts w:ascii="Arial" w:hAnsi="Arial" w:cs="Arial"/>
          <w:color w:val="000000"/>
          <w:sz w:val="20"/>
          <w:szCs w:val="20"/>
        </w:rPr>
        <w:t xml:space="preserve">The </w:t>
      </w:r>
      <w:r w:rsidRPr="003D4BCE">
        <w:rPr>
          <w:rFonts w:ascii="Arial" w:hAnsi="Arial" w:cs="Arial"/>
          <w:sz w:val="20"/>
          <w:szCs w:val="20"/>
        </w:rPr>
        <w:t>heading of s.215B is “</w:t>
      </w:r>
      <w:r w:rsidRPr="00C22B3A">
        <w:rPr>
          <w:rFonts w:ascii="Arial" w:hAnsi="Arial" w:cs="Arial"/>
          <w:b/>
          <w:bCs/>
          <w:sz w:val="20"/>
          <w:szCs w:val="20"/>
        </w:rPr>
        <w:t>Management of child protection proceedings</w:t>
      </w:r>
      <w:r w:rsidRPr="003D4BCE">
        <w:rPr>
          <w:rFonts w:ascii="Arial" w:hAnsi="Arial" w:cs="Arial"/>
          <w:sz w:val="20"/>
          <w:szCs w:val="20"/>
        </w:rPr>
        <w:t>”</w:t>
      </w:r>
      <w:r w:rsidR="00FE49DB">
        <w:rPr>
          <w:rFonts w:ascii="Arial" w:hAnsi="Arial" w:cs="Arial"/>
          <w:sz w:val="20"/>
          <w:szCs w:val="20"/>
        </w:rPr>
        <w:t xml:space="preserve"> but </w:t>
      </w:r>
      <w:r w:rsidRPr="003D4BCE">
        <w:rPr>
          <w:rFonts w:ascii="Arial" w:hAnsi="Arial" w:cs="Arial"/>
          <w:sz w:val="20"/>
          <w:szCs w:val="20"/>
        </w:rPr>
        <w:t>the section itself refers to “</w:t>
      </w:r>
      <w:r w:rsidRPr="004C594D">
        <w:rPr>
          <w:rFonts w:ascii="Arial" w:hAnsi="Arial" w:cs="Arial"/>
          <w:i/>
          <w:sz w:val="20"/>
          <w:szCs w:val="20"/>
        </w:rPr>
        <w:t>any</w:t>
      </w:r>
      <w:r w:rsidRPr="003D4BCE">
        <w:rPr>
          <w:rFonts w:ascii="Arial" w:hAnsi="Arial" w:cs="Arial"/>
          <w:sz w:val="20"/>
          <w:szCs w:val="20"/>
        </w:rPr>
        <w:t xml:space="preserve"> proceeding before the Family Division</w:t>
      </w:r>
      <w:r w:rsidR="00FE49DB">
        <w:rPr>
          <w:rFonts w:ascii="Arial" w:hAnsi="Arial" w:cs="Arial"/>
          <w:sz w:val="20"/>
          <w:szCs w:val="20"/>
        </w:rPr>
        <w:t xml:space="preserve"> under this Act”. </w:t>
      </w:r>
      <w:r w:rsidRPr="003D4BCE">
        <w:rPr>
          <w:rFonts w:ascii="Arial" w:hAnsi="Arial" w:cs="Arial"/>
          <w:sz w:val="20"/>
          <w:szCs w:val="20"/>
        </w:rPr>
        <w:t xml:space="preserve"> </w:t>
      </w:r>
      <w:r w:rsidR="004C594D">
        <w:rPr>
          <w:rFonts w:ascii="Arial" w:hAnsi="Arial" w:cs="Arial"/>
          <w:sz w:val="20"/>
          <w:szCs w:val="20"/>
        </w:rPr>
        <w:t xml:space="preserve">Section 215B is in Part 4.7 of the CYFA which is headed “Procedure </w:t>
      </w:r>
      <w:r w:rsidR="003B68A0">
        <w:rPr>
          <w:rFonts w:ascii="Arial" w:hAnsi="Arial" w:cs="Arial"/>
          <w:sz w:val="20"/>
          <w:szCs w:val="20"/>
        </w:rPr>
        <w:t xml:space="preserve">in Family Division”.  However, under s.515(2) the jurisdiction of the Family Division includes jurisdiction given by the </w:t>
      </w:r>
      <w:r w:rsidR="003B68A0" w:rsidRPr="0058675C">
        <w:rPr>
          <w:rFonts w:ascii="Arial" w:hAnsi="Arial" w:cs="Arial"/>
          <w:i/>
          <w:iCs/>
          <w:sz w:val="20"/>
          <w:szCs w:val="20"/>
        </w:rPr>
        <w:t>Family Violence Protection Act 2008</w:t>
      </w:r>
      <w:r w:rsidR="003B68A0">
        <w:rPr>
          <w:rFonts w:ascii="Arial" w:hAnsi="Arial" w:cs="Arial"/>
          <w:sz w:val="20"/>
          <w:szCs w:val="20"/>
        </w:rPr>
        <w:t xml:space="preserve"> and the </w:t>
      </w:r>
      <w:r w:rsidR="003B68A0" w:rsidRPr="0058675C">
        <w:rPr>
          <w:rFonts w:ascii="Arial" w:hAnsi="Arial" w:cs="Arial"/>
          <w:i/>
          <w:iCs/>
          <w:sz w:val="20"/>
          <w:szCs w:val="20"/>
        </w:rPr>
        <w:t>Personal Safety Intervention Orders Act 2010</w:t>
      </w:r>
      <w:r w:rsidR="003B68A0">
        <w:rPr>
          <w:rFonts w:ascii="Arial" w:hAnsi="Arial" w:cs="Arial"/>
          <w:sz w:val="20"/>
          <w:szCs w:val="20"/>
        </w:rPr>
        <w:t xml:space="preserve">.  </w:t>
      </w:r>
      <w:r w:rsidR="004C594D">
        <w:rPr>
          <w:rFonts w:ascii="Arial" w:hAnsi="Arial" w:cs="Arial"/>
          <w:sz w:val="20"/>
          <w:szCs w:val="20"/>
        </w:rPr>
        <w:t xml:space="preserve">Under s.36(1) of the </w:t>
      </w:r>
      <w:r w:rsidR="004C594D" w:rsidRPr="0058675C">
        <w:rPr>
          <w:rFonts w:ascii="Arial" w:hAnsi="Arial" w:cs="Arial"/>
          <w:i/>
          <w:iCs/>
          <w:sz w:val="20"/>
          <w:szCs w:val="20"/>
        </w:rPr>
        <w:t>Interpretation of Legislation Act 1984</w:t>
      </w:r>
      <w:r w:rsidR="004C594D">
        <w:rPr>
          <w:rFonts w:ascii="Arial" w:hAnsi="Arial" w:cs="Arial"/>
          <w:sz w:val="20"/>
          <w:szCs w:val="20"/>
        </w:rPr>
        <w:t xml:space="preserve"> </w:t>
      </w:r>
      <w:r w:rsidR="003B68A0">
        <w:rPr>
          <w:rFonts w:ascii="Arial" w:hAnsi="Arial" w:cs="Arial"/>
          <w:sz w:val="20"/>
          <w:szCs w:val="20"/>
        </w:rPr>
        <w:t>the heading to a Part of an Act forms part of the Act.  By contrast</w:t>
      </w:r>
      <w:r w:rsidR="00DB75BD">
        <w:rPr>
          <w:rFonts w:ascii="Arial" w:hAnsi="Arial" w:cs="Arial"/>
          <w:sz w:val="20"/>
          <w:szCs w:val="20"/>
        </w:rPr>
        <w:t>,</w:t>
      </w:r>
      <w:r w:rsidR="003B68A0">
        <w:rPr>
          <w:rFonts w:ascii="Arial" w:hAnsi="Arial" w:cs="Arial"/>
          <w:sz w:val="20"/>
          <w:szCs w:val="20"/>
        </w:rPr>
        <w:t xml:space="preserve"> under ss.36(3) &amp; 36(4) a heading to a section of an Act does not form part of the Act although it can be used as aid to interpretation of the section.  However, as Deane J (Gibbs CJ, Brennan &amp; Dawson JJ agreeing) </w:t>
      </w:r>
      <w:r w:rsidR="00DB75BD">
        <w:rPr>
          <w:rFonts w:ascii="Arial" w:hAnsi="Arial" w:cs="Arial"/>
          <w:sz w:val="20"/>
          <w:szCs w:val="20"/>
        </w:rPr>
        <w:t>hel</w:t>
      </w:r>
      <w:r w:rsidR="003B68A0">
        <w:rPr>
          <w:rFonts w:ascii="Arial" w:hAnsi="Arial" w:cs="Arial"/>
          <w:sz w:val="20"/>
          <w:szCs w:val="20"/>
        </w:rPr>
        <w:t xml:space="preserve">d in </w:t>
      </w:r>
      <w:r w:rsidR="003B68A0" w:rsidRPr="003B68A0">
        <w:rPr>
          <w:rFonts w:ascii="Arial" w:hAnsi="Arial" w:cs="Arial"/>
          <w:i/>
          <w:sz w:val="20"/>
          <w:szCs w:val="20"/>
        </w:rPr>
        <w:t>K. &amp; S. Lake City Freighters Pty Ltd v Gordon &amp; Gotch Ltd</w:t>
      </w:r>
      <w:r w:rsidR="00DB75BD">
        <w:rPr>
          <w:rFonts w:ascii="Arial" w:hAnsi="Arial" w:cs="Arial"/>
          <w:sz w:val="20"/>
          <w:szCs w:val="20"/>
        </w:rPr>
        <w:t xml:space="preserve"> (1985) 157 CLR 309 at 321-3 where the provisions of the section in dispute were complete on their face there was no basis for reading down the clear language of the section by reason of the heading to the Part of the Act in which the section was located.</w:t>
      </w:r>
    </w:p>
    <w:p w14:paraId="6C7181E5" w14:textId="77777777" w:rsidR="002208A5" w:rsidRDefault="002208A5" w:rsidP="002208A5">
      <w:pPr>
        <w:tabs>
          <w:tab w:val="left" w:pos="363"/>
        </w:tabs>
        <w:jc w:val="both"/>
        <w:rPr>
          <w:rFonts w:ascii="Arial" w:hAnsi="Arial" w:cs="Arial"/>
          <w:sz w:val="20"/>
          <w:szCs w:val="20"/>
        </w:rPr>
      </w:pPr>
    </w:p>
    <w:p w14:paraId="5991228E" w14:textId="77777777" w:rsidR="00AF3D8D" w:rsidRPr="003D4BCE" w:rsidRDefault="002208A5" w:rsidP="002208A5">
      <w:pPr>
        <w:tabs>
          <w:tab w:val="left" w:pos="363"/>
        </w:tabs>
        <w:jc w:val="both"/>
        <w:rPr>
          <w:rFonts w:ascii="Arial" w:hAnsi="Arial" w:cs="Arial"/>
          <w:color w:val="000000"/>
          <w:sz w:val="20"/>
        </w:rPr>
      </w:pPr>
      <w:r>
        <w:rPr>
          <w:rFonts w:ascii="Arial" w:hAnsi="Arial" w:cs="Arial"/>
          <w:sz w:val="20"/>
          <w:szCs w:val="20"/>
        </w:rPr>
        <w:t>But is s.215B indeed clear and unambiguous</w:t>
      </w:r>
      <w:r w:rsidR="00C9759C">
        <w:rPr>
          <w:rFonts w:ascii="Arial" w:hAnsi="Arial" w:cs="Arial"/>
          <w:sz w:val="20"/>
          <w:szCs w:val="20"/>
        </w:rPr>
        <w:t xml:space="preserve"> on its face?</w:t>
      </w:r>
      <w:r>
        <w:rPr>
          <w:rFonts w:ascii="Arial" w:hAnsi="Arial" w:cs="Arial"/>
          <w:sz w:val="20"/>
          <w:szCs w:val="20"/>
        </w:rPr>
        <w:t xml:space="preserve">  If it was intended to apply to intervention order proceedings as well</w:t>
      </w:r>
      <w:r w:rsidR="00C9759C">
        <w:rPr>
          <w:rFonts w:ascii="Arial" w:hAnsi="Arial" w:cs="Arial"/>
          <w:sz w:val="20"/>
          <w:szCs w:val="20"/>
        </w:rPr>
        <w:t xml:space="preserve"> as child protection proceedings</w:t>
      </w:r>
      <w:r>
        <w:rPr>
          <w:rFonts w:ascii="Arial" w:hAnsi="Arial" w:cs="Arial"/>
          <w:sz w:val="20"/>
          <w:szCs w:val="20"/>
        </w:rPr>
        <w:t>, one might wonder why s.215</w:t>
      </w:r>
      <w:r w:rsidR="003361DB">
        <w:rPr>
          <w:rFonts w:ascii="Arial" w:hAnsi="Arial" w:cs="Arial"/>
          <w:sz w:val="20"/>
          <w:szCs w:val="20"/>
        </w:rPr>
        <w:t>B</w:t>
      </w:r>
      <w:r>
        <w:rPr>
          <w:rFonts w:ascii="Arial" w:hAnsi="Arial" w:cs="Arial"/>
          <w:sz w:val="20"/>
          <w:szCs w:val="20"/>
        </w:rPr>
        <w:t xml:space="preserve">(1)(c) was included since </w:t>
      </w:r>
      <w:r w:rsidR="00C9759C">
        <w:rPr>
          <w:rFonts w:ascii="Arial" w:hAnsi="Arial" w:cs="Arial"/>
          <w:sz w:val="20"/>
          <w:szCs w:val="20"/>
        </w:rPr>
        <w:t>its</w:t>
      </w:r>
      <w:r>
        <w:rPr>
          <w:rFonts w:ascii="Arial" w:hAnsi="Arial" w:cs="Arial"/>
          <w:sz w:val="20"/>
          <w:szCs w:val="20"/>
        </w:rPr>
        <w:t xml:space="preserve"> two considerations would be at the heart of any proceeding under the </w:t>
      </w:r>
      <w:r w:rsidRPr="0058675C">
        <w:rPr>
          <w:rFonts w:ascii="Arial" w:hAnsi="Arial" w:cs="Arial"/>
          <w:i/>
          <w:iCs/>
          <w:sz w:val="20"/>
          <w:szCs w:val="20"/>
        </w:rPr>
        <w:t>Family Violence Protection Act 2008</w:t>
      </w:r>
      <w:r>
        <w:rPr>
          <w:rFonts w:ascii="Arial" w:hAnsi="Arial" w:cs="Arial"/>
          <w:sz w:val="20"/>
          <w:szCs w:val="20"/>
        </w:rPr>
        <w:t xml:space="preserve">.  On balance, the writer considers that s.215B should probably be </w:t>
      </w:r>
      <w:r w:rsidR="00FE49DB">
        <w:rPr>
          <w:rFonts w:ascii="Arial" w:hAnsi="Arial" w:cs="Arial"/>
          <w:sz w:val="20"/>
          <w:szCs w:val="20"/>
        </w:rPr>
        <w:t xml:space="preserve">read within the context of the section heading which restricts its operation to child protection proceedings and </w:t>
      </w:r>
      <w:r w:rsidR="00D16F6B">
        <w:rPr>
          <w:rFonts w:ascii="Arial" w:hAnsi="Arial" w:cs="Arial"/>
          <w:sz w:val="20"/>
          <w:szCs w:val="20"/>
        </w:rPr>
        <w:t xml:space="preserve">that </w:t>
      </w:r>
      <w:r w:rsidR="00FE49DB">
        <w:rPr>
          <w:rFonts w:ascii="Arial" w:hAnsi="Arial" w:cs="Arial"/>
          <w:sz w:val="20"/>
          <w:szCs w:val="20"/>
        </w:rPr>
        <w:t xml:space="preserve">it does not apply to the conduct of intervention order proceedings.  </w:t>
      </w:r>
      <w:r>
        <w:rPr>
          <w:rFonts w:ascii="Arial" w:hAnsi="Arial" w:cs="Arial"/>
          <w:sz w:val="20"/>
          <w:szCs w:val="20"/>
        </w:rPr>
        <w:t xml:space="preserve">But this interpretation does leave unanswered the question </w:t>
      </w:r>
      <w:r w:rsidR="006F327E">
        <w:rPr>
          <w:rFonts w:ascii="Arial" w:hAnsi="Arial" w:cs="Arial"/>
          <w:sz w:val="20"/>
          <w:szCs w:val="20"/>
        </w:rPr>
        <w:t xml:space="preserve">of </w:t>
      </w:r>
      <w:r w:rsidR="00B811FD">
        <w:rPr>
          <w:rFonts w:ascii="Arial" w:hAnsi="Arial" w:cs="Arial"/>
          <w:sz w:val="20"/>
          <w:szCs w:val="20"/>
        </w:rPr>
        <w:t xml:space="preserve">how properly to manage </w:t>
      </w:r>
      <w:r w:rsidR="006F327E">
        <w:rPr>
          <w:rFonts w:ascii="Arial" w:hAnsi="Arial" w:cs="Arial"/>
          <w:sz w:val="20"/>
          <w:szCs w:val="20"/>
        </w:rPr>
        <w:t>joint</w:t>
      </w:r>
      <w:r>
        <w:rPr>
          <w:rFonts w:ascii="Arial" w:hAnsi="Arial" w:cs="Arial"/>
          <w:sz w:val="20"/>
          <w:szCs w:val="20"/>
        </w:rPr>
        <w:t xml:space="preserve"> </w:t>
      </w:r>
      <w:r w:rsidR="00FE49DB">
        <w:rPr>
          <w:rFonts w:ascii="Arial" w:hAnsi="Arial" w:cs="Arial"/>
          <w:sz w:val="20"/>
          <w:szCs w:val="20"/>
        </w:rPr>
        <w:t>child protection and intervention order proceedings.</w:t>
      </w:r>
    </w:p>
    <w:p w14:paraId="2FE77EDF" w14:textId="3E2F01A1" w:rsidR="00B45F89" w:rsidRDefault="00B45F89" w:rsidP="00B45F89">
      <w:pPr>
        <w:jc w:val="both"/>
        <w:rPr>
          <w:rFonts w:ascii="Arial" w:hAnsi="Arial" w:cs="Arial"/>
          <w:sz w:val="20"/>
        </w:rPr>
      </w:pPr>
    </w:p>
    <w:p w14:paraId="3338C640" w14:textId="51AD35E5" w:rsidR="000232AB" w:rsidRDefault="00BC1218" w:rsidP="00C22B3A">
      <w:pPr>
        <w:jc w:val="both"/>
        <w:rPr>
          <w:rFonts w:ascii="Arial" w:hAnsi="Arial" w:cs="Arial"/>
          <w:sz w:val="20"/>
        </w:rPr>
      </w:pPr>
      <w:r>
        <w:rPr>
          <w:rFonts w:ascii="Arial" w:hAnsi="Arial" w:cs="Arial"/>
          <w:sz w:val="20"/>
        </w:rPr>
        <w:t xml:space="preserve">Seven years prior to the commencement of s.215B, an amendment to the </w:t>
      </w:r>
      <w:r w:rsidRPr="00BC1218">
        <w:rPr>
          <w:rFonts w:ascii="Arial" w:hAnsi="Arial" w:cs="Arial"/>
          <w:i/>
          <w:iCs/>
          <w:sz w:val="20"/>
        </w:rPr>
        <w:t>Family Law Act 1975</w:t>
      </w:r>
      <w:r>
        <w:rPr>
          <w:rFonts w:ascii="Arial" w:hAnsi="Arial" w:cs="Arial"/>
          <w:sz w:val="20"/>
        </w:rPr>
        <w:t xml:space="preserve"> (Cth) had enabled the Family Court of Australia – now </w:t>
      </w:r>
      <w:r w:rsidR="00996610">
        <w:rPr>
          <w:rFonts w:ascii="Arial" w:hAnsi="Arial" w:cs="Arial"/>
          <w:sz w:val="20"/>
        </w:rPr>
        <w:t>en</w:t>
      </w:r>
      <w:r>
        <w:rPr>
          <w:rFonts w:ascii="Arial" w:hAnsi="Arial" w:cs="Arial"/>
          <w:sz w:val="20"/>
        </w:rPr>
        <w:t xml:space="preserve">titled the Federal Circuit and Family Court of Australia – to </w:t>
      </w:r>
      <w:r w:rsidR="000232AB">
        <w:rPr>
          <w:rFonts w:ascii="Arial" w:hAnsi="Arial" w:cs="Arial"/>
          <w:sz w:val="20"/>
        </w:rPr>
        <w:t>apply a less adversarial approach to Family Court hearings generally and to develop processes to support this less adversarial trial approach (LAT).  A detailed discussion of the development of the LAT and the case law which underpins it is contained in Margaret Harrison’s book “</w:t>
      </w:r>
      <w:smartTag w:uri="urn:schemas-microsoft-com:office:smarttags" w:element="Street">
        <w:smartTag w:uri="urn:schemas-microsoft-com:office:smarttags" w:element="address">
          <w:r w:rsidR="000232AB">
            <w:rPr>
              <w:rFonts w:ascii="Arial" w:hAnsi="Arial" w:cs="Arial"/>
              <w:sz w:val="20"/>
            </w:rPr>
            <w:t>Finding A Better Way</w:t>
          </w:r>
        </w:smartTag>
      </w:smartTag>
      <w:r w:rsidR="000232AB">
        <w:rPr>
          <w:rFonts w:ascii="Arial" w:hAnsi="Arial" w:cs="Arial"/>
          <w:sz w:val="20"/>
        </w:rPr>
        <w:t>” (Family Court of Australia, April 2007).  In her introduction Ms Harrison describes the LAT as follows:</w:t>
      </w:r>
    </w:p>
    <w:p w14:paraId="241A4E9B" w14:textId="77777777" w:rsidR="000232AB" w:rsidRDefault="000232AB" w:rsidP="000232AB">
      <w:pPr>
        <w:spacing w:before="60"/>
        <w:ind w:left="454" w:right="454"/>
        <w:jc w:val="both"/>
        <w:rPr>
          <w:rFonts w:ascii="Arial" w:hAnsi="Arial" w:cs="Arial"/>
          <w:iCs/>
          <w:sz w:val="20"/>
        </w:rPr>
      </w:pPr>
      <w:r>
        <w:rPr>
          <w:rFonts w:ascii="Arial" w:hAnsi="Arial" w:cs="Arial"/>
          <w:iCs/>
          <w:sz w:val="20"/>
        </w:rPr>
        <w:t xml:space="preserve">“In an approach pioneered by the Family Court of Australia, family law has recently undergone the most significant change to the way in which litigation is conducted in this country in modern history.  The change, from a traditional common law approach to a less adversarial trial, has </w:t>
      </w:r>
      <w:r>
        <w:rPr>
          <w:rFonts w:ascii="Arial" w:hAnsi="Arial" w:cs="Arial"/>
          <w:iCs/>
          <w:sz w:val="20"/>
        </w:rPr>
        <w:lastRenderedPageBreak/>
        <w:t xml:space="preserve">significant implications, not only for the conduct of family law litigation but also for the conduct of litigation as a whole.  It represents a bold step towards bridging the gap between common law systems of litigation and the European civil law system.  So far as family law is concerned, the change received legislative force with the passage of Division 12A of Part VII of the </w:t>
      </w:r>
      <w:r w:rsidRPr="0058675C">
        <w:rPr>
          <w:rFonts w:ascii="Arial" w:hAnsi="Arial" w:cs="Arial"/>
          <w:i/>
          <w:sz w:val="20"/>
        </w:rPr>
        <w:t>Family Law Act 1975</w:t>
      </w:r>
      <w:r>
        <w:rPr>
          <w:rFonts w:ascii="Arial" w:hAnsi="Arial" w:cs="Arial"/>
          <w:iCs/>
          <w:sz w:val="20"/>
        </w:rPr>
        <w:t xml:space="preserve"> (Cth) which was inserted by the </w:t>
      </w:r>
      <w:r w:rsidRPr="0058675C">
        <w:rPr>
          <w:rFonts w:ascii="Arial" w:hAnsi="Arial" w:cs="Arial"/>
          <w:i/>
          <w:sz w:val="20"/>
        </w:rPr>
        <w:t>Family Law Amendment (Shared Parental Responsibility) Act 2006</w:t>
      </w:r>
      <w:r>
        <w:rPr>
          <w:rFonts w:ascii="Arial" w:hAnsi="Arial" w:cs="Arial"/>
          <w:iCs/>
          <w:sz w:val="20"/>
        </w:rPr>
        <w:t xml:space="preserve"> (Cth).</w:t>
      </w:r>
    </w:p>
    <w:p w14:paraId="2046637B" w14:textId="77777777" w:rsidR="000232AB" w:rsidRDefault="000232AB" w:rsidP="000232AB">
      <w:pPr>
        <w:spacing w:before="60"/>
        <w:ind w:left="454" w:right="454"/>
        <w:jc w:val="both"/>
        <w:rPr>
          <w:rFonts w:ascii="Arial" w:hAnsi="Arial" w:cs="Arial"/>
          <w:iCs/>
          <w:sz w:val="20"/>
        </w:rPr>
      </w:pPr>
      <w:r>
        <w:rPr>
          <w:rFonts w:ascii="Arial" w:hAnsi="Arial" w:cs="Arial"/>
          <w:iCs/>
          <w:sz w:val="20"/>
        </w:rPr>
        <w:t xml:space="preserve">In children’s cases, Division 12A swept away restrictive rules of evidence and the control of proceedings was placed in the hands of the judge, rather than the parties or their legal representatives.  The focus is a future looking one, geared to the needs of the child.  As a consequence of the new procedures, parties are no longer free to conduct litigation as a forensic war between each other at the expense of the interests of the child.  At the same time the best features of the Court’s highly developed system for medication and resolution of disputes has not only been preserved but also enhanced, and the role of what is now called the family consultant [initially called ‘counsellor’ and then ‘mediator’] has become even more significant.  The unique approach retains and relies on the special assistance provided by family consultants, whilst providing a clear child focus underpinned by active judicial leadership and direction…The [LAT] became mandatory for parents filing a child-related application after </w:t>
      </w:r>
      <w:smartTag w:uri="urn:schemas-microsoft-com:office:smarttags" w:element="date">
        <w:smartTagPr>
          <w:attr w:name="Year" w:val="2006"/>
          <w:attr w:name="Day" w:val="1"/>
          <w:attr w:name="Month" w:val="7"/>
        </w:smartTagPr>
        <w:r>
          <w:rPr>
            <w:rFonts w:ascii="Arial" w:hAnsi="Arial" w:cs="Arial"/>
            <w:iCs/>
            <w:sz w:val="20"/>
          </w:rPr>
          <w:t>01/07/2006</w:t>
        </w:r>
      </w:smartTag>
      <w:r>
        <w:rPr>
          <w:rFonts w:ascii="Arial" w:hAnsi="Arial" w:cs="Arial"/>
          <w:iCs/>
          <w:sz w:val="20"/>
        </w:rPr>
        <w:t>.”</w:t>
      </w:r>
    </w:p>
    <w:p w14:paraId="476330FD" w14:textId="77777777" w:rsidR="000232AB" w:rsidRDefault="000232AB" w:rsidP="000232AB">
      <w:pPr>
        <w:jc w:val="both"/>
        <w:rPr>
          <w:rFonts w:ascii="Arial" w:hAnsi="Arial" w:cs="Arial"/>
          <w:sz w:val="20"/>
        </w:rPr>
      </w:pPr>
    </w:p>
    <w:p w14:paraId="435B2271" w14:textId="77777777" w:rsidR="000232AB" w:rsidRDefault="000232AB" w:rsidP="000232AB">
      <w:pPr>
        <w:jc w:val="both"/>
        <w:rPr>
          <w:rFonts w:ascii="Arial" w:hAnsi="Arial" w:cs="Arial"/>
          <w:sz w:val="20"/>
        </w:rPr>
      </w:pPr>
      <w:r>
        <w:rPr>
          <w:rFonts w:ascii="Arial" w:hAnsi="Arial" w:cs="Arial"/>
          <w:sz w:val="20"/>
        </w:rPr>
        <w:t>However, as Margaret Harrison noted in “</w:t>
      </w:r>
      <w:smartTag w:uri="urn:schemas-microsoft-com:office:smarttags" w:element="Street">
        <w:smartTag w:uri="urn:schemas-microsoft-com:office:smarttags" w:element="address">
          <w:r>
            <w:rPr>
              <w:rFonts w:ascii="Arial" w:hAnsi="Arial" w:cs="Arial"/>
              <w:sz w:val="20"/>
            </w:rPr>
            <w:t>Finding A Better Way</w:t>
          </w:r>
        </w:smartTag>
      </w:smartTag>
      <w:r>
        <w:rPr>
          <w:rFonts w:ascii="Arial" w:hAnsi="Arial" w:cs="Arial"/>
          <w:sz w:val="20"/>
        </w:rPr>
        <w:t>” at p.14:</w:t>
      </w:r>
    </w:p>
    <w:p w14:paraId="1A451C4C" w14:textId="77777777" w:rsidR="000232AB" w:rsidRDefault="000232AB" w:rsidP="000232AB">
      <w:pPr>
        <w:spacing w:before="60"/>
        <w:ind w:left="454" w:right="454"/>
        <w:jc w:val="both"/>
        <w:rPr>
          <w:rFonts w:ascii="Arial" w:hAnsi="Arial" w:cs="Arial"/>
          <w:iCs/>
          <w:sz w:val="20"/>
        </w:rPr>
      </w:pPr>
      <w:r>
        <w:rPr>
          <w:rFonts w:ascii="Arial" w:hAnsi="Arial" w:cs="Arial"/>
          <w:iCs/>
          <w:sz w:val="20"/>
        </w:rPr>
        <w:t xml:space="preserve">“[T]here was never any suggestion that a complete departure from the traditional adversarial processes in children’s cases would be supported.  The issue was always seen as one of balancing procedural fairness with a recognition of the special nature of children’s matters.  In </w:t>
      </w:r>
      <w:r w:rsidRPr="009E3793">
        <w:rPr>
          <w:rFonts w:ascii="Arial" w:hAnsi="Arial" w:cs="Arial"/>
          <w:i/>
          <w:iCs/>
          <w:sz w:val="20"/>
        </w:rPr>
        <w:t>Northern Territory of Australia v GPAO</w:t>
      </w:r>
      <w:r>
        <w:rPr>
          <w:rFonts w:ascii="Arial" w:hAnsi="Arial" w:cs="Arial"/>
          <w:iCs/>
          <w:sz w:val="20"/>
        </w:rPr>
        <w:t xml:space="preserve"> (1999) 196 CLR 553, the High Court made it clear that there were limits to the way in which the paramountcy principle of the welfare of the child enabled the Court to depart from ordinary rules of procedure and evidence…In </w:t>
      </w:r>
      <w:r w:rsidRPr="009E3793">
        <w:rPr>
          <w:rFonts w:ascii="Arial" w:hAnsi="Arial" w:cs="Arial"/>
          <w:i/>
          <w:iCs/>
          <w:sz w:val="20"/>
        </w:rPr>
        <w:t>T and S</w:t>
      </w:r>
      <w:r>
        <w:rPr>
          <w:rFonts w:ascii="Arial" w:hAnsi="Arial" w:cs="Arial"/>
          <w:iCs/>
          <w:sz w:val="20"/>
        </w:rPr>
        <w:t xml:space="preserve"> </w:t>
      </w:r>
      <w:r>
        <w:rPr>
          <w:rFonts w:ascii="Arial" w:hAnsi="Arial" w:cs="Arial"/>
          <w:sz w:val="20"/>
        </w:rPr>
        <w:t>(2001) FLC 93-086 at 88,522…Nicholson CJ, Ellis &amp; Mullane JJ commented that, although proceedings involving the welfare of children are not strictly adversarial in the usual sense, they should not be equated with inquisitorial proceedings, and noted that ‘the Court and its procedures are simply not equipped to conduct inquisitorial proceedings’.”</w:t>
      </w:r>
    </w:p>
    <w:p w14:paraId="7E0F7CEF" w14:textId="77777777" w:rsidR="000232AB" w:rsidRDefault="000232AB" w:rsidP="00B45F89">
      <w:pPr>
        <w:jc w:val="both"/>
        <w:rPr>
          <w:rFonts w:ascii="Arial" w:hAnsi="Arial" w:cs="Arial"/>
          <w:sz w:val="20"/>
        </w:rPr>
      </w:pPr>
    </w:p>
    <w:p w14:paraId="5EFB1052" w14:textId="77777777" w:rsidR="00FD5828" w:rsidRPr="009F25D4" w:rsidRDefault="00B45F89" w:rsidP="00FD5828">
      <w:pPr>
        <w:pStyle w:val="Heading3"/>
        <w:keepNext/>
        <w:spacing w:line="240" w:lineRule="auto"/>
        <w:rPr>
          <w:rFonts w:ascii="Arial" w:hAnsi="Arial" w:cs="Arial"/>
          <w:b/>
          <w:bCs/>
          <w:color w:val="000000"/>
          <w:sz w:val="20"/>
        </w:rPr>
      </w:pPr>
      <w:bookmarkStart w:id="794" w:name="_3.5.6.4_Obligation_to"/>
      <w:bookmarkStart w:id="795" w:name="B3564"/>
      <w:bookmarkEnd w:id="794"/>
      <w:bookmarkEnd w:id="795"/>
      <w:r w:rsidRPr="00520380">
        <w:rPr>
          <w:rFonts w:ascii="Arial" w:hAnsi="Arial" w:cs="Arial"/>
          <w:b/>
          <w:sz w:val="20"/>
        </w:rPr>
        <w:t>3.5.</w:t>
      </w:r>
      <w:r>
        <w:rPr>
          <w:rFonts w:ascii="Arial" w:hAnsi="Arial" w:cs="Arial"/>
          <w:b/>
          <w:sz w:val="20"/>
        </w:rPr>
        <w:t>6</w:t>
      </w:r>
      <w:r w:rsidRPr="00520380">
        <w:rPr>
          <w:rFonts w:ascii="Arial" w:hAnsi="Arial" w:cs="Arial"/>
          <w:b/>
          <w:sz w:val="20"/>
        </w:rPr>
        <w:t>.</w:t>
      </w:r>
      <w:r w:rsidR="00715AEF">
        <w:rPr>
          <w:rFonts w:ascii="Arial" w:hAnsi="Arial" w:cs="Arial"/>
          <w:b/>
          <w:sz w:val="20"/>
        </w:rPr>
        <w:t>4</w:t>
      </w:r>
      <w:r w:rsidRPr="00520380">
        <w:rPr>
          <w:rFonts w:ascii="Arial" w:hAnsi="Arial" w:cs="Arial"/>
          <w:b/>
          <w:sz w:val="20"/>
        </w:rPr>
        <w:tab/>
      </w:r>
      <w:r>
        <w:rPr>
          <w:rFonts w:ascii="Arial" w:hAnsi="Arial" w:cs="Arial"/>
          <w:b/>
          <w:sz w:val="20"/>
        </w:rPr>
        <w:t>Obligation to a</w:t>
      </w:r>
      <w:r w:rsidR="00B811FD">
        <w:rPr>
          <w:rFonts w:ascii="Arial" w:hAnsi="Arial" w:cs="Arial"/>
          <w:b/>
          <w:sz w:val="20"/>
        </w:rPr>
        <w:t>cc</w:t>
      </w:r>
      <w:r>
        <w:rPr>
          <w:rFonts w:ascii="Arial" w:hAnsi="Arial" w:cs="Arial"/>
          <w:b/>
          <w:sz w:val="20"/>
        </w:rPr>
        <w:t>ord procedural fairness</w:t>
      </w:r>
      <w:r w:rsidR="00F624FF">
        <w:rPr>
          <w:rFonts w:ascii="Arial" w:hAnsi="Arial" w:cs="Arial"/>
          <w:b/>
          <w:sz w:val="20"/>
        </w:rPr>
        <w:t xml:space="preserve"> </w:t>
      </w:r>
      <w:r w:rsidR="00F624FF">
        <w:rPr>
          <w:rFonts w:ascii="Arial" w:hAnsi="Arial" w:cs="Arial"/>
          <w:b/>
          <w:bCs/>
          <w:sz w:val="20"/>
        </w:rPr>
        <w:t>in ‘best interests’ context</w:t>
      </w:r>
    </w:p>
    <w:p w14:paraId="60ADF56D" w14:textId="2811765C" w:rsidR="00502675" w:rsidRDefault="00F624FF" w:rsidP="00F624FF">
      <w:pPr>
        <w:tabs>
          <w:tab w:val="left" w:pos="363"/>
        </w:tabs>
        <w:spacing w:before="120" w:line="240" w:lineRule="exact"/>
        <w:jc w:val="both"/>
        <w:rPr>
          <w:rFonts w:ascii="Arial" w:hAnsi="Arial" w:cs="Arial"/>
          <w:color w:val="000000"/>
          <w:sz w:val="20"/>
          <w:lang w:val="en-US"/>
        </w:rPr>
      </w:pPr>
      <w:r>
        <w:rPr>
          <w:rFonts w:ascii="Arial" w:hAnsi="Arial" w:cs="Arial"/>
          <w:color w:val="000000"/>
          <w:sz w:val="20"/>
          <w:lang w:val="en-US"/>
        </w:rPr>
        <w:t xml:space="preserve">How are the very broad procedural powers provided to the Children’s Court by ss.215(1) &amp; 215B </w:t>
      </w:r>
      <w:r w:rsidR="00671EF0">
        <w:rPr>
          <w:rFonts w:ascii="Arial" w:hAnsi="Arial" w:cs="Arial"/>
          <w:color w:val="000000"/>
          <w:sz w:val="20"/>
          <w:lang w:val="en-US"/>
        </w:rPr>
        <w:t xml:space="preserve">of the CYFA </w:t>
      </w:r>
      <w:r>
        <w:rPr>
          <w:rFonts w:ascii="Arial" w:hAnsi="Arial" w:cs="Arial"/>
          <w:color w:val="000000"/>
          <w:sz w:val="20"/>
          <w:lang w:val="en-US"/>
        </w:rPr>
        <w:t>to be read in the context of</w:t>
      </w:r>
      <w:r w:rsidR="00FD5F44" w:rsidRPr="00A31FFA">
        <w:rPr>
          <w:rFonts w:ascii="Arial" w:hAnsi="Arial" w:cs="Arial"/>
          <w:sz w:val="20"/>
        </w:rPr>
        <w:t>–</w:t>
      </w:r>
    </w:p>
    <w:p w14:paraId="0CAD360F" w14:textId="77777777" w:rsidR="00502675" w:rsidRDefault="00F624FF">
      <w:pPr>
        <w:numPr>
          <w:ilvl w:val="0"/>
          <w:numId w:val="54"/>
        </w:numPr>
        <w:tabs>
          <w:tab w:val="left" w:pos="363"/>
        </w:tabs>
        <w:spacing w:line="240" w:lineRule="exact"/>
        <w:ind w:left="357" w:hanging="357"/>
        <w:jc w:val="both"/>
        <w:rPr>
          <w:rFonts w:ascii="Arial" w:hAnsi="Arial" w:cs="Arial"/>
          <w:color w:val="000000"/>
          <w:sz w:val="20"/>
          <w:lang w:val="en-US"/>
        </w:rPr>
      </w:pPr>
      <w:r>
        <w:rPr>
          <w:rFonts w:ascii="Arial" w:hAnsi="Arial" w:cs="Arial"/>
          <w:color w:val="000000"/>
          <w:sz w:val="20"/>
          <w:lang w:val="en-US"/>
        </w:rPr>
        <w:t xml:space="preserve">the Court’s obligation to accord procedural fairness </w:t>
      </w:r>
      <w:r w:rsidR="008C5578">
        <w:rPr>
          <w:rFonts w:ascii="Arial" w:hAnsi="Arial" w:cs="Arial"/>
          <w:color w:val="000000"/>
          <w:sz w:val="20"/>
          <w:lang w:val="en-US"/>
        </w:rPr>
        <w:t xml:space="preserve">– sometimes termed </w:t>
      </w:r>
      <w:r w:rsidR="004C360E">
        <w:rPr>
          <w:rFonts w:ascii="Arial" w:hAnsi="Arial" w:cs="Arial"/>
          <w:color w:val="000000"/>
          <w:sz w:val="20"/>
          <w:lang w:val="en-US"/>
        </w:rPr>
        <w:t>‘</w:t>
      </w:r>
      <w:r w:rsidR="008C5578">
        <w:rPr>
          <w:rFonts w:ascii="Arial" w:hAnsi="Arial" w:cs="Arial"/>
          <w:color w:val="000000"/>
          <w:sz w:val="20"/>
          <w:lang w:val="en-US"/>
        </w:rPr>
        <w:t>natural justice</w:t>
      </w:r>
      <w:r w:rsidR="004C360E">
        <w:rPr>
          <w:rFonts w:ascii="Arial" w:hAnsi="Arial" w:cs="Arial"/>
          <w:color w:val="000000"/>
          <w:sz w:val="20"/>
          <w:lang w:val="en-US"/>
        </w:rPr>
        <w:t>’</w:t>
      </w:r>
      <w:r w:rsidR="008C5578">
        <w:rPr>
          <w:rFonts w:ascii="Arial" w:hAnsi="Arial" w:cs="Arial"/>
          <w:color w:val="000000"/>
          <w:sz w:val="20"/>
          <w:lang w:val="en-US"/>
        </w:rPr>
        <w:t xml:space="preserve"> – </w:t>
      </w:r>
      <w:r>
        <w:rPr>
          <w:rFonts w:ascii="Arial" w:hAnsi="Arial" w:cs="Arial"/>
          <w:color w:val="000000"/>
          <w:sz w:val="20"/>
          <w:lang w:val="en-US"/>
        </w:rPr>
        <w:t>to</w:t>
      </w:r>
      <w:r w:rsidR="008C5578">
        <w:rPr>
          <w:rFonts w:ascii="Arial" w:hAnsi="Arial" w:cs="Arial"/>
          <w:color w:val="000000"/>
          <w:sz w:val="20"/>
          <w:lang w:val="en-US"/>
        </w:rPr>
        <w:t xml:space="preserve"> </w:t>
      </w:r>
      <w:r w:rsidR="004C360E">
        <w:rPr>
          <w:rFonts w:ascii="Arial" w:hAnsi="Arial" w:cs="Arial"/>
          <w:color w:val="000000"/>
          <w:sz w:val="20"/>
          <w:lang w:val="en-US"/>
        </w:rPr>
        <w:t xml:space="preserve">all of </w:t>
      </w:r>
      <w:r>
        <w:rPr>
          <w:rFonts w:ascii="Arial" w:hAnsi="Arial" w:cs="Arial"/>
          <w:color w:val="000000"/>
          <w:sz w:val="20"/>
          <w:lang w:val="en-US"/>
        </w:rPr>
        <w:t>the parties</w:t>
      </w:r>
      <w:r w:rsidR="00502675">
        <w:rPr>
          <w:rFonts w:ascii="Arial" w:hAnsi="Arial" w:cs="Arial"/>
          <w:color w:val="000000"/>
          <w:sz w:val="20"/>
          <w:lang w:val="en-US"/>
        </w:rPr>
        <w:t>; and</w:t>
      </w:r>
    </w:p>
    <w:p w14:paraId="6BFFA0A8" w14:textId="77777777" w:rsidR="007B2122" w:rsidRDefault="00F624FF">
      <w:pPr>
        <w:numPr>
          <w:ilvl w:val="0"/>
          <w:numId w:val="54"/>
        </w:numPr>
        <w:tabs>
          <w:tab w:val="left" w:pos="363"/>
        </w:tabs>
        <w:spacing w:line="240" w:lineRule="exact"/>
        <w:ind w:left="357" w:hanging="357"/>
        <w:jc w:val="both"/>
        <w:rPr>
          <w:rFonts w:ascii="Arial" w:hAnsi="Arial" w:cs="Arial"/>
          <w:color w:val="000000"/>
          <w:sz w:val="20"/>
          <w:lang w:val="en-US"/>
        </w:rPr>
      </w:pPr>
      <w:r>
        <w:rPr>
          <w:rFonts w:ascii="Arial" w:hAnsi="Arial" w:cs="Arial"/>
          <w:color w:val="000000"/>
          <w:sz w:val="20"/>
          <w:lang w:val="en-US"/>
        </w:rPr>
        <w:t>the requirement</w:t>
      </w:r>
      <w:r w:rsidR="004C360E">
        <w:rPr>
          <w:rFonts w:ascii="Arial" w:hAnsi="Arial" w:cs="Arial"/>
          <w:color w:val="000000"/>
          <w:sz w:val="20"/>
          <w:lang w:val="en-US"/>
        </w:rPr>
        <w:t>s</w:t>
      </w:r>
      <w:r>
        <w:rPr>
          <w:rFonts w:ascii="Arial" w:hAnsi="Arial" w:cs="Arial"/>
          <w:color w:val="000000"/>
          <w:sz w:val="20"/>
          <w:lang w:val="en-US"/>
        </w:rPr>
        <w:t xml:space="preserve"> in s</w:t>
      </w:r>
      <w:r w:rsidR="00671EF0">
        <w:rPr>
          <w:rFonts w:ascii="Arial" w:hAnsi="Arial" w:cs="Arial"/>
          <w:color w:val="000000"/>
          <w:sz w:val="20"/>
          <w:lang w:val="en-US"/>
        </w:rPr>
        <w:t>s</w:t>
      </w:r>
      <w:r>
        <w:rPr>
          <w:rFonts w:ascii="Arial" w:hAnsi="Arial" w:cs="Arial"/>
          <w:color w:val="000000"/>
          <w:sz w:val="20"/>
          <w:lang w:val="en-US"/>
        </w:rPr>
        <w:t>.8(1)</w:t>
      </w:r>
      <w:r w:rsidR="00671EF0">
        <w:rPr>
          <w:rFonts w:ascii="Arial" w:hAnsi="Arial" w:cs="Arial"/>
          <w:color w:val="000000"/>
          <w:sz w:val="20"/>
          <w:lang w:val="en-US"/>
        </w:rPr>
        <w:t xml:space="preserve"> &amp; 10(1)</w:t>
      </w:r>
      <w:r w:rsidR="007B2122">
        <w:rPr>
          <w:rFonts w:ascii="Arial" w:hAnsi="Arial" w:cs="Arial"/>
          <w:color w:val="000000"/>
          <w:sz w:val="20"/>
          <w:lang w:val="en-US"/>
        </w:rPr>
        <w:t>, the latter of which provides: “For the purposes of this Act the best interests of the child must always be paramount.”?</w:t>
      </w:r>
    </w:p>
    <w:p w14:paraId="48C34A9C" w14:textId="77777777" w:rsidR="007B2122" w:rsidRDefault="007B2122" w:rsidP="007B2122">
      <w:pPr>
        <w:tabs>
          <w:tab w:val="left" w:pos="363"/>
        </w:tabs>
        <w:spacing w:line="240" w:lineRule="exact"/>
        <w:jc w:val="both"/>
        <w:rPr>
          <w:rFonts w:ascii="Arial" w:hAnsi="Arial" w:cs="Arial"/>
          <w:color w:val="000000"/>
          <w:sz w:val="20"/>
          <w:lang w:val="en-US"/>
        </w:rPr>
      </w:pPr>
    </w:p>
    <w:p w14:paraId="07122D00" w14:textId="6E5A26B6" w:rsidR="008C5578" w:rsidRDefault="00F624FF" w:rsidP="007B2122">
      <w:pPr>
        <w:tabs>
          <w:tab w:val="left" w:pos="363"/>
        </w:tabs>
        <w:spacing w:line="240" w:lineRule="exact"/>
        <w:jc w:val="both"/>
        <w:rPr>
          <w:rFonts w:ascii="Arial" w:hAnsi="Arial" w:cs="Arial"/>
          <w:sz w:val="20"/>
        </w:rPr>
      </w:pPr>
      <w:r>
        <w:rPr>
          <w:rFonts w:ascii="Arial" w:hAnsi="Arial" w:cs="Arial"/>
          <w:color w:val="000000"/>
          <w:sz w:val="20"/>
          <w:lang w:val="en-US"/>
        </w:rPr>
        <w:t>The</w:t>
      </w:r>
      <w:r w:rsidR="007B2122">
        <w:rPr>
          <w:rFonts w:ascii="Arial" w:hAnsi="Arial" w:cs="Arial"/>
          <w:color w:val="000000"/>
          <w:sz w:val="20"/>
          <w:lang w:val="en-US"/>
        </w:rPr>
        <w:t>se</w:t>
      </w:r>
      <w:r>
        <w:rPr>
          <w:rFonts w:ascii="Arial" w:hAnsi="Arial" w:cs="Arial"/>
          <w:color w:val="000000"/>
          <w:sz w:val="20"/>
          <w:lang w:val="en-US"/>
        </w:rPr>
        <w:t xml:space="preserve"> three </w:t>
      </w:r>
      <w:r w:rsidR="00502675">
        <w:rPr>
          <w:rFonts w:ascii="Arial" w:hAnsi="Arial" w:cs="Arial"/>
          <w:color w:val="000000"/>
          <w:sz w:val="20"/>
          <w:lang w:val="en-US"/>
        </w:rPr>
        <w:t>factors</w:t>
      </w:r>
      <w:r>
        <w:rPr>
          <w:rFonts w:ascii="Arial" w:hAnsi="Arial" w:cs="Arial"/>
          <w:color w:val="000000"/>
          <w:sz w:val="20"/>
          <w:lang w:val="en-US"/>
        </w:rPr>
        <w:t xml:space="preserve"> are not always easy to reconcile given that </w:t>
      </w:r>
      <w:r w:rsidR="0028493B">
        <w:rPr>
          <w:rFonts w:ascii="Arial" w:hAnsi="Arial" w:cs="Arial"/>
          <w:sz w:val="20"/>
        </w:rPr>
        <w:t>one of the foundations of the adversarial system is the doctrine of procedural fairness</w:t>
      </w:r>
      <w:r>
        <w:rPr>
          <w:rFonts w:ascii="Arial" w:hAnsi="Arial" w:cs="Arial"/>
          <w:sz w:val="20"/>
        </w:rPr>
        <w:t xml:space="preserve"> whereas t</w:t>
      </w:r>
      <w:r w:rsidR="007A49E9">
        <w:rPr>
          <w:rFonts w:ascii="Arial" w:hAnsi="Arial" w:cs="Arial"/>
          <w:sz w:val="20"/>
        </w:rPr>
        <w:t>he genesis of s.215B is the Less Adversarial Trial [</w:t>
      </w:r>
      <w:r w:rsidR="00D57939">
        <w:rPr>
          <w:rFonts w:ascii="Arial" w:hAnsi="Arial" w:cs="Arial"/>
          <w:sz w:val="20"/>
        </w:rPr>
        <w:t>‘</w:t>
      </w:r>
      <w:r w:rsidR="007A49E9">
        <w:rPr>
          <w:rFonts w:ascii="Arial" w:hAnsi="Arial" w:cs="Arial"/>
          <w:sz w:val="20"/>
        </w:rPr>
        <w:t>LAT</w:t>
      </w:r>
      <w:r w:rsidR="00D57939">
        <w:rPr>
          <w:rFonts w:ascii="Arial" w:hAnsi="Arial" w:cs="Arial"/>
          <w:sz w:val="20"/>
        </w:rPr>
        <w:t>’</w:t>
      </w:r>
      <w:r w:rsidR="007A49E9">
        <w:rPr>
          <w:rFonts w:ascii="Arial" w:hAnsi="Arial" w:cs="Arial"/>
          <w:sz w:val="20"/>
        </w:rPr>
        <w:t>] approach in operation in the Family Court of Australia</w:t>
      </w:r>
      <w:r w:rsidR="007B2122">
        <w:rPr>
          <w:rFonts w:ascii="Arial" w:hAnsi="Arial" w:cs="Arial"/>
          <w:sz w:val="20"/>
        </w:rPr>
        <w:t xml:space="preserve"> (</w:t>
      </w:r>
      <w:r w:rsidR="007A49E9">
        <w:rPr>
          <w:rFonts w:ascii="Arial" w:hAnsi="Arial" w:cs="Arial"/>
          <w:sz w:val="20"/>
        </w:rPr>
        <w:t>for</w:t>
      </w:r>
      <w:r w:rsidR="004009AB">
        <w:rPr>
          <w:rFonts w:ascii="Arial" w:hAnsi="Arial" w:cs="Arial"/>
          <w:sz w:val="20"/>
        </w:rPr>
        <w:t xml:space="preserve"> </w:t>
      </w:r>
      <w:r w:rsidR="007A49E9">
        <w:rPr>
          <w:rFonts w:ascii="Arial" w:hAnsi="Arial" w:cs="Arial"/>
          <w:sz w:val="20"/>
        </w:rPr>
        <w:t>a discussion o</w:t>
      </w:r>
      <w:r w:rsidR="00E429DC">
        <w:rPr>
          <w:rFonts w:ascii="Arial" w:hAnsi="Arial" w:cs="Arial"/>
          <w:sz w:val="20"/>
        </w:rPr>
        <w:t>f</w:t>
      </w:r>
      <w:r w:rsidR="007A49E9">
        <w:rPr>
          <w:rFonts w:ascii="Arial" w:hAnsi="Arial" w:cs="Arial"/>
          <w:sz w:val="20"/>
        </w:rPr>
        <w:t xml:space="preserve"> which see </w:t>
      </w:r>
      <w:r w:rsidR="007A49E9" w:rsidRPr="00A975E6">
        <w:rPr>
          <w:rFonts w:ascii="Arial" w:hAnsi="Arial" w:cs="Arial"/>
          <w:b/>
          <w:bCs/>
          <w:sz w:val="20"/>
          <w:shd w:val="clear" w:color="auto" w:fill="C5E0B3" w:themeFill="accent6" w:themeFillTint="66"/>
        </w:rPr>
        <w:t>section 3.5.</w:t>
      </w:r>
      <w:r w:rsidR="004009AB">
        <w:rPr>
          <w:rFonts w:ascii="Arial" w:hAnsi="Arial" w:cs="Arial"/>
          <w:b/>
          <w:bCs/>
          <w:sz w:val="20"/>
          <w:shd w:val="clear" w:color="auto" w:fill="C5E0B3" w:themeFill="accent6" w:themeFillTint="66"/>
        </w:rPr>
        <w:t>6.3</w:t>
      </w:r>
      <w:r w:rsidR="007B2122">
        <w:rPr>
          <w:rFonts w:ascii="Arial" w:hAnsi="Arial" w:cs="Arial"/>
          <w:sz w:val="20"/>
        </w:rPr>
        <w:t>)</w:t>
      </w:r>
      <w:r w:rsidR="007A49E9">
        <w:rPr>
          <w:rFonts w:ascii="Arial" w:hAnsi="Arial" w:cs="Arial"/>
          <w:sz w:val="20"/>
        </w:rPr>
        <w:t>.</w:t>
      </w:r>
    </w:p>
    <w:p w14:paraId="5F5502CF" w14:textId="77777777" w:rsidR="008C5578" w:rsidRDefault="008C5578" w:rsidP="008C5578">
      <w:pPr>
        <w:tabs>
          <w:tab w:val="left" w:pos="363"/>
        </w:tabs>
        <w:spacing w:line="240" w:lineRule="exact"/>
        <w:jc w:val="both"/>
        <w:rPr>
          <w:rFonts w:ascii="Arial" w:hAnsi="Arial" w:cs="Arial"/>
          <w:sz w:val="20"/>
        </w:rPr>
      </w:pPr>
    </w:p>
    <w:p w14:paraId="5B59A6AD" w14:textId="77777777" w:rsidR="008C5578" w:rsidRDefault="008C5578" w:rsidP="008C5578">
      <w:pPr>
        <w:tabs>
          <w:tab w:val="left" w:pos="363"/>
        </w:tabs>
        <w:spacing w:line="240" w:lineRule="exact"/>
        <w:jc w:val="both"/>
        <w:rPr>
          <w:rFonts w:ascii="Arial" w:hAnsi="Arial" w:cs="Arial"/>
          <w:bCs/>
          <w:sz w:val="20"/>
        </w:rPr>
      </w:pPr>
      <w:r>
        <w:rPr>
          <w:rFonts w:ascii="Arial" w:hAnsi="Arial" w:cs="Arial"/>
          <w:color w:val="000000"/>
          <w:sz w:val="20"/>
          <w:lang w:val="en-US"/>
        </w:rPr>
        <w:t xml:space="preserve">Broad as ss.215(1) &amp; 215B are, the writer considers that the following cases make it tolerably clear that </w:t>
      </w:r>
      <w:r w:rsidR="00AF6D28">
        <w:rPr>
          <w:rFonts w:ascii="Arial" w:hAnsi="Arial" w:cs="Arial"/>
          <w:color w:val="000000"/>
          <w:sz w:val="20"/>
          <w:lang w:val="en-US"/>
        </w:rPr>
        <w:t>these statutory provisions</w:t>
      </w:r>
      <w:r>
        <w:rPr>
          <w:rFonts w:ascii="Arial" w:hAnsi="Arial" w:cs="Arial"/>
          <w:color w:val="000000"/>
          <w:sz w:val="20"/>
          <w:lang w:val="en-US"/>
        </w:rPr>
        <w:t xml:space="preserve"> do not allow the Children’s Court to dispense </w:t>
      </w:r>
      <w:r w:rsidRPr="000518D0">
        <w:rPr>
          <w:rFonts w:ascii="Arial" w:hAnsi="Arial" w:cs="Arial"/>
          <w:b/>
          <w:bCs/>
          <w:color w:val="000000"/>
          <w:sz w:val="20"/>
          <w:lang w:val="en-US"/>
        </w:rPr>
        <w:t>entirely</w:t>
      </w:r>
      <w:r>
        <w:rPr>
          <w:rFonts w:ascii="Arial" w:hAnsi="Arial" w:cs="Arial"/>
          <w:color w:val="000000"/>
          <w:sz w:val="20"/>
          <w:lang w:val="en-US"/>
        </w:rPr>
        <w:t xml:space="preserve"> with the rules of procedural fairness.</w:t>
      </w:r>
    </w:p>
    <w:p w14:paraId="195C0EC5" w14:textId="77777777" w:rsidR="008C5578" w:rsidRDefault="008C5578" w:rsidP="008C5578">
      <w:pPr>
        <w:jc w:val="both"/>
        <w:rPr>
          <w:rFonts w:ascii="Arial" w:hAnsi="Arial" w:cs="Arial"/>
          <w:sz w:val="20"/>
        </w:rPr>
      </w:pPr>
    </w:p>
    <w:p w14:paraId="7BAF5FD3" w14:textId="138C03B0" w:rsidR="008C5578" w:rsidRDefault="008C5578" w:rsidP="008C5578">
      <w:pPr>
        <w:jc w:val="both"/>
        <w:rPr>
          <w:rFonts w:ascii="Arial" w:hAnsi="Arial" w:cs="Arial"/>
          <w:sz w:val="20"/>
        </w:rPr>
      </w:pPr>
      <w:r>
        <w:rPr>
          <w:rFonts w:ascii="Arial" w:hAnsi="Arial" w:cs="Arial"/>
          <w:sz w:val="20"/>
        </w:rPr>
        <w:t xml:space="preserve">Section 215(1)(d) of the CYFA </w:t>
      </w:r>
      <w:r w:rsidR="004C360E">
        <w:rPr>
          <w:rFonts w:ascii="Arial" w:hAnsi="Arial" w:cs="Arial"/>
          <w:sz w:val="20"/>
        </w:rPr>
        <w:t>empowers</w:t>
      </w:r>
      <w:r>
        <w:rPr>
          <w:rFonts w:ascii="Arial" w:hAnsi="Arial" w:cs="Arial"/>
          <w:sz w:val="20"/>
        </w:rPr>
        <w:t xml:space="preserve"> the Family Division of the Children’s Court to “inform itself on a matter in such manner as it thinks fit, despite any rules of evidence to the contrary”.  However, despite </w:t>
      </w:r>
      <w:r w:rsidR="004C360E">
        <w:rPr>
          <w:rFonts w:ascii="Arial" w:hAnsi="Arial" w:cs="Arial"/>
          <w:sz w:val="20"/>
        </w:rPr>
        <w:t>its</w:t>
      </w:r>
      <w:r>
        <w:rPr>
          <w:rFonts w:ascii="Arial" w:hAnsi="Arial" w:cs="Arial"/>
          <w:sz w:val="20"/>
        </w:rPr>
        <w:t xml:space="preserve"> broad language, the Court of Appeal, by way of </w:t>
      </w:r>
      <w:r w:rsidRPr="00E429DC">
        <w:rPr>
          <w:rFonts w:ascii="Arial" w:hAnsi="Arial" w:cs="Arial"/>
          <w:i/>
          <w:sz w:val="20"/>
        </w:rPr>
        <w:t>obiter</w:t>
      </w:r>
      <w:r w:rsidRPr="006F327E">
        <w:rPr>
          <w:rFonts w:ascii="Arial" w:hAnsi="Arial" w:cs="Arial"/>
          <w:sz w:val="20"/>
        </w:rPr>
        <w:t>,</w:t>
      </w:r>
      <w:r>
        <w:rPr>
          <w:rFonts w:ascii="Arial" w:hAnsi="Arial" w:cs="Arial"/>
          <w:sz w:val="20"/>
        </w:rPr>
        <w:t xml:space="preserve"> stated in </w:t>
      </w:r>
      <w:r w:rsidRPr="00E429DC">
        <w:rPr>
          <w:rFonts w:ascii="Arial" w:hAnsi="Arial" w:cs="Arial"/>
          <w:i/>
          <w:sz w:val="20"/>
          <w:szCs w:val="20"/>
        </w:rPr>
        <w:t xml:space="preserve">Weinstein v Medical Practitioners Board of Victoria </w:t>
      </w:r>
      <w:r w:rsidRPr="00E429DC">
        <w:rPr>
          <w:rFonts w:ascii="Arial" w:hAnsi="Arial" w:cs="Arial"/>
          <w:sz w:val="20"/>
          <w:szCs w:val="20"/>
        </w:rPr>
        <w:t xml:space="preserve">[2008] VSCA 193 at [28]-[29] that s.215(1)(d) of the </w:t>
      </w:r>
      <w:r w:rsidRPr="00E429DC">
        <w:rPr>
          <w:rFonts w:ascii="Arial" w:hAnsi="Arial" w:cs="Arial"/>
          <w:i/>
          <w:sz w:val="20"/>
          <w:szCs w:val="20"/>
        </w:rPr>
        <w:t>CYFA</w:t>
      </w:r>
      <w:r w:rsidRPr="00E429DC">
        <w:rPr>
          <w:rFonts w:ascii="Arial" w:hAnsi="Arial" w:cs="Arial"/>
          <w:sz w:val="20"/>
          <w:szCs w:val="20"/>
        </w:rPr>
        <w:t xml:space="preserve"> was subject to a requirement to afford procedural fairness to all parties.</w:t>
      </w:r>
      <w:r w:rsidR="004C360E">
        <w:rPr>
          <w:rFonts w:ascii="Arial" w:hAnsi="Arial" w:cs="Arial"/>
          <w:sz w:val="20"/>
          <w:szCs w:val="20"/>
        </w:rPr>
        <w:t xml:space="preserve"> </w:t>
      </w:r>
      <w:r>
        <w:rPr>
          <w:rFonts w:ascii="Arial" w:hAnsi="Arial" w:cs="Arial"/>
          <w:sz w:val="20"/>
          <w:szCs w:val="20"/>
        </w:rPr>
        <w:t>Similarly, i</w:t>
      </w:r>
      <w:r>
        <w:rPr>
          <w:rFonts w:ascii="Arial" w:hAnsi="Arial" w:cs="Arial"/>
          <w:sz w:val="20"/>
        </w:rPr>
        <w:t xml:space="preserve">n </w:t>
      </w:r>
      <w:r w:rsidRPr="00EE4465">
        <w:rPr>
          <w:rFonts w:ascii="Arial" w:hAnsi="Arial" w:cs="Arial"/>
          <w:i/>
          <w:sz w:val="20"/>
          <w:szCs w:val="20"/>
        </w:rPr>
        <w:t>Van</w:t>
      </w:r>
      <w:r>
        <w:rPr>
          <w:rFonts w:ascii="Arial" w:hAnsi="Arial" w:cs="Arial"/>
          <w:i/>
          <w:sz w:val="20"/>
          <w:szCs w:val="20"/>
        </w:rPr>
        <w:t> </w:t>
      </w:r>
      <w:r w:rsidRPr="00EE4465">
        <w:rPr>
          <w:rFonts w:ascii="Arial" w:hAnsi="Arial" w:cs="Arial"/>
          <w:i/>
          <w:sz w:val="20"/>
          <w:szCs w:val="20"/>
        </w:rPr>
        <w:t>Susteren v Packaje Pty Ltd</w:t>
      </w:r>
      <w:r w:rsidRPr="00EE4465">
        <w:rPr>
          <w:rFonts w:ascii="Arial" w:hAnsi="Arial" w:cs="Arial"/>
          <w:sz w:val="20"/>
          <w:szCs w:val="20"/>
        </w:rPr>
        <w:t xml:space="preserve"> [2008] VSC 586 at [5]-[6]</w:t>
      </w:r>
      <w:r>
        <w:rPr>
          <w:rFonts w:ascii="Arial" w:hAnsi="Arial" w:cs="Arial"/>
          <w:sz w:val="20"/>
          <w:szCs w:val="20"/>
        </w:rPr>
        <w:t xml:space="preserve"> Byrne J made it clear that similar provisions regulating the conduct of proceedings in the Small Claims Tribunal did not dispense with the rules of natural justice:</w:t>
      </w:r>
    </w:p>
    <w:p w14:paraId="11FC0DB4" w14:textId="77777777" w:rsidR="008C5578" w:rsidRDefault="008C5578" w:rsidP="00BD4176">
      <w:pPr>
        <w:spacing w:before="60"/>
        <w:ind w:left="567" w:right="567"/>
        <w:jc w:val="both"/>
        <w:rPr>
          <w:rFonts w:ascii="Arial" w:hAnsi="Arial" w:cs="Arial"/>
          <w:bCs/>
          <w:sz w:val="20"/>
        </w:rPr>
      </w:pPr>
      <w:r>
        <w:rPr>
          <w:rFonts w:ascii="Arial" w:hAnsi="Arial" w:cs="Arial"/>
          <w:bCs/>
          <w:sz w:val="20"/>
        </w:rPr>
        <w:t>“</w:t>
      </w:r>
      <w:r w:rsidRPr="000F6283">
        <w:rPr>
          <w:rFonts w:ascii="Arial" w:hAnsi="Arial" w:cs="Arial"/>
          <w:sz w:val="20"/>
        </w:rPr>
        <w:t>It is common ground that the Small Claims Tribunal has a considerable degree of latitude in the conduct of its proceedings.  It is required by section 98 of the VCAT Act to proceed with as little formality or technicality as is appropriate, and evidence of an informal nature may be received.  Section 102 also provides a broad discretion as to the way the tribunal should be conducted</w:t>
      </w:r>
      <w:r>
        <w:rPr>
          <w:rFonts w:ascii="Arial" w:hAnsi="Arial" w:cs="Arial"/>
          <w:sz w:val="20"/>
        </w:rPr>
        <w:t>…</w:t>
      </w:r>
      <w:r w:rsidRPr="000F6283">
        <w:rPr>
          <w:rFonts w:ascii="Arial" w:hAnsi="Arial" w:cs="Arial"/>
          <w:sz w:val="20"/>
          <w:szCs w:val="20"/>
        </w:rPr>
        <w:t xml:space="preserve"> There is of course an obligation on the Small Claims Tribunal, however informal its procedures may be, to respect the rules of natural justice.  Accepting </w:t>
      </w:r>
      <w:r w:rsidRPr="000F6283">
        <w:rPr>
          <w:rFonts w:ascii="Arial" w:hAnsi="Arial" w:cs="Arial"/>
          <w:sz w:val="20"/>
          <w:szCs w:val="20"/>
        </w:rPr>
        <w:lastRenderedPageBreak/>
        <w:t>that the rules of natural justice will vary depending upon the nature of the hearing, the fact remains that, if it concerns a crucial matter or a vital issue, then the party should be given the opportunity to know, to test and to challenge evidence which is put against that party.</w:t>
      </w:r>
      <w:r>
        <w:rPr>
          <w:rFonts w:ascii="Arial" w:hAnsi="Arial" w:cs="Arial"/>
          <w:sz w:val="20"/>
          <w:szCs w:val="20"/>
        </w:rPr>
        <w:t>”</w:t>
      </w:r>
    </w:p>
    <w:p w14:paraId="0DA6632C" w14:textId="77777777" w:rsidR="008C5578" w:rsidRDefault="008C5578" w:rsidP="007B2122">
      <w:pPr>
        <w:tabs>
          <w:tab w:val="left" w:pos="363"/>
        </w:tabs>
        <w:spacing w:line="240" w:lineRule="exact"/>
        <w:jc w:val="both"/>
        <w:rPr>
          <w:rFonts w:ascii="Arial" w:hAnsi="Arial" w:cs="Arial"/>
          <w:sz w:val="20"/>
        </w:rPr>
      </w:pPr>
    </w:p>
    <w:p w14:paraId="43374BFA" w14:textId="453F6258" w:rsidR="007A49E9" w:rsidRPr="00F624FF" w:rsidRDefault="007A49E9" w:rsidP="007B2122">
      <w:pPr>
        <w:tabs>
          <w:tab w:val="left" w:pos="363"/>
        </w:tabs>
        <w:spacing w:line="240" w:lineRule="exact"/>
        <w:jc w:val="both"/>
        <w:rPr>
          <w:rFonts w:ascii="Arial" w:hAnsi="Arial" w:cs="Arial"/>
          <w:color w:val="000000"/>
          <w:sz w:val="20"/>
          <w:lang w:val="en-US"/>
        </w:rPr>
      </w:pPr>
      <w:r>
        <w:rPr>
          <w:rFonts w:ascii="Arial" w:hAnsi="Arial" w:cs="Arial"/>
          <w:sz w:val="20"/>
        </w:rPr>
        <w:t>In</w:t>
      </w:r>
      <w:r w:rsidR="00F624FF">
        <w:rPr>
          <w:rFonts w:ascii="Arial" w:hAnsi="Arial" w:cs="Arial"/>
          <w:sz w:val="20"/>
        </w:rPr>
        <w:t> </w:t>
      </w:r>
      <w:r w:rsidRPr="001D42F1">
        <w:rPr>
          <w:rFonts w:ascii="Arial" w:hAnsi="Arial" w:cs="Arial"/>
          <w:i/>
          <w:sz w:val="20"/>
        </w:rPr>
        <w:t>T v T</w:t>
      </w:r>
      <w:r>
        <w:rPr>
          <w:rFonts w:ascii="Arial" w:hAnsi="Arial" w:cs="Arial"/>
          <w:sz w:val="20"/>
        </w:rPr>
        <w:t xml:space="preserve"> [2008] FamCAFC 4; (2008) FLC 93-360; (2008) 38</w:t>
      </w:r>
      <w:r w:rsidR="00B811FD">
        <w:rPr>
          <w:rFonts w:ascii="Arial" w:hAnsi="Arial" w:cs="Arial"/>
          <w:sz w:val="20"/>
        </w:rPr>
        <w:t> </w:t>
      </w:r>
      <w:r w:rsidR="000F0BE9">
        <w:rPr>
          <w:rFonts w:ascii="Arial" w:hAnsi="Arial" w:cs="Arial"/>
          <w:sz w:val="20"/>
        </w:rPr>
        <w:t>I</w:t>
      </w:r>
      <w:r>
        <w:rPr>
          <w:rFonts w:ascii="Arial" w:hAnsi="Arial" w:cs="Arial"/>
          <w:sz w:val="20"/>
        </w:rPr>
        <w:t xml:space="preserve"> LR 614 the Full Court of the Family Court of Australia (Bryant CJ, Kay &amp; Thackray JJ) highlighted at [163] the Family Court’s obligation to accord all of the parties procedural fairness notwithstanding</w:t>
      </w:r>
      <w:r w:rsidR="007B2122">
        <w:rPr>
          <w:rFonts w:ascii="Arial" w:hAnsi="Arial" w:cs="Arial"/>
          <w:sz w:val="20"/>
        </w:rPr>
        <w:t xml:space="preserve"> </w:t>
      </w:r>
      <w:r>
        <w:rPr>
          <w:rFonts w:ascii="Arial" w:hAnsi="Arial" w:cs="Arial"/>
          <w:sz w:val="20"/>
        </w:rPr>
        <w:t>the LAT provisions:</w:t>
      </w:r>
    </w:p>
    <w:p w14:paraId="3B6A8A1E" w14:textId="77777777" w:rsidR="007A49E9" w:rsidRDefault="007A49E9" w:rsidP="000518D0">
      <w:pPr>
        <w:spacing w:before="60"/>
        <w:ind w:left="567" w:right="567"/>
        <w:jc w:val="both"/>
        <w:rPr>
          <w:rFonts w:ascii="Arial" w:hAnsi="Arial" w:cs="Arial"/>
          <w:bCs/>
          <w:sz w:val="20"/>
        </w:rPr>
      </w:pPr>
      <w:r>
        <w:rPr>
          <w:rFonts w:ascii="Arial" w:hAnsi="Arial" w:cs="Arial"/>
          <w:bCs/>
          <w:sz w:val="20"/>
        </w:rPr>
        <w:t>“Whatever process for adjudication of cases is adopted by the Court, procedural fairness must be accorded to the parties (</w:t>
      </w:r>
      <w:r w:rsidRPr="00061CF0">
        <w:rPr>
          <w:rFonts w:ascii="Arial" w:hAnsi="Arial" w:cs="Arial"/>
          <w:bCs/>
          <w:i/>
          <w:sz w:val="20"/>
        </w:rPr>
        <w:t xml:space="preserve">R v Ludeke; Ex parte Customs Officers Association of </w:t>
      </w:r>
      <w:smartTag w:uri="urn:schemas-microsoft-com:office:smarttags" w:element="place">
        <w:smartTag w:uri="urn:schemas-microsoft-com:office:smarttags" w:element="country-region">
          <w:r w:rsidRPr="00061CF0">
            <w:rPr>
              <w:rFonts w:ascii="Arial" w:hAnsi="Arial" w:cs="Arial"/>
              <w:bCs/>
              <w:i/>
              <w:sz w:val="20"/>
            </w:rPr>
            <w:t>Australia</w:t>
          </w:r>
        </w:smartTag>
      </w:smartTag>
      <w:r>
        <w:rPr>
          <w:rFonts w:ascii="Arial" w:hAnsi="Arial" w:cs="Arial"/>
          <w:bCs/>
          <w:sz w:val="20"/>
        </w:rPr>
        <w:t xml:space="preserve"> (1985) 155 CLR 513; </w:t>
      </w:r>
      <w:r w:rsidRPr="00061CF0">
        <w:rPr>
          <w:rFonts w:ascii="Arial" w:hAnsi="Arial" w:cs="Arial"/>
          <w:bCs/>
          <w:i/>
          <w:sz w:val="20"/>
        </w:rPr>
        <w:t>Re JRL; Ex parte CJL</w:t>
      </w:r>
      <w:r>
        <w:rPr>
          <w:rFonts w:ascii="Arial" w:hAnsi="Arial" w:cs="Arial"/>
          <w:bCs/>
          <w:sz w:val="20"/>
        </w:rPr>
        <w:t xml:space="preserve"> (1986) 161 CLR 342; </w:t>
      </w:r>
      <w:r w:rsidRPr="00061CF0">
        <w:rPr>
          <w:rFonts w:ascii="Arial" w:hAnsi="Arial" w:cs="Arial"/>
          <w:bCs/>
          <w:i/>
          <w:sz w:val="20"/>
        </w:rPr>
        <w:t>J v Leischke</w:t>
      </w:r>
      <w:r>
        <w:rPr>
          <w:rFonts w:ascii="Arial" w:hAnsi="Arial" w:cs="Arial"/>
          <w:bCs/>
          <w:sz w:val="20"/>
        </w:rPr>
        <w:t xml:space="preserve"> (1987) 162 CLR 447.  The process adopted in the LAT, particularly on Day 1, gives no warrant to compromise fairness and the usual requirements must be met.  These are that determinations be made impartially, on the basis of all relevant material that the parties were able to put before the trial judge, without any pre-judgment and that the parties were given an adequate opportunity to be heard.”</w:t>
      </w:r>
    </w:p>
    <w:p w14:paraId="014161A4" w14:textId="77777777" w:rsidR="00E10917" w:rsidRDefault="00E10917" w:rsidP="00E10917">
      <w:pPr>
        <w:tabs>
          <w:tab w:val="left" w:pos="363"/>
        </w:tabs>
        <w:spacing w:line="240" w:lineRule="exact"/>
        <w:jc w:val="both"/>
        <w:rPr>
          <w:rFonts w:ascii="Arial" w:hAnsi="Arial" w:cs="Arial"/>
          <w:color w:val="000000"/>
          <w:sz w:val="20"/>
          <w:lang w:val="en-US"/>
        </w:rPr>
      </w:pPr>
      <w:bookmarkStart w:id="796" w:name="_Hlk69462753"/>
    </w:p>
    <w:p w14:paraId="444B81A8" w14:textId="77777777" w:rsidR="00365FFA" w:rsidRDefault="00365FFA" w:rsidP="006A0F25">
      <w:pPr>
        <w:jc w:val="both"/>
        <w:rPr>
          <w:rFonts w:ascii="Arial" w:hAnsi="Arial" w:cs="Arial"/>
          <w:bCs/>
          <w:color w:val="000000"/>
          <w:sz w:val="20"/>
        </w:rPr>
      </w:pPr>
      <w:r w:rsidRPr="00785E1A">
        <w:rPr>
          <w:rFonts w:ascii="Arial" w:hAnsi="Arial" w:cs="Arial"/>
          <w:bCs/>
          <w:i/>
          <w:color w:val="000000"/>
          <w:sz w:val="20"/>
        </w:rPr>
        <w:t>DOHS v Sanding</w:t>
      </w:r>
      <w:r w:rsidRPr="00785E1A">
        <w:rPr>
          <w:rFonts w:ascii="Arial" w:hAnsi="Arial" w:cs="Arial"/>
          <w:bCs/>
          <w:color w:val="000000"/>
          <w:sz w:val="20"/>
        </w:rPr>
        <w:t xml:space="preserve"> [2011] VSC 42</w:t>
      </w:r>
      <w:r>
        <w:rPr>
          <w:rFonts w:ascii="Arial" w:hAnsi="Arial" w:cs="Arial"/>
          <w:bCs/>
          <w:color w:val="000000"/>
          <w:sz w:val="20"/>
        </w:rPr>
        <w:t>; (2011) 36 VR 221</w:t>
      </w:r>
      <w:r w:rsidRPr="00785E1A">
        <w:rPr>
          <w:rFonts w:ascii="Arial" w:hAnsi="Arial" w:cs="Arial"/>
          <w:bCs/>
          <w:color w:val="000000"/>
          <w:sz w:val="20"/>
        </w:rPr>
        <w:t xml:space="preserve"> is in many ways a watershed Supreme Court decision on the relationship between the “best interests” principle, the court’s procedural discretion and the rules of natural justice</w:t>
      </w:r>
      <w:r w:rsidR="005A6044">
        <w:rPr>
          <w:rFonts w:ascii="Arial" w:hAnsi="Arial" w:cs="Arial"/>
          <w:bCs/>
          <w:color w:val="000000"/>
          <w:sz w:val="20"/>
        </w:rPr>
        <w:t>/procedural fairness</w:t>
      </w:r>
      <w:r w:rsidRPr="00785E1A">
        <w:rPr>
          <w:rFonts w:ascii="Arial" w:hAnsi="Arial" w:cs="Arial"/>
          <w:bCs/>
          <w:color w:val="000000"/>
          <w:sz w:val="20"/>
        </w:rPr>
        <w:t xml:space="preserve">.  In that case </w:t>
      </w:r>
      <w:r w:rsidRPr="00785E1A">
        <w:rPr>
          <w:rFonts w:ascii="Arial" w:hAnsi="Arial" w:cs="Arial"/>
          <w:color w:val="000000"/>
          <w:sz w:val="20"/>
        </w:rPr>
        <w:t xml:space="preserve">four Aboriginal children aged 9, 7, 4 &amp; 2 had been residing in the care of their maternal grandmother under custody to Secretary orders.  At [279] Bell J described “the real risk to the wellbeing of the children” as “the drug-taking activity of their mother and her disturbance of the home of the grandmother in which the family was living”.  Nine weeks after the custody to Secretary orders were made by consent, the Department removed the children from the care of their grandmother and placed them separately in out of home care with non-Aboriginal families.  No family was available to take the four children together and no Aboriginal family was available to take any of them.  Within a week of their separation, the behaviour of the two oldest children substantially regressed.  The mother made applications to revoke each of the custody to Secretary orders on the basis that the children would live with her mother and that she would not live in the home.  A Children’s Court magistrate conducted a “submissions contest” in which he obtained information, but not </w:t>
      </w:r>
      <w:r w:rsidRPr="00365FFA">
        <w:rPr>
          <w:rFonts w:ascii="Arial" w:hAnsi="Arial" w:cs="Arial"/>
          <w:i/>
          <w:iCs/>
          <w:color w:val="000000"/>
          <w:sz w:val="20"/>
        </w:rPr>
        <w:t>viva voce</w:t>
      </w:r>
      <w:r w:rsidRPr="00785E1A">
        <w:rPr>
          <w:rFonts w:ascii="Arial" w:hAnsi="Arial" w:cs="Arial"/>
          <w:color w:val="000000"/>
          <w:sz w:val="20"/>
        </w:rPr>
        <w:t xml:space="preserve"> evidence, from </w:t>
      </w:r>
      <w:r>
        <w:rPr>
          <w:rFonts w:ascii="Arial" w:hAnsi="Arial" w:cs="Arial"/>
          <w:color w:val="000000"/>
          <w:sz w:val="20"/>
        </w:rPr>
        <w:t>DOHS’</w:t>
      </w:r>
      <w:r w:rsidRPr="00785E1A">
        <w:rPr>
          <w:rFonts w:ascii="Arial" w:hAnsi="Arial" w:cs="Arial"/>
          <w:color w:val="000000"/>
          <w:sz w:val="20"/>
        </w:rPr>
        <w:t xml:space="preserve"> reports and the legal representatives of </w:t>
      </w:r>
      <w:r>
        <w:rPr>
          <w:rFonts w:ascii="Arial" w:hAnsi="Arial" w:cs="Arial"/>
          <w:color w:val="000000"/>
          <w:sz w:val="20"/>
        </w:rPr>
        <w:t>DOHS</w:t>
      </w:r>
      <w:r w:rsidRPr="00785E1A">
        <w:rPr>
          <w:rFonts w:ascii="Arial" w:hAnsi="Arial" w:cs="Arial"/>
          <w:color w:val="000000"/>
          <w:sz w:val="20"/>
        </w:rPr>
        <w:t xml:space="preserve">, the grandmother and the mother.  He then revoked the custody to Secretary orders and placed the children on interim accommodation orders in the grandmother’s care with various conditions.  The Department appealed, submitting that the magistrate should have conducted a formal hearing at which at least some formal </w:t>
      </w:r>
      <w:r w:rsidRPr="00365FFA">
        <w:rPr>
          <w:rFonts w:ascii="Arial" w:hAnsi="Arial" w:cs="Arial"/>
          <w:i/>
          <w:iCs/>
          <w:color w:val="000000"/>
          <w:sz w:val="20"/>
        </w:rPr>
        <w:t>viva voce</w:t>
      </w:r>
      <w:r>
        <w:rPr>
          <w:rFonts w:ascii="Arial" w:hAnsi="Arial" w:cs="Arial"/>
          <w:color w:val="000000"/>
          <w:sz w:val="20"/>
        </w:rPr>
        <w:t xml:space="preserve"> </w:t>
      </w:r>
      <w:r w:rsidRPr="00785E1A">
        <w:rPr>
          <w:rFonts w:ascii="Arial" w:hAnsi="Arial" w:cs="Arial"/>
          <w:color w:val="000000"/>
          <w:sz w:val="20"/>
        </w:rPr>
        <w:t>evidence was taken.  The appeal was dismissed.</w:t>
      </w:r>
      <w:r>
        <w:rPr>
          <w:rFonts w:ascii="Arial" w:hAnsi="Arial" w:cs="Arial"/>
          <w:color w:val="000000"/>
          <w:sz w:val="20"/>
        </w:rPr>
        <w:t xml:space="preserve">  </w:t>
      </w:r>
      <w:r w:rsidRPr="00785E1A">
        <w:rPr>
          <w:rFonts w:ascii="Arial" w:hAnsi="Arial" w:cs="Arial"/>
          <w:bCs/>
          <w:color w:val="000000"/>
          <w:sz w:val="20"/>
        </w:rPr>
        <w:t>In the course of his extensive judgment</w:t>
      </w:r>
      <w:r>
        <w:rPr>
          <w:rFonts w:ascii="Arial" w:hAnsi="Arial" w:cs="Arial"/>
          <w:bCs/>
          <w:color w:val="000000"/>
          <w:sz w:val="20"/>
        </w:rPr>
        <w:t xml:space="preserve">, Bell J discussed the impact of the best interests of the child on the court’s procedural discretion, saying </w:t>
      </w:r>
      <w:r w:rsidRPr="00A24DDE">
        <w:rPr>
          <w:rFonts w:ascii="Arial" w:hAnsi="Arial" w:cs="Arial"/>
          <w:bCs/>
          <w:i/>
          <w:iCs/>
          <w:color w:val="000000"/>
          <w:sz w:val="20"/>
        </w:rPr>
        <w:t>inter alia</w:t>
      </w:r>
      <w:r>
        <w:rPr>
          <w:rFonts w:ascii="Arial" w:hAnsi="Arial" w:cs="Arial"/>
          <w:bCs/>
          <w:color w:val="000000"/>
          <w:sz w:val="20"/>
        </w:rPr>
        <w:t xml:space="preserve"> at [129]-[130], [135]-[137] &amp; [14</w:t>
      </w:r>
      <w:r w:rsidR="00A24DDE">
        <w:rPr>
          <w:rFonts w:ascii="Arial" w:hAnsi="Arial" w:cs="Arial"/>
          <w:bCs/>
          <w:color w:val="000000"/>
          <w:sz w:val="20"/>
        </w:rPr>
        <w:t>6</w:t>
      </w:r>
      <w:r>
        <w:rPr>
          <w:rFonts w:ascii="Arial" w:hAnsi="Arial" w:cs="Arial"/>
          <w:bCs/>
          <w:color w:val="000000"/>
          <w:sz w:val="20"/>
        </w:rPr>
        <w:t>]-[14</w:t>
      </w:r>
      <w:r w:rsidR="00A24DDE">
        <w:rPr>
          <w:rFonts w:ascii="Arial" w:hAnsi="Arial" w:cs="Arial"/>
          <w:bCs/>
          <w:color w:val="000000"/>
          <w:sz w:val="20"/>
        </w:rPr>
        <w:t>7</w:t>
      </w:r>
      <w:r>
        <w:rPr>
          <w:rFonts w:ascii="Arial" w:hAnsi="Arial" w:cs="Arial"/>
          <w:bCs/>
          <w:color w:val="000000"/>
          <w:sz w:val="20"/>
        </w:rPr>
        <w:t>]:</w:t>
      </w:r>
    </w:p>
    <w:p w14:paraId="1FB9E2E6" w14:textId="77777777" w:rsidR="00365FFA" w:rsidRDefault="00365FFA" w:rsidP="00365FFA">
      <w:pPr>
        <w:spacing w:before="60"/>
        <w:ind w:left="567" w:right="567"/>
        <w:jc w:val="both"/>
        <w:rPr>
          <w:rFonts w:ascii="Arial" w:hAnsi="Arial" w:cs="Arial"/>
          <w:sz w:val="20"/>
          <w:szCs w:val="20"/>
          <w:lang w:eastAsia="en-AU"/>
        </w:rPr>
      </w:pPr>
      <w:r w:rsidRPr="00365FFA">
        <w:rPr>
          <w:rFonts w:ascii="Arial" w:hAnsi="Arial" w:cs="Arial"/>
          <w:sz w:val="20"/>
          <w:szCs w:val="20"/>
          <w:lang w:eastAsia="en-AU"/>
        </w:rPr>
        <w:t xml:space="preserve">[129] “By the established principles, any statutory exclusion of the rules of natural justice must be by express words or plain intendment: see </w:t>
      </w:r>
      <w:r w:rsidRPr="00365FFA">
        <w:rPr>
          <w:rFonts w:ascii="Arial" w:hAnsi="Arial" w:cs="Arial"/>
          <w:i/>
          <w:sz w:val="20"/>
          <w:szCs w:val="20"/>
          <w:lang w:eastAsia="en-AU"/>
        </w:rPr>
        <w:t>Commissioner of Police v Tanos</w:t>
      </w:r>
      <w:r w:rsidRPr="00365FFA">
        <w:rPr>
          <w:rFonts w:ascii="Arial" w:hAnsi="Arial" w:cs="Arial"/>
          <w:sz w:val="20"/>
          <w:szCs w:val="20"/>
          <w:lang w:eastAsia="en-AU"/>
        </w:rPr>
        <w:t xml:space="preserve"> (1958) 98 CLR 383 at 395, per Dixon CJ and Webb J and </w:t>
      </w:r>
      <w:r w:rsidRPr="00365FFA">
        <w:rPr>
          <w:rFonts w:ascii="Arial" w:hAnsi="Arial" w:cs="Arial"/>
          <w:i/>
          <w:sz w:val="20"/>
          <w:szCs w:val="20"/>
          <w:lang w:eastAsia="en-AU"/>
        </w:rPr>
        <w:t xml:space="preserve">Annetts v </w:t>
      </w:r>
      <w:r w:rsidRPr="00365FFA">
        <w:rPr>
          <w:rFonts w:ascii="Arial" w:hAnsi="Arial" w:cs="Arial"/>
          <w:sz w:val="20"/>
          <w:szCs w:val="20"/>
          <w:lang w:eastAsia="en-AU"/>
        </w:rPr>
        <w:t xml:space="preserve">McCann (1990) 170 CLR 596, 598 per Mason CJ, Deane &amp; McHugh JJ.  There are no such express words and there is no such plain intendment in s 215(1) of the </w:t>
      </w:r>
      <w:r w:rsidRPr="00365FFA">
        <w:rPr>
          <w:rFonts w:ascii="Arial" w:hAnsi="Arial" w:cs="Arial"/>
          <w:i/>
          <w:sz w:val="20"/>
          <w:szCs w:val="20"/>
          <w:lang w:eastAsia="en-AU"/>
        </w:rPr>
        <w:t>Children, Youth &amp; Families Act</w:t>
      </w:r>
      <w:r w:rsidRPr="00365FFA">
        <w:rPr>
          <w:rFonts w:ascii="Arial" w:hAnsi="Arial" w:cs="Arial"/>
          <w:sz w:val="20"/>
          <w:szCs w:val="20"/>
          <w:lang w:eastAsia="en-AU"/>
        </w:rPr>
        <w:t>.   Therefore the obligation of the Children’s Court to observe the rules of natural justice has not been overridden.</w:t>
      </w:r>
    </w:p>
    <w:p w14:paraId="74F46327" w14:textId="55BB13FF" w:rsidR="00DF0EB9" w:rsidRDefault="00A24DDE" w:rsidP="00DF0EB9">
      <w:pPr>
        <w:spacing w:before="60"/>
        <w:ind w:left="567" w:right="567"/>
        <w:jc w:val="both"/>
        <w:rPr>
          <w:rFonts w:ascii="Arial" w:hAnsi="Arial" w:cs="Arial"/>
          <w:color w:val="000000"/>
          <w:sz w:val="20"/>
          <w:szCs w:val="20"/>
          <w:bdr w:val="none" w:sz="0" w:space="0" w:color="auto" w:frame="1"/>
        </w:rPr>
      </w:pPr>
      <w:r>
        <w:rPr>
          <w:rFonts w:ascii="Arial" w:hAnsi="Arial" w:cs="Arial"/>
          <w:sz w:val="20"/>
          <w:szCs w:val="20"/>
          <w:lang w:eastAsia="en-AU"/>
        </w:rPr>
        <w:t xml:space="preserve">[130] While </w:t>
      </w:r>
      <w:r w:rsidRPr="00A24DDE">
        <w:rPr>
          <w:rFonts w:ascii="Arial" w:hAnsi="Arial" w:cs="Arial"/>
          <w:color w:val="000000"/>
          <w:sz w:val="20"/>
          <w:szCs w:val="20"/>
        </w:rPr>
        <w:t>a court or tribunal operating under flexible procedural provisions must</w:t>
      </w:r>
      <w:r w:rsidRPr="00A24DDE">
        <w:rPr>
          <w:rFonts w:ascii="Arial" w:hAnsi="Arial" w:cs="Arial"/>
          <w:color w:val="000000"/>
          <w:sz w:val="20"/>
          <w:szCs w:val="20"/>
          <w:bdr w:val="none" w:sz="0" w:space="0" w:color="auto" w:frame="1"/>
        </w:rPr>
        <w:t xml:space="preserve"> observe the rules of natural justice, this does not mean that those rules can be used to admit the rules of evidence through a side door or, as Brennan J put it in </w:t>
      </w:r>
      <w:r w:rsidRPr="00A24DDE">
        <w:rPr>
          <w:rFonts w:ascii="Arial" w:hAnsi="Arial" w:cs="Arial"/>
          <w:i/>
          <w:iCs/>
          <w:color w:val="000000"/>
          <w:sz w:val="20"/>
          <w:szCs w:val="20"/>
          <w:bdr w:val="none" w:sz="0" w:space="0" w:color="auto" w:frame="1"/>
        </w:rPr>
        <w:t>Re Pochi v Minister for Immigration and Ethnic Affairs</w:t>
      </w:r>
      <w:r w:rsidRPr="00A24DDE">
        <w:rPr>
          <w:rFonts w:ascii="Calibri" w:hAnsi="Calibri" w:cs="Calibri"/>
          <w:color w:val="000000"/>
          <w:sz w:val="20"/>
          <w:szCs w:val="20"/>
        </w:rPr>
        <w:t> </w:t>
      </w:r>
      <w:r w:rsidRPr="00A24DDE">
        <w:rPr>
          <w:rFonts w:ascii="Arial" w:hAnsi="Arial" w:cs="Arial"/>
          <w:color w:val="000000"/>
          <w:sz w:val="20"/>
          <w:szCs w:val="20"/>
          <w:bdr w:val="none" w:sz="0" w:space="0" w:color="auto" w:frame="1"/>
        </w:rPr>
        <w:t>(1979) 36 FLR 482, 492 to allow the rules of evidence to ‘creep back in through a domestic procedural rule’.  </w:t>
      </w:r>
      <w:r w:rsidRPr="00A24DDE">
        <w:rPr>
          <w:rFonts w:ascii="Arial" w:hAnsi="Arial" w:cs="Arial"/>
          <w:b/>
          <w:bCs/>
          <w:color w:val="000000"/>
          <w:sz w:val="20"/>
          <w:szCs w:val="20"/>
          <w:bdr w:val="none" w:sz="0" w:space="0" w:color="auto" w:frame="1"/>
        </w:rPr>
        <w:t>It is well</w:t>
      </w:r>
      <w:r w:rsidRPr="00A24DDE">
        <w:rPr>
          <w:rFonts w:ascii="Arial" w:hAnsi="Arial" w:cs="Arial"/>
          <w:b/>
          <w:bCs/>
          <w:color w:val="000000"/>
          <w:sz w:val="20"/>
          <w:szCs w:val="20"/>
          <w:bdr w:val="none" w:sz="0" w:space="0" w:color="auto" w:frame="1"/>
        </w:rPr>
        <w:noBreakHyphen/>
        <w:t>established that the rules of evidence ‘form no part of the rules of natural justice’</w:t>
      </w:r>
      <w:r w:rsidRPr="00A24DDE">
        <w:rPr>
          <w:rFonts w:ascii="Arial" w:hAnsi="Arial" w:cs="Arial"/>
          <w:color w:val="000000"/>
          <w:sz w:val="20"/>
          <w:szCs w:val="20"/>
          <w:bdr w:val="none" w:sz="0" w:space="0" w:color="auto" w:frame="1"/>
        </w:rPr>
        <w:t>: </w:t>
      </w:r>
      <w:r w:rsidRPr="00A24DDE">
        <w:rPr>
          <w:rFonts w:ascii="Arial" w:hAnsi="Arial" w:cs="Arial"/>
          <w:i/>
          <w:iCs/>
          <w:color w:val="000000"/>
          <w:sz w:val="20"/>
          <w:szCs w:val="20"/>
          <w:bdr w:val="none" w:sz="0" w:space="0" w:color="auto" w:frame="1"/>
        </w:rPr>
        <w:t>R v Deputy Industrial Injuries Commissioner; ex parte Moore</w:t>
      </w:r>
      <w:r w:rsidRPr="00A24DDE">
        <w:rPr>
          <w:rFonts w:ascii="Arial" w:hAnsi="Arial" w:cs="Arial"/>
          <w:color w:val="000000"/>
          <w:sz w:val="20"/>
          <w:szCs w:val="20"/>
          <w:bdr w:val="none" w:sz="0" w:space="0" w:color="auto" w:frame="1"/>
        </w:rPr>
        <w:t> [1965] 1 QB 456, 488 per Diplock LJ; see also </w:t>
      </w:r>
      <w:r w:rsidRPr="00A24DDE">
        <w:rPr>
          <w:rFonts w:ascii="Arial" w:hAnsi="Arial" w:cs="Arial"/>
          <w:i/>
          <w:iCs/>
          <w:color w:val="000000"/>
          <w:sz w:val="20"/>
          <w:szCs w:val="20"/>
          <w:bdr w:val="none" w:sz="0" w:space="0" w:color="auto" w:frame="1"/>
        </w:rPr>
        <w:t>R v War Pensions Entitlement Appeal Tribunal; ex parte Bott</w:t>
      </w:r>
      <w:r w:rsidRPr="00A24DDE">
        <w:rPr>
          <w:rFonts w:ascii="Arial" w:hAnsi="Arial" w:cs="Arial"/>
          <w:color w:val="000000"/>
          <w:sz w:val="20"/>
          <w:szCs w:val="20"/>
          <w:bdr w:val="none" w:sz="0" w:space="0" w:color="auto" w:frame="1"/>
        </w:rPr>
        <w:t> (1933) 50 CLR 228, 249 per Starke J and 252 per Evatt J; </w:t>
      </w:r>
      <w:r w:rsidRPr="00A24DDE">
        <w:rPr>
          <w:rFonts w:ascii="Arial" w:hAnsi="Arial" w:cs="Arial"/>
          <w:i/>
          <w:iCs/>
          <w:color w:val="000000"/>
          <w:sz w:val="20"/>
          <w:szCs w:val="20"/>
          <w:bdr w:val="none" w:sz="0" w:space="0" w:color="auto" w:frame="1"/>
        </w:rPr>
        <w:t>Mahon v Air New Zealand</w:t>
      </w:r>
      <w:r w:rsidRPr="00A24DDE">
        <w:rPr>
          <w:rFonts w:ascii="Arial" w:hAnsi="Arial" w:cs="Arial"/>
          <w:color w:val="000000"/>
          <w:sz w:val="20"/>
          <w:szCs w:val="20"/>
          <w:bdr w:val="none" w:sz="0" w:space="0" w:color="auto" w:frame="1"/>
        </w:rPr>
        <w:t> [1984] 1 AC 808, 821; </w:t>
      </w:r>
      <w:r w:rsidRPr="00A24DDE">
        <w:rPr>
          <w:rFonts w:ascii="Arial" w:hAnsi="Arial" w:cs="Arial"/>
          <w:i/>
          <w:iCs/>
          <w:color w:val="000000"/>
          <w:sz w:val="20"/>
          <w:szCs w:val="20"/>
          <w:bdr w:val="none" w:sz="0" w:space="0" w:color="auto" w:frame="1"/>
        </w:rPr>
        <w:t>Hayward v Minister for Immigration and Citizenship</w:t>
      </w:r>
      <w:r w:rsidRPr="00A24DDE">
        <w:rPr>
          <w:rFonts w:ascii="Arial" w:hAnsi="Arial" w:cs="Arial"/>
          <w:color w:val="000000"/>
          <w:sz w:val="20"/>
          <w:szCs w:val="20"/>
          <w:bdr w:val="none" w:sz="0" w:space="0" w:color="auto" w:frame="1"/>
        </w:rPr>
        <w:t> [2009] FCA 1313, [64].  </w:t>
      </w:r>
      <w:r w:rsidRPr="00A24DDE">
        <w:rPr>
          <w:rFonts w:ascii="Arial" w:hAnsi="Arial" w:cs="Arial"/>
          <w:b/>
          <w:bCs/>
          <w:color w:val="000000"/>
          <w:sz w:val="20"/>
          <w:szCs w:val="20"/>
          <w:bdr w:val="none" w:sz="0" w:space="0" w:color="auto" w:frame="1"/>
        </w:rPr>
        <w:t>Certainly the rules of evidence may be valuable and should not be lightly discarded, particularly where there is a serious dispute over a matter which may be of importance to the outcome of the proceeding</w:t>
      </w:r>
      <w:r w:rsidRPr="00A24DDE">
        <w:rPr>
          <w:rFonts w:ascii="Arial" w:hAnsi="Arial" w:cs="Arial"/>
          <w:color w:val="000000"/>
          <w:sz w:val="20"/>
          <w:szCs w:val="20"/>
          <w:bdr w:val="none" w:sz="0" w:space="0" w:color="auto" w:frame="1"/>
        </w:rPr>
        <w:t>: </w:t>
      </w:r>
      <w:r w:rsidRPr="00A24DDE">
        <w:rPr>
          <w:rFonts w:ascii="Arial" w:hAnsi="Arial" w:cs="Arial"/>
          <w:i/>
          <w:iCs/>
          <w:color w:val="000000"/>
          <w:sz w:val="20"/>
          <w:szCs w:val="20"/>
          <w:bdr w:val="none" w:sz="0" w:space="0" w:color="auto" w:frame="1"/>
        </w:rPr>
        <w:t>R v War Pensions Entitlement Appeal Tribunal; ex parte Bott</w:t>
      </w:r>
      <w:r w:rsidRPr="00A24DDE">
        <w:rPr>
          <w:rFonts w:ascii="Arial" w:hAnsi="Arial" w:cs="Arial"/>
          <w:color w:val="000000"/>
          <w:sz w:val="20"/>
          <w:szCs w:val="20"/>
          <w:bdr w:val="none" w:sz="0" w:space="0" w:color="auto" w:frame="1"/>
        </w:rPr>
        <w:t> (1933) 50 CLR 228, 256 per Evatt J; </w:t>
      </w:r>
      <w:r w:rsidRPr="00A24DDE">
        <w:rPr>
          <w:rFonts w:ascii="Arial" w:hAnsi="Arial" w:cs="Arial"/>
          <w:i/>
          <w:iCs/>
          <w:color w:val="000000"/>
          <w:sz w:val="20"/>
          <w:szCs w:val="20"/>
          <w:bdr w:val="none" w:sz="0" w:space="0" w:color="auto" w:frame="1"/>
        </w:rPr>
        <w:t>Kostas v HIA Insurance Services Pty Ltd</w:t>
      </w:r>
      <w:r w:rsidRPr="00A24DDE">
        <w:rPr>
          <w:rFonts w:ascii="Arial" w:hAnsi="Arial" w:cs="Arial"/>
          <w:color w:val="000000"/>
          <w:sz w:val="20"/>
          <w:szCs w:val="20"/>
          <w:bdr w:val="none" w:sz="0" w:space="0" w:color="auto" w:frame="1"/>
        </w:rPr>
        <w:t> (2010) 84 ALJR 228 [17] per French CJ; </w:t>
      </w:r>
      <w:r w:rsidRPr="00A24DDE">
        <w:rPr>
          <w:rFonts w:ascii="Arial" w:hAnsi="Arial" w:cs="Arial"/>
          <w:i/>
          <w:iCs/>
          <w:color w:val="000000"/>
          <w:sz w:val="20"/>
          <w:szCs w:val="20"/>
          <w:bdr w:val="none" w:sz="0" w:space="0" w:color="auto" w:frame="1"/>
        </w:rPr>
        <w:t>Re Pochi v Minister for Immigration and Ethnic Affairs</w:t>
      </w:r>
      <w:r w:rsidRPr="00A24DDE">
        <w:rPr>
          <w:rFonts w:ascii="Arial" w:hAnsi="Arial" w:cs="Arial"/>
          <w:color w:val="000000"/>
          <w:sz w:val="20"/>
          <w:szCs w:val="20"/>
          <w:bdr w:val="none" w:sz="0" w:space="0" w:color="auto" w:frame="1"/>
        </w:rPr>
        <w:t> (1979) 36 FLR 482, 493 per Brennan J; </w:t>
      </w:r>
      <w:r w:rsidRPr="00A24DDE">
        <w:rPr>
          <w:rFonts w:ascii="Arial" w:hAnsi="Arial" w:cs="Arial"/>
          <w:i/>
          <w:iCs/>
          <w:color w:val="000000"/>
          <w:sz w:val="20"/>
          <w:szCs w:val="20"/>
          <w:bdr w:val="none" w:sz="0" w:space="0" w:color="auto" w:frame="1"/>
        </w:rPr>
        <w:t>Martin v Medical Complaints Tribunal</w:t>
      </w:r>
      <w:r w:rsidRPr="00A24DDE">
        <w:rPr>
          <w:rFonts w:ascii="Arial" w:hAnsi="Arial" w:cs="Arial"/>
          <w:color w:val="000000"/>
          <w:sz w:val="20"/>
          <w:szCs w:val="20"/>
          <w:bdr w:val="none" w:sz="0" w:space="0" w:color="auto" w:frame="1"/>
        </w:rPr>
        <w:t> (2006) 15 Tas R 413, [14]; </w:t>
      </w:r>
      <w:r w:rsidRPr="00A24DDE">
        <w:rPr>
          <w:rFonts w:ascii="Arial" w:hAnsi="Arial" w:cs="Arial"/>
          <w:i/>
          <w:iCs/>
          <w:color w:val="000000"/>
          <w:sz w:val="20"/>
          <w:szCs w:val="20"/>
          <w:bdr w:val="none" w:sz="0" w:space="0" w:color="auto" w:frame="1"/>
        </w:rPr>
        <w:t>A and B v Director of Family Services </w:t>
      </w:r>
      <w:r w:rsidRPr="00A24DDE">
        <w:rPr>
          <w:rFonts w:ascii="Arial" w:hAnsi="Arial" w:cs="Arial"/>
          <w:color w:val="000000"/>
          <w:sz w:val="20"/>
          <w:szCs w:val="20"/>
          <w:bdr w:val="none" w:sz="0" w:space="0" w:color="auto" w:frame="1"/>
        </w:rPr>
        <w:t xml:space="preserve">(1996) 20 </w:t>
      </w:r>
      <w:r w:rsidR="000F0BE9">
        <w:rPr>
          <w:rFonts w:ascii="Arial" w:hAnsi="Arial" w:cs="Arial"/>
          <w:color w:val="000000"/>
          <w:sz w:val="20"/>
          <w:szCs w:val="20"/>
          <w:bdr w:val="none" w:sz="0" w:space="0" w:color="auto" w:frame="1"/>
        </w:rPr>
        <w:t>I</w:t>
      </w:r>
      <w:r w:rsidRPr="00A24DDE">
        <w:rPr>
          <w:rFonts w:ascii="Arial" w:hAnsi="Arial" w:cs="Arial"/>
          <w:color w:val="000000"/>
          <w:sz w:val="20"/>
          <w:szCs w:val="20"/>
          <w:bdr w:val="none" w:sz="0" w:space="0" w:color="auto" w:frame="1"/>
        </w:rPr>
        <w:t xml:space="preserve"> LR 549, 553; </w:t>
      </w:r>
      <w:r w:rsidRPr="00A24DDE">
        <w:rPr>
          <w:rFonts w:ascii="Arial" w:hAnsi="Arial" w:cs="Arial"/>
          <w:i/>
          <w:iCs/>
          <w:color w:val="000000"/>
          <w:sz w:val="20"/>
          <w:szCs w:val="20"/>
          <w:bdr w:val="none" w:sz="0" w:space="0" w:color="auto" w:frame="1"/>
        </w:rPr>
        <w:t>Pearce v Button</w:t>
      </w:r>
      <w:r w:rsidRPr="00A24DDE">
        <w:rPr>
          <w:rFonts w:ascii="Arial" w:hAnsi="Arial" w:cs="Arial"/>
          <w:color w:val="000000"/>
          <w:sz w:val="20"/>
          <w:szCs w:val="20"/>
          <w:bdr w:val="none" w:sz="0" w:space="0" w:color="auto" w:frame="1"/>
        </w:rPr>
        <w:t> (1985) 8 FCR 408, 422; </w:t>
      </w:r>
      <w:r w:rsidRPr="00A24DDE">
        <w:rPr>
          <w:rFonts w:ascii="Arial" w:hAnsi="Arial" w:cs="Arial"/>
          <w:i/>
          <w:iCs/>
          <w:color w:val="000000"/>
          <w:sz w:val="20"/>
          <w:szCs w:val="20"/>
          <w:bdr w:val="none" w:sz="0" w:space="0" w:color="auto" w:frame="1"/>
        </w:rPr>
        <w:t>Clean Ocean Foundation v Environment Protection Authority</w:t>
      </w:r>
      <w:r w:rsidRPr="00A24DDE">
        <w:rPr>
          <w:rFonts w:ascii="Arial" w:hAnsi="Arial" w:cs="Arial"/>
          <w:color w:val="000000"/>
          <w:sz w:val="20"/>
          <w:szCs w:val="20"/>
          <w:bdr w:val="none" w:sz="0" w:space="0" w:color="auto" w:frame="1"/>
        </w:rPr>
        <w:t xml:space="preserve"> (2003) 20 VAR 227, 235.  But courts or tribunals operating under such provisions are not required to apply </w:t>
      </w:r>
      <w:r w:rsidRPr="00A24DDE">
        <w:rPr>
          <w:rFonts w:ascii="Arial" w:hAnsi="Arial" w:cs="Arial"/>
          <w:color w:val="000000"/>
          <w:sz w:val="20"/>
          <w:szCs w:val="20"/>
          <w:bdr w:val="none" w:sz="0" w:space="0" w:color="auto" w:frame="1"/>
        </w:rPr>
        <w:lastRenderedPageBreak/>
        <w:t>court</w:t>
      </w:r>
      <w:r w:rsidRPr="00A24DDE">
        <w:rPr>
          <w:rFonts w:ascii="Arial" w:hAnsi="Arial" w:cs="Arial"/>
          <w:color w:val="000000"/>
          <w:sz w:val="20"/>
          <w:szCs w:val="20"/>
          <w:bdr w:val="none" w:sz="0" w:space="0" w:color="auto" w:frame="1"/>
        </w:rPr>
        <w:noBreakHyphen/>
        <w:t>like rules or to act on evidence alone: </w:t>
      </w:r>
      <w:r w:rsidRPr="00A24DDE">
        <w:rPr>
          <w:rFonts w:ascii="Arial" w:hAnsi="Arial" w:cs="Arial"/>
          <w:i/>
          <w:iCs/>
          <w:color w:val="000000"/>
          <w:sz w:val="20"/>
          <w:szCs w:val="20"/>
          <w:bdr w:val="none" w:sz="0" w:space="0" w:color="auto" w:frame="1"/>
        </w:rPr>
        <w:t>R v War Pensions Entitlement Appeal Tribunal; ex parte Bott</w:t>
      </w:r>
      <w:r w:rsidRPr="00A24DDE">
        <w:rPr>
          <w:rFonts w:ascii="Arial" w:hAnsi="Arial" w:cs="Arial"/>
          <w:color w:val="000000"/>
          <w:sz w:val="20"/>
          <w:szCs w:val="20"/>
          <w:bdr w:val="none" w:sz="0" w:space="0" w:color="auto" w:frame="1"/>
        </w:rPr>
        <w:t> (1933) 50 CLR 228, 248 per Starke J and 256 per Evatt J; </w:t>
      </w:r>
      <w:r w:rsidRPr="00A24DDE">
        <w:rPr>
          <w:rFonts w:ascii="Arial" w:hAnsi="Arial" w:cs="Arial"/>
          <w:i/>
          <w:iCs/>
          <w:color w:val="000000"/>
          <w:sz w:val="20"/>
          <w:szCs w:val="20"/>
          <w:bdr w:val="none" w:sz="0" w:space="0" w:color="auto" w:frame="1"/>
        </w:rPr>
        <w:t>Wajnberg v Raynor and Melbourne Metropolitan Board of Works</w:t>
      </w:r>
      <w:r w:rsidRPr="00A24DDE">
        <w:rPr>
          <w:rFonts w:ascii="Arial" w:hAnsi="Arial" w:cs="Arial"/>
          <w:color w:val="000000"/>
          <w:sz w:val="20"/>
          <w:szCs w:val="20"/>
          <w:bdr w:val="none" w:sz="0" w:space="0" w:color="auto" w:frame="1"/>
        </w:rPr>
        <w:t> [1971] VR 665, 678.  The provisions are intended to be ‘facultative, not restrictive’ (</w:t>
      </w:r>
      <w:r w:rsidRPr="00A24DDE">
        <w:rPr>
          <w:rFonts w:ascii="Arial" w:hAnsi="Arial" w:cs="Arial"/>
          <w:i/>
          <w:iCs/>
          <w:color w:val="000000"/>
          <w:sz w:val="20"/>
          <w:szCs w:val="20"/>
          <w:bdr w:val="none" w:sz="0" w:space="0" w:color="auto" w:frame="1"/>
        </w:rPr>
        <w:t>Wecker v Secretary, Department of Education, Science and Training</w:t>
      </w:r>
      <w:r w:rsidRPr="00A24DDE">
        <w:rPr>
          <w:rFonts w:ascii="Arial" w:hAnsi="Arial" w:cs="Arial"/>
          <w:color w:val="000000"/>
          <w:sz w:val="20"/>
          <w:szCs w:val="20"/>
          <w:bdr w:val="none" w:sz="0" w:space="0" w:color="auto" w:frame="1"/>
        </w:rPr>
        <w:t> (2008) 168 FCR 272, [95] per Greenwood J) and are intended to free a court or tribunal ‘from constraints otherwise applicable to courts of law and regarded as in appropriate’: </w:t>
      </w:r>
      <w:r w:rsidRPr="00A24DDE">
        <w:rPr>
          <w:rFonts w:ascii="Arial" w:hAnsi="Arial" w:cs="Arial"/>
          <w:i/>
          <w:iCs/>
          <w:color w:val="000000"/>
          <w:sz w:val="20"/>
          <w:szCs w:val="20"/>
          <w:bdr w:val="none" w:sz="0" w:space="0" w:color="auto" w:frame="1"/>
        </w:rPr>
        <w:t>Minister for Immigration and Multicultural Affairs</w:t>
      </w:r>
      <w:r w:rsidRPr="00A24DDE">
        <w:rPr>
          <w:rFonts w:ascii="Arial" w:hAnsi="Arial" w:cs="Arial"/>
          <w:color w:val="000000"/>
          <w:sz w:val="20"/>
          <w:szCs w:val="20"/>
          <w:bdr w:val="none" w:sz="0" w:space="0" w:color="auto" w:frame="1"/>
        </w:rPr>
        <w:t> v </w:t>
      </w:r>
      <w:r w:rsidRPr="00A24DDE">
        <w:rPr>
          <w:rFonts w:ascii="Arial" w:hAnsi="Arial" w:cs="Arial"/>
          <w:i/>
          <w:iCs/>
          <w:color w:val="000000"/>
          <w:sz w:val="20"/>
          <w:szCs w:val="20"/>
          <w:bdr w:val="none" w:sz="0" w:space="0" w:color="auto" w:frame="1"/>
        </w:rPr>
        <w:t>Eshetu </w:t>
      </w:r>
      <w:r w:rsidRPr="00A24DDE">
        <w:rPr>
          <w:rFonts w:ascii="Arial" w:hAnsi="Arial" w:cs="Arial"/>
          <w:color w:val="000000"/>
          <w:sz w:val="20"/>
          <w:szCs w:val="20"/>
          <w:bdr w:val="none" w:sz="0" w:space="0" w:color="auto" w:frame="1"/>
        </w:rPr>
        <w:t>(1999) 197 CLR 611, [49] per Gleeson CJ and McHugh J. As Davies J said as the president of the federal tribunal in </w:t>
      </w:r>
      <w:r w:rsidRPr="00A24DDE">
        <w:rPr>
          <w:rFonts w:ascii="Arial" w:hAnsi="Arial" w:cs="Arial"/>
          <w:i/>
          <w:iCs/>
          <w:color w:val="000000"/>
          <w:sz w:val="20"/>
          <w:szCs w:val="20"/>
          <w:bdr w:val="none" w:sz="0" w:space="0" w:color="auto" w:frame="1"/>
        </w:rPr>
        <w:t>Re Barbaro and Minister for Immigration and Ethnic Affairs </w:t>
      </w:r>
      <w:r w:rsidRPr="00A24DDE">
        <w:rPr>
          <w:rFonts w:ascii="Arial" w:hAnsi="Arial" w:cs="Arial"/>
          <w:color w:val="000000"/>
          <w:sz w:val="20"/>
          <w:szCs w:val="20"/>
          <w:bdr w:val="none" w:sz="0" w:space="0" w:color="auto" w:frame="1"/>
        </w:rPr>
        <w:t>[(1980) 3 ALD 1, 5], flexible procedural provisions allow ‘the nature of the procedures adopted at the hearing and the nature of the evidence which is received … [to] be adapted to the functions which [the tribunal] performs.’”</w:t>
      </w:r>
    </w:p>
    <w:p w14:paraId="42898599" w14:textId="77777777" w:rsidR="006B1B1F" w:rsidRPr="006B1B1F" w:rsidRDefault="006B1B1F" w:rsidP="006B1B1F">
      <w:pPr>
        <w:ind w:left="567" w:right="567"/>
        <w:jc w:val="both"/>
        <w:rPr>
          <w:rFonts w:ascii="Arial" w:hAnsi="Arial" w:cs="Arial"/>
          <w:color w:val="000000"/>
          <w:sz w:val="12"/>
          <w:szCs w:val="12"/>
          <w:bdr w:val="none" w:sz="0" w:space="0" w:color="auto" w:frame="1"/>
        </w:rPr>
      </w:pPr>
    </w:p>
    <w:p w14:paraId="30D71D98" w14:textId="77777777" w:rsidR="00A24DDE" w:rsidRDefault="00A24DDE" w:rsidP="006B1B1F">
      <w:pPr>
        <w:pBdr>
          <w:top w:val="single" w:sz="8" w:space="1" w:color="auto"/>
        </w:pBdr>
        <w:ind w:left="567" w:right="567"/>
        <w:jc w:val="both"/>
        <w:rPr>
          <w:rFonts w:ascii="Arial" w:hAnsi="Arial" w:cs="Arial"/>
          <w:sz w:val="12"/>
          <w:szCs w:val="12"/>
        </w:rPr>
      </w:pPr>
    </w:p>
    <w:p w14:paraId="47970FFC" w14:textId="77777777" w:rsidR="006B1B1F" w:rsidRDefault="006B1B1F" w:rsidP="006B1B1F">
      <w:pPr>
        <w:pBdr>
          <w:top w:val="single" w:sz="8" w:space="1" w:color="auto"/>
        </w:pBdr>
        <w:ind w:left="567" w:right="567"/>
        <w:jc w:val="both"/>
        <w:rPr>
          <w:rFonts w:ascii="Arial" w:hAnsi="Arial" w:cs="Arial"/>
          <w:sz w:val="12"/>
          <w:szCs w:val="12"/>
        </w:rPr>
      </w:pPr>
      <w:r>
        <w:rPr>
          <w:rFonts w:ascii="Arial" w:hAnsi="Arial" w:cs="Arial"/>
          <w:sz w:val="20"/>
          <w:szCs w:val="20"/>
        </w:rPr>
        <w:t>[135] “</w:t>
      </w:r>
      <w:r w:rsidRPr="00E10917">
        <w:rPr>
          <w:rFonts w:ascii="Arial" w:hAnsi="Arial" w:cs="Arial"/>
          <w:sz w:val="20"/>
          <w:szCs w:val="20"/>
          <w:lang w:eastAsia="en-AU"/>
        </w:rPr>
        <w:t>What is the relationship between the paramountcy principle, the court’s procedural discretion and the rules of natural justice which apply?  The well</w:t>
      </w:r>
      <w:r w:rsidRPr="00E10917">
        <w:rPr>
          <w:rFonts w:ascii="Arial" w:hAnsi="Arial" w:cs="Arial"/>
          <w:sz w:val="20"/>
          <w:szCs w:val="20"/>
          <w:lang w:eastAsia="en-AU"/>
        </w:rPr>
        <w:noBreakHyphen/>
        <w:t xml:space="preserve">established general principle is that the content of the rules of natural justice must take into account the </w:t>
      </w:r>
      <w:r w:rsidRPr="00964079">
        <w:rPr>
          <w:rFonts w:ascii="Arial" w:hAnsi="Arial" w:cs="Arial"/>
          <w:sz w:val="20"/>
          <w:szCs w:val="20"/>
          <w:lang w:eastAsia="en-AU"/>
        </w:rPr>
        <w:t xml:space="preserve">nature of the jurisdiction being exercised: </w:t>
      </w:r>
      <w:r w:rsidRPr="00964079">
        <w:rPr>
          <w:rFonts w:ascii="Arial" w:hAnsi="Arial" w:cs="Arial"/>
          <w:i/>
          <w:sz w:val="20"/>
          <w:szCs w:val="20"/>
        </w:rPr>
        <w:t>Kioa v West</w:t>
      </w:r>
      <w:r w:rsidRPr="00964079">
        <w:rPr>
          <w:rFonts w:ascii="Arial" w:hAnsi="Arial" w:cs="Arial"/>
          <w:sz w:val="20"/>
          <w:szCs w:val="20"/>
        </w:rPr>
        <w:t xml:space="preserve"> (1985) 159 CLR 550, 615, 633-634.</w:t>
      </w:r>
      <w:r w:rsidRPr="00964079">
        <w:rPr>
          <w:rFonts w:ascii="Arial" w:hAnsi="Arial" w:cs="Arial"/>
          <w:sz w:val="20"/>
          <w:szCs w:val="20"/>
          <w:lang w:eastAsia="en-AU"/>
        </w:rPr>
        <w:t xml:space="preserve">  Where the jurisdiction is one in which the interests of the child are paramount, the particular content and application of the rules of natural justice will reflect the nature of that jurisdiction.  Likewise, the principle will influence the exercise of the court’s procedural discretion.</w:t>
      </w:r>
    </w:p>
    <w:p w14:paraId="094D0021" w14:textId="75329691" w:rsidR="00964079" w:rsidRPr="00964079" w:rsidRDefault="005960F3" w:rsidP="00365FFA">
      <w:pPr>
        <w:spacing w:before="60"/>
        <w:ind w:left="567" w:right="567"/>
        <w:jc w:val="both"/>
      </w:pPr>
      <w:r>
        <w:rPr>
          <w:rFonts w:ascii="Arial" w:hAnsi="Arial" w:cs="Arial"/>
          <w:sz w:val="20"/>
          <w:szCs w:val="20"/>
          <w:lang w:eastAsia="en-AU"/>
        </w:rPr>
        <w:t xml:space="preserve">[136] </w:t>
      </w:r>
      <w:r w:rsidR="00964079" w:rsidRPr="00E10917">
        <w:rPr>
          <w:rFonts w:ascii="Arial" w:hAnsi="Arial" w:cs="Arial"/>
          <w:sz w:val="20"/>
          <w:szCs w:val="20"/>
          <w:lang w:eastAsia="en-AU"/>
        </w:rPr>
        <w:t xml:space="preserve">Thus, in </w:t>
      </w:r>
      <w:r w:rsidR="00964079" w:rsidRPr="00E10917">
        <w:rPr>
          <w:rFonts w:ascii="Arial" w:hAnsi="Arial" w:cs="Arial"/>
          <w:i/>
          <w:sz w:val="20"/>
          <w:szCs w:val="20"/>
          <w:lang w:eastAsia="en-AU"/>
        </w:rPr>
        <w:t>J v Leischke</w:t>
      </w:r>
      <w:r w:rsidR="00964079">
        <w:rPr>
          <w:rFonts w:ascii="Arial" w:hAnsi="Arial" w:cs="Arial"/>
          <w:i/>
          <w:sz w:val="20"/>
          <w:szCs w:val="20"/>
          <w:lang w:eastAsia="en-AU"/>
        </w:rPr>
        <w:t xml:space="preserve"> </w:t>
      </w:r>
      <w:r w:rsidR="00964079" w:rsidRPr="00964079">
        <w:rPr>
          <w:rFonts w:ascii="Arial" w:hAnsi="Arial" w:cs="Arial"/>
          <w:sz w:val="20"/>
          <w:szCs w:val="20"/>
        </w:rPr>
        <w:t>(1987) 162 CLR 447</w:t>
      </w:r>
      <w:r w:rsidR="00964079">
        <w:rPr>
          <w:rFonts w:ascii="Arial" w:hAnsi="Arial" w:cs="Arial"/>
          <w:sz w:val="20"/>
          <w:szCs w:val="20"/>
        </w:rPr>
        <w:t xml:space="preserve"> at 457</w:t>
      </w:r>
      <w:r w:rsidR="00964079" w:rsidRPr="00964079">
        <w:rPr>
          <w:rFonts w:ascii="Arial" w:hAnsi="Arial" w:cs="Arial"/>
          <w:sz w:val="20"/>
          <w:szCs w:val="20"/>
          <w:lang w:eastAsia="en-AU"/>
        </w:rPr>
        <w:t>, it</w:t>
      </w:r>
      <w:r w:rsidR="00964079" w:rsidRPr="00E10917">
        <w:rPr>
          <w:rFonts w:ascii="Arial" w:hAnsi="Arial" w:cs="Arial"/>
          <w:sz w:val="20"/>
          <w:szCs w:val="20"/>
          <w:lang w:eastAsia="en-AU"/>
        </w:rPr>
        <w:t xml:space="preserve"> was held by Brennan</w:t>
      </w:r>
      <w:r w:rsidR="009A2F63">
        <w:rPr>
          <w:rFonts w:ascii="Arial" w:hAnsi="Arial" w:cs="Arial"/>
          <w:sz w:val="20"/>
          <w:szCs w:val="20"/>
          <w:lang w:eastAsia="en-AU"/>
        </w:rPr>
        <w:t xml:space="preserve"> </w:t>
      </w:r>
      <w:r w:rsidR="00964079" w:rsidRPr="00E10917">
        <w:rPr>
          <w:rFonts w:ascii="Arial" w:hAnsi="Arial" w:cs="Arial"/>
          <w:sz w:val="20"/>
          <w:szCs w:val="20"/>
          <w:lang w:eastAsia="en-AU"/>
        </w:rPr>
        <w:t xml:space="preserve">J </w:t>
      </w:r>
      <w:r w:rsidR="00964079">
        <w:rPr>
          <w:rFonts w:ascii="Arial" w:hAnsi="Arial" w:cs="Arial"/>
          <w:sz w:val="20"/>
          <w:szCs w:val="20"/>
          <w:lang w:eastAsia="en-AU"/>
        </w:rPr>
        <w:t>(with whom Mason, Wilson, Deane &amp; Dawson JJ agreed) t</w:t>
      </w:r>
      <w:r w:rsidR="00964079" w:rsidRPr="00E10917">
        <w:rPr>
          <w:rFonts w:ascii="Arial" w:hAnsi="Arial" w:cs="Arial"/>
          <w:sz w:val="20"/>
          <w:szCs w:val="20"/>
          <w:lang w:eastAsia="en-AU"/>
        </w:rPr>
        <w:t xml:space="preserve">hat in </w:t>
      </w:r>
      <w:r w:rsidR="00620D75">
        <w:rPr>
          <w:rFonts w:ascii="Arial" w:hAnsi="Arial" w:cs="Arial"/>
          <w:sz w:val="20"/>
          <w:szCs w:val="20"/>
          <w:lang w:eastAsia="en-AU"/>
        </w:rPr>
        <w:t>‘</w:t>
      </w:r>
      <w:r w:rsidR="00964079" w:rsidRPr="00E10917">
        <w:rPr>
          <w:rFonts w:ascii="Arial" w:hAnsi="Arial" w:cs="Arial"/>
          <w:sz w:val="20"/>
          <w:szCs w:val="20"/>
          <w:lang w:eastAsia="en-AU"/>
        </w:rPr>
        <w:t>some custody proceedings, some qualification of the principles of natural justice may be necessary in order to ensure paramountcy of the welfare of the child</w:t>
      </w:r>
      <w:r w:rsidR="00620D75">
        <w:rPr>
          <w:rFonts w:ascii="Arial" w:hAnsi="Arial" w:cs="Arial"/>
          <w:sz w:val="20"/>
          <w:szCs w:val="20"/>
          <w:lang w:eastAsia="en-AU"/>
        </w:rPr>
        <w:t>’</w:t>
      </w:r>
      <w:r w:rsidR="00964079" w:rsidRPr="00E10917">
        <w:rPr>
          <w:rFonts w:ascii="Arial" w:hAnsi="Arial" w:cs="Arial"/>
          <w:sz w:val="20"/>
          <w:szCs w:val="20"/>
          <w:lang w:eastAsia="en-AU"/>
        </w:rPr>
        <w:t xml:space="preserve">, but only </w:t>
      </w:r>
      <w:r w:rsidR="00620D75">
        <w:rPr>
          <w:rFonts w:ascii="Arial" w:hAnsi="Arial" w:cs="Arial"/>
          <w:sz w:val="20"/>
          <w:szCs w:val="20"/>
          <w:lang w:eastAsia="en-AU"/>
        </w:rPr>
        <w:t>‘</w:t>
      </w:r>
      <w:r w:rsidR="00964079" w:rsidRPr="00E10917">
        <w:rPr>
          <w:rFonts w:ascii="Arial" w:hAnsi="Arial" w:cs="Arial"/>
          <w:sz w:val="20"/>
          <w:szCs w:val="20"/>
          <w:lang w:eastAsia="en-AU"/>
        </w:rPr>
        <w:t>so far as necessary to avoid frustration of the purpose for which the jurisdiction is conferred</w:t>
      </w:r>
      <w:r w:rsidR="00620D75">
        <w:rPr>
          <w:rFonts w:ascii="Arial" w:hAnsi="Arial" w:cs="Arial"/>
          <w:sz w:val="20"/>
          <w:szCs w:val="20"/>
          <w:lang w:eastAsia="en-AU"/>
        </w:rPr>
        <w:t>’</w:t>
      </w:r>
      <w:r w:rsidR="00964079" w:rsidRPr="00E10917">
        <w:rPr>
          <w:rFonts w:ascii="Arial" w:hAnsi="Arial" w:cs="Arial"/>
          <w:sz w:val="20"/>
          <w:szCs w:val="20"/>
          <w:lang w:eastAsia="en-AU"/>
        </w:rPr>
        <w:t>.</w:t>
      </w:r>
      <w:r w:rsidR="00964079">
        <w:t xml:space="preserve">  </w:t>
      </w:r>
      <w:r w:rsidR="00964079" w:rsidRPr="00E10917">
        <w:rPr>
          <w:rFonts w:ascii="Arial" w:hAnsi="Arial" w:cs="Arial"/>
          <w:sz w:val="20"/>
          <w:szCs w:val="20"/>
          <w:lang w:eastAsia="en-AU"/>
        </w:rPr>
        <w:t xml:space="preserve">That principle was applied in the Family Court of Australia in </w:t>
      </w:r>
      <w:r w:rsidR="00964079" w:rsidRPr="00E10917">
        <w:rPr>
          <w:rFonts w:ascii="Arial" w:hAnsi="Arial" w:cs="Arial"/>
          <w:i/>
          <w:sz w:val="20"/>
          <w:szCs w:val="20"/>
          <w:lang w:eastAsia="en-AU"/>
        </w:rPr>
        <w:t>Separate Representative v E</w:t>
      </w:r>
      <w:r w:rsidR="00964079" w:rsidRPr="00E10917">
        <w:rPr>
          <w:rFonts w:ascii="Arial" w:hAnsi="Arial" w:cs="Arial"/>
          <w:sz w:val="20"/>
          <w:szCs w:val="20"/>
          <w:lang w:eastAsia="en-AU"/>
        </w:rPr>
        <w:t xml:space="preserve"> </w:t>
      </w:r>
      <w:r w:rsidR="00964079" w:rsidRPr="00964079">
        <w:rPr>
          <w:rFonts w:ascii="Arial" w:hAnsi="Arial" w:cs="Arial"/>
          <w:sz w:val="20"/>
          <w:szCs w:val="20"/>
        </w:rPr>
        <w:t>(1993) 114 FLR 1</w:t>
      </w:r>
      <w:r w:rsidR="00964079">
        <w:rPr>
          <w:rFonts w:ascii="Arial" w:hAnsi="Arial" w:cs="Arial"/>
          <w:sz w:val="20"/>
          <w:szCs w:val="20"/>
        </w:rPr>
        <w:t xml:space="preserve"> </w:t>
      </w:r>
      <w:r w:rsidR="00964079" w:rsidRPr="00964079">
        <w:rPr>
          <w:rFonts w:ascii="Arial" w:hAnsi="Arial" w:cs="Arial"/>
          <w:sz w:val="20"/>
          <w:szCs w:val="20"/>
          <w:lang w:eastAsia="en-AU"/>
        </w:rPr>
        <w:t xml:space="preserve">by </w:t>
      </w:r>
      <w:r w:rsidR="00964079" w:rsidRPr="00E10917">
        <w:rPr>
          <w:rFonts w:ascii="Arial" w:hAnsi="Arial" w:cs="Arial"/>
          <w:sz w:val="20"/>
          <w:szCs w:val="20"/>
          <w:lang w:eastAsia="en-AU"/>
        </w:rPr>
        <w:t>Nicholson CJ and Fogarty J, who held</w:t>
      </w:r>
      <w:r w:rsidR="00964079">
        <w:rPr>
          <w:rFonts w:ascii="Arial" w:hAnsi="Arial" w:cs="Arial"/>
          <w:sz w:val="20"/>
          <w:szCs w:val="20"/>
          <w:lang w:eastAsia="en-AU"/>
        </w:rPr>
        <w:t xml:space="preserve"> at 14</w:t>
      </w:r>
      <w:r w:rsidR="00964079" w:rsidRPr="00E10917">
        <w:rPr>
          <w:rFonts w:ascii="Arial" w:hAnsi="Arial" w:cs="Arial"/>
          <w:sz w:val="20"/>
          <w:szCs w:val="20"/>
          <w:lang w:eastAsia="en-AU"/>
        </w:rPr>
        <w:t>:</w:t>
      </w:r>
    </w:p>
    <w:p w14:paraId="6A0AB3B3" w14:textId="77777777" w:rsidR="00E10917" w:rsidRPr="00E10917" w:rsidRDefault="005960F3" w:rsidP="005960F3">
      <w:pPr>
        <w:pStyle w:val="Quote1"/>
        <w:widowControl/>
        <w:spacing w:before="60" w:after="0" w:line="240" w:lineRule="auto"/>
        <w:ind w:left="1021" w:right="1021" w:firstLine="0"/>
        <w:rPr>
          <w:rFonts w:ascii="Arial" w:hAnsi="Arial" w:cs="Arial"/>
          <w:sz w:val="20"/>
          <w:lang w:eastAsia="en-AU"/>
        </w:rPr>
      </w:pPr>
      <w:r>
        <w:rPr>
          <w:rFonts w:ascii="Arial" w:hAnsi="Arial" w:cs="Arial"/>
          <w:sz w:val="20"/>
          <w:lang w:eastAsia="en-AU"/>
        </w:rPr>
        <w:t>‘</w:t>
      </w:r>
      <w:r w:rsidR="00E10917" w:rsidRPr="00E10917">
        <w:rPr>
          <w:rFonts w:ascii="Arial" w:hAnsi="Arial" w:cs="Arial"/>
          <w:sz w:val="20"/>
          <w:lang w:eastAsia="en-AU"/>
        </w:rPr>
        <w:t>In the exercise of its jurisdiction to determine disputes relating to the custody, guardianship or welfare of, or access to a child, the Family Court has obligations to regard the child’s welfare as paramount (s 64(1)(a)), to protect the child from harm (s 64(1)(b)(a)), and to make ‘such order in respect of those matters as it considers proper’ (s 64(1)(c)).  The rights of the disputants to natural justice are therefore qualified to the extent that those rights encroach on or are in conflict with these obligations.</w:t>
      </w:r>
      <w:r>
        <w:rPr>
          <w:rFonts w:ascii="Arial" w:hAnsi="Arial" w:cs="Arial"/>
          <w:sz w:val="20"/>
          <w:lang w:eastAsia="en-AU"/>
        </w:rPr>
        <w:t>’</w:t>
      </w:r>
    </w:p>
    <w:p w14:paraId="379CBF55" w14:textId="77777777" w:rsidR="005960F3" w:rsidRPr="005960F3" w:rsidRDefault="005960F3" w:rsidP="006A0F25">
      <w:pPr>
        <w:spacing w:before="60"/>
        <w:ind w:left="567" w:right="567"/>
        <w:jc w:val="both"/>
        <w:rPr>
          <w:rFonts w:ascii="Arial" w:hAnsi="Arial" w:cs="Arial"/>
          <w:sz w:val="20"/>
          <w:szCs w:val="20"/>
        </w:rPr>
      </w:pPr>
      <w:r w:rsidRPr="005960F3">
        <w:rPr>
          <w:rFonts w:ascii="Arial" w:hAnsi="Arial" w:cs="Arial"/>
          <w:sz w:val="20"/>
          <w:szCs w:val="20"/>
        </w:rPr>
        <w:t>[137]</w:t>
      </w:r>
      <w:r>
        <w:rPr>
          <w:rFonts w:ascii="Arial" w:hAnsi="Arial" w:cs="Arial"/>
          <w:sz w:val="20"/>
          <w:szCs w:val="20"/>
        </w:rPr>
        <w:t xml:space="preserve"> </w:t>
      </w:r>
      <w:r w:rsidRPr="00E10917">
        <w:rPr>
          <w:rFonts w:ascii="Arial" w:hAnsi="Arial" w:cs="Arial"/>
          <w:sz w:val="20"/>
          <w:szCs w:val="20"/>
          <w:lang w:eastAsia="en-AU"/>
        </w:rPr>
        <w:t>Accordingly, the rules of natural justice do not prevent a court, when exercising a wardship, guardianship, protection or like jurisdiction in the best interests of the child, from exercising its discretion to adopt fair procedures which will suit that purpose.</w:t>
      </w:r>
      <w:r w:rsidR="006B1B1F">
        <w:rPr>
          <w:rFonts w:ascii="Arial" w:hAnsi="Arial" w:cs="Arial"/>
          <w:sz w:val="20"/>
          <w:szCs w:val="20"/>
          <w:lang w:eastAsia="en-AU"/>
        </w:rPr>
        <w:t>”</w:t>
      </w:r>
    </w:p>
    <w:p w14:paraId="1364E989" w14:textId="77777777" w:rsidR="006B1B1F" w:rsidRPr="006B1B1F" w:rsidRDefault="006B1B1F" w:rsidP="006B1B1F">
      <w:pPr>
        <w:ind w:left="567" w:right="567"/>
        <w:jc w:val="both"/>
        <w:rPr>
          <w:rFonts w:ascii="Arial" w:hAnsi="Arial" w:cs="Arial"/>
          <w:color w:val="000000"/>
          <w:sz w:val="12"/>
          <w:szCs w:val="12"/>
          <w:bdr w:val="none" w:sz="0" w:space="0" w:color="auto" w:frame="1"/>
        </w:rPr>
      </w:pPr>
    </w:p>
    <w:p w14:paraId="215FF574" w14:textId="77777777" w:rsidR="006B1B1F" w:rsidRDefault="006B1B1F" w:rsidP="006B1B1F">
      <w:pPr>
        <w:pBdr>
          <w:top w:val="single" w:sz="8" w:space="1" w:color="auto"/>
        </w:pBdr>
        <w:ind w:left="567" w:right="567"/>
        <w:jc w:val="both"/>
        <w:rPr>
          <w:rFonts w:ascii="Arial" w:hAnsi="Arial" w:cs="Arial"/>
          <w:sz w:val="12"/>
          <w:szCs w:val="12"/>
        </w:rPr>
      </w:pPr>
    </w:p>
    <w:p w14:paraId="79581DF5" w14:textId="5EED60DA" w:rsidR="00A24DDE" w:rsidRPr="00785E1A" w:rsidRDefault="00A24DDE" w:rsidP="006A0F25">
      <w:pPr>
        <w:spacing w:before="60"/>
        <w:ind w:left="567" w:right="567"/>
        <w:contextualSpacing/>
        <w:jc w:val="both"/>
        <w:rPr>
          <w:rFonts w:ascii="Arial" w:hAnsi="Arial" w:cs="Arial"/>
          <w:bCs/>
          <w:color w:val="000000"/>
          <w:sz w:val="20"/>
        </w:rPr>
      </w:pPr>
      <w:r w:rsidRPr="00785E1A">
        <w:rPr>
          <w:rFonts w:ascii="Arial" w:hAnsi="Arial" w:cs="Arial"/>
          <w:bCs/>
          <w:color w:val="000000"/>
          <w:sz w:val="20"/>
        </w:rPr>
        <w:t xml:space="preserve">[146] </w:t>
      </w:r>
      <w:r>
        <w:rPr>
          <w:rFonts w:ascii="Arial" w:hAnsi="Arial" w:cs="Arial"/>
          <w:bCs/>
          <w:color w:val="000000"/>
          <w:sz w:val="20"/>
        </w:rPr>
        <w:t>“</w:t>
      </w:r>
      <w:r w:rsidRPr="00785E1A">
        <w:rPr>
          <w:rFonts w:ascii="Arial" w:hAnsi="Arial" w:cs="Arial"/>
          <w:bCs/>
          <w:color w:val="000000"/>
          <w:sz w:val="20"/>
        </w:rPr>
        <w:t xml:space="preserve">While the natural justice afforded to parties, and the procedures followed by the court, may be influenced by the overriding consideration of the best interests of the child, the parties must still be afforded procedural fairness.  So it was that, in </w:t>
      </w:r>
      <w:r w:rsidRPr="00785E1A">
        <w:rPr>
          <w:rFonts w:ascii="Arial" w:hAnsi="Arial" w:cs="Arial"/>
          <w:bCs/>
          <w:i/>
          <w:color w:val="000000"/>
          <w:sz w:val="20"/>
        </w:rPr>
        <w:t>T v T</w:t>
      </w:r>
      <w:r w:rsidRPr="00785E1A">
        <w:rPr>
          <w:rFonts w:ascii="Arial" w:hAnsi="Arial" w:cs="Arial"/>
          <w:bCs/>
          <w:color w:val="000000"/>
          <w:sz w:val="20"/>
        </w:rPr>
        <w:t xml:space="preserve"> (2008) 38 </w:t>
      </w:r>
      <w:r w:rsidR="000F0BE9">
        <w:rPr>
          <w:rFonts w:ascii="Arial" w:hAnsi="Arial" w:cs="Arial"/>
          <w:bCs/>
          <w:color w:val="000000"/>
          <w:sz w:val="20"/>
        </w:rPr>
        <w:t>I</w:t>
      </w:r>
      <w:r w:rsidRPr="00785E1A">
        <w:rPr>
          <w:rFonts w:ascii="Arial" w:hAnsi="Arial" w:cs="Arial"/>
          <w:bCs/>
          <w:color w:val="000000"/>
          <w:sz w:val="20"/>
        </w:rPr>
        <w:t xml:space="preserve"> LR 614, the Full Court of the Family Court of Australia held that trials conducted under the new less adversarial trial arrangements must conform to that requirement.  Similarly, in </w:t>
      </w:r>
      <w:r w:rsidRPr="00785E1A">
        <w:rPr>
          <w:rFonts w:ascii="Arial" w:hAnsi="Arial" w:cs="Arial"/>
          <w:bCs/>
          <w:i/>
          <w:color w:val="000000"/>
          <w:sz w:val="20"/>
        </w:rPr>
        <w:t>Re Timothy</w:t>
      </w:r>
      <w:r w:rsidRPr="00785E1A">
        <w:rPr>
          <w:rFonts w:ascii="Arial" w:hAnsi="Arial" w:cs="Arial"/>
          <w:bCs/>
          <w:color w:val="000000"/>
          <w:sz w:val="20"/>
        </w:rPr>
        <w:t xml:space="preserve"> (2010) 43 </w:t>
      </w:r>
      <w:r w:rsidR="000F0BE9">
        <w:rPr>
          <w:rFonts w:ascii="Arial" w:hAnsi="Arial" w:cs="Arial"/>
          <w:bCs/>
          <w:color w:val="000000"/>
          <w:sz w:val="20"/>
        </w:rPr>
        <w:t>I</w:t>
      </w:r>
      <w:r w:rsidRPr="00785E1A">
        <w:rPr>
          <w:rFonts w:ascii="Arial" w:hAnsi="Arial" w:cs="Arial"/>
          <w:bCs/>
          <w:color w:val="000000"/>
          <w:sz w:val="20"/>
        </w:rPr>
        <w:t xml:space="preserve"> LR 234 at [32], a magistrate of the Children’s Court of New South Wales was held to have breached the rules of natural justice by not disqualifying herself from making orders when she had followed a procedure, in the best interests of the child, which created a reasonable apprehension of bias.</w:t>
      </w:r>
    </w:p>
    <w:p w14:paraId="44823065" w14:textId="77777777" w:rsidR="00A24DDE" w:rsidRPr="00785E1A" w:rsidRDefault="00A24DDE" w:rsidP="00A24DDE">
      <w:pPr>
        <w:spacing w:before="60" w:line="240" w:lineRule="exact"/>
        <w:ind w:left="567" w:right="567"/>
        <w:jc w:val="both"/>
        <w:rPr>
          <w:rFonts w:ascii="Arial" w:hAnsi="Arial" w:cs="Arial"/>
          <w:bCs/>
          <w:color w:val="000000"/>
          <w:sz w:val="20"/>
        </w:rPr>
      </w:pPr>
      <w:r w:rsidRPr="00785E1A">
        <w:rPr>
          <w:rFonts w:ascii="Arial" w:hAnsi="Arial" w:cs="Arial"/>
          <w:bCs/>
          <w:color w:val="000000"/>
          <w:sz w:val="20"/>
        </w:rPr>
        <w:t xml:space="preserve">[147] The principle of the best interests of the child cannot override a legislative prohibition.  For example, the principle cannot be employed to make admissible in evidence admissions made in a counselling session which is confidential under a specific legislative provision: </w:t>
      </w:r>
      <w:r w:rsidRPr="00785E1A">
        <w:rPr>
          <w:rFonts w:ascii="Arial" w:hAnsi="Arial" w:cs="Arial"/>
          <w:bCs/>
          <w:i/>
          <w:color w:val="000000"/>
          <w:sz w:val="20"/>
        </w:rPr>
        <w:t>Centacare Central Queensland v G</w:t>
      </w:r>
      <w:r w:rsidRPr="00785E1A">
        <w:rPr>
          <w:rFonts w:ascii="Arial" w:hAnsi="Arial" w:cs="Arial"/>
          <w:bCs/>
          <w:color w:val="000000"/>
          <w:sz w:val="20"/>
        </w:rPr>
        <w:t xml:space="preserve"> (1998) 146 FLR 252, 264; approved </w:t>
      </w:r>
      <w:r w:rsidRPr="00785E1A">
        <w:rPr>
          <w:rFonts w:ascii="Arial" w:hAnsi="Arial" w:cs="Arial"/>
          <w:bCs/>
          <w:i/>
          <w:color w:val="000000"/>
          <w:sz w:val="20"/>
        </w:rPr>
        <w:t>Northern Territory v GPAO</w:t>
      </w:r>
      <w:r w:rsidRPr="00785E1A">
        <w:rPr>
          <w:rFonts w:ascii="Arial" w:hAnsi="Arial" w:cs="Arial"/>
          <w:bCs/>
          <w:color w:val="000000"/>
          <w:sz w:val="20"/>
        </w:rPr>
        <w:t xml:space="preserve"> (1999) 196 CLR 553, 585 per Gleeson CJ and Gummow J.”</w:t>
      </w:r>
    </w:p>
    <w:p w14:paraId="69BE2AFD" w14:textId="77777777" w:rsidR="003A5D77" w:rsidRPr="006B1B1F" w:rsidRDefault="003A5D77" w:rsidP="003A5D77">
      <w:pPr>
        <w:ind w:left="567" w:right="567"/>
        <w:jc w:val="both"/>
        <w:rPr>
          <w:rFonts w:ascii="Arial" w:hAnsi="Arial" w:cs="Arial"/>
          <w:color w:val="000000"/>
          <w:sz w:val="12"/>
          <w:szCs w:val="12"/>
          <w:bdr w:val="none" w:sz="0" w:space="0" w:color="auto" w:frame="1"/>
        </w:rPr>
      </w:pPr>
    </w:p>
    <w:p w14:paraId="3F842046" w14:textId="77777777" w:rsidR="003A5D77" w:rsidRDefault="003A5D77" w:rsidP="003A5D77">
      <w:pPr>
        <w:pBdr>
          <w:top w:val="single" w:sz="8" w:space="1" w:color="auto"/>
        </w:pBdr>
        <w:ind w:left="567" w:right="567"/>
        <w:jc w:val="both"/>
        <w:rPr>
          <w:rFonts w:ascii="Arial" w:hAnsi="Arial" w:cs="Arial"/>
          <w:sz w:val="12"/>
          <w:szCs w:val="12"/>
        </w:rPr>
      </w:pPr>
    </w:p>
    <w:p w14:paraId="51877E36" w14:textId="6CE5C815" w:rsidR="00A24DDE" w:rsidRDefault="003A5D77" w:rsidP="00C130C8">
      <w:pPr>
        <w:tabs>
          <w:tab w:val="left" w:pos="363"/>
        </w:tabs>
        <w:jc w:val="both"/>
        <w:rPr>
          <w:rFonts w:ascii="Arial" w:hAnsi="Arial" w:cs="Arial"/>
          <w:color w:val="000000"/>
          <w:sz w:val="20"/>
          <w:lang w:val="en-US"/>
        </w:rPr>
      </w:pPr>
      <w:r>
        <w:rPr>
          <w:rFonts w:ascii="Arial" w:hAnsi="Arial" w:cs="Arial"/>
          <w:color w:val="000000"/>
          <w:sz w:val="20"/>
          <w:lang w:val="en-US"/>
        </w:rPr>
        <w:t xml:space="preserve">At [276]-[284] Bell J concluded his judgment in </w:t>
      </w:r>
      <w:r w:rsidRPr="003A5D77">
        <w:rPr>
          <w:rFonts w:ascii="Arial" w:hAnsi="Arial" w:cs="Arial"/>
          <w:i/>
          <w:iCs/>
          <w:color w:val="000000"/>
          <w:sz w:val="20"/>
          <w:lang w:val="en-US"/>
        </w:rPr>
        <w:t>DOHS v Sanding</w:t>
      </w:r>
      <w:r>
        <w:rPr>
          <w:rFonts w:ascii="Arial" w:hAnsi="Arial" w:cs="Arial"/>
          <w:color w:val="000000"/>
          <w:sz w:val="20"/>
          <w:lang w:val="en-US"/>
        </w:rPr>
        <w:t xml:space="preserve"> with the following summary [emphasis added]:</w:t>
      </w:r>
    </w:p>
    <w:p w14:paraId="69EF0BC5" w14:textId="60BA5500"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[276] “</w:t>
      </w:r>
      <w:r w:rsidRPr="003A5D77">
        <w:rPr>
          <w:rFonts w:ascii="Arial" w:hAnsi="Arial" w:cs="Arial"/>
          <w:bCs/>
          <w:color w:val="000000"/>
          <w:sz w:val="20"/>
        </w:rPr>
        <w:t xml:space="preserve">Four Aboriginal children were removed from their grandmother’s home by the Secretary of the Department of Human Services because they were in need of protection. They were then placed separately in out of home care with non-Aboriginal families. No </w:t>
      </w:r>
      <w:r w:rsidRPr="003A5D77">
        <w:rPr>
          <w:rFonts w:ascii="Arial" w:hAnsi="Arial" w:cs="Arial"/>
          <w:bCs/>
          <w:color w:val="000000"/>
          <w:sz w:val="20"/>
        </w:rPr>
        <w:lastRenderedPageBreak/>
        <w:t>family was available to take the four of them together and no Aboriginal family was available to take any of them at all.</w:t>
      </w:r>
    </w:p>
    <w:p w14:paraId="457D5761" w14:textId="7639D246"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[277] </w:t>
      </w:r>
      <w:r w:rsidRPr="003A5D77">
        <w:rPr>
          <w:rFonts w:ascii="Arial" w:hAnsi="Arial" w:cs="Arial"/>
          <w:bCs/>
          <w:color w:val="000000"/>
          <w:sz w:val="20"/>
        </w:rPr>
        <w:t>The mother applied to the Children’s Court for the revocation of the custody to orders under which the secretary moved the children. The magistrate determined that application on the first mention day after conducting a submissions contest hearing in which his Honour obtained information, but not actual evidence, from the department’s reports and the legal representatives of the parties. His Honour revoked the orders and made interim accommodation orders (on strict conditions) returning the children to the care of the grandmother, pending the further consideration of the matter by the court in six weeks.</w:t>
      </w:r>
    </w:p>
    <w:p w14:paraId="3F434D2C" w14:textId="448D8042"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[278] </w:t>
      </w:r>
      <w:r w:rsidRPr="003A5D77">
        <w:rPr>
          <w:rFonts w:ascii="Arial" w:hAnsi="Arial" w:cs="Arial"/>
          <w:bCs/>
          <w:color w:val="000000"/>
          <w:sz w:val="20"/>
        </w:rPr>
        <w:t xml:space="preserve">The </w:t>
      </w:r>
      <w:r>
        <w:rPr>
          <w:rFonts w:ascii="Arial" w:hAnsi="Arial" w:cs="Arial"/>
          <w:bCs/>
          <w:color w:val="000000"/>
          <w:sz w:val="20"/>
        </w:rPr>
        <w:t>S</w:t>
      </w:r>
      <w:r w:rsidRPr="003A5D77">
        <w:rPr>
          <w:rFonts w:ascii="Arial" w:hAnsi="Arial" w:cs="Arial"/>
          <w:bCs/>
          <w:color w:val="000000"/>
          <w:sz w:val="20"/>
        </w:rPr>
        <w:t>ecretary has appealed against the magistrate’s decision on the ground of error of law. She submits the magistrate should have conducted a formal hearing at which at least some formal evidence was taken.</w:t>
      </w:r>
    </w:p>
    <w:p w14:paraId="6C015738" w14:textId="40840310"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[279] </w:t>
      </w:r>
      <w:r w:rsidRPr="003A5D77">
        <w:rPr>
          <w:rFonts w:ascii="Arial" w:hAnsi="Arial" w:cs="Arial"/>
          <w:bCs/>
          <w:color w:val="000000"/>
          <w:sz w:val="20"/>
        </w:rPr>
        <w:t>On the information given to the magistrate, the real risk to the wellbeing of the children was the drug-taking activity of their mother and her disturbance of the home of the grandmother in which the family was living. Through her legal representative, the mother informed the magistrate she was leaving the grandmother’s home. In my view, that was new and significant information which made it open to his Honour to make conditional orders returning the children to the grandmother’s care pending the further consideration of the matter by the court.</w:t>
      </w:r>
    </w:p>
    <w:p w14:paraId="0BEA4D3C" w14:textId="346F1CF7"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[280] </w:t>
      </w:r>
      <w:r w:rsidRPr="003A5D77">
        <w:rPr>
          <w:rFonts w:ascii="Arial" w:hAnsi="Arial" w:cs="Arial"/>
          <w:b/>
          <w:color w:val="000000"/>
          <w:sz w:val="20"/>
        </w:rPr>
        <w:t xml:space="preserve">Although this and other relevant information was not given to the court as sworn evidence, the facts which it revealed were not in serious dispute. The mother, the grandmother and the </w:t>
      </w:r>
      <w:r w:rsidR="00D22582">
        <w:rPr>
          <w:rFonts w:ascii="Arial" w:hAnsi="Arial" w:cs="Arial"/>
          <w:b/>
          <w:color w:val="000000"/>
          <w:sz w:val="20"/>
        </w:rPr>
        <w:t>S</w:t>
      </w:r>
      <w:r w:rsidRPr="003A5D77">
        <w:rPr>
          <w:rFonts w:ascii="Arial" w:hAnsi="Arial" w:cs="Arial"/>
          <w:b/>
          <w:color w:val="000000"/>
          <w:sz w:val="20"/>
        </w:rPr>
        <w:t>ecretary were all represented at the submissions contest hearing. The magistrate made clear he was considering making revocation orders on that day. No</w:t>
      </w:r>
      <w:r w:rsidR="00D22582">
        <w:rPr>
          <w:rFonts w:ascii="Arial" w:hAnsi="Arial" w:cs="Arial"/>
          <w:b/>
          <w:color w:val="000000"/>
          <w:sz w:val="20"/>
        </w:rPr>
        <w:t xml:space="preserve"> </w:t>
      </w:r>
      <w:r w:rsidRPr="003A5D77">
        <w:rPr>
          <w:rFonts w:ascii="Arial" w:hAnsi="Arial" w:cs="Arial"/>
          <w:b/>
          <w:color w:val="000000"/>
          <w:sz w:val="20"/>
        </w:rPr>
        <w:t>party sought an adjournment. The main debate at the hearing concerned the orders which the court should make (if any). In the circumstances, the information was sufficiently reliable and probative to form a proper basis for the magistrate’s decision.</w:t>
      </w:r>
    </w:p>
    <w:p w14:paraId="44DE1BA6" w14:textId="797B5D45" w:rsidR="003A5D77" w:rsidRDefault="003A5D77" w:rsidP="00C130C8">
      <w:pPr>
        <w:spacing w:before="60"/>
        <w:ind w:left="567" w:right="567"/>
        <w:jc w:val="both"/>
        <w:rPr>
          <w:rFonts w:ascii="Arial" w:hAnsi="Arial" w:cs="Arial"/>
          <w:b/>
          <w:color w:val="000000"/>
          <w:sz w:val="20"/>
        </w:rPr>
      </w:pPr>
      <w:r>
        <w:rPr>
          <w:rFonts w:ascii="Arial" w:hAnsi="Arial" w:cs="Arial"/>
          <w:bCs/>
          <w:color w:val="000000"/>
          <w:sz w:val="20"/>
        </w:rPr>
        <w:t xml:space="preserve">[281] </w:t>
      </w:r>
      <w:r w:rsidR="00C130C8" w:rsidRPr="003A5D77">
        <w:rPr>
          <w:rFonts w:ascii="Arial" w:hAnsi="Arial" w:cs="Arial"/>
          <w:b/>
          <w:color w:val="000000"/>
          <w:sz w:val="20"/>
        </w:rPr>
        <w:t>The</w:t>
      </w:r>
      <w:r w:rsidR="00D22582" w:rsidRPr="00D22582">
        <w:rPr>
          <w:rFonts w:ascii="Arial" w:hAnsi="Arial" w:cs="Arial"/>
          <w:b/>
          <w:color w:val="000000"/>
          <w:sz w:val="20"/>
        </w:rPr>
        <w:t xml:space="preserve"> </w:t>
      </w:r>
      <w:r w:rsidR="00D22582" w:rsidRPr="00D22582">
        <w:rPr>
          <w:rFonts w:ascii="Arial" w:hAnsi="Arial" w:cs="Arial"/>
          <w:b/>
          <w:i/>
          <w:iCs/>
          <w:color w:val="000000"/>
          <w:sz w:val="20"/>
        </w:rPr>
        <w:t>Children, Youth and Families Act 2005</w:t>
      </w:r>
      <w:r w:rsidR="00D22582" w:rsidRPr="00D22582">
        <w:rPr>
          <w:rFonts w:ascii="Arial" w:hAnsi="Arial" w:cs="Arial"/>
          <w:b/>
          <w:color w:val="000000"/>
          <w:sz w:val="20"/>
        </w:rPr>
        <w:t xml:space="preserve"> </w:t>
      </w:r>
      <w:r w:rsidR="00C130C8" w:rsidRPr="003A5D77">
        <w:rPr>
          <w:rFonts w:ascii="Arial" w:hAnsi="Arial" w:cs="Arial"/>
          <w:b/>
          <w:color w:val="000000"/>
          <w:sz w:val="20"/>
        </w:rPr>
        <w:t>requires the court to have regard to the best interests of the child as the paramount consideration. In my view, that consideration not only governs the orders which the court can make in the Family Division. It also governs the procedures which should be followed in protection proceedings in that division, which must also be fair to all of the parties.</w:t>
      </w:r>
    </w:p>
    <w:p w14:paraId="5ED517E1" w14:textId="77777777" w:rsidR="00D22582" w:rsidRDefault="00D22582" w:rsidP="00D22582">
      <w:pPr>
        <w:spacing w:before="60"/>
        <w:ind w:left="567" w:right="567"/>
        <w:jc w:val="both"/>
        <w:rPr>
          <w:rFonts w:ascii="Arial" w:hAnsi="Arial" w:cs="Arial"/>
          <w:bCs/>
          <w:color w:val="000000"/>
          <w:sz w:val="20"/>
        </w:rPr>
      </w:pPr>
      <w:r w:rsidRPr="00D22582">
        <w:rPr>
          <w:rFonts w:ascii="Arial" w:hAnsi="Arial" w:cs="Arial"/>
          <w:bCs/>
          <w:color w:val="000000"/>
          <w:sz w:val="20"/>
        </w:rPr>
        <w:t xml:space="preserve">[282] </w:t>
      </w:r>
      <w:r w:rsidRPr="003A5D77">
        <w:rPr>
          <w:rFonts w:ascii="Arial" w:hAnsi="Arial" w:cs="Arial"/>
          <w:bCs/>
          <w:color w:val="000000"/>
          <w:sz w:val="20"/>
        </w:rPr>
        <w:t>The legislation gives the court a wide discretion as to the procedure which can be adopted in protection proceedings. The court is required to conduct such proceedings in an informal manner and is permitted it to inform itself as it sees fit, despite any rule of evidence to the contrary. These procedural powers enable the court, in its discretion, to conduct protection proceedings in a flexible manner, without legal forms and in the best interest of the child. In appropriate cases, including in revocation proceedings, conducting a submissions contest hearing which is fair to all of the parties falls within the zone that discretion.</w:t>
      </w:r>
    </w:p>
    <w:p w14:paraId="7CC0D1E6" w14:textId="34F8A0C9" w:rsidR="00D22582" w:rsidRPr="003A5D77" w:rsidRDefault="00D22582" w:rsidP="00D22582">
      <w:pPr>
        <w:spacing w:before="60"/>
        <w:ind w:left="567" w:right="567"/>
        <w:jc w:val="both"/>
        <w:rPr>
          <w:rFonts w:ascii="Arial" w:hAnsi="Arial" w:cs="Arial"/>
          <w:bCs/>
          <w:color w:val="000000"/>
          <w:sz w:val="20"/>
        </w:rPr>
      </w:pPr>
      <w:r>
        <w:rPr>
          <w:rFonts w:ascii="Arial" w:hAnsi="Arial" w:cs="Arial"/>
          <w:bCs/>
          <w:color w:val="000000"/>
          <w:sz w:val="20"/>
        </w:rPr>
        <w:t xml:space="preserve">[283] </w:t>
      </w:r>
      <w:r w:rsidRPr="003A5D77">
        <w:rPr>
          <w:rFonts w:ascii="Arial" w:hAnsi="Arial" w:cs="Arial"/>
          <w:bCs/>
          <w:color w:val="000000"/>
          <w:sz w:val="20"/>
        </w:rPr>
        <w:t>The procedural powers of the court are not absolute. The court must observe the rules of natural justice and act compatibly with the human right of children, parents and potentially others to a fair hearing under</w:t>
      </w:r>
      <w:r>
        <w:rPr>
          <w:rFonts w:ascii="Arial" w:hAnsi="Arial" w:cs="Arial"/>
          <w:bCs/>
          <w:color w:val="000000"/>
          <w:sz w:val="20"/>
        </w:rPr>
        <w:t xml:space="preserve"> s 24(1) of the Charter of Human Rights and Responsibilities Act 2006.  </w:t>
      </w:r>
      <w:r w:rsidRPr="003A5D77">
        <w:rPr>
          <w:rFonts w:ascii="Arial" w:hAnsi="Arial" w:cs="Arial"/>
          <w:bCs/>
          <w:color w:val="000000"/>
          <w:sz w:val="20"/>
        </w:rPr>
        <w:t>It must respect the important function of the secretary under the</w:t>
      </w:r>
      <w:r>
        <w:rPr>
          <w:rFonts w:ascii="Arial" w:hAnsi="Arial" w:cs="Arial"/>
          <w:bCs/>
          <w:color w:val="000000"/>
          <w:sz w:val="20"/>
        </w:rPr>
        <w:t xml:space="preserve"> Children, Youth and Families Act, </w:t>
      </w:r>
      <w:r w:rsidRPr="003A5D77">
        <w:rPr>
          <w:rFonts w:ascii="Arial" w:hAnsi="Arial" w:cs="Arial"/>
          <w:bCs/>
          <w:color w:val="000000"/>
          <w:sz w:val="20"/>
        </w:rPr>
        <w:t xml:space="preserve">including her role as a protective intervener, and her position as a statutory party. </w:t>
      </w:r>
      <w:r w:rsidRPr="003A5D77">
        <w:rPr>
          <w:rFonts w:ascii="Arial" w:hAnsi="Arial" w:cs="Arial"/>
          <w:b/>
          <w:color w:val="000000"/>
          <w:sz w:val="20"/>
        </w:rPr>
        <w:t>In the present case, adopting the submissions contest procedure was open to the court in the best interests of the children and did not breach the procedural rights of the secretary or any other party.</w:t>
      </w:r>
    </w:p>
    <w:p w14:paraId="79A629C0" w14:textId="4917E39E" w:rsidR="00D22582" w:rsidRPr="00D22582" w:rsidRDefault="00D22582" w:rsidP="00D22582">
      <w:pPr>
        <w:spacing w:before="60"/>
        <w:ind w:left="567" w:right="567"/>
        <w:jc w:val="both"/>
        <w:rPr>
          <w:rFonts w:ascii="Arial" w:hAnsi="Arial" w:cs="Arial"/>
          <w:bCs/>
          <w:color w:val="000000"/>
          <w:sz w:val="20"/>
        </w:rPr>
      </w:pPr>
      <w:r>
        <w:rPr>
          <w:rFonts w:ascii="Arial" w:hAnsi="Arial" w:cs="Arial"/>
          <w:bCs/>
          <w:color w:val="000000"/>
          <w:sz w:val="20"/>
        </w:rPr>
        <w:t xml:space="preserve">[284] </w:t>
      </w:r>
      <w:r w:rsidRPr="003A5D77">
        <w:rPr>
          <w:rFonts w:ascii="Arial" w:hAnsi="Arial" w:cs="Arial"/>
          <w:bCs/>
          <w:color w:val="000000"/>
          <w:sz w:val="20"/>
        </w:rPr>
        <w:t>Accordingly the appeal will be dismissed.</w:t>
      </w:r>
      <w:r>
        <w:rPr>
          <w:rFonts w:ascii="Arial" w:hAnsi="Arial" w:cs="Arial"/>
          <w:bCs/>
          <w:color w:val="000000"/>
          <w:sz w:val="20"/>
        </w:rPr>
        <w:t>”</w:t>
      </w:r>
    </w:p>
    <w:p w14:paraId="70FF2AC8" w14:textId="77777777" w:rsidR="003A5D77" w:rsidRDefault="003A5D77" w:rsidP="007526D0">
      <w:pPr>
        <w:tabs>
          <w:tab w:val="left" w:pos="363"/>
        </w:tabs>
        <w:spacing w:line="240" w:lineRule="exact"/>
        <w:jc w:val="both"/>
        <w:rPr>
          <w:rFonts w:ascii="Arial" w:hAnsi="Arial" w:cs="Arial"/>
          <w:color w:val="000000"/>
          <w:sz w:val="20"/>
          <w:lang w:val="en-US"/>
        </w:rPr>
      </w:pPr>
    </w:p>
    <w:bookmarkEnd w:id="796"/>
    <w:p w14:paraId="5601D08E" w14:textId="77777777" w:rsidR="005A6044" w:rsidRDefault="007526D0" w:rsidP="007526D0">
      <w:pPr>
        <w:tabs>
          <w:tab w:val="left" w:pos="363"/>
        </w:tabs>
        <w:spacing w:line="240" w:lineRule="exact"/>
        <w:jc w:val="both"/>
        <w:rPr>
          <w:rFonts w:ascii="Arial" w:hAnsi="Arial" w:cs="Arial"/>
          <w:color w:val="000000"/>
          <w:sz w:val="20"/>
          <w:szCs w:val="20"/>
        </w:rPr>
      </w:pPr>
      <w:r>
        <w:rPr>
          <w:rFonts w:ascii="Arial" w:hAnsi="Arial" w:cs="Arial"/>
          <w:sz w:val="20"/>
          <w:szCs w:val="20"/>
        </w:rPr>
        <w:t>I</w:t>
      </w:r>
      <w:r w:rsidRPr="003361DB">
        <w:rPr>
          <w:rFonts w:ascii="Arial" w:hAnsi="Arial" w:cs="Arial"/>
          <w:sz w:val="20"/>
          <w:szCs w:val="20"/>
        </w:rPr>
        <w:t xml:space="preserve">n </w:t>
      </w:r>
      <w:r w:rsidRPr="003361DB">
        <w:rPr>
          <w:rFonts w:ascii="Arial" w:hAnsi="Arial" w:cs="Arial"/>
          <w:i/>
          <w:iCs/>
          <w:color w:val="000000"/>
          <w:sz w:val="20"/>
          <w:szCs w:val="20"/>
        </w:rPr>
        <w:t>DHHS v Children’s Court of Victoria &amp; Ors</w:t>
      </w:r>
      <w:r w:rsidRPr="003361DB">
        <w:rPr>
          <w:rFonts w:ascii="Arial" w:hAnsi="Arial" w:cs="Arial"/>
          <w:color w:val="000000"/>
          <w:sz w:val="20"/>
          <w:szCs w:val="20"/>
        </w:rPr>
        <w:t xml:space="preserve"> [2020] VSC 520 </w:t>
      </w:r>
      <w:r>
        <w:rPr>
          <w:rFonts w:ascii="Arial" w:hAnsi="Arial" w:cs="Arial"/>
          <w:color w:val="000000"/>
          <w:sz w:val="20"/>
          <w:szCs w:val="20"/>
        </w:rPr>
        <w:t xml:space="preserve">McMillan J </w:t>
      </w:r>
      <w:r w:rsidR="008801D3">
        <w:rPr>
          <w:rFonts w:ascii="Arial" w:hAnsi="Arial" w:cs="Arial"/>
          <w:color w:val="000000"/>
          <w:sz w:val="20"/>
          <w:szCs w:val="20"/>
        </w:rPr>
        <w:t>quashed</w:t>
      </w:r>
      <w:r w:rsidR="005A6044">
        <w:rPr>
          <w:rFonts w:ascii="Arial" w:hAnsi="Arial" w:cs="Arial"/>
          <w:color w:val="000000"/>
          <w:sz w:val="20"/>
          <w:szCs w:val="20"/>
        </w:rPr>
        <w:t xml:space="preserve"> an order of the Children’s Court striking out </w:t>
      </w:r>
      <w:r w:rsidR="00DF0630">
        <w:rPr>
          <w:rFonts w:ascii="Arial" w:hAnsi="Arial" w:cs="Arial"/>
          <w:color w:val="000000"/>
          <w:sz w:val="20"/>
          <w:szCs w:val="20"/>
        </w:rPr>
        <w:t xml:space="preserve">– after hearing submissions – </w:t>
      </w:r>
      <w:r w:rsidR="005A6044">
        <w:rPr>
          <w:rFonts w:ascii="Arial" w:hAnsi="Arial" w:cs="Arial"/>
          <w:color w:val="000000"/>
          <w:sz w:val="20"/>
          <w:szCs w:val="20"/>
        </w:rPr>
        <w:t>an</w:t>
      </w:r>
      <w:r w:rsidR="00DF0630">
        <w:rPr>
          <w:rFonts w:ascii="Arial" w:hAnsi="Arial" w:cs="Arial"/>
          <w:color w:val="000000"/>
          <w:sz w:val="20"/>
          <w:szCs w:val="20"/>
        </w:rPr>
        <w:t xml:space="preserve"> </w:t>
      </w:r>
      <w:r w:rsidR="005A6044">
        <w:rPr>
          <w:rFonts w:ascii="Arial" w:hAnsi="Arial" w:cs="Arial"/>
          <w:color w:val="000000"/>
          <w:sz w:val="20"/>
          <w:szCs w:val="20"/>
        </w:rPr>
        <w:t xml:space="preserve">application by DFFH to extend a care by Secretary order for an 8 year old </w:t>
      </w:r>
      <w:r w:rsidR="00E07646">
        <w:rPr>
          <w:rFonts w:ascii="Arial" w:hAnsi="Arial" w:cs="Arial"/>
          <w:color w:val="000000"/>
          <w:sz w:val="20"/>
          <w:szCs w:val="20"/>
        </w:rPr>
        <w:t xml:space="preserve">orphaned </w:t>
      </w:r>
      <w:r w:rsidR="00F6173D">
        <w:rPr>
          <w:rFonts w:ascii="Arial" w:hAnsi="Arial" w:cs="Arial"/>
          <w:color w:val="000000"/>
          <w:sz w:val="20"/>
          <w:szCs w:val="20"/>
        </w:rPr>
        <w:t xml:space="preserve">autistic </w:t>
      </w:r>
      <w:r w:rsidR="005A6044">
        <w:rPr>
          <w:rFonts w:ascii="Arial" w:hAnsi="Arial" w:cs="Arial"/>
          <w:color w:val="000000"/>
          <w:sz w:val="20"/>
          <w:szCs w:val="20"/>
        </w:rPr>
        <w:t>Aboriginal child</w:t>
      </w:r>
      <w:r w:rsidR="00DF0630">
        <w:rPr>
          <w:rFonts w:ascii="Arial" w:hAnsi="Arial" w:cs="Arial"/>
          <w:color w:val="000000"/>
          <w:sz w:val="20"/>
          <w:szCs w:val="20"/>
        </w:rPr>
        <w:t xml:space="preserve"> who had been </w:t>
      </w:r>
      <w:r w:rsidR="00E07646">
        <w:rPr>
          <w:rFonts w:ascii="Arial" w:hAnsi="Arial" w:cs="Arial"/>
          <w:color w:val="000000"/>
          <w:sz w:val="20"/>
          <w:szCs w:val="20"/>
        </w:rPr>
        <w:t>cared for by the same carers for 7 years</w:t>
      </w:r>
      <w:r w:rsidR="008801D3">
        <w:rPr>
          <w:rFonts w:ascii="Arial" w:hAnsi="Arial" w:cs="Arial"/>
          <w:color w:val="000000"/>
          <w:sz w:val="20"/>
          <w:szCs w:val="20"/>
        </w:rPr>
        <w:t xml:space="preserve">.  The application was subsequently dismissed by a different magistrate after a lengthy evidence-based contested hearing [see </w:t>
      </w:r>
      <w:r w:rsidR="008801D3" w:rsidRPr="003967DB">
        <w:rPr>
          <w:rFonts w:ascii="Arial" w:hAnsi="Arial" w:cs="Arial"/>
          <w:b/>
          <w:bCs/>
          <w:color w:val="000000"/>
          <w:sz w:val="20"/>
          <w:szCs w:val="20"/>
          <w:shd w:val="clear" w:color="auto" w:fill="C5E0B3"/>
        </w:rPr>
        <w:t xml:space="preserve">sections </w:t>
      </w:r>
      <w:r w:rsidR="00AE14B6" w:rsidRPr="003967DB">
        <w:rPr>
          <w:rFonts w:ascii="Arial" w:hAnsi="Arial" w:cs="Arial"/>
          <w:b/>
          <w:bCs/>
          <w:color w:val="000000"/>
          <w:sz w:val="20"/>
          <w:szCs w:val="20"/>
          <w:shd w:val="clear" w:color="auto" w:fill="C5E0B3"/>
        </w:rPr>
        <w:t>5.2.3</w:t>
      </w:r>
      <w:r w:rsidR="008801D3" w:rsidRPr="003967DB">
        <w:rPr>
          <w:rFonts w:ascii="Arial" w:hAnsi="Arial" w:cs="Arial"/>
          <w:b/>
          <w:bCs/>
          <w:color w:val="000000"/>
          <w:sz w:val="20"/>
          <w:szCs w:val="20"/>
          <w:shd w:val="clear" w:color="auto" w:fill="C5E0B3"/>
        </w:rPr>
        <w:t xml:space="preserve">, </w:t>
      </w:r>
      <w:r w:rsidR="00F6173D" w:rsidRPr="003967DB">
        <w:rPr>
          <w:rFonts w:ascii="Arial" w:hAnsi="Arial" w:cs="Arial"/>
          <w:b/>
          <w:bCs/>
          <w:color w:val="000000"/>
          <w:sz w:val="20"/>
          <w:szCs w:val="20"/>
          <w:shd w:val="clear" w:color="auto" w:fill="C5E0B3"/>
        </w:rPr>
        <w:t>5.14.2</w:t>
      </w:r>
      <w:r w:rsidR="008801D3" w:rsidRPr="003967DB">
        <w:rPr>
          <w:rFonts w:ascii="Arial" w:hAnsi="Arial" w:cs="Arial"/>
          <w:b/>
          <w:bCs/>
          <w:color w:val="000000"/>
          <w:sz w:val="20"/>
          <w:szCs w:val="20"/>
          <w:shd w:val="clear" w:color="auto" w:fill="C5E0B3"/>
        </w:rPr>
        <w:t xml:space="preserve"> &amp; </w:t>
      </w:r>
      <w:r w:rsidR="00F6173D" w:rsidRPr="003967DB">
        <w:rPr>
          <w:rFonts w:ascii="Arial" w:hAnsi="Arial" w:cs="Arial"/>
          <w:b/>
          <w:bCs/>
          <w:color w:val="000000"/>
          <w:sz w:val="20"/>
          <w:szCs w:val="20"/>
          <w:shd w:val="clear" w:color="auto" w:fill="C5E0B3"/>
        </w:rPr>
        <w:t>5.18.7</w:t>
      </w:r>
      <w:r w:rsidR="008801D3">
        <w:rPr>
          <w:rFonts w:ascii="Arial" w:hAnsi="Arial" w:cs="Arial"/>
          <w:color w:val="000000"/>
          <w:sz w:val="20"/>
          <w:szCs w:val="20"/>
        </w:rPr>
        <w:t xml:space="preserve"> for some </w:t>
      </w:r>
      <w:r w:rsidR="00E07646">
        <w:rPr>
          <w:rFonts w:ascii="Arial" w:hAnsi="Arial" w:cs="Arial"/>
          <w:color w:val="000000"/>
          <w:sz w:val="20"/>
          <w:szCs w:val="20"/>
        </w:rPr>
        <w:t xml:space="preserve">further </w:t>
      </w:r>
      <w:r w:rsidR="008801D3">
        <w:rPr>
          <w:rFonts w:ascii="Arial" w:hAnsi="Arial" w:cs="Arial"/>
          <w:color w:val="000000"/>
          <w:sz w:val="20"/>
          <w:szCs w:val="20"/>
        </w:rPr>
        <w:t>details</w:t>
      </w:r>
      <w:r w:rsidR="00390D54">
        <w:rPr>
          <w:rFonts w:ascii="Arial" w:hAnsi="Arial" w:cs="Arial"/>
          <w:color w:val="000000"/>
          <w:sz w:val="20"/>
          <w:szCs w:val="20"/>
        </w:rPr>
        <w:t xml:space="preserve"> of this case </w:t>
      </w:r>
      <w:r w:rsidR="00F6173D">
        <w:rPr>
          <w:rFonts w:ascii="Arial" w:hAnsi="Arial" w:cs="Arial"/>
          <w:color w:val="000000"/>
          <w:sz w:val="20"/>
          <w:szCs w:val="20"/>
        </w:rPr>
        <w:t>known</w:t>
      </w:r>
      <w:r w:rsidR="00390D54">
        <w:rPr>
          <w:rFonts w:ascii="Arial" w:hAnsi="Arial" w:cs="Arial"/>
          <w:color w:val="000000"/>
          <w:sz w:val="20"/>
          <w:szCs w:val="20"/>
        </w:rPr>
        <w:t xml:space="preserve"> as </w:t>
      </w:r>
      <w:r w:rsidR="00390D54" w:rsidRPr="00390D54">
        <w:rPr>
          <w:rFonts w:ascii="Arial" w:hAnsi="Arial" w:cs="Arial"/>
          <w:i/>
          <w:iCs/>
          <w:color w:val="000000"/>
          <w:sz w:val="20"/>
          <w:szCs w:val="20"/>
        </w:rPr>
        <w:t>Re CL</w:t>
      </w:r>
      <w:r w:rsidR="008801D3">
        <w:rPr>
          <w:rFonts w:ascii="Arial" w:hAnsi="Arial" w:cs="Arial"/>
          <w:color w:val="000000"/>
          <w:sz w:val="20"/>
          <w:szCs w:val="20"/>
        </w:rPr>
        <w:t xml:space="preserve">].  At [61] McMillan J </w:t>
      </w:r>
      <w:r w:rsidR="00390D54">
        <w:rPr>
          <w:rFonts w:ascii="Arial" w:hAnsi="Arial" w:cs="Arial"/>
          <w:color w:val="000000"/>
          <w:sz w:val="20"/>
          <w:szCs w:val="20"/>
        </w:rPr>
        <w:t xml:space="preserve">had </w:t>
      </w:r>
      <w:r w:rsidR="008801D3">
        <w:rPr>
          <w:rFonts w:ascii="Arial" w:hAnsi="Arial" w:cs="Arial"/>
          <w:color w:val="000000"/>
          <w:sz w:val="20"/>
          <w:szCs w:val="20"/>
        </w:rPr>
        <w:t>said:</w:t>
      </w:r>
    </w:p>
    <w:p w14:paraId="1EAAC9DB" w14:textId="77777777" w:rsidR="007526D0" w:rsidRDefault="007526D0" w:rsidP="007526D0">
      <w:pPr>
        <w:widowControl w:val="0"/>
        <w:spacing w:before="60"/>
        <w:ind w:left="567" w:right="567"/>
        <w:jc w:val="both"/>
        <w:rPr>
          <w:rFonts w:ascii="Arial" w:hAnsi="Arial" w:cs="Arial"/>
          <w:sz w:val="20"/>
          <w:szCs w:val="20"/>
        </w:rPr>
      </w:pPr>
      <w:r>
        <w:rPr>
          <w:rFonts w:ascii="Arial" w:hAnsi="Arial" w:cs="Arial"/>
          <w:bCs/>
          <w:sz w:val="20"/>
        </w:rPr>
        <w:t>“</w:t>
      </w:r>
      <w:r w:rsidRPr="00964079">
        <w:rPr>
          <w:rFonts w:ascii="Arial" w:hAnsi="Arial" w:cs="Arial"/>
          <w:b/>
          <w:bCs/>
          <w:color w:val="000000"/>
          <w:sz w:val="20"/>
          <w:szCs w:val="20"/>
        </w:rPr>
        <w:t>[T]</w:t>
      </w:r>
      <w:r w:rsidRPr="00964079">
        <w:rPr>
          <w:rFonts w:ascii="Arial" w:hAnsi="Arial" w:cs="Arial"/>
          <w:b/>
          <w:bCs/>
          <w:sz w:val="20"/>
          <w:szCs w:val="20"/>
        </w:rPr>
        <w:t>he requirements of procedural fairness must be adapted to reflect the procedural flexibility granted to the Children’s Court by s.215 of the Act.  Although this may mean that the rules of natural justice are not given their full application, those rules cannot be done away with altogether.</w:t>
      </w:r>
      <w:r>
        <w:rPr>
          <w:rFonts w:ascii="Arial" w:hAnsi="Arial" w:cs="Arial"/>
          <w:sz w:val="20"/>
          <w:szCs w:val="20"/>
        </w:rPr>
        <w:t xml:space="preserve">  </w:t>
      </w:r>
      <w:r w:rsidRPr="00390D54">
        <w:rPr>
          <w:rFonts w:ascii="Arial" w:hAnsi="Arial" w:cs="Arial"/>
          <w:b/>
          <w:bCs/>
          <w:sz w:val="20"/>
          <w:szCs w:val="20"/>
        </w:rPr>
        <w:t xml:space="preserve">In certain cases it may be necessary for the </w:t>
      </w:r>
      <w:r w:rsidRPr="00390D54">
        <w:rPr>
          <w:rFonts w:ascii="Arial" w:hAnsi="Arial" w:cs="Arial"/>
          <w:b/>
          <w:bCs/>
          <w:sz w:val="20"/>
          <w:szCs w:val="20"/>
        </w:rPr>
        <w:lastRenderedPageBreak/>
        <w:t>Children’s Court to proceed without sworn evidence when granting interim relief, or relief on an urgent basis.</w:t>
      </w:r>
      <w:r w:rsidRPr="007F24BB">
        <w:rPr>
          <w:rFonts w:ascii="Arial" w:hAnsi="Arial" w:cs="Arial"/>
          <w:sz w:val="20"/>
          <w:szCs w:val="20"/>
        </w:rPr>
        <w:t xml:space="preserve">  In </w:t>
      </w:r>
      <w:r w:rsidRPr="007F24BB">
        <w:rPr>
          <w:rFonts w:ascii="Arial" w:eastAsia="Book Antiqua" w:hAnsi="Arial" w:cs="Arial"/>
          <w:i/>
          <w:sz w:val="20"/>
          <w:szCs w:val="20"/>
        </w:rPr>
        <w:t>Sanding</w:t>
      </w:r>
      <w:r w:rsidRPr="007F24BB">
        <w:rPr>
          <w:rFonts w:ascii="Arial" w:hAnsi="Arial" w:cs="Arial"/>
          <w:sz w:val="20"/>
          <w:szCs w:val="20"/>
        </w:rPr>
        <w:t xml:space="preserve"> </w:t>
      </w:r>
      <w:r w:rsidRPr="00D92415">
        <w:rPr>
          <w:rFonts w:ascii="Arial" w:hAnsi="Arial" w:cs="Arial"/>
          <w:color w:val="000000"/>
          <w:sz w:val="20"/>
          <w:szCs w:val="20"/>
        </w:rPr>
        <w:t>[2011] VSC 42</w:t>
      </w:r>
      <w:r>
        <w:rPr>
          <w:rFonts w:ascii="Arial" w:hAnsi="Arial" w:cs="Arial"/>
          <w:color w:val="000000"/>
          <w:sz w:val="20"/>
          <w:szCs w:val="20"/>
        </w:rPr>
        <w:t xml:space="preserve">, </w:t>
      </w:r>
      <w:r w:rsidRPr="007F24BB">
        <w:rPr>
          <w:rFonts w:ascii="Arial" w:hAnsi="Arial" w:cs="Arial"/>
          <w:sz w:val="20"/>
          <w:szCs w:val="20"/>
        </w:rPr>
        <w:t>Bell J upheld the Court’s decision made in the absence of sworn evidence in circumstances where there was no dispute as to the material facts, and no dispute as to the best interests of the children in that case.</w:t>
      </w:r>
      <w:r>
        <w:rPr>
          <w:rFonts w:ascii="Arial" w:hAnsi="Arial" w:cs="Arial"/>
          <w:sz w:val="20"/>
          <w:szCs w:val="20"/>
        </w:rPr>
        <w:t>” [emphasis added]</w:t>
      </w:r>
    </w:p>
    <w:p w14:paraId="190E8A1D" w14:textId="77777777" w:rsidR="007526D0" w:rsidRPr="007F24BB" w:rsidRDefault="007526D0" w:rsidP="007A49E9">
      <w:pPr>
        <w:tabs>
          <w:tab w:val="left" w:pos="363"/>
        </w:tabs>
        <w:spacing w:line="240" w:lineRule="exact"/>
        <w:jc w:val="both"/>
        <w:rPr>
          <w:rFonts w:ascii="Arial" w:hAnsi="Arial" w:cs="Arial"/>
          <w:color w:val="000000"/>
          <w:sz w:val="20"/>
          <w:lang w:val="en-US"/>
        </w:rPr>
      </w:pPr>
    </w:p>
    <w:p w14:paraId="5DD52CD0" w14:textId="77777777" w:rsidR="007B2122" w:rsidRDefault="00DE5A71" w:rsidP="007A49E9">
      <w:pPr>
        <w:tabs>
          <w:tab w:val="left" w:pos="363"/>
        </w:tabs>
        <w:spacing w:line="240" w:lineRule="exact"/>
        <w:jc w:val="both"/>
        <w:rPr>
          <w:rFonts w:ascii="Arial" w:hAnsi="Arial" w:cs="Arial"/>
          <w:color w:val="000000"/>
          <w:sz w:val="20"/>
          <w:lang w:val="en-US"/>
        </w:rPr>
      </w:pPr>
      <w:r>
        <w:rPr>
          <w:rFonts w:ascii="Arial" w:hAnsi="Arial" w:cs="Arial"/>
          <w:sz w:val="20"/>
          <w:szCs w:val="20"/>
        </w:rPr>
        <w:t>I</w:t>
      </w:r>
      <w:r w:rsidR="007B2122" w:rsidRPr="003361DB">
        <w:rPr>
          <w:rFonts w:ascii="Arial" w:hAnsi="Arial" w:cs="Arial"/>
          <w:sz w:val="20"/>
          <w:szCs w:val="20"/>
        </w:rPr>
        <w:t xml:space="preserve">n </w:t>
      </w:r>
      <w:r w:rsidR="00900D64" w:rsidRPr="003361DB">
        <w:rPr>
          <w:rFonts w:ascii="Arial" w:eastAsia="Book Antiqua" w:hAnsi="Arial" w:cs="Arial"/>
          <w:i/>
          <w:sz w:val="20"/>
          <w:szCs w:val="20"/>
        </w:rPr>
        <w:t xml:space="preserve">Secretary to DHHS v Children’s Court of Victoria </w:t>
      </w:r>
      <w:r w:rsidR="00900D64" w:rsidRPr="003361DB">
        <w:rPr>
          <w:rFonts w:ascii="Arial" w:eastAsia="Book Antiqua" w:hAnsi="Arial" w:cs="Arial"/>
          <w:iCs/>
          <w:sz w:val="20"/>
          <w:szCs w:val="20"/>
        </w:rPr>
        <w:t>[2012] VSC 422 at [</w:t>
      </w:r>
      <w:r>
        <w:rPr>
          <w:rFonts w:ascii="Arial" w:eastAsia="Book Antiqua" w:hAnsi="Arial" w:cs="Arial"/>
          <w:iCs/>
          <w:sz w:val="20"/>
          <w:szCs w:val="20"/>
        </w:rPr>
        <w:t>20</w:t>
      </w:r>
      <w:r w:rsidR="00900D64" w:rsidRPr="003361DB">
        <w:rPr>
          <w:rFonts w:ascii="Arial" w:eastAsia="Book Antiqua" w:hAnsi="Arial" w:cs="Arial"/>
          <w:iCs/>
          <w:sz w:val="20"/>
          <w:szCs w:val="20"/>
        </w:rPr>
        <w:t>]-[</w:t>
      </w:r>
      <w:r>
        <w:rPr>
          <w:rFonts w:ascii="Arial" w:eastAsia="Book Antiqua" w:hAnsi="Arial" w:cs="Arial"/>
          <w:iCs/>
          <w:sz w:val="20"/>
          <w:szCs w:val="20"/>
        </w:rPr>
        <w:t>22</w:t>
      </w:r>
      <w:r w:rsidR="00900D64" w:rsidRPr="003361DB">
        <w:rPr>
          <w:rFonts w:ascii="Arial" w:eastAsia="Book Antiqua" w:hAnsi="Arial" w:cs="Arial"/>
          <w:iCs/>
          <w:sz w:val="20"/>
          <w:szCs w:val="20"/>
        </w:rPr>
        <w:t>]</w:t>
      </w:r>
      <w:r w:rsidR="00900D64">
        <w:rPr>
          <w:rFonts w:ascii="Arial" w:eastAsia="Book Antiqua" w:hAnsi="Arial" w:cs="Arial"/>
          <w:iCs/>
          <w:sz w:val="20"/>
          <w:szCs w:val="20"/>
        </w:rPr>
        <w:t>,</w:t>
      </w:r>
      <w:r w:rsidR="007B2122" w:rsidRPr="003361DB">
        <w:rPr>
          <w:rFonts w:ascii="Arial" w:hAnsi="Arial" w:cs="Arial"/>
          <w:sz w:val="20"/>
          <w:szCs w:val="20"/>
        </w:rPr>
        <w:t xml:space="preserve"> John Dixon J </w:t>
      </w:r>
      <w:r w:rsidR="00900D64">
        <w:rPr>
          <w:rFonts w:ascii="Arial" w:hAnsi="Arial" w:cs="Arial"/>
          <w:sz w:val="20"/>
          <w:szCs w:val="20"/>
        </w:rPr>
        <w:t>said:</w:t>
      </w:r>
    </w:p>
    <w:p w14:paraId="5624FCD4" w14:textId="7D763C3E" w:rsidR="00DE5A71" w:rsidRDefault="00DE5A71" w:rsidP="007526D0">
      <w:pPr>
        <w:spacing w:before="60"/>
        <w:ind w:left="567" w:right="567"/>
        <w:jc w:val="both"/>
        <w:rPr>
          <w:rFonts w:ascii="Arial" w:hAnsi="Arial" w:cs="Arial"/>
          <w:i/>
          <w:sz w:val="20"/>
          <w:szCs w:val="20"/>
        </w:rPr>
      </w:pPr>
      <w:r>
        <w:rPr>
          <w:rFonts w:ascii="Arial" w:hAnsi="Arial" w:cs="Arial"/>
          <w:sz w:val="20"/>
          <w:szCs w:val="20"/>
          <w:lang w:eastAsia="en-AU"/>
        </w:rPr>
        <w:t xml:space="preserve">[20] </w:t>
      </w:r>
      <w:r w:rsidR="00620D75">
        <w:rPr>
          <w:rFonts w:ascii="Arial" w:hAnsi="Arial" w:cs="Arial"/>
          <w:sz w:val="20"/>
          <w:szCs w:val="20"/>
          <w:lang w:eastAsia="en-AU"/>
        </w:rPr>
        <w:t>“</w:t>
      </w:r>
      <w:r w:rsidRPr="00367E55">
        <w:rPr>
          <w:rFonts w:ascii="Arial" w:hAnsi="Arial" w:cs="Arial"/>
          <w:sz w:val="20"/>
          <w:szCs w:val="20"/>
        </w:rPr>
        <w:t xml:space="preserve">The rules of procedural fairness do not interfere with the court’s obligation to consider best interests principles. As Bell J said in </w:t>
      </w:r>
      <w:r w:rsidRPr="00367E55">
        <w:rPr>
          <w:rFonts w:ascii="Arial" w:hAnsi="Arial" w:cs="Arial"/>
          <w:i/>
          <w:sz w:val="20"/>
          <w:szCs w:val="20"/>
        </w:rPr>
        <w:t>Secretary, Department of Human Services v Sanding</w:t>
      </w:r>
      <w:r w:rsidRPr="00367E55">
        <w:rPr>
          <w:rFonts w:ascii="Arial" w:hAnsi="Arial" w:cs="Arial"/>
          <w:sz w:val="20"/>
          <w:szCs w:val="20"/>
        </w:rPr>
        <w:t xml:space="preserve"> </w:t>
      </w:r>
      <w:r w:rsidRPr="00DE5A71">
        <w:rPr>
          <w:rFonts w:ascii="Arial" w:hAnsi="Arial" w:cs="Arial"/>
          <w:sz w:val="20"/>
          <w:szCs w:val="20"/>
        </w:rPr>
        <w:t>[2011] VSC 42, 40 [135]-[147]</w:t>
      </w:r>
      <w:r>
        <w:t xml:space="preserve"> </w:t>
      </w:r>
      <w:r w:rsidRPr="00367E55">
        <w:rPr>
          <w:rFonts w:ascii="Arial" w:hAnsi="Arial" w:cs="Arial"/>
          <w:sz w:val="20"/>
          <w:szCs w:val="20"/>
        </w:rPr>
        <w:t xml:space="preserve">where the jurisdiction is one in which the interests of the child are paramount, the particular content and application of the rules of natural justice will reflect the nature of that jurisdiction and influence the exercise of the court’s procedural discretion. However, that influence is constrained in the way described by Brennan J in </w:t>
      </w:r>
      <w:r w:rsidRPr="00367E55">
        <w:rPr>
          <w:rFonts w:ascii="Arial" w:hAnsi="Arial" w:cs="Arial"/>
          <w:i/>
          <w:sz w:val="20"/>
          <w:szCs w:val="20"/>
        </w:rPr>
        <w:t>J v Lieschke</w:t>
      </w:r>
      <w:r w:rsidR="007526D0" w:rsidRPr="007526D0">
        <w:rPr>
          <w:rFonts w:ascii="Arial" w:hAnsi="Arial" w:cs="Arial"/>
          <w:sz w:val="20"/>
          <w:szCs w:val="20"/>
        </w:rPr>
        <w:t xml:space="preserve"> (1987) 162 CLR 447, 457 (Mason, Wilson, Deane and Dawson </w:t>
      </w:r>
      <w:r w:rsidR="00235A6D">
        <w:rPr>
          <w:rFonts w:ascii="Arial" w:hAnsi="Arial" w:cs="Arial"/>
          <w:sz w:val="20"/>
          <w:szCs w:val="20"/>
        </w:rPr>
        <w:t xml:space="preserve">JJ </w:t>
      </w:r>
      <w:r w:rsidR="007526D0" w:rsidRPr="007526D0">
        <w:rPr>
          <w:rFonts w:ascii="Arial" w:hAnsi="Arial" w:cs="Arial"/>
          <w:sz w:val="20"/>
          <w:szCs w:val="20"/>
        </w:rPr>
        <w:t>agreeing)</w:t>
      </w:r>
      <w:r w:rsidRPr="007526D0">
        <w:rPr>
          <w:rFonts w:ascii="Arial" w:hAnsi="Arial" w:cs="Arial"/>
          <w:sz w:val="16"/>
          <w:szCs w:val="16"/>
        </w:rPr>
        <w:t xml:space="preserve"> </w:t>
      </w:r>
      <w:r w:rsidRPr="00367E55">
        <w:rPr>
          <w:rFonts w:ascii="Arial" w:hAnsi="Arial" w:cs="Arial"/>
          <w:sz w:val="20"/>
          <w:szCs w:val="20"/>
        </w:rPr>
        <w:t xml:space="preserve">as: </w:t>
      </w:r>
      <w:r w:rsidRPr="00AF6D28">
        <w:rPr>
          <w:rFonts w:ascii="Arial" w:hAnsi="Arial" w:cs="Arial"/>
          <w:b/>
          <w:bCs/>
          <w:sz w:val="20"/>
          <w:szCs w:val="20"/>
        </w:rPr>
        <w:t>‘In some custody proceedings, some qualification of the principles of natural justice may be necessary in order to ensure paramountcy to the welfare of the child’, but only ‘so far as is necessary to avoid frustration of the purpose for which the jurisdiction is conferred’</w:t>
      </w:r>
      <w:r w:rsidRPr="00AF6D28">
        <w:rPr>
          <w:rFonts w:ascii="Arial" w:hAnsi="Arial" w:cs="Arial"/>
          <w:b/>
          <w:bCs/>
          <w:i/>
          <w:sz w:val="20"/>
          <w:szCs w:val="20"/>
        </w:rPr>
        <w:t>.</w:t>
      </w:r>
      <w:r w:rsidR="007526D0">
        <w:rPr>
          <w:rFonts w:ascii="Arial" w:hAnsi="Arial" w:cs="Arial"/>
          <w:i/>
          <w:sz w:val="20"/>
          <w:szCs w:val="20"/>
        </w:rPr>
        <w:t xml:space="preserve"> </w:t>
      </w:r>
      <w:r w:rsidR="007526D0">
        <w:rPr>
          <w:rFonts w:ascii="Arial" w:hAnsi="Arial" w:cs="Arial"/>
          <w:sz w:val="20"/>
        </w:rPr>
        <w:t>This was a</w:t>
      </w:r>
      <w:r w:rsidR="007526D0" w:rsidRPr="007526D0">
        <w:rPr>
          <w:rFonts w:ascii="Arial" w:hAnsi="Arial" w:cs="Arial"/>
          <w:sz w:val="20"/>
        </w:rPr>
        <w:t xml:space="preserve">pplied in </w:t>
      </w:r>
      <w:r w:rsidR="007526D0" w:rsidRPr="007526D0">
        <w:rPr>
          <w:rFonts w:ascii="Arial" w:hAnsi="Arial" w:cs="Arial"/>
          <w:i/>
          <w:sz w:val="20"/>
        </w:rPr>
        <w:t>Separate Representative v E</w:t>
      </w:r>
      <w:r w:rsidR="007526D0" w:rsidRPr="007526D0">
        <w:rPr>
          <w:rFonts w:ascii="Arial" w:hAnsi="Arial" w:cs="Arial"/>
          <w:sz w:val="20"/>
          <w:szCs w:val="20"/>
        </w:rPr>
        <w:t xml:space="preserve"> (1993) 114 FLR 1, 14. See also in </w:t>
      </w:r>
      <w:r w:rsidR="007526D0" w:rsidRPr="007526D0">
        <w:rPr>
          <w:rFonts w:ascii="Arial" w:hAnsi="Arial" w:cs="Arial"/>
          <w:i/>
          <w:sz w:val="20"/>
          <w:szCs w:val="20"/>
        </w:rPr>
        <w:t>Re Kaye (Infants)</w:t>
      </w:r>
      <w:r w:rsidR="007526D0" w:rsidRPr="007526D0">
        <w:rPr>
          <w:rFonts w:ascii="Arial" w:hAnsi="Arial" w:cs="Arial"/>
          <w:sz w:val="20"/>
          <w:szCs w:val="20"/>
        </w:rPr>
        <w:t xml:space="preserve"> [1965] AC 201; </w:t>
      </w:r>
      <w:r w:rsidR="007526D0" w:rsidRPr="007526D0">
        <w:rPr>
          <w:rFonts w:ascii="Arial" w:hAnsi="Arial" w:cs="Arial"/>
          <w:i/>
          <w:sz w:val="20"/>
          <w:szCs w:val="20"/>
        </w:rPr>
        <w:t>Birmingham Juvenile Court; Ex</w:t>
      </w:r>
      <w:r w:rsidR="007526D0">
        <w:rPr>
          <w:rFonts w:ascii="Arial" w:hAnsi="Arial" w:cs="Arial"/>
          <w:i/>
          <w:sz w:val="20"/>
          <w:szCs w:val="20"/>
        </w:rPr>
        <w:t> </w:t>
      </w:r>
      <w:r w:rsidR="007526D0" w:rsidRPr="007526D0">
        <w:rPr>
          <w:rFonts w:ascii="Arial" w:hAnsi="Arial" w:cs="Arial"/>
          <w:i/>
          <w:sz w:val="20"/>
          <w:szCs w:val="20"/>
        </w:rPr>
        <w:t>parte G (Minors)</w:t>
      </w:r>
      <w:r w:rsidR="007526D0" w:rsidRPr="007526D0">
        <w:rPr>
          <w:rFonts w:ascii="Arial" w:hAnsi="Arial" w:cs="Arial"/>
          <w:sz w:val="20"/>
          <w:szCs w:val="20"/>
        </w:rPr>
        <w:t xml:space="preserve"> [1990] QB 573.</w:t>
      </w:r>
    </w:p>
    <w:p w14:paraId="640445FA" w14:textId="77777777" w:rsidR="00DE5A71" w:rsidRDefault="00DE5A71" w:rsidP="007526D0">
      <w:pPr>
        <w:spacing w:before="60"/>
        <w:ind w:left="567" w:right="567"/>
        <w:jc w:val="both"/>
        <w:rPr>
          <w:rFonts w:ascii="Arial" w:hAnsi="Arial" w:cs="Arial"/>
          <w:sz w:val="20"/>
          <w:szCs w:val="16"/>
        </w:rPr>
      </w:pPr>
      <w:r w:rsidRPr="00DE5A71">
        <w:rPr>
          <w:rFonts w:ascii="Arial" w:hAnsi="Arial" w:cs="Arial"/>
          <w:iCs/>
          <w:sz w:val="20"/>
          <w:szCs w:val="20"/>
        </w:rPr>
        <w:t>[21]</w:t>
      </w:r>
      <w:r>
        <w:rPr>
          <w:rFonts w:ascii="Arial" w:hAnsi="Arial" w:cs="Arial"/>
          <w:iCs/>
          <w:sz w:val="20"/>
          <w:szCs w:val="20"/>
        </w:rPr>
        <w:t xml:space="preserve"> </w:t>
      </w:r>
      <w:r w:rsidRPr="004D795E">
        <w:rPr>
          <w:rFonts w:ascii="Arial" w:hAnsi="Arial" w:cs="Arial"/>
          <w:sz w:val="20"/>
          <w:szCs w:val="16"/>
        </w:rPr>
        <w:t xml:space="preserve">I agree with Bell J’s conclusions in </w:t>
      </w:r>
      <w:r w:rsidRPr="004D795E">
        <w:rPr>
          <w:rFonts w:ascii="Arial" w:hAnsi="Arial" w:cs="Arial"/>
          <w:i/>
          <w:sz w:val="20"/>
          <w:szCs w:val="16"/>
        </w:rPr>
        <w:t>Sanding</w:t>
      </w:r>
      <w:r w:rsidRPr="004D795E">
        <w:rPr>
          <w:rFonts w:ascii="Arial" w:hAnsi="Arial" w:cs="Arial"/>
          <w:sz w:val="20"/>
          <w:szCs w:val="16"/>
        </w:rPr>
        <w:t xml:space="preserve">. </w:t>
      </w:r>
      <w:r w:rsidRPr="004D795E">
        <w:rPr>
          <w:rFonts w:ascii="Arial" w:hAnsi="Arial" w:cs="Arial"/>
          <w:sz w:val="20"/>
          <w:szCs w:val="20"/>
        </w:rPr>
        <w:t>While the applicable notions of natural justice and procedural fairness afforded to the parties may be influenced by the overriding consideration of the best interests of the child if the purposes for which the jurisdiction is conferred may be frustrated, the parties must still be afforded procedural fairness.</w:t>
      </w:r>
      <w:r w:rsidRPr="004D795E">
        <w:rPr>
          <w:rFonts w:ascii="Arial" w:hAnsi="Arial" w:cs="Arial"/>
          <w:sz w:val="20"/>
          <w:szCs w:val="16"/>
        </w:rPr>
        <w:t xml:space="preserve"> Any</w:t>
      </w:r>
      <w:r w:rsidR="00620D75">
        <w:rPr>
          <w:rFonts w:ascii="Arial" w:hAnsi="Arial" w:cs="Arial"/>
          <w:sz w:val="20"/>
          <w:szCs w:val="16"/>
        </w:rPr>
        <w:t> </w:t>
      </w:r>
      <w:r w:rsidRPr="004D795E">
        <w:rPr>
          <w:rFonts w:ascii="Arial" w:hAnsi="Arial" w:cs="Arial"/>
          <w:sz w:val="20"/>
          <w:szCs w:val="16"/>
        </w:rPr>
        <w:t>limitation on procedural fairness considered appropriate in the circumstances of a particular case ought to be transparently balanced against the anticipated risk of frustration of the purposes for which the jurisdiction is conferred, particularly where, as in the case of this Act, the legislature has, at some length, articulated the best interests principle that is to guide the court’s decisions.</w:t>
      </w:r>
    </w:p>
    <w:p w14:paraId="12FD766B" w14:textId="5C5E8323" w:rsidR="00DE5A71" w:rsidRPr="00DE5A71" w:rsidRDefault="00DE5A71" w:rsidP="007526D0">
      <w:pPr>
        <w:spacing w:before="60"/>
        <w:ind w:left="567" w:right="567"/>
        <w:jc w:val="both"/>
        <w:rPr>
          <w:rFonts w:ascii="Arial" w:hAnsi="Arial" w:cs="Arial"/>
          <w:iCs/>
          <w:sz w:val="20"/>
          <w:szCs w:val="20"/>
          <w:lang w:eastAsia="en-AU"/>
        </w:rPr>
      </w:pPr>
      <w:r>
        <w:rPr>
          <w:rFonts w:ascii="Arial" w:hAnsi="Arial" w:cs="Arial"/>
          <w:sz w:val="20"/>
          <w:szCs w:val="16"/>
        </w:rPr>
        <w:t xml:space="preserve">[22] </w:t>
      </w:r>
      <w:r w:rsidRPr="00EC467B">
        <w:rPr>
          <w:rFonts w:ascii="Arial" w:hAnsi="Arial" w:cs="Arial"/>
          <w:sz w:val="20"/>
          <w:szCs w:val="20"/>
        </w:rPr>
        <w:t xml:space="preserve">Earlier decisions of this court that have considered ‘submissions hearings’ </w:t>
      </w:r>
      <w:r w:rsidR="007526D0">
        <w:rPr>
          <w:rFonts w:ascii="Arial" w:hAnsi="Arial" w:cs="Arial"/>
          <w:sz w:val="20"/>
          <w:szCs w:val="20"/>
        </w:rPr>
        <w:t xml:space="preserve">[some of which are discussed in </w:t>
      </w:r>
      <w:r w:rsidR="00A975E6" w:rsidRPr="00A975E6">
        <w:rPr>
          <w:rFonts w:ascii="Arial" w:hAnsi="Arial" w:cs="Arial"/>
          <w:b/>
          <w:bCs/>
          <w:sz w:val="20"/>
          <w:szCs w:val="20"/>
          <w:shd w:val="clear" w:color="auto" w:fill="C5E0B3" w:themeFill="accent6" w:themeFillTint="66"/>
        </w:rPr>
        <w:t>sections</w:t>
      </w:r>
      <w:r w:rsidR="00620D75" w:rsidRPr="00A975E6">
        <w:rPr>
          <w:rFonts w:ascii="Arial" w:hAnsi="Arial" w:cs="Arial"/>
          <w:b/>
          <w:bCs/>
          <w:sz w:val="20"/>
          <w:szCs w:val="20"/>
          <w:shd w:val="clear" w:color="auto" w:fill="C5E0B3" w:themeFill="accent6" w:themeFillTint="66"/>
        </w:rPr>
        <w:t xml:space="preserve"> 4.9.1 &amp; 5.11.11</w:t>
      </w:r>
      <w:r w:rsidR="007526D0">
        <w:rPr>
          <w:rFonts w:ascii="Arial" w:hAnsi="Arial" w:cs="Arial"/>
          <w:sz w:val="20"/>
          <w:szCs w:val="20"/>
        </w:rPr>
        <w:t xml:space="preserve"> of these Research Materials] </w:t>
      </w:r>
      <w:r w:rsidRPr="00EC467B">
        <w:rPr>
          <w:rFonts w:ascii="Arial" w:hAnsi="Arial" w:cs="Arial"/>
          <w:sz w:val="20"/>
          <w:szCs w:val="20"/>
        </w:rPr>
        <w:t xml:space="preserve">must be considered in context. Each of these decisions was carefully considered in </w:t>
      </w:r>
      <w:r w:rsidRPr="00EC467B">
        <w:rPr>
          <w:rFonts w:ascii="Arial" w:hAnsi="Arial" w:cs="Arial"/>
          <w:i/>
          <w:sz w:val="20"/>
          <w:szCs w:val="20"/>
        </w:rPr>
        <w:t>Sanding</w:t>
      </w:r>
      <w:r w:rsidRPr="00EC467B">
        <w:rPr>
          <w:rFonts w:ascii="Arial" w:hAnsi="Arial" w:cs="Arial"/>
          <w:sz w:val="20"/>
          <w:szCs w:val="20"/>
        </w:rPr>
        <w:t xml:space="preserve"> when Bell J concluded that disposition of the application that was being reviewed in that proceeding by a submissions hearing did not involve a want of procedural fairness. In my view, as the circumstances of the application that I am concerned with differ from those in </w:t>
      </w:r>
      <w:r w:rsidRPr="00EC467B">
        <w:rPr>
          <w:rFonts w:ascii="Arial" w:hAnsi="Arial" w:cs="Arial"/>
          <w:i/>
          <w:sz w:val="20"/>
          <w:szCs w:val="20"/>
        </w:rPr>
        <w:t xml:space="preserve">Sanding </w:t>
      </w:r>
      <w:r w:rsidRPr="00EC467B">
        <w:rPr>
          <w:rFonts w:ascii="Arial" w:hAnsi="Arial" w:cs="Arial"/>
          <w:sz w:val="20"/>
          <w:szCs w:val="20"/>
        </w:rPr>
        <w:t>and in the earlier decisions, the submissions hearing did involve a want of procedural fairness.</w:t>
      </w:r>
      <w:r>
        <w:rPr>
          <w:rFonts w:ascii="Arial" w:hAnsi="Arial" w:cs="Arial"/>
          <w:sz w:val="20"/>
          <w:szCs w:val="20"/>
        </w:rPr>
        <w:t>”</w:t>
      </w:r>
      <w:r w:rsidR="00AF6D28">
        <w:rPr>
          <w:rFonts w:ascii="Arial" w:hAnsi="Arial" w:cs="Arial"/>
          <w:sz w:val="20"/>
          <w:szCs w:val="20"/>
        </w:rPr>
        <w:t xml:space="preserve"> [emphasis added]</w:t>
      </w:r>
    </w:p>
    <w:p w14:paraId="2549F412" w14:textId="77777777" w:rsidR="00D3454C" w:rsidRDefault="00D3454C" w:rsidP="007A12D2">
      <w:pPr>
        <w:jc w:val="both"/>
        <w:rPr>
          <w:rFonts w:ascii="Arial" w:hAnsi="Arial" w:cs="Arial"/>
          <w:sz w:val="20"/>
        </w:rPr>
      </w:pPr>
    </w:p>
    <w:p w14:paraId="093F7B50" w14:textId="4F22A03F" w:rsidR="0086086A" w:rsidRDefault="0086086A" w:rsidP="007A12D2">
      <w:pPr>
        <w:jc w:val="both"/>
        <w:rPr>
          <w:rFonts w:ascii="Arial" w:hAnsi="Arial" w:cs="Arial"/>
          <w:sz w:val="20"/>
        </w:rPr>
      </w:pPr>
      <w:r>
        <w:rPr>
          <w:rFonts w:ascii="Arial" w:hAnsi="Arial" w:cs="Arial"/>
          <w:sz w:val="20"/>
        </w:rPr>
        <w:t xml:space="preserve">In the commercial appeal of </w:t>
      </w:r>
      <w:r w:rsidRPr="0086086A">
        <w:rPr>
          <w:rFonts w:ascii="Arial" w:hAnsi="Arial" w:cs="Arial"/>
          <w:i/>
          <w:iCs/>
          <w:sz w:val="20"/>
        </w:rPr>
        <w:t xml:space="preserve">Dreamland Development Pty Ltd v </w:t>
      </w:r>
      <w:proofErr w:type="spellStart"/>
      <w:r w:rsidRPr="0086086A">
        <w:rPr>
          <w:rFonts w:ascii="Arial" w:hAnsi="Arial" w:cs="Arial"/>
          <w:i/>
          <w:iCs/>
          <w:sz w:val="20"/>
        </w:rPr>
        <w:t>Navadiya</w:t>
      </w:r>
      <w:proofErr w:type="spellEnd"/>
      <w:r w:rsidRPr="0086086A">
        <w:rPr>
          <w:rFonts w:ascii="Arial" w:hAnsi="Arial" w:cs="Arial"/>
          <w:i/>
          <w:iCs/>
          <w:sz w:val="20"/>
        </w:rPr>
        <w:t xml:space="preserve"> Group Pty Ltd</w:t>
      </w:r>
      <w:r w:rsidRPr="0086086A">
        <w:rPr>
          <w:rFonts w:ascii="Arial" w:hAnsi="Arial" w:cs="Arial"/>
          <w:sz w:val="20"/>
        </w:rPr>
        <w:t xml:space="preserve"> [2026] VSCA 58</w:t>
      </w:r>
      <w:r>
        <w:rPr>
          <w:rFonts w:ascii="Arial" w:hAnsi="Arial" w:cs="Arial"/>
          <w:sz w:val="20"/>
        </w:rPr>
        <w:t xml:space="preserve"> a central issue was the significance of pleadings and the limited circumstances in which a party might depart from its pleaded case. At [84]-[88] Walker, Lyons &amp; Donaghue JJA discussed a number of </w:t>
      </w:r>
      <w:r w:rsidR="00FC2613">
        <w:rPr>
          <w:rFonts w:ascii="Arial" w:hAnsi="Arial" w:cs="Arial"/>
          <w:sz w:val="20"/>
        </w:rPr>
        <w:t xml:space="preserve">relevant authorities, including at [85] a quotation from the judgment of Mason CJ &amp; </w:t>
      </w:r>
      <w:proofErr w:type="spellStart"/>
      <w:r w:rsidR="00FC2613">
        <w:rPr>
          <w:rFonts w:ascii="Arial" w:hAnsi="Arial" w:cs="Arial"/>
          <w:sz w:val="20"/>
        </w:rPr>
        <w:t>Gaudron</w:t>
      </w:r>
      <w:proofErr w:type="spellEnd"/>
      <w:r w:rsidR="00FC2613">
        <w:rPr>
          <w:rFonts w:ascii="Arial" w:hAnsi="Arial" w:cs="Arial"/>
          <w:sz w:val="20"/>
        </w:rPr>
        <w:t xml:space="preserve"> J in </w:t>
      </w:r>
      <w:r w:rsidR="00FC2613" w:rsidRPr="00FC2613">
        <w:rPr>
          <w:rFonts w:ascii="Arial" w:hAnsi="Arial" w:cs="Arial"/>
          <w:i/>
          <w:iCs/>
          <w:sz w:val="20"/>
        </w:rPr>
        <w:t>Banque Commerciale SA, En Liquidation v Akhil Holdings Ltd</w:t>
      </w:r>
      <w:r w:rsidR="00FC2613">
        <w:rPr>
          <w:rFonts w:ascii="Arial" w:hAnsi="Arial" w:cs="Arial"/>
          <w:sz w:val="20"/>
        </w:rPr>
        <w:t xml:space="preserve"> </w:t>
      </w:r>
      <w:r w:rsidR="00FC2613" w:rsidRPr="00FC2613">
        <w:rPr>
          <w:rFonts w:ascii="Arial" w:hAnsi="Arial" w:cs="Arial"/>
          <w:sz w:val="20"/>
        </w:rPr>
        <w:t>(1990) 169 CLR 279, 286–7; [1990] HCA 11</w:t>
      </w:r>
      <w:r w:rsidR="005B5BED">
        <w:rPr>
          <w:rFonts w:ascii="Arial" w:hAnsi="Arial" w:cs="Arial"/>
          <w:sz w:val="20"/>
        </w:rPr>
        <w:t xml:space="preserve"> [emphasis in original text]</w:t>
      </w:r>
      <w:r w:rsidR="00FC2613">
        <w:rPr>
          <w:rFonts w:ascii="Arial" w:hAnsi="Arial" w:cs="Arial"/>
          <w:sz w:val="20"/>
        </w:rPr>
        <w:t>:</w:t>
      </w:r>
    </w:p>
    <w:p w14:paraId="484875A4" w14:textId="7E6A8147" w:rsidR="00FC2613" w:rsidRDefault="00FC2613" w:rsidP="00FC2613">
      <w:pPr>
        <w:spacing w:before="60"/>
        <w:ind w:left="567" w:right="567"/>
        <w:jc w:val="both"/>
        <w:rPr>
          <w:rFonts w:ascii="Arial" w:hAnsi="Arial" w:cs="Arial"/>
          <w:sz w:val="20"/>
        </w:rPr>
      </w:pPr>
      <w:r>
        <w:rPr>
          <w:rFonts w:ascii="Arial" w:hAnsi="Arial" w:cs="Arial"/>
          <w:sz w:val="20"/>
        </w:rPr>
        <w:t>“</w:t>
      </w:r>
      <w:r w:rsidRPr="0086086A">
        <w:rPr>
          <w:rFonts w:ascii="Arial" w:hAnsi="Arial" w:cs="Arial"/>
          <w:sz w:val="20"/>
        </w:rPr>
        <w:t xml:space="preserve">The function of pleadings is to state with sufficient clarity the case that must be met … In this way, pleadings serve to ensure the basic requirement of procedural fairness that a party should have the opportunity of meeting the case against him or her and, incidentally, to define the issues for decision. The rule that, in general, relief is confined to that available on the pleadings secures a party’s right to this basic requirement of procedural fairness. Accordingly, </w:t>
      </w:r>
      <w:r w:rsidRPr="00FC2613">
        <w:rPr>
          <w:rFonts w:ascii="Arial" w:hAnsi="Arial" w:cs="Arial"/>
          <w:b/>
          <w:bCs/>
          <w:sz w:val="20"/>
        </w:rPr>
        <w:t>the circumstances in which a case may be decided on a basis different from that disclosed by the pleadings are limited to those in which the parties have deliberately chosen some different basis for the determination of their respective rights and liabilities.</w:t>
      </w:r>
      <w:r w:rsidRPr="0086086A">
        <w:rPr>
          <w:rFonts w:ascii="Arial" w:hAnsi="Arial" w:cs="Arial"/>
          <w:sz w:val="20"/>
        </w:rPr>
        <w:t xml:space="preserve"> …</w:t>
      </w:r>
    </w:p>
    <w:p w14:paraId="08F2A0EB" w14:textId="59CA7DC9" w:rsidR="00FC2613" w:rsidRDefault="00FC2613" w:rsidP="00FC2613">
      <w:pPr>
        <w:spacing w:before="60"/>
        <w:ind w:left="567" w:right="567"/>
        <w:jc w:val="both"/>
        <w:rPr>
          <w:rFonts w:ascii="Arial" w:hAnsi="Arial" w:cs="Arial"/>
          <w:sz w:val="20"/>
        </w:rPr>
      </w:pPr>
      <w:r w:rsidRPr="0086086A">
        <w:rPr>
          <w:rFonts w:ascii="Arial" w:hAnsi="Arial" w:cs="Arial"/>
          <w:sz w:val="20"/>
        </w:rPr>
        <w:t>Ordinarily, the question whether the parties have chosen some issue different from that disclosed in the pleadings as the basis for the determination of their respective rights and liabilities is to be answered by inference from the way in which the trial was conducted. It may be that, in a clear case, mere acquiescence by one party in a course adopted by the other will be sufficient to ground such an inference.</w:t>
      </w:r>
      <w:r>
        <w:rPr>
          <w:rFonts w:ascii="Arial" w:hAnsi="Arial" w:cs="Arial"/>
          <w:sz w:val="20"/>
        </w:rPr>
        <w:t>”</w:t>
      </w:r>
    </w:p>
    <w:p w14:paraId="1F07F779" w14:textId="7E452C22" w:rsidR="00FC2613" w:rsidRPr="00863867" w:rsidRDefault="00FC2613" w:rsidP="00FC2613">
      <w:pPr>
        <w:spacing w:before="60"/>
        <w:jc w:val="both"/>
        <w:rPr>
          <w:rFonts w:ascii="Arial" w:hAnsi="Arial" w:cs="Arial"/>
          <w:sz w:val="20"/>
        </w:rPr>
      </w:pPr>
      <w:r>
        <w:rPr>
          <w:rFonts w:ascii="Arial" w:hAnsi="Arial" w:cs="Arial"/>
          <w:sz w:val="20"/>
        </w:rPr>
        <w:t xml:space="preserve">However, in light of the aforementioned dicta of John Dixon J in </w:t>
      </w:r>
      <w:r w:rsidRPr="003361DB">
        <w:rPr>
          <w:rFonts w:ascii="Arial" w:eastAsia="Book Antiqua" w:hAnsi="Arial" w:cs="Arial"/>
          <w:i/>
          <w:sz w:val="20"/>
          <w:szCs w:val="20"/>
        </w:rPr>
        <w:t xml:space="preserve">Secretary to DHHS v Children’s Court of Victoria </w:t>
      </w:r>
      <w:r w:rsidRPr="003361DB">
        <w:rPr>
          <w:rFonts w:ascii="Arial" w:eastAsia="Book Antiqua" w:hAnsi="Arial" w:cs="Arial"/>
          <w:iCs/>
          <w:sz w:val="20"/>
          <w:szCs w:val="20"/>
        </w:rPr>
        <w:t>[2012] VSC 422 at [</w:t>
      </w:r>
      <w:r>
        <w:rPr>
          <w:rFonts w:ascii="Arial" w:eastAsia="Book Antiqua" w:hAnsi="Arial" w:cs="Arial"/>
          <w:iCs/>
          <w:sz w:val="20"/>
          <w:szCs w:val="20"/>
        </w:rPr>
        <w:t>20</w:t>
      </w:r>
      <w:r w:rsidRPr="003361DB">
        <w:rPr>
          <w:rFonts w:ascii="Arial" w:eastAsia="Book Antiqua" w:hAnsi="Arial" w:cs="Arial"/>
          <w:iCs/>
          <w:sz w:val="20"/>
          <w:szCs w:val="20"/>
        </w:rPr>
        <w:t>]</w:t>
      </w:r>
      <w:r>
        <w:rPr>
          <w:rFonts w:ascii="Arial" w:eastAsia="Book Antiqua" w:hAnsi="Arial" w:cs="Arial"/>
          <w:iCs/>
          <w:sz w:val="20"/>
          <w:szCs w:val="20"/>
        </w:rPr>
        <w:t xml:space="preserve"> that “</w:t>
      </w:r>
      <w:r w:rsidRPr="00367E55">
        <w:rPr>
          <w:rFonts w:ascii="Arial" w:hAnsi="Arial" w:cs="Arial"/>
          <w:sz w:val="20"/>
          <w:szCs w:val="20"/>
        </w:rPr>
        <w:t>The rules of procedural fairness do not interfere with the court’s obligation to consider best interests principles</w:t>
      </w:r>
      <w:r>
        <w:rPr>
          <w:rFonts w:ascii="Arial" w:hAnsi="Arial" w:cs="Arial"/>
          <w:sz w:val="20"/>
          <w:szCs w:val="20"/>
        </w:rPr>
        <w:t xml:space="preserve">”, it is </w:t>
      </w:r>
      <w:r w:rsidR="00863867">
        <w:rPr>
          <w:rFonts w:ascii="Arial" w:hAnsi="Arial" w:cs="Arial"/>
          <w:sz w:val="20"/>
          <w:szCs w:val="20"/>
        </w:rPr>
        <w:t>likely</w:t>
      </w:r>
      <w:r>
        <w:rPr>
          <w:rFonts w:ascii="Arial" w:hAnsi="Arial" w:cs="Arial"/>
          <w:sz w:val="20"/>
          <w:szCs w:val="20"/>
        </w:rPr>
        <w:t xml:space="preserve"> that the established rules in relation to the </w:t>
      </w:r>
      <w:r>
        <w:rPr>
          <w:rFonts w:ascii="Arial" w:hAnsi="Arial" w:cs="Arial"/>
          <w:sz w:val="20"/>
          <w:szCs w:val="20"/>
        </w:rPr>
        <w:lastRenderedPageBreak/>
        <w:t xml:space="preserve">function of pleadings in civil cases generally </w:t>
      </w:r>
      <w:r w:rsidR="00863867">
        <w:rPr>
          <w:rFonts w:ascii="Arial" w:hAnsi="Arial" w:cs="Arial"/>
          <w:sz w:val="20"/>
          <w:szCs w:val="20"/>
        </w:rPr>
        <w:t>may sometimes need to be relaxed in child protection cases where “</w:t>
      </w:r>
      <w:r w:rsidR="00863867" w:rsidRPr="00AF6D28">
        <w:rPr>
          <w:rFonts w:ascii="Arial" w:hAnsi="Arial" w:cs="Arial"/>
          <w:b/>
          <w:bCs/>
          <w:sz w:val="20"/>
          <w:szCs w:val="20"/>
        </w:rPr>
        <w:t>some qualification of the principles of natural justice may be necessary in order to ensure paramountcy to the welfare of the child</w:t>
      </w:r>
      <w:r w:rsidR="00043177">
        <w:rPr>
          <w:rFonts w:ascii="Arial" w:hAnsi="Arial" w:cs="Arial"/>
          <w:b/>
          <w:bCs/>
          <w:sz w:val="20"/>
          <w:szCs w:val="20"/>
        </w:rPr>
        <w:t>”</w:t>
      </w:r>
      <w:r w:rsidR="00863867" w:rsidRPr="00AF6D28">
        <w:rPr>
          <w:rFonts w:ascii="Arial" w:hAnsi="Arial" w:cs="Arial"/>
          <w:b/>
          <w:bCs/>
          <w:sz w:val="20"/>
          <w:szCs w:val="20"/>
        </w:rPr>
        <w:t xml:space="preserve">, but only </w:t>
      </w:r>
      <w:r w:rsidR="00043177">
        <w:rPr>
          <w:rFonts w:ascii="Arial" w:hAnsi="Arial" w:cs="Arial"/>
          <w:b/>
          <w:bCs/>
          <w:sz w:val="20"/>
          <w:szCs w:val="20"/>
        </w:rPr>
        <w:t>“</w:t>
      </w:r>
      <w:r w:rsidR="00863867" w:rsidRPr="00AF6D28">
        <w:rPr>
          <w:rFonts w:ascii="Arial" w:hAnsi="Arial" w:cs="Arial"/>
          <w:b/>
          <w:bCs/>
          <w:sz w:val="20"/>
          <w:szCs w:val="20"/>
        </w:rPr>
        <w:t>so far as is necessary to avoid frustration of the purpose for which the jurisdiction is conferred</w:t>
      </w:r>
      <w:r w:rsidR="00043177">
        <w:rPr>
          <w:rFonts w:ascii="Arial" w:hAnsi="Arial" w:cs="Arial"/>
          <w:b/>
          <w:bCs/>
          <w:sz w:val="20"/>
          <w:szCs w:val="20"/>
        </w:rPr>
        <w:t>”</w:t>
      </w:r>
      <w:r w:rsidR="00863867" w:rsidRPr="00863867">
        <w:rPr>
          <w:rFonts w:ascii="Arial" w:hAnsi="Arial" w:cs="Arial"/>
          <w:b/>
          <w:bCs/>
          <w:sz w:val="20"/>
          <w:szCs w:val="20"/>
        </w:rPr>
        <w:t>.</w:t>
      </w:r>
    </w:p>
    <w:p w14:paraId="11487B77" w14:textId="77777777" w:rsidR="00FC2613" w:rsidRDefault="00FC2613" w:rsidP="007A12D2">
      <w:pPr>
        <w:jc w:val="both"/>
        <w:rPr>
          <w:rFonts w:ascii="Arial" w:hAnsi="Arial" w:cs="Arial"/>
          <w:sz w:val="20"/>
        </w:rPr>
      </w:pPr>
    </w:p>
    <w:p w14:paraId="212511E2" w14:textId="62932109" w:rsidR="007A12D2" w:rsidRDefault="00AB2E5E" w:rsidP="00A13B31">
      <w:pPr>
        <w:keepNext/>
        <w:keepLines/>
        <w:jc w:val="both"/>
        <w:rPr>
          <w:rFonts w:ascii="Arial" w:hAnsi="Arial" w:cs="Arial"/>
          <w:sz w:val="20"/>
        </w:rPr>
      </w:pPr>
      <w:r>
        <w:rPr>
          <w:rFonts w:ascii="Arial" w:hAnsi="Arial" w:cs="Arial"/>
          <w:sz w:val="20"/>
        </w:rPr>
        <w:t>See also the detailed discussion of procedural fairness</w:t>
      </w:r>
      <w:r w:rsidR="007B2122">
        <w:rPr>
          <w:rFonts w:ascii="Arial" w:hAnsi="Arial" w:cs="Arial"/>
          <w:sz w:val="20"/>
        </w:rPr>
        <w:t xml:space="preserve">/natural justice </w:t>
      </w:r>
      <w:r w:rsidR="00D721FF">
        <w:rPr>
          <w:rFonts w:ascii="Arial" w:hAnsi="Arial" w:cs="Arial"/>
          <w:sz w:val="20"/>
        </w:rPr>
        <w:t xml:space="preserve">in </w:t>
      </w:r>
      <w:r w:rsidR="004B696B">
        <w:rPr>
          <w:rFonts w:ascii="Arial" w:hAnsi="Arial" w:cs="Arial"/>
          <w:b/>
          <w:bCs/>
          <w:sz w:val="20"/>
          <w:shd w:val="clear" w:color="auto" w:fill="C5E0B3" w:themeFill="accent6" w:themeFillTint="66"/>
        </w:rPr>
        <w:t>Part</w:t>
      </w:r>
      <w:r w:rsidR="00D721FF" w:rsidRPr="00A975E6">
        <w:rPr>
          <w:rFonts w:ascii="Arial" w:hAnsi="Arial" w:cs="Arial"/>
          <w:b/>
          <w:bCs/>
          <w:sz w:val="20"/>
          <w:shd w:val="clear" w:color="auto" w:fill="C5E0B3" w:themeFill="accent6" w:themeFillTint="66"/>
        </w:rPr>
        <w:t xml:space="preserve"> 3.1</w:t>
      </w:r>
      <w:r w:rsidR="00D721FF">
        <w:rPr>
          <w:rFonts w:ascii="Arial" w:hAnsi="Arial" w:cs="Arial"/>
          <w:sz w:val="20"/>
        </w:rPr>
        <w:t xml:space="preserve"> above and</w:t>
      </w:r>
      <w:r w:rsidR="00EB0728">
        <w:rPr>
          <w:rFonts w:ascii="Arial" w:hAnsi="Arial" w:cs="Arial"/>
          <w:sz w:val="20"/>
        </w:rPr>
        <w:t xml:space="preserve"> dicta</w:t>
      </w:r>
      <w:r w:rsidR="00FD5F44" w:rsidRPr="00A31FFA">
        <w:rPr>
          <w:rFonts w:ascii="Arial" w:hAnsi="Arial" w:cs="Arial"/>
          <w:sz w:val="20"/>
        </w:rPr>
        <w:t>–</w:t>
      </w:r>
    </w:p>
    <w:p w14:paraId="262BDF8C" w14:textId="77777777" w:rsidR="00AB2E5E" w:rsidRDefault="00EB0728" w:rsidP="00D772F0">
      <w:pPr>
        <w:numPr>
          <w:ilvl w:val="0"/>
          <w:numId w:val="37"/>
        </w:numPr>
        <w:ind w:left="357" w:hanging="357"/>
        <w:jc w:val="both"/>
        <w:rPr>
          <w:rFonts w:ascii="Arial" w:hAnsi="Arial" w:cs="Arial"/>
          <w:sz w:val="20"/>
        </w:rPr>
      </w:pPr>
      <w:r>
        <w:rPr>
          <w:rFonts w:ascii="Arial" w:hAnsi="Arial" w:cs="Arial"/>
          <w:sz w:val="20"/>
        </w:rPr>
        <w:t>of</w:t>
      </w:r>
      <w:r w:rsidR="007A12D2">
        <w:rPr>
          <w:rFonts w:ascii="Arial" w:hAnsi="Arial" w:cs="Arial"/>
          <w:sz w:val="20"/>
        </w:rPr>
        <w:t xml:space="preserve"> Warren CJ </w:t>
      </w:r>
      <w:r w:rsidR="00AB2E5E">
        <w:rPr>
          <w:rFonts w:ascii="Arial" w:hAnsi="Arial" w:cs="Arial"/>
          <w:sz w:val="20"/>
        </w:rPr>
        <w:t>in relation to the granting of adjournments by the Victorian Civil and Admin</w:t>
      </w:r>
      <w:r w:rsidR="007A12D2">
        <w:rPr>
          <w:rFonts w:ascii="Arial" w:hAnsi="Arial" w:cs="Arial"/>
          <w:sz w:val="20"/>
        </w:rPr>
        <w:t xml:space="preserve">istrative Tribunal </w:t>
      </w:r>
      <w:r w:rsidR="00AB2E5E">
        <w:rPr>
          <w:rFonts w:ascii="Arial" w:hAnsi="Arial" w:cs="Arial"/>
          <w:sz w:val="20"/>
        </w:rPr>
        <w:t xml:space="preserve">in </w:t>
      </w:r>
      <w:r w:rsidR="00AB2E5E" w:rsidRPr="00EE4465">
        <w:rPr>
          <w:rFonts w:ascii="Arial" w:hAnsi="Arial" w:cs="Arial"/>
          <w:i/>
          <w:sz w:val="20"/>
        </w:rPr>
        <w:t>Macdiggers Pty Ltd v Maria Dickinson and Peter Dickinson</w:t>
      </w:r>
      <w:r w:rsidR="007A12D2">
        <w:rPr>
          <w:rFonts w:ascii="Arial" w:hAnsi="Arial" w:cs="Arial"/>
          <w:sz w:val="20"/>
        </w:rPr>
        <w:t xml:space="preserve"> [2008] VSC 576 at [</w:t>
      </w:r>
      <w:proofErr w:type="gramStart"/>
      <w:r w:rsidR="007A12D2">
        <w:rPr>
          <w:rFonts w:ascii="Arial" w:hAnsi="Arial" w:cs="Arial"/>
          <w:sz w:val="20"/>
        </w:rPr>
        <w:t>23]</w:t>
      </w:r>
      <w:r w:rsidR="007A12D2">
        <w:rPr>
          <w:rFonts w:ascii="Arial" w:hAnsi="Arial" w:cs="Arial"/>
          <w:sz w:val="20"/>
        </w:rPr>
        <w:noBreakHyphen/>
      </w:r>
      <w:proofErr w:type="gramEnd"/>
      <w:r w:rsidR="007A12D2">
        <w:rPr>
          <w:rFonts w:ascii="Arial" w:hAnsi="Arial" w:cs="Arial"/>
          <w:sz w:val="20"/>
        </w:rPr>
        <w:t>28];</w:t>
      </w:r>
    </w:p>
    <w:p w14:paraId="7C2BCC88" w14:textId="67FDE7DF" w:rsidR="007A12D2" w:rsidRDefault="00EB0728" w:rsidP="00D772F0">
      <w:pPr>
        <w:numPr>
          <w:ilvl w:val="0"/>
          <w:numId w:val="36"/>
        </w:numPr>
        <w:ind w:left="357" w:hanging="357"/>
        <w:jc w:val="both"/>
        <w:rPr>
          <w:rFonts w:ascii="Arial" w:hAnsi="Arial" w:cs="Arial"/>
          <w:sz w:val="20"/>
        </w:rPr>
      </w:pPr>
      <w:r>
        <w:rPr>
          <w:rFonts w:ascii="Arial" w:hAnsi="Arial" w:cs="Arial"/>
          <w:sz w:val="20"/>
        </w:rPr>
        <w:t>of</w:t>
      </w:r>
      <w:r w:rsidR="007A12D2">
        <w:rPr>
          <w:rFonts w:ascii="Arial" w:hAnsi="Arial" w:cs="Arial"/>
          <w:sz w:val="20"/>
        </w:rPr>
        <w:t xml:space="preserve"> the Court of Appeal </w:t>
      </w:r>
      <w:r w:rsidR="00B975C7">
        <w:rPr>
          <w:rFonts w:ascii="Arial" w:hAnsi="Arial" w:cs="Arial"/>
          <w:sz w:val="20"/>
        </w:rPr>
        <w:t xml:space="preserve">(Maxwell P, Beach &amp; Niall JJA) </w:t>
      </w:r>
      <w:r w:rsidR="007A12D2">
        <w:rPr>
          <w:rFonts w:ascii="Arial" w:hAnsi="Arial" w:cs="Arial"/>
          <w:sz w:val="20"/>
        </w:rPr>
        <w:t xml:space="preserve">in relation to proceedings involving an unrepresented litigant in the Magistrates’ Court in </w:t>
      </w:r>
      <w:r w:rsidR="00B975C7" w:rsidRPr="00B975C7">
        <w:rPr>
          <w:rFonts w:ascii="Arial" w:hAnsi="Arial" w:cs="Arial"/>
          <w:i/>
          <w:sz w:val="20"/>
        </w:rPr>
        <w:t>Roberts v Harkness &amp; Anor</w:t>
      </w:r>
      <w:r w:rsidR="00B975C7">
        <w:rPr>
          <w:rFonts w:ascii="Arial" w:hAnsi="Arial" w:cs="Arial"/>
          <w:sz w:val="20"/>
        </w:rPr>
        <w:t xml:space="preserve"> [2018] VSC</w:t>
      </w:r>
      <w:r w:rsidR="00157791">
        <w:rPr>
          <w:rFonts w:ascii="Arial" w:hAnsi="Arial" w:cs="Arial"/>
          <w:sz w:val="20"/>
        </w:rPr>
        <w:t>A</w:t>
      </w:r>
      <w:r w:rsidR="00B975C7">
        <w:rPr>
          <w:rFonts w:ascii="Arial" w:hAnsi="Arial" w:cs="Arial"/>
          <w:sz w:val="20"/>
        </w:rPr>
        <w:t xml:space="preserve"> 215 </w:t>
      </w:r>
      <w:r w:rsidR="00216E00">
        <w:rPr>
          <w:rFonts w:ascii="Arial" w:hAnsi="Arial" w:cs="Arial"/>
          <w:sz w:val="20"/>
        </w:rPr>
        <w:t xml:space="preserve">in </w:t>
      </w:r>
      <w:r w:rsidR="00B975C7">
        <w:rPr>
          <w:rFonts w:ascii="Arial" w:hAnsi="Arial" w:cs="Arial"/>
          <w:sz w:val="20"/>
        </w:rPr>
        <w:t>allowing a</w:t>
      </w:r>
      <w:r w:rsidR="00216E00">
        <w:rPr>
          <w:rFonts w:ascii="Arial" w:hAnsi="Arial" w:cs="Arial"/>
          <w:sz w:val="20"/>
        </w:rPr>
        <w:t xml:space="preserve"> prosecution</w:t>
      </w:r>
      <w:r w:rsidR="00B975C7">
        <w:rPr>
          <w:rFonts w:ascii="Arial" w:hAnsi="Arial" w:cs="Arial"/>
          <w:sz w:val="20"/>
        </w:rPr>
        <w:t xml:space="preserve"> appeal against a decision of Bell J [2017] VSC 646</w:t>
      </w:r>
      <w:r w:rsidR="004938F3">
        <w:rPr>
          <w:rFonts w:ascii="Arial" w:hAnsi="Arial" w:cs="Arial"/>
          <w:sz w:val="20"/>
        </w:rPr>
        <w:t>; and</w:t>
      </w:r>
    </w:p>
    <w:p w14:paraId="375272F8" w14:textId="77777777" w:rsidR="004938F3" w:rsidRDefault="00EB0728" w:rsidP="00D772F0">
      <w:pPr>
        <w:numPr>
          <w:ilvl w:val="0"/>
          <w:numId w:val="36"/>
        </w:numPr>
        <w:ind w:left="357" w:hanging="357"/>
        <w:jc w:val="both"/>
        <w:rPr>
          <w:rFonts w:ascii="Arial" w:hAnsi="Arial" w:cs="Arial"/>
          <w:sz w:val="20"/>
        </w:rPr>
      </w:pPr>
      <w:r>
        <w:rPr>
          <w:rFonts w:ascii="Arial" w:hAnsi="Arial" w:cs="Arial"/>
          <w:sz w:val="20"/>
        </w:rPr>
        <w:t>of</w:t>
      </w:r>
      <w:r w:rsidR="004938F3">
        <w:rPr>
          <w:rFonts w:ascii="Arial" w:hAnsi="Arial" w:cs="Arial"/>
          <w:sz w:val="20"/>
        </w:rPr>
        <w:t xml:space="preserve"> the High Court in </w:t>
      </w:r>
      <w:r w:rsidR="004938F3" w:rsidRPr="004938F3">
        <w:rPr>
          <w:rFonts w:ascii="Arial" w:hAnsi="Arial" w:cs="Arial"/>
          <w:i/>
          <w:iCs/>
          <w:sz w:val="20"/>
        </w:rPr>
        <w:t>HT v The Queen</w:t>
      </w:r>
      <w:r w:rsidR="004938F3">
        <w:rPr>
          <w:rFonts w:ascii="Arial" w:hAnsi="Arial" w:cs="Arial"/>
          <w:sz w:val="20"/>
        </w:rPr>
        <w:t xml:space="preserve"> [2019] HCA 40 at [17]-[52].</w:t>
      </w:r>
    </w:p>
    <w:p w14:paraId="71116DC8" w14:textId="77777777" w:rsidR="006F327E" w:rsidRDefault="006F327E" w:rsidP="006F327E">
      <w:pPr>
        <w:jc w:val="both"/>
        <w:rPr>
          <w:rFonts w:ascii="Arial" w:hAnsi="Arial" w:cs="Arial"/>
          <w:sz w:val="20"/>
        </w:rPr>
      </w:pPr>
    </w:p>
    <w:p w14:paraId="44AD7BC1" w14:textId="77777777" w:rsidR="006F327E" w:rsidRDefault="00E647A9" w:rsidP="006A0F25">
      <w:pPr>
        <w:jc w:val="both"/>
        <w:rPr>
          <w:rFonts w:ascii="Arial" w:hAnsi="Arial" w:cs="Arial"/>
          <w:sz w:val="20"/>
        </w:rPr>
      </w:pPr>
      <w:r>
        <w:rPr>
          <w:rFonts w:ascii="Arial" w:hAnsi="Arial" w:cs="Arial"/>
          <w:sz w:val="20"/>
        </w:rPr>
        <w:t>A</w:t>
      </w:r>
      <w:r w:rsidR="006F327E">
        <w:rPr>
          <w:rFonts w:ascii="Arial" w:hAnsi="Arial" w:cs="Arial"/>
          <w:sz w:val="20"/>
        </w:rPr>
        <w:t xml:space="preserve">lthough there appears to be no case law directly on point, the writer can see little reason for requiring a significantly different duty by the Court towards an unrepresented party in the Family Division than that set out by the Court of Appeal in </w:t>
      </w:r>
      <w:r w:rsidR="006F327E" w:rsidRPr="00C22B69">
        <w:rPr>
          <w:rFonts w:ascii="Arial" w:hAnsi="Arial" w:cs="Arial"/>
          <w:i/>
          <w:sz w:val="20"/>
        </w:rPr>
        <w:t>R v Kerbaitch</w:t>
      </w:r>
      <w:r w:rsidR="006F327E">
        <w:rPr>
          <w:rFonts w:ascii="Arial" w:hAnsi="Arial" w:cs="Arial"/>
          <w:sz w:val="20"/>
        </w:rPr>
        <w:t xml:space="preserve"> [2005] VSCA 194 at [52]-[53] in relation to an unrepresented accused.</w:t>
      </w:r>
    </w:p>
    <w:p w14:paraId="4E717CBF" w14:textId="77777777" w:rsidR="006F327E" w:rsidRDefault="006F327E" w:rsidP="007A12D2">
      <w:pPr>
        <w:jc w:val="both"/>
        <w:rPr>
          <w:rFonts w:ascii="Arial" w:hAnsi="Arial" w:cs="Arial"/>
          <w:sz w:val="20"/>
        </w:rPr>
      </w:pPr>
    </w:p>
    <w:p w14:paraId="72CB78DC" w14:textId="25EECC6D" w:rsidR="00052871" w:rsidRDefault="0059119D" w:rsidP="00394863">
      <w:pPr>
        <w:jc w:val="both"/>
        <w:rPr>
          <w:rFonts w:ascii="Arial" w:hAnsi="Arial" w:cs="Arial"/>
          <w:sz w:val="20"/>
        </w:rPr>
      </w:pPr>
      <w:r>
        <w:rPr>
          <w:rFonts w:ascii="Arial" w:hAnsi="Arial" w:cs="Arial"/>
          <w:sz w:val="20"/>
        </w:rPr>
        <w:t xml:space="preserve">It is </w:t>
      </w:r>
      <w:r w:rsidR="00052871">
        <w:rPr>
          <w:rFonts w:ascii="Arial" w:hAnsi="Arial" w:cs="Arial"/>
          <w:sz w:val="20"/>
        </w:rPr>
        <w:t xml:space="preserve">a moot point whether or not the Department of </w:t>
      </w:r>
      <w:r w:rsidR="000F6855">
        <w:rPr>
          <w:rFonts w:ascii="Arial" w:hAnsi="Arial" w:cs="Arial"/>
          <w:sz w:val="20"/>
          <w:szCs w:val="20"/>
        </w:rPr>
        <w:t>Families, Fairness and Housing</w:t>
      </w:r>
      <w:r w:rsidR="000F6855">
        <w:rPr>
          <w:rFonts w:ascii="Arial" w:hAnsi="Arial" w:cs="Arial"/>
          <w:sz w:val="20"/>
        </w:rPr>
        <w:t xml:space="preserve"> </w:t>
      </w:r>
      <w:r w:rsidR="00052871">
        <w:rPr>
          <w:rFonts w:ascii="Arial" w:hAnsi="Arial" w:cs="Arial"/>
          <w:sz w:val="20"/>
        </w:rPr>
        <w:t xml:space="preserve">is bound by the same rules of procedural fairness in Family Division cases as is the prosecution in a criminal trial. </w:t>
      </w:r>
      <w:r>
        <w:rPr>
          <w:rFonts w:ascii="Arial" w:hAnsi="Arial" w:cs="Arial"/>
          <w:sz w:val="20"/>
        </w:rPr>
        <w:t xml:space="preserve"> As</w:t>
      </w:r>
      <w:r w:rsidR="00E647A9">
        <w:rPr>
          <w:rFonts w:ascii="Arial" w:hAnsi="Arial" w:cs="Arial"/>
          <w:sz w:val="20"/>
        </w:rPr>
        <w:t> </w:t>
      </w:r>
      <w:r>
        <w:rPr>
          <w:rFonts w:ascii="Arial" w:hAnsi="Arial" w:cs="Arial"/>
          <w:sz w:val="20"/>
        </w:rPr>
        <w:t xml:space="preserve">to the latter see the </w:t>
      </w:r>
      <w:r w:rsidR="00052871">
        <w:rPr>
          <w:rFonts w:ascii="Arial" w:hAnsi="Arial" w:cs="Arial"/>
          <w:sz w:val="20"/>
        </w:rPr>
        <w:t xml:space="preserve">dicta in </w:t>
      </w:r>
      <w:r w:rsidR="00052871" w:rsidRPr="00C15156">
        <w:rPr>
          <w:rFonts w:ascii="Arial" w:hAnsi="Arial" w:cs="Arial"/>
          <w:i/>
          <w:sz w:val="20"/>
        </w:rPr>
        <w:t>R v Calway</w:t>
      </w:r>
      <w:r w:rsidR="00052871">
        <w:rPr>
          <w:rFonts w:ascii="Arial" w:hAnsi="Arial" w:cs="Arial"/>
          <w:sz w:val="20"/>
        </w:rPr>
        <w:t xml:space="preserve">, </w:t>
      </w:r>
      <w:r w:rsidR="00052871" w:rsidRPr="00C65F9B">
        <w:rPr>
          <w:rFonts w:ascii="Arial" w:hAnsi="Arial" w:cs="Arial"/>
          <w:i/>
          <w:sz w:val="20"/>
        </w:rPr>
        <w:t>R v Lucas</w:t>
      </w:r>
      <w:r w:rsidR="00052871">
        <w:rPr>
          <w:rFonts w:ascii="Arial" w:hAnsi="Arial" w:cs="Arial"/>
          <w:sz w:val="20"/>
        </w:rPr>
        <w:t xml:space="preserve"> &amp; </w:t>
      </w:r>
      <w:r w:rsidR="00052871" w:rsidRPr="00C65F9B">
        <w:rPr>
          <w:rFonts w:ascii="Arial" w:hAnsi="Arial" w:cs="Arial"/>
          <w:i/>
          <w:sz w:val="20"/>
        </w:rPr>
        <w:t>R v Parsons &amp; Stocker</w:t>
      </w:r>
      <w:r>
        <w:rPr>
          <w:rFonts w:ascii="Arial" w:hAnsi="Arial" w:cs="Arial"/>
          <w:i/>
          <w:sz w:val="20"/>
        </w:rPr>
        <w:t xml:space="preserve"> </w:t>
      </w:r>
      <w:r w:rsidRPr="0059119D">
        <w:rPr>
          <w:rFonts w:ascii="Arial" w:hAnsi="Arial" w:cs="Arial"/>
          <w:sz w:val="20"/>
        </w:rPr>
        <w:t xml:space="preserve">referred to in </w:t>
      </w:r>
      <w:r w:rsidRPr="00A975E6">
        <w:rPr>
          <w:rFonts w:ascii="Arial" w:hAnsi="Arial" w:cs="Arial"/>
          <w:b/>
          <w:bCs/>
          <w:sz w:val="20"/>
          <w:shd w:val="clear" w:color="auto" w:fill="C5E0B3" w:themeFill="accent6" w:themeFillTint="66"/>
        </w:rPr>
        <w:t>section 3.5.4</w:t>
      </w:r>
      <w:r w:rsidRPr="0059119D">
        <w:rPr>
          <w:rFonts w:ascii="Arial" w:hAnsi="Arial" w:cs="Arial"/>
          <w:sz w:val="20"/>
        </w:rPr>
        <w:t xml:space="preserve"> above</w:t>
      </w:r>
      <w:r w:rsidR="00052871">
        <w:rPr>
          <w:rFonts w:ascii="Arial" w:hAnsi="Arial" w:cs="Arial"/>
          <w:sz w:val="20"/>
        </w:rPr>
        <w:t>.  However, since proceedings in the Family Division have similar aims of establishing the truth and ensuring that justice is done as between the individual and the State, it is difficult to see any compelling reason why the State</w:t>
      </w:r>
      <w:r w:rsidR="000F0BE9">
        <w:rPr>
          <w:rFonts w:ascii="Arial" w:hAnsi="Arial" w:cs="Arial"/>
          <w:sz w:val="20"/>
        </w:rPr>
        <w:t>’</w:t>
      </w:r>
      <w:r w:rsidR="00052871">
        <w:rPr>
          <w:rFonts w:ascii="Arial" w:hAnsi="Arial" w:cs="Arial"/>
          <w:sz w:val="20"/>
        </w:rPr>
        <w:t xml:space="preserve">s obligation to accord procedural fairness to all of the individuals involved in a Family Division proceeding should be lower than its obligation in a criminal trial.  This view is reinforced by the fact that the Department of </w:t>
      </w:r>
      <w:r w:rsidR="000F6855">
        <w:rPr>
          <w:rFonts w:ascii="Arial" w:hAnsi="Arial" w:cs="Arial"/>
          <w:sz w:val="20"/>
          <w:szCs w:val="20"/>
        </w:rPr>
        <w:t>Families, Fairness and Housing</w:t>
      </w:r>
      <w:r w:rsidR="000F6855">
        <w:rPr>
          <w:rFonts w:ascii="Arial" w:hAnsi="Arial" w:cs="Arial"/>
          <w:sz w:val="20"/>
        </w:rPr>
        <w:t xml:space="preserve"> </w:t>
      </w:r>
      <w:r w:rsidR="00052871">
        <w:rPr>
          <w:rFonts w:ascii="Arial" w:hAnsi="Arial" w:cs="Arial"/>
          <w:sz w:val="20"/>
        </w:rPr>
        <w:t>is obliged to act as a model litigant: see “Guidelines on the State of Victoria’s Obligation to Act as a Model Litigant” as set out in Schedule 4 of the Legal Servic</w:t>
      </w:r>
      <w:r>
        <w:rPr>
          <w:rFonts w:ascii="Arial" w:hAnsi="Arial" w:cs="Arial"/>
          <w:sz w:val="20"/>
        </w:rPr>
        <w:t xml:space="preserve">es to Government Panel contract and see </w:t>
      </w:r>
      <w:r w:rsidR="00AF6D28">
        <w:rPr>
          <w:rFonts w:ascii="Arial" w:hAnsi="Arial" w:cs="Arial"/>
          <w:sz w:val="20"/>
        </w:rPr>
        <w:t xml:space="preserve">also </w:t>
      </w:r>
      <w:r w:rsidRPr="00A975E6">
        <w:rPr>
          <w:rFonts w:ascii="Arial" w:hAnsi="Arial" w:cs="Arial"/>
          <w:b/>
          <w:bCs/>
          <w:sz w:val="20"/>
          <w:shd w:val="clear" w:color="auto" w:fill="C5E0B3" w:themeFill="accent6" w:themeFillTint="66"/>
        </w:rPr>
        <w:t>section 4.1.6</w:t>
      </w:r>
      <w:r>
        <w:rPr>
          <w:rFonts w:ascii="Arial" w:hAnsi="Arial" w:cs="Arial"/>
          <w:sz w:val="20"/>
        </w:rPr>
        <w:t>.</w:t>
      </w:r>
    </w:p>
    <w:p w14:paraId="02E88916" w14:textId="1F539E23" w:rsidR="00C8544F" w:rsidRDefault="00C8544F" w:rsidP="00F603C4">
      <w:pPr>
        <w:jc w:val="both"/>
        <w:rPr>
          <w:rFonts w:ascii="Arial" w:hAnsi="Arial" w:cs="Arial"/>
          <w:sz w:val="20"/>
        </w:rPr>
      </w:pPr>
    </w:p>
    <w:p w14:paraId="7A050661" w14:textId="6B6E854B" w:rsidR="00651374" w:rsidRDefault="00651374" w:rsidP="00651374">
      <w:pPr>
        <w:pStyle w:val="Heading3"/>
        <w:keepNext/>
        <w:keepLines/>
        <w:spacing w:after="120" w:line="240" w:lineRule="auto"/>
        <w:rPr>
          <w:rFonts w:ascii="Arial" w:hAnsi="Arial" w:cs="Arial"/>
          <w:b/>
          <w:bCs/>
          <w:sz w:val="20"/>
        </w:rPr>
      </w:pPr>
      <w:bookmarkStart w:id="797" w:name="_3.5.6.5_Tips_for"/>
      <w:bookmarkEnd w:id="797"/>
      <w:r>
        <w:rPr>
          <w:rFonts w:ascii="Arial" w:hAnsi="Arial" w:cs="Arial"/>
          <w:b/>
          <w:bCs/>
          <w:sz w:val="20"/>
        </w:rPr>
        <w:t>3.5.6.5</w:t>
      </w:r>
      <w:r>
        <w:rPr>
          <w:rFonts w:ascii="Arial" w:hAnsi="Arial" w:cs="Arial"/>
          <w:b/>
          <w:bCs/>
          <w:sz w:val="20"/>
        </w:rPr>
        <w:tab/>
        <w:t>Tips for advocates and witnesses in contested Family Division cases</w:t>
      </w:r>
    </w:p>
    <w:p w14:paraId="521BBA08" w14:textId="3BCE78A9" w:rsidR="00B757CB" w:rsidRDefault="00B757CB" w:rsidP="00B757CB">
      <w:pPr>
        <w:jc w:val="both"/>
        <w:rPr>
          <w:rFonts w:ascii="Arial" w:hAnsi="Arial" w:cs="Arial"/>
          <w:color w:val="000000"/>
          <w:sz w:val="20"/>
        </w:rPr>
      </w:pPr>
      <w:r>
        <w:rPr>
          <w:rFonts w:ascii="Arial" w:hAnsi="Arial" w:cs="Arial"/>
          <w:color w:val="000000"/>
          <w:sz w:val="20"/>
        </w:rPr>
        <w:t>So far as the involvement of counsel and witnesses in contested Children’s Court Family Division cases are concerned, here are some ‘tips’ which may be of assistance.  The</w:t>
      </w:r>
      <w:r w:rsidR="006C5E0D">
        <w:rPr>
          <w:rFonts w:ascii="Arial" w:hAnsi="Arial" w:cs="Arial"/>
          <w:color w:val="000000"/>
          <w:sz w:val="20"/>
        </w:rPr>
        <w:t>se ‘tips’</w:t>
      </w:r>
      <w:r>
        <w:rPr>
          <w:rFonts w:ascii="Arial" w:hAnsi="Arial" w:cs="Arial"/>
          <w:color w:val="000000"/>
          <w:sz w:val="20"/>
        </w:rPr>
        <w:t xml:space="preserve"> also have substantial relevance to contested criminal cases.  The</w:t>
      </w:r>
      <w:r w:rsidR="006C5E0D">
        <w:rPr>
          <w:rFonts w:ascii="Arial" w:hAnsi="Arial" w:cs="Arial"/>
          <w:color w:val="000000"/>
          <w:sz w:val="20"/>
        </w:rPr>
        <w:t>y</w:t>
      </w:r>
      <w:r>
        <w:rPr>
          <w:rFonts w:ascii="Arial" w:hAnsi="Arial" w:cs="Arial"/>
          <w:color w:val="000000"/>
          <w:sz w:val="20"/>
        </w:rPr>
        <w:t xml:space="preserve"> are not intended to be exhaustive.</w:t>
      </w:r>
    </w:p>
    <w:p w14:paraId="0CBCB4ED" w14:textId="77777777" w:rsidR="00B757CB" w:rsidRDefault="00B757CB" w:rsidP="00B757CB">
      <w:pPr>
        <w:rPr>
          <w:rFonts w:ascii="Arial" w:hAnsi="Arial" w:cs="Arial"/>
          <w:color w:val="000000"/>
          <w:sz w:val="20"/>
        </w:rPr>
      </w:pPr>
    </w:p>
    <w:p w14:paraId="3E75B0C7"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Most cases in Victorian Courts are conducted on an </w:t>
      </w:r>
      <w:r>
        <w:rPr>
          <w:rFonts w:ascii="Arial" w:hAnsi="Arial" w:cs="Arial"/>
          <w:sz w:val="20"/>
        </w:rPr>
        <w:t>‘</w:t>
      </w:r>
      <w:r w:rsidRPr="001C0754">
        <w:rPr>
          <w:rFonts w:ascii="Arial" w:hAnsi="Arial" w:cs="Arial"/>
          <w:sz w:val="20"/>
        </w:rPr>
        <w:t>adversarial</w:t>
      </w:r>
      <w:r>
        <w:rPr>
          <w:rFonts w:ascii="Arial" w:hAnsi="Arial" w:cs="Arial"/>
          <w:sz w:val="20"/>
        </w:rPr>
        <w:t>’</w:t>
      </w:r>
      <w:r w:rsidRPr="001C0754">
        <w:rPr>
          <w:rFonts w:ascii="Arial" w:hAnsi="Arial" w:cs="Arial"/>
          <w:sz w:val="20"/>
        </w:rPr>
        <w:t xml:space="preserve"> basis.  However, child protection cases are partly inquisitorial since the Court has an obligation – independent of the parties – under s.8(1) CYFA to have regard to ‘best interests’ provisions in making any order or taking any action under the CYFA.  Hence, in most child protection cases judicial officers are more interventionist – and ask more questions of witnesses and counsel – than in other types of cases.</w:t>
      </w:r>
    </w:p>
    <w:p w14:paraId="440BA37A" w14:textId="77777777" w:rsidR="00B757CB" w:rsidRDefault="00B757CB" w:rsidP="00B757CB">
      <w:pPr>
        <w:jc w:val="both"/>
        <w:rPr>
          <w:rFonts w:ascii="Arial" w:hAnsi="Arial" w:cs="Arial"/>
          <w:sz w:val="20"/>
          <w:szCs w:val="20"/>
        </w:rPr>
      </w:pPr>
    </w:p>
    <w:p w14:paraId="0D8B495A" w14:textId="5C70F590" w:rsidR="00B757CB" w:rsidRPr="00327B2A" w:rsidRDefault="00B757CB">
      <w:pPr>
        <w:pStyle w:val="ListParagraph"/>
        <w:numPr>
          <w:ilvl w:val="0"/>
          <w:numId w:val="92"/>
        </w:numPr>
        <w:ind w:left="357" w:hanging="357"/>
        <w:contextualSpacing/>
        <w:jc w:val="both"/>
        <w:rPr>
          <w:rFonts w:ascii="Arial" w:hAnsi="Arial" w:cs="Arial"/>
          <w:bCs/>
          <w:sz w:val="20"/>
        </w:rPr>
      </w:pPr>
      <w:r w:rsidRPr="00B15617">
        <w:rPr>
          <w:rFonts w:ascii="Arial" w:hAnsi="Arial" w:cs="Arial"/>
          <w:bCs/>
          <w:sz w:val="20"/>
          <w:szCs w:val="22"/>
        </w:rPr>
        <w:t xml:space="preserve">Section 215(1) CYFA requires the Family Division </w:t>
      </w:r>
      <w:r>
        <w:rPr>
          <w:rFonts w:ascii="Arial" w:hAnsi="Arial" w:cs="Arial"/>
          <w:bCs/>
          <w:sz w:val="20"/>
          <w:szCs w:val="22"/>
        </w:rPr>
        <w:t xml:space="preserve">of the Children’s Court </w:t>
      </w:r>
      <w:r w:rsidRPr="00B15617">
        <w:rPr>
          <w:rFonts w:ascii="Arial" w:hAnsi="Arial" w:cs="Arial"/>
          <w:bCs/>
          <w:sz w:val="20"/>
          <w:szCs w:val="22"/>
        </w:rPr>
        <w:t xml:space="preserve">to conduct proceedings in an informal manner and allows it to inform itself as it thinks fit despite any rules of evidence to the </w:t>
      </w:r>
      <w:r w:rsidRPr="00B15617">
        <w:rPr>
          <w:rFonts w:ascii="Arial" w:hAnsi="Arial" w:cs="Arial"/>
          <w:bCs/>
          <w:sz w:val="20"/>
        </w:rPr>
        <w:t xml:space="preserve">contrary.  However, </w:t>
      </w:r>
      <w:r w:rsidRPr="00B15617">
        <w:rPr>
          <w:rFonts w:ascii="Arial" w:hAnsi="Arial" w:cs="Arial"/>
          <w:sz w:val="20"/>
        </w:rPr>
        <w:t xml:space="preserve">see </w:t>
      </w:r>
      <w:r w:rsidRPr="00B15617">
        <w:rPr>
          <w:rFonts w:ascii="Arial" w:hAnsi="Arial" w:cs="Arial"/>
          <w:i/>
          <w:sz w:val="20"/>
        </w:rPr>
        <w:t>Weinstein v Medical Practitioners Board of Victoria</w:t>
      </w:r>
      <w:r w:rsidRPr="00B15617">
        <w:rPr>
          <w:rFonts w:ascii="Arial" w:hAnsi="Arial" w:cs="Arial"/>
          <w:sz w:val="20"/>
        </w:rPr>
        <w:t xml:space="preserve"> [2008] VSCA 193</w:t>
      </w:r>
      <w:r>
        <w:rPr>
          <w:rFonts w:ascii="Arial" w:hAnsi="Arial" w:cs="Arial"/>
          <w:sz w:val="20"/>
        </w:rPr>
        <w:t xml:space="preserve"> (discussed in </w:t>
      </w:r>
      <w:r w:rsidRPr="005B06C8">
        <w:rPr>
          <w:rFonts w:ascii="Arial" w:hAnsi="Arial" w:cs="Arial"/>
          <w:b/>
          <w:bCs/>
          <w:sz w:val="20"/>
          <w:shd w:val="clear" w:color="auto" w:fill="C5E0B3"/>
        </w:rPr>
        <w:t>subsection 3.5.3.3</w:t>
      </w:r>
      <w:r>
        <w:rPr>
          <w:rFonts w:ascii="Arial" w:hAnsi="Arial" w:cs="Arial"/>
          <w:sz w:val="20"/>
        </w:rPr>
        <w:t xml:space="preserve"> above) where the Court of Appeal held that dispensation with the rules of evidence was “subject to a requirement to accord procedural fairness”.</w:t>
      </w:r>
    </w:p>
    <w:p w14:paraId="3389C6DB" w14:textId="77777777" w:rsidR="00B757CB" w:rsidRPr="001C0754" w:rsidRDefault="00B757CB" w:rsidP="00B757CB">
      <w:pPr>
        <w:jc w:val="both"/>
        <w:rPr>
          <w:rFonts w:ascii="Arial" w:hAnsi="Arial" w:cs="Arial"/>
          <w:sz w:val="20"/>
          <w:szCs w:val="20"/>
        </w:rPr>
      </w:pPr>
    </w:p>
    <w:p w14:paraId="479E8C23" w14:textId="77777777" w:rsidR="00B757CB" w:rsidRDefault="00B757CB">
      <w:pPr>
        <w:pStyle w:val="ListParagraph"/>
        <w:numPr>
          <w:ilvl w:val="0"/>
          <w:numId w:val="92"/>
        </w:numPr>
        <w:ind w:left="357" w:hanging="357"/>
        <w:contextualSpacing/>
        <w:jc w:val="both"/>
        <w:rPr>
          <w:rFonts w:ascii="Arial" w:hAnsi="Arial" w:cs="Arial"/>
          <w:bCs/>
          <w:sz w:val="20"/>
        </w:rPr>
      </w:pPr>
      <w:r w:rsidRPr="001C0754">
        <w:rPr>
          <w:rFonts w:ascii="Arial" w:hAnsi="Arial" w:cs="Arial"/>
          <w:sz w:val="20"/>
        </w:rPr>
        <w:t xml:space="preserve">Expert witnesses are entitled not only to give evidence of </w:t>
      </w:r>
      <w:r w:rsidRPr="001C0754">
        <w:rPr>
          <w:rFonts w:ascii="Arial" w:hAnsi="Arial" w:cs="Arial"/>
          <w:bCs/>
          <w:sz w:val="20"/>
        </w:rPr>
        <w:t xml:space="preserve">observed facts but also evidence in the form of opinion and/or inference.  The relevant principles are discussed and applied in </w:t>
      </w:r>
      <w:r w:rsidRPr="001C0754">
        <w:rPr>
          <w:rFonts w:ascii="Arial" w:hAnsi="Arial" w:cs="Arial"/>
          <w:bCs/>
          <w:i/>
          <w:sz w:val="20"/>
        </w:rPr>
        <w:t>HG v R</w:t>
      </w:r>
      <w:r w:rsidRPr="001C0754">
        <w:rPr>
          <w:rFonts w:ascii="Arial" w:hAnsi="Arial" w:cs="Arial"/>
          <w:bCs/>
          <w:sz w:val="20"/>
        </w:rPr>
        <w:t xml:space="preserve"> (1999) 197 CLR 414 at [39] &amp; [44] per Gleeson CJ.  </w:t>
      </w:r>
      <w:r w:rsidRPr="001C0754">
        <w:rPr>
          <w:rFonts w:ascii="Arial" w:hAnsi="Arial" w:cs="Arial"/>
          <w:sz w:val="20"/>
        </w:rPr>
        <w:t xml:space="preserve"> </w:t>
      </w:r>
      <w:r w:rsidRPr="001C0754">
        <w:rPr>
          <w:rFonts w:ascii="Arial" w:hAnsi="Arial" w:cs="Arial"/>
          <w:bCs/>
          <w:sz w:val="20"/>
        </w:rPr>
        <w:t>Whether or not a witness is qualified to give opinion evidence is a matter for the judge or magistrate who must determine:</w:t>
      </w:r>
    </w:p>
    <w:p w14:paraId="2872E69E" w14:textId="77777777" w:rsidR="00B757CB" w:rsidRPr="001C0754" w:rsidRDefault="00B757CB">
      <w:pPr>
        <w:pStyle w:val="ListParagraph"/>
        <w:numPr>
          <w:ilvl w:val="0"/>
          <w:numId w:val="93"/>
        </w:numPr>
        <w:contextualSpacing/>
        <w:jc w:val="both"/>
        <w:rPr>
          <w:rFonts w:ascii="Arial" w:hAnsi="Arial" w:cs="Arial"/>
          <w:bCs/>
          <w:sz w:val="20"/>
        </w:rPr>
      </w:pPr>
      <w:r w:rsidRPr="001C0754">
        <w:rPr>
          <w:rFonts w:ascii="Arial" w:hAnsi="Arial" w:cs="Arial"/>
          <w:bCs/>
          <w:sz w:val="20"/>
        </w:rPr>
        <w:t>whether the field of knowledge in which the witness professes expertise is a recognized and organized body of knowledge; and</w:t>
      </w:r>
    </w:p>
    <w:p w14:paraId="5B061550" w14:textId="77777777" w:rsidR="00B757CB" w:rsidRPr="001C0754" w:rsidRDefault="00B757CB">
      <w:pPr>
        <w:pStyle w:val="ListParagraph"/>
        <w:numPr>
          <w:ilvl w:val="0"/>
          <w:numId w:val="93"/>
        </w:numPr>
        <w:contextualSpacing/>
        <w:jc w:val="both"/>
        <w:rPr>
          <w:rFonts w:ascii="Arial" w:hAnsi="Arial" w:cs="Arial"/>
          <w:bCs/>
          <w:sz w:val="20"/>
        </w:rPr>
      </w:pPr>
      <w:r w:rsidRPr="001C0754">
        <w:rPr>
          <w:rFonts w:ascii="Arial" w:hAnsi="Arial" w:cs="Arial"/>
          <w:bCs/>
          <w:sz w:val="20"/>
        </w:rPr>
        <w:t>whether the witness has sufficient expertise (as a result of qualifications and/or relevant experience) in such field as would enable him or her to assist the court.</w:t>
      </w:r>
    </w:p>
    <w:p w14:paraId="136C76B5" w14:textId="77777777" w:rsidR="00B757CB" w:rsidRPr="001C0754" w:rsidRDefault="00B757CB" w:rsidP="00B757CB">
      <w:pPr>
        <w:jc w:val="both"/>
        <w:rPr>
          <w:rFonts w:ascii="Arial" w:hAnsi="Arial" w:cs="Arial"/>
          <w:bCs/>
          <w:sz w:val="20"/>
          <w:szCs w:val="20"/>
        </w:rPr>
      </w:pPr>
    </w:p>
    <w:p w14:paraId="4312ACA9" w14:textId="77777777" w:rsidR="00B757CB" w:rsidRPr="001C0754" w:rsidRDefault="00B757CB" w:rsidP="005174D6">
      <w:pPr>
        <w:pStyle w:val="ListParagraph"/>
        <w:keepNext/>
        <w:keepLines/>
        <w:ind w:left="0"/>
        <w:jc w:val="center"/>
        <w:rPr>
          <w:rFonts w:ascii="Arial" w:hAnsi="Arial" w:cs="Arial"/>
          <w:b/>
          <w:bCs/>
          <w:sz w:val="20"/>
          <w:u w:val="single"/>
        </w:rPr>
      </w:pPr>
      <w:r w:rsidRPr="001C0754">
        <w:rPr>
          <w:rFonts w:ascii="Arial" w:hAnsi="Arial" w:cs="Arial"/>
          <w:b/>
          <w:bCs/>
          <w:sz w:val="20"/>
          <w:u w:val="single"/>
        </w:rPr>
        <w:t>SOME TIPS FOR ADVOCATES</w:t>
      </w:r>
    </w:p>
    <w:p w14:paraId="3E769DFF" w14:textId="77777777" w:rsidR="00B757CB" w:rsidRPr="001C0754" w:rsidRDefault="00B757CB" w:rsidP="00B757CB">
      <w:pPr>
        <w:jc w:val="both"/>
        <w:rPr>
          <w:rFonts w:ascii="Arial" w:hAnsi="Arial" w:cs="Arial"/>
          <w:sz w:val="20"/>
          <w:szCs w:val="20"/>
        </w:rPr>
      </w:pPr>
    </w:p>
    <w:p w14:paraId="679807DE"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Ensure you have read all statements, inspected any subpoenaed materials and have up to date instructions prior to the hearing commencing.</w:t>
      </w:r>
    </w:p>
    <w:p w14:paraId="4E72AD62" w14:textId="77777777" w:rsidR="00B757CB" w:rsidRPr="001C0754" w:rsidRDefault="00B757CB" w:rsidP="00B757CB">
      <w:pPr>
        <w:jc w:val="both"/>
        <w:rPr>
          <w:rFonts w:ascii="Arial" w:hAnsi="Arial" w:cs="Arial"/>
          <w:sz w:val="20"/>
          <w:szCs w:val="20"/>
        </w:rPr>
      </w:pPr>
    </w:p>
    <w:p w14:paraId="20726B5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It is rarely effective and often counter-productive to question a witness or address the Court in an aggressive, rude, sarcastic or disrespectful way.</w:t>
      </w:r>
    </w:p>
    <w:p w14:paraId="608D6B55" w14:textId="77777777" w:rsidR="00B757CB" w:rsidRPr="001C0754" w:rsidRDefault="00B757CB" w:rsidP="00B757CB">
      <w:pPr>
        <w:pStyle w:val="ListParagraph"/>
        <w:ind w:left="0"/>
        <w:rPr>
          <w:rFonts w:ascii="Arial" w:hAnsi="Arial" w:cs="Arial"/>
          <w:sz w:val="20"/>
        </w:rPr>
      </w:pPr>
    </w:p>
    <w:p w14:paraId="2C5B7D96"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Remember that you are not a proxy for your client.  Your primary duty is to the Court and only secondarily to your client.  You cannot wilfully mislead the Court.  If you are found to have done so, your entitlement to practise law may be withdrawn.</w:t>
      </w:r>
    </w:p>
    <w:p w14:paraId="4CEDB7F0" w14:textId="77777777" w:rsidR="00B757CB" w:rsidRPr="001C0754" w:rsidRDefault="00B757CB" w:rsidP="00B757CB">
      <w:pPr>
        <w:pStyle w:val="ListParagraph"/>
        <w:ind w:left="0"/>
        <w:rPr>
          <w:rFonts w:ascii="Arial" w:hAnsi="Arial" w:cs="Arial"/>
          <w:sz w:val="20"/>
        </w:rPr>
      </w:pPr>
    </w:p>
    <w:p w14:paraId="56B640D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It is very unusual for professional witnesses in child protection cases to be untruthful.  Where there is – as there often is – a conflict of opinion between witness X and witness Y, the explanation is usually that the opposing professionals have honestly held but conflicting opinions.  </w:t>
      </w:r>
      <w:bookmarkStart w:id="798" w:name="_Hlk120602495"/>
      <w:r w:rsidRPr="001C0754">
        <w:rPr>
          <w:rFonts w:ascii="Arial" w:hAnsi="Arial" w:cs="Arial"/>
          <w:sz w:val="20"/>
        </w:rPr>
        <w:t>However, it is sometimes worthwhile cross-examining a professional witness to ensure that he or she is expressing his or her own professional opinion rather than merely endorsing the opinion of some other professional.</w:t>
      </w:r>
      <w:bookmarkEnd w:id="798"/>
    </w:p>
    <w:p w14:paraId="28E32D7C" w14:textId="77777777" w:rsidR="00B757CB" w:rsidRPr="001C0754" w:rsidRDefault="00B757CB" w:rsidP="00B757CB">
      <w:pPr>
        <w:rPr>
          <w:rFonts w:ascii="Arial" w:hAnsi="Arial" w:cs="Arial"/>
          <w:sz w:val="20"/>
          <w:szCs w:val="20"/>
        </w:rPr>
      </w:pPr>
    </w:p>
    <w:p w14:paraId="2E54C7AA"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i/>
          <w:iCs/>
          <w:sz w:val="20"/>
        </w:rPr>
        <w:t>Prima facie</w:t>
      </w:r>
      <w:r w:rsidRPr="001C0754">
        <w:rPr>
          <w:rFonts w:ascii="Arial" w:hAnsi="Arial" w:cs="Arial"/>
          <w:sz w:val="20"/>
        </w:rPr>
        <w:t xml:space="preserve">, it might be thought that the Court is more likely to accept the opinion of an expert who does not have a monetary-based relationship with the party who has called him or her to give evidence.  Examples of such independent experts are witnesses from the Children’s Court Clinic, VIFM or VFPMS.  However, </w:t>
      </w:r>
      <w:r>
        <w:rPr>
          <w:rFonts w:ascii="Arial" w:hAnsi="Arial" w:cs="Arial"/>
          <w:sz w:val="20"/>
        </w:rPr>
        <w:t>‘</w:t>
      </w:r>
      <w:r w:rsidRPr="001C0754">
        <w:rPr>
          <w:rFonts w:ascii="Arial" w:hAnsi="Arial" w:cs="Arial"/>
          <w:sz w:val="20"/>
        </w:rPr>
        <w:t>independence</w:t>
      </w:r>
      <w:r>
        <w:rPr>
          <w:rFonts w:ascii="Arial" w:hAnsi="Arial" w:cs="Arial"/>
          <w:sz w:val="20"/>
        </w:rPr>
        <w:t>’</w:t>
      </w:r>
      <w:r w:rsidRPr="001C0754">
        <w:rPr>
          <w:rFonts w:ascii="Arial" w:hAnsi="Arial" w:cs="Arial"/>
          <w:sz w:val="20"/>
        </w:rPr>
        <w:t xml:space="preserve"> is only one of the many factors which the Court will weigh.  Other no less important factors include the qualifications and experience of the witness, the factual sub-stratum on which the opinion is based and the circumstances in which the witness has been involved with the subject of his or her evidence (sometimes described as </w:t>
      </w:r>
      <w:r>
        <w:rPr>
          <w:rFonts w:ascii="Arial" w:hAnsi="Arial" w:cs="Arial"/>
          <w:sz w:val="20"/>
        </w:rPr>
        <w:t>‘</w:t>
      </w:r>
      <w:r w:rsidRPr="001C0754">
        <w:rPr>
          <w:rFonts w:ascii="Arial" w:hAnsi="Arial" w:cs="Arial"/>
          <w:sz w:val="20"/>
        </w:rPr>
        <w:t>snapshot</w:t>
      </w:r>
      <w:r>
        <w:rPr>
          <w:rFonts w:ascii="Arial" w:hAnsi="Arial" w:cs="Arial"/>
          <w:sz w:val="20"/>
        </w:rPr>
        <w:t>’</w:t>
      </w:r>
      <w:r w:rsidRPr="001C0754">
        <w:rPr>
          <w:rFonts w:ascii="Arial" w:hAnsi="Arial" w:cs="Arial"/>
          <w:sz w:val="20"/>
        </w:rPr>
        <w:t xml:space="preserve"> compared with a </w:t>
      </w:r>
      <w:r>
        <w:rPr>
          <w:rFonts w:ascii="Arial" w:hAnsi="Arial" w:cs="Arial"/>
          <w:sz w:val="20"/>
        </w:rPr>
        <w:t>‘</w:t>
      </w:r>
      <w:r w:rsidRPr="001C0754">
        <w:rPr>
          <w:rFonts w:ascii="Arial" w:hAnsi="Arial" w:cs="Arial"/>
          <w:sz w:val="20"/>
        </w:rPr>
        <w:t>long-standing professional relationship</w:t>
      </w:r>
      <w:r>
        <w:rPr>
          <w:rFonts w:ascii="Arial" w:hAnsi="Arial" w:cs="Arial"/>
          <w:sz w:val="20"/>
        </w:rPr>
        <w:t>’</w:t>
      </w:r>
      <w:r w:rsidRPr="001C0754">
        <w:rPr>
          <w:rFonts w:ascii="Arial" w:hAnsi="Arial" w:cs="Arial"/>
          <w:sz w:val="20"/>
        </w:rPr>
        <w:t>, e.g. G.P., counsellor or child’s teacher).</w:t>
      </w:r>
    </w:p>
    <w:p w14:paraId="057C8187" w14:textId="77777777" w:rsidR="00B757CB" w:rsidRPr="001C0754" w:rsidRDefault="00B757CB" w:rsidP="00B757CB">
      <w:pPr>
        <w:jc w:val="both"/>
        <w:rPr>
          <w:rFonts w:ascii="Arial" w:hAnsi="Arial" w:cs="Arial"/>
          <w:sz w:val="20"/>
          <w:szCs w:val="20"/>
        </w:rPr>
      </w:pPr>
    </w:p>
    <w:p w14:paraId="1481D76F"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The most effective way to cross-examine an </w:t>
      </w:r>
      <w:r>
        <w:rPr>
          <w:rFonts w:ascii="Arial" w:hAnsi="Arial" w:cs="Arial"/>
          <w:sz w:val="20"/>
        </w:rPr>
        <w:t xml:space="preserve">unfavourable </w:t>
      </w:r>
      <w:r w:rsidRPr="001C0754">
        <w:rPr>
          <w:rFonts w:ascii="Arial" w:hAnsi="Arial" w:cs="Arial"/>
          <w:sz w:val="20"/>
        </w:rPr>
        <w:t>expert witness is to try to impugn the reliability of the witness’ opinion(s).  Sometimes this can best be done by challenging the facts on which the opinion is based.  Sometimes by identifying a divergence between the witness’ opinion and the facts on which the witness has relied to come to that opinion.  Sometimes by challenging the witness’ expertise in the area of claimed expertise.  Sometimes by highlighting a gap between the witness’ own opinions and opinions expressed by other experts in the field either in the particular case or in the literature.  Sometimes by all of the above if there is a proper basis for such a challenge.</w:t>
      </w:r>
    </w:p>
    <w:p w14:paraId="54328A6D" w14:textId="77777777" w:rsidR="00B757CB" w:rsidRPr="001C0754" w:rsidRDefault="00B757CB" w:rsidP="00B757CB">
      <w:pPr>
        <w:jc w:val="both"/>
        <w:rPr>
          <w:rFonts w:ascii="Arial" w:hAnsi="Arial" w:cs="Arial"/>
          <w:sz w:val="20"/>
          <w:szCs w:val="20"/>
        </w:rPr>
      </w:pPr>
    </w:p>
    <w:p w14:paraId="31F54DEB" w14:textId="2BBE4A0E"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There is no property in a witness.  Try to speak to the witness beforehand and </w:t>
      </w:r>
      <w:r w:rsidR="00812B08">
        <w:rPr>
          <w:rFonts w:ascii="Arial" w:hAnsi="Arial" w:cs="Arial"/>
          <w:sz w:val="20"/>
        </w:rPr>
        <w:t>try not to</w:t>
      </w:r>
      <w:r w:rsidRPr="001C0754">
        <w:rPr>
          <w:rFonts w:ascii="Arial" w:hAnsi="Arial" w:cs="Arial"/>
          <w:sz w:val="20"/>
        </w:rPr>
        <w:t xml:space="preserve"> ask a question for which you don’t know </w:t>
      </w:r>
      <w:r w:rsidR="00812B08">
        <w:rPr>
          <w:rFonts w:ascii="Arial" w:hAnsi="Arial" w:cs="Arial"/>
          <w:sz w:val="20"/>
        </w:rPr>
        <w:t xml:space="preserve">– </w:t>
      </w:r>
      <w:r w:rsidRPr="001C0754">
        <w:rPr>
          <w:rFonts w:ascii="Arial" w:hAnsi="Arial" w:cs="Arial"/>
          <w:sz w:val="20"/>
        </w:rPr>
        <w:t>or</w:t>
      </w:r>
      <w:r w:rsidR="00812B08">
        <w:rPr>
          <w:rFonts w:ascii="Arial" w:hAnsi="Arial" w:cs="Arial"/>
          <w:sz w:val="20"/>
        </w:rPr>
        <w:t xml:space="preserve"> </w:t>
      </w:r>
      <w:r w:rsidRPr="001C0754">
        <w:rPr>
          <w:rFonts w:ascii="Arial" w:hAnsi="Arial" w:cs="Arial"/>
          <w:sz w:val="20"/>
        </w:rPr>
        <w:t xml:space="preserve">have a reasonable expectation of </w:t>
      </w:r>
      <w:r w:rsidR="00812B08">
        <w:rPr>
          <w:rFonts w:ascii="Arial" w:hAnsi="Arial" w:cs="Arial"/>
          <w:sz w:val="20"/>
        </w:rPr>
        <w:t xml:space="preserve">– </w:t>
      </w:r>
      <w:r w:rsidRPr="001C0754">
        <w:rPr>
          <w:rFonts w:ascii="Arial" w:hAnsi="Arial" w:cs="Arial"/>
          <w:sz w:val="20"/>
        </w:rPr>
        <w:t>the</w:t>
      </w:r>
      <w:r w:rsidR="00812B08">
        <w:rPr>
          <w:rFonts w:ascii="Arial" w:hAnsi="Arial" w:cs="Arial"/>
          <w:sz w:val="20"/>
        </w:rPr>
        <w:t xml:space="preserve"> </w:t>
      </w:r>
      <w:r w:rsidRPr="001C0754">
        <w:rPr>
          <w:rFonts w:ascii="Arial" w:hAnsi="Arial" w:cs="Arial"/>
          <w:sz w:val="20"/>
        </w:rPr>
        <w:t>answer.</w:t>
      </w:r>
    </w:p>
    <w:p w14:paraId="2ABAED70" w14:textId="77777777" w:rsidR="00B757CB" w:rsidRPr="001C0754" w:rsidRDefault="00B757CB" w:rsidP="00B757CB">
      <w:pPr>
        <w:jc w:val="both"/>
        <w:rPr>
          <w:rFonts w:ascii="Arial" w:hAnsi="Arial" w:cs="Arial"/>
          <w:sz w:val="20"/>
          <w:szCs w:val="20"/>
        </w:rPr>
      </w:pPr>
    </w:p>
    <w:p w14:paraId="6033BCF3"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Remember that: “</w:t>
      </w:r>
      <w:r w:rsidRPr="001C0754">
        <w:rPr>
          <w:rFonts w:ascii="Arial" w:hAnsi="Arial" w:cs="Arial"/>
          <w:iCs/>
          <w:color w:val="000000"/>
          <w:sz w:val="20"/>
        </w:rPr>
        <w:t xml:space="preserve">Under </w:t>
      </w:r>
      <w:r w:rsidRPr="001C0754">
        <w:rPr>
          <w:rFonts w:ascii="Arial" w:hAnsi="Arial" w:cs="Arial"/>
          <w:b/>
          <w:bCs/>
          <w:iCs/>
          <w:color w:val="000000"/>
          <w:sz w:val="20"/>
        </w:rPr>
        <w:t xml:space="preserve">the rule in </w:t>
      </w:r>
      <w:r w:rsidRPr="001C0754">
        <w:rPr>
          <w:rFonts w:ascii="Arial" w:hAnsi="Arial" w:cs="Arial"/>
          <w:b/>
          <w:bCs/>
          <w:i/>
          <w:iCs/>
          <w:color w:val="000000"/>
          <w:sz w:val="20"/>
        </w:rPr>
        <w:t>Browne v Dunn</w:t>
      </w:r>
      <w:r w:rsidRPr="001C0754">
        <w:rPr>
          <w:rFonts w:ascii="Arial" w:hAnsi="Arial" w:cs="Arial"/>
          <w:iCs/>
          <w:color w:val="000000"/>
          <w:sz w:val="20"/>
        </w:rPr>
        <w:t xml:space="preserve"> </w:t>
      </w:r>
      <w:r w:rsidRPr="001C0754">
        <w:rPr>
          <w:rFonts w:ascii="Arial" w:hAnsi="Arial" w:cs="Arial"/>
          <w:color w:val="000000"/>
          <w:sz w:val="20"/>
        </w:rPr>
        <w:t xml:space="preserve">(1893) 6 R 67, 70-1 (Lord Herschell) it is the duty of counsel before impeaching the evidence of a witness to put to the witness in cross-examination the version of events for which counsel contends.”  See the judgment of Nettle JA in </w:t>
      </w:r>
      <w:r w:rsidRPr="001C0754">
        <w:rPr>
          <w:rFonts w:ascii="Arial" w:hAnsi="Arial" w:cs="Arial"/>
          <w:i/>
          <w:sz w:val="20"/>
        </w:rPr>
        <w:t>R</w:t>
      </w:r>
      <w:r>
        <w:rPr>
          <w:rFonts w:ascii="Arial" w:hAnsi="Arial" w:cs="Arial"/>
          <w:i/>
          <w:sz w:val="20"/>
        </w:rPr>
        <w:t> </w:t>
      </w:r>
      <w:r w:rsidRPr="001C0754">
        <w:rPr>
          <w:rFonts w:ascii="Arial" w:hAnsi="Arial" w:cs="Arial"/>
          <w:i/>
          <w:sz w:val="20"/>
        </w:rPr>
        <w:t>v Coswello</w:t>
      </w:r>
      <w:r w:rsidRPr="001C0754">
        <w:rPr>
          <w:rFonts w:ascii="Arial" w:hAnsi="Arial" w:cs="Arial"/>
          <w:sz w:val="20"/>
        </w:rPr>
        <w:t xml:space="preserve"> [2009] VSCA 300 at [3].</w:t>
      </w:r>
    </w:p>
    <w:p w14:paraId="3BE49942" w14:textId="77777777" w:rsidR="00B757CB" w:rsidRPr="001C0754" w:rsidRDefault="00B757CB" w:rsidP="00B757CB">
      <w:pPr>
        <w:pStyle w:val="ListParagraph"/>
        <w:ind w:left="0"/>
        <w:jc w:val="both"/>
        <w:rPr>
          <w:rFonts w:ascii="Arial" w:hAnsi="Arial" w:cs="Arial"/>
          <w:b/>
          <w:bCs/>
          <w:sz w:val="20"/>
          <w:u w:val="single"/>
        </w:rPr>
      </w:pPr>
    </w:p>
    <w:p w14:paraId="4BD850CB" w14:textId="77777777" w:rsidR="00B757CB" w:rsidRPr="001C0754" w:rsidRDefault="00B757CB" w:rsidP="008C5AC2">
      <w:pPr>
        <w:keepNext/>
        <w:keepLines/>
        <w:jc w:val="center"/>
        <w:rPr>
          <w:rFonts w:ascii="Arial" w:hAnsi="Arial" w:cs="Arial"/>
          <w:b/>
          <w:bCs/>
          <w:sz w:val="20"/>
          <w:u w:val="single"/>
        </w:rPr>
      </w:pPr>
      <w:r w:rsidRPr="001C0754">
        <w:rPr>
          <w:rFonts w:ascii="Arial" w:hAnsi="Arial" w:cs="Arial"/>
          <w:b/>
          <w:bCs/>
          <w:sz w:val="20"/>
          <w:u w:val="single"/>
        </w:rPr>
        <w:t>SOME TIPS FOR WITNESSES</w:t>
      </w:r>
    </w:p>
    <w:p w14:paraId="44A05117" w14:textId="77777777" w:rsidR="00B757CB" w:rsidRPr="001C0754" w:rsidRDefault="00B757CB" w:rsidP="008C5AC2">
      <w:pPr>
        <w:keepNext/>
        <w:keepLines/>
        <w:jc w:val="both"/>
        <w:rPr>
          <w:rFonts w:ascii="Arial" w:hAnsi="Arial" w:cs="Arial"/>
          <w:sz w:val="20"/>
          <w:szCs w:val="20"/>
        </w:rPr>
      </w:pPr>
    </w:p>
    <w:p w14:paraId="5553B4E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Try to come to Court clear-headed but don’t be surprised if you are nervous and ultimately find the experience rather nerve-wracking and isolating.</w:t>
      </w:r>
    </w:p>
    <w:p w14:paraId="0750AC36" w14:textId="77777777" w:rsidR="00B757CB" w:rsidRPr="001C0754" w:rsidRDefault="00B757CB" w:rsidP="00B757CB">
      <w:pPr>
        <w:rPr>
          <w:rFonts w:ascii="Arial" w:hAnsi="Arial" w:cs="Arial"/>
          <w:sz w:val="20"/>
          <w:szCs w:val="20"/>
        </w:rPr>
      </w:pPr>
    </w:p>
    <w:p w14:paraId="3CEB4B5D"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Make sure you are </w:t>
      </w:r>
      <w:r>
        <w:rPr>
          <w:rFonts w:ascii="Arial" w:hAnsi="Arial" w:cs="Arial"/>
          <w:sz w:val="20"/>
        </w:rPr>
        <w:t>‘</w:t>
      </w:r>
      <w:r w:rsidRPr="001C0754">
        <w:rPr>
          <w:rFonts w:ascii="Arial" w:hAnsi="Arial" w:cs="Arial"/>
          <w:sz w:val="20"/>
        </w:rPr>
        <w:t>on top of</w:t>
      </w:r>
      <w:r>
        <w:rPr>
          <w:rFonts w:ascii="Arial" w:hAnsi="Arial" w:cs="Arial"/>
          <w:sz w:val="20"/>
        </w:rPr>
        <w:t>’</w:t>
      </w:r>
      <w:r w:rsidRPr="001C0754">
        <w:rPr>
          <w:rFonts w:ascii="Arial" w:hAnsi="Arial" w:cs="Arial"/>
          <w:sz w:val="20"/>
        </w:rPr>
        <w:t xml:space="preserve"> the evidence you are going to give.  It is prudent to peruse any reports and/or the file in advance but as close as possible in time to the court case.</w:t>
      </w:r>
    </w:p>
    <w:p w14:paraId="29B70E05" w14:textId="77777777" w:rsidR="00B757CB" w:rsidRPr="001C0754" w:rsidRDefault="00B757CB" w:rsidP="00B757CB">
      <w:pPr>
        <w:rPr>
          <w:rFonts w:ascii="Arial" w:hAnsi="Arial" w:cs="Arial"/>
          <w:sz w:val="20"/>
          <w:szCs w:val="20"/>
        </w:rPr>
      </w:pPr>
    </w:p>
    <w:p w14:paraId="6EA1AA7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Be aware of the order of questioning: Evidence-in-chief involves questions by the calling party.  Cross-examination involves questions by the other parties.  Re-examination involves very limited questioning by the calling party to clear up any ambiguities.</w:t>
      </w:r>
    </w:p>
    <w:p w14:paraId="4B163AA0" w14:textId="77777777" w:rsidR="00B757CB" w:rsidRPr="001C0754" w:rsidRDefault="00B757CB" w:rsidP="00B757CB">
      <w:pPr>
        <w:jc w:val="both"/>
        <w:rPr>
          <w:rFonts w:ascii="Arial" w:hAnsi="Arial" w:cs="Arial"/>
          <w:sz w:val="20"/>
          <w:szCs w:val="20"/>
        </w:rPr>
      </w:pPr>
    </w:p>
    <w:p w14:paraId="2ED3F567"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You will be asked at the outset of evidence-in-chief to make an oath or an affirmation.  If you don’t understand the difference, ask the legal representative of the party calling you.</w:t>
      </w:r>
    </w:p>
    <w:p w14:paraId="147A2BC4" w14:textId="77777777" w:rsidR="00B757CB" w:rsidRPr="001C0754" w:rsidRDefault="00B757CB" w:rsidP="00B757CB">
      <w:pPr>
        <w:jc w:val="both"/>
        <w:rPr>
          <w:rFonts w:ascii="Arial" w:hAnsi="Arial" w:cs="Arial"/>
          <w:sz w:val="20"/>
          <w:szCs w:val="20"/>
        </w:rPr>
      </w:pPr>
    </w:p>
    <w:p w14:paraId="2DEDAC49"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An expert witness will then be asked to list his or her professional qualifications and experience.  Ensure you have properly prepared to answer this question.  It will often help if this information is in the form of an unsworn document which can be handed up.</w:t>
      </w:r>
    </w:p>
    <w:p w14:paraId="11F73B33" w14:textId="77777777" w:rsidR="00B757CB" w:rsidRPr="001C0754" w:rsidRDefault="00B757CB" w:rsidP="00B757CB">
      <w:pPr>
        <w:jc w:val="both"/>
        <w:rPr>
          <w:rFonts w:ascii="Arial" w:hAnsi="Arial" w:cs="Arial"/>
          <w:sz w:val="20"/>
          <w:szCs w:val="20"/>
        </w:rPr>
      </w:pPr>
    </w:p>
    <w:p w14:paraId="54A6BC5D"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A witness will be asked to adopt the truth of any document which the party calling him or her wishes to tender to the Court.  If there are any errors of which the witness is aware he or she should identify and correct them before adopting the document.</w:t>
      </w:r>
    </w:p>
    <w:p w14:paraId="1B951567" w14:textId="77777777" w:rsidR="00B757CB" w:rsidRPr="001C0754" w:rsidRDefault="00B757CB" w:rsidP="00B757CB">
      <w:pPr>
        <w:pStyle w:val="ListParagraph"/>
        <w:ind w:left="0"/>
        <w:rPr>
          <w:rFonts w:ascii="Arial" w:hAnsi="Arial" w:cs="Arial"/>
          <w:sz w:val="20"/>
        </w:rPr>
      </w:pPr>
    </w:p>
    <w:p w14:paraId="4162CD2F"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Listen very carefully to the questions asked.  If you don’t understand the question, don’t guess but ask for the question to be put again.  If it becomes apparent at a later stage that you may have </w:t>
      </w:r>
      <w:r w:rsidRPr="001C0754">
        <w:rPr>
          <w:rFonts w:ascii="Arial" w:hAnsi="Arial" w:cs="Arial"/>
          <w:sz w:val="20"/>
        </w:rPr>
        <w:lastRenderedPageBreak/>
        <w:t>misunderstood an earlier question, don’t be scared to say so otherwise you risk giving the Court the impression that you haven’t given evidence accurately.</w:t>
      </w:r>
    </w:p>
    <w:p w14:paraId="066669D5" w14:textId="77777777" w:rsidR="00B757CB" w:rsidRPr="001C0754" w:rsidRDefault="00B757CB" w:rsidP="00B757CB">
      <w:pPr>
        <w:pStyle w:val="ListParagraph"/>
        <w:ind w:left="0"/>
        <w:rPr>
          <w:rFonts w:ascii="Arial" w:hAnsi="Arial" w:cs="Arial"/>
          <w:sz w:val="20"/>
        </w:rPr>
      </w:pPr>
    </w:p>
    <w:p w14:paraId="21F6B71E"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Make sure that you have a sound factual basis to justify all opinions expressed.</w:t>
      </w:r>
    </w:p>
    <w:p w14:paraId="10DBD038" w14:textId="77777777" w:rsidR="00B757CB" w:rsidRPr="001C0754" w:rsidRDefault="00B757CB" w:rsidP="00B757CB">
      <w:pPr>
        <w:pStyle w:val="ListParagraph"/>
        <w:ind w:left="0"/>
        <w:rPr>
          <w:rFonts w:ascii="Arial" w:hAnsi="Arial" w:cs="Arial"/>
          <w:sz w:val="20"/>
        </w:rPr>
      </w:pPr>
    </w:p>
    <w:p w14:paraId="5BCFB169"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Try to present as objective, unbiased and humble and not as an advocate for any party.  In this regard it is important to make any reasonable concessions in cross-examination.</w:t>
      </w:r>
    </w:p>
    <w:p w14:paraId="49D5E468" w14:textId="77777777" w:rsidR="00B757CB" w:rsidRPr="001C0754" w:rsidRDefault="00B757CB" w:rsidP="00B757CB">
      <w:pPr>
        <w:rPr>
          <w:rFonts w:ascii="Arial" w:hAnsi="Arial" w:cs="Arial"/>
          <w:sz w:val="20"/>
          <w:szCs w:val="20"/>
        </w:rPr>
      </w:pPr>
    </w:p>
    <w:p w14:paraId="2DA84CC3"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Feel confident to ask the judicial officer for permission to look at a file/report if you need to.  At least for expert witnesses it should generally not be a memory test.</w:t>
      </w:r>
    </w:p>
    <w:p w14:paraId="2C95ACA8" w14:textId="77777777" w:rsidR="00B757CB" w:rsidRPr="001C0754" w:rsidRDefault="00B757CB" w:rsidP="00B757CB">
      <w:pPr>
        <w:rPr>
          <w:rFonts w:ascii="Arial" w:hAnsi="Arial" w:cs="Arial"/>
          <w:sz w:val="20"/>
          <w:szCs w:val="20"/>
        </w:rPr>
      </w:pPr>
    </w:p>
    <w:p w14:paraId="050D7E61"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If you need a short break at any stage, don’t hesitate to ask the judicial officer.</w:t>
      </w:r>
    </w:p>
    <w:p w14:paraId="71B5FE71" w14:textId="77777777" w:rsidR="00B757CB" w:rsidRDefault="00B757CB" w:rsidP="00B757CB">
      <w:pPr>
        <w:rPr>
          <w:rFonts w:ascii="Arial" w:hAnsi="Arial" w:cs="Arial"/>
          <w:sz w:val="20"/>
          <w:szCs w:val="20"/>
        </w:rPr>
      </w:pPr>
    </w:p>
    <w:p w14:paraId="6DEF1F85" w14:textId="7575F865"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It may be useful for both advocates and witnesses to be aware of the material </w:t>
      </w:r>
      <w:r>
        <w:rPr>
          <w:rFonts w:ascii="Arial" w:hAnsi="Arial" w:cs="Arial"/>
          <w:sz w:val="20"/>
        </w:rPr>
        <w:t>in</w:t>
      </w:r>
      <w:r w:rsidRPr="001C0754">
        <w:rPr>
          <w:rFonts w:ascii="Arial" w:hAnsi="Arial" w:cs="Arial"/>
          <w:sz w:val="20"/>
        </w:rPr>
        <w:t xml:space="preserve"> </w:t>
      </w:r>
      <w:r w:rsidRPr="00A975E6">
        <w:rPr>
          <w:rFonts w:ascii="Arial" w:hAnsi="Arial" w:cs="Arial"/>
          <w:b/>
          <w:bCs/>
          <w:sz w:val="20"/>
          <w:shd w:val="clear" w:color="auto" w:fill="C5E0B3" w:themeFill="accent6" w:themeFillTint="66"/>
        </w:rPr>
        <w:t>subsection 3.5.3.</w:t>
      </w:r>
      <w:r w:rsidR="00106472" w:rsidRPr="00A975E6">
        <w:rPr>
          <w:rFonts w:ascii="Arial" w:hAnsi="Arial" w:cs="Arial"/>
          <w:b/>
          <w:bCs/>
          <w:sz w:val="20"/>
          <w:shd w:val="clear" w:color="auto" w:fill="C5E0B3" w:themeFill="accent6" w:themeFillTint="66"/>
        </w:rPr>
        <w:t>8</w:t>
      </w:r>
      <w:r w:rsidRPr="001C0754">
        <w:rPr>
          <w:rFonts w:ascii="Arial" w:hAnsi="Arial" w:cs="Arial"/>
          <w:sz w:val="20"/>
        </w:rPr>
        <w:t xml:space="preserve"> </w:t>
      </w:r>
      <w:r w:rsidR="00BE4462">
        <w:rPr>
          <w:rFonts w:ascii="Arial" w:hAnsi="Arial" w:cs="Arial"/>
          <w:sz w:val="20"/>
        </w:rPr>
        <w:t>above</w:t>
      </w:r>
      <w:r w:rsidRPr="001C0754">
        <w:rPr>
          <w:rFonts w:ascii="Arial" w:hAnsi="Arial" w:cs="Arial"/>
          <w:sz w:val="20"/>
        </w:rPr>
        <w:t xml:space="preserve"> which is entitled </w:t>
      </w:r>
      <w:r w:rsidRPr="001C0754">
        <w:rPr>
          <w:rFonts w:ascii="Arial" w:hAnsi="Arial" w:cs="Arial"/>
          <w:color w:val="000000"/>
          <w:sz w:val="20"/>
        </w:rPr>
        <w:t>“</w:t>
      </w:r>
      <w:r w:rsidRPr="001C0754">
        <w:rPr>
          <w:rFonts w:ascii="Arial" w:hAnsi="Arial" w:cs="Arial"/>
          <w:b/>
          <w:bCs/>
          <w:color w:val="000000"/>
          <w:sz w:val="20"/>
        </w:rPr>
        <w:t>Conflicting evidence – Dangers of demeanour – Fallibility of human memory</w:t>
      </w:r>
      <w:r w:rsidRPr="001C0754">
        <w:rPr>
          <w:rFonts w:ascii="Arial" w:hAnsi="Arial" w:cs="Arial"/>
          <w:color w:val="000000"/>
          <w:sz w:val="20"/>
        </w:rPr>
        <w:t>”</w:t>
      </w:r>
      <w:r w:rsidR="00BE4462">
        <w:rPr>
          <w:rFonts w:ascii="Arial" w:hAnsi="Arial" w:cs="Arial"/>
          <w:color w:val="000000"/>
          <w:sz w:val="20"/>
        </w:rPr>
        <w:t>.</w:t>
      </w:r>
    </w:p>
    <w:p w14:paraId="7C3435E8" w14:textId="23BEE8D8" w:rsidR="00651374" w:rsidRDefault="00651374" w:rsidP="00F603C4">
      <w:pPr>
        <w:jc w:val="both"/>
        <w:rPr>
          <w:rFonts w:ascii="Arial" w:hAnsi="Arial" w:cs="Arial"/>
          <w:sz w:val="20"/>
        </w:rPr>
      </w:pPr>
    </w:p>
    <w:p w14:paraId="03D51FE8" w14:textId="24F68D6C" w:rsidR="001D2D7D" w:rsidRPr="001D2D7D" w:rsidRDefault="001D2D7D" w:rsidP="001D2D7D">
      <w:pPr>
        <w:spacing w:before="20" w:after="20"/>
        <w:jc w:val="both"/>
        <w:rPr>
          <w:rFonts w:ascii="Arial" w:hAnsi="Arial" w:cs="Arial"/>
          <w:sz w:val="20"/>
          <w:szCs w:val="20"/>
        </w:rPr>
      </w:pPr>
      <w:r w:rsidRPr="001D2D7D">
        <w:rPr>
          <w:rFonts w:ascii="Arial" w:hAnsi="Arial" w:cs="Arial"/>
          <w:sz w:val="20"/>
          <w:szCs w:val="20"/>
        </w:rPr>
        <w:t xml:space="preserve">See </w:t>
      </w:r>
      <w:r w:rsidRPr="001D2D7D">
        <w:rPr>
          <w:rFonts w:ascii="Arial" w:hAnsi="Arial" w:cs="Arial"/>
          <w:bCs/>
          <w:i/>
          <w:iCs/>
          <w:color w:val="000000"/>
          <w:sz w:val="20"/>
          <w:szCs w:val="20"/>
        </w:rPr>
        <w:t>DFFH v West (a pseudonym)</w:t>
      </w:r>
      <w:r w:rsidRPr="001D2D7D">
        <w:rPr>
          <w:rFonts w:ascii="Arial" w:hAnsi="Arial" w:cs="Arial"/>
          <w:bCs/>
          <w:color w:val="000000"/>
          <w:sz w:val="20"/>
          <w:szCs w:val="20"/>
        </w:rPr>
        <w:t xml:space="preserve"> [2022] VChC 2</w:t>
      </w:r>
      <w:r>
        <w:rPr>
          <w:rFonts w:ascii="Arial" w:hAnsi="Arial" w:cs="Arial"/>
          <w:bCs/>
          <w:color w:val="000000"/>
          <w:sz w:val="20"/>
          <w:szCs w:val="20"/>
        </w:rPr>
        <w:t xml:space="preserve"> for an interesting illustration of how the Court balances the conflicting evidence of professional witnesses.</w:t>
      </w:r>
    </w:p>
    <w:p w14:paraId="3B5AFD6B" w14:textId="77777777" w:rsidR="001D2D7D" w:rsidRDefault="001D2D7D" w:rsidP="00F603C4">
      <w:pPr>
        <w:jc w:val="both"/>
        <w:rPr>
          <w:rFonts w:ascii="Arial" w:hAnsi="Arial" w:cs="Arial"/>
          <w:sz w:val="20"/>
        </w:rPr>
      </w:pPr>
    </w:p>
    <w:p w14:paraId="2DDFB988" w14:textId="48AAD20E" w:rsidR="00FD5828" w:rsidRDefault="0059119D" w:rsidP="00FD5828">
      <w:pPr>
        <w:pStyle w:val="Heading3"/>
        <w:keepNext/>
        <w:keepLines/>
        <w:spacing w:after="120" w:line="240" w:lineRule="auto"/>
        <w:rPr>
          <w:rFonts w:ascii="Arial" w:hAnsi="Arial" w:cs="Arial"/>
          <w:b/>
          <w:bCs/>
          <w:sz w:val="20"/>
        </w:rPr>
      </w:pPr>
      <w:bookmarkStart w:id="799" w:name="_3.5.7_The_Less"/>
      <w:bookmarkStart w:id="800" w:name="B357"/>
      <w:bookmarkStart w:id="801" w:name="_3.5.7_Gaol_order"/>
      <w:bookmarkStart w:id="802" w:name="_3.5.7_Compelling_production"/>
      <w:bookmarkEnd w:id="799"/>
      <w:bookmarkEnd w:id="800"/>
      <w:bookmarkEnd w:id="801"/>
      <w:bookmarkEnd w:id="802"/>
      <w:r>
        <w:rPr>
          <w:rFonts w:ascii="Arial" w:hAnsi="Arial" w:cs="Arial"/>
          <w:b/>
          <w:bCs/>
          <w:sz w:val="20"/>
        </w:rPr>
        <w:t>3.5.7</w:t>
      </w:r>
      <w:r>
        <w:rPr>
          <w:rFonts w:ascii="Arial" w:hAnsi="Arial" w:cs="Arial"/>
          <w:b/>
          <w:bCs/>
          <w:sz w:val="20"/>
        </w:rPr>
        <w:tab/>
      </w:r>
      <w:r w:rsidR="00620D09">
        <w:rPr>
          <w:rFonts w:ascii="Arial" w:hAnsi="Arial" w:cs="Arial"/>
          <w:b/>
          <w:bCs/>
          <w:sz w:val="20"/>
        </w:rPr>
        <w:t>C</w:t>
      </w:r>
      <w:r w:rsidR="000232AB">
        <w:rPr>
          <w:rFonts w:ascii="Arial" w:hAnsi="Arial" w:cs="Arial"/>
          <w:b/>
          <w:bCs/>
          <w:sz w:val="20"/>
        </w:rPr>
        <w:t>ompel</w:t>
      </w:r>
      <w:r w:rsidR="00620D09">
        <w:rPr>
          <w:rFonts w:ascii="Arial" w:hAnsi="Arial" w:cs="Arial"/>
          <w:b/>
          <w:bCs/>
          <w:sz w:val="20"/>
        </w:rPr>
        <w:t>ling</w:t>
      </w:r>
      <w:r w:rsidR="000232AB">
        <w:rPr>
          <w:rFonts w:ascii="Arial" w:hAnsi="Arial" w:cs="Arial"/>
          <w:b/>
          <w:bCs/>
          <w:sz w:val="20"/>
        </w:rPr>
        <w:t xml:space="preserve"> </w:t>
      </w:r>
      <w:r w:rsidR="00EF638E">
        <w:rPr>
          <w:rFonts w:ascii="Arial" w:hAnsi="Arial" w:cs="Arial"/>
          <w:b/>
          <w:bCs/>
          <w:sz w:val="20"/>
        </w:rPr>
        <w:t>production</w:t>
      </w:r>
      <w:r w:rsidR="000232AB">
        <w:rPr>
          <w:rFonts w:ascii="Arial" w:hAnsi="Arial" w:cs="Arial"/>
          <w:b/>
          <w:bCs/>
          <w:sz w:val="20"/>
        </w:rPr>
        <w:t xml:space="preserve"> of </w:t>
      </w:r>
      <w:r w:rsidR="00620D09">
        <w:rPr>
          <w:rFonts w:ascii="Arial" w:hAnsi="Arial" w:cs="Arial"/>
          <w:b/>
          <w:bCs/>
          <w:sz w:val="20"/>
        </w:rPr>
        <w:t xml:space="preserve">a </w:t>
      </w:r>
      <w:r w:rsidR="000232AB">
        <w:rPr>
          <w:rFonts w:ascii="Arial" w:hAnsi="Arial" w:cs="Arial"/>
          <w:b/>
          <w:bCs/>
          <w:sz w:val="20"/>
        </w:rPr>
        <w:t>prisoner</w:t>
      </w:r>
      <w:r w:rsidR="00620D09">
        <w:rPr>
          <w:rFonts w:ascii="Arial" w:hAnsi="Arial" w:cs="Arial"/>
          <w:b/>
          <w:bCs/>
          <w:sz w:val="20"/>
        </w:rPr>
        <w:t>/detainee</w:t>
      </w:r>
      <w:r w:rsidR="000232AB">
        <w:rPr>
          <w:rFonts w:ascii="Arial" w:hAnsi="Arial" w:cs="Arial"/>
          <w:b/>
          <w:bCs/>
          <w:sz w:val="20"/>
        </w:rPr>
        <w:t xml:space="preserve"> at court</w:t>
      </w:r>
      <w:r w:rsidR="00EF638E">
        <w:rPr>
          <w:rFonts w:ascii="Arial" w:hAnsi="Arial" w:cs="Arial"/>
          <w:b/>
          <w:bCs/>
          <w:sz w:val="20"/>
        </w:rPr>
        <w:t xml:space="preserve"> – Remand warrant/Gaol order</w:t>
      </w:r>
    </w:p>
    <w:p w14:paraId="0BB4570E" w14:textId="64FFD68A" w:rsidR="00EF638E" w:rsidRDefault="00A32C0B" w:rsidP="00EF638E">
      <w:pPr>
        <w:jc w:val="both"/>
        <w:rPr>
          <w:rFonts w:ascii="Arial" w:hAnsi="Arial" w:cs="Arial"/>
          <w:sz w:val="20"/>
        </w:rPr>
      </w:pPr>
      <w:r>
        <w:rPr>
          <w:rFonts w:ascii="Arial" w:hAnsi="Arial" w:cs="Arial"/>
          <w:sz w:val="20"/>
        </w:rPr>
        <w:t>T</w:t>
      </w:r>
      <w:r w:rsidR="00EF638E">
        <w:rPr>
          <w:rFonts w:ascii="Arial" w:hAnsi="Arial" w:cs="Arial"/>
          <w:sz w:val="20"/>
        </w:rPr>
        <w:t xml:space="preserve">he effect of a </w:t>
      </w:r>
      <w:r w:rsidR="00EF638E" w:rsidRPr="00A32C0B">
        <w:rPr>
          <w:rFonts w:ascii="Arial" w:hAnsi="Arial" w:cs="Arial"/>
          <w:b/>
          <w:bCs/>
          <w:sz w:val="20"/>
        </w:rPr>
        <w:t>remand warrant</w:t>
      </w:r>
      <w:r w:rsidR="00EF638E">
        <w:rPr>
          <w:rFonts w:ascii="Arial" w:hAnsi="Arial" w:cs="Arial"/>
          <w:sz w:val="20"/>
        </w:rPr>
        <w:t xml:space="preserve"> is to require a prisoner/detainee </w:t>
      </w:r>
      <w:r>
        <w:rPr>
          <w:rFonts w:ascii="Arial" w:hAnsi="Arial" w:cs="Arial"/>
          <w:sz w:val="20"/>
        </w:rPr>
        <w:t xml:space="preserve">who had been remanded in custody </w:t>
      </w:r>
      <w:r w:rsidR="00EF638E">
        <w:rPr>
          <w:rFonts w:ascii="Arial" w:hAnsi="Arial" w:cs="Arial"/>
          <w:sz w:val="20"/>
        </w:rPr>
        <w:t xml:space="preserve">to be brought before a court (either in person or via audio visual link as </w:t>
      </w:r>
      <w:r>
        <w:rPr>
          <w:rFonts w:ascii="Arial" w:hAnsi="Arial" w:cs="Arial"/>
          <w:sz w:val="20"/>
        </w:rPr>
        <w:t>specified</w:t>
      </w:r>
      <w:r w:rsidR="00EF638E">
        <w:rPr>
          <w:rFonts w:ascii="Arial" w:hAnsi="Arial" w:cs="Arial"/>
          <w:sz w:val="20"/>
        </w:rPr>
        <w:t>) to face a charge–</w:t>
      </w:r>
    </w:p>
    <w:p w14:paraId="207C6CA9" w14:textId="77777777" w:rsidR="00EF638E" w:rsidRDefault="00EF638E" w:rsidP="00EF638E">
      <w:pPr>
        <w:pStyle w:val="ListParagraph"/>
        <w:numPr>
          <w:ilvl w:val="0"/>
          <w:numId w:val="125"/>
        </w:numPr>
        <w:ind w:left="357" w:hanging="357"/>
        <w:jc w:val="both"/>
        <w:rPr>
          <w:rFonts w:ascii="Arial" w:hAnsi="Arial" w:cs="Arial"/>
          <w:sz w:val="20"/>
        </w:rPr>
      </w:pPr>
      <w:r w:rsidRPr="00413016">
        <w:rPr>
          <w:rFonts w:ascii="Arial" w:hAnsi="Arial" w:cs="Arial"/>
          <w:sz w:val="20"/>
        </w:rPr>
        <w:t>the hearing of which had been adjourned</w:t>
      </w:r>
      <w:r>
        <w:rPr>
          <w:rFonts w:ascii="Arial" w:hAnsi="Arial" w:cs="Arial"/>
          <w:sz w:val="20"/>
        </w:rPr>
        <w:t>; or</w:t>
      </w:r>
    </w:p>
    <w:p w14:paraId="25790F34" w14:textId="5C707E3B" w:rsidR="00EF638E" w:rsidRDefault="00EF638E" w:rsidP="00EF638E">
      <w:pPr>
        <w:pStyle w:val="ListParagraph"/>
        <w:numPr>
          <w:ilvl w:val="0"/>
          <w:numId w:val="125"/>
        </w:numPr>
        <w:ind w:left="357" w:hanging="357"/>
        <w:jc w:val="both"/>
        <w:rPr>
          <w:rFonts w:ascii="Arial" w:hAnsi="Arial" w:cs="Arial"/>
          <w:sz w:val="20"/>
        </w:rPr>
      </w:pPr>
      <w:r>
        <w:rPr>
          <w:rFonts w:ascii="Arial" w:hAnsi="Arial" w:cs="Arial"/>
          <w:sz w:val="20"/>
        </w:rPr>
        <w:t xml:space="preserve">in respect of which the </w:t>
      </w:r>
      <w:r w:rsidR="00A32C0B">
        <w:rPr>
          <w:rFonts w:ascii="Arial" w:hAnsi="Arial" w:cs="Arial"/>
          <w:sz w:val="20"/>
        </w:rPr>
        <w:t>person had been committed to stand trial.</w:t>
      </w:r>
    </w:p>
    <w:p w14:paraId="38D2A3D0" w14:textId="6F2B9D62" w:rsidR="00EF638E" w:rsidRDefault="00A32C0B" w:rsidP="00685B88">
      <w:pPr>
        <w:jc w:val="both"/>
        <w:rPr>
          <w:rFonts w:ascii="Arial" w:hAnsi="Arial" w:cs="Arial"/>
          <w:sz w:val="20"/>
        </w:rPr>
      </w:pPr>
      <w:r>
        <w:rPr>
          <w:rFonts w:ascii="Arial" w:hAnsi="Arial" w:cs="Arial"/>
          <w:sz w:val="20"/>
        </w:rPr>
        <w:t xml:space="preserve">See Form 20 &amp; Rule 5.02(3) of the </w:t>
      </w:r>
      <w:r>
        <w:rPr>
          <w:rFonts w:ascii="Arial" w:hAnsi="Arial" w:cs="Arial"/>
          <w:i/>
          <w:iCs/>
          <w:sz w:val="20"/>
        </w:rPr>
        <w:t>Children’s</w:t>
      </w:r>
      <w:r w:rsidRPr="00413016">
        <w:rPr>
          <w:rFonts w:ascii="Arial" w:hAnsi="Arial" w:cs="Arial"/>
          <w:i/>
          <w:iCs/>
          <w:sz w:val="20"/>
        </w:rPr>
        <w:t xml:space="preserve"> Court Criminal Procedure Rules 2019</w:t>
      </w:r>
      <w:r>
        <w:rPr>
          <w:rFonts w:ascii="Arial" w:hAnsi="Arial" w:cs="Arial"/>
          <w:sz w:val="20"/>
        </w:rPr>
        <w:t xml:space="preserve"> [S.R. No.161/2019] for the form of a remand warrant for a child issued under s.419 CYFA.  See Form 21 &amp; Rule 43 of the </w:t>
      </w:r>
      <w:r w:rsidRPr="00413016">
        <w:rPr>
          <w:rFonts w:ascii="Arial" w:hAnsi="Arial" w:cs="Arial"/>
          <w:i/>
          <w:iCs/>
          <w:sz w:val="20"/>
        </w:rPr>
        <w:t>Magistrates’ Court Criminal Procedure Rules 2019</w:t>
      </w:r>
      <w:r>
        <w:rPr>
          <w:rFonts w:ascii="Arial" w:hAnsi="Arial" w:cs="Arial"/>
          <w:sz w:val="20"/>
        </w:rPr>
        <w:t xml:space="preserve"> [S.R. No.143/2019] for the form of a remand warrant for an adult issued under s.79 of the </w:t>
      </w:r>
      <w:r w:rsidRPr="00413016">
        <w:rPr>
          <w:rFonts w:ascii="Arial" w:hAnsi="Arial" w:cs="Arial"/>
          <w:i/>
          <w:iCs/>
          <w:sz w:val="20"/>
        </w:rPr>
        <w:t>Magistrates’ Court Act 1989</w:t>
      </w:r>
      <w:r>
        <w:rPr>
          <w:rFonts w:ascii="Arial" w:hAnsi="Arial" w:cs="Arial"/>
          <w:sz w:val="20"/>
        </w:rPr>
        <w:t>.</w:t>
      </w:r>
    </w:p>
    <w:p w14:paraId="5CB554E3" w14:textId="77777777" w:rsidR="00EF638E" w:rsidRDefault="00EF638E" w:rsidP="00685B88">
      <w:pPr>
        <w:jc w:val="both"/>
        <w:rPr>
          <w:rFonts w:ascii="Arial" w:hAnsi="Arial" w:cs="Arial"/>
          <w:sz w:val="20"/>
        </w:rPr>
      </w:pPr>
    </w:p>
    <w:p w14:paraId="140D0EFD" w14:textId="36E9B272" w:rsidR="000331DE" w:rsidRDefault="00A32C0B" w:rsidP="000331DE">
      <w:pPr>
        <w:spacing w:after="120"/>
        <w:jc w:val="both"/>
        <w:rPr>
          <w:rFonts w:ascii="Arial" w:hAnsi="Arial" w:cs="Arial"/>
          <w:sz w:val="20"/>
        </w:rPr>
      </w:pPr>
      <w:r>
        <w:rPr>
          <w:rFonts w:ascii="Arial" w:hAnsi="Arial" w:cs="Arial"/>
          <w:sz w:val="20"/>
        </w:rPr>
        <w:t xml:space="preserve">Although a </w:t>
      </w:r>
      <w:r w:rsidR="000331DE">
        <w:rPr>
          <w:rFonts w:ascii="Arial" w:hAnsi="Arial" w:cs="Arial"/>
          <w:sz w:val="20"/>
        </w:rPr>
        <w:t>‘</w:t>
      </w:r>
      <w:r w:rsidR="00013912" w:rsidRPr="000331DE">
        <w:rPr>
          <w:rFonts w:ascii="Arial" w:hAnsi="Arial" w:cs="Arial"/>
          <w:b/>
          <w:bCs/>
          <w:sz w:val="20"/>
        </w:rPr>
        <w:t>gaol order</w:t>
      </w:r>
      <w:r w:rsidR="000331DE">
        <w:rPr>
          <w:rFonts w:ascii="Arial" w:hAnsi="Arial" w:cs="Arial"/>
          <w:sz w:val="20"/>
        </w:rPr>
        <w:t>’</w:t>
      </w:r>
      <w:r w:rsidR="00013912">
        <w:rPr>
          <w:rFonts w:ascii="Arial" w:hAnsi="Arial" w:cs="Arial"/>
          <w:sz w:val="20"/>
        </w:rPr>
        <w:t xml:space="preserve"> </w:t>
      </w:r>
      <w:r>
        <w:rPr>
          <w:rFonts w:ascii="Arial" w:hAnsi="Arial" w:cs="Arial"/>
          <w:sz w:val="20"/>
        </w:rPr>
        <w:t xml:space="preserve">also compels production of a prisoner/detainee at court, it may be issued in broader circumstances than a remand warrant.  A </w:t>
      </w:r>
      <w:r w:rsidRPr="00A32C0B">
        <w:rPr>
          <w:rFonts w:ascii="Arial" w:hAnsi="Arial" w:cs="Arial"/>
          <w:b/>
          <w:bCs/>
          <w:sz w:val="20"/>
        </w:rPr>
        <w:t>gaol order</w:t>
      </w:r>
      <w:r>
        <w:rPr>
          <w:rFonts w:ascii="Arial" w:hAnsi="Arial" w:cs="Arial"/>
          <w:sz w:val="20"/>
        </w:rPr>
        <w:t xml:space="preserve"> is an </w:t>
      </w:r>
      <w:r w:rsidR="00013912">
        <w:rPr>
          <w:rFonts w:ascii="Arial" w:hAnsi="Arial" w:cs="Arial"/>
          <w:sz w:val="20"/>
        </w:rPr>
        <w:t xml:space="preserve">order made under regulation 23 of the </w:t>
      </w:r>
      <w:r w:rsidR="00013912" w:rsidRPr="000331DE">
        <w:rPr>
          <w:rFonts w:ascii="Arial" w:hAnsi="Arial" w:cs="Arial"/>
          <w:i/>
          <w:iCs/>
          <w:sz w:val="20"/>
        </w:rPr>
        <w:t>Corrections Regulations 2019</w:t>
      </w:r>
      <w:r w:rsidR="00013912">
        <w:rPr>
          <w:rFonts w:ascii="Arial" w:hAnsi="Arial" w:cs="Arial"/>
          <w:sz w:val="20"/>
        </w:rPr>
        <w:t xml:space="preserve"> [S.R. No.27/2019]</w:t>
      </w:r>
      <w:r w:rsidR="000331DE">
        <w:rPr>
          <w:rFonts w:ascii="Arial" w:hAnsi="Arial" w:cs="Arial"/>
          <w:sz w:val="20"/>
        </w:rPr>
        <w:t xml:space="preserve"> to remove a prisoner and bring him or her before a court or coroner to answer a charge or give evidence or for any other purpose, in a civil or criminal proceeding:</w:t>
      </w:r>
    </w:p>
    <w:p w14:paraId="3A5AFA1A" w14:textId="77777777" w:rsidR="00013912" w:rsidRPr="000331DE" w:rsidRDefault="00013912" w:rsidP="00013912">
      <w:pPr>
        <w:pStyle w:val="DraftHeading1"/>
        <w:tabs>
          <w:tab w:val="right" w:pos="680"/>
        </w:tabs>
        <w:spacing w:before="0"/>
        <w:ind w:left="851" w:hanging="851"/>
        <w:rPr>
          <w:rFonts w:ascii="Arial" w:hAnsi="Arial" w:cs="Arial"/>
          <w:sz w:val="20"/>
          <w:szCs w:val="20"/>
        </w:rPr>
      </w:pPr>
      <w:bookmarkStart w:id="803" w:name="_Ref525641622"/>
      <w:r>
        <w:rPr>
          <w:bCs/>
          <w:lang w:eastAsia="en-AU" w:bidi="en-AU"/>
        </w:rPr>
        <w:tab/>
      </w:r>
      <w:bookmarkStart w:id="804" w:name="_Toc136417573"/>
      <w:r w:rsidRPr="000331DE">
        <w:rPr>
          <w:rFonts w:ascii="Arial" w:hAnsi="Arial" w:cs="Arial"/>
          <w:bCs/>
          <w:sz w:val="20"/>
          <w:szCs w:val="20"/>
          <w:lang w:eastAsia="en-AU" w:bidi="en-AU"/>
        </w:rPr>
        <w:t>23</w:t>
      </w:r>
      <w:r w:rsidRPr="000331DE">
        <w:rPr>
          <w:rFonts w:ascii="Arial" w:hAnsi="Arial" w:cs="Arial"/>
          <w:bCs/>
          <w:sz w:val="20"/>
          <w:szCs w:val="20"/>
          <w:lang w:eastAsia="en-AU" w:bidi="en-AU"/>
        </w:rPr>
        <w:tab/>
      </w:r>
      <w:r w:rsidRPr="000331DE">
        <w:rPr>
          <w:rFonts w:ascii="Arial" w:hAnsi="Arial" w:cs="Arial"/>
          <w:sz w:val="20"/>
          <w:szCs w:val="20"/>
        </w:rPr>
        <w:t>Absence to attend court or a hearing</w:t>
      </w:r>
      <w:bookmarkEnd w:id="803"/>
      <w:bookmarkEnd w:id="804"/>
    </w:p>
    <w:p w14:paraId="4F398A2A"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(1)</w:t>
      </w:r>
      <w:r w:rsidRPr="000331DE">
        <w:rPr>
          <w:rFonts w:ascii="Arial" w:hAnsi="Arial" w:cs="Arial"/>
          <w:sz w:val="20"/>
          <w:lang w:eastAsia="en-AU" w:bidi="en-AU"/>
        </w:rPr>
        <w:tab/>
      </w:r>
      <w:r w:rsidRPr="000331DE">
        <w:rPr>
          <w:rFonts w:ascii="Arial" w:hAnsi="Arial" w:cs="Arial"/>
          <w:sz w:val="20"/>
        </w:rPr>
        <w:t>If a court or coroner so orders, a prisoner may be removed from a prison and brought before the court or coroner to answer a charge or give evidence or for any other purpose, in a civil or criminal proceeding.</w:t>
      </w:r>
    </w:p>
    <w:p w14:paraId="6D765B7A"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(2)</w:t>
      </w:r>
      <w:r w:rsidRPr="000331DE">
        <w:rPr>
          <w:rFonts w:ascii="Arial" w:hAnsi="Arial" w:cs="Arial"/>
          <w:sz w:val="20"/>
          <w:lang w:eastAsia="en-AU" w:bidi="en-AU"/>
        </w:rPr>
        <w:tab/>
      </w:r>
      <w:r w:rsidRPr="000331DE">
        <w:rPr>
          <w:rFonts w:ascii="Arial" w:hAnsi="Arial" w:cs="Arial"/>
          <w:sz w:val="20"/>
        </w:rPr>
        <w:t>An order for the removal of a prisoner under subregulation (1) must be in the form of Form 1 of Schedule 2.</w:t>
      </w:r>
    </w:p>
    <w:p w14:paraId="70A03893"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(3)</w:t>
      </w:r>
      <w:r w:rsidRPr="000331DE">
        <w:rPr>
          <w:rFonts w:ascii="Arial" w:hAnsi="Arial" w:cs="Arial"/>
          <w:sz w:val="20"/>
          <w:lang w:eastAsia="en-AU" w:bidi="en-AU"/>
        </w:rPr>
        <w:tab/>
      </w:r>
      <w:r w:rsidRPr="000331DE">
        <w:rPr>
          <w:rFonts w:ascii="Arial" w:hAnsi="Arial" w:cs="Arial"/>
          <w:sz w:val="20"/>
        </w:rPr>
        <w:t>A notice in the form of Form 2 of Schedule 2 must be completed by the person in charge of the prison from which the prisoner is to be removed.</w:t>
      </w:r>
    </w:p>
    <w:p w14:paraId="4DA756EA"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(4)</w:t>
      </w:r>
      <w:r w:rsidRPr="000331DE">
        <w:rPr>
          <w:rFonts w:ascii="Arial" w:hAnsi="Arial" w:cs="Arial"/>
          <w:sz w:val="20"/>
          <w:lang w:eastAsia="en-AU" w:bidi="en-AU"/>
        </w:rPr>
        <w:tab/>
      </w:r>
      <w:r w:rsidRPr="000331DE">
        <w:rPr>
          <w:rFonts w:ascii="Arial" w:hAnsi="Arial" w:cs="Arial"/>
          <w:sz w:val="20"/>
        </w:rPr>
        <w:t>Subject to section 55</w:t>
      </w:r>
      <w:proofErr w:type="gramStart"/>
      <w:r w:rsidRPr="000331DE">
        <w:rPr>
          <w:rFonts w:ascii="Arial" w:hAnsi="Arial" w:cs="Arial"/>
          <w:sz w:val="20"/>
        </w:rPr>
        <w:t>I(</w:t>
      </w:r>
      <w:proofErr w:type="gramEnd"/>
      <w:r w:rsidRPr="000331DE">
        <w:rPr>
          <w:rFonts w:ascii="Arial" w:hAnsi="Arial" w:cs="Arial"/>
          <w:sz w:val="20"/>
        </w:rPr>
        <w:t>3) of the Act, while a prisoner who is ordered to be brought before a court or coroner is absent from a prison, the prisoner is in the legal custody of the person or persons having custody of the prisoner under the order made under subregulation (1).</w:t>
      </w:r>
    </w:p>
    <w:p w14:paraId="27BE1E0F"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(5)</w:t>
      </w:r>
      <w:r w:rsidRPr="000331DE">
        <w:rPr>
          <w:rFonts w:ascii="Arial" w:hAnsi="Arial" w:cs="Arial"/>
          <w:sz w:val="20"/>
          <w:lang w:eastAsia="en-AU" w:bidi="en-AU"/>
        </w:rPr>
        <w:tab/>
      </w:r>
      <w:r w:rsidRPr="000331DE">
        <w:rPr>
          <w:rFonts w:ascii="Arial" w:hAnsi="Arial" w:cs="Arial"/>
          <w:sz w:val="20"/>
        </w:rPr>
        <w:t>The person who has custody of a prisoner under subregulation (4) must return the prisoner to the prison from which the prisoner was removed unless the prisoner is discharged by process of law in respect of all matters requiring the prisoner's detention or is released on bail.</w:t>
      </w:r>
    </w:p>
    <w:p w14:paraId="4393F120" w14:textId="77777777" w:rsidR="00013912" w:rsidRPr="00BB0972" w:rsidRDefault="00013912" w:rsidP="000331DE">
      <w:pPr>
        <w:pStyle w:val="DraftHeading2"/>
        <w:tabs>
          <w:tab w:val="right" w:pos="1247"/>
        </w:tabs>
        <w:spacing w:before="60"/>
        <w:ind w:left="1361" w:right="567" w:hanging="1361"/>
        <w:jc w:val="both"/>
      </w:pPr>
      <w:r w:rsidRPr="000331DE">
        <w:rPr>
          <w:rFonts w:ascii="Arial" w:hAnsi="Arial" w:cs="Arial"/>
          <w:sz w:val="20"/>
          <w:lang w:eastAsia="en-AU" w:bidi="en-AU"/>
        </w:rPr>
        <w:tab/>
        <w:t>(6)</w:t>
      </w:r>
      <w:r w:rsidRPr="000331DE">
        <w:rPr>
          <w:rFonts w:ascii="Arial" w:hAnsi="Arial" w:cs="Arial"/>
          <w:sz w:val="20"/>
          <w:lang w:eastAsia="en-AU" w:bidi="en-AU"/>
        </w:rPr>
        <w:tab/>
      </w:r>
      <w:r w:rsidRPr="000331DE">
        <w:rPr>
          <w:rFonts w:ascii="Arial" w:hAnsi="Arial" w:cs="Arial"/>
          <w:sz w:val="20"/>
        </w:rPr>
        <w:t xml:space="preserve">This regulation does not apply if a prisoner who is required to appear before a court is directed by the court to make the prisoner's appearance by audio visual link or audio link from a prison under Part IIA of the </w:t>
      </w:r>
      <w:r w:rsidRPr="000331DE">
        <w:rPr>
          <w:rFonts w:ascii="Arial" w:hAnsi="Arial" w:cs="Arial"/>
          <w:b/>
          <w:sz w:val="20"/>
        </w:rPr>
        <w:t>Evidence (Miscellaneous Provisions) Act 1958</w:t>
      </w:r>
      <w:r w:rsidRPr="000331DE">
        <w:rPr>
          <w:rFonts w:ascii="Arial" w:hAnsi="Arial" w:cs="Arial"/>
          <w:sz w:val="20"/>
        </w:rPr>
        <w:t>.</w:t>
      </w:r>
    </w:p>
    <w:p w14:paraId="7A538E7F" w14:textId="77777777" w:rsidR="00292976" w:rsidRDefault="00292976" w:rsidP="00D87938">
      <w:pPr>
        <w:jc w:val="both"/>
        <w:rPr>
          <w:rFonts w:ascii="Arial" w:hAnsi="Arial" w:cs="Arial"/>
          <w:sz w:val="20"/>
        </w:rPr>
      </w:pPr>
    </w:p>
    <w:p w14:paraId="3DDB44B6" w14:textId="4C755E9C" w:rsidR="00C92316" w:rsidRPr="00C92316" w:rsidRDefault="00C92316" w:rsidP="00C92316">
      <w:pPr>
        <w:contextualSpacing/>
        <w:jc w:val="both"/>
        <w:rPr>
          <w:rFonts w:ascii="Arial" w:hAnsi="Arial" w:cs="Arial"/>
          <w:sz w:val="20"/>
          <w:szCs w:val="20"/>
        </w:rPr>
      </w:pPr>
      <w:r w:rsidRPr="00C92316">
        <w:rPr>
          <w:rFonts w:ascii="Arial" w:hAnsi="Arial" w:cs="Arial"/>
          <w:sz w:val="20"/>
          <w:szCs w:val="20"/>
        </w:rPr>
        <w:t xml:space="preserve">Section 42E of the </w:t>
      </w:r>
      <w:r w:rsidRPr="00A32C0B">
        <w:rPr>
          <w:rFonts w:ascii="Arial" w:hAnsi="Arial" w:cs="Arial"/>
          <w:i/>
          <w:iCs/>
          <w:sz w:val="20"/>
          <w:szCs w:val="20"/>
        </w:rPr>
        <w:t>E</w:t>
      </w:r>
      <w:r w:rsidR="00A32C0B" w:rsidRPr="00A32C0B">
        <w:rPr>
          <w:rFonts w:ascii="Arial" w:hAnsi="Arial" w:cs="Arial"/>
          <w:i/>
          <w:iCs/>
          <w:sz w:val="20"/>
          <w:szCs w:val="20"/>
        </w:rPr>
        <w:t>vidence (Miscellaneous Provisions) Act 1958</w:t>
      </w:r>
      <w:r w:rsidR="00A32C0B">
        <w:rPr>
          <w:rFonts w:ascii="Arial" w:hAnsi="Arial" w:cs="Arial"/>
          <w:sz w:val="20"/>
          <w:szCs w:val="20"/>
        </w:rPr>
        <w:t xml:space="preserve"> [E</w:t>
      </w:r>
      <w:r w:rsidRPr="00C92316">
        <w:rPr>
          <w:rFonts w:ascii="Arial" w:hAnsi="Arial" w:cs="Arial"/>
          <w:sz w:val="20"/>
          <w:szCs w:val="20"/>
        </w:rPr>
        <w:t>MPA</w:t>
      </w:r>
      <w:r w:rsidR="00A32C0B">
        <w:rPr>
          <w:rFonts w:ascii="Arial" w:hAnsi="Arial" w:cs="Arial"/>
          <w:sz w:val="20"/>
          <w:szCs w:val="20"/>
        </w:rPr>
        <w:t>]</w:t>
      </w:r>
      <w:r w:rsidRPr="00C92316">
        <w:rPr>
          <w:rFonts w:ascii="Arial" w:hAnsi="Arial" w:cs="Arial"/>
          <w:sz w:val="20"/>
          <w:szCs w:val="20"/>
        </w:rPr>
        <w:t xml:space="preserve"> provides that subject to s.42F (which is not relevant for an appearance by an adult) and to any rules of court, a court may, on its own initiative or on the application of a party to the legal proceeding, direct that a person may–</w:t>
      </w:r>
    </w:p>
    <w:p w14:paraId="1FE7C160" w14:textId="77777777" w:rsidR="00C92316" w:rsidRPr="00C92316" w:rsidRDefault="00C92316">
      <w:pPr>
        <w:pStyle w:val="ListParagraph"/>
        <w:numPr>
          <w:ilvl w:val="0"/>
          <w:numId w:val="126"/>
        </w:numPr>
        <w:spacing w:before="20"/>
        <w:ind w:left="357" w:hanging="357"/>
        <w:contextualSpacing/>
        <w:rPr>
          <w:rFonts w:ascii="Arial" w:hAnsi="Arial" w:cs="Arial"/>
          <w:sz w:val="20"/>
        </w:rPr>
      </w:pPr>
      <w:r w:rsidRPr="00C92316">
        <w:rPr>
          <w:rFonts w:ascii="Arial" w:hAnsi="Arial" w:cs="Arial"/>
          <w:sz w:val="20"/>
        </w:rPr>
        <w:t>appear before; or</w:t>
      </w:r>
    </w:p>
    <w:p w14:paraId="18F24FC0" w14:textId="77777777" w:rsidR="00C92316" w:rsidRPr="00C92316" w:rsidRDefault="00C92316">
      <w:pPr>
        <w:pStyle w:val="ListParagraph"/>
        <w:numPr>
          <w:ilvl w:val="0"/>
          <w:numId w:val="126"/>
        </w:numPr>
        <w:spacing w:before="20"/>
        <w:ind w:left="357" w:hanging="357"/>
        <w:contextualSpacing/>
        <w:rPr>
          <w:rFonts w:ascii="Arial" w:hAnsi="Arial" w:cs="Arial"/>
          <w:sz w:val="20"/>
        </w:rPr>
      </w:pPr>
      <w:r w:rsidRPr="00C92316">
        <w:rPr>
          <w:rFonts w:ascii="Arial" w:hAnsi="Arial" w:cs="Arial"/>
          <w:sz w:val="20"/>
        </w:rPr>
        <w:lastRenderedPageBreak/>
        <w:t>give evidence; or</w:t>
      </w:r>
    </w:p>
    <w:p w14:paraId="22EA445B" w14:textId="77777777" w:rsidR="00C92316" w:rsidRPr="00C92316" w:rsidRDefault="00C92316">
      <w:pPr>
        <w:pStyle w:val="ListParagraph"/>
        <w:numPr>
          <w:ilvl w:val="0"/>
          <w:numId w:val="126"/>
        </w:numPr>
        <w:spacing w:before="20"/>
        <w:ind w:left="357" w:hanging="357"/>
        <w:contextualSpacing/>
        <w:rPr>
          <w:rFonts w:ascii="Arial" w:hAnsi="Arial" w:cs="Arial"/>
          <w:sz w:val="20"/>
        </w:rPr>
      </w:pPr>
      <w:r w:rsidRPr="00C92316">
        <w:rPr>
          <w:rFonts w:ascii="Arial" w:hAnsi="Arial" w:cs="Arial"/>
          <w:sz w:val="20"/>
        </w:rPr>
        <w:t>make a submission to–</w:t>
      </w:r>
    </w:p>
    <w:p w14:paraId="104D151A" w14:textId="636B15DE" w:rsidR="00C92316" w:rsidRPr="00C92316" w:rsidRDefault="00C92316" w:rsidP="00A32C0B">
      <w:pPr>
        <w:jc w:val="both"/>
        <w:rPr>
          <w:rFonts w:ascii="Arial" w:hAnsi="Arial" w:cs="Arial"/>
          <w:sz w:val="20"/>
          <w:szCs w:val="20"/>
        </w:rPr>
      </w:pPr>
      <w:r w:rsidRPr="00C92316">
        <w:rPr>
          <w:rFonts w:ascii="Arial" w:hAnsi="Arial" w:cs="Arial"/>
          <w:sz w:val="20"/>
          <w:szCs w:val="20"/>
        </w:rPr>
        <w:t xml:space="preserve">the court by </w:t>
      </w:r>
      <w:r w:rsidR="00A32C0B">
        <w:rPr>
          <w:rFonts w:ascii="Arial" w:hAnsi="Arial" w:cs="Arial"/>
          <w:sz w:val="20"/>
          <w:szCs w:val="20"/>
        </w:rPr>
        <w:t>audio visual link [</w:t>
      </w:r>
      <w:r w:rsidRPr="00C92316">
        <w:rPr>
          <w:rFonts w:ascii="Arial" w:hAnsi="Arial" w:cs="Arial"/>
          <w:sz w:val="20"/>
          <w:szCs w:val="20"/>
        </w:rPr>
        <w:t>AVL</w:t>
      </w:r>
      <w:r w:rsidR="00A32C0B">
        <w:rPr>
          <w:rFonts w:ascii="Arial" w:hAnsi="Arial" w:cs="Arial"/>
          <w:sz w:val="20"/>
          <w:szCs w:val="20"/>
        </w:rPr>
        <w:t>]</w:t>
      </w:r>
      <w:r w:rsidRPr="00C92316">
        <w:rPr>
          <w:rFonts w:ascii="Arial" w:hAnsi="Arial" w:cs="Arial"/>
          <w:sz w:val="20"/>
          <w:szCs w:val="20"/>
        </w:rPr>
        <w:t xml:space="preserve"> or </w:t>
      </w:r>
      <w:r w:rsidR="00A32C0B">
        <w:rPr>
          <w:rFonts w:ascii="Arial" w:hAnsi="Arial" w:cs="Arial"/>
          <w:sz w:val="20"/>
          <w:szCs w:val="20"/>
        </w:rPr>
        <w:t>audio link [</w:t>
      </w:r>
      <w:r w:rsidRPr="00C92316">
        <w:rPr>
          <w:rFonts w:ascii="Arial" w:hAnsi="Arial" w:cs="Arial"/>
          <w:sz w:val="20"/>
          <w:szCs w:val="20"/>
        </w:rPr>
        <w:t>AL</w:t>
      </w:r>
      <w:r w:rsidR="00A32C0B">
        <w:rPr>
          <w:rFonts w:ascii="Arial" w:hAnsi="Arial" w:cs="Arial"/>
          <w:sz w:val="20"/>
          <w:szCs w:val="20"/>
        </w:rPr>
        <w:t>]</w:t>
      </w:r>
      <w:r w:rsidRPr="00C92316">
        <w:rPr>
          <w:rFonts w:ascii="Arial" w:hAnsi="Arial" w:cs="Arial"/>
          <w:sz w:val="20"/>
          <w:szCs w:val="20"/>
        </w:rPr>
        <w:t xml:space="preserve"> from any place within or outside Victoria, or outside Australia, that is outside the courtroom or other place where the court is sitting.</w:t>
      </w:r>
    </w:p>
    <w:p w14:paraId="782F4934" w14:textId="77777777" w:rsidR="00C92316" w:rsidRPr="00C92316" w:rsidRDefault="00C92316" w:rsidP="00C92316">
      <w:pPr>
        <w:rPr>
          <w:rFonts w:ascii="Arial" w:hAnsi="Arial" w:cs="Arial"/>
          <w:sz w:val="20"/>
          <w:szCs w:val="20"/>
        </w:rPr>
      </w:pPr>
    </w:p>
    <w:p w14:paraId="49184A06" w14:textId="20833BEA" w:rsidR="00C92316" w:rsidRPr="00C92316" w:rsidRDefault="00C92316" w:rsidP="00C92316">
      <w:pPr>
        <w:contextualSpacing/>
        <w:jc w:val="both"/>
        <w:rPr>
          <w:rFonts w:ascii="Arial" w:hAnsi="Arial" w:cs="Arial"/>
          <w:sz w:val="20"/>
        </w:rPr>
      </w:pPr>
      <w:r w:rsidRPr="00C92316">
        <w:rPr>
          <w:rFonts w:ascii="Arial" w:hAnsi="Arial" w:cs="Arial"/>
          <w:sz w:val="20"/>
        </w:rPr>
        <w:t>I</w:t>
      </w:r>
      <w:r w:rsidR="00FD00C9">
        <w:rPr>
          <w:rFonts w:ascii="Arial" w:hAnsi="Arial" w:cs="Arial"/>
          <w:sz w:val="20"/>
        </w:rPr>
        <w:t>f</w:t>
      </w:r>
      <w:r w:rsidRPr="00C92316">
        <w:rPr>
          <w:rFonts w:ascii="Arial" w:hAnsi="Arial" w:cs="Arial"/>
          <w:sz w:val="20"/>
        </w:rPr>
        <w:t xml:space="preserve"> a Victorian prisoner is directed under s.42E of the EMPA to appear before the Magistrates’ Court of Victoria [MCV] or Children’s Court of Victoria [ChCV] by AVL</w:t>
      </w:r>
      <w:r w:rsidR="00FD00C9">
        <w:rPr>
          <w:rFonts w:ascii="Arial" w:hAnsi="Arial" w:cs="Arial"/>
          <w:sz w:val="20"/>
        </w:rPr>
        <w:t xml:space="preserve"> or AL,</w:t>
      </w:r>
      <w:r w:rsidRPr="00C92316">
        <w:rPr>
          <w:rFonts w:ascii="Arial" w:hAnsi="Arial" w:cs="Arial"/>
          <w:sz w:val="20"/>
        </w:rPr>
        <w:t xml:space="preserve"> </w:t>
      </w:r>
      <w:r w:rsidR="00FD00C9">
        <w:rPr>
          <w:rFonts w:ascii="Arial" w:hAnsi="Arial" w:cs="Arial"/>
          <w:sz w:val="20"/>
        </w:rPr>
        <w:t xml:space="preserve">reg.23(6) makes it clear that the gaol order prescribed in Form 1 of Schedule 2 does not apply.  In the case of a prisoner appearing by AVL or AL no </w:t>
      </w:r>
      <w:r w:rsidRPr="00C92316">
        <w:rPr>
          <w:rFonts w:ascii="Arial" w:hAnsi="Arial" w:cs="Arial"/>
          <w:sz w:val="20"/>
        </w:rPr>
        <w:t>prescribed form is used.  Instead, an entry is made by the relevant Court in an online “AVL Scheduler” designed by the MCV and to which the Dep</w:t>
      </w:r>
      <w:r w:rsidR="00FD00C9">
        <w:rPr>
          <w:rFonts w:ascii="Arial" w:hAnsi="Arial" w:cs="Arial"/>
          <w:sz w:val="20"/>
        </w:rPr>
        <w:t>artmen</w:t>
      </w:r>
      <w:r w:rsidRPr="00C92316">
        <w:rPr>
          <w:rFonts w:ascii="Arial" w:hAnsi="Arial" w:cs="Arial"/>
          <w:sz w:val="20"/>
        </w:rPr>
        <w:t>t of Corrections, MCV &amp; ChCV all have access.</w:t>
      </w:r>
    </w:p>
    <w:p w14:paraId="3D81A637" w14:textId="77777777" w:rsidR="00C92316" w:rsidRDefault="00C92316" w:rsidP="00D87938">
      <w:pPr>
        <w:jc w:val="both"/>
        <w:rPr>
          <w:rFonts w:ascii="Arial" w:hAnsi="Arial" w:cs="Arial"/>
          <w:sz w:val="20"/>
        </w:rPr>
      </w:pPr>
    </w:p>
    <w:p w14:paraId="6D12380F" w14:textId="418B62EA" w:rsidR="00C92316" w:rsidRPr="00FD00C9" w:rsidRDefault="00FD00C9" w:rsidP="00D87938">
      <w:pPr>
        <w:jc w:val="both"/>
        <w:rPr>
          <w:rFonts w:ascii="Arial" w:hAnsi="Arial" w:cs="Arial"/>
          <w:sz w:val="20"/>
          <w:szCs w:val="20"/>
        </w:rPr>
      </w:pPr>
      <w:r w:rsidRPr="00FD00C9">
        <w:rPr>
          <w:rFonts w:ascii="Arial" w:hAnsi="Arial" w:cs="Arial"/>
          <w:sz w:val="20"/>
          <w:szCs w:val="20"/>
        </w:rPr>
        <w:t>The Form issued under s</w:t>
      </w:r>
      <w:r>
        <w:rPr>
          <w:rFonts w:ascii="Arial" w:hAnsi="Arial" w:cs="Arial"/>
          <w:sz w:val="20"/>
          <w:szCs w:val="20"/>
        </w:rPr>
        <w:t>s</w:t>
      </w:r>
      <w:r w:rsidRPr="00FD00C9">
        <w:rPr>
          <w:rFonts w:ascii="Arial" w:hAnsi="Arial" w:cs="Arial"/>
          <w:sz w:val="20"/>
          <w:szCs w:val="20"/>
        </w:rPr>
        <w:t>.</w:t>
      </w:r>
      <w:r>
        <w:rPr>
          <w:rFonts w:ascii="Arial" w:hAnsi="Arial" w:cs="Arial"/>
          <w:sz w:val="20"/>
          <w:szCs w:val="20"/>
        </w:rPr>
        <w:t xml:space="preserve">39, </w:t>
      </w:r>
      <w:r w:rsidRPr="00FD00C9">
        <w:rPr>
          <w:rFonts w:ascii="Arial" w:hAnsi="Arial" w:cs="Arial"/>
          <w:sz w:val="20"/>
          <w:szCs w:val="20"/>
        </w:rPr>
        <w:t>67</w:t>
      </w:r>
      <w:r>
        <w:rPr>
          <w:rFonts w:ascii="Arial" w:hAnsi="Arial" w:cs="Arial"/>
          <w:sz w:val="20"/>
          <w:szCs w:val="20"/>
        </w:rPr>
        <w:t xml:space="preserve"> or 79 of the</w:t>
      </w:r>
      <w:r w:rsidRPr="00FD00C9">
        <w:rPr>
          <w:rFonts w:ascii="Arial" w:hAnsi="Arial" w:cs="Arial"/>
          <w:sz w:val="20"/>
          <w:szCs w:val="20"/>
        </w:rPr>
        <w:t xml:space="preserve"> </w:t>
      </w:r>
      <w:r w:rsidRPr="00FD00C9">
        <w:rPr>
          <w:rFonts w:ascii="Arial" w:hAnsi="Arial" w:cs="Arial"/>
          <w:i/>
          <w:iCs/>
          <w:sz w:val="20"/>
          <w:szCs w:val="20"/>
        </w:rPr>
        <w:t>Service and Execution of Process Act 1992</w:t>
      </w:r>
      <w:r w:rsidRPr="00FD00C9">
        <w:rPr>
          <w:rFonts w:ascii="Arial" w:hAnsi="Arial" w:cs="Arial"/>
          <w:sz w:val="20"/>
          <w:szCs w:val="20"/>
        </w:rPr>
        <w:t xml:space="preserve"> (Cth) is </w:t>
      </w:r>
      <w:r>
        <w:rPr>
          <w:rFonts w:ascii="Arial" w:hAnsi="Arial" w:cs="Arial"/>
          <w:sz w:val="20"/>
          <w:szCs w:val="20"/>
        </w:rPr>
        <w:t xml:space="preserve">used </w:t>
      </w:r>
      <w:r w:rsidRPr="00FD00C9">
        <w:rPr>
          <w:rFonts w:ascii="Arial" w:hAnsi="Arial" w:cs="Arial"/>
          <w:sz w:val="20"/>
          <w:szCs w:val="20"/>
        </w:rPr>
        <w:t>for the purpose of bringing a</w:t>
      </w:r>
      <w:r>
        <w:rPr>
          <w:rFonts w:ascii="Arial" w:hAnsi="Arial" w:cs="Arial"/>
          <w:sz w:val="20"/>
          <w:szCs w:val="20"/>
        </w:rPr>
        <w:t xml:space="preserve">n interstate </w:t>
      </w:r>
      <w:r w:rsidRPr="00FD00C9">
        <w:rPr>
          <w:rFonts w:ascii="Arial" w:hAnsi="Arial" w:cs="Arial"/>
          <w:sz w:val="20"/>
          <w:szCs w:val="20"/>
        </w:rPr>
        <w:t>prisoner</w:t>
      </w:r>
      <w:r>
        <w:rPr>
          <w:rFonts w:ascii="Arial" w:hAnsi="Arial" w:cs="Arial"/>
          <w:sz w:val="20"/>
          <w:szCs w:val="20"/>
        </w:rPr>
        <w:t>/detainee</w:t>
      </w:r>
      <w:r w:rsidRPr="00FD00C9">
        <w:rPr>
          <w:rFonts w:ascii="Arial" w:hAnsi="Arial" w:cs="Arial"/>
          <w:sz w:val="20"/>
          <w:szCs w:val="20"/>
        </w:rPr>
        <w:t xml:space="preserve"> before a </w:t>
      </w:r>
      <w:r>
        <w:rPr>
          <w:rFonts w:ascii="Arial" w:hAnsi="Arial" w:cs="Arial"/>
          <w:sz w:val="20"/>
          <w:szCs w:val="20"/>
        </w:rPr>
        <w:t xml:space="preserve">Victorian </w:t>
      </w:r>
      <w:r w:rsidRPr="00FD00C9">
        <w:rPr>
          <w:rFonts w:ascii="Arial" w:hAnsi="Arial" w:cs="Arial"/>
          <w:sz w:val="20"/>
          <w:szCs w:val="20"/>
        </w:rPr>
        <w:t>court to answer a subpoena to give evidence or produce documents.</w:t>
      </w:r>
    </w:p>
    <w:p w14:paraId="0CD8CB15" w14:textId="77777777" w:rsidR="00C92316" w:rsidRDefault="00C92316" w:rsidP="00D87938">
      <w:pPr>
        <w:jc w:val="both"/>
        <w:rPr>
          <w:rFonts w:ascii="Arial" w:hAnsi="Arial" w:cs="Arial"/>
          <w:sz w:val="20"/>
        </w:rPr>
      </w:pPr>
    </w:p>
    <w:p w14:paraId="64AD5CD4" w14:textId="1464E0A4" w:rsidR="00B21DA4" w:rsidRDefault="00B21DA4" w:rsidP="00685B88">
      <w:pPr>
        <w:pStyle w:val="Heading3"/>
        <w:keepNext/>
        <w:keepLines/>
        <w:spacing w:after="120" w:line="240" w:lineRule="auto"/>
        <w:rPr>
          <w:rFonts w:ascii="Arial" w:hAnsi="Arial" w:cs="Arial"/>
          <w:b/>
          <w:bCs/>
          <w:sz w:val="20"/>
        </w:rPr>
      </w:pPr>
      <w:bookmarkStart w:id="805" w:name="_3.5.8_Use_of_1"/>
      <w:bookmarkEnd w:id="805"/>
      <w:r>
        <w:rPr>
          <w:rFonts w:ascii="Arial" w:hAnsi="Arial" w:cs="Arial"/>
          <w:b/>
          <w:bCs/>
          <w:sz w:val="20"/>
        </w:rPr>
        <w:t>3.5.</w:t>
      </w:r>
      <w:r w:rsidR="00F25FA2">
        <w:rPr>
          <w:rFonts w:ascii="Arial" w:hAnsi="Arial" w:cs="Arial"/>
          <w:b/>
          <w:bCs/>
          <w:sz w:val="20"/>
        </w:rPr>
        <w:t>8</w:t>
      </w:r>
      <w:r>
        <w:rPr>
          <w:rFonts w:ascii="Arial" w:hAnsi="Arial" w:cs="Arial"/>
          <w:b/>
          <w:bCs/>
          <w:sz w:val="20"/>
        </w:rPr>
        <w:tab/>
      </w:r>
      <w:r w:rsidR="00E74C2D">
        <w:rPr>
          <w:rFonts w:ascii="Arial" w:hAnsi="Arial" w:cs="Arial"/>
          <w:b/>
          <w:bCs/>
          <w:sz w:val="20"/>
        </w:rPr>
        <w:t xml:space="preserve">Use of recorded evidence </w:t>
      </w:r>
      <w:r w:rsidR="00EE5B6C">
        <w:rPr>
          <w:rFonts w:ascii="Arial" w:hAnsi="Arial" w:cs="Arial"/>
          <w:b/>
          <w:bCs/>
          <w:sz w:val="20"/>
        </w:rPr>
        <w:t xml:space="preserve">in </w:t>
      </w:r>
      <w:r>
        <w:rPr>
          <w:rFonts w:ascii="Arial" w:hAnsi="Arial" w:cs="Arial"/>
          <w:b/>
          <w:bCs/>
          <w:sz w:val="20"/>
        </w:rPr>
        <w:t>cases in the Family Division</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14:paraId="5CE99682" w14:textId="0D9BD51C" w:rsidR="00036D92" w:rsidRDefault="00B21DA4" w:rsidP="006A0F25">
      <w:pPr>
        <w:jc w:val="both"/>
        <w:rPr>
          <w:rFonts w:ascii="Arial" w:hAnsi="Arial" w:cs="Arial"/>
          <w:sz w:val="20"/>
        </w:rPr>
      </w:pPr>
      <w:r>
        <w:rPr>
          <w:rFonts w:ascii="Arial" w:hAnsi="Arial" w:cs="Arial"/>
          <w:sz w:val="20"/>
        </w:rPr>
        <w:t xml:space="preserve">In the case of </w:t>
      </w:r>
      <w:r>
        <w:rPr>
          <w:rFonts w:ascii="Arial" w:hAnsi="Arial" w:cs="Arial"/>
          <w:i/>
          <w:iCs/>
          <w:sz w:val="20"/>
        </w:rPr>
        <w:t>The H Children</w:t>
      </w:r>
      <w:r>
        <w:rPr>
          <w:rFonts w:ascii="Arial" w:hAnsi="Arial" w:cs="Arial"/>
          <w:sz w:val="20"/>
        </w:rPr>
        <w:t xml:space="preserve"> [Children</w:t>
      </w:r>
      <w:r w:rsidR="000F0BE9">
        <w:rPr>
          <w:rFonts w:ascii="Arial" w:hAnsi="Arial" w:cs="Arial"/>
          <w:sz w:val="20"/>
        </w:rPr>
        <w:t>’</w:t>
      </w:r>
      <w:r>
        <w:rPr>
          <w:rFonts w:ascii="Arial" w:hAnsi="Arial" w:cs="Arial"/>
          <w:sz w:val="20"/>
        </w:rPr>
        <w:t xml:space="preserve">s Court of Victoria, unreported, 04/02/1999], the Court held that although s.37B of the </w:t>
      </w:r>
      <w:r w:rsidRPr="0058675C">
        <w:rPr>
          <w:rFonts w:ascii="Arial" w:hAnsi="Arial" w:cs="Arial"/>
          <w:i/>
          <w:iCs/>
          <w:sz w:val="20"/>
        </w:rPr>
        <w:t>Evidence Act 1958</w:t>
      </w:r>
      <w:r>
        <w:rPr>
          <w:rFonts w:ascii="Arial" w:hAnsi="Arial" w:cs="Arial"/>
          <w:sz w:val="20"/>
        </w:rPr>
        <w:t xml:space="preserve"> [as amended] and the </w:t>
      </w:r>
      <w:r w:rsidRPr="0058675C">
        <w:rPr>
          <w:rFonts w:ascii="Arial" w:hAnsi="Arial" w:cs="Arial"/>
          <w:i/>
          <w:iCs/>
          <w:sz w:val="20"/>
        </w:rPr>
        <w:t>Evidence (Recorded Evidence) Regulations 1994</w:t>
      </w:r>
      <w:r>
        <w:rPr>
          <w:rFonts w:ascii="Arial" w:hAnsi="Arial" w:cs="Arial"/>
          <w:sz w:val="20"/>
        </w:rPr>
        <w:t xml:space="preserve"> d</w:t>
      </w:r>
      <w:r w:rsidR="00CF37C4">
        <w:rPr>
          <w:rFonts w:ascii="Arial" w:hAnsi="Arial" w:cs="Arial"/>
          <w:sz w:val="20"/>
        </w:rPr>
        <w:t>id</w:t>
      </w:r>
      <w:r>
        <w:rPr>
          <w:rFonts w:ascii="Arial" w:hAnsi="Arial" w:cs="Arial"/>
          <w:sz w:val="20"/>
        </w:rPr>
        <w:t xml:space="preserve"> not apply to protection proceedings in the Family Division, </w:t>
      </w:r>
      <w:r w:rsidR="00685B88">
        <w:rPr>
          <w:rFonts w:ascii="Arial" w:hAnsi="Arial" w:cs="Arial"/>
          <w:sz w:val="20"/>
        </w:rPr>
        <w:t>audio</w:t>
      </w:r>
      <w:r w:rsidR="00712515">
        <w:rPr>
          <w:rFonts w:ascii="Arial" w:hAnsi="Arial" w:cs="Arial"/>
          <w:sz w:val="20"/>
        </w:rPr>
        <w:t xml:space="preserve"> </w:t>
      </w:r>
      <w:r w:rsidR="00685B88">
        <w:rPr>
          <w:rFonts w:ascii="Arial" w:hAnsi="Arial" w:cs="Arial"/>
          <w:sz w:val="20"/>
        </w:rPr>
        <w:t>visual recordings of a child’s evidence</w:t>
      </w:r>
      <w:r>
        <w:rPr>
          <w:rFonts w:ascii="Arial" w:hAnsi="Arial" w:cs="Arial"/>
          <w:sz w:val="20"/>
        </w:rPr>
        <w:t xml:space="preserve"> may be admitted, at the discretion of the presiding judicial officer, pursuant to s.82(1)(d) of the CYPA</w:t>
      </w:r>
      <w:r w:rsidR="00F021BF">
        <w:rPr>
          <w:rFonts w:ascii="Arial" w:hAnsi="Arial" w:cs="Arial"/>
          <w:sz w:val="20"/>
        </w:rPr>
        <w:t>.</w:t>
      </w:r>
    </w:p>
    <w:p w14:paraId="182E6FB3" w14:textId="77777777" w:rsidR="00036D92" w:rsidRDefault="00036D92" w:rsidP="002F68AE">
      <w:pPr>
        <w:jc w:val="both"/>
        <w:rPr>
          <w:rFonts w:ascii="Arial" w:hAnsi="Arial" w:cs="Arial"/>
          <w:sz w:val="20"/>
        </w:rPr>
      </w:pPr>
    </w:p>
    <w:p w14:paraId="50916655" w14:textId="5707635F" w:rsidR="00036D92" w:rsidRDefault="00734FFF" w:rsidP="002F68AE">
      <w:pPr>
        <w:jc w:val="both"/>
        <w:rPr>
          <w:rFonts w:ascii="Arial" w:hAnsi="Arial" w:cs="Arial"/>
          <w:sz w:val="20"/>
        </w:rPr>
      </w:pPr>
      <w:r>
        <w:rPr>
          <w:rFonts w:ascii="Arial" w:hAnsi="Arial" w:cs="Arial"/>
          <w:sz w:val="20"/>
        </w:rPr>
        <w:t>D</w:t>
      </w:r>
      <w:r w:rsidR="00CF37C4">
        <w:rPr>
          <w:rFonts w:ascii="Arial" w:hAnsi="Arial" w:cs="Arial"/>
          <w:sz w:val="20"/>
        </w:rPr>
        <w:t>espite significant legislative changes</w:t>
      </w:r>
      <w:r>
        <w:rPr>
          <w:rFonts w:ascii="Arial" w:hAnsi="Arial" w:cs="Arial"/>
          <w:sz w:val="20"/>
        </w:rPr>
        <w:t xml:space="preserve"> since then</w:t>
      </w:r>
      <w:r w:rsidR="00CF37C4">
        <w:rPr>
          <w:rFonts w:ascii="Arial" w:hAnsi="Arial" w:cs="Arial"/>
          <w:sz w:val="20"/>
        </w:rPr>
        <w:t>, th</w:t>
      </w:r>
      <w:r w:rsidR="00B57B3B">
        <w:rPr>
          <w:rFonts w:ascii="Arial" w:hAnsi="Arial" w:cs="Arial"/>
          <w:sz w:val="20"/>
        </w:rPr>
        <w:t xml:space="preserve">e writer </w:t>
      </w:r>
      <w:r w:rsidR="00CF37C4">
        <w:rPr>
          <w:rFonts w:ascii="Arial" w:hAnsi="Arial" w:cs="Arial"/>
          <w:sz w:val="20"/>
        </w:rPr>
        <w:t>has no doubt</w:t>
      </w:r>
      <w:r w:rsidR="00192DEC">
        <w:rPr>
          <w:rFonts w:ascii="Arial" w:hAnsi="Arial" w:cs="Arial"/>
          <w:sz w:val="20"/>
        </w:rPr>
        <w:t xml:space="preserve"> that</w:t>
      </w:r>
      <w:r w:rsidR="000225F8">
        <w:rPr>
          <w:rFonts w:ascii="Arial" w:hAnsi="Arial" w:cs="Arial"/>
          <w:sz w:val="20"/>
        </w:rPr>
        <w:t xml:space="preserve"> </w:t>
      </w:r>
      <w:r w:rsidR="00685B88">
        <w:rPr>
          <w:rFonts w:ascii="Arial" w:hAnsi="Arial" w:cs="Arial"/>
          <w:sz w:val="20"/>
        </w:rPr>
        <w:t>audio or audio</w:t>
      </w:r>
      <w:r w:rsidR="00712515">
        <w:rPr>
          <w:rFonts w:ascii="Arial" w:hAnsi="Arial" w:cs="Arial"/>
          <w:sz w:val="20"/>
        </w:rPr>
        <w:t xml:space="preserve"> </w:t>
      </w:r>
      <w:r w:rsidR="00685B88">
        <w:rPr>
          <w:rFonts w:ascii="Arial" w:hAnsi="Arial" w:cs="Arial"/>
          <w:sz w:val="20"/>
        </w:rPr>
        <w:t>visual recordings</w:t>
      </w:r>
      <w:r w:rsidR="00F021BF">
        <w:rPr>
          <w:rFonts w:ascii="Arial" w:hAnsi="Arial" w:cs="Arial"/>
          <w:sz w:val="20"/>
        </w:rPr>
        <w:t xml:space="preserve"> </w:t>
      </w:r>
      <w:r w:rsidR="0037745C">
        <w:rPr>
          <w:rFonts w:ascii="Arial" w:hAnsi="Arial" w:cs="Arial"/>
          <w:sz w:val="20"/>
        </w:rPr>
        <w:t xml:space="preserve">of a child’s evidence </w:t>
      </w:r>
      <w:r w:rsidR="000225F8">
        <w:rPr>
          <w:rFonts w:ascii="Arial" w:hAnsi="Arial" w:cs="Arial"/>
          <w:sz w:val="20"/>
        </w:rPr>
        <w:t>–</w:t>
      </w:r>
      <w:r w:rsidR="00F021BF">
        <w:rPr>
          <w:rFonts w:ascii="Arial" w:hAnsi="Arial" w:cs="Arial"/>
          <w:sz w:val="20"/>
        </w:rPr>
        <w:t xml:space="preserve"> </w:t>
      </w:r>
      <w:r w:rsidR="00DC22A7">
        <w:rPr>
          <w:rFonts w:ascii="Arial" w:hAnsi="Arial" w:cs="Arial"/>
          <w:sz w:val="20"/>
        </w:rPr>
        <w:t>colloquially called “</w:t>
      </w:r>
      <w:r w:rsidR="00DC22A7" w:rsidRPr="00F65EB1">
        <w:rPr>
          <w:rFonts w:ascii="Arial" w:hAnsi="Arial" w:cs="Arial"/>
          <w:color w:val="000000"/>
          <w:sz w:val="20"/>
        </w:rPr>
        <w:t>VA</w:t>
      </w:r>
      <w:r w:rsidR="00747350" w:rsidRPr="00F65EB1">
        <w:rPr>
          <w:rFonts w:ascii="Arial" w:hAnsi="Arial" w:cs="Arial"/>
          <w:color w:val="000000"/>
          <w:sz w:val="20"/>
        </w:rPr>
        <w:t>R</w:t>
      </w:r>
      <w:r w:rsidR="00DC22A7" w:rsidRPr="00F65EB1">
        <w:rPr>
          <w:rFonts w:ascii="Arial" w:hAnsi="Arial" w:cs="Arial"/>
          <w:color w:val="000000"/>
          <w:sz w:val="20"/>
        </w:rPr>
        <w:t>E</w:t>
      </w:r>
      <w:r w:rsidR="00DC22A7">
        <w:rPr>
          <w:rFonts w:ascii="Arial" w:hAnsi="Arial" w:cs="Arial"/>
          <w:sz w:val="20"/>
        </w:rPr>
        <w:t xml:space="preserve"> tapes” </w:t>
      </w:r>
      <w:r w:rsidR="00192DEC">
        <w:rPr>
          <w:rFonts w:ascii="Arial" w:hAnsi="Arial" w:cs="Arial"/>
          <w:sz w:val="20"/>
        </w:rPr>
        <w:t xml:space="preserve">– </w:t>
      </w:r>
      <w:r>
        <w:rPr>
          <w:rFonts w:ascii="Arial" w:hAnsi="Arial" w:cs="Arial"/>
          <w:sz w:val="20"/>
        </w:rPr>
        <w:t>may</w:t>
      </w:r>
      <w:r w:rsidR="00F021BF">
        <w:rPr>
          <w:rFonts w:ascii="Arial" w:hAnsi="Arial" w:cs="Arial"/>
          <w:sz w:val="20"/>
        </w:rPr>
        <w:t xml:space="preserve"> </w:t>
      </w:r>
      <w:r w:rsidR="00DB701A">
        <w:rPr>
          <w:rFonts w:ascii="Arial" w:hAnsi="Arial" w:cs="Arial"/>
          <w:sz w:val="20"/>
        </w:rPr>
        <w:t xml:space="preserve">still </w:t>
      </w:r>
      <w:r w:rsidR="00F021BF">
        <w:rPr>
          <w:rFonts w:ascii="Arial" w:hAnsi="Arial" w:cs="Arial"/>
          <w:sz w:val="20"/>
        </w:rPr>
        <w:t xml:space="preserve">be tendered in proceedings in the Family Division of the Court (whether protection proceedings, intervention order proceedings or </w:t>
      </w:r>
      <w:r w:rsidR="00685B88">
        <w:rPr>
          <w:rFonts w:ascii="Arial" w:hAnsi="Arial" w:cs="Arial"/>
          <w:sz w:val="20"/>
        </w:rPr>
        <w:t>any other sorts of proceedings)</w:t>
      </w:r>
      <w:r w:rsidR="00DC22A7" w:rsidRPr="00DC22A7">
        <w:rPr>
          <w:rFonts w:ascii="Arial" w:hAnsi="Arial" w:cs="Arial"/>
          <w:sz w:val="20"/>
        </w:rPr>
        <w:t xml:space="preserve"> </w:t>
      </w:r>
      <w:r w:rsidR="00DC22A7">
        <w:rPr>
          <w:rFonts w:ascii="Arial" w:hAnsi="Arial" w:cs="Arial"/>
          <w:sz w:val="20"/>
        </w:rPr>
        <w:t>even if they have been specifically prepared for use in criminal proceedings</w:t>
      </w:r>
      <w:r w:rsidR="00685B88">
        <w:rPr>
          <w:rFonts w:ascii="Arial" w:hAnsi="Arial" w:cs="Arial"/>
          <w:sz w:val="20"/>
        </w:rPr>
        <w:t>.</w:t>
      </w:r>
      <w:r w:rsidR="001217FA">
        <w:rPr>
          <w:rFonts w:ascii="Arial" w:hAnsi="Arial" w:cs="Arial"/>
          <w:sz w:val="20"/>
        </w:rPr>
        <w:t xml:space="preserve">  This is now authorised by s.368A of the </w:t>
      </w:r>
      <w:r w:rsidR="001217FA" w:rsidRPr="0058675C">
        <w:rPr>
          <w:rFonts w:ascii="Arial" w:hAnsi="Arial" w:cs="Arial"/>
          <w:i/>
          <w:iCs/>
          <w:sz w:val="20"/>
        </w:rPr>
        <w:t>Criminal Procedure Act 2009</w:t>
      </w:r>
      <w:r w:rsidR="001217FA">
        <w:rPr>
          <w:rFonts w:ascii="Arial" w:hAnsi="Arial" w:cs="Arial"/>
          <w:sz w:val="20"/>
        </w:rPr>
        <w:t xml:space="preserve"> (inserted by Act 48/2012) and ss.387J-387K (inserted by Act 33/2018)</w:t>
      </w:r>
      <w:r w:rsidR="00A77FBB">
        <w:rPr>
          <w:rFonts w:ascii="Arial" w:hAnsi="Arial" w:cs="Arial"/>
          <w:sz w:val="20"/>
        </w:rPr>
        <w:t xml:space="preserve">: see </w:t>
      </w:r>
      <w:r w:rsidR="00A77FBB" w:rsidRPr="00A77FBB">
        <w:rPr>
          <w:rFonts w:ascii="Arial" w:hAnsi="Arial" w:cs="Arial"/>
          <w:b/>
          <w:bCs/>
          <w:sz w:val="20"/>
          <w:shd w:val="clear" w:color="auto" w:fill="C5E0B3" w:themeFill="accent6" w:themeFillTint="66"/>
        </w:rPr>
        <w:t>section 3.5.5.2</w:t>
      </w:r>
      <w:r w:rsidR="00A77FBB">
        <w:rPr>
          <w:rFonts w:ascii="Arial" w:hAnsi="Arial" w:cs="Arial"/>
          <w:sz w:val="20"/>
        </w:rPr>
        <w:t xml:space="preserve"> above.</w:t>
      </w:r>
    </w:p>
    <w:p w14:paraId="72BC2932" w14:textId="77777777" w:rsidR="00036D92" w:rsidRDefault="00036D92" w:rsidP="002F68AE">
      <w:pPr>
        <w:jc w:val="both"/>
        <w:rPr>
          <w:rFonts w:ascii="Arial" w:hAnsi="Arial" w:cs="Arial"/>
          <w:sz w:val="20"/>
        </w:rPr>
      </w:pPr>
    </w:p>
    <w:p w14:paraId="6243850E" w14:textId="313156E0" w:rsidR="001217FA" w:rsidRDefault="001217FA" w:rsidP="001217FA">
      <w:pPr>
        <w:jc w:val="both"/>
        <w:rPr>
          <w:rFonts w:ascii="Arial" w:hAnsi="Arial" w:cs="Arial"/>
          <w:sz w:val="20"/>
        </w:rPr>
      </w:pPr>
      <w:r>
        <w:rPr>
          <w:rFonts w:ascii="Arial" w:hAnsi="Arial" w:cs="Arial"/>
          <w:sz w:val="20"/>
        </w:rPr>
        <w:t>Section 367 provides that a witness who is under the age of 18 years or who has a cognitive impairment may give evidence-in-chief (wholly or partly) in the form of a VARE in a criminal proceeding that relates (wholly or partly) to a charge for</w:t>
      </w:r>
      <w:r w:rsidR="00FD5F44" w:rsidRPr="00A31FFA">
        <w:rPr>
          <w:rFonts w:ascii="Arial" w:hAnsi="Arial" w:cs="Arial"/>
          <w:sz w:val="20"/>
        </w:rPr>
        <w:t>–</w:t>
      </w:r>
    </w:p>
    <w:p w14:paraId="53544AE4" w14:textId="216B78C3" w:rsidR="001217FA" w:rsidRPr="001217FA" w:rsidRDefault="001217FA">
      <w:pPr>
        <w:pStyle w:val="ListParagraph"/>
        <w:numPr>
          <w:ilvl w:val="0"/>
          <w:numId w:val="71"/>
        </w:numPr>
        <w:ind w:left="357" w:hanging="357"/>
        <w:jc w:val="both"/>
        <w:rPr>
          <w:rFonts w:ascii="Arial" w:hAnsi="Arial" w:cs="Arial"/>
          <w:sz w:val="20"/>
        </w:rPr>
      </w:pPr>
      <w:r w:rsidRPr="001217FA">
        <w:rPr>
          <w:rFonts w:ascii="Arial" w:hAnsi="Arial" w:cs="Arial"/>
          <w:sz w:val="20"/>
        </w:rPr>
        <w:t>a sexual offence; or</w:t>
      </w:r>
    </w:p>
    <w:p w14:paraId="63CA00BE" w14:textId="77777777" w:rsidR="001217FA" w:rsidRDefault="001217FA" w:rsidP="001217FA">
      <w:pPr>
        <w:ind w:left="454" w:hanging="454"/>
        <w:jc w:val="both"/>
        <w:rPr>
          <w:rFonts w:ascii="Arial" w:hAnsi="Arial" w:cs="Arial"/>
          <w:sz w:val="20"/>
        </w:rPr>
      </w:pPr>
      <w:r>
        <w:rPr>
          <w:rFonts w:ascii="Arial" w:hAnsi="Arial" w:cs="Arial"/>
          <w:sz w:val="20"/>
        </w:rPr>
        <w:t>(ab)</w:t>
      </w:r>
      <w:r>
        <w:rPr>
          <w:rFonts w:ascii="Arial" w:hAnsi="Arial" w:cs="Arial"/>
          <w:sz w:val="20"/>
        </w:rPr>
        <w:tab/>
        <w:t xml:space="preserve">an offence where the conduct constituting the offence consists of family violence within the meaning of the </w:t>
      </w:r>
      <w:r w:rsidRPr="0058675C">
        <w:rPr>
          <w:rFonts w:ascii="Arial" w:hAnsi="Arial" w:cs="Arial"/>
          <w:i/>
          <w:iCs/>
          <w:sz w:val="20"/>
        </w:rPr>
        <w:t>Family Violence Protection Act 2008</w:t>
      </w:r>
      <w:r>
        <w:rPr>
          <w:rFonts w:ascii="Arial" w:hAnsi="Arial" w:cs="Arial"/>
          <w:sz w:val="20"/>
        </w:rPr>
        <w:t>; or</w:t>
      </w:r>
    </w:p>
    <w:p w14:paraId="578B52C9" w14:textId="37BF959F" w:rsidR="001217FA" w:rsidRPr="001217FA" w:rsidRDefault="001217FA">
      <w:pPr>
        <w:pStyle w:val="ListParagraph"/>
        <w:numPr>
          <w:ilvl w:val="0"/>
          <w:numId w:val="71"/>
        </w:numPr>
        <w:ind w:left="357" w:hanging="357"/>
        <w:jc w:val="both"/>
        <w:rPr>
          <w:rFonts w:ascii="Arial" w:hAnsi="Arial" w:cs="Arial"/>
          <w:sz w:val="20"/>
        </w:rPr>
      </w:pPr>
      <w:r w:rsidRPr="001217FA">
        <w:rPr>
          <w:rFonts w:ascii="Arial" w:hAnsi="Arial" w:cs="Arial"/>
          <w:sz w:val="20"/>
        </w:rPr>
        <w:t>an indictable offence which involves an assault on, or injury or a threat of injury to, a person; or</w:t>
      </w:r>
    </w:p>
    <w:p w14:paraId="16F3DA17" w14:textId="13357893" w:rsidR="001217FA" w:rsidRPr="001217FA" w:rsidRDefault="001217FA">
      <w:pPr>
        <w:pStyle w:val="ListParagraph"/>
        <w:numPr>
          <w:ilvl w:val="0"/>
          <w:numId w:val="71"/>
        </w:numPr>
        <w:ind w:left="357" w:hanging="357"/>
        <w:jc w:val="both"/>
        <w:rPr>
          <w:rFonts w:ascii="Arial" w:hAnsi="Arial" w:cs="Arial"/>
          <w:sz w:val="20"/>
        </w:rPr>
      </w:pPr>
      <w:r w:rsidRPr="001217FA">
        <w:rPr>
          <w:rFonts w:ascii="Arial" w:hAnsi="Arial" w:cs="Arial"/>
          <w:sz w:val="20"/>
        </w:rPr>
        <w:t xml:space="preserve">any offences against ss.23 or 24 of the </w:t>
      </w:r>
      <w:r w:rsidRPr="00A82F40">
        <w:rPr>
          <w:rFonts w:ascii="Arial" w:hAnsi="Arial" w:cs="Arial"/>
          <w:i/>
          <w:iCs/>
          <w:sz w:val="20"/>
        </w:rPr>
        <w:t>Summary Offences Act 1966</w:t>
      </w:r>
      <w:r w:rsidRPr="001217FA">
        <w:rPr>
          <w:rFonts w:ascii="Arial" w:hAnsi="Arial" w:cs="Arial"/>
          <w:sz w:val="20"/>
        </w:rPr>
        <w:t xml:space="preserve"> if those offences are related offences to an offence specified in paragraph (a), (ab) or (b), despite whether any such related offences are withdrawn or dismissed before an offence against ss.23 or 24 is heard and determined.</w:t>
      </w:r>
    </w:p>
    <w:p w14:paraId="24025B81" w14:textId="77777777" w:rsidR="001217FA" w:rsidRDefault="001217FA" w:rsidP="001217FA">
      <w:pPr>
        <w:jc w:val="both"/>
        <w:rPr>
          <w:rFonts w:ascii="Arial" w:hAnsi="Arial" w:cs="Arial"/>
          <w:sz w:val="20"/>
        </w:rPr>
      </w:pPr>
    </w:p>
    <w:p w14:paraId="69CF1232" w14:textId="14A13992" w:rsidR="00734FFF" w:rsidRDefault="001217FA" w:rsidP="002F68AE">
      <w:pPr>
        <w:jc w:val="both"/>
        <w:rPr>
          <w:rFonts w:ascii="Arial" w:hAnsi="Arial" w:cs="Arial"/>
          <w:sz w:val="20"/>
        </w:rPr>
      </w:pPr>
      <w:r>
        <w:rPr>
          <w:rFonts w:ascii="Arial" w:hAnsi="Arial" w:cs="Arial"/>
          <w:sz w:val="20"/>
        </w:rPr>
        <w:t xml:space="preserve">Section 368A provides: </w:t>
      </w:r>
      <w:r w:rsidR="00CF37C4">
        <w:rPr>
          <w:rFonts w:ascii="Arial" w:hAnsi="Arial" w:cs="Arial"/>
          <w:sz w:val="20"/>
        </w:rPr>
        <w:t>“A court may order that a recording referred to in s.367 be produced for use in a proceeding (other than a [criminal] proceeding referred to in s.368) before that court if the court is satisfied that it is in the best interests of the witness to do so.”  Section 368</w:t>
      </w:r>
      <w:proofErr w:type="gramStart"/>
      <w:r w:rsidR="00CF37C4">
        <w:rPr>
          <w:rFonts w:ascii="Arial" w:hAnsi="Arial" w:cs="Arial"/>
          <w:sz w:val="20"/>
        </w:rPr>
        <w:t>A(</w:t>
      </w:r>
      <w:proofErr w:type="gramEnd"/>
      <w:r w:rsidR="00CF37C4">
        <w:rPr>
          <w:rFonts w:ascii="Arial" w:hAnsi="Arial" w:cs="Arial"/>
          <w:sz w:val="20"/>
        </w:rPr>
        <w:t xml:space="preserve">3) provides that in making an order under s.368A(1), the court must have regard to the need to protect the privacy of the witness.  </w:t>
      </w:r>
      <w:r w:rsidR="00AC52FA">
        <w:rPr>
          <w:rFonts w:ascii="Arial" w:hAnsi="Arial" w:cs="Arial"/>
          <w:sz w:val="20"/>
        </w:rPr>
        <w:t xml:space="preserve">If the court makes an order under s.368A(1), </w:t>
      </w:r>
      <w:r w:rsidR="00734FFF">
        <w:rPr>
          <w:rFonts w:ascii="Arial" w:hAnsi="Arial" w:cs="Arial"/>
          <w:sz w:val="20"/>
        </w:rPr>
        <w:t>it is required by s.368A(2) to specify</w:t>
      </w:r>
      <w:r w:rsidR="00FD5F44" w:rsidRPr="00A31FFA">
        <w:rPr>
          <w:rFonts w:ascii="Arial" w:hAnsi="Arial" w:cs="Arial"/>
          <w:sz w:val="20"/>
        </w:rPr>
        <w:t>–</w:t>
      </w:r>
    </w:p>
    <w:p w14:paraId="47F9F88E" w14:textId="77777777" w:rsidR="00734FFF" w:rsidRDefault="00734FFF" w:rsidP="000F1151">
      <w:pPr>
        <w:numPr>
          <w:ilvl w:val="0"/>
          <w:numId w:val="38"/>
        </w:numPr>
        <w:ind w:left="357" w:hanging="357"/>
        <w:jc w:val="both"/>
        <w:rPr>
          <w:rFonts w:ascii="Arial" w:hAnsi="Arial" w:cs="Arial"/>
          <w:sz w:val="20"/>
        </w:rPr>
      </w:pPr>
      <w:r>
        <w:rPr>
          <w:rFonts w:ascii="Arial" w:hAnsi="Arial" w:cs="Arial"/>
          <w:sz w:val="20"/>
        </w:rPr>
        <w:t>the persons who may view or listen to the recording; and</w:t>
      </w:r>
    </w:p>
    <w:p w14:paraId="5BC14B1B" w14:textId="77777777" w:rsidR="00734FFF" w:rsidRDefault="00734FFF" w:rsidP="00D772F0">
      <w:pPr>
        <w:numPr>
          <w:ilvl w:val="0"/>
          <w:numId w:val="38"/>
        </w:numPr>
        <w:ind w:left="357" w:hanging="357"/>
        <w:jc w:val="both"/>
        <w:rPr>
          <w:rFonts w:ascii="Arial" w:hAnsi="Arial" w:cs="Arial"/>
          <w:sz w:val="20"/>
        </w:rPr>
      </w:pPr>
      <w:r>
        <w:rPr>
          <w:rFonts w:ascii="Arial" w:hAnsi="Arial" w:cs="Arial"/>
          <w:sz w:val="20"/>
        </w:rPr>
        <w:t>when and where the recording is required to be produced; and</w:t>
      </w:r>
    </w:p>
    <w:p w14:paraId="216B3DC0" w14:textId="77777777" w:rsidR="00CF37C4" w:rsidRDefault="00734FFF" w:rsidP="00D772F0">
      <w:pPr>
        <w:numPr>
          <w:ilvl w:val="0"/>
          <w:numId w:val="38"/>
        </w:numPr>
        <w:ind w:left="357" w:hanging="357"/>
        <w:jc w:val="both"/>
        <w:rPr>
          <w:rFonts w:ascii="Arial" w:hAnsi="Arial" w:cs="Arial"/>
          <w:sz w:val="20"/>
        </w:rPr>
      </w:pPr>
      <w:r>
        <w:rPr>
          <w:rFonts w:ascii="Arial" w:hAnsi="Arial" w:cs="Arial"/>
          <w:sz w:val="20"/>
        </w:rPr>
        <w:t>if necessary, any requirements</w:t>
      </w:r>
      <w:r w:rsidR="00CF37C4">
        <w:rPr>
          <w:rFonts w:ascii="Arial" w:hAnsi="Arial" w:cs="Arial"/>
          <w:sz w:val="20"/>
        </w:rPr>
        <w:t xml:space="preserve"> </w:t>
      </w:r>
      <w:r>
        <w:rPr>
          <w:rFonts w:ascii="Arial" w:hAnsi="Arial" w:cs="Arial"/>
          <w:sz w:val="20"/>
        </w:rPr>
        <w:t>as to the destruction of the recording.</w:t>
      </w:r>
    </w:p>
    <w:p w14:paraId="2A2CBAA7" w14:textId="0555F575" w:rsidR="0099353B" w:rsidRDefault="0099353B" w:rsidP="0099353B">
      <w:pPr>
        <w:jc w:val="both"/>
        <w:rPr>
          <w:rFonts w:ascii="Arial" w:hAnsi="Arial" w:cs="Arial"/>
          <w:sz w:val="20"/>
        </w:rPr>
      </w:pPr>
    </w:p>
    <w:p w14:paraId="5BFC94B7" w14:textId="3E1D9A8B" w:rsidR="007C4486" w:rsidRDefault="001217FA" w:rsidP="0099353B">
      <w:pPr>
        <w:jc w:val="both"/>
        <w:rPr>
          <w:rFonts w:ascii="Arial" w:hAnsi="Arial" w:cs="Arial"/>
          <w:sz w:val="20"/>
        </w:rPr>
      </w:pPr>
      <w:r>
        <w:rPr>
          <w:rFonts w:ascii="Arial" w:hAnsi="Arial" w:cs="Arial"/>
          <w:sz w:val="20"/>
        </w:rPr>
        <w:t xml:space="preserve">Further, </w:t>
      </w:r>
      <w:r w:rsidR="007C4486">
        <w:rPr>
          <w:rFonts w:ascii="Arial" w:hAnsi="Arial" w:cs="Arial"/>
          <w:sz w:val="20"/>
        </w:rPr>
        <w:t>there are two additional powers in relation to use of a complainant’s recorded statement which was produced for the purposes of a charge for a family violence offence:</w:t>
      </w:r>
    </w:p>
    <w:p w14:paraId="271E0B61" w14:textId="599564D7" w:rsidR="007C4486" w:rsidRDefault="007C4486" w:rsidP="00D772F0">
      <w:pPr>
        <w:pStyle w:val="ListParagraph"/>
        <w:numPr>
          <w:ilvl w:val="0"/>
          <w:numId w:val="49"/>
        </w:numPr>
        <w:ind w:left="357" w:hanging="357"/>
        <w:jc w:val="both"/>
        <w:rPr>
          <w:rFonts w:ascii="Arial" w:hAnsi="Arial" w:cs="Arial"/>
          <w:sz w:val="20"/>
        </w:rPr>
      </w:pPr>
      <w:r>
        <w:rPr>
          <w:rFonts w:ascii="Arial" w:hAnsi="Arial" w:cs="Arial"/>
          <w:sz w:val="20"/>
        </w:rPr>
        <w:t xml:space="preserve">s.387J provides that a court or tribunal may order that such a recorded statement be produced for use in </w:t>
      </w:r>
      <w:r w:rsidR="00946FDE">
        <w:rPr>
          <w:rFonts w:ascii="Arial" w:hAnsi="Arial" w:cs="Arial"/>
          <w:sz w:val="20"/>
        </w:rPr>
        <w:t>any proceeding – whether or not the proceeding relates to a charge for a family violence offence – if the court or tribunal is satisfied that it is in the interests of justice to do so; and</w:t>
      </w:r>
    </w:p>
    <w:p w14:paraId="534A78E7" w14:textId="408CF701" w:rsidR="00946FDE" w:rsidRPr="007C4486" w:rsidRDefault="00946FDE" w:rsidP="00D772F0">
      <w:pPr>
        <w:pStyle w:val="ListParagraph"/>
        <w:numPr>
          <w:ilvl w:val="0"/>
          <w:numId w:val="49"/>
        </w:numPr>
        <w:ind w:left="357" w:hanging="357"/>
        <w:jc w:val="both"/>
        <w:rPr>
          <w:rFonts w:ascii="Arial" w:hAnsi="Arial" w:cs="Arial"/>
          <w:sz w:val="20"/>
        </w:rPr>
      </w:pPr>
      <w:r>
        <w:rPr>
          <w:rFonts w:ascii="Arial" w:hAnsi="Arial" w:cs="Arial"/>
          <w:sz w:val="20"/>
        </w:rPr>
        <w:t>s.387K(2) provides that such a recorded statement may be used as evidence in a proceeding for a family violence intervention order in the circumstances set out in s.387K(1).</w:t>
      </w:r>
    </w:p>
    <w:p w14:paraId="16846F0D" w14:textId="77777777" w:rsidR="009B2C8B" w:rsidRDefault="009B2C8B" w:rsidP="0099353B">
      <w:pPr>
        <w:jc w:val="both"/>
        <w:rPr>
          <w:rFonts w:ascii="Arial" w:hAnsi="Arial" w:cs="Arial"/>
          <w:sz w:val="20"/>
        </w:rPr>
      </w:pPr>
    </w:p>
    <w:p w14:paraId="6FDE5B1A" w14:textId="77777777" w:rsidR="009D1D64" w:rsidRPr="00BD3BA0" w:rsidRDefault="009D1D64" w:rsidP="009D1D64">
      <w:pPr>
        <w:jc w:val="center"/>
        <w:rPr>
          <w:rFonts w:ascii="Arial" w:hAnsi="Arial" w:cs="Arial"/>
          <w:b/>
          <w:bCs/>
          <w:sz w:val="22"/>
          <w:szCs w:val="28"/>
        </w:rPr>
      </w:pPr>
      <w:r w:rsidRPr="00BD3BA0">
        <w:rPr>
          <w:rFonts w:ascii="Arial" w:hAnsi="Arial" w:cs="Arial"/>
          <w:b/>
          <w:bCs/>
          <w:sz w:val="22"/>
          <w:szCs w:val="28"/>
        </w:rPr>
        <w:t>THE REST OF THIS PAGE IS BLANK</w:t>
      </w:r>
    </w:p>
    <w:p w14:paraId="4059EEE1" w14:textId="77777777" w:rsidR="009D1D64" w:rsidRDefault="009D1D64" w:rsidP="009D1D64">
      <w:pPr>
        <w:rPr>
          <w:rFonts w:ascii="Arial" w:hAnsi="Arial" w:cs="Arial"/>
          <w:sz w:val="20"/>
        </w:rPr>
      </w:pPr>
    </w:p>
    <w:p w14:paraId="0C92B302" w14:textId="77777777" w:rsidR="009D1D64" w:rsidRDefault="009D1D64">
      <w:pPr>
        <w:rPr>
          <w:rFonts w:ascii="Arial" w:hAnsi="Arial" w:cs="Arial"/>
          <w:b/>
          <w:bCs/>
          <w:color w:val="000000"/>
          <w:kern w:val="28"/>
          <w:sz w:val="20"/>
          <w:szCs w:val="20"/>
          <w:lang w:val="en-GB"/>
        </w:rPr>
      </w:pPr>
      <w:bookmarkStart w:id="806" w:name="_3.5.9_Production_of"/>
      <w:bookmarkStart w:id="807" w:name="B359"/>
      <w:bookmarkEnd w:id="806"/>
      <w:bookmarkEnd w:id="807"/>
      <w:r>
        <w:rPr>
          <w:rFonts w:ascii="Arial" w:hAnsi="Arial" w:cs="Arial"/>
          <w:b/>
          <w:bCs/>
          <w:color w:val="000000"/>
          <w:sz w:val="20"/>
        </w:rPr>
        <w:br w:type="page"/>
      </w:r>
    </w:p>
    <w:p w14:paraId="11017296" w14:textId="3CD9DA26" w:rsidR="0099353B" w:rsidRPr="009F25D4" w:rsidRDefault="0099353B" w:rsidP="0099353B">
      <w:pPr>
        <w:pStyle w:val="Heading3"/>
        <w:keepNext/>
        <w:spacing w:after="120" w:line="240" w:lineRule="auto"/>
        <w:rPr>
          <w:rFonts w:ascii="Arial" w:hAnsi="Arial" w:cs="Arial"/>
          <w:b/>
          <w:bCs/>
          <w:color w:val="000000"/>
          <w:sz w:val="20"/>
        </w:rPr>
      </w:pPr>
      <w:r w:rsidRPr="009F25D4">
        <w:rPr>
          <w:rFonts w:ascii="Arial" w:hAnsi="Arial" w:cs="Arial"/>
          <w:b/>
          <w:bCs/>
          <w:color w:val="000000"/>
          <w:sz w:val="20"/>
        </w:rPr>
        <w:lastRenderedPageBreak/>
        <w:t>3.5.</w:t>
      </w:r>
      <w:r w:rsidR="00F25FA2" w:rsidRPr="009F25D4">
        <w:rPr>
          <w:rFonts w:ascii="Arial" w:hAnsi="Arial" w:cs="Arial"/>
          <w:b/>
          <w:bCs/>
          <w:color w:val="000000"/>
          <w:sz w:val="20"/>
        </w:rPr>
        <w:t>9</w:t>
      </w:r>
      <w:r w:rsidRPr="009F25D4">
        <w:rPr>
          <w:rFonts w:ascii="Arial" w:hAnsi="Arial" w:cs="Arial"/>
          <w:b/>
          <w:bCs/>
          <w:color w:val="000000"/>
          <w:sz w:val="20"/>
        </w:rPr>
        <w:tab/>
      </w:r>
      <w:r w:rsidR="00E47354" w:rsidRPr="009F25D4">
        <w:rPr>
          <w:rFonts w:ascii="Arial" w:hAnsi="Arial" w:cs="Arial"/>
          <w:b/>
          <w:bCs/>
          <w:color w:val="000000"/>
          <w:sz w:val="20"/>
        </w:rPr>
        <w:t>Production of documents</w:t>
      </w:r>
      <w:r w:rsidR="001F1C85" w:rsidRPr="009F25D4">
        <w:rPr>
          <w:rFonts w:ascii="Arial" w:hAnsi="Arial" w:cs="Arial"/>
          <w:b/>
          <w:bCs/>
          <w:color w:val="000000"/>
          <w:sz w:val="20"/>
        </w:rPr>
        <w:t xml:space="preserve"> in </w:t>
      </w:r>
      <w:r w:rsidRPr="009F25D4">
        <w:rPr>
          <w:rFonts w:ascii="Arial" w:hAnsi="Arial" w:cs="Arial"/>
          <w:b/>
          <w:bCs/>
          <w:color w:val="000000"/>
          <w:sz w:val="20"/>
        </w:rPr>
        <w:t>cases in the Children’s Court</w:t>
      </w:r>
    </w:p>
    <w:p w14:paraId="7F9596C4" w14:textId="1906961F" w:rsidR="000F47B2" w:rsidRPr="009F25D4" w:rsidRDefault="0076262B" w:rsidP="00F76DC6">
      <w:pPr>
        <w:jc w:val="both"/>
        <w:rPr>
          <w:rFonts w:ascii="Arial" w:hAnsi="Arial" w:cs="Arial"/>
          <w:color w:val="000000"/>
          <w:sz w:val="20"/>
        </w:rPr>
      </w:pPr>
      <w:r w:rsidRPr="009F25D4">
        <w:rPr>
          <w:rFonts w:ascii="Arial" w:hAnsi="Arial" w:cs="Arial"/>
          <w:color w:val="000000"/>
          <w:sz w:val="20"/>
        </w:rPr>
        <w:t>It is becoming increasingly common</w:t>
      </w:r>
      <w:r w:rsidR="00704573" w:rsidRPr="009F25D4">
        <w:rPr>
          <w:rFonts w:ascii="Arial" w:hAnsi="Arial" w:cs="Arial"/>
          <w:color w:val="000000"/>
          <w:sz w:val="20"/>
        </w:rPr>
        <w:t xml:space="preserve"> in the Children’s Court </w:t>
      </w:r>
      <w:r w:rsidRPr="009F25D4">
        <w:rPr>
          <w:rFonts w:ascii="Arial" w:hAnsi="Arial" w:cs="Arial"/>
          <w:color w:val="000000"/>
          <w:sz w:val="20"/>
        </w:rPr>
        <w:t xml:space="preserve">for parties to </w:t>
      </w:r>
      <w:r w:rsidR="008A5C71" w:rsidRPr="009F25D4">
        <w:rPr>
          <w:rFonts w:ascii="Arial" w:hAnsi="Arial" w:cs="Arial"/>
          <w:color w:val="000000"/>
          <w:sz w:val="20"/>
        </w:rPr>
        <w:t>obtain</w:t>
      </w:r>
      <w:r w:rsidR="00E47354" w:rsidRPr="009F25D4">
        <w:rPr>
          <w:rFonts w:ascii="Arial" w:hAnsi="Arial" w:cs="Arial"/>
          <w:color w:val="000000"/>
          <w:sz w:val="20"/>
        </w:rPr>
        <w:t xml:space="preserve"> production of </w:t>
      </w:r>
      <w:r w:rsidR="00704573" w:rsidRPr="009F25D4">
        <w:rPr>
          <w:rFonts w:ascii="Arial" w:hAnsi="Arial" w:cs="Arial"/>
          <w:color w:val="000000"/>
          <w:sz w:val="20"/>
        </w:rPr>
        <w:t>documents</w:t>
      </w:r>
      <w:r w:rsidR="009A5215" w:rsidRPr="009F25D4">
        <w:rPr>
          <w:rFonts w:ascii="Arial" w:hAnsi="Arial" w:cs="Arial"/>
          <w:color w:val="000000"/>
          <w:sz w:val="20"/>
        </w:rPr>
        <w:t xml:space="preserve"> in the possession of the prosecuting agency</w:t>
      </w:r>
      <w:r w:rsidR="00704573" w:rsidRPr="009F25D4">
        <w:rPr>
          <w:rFonts w:ascii="Arial" w:hAnsi="Arial" w:cs="Arial"/>
          <w:color w:val="000000"/>
          <w:sz w:val="20"/>
        </w:rPr>
        <w:t>, including D</w:t>
      </w:r>
      <w:r w:rsidR="000F6855">
        <w:rPr>
          <w:rFonts w:ascii="Arial" w:hAnsi="Arial" w:cs="Arial"/>
          <w:color w:val="000000"/>
          <w:sz w:val="20"/>
        </w:rPr>
        <w:t>FFH’s</w:t>
      </w:r>
      <w:r w:rsidR="00704573" w:rsidRPr="009F25D4">
        <w:rPr>
          <w:rFonts w:ascii="Arial" w:hAnsi="Arial" w:cs="Arial"/>
          <w:color w:val="000000"/>
          <w:sz w:val="20"/>
        </w:rPr>
        <w:t xml:space="preserve"> files</w:t>
      </w:r>
      <w:r w:rsidR="008A5C71" w:rsidRPr="009F25D4">
        <w:rPr>
          <w:rFonts w:ascii="Arial" w:hAnsi="Arial" w:cs="Arial"/>
          <w:color w:val="000000"/>
          <w:sz w:val="20"/>
        </w:rPr>
        <w:t>, D</w:t>
      </w:r>
      <w:r w:rsidR="000F6855">
        <w:rPr>
          <w:rFonts w:ascii="Arial" w:hAnsi="Arial" w:cs="Arial"/>
          <w:color w:val="000000"/>
          <w:sz w:val="20"/>
        </w:rPr>
        <w:t>FFH’s</w:t>
      </w:r>
      <w:r w:rsidR="008A5C71" w:rsidRPr="009F25D4">
        <w:rPr>
          <w:rFonts w:ascii="Arial" w:hAnsi="Arial" w:cs="Arial"/>
          <w:color w:val="000000"/>
          <w:sz w:val="20"/>
        </w:rPr>
        <w:t xml:space="preserve"> “notes”</w:t>
      </w:r>
      <w:r w:rsidR="00704573" w:rsidRPr="009F25D4">
        <w:rPr>
          <w:rFonts w:ascii="Arial" w:hAnsi="Arial" w:cs="Arial"/>
          <w:color w:val="000000"/>
          <w:sz w:val="20"/>
        </w:rPr>
        <w:t xml:space="preserve"> and Victoria police files.</w:t>
      </w:r>
      <w:r w:rsidR="00C213EF" w:rsidRPr="009F25D4">
        <w:rPr>
          <w:rFonts w:ascii="Arial" w:hAnsi="Arial" w:cs="Arial"/>
          <w:color w:val="000000"/>
          <w:sz w:val="20"/>
        </w:rPr>
        <w:t xml:space="preserve">  Sometimes th</w:t>
      </w:r>
      <w:r w:rsidR="009A5215" w:rsidRPr="009F25D4">
        <w:rPr>
          <w:rFonts w:ascii="Arial" w:hAnsi="Arial" w:cs="Arial"/>
          <w:color w:val="000000"/>
          <w:sz w:val="20"/>
        </w:rPr>
        <w:t xml:space="preserve">ese are obtained </w:t>
      </w:r>
      <w:r w:rsidR="00690B6B" w:rsidRPr="009F25D4">
        <w:rPr>
          <w:rFonts w:ascii="Arial" w:hAnsi="Arial" w:cs="Arial"/>
          <w:color w:val="000000"/>
          <w:sz w:val="20"/>
        </w:rPr>
        <w:t>by means of</w:t>
      </w:r>
      <w:r w:rsidR="00C213EF" w:rsidRPr="009F25D4">
        <w:rPr>
          <w:rFonts w:ascii="Arial" w:hAnsi="Arial" w:cs="Arial"/>
          <w:color w:val="000000"/>
          <w:sz w:val="20"/>
        </w:rPr>
        <w:t xml:space="preserve"> </w:t>
      </w:r>
      <w:r w:rsidR="00875597">
        <w:rPr>
          <w:rFonts w:ascii="Arial" w:hAnsi="Arial" w:cs="Arial"/>
          <w:color w:val="000000"/>
          <w:sz w:val="20"/>
        </w:rPr>
        <w:t xml:space="preserve">a </w:t>
      </w:r>
      <w:r w:rsidR="00C213EF" w:rsidRPr="009F25D4">
        <w:rPr>
          <w:rFonts w:ascii="Arial" w:hAnsi="Arial" w:cs="Arial"/>
          <w:color w:val="000000"/>
          <w:sz w:val="20"/>
        </w:rPr>
        <w:t>subpoena</w:t>
      </w:r>
      <w:r w:rsidR="00875597">
        <w:rPr>
          <w:rFonts w:ascii="Arial" w:hAnsi="Arial" w:cs="Arial"/>
          <w:color w:val="000000"/>
          <w:sz w:val="20"/>
        </w:rPr>
        <w:t xml:space="preserve"> issued under s.532 CYFA</w:t>
      </w:r>
      <w:r w:rsidR="002307C4">
        <w:rPr>
          <w:rFonts w:ascii="Arial" w:hAnsi="Arial" w:cs="Arial"/>
          <w:color w:val="000000"/>
          <w:sz w:val="20"/>
        </w:rPr>
        <w:t xml:space="preserve">, as to which see </w:t>
      </w:r>
      <w:r w:rsidR="002307C4" w:rsidRPr="00A975E6">
        <w:rPr>
          <w:rFonts w:ascii="Arial" w:hAnsi="Arial" w:cs="Arial"/>
          <w:b/>
          <w:bCs/>
          <w:color w:val="000000"/>
          <w:sz w:val="20"/>
          <w:shd w:val="clear" w:color="auto" w:fill="C5E0B3" w:themeFill="accent6" w:themeFillTint="66"/>
        </w:rPr>
        <w:t>section 3.5.10</w:t>
      </w:r>
      <w:r w:rsidR="002307C4">
        <w:rPr>
          <w:rFonts w:ascii="Arial" w:hAnsi="Arial" w:cs="Arial"/>
          <w:color w:val="000000"/>
          <w:sz w:val="20"/>
        </w:rPr>
        <w:t xml:space="preserve"> below</w:t>
      </w:r>
      <w:r w:rsidR="00C213EF" w:rsidRPr="009F25D4">
        <w:rPr>
          <w:rFonts w:ascii="Arial" w:hAnsi="Arial" w:cs="Arial"/>
          <w:color w:val="000000"/>
          <w:sz w:val="20"/>
        </w:rPr>
        <w:t xml:space="preserve">.  In the Criminal Division </w:t>
      </w:r>
      <w:r w:rsidR="009A5215" w:rsidRPr="009F25D4">
        <w:rPr>
          <w:rFonts w:ascii="Arial" w:hAnsi="Arial" w:cs="Arial"/>
          <w:color w:val="000000"/>
          <w:sz w:val="20"/>
        </w:rPr>
        <w:t xml:space="preserve">they are usually obtained pursuant to the </w:t>
      </w:r>
      <w:r w:rsidR="001F1C85" w:rsidRPr="009F25D4">
        <w:rPr>
          <w:rFonts w:ascii="Arial" w:hAnsi="Arial" w:cs="Arial"/>
          <w:color w:val="000000"/>
          <w:sz w:val="20"/>
        </w:rPr>
        <w:t>“Pre-hearing disclosure” provisions of ss.35</w:t>
      </w:r>
      <w:r w:rsidR="00875597">
        <w:rPr>
          <w:rFonts w:ascii="Arial" w:hAnsi="Arial" w:cs="Arial"/>
          <w:color w:val="000000"/>
          <w:sz w:val="20"/>
        </w:rPr>
        <w:t>-</w:t>
      </w:r>
      <w:r w:rsidR="001F1C85" w:rsidRPr="009F25D4">
        <w:rPr>
          <w:rFonts w:ascii="Arial" w:hAnsi="Arial" w:cs="Arial"/>
          <w:color w:val="000000"/>
          <w:sz w:val="20"/>
        </w:rPr>
        <w:t xml:space="preserve">49 &amp; 107-117 of the </w:t>
      </w:r>
      <w:r w:rsidR="001F1C85" w:rsidRPr="00A82F40">
        <w:rPr>
          <w:rFonts w:ascii="Arial" w:hAnsi="Arial" w:cs="Arial"/>
          <w:i/>
          <w:iCs/>
          <w:color w:val="000000"/>
          <w:sz w:val="20"/>
        </w:rPr>
        <w:t>Criminal Procedure Act 2009</w:t>
      </w:r>
      <w:r w:rsidR="001F1C85" w:rsidRPr="009F25D4">
        <w:rPr>
          <w:rFonts w:ascii="Arial" w:hAnsi="Arial" w:cs="Arial"/>
          <w:color w:val="000000"/>
          <w:sz w:val="20"/>
        </w:rPr>
        <w:t>.  In</w:t>
      </w:r>
      <w:r w:rsidR="005F285B">
        <w:rPr>
          <w:rFonts w:ascii="Arial" w:hAnsi="Arial" w:cs="Arial"/>
          <w:color w:val="000000"/>
          <w:sz w:val="20"/>
        </w:rPr>
        <w:t xml:space="preserve"> </w:t>
      </w:r>
      <w:r w:rsidR="001F1C85" w:rsidRPr="009F25D4">
        <w:rPr>
          <w:rFonts w:ascii="Arial" w:hAnsi="Arial" w:cs="Arial"/>
          <w:color w:val="000000"/>
          <w:sz w:val="20"/>
        </w:rPr>
        <w:t xml:space="preserve">“apprehension cases” in the Family Division </w:t>
      </w:r>
      <w:r w:rsidR="009A5215" w:rsidRPr="009F25D4">
        <w:rPr>
          <w:rFonts w:ascii="Arial" w:hAnsi="Arial" w:cs="Arial"/>
          <w:color w:val="000000"/>
          <w:sz w:val="20"/>
        </w:rPr>
        <w:t>they are</w:t>
      </w:r>
      <w:r w:rsidR="001F1C85" w:rsidRPr="009F25D4">
        <w:rPr>
          <w:rFonts w:ascii="Arial" w:hAnsi="Arial" w:cs="Arial"/>
          <w:color w:val="000000"/>
          <w:sz w:val="20"/>
        </w:rPr>
        <w:t xml:space="preserve"> usually </w:t>
      </w:r>
      <w:r w:rsidR="009A5215" w:rsidRPr="009F25D4">
        <w:rPr>
          <w:rFonts w:ascii="Arial" w:hAnsi="Arial" w:cs="Arial"/>
          <w:color w:val="000000"/>
          <w:sz w:val="20"/>
        </w:rPr>
        <w:t>obtained</w:t>
      </w:r>
      <w:r w:rsidR="001F1C85" w:rsidRPr="009F25D4">
        <w:rPr>
          <w:rFonts w:ascii="Arial" w:hAnsi="Arial" w:cs="Arial"/>
          <w:color w:val="000000"/>
          <w:sz w:val="20"/>
        </w:rPr>
        <w:t xml:space="preserve"> by what is colloquially referred to as a “</w:t>
      </w:r>
      <w:r w:rsidR="008A5C71" w:rsidRPr="009F25D4">
        <w:rPr>
          <w:rFonts w:ascii="Arial" w:hAnsi="Arial" w:cs="Arial"/>
          <w:color w:val="000000"/>
          <w:sz w:val="20"/>
        </w:rPr>
        <w:t>request</w:t>
      </w:r>
      <w:r w:rsidR="001F1C85" w:rsidRPr="009F25D4">
        <w:rPr>
          <w:rFonts w:ascii="Arial" w:hAnsi="Arial" w:cs="Arial"/>
          <w:color w:val="000000"/>
          <w:sz w:val="20"/>
        </w:rPr>
        <w:t xml:space="preserve"> for notes”.</w:t>
      </w:r>
    </w:p>
    <w:p w14:paraId="28C5D8D6" w14:textId="7E13A05D" w:rsidR="00E47354" w:rsidRDefault="00E47354" w:rsidP="00E47354">
      <w:pPr>
        <w:jc w:val="both"/>
        <w:rPr>
          <w:rFonts w:ascii="Arial" w:hAnsi="Arial" w:cs="Arial"/>
          <w:color w:val="000000"/>
          <w:sz w:val="20"/>
        </w:rPr>
      </w:pPr>
    </w:p>
    <w:p w14:paraId="51FC16F4" w14:textId="28AB800C" w:rsidR="00065DFE" w:rsidRDefault="007B441D" w:rsidP="00E47354">
      <w:pPr>
        <w:jc w:val="both"/>
        <w:rPr>
          <w:rFonts w:ascii="Arial" w:hAnsi="Arial" w:cs="Arial"/>
          <w:color w:val="000000"/>
          <w:sz w:val="20"/>
        </w:rPr>
      </w:pPr>
      <w:r>
        <w:rPr>
          <w:rFonts w:ascii="Arial" w:hAnsi="Arial" w:cs="Arial"/>
          <w:color w:val="000000"/>
          <w:sz w:val="20"/>
        </w:rPr>
        <w:t xml:space="preserve">Documents obtained as a result of the compulsory processes of the court may only be used for the purposes for which they were disclosed and must not be used for a collateral or ulterior purpose without leave of the court.  This is the so-called </w:t>
      </w:r>
      <w:r w:rsidRPr="00DC3234">
        <w:rPr>
          <w:rFonts w:ascii="Arial" w:hAnsi="Arial" w:cs="Arial"/>
          <w:i/>
          <w:iCs/>
          <w:color w:val="000000"/>
          <w:sz w:val="20"/>
        </w:rPr>
        <w:t>Harman</w:t>
      </w:r>
      <w:r>
        <w:rPr>
          <w:rFonts w:ascii="Arial" w:hAnsi="Arial" w:cs="Arial"/>
          <w:color w:val="000000"/>
          <w:sz w:val="20"/>
        </w:rPr>
        <w:t xml:space="preserve"> undertaking, an implied undertaking whose name derives from </w:t>
      </w:r>
      <w:r w:rsidR="00065DFE">
        <w:rPr>
          <w:rFonts w:ascii="Arial" w:hAnsi="Arial" w:cs="Arial"/>
          <w:color w:val="000000"/>
          <w:sz w:val="20"/>
        </w:rPr>
        <w:t xml:space="preserve">the decision of the Court of Appeal in </w:t>
      </w:r>
      <w:r w:rsidR="00065DFE" w:rsidRPr="007B441D">
        <w:rPr>
          <w:rFonts w:ascii="Arial" w:hAnsi="Arial" w:cs="Arial"/>
          <w:i/>
          <w:iCs/>
          <w:color w:val="000000"/>
          <w:sz w:val="20"/>
        </w:rPr>
        <w:t xml:space="preserve">Harman v Secretary of State for </w:t>
      </w:r>
      <w:r>
        <w:rPr>
          <w:rFonts w:ascii="Arial" w:hAnsi="Arial" w:cs="Arial"/>
          <w:i/>
          <w:iCs/>
          <w:color w:val="000000"/>
          <w:sz w:val="20"/>
        </w:rPr>
        <w:t xml:space="preserve">the </w:t>
      </w:r>
      <w:r w:rsidR="00065DFE" w:rsidRPr="007B441D">
        <w:rPr>
          <w:rFonts w:ascii="Arial" w:hAnsi="Arial" w:cs="Arial"/>
          <w:i/>
          <w:iCs/>
          <w:color w:val="000000"/>
          <w:sz w:val="20"/>
        </w:rPr>
        <w:t>Home Department</w:t>
      </w:r>
      <w:r w:rsidR="00065DFE">
        <w:rPr>
          <w:rFonts w:ascii="Arial" w:hAnsi="Arial" w:cs="Arial"/>
          <w:color w:val="000000"/>
          <w:sz w:val="20"/>
        </w:rPr>
        <w:t xml:space="preserve"> [1983] 1 AC 280</w:t>
      </w:r>
      <w:r>
        <w:rPr>
          <w:rFonts w:ascii="Arial" w:hAnsi="Arial" w:cs="Arial"/>
          <w:color w:val="000000"/>
          <w:sz w:val="20"/>
        </w:rPr>
        <w:t xml:space="preserve">, and </w:t>
      </w:r>
      <w:r w:rsidR="0084573E">
        <w:rPr>
          <w:rFonts w:ascii="Arial" w:hAnsi="Arial" w:cs="Arial"/>
          <w:color w:val="000000"/>
          <w:sz w:val="20"/>
        </w:rPr>
        <w:t xml:space="preserve">which is </w:t>
      </w:r>
      <w:r>
        <w:rPr>
          <w:rFonts w:ascii="Arial" w:hAnsi="Arial" w:cs="Arial"/>
          <w:color w:val="000000"/>
          <w:sz w:val="20"/>
        </w:rPr>
        <w:t xml:space="preserve">now recognised in Australia </w:t>
      </w:r>
      <w:r w:rsidR="0084573E">
        <w:rPr>
          <w:rFonts w:ascii="Arial" w:hAnsi="Arial" w:cs="Arial"/>
          <w:color w:val="000000"/>
          <w:sz w:val="20"/>
        </w:rPr>
        <w:t xml:space="preserve">as a </w:t>
      </w:r>
      <w:r w:rsidR="0084573E" w:rsidRPr="0084573E">
        <w:rPr>
          <w:rFonts w:ascii="Arial" w:hAnsi="Arial" w:cs="Arial"/>
          <w:color w:val="000000"/>
          <w:sz w:val="20"/>
          <w:szCs w:val="20"/>
          <w:shd w:val="clear" w:color="auto" w:fill="FFFFFF"/>
        </w:rPr>
        <w:t>substantive legal obligation</w:t>
      </w:r>
      <w:r w:rsidR="0084573E">
        <w:rPr>
          <w:rFonts w:ascii="Arial" w:hAnsi="Arial" w:cs="Arial"/>
          <w:color w:val="000000"/>
          <w:sz w:val="20"/>
          <w:szCs w:val="20"/>
          <w:shd w:val="clear" w:color="auto" w:fill="FFFFFF"/>
        </w:rPr>
        <w:t>: see</w:t>
      </w:r>
      <w:r>
        <w:rPr>
          <w:rFonts w:ascii="Arial" w:hAnsi="Arial" w:cs="Arial"/>
          <w:color w:val="000000"/>
          <w:sz w:val="20"/>
        </w:rPr>
        <w:t xml:space="preserve"> </w:t>
      </w:r>
      <w:r w:rsidRPr="007B441D">
        <w:rPr>
          <w:rFonts w:ascii="Arial" w:hAnsi="Arial" w:cs="Arial"/>
          <w:i/>
          <w:iCs/>
          <w:color w:val="000000"/>
          <w:sz w:val="20"/>
        </w:rPr>
        <w:t>Hearne v Street</w:t>
      </w:r>
      <w:r>
        <w:rPr>
          <w:rFonts w:ascii="Arial" w:hAnsi="Arial" w:cs="Arial"/>
          <w:color w:val="000000"/>
          <w:sz w:val="20"/>
        </w:rPr>
        <w:t xml:space="preserve"> (2008) 235 CLR 125 at [</w:t>
      </w:r>
      <w:r w:rsidR="0084573E">
        <w:rPr>
          <w:rFonts w:ascii="Arial" w:hAnsi="Arial" w:cs="Arial"/>
          <w:color w:val="000000"/>
          <w:sz w:val="20"/>
        </w:rPr>
        <w:t>96</w:t>
      </w:r>
      <w:r>
        <w:rPr>
          <w:rFonts w:ascii="Arial" w:hAnsi="Arial" w:cs="Arial"/>
          <w:color w:val="000000"/>
          <w:sz w:val="20"/>
        </w:rPr>
        <w:t xml:space="preserve">] per </w:t>
      </w:r>
      <w:r w:rsidR="0084573E">
        <w:rPr>
          <w:rFonts w:ascii="Arial" w:hAnsi="Arial" w:cs="Arial"/>
          <w:color w:val="000000"/>
          <w:sz w:val="20"/>
        </w:rPr>
        <w:t>Hayne, Heydon &amp; Crennan JJ [citations omitted]:</w:t>
      </w:r>
    </w:p>
    <w:p w14:paraId="0A5ECA48" w14:textId="08463696" w:rsidR="00065DFE" w:rsidRPr="0084573E" w:rsidRDefault="0084573E" w:rsidP="00DC3234">
      <w:pPr>
        <w:spacing w:before="60"/>
        <w:ind w:left="454" w:right="454"/>
        <w:jc w:val="both"/>
        <w:rPr>
          <w:rFonts w:ascii="Arial" w:hAnsi="Arial" w:cs="Arial"/>
          <w:color w:val="000000"/>
          <w:spacing w:val="8"/>
          <w:sz w:val="20"/>
          <w:szCs w:val="20"/>
          <w:lang w:eastAsia="en-AU"/>
        </w:rPr>
      </w:pPr>
      <w:r>
        <w:rPr>
          <w:rFonts w:ascii="Arial" w:hAnsi="Arial" w:cs="Arial"/>
          <w:iCs/>
          <w:color w:val="000000"/>
          <w:sz w:val="20"/>
        </w:rPr>
        <w:t>“</w:t>
      </w:r>
      <w:r w:rsidRPr="0084573E">
        <w:rPr>
          <w:rFonts w:ascii="Arial" w:hAnsi="Arial" w:cs="Arial"/>
          <w:color w:val="000000"/>
          <w:sz w:val="20"/>
          <w:szCs w:val="20"/>
          <w:shd w:val="clear" w:color="auto" w:fill="FFFFFF"/>
        </w:rPr>
        <w:t>Where</w:t>
      </w:r>
      <w:r>
        <w:rPr>
          <w:rFonts w:ascii="Arial" w:hAnsi="Arial" w:cs="Arial"/>
          <w:color w:val="000000"/>
          <w:sz w:val="20"/>
          <w:szCs w:val="20"/>
          <w:shd w:val="clear" w:color="auto" w:fill="FFFFFF"/>
        </w:rPr>
        <w:t xml:space="preserve"> </w:t>
      </w:r>
      <w:r w:rsidRPr="0084573E">
        <w:rPr>
          <w:rFonts w:ascii="Arial" w:hAnsi="Arial" w:cs="Arial"/>
          <w:color w:val="000000" w:themeColor="text1"/>
          <w:sz w:val="20"/>
          <w:szCs w:val="20"/>
          <w:shd w:val="clear" w:color="auto" w:fill="FFFFFF"/>
        </w:rPr>
        <w:t>one party to litigation</w:t>
      </w:r>
      <w:r w:rsidRPr="0084573E">
        <w:rPr>
          <w:rFonts w:ascii="Arial" w:hAnsi="Arial" w:cs="Arial"/>
          <w:color w:val="000000"/>
          <w:sz w:val="20"/>
          <w:szCs w:val="20"/>
          <w:shd w:val="clear" w:color="auto" w:fill="FFFFFF"/>
        </w:rPr>
        <w:t xml:space="preserve"> is compelled, either by reason of a rule of court, or by reason of a specific order of the court, or otherwise, to disclose documents or information, the party obtaining the disclosure cannot, without the leave of the court, use it for any purpose other than that for which it was given unless it is received into evidence.</w:t>
      </w:r>
      <w:r>
        <w:rPr>
          <w:rFonts w:ascii="Arial" w:hAnsi="Arial" w:cs="Arial"/>
          <w:color w:val="000000"/>
          <w:sz w:val="20"/>
          <w:szCs w:val="20"/>
          <w:shd w:val="clear" w:color="auto" w:fill="FFFFFF"/>
        </w:rPr>
        <w:t xml:space="preserve"> </w:t>
      </w:r>
      <w:r w:rsidRPr="0084573E">
        <w:rPr>
          <w:rFonts w:ascii="Arial" w:hAnsi="Arial" w:cs="Arial"/>
          <w:color w:val="000000"/>
          <w:sz w:val="20"/>
          <w:szCs w:val="20"/>
          <w:shd w:val="clear" w:color="auto" w:fill="FFFFFF"/>
        </w:rPr>
        <w:t xml:space="preserve"> The types of material disclosed to which this principle applies include documents inspected after discovery, answers to interrogatories, documents produced on subpoena, documents produced for the purposes of taxation of costs</w:t>
      </w:r>
      <w:bookmarkStart w:id="808" w:name="_ftnref70"/>
      <w:r w:rsidRPr="0084573E">
        <w:rPr>
          <w:rFonts w:ascii="Arial" w:hAnsi="Arial" w:cs="Arial"/>
          <w:sz w:val="20"/>
          <w:szCs w:val="20"/>
        </w:rPr>
        <w:fldChar w:fldCharType="begin"/>
      </w:r>
      <w:r w:rsidRPr="0084573E">
        <w:rPr>
          <w:rFonts w:ascii="Arial" w:hAnsi="Arial" w:cs="Arial"/>
          <w:sz w:val="20"/>
          <w:szCs w:val="20"/>
        </w:rPr>
        <w:instrText xml:space="preserve"> HYPERLINK "https://jade.io/" \l "_ftn70" \o "" </w:instrText>
      </w:r>
      <w:r w:rsidRPr="0084573E">
        <w:rPr>
          <w:rFonts w:ascii="Arial" w:hAnsi="Arial" w:cs="Arial"/>
          <w:sz w:val="20"/>
          <w:szCs w:val="20"/>
        </w:rPr>
      </w:r>
      <w:r w:rsidRPr="0084573E">
        <w:rPr>
          <w:rFonts w:ascii="Arial" w:hAnsi="Arial" w:cs="Arial"/>
          <w:sz w:val="20"/>
          <w:szCs w:val="20"/>
        </w:rPr>
        <w:fldChar w:fldCharType="separate"/>
      </w:r>
      <w:r w:rsidRPr="0084573E">
        <w:rPr>
          <w:rFonts w:ascii="Arial" w:hAnsi="Arial" w:cs="Arial"/>
          <w:sz w:val="20"/>
          <w:szCs w:val="20"/>
        </w:rPr>
        <w:fldChar w:fldCharType="end"/>
      </w:r>
      <w:bookmarkEnd w:id="808"/>
      <w:r w:rsidRPr="0084573E">
        <w:rPr>
          <w:rFonts w:ascii="Arial" w:hAnsi="Arial" w:cs="Arial"/>
          <w:color w:val="000000"/>
          <w:sz w:val="20"/>
          <w:szCs w:val="20"/>
          <w:shd w:val="clear" w:color="auto" w:fill="FFFFFF"/>
        </w:rPr>
        <w:t>, documents produced pursuant to a direction from an arbitrator, documents seized pursuant to an </w:t>
      </w:r>
      <w:r w:rsidRPr="0084573E">
        <w:rPr>
          <w:rFonts w:ascii="Arial" w:hAnsi="Arial" w:cs="Arial"/>
          <w:i/>
          <w:iCs/>
          <w:color w:val="000000"/>
          <w:sz w:val="20"/>
          <w:szCs w:val="20"/>
          <w:shd w:val="clear" w:color="auto" w:fill="FFFFFF"/>
        </w:rPr>
        <w:t>Anton Piller</w:t>
      </w:r>
      <w:r w:rsidRPr="0084573E">
        <w:rPr>
          <w:rFonts w:ascii="Arial" w:hAnsi="Arial" w:cs="Arial"/>
          <w:color w:val="000000"/>
          <w:sz w:val="20"/>
          <w:szCs w:val="20"/>
          <w:shd w:val="clear" w:color="auto" w:fill="FFFFFF"/>
        </w:rPr>
        <w:t> order, witness statements served pursuant to a judicial direction</w:t>
      </w:r>
      <w:r>
        <w:rPr>
          <w:rFonts w:ascii="Arial" w:hAnsi="Arial" w:cs="Arial"/>
          <w:sz w:val="20"/>
          <w:szCs w:val="20"/>
        </w:rPr>
        <w:t xml:space="preserve"> </w:t>
      </w:r>
      <w:r w:rsidRPr="0084573E">
        <w:rPr>
          <w:rFonts w:ascii="Arial" w:hAnsi="Arial" w:cs="Arial"/>
          <w:color w:val="000000"/>
          <w:sz w:val="20"/>
          <w:szCs w:val="20"/>
          <w:shd w:val="clear" w:color="auto" w:fill="FFFFFF"/>
        </w:rPr>
        <w:t>and affidavits.</w:t>
      </w:r>
      <w:r>
        <w:rPr>
          <w:rFonts w:ascii="Arial" w:hAnsi="Arial" w:cs="Arial"/>
          <w:color w:val="000000"/>
          <w:sz w:val="20"/>
          <w:szCs w:val="20"/>
          <w:shd w:val="clear" w:color="auto" w:fill="FFFFFF"/>
        </w:rPr>
        <w:t>”</w:t>
      </w:r>
    </w:p>
    <w:p w14:paraId="4B20423B" w14:textId="2F17E45A" w:rsidR="00F5217A" w:rsidRDefault="000C2C50" w:rsidP="000C2C50">
      <w:pPr>
        <w:spacing w:before="60"/>
        <w:jc w:val="both"/>
        <w:rPr>
          <w:rFonts w:ascii="Arial" w:hAnsi="Arial" w:cs="Arial"/>
          <w:color w:val="000000"/>
          <w:sz w:val="20"/>
        </w:rPr>
      </w:pPr>
      <w:r>
        <w:rPr>
          <w:rFonts w:ascii="Arial" w:hAnsi="Arial" w:cs="Arial"/>
          <w:color w:val="000000"/>
          <w:sz w:val="20"/>
        </w:rPr>
        <w:t xml:space="preserve">See also </w:t>
      </w:r>
      <w:r w:rsidRPr="000C2C50">
        <w:rPr>
          <w:rFonts w:ascii="Arial" w:hAnsi="Arial" w:cs="Arial"/>
          <w:i/>
          <w:iCs/>
          <w:sz w:val="20"/>
          <w:szCs w:val="20"/>
        </w:rPr>
        <w:t>Williams v TT Line</w:t>
      </w:r>
      <w:r w:rsidRPr="000C2C50">
        <w:rPr>
          <w:rFonts w:ascii="Arial" w:hAnsi="Arial" w:cs="Arial"/>
          <w:sz w:val="20"/>
          <w:szCs w:val="20"/>
        </w:rPr>
        <w:t xml:space="preserve"> [2021] VSC 150 at [31]</w:t>
      </w:r>
      <w:r w:rsidR="007C27F8">
        <w:rPr>
          <w:rFonts w:ascii="Arial" w:hAnsi="Arial" w:cs="Arial"/>
          <w:sz w:val="20"/>
          <w:szCs w:val="20"/>
        </w:rPr>
        <w:t>-</w:t>
      </w:r>
      <w:r w:rsidRPr="000C2C50">
        <w:rPr>
          <w:rFonts w:ascii="Arial" w:hAnsi="Arial" w:cs="Arial"/>
          <w:sz w:val="20"/>
          <w:szCs w:val="20"/>
        </w:rPr>
        <w:t>[36] per Digby J;</w:t>
      </w:r>
      <w:r w:rsidRPr="000C2C50">
        <w:rPr>
          <w:sz w:val="20"/>
          <w:szCs w:val="20"/>
        </w:rPr>
        <w:t xml:space="preserve"> </w:t>
      </w:r>
      <w:r w:rsidRPr="000C2C50">
        <w:rPr>
          <w:rFonts w:ascii="Arial" w:hAnsi="Arial" w:cs="Arial"/>
          <w:i/>
          <w:iCs/>
          <w:sz w:val="20"/>
          <w:szCs w:val="20"/>
        </w:rPr>
        <w:t>Williams v TT-Line (No 2)</w:t>
      </w:r>
      <w:r w:rsidRPr="000C2C50">
        <w:rPr>
          <w:rFonts w:ascii="Arial" w:hAnsi="Arial" w:cs="Arial"/>
          <w:sz w:val="20"/>
          <w:szCs w:val="20"/>
        </w:rPr>
        <w:t xml:space="preserve"> [2022] VSC 413 at [18]-[24] per Connock J.</w:t>
      </w:r>
    </w:p>
    <w:p w14:paraId="22656369" w14:textId="26A37874" w:rsidR="0084573E" w:rsidRDefault="0084573E" w:rsidP="00E47354">
      <w:pPr>
        <w:jc w:val="both"/>
        <w:rPr>
          <w:rFonts w:ascii="Arial" w:hAnsi="Arial" w:cs="Arial"/>
          <w:color w:val="000000"/>
          <w:sz w:val="20"/>
        </w:rPr>
      </w:pPr>
    </w:p>
    <w:p w14:paraId="6850D4A7" w14:textId="7F67CC4A" w:rsidR="0084573E" w:rsidRDefault="000C2C50" w:rsidP="00E47354">
      <w:pPr>
        <w:jc w:val="both"/>
        <w:rPr>
          <w:rFonts w:ascii="Arial" w:hAnsi="Arial" w:cs="Arial"/>
          <w:color w:val="000000"/>
          <w:sz w:val="20"/>
        </w:rPr>
      </w:pPr>
      <w:r>
        <w:rPr>
          <w:rFonts w:ascii="Arial" w:hAnsi="Arial" w:cs="Arial"/>
          <w:color w:val="000000"/>
          <w:sz w:val="20"/>
        </w:rPr>
        <w:t xml:space="preserve">In </w:t>
      </w:r>
      <w:r w:rsidRPr="000C2C50">
        <w:rPr>
          <w:rFonts w:ascii="Arial" w:hAnsi="Arial" w:cs="Arial"/>
          <w:i/>
          <w:iCs/>
          <w:color w:val="000000"/>
          <w:sz w:val="20"/>
        </w:rPr>
        <w:t>Re Clarinda Pty Ltd (in liq)</w:t>
      </w:r>
      <w:r>
        <w:rPr>
          <w:rFonts w:ascii="Arial" w:hAnsi="Arial" w:cs="Arial"/>
          <w:color w:val="000000"/>
          <w:sz w:val="20"/>
        </w:rPr>
        <w:t xml:space="preserve"> [2023] VSC 109 Connock J</w:t>
      </w:r>
      <w:r w:rsidR="007C27F8">
        <w:rPr>
          <w:rFonts w:ascii="Arial" w:hAnsi="Arial" w:cs="Arial"/>
          <w:color w:val="000000"/>
          <w:sz w:val="20"/>
        </w:rPr>
        <w:t>:</w:t>
      </w:r>
    </w:p>
    <w:p w14:paraId="559F98CC" w14:textId="53DCB199" w:rsidR="007C27F8" w:rsidRPr="00DC3234" w:rsidRDefault="00DC3234" w:rsidP="001A085A">
      <w:pPr>
        <w:pStyle w:val="ListParagraph"/>
        <w:numPr>
          <w:ilvl w:val="0"/>
          <w:numId w:val="49"/>
        </w:numPr>
        <w:ind w:left="357" w:hanging="357"/>
        <w:jc w:val="both"/>
        <w:rPr>
          <w:rFonts w:ascii="Arial" w:hAnsi="Arial" w:cs="Arial"/>
          <w:sz w:val="20"/>
        </w:rPr>
      </w:pPr>
      <w:r w:rsidRPr="00DC3234">
        <w:rPr>
          <w:rFonts w:ascii="Arial" w:hAnsi="Arial" w:cs="Arial"/>
          <w:sz w:val="20"/>
        </w:rPr>
        <w:t>noted at [39]</w:t>
      </w:r>
      <w:r w:rsidR="007C27F8" w:rsidRPr="00DC3234">
        <w:rPr>
          <w:rFonts w:ascii="Arial" w:hAnsi="Arial" w:cs="Arial"/>
          <w:sz w:val="20"/>
        </w:rPr>
        <w:t xml:space="preserve"> that only the court can release a party from the implied [</w:t>
      </w:r>
      <w:r w:rsidR="007C27F8" w:rsidRPr="00DC3234">
        <w:rPr>
          <w:rFonts w:ascii="Arial" w:hAnsi="Arial" w:cs="Arial"/>
          <w:i/>
          <w:iCs/>
          <w:sz w:val="20"/>
        </w:rPr>
        <w:t>Harman</w:t>
      </w:r>
      <w:r w:rsidR="007C27F8" w:rsidRPr="00DC3234">
        <w:rPr>
          <w:rFonts w:ascii="Arial" w:hAnsi="Arial" w:cs="Arial"/>
          <w:sz w:val="20"/>
        </w:rPr>
        <w:t>] undertaking</w:t>
      </w:r>
      <w:r w:rsidRPr="00DC3234">
        <w:rPr>
          <w:rFonts w:ascii="Arial" w:hAnsi="Arial" w:cs="Arial"/>
          <w:sz w:val="20"/>
        </w:rPr>
        <w:t xml:space="preserve"> and that “the question of being released from the implied undertaking or statutory obligation is not a matter that can be addressed solely between the parties by consent or non-opposition”</w:t>
      </w:r>
      <w:r w:rsidR="007C27F8" w:rsidRPr="00DC3234">
        <w:rPr>
          <w:rFonts w:ascii="Arial" w:hAnsi="Arial" w:cs="Arial"/>
          <w:sz w:val="20"/>
        </w:rPr>
        <w:t>;</w:t>
      </w:r>
    </w:p>
    <w:p w14:paraId="5AA20A78" w14:textId="76FDF519" w:rsidR="007C27F8" w:rsidRPr="007C27F8" w:rsidRDefault="007C27F8" w:rsidP="001A085A">
      <w:pPr>
        <w:pStyle w:val="ListParagraph"/>
        <w:numPr>
          <w:ilvl w:val="0"/>
          <w:numId w:val="49"/>
        </w:numPr>
        <w:ind w:left="357" w:hanging="357"/>
        <w:jc w:val="both"/>
        <w:rPr>
          <w:rFonts w:ascii="Arial" w:hAnsi="Arial" w:cs="Arial"/>
          <w:sz w:val="16"/>
          <w:szCs w:val="16"/>
        </w:rPr>
      </w:pPr>
      <w:r w:rsidRPr="00DC3234">
        <w:rPr>
          <w:rFonts w:ascii="Arial" w:hAnsi="Arial" w:cs="Arial"/>
          <w:sz w:val="20"/>
        </w:rPr>
        <w:t>referred at [20] to the</w:t>
      </w:r>
      <w:r w:rsidRPr="007C27F8">
        <w:rPr>
          <w:rFonts w:ascii="Arial" w:hAnsi="Arial" w:cs="Arial"/>
          <w:sz w:val="20"/>
        </w:rPr>
        <w:t xml:space="preserve"> following dicta of the Full Federal Court in </w:t>
      </w:r>
      <w:r w:rsidRPr="007C27F8">
        <w:rPr>
          <w:rFonts w:ascii="Arial" w:hAnsi="Arial" w:cs="Arial"/>
          <w:i/>
          <w:iCs/>
          <w:sz w:val="20"/>
        </w:rPr>
        <w:t>Liberty Funding Pty Ltd v Phoenix Capital Ltd</w:t>
      </w:r>
      <w:r w:rsidRPr="007C27F8">
        <w:rPr>
          <w:rFonts w:ascii="Arial" w:hAnsi="Arial" w:cs="Arial"/>
          <w:sz w:val="20"/>
        </w:rPr>
        <w:t xml:space="preserve"> (2005) 218 ALR 283 at [31]: “In order to be released from the implied undertaking it has been said that a party in the position of the appellants must show ‘special circumstances’: see </w:t>
      </w:r>
      <w:r w:rsidRPr="007C27F8">
        <w:rPr>
          <w:rFonts w:ascii="Arial" w:hAnsi="Arial" w:cs="Arial"/>
          <w:sz w:val="20"/>
          <w:szCs w:val="16"/>
        </w:rPr>
        <w:t xml:space="preserve">for example, </w:t>
      </w:r>
      <w:r w:rsidRPr="007C27F8">
        <w:rPr>
          <w:rFonts w:ascii="Arial" w:hAnsi="Arial" w:cs="Arial"/>
          <w:i/>
          <w:iCs/>
          <w:sz w:val="20"/>
          <w:szCs w:val="16"/>
        </w:rPr>
        <w:t>Springfield Nominees Pty Ltd v Bridgelands Securities Ltd</w:t>
      </w:r>
      <w:r w:rsidRPr="007C27F8">
        <w:rPr>
          <w:rFonts w:ascii="Arial" w:hAnsi="Arial" w:cs="Arial"/>
          <w:sz w:val="20"/>
          <w:szCs w:val="16"/>
        </w:rPr>
        <w:t xml:space="preserve"> (1992) 38 FCR 217</w:t>
      </w:r>
      <w:r w:rsidR="00DC3234">
        <w:rPr>
          <w:rFonts w:ascii="Arial" w:hAnsi="Arial" w:cs="Arial"/>
          <w:sz w:val="20"/>
          <w:szCs w:val="16"/>
        </w:rPr>
        <w:t>”</w:t>
      </w:r>
      <w:r w:rsidRPr="007C27F8">
        <w:rPr>
          <w:rFonts w:ascii="Arial" w:hAnsi="Arial" w:cs="Arial"/>
          <w:sz w:val="20"/>
          <w:szCs w:val="16"/>
        </w:rPr>
        <w:t>; and</w:t>
      </w:r>
    </w:p>
    <w:p w14:paraId="78A2E54C" w14:textId="542B9668" w:rsidR="007C27F8" w:rsidRDefault="007C27F8" w:rsidP="007C27F8">
      <w:pPr>
        <w:pStyle w:val="ListParagraph"/>
        <w:numPr>
          <w:ilvl w:val="0"/>
          <w:numId w:val="49"/>
        </w:numPr>
        <w:ind w:left="357" w:hanging="357"/>
        <w:jc w:val="both"/>
        <w:rPr>
          <w:rFonts w:ascii="Arial" w:hAnsi="Arial" w:cs="Arial"/>
          <w:sz w:val="20"/>
        </w:rPr>
      </w:pPr>
      <w:r w:rsidRPr="007C27F8">
        <w:rPr>
          <w:rFonts w:ascii="Arial" w:hAnsi="Arial" w:cs="Arial"/>
          <w:sz w:val="20"/>
        </w:rPr>
        <w:t xml:space="preserve">was satisfied at [29] that “there are special circumstances which afford good reason for releasing the plaintiffs and the defendants from their respective </w:t>
      </w:r>
      <w:r>
        <w:rPr>
          <w:rFonts w:ascii="Arial" w:hAnsi="Arial" w:cs="Arial"/>
          <w:sz w:val="20"/>
        </w:rPr>
        <w:t>[</w:t>
      </w:r>
      <w:r w:rsidRPr="007C27F8">
        <w:rPr>
          <w:rFonts w:ascii="Arial" w:hAnsi="Arial" w:cs="Arial"/>
          <w:i/>
          <w:iCs/>
          <w:sz w:val="20"/>
        </w:rPr>
        <w:t>Harman</w:t>
      </w:r>
      <w:r>
        <w:rPr>
          <w:rFonts w:ascii="Arial" w:hAnsi="Arial" w:cs="Arial"/>
          <w:sz w:val="20"/>
        </w:rPr>
        <w:t xml:space="preserve">] </w:t>
      </w:r>
      <w:r w:rsidRPr="007C27F8">
        <w:rPr>
          <w:rFonts w:ascii="Arial" w:hAnsi="Arial" w:cs="Arial"/>
          <w:sz w:val="20"/>
        </w:rPr>
        <w:t>obligations</w:t>
      </w:r>
      <w:r>
        <w:rPr>
          <w:rFonts w:ascii="Arial" w:hAnsi="Arial" w:cs="Arial"/>
          <w:sz w:val="20"/>
        </w:rPr>
        <w:t>”.</w:t>
      </w:r>
    </w:p>
    <w:p w14:paraId="759DA413" w14:textId="2F573270" w:rsidR="000C2C50" w:rsidRDefault="000C2C50" w:rsidP="00E47354">
      <w:pPr>
        <w:jc w:val="both"/>
        <w:rPr>
          <w:rFonts w:ascii="Arial" w:hAnsi="Arial" w:cs="Arial"/>
          <w:color w:val="000000"/>
          <w:sz w:val="20"/>
        </w:rPr>
      </w:pPr>
    </w:p>
    <w:p w14:paraId="491C587E" w14:textId="4A986BD5" w:rsidR="00E47354" w:rsidRPr="009F25D4" w:rsidRDefault="00E47354" w:rsidP="00E47354">
      <w:pPr>
        <w:pStyle w:val="Heading3"/>
        <w:keepNext/>
        <w:spacing w:line="240" w:lineRule="auto"/>
        <w:rPr>
          <w:rFonts w:ascii="Arial" w:hAnsi="Arial" w:cs="Arial"/>
          <w:b/>
          <w:bCs/>
          <w:color w:val="000000"/>
          <w:sz w:val="20"/>
        </w:rPr>
      </w:pPr>
      <w:bookmarkStart w:id="809" w:name="_3.5.9.1__Production"/>
      <w:bookmarkStart w:id="810" w:name="_Hlk188525439"/>
      <w:bookmarkEnd w:id="809"/>
      <w:r w:rsidRPr="009F25D4">
        <w:rPr>
          <w:rFonts w:ascii="Arial" w:hAnsi="Arial" w:cs="Arial"/>
          <w:b/>
          <w:bCs/>
          <w:color w:val="000000"/>
          <w:sz w:val="20"/>
        </w:rPr>
        <w:t>3.5.9.1  Production under sub-poena</w:t>
      </w:r>
    </w:p>
    <w:p w14:paraId="07CEAD42" w14:textId="43E73AED" w:rsidR="003F4824" w:rsidRDefault="003F4824" w:rsidP="00132D91">
      <w:pPr>
        <w:spacing w:before="120"/>
        <w:jc w:val="both"/>
        <w:rPr>
          <w:rFonts w:ascii="Arial" w:hAnsi="Arial" w:cs="Arial"/>
          <w:color w:val="000000"/>
          <w:sz w:val="20"/>
        </w:rPr>
      </w:pPr>
      <w:r>
        <w:rPr>
          <w:rFonts w:ascii="Arial" w:hAnsi="Arial" w:cs="Arial"/>
          <w:color w:val="000000"/>
          <w:sz w:val="20"/>
        </w:rPr>
        <w:t>In a paper entitled “</w:t>
      </w:r>
      <w:r w:rsidRPr="003F4824">
        <w:rPr>
          <w:rFonts w:ascii="Arial" w:hAnsi="Arial" w:cs="Arial"/>
          <w:b/>
          <w:bCs/>
          <w:color w:val="000000"/>
          <w:sz w:val="20"/>
        </w:rPr>
        <w:t>Subpoena Challenges</w:t>
      </w:r>
      <w:r>
        <w:rPr>
          <w:rFonts w:ascii="Arial" w:hAnsi="Arial" w:cs="Arial"/>
          <w:color w:val="000000"/>
          <w:sz w:val="20"/>
        </w:rPr>
        <w:t>” dated 24/02/2018 Magistrate John O’Callaghan wrote at p.1:</w:t>
      </w:r>
    </w:p>
    <w:p w14:paraId="7891DB9F" w14:textId="15368754" w:rsidR="003F4824" w:rsidRPr="0040353D" w:rsidRDefault="003F4824" w:rsidP="003F4824">
      <w:pPr>
        <w:spacing w:before="60"/>
        <w:ind w:left="454" w:right="454"/>
        <w:jc w:val="both"/>
        <w:rPr>
          <w:rFonts w:ascii="Arial" w:hAnsi="Arial" w:cs="Arial"/>
          <w:iCs/>
          <w:color w:val="000000"/>
          <w:sz w:val="20"/>
        </w:rPr>
      </w:pPr>
      <w:r>
        <w:rPr>
          <w:rFonts w:ascii="Arial" w:hAnsi="Arial" w:cs="Arial"/>
          <w:iCs/>
          <w:color w:val="000000"/>
          <w:sz w:val="20"/>
        </w:rPr>
        <w:t xml:space="preserve">“Whilst the criminal procedure rules and civil rules [of the various courts] provide for disclosure obligations, there is no obligation on third parties to provide relevant documents or material to any of the parties to the criminal or civil case. Accordingly, a subpoena is the only way [for] an accused or party in civil proceedings to compulsorily obtain relevant information from third parties: </w:t>
      </w:r>
      <w:r w:rsidRPr="003F4824">
        <w:rPr>
          <w:rFonts w:ascii="Arial" w:hAnsi="Arial" w:cs="Arial"/>
          <w:i/>
          <w:color w:val="000000"/>
          <w:sz w:val="20"/>
        </w:rPr>
        <w:t>R v Mokbel (Ruling No 1)</w:t>
      </w:r>
      <w:r>
        <w:rPr>
          <w:rFonts w:ascii="Arial" w:hAnsi="Arial" w:cs="Arial"/>
          <w:iCs/>
          <w:color w:val="000000"/>
          <w:sz w:val="20"/>
        </w:rPr>
        <w:t xml:space="preserve"> [2005] VSC 410.”</w:t>
      </w:r>
    </w:p>
    <w:p w14:paraId="7EADC539" w14:textId="07768BB5" w:rsidR="003F4824" w:rsidRDefault="003F4824" w:rsidP="00132D91">
      <w:pPr>
        <w:spacing w:before="120"/>
        <w:jc w:val="both"/>
        <w:rPr>
          <w:rFonts w:ascii="Arial" w:hAnsi="Arial" w:cs="Arial"/>
          <w:color w:val="000000"/>
          <w:sz w:val="20"/>
        </w:rPr>
      </w:pPr>
      <w:r>
        <w:rPr>
          <w:rFonts w:ascii="Arial" w:hAnsi="Arial" w:cs="Arial"/>
          <w:color w:val="000000"/>
          <w:sz w:val="20"/>
        </w:rPr>
        <w:t xml:space="preserve">At pp.4-6 his Honour summarised the </w:t>
      </w:r>
      <w:r w:rsidR="000920EB">
        <w:rPr>
          <w:rFonts w:ascii="Arial" w:hAnsi="Arial" w:cs="Arial"/>
          <w:color w:val="000000"/>
          <w:sz w:val="20"/>
        </w:rPr>
        <w:t>“</w:t>
      </w:r>
      <w:r w:rsidRPr="000920EB">
        <w:rPr>
          <w:rFonts w:ascii="Arial" w:hAnsi="Arial" w:cs="Arial"/>
          <w:b/>
          <w:bCs/>
          <w:color w:val="000000"/>
          <w:sz w:val="20"/>
        </w:rPr>
        <w:t xml:space="preserve">Basic </w:t>
      </w:r>
      <w:r w:rsidR="000920EB" w:rsidRPr="000920EB">
        <w:rPr>
          <w:rFonts w:ascii="Arial" w:hAnsi="Arial" w:cs="Arial"/>
          <w:b/>
          <w:bCs/>
          <w:color w:val="000000"/>
          <w:sz w:val="20"/>
        </w:rPr>
        <w:t>p</w:t>
      </w:r>
      <w:r w:rsidRPr="000920EB">
        <w:rPr>
          <w:rFonts w:ascii="Arial" w:hAnsi="Arial" w:cs="Arial"/>
          <w:b/>
          <w:bCs/>
          <w:color w:val="000000"/>
          <w:sz w:val="20"/>
        </w:rPr>
        <w:t>rinciples applicable to a subpoena contest</w:t>
      </w:r>
      <w:r w:rsidR="000920EB">
        <w:rPr>
          <w:rFonts w:ascii="Arial" w:hAnsi="Arial" w:cs="Arial"/>
          <w:color w:val="000000"/>
          <w:sz w:val="20"/>
        </w:rPr>
        <w:t>”</w:t>
      </w:r>
      <w:r>
        <w:rPr>
          <w:rFonts w:ascii="Arial" w:hAnsi="Arial" w:cs="Arial"/>
          <w:color w:val="000000"/>
          <w:sz w:val="20"/>
        </w:rPr>
        <w:t xml:space="preserve"> as follows:</w:t>
      </w:r>
    </w:p>
    <w:p w14:paraId="78F02353" w14:textId="34CC0684" w:rsidR="000920EB" w:rsidRPr="0040353D" w:rsidRDefault="000920EB" w:rsidP="000920EB">
      <w:pPr>
        <w:spacing w:before="60"/>
        <w:ind w:left="454" w:right="454"/>
        <w:jc w:val="both"/>
        <w:rPr>
          <w:rFonts w:ascii="Arial" w:hAnsi="Arial" w:cs="Arial"/>
          <w:iCs/>
          <w:color w:val="000000"/>
          <w:sz w:val="20"/>
        </w:rPr>
      </w:pPr>
      <w:r>
        <w:rPr>
          <w:rFonts w:ascii="Arial" w:hAnsi="Arial" w:cs="Arial"/>
          <w:iCs/>
          <w:color w:val="000000"/>
          <w:sz w:val="20"/>
        </w:rPr>
        <w:t>“In determining a subpoena contest, the following are the basic principles that the court must apply [</w:t>
      </w:r>
      <w:r w:rsidRPr="000920EB">
        <w:rPr>
          <w:rFonts w:ascii="Arial" w:hAnsi="Arial" w:cs="Arial"/>
          <w:i/>
          <w:color w:val="000000"/>
          <w:sz w:val="20"/>
        </w:rPr>
        <w:t>Matthews v SPI Electricity Pty Ltd (No 12)</w:t>
      </w:r>
      <w:r>
        <w:rPr>
          <w:rFonts w:ascii="Arial" w:hAnsi="Arial" w:cs="Arial"/>
          <w:iCs/>
          <w:color w:val="000000"/>
          <w:sz w:val="20"/>
        </w:rPr>
        <w:t xml:space="preserve"> [2014] VSC 131 [9]; </w:t>
      </w:r>
      <w:r w:rsidRPr="000920EB">
        <w:rPr>
          <w:rFonts w:ascii="Arial" w:hAnsi="Arial" w:cs="Arial"/>
          <w:i/>
          <w:color w:val="000000"/>
          <w:sz w:val="20"/>
        </w:rPr>
        <w:t>Webb v Wheatley</w:t>
      </w:r>
      <w:r>
        <w:rPr>
          <w:rFonts w:ascii="Arial" w:hAnsi="Arial" w:cs="Arial"/>
          <w:iCs/>
          <w:color w:val="000000"/>
          <w:sz w:val="20"/>
        </w:rPr>
        <w:t xml:space="preserve"> [2015] VSC 153]:</w:t>
      </w:r>
    </w:p>
    <w:p w14:paraId="5DB36A2B" w14:textId="1BF1E9F0" w:rsidR="003F4824" w:rsidRPr="00653C5B" w:rsidRDefault="000920EB"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color w:val="000000"/>
          <w:sz w:val="20"/>
        </w:rPr>
        <w:t>It is necessary for the party at whose request the witness summons was issued to identify expressly and precisely the legitimate forensic purpose for which access to the document is sought [</w:t>
      </w:r>
      <w:r w:rsidRPr="00653C5B">
        <w:rPr>
          <w:rFonts w:ascii="Arial" w:hAnsi="Arial" w:cs="Arial"/>
          <w:i/>
          <w:iCs/>
          <w:color w:val="000000"/>
          <w:sz w:val="20"/>
        </w:rPr>
        <w:t>R v Saleam</w:t>
      </w:r>
      <w:r>
        <w:rPr>
          <w:rFonts w:ascii="Arial" w:hAnsi="Arial" w:cs="Arial"/>
          <w:color w:val="000000"/>
          <w:sz w:val="20"/>
        </w:rPr>
        <w:t xml:space="preserve"> </w:t>
      </w:r>
      <w:r w:rsidR="00653C5B">
        <w:rPr>
          <w:rFonts w:ascii="Arial" w:hAnsi="Arial" w:cs="Arial"/>
          <w:color w:val="000000"/>
          <w:sz w:val="20"/>
        </w:rPr>
        <w:t xml:space="preserve">(1989) 16 NSWLR 14; </w:t>
      </w:r>
      <w:r w:rsidR="00653C5B" w:rsidRPr="003F4824">
        <w:rPr>
          <w:rFonts w:ascii="Arial" w:hAnsi="Arial" w:cs="Arial"/>
          <w:i/>
          <w:color w:val="000000"/>
          <w:sz w:val="20"/>
        </w:rPr>
        <w:t>R v Mokbel (Ruling No 1)</w:t>
      </w:r>
      <w:r w:rsidR="00653C5B">
        <w:rPr>
          <w:rFonts w:ascii="Arial" w:hAnsi="Arial" w:cs="Arial"/>
          <w:iCs/>
          <w:color w:val="000000"/>
          <w:sz w:val="20"/>
        </w:rPr>
        <w:t xml:space="preserve"> [2005] VSC 410, [45]; </w:t>
      </w:r>
      <w:r w:rsidR="00653C5B" w:rsidRPr="00653C5B">
        <w:rPr>
          <w:rFonts w:ascii="Arial" w:hAnsi="Arial" w:cs="Arial"/>
          <w:i/>
          <w:color w:val="000000"/>
          <w:sz w:val="20"/>
        </w:rPr>
        <w:t>Principal Registrar of the Supreme Court of New South Wales v Tastan</w:t>
      </w:r>
      <w:r w:rsidR="00653C5B">
        <w:rPr>
          <w:rFonts w:ascii="Arial" w:hAnsi="Arial" w:cs="Arial"/>
          <w:iCs/>
          <w:color w:val="000000"/>
          <w:sz w:val="20"/>
        </w:rPr>
        <w:t xml:space="preserve"> (1994) A</w:t>
      </w:r>
      <w:r w:rsidR="00505A5C">
        <w:rPr>
          <w:rFonts w:ascii="Arial" w:hAnsi="Arial" w:cs="Arial"/>
          <w:iCs/>
          <w:color w:val="000000"/>
          <w:sz w:val="20"/>
        </w:rPr>
        <w:t> </w:t>
      </w:r>
      <w:r w:rsidR="00653C5B">
        <w:rPr>
          <w:rFonts w:ascii="Arial" w:hAnsi="Arial" w:cs="Arial"/>
          <w:iCs/>
          <w:color w:val="000000"/>
          <w:sz w:val="20"/>
        </w:rPr>
        <w:t xml:space="preserve">Crim R 498, 504; </w:t>
      </w:r>
      <w:r w:rsidR="00653C5B" w:rsidRPr="00653C5B">
        <w:rPr>
          <w:rFonts w:ascii="Arial" w:hAnsi="Arial" w:cs="Arial"/>
          <w:i/>
          <w:color w:val="000000"/>
          <w:sz w:val="20"/>
        </w:rPr>
        <w:t>R v Sergi</w:t>
      </w:r>
      <w:r w:rsidR="00653C5B">
        <w:rPr>
          <w:rFonts w:ascii="Arial" w:hAnsi="Arial" w:cs="Arial"/>
          <w:iCs/>
          <w:color w:val="000000"/>
          <w:sz w:val="20"/>
        </w:rPr>
        <w:t xml:space="preserve"> [1998] 1 Qd R 536; </w:t>
      </w:r>
      <w:r w:rsidR="00653C5B" w:rsidRPr="00653C5B">
        <w:rPr>
          <w:rFonts w:ascii="Arial" w:hAnsi="Arial" w:cs="Arial"/>
          <w:i/>
          <w:color w:val="000000"/>
          <w:sz w:val="20"/>
        </w:rPr>
        <w:t>NSW Commissioner of Police v Tuxford</w:t>
      </w:r>
      <w:r w:rsidR="00653C5B">
        <w:rPr>
          <w:rFonts w:ascii="Arial" w:hAnsi="Arial" w:cs="Arial"/>
          <w:iCs/>
          <w:color w:val="000000"/>
          <w:sz w:val="20"/>
        </w:rPr>
        <w:t xml:space="preserve"> [2002] NSWCA 139, [22]; </w:t>
      </w:r>
      <w:r w:rsidR="00653C5B" w:rsidRPr="00653C5B">
        <w:rPr>
          <w:rFonts w:ascii="Arial" w:hAnsi="Arial" w:cs="Arial"/>
          <w:i/>
          <w:color w:val="000000"/>
          <w:sz w:val="20"/>
        </w:rPr>
        <w:t>Re Don</w:t>
      </w:r>
      <w:r w:rsidR="00653C5B">
        <w:rPr>
          <w:rFonts w:ascii="Arial" w:hAnsi="Arial" w:cs="Arial"/>
          <w:iCs/>
          <w:color w:val="000000"/>
          <w:sz w:val="20"/>
        </w:rPr>
        <w:t xml:space="preserve"> [2006] NSWSC 1125, [26].</w:t>
      </w:r>
    </w:p>
    <w:p w14:paraId="55A574CE" w14:textId="0A923B88" w:rsidR="00653C5B" w:rsidRPr="00653C5B" w:rsidRDefault="00653C5B"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iCs/>
          <w:color w:val="000000"/>
          <w:sz w:val="20"/>
        </w:rPr>
        <w:t xml:space="preserve">The identification of such a legitimate forensic purpose is to be considered by the court withot inspecting the documents sought to be produced: </w:t>
      </w:r>
      <w:r w:rsidRPr="00653C5B">
        <w:rPr>
          <w:rFonts w:ascii="Arial" w:hAnsi="Arial" w:cs="Arial"/>
          <w:i/>
          <w:color w:val="000000"/>
          <w:sz w:val="20"/>
        </w:rPr>
        <w:t>Attorney-General for NSW v Stuart</w:t>
      </w:r>
      <w:r>
        <w:rPr>
          <w:rFonts w:ascii="Arial" w:hAnsi="Arial" w:cs="Arial"/>
          <w:iCs/>
          <w:color w:val="000000"/>
          <w:sz w:val="20"/>
        </w:rPr>
        <w:t xml:space="preserve"> (1994) 34 NSWLR 667,681. But see </w:t>
      </w:r>
      <w:r w:rsidRPr="00653C5B">
        <w:rPr>
          <w:rFonts w:ascii="Arial" w:hAnsi="Arial" w:cs="Arial"/>
          <w:i/>
          <w:color w:val="000000"/>
          <w:sz w:val="20"/>
        </w:rPr>
        <w:t>Woolworths Ltd v Svajcer</w:t>
      </w:r>
      <w:r>
        <w:rPr>
          <w:rFonts w:ascii="Arial" w:hAnsi="Arial" w:cs="Arial"/>
          <w:iCs/>
          <w:color w:val="000000"/>
          <w:sz w:val="20"/>
        </w:rPr>
        <w:t xml:space="preserve"> [2013] VSCA 270 at [40]-[47].</w:t>
      </w:r>
    </w:p>
    <w:p w14:paraId="2598D1A4" w14:textId="21F3311D" w:rsidR="00653C5B" w:rsidRPr="00D05B74" w:rsidRDefault="00653C5B"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iCs/>
          <w:color w:val="000000"/>
          <w:sz w:val="20"/>
        </w:rPr>
        <w:lastRenderedPageBreak/>
        <w:t>The applicant for the witness summons must also satisfy the court that it is ‘on the cards’ [</w:t>
      </w:r>
      <w:r w:rsidRPr="00653C5B">
        <w:rPr>
          <w:rFonts w:ascii="Arial" w:hAnsi="Arial" w:cs="Arial"/>
          <w:i/>
          <w:color w:val="000000"/>
          <w:sz w:val="20"/>
        </w:rPr>
        <w:t>Alister v The Queen</w:t>
      </w:r>
      <w:r>
        <w:rPr>
          <w:rFonts w:ascii="Arial" w:hAnsi="Arial" w:cs="Arial"/>
          <w:iCs/>
          <w:color w:val="000000"/>
          <w:sz w:val="20"/>
        </w:rPr>
        <w:t xml:space="preserve"> (1984) 154 CLR 404, 414], or that there is a ‘reasonable possibility’ [</w:t>
      </w:r>
      <w:r w:rsidRPr="00653C5B">
        <w:rPr>
          <w:rFonts w:ascii="Arial" w:hAnsi="Arial" w:cs="Arial"/>
          <w:i/>
          <w:color w:val="000000"/>
          <w:sz w:val="20"/>
        </w:rPr>
        <w:t>DPP v Selway (Ruling No 2)</w:t>
      </w:r>
      <w:r>
        <w:rPr>
          <w:rFonts w:ascii="Arial" w:hAnsi="Arial" w:cs="Arial"/>
          <w:iCs/>
          <w:color w:val="000000"/>
          <w:sz w:val="20"/>
        </w:rPr>
        <w:t xml:space="preserve"> (2007) 16 VR 508, [10]; </w:t>
      </w:r>
      <w:r w:rsidRPr="00653C5B">
        <w:rPr>
          <w:rFonts w:ascii="Arial" w:hAnsi="Arial" w:cs="Arial"/>
          <w:i/>
          <w:color w:val="000000"/>
          <w:sz w:val="20"/>
        </w:rPr>
        <w:t>Ragg v Magistrates’ Court of Victoria</w:t>
      </w:r>
      <w:r>
        <w:rPr>
          <w:rFonts w:ascii="Arial" w:hAnsi="Arial" w:cs="Arial"/>
          <w:iCs/>
          <w:color w:val="000000"/>
          <w:sz w:val="20"/>
        </w:rPr>
        <w:t xml:space="preserve"> (2008) 18 VR 300, [96]], that the documents sought under the subpoena ‘will materially assist the defence’ [</w:t>
      </w:r>
      <w:r w:rsidRPr="00653C5B">
        <w:rPr>
          <w:rFonts w:ascii="Arial" w:hAnsi="Arial" w:cs="Arial"/>
          <w:i/>
          <w:color w:val="000000"/>
          <w:sz w:val="20"/>
        </w:rPr>
        <w:t>Attorney-General (NSW) v Chidgey</w:t>
      </w:r>
      <w:r>
        <w:rPr>
          <w:rFonts w:ascii="Arial" w:hAnsi="Arial" w:cs="Arial"/>
          <w:iCs/>
          <w:color w:val="000000"/>
          <w:sz w:val="20"/>
        </w:rPr>
        <w:t xml:space="preserve"> (2008) 182 A Crim R 536, [5], [62], [64]; </w:t>
      </w:r>
      <w:r w:rsidRPr="00653C5B">
        <w:rPr>
          <w:rFonts w:ascii="Arial" w:hAnsi="Arial" w:cs="Arial"/>
          <w:i/>
          <w:iCs/>
          <w:color w:val="000000"/>
          <w:sz w:val="20"/>
        </w:rPr>
        <w:t xml:space="preserve">R v </w:t>
      </w:r>
      <w:r w:rsidRPr="003F4824">
        <w:rPr>
          <w:rFonts w:ascii="Arial" w:hAnsi="Arial" w:cs="Arial"/>
          <w:i/>
          <w:color w:val="000000"/>
          <w:sz w:val="20"/>
        </w:rPr>
        <w:t>Mokbel (Ruling No 1)</w:t>
      </w:r>
      <w:r>
        <w:rPr>
          <w:rFonts w:ascii="Arial" w:hAnsi="Arial" w:cs="Arial"/>
          <w:iCs/>
          <w:color w:val="000000"/>
          <w:sz w:val="20"/>
        </w:rPr>
        <w:t xml:space="preserve"> [2005] VSC 410, [45];</w:t>
      </w:r>
      <w:r w:rsidR="00D05B74">
        <w:rPr>
          <w:rFonts w:ascii="Arial" w:hAnsi="Arial" w:cs="Arial"/>
          <w:iCs/>
          <w:color w:val="000000"/>
          <w:sz w:val="20"/>
        </w:rPr>
        <w:t xml:space="preserve"> </w:t>
      </w:r>
      <w:r w:rsidR="00D05B74">
        <w:rPr>
          <w:rFonts w:ascii="Arial" w:hAnsi="Arial" w:cs="Arial"/>
          <w:i/>
          <w:iCs/>
          <w:color w:val="000000"/>
          <w:sz w:val="20"/>
        </w:rPr>
        <w:t>R v S</w:t>
      </w:r>
      <w:r w:rsidR="00D05B74" w:rsidRPr="00653C5B">
        <w:rPr>
          <w:rFonts w:ascii="Arial" w:hAnsi="Arial" w:cs="Arial"/>
          <w:i/>
          <w:iCs/>
          <w:color w:val="000000"/>
          <w:sz w:val="20"/>
        </w:rPr>
        <w:t>aleam</w:t>
      </w:r>
      <w:r w:rsidR="00D05B74">
        <w:rPr>
          <w:rFonts w:ascii="Arial" w:hAnsi="Arial" w:cs="Arial"/>
          <w:color w:val="000000"/>
          <w:sz w:val="20"/>
        </w:rPr>
        <w:t xml:space="preserve"> (1989) 16 NSWLR 14, 18; </w:t>
      </w:r>
      <w:r w:rsidR="00D05B74" w:rsidRPr="003F4824">
        <w:rPr>
          <w:rFonts w:ascii="Arial" w:hAnsi="Arial" w:cs="Arial"/>
          <w:i/>
          <w:color w:val="000000"/>
          <w:sz w:val="20"/>
        </w:rPr>
        <w:t>R v</w:t>
      </w:r>
      <w:r w:rsidR="00D05B74">
        <w:rPr>
          <w:rFonts w:ascii="Arial" w:hAnsi="Arial" w:cs="Arial"/>
          <w:i/>
          <w:color w:val="000000"/>
          <w:sz w:val="20"/>
        </w:rPr>
        <w:t xml:space="preserve"> Saleam </w:t>
      </w:r>
      <w:r w:rsidR="00D05B74" w:rsidRPr="00D05B74">
        <w:rPr>
          <w:rFonts w:ascii="Arial" w:hAnsi="Arial" w:cs="Arial"/>
          <w:iCs/>
          <w:color w:val="000000"/>
          <w:sz w:val="20"/>
        </w:rPr>
        <w:t>[1999] NSWCCA 86, [11]</w:t>
      </w:r>
      <w:r w:rsidR="00D05B74">
        <w:rPr>
          <w:rFonts w:ascii="Arial" w:hAnsi="Arial" w:cs="Arial"/>
          <w:iCs/>
          <w:color w:val="000000"/>
          <w:sz w:val="20"/>
        </w:rPr>
        <w:t xml:space="preserve">; </w:t>
      </w:r>
      <w:r w:rsidR="00D05B74" w:rsidRPr="00D05B74">
        <w:rPr>
          <w:rFonts w:ascii="Arial" w:hAnsi="Arial" w:cs="Arial"/>
          <w:i/>
          <w:color w:val="000000"/>
          <w:sz w:val="20"/>
        </w:rPr>
        <w:t>Alister v The Queen</w:t>
      </w:r>
      <w:r w:rsidR="00D05B74">
        <w:rPr>
          <w:rFonts w:ascii="Arial" w:hAnsi="Arial" w:cs="Arial"/>
          <w:iCs/>
          <w:color w:val="000000"/>
          <w:sz w:val="20"/>
        </w:rPr>
        <w:t xml:space="preserve"> (1984) 154 CLR 404, 414].</w:t>
      </w:r>
    </w:p>
    <w:p w14:paraId="5F306F1C" w14:textId="56FF84DB" w:rsidR="00D05B74" w:rsidRDefault="00D05B74"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iCs/>
          <w:color w:val="000000"/>
          <w:sz w:val="20"/>
        </w:rPr>
        <w:t xml:space="preserve">A ‘fishing expedition’ is not a legitimate forensic purpose and will not be permitted: </w:t>
      </w:r>
      <w:r w:rsidRPr="00D05B74">
        <w:rPr>
          <w:rFonts w:ascii="Arial" w:hAnsi="Arial" w:cs="Arial"/>
          <w:i/>
          <w:color w:val="000000"/>
          <w:sz w:val="20"/>
        </w:rPr>
        <w:t>Alister v The Queen</w:t>
      </w:r>
      <w:r>
        <w:rPr>
          <w:rFonts w:ascii="Arial" w:hAnsi="Arial" w:cs="Arial"/>
          <w:iCs/>
          <w:color w:val="000000"/>
          <w:sz w:val="20"/>
        </w:rPr>
        <w:t xml:space="preserve"> (1984) 154 CLR 404; </w:t>
      </w:r>
      <w:r>
        <w:rPr>
          <w:rFonts w:ascii="Arial" w:hAnsi="Arial" w:cs="Arial"/>
          <w:i/>
          <w:iCs/>
          <w:color w:val="000000"/>
          <w:sz w:val="20"/>
        </w:rPr>
        <w:t>R v S</w:t>
      </w:r>
      <w:r w:rsidRPr="00653C5B">
        <w:rPr>
          <w:rFonts w:ascii="Arial" w:hAnsi="Arial" w:cs="Arial"/>
          <w:i/>
          <w:iCs/>
          <w:color w:val="000000"/>
          <w:sz w:val="20"/>
        </w:rPr>
        <w:t>aleam</w:t>
      </w:r>
      <w:r>
        <w:rPr>
          <w:rFonts w:ascii="Arial" w:hAnsi="Arial" w:cs="Arial"/>
          <w:color w:val="000000"/>
          <w:sz w:val="20"/>
        </w:rPr>
        <w:t xml:space="preserve"> (1989) 16 NSWLR 14, 17; </w:t>
      </w:r>
      <w:r w:rsidRPr="00D05B74">
        <w:rPr>
          <w:rFonts w:ascii="Arial" w:hAnsi="Arial" w:cs="Arial"/>
          <w:i/>
          <w:iCs/>
          <w:color w:val="000000"/>
          <w:sz w:val="20"/>
        </w:rPr>
        <w:t>Commissioner for Railways v Small</w:t>
      </w:r>
      <w:r>
        <w:rPr>
          <w:rFonts w:ascii="Arial" w:hAnsi="Arial" w:cs="Arial"/>
          <w:color w:val="000000"/>
          <w:sz w:val="20"/>
        </w:rPr>
        <w:t xml:space="preserve"> (1938) 38 SR (NSW) 564,575; </w:t>
      </w:r>
      <w:r w:rsidRPr="00D05B74">
        <w:rPr>
          <w:rFonts w:ascii="Arial" w:hAnsi="Arial" w:cs="Arial"/>
          <w:i/>
          <w:iCs/>
          <w:color w:val="000000"/>
          <w:sz w:val="20"/>
        </w:rPr>
        <w:t>Re Don</w:t>
      </w:r>
      <w:r>
        <w:rPr>
          <w:rFonts w:ascii="Arial" w:hAnsi="Arial" w:cs="Arial"/>
          <w:color w:val="000000"/>
          <w:sz w:val="20"/>
        </w:rPr>
        <w:t xml:space="preserve"> [2006] NSWSC 1125, [26].</w:t>
      </w:r>
    </w:p>
    <w:p w14:paraId="311C5E3F" w14:textId="457CBDED" w:rsidR="00D05B74" w:rsidRPr="00A247A6" w:rsidRDefault="00D05B74"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color w:val="000000"/>
          <w:sz w:val="20"/>
        </w:rPr>
        <w:t xml:space="preserve">The relevance of a document to the proceeding </w:t>
      </w:r>
      <w:r w:rsidR="00A247A6">
        <w:rPr>
          <w:rFonts w:ascii="Arial" w:hAnsi="Arial" w:cs="Arial"/>
          <w:color w:val="000000"/>
          <w:sz w:val="20"/>
        </w:rPr>
        <w:t xml:space="preserve">alone will not substantiate an assertion of legitimate forensic purpose: </w:t>
      </w:r>
      <w:r w:rsidR="00A247A6" w:rsidRPr="00653C5B">
        <w:rPr>
          <w:rFonts w:ascii="Arial" w:hAnsi="Arial" w:cs="Arial"/>
          <w:i/>
          <w:color w:val="000000"/>
          <w:sz w:val="20"/>
        </w:rPr>
        <w:t>Attorney-General (NSW) v Chidgey</w:t>
      </w:r>
      <w:r w:rsidR="00A247A6">
        <w:rPr>
          <w:rFonts w:ascii="Arial" w:hAnsi="Arial" w:cs="Arial"/>
          <w:iCs/>
          <w:color w:val="000000"/>
          <w:sz w:val="20"/>
        </w:rPr>
        <w:t xml:space="preserve"> (2008) 182 A Crim R 536, [59]. There is no legitimate forensic purpose if the party is seeking to obtain documents to see whether they may be of relevance or of assistance in his or her defence: </w:t>
      </w:r>
      <w:r w:rsidR="00A247A6" w:rsidRPr="00A247A6">
        <w:rPr>
          <w:rFonts w:ascii="Arial" w:hAnsi="Arial" w:cs="Arial"/>
          <w:i/>
          <w:color w:val="000000"/>
          <w:sz w:val="20"/>
        </w:rPr>
        <w:t>Carroll v Attorney-General (NSW)</w:t>
      </w:r>
      <w:r w:rsidR="00A247A6">
        <w:rPr>
          <w:rFonts w:ascii="Arial" w:hAnsi="Arial" w:cs="Arial"/>
          <w:iCs/>
          <w:color w:val="000000"/>
          <w:sz w:val="20"/>
        </w:rPr>
        <w:t xml:space="preserve"> (1993) 70 A Crim R 162,181.</w:t>
      </w:r>
    </w:p>
    <w:p w14:paraId="24FD9D5A" w14:textId="770544CF" w:rsidR="00A247A6" w:rsidRDefault="00A247A6"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color w:val="000000"/>
          <w:sz w:val="20"/>
        </w:rPr>
        <w:t>A mere assertion of bad faith by an applicant or that something might be found demonstrating bad faith is not enough – the criteria set out in (c) must be satisfied.</w:t>
      </w:r>
    </w:p>
    <w:p w14:paraId="5E2944A6" w14:textId="56C7A321" w:rsidR="00A247A6" w:rsidRPr="00C1093A" w:rsidRDefault="00A247A6"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color w:val="000000"/>
          <w:sz w:val="20"/>
        </w:rPr>
        <w:t xml:space="preserve">In criminal proceedings a ‘more liberal’ view is taken by a court in respect of the application of the test.  Special weight is to be </w:t>
      </w:r>
      <w:r w:rsidR="00C1093A">
        <w:rPr>
          <w:rFonts w:ascii="Arial" w:hAnsi="Arial" w:cs="Arial"/>
          <w:color w:val="000000"/>
          <w:sz w:val="20"/>
        </w:rPr>
        <w:t xml:space="preserve">given to the fact that the documents may assist the defence of the accused: </w:t>
      </w:r>
      <w:r w:rsidR="00C1093A" w:rsidRPr="00C1093A">
        <w:rPr>
          <w:rFonts w:ascii="Arial" w:hAnsi="Arial" w:cs="Arial"/>
          <w:i/>
          <w:iCs/>
          <w:color w:val="000000"/>
          <w:sz w:val="20"/>
        </w:rPr>
        <w:t>Sankey v Whitlam</w:t>
      </w:r>
      <w:r w:rsidR="00C1093A">
        <w:rPr>
          <w:rFonts w:ascii="Arial" w:hAnsi="Arial" w:cs="Arial"/>
          <w:color w:val="000000"/>
          <w:sz w:val="20"/>
        </w:rPr>
        <w:t xml:space="preserve"> (1978) 142 CLR 1, 42, 62; </w:t>
      </w:r>
      <w:r w:rsidR="00C1093A" w:rsidRPr="00D05B74">
        <w:rPr>
          <w:rFonts w:ascii="Arial" w:hAnsi="Arial" w:cs="Arial"/>
          <w:i/>
          <w:color w:val="000000"/>
          <w:sz w:val="20"/>
        </w:rPr>
        <w:t>Alister v The Queen</w:t>
      </w:r>
      <w:r w:rsidR="00C1093A">
        <w:rPr>
          <w:rFonts w:ascii="Arial" w:hAnsi="Arial" w:cs="Arial"/>
          <w:iCs/>
          <w:color w:val="000000"/>
          <w:sz w:val="20"/>
        </w:rPr>
        <w:t xml:space="preserve"> (1984) 154 CLR 404, 414, 454-456; </w:t>
      </w:r>
      <w:r w:rsidR="00C1093A">
        <w:rPr>
          <w:rFonts w:ascii="Arial" w:hAnsi="Arial" w:cs="Arial"/>
          <w:i/>
          <w:iCs/>
          <w:color w:val="000000"/>
          <w:sz w:val="20"/>
        </w:rPr>
        <w:t>R v S</w:t>
      </w:r>
      <w:r w:rsidR="00C1093A" w:rsidRPr="00653C5B">
        <w:rPr>
          <w:rFonts w:ascii="Arial" w:hAnsi="Arial" w:cs="Arial"/>
          <w:i/>
          <w:iCs/>
          <w:color w:val="000000"/>
          <w:sz w:val="20"/>
        </w:rPr>
        <w:t>aleam</w:t>
      </w:r>
      <w:r w:rsidR="00C1093A">
        <w:rPr>
          <w:rFonts w:ascii="Arial" w:hAnsi="Arial" w:cs="Arial"/>
          <w:color w:val="000000"/>
          <w:sz w:val="20"/>
        </w:rPr>
        <w:t xml:space="preserve"> (1989) 16 NSWLR 14, 17; </w:t>
      </w:r>
      <w:r w:rsidR="00C1093A" w:rsidRPr="003F4824">
        <w:rPr>
          <w:rFonts w:ascii="Arial" w:hAnsi="Arial" w:cs="Arial"/>
          <w:i/>
          <w:color w:val="000000"/>
          <w:sz w:val="20"/>
        </w:rPr>
        <w:t>R v Mokbel (Ruling No 1)</w:t>
      </w:r>
      <w:r w:rsidR="00C1093A">
        <w:rPr>
          <w:rFonts w:ascii="Arial" w:hAnsi="Arial" w:cs="Arial"/>
          <w:iCs/>
          <w:color w:val="000000"/>
          <w:sz w:val="20"/>
        </w:rPr>
        <w:t xml:space="preserve"> [2005] VSC 410, [40].</w:t>
      </w:r>
    </w:p>
    <w:p w14:paraId="3A39D566" w14:textId="19FC945A" w:rsidR="00C1093A" w:rsidRPr="000920EB" w:rsidRDefault="00C1093A"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iCs/>
          <w:color w:val="000000"/>
          <w:sz w:val="20"/>
        </w:rPr>
        <w:t xml:space="preserve">Where a party fails to demonstrate a legitimate forensic purpose, the Court should refuse access to the documents and set aside the witness summons: </w:t>
      </w:r>
      <w:r>
        <w:rPr>
          <w:rFonts w:ascii="Arial" w:hAnsi="Arial" w:cs="Arial"/>
          <w:i/>
          <w:iCs/>
          <w:color w:val="000000"/>
          <w:sz w:val="20"/>
        </w:rPr>
        <w:t>R v S</w:t>
      </w:r>
      <w:r w:rsidRPr="00653C5B">
        <w:rPr>
          <w:rFonts w:ascii="Arial" w:hAnsi="Arial" w:cs="Arial"/>
          <w:i/>
          <w:iCs/>
          <w:color w:val="000000"/>
          <w:sz w:val="20"/>
        </w:rPr>
        <w:t>aleam</w:t>
      </w:r>
      <w:r>
        <w:rPr>
          <w:rFonts w:ascii="Arial" w:hAnsi="Arial" w:cs="Arial"/>
          <w:color w:val="000000"/>
          <w:sz w:val="20"/>
        </w:rPr>
        <w:t xml:space="preserve"> (1989) 16 NSWLR 14, 18; </w:t>
      </w:r>
      <w:r w:rsidRPr="00653C5B">
        <w:rPr>
          <w:rFonts w:ascii="Arial" w:hAnsi="Arial" w:cs="Arial"/>
          <w:i/>
          <w:color w:val="000000"/>
          <w:sz w:val="20"/>
        </w:rPr>
        <w:t>R v Sergi</w:t>
      </w:r>
      <w:r>
        <w:rPr>
          <w:rFonts w:ascii="Arial" w:hAnsi="Arial" w:cs="Arial"/>
          <w:iCs/>
          <w:color w:val="000000"/>
          <w:sz w:val="20"/>
        </w:rPr>
        <w:t xml:space="preserve"> [1998] 1 Qd R 536; </w:t>
      </w:r>
      <w:r w:rsidRPr="003F4824">
        <w:rPr>
          <w:rFonts w:ascii="Arial" w:hAnsi="Arial" w:cs="Arial"/>
          <w:i/>
          <w:color w:val="000000"/>
          <w:sz w:val="20"/>
        </w:rPr>
        <w:t>R v</w:t>
      </w:r>
      <w:r>
        <w:rPr>
          <w:rFonts w:ascii="Arial" w:hAnsi="Arial" w:cs="Arial"/>
          <w:i/>
          <w:color w:val="000000"/>
          <w:sz w:val="20"/>
        </w:rPr>
        <w:t xml:space="preserve"> Saleam </w:t>
      </w:r>
      <w:r w:rsidRPr="00D05B74">
        <w:rPr>
          <w:rFonts w:ascii="Arial" w:hAnsi="Arial" w:cs="Arial"/>
          <w:iCs/>
          <w:color w:val="000000"/>
          <w:sz w:val="20"/>
        </w:rPr>
        <w:t>[1999] NSWCCA 86, [11]</w:t>
      </w:r>
      <w:r>
        <w:rPr>
          <w:rFonts w:ascii="Arial" w:hAnsi="Arial" w:cs="Arial"/>
          <w:iCs/>
          <w:color w:val="000000"/>
          <w:sz w:val="20"/>
        </w:rPr>
        <w:t>.”</w:t>
      </w:r>
    </w:p>
    <w:p w14:paraId="15FB4C7B" w14:textId="2B267BDD" w:rsidR="003F4824" w:rsidRDefault="00C1093A" w:rsidP="00C1093A">
      <w:pPr>
        <w:spacing w:before="120"/>
        <w:jc w:val="both"/>
        <w:rPr>
          <w:rFonts w:ascii="Arial" w:hAnsi="Arial" w:cs="Arial"/>
          <w:color w:val="000000"/>
          <w:sz w:val="20"/>
        </w:rPr>
      </w:pPr>
      <w:r>
        <w:rPr>
          <w:rFonts w:ascii="Arial" w:hAnsi="Arial" w:cs="Arial"/>
          <w:color w:val="000000"/>
          <w:sz w:val="20"/>
        </w:rPr>
        <w:t xml:space="preserve">See also </w:t>
      </w:r>
      <w:r w:rsidRPr="00C5494A">
        <w:rPr>
          <w:rFonts w:ascii="Arial" w:hAnsi="Arial" w:cs="Arial"/>
          <w:i/>
          <w:iCs/>
          <w:sz w:val="20"/>
          <w:szCs w:val="20"/>
        </w:rPr>
        <w:t>ACN 096 450 770 (f</w:t>
      </w:r>
      <w:r>
        <w:rPr>
          <w:rFonts w:ascii="Arial" w:hAnsi="Arial" w:cs="Arial"/>
          <w:i/>
          <w:iCs/>
          <w:sz w:val="20"/>
          <w:szCs w:val="20"/>
        </w:rPr>
        <w:t>ormerly</w:t>
      </w:r>
      <w:r w:rsidRPr="00C5494A">
        <w:rPr>
          <w:rFonts w:ascii="Arial" w:hAnsi="Arial" w:cs="Arial"/>
          <w:i/>
          <w:iCs/>
          <w:sz w:val="20"/>
          <w:szCs w:val="20"/>
        </w:rPr>
        <w:t xml:space="preserve"> AJH Lawyers Pty Ltd) v Mathieson Nominees</w:t>
      </w:r>
      <w:r w:rsidRPr="00C5494A">
        <w:rPr>
          <w:rFonts w:ascii="Arial" w:hAnsi="Arial" w:cs="Arial"/>
          <w:sz w:val="20"/>
          <w:szCs w:val="20"/>
        </w:rPr>
        <w:t xml:space="preserve"> [2017] VSC 559</w:t>
      </w:r>
      <w:r>
        <w:rPr>
          <w:rFonts w:ascii="Arial" w:hAnsi="Arial" w:cs="Arial"/>
          <w:sz w:val="20"/>
          <w:szCs w:val="20"/>
        </w:rPr>
        <w:t>, [20] per Derham AsJ</w:t>
      </w:r>
      <w:r w:rsidR="007E0FE2">
        <w:rPr>
          <w:rFonts w:ascii="Arial" w:hAnsi="Arial" w:cs="Arial"/>
          <w:sz w:val="20"/>
          <w:szCs w:val="20"/>
        </w:rPr>
        <w:t xml:space="preserve">; </w:t>
      </w:r>
      <w:r w:rsidR="007E0FE2" w:rsidRPr="005022CC">
        <w:rPr>
          <w:rFonts w:ascii="Arial" w:hAnsi="Arial" w:cs="Arial"/>
          <w:i/>
          <w:color w:val="000000"/>
          <w:sz w:val="20"/>
          <w:szCs w:val="20"/>
        </w:rPr>
        <w:t>Commissioner of the Australian Federal Police v Magistrates’ Court of Victoria</w:t>
      </w:r>
      <w:r w:rsidR="007E0FE2" w:rsidRPr="005022CC">
        <w:rPr>
          <w:rFonts w:ascii="Arial" w:hAnsi="Arial" w:cs="Arial"/>
          <w:color w:val="000000"/>
          <w:sz w:val="20"/>
          <w:szCs w:val="20"/>
        </w:rPr>
        <w:t xml:space="preserve"> [2011] VSC 3 at [28]</w:t>
      </w:r>
      <w:r w:rsidR="007E0FE2">
        <w:rPr>
          <w:rFonts w:ascii="Arial" w:hAnsi="Arial" w:cs="Arial"/>
          <w:color w:val="000000"/>
          <w:sz w:val="20"/>
          <w:szCs w:val="20"/>
        </w:rPr>
        <w:t xml:space="preserve"> per J Forrest J</w:t>
      </w:r>
      <w:r w:rsidR="00277ADB">
        <w:rPr>
          <w:rFonts w:ascii="Arial" w:hAnsi="Arial" w:cs="Arial"/>
          <w:color w:val="000000"/>
          <w:sz w:val="20"/>
          <w:szCs w:val="20"/>
        </w:rPr>
        <w:t xml:space="preserve">; </w:t>
      </w:r>
      <w:r w:rsidR="00277ADB" w:rsidRPr="00277ADB">
        <w:rPr>
          <w:rFonts w:ascii="Arial" w:hAnsi="Arial" w:cs="Arial"/>
          <w:i/>
          <w:iCs/>
          <w:color w:val="000000"/>
          <w:sz w:val="20"/>
          <w:szCs w:val="20"/>
        </w:rPr>
        <w:t>Madafferi v The King</w:t>
      </w:r>
      <w:r w:rsidR="00277ADB">
        <w:rPr>
          <w:rFonts w:ascii="Arial" w:hAnsi="Arial" w:cs="Arial"/>
          <w:color w:val="000000"/>
          <w:sz w:val="20"/>
          <w:szCs w:val="20"/>
        </w:rPr>
        <w:t xml:space="preserve"> [2025] VSCA 114 at [5] per McCann JR</w:t>
      </w:r>
      <w:r w:rsidR="00E6623E">
        <w:rPr>
          <w:rFonts w:ascii="Arial" w:hAnsi="Arial" w:cs="Arial"/>
          <w:color w:val="000000"/>
          <w:sz w:val="20"/>
          <w:szCs w:val="20"/>
        </w:rPr>
        <w:t xml:space="preserve">; </w:t>
      </w:r>
      <w:r w:rsidR="00E6623E" w:rsidRPr="00E6623E">
        <w:rPr>
          <w:rFonts w:ascii="Arial" w:hAnsi="Arial" w:cs="Arial"/>
          <w:i/>
          <w:iCs/>
          <w:color w:val="000000"/>
          <w:sz w:val="20"/>
          <w:szCs w:val="20"/>
        </w:rPr>
        <w:t>DPP v Potter</w:t>
      </w:r>
      <w:r w:rsidR="00E6623E">
        <w:rPr>
          <w:rFonts w:ascii="Arial" w:hAnsi="Arial" w:cs="Arial"/>
          <w:color w:val="000000"/>
          <w:sz w:val="20"/>
          <w:szCs w:val="20"/>
        </w:rPr>
        <w:t xml:space="preserve"> [2025] VSC 600 at [51]-[57] per Elliott J</w:t>
      </w:r>
      <w:r w:rsidR="00B05859">
        <w:rPr>
          <w:rFonts w:ascii="Arial" w:hAnsi="Arial" w:cs="Arial"/>
          <w:color w:val="000000"/>
          <w:sz w:val="20"/>
          <w:szCs w:val="20"/>
        </w:rPr>
        <w:t xml:space="preserve">; </w:t>
      </w:r>
      <w:r w:rsidR="00B05859" w:rsidRPr="00B05859">
        <w:rPr>
          <w:rFonts w:ascii="Arial" w:hAnsi="Arial" w:cs="Arial"/>
          <w:i/>
          <w:iCs/>
          <w:color w:val="000000"/>
          <w:sz w:val="20"/>
          <w:szCs w:val="20"/>
        </w:rPr>
        <w:t>Bao v Gu (Subpoena Ruling)</w:t>
      </w:r>
      <w:r w:rsidR="00B05859">
        <w:rPr>
          <w:rFonts w:ascii="Arial" w:hAnsi="Arial" w:cs="Arial"/>
          <w:color w:val="000000"/>
          <w:sz w:val="20"/>
          <w:szCs w:val="20"/>
        </w:rPr>
        <w:t xml:space="preserve"> [2026] VSC 61 at [11]-[17] &amp; [39]-[56]</w:t>
      </w:r>
      <w:r w:rsidR="00566468">
        <w:rPr>
          <w:rFonts w:ascii="Arial" w:hAnsi="Arial" w:cs="Arial"/>
          <w:color w:val="000000"/>
          <w:sz w:val="20"/>
          <w:szCs w:val="20"/>
        </w:rPr>
        <w:t xml:space="preserve">; </w:t>
      </w:r>
      <w:r w:rsidR="00566468" w:rsidRPr="00566468">
        <w:rPr>
          <w:rFonts w:ascii="Arial" w:hAnsi="Arial" w:cs="Arial"/>
          <w:i/>
          <w:iCs/>
          <w:color w:val="000000"/>
          <w:sz w:val="20"/>
          <w:szCs w:val="20"/>
        </w:rPr>
        <w:t xml:space="preserve">Re </w:t>
      </w:r>
      <w:proofErr w:type="spellStart"/>
      <w:r w:rsidR="00566468" w:rsidRPr="00566468">
        <w:rPr>
          <w:rFonts w:ascii="Arial" w:hAnsi="Arial" w:cs="Arial"/>
          <w:i/>
          <w:iCs/>
          <w:color w:val="000000"/>
          <w:sz w:val="20"/>
          <w:szCs w:val="20"/>
        </w:rPr>
        <w:t>Orthodx</w:t>
      </w:r>
      <w:proofErr w:type="spellEnd"/>
      <w:r w:rsidR="00566468" w:rsidRPr="00566468">
        <w:rPr>
          <w:rFonts w:ascii="Arial" w:hAnsi="Arial" w:cs="Arial"/>
          <w:i/>
          <w:iCs/>
          <w:color w:val="000000"/>
          <w:sz w:val="20"/>
          <w:szCs w:val="20"/>
        </w:rPr>
        <w:t xml:space="preserve"> Holdings Ltd</w:t>
      </w:r>
      <w:r w:rsidR="00566468" w:rsidRPr="00566468">
        <w:rPr>
          <w:rFonts w:ascii="Arial" w:hAnsi="Arial" w:cs="Arial"/>
          <w:color w:val="000000"/>
          <w:sz w:val="20"/>
          <w:szCs w:val="20"/>
        </w:rPr>
        <w:t xml:space="preserve"> [2026] VSC 113</w:t>
      </w:r>
      <w:r w:rsidR="00566468">
        <w:rPr>
          <w:rFonts w:ascii="Arial" w:hAnsi="Arial" w:cs="Arial"/>
          <w:color w:val="000000"/>
          <w:sz w:val="20"/>
          <w:szCs w:val="20"/>
        </w:rPr>
        <w:t xml:space="preserve"> at [2</w:t>
      </w:r>
      <w:r w:rsidR="00721B19">
        <w:rPr>
          <w:rFonts w:ascii="Arial" w:hAnsi="Arial" w:cs="Arial"/>
          <w:color w:val="000000"/>
          <w:sz w:val="20"/>
          <w:szCs w:val="20"/>
        </w:rPr>
        <w:t>7</w:t>
      </w:r>
      <w:r w:rsidR="00566468">
        <w:rPr>
          <w:rFonts w:ascii="Arial" w:hAnsi="Arial" w:cs="Arial"/>
          <w:color w:val="000000"/>
          <w:sz w:val="20"/>
          <w:szCs w:val="20"/>
        </w:rPr>
        <w:t>]-[</w:t>
      </w:r>
      <w:r w:rsidR="00721B19">
        <w:rPr>
          <w:rFonts w:ascii="Arial" w:hAnsi="Arial" w:cs="Arial"/>
          <w:color w:val="000000"/>
          <w:sz w:val="20"/>
          <w:szCs w:val="20"/>
        </w:rPr>
        <w:t>30</w:t>
      </w:r>
      <w:r w:rsidR="00566468">
        <w:rPr>
          <w:rFonts w:ascii="Arial" w:hAnsi="Arial" w:cs="Arial"/>
          <w:color w:val="000000"/>
          <w:sz w:val="20"/>
          <w:szCs w:val="20"/>
        </w:rPr>
        <w:t>]</w:t>
      </w:r>
      <w:r w:rsidR="00A51C57">
        <w:rPr>
          <w:rFonts w:ascii="Arial" w:hAnsi="Arial" w:cs="Arial"/>
          <w:color w:val="000000"/>
          <w:sz w:val="20"/>
          <w:szCs w:val="20"/>
        </w:rPr>
        <w:t xml:space="preserve">; </w:t>
      </w:r>
      <w:proofErr w:type="spellStart"/>
      <w:r w:rsidR="00A51C57" w:rsidRPr="00A51C57">
        <w:rPr>
          <w:rFonts w:ascii="Arial" w:hAnsi="Arial" w:cs="Arial"/>
          <w:i/>
          <w:iCs/>
          <w:color w:val="000000"/>
          <w:sz w:val="20"/>
          <w:szCs w:val="20"/>
        </w:rPr>
        <w:t>Goussis</w:t>
      </w:r>
      <w:proofErr w:type="spellEnd"/>
      <w:r w:rsidR="00A51C57" w:rsidRPr="00A51C57">
        <w:rPr>
          <w:rFonts w:ascii="Arial" w:hAnsi="Arial" w:cs="Arial"/>
          <w:i/>
          <w:iCs/>
          <w:color w:val="000000"/>
          <w:sz w:val="20"/>
          <w:szCs w:val="20"/>
        </w:rPr>
        <w:t xml:space="preserve"> v The King</w:t>
      </w:r>
      <w:r w:rsidR="00A51C57" w:rsidRPr="00A51C57">
        <w:rPr>
          <w:rFonts w:ascii="Arial" w:hAnsi="Arial" w:cs="Arial"/>
          <w:color w:val="000000"/>
          <w:sz w:val="20"/>
          <w:szCs w:val="20"/>
        </w:rPr>
        <w:t xml:space="preserve"> [2026] VSCA 75</w:t>
      </w:r>
      <w:r w:rsidR="00566468">
        <w:rPr>
          <w:rFonts w:ascii="Arial" w:hAnsi="Arial" w:cs="Arial"/>
          <w:color w:val="000000"/>
          <w:sz w:val="20"/>
          <w:szCs w:val="20"/>
        </w:rPr>
        <w:t>.</w:t>
      </w:r>
    </w:p>
    <w:bookmarkEnd w:id="810"/>
    <w:p w14:paraId="236F7418" w14:textId="0CB5B6B7" w:rsidR="00277ADB" w:rsidRDefault="00277ADB" w:rsidP="003F4824">
      <w:pPr>
        <w:jc w:val="both"/>
        <w:rPr>
          <w:rFonts w:ascii="Arial" w:hAnsi="Arial" w:cs="Arial"/>
          <w:color w:val="000000"/>
          <w:sz w:val="20"/>
        </w:rPr>
      </w:pPr>
    </w:p>
    <w:p w14:paraId="5D261D0A" w14:textId="46AA0437" w:rsidR="0007078B" w:rsidRDefault="0007078B" w:rsidP="003F4824">
      <w:pPr>
        <w:jc w:val="both"/>
        <w:rPr>
          <w:rFonts w:ascii="Arial" w:hAnsi="Arial" w:cs="Arial"/>
          <w:color w:val="000000"/>
          <w:sz w:val="20"/>
        </w:rPr>
      </w:pPr>
      <w:r>
        <w:rPr>
          <w:rFonts w:ascii="Arial" w:hAnsi="Arial" w:cs="Arial"/>
          <w:color w:val="000000"/>
          <w:sz w:val="20"/>
        </w:rPr>
        <w:t>The provisions governing witness summonses to produce and to give evidence in proceedings in the Family Division of the Children’s Court are contained in paragraphs [38]-[45] of Practice Direction No 1 of 2025. In particular paragraphs [39]-[41] provide:</w:t>
      </w:r>
    </w:p>
    <w:p w14:paraId="337306FE" w14:textId="15C93805" w:rsidR="0007078B" w:rsidRDefault="0007078B" w:rsidP="0007078B">
      <w:pPr>
        <w:spacing w:before="60"/>
        <w:ind w:left="454" w:right="454"/>
        <w:jc w:val="both"/>
        <w:rPr>
          <w:rFonts w:ascii="Arial" w:hAnsi="Arial" w:cs="Arial"/>
          <w:sz w:val="20"/>
        </w:rPr>
      </w:pPr>
      <w:r>
        <w:rPr>
          <w:rFonts w:ascii="Arial" w:hAnsi="Arial" w:cs="Arial"/>
          <w:sz w:val="20"/>
          <w:szCs w:val="20"/>
        </w:rPr>
        <w:t>[39] “</w:t>
      </w:r>
      <w:r>
        <w:rPr>
          <w:rFonts w:ascii="Arial" w:hAnsi="Arial" w:cs="Arial"/>
          <w:sz w:val="20"/>
        </w:rPr>
        <w:t xml:space="preserve">Witness summons to produce (including a witness summons to produce and give evidence) must be filed in the CMS portal. </w:t>
      </w:r>
      <w:r w:rsidRPr="0007078B">
        <w:rPr>
          <w:rFonts w:ascii="Arial" w:hAnsi="Arial" w:cs="Arial"/>
          <w:color w:val="000000"/>
          <w:sz w:val="20"/>
        </w:rPr>
        <w:t>Unless otherwise ordered, the return date of the summons to produce is to be no less than 14 days before the next hearing date.</w:t>
      </w:r>
    </w:p>
    <w:p w14:paraId="08D46BAC" w14:textId="77777777" w:rsidR="0007078B" w:rsidRDefault="0007078B" w:rsidP="00C24890">
      <w:pPr>
        <w:spacing w:before="60"/>
        <w:ind w:left="454" w:right="454"/>
        <w:jc w:val="both"/>
        <w:rPr>
          <w:rFonts w:ascii="Arial" w:hAnsi="Arial" w:cs="Arial"/>
          <w:color w:val="000000"/>
          <w:sz w:val="20"/>
        </w:rPr>
      </w:pPr>
      <w:r>
        <w:rPr>
          <w:rFonts w:ascii="Arial" w:hAnsi="Arial" w:cs="Arial"/>
          <w:sz w:val="20"/>
        </w:rPr>
        <w:t xml:space="preserve">[40] </w:t>
      </w:r>
      <w:r w:rsidRPr="0007078B">
        <w:rPr>
          <w:rFonts w:ascii="Arial" w:hAnsi="Arial" w:cs="Arial"/>
          <w:color w:val="000000"/>
          <w:sz w:val="20"/>
        </w:rPr>
        <w:t>The issuing party must file in the CMS portal as soon as practicable after service upon the producing party:</w:t>
      </w:r>
    </w:p>
    <w:p w14:paraId="20965452" w14:textId="519224B1" w:rsidR="0007078B" w:rsidRDefault="0007078B" w:rsidP="00C24890">
      <w:pPr>
        <w:ind w:left="908" w:right="454" w:hanging="454"/>
        <w:jc w:val="both"/>
        <w:rPr>
          <w:rFonts w:ascii="Arial" w:hAnsi="Arial" w:cs="Arial"/>
          <w:color w:val="000000"/>
          <w:sz w:val="20"/>
        </w:rPr>
      </w:pPr>
      <w:r w:rsidRPr="0007078B">
        <w:rPr>
          <w:rFonts w:ascii="Arial" w:hAnsi="Arial" w:cs="Arial"/>
          <w:color w:val="000000"/>
          <w:sz w:val="20"/>
        </w:rPr>
        <w:t>a.</w:t>
      </w:r>
      <w:r w:rsidR="00C24890">
        <w:rPr>
          <w:rFonts w:ascii="Arial" w:hAnsi="Arial" w:cs="Arial"/>
          <w:color w:val="000000"/>
          <w:sz w:val="20"/>
        </w:rPr>
        <w:tab/>
      </w:r>
      <w:r w:rsidRPr="0007078B">
        <w:rPr>
          <w:rFonts w:ascii="Arial" w:hAnsi="Arial" w:cs="Arial"/>
          <w:color w:val="000000"/>
          <w:sz w:val="20"/>
        </w:rPr>
        <w:t>an affidavit or declaration of service upon the producing party; and</w:t>
      </w:r>
    </w:p>
    <w:p w14:paraId="5EE012F1" w14:textId="1FE09900" w:rsidR="0007078B" w:rsidRDefault="0007078B" w:rsidP="00C24890">
      <w:pPr>
        <w:ind w:left="908" w:right="454" w:hanging="454"/>
        <w:jc w:val="both"/>
        <w:rPr>
          <w:rFonts w:ascii="Arial" w:hAnsi="Arial" w:cs="Arial"/>
          <w:sz w:val="20"/>
          <w:szCs w:val="20"/>
        </w:rPr>
      </w:pPr>
      <w:r w:rsidRPr="0007078B">
        <w:rPr>
          <w:rFonts w:ascii="Arial" w:hAnsi="Arial" w:cs="Arial"/>
          <w:color w:val="000000"/>
          <w:sz w:val="20"/>
        </w:rPr>
        <w:t>b.</w:t>
      </w:r>
      <w:r w:rsidR="00C24890">
        <w:rPr>
          <w:rFonts w:ascii="Arial" w:hAnsi="Arial" w:cs="Arial"/>
          <w:color w:val="000000"/>
          <w:sz w:val="20"/>
        </w:rPr>
        <w:tab/>
      </w:r>
      <w:r w:rsidRPr="0007078B">
        <w:rPr>
          <w:rFonts w:ascii="Arial" w:hAnsi="Arial" w:cs="Arial"/>
          <w:color w:val="000000"/>
          <w:sz w:val="20"/>
        </w:rPr>
        <w:t>confirmation that all legal practitioners for the parties to the proceedings and any parties who are self-represented have been provided a copy of the issued subpoena.</w:t>
      </w:r>
    </w:p>
    <w:p w14:paraId="55438B21" w14:textId="1BDEA2D2" w:rsidR="0007078B" w:rsidRDefault="0007078B" w:rsidP="00C24890">
      <w:pPr>
        <w:spacing w:before="60"/>
        <w:ind w:left="454" w:right="454"/>
        <w:jc w:val="both"/>
        <w:rPr>
          <w:rFonts w:ascii="Arial" w:hAnsi="Arial" w:cs="Arial"/>
          <w:sz w:val="20"/>
          <w:szCs w:val="20"/>
        </w:rPr>
      </w:pPr>
      <w:r>
        <w:rPr>
          <w:rFonts w:ascii="Arial" w:hAnsi="Arial" w:cs="Arial"/>
          <w:sz w:val="20"/>
          <w:szCs w:val="20"/>
        </w:rPr>
        <w:t>[</w:t>
      </w:r>
      <w:r w:rsidR="00C24890">
        <w:rPr>
          <w:rFonts w:ascii="Arial" w:hAnsi="Arial" w:cs="Arial"/>
          <w:sz w:val="20"/>
          <w:szCs w:val="20"/>
        </w:rPr>
        <w:t>41</w:t>
      </w:r>
      <w:r>
        <w:rPr>
          <w:rFonts w:ascii="Arial" w:hAnsi="Arial" w:cs="Arial"/>
          <w:sz w:val="20"/>
          <w:szCs w:val="20"/>
        </w:rPr>
        <w:t>]</w:t>
      </w:r>
      <w:r w:rsidR="00C24890">
        <w:rPr>
          <w:rFonts w:ascii="Arial" w:hAnsi="Arial" w:cs="Arial"/>
          <w:sz w:val="20"/>
          <w:szCs w:val="20"/>
        </w:rPr>
        <w:t xml:space="preserve"> </w:t>
      </w:r>
      <w:r w:rsidR="00C24890" w:rsidRPr="0007078B">
        <w:rPr>
          <w:rFonts w:ascii="Arial" w:hAnsi="Arial" w:cs="Arial"/>
          <w:color w:val="000000"/>
          <w:sz w:val="20"/>
        </w:rPr>
        <w:t>Where DFFH or an authorised Aboriginal agency is an addressee (recipient) of a witness summons to produce they must produce the document or thing by filing in the CMS portal unless it is impracticable to do so</w:t>
      </w:r>
      <w:r w:rsidRPr="003F685D">
        <w:rPr>
          <w:rFonts w:ascii="Arial" w:hAnsi="Arial" w:cs="Arial"/>
          <w:sz w:val="20"/>
          <w:szCs w:val="20"/>
        </w:rPr>
        <w:t>.</w:t>
      </w:r>
      <w:r>
        <w:rPr>
          <w:rFonts w:ascii="Arial" w:hAnsi="Arial" w:cs="Arial"/>
          <w:sz w:val="20"/>
          <w:szCs w:val="20"/>
        </w:rPr>
        <w:t>”</w:t>
      </w:r>
    </w:p>
    <w:p w14:paraId="145AFD11" w14:textId="77777777" w:rsidR="0007078B" w:rsidRDefault="0007078B" w:rsidP="003F4824">
      <w:pPr>
        <w:jc w:val="both"/>
        <w:rPr>
          <w:rFonts w:ascii="Arial" w:hAnsi="Arial" w:cs="Arial"/>
          <w:color w:val="000000"/>
          <w:sz w:val="20"/>
        </w:rPr>
      </w:pPr>
    </w:p>
    <w:p w14:paraId="5F7BAFF0" w14:textId="1ED96B6F" w:rsidR="00A16185" w:rsidRPr="0040353D" w:rsidRDefault="00A16185" w:rsidP="003F4824">
      <w:pPr>
        <w:jc w:val="both"/>
        <w:rPr>
          <w:rFonts w:ascii="Arial" w:hAnsi="Arial" w:cs="Arial"/>
          <w:color w:val="000000"/>
          <w:sz w:val="20"/>
        </w:rPr>
      </w:pPr>
      <w:r w:rsidRPr="0040353D">
        <w:rPr>
          <w:rFonts w:ascii="Arial" w:hAnsi="Arial" w:cs="Arial"/>
          <w:color w:val="000000"/>
          <w:sz w:val="20"/>
        </w:rPr>
        <w:t xml:space="preserve">In </w:t>
      </w:r>
      <w:r w:rsidRPr="0040353D">
        <w:rPr>
          <w:rFonts w:ascii="Arial" w:hAnsi="Arial" w:cs="Arial"/>
          <w:i/>
          <w:color w:val="000000"/>
          <w:sz w:val="20"/>
        </w:rPr>
        <w:t>Hodgson v Amcor Ltd; Amcor Ltd v Barnes (No.4)</w:t>
      </w:r>
      <w:r w:rsidRPr="0040353D">
        <w:rPr>
          <w:rFonts w:ascii="Arial" w:hAnsi="Arial" w:cs="Arial"/>
          <w:color w:val="000000"/>
          <w:sz w:val="20"/>
        </w:rPr>
        <w:t xml:space="preserve"> [2011] VSC 269 Vickery J summarized the common law in relation to subpoenas </w:t>
      </w:r>
      <w:r w:rsidR="0059676A">
        <w:rPr>
          <w:rFonts w:ascii="Arial" w:hAnsi="Arial" w:cs="Arial"/>
          <w:color w:val="000000"/>
          <w:sz w:val="20"/>
        </w:rPr>
        <w:t xml:space="preserve">at [57]-[59] </w:t>
      </w:r>
      <w:r w:rsidRPr="0040353D">
        <w:rPr>
          <w:rFonts w:ascii="Arial" w:hAnsi="Arial" w:cs="Arial"/>
          <w:color w:val="000000"/>
          <w:sz w:val="20"/>
        </w:rPr>
        <w:t>as follows:</w:t>
      </w:r>
    </w:p>
    <w:p w14:paraId="2719860C" w14:textId="77777777" w:rsidR="00A16185" w:rsidRPr="0040353D" w:rsidRDefault="00A16185" w:rsidP="00A16185">
      <w:pPr>
        <w:spacing w:before="60"/>
        <w:ind w:left="454" w:right="454"/>
        <w:jc w:val="both"/>
        <w:rPr>
          <w:rFonts w:ascii="Arial" w:hAnsi="Arial" w:cs="Arial"/>
          <w:iCs/>
          <w:color w:val="000000"/>
          <w:sz w:val="20"/>
        </w:rPr>
      </w:pPr>
      <w:r w:rsidRPr="0040353D">
        <w:rPr>
          <w:rFonts w:ascii="Arial" w:hAnsi="Arial" w:cs="Arial"/>
          <w:iCs/>
          <w:color w:val="000000"/>
          <w:sz w:val="20"/>
        </w:rPr>
        <w:t xml:space="preserve">“(1) </w:t>
      </w:r>
      <w:r w:rsidRPr="0040353D">
        <w:rPr>
          <w:rFonts w:ascii="Arial" w:hAnsi="Arial" w:cs="Arial"/>
          <w:color w:val="000000"/>
          <w:sz w:val="20"/>
        </w:rPr>
        <w:t>A person served with a subpoena to produce, requiring the production of specified documents, must attend at the place directed by the subpoena and produce such of the specified documents which he or she is able to produce, unless he or she can establish some good reason why the documents should not be produced.</w:t>
      </w:r>
    </w:p>
    <w:p w14:paraId="19383781" w14:textId="77777777" w:rsidR="00A16185" w:rsidRPr="0040353D" w:rsidRDefault="00A16185" w:rsidP="00A16185">
      <w:pPr>
        <w:spacing w:before="60"/>
        <w:ind w:left="454" w:right="454"/>
        <w:jc w:val="both"/>
        <w:rPr>
          <w:rFonts w:ascii="Arial" w:hAnsi="Arial" w:cs="Arial"/>
          <w:iCs/>
          <w:color w:val="000000"/>
          <w:sz w:val="20"/>
        </w:rPr>
      </w:pPr>
      <w:r w:rsidRPr="0040353D">
        <w:rPr>
          <w:rFonts w:ascii="Arial" w:hAnsi="Arial" w:cs="Arial"/>
          <w:iCs/>
          <w:color w:val="000000"/>
          <w:sz w:val="20"/>
        </w:rPr>
        <w:t xml:space="preserve">(2) </w:t>
      </w:r>
      <w:r w:rsidRPr="0040353D">
        <w:rPr>
          <w:rFonts w:ascii="Arial" w:hAnsi="Arial" w:cs="Arial"/>
          <w:color w:val="000000"/>
          <w:sz w:val="20"/>
        </w:rPr>
        <w:t>Production of documents under subpoena to produce means production to the court, not to a party.</w:t>
      </w:r>
    </w:p>
    <w:p w14:paraId="1CB60BBC" w14:textId="77777777" w:rsidR="00A16185" w:rsidRPr="0040353D" w:rsidRDefault="00A16185" w:rsidP="00E55E47">
      <w:pPr>
        <w:spacing w:before="60"/>
        <w:ind w:left="454" w:right="454"/>
        <w:jc w:val="both"/>
        <w:rPr>
          <w:rFonts w:ascii="Arial" w:hAnsi="Arial" w:cs="Arial"/>
          <w:iCs/>
          <w:color w:val="000000"/>
          <w:sz w:val="20"/>
        </w:rPr>
      </w:pPr>
      <w:r w:rsidRPr="0040353D">
        <w:rPr>
          <w:rFonts w:ascii="Arial" w:hAnsi="Arial" w:cs="Arial"/>
          <w:iCs/>
          <w:color w:val="000000"/>
          <w:sz w:val="20"/>
        </w:rPr>
        <w:t xml:space="preserve">(3) </w:t>
      </w:r>
      <w:r w:rsidRPr="0040353D">
        <w:rPr>
          <w:rFonts w:ascii="Arial" w:hAnsi="Arial" w:cs="Arial"/>
          <w:color w:val="000000"/>
          <w:sz w:val="20"/>
          <w:szCs w:val="20"/>
        </w:rPr>
        <w:t>Upon the production of a document to the court, the court takes the document into its custody to use it for the temporary purpose of resolving disputed questions of fact.  That power is essential to the proper administration of justice and prevails over private property rights.</w:t>
      </w:r>
    </w:p>
    <w:p w14:paraId="0EECE3CC" w14:textId="77777777" w:rsidR="00A16185" w:rsidRPr="0040353D" w:rsidRDefault="00A16185" w:rsidP="00A16185">
      <w:pPr>
        <w:spacing w:before="60"/>
        <w:ind w:left="454" w:right="454"/>
        <w:jc w:val="both"/>
        <w:rPr>
          <w:rFonts w:ascii="Arial" w:hAnsi="Arial" w:cs="Arial"/>
          <w:color w:val="000000"/>
          <w:sz w:val="20"/>
        </w:rPr>
      </w:pPr>
      <w:r w:rsidRPr="0040353D">
        <w:rPr>
          <w:rFonts w:ascii="Arial" w:hAnsi="Arial" w:cs="Arial"/>
          <w:iCs/>
          <w:color w:val="000000"/>
          <w:sz w:val="20"/>
        </w:rPr>
        <w:lastRenderedPageBreak/>
        <w:t xml:space="preserve">(4) </w:t>
      </w:r>
      <w:r w:rsidRPr="0040353D">
        <w:rPr>
          <w:rFonts w:ascii="Arial" w:hAnsi="Arial" w:cs="Arial"/>
          <w:color w:val="000000"/>
          <w:sz w:val="20"/>
        </w:rPr>
        <w:t>The court has a discretion to allow a party to inspect a document that appears to be relevant to the issues, whether or not it is in admissible form.</w:t>
      </w:r>
    </w:p>
    <w:p w14:paraId="30EBBAF0" w14:textId="77777777" w:rsidR="005942F2" w:rsidRPr="0040353D" w:rsidRDefault="005942F2" w:rsidP="00A16185">
      <w:pPr>
        <w:spacing w:before="60"/>
        <w:ind w:left="454" w:right="454"/>
        <w:jc w:val="both"/>
        <w:rPr>
          <w:rFonts w:ascii="Arial" w:hAnsi="Arial" w:cs="Arial"/>
          <w:iCs/>
          <w:color w:val="000000"/>
          <w:sz w:val="20"/>
        </w:rPr>
      </w:pPr>
      <w:r w:rsidRPr="0040353D">
        <w:rPr>
          <w:rFonts w:ascii="Arial" w:hAnsi="Arial" w:cs="Arial"/>
          <w:color w:val="000000"/>
          <w:sz w:val="20"/>
        </w:rPr>
        <w:t>(5) A party having a legitimate forensic purpose in seeing a document will not ordinarily be denied inspection by the circumstance of the document not being admissible in evidence.</w:t>
      </w:r>
    </w:p>
    <w:p w14:paraId="5E6F5B02" w14:textId="77777777" w:rsidR="005942F2" w:rsidRPr="0040353D" w:rsidRDefault="005942F2" w:rsidP="005942F2">
      <w:pPr>
        <w:spacing w:before="120"/>
        <w:ind w:left="454" w:right="454"/>
        <w:jc w:val="both"/>
        <w:rPr>
          <w:rFonts w:ascii="Arial" w:hAnsi="Arial" w:cs="Arial"/>
          <w:iCs/>
          <w:color w:val="000000"/>
          <w:sz w:val="20"/>
        </w:rPr>
      </w:pPr>
      <w:r w:rsidRPr="0040353D">
        <w:rPr>
          <w:rFonts w:ascii="Arial" w:hAnsi="Arial" w:cs="Arial"/>
          <w:color w:val="000000"/>
          <w:sz w:val="20"/>
        </w:rPr>
        <w:t xml:space="preserve">The procedure is summarised by the steps described by Moffat PA in </w:t>
      </w:r>
      <w:r w:rsidRPr="0040353D">
        <w:rPr>
          <w:rFonts w:ascii="Arial" w:hAnsi="Arial" w:cs="Arial"/>
          <w:i/>
          <w:color w:val="000000"/>
          <w:sz w:val="20"/>
        </w:rPr>
        <w:t>Waind v Hill &amp; National Employers Mutual</w:t>
      </w:r>
      <w:r w:rsidRPr="0040353D">
        <w:rPr>
          <w:rFonts w:ascii="Arial" w:hAnsi="Arial" w:cs="Arial"/>
          <w:color w:val="000000"/>
          <w:sz w:val="20"/>
        </w:rPr>
        <w:t xml:space="preserve"> [1978] 1 NSWLR 372 at 381, where his Honour said as follows:</w:t>
      </w:r>
    </w:p>
    <w:p w14:paraId="7103430D" w14:textId="21DC4CEB" w:rsidR="005942F2" w:rsidRPr="00C24890" w:rsidRDefault="005942F2" w:rsidP="00A13B31">
      <w:pPr>
        <w:spacing w:before="60"/>
        <w:ind w:left="907" w:right="907"/>
        <w:jc w:val="both"/>
        <w:rPr>
          <w:rFonts w:ascii="Arial" w:hAnsi="Arial" w:cs="Arial"/>
          <w:iCs/>
          <w:color w:val="000000"/>
          <w:sz w:val="18"/>
        </w:rPr>
      </w:pPr>
      <w:r w:rsidRPr="00C24890">
        <w:rPr>
          <w:rFonts w:ascii="Arial" w:hAnsi="Arial" w:cs="Arial"/>
          <w:iCs/>
          <w:color w:val="000000"/>
          <w:sz w:val="18"/>
        </w:rPr>
        <w:t>‘</w:t>
      </w:r>
      <w:r w:rsidRPr="00C24890">
        <w:rPr>
          <w:rFonts w:ascii="Arial" w:hAnsi="Arial" w:cs="Arial"/>
          <w:color w:val="000000"/>
          <w:sz w:val="18"/>
          <w:szCs w:val="22"/>
        </w:rPr>
        <w:t xml:space="preserve">As Jordan CJ pointed out in </w:t>
      </w:r>
      <w:r w:rsidRPr="00C24890">
        <w:rPr>
          <w:rFonts w:ascii="Arial" w:hAnsi="Arial" w:cs="Arial"/>
          <w:i/>
          <w:color w:val="000000"/>
          <w:sz w:val="18"/>
          <w:szCs w:val="22"/>
        </w:rPr>
        <w:t>Small</w:t>
      </w:r>
      <w:r w:rsidR="000F0BE9" w:rsidRPr="00C24890">
        <w:rPr>
          <w:rFonts w:ascii="Arial" w:hAnsi="Arial" w:cs="Arial"/>
          <w:i/>
          <w:color w:val="000000"/>
          <w:sz w:val="18"/>
          <w:szCs w:val="22"/>
        </w:rPr>
        <w:t>’</w:t>
      </w:r>
      <w:r w:rsidRPr="00C24890">
        <w:rPr>
          <w:rFonts w:ascii="Arial" w:hAnsi="Arial" w:cs="Arial"/>
          <w:i/>
          <w:color w:val="000000"/>
          <w:sz w:val="18"/>
          <w:szCs w:val="22"/>
        </w:rPr>
        <w:t>s</w:t>
      </w:r>
      <w:r w:rsidRPr="00C24890">
        <w:rPr>
          <w:rFonts w:ascii="Arial" w:hAnsi="Arial" w:cs="Arial"/>
          <w:color w:val="000000"/>
          <w:sz w:val="18"/>
          <w:szCs w:val="22"/>
        </w:rPr>
        <w:t xml:space="preserve"> case, as appears in </w:t>
      </w:r>
      <w:r w:rsidRPr="00C24890">
        <w:rPr>
          <w:rFonts w:ascii="Arial" w:hAnsi="Arial" w:cs="Arial"/>
          <w:i/>
          <w:color w:val="000000"/>
          <w:sz w:val="18"/>
          <w:szCs w:val="22"/>
        </w:rPr>
        <w:t>Birchett</w:t>
      </w:r>
      <w:r w:rsidR="000F0BE9" w:rsidRPr="00C24890">
        <w:rPr>
          <w:rFonts w:ascii="Arial" w:hAnsi="Arial" w:cs="Arial"/>
          <w:i/>
          <w:color w:val="000000"/>
          <w:sz w:val="18"/>
          <w:szCs w:val="22"/>
        </w:rPr>
        <w:t>’</w:t>
      </w:r>
      <w:r w:rsidRPr="00C24890">
        <w:rPr>
          <w:rFonts w:ascii="Arial" w:hAnsi="Arial" w:cs="Arial"/>
          <w:i/>
          <w:color w:val="000000"/>
          <w:sz w:val="18"/>
          <w:szCs w:val="22"/>
        </w:rPr>
        <w:t>s</w:t>
      </w:r>
      <w:r w:rsidRPr="00C24890">
        <w:rPr>
          <w:rFonts w:ascii="Arial" w:hAnsi="Arial" w:cs="Arial"/>
          <w:color w:val="000000"/>
          <w:sz w:val="18"/>
          <w:szCs w:val="22"/>
        </w:rPr>
        <w:t xml:space="preserve"> case, there are at least two steps in the procedure of having a third party bring documents to court, and in their use thereafter.  Indeed on a correct view there are three steps.  The first is obeying the subpoena by the witness bringing the documents to the court and handing them to the judge.  This step involves the termination of any objections of the witness to the subpoena or to the production of the documents to the court pursuant to the subpoena.  The second step is the decision of the judge concerning the preliminary use of the documents which includes whether or not permission should be given to a party or to parties to inspect the documents.  The third step is the admission into evidence of the document in whole or in part or the use of it in the process of evidence being put before the court by cross-examination or otherwise.’</w:t>
      </w:r>
    </w:p>
    <w:p w14:paraId="25303612" w14:textId="5F3D5021" w:rsidR="005942F2" w:rsidRPr="0040353D" w:rsidRDefault="005942F2" w:rsidP="005942F2">
      <w:pPr>
        <w:spacing w:before="120"/>
        <w:ind w:left="454" w:right="454"/>
        <w:jc w:val="both"/>
        <w:rPr>
          <w:rFonts w:ascii="Arial" w:hAnsi="Arial" w:cs="Arial"/>
          <w:iCs/>
          <w:color w:val="000000"/>
          <w:sz w:val="20"/>
        </w:rPr>
      </w:pPr>
      <w:r w:rsidRPr="0040353D">
        <w:rPr>
          <w:rFonts w:ascii="Arial" w:hAnsi="Arial" w:cs="Arial"/>
          <w:iCs/>
          <w:color w:val="000000"/>
          <w:sz w:val="20"/>
        </w:rPr>
        <w:t xml:space="preserve">It is during </w:t>
      </w:r>
      <w:r w:rsidRPr="0040353D">
        <w:rPr>
          <w:rFonts w:ascii="Arial" w:hAnsi="Arial" w:cs="Arial"/>
          <w:color w:val="000000"/>
          <w:sz w:val="20"/>
        </w:rPr>
        <w:t xml:space="preserve">the second step described in </w:t>
      </w:r>
      <w:r w:rsidRPr="0040353D">
        <w:rPr>
          <w:rFonts w:ascii="Arial" w:hAnsi="Arial" w:cs="Arial"/>
          <w:i/>
          <w:color w:val="000000"/>
          <w:sz w:val="20"/>
        </w:rPr>
        <w:t>Waind’s</w:t>
      </w:r>
      <w:r w:rsidRPr="0040353D">
        <w:rPr>
          <w:rFonts w:ascii="Arial" w:hAnsi="Arial" w:cs="Arial"/>
          <w:color w:val="000000"/>
          <w:sz w:val="20"/>
        </w:rPr>
        <w:t xml:space="preserve"> case that issues such as privilege are determined.  If the document in issue is determined to be privileged, the document may not be released to other parties upon their request</w:t>
      </w:r>
      <w:r w:rsidR="0059676A">
        <w:rPr>
          <w:rFonts w:ascii="Arial" w:hAnsi="Arial" w:cs="Arial"/>
          <w:color w:val="000000"/>
          <w:sz w:val="20"/>
        </w:rPr>
        <w:t>.”</w:t>
      </w:r>
    </w:p>
    <w:p w14:paraId="45971D31" w14:textId="0098A6EC" w:rsidR="0057380D" w:rsidRDefault="0057380D" w:rsidP="0057380D">
      <w:pPr>
        <w:jc w:val="both"/>
        <w:rPr>
          <w:rFonts w:ascii="Arial" w:hAnsi="Arial" w:cs="Arial"/>
          <w:color w:val="000000"/>
          <w:sz w:val="20"/>
        </w:rPr>
      </w:pPr>
    </w:p>
    <w:p w14:paraId="6C27B345" w14:textId="112E9278" w:rsidR="0055596A" w:rsidRDefault="0055596A" w:rsidP="0057380D">
      <w:pPr>
        <w:jc w:val="both"/>
        <w:rPr>
          <w:rFonts w:ascii="Arial" w:hAnsi="Arial" w:cs="Arial"/>
          <w:color w:val="000000"/>
          <w:sz w:val="20"/>
        </w:rPr>
      </w:pPr>
      <w:r>
        <w:rPr>
          <w:rFonts w:ascii="Arial" w:hAnsi="Arial" w:cs="Arial"/>
          <w:color w:val="000000"/>
          <w:sz w:val="20"/>
        </w:rPr>
        <w:t xml:space="preserve">In relation to the point </w:t>
      </w:r>
      <w:r w:rsidR="006C5AFD">
        <w:rPr>
          <w:rFonts w:ascii="Arial" w:hAnsi="Arial" w:cs="Arial"/>
          <w:color w:val="000000"/>
          <w:sz w:val="20"/>
        </w:rPr>
        <w:t xml:space="preserve">(5) of the summary of Vickery J </w:t>
      </w:r>
      <w:r>
        <w:rPr>
          <w:rFonts w:ascii="Arial" w:hAnsi="Arial" w:cs="Arial"/>
          <w:color w:val="000000"/>
          <w:sz w:val="20"/>
        </w:rPr>
        <w:t xml:space="preserve">– relating to </w:t>
      </w:r>
      <w:r w:rsidR="00852081">
        <w:rPr>
          <w:rFonts w:ascii="Arial" w:hAnsi="Arial" w:cs="Arial"/>
          <w:color w:val="000000"/>
          <w:sz w:val="20"/>
        </w:rPr>
        <w:t>in</w:t>
      </w:r>
      <w:r>
        <w:rPr>
          <w:rFonts w:ascii="Arial" w:hAnsi="Arial" w:cs="Arial"/>
          <w:color w:val="000000"/>
          <w:sz w:val="20"/>
        </w:rPr>
        <w:t xml:space="preserve">admissibility </w:t>
      </w:r>
      <w:r w:rsidR="00852081">
        <w:rPr>
          <w:rFonts w:ascii="Arial" w:hAnsi="Arial" w:cs="Arial"/>
          <w:color w:val="000000"/>
          <w:sz w:val="20"/>
        </w:rPr>
        <w:t xml:space="preserve">of a document </w:t>
      </w:r>
      <w:r>
        <w:rPr>
          <w:rFonts w:ascii="Arial" w:hAnsi="Arial" w:cs="Arial"/>
          <w:color w:val="000000"/>
          <w:sz w:val="20"/>
        </w:rPr>
        <w:t xml:space="preserve">– in refusing leave to appeal in </w:t>
      </w:r>
      <w:r w:rsidRPr="0055596A">
        <w:rPr>
          <w:rFonts w:ascii="Arial" w:hAnsi="Arial" w:cs="Arial"/>
          <w:i/>
          <w:iCs/>
          <w:color w:val="000000"/>
          <w:sz w:val="20"/>
        </w:rPr>
        <w:t>Ali Charles (a pseudonym) v The Society of Jesus in Australia Limited</w:t>
      </w:r>
      <w:r w:rsidRPr="0055596A">
        <w:rPr>
          <w:rFonts w:ascii="Arial" w:hAnsi="Arial" w:cs="Arial"/>
          <w:color w:val="000000"/>
          <w:sz w:val="20"/>
        </w:rPr>
        <w:t xml:space="preserve"> [2026] VSCA 49</w:t>
      </w:r>
      <w:r>
        <w:rPr>
          <w:rFonts w:ascii="Arial" w:hAnsi="Arial" w:cs="Arial"/>
          <w:color w:val="000000"/>
          <w:sz w:val="20"/>
        </w:rPr>
        <w:t xml:space="preserve"> Beach &amp; Donaghue JJA said at [49]:</w:t>
      </w:r>
    </w:p>
    <w:p w14:paraId="4C2C867A" w14:textId="1EFA511B" w:rsidR="0055596A" w:rsidRDefault="0055596A" w:rsidP="0055596A">
      <w:pPr>
        <w:spacing w:before="60"/>
        <w:ind w:left="454" w:right="454"/>
        <w:jc w:val="both"/>
        <w:rPr>
          <w:rFonts w:ascii="Arial" w:hAnsi="Arial" w:cs="Arial"/>
          <w:color w:val="000000"/>
          <w:sz w:val="20"/>
        </w:rPr>
      </w:pPr>
      <w:r>
        <w:rPr>
          <w:rFonts w:ascii="Arial" w:hAnsi="Arial" w:cs="Arial"/>
          <w:iCs/>
          <w:color w:val="000000"/>
          <w:sz w:val="20"/>
        </w:rPr>
        <w:t>“</w:t>
      </w:r>
      <w:r w:rsidRPr="0055596A">
        <w:rPr>
          <w:rFonts w:ascii="Arial" w:hAnsi="Arial" w:cs="Arial"/>
          <w:color w:val="000000"/>
          <w:sz w:val="20"/>
        </w:rPr>
        <w:t xml:space="preserve">There can be no doubt that to refuse an application for discovery because a document may not be (or is not) admissible under the </w:t>
      </w:r>
      <w:r w:rsidRPr="006C5AFD">
        <w:rPr>
          <w:rFonts w:ascii="Arial" w:hAnsi="Arial" w:cs="Arial"/>
          <w:i/>
          <w:iCs/>
          <w:color w:val="000000"/>
          <w:sz w:val="20"/>
        </w:rPr>
        <w:t>Evidence Act</w:t>
      </w:r>
      <w:r w:rsidRPr="0055596A">
        <w:rPr>
          <w:rFonts w:ascii="Arial" w:hAnsi="Arial" w:cs="Arial"/>
          <w:color w:val="000000"/>
          <w:sz w:val="20"/>
        </w:rPr>
        <w:t xml:space="preserve"> would be erroneous. As J Forrest J observed in </w:t>
      </w:r>
      <w:r w:rsidRPr="00852081">
        <w:rPr>
          <w:rFonts w:ascii="Arial" w:hAnsi="Arial" w:cs="Arial"/>
          <w:i/>
          <w:iCs/>
          <w:color w:val="000000"/>
          <w:sz w:val="20"/>
        </w:rPr>
        <w:t>Volunteer Fire Brigades Victoria Inc v Country Fire Authority</w:t>
      </w:r>
      <w:r w:rsidR="00852081">
        <w:rPr>
          <w:rFonts w:ascii="Arial" w:hAnsi="Arial" w:cs="Arial"/>
          <w:color w:val="000000"/>
          <w:sz w:val="20"/>
        </w:rPr>
        <w:t xml:space="preserve"> </w:t>
      </w:r>
      <w:r w:rsidR="00852081" w:rsidRPr="00852081">
        <w:rPr>
          <w:rFonts w:ascii="Arial" w:hAnsi="Arial" w:cs="Arial"/>
          <w:color w:val="000000"/>
          <w:sz w:val="20"/>
        </w:rPr>
        <w:t>[2016] VSC 573, [40]</w:t>
      </w:r>
      <w:r w:rsidRPr="0055596A">
        <w:rPr>
          <w:rFonts w:ascii="Arial" w:hAnsi="Arial" w:cs="Arial"/>
          <w:color w:val="000000"/>
          <w:sz w:val="20"/>
        </w:rPr>
        <w:t>:</w:t>
      </w:r>
    </w:p>
    <w:p w14:paraId="495C6851" w14:textId="44B3128A" w:rsidR="0055596A" w:rsidRPr="0055596A" w:rsidRDefault="0055596A" w:rsidP="0055596A">
      <w:pPr>
        <w:spacing w:before="60"/>
        <w:ind w:left="907" w:right="907"/>
        <w:jc w:val="both"/>
        <w:rPr>
          <w:rFonts w:ascii="Arial" w:hAnsi="Arial" w:cs="Arial"/>
          <w:b/>
          <w:bCs/>
          <w:iCs/>
          <w:color w:val="000000"/>
          <w:sz w:val="18"/>
          <w:szCs w:val="22"/>
        </w:rPr>
      </w:pPr>
      <w:r w:rsidRPr="0055596A">
        <w:rPr>
          <w:rFonts w:ascii="Arial" w:hAnsi="Arial" w:cs="Arial"/>
          <w:color w:val="000000"/>
          <w:sz w:val="18"/>
          <w:szCs w:val="22"/>
        </w:rPr>
        <w:t>Discovery has never been limited in such a way; discovery is an integral component in trial preparation. Discovery is not concerned with admissibility: it is part of the fact finding exercise in getting a case to trial … [I]t is not for this Court on an interlocutory application to determine whether a potentially discoverable document will or will not be admissible at trial: that is the function of the trial judge</w:t>
      </w:r>
      <w:r w:rsidR="00852081">
        <w:rPr>
          <w:rFonts w:ascii="Arial" w:hAnsi="Arial" w:cs="Arial"/>
          <w:color w:val="000000"/>
          <w:sz w:val="18"/>
          <w:szCs w:val="22"/>
        </w:rPr>
        <w:t>.”</w:t>
      </w:r>
    </w:p>
    <w:p w14:paraId="3FD58BE6" w14:textId="77777777" w:rsidR="0055596A" w:rsidRDefault="0055596A" w:rsidP="0057380D">
      <w:pPr>
        <w:jc w:val="both"/>
        <w:rPr>
          <w:rFonts w:ascii="Arial" w:hAnsi="Arial" w:cs="Arial"/>
          <w:color w:val="000000"/>
          <w:sz w:val="20"/>
        </w:rPr>
      </w:pPr>
    </w:p>
    <w:p w14:paraId="7B486C05" w14:textId="574D6025" w:rsidR="001703F5" w:rsidRDefault="001703F5" w:rsidP="0057380D">
      <w:pPr>
        <w:jc w:val="both"/>
        <w:rPr>
          <w:rFonts w:ascii="Arial" w:hAnsi="Arial" w:cs="Arial"/>
          <w:color w:val="000000"/>
          <w:sz w:val="20"/>
        </w:rPr>
      </w:pPr>
      <w:r>
        <w:rPr>
          <w:rFonts w:ascii="Arial" w:hAnsi="Arial" w:cs="Arial"/>
          <w:color w:val="000000"/>
          <w:sz w:val="20"/>
        </w:rPr>
        <w:t xml:space="preserve">On the issue of “a legitimate forensic purpose”, in </w:t>
      </w:r>
      <w:r w:rsidRPr="001703F5">
        <w:rPr>
          <w:rFonts w:ascii="Arial" w:hAnsi="Arial" w:cs="Arial"/>
          <w:i/>
          <w:iCs/>
          <w:color w:val="000000"/>
          <w:sz w:val="20"/>
        </w:rPr>
        <w:t>Smith v Trustees of the Christian Brothers</w:t>
      </w:r>
      <w:r>
        <w:rPr>
          <w:rFonts w:ascii="Arial" w:hAnsi="Arial" w:cs="Arial"/>
          <w:color w:val="000000"/>
          <w:sz w:val="20"/>
        </w:rPr>
        <w:t xml:space="preserve"> [2023] VSC 171 John Dixon J said at [13]-[14]:</w:t>
      </w:r>
    </w:p>
    <w:p w14:paraId="147575D3" w14:textId="77777777" w:rsidR="00C5494A" w:rsidRDefault="00C5494A" w:rsidP="001703F5">
      <w:pPr>
        <w:spacing w:before="60"/>
        <w:ind w:left="454" w:right="454"/>
        <w:jc w:val="both"/>
        <w:rPr>
          <w:rFonts w:ascii="Arial" w:hAnsi="Arial" w:cs="Arial"/>
          <w:sz w:val="20"/>
          <w:szCs w:val="20"/>
        </w:rPr>
      </w:pPr>
      <w:r>
        <w:rPr>
          <w:rFonts w:ascii="Arial" w:hAnsi="Arial" w:cs="Arial"/>
          <w:iCs/>
          <w:color w:val="000000"/>
          <w:sz w:val="20"/>
        </w:rPr>
        <w:t>[13] “</w:t>
      </w:r>
      <w:r w:rsidRPr="00C5494A">
        <w:rPr>
          <w:rFonts w:ascii="Arial" w:hAnsi="Arial" w:cs="Arial"/>
          <w:sz w:val="20"/>
          <w:szCs w:val="20"/>
        </w:rPr>
        <w:t>Where a subpoenaed party applies to set aside a subpoena, the issuing party must satisfy a two-part test. It must:</w:t>
      </w:r>
    </w:p>
    <w:p w14:paraId="2F5CEA31" w14:textId="4054E80D" w:rsidR="00C5494A" w:rsidRDefault="00C5494A" w:rsidP="00C5494A">
      <w:pPr>
        <w:spacing w:before="60"/>
        <w:ind w:left="811" w:right="454" w:hanging="357"/>
        <w:jc w:val="both"/>
        <w:rPr>
          <w:rFonts w:ascii="Arial" w:hAnsi="Arial" w:cs="Arial"/>
          <w:sz w:val="20"/>
          <w:szCs w:val="20"/>
        </w:rPr>
      </w:pPr>
      <w:r w:rsidRPr="00C5494A">
        <w:rPr>
          <w:rFonts w:ascii="Arial" w:hAnsi="Arial" w:cs="Arial"/>
          <w:sz w:val="20"/>
          <w:szCs w:val="20"/>
        </w:rPr>
        <w:t>(a)</w:t>
      </w:r>
      <w:r>
        <w:rPr>
          <w:rFonts w:ascii="Arial" w:hAnsi="Arial" w:cs="Arial"/>
          <w:sz w:val="20"/>
          <w:szCs w:val="20"/>
        </w:rPr>
        <w:tab/>
      </w:r>
      <w:r w:rsidRPr="00C5494A">
        <w:rPr>
          <w:rFonts w:ascii="Arial" w:hAnsi="Arial" w:cs="Arial"/>
          <w:sz w:val="20"/>
          <w:szCs w:val="20"/>
        </w:rPr>
        <w:t>identify precisely a legitimate forensic purpose for categories of documents sought pursuant to the subpoena, bearing in mind that both the production of documents or the absence of produced documents may assist a forensic purpose; and</w:t>
      </w:r>
    </w:p>
    <w:p w14:paraId="2A98F9BC" w14:textId="15C1AECA" w:rsidR="001703F5" w:rsidRDefault="00C5494A" w:rsidP="00C5494A">
      <w:pPr>
        <w:spacing w:before="60"/>
        <w:ind w:left="811" w:right="454" w:hanging="357"/>
        <w:jc w:val="both"/>
        <w:rPr>
          <w:rFonts w:ascii="Arial" w:hAnsi="Arial" w:cs="Arial"/>
          <w:sz w:val="20"/>
          <w:szCs w:val="20"/>
        </w:rPr>
      </w:pPr>
      <w:r w:rsidRPr="00C5494A">
        <w:rPr>
          <w:rFonts w:ascii="Arial" w:hAnsi="Arial" w:cs="Arial"/>
          <w:sz w:val="20"/>
          <w:szCs w:val="20"/>
        </w:rPr>
        <w:t>(b)</w:t>
      </w:r>
      <w:r>
        <w:rPr>
          <w:rFonts w:ascii="Arial" w:hAnsi="Arial" w:cs="Arial"/>
          <w:sz w:val="20"/>
          <w:szCs w:val="20"/>
        </w:rPr>
        <w:tab/>
      </w:r>
      <w:r w:rsidRPr="00C5494A">
        <w:rPr>
          <w:rFonts w:ascii="Arial" w:hAnsi="Arial" w:cs="Arial"/>
          <w:sz w:val="20"/>
          <w:szCs w:val="20"/>
        </w:rPr>
        <w:t>demonstrate that it is ‘on the cards’, or that there is a ‘reasonable possibility’, that the documents will ‘materially assist’ the issuing party’s case.</w:t>
      </w:r>
    </w:p>
    <w:p w14:paraId="425B31EE" w14:textId="241D7771" w:rsidR="00C5494A" w:rsidRPr="00C5494A" w:rsidRDefault="00C5494A" w:rsidP="00C5494A">
      <w:pPr>
        <w:spacing w:before="120"/>
        <w:ind w:left="454" w:right="454"/>
        <w:jc w:val="both"/>
        <w:rPr>
          <w:rFonts w:ascii="Arial" w:hAnsi="Arial" w:cs="Arial"/>
          <w:iCs/>
          <w:color w:val="000000"/>
          <w:sz w:val="20"/>
          <w:szCs w:val="20"/>
        </w:rPr>
      </w:pPr>
      <w:r>
        <w:rPr>
          <w:rFonts w:ascii="Arial" w:hAnsi="Arial" w:cs="Arial"/>
          <w:sz w:val="20"/>
          <w:szCs w:val="20"/>
        </w:rPr>
        <w:t xml:space="preserve">[14] </w:t>
      </w:r>
      <w:r w:rsidRPr="00C5494A">
        <w:rPr>
          <w:rFonts w:ascii="Arial" w:hAnsi="Arial" w:cs="Arial"/>
          <w:sz w:val="20"/>
          <w:szCs w:val="20"/>
        </w:rPr>
        <w:t xml:space="preserve">The primary judge applied the summary of principles identified by Derham AsJ in </w:t>
      </w:r>
      <w:r w:rsidRPr="00C5494A">
        <w:rPr>
          <w:rFonts w:ascii="Arial" w:hAnsi="Arial" w:cs="Arial"/>
          <w:i/>
          <w:iCs/>
          <w:sz w:val="20"/>
          <w:szCs w:val="20"/>
        </w:rPr>
        <w:t>ACN 096 450 770 (f</w:t>
      </w:r>
      <w:r w:rsidR="00C1093A">
        <w:rPr>
          <w:rFonts w:ascii="Arial" w:hAnsi="Arial" w:cs="Arial"/>
          <w:i/>
          <w:iCs/>
          <w:sz w:val="20"/>
          <w:szCs w:val="20"/>
        </w:rPr>
        <w:t>ormerly</w:t>
      </w:r>
      <w:r w:rsidRPr="00C5494A">
        <w:rPr>
          <w:rFonts w:ascii="Arial" w:hAnsi="Arial" w:cs="Arial"/>
          <w:i/>
          <w:iCs/>
          <w:sz w:val="20"/>
          <w:szCs w:val="20"/>
        </w:rPr>
        <w:t xml:space="preserve"> AJH Lawyers Pty Ltd) v Mathieson Nominees</w:t>
      </w:r>
      <w:r w:rsidRPr="00C5494A">
        <w:rPr>
          <w:rFonts w:ascii="Arial" w:hAnsi="Arial" w:cs="Arial"/>
          <w:sz w:val="20"/>
          <w:szCs w:val="20"/>
        </w:rPr>
        <w:t xml:space="preserve"> [2017] VSC 559</w:t>
      </w:r>
      <w:r>
        <w:rPr>
          <w:rFonts w:ascii="Arial" w:hAnsi="Arial" w:cs="Arial"/>
          <w:sz w:val="20"/>
          <w:szCs w:val="20"/>
        </w:rPr>
        <w:t>,</w:t>
      </w:r>
      <w:r w:rsidRPr="00C5494A">
        <w:rPr>
          <w:rFonts w:ascii="Arial" w:hAnsi="Arial" w:cs="Arial"/>
          <w:sz w:val="20"/>
          <w:szCs w:val="20"/>
        </w:rPr>
        <w:t xml:space="preserve"> following his Honour’s review of the cases, and neither party submitted that it was inappropriate for the primary judge to do so. There was no dispute before me as to the principles governing the application. In </w:t>
      </w:r>
      <w:r w:rsidRPr="00C5494A">
        <w:rPr>
          <w:rFonts w:ascii="Arial" w:hAnsi="Arial" w:cs="Arial"/>
          <w:i/>
          <w:iCs/>
          <w:sz w:val="20"/>
          <w:szCs w:val="20"/>
        </w:rPr>
        <w:t>Mathieson</w:t>
      </w:r>
      <w:r w:rsidRPr="00C5494A">
        <w:rPr>
          <w:rFonts w:ascii="Arial" w:hAnsi="Arial" w:cs="Arial"/>
          <w:sz w:val="20"/>
          <w:szCs w:val="20"/>
        </w:rPr>
        <w:t>, the court said</w:t>
      </w:r>
      <w:r w:rsidR="005E2285">
        <w:rPr>
          <w:rFonts w:ascii="Arial" w:hAnsi="Arial" w:cs="Arial"/>
          <w:sz w:val="20"/>
          <w:szCs w:val="20"/>
        </w:rPr>
        <w:t xml:space="preserve"> at [20] (citations omitted)</w:t>
      </w:r>
      <w:r w:rsidRPr="00C5494A">
        <w:rPr>
          <w:rFonts w:ascii="Arial" w:hAnsi="Arial" w:cs="Arial"/>
          <w:sz w:val="20"/>
          <w:szCs w:val="20"/>
        </w:rPr>
        <w:t>:</w:t>
      </w:r>
    </w:p>
    <w:p w14:paraId="1491D764" w14:textId="54B6F378"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(a)</w:t>
      </w:r>
      <w:r w:rsidRPr="00C24890">
        <w:rPr>
          <w:rFonts w:ascii="Arial" w:hAnsi="Arial" w:cs="Arial"/>
          <w:sz w:val="18"/>
          <w:szCs w:val="18"/>
        </w:rPr>
        <w:tab/>
        <w:t>it is necessary for the party at whose request the subpoena was issued to identify expressly and precisely the legitimate forensic purpose for which access to the documents is sought;</w:t>
      </w:r>
    </w:p>
    <w:p w14:paraId="09A71372" w14:textId="119645D4"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(b)</w:t>
      </w:r>
      <w:r w:rsidRPr="00C24890">
        <w:rPr>
          <w:rFonts w:ascii="Arial" w:hAnsi="Arial" w:cs="Arial"/>
          <w:sz w:val="18"/>
          <w:szCs w:val="18"/>
        </w:rPr>
        <w:tab/>
        <w:t>except in cases where the subpoena is plainly too broad or merits the description of a fishing expedition, the judge should normally inspect the documents for the purpose of making a final decision as to whether a legitimate forensic purpose exists;</w:t>
      </w:r>
    </w:p>
    <w:p w14:paraId="4D0198A0" w14:textId="3512862E"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(c)</w:t>
      </w:r>
      <w:r w:rsidRPr="00C24890">
        <w:rPr>
          <w:rFonts w:ascii="Arial" w:hAnsi="Arial" w:cs="Arial"/>
          <w:sz w:val="18"/>
          <w:szCs w:val="18"/>
        </w:rPr>
        <w:tab/>
        <w:t>however, the Court will not require production of subpoenaed documents, and will not permit access to subpoenaed documents, if the subpoena is expressed so broadly that the applicant cannot demonstrate, having identified a forensic purpose, that it is ‘on the cards’ or that there is a ‘reasonable possibility’ that the documents will materially assist the case of the party;</w:t>
      </w:r>
    </w:p>
    <w:p w14:paraId="22B26B81" w14:textId="6193AACA"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(d)</w:t>
      </w:r>
      <w:r w:rsidRPr="00C24890">
        <w:rPr>
          <w:rFonts w:ascii="Arial" w:hAnsi="Arial" w:cs="Arial"/>
          <w:sz w:val="18"/>
          <w:szCs w:val="18"/>
        </w:rPr>
        <w:tab/>
        <w:t>a ‘fishing expedition’ is not a legitimate forensic purpose and will not be permitted;</w:t>
      </w:r>
    </w:p>
    <w:p w14:paraId="790C021D" w14:textId="62EF1723"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(e)</w:t>
      </w:r>
      <w:r w:rsidRPr="00C24890">
        <w:rPr>
          <w:rFonts w:ascii="Arial" w:hAnsi="Arial" w:cs="Arial"/>
          <w:sz w:val="18"/>
          <w:szCs w:val="18"/>
        </w:rPr>
        <w:tab/>
        <w:t>the relevance of a document to the proceeding alone will not substantiate an assertion of legitimate forensic purpose. There is no legitimate forensic purpose if the party is seeking to obtain documents to see whether they may be of relevance or of assistance in his or her case;</w:t>
      </w:r>
    </w:p>
    <w:p w14:paraId="095775BB" w14:textId="7017BB1B"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lastRenderedPageBreak/>
        <w:t>(f)</w:t>
      </w:r>
      <w:r w:rsidRPr="00C24890">
        <w:rPr>
          <w:rFonts w:ascii="Arial" w:hAnsi="Arial" w:cs="Arial"/>
          <w:sz w:val="18"/>
          <w:szCs w:val="18"/>
        </w:rPr>
        <w:tab/>
        <w:t>a mere assertion of bad faith by an applicant or that something might be found demonstrating bad faith is not enough – the criteria set out in (c) must be satisfied; and</w:t>
      </w:r>
    </w:p>
    <w:p w14:paraId="5971E91A" w14:textId="0B6688DF"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(g)</w:t>
      </w:r>
      <w:r w:rsidRPr="00C24890">
        <w:rPr>
          <w:rFonts w:ascii="Arial" w:hAnsi="Arial" w:cs="Arial"/>
          <w:sz w:val="18"/>
          <w:szCs w:val="18"/>
        </w:rPr>
        <w:tab/>
      </w:r>
      <w:r w:rsidR="005E2285" w:rsidRPr="00C24890">
        <w:rPr>
          <w:rFonts w:ascii="Arial" w:hAnsi="Arial" w:cs="Arial"/>
          <w:sz w:val="18"/>
          <w:szCs w:val="18"/>
        </w:rPr>
        <w:t>where a party fails to demonstrate a legitimate forensic purpose, the Court should refuse access to the documents and set aside the subpoena.”</w:t>
      </w:r>
    </w:p>
    <w:p w14:paraId="2B1A57A2" w14:textId="2756F425" w:rsidR="001703F5" w:rsidRDefault="001703F5" w:rsidP="0057380D">
      <w:pPr>
        <w:jc w:val="both"/>
        <w:rPr>
          <w:rFonts w:ascii="Arial" w:hAnsi="Arial" w:cs="Arial"/>
          <w:color w:val="000000"/>
          <w:sz w:val="20"/>
        </w:rPr>
      </w:pPr>
    </w:p>
    <w:p w14:paraId="4DE0FE0B" w14:textId="2BDBAC9B" w:rsidR="00516711" w:rsidRDefault="00516711" w:rsidP="0057380D">
      <w:pPr>
        <w:jc w:val="both"/>
        <w:rPr>
          <w:rFonts w:ascii="Arial" w:hAnsi="Arial" w:cs="Arial"/>
          <w:color w:val="000000"/>
          <w:sz w:val="20"/>
        </w:rPr>
      </w:pPr>
      <w:r>
        <w:rPr>
          <w:rFonts w:ascii="Arial" w:hAnsi="Arial" w:cs="Arial"/>
          <w:color w:val="000000"/>
          <w:sz w:val="20"/>
        </w:rPr>
        <w:t xml:space="preserve">In relation to the obligation on the party seeking the issue of a subpoena to show “a legitimate forensic purpose” see also </w:t>
      </w:r>
      <w:r w:rsidRPr="00516711">
        <w:rPr>
          <w:rFonts w:ascii="Arial" w:hAnsi="Arial" w:cs="Arial"/>
          <w:i/>
          <w:iCs/>
          <w:sz w:val="20"/>
          <w:szCs w:val="20"/>
        </w:rPr>
        <w:t>Cargill Australia Ltd v Viterra Malt Pty Ltd (No 19)</w:t>
      </w:r>
      <w:r w:rsidRPr="00516711">
        <w:rPr>
          <w:rFonts w:ascii="Arial" w:hAnsi="Arial" w:cs="Arial"/>
          <w:sz w:val="20"/>
          <w:szCs w:val="20"/>
        </w:rPr>
        <w:t xml:space="preserve"> [2018] VSC 144, [27], citing </w:t>
      </w:r>
      <w:r w:rsidRPr="00516711">
        <w:rPr>
          <w:rFonts w:ascii="Arial" w:hAnsi="Arial" w:cs="Arial"/>
          <w:i/>
          <w:iCs/>
          <w:sz w:val="20"/>
          <w:szCs w:val="20"/>
        </w:rPr>
        <w:t>R v Saleam</w:t>
      </w:r>
      <w:r w:rsidRPr="00516711">
        <w:rPr>
          <w:rFonts w:ascii="Arial" w:hAnsi="Arial" w:cs="Arial"/>
          <w:sz w:val="20"/>
          <w:szCs w:val="20"/>
        </w:rPr>
        <w:t xml:space="preserve"> (1989) 16 NSWLR 14, 18C</w:t>
      </w:r>
      <w:r>
        <w:rPr>
          <w:rFonts w:ascii="Arial" w:hAnsi="Arial" w:cs="Arial"/>
          <w:sz w:val="20"/>
          <w:szCs w:val="20"/>
        </w:rPr>
        <w:t xml:space="preserve">; </w:t>
      </w:r>
      <w:r w:rsidRPr="00516711">
        <w:rPr>
          <w:rFonts w:ascii="Arial" w:hAnsi="Arial" w:cs="Arial"/>
          <w:i/>
          <w:iCs/>
          <w:sz w:val="20"/>
          <w:szCs w:val="20"/>
        </w:rPr>
        <w:t>Ryan v The Diocese of Wagga Wagga (Subpoena and discovery ruling)</w:t>
      </w:r>
      <w:r w:rsidRPr="00516711">
        <w:rPr>
          <w:rFonts w:ascii="Arial" w:hAnsi="Arial" w:cs="Arial"/>
          <w:sz w:val="20"/>
          <w:szCs w:val="20"/>
        </w:rPr>
        <w:t xml:space="preserve"> [2023] VSC 607 at [18]-[19]</w:t>
      </w:r>
      <w:r w:rsidR="005677F1">
        <w:rPr>
          <w:rFonts w:ascii="Arial" w:hAnsi="Arial" w:cs="Arial"/>
          <w:sz w:val="20"/>
          <w:szCs w:val="20"/>
        </w:rPr>
        <w:t xml:space="preserve">; </w:t>
      </w:r>
      <w:r w:rsidR="005677F1" w:rsidRPr="005677F1">
        <w:rPr>
          <w:rFonts w:ascii="Arial" w:hAnsi="Arial" w:cs="Arial"/>
          <w:i/>
          <w:iCs/>
          <w:sz w:val="20"/>
          <w:szCs w:val="20"/>
        </w:rPr>
        <w:t>Peers v AHPRA</w:t>
      </w:r>
      <w:r w:rsidR="005677F1">
        <w:rPr>
          <w:rFonts w:ascii="Arial" w:hAnsi="Arial" w:cs="Arial"/>
          <w:sz w:val="20"/>
          <w:szCs w:val="20"/>
        </w:rPr>
        <w:t xml:space="preserve"> [2024] VSC 110 at [4]-[15]</w:t>
      </w:r>
      <w:r w:rsidR="00121E7E">
        <w:rPr>
          <w:rFonts w:ascii="Arial" w:hAnsi="Arial" w:cs="Arial"/>
          <w:sz w:val="20"/>
          <w:szCs w:val="20"/>
        </w:rPr>
        <w:t xml:space="preserve">; </w:t>
      </w:r>
      <w:r w:rsidR="00121E7E" w:rsidRPr="00121E7E">
        <w:rPr>
          <w:rFonts w:ascii="Arial" w:hAnsi="Arial" w:cs="Arial"/>
          <w:i/>
          <w:iCs/>
          <w:sz w:val="20"/>
          <w:szCs w:val="20"/>
        </w:rPr>
        <w:t>Arico v The King</w:t>
      </w:r>
      <w:r w:rsidR="00121E7E">
        <w:rPr>
          <w:rFonts w:ascii="Arial" w:hAnsi="Arial" w:cs="Arial"/>
          <w:sz w:val="20"/>
          <w:szCs w:val="20"/>
        </w:rPr>
        <w:t xml:space="preserve"> [2026] VSCA 9</w:t>
      </w:r>
      <w:r w:rsidR="00482500">
        <w:rPr>
          <w:rFonts w:ascii="Arial" w:hAnsi="Arial" w:cs="Arial"/>
          <w:sz w:val="20"/>
          <w:szCs w:val="20"/>
        </w:rPr>
        <w:t xml:space="preserve">; </w:t>
      </w:r>
      <w:r w:rsidR="00482500" w:rsidRPr="00482500">
        <w:rPr>
          <w:rFonts w:ascii="Arial" w:hAnsi="Arial" w:cs="Arial"/>
          <w:i/>
          <w:iCs/>
          <w:sz w:val="20"/>
          <w:szCs w:val="20"/>
        </w:rPr>
        <w:t>Arico v The King (No.2)</w:t>
      </w:r>
      <w:r w:rsidR="00482500">
        <w:rPr>
          <w:rFonts w:ascii="Arial" w:hAnsi="Arial" w:cs="Arial"/>
          <w:sz w:val="20"/>
          <w:szCs w:val="20"/>
        </w:rPr>
        <w:t xml:space="preserve"> [2026] VSCA 11 at [6]-[11]</w:t>
      </w:r>
      <w:r w:rsidR="00121E7E">
        <w:rPr>
          <w:rFonts w:ascii="Arial" w:hAnsi="Arial" w:cs="Arial"/>
          <w:sz w:val="20"/>
          <w:szCs w:val="20"/>
        </w:rPr>
        <w:t>.</w:t>
      </w:r>
    </w:p>
    <w:p w14:paraId="05C38A6E" w14:textId="77777777" w:rsidR="00516711" w:rsidRDefault="00516711" w:rsidP="0057380D">
      <w:pPr>
        <w:jc w:val="both"/>
        <w:rPr>
          <w:rFonts w:ascii="Arial" w:hAnsi="Arial" w:cs="Arial"/>
          <w:color w:val="000000"/>
          <w:sz w:val="20"/>
        </w:rPr>
      </w:pPr>
    </w:p>
    <w:p w14:paraId="74993223" w14:textId="0DE14F9D" w:rsidR="00950258" w:rsidRPr="004C09F7" w:rsidRDefault="00875597" w:rsidP="00950258">
      <w:pPr>
        <w:jc w:val="both"/>
        <w:rPr>
          <w:rFonts w:ascii="Arial" w:hAnsi="Arial" w:cs="Arial"/>
          <w:color w:val="000000"/>
          <w:sz w:val="16"/>
          <w:szCs w:val="20"/>
        </w:rPr>
      </w:pPr>
      <w:r w:rsidRPr="004C09F7">
        <w:rPr>
          <w:rFonts w:ascii="Arial" w:hAnsi="Arial" w:cs="Arial"/>
          <w:color w:val="000000"/>
          <w:sz w:val="20"/>
        </w:rPr>
        <w:t xml:space="preserve">Although the case of </w:t>
      </w:r>
      <w:r w:rsidRPr="004C09F7">
        <w:rPr>
          <w:rFonts w:ascii="Arial" w:hAnsi="Arial" w:cs="Arial"/>
          <w:i/>
          <w:iCs/>
          <w:color w:val="000000"/>
          <w:sz w:val="20"/>
        </w:rPr>
        <w:t>Monash University v EBT</w:t>
      </w:r>
      <w:r w:rsidRPr="004C09F7">
        <w:rPr>
          <w:rFonts w:ascii="Arial" w:hAnsi="Arial" w:cs="Arial"/>
          <w:color w:val="000000"/>
          <w:sz w:val="20"/>
        </w:rPr>
        <w:t xml:space="preserve"> [2022] VSC 651 involved how electronically stored documents are to be dealt with for freedom of information</w:t>
      </w:r>
      <w:r w:rsidR="00AC611C" w:rsidRPr="004C09F7">
        <w:rPr>
          <w:rFonts w:ascii="Arial" w:hAnsi="Arial" w:cs="Arial"/>
          <w:color w:val="000000"/>
          <w:sz w:val="20"/>
        </w:rPr>
        <w:t xml:space="preserve"> </w:t>
      </w:r>
      <w:r w:rsidRPr="004C09F7">
        <w:rPr>
          <w:rFonts w:ascii="Arial" w:hAnsi="Arial" w:cs="Arial"/>
          <w:color w:val="000000"/>
          <w:sz w:val="20"/>
        </w:rPr>
        <w:t>purposes in Victoria</w:t>
      </w:r>
      <w:r w:rsidR="00AC611C" w:rsidRPr="004C09F7">
        <w:rPr>
          <w:rFonts w:ascii="Arial" w:hAnsi="Arial" w:cs="Arial"/>
          <w:color w:val="000000"/>
          <w:sz w:val="20"/>
        </w:rPr>
        <w:t xml:space="preserve">, </w:t>
      </w:r>
      <w:r w:rsidRPr="004C09F7">
        <w:rPr>
          <w:rFonts w:ascii="Arial" w:hAnsi="Arial" w:cs="Arial"/>
          <w:color w:val="000000"/>
          <w:sz w:val="20"/>
        </w:rPr>
        <w:t>the analysis of Cav</w:t>
      </w:r>
      <w:r w:rsidR="00FF256F">
        <w:rPr>
          <w:rFonts w:ascii="Arial" w:hAnsi="Arial" w:cs="Arial"/>
          <w:color w:val="000000"/>
          <w:sz w:val="20"/>
        </w:rPr>
        <w:t>a</w:t>
      </w:r>
      <w:r w:rsidRPr="004C09F7">
        <w:rPr>
          <w:rFonts w:ascii="Arial" w:hAnsi="Arial" w:cs="Arial"/>
          <w:color w:val="000000"/>
          <w:sz w:val="20"/>
        </w:rPr>
        <w:t>nough</w:t>
      </w:r>
      <w:r w:rsidR="00AC611C" w:rsidRPr="004C09F7">
        <w:rPr>
          <w:rFonts w:ascii="Arial" w:hAnsi="Arial" w:cs="Arial"/>
          <w:color w:val="000000"/>
          <w:sz w:val="20"/>
        </w:rPr>
        <w:t> </w:t>
      </w:r>
      <w:r w:rsidRPr="004C09F7">
        <w:rPr>
          <w:rFonts w:ascii="Arial" w:hAnsi="Arial" w:cs="Arial"/>
          <w:color w:val="000000"/>
          <w:sz w:val="20"/>
        </w:rPr>
        <w:t xml:space="preserve">J </w:t>
      </w:r>
      <w:r w:rsidR="00AC611C" w:rsidRPr="004C09F7">
        <w:rPr>
          <w:rFonts w:ascii="Arial" w:hAnsi="Arial" w:cs="Arial"/>
          <w:color w:val="000000"/>
          <w:sz w:val="20"/>
        </w:rPr>
        <w:t xml:space="preserve">also </w:t>
      </w:r>
      <w:r w:rsidRPr="004C09F7">
        <w:rPr>
          <w:rFonts w:ascii="Arial" w:hAnsi="Arial" w:cs="Arial"/>
          <w:color w:val="000000"/>
          <w:sz w:val="20"/>
        </w:rPr>
        <w:t xml:space="preserve">has </w:t>
      </w:r>
      <w:r w:rsidR="00950258" w:rsidRPr="004C09F7">
        <w:rPr>
          <w:rFonts w:ascii="Arial" w:hAnsi="Arial" w:cs="Arial"/>
          <w:color w:val="000000"/>
          <w:sz w:val="20"/>
        </w:rPr>
        <w:t xml:space="preserve">some </w:t>
      </w:r>
      <w:r w:rsidRPr="004C09F7">
        <w:rPr>
          <w:rFonts w:ascii="Arial" w:hAnsi="Arial" w:cs="Arial"/>
          <w:color w:val="000000"/>
          <w:sz w:val="20"/>
        </w:rPr>
        <w:t xml:space="preserve">relevance </w:t>
      </w:r>
      <w:r w:rsidR="006834E4" w:rsidRPr="004C09F7">
        <w:rPr>
          <w:rFonts w:ascii="Arial" w:hAnsi="Arial" w:cs="Arial"/>
          <w:color w:val="000000"/>
          <w:sz w:val="20"/>
        </w:rPr>
        <w:t xml:space="preserve">to the </w:t>
      </w:r>
      <w:r w:rsidR="00950258" w:rsidRPr="004C09F7">
        <w:rPr>
          <w:rFonts w:ascii="Arial" w:hAnsi="Arial" w:cs="Arial"/>
          <w:color w:val="000000"/>
          <w:sz w:val="20"/>
        </w:rPr>
        <w:t>proposition that</w:t>
      </w:r>
      <w:r w:rsidR="006834E4" w:rsidRPr="004C09F7">
        <w:rPr>
          <w:rFonts w:ascii="Arial" w:hAnsi="Arial" w:cs="Arial"/>
          <w:color w:val="000000"/>
          <w:sz w:val="20"/>
        </w:rPr>
        <w:t xml:space="preserve"> electronic documents can be the subject of a subpoena issued under s.532 CYFA.  His Honour categorically rejected the </w:t>
      </w:r>
      <w:r w:rsidR="00950258" w:rsidRPr="004C09F7">
        <w:rPr>
          <w:rFonts w:ascii="Arial" w:hAnsi="Arial" w:cs="Arial"/>
          <w:color w:val="000000"/>
          <w:sz w:val="20"/>
        </w:rPr>
        <w:t xml:space="preserve">extraordinary </w:t>
      </w:r>
      <w:r w:rsidR="006834E4" w:rsidRPr="004C09F7">
        <w:rPr>
          <w:rFonts w:ascii="Arial" w:hAnsi="Arial" w:cs="Arial"/>
          <w:color w:val="000000"/>
          <w:sz w:val="20"/>
        </w:rPr>
        <w:t>submission of the plaintiff university that “</w:t>
      </w:r>
      <w:r w:rsidR="006834E4" w:rsidRPr="004C09F7">
        <w:rPr>
          <w:rFonts w:ascii="Arial" w:hAnsi="Arial" w:cs="Arial"/>
          <w:sz w:val="20"/>
          <w:szCs w:val="20"/>
        </w:rPr>
        <w:t>documents that are stored only in electronic form by or on behalf of a government agency are not ‘documents of an agency’ at all within the meaning of the Victorian freedom of information (FOI) legislation”.  In coming to th</w:t>
      </w:r>
      <w:r w:rsidR="00AC611C" w:rsidRPr="004C09F7">
        <w:rPr>
          <w:rFonts w:ascii="Arial" w:hAnsi="Arial" w:cs="Arial"/>
          <w:sz w:val="20"/>
          <w:szCs w:val="20"/>
        </w:rPr>
        <w:t>e</w:t>
      </w:r>
      <w:r w:rsidR="006834E4" w:rsidRPr="004C09F7">
        <w:rPr>
          <w:rFonts w:ascii="Arial" w:hAnsi="Arial" w:cs="Arial"/>
          <w:sz w:val="20"/>
          <w:szCs w:val="20"/>
        </w:rPr>
        <w:t xml:space="preserve"> conclusion </w:t>
      </w:r>
      <w:r w:rsidR="00AC611C" w:rsidRPr="004C09F7">
        <w:rPr>
          <w:rFonts w:ascii="Arial" w:hAnsi="Arial" w:cs="Arial"/>
          <w:sz w:val="20"/>
          <w:szCs w:val="20"/>
        </w:rPr>
        <w:t xml:space="preserve">that they were ‘documents of an agency’ </w:t>
      </w:r>
      <w:r w:rsidR="006834E4" w:rsidRPr="004C09F7">
        <w:rPr>
          <w:rFonts w:ascii="Arial" w:hAnsi="Arial" w:cs="Arial"/>
          <w:sz w:val="20"/>
          <w:szCs w:val="20"/>
        </w:rPr>
        <w:t xml:space="preserve">his Honour relied in part on dicta </w:t>
      </w:r>
      <w:r w:rsidR="00AC611C" w:rsidRPr="004C09F7">
        <w:rPr>
          <w:rFonts w:ascii="Arial" w:hAnsi="Arial" w:cs="Arial"/>
          <w:sz w:val="20"/>
          <w:szCs w:val="20"/>
        </w:rPr>
        <w:t xml:space="preserve">of Sir Victor Scott &amp; Chadwick LJ </w:t>
      </w:r>
      <w:r w:rsidR="006834E4" w:rsidRPr="004C09F7">
        <w:rPr>
          <w:rFonts w:ascii="Arial" w:hAnsi="Arial" w:cs="Arial"/>
          <w:sz w:val="20"/>
          <w:szCs w:val="20"/>
        </w:rPr>
        <w:t xml:space="preserve">in </w:t>
      </w:r>
      <w:r w:rsidR="00AC611C" w:rsidRPr="004C09F7">
        <w:rPr>
          <w:rFonts w:ascii="Arial" w:hAnsi="Arial" w:cs="Arial"/>
          <w:i/>
          <w:iCs/>
          <w:sz w:val="20"/>
          <w:szCs w:val="20"/>
        </w:rPr>
        <w:t xml:space="preserve">Victor Chandler International v Customs &amp; Excise Commissioners (UK) </w:t>
      </w:r>
      <w:r w:rsidR="00AC611C" w:rsidRPr="004C09F7">
        <w:rPr>
          <w:rFonts w:ascii="Arial" w:hAnsi="Arial" w:cs="Arial"/>
          <w:sz w:val="20"/>
          <w:szCs w:val="20"/>
        </w:rPr>
        <w:t>[2000] 1 WLR 1296, noting at [1</w:t>
      </w:r>
      <w:r w:rsidR="00FF256F">
        <w:rPr>
          <w:rFonts w:ascii="Arial" w:hAnsi="Arial" w:cs="Arial"/>
          <w:sz w:val="20"/>
          <w:szCs w:val="20"/>
        </w:rPr>
        <w:t>1</w:t>
      </w:r>
      <w:r w:rsidR="00AC611C" w:rsidRPr="004C09F7">
        <w:rPr>
          <w:rFonts w:ascii="Arial" w:hAnsi="Arial" w:cs="Arial"/>
          <w:sz w:val="20"/>
          <w:szCs w:val="20"/>
        </w:rPr>
        <w:t xml:space="preserve">0] that this case “is instructive not only as to the general principle that legislation is ‘always speaking’, but also as to whether an electronic record may be a ‘document’ and as to the distinctions that may be drawn between electronic impulses, information and documents.”  Cavanough J also held at [114] </w:t>
      </w:r>
      <w:r w:rsidR="006669AD">
        <w:rPr>
          <w:rFonts w:ascii="Arial" w:hAnsi="Arial" w:cs="Arial"/>
          <w:sz w:val="20"/>
          <w:szCs w:val="20"/>
        </w:rPr>
        <w:t xml:space="preserve">&amp; [116] </w:t>
      </w:r>
      <w:r w:rsidR="00AC611C" w:rsidRPr="004C09F7">
        <w:rPr>
          <w:rFonts w:ascii="Arial" w:hAnsi="Arial" w:cs="Arial"/>
          <w:sz w:val="20"/>
          <w:szCs w:val="20"/>
        </w:rPr>
        <w:t>that “Even more significant for present purposes – indeed, virtually conclusive of the fate of this proposed appeal</w:t>
      </w:r>
      <w:r w:rsidR="00A01AE5" w:rsidRPr="004C09F7">
        <w:rPr>
          <w:rFonts w:ascii="Arial" w:hAnsi="Arial" w:cs="Arial"/>
          <w:sz w:val="20"/>
          <w:szCs w:val="20"/>
        </w:rPr>
        <w:t xml:space="preserve"> – are certain passages in judgments of the members of the High Court of Australia delivered in 2002 in </w:t>
      </w:r>
      <w:r w:rsidR="00A01AE5" w:rsidRPr="004C09F7">
        <w:rPr>
          <w:rFonts w:ascii="Arial" w:hAnsi="Arial" w:cs="Arial"/>
          <w:i/>
          <w:iCs/>
          <w:sz w:val="20"/>
          <w:szCs w:val="20"/>
        </w:rPr>
        <w:t>Muin v Refugee Review Tribunal</w:t>
      </w:r>
      <w:r w:rsidR="00A01AE5" w:rsidRPr="004C09F7">
        <w:rPr>
          <w:rFonts w:ascii="Arial" w:hAnsi="Arial" w:cs="Arial"/>
          <w:sz w:val="20"/>
          <w:szCs w:val="20"/>
        </w:rPr>
        <w:t xml:space="preserve"> (2002) 190 ALR 601, especially the remarks of McHugh J</w:t>
      </w:r>
      <w:r w:rsidR="009031C4">
        <w:rPr>
          <w:rFonts w:ascii="Arial" w:hAnsi="Arial" w:cs="Arial"/>
          <w:sz w:val="20"/>
          <w:szCs w:val="20"/>
        </w:rPr>
        <w:t xml:space="preserve">” </w:t>
      </w:r>
      <w:r w:rsidR="00FF256F">
        <w:rPr>
          <w:rFonts w:ascii="Arial" w:hAnsi="Arial" w:cs="Arial"/>
          <w:sz w:val="20"/>
          <w:szCs w:val="20"/>
        </w:rPr>
        <w:t xml:space="preserve">about giving ‘document’ a purposive construction covering “any information that is stored or recorded on paper or electronically”.  </w:t>
      </w:r>
      <w:r w:rsidR="00950258" w:rsidRPr="004C09F7">
        <w:rPr>
          <w:rFonts w:ascii="Arial" w:hAnsi="Arial" w:cs="Arial"/>
          <w:sz w:val="20"/>
          <w:szCs w:val="20"/>
        </w:rPr>
        <w:t xml:space="preserve">At [124] </w:t>
      </w:r>
      <w:r w:rsidR="006A0225" w:rsidRPr="004C09F7">
        <w:rPr>
          <w:rFonts w:ascii="Arial" w:hAnsi="Arial" w:cs="Arial"/>
          <w:sz w:val="20"/>
          <w:szCs w:val="20"/>
        </w:rPr>
        <w:t>Cavanough J</w:t>
      </w:r>
      <w:r w:rsidR="00950258" w:rsidRPr="004C09F7">
        <w:rPr>
          <w:rFonts w:ascii="Arial" w:hAnsi="Arial" w:cs="Arial"/>
          <w:sz w:val="20"/>
          <w:szCs w:val="20"/>
        </w:rPr>
        <w:t xml:space="preserve"> </w:t>
      </w:r>
      <w:r w:rsidR="006669AD">
        <w:rPr>
          <w:rFonts w:ascii="Arial" w:hAnsi="Arial" w:cs="Arial"/>
          <w:sz w:val="20"/>
          <w:szCs w:val="20"/>
        </w:rPr>
        <w:t>held</w:t>
      </w:r>
      <w:r w:rsidR="00950258" w:rsidRPr="004C09F7">
        <w:rPr>
          <w:rFonts w:ascii="Arial" w:hAnsi="Arial" w:cs="Arial"/>
          <w:sz w:val="20"/>
          <w:szCs w:val="20"/>
        </w:rPr>
        <w:t xml:space="preserve"> that: “The notion, embedded in Monash’s submissions, that a document of an agency stored only electronically is not a document of the agency at all for FOI purposes is not only out of harmony with the text, context and purpose of the FOI Act itself (as I have sought to demonstrate), it is also out of harmony with three other statutes that deal with related matters.”  One of these 3 statutes is the </w:t>
      </w:r>
      <w:r w:rsidR="00950258" w:rsidRPr="004C09F7">
        <w:rPr>
          <w:rFonts w:ascii="Arial" w:hAnsi="Arial" w:cs="Arial"/>
          <w:i/>
          <w:iCs/>
          <w:sz w:val="20"/>
          <w:szCs w:val="20"/>
        </w:rPr>
        <w:t>Electronic Transactions (Victoria) Act 2000</w:t>
      </w:r>
      <w:r w:rsidR="00950258" w:rsidRPr="004C09F7">
        <w:rPr>
          <w:rFonts w:ascii="Arial" w:hAnsi="Arial" w:cs="Arial"/>
          <w:sz w:val="20"/>
          <w:szCs w:val="20"/>
        </w:rPr>
        <w:t xml:space="preserve"> (ETVA) about which his Honour commented at [132]:</w:t>
      </w:r>
    </w:p>
    <w:p w14:paraId="19F183E5" w14:textId="0427B6D8" w:rsidR="00950258" w:rsidRPr="00C24890" w:rsidRDefault="00950258" w:rsidP="00950258">
      <w:pPr>
        <w:spacing w:before="60"/>
        <w:ind w:left="454" w:right="454"/>
        <w:jc w:val="both"/>
        <w:rPr>
          <w:rFonts w:ascii="Arial" w:hAnsi="Arial" w:cs="Arial"/>
          <w:iCs/>
          <w:color w:val="000000"/>
          <w:sz w:val="18"/>
          <w:szCs w:val="22"/>
        </w:rPr>
      </w:pPr>
      <w:r w:rsidRPr="00C24890">
        <w:rPr>
          <w:rFonts w:ascii="Arial" w:hAnsi="Arial" w:cs="Arial"/>
          <w:iCs/>
          <w:color w:val="000000"/>
          <w:sz w:val="18"/>
          <w:szCs w:val="22"/>
        </w:rPr>
        <w:t>“</w:t>
      </w:r>
      <w:r w:rsidRPr="00C24890">
        <w:rPr>
          <w:rFonts w:ascii="Arial" w:hAnsi="Arial" w:cs="Arial"/>
          <w:sz w:val="18"/>
          <w:szCs w:val="18"/>
        </w:rPr>
        <w:t>The stated purposes of the ETVA include ‘To provide for the meeting of certain legal requirements as to writing and signatures by electronic communication’ and ‘to permit documents to be produced to another person by electronic communication’ and ‘to permit the recording and retention of information and documents in electronic form’. Section 5 provides an ‘outline’ of the Act. The outline states, in part, that certain requirements imposed under a law of Victoria can generally be met in electronic form, including ‘a requirement to give information in writing’, ‘a requirement to produce a document’, ‘a requirement to record information’ and ‘a requirement to retain a document’.  Section 11(1) provides, in part, that if under a Victorian law a person is required to record information in writing, that requirement is taken to have been met if the person records the information in electronic form, where at the time of the recording of the information, it was reasonable to expect that the information would be readily accessible so as to be useable for subsequent reference.  Correspondingly, s 11(2) provides that if, under Victorian law, a person is required to retain a document that is in the form of paper, an article or other material, that requirement is taken to have been met if the person retains, or causes another person to retain, an electronic form of the document. Plainly, s 11 authorises the ‘digital strategy’ of the Public Record Office of Victoria, including the publication of standards for electronic record keeping. This in turn renders quite artificial the submission by Monash in this case that the FOI Act does not recognise an electronically stored record of information as a document.”</w:t>
      </w:r>
    </w:p>
    <w:p w14:paraId="59AFDC2A" w14:textId="77777777" w:rsidR="009B1652" w:rsidRPr="00C24890" w:rsidRDefault="009B1652" w:rsidP="009B1652">
      <w:pPr>
        <w:jc w:val="both"/>
        <w:rPr>
          <w:rFonts w:ascii="Arial" w:hAnsi="Arial" w:cs="Arial"/>
          <w:color w:val="000000"/>
          <w:sz w:val="18"/>
          <w:szCs w:val="22"/>
        </w:rPr>
      </w:pPr>
    </w:p>
    <w:p w14:paraId="0E75A1F6" w14:textId="77777777" w:rsidR="009B1652" w:rsidRDefault="009B1652" w:rsidP="009B1652">
      <w:pPr>
        <w:jc w:val="both"/>
        <w:rPr>
          <w:rFonts w:ascii="Arial" w:hAnsi="Arial" w:cs="Arial"/>
          <w:sz w:val="20"/>
          <w:szCs w:val="20"/>
        </w:rPr>
      </w:pPr>
      <w:r w:rsidRPr="005022CC">
        <w:rPr>
          <w:rFonts w:ascii="Arial" w:hAnsi="Arial" w:cs="Arial"/>
          <w:color w:val="000000"/>
          <w:sz w:val="20"/>
        </w:rPr>
        <w:t>Pursuant to s.190 of the CYFA, details which might tend to identify a notifier are generally removed from documents produced by D</w:t>
      </w:r>
      <w:r>
        <w:rPr>
          <w:rFonts w:ascii="Arial" w:hAnsi="Arial" w:cs="Arial"/>
          <w:color w:val="000000"/>
          <w:sz w:val="20"/>
        </w:rPr>
        <w:t>FFH</w:t>
      </w:r>
      <w:r w:rsidRPr="005022CC">
        <w:rPr>
          <w:rFonts w:ascii="Arial" w:hAnsi="Arial" w:cs="Arial"/>
          <w:color w:val="000000"/>
          <w:sz w:val="20"/>
        </w:rPr>
        <w:t xml:space="preserve"> under sub-poena. </w:t>
      </w:r>
      <w:r>
        <w:rPr>
          <w:rFonts w:ascii="Arial" w:hAnsi="Arial" w:cs="Arial"/>
          <w:sz w:val="20"/>
          <w:szCs w:val="20"/>
        </w:rPr>
        <w:t xml:space="preserve">For a discussion of whether and to what extent redactions are permissible in discovered documents – in particular in proceedings concerning historical child sexual abuse – see </w:t>
      </w:r>
      <w:r w:rsidRPr="00A70D0C">
        <w:rPr>
          <w:rFonts w:ascii="Arial" w:hAnsi="Arial" w:cs="Arial"/>
          <w:i/>
          <w:iCs/>
          <w:sz w:val="20"/>
          <w:szCs w:val="20"/>
        </w:rPr>
        <w:t>Erenshaw v The State of Victoria</w:t>
      </w:r>
      <w:r>
        <w:rPr>
          <w:rFonts w:ascii="Arial" w:hAnsi="Arial" w:cs="Arial"/>
          <w:sz w:val="20"/>
          <w:szCs w:val="20"/>
        </w:rPr>
        <w:t xml:space="preserve"> [2024] VSC 626.</w:t>
      </w:r>
    </w:p>
    <w:p w14:paraId="1C428726" w14:textId="77777777" w:rsidR="009B1652" w:rsidRDefault="009B1652" w:rsidP="0057380D">
      <w:pPr>
        <w:jc w:val="both"/>
        <w:rPr>
          <w:rFonts w:ascii="Arial" w:hAnsi="Arial" w:cs="Arial"/>
          <w:color w:val="000000"/>
          <w:sz w:val="20"/>
        </w:rPr>
      </w:pPr>
    </w:p>
    <w:p w14:paraId="3413BAD2" w14:textId="1C1CDE58" w:rsidR="003B3AA1" w:rsidRDefault="003B3AA1" w:rsidP="0057380D">
      <w:pPr>
        <w:jc w:val="both"/>
        <w:rPr>
          <w:rFonts w:ascii="Arial" w:hAnsi="Arial" w:cs="Arial"/>
          <w:color w:val="000000"/>
          <w:sz w:val="20"/>
        </w:rPr>
      </w:pPr>
      <w:r>
        <w:rPr>
          <w:rFonts w:ascii="Arial" w:hAnsi="Arial" w:cs="Arial"/>
          <w:color w:val="000000"/>
          <w:sz w:val="20"/>
        </w:rPr>
        <w:t xml:space="preserve">Part 3.10 of the </w:t>
      </w:r>
      <w:r w:rsidRPr="003B3AA1">
        <w:rPr>
          <w:rFonts w:ascii="Arial" w:hAnsi="Arial" w:cs="Arial"/>
          <w:i/>
          <w:iCs/>
          <w:color w:val="000000"/>
          <w:sz w:val="20"/>
        </w:rPr>
        <w:t>Evidence Act 2008</w:t>
      </w:r>
      <w:r>
        <w:rPr>
          <w:rFonts w:ascii="Arial" w:hAnsi="Arial" w:cs="Arial"/>
          <w:color w:val="000000"/>
          <w:sz w:val="20"/>
        </w:rPr>
        <w:t xml:space="preserve"> (Vic) details various privileges which may be claimed by persons seeking that production of particular documents </w:t>
      </w:r>
      <w:proofErr w:type="gramStart"/>
      <w:r>
        <w:rPr>
          <w:rFonts w:ascii="Arial" w:hAnsi="Arial" w:cs="Arial"/>
          <w:color w:val="000000"/>
          <w:sz w:val="20"/>
        </w:rPr>
        <w:t>not be</w:t>
      </w:r>
      <w:proofErr w:type="gramEnd"/>
      <w:r>
        <w:rPr>
          <w:rFonts w:ascii="Arial" w:hAnsi="Arial" w:cs="Arial"/>
          <w:color w:val="000000"/>
          <w:sz w:val="20"/>
        </w:rPr>
        <w:t xml:space="preserve"> ordered.  Sections 117-126 deal with ‘Client legal privilege’ formerly known as ‘legal professional privilege’.  Section 127 deals with religious confessions.  Sections 128 &amp; 128A deal with privilege in respect of self-incrimination.  Sections 129</w:t>
      </w:r>
      <w:r w:rsidR="007961CE">
        <w:rPr>
          <w:rFonts w:ascii="Arial" w:hAnsi="Arial" w:cs="Arial"/>
          <w:color w:val="000000"/>
          <w:sz w:val="20"/>
        </w:rPr>
        <w:noBreakHyphen/>
      </w:r>
      <w:r>
        <w:rPr>
          <w:rFonts w:ascii="Arial" w:hAnsi="Arial" w:cs="Arial"/>
          <w:color w:val="000000"/>
          <w:sz w:val="20"/>
        </w:rPr>
        <w:t xml:space="preserve">131 deal with evidence sought to be ‘excluded in the public interest’, </w:t>
      </w:r>
      <w:r w:rsidR="00F44997">
        <w:rPr>
          <w:rFonts w:ascii="Arial" w:hAnsi="Arial" w:cs="Arial"/>
          <w:color w:val="000000"/>
          <w:sz w:val="20"/>
        </w:rPr>
        <w:t>also</w:t>
      </w:r>
      <w:r>
        <w:rPr>
          <w:rFonts w:ascii="Arial" w:hAnsi="Arial" w:cs="Arial"/>
          <w:color w:val="000000"/>
          <w:sz w:val="20"/>
        </w:rPr>
        <w:t xml:space="preserve"> known as ‘public interest immunity’. </w:t>
      </w:r>
    </w:p>
    <w:p w14:paraId="480F98B2" w14:textId="0B9A6576" w:rsidR="003B3AA1" w:rsidRDefault="003B3AA1" w:rsidP="0057380D">
      <w:pPr>
        <w:jc w:val="both"/>
        <w:rPr>
          <w:rFonts w:ascii="Arial" w:hAnsi="Arial" w:cs="Arial"/>
          <w:color w:val="000000"/>
          <w:sz w:val="20"/>
        </w:rPr>
      </w:pPr>
    </w:p>
    <w:p w14:paraId="3D331E48" w14:textId="21BCDFD1" w:rsidR="003B3AA1" w:rsidRPr="003B3AA1" w:rsidRDefault="003B3AA1" w:rsidP="0057380D">
      <w:pPr>
        <w:jc w:val="both"/>
        <w:rPr>
          <w:rFonts w:ascii="Arial" w:hAnsi="Arial" w:cs="Arial"/>
          <w:color w:val="000000"/>
          <w:sz w:val="20"/>
          <w:szCs w:val="20"/>
        </w:rPr>
      </w:pPr>
      <w:r w:rsidRPr="003B3AA1">
        <w:rPr>
          <w:rFonts w:ascii="Arial" w:hAnsi="Arial" w:cs="Arial"/>
          <w:color w:val="000000"/>
          <w:sz w:val="20"/>
          <w:szCs w:val="20"/>
        </w:rPr>
        <w:t xml:space="preserve">In </w:t>
      </w:r>
      <w:r w:rsidRPr="003B3AA1">
        <w:rPr>
          <w:rFonts w:ascii="Arial" w:hAnsi="Arial" w:cs="Arial"/>
          <w:i/>
          <w:iCs/>
          <w:sz w:val="20"/>
          <w:szCs w:val="20"/>
        </w:rPr>
        <w:t>Andrianakis v Uber Technologies Inc &amp; Ors; Taxi Apps Pty Ltd v Uber Technologies Inc &amp; Ors</w:t>
      </w:r>
      <w:r w:rsidRPr="003B3AA1">
        <w:rPr>
          <w:rFonts w:ascii="Arial" w:hAnsi="Arial" w:cs="Arial"/>
          <w:sz w:val="20"/>
          <w:szCs w:val="20"/>
        </w:rPr>
        <w:t xml:space="preserve"> [2022] VSC 196 </w:t>
      </w:r>
      <w:r>
        <w:rPr>
          <w:rFonts w:ascii="Arial" w:hAnsi="Arial" w:cs="Arial"/>
          <w:sz w:val="20"/>
          <w:szCs w:val="20"/>
        </w:rPr>
        <w:t>an issue arose in respect of a claim of client legal privilege. Matthew</w:t>
      </w:r>
      <w:r w:rsidR="00AF3FDC">
        <w:rPr>
          <w:rFonts w:ascii="Arial" w:hAnsi="Arial" w:cs="Arial"/>
          <w:sz w:val="20"/>
          <w:szCs w:val="20"/>
        </w:rPr>
        <w:t>s</w:t>
      </w:r>
      <w:r>
        <w:rPr>
          <w:rFonts w:ascii="Arial" w:hAnsi="Arial" w:cs="Arial"/>
          <w:sz w:val="20"/>
          <w:szCs w:val="20"/>
        </w:rPr>
        <w:t xml:space="preserve"> AsJ said </w:t>
      </w:r>
      <w:r w:rsidRPr="003B3AA1">
        <w:rPr>
          <w:rFonts w:ascii="Arial" w:hAnsi="Arial" w:cs="Arial"/>
          <w:sz w:val="20"/>
          <w:szCs w:val="20"/>
        </w:rPr>
        <w:t>at [47]</w:t>
      </w:r>
      <w:r>
        <w:rPr>
          <w:rFonts w:ascii="Arial" w:hAnsi="Arial" w:cs="Arial"/>
          <w:sz w:val="20"/>
          <w:szCs w:val="20"/>
        </w:rPr>
        <w:t>:</w:t>
      </w:r>
    </w:p>
    <w:p w14:paraId="514C566D" w14:textId="47787F33" w:rsidR="0059676A" w:rsidRPr="0059676A" w:rsidRDefault="0059676A" w:rsidP="0059676A">
      <w:pPr>
        <w:spacing w:before="60"/>
        <w:ind w:left="454" w:right="454"/>
        <w:jc w:val="both"/>
        <w:rPr>
          <w:rFonts w:ascii="Arial" w:hAnsi="Arial" w:cs="Arial"/>
          <w:iCs/>
          <w:color w:val="000000"/>
          <w:sz w:val="20"/>
          <w:szCs w:val="20"/>
        </w:rPr>
      </w:pPr>
      <w:r w:rsidRPr="0059676A">
        <w:rPr>
          <w:rFonts w:ascii="Arial" w:hAnsi="Arial" w:cs="Arial"/>
          <w:iCs/>
          <w:color w:val="000000"/>
          <w:sz w:val="20"/>
          <w:szCs w:val="20"/>
        </w:rPr>
        <w:lastRenderedPageBreak/>
        <w:t>“</w:t>
      </w:r>
      <w:r w:rsidRPr="0059676A">
        <w:rPr>
          <w:rFonts w:ascii="Arial" w:hAnsi="Arial" w:cs="Arial"/>
          <w:sz w:val="20"/>
          <w:szCs w:val="20"/>
        </w:rPr>
        <w:t xml:space="preserve">The common law principles inform the content and application of ss 118 and 119: </w:t>
      </w:r>
      <w:r w:rsidRPr="0059676A">
        <w:rPr>
          <w:rFonts w:ascii="Arial" w:eastAsia="Book Antiqua" w:hAnsi="Arial" w:cs="Arial"/>
          <w:i/>
          <w:sz w:val="20"/>
          <w:szCs w:val="20"/>
        </w:rPr>
        <w:t xml:space="preserve">Samenic Ltd v APM Group (Aust) Pty Ltd </w:t>
      </w:r>
      <w:r w:rsidRPr="0059676A">
        <w:rPr>
          <w:rFonts w:ascii="Arial" w:hAnsi="Arial" w:cs="Arial"/>
          <w:sz w:val="20"/>
          <w:szCs w:val="20"/>
        </w:rPr>
        <w:t>[2011] VSC 194, [19]</w:t>
      </w:r>
      <w:r>
        <w:rPr>
          <w:rFonts w:ascii="Arial" w:hAnsi="Arial" w:cs="Arial"/>
          <w:sz w:val="20"/>
          <w:szCs w:val="20"/>
        </w:rPr>
        <w:t>.</w:t>
      </w:r>
      <w:r w:rsidRPr="0059676A">
        <w:rPr>
          <w:rFonts w:ascii="Arial" w:hAnsi="Arial" w:cs="Arial"/>
          <w:sz w:val="20"/>
          <w:szCs w:val="20"/>
        </w:rPr>
        <w:t xml:space="preserve">  In the context of applying the Evidence Act, in </w:t>
      </w:r>
      <w:r w:rsidRPr="0059676A">
        <w:rPr>
          <w:rFonts w:ascii="Arial" w:eastAsia="Book Antiqua" w:hAnsi="Arial" w:cs="Arial"/>
          <w:i/>
          <w:sz w:val="20"/>
          <w:szCs w:val="20"/>
        </w:rPr>
        <w:t>IOOF Holdings Ltd v Maurice Blackburn Pty Ltd</w:t>
      </w:r>
      <w:r w:rsidRPr="0059676A">
        <w:rPr>
          <w:rFonts w:ascii="Arial" w:hAnsi="Arial" w:cs="Arial"/>
          <w:sz w:val="20"/>
          <w:szCs w:val="20"/>
        </w:rPr>
        <w:t xml:space="preserve"> </w:t>
      </w:r>
      <w:r>
        <w:rPr>
          <w:rFonts w:ascii="Arial" w:hAnsi="Arial" w:cs="Arial"/>
          <w:sz w:val="20"/>
          <w:szCs w:val="20"/>
        </w:rPr>
        <w:t xml:space="preserve">[2016] VSC 311 at [47], </w:t>
      </w:r>
      <w:r w:rsidRPr="0059676A">
        <w:rPr>
          <w:rFonts w:ascii="Arial" w:hAnsi="Arial" w:cs="Arial"/>
          <w:sz w:val="20"/>
          <w:szCs w:val="20"/>
        </w:rPr>
        <w:t xml:space="preserve">Elliott J stated that the principles applicable to privilege </w:t>
      </w:r>
      <w:r>
        <w:rPr>
          <w:rFonts w:ascii="Arial" w:eastAsia="Book Antiqua" w:hAnsi="Arial" w:cs="Arial"/>
          <w:sz w:val="20"/>
          <w:szCs w:val="20"/>
        </w:rPr>
        <w:t>‘</w:t>
      </w:r>
      <w:r w:rsidRPr="0059676A">
        <w:rPr>
          <w:rFonts w:ascii="Arial" w:hAnsi="Arial" w:cs="Arial"/>
          <w:sz w:val="20"/>
          <w:szCs w:val="20"/>
        </w:rPr>
        <w:t>are not controversial</w:t>
      </w:r>
      <w:r>
        <w:rPr>
          <w:rFonts w:ascii="Arial" w:eastAsia="Book Antiqua" w:hAnsi="Arial" w:cs="Arial"/>
          <w:sz w:val="20"/>
          <w:szCs w:val="20"/>
        </w:rPr>
        <w:t>’ and summarised them as follows:</w:t>
      </w:r>
    </w:p>
    <w:p w14:paraId="7773FFE9" w14:textId="77777777"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The party claiming the privilege bears the onus.  That onus will only be discharged if the party establishes facts from which the court may determine that the privilege is being properly claimed. </w:t>
      </w:r>
    </w:p>
    <w:p w14:paraId="382D7FB0" w14:textId="77777777"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eastAsia="Book Antiqua" w:hAnsi="Arial" w:cs="Arial"/>
          <w:sz w:val="18"/>
          <w:szCs w:val="18"/>
        </w:rPr>
        <w:t>“</w:t>
      </w:r>
      <w:r w:rsidRPr="00D352C5">
        <w:rPr>
          <w:rFonts w:ascii="Arial" w:hAnsi="Arial" w:cs="Arial"/>
          <w:sz w:val="18"/>
          <w:szCs w:val="18"/>
        </w:rPr>
        <w:t>Purpose</w:t>
      </w:r>
      <w:r w:rsidRPr="00D352C5">
        <w:rPr>
          <w:rFonts w:ascii="Arial" w:eastAsia="Book Antiqua" w:hAnsi="Arial" w:cs="Arial"/>
          <w:sz w:val="18"/>
          <w:szCs w:val="18"/>
        </w:rPr>
        <w:t>”</w:t>
      </w:r>
      <w:r w:rsidRPr="00D352C5">
        <w:rPr>
          <w:rFonts w:ascii="Arial" w:hAnsi="Arial" w:cs="Arial"/>
          <w:sz w:val="18"/>
          <w:szCs w:val="18"/>
        </w:rPr>
        <w:t xml:space="preserve"> in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 xml:space="preserve"> means the purpose which led to the creation of the document or the making of the communication. </w:t>
      </w:r>
    </w:p>
    <w:p w14:paraId="44884819" w14:textId="77777777"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The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 xml:space="preserve"> is the purpose which was the ruling, prevailing or most influential purpose at the time the document was brought into existence. </w:t>
      </w:r>
    </w:p>
    <w:p w14:paraId="3B42B3A9" w14:textId="5B83638C"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There can be only 1 dominant purpose.  If there are 2 purposes of equal weight, neither fits the description of a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w:t>
      </w:r>
    </w:p>
    <w:p w14:paraId="065A9143" w14:textId="54C5FA91"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If a dominant purpose existed, that dominant purpose must be determined objectively, having regard to the evidence, the nature of the document and the parties</w:t>
      </w:r>
      <w:r w:rsidRPr="00D352C5">
        <w:rPr>
          <w:rFonts w:ascii="Arial" w:eastAsia="Book Antiqua" w:hAnsi="Arial" w:cs="Arial"/>
          <w:sz w:val="18"/>
          <w:szCs w:val="18"/>
        </w:rPr>
        <w:t>’</w:t>
      </w:r>
      <w:r w:rsidRPr="00D352C5">
        <w:rPr>
          <w:rFonts w:ascii="Arial" w:hAnsi="Arial" w:cs="Arial"/>
          <w:sz w:val="18"/>
          <w:szCs w:val="18"/>
        </w:rPr>
        <w:t xml:space="preserve"> submissions.  That said, evidence of the subjective purpose of the person making the communication or creating the document is relevant.</w:t>
      </w:r>
    </w:p>
    <w:p w14:paraId="4A2A77AC" w14:textId="1F17A6C9"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Ordinarily, the relevant purpose is that of the person who brings into existence the document which includes the privileged communication, but this will not always be the case.</w:t>
      </w:r>
    </w:p>
    <w:p w14:paraId="69662E81" w14:textId="28CA2E16"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As the test is directed towards the purpose of bringing the document into existence, a copy of a non-privileged document may be privileged.</w:t>
      </w:r>
    </w:p>
    <w:p w14:paraId="6F56C187" w14:textId="6758E320"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The material relied upon by the person claiming privilege must be focused and specific.  Formulaic and bare conclusory assertions are not sufficient.</w:t>
      </w:r>
    </w:p>
    <w:p w14:paraId="580E4167" w14:textId="3C248C0C"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With respect to advice privilege, in considering whether a communication is for the purposes of legal advice, the purposes must be construed broadly.  Although it does not extend to pure commercial advice, legal advice, in this context, includes any advice as to what should prudently and sensibly be done in the particular legal circumstances in which the client finds itself.</w:t>
      </w:r>
    </w:p>
    <w:p w14:paraId="611D8C03" w14:textId="6F4C0ED5"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Further to subparagraph (9), a document created by a lawyer that records her or his legal work carried out for the benefit of the client, such as a research memorandum, a summary of documents or a chronology, will be protected by privilege whether or not the document is provided to the client.  Similarly, notes and other material created by the client that relate to the legal advice sought (whether or not actually communicated to the lawyer), or that relate to communications with the lawyer, may be privileged where such documents meet the relevant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 xml:space="preserve"> test.</w:t>
      </w:r>
    </w:p>
    <w:p w14:paraId="53E1ED5A" w14:textId="11CD1E94"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With respect to litigation privilege, for a proceeding to be </w:t>
      </w:r>
      <w:r w:rsidRPr="00D352C5">
        <w:rPr>
          <w:rFonts w:ascii="Arial" w:eastAsia="Book Antiqua" w:hAnsi="Arial" w:cs="Arial"/>
          <w:sz w:val="18"/>
          <w:szCs w:val="18"/>
        </w:rPr>
        <w:t>“</w:t>
      </w:r>
      <w:r w:rsidRPr="00D352C5">
        <w:rPr>
          <w:rFonts w:ascii="Arial" w:hAnsi="Arial" w:cs="Arial"/>
          <w:sz w:val="18"/>
          <w:szCs w:val="18"/>
        </w:rPr>
        <w:t>anticipated or pending</w:t>
      </w:r>
      <w:r w:rsidRPr="00D352C5">
        <w:rPr>
          <w:rFonts w:ascii="Arial" w:eastAsia="Book Antiqua" w:hAnsi="Arial" w:cs="Arial"/>
          <w:sz w:val="18"/>
          <w:szCs w:val="18"/>
        </w:rPr>
        <w:t>”</w:t>
      </w:r>
      <w:r w:rsidRPr="00D352C5">
        <w:rPr>
          <w:rFonts w:ascii="Arial" w:hAnsi="Arial" w:cs="Arial"/>
          <w:sz w:val="18"/>
          <w:szCs w:val="18"/>
        </w:rPr>
        <w:t xml:space="preserve"> for the purposes of s 119, there must be more than a mere possibility of litigation.  As a general rule, there must be a real prospect of litigation, but it does not have to be more likely than not.</w:t>
      </w:r>
    </w:p>
    <w:p w14:paraId="051AD901" w14:textId="4ED4B603"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Many claims for privilege may be determined by the court without the need to inspect the documents.  Further, ordinarily, the court will not examine the documents if the party claiming privilege has not established a basis for the claim in an affidavit in support.  However, in an appropriate case, the court may examine the documents to make a decision about privilege, particularly where the parties agree to this course.</w:t>
      </w:r>
    </w:p>
    <w:p w14:paraId="51576250" w14:textId="56D4D3FF"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A law firm or a company may be a </w:t>
      </w:r>
      <w:r w:rsidRPr="00D352C5">
        <w:rPr>
          <w:rFonts w:ascii="Arial" w:eastAsia="Book Antiqua" w:hAnsi="Arial" w:cs="Arial"/>
          <w:sz w:val="18"/>
          <w:szCs w:val="18"/>
        </w:rPr>
        <w:t>“</w:t>
      </w:r>
      <w:r w:rsidRPr="00D352C5">
        <w:rPr>
          <w:rFonts w:ascii="Arial" w:hAnsi="Arial" w:cs="Arial"/>
          <w:sz w:val="18"/>
          <w:szCs w:val="18"/>
        </w:rPr>
        <w:t>client</w:t>
      </w:r>
      <w:r w:rsidRPr="00D352C5">
        <w:rPr>
          <w:rFonts w:ascii="Arial" w:eastAsia="Book Antiqua" w:hAnsi="Arial" w:cs="Arial"/>
          <w:sz w:val="18"/>
          <w:szCs w:val="18"/>
        </w:rPr>
        <w:t>”</w:t>
      </w:r>
      <w:r w:rsidRPr="00D352C5">
        <w:rPr>
          <w:rFonts w:ascii="Arial" w:hAnsi="Arial" w:cs="Arial"/>
          <w:sz w:val="18"/>
          <w:szCs w:val="18"/>
        </w:rPr>
        <w:t xml:space="preserve"> if it engages or employs its own employee lawyer, but privilege will only attach to the relevant communication or document if the employee is consulted confidentially in her or his professional capacity, with the requisite degree of independence, in relation to a professional matter.”</w:t>
      </w:r>
    </w:p>
    <w:p w14:paraId="14486BDB" w14:textId="4F7695CB" w:rsidR="003B3AA1" w:rsidRDefault="003B3AA1" w:rsidP="0057380D">
      <w:pPr>
        <w:jc w:val="both"/>
        <w:rPr>
          <w:rFonts w:ascii="Arial" w:hAnsi="Arial" w:cs="Arial"/>
          <w:color w:val="000000"/>
          <w:sz w:val="20"/>
        </w:rPr>
      </w:pPr>
    </w:p>
    <w:p w14:paraId="33261EF6" w14:textId="415FE43F" w:rsidR="00E07F20" w:rsidRDefault="001D6E4B" w:rsidP="0057380D">
      <w:pPr>
        <w:jc w:val="both"/>
        <w:rPr>
          <w:rFonts w:ascii="Arial" w:hAnsi="Arial" w:cs="Arial"/>
          <w:color w:val="000000"/>
          <w:sz w:val="20"/>
        </w:rPr>
      </w:pPr>
      <w:r w:rsidRPr="0028556C">
        <w:rPr>
          <w:rFonts w:ascii="Arial" w:hAnsi="Arial" w:cs="Arial"/>
          <w:color w:val="000000"/>
          <w:sz w:val="20"/>
          <w:szCs w:val="20"/>
        </w:rPr>
        <w:t xml:space="preserve">See also </w:t>
      </w:r>
      <w:r w:rsidRPr="0028556C">
        <w:rPr>
          <w:rFonts w:ascii="Arial" w:hAnsi="Arial" w:cs="Arial"/>
          <w:i/>
          <w:iCs/>
          <w:sz w:val="20"/>
          <w:szCs w:val="20"/>
        </w:rPr>
        <w:t>Andrianakis v Uber Technologies; Taxi Apps Pty Ltd v Uber Technologies (Appeal)</w:t>
      </w:r>
      <w:r w:rsidRPr="0028556C">
        <w:rPr>
          <w:rFonts w:ascii="Arial" w:hAnsi="Arial" w:cs="Arial"/>
          <w:sz w:val="20"/>
          <w:szCs w:val="20"/>
        </w:rPr>
        <w:t xml:space="preserve"> [2022] VSC </w:t>
      </w:r>
      <w:r w:rsidR="007D7B43" w:rsidRPr="0028556C">
        <w:rPr>
          <w:rFonts w:ascii="Arial" w:hAnsi="Arial" w:cs="Arial"/>
          <w:sz w:val="20"/>
          <w:szCs w:val="20"/>
        </w:rPr>
        <w:t>643 where John Dixon J dismissed Uber’s appeal and allowed the cross-appeal on one ground</w:t>
      </w:r>
      <w:r w:rsidR="00BC3571" w:rsidRPr="0028556C">
        <w:rPr>
          <w:rFonts w:ascii="Arial" w:hAnsi="Arial" w:cs="Arial"/>
          <w:sz w:val="20"/>
          <w:szCs w:val="20"/>
        </w:rPr>
        <w:t xml:space="preserve">; </w:t>
      </w:r>
      <w:r w:rsidR="0028556C" w:rsidRPr="0028556C">
        <w:rPr>
          <w:rFonts w:ascii="Arial" w:hAnsi="Arial" w:cs="Arial"/>
          <w:i/>
          <w:iCs/>
          <w:sz w:val="20"/>
          <w:szCs w:val="20"/>
        </w:rPr>
        <w:t>Andrianakis v Uber Technologies Inc &amp; Ors; Taxi Apps Pty Ltd v Uber Technologies Inc &amp; Ors (third party privilege)</w:t>
      </w:r>
      <w:r w:rsidR="0028556C" w:rsidRPr="0028556C">
        <w:rPr>
          <w:rFonts w:ascii="Arial" w:hAnsi="Arial" w:cs="Arial"/>
          <w:sz w:val="20"/>
          <w:szCs w:val="20"/>
        </w:rPr>
        <w:t xml:space="preserve"> [2023] VSC 366; </w:t>
      </w:r>
      <w:r w:rsidR="00BC3571" w:rsidRPr="0028556C">
        <w:rPr>
          <w:rFonts w:ascii="Arial" w:hAnsi="Arial" w:cs="Arial"/>
          <w:i/>
          <w:iCs/>
          <w:sz w:val="20"/>
          <w:szCs w:val="20"/>
        </w:rPr>
        <w:t>Grant v Downs</w:t>
      </w:r>
      <w:r w:rsidR="00BC3571" w:rsidRPr="0028556C">
        <w:rPr>
          <w:rFonts w:ascii="Arial" w:hAnsi="Arial" w:cs="Arial"/>
          <w:sz w:val="20"/>
          <w:szCs w:val="20"/>
        </w:rPr>
        <w:t xml:space="preserve"> (1976) 135 CLR 674; </w:t>
      </w:r>
      <w:r w:rsidR="00BC3571" w:rsidRPr="0028556C">
        <w:rPr>
          <w:rFonts w:ascii="Arial" w:hAnsi="Arial" w:cs="Arial"/>
          <w:i/>
          <w:iCs/>
          <w:sz w:val="20"/>
          <w:szCs w:val="20"/>
        </w:rPr>
        <w:t>Huang v Frankston City Council</w:t>
      </w:r>
      <w:r w:rsidR="00BC3571" w:rsidRPr="0028556C">
        <w:rPr>
          <w:rFonts w:ascii="Arial" w:hAnsi="Arial" w:cs="Arial"/>
          <w:sz w:val="20"/>
          <w:szCs w:val="20"/>
        </w:rPr>
        <w:t xml:space="preserve"> [2022] VSC 733 at [31]-[34] &amp; [75]-[85]</w:t>
      </w:r>
      <w:r w:rsidR="00656542" w:rsidRPr="0028556C">
        <w:rPr>
          <w:rFonts w:ascii="Arial" w:hAnsi="Arial" w:cs="Arial"/>
          <w:sz w:val="20"/>
          <w:szCs w:val="20"/>
        </w:rPr>
        <w:t xml:space="preserve">; </w:t>
      </w:r>
      <w:r w:rsidR="00656542" w:rsidRPr="0028556C">
        <w:rPr>
          <w:rFonts w:ascii="Arial" w:hAnsi="Arial" w:cs="Arial"/>
          <w:i/>
          <w:iCs/>
          <w:sz w:val="20"/>
          <w:szCs w:val="20"/>
        </w:rPr>
        <w:t>Quebani Pty Ltd &amp; Anor v McDonald’s Australia Limited</w:t>
      </w:r>
      <w:r w:rsidR="00656542" w:rsidRPr="0028556C">
        <w:rPr>
          <w:rFonts w:ascii="Arial" w:hAnsi="Arial" w:cs="Arial"/>
          <w:sz w:val="20"/>
          <w:szCs w:val="20"/>
        </w:rPr>
        <w:t xml:space="preserve"> [2023] VSC 16</w:t>
      </w:r>
      <w:r w:rsidR="000A70A8">
        <w:rPr>
          <w:rFonts w:ascii="Arial" w:hAnsi="Arial" w:cs="Arial"/>
          <w:sz w:val="20"/>
          <w:szCs w:val="20"/>
        </w:rPr>
        <w:t xml:space="preserve"> &amp; [2023] VSC 439</w:t>
      </w:r>
      <w:r w:rsidR="00AB3D20">
        <w:rPr>
          <w:rFonts w:ascii="Arial" w:hAnsi="Arial" w:cs="Arial"/>
          <w:sz w:val="20"/>
          <w:szCs w:val="20"/>
        </w:rPr>
        <w:t xml:space="preserve">; </w:t>
      </w:r>
      <w:r w:rsidR="00AB3D20" w:rsidRPr="00AB3D20">
        <w:rPr>
          <w:rFonts w:ascii="Arial" w:hAnsi="Arial" w:cs="Arial"/>
          <w:i/>
          <w:iCs/>
          <w:sz w:val="20"/>
          <w:szCs w:val="20"/>
        </w:rPr>
        <w:t>Re Sleeping Duck Pty Ltd (Appeal)</w:t>
      </w:r>
      <w:r w:rsidR="00AB3D20">
        <w:rPr>
          <w:rFonts w:ascii="Arial" w:hAnsi="Arial" w:cs="Arial"/>
          <w:sz w:val="20"/>
          <w:szCs w:val="20"/>
        </w:rPr>
        <w:t xml:space="preserve"> [2023] VSC 541</w:t>
      </w:r>
      <w:r w:rsidR="00E4326E">
        <w:rPr>
          <w:rFonts w:ascii="Arial" w:hAnsi="Arial" w:cs="Arial"/>
          <w:sz w:val="20"/>
          <w:szCs w:val="20"/>
        </w:rPr>
        <w:t xml:space="preserve">; </w:t>
      </w:r>
      <w:r w:rsidR="00E4326E" w:rsidRPr="00E4326E">
        <w:rPr>
          <w:rFonts w:ascii="Arial" w:hAnsi="Arial" w:cs="Arial"/>
          <w:i/>
          <w:iCs/>
          <w:sz w:val="20"/>
          <w:szCs w:val="20"/>
        </w:rPr>
        <w:t>Re SLKALT Pty Ltd (in</w:t>
      </w:r>
      <w:r w:rsidR="00E4326E">
        <w:rPr>
          <w:rFonts w:ascii="Arial" w:hAnsi="Arial" w:cs="Arial"/>
          <w:i/>
          <w:iCs/>
          <w:sz w:val="20"/>
          <w:szCs w:val="20"/>
        </w:rPr>
        <w:t> </w:t>
      </w:r>
      <w:r w:rsidR="00E4326E" w:rsidRPr="00E4326E">
        <w:rPr>
          <w:rFonts w:ascii="Arial" w:hAnsi="Arial" w:cs="Arial"/>
          <w:i/>
          <w:iCs/>
          <w:sz w:val="20"/>
          <w:szCs w:val="20"/>
        </w:rPr>
        <w:t>liq)</w:t>
      </w:r>
      <w:r w:rsidR="00E4326E">
        <w:rPr>
          <w:rFonts w:ascii="Arial" w:hAnsi="Arial" w:cs="Arial"/>
          <w:sz w:val="20"/>
          <w:szCs w:val="20"/>
        </w:rPr>
        <w:t xml:space="preserve"> [2024] VSC 250</w:t>
      </w:r>
      <w:r w:rsidR="00D80649">
        <w:rPr>
          <w:rFonts w:ascii="Arial" w:hAnsi="Arial" w:cs="Arial"/>
          <w:sz w:val="20"/>
          <w:szCs w:val="20"/>
        </w:rPr>
        <w:t xml:space="preserve">; </w:t>
      </w:r>
      <w:r w:rsidR="00D80649" w:rsidRPr="00D80649">
        <w:rPr>
          <w:rFonts w:ascii="Arial" w:hAnsi="Arial" w:cs="Arial"/>
          <w:i/>
          <w:iCs/>
          <w:sz w:val="20"/>
          <w:szCs w:val="20"/>
        </w:rPr>
        <w:t>Tarasova v State of Victoria (subpoena ruling)</w:t>
      </w:r>
      <w:r w:rsidR="00D80649">
        <w:rPr>
          <w:rFonts w:ascii="Arial" w:hAnsi="Arial" w:cs="Arial"/>
          <w:sz w:val="20"/>
          <w:szCs w:val="20"/>
        </w:rPr>
        <w:t xml:space="preserve"> [2024] VSC 543 at [12]-[24]</w:t>
      </w:r>
      <w:r w:rsidR="00E07F20">
        <w:rPr>
          <w:rFonts w:ascii="Arial" w:hAnsi="Arial" w:cs="Arial"/>
          <w:sz w:val="20"/>
          <w:szCs w:val="20"/>
        </w:rPr>
        <w:t xml:space="preserve">; </w:t>
      </w:r>
      <w:r w:rsidR="00E07F20" w:rsidRPr="00E07F20">
        <w:rPr>
          <w:rFonts w:ascii="Arial" w:hAnsi="Arial" w:cs="Arial"/>
          <w:i/>
          <w:iCs/>
          <w:color w:val="000000"/>
          <w:sz w:val="20"/>
          <w:szCs w:val="20"/>
        </w:rPr>
        <w:t>Reynolds v Qube Logistics (SA1) Pty Ltd</w:t>
      </w:r>
      <w:r w:rsidR="00E07F20" w:rsidRPr="00E07F20">
        <w:rPr>
          <w:rFonts w:ascii="Arial" w:hAnsi="Arial" w:cs="Arial"/>
          <w:color w:val="000000"/>
          <w:sz w:val="20"/>
          <w:szCs w:val="20"/>
        </w:rPr>
        <w:t xml:space="preserve"> [2025] VSC 689</w:t>
      </w:r>
      <w:r w:rsidR="00E07F20">
        <w:rPr>
          <w:rFonts w:ascii="Arial" w:hAnsi="Arial" w:cs="Arial"/>
          <w:color w:val="000000"/>
          <w:sz w:val="20"/>
          <w:szCs w:val="20"/>
        </w:rPr>
        <w:t xml:space="preserve"> at [24]-[35]</w:t>
      </w:r>
      <w:r w:rsidR="00B64748">
        <w:rPr>
          <w:rFonts w:ascii="Arial" w:hAnsi="Arial" w:cs="Arial"/>
          <w:color w:val="000000"/>
          <w:sz w:val="20"/>
          <w:szCs w:val="20"/>
        </w:rPr>
        <w:t xml:space="preserve">; </w:t>
      </w:r>
      <w:r w:rsidR="00B64748" w:rsidRPr="00B64748">
        <w:rPr>
          <w:rFonts w:ascii="Arial" w:hAnsi="Arial" w:cs="Arial"/>
          <w:i/>
          <w:iCs/>
          <w:color w:val="000000"/>
          <w:sz w:val="20"/>
        </w:rPr>
        <w:t>Callaway v State of Victoria &amp; Ors</w:t>
      </w:r>
      <w:r w:rsidR="00B64748" w:rsidRPr="00B64748">
        <w:rPr>
          <w:rFonts w:ascii="Arial" w:hAnsi="Arial" w:cs="Arial"/>
          <w:color w:val="000000"/>
          <w:sz w:val="20"/>
        </w:rPr>
        <w:t xml:space="preserve"> [2026] VSC 41</w:t>
      </w:r>
      <w:r w:rsidR="00690160">
        <w:rPr>
          <w:rFonts w:ascii="Arial" w:hAnsi="Arial" w:cs="Arial"/>
          <w:color w:val="000000"/>
          <w:sz w:val="20"/>
        </w:rPr>
        <w:t xml:space="preserve">; </w:t>
      </w:r>
      <w:proofErr w:type="spellStart"/>
      <w:r w:rsidR="00690160" w:rsidRPr="00690160">
        <w:rPr>
          <w:rFonts w:ascii="Arial" w:hAnsi="Arial" w:cs="Arial"/>
          <w:i/>
          <w:iCs/>
          <w:color w:val="000000"/>
          <w:sz w:val="20"/>
        </w:rPr>
        <w:t>Madafferi</w:t>
      </w:r>
      <w:proofErr w:type="spellEnd"/>
      <w:r w:rsidR="00690160" w:rsidRPr="00690160">
        <w:rPr>
          <w:rFonts w:ascii="Arial" w:hAnsi="Arial" w:cs="Arial"/>
          <w:i/>
          <w:iCs/>
          <w:color w:val="000000"/>
          <w:sz w:val="20"/>
        </w:rPr>
        <w:t xml:space="preserve"> v The King</w:t>
      </w:r>
      <w:r w:rsidR="00690160">
        <w:rPr>
          <w:rFonts w:ascii="Arial" w:hAnsi="Arial" w:cs="Arial"/>
          <w:color w:val="000000"/>
          <w:sz w:val="20"/>
        </w:rPr>
        <w:t xml:space="preserve"> [2026] VSCA 8</w:t>
      </w:r>
      <w:r w:rsidR="006C4D95">
        <w:rPr>
          <w:rFonts w:ascii="Arial" w:hAnsi="Arial" w:cs="Arial"/>
          <w:color w:val="000000"/>
          <w:sz w:val="20"/>
        </w:rPr>
        <w:t xml:space="preserve">; </w:t>
      </w:r>
      <w:r w:rsidR="006C4D95" w:rsidRPr="006C4D95">
        <w:rPr>
          <w:rFonts w:ascii="Arial" w:hAnsi="Arial" w:cs="Arial"/>
          <w:i/>
          <w:iCs/>
          <w:color w:val="000000"/>
          <w:sz w:val="20"/>
        </w:rPr>
        <w:t>Bergman v Sportsbet Pty Ltd (Privilege Ruling)</w:t>
      </w:r>
      <w:r w:rsidR="006C4D95">
        <w:rPr>
          <w:rFonts w:ascii="Arial" w:hAnsi="Arial" w:cs="Arial"/>
          <w:color w:val="000000"/>
          <w:sz w:val="20"/>
        </w:rPr>
        <w:t xml:space="preserve"> [2026] VSC 277.</w:t>
      </w:r>
    </w:p>
    <w:p w14:paraId="216087A9" w14:textId="77777777" w:rsidR="00B64748" w:rsidRDefault="00B64748" w:rsidP="0057380D">
      <w:pPr>
        <w:jc w:val="both"/>
        <w:rPr>
          <w:rFonts w:ascii="Arial" w:hAnsi="Arial" w:cs="Arial"/>
          <w:color w:val="000000"/>
          <w:sz w:val="20"/>
        </w:rPr>
      </w:pPr>
    </w:p>
    <w:p w14:paraId="46F461A0" w14:textId="586844D9" w:rsidR="009B1652" w:rsidRDefault="009B1652" w:rsidP="0057380D">
      <w:pPr>
        <w:jc w:val="both"/>
        <w:rPr>
          <w:rFonts w:ascii="Arial" w:hAnsi="Arial" w:cs="Arial"/>
          <w:color w:val="000000"/>
          <w:sz w:val="20"/>
          <w:szCs w:val="20"/>
        </w:rPr>
      </w:pPr>
      <w:r w:rsidRPr="005022CC">
        <w:rPr>
          <w:rFonts w:ascii="Arial" w:hAnsi="Arial" w:cs="Arial"/>
          <w:color w:val="000000"/>
          <w:sz w:val="20"/>
        </w:rPr>
        <w:t xml:space="preserve">In </w:t>
      </w:r>
      <w:r w:rsidRPr="005022CC">
        <w:rPr>
          <w:rFonts w:ascii="Arial" w:hAnsi="Arial" w:cs="Arial"/>
          <w:i/>
          <w:color w:val="000000"/>
          <w:sz w:val="20"/>
        </w:rPr>
        <w:t>Oxfordshire County Council v M</w:t>
      </w:r>
      <w:r w:rsidRPr="005022CC">
        <w:rPr>
          <w:rFonts w:ascii="Arial" w:hAnsi="Arial" w:cs="Arial"/>
          <w:color w:val="000000"/>
          <w:sz w:val="20"/>
        </w:rPr>
        <w:t xml:space="preserve"> [1994] </w:t>
      </w:r>
      <w:r>
        <w:rPr>
          <w:rFonts w:ascii="Arial" w:hAnsi="Arial" w:cs="Arial"/>
          <w:color w:val="000000"/>
          <w:sz w:val="20"/>
        </w:rPr>
        <w:t>I</w:t>
      </w:r>
      <w:r w:rsidRPr="005022CC">
        <w:rPr>
          <w:rFonts w:ascii="Arial" w:hAnsi="Arial" w:cs="Arial"/>
          <w:color w:val="000000"/>
          <w:sz w:val="20"/>
        </w:rPr>
        <w:t xml:space="preserve"> 151 it was held that in proceedings under the </w:t>
      </w:r>
      <w:r w:rsidRPr="00A82F40">
        <w:rPr>
          <w:rFonts w:ascii="Arial" w:hAnsi="Arial" w:cs="Arial"/>
          <w:i/>
          <w:iCs/>
          <w:color w:val="000000"/>
          <w:sz w:val="20"/>
        </w:rPr>
        <w:t>Children Act 1989</w:t>
      </w:r>
      <w:r w:rsidRPr="00A82F40">
        <w:rPr>
          <w:rFonts w:ascii="Arial" w:hAnsi="Arial" w:cs="Arial"/>
          <w:color w:val="000000"/>
          <w:sz w:val="20"/>
        </w:rPr>
        <w:t xml:space="preserve"> (UK)</w:t>
      </w:r>
      <w:r w:rsidRPr="005022CC">
        <w:rPr>
          <w:rFonts w:ascii="Arial" w:hAnsi="Arial" w:cs="Arial"/>
          <w:color w:val="000000"/>
          <w:sz w:val="20"/>
        </w:rPr>
        <w:t xml:space="preserve"> the court has power to override legal professional privilege in order to admit information which will enable the court to make a properly informed decision as to the interests of the child.</w:t>
      </w:r>
    </w:p>
    <w:p w14:paraId="6E4DB1D1" w14:textId="77777777" w:rsidR="009B1652" w:rsidRDefault="009B1652" w:rsidP="0057380D">
      <w:pPr>
        <w:jc w:val="both"/>
        <w:rPr>
          <w:rFonts w:ascii="Arial" w:hAnsi="Arial" w:cs="Arial"/>
          <w:color w:val="000000"/>
          <w:sz w:val="20"/>
          <w:szCs w:val="20"/>
        </w:rPr>
      </w:pPr>
    </w:p>
    <w:p w14:paraId="74198C39" w14:textId="70EB6B7C" w:rsidR="008A7D13" w:rsidRDefault="00436D8C" w:rsidP="0057380D">
      <w:pPr>
        <w:jc w:val="both"/>
        <w:rPr>
          <w:rFonts w:ascii="Arial" w:hAnsi="Arial" w:cs="Arial"/>
          <w:color w:val="000000"/>
          <w:sz w:val="20"/>
          <w:szCs w:val="20"/>
        </w:rPr>
      </w:pPr>
      <w:r>
        <w:rPr>
          <w:rFonts w:ascii="Arial" w:hAnsi="Arial" w:cs="Arial"/>
          <w:color w:val="000000"/>
          <w:sz w:val="20"/>
          <w:szCs w:val="20"/>
        </w:rPr>
        <w:t xml:space="preserve">In </w:t>
      </w:r>
      <w:r w:rsidRPr="00436D8C">
        <w:rPr>
          <w:rFonts w:ascii="Arial" w:hAnsi="Arial" w:cs="Arial"/>
          <w:i/>
          <w:iCs/>
          <w:color w:val="000000"/>
          <w:sz w:val="20"/>
          <w:szCs w:val="20"/>
        </w:rPr>
        <w:t>Berih v Homes Victoria (No 3)</w:t>
      </w:r>
      <w:r w:rsidRPr="00436D8C">
        <w:rPr>
          <w:rFonts w:ascii="Arial" w:hAnsi="Arial" w:cs="Arial"/>
          <w:color w:val="000000"/>
          <w:sz w:val="20"/>
          <w:szCs w:val="20"/>
        </w:rPr>
        <w:t xml:space="preserve"> [2025] VSC 30</w:t>
      </w:r>
      <w:r>
        <w:rPr>
          <w:rFonts w:ascii="Arial" w:hAnsi="Arial" w:cs="Arial"/>
          <w:color w:val="000000"/>
          <w:sz w:val="20"/>
          <w:szCs w:val="20"/>
        </w:rPr>
        <w:t xml:space="preserve"> the </w:t>
      </w:r>
      <w:r w:rsidR="001728D2">
        <w:rPr>
          <w:rFonts w:ascii="Arial" w:hAnsi="Arial" w:cs="Arial"/>
          <w:color w:val="000000"/>
          <w:sz w:val="20"/>
          <w:szCs w:val="20"/>
        </w:rPr>
        <w:t xml:space="preserve">plaintiff had called for the production of documents submitted to Cabinet and </w:t>
      </w:r>
      <w:r w:rsidR="007873C8">
        <w:rPr>
          <w:rFonts w:ascii="Arial" w:hAnsi="Arial" w:cs="Arial"/>
          <w:color w:val="000000"/>
          <w:sz w:val="20"/>
          <w:szCs w:val="20"/>
        </w:rPr>
        <w:t>associated</w:t>
      </w:r>
      <w:r w:rsidR="008A7D13">
        <w:rPr>
          <w:rFonts w:ascii="Arial" w:hAnsi="Arial" w:cs="Arial"/>
          <w:color w:val="000000"/>
          <w:sz w:val="20"/>
          <w:szCs w:val="20"/>
        </w:rPr>
        <w:t xml:space="preserve"> </w:t>
      </w:r>
      <w:r w:rsidR="001728D2">
        <w:rPr>
          <w:rFonts w:ascii="Arial" w:hAnsi="Arial" w:cs="Arial"/>
          <w:color w:val="000000"/>
          <w:sz w:val="20"/>
          <w:szCs w:val="20"/>
        </w:rPr>
        <w:t>preparatory documents</w:t>
      </w:r>
      <w:r w:rsidR="008A7D13">
        <w:rPr>
          <w:rFonts w:ascii="Arial" w:hAnsi="Arial" w:cs="Arial"/>
          <w:color w:val="000000"/>
          <w:sz w:val="20"/>
          <w:szCs w:val="20"/>
        </w:rPr>
        <w:t xml:space="preserve"> </w:t>
      </w:r>
      <w:r w:rsidR="007873C8">
        <w:rPr>
          <w:rFonts w:ascii="Arial" w:hAnsi="Arial" w:cs="Arial"/>
          <w:color w:val="000000"/>
          <w:sz w:val="20"/>
          <w:szCs w:val="20"/>
        </w:rPr>
        <w:t>relating</w:t>
      </w:r>
      <w:r w:rsidR="008A7D13">
        <w:rPr>
          <w:rFonts w:ascii="Arial" w:hAnsi="Arial" w:cs="Arial"/>
          <w:color w:val="000000"/>
          <w:sz w:val="20"/>
          <w:szCs w:val="20"/>
        </w:rPr>
        <w:t xml:space="preserve"> to </w:t>
      </w:r>
      <w:r w:rsidR="008A7D13" w:rsidRPr="008A7D13">
        <w:rPr>
          <w:rFonts w:ascii="Arial" w:hAnsi="Arial" w:cs="Arial"/>
          <w:color w:val="000000"/>
          <w:sz w:val="20"/>
          <w:szCs w:val="20"/>
        </w:rPr>
        <w:t>the demolition and redevelopment of three public housing towers located in Flemington and North</w:t>
      </w:r>
      <w:r w:rsidR="008A7D13">
        <w:rPr>
          <w:rFonts w:ascii="Arial" w:hAnsi="Arial" w:cs="Arial"/>
          <w:color w:val="000000"/>
          <w:sz w:val="20"/>
          <w:szCs w:val="20"/>
        </w:rPr>
        <w:t xml:space="preserve"> Melbourne</w:t>
      </w:r>
      <w:r w:rsidR="001728D2">
        <w:rPr>
          <w:rFonts w:ascii="Arial" w:hAnsi="Arial" w:cs="Arial"/>
          <w:color w:val="000000"/>
          <w:sz w:val="20"/>
          <w:szCs w:val="20"/>
        </w:rPr>
        <w:t xml:space="preserve">. </w:t>
      </w:r>
      <w:r w:rsidR="008A7D13">
        <w:rPr>
          <w:rFonts w:ascii="Arial" w:hAnsi="Arial" w:cs="Arial"/>
          <w:color w:val="000000"/>
          <w:sz w:val="20"/>
          <w:szCs w:val="20"/>
        </w:rPr>
        <w:t>A</w:t>
      </w:r>
      <w:r w:rsidR="00651D61">
        <w:rPr>
          <w:rFonts w:ascii="Arial" w:hAnsi="Arial" w:cs="Arial"/>
          <w:color w:val="000000"/>
          <w:sz w:val="20"/>
          <w:szCs w:val="20"/>
        </w:rPr>
        <w:t>f</w:t>
      </w:r>
      <w:r w:rsidR="008A7D13">
        <w:rPr>
          <w:rFonts w:ascii="Arial" w:hAnsi="Arial" w:cs="Arial"/>
          <w:color w:val="000000"/>
          <w:sz w:val="20"/>
          <w:szCs w:val="20"/>
        </w:rPr>
        <w:t xml:space="preserve">ter citing </w:t>
      </w:r>
      <w:r w:rsidR="008A7D13">
        <w:rPr>
          <w:rFonts w:ascii="Arial" w:hAnsi="Arial" w:cs="Arial"/>
          <w:color w:val="000000"/>
          <w:sz w:val="20"/>
          <w:szCs w:val="20"/>
        </w:rPr>
        <w:lastRenderedPageBreak/>
        <w:t xml:space="preserve">a key passage from the judgment of the plurality in </w:t>
      </w:r>
      <w:r w:rsidR="008A7D13" w:rsidRPr="008A7D13">
        <w:rPr>
          <w:rFonts w:ascii="Arial" w:hAnsi="Arial" w:cs="Arial"/>
          <w:i/>
          <w:iCs/>
          <w:color w:val="000000"/>
          <w:sz w:val="20"/>
          <w:szCs w:val="20"/>
        </w:rPr>
        <w:t>Commonwealth v Northern Land Council</w:t>
      </w:r>
      <w:r w:rsidR="008A7D13">
        <w:rPr>
          <w:rFonts w:ascii="Arial" w:hAnsi="Arial" w:cs="Arial"/>
          <w:color w:val="000000"/>
          <w:sz w:val="20"/>
          <w:szCs w:val="20"/>
        </w:rPr>
        <w:t xml:space="preserve"> </w:t>
      </w:r>
      <w:r w:rsidR="008A7D13" w:rsidRPr="008A7D13">
        <w:rPr>
          <w:rFonts w:ascii="Arial" w:hAnsi="Arial" w:cs="Arial"/>
          <w:color w:val="000000"/>
          <w:sz w:val="20"/>
          <w:szCs w:val="20"/>
        </w:rPr>
        <w:t xml:space="preserve">(1993) 176 CLR 604 </w:t>
      </w:r>
      <w:r w:rsidR="008A7D13">
        <w:rPr>
          <w:rFonts w:ascii="Arial" w:hAnsi="Arial" w:cs="Arial"/>
          <w:color w:val="000000"/>
          <w:sz w:val="20"/>
          <w:szCs w:val="20"/>
        </w:rPr>
        <w:t>at 615</w:t>
      </w:r>
      <w:r w:rsidR="007873C8">
        <w:rPr>
          <w:rFonts w:ascii="Arial" w:hAnsi="Arial" w:cs="Arial"/>
          <w:color w:val="000000"/>
          <w:sz w:val="20"/>
          <w:szCs w:val="20"/>
        </w:rPr>
        <w:t>,</w:t>
      </w:r>
      <w:r w:rsidR="008A7D13">
        <w:rPr>
          <w:rFonts w:ascii="Arial" w:hAnsi="Arial" w:cs="Arial"/>
          <w:color w:val="000000"/>
          <w:sz w:val="20"/>
          <w:szCs w:val="20"/>
        </w:rPr>
        <w:t xml:space="preserve"> Keogh J </w:t>
      </w:r>
      <w:r w:rsidR="00457EBA">
        <w:rPr>
          <w:rFonts w:ascii="Arial" w:hAnsi="Arial" w:cs="Arial"/>
          <w:color w:val="000000"/>
          <w:sz w:val="20"/>
          <w:szCs w:val="20"/>
        </w:rPr>
        <w:t>sai</w:t>
      </w:r>
      <w:r w:rsidR="008A7D13">
        <w:rPr>
          <w:rFonts w:ascii="Arial" w:hAnsi="Arial" w:cs="Arial"/>
          <w:color w:val="000000"/>
          <w:sz w:val="20"/>
          <w:szCs w:val="20"/>
        </w:rPr>
        <w:t>d</w:t>
      </w:r>
      <w:r w:rsidR="00651D61">
        <w:rPr>
          <w:rFonts w:ascii="Arial" w:hAnsi="Arial" w:cs="Arial"/>
          <w:color w:val="000000"/>
          <w:sz w:val="20"/>
          <w:szCs w:val="20"/>
        </w:rPr>
        <w:t xml:space="preserve"> at [48]</w:t>
      </w:r>
      <w:r w:rsidR="008A7D13">
        <w:rPr>
          <w:rFonts w:ascii="Arial" w:hAnsi="Arial" w:cs="Arial"/>
          <w:color w:val="000000"/>
          <w:sz w:val="20"/>
          <w:szCs w:val="20"/>
        </w:rPr>
        <w:t>:</w:t>
      </w:r>
    </w:p>
    <w:p w14:paraId="1D4BED30" w14:textId="6419C086" w:rsidR="00457EBA" w:rsidRPr="0059676A" w:rsidRDefault="00457EBA" w:rsidP="00457EBA">
      <w:pPr>
        <w:spacing w:before="60"/>
        <w:ind w:left="454" w:right="454"/>
        <w:jc w:val="both"/>
        <w:rPr>
          <w:rFonts w:ascii="Arial" w:hAnsi="Arial" w:cs="Arial"/>
          <w:iCs/>
          <w:color w:val="000000"/>
          <w:sz w:val="20"/>
          <w:szCs w:val="20"/>
        </w:rPr>
      </w:pPr>
      <w:r>
        <w:rPr>
          <w:rFonts w:ascii="Arial" w:hAnsi="Arial" w:cs="Arial"/>
          <w:color w:val="000000"/>
          <w:sz w:val="20"/>
          <w:szCs w:val="20"/>
        </w:rPr>
        <w:t>“</w:t>
      </w:r>
      <w:r w:rsidRPr="008A7D13">
        <w:rPr>
          <w:rFonts w:ascii="Arial" w:hAnsi="Arial" w:cs="Arial"/>
          <w:color w:val="000000"/>
          <w:sz w:val="20"/>
          <w:szCs w:val="20"/>
        </w:rPr>
        <w:t>The plurality noted that where immunity was sought for a class of documents, it was on the basis that disclosure ‘would be injurious to the public interest, whatever the contents’. The immunity from disclosure of such a class is not absolute. The public interest in immunity must ‘be weighed against the competing public interest in the proper administration of justice, which may be impaired by the denial to a court of access to relevant and otherwise admissible evidence.</w:t>
      </w:r>
      <w:r>
        <w:rPr>
          <w:rFonts w:ascii="Arial" w:hAnsi="Arial" w:cs="Arial"/>
          <w:color w:val="000000"/>
          <w:sz w:val="20"/>
          <w:szCs w:val="20"/>
        </w:rPr>
        <w:t>”</w:t>
      </w:r>
    </w:p>
    <w:p w14:paraId="2E905F34" w14:textId="062CB197" w:rsidR="008A7D13" w:rsidRDefault="00457EBA" w:rsidP="00457EBA">
      <w:pPr>
        <w:spacing w:before="60"/>
        <w:jc w:val="both"/>
        <w:rPr>
          <w:rFonts w:ascii="Arial" w:hAnsi="Arial" w:cs="Arial"/>
          <w:color w:val="000000"/>
          <w:sz w:val="20"/>
          <w:szCs w:val="20"/>
        </w:rPr>
      </w:pPr>
      <w:r>
        <w:rPr>
          <w:rFonts w:ascii="Arial" w:hAnsi="Arial" w:cs="Arial"/>
          <w:color w:val="000000"/>
          <w:sz w:val="20"/>
          <w:szCs w:val="20"/>
        </w:rPr>
        <w:t xml:space="preserve">At [49] &amp; [51] his Honour also referred with approval to dicta of John Dixon J in </w:t>
      </w:r>
      <w:r w:rsidRPr="00457EBA">
        <w:rPr>
          <w:rFonts w:ascii="Arial" w:hAnsi="Arial" w:cs="Arial"/>
          <w:i/>
          <w:iCs/>
          <w:color w:val="000000"/>
          <w:sz w:val="20"/>
          <w:szCs w:val="20"/>
        </w:rPr>
        <w:t>Murdesk Investments Pty Ltd v Secretary to the Department of Business and Innovation</w:t>
      </w:r>
      <w:r>
        <w:rPr>
          <w:rFonts w:ascii="Arial" w:hAnsi="Arial" w:cs="Arial"/>
          <w:i/>
          <w:iCs/>
          <w:color w:val="000000"/>
          <w:sz w:val="20"/>
          <w:szCs w:val="20"/>
        </w:rPr>
        <w:t xml:space="preserve"> </w:t>
      </w:r>
      <w:r w:rsidRPr="008A7D13">
        <w:rPr>
          <w:rFonts w:ascii="Arial" w:hAnsi="Arial" w:cs="Arial"/>
          <w:color w:val="000000"/>
          <w:sz w:val="20"/>
          <w:szCs w:val="20"/>
        </w:rPr>
        <w:t>[2011] VSC 436</w:t>
      </w:r>
      <w:r>
        <w:rPr>
          <w:rFonts w:ascii="Arial" w:hAnsi="Arial" w:cs="Arial"/>
          <w:color w:val="000000"/>
          <w:sz w:val="20"/>
          <w:szCs w:val="20"/>
        </w:rPr>
        <w:t xml:space="preserve"> at [22]-[23] and of Macaulay J in </w:t>
      </w:r>
      <w:r w:rsidRPr="00457EBA">
        <w:rPr>
          <w:rFonts w:ascii="Arial" w:hAnsi="Arial" w:cs="Arial"/>
          <w:i/>
          <w:iCs/>
          <w:color w:val="000000"/>
          <w:sz w:val="20"/>
          <w:szCs w:val="20"/>
        </w:rPr>
        <w:t>Kamasaee v Commonwealth of Australia (Nos 3 and 5)</w:t>
      </w:r>
      <w:r>
        <w:rPr>
          <w:rFonts w:ascii="Arial" w:hAnsi="Arial" w:cs="Arial"/>
          <w:color w:val="000000"/>
          <w:sz w:val="20"/>
          <w:szCs w:val="20"/>
        </w:rPr>
        <w:t xml:space="preserve"> </w:t>
      </w:r>
      <w:r w:rsidRPr="00457EBA">
        <w:rPr>
          <w:rFonts w:ascii="Arial" w:hAnsi="Arial" w:cs="Arial"/>
          <w:color w:val="000000"/>
          <w:sz w:val="20"/>
          <w:szCs w:val="20"/>
        </w:rPr>
        <w:t>(2016) 52 VR 322</w:t>
      </w:r>
      <w:r>
        <w:rPr>
          <w:rFonts w:ascii="Arial" w:hAnsi="Arial" w:cs="Arial"/>
          <w:color w:val="000000"/>
          <w:sz w:val="20"/>
          <w:szCs w:val="20"/>
        </w:rPr>
        <w:t>, noting at [50]:</w:t>
      </w:r>
    </w:p>
    <w:p w14:paraId="04752F37" w14:textId="45FF43DC" w:rsidR="00457EBA" w:rsidRPr="0059676A" w:rsidRDefault="00457EBA" w:rsidP="00457EBA">
      <w:pPr>
        <w:spacing w:before="60"/>
        <w:ind w:left="454" w:right="454"/>
        <w:jc w:val="both"/>
        <w:rPr>
          <w:rFonts w:ascii="Arial" w:hAnsi="Arial" w:cs="Arial"/>
          <w:iCs/>
          <w:color w:val="000000"/>
          <w:sz w:val="20"/>
          <w:szCs w:val="20"/>
        </w:rPr>
      </w:pPr>
      <w:r>
        <w:rPr>
          <w:rFonts w:ascii="Arial" w:hAnsi="Arial" w:cs="Arial"/>
          <w:color w:val="000000"/>
          <w:sz w:val="20"/>
          <w:szCs w:val="20"/>
        </w:rPr>
        <w:t>“</w:t>
      </w:r>
      <w:r w:rsidRPr="00457EBA">
        <w:rPr>
          <w:rFonts w:ascii="Arial" w:hAnsi="Arial" w:cs="Arial"/>
          <w:color w:val="000000"/>
          <w:sz w:val="20"/>
          <w:szCs w:val="20"/>
        </w:rPr>
        <w:t>There is a public interest in protecting from disclosure papers that have been brought into existence as part of a government process directed to obtaining a Cabinet decision on a matter of policy</w:t>
      </w:r>
      <w:r>
        <w:rPr>
          <w:rFonts w:ascii="Arial" w:hAnsi="Arial" w:cs="Arial"/>
          <w:color w:val="000000"/>
          <w:sz w:val="20"/>
          <w:szCs w:val="20"/>
        </w:rPr>
        <w:t xml:space="preserve">: </w:t>
      </w:r>
      <w:r w:rsidRPr="00457EBA">
        <w:rPr>
          <w:rFonts w:ascii="Arial" w:hAnsi="Arial" w:cs="Arial"/>
          <w:i/>
          <w:iCs/>
          <w:color w:val="000000"/>
          <w:sz w:val="20"/>
          <w:szCs w:val="20"/>
        </w:rPr>
        <w:t>Matthews v SPI Electricity Pty Ltd (No 11)</w:t>
      </w:r>
      <w:r w:rsidRPr="00457EBA">
        <w:rPr>
          <w:rFonts w:ascii="Arial" w:hAnsi="Arial" w:cs="Arial"/>
          <w:color w:val="000000"/>
          <w:sz w:val="20"/>
          <w:szCs w:val="20"/>
        </w:rPr>
        <w:t xml:space="preserve"> [2014] VSC 65 </w:t>
      </w:r>
      <w:r>
        <w:rPr>
          <w:rFonts w:ascii="Arial" w:hAnsi="Arial" w:cs="Arial"/>
          <w:color w:val="000000"/>
          <w:sz w:val="20"/>
          <w:szCs w:val="20"/>
        </w:rPr>
        <w:t xml:space="preserve">per </w:t>
      </w:r>
      <w:r w:rsidRPr="00457EBA">
        <w:rPr>
          <w:rFonts w:ascii="Arial" w:hAnsi="Arial" w:cs="Arial"/>
          <w:color w:val="000000"/>
          <w:sz w:val="20"/>
          <w:szCs w:val="20"/>
        </w:rPr>
        <w:t>Derham AsJ</w:t>
      </w:r>
      <w:r>
        <w:rPr>
          <w:rFonts w:ascii="Arial" w:hAnsi="Arial" w:cs="Arial"/>
          <w:color w:val="000000"/>
          <w:sz w:val="20"/>
          <w:szCs w:val="20"/>
        </w:rPr>
        <w:t xml:space="preserve"> at [24].”</w:t>
      </w:r>
    </w:p>
    <w:p w14:paraId="72E1BE64" w14:textId="7FC461C6" w:rsidR="007873C8" w:rsidRDefault="001728D2" w:rsidP="00AF3FDC">
      <w:pPr>
        <w:spacing w:before="120"/>
        <w:jc w:val="both"/>
        <w:rPr>
          <w:rFonts w:ascii="Arial" w:hAnsi="Arial" w:cs="Arial"/>
          <w:color w:val="000000"/>
          <w:sz w:val="20"/>
          <w:szCs w:val="20"/>
        </w:rPr>
      </w:pPr>
      <w:r>
        <w:rPr>
          <w:rFonts w:ascii="Arial" w:hAnsi="Arial" w:cs="Arial"/>
          <w:color w:val="000000"/>
          <w:sz w:val="20"/>
          <w:szCs w:val="20"/>
        </w:rPr>
        <w:t xml:space="preserve">Keogh J </w:t>
      </w:r>
      <w:r w:rsidR="00AF3FDC">
        <w:rPr>
          <w:rFonts w:ascii="Arial" w:hAnsi="Arial" w:cs="Arial"/>
          <w:color w:val="000000"/>
          <w:sz w:val="20"/>
          <w:szCs w:val="20"/>
        </w:rPr>
        <w:t xml:space="preserve">accepted at [84]-[85] that the plaintiff had demonstrated a legitimate forensic purpose in having the Cabinet documents available for his use but held at [88] that </w:t>
      </w:r>
      <w:r w:rsidR="001F07FA">
        <w:rPr>
          <w:rFonts w:ascii="Arial" w:hAnsi="Arial" w:cs="Arial"/>
          <w:color w:val="000000"/>
          <w:sz w:val="20"/>
          <w:szCs w:val="20"/>
        </w:rPr>
        <w:t xml:space="preserve">pursuant to s.130(5)(a) of the </w:t>
      </w:r>
      <w:r w:rsidR="001F07FA" w:rsidRPr="007873C8">
        <w:rPr>
          <w:rFonts w:ascii="Arial" w:hAnsi="Arial" w:cs="Arial"/>
          <w:i/>
          <w:iCs/>
          <w:color w:val="000000"/>
          <w:sz w:val="20"/>
          <w:szCs w:val="20"/>
        </w:rPr>
        <w:t>Evidence Act 2008</w:t>
      </w:r>
      <w:r w:rsidR="001F07FA">
        <w:rPr>
          <w:rFonts w:ascii="Arial" w:hAnsi="Arial" w:cs="Arial"/>
          <w:color w:val="000000"/>
          <w:sz w:val="20"/>
          <w:szCs w:val="20"/>
        </w:rPr>
        <w:t xml:space="preserve"> </w:t>
      </w:r>
      <w:r w:rsidR="007873C8">
        <w:rPr>
          <w:rFonts w:ascii="Arial" w:hAnsi="Arial" w:cs="Arial"/>
          <w:color w:val="000000"/>
          <w:sz w:val="20"/>
          <w:szCs w:val="20"/>
        </w:rPr>
        <w:t xml:space="preserve">he was “not satisfied </w:t>
      </w:r>
      <w:r w:rsidR="00AF3FDC">
        <w:rPr>
          <w:rFonts w:ascii="Arial" w:hAnsi="Arial" w:cs="Arial"/>
          <w:color w:val="000000"/>
          <w:sz w:val="20"/>
          <w:szCs w:val="20"/>
        </w:rPr>
        <w:t xml:space="preserve">the documents </w:t>
      </w:r>
      <w:r w:rsidR="007873C8">
        <w:rPr>
          <w:rFonts w:ascii="Arial" w:hAnsi="Arial" w:cs="Arial"/>
          <w:color w:val="000000"/>
          <w:sz w:val="20"/>
          <w:szCs w:val="20"/>
        </w:rPr>
        <w:t>are</w:t>
      </w:r>
      <w:r w:rsidR="00AF3FDC">
        <w:rPr>
          <w:rFonts w:ascii="Arial" w:hAnsi="Arial" w:cs="Arial"/>
          <w:color w:val="000000"/>
          <w:sz w:val="20"/>
          <w:szCs w:val="20"/>
        </w:rPr>
        <w:t xml:space="preserve"> important </w:t>
      </w:r>
      <w:r w:rsidR="007873C8">
        <w:rPr>
          <w:rFonts w:ascii="Arial" w:hAnsi="Arial" w:cs="Arial"/>
          <w:color w:val="000000"/>
          <w:sz w:val="20"/>
          <w:szCs w:val="20"/>
        </w:rPr>
        <w:t xml:space="preserve">to the outcome of the proceeding”. His Honour held at [55] &amp; [74] </w:t>
      </w:r>
      <w:r>
        <w:rPr>
          <w:rFonts w:ascii="Arial" w:hAnsi="Arial" w:cs="Arial"/>
          <w:color w:val="000000"/>
          <w:sz w:val="20"/>
          <w:szCs w:val="20"/>
        </w:rPr>
        <w:t>that the documents sought were likely to reveal the content of current and controversial Cabinet committee deliberations</w:t>
      </w:r>
      <w:r w:rsidR="007873C8">
        <w:rPr>
          <w:rFonts w:ascii="Arial" w:hAnsi="Arial" w:cs="Arial"/>
          <w:color w:val="000000"/>
          <w:sz w:val="20"/>
          <w:szCs w:val="20"/>
        </w:rPr>
        <w:t xml:space="preserve">. Ultimately his Honour held that the </w:t>
      </w:r>
      <w:r w:rsidR="007873C8" w:rsidRPr="007873C8">
        <w:rPr>
          <w:rFonts w:ascii="Arial" w:hAnsi="Arial" w:cs="Arial"/>
          <w:color w:val="000000"/>
          <w:sz w:val="20"/>
          <w:szCs w:val="20"/>
        </w:rPr>
        <w:t xml:space="preserve">Cabinet Submission documents </w:t>
      </w:r>
      <w:r w:rsidR="001F07FA">
        <w:rPr>
          <w:rFonts w:ascii="Arial" w:hAnsi="Arial" w:cs="Arial"/>
          <w:color w:val="000000"/>
          <w:sz w:val="20"/>
          <w:szCs w:val="20"/>
        </w:rPr>
        <w:t>we</w:t>
      </w:r>
      <w:r w:rsidR="007873C8" w:rsidRPr="007873C8">
        <w:rPr>
          <w:rFonts w:ascii="Arial" w:hAnsi="Arial" w:cs="Arial"/>
          <w:color w:val="000000"/>
          <w:sz w:val="20"/>
          <w:szCs w:val="20"/>
        </w:rPr>
        <w:t>re immune from disclosure</w:t>
      </w:r>
      <w:r w:rsidR="007873C8">
        <w:rPr>
          <w:rFonts w:ascii="Arial" w:hAnsi="Arial" w:cs="Arial"/>
          <w:color w:val="000000"/>
          <w:sz w:val="20"/>
          <w:szCs w:val="20"/>
        </w:rPr>
        <w:t>, concluding at [92]:</w:t>
      </w:r>
    </w:p>
    <w:p w14:paraId="5CB8C55D" w14:textId="2ADD7DFF" w:rsidR="007873C8" w:rsidRPr="0059676A" w:rsidRDefault="007873C8" w:rsidP="007873C8">
      <w:pPr>
        <w:spacing w:before="60"/>
        <w:ind w:left="454" w:right="454"/>
        <w:jc w:val="both"/>
        <w:rPr>
          <w:rFonts w:ascii="Arial" w:hAnsi="Arial" w:cs="Arial"/>
          <w:iCs/>
          <w:color w:val="000000"/>
          <w:sz w:val="20"/>
          <w:szCs w:val="20"/>
        </w:rPr>
      </w:pPr>
      <w:r>
        <w:rPr>
          <w:rFonts w:ascii="Arial" w:hAnsi="Arial" w:cs="Arial"/>
          <w:iCs/>
          <w:color w:val="000000"/>
          <w:sz w:val="20"/>
          <w:szCs w:val="20"/>
        </w:rPr>
        <w:t>“</w:t>
      </w:r>
      <w:r w:rsidRPr="007873C8">
        <w:rPr>
          <w:rFonts w:ascii="Arial" w:hAnsi="Arial" w:cs="Arial"/>
          <w:iCs/>
          <w:color w:val="000000"/>
          <w:sz w:val="20"/>
          <w:szCs w:val="20"/>
        </w:rPr>
        <w:t>The public interest in disclosing the documents weighs more heavily in the circumstances of this proceeding, which concerns the housing rights of vulnerable community members</w:t>
      </w:r>
      <w:r>
        <w:rPr>
          <w:rFonts w:ascii="Arial" w:hAnsi="Arial" w:cs="Arial"/>
          <w:iCs/>
          <w:color w:val="000000"/>
          <w:sz w:val="20"/>
          <w:szCs w:val="20"/>
        </w:rPr>
        <w:t xml:space="preserve">: see s.130(5)(cc) </w:t>
      </w:r>
      <w:r w:rsidRPr="007873C8">
        <w:rPr>
          <w:rFonts w:ascii="Arial" w:hAnsi="Arial" w:cs="Arial"/>
          <w:i/>
          <w:color w:val="000000"/>
          <w:sz w:val="20"/>
          <w:szCs w:val="20"/>
        </w:rPr>
        <w:t>Evidence Act 2008</w:t>
      </w:r>
      <w:r w:rsidRPr="007873C8">
        <w:rPr>
          <w:rFonts w:ascii="Arial" w:hAnsi="Arial" w:cs="Arial"/>
          <w:iCs/>
          <w:color w:val="000000"/>
          <w:sz w:val="20"/>
          <w:szCs w:val="20"/>
        </w:rPr>
        <w:t>. However, taking into account the above matters, I conclude that the public interest in disclosure of the documents is not sufficient to outweigh the public interest in maintaining the confidentiality of Cabinet documents relating to a matter that is current and controversial.</w:t>
      </w:r>
      <w:r>
        <w:rPr>
          <w:rFonts w:ascii="Arial" w:hAnsi="Arial" w:cs="Arial"/>
          <w:iCs/>
          <w:color w:val="000000"/>
          <w:sz w:val="20"/>
          <w:szCs w:val="20"/>
        </w:rPr>
        <w:t>”</w:t>
      </w:r>
    </w:p>
    <w:p w14:paraId="73553ED2" w14:textId="77777777" w:rsidR="00436D8C" w:rsidRPr="0028556C" w:rsidRDefault="00436D8C" w:rsidP="0057380D">
      <w:pPr>
        <w:jc w:val="both"/>
        <w:rPr>
          <w:rFonts w:ascii="Arial" w:hAnsi="Arial" w:cs="Arial"/>
          <w:color w:val="000000"/>
          <w:sz w:val="20"/>
          <w:szCs w:val="20"/>
        </w:rPr>
      </w:pPr>
    </w:p>
    <w:p w14:paraId="5147B3AC" w14:textId="77777777" w:rsidR="00AB19D9" w:rsidRPr="005022CC" w:rsidRDefault="00AB19D9" w:rsidP="0057380D">
      <w:pPr>
        <w:jc w:val="both"/>
        <w:rPr>
          <w:rFonts w:ascii="Arial" w:hAnsi="Arial" w:cs="Arial"/>
          <w:color w:val="000000"/>
          <w:sz w:val="20"/>
        </w:rPr>
      </w:pPr>
      <w:bookmarkStart w:id="811" w:name="_Ref332721851"/>
      <w:r w:rsidRPr="005022CC">
        <w:rPr>
          <w:rFonts w:ascii="Arial" w:hAnsi="Arial" w:cs="Arial"/>
          <w:color w:val="000000"/>
          <w:sz w:val="20"/>
          <w:szCs w:val="20"/>
        </w:rPr>
        <w:t xml:space="preserve">The relevant principles for determining an accused’s entitlement in a criminal proceeding to access documents the subject of a subpoena were summarised by J Forrest J in </w:t>
      </w:r>
      <w:r w:rsidRPr="005022CC">
        <w:rPr>
          <w:rFonts w:ascii="Arial" w:hAnsi="Arial" w:cs="Arial"/>
          <w:i/>
          <w:color w:val="000000"/>
          <w:sz w:val="20"/>
          <w:szCs w:val="20"/>
        </w:rPr>
        <w:t>Commissioner of the Australian Federal Police v Magistrates’ Court of Victoria</w:t>
      </w:r>
      <w:r w:rsidRPr="005022CC">
        <w:rPr>
          <w:rFonts w:ascii="Arial" w:hAnsi="Arial" w:cs="Arial"/>
          <w:color w:val="000000"/>
          <w:sz w:val="20"/>
          <w:szCs w:val="20"/>
        </w:rPr>
        <w:t xml:space="preserve"> [2011] VSC 3 at [28] as follows:</w:t>
      </w:r>
      <w:bookmarkEnd w:id="811"/>
    </w:p>
    <w:p w14:paraId="46C4A347" w14:textId="77777777" w:rsidR="00AB19D9" w:rsidRPr="005022CC" w:rsidRDefault="00AB19D9"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“(a)</w:t>
      </w:r>
      <w:r w:rsidRPr="005022CC">
        <w:rPr>
          <w:rFonts w:ascii="Arial" w:hAnsi="Arial" w:cs="Arial"/>
          <w:iCs/>
          <w:color w:val="000000"/>
          <w:sz w:val="20"/>
          <w:szCs w:val="20"/>
        </w:rPr>
        <w:tab/>
      </w:r>
      <w:r w:rsidRPr="005022CC">
        <w:rPr>
          <w:rFonts w:ascii="Arial" w:hAnsi="Arial" w:cs="Arial"/>
          <w:color w:val="000000"/>
          <w:sz w:val="20"/>
          <w:szCs w:val="20"/>
        </w:rPr>
        <w:t>it is necessary for the party at whose request the witness summons was issued to identify expressly and precisely the legitimate forensic purpose for which access to the documents is sought;</w:t>
      </w:r>
    </w:p>
    <w:p w14:paraId="00B8B3D0" w14:textId="77777777" w:rsidR="00AB19D9" w:rsidRPr="005022CC" w:rsidRDefault="00AB19D9"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(b)</w:t>
      </w:r>
      <w:r w:rsidRPr="005022CC">
        <w:rPr>
          <w:rFonts w:ascii="Arial" w:hAnsi="Arial" w:cs="Arial"/>
          <w:iCs/>
          <w:color w:val="000000"/>
          <w:sz w:val="20"/>
          <w:szCs w:val="20"/>
        </w:rPr>
        <w:tab/>
      </w:r>
      <w:r w:rsidRPr="005022CC">
        <w:rPr>
          <w:rFonts w:ascii="Arial" w:hAnsi="Arial" w:cs="Arial"/>
          <w:color w:val="000000"/>
          <w:sz w:val="20"/>
          <w:szCs w:val="20"/>
        </w:rPr>
        <w:t>the identification of such a legitimate forensic purpose is to be considered by the court without inspecting the documents sought to be produced;</w:t>
      </w:r>
    </w:p>
    <w:p w14:paraId="48D6DDF2" w14:textId="77777777" w:rsidR="00AB19D9" w:rsidRPr="005022CC" w:rsidRDefault="00AB19D9"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(c)</w:t>
      </w:r>
      <w:r w:rsidRPr="005022CC">
        <w:rPr>
          <w:rFonts w:ascii="Arial" w:hAnsi="Arial" w:cs="Arial"/>
          <w:iCs/>
          <w:color w:val="000000"/>
          <w:sz w:val="20"/>
          <w:szCs w:val="20"/>
        </w:rPr>
        <w:tab/>
      </w:r>
      <w:r w:rsidRPr="005022CC">
        <w:rPr>
          <w:rFonts w:ascii="Arial" w:hAnsi="Arial" w:cs="Arial"/>
          <w:color w:val="000000"/>
          <w:sz w:val="20"/>
          <w:szCs w:val="20"/>
        </w:rPr>
        <w:t>the applicant for the witness summons must also satisfy the court that it is ‘on the cards’, or that there is a ‘reasonable possibility’ that the documents sought under the subpoena ‘will materially assist the defence’</w:t>
      </w:r>
      <w:r w:rsidR="00C45CA7" w:rsidRPr="005022CC">
        <w:rPr>
          <w:rFonts w:ascii="Arial" w:hAnsi="Arial" w:cs="Arial"/>
          <w:iCs/>
          <w:color w:val="000000"/>
          <w:sz w:val="20"/>
          <w:szCs w:val="20"/>
        </w:rPr>
        <w:t>;</w:t>
      </w:r>
    </w:p>
    <w:p w14:paraId="760D6D45" w14:textId="77777777" w:rsidR="00C45CA7" w:rsidRPr="005022CC" w:rsidRDefault="00C45CA7"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(d)</w:t>
      </w:r>
      <w:r w:rsidRPr="005022CC">
        <w:rPr>
          <w:rFonts w:ascii="Arial" w:hAnsi="Arial" w:cs="Arial"/>
          <w:iCs/>
          <w:color w:val="000000"/>
          <w:sz w:val="20"/>
          <w:szCs w:val="20"/>
        </w:rPr>
        <w:tab/>
      </w:r>
      <w:r w:rsidRPr="005022CC">
        <w:rPr>
          <w:rFonts w:ascii="Arial" w:hAnsi="Arial" w:cs="Arial"/>
          <w:color w:val="000000"/>
          <w:sz w:val="20"/>
          <w:szCs w:val="20"/>
        </w:rPr>
        <w:t>a ‘fishing expedition’ is not a legitimate forensic purpose and will not be permitted;</w:t>
      </w:r>
    </w:p>
    <w:p w14:paraId="7C25EBFF" w14:textId="77777777" w:rsidR="00C45CA7" w:rsidRPr="005022CC" w:rsidRDefault="00C45CA7"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(e)</w:t>
      </w:r>
      <w:r w:rsidRPr="005022CC">
        <w:rPr>
          <w:rFonts w:ascii="Arial" w:hAnsi="Arial" w:cs="Arial"/>
          <w:iCs/>
          <w:color w:val="000000"/>
          <w:sz w:val="20"/>
          <w:szCs w:val="20"/>
        </w:rPr>
        <w:tab/>
      </w:r>
      <w:r w:rsidRPr="005022CC">
        <w:rPr>
          <w:rFonts w:ascii="Arial" w:hAnsi="Arial" w:cs="Arial"/>
          <w:color w:val="000000"/>
          <w:sz w:val="20"/>
          <w:szCs w:val="20"/>
        </w:rPr>
        <w:t>the relevance of a document to the proceeding alone will not substantiate an assertion of legitimate forensic purpose.  There is no legitimate forensic purpose if the party is seeking to obtain documents to see whether they may be of relevance or of assistance in his or her defence</w:t>
      </w:r>
      <w:r w:rsidRPr="005022CC">
        <w:rPr>
          <w:rFonts w:ascii="Arial" w:hAnsi="Arial" w:cs="Arial"/>
          <w:iCs/>
          <w:color w:val="000000"/>
          <w:sz w:val="20"/>
          <w:szCs w:val="20"/>
        </w:rPr>
        <w:t>;</w:t>
      </w:r>
    </w:p>
    <w:p w14:paraId="55DB8042" w14:textId="77777777" w:rsidR="00C45CA7" w:rsidRPr="005022CC" w:rsidRDefault="00C45CA7" w:rsidP="00AB19D9">
      <w:pPr>
        <w:tabs>
          <w:tab w:val="left" w:pos="454"/>
        </w:tabs>
        <w:spacing w:before="60"/>
        <w:ind w:left="908" w:right="454" w:hanging="454"/>
        <w:jc w:val="both"/>
        <w:rPr>
          <w:rFonts w:ascii="Arial" w:hAnsi="Arial" w:cs="Arial"/>
          <w:color w:val="000000"/>
          <w:sz w:val="20"/>
          <w:szCs w:val="20"/>
        </w:rPr>
      </w:pPr>
      <w:r w:rsidRPr="005022CC">
        <w:rPr>
          <w:rFonts w:ascii="Arial" w:hAnsi="Arial" w:cs="Arial"/>
          <w:iCs/>
          <w:color w:val="000000"/>
          <w:sz w:val="20"/>
          <w:szCs w:val="20"/>
        </w:rPr>
        <w:t>(f)</w:t>
      </w:r>
      <w:r w:rsidRPr="005022CC">
        <w:rPr>
          <w:rFonts w:ascii="Arial" w:hAnsi="Arial" w:cs="Arial"/>
          <w:iCs/>
          <w:color w:val="000000"/>
          <w:sz w:val="20"/>
          <w:szCs w:val="20"/>
        </w:rPr>
        <w:tab/>
      </w:r>
      <w:r w:rsidRPr="005022CC">
        <w:rPr>
          <w:rFonts w:ascii="Arial" w:hAnsi="Arial" w:cs="Arial"/>
          <w:color w:val="000000"/>
          <w:sz w:val="20"/>
          <w:szCs w:val="20"/>
        </w:rPr>
        <w:t>a mere assertion of bad faith by an applicant or that something might be found demonstrating bad faith is not enough – the criteria set out in (c) must be satisfied;</w:t>
      </w:r>
    </w:p>
    <w:p w14:paraId="60D45019" w14:textId="77777777" w:rsidR="00C45CA7" w:rsidRPr="005022CC" w:rsidRDefault="00C45CA7" w:rsidP="00AB19D9">
      <w:pPr>
        <w:tabs>
          <w:tab w:val="left" w:pos="454"/>
        </w:tabs>
        <w:spacing w:before="60"/>
        <w:ind w:left="908" w:right="454" w:hanging="454"/>
        <w:jc w:val="both"/>
        <w:rPr>
          <w:rFonts w:ascii="Arial" w:hAnsi="Arial" w:cs="Arial"/>
          <w:color w:val="000000"/>
          <w:sz w:val="20"/>
          <w:szCs w:val="20"/>
        </w:rPr>
      </w:pPr>
      <w:r w:rsidRPr="005022CC">
        <w:rPr>
          <w:rFonts w:ascii="Arial" w:hAnsi="Arial" w:cs="Arial"/>
          <w:iCs/>
          <w:color w:val="000000"/>
          <w:sz w:val="20"/>
          <w:szCs w:val="20"/>
        </w:rPr>
        <w:t>(g)</w:t>
      </w:r>
      <w:r w:rsidRPr="005022CC">
        <w:rPr>
          <w:rFonts w:ascii="Arial" w:hAnsi="Arial" w:cs="Arial"/>
          <w:iCs/>
          <w:color w:val="000000"/>
          <w:sz w:val="20"/>
          <w:szCs w:val="20"/>
        </w:rPr>
        <w:tab/>
      </w:r>
      <w:r w:rsidRPr="005022CC">
        <w:rPr>
          <w:rFonts w:ascii="Arial" w:hAnsi="Arial" w:cs="Arial"/>
          <w:color w:val="000000"/>
          <w:sz w:val="20"/>
          <w:szCs w:val="20"/>
        </w:rPr>
        <w:t>in criminal proceedings a ‘more liberal’ view is taken by a court in respect of the application of the test.  Special weight is to be given to the fact that the documents may assist the defence of the accused;</w:t>
      </w:r>
    </w:p>
    <w:p w14:paraId="4C11AD0B" w14:textId="77777777" w:rsidR="00C45CA7" w:rsidRPr="005022CC" w:rsidRDefault="00C45CA7"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(h)</w:t>
      </w:r>
      <w:r w:rsidRPr="005022CC">
        <w:rPr>
          <w:rFonts w:ascii="Arial" w:hAnsi="Arial" w:cs="Arial"/>
          <w:iCs/>
          <w:color w:val="000000"/>
          <w:sz w:val="20"/>
          <w:szCs w:val="20"/>
        </w:rPr>
        <w:tab/>
      </w:r>
      <w:r w:rsidRPr="005022CC">
        <w:rPr>
          <w:rFonts w:ascii="Arial" w:hAnsi="Arial" w:cs="Arial"/>
          <w:color w:val="000000"/>
          <w:sz w:val="20"/>
          <w:szCs w:val="20"/>
        </w:rPr>
        <w:t>where a party fails to demonstrate a legitimate forensic purpose, the court should refuse access to the documents and set aside the witness summons</w:t>
      </w:r>
      <w:r w:rsidRPr="005022CC">
        <w:rPr>
          <w:rFonts w:ascii="Arial" w:hAnsi="Arial" w:cs="Arial"/>
          <w:iCs/>
          <w:color w:val="000000"/>
          <w:sz w:val="20"/>
          <w:szCs w:val="20"/>
        </w:rPr>
        <w:t>.”</w:t>
      </w:r>
    </w:p>
    <w:p w14:paraId="7EF315FF" w14:textId="77777777" w:rsidR="003B3AA1" w:rsidRPr="00DF5439" w:rsidRDefault="003B3AA1" w:rsidP="0057380D">
      <w:pPr>
        <w:jc w:val="both"/>
        <w:rPr>
          <w:rFonts w:ascii="Arial" w:hAnsi="Arial" w:cs="Arial"/>
          <w:color w:val="000000"/>
          <w:sz w:val="20"/>
        </w:rPr>
      </w:pPr>
    </w:p>
    <w:p w14:paraId="1E67235D" w14:textId="42A28E55" w:rsidR="00AB19D9" w:rsidRDefault="00C72910" w:rsidP="0057380D">
      <w:pPr>
        <w:jc w:val="both"/>
        <w:rPr>
          <w:rFonts w:ascii="Arial" w:hAnsi="Arial" w:cs="Arial"/>
          <w:sz w:val="20"/>
          <w:szCs w:val="20"/>
        </w:rPr>
      </w:pPr>
      <w:r w:rsidRPr="0040353D">
        <w:rPr>
          <w:rFonts w:ascii="Arial" w:hAnsi="Arial" w:cs="Arial"/>
          <w:color w:val="000000"/>
          <w:sz w:val="20"/>
        </w:rPr>
        <w:t>See also</w:t>
      </w:r>
      <w:r w:rsidRPr="0040353D">
        <w:rPr>
          <w:rFonts w:ascii="Arial" w:hAnsi="Arial" w:cs="Arial"/>
          <w:i/>
          <w:color w:val="000000"/>
          <w:sz w:val="20"/>
        </w:rPr>
        <w:t xml:space="preserve"> R v Saleam</w:t>
      </w:r>
      <w:r w:rsidRPr="0040353D">
        <w:rPr>
          <w:rFonts w:ascii="Arial" w:hAnsi="Arial" w:cs="Arial"/>
          <w:color w:val="000000"/>
          <w:sz w:val="20"/>
        </w:rPr>
        <w:t xml:space="preserve"> (1989) 16 NSWLR 14 at 16 </w:t>
      </w:r>
      <w:r w:rsidRPr="0040353D">
        <w:rPr>
          <w:rFonts w:ascii="Arial" w:hAnsi="Arial" w:cs="Arial"/>
          <w:i/>
          <w:color w:val="000000"/>
          <w:sz w:val="20"/>
        </w:rPr>
        <w:t>et seq</w:t>
      </w:r>
      <w:r w:rsidRPr="0040353D">
        <w:rPr>
          <w:rFonts w:ascii="Arial" w:hAnsi="Arial" w:cs="Arial"/>
          <w:color w:val="000000"/>
          <w:sz w:val="20"/>
        </w:rPr>
        <w:t xml:space="preserve"> where Hunt J discussed the question of legitimate forensic purpose</w:t>
      </w:r>
      <w:r>
        <w:rPr>
          <w:rFonts w:ascii="Arial" w:hAnsi="Arial" w:cs="Arial"/>
          <w:color w:val="000000"/>
          <w:sz w:val="20"/>
        </w:rPr>
        <w:t>,</w:t>
      </w:r>
      <w:r w:rsidRPr="0040353D">
        <w:rPr>
          <w:rFonts w:ascii="Arial" w:hAnsi="Arial" w:cs="Arial"/>
          <w:color w:val="000000"/>
          <w:sz w:val="20"/>
        </w:rPr>
        <w:t xml:space="preserve"> </w:t>
      </w:r>
      <w:r w:rsidRPr="0040353D">
        <w:rPr>
          <w:rFonts w:ascii="Arial" w:hAnsi="Arial" w:cs="Arial"/>
          <w:i/>
          <w:color w:val="000000"/>
          <w:sz w:val="20"/>
        </w:rPr>
        <w:t>Alister v The Queen</w:t>
      </w:r>
      <w:r w:rsidRPr="0040353D">
        <w:rPr>
          <w:rFonts w:ascii="Arial" w:hAnsi="Arial" w:cs="Arial"/>
          <w:color w:val="000000"/>
          <w:sz w:val="20"/>
        </w:rPr>
        <w:t xml:space="preserve"> (1984) 154 CLR 404 at 414 where Gibbs CJ enunciated his well-known test that the judge must be satisfied that it is “</w:t>
      </w:r>
      <w:r w:rsidRPr="0040353D">
        <w:rPr>
          <w:rFonts w:ascii="Arial" w:hAnsi="Arial" w:cs="Arial"/>
          <w:b/>
          <w:color w:val="000000"/>
          <w:sz w:val="20"/>
        </w:rPr>
        <w:t>on the cards</w:t>
      </w:r>
      <w:r w:rsidRPr="0040353D">
        <w:rPr>
          <w:rFonts w:ascii="Arial" w:hAnsi="Arial" w:cs="Arial"/>
          <w:color w:val="000000"/>
          <w:sz w:val="20"/>
        </w:rPr>
        <w:t>” that the documents sought will materially assist the accused in his defence</w:t>
      </w:r>
      <w:r>
        <w:rPr>
          <w:rFonts w:ascii="Arial" w:hAnsi="Arial" w:cs="Arial"/>
          <w:color w:val="000000"/>
          <w:sz w:val="20"/>
        </w:rPr>
        <w:t xml:space="preserve">, </w:t>
      </w:r>
      <w:r w:rsidRPr="002D3459">
        <w:rPr>
          <w:rFonts w:ascii="Arial" w:hAnsi="Arial" w:cs="Arial"/>
          <w:i/>
          <w:iCs/>
          <w:color w:val="000000"/>
          <w:sz w:val="20"/>
        </w:rPr>
        <w:t xml:space="preserve">Zirilli v The Queen </w:t>
      </w:r>
      <w:r>
        <w:rPr>
          <w:rFonts w:ascii="Arial" w:hAnsi="Arial" w:cs="Arial"/>
          <w:color w:val="000000"/>
          <w:sz w:val="20"/>
        </w:rPr>
        <w:t xml:space="preserve">[2021] VSCA 174 and </w:t>
      </w:r>
      <w:r w:rsidRPr="008B7437">
        <w:rPr>
          <w:rFonts w:ascii="Arial" w:hAnsi="Arial" w:cs="Arial"/>
          <w:i/>
          <w:iCs/>
          <w:sz w:val="20"/>
          <w:szCs w:val="20"/>
        </w:rPr>
        <w:t>Chief Commissioner of Police v Zammit</w:t>
      </w:r>
      <w:r>
        <w:rPr>
          <w:rFonts w:ascii="Arial" w:hAnsi="Arial" w:cs="Arial"/>
          <w:sz w:val="20"/>
          <w:szCs w:val="20"/>
        </w:rPr>
        <w:t xml:space="preserve"> [2023] VSC 635 at [25]-[66]</w:t>
      </w:r>
      <w:r>
        <w:rPr>
          <w:rFonts w:ascii="Arial" w:hAnsi="Arial" w:cs="Arial"/>
          <w:color w:val="000000"/>
          <w:sz w:val="20"/>
        </w:rPr>
        <w:t xml:space="preserve">.  See also </w:t>
      </w:r>
      <w:r w:rsidR="00C45CA7" w:rsidRPr="00DF5439">
        <w:rPr>
          <w:rFonts w:ascii="Arial" w:hAnsi="Arial" w:cs="Arial"/>
          <w:color w:val="000000"/>
          <w:sz w:val="20"/>
        </w:rPr>
        <w:t xml:space="preserve">the judgments of Kyrou J in </w:t>
      </w:r>
      <w:r w:rsidR="00C45CA7" w:rsidRPr="00DF5439">
        <w:rPr>
          <w:rFonts w:ascii="Arial" w:hAnsi="Arial" w:cs="Arial"/>
          <w:i/>
          <w:color w:val="000000"/>
          <w:sz w:val="20"/>
        </w:rPr>
        <w:t>Victoria v Lane</w:t>
      </w:r>
      <w:r w:rsidR="00C45CA7" w:rsidRPr="00DF5439">
        <w:rPr>
          <w:rFonts w:ascii="Arial" w:hAnsi="Arial" w:cs="Arial"/>
          <w:color w:val="000000"/>
          <w:sz w:val="20"/>
        </w:rPr>
        <w:t xml:space="preserve"> [2012] VSC 328 at [17]-[</w:t>
      </w:r>
      <w:r w:rsidR="00C45CA7" w:rsidRPr="00DF5439">
        <w:rPr>
          <w:rFonts w:ascii="Arial" w:hAnsi="Arial" w:cs="Arial"/>
          <w:color w:val="000000"/>
          <w:sz w:val="20"/>
          <w:szCs w:val="20"/>
        </w:rPr>
        <w:t>21]</w:t>
      </w:r>
      <w:r w:rsidR="00174E0B" w:rsidRPr="00DF5439">
        <w:rPr>
          <w:rFonts w:ascii="Arial" w:hAnsi="Arial" w:cs="Arial"/>
          <w:color w:val="000000"/>
          <w:sz w:val="20"/>
          <w:szCs w:val="20"/>
        </w:rPr>
        <w:t>,</w:t>
      </w:r>
      <w:r w:rsidR="00C45CA7" w:rsidRPr="00DF5439">
        <w:rPr>
          <w:rFonts w:ascii="Arial" w:hAnsi="Arial" w:cs="Arial"/>
          <w:color w:val="000000"/>
          <w:sz w:val="20"/>
          <w:szCs w:val="20"/>
        </w:rPr>
        <w:t xml:space="preserve"> </w:t>
      </w:r>
      <w:r w:rsidR="00C45CA7" w:rsidRPr="00DF5439">
        <w:rPr>
          <w:rFonts w:ascii="Arial" w:hAnsi="Arial" w:cs="Arial"/>
          <w:i/>
          <w:color w:val="000000"/>
          <w:sz w:val="20"/>
          <w:szCs w:val="20"/>
        </w:rPr>
        <w:t>R v Debono</w:t>
      </w:r>
      <w:r w:rsidR="00174E0B" w:rsidRPr="00DF5439">
        <w:rPr>
          <w:rFonts w:ascii="Arial" w:hAnsi="Arial" w:cs="Arial"/>
          <w:color w:val="000000"/>
          <w:sz w:val="20"/>
          <w:szCs w:val="20"/>
        </w:rPr>
        <w:t xml:space="preserve"> [2012] </w:t>
      </w:r>
      <w:r w:rsidR="00174E0B" w:rsidRPr="00061EA1">
        <w:rPr>
          <w:rFonts w:ascii="Arial" w:hAnsi="Arial" w:cs="Arial"/>
          <w:color w:val="000000"/>
          <w:sz w:val="20"/>
          <w:szCs w:val="20"/>
        </w:rPr>
        <w:t xml:space="preserve">VSC 350 at [194]-[224] and </w:t>
      </w:r>
      <w:r w:rsidR="00174E0B" w:rsidRPr="00061EA1">
        <w:rPr>
          <w:rFonts w:ascii="Arial" w:hAnsi="Arial" w:cs="Arial"/>
          <w:i/>
          <w:color w:val="000000"/>
          <w:sz w:val="20"/>
          <w:szCs w:val="20"/>
        </w:rPr>
        <w:t xml:space="preserve">Dolheguy v Lane </w:t>
      </w:r>
      <w:r w:rsidR="00174E0B" w:rsidRPr="00061EA1">
        <w:rPr>
          <w:rFonts w:ascii="Arial" w:hAnsi="Arial" w:cs="Arial"/>
          <w:color w:val="000000"/>
          <w:sz w:val="20"/>
          <w:szCs w:val="20"/>
        </w:rPr>
        <w:t>[2012] VSC 328 at [16]-[23].</w:t>
      </w:r>
      <w:r w:rsidR="00061EA1" w:rsidRPr="00061EA1">
        <w:rPr>
          <w:rFonts w:ascii="Arial" w:hAnsi="Arial" w:cs="Arial"/>
          <w:color w:val="000000"/>
          <w:sz w:val="20"/>
          <w:szCs w:val="20"/>
        </w:rPr>
        <w:t xml:space="preserve">  Further, see </w:t>
      </w:r>
      <w:r w:rsidR="00061EA1" w:rsidRPr="00061EA1">
        <w:rPr>
          <w:rFonts w:ascii="Arial" w:hAnsi="Arial" w:cs="Arial"/>
          <w:i/>
          <w:iCs/>
          <w:sz w:val="20"/>
          <w:szCs w:val="20"/>
        </w:rPr>
        <w:t xml:space="preserve">Smith v Trustees of the Christian Brothers; Pearce v </w:t>
      </w:r>
      <w:r w:rsidR="00061EA1" w:rsidRPr="00061EA1">
        <w:rPr>
          <w:rFonts w:ascii="Arial" w:hAnsi="Arial" w:cs="Arial"/>
          <w:i/>
          <w:iCs/>
          <w:sz w:val="20"/>
          <w:szCs w:val="20"/>
        </w:rPr>
        <w:lastRenderedPageBreak/>
        <w:t>The Corporation of the Society of the Missionaries of the Sacred Heart</w:t>
      </w:r>
      <w:r w:rsidR="00061EA1" w:rsidRPr="00061EA1">
        <w:rPr>
          <w:rFonts w:ascii="Arial" w:hAnsi="Arial" w:cs="Arial"/>
          <w:sz w:val="20"/>
          <w:szCs w:val="20"/>
        </w:rPr>
        <w:t xml:space="preserve"> [2022] VSC 343</w:t>
      </w:r>
      <w:r w:rsidR="00D665F1">
        <w:rPr>
          <w:rFonts w:ascii="Arial" w:hAnsi="Arial" w:cs="Arial"/>
          <w:sz w:val="20"/>
          <w:szCs w:val="20"/>
        </w:rPr>
        <w:t xml:space="preserve">; </w:t>
      </w:r>
      <w:r w:rsidR="00AE1290" w:rsidRPr="00012E45">
        <w:rPr>
          <w:rFonts w:ascii="Arial" w:hAnsi="Arial" w:cs="Arial"/>
          <w:i/>
          <w:iCs/>
          <w:sz w:val="20"/>
          <w:szCs w:val="20"/>
        </w:rPr>
        <w:t>Commissioner of the Australian Federal Police v Song &amp; Ors (Subpoena Objection)</w:t>
      </w:r>
      <w:r w:rsidR="00012E45">
        <w:rPr>
          <w:rFonts w:ascii="Arial" w:hAnsi="Arial" w:cs="Arial"/>
          <w:sz w:val="20"/>
          <w:szCs w:val="20"/>
        </w:rPr>
        <w:t xml:space="preserve"> [2023] VSC 273</w:t>
      </w:r>
      <w:r w:rsidR="005B1C54">
        <w:rPr>
          <w:rFonts w:ascii="Arial" w:hAnsi="Arial" w:cs="Arial"/>
          <w:sz w:val="20"/>
          <w:szCs w:val="20"/>
        </w:rPr>
        <w:t xml:space="preserve">; </w:t>
      </w:r>
      <w:r w:rsidR="005B1C54" w:rsidRPr="005B1C54">
        <w:rPr>
          <w:rFonts w:ascii="Arial" w:hAnsi="Arial" w:cs="Arial"/>
          <w:i/>
          <w:iCs/>
          <w:sz w:val="20"/>
          <w:szCs w:val="20"/>
        </w:rPr>
        <w:t>Madafferi v The King [No 2]</w:t>
      </w:r>
      <w:r w:rsidR="005B1C54">
        <w:rPr>
          <w:rFonts w:ascii="Arial" w:hAnsi="Arial" w:cs="Arial"/>
          <w:sz w:val="20"/>
          <w:szCs w:val="20"/>
        </w:rPr>
        <w:t xml:space="preserve"> [2024] VSCA 14</w:t>
      </w:r>
      <w:r w:rsidR="00D456A8">
        <w:rPr>
          <w:rFonts w:ascii="Arial" w:hAnsi="Arial" w:cs="Arial"/>
          <w:sz w:val="20"/>
          <w:szCs w:val="20"/>
        </w:rPr>
        <w:t xml:space="preserve">; </w:t>
      </w:r>
      <w:r w:rsidR="00D456A8" w:rsidRPr="00D456A8">
        <w:rPr>
          <w:rFonts w:ascii="Arial" w:hAnsi="Arial" w:cs="Arial"/>
          <w:i/>
          <w:iCs/>
          <w:sz w:val="20"/>
          <w:szCs w:val="20"/>
        </w:rPr>
        <w:t>Wawryk v Mercedes-Benz Australia/Pacific Pty Ltd (Subpoena Ruling)</w:t>
      </w:r>
      <w:r w:rsidR="00D456A8">
        <w:rPr>
          <w:rFonts w:ascii="Arial" w:hAnsi="Arial" w:cs="Arial"/>
          <w:sz w:val="20"/>
          <w:szCs w:val="20"/>
        </w:rPr>
        <w:t xml:space="preserve"> [2024] VSC 120 at [11]-[27].</w:t>
      </w:r>
    </w:p>
    <w:p w14:paraId="0C25E738" w14:textId="77777777" w:rsidR="000F47B2" w:rsidRPr="005022CC" w:rsidRDefault="000F47B2" w:rsidP="00F76DC6">
      <w:pPr>
        <w:jc w:val="both"/>
        <w:rPr>
          <w:rFonts w:ascii="Arial" w:hAnsi="Arial" w:cs="Arial"/>
          <w:color w:val="000000"/>
          <w:sz w:val="20"/>
        </w:rPr>
      </w:pPr>
    </w:p>
    <w:p w14:paraId="2523F9D4" w14:textId="1749AC3C" w:rsidR="00643564" w:rsidRPr="005022CC" w:rsidRDefault="00A10CDB" w:rsidP="00A13B31">
      <w:pPr>
        <w:jc w:val="both"/>
        <w:rPr>
          <w:rFonts w:ascii="Arial" w:hAnsi="Arial" w:cs="Arial"/>
          <w:color w:val="000000"/>
          <w:sz w:val="20"/>
          <w:szCs w:val="20"/>
        </w:rPr>
      </w:pPr>
      <w:r w:rsidRPr="005022CC">
        <w:rPr>
          <w:rFonts w:ascii="Arial" w:hAnsi="Arial" w:cs="Arial"/>
          <w:color w:val="000000"/>
          <w:sz w:val="20"/>
          <w:szCs w:val="20"/>
        </w:rPr>
        <w:t xml:space="preserve">In </w:t>
      </w:r>
      <w:r w:rsidRPr="005022CC">
        <w:rPr>
          <w:rFonts w:ascii="Arial" w:hAnsi="Arial" w:cs="Arial"/>
          <w:i/>
          <w:color w:val="000000"/>
          <w:sz w:val="20"/>
          <w:szCs w:val="20"/>
        </w:rPr>
        <w:t>Smith v Victoria Police</w:t>
      </w:r>
      <w:r w:rsidRPr="005022CC">
        <w:rPr>
          <w:rFonts w:ascii="Arial" w:hAnsi="Arial" w:cs="Arial"/>
          <w:color w:val="000000"/>
          <w:sz w:val="20"/>
          <w:szCs w:val="20"/>
        </w:rPr>
        <w:t xml:space="preserve"> [2012] VSC 374 Ferguson J granted the plaintiff </w:t>
      </w:r>
      <w:r w:rsidR="007D4A33">
        <w:rPr>
          <w:rFonts w:ascii="Arial" w:hAnsi="Arial" w:cs="Arial"/>
          <w:color w:val="000000"/>
          <w:sz w:val="20"/>
          <w:szCs w:val="20"/>
        </w:rPr>
        <w:t>‘</w:t>
      </w:r>
      <w:r w:rsidRPr="005022CC">
        <w:rPr>
          <w:rFonts w:ascii="Arial" w:hAnsi="Arial" w:cs="Arial"/>
          <w:color w:val="000000"/>
          <w:sz w:val="20"/>
          <w:szCs w:val="20"/>
        </w:rPr>
        <w:t>whistleblower</w:t>
      </w:r>
      <w:r w:rsidR="007D4A33">
        <w:rPr>
          <w:rFonts w:ascii="Arial" w:hAnsi="Arial" w:cs="Arial"/>
          <w:color w:val="000000"/>
          <w:sz w:val="20"/>
          <w:szCs w:val="20"/>
        </w:rPr>
        <w:t>’</w:t>
      </w:r>
      <w:r w:rsidRPr="005022CC">
        <w:rPr>
          <w:rFonts w:ascii="Arial" w:hAnsi="Arial" w:cs="Arial"/>
          <w:color w:val="000000"/>
          <w:sz w:val="20"/>
          <w:szCs w:val="20"/>
        </w:rPr>
        <w:t xml:space="preserve"> leave to inspect </w:t>
      </w:r>
      <w:r w:rsidR="007D4A33">
        <w:rPr>
          <w:rFonts w:ascii="Arial" w:hAnsi="Arial" w:cs="Arial"/>
          <w:color w:val="000000"/>
          <w:sz w:val="20"/>
          <w:szCs w:val="20"/>
        </w:rPr>
        <w:t>‘</w:t>
      </w:r>
      <w:r w:rsidRPr="005022CC">
        <w:rPr>
          <w:rFonts w:ascii="Arial" w:hAnsi="Arial" w:cs="Arial"/>
          <w:color w:val="000000"/>
          <w:sz w:val="20"/>
          <w:szCs w:val="20"/>
        </w:rPr>
        <w:t>Whistleblower</w:t>
      </w:r>
      <w:r w:rsidR="007D4A33">
        <w:rPr>
          <w:rFonts w:ascii="Arial" w:hAnsi="Arial" w:cs="Arial"/>
          <w:color w:val="000000"/>
          <w:sz w:val="20"/>
          <w:szCs w:val="20"/>
        </w:rPr>
        <w:t>’</w:t>
      </w:r>
      <w:r w:rsidRPr="005022CC">
        <w:rPr>
          <w:rFonts w:ascii="Arial" w:hAnsi="Arial" w:cs="Arial"/>
          <w:color w:val="000000"/>
          <w:sz w:val="20"/>
          <w:szCs w:val="20"/>
        </w:rPr>
        <w:t xml:space="preserve"> files held by the respondent, holding at [58]: ”Were a narrower construction [of s.22(1)(a) of the </w:t>
      </w:r>
      <w:r w:rsidRPr="005022CC">
        <w:rPr>
          <w:rFonts w:ascii="Arial" w:hAnsi="Arial" w:cs="Arial"/>
          <w:i/>
          <w:color w:val="000000"/>
          <w:sz w:val="20"/>
          <w:szCs w:val="20"/>
        </w:rPr>
        <w:t>Whistleblowers Protection Act 2001</w:t>
      </w:r>
      <w:r w:rsidRPr="005022CC">
        <w:rPr>
          <w:rFonts w:ascii="Arial" w:hAnsi="Arial" w:cs="Arial"/>
          <w:color w:val="000000"/>
          <w:sz w:val="20"/>
          <w:szCs w:val="20"/>
        </w:rPr>
        <w:t>] employed, the effect would be to prevent a whistleblower and the Court from having access to information that is likely to be critical to the determination of the claim.  It would serve to protect the alleged wrongdoer and would be contrary to the legislative purpose of the Act.”</w:t>
      </w:r>
    </w:p>
    <w:p w14:paraId="7034137A" w14:textId="77777777" w:rsidR="00A10CDB" w:rsidRPr="005022CC" w:rsidRDefault="00A10CDB" w:rsidP="00E647A9">
      <w:pPr>
        <w:jc w:val="both"/>
        <w:rPr>
          <w:rFonts w:ascii="Arial" w:hAnsi="Arial" w:cs="Arial"/>
          <w:color w:val="000000"/>
          <w:sz w:val="20"/>
        </w:rPr>
      </w:pPr>
    </w:p>
    <w:p w14:paraId="079CC108" w14:textId="77777777" w:rsidR="003E2055" w:rsidRDefault="00AE14CA" w:rsidP="00E647A9">
      <w:pPr>
        <w:jc w:val="both"/>
        <w:rPr>
          <w:rFonts w:ascii="Arial" w:hAnsi="Arial" w:cs="Arial"/>
          <w:color w:val="000000"/>
          <w:sz w:val="20"/>
        </w:rPr>
      </w:pPr>
      <w:r w:rsidRPr="0040353D">
        <w:rPr>
          <w:rFonts w:ascii="Arial" w:hAnsi="Arial" w:cs="Arial"/>
          <w:color w:val="000000"/>
          <w:sz w:val="20"/>
        </w:rPr>
        <w:t xml:space="preserve">Public interest immunity is occasionally claimed by the Crown in relation to certain documents sought in criminal proceedings.  </w:t>
      </w:r>
      <w:r w:rsidR="00EB3275" w:rsidRPr="0040353D">
        <w:rPr>
          <w:rFonts w:ascii="Arial" w:hAnsi="Arial" w:cs="Arial"/>
          <w:color w:val="000000"/>
          <w:sz w:val="20"/>
        </w:rPr>
        <w:t xml:space="preserve">In </w:t>
      </w:r>
      <w:r w:rsidR="00704573" w:rsidRPr="0040353D">
        <w:rPr>
          <w:rFonts w:ascii="Arial" w:hAnsi="Arial" w:cs="Arial"/>
          <w:i/>
          <w:color w:val="000000"/>
          <w:sz w:val="20"/>
        </w:rPr>
        <w:t>R v Mokbel (Ruling No.1)</w:t>
      </w:r>
      <w:r w:rsidR="00704573" w:rsidRPr="0040353D">
        <w:rPr>
          <w:rFonts w:ascii="Arial" w:hAnsi="Arial" w:cs="Arial"/>
          <w:color w:val="000000"/>
          <w:sz w:val="20"/>
        </w:rPr>
        <w:t xml:space="preserve"> [2005] VSC 410</w:t>
      </w:r>
      <w:r w:rsidR="00EB3275" w:rsidRPr="0040353D">
        <w:rPr>
          <w:rFonts w:ascii="Arial" w:hAnsi="Arial" w:cs="Arial"/>
          <w:color w:val="000000"/>
          <w:sz w:val="20"/>
        </w:rPr>
        <w:t xml:space="preserve"> &amp;</w:t>
      </w:r>
      <w:r w:rsidR="00704573" w:rsidRPr="0040353D">
        <w:rPr>
          <w:rFonts w:ascii="Arial" w:hAnsi="Arial" w:cs="Arial"/>
          <w:color w:val="000000"/>
          <w:sz w:val="20"/>
        </w:rPr>
        <w:t xml:space="preserve"> </w:t>
      </w:r>
      <w:r w:rsidR="00EB3275" w:rsidRPr="0040353D">
        <w:rPr>
          <w:rFonts w:ascii="Arial" w:hAnsi="Arial" w:cs="Arial"/>
          <w:i/>
          <w:color w:val="000000"/>
          <w:sz w:val="20"/>
        </w:rPr>
        <w:t>R v Mokbel (Ruling No.2)</w:t>
      </w:r>
      <w:r w:rsidR="00EB3275" w:rsidRPr="0040353D">
        <w:rPr>
          <w:rFonts w:ascii="Arial" w:hAnsi="Arial" w:cs="Arial"/>
          <w:color w:val="000000"/>
          <w:sz w:val="20"/>
        </w:rPr>
        <w:t xml:space="preserve"> [2005] VSC 502 </w:t>
      </w:r>
      <w:r w:rsidR="00704573" w:rsidRPr="0040353D">
        <w:rPr>
          <w:rFonts w:ascii="Arial" w:hAnsi="Arial" w:cs="Arial"/>
          <w:color w:val="000000"/>
          <w:sz w:val="20"/>
        </w:rPr>
        <w:t xml:space="preserve">Gillard J </w:t>
      </w:r>
      <w:r w:rsidR="00E510A5" w:rsidRPr="0040353D">
        <w:rPr>
          <w:rFonts w:ascii="Arial" w:hAnsi="Arial" w:cs="Arial"/>
          <w:color w:val="000000"/>
          <w:sz w:val="20"/>
        </w:rPr>
        <w:t xml:space="preserve">discussed in </w:t>
      </w:r>
      <w:r w:rsidR="00704573" w:rsidRPr="0040353D">
        <w:rPr>
          <w:rFonts w:ascii="Arial" w:hAnsi="Arial" w:cs="Arial"/>
          <w:color w:val="000000"/>
          <w:sz w:val="20"/>
        </w:rPr>
        <w:t>detail the basis of subpoenas and discovery in criminal matters and the categories, principles and competing public interests involved in public interest immunity.</w:t>
      </w:r>
    </w:p>
    <w:p w14:paraId="319AA6C2" w14:textId="77777777" w:rsidR="003E2055" w:rsidRDefault="003E2055" w:rsidP="00E647A9">
      <w:pPr>
        <w:jc w:val="both"/>
        <w:rPr>
          <w:rFonts w:ascii="Arial" w:hAnsi="Arial" w:cs="Arial"/>
          <w:color w:val="000000"/>
          <w:sz w:val="20"/>
        </w:rPr>
      </w:pPr>
    </w:p>
    <w:p w14:paraId="37F4CC67" w14:textId="1B54E807" w:rsidR="003E2055" w:rsidRDefault="001A32B1" w:rsidP="00E647A9">
      <w:pPr>
        <w:jc w:val="both"/>
        <w:rPr>
          <w:rFonts w:ascii="Arial" w:hAnsi="Arial" w:cs="Arial"/>
          <w:color w:val="000000"/>
          <w:sz w:val="20"/>
        </w:rPr>
      </w:pPr>
      <w:r w:rsidRPr="0040353D">
        <w:rPr>
          <w:rFonts w:ascii="Arial" w:hAnsi="Arial" w:cs="Arial"/>
          <w:color w:val="000000"/>
          <w:sz w:val="20"/>
        </w:rPr>
        <w:t xml:space="preserve">In </w:t>
      </w:r>
      <w:r w:rsidRPr="0040353D">
        <w:rPr>
          <w:rFonts w:ascii="Arial" w:hAnsi="Arial" w:cs="Arial"/>
          <w:i/>
          <w:color w:val="000000"/>
          <w:sz w:val="20"/>
        </w:rPr>
        <w:t>R v Cox &amp; Ors (Ruling No.3)</w:t>
      </w:r>
      <w:r w:rsidRPr="0040353D">
        <w:rPr>
          <w:rFonts w:ascii="Arial" w:hAnsi="Arial" w:cs="Arial"/>
          <w:color w:val="000000"/>
          <w:sz w:val="20"/>
        </w:rPr>
        <w:t xml:space="preserve"> [2005] VSC 249 Kaye J set out one possible procedure for determining a claim for public interest immunity and discussed the underlying principles requiring the Court to balance the extent, if any, to which harm would be done to the public interest by the production of the documents against the extent, if any, to which the administration of justice would be frustrated or impaired if the documents were withheld from a party to the litigation.</w:t>
      </w:r>
      <w:r w:rsidR="00201D8E">
        <w:rPr>
          <w:rFonts w:ascii="Arial" w:hAnsi="Arial" w:cs="Arial"/>
          <w:color w:val="000000"/>
          <w:sz w:val="20"/>
        </w:rPr>
        <w:t xml:space="preserve">  See also </w:t>
      </w:r>
      <w:bookmarkStart w:id="812" w:name="_Hlk166649399"/>
      <w:r w:rsidR="00201D8E" w:rsidRPr="00201D8E">
        <w:rPr>
          <w:rFonts w:ascii="Arial" w:hAnsi="Arial" w:cs="Arial"/>
          <w:i/>
          <w:iCs/>
          <w:color w:val="000000"/>
          <w:sz w:val="20"/>
        </w:rPr>
        <w:t>Arnautovic v The King</w:t>
      </w:r>
      <w:r w:rsidR="00201D8E">
        <w:rPr>
          <w:rFonts w:ascii="Arial" w:hAnsi="Arial" w:cs="Arial"/>
          <w:color w:val="000000"/>
          <w:sz w:val="20"/>
        </w:rPr>
        <w:t xml:space="preserve"> [2024] VSC 235, especially at [25]-[31]</w:t>
      </w:r>
      <w:bookmarkEnd w:id="812"/>
      <w:r w:rsidR="00201D8E">
        <w:rPr>
          <w:rFonts w:ascii="Arial" w:hAnsi="Arial" w:cs="Arial"/>
          <w:color w:val="000000"/>
          <w:sz w:val="20"/>
        </w:rPr>
        <w:t xml:space="preserve"> per Kaye JA</w:t>
      </w:r>
      <w:r w:rsidR="003E2055">
        <w:rPr>
          <w:rFonts w:ascii="Arial" w:hAnsi="Arial" w:cs="Arial"/>
          <w:color w:val="000000"/>
          <w:sz w:val="20"/>
        </w:rPr>
        <w:t xml:space="preserve">.  A similar issue arose in </w:t>
      </w:r>
      <w:r w:rsidR="003E2055" w:rsidRPr="003E2055">
        <w:rPr>
          <w:rFonts w:ascii="Arial" w:hAnsi="Arial" w:cs="Arial"/>
          <w:i/>
          <w:iCs/>
          <w:color w:val="000000"/>
          <w:sz w:val="20"/>
        </w:rPr>
        <w:t>State of Victoria v Orman &amp; Anor</w:t>
      </w:r>
      <w:r w:rsidR="003E2055">
        <w:rPr>
          <w:rFonts w:ascii="Arial" w:hAnsi="Arial" w:cs="Arial"/>
          <w:color w:val="000000"/>
          <w:sz w:val="20"/>
        </w:rPr>
        <w:t xml:space="preserve"> [2024] VSCA 190 where the Court of Appeal held at [44]-[48]</w:t>
      </w:r>
      <w:r w:rsidR="00767033">
        <w:rPr>
          <w:rFonts w:ascii="Arial" w:hAnsi="Arial" w:cs="Arial"/>
          <w:color w:val="000000"/>
          <w:sz w:val="20"/>
        </w:rPr>
        <w:t>–</w:t>
      </w:r>
    </w:p>
    <w:p w14:paraId="6268DD99" w14:textId="77777777" w:rsidR="003E2055" w:rsidRDefault="003E2055">
      <w:pPr>
        <w:pStyle w:val="ListParagraph"/>
        <w:numPr>
          <w:ilvl w:val="0"/>
          <w:numId w:val="134"/>
        </w:numPr>
        <w:ind w:left="357" w:hanging="357"/>
        <w:jc w:val="both"/>
        <w:rPr>
          <w:rFonts w:ascii="Arial" w:hAnsi="Arial" w:cs="Arial"/>
          <w:color w:val="000000"/>
          <w:sz w:val="20"/>
        </w:rPr>
      </w:pPr>
      <w:r w:rsidRPr="003E2055">
        <w:rPr>
          <w:rFonts w:ascii="Arial" w:hAnsi="Arial" w:cs="Arial"/>
          <w:color w:val="000000"/>
          <w:sz w:val="20"/>
        </w:rPr>
        <w:t>that the judge had erred by failing to treat the plaintiff’s confidential affidavit and submissions as entitled to the same level of protection as the subject material</w:t>
      </w:r>
      <w:r>
        <w:rPr>
          <w:rFonts w:ascii="Arial" w:hAnsi="Arial" w:cs="Arial"/>
          <w:color w:val="000000"/>
          <w:sz w:val="20"/>
        </w:rPr>
        <w:t>; and</w:t>
      </w:r>
    </w:p>
    <w:p w14:paraId="18DC2AE1" w14:textId="6C0A26E6" w:rsidR="00F76DC6" w:rsidRPr="003E2055" w:rsidRDefault="003E2055">
      <w:pPr>
        <w:pStyle w:val="ListParagraph"/>
        <w:numPr>
          <w:ilvl w:val="0"/>
          <w:numId w:val="134"/>
        </w:numPr>
        <w:ind w:left="357" w:hanging="357"/>
        <w:jc w:val="both"/>
        <w:rPr>
          <w:rFonts w:ascii="Arial" w:hAnsi="Arial" w:cs="Arial"/>
          <w:color w:val="000000"/>
          <w:sz w:val="20"/>
        </w:rPr>
      </w:pPr>
      <w:r w:rsidRPr="003E2055">
        <w:rPr>
          <w:rFonts w:ascii="Arial" w:hAnsi="Arial" w:cs="Arial"/>
          <w:color w:val="000000"/>
          <w:sz w:val="20"/>
        </w:rPr>
        <w:t>that disclosure of the confidential affidavit and submission would destroy or significantly impair the public interest in confidentiality.</w:t>
      </w:r>
    </w:p>
    <w:p w14:paraId="3D5B0F87" w14:textId="77777777" w:rsidR="00C47771" w:rsidRDefault="00C47771" w:rsidP="00E349E3">
      <w:pPr>
        <w:jc w:val="both"/>
        <w:rPr>
          <w:rFonts w:ascii="Arial" w:hAnsi="Arial" w:cs="Arial"/>
          <w:color w:val="000000"/>
          <w:sz w:val="20"/>
        </w:rPr>
      </w:pPr>
    </w:p>
    <w:p w14:paraId="04509C68" w14:textId="5447E112" w:rsidR="00C81F23" w:rsidRDefault="00C81F23" w:rsidP="00E349E3">
      <w:pPr>
        <w:jc w:val="both"/>
        <w:rPr>
          <w:rFonts w:ascii="Arial" w:hAnsi="Arial" w:cs="Arial"/>
          <w:color w:val="000000"/>
          <w:sz w:val="20"/>
        </w:rPr>
      </w:pPr>
      <w:r>
        <w:rPr>
          <w:rFonts w:ascii="Arial" w:hAnsi="Arial" w:cs="Arial"/>
          <w:color w:val="000000"/>
          <w:sz w:val="20"/>
        </w:rPr>
        <w:t xml:space="preserve">In </w:t>
      </w:r>
      <w:r w:rsidRPr="00C81F23">
        <w:rPr>
          <w:rFonts w:ascii="Arial" w:hAnsi="Arial" w:cs="Arial"/>
          <w:i/>
          <w:iCs/>
          <w:color w:val="000000"/>
          <w:sz w:val="20"/>
        </w:rPr>
        <w:t xml:space="preserve">DPP v </w:t>
      </w:r>
      <w:proofErr w:type="spellStart"/>
      <w:r w:rsidRPr="00C81F23">
        <w:rPr>
          <w:rFonts w:ascii="Arial" w:hAnsi="Arial" w:cs="Arial"/>
          <w:i/>
          <w:iCs/>
          <w:color w:val="000000"/>
          <w:sz w:val="20"/>
        </w:rPr>
        <w:t>Kheyali</w:t>
      </w:r>
      <w:proofErr w:type="spellEnd"/>
      <w:r w:rsidRPr="00C81F23">
        <w:rPr>
          <w:rFonts w:ascii="Arial" w:hAnsi="Arial" w:cs="Arial"/>
          <w:i/>
          <w:iCs/>
          <w:color w:val="000000"/>
          <w:sz w:val="20"/>
        </w:rPr>
        <w:t xml:space="preserve"> &amp; Abdalla (PII and LPP Ruling</w:t>
      </w:r>
      <w:r w:rsidRPr="00C81F23">
        <w:rPr>
          <w:rFonts w:ascii="Arial" w:hAnsi="Arial" w:cs="Arial"/>
          <w:i/>
          <w:iCs/>
          <w:color w:val="000000"/>
          <w:sz w:val="20"/>
        </w:rPr>
        <w:t>)</w:t>
      </w:r>
      <w:r w:rsidRPr="00C81F23">
        <w:rPr>
          <w:rFonts w:ascii="Arial" w:hAnsi="Arial" w:cs="Arial"/>
          <w:color w:val="000000"/>
          <w:sz w:val="20"/>
        </w:rPr>
        <w:t xml:space="preserve"> [2026] VSC 414 </w:t>
      </w:r>
      <w:r>
        <w:rPr>
          <w:rFonts w:ascii="Arial" w:hAnsi="Arial" w:cs="Arial"/>
          <w:color w:val="000000"/>
          <w:sz w:val="20"/>
        </w:rPr>
        <w:t>McCann JR – after discussing at [30]</w:t>
      </w:r>
      <w:r>
        <w:rPr>
          <w:rFonts w:ascii="Arial" w:hAnsi="Arial" w:cs="Arial"/>
          <w:color w:val="000000"/>
          <w:sz w:val="20"/>
        </w:rPr>
        <w:noBreakHyphen/>
        <w:t xml:space="preserve">[56] </w:t>
      </w:r>
      <w:r w:rsidR="001E0380">
        <w:rPr>
          <w:rFonts w:ascii="Arial" w:hAnsi="Arial" w:cs="Arial"/>
          <w:color w:val="000000"/>
          <w:sz w:val="20"/>
        </w:rPr>
        <w:t xml:space="preserve">&amp; [69]-[76] </w:t>
      </w:r>
      <w:r>
        <w:rPr>
          <w:rFonts w:ascii="Arial" w:hAnsi="Arial" w:cs="Arial"/>
          <w:color w:val="000000"/>
          <w:sz w:val="20"/>
        </w:rPr>
        <w:t xml:space="preserve">the applicable test for </w:t>
      </w:r>
      <w:r w:rsidRPr="00C81F23">
        <w:rPr>
          <w:rFonts w:ascii="Arial" w:hAnsi="Arial" w:cs="Arial"/>
          <w:color w:val="000000"/>
          <w:sz w:val="20"/>
        </w:rPr>
        <w:t xml:space="preserve">public interest immunity </w:t>
      </w:r>
      <w:r>
        <w:rPr>
          <w:rFonts w:ascii="Arial" w:hAnsi="Arial" w:cs="Arial"/>
          <w:color w:val="000000"/>
          <w:sz w:val="20"/>
        </w:rPr>
        <w:t xml:space="preserve">[PII] </w:t>
      </w:r>
      <w:r w:rsidR="001E0380">
        <w:rPr>
          <w:rFonts w:ascii="Arial" w:hAnsi="Arial" w:cs="Arial"/>
          <w:color w:val="000000"/>
          <w:sz w:val="20"/>
        </w:rPr>
        <w:t xml:space="preserve">and at [77]-[86] the applicable test for legal professional privilege [LPP] </w:t>
      </w:r>
      <w:r>
        <w:rPr>
          <w:rFonts w:ascii="Arial" w:hAnsi="Arial" w:cs="Arial"/>
          <w:color w:val="000000"/>
          <w:sz w:val="20"/>
        </w:rPr>
        <w:t xml:space="preserve">– upheld the </w:t>
      </w:r>
      <w:r w:rsidRPr="00C81F23">
        <w:rPr>
          <w:rFonts w:ascii="Arial" w:hAnsi="Arial" w:cs="Arial"/>
          <w:color w:val="000000"/>
          <w:sz w:val="20"/>
        </w:rPr>
        <w:t>Chief Commissioner of Victoria Police</w:t>
      </w:r>
      <w:r>
        <w:rPr>
          <w:rFonts w:ascii="Arial" w:hAnsi="Arial" w:cs="Arial"/>
          <w:color w:val="000000"/>
          <w:sz w:val="20"/>
        </w:rPr>
        <w:t>’s</w:t>
      </w:r>
      <w:r w:rsidRPr="00C81F23">
        <w:rPr>
          <w:rFonts w:ascii="Arial" w:hAnsi="Arial" w:cs="Arial"/>
          <w:color w:val="000000"/>
          <w:sz w:val="20"/>
        </w:rPr>
        <w:t xml:space="preserve"> claim of </w:t>
      </w:r>
      <w:r>
        <w:rPr>
          <w:rFonts w:ascii="Arial" w:hAnsi="Arial" w:cs="Arial"/>
          <w:color w:val="000000"/>
          <w:sz w:val="20"/>
        </w:rPr>
        <w:t>PII in respect of materials the Commissioner assessed to be otherwise disclosable to the accused</w:t>
      </w:r>
      <w:r w:rsidR="001E0380">
        <w:rPr>
          <w:rFonts w:ascii="Arial" w:hAnsi="Arial" w:cs="Arial"/>
          <w:color w:val="000000"/>
          <w:sz w:val="20"/>
        </w:rPr>
        <w:t xml:space="preserve"> but did not uphold the Commissioner’s claim of </w:t>
      </w:r>
      <w:r w:rsidR="00CF7913">
        <w:rPr>
          <w:rFonts w:ascii="Arial" w:hAnsi="Arial" w:cs="Arial"/>
          <w:color w:val="000000"/>
          <w:sz w:val="20"/>
        </w:rPr>
        <w:t>“legal advice privilege”</w:t>
      </w:r>
      <w:r w:rsidR="001E0380">
        <w:rPr>
          <w:rFonts w:ascii="Arial" w:hAnsi="Arial" w:cs="Arial"/>
          <w:color w:val="000000"/>
          <w:sz w:val="20"/>
        </w:rPr>
        <w:t xml:space="preserve"> over a portion of </w:t>
      </w:r>
      <w:r w:rsidR="00CF7913">
        <w:rPr>
          <w:rFonts w:ascii="Arial" w:hAnsi="Arial" w:cs="Arial"/>
          <w:color w:val="000000"/>
          <w:sz w:val="20"/>
        </w:rPr>
        <w:t>one</w:t>
      </w:r>
      <w:r w:rsidR="001E0380">
        <w:rPr>
          <w:rFonts w:ascii="Arial" w:hAnsi="Arial" w:cs="Arial"/>
          <w:color w:val="000000"/>
          <w:sz w:val="20"/>
        </w:rPr>
        <w:t xml:space="preserve"> document</w:t>
      </w:r>
      <w:r w:rsidR="00CF7913">
        <w:rPr>
          <w:rFonts w:ascii="Arial" w:hAnsi="Arial" w:cs="Arial"/>
          <w:color w:val="000000"/>
          <w:sz w:val="20"/>
        </w:rPr>
        <w:t>.</w:t>
      </w:r>
    </w:p>
    <w:p w14:paraId="6F5C7128" w14:textId="77777777" w:rsidR="00C81F23" w:rsidRDefault="00C81F23" w:rsidP="00E349E3">
      <w:pPr>
        <w:jc w:val="both"/>
        <w:rPr>
          <w:rFonts w:ascii="Arial" w:hAnsi="Arial" w:cs="Arial"/>
          <w:color w:val="000000"/>
          <w:sz w:val="20"/>
        </w:rPr>
      </w:pPr>
    </w:p>
    <w:p w14:paraId="47BB05BC" w14:textId="77777777" w:rsidR="00FE7A28" w:rsidRDefault="00FE7A28" w:rsidP="0076640B">
      <w:pPr>
        <w:jc w:val="both"/>
        <w:rPr>
          <w:rFonts w:ascii="Arial" w:hAnsi="Arial" w:cs="Arial"/>
          <w:sz w:val="20"/>
        </w:rPr>
      </w:pPr>
      <w:r w:rsidRPr="0040353D">
        <w:rPr>
          <w:rFonts w:ascii="Arial" w:hAnsi="Arial" w:cs="Arial"/>
          <w:color w:val="000000"/>
          <w:sz w:val="20"/>
        </w:rPr>
        <w:t xml:space="preserve">In </w:t>
      </w:r>
      <w:r w:rsidRPr="0040353D">
        <w:rPr>
          <w:rFonts w:ascii="Arial" w:hAnsi="Arial" w:cs="Arial"/>
          <w:i/>
          <w:color w:val="000000"/>
          <w:sz w:val="20"/>
        </w:rPr>
        <w:t>Ragg v Magistrates’ Court &amp; Corcoris</w:t>
      </w:r>
      <w:r w:rsidRPr="0040353D">
        <w:rPr>
          <w:rFonts w:ascii="Arial" w:hAnsi="Arial" w:cs="Arial"/>
          <w:color w:val="000000"/>
          <w:sz w:val="20"/>
        </w:rPr>
        <w:t xml:space="preserve"> [2008] VSC 1 Bell J upheld a magistrate’s decision to require a police informant to produce a number of categories of documents sought </w:t>
      </w:r>
      <w:r w:rsidR="00970F33" w:rsidRPr="0040353D">
        <w:rPr>
          <w:rFonts w:ascii="Arial" w:hAnsi="Arial" w:cs="Arial"/>
          <w:color w:val="000000"/>
          <w:sz w:val="20"/>
        </w:rPr>
        <w:t>pursuant to</w:t>
      </w:r>
      <w:r w:rsidRPr="0040353D">
        <w:rPr>
          <w:rFonts w:ascii="Arial" w:hAnsi="Arial" w:cs="Arial"/>
          <w:color w:val="000000"/>
          <w:sz w:val="20"/>
        </w:rPr>
        <w:t xml:space="preserve"> two subpoenas.  The informant had objected to the production of the documents on the grounds that the subpoenas were an abuse of process, were oppressive, were impermissible fishing expeditions and</w:t>
      </w:r>
      <w:r>
        <w:rPr>
          <w:rFonts w:ascii="Arial" w:hAnsi="Arial" w:cs="Arial"/>
          <w:sz w:val="20"/>
        </w:rPr>
        <w:t xml:space="preserve"> were not supported by any legitimate forensic purpose.  </w:t>
      </w:r>
      <w:r w:rsidR="00970F33">
        <w:rPr>
          <w:rFonts w:ascii="Arial" w:hAnsi="Arial" w:cs="Arial"/>
          <w:sz w:val="20"/>
        </w:rPr>
        <w:t xml:space="preserve">The magistrate had identified the applicable test by reference to the relevant authorities and had specifically mentioned </w:t>
      </w:r>
      <w:r w:rsidR="00970F33" w:rsidRPr="00970F33">
        <w:rPr>
          <w:rFonts w:ascii="Arial" w:hAnsi="Arial" w:cs="Arial"/>
          <w:i/>
          <w:sz w:val="20"/>
        </w:rPr>
        <w:t>Alister v R</w:t>
      </w:r>
      <w:r w:rsidR="00970F33">
        <w:rPr>
          <w:rFonts w:ascii="Arial" w:hAnsi="Arial" w:cs="Arial"/>
          <w:sz w:val="20"/>
        </w:rPr>
        <w:t xml:space="preserve"> (1983) 154 CLR 404, </w:t>
      </w:r>
      <w:r w:rsidR="00E43C2E" w:rsidRPr="00E43C2E">
        <w:rPr>
          <w:rFonts w:ascii="Arial" w:hAnsi="Arial" w:cs="Arial"/>
          <w:i/>
          <w:sz w:val="20"/>
        </w:rPr>
        <w:t>R v Mokbel (Ruling No 1</w:t>
      </w:r>
      <w:r w:rsidR="00E43C2E" w:rsidRPr="00E43C2E">
        <w:rPr>
          <w:rFonts w:ascii="Arial" w:hAnsi="Arial" w:cs="Arial"/>
          <w:sz w:val="20"/>
        </w:rPr>
        <w:t xml:space="preserve">) [2005] VSC 410, </w:t>
      </w:r>
      <w:r w:rsidR="00E43C2E" w:rsidRPr="00E43C2E">
        <w:rPr>
          <w:rFonts w:ascii="Arial" w:hAnsi="Arial" w:cs="Arial"/>
          <w:i/>
          <w:sz w:val="20"/>
        </w:rPr>
        <w:t>DPP v Selway</w:t>
      </w:r>
      <w:r w:rsidR="00E43C2E">
        <w:rPr>
          <w:rFonts w:ascii="Arial" w:hAnsi="Arial" w:cs="Arial"/>
          <w:sz w:val="20"/>
        </w:rPr>
        <w:t xml:space="preserve"> [2007] VSC 244 and </w:t>
      </w:r>
      <w:r w:rsidR="00E43C2E" w:rsidRPr="00E43C2E">
        <w:rPr>
          <w:rFonts w:ascii="Arial" w:hAnsi="Arial" w:cs="Arial"/>
          <w:i/>
          <w:sz w:val="20"/>
        </w:rPr>
        <w:t>Roads and Traffic Authority of New South Wales v Conolly</w:t>
      </w:r>
      <w:r w:rsidR="00E43C2E">
        <w:rPr>
          <w:rFonts w:ascii="Arial" w:hAnsi="Arial" w:cs="Arial"/>
          <w:sz w:val="20"/>
        </w:rPr>
        <w:t xml:space="preserve"> (2003) 57 NSWLR 310.  </w:t>
      </w:r>
      <w:r w:rsidR="00970F33" w:rsidRPr="00970F33">
        <w:rPr>
          <w:rFonts w:ascii="Arial" w:hAnsi="Arial" w:cs="Arial"/>
          <w:sz w:val="20"/>
        </w:rPr>
        <w:t xml:space="preserve">On the basis of those authorities, he said that the court had to adopt a liberal approach when assessing the legitimate forensic purposes of the defence in a criminal trial, that special weight had to be given to the fact that the documents sought might assist an accused person and that it was then for the judge to determine whether it appeared </w:t>
      </w:r>
      <w:r w:rsidR="00970F33">
        <w:rPr>
          <w:rFonts w:ascii="Arial" w:hAnsi="Arial" w:cs="Arial"/>
          <w:sz w:val="20"/>
        </w:rPr>
        <w:t>‘o</w:t>
      </w:r>
      <w:r w:rsidR="00970F33" w:rsidRPr="00970F33">
        <w:rPr>
          <w:rFonts w:ascii="Arial" w:hAnsi="Arial" w:cs="Arial"/>
          <w:sz w:val="20"/>
        </w:rPr>
        <w:t>n the cards that the documents would assist the accused in his defence</w:t>
      </w:r>
      <w:r w:rsidR="00970F33">
        <w:rPr>
          <w:rFonts w:ascii="Arial" w:hAnsi="Arial" w:cs="Arial"/>
          <w:sz w:val="20"/>
        </w:rPr>
        <w:t>’</w:t>
      </w:r>
      <w:r w:rsidR="00970F33" w:rsidRPr="00970F33">
        <w:rPr>
          <w:rFonts w:ascii="Arial" w:hAnsi="Arial" w:cs="Arial"/>
          <w:sz w:val="20"/>
        </w:rPr>
        <w:t>.</w:t>
      </w:r>
      <w:r w:rsidR="00970F33">
        <w:rPr>
          <w:rFonts w:ascii="Arial" w:hAnsi="Arial" w:cs="Arial"/>
          <w:sz w:val="20"/>
        </w:rPr>
        <w:t xml:space="preserve">  </w:t>
      </w:r>
      <w:r>
        <w:rPr>
          <w:rFonts w:ascii="Arial" w:hAnsi="Arial" w:cs="Arial"/>
          <w:sz w:val="20"/>
        </w:rPr>
        <w:t xml:space="preserve">In a very detailed judgment Bell J </w:t>
      </w:r>
      <w:r w:rsidR="00A318A3">
        <w:rPr>
          <w:rFonts w:ascii="Arial" w:hAnsi="Arial" w:cs="Arial"/>
          <w:sz w:val="20"/>
        </w:rPr>
        <w:t xml:space="preserve">discussed matters under the following headings, citing </w:t>
      </w:r>
      <w:r w:rsidR="00A318A3" w:rsidRPr="00A318A3">
        <w:rPr>
          <w:rFonts w:ascii="Arial" w:hAnsi="Arial" w:cs="Arial"/>
          <w:i/>
          <w:sz w:val="20"/>
        </w:rPr>
        <w:t>inter alia</w:t>
      </w:r>
      <w:r w:rsidR="00A318A3">
        <w:rPr>
          <w:rFonts w:ascii="Arial" w:hAnsi="Arial" w:cs="Arial"/>
          <w:sz w:val="20"/>
        </w:rPr>
        <w:t xml:space="preserve"> a number of authorities including the following:</w:t>
      </w:r>
    </w:p>
    <w:p w14:paraId="6CD7D689" w14:textId="5217D172" w:rsidR="00067BEE" w:rsidRDefault="00E43C2E" w:rsidP="00212E38">
      <w:pPr>
        <w:numPr>
          <w:ilvl w:val="0"/>
          <w:numId w:val="13"/>
        </w:numPr>
        <w:ind w:left="420" w:hanging="420"/>
        <w:jc w:val="both"/>
        <w:rPr>
          <w:rFonts w:ascii="Arial" w:hAnsi="Arial" w:cs="Arial"/>
          <w:sz w:val="20"/>
        </w:rPr>
      </w:pPr>
      <w:r>
        <w:rPr>
          <w:rFonts w:ascii="Arial" w:hAnsi="Arial" w:cs="Arial"/>
          <w:sz w:val="20"/>
        </w:rPr>
        <w:t>[</w:t>
      </w:r>
      <w:r w:rsidR="00067BEE">
        <w:rPr>
          <w:rFonts w:ascii="Arial" w:hAnsi="Arial" w:cs="Arial"/>
          <w:sz w:val="20"/>
        </w:rPr>
        <w:t>35</w:t>
      </w:r>
      <w:r>
        <w:rPr>
          <w:rFonts w:ascii="Arial" w:hAnsi="Arial" w:cs="Arial"/>
          <w:sz w:val="20"/>
        </w:rPr>
        <w:t>]-</w:t>
      </w:r>
      <w:r w:rsidRPr="00067BEE">
        <w:rPr>
          <w:rFonts w:ascii="Arial" w:hAnsi="Arial" w:cs="Arial"/>
          <w:sz w:val="20"/>
          <w:szCs w:val="20"/>
        </w:rPr>
        <w:t>[</w:t>
      </w:r>
      <w:r w:rsidR="00067BEE" w:rsidRPr="00067BEE">
        <w:rPr>
          <w:rFonts w:ascii="Arial" w:hAnsi="Arial" w:cs="Arial"/>
          <w:sz w:val="20"/>
          <w:szCs w:val="20"/>
        </w:rPr>
        <w:t>44</w:t>
      </w:r>
      <w:r w:rsidRPr="00067BEE">
        <w:rPr>
          <w:rFonts w:ascii="Arial" w:hAnsi="Arial" w:cs="Arial"/>
          <w:sz w:val="20"/>
          <w:szCs w:val="20"/>
        </w:rPr>
        <w:t>]</w:t>
      </w:r>
      <w:r w:rsidR="00067BEE" w:rsidRPr="00067BEE">
        <w:rPr>
          <w:rFonts w:ascii="Arial" w:hAnsi="Arial" w:cs="Arial"/>
          <w:sz w:val="20"/>
          <w:szCs w:val="20"/>
        </w:rPr>
        <w:t xml:space="preserve"> </w:t>
      </w:r>
      <w:r w:rsidR="00067BEE" w:rsidRPr="00A318A3">
        <w:rPr>
          <w:rFonts w:ascii="Arial" w:hAnsi="Arial" w:cs="Arial"/>
          <w:b/>
          <w:sz w:val="20"/>
          <w:szCs w:val="20"/>
        </w:rPr>
        <w:t>International human rights</w:t>
      </w:r>
      <w:r w:rsidR="00067BEE">
        <w:rPr>
          <w:rFonts w:ascii="Arial" w:hAnsi="Arial" w:cs="Arial"/>
          <w:sz w:val="20"/>
          <w:szCs w:val="20"/>
        </w:rPr>
        <w:t xml:space="preserve">: </w:t>
      </w:r>
      <w:r w:rsidR="00067BEE" w:rsidRPr="00067BEE">
        <w:rPr>
          <w:rFonts w:ascii="Arial" w:hAnsi="Arial" w:cs="Arial"/>
          <w:i/>
          <w:sz w:val="20"/>
          <w:szCs w:val="20"/>
        </w:rPr>
        <w:t>International Covenant on Civil and Political Rights</w:t>
      </w:r>
      <w:r w:rsidR="00067BEE" w:rsidRPr="00067BEE">
        <w:rPr>
          <w:rFonts w:ascii="Arial" w:hAnsi="Arial" w:cs="Arial"/>
          <w:sz w:val="20"/>
          <w:szCs w:val="20"/>
        </w:rPr>
        <w:t xml:space="preserve"> [opened for signature </w:t>
      </w:r>
      <w:smartTag w:uri="urn:schemas-microsoft-com:office:smarttags" w:element="date">
        <w:smartTagPr>
          <w:attr w:name="Month" w:val="12"/>
          <w:attr w:name="Day" w:val="16"/>
          <w:attr w:name="Year" w:val="1966"/>
        </w:smartTagPr>
        <w:r w:rsidR="00067BEE" w:rsidRPr="00067BEE">
          <w:rPr>
            <w:rFonts w:ascii="Arial" w:hAnsi="Arial" w:cs="Arial"/>
            <w:sz w:val="20"/>
            <w:szCs w:val="20"/>
          </w:rPr>
          <w:t>16/12/1966</w:t>
        </w:r>
      </w:smartTag>
      <w:r w:rsidR="00067BEE" w:rsidRPr="00067BEE">
        <w:rPr>
          <w:rFonts w:ascii="Arial" w:hAnsi="Arial" w:cs="Arial"/>
          <w:sz w:val="20"/>
          <w:szCs w:val="20"/>
        </w:rPr>
        <w:t xml:space="preserve">, 999 UNTS 171, entered into force </w:t>
      </w:r>
      <w:smartTag w:uri="urn:schemas-microsoft-com:office:smarttags" w:element="date">
        <w:smartTagPr>
          <w:attr w:name="Month" w:val="3"/>
          <w:attr w:name="Day" w:val="23"/>
          <w:attr w:name="Year" w:val="1976"/>
        </w:smartTagPr>
        <w:r w:rsidR="00067BEE" w:rsidRPr="00067BEE">
          <w:rPr>
            <w:rFonts w:ascii="Arial" w:hAnsi="Arial" w:cs="Arial"/>
            <w:sz w:val="20"/>
            <w:szCs w:val="20"/>
          </w:rPr>
          <w:t>23/03/1976</w:t>
        </w:r>
      </w:smartTag>
      <w:r w:rsidR="00067BEE" w:rsidRPr="00067BEE">
        <w:rPr>
          <w:rFonts w:ascii="Arial" w:hAnsi="Arial" w:cs="Arial"/>
          <w:sz w:val="20"/>
          <w:szCs w:val="20"/>
        </w:rPr>
        <w:t>]</w:t>
      </w:r>
      <w:r w:rsidR="007961CE">
        <w:rPr>
          <w:rFonts w:ascii="Arial" w:hAnsi="Arial" w:cs="Arial"/>
          <w:sz w:val="20"/>
          <w:szCs w:val="20"/>
        </w:rPr>
        <w:t>.</w:t>
      </w:r>
    </w:p>
    <w:p w14:paraId="2F4E2C6C" w14:textId="77777777" w:rsidR="00067BEE" w:rsidRPr="00067BEE" w:rsidRDefault="00E43C2E" w:rsidP="00212E38">
      <w:pPr>
        <w:numPr>
          <w:ilvl w:val="0"/>
          <w:numId w:val="13"/>
        </w:numPr>
        <w:ind w:left="420" w:hanging="420"/>
        <w:jc w:val="both"/>
        <w:rPr>
          <w:rFonts w:ascii="Arial" w:hAnsi="Arial" w:cs="Arial"/>
          <w:sz w:val="20"/>
        </w:rPr>
      </w:pPr>
      <w:r>
        <w:rPr>
          <w:rFonts w:ascii="Arial" w:hAnsi="Arial" w:cs="Arial"/>
          <w:sz w:val="20"/>
        </w:rPr>
        <w:t>[45]-[</w:t>
      </w:r>
      <w:r w:rsidR="00067BEE">
        <w:rPr>
          <w:rFonts w:ascii="Arial" w:hAnsi="Arial" w:cs="Arial"/>
          <w:sz w:val="20"/>
        </w:rPr>
        <w:t>66</w:t>
      </w:r>
      <w:r>
        <w:rPr>
          <w:rFonts w:ascii="Arial" w:hAnsi="Arial" w:cs="Arial"/>
          <w:sz w:val="20"/>
        </w:rPr>
        <w:t xml:space="preserve">] </w:t>
      </w:r>
      <w:r w:rsidRPr="00A318A3">
        <w:rPr>
          <w:rFonts w:ascii="Arial" w:hAnsi="Arial" w:cs="Arial"/>
          <w:b/>
          <w:sz w:val="20"/>
        </w:rPr>
        <w:t>“Equality of arms”</w:t>
      </w:r>
      <w:r w:rsidR="00067BEE">
        <w:rPr>
          <w:rFonts w:ascii="Arial" w:hAnsi="Arial" w:cs="Arial"/>
          <w:sz w:val="20"/>
        </w:rPr>
        <w:t>:</w:t>
      </w:r>
      <w:r w:rsidR="00067BEE" w:rsidRPr="00067BEE">
        <w:rPr>
          <w:rFonts w:ascii="Arial" w:hAnsi="Arial" w:cs="Arial"/>
          <w:sz w:val="16"/>
        </w:rPr>
        <w:t xml:space="preserve"> </w:t>
      </w:r>
      <w:r w:rsidR="00067BEE" w:rsidRPr="00067BEE">
        <w:rPr>
          <w:rFonts w:ascii="Arial" w:hAnsi="Arial" w:cs="Arial"/>
          <w:i/>
          <w:sz w:val="20"/>
        </w:rPr>
        <w:t xml:space="preserve">Foucher v </w:t>
      </w:r>
      <w:smartTag w:uri="urn:schemas-microsoft-com:office:smarttags" w:element="country-region">
        <w:r w:rsidR="00067BEE" w:rsidRPr="00067BEE">
          <w:rPr>
            <w:rFonts w:ascii="Arial" w:hAnsi="Arial" w:cs="Arial"/>
            <w:i/>
            <w:sz w:val="20"/>
          </w:rPr>
          <w:t>France</w:t>
        </w:r>
      </w:smartTag>
      <w:r w:rsidR="00067BEE" w:rsidRPr="00067BEE">
        <w:rPr>
          <w:rFonts w:ascii="Arial" w:hAnsi="Arial" w:cs="Arial"/>
          <w:sz w:val="20"/>
        </w:rPr>
        <w:t xml:space="preserve"> (1998) </w:t>
      </w:r>
      <w:r w:rsidR="00067BEE">
        <w:rPr>
          <w:rFonts w:ascii="Arial" w:hAnsi="Arial" w:cs="Arial"/>
          <w:sz w:val="20"/>
        </w:rPr>
        <w:t xml:space="preserve">25 EHRR 234, [34]; </w:t>
      </w:r>
      <w:r w:rsidR="00067BEE" w:rsidRPr="00067BEE">
        <w:rPr>
          <w:rFonts w:ascii="Arial" w:hAnsi="Arial" w:cs="Arial"/>
          <w:i/>
          <w:sz w:val="20"/>
        </w:rPr>
        <w:t xml:space="preserve">Edwards v </w:t>
      </w:r>
      <w:smartTag w:uri="urn:schemas-microsoft-com:office:smarttags" w:element="country-region">
        <w:r w:rsidR="00067BEE" w:rsidRPr="00067BEE">
          <w:rPr>
            <w:rFonts w:ascii="Arial" w:hAnsi="Arial" w:cs="Arial"/>
            <w:i/>
            <w:sz w:val="20"/>
          </w:rPr>
          <w:t>United</w:t>
        </w:r>
        <w:r w:rsidR="00067BEE" w:rsidRPr="00067BEE">
          <w:rPr>
            <w:rFonts w:ascii="Arial" w:hAnsi="Arial" w:cs="Arial"/>
            <w:sz w:val="16"/>
          </w:rPr>
          <w:t xml:space="preserve"> </w:t>
        </w:r>
        <w:r w:rsidR="00067BEE" w:rsidRPr="00067BEE">
          <w:rPr>
            <w:rFonts w:ascii="Arial" w:hAnsi="Arial" w:cs="Arial"/>
            <w:i/>
            <w:sz w:val="20"/>
          </w:rPr>
          <w:t>Kingdom</w:t>
        </w:r>
      </w:smartTag>
      <w:r w:rsidR="00067BEE">
        <w:rPr>
          <w:rFonts w:ascii="Arial" w:hAnsi="Arial" w:cs="Arial"/>
          <w:i/>
          <w:sz w:val="20"/>
        </w:rPr>
        <w:t xml:space="preserve"> </w:t>
      </w:r>
      <w:r w:rsidR="00067BEE" w:rsidRPr="00067BEE">
        <w:rPr>
          <w:rFonts w:ascii="Arial" w:hAnsi="Arial" w:cs="Arial"/>
          <w:sz w:val="20"/>
        </w:rPr>
        <w:t>(1993) 15 EHRR 417</w:t>
      </w:r>
      <w:r w:rsidR="00067BEE">
        <w:rPr>
          <w:rFonts w:ascii="Arial" w:hAnsi="Arial" w:cs="Arial"/>
          <w:i/>
          <w:sz w:val="20"/>
        </w:rPr>
        <w:t>; Fitt</w:t>
      </w:r>
      <w:r w:rsidR="00067BEE" w:rsidRPr="00067BEE">
        <w:rPr>
          <w:rFonts w:ascii="Arial" w:hAnsi="Arial" w:cs="Arial"/>
          <w:i/>
          <w:sz w:val="20"/>
        </w:rPr>
        <w:t xml:space="preserve"> v </w:t>
      </w:r>
      <w:smartTag w:uri="urn:schemas-microsoft-com:office:smarttags" w:element="place">
        <w:smartTag w:uri="urn:schemas-microsoft-com:office:smarttags" w:element="country-region">
          <w:r w:rsidR="00067BEE" w:rsidRPr="00067BEE">
            <w:rPr>
              <w:rFonts w:ascii="Arial" w:hAnsi="Arial" w:cs="Arial"/>
              <w:i/>
              <w:sz w:val="20"/>
            </w:rPr>
            <w:t>United</w:t>
          </w:r>
          <w:r w:rsidR="00067BEE" w:rsidRPr="00067BEE">
            <w:rPr>
              <w:rFonts w:ascii="Arial" w:hAnsi="Arial" w:cs="Arial"/>
              <w:sz w:val="16"/>
            </w:rPr>
            <w:t xml:space="preserve"> </w:t>
          </w:r>
          <w:r w:rsidR="00067BEE" w:rsidRPr="00067BEE">
            <w:rPr>
              <w:rFonts w:ascii="Arial" w:hAnsi="Arial" w:cs="Arial"/>
              <w:i/>
              <w:sz w:val="20"/>
            </w:rPr>
            <w:t>Kingdom</w:t>
          </w:r>
        </w:smartTag>
      </w:smartTag>
      <w:r w:rsidR="00067BEE">
        <w:rPr>
          <w:rFonts w:ascii="Arial" w:hAnsi="Arial" w:cs="Arial"/>
          <w:i/>
          <w:sz w:val="20"/>
        </w:rPr>
        <w:t xml:space="preserve"> </w:t>
      </w:r>
      <w:r w:rsidR="00067BEE" w:rsidRPr="00067BEE">
        <w:rPr>
          <w:rFonts w:ascii="Arial" w:hAnsi="Arial" w:cs="Arial"/>
          <w:sz w:val="20"/>
        </w:rPr>
        <w:t>(</w:t>
      </w:r>
      <w:r w:rsidR="00067BEE">
        <w:rPr>
          <w:rFonts w:ascii="Arial" w:hAnsi="Arial" w:cs="Arial"/>
          <w:sz w:val="20"/>
        </w:rPr>
        <w:t>2000</w:t>
      </w:r>
      <w:r w:rsidR="00067BEE" w:rsidRPr="00067BEE">
        <w:rPr>
          <w:rFonts w:ascii="Arial" w:hAnsi="Arial" w:cs="Arial"/>
          <w:sz w:val="20"/>
        </w:rPr>
        <w:t xml:space="preserve">) </w:t>
      </w:r>
      <w:r w:rsidR="00067BEE">
        <w:rPr>
          <w:rFonts w:ascii="Arial" w:hAnsi="Arial" w:cs="Arial"/>
          <w:sz w:val="20"/>
        </w:rPr>
        <w:t>30</w:t>
      </w:r>
      <w:r w:rsidR="00067BEE" w:rsidRPr="00067BEE">
        <w:rPr>
          <w:rFonts w:ascii="Arial" w:hAnsi="Arial" w:cs="Arial"/>
          <w:sz w:val="20"/>
        </w:rPr>
        <w:t xml:space="preserve"> EHRR 4</w:t>
      </w:r>
      <w:r w:rsidR="00067BEE">
        <w:rPr>
          <w:rFonts w:ascii="Arial" w:hAnsi="Arial" w:cs="Arial"/>
          <w:sz w:val="20"/>
        </w:rPr>
        <w:t>80;</w:t>
      </w:r>
      <w:r w:rsidR="00067BEE" w:rsidRPr="00A318A3">
        <w:rPr>
          <w:rFonts w:ascii="Arial" w:hAnsi="Arial" w:cs="Arial"/>
          <w:sz w:val="16"/>
        </w:rPr>
        <w:t xml:space="preserve"> </w:t>
      </w:r>
      <w:r w:rsidR="00067BEE" w:rsidRPr="00A318A3">
        <w:rPr>
          <w:rFonts w:ascii="Arial" w:hAnsi="Arial" w:cs="Arial"/>
          <w:i/>
          <w:sz w:val="20"/>
        </w:rPr>
        <w:t>Mallard v R</w:t>
      </w:r>
      <w:r w:rsidR="00A318A3" w:rsidRPr="00A318A3">
        <w:rPr>
          <w:rFonts w:ascii="Arial" w:hAnsi="Arial" w:cs="Arial"/>
          <w:i/>
          <w:sz w:val="20"/>
        </w:rPr>
        <w:t xml:space="preserve"> </w:t>
      </w:r>
      <w:r w:rsidR="00A318A3" w:rsidRPr="00A318A3">
        <w:rPr>
          <w:rFonts w:ascii="Arial" w:hAnsi="Arial" w:cs="Arial"/>
          <w:sz w:val="20"/>
        </w:rPr>
        <w:t>(2005) 224 CLR 125 per Kirby J.</w:t>
      </w:r>
    </w:p>
    <w:p w14:paraId="650AFF60" w14:textId="7143A6B9" w:rsidR="00A318A3" w:rsidRPr="00A318A3" w:rsidRDefault="00E43C2E" w:rsidP="00212E38">
      <w:pPr>
        <w:numPr>
          <w:ilvl w:val="0"/>
          <w:numId w:val="13"/>
        </w:numPr>
        <w:ind w:left="420" w:hanging="420"/>
        <w:jc w:val="both"/>
        <w:rPr>
          <w:rFonts w:ascii="Arial" w:hAnsi="Arial" w:cs="Arial"/>
          <w:sz w:val="20"/>
          <w:szCs w:val="20"/>
        </w:rPr>
      </w:pPr>
      <w:r w:rsidRPr="00A318A3">
        <w:rPr>
          <w:rFonts w:ascii="Arial" w:hAnsi="Arial" w:cs="Arial"/>
          <w:sz w:val="20"/>
          <w:szCs w:val="20"/>
        </w:rPr>
        <w:t>[67]-[</w:t>
      </w:r>
      <w:r w:rsidR="00A318A3">
        <w:rPr>
          <w:rFonts w:ascii="Arial" w:hAnsi="Arial" w:cs="Arial"/>
          <w:sz w:val="20"/>
          <w:szCs w:val="20"/>
        </w:rPr>
        <w:t>8</w:t>
      </w:r>
      <w:r w:rsidRPr="00A318A3">
        <w:rPr>
          <w:rFonts w:ascii="Arial" w:hAnsi="Arial" w:cs="Arial"/>
          <w:sz w:val="20"/>
          <w:szCs w:val="20"/>
        </w:rPr>
        <w:t xml:space="preserve">3] </w:t>
      </w:r>
      <w:r w:rsidR="00A318A3" w:rsidRPr="00A318A3">
        <w:rPr>
          <w:rFonts w:ascii="Arial" w:hAnsi="Arial" w:cs="Arial"/>
          <w:b/>
          <w:sz w:val="20"/>
          <w:szCs w:val="20"/>
        </w:rPr>
        <w:t>P</w:t>
      </w:r>
      <w:r w:rsidRPr="00A318A3">
        <w:rPr>
          <w:rFonts w:ascii="Arial" w:hAnsi="Arial" w:cs="Arial"/>
          <w:b/>
          <w:sz w:val="20"/>
          <w:szCs w:val="20"/>
        </w:rPr>
        <w:t>rosecutor</w:t>
      </w:r>
      <w:r w:rsidR="00A318A3" w:rsidRPr="00A318A3">
        <w:rPr>
          <w:rFonts w:ascii="Arial" w:hAnsi="Arial" w:cs="Arial"/>
          <w:b/>
          <w:sz w:val="20"/>
          <w:szCs w:val="20"/>
        </w:rPr>
        <w:t>’s</w:t>
      </w:r>
      <w:r w:rsidRPr="00A318A3">
        <w:rPr>
          <w:rFonts w:ascii="Arial" w:hAnsi="Arial" w:cs="Arial"/>
          <w:b/>
          <w:sz w:val="20"/>
          <w:szCs w:val="20"/>
        </w:rPr>
        <w:t xml:space="preserve"> duty of fairness</w:t>
      </w:r>
      <w:r w:rsidR="00A318A3" w:rsidRPr="00A318A3">
        <w:rPr>
          <w:rFonts w:ascii="Arial" w:hAnsi="Arial" w:cs="Arial"/>
          <w:sz w:val="20"/>
          <w:szCs w:val="20"/>
        </w:rPr>
        <w:t xml:space="preserve">: </w:t>
      </w:r>
      <w:r w:rsidR="00A318A3" w:rsidRPr="00A318A3">
        <w:rPr>
          <w:rFonts w:ascii="Arial" w:hAnsi="Arial" w:cs="Arial"/>
          <w:i/>
          <w:sz w:val="20"/>
          <w:szCs w:val="20"/>
        </w:rPr>
        <w:t xml:space="preserve">Connelly v DPP </w:t>
      </w:r>
      <w:r w:rsidR="00A318A3" w:rsidRPr="00A318A3">
        <w:rPr>
          <w:rFonts w:ascii="Arial" w:hAnsi="Arial" w:cs="Arial"/>
          <w:sz w:val="20"/>
          <w:szCs w:val="20"/>
        </w:rPr>
        <w:t xml:space="preserve">[1964] AC 1254, 1357; </w:t>
      </w:r>
      <w:r w:rsidR="00A318A3" w:rsidRPr="00A318A3">
        <w:rPr>
          <w:rFonts w:ascii="Arial" w:hAnsi="Arial" w:cs="Arial"/>
          <w:i/>
          <w:sz w:val="20"/>
          <w:szCs w:val="20"/>
        </w:rPr>
        <w:t xml:space="preserve">Cannon v Tahche </w:t>
      </w:r>
      <w:r w:rsidR="00A318A3" w:rsidRPr="00A318A3">
        <w:rPr>
          <w:rFonts w:ascii="Arial" w:hAnsi="Arial" w:cs="Arial"/>
          <w:sz w:val="20"/>
          <w:szCs w:val="20"/>
        </w:rPr>
        <w:t xml:space="preserve">(2002) 5 VR 317, 339-340; </w:t>
      </w:r>
      <w:r w:rsidR="00A318A3" w:rsidRPr="00A318A3">
        <w:rPr>
          <w:rFonts w:ascii="Arial" w:hAnsi="Arial" w:cs="Arial"/>
          <w:i/>
          <w:sz w:val="20"/>
          <w:szCs w:val="20"/>
        </w:rPr>
        <w:t>R v Higgins</w:t>
      </w:r>
      <w:r w:rsidR="00A318A3" w:rsidRPr="00A318A3">
        <w:rPr>
          <w:rFonts w:ascii="Arial" w:hAnsi="Arial" w:cs="Arial"/>
          <w:sz w:val="20"/>
          <w:szCs w:val="20"/>
        </w:rPr>
        <w:t xml:space="preserve"> (unreported, Supreme Court of Victoria, Court of Criminal Appeal, Brooking, Byrne &amp; Eames J</w:t>
      </w:r>
      <w:r w:rsidR="00A318A3">
        <w:rPr>
          <w:rFonts w:ascii="Arial" w:hAnsi="Arial" w:cs="Arial"/>
          <w:sz w:val="20"/>
          <w:szCs w:val="20"/>
        </w:rPr>
        <w:t xml:space="preserve">J, 2 March 1994), </w:t>
      </w:r>
      <w:r w:rsidR="000F0BE9">
        <w:rPr>
          <w:rFonts w:ascii="Arial" w:hAnsi="Arial" w:cs="Arial"/>
          <w:sz w:val="20"/>
          <w:szCs w:val="20"/>
        </w:rPr>
        <w:t>I</w:t>
      </w:r>
      <w:r w:rsidR="00A318A3">
        <w:rPr>
          <w:rFonts w:ascii="Arial" w:hAnsi="Arial" w:cs="Arial"/>
          <w:sz w:val="20"/>
          <w:szCs w:val="20"/>
        </w:rPr>
        <w:t xml:space="preserve">9406132, 74; </w:t>
      </w:r>
      <w:r w:rsidR="00A318A3" w:rsidRPr="00A318A3">
        <w:rPr>
          <w:rFonts w:ascii="Arial" w:hAnsi="Arial" w:cs="Arial"/>
          <w:i/>
          <w:sz w:val="20"/>
          <w:szCs w:val="20"/>
        </w:rPr>
        <w:t>R v H</w:t>
      </w:r>
      <w:r w:rsidR="00A318A3" w:rsidRPr="00A318A3">
        <w:rPr>
          <w:rFonts w:ascii="Arial" w:hAnsi="Arial" w:cs="Arial"/>
          <w:sz w:val="20"/>
          <w:szCs w:val="20"/>
        </w:rPr>
        <w:t xml:space="preserve"> [2004] 2 AC 134</w:t>
      </w:r>
      <w:r w:rsidR="00A318A3">
        <w:rPr>
          <w:rFonts w:ascii="Arial" w:hAnsi="Arial" w:cs="Arial"/>
          <w:sz w:val="20"/>
          <w:szCs w:val="20"/>
        </w:rPr>
        <w:t xml:space="preserve">; </w:t>
      </w:r>
      <w:r w:rsidR="00A318A3" w:rsidRPr="00A318A3">
        <w:rPr>
          <w:rFonts w:ascii="Arial" w:hAnsi="Arial" w:cs="Arial"/>
          <w:i/>
          <w:sz w:val="20"/>
        </w:rPr>
        <w:t>Attorney General’s Reference (No 3 of 1999)</w:t>
      </w:r>
      <w:r w:rsidR="00A318A3" w:rsidRPr="00A318A3">
        <w:rPr>
          <w:rFonts w:ascii="Arial" w:hAnsi="Arial" w:cs="Arial"/>
          <w:sz w:val="16"/>
        </w:rPr>
        <w:t xml:space="preserve"> </w:t>
      </w:r>
      <w:r w:rsidR="00A318A3" w:rsidRPr="00A318A3">
        <w:rPr>
          <w:rFonts w:ascii="Arial" w:hAnsi="Arial" w:cs="Arial"/>
          <w:sz w:val="20"/>
        </w:rPr>
        <w:t>[2001] 2 AC 91, 118 per Lord Steyn.</w:t>
      </w:r>
    </w:p>
    <w:p w14:paraId="71F40566" w14:textId="77777777" w:rsidR="00E43C2E" w:rsidRDefault="00A318A3" w:rsidP="00212E38">
      <w:pPr>
        <w:numPr>
          <w:ilvl w:val="0"/>
          <w:numId w:val="13"/>
        </w:numPr>
        <w:ind w:left="420" w:hanging="420"/>
        <w:jc w:val="both"/>
        <w:rPr>
          <w:rFonts w:ascii="Arial" w:hAnsi="Arial" w:cs="Arial"/>
          <w:sz w:val="20"/>
        </w:rPr>
      </w:pPr>
      <w:r>
        <w:rPr>
          <w:rFonts w:ascii="Arial" w:hAnsi="Arial" w:cs="Arial"/>
          <w:sz w:val="20"/>
        </w:rPr>
        <w:t xml:space="preserve">[84]-[116] </w:t>
      </w:r>
      <w:r w:rsidRPr="00A318A3">
        <w:rPr>
          <w:rFonts w:ascii="Arial" w:hAnsi="Arial" w:cs="Arial"/>
          <w:b/>
          <w:sz w:val="20"/>
        </w:rPr>
        <w:t>Striking out summons to produce issued by the defence in criminal cases</w:t>
      </w:r>
      <w:r>
        <w:rPr>
          <w:rFonts w:ascii="Arial" w:hAnsi="Arial" w:cs="Arial"/>
          <w:sz w:val="20"/>
        </w:rPr>
        <w:t xml:space="preserve">: </w:t>
      </w:r>
      <w:r w:rsidR="00AC65C4" w:rsidRPr="00AC65C4">
        <w:rPr>
          <w:rFonts w:ascii="Arial" w:hAnsi="Arial" w:cs="Arial"/>
          <w:i/>
          <w:sz w:val="20"/>
        </w:rPr>
        <w:t>R v Saleam</w:t>
      </w:r>
      <w:r w:rsidR="00AC65C4">
        <w:rPr>
          <w:rFonts w:ascii="Arial" w:hAnsi="Arial" w:cs="Arial"/>
          <w:sz w:val="20"/>
        </w:rPr>
        <w:t xml:space="preserve"> (1989) 16 NSWLR 14, 19-20; </w:t>
      </w:r>
      <w:r w:rsidR="00AC65C4" w:rsidRPr="00AC65C4">
        <w:rPr>
          <w:rFonts w:ascii="Arial" w:hAnsi="Arial" w:cs="Arial"/>
          <w:i/>
          <w:sz w:val="20"/>
        </w:rPr>
        <w:t>Sobh</w:t>
      </w:r>
      <w:r w:rsidR="00AC65C4">
        <w:rPr>
          <w:rFonts w:ascii="Arial" w:hAnsi="Arial" w:cs="Arial"/>
          <w:sz w:val="20"/>
        </w:rPr>
        <w:t xml:space="preserve"> (1993) 65 A Crim R 466, 473; </w:t>
      </w:r>
      <w:r w:rsidR="00AC65C4" w:rsidRPr="00AC65C4">
        <w:rPr>
          <w:rFonts w:ascii="Arial" w:hAnsi="Arial" w:cs="Arial"/>
          <w:i/>
          <w:sz w:val="20"/>
        </w:rPr>
        <w:t>Clarkson v DPP</w:t>
      </w:r>
      <w:r w:rsidR="00AC65C4">
        <w:rPr>
          <w:rFonts w:ascii="Arial" w:hAnsi="Arial" w:cs="Arial"/>
          <w:sz w:val="20"/>
        </w:rPr>
        <w:t xml:space="preserve"> [1990] VR 745, 759; </w:t>
      </w:r>
      <w:r w:rsidR="00BC1EDB" w:rsidRPr="00BC1EDB">
        <w:rPr>
          <w:rFonts w:ascii="Arial" w:hAnsi="Arial" w:cs="Arial"/>
          <w:i/>
          <w:sz w:val="20"/>
          <w:szCs w:val="20"/>
        </w:rPr>
        <w:t>R v Mokbel (Ruling No 1)</w:t>
      </w:r>
      <w:r w:rsidR="00BC1EDB" w:rsidRPr="00BC1EDB">
        <w:rPr>
          <w:rFonts w:ascii="Arial" w:hAnsi="Arial" w:cs="Arial"/>
          <w:sz w:val="20"/>
          <w:szCs w:val="20"/>
        </w:rPr>
        <w:t xml:space="preserve"> </w:t>
      </w:r>
      <w:r w:rsidR="00BC1EDB">
        <w:rPr>
          <w:rFonts w:ascii="Arial" w:hAnsi="Arial" w:cs="Arial"/>
          <w:sz w:val="20"/>
          <w:szCs w:val="20"/>
        </w:rPr>
        <w:t xml:space="preserve">[2005] VSC 410, [33]-[42]; </w:t>
      </w:r>
      <w:r w:rsidR="0014585B" w:rsidRPr="00970F33">
        <w:rPr>
          <w:rFonts w:ascii="Arial" w:hAnsi="Arial" w:cs="Arial"/>
          <w:i/>
          <w:sz w:val="20"/>
        </w:rPr>
        <w:t>Alister v R</w:t>
      </w:r>
      <w:r w:rsidR="0014585B">
        <w:rPr>
          <w:rFonts w:ascii="Arial" w:hAnsi="Arial" w:cs="Arial"/>
          <w:sz w:val="20"/>
        </w:rPr>
        <w:t xml:space="preserve"> (1983) 154 CLR 404; </w:t>
      </w:r>
      <w:r w:rsidR="0014585B" w:rsidRPr="00E43C2E">
        <w:rPr>
          <w:rFonts w:ascii="Arial" w:hAnsi="Arial" w:cs="Arial"/>
          <w:i/>
          <w:sz w:val="20"/>
        </w:rPr>
        <w:t>Roads and Traffic Authority of New South Wales v Conolly</w:t>
      </w:r>
      <w:r w:rsidR="0014585B">
        <w:rPr>
          <w:rFonts w:ascii="Arial" w:hAnsi="Arial" w:cs="Arial"/>
          <w:sz w:val="20"/>
        </w:rPr>
        <w:t xml:space="preserve"> </w:t>
      </w:r>
      <w:r w:rsidR="0014585B" w:rsidRPr="0014585B">
        <w:rPr>
          <w:rFonts w:ascii="Arial" w:hAnsi="Arial" w:cs="Arial"/>
          <w:sz w:val="20"/>
          <w:szCs w:val="20"/>
        </w:rPr>
        <w:t xml:space="preserve">(2003) 57 NSWLR 310; </w:t>
      </w:r>
      <w:r w:rsidR="0014585B" w:rsidRPr="0014585B">
        <w:rPr>
          <w:rFonts w:ascii="Arial" w:hAnsi="Arial" w:cs="Arial"/>
          <w:i/>
          <w:sz w:val="20"/>
          <w:szCs w:val="20"/>
        </w:rPr>
        <w:t xml:space="preserve">Felice v County Court of Victoria and Anor </w:t>
      </w:r>
      <w:r w:rsidR="0014585B" w:rsidRPr="0014585B">
        <w:rPr>
          <w:rFonts w:ascii="Arial" w:hAnsi="Arial" w:cs="Arial"/>
          <w:sz w:val="20"/>
          <w:szCs w:val="20"/>
        </w:rPr>
        <w:t xml:space="preserve">[2006] VSC 12; </w:t>
      </w:r>
      <w:r w:rsidR="0014585B" w:rsidRPr="00E43C2E">
        <w:rPr>
          <w:rFonts w:ascii="Arial" w:hAnsi="Arial" w:cs="Arial"/>
          <w:i/>
          <w:sz w:val="20"/>
        </w:rPr>
        <w:t>DPP v Selway</w:t>
      </w:r>
      <w:r w:rsidR="0014585B">
        <w:rPr>
          <w:rFonts w:ascii="Arial" w:hAnsi="Arial" w:cs="Arial"/>
          <w:sz w:val="20"/>
        </w:rPr>
        <w:t xml:space="preserve"> [2007] VSC 244.</w:t>
      </w:r>
    </w:p>
    <w:p w14:paraId="3980201A" w14:textId="77777777" w:rsidR="005942F2" w:rsidRDefault="005942F2" w:rsidP="00FE7A28">
      <w:pPr>
        <w:pStyle w:val="Heading2"/>
        <w:tabs>
          <w:tab w:val="left" w:pos="567"/>
        </w:tabs>
        <w:spacing w:line="240" w:lineRule="auto"/>
        <w:rPr>
          <w:rFonts w:ascii="Helvetica" w:hAnsi="Helvetica"/>
          <w:sz w:val="20"/>
        </w:rPr>
      </w:pPr>
    </w:p>
    <w:p w14:paraId="035C5DA4" w14:textId="77777777" w:rsidR="007B45EC" w:rsidRDefault="00106F0D" w:rsidP="007B45EC">
      <w:pPr>
        <w:jc w:val="both"/>
        <w:rPr>
          <w:rFonts w:ascii="Arial" w:hAnsi="Arial" w:cs="Arial"/>
          <w:sz w:val="20"/>
        </w:rPr>
      </w:pPr>
      <w:r>
        <w:rPr>
          <w:rFonts w:ascii="Helvetica" w:hAnsi="Helvetica"/>
          <w:sz w:val="20"/>
        </w:rPr>
        <w:lastRenderedPageBreak/>
        <w:t xml:space="preserve">In his conclusion at [119] Bell </w:t>
      </w:r>
      <w:r w:rsidR="004F1D47">
        <w:rPr>
          <w:rFonts w:ascii="Helvetica" w:hAnsi="Helvetica"/>
          <w:sz w:val="20"/>
        </w:rPr>
        <w:t xml:space="preserve">J enunciated the following test based on his assumption of what Gibbs CJ had in mind when he used the “on the cards” metaphor in </w:t>
      </w:r>
      <w:r w:rsidR="004F1D47" w:rsidRPr="004F1D47">
        <w:rPr>
          <w:rFonts w:ascii="Arial" w:hAnsi="Arial" w:cs="Arial"/>
          <w:i/>
          <w:sz w:val="20"/>
        </w:rPr>
        <w:t>Alister v R</w:t>
      </w:r>
      <w:r w:rsidR="004F1D47" w:rsidRPr="004F1D47">
        <w:rPr>
          <w:rFonts w:ascii="Arial" w:hAnsi="Arial" w:cs="Arial"/>
          <w:sz w:val="20"/>
        </w:rPr>
        <w:t xml:space="preserve"> (1984) 154 CLR 404, 414</w:t>
      </w:r>
      <w:r w:rsidR="004F1D47">
        <w:rPr>
          <w:rFonts w:ascii="Arial" w:hAnsi="Arial" w:cs="Arial"/>
          <w:sz w:val="20"/>
        </w:rPr>
        <w:t>:</w:t>
      </w:r>
    </w:p>
    <w:p w14:paraId="0981080A" w14:textId="77777777" w:rsidR="004F1D47" w:rsidRDefault="004F1D47" w:rsidP="005549E2">
      <w:pPr>
        <w:spacing w:before="60"/>
        <w:ind w:left="454" w:right="454"/>
        <w:jc w:val="both"/>
        <w:rPr>
          <w:rFonts w:ascii="Arial" w:hAnsi="Arial" w:cs="Arial"/>
          <w:iCs/>
          <w:sz w:val="20"/>
        </w:rPr>
      </w:pPr>
      <w:r>
        <w:rPr>
          <w:rFonts w:ascii="Arial" w:hAnsi="Arial" w:cs="Arial"/>
          <w:iCs/>
          <w:sz w:val="20"/>
        </w:rPr>
        <w:t xml:space="preserve">“In my view, </w:t>
      </w:r>
      <w:r w:rsidRPr="004F1D47">
        <w:rPr>
          <w:rFonts w:ascii="Arial" w:hAnsi="Arial" w:cs="Arial"/>
          <w:sz w:val="20"/>
        </w:rPr>
        <w:t>the governing principle is that an accused person is entitled to seek production of such documents as are necessary for the conduct of a fair trial between the prosecution and the defence of the criminal charges that have been brought.  When objection is taken, the accused must identify expressly and with precision the forensic purpose for which access to the documents is sought.  A legitimate purpose is demonstrated where the court considers, having regard to its fundamental duty to ensure a fair trial, that there is a reasonable possibility the documents will materially assist the defence.  That is a low threshold, but it is a threshold.</w:t>
      </w:r>
      <w:r>
        <w:rPr>
          <w:rFonts w:ascii="Arial" w:hAnsi="Arial" w:cs="Arial"/>
          <w:sz w:val="20"/>
        </w:rPr>
        <w:t>”</w:t>
      </w:r>
    </w:p>
    <w:p w14:paraId="361E2899" w14:textId="77777777" w:rsidR="007B45EC" w:rsidRDefault="004F1D47" w:rsidP="005549E2">
      <w:pPr>
        <w:spacing w:before="60"/>
        <w:jc w:val="both"/>
        <w:rPr>
          <w:rFonts w:ascii="Arial" w:hAnsi="Arial" w:cs="Arial"/>
          <w:sz w:val="20"/>
        </w:rPr>
      </w:pPr>
      <w:r>
        <w:rPr>
          <w:rFonts w:ascii="Arial" w:hAnsi="Arial" w:cs="Arial"/>
          <w:sz w:val="20"/>
        </w:rPr>
        <w:t xml:space="preserve">His Honour considered that this test, expressed in more certain language than </w:t>
      </w:r>
      <w:r w:rsidR="00F10B98">
        <w:rPr>
          <w:rFonts w:ascii="Arial" w:hAnsi="Arial" w:cs="Arial"/>
          <w:sz w:val="20"/>
        </w:rPr>
        <w:t>Chief Justice Gibbs’</w:t>
      </w:r>
      <w:r>
        <w:rPr>
          <w:rFonts w:ascii="Arial" w:hAnsi="Arial" w:cs="Arial"/>
          <w:sz w:val="20"/>
        </w:rPr>
        <w:t xml:space="preserve"> metaphor, gives proper effect to the fundamental duty of the court to ensure a fair trial and was consistent with the human rights of an accused person to equality before the law and a fair hearing, as well as the “equality of arms” principle stated in international jurisprudence.</w:t>
      </w:r>
    </w:p>
    <w:p w14:paraId="3E083B91" w14:textId="77777777" w:rsidR="00093AD6" w:rsidRDefault="00093AD6" w:rsidP="00093AD6">
      <w:pPr>
        <w:jc w:val="both"/>
        <w:rPr>
          <w:rFonts w:ascii="Arial" w:hAnsi="Arial" w:cs="Arial"/>
          <w:sz w:val="20"/>
        </w:rPr>
      </w:pPr>
    </w:p>
    <w:p w14:paraId="5CE1F62D" w14:textId="77777777" w:rsidR="00093AD6" w:rsidRDefault="00093AD6" w:rsidP="00093AD6">
      <w:pPr>
        <w:jc w:val="both"/>
        <w:rPr>
          <w:rFonts w:ascii="Arial" w:hAnsi="Arial" w:cs="Arial"/>
          <w:sz w:val="20"/>
        </w:rPr>
      </w:pPr>
      <w:r>
        <w:rPr>
          <w:rFonts w:ascii="Arial" w:hAnsi="Arial" w:cs="Arial"/>
          <w:sz w:val="20"/>
        </w:rPr>
        <w:t xml:space="preserve">In </w:t>
      </w:r>
      <w:r w:rsidRPr="00093AD6">
        <w:rPr>
          <w:rFonts w:ascii="Arial" w:hAnsi="Arial" w:cs="Arial"/>
          <w:i/>
          <w:sz w:val="20"/>
        </w:rPr>
        <w:t>Attorney-General for NSW v Chidgey</w:t>
      </w:r>
      <w:r w:rsidRPr="00093AD6">
        <w:rPr>
          <w:rFonts w:ascii="Arial" w:hAnsi="Arial" w:cs="Arial"/>
          <w:sz w:val="16"/>
        </w:rPr>
        <w:t xml:space="preserve"> </w:t>
      </w:r>
      <w:r w:rsidRPr="00093AD6">
        <w:rPr>
          <w:rFonts w:ascii="Arial" w:hAnsi="Arial" w:cs="Arial"/>
          <w:sz w:val="20"/>
        </w:rPr>
        <w:t xml:space="preserve">[2008] NSWCCA 65 </w:t>
      </w:r>
      <w:r>
        <w:rPr>
          <w:rFonts w:ascii="Arial" w:hAnsi="Arial" w:cs="Arial"/>
          <w:sz w:val="20"/>
        </w:rPr>
        <w:t xml:space="preserve">the NSW Court of Criminal Appeal </w:t>
      </w:r>
      <w:r w:rsidR="002318F3">
        <w:rPr>
          <w:rFonts w:ascii="Arial" w:hAnsi="Arial" w:cs="Arial"/>
          <w:sz w:val="20"/>
        </w:rPr>
        <w:t xml:space="preserve">reviewed the relevant authorities and held that mere relevance is not sufficient and that the test set out in </w:t>
      </w:r>
      <w:r w:rsidR="002318F3" w:rsidRPr="002318F3">
        <w:rPr>
          <w:rFonts w:ascii="Arial" w:hAnsi="Arial" w:cs="Arial"/>
          <w:i/>
          <w:sz w:val="20"/>
        </w:rPr>
        <w:t xml:space="preserve">R v Saleam </w:t>
      </w:r>
      <w:r w:rsidR="002318F3">
        <w:rPr>
          <w:rFonts w:ascii="Arial" w:hAnsi="Arial" w:cs="Arial"/>
          <w:sz w:val="20"/>
        </w:rPr>
        <w:t>[1999] NSWCCA 86 at [11] by Simpson J (Spiegelman CJ &amp; Studdert J agreeing) should continue to be applied.  That test is as follows:</w:t>
      </w:r>
    </w:p>
    <w:p w14:paraId="63AE07A5" w14:textId="77777777" w:rsidR="002318F3" w:rsidRDefault="002318F3" w:rsidP="005549E2">
      <w:pPr>
        <w:spacing w:before="60"/>
        <w:ind w:left="454" w:right="454"/>
        <w:jc w:val="both"/>
        <w:rPr>
          <w:rFonts w:ascii="Arial" w:hAnsi="Arial" w:cs="Arial"/>
          <w:iCs/>
          <w:sz w:val="20"/>
        </w:rPr>
      </w:pPr>
      <w:r>
        <w:rPr>
          <w:rFonts w:ascii="Arial" w:hAnsi="Arial" w:cs="Arial"/>
          <w:iCs/>
          <w:sz w:val="20"/>
        </w:rPr>
        <w:t>“</w:t>
      </w:r>
      <w:r w:rsidRPr="002318F3">
        <w:rPr>
          <w:rFonts w:ascii="Arial" w:hAnsi="Arial" w:cs="Arial"/>
          <w:sz w:val="20"/>
          <w:szCs w:val="22"/>
        </w:rPr>
        <w:t>The principles governing applications [for an order that documents not be produced] are no different from those governing applications for access to documents produced in answer to a subpoena.  Before access is granted (or an order to produce made) the applicant must (i)</w:t>
      </w:r>
      <w:r>
        <w:rPr>
          <w:rFonts w:ascii="Arial" w:hAnsi="Arial" w:cs="Arial"/>
          <w:sz w:val="20"/>
          <w:szCs w:val="22"/>
        </w:rPr>
        <w:t> </w:t>
      </w:r>
      <w:r w:rsidRPr="002318F3">
        <w:rPr>
          <w:rFonts w:ascii="Arial" w:hAnsi="Arial" w:cs="Arial"/>
          <w:sz w:val="20"/>
          <w:szCs w:val="22"/>
        </w:rPr>
        <w:t>identify a legitimate forensic purpose for which access is sought; and (ii) establish that it is ’on the cards’ that the documents will materially assist his case.</w:t>
      </w:r>
      <w:r>
        <w:rPr>
          <w:rFonts w:ascii="Arial" w:hAnsi="Arial" w:cs="Arial"/>
          <w:iCs/>
          <w:sz w:val="20"/>
        </w:rPr>
        <w:t>”</w:t>
      </w:r>
    </w:p>
    <w:p w14:paraId="266822FA" w14:textId="77777777" w:rsidR="00093AD6" w:rsidRDefault="00093AD6" w:rsidP="00093AD6">
      <w:pPr>
        <w:jc w:val="both"/>
        <w:rPr>
          <w:rFonts w:ascii="Arial" w:hAnsi="Arial" w:cs="Arial"/>
          <w:sz w:val="20"/>
        </w:rPr>
      </w:pPr>
    </w:p>
    <w:p w14:paraId="0412A917" w14:textId="39C4CA09" w:rsidR="002318F3" w:rsidRDefault="002318F3" w:rsidP="00AC2791">
      <w:pPr>
        <w:jc w:val="both"/>
        <w:rPr>
          <w:rFonts w:ascii="Arial" w:hAnsi="Arial" w:cs="Arial"/>
          <w:sz w:val="20"/>
        </w:rPr>
      </w:pPr>
      <w:r>
        <w:rPr>
          <w:rFonts w:ascii="Arial" w:hAnsi="Arial" w:cs="Arial"/>
          <w:sz w:val="20"/>
        </w:rPr>
        <w:t xml:space="preserve">In </w:t>
      </w:r>
      <w:r w:rsidRPr="00C352F3">
        <w:rPr>
          <w:rFonts w:ascii="Arial" w:hAnsi="Arial" w:cs="Arial"/>
          <w:i/>
          <w:sz w:val="20"/>
        </w:rPr>
        <w:t>Johnson v Poppeliers</w:t>
      </w:r>
      <w:r>
        <w:rPr>
          <w:rFonts w:ascii="Arial" w:hAnsi="Arial" w:cs="Arial"/>
          <w:sz w:val="20"/>
        </w:rPr>
        <w:t xml:space="preserve"> [2008] VSC 461 Kyrou J analysed a number of authorities </w:t>
      </w:r>
      <w:r w:rsidR="00CE41DF">
        <w:rPr>
          <w:rFonts w:ascii="Arial" w:hAnsi="Arial" w:cs="Arial"/>
          <w:sz w:val="20"/>
        </w:rPr>
        <w:t xml:space="preserve">– including </w:t>
      </w:r>
      <w:r w:rsidR="00DE2FBF">
        <w:rPr>
          <w:rFonts w:ascii="Arial" w:hAnsi="Arial" w:cs="Arial"/>
          <w:i/>
          <w:sz w:val="20"/>
        </w:rPr>
        <w:t xml:space="preserve">the </w:t>
      </w:r>
      <w:r w:rsidR="00DE2FBF" w:rsidRPr="00DE2FBF">
        <w:rPr>
          <w:rFonts w:ascii="Arial" w:hAnsi="Arial" w:cs="Arial"/>
          <w:sz w:val="20"/>
        </w:rPr>
        <w:t xml:space="preserve">afore-mentioned </w:t>
      </w:r>
      <w:r w:rsidR="00DE2FBF" w:rsidRPr="00093AD6">
        <w:rPr>
          <w:rFonts w:ascii="Arial" w:hAnsi="Arial" w:cs="Arial"/>
          <w:i/>
          <w:sz w:val="20"/>
        </w:rPr>
        <w:t>Attorney-General for NSW</w:t>
      </w:r>
      <w:r w:rsidR="00DE2FBF" w:rsidRPr="00DE2FBF">
        <w:rPr>
          <w:rFonts w:ascii="Arial" w:hAnsi="Arial" w:cs="Arial"/>
          <w:sz w:val="20"/>
        </w:rPr>
        <w:t xml:space="preserve"> and the Victorian cases of </w:t>
      </w:r>
      <w:r w:rsidR="00CE41DF" w:rsidRPr="00CE41DF">
        <w:rPr>
          <w:rFonts w:ascii="Arial" w:hAnsi="Arial" w:cs="Arial"/>
          <w:i/>
          <w:sz w:val="20"/>
        </w:rPr>
        <w:t>Fitzgerald</w:t>
      </w:r>
      <w:r w:rsidR="00D5505F">
        <w:rPr>
          <w:rFonts w:ascii="Arial" w:hAnsi="Arial" w:cs="Arial"/>
          <w:i/>
          <w:sz w:val="20"/>
        </w:rPr>
        <w:t xml:space="preserve"> </w:t>
      </w:r>
      <w:r w:rsidR="00D5505F" w:rsidRPr="00D5505F">
        <w:rPr>
          <w:rFonts w:ascii="Arial" w:hAnsi="Arial" w:cs="Arial"/>
          <w:i/>
          <w:sz w:val="20"/>
        </w:rPr>
        <w:t>v Magistrates’ Court of Victoria</w:t>
      </w:r>
      <w:r w:rsidR="00D5505F">
        <w:rPr>
          <w:rFonts w:ascii="Arial" w:hAnsi="Arial" w:cs="Arial"/>
          <w:i/>
          <w:sz w:val="20"/>
        </w:rPr>
        <w:t xml:space="preserve"> </w:t>
      </w:r>
      <w:r w:rsidR="00D5505F" w:rsidRPr="00D5505F">
        <w:rPr>
          <w:rFonts w:ascii="Arial" w:hAnsi="Arial" w:cs="Arial"/>
          <w:sz w:val="20"/>
        </w:rPr>
        <w:t>(2001) 34 MVR 448; [2001] VSC 348</w:t>
      </w:r>
      <w:r w:rsidR="00D5505F">
        <w:rPr>
          <w:rFonts w:ascii="Arial" w:hAnsi="Arial" w:cs="Arial"/>
          <w:sz w:val="20"/>
        </w:rPr>
        <w:t xml:space="preserve"> at</w:t>
      </w:r>
      <w:r w:rsidR="00D5505F" w:rsidRPr="00D5505F">
        <w:rPr>
          <w:rFonts w:ascii="Arial" w:hAnsi="Arial" w:cs="Arial"/>
          <w:sz w:val="20"/>
        </w:rPr>
        <w:t xml:space="preserve"> [31]</w:t>
      </w:r>
      <w:r w:rsidR="00D5505F" w:rsidRPr="00DE2FBF">
        <w:rPr>
          <w:rFonts w:ascii="Arial" w:hAnsi="Arial" w:cs="Arial"/>
          <w:sz w:val="20"/>
        </w:rPr>
        <w:t xml:space="preserve"> </w:t>
      </w:r>
      <w:r w:rsidR="00D5505F" w:rsidRPr="00D5505F">
        <w:rPr>
          <w:rFonts w:ascii="Arial" w:hAnsi="Arial" w:cs="Arial"/>
          <w:sz w:val="20"/>
        </w:rPr>
        <w:t xml:space="preserve">and </w:t>
      </w:r>
      <w:r w:rsidR="00D5505F" w:rsidRPr="00FE7A28">
        <w:rPr>
          <w:rFonts w:ascii="Arial" w:hAnsi="Arial" w:cs="Arial"/>
          <w:i/>
          <w:sz w:val="20"/>
        </w:rPr>
        <w:t>Ragg v Magistrates’</w:t>
      </w:r>
      <w:r w:rsidR="00D5505F">
        <w:rPr>
          <w:rFonts w:ascii="Arial" w:hAnsi="Arial" w:cs="Arial"/>
          <w:i/>
          <w:sz w:val="20"/>
        </w:rPr>
        <w:t xml:space="preserve"> Court </w:t>
      </w:r>
      <w:r w:rsidR="00D5505F" w:rsidRPr="00FE7A28">
        <w:rPr>
          <w:rFonts w:ascii="Arial" w:hAnsi="Arial" w:cs="Arial"/>
          <w:i/>
          <w:sz w:val="20"/>
        </w:rPr>
        <w:t>&amp; Corcoris</w:t>
      </w:r>
      <w:r w:rsidR="00D5505F">
        <w:rPr>
          <w:rFonts w:ascii="Arial" w:hAnsi="Arial" w:cs="Arial"/>
          <w:sz w:val="20"/>
        </w:rPr>
        <w:t xml:space="preserve"> [2008] VSC 1</w:t>
      </w:r>
      <w:r w:rsidR="00DE2FBF">
        <w:rPr>
          <w:rFonts w:ascii="Arial" w:hAnsi="Arial" w:cs="Arial"/>
          <w:sz w:val="20"/>
        </w:rPr>
        <w:t xml:space="preserve"> </w:t>
      </w:r>
      <w:r w:rsidR="000F0BE9">
        <w:rPr>
          <w:rFonts w:ascii="Arial" w:hAnsi="Arial" w:cs="Arial"/>
          <w:sz w:val="20"/>
        </w:rPr>
        <w:t>–</w:t>
      </w:r>
      <w:r w:rsidR="00DE2FBF">
        <w:rPr>
          <w:rFonts w:ascii="Arial" w:hAnsi="Arial" w:cs="Arial"/>
          <w:sz w:val="20"/>
        </w:rPr>
        <w:t xml:space="preserve"> </w:t>
      </w:r>
      <w:r>
        <w:rPr>
          <w:rFonts w:ascii="Arial" w:hAnsi="Arial" w:cs="Arial"/>
          <w:sz w:val="20"/>
        </w:rPr>
        <w:t xml:space="preserve">before stating </w:t>
      </w:r>
      <w:r w:rsidR="00CE41DF">
        <w:rPr>
          <w:rFonts w:ascii="Arial" w:hAnsi="Arial" w:cs="Arial"/>
          <w:sz w:val="20"/>
        </w:rPr>
        <w:t xml:space="preserve">a “legitimate forensic purpose” test </w:t>
      </w:r>
      <w:r>
        <w:rPr>
          <w:rFonts w:ascii="Arial" w:hAnsi="Arial" w:cs="Arial"/>
          <w:sz w:val="20"/>
        </w:rPr>
        <w:t>at [42]</w:t>
      </w:r>
      <w:r w:rsidR="00CE41DF">
        <w:rPr>
          <w:rFonts w:ascii="Arial" w:hAnsi="Arial" w:cs="Arial"/>
          <w:sz w:val="20"/>
        </w:rPr>
        <w:t>:</w:t>
      </w:r>
    </w:p>
    <w:p w14:paraId="5AED89C8" w14:textId="77777777" w:rsidR="002318F3" w:rsidRDefault="00CE41DF" w:rsidP="006A0F25">
      <w:pPr>
        <w:spacing w:before="60"/>
        <w:ind w:left="454" w:right="454"/>
        <w:jc w:val="both"/>
        <w:rPr>
          <w:rFonts w:ascii="Arial" w:hAnsi="Arial" w:cs="Arial"/>
          <w:iCs/>
          <w:sz w:val="20"/>
        </w:rPr>
      </w:pPr>
      <w:r>
        <w:rPr>
          <w:rFonts w:ascii="Arial" w:hAnsi="Arial" w:cs="Arial"/>
          <w:iCs/>
          <w:sz w:val="20"/>
        </w:rPr>
        <w:t>“</w:t>
      </w:r>
      <w:r>
        <w:rPr>
          <w:rFonts w:ascii="Arial" w:hAnsi="Arial" w:cs="Arial"/>
          <w:sz w:val="20"/>
        </w:rPr>
        <w:t>[In]</w:t>
      </w:r>
      <w:r w:rsidRPr="00C352F3">
        <w:rPr>
          <w:rFonts w:ascii="Arial" w:hAnsi="Arial" w:cs="Arial"/>
          <w:sz w:val="20"/>
        </w:rPr>
        <w:t xml:space="preserve"> </w:t>
      </w:r>
      <w:smartTag w:uri="urn:schemas-microsoft-com:office:smarttags" w:element="place">
        <w:smartTag w:uri="urn:schemas-microsoft-com:office:smarttags" w:element="State">
          <w:r w:rsidRPr="00C352F3">
            <w:rPr>
              <w:rFonts w:ascii="Arial" w:hAnsi="Arial" w:cs="Arial"/>
              <w:sz w:val="20"/>
            </w:rPr>
            <w:t>Victoria</w:t>
          </w:r>
        </w:smartTag>
      </w:smartTag>
      <w:r w:rsidRPr="00C352F3">
        <w:rPr>
          <w:rFonts w:ascii="Arial" w:hAnsi="Arial" w:cs="Arial"/>
          <w:sz w:val="20"/>
        </w:rPr>
        <w:t xml:space="preserve">, the test for determining whether evidence sought on summons by a defendant has a legitimate forensic purpose, is whether there is a reasonable possibility that the evidence would materially assist the defence.  The test of </w:t>
      </w:r>
      <w:r>
        <w:rPr>
          <w:rFonts w:ascii="Arial" w:hAnsi="Arial" w:cs="Arial"/>
          <w:sz w:val="20"/>
        </w:rPr>
        <w:t>‘</w:t>
      </w:r>
      <w:r w:rsidRPr="00C352F3">
        <w:rPr>
          <w:rFonts w:ascii="Arial" w:hAnsi="Arial" w:cs="Arial"/>
          <w:sz w:val="20"/>
        </w:rPr>
        <w:t>within the range of probability</w:t>
      </w:r>
      <w:r>
        <w:rPr>
          <w:rFonts w:ascii="Arial" w:hAnsi="Arial" w:cs="Arial"/>
          <w:sz w:val="20"/>
        </w:rPr>
        <w:t>’</w:t>
      </w:r>
      <w:r w:rsidRPr="00C352F3">
        <w:rPr>
          <w:rFonts w:ascii="Arial" w:hAnsi="Arial" w:cs="Arial"/>
          <w:sz w:val="20"/>
        </w:rPr>
        <w:t xml:space="preserve"> set out in </w:t>
      </w:r>
      <w:r w:rsidRPr="00C352F3">
        <w:rPr>
          <w:rFonts w:ascii="Arial" w:hAnsi="Arial" w:cs="Arial"/>
          <w:i/>
          <w:sz w:val="20"/>
        </w:rPr>
        <w:t xml:space="preserve">Fitzgerald </w:t>
      </w:r>
      <w:r w:rsidRPr="00C352F3">
        <w:rPr>
          <w:rFonts w:ascii="Arial" w:hAnsi="Arial" w:cs="Arial"/>
          <w:sz w:val="20"/>
        </w:rPr>
        <w:t xml:space="preserve">does not correctly state the law.  The authorities also establish that while a fishing expedition is insufficient, the test of </w:t>
      </w:r>
      <w:r>
        <w:rPr>
          <w:rFonts w:ascii="Arial" w:hAnsi="Arial" w:cs="Arial"/>
          <w:sz w:val="20"/>
        </w:rPr>
        <w:t>‘</w:t>
      </w:r>
      <w:r w:rsidRPr="00C352F3">
        <w:rPr>
          <w:rFonts w:ascii="Arial" w:hAnsi="Arial" w:cs="Arial"/>
          <w:sz w:val="20"/>
        </w:rPr>
        <w:t>reasonable possibility</w:t>
      </w:r>
      <w:r>
        <w:rPr>
          <w:rFonts w:ascii="Arial" w:hAnsi="Arial" w:cs="Arial"/>
          <w:sz w:val="20"/>
        </w:rPr>
        <w:t>’</w:t>
      </w:r>
      <w:r w:rsidRPr="00C352F3">
        <w:rPr>
          <w:rFonts w:ascii="Arial" w:hAnsi="Arial" w:cs="Arial"/>
          <w:sz w:val="20"/>
        </w:rPr>
        <w:t xml:space="preserve"> must be applied flexibly (and, I would add, with common sense) in order to give the accused a fair opportunity to test the Crown’s case and take advantage of any defences</w:t>
      </w:r>
      <w:r w:rsidRPr="00DB1C93">
        <w:rPr>
          <w:rFonts w:ascii="Arial" w:hAnsi="Arial" w:cs="Arial"/>
          <w:sz w:val="20"/>
          <w:szCs w:val="20"/>
        </w:rPr>
        <w:t xml:space="preserve"> available to the accused.</w:t>
      </w:r>
      <w:r w:rsidR="00DB1C93" w:rsidRPr="00DB1C93">
        <w:rPr>
          <w:rFonts w:ascii="Arial" w:hAnsi="Arial" w:cs="Arial"/>
          <w:sz w:val="20"/>
          <w:szCs w:val="20"/>
        </w:rPr>
        <w:t xml:space="preserve">  See also </w:t>
      </w:r>
      <w:r w:rsidR="00DB1C93" w:rsidRPr="00DB1C93">
        <w:rPr>
          <w:rFonts w:ascii="Arial" w:hAnsi="Arial" w:cs="Arial"/>
          <w:i/>
          <w:sz w:val="20"/>
          <w:szCs w:val="20"/>
        </w:rPr>
        <w:t xml:space="preserve">Gaffee v Johnson </w:t>
      </w:r>
      <w:r w:rsidR="00DB1C93" w:rsidRPr="00DB1C93">
        <w:rPr>
          <w:rFonts w:ascii="Arial" w:hAnsi="Arial" w:cs="Arial"/>
          <w:sz w:val="20"/>
          <w:szCs w:val="20"/>
        </w:rPr>
        <w:t>(1996) 90 A Crim R 157, 163-5.</w:t>
      </w:r>
      <w:r w:rsidRPr="00C352F3">
        <w:rPr>
          <w:rFonts w:ascii="Arial" w:hAnsi="Arial" w:cs="Arial"/>
          <w:sz w:val="20"/>
        </w:rPr>
        <w:t xml:space="preserve">  Where the accused wishes to rely on a statutory defence, the absence of evidence from which an inference can be drawn that the documents sought will satisfy the requirements of the defence does not necessarily mean that the reasonable possibility test is not met.  This is particularly so where there is only one statutory defence available to the accused and that defence involves technical information exclusively in the possession of the Crown; insistence by the court that the accused present evidence which provides a basis for a positive inference that the documents sought will satisfy the requirements of the defence may effectively </w:t>
      </w:r>
      <w:r>
        <w:rPr>
          <w:rFonts w:ascii="Arial" w:hAnsi="Arial" w:cs="Arial"/>
          <w:sz w:val="20"/>
        </w:rPr>
        <w:t>‘</w:t>
      </w:r>
      <w:r w:rsidRPr="00C352F3">
        <w:rPr>
          <w:rFonts w:ascii="Arial" w:hAnsi="Arial" w:cs="Arial"/>
          <w:sz w:val="20"/>
        </w:rPr>
        <w:t>eviscerate</w:t>
      </w:r>
      <w:r>
        <w:rPr>
          <w:rFonts w:ascii="Arial" w:hAnsi="Arial" w:cs="Arial"/>
          <w:sz w:val="20"/>
        </w:rPr>
        <w:t>’</w:t>
      </w:r>
      <w:r w:rsidR="00DB1C93">
        <w:rPr>
          <w:rFonts w:ascii="Arial" w:hAnsi="Arial" w:cs="Arial"/>
          <w:sz w:val="20"/>
        </w:rPr>
        <w:t xml:space="preserve"> </w:t>
      </w:r>
      <w:r w:rsidR="00DB1C93" w:rsidRPr="00DB1C93">
        <w:rPr>
          <w:rFonts w:ascii="Arial" w:hAnsi="Arial" w:cs="Arial"/>
          <w:sz w:val="20"/>
          <w:szCs w:val="20"/>
        </w:rPr>
        <w:t>[</w:t>
      </w:r>
      <w:r w:rsidR="00DB1C93" w:rsidRPr="00DB1C93">
        <w:rPr>
          <w:rFonts w:ascii="Arial" w:hAnsi="Arial" w:cs="Arial"/>
          <w:i/>
          <w:sz w:val="20"/>
          <w:szCs w:val="20"/>
        </w:rPr>
        <w:t xml:space="preserve">Alister </w:t>
      </w:r>
      <w:r w:rsidR="00DB1C93" w:rsidRPr="00DB1C93">
        <w:rPr>
          <w:rFonts w:ascii="Arial" w:hAnsi="Arial" w:cs="Arial"/>
          <w:sz w:val="20"/>
          <w:szCs w:val="20"/>
        </w:rPr>
        <w:t>(1983) 154 CLR 404, 451]</w:t>
      </w:r>
      <w:r w:rsidRPr="00C352F3">
        <w:rPr>
          <w:rFonts w:ascii="Arial" w:hAnsi="Arial" w:cs="Arial"/>
          <w:sz w:val="20"/>
        </w:rPr>
        <w:t xml:space="preserve"> the defence.</w:t>
      </w:r>
      <w:r w:rsidR="005C3DA0">
        <w:rPr>
          <w:rFonts w:ascii="Arial" w:hAnsi="Arial" w:cs="Arial"/>
          <w:sz w:val="20"/>
        </w:rPr>
        <w:t>”</w:t>
      </w:r>
    </w:p>
    <w:p w14:paraId="65CBA0DC" w14:textId="14BA5317" w:rsidR="002318F3" w:rsidRDefault="002318F3" w:rsidP="00093AD6">
      <w:pPr>
        <w:jc w:val="both"/>
        <w:rPr>
          <w:rFonts w:ascii="Arial" w:hAnsi="Arial" w:cs="Arial"/>
          <w:sz w:val="20"/>
        </w:rPr>
      </w:pPr>
    </w:p>
    <w:p w14:paraId="4B125167" w14:textId="28580905" w:rsidR="00CF0BE9" w:rsidRPr="00813B7E" w:rsidRDefault="00813B7E" w:rsidP="00093AD6">
      <w:pPr>
        <w:jc w:val="both"/>
        <w:rPr>
          <w:rFonts w:ascii="Arial" w:hAnsi="Arial" w:cs="Arial"/>
          <w:sz w:val="20"/>
          <w:szCs w:val="20"/>
        </w:rPr>
      </w:pPr>
      <w:r w:rsidRPr="00813B7E">
        <w:rPr>
          <w:rFonts w:ascii="Arial" w:hAnsi="Arial" w:cs="Arial"/>
          <w:sz w:val="20"/>
          <w:szCs w:val="20"/>
        </w:rPr>
        <w:t xml:space="preserve">An order by the Court of Appeal under s.317 of the </w:t>
      </w:r>
      <w:r w:rsidRPr="00E17B1E">
        <w:rPr>
          <w:rFonts w:ascii="Arial" w:hAnsi="Arial" w:cs="Arial"/>
          <w:i/>
          <w:iCs/>
          <w:sz w:val="20"/>
          <w:szCs w:val="20"/>
        </w:rPr>
        <w:t xml:space="preserve">Criminal Procedure Act </w:t>
      </w:r>
      <w:r w:rsidR="00E17B1E" w:rsidRPr="00E17B1E">
        <w:rPr>
          <w:rFonts w:ascii="Arial" w:hAnsi="Arial" w:cs="Arial"/>
          <w:i/>
          <w:iCs/>
          <w:sz w:val="20"/>
          <w:szCs w:val="20"/>
        </w:rPr>
        <w:t>2009</w:t>
      </w:r>
      <w:r w:rsidR="00E17B1E">
        <w:rPr>
          <w:rFonts w:ascii="Arial" w:hAnsi="Arial" w:cs="Arial"/>
          <w:sz w:val="20"/>
          <w:szCs w:val="20"/>
        </w:rPr>
        <w:t xml:space="preserve"> </w:t>
      </w:r>
      <w:r w:rsidRPr="00813B7E">
        <w:rPr>
          <w:rFonts w:ascii="Arial" w:hAnsi="Arial" w:cs="Arial"/>
          <w:sz w:val="20"/>
          <w:szCs w:val="20"/>
        </w:rPr>
        <w:t xml:space="preserve">for the production of documents is akin to an order for a subpoena for production: see </w:t>
      </w:r>
      <w:r w:rsidRPr="00813B7E">
        <w:rPr>
          <w:rFonts w:ascii="Arial" w:hAnsi="Arial" w:cs="Arial"/>
          <w:i/>
          <w:iCs/>
          <w:sz w:val="20"/>
          <w:szCs w:val="20"/>
        </w:rPr>
        <w:t>Zirilli v The Queen</w:t>
      </w:r>
      <w:r w:rsidRPr="00813B7E">
        <w:rPr>
          <w:rFonts w:ascii="Arial" w:hAnsi="Arial" w:cs="Arial"/>
          <w:sz w:val="20"/>
          <w:szCs w:val="20"/>
        </w:rPr>
        <w:t xml:space="preserve"> [2021] VSCA 174 at [59d] citing </w:t>
      </w:r>
      <w:r w:rsidRPr="00813B7E">
        <w:rPr>
          <w:rFonts w:ascii="Arial" w:hAnsi="Arial" w:cs="Arial"/>
          <w:i/>
          <w:iCs/>
          <w:sz w:val="20"/>
          <w:szCs w:val="20"/>
        </w:rPr>
        <w:t>R v Saleam</w:t>
      </w:r>
      <w:r w:rsidRPr="00813B7E">
        <w:rPr>
          <w:rFonts w:ascii="Arial" w:hAnsi="Arial" w:cs="Arial"/>
          <w:sz w:val="20"/>
          <w:szCs w:val="20"/>
        </w:rPr>
        <w:t xml:space="preserve"> [1999] NSWCCA 86, [11] (Hunt J, Carruthers and Grove JJ agreeing); </w:t>
      </w:r>
      <w:r w:rsidRPr="00813B7E">
        <w:rPr>
          <w:rFonts w:ascii="Arial" w:hAnsi="Arial" w:cs="Arial"/>
          <w:i/>
          <w:iCs/>
          <w:sz w:val="20"/>
          <w:szCs w:val="20"/>
        </w:rPr>
        <w:t>Zirilli</w:t>
      </w:r>
      <w:r w:rsidRPr="00813B7E">
        <w:rPr>
          <w:rFonts w:ascii="Arial" w:hAnsi="Arial" w:cs="Arial"/>
          <w:sz w:val="20"/>
          <w:szCs w:val="20"/>
        </w:rPr>
        <w:t xml:space="preserve"> (n 5) [2021] VSCA 2, [98]; </w:t>
      </w:r>
      <w:r w:rsidRPr="00813B7E">
        <w:rPr>
          <w:rFonts w:ascii="Arial" w:hAnsi="Arial" w:cs="Arial"/>
          <w:i/>
          <w:iCs/>
          <w:sz w:val="20"/>
          <w:szCs w:val="20"/>
        </w:rPr>
        <w:t>Madafferi v The Queen</w:t>
      </w:r>
      <w:r w:rsidRPr="00813B7E">
        <w:rPr>
          <w:rFonts w:ascii="Arial" w:hAnsi="Arial" w:cs="Arial"/>
          <w:sz w:val="20"/>
          <w:szCs w:val="20"/>
        </w:rPr>
        <w:t xml:space="preserve"> [2021] VSCA 1, [98].</w:t>
      </w:r>
      <w:r>
        <w:rPr>
          <w:rFonts w:ascii="Arial" w:hAnsi="Arial" w:cs="Arial"/>
          <w:sz w:val="20"/>
          <w:szCs w:val="20"/>
        </w:rPr>
        <w:t xml:space="preserve">  See also </w:t>
      </w:r>
      <w:r w:rsidRPr="00E17B1E">
        <w:rPr>
          <w:rFonts w:ascii="Arial" w:hAnsi="Arial" w:cs="Arial"/>
          <w:i/>
          <w:iCs/>
          <w:sz w:val="20"/>
          <w:szCs w:val="20"/>
        </w:rPr>
        <w:t>Higgs v The Queen</w:t>
      </w:r>
      <w:r>
        <w:rPr>
          <w:rFonts w:ascii="Arial" w:hAnsi="Arial" w:cs="Arial"/>
          <w:sz w:val="20"/>
          <w:szCs w:val="20"/>
        </w:rPr>
        <w:t xml:space="preserve"> [2021] VSCA 301</w:t>
      </w:r>
      <w:r w:rsidR="00E17B1E">
        <w:rPr>
          <w:rFonts w:ascii="Arial" w:hAnsi="Arial" w:cs="Arial"/>
          <w:sz w:val="20"/>
          <w:szCs w:val="20"/>
        </w:rPr>
        <w:t xml:space="preserve"> at [28a]</w:t>
      </w:r>
      <w:r w:rsidR="00D45643">
        <w:rPr>
          <w:rFonts w:ascii="Arial" w:hAnsi="Arial" w:cs="Arial"/>
          <w:sz w:val="20"/>
          <w:szCs w:val="20"/>
        </w:rPr>
        <w:t xml:space="preserve">; </w:t>
      </w:r>
      <w:r w:rsidR="00D45643" w:rsidRPr="00D45643">
        <w:rPr>
          <w:rFonts w:ascii="Arial" w:hAnsi="Arial" w:cs="Arial"/>
          <w:i/>
          <w:iCs/>
          <w:sz w:val="20"/>
          <w:szCs w:val="20"/>
        </w:rPr>
        <w:t>Polimeni v The Queen</w:t>
      </w:r>
      <w:r w:rsidR="00D45643">
        <w:rPr>
          <w:rFonts w:ascii="Arial" w:hAnsi="Arial" w:cs="Arial"/>
          <w:sz w:val="20"/>
          <w:szCs w:val="20"/>
        </w:rPr>
        <w:t xml:space="preserve"> [2021] VSCA 329 at [25b]</w:t>
      </w:r>
      <w:r w:rsidR="00E17B1E">
        <w:rPr>
          <w:rFonts w:ascii="Arial" w:hAnsi="Arial" w:cs="Arial"/>
          <w:sz w:val="20"/>
          <w:szCs w:val="20"/>
        </w:rPr>
        <w:t>.</w:t>
      </w:r>
    </w:p>
    <w:p w14:paraId="58A20D1A" w14:textId="77777777" w:rsidR="00CF0BE9" w:rsidRDefault="00CF0BE9" w:rsidP="00093AD6">
      <w:pPr>
        <w:jc w:val="both"/>
        <w:rPr>
          <w:rFonts w:ascii="Arial" w:hAnsi="Arial" w:cs="Arial"/>
          <w:sz w:val="20"/>
        </w:rPr>
      </w:pPr>
    </w:p>
    <w:p w14:paraId="4FE704A4" w14:textId="004E3FFC" w:rsidR="007E5209" w:rsidRDefault="007E5209" w:rsidP="007E5209">
      <w:pPr>
        <w:jc w:val="both"/>
        <w:rPr>
          <w:rFonts w:ascii="Arial" w:hAnsi="Arial" w:cs="Arial"/>
          <w:sz w:val="20"/>
        </w:rPr>
      </w:pPr>
      <w:r>
        <w:rPr>
          <w:rFonts w:ascii="Arial" w:hAnsi="Arial" w:cs="Arial"/>
          <w:sz w:val="20"/>
        </w:rPr>
        <w:t xml:space="preserve">In </w:t>
      </w:r>
      <w:r w:rsidRPr="007E5209">
        <w:rPr>
          <w:rFonts w:ascii="Arial" w:hAnsi="Arial" w:cs="Arial"/>
          <w:i/>
          <w:iCs/>
          <w:sz w:val="20"/>
        </w:rPr>
        <w:t>Madafferi v The Queen</w:t>
      </w:r>
      <w:r>
        <w:rPr>
          <w:rFonts w:ascii="Arial" w:hAnsi="Arial" w:cs="Arial"/>
          <w:sz w:val="20"/>
        </w:rPr>
        <w:t xml:space="preserve"> [2021] VSCA 1 the appellant sought the release of documents </w:t>
      </w:r>
      <w:r w:rsidR="00A671C5">
        <w:rPr>
          <w:rFonts w:ascii="Arial" w:hAnsi="Arial" w:cs="Arial"/>
          <w:sz w:val="20"/>
        </w:rPr>
        <w:t xml:space="preserve">under s.317 </w:t>
      </w:r>
      <w:r w:rsidR="00A671C5" w:rsidRPr="00A671C5">
        <w:rPr>
          <w:rFonts w:ascii="Arial" w:hAnsi="Arial" w:cs="Arial"/>
          <w:i/>
          <w:iCs/>
          <w:sz w:val="20"/>
        </w:rPr>
        <w:t>Criminal Procedure Act 2009</w:t>
      </w:r>
      <w:r w:rsidR="00A671C5">
        <w:rPr>
          <w:rFonts w:ascii="Arial" w:hAnsi="Arial" w:cs="Arial"/>
          <w:sz w:val="20"/>
        </w:rPr>
        <w:t xml:space="preserve"> </w:t>
      </w:r>
      <w:r>
        <w:rPr>
          <w:rFonts w:ascii="Arial" w:hAnsi="Arial" w:cs="Arial"/>
          <w:sz w:val="20"/>
        </w:rPr>
        <w:t xml:space="preserve">in an attempt to find out whether his solicitor Mr Acquaro and his barrister Ms Gobbo were police informers at certain relevant times and accordingly </w:t>
      </w:r>
      <w:r w:rsidR="00954573">
        <w:rPr>
          <w:rFonts w:ascii="Arial" w:hAnsi="Arial" w:cs="Arial"/>
          <w:sz w:val="20"/>
        </w:rPr>
        <w:t xml:space="preserve">that </w:t>
      </w:r>
      <w:r>
        <w:rPr>
          <w:rFonts w:ascii="Arial" w:hAnsi="Arial" w:cs="Arial"/>
          <w:sz w:val="20"/>
        </w:rPr>
        <w:t xml:space="preserve">he did not receive independent legal advice from either.  The Chief Commissioner of Police opposed the release on the grounds of public interest immunity (PII), specifically the so-called </w:t>
      </w:r>
      <w:r w:rsidR="0001482B">
        <w:rPr>
          <w:rFonts w:ascii="Arial" w:hAnsi="Arial" w:cs="Arial"/>
          <w:sz w:val="20"/>
        </w:rPr>
        <w:t xml:space="preserve">public interest in protecting the anonymity of police </w:t>
      </w:r>
      <w:r>
        <w:rPr>
          <w:rFonts w:ascii="Arial" w:hAnsi="Arial" w:cs="Arial"/>
          <w:sz w:val="20"/>
        </w:rPr>
        <w:t>informers</w:t>
      </w:r>
      <w:r w:rsidR="0001482B">
        <w:rPr>
          <w:rFonts w:ascii="Arial" w:hAnsi="Arial" w:cs="Arial"/>
          <w:sz w:val="20"/>
        </w:rPr>
        <w:t>.</w:t>
      </w:r>
      <w:r>
        <w:rPr>
          <w:rFonts w:ascii="Arial" w:hAnsi="Arial" w:cs="Arial"/>
          <w:sz w:val="20"/>
        </w:rPr>
        <w:t xml:space="preserve"> The Court of Appeal </w:t>
      </w:r>
      <w:r w:rsidR="0001482B">
        <w:rPr>
          <w:rFonts w:ascii="Arial" w:hAnsi="Arial" w:cs="Arial"/>
          <w:sz w:val="20"/>
        </w:rPr>
        <w:t xml:space="preserve">(Emerton, Weinberg &amp; Osborne JJA) </w:t>
      </w:r>
      <w:r>
        <w:rPr>
          <w:rFonts w:ascii="Arial" w:hAnsi="Arial" w:cs="Arial"/>
          <w:sz w:val="20"/>
        </w:rPr>
        <w:t>ordered the release of the documents, discussing the legal framework at [27]-[</w:t>
      </w:r>
      <w:r w:rsidR="0001482B">
        <w:rPr>
          <w:rFonts w:ascii="Arial" w:hAnsi="Arial" w:cs="Arial"/>
          <w:sz w:val="20"/>
        </w:rPr>
        <w:t>40</w:t>
      </w:r>
      <w:r>
        <w:rPr>
          <w:rFonts w:ascii="Arial" w:hAnsi="Arial" w:cs="Arial"/>
          <w:sz w:val="20"/>
        </w:rPr>
        <w:t>] as follows:</w:t>
      </w:r>
    </w:p>
    <w:p w14:paraId="6CA9F6EB" w14:textId="77777777" w:rsidR="007E5209" w:rsidRDefault="007E5209" w:rsidP="0087543E">
      <w:pPr>
        <w:spacing w:before="60"/>
        <w:ind w:left="454" w:right="454"/>
        <w:jc w:val="both"/>
        <w:rPr>
          <w:rFonts w:ascii="Arial" w:hAnsi="Arial" w:cs="Arial"/>
          <w:iCs/>
          <w:sz w:val="20"/>
        </w:rPr>
      </w:pPr>
      <w:r>
        <w:rPr>
          <w:rFonts w:ascii="Arial" w:hAnsi="Arial" w:cs="Arial"/>
          <w:iCs/>
          <w:sz w:val="20"/>
        </w:rPr>
        <w:t>[27] “</w:t>
      </w:r>
      <w:r w:rsidRPr="007E5209">
        <w:rPr>
          <w:rFonts w:ascii="Arial" w:hAnsi="Arial" w:cs="Arial"/>
          <w:sz w:val="20"/>
          <w:szCs w:val="20"/>
        </w:rPr>
        <w:t xml:space="preserve">It is common ground that, by reason of s 131A of the </w:t>
      </w:r>
      <w:r w:rsidRPr="007E5209">
        <w:rPr>
          <w:rFonts w:ascii="Arial" w:eastAsia="Book Antiqua" w:hAnsi="Arial" w:cs="Arial"/>
          <w:i/>
          <w:sz w:val="20"/>
          <w:szCs w:val="20"/>
        </w:rPr>
        <w:t>Evidence Act 2008</w:t>
      </w:r>
      <w:r w:rsidRPr="007E5209">
        <w:rPr>
          <w:rFonts w:ascii="Arial" w:hAnsi="Arial" w:cs="Arial"/>
          <w:sz w:val="20"/>
          <w:szCs w:val="20"/>
        </w:rPr>
        <w:t>,</w:t>
      </w:r>
      <w:r w:rsidRPr="007E5209">
        <w:rPr>
          <w:rFonts w:ascii="Arial" w:eastAsia="Book Antiqua" w:hAnsi="Arial" w:cs="Arial"/>
          <w:i/>
          <w:sz w:val="20"/>
          <w:szCs w:val="20"/>
        </w:rPr>
        <w:t xml:space="preserve"> </w:t>
      </w:r>
      <w:r w:rsidRPr="007E5209">
        <w:rPr>
          <w:rFonts w:ascii="Arial" w:hAnsi="Arial" w:cs="Arial"/>
          <w:sz w:val="20"/>
          <w:szCs w:val="20"/>
        </w:rPr>
        <w:t>the PII application is to be determined in accordance with s 130 of that Act.  Section 130(1) provides</w:t>
      </w:r>
      <w:r>
        <w:rPr>
          <w:rFonts w:ascii="Arial" w:hAnsi="Arial" w:cs="Arial"/>
          <w:sz w:val="20"/>
          <w:szCs w:val="20"/>
        </w:rPr>
        <w:t>:</w:t>
      </w:r>
    </w:p>
    <w:p w14:paraId="4F72926D" w14:textId="77777777" w:rsidR="007E5209" w:rsidRDefault="007E5209" w:rsidP="0087543E">
      <w:pPr>
        <w:spacing w:before="60"/>
        <w:ind w:left="907" w:right="907"/>
        <w:jc w:val="both"/>
        <w:rPr>
          <w:rFonts w:ascii="Arial" w:hAnsi="Arial" w:cs="Arial"/>
          <w:sz w:val="20"/>
        </w:rPr>
      </w:pPr>
      <w:r>
        <w:rPr>
          <w:rFonts w:ascii="Arial" w:hAnsi="Arial" w:cs="Arial"/>
          <w:sz w:val="20"/>
        </w:rPr>
        <w:t>‘</w:t>
      </w:r>
      <w:r w:rsidRPr="007E5209">
        <w:rPr>
          <w:rFonts w:ascii="Arial" w:hAnsi="Arial" w:cs="Arial"/>
          <w:sz w:val="20"/>
          <w:szCs w:val="22"/>
        </w:rPr>
        <w:t xml:space="preserve">If the public interest in admitting into evidence information or a document that relates to matters of state is outweighed by the public interest in preserving secrecy </w:t>
      </w:r>
      <w:r w:rsidRPr="007E5209">
        <w:rPr>
          <w:rFonts w:ascii="Arial" w:hAnsi="Arial" w:cs="Arial"/>
          <w:sz w:val="20"/>
          <w:szCs w:val="22"/>
        </w:rPr>
        <w:lastRenderedPageBreak/>
        <w:t xml:space="preserve">or confidentiality in relation to the information or document, the court may direct that the information or document </w:t>
      </w:r>
      <w:proofErr w:type="gramStart"/>
      <w:r w:rsidRPr="007E5209">
        <w:rPr>
          <w:rFonts w:ascii="Arial" w:hAnsi="Arial" w:cs="Arial"/>
          <w:sz w:val="20"/>
          <w:szCs w:val="22"/>
        </w:rPr>
        <w:t>not be</w:t>
      </w:r>
      <w:proofErr w:type="gramEnd"/>
      <w:r w:rsidRPr="007E5209">
        <w:rPr>
          <w:rFonts w:ascii="Arial" w:hAnsi="Arial" w:cs="Arial"/>
          <w:sz w:val="20"/>
          <w:szCs w:val="22"/>
        </w:rPr>
        <w:t xml:space="preserve"> adduced as evidence.</w:t>
      </w:r>
      <w:r>
        <w:rPr>
          <w:rFonts w:ascii="Arial" w:hAnsi="Arial" w:cs="Arial"/>
          <w:sz w:val="20"/>
          <w:szCs w:val="22"/>
        </w:rPr>
        <w:t>’</w:t>
      </w:r>
    </w:p>
    <w:p w14:paraId="79683F94" w14:textId="77777777" w:rsidR="007E5209" w:rsidRDefault="007E5209" w:rsidP="0087543E">
      <w:pPr>
        <w:spacing w:before="60"/>
        <w:ind w:left="454" w:right="454"/>
        <w:jc w:val="both"/>
        <w:rPr>
          <w:rFonts w:ascii="Arial" w:hAnsi="Arial" w:cs="Arial"/>
          <w:sz w:val="20"/>
          <w:szCs w:val="20"/>
        </w:rPr>
      </w:pPr>
      <w:r>
        <w:rPr>
          <w:rFonts w:ascii="Arial" w:hAnsi="Arial" w:cs="Arial"/>
          <w:sz w:val="20"/>
          <w:szCs w:val="20"/>
        </w:rPr>
        <w:t xml:space="preserve">[28] </w:t>
      </w:r>
      <w:r w:rsidRPr="007E5209">
        <w:rPr>
          <w:rFonts w:ascii="Arial" w:hAnsi="Arial" w:cs="Arial"/>
          <w:sz w:val="20"/>
          <w:szCs w:val="20"/>
        </w:rPr>
        <w:t>Section 130(4)(e) provides that information or a document is taken to relate to ‘matters of state’ if adducing it as evidence would ‘disclose, or enable a person to ascertain, the existence or identity of a confidential source of information relating to the enforcement or administration of a law of the Commonwealth or a State’.  There is no dispute that information or documents that would disclose whether Acquaro was a police informer relate to ‘matters of state’.</w:t>
      </w:r>
    </w:p>
    <w:p w14:paraId="2F5C04C2" w14:textId="77777777" w:rsidR="007E5209" w:rsidRDefault="007E5209" w:rsidP="0087543E">
      <w:pPr>
        <w:spacing w:before="60"/>
        <w:ind w:left="454" w:right="454"/>
        <w:jc w:val="both"/>
        <w:rPr>
          <w:rFonts w:ascii="Arial" w:hAnsi="Arial" w:cs="Arial"/>
          <w:sz w:val="20"/>
          <w:szCs w:val="20"/>
        </w:rPr>
      </w:pPr>
      <w:r>
        <w:rPr>
          <w:rFonts w:ascii="Arial" w:hAnsi="Arial" w:cs="Arial"/>
          <w:sz w:val="20"/>
          <w:szCs w:val="20"/>
        </w:rPr>
        <w:t xml:space="preserve">[29] </w:t>
      </w:r>
      <w:r w:rsidRPr="007E5209">
        <w:rPr>
          <w:rFonts w:ascii="Arial" w:hAnsi="Arial" w:cs="Arial"/>
          <w:sz w:val="20"/>
          <w:szCs w:val="20"/>
        </w:rPr>
        <w:t>Likewise, there is no dispute as to the competing public interests in this case.</w:t>
      </w:r>
      <w:r>
        <w:rPr>
          <w:rFonts w:ascii="Arial" w:hAnsi="Arial" w:cs="Arial"/>
          <w:sz w:val="20"/>
          <w:szCs w:val="20"/>
        </w:rPr>
        <w:t xml:space="preserve">  They are:</w:t>
      </w:r>
    </w:p>
    <w:p w14:paraId="782F40D8" w14:textId="77777777" w:rsidR="007E5209" w:rsidRDefault="007E5209">
      <w:pPr>
        <w:numPr>
          <w:ilvl w:val="1"/>
          <w:numId w:val="55"/>
        </w:numPr>
        <w:spacing w:before="60"/>
        <w:ind w:left="908" w:right="454" w:hanging="454"/>
        <w:jc w:val="both"/>
        <w:rPr>
          <w:rFonts w:ascii="Arial" w:hAnsi="Arial" w:cs="Arial"/>
          <w:sz w:val="20"/>
          <w:szCs w:val="20"/>
        </w:rPr>
      </w:pPr>
      <w:r w:rsidRPr="007E5209">
        <w:rPr>
          <w:rFonts w:ascii="Arial" w:hAnsi="Arial" w:cs="Arial"/>
          <w:sz w:val="20"/>
          <w:szCs w:val="20"/>
        </w:rPr>
        <w:t>on the one hand, the public interest in maintaining confidence in the ability of police to protect avenues of information and intelligence, including the ability of police to protect informers (whether actual or perceived); and</w:t>
      </w:r>
    </w:p>
    <w:p w14:paraId="47D78B6A" w14:textId="77777777" w:rsidR="002702CF" w:rsidRPr="007E5209" w:rsidRDefault="002702CF">
      <w:pPr>
        <w:numPr>
          <w:ilvl w:val="1"/>
          <w:numId w:val="55"/>
        </w:numPr>
        <w:spacing w:before="60"/>
        <w:ind w:left="908" w:right="454" w:hanging="454"/>
        <w:jc w:val="both"/>
        <w:rPr>
          <w:rFonts w:ascii="Arial" w:hAnsi="Arial" w:cs="Arial"/>
          <w:sz w:val="20"/>
          <w:szCs w:val="20"/>
        </w:rPr>
      </w:pPr>
      <w:r w:rsidRPr="002702CF">
        <w:rPr>
          <w:rFonts w:ascii="Arial" w:hAnsi="Arial" w:cs="Arial"/>
          <w:sz w:val="20"/>
          <w:szCs w:val="20"/>
        </w:rPr>
        <w:t>on the other hand, the interest in disclosing information that a person asserts may assist them in seeking to quash a conviction.</w:t>
      </w:r>
    </w:p>
    <w:p w14:paraId="330C3F8B" w14:textId="77777777" w:rsidR="002702CF" w:rsidRDefault="002702CF" w:rsidP="0087543E">
      <w:pPr>
        <w:spacing w:before="60"/>
        <w:ind w:left="454" w:right="454"/>
        <w:jc w:val="both"/>
        <w:rPr>
          <w:rFonts w:ascii="Arial" w:hAnsi="Arial" w:cs="Arial"/>
          <w:sz w:val="20"/>
          <w:szCs w:val="20"/>
        </w:rPr>
      </w:pPr>
      <w:r>
        <w:rPr>
          <w:rFonts w:ascii="Arial" w:hAnsi="Arial" w:cs="Arial"/>
          <w:sz w:val="20"/>
          <w:szCs w:val="20"/>
        </w:rPr>
        <w:t xml:space="preserve">[30] </w:t>
      </w:r>
      <w:r w:rsidRPr="002702CF">
        <w:rPr>
          <w:rFonts w:ascii="Arial" w:hAnsi="Arial" w:cs="Arial"/>
          <w:sz w:val="20"/>
          <w:szCs w:val="20"/>
        </w:rPr>
        <w:t>Section 130(5) sets out a list of the matters a court is to take into account for the purpose of the balancing exercise in s 130(1).  They are:</w:t>
      </w:r>
    </w:p>
    <w:p w14:paraId="77EE8FC2" w14:textId="77777777" w:rsidR="002702CF" w:rsidRPr="002702CF" w:rsidRDefault="002702CF" w:rsidP="009B1652">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the importance of the information or the document in the proceeding;</w:t>
      </w:r>
    </w:p>
    <w:p w14:paraId="160E04A2" w14:textId="77777777" w:rsidR="002702CF" w:rsidRPr="002702CF" w:rsidRDefault="002702CF">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if the proceeding is a criminal proceeding―whether the party seeking to adduce evidence of the information or document is an accused or the prosecutor;</w:t>
      </w:r>
    </w:p>
    <w:p w14:paraId="32D477C5" w14:textId="77777777" w:rsidR="002702CF" w:rsidRPr="002702CF" w:rsidRDefault="002702CF">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the nature of the offence, cause of action or defence to which the information or document relates, and the nature of the subject matter of the proceeding;</w:t>
      </w:r>
    </w:p>
    <w:p w14:paraId="1C038DE5" w14:textId="77777777" w:rsidR="002702CF" w:rsidRPr="002702CF" w:rsidRDefault="002702CF">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the likely effect of adducing evidence of the information or document, and the means available to limit its publication;</w:t>
      </w:r>
    </w:p>
    <w:p w14:paraId="4F674F0D" w14:textId="77777777" w:rsidR="002702CF" w:rsidRPr="002702CF" w:rsidRDefault="002702CF">
      <w:pPr>
        <w:numPr>
          <w:ilvl w:val="0"/>
          <w:numId w:val="56"/>
        </w:numPr>
        <w:spacing w:before="60"/>
        <w:ind w:left="908" w:right="454" w:hanging="454"/>
        <w:jc w:val="both"/>
        <w:rPr>
          <w:rFonts w:ascii="Arial" w:hAnsi="Arial" w:cs="Arial"/>
          <w:sz w:val="18"/>
          <w:szCs w:val="18"/>
        </w:rPr>
      </w:pPr>
      <w:r w:rsidRPr="002702CF">
        <w:rPr>
          <w:rFonts w:ascii="Arial" w:hAnsi="Arial" w:cs="Arial"/>
          <w:sz w:val="20"/>
          <w:szCs w:val="22"/>
        </w:rPr>
        <w:t>whether the substance of the information or document has already been published;</w:t>
      </w:r>
    </w:p>
    <w:p w14:paraId="49507CCA" w14:textId="77777777" w:rsidR="002702CF" w:rsidRDefault="00954573">
      <w:pPr>
        <w:numPr>
          <w:ilvl w:val="0"/>
          <w:numId w:val="56"/>
        </w:numPr>
        <w:spacing w:before="60"/>
        <w:ind w:left="908" w:right="454" w:hanging="454"/>
        <w:jc w:val="both"/>
        <w:rPr>
          <w:rFonts w:ascii="Arial" w:hAnsi="Arial" w:cs="Arial"/>
          <w:sz w:val="20"/>
          <w:szCs w:val="20"/>
        </w:rPr>
      </w:pPr>
      <w:r w:rsidRPr="00954573">
        <w:rPr>
          <w:rFonts w:ascii="Arial" w:hAnsi="Arial" w:cs="Arial"/>
          <w:sz w:val="20"/>
          <w:szCs w:val="22"/>
        </w:rPr>
        <w:t>if the proceeding is a criminal proceeding and the party seeking to adduce evidence of the information or document is an accused―whether the direction is to be made subject to the condition that the prosecution be stayed.</w:t>
      </w:r>
    </w:p>
    <w:p w14:paraId="2FD02DC5" w14:textId="77777777" w:rsidR="00954573" w:rsidRDefault="00954573" w:rsidP="0087543E">
      <w:pPr>
        <w:spacing w:before="60"/>
        <w:ind w:left="454" w:right="454"/>
        <w:jc w:val="both"/>
        <w:rPr>
          <w:rFonts w:ascii="Arial" w:hAnsi="Arial" w:cs="Arial"/>
          <w:sz w:val="20"/>
          <w:szCs w:val="20"/>
        </w:rPr>
      </w:pPr>
      <w:r>
        <w:rPr>
          <w:rFonts w:ascii="Arial" w:hAnsi="Arial" w:cs="Arial"/>
          <w:sz w:val="20"/>
          <w:szCs w:val="20"/>
        </w:rPr>
        <w:t xml:space="preserve">[31] </w:t>
      </w:r>
      <w:r w:rsidRPr="00954573">
        <w:rPr>
          <w:rFonts w:ascii="Arial" w:hAnsi="Arial" w:cs="Arial"/>
          <w:sz w:val="20"/>
          <w:szCs w:val="20"/>
        </w:rPr>
        <w:t xml:space="preserve">The construction of s 130 is informed by the common law.  In </w:t>
      </w:r>
      <w:r w:rsidRPr="00954573">
        <w:rPr>
          <w:rFonts w:ascii="Arial" w:eastAsia="Book Antiqua" w:hAnsi="Arial" w:cs="Arial"/>
          <w:i/>
          <w:sz w:val="20"/>
          <w:szCs w:val="20"/>
        </w:rPr>
        <w:t>Ryan v State of Victoria</w:t>
      </w:r>
      <w:r w:rsidRPr="00954573">
        <w:t xml:space="preserve"> </w:t>
      </w:r>
      <w:r w:rsidRPr="00954573">
        <w:rPr>
          <w:rFonts w:ascii="Arial" w:hAnsi="Arial" w:cs="Arial"/>
          <w:sz w:val="20"/>
          <w:szCs w:val="20"/>
        </w:rPr>
        <w:t xml:space="preserve">[2015] VSCA 353, Tate JA recognised </w:t>
      </w:r>
      <w:r>
        <w:rPr>
          <w:rFonts w:ascii="Arial" w:hAnsi="Arial" w:cs="Arial"/>
          <w:sz w:val="20"/>
          <w:szCs w:val="20"/>
        </w:rPr>
        <w:t xml:space="preserve">at [58] </w:t>
      </w:r>
      <w:r w:rsidRPr="00954573">
        <w:rPr>
          <w:rFonts w:ascii="Arial" w:hAnsi="Arial" w:cs="Arial"/>
          <w:sz w:val="20"/>
          <w:szCs w:val="20"/>
        </w:rPr>
        <w:t xml:space="preserve">that there ‘is considerable support in the authorities for the view that the principles governing public interest immunity under s 130 of the Act reflect those applicable at common law; what differences exist are of no practical significance’.  In </w:t>
      </w:r>
      <w:r w:rsidRPr="00954573">
        <w:rPr>
          <w:rFonts w:ascii="Arial" w:eastAsia="Book Antiqua" w:hAnsi="Arial" w:cs="Arial"/>
          <w:i/>
          <w:sz w:val="20"/>
          <w:szCs w:val="20"/>
        </w:rPr>
        <w:t>Attorney General (NSW) v</w:t>
      </w:r>
      <w:r w:rsidRPr="00954573">
        <w:rPr>
          <w:rFonts w:ascii="Arial" w:hAnsi="Arial" w:cs="Arial"/>
          <w:sz w:val="20"/>
          <w:szCs w:val="20"/>
        </w:rPr>
        <w:t xml:space="preserve"> </w:t>
      </w:r>
      <w:r w:rsidRPr="00954573">
        <w:rPr>
          <w:rFonts w:ascii="Arial" w:eastAsia="Book Antiqua" w:hAnsi="Arial" w:cs="Arial"/>
          <w:i/>
          <w:sz w:val="20"/>
          <w:szCs w:val="20"/>
        </w:rPr>
        <w:t xml:space="preserve">Lipton </w:t>
      </w:r>
      <w:r w:rsidRPr="00954573">
        <w:rPr>
          <w:rFonts w:ascii="Arial" w:hAnsi="Arial" w:cs="Arial"/>
          <w:sz w:val="20"/>
          <w:szCs w:val="20"/>
        </w:rPr>
        <w:t xml:space="preserve">(2012) 224 A Crim R 117; [2012] NSWCCA 156, Basten JA stated </w:t>
      </w:r>
      <w:r>
        <w:rPr>
          <w:rFonts w:ascii="Arial" w:hAnsi="Arial" w:cs="Arial"/>
          <w:sz w:val="20"/>
          <w:szCs w:val="20"/>
        </w:rPr>
        <w:t xml:space="preserve">at [39] </w:t>
      </w:r>
      <w:r w:rsidRPr="00954573">
        <w:rPr>
          <w:rFonts w:ascii="Arial" w:hAnsi="Arial" w:cs="Arial"/>
          <w:sz w:val="20"/>
          <w:szCs w:val="20"/>
        </w:rPr>
        <w:t>that the balancing exercise was not to be constrained by unexpressed rules derived from the general law, however, he did so in the context of a request for documents for a sentence appeal where the respondent had pleaded guilty and in response to a submission that the court was constrained by a common law rule that where nonproduction was necessary to protect the identity of an informant, the only available exception was the public interest in an accused person properly defending themselves against conviction.  In stating that the balancing exercise was not constrained in the manner contended for, like Tate JA, his Honour observed the same result might be expected on either approach.</w:t>
      </w:r>
    </w:p>
    <w:p w14:paraId="6078B6FB" w14:textId="77777777" w:rsidR="00954573" w:rsidRDefault="00954573" w:rsidP="00954573">
      <w:pPr>
        <w:spacing w:before="60"/>
        <w:ind w:left="454" w:right="454"/>
        <w:jc w:val="both"/>
        <w:rPr>
          <w:rFonts w:ascii="Arial" w:hAnsi="Arial" w:cs="Arial"/>
          <w:sz w:val="20"/>
          <w:szCs w:val="20"/>
        </w:rPr>
      </w:pPr>
      <w:r>
        <w:rPr>
          <w:rFonts w:ascii="Arial" w:hAnsi="Arial" w:cs="Arial"/>
          <w:sz w:val="20"/>
          <w:szCs w:val="20"/>
        </w:rPr>
        <w:t xml:space="preserve">[32] </w:t>
      </w:r>
      <w:r w:rsidRPr="00954573">
        <w:rPr>
          <w:rFonts w:ascii="Arial" w:hAnsi="Arial" w:cs="Arial"/>
          <w:sz w:val="20"/>
          <w:szCs w:val="20"/>
        </w:rPr>
        <w:t>The common law makes clear that there is a well-recognised public interest in maintaining the anonymity of police informers.  There is a significant body of law protecting from disclosure the identities of police informers.  The importance of protecting the anonymity of police informers as an aspect of the public interest has been widely accepted.</w:t>
      </w:r>
    </w:p>
    <w:p w14:paraId="1210A1EA" w14:textId="77777777" w:rsidR="00954573" w:rsidRDefault="00954573" w:rsidP="00954573">
      <w:pPr>
        <w:spacing w:before="60"/>
        <w:ind w:left="454" w:right="454"/>
        <w:jc w:val="both"/>
        <w:rPr>
          <w:rFonts w:ascii="Arial" w:hAnsi="Arial" w:cs="Arial"/>
          <w:sz w:val="20"/>
          <w:szCs w:val="20"/>
        </w:rPr>
      </w:pPr>
      <w:r>
        <w:rPr>
          <w:rFonts w:ascii="Arial" w:hAnsi="Arial" w:cs="Arial"/>
          <w:sz w:val="20"/>
          <w:szCs w:val="20"/>
        </w:rPr>
        <w:t xml:space="preserve">[33] </w:t>
      </w:r>
      <w:r w:rsidRPr="00954573">
        <w:rPr>
          <w:rFonts w:ascii="Arial" w:hAnsi="Arial" w:cs="Arial"/>
          <w:sz w:val="20"/>
          <w:szCs w:val="20"/>
        </w:rPr>
        <w:t xml:space="preserve">In </w:t>
      </w:r>
      <w:r w:rsidRPr="00954573">
        <w:rPr>
          <w:rFonts w:ascii="Arial" w:eastAsia="Book Antiqua" w:hAnsi="Arial" w:cs="Arial"/>
          <w:i/>
          <w:sz w:val="20"/>
          <w:szCs w:val="20"/>
        </w:rPr>
        <w:t>Jarvie v Magistrates’ Court of Victoria</w:t>
      </w:r>
      <w:r w:rsidRPr="00954573">
        <w:rPr>
          <w:rFonts w:ascii="Arial" w:hAnsi="Arial" w:cs="Arial"/>
          <w:sz w:val="16"/>
          <w:szCs w:val="16"/>
        </w:rPr>
        <w:t xml:space="preserve"> </w:t>
      </w:r>
      <w:r w:rsidRPr="00954573">
        <w:rPr>
          <w:rFonts w:ascii="Arial" w:hAnsi="Arial" w:cs="Arial"/>
          <w:sz w:val="20"/>
          <w:szCs w:val="20"/>
        </w:rPr>
        <w:t xml:space="preserve">[1995] 1 VR 84, Brooking JA considered </w:t>
      </w:r>
      <w:r w:rsidR="0087543E">
        <w:rPr>
          <w:rFonts w:ascii="Arial" w:hAnsi="Arial" w:cs="Arial"/>
          <w:sz w:val="20"/>
          <w:szCs w:val="20"/>
        </w:rPr>
        <w:t xml:space="preserve">at pp.89-90 </w:t>
      </w:r>
      <w:r w:rsidRPr="00954573">
        <w:rPr>
          <w:rFonts w:ascii="Arial" w:hAnsi="Arial" w:cs="Arial"/>
          <w:sz w:val="20"/>
          <w:szCs w:val="20"/>
        </w:rPr>
        <w:t xml:space="preserve">(albeit in obiter remarks) when the identity of an informer might be disclosed, concluding that a test </w:t>
      </w:r>
      <w:r w:rsidRPr="0087543E">
        <w:rPr>
          <w:rFonts w:ascii="Arial" w:hAnsi="Arial" w:cs="Arial"/>
          <w:sz w:val="20"/>
          <w:szCs w:val="20"/>
        </w:rPr>
        <w:t xml:space="preserve">laid down by Vincent J in </w:t>
      </w:r>
      <w:r w:rsidRPr="0087543E">
        <w:rPr>
          <w:rFonts w:ascii="Arial" w:eastAsia="Book Antiqua" w:hAnsi="Arial" w:cs="Arial"/>
          <w:i/>
          <w:sz w:val="20"/>
          <w:szCs w:val="20"/>
        </w:rPr>
        <w:t>Cerrah v The Queen</w:t>
      </w:r>
      <w:r w:rsidRPr="0087543E">
        <w:rPr>
          <w:rFonts w:ascii="Arial" w:hAnsi="Arial" w:cs="Arial"/>
          <w:sz w:val="20"/>
          <w:szCs w:val="20"/>
        </w:rPr>
        <w:t xml:space="preserve"> </w:t>
      </w:r>
      <w:r w:rsidR="0087543E" w:rsidRPr="0087543E">
        <w:rPr>
          <w:rFonts w:ascii="Arial" w:hAnsi="Arial" w:cs="Arial"/>
          <w:sz w:val="20"/>
          <w:szCs w:val="20"/>
        </w:rPr>
        <w:t>(Victorian Court of Appeal, Young CJ, Vincent and Crockett JJ, 6 October 1988)</w:t>
      </w:r>
      <w:r w:rsidR="0087543E">
        <w:rPr>
          <w:rFonts w:ascii="Arial" w:hAnsi="Arial" w:cs="Arial"/>
          <w:sz w:val="20"/>
          <w:szCs w:val="20"/>
        </w:rPr>
        <w:t xml:space="preserve"> </w:t>
      </w:r>
      <w:r w:rsidRPr="0087543E">
        <w:rPr>
          <w:rFonts w:ascii="Arial" w:hAnsi="Arial" w:cs="Arial"/>
          <w:sz w:val="20"/>
          <w:szCs w:val="20"/>
        </w:rPr>
        <w:t>should be understood as requiring it to be</w:t>
      </w:r>
      <w:r w:rsidRPr="00954573">
        <w:rPr>
          <w:rFonts w:ascii="Arial" w:hAnsi="Arial" w:cs="Arial"/>
          <w:sz w:val="20"/>
          <w:szCs w:val="20"/>
        </w:rPr>
        <w:t xml:space="preserve"> demonstrated that ‘there is good reason to think that disclosure of the informer’s identity may be of substantial assistance to the defendant in answering the case against him.’  Brooking JA said</w:t>
      </w:r>
      <w:r w:rsidR="0087543E">
        <w:rPr>
          <w:rFonts w:ascii="Arial" w:hAnsi="Arial" w:cs="Arial"/>
          <w:sz w:val="20"/>
          <w:szCs w:val="20"/>
        </w:rPr>
        <w:t xml:space="preserve"> at p.90</w:t>
      </w:r>
      <w:r w:rsidRPr="00954573">
        <w:rPr>
          <w:rFonts w:ascii="Arial" w:hAnsi="Arial" w:cs="Arial"/>
          <w:sz w:val="20"/>
          <w:szCs w:val="20"/>
        </w:rPr>
        <w:t>:</w:t>
      </w:r>
    </w:p>
    <w:p w14:paraId="2320429C" w14:textId="77777777" w:rsidR="00954573" w:rsidRPr="005549E2" w:rsidRDefault="0087543E" w:rsidP="005549E2">
      <w:pPr>
        <w:spacing w:before="60"/>
        <w:ind w:left="907" w:right="907"/>
        <w:jc w:val="both"/>
        <w:rPr>
          <w:rFonts w:ascii="Arial" w:hAnsi="Arial" w:cs="Arial"/>
          <w:iCs/>
          <w:sz w:val="18"/>
          <w:szCs w:val="22"/>
        </w:rPr>
      </w:pPr>
      <w:r w:rsidRPr="005549E2">
        <w:rPr>
          <w:rFonts w:ascii="Arial" w:hAnsi="Arial" w:cs="Arial"/>
          <w:iCs/>
          <w:sz w:val="18"/>
          <w:szCs w:val="22"/>
        </w:rPr>
        <w:t>‘</w:t>
      </w:r>
      <w:r w:rsidRPr="005549E2">
        <w:rPr>
          <w:rFonts w:ascii="Arial" w:hAnsi="Arial" w:cs="Arial"/>
          <w:sz w:val="18"/>
          <w:szCs w:val="20"/>
        </w:rPr>
        <w:t>The fact that there is good reason to think that disclosure of the informer’s identity may be of some slight assistance to the defence is not sufficient to outweigh the public interest in non-disclosure.  The balancing process accepts that justice, even criminal justice, is not perfect or even as perfect as human rules can make it.  But once it is demonstrated that there is good reason to think that non-disclosure may result in substantial prejudice to the accused, the balance has been shown to incline in his favour and disclosure should be directed.’</w:t>
      </w:r>
    </w:p>
    <w:p w14:paraId="27A821C8" w14:textId="77777777" w:rsidR="0087543E" w:rsidRDefault="0087543E" w:rsidP="0087543E">
      <w:pPr>
        <w:spacing w:before="60"/>
        <w:ind w:left="454" w:right="454"/>
        <w:jc w:val="both"/>
        <w:rPr>
          <w:rFonts w:ascii="Arial" w:hAnsi="Arial" w:cs="Arial"/>
          <w:sz w:val="20"/>
          <w:szCs w:val="20"/>
        </w:rPr>
      </w:pPr>
      <w:r>
        <w:rPr>
          <w:rFonts w:ascii="Arial" w:hAnsi="Arial" w:cs="Arial"/>
          <w:sz w:val="20"/>
          <w:szCs w:val="20"/>
        </w:rPr>
        <w:lastRenderedPageBreak/>
        <w:t xml:space="preserve">[34] </w:t>
      </w:r>
      <w:r w:rsidRPr="0087543E">
        <w:rPr>
          <w:rFonts w:ascii="Arial" w:hAnsi="Arial" w:cs="Arial"/>
          <w:sz w:val="20"/>
          <w:szCs w:val="20"/>
        </w:rPr>
        <w:t>Having regard to this passage, the amici submitted that the weight that must be given to the public interest in the administration of criminal justice means that the public interest in favour of disclosure will necessarily prevail if there is good reason to think that disclosure may be of substantial assistance to the accused.</w:t>
      </w:r>
    </w:p>
    <w:p w14:paraId="7824B797" w14:textId="77777777" w:rsidR="0087543E" w:rsidRDefault="0087543E" w:rsidP="006A0F25">
      <w:pPr>
        <w:spacing w:before="60"/>
        <w:ind w:left="454" w:right="454"/>
        <w:jc w:val="both"/>
        <w:rPr>
          <w:rFonts w:ascii="Arial" w:hAnsi="Arial" w:cs="Arial"/>
          <w:sz w:val="20"/>
          <w:szCs w:val="20"/>
        </w:rPr>
      </w:pPr>
      <w:r>
        <w:rPr>
          <w:rFonts w:ascii="Arial" w:hAnsi="Arial" w:cs="Arial"/>
          <w:sz w:val="20"/>
          <w:szCs w:val="20"/>
        </w:rPr>
        <w:t xml:space="preserve">[35] </w:t>
      </w:r>
      <w:r w:rsidRPr="0087543E">
        <w:rPr>
          <w:rFonts w:ascii="Arial" w:hAnsi="Arial" w:cs="Arial"/>
          <w:sz w:val="20"/>
          <w:szCs w:val="20"/>
        </w:rPr>
        <w:t>Certainly, this is consistent with the following observation by Brooking JA</w:t>
      </w:r>
      <w:r>
        <w:rPr>
          <w:rFonts w:ascii="Arial" w:hAnsi="Arial" w:cs="Arial"/>
          <w:sz w:val="20"/>
          <w:szCs w:val="20"/>
        </w:rPr>
        <w:t xml:space="preserve"> at p.90</w:t>
      </w:r>
      <w:r w:rsidRPr="0087543E">
        <w:rPr>
          <w:rFonts w:ascii="Arial" w:hAnsi="Arial" w:cs="Arial"/>
          <w:sz w:val="20"/>
          <w:szCs w:val="20"/>
        </w:rPr>
        <w:t>:</w:t>
      </w:r>
    </w:p>
    <w:p w14:paraId="33A41611" w14:textId="77777777" w:rsidR="0087543E" w:rsidRPr="005549E2" w:rsidRDefault="0087543E" w:rsidP="0087543E">
      <w:pPr>
        <w:spacing w:before="60"/>
        <w:ind w:left="907" w:right="907"/>
        <w:jc w:val="both"/>
        <w:rPr>
          <w:rFonts w:ascii="Arial" w:hAnsi="Arial" w:cs="Arial"/>
          <w:iCs/>
          <w:sz w:val="18"/>
          <w:szCs w:val="22"/>
        </w:rPr>
      </w:pPr>
      <w:r w:rsidRPr="005549E2">
        <w:rPr>
          <w:rFonts w:ascii="Arial" w:hAnsi="Arial" w:cs="Arial"/>
          <w:iCs/>
          <w:sz w:val="18"/>
          <w:szCs w:val="22"/>
        </w:rPr>
        <w:t>‘</w:t>
      </w:r>
      <w:r w:rsidRPr="005549E2">
        <w:rPr>
          <w:rFonts w:ascii="Arial" w:hAnsi="Arial" w:cs="Arial"/>
          <w:sz w:val="18"/>
          <w:szCs w:val="20"/>
        </w:rPr>
        <w:t>It may be suggested that the notion of a balancing of relevant factors pointing in one direction against relevant factors pointing in the other is not consistent with the proposition that identity must be disclosed if there is good reason to think that disclosure may be of substantial assistance to the defendant, and that the question must always be the general one whether the public interest will be better served by disclosure or non-disclosure.  On this approach it might be said that the degree of possible prejudice from non-disclosure to which a given defendant may be required to submit may depend on the strength of the considerations favouring non-disclosure.  But it seems to me that the overriding need for a fair trial must mean that in no circumstances can the identity of a witness be withheld from a defendant if there is good reason to think that disclosure may be of substantial assistance to the defendant in combatting the case for the prosecution.’</w:t>
      </w:r>
    </w:p>
    <w:p w14:paraId="38EF478B" w14:textId="77777777" w:rsidR="00954573" w:rsidRDefault="0087543E" w:rsidP="002A3CDF">
      <w:pPr>
        <w:spacing w:before="60"/>
        <w:ind w:left="454" w:right="454"/>
        <w:jc w:val="both"/>
        <w:rPr>
          <w:rFonts w:ascii="Arial" w:hAnsi="Arial" w:cs="Arial"/>
          <w:iCs/>
          <w:sz w:val="20"/>
        </w:rPr>
      </w:pPr>
      <w:r>
        <w:rPr>
          <w:rFonts w:ascii="Arial" w:hAnsi="Arial" w:cs="Arial"/>
          <w:iCs/>
          <w:sz w:val="20"/>
        </w:rPr>
        <w:t>[36] His Honour continued:</w:t>
      </w:r>
    </w:p>
    <w:p w14:paraId="4E987045" w14:textId="77777777" w:rsidR="0087543E" w:rsidRPr="005549E2" w:rsidRDefault="0087543E" w:rsidP="002A3CDF">
      <w:pPr>
        <w:spacing w:before="60"/>
        <w:ind w:left="907" w:right="907"/>
        <w:jc w:val="both"/>
        <w:rPr>
          <w:rFonts w:ascii="Arial" w:hAnsi="Arial" w:cs="Arial"/>
          <w:iCs/>
          <w:sz w:val="18"/>
          <w:szCs w:val="22"/>
        </w:rPr>
      </w:pPr>
      <w:r w:rsidRPr="005549E2">
        <w:rPr>
          <w:rFonts w:ascii="Arial" w:hAnsi="Arial" w:cs="Arial"/>
          <w:iCs/>
          <w:sz w:val="18"/>
          <w:szCs w:val="22"/>
        </w:rPr>
        <w:t>‘</w:t>
      </w:r>
      <w:r w:rsidRPr="005549E2">
        <w:rPr>
          <w:rFonts w:ascii="Arial" w:hAnsi="Arial" w:cs="Arial"/>
          <w:sz w:val="18"/>
          <w:szCs w:val="20"/>
        </w:rPr>
        <w:t xml:space="preserve">To say that in such a case no balance is called for is to say </w:t>
      </w:r>
      <w:proofErr w:type="gramStart"/>
      <w:r w:rsidRPr="005549E2">
        <w:rPr>
          <w:rFonts w:ascii="Arial" w:hAnsi="Arial" w:cs="Arial"/>
          <w:sz w:val="18"/>
          <w:szCs w:val="20"/>
        </w:rPr>
        <w:t>that,</w:t>
      </w:r>
      <w:proofErr w:type="gramEnd"/>
      <w:r w:rsidRPr="005549E2">
        <w:rPr>
          <w:rFonts w:ascii="Arial" w:hAnsi="Arial" w:cs="Arial"/>
          <w:sz w:val="18"/>
          <w:szCs w:val="20"/>
        </w:rPr>
        <w:t xml:space="preserve"> whatever the strength of the case in favour of non-disclosure, it cannot prevail. But a balancing has still been carried out, and effect has been given to an overriding principle that the ‘right’ to a fair trial must not be substantially impaired.</w:t>
      </w:r>
    </w:p>
    <w:p w14:paraId="4917D990" w14:textId="77777777" w:rsidR="0087543E" w:rsidRDefault="0087543E" w:rsidP="002A3CDF">
      <w:pPr>
        <w:spacing w:before="60"/>
        <w:ind w:left="454" w:right="454"/>
        <w:jc w:val="both"/>
        <w:rPr>
          <w:rFonts w:ascii="Arial" w:hAnsi="Arial" w:cs="Arial"/>
          <w:iCs/>
          <w:sz w:val="20"/>
        </w:rPr>
      </w:pPr>
      <w:r>
        <w:rPr>
          <w:rFonts w:ascii="Arial" w:hAnsi="Arial" w:cs="Arial"/>
          <w:iCs/>
          <w:sz w:val="20"/>
        </w:rPr>
        <w:t xml:space="preserve">[37] </w:t>
      </w:r>
      <w:r w:rsidRPr="0087543E">
        <w:rPr>
          <w:rFonts w:ascii="Arial" w:hAnsi="Arial" w:cs="Arial"/>
          <w:sz w:val="20"/>
          <w:szCs w:val="20"/>
        </w:rPr>
        <w:t xml:space="preserve">Brooking JA’s remarks were taken up by this Court in </w:t>
      </w:r>
      <w:r w:rsidRPr="0087543E">
        <w:rPr>
          <w:rFonts w:ascii="Arial" w:eastAsia="Book Antiqua" w:hAnsi="Arial" w:cs="Arial"/>
          <w:i/>
          <w:sz w:val="20"/>
          <w:szCs w:val="20"/>
        </w:rPr>
        <w:t xml:space="preserve">AB v CD &amp; EF </w:t>
      </w:r>
      <w:r w:rsidRPr="0087543E">
        <w:rPr>
          <w:rFonts w:ascii="Arial" w:hAnsi="Arial" w:cs="Arial"/>
          <w:sz w:val="20"/>
          <w:szCs w:val="22"/>
        </w:rPr>
        <w:t>[2017] VSCA 338</w:t>
      </w:r>
      <w:r>
        <w:rPr>
          <w:rFonts w:ascii="Arial" w:hAnsi="Arial" w:cs="Arial"/>
          <w:sz w:val="20"/>
          <w:szCs w:val="22"/>
        </w:rPr>
        <w:t xml:space="preserve">, </w:t>
      </w:r>
      <w:r w:rsidRPr="0087543E">
        <w:rPr>
          <w:rFonts w:ascii="Arial" w:hAnsi="Arial" w:cs="Arial"/>
          <w:sz w:val="20"/>
          <w:szCs w:val="20"/>
        </w:rPr>
        <w:t xml:space="preserve">which </w:t>
      </w:r>
      <w:r>
        <w:rPr>
          <w:rFonts w:ascii="Arial" w:hAnsi="Arial" w:cs="Arial"/>
          <w:sz w:val="20"/>
          <w:szCs w:val="20"/>
        </w:rPr>
        <w:t xml:space="preserve">at [59] </w:t>
      </w:r>
      <w:r w:rsidRPr="0087543E">
        <w:rPr>
          <w:rFonts w:ascii="Arial" w:hAnsi="Arial" w:cs="Arial"/>
          <w:sz w:val="20"/>
          <w:szCs w:val="20"/>
        </w:rPr>
        <w:t>reformulated the test in the context of criminal appeals as follows:</w:t>
      </w:r>
    </w:p>
    <w:p w14:paraId="330242A1" w14:textId="77777777" w:rsidR="0087543E" w:rsidRPr="005549E2" w:rsidRDefault="0087543E" w:rsidP="002A3CDF">
      <w:pPr>
        <w:spacing w:before="60"/>
        <w:ind w:left="907" w:right="907"/>
        <w:jc w:val="both"/>
        <w:rPr>
          <w:rFonts w:ascii="Arial" w:hAnsi="Arial" w:cs="Arial"/>
          <w:iCs/>
          <w:sz w:val="16"/>
          <w:szCs w:val="20"/>
        </w:rPr>
      </w:pPr>
      <w:r w:rsidRPr="005549E2">
        <w:rPr>
          <w:rFonts w:ascii="Arial" w:hAnsi="Arial" w:cs="Arial"/>
          <w:sz w:val="18"/>
          <w:szCs w:val="20"/>
        </w:rPr>
        <w:t>‘</w:t>
      </w:r>
      <w:r w:rsidR="007E5209" w:rsidRPr="005549E2">
        <w:rPr>
          <w:rFonts w:ascii="Arial" w:hAnsi="Arial" w:cs="Arial"/>
          <w:sz w:val="18"/>
          <w:szCs w:val="20"/>
        </w:rPr>
        <w:t xml:space="preserve">[T]he test formulated by Brooking J in </w:t>
      </w:r>
      <w:r w:rsidR="007E5209" w:rsidRPr="005549E2">
        <w:rPr>
          <w:rFonts w:ascii="Arial" w:eastAsia="Book Antiqua" w:hAnsi="Arial" w:cs="Arial"/>
          <w:i/>
          <w:sz w:val="18"/>
          <w:szCs w:val="20"/>
        </w:rPr>
        <w:t>Jarvie</w:t>
      </w:r>
      <w:r w:rsidR="007E5209" w:rsidRPr="005549E2">
        <w:rPr>
          <w:rFonts w:ascii="Arial" w:hAnsi="Arial" w:cs="Arial"/>
          <w:sz w:val="18"/>
          <w:szCs w:val="20"/>
        </w:rPr>
        <w:t xml:space="preserve"> may be reformulated as requiring it to be demonstrated that there is good reason to think that disclosure of the informer’s identity may be of substantial assistance to the Convicted Individuals in seeking leave to appeal and appealing their convictions.</w:t>
      </w:r>
      <w:r w:rsidRPr="005549E2">
        <w:rPr>
          <w:rFonts w:ascii="Arial" w:hAnsi="Arial" w:cs="Arial"/>
          <w:sz w:val="18"/>
          <w:szCs w:val="20"/>
        </w:rPr>
        <w:t>’</w:t>
      </w:r>
    </w:p>
    <w:p w14:paraId="78C2E1BE" w14:textId="77777777" w:rsidR="0001482B" w:rsidRDefault="0001482B" w:rsidP="0001482B">
      <w:pPr>
        <w:spacing w:before="60"/>
        <w:ind w:left="454" w:right="454"/>
        <w:jc w:val="both"/>
        <w:rPr>
          <w:rFonts w:ascii="Arial" w:eastAsia="Book Antiqua" w:hAnsi="Arial" w:cs="Arial"/>
          <w:i/>
          <w:sz w:val="20"/>
          <w:szCs w:val="20"/>
        </w:rPr>
      </w:pPr>
      <w:r>
        <w:rPr>
          <w:rFonts w:ascii="Arial" w:hAnsi="Arial" w:cs="Arial"/>
          <w:sz w:val="20"/>
          <w:szCs w:val="20"/>
        </w:rPr>
        <w:t xml:space="preserve">[38] </w:t>
      </w:r>
      <w:r w:rsidRPr="0001482B">
        <w:rPr>
          <w:rFonts w:ascii="Arial" w:hAnsi="Arial" w:cs="Arial"/>
          <w:sz w:val="20"/>
          <w:szCs w:val="20"/>
        </w:rPr>
        <w:t xml:space="preserve">In broad compass, the Chief Commissioner submits that whether the PII documents are immune from disclosure is to be determined by balancing the relevant public interests, but where disclosure of the identity of an informer is in issue, the test for the limb that favours disclosure is as described in </w:t>
      </w:r>
      <w:r w:rsidRPr="0001482B">
        <w:rPr>
          <w:rFonts w:ascii="Arial" w:eastAsia="Book Antiqua" w:hAnsi="Arial" w:cs="Arial"/>
          <w:i/>
          <w:sz w:val="20"/>
          <w:szCs w:val="20"/>
        </w:rPr>
        <w:t>Jarvie</w:t>
      </w:r>
      <w:r w:rsidRPr="0001482B">
        <w:rPr>
          <w:rFonts w:ascii="Arial" w:hAnsi="Arial" w:cs="Arial"/>
          <w:sz w:val="20"/>
          <w:szCs w:val="20"/>
        </w:rPr>
        <w:t xml:space="preserve"> and reformulated by this Court in </w:t>
      </w:r>
      <w:r w:rsidRPr="0001482B">
        <w:rPr>
          <w:rFonts w:ascii="Arial" w:eastAsia="Book Antiqua" w:hAnsi="Arial" w:cs="Arial"/>
          <w:i/>
          <w:sz w:val="20"/>
          <w:szCs w:val="20"/>
        </w:rPr>
        <w:t>AB v CD &amp; EF.</w:t>
      </w:r>
    </w:p>
    <w:p w14:paraId="675B2C42" w14:textId="77777777" w:rsidR="0001482B" w:rsidRDefault="0001482B" w:rsidP="0001482B">
      <w:pPr>
        <w:spacing w:before="60"/>
        <w:ind w:left="454" w:right="454"/>
        <w:jc w:val="both"/>
        <w:rPr>
          <w:rFonts w:ascii="Arial" w:hAnsi="Arial" w:cs="Arial"/>
          <w:sz w:val="20"/>
          <w:szCs w:val="20"/>
        </w:rPr>
      </w:pPr>
      <w:r w:rsidRPr="0001482B">
        <w:rPr>
          <w:rFonts w:ascii="Arial" w:eastAsia="Book Antiqua" w:hAnsi="Arial" w:cs="Arial"/>
          <w:iCs/>
          <w:sz w:val="20"/>
          <w:szCs w:val="20"/>
        </w:rPr>
        <w:t xml:space="preserve">[39] </w:t>
      </w:r>
      <w:r w:rsidRPr="0087543E">
        <w:rPr>
          <w:rFonts w:ascii="Arial" w:hAnsi="Arial" w:cs="Arial"/>
          <w:sz w:val="20"/>
          <w:szCs w:val="20"/>
        </w:rPr>
        <w:t xml:space="preserve">The Chief Commissioner therefore submits that the reformulated test expressed in </w:t>
      </w:r>
      <w:r w:rsidRPr="0087543E">
        <w:rPr>
          <w:rFonts w:ascii="Arial" w:eastAsia="Book Antiqua" w:hAnsi="Arial" w:cs="Arial"/>
          <w:i/>
          <w:sz w:val="20"/>
          <w:szCs w:val="20"/>
        </w:rPr>
        <w:t>AB v CD &amp; EF</w:t>
      </w:r>
      <w:r w:rsidRPr="0087543E">
        <w:rPr>
          <w:rFonts w:ascii="Arial" w:hAnsi="Arial" w:cs="Arial"/>
          <w:sz w:val="20"/>
          <w:szCs w:val="20"/>
        </w:rPr>
        <w:t xml:space="preserve"> means that ‘substantial assistance’ must be shown (at a minimum) before an informer’s identity becomes susceptible to disclosure.  This may be contrasted with the interpretation advanced by the amici, which requires disclosure once the possibility of substantial assistance has been met.</w:t>
      </w:r>
    </w:p>
    <w:p w14:paraId="2FBDD218" w14:textId="77777777" w:rsidR="0001482B" w:rsidRPr="0001482B" w:rsidRDefault="0001482B" w:rsidP="002862F4">
      <w:pPr>
        <w:spacing w:before="60"/>
        <w:ind w:left="454" w:right="454"/>
        <w:jc w:val="both"/>
        <w:rPr>
          <w:rFonts w:ascii="Arial" w:hAnsi="Arial" w:cs="Arial"/>
          <w:iCs/>
          <w:sz w:val="20"/>
        </w:rPr>
      </w:pPr>
      <w:r>
        <w:rPr>
          <w:rFonts w:ascii="Arial" w:hAnsi="Arial" w:cs="Arial"/>
          <w:sz w:val="20"/>
          <w:szCs w:val="20"/>
        </w:rPr>
        <w:t xml:space="preserve">[40] </w:t>
      </w:r>
      <w:r w:rsidRPr="0087543E">
        <w:rPr>
          <w:rFonts w:ascii="Arial" w:hAnsi="Arial" w:cs="Arial"/>
          <w:sz w:val="20"/>
          <w:szCs w:val="20"/>
        </w:rPr>
        <w:t xml:space="preserve">We consider that any debate about whether the ‘substantial assistance’ test imposes a threshold to be met before disclosure can be contemplated or a trigger requiring disclosure to be made is a sterile one, having regard to the need to carry out a balancing exercise.  </w:t>
      </w:r>
      <w:r w:rsidRPr="0001482B">
        <w:rPr>
          <w:rFonts w:ascii="Arial" w:hAnsi="Arial" w:cs="Arial"/>
          <w:b/>
          <w:bCs/>
          <w:sz w:val="20"/>
          <w:szCs w:val="20"/>
        </w:rPr>
        <w:t>Where the non-disclosure of evidence may substantially impair the ability of a defendant to answer the prosecution case in a criminal trial, the balance is very likely to favour disclosure, even where the identity of a police informer is in issue.  Conversely, where there is no good reason to think that the disclosure of the identity of a police informer may be of substantial assistance to the defence, the balance is unlikely to favour disclosure.  It is accepted that there is a strong public interest in protecting the anonymity of police informers, given the importance of intelligence to policing and the ‘chilling effect’ that disclosing identities may have on such intelligence gathering.</w:t>
      </w:r>
      <w:r>
        <w:rPr>
          <w:rFonts w:ascii="Arial" w:hAnsi="Arial" w:cs="Arial"/>
          <w:sz w:val="20"/>
          <w:szCs w:val="20"/>
        </w:rPr>
        <w:t>” [emphasis added]</w:t>
      </w:r>
    </w:p>
    <w:p w14:paraId="2031AEB3" w14:textId="77777777" w:rsidR="007E5209" w:rsidRDefault="007E5209" w:rsidP="00093AD6">
      <w:pPr>
        <w:jc w:val="both"/>
        <w:rPr>
          <w:rFonts w:ascii="Arial" w:hAnsi="Arial" w:cs="Arial"/>
          <w:sz w:val="20"/>
        </w:rPr>
      </w:pPr>
    </w:p>
    <w:p w14:paraId="7249D3EF" w14:textId="77777777" w:rsidR="009E52F1" w:rsidRDefault="005549E2" w:rsidP="005549E2">
      <w:pPr>
        <w:jc w:val="both"/>
        <w:rPr>
          <w:rFonts w:ascii="Arial" w:hAnsi="Arial" w:cs="Arial"/>
          <w:sz w:val="20"/>
        </w:rPr>
      </w:pPr>
      <w:r>
        <w:rPr>
          <w:rFonts w:ascii="Arial" w:hAnsi="Arial" w:cs="Arial"/>
          <w:sz w:val="20"/>
        </w:rPr>
        <w:t xml:space="preserve">In </w:t>
      </w:r>
      <w:r w:rsidRPr="005549E2">
        <w:rPr>
          <w:rFonts w:ascii="Arial" w:hAnsi="Arial" w:cs="Arial"/>
          <w:i/>
          <w:iCs/>
          <w:sz w:val="20"/>
        </w:rPr>
        <w:t>Chief Commissioner of Police v Crupi</w:t>
      </w:r>
      <w:r>
        <w:rPr>
          <w:rFonts w:ascii="Arial" w:hAnsi="Arial" w:cs="Arial"/>
          <w:sz w:val="20"/>
        </w:rPr>
        <w:t xml:space="preserve"> [2024] HCA 34 </w:t>
      </w:r>
      <w:r w:rsidR="009E52F1">
        <w:rPr>
          <w:rFonts w:ascii="Arial" w:hAnsi="Arial" w:cs="Arial"/>
          <w:sz w:val="20"/>
        </w:rPr>
        <w:t>the High Court–</w:t>
      </w:r>
    </w:p>
    <w:p w14:paraId="26EFDFCA" w14:textId="7986BE9A" w:rsidR="009E52F1" w:rsidRDefault="009E52F1">
      <w:pPr>
        <w:pStyle w:val="ListParagraph"/>
        <w:numPr>
          <w:ilvl w:val="0"/>
          <w:numId w:val="135"/>
        </w:numPr>
        <w:ind w:left="357" w:hanging="357"/>
        <w:jc w:val="both"/>
        <w:rPr>
          <w:rFonts w:ascii="Arial" w:hAnsi="Arial" w:cs="Arial"/>
          <w:sz w:val="20"/>
        </w:rPr>
      </w:pPr>
      <w:r w:rsidRPr="009E52F1">
        <w:rPr>
          <w:rFonts w:ascii="Arial" w:hAnsi="Arial" w:cs="Arial"/>
          <w:sz w:val="20"/>
        </w:rPr>
        <w:t xml:space="preserve">set aside the primary judge’s order </w:t>
      </w:r>
      <w:r w:rsidR="002862F4">
        <w:rPr>
          <w:rFonts w:ascii="Arial" w:hAnsi="Arial" w:cs="Arial"/>
          <w:sz w:val="20"/>
        </w:rPr>
        <w:t xml:space="preserve">– </w:t>
      </w:r>
      <w:r w:rsidR="00424A7F">
        <w:rPr>
          <w:rFonts w:ascii="Arial" w:hAnsi="Arial" w:cs="Arial"/>
          <w:sz w:val="20"/>
        </w:rPr>
        <w:t xml:space="preserve">which was </w:t>
      </w:r>
      <w:r w:rsidR="002862F4">
        <w:rPr>
          <w:rFonts w:ascii="Arial" w:hAnsi="Arial" w:cs="Arial"/>
          <w:sz w:val="20"/>
        </w:rPr>
        <w:t>supported by inadequate reasons</w:t>
      </w:r>
      <w:r w:rsidR="00424A7F">
        <w:rPr>
          <w:rFonts w:ascii="Arial" w:hAnsi="Arial" w:cs="Arial"/>
          <w:sz w:val="20"/>
        </w:rPr>
        <w:t xml:space="preserve"> {see [15]-[19] &amp; [24]}</w:t>
      </w:r>
      <w:r w:rsidR="002862F4">
        <w:rPr>
          <w:rFonts w:ascii="Arial" w:hAnsi="Arial" w:cs="Arial"/>
          <w:sz w:val="20"/>
        </w:rPr>
        <w:t xml:space="preserve"> – </w:t>
      </w:r>
      <w:r w:rsidRPr="009E52F1">
        <w:rPr>
          <w:rFonts w:ascii="Arial" w:hAnsi="Arial" w:cs="Arial"/>
          <w:sz w:val="20"/>
        </w:rPr>
        <w:t>for</w:t>
      </w:r>
      <w:r w:rsidR="00424A7F">
        <w:rPr>
          <w:rFonts w:ascii="Arial" w:hAnsi="Arial" w:cs="Arial"/>
          <w:sz w:val="20"/>
        </w:rPr>
        <w:t xml:space="preserve"> </w:t>
      </w:r>
      <w:r w:rsidRPr="009E52F1">
        <w:rPr>
          <w:rFonts w:ascii="Arial" w:hAnsi="Arial" w:cs="Arial"/>
          <w:sz w:val="20"/>
        </w:rPr>
        <w:t xml:space="preserve">the </w:t>
      </w:r>
      <w:r w:rsidR="005549E2" w:rsidRPr="009E52F1">
        <w:rPr>
          <w:rFonts w:ascii="Arial" w:hAnsi="Arial" w:cs="Arial"/>
          <w:sz w:val="20"/>
        </w:rPr>
        <w:t>production of documents concerning an informer in circumstances where it was found that the information in at least some of the documents was likely to be of substantial assistance to the defence of a person charged with murder</w:t>
      </w:r>
      <w:r>
        <w:rPr>
          <w:rFonts w:ascii="Arial" w:hAnsi="Arial" w:cs="Arial"/>
          <w:sz w:val="20"/>
        </w:rPr>
        <w:t>; and</w:t>
      </w:r>
    </w:p>
    <w:p w14:paraId="3382DC2F" w14:textId="570596CC" w:rsidR="009E52F1" w:rsidRPr="009E52F1" w:rsidRDefault="009E52F1">
      <w:pPr>
        <w:pStyle w:val="ListParagraph"/>
        <w:numPr>
          <w:ilvl w:val="0"/>
          <w:numId w:val="135"/>
        </w:numPr>
        <w:ind w:left="357" w:hanging="357"/>
        <w:jc w:val="both"/>
        <w:rPr>
          <w:rFonts w:ascii="Arial" w:hAnsi="Arial" w:cs="Arial"/>
          <w:sz w:val="20"/>
        </w:rPr>
      </w:pPr>
      <w:r>
        <w:rPr>
          <w:rFonts w:ascii="Arial" w:hAnsi="Arial" w:cs="Arial"/>
          <w:sz w:val="20"/>
        </w:rPr>
        <w:t>remitted the matter to the Supreme Court of Victoria to be decided afresh.</w:t>
      </w:r>
    </w:p>
    <w:p w14:paraId="2F40E056" w14:textId="53AF46FE" w:rsidR="005549E2" w:rsidRDefault="002862F4" w:rsidP="00A70D0C">
      <w:pPr>
        <w:spacing w:before="60"/>
        <w:jc w:val="both"/>
        <w:rPr>
          <w:rFonts w:ascii="Arial" w:hAnsi="Arial" w:cs="Arial"/>
          <w:sz w:val="20"/>
        </w:rPr>
      </w:pPr>
      <w:r>
        <w:rPr>
          <w:rFonts w:ascii="Arial" w:hAnsi="Arial" w:cs="Arial"/>
          <w:sz w:val="20"/>
        </w:rPr>
        <w:t xml:space="preserve">At [20] </w:t>
      </w:r>
      <w:r w:rsidR="005549E2">
        <w:rPr>
          <w:rFonts w:ascii="Arial" w:hAnsi="Arial" w:cs="Arial"/>
          <w:sz w:val="20"/>
        </w:rPr>
        <w:t xml:space="preserve">Gageler CJ, </w:t>
      </w:r>
      <w:r w:rsidR="009E52F1">
        <w:rPr>
          <w:rFonts w:ascii="Arial" w:hAnsi="Arial" w:cs="Arial"/>
          <w:sz w:val="20"/>
        </w:rPr>
        <w:t xml:space="preserve">Edelman </w:t>
      </w:r>
      <w:r w:rsidR="005549E2">
        <w:rPr>
          <w:rFonts w:ascii="Arial" w:hAnsi="Arial" w:cs="Arial"/>
          <w:sz w:val="20"/>
        </w:rPr>
        <w:t>&amp; Beech-Jones JJ) said:</w:t>
      </w:r>
    </w:p>
    <w:p w14:paraId="489BAA6B" w14:textId="6D0133FF" w:rsidR="009E52F1" w:rsidRDefault="009E52F1" w:rsidP="009E52F1">
      <w:pPr>
        <w:spacing w:before="60"/>
        <w:ind w:left="454" w:right="454"/>
        <w:jc w:val="both"/>
        <w:rPr>
          <w:rFonts w:ascii="Arial" w:hAnsi="Arial" w:cs="Arial"/>
          <w:sz w:val="20"/>
          <w:szCs w:val="20"/>
        </w:rPr>
      </w:pPr>
      <w:r>
        <w:rPr>
          <w:rFonts w:ascii="Arial" w:hAnsi="Arial" w:cs="Arial"/>
          <w:sz w:val="20"/>
          <w:szCs w:val="20"/>
        </w:rPr>
        <w:t xml:space="preserve">“In </w:t>
      </w:r>
      <w:r w:rsidRPr="009E52F1">
        <w:rPr>
          <w:rFonts w:ascii="Arial" w:hAnsi="Arial" w:cs="Arial"/>
          <w:i/>
          <w:iCs/>
          <w:sz w:val="20"/>
        </w:rPr>
        <w:t>AB (a pseudonym) v CD (a pseudonym)</w:t>
      </w:r>
      <w:r>
        <w:rPr>
          <w:rFonts w:ascii="Arial" w:hAnsi="Arial" w:cs="Arial"/>
          <w:sz w:val="20"/>
        </w:rPr>
        <w:t xml:space="preserve"> (2018) 93 ALJR 59; 362 ALR </w:t>
      </w:r>
      <w:r w:rsidRPr="005549E2">
        <w:rPr>
          <w:rFonts w:ascii="Arial" w:hAnsi="Arial" w:cs="Arial"/>
          <w:sz w:val="20"/>
        </w:rPr>
        <w:t>1</w:t>
      </w:r>
      <w:r>
        <w:rPr>
          <w:rFonts w:ascii="Arial" w:hAnsi="Arial" w:cs="Arial"/>
          <w:sz w:val="20"/>
        </w:rPr>
        <w:t xml:space="preserve"> at [12],</w:t>
      </w:r>
      <w:r w:rsidRPr="005549E2">
        <w:rPr>
          <w:rFonts w:ascii="Arial" w:hAnsi="Arial" w:cs="Arial"/>
          <w:sz w:val="20"/>
        </w:rPr>
        <w:t xml:space="preserve"> this Court observed that </w:t>
      </w:r>
      <w:r>
        <w:rPr>
          <w:rFonts w:ascii="Arial" w:hAnsi="Arial" w:cs="Arial"/>
          <w:sz w:val="20"/>
        </w:rPr>
        <w:t>‘</w:t>
      </w:r>
      <w:r w:rsidRPr="005549E2">
        <w:rPr>
          <w:rFonts w:ascii="Arial" w:hAnsi="Arial" w:cs="Arial"/>
          <w:sz w:val="20"/>
        </w:rPr>
        <w:t>it is of the utmost importance that assurances of anonymity</w:t>
      </w:r>
      <w:r>
        <w:rPr>
          <w:rFonts w:ascii="Arial" w:hAnsi="Arial" w:cs="Arial"/>
          <w:sz w:val="20"/>
        </w:rPr>
        <w:t>’</w:t>
      </w:r>
      <w:r w:rsidRPr="005549E2">
        <w:rPr>
          <w:rFonts w:ascii="Arial" w:hAnsi="Arial" w:cs="Arial"/>
          <w:sz w:val="20"/>
        </w:rPr>
        <w:t xml:space="preserve"> given to informers are honoured and that, </w:t>
      </w:r>
      <w:r>
        <w:rPr>
          <w:rFonts w:ascii="Arial" w:hAnsi="Arial" w:cs="Arial"/>
          <w:sz w:val="20"/>
        </w:rPr>
        <w:t>‘</w:t>
      </w:r>
      <w:r w:rsidRPr="005549E2">
        <w:rPr>
          <w:rFonts w:ascii="Arial" w:hAnsi="Arial" w:cs="Arial"/>
          <w:sz w:val="20"/>
        </w:rPr>
        <w:t>[i]f they were not, informers could not be protected and persons would be unwilling to provide information to the police which may assist in the prosecution of offenders</w:t>
      </w:r>
      <w:r>
        <w:rPr>
          <w:rFonts w:ascii="Arial" w:hAnsi="Arial" w:cs="Arial"/>
          <w:sz w:val="20"/>
        </w:rPr>
        <w:t>’</w:t>
      </w:r>
      <w:r w:rsidRPr="005549E2">
        <w:rPr>
          <w:rFonts w:ascii="Arial" w:hAnsi="Arial" w:cs="Arial"/>
          <w:sz w:val="20"/>
        </w:rPr>
        <w:t>. The precise operation of s 130 need not be considered in this case as, on any view, the proper application of the provision involves a balancing exercise</w:t>
      </w:r>
      <w:r>
        <w:rPr>
          <w:rFonts w:ascii="Arial" w:hAnsi="Arial" w:cs="Arial"/>
          <w:sz w:val="20"/>
        </w:rPr>
        <w:t xml:space="preserve"> {</w:t>
      </w:r>
      <w:r w:rsidRPr="009E52F1">
        <w:rPr>
          <w:rFonts w:ascii="Arial" w:hAnsi="Arial" w:cs="Arial"/>
          <w:i/>
          <w:iCs/>
          <w:sz w:val="20"/>
        </w:rPr>
        <w:t xml:space="preserve">Madafferi v The </w:t>
      </w:r>
      <w:r w:rsidRPr="009E52F1">
        <w:rPr>
          <w:rFonts w:ascii="Arial" w:hAnsi="Arial" w:cs="Arial"/>
          <w:i/>
          <w:iCs/>
          <w:sz w:val="20"/>
        </w:rPr>
        <w:lastRenderedPageBreak/>
        <w:t>Queen</w:t>
      </w:r>
      <w:r w:rsidRPr="009E52F1">
        <w:rPr>
          <w:rFonts w:ascii="Arial" w:hAnsi="Arial" w:cs="Arial"/>
          <w:sz w:val="20"/>
        </w:rPr>
        <w:t xml:space="preserve"> (2021) 287 A Crim R 380 at 389 [41]</w:t>
      </w:r>
      <w:r>
        <w:rPr>
          <w:rFonts w:ascii="Arial" w:hAnsi="Arial" w:cs="Arial"/>
          <w:sz w:val="20"/>
        </w:rPr>
        <w:t>}</w:t>
      </w:r>
      <w:r w:rsidRPr="005549E2">
        <w:rPr>
          <w:rFonts w:ascii="Arial" w:hAnsi="Arial" w:cs="Arial"/>
          <w:sz w:val="20"/>
        </w:rPr>
        <w:t>, and an extremely weighty consideration in that exercise is whether the material sought to be disclosed has any tendency to reveal the identity of a police informer, especially in circumstances where there is a risk to the informer's safety from disclosure.</w:t>
      </w:r>
      <w:r>
        <w:rPr>
          <w:rFonts w:ascii="Arial" w:hAnsi="Arial" w:cs="Arial"/>
          <w:sz w:val="20"/>
        </w:rPr>
        <w:t>”</w:t>
      </w:r>
    </w:p>
    <w:p w14:paraId="73F324C9" w14:textId="77777777" w:rsidR="005549E2" w:rsidRDefault="005549E2" w:rsidP="00093AD6">
      <w:pPr>
        <w:jc w:val="both"/>
        <w:rPr>
          <w:rFonts w:ascii="Arial" w:hAnsi="Arial" w:cs="Arial"/>
          <w:sz w:val="20"/>
        </w:rPr>
      </w:pPr>
    </w:p>
    <w:p w14:paraId="1DE5A662" w14:textId="71D95067" w:rsidR="00A37C00" w:rsidRPr="002B76AE" w:rsidRDefault="002B76AE" w:rsidP="008F4302">
      <w:pPr>
        <w:jc w:val="both"/>
        <w:rPr>
          <w:rFonts w:ascii="Arial" w:hAnsi="Arial" w:cs="Arial"/>
          <w:sz w:val="20"/>
        </w:rPr>
      </w:pPr>
      <w:r>
        <w:rPr>
          <w:rFonts w:ascii="Arial" w:hAnsi="Arial" w:cs="Arial"/>
          <w:sz w:val="20"/>
        </w:rPr>
        <w:t xml:space="preserve">See </w:t>
      </w:r>
      <w:r w:rsidR="0001482B" w:rsidRPr="0001482B">
        <w:rPr>
          <w:rFonts w:ascii="Arial" w:hAnsi="Arial" w:cs="Arial"/>
          <w:i/>
          <w:iCs/>
          <w:sz w:val="20"/>
        </w:rPr>
        <w:t>Zirilli v The Queen</w:t>
      </w:r>
      <w:r w:rsidR="0001482B">
        <w:rPr>
          <w:rFonts w:ascii="Arial" w:hAnsi="Arial" w:cs="Arial"/>
          <w:sz w:val="20"/>
        </w:rPr>
        <w:t xml:space="preserve"> [2021] VSCA 2 </w:t>
      </w:r>
      <w:r w:rsidR="00BB0A6A">
        <w:rPr>
          <w:rFonts w:ascii="Arial" w:hAnsi="Arial" w:cs="Arial"/>
          <w:sz w:val="20"/>
        </w:rPr>
        <w:t xml:space="preserve">where a similar Court of Appeal (McLeish, Emerton &amp; Weinberg JJA) rejected the Chief Commissioner’s PII claim in a case which was very similar to </w:t>
      </w:r>
      <w:r w:rsidR="00BB0A6A" w:rsidRPr="00BB0A6A">
        <w:rPr>
          <w:rFonts w:ascii="Arial" w:hAnsi="Arial" w:cs="Arial"/>
          <w:i/>
          <w:iCs/>
          <w:sz w:val="20"/>
        </w:rPr>
        <w:t>Madafferi</w:t>
      </w:r>
      <w:r w:rsidR="00BB0A6A">
        <w:rPr>
          <w:rFonts w:ascii="Arial" w:hAnsi="Arial" w:cs="Arial"/>
          <w:sz w:val="20"/>
        </w:rPr>
        <w:t xml:space="preserve">.  See </w:t>
      </w:r>
      <w:r w:rsidR="007E6250">
        <w:rPr>
          <w:rFonts w:ascii="Arial" w:hAnsi="Arial" w:cs="Arial"/>
          <w:sz w:val="20"/>
        </w:rPr>
        <w:t xml:space="preserve">also </w:t>
      </w:r>
      <w:r w:rsidR="007E6250" w:rsidRPr="007E6250">
        <w:rPr>
          <w:rFonts w:ascii="Arial" w:hAnsi="Arial" w:cs="Arial"/>
          <w:i/>
          <w:sz w:val="20"/>
        </w:rPr>
        <w:t>R v Benbrika (Ruling No 3)</w:t>
      </w:r>
      <w:r w:rsidR="007E6250">
        <w:rPr>
          <w:rFonts w:ascii="Arial" w:hAnsi="Arial" w:cs="Arial"/>
          <w:sz w:val="20"/>
        </w:rPr>
        <w:t xml:space="preserve"> [2007] VSC 283 at [11] &amp; [15]-[22] per Bongiorno J</w:t>
      </w:r>
      <w:r w:rsidR="008F4302">
        <w:rPr>
          <w:rFonts w:ascii="Arial" w:hAnsi="Arial" w:cs="Arial"/>
          <w:sz w:val="20"/>
        </w:rPr>
        <w:t xml:space="preserve">; </w:t>
      </w:r>
      <w:r w:rsidR="008F4302" w:rsidRPr="006055C4">
        <w:rPr>
          <w:rFonts w:ascii="Arial" w:hAnsi="Arial" w:cs="Arial"/>
          <w:i/>
          <w:sz w:val="20"/>
        </w:rPr>
        <w:t xml:space="preserve">State of Victoria v Brazel </w:t>
      </w:r>
      <w:r w:rsidR="008F4302">
        <w:rPr>
          <w:rFonts w:ascii="Arial" w:hAnsi="Arial" w:cs="Arial"/>
          <w:sz w:val="20"/>
        </w:rPr>
        <w:t>[2008] VSC 37 per Ma</w:t>
      </w:r>
      <w:r w:rsidR="00625D04">
        <w:rPr>
          <w:rFonts w:ascii="Arial" w:hAnsi="Arial" w:cs="Arial"/>
          <w:sz w:val="20"/>
        </w:rPr>
        <w:t xml:space="preserve">xwell P, Buchanan &amp; Vincent JJA; </w:t>
      </w:r>
      <w:r w:rsidR="00625D04" w:rsidRPr="00625D04">
        <w:rPr>
          <w:rFonts w:ascii="Arial" w:hAnsi="Arial" w:cs="Arial"/>
          <w:i/>
          <w:sz w:val="20"/>
        </w:rPr>
        <w:t>R v Rich (Ruling No.5)</w:t>
      </w:r>
      <w:r w:rsidR="00533E88">
        <w:rPr>
          <w:rFonts w:ascii="Arial" w:hAnsi="Arial" w:cs="Arial"/>
          <w:sz w:val="20"/>
        </w:rPr>
        <w:t xml:space="preserve"> [2008] VSC 435 per Lasry J</w:t>
      </w:r>
      <w:r w:rsidR="00533E88" w:rsidRPr="009F25D4">
        <w:rPr>
          <w:rFonts w:ascii="Arial" w:hAnsi="Arial" w:cs="Arial"/>
          <w:color w:val="000000"/>
          <w:sz w:val="20"/>
        </w:rPr>
        <w:t xml:space="preserve">; </w:t>
      </w:r>
      <w:r w:rsidR="00533E88" w:rsidRPr="009F25D4">
        <w:rPr>
          <w:rFonts w:ascii="Arial" w:hAnsi="Arial" w:cs="Arial"/>
          <w:i/>
          <w:color w:val="000000"/>
          <w:sz w:val="20"/>
        </w:rPr>
        <w:t>Deputy Commissioner of Taxation v Law Institute of Victoria Ltd</w:t>
      </w:r>
      <w:r w:rsidR="00533E88" w:rsidRPr="009F25D4">
        <w:rPr>
          <w:rFonts w:ascii="Arial" w:hAnsi="Arial" w:cs="Arial"/>
          <w:color w:val="000000"/>
          <w:sz w:val="20"/>
        </w:rPr>
        <w:t xml:space="preserve"> [2010] VSCA 73</w:t>
      </w:r>
      <w:r w:rsidR="00CA7C3F">
        <w:rPr>
          <w:rFonts w:ascii="Arial" w:hAnsi="Arial" w:cs="Arial"/>
          <w:color w:val="000000"/>
          <w:sz w:val="20"/>
        </w:rPr>
        <w:t xml:space="preserve">; </w:t>
      </w:r>
      <w:bookmarkStart w:id="813" w:name="_Hlk99437757"/>
      <w:r w:rsidR="00CA7C3F" w:rsidRPr="00CA7C3F">
        <w:rPr>
          <w:rFonts w:ascii="Arial" w:hAnsi="Arial" w:cs="Arial"/>
          <w:i/>
          <w:iCs/>
          <w:color w:val="000000"/>
          <w:sz w:val="20"/>
        </w:rPr>
        <w:t>Arico v The Queen</w:t>
      </w:r>
      <w:r w:rsidR="00CA7C3F">
        <w:rPr>
          <w:rFonts w:ascii="Arial" w:hAnsi="Arial" w:cs="Arial"/>
          <w:color w:val="000000"/>
          <w:sz w:val="20"/>
        </w:rPr>
        <w:t xml:space="preserve"> [2022] VSCA 35 </w:t>
      </w:r>
      <w:bookmarkEnd w:id="813"/>
      <w:r w:rsidR="00CA7C3F">
        <w:rPr>
          <w:rFonts w:ascii="Arial" w:hAnsi="Arial" w:cs="Arial"/>
          <w:color w:val="000000"/>
          <w:sz w:val="20"/>
        </w:rPr>
        <w:t>per Beach JA</w:t>
      </w:r>
      <w:r w:rsidR="00F44997">
        <w:rPr>
          <w:rFonts w:ascii="Arial" w:hAnsi="Arial" w:cs="Arial"/>
          <w:color w:val="000000"/>
          <w:sz w:val="20"/>
        </w:rPr>
        <w:t xml:space="preserve">; </w:t>
      </w:r>
      <w:r w:rsidR="00F44997" w:rsidRPr="00F44997">
        <w:rPr>
          <w:rFonts w:ascii="Arial" w:hAnsi="Arial" w:cs="Arial"/>
          <w:i/>
          <w:iCs/>
          <w:color w:val="000000"/>
          <w:sz w:val="20"/>
        </w:rPr>
        <w:t>Zirilli v The King</w:t>
      </w:r>
      <w:r w:rsidR="00F44997">
        <w:rPr>
          <w:rFonts w:ascii="Arial" w:hAnsi="Arial" w:cs="Arial"/>
          <w:color w:val="000000"/>
          <w:sz w:val="20"/>
        </w:rPr>
        <w:t xml:space="preserve"> [2023] VSCA 64</w:t>
      </w:r>
      <w:r w:rsidR="006B2259">
        <w:rPr>
          <w:rFonts w:ascii="Arial" w:hAnsi="Arial" w:cs="Arial"/>
          <w:color w:val="000000"/>
          <w:sz w:val="20"/>
        </w:rPr>
        <w:t xml:space="preserve">; </w:t>
      </w:r>
      <w:r w:rsidR="006B2259" w:rsidRPr="006B2259">
        <w:rPr>
          <w:rFonts w:ascii="Arial" w:hAnsi="Arial" w:cs="Arial"/>
          <w:i/>
          <w:iCs/>
          <w:sz w:val="20"/>
          <w:szCs w:val="20"/>
        </w:rPr>
        <w:t>Farac</w:t>
      </w:r>
      <w:r w:rsidR="006B2259">
        <w:rPr>
          <w:rFonts w:ascii="Arial" w:hAnsi="Arial" w:cs="Arial"/>
          <w:i/>
          <w:iCs/>
          <w:sz w:val="20"/>
          <w:szCs w:val="20"/>
        </w:rPr>
        <w:t>hi</w:t>
      </w:r>
      <w:r w:rsidR="006B2259" w:rsidRPr="006B2259">
        <w:rPr>
          <w:rFonts w:ascii="Arial" w:hAnsi="Arial" w:cs="Arial"/>
          <w:i/>
          <w:iCs/>
          <w:sz w:val="20"/>
          <w:szCs w:val="20"/>
        </w:rPr>
        <w:t xml:space="preserve"> v The King</w:t>
      </w:r>
      <w:r w:rsidR="006B2259" w:rsidRPr="006B2259">
        <w:rPr>
          <w:rFonts w:ascii="Arial" w:hAnsi="Arial" w:cs="Arial"/>
          <w:sz w:val="20"/>
          <w:szCs w:val="20"/>
        </w:rPr>
        <w:t xml:space="preserve"> [2023] VSCA 253</w:t>
      </w:r>
      <w:r w:rsidR="004F5588">
        <w:rPr>
          <w:rFonts w:ascii="Arial" w:hAnsi="Arial" w:cs="Arial"/>
          <w:sz w:val="20"/>
          <w:szCs w:val="20"/>
        </w:rPr>
        <w:t xml:space="preserve">; </w:t>
      </w:r>
      <w:r w:rsidR="004F5588" w:rsidRPr="004F5588">
        <w:rPr>
          <w:rFonts w:ascii="Arial" w:hAnsi="Arial" w:cs="Arial"/>
          <w:i/>
          <w:iCs/>
          <w:sz w:val="20"/>
          <w:szCs w:val="20"/>
        </w:rPr>
        <w:t>Arico v The King</w:t>
      </w:r>
      <w:r w:rsidR="004F5588">
        <w:rPr>
          <w:rFonts w:ascii="Arial" w:hAnsi="Arial" w:cs="Arial"/>
          <w:sz w:val="20"/>
          <w:szCs w:val="20"/>
        </w:rPr>
        <w:t xml:space="preserve"> [2023] VSCA 268</w:t>
      </w:r>
      <w:r w:rsidR="00B43F52">
        <w:rPr>
          <w:rFonts w:ascii="Arial" w:hAnsi="Arial" w:cs="Arial"/>
          <w:sz w:val="20"/>
          <w:szCs w:val="20"/>
        </w:rPr>
        <w:t xml:space="preserve">; </w:t>
      </w:r>
      <w:r w:rsidR="00B43F52" w:rsidRPr="002275C3">
        <w:rPr>
          <w:rFonts w:ascii="Arial" w:hAnsi="Arial" w:cs="Arial"/>
          <w:i/>
          <w:iCs/>
          <w:sz w:val="20"/>
          <w:szCs w:val="20"/>
        </w:rPr>
        <w:t>Re Mokbel (Ruling No 1)</w:t>
      </w:r>
      <w:r w:rsidR="00B43F52">
        <w:rPr>
          <w:rFonts w:ascii="Arial" w:hAnsi="Arial" w:cs="Arial"/>
          <w:sz w:val="20"/>
          <w:szCs w:val="20"/>
        </w:rPr>
        <w:t xml:space="preserve"> [2024] VSC 26 at [22]-[35]</w:t>
      </w:r>
      <w:r>
        <w:rPr>
          <w:rFonts w:ascii="Arial" w:hAnsi="Arial" w:cs="Arial"/>
          <w:sz w:val="20"/>
          <w:szCs w:val="20"/>
        </w:rPr>
        <w:t xml:space="preserve">; </w:t>
      </w:r>
      <w:r w:rsidRPr="002B76AE">
        <w:rPr>
          <w:rFonts w:ascii="Arial" w:hAnsi="Arial" w:cs="Arial"/>
          <w:i/>
          <w:iCs/>
          <w:sz w:val="20"/>
        </w:rPr>
        <w:t>Madafferi v The King [No 1]</w:t>
      </w:r>
      <w:r>
        <w:rPr>
          <w:rFonts w:ascii="Arial" w:hAnsi="Arial" w:cs="Arial"/>
          <w:sz w:val="20"/>
        </w:rPr>
        <w:t xml:space="preserve"> [2024] VSCA 12</w:t>
      </w:r>
      <w:r w:rsidR="00B43F52">
        <w:rPr>
          <w:rFonts w:ascii="Arial" w:hAnsi="Arial" w:cs="Arial"/>
          <w:sz w:val="20"/>
          <w:szCs w:val="20"/>
        </w:rPr>
        <w:t>.</w:t>
      </w:r>
    </w:p>
    <w:p w14:paraId="60EA21AF" w14:textId="77777777" w:rsidR="006B2259" w:rsidRDefault="006B2259" w:rsidP="008F4302">
      <w:pPr>
        <w:jc w:val="both"/>
        <w:rPr>
          <w:rFonts w:ascii="Arial" w:hAnsi="Arial" w:cs="Arial"/>
          <w:sz w:val="20"/>
        </w:rPr>
      </w:pPr>
    </w:p>
    <w:p w14:paraId="0E2CACE2" w14:textId="55C4F2C1" w:rsidR="00951DD0" w:rsidRDefault="00951DD0" w:rsidP="002A3CDF">
      <w:pPr>
        <w:jc w:val="both"/>
        <w:rPr>
          <w:rFonts w:ascii="Arial" w:hAnsi="Arial" w:cs="Arial"/>
          <w:sz w:val="20"/>
        </w:rPr>
      </w:pPr>
      <w:r>
        <w:rPr>
          <w:rFonts w:ascii="Arial" w:hAnsi="Arial" w:cs="Arial"/>
          <w:sz w:val="20"/>
        </w:rPr>
        <w:t xml:space="preserve">In </w:t>
      </w:r>
      <w:r w:rsidRPr="00951DD0">
        <w:rPr>
          <w:rFonts w:ascii="Arial" w:hAnsi="Arial" w:cs="Arial"/>
          <w:i/>
          <w:sz w:val="20"/>
        </w:rPr>
        <w:t>Visy Board Pty Limited v Stephen D’Souza &amp; Ors</w:t>
      </w:r>
      <w:r>
        <w:rPr>
          <w:rFonts w:ascii="Arial" w:hAnsi="Arial" w:cs="Arial"/>
          <w:sz w:val="20"/>
        </w:rPr>
        <w:t xml:space="preserve"> [2008] VSC 572 at [</w:t>
      </w:r>
      <w:r w:rsidR="008E7954">
        <w:rPr>
          <w:rFonts w:ascii="Arial" w:hAnsi="Arial" w:cs="Arial"/>
          <w:sz w:val="20"/>
        </w:rPr>
        <w:t>15</w:t>
      </w:r>
      <w:r>
        <w:rPr>
          <w:rFonts w:ascii="Arial" w:hAnsi="Arial" w:cs="Arial"/>
          <w:sz w:val="20"/>
        </w:rPr>
        <w:t>]-[</w:t>
      </w:r>
      <w:r w:rsidR="008E7954">
        <w:rPr>
          <w:rFonts w:ascii="Arial" w:hAnsi="Arial" w:cs="Arial"/>
          <w:sz w:val="20"/>
        </w:rPr>
        <w:t>24</w:t>
      </w:r>
      <w:r>
        <w:rPr>
          <w:rFonts w:ascii="Arial" w:hAnsi="Arial" w:cs="Arial"/>
          <w:sz w:val="20"/>
        </w:rPr>
        <w:t>] Forrest J discussed the nature of the obligation of a party who obtains material pursuant to the compulsory processes of the Court, re</w:t>
      </w:r>
      <w:r w:rsidR="00A40115">
        <w:rPr>
          <w:rFonts w:ascii="Arial" w:hAnsi="Arial" w:cs="Arial"/>
          <w:sz w:val="20"/>
        </w:rPr>
        <w:t>lying</w:t>
      </w:r>
      <w:r>
        <w:rPr>
          <w:rFonts w:ascii="Arial" w:hAnsi="Arial" w:cs="Arial"/>
          <w:sz w:val="20"/>
        </w:rPr>
        <w:t xml:space="preserve"> in particular </w:t>
      </w:r>
      <w:r w:rsidR="00A40115">
        <w:rPr>
          <w:rFonts w:ascii="Arial" w:hAnsi="Arial" w:cs="Arial"/>
          <w:sz w:val="20"/>
        </w:rPr>
        <w:t>on</w:t>
      </w:r>
      <w:r>
        <w:rPr>
          <w:rFonts w:ascii="Arial" w:hAnsi="Arial" w:cs="Arial"/>
          <w:sz w:val="20"/>
        </w:rPr>
        <w:t xml:space="preserve"> </w:t>
      </w:r>
      <w:r w:rsidRPr="00951DD0">
        <w:rPr>
          <w:rFonts w:ascii="Arial" w:hAnsi="Arial" w:cs="Arial"/>
          <w:i/>
          <w:sz w:val="20"/>
        </w:rPr>
        <w:t>Hearne v Street</w:t>
      </w:r>
      <w:r>
        <w:rPr>
          <w:rFonts w:ascii="Arial" w:hAnsi="Arial" w:cs="Arial"/>
          <w:sz w:val="20"/>
        </w:rPr>
        <w:t xml:space="preserve"> [2008] HCA 36</w:t>
      </w:r>
      <w:r w:rsidR="000D124E">
        <w:rPr>
          <w:rFonts w:ascii="Arial" w:hAnsi="Arial" w:cs="Arial"/>
          <w:sz w:val="20"/>
        </w:rPr>
        <w:t xml:space="preserve">; </w:t>
      </w:r>
      <w:r w:rsidR="000D124E" w:rsidRPr="000D124E">
        <w:rPr>
          <w:rFonts w:ascii="Arial" w:hAnsi="Arial" w:cs="Arial"/>
          <w:color w:val="000000"/>
          <w:sz w:val="20"/>
          <w:szCs w:val="20"/>
          <w:shd w:val="clear" w:color="auto" w:fill="FFFFFF"/>
        </w:rPr>
        <w:t>(2008) 235 CLR 125</w:t>
      </w:r>
      <w:r w:rsidR="000D124E">
        <w:rPr>
          <w:rFonts w:ascii="Georgia" w:hAnsi="Georgia"/>
          <w:color w:val="000000"/>
          <w:sz w:val="20"/>
          <w:szCs w:val="20"/>
          <w:shd w:val="clear" w:color="auto" w:fill="FFFFFF"/>
        </w:rPr>
        <w:t xml:space="preserve"> </w:t>
      </w:r>
      <w:r>
        <w:rPr>
          <w:rFonts w:ascii="Arial" w:hAnsi="Arial" w:cs="Arial"/>
          <w:sz w:val="20"/>
        </w:rPr>
        <w:t xml:space="preserve">at [96] where Hayne, Heydon &amp; Crennan JJ </w:t>
      </w:r>
      <w:r w:rsidR="00A40115">
        <w:rPr>
          <w:rFonts w:ascii="Arial" w:hAnsi="Arial" w:cs="Arial"/>
          <w:sz w:val="20"/>
        </w:rPr>
        <w:t xml:space="preserve">had </w:t>
      </w:r>
      <w:r>
        <w:rPr>
          <w:rFonts w:ascii="Arial" w:hAnsi="Arial" w:cs="Arial"/>
          <w:sz w:val="20"/>
        </w:rPr>
        <w:t>held:</w:t>
      </w:r>
    </w:p>
    <w:p w14:paraId="62F1252E" w14:textId="77777777" w:rsidR="00951DD0" w:rsidRPr="00951DD0" w:rsidRDefault="00951DD0" w:rsidP="00951DD0">
      <w:pPr>
        <w:spacing w:before="60"/>
        <w:ind w:left="454" w:right="454"/>
        <w:jc w:val="both"/>
        <w:rPr>
          <w:rFonts w:ascii="Arial" w:hAnsi="Arial" w:cs="Arial"/>
          <w:iCs/>
          <w:sz w:val="20"/>
          <w:szCs w:val="20"/>
        </w:rPr>
      </w:pPr>
      <w:r w:rsidRPr="00951DD0">
        <w:rPr>
          <w:rFonts w:ascii="Arial" w:hAnsi="Arial" w:cs="Arial"/>
          <w:iCs/>
          <w:sz w:val="20"/>
          <w:szCs w:val="20"/>
        </w:rPr>
        <w:t xml:space="preserve">“Where </w:t>
      </w:r>
      <w:r w:rsidRPr="00951DD0">
        <w:rPr>
          <w:rFonts w:ascii="Arial" w:hAnsi="Arial" w:cs="Arial"/>
          <w:sz w:val="20"/>
          <w:szCs w:val="20"/>
        </w:rPr>
        <w:t xml:space="preserve">one party to litigation is compelled, either by reason of a rule of court, or by reason of a specific order of the court, or otherwise, to disclose documents or information, </w:t>
      </w:r>
      <w:r w:rsidRPr="00951DD0">
        <w:rPr>
          <w:rFonts w:ascii="Arial" w:hAnsi="Arial" w:cs="Arial"/>
          <w:i/>
          <w:sz w:val="20"/>
          <w:szCs w:val="20"/>
        </w:rPr>
        <w:t>the party obtaining the disclosure cannot, without the leave of the court, use it for any purpose other than that for which it was given unless it is received into evidence</w:t>
      </w:r>
      <w:r w:rsidRPr="00951DD0">
        <w:rPr>
          <w:rFonts w:ascii="Arial" w:hAnsi="Arial" w:cs="Arial"/>
          <w:sz w:val="20"/>
          <w:szCs w:val="20"/>
        </w:rPr>
        <w:t>.”</w:t>
      </w:r>
    </w:p>
    <w:p w14:paraId="582C2FB3" w14:textId="7B9646E7" w:rsidR="007B45EC" w:rsidRDefault="008E7954" w:rsidP="007B45EC">
      <w:pPr>
        <w:spacing w:before="120"/>
        <w:jc w:val="both"/>
        <w:rPr>
          <w:rFonts w:ascii="Arial" w:hAnsi="Arial" w:cs="Arial"/>
          <w:sz w:val="20"/>
        </w:rPr>
      </w:pPr>
      <w:r w:rsidRPr="008E7954">
        <w:rPr>
          <w:rFonts w:ascii="Arial" w:hAnsi="Arial" w:cs="Arial"/>
          <w:sz w:val="20"/>
        </w:rPr>
        <w:t xml:space="preserve">This statement of principle is derived from the decision of the House of Lords in </w:t>
      </w:r>
      <w:r w:rsidRPr="008E7954">
        <w:rPr>
          <w:rFonts w:ascii="Arial" w:hAnsi="Arial" w:cs="Arial"/>
          <w:i/>
          <w:sz w:val="20"/>
        </w:rPr>
        <w:t xml:space="preserve">Harman v </w:t>
      </w:r>
      <w:smartTag w:uri="urn:schemas-microsoft-com:office:smarttags" w:element="place">
        <w:smartTag w:uri="urn:schemas-microsoft-com:office:smarttags" w:element="PlaceType">
          <w:r w:rsidRPr="008E7954">
            <w:rPr>
              <w:rFonts w:ascii="Arial" w:hAnsi="Arial" w:cs="Arial"/>
              <w:i/>
              <w:sz w:val="20"/>
            </w:rPr>
            <w:t>Home</w:t>
          </w:r>
        </w:smartTag>
        <w:r w:rsidRPr="008E7954">
          <w:rPr>
            <w:rFonts w:ascii="Arial" w:hAnsi="Arial" w:cs="Arial"/>
            <w:i/>
            <w:sz w:val="20"/>
          </w:rPr>
          <w:t xml:space="preserve"> </w:t>
        </w:r>
        <w:smartTag w:uri="urn:schemas-microsoft-com:office:smarttags" w:element="PlaceType">
          <w:r w:rsidRPr="008E7954">
            <w:rPr>
              <w:rFonts w:ascii="Arial" w:hAnsi="Arial" w:cs="Arial"/>
              <w:i/>
              <w:sz w:val="20"/>
            </w:rPr>
            <w:t>Department</w:t>
          </w:r>
        </w:smartTag>
        <w:r w:rsidRPr="008E7954">
          <w:rPr>
            <w:rFonts w:ascii="Arial" w:hAnsi="Arial" w:cs="Arial"/>
            <w:i/>
            <w:sz w:val="20"/>
          </w:rPr>
          <w:t xml:space="preserve"> </w:t>
        </w:r>
        <w:smartTag w:uri="urn:schemas-microsoft-com:office:smarttags" w:element="PlaceType">
          <w:r w:rsidRPr="008E7954">
            <w:rPr>
              <w:rFonts w:ascii="Arial" w:hAnsi="Arial" w:cs="Arial"/>
              <w:i/>
              <w:sz w:val="20"/>
            </w:rPr>
            <w:t>State</w:t>
          </w:r>
        </w:smartTag>
      </w:smartTag>
      <w:r w:rsidRPr="008E7954">
        <w:rPr>
          <w:rFonts w:ascii="Arial" w:hAnsi="Arial" w:cs="Arial"/>
          <w:i/>
          <w:sz w:val="20"/>
        </w:rPr>
        <w:t xml:space="preserve"> Secretary</w:t>
      </w:r>
      <w:r w:rsidRPr="008E7954">
        <w:rPr>
          <w:rFonts w:ascii="Arial" w:hAnsi="Arial" w:cs="Arial"/>
          <w:sz w:val="20"/>
        </w:rPr>
        <w:t xml:space="preserve"> </w:t>
      </w:r>
      <w:r>
        <w:rPr>
          <w:rFonts w:ascii="Arial" w:hAnsi="Arial" w:cs="Arial"/>
          <w:sz w:val="20"/>
        </w:rPr>
        <w:t xml:space="preserve">[1983] 1 AC 280 </w:t>
      </w:r>
      <w:r w:rsidRPr="008E7954">
        <w:rPr>
          <w:rFonts w:ascii="Arial" w:hAnsi="Arial" w:cs="Arial"/>
          <w:sz w:val="20"/>
        </w:rPr>
        <w:t xml:space="preserve">and is often referred to as the </w:t>
      </w:r>
      <w:r>
        <w:rPr>
          <w:rFonts w:ascii="Arial" w:hAnsi="Arial" w:cs="Arial"/>
          <w:sz w:val="20"/>
        </w:rPr>
        <w:t>“</w:t>
      </w:r>
      <w:r w:rsidRPr="008E7954">
        <w:rPr>
          <w:rFonts w:ascii="Arial" w:hAnsi="Arial" w:cs="Arial"/>
          <w:sz w:val="20"/>
        </w:rPr>
        <w:t>implied undertaking</w:t>
      </w:r>
      <w:r>
        <w:rPr>
          <w:rFonts w:ascii="Arial" w:hAnsi="Arial" w:cs="Arial"/>
          <w:sz w:val="20"/>
        </w:rPr>
        <w:t xml:space="preserve">”.  </w:t>
      </w:r>
      <w:r w:rsidRPr="008E7954">
        <w:rPr>
          <w:rFonts w:ascii="Arial" w:hAnsi="Arial" w:cs="Arial"/>
          <w:sz w:val="20"/>
        </w:rPr>
        <w:t>In</w:t>
      </w:r>
      <w:r>
        <w:rPr>
          <w:rFonts w:ascii="Arial" w:hAnsi="Arial" w:cs="Arial"/>
          <w:sz w:val="20"/>
        </w:rPr>
        <w:t> </w:t>
      </w:r>
      <w:r w:rsidRPr="008E7954">
        <w:rPr>
          <w:rFonts w:ascii="Arial" w:hAnsi="Arial" w:cs="Arial"/>
          <w:i/>
          <w:sz w:val="20"/>
        </w:rPr>
        <w:t>Crest Homes PLC v Marks</w:t>
      </w:r>
      <w:r w:rsidRPr="008E7954">
        <w:rPr>
          <w:rFonts w:ascii="Arial" w:hAnsi="Arial" w:cs="Arial"/>
          <w:sz w:val="20"/>
        </w:rPr>
        <w:t xml:space="preserve"> </w:t>
      </w:r>
      <w:r>
        <w:rPr>
          <w:rFonts w:ascii="Arial" w:hAnsi="Arial" w:cs="Arial"/>
          <w:sz w:val="20"/>
        </w:rPr>
        <w:t>[1987] AC 829, 860 Lord Oliver (with whom the other members of the House agreed) said that “the Court will not release or modify the implied undertaking given of discovery save in special circumstances and where the release or modification will not occasion injustice to the person giving discovery.”</w:t>
      </w:r>
      <w:r w:rsidR="000D124E">
        <w:rPr>
          <w:rFonts w:ascii="Arial" w:hAnsi="Arial" w:cs="Arial"/>
          <w:sz w:val="20"/>
        </w:rPr>
        <w:t xml:space="preserve">  See also </w:t>
      </w:r>
      <w:r w:rsidR="000D124E" w:rsidRPr="000D124E">
        <w:rPr>
          <w:rFonts w:ascii="Arial" w:hAnsi="Arial" w:cs="Arial"/>
          <w:i/>
          <w:iCs/>
          <w:sz w:val="20"/>
        </w:rPr>
        <w:t>Khoury v Kirwan (No 4)</w:t>
      </w:r>
      <w:r w:rsidR="000D124E">
        <w:rPr>
          <w:rFonts w:ascii="Arial" w:hAnsi="Arial" w:cs="Arial"/>
          <w:sz w:val="20"/>
        </w:rPr>
        <w:t xml:space="preserve"> [2021] VSC 333 at [4].</w:t>
      </w:r>
    </w:p>
    <w:p w14:paraId="322EC5A3" w14:textId="63B943AC" w:rsidR="001F1C85" w:rsidRDefault="001F1C85" w:rsidP="001F1C85">
      <w:pPr>
        <w:jc w:val="both"/>
        <w:rPr>
          <w:rFonts w:ascii="Arial" w:hAnsi="Arial" w:cs="Arial"/>
          <w:color w:val="000000"/>
          <w:sz w:val="20"/>
        </w:rPr>
      </w:pPr>
    </w:p>
    <w:p w14:paraId="08D15532" w14:textId="14929EE5" w:rsidR="00D32006" w:rsidRPr="00D32006" w:rsidRDefault="00D32006" w:rsidP="001F1C85">
      <w:pPr>
        <w:jc w:val="both"/>
        <w:rPr>
          <w:rFonts w:ascii="Arial" w:hAnsi="Arial" w:cs="Arial"/>
          <w:color w:val="000000"/>
          <w:sz w:val="20"/>
          <w:szCs w:val="20"/>
        </w:rPr>
      </w:pPr>
      <w:r w:rsidRPr="00D32006">
        <w:rPr>
          <w:rFonts w:ascii="Arial" w:hAnsi="Arial" w:cs="Arial"/>
          <w:color w:val="000000"/>
          <w:sz w:val="20"/>
          <w:szCs w:val="20"/>
        </w:rPr>
        <w:t xml:space="preserve">The Court </w:t>
      </w:r>
      <w:r w:rsidRPr="00D32006">
        <w:rPr>
          <w:rFonts w:ascii="Arial" w:hAnsi="Arial" w:cs="Arial"/>
          <w:sz w:val="20"/>
          <w:szCs w:val="20"/>
        </w:rPr>
        <w:t xml:space="preserve">may order the issuing party to pay the amount of any reasonable loss or expense incurred in complying with the subpoena. The Court may fix the amount or direct that it be fixed in accordance with the Court’s usual procedure in relation to costs.  See r.42.11 of the Supreme Court (General Civil Procedure) Rules 2015 (Vic), discussed and applied by Gorton J in </w:t>
      </w:r>
      <w:r w:rsidRPr="00D32006">
        <w:rPr>
          <w:rFonts w:ascii="Arial" w:hAnsi="Arial" w:cs="Arial"/>
          <w:i/>
          <w:iCs/>
          <w:sz w:val="20"/>
          <w:szCs w:val="20"/>
        </w:rPr>
        <w:t>Esposito v The Victorian Legal Services Board</w:t>
      </w:r>
      <w:r w:rsidRPr="00D32006">
        <w:rPr>
          <w:rFonts w:ascii="Arial" w:hAnsi="Arial" w:cs="Arial"/>
          <w:sz w:val="20"/>
          <w:szCs w:val="20"/>
        </w:rPr>
        <w:t xml:space="preserve"> and by </w:t>
      </w:r>
      <w:r>
        <w:rPr>
          <w:rFonts w:ascii="Arial" w:hAnsi="Arial" w:cs="Arial"/>
          <w:sz w:val="20"/>
          <w:szCs w:val="20"/>
        </w:rPr>
        <w:t xml:space="preserve">Irving </w:t>
      </w:r>
      <w:r w:rsidRPr="00D32006">
        <w:rPr>
          <w:rFonts w:ascii="Arial" w:hAnsi="Arial" w:cs="Arial"/>
          <w:sz w:val="20"/>
          <w:szCs w:val="20"/>
        </w:rPr>
        <w:t xml:space="preserve">AsJ in </w:t>
      </w:r>
      <w:r w:rsidRPr="00D32006">
        <w:rPr>
          <w:rFonts w:ascii="Arial" w:hAnsi="Arial" w:cs="Arial"/>
          <w:i/>
          <w:iCs/>
          <w:sz w:val="20"/>
          <w:szCs w:val="20"/>
        </w:rPr>
        <w:t>BEUT Property Pty Ltd v Bunnings Group Ltd</w:t>
      </w:r>
      <w:r w:rsidRPr="00D32006">
        <w:rPr>
          <w:rFonts w:ascii="Arial" w:hAnsi="Arial" w:cs="Arial"/>
          <w:sz w:val="20"/>
          <w:szCs w:val="20"/>
        </w:rPr>
        <w:t xml:space="preserve"> [2023] VSC </w:t>
      </w:r>
      <w:r>
        <w:rPr>
          <w:rFonts w:ascii="Arial" w:hAnsi="Arial" w:cs="Arial"/>
          <w:sz w:val="20"/>
          <w:szCs w:val="20"/>
        </w:rPr>
        <w:t>31</w:t>
      </w:r>
      <w:r w:rsidRPr="00D32006">
        <w:rPr>
          <w:rFonts w:ascii="Arial" w:hAnsi="Arial" w:cs="Arial"/>
          <w:sz w:val="20"/>
          <w:szCs w:val="20"/>
        </w:rPr>
        <w:t>.</w:t>
      </w:r>
    </w:p>
    <w:p w14:paraId="3C1979D2" w14:textId="77777777" w:rsidR="00A70D0C" w:rsidRPr="00D32006" w:rsidRDefault="00A70D0C" w:rsidP="001F1C85">
      <w:pPr>
        <w:jc w:val="both"/>
        <w:rPr>
          <w:rFonts w:ascii="Arial" w:hAnsi="Arial" w:cs="Arial"/>
          <w:sz w:val="20"/>
          <w:szCs w:val="20"/>
        </w:rPr>
      </w:pPr>
    </w:p>
    <w:p w14:paraId="4760CF5D" w14:textId="77777777" w:rsidR="001F1C85" w:rsidRPr="009F25D4" w:rsidRDefault="001F1C85" w:rsidP="001F1C85">
      <w:pPr>
        <w:pStyle w:val="Heading3"/>
        <w:keepNext/>
        <w:spacing w:line="240" w:lineRule="auto"/>
        <w:rPr>
          <w:rFonts w:ascii="Arial" w:hAnsi="Arial" w:cs="Arial"/>
          <w:b/>
          <w:bCs/>
          <w:color w:val="000000"/>
          <w:sz w:val="20"/>
        </w:rPr>
      </w:pPr>
      <w:bookmarkStart w:id="814" w:name="_3.5.9.2__Pre-hearing"/>
      <w:bookmarkStart w:id="815" w:name="B3592"/>
      <w:bookmarkEnd w:id="814"/>
      <w:bookmarkEnd w:id="815"/>
      <w:r w:rsidRPr="009F25D4">
        <w:rPr>
          <w:rFonts w:ascii="Arial" w:hAnsi="Arial" w:cs="Arial"/>
          <w:b/>
          <w:bCs/>
          <w:color w:val="000000"/>
          <w:sz w:val="20"/>
        </w:rPr>
        <w:t xml:space="preserve">3.5.9.2  </w:t>
      </w:r>
      <w:proofErr w:type="gramStart"/>
      <w:r w:rsidRPr="009F25D4">
        <w:rPr>
          <w:rFonts w:ascii="Arial" w:hAnsi="Arial" w:cs="Arial"/>
          <w:b/>
          <w:bCs/>
          <w:color w:val="000000"/>
          <w:sz w:val="20"/>
        </w:rPr>
        <w:t>Pre-hearing</w:t>
      </w:r>
      <w:proofErr w:type="gramEnd"/>
      <w:r w:rsidRPr="009F25D4">
        <w:rPr>
          <w:rFonts w:ascii="Arial" w:hAnsi="Arial" w:cs="Arial"/>
          <w:b/>
          <w:bCs/>
          <w:color w:val="000000"/>
          <w:sz w:val="20"/>
        </w:rPr>
        <w:t xml:space="preserve"> disclosure in the Criminal Division</w:t>
      </w:r>
    </w:p>
    <w:p w14:paraId="67FFF1C2" w14:textId="48B2DCDF" w:rsidR="00F87038" w:rsidRPr="009F25D4" w:rsidRDefault="001E4091" w:rsidP="00C236AA">
      <w:pPr>
        <w:spacing w:before="120"/>
        <w:jc w:val="both"/>
        <w:rPr>
          <w:rFonts w:ascii="Arial" w:hAnsi="Arial" w:cs="Arial"/>
          <w:color w:val="000000"/>
          <w:sz w:val="20"/>
        </w:rPr>
      </w:pPr>
      <w:r w:rsidRPr="009F25D4">
        <w:rPr>
          <w:rFonts w:ascii="Arial" w:hAnsi="Arial" w:cs="Arial"/>
          <w:b/>
          <w:color w:val="000000"/>
          <w:sz w:val="20"/>
          <w:u w:val="single"/>
        </w:rPr>
        <w:t>Summary hearing</w:t>
      </w:r>
      <w:r w:rsidRPr="009F25D4">
        <w:rPr>
          <w:rFonts w:ascii="Arial" w:hAnsi="Arial" w:cs="Arial"/>
          <w:color w:val="000000"/>
          <w:sz w:val="20"/>
        </w:rPr>
        <w:t xml:space="preserve">:  </w:t>
      </w:r>
      <w:r w:rsidR="00987DDD" w:rsidRPr="009F25D4">
        <w:rPr>
          <w:rFonts w:ascii="Arial" w:hAnsi="Arial" w:cs="Arial"/>
          <w:color w:val="000000"/>
          <w:sz w:val="20"/>
        </w:rPr>
        <w:t xml:space="preserve">Sections 35-49 of the </w:t>
      </w:r>
      <w:r w:rsidR="00987DDD" w:rsidRPr="00A82F40">
        <w:rPr>
          <w:rFonts w:ascii="Arial" w:hAnsi="Arial" w:cs="Arial"/>
          <w:i/>
          <w:iCs/>
          <w:color w:val="000000"/>
          <w:sz w:val="20"/>
        </w:rPr>
        <w:t>Criminal Procedure Act 2009</w:t>
      </w:r>
      <w:r w:rsidR="00987DDD" w:rsidRPr="009F25D4">
        <w:rPr>
          <w:rFonts w:ascii="Arial" w:hAnsi="Arial" w:cs="Arial"/>
          <w:color w:val="000000"/>
          <w:sz w:val="20"/>
        </w:rPr>
        <w:t xml:space="preserve"> provide for </w:t>
      </w:r>
      <w:r w:rsidRPr="009F25D4">
        <w:rPr>
          <w:rFonts w:ascii="Arial" w:hAnsi="Arial" w:cs="Arial"/>
          <w:color w:val="000000"/>
          <w:sz w:val="20"/>
        </w:rPr>
        <w:t xml:space="preserve">the informant to make </w:t>
      </w:r>
      <w:r w:rsidR="00987DDD" w:rsidRPr="009F25D4">
        <w:rPr>
          <w:rFonts w:ascii="Arial" w:hAnsi="Arial" w:cs="Arial"/>
          <w:color w:val="000000"/>
          <w:sz w:val="20"/>
        </w:rPr>
        <w:t xml:space="preserve">pre-hearing disclosure </w:t>
      </w:r>
      <w:r w:rsidR="0071156A" w:rsidRPr="009F25D4">
        <w:rPr>
          <w:rFonts w:ascii="Arial" w:hAnsi="Arial" w:cs="Arial"/>
          <w:color w:val="000000"/>
          <w:sz w:val="20"/>
        </w:rPr>
        <w:t xml:space="preserve">of the prosecution case </w:t>
      </w:r>
      <w:r w:rsidR="00987DDD" w:rsidRPr="009F25D4">
        <w:rPr>
          <w:rFonts w:ascii="Arial" w:hAnsi="Arial" w:cs="Arial"/>
          <w:color w:val="000000"/>
          <w:sz w:val="20"/>
        </w:rPr>
        <w:t xml:space="preserve">before a summary hearing.  Sections 35-38 provide for and regulate the service of a “preliminary brief” upon the accused.  Section 39 allows the accused to request the production of a “full brief” and ss.40-41 regulate the service of such “full brief”.  Section 42 imposes on the informant a continuing obligation of disclosure.  </w:t>
      </w:r>
      <w:r w:rsidR="00961014" w:rsidRPr="009F25D4">
        <w:rPr>
          <w:rFonts w:ascii="Arial" w:hAnsi="Arial" w:cs="Arial"/>
          <w:color w:val="000000"/>
          <w:sz w:val="20"/>
        </w:rPr>
        <w:t>Section 43 allows the accused to make a request for the production of material etc. not provided and ss.44-45 regulate the production of such material, including the grounds on which the informant may refuse disclosure.  Section 46 empowers t</w:t>
      </w:r>
      <w:r w:rsidR="007C10BC" w:rsidRPr="009F25D4">
        <w:rPr>
          <w:rFonts w:ascii="Arial" w:hAnsi="Arial" w:cs="Arial"/>
          <w:color w:val="000000"/>
          <w:sz w:val="20"/>
        </w:rPr>
        <w:t>he</w:t>
      </w:r>
      <w:r w:rsidR="00961014" w:rsidRPr="009F25D4">
        <w:rPr>
          <w:rFonts w:ascii="Arial" w:hAnsi="Arial" w:cs="Arial"/>
          <w:color w:val="000000"/>
          <w:sz w:val="20"/>
        </w:rPr>
        <w:t xml:space="preserve"> accused to apply for an order requiring disclosure if the informant has refused or failed to give disclosure.</w:t>
      </w:r>
    </w:p>
    <w:p w14:paraId="60EA8A8C" w14:textId="77777777" w:rsidR="00961014" w:rsidRPr="009F25D4" w:rsidRDefault="00961014" w:rsidP="001F1C85">
      <w:pPr>
        <w:jc w:val="both"/>
        <w:rPr>
          <w:rFonts w:ascii="Arial" w:hAnsi="Arial" w:cs="Arial"/>
          <w:color w:val="000000"/>
          <w:sz w:val="20"/>
        </w:rPr>
      </w:pPr>
    </w:p>
    <w:p w14:paraId="20D20C5B" w14:textId="48F49282" w:rsidR="00961014" w:rsidRPr="009F25D4" w:rsidRDefault="001E4091" w:rsidP="001F1C85">
      <w:pPr>
        <w:jc w:val="both"/>
        <w:rPr>
          <w:rFonts w:ascii="Arial" w:hAnsi="Arial" w:cs="Arial"/>
          <w:color w:val="000000"/>
          <w:sz w:val="20"/>
        </w:rPr>
      </w:pPr>
      <w:r w:rsidRPr="009F25D4">
        <w:rPr>
          <w:rFonts w:ascii="Arial" w:hAnsi="Arial" w:cs="Arial"/>
          <w:b/>
          <w:color w:val="000000"/>
          <w:sz w:val="20"/>
          <w:u w:val="single"/>
        </w:rPr>
        <w:t>Committal proceeding</w:t>
      </w:r>
      <w:r w:rsidRPr="009F25D4">
        <w:rPr>
          <w:rFonts w:ascii="Arial" w:hAnsi="Arial" w:cs="Arial"/>
          <w:color w:val="000000"/>
          <w:sz w:val="20"/>
        </w:rPr>
        <w:t xml:space="preserve">:  </w:t>
      </w:r>
      <w:r w:rsidR="00961014" w:rsidRPr="009F25D4">
        <w:rPr>
          <w:rFonts w:ascii="Arial" w:hAnsi="Arial" w:cs="Arial"/>
          <w:color w:val="000000"/>
          <w:sz w:val="20"/>
        </w:rPr>
        <w:t xml:space="preserve">Sections 107-117 of the </w:t>
      </w:r>
      <w:r w:rsidR="00961014" w:rsidRPr="00A82F40">
        <w:rPr>
          <w:rFonts w:ascii="Arial" w:hAnsi="Arial" w:cs="Arial"/>
          <w:i/>
          <w:iCs/>
          <w:color w:val="000000"/>
          <w:sz w:val="20"/>
        </w:rPr>
        <w:t>Criminal Procedure Act 2009</w:t>
      </w:r>
      <w:r w:rsidR="00961014" w:rsidRPr="009F25D4">
        <w:rPr>
          <w:rFonts w:ascii="Arial" w:hAnsi="Arial" w:cs="Arial"/>
          <w:color w:val="000000"/>
          <w:sz w:val="20"/>
        </w:rPr>
        <w:t xml:space="preserve"> </w:t>
      </w:r>
      <w:r w:rsidR="0071156A" w:rsidRPr="009F25D4">
        <w:rPr>
          <w:rFonts w:ascii="Arial" w:hAnsi="Arial" w:cs="Arial"/>
          <w:color w:val="000000"/>
          <w:sz w:val="20"/>
        </w:rPr>
        <w:t>provide</w:t>
      </w:r>
      <w:r w:rsidRPr="009F25D4">
        <w:rPr>
          <w:rFonts w:ascii="Arial" w:hAnsi="Arial" w:cs="Arial"/>
          <w:color w:val="000000"/>
          <w:sz w:val="20"/>
        </w:rPr>
        <w:t xml:space="preserve"> </w:t>
      </w:r>
      <w:r w:rsidR="0071156A" w:rsidRPr="009F25D4">
        <w:rPr>
          <w:rFonts w:ascii="Arial" w:hAnsi="Arial" w:cs="Arial"/>
          <w:color w:val="000000"/>
          <w:sz w:val="20"/>
        </w:rPr>
        <w:t>roughly similar requirements for the informant to make pre-hearing disclosure of the prosecution case before a committal proceeding.</w:t>
      </w:r>
    </w:p>
    <w:p w14:paraId="3530BD53" w14:textId="77777777" w:rsidR="001F1C85" w:rsidRDefault="001F1C85" w:rsidP="001F1C85">
      <w:pPr>
        <w:jc w:val="both"/>
        <w:rPr>
          <w:rFonts w:ascii="Arial" w:hAnsi="Arial" w:cs="Arial"/>
          <w:color w:val="000000"/>
          <w:sz w:val="20"/>
        </w:rPr>
      </w:pPr>
    </w:p>
    <w:p w14:paraId="29DBF0D2" w14:textId="59BA99F8" w:rsidR="0058166A" w:rsidRDefault="00FA71D1" w:rsidP="001F1C85">
      <w:pPr>
        <w:jc w:val="both"/>
        <w:rPr>
          <w:rFonts w:ascii="Arial" w:hAnsi="Arial" w:cs="Arial"/>
          <w:color w:val="000000"/>
          <w:sz w:val="20"/>
        </w:rPr>
      </w:pPr>
      <w:r w:rsidRPr="00FA71D1">
        <w:rPr>
          <w:rFonts w:ascii="Arial" w:hAnsi="Arial" w:cs="Arial"/>
          <w:b/>
          <w:bCs/>
          <w:color w:val="000000"/>
          <w:sz w:val="20"/>
          <w:u w:val="single"/>
        </w:rPr>
        <w:t>Case law</w:t>
      </w:r>
      <w:r>
        <w:rPr>
          <w:rFonts w:ascii="Arial" w:hAnsi="Arial" w:cs="Arial"/>
          <w:color w:val="000000"/>
          <w:sz w:val="20"/>
        </w:rPr>
        <w:t xml:space="preserve">:  </w:t>
      </w:r>
      <w:r w:rsidR="00E97F49">
        <w:rPr>
          <w:rFonts w:ascii="Arial" w:hAnsi="Arial" w:cs="Arial"/>
          <w:color w:val="000000"/>
          <w:sz w:val="20"/>
        </w:rPr>
        <w:t xml:space="preserve">In </w:t>
      </w:r>
      <w:r w:rsidR="00E97F49" w:rsidRPr="00E97F49">
        <w:rPr>
          <w:rFonts w:ascii="Arial" w:hAnsi="Arial" w:cs="Arial"/>
          <w:i/>
          <w:iCs/>
          <w:color w:val="000000"/>
          <w:sz w:val="20"/>
        </w:rPr>
        <w:t>Cvetanovski v The Queen</w:t>
      </w:r>
      <w:r w:rsidR="00E97F49">
        <w:rPr>
          <w:rFonts w:ascii="Arial" w:hAnsi="Arial" w:cs="Arial"/>
          <w:color w:val="000000"/>
          <w:sz w:val="20"/>
        </w:rPr>
        <w:t xml:space="preserve"> [2020] VSCA 272 the app</w:t>
      </w:r>
      <w:r w:rsidR="00F35C98">
        <w:rPr>
          <w:rFonts w:ascii="Arial" w:hAnsi="Arial" w:cs="Arial"/>
          <w:color w:val="000000"/>
          <w:sz w:val="20"/>
        </w:rPr>
        <w:t>lic</w:t>
      </w:r>
      <w:r w:rsidR="00E97F49">
        <w:rPr>
          <w:rFonts w:ascii="Arial" w:hAnsi="Arial" w:cs="Arial"/>
          <w:color w:val="000000"/>
          <w:sz w:val="20"/>
        </w:rPr>
        <w:t xml:space="preserve">ant had been convicted </w:t>
      </w:r>
      <w:r w:rsidR="00F35C98">
        <w:rPr>
          <w:rFonts w:ascii="Arial" w:hAnsi="Arial" w:cs="Arial"/>
          <w:color w:val="000000"/>
          <w:sz w:val="20"/>
        </w:rPr>
        <w:t xml:space="preserve">in 2012 </w:t>
      </w:r>
      <w:r w:rsidR="00E97F49">
        <w:rPr>
          <w:rFonts w:ascii="Arial" w:hAnsi="Arial" w:cs="Arial"/>
          <w:color w:val="000000"/>
          <w:sz w:val="20"/>
        </w:rPr>
        <w:t>of trafficking a large commercial quantity of methylamphetamine</w:t>
      </w:r>
      <w:r w:rsidR="00F35C98">
        <w:rPr>
          <w:rFonts w:ascii="Arial" w:hAnsi="Arial" w:cs="Arial"/>
          <w:color w:val="000000"/>
          <w:sz w:val="20"/>
        </w:rPr>
        <w:t xml:space="preserve"> and had been sentenced to 10 years’ imprisonment</w:t>
      </w:r>
      <w:r w:rsidR="00E97F49">
        <w:rPr>
          <w:rFonts w:ascii="Arial" w:hAnsi="Arial" w:cs="Arial"/>
          <w:color w:val="000000"/>
          <w:sz w:val="20"/>
        </w:rPr>
        <w:t>.  Victoria Police had failed to disclose ongoing payments to a principal witness</w:t>
      </w:r>
      <w:r w:rsidR="00F35C98">
        <w:rPr>
          <w:rFonts w:ascii="Arial" w:hAnsi="Arial" w:cs="Arial"/>
          <w:color w:val="000000"/>
          <w:sz w:val="20"/>
        </w:rPr>
        <w:t xml:space="preserve"> </w:t>
      </w:r>
      <w:r w:rsidR="0058166A">
        <w:rPr>
          <w:rFonts w:ascii="Arial" w:hAnsi="Arial" w:cs="Arial"/>
          <w:color w:val="000000"/>
          <w:sz w:val="20"/>
        </w:rPr>
        <w:t xml:space="preserve">W </w:t>
      </w:r>
      <w:r w:rsidR="00F35C98">
        <w:rPr>
          <w:rFonts w:ascii="Arial" w:hAnsi="Arial" w:cs="Arial"/>
          <w:color w:val="000000"/>
          <w:sz w:val="20"/>
        </w:rPr>
        <w:t>and to his legal advisor</w:t>
      </w:r>
      <w:r w:rsidR="0058166A">
        <w:rPr>
          <w:rFonts w:ascii="Arial" w:hAnsi="Arial" w:cs="Arial"/>
          <w:color w:val="000000"/>
          <w:sz w:val="20"/>
        </w:rPr>
        <w:t xml:space="preserve"> G</w:t>
      </w:r>
      <w:r w:rsidR="00E97F49">
        <w:rPr>
          <w:rFonts w:ascii="Arial" w:hAnsi="Arial" w:cs="Arial"/>
          <w:color w:val="000000"/>
          <w:sz w:val="20"/>
        </w:rPr>
        <w:t xml:space="preserve">.  </w:t>
      </w:r>
      <w:r w:rsidR="00F35C98">
        <w:rPr>
          <w:rFonts w:ascii="Arial" w:hAnsi="Arial" w:cs="Arial"/>
          <w:color w:val="000000"/>
          <w:sz w:val="20"/>
        </w:rPr>
        <w:t>The Crown conceded that, as a result of the non-disclosure</w:t>
      </w:r>
      <w:r w:rsidR="00FD5F44" w:rsidRPr="00A31FFA">
        <w:rPr>
          <w:rFonts w:ascii="Arial" w:hAnsi="Arial" w:cs="Arial"/>
          <w:sz w:val="20"/>
        </w:rPr>
        <w:t>–</w:t>
      </w:r>
    </w:p>
    <w:p w14:paraId="75B26FB1" w14:textId="77777777" w:rsidR="0058166A" w:rsidRDefault="0058166A" w:rsidP="00D772F0">
      <w:pPr>
        <w:numPr>
          <w:ilvl w:val="0"/>
          <w:numId w:val="49"/>
        </w:numPr>
        <w:ind w:left="357" w:hanging="357"/>
        <w:jc w:val="both"/>
        <w:rPr>
          <w:rFonts w:ascii="Arial" w:hAnsi="Arial" w:cs="Arial"/>
          <w:color w:val="000000"/>
          <w:sz w:val="20"/>
        </w:rPr>
      </w:pPr>
      <w:r>
        <w:rPr>
          <w:rFonts w:ascii="Arial" w:hAnsi="Arial" w:cs="Arial"/>
          <w:color w:val="000000"/>
          <w:sz w:val="20"/>
        </w:rPr>
        <w:t xml:space="preserve">the applicant </w:t>
      </w:r>
      <w:r w:rsidR="00BE6990">
        <w:rPr>
          <w:rFonts w:ascii="Arial" w:hAnsi="Arial" w:cs="Arial"/>
          <w:color w:val="000000"/>
          <w:sz w:val="20"/>
        </w:rPr>
        <w:t>“</w:t>
      </w:r>
      <w:r>
        <w:rPr>
          <w:rFonts w:ascii="Arial" w:hAnsi="Arial" w:cs="Arial"/>
          <w:color w:val="000000"/>
          <w:sz w:val="20"/>
        </w:rPr>
        <w:t>could not properly interrogate W, relevant police members or G about the nature, circumstances and extent of the payments</w:t>
      </w:r>
      <w:r w:rsidR="00BE6990">
        <w:rPr>
          <w:rFonts w:ascii="Arial" w:hAnsi="Arial" w:cs="Arial"/>
          <w:color w:val="000000"/>
          <w:sz w:val="20"/>
        </w:rPr>
        <w:t>”</w:t>
      </w:r>
      <w:r>
        <w:rPr>
          <w:rFonts w:ascii="Arial" w:hAnsi="Arial" w:cs="Arial"/>
          <w:color w:val="000000"/>
          <w:sz w:val="20"/>
        </w:rPr>
        <w:t>;</w:t>
      </w:r>
    </w:p>
    <w:p w14:paraId="5973DD79" w14:textId="77777777" w:rsidR="0058166A" w:rsidRPr="0058166A" w:rsidRDefault="0058166A" w:rsidP="00D772F0">
      <w:pPr>
        <w:numPr>
          <w:ilvl w:val="0"/>
          <w:numId w:val="49"/>
        </w:numPr>
        <w:ind w:left="357" w:hanging="357"/>
        <w:jc w:val="both"/>
        <w:rPr>
          <w:rFonts w:ascii="Arial" w:hAnsi="Arial" w:cs="Arial"/>
          <w:color w:val="000000"/>
          <w:sz w:val="20"/>
        </w:rPr>
      </w:pPr>
      <w:r>
        <w:rPr>
          <w:rFonts w:ascii="Arial" w:hAnsi="Arial" w:cs="Arial"/>
          <w:color w:val="000000"/>
          <w:sz w:val="20"/>
        </w:rPr>
        <w:t xml:space="preserve">the jury were not able to assess </w:t>
      </w:r>
      <w:r w:rsidR="00BE6990">
        <w:rPr>
          <w:rFonts w:ascii="Arial" w:hAnsi="Arial" w:cs="Arial"/>
          <w:color w:val="000000"/>
          <w:sz w:val="20"/>
        </w:rPr>
        <w:t>“</w:t>
      </w:r>
      <w:r>
        <w:rPr>
          <w:rFonts w:ascii="Arial" w:hAnsi="Arial" w:cs="Arial"/>
          <w:color w:val="000000"/>
          <w:sz w:val="20"/>
        </w:rPr>
        <w:t xml:space="preserve">the ways </w:t>
      </w:r>
      <w:r w:rsidRPr="0058166A">
        <w:rPr>
          <w:rFonts w:ascii="Arial" w:hAnsi="Arial" w:cs="Arial"/>
          <w:sz w:val="20"/>
          <w:szCs w:val="20"/>
        </w:rPr>
        <w:t>that G’s involvement in Victoria Police’s making of the payments</w:t>
      </w:r>
      <w:r w:rsidR="00BE6990">
        <w:rPr>
          <w:rFonts w:ascii="Arial" w:hAnsi="Arial" w:cs="Arial"/>
          <w:sz w:val="20"/>
          <w:szCs w:val="20"/>
        </w:rPr>
        <w:t>”</w:t>
      </w:r>
      <w:r w:rsidRPr="0058166A">
        <w:rPr>
          <w:rFonts w:ascii="Arial" w:hAnsi="Arial" w:cs="Arial"/>
          <w:sz w:val="20"/>
          <w:szCs w:val="20"/>
        </w:rPr>
        <w:t xml:space="preserve"> affected </w:t>
      </w:r>
      <w:r>
        <w:rPr>
          <w:rFonts w:ascii="Arial" w:hAnsi="Arial" w:cs="Arial"/>
          <w:sz w:val="20"/>
          <w:szCs w:val="20"/>
        </w:rPr>
        <w:t>W</w:t>
      </w:r>
      <w:r w:rsidRPr="0058166A">
        <w:rPr>
          <w:rFonts w:ascii="Arial" w:hAnsi="Arial" w:cs="Arial"/>
          <w:sz w:val="20"/>
          <w:szCs w:val="20"/>
        </w:rPr>
        <w:t>’s credibility or the veracity of the evidence more generally</w:t>
      </w:r>
      <w:r>
        <w:rPr>
          <w:rFonts w:ascii="Arial" w:hAnsi="Arial" w:cs="Arial"/>
          <w:sz w:val="20"/>
          <w:szCs w:val="20"/>
        </w:rPr>
        <w:t>; and</w:t>
      </w:r>
    </w:p>
    <w:p w14:paraId="4D0454AE" w14:textId="77777777" w:rsidR="0058166A" w:rsidRDefault="0058166A" w:rsidP="00D772F0">
      <w:pPr>
        <w:numPr>
          <w:ilvl w:val="0"/>
          <w:numId w:val="49"/>
        </w:numPr>
        <w:ind w:left="357" w:hanging="357"/>
        <w:jc w:val="both"/>
        <w:rPr>
          <w:rFonts w:ascii="Arial" w:hAnsi="Arial" w:cs="Arial"/>
          <w:color w:val="000000"/>
          <w:sz w:val="20"/>
        </w:rPr>
      </w:pPr>
      <w:r>
        <w:rPr>
          <w:rFonts w:ascii="Arial" w:hAnsi="Arial" w:cs="Arial"/>
          <w:sz w:val="20"/>
          <w:szCs w:val="20"/>
        </w:rPr>
        <w:t>n</w:t>
      </w:r>
      <w:r w:rsidRPr="0058166A">
        <w:rPr>
          <w:rFonts w:ascii="Arial" w:hAnsi="Arial" w:cs="Arial"/>
          <w:sz w:val="20"/>
          <w:szCs w:val="20"/>
        </w:rPr>
        <w:t>on-disclosure of</w:t>
      </w:r>
      <w:r>
        <w:rPr>
          <w:rFonts w:ascii="Arial" w:hAnsi="Arial" w:cs="Arial"/>
          <w:sz w:val="20"/>
          <w:szCs w:val="20"/>
        </w:rPr>
        <w:t xml:space="preserve"> G</w:t>
      </w:r>
      <w:r w:rsidRPr="0058166A">
        <w:rPr>
          <w:rFonts w:ascii="Arial" w:hAnsi="Arial" w:cs="Arial"/>
          <w:sz w:val="20"/>
          <w:szCs w:val="20"/>
        </w:rPr>
        <w:t xml:space="preserve">’s involvement </w:t>
      </w:r>
      <w:r w:rsidR="00BE6990">
        <w:rPr>
          <w:rFonts w:ascii="Arial" w:hAnsi="Arial" w:cs="Arial"/>
          <w:sz w:val="20"/>
          <w:szCs w:val="20"/>
        </w:rPr>
        <w:t>“</w:t>
      </w:r>
      <w:r w:rsidRPr="0058166A">
        <w:rPr>
          <w:rFonts w:ascii="Arial" w:hAnsi="Arial" w:cs="Arial"/>
          <w:sz w:val="20"/>
          <w:szCs w:val="20"/>
        </w:rPr>
        <w:t>resulted in the applicant being unable to undertake further investigations and conduct further cross-examination</w:t>
      </w:r>
      <w:r w:rsidR="00BE6990">
        <w:rPr>
          <w:rFonts w:ascii="Arial" w:hAnsi="Arial" w:cs="Arial"/>
          <w:sz w:val="20"/>
          <w:szCs w:val="20"/>
        </w:rPr>
        <w:t>”</w:t>
      </w:r>
      <w:r w:rsidRPr="0058166A">
        <w:rPr>
          <w:rFonts w:ascii="Arial" w:hAnsi="Arial" w:cs="Arial"/>
          <w:sz w:val="20"/>
          <w:szCs w:val="20"/>
        </w:rPr>
        <w:t>.</w:t>
      </w:r>
    </w:p>
    <w:p w14:paraId="3A317C5D" w14:textId="77777777" w:rsidR="0058166A" w:rsidRDefault="0058166A" w:rsidP="0058166A">
      <w:pPr>
        <w:spacing w:before="60"/>
        <w:jc w:val="both"/>
        <w:rPr>
          <w:rFonts w:ascii="Arial" w:hAnsi="Arial" w:cs="Arial"/>
          <w:color w:val="000000"/>
          <w:sz w:val="20"/>
        </w:rPr>
      </w:pPr>
      <w:r>
        <w:rPr>
          <w:rFonts w:ascii="Arial" w:hAnsi="Arial" w:cs="Arial"/>
          <w:color w:val="000000"/>
          <w:sz w:val="20"/>
        </w:rPr>
        <w:lastRenderedPageBreak/>
        <w:t>In quashing the applicant’s conviction and holding it was unjust to order a new trial the Court of Appeal (Maxwell P, Beach &amp; Weinberg JJA) said at [9]:</w:t>
      </w:r>
    </w:p>
    <w:p w14:paraId="177CDDDE" w14:textId="77777777" w:rsidR="00F35C98" w:rsidRPr="00951DD0" w:rsidRDefault="00F35C98" w:rsidP="0058166A">
      <w:pPr>
        <w:spacing w:before="60"/>
        <w:ind w:left="357" w:right="357"/>
        <w:jc w:val="both"/>
        <w:rPr>
          <w:rFonts w:ascii="Arial" w:hAnsi="Arial" w:cs="Arial"/>
          <w:iCs/>
          <w:sz w:val="20"/>
          <w:szCs w:val="20"/>
        </w:rPr>
      </w:pPr>
      <w:r>
        <w:rPr>
          <w:rFonts w:ascii="Arial" w:hAnsi="Arial" w:cs="Arial"/>
          <w:iCs/>
          <w:sz w:val="20"/>
          <w:szCs w:val="20"/>
        </w:rPr>
        <w:t>“</w:t>
      </w:r>
      <w:r w:rsidRPr="00F35C98">
        <w:rPr>
          <w:rFonts w:ascii="Arial" w:hAnsi="Arial" w:cs="Arial"/>
          <w:sz w:val="20"/>
          <w:szCs w:val="20"/>
        </w:rPr>
        <w:t xml:space="preserve">In our view, the Crown’s concession is properly made. The principles governing disclosure are fundamental to the integrity of criminal trials and to the maintenance of public confidence in the administration of justice. The Director rightly draws attention to what this Court said recently in </w:t>
      </w:r>
      <w:r w:rsidRPr="00F35C98">
        <w:rPr>
          <w:rFonts w:ascii="Arial" w:hAnsi="Arial" w:cs="Arial"/>
          <w:i/>
          <w:iCs/>
          <w:sz w:val="20"/>
          <w:szCs w:val="20"/>
        </w:rPr>
        <w:t>Roberts v The Queen</w:t>
      </w:r>
      <w:r w:rsidR="0058166A">
        <w:rPr>
          <w:rFonts w:ascii="Arial" w:hAnsi="Arial" w:cs="Arial"/>
          <w:sz w:val="20"/>
          <w:szCs w:val="20"/>
        </w:rPr>
        <w:t xml:space="preserve"> [2020] VSCA 58 at [56] </w:t>
      </w:r>
      <w:r w:rsidRPr="00F35C98">
        <w:rPr>
          <w:rFonts w:ascii="Arial" w:hAnsi="Arial" w:cs="Arial"/>
          <w:sz w:val="20"/>
          <w:szCs w:val="20"/>
        </w:rPr>
        <w:t>as follows</w:t>
      </w:r>
      <w:r>
        <w:rPr>
          <w:rFonts w:ascii="Arial" w:hAnsi="Arial" w:cs="Arial"/>
          <w:sz w:val="20"/>
          <w:szCs w:val="20"/>
        </w:rPr>
        <w:t xml:space="preserve"> [emphasis added]:</w:t>
      </w:r>
    </w:p>
    <w:p w14:paraId="2C585E93" w14:textId="77777777" w:rsidR="00F35C98" w:rsidRPr="007961CE" w:rsidRDefault="00F35C98" w:rsidP="0058166A">
      <w:pPr>
        <w:spacing w:before="60"/>
        <w:ind w:left="720" w:right="720"/>
        <w:jc w:val="both"/>
        <w:rPr>
          <w:rFonts w:ascii="Arial" w:hAnsi="Arial" w:cs="Arial"/>
          <w:iCs/>
          <w:sz w:val="18"/>
          <w:szCs w:val="18"/>
        </w:rPr>
      </w:pPr>
      <w:r w:rsidRPr="007961CE">
        <w:rPr>
          <w:rFonts w:ascii="Arial" w:hAnsi="Arial" w:cs="Arial"/>
          <w:iCs/>
          <w:sz w:val="18"/>
          <w:szCs w:val="18"/>
        </w:rPr>
        <w:t>‘</w:t>
      </w:r>
      <w:r w:rsidRPr="007961CE">
        <w:rPr>
          <w:rFonts w:ascii="Arial" w:hAnsi="Arial" w:cs="Arial"/>
          <w:sz w:val="18"/>
          <w:szCs w:val="18"/>
        </w:rPr>
        <w:t xml:space="preserve">It is fundamental that there must be full disclosure in criminal trials. It is a “golden rule”. </w:t>
      </w:r>
      <w:r w:rsidRPr="007961CE">
        <w:rPr>
          <w:rFonts w:ascii="Arial" w:hAnsi="Arial" w:cs="Arial"/>
          <w:b/>
          <w:bCs/>
          <w:sz w:val="18"/>
          <w:szCs w:val="18"/>
        </w:rPr>
        <w:t>The duty is to disclose all relevant material of help to an accused. It is owed to the court, not the accused. It is ongoing.</w:t>
      </w:r>
      <w:r w:rsidRPr="007961CE">
        <w:rPr>
          <w:rFonts w:ascii="Arial" w:hAnsi="Arial" w:cs="Arial"/>
          <w:sz w:val="18"/>
          <w:szCs w:val="18"/>
        </w:rPr>
        <w:t xml:space="preserve"> It includes, where appropriate, an obligation to make enquiries. It is imposed upon the Crown in its broadest sense. And a failure in its discharge can result in a miscarriage of justice.</w:t>
      </w:r>
      <w:r w:rsidR="0058166A" w:rsidRPr="007961CE">
        <w:rPr>
          <w:rFonts w:ascii="Arial" w:hAnsi="Arial" w:cs="Arial"/>
          <w:sz w:val="18"/>
          <w:szCs w:val="18"/>
        </w:rPr>
        <w:t>’</w:t>
      </w:r>
      <w:r w:rsidRPr="007961CE">
        <w:rPr>
          <w:rFonts w:ascii="Arial" w:hAnsi="Arial" w:cs="Arial"/>
          <w:sz w:val="18"/>
          <w:szCs w:val="18"/>
        </w:rPr>
        <w:t>”</w:t>
      </w:r>
    </w:p>
    <w:p w14:paraId="5530E779" w14:textId="77777777" w:rsidR="00E97F49" w:rsidRDefault="00E97F49" w:rsidP="001F1C85">
      <w:pPr>
        <w:jc w:val="both"/>
        <w:rPr>
          <w:rFonts w:ascii="Arial" w:hAnsi="Arial" w:cs="Arial"/>
          <w:color w:val="000000"/>
          <w:sz w:val="20"/>
        </w:rPr>
      </w:pPr>
    </w:p>
    <w:p w14:paraId="2D7B9D8B" w14:textId="65E04882" w:rsidR="00A1176C" w:rsidRDefault="00A1176C" w:rsidP="001F1C85">
      <w:pPr>
        <w:jc w:val="both"/>
        <w:rPr>
          <w:rFonts w:ascii="Arial" w:hAnsi="Arial" w:cs="Arial"/>
          <w:color w:val="000000"/>
          <w:sz w:val="20"/>
        </w:rPr>
      </w:pPr>
      <w:r>
        <w:rPr>
          <w:rFonts w:ascii="Arial" w:hAnsi="Arial" w:cs="Arial"/>
          <w:color w:val="000000"/>
          <w:sz w:val="20"/>
        </w:rPr>
        <w:t xml:space="preserve">In </w:t>
      </w:r>
      <w:r w:rsidRPr="00A1176C">
        <w:rPr>
          <w:rFonts w:ascii="Arial" w:hAnsi="Arial" w:cs="Arial"/>
          <w:i/>
          <w:iCs/>
          <w:color w:val="000000"/>
          <w:sz w:val="20"/>
        </w:rPr>
        <w:t>Asare (a pseudonym) v The King</w:t>
      </w:r>
      <w:r>
        <w:rPr>
          <w:rFonts w:ascii="Arial" w:hAnsi="Arial" w:cs="Arial"/>
          <w:color w:val="000000"/>
          <w:sz w:val="20"/>
        </w:rPr>
        <w:t xml:space="preserve"> [2025] VSCA </w:t>
      </w:r>
      <w:r w:rsidR="00704434">
        <w:rPr>
          <w:rFonts w:ascii="Arial" w:hAnsi="Arial" w:cs="Arial"/>
          <w:color w:val="000000"/>
          <w:sz w:val="20"/>
        </w:rPr>
        <w:t xml:space="preserve">222 </w:t>
      </w:r>
      <w:r>
        <w:rPr>
          <w:rFonts w:ascii="Arial" w:hAnsi="Arial" w:cs="Arial"/>
          <w:color w:val="000000"/>
          <w:sz w:val="20"/>
        </w:rPr>
        <w:t xml:space="preserve">the applicant had been found guilty </w:t>
      </w:r>
      <w:r w:rsidRPr="00A1176C">
        <w:rPr>
          <w:rFonts w:ascii="Arial" w:hAnsi="Arial" w:cs="Arial"/>
          <w:color w:val="000000"/>
          <w:sz w:val="20"/>
        </w:rPr>
        <w:t>following a 10</w:t>
      </w:r>
      <w:r>
        <w:rPr>
          <w:rFonts w:ascii="Arial" w:hAnsi="Arial" w:cs="Arial"/>
          <w:color w:val="000000"/>
          <w:sz w:val="20"/>
        </w:rPr>
        <w:noBreakHyphen/>
      </w:r>
      <w:r w:rsidRPr="00A1176C">
        <w:rPr>
          <w:rFonts w:ascii="Arial" w:hAnsi="Arial" w:cs="Arial"/>
          <w:color w:val="000000"/>
          <w:sz w:val="20"/>
        </w:rPr>
        <w:t>day jury trial in the County Court of one charge of sexual penetration of a stepchild,</w:t>
      </w:r>
      <w:r>
        <w:rPr>
          <w:rFonts w:ascii="Arial" w:hAnsi="Arial" w:cs="Arial"/>
          <w:color w:val="000000"/>
          <w:sz w:val="20"/>
        </w:rPr>
        <w:t xml:space="preserve"> </w:t>
      </w:r>
      <w:r w:rsidRPr="00A1176C">
        <w:rPr>
          <w:rFonts w:ascii="Arial" w:hAnsi="Arial" w:cs="Arial"/>
          <w:color w:val="000000"/>
          <w:sz w:val="20"/>
        </w:rPr>
        <w:t>seven charges of sexual assault of a child under the age of 16</w:t>
      </w:r>
      <w:r>
        <w:rPr>
          <w:rFonts w:ascii="Arial" w:hAnsi="Arial" w:cs="Arial"/>
          <w:color w:val="000000"/>
          <w:sz w:val="20"/>
        </w:rPr>
        <w:t xml:space="preserve"> and </w:t>
      </w:r>
      <w:r w:rsidRPr="00A1176C">
        <w:rPr>
          <w:rFonts w:ascii="Arial" w:hAnsi="Arial" w:cs="Arial"/>
          <w:color w:val="000000"/>
          <w:sz w:val="20"/>
        </w:rPr>
        <w:t>one charge of sexual activity in the presence of a child under the age of 16.</w:t>
      </w:r>
      <w:r>
        <w:rPr>
          <w:rFonts w:ascii="Arial" w:hAnsi="Arial" w:cs="Arial"/>
          <w:color w:val="000000"/>
          <w:sz w:val="20"/>
        </w:rPr>
        <w:t xml:space="preserve"> The complainant’s mother </w:t>
      </w:r>
      <w:r w:rsidR="00704434">
        <w:rPr>
          <w:rFonts w:ascii="Arial" w:hAnsi="Arial" w:cs="Arial"/>
          <w:color w:val="000000"/>
          <w:sz w:val="20"/>
        </w:rPr>
        <w:t xml:space="preserve">MA </w:t>
      </w:r>
      <w:r>
        <w:rPr>
          <w:rFonts w:ascii="Arial" w:hAnsi="Arial" w:cs="Arial"/>
          <w:color w:val="000000"/>
          <w:sz w:val="20"/>
        </w:rPr>
        <w:t xml:space="preserve">had given evidence as a witness for the prosecution and her credibility was a key issue at the trial. The prosecution had failed to disclose </w:t>
      </w:r>
      <w:r w:rsidR="00704434">
        <w:rPr>
          <w:rFonts w:ascii="Arial" w:hAnsi="Arial" w:cs="Arial"/>
          <w:color w:val="000000"/>
          <w:sz w:val="20"/>
        </w:rPr>
        <w:t>MA</w:t>
      </w:r>
      <w:r>
        <w:rPr>
          <w:rFonts w:ascii="Arial" w:hAnsi="Arial" w:cs="Arial"/>
          <w:color w:val="000000"/>
          <w:sz w:val="20"/>
        </w:rPr>
        <w:t xml:space="preserve">’s previous false criminal allegations to police against the applicant. The undisclosed material would have been admissible in the trial as credibility evidence pursuant to the exceptions in ss.103 &amp; 106 of the </w:t>
      </w:r>
      <w:r w:rsidRPr="00A1176C">
        <w:rPr>
          <w:rFonts w:ascii="Arial" w:hAnsi="Arial" w:cs="Arial"/>
          <w:i/>
          <w:iCs/>
          <w:color w:val="000000"/>
          <w:sz w:val="20"/>
        </w:rPr>
        <w:t>Evidence Act 2008</w:t>
      </w:r>
      <w:r>
        <w:rPr>
          <w:rFonts w:ascii="Arial" w:hAnsi="Arial" w:cs="Arial"/>
          <w:color w:val="000000"/>
          <w:sz w:val="20"/>
        </w:rPr>
        <w:t xml:space="preserve">. On the appeal the DPP conceded that a </w:t>
      </w:r>
      <w:r w:rsidRPr="00A1176C">
        <w:rPr>
          <w:rFonts w:ascii="Arial" w:hAnsi="Arial" w:cs="Arial"/>
          <w:color w:val="000000"/>
          <w:sz w:val="20"/>
        </w:rPr>
        <w:t>substantial miscarriage of justice has occurred due to Victoria Police not disclosing materials prior to the applicant’s tria</w:t>
      </w:r>
      <w:r>
        <w:rPr>
          <w:rFonts w:ascii="Arial" w:hAnsi="Arial" w:cs="Arial"/>
          <w:color w:val="000000"/>
          <w:sz w:val="20"/>
        </w:rPr>
        <w:t>l At [</w:t>
      </w:r>
      <w:r w:rsidR="00A83AED">
        <w:rPr>
          <w:rFonts w:ascii="Arial" w:hAnsi="Arial" w:cs="Arial"/>
          <w:color w:val="000000"/>
          <w:sz w:val="20"/>
        </w:rPr>
        <w:t>53</w:t>
      </w:r>
      <w:r>
        <w:rPr>
          <w:rFonts w:ascii="Arial" w:hAnsi="Arial" w:cs="Arial"/>
          <w:color w:val="000000"/>
          <w:sz w:val="20"/>
        </w:rPr>
        <w:t>]-[</w:t>
      </w:r>
      <w:r w:rsidR="00A83AED">
        <w:rPr>
          <w:rFonts w:ascii="Arial" w:hAnsi="Arial" w:cs="Arial"/>
          <w:color w:val="000000"/>
          <w:sz w:val="20"/>
        </w:rPr>
        <w:t>54</w:t>
      </w:r>
      <w:r>
        <w:rPr>
          <w:rFonts w:ascii="Arial" w:hAnsi="Arial" w:cs="Arial"/>
          <w:color w:val="000000"/>
          <w:sz w:val="20"/>
        </w:rPr>
        <w:t xml:space="preserve">] Priest, Beach and Walker JJA </w:t>
      </w:r>
      <w:r w:rsidR="00A83AED">
        <w:rPr>
          <w:rFonts w:ascii="Arial" w:hAnsi="Arial" w:cs="Arial"/>
          <w:color w:val="000000"/>
          <w:sz w:val="20"/>
        </w:rPr>
        <w:t xml:space="preserve">discussed </w:t>
      </w:r>
      <w:r w:rsidR="00A83AED" w:rsidRPr="00A83AED">
        <w:rPr>
          <w:rFonts w:ascii="Arial" w:hAnsi="Arial" w:cs="Arial"/>
          <w:i/>
          <w:iCs/>
          <w:color w:val="000000"/>
          <w:sz w:val="20"/>
        </w:rPr>
        <w:t>Roberts v The Queen</w:t>
      </w:r>
      <w:r w:rsidR="00A83AED">
        <w:rPr>
          <w:rFonts w:ascii="Arial" w:hAnsi="Arial" w:cs="Arial"/>
          <w:color w:val="000000"/>
          <w:sz w:val="20"/>
        </w:rPr>
        <w:t xml:space="preserve"> [2020] VSCA 58 and at [55]-[56] </w:t>
      </w:r>
      <w:r w:rsidR="00704434">
        <w:rPr>
          <w:rFonts w:ascii="Arial" w:hAnsi="Arial" w:cs="Arial"/>
          <w:color w:val="000000"/>
          <w:sz w:val="20"/>
        </w:rPr>
        <w:t xml:space="preserve">&amp; [62] </w:t>
      </w:r>
      <w:r w:rsidR="00A83AED">
        <w:rPr>
          <w:rFonts w:ascii="Arial" w:hAnsi="Arial" w:cs="Arial"/>
          <w:color w:val="000000"/>
          <w:sz w:val="20"/>
        </w:rPr>
        <w:t>said:</w:t>
      </w:r>
    </w:p>
    <w:p w14:paraId="304E72DF" w14:textId="76A0C829" w:rsidR="00C474B0" w:rsidRDefault="00C474B0" w:rsidP="00C474B0">
      <w:pPr>
        <w:spacing w:before="60"/>
        <w:ind w:left="357" w:right="357"/>
        <w:jc w:val="both"/>
        <w:rPr>
          <w:rFonts w:ascii="Arial" w:hAnsi="Arial" w:cs="Arial"/>
          <w:color w:val="000000"/>
          <w:sz w:val="20"/>
        </w:rPr>
      </w:pPr>
      <w:r>
        <w:rPr>
          <w:rFonts w:ascii="Arial" w:hAnsi="Arial" w:cs="Arial"/>
          <w:iCs/>
          <w:sz w:val="20"/>
          <w:szCs w:val="20"/>
        </w:rPr>
        <w:t>[55] “</w:t>
      </w:r>
      <w:r w:rsidR="00A83AED" w:rsidRPr="00A83AED">
        <w:rPr>
          <w:rFonts w:ascii="Arial" w:hAnsi="Arial" w:cs="Arial"/>
          <w:color w:val="000000"/>
          <w:sz w:val="20"/>
        </w:rPr>
        <w:t xml:space="preserve">As this Court observed in </w:t>
      </w:r>
      <w:r w:rsidR="00A83AED" w:rsidRPr="00C474B0">
        <w:rPr>
          <w:rFonts w:ascii="Arial" w:hAnsi="Arial" w:cs="Arial"/>
          <w:i/>
          <w:iCs/>
          <w:color w:val="000000"/>
          <w:sz w:val="20"/>
        </w:rPr>
        <w:t>AJ v The Queen</w:t>
      </w:r>
      <w:r w:rsidR="00A83AED" w:rsidRPr="00A83AED">
        <w:rPr>
          <w:rFonts w:ascii="Arial" w:hAnsi="Arial" w:cs="Arial"/>
          <w:color w:val="000000"/>
          <w:sz w:val="20"/>
        </w:rPr>
        <w:t xml:space="preserve"> </w:t>
      </w:r>
      <w:r w:rsidR="001B5605" w:rsidRPr="001B5605">
        <w:rPr>
          <w:rFonts w:ascii="Arial" w:hAnsi="Arial" w:cs="Arial"/>
          <w:color w:val="000000"/>
          <w:sz w:val="20"/>
        </w:rPr>
        <w:t>(2010) 32 VR 614, 620 [22</w:t>
      </w:r>
      <w:r w:rsidR="001B5605">
        <w:rPr>
          <w:rFonts w:ascii="Arial" w:hAnsi="Arial" w:cs="Arial"/>
          <w:color w:val="000000"/>
          <w:sz w:val="20"/>
        </w:rPr>
        <w:t>]</w:t>
      </w:r>
      <w:r>
        <w:rPr>
          <w:rFonts w:ascii="Arial" w:hAnsi="Arial" w:cs="Arial"/>
          <w:color w:val="000000"/>
          <w:sz w:val="20"/>
        </w:rPr>
        <w:t xml:space="preserve">, </w:t>
      </w:r>
      <w:r w:rsidR="00A83AED" w:rsidRPr="00A83AED">
        <w:rPr>
          <w:rFonts w:ascii="Arial" w:hAnsi="Arial" w:cs="Arial"/>
          <w:color w:val="000000"/>
          <w:sz w:val="20"/>
        </w:rPr>
        <w:t>in order for this Court to conclude that a trial is vitiated by non-disclosure ‘it is not necessary for the appellant to demonstrate that the</w:t>
      </w:r>
      <w:r>
        <w:rPr>
          <w:rFonts w:ascii="Arial" w:hAnsi="Arial" w:cs="Arial"/>
          <w:color w:val="000000"/>
          <w:sz w:val="20"/>
        </w:rPr>
        <w:t xml:space="preserve"> </w:t>
      </w:r>
      <w:r w:rsidRPr="00C474B0">
        <w:rPr>
          <w:rFonts w:ascii="Arial" w:hAnsi="Arial" w:cs="Arial"/>
          <w:color w:val="000000"/>
          <w:sz w:val="20"/>
        </w:rPr>
        <w:t xml:space="preserve">jury verdict </w:t>
      </w:r>
      <w:r w:rsidRPr="00C474B0">
        <w:rPr>
          <w:rFonts w:ascii="Arial" w:hAnsi="Arial" w:cs="Arial"/>
          <w:i/>
          <w:iCs/>
          <w:color w:val="000000"/>
          <w:sz w:val="20"/>
        </w:rPr>
        <w:t>would</w:t>
      </w:r>
      <w:r w:rsidRPr="00C474B0">
        <w:rPr>
          <w:rFonts w:ascii="Arial" w:hAnsi="Arial" w:cs="Arial"/>
          <w:color w:val="000000"/>
          <w:sz w:val="20"/>
        </w:rPr>
        <w:t xml:space="preserve"> have been different had the obligation been complied with’. Nonetheless, it will be necessary for the Court to be satisfied that the evidence </w:t>
      </w:r>
      <w:r w:rsidRPr="00C474B0">
        <w:rPr>
          <w:rFonts w:ascii="Arial" w:hAnsi="Arial" w:cs="Arial"/>
          <w:i/>
          <w:iCs/>
          <w:color w:val="000000"/>
          <w:sz w:val="20"/>
        </w:rPr>
        <w:t>could</w:t>
      </w:r>
      <w:r w:rsidRPr="00C474B0">
        <w:rPr>
          <w:rFonts w:ascii="Arial" w:hAnsi="Arial" w:cs="Arial"/>
          <w:color w:val="000000"/>
          <w:sz w:val="20"/>
        </w:rPr>
        <w:t xml:space="preserve"> have resulted in a different verdict. Were it otherwise, there would be no substantial miscarriage of justice by reason of the failure to disclose the evidence.</w:t>
      </w:r>
      <w:r w:rsidR="001B5605">
        <w:rPr>
          <w:rFonts w:ascii="Arial" w:hAnsi="Arial" w:cs="Arial"/>
          <w:color w:val="000000"/>
          <w:sz w:val="20"/>
        </w:rPr>
        <w:t xml:space="preserve"> [emphasis added]</w:t>
      </w:r>
    </w:p>
    <w:p w14:paraId="61F876A9" w14:textId="5E0B5DB3" w:rsidR="00C474B0" w:rsidRDefault="00C474B0" w:rsidP="00C474B0">
      <w:pPr>
        <w:spacing w:before="60"/>
        <w:ind w:left="357" w:right="357"/>
        <w:jc w:val="both"/>
        <w:rPr>
          <w:rFonts w:ascii="Arial" w:hAnsi="Arial" w:cs="Arial"/>
          <w:color w:val="000000"/>
          <w:sz w:val="20"/>
        </w:rPr>
      </w:pPr>
      <w:r>
        <w:rPr>
          <w:rFonts w:ascii="Arial" w:hAnsi="Arial" w:cs="Arial"/>
          <w:iCs/>
          <w:sz w:val="20"/>
          <w:szCs w:val="20"/>
        </w:rPr>
        <w:t>[</w:t>
      </w:r>
      <w:r w:rsidRPr="00C474B0">
        <w:rPr>
          <w:rFonts w:ascii="Arial" w:hAnsi="Arial" w:cs="Arial"/>
          <w:color w:val="000000"/>
          <w:sz w:val="20"/>
        </w:rPr>
        <w:t>56</w:t>
      </w:r>
      <w:r>
        <w:rPr>
          <w:rFonts w:ascii="Arial" w:hAnsi="Arial" w:cs="Arial"/>
          <w:color w:val="000000"/>
          <w:sz w:val="20"/>
        </w:rPr>
        <w:t>]</w:t>
      </w:r>
      <w:r w:rsidRPr="00C474B0">
        <w:rPr>
          <w:rFonts w:ascii="Arial" w:hAnsi="Arial" w:cs="Arial"/>
          <w:color w:val="000000"/>
          <w:sz w:val="20"/>
        </w:rPr>
        <w:t xml:space="preserve"> This approach to a failure to disclose evidence is consistent with the recent decision of the High Court in </w:t>
      </w:r>
      <w:r w:rsidRPr="00C474B0">
        <w:rPr>
          <w:rFonts w:ascii="Arial" w:hAnsi="Arial" w:cs="Arial"/>
          <w:i/>
          <w:iCs/>
          <w:color w:val="000000"/>
          <w:sz w:val="20"/>
        </w:rPr>
        <w:t>Brawn</w:t>
      </w:r>
      <w:r w:rsidR="00704434">
        <w:rPr>
          <w:rFonts w:ascii="Arial" w:hAnsi="Arial" w:cs="Arial"/>
          <w:color w:val="000000"/>
          <w:sz w:val="20"/>
        </w:rPr>
        <w:t xml:space="preserve"> </w:t>
      </w:r>
      <w:r w:rsidR="00704434" w:rsidRPr="00704434">
        <w:rPr>
          <w:rFonts w:ascii="Arial" w:hAnsi="Arial" w:cs="Arial"/>
          <w:color w:val="000000"/>
          <w:sz w:val="20"/>
        </w:rPr>
        <w:t>(2025) 99 ALJR 872, 874 [3]; [2025] HCA 20</w:t>
      </w:r>
      <w:r w:rsidR="00704434">
        <w:rPr>
          <w:rFonts w:ascii="Arial" w:hAnsi="Arial" w:cs="Arial"/>
          <w:color w:val="000000"/>
          <w:sz w:val="20"/>
        </w:rPr>
        <w:t xml:space="preserve"> </w:t>
      </w:r>
      <w:r w:rsidRPr="00C474B0">
        <w:rPr>
          <w:rFonts w:ascii="Arial" w:hAnsi="Arial" w:cs="Arial"/>
          <w:color w:val="000000"/>
          <w:sz w:val="20"/>
        </w:rPr>
        <w:t>where the Court said this:</w:t>
      </w:r>
    </w:p>
    <w:p w14:paraId="5B42C12C" w14:textId="3C3DE306" w:rsidR="00C474B0" w:rsidRPr="00C474B0" w:rsidRDefault="00C474B0" w:rsidP="00C474B0">
      <w:pPr>
        <w:spacing w:before="60"/>
        <w:ind w:left="720" w:right="720"/>
        <w:jc w:val="both"/>
        <w:rPr>
          <w:rFonts w:ascii="Arial" w:hAnsi="Arial" w:cs="Arial"/>
          <w:iCs/>
          <w:sz w:val="16"/>
          <w:szCs w:val="16"/>
        </w:rPr>
      </w:pPr>
      <w:r w:rsidRPr="00C474B0">
        <w:rPr>
          <w:rFonts w:ascii="Arial" w:hAnsi="Arial" w:cs="Arial"/>
          <w:color w:val="000000"/>
          <w:sz w:val="18"/>
          <w:szCs w:val="22"/>
        </w:rPr>
        <w:t>[W]here it has been shown that there was error or irregularity in a criminal trial, such as the breach of the prosecution’s duty of disclosure that occurred in this case, then to establish a miscarriage of justice it must be shown that the error or irregularity was material in the sense that the error or irregularity could realistically have affected the reasoning of the jury to its verdict. The Court of Appeal erred to the extent that it required that it be demonstrated that the appellant’s defence would have been conducted differently but for the error or irregularity…</w:t>
      </w:r>
    </w:p>
    <w:p w14:paraId="09759BB8" w14:textId="2348D289" w:rsidR="00C474B0" w:rsidRDefault="00704434" w:rsidP="00704434">
      <w:pPr>
        <w:spacing w:before="60"/>
        <w:ind w:left="357" w:right="357"/>
        <w:jc w:val="both"/>
        <w:rPr>
          <w:rFonts w:ascii="Arial" w:hAnsi="Arial" w:cs="Arial"/>
          <w:color w:val="000000"/>
          <w:sz w:val="20"/>
        </w:rPr>
      </w:pPr>
      <w:r>
        <w:rPr>
          <w:rFonts w:ascii="Arial" w:hAnsi="Arial" w:cs="Arial"/>
          <w:color w:val="000000"/>
          <w:sz w:val="20"/>
        </w:rPr>
        <w:t>…</w:t>
      </w:r>
    </w:p>
    <w:p w14:paraId="3C98AC81" w14:textId="09823141" w:rsidR="00704434" w:rsidRDefault="00704434" w:rsidP="00704434">
      <w:pPr>
        <w:spacing w:before="60"/>
        <w:ind w:left="357" w:right="357"/>
        <w:jc w:val="both"/>
        <w:rPr>
          <w:rFonts w:ascii="Arial" w:hAnsi="Arial" w:cs="Arial"/>
          <w:color w:val="000000"/>
          <w:sz w:val="20"/>
        </w:rPr>
      </w:pPr>
      <w:r>
        <w:rPr>
          <w:rFonts w:ascii="Arial" w:hAnsi="Arial" w:cs="Arial"/>
          <w:color w:val="000000"/>
          <w:sz w:val="20"/>
        </w:rPr>
        <w:t>[62] “</w:t>
      </w:r>
      <w:r w:rsidRPr="00704434">
        <w:rPr>
          <w:rFonts w:ascii="Arial" w:hAnsi="Arial" w:cs="Arial"/>
          <w:color w:val="000000"/>
          <w:sz w:val="20"/>
        </w:rPr>
        <w:t>There can be no doubt that evidence would have been of real forensic utility to the defence. A central plank of the defence was that MA had caused the complainant to lie. An attack on MA’s credit was mounted — but was ultimately unsuccessful. Had this evidence been available to the defence at trial, there was a significant possibility that the evidence, if believed, would have led the jury, acting reasonably, to have concluded that MA was not a witness of credit. Had they so concluded, this could realistically have affected the reasoning of the jury to its verdict. That is so even assuming that it would have been open on the complainant’s evidence for the jury to convict.</w:t>
      </w:r>
      <w:r>
        <w:rPr>
          <w:rFonts w:ascii="Arial" w:hAnsi="Arial" w:cs="Arial"/>
          <w:color w:val="000000"/>
          <w:sz w:val="20"/>
        </w:rPr>
        <w:t>”</w:t>
      </w:r>
    </w:p>
    <w:p w14:paraId="0CDAC4D7" w14:textId="28180CE1" w:rsidR="00A83AED" w:rsidRDefault="00A83AED" w:rsidP="00704434">
      <w:pPr>
        <w:spacing w:before="60"/>
        <w:jc w:val="both"/>
        <w:rPr>
          <w:rFonts w:ascii="Arial" w:hAnsi="Arial" w:cs="Arial"/>
          <w:color w:val="000000"/>
          <w:sz w:val="20"/>
        </w:rPr>
      </w:pPr>
      <w:r>
        <w:rPr>
          <w:rFonts w:ascii="Arial" w:hAnsi="Arial" w:cs="Arial"/>
          <w:color w:val="000000"/>
          <w:sz w:val="20"/>
        </w:rPr>
        <w:t>Leave to appeal was granted, the appeal was allowed and a new trial ordered.</w:t>
      </w:r>
    </w:p>
    <w:p w14:paraId="7D8914E2" w14:textId="77777777" w:rsidR="00A83AED" w:rsidRDefault="00A83AED" w:rsidP="001F1C85">
      <w:pPr>
        <w:jc w:val="both"/>
        <w:rPr>
          <w:rFonts w:ascii="Arial" w:hAnsi="Arial" w:cs="Arial"/>
          <w:color w:val="000000"/>
          <w:sz w:val="20"/>
        </w:rPr>
      </w:pPr>
    </w:p>
    <w:p w14:paraId="502CDE07" w14:textId="77777777" w:rsidR="001F1C85" w:rsidRPr="009F25D4" w:rsidRDefault="001F1C85" w:rsidP="001F1C85">
      <w:pPr>
        <w:pStyle w:val="Heading3"/>
        <w:keepNext/>
        <w:spacing w:line="240" w:lineRule="auto"/>
        <w:rPr>
          <w:rFonts w:ascii="Arial" w:hAnsi="Arial" w:cs="Arial"/>
          <w:b/>
          <w:bCs/>
          <w:color w:val="000000"/>
          <w:sz w:val="20"/>
        </w:rPr>
      </w:pPr>
      <w:bookmarkStart w:id="816" w:name="_3.5.9.3__Production"/>
      <w:bookmarkStart w:id="817" w:name="B3593"/>
      <w:bookmarkEnd w:id="816"/>
      <w:bookmarkEnd w:id="817"/>
      <w:r w:rsidRPr="009F25D4">
        <w:rPr>
          <w:rFonts w:ascii="Arial" w:hAnsi="Arial" w:cs="Arial"/>
          <w:b/>
          <w:bCs/>
          <w:color w:val="000000"/>
          <w:sz w:val="20"/>
        </w:rPr>
        <w:t xml:space="preserve">3.5.9.3  Production </w:t>
      </w:r>
      <w:r w:rsidR="00BD4A44" w:rsidRPr="009F25D4">
        <w:rPr>
          <w:rFonts w:ascii="Arial" w:hAnsi="Arial" w:cs="Arial"/>
          <w:b/>
          <w:bCs/>
          <w:color w:val="000000"/>
          <w:sz w:val="20"/>
        </w:rPr>
        <w:t xml:space="preserve">of “notes” in “apprehension cases” </w:t>
      </w:r>
      <w:r w:rsidR="008A5C71" w:rsidRPr="009F25D4">
        <w:rPr>
          <w:rFonts w:ascii="Arial" w:hAnsi="Arial" w:cs="Arial"/>
          <w:b/>
          <w:bCs/>
          <w:color w:val="000000"/>
          <w:sz w:val="20"/>
        </w:rPr>
        <w:t xml:space="preserve">in </w:t>
      </w:r>
      <w:r w:rsidRPr="009F25D4">
        <w:rPr>
          <w:rFonts w:ascii="Arial" w:hAnsi="Arial" w:cs="Arial"/>
          <w:b/>
          <w:bCs/>
          <w:color w:val="000000"/>
          <w:sz w:val="20"/>
        </w:rPr>
        <w:t>the Family Division</w:t>
      </w:r>
    </w:p>
    <w:p w14:paraId="644EA0E9" w14:textId="77777777" w:rsidR="0071156A" w:rsidRPr="009F25D4" w:rsidRDefault="0071156A" w:rsidP="00132D91">
      <w:pPr>
        <w:spacing w:before="120"/>
        <w:jc w:val="both"/>
        <w:rPr>
          <w:rFonts w:ascii="Arial" w:hAnsi="Arial" w:cs="Arial"/>
          <w:color w:val="000000"/>
          <w:sz w:val="20"/>
        </w:rPr>
      </w:pPr>
      <w:r w:rsidRPr="009F25D4">
        <w:rPr>
          <w:rFonts w:ascii="Arial" w:hAnsi="Arial" w:cs="Arial"/>
          <w:color w:val="000000"/>
          <w:sz w:val="20"/>
        </w:rPr>
        <w:t xml:space="preserve">For many years it has been common at </w:t>
      </w:r>
      <w:r w:rsidR="00216E00">
        <w:rPr>
          <w:rFonts w:ascii="Arial" w:hAnsi="Arial" w:cs="Arial"/>
          <w:color w:val="000000"/>
          <w:sz w:val="20"/>
        </w:rPr>
        <w:t>Victorian</w:t>
      </w:r>
      <w:r w:rsidR="00F730A1">
        <w:rPr>
          <w:rFonts w:ascii="Arial" w:hAnsi="Arial" w:cs="Arial"/>
          <w:color w:val="000000"/>
          <w:sz w:val="20"/>
        </w:rPr>
        <w:t xml:space="preserve"> </w:t>
      </w:r>
      <w:r w:rsidRPr="009F25D4">
        <w:rPr>
          <w:rFonts w:ascii="Arial" w:hAnsi="Arial" w:cs="Arial"/>
          <w:color w:val="000000"/>
          <w:sz w:val="20"/>
        </w:rPr>
        <w:t>Children’s Court</w:t>
      </w:r>
      <w:r w:rsidR="00F730A1">
        <w:rPr>
          <w:rFonts w:ascii="Arial" w:hAnsi="Arial" w:cs="Arial"/>
          <w:color w:val="000000"/>
          <w:sz w:val="20"/>
        </w:rPr>
        <w:t>s</w:t>
      </w:r>
      <w:r w:rsidRPr="009F25D4">
        <w:rPr>
          <w:rFonts w:ascii="Arial" w:hAnsi="Arial" w:cs="Arial"/>
          <w:color w:val="000000"/>
          <w:sz w:val="20"/>
        </w:rPr>
        <w:t xml:space="preserve"> for legal representatives of parties in “apprehension cases” in the Family Division to make oral applications for orders that </w:t>
      </w:r>
      <w:r w:rsidR="000F6855">
        <w:rPr>
          <w:rFonts w:ascii="Arial" w:hAnsi="Arial" w:cs="Arial"/>
          <w:color w:val="000000"/>
          <w:sz w:val="20"/>
        </w:rPr>
        <w:t>DFFH</w:t>
      </w:r>
      <w:r w:rsidRPr="009F25D4">
        <w:rPr>
          <w:rFonts w:ascii="Arial" w:hAnsi="Arial" w:cs="Arial"/>
          <w:color w:val="000000"/>
          <w:sz w:val="20"/>
        </w:rPr>
        <w:t xml:space="preserve"> provide them with copies of all relevant documentation </w:t>
      </w:r>
      <w:r w:rsidR="00DF0C10" w:rsidRPr="009F25D4">
        <w:rPr>
          <w:rFonts w:ascii="Arial" w:hAnsi="Arial" w:cs="Arial"/>
          <w:color w:val="000000"/>
          <w:sz w:val="20"/>
        </w:rPr>
        <w:t>which</w:t>
      </w:r>
      <w:r w:rsidR="00BD4A44" w:rsidRPr="009F25D4">
        <w:rPr>
          <w:rFonts w:ascii="Arial" w:hAnsi="Arial" w:cs="Arial"/>
          <w:color w:val="000000"/>
          <w:sz w:val="20"/>
        </w:rPr>
        <w:t xml:space="preserve"> is </w:t>
      </w:r>
      <w:r w:rsidRPr="009F25D4">
        <w:rPr>
          <w:rFonts w:ascii="Arial" w:hAnsi="Arial" w:cs="Arial"/>
          <w:color w:val="000000"/>
          <w:sz w:val="20"/>
        </w:rPr>
        <w:t xml:space="preserve">in </w:t>
      </w:r>
      <w:r w:rsidR="000F6855">
        <w:rPr>
          <w:rFonts w:ascii="Arial" w:hAnsi="Arial" w:cs="Arial"/>
          <w:color w:val="000000"/>
          <w:sz w:val="20"/>
        </w:rPr>
        <w:t>DFFH</w:t>
      </w:r>
      <w:r w:rsidRPr="009F25D4">
        <w:rPr>
          <w:rFonts w:ascii="Arial" w:hAnsi="Arial" w:cs="Arial"/>
          <w:color w:val="000000"/>
          <w:sz w:val="20"/>
        </w:rPr>
        <w:t>’</w:t>
      </w:r>
      <w:r w:rsidR="000F6855">
        <w:rPr>
          <w:rFonts w:ascii="Arial" w:hAnsi="Arial" w:cs="Arial"/>
          <w:color w:val="000000"/>
          <w:sz w:val="20"/>
        </w:rPr>
        <w:t>s</w:t>
      </w:r>
      <w:r w:rsidRPr="009F25D4">
        <w:rPr>
          <w:rFonts w:ascii="Arial" w:hAnsi="Arial" w:cs="Arial"/>
          <w:color w:val="000000"/>
          <w:sz w:val="20"/>
        </w:rPr>
        <w:t xml:space="preserve"> possession at Court.  For reasons </w:t>
      </w:r>
      <w:r w:rsidR="00DF0C10" w:rsidRPr="009F25D4">
        <w:rPr>
          <w:rFonts w:ascii="Arial" w:hAnsi="Arial" w:cs="Arial"/>
          <w:color w:val="000000"/>
          <w:sz w:val="20"/>
        </w:rPr>
        <w:t>that</w:t>
      </w:r>
      <w:r w:rsidRPr="009F25D4">
        <w:rPr>
          <w:rFonts w:ascii="Arial" w:hAnsi="Arial" w:cs="Arial"/>
          <w:color w:val="000000"/>
          <w:sz w:val="20"/>
        </w:rPr>
        <w:t xml:space="preserve"> the writer </w:t>
      </w:r>
      <w:r w:rsidR="00921E5B" w:rsidRPr="009F25D4">
        <w:rPr>
          <w:rFonts w:ascii="Arial" w:hAnsi="Arial" w:cs="Arial"/>
          <w:color w:val="000000"/>
          <w:sz w:val="20"/>
        </w:rPr>
        <w:t>cannot</w:t>
      </w:r>
      <w:r w:rsidRPr="009F25D4">
        <w:rPr>
          <w:rFonts w:ascii="Arial" w:hAnsi="Arial" w:cs="Arial"/>
          <w:color w:val="000000"/>
          <w:sz w:val="20"/>
        </w:rPr>
        <w:t xml:space="preserve"> understand</w:t>
      </w:r>
      <w:r w:rsidR="00921E5B" w:rsidRPr="009F25D4">
        <w:rPr>
          <w:rFonts w:ascii="Arial" w:hAnsi="Arial" w:cs="Arial"/>
          <w:color w:val="000000"/>
          <w:sz w:val="20"/>
        </w:rPr>
        <w:t>,</w:t>
      </w:r>
      <w:r w:rsidRPr="009F25D4">
        <w:rPr>
          <w:rFonts w:ascii="Arial" w:hAnsi="Arial" w:cs="Arial"/>
          <w:color w:val="000000"/>
          <w:sz w:val="20"/>
        </w:rPr>
        <w:t xml:space="preserve"> D</w:t>
      </w:r>
      <w:r w:rsidR="000F6855">
        <w:rPr>
          <w:rFonts w:ascii="Arial" w:hAnsi="Arial" w:cs="Arial"/>
          <w:color w:val="000000"/>
          <w:sz w:val="20"/>
        </w:rPr>
        <w:t>FFH</w:t>
      </w:r>
      <w:r w:rsidRPr="009F25D4">
        <w:rPr>
          <w:rFonts w:ascii="Arial" w:hAnsi="Arial" w:cs="Arial"/>
          <w:color w:val="000000"/>
          <w:sz w:val="20"/>
        </w:rPr>
        <w:t xml:space="preserve"> has always refused to make such disclosure without a formal Court order to this effect although it is very rare for D</w:t>
      </w:r>
      <w:r w:rsidR="000F6855">
        <w:rPr>
          <w:rFonts w:ascii="Arial" w:hAnsi="Arial" w:cs="Arial"/>
          <w:color w:val="000000"/>
          <w:sz w:val="20"/>
        </w:rPr>
        <w:t>FFH</w:t>
      </w:r>
      <w:r w:rsidRPr="009F25D4">
        <w:rPr>
          <w:rFonts w:ascii="Arial" w:hAnsi="Arial" w:cs="Arial"/>
          <w:color w:val="000000"/>
          <w:sz w:val="20"/>
        </w:rPr>
        <w:t xml:space="preserve"> to argue that </w:t>
      </w:r>
      <w:r w:rsidR="00BD4A44" w:rsidRPr="009F25D4">
        <w:rPr>
          <w:rFonts w:ascii="Arial" w:hAnsi="Arial" w:cs="Arial"/>
          <w:color w:val="000000"/>
          <w:sz w:val="20"/>
        </w:rPr>
        <w:t>some</w:t>
      </w:r>
      <w:r w:rsidRPr="009F25D4">
        <w:rPr>
          <w:rFonts w:ascii="Arial" w:hAnsi="Arial" w:cs="Arial"/>
          <w:color w:val="000000"/>
          <w:sz w:val="20"/>
        </w:rPr>
        <w:t xml:space="preserve"> or </w:t>
      </w:r>
      <w:r w:rsidR="00BD4A44" w:rsidRPr="009F25D4">
        <w:rPr>
          <w:rFonts w:ascii="Arial" w:hAnsi="Arial" w:cs="Arial"/>
          <w:color w:val="000000"/>
          <w:sz w:val="20"/>
        </w:rPr>
        <w:t>all</w:t>
      </w:r>
      <w:r w:rsidRPr="009F25D4">
        <w:rPr>
          <w:rFonts w:ascii="Arial" w:hAnsi="Arial" w:cs="Arial"/>
          <w:color w:val="000000"/>
          <w:sz w:val="20"/>
        </w:rPr>
        <w:t xml:space="preserve"> of the relevant documents in its possession ought not be the subje</w:t>
      </w:r>
      <w:r w:rsidR="00921E5B" w:rsidRPr="009F25D4">
        <w:rPr>
          <w:rFonts w:ascii="Arial" w:hAnsi="Arial" w:cs="Arial"/>
          <w:color w:val="000000"/>
          <w:sz w:val="20"/>
        </w:rPr>
        <w:t>ct of an order for production.</w:t>
      </w:r>
    </w:p>
    <w:p w14:paraId="377FF9D7" w14:textId="77777777" w:rsidR="0071156A" w:rsidRPr="009F25D4" w:rsidRDefault="0071156A" w:rsidP="0071156A">
      <w:pPr>
        <w:jc w:val="both"/>
        <w:rPr>
          <w:rFonts w:ascii="Arial" w:hAnsi="Arial" w:cs="Arial"/>
          <w:color w:val="000000"/>
          <w:sz w:val="20"/>
        </w:rPr>
      </w:pPr>
    </w:p>
    <w:p w14:paraId="43A075DC" w14:textId="77777777" w:rsidR="00921E5B" w:rsidRPr="009F25D4" w:rsidRDefault="00921E5B" w:rsidP="0071156A">
      <w:pPr>
        <w:jc w:val="both"/>
        <w:rPr>
          <w:rFonts w:ascii="Arial" w:hAnsi="Arial" w:cs="Arial"/>
          <w:color w:val="000000"/>
          <w:sz w:val="20"/>
        </w:rPr>
      </w:pPr>
      <w:r w:rsidRPr="009F25D4">
        <w:rPr>
          <w:rFonts w:ascii="Arial" w:hAnsi="Arial" w:cs="Arial"/>
          <w:color w:val="000000"/>
          <w:sz w:val="20"/>
        </w:rPr>
        <w:t>As with documents produced by D</w:t>
      </w:r>
      <w:r w:rsidR="000F6855">
        <w:rPr>
          <w:rFonts w:ascii="Arial" w:hAnsi="Arial" w:cs="Arial"/>
          <w:color w:val="000000"/>
          <w:sz w:val="20"/>
        </w:rPr>
        <w:t>FFH</w:t>
      </w:r>
      <w:r w:rsidRPr="009F25D4">
        <w:rPr>
          <w:rFonts w:ascii="Arial" w:hAnsi="Arial" w:cs="Arial"/>
          <w:color w:val="000000"/>
          <w:sz w:val="20"/>
        </w:rPr>
        <w:t xml:space="preserve"> under sub-poena, details </w:t>
      </w:r>
      <w:r w:rsidR="00BD4A44" w:rsidRPr="009F25D4">
        <w:rPr>
          <w:rFonts w:ascii="Arial" w:hAnsi="Arial" w:cs="Arial"/>
          <w:color w:val="000000"/>
          <w:sz w:val="20"/>
        </w:rPr>
        <w:t xml:space="preserve">that </w:t>
      </w:r>
      <w:r w:rsidRPr="009F25D4">
        <w:rPr>
          <w:rFonts w:ascii="Arial" w:hAnsi="Arial" w:cs="Arial"/>
          <w:color w:val="000000"/>
          <w:sz w:val="20"/>
        </w:rPr>
        <w:t>might tend to identify a notifier are generally removed from documents produced by D</w:t>
      </w:r>
      <w:r w:rsidR="000F6855">
        <w:rPr>
          <w:rFonts w:ascii="Arial" w:hAnsi="Arial" w:cs="Arial"/>
          <w:color w:val="000000"/>
          <w:sz w:val="20"/>
        </w:rPr>
        <w:t>FFH</w:t>
      </w:r>
      <w:r w:rsidRPr="009F25D4">
        <w:rPr>
          <w:rFonts w:ascii="Arial" w:hAnsi="Arial" w:cs="Arial"/>
          <w:color w:val="000000"/>
          <w:sz w:val="20"/>
        </w:rPr>
        <w:t xml:space="preserve"> pursuant to such Court order.</w:t>
      </w:r>
    </w:p>
    <w:p w14:paraId="7DD66112" w14:textId="77777777" w:rsidR="00921E5B" w:rsidRPr="009F25D4" w:rsidRDefault="00921E5B" w:rsidP="0071156A">
      <w:pPr>
        <w:jc w:val="both"/>
        <w:rPr>
          <w:rFonts w:ascii="Arial" w:hAnsi="Arial" w:cs="Arial"/>
          <w:color w:val="000000"/>
          <w:sz w:val="20"/>
        </w:rPr>
      </w:pPr>
    </w:p>
    <w:p w14:paraId="2456DBD0" w14:textId="0BEA588D" w:rsidR="00921E5B" w:rsidRPr="009F25D4" w:rsidRDefault="00921E5B" w:rsidP="008801D3">
      <w:pPr>
        <w:jc w:val="both"/>
        <w:rPr>
          <w:rFonts w:ascii="Arial" w:hAnsi="Arial" w:cs="Arial"/>
          <w:color w:val="000000"/>
          <w:sz w:val="20"/>
        </w:rPr>
      </w:pPr>
      <w:r w:rsidRPr="009F25D4">
        <w:rPr>
          <w:rFonts w:ascii="Arial" w:hAnsi="Arial" w:cs="Arial"/>
          <w:color w:val="000000"/>
          <w:sz w:val="20"/>
        </w:rPr>
        <w:t xml:space="preserve">The legal basis of a Court order for production of documents in these circumstances </w:t>
      </w:r>
      <w:r w:rsidR="0003614B" w:rsidRPr="009F25D4">
        <w:rPr>
          <w:rFonts w:ascii="Arial" w:hAnsi="Arial" w:cs="Arial"/>
          <w:color w:val="000000"/>
          <w:sz w:val="20"/>
        </w:rPr>
        <w:t xml:space="preserve">used to be </w:t>
      </w:r>
      <w:r w:rsidRPr="009F25D4">
        <w:rPr>
          <w:rFonts w:ascii="Arial" w:hAnsi="Arial" w:cs="Arial"/>
          <w:color w:val="000000"/>
          <w:sz w:val="20"/>
        </w:rPr>
        <w:t xml:space="preserve">said to be s.11 of the </w:t>
      </w:r>
      <w:r w:rsidRPr="00A82F40">
        <w:rPr>
          <w:rFonts w:ascii="Arial" w:hAnsi="Arial" w:cs="Arial"/>
          <w:i/>
          <w:iCs/>
          <w:color w:val="000000"/>
          <w:sz w:val="20"/>
        </w:rPr>
        <w:t>Evidence Act 1958</w:t>
      </w:r>
      <w:r w:rsidR="00A82F40" w:rsidRPr="00A82F40">
        <w:rPr>
          <w:rFonts w:ascii="Arial" w:hAnsi="Arial" w:cs="Arial"/>
          <w:color w:val="000000"/>
          <w:sz w:val="20"/>
        </w:rPr>
        <w:t xml:space="preserve"> </w:t>
      </w:r>
      <w:r w:rsidRPr="009F25D4">
        <w:rPr>
          <w:rFonts w:ascii="Arial" w:hAnsi="Arial" w:cs="Arial"/>
          <w:color w:val="000000"/>
          <w:sz w:val="20"/>
        </w:rPr>
        <w:t>which enabled a party in any case to call upon another party to produce a document which was in his or her possession at Court.  However</w:t>
      </w:r>
      <w:r w:rsidR="000E7306" w:rsidRPr="009F25D4">
        <w:rPr>
          <w:rFonts w:ascii="Arial" w:hAnsi="Arial" w:cs="Arial"/>
          <w:color w:val="000000"/>
          <w:sz w:val="20"/>
        </w:rPr>
        <w:t>,</w:t>
      </w:r>
      <w:r w:rsidRPr="009F25D4">
        <w:rPr>
          <w:rFonts w:ascii="Arial" w:hAnsi="Arial" w:cs="Arial"/>
          <w:color w:val="000000"/>
          <w:sz w:val="20"/>
        </w:rPr>
        <w:t xml:space="preserve"> that section was repealed as and from 01/01/2010.  In an unreported </w:t>
      </w:r>
      <w:r w:rsidRPr="009F25D4">
        <w:rPr>
          <w:rFonts w:ascii="Arial" w:hAnsi="Arial" w:cs="Arial"/>
          <w:i/>
          <w:color w:val="000000"/>
          <w:sz w:val="20"/>
        </w:rPr>
        <w:t>extempore</w:t>
      </w:r>
      <w:r w:rsidRPr="009F25D4">
        <w:rPr>
          <w:rFonts w:ascii="Arial" w:hAnsi="Arial" w:cs="Arial"/>
          <w:color w:val="000000"/>
          <w:sz w:val="20"/>
        </w:rPr>
        <w:t xml:space="preserve"> decision in </w:t>
      </w:r>
      <w:r w:rsidRPr="009F25D4">
        <w:rPr>
          <w:rFonts w:ascii="Arial" w:hAnsi="Arial" w:cs="Arial"/>
          <w:i/>
          <w:color w:val="000000"/>
          <w:sz w:val="20"/>
        </w:rPr>
        <w:t>DOHS v Ms A &amp; Mr G</w:t>
      </w:r>
      <w:r w:rsidRPr="009F25D4">
        <w:rPr>
          <w:rFonts w:ascii="Arial" w:hAnsi="Arial" w:cs="Arial"/>
          <w:color w:val="000000"/>
          <w:sz w:val="20"/>
        </w:rPr>
        <w:t xml:space="preserve"> [0</w:t>
      </w:r>
      <w:r w:rsidR="00A64642">
        <w:rPr>
          <w:rFonts w:ascii="Arial" w:hAnsi="Arial" w:cs="Arial"/>
          <w:color w:val="000000"/>
          <w:sz w:val="20"/>
        </w:rPr>
        <w:t>4</w:t>
      </w:r>
      <w:r w:rsidRPr="009F25D4">
        <w:rPr>
          <w:rFonts w:ascii="Arial" w:hAnsi="Arial" w:cs="Arial"/>
          <w:color w:val="000000"/>
          <w:sz w:val="20"/>
        </w:rPr>
        <w:t xml:space="preserve">/05/2010] Magistrate </w:t>
      </w:r>
      <w:r w:rsidRPr="009F25D4">
        <w:rPr>
          <w:rFonts w:ascii="Arial" w:hAnsi="Arial" w:cs="Arial"/>
          <w:color w:val="000000"/>
          <w:sz w:val="20"/>
        </w:rPr>
        <w:lastRenderedPageBreak/>
        <w:t xml:space="preserve">Power accepted the submission of Mr Howard Draper (solicitor for Mr G) that there were </w:t>
      </w:r>
      <w:r w:rsidR="00F30790">
        <w:rPr>
          <w:rFonts w:ascii="Arial" w:hAnsi="Arial" w:cs="Arial"/>
          <w:color w:val="000000"/>
          <w:sz w:val="20"/>
        </w:rPr>
        <w:t>two</w:t>
      </w:r>
      <w:r w:rsidRPr="009F25D4">
        <w:rPr>
          <w:rFonts w:ascii="Arial" w:hAnsi="Arial" w:cs="Arial"/>
          <w:color w:val="000000"/>
          <w:sz w:val="20"/>
        </w:rPr>
        <w:t xml:space="preserve"> independent sources of power to ground his application for an order that </w:t>
      </w:r>
      <w:r w:rsidR="000F6855">
        <w:rPr>
          <w:rFonts w:ascii="Arial" w:hAnsi="Arial" w:cs="Arial"/>
          <w:color w:val="000000"/>
          <w:sz w:val="20"/>
        </w:rPr>
        <w:t>the Department</w:t>
      </w:r>
      <w:r w:rsidRPr="009F25D4">
        <w:rPr>
          <w:rFonts w:ascii="Arial" w:hAnsi="Arial" w:cs="Arial"/>
          <w:color w:val="000000"/>
          <w:sz w:val="20"/>
        </w:rPr>
        <w:t xml:space="preserve"> provide him with copies of all relevant documentation:</w:t>
      </w:r>
    </w:p>
    <w:p w14:paraId="333B802C" w14:textId="48DD18C7" w:rsidR="00BD4A44" w:rsidRPr="00C42902" w:rsidRDefault="00BD4A44" w:rsidP="00C42902">
      <w:pPr>
        <w:spacing w:before="120"/>
        <w:ind w:left="454"/>
        <w:jc w:val="both"/>
        <w:rPr>
          <w:rFonts w:ascii="Arial" w:hAnsi="Arial" w:cs="Arial"/>
          <w:color w:val="000000"/>
          <w:sz w:val="20"/>
        </w:rPr>
      </w:pPr>
      <w:r w:rsidRPr="00C42902">
        <w:rPr>
          <w:rFonts w:ascii="Arial" w:hAnsi="Arial" w:cs="Arial"/>
          <w:color w:val="000000"/>
          <w:sz w:val="20"/>
        </w:rPr>
        <w:t xml:space="preserve">In </w:t>
      </w:r>
      <w:r w:rsidRPr="00C42902">
        <w:rPr>
          <w:rFonts w:ascii="Arial" w:hAnsi="Arial" w:cs="Arial"/>
          <w:i/>
          <w:color w:val="000000"/>
          <w:sz w:val="20"/>
        </w:rPr>
        <w:t>Sobh v Police Force of Victoria</w:t>
      </w:r>
      <w:r w:rsidRPr="00C42902">
        <w:rPr>
          <w:rFonts w:ascii="Arial" w:hAnsi="Arial" w:cs="Arial"/>
          <w:color w:val="000000"/>
          <w:sz w:val="20"/>
        </w:rPr>
        <w:t xml:space="preserve"> [1994] 1 VR 41 the Appeal Division of the Supreme Court of Victoria permitted disclosure of a police brief to an accused following a request by his solicitor.  At</w:t>
      </w:r>
      <w:r w:rsidR="007961CE">
        <w:rPr>
          <w:rFonts w:ascii="Arial" w:hAnsi="Arial" w:cs="Arial"/>
          <w:color w:val="000000"/>
          <w:sz w:val="20"/>
        </w:rPr>
        <w:t> </w:t>
      </w:r>
      <w:r w:rsidRPr="00C42902">
        <w:rPr>
          <w:rFonts w:ascii="Arial" w:hAnsi="Arial" w:cs="Arial"/>
          <w:color w:val="000000"/>
          <w:sz w:val="20"/>
        </w:rPr>
        <w:t>pp.47-48 Brooking J said:</w:t>
      </w:r>
    </w:p>
    <w:p w14:paraId="0CB0E803" w14:textId="77777777" w:rsidR="00BD4A44" w:rsidRPr="007961CE" w:rsidRDefault="00BD4A44" w:rsidP="00C37348">
      <w:pPr>
        <w:spacing w:before="60"/>
        <w:ind w:left="907" w:right="454"/>
        <w:jc w:val="both"/>
        <w:rPr>
          <w:rFonts w:ascii="Arial" w:hAnsi="Arial" w:cs="Arial"/>
          <w:iCs/>
          <w:color w:val="000000"/>
          <w:sz w:val="20"/>
          <w:szCs w:val="20"/>
        </w:rPr>
      </w:pPr>
      <w:r w:rsidRPr="007961CE">
        <w:rPr>
          <w:rFonts w:ascii="Arial" w:hAnsi="Arial" w:cs="Arial"/>
          <w:iCs/>
          <w:color w:val="000000"/>
          <w:sz w:val="20"/>
          <w:szCs w:val="20"/>
        </w:rPr>
        <w:t xml:space="preserve">“That there is no right in an accused person to obtain discovery of all documents relevant to a charge undoubtedly remains correct: </w:t>
      </w:r>
      <w:r w:rsidRPr="007961CE">
        <w:rPr>
          <w:rFonts w:ascii="Arial" w:hAnsi="Arial" w:cs="Arial"/>
          <w:i/>
          <w:iCs/>
          <w:color w:val="000000"/>
          <w:sz w:val="20"/>
          <w:szCs w:val="20"/>
        </w:rPr>
        <w:t>R v Charlton</w:t>
      </w:r>
      <w:r w:rsidRPr="007961CE">
        <w:rPr>
          <w:rFonts w:ascii="Arial" w:hAnsi="Arial" w:cs="Arial"/>
          <w:iCs/>
          <w:color w:val="000000"/>
          <w:sz w:val="20"/>
          <w:szCs w:val="20"/>
        </w:rPr>
        <w:t xml:space="preserve"> [1972] VR 758; </w:t>
      </w:r>
      <w:r w:rsidRPr="007961CE">
        <w:rPr>
          <w:rFonts w:ascii="Arial" w:hAnsi="Arial" w:cs="Arial"/>
          <w:i/>
          <w:iCs/>
          <w:color w:val="000000"/>
          <w:sz w:val="20"/>
          <w:szCs w:val="20"/>
        </w:rPr>
        <w:t>Clarkson v DPP</w:t>
      </w:r>
      <w:r w:rsidRPr="007961CE">
        <w:rPr>
          <w:rFonts w:ascii="Arial" w:hAnsi="Arial" w:cs="Arial"/>
          <w:iCs/>
          <w:color w:val="000000"/>
          <w:sz w:val="20"/>
          <w:szCs w:val="20"/>
        </w:rPr>
        <w:t xml:space="preserve"> [1990] VR 745 at 759.  But it </w:t>
      </w:r>
      <w:r w:rsidR="000E7306" w:rsidRPr="007961CE">
        <w:rPr>
          <w:rFonts w:ascii="Arial" w:hAnsi="Arial" w:cs="Arial"/>
          <w:iCs/>
          <w:color w:val="000000"/>
          <w:sz w:val="20"/>
          <w:szCs w:val="20"/>
        </w:rPr>
        <w:t>cannot now be denied that the court in its criminal jurisdiction has inherent power to order the prosecution to produce to the defence for inspection documents or things in the possession of the prosecutor where the interests of justice require it.  The interests of justice are not confined to those of the accused.  In determining whether the interests of justice require production, the judge may in a given case properly consider matters like delay and expense where numerous documents, not of any real importance, are in question.  Again, production will not be ordered where a claim to privilege is upheld, as where the privilege against disclosing the identity of an informer is successfully relied on.  And in a given case the danger of misuse by the unscrupulous which troubled Wigmore might lead to a refusal to order production.”</w:t>
      </w:r>
    </w:p>
    <w:p w14:paraId="79C16E43" w14:textId="77777777" w:rsidR="00546E95" w:rsidRPr="009F25D4" w:rsidRDefault="00546E95" w:rsidP="007961CE">
      <w:pPr>
        <w:spacing w:before="60"/>
        <w:ind w:left="454"/>
        <w:jc w:val="both"/>
        <w:rPr>
          <w:rFonts w:ascii="Arial" w:hAnsi="Arial" w:cs="Arial"/>
          <w:color w:val="000000"/>
          <w:sz w:val="20"/>
        </w:rPr>
      </w:pPr>
      <w:r w:rsidRPr="009F25D4">
        <w:rPr>
          <w:rFonts w:ascii="Arial" w:hAnsi="Arial" w:cs="Arial"/>
          <w:color w:val="000000"/>
          <w:sz w:val="20"/>
        </w:rPr>
        <w:t>At p.62 Ashley J drew a clear distinction between:</w:t>
      </w:r>
    </w:p>
    <w:p w14:paraId="0CB002DE" w14:textId="77777777" w:rsidR="00546E95" w:rsidRPr="009F25D4" w:rsidRDefault="00546E95" w:rsidP="001D6106">
      <w:pPr>
        <w:ind w:left="811" w:hanging="357"/>
        <w:jc w:val="both"/>
        <w:rPr>
          <w:rFonts w:ascii="Arial" w:hAnsi="Arial" w:cs="Arial"/>
          <w:color w:val="000000"/>
          <w:sz w:val="20"/>
        </w:rPr>
      </w:pPr>
      <w:r w:rsidRPr="009F25D4">
        <w:rPr>
          <w:rFonts w:ascii="Arial" w:hAnsi="Arial" w:cs="Arial"/>
          <w:color w:val="000000"/>
          <w:sz w:val="20"/>
        </w:rPr>
        <w:t>(a)</w:t>
      </w:r>
      <w:r w:rsidRPr="009F25D4">
        <w:rPr>
          <w:rFonts w:ascii="Arial" w:hAnsi="Arial" w:cs="Arial"/>
          <w:color w:val="000000"/>
          <w:sz w:val="20"/>
        </w:rPr>
        <w:tab/>
        <w:t>the inherent power of the Court seised of a matter triable summarily in its discretion to direct that documents be provided to the accused by the prosecution; and</w:t>
      </w:r>
    </w:p>
    <w:p w14:paraId="576AC24F" w14:textId="77777777" w:rsidR="001F1C85" w:rsidRPr="009F25D4" w:rsidRDefault="00546E95" w:rsidP="001D6106">
      <w:pPr>
        <w:ind w:left="811" w:hanging="357"/>
        <w:jc w:val="both"/>
        <w:rPr>
          <w:rFonts w:ascii="Arial" w:hAnsi="Arial" w:cs="Arial"/>
          <w:color w:val="000000"/>
          <w:sz w:val="20"/>
        </w:rPr>
      </w:pPr>
      <w:r w:rsidRPr="009F25D4">
        <w:rPr>
          <w:rFonts w:ascii="Arial" w:hAnsi="Arial" w:cs="Arial"/>
          <w:color w:val="000000"/>
          <w:sz w:val="20"/>
        </w:rPr>
        <w:t>(b)</w:t>
      </w:r>
      <w:r w:rsidRPr="009F25D4">
        <w:rPr>
          <w:rFonts w:ascii="Arial" w:hAnsi="Arial" w:cs="Arial"/>
          <w:color w:val="000000"/>
          <w:sz w:val="20"/>
        </w:rPr>
        <w:tab/>
        <w:t>the power of the Court to require production of documents on the return of a subpoena or a call for production of documents in court.</w:t>
      </w:r>
    </w:p>
    <w:p w14:paraId="35AD2B5D" w14:textId="77777777" w:rsidR="0003614B" w:rsidRPr="009F25D4" w:rsidRDefault="0003614B" w:rsidP="00812268">
      <w:pPr>
        <w:spacing w:before="60"/>
        <w:ind w:left="454"/>
        <w:jc w:val="both"/>
        <w:rPr>
          <w:rFonts w:ascii="Arial" w:hAnsi="Arial" w:cs="Arial"/>
          <w:color w:val="000000"/>
          <w:sz w:val="20"/>
        </w:rPr>
      </w:pPr>
      <w:r w:rsidRPr="009F25D4">
        <w:rPr>
          <w:rFonts w:ascii="Arial" w:hAnsi="Arial" w:cs="Arial"/>
          <w:color w:val="000000"/>
          <w:sz w:val="20"/>
        </w:rPr>
        <w:t>And at p.72 Ashley J said: “Disclosure required by considerations of fairness goes to the heart of the criminal law.”</w:t>
      </w:r>
    </w:p>
    <w:p w14:paraId="4F656062" w14:textId="77777777" w:rsidR="0003614B" w:rsidRPr="009F25D4" w:rsidRDefault="0003614B" w:rsidP="0003614B">
      <w:pPr>
        <w:spacing w:before="60"/>
        <w:ind w:left="454"/>
        <w:jc w:val="both"/>
        <w:rPr>
          <w:rFonts w:ascii="Arial" w:hAnsi="Arial" w:cs="Arial"/>
          <w:color w:val="000000"/>
          <w:sz w:val="20"/>
        </w:rPr>
      </w:pPr>
      <w:r w:rsidRPr="009F25D4">
        <w:rPr>
          <w:rFonts w:ascii="Arial" w:hAnsi="Arial" w:cs="Arial"/>
          <w:color w:val="000000"/>
          <w:sz w:val="20"/>
        </w:rPr>
        <w:t xml:space="preserve">Magistrate Power saw no reason why the principles enunciated in </w:t>
      </w:r>
      <w:r w:rsidRPr="009F25D4">
        <w:rPr>
          <w:rFonts w:ascii="Arial" w:hAnsi="Arial" w:cs="Arial"/>
          <w:i/>
          <w:color w:val="000000"/>
          <w:sz w:val="20"/>
        </w:rPr>
        <w:t>Sobh’s Case</w:t>
      </w:r>
      <w:r w:rsidRPr="009F25D4">
        <w:rPr>
          <w:rFonts w:ascii="Arial" w:hAnsi="Arial" w:cs="Arial"/>
          <w:color w:val="000000"/>
          <w:sz w:val="20"/>
        </w:rPr>
        <w:t xml:space="preserve"> were not equally applicable to protection proceedings in the Family Division of the Children’s Court.</w:t>
      </w:r>
    </w:p>
    <w:p w14:paraId="7F2F6205" w14:textId="484864B4" w:rsidR="0003614B" w:rsidRPr="000F0BE9" w:rsidRDefault="007C10BC" w:rsidP="00C42902">
      <w:pPr>
        <w:pStyle w:val="ListParagraph"/>
        <w:spacing w:before="120"/>
        <w:ind w:left="454"/>
        <w:jc w:val="both"/>
        <w:rPr>
          <w:rFonts w:ascii="Arial" w:hAnsi="Arial" w:cs="Arial"/>
          <w:color w:val="000000"/>
          <w:sz w:val="20"/>
        </w:rPr>
      </w:pPr>
      <w:r w:rsidRPr="000F0BE9">
        <w:rPr>
          <w:rFonts w:ascii="Arial" w:hAnsi="Arial" w:cs="Arial"/>
          <w:color w:val="000000"/>
          <w:sz w:val="20"/>
        </w:rPr>
        <w:t>Read in conjunction with s.166(a), s.</w:t>
      </w:r>
      <w:r w:rsidR="00DF0C10" w:rsidRPr="000F0BE9">
        <w:rPr>
          <w:rFonts w:ascii="Arial" w:hAnsi="Arial" w:cs="Arial"/>
          <w:color w:val="000000"/>
          <w:sz w:val="20"/>
        </w:rPr>
        <w:t>16</w:t>
      </w:r>
      <w:r w:rsidRPr="000F0BE9">
        <w:rPr>
          <w:rFonts w:ascii="Arial" w:hAnsi="Arial" w:cs="Arial"/>
          <w:color w:val="000000"/>
          <w:sz w:val="20"/>
        </w:rPr>
        <w:t>9(1)(a)</w:t>
      </w:r>
      <w:r w:rsidR="00DF0C10" w:rsidRPr="000F0BE9">
        <w:rPr>
          <w:rFonts w:ascii="Arial" w:hAnsi="Arial" w:cs="Arial"/>
          <w:color w:val="000000"/>
          <w:sz w:val="20"/>
        </w:rPr>
        <w:t xml:space="preserve"> of the </w:t>
      </w:r>
      <w:r w:rsidR="00DF0C10" w:rsidRPr="000F0BE9">
        <w:rPr>
          <w:rFonts w:ascii="Arial" w:hAnsi="Arial" w:cs="Arial"/>
          <w:i/>
          <w:iCs/>
          <w:color w:val="000000"/>
          <w:sz w:val="20"/>
        </w:rPr>
        <w:t>Evidence Act 2008</w:t>
      </w:r>
      <w:r w:rsidR="00DF0C10" w:rsidRPr="000F0BE9">
        <w:rPr>
          <w:rFonts w:ascii="Arial" w:hAnsi="Arial" w:cs="Arial"/>
          <w:color w:val="000000"/>
          <w:sz w:val="20"/>
        </w:rPr>
        <w:t xml:space="preserve"> provides </w:t>
      </w:r>
      <w:r w:rsidRPr="000F0BE9">
        <w:rPr>
          <w:rFonts w:ascii="Arial" w:hAnsi="Arial" w:cs="Arial"/>
          <w:color w:val="000000"/>
          <w:sz w:val="20"/>
        </w:rPr>
        <w:t>that if a party has, without reasonable cause, failed or refused to comply with a request to produce to the requesting party the whole or part of a specified document or thing, the court may, on application, make an order directing the party to comply with the request.</w:t>
      </w:r>
    </w:p>
    <w:p w14:paraId="57D05286" w14:textId="01C4DDAE" w:rsidR="007C10BC" w:rsidRPr="009F25D4" w:rsidRDefault="00F30790" w:rsidP="000F0BE9">
      <w:pPr>
        <w:spacing w:before="120"/>
        <w:jc w:val="both"/>
        <w:rPr>
          <w:rFonts w:ascii="Arial" w:hAnsi="Arial" w:cs="Arial"/>
          <w:color w:val="000000"/>
          <w:sz w:val="20"/>
        </w:rPr>
      </w:pPr>
      <w:r>
        <w:rPr>
          <w:rFonts w:ascii="Arial" w:hAnsi="Arial" w:cs="Arial"/>
          <w:color w:val="000000"/>
          <w:sz w:val="20"/>
        </w:rPr>
        <w:t>In addition, Magistrate Power accepted Mr Draper’s submission that s.</w:t>
      </w:r>
      <w:r w:rsidR="007C10BC" w:rsidRPr="009F25D4">
        <w:rPr>
          <w:rFonts w:ascii="Arial" w:hAnsi="Arial" w:cs="Arial"/>
          <w:color w:val="000000"/>
          <w:sz w:val="20"/>
        </w:rPr>
        <w:t xml:space="preserve">193 of the </w:t>
      </w:r>
      <w:r w:rsidR="007C10BC" w:rsidRPr="00A82F40">
        <w:rPr>
          <w:rFonts w:ascii="Arial" w:hAnsi="Arial" w:cs="Arial"/>
          <w:i/>
          <w:iCs/>
          <w:color w:val="000000"/>
          <w:sz w:val="20"/>
        </w:rPr>
        <w:t xml:space="preserve">Evidence Act 2008 </w:t>
      </w:r>
      <w:r w:rsidR="007C10BC" w:rsidRPr="009F25D4">
        <w:rPr>
          <w:rFonts w:ascii="Arial" w:hAnsi="Arial" w:cs="Arial"/>
          <w:color w:val="000000"/>
          <w:sz w:val="20"/>
        </w:rPr>
        <w:t xml:space="preserve">enables the court to make such orders as it thinks fit to ensure that the parties to a proceeding can adequately, and in an appropriate manner, inspect documents of the kind referred to in paragraph (b) or paragraph (c) of the definition of </w:t>
      </w:r>
      <w:r w:rsidR="007C10BC" w:rsidRPr="009F25D4">
        <w:rPr>
          <w:rFonts w:ascii="Arial" w:hAnsi="Arial" w:cs="Arial"/>
          <w:b/>
          <w:i/>
          <w:color w:val="000000"/>
          <w:sz w:val="20"/>
        </w:rPr>
        <w:t>document</w:t>
      </w:r>
      <w:r w:rsidR="007C10BC" w:rsidRPr="009F25D4">
        <w:rPr>
          <w:rFonts w:ascii="Arial" w:hAnsi="Arial" w:cs="Arial"/>
          <w:color w:val="000000"/>
          <w:sz w:val="20"/>
        </w:rPr>
        <w:t xml:space="preserve"> in the Dictionary.</w:t>
      </w:r>
    </w:p>
    <w:p w14:paraId="6DFAD07E" w14:textId="77777777" w:rsidR="00921E5B" w:rsidRDefault="00921E5B" w:rsidP="007C10BC">
      <w:pPr>
        <w:jc w:val="both"/>
        <w:rPr>
          <w:rFonts w:ascii="Arial" w:hAnsi="Arial" w:cs="Arial"/>
          <w:sz w:val="20"/>
        </w:rPr>
      </w:pPr>
    </w:p>
    <w:p w14:paraId="4A1D6E9B" w14:textId="534E22F8" w:rsidR="00F730A1" w:rsidRDefault="00F730A1" w:rsidP="007C10BC">
      <w:pPr>
        <w:jc w:val="both"/>
        <w:rPr>
          <w:rFonts w:ascii="Arial" w:hAnsi="Arial" w:cs="Arial"/>
          <w:sz w:val="20"/>
        </w:rPr>
      </w:pPr>
      <w:r>
        <w:rPr>
          <w:rFonts w:ascii="Arial" w:hAnsi="Arial" w:cs="Arial"/>
          <w:sz w:val="20"/>
        </w:rPr>
        <w:t xml:space="preserve">As from </w:t>
      </w:r>
      <w:r w:rsidR="00FE13E6">
        <w:rPr>
          <w:rFonts w:ascii="Arial" w:hAnsi="Arial" w:cs="Arial"/>
          <w:sz w:val="20"/>
        </w:rPr>
        <w:t>01</w:t>
      </w:r>
      <w:r>
        <w:rPr>
          <w:rFonts w:ascii="Arial" w:hAnsi="Arial" w:cs="Arial"/>
          <w:sz w:val="20"/>
        </w:rPr>
        <w:t>/0</w:t>
      </w:r>
      <w:r w:rsidR="00FE13E6">
        <w:rPr>
          <w:rFonts w:ascii="Arial" w:hAnsi="Arial" w:cs="Arial"/>
          <w:sz w:val="20"/>
        </w:rPr>
        <w:t>1</w:t>
      </w:r>
      <w:r>
        <w:rPr>
          <w:rFonts w:ascii="Arial" w:hAnsi="Arial" w:cs="Arial"/>
          <w:sz w:val="20"/>
        </w:rPr>
        <w:t>/20</w:t>
      </w:r>
      <w:r w:rsidR="00C15213">
        <w:rPr>
          <w:rFonts w:ascii="Arial" w:hAnsi="Arial" w:cs="Arial"/>
          <w:sz w:val="20"/>
        </w:rPr>
        <w:t>2</w:t>
      </w:r>
      <w:r w:rsidR="00FE13E6">
        <w:rPr>
          <w:rFonts w:ascii="Arial" w:hAnsi="Arial" w:cs="Arial"/>
          <w:sz w:val="20"/>
        </w:rPr>
        <w:t>5</w:t>
      </w:r>
      <w:r>
        <w:rPr>
          <w:rFonts w:ascii="Arial" w:hAnsi="Arial" w:cs="Arial"/>
          <w:sz w:val="20"/>
        </w:rPr>
        <w:t xml:space="preserve"> Practice Direction No. </w:t>
      </w:r>
      <w:r w:rsidR="009B4872">
        <w:rPr>
          <w:rFonts w:ascii="Arial" w:hAnsi="Arial" w:cs="Arial"/>
          <w:sz w:val="20"/>
        </w:rPr>
        <w:t>1</w:t>
      </w:r>
      <w:r>
        <w:rPr>
          <w:rFonts w:ascii="Arial" w:hAnsi="Arial" w:cs="Arial"/>
          <w:sz w:val="20"/>
        </w:rPr>
        <w:t xml:space="preserve"> of 20</w:t>
      </w:r>
      <w:r w:rsidR="003F685D">
        <w:rPr>
          <w:rFonts w:ascii="Arial" w:hAnsi="Arial" w:cs="Arial"/>
          <w:sz w:val="20"/>
        </w:rPr>
        <w:t>2</w:t>
      </w:r>
      <w:r w:rsidR="00FE13E6">
        <w:rPr>
          <w:rFonts w:ascii="Arial" w:hAnsi="Arial" w:cs="Arial"/>
          <w:sz w:val="20"/>
        </w:rPr>
        <w:t>5</w:t>
      </w:r>
      <w:r>
        <w:rPr>
          <w:rFonts w:ascii="Arial" w:hAnsi="Arial" w:cs="Arial"/>
          <w:sz w:val="20"/>
        </w:rPr>
        <w:t xml:space="preserve"> provides</w:t>
      </w:r>
      <w:r w:rsidR="003F685D">
        <w:rPr>
          <w:rFonts w:ascii="Arial" w:hAnsi="Arial" w:cs="Arial"/>
          <w:sz w:val="20"/>
        </w:rPr>
        <w:t xml:space="preserve"> in paragraphs [2</w:t>
      </w:r>
      <w:r w:rsidR="00FE13E6">
        <w:rPr>
          <w:rFonts w:ascii="Arial" w:hAnsi="Arial" w:cs="Arial"/>
          <w:sz w:val="20"/>
        </w:rPr>
        <w:t>5</w:t>
      </w:r>
      <w:r w:rsidR="003F685D">
        <w:rPr>
          <w:rFonts w:ascii="Arial" w:hAnsi="Arial" w:cs="Arial"/>
          <w:sz w:val="20"/>
        </w:rPr>
        <w:t>]-[27]</w:t>
      </w:r>
      <w:r>
        <w:rPr>
          <w:rFonts w:ascii="Arial" w:hAnsi="Arial" w:cs="Arial"/>
          <w:sz w:val="20"/>
        </w:rPr>
        <w:t>:</w:t>
      </w:r>
    </w:p>
    <w:p w14:paraId="58AD2568" w14:textId="7DFCBC47" w:rsidR="00FE13E6" w:rsidRDefault="0011696D" w:rsidP="0007078B">
      <w:pPr>
        <w:spacing w:before="60"/>
        <w:ind w:left="454" w:right="454"/>
        <w:jc w:val="both"/>
        <w:rPr>
          <w:rFonts w:ascii="Arial" w:hAnsi="Arial" w:cs="Arial"/>
          <w:sz w:val="20"/>
        </w:rPr>
      </w:pPr>
      <w:bookmarkStart w:id="818" w:name="_3.5.10_Children_as"/>
      <w:bookmarkStart w:id="819" w:name="B3510"/>
      <w:bookmarkEnd w:id="818"/>
      <w:bookmarkEnd w:id="819"/>
      <w:r>
        <w:rPr>
          <w:rFonts w:ascii="Arial" w:hAnsi="Arial" w:cs="Arial"/>
          <w:sz w:val="20"/>
          <w:szCs w:val="20"/>
        </w:rPr>
        <w:t>[2</w:t>
      </w:r>
      <w:r w:rsidR="00FE13E6">
        <w:rPr>
          <w:rFonts w:ascii="Arial" w:hAnsi="Arial" w:cs="Arial"/>
          <w:sz w:val="20"/>
          <w:szCs w:val="20"/>
        </w:rPr>
        <w:t>5</w:t>
      </w:r>
      <w:r>
        <w:rPr>
          <w:rFonts w:ascii="Arial" w:hAnsi="Arial" w:cs="Arial"/>
          <w:sz w:val="20"/>
          <w:szCs w:val="20"/>
        </w:rPr>
        <w:t>] “</w:t>
      </w:r>
      <w:r w:rsidR="00FE13E6" w:rsidRPr="00FE13E6">
        <w:rPr>
          <w:rFonts w:ascii="Arial" w:hAnsi="Arial" w:cs="Arial"/>
          <w:sz w:val="20"/>
        </w:rPr>
        <w:t>DFFH or an authorised Aboriginal agency must file, when relevant, the Form B and upload all relevant CRIS notes (redacted or otherwise) on the CMS portal</w:t>
      </w:r>
      <w:r w:rsidR="0007078B">
        <w:rPr>
          <w:rFonts w:ascii="Arial" w:hAnsi="Arial" w:cs="Arial"/>
          <w:sz w:val="20"/>
        </w:rPr>
        <w:t>.</w:t>
      </w:r>
    </w:p>
    <w:p w14:paraId="2C3AF40D" w14:textId="5B65EFB5" w:rsidR="0011696D" w:rsidRDefault="00FE13E6" w:rsidP="0007078B">
      <w:pPr>
        <w:spacing w:before="60"/>
        <w:ind w:left="454" w:right="454"/>
        <w:jc w:val="both"/>
        <w:rPr>
          <w:rFonts w:ascii="Arial" w:hAnsi="Arial" w:cs="Arial"/>
          <w:sz w:val="20"/>
          <w:szCs w:val="20"/>
        </w:rPr>
      </w:pPr>
      <w:r>
        <w:rPr>
          <w:rFonts w:ascii="Arial" w:hAnsi="Arial" w:cs="Arial"/>
          <w:sz w:val="20"/>
        </w:rPr>
        <w:t xml:space="preserve">[26] </w:t>
      </w:r>
      <w:r w:rsidRPr="00FE13E6">
        <w:rPr>
          <w:rFonts w:ascii="Arial" w:hAnsi="Arial" w:cs="Arial"/>
          <w:sz w:val="20"/>
        </w:rPr>
        <w:t>DFFH or an authorised Aboriginal agency must provide all self-represented parties the CRIS notes that are uploaded on the CMS portal.</w:t>
      </w:r>
    </w:p>
    <w:p w14:paraId="59FCD8A6" w14:textId="542597F6" w:rsidR="003F685D" w:rsidRDefault="0011696D" w:rsidP="0007078B">
      <w:pPr>
        <w:spacing w:before="60"/>
        <w:ind w:left="454" w:right="454"/>
        <w:jc w:val="both"/>
        <w:rPr>
          <w:rFonts w:ascii="Arial" w:hAnsi="Arial" w:cs="Arial"/>
          <w:sz w:val="20"/>
          <w:szCs w:val="20"/>
        </w:rPr>
      </w:pPr>
      <w:r>
        <w:rPr>
          <w:rFonts w:ascii="Arial" w:hAnsi="Arial" w:cs="Arial"/>
          <w:sz w:val="20"/>
          <w:szCs w:val="20"/>
        </w:rPr>
        <w:t>[</w:t>
      </w:r>
      <w:r w:rsidR="003F685D" w:rsidRPr="003F685D">
        <w:rPr>
          <w:rFonts w:ascii="Arial" w:hAnsi="Arial" w:cs="Arial"/>
          <w:sz w:val="20"/>
          <w:szCs w:val="20"/>
        </w:rPr>
        <w:t>27</w:t>
      </w:r>
      <w:r>
        <w:rPr>
          <w:rFonts w:ascii="Arial" w:hAnsi="Arial" w:cs="Arial"/>
          <w:sz w:val="20"/>
          <w:szCs w:val="20"/>
        </w:rPr>
        <w:t>]</w:t>
      </w:r>
      <w:r w:rsidR="003F685D" w:rsidRPr="003F685D">
        <w:rPr>
          <w:rFonts w:ascii="Arial" w:hAnsi="Arial" w:cs="Arial"/>
          <w:sz w:val="20"/>
          <w:szCs w:val="20"/>
        </w:rPr>
        <w:t xml:space="preserve"> At the conclusion of the hearing, a</w:t>
      </w:r>
      <w:r w:rsidR="00FE13E6">
        <w:rPr>
          <w:rFonts w:ascii="Arial" w:hAnsi="Arial" w:cs="Arial"/>
          <w:sz w:val="20"/>
          <w:szCs w:val="20"/>
        </w:rPr>
        <w:t>n</w:t>
      </w:r>
      <w:r w:rsidR="0007078B">
        <w:rPr>
          <w:rFonts w:ascii="Arial" w:hAnsi="Arial" w:cs="Arial"/>
          <w:sz w:val="20"/>
          <w:szCs w:val="20"/>
        </w:rPr>
        <w:t>y</w:t>
      </w:r>
      <w:r w:rsidR="003F685D" w:rsidRPr="003F685D">
        <w:rPr>
          <w:rFonts w:ascii="Arial" w:hAnsi="Arial" w:cs="Arial"/>
          <w:sz w:val="20"/>
          <w:szCs w:val="20"/>
        </w:rPr>
        <w:t xml:space="preserve"> electronic copies of the CRIS notes and other documents must be permanently deleted, and any </w:t>
      </w:r>
      <w:r w:rsidR="00FE13E6">
        <w:rPr>
          <w:rFonts w:ascii="Arial" w:hAnsi="Arial" w:cs="Arial"/>
          <w:sz w:val="20"/>
          <w:szCs w:val="20"/>
        </w:rPr>
        <w:t>printed</w:t>
      </w:r>
      <w:r w:rsidR="003F685D" w:rsidRPr="003F685D">
        <w:rPr>
          <w:rFonts w:ascii="Arial" w:hAnsi="Arial" w:cs="Arial"/>
          <w:sz w:val="20"/>
          <w:szCs w:val="20"/>
        </w:rPr>
        <w:t xml:space="preserve"> copies returned to the legal representative of DFFH</w:t>
      </w:r>
      <w:r w:rsidR="00FE13E6">
        <w:rPr>
          <w:rFonts w:ascii="Arial" w:hAnsi="Arial" w:cs="Arial"/>
          <w:sz w:val="20"/>
          <w:szCs w:val="20"/>
        </w:rPr>
        <w:t xml:space="preserve"> or the authorised Aboriginal agency</w:t>
      </w:r>
      <w:r w:rsidR="003F685D" w:rsidRPr="003F685D">
        <w:rPr>
          <w:rFonts w:ascii="Arial" w:hAnsi="Arial" w:cs="Arial"/>
          <w:sz w:val="20"/>
          <w:szCs w:val="20"/>
        </w:rPr>
        <w:t xml:space="preserve"> unless the Court otherwise orders.</w:t>
      </w:r>
      <w:r>
        <w:rPr>
          <w:rFonts w:ascii="Arial" w:hAnsi="Arial" w:cs="Arial"/>
          <w:sz w:val="20"/>
          <w:szCs w:val="20"/>
        </w:rPr>
        <w:t>”</w:t>
      </w:r>
    </w:p>
    <w:p w14:paraId="5698CE2C" w14:textId="77777777" w:rsidR="00641166" w:rsidRDefault="00641166" w:rsidP="00641166">
      <w:pPr>
        <w:jc w:val="both"/>
        <w:rPr>
          <w:rFonts w:ascii="Arial" w:hAnsi="Arial" w:cs="Arial"/>
          <w:sz w:val="20"/>
        </w:rPr>
      </w:pPr>
    </w:p>
    <w:p w14:paraId="3F2A42BB" w14:textId="77777777" w:rsidR="00641166" w:rsidRPr="00836E86" w:rsidRDefault="00641166" w:rsidP="00641166">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534EC41E" w14:textId="77777777" w:rsidR="00641166" w:rsidRPr="00836E86" w:rsidRDefault="00641166" w:rsidP="00641166">
      <w:pPr>
        <w:rPr>
          <w:rFonts w:ascii="Arial" w:hAnsi="Arial" w:cs="Arial"/>
          <w:sz w:val="20"/>
        </w:rPr>
      </w:pPr>
    </w:p>
    <w:p w14:paraId="0FC697FB" w14:textId="77777777" w:rsidR="00641166" w:rsidRPr="00836E86" w:rsidRDefault="00641166" w:rsidP="00641166">
      <w:pPr>
        <w:pStyle w:val="ListParagraph"/>
        <w:numPr>
          <w:ilvl w:val="0"/>
          <w:numId w:val="79"/>
        </w:numPr>
        <w:rPr>
          <w:rFonts w:ascii="Arial" w:hAnsi="Arial" w:cs="Arial"/>
          <w:sz w:val="20"/>
        </w:rPr>
      </w:pPr>
      <w:r w:rsidRPr="00836E86">
        <w:rPr>
          <w:rFonts w:ascii="Arial" w:hAnsi="Arial" w:cs="Arial"/>
          <w:sz w:val="20"/>
        </w:rPr>
        <w:br w:type="page"/>
      </w:r>
    </w:p>
    <w:p w14:paraId="5B24FA61" w14:textId="481C078E" w:rsidR="00753D44" w:rsidRDefault="00753D44" w:rsidP="00753D44">
      <w:pPr>
        <w:pStyle w:val="Heading3"/>
        <w:keepNext/>
        <w:spacing w:line="240" w:lineRule="auto"/>
        <w:rPr>
          <w:rFonts w:ascii="Arial" w:hAnsi="Arial" w:cs="Arial"/>
          <w:b/>
          <w:bCs/>
          <w:sz w:val="20"/>
        </w:rPr>
      </w:pPr>
      <w:r>
        <w:rPr>
          <w:rFonts w:ascii="Arial" w:hAnsi="Arial" w:cs="Arial"/>
          <w:b/>
          <w:bCs/>
          <w:sz w:val="20"/>
        </w:rPr>
        <w:lastRenderedPageBreak/>
        <w:t>3.5.10</w:t>
      </w:r>
      <w:r w:rsidR="00B87E69">
        <w:rPr>
          <w:rFonts w:ascii="Arial" w:hAnsi="Arial" w:cs="Arial"/>
          <w:b/>
          <w:bCs/>
          <w:sz w:val="20"/>
        </w:rPr>
        <w:tab/>
      </w:r>
      <w:r w:rsidR="002307C4">
        <w:rPr>
          <w:rFonts w:ascii="Arial" w:hAnsi="Arial" w:cs="Arial"/>
          <w:b/>
          <w:bCs/>
          <w:sz w:val="20"/>
        </w:rPr>
        <w:t>W</w:t>
      </w:r>
      <w:r w:rsidR="00B87E69">
        <w:rPr>
          <w:rFonts w:ascii="Arial" w:hAnsi="Arial" w:cs="Arial"/>
          <w:b/>
          <w:bCs/>
          <w:sz w:val="20"/>
        </w:rPr>
        <w:t>itnesses in court cases</w:t>
      </w:r>
    </w:p>
    <w:p w14:paraId="1C9FF9DA" w14:textId="77777777" w:rsidR="007961CE" w:rsidRPr="00263A4E" w:rsidRDefault="007961CE" w:rsidP="007961CE">
      <w:pPr>
        <w:pStyle w:val="Heading3"/>
        <w:keepNext/>
        <w:spacing w:line="240" w:lineRule="auto"/>
        <w:rPr>
          <w:rFonts w:ascii="Arial" w:hAnsi="Arial" w:cs="Arial"/>
          <w:color w:val="000000"/>
          <w:sz w:val="20"/>
        </w:rPr>
      </w:pPr>
    </w:p>
    <w:p w14:paraId="7213BEF5" w14:textId="1D77985A" w:rsidR="002307C4" w:rsidRPr="008C3BC8" w:rsidRDefault="002307C4" w:rsidP="007961CE">
      <w:pPr>
        <w:pStyle w:val="Heading3"/>
        <w:keepNext/>
        <w:spacing w:line="240" w:lineRule="auto"/>
        <w:rPr>
          <w:rFonts w:ascii="Arial" w:hAnsi="Arial" w:cs="Arial"/>
          <w:b/>
          <w:bCs/>
          <w:color w:val="000000"/>
          <w:sz w:val="20"/>
        </w:rPr>
      </w:pPr>
      <w:bookmarkStart w:id="820" w:name="_3.5.10.1__Ensuring"/>
      <w:bookmarkEnd w:id="820"/>
      <w:r w:rsidRPr="008C3BC8">
        <w:rPr>
          <w:rFonts w:ascii="Arial" w:hAnsi="Arial" w:cs="Arial"/>
          <w:b/>
          <w:bCs/>
          <w:color w:val="000000"/>
          <w:sz w:val="20"/>
        </w:rPr>
        <w:t>3.5.1</w:t>
      </w:r>
      <w:r w:rsidR="007961CE">
        <w:rPr>
          <w:rFonts w:ascii="Arial" w:hAnsi="Arial" w:cs="Arial"/>
          <w:b/>
          <w:bCs/>
          <w:color w:val="000000"/>
          <w:sz w:val="20"/>
        </w:rPr>
        <w:t xml:space="preserve">0.1  </w:t>
      </w:r>
      <w:r>
        <w:rPr>
          <w:rFonts w:ascii="Arial" w:hAnsi="Arial" w:cs="Arial"/>
          <w:b/>
          <w:bCs/>
          <w:color w:val="000000"/>
          <w:sz w:val="20"/>
        </w:rPr>
        <w:t xml:space="preserve">Ensuring attendance of </w:t>
      </w:r>
      <w:r w:rsidR="009C036F">
        <w:rPr>
          <w:rFonts w:ascii="Arial" w:hAnsi="Arial" w:cs="Arial"/>
          <w:b/>
          <w:bCs/>
          <w:color w:val="000000"/>
          <w:sz w:val="20"/>
        </w:rPr>
        <w:t xml:space="preserve">a </w:t>
      </w:r>
      <w:r>
        <w:rPr>
          <w:rFonts w:ascii="Arial" w:hAnsi="Arial" w:cs="Arial"/>
          <w:b/>
          <w:bCs/>
          <w:color w:val="000000"/>
          <w:sz w:val="20"/>
        </w:rPr>
        <w:t xml:space="preserve">witness </w:t>
      </w:r>
      <w:r w:rsidR="005F285B">
        <w:rPr>
          <w:rFonts w:ascii="Arial" w:hAnsi="Arial" w:cs="Arial"/>
          <w:b/>
          <w:bCs/>
          <w:color w:val="000000"/>
          <w:sz w:val="20"/>
        </w:rPr>
        <w:t xml:space="preserve">and/or production of documents </w:t>
      </w:r>
      <w:r w:rsidR="004B5277">
        <w:rPr>
          <w:rFonts w:ascii="Arial" w:hAnsi="Arial" w:cs="Arial"/>
          <w:b/>
          <w:bCs/>
          <w:color w:val="000000"/>
          <w:sz w:val="20"/>
        </w:rPr>
        <w:t xml:space="preserve">or things </w:t>
      </w:r>
      <w:r>
        <w:rPr>
          <w:rFonts w:ascii="Arial" w:hAnsi="Arial" w:cs="Arial"/>
          <w:b/>
          <w:bCs/>
          <w:color w:val="000000"/>
          <w:sz w:val="20"/>
        </w:rPr>
        <w:t>at court</w:t>
      </w:r>
    </w:p>
    <w:p w14:paraId="0A5B57B9" w14:textId="5DF6C8F3" w:rsidR="007B1842" w:rsidRDefault="007B1842" w:rsidP="007B1842">
      <w:pPr>
        <w:spacing w:before="120"/>
        <w:jc w:val="both"/>
        <w:rPr>
          <w:rFonts w:ascii="Arial" w:hAnsi="Arial" w:cs="Arial"/>
          <w:color w:val="000000"/>
          <w:sz w:val="20"/>
        </w:rPr>
      </w:pPr>
      <w:r>
        <w:rPr>
          <w:rFonts w:ascii="Arial" w:hAnsi="Arial" w:cs="Arial"/>
          <w:color w:val="000000"/>
          <w:sz w:val="20"/>
        </w:rPr>
        <w:t xml:space="preserve">A party generally ensures the attendance of the party’s witness at court and/or the production of documents </w:t>
      </w:r>
      <w:r w:rsidR="004B5277">
        <w:rPr>
          <w:rFonts w:ascii="Arial" w:hAnsi="Arial" w:cs="Arial"/>
          <w:color w:val="000000"/>
          <w:sz w:val="20"/>
        </w:rPr>
        <w:t xml:space="preserve">or things </w:t>
      </w:r>
      <w:r>
        <w:rPr>
          <w:rFonts w:ascii="Arial" w:hAnsi="Arial" w:cs="Arial"/>
          <w:color w:val="000000"/>
          <w:sz w:val="20"/>
        </w:rPr>
        <w:t>by obtaining and serving a witness summons (also known as a subpoena).  The</w:t>
      </w:r>
      <w:r w:rsidR="004B5277">
        <w:rPr>
          <w:rFonts w:ascii="Arial" w:hAnsi="Arial" w:cs="Arial"/>
          <w:color w:val="000000"/>
          <w:sz w:val="20"/>
        </w:rPr>
        <w:t> </w:t>
      </w:r>
      <w:r w:rsidR="00FD05F8">
        <w:rPr>
          <w:rFonts w:ascii="Arial" w:hAnsi="Arial" w:cs="Arial"/>
          <w:color w:val="000000"/>
          <w:sz w:val="20"/>
        </w:rPr>
        <w:t xml:space="preserve">Family Division of the </w:t>
      </w:r>
      <w:r>
        <w:rPr>
          <w:rFonts w:ascii="Arial" w:hAnsi="Arial" w:cs="Arial"/>
          <w:color w:val="000000"/>
          <w:sz w:val="20"/>
        </w:rPr>
        <w:t xml:space="preserve">Children’s Court can also compel the attendance of a witness at court and/or the production of documents </w:t>
      </w:r>
      <w:r w:rsidR="004B5277">
        <w:rPr>
          <w:rFonts w:ascii="Arial" w:hAnsi="Arial" w:cs="Arial"/>
          <w:color w:val="000000"/>
          <w:sz w:val="20"/>
        </w:rPr>
        <w:t xml:space="preserve">or things </w:t>
      </w:r>
      <w:r>
        <w:rPr>
          <w:rFonts w:ascii="Arial" w:hAnsi="Arial" w:cs="Arial"/>
          <w:color w:val="000000"/>
          <w:sz w:val="20"/>
        </w:rPr>
        <w:t>on its own motion.</w:t>
      </w:r>
    </w:p>
    <w:p w14:paraId="742986B9" w14:textId="77777777" w:rsidR="007B1842" w:rsidRDefault="007B1842" w:rsidP="00725634">
      <w:pPr>
        <w:jc w:val="both"/>
        <w:rPr>
          <w:rFonts w:ascii="Arial" w:hAnsi="Arial" w:cs="Arial"/>
          <w:color w:val="000000"/>
          <w:sz w:val="20"/>
        </w:rPr>
      </w:pPr>
    </w:p>
    <w:p w14:paraId="41C2F898" w14:textId="33587ED9" w:rsidR="00725634" w:rsidRPr="001C6E0E" w:rsidRDefault="00725634" w:rsidP="005F285B">
      <w:pPr>
        <w:pStyle w:val="Heading3"/>
        <w:keepNext/>
        <w:keepLines/>
        <w:widowControl/>
        <w:spacing w:after="120" w:line="240" w:lineRule="auto"/>
        <w:ind w:left="284" w:hanging="284"/>
        <w:rPr>
          <w:rFonts w:ascii="Arial" w:hAnsi="Arial" w:cs="Arial"/>
          <w:b/>
          <w:bCs/>
          <w:color w:val="000000"/>
          <w:sz w:val="20"/>
        </w:rPr>
      </w:pPr>
      <w:bookmarkStart w:id="821" w:name="_A_WITNESS_SUMMONSES"/>
      <w:bookmarkEnd w:id="821"/>
      <w:r>
        <w:rPr>
          <w:rFonts w:ascii="Arial" w:hAnsi="Arial" w:cs="Arial"/>
          <w:b/>
          <w:color w:val="FFFFFF"/>
          <w:sz w:val="22"/>
          <w:shd w:val="clear" w:color="auto" w:fill="000000"/>
        </w:rPr>
        <w:t>A</w:t>
      </w:r>
      <w:r>
        <w:rPr>
          <w:rFonts w:ascii="Arial" w:hAnsi="Arial" w:cs="Arial"/>
          <w:b/>
          <w:color w:val="000000"/>
          <w:sz w:val="22"/>
        </w:rPr>
        <w:tab/>
      </w:r>
      <w:r>
        <w:rPr>
          <w:rFonts w:ascii="Arial" w:hAnsi="Arial" w:cs="Arial"/>
          <w:b/>
          <w:bCs/>
          <w:color w:val="FFFFFF" w:themeColor="background1"/>
          <w:sz w:val="20"/>
          <w:shd w:val="clear" w:color="auto" w:fill="000000" w:themeFill="text1"/>
        </w:rPr>
        <w:t>WITNESS SUMMONSE</w:t>
      </w:r>
      <w:r w:rsidR="00812268">
        <w:rPr>
          <w:rFonts w:ascii="Arial" w:hAnsi="Arial" w:cs="Arial"/>
          <w:b/>
          <w:bCs/>
          <w:color w:val="FFFFFF" w:themeColor="background1"/>
          <w:sz w:val="20"/>
          <w:shd w:val="clear" w:color="auto" w:fill="000000" w:themeFill="text1"/>
        </w:rPr>
        <w:t>S IN THE FAMILY DIVISION</w:t>
      </w:r>
    </w:p>
    <w:p w14:paraId="40BBD28A" w14:textId="4B95F61B" w:rsidR="002307C4" w:rsidRDefault="00725634" w:rsidP="005F285B">
      <w:pPr>
        <w:jc w:val="both"/>
        <w:rPr>
          <w:rFonts w:ascii="Arial" w:hAnsi="Arial" w:cs="Arial"/>
          <w:color w:val="000000"/>
          <w:sz w:val="20"/>
        </w:rPr>
      </w:pPr>
      <w:r>
        <w:rPr>
          <w:rFonts w:ascii="Arial" w:hAnsi="Arial" w:cs="Arial"/>
          <w:color w:val="000000"/>
          <w:sz w:val="20"/>
        </w:rPr>
        <w:t>Section 532 of the CYFA provide</w:t>
      </w:r>
      <w:r w:rsidR="00263A4E">
        <w:rPr>
          <w:rFonts w:ascii="Arial" w:hAnsi="Arial" w:cs="Arial"/>
          <w:color w:val="000000"/>
          <w:sz w:val="20"/>
        </w:rPr>
        <w:t>s</w:t>
      </w:r>
      <w:r w:rsidR="00812268">
        <w:rPr>
          <w:rFonts w:ascii="Arial" w:hAnsi="Arial" w:cs="Arial"/>
          <w:color w:val="000000"/>
          <w:sz w:val="20"/>
        </w:rPr>
        <w:t>:</w:t>
      </w:r>
    </w:p>
    <w:p w14:paraId="0088D905" w14:textId="1155C67E" w:rsidR="002307C4" w:rsidRPr="00812268" w:rsidRDefault="00812268" w:rsidP="00263A4E">
      <w:pPr>
        <w:spacing w:before="60"/>
        <w:ind w:left="1021" w:right="567" w:hanging="454"/>
        <w:jc w:val="both"/>
        <w:rPr>
          <w:rFonts w:ascii="Arial" w:hAnsi="Arial" w:cs="Arial"/>
          <w:sz w:val="20"/>
        </w:rPr>
      </w:pPr>
      <w:r>
        <w:rPr>
          <w:rFonts w:ascii="Arial" w:hAnsi="Arial" w:cs="Arial"/>
          <w:sz w:val="20"/>
        </w:rPr>
        <w:t>“(1)</w:t>
      </w:r>
      <w:r>
        <w:rPr>
          <w:rFonts w:ascii="Arial" w:hAnsi="Arial" w:cs="Arial"/>
          <w:sz w:val="20"/>
        </w:rPr>
        <w:tab/>
        <w:t>The Family Division (on the application of a party or without that application) or a registrar may issue the following witness summonses</w:t>
      </w:r>
      <w:r>
        <w:rPr>
          <w:rFonts w:ascii="Arial" w:hAnsi="Arial" w:cs="Arial"/>
          <w:color w:val="000000"/>
          <w:sz w:val="20"/>
        </w:rPr>
        <w:t>–</w:t>
      </w:r>
    </w:p>
    <w:p w14:paraId="7A48D370" w14:textId="2045E9A1" w:rsidR="007961CE" w:rsidRDefault="00812268">
      <w:pPr>
        <w:pStyle w:val="ListParagraph"/>
        <w:numPr>
          <w:ilvl w:val="0"/>
          <w:numId w:val="107"/>
        </w:numPr>
        <w:ind w:left="1475" w:right="567" w:hanging="454"/>
        <w:jc w:val="both"/>
        <w:rPr>
          <w:rFonts w:ascii="Arial" w:hAnsi="Arial" w:cs="Arial"/>
          <w:color w:val="000000"/>
          <w:sz w:val="20"/>
        </w:rPr>
      </w:pPr>
      <w:r>
        <w:rPr>
          <w:rFonts w:ascii="Arial" w:hAnsi="Arial" w:cs="Arial"/>
          <w:color w:val="000000"/>
          <w:sz w:val="20"/>
        </w:rPr>
        <w:t>summons to give evidence;</w:t>
      </w:r>
    </w:p>
    <w:p w14:paraId="35208301" w14:textId="6BC08746" w:rsidR="00812268" w:rsidRDefault="00812268">
      <w:pPr>
        <w:pStyle w:val="ListParagraph"/>
        <w:numPr>
          <w:ilvl w:val="0"/>
          <w:numId w:val="107"/>
        </w:numPr>
        <w:ind w:left="1475" w:right="567" w:hanging="454"/>
        <w:jc w:val="both"/>
        <w:rPr>
          <w:rFonts w:ascii="Arial" w:hAnsi="Arial" w:cs="Arial"/>
          <w:color w:val="000000"/>
          <w:sz w:val="20"/>
        </w:rPr>
      </w:pPr>
      <w:r>
        <w:rPr>
          <w:rFonts w:ascii="Arial" w:hAnsi="Arial" w:cs="Arial"/>
          <w:color w:val="000000"/>
          <w:sz w:val="20"/>
        </w:rPr>
        <w:t>summons to produce documents or things;</w:t>
      </w:r>
    </w:p>
    <w:p w14:paraId="54126B42" w14:textId="063DF93B" w:rsidR="00812268" w:rsidRPr="00812268" w:rsidRDefault="00812268">
      <w:pPr>
        <w:pStyle w:val="ListParagraph"/>
        <w:numPr>
          <w:ilvl w:val="0"/>
          <w:numId w:val="107"/>
        </w:numPr>
        <w:ind w:left="1475" w:right="567" w:hanging="454"/>
        <w:jc w:val="both"/>
        <w:rPr>
          <w:rFonts w:ascii="Arial" w:hAnsi="Arial" w:cs="Arial"/>
          <w:color w:val="000000"/>
          <w:sz w:val="20"/>
        </w:rPr>
      </w:pPr>
      <w:r>
        <w:rPr>
          <w:rFonts w:ascii="Arial" w:hAnsi="Arial" w:cs="Arial"/>
          <w:color w:val="000000"/>
          <w:sz w:val="20"/>
        </w:rPr>
        <w:t>summons to give evidence and produce documents or things.</w:t>
      </w:r>
    </w:p>
    <w:p w14:paraId="60C907E8" w14:textId="4F55296D" w:rsidR="00812268" w:rsidRPr="00812268" w:rsidRDefault="00812268" w:rsidP="00263A4E">
      <w:pPr>
        <w:spacing w:before="60"/>
        <w:ind w:left="1021" w:right="567" w:hanging="454"/>
        <w:jc w:val="both"/>
        <w:rPr>
          <w:rFonts w:ascii="Arial" w:hAnsi="Arial" w:cs="Arial"/>
          <w:sz w:val="20"/>
        </w:rPr>
      </w:pPr>
      <w:r>
        <w:rPr>
          <w:rFonts w:ascii="Arial" w:hAnsi="Arial" w:cs="Arial"/>
          <w:sz w:val="20"/>
        </w:rPr>
        <w:t>(2)</w:t>
      </w:r>
      <w:r>
        <w:rPr>
          <w:rFonts w:ascii="Arial" w:hAnsi="Arial" w:cs="Arial"/>
          <w:sz w:val="20"/>
        </w:rPr>
        <w:tab/>
        <w:t>Any party to a proceeding in the Family Division may apply for the issue of a witness summons.</w:t>
      </w:r>
    </w:p>
    <w:p w14:paraId="16A1FD31" w14:textId="33DD82BE" w:rsidR="00812268" w:rsidRDefault="00812268" w:rsidP="00263A4E">
      <w:pPr>
        <w:spacing w:before="60"/>
        <w:ind w:left="1021" w:right="567" w:hanging="454"/>
        <w:jc w:val="both"/>
        <w:rPr>
          <w:rFonts w:ascii="Arial" w:hAnsi="Arial" w:cs="Arial"/>
          <w:sz w:val="20"/>
          <w:szCs w:val="20"/>
        </w:rPr>
      </w:pPr>
      <w:r>
        <w:rPr>
          <w:rFonts w:ascii="Arial" w:hAnsi="Arial" w:cs="Arial"/>
          <w:sz w:val="20"/>
        </w:rPr>
        <w:t>(3)</w:t>
      </w:r>
      <w:r>
        <w:rPr>
          <w:rFonts w:ascii="Arial" w:hAnsi="Arial" w:cs="Arial"/>
          <w:sz w:val="20"/>
        </w:rPr>
        <w:tab/>
        <w:t xml:space="preserve">A witness summons may be directed to any person who appears </w:t>
      </w:r>
      <w:r w:rsidR="00263A4E" w:rsidRPr="00263A4E">
        <w:rPr>
          <w:rFonts w:ascii="Arial" w:hAnsi="Arial" w:cs="Arial"/>
          <w:sz w:val="20"/>
          <w:szCs w:val="20"/>
        </w:rPr>
        <w:t>to the Court or registrar issuing the summons to be likely—</w:t>
      </w:r>
    </w:p>
    <w:p w14:paraId="695DC0A7" w14:textId="13262940"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t>to be able to give material evidence for any party to the proceeding or the Court; or</w:t>
      </w:r>
    </w:p>
    <w:p w14:paraId="4CB4AB72" w14:textId="3A09495A"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t>to have in the person's possession or control any documents or things which may be relevant on the hearing of the proceeding; or</w:t>
      </w:r>
    </w:p>
    <w:p w14:paraId="4A221A04" w14:textId="114FD804"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(c)</w:t>
      </w:r>
      <w:r w:rsidRPr="00263A4E">
        <w:rPr>
          <w:rFonts w:ascii="Arial" w:hAnsi="Arial" w:cs="Arial"/>
          <w:sz w:val="20"/>
        </w:rPr>
        <w:tab/>
        <w:t>both to be able to give material evidence and to have in the person's possession or control any relevant documents or things.</w:t>
      </w:r>
    </w:p>
    <w:p w14:paraId="3DBD6CD4" w14:textId="34D2622A" w:rsidR="00812268" w:rsidRPr="00812268" w:rsidRDefault="00812268" w:rsidP="00263A4E">
      <w:pPr>
        <w:spacing w:before="60"/>
        <w:ind w:left="1021" w:right="567" w:hanging="454"/>
        <w:jc w:val="both"/>
        <w:rPr>
          <w:rFonts w:ascii="Arial" w:hAnsi="Arial" w:cs="Arial"/>
          <w:sz w:val="20"/>
        </w:rPr>
      </w:pPr>
      <w:r>
        <w:rPr>
          <w:rFonts w:ascii="Arial" w:hAnsi="Arial" w:cs="Arial"/>
          <w:sz w:val="20"/>
        </w:rPr>
        <w:t>(4)</w:t>
      </w:r>
      <w:r>
        <w:rPr>
          <w:rFonts w:ascii="Arial" w:hAnsi="Arial" w:cs="Arial"/>
          <w:sz w:val="20"/>
        </w:rPr>
        <w:tab/>
      </w:r>
      <w:r w:rsidR="00263A4E" w:rsidRPr="00263A4E">
        <w:rPr>
          <w:rFonts w:ascii="Arial" w:hAnsi="Arial" w:cs="Arial"/>
          <w:sz w:val="20"/>
          <w:szCs w:val="20"/>
        </w:rPr>
        <w:t>A witness summons must require the person to whom it is directed to attend at a specified venue of the Court on a certain date and at a certain time—</w:t>
      </w:r>
    </w:p>
    <w:p w14:paraId="3B1E3D68" w14:textId="39244E51"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t>to give evidence in the proceeding; or</w:t>
      </w:r>
    </w:p>
    <w:p w14:paraId="6B1C1B90" w14:textId="40DD3A64"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t>to produce for examination at the hearing any documents or things described in the summons that are in the person's possession or control; or</w:t>
      </w:r>
    </w:p>
    <w:p w14:paraId="16C26F77" w14:textId="1C74D7D5"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(c)</w:t>
      </w:r>
      <w:r w:rsidRPr="00263A4E">
        <w:rPr>
          <w:rFonts w:ascii="Arial" w:hAnsi="Arial" w:cs="Arial"/>
          <w:sz w:val="20"/>
        </w:rPr>
        <w:tab/>
        <w:t>both to give evidence and produce for examination any documents or things described in the summons that are in the person's possession or control.</w:t>
      </w:r>
    </w:p>
    <w:p w14:paraId="1AD5592F" w14:textId="5DBC373C"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(5)</w:t>
      </w:r>
      <w:r w:rsidRPr="00263A4E">
        <w:rPr>
          <w:rFonts w:ascii="Arial" w:hAnsi="Arial" w:cs="Arial"/>
          <w:sz w:val="20"/>
          <w:szCs w:val="20"/>
        </w:rPr>
        <w:tab/>
        <w:t>A witness summons must be served on a person a reasonable time before the return date by—</w:t>
      </w:r>
    </w:p>
    <w:p w14:paraId="4785BBB2" w14:textId="6E90121A" w:rsidR="00180C61" w:rsidRPr="00263A4E" w:rsidRDefault="00263A4E" w:rsidP="00180C61">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t>delivering a copy of the summons to the person personally; or</w:t>
      </w:r>
    </w:p>
    <w:p w14:paraId="3E9CA577" w14:textId="28136DB4" w:rsidR="00180C61" w:rsidRPr="00263A4E" w:rsidRDefault="00263A4E" w:rsidP="00180C61">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t>leaving a copy of the summons for the person at the person's last or most usual place of residence or of business with a person who apparently resides or works there and who apparently is not less than 16 years of age.</w:t>
      </w:r>
    </w:p>
    <w:p w14:paraId="72352CA1" w14:textId="3B29A96D"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(6)</w:t>
      </w:r>
      <w:r w:rsidRPr="00263A4E">
        <w:rPr>
          <w:rFonts w:ascii="Arial" w:hAnsi="Arial" w:cs="Arial"/>
          <w:sz w:val="20"/>
          <w:szCs w:val="20"/>
        </w:rPr>
        <w:tab/>
        <w:t xml:space="preserve">If it appears to the Court, by evidence on oath </w:t>
      </w:r>
      <w:r w:rsidRPr="00263A4E">
        <w:rPr>
          <w:rFonts w:ascii="Arial" w:hAnsi="Arial" w:cs="Arial"/>
          <w:sz w:val="20"/>
          <w:szCs w:val="20"/>
          <w:lang w:eastAsia="en-AU"/>
        </w:rPr>
        <w:t>or by affirmation</w:t>
      </w:r>
      <w:r w:rsidRPr="00263A4E">
        <w:rPr>
          <w:rFonts w:ascii="Arial" w:hAnsi="Arial" w:cs="Arial"/>
          <w:sz w:val="20"/>
          <w:szCs w:val="20"/>
        </w:rPr>
        <w:t xml:space="preserve"> or by affidavit, that service cannot be promptly effected, the Court may make an order for substituted service.</w:t>
      </w:r>
    </w:p>
    <w:p w14:paraId="48558B25" w14:textId="3BA8499A"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(7)</w:t>
      </w:r>
      <w:r w:rsidRPr="00263A4E">
        <w:rPr>
          <w:rFonts w:ascii="Arial" w:hAnsi="Arial" w:cs="Arial"/>
          <w:sz w:val="20"/>
          <w:szCs w:val="20"/>
        </w:rPr>
        <w:tab/>
        <w:t>If the person to be served with the witness summons is a company or registered body (within</w:t>
      </w:r>
      <w:r w:rsidRPr="00263A4E">
        <w:rPr>
          <w:rFonts w:ascii="Arial" w:hAnsi="Arial" w:cs="Arial"/>
          <w:b/>
          <w:sz w:val="20"/>
          <w:szCs w:val="20"/>
        </w:rPr>
        <w:t> </w:t>
      </w:r>
      <w:r w:rsidRPr="00263A4E">
        <w:rPr>
          <w:rFonts w:ascii="Arial" w:hAnsi="Arial" w:cs="Arial"/>
          <w:sz w:val="20"/>
          <w:szCs w:val="20"/>
        </w:rPr>
        <w:t>the meaning of the Corporations Act), the</w:t>
      </w:r>
      <w:r w:rsidRPr="00263A4E">
        <w:rPr>
          <w:rFonts w:ascii="Arial" w:hAnsi="Arial" w:cs="Arial"/>
          <w:b/>
          <w:sz w:val="20"/>
          <w:szCs w:val="20"/>
        </w:rPr>
        <w:t> </w:t>
      </w:r>
      <w:r w:rsidRPr="00263A4E">
        <w:rPr>
          <w:rFonts w:ascii="Arial" w:hAnsi="Arial" w:cs="Arial"/>
          <w:sz w:val="20"/>
          <w:szCs w:val="20"/>
        </w:rPr>
        <w:t>summons may be served on that person in accordance with section 109X or 601CX of that Act, as the case requires.</w:t>
      </w:r>
    </w:p>
    <w:p w14:paraId="421C75EE" w14:textId="08EAE86E"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(8)</w:t>
      </w:r>
      <w:r w:rsidRPr="00263A4E">
        <w:rPr>
          <w:rFonts w:ascii="Arial" w:hAnsi="Arial" w:cs="Arial"/>
          <w:sz w:val="20"/>
          <w:szCs w:val="20"/>
        </w:rPr>
        <w:tab/>
        <w:t>A person to whom a witness summons is directed is, subject to subsection (9), excused from complying with the summons unless conduct money is given or tendered to the person at the time of service of the summons or a reasonable time before the return date.</w:t>
      </w:r>
    </w:p>
    <w:p w14:paraId="34481AB4" w14:textId="0D40D60B" w:rsidR="009C036F" w:rsidRPr="00812268" w:rsidRDefault="00263A4E" w:rsidP="009C036F">
      <w:pPr>
        <w:spacing w:before="60"/>
        <w:ind w:left="1021" w:right="567" w:hanging="454"/>
        <w:jc w:val="both"/>
        <w:rPr>
          <w:rFonts w:ascii="Arial" w:hAnsi="Arial" w:cs="Arial"/>
          <w:sz w:val="20"/>
        </w:rPr>
      </w:pPr>
      <w:r w:rsidRPr="00263A4E">
        <w:rPr>
          <w:rFonts w:ascii="Arial" w:hAnsi="Arial" w:cs="Arial"/>
          <w:sz w:val="20"/>
          <w:szCs w:val="20"/>
        </w:rPr>
        <w:t>(9)</w:t>
      </w:r>
      <w:r w:rsidRPr="00263A4E">
        <w:rPr>
          <w:rFonts w:ascii="Arial" w:hAnsi="Arial" w:cs="Arial"/>
          <w:sz w:val="20"/>
          <w:szCs w:val="20"/>
        </w:rPr>
        <w:tab/>
        <w:t>It is not necessary to give or tender conduct money to a person to whom a witness summons is directed if the person will not reasonably incur any expenses in complying with the summons.</w:t>
      </w:r>
    </w:p>
    <w:p w14:paraId="206BA51C" w14:textId="167C2E99" w:rsidR="009C036F" w:rsidRPr="00812268" w:rsidRDefault="00263A4E" w:rsidP="009C036F">
      <w:pPr>
        <w:spacing w:before="60"/>
        <w:ind w:left="1021" w:right="567" w:hanging="454"/>
        <w:jc w:val="both"/>
        <w:rPr>
          <w:rFonts w:ascii="Arial" w:hAnsi="Arial" w:cs="Arial"/>
          <w:sz w:val="20"/>
        </w:rPr>
      </w:pPr>
      <w:r w:rsidRPr="00263A4E">
        <w:rPr>
          <w:rFonts w:ascii="Arial" w:hAnsi="Arial" w:cs="Arial"/>
          <w:sz w:val="20"/>
          <w:szCs w:val="20"/>
        </w:rPr>
        <w:t>(10)</w:t>
      </w:r>
      <w:r w:rsidRPr="00263A4E">
        <w:rPr>
          <w:rFonts w:ascii="Arial" w:hAnsi="Arial" w:cs="Arial"/>
          <w:sz w:val="20"/>
          <w:szCs w:val="20"/>
        </w:rPr>
        <w:tab/>
        <w:t xml:space="preserve">Unless the Court or the registrar issuing the summons otherwise directs, a summons to produce documents or things or a summons to give evidence and produce documents or things permits the person to whom the summons is directed, instead of producing the document or thing at the hearing, to produce it, together with a copy of the summons, to the </w:t>
      </w:r>
      <w:r w:rsidR="005F285B">
        <w:rPr>
          <w:rFonts w:ascii="Arial" w:hAnsi="Arial" w:cs="Arial"/>
          <w:sz w:val="20"/>
          <w:szCs w:val="20"/>
        </w:rPr>
        <w:t>Court</w:t>
      </w:r>
      <w:r w:rsidRPr="00263A4E">
        <w:rPr>
          <w:rFonts w:ascii="Arial" w:hAnsi="Arial" w:cs="Arial"/>
          <w:sz w:val="20"/>
          <w:szCs w:val="20"/>
        </w:rPr>
        <w:t xml:space="preserve"> not later than 2 days before the first day on which production is required.</w:t>
      </w:r>
    </w:p>
    <w:p w14:paraId="525CE71D" w14:textId="38F9D24D" w:rsidR="00033752" w:rsidRPr="00812268" w:rsidRDefault="00263A4E" w:rsidP="00033752">
      <w:pPr>
        <w:spacing w:before="60"/>
        <w:ind w:left="1021" w:right="567" w:hanging="454"/>
        <w:jc w:val="both"/>
        <w:rPr>
          <w:rFonts w:ascii="Arial" w:hAnsi="Arial" w:cs="Arial"/>
          <w:sz w:val="20"/>
        </w:rPr>
      </w:pPr>
      <w:r w:rsidRPr="00263A4E">
        <w:rPr>
          <w:rFonts w:ascii="Arial" w:hAnsi="Arial" w:cs="Arial"/>
          <w:sz w:val="20"/>
          <w:szCs w:val="20"/>
        </w:rPr>
        <w:t>(11)</w:t>
      </w:r>
      <w:r w:rsidRPr="00263A4E">
        <w:rPr>
          <w:rFonts w:ascii="Arial" w:hAnsi="Arial" w:cs="Arial"/>
          <w:sz w:val="20"/>
          <w:szCs w:val="20"/>
        </w:rPr>
        <w:tab/>
        <w:t xml:space="preserve">If </w:t>
      </w:r>
      <w:r w:rsidR="004B5277" w:rsidRPr="00263A4E">
        <w:rPr>
          <w:rFonts w:ascii="Arial" w:hAnsi="Arial" w:cs="Arial"/>
          <w:sz w:val="20"/>
          <w:szCs w:val="20"/>
        </w:rPr>
        <w:t>requested to do so</w:t>
      </w:r>
      <w:r w:rsidR="004B5277">
        <w:rPr>
          <w:rFonts w:ascii="Arial" w:hAnsi="Arial" w:cs="Arial"/>
          <w:sz w:val="20"/>
          <w:szCs w:val="20"/>
        </w:rPr>
        <w:t>, the Court must give a receipt to a person who produces</w:t>
      </w:r>
      <w:r w:rsidR="004B5277" w:rsidRPr="00263A4E">
        <w:rPr>
          <w:rFonts w:ascii="Arial" w:hAnsi="Arial" w:cs="Arial"/>
          <w:sz w:val="20"/>
          <w:szCs w:val="20"/>
        </w:rPr>
        <w:t xml:space="preserve"> </w:t>
      </w:r>
      <w:r w:rsidRPr="00263A4E">
        <w:rPr>
          <w:rFonts w:ascii="Arial" w:hAnsi="Arial" w:cs="Arial"/>
          <w:sz w:val="20"/>
          <w:szCs w:val="20"/>
        </w:rPr>
        <w:t xml:space="preserve">a document or thing </w:t>
      </w:r>
      <w:r w:rsidR="004B5277">
        <w:rPr>
          <w:rFonts w:ascii="Arial" w:hAnsi="Arial" w:cs="Arial"/>
          <w:sz w:val="20"/>
          <w:szCs w:val="20"/>
        </w:rPr>
        <w:t>to the Court under subsection (10).</w:t>
      </w:r>
    </w:p>
    <w:p w14:paraId="1BC67512" w14:textId="55EAC779" w:rsidR="00033752" w:rsidRPr="00812268" w:rsidRDefault="00263A4E" w:rsidP="00033752">
      <w:pPr>
        <w:spacing w:before="60"/>
        <w:ind w:left="1021" w:right="567" w:hanging="454"/>
        <w:jc w:val="both"/>
        <w:rPr>
          <w:rFonts w:ascii="Arial" w:hAnsi="Arial" w:cs="Arial"/>
          <w:sz w:val="20"/>
        </w:rPr>
      </w:pPr>
      <w:r w:rsidRPr="00263A4E">
        <w:rPr>
          <w:rFonts w:ascii="Arial" w:hAnsi="Arial" w:cs="Arial"/>
          <w:sz w:val="20"/>
          <w:szCs w:val="20"/>
        </w:rPr>
        <w:lastRenderedPageBreak/>
        <w:t>(12)</w:t>
      </w:r>
      <w:r w:rsidRPr="00263A4E">
        <w:rPr>
          <w:rFonts w:ascii="Arial" w:hAnsi="Arial" w:cs="Arial"/>
          <w:sz w:val="20"/>
          <w:szCs w:val="20"/>
        </w:rPr>
        <w:tab/>
        <w:t xml:space="preserve">The production of a document or thing to the </w:t>
      </w:r>
      <w:r w:rsidR="004B5277">
        <w:rPr>
          <w:rFonts w:ascii="Arial" w:hAnsi="Arial" w:cs="Arial"/>
          <w:sz w:val="20"/>
          <w:szCs w:val="20"/>
        </w:rPr>
        <w:t>Court</w:t>
      </w:r>
      <w:r w:rsidRPr="00263A4E">
        <w:rPr>
          <w:rFonts w:ascii="Arial" w:hAnsi="Arial" w:cs="Arial"/>
          <w:sz w:val="20"/>
          <w:szCs w:val="20"/>
        </w:rPr>
        <w:t xml:space="preserve"> under subsection (10) in answer to a summons to give evidence and produce documents or things does not remove the requirement on the person to whom the summons is directed to attend for the purpose of giving evidence.</w:t>
      </w:r>
    </w:p>
    <w:p w14:paraId="39507499" w14:textId="77777777" w:rsidR="00033752" w:rsidRPr="00812268" w:rsidRDefault="00263A4E" w:rsidP="00033752">
      <w:pPr>
        <w:spacing w:before="60"/>
        <w:ind w:left="1021" w:right="567" w:hanging="454"/>
        <w:jc w:val="both"/>
        <w:rPr>
          <w:rFonts w:ascii="Arial" w:hAnsi="Arial" w:cs="Arial"/>
          <w:sz w:val="20"/>
        </w:rPr>
      </w:pPr>
      <w:r w:rsidRPr="00263A4E">
        <w:rPr>
          <w:rFonts w:ascii="Arial" w:hAnsi="Arial" w:cs="Arial"/>
          <w:sz w:val="20"/>
          <w:szCs w:val="20"/>
        </w:rPr>
        <w:t>(13)</w:t>
      </w:r>
      <w:r w:rsidRPr="00263A4E">
        <w:rPr>
          <w:rFonts w:ascii="Arial" w:hAnsi="Arial" w:cs="Arial"/>
          <w:sz w:val="20"/>
          <w:szCs w:val="20"/>
        </w:rPr>
        <w:tab/>
        <w:t>The Court may direct that a witness who has attended before the Court in answer to a witness summons is entitled to receive from the party who applied for the issue of the witness summons conduct money for each day of attendance.</w:t>
      </w:r>
    </w:p>
    <w:p w14:paraId="3564A337" w14:textId="745AB74F" w:rsidR="00033752" w:rsidRPr="004B5277" w:rsidRDefault="00263A4E" w:rsidP="00033752">
      <w:pPr>
        <w:spacing w:before="60"/>
        <w:ind w:left="1021" w:right="567" w:hanging="454"/>
        <w:jc w:val="both"/>
        <w:rPr>
          <w:rFonts w:ascii="Arial" w:hAnsi="Arial" w:cs="Arial"/>
          <w:sz w:val="20"/>
          <w:szCs w:val="20"/>
        </w:rPr>
      </w:pPr>
      <w:r w:rsidRPr="004B5277">
        <w:rPr>
          <w:rFonts w:ascii="Arial" w:hAnsi="Arial" w:cs="Arial"/>
          <w:sz w:val="20"/>
          <w:szCs w:val="20"/>
        </w:rPr>
        <w:t>(14)</w:t>
      </w:r>
      <w:r w:rsidRPr="004B5277">
        <w:rPr>
          <w:rFonts w:ascii="Arial" w:hAnsi="Arial" w:cs="Arial"/>
          <w:sz w:val="20"/>
          <w:szCs w:val="20"/>
        </w:rPr>
        <w:tab/>
        <w:t>Nothing in this section</w:t>
      </w:r>
      <w:r w:rsidR="004B5277" w:rsidRPr="004B5277">
        <w:rPr>
          <w:rFonts w:ascii="Arial" w:hAnsi="Arial" w:cs="Arial"/>
          <w:sz w:val="20"/>
          <w:szCs w:val="20"/>
        </w:rPr>
        <w:t xml:space="preserve"> derogates from the power of the Court to certify that a witness be paid his or her expenses of attending before the Court.</w:t>
      </w:r>
      <w:r w:rsidR="00E2760C">
        <w:rPr>
          <w:rFonts w:ascii="Arial" w:hAnsi="Arial" w:cs="Arial"/>
          <w:sz w:val="20"/>
          <w:szCs w:val="20"/>
        </w:rPr>
        <w:t>”</w:t>
      </w:r>
    </w:p>
    <w:p w14:paraId="29342E04" w14:textId="38944C10" w:rsidR="00263A4E" w:rsidRDefault="00263A4E" w:rsidP="00CF7950">
      <w:pPr>
        <w:rPr>
          <w:rFonts w:ascii="Arial" w:hAnsi="Arial" w:cs="Arial"/>
          <w:sz w:val="20"/>
          <w:szCs w:val="20"/>
        </w:rPr>
      </w:pPr>
    </w:p>
    <w:p w14:paraId="2C36C134" w14:textId="66644935" w:rsidR="00CF7950" w:rsidRDefault="00CF7950" w:rsidP="00CF7950">
      <w:pPr>
        <w:jc w:val="both"/>
        <w:rPr>
          <w:rFonts w:ascii="Arial" w:hAnsi="Arial" w:cs="Arial"/>
          <w:sz w:val="20"/>
          <w:szCs w:val="20"/>
        </w:rPr>
      </w:pPr>
      <w:r w:rsidRPr="00CF7950">
        <w:rPr>
          <w:rFonts w:ascii="Arial" w:hAnsi="Arial" w:cs="Arial"/>
          <w:sz w:val="20"/>
          <w:szCs w:val="20"/>
        </w:rPr>
        <w:t xml:space="preserve">The following prescribed forms are contained in the </w:t>
      </w:r>
      <w:bookmarkStart w:id="822" w:name="tpActTitle"/>
      <w:r w:rsidRPr="00CF7950">
        <w:rPr>
          <w:rFonts w:ascii="Arial" w:hAnsi="Arial" w:cs="Arial"/>
          <w:i/>
          <w:iCs/>
          <w:sz w:val="20"/>
          <w:szCs w:val="20"/>
        </w:rPr>
        <w:t>Children, Youth and Families (Children's Court Family Division) Rules</w:t>
      </w:r>
      <w:r>
        <w:rPr>
          <w:rFonts w:ascii="Arial" w:hAnsi="Arial" w:cs="Arial"/>
          <w:i/>
          <w:iCs/>
          <w:sz w:val="20"/>
          <w:szCs w:val="20"/>
        </w:rPr>
        <w:t xml:space="preserve"> </w:t>
      </w:r>
      <w:r w:rsidRPr="00CF7950">
        <w:rPr>
          <w:rFonts w:ascii="Arial" w:hAnsi="Arial" w:cs="Arial"/>
          <w:i/>
          <w:iCs/>
          <w:sz w:val="20"/>
          <w:szCs w:val="20"/>
        </w:rPr>
        <w:t>2017</w:t>
      </w:r>
      <w:r>
        <w:rPr>
          <w:rFonts w:ascii="Arial" w:hAnsi="Arial" w:cs="Arial"/>
          <w:sz w:val="20"/>
          <w:szCs w:val="20"/>
        </w:rPr>
        <w:t xml:space="preserve"> [</w:t>
      </w:r>
      <w:bookmarkEnd w:id="822"/>
      <w:r>
        <w:rPr>
          <w:rFonts w:ascii="Arial" w:hAnsi="Arial" w:cs="Arial"/>
          <w:sz w:val="20"/>
          <w:szCs w:val="20"/>
        </w:rPr>
        <w:t>S</w:t>
      </w:r>
      <w:r w:rsidRPr="00CF7950">
        <w:rPr>
          <w:rFonts w:ascii="Arial" w:hAnsi="Arial" w:cs="Arial"/>
          <w:sz w:val="20"/>
          <w:szCs w:val="20"/>
        </w:rPr>
        <w:t>.R. No. 20/2017</w:t>
      </w:r>
      <w:r>
        <w:rPr>
          <w:rFonts w:ascii="Arial" w:hAnsi="Arial" w:cs="Arial"/>
          <w:sz w:val="20"/>
          <w:szCs w:val="20"/>
        </w:rPr>
        <w:t>]:</w:t>
      </w:r>
    </w:p>
    <w:p w14:paraId="30595DCE" w14:textId="5CFAC1E9" w:rsidR="00CF7950" w:rsidRDefault="00CF7950" w:rsidP="00CF7950">
      <w:pPr>
        <w:ind w:left="1191" w:hanging="624"/>
        <w:jc w:val="both"/>
        <w:rPr>
          <w:rFonts w:ascii="Arial" w:hAnsi="Arial" w:cs="Arial"/>
          <w:color w:val="000000"/>
          <w:sz w:val="20"/>
        </w:rPr>
      </w:pPr>
      <w:r>
        <w:rPr>
          <w:rFonts w:ascii="Arial" w:hAnsi="Arial" w:cs="Arial"/>
          <w:sz w:val="20"/>
          <w:szCs w:val="20"/>
        </w:rPr>
        <w:t>Form 41</w:t>
      </w:r>
      <w:r>
        <w:rPr>
          <w:rFonts w:ascii="Arial" w:hAnsi="Arial" w:cs="Arial"/>
          <w:sz w:val="20"/>
          <w:szCs w:val="20"/>
        </w:rPr>
        <w:tab/>
        <w:t xml:space="preserve"> </w:t>
      </w:r>
      <w:r>
        <w:rPr>
          <w:rFonts w:ascii="Arial" w:hAnsi="Arial" w:cs="Arial"/>
          <w:color w:val="000000"/>
          <w:sz w:val="20"/>
        </w:rPr>
        <w:t>Witness summons to attend to give evidence</w:t>
      </w:r>
    </w:p>
    <w:p w14:paraId="2F27B724" w14:textId="013EB036" w:rsidR="00CF7950" w:rsidRPr="00CF7950" w:rsidRDefault="00CF7950" w:rsidP="00CF7950">
      <w:pPr>
        <w:ind w:left="567"/>
        <w:jc w:val="both"/>
        <w:rPr>
          <w:rFonts w:ascii="Arial" w:hAnsi="Arial" w:cs="Arial"/>
          <w:sz w:val="20"/>
          <w:szCs w:val="20"/>
        </w:rPr>
      </w:pPr>
      <w:r>
        <w:rPr>
          <w:rFonts w:ascii="Arial" w:hAnsi="Arial" w:cs="Arial"/>
          <w:color w:val="000000"/>
          <w:sz w:val="20"/>
        </w:rPr>
        <w:t>Form 41A</w:t>
      </w:r>
      <w:r>
        <w:rPr>
          <w:rFonts w:ascii="Arial" w:hAnsi="Arial" w:cs="Arial"/>
          <w:color w:val="000000"/>
          <w:sz w:val="20"/>
        </w:rPr>
        <w:tab/>
        <w:t xml:space="preserve"> Witness summons to produce</w:t>
      </w:r>
    </w:p>
    <w:p w14:paraId="0DE0DA49" w14:textId="0BDDF1BD" w:rsidR="00CF7950" w:rsidRPr="00CF7950" w:rsidRDefault="00CF7950" w:rsidP="00CF7950">
      <w:pPr>
        <w:ind w:left="567"/>
        <w:jc w:val="both"/>
        <w:rPr>
          <w:rFonts w:ascii="Arial" w:hAnsi="Arial" w:cs="Arial"/>
          <w:sz w:val="20"/>
          <w:szCs w:val="20"/>
        </w:rPr>
      </w:pPr>
      <w:r>
        <w:rPr>
          <w:rFonts w:ascii="Arial" w:hAnsi="Arial" w:cs="Arial"/>
          <w:color w:val="000000"/>
          <w:sz w:val="20"/>
        </w:rPr>
        <w:t>Form 41B</w:t>
      </w:r>
      <w:r>
        <w:rPr>
          <w:rFonts w:ascii="Arial" w:hAnsi="Arial" w:cs="Arial"/>
          <w:color w:val="000000"/>
          <w:sz w:val="20"/>
        </w:rPr>
        <w:tab/>
        <w:t xml:space="preserve"> Witness summons to produce and to attend to give evidence</w:t>
      </w:r>
    </w:p>
    <w:p w14:paraId="5BA9E745" w14:textId="201A1D1B" w:rsidR="00CF7950" w:rsidRDefault="00CF7950" w:rsidP="00CF7950">
      <w:pPr>
        <w:rPr>
          <w:rFonts w:ascii="Arial" w:hAnsi="Arial" w:cs="Arial"/>
          <w:sz w:val="20"/>
          <w:szCs w:val="20"/>
        </w:rPr>
      </w:pPr>
    </w:p>
    <w:p w14:paraId="1FA4D6EC" w14:textId="5F519D86" w:rsidR="00E84D09" w:rsidRPr="001C6E0E" w:rsidRDefault="00E84D09" w:rsidP="00E84D09">
      <w:pPr>
        <w:pStyle w:val="Heading3"/>
        <w:keepNext/>
        <w:keepLines/>
        <w:widowControl/>
        <w:spacing w:after="120" w:line="240" w:lineRule="auto"/>
        <w:ind w:left="284" w:hanging="284"/>
        <w:rPr>
          <w:rFonts w:ascii="Arial" w:hAnsi="Arial" w:cs="Arial"/>
          <w:b/>
          <w:bCs/>
          <w:color w:val="000000"/>
          <w:sz w:val="20"/>
        </w:rPr>
      </w:pPr>
      <w:bookmarkStart w:id="823" w:name="_B_WITNESS_SUMMONSES"/>
      <w:bookmarkEnd w:id="823"/>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bCs/>
          <w:color w:val="FFFFFF" w:themeColor="background1"/>
          <w:sz w:val="20"/>
          <w:shd w:val="clear" w:color="auto" w:fill="000000" w:themeFill="text1"/>
        </w:rPr>
        <w:t>WITNESS SUMMONSES IN THE CRIMINAL DIVISION</w:t>
      </w:r>
    </w:p>
    <w:p w14:paraId="24106255" w14:textId="0DDB9653" w:rsidR="00FD05F8" w:rsidRPr="00812268" w:rsidRDefault="006C0E70" w:rsidP="001C4AC1">
      <w:pPr>
        <w:spacing w:before="60"/>
        <w:rPr>
          <w:rFonts w:ascii="Arial" w:hAnsi="Arial" w:cs="Arial"/>
          <w:sz w:val="20"/>
        </w:rPr>
      </w:pPr>
      <w:r>
        <w:rPr>
          <w:rFonts w:ascii="Arial" w:hAnsi="Arial" w:cs="Arial"/>
          <w:sz w:val="20"/>
        </w:rPr>
        <w:t xml:space="preserve">Pursuant to s.43 of the </w:t>
      </w:r>
      <w:r w:rsidRPr="006C0E70">
        <w:rPr>
          <w:rFonts w:ascii="Arial" w:hAnsi="Arial" w:cs="Arial"/>
          <w:i/>
          <w:iCs/>
          <w:sz w:val="20"/>
        </w:rPr>
        <w:t>Magistrates’ Court Act 1989</w:t>
      </w:r>
      <w:r>
        <w:rPr>
          <w:rFonts w:ascii="Arial" w:hAnsi="Arial" w:cs="Arial"/>
          <w:sz w:val="20"/>
        </w:rPr>
        <w:t xml:space="preserve"> – read in conjunction with s.528(2)(a) of the CYFA – the </w:t>
      </w:r>
      <w:r w:rsidR="00FD05F8">
        <w:rPr>
          <w:rFonts w:ascii="Arial" w:hAnsi="Arial" w:cs="Arial"/>
          <w:sz w:val="20"/>
        </w:rPr>
        <w:t>Criminal Division may also issue the following witness summonses</w:t>
      </w:r>
      <w:r w:rsidR="00FD05F8">
        <w:rPr>
          <w:rFonts w:ascii="Arial" w:hAnsi="Arial" w:cs="Arial"/>
          <w:color w:val="000000"/>
          <w:sz w:val="20"/>
        </w:rPr>
        <w:t>–</w:t>
      </w:r>
    </w:p>
    <w:p w14:paraId="23992721" w14:textId="77777777" w:rsidR="00FD05F8" w:rsidRDefault="00FD05F8">
      <w:pPr>
        <w:pStyle w:val="ListParagraph"/>
        <w:numPr>
          <w:ilvl w:val="0"/>
          <w:numId w:val="108"/>
        </w:numPr>
        <w:ind w:left="454" w:hanging="454"/>
        <w:jc w:val="both"/>
        <w:rPr>
          <w:rFonts w:ascii="Arial" w:hAnsi="Arial" w:cs="Arial"/>
          <w:color w:val="000000"/>
          <w:sz w:val="20"/>
        </w:rPr>
      </w:pPr>
      <w:r>
        <w:rPr>
          <w:rFonts w:ascii="Arial" w:hAnsi="Arial" w:cs="Arial"/>
          <w:color w:val="000000"/>
          <w:sz w:val="20"/>
        </w:rPr>
        <w:t>summons to give evidence;</w:t>
      </w:r>
    </w:p>
    <w:p w14:paraId="457EE512" w14:textId="77777777" w:rsidR="00FD05F8" w:rsidRDefault="00FD05F8">
      <w:pPr>
        <w:pStyle w:val="ListParagraph"/>
        <w:numPr>
          <w:ilvl w:val="0"/>
          <w:numId w:val="108"/>
        </w:numPr>
        <w:ind w:left="454" w:hanging="454"/>
        <w:jc w:val="both"/>
        <w:rPr>
          <w:rFonts w:ascii="Arial" w:hAnsi="Arial" w:cs="Arial"/>
          <w:color w:val="000000"/>
          <w:sz w:val="20"/>
        </w:rPr>
      </w:pPr>
      <w:r>
        <w:rPr>
          <w:rFonts w:ascii="Arial" w:hAnsi="Arial" w:cs="Arial"/>
          <w:color w:val="000000"/>
          <w:sz w:val="20"/>
        </w:rPr>
        <w:t>summons to produce documents or things;</w:t>
      </w:r>
    </w:p>
    <w:p w14:paraId="3026B357" w14:textId="77777777" w:rsidR="00FD05F8" w:rsidRPr="00812268" w:rsidRDefault="00FD05F8">
      <w:pPr>
        <w:pStyle w:val="ListParagraph"/>
        <w:numPr>
          <w:ilvl w:val="0"/>
          <w:numId w:val="108"/>
        </w:numPr>
        <w:ind w:left="454" w:hanging="454"/>
        <w:jc w:val="both"/>
        <w:rPr>
          <w:rFonts w:ascii="Arial" w:hAnsi="Arial" w:cs="Arial"/>
          <w:color w:val="000000"/>
          <w:sz w:val="20"/>
        </w:rPr>
      </w:pPr>
      <w:r>
        <w:rPr>
          <w:rFonts w:ascii="Arial" w:hAnsi="Arial" w:cs="Arial"/>
          <w:color w:val="000000"/>
          <w:sz w:val="20"/>
        </w:rPr>
        <w:t>summons to give evidence and produce documents or things.</w:t>
      </w:r>
    </w:p>
    <w:p w14:paraId="2E2AE0E2" w14:textId="3C229950" w:rsidR="009B4872" w:rsidRDefault="009B4872" w:rsidP="009B4872">
      <w:pPr>
        <w:rPr>
          <w:rFonts w:ascii="Arial" w:hAnsi="Arial" w:cs="Arial"/>
          <w:sz w:val="20"/>
        </w:rPr>
      </w:pPr>
    </w:p>
    <w:p w14:paraId="16605D85" w14:textId="73E071BB" w:rsidR="006C0E70" w:rsidRDefault="006C0E70" w:rsidP="00DB4F35">
      <w:pPr>
        <w:jc w:val="both"/>
        <w:rPr>
          <w:rFonts w:ascii="Arial" w:hAnsi="Arial" w:cs="Arial"/>
          <w:sz w:val="20"/>
        </w:rPr>
      </w:pPr>
      <w:r>
        <w:rPr>
          <w:rFonts w:ascii="Arial" w:hAnsi="Arial" w:cs="Arial"/>
          <w:sz w:val="20"/>
        </w:rPr>
        <w:t>Section 43 of the Magistrates’ Court Act 1989 is in generally similar terms to s.532 of the CYFA</w:t>
      </w:r>
      <w:r w:rsidR="00DB4F35">
        <w:rPr>
          <w:rFonts w:ascii="Arial" w:hAnsi="Arial" w:cs="Arial"/>
          <w:sz w:val="20"/>
        </w:rPr>
        <w:t xml:space="preserve"> but it does not permit the Court to compel the attendance of </w:t>
      </w:r>
      <w:r w:rsidR="00DB4F35">
        <w:rPr>
          <w:rFonts w:ascii="Arial" w:hAnsi="Arial" w:cs="Arial"/>
          <w:color w:val="000000"/>
          <w:sz w:val="20"/>
        </w:rPr>
        <w:t>a witness at court and/or the production of documents or things on its own motion.</w:t>
      </w:r>
    </w:p>
    <w:p w14:paraId="66BC653C" w14:textId="5A440D08" w:rsidR="006C0E70" w:rsidRDefault="006C0E70" w:rsidP="009B4872">
      <w:pPr>
        <w:rPr>
          <w:rFonts w:ascii="Arial" w:hAnsi="Arial" w:cs="Arial"/>
          <w:sz w:val="20"/>
        </w:rPr>
      </w:pPr>
    </w:p>
    <w:p w14:paraId="01B174AC" w14:textId="51732AEC" w:rsidR="009B4872" w:rsidRDefault="009B4872" w:rsidP="009B4872">
      <w:pPr>
        <w:jc w:val="both"/>
        <w:rPr>
          <w:rFonts w:ascii="Arial" w:hAnsi="Arial" w:cs="Arial"/>
          <w:sz w:val="20"/>
          <w:szCs w:val="20"/>
        </w:rPr>
      </w:pPr>
      <w:r>
        <w:rPr>
          <w:rFonts w:ascii="Arial" w:hAnsi="Arial" w:cs="Arial"/>
          <w:sz w:val="20"/>
          <w:szCs w:val="20"/>
        </w:rPr>
        <w:t xml:space="preserve">Under rule 2.03 of the </w:t>
      </w:r>
      <w:r w:rsidRPr="00CF7950">
        <w:rPr>
          <w:rFonts w:ascii="Arial" w:hAnsi="Arial" w:cs="Arial"/>
          <w:i/>
          <w:iCs/>
          <w:sz w:val="20"/>
          <w:szCs w:val="20"/>
        </w:rPr>
        <w:t>Children</w:t>
      </w:r>
      <w:r>
        <w:rPr>
          <w:rFonts w:ascii="Arial" w:hAnsi="Arial" w:cs="Arial"/>
          <w:i/>
          <w:iCs/>
          <w:sz w:val="20"/>
          <w:szCs w:val="20"/>
        </w:rPr>
        <w:t>’s Court Criminal Procedure</w:t>
      </w:r>
      <w:r w:rsidRPr="00CF7950">
        <w:rPr>
          <w:rFonts w:ascii="Arial" w:hAnsi="Arial" w:cs="Arial"/>
          <w:i/>
          <w:iCs/>
          <w:sz w:val="20"/>
          <w:szCs w:val="20"/>
        </w:rPr>
        <w:t xml:space="preserve"> Rules</w:t>
      </w:r>
      <w:r>
        <w:rPr>
          <w:rFonts w:ascii="Arial" w:hAnsi="Arial" w:cs="Arial"/>
          <w:i/>
          <w:iCs/>
          <w:sz w:val="20"/>
          <w:szCs w:val="20"/>
        </w:rPr>
        <w:t xml:space="preserve"> </w:t>
      </w:r>
      <w:r w:rsidRPr="00CF7950">
        <w:rPr>
          <w:rFonts w:ascii="Arial" w:hAnsi="Arial" w:cs="Arial"/>
          <w:i/>
          <w:iCs/>
          <w:sz w:val="20"/>
          <w:szCs w:val="20"/>
        </w:rPr>
        <w:t>201</w:t>
      </w:r>
      <w:r>
        <w:rPr>
          <w:rFonts w:ascii="Arial" w:hAnsi="Arial" w:cs="Arial"/>
          <w:i/>
          <w:iCs/>
          <w:sz w:val="20"/>
          <w:szCs w:val="20"/>
        </w:rPr>
        <w:t>9</w:t>
      </w:r>
      <w:r>
        <w:rPr>
          <w:rFonts w:ascii="Arial" w:hAnsi="Arial" w:cs="Arial"/>
          <w:sz w:val="20"/>
          <w:szCs w:val="20"/>
        </w:rPr>
        <w:t xml:space="preserve"> [S</w:t>
      </w:r>
      <w:r w:rsidRPr="00CF7950">
        <w:rPr>
          <w:rFonts w:ascii="Arial" w:hAnsi="Arial" w:cs="Arial"/>
          <w:sz w:val="20"/>
          <w:szCs w:val="20"/>
        </w:rPr>
        <w:t xml:space="preserve">.R. No. </w:t>
      </w:r>
      <w:r>
        <w:rPr>
          <w:rFonts w:ascii="Arial" w:hAnsi="Arial" w:cs="Arial"/>
          <w:sz w:val="20"/>
          <w:szCs w:val="20"/>
        </w:rPr>
        <w:t>161</w:t>
      </w:r>
      <w:r w:rsidRPr="00CF7950">
        <w:rPr>
          <w:rFonts w:ascii="Arial" w:hAnsi="Arial" w:cs="Arial"/>
          <w:sz w:val="20"/>
          <w:szCs w:val="20"/>
        </w:rPr>
        <w:t>/201</w:t>
      </w:r>
      <w:r>
        <w:rPr>
          <w:rFonts w:ascii="Arial" w:hAnsi="Arial" w:cs="Arial"/>
          <w:sz w:val="20"/>
          <w:szCs w:val="20"/>
        </w:rPr>
        <w:t>9], a witness summons in the Criminal Division must be in prescribed Form 3 and must be directed to one person.</w:t>
      </w:r>
    </w:p>
    <w:p w14:paraId="1342B89F" w14:textId="77777777" w:rsidR="009B4872" w:rsidRPr="009B4872" w:rsidRDefault="009B4872" w:rsidP="009B4872">
      <w:pPr>
        <w:rPr>
          <w:rFonts w:ascii="Arial" w:hAnsi="Arial" w:cs="Arial"/>
          <w:sz w:val="20"/>
        </w:rPr>
      </w:pPr>
    </w:p>
    <w:p w14:paraId="11D5E937" w14:textId="28F51E95" w:rsidR="00E84D09" w:rsidRPr="001C6E0E" w:rsidRDefault="00E84D09" w:rsidP="00E84D09">
      <w:pPr>
        <w:pStyle w:val="Heading3"/>
        <w:keepNext/>
        <w:keepLines/>
        <w:widowControl/>
        <w:spacing w:after="120" w:line="240" w:lineRule="auto"/>
        <w:ind w:left="284" w:hanging="284"/>
        <w:rPr>
          <w:rFonts w:ascii="Arial" w:hAnsi="Arial" w:cs="Arial"/>
          <w:b/>
          <w:bCs/>
          <w:color w:val="000000"/>
          <w:sz w:val="20"/>
        </w:rPr>
      </w:pPr>
      <w:bookmarkStart w:id="824" w:name="_C_NOTICES_TO"/>
      <w:bookmarkEnd w:id="824"/>
      <w:r>
        <w:rPr>
          <w:rFonts w:ascii="Arial" w:hAnsi="Arial" w:cs="Arial"/>
          <w:b/>
          <w:color w:val="FFFFFF"/>
          <w:sz w:val="22"/>
          <w:shd w:val="clear" w:color="auto" w:fill="000000"/>
        </w:rPr>
        <w:t>C</w:t>
      </w:r>
      <w:r>
        <w:rPr>
          <w:rFonts w:ascii="Arial" w:hAnsi="Arial" w:cs="Arial"/>
          <w:b/>
          <w:color w:val="000000"/>
          <w:sz w:val="22"/>
        </w:rPr>
        <w:tab/>
      </w:r>
      <w:r>
        <w:rPr>
          <w:rFonts w:ascii="Arial" w:hAnsi="Arial" w:cs="Arial"/>
          <w:b/>
          <w:bCs/>
          <w:color w:val="FFFFFF" w:themeColor="background1"/>
          <w:sz w:val="20"/>
          <w:shd w:val="clear" w:color="auto" w:fill="000000" w:themeFill="text1"/>
        </w:rPr>
        <w:t>NOTICES TO AUTHORS OF REPORTS IN BOTH DIVISIONS</w:t>
      </w:r>
    </w:p>
    <w:p w14:paraId="08BBFC88" w14:textId="767B7D64" w:rsidR="00812268" w:rsidRDefault="00DB4F35" w:rsidP="002307C4">
      <w:pPr>
        <w:jc w:val="both"/>
        <w:rPr>
          <w:rFonts w:ascii="Arial" w:hAnsi="Arial" w:cs="Arial"/>
          <w:color w:val="000000"/>
          <w:sz w:val="20"/>
        </w:rPr>
      </w:pPr>
      <w:r>
        <w:rPr>
          <w:rFonts w:ascii="Arial" w:hAnsi="Arial" w:cs="Arial"/>
          <w:color w:val="000000"/>
          <w:sz w:val="20"/>
        </w:rPr>
        <w:t xml:space="preserve">Part 7.8 of the CYFA applies to the following types of </w:t>
      </w:r>
      <w:r w:rsidR="00FA798E">
        <w:rPr>
          <w:rFonts w:ascii="Arial" w:hAnsi="Arial" w:cs="Arial"/>
          <w:color w:val="000000"/>
          <w:sz w:val="20"/>
        </w:rPr>
        <w:t>Family Division reports</w:t>
      </w:r>
      <w:r w:rsidR="00FA798E">
        <w:rPr>
          <w:rFonts w:ascii="Arial" w:hAnsi="Arial" w:cs="Arial"/>
          <w:sz w:val="20"/>
        </w:rPr>
        <w:t>–</w:t>
      </w:r>
    </w:p>
    <w:p w14:paraId="47E8201A" w14:textId="77777777"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(a)</w:t>
      </w:r>
      <w:r w:rsidRPr="00B8543F">
        <w:rPr>
          <w:rFonts w:ascii="Arial" w:hAnsi="Arial" w:cs="Arial"/>
          <w:color w:val="000000"/>
          <w:sz w:val="20"/>
        </w:rPr>
        <w:tab/>
        <w:t>protection reports;</w:t>
      </w:r>
    </w:p>
    <w:p w14:paraId="2F245C07" w14:textId="77777777"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(b)</w:t>
      </w:r>
      <w:r w:rsidRPr="00B8543F">
        <w:rPr>
          <w:rFonts w:ascii="Arial" w:hAnsi="Arial" w:cs="Arial"/>
          <w:color w:val="000000"/>
          <w:sz w:val="20"/>
        </w:rPr>
        <w:tab/>
        <w:t>disposition reports;</w:t>
      </w:r>
    </w:p>
    <w:p w14:paraId="20EB3AC8" w14:textId="77777777"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(c)</w:t>
      </w:r>
      <w:r w:rsidRPr="00B8543F">
        <w:rPr>
          <w:rFonts w:ascii="Arial" w:hAnsi="Arial" w:cs="Arial"/>
          <w:color w:val="000000"/>
          <w:sz w:val="20"/>
        </w:rPr>
        <w:tab/>
        <w:t>additional reports, including Children’s Court Clinic reports;</w:t>
      </w:r>
    </w:p>
    <w:p w14:paraId="7B3AD402" w14:textId="3526BB31"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(d)</w:t>
      </w:r>
      <w:r w:rsidRPr="00B8543F">
        <w:rPr>
          <w:rFonts w:ascii="Arial" w:hAnsi="Arial" w:cs="Arial"/>
          <w:color w:val="000000"/>
          <w:sz w:val="20"/>
        </w:rPr>
        <w:tab/>
        <w:t>therapeutic tr</w:t>
      </w:r>
      <w:r>
        <w:rPr>
          <w:rFonts w:ascii="Arial" w:hAnsi="Arial" w:cs="Arial"/>
          <w:color w:val="000000"/>
          <w:sz w:val="20"/>
        </w:rPr>
        <w:t>eatment application reports;</w:t>
      </w:r>
      <w:r w:rsidR="00FA798E">
        <w:rPr>
          <w:rFonts w:ascii="Arial" w:hAnsi="Arial" w:cs="Arial"/>
          <w:color w:val="000000"/>
          <w:sz w:val="20"/>
        </w:rPr>
        <w:t xml:space="preserve"> and</w:t>
      </w:r>
    </w:p>
    <w:p w14:paraId="1AE44A43" w14:textId="378452D0" w:rsidR="002307C4"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(e)</w:t>
      </w:r>
      <w:r w:rsidRPr="00B8543F">
        <w:rPr>
          <w:rFonts w:ascii="Arial" w:hAnsi="Arial" w:cs="Arial"/>
          <w:color w:val="000000"/>
          <w:sz w:val="20"/>
        </w:rPr>
        <w:tab/>
        <w:t>therapeutic treatment (placement) reports</w:t>
      </w:r>
      <w:r w:rsidR="00FA798E">
        <w:rPr>
          <w:rFonts w:ascii="Arial" w:hAnsi="Arial" w:cs="Arial"/>
          <w:color w:val="000000"/>
          <w:sz w:val="20"/>
        </w:rPr>
        <w:t>.</w:t>
      </w:r>
    </w:p>
    <w:p w14:paraId="6A69C6A2" w14:textId="76F62338" w:rsidR="00FA798E" w:rsidRDefault="00FA798E" w:rsidP="00FA798E">
      <w:pPr>
        <w:tabs>
          <w:tab w:val="left" w:pos="363"/>
        </w:tabs>
        <w:ind w:left="454" w:hanging="454"/>
        <w:jc w:val="both"/>
        <w:rPr>
          <w:rFonts w:ascii="Arial" w:hAnsi="Arial" w:cs="Arial"/>
          <w:color w:val="000000"/>
          <w:sz w:val="20"/>
        </w:rPr>
      </w:pPr>
    </w:p>
    <w:p w14:paraId="5BB20A89" w14:textId="52F2E2A5"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It also applies to the following types of Criminal Division reports</w:t>
      </w:r>
      <w:r>
        <w:rPr>
          <w:rFonts w:ascii="Arial" w:hAnsi="Arial" w:cs="Arial"/>
          <w:sz w:val="20"/>
        </w:rPr>
        <w:t>–</w:t>
      </w:r>
    </w:p>
    <w:p w14:paraId="4301B7CB" w14:textId="4ABB7261" w:rsidR="002307C4"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(f)</w:t>
      </w:r>
      <w:r>
        <w:rPr>
          <w:rFonts w:ascii="Arial" w:hAnsi="Arial" w:cs="Arial"/>
          <w:color w:val="000000"/>
          <w:sz w:val="20"/>
        </w:rPr>
        <w:tab/>
        <w:t>pre-sentence reports;</w:t>
      </w:r>
    </w:p>
    <w:p w14:paraId="141FDFBD" w14:textId="706178DE"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(g)</w:t>
      </w:r>
      <w:r>
        <w:rPr>
          <w:rFonts w:ascii="Arial" w:hAnsi="Arial" w:cs="Arial"/>
          <w:color w:val="000000"/>
          <w:sz w:val="20"/>
        </w:rPr>
        <w:tab/>
        <w:t>group conference reports;</w:t>
      </w:r>
    </w:p>
    <w:p w14:paraId="6666D0EF" w14:textId="760621D6"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(h)</w:t>
      </w:r>
      <w:r>
        <w:rPr>
          <w:rFonts w:ascii="Arial" w:hAnsi="Arial" w:cs="Arial"/>
          <w:color w:val="000000"/>
          <w:sz w:val="20"/>
        </w:rPr>
        <w:tab/>
        <w:t>progress reports;</w:t>
      </w:r>
    </w:p>
    <w:p w14:paraId="644D0D5E" w14:textId="6DD9B296"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(i)</w:t>
      </w:r>
      <w:r>
        <w:rPr>
          <w:rFonts w:ascii="Arial" w:hAnsi="Arial" w:cs="Arial"/>
          <w:color w:val="000000"/>
          <w:sz w:val="20"/>
        </w:rPr>
        <w:tab/>
        <w:t>youth control order planning meeting reports; and</w:t>
      </w:r>
    </w:p>
    <w:p w14:paraId="53A51ACE" w14:textId="746D7CCF" w:rsidR="00FA798E" w:rsidRPr="00B8543F"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(j)</w:t>
      </w:r>
      <w:r>
        <w:rPr>
          <w:rFonts w:ascii="Arial" w:hAnsi="Arial" w:cs="Arial"/>
          <w:color w:val="000000"/>
          <w:sz w:val="20"/>
        </w:rPr>
        <w:tab/>
        <w:t>reports under s.409L(3) (child’s compliance with youth control order).</w:t>
      </w:r>
    </w:p>
    <w:p w14:paraId="33F4BD37" w14:textId="77777777" w:rsidR="002307C4" w:rsidRDefault="002307C4" w:rsidP="002307C4">
      <w:pPr>
        <w:jc w:val="both"/>
        <w:rPr>
          <w:rFonts w:ascii="Arial" w:hAnsi="Arial" w:cs="Arial"/>
          <w:color w:val="000000"/>
          <w:sz w:val="20"/>
        </w:rPr>
      </w:pPr>
    </w:p>
    <w:p w14:paraId="4F0BB1FC" w14:textId="411DDF04" w:rsidR="002307C4" w:rsidRDefault="00FA798E" w:rsidP="002307C4">
      <w:pPr>
        <w:jc w:val="both"/>
        <w:rPr>
          <w:rFonts w:ascii="Arial" w:hAnsi="Arial" w:cs="Arial"/>
          <w:color w:val="000000"/>
          <w:sz w:val="20"/>
        </w:rPr>
      </w:pPr>
      <w:r>
        <w:rPr>
          <w:rFonts w:ascii="Arial" w:hAnsi="Arial" w:cs="Arial"/>
          <w:color w:val="000000"/>
          <w:sz w:val="20"/>
        </w:rPr>
        <w:t xml:space="preserve">Section 550 of the CYFA </w:t>
      </w:r>
      <w:r w:rsidR="00382B52">
        <w:rPr>
          <w:rFonts w:ascii="Arial" w:hAnsi="Arial" w:cs="Arial"/>
          <w:color w:val="000000"/>
          <w:sz w:val="20"/>
        </w:rPr>
        <w:t>governs</w:t>
      </w:r>
      <w:r w:rsidR="00E2760C">
        <w:rPr>
          <w:rFonts w:ascii="Arial" w:hAnsi="Arial" w:cs="Arial"/>
          <w:color w:val="000000"/>
          <w:sz w:val="20"/>
        </w:rPr>
        <w:t xml:space="preserve"> the attendance at court of the author of any of the above reports.  It</w:t>
      </w:r>
      <w:r w:rsidR="00382B52">
        <w:rPr>
          <w:rFonts w:ascii="Arial" w:hAnsi="Arial" w:cs="Arial"/>
          <w:color w:val="000000"/>
          <w:sz w:val="20"/>
        </w:rPr>
        <w:t> </w:t>
      </w:r>
      <w:r w:rsidR="00E2760C">
        <w:rPr>
          <w:rFonts w:ascii="Arial" w:hAnsi="Arial" w:cs="Arial"/>
          <w:color w:val="000000"/>
          <w:sz w:val="20"/>
        </w:rPr>
        <w:t>provides:</w:t>
      </w:r>
    </w:p>
    <w:p w14:paraId="05109F00" w14:textId="06304BC5" w:rsidR="00E2760C" w:rsidRPr="00812268" w:rsidRDefault="00E2760C" w:rsidP="00E2760C">
      <w:pPr>
        <w:spacing w:before="60"/>
        <w:ind w:left="1021" w:right="567" w:hanging="454"/>
        <w:jc w:val="both"/>
        <w:rPr>
          <w:rFonts w:ascii="Arial" w:hAnsi="Arial" w:cs="Arial"/>
          <w:sz w:val="20"/>
        </w:rPr>
      </w:pPr>
      <w:r>
        <w:rPr>
          <w:rFonts w:ascii="Arial" w:hAnsi="Arial" w:cs="Arial"/>
          <w:sz w:val="20"/>
        </w:rPr>
        <w:t>“(1)</w:t>
      </w:r>
      <w:r>
        <w:rPr>
          <w:rFonts w:ascii="Arial" w:hAnsi="Arial" w:cs="Arial"/>
          <w:sz w:val="20"/>
        </w:rPr>
        <w:tab/>
        <w:t>The author of a report to which this Part applies may be required to attend to give evidence at the hearing of the proceeding to which the report is relevant by a notice given in accordance with subsection (2) by</w:t>
      </w:r>
      <w:r>
        <w:rPr>
          <w:rFonts w:ascii="Arial" w:hAnsi="Arial" w:cs="Arial"/>
          <w:color w:val="000000"/>
          <w:sz w:val="20"/>
        </w:rPr>
        <w:t>–</w:t>
      </w:r>
    </w:p>
    <w:p w14:paraId="69B08589" w14:textId="0746685B" w:rsidR="00E2760C"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the child in respect of whom the report has been prepared;</w:t>
      </w:r>
    </w:p>
    <w:p w14:paraId="33FFBE00" w14:textId="5AD2EA44" w:rsidR="00E2760C"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a parent of that child;</w:t>
      </w:r>
    </w:p>
    <w:p w14:paraId="7528C8AF" w14:textId="46751FCE" w:rsidR="00E2760C"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the Secretary DFFH; or</w:t>
      </w:r>
    </w:p>
    <w:p w14:paraId="35011802" w14:textId="79754A91" w:rsidR="00E2760C" w:rsidRPr="00812268"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the Court.</w:t>
      </w:r>
    </w:p>
    <w:p w14:paraId="1999378C" w14:textId="2F12F7BA" w:rsidR="00E2760C" w:rsidRDefault="00E2760C" w:rsidP="00E2760C">
      <w:pPr>
        <w:spacing w:before="60"/>
        <w:ind w:left="1021" w:right="567" w:hanging="454"/>
        <w:jc w:val="both"/>
        <w:rPr>
          <w:rFonts w:ascii="Arial" w:hAnsi="Arial" w:cs="Arial"/>
          <w:sz w:val="20"/>
          <w:szCs w:val="20"/>
        </w:rPr>
      </w:pPr>
      <w:r>
        <w:rPr>
          <w:rFonts w:ascii="Arial" w:hAnsi="Arial" w:cs="Arial"/>
          <w:sz w:val="20"/>
        </w:rPr>
        <w:t>(2)</w:t>
      </w:r>
      <w:r>
        <w:rPr>
          <w:rFonts w:ascii="Arial" w:hAnsi="Arial" w:cs="Arial"/>
          <w:sz w:val="20"/>
        </w:rPr>
        <w:tab/>
        <w:t>A notice under subsection (1) must be</w:t>
      </w:r>
      <w:r w:rsidRPr="00263A4E">
        <w:rPr>
          <w:rFonts w:ascii="Arial" w:hAnsi="Arial" w:cs="Arial"/>
          <w:sz w:val="20"/>
          <w:szCs w:val="20"/>
        </w:rPr>
        <w:t>—</w:t>
      </w:r>
    </w:p>
    <w:p w14:paraId="25F4A404" w14:textId="0DB43BEC" w:rsidR="00E2760C" w:rsidRPr="00263A4E" w:rsidRDefault="00E2760C" w:rsidP="00E2760C">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r>
      <w:r>
        <w:rPr>
          <w:rFonts w:ascii="Arial" w:hAnsi="Arial" w:cs="Arial"/>
          <w:sz w:val="20"/>
        </w:rPr>
        <w:t>in writing; and</w:t>
      </w:r>
    </w:p>
    <w:p w14:paraId="35450319" w14:textId="1D34663D" w:rsidR="00E2760C" w:rsidRPr="00263A4E" w:rsidRDefault="00E2760C" w:rsidP="00E2760C">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r>
      <w:r>
        <w:rPr>
          <w:rFonts w:ascii="Arial" w:hAnsi="Arial" w:cs="Arial"/>
          <w:sz w:val="20"/>
        </w:rPr>
        <w:t>filed in the Court as soon as possible and, if practicable, not later than 2 working days before the hearing.</w:t>
      </w:r>
    </w:p>
    <w:p w14:paraId="702414F1" w14:textId="67493002" w:rsidR="00E2760C" w:rsidRPr="00812268" w:rsidRDefault="00E2760C" w:rsidP="00E2760C">
      <w:pPr>
        <w:spacing w:before="60"/>
        <w:ind w:left="1021" w:right="567" w:hanging="454"/>
        <w:jc w:val="both"/>
        <w:rPr>
          <w:rFonts w:ascii="Arial" w:hAnsi="Arial" w:cs="Arial"/>
          <w:sz w:val="20"/>
        </w:rPr>
      </w:pPr>
      <w:r>
        <w:rPr>
          <w:rFonts w:ascii="Arial" w:hAnsi="Arial" w:cs="Arial"/>
          <w:sz w:val="20"/>
        </w:rPr>
        <w:t>(3)</w:t>
      </w:r>
      <w:r>
        <w:rPr>
          <w:rFonts w:ascii="Arial" w:hAnsi="Arial" w:cs="Arial"/>
          <w:sz w:val="20"/>
        </w:rPr>
        <w:tab/>
        <w:t>On the filing of a notice under subsection (1) the Court must immediately notify the author of the report that the author’s attendance is required on the return date.</w:t>
      </w:r>
    </w:p>
    <w:p w14:paraId="67F77BE2" w14:textId="7048E8F3" w:rsidR="00E2760C" w:rsidRPr="00812268" w:rsidRDefault="00E2760C" w:rsidP="00E2760C">
      <w:pPr>
        <w:spacing w:before="60"/>
        <w:ind w:left="1021" w:right="567" w:hanging="454"/>
        <w:jc w:val="both"/>
        <w:rPr>
          <w:rFonts w:ascii="Arial" w:hAnsi="Arial" w:cs="Arial"/>
          <w:sz w:val="20"/>
        </w:rPr>
      </w:pPr>
      <w:r>
        <w:rPr>
          <w:rFonts w:ascii="Arial" w:hAnsi="Arial" w:cs="Arial"/>
          <w:sz w:val="20"/>
        </w:rPr>
        <w:lastRenderedPageBreak/>
        <w:t>(4)</w:t>
      </w:r>
      <w:r>
        <w:rPr>
          <w:rFonts w:ascii="Arial" w:hAnsi="Arial" w:cs="Arial"/>
          <w:sz w:val="20"/>
        </w:rPr>
        <w:tab/>
      </w:r>
      <w:r w:rsidRPr="00263A4E">
        <w:rPr>
          <w:rFonts w:ascii="Arial" w:hAnsi="Arial" w:cs="Arial"/>
          <w:sz w:val="20"/>
          <w:szCs w:val="20"/>
        </w:rPr>
        <w:t xml:space="preserve">A </w:t>
      </w:r>
      <w:r>
        <w:rPr>
          <w:rFonts w:ascii="Arial" w:hAnsi="Arial" w:cs="Arial"/>
          <w:sz w:val="20"/>
          <w:szCs w:val="20"/>
        </w:rPr>
        <w:t xml:space="preserve">person is guilty of contempt of court </w:t>
      </w:r>
      <w:r w:rsidR="00195E9F">
        <w:rPr>
          <w:rFonts w:ascii="Arial" w:hAnsi="Arial" w:cs="Arial"/>
          <w:sz w:val="20"/>
          <w:szCs w:val="20"/>
        </w:rPr>
        <w:t>if, being the author of a report who has been required to attend the Court under subsection (1), he or she fails, without sufficient excuse, to attend as required.</w:t>
      </w:r>
    </w:p>
    <w:p w14:paraId="11977C93" w14:textId="5CEEEA0D" w:rsidR="00195E9F" w:rsidRPr="00812268" w:rsidRDefault="00195E9F" w:rsidP="00195E9F">
      <w:pPr>
        <w:spacing w:before="60"/>
        <w:ind w:left="1021" w:right="567" w:hanging="454"/>
        <w:jc w:val="both"/>
        <w:rPr>
          <w:rFonts w:ascii="Arial" w:hAnsi="Arial" w:cs="Arial"/>
          <w:sz w:val="20"/>
        </w:rPr>
      </w:pPr>
      <w:r>
        <w:rPr>
          <w:rFonts w:ascii="Arial" w:hAnsi="Arial" w:cs="Arial"/>
          <w:sz w:val="20"/>
        </w:rPr>
        <w:t>(5)</w:t>
      </w:r>
      <w:r>
        <w:rPr>
          <w:rFonts w:ascii="Arial" w:hAnsi="Arial" w:cs="Arial"/>
          <w:sz w:val="20"/>
        </w:rPr>
        <w:tab/>
      </w:r>
      <w:r>
        <w:rPr>
          <w:rFonts w:ascii="Arial" w:hAnsi="Arial" w:cs="Arial"/>
          <w:sz w:val="20"/>
          <w:szCs w:val="20"/>
        </w:rPr>
        <w:t>The author of a report who has been required under subsection (1) by the child or a parent of the child or the Secretary to attend at the hearing of a proceeding must, if required by the child or the parent or the Secretary (as the case requires), be called as a witness and may be cross-examined on the contents of the report.”</w:t>
      </w:r>
    </w:p>
    <w:p w14:paraId="7A9DDBCC" w14:textId="77777777" w:rsidR="00725634" w:rsidRDefault="00725634" w:rsidP="00725634">
      <w:pPr>
        <w:jc w:val="both"/>
        <w:rPr>
          <w:rFonts w:ascii="Arial" w:hAnsi="Arial" w:cs="Arial"/>
          <w:sz w:val="20"/>
        </w:rPr>
      </w:pPr>
    </w:p>
    <w:p w14:paraId="15060930" w14:textId="77777777" w:rsidR="00725634" w:rsidRDefault="00725634" w:rsidP="00725634">
      <w:pPr>
        <w:pStyle w:val="Heading3"/>
        <w:widowControl/>
        <w:spacing w:line="240" w:lineRule="auto"/>
        <w:rPr>
          <w:rFonts w:ascii="Arial" w:hAnsi="Arial" w:cs="Arial"/>
          <w:b/>
          <w:bCs/>
          <w:sz w:val="20"/>
        </w:rPr>
      </w:pPr>
      <w:bookmarkStart w:id="825" w:name="_3.5.10.2__Compellability"/>
      <w:bookmarkEnd w:id="825"/>
      <w:r>
        <w:rPr>
          <w:rFonts w:ascii="Arial" w:hAnsi="Arial" w:cs="Arial"/>
          <w:b/>
          <w:bCs/>
          <w:sz w:val="20"/>
        </w:rPr>
        <w:t>3.5.10.2  Competence and compellability</w:t>
      </w:r>
    </w:p>
    <w:p w14:paraId="5BEBF098" w14:textId="2CAAEF5A" w:rsidR="00B40317" w:rsidRDefault="00B40317" w:rsidP="00725634">
      <w:pPr>
        <w:spacing w:before="120"/>
        <w:jc w:val="both"/>
        <w:rPr>
          <w:rFonts w:ascii="Arial" w:hAnsi="Arial" w:cs="Arial"/>
          <w:sz w:val="20"/>
        </w:rPr>
      </w:pPr>
      <w:r>
        <w:rPr>
          <w:rFonts w:ascii="Arial" w:hAnsi="Arial" w:cs="Arial"/>
          <w:sz w:val="20"/>
        </w:rPr>
        <w:t xml:space="preserve">Section 12 of the </w:t>
      </w:r>
      <w:r w:rsidRPr="00A82F40">
        <w:rPr>
          <w:rFonts w:ascii="Arial" w:hAnsi="Arial" w:cs="Arial"/>
          <w:i/>
          <w:iCs/>
          <w:sz w:val="20"/>
        </w:rPr>
        <w:t xml:space="preserve">Evidence Act 2008 </w:t>
      </w:r>
      <w:r>
        <w:rPr>
          <w:rFonts w:ascii="Arial" w:hAnsi="Arial" w:cs="Arial"/>
          <w:sz w:val="20"/>
        </w:rPr>
        <w:t>provides:</w:t>
      </w:r>
    </w:p>
    <w:p w14:paraId="0579D87B" w14:textId="46F7127A" w:rsidR="00B40317" w:rsidRDefault="00B40317" w:rsidP="00B40317">
      <w:pPr>
        <w:ind w:left="567" w:right="567"/>
        <w:jc w:val="both"/>
        <w:rPr>
          <w:rFonts w:ascii="Arial" w:hAnsi="Arial" w:cs="Arial"/>
          <w:sz w:val="20"/>
        </w:rPr>
      </w:pPr>
      <w:r>
        <w:rPr>
          <w:rFonts w:ascii="Arial" w:hAnsi="Arial" w:cs="Arial"/>
          <w:sz w:val="20"/>
        </w:rPr>
        <w:t>“Except as otherwise provided by this Act</w:t>
      </w:r>
      <w:r w:rsidR="00FD5F44" w:rsidRPr="00A31FFA">
        <w:rPr>
          <w:rFonts w:ascii="Arial" w:hAnsi="Arial" w:cs="Arial"/>
          <w:sz w:val="20"/>
        </w:rPr>
        <w:t>–</w:t>
      </w:r>
    </w:p>
    <w:p w14:paraId="2E729152" w14:textId="77777777" w:rsidR="00B40317" w:rsidRDefault="00B40317" w:rsidP="00B40317">
      <w:pPr>
        <w:numPr>
          <w:ilvl w:val="0"/>
          <w:numId w:val="23"/>
        </w:numPr>
        <w:tabs>
          <w:tab w:val="left" w:pos="567"/>
        </w:tabs>
        <w:ind w:left="1134" w:right="567" w:hanging="567"/>
        <w:jc w:val="both"/>
        <w:rPr>
          <w:rFonts w:ascii="Arial" w:hAnsi="Arial" w:cs="Arial"/>
          <w:sz w:val="20"/>
        </w:rPr>
      </w:pPr>
      <w:r>
        <w:rPr>
          <w:rFonts w:ascii="Arial" w:hAnsi="Arial" w:cs="Arial"/>
          <w:sz w:val="20"/>
        </w:rPr>
        <w:t>every person is competent to give evidence; and</w:t>
      </w:r>
    </w:p>
    <w:p w14:paraId="7C3DB7D3" w14:textId="77777777" w:rsidR="00B40317" w:rsidRDefault="00B40317" w:rsidP="00B40317">
      <w:pPr>
        <w:numPr>
          <w:ilvl w:val="0"/>
          <w:numId w:val="23"/>
        </w:numPr>
        <w:tabs>
          <w:tab w:val="clear" w:pos="1140"/>
          <w:tab w:val="left" w:pos="567"/>
          <w:tab w:val="left" w:pos="1134"/>
        </w:tabs>
        <w:ind w:left="1134" w:right="567" w:hanging="567"/>
        <w:jc w:val="both"/>
        <w:rPr>
          <w:rFonts w:ascii="Arial" w:hAnsi="Arial" w:cs="Arial"/>
          <w:sz w:val="20"/>
        </w:rPr>
      </w:pPr>
      <w:r>
        <w:rPr>
          <w:rFonts w:ascii="Arial" w:hAnsi="Arial" w:cs="Arial"/>
          <w:sz w:val="20"/>
        </w:rPr>
        <w:t>a person who is competent to give evidence about a fact is compellable to give that evidence.”</w:t>
      </w:r>
    </w:p>
    <w:p w14:paraId="50DA25E0" w14:textId="77777777" w:rsidR="00B40317" w:rsidRDefault="00B40317" w:rsidP="00B40317">
      <w:pPr>
        <w:jc w:val="both"/>
        <w:rPr>
          <w:rFonts w:ascii="Arial" w:hAnsi="Arial" w:cs="Arial"/>
          <w:sz w:val="20"/>
        </w:rPr>
      </w:pPr>
    </w:p>
    <w:p w14:paraId="27B3BEE9" w14:textId="4C721D48" w:rsidR="004D3636" w:rsidRDefault="00CD014B" w:rsidP="00B40317">
      <w:pPr>
        <w:jc w:val="both"/>
        <w:rPr>
          <w:rFonts w:ascii="Arial" w:hAnsi="Arial" w:cs="Arial"/>
          <w:sz w:val="20"/>
        </w:rPr>
      </w:pPr>
      <w:r>
        <w:rPr>
          <w:rFonts w:ascii="Arial" w:hAnsi="Arial" w:cs="Arial"/>
          <w:sz w:val="20"/>
        </w:rPr>
        <w:t xml:space="preserve">Although s.190 of the </w:t>
      </w:r>
      <w:r w:rsidRPr="00A82F40">
        <w:rPr>
          <w:rFonts w:ascii="Arial" w:hAnsi="Arial" w:cs="Arial"/>
          <w:i/>
          <w:iCs/>
          <w:sz w:val="20"/>
        </w:rPr>
        <w:t>Evidence Act</w:t>
      </w:r>
      <w:r w:rsidR="00A82F40" w:rsidRPr="00A82F40">
        <w:rPr>
          <w:rFonts w:ascii="Arial" w:hAnsi="Arial" w:cs="Arial"/>
          <w:i/>
          <w:iCs/>
          <w:sz w:val="20"/>
        </w:rPr>
        <w:t xml:space="preserve"> 2008</w:t>
      </w:r>
      <w:r>
        <w:rPr>
          <w:rFonts w:ascii="Arial" w:hAnsi="Arial" w:cs="Arial"/>
          <w:sz w:val="20"/>
        </w:rPr>
        <w:t xml:space="preserve"> permits a court, if the parties consent, to dispense with some of the provisions of the Act, the provisions of ss.12-20 concerning the competence and compellability of witnesses may not be wa</w:t>
      </w:r>
      <w:r w:rsidRPr="00CD014B">
        <w:rPr>
          <w:rFonts w:ascii="Arial" w:hAnsi="Arial" w:cs="Arial"/>
          <w:sz w:val="20"/>
          <w:szCs w:val="20"/>
        </w:rPr>
        <w:t xml:space="preserve">ived: </w:t>
      </w:r>
      <w:r w:rsidRPr="00CD014B">
        <w:rPr>
          <w:rFonts w:ascii="Arial" w:hAnsi="Arial" w:cs="Arial"/>
          <w:i/>
          <w:iCs/>
          <w:color w:val="000000"/>
          <w:sz w:val="20"/>
          <w:szCs w:val="20"/>
        </w:rPr>
        <w:t>Kirk v Industrial Relations Commission of New South Wales; Kirk Group Holdings Pty Ltd v WorkCover Authority of New South Wales (Inspector Childs)</w:t>
      </w:r>
      <w:r>
        <w:rPr>
          <w:rFonts w:ascii="Arial" w:hAnsi="Arial" w:cs="Arial"/>
          <w:sz w:val="20"/>
        </w:rPr>
        <w:t xml:space="preserve"> [2010] HCA 1 at [51] per French CJ, Gummow, Hayne, Crennan, Kiefel &amp; Bell JJ and at [114] per Heydon J.</w:t>
      </w:r>
    </w:p>
    <w:p w14:paraId="77DCD2CA" w14:textId="77777777" w:rsidR="00725634" w:rsidRDefault="00725634" w:rsidP="00725634">
      <w:pPr>
        <w:jc w:val="both"/>
        <w:rPr>
          <w:rFonts w:ascii="Arial" w:hAnsi="Arial" w:cs="Arial"/>
          <w:color w:val="000000"/>
          <w:sz w:val="20"/>
        </w:rPr>
      </w:pPr>
    </w:p>
    <w:p w14:paraId="6D8F99B3" w14:textId="3DB6DF78" w:rsidR="00725634" w:rsidRPr="001C6E0E" w:rsidRDefault="00725634" w:rsidP="00725634">
      <w:pPr>
        <w:pStyle w:val="Heading3"/>
        <w:keepNext/>
        <w:keepLines/>
        <w:widowControl/>
        <w:spacing w:after="120" w:line="240" w:lineRule="auto"/>
        <w:ind w:left="284" w:hanging="284"/>
        <w:rPr>
          <w:rFonts w:ascii="Arial" w:hAnsi="Arial" w:cs="Arial"/>
          <w:b/>
          <w:bCs/>
          <w:color w:val="000000"/>
          <w:sz w:val="20"/>
        </w:rPr>
      </w:pPr>
      <w:bookmarkStart w:id="826" w:name="_B_ATTEMPTED_ARMED"/>
      <w:bookmarkStart w:id="827" w:name="_A_COMPETENCE"/>
      <w:bookmarkEnd w:id="826"/>
      <w:bookmarkEnd w:id="827"/>
      <w:r>
        <w:rPr>
          <w:rFonts w:ascii="Arial" w:hAnsi="Arial" w:cs="Arial"/>
          <w:b/>
          <w:color w:val="FFFFFF"/>
          <w:sz w:val="22"/>
          <w:shd w:val="clear" w:color="auto" w:fill="000000"/>
        </w:rPr>
        <w:t>A</w:t>
      </w:r>
      <w:r>
        <w:rPr>
          <w:rFonts w:ascii="Arial" w:hAnsi="Arial" w:cs="Arial"/>
          <w:b/>
          <w:color w:val="000000"/>
          <w:sz w:val="22"/>
        </w:rPr>
        <w:tab/>
      </w:r>
      <w:r>
        <w:rPr>
          <w:rFonts w:ascii="Arial" w:hAnsi="Arial" w:cs="Arial"/>
          <w:b/>
          <w:bCs/>
          <w:color w:val="FFFFFF" w:themeColor="background1"/>
          <w:sz w:val="20"/>
          <w:shd w:val="clear" w:color="auto" w:fill="000000" w:themeFill="text1"/>
        </w:rPr>
        <w:t>COMPETENCE</w:t>
      </w:r>
    </w:p>
    <w:p w14:paraId="67AC97C5" w14:textId="455DDDCB" w:rsidR="00704499" w:rsidRDefault="00704499" w:rsidP="007021C7">
      <w:pPr>
        <w:spacing w:before="120"/>
        <w:jc w:val="both"/>
        <w:rPr>
          <w:rFonts w:ascii="Arial" w:hAnsi="Arial" w:cs="Arial"/>
          <w:sz w:val="20"/>
        </w:rPr>
      </w:pPr>
      <w:bookmarkStart w:id="828" w:name="_3.5.10.1__Competence"/>
      <w:bookmarkStart w:id="829" w:name="B35101"/>
      <w:bookmarkEnd w:id="828"/>
      <w:bookmarkEnd w:id="829"/>
      <w:r>
        <w:rPr>
          <w:rFonts w:ascii="Arial" w:hAnsi="Arial" w:cs="Arial"/>
          <w:sz w:val="20"/>
        </w:rPr>
        <w:t xml:space="preserve">Section 13 of the </w:t>
      </w:r>
      <w:r w:rsidRPr="00A82F40">
        <w:rPr>
          <w:rFonts w:ascii="Arial" w:hAnsi="Arial" w:cs="Arial"/>
          <w:i/>
          <w:iCs/>
          <w:sz w:val="20"/>
        </w:rPr>
        <w:t>Evidence Act 2008</w:t>
      </w:r>
      <w:r w:rsidR="00A82F40" w:rsidRPr="00A82F40">
        <w:rPr>
          <w:rFonts w:ascii="Arial" w:hAnsi="Arial" w:cs="Arial"/>
          <w:sz w:val="20"/>
        </w:rPr>
        <w:t xml:space="preserve"> </w:t>
      </w:r>
      <w:r>
        <w:rPr>
          <w:rFonts w:ascii="Arial" w:hAnsi="Arial" w:cs="Arial"/>
          <w:sz w:val="20"/>
        </w:rPr>
        <w:t xml:space="preserve">sets out the test for </w:t>
      </w:r>
      <w:r w:rsidRPr="00356C5D">
        <w:rPr>
          <w:rFonts w:ascii="Arial" w:hAnsi="Arial" w:cs="Arial"/>
          <w:b/>
          <w:sz w:val="20"/>
        </w:rPr>
        <w:t>competence</w:t>
      </w:r>
      <w:r>
        <w:rPr>
          <w:rFonts w:ascii="Arial" w:hAnsi="Arial" w:cs="Arial"/>
          <w:sz w:val="20"/>
        </w:rPr>
        <w:t xml:space="preserve"> of a witness generally.  The test may be summarized as “lack of capacity”.  It may be that a witness is competent to answer no questions in a case.  </w:t>
      </w:r>
      <w:r w:rsidR="00356C5D">
        <w:rPr>
          <w:rFonts w:ascii="Arial" w:hAnsi="Arial" w:cs="Arial"/>
          <w:sz w:val="20"/>
        </w:rPr>
        <w:t xml:space="preserve">It may be that he or she is competent to answer some but not all questions.  </w:t>
      </w:r>
      <w:r w:rsidR="00C678DA">
        <w:rPr>
          <w:rFonts w:ascii="Arial" w:hAnsi="Arial" w:cs="Arial"/>
          <w:sz w:val="20"/>
        </w:rPr>
        <w:t>A person who is</w:t>
      </w:r>
      <w:r w:rsidR="00356C5D">
        <w:rPr>
          <w:rFonts w:ascii="Arial" w:hAnsi="Arial" w:cs="Arial"/>
          <w:sz w:val="20"/>
        </w:rPr>
        <w:t xml:space="preserve"> competent to give </w:t>
      </w:r>
      <w:r w:rsidR="00C678DA">
        <w:rPr>
          <w:rFonts w:ascii="Arial" w:hAnsi="Arial" w:cs="Arial"/>
          <w:sz w:val="20"/>
        </w:rPr>
        <w:t xml:space="preserve">evidence about a fact may not be competent to give sworn evidence but will be competent to give unsworn evidence if the court has told the person the 3 things set out in s.13(5).  There is </w:t>
      </w:r>
      <w:r w:rsidR="00356C5D">
        <w:rPr>
          <w:rFonts w:ascii="Arial" w:hAnsi="Arial" w:cs="Arial"/>
          <w:sz w:val="20"/>
        </w:rPr>
        <w:t>no presumption that a person – child or adult – is not competent.  The presumption is the reverse, namely that a person is not incompetent unless the contrary is proved.  Section 13 provides:</w:t>
      </w:r>
    </w:p>
    <w:p w14:paraId="63475813" w14:textId="064C4278" w:rsidR="00356C5D" w:rsidRDefault="007021C7" w:rsidP="00D772F0">
      <w:pPr>
        <w:numPr>
          <w:ilvl w:val="0"/>
          <w:numId w:val="24"/>
        </w:numPr>
        <w:tabs>
          <w:tab w:val="left" w:pos="567"/>
        </w:tabs>
        <w:spacing w:before="80"/>
        <w:ind w:left="1134" w:right="567" w:hanging="567"/>
        <w:jc w:val="both"/>
        <w:rPr>
          <w:rFonts w:ascii="Arial" w:hAnsi="Arial" w:cs="Arial"/>
          <w:sz w:val="20"/>
        </w:rPr>
      </w:pPr>
      <w:r>
        <w:rPr>
          <w:rFonts w:ascii="Arial" w:hAnsi="Arial" w:cs="Arial"/>
          <w:sz w:val="20"/>
        </w:rPr>
        <w:t>A person is not competent to give evidence about a fact if, for any reason (including a mental, intellectual or physical disability)</w:t>
      </w:r>
      <w:r w:rsidR="00FD5F44" w:rsidRPr="00A31FFA">
        <w:rPr>
          <w:rFonts w:ascii="Arial" w:hAnsi="Arial" w:cs="Arial"/>
          <w:sz w:val="20"/>
        </w:rPr>
        <w:t>–</w:t>
      </w:r>
    </w:p>
    <w:p w14:paraId="430AC63D" w14:textId="77777777" w:rsidR="00704499" w:rsidRDefault="007021C7"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the person does not have the capacity to understand a question about that fact; or</w:t>
      </w:r>
    </w:p>
    <w:p w14:paraId="0F63FD3C" w14:textId="00FF5B3F" w:rsidR="007021C7" w:rsidRDefault="007021C7"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the person does not have the capacity to give an answer which can be understood to a question about that fact</w:t>
      </w:r>
      <w:r w:rsidR="00FD5F44" w:rsidRPr="00A31FFA">
        <w:rPr>
          <w:rFonts w:ascii="Arial" w:hAnsi="Arial" w:cs="Arial"/>
          <w:sz w:val="20"/>
        </w:rPr>
        <w:t>–</w:t>
      </w:r>
    </w:p>
    <w:p w14:paraId="09F6AFEE" w14:textId="77777777" w:rsidR="00D11911" w:rsidRDefault="007021C7" w:rsidP="007021C7">
      <w:pPr>
        <w:ind w:left="1080"/>
        <w:jc w:val="both"/>
        <w:rPr>
          <w:rFonts w:ascii="Arial" w:hAnsi="Arial" w:cs="Arial"/>
          <w:sz w:val="20"/>
        </w:rPr>
      </w:pPr>
      <w:r>
        <w:rPr>
          <w:rFonts w:ascii="Arial" w:hAnsi="Arial" w:cs="Arial"/>
          <w:sz w:val="20"/>
        </w:rPr>
        <w:t>and that capacity cannot be overcome.</w:t>
      </w:r>
    </w:p>
    <w:p w14:paraId="57C7FBBA" w14:textId="77777777" w:rsidR="007021C7" w:rsidRDefault="007021C7" w:rsidP="00D772F0">
      <w:pPr>
        <w:numPr>
          <w:ilvl w:val="0"/>
          <w:numId w:val="24"/>
        </w:numPr>
        <w:spacing w:before="80"/>
        <w:ind w:left="1134" w:right="567" w:hanging="567"/>
        <w:jc w:val="both"/>
        <w:rPr>
          <w:rFonts w:ascii="Arial" w:hAnsi="Arial" w:cs="Arial"/>
          <w:sz w:val="20"/>
        </w:rPr>
      </w:pPr>
      <w:r>
        <w:rPr>
          <w:rFonts w:ascii="Arial" w:hAnsi="Arial" w:cs="Arial"/>
          <w:sz w:val="20"/>
        </w:rPr>
        <w:t>A person who, because of subsection (1), is not competent to give evidence about a fact may be competent to give evidence about other facts.</w:t>
      </w:r>
    </w:p>
    <w:p w14:paraId="2E10E63D" w14:textId="77777777" w:rsidR="007021C7" w:rsidRDefault="007021C7" w:rsidP="00D772F0">
      <w:pPr>
        <w:numPr>
          <w:ilvl w:val="0"/>
          <w:numId w:val="24"/>
        </w:numPr>
        <w:spacing w:before="80"/>
        <w:ind w:left="1134" w:right="567" w:hanging="567"/>
        <w:jc w:val="both"/>
        <w:rPr>
          <w:rFonts w:ascii="Arial" w:hAnsi="Arial" w:cs="Arial"/>
          <w:sz w:val="20"/>
        </w:rPr>
      </w:pPr>
      <w:r>
        <w:rPr>
          <w:rFonts w:ascii="Arial" w:hAnsi="Arial" w:cs="Arial"/>
          <w:sz w:val="20"/>
        </w:rPr>
        <w:t xml:space="preserve">A person who is competent to give evidence about a fact </w:t>
      </w:r>
      <w:r w:rsidR="00C678DA">
        <w:rPr>
          <w:rFonts w:ascii="Arial" w:hAnsi="Arial" w:cs="Arial"/>
          <w:sz w:val="20"/>
        </w:rPr>
        <w:t>is not competent to give sworn evidence about the fact if the person does not have the capacity to understand that, in giving evidence, he or she is under an obligation to give truthful evidence.</w:t>
      </w:r>
    </w:p>
    <w:p w14:paraId="595D7991" w14:textId="77777777" w:rsidR="007021C7" w:rsidRDefault="007021C7" w:rsidP="00D772F0">
      <w:pPr>
        <w:numPr>
          <w:ilvl w:val="0"/>
          <w:numId w:val="24"/>
        </w:numPr>
        <w:spacing w:before="80"/>
        <w:ind w:left="1134" w:right="567" w:hanging="567"/>
        <w:jc w:val="both"/>
        <w:rPr>
          <w:rFonts w:ascii="Arial" w:hAnsi="Arial" w:cs="Arial"/>
          <w:sz w:val="20"/>
        </w:rPr>
      </w:pPr>
      <w:r>
        <w:rPr>
          <w:rFonts w:ascii="Arial" w:hAnsi="Arial" w:cs="Arial"/>
          <w:sz w:val="20"/>
        </w:rPr>
        <w:t>A person who is not competent to give sworn evidence about a fact may, subject to subsection (5), be competent to give unsworn evidence about the fact.</w:t>
      </w:r>
    </w:p>
    <w:p w14:paraId="720D8D7C" w14:textId="71646ED9" w:rsidR="007021C7" w:rsidRDefault="00C678DA" w:rsidP="00D772F0">
      <w:pPr>
        <w:numPr>
          <w:ilvl w:val="0"/>
          <w:numId w:val="24"/>
        </w:numPr>
        <w:spacing w:before="80"/>
        <w:ind w:left="1134" w:right="567" w:hanging="567"/>
        <w:jc w:val="both"/>
        <w:rPr>
          <w:rFonts w:ascii="Arial" w:hAnsi="Arial" w:cs="Arial"/>
          <w:sz w:val="20"/>
        </w:rPr>
      </w:pPr>
      <w:r>
        <w:rPr>
          <w:rFonts w:ascii="Arial" w:hAnsi="Arial" w:cs="Arial"/>
          <w:sz w:val="20"/>
        </w:rPr>
        <w:t>A person who, because of subsection (3), is not competent to give sworn evidence is competent to give unsworn evidence if the court has told the person</w:t>
      </w:r>
      <w:r w:rsidR="00FD5F44" w:rsidRPr="00A31FFA">
        <w:rPr>
          <w:rFonts w:ascii="Arial" w:hAnsi="Arial" w:cs="Arial"/>
          <w:sz w:val="20"/>
        </w:rPr>
        <w:t>–</w:t>
      </w:r>
    </w:p>
    <w:p w14:paraId="0CF9B7C6" w14:textId="77777777" w:rsidR="00356C5D" w:rsidRDefault="0004378C"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that it is important to tell the truth; and</w:t>
      </w:r>
    </w:p>
    <w:p w14:paraId="630BE5CB" w14:textId="77777777" w:rsidR="0004378C" w:rsidRDefault="0004378C"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that he or she may be asked questions that he or she does not know, or cannot remember, the answer to, and that he or she should tell the court if this occurs; and</w:t>
      </w:r>
    </w:p>
    <w:p w14:paraId="5A7B85CB" w14:textId="77777777" w:rsidR="0004378C" w:rsidRDefault="0004378C"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that he or she may be asked questions that suggest certain statements are true or untrue and that he or she should agree with the statements he or she believes are true and should feel no pressure to agree with statements that he or she believes are untrue.</w:t>
      </w:r>
    </w:p>
    <w:p w14:paraId="4FC8AFE9" w14:textId="77777777" w:rsidR="0004378C" w:rsidRDefault="0004378C" w:rsidP="00D772F0">
      <w:pPr>
        <w:numPr>
          <w:ilvl w:val="0"/>
          <w:numId w:val="24"/>
        </w:numPr>
        <w:spacing w:before="80"/>
        <w:ind w:left="1134" w:right="567" w:hanging="567"/>
        <w:jc w:val="both"/>
        <w:rPr>
          <w:rFonts w:ascii="Arial" w:hAnsi="Arial" w:cs="Arial"/>
          <w:sz w:val="20"/>
        </w:rPr>
      </w:pPr>
      <w:r>
        <w:rPr>
          <w:rFonts w:ascii="Arial" w:hAnsi="Arial" w:cs="Arial"/>
          <w:sz w:val="20"/>
        </w:rPr>
        <w:t>It is presumed, unless the contrary is proved, that a person is not incompetent because of this section.</w:t>
      </w:r>
    </w:p>
    <w:p w14:paraId="61115E73" w14:textId="77777777" w:rsidR="0004378C" w:rsidRDefault="0004378C" w:rsidP="00D772F0">
      <w:pPr>
        <w:numPr>
          <w:ilvl w:val="0"/>
          <w:numId w:val="24"/>
        </w:numPr>
        <w:spacing w:before="80"/>
        <w:ind w:left="1134" w:right="567" w:hanging="567"/>
        <w:jc w:val="both"/>
        <w:rPr>
          <w:rFonts w:ascii="Arial" w:hAnsi="Arial" w:cs="Arial"/>
          <w:sz w:val="20"/>
        </w:rPr>
      </w:pPr>
      <w:r>
        <w:rPr>
          <w:rFonts w:ascii="Arial" w:hAnsi="Arial" w:cs="Arial"/>
          <w:sz w:val="20"/>
        </w:rPr>
        <w:t>Evidence that has been given by a witness does not become inadmissible merely because, before the witness finishes giving evidence, he or she dies or ceases to be competent to give evidence.</w:t>
      </w:r>
    </w:p>
    <w:p w14:paraId="726155B0" w14:textId="77777777" w:rsidR="0004378C" w:rsidRDefault="0004378C" w:rsidP="00D772F0">
      <w:pPr>
        <w:numPr>
          <w:ilvl w:val="0"/>
          <w:numId w:val="24"/>
        </w:numPr>
        <w:spacing w:before="80"/>
        <w:ind w:left="1134" w:right="567" w:hanging="567"/>
        <w:jc w:val="both"/>
        <w:rPr>
          <w:rFonts w:ascii="Arial" w:hAnsi="Arial" w:cs="Arial"/>
          <w:sz w:val="20"/>
        </w:rPr>
      </w:pPr>
      <w:r>
        <w:rPr>
          <w:rFonts w:ascii="Arial" w:hAnsi="Arial" w:cs="Arial"/>
          <w:sz w:val="20"/>
        </w:rPr>
        <w:lastRenderedPageBreak/>
        <w:t>For the purposes of determining a question arising under this section, the court may inform itself as it thinks fit, including by obtaining information from a person who has relevant specialised knowledge based on the person’s training, study or experience.</w:t>
      </w:r>
    </w:p>
    <w:p w14:paraId="37FEFE4F" w14:textId="2F9D62F9" w:rsidR="00B40317" w:rsidRDefault="00B40317" w:rsidP="00E5300B">
      <w:pPr>
        <w:jc w:val="both"/>
        <w:rPr>
          <w:rFonts w:ascii="Arial" w:hAnsi="Arial" w:cs="Arial"/>
          <w:sz w:val="20"/>
        </w:rPr>
      </w:pPr>
    </w:p>
    <w:p w14:paraId="43EAC725" w14:textId="4468020D" w:rsidR="00294C4B" w:rsidRPr="00294C4B" w:rsidRDefault="00294C4B" w:rsidP="00E5300B">
      <w:pPr>
        <w:jc w:val="both"/>
        <w:rPr>
          <w:rFonts w:ascii="Arial" w:hAnsi="Arial" w:cs="Arial"/>
          <w:sz w:val="20"/>
          <w:szCs w:val="20"/>
        </w:rPr>
      </w:pPr>
      <w:r w:rsidRPr="00294C4B">
        <w:rPr>
          <w:rFonts w:ascii="Arial" w:hAnsi="Arial" w:cs="Arial"/>
          <w:sz w:val="20"/>
          <w:szCs w:val="20"/>
        </w:rPr>
        <w:t xml:space="preserve">See </w:t>
      </w:r>
      <w:r w:rsidRPr="00294C4B">
        <w:rPr>
          <w:rFonts w:ascii="Arial" w:hAnsi="Arial" w:cs="Arial"/>
          <w:i/>
          <w:iCs/>
          <w:sz w:val="20"/>
          <w:szCs w:val="20"/>
        </w:rPr>
        <w:t>Martin v Amaca Pty Ltd &amp; Ors</w:t>
      </w:r>
      <w:r w:rsidRPr="00294C4B">
        <w:rPr>
          <w:rFonts w:ascii="Arial" w:hAnsi="Arial" w:cs="Arial"/>
          <w:sz w:val="20"/>
          <w:szCs w:val="20"/>
        </w:rPr>
        <w:t xml:space="preserve"> [2023] VSC 1</w:t>
      </w:r>
      <w:r>
        <w:rPr>
          <w:rFonts w:ascii="Arial" w:hAnsi="Arial" w:cs="Arial"/>
          <w:sz w:val="20"/>
          <w:szCs w:val="20"/>
        </w:rPr>
        <w:t>6</w:t>
      </w:r>
      <w:r w:rsidRPr="00294C4B">
        <w:rPr>
          <w:rFonts w:ascii="Arial" w:hAnsi="Arial" w:cs="Arial"/>
          <w:sz w:val="20"/>
          <w:szCs w:val="20"/>
        </w:rPr>
        <w:t>5.</w:t>
      </w:r>
    </w:p>
    <w:p w14:paraId="241685ED" w14:textId="77777777" w:rsidR="00725634" w:rsidRDefault="00725634" w:rsidP="00725634">
      <w:pPr>
        <w:jc w:val="both"/>
        <w:rPr>
          <w:rFonts w:ascii="Arial" w:hAnsi="Arial" w:cs="Arial"/>
          <w:color w:val="000000"/>
          <w:sz w:val="20"/>
        </w:rPr>
      </w:pPr>
    </w:p>
    <w:p w14:paraId="0F1C9A8F" w14:textId="7F251E54" w:rsidR="00725634" w:rsidRPr="001C6E0E" w:rsidRDefault="00725634" w:rsidP="00725634">
      <w:pPr>
        <w:pStyle w:val="Heading3"/>
        <w:keepNext/>
        <w:keepLines/>
        <w:widowControl/>
        <w:spacing w:after="120" w:line="240" w:lineRule="auto"/>
        <w:ind w:left="284" w:hanging="284"/>
        <w:rPr>
          <w:rFonts w:ascii="Arial" w:hAnsi="Arial" w:cs="Arial"/>
          <w:b/>
          <w:bCs/>
          <w:color w:val="000000"/>
          <w:sz w:val="20"/>
        </w:rPr>
      </w:pPr>
      <w:bookmarkStart w:id="830" w:name="_B_COMPELLABILITY"/>
      <w:bookmarkEnd w:id="830"/>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bCs/>
          <w:color w:val="FFFFFF" w:themeColor="background1"/>
          <w:sz w:val="20"/>
          <w:shd w:val="clear" w:color="auto" w:fill="000000" w:themeFill="text1"/>
        </w:rPr>
        <w:t>COMPELLABILITY</w:t>
      </w:r>
    </w:p>
    <w:p w14:paraId="417F7B5E" w14:textId="77777777" w:rsidR="00725634" w:rsidRDefault="00725634" w:rsidP="00725634">
      <w:pPr>
        <w:spacing w:before="120"/>
        <w:jc w:val="both"/>
        <w:rPr>
          <w:rFonts w:ascii="Arial" w:hAnsi="Arial" w:cs="Arial"/>
          <w:sz w:val="20"/>
        </w:rPr>
      </w:pPr>
      <w:r>
        <w:rPr>
          <w:rFonts w:ascii="Arial" w:hAnsi="Arial" w:cs="Arial"/>
          <w:sz w:val="20"/>
        </w:rPr>
        <w:t xml:space="preserve">As stated above. s.12 of the </w:t>
      </w:r>
      <w:r w:rsidRPr="00A82F40">
        <w:rPr>
          <w:rFonts w:ascii="Arial" w:hAnsi="Arial" w:cs="Arial"/>
          <w:i/>
          <w:iCs/>
          <w:sz w:val="20"/>
        </w:rPr>
        <w:t>Evidence Act 2008</w:t>
      </w:r>
      <w:r>
        <w:rPr>
          <w:rFonts w:ascii="Arial" w:hAnsi="Arial" w:cs="Arial"/>
          <w:i/>
          <w:iCs/>
          <w:sz w:val="20"/>
        </w:rPr>
        <w:t xml:space="preserve"> </w:t>
      </w:r>
      <w:r w:rsidRPr="00720966">
        <w:rPr>
          <w:rFonts w:ascii="Arial" w:hAnsi="Arial" w:cs="Arial"/>
          <w:sz w:val="20"/>
        </w:rPr>
        <w:t xml:space="preserve">provides that except as provided by that Act a person who is competent to give evidence about a fact is </w:t>
      </w:r>
      <w:r w:rsidRPr="00033752">
        <w:rPr>
          <w:rFonts w:ascii="Arial" w:hAnsi="Arial" w:cs="Arial"/>
          <w:b/>
          <w:bCs/>
          <w:sz w:val="20"/>
        </w:rPr>
        <w:t>compellable</w:t>
      </w:r>
      <w:r w:rsidRPr="00720966">
        <w:rPr>
          <w:rFonts w:ascii="Arial" w:hAnsi="Arial" w:cs="Arial"/>
          <w:sz w:val="20"/>
        </w:rPr>
        <w:t xml:space="preserve"> to give that evidence.</w:t>
      </w:r>
    </w:p>
    <w:p w14:paraId="7D7246E4" w14:textId="77777777" w:rsidR="00725634" w:rsidRDefault="00725634" w:rsidP="00720966">
      <w:pPr>
        <w:jc w:val="both"/>
        <w:rPr>
          <w:rFonts w:ascii="Arial" w:hAnsi="Arial" w:cs="Arial"/>
          <w:sz w:val="20"/>
        </w:rPr>
      </w:pPr>
    </w:p>
    <w:p w14:paraId="64774998" w14:textId="2FE8928A" w:rsidR="00720966" w:rsidRDefault="00E91EA7" w:rsidP="00720966">
      <w:pPr>
        <w:jc w:val="both"/>
        <w:rPr>
          <w:rFonts w:ascii="Arial" w:hAnsi="Arial" w:cs="Arial"/>
          <w:sz w:val="20"/>
        </w:rPr>
      </w:pPr>
      <w:r w:rsidRPr="00ED2572">
        <w:rPr>
          <w:rFonts w:ascii="Arial" w:hAnsi="Arial" w:cs="Arial"/>
          <w:sz w:val="20"/>
          <w:szCs w:val="20"/>
        </w:rPr>
        <w:t xml:space="preserve">In </w:t>
      </w:r>
      <w:r w:rsidRPr="00ED2572">
        <w:rPr>
          <w:rFonts w:ascii="Arial" w:hAnsi="Arial" w:cs="Arial"/>
          <w:i/>
          <w:iCs/>
          <w:sz w:val="20"/>
          <w:szCs w:val="20"/>
        </w:rPr>
        <w:t xml:space="preserve">DPP v Roberts (Ruling No </w:t>
      </w:r>
      <w:r>
        <w:rPr>
          <w:rFonts w:ascii="Arial" w:hAnsi="Arial" w:cs="Arial"/>
          <w:i/>
          <w:iCs/>
          <w:sz w:val="20"/>
          <w:szCs w:val="20"/>
        </w:rPr>
        <w:t>10</w:t>
      </w:r>
      <w:r w:rsidRPr="00ED2572">
        <w:rPr>
          <w:rFonts w:ascii="Arial" w:hAnsi="Arial" w:cs="Arial"/>
          <w:i/>
          <w:iCs/>
          <w:sz w:val="20"/>
          <w:szCs w:val="20"/>
        </w:rPr>
        <w:t>)</w:t>
      </w:r>
      <w:r w:rsidRPr="00ED2572">
        <w:rPr>
          <w:rFonts w:ascii="Arial" w:hAnsi="Arial" w:cs="Arial"/>
          <w:sz w:val="20"/>
          <w:szCs w:val="20"/>
        </w:rPr>
        <w:t xml:space="preserve"> [2022] VSC </w:t>
      </w:r>
      <w:r>
        <w:rPr>
          <w:rFonts w:ascii="Arial" w:hAnsi="Arial" w:cs="Arial"/>
          <w:sz w:val="20"/>
          <w:szCs w:val="20"/>
        </w:rPr>
        <w:t>96</w:t>
      </w:r>
      <w:r w:rsidRPr="00ED2572">
        <w:rPr>
          <w:rFonts w:ascii="Arial" w:hAnsi="Arial" w:cs="Arial"/>
          <w:sz w:val="20"/>
          <w:szCs w:val="20"/>
        </w:rPr>
        <w:t xml:space="preserve"> </w:t>
      </w:r>
      <w:r>
        <w:rPr>
          <w:rFonts w:ascii="Arial" w:hAnsi="Arial" w:cs="Arial"/>
          <w:sz w:val="20"/>
          <w:szCs w:val="20"/>
        </w:rPr>
        <w:t>– prior to the retrial of Mr Roberts who had been convicted of the murder of two police officers some 20 years before – a witness Mr Graham Thwaites sought to be excused from giving evidence on the basis of mental ill health dating back to being a witness at the scene of the killing of two police officer colleagues.  In rejecting the submission made on behalf of Mr Thwaites to be excused from giving evidence Kaye JA said at [2] &amp; [</w:t>
      </w:r>
      <w:r w:rsidR="005927BD">
        <w:rPr>
          <w:rFonts w:ascii="Arial" w:hAnsi="Arial" w:cs="Arial"/>
          <w:sz w:val="20"/>
          <w:szCs w:val="20"/>
        </w:rPr>
        <w:t>11</w:t>
      </w:r>
      <w:r>
        <w:rPr>
          <w:rFonts w:ascii="Arial" w:hAnsi="Arial" w:cs="Arial"/>
          <w:sz w:val="20"/>
          <w:szCs w:val="20"/>
        </w:rPr>
        <w:t>]</w:t>
      </w:r>
      <w:r w:rsidR="005927BD">
        <w:rPr>
          <w:rFonts w:ascii="Arial" w:hAnsi="Arial" w:cs="Arial"/>
          <w:sz w:val="20"/>
          <w:szCs w:val="20"/>
        </w:rPr>
        <w:t>-[15]</w:t>
      </w:r>
      <w:r>
        <w:rPr>
          <w:rFonts w:ascii="Arial" w:hAnsi="Arial" w:cs="Arial"/>
          <w:sz w:val="20"/>
          <w:szCs w:val="20"/>
        </w:rPr>
        <w:t xml:space="preserve">: </w:t>
      </w:r>
    </w:p>
    <w:p w14:paraId="7BEDFA8B" w14:textId="30B3556D" w:rsidR="00AE0B9B" w:rsidRDefault="005927BD" w:rsidP="005927BD">
      <w:pPr>
        <w:spacing w:before="60"/>
        <w:ind w:left="567" w:right="567"/>
        <w:jc w:val="both"/>
        <w:rPr>
          <w:rFonts w:ascii="Arial" w:hAnsi="Arial" w:cs="Arial"/>
          <w:sz w:val="20"/>
          <w:szCs w:val="20"/>
        </w:rPr>
      </w:pPr>
      <w:r>
        <w:rPr>
          <w:rFonts w:ascii="Arial" w:hAnsi="Arial" w:cs="Arial"/>
          <w:sz w:val="20"/>
        </w:rPr>
        <w:t>[2] “</w:t>
      </w:r>
      <w:r w:rsidRPr="005927BD">
        <w:rPr>
          <w:rFonts w:ascii="Arial" w:hAnsi="Arial" w:cs="Arial"/>
          <w:sz w:val="20"/>
          <w:szCs w:val="20"/>
        </w:rPr>
        <w:t>The evidence of Mr Thwaites is plainly relevant to the trial and important to the issues that will be raised during the trial. He, with then Senior Constable Poke, attended the dying Senior Constable Miller shortly after they arrived at the scene</w:t>
      </w:r>
      <w:r>
        <w:rPr>
          <w:rFonts w:ascii="Arial" w:hAnsi="Arial" w:cs="Arial"/>
          <w:sz w:val="20"/>
          <w:szCs w:val="20"/>
        </w:rPr>
        <w:t>…</w:t>
      </w:r>
    </w:p>
    <w:p w14:paraId="08E72865" w14:textId="77777777" w:rsidR="005927BD" w:rsidRDefault="005927BD" w:rsidP="005927BD">
      <w:pPr>
        <w:spacing w:before="60"/>
        <w:ind w:left="567" w:right="567"/>
        <w:jc w:val="both"/>
        <w:rPr>
          <w:rFonts w:ascii="Arial" w:hAnsi="Arial" w:cs="Arial"/>
          <w:sz w:val="20"/>
          <w:szCs w:val="20"/>
        </w:rPr>
      </w:pPr>
      <w:r>
        <w:rPr>
          <w:rFonts w:ascii="Arial" w:hAnsi="Arial" w:cs="Arial"/>
          <w:sz w:val="20"/>
          <w:szCs w:val="20"/>
        </w:rPr>
        <w:t xml:space="preserve">[11] However, [counsel appearing for Mr Thwaites] </w:t>
      </w:r>
      <w:r w:rsidRPr="005927BD">
        <w:rPr>
          <w:rFonts w:ascii="Arial" w:hAnsi="Arial" w:cs="Arial"/>
          <w:sz w:val="20"/>
          <w:szCs w:val="20"/>
        </w:rPr>
        <w:t>has submitted that if I were to find that the witness were unavailable then in some way I could declare that he should be excluded from being subpoenaed</w:t>
      </w:r>
    </w:p>
    <w:p w14:paraId="4EB5A6BC" w14:textId="77777777" w:rsidR="00F35320" w:rsidRDefault="005927BD" w:rsidP="005927BD">
      <w:pPr>
        <w:spacing w:before="60"/>
        <w:ind w:left="567" w:right="567"/>
        <w:jc w:val="both"/>
        <w:rPr>
          <w:rFonts w:ascii="Arial" w:hAnsi="Arial" w:cs="Arial"/>
          <w:sz w:val="20"/>
          <w:szCs w:val="20"/>
        </w:rPr>
      </w:pPr>
      <w:r>
        <w:rPr>
          <w:rFonts w:ascii="Arial" w:hAnsi="Arial" w:cs="Arial"/>
          <w:sz w:val="20"/>
          <w:szCs w:val="20"/>
        </w:rPr>
        <w:t>[</w:t>
      </w:r>
      <w:r w:rsidRPr="005927BD">
        <w:rPr>
          <w:rFonts w:ascii="Arial" w:hAnsi="Arial" w:cs="Arial"/>
          <w:sz w:val="20"/>
          <w:szCs w:val="20"/>
        </w:rPr>
        <w:t>12</w:t>
      </w:r>
      <w:r>
        <w:rPr>
          <w:rFonts w:ascii="Arial" w:hAnsi="Arial" w:cs="Arial"/>
          <w:sz w:val="20"/>
          <w:szCs w:val="20"/>
        </w:rPr>
        <w:t>]</w:t>
      </w:r>
      <w:r w:rsidRPr="005927BD">
        <w:rPr>
          <w:rFonts w:ascii="Arial" w:hAnsi="Arial" w:cs="Arial"/>
          <w:sz w:val="20"/>
          <w:szCs w:val="20"/>
        </w:rPr>
        <w:t xml:space="preserve"> In my view there is no authority that supports such a submission and it is I consider against the scheme of the whole of the </w:t>
      </w:r>
      <w:r w:rsidRPr="00F35320">
        <w:rPr>
          <w:rFonts w:ascii="Arial" w:hAnsi="Arial" w:cs="Arial"/>
          <w:i/>
          <w:iCs/>
          <w:sz w:val="20"/>
          <w:szCs w:val="20"/>
        </w:rPr>
        <w:t>Evidence Act</w:t>
      </w:r>
      <w:r w:rsidRPr="005927BD">
        <w:rPr>
          <w:rFonts w:ascii="Arial" w:hAnsi="Arial" w:cs="Arial"/>
          <w:sz w:val="20"/>
          <w:szCs w:val="20"/>
        </w:rPr>
        <w:t>. As I said, s 12 describes which categories of witnesses are compellable to give evidence.</w:t>
      </w:r>
    </w:p>
    <w:p w14:paraId="079F7A78" w14:textId="77777777" w:rsidR="00F35320" w:rsidRDefault="00F35320" w:rsidP="005927BD">
      <w:pPr>
        <w:spacing w:before="60"/>
        <w:ind w:left="567" w:right="567"/>
        <w:jc w:val="both"/>
        <w:rPr>
          <w:rFonts w:ascii="Arial" w:hAnsi="Arial" w:cs="Arial"/>
          <w:sz w:val="20"/>
          <w:szCs w:val="20"/>
        </w:rPr>
      </w:pPr>
      <w:r>
        <w:rPr>
          <w:rFonts w:ascii="Arial" w:hAnsi="Arial" w:cs="Arial"/>
          <w:sz w:val="20"/>
          <w:szCs w:val="20"/>
        </w:rPr>
        <w:t>[</w:t>
      </w:r>
      <w:r w:rsidR="005927BD" w:rsidRPr="005927BD">
        <w:rPr>
          <w:rFonts w:ascii="Arial" w:hAnsi="Arial" w:cs="Arial"/>
          <w:sz w:val="20"/>
          <w:szCs w:val="20"/>
        </w:rPr>
        <w:t>13</w:t>
      </w:r>
      <w:r>
        <w:rPr>
          <w:rFonts w:ascii="Arial" w:hAnsi="Arial" w:cs="Arial"/>
          <w:sz w:val="20"/>
          <w:szCs w:val="20"/>
        </w:rPr>
        <w:t>]</w:t>
      </w:r>
      <w:r w:rsidR="005927BD" w:rsidRPr="005927BD">
        <w:rPr>
          <w:rFonts w:ascii="Arial" w:hAnsi="Arial" w:cs="Arial"/>
          <w:sz w:val="20"/>
          <w:szCs w:val="20"/>
        </w:rPr>
        <w:t xml:space="preserve"> Mr Thwaites falls within that category and one could not by proper statutory construction define some form of implicit power to excuse a witness who is compellable on the basis that he is unavailable.</w:t>
      </w:r>
    </w:p>
    <w:p w14:paraId="445BEA25" w14:textId="77777777" w:rsidR="00F35320" w:rsidRDefault="00F35320" w:rsidP="005927BD">
      <w:pPr>
        <w:spacing w:before="60"/>
        <w:ind w:left="567" w:right="567"/>
        <w:jc w:val="both"/>
        <w:rPr>
          <w:rFonts w:ascii="Arial" w:hAnsi="Arial" w:cs="Arial"/>
          <w:sz w:val="20"/>
          <w:szCs w:val="20"/>
        </w:rPr>
      </w:pPr>
      <w:r>
        <w:rPr>
          <w:rFonts w:ascii="Arial" w:hAnsi="Arial" w:cs="Arial"/>
          <w:sz w:val="20"/>
          <w:szCs w:val="20"/>
        </w:rPr>
        <w:t>[</w:t>
      </w:r>
      <w:r w:rsidR="005927BD" w:rsidRPr="005927BD">
        <w:rPr>
          <w:rFonts w:ascii="Arial" w:hAnsi="Arial" w:cs="Arial"/>
          <w:sz w:val="20"/>
          <w:szCs w:val="20"/>
        </w:rPr>
        <w:t>14</w:t>
      </w:r>
      <w:r>
        <w:rPr>
          <w:rFonts w:ascii="Arial" w:hAnsi="Arial" w:cs="Arial"/>
          <w:sz w:val="20"/>
          <w:szCs w:val="20"/>
        </w:rPr>
        <w:t>]</w:t>
      </w:r>
      <w:r w:rsidR="005927BD" w:rsidRPr="005927BD">
        <w:rPr>
          <w:rFonts w:ascii="Arial" w:hAnsi="Arial" w:cs="Arial"/>
          <w:sz w:val="20"/>
          <w:szCs w:val="20"/>
        </w:rPr>
        <w:t xml:space="preserve"> In reaching the conclusion, that Mr Thwaites is compellable, I have particular sympathy for his position and the distress he is suffering and has suffered over the last 24 years. That distress is understandable and is a matter of concern. </w:t>
      </w:r>
    </w:p>
    <w:p w14:paraId="6AE10B30" w14:textId="7D7295C5" w:rsidR="005927BD" w:rsidRDefault="00F35320" w:rsidP="00065668">
      <w:pPr>
        <w:spacing w:before="60"/>
        <w:ind w:left="567" w:right="567"/>
        <w:jc w:val="both"/>
        <w:rPr>
          <w:rFonts w:ascii="Arial" w:hAnsi="Arial" w:cs="Arial"/>
          <w:sz w:val="20"/>
        </w:rPr>
      </w:pPr>
      <w:r>
        <w:rPr>
          <w:rFonts w:ascii="Arial" w:hAnsi="Arial" w:cs="Arial"/>
          <w:sz w:val="20"/>
          <w:szCs w:val="20"/>
        </w:rPr>
        <w:t>[</w:t>
      </w:r>
      <w:r w:rsidR="005927BD" w:rsidRPr="005927BD">
        <w:rPr>
          <w:rFonts w:ascii="Arial" w:hAnsi="Arial" w:cs="Arial"/>
          <w:sz w:val="20"/>
          <w:szCs w:val="20"/>
        </w:rPr>
        <w:t>15</w:t>
      </w:r>
      <w:r>
        <w:rPr>
          <w:rFonts w:ascii="Arial" w:hAnsi="Arial" w:cs="Arial"/>
          <w:sz w:val="20"/>
          <w:szCs w:val="20"/>
        </w:rPr>
        <w:t>]</w:t>
      </w:r>
      <w:r w:rsidR="005927BD" w:rsidRPr="005927BD">
        <w:rPr>
          <w:rFonts w:ascii="Arial" w:hAnsi="Arial" w:cs="Arial"/>
          <w:sz w:val="20"/>
          <w:szCs w:val="20"/>
        </w:rPr>
        <w:t xml:space="preserve"> There are steps which we will take to endeavour to alleviate that distress. First as discussed it is my intention that Mr Thwaites give evidence this week by audio visual link that will be pre-recorded without the presence of a jury.</w:t>
      </w:r>
      <w:r>
        <w:rPr>
          <w:rFonts w:ascii="Arial" w:hAnsi="Arial" w:cs="Arial"/>
          <w:sz w:val="20"/>
          <w:szCs w:val="20"/>
        </w:rPr>
        <w:t>”</w:t>
      </w:r>
    </w:p>
    <w:p w14:paraId="5E1E774E" w14:textId="77777777" w:rsidR="00065668" w:rsidRDefault="00065668" w:rsidP="00065668">
      <w:pPr>
        <w:jc w:val="both"/>
        <w:rPr>
          <w:rFonts w:ascii="Arial" w:hAnsi="Arial" w:cs="Arial"/>
          <w:sz w:val="20"/>
        </w:rPr>
      </w:pPr>
    </w:p>
    <w:p w14:paraId="51D3CEFD" w14:textId="7C803B2F" w:rsidR="00065668" w:rsidRDefault="00065668" w:rsidP="00065668">
      <w:pPr>
        <w:jc w:val="both"/>
        <w:rPr>
          <w:rFonts w:ascii="Arial" w:hAnsi="Arial" w:cs="Arial"/>
          <w:sz w:val="20"/>
        </w:rPr>
      </w:pPr>
      <w:r>
        <w:rPr>
          <w:rFonts w:ascii="Arial" w:hAnsi="Arial" w:cs="Arial"/>
          <w:sz w:val="20"/>
        </w:rPr>
        <w:t xml:space="preserve">Section 14 of the </w:t>
      </w:r>
      <w:r w:rsidRPr="00065668">
        <w:rPr>
          <w:rFonts w:ascii="Arial" w:hAnsi="Arial" w:cs="Arial"/>
          <w:i/>
          <w:iCs/>
          <w:sz w:val="20"/>
        </w:rPr>
        <w:t>Evidence Act 2008</w:t>
      </w:r>
      <w:r>
        <w:rPr>
          <w:rFonts w:ascii="Arial" w:hAnsi="Arial" w:cs="Arial"/>
          <w:sz w:val="20"/>
        </w:rPr>
        <w:t xml:space="preserve"> – under the heading “</w:t>
      </w:r>
      <w:r w:rsidRPr="00065668">
        <w:rPr>
          <w:rFonts w:ascii="Arial" w:hAnsi="Arial" w:cs="Arial"/>
          <w:b/>
          <w:bCs/>
          <w:sz w:val="20"/>
        </w:rPr>
        <w:t>Compellability – reduced capacity</w:t>
      </w:r>
      <w:r>
        <w:rPr>
          <w:rFonts w:ascii="Arial" w:hAnsi="Arial" w:cs="Arial"/>
          <w:sz w:val="20"/>
        </w:rPr>
        <w:t>” provides:</w:t>
      </w:r>
    </w:p>
    <w:p w14:paraId="5D4AD654" w14:textId="7B7FB8C6" w:rsidR="00065668" w:rsidRDefault="00065668" w:rsidP="00065668">
      <w:pPr>
        <w:tabs>
          <w:tab w:val="left" w:pos="567"/>
        </w:tabs>
        <w:spacing w:before="80"/>
        <w:ind w:left="567" w:right="567"/>
        <w:jc w:val="both"/>
        <w:rPr>
          <w:rFonts w:ascii="Arial" w:hAnsi="Arial" w:cs="Arial"/>
          <w:sz w:val="20"/>
        </w:rPr>
      </w:pPr>
      <w:r>
        <w:rPr>
          <w:rFonts w:ascii="Arial" w:hAnsi="Arial" w:cs="Arial"/>
          <w:sz w:val="20"/>
        </w:rPr>
        <w:t>“A person is not compellable to give evidence on a particular matter if the court is satisfied that</w:t>
      </w:r>
      <w:r w:rsidR="00FD5F44" w:rsidRPr="00A31FFA">
        <w:rPr>
          <w:rFonts w:ascii="Arial" w:hAnsi="Arial" w:cs="Arial"/>
          <w:sz w:val="20"/>
        </w:rPr>
        <w:t>–</w:t>
      </w:r>
    </w:p>
    <w:p w14:paraId="1B0D36AD" w14:textId="1262FEFF" w:rsidR="00065668" w:rsidRDefault="00065668">
      <w:pPr>
        <w:numPr>
          <w:ilvl w:val="1"/>
          <w:numId w:val="90"/>
        </w:numPr>
        <w:ind w:left="1021" w:right="567" w:hanging="454"/>
        <w:jc w:val="both"/>
        <w:rPr>
          <w:rFonts w:ascii="Arial" w:hAnsi="Arial" w:cs="Arial"/>
          <w:sz w:val="20"/>
        </w:rPr>
      </w:pPr>
      <w:r>
        <w:rPr>
          <w:rFonts w:ascii="Arial" w:hAnsi="Arial" w:cs="Arial"/>
          <w:sz w:val="20"/>
        </w:rPr>
        <w:t xml:space="preserve">substantial cost of delay would be </w:t>
      </w:r>
      <w:r w:rsidR="003568B4">
        <w:rPr>
          <w:rFonts w:ascii="Arial" w:hAnsi="Arial" w:cs="Arial"/>
          <w:sz w:val="20"/>
        </w:rPr>
        <w:t xml:space="preserve">incurred in ensuing that </w:t>
      </w:r>
      <w:r>
        <w:rPr>
          <w:rFonts w:ascii="Arial" w:hAnsi="Arial" w:cs="Arial"/>
          <w:sz w:val="20"/>
        </w:rPr>
        <w:t>the person</w:t>
      </w:r>
      <w:r w:rsidR="003568B4">
        <w:rPr>
          <w:rFonts w:ascii="Arial" w:hAnsi="Arial" w:cs="Arial"/>
          <w:sz w:val="20"/>
        </w:rPr>
        <w:t xml:space="preserve"> would have the capacity to understand a question about the matter or to give an answer that can be understood to a question about the matter</w:t>
      </w:r>
      <w:r>
        <w:rPr>
          <w:rFonts w:ascii="Arial" w:hAnsi="Arial" w:cs="Arial"/>
          <w:sz w:val="20"/>
        </w:rPr>
        <w:t xml:space="preserve">; </w:t>
      </w:r>
      <w:r w:rsidR="003568B4">
        <w:rPr>
          <w:rFonts w:ascii="Arial" w:hAnsi="Arial" w:cs="Arial"/>
          <w:sz w:val="20"/>
        </w:rPr>
        <w:t>and</w:t>
      </w:r>
    </w:p>
    <w:p w14:paraId="46ECD1E1" w14:textId="5C373248" w:rsidR="003568B4" w:rsidRDefault="003568B4">
      <w:pPr>
        <w:numPr>
          <w:ilvl w:val="1"/>
          <w:numId w:val="90"/>
        </w:numPr>
        <w:ind w:left="1021" w:right="567" w:hanging="454"/>
        <w:jc w:val="both"/>
        <w:rPr>
          <w:rFonts w:ascii="Arial" w:hAnsi="Arial" w:cs="Arial"/>
          <w:sz w:val="20"/>
        </w:rPr>
      </w:pPr>
      <w:r>
        <w:rPr>
          <w:rFonts w:ascii="Arial" w:hAnsi="Arial" w:cs="Arial"/>
          <w:sz w:val="20"/>
        </w:rPr>
        <w:t>adequate evidence on that matter has been given, or will be able to be given, from one or more other persons or sources.”</w:t>
      </w:r>
    </w:p>
    <w:p w14:paraId="56B44DEE" w14:textId="4C90EC0B" w:rsidR="00065668" w:rsidRDefault="00065668" w:rsidP="00D9242C">
      <w:pPr>
        <w:jc w:val="both"/>
        <w:rPr>
          <w:rFonts w:ascii="Arial" w:hAnsi="Arial" w:cs="Arial"/>
          <w:sz w:val="20"/>
        </w:rPr>
      </w:pPr>
    </w:p>
    <w:p w14:paraId="6EBC2D72" w14:textId="6218FFD2" w:rsidR="003568B4" w:rsidRDefault="003568B4" w:rsidP="00D9242C">
      <w:pPr>
        <w:jc w:val="both"/>
        <w:rPr>
          <w:rFonts w:ascii="Arial" w:hAnsi="Arial" w:cs="Arial"/>
          <w:sz w:val="20"/>
        </w:rPr>
      </w:pPr>
      <w:r>
        <w:rPr>
          <w:rFonts w:ascii="Arial" w:hAnsi="Arial" w:cs="Arial"/>
          <w:sz w:val="20"/>
        </w:rPr>
        <w:t xml:space="preserve">Section 15 provides that the sovereign and </w:t>
      </w:r>
      <w:r w:rsidR="00A80955">
        <w:rPr>
          <w:rFonts w:ascii="Arial" w:hAnsi="Arial" w:cs="Arial"/>
          <w:sz w:val="20"/>
        </w:rPr>
        <w:t>nominated</w:t>
      </w:r>
      <w:r>
        <w:rPr>
          <w:rFonts w:ascii="Arial" w:hAnsi="Arial" w:cs="Arial"/>
          <w:sz w:val="20"/>
        </w:rPr>
        <w:t xml:space="preserve"> others are not compellable.  Section 16 deals with the competence and compellability of judges and jurors in a proceeding.</w:t>
      </w:r>
    </w:p>
    <w:p w14:paraId="5DA71B0A" w14:textId="77777777" w:rsidR="003568B4" w:rsidRDefault="003568B4" w:rsidP="00D9242C">
      <w:pPr>
        <w:jc w:val="both"/>
        <w:rPr>
          <w:rFonts w:ascii="Arial" w:hAnsi="Arial" w:cs="Arial"/>
          <w:sz w:val="20"/>
        </w:rPr>
      </w:pPr>
    </w:p>
    <w:p w14:paraId="70C19BF6" w14:textId="59597CC0" w:rsidR="00D9242C" w:rsidRDefault="00D9242C" w:rsidP="00183219">
      <w:pPr>
        <w:jc w:val="both"/>
        <w:rPr>
          <w:rFonts w:ascii="Arial" w:hAnsi="Arial" w:cs="Arial"/>
          <w:sz w:val="20"/>
        </w:rPr>
      </w:pPr>
      <w:r>
        <w:rPr>
          <w:rFonts w:ascii="Arial" w:hAnsi="Arial" w:cs="Arial"/>
          <w:sz w:val="20"/>
        </w:rPr>
        <w:t xml:space="preserve">Section 17 of the </w:t>
      </w:r>
      <w:r w:rsidRPr="00A82F40">
        <w:rPr>
          <w:rFonts w:ascii="Arial" w:hAnsi="Arial" w:cs="Arial"/>
          <w:i/>
          <w:iCs/>
          <w:sz w:val="20"/>
        </w:rPr>
        <w:t>Evidence Act 2008</w:t>
      </w:r>
      <w:r>
        <w:rPr>
          <w:rFonts w:ascii="Arial" w:hAnsi="Arial" w:cs="Arial"/>
          <w:i/>
          <w:iCs/>
          <w:sz w:val="20"/>
        </w:rPr>
        <w:t xml:space="preserve"> </w:t>
      </w:r>
      <w:r>
        <w:rPr>
          <w:rFonts w:ascii="Arial" w:hAnsi="Arial" w:cs="Arial"/>
          <w:sz w:val="20"/>
        </w:rPr>
        <w:t>which applies only in a criminal proceeding provides that</w:t>
      </w:r>
      <w:r w:rsidR="00FD5F44" w:rsidRPr="00A31FFA">
        <w:rPr>
          <w:rFonts w:ascii="Arial" w:hAnsi="Arial" w:cs="Arial"/>
          <w:sz w:val="20"/>
        </w:rPr>
        <w:t>–</w:t>
      </w:r>
    </w:p>
    <w:p w14:paraId="4E891724" w14:textId="77777777" w:rsidR="00D9242C" w:rsidRDefault="00D9242C" w:rsidP="00D9242C">
      <w:pPr>
        <w:numPr>
          <w:ilvl w:val="0"/>
          <w:numId w:val="25"/>
        </w:numPr>
        <w:jc w:val="both"/>
        <w:rPr>
          <w:rFonts w:ascii="Arial" w:hAnsi="Arial" w:cs="Arial"/>
          <w:sz w:val="20"/>
        </w:rPr>
      </w:pPr>
      <w:r>
        <w:rPr>
          <w:rFonts w:ascii="Arial" w:hAnsi="Arial" w:cs="Arial"/>
          <w:sz w:val="20"/>
        </w:rPr>
        <w:t>A defendant is not competent to give evidence for the prosecution.</w:t>
      </w:r>
    </w:p>
    <w:p w14:paraId="7C4993C5" w14:textId="77777777" w:rsidR="00D9242C" w:rsidRDefault="00D9242C" w:rsidP="00D9242C">
      <w:pPr>
        <w:numPr>
          <w:ilvl w:val="0"/>
          <w:numId w:val="25"/>
        </w:numPr>
        <w:jc w:val="both"/>
        <w:rPr>
          <w:rFonts w:ascii="Arial" w:hAnsi="Arial" w:cs="Arial"/>
          <w:sz w:val="20"/>
        </w:rPr>
      </w:pPr>
      <w:r>
        <w:rPr>
          <w:rFonts w:ascii="Arial" w:hAnsi="Arial" w:cs="Arial"/>
          <w:sz w:val="20"/>
        </w:rPr>
        <w:t>An associated defendant is not compellable to give evidence for or against a defendant in a criminal proceeding unless the associated defendant is being tried separately from the defendant.</w:t>
      </w:r>
    </w:p>
    <w:p w14:paraId="3259F25E" w14:textId="77777777" w:rsidR="00D9242C" w:rsidRDefault="00D9242C" w:rsidP="00720966">
      <w:pPr>
        <w:jc w:val="both"/>
        <w:rPr>
          <w:rFonts w:ascii="Arial" w:hAnsi="Arial" w:cs="Arial"/>
          <w:sz w:val="20"/>
        </w:rPr>
      </w:pPr>
    </w:p>
    <w:p w14:paraId="0FA39BFE" w14:textId="2CD227D0" w:rsidR="001C735B" w:rsidRDefault="004D3636" w:rsidP="00720966">
      <w:pPr>
        <w:jc w:val="both"/>
        <w:rPr>
          <w:rFonts w:ascii="Arial" w:hAnsi="Arial" w:cs="Arial"/>
          <w:sz w:val="20"/>
        </w:rPr>
      </w:pPr>
      <w:r>
        <w:rPr>
          <w:rFonts w:ascii="Arial" w:hAnsi="Arial" w:cs="Arial"/>
          <w:sz w:val="20"/>
        </w:rPr>
        <w:t>Section 1</w:t>
      </w:r>
      <w:r w:rsidR="001C735B">
        <w:rPr>
          <w:rFonts w:ascii="Arial" w:hAnsi="Arial" w:cs="Arial"/>
          <w:sz w:val="20"/>
        </w:rPr>
        <w:t>8(2)</w:t>
      </w:r>
      <w:r>
        <w:rPr>
          <w:rFonts w:ascii="Arial" w:hAnsi="Arial" w:cs="Arial"/>
          <w:sz w:val="20"/>
        </w:rPr>
        <w:t xml:space="preserve"> of the </w:t>
      </w:r>
      <w:r w:rsidRPr="00A82F40">
        <w:rPr>
          <w:rFonts w:ascii="Arial" w:hAnsi="Arial" w:cs="Arial"/>
          <w:i/>
          <w:iCs/>
          <w:sz w:val="20"/>
        </w:rPr>
        <w:t xml:space="preserve">Evidence Act 2008 </w:t>
      </w:r>
      <w:r w:rsidR="001C735B">
        <w:rPr>
          <w:rFonts w:ascii="Arial" w:hAnsi="Arial" w:cs="Arial"/>
          <w:sz w:val="20"/>
        </w:rPr>
        <w:t>provides that in a criminal proceeding a person who is the spouse, de facto partner, parent or child of a defendant may object to being required–</w:t>
      </w:r>
    </w:p>
    <w:p w14:paraId="12A424E3" w14:textId="77777777" w:rsidR="001C735B" w:rsidRDefault="001C735B" w:rsidP="003D7DEC">
      <w:pPr>
        <w:numPr>
          <w:ilvl w:val="0"/>
          <w:numId w:val="26"/>
        </w:numPr>
        <w:tabs>
          <w:tab w:val="clear" w:pos="720"/>
        </w:tabs>
        <w:ind w:left="357" w:hanging="357"/>
        <w:jc w:val="both"/>
        <w:rPr>
          <w:rFonts w:ascii="Arial" w:hAnsi="Arial" w:cs="Arial"/>
          <w:sz w:val="20"/>
        </w:rPr>
      </w:pPr>
      <w:r>
        <w:rPr>
          <w:rFonts w:ascii="Arial" w:hAnsi="Arial" w:cs="Arial"/>
          <w:sz w:val="20"/>
        </w:rPr>
        <w:t>to give evidence; or</w:t>
      </w:r>
    </w:p>
    <w:p w14:paraId="3E27C220" w14:textId="63A78625" w:rsidR="001C735B" w:rsidRDefault="001C735B" w:rsidP="00D772F0">
      <w:pPr>
        <w:numPr>
          <w:ilvl w:val="0"/>
          <w:numId w:val="26"/>
        </w:numPr>
        <w:tabs>
          <w:tab w:val="clear" w:pos="720"/>
        </w:tabs>
        <w:ind w:left="357" w:hanging="357"/>
        <w:jc w:val="both"/>
        <w:rPr>
          <w:rFonts w:ascii="Arial" w:hAnsi="Arial" w:cs="Arial"/>
          <w:sz w:val="20"/>
        </w:rPr>
      </w:pPr>
      <w:r>
        <w:rPr>
          <w:rFonts w:ascii="Arial" w:hAnsi="Arial" w:cs="Arial"/>
          <w:sz w:val="20"/>
        </w:rPr>
        <w:t>to give evidence of a communication between the person and the defendant</w:t>
      </w:r>
      <w:r w:rsidR="00FD5F44" w:rsidRPr="00A31FFA">
        <w:rPr>
          <w:rFonts w:ascii="Arial" w:hAnsi="Arial" w:cs="Arial"/>
          <w:sz w:val="20"/>
        </w:rPr>
        <w:t>–</w:t>
      </w:r>
    </w:p>
    <w:p w14:paraId="164F1F2B" w14:textId="77777777" w:rsidR="001C735B" w:rsidRDefault="001C735B" w:rsidP="001C735B">
      <w:pPr>
        <w:jc w:val="both"/>
        <w:rPr>
          <w:rFonts w:ascii="Arial" w:hAnsi="Arial" w:cs="Arial"/>
          <w:sz w:val="20"/>
        </w:rPr>
      </w:pPr>
      <w:r>
        <w:rPr>
          <w:rFonts w:ascii="Arial" w:hAnsi="Arial" w:cs="Arial"/>
          <w:sz w:val="20"/>
        </w:rPr>
        <w:t>as a witness for the prosecution.</w:t>
      </w:r>
    </w:p>
    <w:p w14:paraId="746B6A6B" w14:textId="77777777" w:rsidR="001C735B" w:rsidRDefault="001C735B" w:rsidP="001C735B">
      <w:pPr>
        <w:jc w:val="both"/>
        <w:rPr>
          <w:rFonts w:ascii="Arial" w:hAnsi="Arial" w:cs="Arial"/>
          <w:sz w:val="20"/>
        </w:rPr>
      </w:pPr>
    </w:p>
    <w:p w14:paraId="57DE74BE" w14:textId="7CDEE2F1" w:rsidR="001C735B" w:rsidRDefault="001C735B" w:rsidP="001C735B">
      <w:pPr>
        <w:jc w:val="both"/>
        <w:rPr>
          <w:rFonts w:ascii="Arial" w:hAnsi="Arial" w:cs="Arial"/>
          <w:sz w:val="20"/>
        </w:rPr>
      </w:pPr>
      <w:r>
        <w:rPr>
          <w:rFonts w:ascii="Arial" w:hAnsi="Arial" w:cs="Arial"/>
          <w:sz w:val="20"/>
        </w:rPr>
        <w:t>Section 18(4) requires the court to satisfy itself that a person who may have a right to make an objection under s.18(2) is aware of the effect of the section.</w:t>
      </w:r>
      <w:r w:rsidR="001F5308">
        <w:rPr>
          <w:rFonts w:ascii="Arial" w:hAnsi="Arial" w:cs="Arial"/>
          <w:sz w:val="20"/>
        </w:rPr>
        <w:t xml:space="preserve">  See </w:t>
      </w:r>
      <w:r w:rsidR="000059C5" w:rsidRPr="000059C5">
        <w:rPr>
          <w:rFonts w:ascii="Arial" w:hAnsi="Arial" w:cs="Arial"/>
          <w:i/>
          <w:iCs/>
          <w:sz w:val="20"/>
        </w:rPr>
        <w:t>DPP v Fuller (a pseudonym)</w:t>
      </w:r>
      <w:r w:rsidR="000059C5">
        <w:rPr>
          <w:rFonts w:ascii="Arial" w:hAnsi="Arial" w:cs="Arial"/>
          <w:sz w:val="20"/>
        </w:rPr>
        <w:t xml:space="preserve"> [2023] VSCA 121.</w:t>
      </w:r>
    </w:p>
    <w:p w14:paraId="0C319031" w14:textId="0DB542C5" w:rsidR="001C735B" w:rsidRDefault="001C735B" w:rsidP="001C735B">
      <w:pPr>
        <w:jc w:val="both"/>
        <w:rPr>
          <w:rFonts w:ascii="Arial" w:hAnsi="Arial" w:cs="Arial"/>
          <w:sz w:val="20"/>
        </w:rPr>
      </w:pPr>
    </w:p>
    <w:p w14:paraId="6475623E" w14:textId="6BE33C86" w:rsidR="001C735B" w:rsidRDefault="001C735B" w:rsidP="001C735B">
      <w:pPr>
        <w:jc w:val="both"/>
        <w:rPr>
          <w:rFonts w:ascii="Arial" w:hAnsi="Arial" w:cs="Arial"/>
          <w:sz w:val="20"/>
        </w:rPr>
      </w:pPr>
      <w:r>
        <w:rPr>
          <w:rFonts w:ascii="Arial" w:hAnsi="Arial" w:cs="Arial"/>
          <w:sz w:val="20"/>
        </w:rPr>
        <w:lastRenderedPageBreak/>
        <w:t xml:space="preserve">Section 18(6) provides that a person who makes an objection under s.18(2) </w:t>
      </w:r>
      <w:r w:rsidR="00CA55B0">
        <w:rPr>
          <w:rFonts w:ascii="Arial" w:hAnsi="Arial" w:cs="Arial"/>
          <w:sz w:val="20"/>
        </w:rPr>
        <w:t xml:space="preserve">must not be required to give the evidence if the court finds – after taking into account, </w:t>
      </w:r>
      <w:r w:rsidR="00CA55B0" w:rsidRPr="00CA55B0">
        <w:rPr>
          <w:rFonts w:ascii="Arial" w:hAnsi="Arial" w:cs="Arial"/>
          <w:i/>
          <w:sz w:val="20"/>
        </w:rPr>
        <w:t>inter alia</w:t>
      </w:r>
      <w:r w:rsidR="00CA55B0">
        <w:rPr>
          <w:rFonts w:ascii="Arial" w:hAnsi="Arial" w:cs="Arial"/>
          <w:sz w:val="20"/>
        </w:rPr>
        <w:t>, the matters set out in s.18(7) – that</w:t>
      </w:r>
      <w:r w:rsidR="00D01139">
        <w:rPr>
          <w:rFonts w:ascii="Arial" w:hAnsi="Arial" w:cs="Arial"/>
          <w:sz w:val="20"/>
        </w:rPr>
        <w:t>:</w:t>
      </w:r>
    </w:p>
    <w:p w14:paraId="0646D871" w14:textId="77777777" w:rsidR="00CA55B0" w:rsidRDefault="00CA55B0" w:rsidP="00D772F0">
      <w:pPr>
        <w:numPr>
          <w:ilvl w:val="0"/>
          <w:numId w:val="27"/>
        </w:numPr>
        <w:tabs>
          <w:tab w:val="clear" w:pos="720"/>
        </w:tabs>
        <w:ind w:left="357" w:hanging="357"/>
        <w:jc w:val="both"/>
        <w:rPr>
          <w:rFonts w:ascii="Arial" w:hAnsi="Arial" w:cs="Arial"/>
          <w:sz w:val="20"/>
        </w:rPr>
      </w:pPr>
      <w:r>
        <w:rPr>
          <w:rFonts w:ascii="Arial" w:hAnsi="Arial" w:cs="Arial"/>
          <w:sz w:val="20"/>
        </w:rPr>
        <w:t>there is a likelihood that harm would or might be caused (whether directly or indirectly) to the person or to the relationship between the person and the defendant, if the person gives evidence; and</w:t>
      </w:r>
    </w:p>
    <w:p w14:paraId="66EA1A73" w14:textId="77777777" w:rsidR="00CA55B0" w:rsidRDefault="00CA55B0" w:rsidP="00D772F0">
      <w:pPr>
        <w:numPr>
          <w:ilvl w:val="0"/>
          <w:numId w:val="27"/>
        </w:numPr>
        <w:tabs>
          <w:tab w:val="clear" w:pos="720"/>
        </w:tabs>
        <w:ind w:left="357" w:hanging="357"/>
        <w:jc w:val="both"/>
        <w:rPr>
          <w:rFonts w:ascii="Arial" w:hAnsi="Arial" w:cs="Arial"/>
          <w:sz w:val="20"/>
        </w:rPr>
      </w:pPr>
      <w:r>
        <w:rPr>
          <w:rFonts w:ascii="Arial" w:hAnsi="Arial" w:cs="Arial"/>
          <w:sz w:val="20"/>
        </w:rPr>
        <w:t>the nature and extent of the harm outweighs the desirability of having the evidence given.</w:t>
      </w:r>
    </w:p>
    <w:p w14:paraId="370320FB" w14:textId="7F344D37" w:rsidR="00D01139" w:rsidRPr="00D01139" w:rsidRDefault="00D01139" w:rsidP="00D01139">
      <w:pPr>
        <w:spacing w:before="120"/>
        <w:jc w:val="both"/>
        <w:rPr>
          <w:rFonts w:ascii="Arial" w:hAnsi="Arial" w:cs="Arial"/>
          <w:sz w:val="20"/>
        </w:rPr>
      </w:pPr>
      <w:r>
        <w:rPr>
          <w:rFonts w:ascii="Arial" w:hAnsi="Arial" w:cs="Arial"/>
          <w:sz w:val="20"/>
        </w:rPr>
        <w:t xml:space="preserve">Section 18(7) provides that without </w:t>
      </w:r>
      <w:r w:rsidRPr="00D01139">
        <w:rPr>
          <w:rFonts w:ascii="Arial" w:hAnsi="Arial" w:cs="Arial"/>
          <w:sz w:val="20"/>
        </w:rPr>
        <w:t xml:space="preserve">limiting the matters that may be taken into account by the court for the purposes of </w:t>
      </w:r>
      <w:r>
        <w:rPr>
          <w:rFonts w:ascii="Arial" w:hAnsi="Arial" w:cs="Arial"/>
          <w:sz w:val="20"/>
        </w:rPr>
        <w:t>s.18</w:t>
      </w:r>
      <w:r w:rsidRPr="00D01139">
        <w:rPr>
          <w:rFonts w:ascii="Arial" w:hAnsi="Arial" w:cs="Arial"/>
          <w:sz w:val="20"/>
        </w:rPr>
        <w:t>(6), it must take into account the following</w:t>
      </w:r>
      <w:r>
        <w:rPr>
          <w:rFonts w:ascii="Arial" w:hAnsi="Arial" w:cs="Arial"/>
          <w:sz w:val="20"/>
        </w:rPr>
        <w:t>:</w:t>
      </w:r>
    </w:p>
    <w:p w14:paraId="314839DC" w14:textId="77777777" w:rsidR="00D01139" w:rsidRDefault="00D01139" w:rsidP="00D01139">
      <w:pPr>
        <w:jc w:val="both"/>
        <w:rPr>
          <w:rFonts w:ascii="Arial" w:hAnsi="Arial" w:cs="Arial"/>
          <w:sz w:val="20"/>
        </w:rPr>
      </w:pPr>
      <w:r w:rsidRPr="00D01139">
        <w:rPr>
          <w:rFonts w:ascii="Arial" w:hAnsi="Arial" w:cs="Arial"/>
          <w:sz w:val="20"/>
        </w:rPr>
        <w:t>(a)</w:t>
      </w:r>
      <w:r w:rsidRPr="00D01139">
        <w:rPr>
          <w:rFonts w:ascii="Arial" w:hAnsi="Arial" w:cs="Arial"/>
          <w:sz w:val="20"/>
        </w:rPr>
        <w:tab/>
        <w:t>the nature and gravity of the offence for which the accused is being prosecuted;</w:t>
      </w:r>
    </w:p>
    <w:p w14:paraId="1021B2EC" w14:textId="3AE0759A" w:rsidR="00D01139" w:rsidRPr="00D01139" w:rsidRDefault="00D01139" w:rsidP="00D01139">
      <w:pPr>
        <w:ind w:left="357" w:hanging="357"/>
        <w:jc w:val="both"/>
        <w:rPr>
          <w:rFonts w:ascii="Arial" w:hAnsi="Arial" w:cs="Arial"/>
          <w:sz w:val="20"/>
        </w:rPr>
      </w:pPr>
      <w:r w:rsidRPr="00D01139">
        <w:rPr>
          <w:rFonts w:ascii="Arial" w:hAnsi="Arial" w:cs="Arial"/>
          <w:sz w:val="20"/>
        </w:rPr>
        <w:t>(b)</w:t>
      </w:r>
      <w:r w:rsidRPr="00D01139">
        <w:rPr>
          <w:rFonts w:ascii="Arial" w:hAnsi="Arial" w:cs="Arial"/>
          <w:sz w:val="20"/>
        </w:rPr>
        <w:tab/>
        <w:t>the substance and importance of any evidence that the person might give and the weight that is likely to be attached to it;</w:t>
      </w:r>
    </w:p>
    <w:p w14:paraId="77D9CCE4" w14:textId="213EC7C6" w:rsidR="00D01139" w:rsidRPr="00D01139" w:rsidRDefault="00D01139" w:rsidP="00D01139">
      <w:pPr>
        <w:ind w:left="357" w:hanging="357"/>
        <w:jc w:val="both"/>
        <w:rPr>
          <w:rFonts w:ascii="Arial" w:hAnsi="Arial" w:cs="Arial"/>
          <w:sz w:val="20"/>
        </w:rPr>
      </w:pPr>
      <w:r w:rsidRPr="00D01139">
        <w:rPr>
          <w:rFonts w:ascii="Arial" w:hAnsi="Arial" w:cs="Arial"/>
          <w:sz w:val="20"/>
        </w:rPr>
        <w:t>(c)</w:t>
      </w:r>
      <w:r w:rsidRPr="00D01139">
        <w:rPr>
          <w:rFonts w:ascii="Arial" w:hAnsi="Arial" w:cs="Arial"/>
          <w:sz w:val="20"/>
        </w:rPr>
        <w:tab/>
        <w:t>whether any other evidence concerning the matters to which the evidence of the person would relate is reasonably available to the prosecutor;</w:t>
      </w:r>
    </w:p>
    <w:p w14:paraId="1333069F" w14:textId="0082A816" w:rsidR="00D01139" w:rsidRPr="00D01139" w:rsidRDefault="00D01139" w:rsidP="00D01139">
      <w:pPr>
        <w:jc w:val="both"/>
        <w:rPr>
          <w:rFonts w:ascii="Arial" w:hAnsi="Arial" w:cs="Arial"/>
          <w:sz w:val="20"/>
        </w:rPr>
      </w:pPr>
      <w:r w:rsidRPr="00D01139">
        <w:rPr>
          <w:rFonts w:ascii="Arial" w:hAnsi="Arial" w:cs="Arial"/>
          <w:sz w:val="20"/>
        </w:rPr>
        <w:t>(d)</w:t>
      </w:r>
      <w:r w:rsidRPr="00D01139">
        <w:rPr>
          <w:rFonts w:ascii="Arial" w:hAnsi="Arial" w:cs="Arial"/>
          <w:sz w:val="20"/>
        </w:rPr>
        <w:tab/>
        <w:t>the nature of the relationship between the accused and the person;</w:t>
      </w:r>
    </w:p>
    <w:p w14:paraId="5F42A636" w14:textId="2F770D77" w:rsidR="00D01139" w:rsidRPr="00D01139" w:rsidRDefault="00D01139" w:rsidP="00D01139">
      <w:pPr>
        <w:ind w:left="357" w:hanging="357"/>
        <w:jc w:val="both"/>
        <w:rPr>
          <w:rFonts w:ascii="Arial" w:hAnsi="Arial" w:cs="Arial"/>
          <w:sz w:val="20"/>
        </w:rPr>
      </w:pPr>
      <w:r w:rsidRPr="00D01139">
        <w:rPr>
          <w:rFonts w:ascii="Arial" w:hAnsi="Arial" w:cs="Arial"/>
          <w:sz w:val="20"/>
        </w:rPr>
        <w:t>(e)</w:t>
      </w:r>
      <w:r w:rsidRPr="00D01139">
        <w:rPr>
          <w:rFonts w:ascii="Arial" w:hAnsi="Arial" w:cs="Arial"/>
          <w:sz w:val="20"/>
        </w:rPr>
        <w:tab/>
        <w:t>whether, in giving the evidence, the person would have to disclose matter that was received by the person in confidence from the accused.</w:t>
      </w:r>
    </w:p>
    <w:p w14:paraId="6BC7DF4E" w14:textId="77777777" w:rsidR="00D01139" w:rsidRDefault="00D01139" w:rsidP="00D13FB8">
      <w:pPr>
        <w:jc w:val="both"/>
        <w:rPr>
          <w:rFonts w:ascii="Arial" w:hAnsi="Arial" w:cs="Arial"/>
          <w:sz w:val="20"/>
        </w:rPr>
      </w:pPr>
    </w:p>
    <w:p w14:paraId="0710AD76" w14:textId="27762F86" w:rsidR="00700405" w:rsidRDefault="00700405" w:rsidP="00D13FB8">
      <w:pPr>
        <w:jc w:val="both"/>
        <w:rPr>
          <w:rFonts w:ascii="Arial" w:hAnsi="Arial" w:cs="Arial"/>
          <w:sz w:val="20"/>
        </w:rPr>
      </w:pPr>
      <w:r>
        <w:rPr>
          <w:rFonts w:ascii="Arial" w:hAnsi="Arial" w:cs="Arial"/>
          <w:sz w:val="20"/>
        </w:rPr>
        <w:t xml:space="preserve">In </w:t>
      </w:r>
      <w:r w:rsidRPr="00700405">
        <w:rPr>
          <w:rFonts w:ascii="Arial" w:hAnsi="Arial" w:cs="Arial"/>
          <w:i/>
          <w:iCs/>
          <w:sz w:val="20"/>
        </w:rPr>
        <w:t>DPP v SA &amp; Ors (Ruling No 5)</w:t>
      </w:r>
      <w:r>
        <w:rPr>
          <w:rFonts w:ascii="Arial" w:hAnsi="Arial" w:cs="Arial"/>
          <w:sz w:val="20"/>
        </w:rPr>
        <w:t xml:space="preserve"> [2023] VSC 695 the 15-year-old accused child DM together with 3 other youths was charged with the murder of a young man following an attack on him by 8 persons in a suburban street. At trial the prosecution intends to lead evidence from AG, DM’s mother, of </w:t>
      </w:r>
      <w:r w:rsidRPr="00700405">
        <w:rPr>
          <w:rFonts w:ascii="Arial" w:hAnsi="Arial" w:cs="Arial"/>
          <w:sz w:val="20"/>
        </w:rPr>
        <w:t>an admission alleged to have been made by DM to AG following the conclusion of DM’s first police interview on 23</w:t>
      </w:r>
      <w:r w:rsidR="00834E84">
        <w:rPr>
          <w:rFonts w:ascii="Arial" w:hAnsi="Arial" w:cs="Arial"/>
          <w:sz w:val="20"/>
        </w:rPr>
        <w:t> </w:t>
      </w:r>
      <w:r w:rsidRPr="00700405">
        <w:rPr>
          <w:rFonts w:ascii="Arial" w:hAnsi="Arial" w:cs="Arial"/>
          <w:sz w:val="20"/>
        </w:rPr>
        <w:t xml:space="preserve">March 2022. AG had been present at the interview in accordance with </w:t>
      </w:r>
      <w:r w:rsidRPr="00700405">
        <w:rPr>
          <w:rFonts w:ascii="Arial" w:hAnsi="Arial" w:cs="Arial"/>
          <w:i/>
          <w:iCs/>
          <w:sz w:val="20"/>
        </w:rPr>
        <w:t>Crimes Act 1958</w:t>
      </w:r>
      <w:r w:rsidRPr="00700405">
        <w:rPr>
          <w:rFonts w:ascii="Arial" w:hAnsi="Arial" w:cs="Arial"/>
          <w:sz w:val="20"/>
        </w:rPr>
        <w:t xml:space="preserve"> (Vic) s</w:t>
      </w:r>
      <w:r>
        <w:rPr>
          <w:rFonts w:ascii="Arial" w:hAnsi="Arial" w:cs="Arial"/>
          <w:sz w:val="20"/>
        </w:rPr>
        <w:t> </w:t>
      </w:r>
      <w:r w:rsidRPr="00700405">
        <w:rPr>
          <w:rFonts w:ascii="Arial" w:hAnsi="Arial" w:cs="Arial"/>
          <w:sz w:val="20"/>
        </w:rPr>
        <w:t>464E. This evidence was the subject of an earlier ruling, in which I</w:t>
      </w:r>
      <w:r w:rsidR="00834E84">
        <w:rPr>
          <w:rFonts w:ascii="Arial" w:hAnsi="Arial" w:cs="Arial"/>
          <w:sz w:val="20"/>
        </w:rPr>
        <w:t>ncerti J</w:t>
      </w:r>
      <w:r w:rsidRPr="00700405">
        <w:rPr>
          <w:rFonts w:ascii="Arial" w:hAnsi="Arial" w:cs="Arial"/>
          <w:sz w:val="20"/>
        </w:rPr>
        <w:t xml:space="preserve"> ruled that it should not be excluded under ss 90 or 138 of the </w:t>
      </w:r>
      <w:r w:rsidRPr="00700405">
        <w:rPr>
          <w:rFonts w:ascii="Arial" w:hAnsi="Arial" w:cs="Arial"/>
          <w:i/>
          <w:iCs/>
          <w:sz w:val="20"/>
        </w:rPr>
        <w:t>Evidence Act 2008</w:t>
      </w:r>
      <w:r w:rsidRPr="00700405">
        <w:rPr>
          <w:rFonts w:ascii="Arial" w:hAnsi="Arial" w:cs="Arial"/>
          <w:sz w:val="20"/>
        </w:rPr>
        <w:t xml:space="preserve"> (Vic), nor the </w:t>
      </w:r>
      <w:proofErr w:type="spellStart"/>
      <w:r w:rsidRPr="00700405">
        <w:rPr>
          <w:rFonts w:ascii="Arial" w:hAnsi="Arial" w:cs="Arial"/>
          <w:sz w:val="20"/>
        </w:rPr>
        <w:t>Haddara</w:t>
      </w:r>
      <w:proofErr w:type="spellEnd"/>
      <w:r w:rsidRPr="00700405">
        <w:rPr>
          <w:rFonts w:ascii="Arial" w:hAnsi="Arial" w:cs="Arial"/>
          <w:sz w:val="20"/>
        </w:rPr>
        <w:t xml:space="preserve"> discretion</w:t>
      </w:r>
      <w:r>
        <w:rPr>
          <w:rFonts w:ascii="Arial" w:hAnsi="Arial" w:cs="Arial"/>
          <w:sz w:val="20"/>
        </w:rPr>
        <w:t xml:space="preserve">: see </w:t>
      </w:r>
      <w:r w:rsidRPr="00700405">
        <w:rPr>
          <w:rFonts w:ascii="Arial" w:hAnsi="Arial" w:cs="Arial"/>
          <w:i/>
          <w:iCs/>
          <w:sz w:val="20"/>
        </w:rPr>
        <w:t>DPP v SA &amp; Ors (Ruling No 4)</w:t>
      </w:r>
      <w:r w:rsidRPr="00700405">
        <w:rPr>
          <w:rFonts w:ascii="Arial" w:hAnsi="Arial" w:cs="Arial"/>
          <w:sz w:val="20"/>
        </w:rPr>
        <w:t xml:space="preserve"> [2023] VSC 661. </w:t>
      </w:r>
      <w:r>
        <w:rPr>
          <w:rFonts w:ascii="Arial" w:hAnsi="Arial" w:cs="Arial"/>
          <w:sz w:val="20"/>
        </w:rPr>
        <w:t xml:space="preserve">In requiring </w:t>
      </w:r>
      <w:r w:rsidRPr="00700405">
        <w:rPr>
          <w:rFonts w:ascii="Arial" w:hAnsi="Arial" w:cs="Arial"/>
          <w:sz w:val="20"/>
        </w:rPr>
        <w:t xml:space="preserve">AG to give evidence at DM’s trial notwithstanding her objection under </w:t>
      </w:r>
      <w:r w:rsidRPr="00700405">
        <w:rPr>
          <w:rFonts w:ascii="Arial" w:hAnsi="Arial" w:cs="Arial"/>
          <w:i/>
          <w:iCs/>
          <w:sz w:val="20"/>
        </w:rPr>
        <w:t xml:space="preserve">Evidence Act </w:t>
      </w:r>
      <w:r w:rsidRPr="00700405">
        <w:rPr>
          <w:rFonts w:ascii="Arial" w:hAnsi="Arial" w:cs="Arial"/>
          <w:sz w:val="20"/>
        </w:rPr>
        <w:t>s 18</w:t>
      </w:r>
      <w:r w:rsidR="00E4279F">
        <w:rPr>
          <w:rFonts w:ascii="Arial" w:hAnsi="Arial" w:cs="Arial"/>
          <w:sz w:val="20"/>
        </w:rPr>
        <w:t>,</w:t>
      </w:r>
      <w:r w:rsidRPr="00700405">
        <w:rPr>
          <w:rFonts w:ascii="Arial" w:hAnsi="Arial" w:cs="Arial"/>
          <w:sz w:val="20"/>
        </w:rPr>
        <w:t xml:space="preserve"> Incerti J said at [</w:t>
      </w:r>
      <w:r w:rsidR="00834E84">
        <w:rPr>
          <w:rFonts w:ascii="Arial" w:hAnsi="Arial" w:cs="Arial"/>
          <w:sz w:val="20"/>
        </w:rPr>
        <w:t>33</w:t>
      </w:r>
      <w:r w:rsidRPr="00700405">
        <w:rPr>
          <w:rFonts w:ascii="Arial" w:hAnsi="Arial" w:cs="Arial"/>
          <w:sz w:val="20"/>
        </w:rPr>
        <w:t>]-[</w:t>
      </w:r>
      <w:r w:rsidR="00E4279F">
        <w:rPr>
          <w:rFonts w:ascii="Arial" w:hAnsi="Arial" w:cs="Arial"/>
          <w:sz w:val="20"/>
        </w:rPr>
        <w:t>43</w:t>
      </w:r>
      <w:r w:rsidRPr="00700405">
        <w:rPr>
          <w:rFonts w:ascii="Arial" w:hAnsi="Arial" w:cs="Arial"/>
          <w:sz w:val="20"/>
        </w:rPr>
        <w:t>]:</w:t>
      </w:r>
    </w:p>
    <w:p w14:paraId="10C4F4C4" w14:textId="77777777" w:rsidR="00834E84" w:rsidRDefault="00834E84" w:rsidP="00834E84">
      <w:pPr>
        <w:spacing w:before="60"/>
        <w:ind w:left="567" w:right="567"/>
        <w:jc w:val="both"/>
        <w:rPr>
          <w:rFonts w:ascii="Arial" w:hAnsi="Arial" w:cs="Arial"/>
          <w:sz w:val="20"/>
        </w:rPr>
      </w:pPr>
      <w:r>
        <w:rPr>
          <w:rFonts w:ascii="Arial" w:hAnsi="Arial" w:cs="Arial"/>
          <w:sz w:val="20"/>
          <w:szCs w:val="20"/>
        </w:rPr>
        <w:t>[33] “</w:t>
      </w:r>
      <w:r w:rsidRPr="00834E84">
        <w:rPr>
          <w:rFonts w:ascii="Arial" w:hAnsi="Arial" w:cs="Arial"/>
          <w:sz w:val="20"/>
        </w:rPr>
        <w:t xml:space="preserve">AG expressed that giving evidence will harm her relationship with DM as well as with his siblings. She stated that giving evidence at the voir dire has affected the trust in her family. However, the level of that damage to the relationship between AG and DM must be considered in circumstances where DM will understand that AG gave evidence in this case under the compulsion of a court order. While not directly relevant, hopefully AG’s daughters will also understand and appreciate that their mother has given evidence under compulsion of a court order. </w:t>
      </w:r>
    </w:p>
    <w:p w14:paraId="2A86B34E" w14:textId="248DC9EB" w:rsidR="00834E84" w:rsidRDefault="00834E84" w:rsidP="00834E84">
      <w:pPr>
        <w:spacing w:before="60"/>
        <w:ind w:left="567" w:right="567"/>
        <w:jc w:val="both"/>
        <w:rPr>
          <w:rFonts w:ascii="Arial" w:hAnsi="Arial" w:cs="Arial"/>
          <w:sz w:val="20"/>
        </w:rPr>
      </w:pPr>
      <w:r>
        <w:rPr>
          <w:rFonts w:ascii="Arial" w:hAnsi="Arial" w:cs="Arial"/>
          <w:sz w:val="20"/>
        </w:rPr>
        <w:t xml:space="preserve">[34] </w:t>
      </w:r>
      <w:r w:rsidRPr="00834E84">
        <w:rPr>
          <w:rFonts w:ascii="Arial" w:hAnsi="Arial" w:cs="Arial"/>
          <w:sz w:val="20"/>
        </w:rPr>
        <w:t>Accordingly, I accept that if AG gives evidence there is a ‘likelihood that harm would</w:t>
      </w:r>
      <w:r>
        <w:rPr>
          <w:rFonts w:ascii="Arial" w:hAnsi="Arial" w:cs="Arial"/>
          <w:sz w:val="20"/>
        </w:rPr>
        <w:t xml:space="preserve"> </w:t>
      </w:r>
      <w:r w:rsidRPr="00834E84">
        <w:rPr>
          <w:rFonts w:ascii="Arial" w:hAnsi="Arial" w:cs="Arial"/>
          <w:sz w:val="20"/>
        </w:rPr>
        <w:t>or might be caused (whether directly or indirectly)’ to AG and to her relationship with DM.</w:t>
      </w:r>
    </w:p>
    <w:p w14:paraId="5F43400E" w14:textId="77777777" w:rsidR="00834E84" w:rsidRDefault="00834E84" w:rsidP="00834E84">
      <w:pPr>
        <w:spacing w:before="60"/>
        <w:ind w:left="567" w:right="567"/>
        <w:jc w:val="both"/>
        <w:rPr>
          <w:rFonts w:ascii="Arial" w:hAnsi="Arial" w:cs="Arial"/>
          <w:sz w:val="20"/>
        </w:rPr>
      </w:pPr>
      <w:r>
        <w:rPr>
          <w:rFonts w:ascii="Arial" w:hAnsi="Arial" w:cs="Arial"/>
          <w:sz w:val="20"/>
        </w:rPr>
        <w:t xml:space="preserve">[35] </w:t>
      </w:r>
      <w:r w:rsidR="00700405" w:rsidRPr="00700405">
        <w:rPr>
          <w:rFonts w:ascii="Arial" w:hAnsi="Arial" w:cs="Arial"/>
          <w:sz w:val="20"/>
        </w:rPr>
        <w:t xml:space="preserve">While s 18 seeks to avoid harms of these kinds, it nonetheless envisages that evidence can be of such import that the desirability of it being given outweighs the nature and extent of harm. DM is facing trial for murder. </w:t>
      </w:r>
    </w:p>
    <w:p w14:paraId="234AC54A" w14:textId="77777777" w:rsidR="00834E84" w:rsidRDefault="00834E84" w:rsidP="00834E84">
      <w:pPr>
        <w:spacing w:before="60"/>
        <w:ind w:left="567" w:right="567"/>
        <w:jc w:val="both"/>
        <w:rPr>
          <w:rFonts w:ascii="Arial" w:hAnsi="Arial" w:cs="Arial"/>
          <w:sz w:val="20"/>
        </w:rPr>
      </w:pPr>
      <w:r>
        <w:rPr>
          <w:rFonts w:ascii="Arial" w:hAnsi="Arial" w:cs="Arial"/>
          <w:sz w:val="20"/>
        </w:rPr>
        <w:t xml:space="preserve">[36] </w:t>
      </w:r>
      <w:r w:rsidR="00700405" w:rsidRPr="00700405">
        <w:rPr>
          <w:rFonts w:ascii="Arial" w:hAnsi="Arial" w:cs="Arial"/>
          <w:sz w:val="20"/>
        </w:rPr>
        <w:t xml:space="preserve">The murder was of a teenager in a group attack in a residential street. The nature and gravity of the alleged offending is extremely high, so that this aspect operates strongly in favour of the prosecution. </w:t>
      </w:r>
    </w:p>
    <w:p w14:paraId="2F982CC5" w14:textId="59240D5C" w:rsidR="00834E84" w:rsidRDefault="00834E84" w:rsidP="00834E84">
      <w:pPr>
        <w:spacing w:before="60"/>
        <w:ind w:left="567" w:right="567"/>
        <w:jc w:val="both"/>
        <w:rPr>
          <w:rFonts w:ascii="Arial" w:hAnsi="Arial" w:cs="Arial"/>
          <w:sz w:val="20"/>
        </w:rPr>
      </w:pPr>
      <w:r>
        <w:rPr>
          <w:rFonts w:ascii="Arial" w:hAnsi="Arial" w:cs="Arial"/>
          <w:sz w:val="20"/>
        </w:rPr>
        <w:t xml:space="preserve">[37] </w:t>
      </w:r>
      <w:r w:rsidR="00700405" w:rsidRPr="00700405">
        <w:rPr>
          <w:rFonts w:ascii="Arial" w:hAnsi="Arial" w:cs="Arial"/>
          <w:sz w:val="20"/>
        </w:rPr>
        <w:t>The primary issue in DM’s trial is identity. That is, whether DM was one of the individuals involved in the fatal attack upon the deceased. DM denies being present at the scene at all. The substance of the evidence of the alleged admission is that DM said that he was in fact present at the scene and involved in the fatal assault upon the deceased. The evidence is thus of the highest importance to the trial.</w:t>
      </w:r>
    </w:p>
    <w:p w14:paraId="36981F9B" w14:textId="77777777" w:rsidR="00834E84" w:rsidRDefault="00834E84" w:rsidP="00834E84">
      <w:pPr>
        <w:spacing w:before="60"/>
        <w:ind w:left="567" w:right="567"/>
        <w:jc w:val="both"/>
        <w:rPr>
          <w:rFonts w:ascii="Arial" w:hAnsi="Arial" w:cs="Arial"/>
          <w:sz w:val="20"/>
        </w:rPr>
      </w:pPr>
      <w:r>
        <w:rPr>
          <w:rFonts w:ascii="Arial" w:hAnsi="Arial" w:cs="Arial"/>
          <w:sz w:val="20"/>
        </w:rPr>
        <w:t xml:space="preserve">[38] </w:t>
      </w:r>
      <w:r w:rsidR="00700405" w:rsidRPr="00700405">
        <w:rPr>
          <w:rFonts w:ascii="Arial" w:hAnsi="Arial" w:cs="Arial"/>
          <w:sz w:val="20"/>
        </w:rPr>
        <w:t xml:space="preserve">It can be inferred that DM did not expect his mother to disclose the contents of this conversation. However, s 18 does not present a bar against the compellability of a mother in their child’s trial. This is but one factor to be weighed. </w:t>
      </w:r>
    </w:p>
    <w:p w14:paraId="3FBFAB6C" w14:textId="77777777" w:rsidR="00834E84" w:rsidRDefault="00834E84" w:rsidP="00834E84">
      <w:pPr>
        <w:spacing w:before="60"/>
        <w:ind w:left="567" w:right="567"/>
        <w:jc w:val="both"/>
        <w:rPr>
          <w:rFonts w:ascii="Arial" w:hAnsi="Arial" w:cs="Arial"/>
          <w:sz w:val="20"/>
        </w:rPr>
      </w:pPr>
      <w:r>
        <w:rPr>
          <w:rFonts w:ascii="Arial" w:hAnsi="Arial" w:cs="Arial"/>
          <w:sz w:val="20"/>
        </w:rPr>
        <w:t xml:space="preserve">[39] </w:t>
      </w:r>
      <w:r w:rsidR="00700405" w:rsidRPr="00700405">
        <w:rPr>
          <w:rFonts w:ascii="Arial" w:hAnsi="Arial" w:cs="Arial"/>
          <w:sz w:val="20"/>
        </w:rPr>
        <w:t xml:space="preserve">In weighing all the relevant matters, I have had regard to DM’s age and the fact that he is still reliant on his mother. </w:t>
      </w:r>
    </w:p>
    <w:p w14:paraId="36FF3953" w14:textId="7234D9E0" w:rsidR="00834E84" w:rsidRDefault="00834E84" w:rsidP="00834E84">
      <w:pPr>
        <w:spacing w:before="60"/>
        <w:ind w:left="567" w:right="567"/>
        <w:jc w:val="both"/>
        <w:rPr>
          <w:rFonts w:ascii="Arial" w:hAnsi="Arial" w:cs="Arial"/>
          <w:sz w:val="20"/>
        </w:rPr>
      </w:pPr>
      <w:r>
        <w:rPr>
          <w:rFonts w:ascii="Arial" w:hAnsi="Arial" w:cs="Arial"/>
          <w:sz w:val="20"/>
        </w:rPr>
        <w:t xml:space="preserve">[40] </w:t>
      </w:r>
      <w:r w:rsidR="00700405" w:rsidRPr="00700405">
        <w:rPr>
          <w:rFonts w:ascii="Arial" w:hAnsi="Arial" w:cs="Arial"/>
          <w:sz w:val="20"/>
        </w:rPr>
        <w:t>However, I do not accept that in the present circumstances the nature and extent of the harms to AG and her relationship with DM outweigh the desirability of having the evidence of the alleged admission given by AG at DM’s trial. The evidence to be given by AG will be limited to evidence of the making of the alleged admission. Considering the importance of this evidence and the seriousness of the charge, this is a case where the public interest of having relevant evidence available to the Court outweighs the undesirability of compelling a mother to give evidence against her own son, notwithstanding his youthful age.</w:t>
      </w:r>
    </w:p>
    <w:p w14:paraId="1BEAA9E9" w14:textId="77777777" w:rsidR="00834E84" w:rsidRDefault="00834E84" w:rsidP="00834E84">
      <w:pPr>
        <w:spacing w:before="60"/>
        <w:ind w:left="567" w:right="567"/>
        <w:jc w:val="both"/>
        <w:rPr>
          <w:rFonts w:ascii="Arial" w:hAnsi="Arial" w:cs="Arial"/>
          <w:sz w:val="20"/>
        </w:rPr>
      </w:pPr>
      <w:r>
        <w:rPr>
          <w:rFonts w:ascii="Arial" w:hAnsi="Arial" w:cs="Arial"/>
          <w:sz w:val="20"/>
        </w:rPr>
        <w:t>[</w:t>
      </w:r>
      <w:r w:rsidR="00700405" w:rsidRPr="00700405">
        <w:rPr>
          <w:rFonts w:ascii="Arial" w:hAnsi="Arial" w:cs="Arial"/>
          <w:sz w:val="20"/>
        </w:rPr>
        <w:t>41</w:t>
      </w:r>
      <w:r>
        <w:rPr>
          <w:rFonts w:ascii="Arial" w:hAnsi="Arial" w:cs="Arial"/>
          <w:sz w:val="20"/>
        </w:rPr>
        <w:t>]</w:t>
      </w:r>
      <w:r w:rsidR="00700405" w:rsidRPr="00700405">
        <w:rPr>
          <w:rFonts w:ascii="Arial" w:hAnsi="Arial" w:cs="Arial"/>
          <w:sz w:val="20"/>
        </w:rPr>
        <w:t xml:space="preserve"> While giving evidence in her son’s trial will no doubt be extremely stressful and emotionally difficult for AG, I am not of the view that it will impact her psychological health </w:t>
      </w:r>
      <w:r w:rsidR="00700405" w:rsidRPr="00700405">
        <w:rPr>
          <w:rFonts w:ascii="Arial" w:hAnsi="Arial" w:cs="Arial"/>
          <w:sz w:val="20"/>
        </w:rPr>
        <w:lastRenderedPageBreak/>
        <w:t xml:space="preserve">to such an extent which would outweigh the desirability of the evidence being given. That AG would be compelled to give evidence will minimise the emotional impacts on her compared to had she given evidence at trial without objecting. </w:t>
      </w:r>
    </w:p>
    <w:p w14:paraId="13B642DC" w14:textId="4ED2828D" w:rsidR="00834E84" w:rsidRDefault="00834E84" w:rsidP="00834E84">
      <w:pPr>
        <w:spacing w:before="60"/>
        <w:ind w:left="567" w:right="567"/>
        <w:jc w:val="both"/>
        <w:rPr>
          <w:rFonts w:ascii="Arial" w:hAnsi="Arial" w:cs="Arial"/>
          <w:sz w:val="20"/>
        </w:rPr>
      </w:pPr>
      <w:r>
        <w:rPr>
          <w:rFonts w:ascii="Arial" w:hAnsi="Arial" w:cs="Arial"/>
          <w:sz w:val="20"/>
        </w:rPr>
        <w:t>[</w:t>
      </w:r>
      <w:r w:rsidR="00700405" w:rsidRPr="00700405">
        <w:rPr>
          <w:rFonts w:ascii="Arial" w:hAnsi="Arial" w:cs="Arial"/>
          <w:sz w:val="20"/>
        </w:rPr>
        <w:t>42</w:t>
      </w:r>
      <w:r>
        <w:rPr>
          <w:rFonts w:ascii="Arial" w:hAnsi="Arial" w:cs="Arial"/>
          <w:sz w:val="20"/>
        </w:rPr>
        <w:t>]</w:t>
      </w:r>
      <w:r w:rsidR="00700405" w:rsidRPr="00700405">
        <w:rPr>
          <w:rFonts w:ascii="Arial" w:hAnsi="Arial" w:cs="Arial"/>
          <w:sz w:val="20"/>
        </w:rPr>
        <w:t xml:space="preserve"> While AG being required to give evidence in DM’s trial will undoubtedly harm her relationship with him, it can be hoped that such harm is repairable and that, despite his youthful age, DM will understand that she has been required to give evidence under legal compulsion. </w:t>
      </w:r>
    </w:p>
    <w:p w14:paraId="5263F6A8" w14:textId="74500330" w:rsidR="00700405" w:rsidRPr="00834E84" w:rsidRDefault="00834E84" w:rsidP="00834E84">
      <w:pPr>
        <w:spacing w:before="60"/>
        <w:ind w:left="567" w:right="567"/>
        <w:jc w:val="both"/>
        <w:rPr>
          <w:rFonts w:ascii="Arial" w:hAnsi="Arial" w:cs="Arial"/>
          <w:sz w:val="20"/>
          <w:szCs w:val="20"/>
        </w:rPr>
      </w:pPr>
      <w:r>
        <w:rPr>
          <w:rFonts w:ascii="Arial" w:hAnsi="Arial" w:cs="Arial"/>
          <w:sz w:val="20"/>
        </w:rPr>
        <w:t xml:space="preserve">[43] </w:t>
      </w:r>
      <w:r w:rsidR="00700405" w:rsidRPr="00700405">
        <w:rPr>
          <w:rFonts w:ascii="Arial" w:hAnsi="Arial" w:cs="Arial"/>
          <w:sz w:val="20"/>
        </w:rPr>
        <w:t>I am well satisfied that the desirability of AG giving evidence significantly outweighs the nature and extent of harm to AG or her relationship with DM. In those circumstances, I</w:t>
      </w:r>
      <w:r w:rsidR="00E4279F">
        <w:rPr>
          <w:rFonts w:ascii="Arial" w:hAnsi="Arial" w:cs="Arial"/>
          <w:sz w:val="20"/>
        </w:rPr>
        <w:t> </w:t>
      </w:r>
      <w:r w:rsidR="00700405" w:rsidRPr="00700405">
        <w:rPr>
          <w:rFonts w:ascii="Arial" w:hAnsi="Arial" w:cs="Arial"/>
          <w:sz w:val="20"/>
        </w:rPr>
        <w:t xml:space="preserve">reject the objection made by AG under s 18(2) of the </w:t>
      </w:r>
      <w:r w:rsidR="00700405" w:rsidRPr="00834E84">
        <w:rPr>
          <w:rFonts w:ascii="Arial" w:hAnsi="Arial" w:cs="Arial"/>
          <w:i/>
          <w:iCs/>
          <w:sz w:val="20"/>
        </w:rPr>
        <w:t>Evidence Act</w:t>
      </w:r>
      <w:r w:rsidR="00700405" w:rsidRPr="00700405">
        <w:rPr>
          <w:rFonts w:ascii="Arial" w:hAnsi="Arial" w:cs="Arial"/>
          <w:sz w:val="20"/>
        </w:rPr>
        <w:t>, to being required to give evidence.</w:t>
      </w:r>
      <w:r>
        <w:rPr>
          <w:rFonts w:ascii="Arial" w:hAnsi="Arial" w:cs="Arial"/>
          <w:sz w:val="20"/>
        </w:rPr>
        <w:t>”</w:t>
      </w:r>
    </w:p>
    <w:p w14:paraId="23671769" w14:textId="77777777" w:rsidR="00700405" w:rsidRDefault="00700405" w:rsidP="00D13FB8">
      <w:pPr>
        <w:jc w:val="both"/>
        <w:rPr>
          <w:rFonts w:ascii="Arial" w:hAnsi="Arial" w:cs="Arial"/>
          <w:sz w:val="20"/>
        </w:rPr>
      </w:pPr>
    </w:p>
    <w:p w14:paraId="5BA64300" w14:textId="05905E1F" w:rsidR="00B87E69" w:rsidRDefault="00B87E69" w:rsidP="00B87E69">
      <w:pPr>
        <w:pStyle w:val="Heading3"/>
        <w:keepNext/>
        <w:spacing w:after="120" w:line="240" w:lineRule="auto"/>
        <w:rPr>
          <w:rFonts w:ascii="Arial" w:hAnsi="Arial" w:cs="Arial"/>
          <w:b/>
          <w:bCs/>
          <w:sz w:val="20"/>
        </w:rPr>
      </w:pPr>
      <w:bookmarkStart w:id="831" w:name="_3.5.10.3__Children"/>
      <w:bookmarkEnd w:id="831"/>
      <w:r>
        <w:rPr>
          <w:rFonts w:ascii="Arial" w:hAnsi="Arial" w:cs="Arial"/>
          <w:b/>
          <w:bCs/>
          <w:sz w:val="20"/>
        </w:rPr>
        <w:t>3.5.10.3</w:t>
      </w:r>
      <w:r>
        <w:rPr>
          <w:rFonts w:ascii="Arial" w:hAnsi="Arial" w:cs="Arial"/>
          <w:b/>
          <w:bCs/>
          <w:sz w:val="20"/>
        </w:rPr>
        <w:tab/>
        <w:t>Children as witnesses in court cases</w:t>
      </w:r>
    </w:p>
    <w:p w14:paraId="366BFDC1" w14:textId="1310713D" w:rsidR="00065668" w:rsidRDefault="00B87E69" w:rsidP="00065668">
      <w:pPr>
        <w:jc w:val="both"/>
        <w:rPr>
          <w:rFonts w:ascii="Arial" w:hAnsi="Arial" w:cs="Arial"/>
          <w:sz w:val="20"/>
        </w:rPr>
      </w:pPr>
      <w:r>
        <w:rPr>
          <w:rFonts w:ascii="Arial" w:hAnsi="Arial" w:cs="Arial"/>
          <w:sz w:val="20"/>
        </w:rPr>
        <w:t xml:space="preserve">Both at common law and under the repealed s.23 of the </w:t>
      </w:r>
      <w:r w:rsidRPr="00A82F40">
        <w:rPr>
          <w:rFonts w:ascii="Arial" w:hAnsi="Arial" w:cs="Arial"/>
          <w:i/>
          <w:iCs/>
          <w:sz w:val="20"/>
        </w:rPr>
        <w:t>Evidence Act 1958</w:t>
      </w:r>
      <w:r>
        <w:rPr>
          <w:rFonts w:ascii="Arial" w:hAnsi="Arial" w:cs="Arial"/>
          <w:sz w:val="20"/>
        </w:rPr>
        <w:t xml:space="preserve">, there were specific requirements about which the presiding judicial officer had to be satisfied before accepting the evidence of a child witness.  Although there was no fixed age below which a child was deemed incompetent to give evidence on oath nor was there any precise rule as to the degree of knowledge or intelligence which would exclude such evidence, the common law test for the competency of a child depended on whether the child possesses “a sufficient knowledge of the nature and consequences of [the] oath [and] on the sense and reason they entertain of the dangers and impiety of falsehood”.  See e.g. </w:t>
      </w:r>
      <w:r w:rsidRPr="006C654A">
        <w:rPr>
          <w:rFonts w:ascii="Arial" w:hAnsi="Arial" w:cs="Arial"/>
          <w:i/>
          <w:sz w:val="20"/>
        </w:rPr>
        <w:t>R v Brasier</w:t>
      </w:r>
      <w:r>
        <w:rPr>
          <w:rFonts w:ascii="Arial" w:hAnsi="Arial" w:cs="Arial"/>
          <w:sz w:val="20"/>
        </w:rPr>
        <w:t xml:space="preserve"> (1779) 1 Leach 199 at 200; </w:t>
      </w:r>
      <w:r w:rsidRPr="00622F7B">
        <w:rPr>
          <w:rFonts w:ascii="Arial" w:hAnsi="Arial" w:cs="Arial"/>
          <w:i/>
          <w:sz w:val="20"/>
        </w:rPr>
        <w:t xml:space="preserve">R v </w:t>
      </w:r>
      <w:smartTag w:uri="urn:schemas-microsoft-com:office:smarttags" w:element="place">
        <w:smartTag w:uri="urn:schemas-microsoft-com:office:smarttags" w:element="City">
          <w:r w:rsidRPr="00622F7B">
            <w:rPr>
              <w:rFonts w:ascii="Arial" w:hAnsi="Arial" w:cs="Arial"/>
              <w:i/>
              <w:sz w:val="20"/>
            </w:rPr>
            <w:t>Lyons</w:t>
          </w:r>
        </w:smartTag>
      </w:smartTag>
      <w:r>
        <w:rPr>
          <w:rFonts w:ascii="Arial" w:hAnsi="Arial" w:cs="Arial"/>
          <w:sz w:val="20"/>
        </w:rPr>
        <w:t xml:space="preserve"> (1889) 15 VLR 15</w:t>
      </w:r>
      <w:r>
        <w:rPr>
          <w:rFonts w:ascii="Arial" w:hAnsi="Arial" w:cs="Arial"/>
          <w:i/>
          <w:sz w:val="20"/>
        </w:rPr>
        <w:t xml:space="preserve">; </w:t>
      </w:r>
      <w:r w:rsidRPr="006B4665">
        <w:rPr>
          <w:rFonts w:ascii="Arial" w:hAnsi="Arial" w:cs="Arial"/>
          <w:i/>
          <w:sz w:val="20"/>
        </w:rPr>
        <w:t>R v Brooks</w:t>
      </w:r>
      <w:r>
        <w:rPr>
          <w:rFonts w:ascii="Arial" w:hAnsi="Arial" w:cs="Arial"/>
          <w:sz w:val="20"/>
        </w:rPr>
        <w:t xml:space="preserve"> (1998) 44 NSWLR 121 at 124 per Grove J.  This is no longer the law in Victoria.</w:t>
      </w:r>
      <w:r w:rsidR="00A80955">
        <w:rPr>
          <w:rFonts w:ascii="Arial" w:hAnsi="Arial" w:cs="Arial"/>
          <w:sz w:val="20"/>
        </w:rPr>
        <w:t xml:space="preserve">  </w:t>
      </w:r>
      <w:r w:rsidR="00065668">
        <w:rPr>
          <w:rFonts w:ascii="Arial" w:hAnsi="Arial" w:cs="Arial"/>
          <w:sz w:val="20"/>
        </w:rPr>
        <w:t xml:space="preserve">There is no longer any special category of “child witness” as far as competence </w:t>
      </w:r>
      <w:r w:rsidR="00265EDD">
        <w:rPr>
          <w:rFonts w:ascii="Arial" w:hAnsi="Arial" w:cs="Arial"/>
          <w:sz w:val="20"/>
        </w:rPr>
        <w:t>and</w:t>
      </w:r>
      <w:r w:rsidR="00065668">
        <w:rPr>
          <w:rFonts w:ascii="Arial" w:hAnsi="Arial" w:cs="Arial"/>
          <w:sz w:val="20"/>
        </w:rPr>
        <w:t xml:space="preserve"> compellability is concerned</w:t>
      </w:r>
      <w:r w:rsidR="00A80955">
        <w:rPr>
          <w:rFonts w:ascii="Arial" w:hAnsi="Arial" w:cs="Arial"/>
          <w:sz w:val="20"/>
        </w:rPr>
        <w:t xml:space="preserve"> and ss.12 &amp; 13 </w:t>
      </w:r>
      <w:r w:rsidR="00E55EA7">
        <w:rPr>
          <w:rFonts w:ascii="Arial" w:hAnsi="Arial" w:cs="Arial"/>
          <w:sz w:val="20"/>
        </w:rPr>
        <w:t xml:space="preserve">of the </w:t>
      </w:r>
      <w:r w:rsidR="00E55EA7" w:rsidRPr="003B3AA1">
        <w:rPr>
          <w:rFonts w:ascii="Arial" w:hAnsi="Arial" w:cs="Arial"/>
          <w:i/>
          <w:iCs/>
          <w:color w:val="000000"/>
          <w:sz w:val="20"/>
        </w:rPr>
        <w:t>Evidence Act 2008</w:t>
      </w:r>
      <w:r w:rsidR="00E55EA7">
        <w:rPr>
          <w:rFonts w:ascii="Arial" w:hAnsi="Arial" w:cs="Arial"/>
          <w:color w:val="000000"/>
          <w:sz w:val="20"/>
        </w:rPr>
        <w:t xml:space="preserve"> (Vic) </w:t>
      </w:r>
      <w:r w:rsidR="00A80955">
        <w:rPr>
          <w:rFonts w:ascii="Arial" w:hAnsi="Arial" w:cs="Arial"/>
          <w:sz w:val="20"/>
        </w:rPr>
        <w:t>apply to both child and adult witnesses.</w:t>
      </w:r>
    </w:p>
    <w:p w14:paraId="0FAA2FB3" w14:textId="77777777" w:rsidR="00812268" w:rsidRPr="00836E86" w:rsidRDefault="00812268" w:rsidP="00812268">
      <w:pPr>
        <w:jc w:val="both"/>
        <w:rPr>
          <w:rFonts w:ascii="Arial" w:hAnsi="Arial" w:cs="Arial"/>
          <w:sz w:val="20"/>
        </w:rPr>
      </w:pPr>
      <w:bookmarkStart w:id="832" w:name="_3.5.10.3__Claim"/>
      <w:bookmarkEnd w:id="832"/>
    </w:p>
    <w:p w14:paraId="036A28A8" w14:textId="128EED55" w:rsidR="00D13FB8" w:rsidRDefault="00D13FB8" w:rsidP="00D13FB8">
      <w:pPr>
        <w:pStyle w:val="Heading3"/>
        <w:keepNext/>
        <w:spacing w:line="240" w:lineRule="auto"/>
        <w:rPr>
          <w:rFonts w:ascii="Arial" w:hAnsi="Arial" w:cs="Arial"/>
          <w:b/>
          <w:bCs/>
          <w:sz w:val="20"/>
        </w:rPr>
      </w:pPr>
      <w:r>
        <w:rPr>
          <w:rFonts w:ascii="Arial" w:hAnsi="Arial" w:cs="Arial"/>
          <w:b/>
          <w:bCs/>
          <w:sz w:val="20"/>
        </w:rPr>
        <w:t>3.5.10.</w:t>
      </w:r>
      <w:r w:rsidR="00B87E69">
        <w:rPr>
          <w:rFonts w:ascii="Arial" w:hAnsi="Arial" w:cs="Arial"/>
          <w:b/>
          <w:bCs/>
          <w:sz w:val="20"/>
        </w:rPr>
        <w:t>4</w:t>
      </w:r>
      <w:r>
        <w:rPr>
          <w:rFonts w:ascii="Arial" w:hAnsi="Arial" w:cs="Arial"/>
          <w:b/>
          <w:bCs/>
          <w:sz w:val="20"/>
        </w:rPr>
        <w:t xml:space="preserve">  Claim of privilege by a witness</w:t>
      </w:r>
    </w:p>
    <w:p w14:paraId="675CCFFC" w14:textId="7E4FD389" w:rsidR="009B592C" w:rsidRDefault="00D13FB8" w:rsidP="00720966">
      <w:pPr>
        <w:spacing w:before="120"/>
        <w:jc w:val="both"/>
        <w:rPr>
          <w:rFonts w:ascii="Arial" w:hAnsi="Arial" w:cs="Arial"/>
          <w:color w:val="000000"/>
          <w:sz w:val="20"/>
        </w:rPr>
      </w:pPr>
      <w:r>
        <w:rPr>
          <w:rFonts w:ascii="Arial" w:hAnsi="Arial" w:cs="Arial"/>
          <w:color w:val="000000"/>
          <w:sz w:val="20"/>
        </w:rPr>
        <w:t xml:space="preserve">In </w:t>
      </w:r>
      <w:r w:rsidR="00201D8E" w:rsidRPr="00201D8E">
        <w:rPr>
          <w:rFonts w:ascii="Arial" w:hAnsi="Arial" w:cs="Arial"/>
          <w:b/>
          <w:bCs/>
          <w:color w:val="000000"/>
          <w:sz w:val="20"/>
          <w:shd w:val="clear" w:color="auto" w:fill="C5E0B3" w:themeFill="accent6" w:themeFillTint="66"/>
        </w:rPr>
        <w:t>subsection</w:t>
      </w:r>
      <w:r w:rsidRPr="00201D8E">
        <w:rPr>
          <w:rFonts w:ascii="Arial" w:hAnsi="Arial" w:cs="Arial"/>
          <w:b/>
          <w:bCs/>
          <w:color w:val="000000"/>
          <w:sz w:val="20"/>
          <w:shd w:val="clear" w:color="auto" w:fill="C5E0B3" w:themeFill="accent6" w:themeFillTint="66"/>
        </w:rPr>
        <w:t xml:space="preserve"> 3.5.9.1</w:t>
      </w:r>
      <w:r w:rsidR="009B592C">
        <w:rPr>
          <w:rFonts w:ascii="Arial" w:hAnsi="Arial" w:cs="Arial"/>
          <w:color w:val="000000"/>
          <w:sz w:val="20"/>
        </w:rPr>
        <w:t xml:space="preserve"> – in the context of the production of documents under sub-poena – the writer referred to Part </w:t>
      </w:r>
      <w:r>
        <w:rPr>
          <w:rFonts w:ascii="Arial" w:hAnsi="Arial" w:cs="Arial"/>
          <w:color w:val="000000"/>
          <w:sz w:val="20"/>
        </w:rPr>
        <w:t xml:space="preserve">3.10 of the </w:t>
      </w:r>
      <w:r w:rsidRPr="003B3AA1">
        <w:rPr>
          <w:rFonts w:ascii="Arial" w:hAnsi="Arial" w:cs="Arial"/>
          <w:i/>
          <w:iCs/>
          <w:color w:val="000000"/>
          <w:sz w:val="20"/>
        </w:rPr>
        <w:t>Evidence Act 2008</w:t>
      </w:r>
      <w:r>
        <w:rPr>
          <w:rFonts w:ascii="Arial" w:hAnsi="Arial" w:cs="Arial"/>
          <w:color w:val="000000"/>
          <w:sz w:val="20"/>
        </w:rPr>
        <w:t xml:space="preserve"> (Vic)</w:t>
      </w:r>
      <w:r w:rsidR="009B592C">
        <w:rPr>
          <w:rFonts w:ascii="Arial" w:hAnsi="Arial" w:cs="Arial"/>
          <w:color w:val="000000"/>
          <w:sz w:val="20"/>
        </w:rPr>
        <w:t xml:space="preserve"> which </w:t>
      </w:r>
      <w:r>
        <w:rPr>
          <w:rFonts w:ascii="Arial" w:hAnsi="Arial" w:cs="Arial"/>
          <w:color w:val="000000"/>
          <w:sz w:val="20"/>
        </w:rPr>
        <w:t xml:space="preserve">details various privileges which may be claimed by persons seeking that production of particular documents </w:t>
      </w:r>
      <w:proofErr w:type="gramStart"/>
      <w:r>
        <w:rPr>
          <w:rFonts w:ascii="Arial" w:hAnsi="Arial" w:cs="Arial"/>
          <w:color w:val="000000"/>
          <w:sz w:val="20"/>
        </w:rPr>
        <w:t>not be</w:t>
      </w:r>
      <w:proofErr w:type="gramEnd"/>
      <w:r>
        <w:rPr>
          <w:rFonts w:ascii="Arial" w:hAnsi="Arial" w:cs="Arial"/>
          <w:color w:val="000000"/>
          <w:sz w:val="20"/>
        </w:rPr>
        <w:t xml:space="preserve"> ordered.  </w:t>
      </w:r>
      <w:r w:rsidR="009B592C">
        <w:rPr>
          <w:rFonts w:ascii="Arial" w:hAnsi="Arial" w:cs="Arial"/>
          <w:color w:val="000000"/>
          <w:sz w:val="20"/>
        </w:rPr>
        <w:t>The same provisions also apply to a claim of privilege by a witness giving evidence in court proceedings.</w:t>
      </w:r>
    </w:p>
    <w:p w14:paraId="5E60BCCB" w14:textId="77777777" w:rsidR="009B592C" w:rsidRDefault="009B592C" w:rsidP="00D13FB8">
      <w:pPr>
        <w:jc w:val="both"/>
        <w:rPr>
          <w:rFonts w:ascii="Arial" w:hAnsi="Arial" w:cs="Arial"/>
          <w:color w:val="000000"/>
          <w:sz w:val="20"/>
        </w:rPr>
      </w:pPr>
    </w:p>
    <w:p w14:paraId="7A7989E9" w14:textId="24965FF9" w:rsidR="00667853" w:rsidRDefault="00D13FB8" w:rsidP="00D13FB8">
      <w:pPr>
        <w:jc w:val="both"/>
        <w:rPr>
          <w:rFonts w:ascii="Arial" w:hAnsi="Arial" w:cs="Arial"/>
          <w:sz w:val="20"/>
          <w:szCs w:val="20"/>
        </w:rPr>
      </w:pPr>
      <w:r>
        <w:rPr>
          <w:rFonts w:ascii="Arial" w:hAnsi="Arial" w:cs="Arial"/>
          <w:color w:val="000000"/>
          <w:sz w:val="20"/>
        </w:rPr>
        <w:t>Sections 117-126 deal with ‘Client legal privilege’ formerly known as ‘legal professional privilege’</w:t>
      </w:r>
      <w:r w:rsidR="004E7A72">
        <w:rPr>
          <w:rFonts w:ascii="Arial" w:hAnsi="Arial" w:cs="Arial"/>
          <w:color w:val="000000"/>
          <w:sz w:val="20"/>
        </w:rPr>
        <w:t xml:space="preserve">: see e.g. </w:t>
      </w:r>
      <w:r w:rsidR="004E7A72" w:rsidRPr="00021517">
        <w:rPr>
          <w:rFonts w:ascii="Arial" w:hAnsi="Arial" w:cs="Arial"/>
          <w:i/>
          <w:iCs/>
          <w:sz w:val="20"/>
          <w:szCs w:val="20"/>
        </w:rPr>
        <w:t xml:space="preserve">Re Mokbel (No </w:t>
      </w:r>
      <w:r w:rsidR="004E7A72">
        <w:rPr>
          <w:rFonts w:ascii="Arial" w:hAnsi="Arial" w:cs="Arial"/>
          <w:i/>
          <w:iCs/>
          <w:sz w:val="20"/>
          <w:szCs w:val="20"/>
        </w:rPr>
        <w:t>4</w:t>
      </w:r>
      <w:r w:rsidR="004E7A72" w:rsidRPr="00021517">
        <w:rPr>
          <w:rFonts w:ascii="Arial" w:hAnsi="Arial" w:cs="Arial"/>
          <w:i/>
          <w:iCs/>
          <w:sz w:val="20"/>
          <w:szCs w:val="20"/>
        </w:rPr>
        <w:t>)</w:t>
      </w:r>
      <w:r w:rsidR="004E7A72">
        <w:rPr>
          <w:rFonts w:ascii="Arial" w:hAnsi="Arial" w:cs="Arial"/>
          <w:sz w:val="20"/>
          <w:szCs w:val="20"/>
        </w:rPr>
        <w:t xml:space="preserve"> [2024] VSC 68 at [49]</w:t>
      </w:r>
      <w:r>
        <w:rPr>
          <w:rFonts w:ascii="Arial" w:hAnsi="Arial" w:cs="Arial"/>
          <w:color w:val="000000"/>
          <w:sz w:val="20"/>
        </w:rPr>
        <w:t>.  Section 127 deals with religious confessions.  Sections 128 &amp; 128A deal with privilege in respect of self-incrimination</w:t>
      </w:r>
      <w:r w:rsidR="00CC2208">
        <w:rPr>
          <w:rFonts w:ascii="Arial" w:hAnsi="Arial" w:cs="Arial"/>
          <w:color w:val="000000"/>
          <w:sz w:val="20"/>
        </w:rPr>
        <w:t xml:space="preserve">: see </w:t>
      </w:r>
      <w:r w:rsidR="00CC2208" w:rsidRPr="00CC2208">
        <w:rPr>
          <w:rFonts w:ascii="Arial" w:hAnsi="Arial" w:cs="Arial"/>
          <w:i/>
          <w:iCs/>
          <w:sz w:val="20"/>
          <w:szCs w:val="20"/>
        </w:rPr>
        <w:t>Timeless Sunrise Pty Ltd v BigJ Enterprises Pty Ltd (No 7)</w:t>
      </w:r>
      <w:r w:rsidR="00CC2208" w:rsidRPr="00CC2208">
        <w:rPr>
          <w:rFonts w:ascii="Arial" w:hAnsi="Arial" w:cs="Arial"/>
          <w:sz w:val="20"/>
          <w:szCs w:val="20"/>
        </w:rPr>
        <w:t xml:space="preserve"> [2022] VSC 549</w:t>
      </w:r>
      <w:r w:rsidR="00021517">
        <w:rPr>
          <w:rFonts w:ascii="Arial" w:hAnsi="Arial" w:cs="Arial"/>
          <w:sz w:val="20"/>
          <w:szCs w:val="20"/>
        </w:rPr>
        <w:t xml:space="preserve">; </w:t>
      </w:r>
      <w:r w:rsidR="00021517" w:rsidRPr="00021517">
        <w:rPr>
          <w:rFonts w:ascii="Arial" w:hAnsi="Arial" w:cs="Arial"/>
          <w:i/>
          <w:iCs/>
          <w:sz w:val="20"/>
          <w:szCs w:val="20"/>
        </w:rPr>
        <w:t>Re Mokbel (No 3)</w:t>
      </w:r>
      <w:r w:rsidR="00021517">
        <w:rPr>
          <w:rFonts w:ascii="Arial" w:hAnsi="Arial" w:cs="Arial"/>
          <w:sz w:val="20"/>
          <w:szCs w:val="20"/>
        </w:rPr>
        <w:t xml:space="preserve"> [2024] VSC 50</w:t>
      </w:r>
      <w:r w:rsidR="00667853">
        <w:rPr>
          <w:rFonts w:ascii="Arial" w:hAnsi="Arial" w:cs="Arial"/>
          <w:sz w:val="20"/>
          <w:szCs w:val="20"/>
        </w:rPr>
        <w:t xml:space="preserve"> and compare </w:t>
      </w:r>
      <w:r w:rsidR="00667853" w:rsidRPr="00667853">
        <w:rPr>
          <w:rFonts w:ascii="Arial" w:hAnsi="Arial" w:cs="Arial"/>
          <w:i/>
          <w:iCs/>
          <w:sz w:val="20"/>
          <w:szCs w:val="20"/>
        </w:rPr>
        <w:t>Lawrence &amp; Hanson Group Pty Ltd v Slade (No 2)</w:t>
      </w:r>
      <w:r w:rsidR="00667853" w:rsidRPr="00667853">
        <w:rPr>
          <w:rFonts w:ascii="Arial" w:hAnsi="Arial" w:cs="Arial"/>
          <w:sz w:val="20"/>
          <w:szCs w:val="20"/>
        </w:rPr>
        <w:t xml:space="preserve"> [2025] VSC 683</w:t>
      </w:r>
      <w:r w:rsidR="00667853">
        <w:rPr>
          <w:rFonts w:ascii="Arial" w:hAnsi="Arial" w:cs="Arial"/>
          <w:sz w:val="20"/>
          <w:szCs w:val="20"/>
        </w:rPr>
        <w:t xml:space="preserve"> at [13]-[27].</w:t>
      </w:r>
    </w:p>
    <w:p w14:paraId="5EDCC8AF" w14:textId="1477828C" w:rsidR="00D13FB8" w:rsidRDefault="00D13FB8" w:rsidP="00D13FB8">
      <w:pPr>
        <w:jc w:val="both"/>
        <w:rPr>
          <w:rFonts w:ascii="Arial" w:hAnsi="Arial" w:cs="Arial"/>
          <w:color w:val="000000"/>
          <w:sz w:val="20"/>
        </w:rPr>
      </w:pPr>
    </w:p>
    <w:p w14:paraId="532B8F75" w14:textId="2319426D" w:rsidR="00255E07" w:rsidRPr="00E25A51" w:rsidRDefault="009B592C" w:rsidP="00255E07">
      <w:pPr>
        <w:jc w:val="both"/>
        <w:rPr>
          <w:rFonts w:ascii="Arial" w:hAnsi="Arial" w:cs="Arial"/>
          <w:sz w:val="20"/>
          <w:szCs w:val="20"/>
        </w:rPr>
      </w:pPr>
      <w:r w:rsidRPr="00ED2572">
        <w:rPr>
          <w:rFonts w:ascii="Arial" w:hAnsi="Arial" w:cs="Arial"/>
          <w:sz w:val="20"/>
          <w:szCs w:val="20"/>
        </w:rPr>
        <w:t xml:space="preserve">In </w:t>
      </w:r>
      <w:r w:rsidR="00ED2572" w:rsidRPr="00ED2572">
        <w:rPr>
          <w:rFonts w:ascii="Arial" w:hAnsi="Arial" w:cs="Arial"/>
          <w:i/>
          <w:iCs/>
          <w:sz w:val="20"/>
          <w:szCs w:val="20"/>
        </w:rPr>
        <w:t>DPP v Roberts (Ruling No 7)</w:t>
      </w:r>
      <w:r w:rsidR="00ED2572" w:rsidRPr="00ED2572">
        <w:rPr>
          <w:rFonts w:ascii="Arial" w:hAnsi="Arial" w:cs="Arial"/>
          <w:sz w:val="20"/>
          <w:szCs w:val="20"/>
        </w:rPr>
        <w:t xml:space="preserve"> [2022] VSC 60 </w:t>
      </w:r>
      <w:r w:rsidR="00ED2572">
        <w:rPr>
          <w:rFonts w:ascii="Arial" w:hAnsi="Arial" w:cs="Arial"/>
          <w:sz w:val="20"/>
          <w:szCs w:val="20"/>
        </w:rPr>
        <w:t xml:space="preserve">– prior to the retrial of Mr Roberts who had been convicted of the murder of two police officers some 20 years before – a witness Mr George Buchhorn had objected, pursuant to s.128(1) of the </w:t>
      </w:r>
      <w:r w:rsidR="00ED2572" w:rsidRPr="00ED2572">
        <w:rPr>
          <w:rFonts w:ascii="Arial" w:hAnsi="Arial" w:cs="Arial"/>
          <w:i/>
          <w:iCs/>
          <w:sz w:val="20"/>
          <w:szCs w:val="20"/>
        </w:rPr>
        <w:t>Evidence Act 2008</w:t>
      </w:r>
      <w:r w:rsidR="00ED2572">
        <w:rPr>
          <w:rFonts w:ascii="Arial" w:hAnsi="Arial" w:cs="Arial"/>
          <w:sz w:val="20"/>
          <w:szCs w:val="20"/>
        </w:rPr>
        <w:t xml:space="preserve">, </w:t>
      </w:r>
      <w:r w:rsidR="00ED2572" w:rsidRPr="00ED2572">
        <w:rPr>
          <w:rFonts w:ascii="Arial" w:hAnsi="Arial" w:cs="Arial"/>
          <w:sz w:val="20"/>
          <w:szCs w:val="20"/>
        </w:rPr>
        <w:t>to giving evidence on the ground that it may tend to prove that he ha</w:t>
      </w:r>
      <w:r w:rsidR="00ED2572">
        <w:rPr>
          <w:rFonts w:ascii="Arial" w:hAnsi="Arial" w:cs="Arial"/>
          <w:sz w:val="20"/>
          <w:szCs w:val="20"/>
        </w:rPr>
        <w:t>d</w:t>
      </w:r>
      <w:r w:rsidR="00ED2572" w:rsidRPr="00ED2572">
        <w:rPr>
          <w:rFonts w:ascii="Arial" w:hAnsi="Arial" w:cs="Arial"/>
          <w:sz w:val="20"/>
          <w:szCs w:val="20"/>
        </w:rPr>
        <w:t xml:space="preserve"> committed an offence arising under an Australian law.</w:t>
      </w:r>
      <w:r w:rsidR="00ED2572">
        <w:rPr>
          <w:rFonts w:ascii="Arial" w:hAnsi="Arial" w:cs="Arial"/>
          <w:sz w:val="20"/>
          <w:szCs w:val="20"/>
        </w:rPr>
        <w:t xml:space="preserve">  Prior to the first trial Mr Buchhorn had been a Detective Sergeant of police stationed at the Homicide Squad whose duties included the </w:t>
      </w:r>
      <w:r w:rsidR="00ED2572" w:rsidRPr="00ED2572">
        <w:rPr>
          <w:rFonts w:ascii="Arial" w:hAnsi="Arial" w:cs="Arial"/>
          <w:sz w:val="20"/>
          <w:szCs w:val="20"/>
        </w:rPr>
        <w:t>preparation of a prosecution brief which itself involved the coordination of witness statements and evidence.</w:t>
      </w:r>
      <w:r w:rsidR="00ED2572">
        <w:rPr>
          <w:rFonts w:ascii="Arial" w:hAnsi="Arial" w:cs="Arial"/>
          <w:sz w:val="20"/>
          <w:szCs w:val="20"/>
        </w:rPr>
        <w:t xml:space="preserve">  He had given evidence in a compulsory examination before the Independent Broad-based Anti-corruption Commission which had </w:t>
      </w:r>
      <w:r w:rsidR="00255E07" w:rsidRPr="00255E07">
        <w:rPr>
          <w:rFonts w:ascii="Arial" w:hAnsi="Arial" w:cs="Arial"/>
          <w:sz w:val="20"/>
          <w:szCs w:val="20"/>
        </w:rPr>
        <w:t xml:space="preserve">conducted an investigation into the compilation of statements by the police members who gave evidence relating to the dying declarations of Senior Constable Miller, and in particular, concerning relevant alterations that had been made to those statements before they were included in the police brief. The findings made by IBAC, and the evidence that was adduced before it, constituted the basis of </w:t>
      </w:r>
      <w:r w:rsidR="00255E07">
        <w:rPr>
          <w:rFonts w:ascii="Arial" w:hAnsi="Arial" w:cs="Arial"/>
          <w:sz w:val="20"/>
          <w:szCs w:val="20"/>
        </w:rPr>
        <w:t>Mr Roberts’</w:t>
      </w:r>
      <w:r w:rsidR="00255E07" w:rsidRPr="00255E07">
        <w:rPr>
          <w:rFonts w:ascii="Arial" w:hAnsi="Arial" w:cs="Arial"/>
          <w:sz w:val="20"/>
          <w:szCs w:val="20"/>
        </w:rPr>
        <w:t xml:space="preserve"> second and successful appeal to the Court of Appeal against his conviction for the murders of Sergeant Silk and Senior Constable Miller</w:t>
      </w:r>
      <w:r w:rsidR="00255E07">
        <w:rPr>
          <w:rFonts w:ascii="Arial" w:hAnsi="Arial" w:cs="Arial"/>
          <w:sz w:val="20"/>
          <w:szCs w:val="20"/>
        </w:rPr>
        <w:t>: see [2020] VSCA 277, especially at [149]</w:t>
      </w:r>
      <w:r w:rsidR="00255E07" w:rsidRPr="00255E07">
        <w:rPr>
          <w:rFonts w:ascii="Arial" w:hAnsi="Arial" w:cs="Arial"/>
          <w:sz w:val="20"/>
          <w:szCs w:val="20"/>
        </w:rPr>
        <w:t>.</w:t>
      </w:r>
      <w:r w:rsidR="00255E07">
        <w:rPr>
          <w:rFonts w:ascii="Arial" w:hAnsi="Arial" w:cs="Arial"/>
          <w:sz w:val="20"/>
          <w:szCs w:val="20"/>
        </w:rPr>
        <w:t xml:space="preserve">  In </w:t>
      </w:r>
      <w:r w:rsidR="00255E07" w:rsidRPr="00255E07">
        <w:rPr>
          <w:rFonts w:ascii="Arial" w:hAnsi="Arial" w:cs="Arial"/>
          <w:i/>
          <w:iCs/>
          <w:sz w:val="20"/>
          <w:szCs w:val="20"/>
        </w:rPr>
        <w:t>Ruling No 7</w:t>
      </w:r>
      <w:r w:rsidR="00255E07">
        <w:rPr>
          <w:rFonts w:ascii="Arial" w:hAnsi="Arial" w:cs="Arial"/>
          <w:sz w:val="20"/>
          <w:szCs w:val="20"/>
        </w:rPr>
        <w:t xml:space="preserve"> Kaye JA </w:t>
      </w:r>
      <w:r w:rsidR="006D2666">
        <w:rPr>
          <w:rFonts w:ascii="Arial" w:hAnsi="Arial" w:cs="Arial"/>
          <w:sz w:val="20"/>
          <w:szCs w:val="20"/>
        </w:rPr>
        <w:t xml:space="preserve">held at [38]-[39] that </w:t>
      </w:r>
      <w:r w:rsidR="00E25A51">
        <w:rPr>
          <w:rFonts w:ascii="Arial" w:hAnsi="Arial" w:cs="Arial"/>
          <w:sz w:val="20"/>
          <w:szCs w:val="20"/>
        </w:rPr>
        <w:t>if counsel for Mr</w:t>
      </w:r>
      <w:r w:rsidR="000C6EB9">
        <w:rPr>
          <w:rFonts w:ascii="Arial" w:hAnsi="Arial" w:cs="Arial"/>
          <w:sz w:val="20"/>
          <w:szCs w:val="20"/>
        </w:rPr>
        <w:t> </w:t>
      </w:r>
      <w:r w:rsidR="00E25A51">
        <w:rPr>
          <w:rFonts w:ascii="Arial" w:hAnsi="Arial" w:cs="Arial"/>
          <w:sz w:val="20"/>
          <w:szCs w:val="20"/>
        </w:rPr>
        <w:t>Roberts were precluded from questioning Mr Buchorn in relation to the matters that are the subject of objection, Mr Roberts would not be afforded a fair trial.  Accordingly, the interests of justice require</w:t>
      </w:r>
      <w:r w:rsidR="000C6EB9">
        <w:rPr>
          <w:rFonts w:ascii="Arial" w:hAnsi="Arial" w:cs="Arial"/>
          <w:sz w:val="20"/>
          <w:szCs w:val="20"/>
        </w:rPr>
        <w:t>d</w:t>
      </w:r>
      <w:r w:rsidR="00E25A51">
        <w:rPr>
          <w:rFonts w:ascii="Arial" w:hAnsi="Arial" w:cs="Arial"/>
          <w:sz w:val="20"/>
          <w:szCs w:val="20"/>
        </w:rPr>
        <w:t xml:space="preserve"> that Mr Buchhorn give evidence concerning each of those matters.  His Honour concluded at</w:t>
      </w:r>
      <w:r w:rsidR="00255E07">
        <w:rPr>
          <w:rFonts w:ascii="Arial" w:hAnsi="Arial" w:cs="Arial"/>
          <w:sz w:val="20"/>
          <w:szCs w:val="20"/>
        </w:rPr>
        <w:t xml:space="preserve"> [40]:</w:t>
      </w:r>
    </w:p>
    <w:p w14:paraId="401A40F7" w14:textId="446EF2AF" w:rsidR="00255E07" w:rsidRPr="00255E07" w:rsidRDefault="00255E07">
      <w:pPr>
        <w:pStyle w:val="ListParagraph"/>
        <w:numPr>
          <w:ilvl w:val="0"/>
          <w:numId w:val="88"/>
        </w:numPr>
        <w:spacing w:before="60"/>
        <w:ind w:left="924" w:right="567" w:hanging="357"/>
        <w:jc w:val="both"/>
        <w:rPr>
          <w:rFonts w:ascii="Arial" w:hAnsi="Arial" w:cs="Arial"/>
          <w:sz w:val="16"/>
          <w:szCs w:val="16"/>
        </w:rPr>
      </w:pPr>
      <w:r w:rsidRPr="00255E07">
        <w:rPr>
          <w:rFonts w:ascii="Arial" w:hAnsi="Arial" w:cs="Arial"/>
          <w:sz w:val="20"/>
        </w:rPr>
        <w:t>I uphold the objection by Mr Buchhorn to giving evidence in relation to the nine matters specified in paragraph 14 of these reasons.</w:t>
      </w:r>
    </w:p>
    <w:p w14:paraId="09701DA1" w14:textId="49C7C8CE" w:rsidR="00255E07" w:rsidRPr="00255E07" w:rsidRDefault="00255E07">
      <w:pPr>
        <w:pStyle w:val="ListParagraph"/>
        <w:numPr>
          <w:ilvl w:val="0"/>
          <w:numId w:val="88"/>
        </w:numPr>
        <w:spacing w:before="60"/>
        <w:ind w:left="924" w:right="567" w:hanging="357"/>
        <w:jc w:val="both"/>
        <w:rPr>
          <w:rFonts w:ascii="Arial" w:hAnsi="Arial" w:cs="Arial"/>
          <w:sz w:val="16"/>
          <w:szCs w:val="16"/>
        </w:rPr>
      </w:pPr>
      <w:r w:rsidRPr="00255E07">
        <w:rPr>
          <w:rFonts w:ascii="Arial" w:hAnsi="Arial" w:cs="Arial"/>
          <w:sz w:val="20"/>
        </w:rPr>
        <w:t xml:space="preserve">It is in the interests of justice that </w:t>
      </w:r>
      <w:r>
        <w:rPr>
          <w:rFonts w:ascii="Arial" w:hAnsi="Arial" w:cs="Arial"/>
          <w:sz w:val="20"/>
        </w:rPr>
        <w:t xml:space="preserve">Mr </w:t>
      </w:r>
      <w:r w:rsidRPr="00255E07">
        <w:rPr>
          <w:rFonts w:ascii="Arial" w:hAnsi="Arial" w:cs="Arial"/>
          <w:sz w:val="20"/>
        </w:rPr>
        <w:t xml:space="preserve">Buchhorn give evidence concerning each of those matters. </w:t>
      </w:r>
      <w:r>
        <w:rPr>
          <w:rFonts w:ascii="Arial" w:hAnsi="Arial" w:cs="Arial"/>
          <w:sz w:val="20"/>
        </w:rPr>
        <w:t xml:space="preserve"> </w:t>
      </w:r>
      <w:r w:rsidRPr="00255E07">
        <w:rPr>
          <w:rFonts w:ascii="Arial" w:hAnsi="Arial" w:cs="Arial"/>
          <w:sz w:val="20"/>
        </w:rPr>
        <w:t xml:space="preserve">Accordingly, I direct that </w:t>
      </w:r>
      <w:r>
        <w:rPr>
          <w:rFonts w:ascii="Arial" w:hAnsi="Arial" w:cs="Arial"/>
          <w:sz w:val="20"/>
        </w:rPr>
        <w:t xml:space="preserve">Mr </w:t>
      </w:r>
      <w:r w:rsidRPr="00255E07">
        <w:rPr>
          <w:rFonts w:ascii="Arial" w:hAnsi="Arial" w:cs="Arial"/>
          <w:sz w:val="20"/>
        </w:rPr>
        <w:t xml:space="preserve">Buchhorn be required to give evidence in relation to those matters, and I shall cause </w:t>
      </w:r>
      <w:r>
        <w:rPr>
          <w:rFonts w:ascii="Arial" w:hAnsi="Arial" w:cs="Arial"/>
          <w:sz w:val="20"/>
        </w:rPr>
        <w:t xml:space="preserve">Mr </w:t>
      </w:r>
      <w:r w:rsidRPr="00255E07">
        <w:rPr>
          <w:rFonts w:ascii="Arial" w:hAnsi="Arial" w:cs="Arial"/>
          <w:sz w:val="20"/>
        </w:rPr>
        <w:t xml:space="preserve">Buchhorn to be given a certificate under s 128 of the </w:t>
      </w:r>
      <w:r w:rsidRPr="00255E07">
        <w:rPr>
          <w:rFonts w:ascii="Arial" w:hAnsi="Arial" w:cs="Arial"/>
          <w:i/>
          <w:iCs/>
          <w:sz w:val="20"/>
        </w:rPr>
        <w:t>Evidence Act</w:t>
      </w:r>
      <w:r w:rsidRPr="00255E07">
        <w:rPr>
          <w:rFonts w:ascii="Arial" w:hAnsi="Arial" w:cs="Arial"/>
          <w:sz w:val="20"/>
        </w:rPr>
        <w:t xml:space="preserve"> in respect of that evidence.</w:t>
      </w:r>
    </w:p>
    <w:p w14:paraId="67665E71" w14:textId="479EF448" w:rsidR="00255E07" w:rsidRDefault="00255E07" w:rsidP="00CA55B0">
      <w:pPr>
        <w:jc w:val="both"/>
        <w:rPr>
          <w:rFonts w:ascii="Arial" w:hAnsi="Arial" w:cs="Arial"/>
          <w:sz w:val="20"/>
        </w:rPr>
      </w:pPr>
    </w:p>
    <w:p w14:paraId="380E4D64" w14:textId="4BFEFA45" w:rsidR="007672DA" w:rsidRDefault="007672DA" w:rsidP="00CA55B0">
      <w:pPr>
        <w:jc w:val="both"/>
        <w:rPr>
          <w:rFonts w:ascii="Arial" w:hAnsi="Arial" w:cs="Arial"/>
          <w:sz w:val="20"/>
        </w:rPr>
      </w:pPr>
      <w:r>
        <w:rPr>
          <w:rFonts w:ascii="Arial" w:hAnsi="Arial" w:cs="Arial"/>
          <w:sz w:val="20"/>
        </w:rPr>
        <w:lastRenderedPageBreak/>
        <w:t xml:space="preserve">See also </w:t>
      </w:r>
      <w:r w:rsidRPr="007672DA">
        <w:rPr>
          <w:rFonts w:ascii="Arial" w:hAnsi="Arial" w:cs="Arial"/>
          <w:i/>
          <w:iCs/>
          <w:sz w:val="20"/>
        </w:rPr>
        <w:t>X7 v Australian Crime Commission</w:t>
      </w:r>
      <w:r>
        <w:rPr>
          <w:rFonts w:ascii="Arial" w:hAnsi="Arial" w:cs="Arial"/>
          <w:sz w:val="20"/>
        </w:rPr>
        <w:t xml:space="preserve"> (2013) 248 CLR 92; </w:t>
      </w:r>
      <w:r w:rsidR="00595FF5">
        <w:rPr>
          <w:rFonts w:ascii="Arial" w:hAnsi="Arial" w:cs="Arial"/>
          <w:i/>
          <w:iCs/>
          <w:sz w:val="20"/>
        </w:rPr>
        <w:t xml:space="preserve">Villan v State of Victoria </w:t>
      </w:r>
      <w:r w:rsidR="00595FF5" w:rsidRPr="00595FF5">
        <w:rPr>
          <w:rFonts w:ascii="Arial" w:hAnsi="Arial" w:cs="Arial"/>
          <w:sz w:val="20"/>
        </w:rPr>
        <w:t xml:space="preserve">[2021] VSC 354 &amp; </w:t>
      </w:r>
      <w:r w:rsidR="00595FF5">
        <w:rPr>
          <w:rFonts w:ascii="Arial" w:hAnsi="Arial" w:cs="Arial"/>
          <w:i/>
          <w:iCs/>
          <w:sz w:val="20"/>
        </w:rPr>
        <w:t>S</w:t>
      </w:r>
      <w:r w:rsidRPr="007672DA">
        <w:rPr>
          <w:rFonts w:ascii="Arial" w:hAnsi="Arial" w:cs="Arial"/>
          <w:i/>
          <w:iCs/>
          <w:sz w:val="20"/>
        </w:rPr>
        <w:t>tate of Victoria</w:t>
      </w:r>
      <w:r>
        <w:rPr>
          <w:rFonts w:ascii="Arial" w:hAnsi="Arial" w:cs="Arial"/>
          <w:sz w:val="20"/>
        </w:rPr>
        <w:t xml:space="preserve"> </w:t>
      </w:r>
      <w:r w:rsidR="00595FF5" w:rsidRPr="00595FF5">
        <w:rPr>
          <w:rFonts w:ascii="Arial" w:hAnsi="Arial" w:cs="Arial"/>
          <w:i/>
          <w:iCs/>
          <w:sz w:val="20"/>
        </w:rPr>
        <w:t xml:space="preserve">v Villan </w:t>
      </w:r>
      <w:r>
        <w:rPr>
          <w:rFonts w:ascii="Arial" w:hAnsi="Arial" w:cs="Arial"/>
          <w:sz w:val="20"/>
        </w:rPr>
        <w:t>[202</w:t>
      </w:r>
      <w:r w:rsidR="00595FF5">
        <w:rPr>
          <w:rFonts w:ascii="Arial" w:hAnsi="Arial" w:cs="Arial"/>
          <w:sz w:val="20"/>
        </w:rPr>
        <w:t>2</w:t>
      </w:r>
      <w:r>
        <w:rPr>
          <w:rFonts w:ascii="Arial" w:hAnsi="Arial" w:cs="Arial"/>
          <w:sz w:val="20"/>
        </w:rPr>
        <w:t>] VSC</w:t>
      </w:r>
      <w:r w:rsidR="00595FF5">
        <w:rPr>
          <w:rFonts w:ascii="Arial" w:hAnsi="Arial" w:cs="Arial"/>
          <w:sz w:val="20"/>
        </w:rPr>
        <w:t>A</w:t>
      </w:r>
      <w:r>
        <w:rPr>
          <w:rFonts w:ascii="Arial" w:hAnsi="Arial" w:cs="Arial"/>
          <w:sz w:val="20"/>
        </w:rPr>
        <w:t xml:space="preserve"> </w:t>
      </w:r>
      <w:r w:rsidR="00595FF5">
        <w:rPr>
          <w:rFonts w:ascii="Arial" w:hAnsi="Arial" w:cs="Arial"/>
          <w:sz w:val="20"/>
        </w:rPr>
        <w:t>106</w:t>
      </w:r>
      <w:r>
        <w:rPr>
          <w:rFonts w:ascii="Arial" w:hAnsi="Arial" w:cs="Arial"/>
          <w:sz w:val="20"/>
        </w:rPr>
        <w:t xml:space="preserve">; </w:t>
      </w:r>
      <w:r w:rsidR="00595FF5" w:rsidRPr="00595FF5">
        <w:rPr>
          <w:rFonts w:ascii="Arial" w:hAnsi="Arial" w:cs="Arial"/>
          <w:i/>
          <w:iCs/>
          <w:sz w:val="20"/>
        </w:rPr>
        <w:t>Lucciano v R</w:t>
      </w:r>
      <w:r w:rsidR="00595FF5">
        <w:rPr>
          <w:rFonts w:ascii="Arial" w:hAnsi="Arial" w:cs="Arial"/>
          <w:sz w:val="20"/>
        </w:rPr>
        <w:t xml:space="preserve"> [2021] VSCA 12; </w:t>
      </w:r>
      <w:r w:rsidRPr="007672DA">
        <w:rPr>
          <w:rFonts w:ascii="Arial" w:hAnsi="Arial" w:cs="Arial"/>
          <w:i/>
          <w:iCs/>
          <w:sz w:val="20"/>
        </w:rPr>
        <w:t>Kontis &amp; Anor v Coroners Court of Victoria</w:t>
      </w:r>
      <w:r>
        <w:rPr>
          <w:rFonts w:ascii="Arial" w:hAnsi="Arial" w:cs="Arial"/>
          <w:sz w:val="20"/>
        </w:rPr>
        <w:t xml:space="preserve"> [2022] VSC 422 esp. at [142]</w:t>
      </w:r>
      <w:r w:rsidR="00595FF5">
        <w:rPr>
          <w:rFonts w:ascii="Arial" w:hAnsi="Arial" w:cs="Arial"/>
          <w:sz w:val="20"/>
        </w:rPr>
        <w:t>.</w:t>
      </w:r>
    </w:p>
    <w:p w14:paraId="0A20E818" w14:textId="0FD40801" w:rsidR="007672DA" w:rsidRDefault="007672DA" w:rsidP="00CA55B0">
      <w:pPr>
        <w:jc w:val="both"/>
        <w:rPr>
          <w:rFonts w:ascii="Arial" w:hAnsi="Arial" w:cs="Arial"/>
          <w:sz w:val="20"/>
        </w:rPr>
      </w:pPr>
    </w:p>
    <w:p w14:paraId="78ABA1FA" w14:textId="77777777" w:rsidR="00CA55B0" w:rsidRDefault="009A6B9B" w:rsidP="00641166">
      <w:pPr>
        <w:pStyle w:val="Heading3"/>
        <w:keepNext/>
        <w:keepLines/>
        <w:widowControl/>
        <w:spacing w:line="240" w:lineRule="auto"/>
        <w:rPr>
          <w:rFonts w:ascii="Arial" w:hAnsi="Arial" w:cs="Arial"/>
          <w:b/>
          <w:bCs/>
          <w:sz w:val="20"/>
        </w:rPr>
      </w:pPr>
      <w:bookmarkStart w:id="833" w:name="_3.5.10.5__Leave"/>
      <w:bookmarkStart w:id="834" w:name="_3.5.11_Oaths_and"/>
      <w:bookmarkStart w:id="835" w:name="B3511"/>
      <w:bookmarkEnd w:id="833"/>
      <w:bookmarkEnd w:id="834"/>
      <w:bookmarkEnd w:id="835"/>
      <w:r>
        <w:rPr>
          <w:rFonts w:ascii="Arial" w:hAnsi="Arial" w:cs="Arial"/>
          <w:b/>
          <w:bCs/>
          <w:sz w:val="20"/>
        </w:rPr>
        <w:t>3.5.11</w:t>
      </w:r>
      <w:r>
        <w:rPr>
          <w:rFonts w:ascii="Arial" w:hAnsi="Arial" w:cs="Arial"/>
          <w:b/>
          <w:bCs/>
          <w:sz w:val="20"/>
        </w:rPr>
        <w:tab/>
      </w:r>
      <w:r w:rsidR="00AC4447">
        <w:rPr>
          <w:rFonts w:ascii="Arial" w:hAnsi="Arial" w:cs="Arial"/>
          <w:b/>
          <w:bCs/>
          <w:sz w:val="20"/>
        </w:rPr>
        <w:t xml:space="preserve"> </w:t>
      </w:r>
      <w:r w:rsidR="00CA55B0">
        <w:rPr>
          <w:rFonts w:ascii="Arial" w:hAnsi="Arial" w:cs="Arial"/>
          <w:b/>
          <w:bCs/>
          <w:sz w:val="20"/>
        </w:rPr>
        <w:t>Oaths and affirmations</w:t>
      </w:r>
    </w:p>
    <w:p w14:paraId="6B71E808" w14:textId="77777777" w:rsidR="00F82554" w:rsidRPr="00F82554" w:rsidRDefault="00F82554" w:rsidP="000F0BE9">
      <w:pPr>
        <w:keepNext/>
        <w:keepLines/>
        <w:spacing w:before="120"/>
        <w:jc w:val="both"/>
        <w:rPr>
          <w:rFonts w:ascii="Arial" w:hAnsi="Arial" w:cs="Arial"/>
          <w:b/>
          <w:bCs/>
          <w:sz w:val="20"/>
        </w:rPr>
      </w:pPr>
      <w:r w:rsidRPr="003B578F">
        <w:rPr>
          <w:rFonts w:ascii="Arial" w:hAnsi="Arial" w:cs="Arial"/>
          <w:b/>
          <w:bCs/>
          <w:i/>
          <w:iCs/>
          <w:sz w:val="20"/>
          <w:shd w:val="clear" w:color="auto" w:fill="000000"/>
        </w:rPr>
        <w:t>Viva voce</w:t>
      </w:r>
      <w:r w:rsidRPr="003B578F">
        <w:rPr>
          <w:rFonts w:ascii="Arial" w:hAnsi="Arial" w:cs="Arial"/>
          <w:b/>
          <w:bCs/>
          <w:sz w:val="20"/>
          <w:shd w:val="clear" w:color="auto" w:fill="000000"/>
        </w:rPr>
        <w:t xml:space="preserve"> evidence</w:t>
      </w:r>
    </w:p>
    <w:p w14:paraId="0BDF709F" w14:textId="3A585DAC" w:rsidR="00867698" w:rsidRDefault="00CA55B0" w:rsidP="00EA0261">
      <w:pPr>
        <w:keepNext/>
        <w:keepLines/>
        <w:spacing w:before="120"/>
        <w:jc w:val="both"/>
        <w:rPr>
          <w:rFonts w:ascii="Arial" w:hAnsi="Arial" w:cs="Arial"/>
          <w:sz w:val="20"/>
        </w:rPr>
      </w:pPr>
      <w:r>
        <w:rPr>
          <w:rFonts w:ascii="Arial" w:hAnsi="Arial" w:cs="Arial"/>
          <w:sz w:val="20"/>
        </w:rPr>
        <w:t xml:space="preserve">Under s.21 of the </w:t>
      </w:r>
      <w:r w:rsidRPr="00A82F40">
        <w:rPr>
          <w:rFonts w:ascii="Arial" w:hAnsi="Arial" w:cs="Arial"/>
          <w:i/>
          <w:iCs/>
          <w:sz w:val="20"/>
        </w:rPr>
        <w:t>Evidence Act 2008</w:t>
      </w:r>
      <w:r w:rsidRPr="00A82F40">
        <w:rPr>
          <w:rFonts w:ascii="Arial" w:hAnsi="Arial" w:cs="Arial"/>
          <w:sz w:val="20"/>
        </w:rPr>
        <w:t>,</w:t>
      </w:r>
      <w:r>
        <w:rPr>
          <w:rFonts w:ascii="Arial" w:hAnsi="Arial" w:cs="Arial"/>
          <w:sz w:val="20"/>
        </w:rPr>
        <w:t xml:space="preserve"> the sworn evi</w:t>
      </w:r>
      <w:r w:rsidR="00A82F40">
        <w:rPr>
          <w:rFonts w:ascii="Arial" w:hAnsi="Arial" w:cs="Arial"/>
          <w:sz w:val="20"/>
        </w:rPr>
        <w:t>d</w:t>
      </w:r>
      <w:r>
        <w:rPr>
          <w:rFonts w:ascii="Arial" w:hAnsi="Arial" w:cs="Arial"/>
          <w:sz w:val="20"/>
        </w:rPr>
        <w:t>ence of a witness in a proceeding must be either on oath or affirmation.  However a person called merely to produce a document or thing need not take an oath or make an affirmation before doing so.</w:t>
      </w:r>
      <w:r w:rsidR="00867698">
        <w:rPr>
          <w:rFonts w:ascii="Arial" w:hAnsi="Arial" w:cs="Arial"/>
          <w:sz w:val="20"/>
        </w:rPr>
        <w:t xml:space="preserve">  </w:t>
      </w:r>
      <w:r w:rsidR="000D64F2">
        <w:rPr>
          <w:rFonts w:ascii="Arial" w:hAnsi="Arial" w:cs="Arial"/>
          <w:sz w:val="20"/>
        </w:rPr>
        <w:t>Under s.22 a person must either take an oath or make an affirmation before acting as an interpreter in a proceeding.</w:t>
      </w:r>
    </w:p>
    <w:p w14:paraId="15F04507" w14:textId="77777777" w:rsidR="00867698" w:rsidRDefault="00867698" w:rsidP="00867698">
      <w:pPr>
        <w:jc w:val="both"/>
        <w:rPr>
          <w:rFonts w:ascii="Arial" w:hAnsi="Arial" w:cs="Arial"/>
          <w:sz w:val="20"/>
        </w:rPr>
      </w:pPr>
    </w:p>
    <w:p w14:paraId="3D94D909" w14:textId="77777777" w:rsidR="00D731F7" w:rsidRDefault="00867698" w:rsidP="00867698">
      <w:pPr>
        <w:jc w:val="both"/>
        <w:rPr>
          <w:rFonts w:ascii="Arial" w:hAnsi="Arial" w:cs="Arial"/>
          <w:sz w:val="20"/>
        </w:rPr>
      </w:pPr>
      <w:r>
        <w:rPr>
          <w:rFonts w:ascii="Arial" w:hAnsi="Arial" w:cs="Arial"/>
          <w:sz w:val="20"/>
        </w:rPr>
        <w:t>Under s.23, the choice of oath or affirmation is the person’s choice and the court is required to inform the person that he or she has this choice unless the court is satisfied that the person had already been informed or knows that he or she has th</w:t>
      </w:r>
      <w:r w:rsidR="009905D2">
        <w:rPr>
          <w:rFonts w:ascii="Arial" w:hAnsi="Arial" w:cs="Arial"/>
          <w:sz w:val="20"/>
        </w:rPr>
        <w:t>e</w:t>
      </w:r>
      <w:r>
        <w:rPr>
          <w:rFonts w:ascii="Arial" w:hAnsi="Arial" w:cs="Arial"/>
          <w:sz w:val="20"/>
        </w:rPr>
        <w:t xml:space="preserve"> choice.  </w:t>
      </w:r>
      <w:r w:rsidR="000D64F2">
        <w:rPr>
          <w:rFonts w:ascii="Arial" w:hAnsi="Arial" w:cs="Arial"/>
          <w:sz w:val="20"/>
        </w:rPr>
        <w:t xml:space="preserve">The court may direct a person who is to be a witness to make an affirmation if the person refuses to make a choice or </w:t>
      </w:r>
      <w:r w:rsidR="009905D2">
        <w:rPr>
          <w:rFonts w:ascii="Arial" w:hAnsi="Arial" w:cs="Arial"/>
          <w:sz w:val="20"/>
        </w:rPr>
        <w:t xml:space="preserve">if </w:t>
      </w:r>
      <w:r w:rsidR="000D64F2">
        <w:rPr>
          <w:rFonts w:ascii="Arial" w:hAnsi="Arial" w:cs="Arial"/>
          <w:sz w:val="20"/>
        </w:rPr>
        <w:t>it is not reasonably practicable for the person to take an appropriate oath.</w:t>
      </w:r>
    </w:p>
    <w:p w14:paraId="125710A7" w14:textId="77777777" w:rsidR="00CA55B0" w:rsidRDefault="00CA55B0" w:rsidP="00D731F7">
      <w:pPr>
        <w:jc w:val="both"/>
        <w:rPr>
          <w:rFonts w:ascii="Arial" w:hAnsi="Arial" w:cs="Arial"/>
          <w:sz w:val="20"/>
        </w:rPr>
      </w:pPr>
    </w:p>
    <w:p w14:paraId="31269D1A" w14:textId="77777777" w:rsidR="000D64F2" w:rsidRDefault="000D64F2" w:rsidP="00D731F7">
      <w:pPr>
        <w:jc w:val="both"/>
        <w:rPr>
          <w:rFonts w:ascii="Arial" w:hAnsi="Arial" w:cs="Arial"/>
          <w:sz w:val="20"/>
        </w:rPr>
      </w:pPr>
      <w:r>
        <w:rPr>
          <w:rFonts w:ascii="Arial" w:hAnsi="Arial" w:cs="Arial"/>
          <w:sz w:val="20"/>
        </w:rPr>
        <w:t>Under ss.24 &amp; 24A it is not necessary that a religious text be used in taking an oath and a person may take an oath even if the person’s religious or spiritual beliefs do not include a belief in the existence of a god.</w:t>
      </w:r>
    </w:p>
    <w:p w14:paraId="3165BE65" w14:textId="77777777" w:rsidR="000D64F2" w:rsidRDefault="000D64F2" w:rsidP="00D731F7">
      <w:pPr>
        <w:jc w:val="both"/>
        <w:rPr>
          <w:rFonts w:ascii="Arial" w:hAnsi="Arial" w:cs="Arial"/>
          <w:sz w:val="20"/>
        </w:rPr>
      </w:pPr>
    </w:p>
    <w:p w14:paraId="2745FB44" w14:textId="77777777" w:rsidR="00F82554" w:rsidRPr="00F82554" w:rsidRDefault="00F82554" w:rsidP="00D731F7">
      <w:pPr>
        <w:jc w:val="both"/>
        <w:rPr>
          <w:rFonts w:ascii="Arial" w:hAnsi="Arial" w:cs="Arial"/>
          <w:b/>
          <w:bCs/>
          <w:sz w:val="20"/>
        </w:rPr>
      </w:pPr>
      <w:r w:rsidRPr="003B578F">
        <w:rPr>
          <w:rFonts w:ascii="Arial" w:hAnsi="Arial" w:cs="Arial"/>
          <w:b/>
          <w:bCs/>
          <w:sz w:val="20"/>
          <w:shd w:val="clear" w:color="auto" w:fill="000000"/>
        </w:rPr>
        <w:t>Documents</w:t>
      </w:r>
    </w:p>
    <w:p w14:paraId="42C5199F" w14:textId="5BF55875" w:rsidR="00F82554" w:rsidRDefault="00F82554" w:rsidP="00F82554">
      <w:pPr>
        <w:spacing w:before="120"/>
        <w:jc w:val="both"/>
        <w:rPr>
          <w:rFonts w:ascii="Arial" w:hAnsi="Arial" w:cs="Arial"/>
          <w:sz w:val="20"/>
        </w:rPr>
      </w:pPr>
      <w:r>
        <w:rPr>
          <w:rFonts w:ascii="Arial" w:hAnsi="Arial" w:cs="Arial"/>
          <w:sz w:val="20"/>
        </w:rPr>
        <w:t xml:space="preserve">The purposes of the </w:t>
      </w:r>
      <w:r w:rsidRPr="00A82F40">
        <w:rPr>
          <w:rFonts w:ascii="Arial" w:hAnsi="Arial" w:cs="Arial"/>
          <w:i/>
          <w:iCs/>
          <w:sz w:val="20"/>
        </w:rPr>
        <w:t xml:space="preserve">Oaths and Affirmations Act 2018 </w:t>
      </w:r>
      <w:r>
        <w:rPr>
          <w:rFonts w:ascii="Arial" w:hAnsi="Arial" w:cs="Arial"/>
          <w:sz w:val="20"/>
        </w:rPr>
        <w:t>include:</w:t>
      </w:r>
    </w:p>
    <w:p w14:paraId="1E74D243" w14:textId="77777777" w:rsidR="00F82554" w:rsidRDefault="00F82554">
      <w:pPr>
        <w:numPr>
          <w:ilvl w:val="0"/>
          <w:numId w:val="58"/>
        </w:numPr>
        <w:ind w:left="357" w:hanging="357"/>
        <w:jc w:val="both"/>
        <w:rPr>
          <w:rFonts w:ascii="Arial" w:hAnsi="Arial" w:cs="Arial"/>
          <w:sz w:val="20"/>
        </w:rPr>
      </w:pPr>
      <w:r>
        <w:rPr>
          <w:rFonts w:ascii="Arial" w:hAnsi="Arial" w:cs="Arial"/>
          <w:sz w:val="20"/>
        </w:rPr>
        <w:t>the re-enactment and modernisation of the law relating to oaths, affirmations, affidavits and statutory declarations; and</w:t>
      </w:r>
    </w:p>
    <w:p w14:paraId="02B32498" w14:textId="77777777" w:rsidR="00F82554" w:rsidRDefault="00F82554">
      <w:pPr>
        <w:numPr>
          <w:ilvl w:val="0"/>
          <w:numId w:val="58"/>
        </w:numPr>
        <w:ind w:left="357" w:hanging="357"/>
        <w:jc w:val="both"/>
        <w:rPr>
          <w:rFonts w:ascii="Arial" w:hAnsi="Arial" w:cs="Arial"/>
          <w:sz w:val="20"/>
        </w:rPr>
      </w:pPr>
      <w:r>
        <w:rPr>
          <w:rFonts w:ascii="Arial" w:hAnsi="Arial" w:cs="Arial"/>
          <w:sz w:val="20"/>
        </w:rPr>
        <w:t>the establishment of a scheme for the certification of copies of documents.</w:t>
      </w:r>
    </w:p>
    <w:p w14:paraId="2D8F7CF0" w14:textId="77777777" w:rsidR="00F82554" w:rsidRDefault="00F82554" w:rsidP="00D731F7">
      <w:pPr>
        <w:jc w:val="both"/>
        <w:rPr>
          <w:rFonts w:ascii="Arial" w:hAnsi="Arial" w:cs="Arial"/>
          <w:sz w:val="20"/>
        </w:rPr>
      </w:pPr>
    </w:p>
    <w:p w14:paraId="74B8D2FC" w14:textId="77777777" w:rsidR="00F82554" w:rsidRDefault="00245936" w:rsidP="00D731F7">
      <w:pPr>
        <w:jc w:val="both"/>
        <w:rPr>
          <w:rFonts w:ascii="Arial" w:hAnsi="Arial" w:cs="Arial"/>
          <w:sz w:val="20"/>
        </w:rPr>
      </w:pPr>
      <w:r>
        <w:rPr>
          <w:rFonts w:ascii="Arial" w:hAnsi="Arial" w:cs="Arial"/>
          <w:sz w:val="20"/>
        </w:rPr>
        <w:t xml:space="preserve">Sections 25-27 of the OAA permit affidavits and statutory declarations to be validly made by audio visual link subject to various provisos.  In connection with this the </w:t>
      </w:r>
      <w:r w:rsidRPr="00A82F40">
        <w:rPr>
          <w:rFonts w:ascii="Arial" w:hAnsi="Arial" w:cs="Arial"/>
          <w:i/>
          <w:iCs/>
          <w:sz w:val="20"/>
        </w:rPr>
        <w:t>Electronic Transactions (Victoria) Act 2000</w:t>
      </w:r>
      <w:r>
        <w:rPr>
          <w:rFonts w:ascii="Arial" w:hAnsi="Arial" w:cs="Arial"/>
          <w:sz w:val="20"/>
        </w:rPr>
        <w:t xml:space="preserve"> now permits witnessing by audio visual link and the use of electronic signatures subject to various provisos.</w:t>
      </w:r>
    </w:p>
    <w:p w14:paraId="71830F8B" w14:textId="77777777" w:rsidR="00245936" w:rsidRPr="00BF428E" w:rsidRDefault="00245936" w:rsidP="00D731F7">
      <w:pPr>
        <w:jc w:val="both"/>
        <w:rPr>
          <w:rFonts w:ascii="Arial" w:hAnsi="Arial" w:cs="Arial"/>
          <w:sz w:val="20"/>
        </w:rPr>
      </w:pPr>
    </w:p>
    <w:p w14:paraId="4BF84D64" w14:textId="77777777" w:rsidR="00D731F7" w:rsidRDefault="00D731F7" w:rsidP="00183219">
      <w:pPr>
        <w:pStyle w:val="Heading3"/>
        <w:keepNext/>
        <w:keepLines/>
        <w:widowControl/>
        <w:spacing w:after="120" w:line="240" w:lineRule="auto"/>
        <w:rPr>
          <w:rFonts w:ascii="Arial" w:hAnsi="Arial" w:cs="Arial"/>
          <w:b/>
          <w:bCs/>
          <w:sz w:val="20"/>
        </w:rPr>
      </w:pPr>
      <w:bookmarkStart w:id="836" w:name="_3.5.12_Appearance_or"/>
      <w:bookmarkStart w:id="837" w:name="B3512"/>
      <w:bookmarkEnd w:id="836"/>
      <w:bookmarkEnd w:id="837"/>
      <w:r>
        <w:rPr>
          <w:rFonts w:ascii="Arial" w:hAnsi="Arial" w:cs="Arial"/>
          <w:b/>
          <w:bCs/>
          <w:sz w:val="20"/>
        </w:rPr>
        <w:t>3.5.1</w:t>
      </w:r>
      <w:r w:rsidR="009A6B9B">
        <w:rPr>
          <w:rFonts w:ascii="Arial" w:hAnsi="Arial" w:cs="Arial"/>
          <w:b/>
          <w:bCs/>
          <w:sz w:val="20"/>
        </w:rPr>
        <w:t>2</w:t>
      </w:r>
      <w:r w:rsidR="00AC4447">
        <w:rPr>
          <w:rFonts w:ascii="Arial" w:hAnsi="Arial" w:cs="Arial"/>
          <w:b/>
          <w:bCs/>
          <w:sz w:val="20"/>
        </w:rPr>
        <w:t xml:space="preserve"> </w:t>
      </w:r>
      <w:r>
        <w:rPr>
          <w:rFonts w:ascii="Arial" w:hAnsi="Arial" w:cs="Arial"/>
          <w:b/>
          <w:bCs/>
          <w:sz w:val="20"/>
        </w:rPr>
        <w:tab/>
      </w:r>
      <w:r w:rsidR="00C144CF">
        <w:rPr>
          <w:rFonts w:ascii="Arial" w:hAnsi="Arial" w:cs="Arial"/>
          <w:b/>
          <w:bCs/>
          <w:sz w:val="20"/>
        </w:rPr>
        <w:t>Appearance or giving evidence in other than the traditional manner</w:t>
      </w:r>
    </w:p>
    <w:p w14:paraId="0FBDE5F3" w14:textId="2761C2B6" w:rsidR="002D140D" w:rsidRDefault="005B06C8" w:rsidP="0020725F">
      <w:pPr>
        <w:jc w:val="both"/>
        <w:rPr>
          <w:rFonts w:ascii="Arial" w:hAnsi="Arial" w:cs="Arial"/>
          <w:sz w:val="20"/>
        </w:rPr>
      </w:pPr>
      <w:r>
        <w:rPr>
          <w:rFonts w:ascii="Arial" w:hAnsi="Arial" w:cs="Arial"/>
          <w:sz w:val="20"/>
        </w:rPr>
        <w:t>In addition to</w:t>
      </w:r>
      <w:r w:rsidR="002D140D">
        <w:rPr>
          <w:rFonts w:ascii="Arial" w:hAnsi="Arial" w:cs="Arial"/>
          <w:sz w:val="20"/>
        </w:rPr>
        <w:t xml:space="preserve"> the provisions (discussed in </w:t>
      </w:r>
      <w:r w:rsidRPr="005B06C8">
        <w:rPr>
          <w:rFonts w:ascii="Arial" w:hAnsi="Arial" w:cs="Arial"/>
          <w:b/>
          <w:bCs/>
          <w:sz w:val="20"/>
          <w:shd w:val="clear" w:color="auto" w:fill="C5E0B3"/>
        </w:rPr>
        <w:t>sections 3.5.5 &amp; 3.5.8</w:t>
      </w:r>
      <w:r w:rsidR="002D140D">
        <w:rPr>
          <w:rFonts w:ascii="Arial" w:hAnsi="Arial" w:cs="Arial"/>
          <w:sz w:val="20"/>
        </w:rPr>
        <w:t xml:space="preserve">) which relate to the giving of evidence by </w:t>
      </w:r>
      <w:r w:rsidR="00556BDC">
        <w:rPr>
          <w:rFonts w:ascii="Arial" w:hAnsi="Arial" w:cs="Arial"/>
          <w:sz w:val="20"/>
        </w:rPr>
        <w:t>audio or audio</w:t>
      </w:r>
      <w:r w:rsidR="00712515">
        <w:rPr>
          <w:rFonts w:ascii="Arial" w:hAnsi="Arial" w:cs="Arial"/>
          <w:sz w:val="20"/>
        </w:rPr>
        <w:t xml:space="preserve"> </w:t>
      </w:r>
      <w:r w:rsidR="00556BDC">
        <w:rPr>
          <w:rFonts w:ascii="Arial" w:hAnsi="Arial" w:cs="Arial"/>
          <w:sz w:val="20"/>
        </w:rPr>
        <w:t>visual recording in certain cases</w:t>
      </w:r>
      <w:r w:rsidR="002D140D">
        <w:rPr>
          <w:rFonts w:ascii="Arial" w:hAnsi="Arial" w:cs="Arial"/>
          <w:sz w:val="20"/>
        </w:rPr>
        <w:t xml:space="preserve">, there are three sets of </w:t>
      </w:r>
      <w:r w:rsidR="00556BDC">
        <w:rPr>
          <w:rFonts w:ascii="Arial" w:hAnsi="Arial" w:cs="Arial"/>
          <w:sz w:val="20"/>
        </w:rPr>
        <w:t xml:space="preserve">legislative </w:t>
      </w:r>
      <w:r w:rsidR="002D140D">
        <w:rPr>
          <w:rFonts w:ascii="Arial" w:hAnsi="Arial" w:cs="Arial"/>
          <w:sz w:val="20"/>
        </w:rPr>
        <w:t>provisions which govern appearances and/or the giving of evidence in other than the traditional manner in the courtroom:</w:t>
      </w:r>
    </w:p>
    <w:p w14:paraId="032B4EFB" w14:textId="01CA6FD7" w:rsidR="000E07C8" w:rsidRDefault="002D140D" w:rsidP="00D772F0">
      <w:pPr>
        <w:numPr>
          <w:ilvl w:val="0"/>
          <w:numId w:val="20"/>
        </w:numPr>
        <w:tabs>
          <w:tab w:val="clear" w:pos="720"/>
        </w:tabs>
        <w:ind w:left="357" w:hanging="357"/>
        <w:jc w:val="both"/>
        <w:rPr>
          <w:rFonts w:ascii="Arial" w:hAnsi="Arial" w:cs="Arial"/>
          <w:sz w:val="20"/>
        </w:rPr>
      </w:pPr>
      <w:r>
        <w:rPr>
          <w:rFonts w:ascii="Arial" w:hAnsi="Arial" w:cs="Arial"/>
          <w:sz w:val="20"/>
        </w:rPr>
        <w:t xml:space="preserve">Sections 42D to 42I </w:t>
      </w:r>
      <w:r w:rsidR="00556BDC">
        <w:rPr>
          <w:rFonts w:ascii="Arial" w:hAnsi="Arial" w:cs="Arial"/>
          <w:sz w:val="20"/>
        </w:rPr>
        <w:t xml:space="preserve">of the </w:t>
      </w:r>
      <w:r w:rsidR="00556BDC" w:rsidRPr="00A82F40">
        <w:rPr>
          <w:rFonts w:ascii="Arial" w:hAnsi="Arial" w:cs="Arial"/>
          <w:i/>
          <w:iCs/>
          <w:sz w:val="20"/>
        </w:rPr>
        <w:t>Evidence (Miscellaneous Provisions) Act 1958</w:t>
      </w:r>
      <w:r w:rsidR="00556BDC">
        <w:rPr>
          <w:rFonts w:ascii="Arial" w:hAnsi="Arial" w:cs="Arial"/>
          <w:sz w:val="20"/>
        </w:rPr>
        <w:t xml:space="preserve"> </w:t>
      </w:r>
      <w:r w:rsidR="002C28EF">
        <w:rPr>
          <w:rFonts w:ascii="Arial" w:hAnsi="Arial" w:cs="Arial"/>
          <w:sz w:val="20"/>
        </w:rPr>
        <w:t xml:space="preserve">[‘EMPA’] </w:t>
      </w:r>
      <w:r w:rsidR="00556BDC">
        <w:rPr>
          <w:rFonts w:ascii="Arial" w:hAnsi="Arial" w:cs="Arial"/>
          <w:sz w:val="20"/>
        </w:rPr>
        <w:t>p</w:t>
      </w:r>
      <w:r w:rsidR="000E07C8">
        <w:rPr>
          <w:rFonts w:ascii="Arial" w:hAnsi="Arial" w:cs="Arial"/>
          <w:sz w:val="20"/>
        </w:rPr>
        <w:t>rovide for the appearance, the giving of evidence or making of a submission in a legal proceeding by audio</w:t>
      </w:r>
      <w:r w:rsidR="00712515">
        <w:rPr>
          <w:rFonts w:ascii="Arial" w:hAnsi="Arial" w:cs="Arial"/>
          <w:sz w:val="20"/>
        </w:rPr>
        <w:t xml:space="preserve"> </w:t>
      </w:r>
      <w:r w:rsidR="000E07C8">
        <w:rPr>
          <w:rFonts w:ascii="Arial" w:hAnsi="Arial" w:cs="Arial"/>
          <w:sz w:val="20"/>
        </w:rPr>
        <w:t>visual link or audio link by any person other than the a</w:t>
      </w:r>
      <w:r w:rsidR="00757331">
        <w:rPr>
          <w:rFonts w:ascii="Arial" w:hAnsi="Arial" w:cs="Arial"/>
          <w:sz w:val="20"/>
        </w:rPr>
        <w:t>ccused in a criminal proceeding.</w:t>
      </w:r>
    </w:p>
    <w:p w14:paraId="2F81B366" w14:textId="77777777" w:rsidR="000E07C8" w:rsidRDefault="000E07C8" w:rsidP="00D772F0">
      <w:pPr>
        <w:numPr>
          <w:ilvl w:val="0"/>
          <w:numId w:val="20"/>
        </w:numPr>
        <w:tabs>
          <w:tab w:val="clear" w:pos="720"/>
        </w:tabs>
        <w:ind w:left="357" w:hanging="357"/>
        <w:jc w:val="both"/>
        <w:rPr>
          <w:rFonts w:ascii="Arial" w:hAnsi="Arial" w:cs="Arial"/>
          <w:sz w:val="20"/>
        </w:rPr>
      </w:pPr>
      <w:r>
        <w:rPr>
          <w:rFonts w:ascii="Arial" w:hAnsi="Arial" w:cs="Arial"/>
          <w:sz w:val="20"/>
        </w:rPr>
        <w:t>Sections 42J to 42T</w:t>
      </w:r>
      <w:r w:rsidR="00556BDC">
        <w:rPr>
          <w:rFonts w:ascii="Arial" w:hAnsi="Arial" w:cs="Arial"/>
          <w:sz w:val="20"/>
        </w:rPr>
        <w:t xml:space="preserve"> of the</w:t>
      </w:r>
      <w:r>
        <w:rPr>
          <w:rFonts w:ascii="Arial" w:hAnsi="Arial" w:cs="Arial"/>
          <w:sz w:val="20"/>
        </w:rPr>
        <w:t xml:space="preserve"> </w:t>
      </w:r>
      <w:r w:rsidR="002C28EF">
        <w:rPr>
          <w:rFonts w:ascii="Arial" w:hAnsi="Arial" w:cs="Arial"/>
          <w:sz w:val="20"/>
        </w:rPr>
        <w:t xml:space="preserve">EMPA </w:t>
      </w:r>
      <w:r>
        <w:rPr>
          <w:rFonts w:ascii="Arial" w:hAnsi="Arial" w:cs="Arial"/>
          <w:sz w:val="20"/>
        </w:rPr>
        <w:t xml:space="preserve">provide for the appearance by </w:t>
      </w:r>
      <w:r w:rsidR="009A6B9B">
        <w:rPr>
          <w:rFonts w:ascii="Arial" w:hAnsi="Arial" w:cs="Arial"/>
          <w:sz w:val="20"/>
        </w:rPr>
        <w:t>audio</w:t>
      </w:r>
      <w:r w:rsidR="00712515">
        <w:rPr>
          <w:rFonts w:ascii="Arial" w:hAnsi="Arial" w:cs="Arial"/>
          <w:sz w:val="20"/>
        </w:rPr>
        <w:t xml:space="preserve"> </w:t>
      </w:r>
      <w:r w:rsidR="00522914">
        <w:rPr>
          <w:rFonts w:ascii="Arial" w:hAnsi="Arial" w:cs="Arial"/>
          <w:sz w:val="20"/>
        </w:rPr>
        <w:t xml:space="preserve">visual link </w:t>
      </w:r>
      <w:r>
        <w:rPr>
          <w:rFonts w:ascii="Arial" w:hAnsi="Arial" w:cs="Arial"/>
          <w:sz w:val="20"/>
        </w:rPr>
        <w:t>of an accused person</w:t>
      </w:r>
      <w:r w:rsidR="00522914">
        <w:rPr>
          <w:rFonts w:ascii="Arial" w:hAnsi="Arial" w:cs="Arial"/>
          <w:sz w:val="20"/>
        </w:rPr>
        <w:t xml:space="preserve"> in a criminal proceeding in certain circumstances.</w:t>
      </w:r>
    </w:p>
    <w:p w14:paraId="1DCC1D16" w14:textId="6E18C298" w:rsidR="000E07C8" w:rsidRDefault="000E07C8" w:rsidP="00D772F0">
      <w:pPr>
        <w:numPr>
          <w:ilvl w:val="0"/>
          <w:numId w:val="20"/>
        </w:numPr>
        <w:tabs>
          <w:tab w:val="clear" w:pos="720"/>
        </w:tabs>
        <w:ind w:left="357" w:hanging="357"/>
        <w:jc w:val="both"/>
        <w:rPr>
          <w:rFonts w:ascii="Arial" w:hAnsi="Arial" w:cs="Arial"/>
          <w:sz w:val="20"/>
        </w:rPr>
      </w:pPr>
      <w:r>
        <w:rPr>
          <w:rFonts w:ascii="Arial" w:hAnsi="Arial" w:cs="Arial"/>
          <w:sz w:val="20"/>
        </w:rPr>
        <w:t xml:space="preserve">Sections </w:t>
      </w:r>
      <w:r w:rsidR="000C6196">
        <w:rPr>
          <w:rFonts w:ascii="Arial" w:hAnsi="Arial" w:cs="Arial"/>
          <w:sz w:val="20"/>
        </w:rPr>
        <w:t xml:space="preserve">359-365 of the </w:t>
      </w:r>
      <w:r w:rsidR="000C6196" w:rsidRPr="00A82F40">
        <w:rPr>
          <w:rFonts w:ascii="Arial" w:hAnsi="Arial" w:cs="Arial"/>
          <w:i/>
          <w:iCs/>
          <w:sz w:val="20"/>
        </w:rPr>
        <w:t>Criminal Procedure Act 2009</w:t>
      </w:r>
      <w:r w:rsidR="00A82F40" w:rsidRPr="00A82F40">
        <w:rPr>
          <w:rFonts w:ascii="Arial" w:hAnsi="Arial" w:cs="Arial"/>
          <w:sz w:val="20"/>
        </w:rPr>
        <w:t xml:space="preserve"> </w:t>
      </w:r>
      <w:r w:rsidR="00FE6933">
        <w:rPr>
          <w:rFonts w:ascii="Arial" w:hAnsi="Arial" w:cs="Arial"/>
          <w:sz w:val="20"/>
        </w:rPr>
        <w:t xml:space="preserve">provide alternative arrangements for </w:t>
      </w:r>
      <w:r>
        <w:rPr>
          <w:rFonts w:ascii="Arial" w:hAnsi="Arial" w:cs="Arial"/>
          <w:sz w:val="20"/>
        </w:rPr>
        <w:t xml:space="preserve">certain </w:t>
      </w:r>
      <w:r w:rsidR="00FE6933">
        <w:rPr>
          <w:rFonts w:ascii="Arial" w:hAnsi="Arial" w:cs="Arial"/>
          <w:sz w:val="20"/>
        </w:rPr>
        <w:t xml:space="preserve">witnesses to give evidence in </w:t>
      </w:r>
      <w:r w:rsidR="003550C2">
        <w:rPr>
          <w:rFonts w:ascii="Arial" w:hAnsi="Arial" w:cs="Arial"/>
          <w:sz w:val="20"/>
        </w:rPr>
        <w:t xml:space="preserve">certain criminal proceedings in </w:t>
      </w:r>
      <w:r w:rsidR="00FE6933">
        <w:rPr>
          <w:rFonts w:ascii="Arial" w:hAnsi="Arial" w:cs="Arial"/>
          <w:sz w:val="20"/>
        </w:rPr>
        <w:t>limited circumstances.</w:t>
      </w:r>
    </w:p>
    <w:p w14:paraId="3A8494FB" w14:textId="77777777" w:rsidR="00C144CF" w:rsidRDefault="00C144CF">
      <w:pPr>
        <w:jc w:val="both"/>
        <w:rPr>
          <w:rFonts w:ascii="Arial" w:hAnsi="Arial" w:cs="Arial"/>
          <w:sz w:val="20"/>
        </w:rPr>
      </w:pPr>
    </w:p>
    <w:p w14:paraId="0B543FAC" w14:textId="77777777" w:rsidR="00D92FEB" w:rsidRDefault="002C28EF" w:rsidP="00D92FEB">
      <w:pPr>
        <w:jc w:val="both"/>
        <w:rPr>
          <w:rFonts w:ascii="Arial" w:hAnsi="Arial" w:cs="Arial"/>
          <w:bCs/>
          <w:sz w:val="20"/>
        </w:rPr>
      </w:pPr>
      <w:r>
        <w:rPr>
          <w:rFonts w:ascii="Arial" w:hAnsi="Arial" w:cs="Arial"/>
          <w:sz w:val="20"/>
        </w:rPr>
        <w:t xml:space="preserve">As a consequence of the health risks associated with the COVID-19 pandemic in 2020/21, the EMPA was temporarily amended to enable remote hearings to be held by Victorian courts, generally using </w:t>
      </w:r>
      <w:r w:rsidR="00D92FEB">
        <w:rPr>
          <w:rFonts w:ascii="Arial" w:hAnsi="Arial" w:cs="Arial"/>
          <w:color w:val="000000"/>
          <w:sz w:val="20"/>
        </w:rPr>
        <w:t xml:space="preserve">an off-the-shelf computer application known as </w:t>
      </w:r>
      <w:r w:rsidR="00D92FEB" w:rsidRPr="00861DA6">
        <w:rPr>
          <w:rFonts w:ascii="Arial" w:hAnsi="Arial" w:cs="Arial"/>
          <w:b/>
          <w:bCs/>
          <w:color w:val="000000"/>
          <w:sz w:val="20"/>
        </w:rPr>
        <w:t>Web</w:t>
      </w:r>
      <w:r w:rsidR="00D92FEB">
        <w:rPr>
          <w:rFonts w:ascii="Arial" w:hAnsi="Arial" w:cs="Arial"/>
          <w:b/>
          <w:bCs/>
          <w:color w:val="000000"/>
          <w:sz w:val="20"/>
        </w:rPr>
        <w:t>e</w:t>
      </w:r>
      <w:r w:rsidR="00D92FEB" w:rsidRPr="00861DA6">
        <w:rPr>
          <w:rFonts w:ascii="Arial" w:hAnsi="Arial" w:cs="Arial"/>
          <w:b/>
          <w:bCs/>
          <w:color w:val="000000"/>
          <w:sz w:val="20"/>
        </w:rPr>
        <w:t>x</w:t>
      </w:r>
      <w:r w:rsidR="00D92FEB">
        <w:rPr>
          <w:rFonts w:ascii="Arial" w:hAnsi="Arial" w:cs="Arial"/>
          <w:color w:val="000000"/>
          <w:sz w:val="20"/>
        </w:rPr>
        <w:t xml:space="preserve">.  </w:t>
      </w:r>
      <w:r w:rsidRPr="00E84200">
        <w:rPr>
          <w:rFonts w:ascii="Arial" w:hAnsi="Arial" w:cs="Arial"/>
          <w:bCs/>
          <w:sz w:val="20"/>
        </w:rPr>
        <w:t xml:space="preserve">Experience gained in </w:t>
      </w:r>
      <w:r w:rsidR="00D92FEB">
        <w:rPr>
          <w:rFonts w:ascii="Arial" w:hAnsi="Arial" w:cs="Arial"/>
          <w:bCs/>
          <w:sz w:val="20"/>
        </w:rPr>
        <w:t>c</w:t>
      </w:r>
      <w:r w:rsidRPr="00E84200">
        <w:rPr>
          <w:rFonts w:ascii="Arial" w:hAnsi="Arial" w:cs="Arial"/>
          <w:bCs/>
          <w:sz w:val="20"/>
        </w:rPr>
        <w:t xml:space="preserve">ourt operations and community public health during the </w:t>
      </w:r>
      <w:r w:rsidR="00D92FEB">
        <w:rPr>
          <w:rFonts w:ascii="Arial" w:hAnsi="Arial" w:cs="Arial"/>
          <w:bCs/>
          <w:sz w:val="20"/>
        </w:rPr>
        <w:t xml:space="preserve">pandemic has </w:t>
      </w:r>
      <w:r w:rsidRPr="00E84200">
        <w:rPr>
          <w:rFonts w:ascii="Arial" w:hAnsi="Arial" w:cs="Arial"/>
          <w:bCs/>
          <w:sz w:val="20"/>
        </w:rPr>
        <w:t xml:space="preserve">led </w:t>
      </w:r>
      <w:r w:rsidR="00D92FEB">
        <w:rPr>
          <w:rFonts w:ascii="Arial" w:hAnsi="Arial" w:cs="Arial"/>
          <w:bCs/>
          <w:sz w:val="20"/>
        </w:rPr>
        <w:t>to some of the EMPA amendments being made permanent, either in an unchanged or amended form.  These include:</w:t>
      </w:r>
    </w:p>
    <w:p w14:paraId="3A1B5ED6" w14:textId="77777777" w:rsidR="00D92FEB" w:rsidRPr="00D92FEB" w:rsidRDefault="00D92FEB">
      <w:pPr>
        <w:pStyle w:val="ListParagraph"/>
        <w:numPr>
          <w:ilvl w:val="0"/>
          <w:numId w:val="57"/>
        </w:numPr>
        <w:ind w:left="357" w:hanging="357"/>
        <w:jc w:val="both"/>
        <w:rPr>
          <w:rFonts w:ascii="Arial" w:hAnsi="Arial" w:cs="Arial"/>
          <w:bCs/>
          <w:sz w:val="22"/>
          <w:szCs w:val="22"/>
        </w:rPr>
      </w:pPr>
      <w:r w:rsidRPr="004B696B">
        <w:rPr>
          <w:rFonts w:ascii="Arial" w:hAnsi="Arial" w:cs="Arial"/>
          <w:b/>
          <w:sz w:val="20"/>
          <w:shd w:val="clear" w:color="auto" w:fill="000000"/>
        </w:rPr>
        <w:t>A child who is not an accused</w:t>
      </w:r>
      <w:r w:rsidRPr="00D92FEB">
        <w:rPr>
          <w:rFonts w:ascii="Arial" w:hAnsi="Arial" w:cs="Arial"/>
          <w:bCs/>
          <w:sz w:val="20"/>
        </w:rPr>
        <w:t xml:space="preserve"> may not be directed to appear, give evidence or make a submission by </w:t>
      </w:r>
      <w:r>
        <w:rPr>
          <w:rFonts w:ascii="Arial" w:hAnsi="Arial" w:cs="Arial"/>
          <w:bCs/>
          <w:sz w:val="20"/>
        </w:rPr>
        <w:t>audio</w:t>
      </w:r>
      <w:r w:rsidR="00712515">
        <w:rPr>
          <w:rFonts w:ascii="Arial" w:hAnsi="Arial" w:cs="Arial"/>
          <w:bCs/>
          <w:sz w:val="20"/>
        </w:rPr>
        <w:t xml:space="preserve"> </w:t>
      </w:r>
      <w:r>
        <w:rPr>
          <w:rFonts w:ascii="Arial" w:hAnsi="Arial" w:cs="Arial"/>
          <w:bCs/>
          <w:sz w:val="20"/>
        </w:rPr>
        <w:t xml:space="preserve">link </w:t>
      </w:r>
      <w:r w:rsidRPr="00D92FEB">
        <w:rPr>
          <w:rFonts w:ascii="Arial" w:hAnsi="Arial" w:cs="Arial"/>
          <w:bCs/>
          <w:sz w:val="20"/>
        </w:rPr>
        <w:t>unless exceptional circumstances exist</w:t>
      </w:r>
      <w:r w:rsidR="0022031F">
        <w:rPr>
          <w:rFonts w:ascii="Arial" w:hAnsi="Arial" w:cs="Arial"/>
          <w:bCs/>
          <w:sz w:val="20"/>
        </w:rPr>
        <w:t xml:space="preserve"> [s.42F(7)].</w:t>
      </w:r>
    </w:p>
    <w:p w14:paraId="4711F7CE" w14:textId="77777777" w:rsidR="00D92FEB" w:rsidRPr="00D92FEB" w:rsidRDefault="00D92FEB">
      <w:pPr>
        <w:pStyle w:val="ListParagraph"/>
        <w:numPr>
          <w:ilvl w:val="0"/>
          <w:numId w:val="57"/>
        </w:numPr>
        <w:ind w:left="357" w:hanging="357"/>
        <w:jc w:val="both"/>
        <w:rPr>
          <w:rFonts w:ascii="Arial" w:hAnsi="Arial" w:cs="Arial"/>
          <w:bCs/>
          <w:sz w:val="22"/>
          <w:szCs w:val="22"/>
        </w:rPr>
      </w:pPr>
      <w:r w:rsidRPr="004B696B">
        <w:rPr>
          <w:rFonts w:ascii="Arial" w:hAnsi="Arial" w:cs="Arial"/>
          <w:b/>
          <w:sz w:val="20"/>
          <w:shd w:val="clear" w:color="auto" w:fill="000000"/>
        </w:rPr>
        <w:t>A child accused</w:t>
      </w:r>
      <w:r w:rsidRPr="00D92FEB">
        <w:rPr>
          <w:rFonts w:ascii="Arial" w:hAnsi="Arial" w:cs="Arial"/>
          <w:bCs/>
          <w:sz w:val="20"/>
        </w:rPr>
        <w:t xml:space="preserve"> is required to appear physically unless the ChCV directs appearance by</w:t>
      </w:r>
      <w:r w:rsidR="0022031F">
        <w:rPr>
          <w:rFonts w:ascii="Arial" w:hAnsi="Arial" w:cs="Arial"/>
          <w:bCs/>
          <w:sz w:val="20"/>
        </w:rPr>
        <w:t xml:space="preserve"> audio</w:t>
      </w:r>
      <w:r w:rsidR="00712515">
        <w:rPr>
          <w:rFonts w:ascii="Arial" w:hAnsi="Arial" w:cs="Arial"/>
          <w:bCs/>
          <w:sz w:val="20"/>
        </w:rPr>
        <w:t xml:space="preserve"> </w:t>
      </w:r>
      <w:r w:rsidR="0022031F">
        <w:rPr>
          <w:rFonts w:ascii="Arial" w:hAnsi="Arial" w:cs="Arial"/>
          <w:bCs/>
          <w:sz w:val="20"/>
        </w:rPr>
        <w:t>visual link.  The ChCV may give such a direction</w:t>
      </w:r>
      <w:r w:rsidRPr="00D92FEB">
        <w:rPr>
          <w:rFonts w:ascii="Arial" w:hAnsi="Arial" w:cs="Arial"/>
          <w:bCs/>
          <w:sz w:val="20"/>
        </w:rPr>
        <w:t xml:space="preserve"> if exceptional circumstances exist or an appearance by</w:t>
      </w:r>
      <w:r w:rsidR="0022031F">
        <w:rPr>
          <w:rFonts w:ascii="Arial" w:hAnsi="Arial" w:cs="Arial"/>
          <w:bCs/>
          <w:sz w:val="20"/>
        </w:rPr>
        <w:t xml:space="preserve"> audio</w:t>
      </w:r>
      <w:r w:rsidR="00712515">
        <w:rPr>
          <w:rFonts w:ascii="Arial" w:hAnsi="Arial" w:cs="Arial"/>
          <w:bCs/>
          <w:sz w:val="20"/>
        </w:rPr>
        <w:t xml:space="preserve"> </w:t>
      </w:r>
      <w:r w:rsidR="0022031F">
        <w:rPr>
          <w:rFonts w:ascii="Arial" w:hAnsi="Arial" w:cs="Arial"/>
          <w:bCs/>
          <w:sz w:val="20"/>
        </w:rPr>
        <w:t>visual link</w:t>
      </w:r>
      <w:r w:rsidRPr="00D92FEB">
        <w:rPr>
          <w:rFonts w:ascii="Arial" w:hAnsi="Arial" w:cs="Arial"/>
          <w:bCs/>
          <w:sz w:val="20"/>
        </w:rPr>
        <w:t xml:space="preserve"> is necessary for ChCV’s case management, is consistent with the interests of justice and is reasonably practicable</w:t>
      </w:r>
      <w:r w:rsidR="0022031F">
        <w:rPr>
          <w:rFonts w:ascii="Arial" w:hAnsi="Arial" w:cs="Arial"/>
          <w:bCs/>
          <w:sz w:val="20"/>
        </w:rPr>
        <w:t xml:space="preserve"> [s</w:t>
      </w:r>
      <w:r w:rsidR="00303BED">
        <w:rPr>
          <w:rFonts w:ascii="Arial" w:hAnsi="Arial" w:cs="Arial"/>
          <w:bCs/>
          <w:sz w:val="20"/>
        </w:rPr>
        <w:t>s</w:t>
      </w:r>
      <w:r w:rsidR="0022031F">
        <w:rPr>
          <w:rFonts w:ascii="Arial" w:hAnsi="Arial" w:cs="Arial"/>
          <w:bCs/>
          <w:sz w:val="20"/>
        </w:rPr>
        <w:t>.</w:t>
      </w:r>
      <w:r w:rsidR="00303BED">
        <w:rPr>
          <w:rFonts w:ascii="Arial" w:hAnsi="Arial" w:cs="Arial"/>
          <w:bCs/>
          <w:sz w:val="20"/>
        </w:rPr>
        <w:t xml:space="preserve">42O &amp; </w:t>
      </w:r>
      <w:r w:rsidR="0022031F">
        <w:rPr>
          <w:rFonts w:ascii="Arial" w:hAnsi="Arial" w:cs="Arial"/>
          <w:bCs/>
          <w:sz w:val="20"/>
        </w:rPr>
        <w:t>42P]</w:t>
      </w:r>
      <w:r w:rsidRPr="00D92FEB">
        <w:rPr>
          <w:rFonts w:ascii="Arial" w:hAnsi="Arial" w:cs="Arial"/>
          <w:bCs/>
          <w:sz w:val="20"/>
        </w:rPr>
        <w:t>.</w:t>
      </w:r>
    </w:p>
    <w:p w14:paraId="175C7F4B" w14:textId="77777777" w:rsidR="00D92FEB" w:rsidRPr="00D92FEB" w:rsidRDefault="00D92FEB">
      <w:pPr>
        <w:pStyle w:val="ListParagraph"/>
        <w:numPr>
          <w:ilvl w:val="0"/>
          <w:numId w:val="57"/>
        </w:numPr>
        <w:ind w:left="357" w:hanging="357"/>
        <w:jc w:val="both"/>
        <w:rPr>
          <w:rFonts w:ascii="Arial" w:hAnsi="Arial" w:cs="Arial"/>
          <w:bCs/>
          <w:sz w:val="20"/>
        </w:rPr>
      </w:pPr>
      <w:r w:rsidRPr="00D92FEB">
        <w:rPr>
          <w:rFonts w:ascii="Arial" w:hAnsi="Arial" w:cs="Arial"/>
          <w:bCs/>
          <w:sz w:val="20"/>
        </w:rPr>
        <w:t>A hearing by</w:t>
      </w:r>
      <w:r w:rsidR="0022031F">
        <w:rPr>
          <w:rFonts w:ascii="Arial" w:hAnsi="Arial" w:cs="Arial"/>
          <w:bCs/>
          <w:sz w:val="20"/>
        </w:rPr>
        <w:t xml:space="preserve"> audio</w:t>
      </w:r>
      <w:r w:rsidR="00712515">
        <w:rPr>
          <w:rFonts w:ascii="Arial" w:hAnsi="Arial" w:cs="Arial"/>
          <w:bCs/>
          <w:sz w:val="20"/>
        </w:rPr>
        <w:t xml:space="preserve"> </w:t>
      </w:r>
      <w:r w:rsidR="0022031F">
        <w:rPr>
          <w:rFonts w:ascii="Arial" w:hAnsi="Arial" w:cs="Arial"/>
          <w:bCs/>
          <w:sz w:val="20"/>
        </w:rPr>
        <w:t>visual link or audio</w:t>
      </w:r>
      <w:r w:rsidR="00712515">
        <w:rPr>
          <w:rFonts w:ascii="Arial" w:hAnsi="Arial" w:cs="Arial"/>
          <w:bCs/>
          <w:sz w:val="20"/>
        </w:rPr>
        <w:t xml:space="preserve"> </w:t>
      </w:r>
      <w:r w:rsidR="0022031F">
        <w:rPr>
          <w:rFonts w:ascii="Arial" w:hAnsi="Arial" w:cs="Arial"/>
          <w:bCs/>
          <w:sz w:val="20"/>
        </w:rPr>
        <w:t>link</w:t>
      </w:r>
      <w:r w:rsidRPr="00D92FEB">
        <w:rPr>
          <w:rFonts w:ascii="Arial" w:hAnsi="Arial" w:cs="Arial"/>
          <w:bCs/>
          <w:sz w:val="20"/>
        </w:rPr>
        <w:t xml:space="preserve"> is not invalid merely because of a failure to comply with the complex technical requirements included in th</w:t>
      </w:r>
      <w:r w:rsidR="0022031F">
        <w:rPr>
          <w:rFonts w:ascii="Arial" w:hAnsi="Arial" w:cs="Arial"/>
          <w:bCs/>
          <w:sz w:val="20"/>
        </w:rPr>
        <w:t>e EMPA [s.42Y]</w:t>
      </w:r>
      <w:r w:rsidRPr="00D92FEB">
        <w:rPr>
          <w:rFonts w:ascii="Arial" w:hAnsi="Arial" w:cs="Arial"/>
          <w:bCs/>
          <w:sz w:val="20"/>
        </w:rPr>
        <w:t>.</w:t>
      </w:r>
    </w:p>
    <w:p w14:paraId="528C1179" w14:textId="77777777" w:rsidR="002C28EF" w:rsidRDefault="002C28EF">
      <w:pPr>
        <w:jc w:val="both"/>
        <w:rPr>
          <w:rFonts w:ascii="Arial" w:hAnsi="Arial" w:cs="Arial"/>
          <w:sz w:val="20"/>
        </w:rPr>
      </w:pPr>
    </w:p>
    <w:p w14:paraId="628735C2" w14:textId="73EDE0AD" w:rsidR="008F5F41" w:rsidRDefault="008F5F41" w:rsidP="008F5F41">
      <w:pPr>
        <w:jc w:val="both"/>
        <w:rPr>
          <w:rFonts w:ascii="Arial" w:hAnsi="Arial" w:cs="Arial"/>
          <w:color w:val="000000"/>
          <w:sz w:val="20"/>
          <w:u w:val="single"/>
        </w:rPr>
      </w:pPr>
      <w:r>
        <w:rPr>
          <w:rFonts w:ascii="Arial" w:hAnsi="Arial" w:cs="Arial"/>
          <w:sz w:val="20"/>
        </w:rPr>
        <w:lastRenderedPageBreak/>
        <w:t xml:space="preserve">The </w:t>
      </w:r>
      <w:r w:rsidRPr="00A81791">
        <w:rPr>
          <w:rFonts w:ascii="Arial" w:hAnsi="Arial" w:cs="Arial"/>
          <w:i/>
          <w:iCs/>
          <w:color w:val="000000"/>
          <w:sz w:val="20"/>
        </w:rPr>
        <w:t>Children</w:t>
      </w:r>
      <w:r w:rsidR="000F0BE9" w:rsidRPr="00A81791">
        <w:rPr>
          <w:rFonts w:ascii="Arial" w:hAnsi="Arial" w:cs="Arial"/>
          <w:i/>
          <w:iCs/>
          <w:color w:val="000000"/>
          <w:sz w:val="20"/>
        </w:rPr>
        <w:t>’</w:t>
      </w:r>
      <w:r w:rsidRPr="00A81791">
        <w:rPr>
          <w:rFonts w:ascii="Arial" w:hAnsi="Arial" w:cs="Arial"/>
          <w:i/>
          <w:iCs/>
          <w:color w:val="000000"/>
          <w:sz w:val="20"/>
        </w:rPr>
        <w:t xml:space="preserve">s Court (Evidence </w:t>
      </w:r>
      <w:r w:rsidR="000F0BE9" w:rsidRPr="00A81791">
        <w:rPr>
          <w:rFonts w:ascii="Arial" w:hAnsi="Arial" w:cs="Arial"/>
          <w:i/>
          <w:iCs/>
          <w:color w:val="000000"/>
          <w:sz w:val="20"/>
        </w:rPr>
        <w:t>–</w:t>
      </w:r>
      <w:r w:rsidRPr="00A81791">
        <w:rPr>
          <w:rFonts w:ascii="Arial" w:hAnsi="Arial" w:cs="Arial"/>
          <w:i/>
          <w:iCs/>
          <w:color w:val="000000"/>
          <w:sz w:val="20"/>
        </w:rPr>
        <w:t xml:space="preserve"> Audio Visual and Audio Linking) Rules </w:t>
      </w:r>
      <w:r w:rsidR="005244F8" w:rsidRPr="00A81791">
        <w:rPr>
          <w:rFonts w:ascii="Arial" w:hAnsi="Arial" w:cs="Arial"/>
          <w:i/>
          <w:iCs/>
          <w:color w:val="000000"/>
          <w:sz w:val="20"/>
        </w:rPr>
        <w:t>20</w:t>
      </w:r>
      <w:r w:rsidR="00A81791">
        <w:rPr>
          <w:rFonts w:ascii="Arial" w:hAnsi="Arial" w:cs="Arial"/>
          <w:i/>
          <w:iCs/>
          <w:color w:val="000000"/>
          <w:sz w:val="20"/>
        </w:rPr>
        <w:t>1</w:t>
      </w:r>
      <w:r w:rsidR="005244F8" w:rsidRPr="00A81791">
        <w:rPr>
          <w:rFonts w:ascii="Arial" w:hAnsi="Arial" w:cs="Arial"/>
          <w:i/>
          <w:iCs/>
          <w:color w:val="000000"/>
          <w:sz w:val="20"/>
        </w:rPr>
        <w:t>8</w:t>
      </w:r>
      <w:r w:rsidRPr="00A81791">
        <w:rPr>
          <w:rFonts w:ascii="Arial" w:hAnsi="Arial" w:cs="Arial"/>
          <w:color w:val="000000"/>
          <w:sz w:val="20"/>
        </w:rPr>
        <w:t xml:space="preserve"> </w:t>
      </w:r>
      <w:r w:rsidR="00DB7597" w:rsidRPr="00A81791">
        <w:rPr>
          <w:rFonts w:ascii="Arial" w:hAnsi="Arial" w:cs="Arial"/>
          <w:color w:val="000000"/>
          <w:sz w:val="20"/>
        </w:rPr>
        <w:t>[S.R.</w:t>
      </w:r>
      <w:r w:rsidR="009A6B9B" w:rsidRPr="00A81791">
        <w:rPr>
          <w:rFonts w:ascii="Arial" w:hAnsi="Arial" w:cs="Arial"/>
          <w:color w:val="000000"/>
          <w:sz w:val="20"/>
        </w:rPr>
        <w:t xml:space="preserve"> No.</w:t>
      </w:r>
      <w:r w:rsidR="00DB7597" w:rsidRPr="00A81791">
        <w:rPr>
          <w:rFonts w:ascii="Arial" w:hAnsi="Arial" w:cs="Arial"/>
          <w:color w:val="000000"/>
          <w:sz w:val="20"/>
        </w:rPr>
        <w:t>1</w:t>
      </w:r>
      <w:r w:rsidR="00A81791">
        <w:rPr>
          <w:rFonts w:ascii="Arial" w:hAnsi="Arial" w:cs="Arial"/>
          <w:color w:val="000000"/>
          <w:sz w:val="20"/>
        </w:rPr>
        <w:t>5</w:t>
      </w:r>
      <w:r w:rsidR="00DB7597" w:rsidRPr="00A81791">
        <w:rPr>
          <w:rFonts w:ascii="Arial" w:hAnsi="Arial" w:cs="Arial"/>
          <w:color w:val="000000"/>
          <w:sz w:val="20"/>
        </w:rPr>
        <w:t>/</w:t>
      </w:r>
      <w:r w:rsidR="00556BDC" w:rsidRPr="00A81791">
        <w:rPr>
          <w:rFonts w:ascii="Arial" w:hAnsi="Arial" w:cs="Arial"/>
          <w:color w:val="000000"/>
          <w:sz w:val="20"/>
        </w:rPr>
        <w:t>20</w:t>
      </w:r>
      <w:r w:rsidR="00A81791">
        <w:rPr>
          <w:rFonts w:ascii="Arial" w:hAnsi="Arial" w:cs="Arial"/>
          <w:color w:val="000000"/>
          <w:sz w:val="20"/>
        </w:rPr>
        <w:t>1</w:t>
      </w:r>
      <w:r w:rsidR="00556BDC" w:rsidRPr="00A81791">
        <w:rPr>
          <w:rFonts w:ascii="Arial" w:hAnsi="Arial" w:cs="Arial"/>
          <w:color w:val="000000"/>
          <w:sz w:val="20"/>
        </w:rPr>
        <w:t>8</w:t>
      </w:r>
      <w:r w:rsidR="00DB7597" w:rsidRPr="00A81791">
        <w:rPr>
          <w:rFonts w:ascii="Arial" w:hAnsi="Arial" w:cs="Arial"/>
          <w:color w:val="000000"/>
          <w:sz w:val="20"/>
        </w:rPr>
        <w:t>]</w:t>
      </w:r>
      <w:r w:rsidR="00DB7597">
        <w:rPr>
          <w:rFonts w:ascii="Arial" w:hAnsi="Arial" w:cs="Arial"/>
          <w:color w:val="000000"/>
          <w:sz w:val="20"/>
        </w:rPr>
        <w:t xml:space="preserve"> </w:t>
      </w:r>
      <w:r w:rsidRPr="001C63BA">
        <w:rPr>
          <w:rFonts w:ascii="Arial" w:hAnsi="Arial" w:cs="Arial"/>
          <w:color w:val="000000"/>
          <w:sz w:val="20"/>
        </w:rPr>
        <w:t xml:space="preserve">facilitate applications to the Children’s Court </w:t>
      </w:r>
      <w:r w:rsidR="00522914">
        <w:rPr>
          <w:rFonts w:ascii="Arial" w:hAnsi="Arial" w:cs="Arial"/>
          <w:color w:val="000000"/>
          <w:sz w:val="20"/>
        </w:rPr>
        <w:t>pursuant to ss.42E, 42L, 42M, 42N &amp; 42P</w:t>
      </w:r>
      <w:r w:rsidR="00556BDC">
        <w:rPr>
          <w:rFonts w:ascii="Arial" w:hAnsi="Arial" w:cs="Arial"/>
          <w:color w:val="000000"/>
          <w:sz w:val="20"/>
        </w:rPr>
        <w:t xml:space="preserve"> of the</w:t>
      </w:r>
      <w:r w:rsidR="00522914">
        <w:rPr>
          <w:rFonts w:ascii="Arial" w:hAnsi="Arial" w:cs="Arial"/>
          <w:color w:val="000000"/>
          <w:sz w:val="20"/>
        </w:rPr>
        <w:t xml:space="preserve"> </w:t>
      </w:r>
      <w:r w:rsidR="00712515" w:rsidRPr="00712515">
        <w:rPr>
          <w:rFonts w:ascii="Arial" w:hAnsi="Arial" w:cs="Arial"/>
          <w:sz w:val="20"/>
        </w:rPr>
        <w:t>EMPA</w:t>
      </w:r>
      <w:r w:rsidR="00556BDC">
        <w:rPr>
          <w:rFonts w:ascii="Arial" w:hAnsi="Arial" w:cs="Arial"/>
          <w:sz w:val="20"/>
        </w:rPr>
        <w:t xml:space="preserve"> </w:t>
      </w:r>
      <w:r w:rsidR="009A6B9B">
        <w:rPr>
          <w:rFonts w:ascii="Arial" w:hAnsi="Arial" w:cs="Arial"/>
          <w:color w:val="000000"/>
          <w:sz w:val="20"/>
        </w:rPr>
        <w:t>for</w:t>
      </w:r>
      <w:r w:rsidR="00556BDC">
        <w:rPr>
          <w:rFonts w:ascii="Arial" w:hAnsi="Arial" w:cs="Arial"/>
          <w:color w:val="000000"/>
          <w:sz w:val="20"/>
        </w:rPr>
        <w:t xml:space="preserve"> the </w:t>
      </w:r>
      <w:r w:rsidR="00522914">
        <w:rPr>
          <w:rFonts w:ascii="Arial" w:hAnsi="Arial" w:cs="Arial"/>
          <w:color w:val="000000"/>
          <w:sz w:val="20"/>
        </w:rPr>
        <w:t>giving of evidence and/or the appearance</w:t>
      </w:r>
      <w:r w:rsidRPr="001C63BA">
        <w:rPr>
          <w:rFonts w:ascii="Arial" w:hAnsi="Arial" w:cs="Arial"/>
          <w:color w:val="000000"/>
          <w:sz w:val="20"/>
        </w:rPr>
        <w:t xml:space="preserve"> of a perso</w:t>
      </w:r>
      <w:r w:rsidR="009A6B9B">
        <w:rPr>
          <w:rFonts w:ascii="Arial" w:hAnsi="Arial" w:cs="Arial"/>
          <w:color w:val="000000"/>
          <w:sz w:val="20"/>
        </w:rPr>
        <w:t>n at court by means of an audio</w:t>
      </w:r>
      <w:r w:rsidR="00712515">
        <w:rPr>
          <w:rFonts w:ascii="Arial" w:hAnsi="Arial" w:cs="Arial"/>
          <w:color w:val="000000"/>
          <w:sz w:val="20"/>
        </w:rPr>
        <w:t xml:space="preserve"> </w:t>
      </w:r>
      <w:r w:rsidRPr="001C63BA">
        <w:rPr>
          <w:rFonts w:ascii="Arial" w:hAnsi="Arial" w:cs="Arial"/>
          <w:color w:val="000000"/>
          <w:sz w:val="20"/>
        </w:rPr>
        <w:t>visual link</w:t>
      </w:r>
      <w:r>
        <w:rPr>
          <w:rFonts w:ascii="Arial" w:hAnsi="Arial" w:cs="Arial"/>
          <w:color w:val="000000"/>
          <w:sz w:val="20"/>
        </w:rPr>
        <w:t>.</w:t>
      </w:r>
    </w:p>
    <w:p w14:paraId="78263568" w14:textId="77777777" w:rsidR="008F5F41" w:rsidRDefault="008F5F41">
      <w:pPr>
        <w:jc w:val="both"/>
        <w:rPr>
          <w:rFonts w:ascii="Arial" w:hAnsi="Arial" w:cs="Arial"/>
          <w:sz w:val="20"/>
        </w:rPr>
      </w:pPr>
    </w:p>
    <w:p w14:paraId="6CDBC021" w14:textId="77777777" w:rsidR="00CF4124" w:rsidRDefault="00CF4124" w:rsidP="00A81791">
      <w:pPr>
        <w:pStyle w:val="Heading3"/>
        <w:tabs>
          <w:tab w:val="left" w:pos="357"/>
        </w:tabs>
        <w:spacing w:after="120" w:line="240" w:lineRule="auto"/>
        <w:rPr>
          <w:rFonts w:ascii="Arial" w:hAnsi="Arial" w:cs="Arial"/>
          <w:b/>
          <w:bCs/>
          <w:sz w:val="20"/>
        </w:rPr>
      </w:pPr>
      <w:bookmarkStart w:id="838" w:name="_3.5.12.1__Appearance"/>
      <w:bookmarkStart w:id="839" w:name="B35121"/>
      <w:bookmarkEnd w:id="838"/>
      <w:bookmarkEnd w:id="839"/>
      <w:r>
        <w:rPr>
          <w:rFonts w:ascii="Arial" w:hAnsi="Arial" w:cs="Arial"/>
          <w:b/>
          <w:bCs/>
          <w:sz w:val="20"/>
        </w:rPr>
        <w:t>3.5.1</w:t>
      </w:r>
      <w:r w:rsidR="009A6B9B">
        <w:rPr>
          <w:rFonts w:ascii="Arial" w:hAnsi="Arial" w:cs="Arial"/>
          <w:b/>
          <w:bCs/>
          <w:sz w:val="20"/>
        </w:rPr>
        <w:t>2</w:t>
      </w:r>
      <w:r>
        <w:rPr>
          <w:rFonts w:ascii="Arial" w:hAnsi="Arial" w:cs="Arial"/>
          <w:b/>
          <w:bCs/>
          <w:sz w:val="20"/>
        </w:rPr>
        <w:t>.1</w:t>
      </w:r>
      <w:r w:rsidR="00467443">
        <w:rPr>
          <w:rFonts w:ascii="Arial" w:hAnsi="Arial" w:cs="Arial"/>
          <w:b/>
          <w:bCs/>
          <w:sz w:val="20"/>
        </w:rPr>
        <w:t xml:space="preserve">  </w:t>
      </w:r>
      <w:r>
        <w:rPr>
          <w:rFonts w:ascii="Arial" w:hAnsi="Arial" w:cs="Arial"/>
          <w:b/>
          <w:bCs/>
          <w:sz w:val="20"/>
        </w:rPr>
        <w:t xml:space="preserve">Appearance etc. by </w:t>
      </w:r>
      <w:r w:rsidR="0053241A">
        <w:rPr>
          <w:rFonts w:ascii="Arial" w:hAnsi="Arial" w:cs="Arial"/>
          <w:b/>
          <w:bCs/>
          <w:sz w:val="20"/>
        </w:rPr>
        <w:t xml:space="preserve">a </w:t>
      </w:r>
      <w:r>
        <w:rPr>
          <w:rFonts w:ascii="Arial" w:hAnsi="Arial" w:cs="Arial"/>
          <w:b/>
          <w:bCs/>
          <w:sz w:val="20"/>
        </w:rPr>
        <w:t xml:space="preserve">person other than </w:t>
      </w:r>
      <w:r w:rsidR="0053241A">
        <w:rPr>
          <w:rFonts w:ascii="Arial" w:hAnsi="Arial" w:cs="Arial"/>
          <w:b/>
          <w:bCs/>
          <w:sz w:val="20"/>
        </w:rPr>
        <w:t>an accused</w:t>
      </w:r>
    </w:p>
    <w:p w14:paraId="45669AD0" w14:textId="688AE82F" w:rsidR="00D731F7" w:rsidRDefault="00571CA4" w:rsidP="00A81791">
      <w:pPr>
        <w:jc w:val="both"/>
        <w:rPr>
          <w:rFonts w:ascii="Arial" w:hAnsi="Arial" w:cs="Arial"/>
          <w:sz w:val="20"/>
        </w:rPr>
      </w:pPr>
      <w:r>
        <w:rPr>
          <w:rFonts w:ascii="Arial" w:hAnsi="Arial" w:cs="Arial"/>
          <w:sz w:val="20"/>
        </w:rPr>
        <w:t>Section 42</w:t>
      </w:r>
      <w:proofErr w:type="gramStart"/>
      <w:r>
        <w:rPr>
          <w:rFonts w:ascii="Arial" w:hAnsi="Arial" w:cs="Arial"/>
          <w:sz w:val="20"/>
        </w:rPr>
        <w:t>E(</w:t>
      </w:r>
      <w:proofErr w:type="gramEnd"/>
      <w:r>
        <w:rPr>
          <w:rFonts w:ascii="Arial" w:hAnsi="Arial" w:cs="Arial"/>
          <w:sz w:val="20"/>
        </w:rPr>
        <w:t xml:space="preserve">1) of the </w:t>
      </w:r>
      <w:r w:rsidRPr="00A82F40">
        <w:rPr>
          <w:rFonts w:ascii="Arial" w:hAnsi="Arial" w:cs="Arial"/>
          <w:i/>
          <w:iCs/>
          <w:sz w:val="20"/>
        </w:rPr>
        <w:t xml:space="preserve">Evidence </w:t>
      </w:r>
      <w:r w:rsidR="00897844" w:rsidRPr="00A82F40">
        <w:rPr>
          <w:rFonts w:ascii="Arial" w:hAnsi="Arial" w:cs="Arial"/>
          <w:i/>
          <w:iCs/>
          <w:sz w:val="20"/>
        </w:rPr>
        <w:t xml:space="preserve">(Miscellaneous Provisions) </w:t>
      </w:r>
      <w:r w:rsidRPr="00A82F40">
        <w:rPr>
          <w:rFonts w:ascii="Arial" w:hAnsi="Arial" w:cs="Arial"/>
          <w:i/>
          <w:iCs/>
          <w:sz w:val="20"/>
        </w:rPr>
        <w:t xml:space="preserve">Act 1958 </w:t>
      </w:r>
      <w:r w:rsidR="005B0B37">
        <w:rPr>
          <w:rFonts w:ascii="Arial" w:hAnsi="Arial" w:cs="Arial"/>
          <w:sz w:val="20"/>
        </w:rPr>
        <w:t>provides</w:t>
      </w:r>
      <w:r w:rsidR="0069648C">
        <w:rPr>
          <w:rFonts w:ascii="Arial" w:hAnsi="Arial" w:cs="Arial"/>
          <w:sz w:val="20"/>
        </w:rPr>
        <w:t>:</w:t>
      </w:r>
    </w:p>
    <w:p w14:paraId="0C4DFBE7" w14:textId="77777777" w:rsidR="00D731F7" w:rsidRDefault="005B0B37" w:rsidP="005B0B37">
      <w:pPr>
        <w:spacing w:before="120"/>
        <w:ind w:left="567" w:right="567"/>
        <w:jc w:val="both"/>
        <w:rPr>
          <w:rFonts w:ascii="Arial" w:hAnsi="Arial" w:cs="Arial"/>
          <w:sz w:val="20"/>
        </w:rPr>
      </w:pPr>
      <w:r>
        <w:rPr>
          <w:rFonts w:ascii="Arial" w:hAnsi="Arial" w:cs="Arial"/>
          <w:sz w:val="20"/>
        </w:rPr>
        <w:t xml:space="preserve">“Subject to s.42F and to any rules of court, a court may, on its own initiative or on the application of a party to the legal proceeding, direct that a person </w:t>
      </w:r>
      <w:r w:rsidR="005D582F">
        <w:rPr>
          <w:rFonts w:ascii="Arial" w:hAnsi="Arial" w:cs="Arial"/>
          <w:sz w:val="20"/>
        </w:rPr>
        <w:t xml:space="preserve">[other than the accused in a </w:t>
      </w:r>
      <w:r w:rsidR="00CF4124">
        <w:rPr>
          <w:rFonts w:ascii="Arial" w:hAnsi="Arial" w:cs="Arial"/>
          <w:sz w:val="20"/>
        </w:rPr>
        <w:t xml:space="preserve">criminal or associated </w:t>
      </w:r>
      <w:r w:rsidR="005D582F">
        <w:rPr>
          <w:rFonts w:ascii="Arial" w:hAnsi="Arial" w:cs="Arial"/>
          <w:sz w:val="20"/>
        </w:rPr>
        <w:t xml:space="preserve">proceeding] </w:t>
      </w:r>
      <w:r>
        <w:rPr>
          <w:rFonts w:ascii="Arial" w:hAnsi="Arial" w:cs="Arial"/>
          <w:sz w:val="20"/>
        </w:rPr>
        <w:t>may appear before, or give evidence or make a submission to, the court by audio visual link or audio link from any place within or outside Victoria, or outside Australia, that is outside the courtroom or other place where the court is sitting.”</w:t>
      </w:r>
    </w:p>
    <w:p w14:paraId="26C57455" w14:textId="77777777" w:rsidR="00245936" w:rsidRDefault="00245936" w:rsidP="00F82554">
      <w:pPr>
        <w:jc w:val="both"/>
        <w:rPr>
          <w:rFonts w:ascii="Arial" w:hAnsi="Arial" w:cs="Arial"/>
          <w:sz w:val="20"/>
        </w:rPr>
      </w:pPr>
    </w:p>
    <w:p w14:paraId="000CA930" w14:textId="77777777" w:rsidR="0069648C" w:rsidRDefault="005B0B37" w:rsidP="00F82554">
      <w:pPr>
        <w:jc w:val="both"/>
        <w:rPr>
          <w:rFonts w:ascii="Arial" w:hAnsi="Arial" w:cs="Arial"/>
          <w:sz w:val="20"/>
        </w:rPr>
      </w:pPr>
      <w:r>
        <w:rPr>
          <w:rFonts w:ascii="Arial" w:hAnsi="Arial" w:cs="Arial"/>
          <w:sz w:val="20"/>
        </w:rPr>
        <w:t xml:space="preserve">Section 42F modifies s.42E in </w:t>
      </w:r>
      <w:r w:rsidR="0053241A">
        <w:rPr>
          <w:rFonts w:ascii="Arial" w:hAnsi="Arial" w:cs="Arial"/>
          <w:sz w:val="20"/>
        </w:rPr>
        <w:t xml:space="preserve">certain </w:t>
      </w:r>
      <w:r>
        <w:rPr>
          <w:rFonts w:ascii="Arial" w:hAnsi="Arial" w:cs="Arial"/>
          <w:sz w:val="20"/>
        </w:rPr>
        <w:t>proceedings involving children in the Family Division of the Children’s Court</w:t>
      </w:r>
      <w:r w:rsidR="0069648C">
        <w:rPr>
          <w:rFonts w:ascii="Arial" w:hAnsi="Arial" w:cs="Arial"/>
          <w:sz w:val="20"/>
        </w:rPr>
        <w:t xml:space="preserve"> and in certain appeals from orders made in such proceedings</w:t>
      </w:r>
      <w:r>
        <w:rPr>
          <w:rFonts w:ascii="Arial" w:hAnsi="Arial" w:cs="Arial"/>
          <w:sz w:val="20"/>
        </w:rPr>
        <w:t>.  Section 42</w:t>
      </w:r>
      <w:proofErr w:type="gramStart"/>
      <w:r>
        <w:rPr>
          <w:rFonts w:ascii="Arial" w:hAnsi="Arial" w:cs="Arial"/>
          <w:sz w:val="20"/>
        </w:rPr>
        <w:t>F(</w:t>
      </w:r>
      <w:proofErr w:type="gramEnd"/>
      <w:r w:rsidR="0069648C">
        <w:rPr>
          <w:rFonts w:ascii="Arial" w:hAnsi="Arial" w:cs="Arial"/>
          <w:sz w:val="20"/>
        </w:rPr>
        <w:t xml:space="preserve">2) provides that unless the court otherwise directs under s.42E(1), a child who is required to appear, or be brought, before </w:t>
      </w:r>
      <w:r w:rsidR="0053241A">
        <w:rPr>
          <w:rFonts w:ascii="Arial" w:hAnsi="Arial" w:cs="Arial"/>
          <w:sz w:val="20"/>
        </w:rPr>
        <w:t>a</w:t>
      </w:r>
      <w:r w:rsidR="0069648C">
        <w:rPr>
          <w:rFonts w:ascii="Arial" w:hAnsi="Arial" w:cs="Arial"/>
          <w:sz w:val="20"/>
        </w:rPr>
        <w:t xml:space="preserve"> court is required to appear, or be brought, physically before the court.  Section 42</w:t>
      </w:r>
      <w:proofErr w:type="gramStart"/>
      <w:r w:rsidR="0069648C">
        <w:rPr>
          <w:rFonts w:ascii="Arial" w:hAnsi="Arial" w:cs="Arial"/>
          <w:sz w:val="20"/>
        </w:rPr>
        <w:t>F(</w:t>
      </w:r>
      <w:proofErr w:type="gramEnd"/>
      <w:r w:rsidR="0069648C">
        <w:rPr>
          <w:rFonts w:ascii="Arial" w:hAnsi="Arial" w:cs="Arial"/>
          <w:sz w:val="20"/>
        </w:rPr>
        <w:t>7) prohibits a court from making a direction under s.42E(1) that a child appear before</w:t>
      </w:r>
      <w:r w:rsidR="0053241A">
        <w:rPr>
          <w:rFonts w:ascii="Arial" w:hAnsi="Arial" w:cs="Arial"/>
          <w:sz w:val="20"/>
        </w:rPr>
        <w:t>,</w:t>
      </w:r>
      <w:r w:rsidR="0069648C">
        <w:rPr>
          <w:rFonts w:ascii="Arial" w:hAnsi="Arial" w:cs="Arial"/>
          <w:sz w:val="20"/>
        </w:rPr>
        <w:t xml:space="preserve"> or give evidence or make a submission to</w:t>
      </w:r>
      <w:r w:rsidR="0053241A">
        <w:rPr>
          <w:rFonts w:ascii="Arial" w:hAnsi="Arial" w:cs="Arial"/>
          <w:sz w:val="20"/>
        </w:rPr>
        <w:t>,</w:t>
      </w:r>
      <w:r w:rsidR="0069648C">
        <w:rPr>
          <w:rFonts w:ascii="Arial" w:hAnsi="Arial" w:cs="Arial"/>
          <w:sz w:val="20"/>
        </w:rPr>
        <w:t xml:space="preserve"> the court </w:t>
      </w:r>
      <w:r w:rsidR="00A1001C">
        <w:rPr>
          <w:rFonts w:ascii="Arial" w:hAnsi="Arial" w:cs="Arial"/>
          <w:sz w:val="20"/>
        </w:rPr>
        <w:t xml:space="preserve">in such proceedings </w:t>
      </w:r>
      <w:r w:rsidR="0069648C">
        <w:rPr>
          <w:rFonts w:ascii="Arial" w:hAnsi="Arial" w:cs="Arial"/>
          <w:sz w:val="20"/>
        </w:rPr>
        <w:t>by audio link</w:t>
      </w:r>
      <w:r w:rsidR="00712515">
        <w:rPr>
          <w:rFonts w:ascii="Arial" w:hAnsi="Arial" w:cs="Arial"/>
          <w:sz w:val="20"/>
        </w:rPr>
        <w:t xml:space="preserve"> unless exceptional circumstances exist</w:t>
      </w:r>
      <w:r w:rsidR="0069648C">
        <w:rPr>
          <w:rFonts w:ascii="Arial" w:hAnsi="Arial" w:cs="Arial"/>
          <w:sz w:val="20"/>
        </w:rPr>
        <w:t>.</w:t>
      </w:r>
    </w:p>
    <w:p w14:paraId="00C354C8" w14:textId="77777777" w:rsidR="008F5F41" w:rsidRDefault="008F5F41">
      <w:pPr>
        <w:jc w:val="both"/>
        <w:rPr>
          <w:rFonts w:ascii="Arial" w:hAnsi="Arial" w:cs="Arial"/>
          <w:sz w:val="20"/>
        </w:rPr>
      </w:pPr>
    </w:p>
    <w:p w14:paraId="609834ED" w14:textId="77777777" w:rsidR="00CF4124" w:rsidRDefault="00CF4124" w:rsidP="00CF4124">
      <w:pPr>
        <w:jc w:val="both"/>
        <w:rPr>
          <w:rFonts w:ascii="Arial" w:hAnsi="Arial" w:cs="Arial"/>
          <w:sz w:val="20"/>
          <w:szCs w:val="20"/>
        </w:rPr>
      </w:pPr>
      <w:r>
        <w:rPr>
          <w:rFonts w:ascii="Arial" w:hAnsi="Arial" w:cs="Arial"/>
          <w:sz w:val="20"/>
        </w:rPr>
        <w:t>In</w:t>
      </w:r>
      <w:r w:rsidRPr="00B97656">
        <w:rPr>
          <w:rFonts w:ascii="Arial" w:hAnsi="Arial" w:cs="Arial"/>
          <w:sz w:val="16"/>
        </w:rPr>
        <w:t xml:space="preserve"> </w:t>
      </w:r>
      <w:r>
        <w:rPr>
          <w:rFonts w:ascii="Arial" w:hAnsi="Arial" w:cs="Arial"/>
          <w:i/>
          <w:sz w:val="20"/>
        </w:rPr>
        <w:t xml:space="preserve">R v Cox &amp; Ors (Ruling No.6) </w:t>
      </w:r>
      <w:r>
        <w:rPr>
          <w:rFonts w:ascii="Arial" w:hAnsi="Arial" w:cs="Arial"/>
          <w:sz w:val="20"/>
        </w:rPr>
        <w:t>{</w:t>
      </w:r>
      <w:r w:rsidRPr="00727D20">
        <w:rPr>
          <w:rFonts w:ascii="Arial" w:hAnsi="Arial" w:cs="Arial"/>
          <w:sz w:val="20"/>
        </w:rPr>
        <w:t xml:space="preserve">also known as </w:t>
      </w:r>
      <w:r w:rsidRPr="00B97656">
        <w:rPr>
          <w:rFonts w:ascii="Arial" w:hAnsi="Arial" w:cs="Arial"/>
          <w:i/>
          <w:sz w:val="20"/>
        </w:rPr>
        <w:t>R v Cox, Sadler, Ferguson &amp; Ferguson</w:t>
      </w:r>
      <w:r w:rsidRPr="00727D20">
        <w:rPr>
          <w:rFonts w:ascii="Arial" w:hAnsi="Arial" w:cs="Arial"/>
          <w:sz w:val="20"/>
        </w:rPr>
        <w:t>}</w:t>
      </w:r>
      <w:r w:rsidRPr="00B97656">
        <w:rPr>
          <w:rFonts w:ascii="Arial" w:hAnsi="Arial" w:cs="Arial"/>
          <w:sz w:val="16"/>
        </w:rPr>
        <w:t xml:space="preserve"> </w:t>
      </w:r>
      <w:r w:rsidRPr="00B97656">
        <w:rPr>
          <w:rFonts w:ascii="Arial" w:hAnsi="Arial" w:cs="Arial"/>
          <w:sz w:val="20"/>
        </w:rPr>
        <w:t xml:space="preserve">[2005] VSC 364 Kaye J </w:t>
      </w:r>
      <w:r>
        <w:rPr>
          <w:rFonts w:ascii="Arial" w:hAnsi="Arial" w:cs="Arial"/>
          <w:sz w:val="20"/>
        </w:rPr>
        <w:t xml:space="preserve">summarized the </w:t>
      </w:r>
      <w:r w:rsidRPr="00B97656">
        <w:rPr>
          <w:rFonts w:ascii="Arial" w:hAnsi="Arial" w:cs="Arial"/>
          <w:sz w:val="20"/>
          <w:szCs w:val="20"/>
        </w:rPr>
        <w:t xml:space="preserve">principles </w:t>
      </w:r>
      <w:r>
        <w:rPr>
          <w:rFonts w:ascii="Arial" w:hAnsi="Arial" w:cs="Arial"/>
          <w:sz w:val="20"/>
          <w:szCs w:val="20"/>
        </w:rPr>
        <w:t xml:space="preserve">on the application of s.42E </w:t>
      </w:r>
      <w:r w:rsidRPr="00B97656">
        <w:rPr>
          <w:rFonts w:ascii="Arial" w:hAnsi="Arial" w:cs="Arial"/>
          <w:sz w:val="20"/>
          <w:szCs w:val="20"/>
        </w:rPr>
        <w:t xml:space="preserve">which </w:t>
      </w:r>
      <w:r w:rsidR="0053241A">
        <w:rPr>
          <w:rFonts w:ascii="Arial" w:hAnsi="Arial" w:cs="Arial"/>
          <w:sz w:val="20"/>
          <w:szCs w:val="20"/>
        </w:rPr>
        <w:t xml:space="preserve">he considered </w:t>
      </w:r>
      <w:r w:rsidRPr="00B97656">
        <w:rPr>
          <w:rFonts w:ascii="Arial" w:hAnsi="Arial" w:cs="Arial"/>
          <w:sz w:val="20"/>
          <w:szCs w:val="20"/>
        </w:rPr>
        <w:t>were to be elucidated</w:t>
      </w:r>
      <w:r>
        <w:rPr>
          <w:rFonts w:ascii="Arial" w:hAnsi="Arial" w:cs="Arial"/>
          <w:sz w:val="20"/>
          <w:szCs w:val="20"/>
        </w:rPr>
        <w:t xml:space="preserve"> from the cases of </w:t>
      </w:r>
      <w:r w:rsidRPr="00727D20">
        <w:rPr>
          <w:rFonts w:ascii="Arial" w:hAnsi="Arial" w:cs="Arial"/>
          <w:i/>
          <w:sz w:val="20"/>
          <w:szCs w:val="20"/>
        </w:rPr>
        <w:t>R v Kim</w:t>
      </w:r>
      <w:r w:rsidRPr="00727D20">
        <w:rPr>
          <w:rFonts w:ascii="Arial" w:hAnsi="Arial" w:cs="Arial"/>
          <w:sz w:val="20"/>
          <w:szCs w:val="20"/>
        </w:rPr>
        <w:t xml:space="preserve"> (1998) 104 A Crim R 233, </w:t>
      </w:r>
      <w:r w:rsidRPr="00727D20">
        <w:rPr>
          <w:rFonts w:ascii="Arial" w:hAnsi="Arial" w:cs="Arial"/>
          <w:i/>
          <w:sz w:val="20"/>
          <w:szCs w:val="20"/>
        </w:rPr>
        <w:t>R v Weiss</w:t>
      </w:r>
      <w:r w:rsidRPr="00727D20">
        <w:rPr>
          <w:rFonts w:ascii="Arial" w:hAnsi="Arial" w:cs="Arial"/>
          <w:sz w:val="20"/>
          <w:szCs w:val="20"/>
        </w:rPr>
        <w:t xml:space="preserve"> [2002] VSC 15, </w:t>
      </w:r>
      <w:r w:rsidRPr="00727D20">
        <w:rPr>
          <w:rFonts w:ascii="Arial" w:hAnsi="Arial" w:cs="Arial"/>
          <w:i/>
          <w:sz w:val="20"/>
          <w:szCs w:val="20"/>
        </w:rPr>
        <w:t>R v Goldman</w:t>
      </w:r>
      <w:r w:rsidRPr="00727D20">
        <w:rPr>
          <w:rFonts w:ascii="Arial" w:hAnsi="Arial" w:cs="Arial"/>
          <w:sz w:val="20"/>
          <w:szCs w:val="20"/>
        </w:rPr>
        <w:t xml:space="preserve"> [2004] VSC 165 &amp; </w:t>
      </w:r>
      <w:r w:rsidRPr="00727D20">
        <w:rPr>
          <w:rFonts w:ascii="Arial" w:hAnsi="Arial" w:cs="Arial"/>
          <w:i/>
          <w:sz w:val="20"/>
          <w:szCs w:val="20"/>
        </w:rPr>
        <w:t>R v Strawhorn</w:t>
      </w:r>
      <w:r w:rsidRPr="00727D20">
        <w:rPr>
          <w:rFonts w:ascii="Arial" w:hAnsi="Arial" w:cs="Arial"/>
          <w:sz w:val="20"/>
          <w:szCs w:val="20"/>
        </w:rPr>
        <w:t xml:space="preserve"> [2004] VSC 415</w:t>
      </w:r>
      <w:r>
        <w:rPr>
          <w:rFonts w:ascii="Arial" w:hAnsi="Arial" w:cs="Arial"/>
          <w:sz w:val="20"/>
          <w:szCs w:val="20"/>
        </w:rPr>
        <w:t>.  At [7] his Honour said:</w:t>
      </w:r>
    </w:p>
    <w:p w14:paraId="4A335F67" w14:textId="77777777" w:rsidR="00CF4124" w:rsidRDefault="00CF4124" w:rsidP="0053241A">
      <w:pPr>
        <w:tabs>
          <w:tab w:val="left" w:pos="357"/>
        </w:tabs>
        <w:spacing w:before="80"/>
        <w:ind w:left="924" w:right="567" w:hanging="357"/>
        <w:jc w:val="both"/>
        <w:rPr>
          <w:rFonts w:ascii="Arial" w:hAnsi="Arial" w:cs="Arial"/>
          <w:sz w:val="20"/>
        </w:rPr>
      </w:pPr>
      <w:r>
        <w:rPr>
          <w:rFonts w:ascii="Arial" w:hAnsi="Arial" w:cs="Arial"/>
          <w:sz w:val="20"/>
        </w:rPr>
        <w:t>“1.</w:t>
      </w:r>
      <w:r>
        <w:rPr>
          <w:rFonts w:ascii="Arial" w:hAnsi="Arial" w:cs="Arial"/>
          <w:sz w:val="20"/>
        </w:rPr>
        <w:tab/>
        <w:t>The question for the court is whether it is in the interests of justice that an order be made under s.42E.</w:t>
      </w:r>
    </w:p>
    <w:p w14:paraId="2FDFC54A" w14:textId="77777777" w:rsidR="00CF4124" w:rsidRDefault="00CF4124" w:rsidP="00D772F0">
      <w:pPr>
        <w:numPr>
          <w:ilvl w:val="0"/>
          <w:numId w:val="19"/>
        </w:numPr>
        <w:tabs>
          <w:tab w:val="left" w:pos="357"/>
        </w:tabs>
        <w:spacing w:before="80"/>
        <w:ind w:right="567"/>
        <w:jc w:val="both"/>
        <w:rPr>
          <w:rFonts w:ascii="Arial" w:hAnsi="Arial" w:cs="Arial"/>
          <w:sz w:val="20"/>
          <w:szCs w:val="20"/>
        </w:rPr>
      </w:pPr>
      <w:r w:rsidRPr="00B97656">
        <w:rPr>
          <w:rFonts w:ascii="Arial" w:hAnsi="Arial" w:cs="Arial"/>
          <w:sz w:val="20"/>
          <w:szCs w:val="20"/>
        </w:rPr>
        <w:t>In considering that question, the right of the accused to a fair trial is paramount.</w:t>
      </w:r>
    </w:p>
    <w:p w14:paraId="36A07DAD" w14:textId="71B05B81" w:rsidR="00CF4124"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 xml:space="preserve">It does not follow that, because the accused may sustain some forensic disadvantage by reason of an order under s.42E, such an order should not be made.  As Brooking J observed in a different context in </w:t>
      </w:r>
      <w:r w:rsidRPr="00B97656">
        <w:rPr>
          <w:rFonts w:ascii="Arial" w:hAnsi="Arial" w:cs="Arial"/>
          <w:i/>
          <w:sz w:val="20"/>
          <w:szCs w:val="20"/>
        </w:rPr>
        <w:t>Jarvie v. Magistrates</w:t>
      </w:r>
      <w:r w:rsidR="000F0BE9">
        <w:rPr>
          <w:rFonts w:ascii="Arial" w:hAnsi="Arial" w:cs="Arial"/>
          <w:i/>
          <w:sz w:val="20"/>
          <w:szCs w:val="20"/>
        </w:rPr>
        <w:t>’</w:t>
      </w:r>
      <w:r w:rsidRPr="00B97656">
        <w:rPr>
          <w:rFonts w:ascii="Arial" w:hAnsi="Arial" w:cs="Arial"/>
          <w:i/>
          <w:sz w:val="20"/>
          <w:szCs w:val="20"/>
        </w:rPr>
        <w:t xml:space="preserve"> Court of Victoria</w:t>
      </w:r>
      <w:r w:rsidRPr="00B97656">
        <w:rPr>
          <w:rFonts w:ascii="Arial" w:hAnsi="Arial" w:cs="Arial"/>
          <w:sz w:val="20"/>
          <w:szCs w:val="20"/>
        </w:rPr>
        <w:t xml:space="preserve"> [1995] 1 VR 84 at 90 a </w:t>
      </w:r>
      <w:proofErr w:type="gramStart"/>
      <w:r>
        <w:rPr>
          <w:rFonts w:ascii="Arial" w:hAnsi="Arial" w:cs="Arial"/>
          <w:sz w:val="20"/>
          <w:szCs w:val="20"/>
        </w:rPr>
        <w:t>‘</w:t>
      </w:r>
      <w:r w:rsidRPr="00B97656">
        <w:rPr>
          <w:rFonts w:ascii="Arial" w:hAnsi="Arial" w:cs="Arial"/>
          <w:sz w:val="20"/>
          <w:szCs w:val="20"/>
        </w:rPr>
        <w:t xml:space="preserve"> ...</w:t>
      </w:r>
      <w:proofErr w:type="gramEnd"/>
      <w:r w:rsidRPr="00B97656">
        <w:rPr>
          <w:rFonts w:ascii="Arial" w:hAnsi="Arial" w:cs="Arial"/>
          <w:sz w:val="20"/>
          <w:szCs w:val="20"/>
        </w:rPr>
        <w:t xml:space="preserve"> fair trial does not mean a perfect trial, free from possible detriment or disadvantage of any kind or degree to the accused</w:t>
      </w:r>
      <w:r>
        <w:rPr>
          <w:rFonts w:ascii="Arial" w:hAnsi="Arial" w:cs="Arial"/>
          <w:sz w:val="20"/>
          <w:szCs w:val="20"/>
        </w:rPr>
        <w:t>’</w:t>
      </w:r>
      <w:r w:rsidRPr="00B97656">
        <w:rPr>
          <w:rFonts w:ascii="Arial" w:hAnsi="Arial" w:cs="Arial"/>
          <w:sz w:val="20"/>
          <w:szCs w:val="20"/>
        </w:rPr>
        <w:t>.</w:t>
      </w:r>
    </w:p>
    <w:p w14:paraId="46022EDD" w14:textId="77777777" w:rsidR="00CF4124"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The right of an accused to confront, in person, those who testify against him or her is a fundamental right</w:t>
      </w:r>
      <w:r>
        <w:rPr>
          <w:rFonts w:ascii="Arial" w:hAnsi="Arial" w:cs="Arial"/>
          <w:sz w:val="20"/>
          <w:szCs w:val="20"/>
        </w:rPr>
        <w:t xml:space="preserve"> in our criminal justice system: see </w:t>
      </w:r>
      <w:r w:rsidRPr="00F10D61">
        <w:rPr>
          <w:rFonts w:ascii="Arial" w:hAnsi="Arial" w:cs="Arial"/>
          <w:i/>
          <w:sz w:val="20"/>
          <w:szCs w:val="20"/>
        </w:rPr>
        <w:t>R v Goldman</w:t>
      </w:r>
      <w:r w:rsidRPr="00F10D61">
        <w:rPr>
          <w:rFonts w:ascii="Arial" w:hAnsi="Arial" w:cs="Arial"/>
          <w:sz w:val="20"/>
          <w:szCs w:val="20"/>
        </w:rPr>
        <w:t xml:space="preserve"> at [18]; </w:t>
      </w:r>
      <w:r w:rsidRPr="00F10D61">
        <w:rPr>
          <w:rFonts w:ascii="Arial" w:hAnsi="Arial" w:cs="Arial"/>
          <w:i/>
          <w:sz w:val="20"/>
          <w:szCs w:val="20"/>
        </w:rPr>
        <w:t xml:space="preserve">R v Ngo </w:t>
      </w:r>
      <w:r w:rsidRPr="00F10D61">
        <w:rPr>
          <w:rFonts w:ascii="Arial" w:hAnsi="Arial" w:cs="Arial"/>
          <w:sz w:val="20"/>
          <w:szCs w:val="20"/>
        </w:rPr>
        <w:t>(2001) NSWSC 339 at [10].</w:t>
      </w:r>
    </w:p>
    <w:p w14:paraId="5CCCA608" w14:textId="77777777" w:rsidR="00CF4124" w:rsidRPr="00727D20"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 xml:space="preserve">However, as Redlich J observed in </w:t>
      </w:r>
      <w:r>
        <w:rPr>
          <w:rFonts w:ascii="Arial" w:hAnsi="Arial" w:cs="Arial"/>
          <w:i/>
          <w:sz w:val="20"/>
          <w:szCs w:val="20"/>
        </w:rPr>
        <w:t xml:space="preserve">R v </w:t>
      </w:r>
      <w:r w:rsidRPr="00B97656">
        <w:rPr>
          <w:rFonts w:ascii="Arial" w:hAnsi="Arial" w:cs="Arial"/>
          <w:i/>
          <w:sz w:val="20"/>
          <w:szCs w:val="20"/>
        </w:rPr>
        <w:t xml:space="preserve">Goldman </w:t>
      </w:r>
      <w:r>
        <w:rPr>
          <w:rFonts w:ascii="Arial" w:hAnsi="Arial" w:cs="Arial"/>
          <w:sz w:val="20"/>
          <w:szCs w:val="20"/>
        </w:rPr>
        <w:t xml:space="preserve">at [23]-[25] </w:t>
      </w:r>
      <w:r w:rsidRPr="00B97656">
        <w:rPr>
          <w:rFonts w:ascii="Arial" w:hAnsi="Arial" w:cs="Arial"/>
          <w:sz w:val="20"/>
          <w:szCs w:val="20"/>
        </w:rPr>
        <w:t>that right, while fundamental, is not an absolute right at common law.  Section 42E is a further qualification of that right</w:t>
      </w:r>
      <w:r>
        <w:rPr>
          <w:rFonts w:ascii="Arial" w:hAnsi="Arial" w:cs="Arial"/>
          <w:sz w:val="20"/>
          <w:szCs w:val="20"/>
        </w:rPr>
        <w:t xml:space="preserve"> in appropriate circumstances.</w:t>
      </w:r>
    </w:p>
    <w:p w14:paraId="320A6144" w14:textId="77777777" w:rsidR="00CF4124" w:rsidRDefault="00CF4124" w:rsidP="00D772F0">
      <w:pPr>
        <w:numPr>
          <w:ilvl w:val="0"/>
          <w:numId w:val="19"/>
        </w:numPr>
        <w:tabs>
          <w:tab w:val="left" w:pos="357"/>
        </w:tabs>
        <w:spacing w:before="80"/>
        <w:ind w:left="924" w:right="567" w:hanging="357"/>
        <w:jc w:val="both"/>
        <w:rPr>
          <w:rFonts w:ascii="Arial" w:hAnsi="Arial" w:cs="Arial"/>
          <w:sz w:val="20"/>
        </w:rPr>
      </w:pPr>
      <w:r w:rsidRPr="00B97656">
        <w:rPr>
          <w:rFonts w:ascii="Arial" w:hAnsi="Arial" w:cs="Arial"/>
          <w:sz w:val="20"/>
          <w:szCs w:val="20"/>
        </w:rPr>
        <w:t>The question whether it is in the interests of justice to make an order under s.42E must be determined by balancing, on the one hand, the interests of the accused, and, on the other hand, the public interest in the ability of witnesses to give evidence in significant criminal trials without thereby occasioning danger to themselves or to other members of the community.</w:t>
      </w:r>
    </w:p>
    <w:p w14:paraId="534237CE" w14:textId="77777777" w:rsidR="00CF4124"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Nonetheless a court should not make an order under s.42E where to do so would unduly prejudice the right of an accused person to a fair trial.  For, as I have observe</w:t>
      </w:r>
      <w:r>
        <w:rPr>
          <w:rFonts w:ascii="Arial" w:hAnsi="Arial" w:cs="Arial"/>
          <w:sz w:val="20"/>
          <w:szCs w:val="20"/>
        </w:rPr>
        <w:t>d, that rig</w:t>
      </w:r>
      <w:r w:rsidRPr="00F10D61">
        <w:rPr>
          <w:rFonts w:ascii="Arial" w:hAnsi="Arial" w:cs="Arial"/>
          <w:sz w:val="20"/>
          <w:szCs w:val="20"/>
        </w:rPr>
        <w:t xml:space="preserve">ht must be paramount: see </w:t>
      </w:r>
      <w:r w:rsidRPr="00F10D61">
        <w:rPr>
          <w:rFonts w:ascii="Arial" w:hAnsi="Arial" w:cs="Arial"/>
          <w:i/>
          <w:sz w:val="20"/>
          <w:szCs w:val="20"/>
        </w:rPr>
        <w:t>R v Weiss</w:t>
      </w:r>
      <w:r w:rsidRPr="00F10D61">
        <w:rPr>
          <w:rFonts w:ascii="Arial" w:hAnsi="Arial" w:cs="Arial"/>
          <w:sz w:val="20"/>
          <w:szCs w:val="20"/>
        </w:rPr>
        <w:t xml:space="preserve"> at [7]; cf. </w:t>
      </w:r>
      <w:r w:rsidRPr="00F10D61">
        <w:rPr>
          <w:rFonts w:ascii="Arial" w:hAnsi="Arial" w:cs="Arial"/>
          <w:i/>
          <w:sz w:val="20"/>
          <w:szCs w:val="20"/>
        </w:rPr>
        <w:t>R v Lyne</w:t>
      </w:r>
      <w:r w:rsidRPr="00F10D61">
        <w:rPr>
          <w:rFonts w:ascii="Arial" w:hAnsi="Arial" w:cs="Arial"/>
          <w:sz w:val="20"/>
          <w:szCs w:val="20"/>
        </w:rPr>
        <w:t xml:space="preserve"> [VSCA] 118 at [31] per Eames JA; </w:t>
      </w:r>
      <w:r w:rsidRPr="00F10D61">
        <w:rPr>
          <w:rFonts w:ascii="Arial" w:hAnsi="Arial" w:cs="Arial"/>
          <w:i/>
          <w:sz w:val="20"/>
          <w:szCs w:val="20"/>
        </w:rPr>
        <w:t>R v Knigge</w:t>
      </w:r>
      <w:r w:rsidRPr="00F10D61">
        <w:rPr>
          <w:rFonts w:ascii="Arial" w:hAnsi="Arial" w:cs="Arial"/>
          <w:sz w:val="20"/>
          <w:szCs w:val="20"/>
        </w:rPr>
        <w:t xml:space="preserve"> [2003] 6 VR 181 at [30] per Winneke P.</w:t>
      </w:r>
      <w:r>
        <w:rPr>
          <w:rFonts w:ascii="Arial" w:hAnsi="Arial" w:cs="Arial"/>
          <w:sz w:val="20"/>
        </w:rPr>
        <w:t>”</w:t>
      </w:r>
    </w:p>
    <w:p w14:paraId="2E63CC54" w14:textId="77777777" w:rsidR="00CF4124" w:rsidRDefault="00CF4124" w:rsidP="00CF4124">
      <w:pPr>
        <w:jc w:val="both"/>
        <w:rPr>
          <w:rFonts w:ascii="Arial" w:hAnsi="Arial" w:cs="Arial"/>
          <w:sz w:val="20"/>
        </w:rPr>
      </w:pPr>
    </w:p>
    <w:p w14:paraId="45A27AF9" w14:textId="77777777" w:rsidR="00CF4124" w:rsidRDefault="00CF4124" w:rsidP="00CF4124">
      <w:pPr>
        <w:jc w:val="both"/>
        <w:rPr>
          <w:rFonts w:ascii="Arial" w:hAnsi="Arial" w:cs="Arial"/>
          <w:sz w:val="20"/>
        </w:rPr>
      </w:pPr>
      <w:r>
        <w:rPr>
          <w:rFonts w:ascii="Arial" w:hAnsi="Arial" w:cs="Arial"/>
          <w:sz w:val="20"/>
        </w:rPr>
        <w:t xml:space="preserve">Applying these principles in </w:t>
      </w:r>
      <w:r w:rsidRPr="00D879D5">
        <w:rPr>
          <w:rFonts w:ascii="Arial" w:hAnsi="Arial" w:cs="Arial"/>
          <w:i/>
          <w:sz w:val="20"/>
        </w:rPr>
        <w:t>R v Cox &amp; Ors</w:t>
      </w:r>
      <w:r>
        <w:rPr>
          <w:rFonts w:ascii="Arial" w:hAnsi="Arial" w:cs="Arial"/>
          <w:sz w:val="20"/>
        </w:rPr>
        <w:t xml:space="preserve"> Kaye J held at [25] that the Crown had established an appropriate basis for one of three Crown wit</w:t>
      </w:r>
      <w:r w:rsidR="00FD456D">
        <w:rPr>
          <w:rFonts w:ascii="Arial" w:hAnsi="Arial" w:cs="Arial"/>
          <w:sz w:val="20"/>
        </w:rPr>
        <w:t xml:space="preserve">nesses giving evidence by audio </w:t>
      </w:r>
      <w:r>
        <w:rPr>
          <w:rFonts w:ascii="Arial" w:hAnsi="Arial" w:cs="Arial"/>
          <w:sz w:val="20"/>
        </w:rPr>
        <w:t xml:space="preserve">visual link but </w:t>
      </w:r>
      <w:r w:rsidR="00FD456D">
        <w:rPr>
          <w:rFonts w:ascii="Arial" w:hAnsi="Arial" w:cs="Arial"/>
          <w:sz w:val="20"/>
        </w:rPr>
        <w:t xml:space="preserve">his Honour required </w:t>
      </w:r>
      <w:r>
        <w:rPr>
          <w:rFonts w:ascii="Arial" w:hAnsi="Arial" w:cs="Arial"/>
          <w:sz w:val="20"/>
        </w:rPr>
        <w:t xml:space="preserve">two </w:t>
      </w:r>
      <w:r w:rsidR="00FD456D">
        <w:rPr>
          <w:rFonts w:ascii="Arial" w:hAnsi="Arial" w:cs="Arial"/>
          <w:sz w:val="20"/>
        </w:rPr>
        <w:t xml:space="preserve">other </w:t>
      </w:r>
      <w:r>
        <w:rPr>
          <w:rFonts w:ascii="Arial" w:hAnsi="Arial" w:cs="Arial"/>
          <w:sz w:val="20"/>
        </w:rPr>
        <w:t xml:space="preserve">Crown witnesses to attend at court to give their evidence.  By contrast, in </w:t>
      </w:r>
      <w:r w:rsidRPr="00D879D5">
        <w:rPr>
          <w:rFonts w:ascii="Arial" w:hAnsi="Arial" w:cs="Arial"/>
          <w:i/>
          <w:sz w:val="20"/>
        </w:rPr>
        <w:t xml:space="preserve">R v Goldman </w:t>
      </w:r>
      <w:r>
        <w:rPr>
          <w:rFonts w:ascii="Arial" w:hAnsi="Arial" w:cs="Arial"/>
          <w:sz w:val="20"/>
        </w:rPr>
        <w:t xml:space="preserve">&amp; </w:t>
      </w:r>
      <w:r w:rsidRPr="00D879D5">
        <w:rPr>
          <w:rFonts w:ascii="Arial" w:hAnsi="Arial" w:cs="Arial"/>
          <w:i/>
          <w:sz w:val="20"/>
        </w:rPr>
        <w:t>R v Strawhorn</w:t>
      </w:r>
      <w:r>
        <w:rPr>
          <w:rFonts w:ascii="Arial" w:hAnsi="Arial" w:cs="Arial"/>
          <w:sz w:val="20"/>
        </w:rPr>
        <w:t xml:space="preserve"> the respective trial judges </w:t>
      </w:r>
      <w:r w:rsidR="00FD456D">
        <w:rPr>
          <w:rFonts w:ascii="Arial" w:hAnsi="Arial" w:cs="Arial"/>
          <w:sz w:val="20"/>
        </w:rPr>
        <w:t xml:space="preserve">had </w:t>
      </w:r>
      <w:r>
        <w:rPr>
          <w:rFonts w:ascii="Arial" w:hAnsi="Arial" w:cs="Arial"/>
          <w:sz w:val="20"/>
        </w:rPr>
        <w:t>made an order under s.42E in respect of a number of important Crown witnesses after assessing the degree of risk to the safety of the witnesses and the public and weighing that risk against any potential forensic disadvantage to the accused which might arise from the wi</w:t>
      </w:r>
      <w:r w:rsidR="00FD456D">
        <w:rPr>
          <w:rFonts w:ascii="Arial" w:hAnsi="Arial" w:cs="Arial"/>
          <w:sz w:val="20"/>
        </w:rPr>
        <w:t xml:space="preserve">tness giving evidence via audio </w:t>
      </w:r>
      <w:r>
        <w:rPr>
          <w:rFonts w:ascii="Arial" w:hAnsi="Arial" w:cs="Arial"/>
          <w:sz w:val="20"/>
        </w:rPr>
        <w:t>visual link.</w:t>
      </w:r>
    </w:p>
    <w:p w14:paraId="05546EBD" w14:textId="77777777" w:rsidR="00CF4124" w:rsidRDefault="00CF4124" w:rsidP="00CF4124">
      <w:pPr>
        <w:jc w:val="both"/>
        <w:rPr>
          <w:rFonts w:ascii="Arial" w:hAnsi="Arial" w:cs="Arial"/>
          <w:sz w:val="20"/>
        </w:rPr>
      </w:pPr>
    </w:p>
    <w:p w14:paraId="1328F8B1" w14:textId="55B54D6C" w:rsidR="00CF4124" w:rsidRDefault="00CF4124" w:rsidP="000F0BE9">
      <w:pPr>
        <w:jc w:val="both"/>
        <w:rPr>
          <w:rFonts w:ascii="Arial" w:hAnsi="Arial" w:cs="Arial"/>
          <w:sz w:val="20"/>
        </w:rPr>
      </w:pPr>
      <w:r>
        <w:rPr>
          <w:rFonts w:ascii="Arial" w:hAnsi="Arial" w:cs="Arial"/>
          <w:sz w:val="20"/>
        </w:rPr>
        <w:t xml:space="preserve">In </w:t>
      </w:r>
      <w:r w:rsidRPr="001C63BA">
        <w:rPr>
          <w:rFonts w:ascii="Arial" w:hAnsi="Arial" w:cs="Arial"/>
          <w:i/>
          <w:sz w:val="20"/>
        </w:rPr>
        <w:t>DPP v Finn (Ruling No.1)</w:t>
      </w:r>
      <w:r>
        <w:rPr>
          <w:rFonts w:ascii="Arial" w:hAnsi="Arial" w:cs="Arial"/>
          <w:sz w:val="20"/>
        </w:rPr>
        <w:t xml:space="preserve"> [2008] VSC 303 an application for the principal Crown witness to give evidence via a video link pursuant to s.42E of the </w:t>
      </w:r>
      <w:r w:rsidRPr="00A82F40">
        <w:rPr>
          <w:rFonts w:ascii="Arial" w:hAnsi="Arial" w:cs="Arial"/>
          <w:i/>
          <w:iCs/>
          <w:sz w:val="20"/>
        </w:rPr>
        <w:t>Evidence Act</w:t>
      </w:r>
      <w:r>
        <w:rPr>
          <w:rFonts w:ascii="Arial" w:hAnsi="Arial" w:cs="Arial"/>
          <w:sz w:val="20"/>
        </w:rPr>
        <w:t xml:space="preserve"> was refused.  At [2] Harper J described s.42E as “a merely permissive provision” and said that the section “is not intended specifically to protect witnesses who would otherwise be reluctant to give evidence in open court in the presence of an </w:t>
      </w:r>
      <w:r>
        <w:rPr>
          <w:rFonts w:ascii="Arial" w:hAnsi="Arial" w:cs="Arial"/>
          <w:sz w:val="20"/>
        </w:rPr>
        <w:lastRenderedPageBreak/>
        <w:t xml:space="preserve">accused person”.  Adopting the above propositions of law which had been set out by Kaye J in </w:t>
      </w:r>
      <w:r w:rsidRPr="00D879D5">
        <w:rPr>
          <w:rFonts w:ascii="Arial" w:hAnsi="Arial" w:cs="Arial"/>
          <w:i/>
          <w:sz w:val="20"/>
        </w:rPr>
        <w:t>R v Cox &amp; Ors</w:t>
      </w:r>
      <w:r>
        <w:rPr>
          <w:rFonts w:ascii="Arial" w:hAnsi="Arial" w:cs="Arial"/>
          <w:i/>
          <w:sz w:val="20"/>
        </w:rPr>
        <w:t xml:space="preserve">, </w:t>
      </w:r>
      <w:r w:rsidRPr="005D582F">
        <w:rPr>
          <w:rFonts w:ascii="Arial" w:hAnsi="Arial" w:cs="Arial"/>
          <w:sz w:val="20"/>
        </w:rPr>
        <w:t>his Honour</w:t>
      </w:r>
      <w:r>
        <w:rPr>
          <w:rFonts w:ascii="Arial" w:hAnsi="Arial" w:cs="Arial"/>
          <w:sz w:val="20"/>
        </w:rPr>
        <w:t xml:space="preserve"> refused the application on the basis that the prosecution had failed to satisfy him that the witness’ fear of the accused was such as to materially interfere with her ability to give evidence were she </w:t>
      </w:r>
      <w:r w:rsidR="00FD456D">
        <w:rPr>
          <w:rFonts w:ascii="Arial" w:hAnsi="Arial" w:cs="Arial"/>
          <w:sz w:val="20"/>
        </w:rPr>
        <w:t>required</w:t>
      </w:r>
      <w:r>
        <w:rPr>
          <w:rFonts w:ascii="Arial" w:hAnsi="Arial" w:cs="Arial"/>
          <w:sz w:val="20"/>
        </w:rPr>
        <w:t xml:space="preserve"> to be physically present in the witness box in Court.</w:t>
      </w:r>
    </w:p>
    <w:p w14:paraId="25D96256" w14:textId="77777777" w:rsidR="00CF4124" w:rsidRDefault="00CF4124" w:rsidP="00CF4124">
      <w:pPr>
        <w:jc w:val="both"/>
        <w:rPr>
          <w:rFonts w:ascii="Arial" w:hAnsi="Arial" w:cs="Arial"/>
          <w:sz w:val="20"/>
        </w:rPr>
      </w:pPr>
    </w:p>
    <w:p w14:paraId="005ABD20" w14:textId="01C0749E" w:rsidR="00A81791" w:rsidRDefault="00A81791" w:rsidP="00CF4124">
      <w:pPr>
        <w:jc w:val="both"/>
        <w:rPr>
          <w:rFonts w:ascii="Arial" w:hAnsi="Arial" w:cs="Arial"/>
          <w:sz w:val="20"/>
        </w:rPr>
      </w:pPr>
      <w:r>
        <w:rPr>
          <w:rFonts w:ascii="Arial" w:hAnsi="Arial" w:cs="Arial"/>
          <w:sz w:val="20"/>
        </w:rPr>
        <w:t xml:space="preserve">See also </w:t>
      </w:r>
      <w:r w:rsidRPr="00A81791">
        <w:rPr>
          <w:rFonts w:ascii="Arial" w:hAnsi="Arial" w:cs="Arial"/>
          <w:i/>
          <w:iCs/>
          <w:sz w:val="20"/>
        </w:rPr>
        <w:t>Grege v Grege &amp; Ors (Ruling)</w:t>
      </w:r>
      <w:r>
        <w:rPr>
          <w:rFonts w:ascii="Arial" w:hAnsi="Arial" w:cs="Arial"/>
          <w:sz w:val="20"/>
        </w:rPr>
        <w:t xml:space="preserve"> [2024] VSC 475 and the cases cited therein: </w:t>
      </w:r>
      <w:r w:rsidRPr="00A81791">
        <w:rPr>
          <w:rFonts w:ascii="Arial" w:hAnsi="Arial" w:cs="Arial"/>
          <w:i/>
          <w:iCs/>
          <w:sz w:val="20"/>
        </w:rPr>
        <w:t>ASIC v Rich</w:t>
      </w:r>
      <w:r w:rsidRPr="00A81791">
        <w:rPr>
          <w:rFonts w:ascii="Arial" w:hAnsi="Arial" w:cs="Arial"/>
          <w:sz w:val="20"/>
        </w:rPr>
        <w:t xml:space="preserve"> (2004) 49 ACSR 578</w:t>
      </w:r>
      <w:r>
        <w:rPr>
          <w:rFonts w:ascii="Arial" w:hAnsi="Arial" w:cs="Arial"/>
          <w:sz w:val="20"/>
        </w:rPr>
        <w:t>;</w:t>
      </w:r>
      <w:r w:rsidRPr="00A81791">
        <w:rPr>
          <w:rFonts w:ascii="Arial" w:hAnsi="Arial" w:cs="Arial"/>
          <w:sz w:val="20"/>
        </w:rPr>
        <w:t xml:space="preserve"> </w:t>
      </w:r>
      <w:r w:rsidRPr="00A81791">
        <w:rPr>
          <w:rFonts w:ascii="Arial" w:hAnsi="Arial" w:cs="Arial"/>
          <w:i/>
          <w:iCs/>
          <w:sz w:val="20"/>
        </w:rPr>
        <w:t>Wilson v Bauer Media (Ruling No 3)</w:t>
      </w:r>
      <w:r w:rsidRPr="00A81791">
        <w:rPr>
          <w:rFonts w:ascii="Arial" w:hAnsi="Arial" w:cs="Arial"/>
          <w:sz w:val="20"/>
        </w:rPr>
        <w:t xml:space="preserve"> [2017] VSC 311</w:t>
      </w:r>
      <w:r>
        <w:rPr>
          <w:rFonts w:ascii="Arial" w:hAnsi="Arial" w:cs="Arial"/>
          <w:sz w:val="20"/>
        </w:rPr>
        <w:t xml:space="preserve">; </w:t>
      </w:r>
      <w:r w:rsidRPr="00A81791">
        <w:rPr>
          <w:rFonts w:ascii="Arial" w:hAnsi="Arial" w:cs="Arial"/>
          <w:i/>
          <w:iCs/>
          <w:sz w:val="20"/>
        </w:rPr>
        <w:t>Kirby v Centro Properties</w:t>
      </w:r>
      <w:r w:rsidRPr="00A81791">
        <w:rPr>
          <w:rFonts w:ascii="Arial" w:hAnsi="Arial" w:cs="Arial"/>
          <w:sz w:val="20"/>
        </w:rPr>
        <w:t xml:space="preserve"> (2012) 288 ALR 601</w:t>
      </w:r>
      <w:r>
        <w:rPr>
          <w:rFonts w:ascii="Arial" w:hAnsi="Arial" w:cs="Arial"/>
          <w:sz w:val="20"/>
        </w:rPr>
        <w:t xml:space="preserve">; </w:t>
      </w:r>
      <w:r w:rsidRPr="00A81791">
        <w:rPr>
          <w:rFonts w:ascii="Arial" w:hAnsi="Arial" w:cs="Arial"/>
          <w:i/>
          <w:iCs/>
          <w:sz w:val="20"/>
        </w:rPr>
        <w:t>Ghosn v Principle Focus Pty Ltd &amp; Ors (Ruling)</w:t>
      </w:r>
      <w:r w:rsidRPr="00A81791">
        <w:rPr>
          <w:rFonts w:ascii="Arial" w:hAnsi="Arial" w:cs="Arial"/>
          <w:sz w:val="20"/>
        </w:rPr>
        <w:t xml:space="preserve"> [2008] VSC 454</w:t>
      </w:r>
      <w:r>
        <w:rPr>
          <w:rFonts w:ascii="Arial" w:hAnsi="Arial" w:cs="Arial"/>
          <w:sz w:val="20"/>
        </w:rPr>
        <w:t xml:space="preserve">; </w:t>
      </w:r>
      <w:r w:rsidRPr="00A81791">
        <w:rPr>
          <w:rFonts w:ascii="Arial" w:hAnsi="Arial" w:cs="Arial"/>
          <w:i/>
          <w:iCs/>
          <w:sz w:val="20"/>
        </w:rPr>
        <w:t>Joyce v Sunland Waterfront (BVI) Ltd</w:t>
      </w:r>
      <w:r w:rsidRPr="00A81791">
        <w:rPr>
          <w:rFonts w:ascii="Arial" w:hAnsi="Arial" w:cs="Arial"/>
          <w:sz w:val="20"/>
        </w:rPr>
        <w:t xml:space="preserve"> (2011) 195 FCR 213.</w:t>
      </w:r>
    </w:p>
    <w:p w14:paraId="5FB7B34C" w14:textId="77777777" w:rsidR="00A81791" w:rsidRDefault="00A81791" w:rsidP="00CF4124">
      <w:pPr>
        <w:jc w:val="both"/>
        <w:rPr>
          <w:rFonts w:ascii="Arial" w:hAnsi="Arial" w:cs="Arial"/>
          <w:sz w:val="20"/>
        </w:rPr>
      </w:pPr>
    </w:p>
    <w:p w14:paraId="1F9E5463" w14:textId="77777777" w:rsidR="00803AFF" w:rsidRDefault="00803AFF" w:rsidP="00803AFF">
      <w:pPr>
        <w:pStyle w:val="Heading3"/>
        <w:keepNext/>
        <w:tabs>
          <w:tab w:val="left" w:pos="357"/>
        </w:tabs>
        <w:spacing w:after="120" w:line="240" w:lineRule="auto"/>
        <w:rPr>
          <w:rFonts w:ascii="Arial" w:hAnsi="Arial" w:cs="Arial"/>
          <w:b/>
          <w:bCs/>
          <w:sz w:val="20"/>
        </w:rPr>
      </w:pPr>
      <w:bookmarkStart w:id="840" w:name="_3.5.12.2__Appearance"/>
      <w:bookmarkStart w:id="841" w:name="B35122"/>
      <w:bookmarkEnd w:id="840"/>
      <w:bookmarkEnd w:id="841"/>
      <w:r>
        <w:rPr>
          <w:rFonts w:ascii="Arial" w:hAnsi="Arial" w:cs="Arial"/>
          <w:b/>
          <w:bCs/>
          <w:sz w:val="20"/>
        </w:rPr>
        <w:t>3.5.12.2  Appearance etc. by an accused in a criminal or associated proceeding</w:t>
      </w:r>
    </w:p>
    <w:p w14:paraId="181816F6" w14:textId="22BE87BC" w:rsidR="00C36721" w:rsidRDefault="00C36721" w:rsidP="00CF4124">
      <w:pPr>
        <w:jc w:val="both"/>
        <w:rPr>
          <w:rFonts w:ascii="Arial" w:hAnsi="Arial" w:cs="Arial"/>
          <w:sz w:val="20"/>
        </w:rPr>
      </w:pPr>
      <w:r>
        <w:rPr>
          <w:rFonts w:ascii="Arial" w:hAnsi="Arial" w:cs="Arial"/>
          <w:sz w:val="20"/>
        </w:rPr>
        <w:t xml:space="preserve">Section 42O </w:t>
      </w:r>
      <w:r w:rsidR="00897844">
        <w:rPr>
          <w:rFonts w:ascii="Arial" w:hAnsi="Arial" w:cs="Arial"/>
          <w:sz w:val="20"/>
        </w:rPr>
        <w:t xml:space="preserve">of the </w:t>
      </w:r>
      <w:r w:rsidR="00897844" w:rsidRPr="00A82F40">
        <w:rPr>
          <w:rFonts w:ascii="Arial" w:hAnsi="Arial" w:cs="Arial"/>
          <w:i/>
          <w:iCs/>
          <w:sz w:val="20"/>
        </w:rPr>
        <w:t>Evidence (Miscellaneous Provisions) Act 1958</w:t>
      </w:r>
      <w:r w:rsidR="00A82F40" w:rsidRPr="00A82F40">
        <w:rPr>
          <w:rFonts w:ascii="Arial" w:hAnsi="Arial" w:cs="Arial"/>
          <w:sz w:val="20"/>
        </w:rPr>
        <w:t xml:space="preserve"> </w:t>
      </w:r>
      <w:r>
        <w:rPr>
          <w:rFonts w:ascii="Arial" w:hAnsi="Arial" w:cs="Arial"/>
          <w:sz w:val="20"/>
        </w:rPr>
        <w:t>provides that unless the court otherwise directs, a</w:t>
      </w:r>
      <w:r w:rsidR="00AC4447">
        <w:rPr>
          <w:rFonts w:ascii="Arial" w:hAnsi="Arial" w:cs="Arial"/>
          <w:sz w:val="20"/>
        </w:rPr>
        <w:t>n</w:t>
      </w:r>
      <w:r>
        <w:rPr>
          <w:rFonts w:ascii="Arial" w:hAnsi="Arial" w:cs="Arial"/>
          <w:sz w:val="20"/>
        </w:rPr>
        <w:t xml:space="preserve"> accused child who is required to appear, or be brought, </w:t>
      </w:r>
      <w:r w:rsidR="00522914">
        <w:rPr>
          <w:rFonts w:ascii="Arial" w:hAnsi="Arial" w:cs="Arial"/>
          <w:sz w:val="20"/>
        </w:rPr>
        <w:t xml:space="preserve">before the court in a criminal </w:t>
      </w:r>
      <w:r w:rsidR="00BD304D">
        <w:rPr>
          <w:rFonts w:ascii="Arial" w:hAnsi="Arial" w:cs="Arial"/>
          <w:sz w:val="20"/>
        </w:rPr>
        <w:t xml:space="preserve">proceeding </w:t>
      </w:r>
      <w:r w:rsidR="00B51247">
        <w:rPr>
          <w:rFonts w:ascii="Arial" w:hAnsi="Arial" w:cs="Arial"/>
          <w:sz w:val="20"/>
        </w:rPr>
        <w:t xml:space="preserve">(including a proceeding associated with, or ancillary to, or in consequence of, the proceeding for the offence) </w:t>
      </w:r>
      <w:r w:rsidR="00BD304D">
        <w:rPr>
          <w:rFonts w:ascii="Arial" w:hAnsi="Arial" w:cs="Arial"/>
          <w:sz w:val="20"/>
        </w:rPr>
        <w:t>must appear, or be brought, physically before the court.  Section 42</w:t>
      </w:r>
      <w:proofErr w:type="gramStart"/>
      <w:r w:rsidR="00BD304D">
        <w:rPr>
          <w:rFonts w:ascii="Arial" w:hAnsi="Arial" w:cs="Arial"/>
          <w:sz w:val="20"/>
        </w:rPr>
        <w:t>P(</w:t>
      </w:r>
      <w:proofErr w:type="gramEnd"/>
      <w:r w:rsidR="00BD304D">
        <w:rPr>
          <w:rFonts w:ascii="Arial" w:hAnsi="Arial" w:cs="Arial"/>
          <w:sz w:val="20"/>
        </w:rPr>
        <w:t xml:space="preserve">1) provides that a court may direct a child referred to in s.42O </w:t>
      </w:r>
      <w:r w:rsidR="00B51247">
        <w:rPr>
          <w:rFonts w:ascii="Arial" w:hAnsi="Arial" w:cs="Arial"/>
          <w:sz w:val="20"/>
        </w:rPr>
        <w:t xml:space="preserve">to </w:t>
      </w:r>
      <w:r w:rsidR="00BD304D">
        <w:rPr>
          <w:rFonts w:ascii="Arial" w:hAnsi="Arial" w:cs="Arial"/>
          <w:sz w:val="20"/>
        </w:rPr>
        <w:t>appear before it by audio visual link if it is satisfied that such appearance is</w:t>
      </w:r>
      <w:r w:rsidR="00FD5F44" w:rsidRPr="00A31FFA">
        <w:rPr>
          <w:rFonts w:ascii="Arial" w:hAnsi="Arial" w:cs="Arial"/>
          <w:sz w:val="20"/>
        </w:rPr>
        <w:t>–</w:t>
      </w:r>
    </w:p>
    <w:p w14:paraId="6F35894C" w14:textId="77777777" w:rsidR="00BD304D" w:rsidRDefault="00BD304D" w:rsidP="003D7DEC">
      <w:pPr>
        <w:numPr>
          <w:ilvl w:val="0"/>
          <w:numId w:val="18"/>
        </w:numPr>
        <w:tabs>
          <w:tab w:val="left" w:pos="357"/>
        </w:tabs>
        <w:ind w:left="357" w:hanging="357"/>
        <w:jc w:val="both"/>
        <w:rPr>
          <w:rFonts w:ascii="Arial" w:hAnsi="Arial" w:cs="Arial"/>
          <w:sz w:val="20"/>
        </w:rPr>
      </w:pPr>
      <w:r>
        <w:rPr>
          <w:rFonts w:ascii="Arial" w:hAnsi="Arial" w:cs="Arial"/>
          <w:sz w:val="20"/>
        </w:rPr>
        <w:t>consistent with the interests of justice; and</w:t>
      </w:r>
    </w:p>
    <w:p w14:paraId="73E10FB5" w14:textId="77777777" w:rsidR="00BD304D" w:rsidRDefault="00BD304D" w:rsidP="00D772F0">
      <w:pPr>
        <w:numPr>
          <w:ilvl w:val="0"/>
          <w:numId w:val="18"/>
        </w:numPr>
        <w:tabs>
          <w:tab w:val="left" w:pos="357"/>
        </w:tabs>
        <w:ind w:left="357" w:hanging="357"/>
        <w:jc w:val="both"/>
        <w:rPr>
          <w:rFonts w:ascii="Arial" w:hAnsi="Arial" w:cs="Arial"/>
          <w:sz w:val="20"/>
        </w:rPr>
      </w:pPr>
      <w:r>
        <w:rPr>
          <w:rFonts w:ascii="Arial" w:hAnsi="Arial" w:cs="Arial"/>
          <w:sz w:val="20"/>
        </w:rPr>
        <w:t>reasonably practicable in the circumstances.</w:t>
      </w:r>
    </w:p>
    <w:p w14:paraId="1C249090" w14:textId="77777777" w:rsidR="00C36721" w:rsidRDefault="00C36721">
      <w:pPr>
        <w:jc w:val="both"/>
        <w:rPr>
          <w:rFonts w:ascii="Arial" w:hAnsi="Arial" w:cs="Arial"/>
          <w:sz w:val="20"/>
        </w:rPr>
      </w:pPr>
    </w:p>
    <w:p w14:paraId="41CA96E4" w14:textId="77777777" w:rsidR="00B51247" w:rsidRDefault="00B51247">
      <w:pPr>
        <w:jc w:val="both"/>
        <w:rPr>
          <w:rFonts w:ascii="Arial" w:hAnsi="Arial" w:cs="Arial"/>
          <w:sz w:val="20"/>
        </w:rPr>
      </w:pPr>
      <w:r>
        <w:rPr>
          <w:rFonts w:ascii="Arial" w:hAnsi="Arial" w:cs="Arial"/>
          <w:sz w:val="20"/>
        </w:rPr>
        <w:t xml:space="preserve">Sections 42K to 42M make similar but somewhat more limited provision </w:t>
      </w:r>
      <w:r w:rsidR="00492FB4">
        <w:rPr>
          <w:rFonts w:ascii="Arial" w:hAnsi="Arial" w:cs="Arial"/>
          <w:sz w:val="20"/>
        </w:rPr>
        <w:t>for the</w:t>
      </w:r>
      <w:r>
        <w:rPr>
          <w:rFonts w:ascii="Arial" w:hAnsi="Arial" w:cs="Arial"/>
          <w:sz w:val="20"/>
        </w:rPr>
        <w:t xml:space="preserve"> appearance of an adult accused person before a court by audio visual link.</w:t>
      </w:r>
    </w:p>
    <w:p w14:paraId="140B739C" w14:textId="77777777" w:rsidR="00505C19" w:rsidRDefault="00505C19" w:rsidP="00505C19">
      <w:pPr>
        <w:jc w:val="both"/>
        <w:rPr>
          <w:rFonts w:ascii="Arial" w:hAnsi="Arial" w:cs="Arial"/>
          <w:sz w:val="20"/>
        </w:rPr>
      </w:pPr>
    </w:p>
    <w:p w14:paraId="165EE5CA" w14:textId="77777777" w:rsidR="00505C19" w:rsidRDefault="00803AFF" w:rsidP="00803AFF">
      <w:pPr>
        <w:pStyle w:val="Heading3"/>
        <w:keepNext/>
        <w:tabs>
          <w:tab w:val="left" w:pos="357"/>
        </w:tabs>
        <w:spacing w:after="120" w:line="240" w:lineRule="auto"/>
        <w:rPr>
          <w:rFonts w:ascii="Arial" w:hAnsi="Arial" w:cs="Arial"/>
          <w:b/>
          <w:bCs/>
          <w:sz w:val="20"/>
        </w:rPr>
      </w:pPr>
      <w:bookmarkStart w:id="842" w:name="_3.5.12.3__Alternative"/>
      <w:bookmarkStart w:id="843" w:name="B35123"/>
      <w:bookmarkEnd w:id="842"/>
      <w:bookmarkEnd w:id="843"/>
      <w:r>
        <w:rPr>
          <w:rFonts w:ascii="Arial" w:hAnsi="Arial" w:cs="Arial"/>
          <w:b/>
          <w:bCs/>
          <w:sz w:val="20"/>
        </w:rPr>
        <w:t>3.5.12.3  Alternative arrangements for giving evidence in certain criminal proceedings</w:t>
      </w:r>
    </w:p>
    <w:p w14:paraId="51A2401D" w14:textId="392BE861" w:rsidR="00EF2047" w:rsidRDefault="00EF2047" w:rsidP="006A707F">
      <w:pPr>
        <w:jc w:val="both"/>
        <w:rPr>
          <w:rFonts w:ascii="Arial" w:hAnsi="Arial" w:cs="Arial"/>
          <w:sz w:val="20"/>
        </w:rPr>
      </w:pPr>
      <w:r>
        <w:rPr>
          <w:rFonts w:ascii="Arial" w:hAnsi="Arial" w:cs="Arial"/>
          <w:sz w:val="20"/>
        </w:rPr>
        <w:t xml:space="preserve">Under s.359 of the </w:t>
      </w:r>
      <w:r w:rsidRPr="00A82F40">
        <w:rPr>
          <w:rFonts w:ascii="Arial" w:hAnsi="Arial" w:cs="Arial"/>
          <w:i/>
          <w:iCs/>
          <w:sz w:val="20"/>
        </w:rPr>
        <w:t>Criminal Procedure Act 2009</w:t>
      </w:r>
      <w:r>
        <w:rPr>
          <w:rFonts w:ascii="Arial" w:hAnsi="Arial" w:cs="Arial"/>
          <w:sz w:val="20"/>
        </w:rPr>
        <w:t>, the alternative arrangements referred to below apply to all witnesses (including complainants) in a criminal proceeding that relates (wholly or partly) to a charge for</w:t>
      </w:r>
      <w:r w:rsidR="00FD5F44" w:rsidRPr="00A31FFA">
        <w:rPr>
          <w:rFonts w:ascii="Arial" w:hAnsi="Arial" w:cs="Arial"/>
          <w:sz w:val="20"/>
        </w:rPr>
        <w:t>–</w:t>
      </w:r>
    </w:p>
    <w:p w14:paraId="5882682F" w14:textId="77777777" w:rsidR="00EF2047" w:rsidRDefault="00EF2047" w:rsidP="00D772F0">
      <w:pPr>
        <w:numPr>
          <w:ilvl w:val="0"/>
          <w:numId w:val="28"/>
        </w:numPr>
        <w:tabs>
          <w:tab w:val="clear" w:pos="720"/>
        </w:tabs>
        <w:ind w:left="357" w:hanging="357"/>
        <w:jc w:val="both"/>
        <w:rPr>
          <w:rFonts w:ascii="Arial" w:hAnsi="Arial" w:cs="Arial"/>
          <w:sz w:val="20"/>
        </w:rPr>
      </w:pPr>
      <w:r>
        <w:rPr>
          <w:rFonts w:ascii="Arial" w:hAnsi="Arial" w:cs="Arial"/>
          <w:sz w:val="20"/>
        </w:rPr>
        <w:t>a sexual offence; or</w:t>
      </w:r>
    </w:p>
    <w:p w14:paraId="1DE3B023" w14:textId="77777777" w:rsidR="00EF2047" w:rsidRDefault="00EF2047" w:rsidP="00D772F0">
      <w:pPr>
        <w:numPr>
          <w:ilvl w:val="0"/>
          <w:numId w:val="28"/>
        </w:numPr>
        <w:tabs>
          <w:tab w:val="clear" w:pos="720"/>
        </w:tabs>
        <w:ind w:left="357" w:hanging="357"/>
        <w:jc w:val="both"/>
        <w:rPr>
          <w:rFonts w:ascii="Arial" w:hAnsi="Arial" w:cs="Arial"/>
          <w:sz w:val="20"/>
        </w:rPr>
      </w:pPr>
      <w:r>
        <w:rPr>
          <w:rFonts w:ascii="Arial" w:hAnsi="Arial" w:cs="Arial"/>
          <w:sz w:val="20"/>
        </w:rPr>
        <w:t xml:space="preserve">an offence where the conduct constituting the offence consists of family violence within the meaning of the </w:t>
      </w:r>
      <w:r w:rsidRPr="00A82F40">
        <w:rPr>
          <w:rFonts w:ascii="Arial" w:hAnsi="Arial" w:cs="Arial"/>
          <w:i/>
          <w:iCs/>
          <w:sz w:val="20"/>
        </w:rPr>
        <w:t>Family Violence Protection Act 2008</w:t>
      </w:r>
      <w:r>
        <w:rPr>
          <w:rFonts w:ascii="Arial" w:hAnsi="Arial" w:cs="Arial"/>
          <w:sz w:val="20"/>
        </w:rPr>
        <w:t>.</w:t>
      </w:r>
    </w:p>
    <w:p w14:paraId="42E8F91E" w14:textId="77777777" w:rsidR="00EF2047" w:rsidRDefault="00EF2047" w:rsidP="006A707F">
      <w:pPr>
        <w:jc w:val="both"/>
        <w:rPr>
          <w:rFonts w:ascii="Arial" w:hAnsi="Arial" w:cs="Arial"/>
          <w:sz w:val="20"/>
        </w:rPr>
      </w:pPr>
    </w:p>
    <w:p w14:paraId="7EA9DBE5" w14:textId="6B255F0D" w:rsidR="00FE0691" w:rsidRDefault="006A707F" w:rsidP="00F15798">
      <w:pPr>
        <w:jc w:val="both"/>
        <w:rPr>
          <w:rFonts w:ascii="Arial" w:hAnsi="Arial" w:cs="Arial"/>
          <w:sz w:val="20"/>
        </w:rPr>
      </w:pPr>
      <w:r>
        <w:rPr>
          <w:rFonts w:ascii="Arial" w:hAnsi="Arial" w:cs="Arial"/>
          <w:sz w:val="20"/>
        </w:rPr>
        <w:t>Under s.</w:t>
      </w:r>
      <w:r w:rsidR="000C6196">
        <w:rPr>
          <w:rFonts w:ascii="Arial" w:hAnsi="Arial" w:cs="Arial"/>
          <w:sz w:val="20"/>
        </w:rPr>
        <w:t>360</w:t>
      </w:r>
      <w:r>
        <w:rPr>
          <w:rFonts w:ascii="Arial" w:hAnsi="Arial" w:cs="Arial"/>
          <w:sz w:val="20"/>
        </w:rPr>
        <w:t xml:space="preserve"> the court</w:t>
      </w:r>
      <w:r w:rsidR="000C6196">
        <w:rPr>
          <w:rFonts w:ascii="Arial" w:hAnsi="Arial" w:cs="Arial"/>
          <w:sz w:val="20"/>
        </w:rPr>
        <w:t xml:space="preserve"> </w:t>
      </w:r>
      <w:r w:rsidR="000C6196" w:rsidRPr="00F15798">
        <w:rPr>
          <w:rFonts w:ascii="Arial" w:hAnsi="Arial" w:cs="Arial"/>
          <w:b/>
          <w:sz w:val="20"/>
          <w:u w:val="single"/>
        </w:rPr>
        <w:t>may</w:t>
      </w:r>
      <w:r w:rsidR="000C6196">
        <w:rPr>
          <w:rFonts w:ascii="Arial" w:hAnsi="Arial" w:cs="Arial"/>
          <w:sz w:val="20"/>
        </w:rPr>
        <w:t xml:space="preserve"> direct that alternative arrangements be made for the giving of evidence by a wi</w:t>
      </w:r>
      <w:r w:rsidR="00F15798">
        <w:rPr>
          <w:rFonts w:ascii="Arial" w:hAnsi="Arial" w:cs="Arial"/>
          <w:sz w:val="20"/>
        </w:rPr>
        <w:t xml:space="preserve">tness.  Such arrangements </w:t>
      </w:r>
      <w:r w:rsidR="00FE0691">
        <w:rPr>
          <w:rFonts w:ascii="Arial" w:hAnsi="Arial" w:cs="Arial"/>
          <w:sz w:val="20"/>
        </w:rPr>
        <w:t>may include but are not restricted to</w:t>
      </w:r>
      <w:r w:rsidR="00FD5F44" w:rsidRPr="00A31FFA">
        <w:rPr>
          <w:rFonts w:ascii="Arial" w:hAnsi="Arial" w:cs="Arial"/>
          <w:sz w:val="20"/>
        </w:rPr>
        <w:t>–</w:t>
      </w:r>
    </w:p>
    <w:p w14:paraId="5565E4E3" w14:textId="77777777" w:rsidR="00FE0691" w:rsidRDefault="00FE0691" w:rsidP="006A707F">
      <w:pPr>
        <w:ind w:left="357" w:hanging="357"/>
        <w:jc w:val="both"/>
        <w:rPr>
          <w:rFonts w:ascii="Arial" w:hAnsi="Arial" w:cs="Arial"/>
          <w:sz w:val="20"/>
        </w:rPr>
      </w:pPr>
      <w:r>
        <w:rPr>
          <w:rFonts w:ascii="Arial" w:hAnsi="Arial" w:cs="Arial"/>
          <w:sz w:val="20"/>
        </w:rPr>
        <w:t>(a)</w:t>
      </w:r>
      <w:r>
        <w:rPr>
          <w:rFonts w:ascii="Arial" w:hAnsi="Arial" w:cs="Arial"/>
          <w:sz w:val="20"/>
        </w:rPr>
        <w:tab/>
        <w:t>permitting the evidence to be given from a place other than the courtroom by closed-ci</w:t>
      </w:r>
      <w:r w:rsidR="00EF2047">
        <w:rPr>
          <w:rFonts w:ascii="Arial" w:hAnsi="Arial" w:cs="Arial"/>
          <w:sz w:val="20"/>
        </w:rPr>
        <w:t>rcuit television or other facilities that enable communication between that place and the courtroom</w:t>
      </w:r>
      <w:r>
        <w:rPr>
          <w:rFonts w:ascii="Arial" w:hAnsi="Arial" w:cs="Arial"/>
          <w:sz w:val="20"/>
        </w:rPr>
        <w:t>;</w:t>
      </w:r>
    </w:p>
    <w:p w14:paraId="410ACCAE" w14:textId="77777777" w:rsidR="00FE0691" w:rsidRDefault="00FE0691" w:rsidP="006A707F">
      <w:pPr>
        <w:ind w:left="357" w:hanging="357"/>
        <w:jc w:val="both"/>
        <w:rPr>
          <w:rFonts w:ascii="Arial" w:hAnsi="Arial" w:cs="Arial"/>
          <w:sz w:val="20"/>
        </w:rPr>
      </w:pPr>
      <w:r>
        <w:rPr>
          <w:rFonts w:ascii="Arial" w:hAnsi="Arial" w:cs="Arial"/>
          <w:sz w:val="20"/>
        </w:rPr>
        <w:t>(b)</w:t>
      </w:r>
      <w:r>
        <w:rPr>
          <w:rFonts w:ascii="Arial" w:hAnsi="Arial" w:cs="Arial"/>
          <w:sz w:val="20"/>
        </w:rPr>
        <w:tab/>
        <w:t xml:space="preserve">using screens to remove the </w:t>
      </w:r>
      <w:r w:rsidR="00EF2047">
        <w:rPr>
          <w:rFonts w:ascii="Arial" w:hAnsi="Arial" w:cs="Arial"/>
          <w:sz w:val="20"/>
        </w:rPr>
        <w:t>accused</w:t>
      </w:r>
      <w:r>
        <w:rPr>
          <w:rFonts w:ascii="Arial" w:hAnsi="Arial" w:cs="Arial"/>
          <w:sz w:val="20"/>
        </w:rPr>
        <w:t xml:space="preserve"> from </w:t>
      </w:r>
      <w:r w:rsidR="00EF2047">
        <w:rPr>
          <w:rFonts w:ascii="Arial" w:hAnsi="Arial" w:cs="Arial"/>
          <w:sz w:val="20"/>
        </w:rPr>
        <w:t xml:space="preserve">the </w:t>
      </w:r>
      <w:r>
        <w:rPr>
          <w:rFonts w:ascii="Arial" w:hAnsi="Arial" w:cs="Arial"/>
          <w:sz w:val="20"/>
        </w:rPr>
        <w:t>direct line of vision</w:t>
      </w:r>
      <w:r w:rsidR="00EF2047" w:rsidRPr="00EF2047">
        <w:rPr>
          <w:rFonts w:ascii="Arial" w:hAnsi="Arial" w:cs="Arial"/>
          <w:sz w:val="20"/>
        </w:rPr>
        <w:t xml:space="preserve"> </w:t>
      </w:r>
      <w:r w:rsidR="00EF2047">
        <w:rPr>
          <w:rFonts w:ascii="Arial" w:hAnsi="Arial" w:cs="Arial"/>
          <w:sz w:val="20"/>
        </w:rPr>
        <w:t>of the witness</w:t>
      </w:r>
      <w:r>
        <w:rPr>
          <w:rFonts w:ascii="Arial" w:hAnsi="Arial" w:cs="Arial"/>
          <w:sz w:val="20"/>
        </w:rPr>
        <w:t>;</w:t>
      </w:r>
    </w:p>
    <w:p w14:paraId="565AFE7C" w14:textId="77777777" w:rsidR="00FE0691" w:rsidRDefault="00FE0691" w:rsidP="006A707F">
      <w:pPr>
        <w:ind w:left="357" w:hanging="357"/>
        <w:jc w:val="both"/>
        <w:rPr>
          <w:rFonts w:ascii="Arial" w:hAnsi="Arial" w:cs="Arial"/>
          <w:sz w:val="20"/>
        </w:rPr>
      </w:pPr>
      <w:r>
        <w:rPr>
          <w:rFonts w:ascii="Arial" w:hAnsi="Arial" w:cs="Arial"/>
          <w:sz w:val="20"/>
        </w:rPr>
        <w:t>(c)</w:t>
      </w:r>
      <w:r>
        <w:rPr>
          <w:rFonts w:ascii="Arial" w:hAnsi="Arial" w:cs="Arial"/>
          <w:sz w:val="20"/>
        </w:rPr>
        <w:tab/>
        <w:t>permitting a person</w:t>
      </w:r>
      <w:r w:rsidR="00EF2047">
        <w:rPr>
          <w:rFonts w:ascii="Arial" w:hAnsi="Arial" w:cs="Arial"/>
          <w:sz w:val="20"/>
        </w:rPr>
        <w:t>, chosen by the witness and approved by the court for this purpose,</w:t>
      </w:r>
      <w:r>
        <w:rPr>
          <w:rFonts w:ascii="Arial" w:hAnsi="Arial" w:cs="Arial"/>
          <w:sz w:val="20"/>
        </w:rPr>
        <w:t xml:space="preserve"> to be beside the witness while </w:t>
      </w:r>
      <w:r w:rsidR="00EF2047">
        <w:rPr>
          <w:rFonts w:ascii="Arial" w:hAnsi="Arial" w:cs="Arial"/>
          <w:sz w:val="20"/>
        </w:rPr>
        <w:t>the witness</w:t>
      </w:r>
      <w:r>
        <w:rPr>
          <w:rFonts w:ascii="Arial" w:hAnsi="Arial" w:cs="Arial"/>
          <w:sz w:val="20"/>
        </w:rPr>
        <w:t xml:space="preserve"> is giving evidence</w:t>
      </w:r>
      <w:r w:rsidR="00EF2047">
        <w:rPr>
          <w:rFonts w:ascii="Arial" w:hAnsi="Arial" w:cs="Arial"/>
          <w:sz w:val="20"/>
        </w:rPr>
        <w:t>,</w:t>
      </w:r>
      <w:r>
        <w:rPr>
          <w:rFonts w:ascii="Arial" w:hAnsi="Arial" w:cs="Arial"/>
          <w:sz w:val="20"/>
        </w:rPr>
        <w:t xml:space="preserve"> for the purpose of providing emotional support to </w:t>
      </w:r>
      <w:r w:rsidR="00EF2047">
        <w:rPr>
          <w:rFonts w:ascii="Arial" w:hAnsi="Arial" w:cs="Arial"/>
          <w:sz w:val="20"/>
        </w:rPr>
        <w:t>the witness</w:t>
      </w:r>
      <w:r>
        <w:rPr>
          <w:rFonts w:ascii="Arial" w:hAnsi="Arial" w:cs="Arial"/>
          <w:sz w:val="20"/>
        </w:rPr>
        <w:t>;</w:t>
      </w:r>
    </w:p>
    <w:p w14:paraId="7BE1BBA0" w14:textId="77777777" w:rsidR="00EF2047" w:rsidRDefault="00FE0691" w:rsidP="006A707F">
      <w:pPr>
        <w:ind w:left="357" w:hanging="357"/>
        <w:jc w:val="both"/>
        <w:rPr>
          <w:rFonts w:ascii="Arial" w:hAnsi="Arial" w:cs="Arial"/>
          <w:sz w:val="20"/>
        </w:rPr>
      </w:pPr>
      <w:r>
        <w:rPr>
          <w:rFonts w:ascii="Arial" w:hAnsi="Arial" w:cs="Arial"/>
          <w:sz w:val="20"/>
        </w:rPr>
        <w:t>(d)</w:t>
      </w:r>
      <w:r>
        <w:rPr>
          <w:rFonts w:ascii="Arial" w:hAnsi="Arial" w:cs="Arial"/>
          <w:sz w:val="20"/>
        </w:rPr>
        <w:tab/>
      </w:r>
      <w:r w:rsidR="00EF2047">
        <w:rPr>
          <w:rFonts w:ascii="Arial" w:hAnsi="Arial" w:cs="Arial"/>
          <w:sz w:val="20"/>
        </w:rPr>
        <w:t>permitting only persons specified by the court to be present while the witness is giving evidence;</w:t>
      </w:r>
    </w:p>
    <w:p w14:paraId="1DE7EE80" w14:textId="77777777" w:rsidR="00EF2047" w:rsidRDefault="00EF2047" w:rsidP="006A707F">
      <w:pPr>
        <w:ind w:left="357" w:hanging="357"/>
        <w:jc w:val="both"/>
        <w:rPr>
          <w:rFonts w:ascii="Arial" w:hAnsi="Arial" w:cs="Arial"/>
          <w:sz w:val="20"/>
        </w:rPr>
      </w:pPr>
      <w:r>
        <w:rPr>
          <w:rFonts w:ascii="Arial" w:hAnsi="Arial" w:cs="Arial"/>
          <w:sz w:val="20"/>
        </w:rPr>
        <w:t>(e)</w:t>
      </w:r>
      <w:r>
        <w:rPr>
          <w:rFonts w:ascii="Arial" w:hAnsi="Arial" w:cs="Arial"/>
          <w:sz w:val="20"/>
        </w:rPr>
        <w:tab/>
        <w:t>requiring legal practitioners not to robe;</w:t>
      </w:r>
    </w:p>
    <w:p w14:paraId="65B56443" w14:textId="77777777" w:rsidR="00EF2047" w:rsidRDefault="00EF2047" w:rsidP="006A707F">
      <w:pPr>
        <w:ind w:left="357" w:hanging="357"/>
        <w:jc w:val="both"/>
        <w:rPr>
          <w:rFonts w:ascii="Arial" w:hAnsi="Arial" w:cs="Arial"/>
          <w:sz w:val="20"/>
        </w:rPr>
      </w:pPr>
      <w:r>
        <w:rPr>
          <w:rFonts w:ascii="Arial" w:hAnsi="Arial" w:cs="Arial"/>
          <w:sz w:val="20"/>
        </w:rPr>
        <w:t>(f)</w:t>
      </w:r>
      <w:r>
        <w:rPr>
          <w:rFonts w:ascii="Arial" w:hAnsi="Arial" w:cs="Arial"/>
          <w:sz w:val="20"/>
        </w:rPr>
        <w:tab/>
        <w:t>requiring legal practitioners to be seated while examining or cross-examining the witness.</w:t>
      </w:r>
    </w:p>
    <w:p w14:paraId="7AD44E48" w14:textId="77777777" w:rsidR="00FE0691" w:rsidRDefault="00FE0691" w:rsidP="006A707F">
      <w:pPr>
        <w:ind w:left="357" w:hanging="357"/>
        <w:jc w:val="both"/>
        <w:rPr>
          <w:rFonts w:ascii="Arial" w:hAnsi="Arial" w:cs="Arial"/>
          <w:sz w:val="20"/>
        </w:rPr>
      </w:pPr>
    </w:p>
    <w:p w14:paraId="34D83BDF" w14:textId="3B6A4BDE" w:rsidR="002F03EC" w:rsidRDefault="00FE0691" w:rsidP="00CA085E">
      <w:pPr>
        <w:jc w:val="both"/>
        <w:rPr>
          <w:rFonts w:ascii="Arial" w:hAnsi="Arial" w:cs="Arial"/>
          <w:sz w:val="20"/>
        </w:rPr>
      </w:pPr>
      <w:r>
        <w:rPr>
          <w:rFonts w:ascii="Arial" w:hAnsi="Arial" w:cs="Arial"/>
          <w:sz w:val="20"/>
        </w:rPr>
        <w:t>Under s</w:t>
      </w:r>
      <w:r w:rsidR="00F15798">
        <w:rPr>
          <w:rFonts w:ascii="Arial" w:hAnsi="Arial" w:cs="Arial"/>
          <w:sz w:val="20"/>
        </w:rPr>
        <w:t>.363</w:t>
      </w:r>
      <w:r w:rsidR="002F03EC">
        <w:rPr>
          <w:rFonts w:ascii="Arial" w:hAnsi="Arial" w:cs="Arial"/>
          <w:sz w:val="20"/>
        </w:rPr>
        <w:t>(1)</w:t>
      </w:r>
      <w:r w:rsidR="00CA0685">
        <w:rPr>
          <w:rFonts w:ascii="Arial" w:hAnsi="Arial" w:cs="Arial"/>
          <w:sz w:val="20"/>
        </w:rPr>
        <w:t>,</w:t>
      </w:r>
      <w:r w:rsidR="00F15798">
        <w:rPr>
          <w:rFonts w:ascii="Arial" w:hAnsi="Arial" w:cs="Arial"/>
          <w:sz w:val="20"/>
        </w:rPr>
        <w:t xml:space="preserve"> the court </w:t>
      </w:r>
      <w:r w:rsidR="00F15798" w:rsidRPr="00F15798">
        <w:rPr>
          <w:rFonts w:ascii="Arial" w:hAnsi="Arial" w:cs="Arial"/>
          <w:b/>
          <w:sz w:val="20"/>
          <w:u w:val="single"/>
        </w:rPr>
        <w:t>must</w:t>
      </w:r>
      <w:r w:rsidR="00F15798">
        <w:rPr>
          <w:rFonts w:ascii="Arial" w:hAnsi="Arial" w:cs="Arial"/>
          <w:sz w:val="20"/>
        </w:rPr>
        <w:t xml:space="preserve"> direct </w:t>
      </w:r>
      <w:r w:rsidR="00CA0685">
        <w:rPr>
          <w:rFonts w:ascii="Arial" w:hAnsi="Arial" w:cs="Arial"/>
          <w:sz w:val="20"/>
        </w:rPr>
        <w:t xml:space="preserve">use of closed-circuit television or other facilities [pursuant to s.360(a)] for a witness who is a complainant </w:t>
      </w:r>
      <w:r w:rsidR="002F03EC">
        <w:rPr>
          <w:rFonts w:ascii="Arial" w:hAnsi="Arial" w:cs="Arial"/>
          <w:sz w:val="20"/>
        </w:rPr>
        <w:t>in a criminal proceeding that relates (wholly or partly) to a charge for a sexual offence unless</w:t>
      </w:r>
      <w:r w:rsidR="00FD5F44" w:rsidRPr="00A31FFA">
        <w:rPr>
          <w:rFonts w:ascii="Arial" w:hAnsi="Arial" w:cs="Arial"/>
          <w:sz w:val="20"/>
        </w:rPr>
        <w:t>–</w:t>
      </w:r>
    </w:p>
    <w:p w14:paraId="005AF902" w14:textId="474477FD" w:rsidR="002F03EC" w:rsidRDefault="002F03EC">
      <w:pPr>
        <w:pStyle w:val="ListParagraph"/>
        <w:numPr>
          <w:ilvl w:val="0"/>
          <w:numId w:val="82"/>
        </w:numPr>
        <w:ind w:left="357" w:hanging="357"/>
        <w:jc w:val="both"/>
        <w:rPr>
          <w:rFonts w:ascii="Arial" w:hAnsi="Arial" w:cs="Arial"/>
          <w:sz w:val="20"/>
        </w:rPr>
      </w:pPr>
      <w:r>
        <w:rPr>
          <w:rFonts w:ascii="Arial" w:hAnsi="Arial" w:cs="Arial"/>
          <w:sz w:val="20"/>
        </w:rPr>
        <w:t>the prosecution applies for the complainant to give evidence in the courtroom; and</w:t>
      </w:r>
    </w:p>
    <w:p w14:paraId="3DCC083B" w14:textId="68C16CE7" w:rsidR="00CA0685" w:rsidRPr="002F03EC" w:rsidRDefault="002F03EC">
      <w:pPr>
        <w:pStyle w:val="ListParagraph"/>
        <w:numPr>
          <w:ilvl w:val="0"/>
          <w:numId w:val="82"/>
        </w:numPr>
        <w:ind w:left="357" w:hanging="357"/>
        <w:jc w:val="both"/>
        <w:rPr>
          <w:rFonts w:ascii="Arial" w:hAnsi="Arial" w:cs="Arial"/>
          <w:sz w:val="20"/>
        </w:rPr>
      </w:pPr>
      <w:r>
        <w:rPr>
          <w:rFonts w:ascii="Arial" w:hAnsi="Arial" w:cs="Arial"/>
          <w:sz w:val="20"/>
        </w:rPr>
        <w:t xml:space="preserve">the court is satisfied </w:t>
      </w:r>
      <w:r w:rsidR="00CA0685" w:rsidRPr="002F03EC">
        <w:rPr>
          <w:rFonts w:ascii="Arial" w:hAnsi="Arial" w:cs="Arial"/>
          <w:sz w:val="20"/>
        </w:rPr>
        <w:t>that the complainant is aware of the right to give evidence remotely and is able and wishes to give evidence in the courtroom.</w:t>
      </w:r>
    </w:p>
    <w:p w14:paraId="5764A4CF" w14:textId="5F7BD6AC" w:rsidR="00CA0685" w:rsidRDefault="00CA0685" w:rsidP="00CA085E">
      <w:pPr>
        <w:jc w:val="both"/>
        <w:rPr>
          <w:rFonts w:ascii="Arial" w:hAnsi="Arial" w:cs="Arial"/>
          <w:sz w:val="20"/>
        </w:rPr>
      </w:pPr>
    </w:p>
    <w:p w14:paraId="2CE76EE2" w14:textId="6961A7FC" w:rsidR="002F03EC" w:rsidRDefault="002F03EC" w:rsidP="00CA085E">
      <w:pPr>
        <w:jc w:val="both"/>
        <w:rPr>
          <w:rFonts w:ascii="Arial" w:hAnsi="Arial" w:cs="Arial"/>
          <w:sz w:val="20"/>
        </w:rPr>
      </w:pPr>
      <w:r>
        <w:rPr>
          <w:rFonts w:ascii="Arial" w:hAnsi="Arial" w:cs="Arial"/>
          <w:sz w:val="20"/>
        </w:rPr>
        <w:t xml:space="preserve">Under ss.363(2) &amp; 363(3), the court </w:t>
      </w:r>
      <w:r w:rsidRPr="00F15798">
        <w:rPr>
          <w:rFonts w:ascii="Arial" w:hAnsi="Arial" w:cs="Arial"/>
          <w:b/>
          <w:sz w:val="20"/>
          <w:u w:val="single"/>
        </w:rPr>
        <w:t>must</w:t>
      </w:r>
      <w:r>
        <w:rPr>
          <w:rFonts w:ascii="Arial" w:hAnsi="Arial" w:cs="Arial"/>
          <w:sz w:val="20"/>
        </w:rPr>
        <w:t xml:space="preserve"> direct use of closed-circuit television or other facilities [pursuant to s.360(a)] for a witness who is a complainant in a proceeding that relates (wholly or partly) to a charge for an offence where the conduct constituting the offence consists of family violence within the meaning of the FVPA if</w:t>
      </w:r>
      <w:r w:rsidR="00FD5F44" w:rsidRPr="00A31FFA">
        <w:rPr>
          <w:rFonts w:ascii="Arial" w:hAnsi="Arial" w:cs="Arial"/>
          <w:sz w:val="20"/>
        </w:rPr>
        <w:t>–</w:t>
      </w:r>
    </w:p>
    <w:p w14:paraId="19D74CE2" w14:textId="5F6BF0B4" w:rsidR="002F03EC" w:rsidRDefault="002F03EC">
      <w:pPr>
        <w:pStyle w:val="ListParagraph"/>
        <w:numPr>
          <w:ilvl w:val="0"/>
          <w:numId w:val="83"/>
        </w:numPr>
        <w:ind w:left="357" w:hanging="357"/>
        <w:jc w:val="both"/>
        <w:rPr>
          <w:rFonts w:ascii="Arial" w:hAnsi="Arial" w:cs="Arial"/>
          <w:sz w:val="20"/>
        </w:rPr>
      </w:pPr>
      <w:r>
        <w:rPr>
          <w:rFonts w:ascii="Arial" w:hAnsi="Arial" w:cs="Arial"/>
          <w:sz w:val="20"/>
        </w:rPr>
        <w:t>closed-circuit television or other facilities that enable communication between the courtroom and the other place are available; and</w:t>
      </w:r>
    </w:p>
    <w:p w14:paraId="4AFE10A4" w14:textId="7061BD03" w:rsidR="002F03EC" w:rsidRPr="002F03EC" w:rsidRDefault="00BB6106">
      <w:pPr>
        <w:pStyle w:val="ListParagraph"/>
        <w:numPr>
          <w:ilvl w:val="0"/>
          <w:numId w:val="83"/>
        </w:numPr>
        <w:ind w:left="357" w:hanging="357"/>
        <w:jc w:val="both"/>
        <w:rPr>
          <w:rFonts w:ascii="Arial" w:hAnsi="Arial" w:cs="Arial"/>
          <w:sz w:val="20"/>
        </w:rPr>
      </w:pPr>
      <w:r>
        <w:rPr>
          <w:rFonts w:ascii="Arial" w:hAnsi="Arial" w:cs="Arial"/>
          <w:sz w:val="20"/>
        </w:rPr>
        <w:t>it is practicable to do so</w:t>
      </w:r>
      <w:r w:rsidR="00FD5F44" w:rsidRPr="00A31FFA">
        <w:rPr>
          <w:rFonts w:ascii="Arial" w:hAnsi="Arial" w:cs="Arial"/>
          <w:sz w:val="20"/>
        </w:rPr>
        <w:t>–</w:t>
      </w:r>
    </w:p>
    <w:p w14:paraId="26F276FC" w14:textId="53901ACE" w:rsidR="002F03EC" w:rsidRDefault="00BB6106" w:rsidP="00CA085E">
      <w:pPr>
        <w:jc w:val="both"/>
        <w:rPr>
          <w:rFonts w:ascii="Arial" w:hAnsi="Arial" w:cs="Arial"/>
          <w:sz w:val="20"/>
        </w:rPr>
      </w:pPr>
      <w:r>
        <w:rPr>
          <w:rFonts w:ascii="Arial" w:hAnsi="Arial" w:cs="Arial"/>
          <w:sz w:val="20"/>
        </w:rPr>
        <w:t>unless</w:t>
      </w:r>
      <w:r w:rsidR="00FD5F44" w:rsidRPr="00A31FFA">
        <w:rPr>
          <w:rFonts w:ascii="Arial" w:hAnsi="Arial" w:cs="Arial"/>
          <w:sz w:val="20"/>
        </w:rPr>
        <w:t>–</w:t>
      </w:r>
    </w:p>
    <w:p w14:paraId="1E71C057" w14:textId="3CADB32C" w:rsidR="002F03EC" w:rsidRDefault="00BB6106">
      <w:pPr>
        <w:pStyle w:val="ListParagraph"/>
        <w:numPr>
          <w:ilvl w:val="0"/>
          <w:numId w:val="84"/>
        </w:numPr>
        <w:ind w:left="357" w:hanging="357"/>
        <w:jc w:val="both"/>
        <w:rPr>
          <w:rFonts w:ascii="Arial" w:hAnsi="Arial" w:cs="Arial"/>
          <w:sz w:val="20"/>
        </w:rPr>
      </w:pPr>
      <w:r>
        <w:rPr>
          <w:rFonts w:ascii="Arial" w:hAnsi="Arial" w:cs="Arial"/>
          <w:sz w:val="20"/>
        </w:rPr>
        <w:t>the prosecution applies for the complainant to give evidence in the courtroom; and</w:t>
      </w:r>
    </w:p>
    <w:p w14:paraId="6EBF6F88" w14:textId="77475651" w:rsidR="00BB6106" w:rsidRPr="00BB6106" w:rsidRDefault="00BB6106">
      <w:pPr>
        <w:pStyle w:val="ListParagraph"/>
        <w:numPr>
          <w:ilvl w:val="0"/>
          <w:numId w:val="84"/>
        </w:numPr>
        <w:ind w:left="357" w:hanging="357"/>
        <w:jc w:val="both"/>
        <w:rPr>
          <w:rFonts w:ascii="Arial" w:hAnsi="Arial" w:cs="Arial"/>
          <w:sz w:val="20"/>
        </w:rPr>
      </w:pPr>
      <w:r>
        <w:rPr>
          <w:rFonts w:ascii="Arial" w:hAnsi="Arial" w:cs="Arial"/>
          <w:sz w:val="20"/>
        </w:rPr>
        <w:t xml:space="preserve">the court is satisfied </w:t>
      </w:r>
      <w:r w:rsidRPr="002F03EC">
        <w:rPr>
          <w:rFonts w:ascii="Arial" w:hAnsi="Arial" w:cs="Arial"/>
          <w:sz w:val="20"/>
        </w:rPr>
        <w:t>that the complainant is aware of the right to give evidence remotely and is able and wishes to give evidence in the courtroom.</w:t>
      </w:r>
    </w:p>
    <w:p w14:paraId="67C97D53" w14:textId="77777777" w:rsidR="002F03EC" w:rsidRDefault="002F03EC" w:rsidP="00CA085E">
      <w:pPr>
        <w:jc w:val="both"/>
        <w:rPr>
          <w:rFonts w:ascii="Arial" w:hAnsi="Arial" w:cs="Arial"/>
          <w:sz w:val="20"/>
        </w:rPr>
      </w:pPr>
    </w:p>
    <w:p w14:paraId="4B13902F" w14:textId="77777777" w:rsidR="00F15798" w:rsidRDefault="00F15798" w:rsidP="00CA085E">
      <w:pPr>
        <w:jc w:val="both"/>
        <w:rPr>
          <w:rFonts w:ascii="Arial" w:hAnsi="Arial" w:cs="Arial"/>
          <w:sz w:val="20"/>
        </w:rPr>
      </w:pPr>
      <w:r>
        <w:rPr>
          <w:rFonts w:ascii="Arial" w:hAnsi="Arial" w:cs="Arial"/>
          <w:sz w:val="20"/>
        </w:rPr>
        <w:lastRenderedPageBreak/>
        <w:t>Under s.364, if the witness is a complainant and is to</w:t>
      </w:r>
      <w:r w:rsidR="00CA0685">
        <w:rPr>
          <w:rFonts w:ascii="Arial" w:hAnsi="Arial" w:cs="Arial"/>
          <w:sz w:val="20"/>
        </w:rPr>
        <w:t xml:space="preserve"> give evidence in the courtroom, the court </w:t>
      </w:r>
      <w:r w:rsidR="00CA0685" w:rsidRPr="00CA0685">
        <w:rPr>
          <w:rFonts w:ascii="Arial" w:hAnsi="Arial" w:cs="Arial"/>
          <w:b/>
          <w:sz w:val="20"/>
          <w:u w:val="single"/>
        </w:rPr>
        <w:t>must</w:t>
      </w:r>
      <w:r w:rsidR="00CA0685">
        <w:rPr>
          <w:rFonts w:ascii="Arial" w:hAnsi="Arial" w:cs="Arial"/>
          <w:sz w:val="20"/>
        </w:rPr>
        <w:t xml:space="preserve"> direct the use of screens for the complainant [pursuant to s.360(b)] unless the court is satisfied that the complainant is aware of the right to give evidence while screens are used and does not wish a screen to be used.</w:t>
      </w:r>
    </w:p>
    <w:p w14:paraId="488F45FF" w14:textId="77777777" w:rsidR="00CA0685" w:rsidRDefault="00CA0685" w:rsidP="00DE0CC3">
      <w:pPr>
        <w:jc w:val="both"/>
        <w:rPr>
          <w:rFonts w:ascii="Arial" w:hAnsi="Arial" w:cs="Arial"/>
          <w:sz w:val="20"/>
        </w:rPr>
      </w:pPr>
    </w:p>
    <w:p w14:paraId="3B7D2932" w14:textId="77777777" w:rsidR="00CA0685" w:rsidRDefault="00CA0685" w:rsidP="00DE0CC3">
      <w:pPr>
        <w:jc w:val="both"/>
        <w:rPr>
          <w:rFonts w:ascii="Arial" w:hAnsi="Arial" w:cs="Arial"/>
          <w:sz w:val="20"/>
        </w:rPr>
      </w:pPr>
      <w:r>
        <w:rPr>
          <w:rFonts w:ascii="Arial" w:hAnsi="Arial" w:cs="Arial"/>
          <w:sz w:val="20"/>
        </w:rPr>
        <w:t xml:space="preserve">Under s.365, if the witness is a complainant, the court </w:t>
      </w:r>
      <w:r w:rsidRPr="00CA0685">
        <w:rPr>
          <w:rFonts w:ascii="Arial" w:hAnsi="Arial" w:cs="Arial"/>
          <w:b/>
          <w:sz w:val="20"/>
          <w:u w:val="single"/>
        </w:rPr>
        <w:t>must</w:t>
      </w:r>
      <w:r>
        <w:rPr>
          <w:rFonts w:ascii="Arial" w:hAnsi="Arial" w:cs="Arial"/>
          <w:sz w:val="20"/>
        </w:rPr>
        <w:t xml:space="preserve"> direct the presence of a support person for the complainant [pursuant to s.360(c)] unless the court is satisfied </w:t>
      </w:r>
      <w:r w:rsidR="000D0C94">
        <w:rPr>
          <w:rFonts w:ascii="Arial" w:hAnsi="Arial" w:cs="Arial"/>
          <w:sz w:val="20"/>
        </w:rPr>
        <w:t>that the complainant is aware of the right to have a support person and does not wish to have a support person.</w:t>
      </w:r>
    </w:p>
    <w:p w14:paraId="4BA229AC" w14:textId="79DD0095" w:rsidR="006E5C27" w:rsidRDefault="006E5C27" w:rsidP="006E5C27">
      <w:pPr>
        <w:jc w:val="both"/>
        <w:rPr>
          <w:rFonts w:ascii="Arial" w:hAnsi="Arial" w:cs="Arial"/>
          <w:sz w:val="20"/>
        </w:rPr>
      </w:pPr>
    </w:p>
    <w:p w14:paraId="34CDDCC6" w14:textId="09977AC8" w:rsidR="00B7560B" w:rsidRDefault="00556BEC" w:rsidP="006E5C27">
      <w:pPr>
        <w:jc w:val="both"/>
        <w:rPr>
          <w:rFonts w:ascii="Arial" w:hAnsi="Arial" w:cs="Arial"/>
          <w:sz w:val="20"/>
          <w:szCs w:val="20"/>
        </w:rPr>
      </w:pPr>
      <w:r w:rsidRPr="00B7560B">
        <w:rPr>
          <w:rFonts w:ascii="Arial" w:hAnsi="Arial" w:cs="Arial"/>
          <w:sz w:val="20"/>
          <w:szCs w:val="20"/>
        </w:rPr>
        <w:t xml:space="preserve">In </w:t>
      </w:r>
      <w:r w:rsidRPr="00B7560B">
        <w:rPr>
          <w:rFonts w:ascii="Arial" w:hAnsi="Arial" w:cs="Arial"/>
          <w:i/>
          <w:iCs/>
          <w:sz w:val="20"/>
          <w:szCs w:val="20"/>
        </w:rPr>
        <w:t>Males v The Queen</w:t>
      </w:r>
      <w:r w:rsidRPr="00B7560B">
        <w:rPr>
          <w:rFonts w:ascii="Arial" w:hAnsi="Arial" w:cs="Arial"/>
          <w:sz w:val="20"/>
          <w:szCs w:val="20"/>
        </w:rPr>
        <w:t xml:space="preserve"> [2021] VSCA 159 the applicant was on trial in the County Court on multiple charges of rape, threat to kill and intentionally causing injury. The prosecution applied under s.363(a) for the first complainant K to give evidence in the courtroom. Having permitted the evidence to be given in the courtroom the trial judge directed in accordance with s.360(b) that a screen was set up between the witness box and the dock, blocking the line of vision between the two. K gave evidence </w:t>
      </w:r>
      <w:r w:rsidR="00B7560B" w:rsidRPr="00B7560B">
        <w:rPr>
          <w:rFonts w:ascii="Arial" w:hAnsi="Arial" w:cs="Arial"/>
          <w:sz w:val="20"/>
          <w:szCs w:val="20"/>
        </w:rPr>
        <w:t xml:space="preserve">for about an hour before the court adjourned for the day. The following morning the prosecutor informed the judge that K now wanted to give her evidence from the remote facility. When her Honour indicated that she proposed to allow that change to occur, counsel for the applicant sought a discharge of the jury. The basis for the application was that the jury would inevitably draw an adverse inference from the change of arrangements. The judge refused the discharge application. </w:t>
      </w:r>
      <w:r w:rsidR="00B7560B">
        <w:rPr>
          <w:rFonts w:ascii="Arial" w:hAnsi="Arial" w:cs="Arial"/>
          <w:sz w:val="20"/>
          <w:szCs w:val="20"/>
        </w:rPr>
        <w:t>The Court of Appeal (Maxwell P &amp; Emerton JA) granted leave to appeal and allowed the appeal, holding that</w:t>
      </w:r>
      <w:r w:rsidR="00D675A6">
        <w:rPr>
          <w:rFonts w:ascii="Arial" w:hAnsi="Arial" w:cs="Arial"/>
          <w:sz w:val="20"/>
          <w:szCs w:val="20"/>
        </w:rPr>
        <w:t xml:space="preserve"> </w:t>
      </w:r>
      <w:r w:rsidR="00B7560B">
        <w:rPr>
          <w:rFonts w:ascii="Arial" w:hAnsi="Arial" w:cs="Arial"/>
          <w:sz w:val="20"/>
          <w:szCs w:val="20"/>
        </w:rPr>
        <w:t xml:space="preserve">the jury was likely to infer that K was in fear of the accused: “The </w:t>
      </w:r>
      <w:r w:rsidR="00B7560B" w:rsidRPr="00B7560B">
        <w:rPr>
          <w:rFonts w:ascii="Arial" w:hAnsi="Arial" w:cs="Arial"/>
          <w:sz w:val="20"/>
          <w:szCs w:val="20"/>
        </w:rPr>
        <w:t xml:space="preserve">availability of that inference created a very significant risk of prejudice, in our view. </w:t>
      </w:r>
      <w:r w:rsidR="00B7560B" w:rsidRPr="00B7560B">
        <w:rPr>
          <w:rFonts w:ascii="Arial" w:eastAsia="Book Antiqua" w:hAnsi="Arial" w:cs="Arial"/>
          <w:sz w:val="20"/>
          <w:szCs w:val="20"/>
        </w:rPr>
        <w:t>K’s decision to withdraw to the r</w:t>
      </w:r>
      <w:r w:rsidR="005F5739">
        <w:rPr>
          <w:rFonts w:ascii="Arial" w:eastAsia="Book Antiqua" w:hAnsi="Arial" w:cs="Arial"/>
          <w:sz w:val="20"/>
          <w:szCs w:val="20"/>
        </w:rPr>
        <w:t>e</w:t>
      </w:r>
      <w:r w:rsidR="00B7560B" w:rsidRPr="00B7560B">
        <w:rPr>
          <w:rFonts w:ascii="Arial" w:eastAsia="Book Antiqua" w:hAnsi="Arial" w:cs="Arial"/>
          <w:sz w:val="20"/>
          <w:szCs w:val="20"/>
        </w:rPr>
        <w:t>mote facility —</w:t>
      </w:r>
      <w:r w:rsidR="00B7560B" w:rsidRPr="00B7560B">
        <w:rPr>
          <w:rFonts w:ascii="Arial" w:hAnsi="Arial" w:cs="Arial"/>
          <w:sz w:val="20"/>
          <w:szCs w:val="20"/>
        </w:rPr>
        <w:t xml:space="preserve"> </w:t>
      </w:r>
      <w:r w:rsidR="00B7560B" w:rsidRPr="00B7560B">
        <w:rPr>
          <w:rFonts w:ascii="Arial" w:eastAsia="Book Antiqua" w:hAnsi="Arial" w:cs="Arial"/>
          <w:sz w:val="20"/>
          <w:szCs w:val="20"/>
        </w:rPr>
        <w:t xml:space="preserve">to ‘take flight’ from the </w:t>
      </w:r>
      <w:r w:rsidR="00B7560B" w:rsidRPr="00B7560B">
        <w:rPr>
          <w:rFonts w:ascii="Arial" w:hAnsi="Arial" w:cs="Arial"/>
          <w:sz w:val="20"/>
          <w:szCs w:val="20"/>
        </w:rPr>
        <w:t xml:space="preserve">courtroom </w:t>
      </w:r>
      <w:r w:rsidR="00B7560B" w:rsidRPr="00B7560B">
        <w:rPr>
          <w:rFonts w:ascii="Arial" w:eastAsia="Book Antiqua" w:hAnsi="Arial" w:cs="Arial"/>
          <w:sz w:val="20"/>
          <w:szCs w:val="20"/>
        </w:rPr>
        <w:t>—</w:t>
      </w:r>
      <w:r w:rsidR="00B7560B" w:rsidRPr="00B7560B">
        <w:rPr>
          <w:rFonts w:ascii="Arial" w:hAnsi="Arial" w:cs="Arial"/>
          <w:sz w:val="20"/>
          <w:szCs w:val="20"/>
        </w:rPr>
        <w:t xml:space="preserve"> was capable of being seen by the jury as confirmatory of the truth of </w:t>
      </w:r>
      <w:r w:rsidR="00B7560B" w:rsidRPr="00B7560B">
        <w:rPr>
          <w:rFonts w:ascii="Arial" w:eastAsia="Book Antiqua" w:hAnsi="Arial" w:cs="Arial"/>
          <w:sz w:val="20"/>
          <w:szCs w:val="20"/>
        </w:rPr>
        <w:t>her evidence about the applicant’s violent conduct towards her.</w:t>
      </w:r>
      <w:r w:rsidR="00B7560B">
        <w:rPr>
          <w:rFonts w:ascii="Arial" w:eastAsia="Book Antiqua" w:hAnsi="Arial" w:cs="Arial"/>
          <w:sz w:val="20"/>
          <w:szCs w:val="20"/>
        </w:rPr>
        <w:t>”</w:t>
      </w:r>
      <w:r w:rsidR="00D675A6">
        <w:rPr>
          <w:rFonts w:ascii="Arial" w:eastAsia="Book Antiqua" w:hAnsi="Arial" w:cs="Arial"/>
          <w:sz w:val="20"/>
          <w:szCs w:val="20"/>
        </w:rPr>
        <w:t xml:space="preserve"> Further, it was “at best uncertain” whether jury directions would “eradicate the danger to the fairness of the trial”: see </w:t>
      </w:r>
      <w:r w:rsidR="00D675A6" w:rsidRPr="00D675A6">
        <w:rPr>
          <w:rFonts w:ascii="Arial" w:eastAsia="Book Antiqua" w:hAnsi="Arial" w:cs="Arial"/>
          <w:i/>
          <w:iCs/>
          <w:sz w:val="20"/>
          <w:szCs w:val="20"/>
        </w:rPr>
        <w:t>Crofts v The Queen</w:t>
      </w:r>
      <w:r w:rsidR="00D675A6">
        <w:rPr>
          <w:rFonts w:ascii="Arial" w:eastAsia="Book Antiqua" w:hAnsi="Arial" w:cs="Arial"/>
          <w:sz w:val="20"/>
          <w:szCs w:val="20"/>
        </w:rPr>
        <w:t xml:space="preserve"> (1996) 186 CLR 427 at 442.</w:t>
      </w:r>
    </w:p>
    <w:p w14:paraId="1325F4B0" w14:textId="77777777" w:rsidR="00D675A6" w:rsidRDefault="00D675A6" w:rsidP="006E5C27">
      <w:pPr>
        <w:jc w:val="both"/>
        <w:rPr>
          <w:rFonts w:ascii="Arial" w:hAnsi="Arial" w:cs="Arial"/>
          <w:sz w:val="20"/>
        </w:rPr>
      </w:pPr>
    </w:p>
    <w:p w14:paraId="27258267" w14:textId="77777777" w:rsidR="006E5C27" w:rsidRDefault="006E5C27" w:rsidP="006E5C27">
      <w:pPr>
        <w:pStyle w:val="Heading3"/>
        <w:keepNext/>
        <w:spacing w:after="120" w:line="240" w:lineRule="auto"/>
        <w:rPr>
          <w:rFonts w:ascii="Arial" w:hAnsi="Arial" w:cs="Arial"/>
          <w:b/>
          <w:bCs/>
          <w:sz w:val="20"/>
        </w:rPr>
      </w:pPr>
      <w:bookmarkStart w:id="844" w:name="_3.5.13_The_rule"/>
      <w:bookmarkStart w:id="845" w:name="B3513"/>
      <w:bookmarkEnd w:id="844"/>
      <w:bookmarkEnd w:id="845"/>
      <w:r>
        <w:rPr>
          <w:rFonts w:ascii="Arial" w:hAnsi="Arial" w:cs="Arial"/>
          <w:b/>
          <w:bCs/>
          <w:sz w:val="20"/>
        </w:rPr>
        <w:t>3.5.13</w:t>
      </w:r>
      <w:r>
        <w:rPr>
          <w:rFonts w:ascii="Arial" w:hAnsi="Arial" w:cs="Arial"/>
          <w:b/>
          <w:bCs/>
          <w:sz w:val="20"/>
        </w:rPr>
        <w:tab/>
        <w:t>The rule in Browne v Dunn</w:t>
      </w:r>
    </w:p>
    <w:p w14:paraId="650877DE" w14:textId="77777777" w:rsidR="006E5C27" w:rsidRDefault="006E5C27" w:rsidP="006E5C27">
      <w:pPr>
        <w:jc w:val="both"/>
        <w:rPr>
          <w:rFonts w:ascii="Arial" w:hAnsi="Arial" w:cs="Arial"/>
          <w:sz w:val="20"/>
        </w:rPr>
      </w:pPr>
      <w:r>
        <w:rPr>
          <w:rFonts w:ascii="Arial" w:hAnsi="Arial" w:cs="Arial"/>
          <w:sz w:val="20"/>
        </w:rPr>
        <w:t xml:space="preserve">In </w:t>
      </w:r>
      <w:r w:rsidRPr="006F7316">
        <w:rPr>
          <w:rFonts w:ascii="Arial" w:hAnsi="Arial" w:cs="Arial"/>
          <w:i/>
          <w:sz w:val="20"/>
        </w:rPr>
        <w:t>R v Coswello</w:t>
      </w:r>
      <w:r>
        <w:rPr>
          <w:rFonts w:ascii="Arial" w:hAnsi="Arial" w:cs="Arial"/>
          <w:sz w:val="20"/>
        </w:rPr>
        <w:t xml:space="preserve"> [2009] VSCA 300 Williams AJA (with whom Buchanan &amp; Nettle JJA agreed) said at [48]-[49]:</w:t>
      </w:r>
    </w:p>
    <w:p w14:paraId="10EB604F" w14:textId="77777777" w:rsidR="006E5C27" w:rsidRPr="00F47775" w:rsidRDefault="006E5C27" w:rsidP="00EA0261">
      <w:pPr>
        <w:spacing w:before="120"/>
        <w:ind w:left="567" w:right="567"/>
        <w:jc w:val="both"/>
        <w:rPr>
          <w:rFonts w:ascii="Arial" w:hAnsi="Arial" w:cs="Arial"/>
          <w:iCs/>
          <w:sz w:val="20"/>
          <w:szCs w:val="20"/>
        </w:rPr>
      </w:pPr>
      <w:r>
        <w:rPr>
          <w:rFonts w:ascii="Arial" w:hAnsi="Arial" w:cs="Arial"/>
          <w:iCs/>
          <w:sz w:val="20"/>
          <w:szCs w:val="20"/>
        </w:rPr>
        <w:t xml:space="preserve">[48] “The rule in </w:t>
      </w:r>
      <w:r w:rsidRPr="005444DA">
        <w:rPr>
          <w:rFonts w:ascii="Arial" w:hAnsi="Arial" w:cs="Arial"/>
          <w:i/>
          <w:iCs/>
          <w:sz w:val="20"/>
          <w:szCs w:val="20"/>
        </w:rPr>
        <w:t>Browne v Dunn</w:t>
      </w:r>
      <w:r>
        <w:rPr>
          <w:rFonts w:ascii="Arial" w:hAnsi="Arial" w:cs="Arial"/>
          <w:iCs/>
          <w:sz w:val="20"/>
          <w:szCs w:val="20"/>
        </w:rPr>
        <w:t xml:space="preserve"> </w:t>
      </w:r>
      <w:r w:rsidRPr="005444DA">
        <w:rPr>
          <w:rFonts w:ascii="Arial" w:hAnsi="Arial" w:cs="Arial"/>
          <w:sz w:val="20"/>
          <w:szCs w:val="20"/>
        </w:rPr>
        <w:t>(1894) 6 R 67</w:t>
      </w:r>
      <w:r w:rsidRPr="005444DA">
        <w:rPr>
          <w:rFonts w:ascii="Arial" w:hAnsi="Arial" w:cs="Arial"/>
          <w:iCs/>
          <w:sz w:val="20"/>
          <w:szCs w:val="20"/>
        </w:rPr>
        <w:t xml:space="preserve"> </w:t>
      </w:r>
      <w:r>
        <w:rPr>
          <w:rFonts w:ascii="Arial" w:hAnsi="Arial" w:cs="Arial"/>
          <w:iCs/>
          <w:sz w:val="20"/>
          <w:szCs w:val="20"/>
        </w:rPr>
        <w:t xml:space="preserve">is a rule of professional practice </w:t>
      </w:r>
      <w:r>
        <w:rPr>
          <w:rFonts w:ascii="Arial" w:hAnsi="Arial" w:cs="Arial"/>
          <w:i/>
          <w:sz w:val="20"/>
          <w:szCs w:val="20"/>
        </w:rPr>
        <w:t>{</w:t>
      </w:r>
      <w:r w:rsidRPr="00493C1D">
        <w:rPr>
          <w:rFonts w:ascii="Arial" w:hAnsi="Arial" w:cs="Arial"/>
          <w:i/>
          <w:sz w:val="20"/>
          <w:szCs w:val="20"/>
        </w:rPr>
        <w:t xml:space="preserve">R v Birks </w:t>
      </w:r>
      <w:r w:rsidRPr="00493C1D">
        <w:rPr>
          <w:rFonts w:ascii="Arial" w:hAnsi="Arial" w:cs="Arial"/>
          <w:sz w:val="20"/>
          <w:szCs w:val="20"/>
        </w:rPr>
        <w:t>(1990) 19 NSWLR 677, 686 (Gleeson CJ)</w:t>
      </w:r>
      <w:r>
        <w:rPr>
          <w:rFonts w:ascii="Arial" w:hAnsi="Arial" w:cs="Arial"/>
          <w:iCs/>
          <w:sz w:val="20"/>
          <w:szCs w:val="20"/>
        </w:rPr>
        <w:t>} designed to achieve procedural fairness</w:t>
      </w:r>
      <w:r w:rsidRPr="00493C1D">
        <w:rPr>
          <w:rFonts w:ascii="Arial" w:hAnsi="Arial" w:cs="Arial"/>
          <w:iCs/>
          <w:sz w:val="20"/>
          <w:szCs w:val="20"/>
        </w:rPr>
        <w:t xml:space="preserve">: </w:t>
      </w:r>
      <w:r w:rsidRPr="00493C1D">
        <w:rPr>
          <w:rFonts w:ascii="Arial" w:hAnsi="Arial" w:cs="Arial"/>
          <w:i/>
          <w:sz w:val="20"/>
          <w:szCs w:val="20"/>
        </w:rPr>
        <w:t xml:space="preserve">Eastman v The Queen </w:t>
      </w:r>
      <w:r w:rsidRPr="00493C1D">
        <w:rPr>
          <w:rFonts w:ascii="Arial" w:hAnsi="Arial" w:cs="Arial"/>
          <w:sz w:val="20"/>
          <w:szCs w:val="20"/>
        </w:rPr>
        <w:t>(1997) 76 FCR 9, 102 (Von Doussa, O’Loughlin and Cooper JJ)</w:t>
      </w:r>
      <w:r w:rsidRPr="00493C1D">
        <w:rPr>
          <w:rFonts w:ascii="Arial" w:hAnsi="Arial" w:cs="Arial"/>
          <w:iCs/>
          <w:sz w:val="20"/>
          <w:szCs w:val="20"/>
        </w:rPr>
        <w:t>.</w:t>
      </w:r>
      <w:r>
        <w:rPr>
          <w:rFonts w:ascii="Arial" w:hAnsi="Arial" w:cs="Arial"/>
          <w:iCs/>
          <w:sz w:val="20"/>
          <w:szCs w:val="20"/>
        </w:rPr>
        <w:t xml:space="preserve">  In </w:t>
      </w:r>
      <w:r w:rsidRPr="005444DA">
        <w:rPr>
          <w:rFonts w:ascii="Arial" w:hAnsi="Arial" w:cs="Arial"/>
          <w:i/>
          <w:iCs/>
          <w:sz w:val="20"/>
          <w:szCs w:val="20"/>
        </w:rPr>
        <w:t>Browne v Dunn</w:t>
      </w:r>
      <w:r>
        <w:rPr>
          <w:rFonts w:ascii="Arial" w:hAnsi="Arial" w:cs="Arial"/>
          <w:iCs/>
          <w:sz w:val="20"/>
          <w:szCs w:val="20"/>
        </w:rPr>
        <w:t>, Lord Herschell LC expressed the rule as follows (at 70-71):</w:t>
      </w:r>
    </w:p>
    <w:p w14:paraId="30DA7651" w14:textId="77777777" w:rsidR="006E5C27" w:rsidRDefault="006E5C27" w:rsidP="00CE083F">
      <w:pPr>
        <w:spacing w:before="60"/>
        <w:ind w:left="1134" w:right="1134"/>
        <w:jc w:val="both"/>
        <w:rPr>
          <w:rFonts w:ascii="Arial" w:hAnsi="Arial" w:cs="Arial"/>
          <w:sz w:val="20"/>
        </w:rPr>
      </w:pPr>
      <w:r>
        <w:rPr>
          <w:rFonts w:ascii="Arial" w:hAnsi="Arial" w:cs="Arial"/>
          <w:sz w:val="20"/>
          <w:szCs w:val="20"/>
        </w:rPr>
        <w:t>‘</w:t>
      </w:r>
      <w:r w:rsidRPr="005444DA">
        <w:rPr>
          <w:rFonts w:ascii="Arial" w:hAnsi="Arial" w:cs="Arial"/>
          <w:sz w:val="20"/>
          <w:szCs w:val="20"/>
        </w:rPr>
        <w:t>My Lords, I have always understood that if you intend to impeach a witness, you are bound, whilst he is in the box to give him an opportunity of making any explanation which is open to him; and, as it seems to me, that is not only a rule of professional practice in the conduct of a case, but is essential to fair play and fair dealing with witnesses… .  Of course I do not deny for a moment that there are cases in which that notice has been so distinctly and unmistakably given, and the point on which he is impeached, and is to be impeached, is so manifest that it is not necessary to waste time in putting questions to him upon it.  All that I am saying is that it will not do to impeach the credibility of a witness upon a matter on which he has not had any opportunity of giving an explanation by reason of there having been no suggestion whatever in the course of the case that his story has not been accepted.</w:t>
      </w:r>
      <w:r>
        <w:rPr>
          <w:rFonts w:ascii="Arial" w:hAnsi="Arial" w:cs="Arial"/>
          <w:sz w:val="20"/>
          <w:szCs w:val="20"/>
        </w:rPr>
        <w:t>’</w:t>
      </w:r>
    </w:p>
    <w:p w14:paraId="47F9BD12" w14:textId="77777777" w:rsidR="006E5C27" w:rsidRPr="00F47775" w:rsidRDefault="006E5C27" w:rsidP="00C37348">
      <w:pPr>
        <w:spacing w:before="120"/>
        <w:ind w:left="567" w:right="567"/>
        <w:jc w:val="both"/>
        <w:rPr>
          <w:rFonts w:ascii="Arial" w:hAnsi="Arial" w:cs="Arial"/>
          <w:iCs/>
          <w:sz w:val="20"/>
          <w:szCs w:val="20"/>
        </w:rPr>
      </w:pPr>
      <w:r>
        <w:rPr>
          <w:rFonts w:ascii="Arial" w:hAnsi="Arial" w:cs="Arial"/>
          <w:iCs/>
          <w:sz w:val="20"/>
          <w:szCs w:val="20"/>
        </w:rPr>
        <w:t xml:space="preserve">[49] The rule applies in a criminal case. [The writer interposes to say that it applies in any sort of case in which procedural fairness is a requisite.]  It is based on general principles of fairness and affects the weight or cogency of the evidence: </w:t>
      </w:r>
      <w:r w:rsidRPr="00493C1D">
        <w:rPr>
          <w:rFonts w:ascii="Arial" w:hAnsi="Arial" w:cs="Arial"/>
          <w:i/>
          <w:sz w:val="20"/>
          <w:szCs w:val="20"/>
        </w:rPr>
        <w:t xml:space="preserve">Bulstrode v Trimble </w:t>
      </w:r>
      <w:r w:rsidRPr="00493C1D">
        <w:rPr>
          <w:rFonts w:ascii="Arial" w:hAnsi="Arial" w:cs="Arial"/>
          <w:sz w:val="20"/>
          <w:szCs w:val="20"/>
        </w:rPr>
        <w:t>[1970] VR 840, 847-848 (Newton J)</w:t>
      </w:r>
      <w:r>
        <w:rPr>
          <w:rFonts w:ascii="Arial" w:hAnsi="Arial" w:cs="Arial"/>
          <w:iCs/>
          <w:sz w:val="20"/>
          <w:szCs w:val="20"/>
        </w:rPr>
        <w:t xml:space="preserve">.  </w:t>
      </w:r>
      <w:r w:rsidRPr="00493C1D">
        <w:rPr>
          <w:rFonts w:ascii="Arial" w:hAnsi="Arial" w:cs="Arial"/>
          <w:iCs/>
          <w:sz w:val="20"/>
          <w:szCs w:val="20"/>
        </w:rPr>
        <w:t xml:space="preserve">In </w:t>
      </w:r>
      <w:r w:rsidRPr="00493C1D">
        <w:rPr>
          <w:rFonts w:ascii="Arial" w:hAnsi="Arial" w:cs="Arial"/>
          <w:i/>
          <w:iCs/>
          <w:sz w:val="20"/>
          <w:szCs w:val="20"/>
        </w:rPr>
        <w:t>R v Thompson</w:t>
      </w:r>
      <w:r w:rsidRPr="00493C1D">
        <w:rPr>
          <w:rFonts w:ascii="Arial" w:hAnsi="Arial" w:cs="Arial"/>
          <w:iCs/>
          <w:sz w:val="20"/>
          <w:szCs w:val="20"/>
        </w:rPr>
        <w:t xml:space="preserve"> </w:t>
      </w:r>
      <w:r w:rsidRPr="00493C1D">
        <w:rPr>
          <w:rFonts w:ascii="Arial" w:hAnsi="Arial" w:cs="Arial"/>
          <w:sz w:val="20"/>
          <w:szCs w:val="20"/>
        </w:rPr>
        <w:t xml:space="preserve">(2000) 187 A Crim R 89 </w:t>
      </w:r>
      <w:r>
        <w:rPr>
          <w:rFonts w:ascii="Arial" w:hAnsi="Arial" w:cs="Arial"/>
          <w:sz w:val="20"/>
          <w:szCs w:val="20"/>
        </w:rPr>
        <w:t xml:space="preserve">at 111-112, </w:t>
      </w:r>
      <w:r>
        <w:rPr>
          <w:rFonts w:ascii="Arial" w:hAnsi="Arial" w:cs="Arial"/>
          <w:iCs/>
          <w:sz w:val="20"/>
          <w:szCs w:val="20"/>
        </w:rPr>
        <w:t>Redlich JA explained the rule in the context of a criminal case:</w:t>
      </w:r>
    </w:p>
    <w:p w14:paraId="52D7257E" w14:textId="77777777" w:rsidR="006E5C27" w:rsidRPr="001A0C2D" w:rsidRDefault="006E5C27" w:rsidP="00C37348">
      <w:pPr>
        <w:pStyle w:val="Quote1"/>
        <w:widowControl/>
        <w:spacing w:before="60" w:after="0" w:line="240" w:lineRule="auto"/>
        <w:ind w:left="1134" w:right="1134" w:firstLine="0"/>
        <w:rPr>
          <w:rFonts w:ascii="Arial" w:hAnsi="Arial" w:cs="Arial"/>
          <w:sz w:val="20"/>
        </w:rPr>
      </w:pPr>
      <w:r>
        <w:rPr>
          <w:rFonts w:ascii="Arial" w:hAnsi="Arial" w:cs="Arial"/>
          <w:sz w:val="20"/>
        </w:rPr>
        <w:t>‘</w:t>
      </w:r>
      <w:r w:rsidRPr="001A0C2D">
        <w:rPr>
          <w:rFonts w:ascii="Arial" w:hAnsi="Arial" w:cs="Arial"/>
          <w:sz w:val="20"/>
        </w:rPr>
        <w:t>In a criminal trial the rule will become relevant during the cross-examination of any prosecution or defence witness whose evidence is to be contradicted by other evidence called by cross-examining counsel or otherwise challenged.  … The rule rests upon notions of fairness.  It is designed to give the witness and the party calling that witness, an opportunity to meet that challenge and to facilitate the tribunal’s assessment of the reliability and accuracy of the witness. (</w:t>
      </w:r>
      <w:r w:rsidRPr="001A0C2D">
        <w:rPr>
          <w:rFonts w:ascii="Arial" w:hAnsi="Arial" w:cs="Arial"/>
          <w:i/>
          <w:sz w:val="20"/>
        </w:rPr>
        <w:t>R v Demiri</w:t>
      </w:r>
      <w:r w:rsidRPr="001A0C2D">
        <w:rPr>
          <w:rFonts w:ascii="Arial" w:hAnsi="Arial" w:cs="Arial"/>
          <w:sz w:val="20"/>
        </w:rPr>
        <w:t xml:space="preserve"> [2006] VSCA 64 at [36]) Where matters in controversy are not ‘put’ to the witness in cross-examination, the tribunal’s capacity to assess the credit of the witness is likely to be impeded. (</w:t>
      </w:r>
      <w:r w:rsidRPr="001A0C2D">
        <w:rPr>
          <w:rFonts w:ascii="Arial" w:hAnsi="Arial" w:cs="Arial"/>
          <w:i/>
          <w:sz w:val="20"/>
        </w:rPr>
        <w:t>Johnson Matthey (</w:t>
      </w:r>
      <w:smartTag w:uri="urn:schemas-microsoft-com:office:smarttags" w:element="place">
        <w:smartTag w:uri="urn:schemas-microsoft-com:office:smarttags" w:element="country-region">
          <w:r w:rsidRPr="001A0C2D">
            <w:rPr>
              <w:rFonts w:ascii="Arial" w:hAnsi="Arial" w:cs="Arial"/>
              <w:i/>
              <w:sz w:val="20"/>
            </w:rPr>
            <w:t>Australia</w:t>
          </w:r>
        </w:smartTag>
      </w:smartTag>
      <w:r w:rsidRPr="001A0C2D">
        <w:rPr>
          <w:rFonts w:ascii="Arial" w:hAnsi="Arial" w:cs="Arial"/>
          <w:i/>
          <w:sz w:val="20"/>
        </w:rPr>
        <w:t xml:space="preserve">) Ltd v Dascorp Pty Ltd </w:t>
      </w:r>
      <w:r w:rsidRPr="001A0C2D">
        <w:rPr>
          <w:rFonts w:ascii="Arial" w:hAnsi="Arial" w:cs="Arial"/>
          <w:sz w:val="20"/>
        </w:rPr>
        <w:t>(2003) 9 VR 171 at [200</w:t>
      </w:r>
      <w:proofErr w:type="gramStart"/>
      <w:r w:rsidRPr="001A0C2D">
        <w:rPr>
          <w:rFonts w:ascii="Arial" w:hAnsi="Arial" w:cs="Arial"/>
          <w:sz w:val="20"/>
        </w:rPr>
        <w:t>])  Any</w:t>
      </w:r>
      <w:proofErr w:type="gramEnd"/>
      <w:r w:rsidRPr="001A0C2D">
        <w:rPr>
          <w:rFonts w:ascii="Arial" w:hAnsi="Arial" w:cs="Arial"/>
          <w:sz w:val="20"/>
        </w:rPr>
        <w:t xml:space="preserve"> relaxation of </w:t>
      </w:r>
      <w:r w:rsidRPr="001A0C2D">
        <w:rPr>
          <w:rFonts w:ascii="Arial" w:hAnsi="Arial" w:cs="Arial"/>
          <w:sz w:val="20"/>
        </w:rPr>
        <w:lastRenderedPageBreak/>
        <w:t>the obligation to comply with this rule increases the risk of injustice to the witness and the party calling that witness.</w:t>
      </w:r>
    </w:p>
    <w:p w14:paraId="22C63754" w14:textId="77777777" w:rsidR="006E5C27" w:rsidRDefault="006E5C27" w:rsidP="006E5C27">
      <w:pPr>
        <w:spacing w:before="60"/>
        <w:ind w:left="1134" w:right="1134"/>
        <w:jc w:val="both"/>
        <w:rPr>
          <w:rFonts w:ascii="Arial" w:hAnsi="Arial" w:cs="Arial"/>
          <w:sz w:val="20"/>
        </w:rPr>
      </w:pPr>
      <w:r w:rsidRPr="001A0C2D">
        <w:rPr>
          <w:rFonts w:ascii="Arial" w:hAnsi="Arial" w:cs="Arial"/>
          <w:sz w:val="20"/>
          <w:szCs w:val="20"/>
        </w:rPr>
        <w:t>… in a criminal trial the application of the rule and the circumstances in which an inference should be drawn from non-compliance must be seriously qualified.  (</w:t>
      </w:r>
      <w:r w:rsidRPr="001A0C2D">
        <w:rPr>
          <w:rFonts w:ascii="Arial" w:hAnsi="Arial" w:cs="Arial"/>
          <w:i/>
          <w:sz w:val="20"/>
          <w:szCs w:val="20"/>
        </w:rPr>
        <w:t xml:space="preserve">MWJ v The Queen </w:t>
      </w:r>
      <w:r w:rsidRPr="001A0C2D">
        <w:rPr>
          <w:rFonts w:ascii="Arial" w:hAnsi="Arial" w:cs="Arial"/>
          <w:sz w:val="20"/>
          <w:szCs w:val="20"/>
        </w:rPr>
        <w:t xml:space="preserve">(2005) 80 ALJR 329 at 333; </w:t>
      </w:r>
      <w:r w:rsidRPr="001A0C2D">
        <w:rPr>
          <w:rFonts w:ascii="Arial" w:hAnsi="Arial" w:cs="Arial"/>
          <w:i/>
          <w:sz w:val="20"/>
          <w:szCs w:val="20"/>
        </w:rPr>
        <w:t xml:space="preserve">R v Demiri </w:t>
      </w:r>
      <w:r w:rsidRPr="001A0C2D">
        <w:rPr>
          <w:rFonts w:ascii="Arial" w:hAnsi="Arial" w:cs="Arial"/>
          <w:sz w:val="20"/>
          <w:szCs w:val="20"/>
        </w:rPr>
        <w:t>[2006] VSCA 64 at [36])  Where a party seeks to invite the jury to draw such an inference, a careful direction should normally be given concerning the operation of the rule and the limited circumstances in which that inference may be drawn. (</w:t>
      </w:r>
      <w:r w:rsidRPr="001A0C2D">
        <w:rPr>
          <w:rFonts w:ascii="Arial" w:hAnsi="Arial" w:cs="Arial"/>
          <w:i/>
          <w:sz w:val="20"/>
          <w:szCs w:val="20"/>
        </w:rPr>
        <w:t xml:space="preserve">MWJ v The Queen </w:t>
      </w:r>
      <w:r w:rsidRPr="001A0C2D">
        <w:rPr>
          <w:rFonts w:ascii="Arial" w:hAnsi="Arial" w:cs="Arial"/>
          <w:sz w:val="20"/>
          <w:szCs w:val="20"/>
        </w:rPr>
        <w:t>(2005) 80 ALJR 329 at 333)</w:t>
      </w:r>
      <w:r>
        <w:rPr>
          <w:rFonts w:ascii="Arial" w:hAnsi="Arial" w:cs="Arial"/>
          <w:sz w:val="20"/>
        </w:rPr>
        <w:t>’.”</w:t>
      </w:r>
    </w:p>
    <w:p w14:paraId="29456237" w14:textId="77777777" w:rsidR="006E5C27" w:rsidRDefault="006E5C27" w:rsidP="006E5C27">
      <w:pPr>
        <w:jc w:val="both"/>
        <w:rPr>
          <w:rFonts w:ascii="Arial" w:hAnsi="Arial" w:cs="Arial"/>
          <w:sz w:val="20"/>
        </w:rPr>
      </w:pPr>
    </w:p>
    <w:p w14:paraId="65D5A382" w14:textId="77777777" w:rsidR="006E5C27" w:rsidRDefault="006E5C27" w:rsidP="006E5C27">
      <w:pPr>
        <w:jc w:val="both"/>
        <w:rPr>
          <w:rFonts w:ascii="Arial" w:hAnsi="Arial" w:cs="Arial"/>
          <w:sz w:val="20"/>
        </w:rPr>
      </w:pPr>
      <w:r>
        <w:rPr>
          <w:rFonts w:ascii="Arial" w:hAnsi="Arial" w:cs="Arial"/>
          <w:sz w:val="20"/>
        </w:rPr>
        <w:t xml:space="preserve">Although in the end agreeing with Williams AJA that the trial judge’s directions concerning the application of </w:t>
      </w:r>
      <w:r w:rsidRPr="001A0C2D">
        <w:rPr>
          <w:rFonts w:ascii="Arial" w:hAnsi="Arial" w:cs="Arial"/>
          <w:i/>
          <w:sz w:val="20"/>
        </w:rPr>
        <w:t>Browne v Dunn</w:t>
      </w:r>
      <w:r>
        <w:rPr>
          <w:rFonts w:ascii="Arial" w:hAnsi="Arial" w:cs="Arial"/>
          <w:sz w:val="20"/>
        </w:rPr>
        <w:t xml:space="preserve"> </w:t>
      </w:r>
      <w:r w:rsidRPr="001A0C2D">
        <w:rPr>
          <w:rFonts w:ascii="Arial" w:hAnsi="Arial" w:cs="Arial"/>
          <w:sz w:val="20"/>
          <w:szCs w:val="20"/>
        </w:rPr>
        <w:t>created a real possibility of the jury reasoning by impermissible means to a conclusion of guilt,</w:t>
      </w:r>
      <w:r>
        <w:rPr>
          <w:rFonts w:ascii="Arial" w:hAnsi="Arial" w:cs="Arial"/>
          <w:sz w:val="20"/>
        </w:rPr>
        <w:t xml:space="preserve"> Nettle JA provided substantially separate reasons in which he said at [3]-[4]:</w:t>
      </w:r>
    </w:p>
    <w:p w14:paraId="4FEE8FA9" w14:textId="77777777" w:rsidR="006E5C27" w:rsidRPr="00F81B96" w:rsidRDefault="006E5C27" w:rsidP="00EA0261">
      <w:pPr>
        <w:spacing w:before="60"/>
        <w:ind w:left="567" w:right="567"/>
        <w:jc w:val="both"/>
        <w:rPr>
          <w:rFonts w:ascii="Arial" w:hAnsi="Arial" w:cs="Arial"/>
          <w:iCs/>
          <w:color w:val="000000"/>
          <w:sz w:val="20"/>
          <w:szCs w:val="20"/>
        </w:rPr>
      </w:pPr>
      <w:r w:rsidRPr="00F81B96">
        <w:rPr>
          <w:rFonts w:ascii="Arial" w:hAnsi="Arial" w:cs="Arial"/>
          <w:iCs/>
          <w:color w:val="000000"/>
          <w:sz w:val="20"/>
          <w:szCs w:val="20"/>
        </w:rPr>
        <w:t xml:space="preserve">[3] “Under the rule in </w:t>
      </w:r>
      <w:r w:rsidRPr="00F81B96">
        <w:rPr>
          <w:rFonts w:ascii="Arial" w:hAnsi="Arial" w:cs="Arial"/>
          <w:i/>
          <w:iCs/>
          <w:color w:val="000000"/>
          <w:sz w:val="20"/>
          <w:szCs w:val="20"/>
        </w:rPr>
        <w:t>Browne v Dunn</w:t>
      </w:r>
      <w:r w:rsidRPr="00F81B96">
        <w:rPr>
          <w:rFonts w:ascii="Arial" w:hAnsi="Arial" w:cs="Arial"/>
          <w:iCs/>
          <w:color w:val="000000"/>
          <w:sz w:val="20"/>
          <w:szCs w:val="20"/>
        </w:rPr>
        <w:t xml:space="preserve"> </w:t>
      </w:r>
      <w:r w:rsidRPr="00F81B96">
        <w:rPr>
          <w:rFonts w:ascii="Arial" w:hAnsi="Arial" w:cs="Arial"/>
          <w:color w:val="000000"/>
          <w:sz w:val="20"/>
          <w:szCs w:val="20"/>
        </w:rPr>
        <w:t>(1893) 6 R 67, 70-1 (Lord Herschell)</w:t>
      </w:r>
      <w:r w:rsidRPr="00F81B96">
        <w:rPr>
          <w:color w:val="000000"/>
        </w:rPr>
        <w:t xml:space="preserve"> </w:t>
      </w:r>
      <w:r w:rsidRPr="00F81B96">
        <w:rPr>
          <w:rFonts w:ascii="Arial" w:hAnsi="Arial" w:cs="Arial"/>
          <w:color w:val="000000"/>
          <w:sz w:val="20"/>
          <w:szCs w:val="20"/>
        </w:rPr>
        <w:t>it is the duty of counsel before impeaching the evidence of a witness to put to the witness in cross-examination the version of events for which counsel contends {</w:t>
      </w:r>
      <w:r w:rsidRPr="00F81B96">
        <w:rPr>
          <w:rFonts w:ascii="Arial" w:hAnsi="Arial" w:cs="Arial"/>
          <w:i/>
          <w:color w:val="000000"/>
          <w:sz w:val="20"/>
          <w:szCs w:val="20"/>
        </w:rPr>
        <w:t>R v Fenlon</w:t>
      </w:r>
      <w:r w:rsidRPr="00F81B96">
        <w:rPr>
          <w:rFonts w:ascii="Arial" w:hAnsi="Arial" w:cs="Arial"/>
          <w:color w:val="000000"/>
          <w:sz w:val="20"/>
          <w:szCs w:val="20"/>
        </w:rPr>
        <w:t xml:space="preserve"> </w:t>
      </w:r>
      <w:r w:rsidRPr="00F81B96">
        <w:rPr>
          <w:rFonts w:ascii="Arial" w:hAnsi="Arial" w:cs="Arial"/>
          <w:i/>
          <w:color w:val="000000"/>
          <w:sz w:val="20"/>
          <w:szCs w:val="20"/>
        </w:rPr>
        <w:t>and Neal</w:t>
      </w:r>
      <w:r w:rsidRPr="00F81B96">
        <w:rPr>
          <w:rFonts w:ascii="Arial" w:hAnsi="Arial" w:cs="Arial"/>
          <w:color w:val="000000"/>
          <w:sz w:val="20"/>
          <w:szCs w:val="20"/>
        </w:rPr>
        <w:t xml:space="preserve"> (1980) 71 Cr App R 307, 313; </w:t>
      </w:r>
      <w:r w:rsidRPr="00F81B96">
        <w:rPr>
          <w:rFonts w:ascii="Arial" w:hAnsi="Arial" w:cs="Arial"/>
          <w:i/>
          <w:color w:val="000000"/>
          <w:sz w:val="20"/>
          <w:szCs w:val="20"/>
        </w:rPr>
        <w:t>R v Birks</w:t>
      </w:r>
      <w:r w:rsidRPr="00F81B96">
        <w:rPr>
          <w:rFonts w:ascii="Arial" w:hAnsi="Arial" w:cs="Arial"/>
          <w:color w:val="000000"/>
          <w:sz w:val="20"/>
          <w:szCs w:val="20"/>
        </w:rPr>
        <w:t xml:space="preserve"> (1990) 19 NSWLR 677, 689; </w:t>
      </w:r>
      <w:r w:rsidRPr="00F81B96">
        <w:rPr>
          <w:rFonts w:ascii="Arial" w:hAnsi="Arial" w:cs="Arial"/>
          <w:i/>
          <w:color w:val="000000"/>
          <w:sz w:val="20"/>
          <w:szCs w:val="20"/>
        </w:rPr>
        <w:t xml:space="preserve">R v Demiri </w:t>
      </w:r>
      <w:r w:rsidRPr="00F81B96">
        <w:rPr>
          <w:rFonts w:ascii="Arial" w:hAnsi="Arial" w:cs="Arial"/>
          <w:color w:val="000000"/>
          <w:sz w:val="20"/>
          <w:szCs w:val="20"/>
        </w:rPr>
        <w:t xml:space="preserve">[2006] VSCA 64 [35]; </w:t>
      </w:r>
      <w:r w:rsidRPr="00F81B96">
        <w:rPr>
          <w:rFonts w:ascii="Arial" w:hAnsi="Arial" w:cs="Arial"/>
          <w:i/>
          <w:color w:val="000000"/>
          <w:sz w:val="20"/>
          <w:szCs w:val="20"/>
        </w:rPr>
        <w:t>Curwen v Vanbreck Pty Ltd (as Trustee for the WS and NR Harvey Family Trust)</w:t>
      </w:r>
      <w:r w:rsidRPr="00F81B96">
        <w:rPr>
          <w:rFonts w:ascii="Arial" w:hAnsi="Arial" w:cs="Arial"/>
          <w:color w:val="000000"/>
          <w:sz w:val="20"/>
          <w:szCs w:val="20"/>
        </w:rPr>
        <w:t xml:space="preserve"> [2009] VSCA 284 [21] (Redlich JA).}</w:t>
      </w:r>
      <w:r w:rsidRPr="00F81B96">
        <w:rPr>
          <w:rFonts w:ascii="Arial" w:hAnsi="Arial" w:cs="Arial"/>
          <w:iCs/>
          <w:color w:val="000000"/>
          <w:sz w:val="20"/>
          <w:szCs w:val="20"/>
        </w:rPr>
        <w:t xml:space="preserve">.  </w:t>
      </w:r>
      <w:r w:rsidRPr="00F81B96">
        <w:rPr>
          <w:rFonts w:ascii="Arial" w:hAnsi="Arial" w:cs="Arial"/>
          <w:color w:val="000000"/>
          <w:sz w:val="20"/>
          <w:szCs w:val="20"/>
        </w:rPr>
        <w:t xml:space="preserve">As Redlich JA stated in </w:t>
      </w:r>
      <w:r w:rsidRPr="00F81B96">
        <w:rPr>
          <w:rFonts w:ascii="Arial" w:hAnsi="Arial" w:cs="Arial"/>
          <w:i/>
          <w:color w:val="000000"/>
          <w:sz w:val="20"/>
          <w:szCs w:val="20"/>
        </w:rPr>
        <w:t>R v Thompson</w:t>
      </w:r>
      <w:r w:rsidRPr="00F81B96">
        <w:rPr>
          <w:rFonts w:ascii="Arial" w:hAnsi="Arial" w:cs="Arial"/>
          <w:color w:val="000000"/>
          <w:sz w:val="20"/>
          <w:szCs w:val="20"/>
        </w:rPr>
        <w:t xml:space="preserve"> (2008) 187 A Crim R 89.</w:t>
      </w:r>
    </w:p>
    <w:p w14:paraId="0E0A33A5" w14:textId="77777777" w:rsidR="006E5C27" w:rsidRPr="00F81B96" w:rsidRDefault="006E5C27" w:rsidP="00505E83">
      <w:pPr>
        <w:pStyle w:val="Quote1"/>
        <w:widowControl/>
        <w:spacing w:before="60" w:after="0" w:line="240" w:lineRule="auto"/>
        <w:ind w:left="1236" w:right="1134" w:hanging="102"/>
        <w:rPr>
          <w:rFonts w:ascii="Arial" w:hAnsi="Arial" w:cs="Arial"/>
          <w:color w:val="000000"/>
          <w:sz w:val="20"/>
        </w:rPr>
      </w:pPr>
      <w:r w:rsidRPr="00F81B96">
        <w:rPr>
          <w:rFonts w:ascii="Arial" w:hAnsi="Arial" w:cs="Arial"/>
          <w:color w:val="000000"/>
          <w:sz w:val="20"/>
        </w:rPr>
        <w:t xml:space="preserve">‘The rule in </w:t>
      </w:r>
      <w:r w:rsidRPr="00F81B96">
        <w:rPr>
          <w:rFonts w:ascii="Arial" w:hAnsi="Arial" w:cs="Arial"/>
          <w:i/>
          <w:color w:val="000000"/>
          <w:sz w:val="20"/>
        </w:rPr>
        <w:t>Browne v Dunn</w:t>
      </w:r>
      <w:r w:rsidRPr="00F81B96">
        <w:rPr>
          <w:rFonts w:ascii="Arial" w:hAnsi="Arial" w:cs="Arial"/>
          <w:color w:val="000000"/>
          <w:sz w:val="20"/>
        </w:rPr>
        <w:t xml:space="preserve"> is a rule of law and practice. In a criminal trial the rule will become relevant during the cross-examination of any prosecution or defence witness whose evidence is to be contradicted by other evidence called by cross-examining counsel or otherwise challenged. The obligation will also arise where the cross-examiner intends to adduce evidence as to the conduct of the witness which may be a matter of controversy. That conduct must be put to the witness. The rule rests upon notions of fairness. It is designed to give the witness, and the party calling that witness, an opportunity to meet that challenge and to facilitate the tribunal’s assessment of the reliability and accuracy of the witness. Where matters in controversy are not ‘put’ to the witness in cross-examination, the tribunal’s capacity to assess the credit of the witness is likely to be impeded. Any relaxation of the obligation to comply with this rule increases the risk of injustice to the witness and the party calling that witness.’</w:t>
      </w:r>
    </w:p>
    <w:p w14:paraId="386BEDF9" w14:textId="601E98F2" w:rsidR="006E5C27" w:rsidRPr="00F81B96" w:rsidRDefault="006E5C27" w:rsidP="006E5C27">
      <w:pPr>
        <w:spacing w:before="120"/>
        <w:ind w:left="567" w:right="567"/>
        <w:jc w:val="both"/>
        <w:rPr>
          <w:rFonts w:ascii="Arial" w:hAnsi="Arial" w:cs="Arial"/>
          <w:color w:val="000000"/>
          <w:sz w:val="20"/>
          <w:szCs w:val="20"/>
        </w:rPr>
      </w:pPr>
      <w:r w:rsidRPr="00F81B96">
        <w:rPr>
          <w:rFonts w:ascii="Arial" w:hAnsi="Arial" w:cs="Arial"/>
          <w:color w:val="000000"/>
          <w:sz w:val="20"/>
          <w:szCs w:val="20"/>
        </w:rPr>
        <w:t xml:space="preserve">[4] The cases do not mark out clearly how far counsel must go in putting the accused’s case to the witness: </w:t>
      </w:r>
      <w:r w:rsidRPr="00F81B96">
        <w:rPr>
          <w:rFonts w:ascii="Arial" w:hAnsi="Arial" w:cs="Arial"/>
          <w:i/>
          <w:color w:val="000000"/>
          <w:sz w:val="20"/>
          <w:szCs w:val="20"/>
        </w:rPr>
        <w:t xml:space="preserve">R v Foley </w:t>
      </w:r>
      <w:r w:rsidRPr="00F81B96">
        <w:rPr>
          <w:rFonts w:ascii="Arial" w:hAnsi="Arial" w:cs="Arial"/>
          <w:color w:val="000000"/>
          <w:sz w:val="20"/>
          <w:szCs w:val="20"/>
        </w:rPr>
        <w:t xml:space="preserve">[2000] 1 Qd R 290, 291.  Sometimes it will need to be extensive.  But where the defence case consists only in a denial of the witness’s allegations, without  positive evidence or hypothesis of an alternative version of events {cf </w:t>
      </w:r>
      <w:r w:rsidRPr="00F81B96">
        <w:rPr>
          <w:rFonts w:ascii="Arial" w:hAnsi="Arial" w:cs="Arial"/>
          <w:i/>
          <w:color w:val="000000"/>
          <w:sz w:val="20"/>
          <w:szCs w:val="20"/>
        </w:rPr>
        <w:t>R v Costi</w:t>
      </w:r>
      <w:r w:rsidRPr="00F81B96">
        <w:rPr>
          <w:rFonts w:ascii="Arial" w:hAnsi="Arial" w:cs="Arial"/>
          <w:color w:val="000000"/>
          <w:sz w:val="20"/>
          <w:szCs w:val="20"/>
        </w:rPr>
        <w:t xml:space="preserve"> (1987) 48 SASR 269, 271 </w:t>
      </w:r>
      <w:r w:rsidR="00FD5F44" w:rsidRPr="00A31FFA">
        <w:rPr>
          <w:rFonts w:ascii="Arial" w:hAnsi="Arial" w:cs="Arial"/>
          <w:sz w:val="20"/>
        </w:rPr>
        <w:t>–</w:t>
      </w:r>
      <w:r w:rsidRPr="00F81B96">
        <w:rPr>
          <w:rFonts w:ascii="Arial" w:hAnsi="Arial" w:cs="Arial"/>
          <w:color w:val="000000"/>
          <w:sz w:val="20"/>
          <w:szCs w:val="20"/>
        </w:rPr>
        <w:t xml:space="preserve"> alternative hypothesis}, the puttage may not need go far and, possibly, may not be necessary at all if defence counsel has made clear from the manner in which the defence case is conducted that the witness’s evidence will be contested.”</w:t>
      </w:r>
    </w:p>
    <w:p w14:paraId="1F9549AB" w14:textId="77777777" w:rsidR="006E5C27" w:rsidRDefault="006E5C27" w:rsidP="00DE0CC3">
      <w:pPr>
        <w:jc w:val="both"/>
        <w:rPr>
          <w:rFonts w:ascii="Arial" w:hAnsi="Arial" w:cs="Arial"/>
          <w:color w:val="000000"/>
          <w:sz w:val="20"/>
        </w:rPr>
      </w:pPr>
    </w:p>
    <w:p w14:paraId="57242D8E" w14:textId="31B0051E" w:rsidR="008B5BC8" w:rsidRDefault="008B5BC8" w:rsidP="00DE0CC3">
      <w:pPr>
        <w:jc w:val="both"/>
        <w:rPr>
          <w:rFonts w:ascii="Arial" w:hAnsi="Arial" w:cs="Arial"/>
          <w:color w:val="000000"/>
          <w:sz w:val="20"/>
        </w:rPr>
      </w:pPr>
      <w:r>
        <w:rPr>
          <w:rFonts w:ascii="Arial" w:hAnsi="Arial" w:cs="Arial"/>
          <w:color w:val="000000"/>
          <w:sz w:val="20"/>
        </w:rPr>
        <w:t xml:space="preserve">In </w:t>
      </w:r>
      <w:r w:rsidRPr="00C50B71">
        <w:rPr>
          <w:rFonts w:ascii="Arial" w:hAnsi="Arial" w:cs="Arial"/>
          <w:i/>
          <w:iCs/>
          <w:sz w:val="20"/>
        </w:rPr>
        <w:t>Police Member 1 (a pseudonym) &amp; Anor v Antonios Sajih Mokbel &amp; Anor</w:t>
      </w:r>
      <w:r>
        <w:rPr>
          <w:rFonts w:ascii="Arial" w:hAnsi="Arial" w:cs="Arial"/>
          <w:sz w:val="20"/>
        </w:rPr>
        <w:t xml:space="preserve"> [2025] VSCA 34 [summarised in </w:t>
      </w:r>
      <w:r w:rsidRPr="008B5BC8">
        <w:rPr>
          <w:rFonts w:ascii="Arial" w:hAnsi="Arial" w:cs="Arial"/>
          <w:b/>
          <w:bCs/>
          <w:sz w:val="20"/>
          <w:shd w:val="clear" w:color="auto" w:fill="C5E0B3" w:themeFill="accent6" w:themeFillTint="66"/>
        </w:rPr>
        <w:t>section 2.8.2</w:t>
      </w:r>
      <w:r>
        <w:rPr>
          <w:rFonts w:ascii="Arial" w:hAnsi="Arial" w:cs="Arial"/>
          <w:sz w:val="20"/>
        </w:rPr>
        <w:t xml:space="preserve">], the </w:t>
      </w:r>
      <w:r w:rsidR="00793538">
        <w:rPr>
          <w:rFonts w:ascii="Arial" w:hAnsi="Arial" w:cs="Arial"/>
          <w:sz w:val="20"/>
        </w:rPr>
        <w:t xml:space="preserve">issue of the </w:t>
      </w:r>
      <w:r w:rsidRPr="008B5BC8">
        <w:rPr>
          <w:rFonts w:ascii="Arial" w:hAnsi="Arial" w:cs="Arial"/>
          <w:i/>
          <w:iCs/>
          <w:sz w:val="20"/>
        </w:rPr>
        <w:t>Browne v Dunn</w:t>
      </w:r>
      <w:r>
        <w:rPr>
          <w:rFonts w:ascii="Arial" w:hAnsi="Arial" w:cs="Arial"/>
          <w:sz w:val="20"/>
        </w:rPr>
        <w:t xml:space="preserve"> </w:t>
      </w:r>
      <w:r w:rsidR="00793538">
        <w:rPr>
          <w:rFonts w:ascii="Arial" w:hAnsi="Arial" w:cs="Arial"/>
          <w:sz w:val="20"/>
        </w:rPr>
        <w:t>rul</w:t>
      </w:r>
      <w:r>
        <w:rPr>
          <w:rFonts w:ascii="Arial" w:hAnsi="Arial" w:cs="Arial"/>
          <w:sz w:val="20"/>
        </w:rPr>
        <w:t xml:space="preserve">e arose in a </w:t>
      </w:r>
      <w:r w:rsidR="00E00B29">
        <w:rPr>
          <w:rFonts w:ascii="Arial" w:hAnsi="Arial" w:cs="Arial"/>
          <w:sz w:val="20"/>
        </w:rPr>
        <w:t xml:space="preserve">rather </w:t>
      </w:r>
      <w:r w:rsidR="00793538">
        <w:rPr>
          <w:rFonts w:ascii="Arial" w:hAnsi="Arial" w:cs="Arial"/>
          <w:sz w:val="20"/>
        </w:rPr>
        <w:t>unconventional</w:t>
      </w:r>
      <w:r>
        <w:rPr>
          <w:rFonts w:ascii="Arial" w:hAnsi="Arial" w:cs="Arial"/>
          <w:sz w:val="20"/>
        </w:rPr>
        <w:t xml:space="preserve"> way. At</w:t>
      </w:r>
      <w:r w:rsidR="00793538">
        <w:rPr>
          <w:rFonts w:ascii="Arial" w:hAnsi="Arial" w:cs="Arial"/>
          <w:sz w:val="20"/>
        </w:rPr>
        <w:t xml:space="preserve"> </w:t>
      </w:r>
      <w:r>
        <w:rPr>
          <w:rFonts w:ascii="Arial" w:hAnsi="Arial" w:cs="Arial"/>
          <w:sz w:val="20"/>
        </w:rPr>
        <w:t>[75]</w:t>
      </w:r>
      <w:r w:rsidR="0055578F">
        <w:rPr>
          <w:rFonts w:ascii="Arial" w:hAnsi="Arial" w:cs="Arial"/>
          <w:sz w:val="20"/>
        </w:rPr>
        <w:t>-</w:t>
      </w:r>
      <w:r>
        <w:rPr>
          <w:rFonts w:ascii="Arial" w:hAnsi="Arial" w:cs="Arial"/>
          <w:sz w:val="20"/>
        </w:rPr>
        <w:t>[76] Niall CJ, Emerton P &amp; J Forrest AJA said</w:t>
      </w:r>
      <w:r w:rsidR="00793538">
        <w:rPr>
          <w:rFonts w:ascii="Arial" w:hAnsi="Arial" w:cs="Arial"/>
          <w:sz w:val="20"/>
        </w:rPr>
        <w:t xml:space="preserve"> of the rule</w:t>
      </w:r>
      <w:r>
        <w:rPr>
          <w:rFonts w:ascii="Arial" w:hAnsi="Arial" w:cs="Arial"/>
          <w:sz w:val="20"/>
        </w:rPr>
        <w:t>:</w:t>
      </w:r>
    </w:p>
    <w:p w14:paraId="72E6D02E" w14:textId="77777777" w:rsidR="008B5BC8" w:rsidRDefault="008B5BC8" w:rsidP="008B5BC8">
      <w:pPr>
        <w:spacing w:before="120"/>
        <w:ind w:left="567" w:right="567"/>
        <w:jc w:val="both"/>
        <w:rPr>
          <w:rFonts w:ascii="Arial" w:hAnsi="Arial" w:cs="Arial"/>
          <w:color w:val="000000"/>
          <w:sz w:val="20"/>
        </w:rPr>
      </w:pPr>
      <w:r>
        <w:rPr>
          <w:rFonts w:ascii="Arial" w:hAnsi="Arial" w:cs="Arial"/>
          <w:color w:val="000000"/>
          <w:sz w:val="20"/>
          <w:szCs w:val="20"/>
        </w:rPr>
        <w:t>[75] “</w:t>
      </w:r>
      <w:r w:rsidRPr="008B5BC8">
        <w:rPr>
          <w:rFonts w:ascii="Arial" w:hAnsi="Arial" w:cs="Arial"/>
          <w:color w:val="000000"/>
          <w:sz w:val="20"/>
        </w:rPr>
        <w:t xml:space="preserve">In our view, the police members’ submissions misunderstand the nature of the rule in </w:t>
      </w:r>
      <w:r w:rsidRPr="008B5BC8">
        <w:rPr>
          <w:rFonts w:ascii="Arial" w:hAnsi="Arial" w:cs="Arial"/>
          <w:i/>
          <w:iCs/>
          <w:color w:val="000000"/>
          <w:sz w:val="20"/>
        </w:rPr>
        <w:t>Browne v Dunn</w:t>
      </w:r>
      <w:r w:rsidRPr="008B5BC8">
        <w:rPr>
          <w:rFonts w:ascii="Arial" w:hAnsi="Arial" w:cs="Arial"/>
          <w:color w:val="000000"/>
          <w:sz w:val="20"/>
        </w:rPr>
        <w:t xml:space="preserve"> (with any asserted ‘right’) and the consequences of non-compliance. The basis of the rule is that of fairness. The rule does not confer on a witness independent rights of the kind asserted by the police members. It is an obligation upon counsel in adversarial litigation (civil and, to a modified extent, criminal) requiring counsel, in the event that they wish to contradict the version of a witness called by their opponent, to put the version for which counsel (and their client) contends</w:t>
      </w:r>
      <w:r>
        <w:rPr>
          <w:rFonts w:ascii="Arial" w:hAnsi="Arial" w:cs="Arial"/>
          <w:color w:val="000000"/>
          <w:sz w:val="20"/>
        </w:rPr>
        <w:t xml:space="preserve">: </w:t>
      </w:r>
      <w:r w:rsidRPr="008B5BC8">
        <w:rPr>
          <w:rFonts w:ascii="Arial" w:hAnsi="Arial" w:cs="Arial"/>
          <w:i/>
          <w:iCs/>
          <w:color w:val="000000"/>
          <w:sz w:val="20"/>
        </w:rPr>
        <w:t>R v Coswello</w:t>
      </w:r>
      <w:r w:rsidRPr="008B5BC8">
        <w:rPr>
          <w:rFonts w:ascii="Arial" w:hAnsi="Arial" w:cs="Arial"/>
          <w:color w:val="000000"/>
          <w:sz w:val="20"/>
        </w:rPr>
        <w:t xml:space="preserve"> [2009] VSCA 300, [3]–[10]; </w:t>
      </w:r>
      <w:r w:rsidRPr="008B5BC8">
        <w:rPr>
          <w:rFonts w:ascii="Arial" w:hAnsi="Arial" w:cs="Arial"/>
          <w:i/>
          <w:iCs/>
          <w:color w:val="000000"/>
          <w:sz w:val="20"/>
        </w:rPr>
        <w:t>R v Thompson</w:t>
      </w:r>
      <w:r w:rsidRPr="008B5BC8">
        <w:rPr>
          <w:rFonts w:ascii="Arial" w:hAnsi="Arial" w:cs="Arial"/>
          <w:color w:val="000000"/>
          <w:sz w:val="20"/>
        </w:rPr>
        <w:t xml:space="preserve"> (2008) 21 VR 135, 157 [111]–[112]; [2008] VSCA 144. It binds counsel and operates as between parties to the litigation. It does not provide a corollary right to a party or a witness.</w:t>
      </w:r>
    </w:p>
    <w:p w14:paraId="6520BDFF" w14:textId="16ABD063" w:rsidR="008B5BC8" w:rsidRPr="008B5BC8" w:rsidRDefault="008B5BC8" w:rsidP="008B5BC8">
      <w:pPr>
        <w:spacing w:before="120"/>
        <w:ind w:left="567" w:right="567"/>
        <w:jc w:val="both"/>
        <w:rPr>
          <w:rFonts w:ascii="Arial" w:hAnsi="Arial" w:cs="Arial"/>
          <w:color w:val="000000"/>
          <w:sz w:val="20"/>
          <w:szCs w:val="20"/>
        </w:rPr>
      </w:pPr>
      <w:r>
        <w:rPr>
          <w:rFonts w:ascii="Arial" w:hAnsi="Arial" w:cs="Arial"/>
          <w:color w:val="000000"/>
          <w:sz w:val="20"/>
        </w:rPr>
        <w:t>[</w:t>
      </w:r>
      <w:r w:rsidRPr="008B5BC8">
        <w:rPr>
          <w:rFonts w:ascii="Arial" w:hAnsi="Arial" w:cs="Arial"/>
          <w:color w:val="000000"/>
          <w:sz w:val="20"/>
        </w:rPr>
        <w:t>76</w:t>
      </w:r>
      <w:r>
        <w:rPr>
          <w:rFonts w:ascii="Arial" w:hAnsi="Arial" w:cs="Arial"/>
          <w:color w:val="000000"/>
          <w:sz w:val="20"/>
        </w:rPr>
        <w:t>]</w:t>
      </w:r>
      <w:r w:rsidRPr="008B5BC8">
        <w:rPr>
          <w:rFonts w:ascii="Arial" w:hAnsi="Arial" w:cs="Arial"/>
          <w:color w:val="000000"/>
          <w:sz w:val="20"/>
        </w:rPr>
        <w:t xml:space="preserve"> As a general proposition, when counsel breaches the rule in </w:t>
      </w:r>
      <w:r w:rsidRPr="008B5BC8">
        <w:rPr>
          <w:rFonts w:ascii="Arial" w:hAnsi="Arial" w:cs="Arial"/>
          <w:i/>
          <w:iCs/>
          <w:color w:val="000000"/>
          <w:sz w:val="20"/>
        </w:rPr>
        <w:t>Browne v Dunn</w:t>
      </w:r>
      <w:r w:rsidRPr="008B5BC8">
        <w:rPr>
          <w:rFonts w:ascii="Arial" w:hAnsi="Arial" w:cs="Arial"/>
          <w:color w:val="000000"/>
          <w:sz w:val="20"/>
        </w:rPr>
        <w:t xml:space="preserve">, it is up to the opposing party, through counsel, to raise the breach and argue as to what course should be undertaken to remedy it. The judge must then determine what is to be done. One solution is to re-call the witness, who is then given the opportunity to accept or contradict the opposing version. Another is to direct the jury to consider the fact that the witness was </w:t>
      </w:r>
      <w:r w:rsidRPr="008B5BC8">
        <w:rPr>
          <w:rFonts w:ascii="Arial" w:hAnsi="Arial" w:cs="Arial"/>
          <w:color w:val="000000"/>
          <w:sz w:val="20"/>
        </w:rPr>
        <w:lastRenderedPageBreak/>
        <w:t>not challenged on this issue or given the opportunity to rebut the proposition, and that that should be taken into account in weighing up the opposing versions. In some cases there may be no need for any direction or re-call as it is patently apparent that the witness would not accept the contrary proposition.</w:t>
      </w:r>
      <w:r>
        <w:rPr>
          <w:rFonts w:ascii="Arial" w:hAnsi="Arial" w:cs="Arial"/>
          <w:color w:val="000000"/>
          <w:sz w:val="20"/>
        </w:rPr>
        <w:t>”</w:t>
      </w:r>
    </w:p>
    <w:p w14:paraId="2682CC68" w14:textId="77777777" w:rsidR="008B5BC8" w:rsidRPr="00F81B96" w:rsidRDefault="008B5BC8" w:rsidP="00DE0CC3">
      <w:pPr>
        <w:jc w:val="both"/>
        <w:rPr>
          <w:rFonts w:ascii="Arial" w:hAnsi="Arial" w:cs="Arial"/>
          <w:color w:val="000000"/>
          <w:sz w:val="20"/>
        </w:rPr>
      </w:pPr>
    </w:p>
    <w:p w14:paraId="40188938" w14:textId="3A6DB5EB" w:rsidR="00754BD9" w:rsidRDefault="00754BD9" w:rsidP="00DE0CC3">
      <w:pPr>
        <w:jc w:val="both"/>
        <w:rPr>
          <w:rFonts w:ascii="Arial" w:hAnsi="Arial" w:cs="Arial"/>
          <w:color w:val="000000"/>
          <w:sz w:val="20"/>
        </w:rPr>
      </w:pPr>
      <w:r>
        <w:rPr>
          <w:rFonts w:ascii="Arial" w:hAnsi="Arial" w:cs="Arial"/>
          <w:color w:val="000000"/>
          <w:sz w:val="20"/>
        </w:rPr>
        <w:t xml:space="preserve">The case of </w:t>
      </w:r>
      <w:r w:rsidRPr="00754BD9">
        <w:rPr>
          <w:rFonts w:ascii="Arial" w:hAnsi="Arial" w:cs="Arial"/>
          <w:i/>
          <w:iCs/>
          <w:color w:val="000000"/>
          <w:sz w:val="20"/>
        </w:rPr>
        <w:t>Tiba v Transport Accident Commission</w:t>
      </w:r>
      <w:r>
        <w:rPr>
          <w:rFonts w:ascii="Arial" w:hAnsi="Arial" w:cs="Arial"/>
          <w:color w:val="000000"/>
          <w:sz w:val="20"/>
        </w:rPr>
        <w:t xml:space="preserve"> [2025] VSCA 236 involved a common law damages claim for motor vehicle injury. The applicant who was a passenger in a car is alleged to have assaulted the driver of his car shortly or immediately prior to the collision by punching him to the head and upper body. However, evidence of the assault was not put to the applicant during cross-examination. After the applicant closed his case, the respondent called the witness to give evidence of the assault. The applicant consented to being recalled on the basis of reassurances that leave would be given to reopen his case. Subsequently the judge refused leave. In the subsequent appeal by Mr Tiba both parties agreed that the judge </w:t>
      </w:r>
      <w:r w:rsidR="00460102">
        <w:rPr>
          <w:rFonts w:ascii="Arial" w:hAnsi="Arial" w:cs="Arial"/>
          <w:color w:val="000000"/>
          <w:sz w:val="20"/>
        </w:rPr>
        <w:t xml:space="preserve">had </w:t>
      </w:r>
      <w:r>
        <w:rPr>
          <w:rFonts w:ascii="Arial" w:hAnsi="Arial" w:cs="Arial"/>
          <w:color w:val="000000"/>
          <w:sz w:val="20"/>
        </w:rPr>
        <w:t xml:space="preserve">denied Mr Tiba procedural fairness in holding him to a forensic choice not to call certain witnesses while allowing </w:t>
      </w:r>
      <w:r w:rsidR="001E0425">
        <w:rPr>
          <w:rFonts w:ascii="Arial" w:hAnsi="Arial" w:cs="Arial"/>
          <w:color w:val="000000"/>
          <w:sz w:val="20"/>
        </w:rPr>
        <w:t xml:space="preserve">his call, thereby enabling the TAC to avoid the possible consequences of a conclusion that it had breached the rule in </w:t>
      </w:r>
      <w:r w:rsidR="001E0425" w:rsidRPr="001E0425">
        <w:rPr>
          <w:rFonts w:ascii="Arial" w:hAnsi="Arial" w:cs="Arial"/>
          <w:i/>
          <w:iCs/>
          <w:color w:val="000000"/>
          <w:sz w:val="20"/>
        </w:rPr>
        <w:t>Browne v Dunn</w:t>
      </w:r>
      <w:r w:rsidR="001E0425">
        <w:rPr>
          <w:rFonts w:ascii="Arial" w:hAnsi="Arial" w:cs="Arial"/>
          <w:color w:val="000000"/>
          <w:sz w:val="20"/>
        </w:rPr>
        <w:t>. In relation to that rule Richards &amp; Kenny JJA said at [10]:</w:t>
      </w:r>
    </w:p>
    <w:p w14:paraId="771312B6" w14:textId="0D608C7C" w:rsidR="00460102" w:rsidRDefault="001E0425" w:rsidP="00930636">
      <w:pPr>
        <w:spacing w:before="60"/>
        <w:ind w:left="567" w:right="567"/>
        <w:jc w:val="both"/>
        <w:rPr>
          <w:rFonts w:ascii="Arial" w:hAnsi="Arial" w:cs="Arial"/>
          <w:color w:val="000000"/>
          <w:sz w:val="20"/>
        </w:rPr>
      </w:pPr>
      <w:r>
        <w:rPr>
          <w:rFonts w:ascii="Arial" w:hAnsi="Arial" w:cs="Arial"/>
          <w:color w:val="000000"/>
          <w:sz w:val="20"/>
        </w:rPr>
        <w:t>“</w:t>
      </w:r>
      <w:r w:rsidR="00930636" w:rsidRPr="00930636">
        <w:rPr>
          <w:rFonts w:ascii="Arial" w:hAnsi="Arial" w:cs="Arial"/>
          <w:color w:val="000000"/>
          <w:sz w:val="20"/>
        </w:rPr>
        <w:t xml:space="preserve">The rule in </w:t>
      </w:r>
      <w:r w:rsidR="00930636" w:rsidRPr="00930636">
        <w:rPr>
          <w:rFonts w:ascii="Arial" w:hAnsi="Arial" w:cs="Arial"/>
          <w:i/>
          <w:iCs/>
          <w:color w:val="000000"/>
          <w:sz w:val="20"/>
        </w:rPr>
        <w:t>Browne v Dunn</w:t>
      </w:r>
      <w:r w:rsidR="00930636" w:rsidRPr="00930636">
        <w:rPr>
          <w:rFonts w:ascii="Arial" w:hAnsi="Arial" w:cs="Arial"/>
          <w:color w:val="000000"/>
          <w:sz w:val="20"/>
        </w:rPr>
        <w:t xml:space="preserve"> applies where a party intends to call evidence contrary to the evidence given by a witness, and requires cross-examining counsel to put the contradictory account to the witness. It is a rule of fairness, which gives the witness a chance to respond to the contradictory account, and the party who called the witness the opportunity to call other available evidence before closing its case</w:t>
      </w:r>
      <w:r w:rsidR="00930636">
        <w:rPr>
          <w:rFonts w:ascii="Arial" w:hAnsi="Arial" w:cs="Arial"/>
          <w:color w:val="000000"/>
          <w:sz w:val="20"/>
        </w:rPr>
        <w:t>: s</w:t>
      </w:r>
      <w:r w:rsidR="00930636" w:rsidRPr="00930636">
        <w:rPr>
          <w:rFonts w:ascii="Arial" w:hAnsi="Arial" w:cs="Arial"/>
          <w:color w:val="000000"/>
          <w:sz w:val="20"/>
        </w:rPr>
        <w:t xml:space="preserve">ee, </w:t>
      </w:r>
      <w:proofErr w:type="spellStart"/>
      <w:r w:rsidR="00930636" w:rsidRPr="00930636">
        <w:rPr>
          <w:rFonts w:ascii="Arial" w:hAnsi="Arial" w:cs="Arial"/>
          <w:color w:val="000000"/>
          <w:sz w:val="20"/>
        </w:rPr>
        <w:t>eg</w:t>
      </w:r>
      <w:proofErr w:type="spellEnd"/>
      <w:r w:rsidR="00930636" w:rsidRPr="00930636">
        <w:rPr>
          <w:rFonts w:ascii="Arial" w:hAnsi="Arial" w:cs="Arial"/>
          <w:color w:val="000000"/>
          <w:sz w:val="20"/>
        </w:rPr>
        <w:t xml:space="preserve">, </w:t>
      </w:r>
      <w:r w:rsidR="00930636" w:rsidRPr="00930636">
        <w:rPr>
          <w:rFonts w:ascii="Arial" w:hAnsi="Arial" w:cs="Arial"/>
          <w:i/>
          <w:iCs/>
          <w:color w:val="000000"/>
          <w:sz w:val="20"/>
        </w:rPr>
        <w:t>Kuhl v Zurich Financial Services Australia Ltd</w:t>
      </w:r>
      <w:r w:rsidR="00930636" w:rsidRPr="00930636">
        <w:rPr>
          <w:rFonts w:ascii="Arial" w:hAnsi="Arial" w:cs="Arial"/>
          <w:color w:val="000000"/>
          <w:sz w:val="20"/>
        </w:rPr>
        <w:t xml:space="preserve"> (2011) 243 CLR 361, 387–90 [70]</w:t>
      </w:r>
      <w:r w:rsidR="00930636">
        <w:rPr>
          <w:rFonts w:ascii="Arial" w:hAnsi="Arial" w:cs="Arial"/>
          <w:color w:val="000000"/>
          <w:sz w:val="20"/>
        </w:rPr>
        <w:t>-</w:t>
      </w:r>
      <w:r w:rsidR="00930636" w:rsidRPr="00930636">
        <w:rPr>
          <w:rFonts w:ascii="Arial" w:hAnsi="Arial" w:cs="Arial"/>
          <w:color w:val="000000"/>
          <w:sz w:val="20"/>
        </w:rPr>
        <w:t xml:space="preserve">[77]; [2011] HCA 11; </w:t>
      </w:r>
      <w:r w:rsidR="00930636" w:rsidRPr="00930636">
        <w:rPr>
          <w:rFonts w:ascii="Arial" w:hAnsi="Arial" w:cs="Arial"/>
          <w:i/>
          <w:iCs/>
          <w:color w:val="000000"/>
          <w:sz w:val="20"/>
        </w:rPr>
        <w:t>Police Member 1 (pseudonym) v Mokbel</w:t>
      </w:r>
      <w:r w:rsidR="00930636" w:rsidRPr="00930636">
        <w:rPr>
          <w:rFonts w:ascii="Arial" w:hAnsi="Arial" w:cs="Arial"/>
          <w:color w:val="000000"/>
          <w:sz w:val="20"/>
        </w:rPr>
        <w:t xml:space="preserve"> [2025] VSCA 34, [75].</w:t>
      </w:r>
    </w:p>
    <w:p w14:paraId="46E5AE31" w14:textId="77777777" w:rsidR="00754BD9" w:rsidRDefault="00754BD9" w:rsidP="00DE0CC3">
      <w:pPr>
        <w:jc w:val="both"/>
        <w:rPr>
          <w:rFonts w:ascii="Arial" w:hAnsi="Arial" w:cs="Arial"/>
          <w:color w:val="000000"/>
          <w:sz w:val="20"/>
        </w:rPr>
      </w:pPr>
    </w:p>
    <w:p w14:paraId="30F23971" w14:textId="43539B7D" w:rsidR="00115DCA" w:rsidRPr="00EE27CA" w:rsidRDefault="00115DCA" w:rsidP="00115DCA">
      <w:pPr>
        <w:jc w:val="both"/>
        <w:rPr>
          <w:rFonts w:ascii="Arial" w:hAnsi="Arial" w:cs="Arial"/>
          <w:color w:val="000000"/>
          <w:sz w:val="20"/>
        </w:rPr>
      </w:pPr>
      <w:r>
        <w:rPr>
          <w:rFonts w:ascii="Arial" w:hAnsi="Arial" w:cs="Arial"/>
          <w:color w:val="000000"/>
          <w:sz w:val="20"/>
          <w:szCs w:val="20"/>
        </w:rPr>
        <w:t xml:space="preserve">In </w:t>
      </w:r>
      <w:r w:rsidRPr="00241E82">
        <w:rPr>
          <w:rFonts w:ascii="Arial" w:hAnsi="Arial" w:cs="Arial"/>
          <w:i/>
          <w:color w:val="000000"/>
          <w:sz w:val="20"/>
          <w:szCs w:val="20"/>
        </w:rPr>
        <w:t>R v Morrow</w:t>
      </w:r>
      <w:r w:rsidRPr="00241E82">
        <w:rPr>
          <w:rFonts w:ascii="Arial" w:hAnsi="Arial" w:cs="Arial"/>
          <w:color w:val="000000"/>
          <w:sz w:val="20"/>
          <w:szCs w:val="20"/>
        </w:rPr>
        <w:t xml:space="preserve"> [2009] VSCA 291 </w:t>
      </w:r>
      <w:r>
        <w:rPr>
          <w:rFonts w:ascii="Arial" w:hAnsi="Arial" w:cs="Arial"/>
          <w:color w:val="000000"/>
          <w:sz w:val="20"/>
          <w:szCs w:val="20"/>
        </w:rPr>
        <w:t xml:space="preserve">see the judgment of Nettle JA </w:t>
      </w:r>
      <w:r w:rsidRPr="00241E82">
        <w:rPr>
          <w:rFonts w:ascii="Arial" w:hAnsi="Arial" w:cs="Arial"/>
          <w:color w:val="000000"/>
          <w:sz w:val="20"/>
          <w:szCs w:val="20"/>
        </w:rPr>
        <w:t xml:space="preserve">at [2]-[6] </w:t>
      </w:r>
      <w:r>
        <w:rPr>
          <w:rFonts w:ascii="Arial" w:hAnsi="Arial" w:cs="Arial"/>
          <w:color w:val="000000"/>
          <w:sz w:val="20"/>
          <w:szCs w:val="20"/>
        </w:rPr>
        <w:t>and that of Redlich JA at</w:t>
      </w:r>
      <w:r w:rsidRPr="00241E82">
        <w:rPr>
          <w:rFonts w:ascii="Arial" w:hAnsi="Arial" w:cs="Arial"/>
          <w:color w:val="000000"/>
          <w:sz w:val="20"/>
          <w:szCs w:val="20"/>
        </w:rPr>
        <w:t xml:space="preserve"> [</w:t>
      </w:r>
      <w:proofErr w:type="gramStart"/>
      <w:r w:rsidRPr="00241E82">
        <w:rPr>
          <w:rFonts w:ascii="Arial" w:hAnsi="Arial" w:cs="Arial"/>
          <w:color w:val="000000"/>
          <w:sz w:val="20"/>
          <w:szCs w:val="20"/>
        </w:rPr>
        <w:t>36]</w:t>
      </w:r>
      <w:r>
        <w:rPr>
          <w:rFonts w:ascii="Arial" w:hAnsi="Arial" w:cs="Arial"/>
          <w:color w:val="000000"/>
          <w:sz w:val="20"/>
          <w:szCs w:val="20"/>
        </w:rPr>
        <w:noBreakHyphen/>
      </w:r>
      <w:proofErr w:type="gramEnd"/>
      <w:r w:rsidRPr="00241E82">
        <w:rPr>
          <w:rFonts w:ascii="Arial" w:hAnsi="Arial" w:cs="Arial"/>
          <w:color w:val="000000"/>
          <w:sz w:val="20"/>
          <w:szCs w:val="20"/>
        </w:rPr>
        <w:t>[71]</w:t>
      </w:r>
      <w:r>
        <w:rPr>
          <w:rFonts w:ascii="Arial" w:hAnsi="Arial" w:cs="Arial"/>
          <w:color w:val="000000"/>
          <w:sz w:val="20"/>
          <w:szCs w:val="20"/>
        </w:rPr>
        <w:t>,</w:t>
      </w:r>
      <w:r w:rsidRPr="00241E82">
        <w:rPr>
          <w:rFonts w:ascii="Arial" w:hAnsi="Arial" w:cs="Arial"/>
          <w:color w:val="000000"/>
          <w:sz w:val="20"/>
          <w:szCs w:val="20"/>
        </w:rPr>
        <w:t xml:space="preserve"> in particular</w:t>
      </w:r>
      <w:r w:rsidRPr="00EE27CA">
        <w:rPr>
          <w:rFonts w:ascii="Arial" w:hAnsi="Arial" w:cs="Arial"/>
          <w:color w:val="000000"/>
          <w:sz w:val="20"/>
        </w:rPr>
        <w:t xml:space="preserve"> at [59] where his Honour said:</w:t>
      </w:r>
    </w:p>
    <w:p w14:paraId="57928216" w14:textId="77777777" w:rsidR="00115DCA" w:rsidRPr="006F7316" w:rsidRDefault="00115DCA" w:rsidP="00115DCA">
      <w:pPr>
        <w:spacing w:before="120"/>
        <w:ind w:left="567" w:right="567"/>
        <w:jc w:val="both"/>
        <w:rPr>
          <w:rFonts w:ascii="Arial" w:hAnsi="Arial" w:cs="Arial"/>
          <w:sz w:val="20"/>
          <w:szCs w:val="20"/>
        </w:rPr>
      </w:pPr>
      <w:r>
        <w:rPr>
          <w:rFonts w:ascii="Arial" w:hAnsi="Arial" w:cs="Arial"/>
          <w:sz w:val="20"/>
          <w:szCs w:val="20"/>
        </w:rPr>
        <w:t>“</w:t>
      </w:r>
      <w:r w:rsidRPr="0045772C">
        <w:rPr>
          <w:rFonts w:ascii="Arial" w:hAnsi="Arial" w:cs="Arial"/>
          <w:sz w:val="20"/>
          <w:szCs w:val="20"/>
        </w:rPr>
        <w:t>The failure to cross-examine in accordance with the rule does not mean that the evidence led in contradiction of the evidence that should have been challenged cannot be considered.  A trial judge is not entitled, by reason of non-compliance with the rule, to withdraw an issue of fact from the</w:t>
      </w:r>
      <w:r w:rsidRPr="0045772C">
        <w:rPr>
          <w:rFonts w:ascii="Arial" w:hAnsi="Arial" w:cs="Arial"/>
          <w:b/>
          <w:bCs/>
          <w:sz w:val="20"/>
          <w:szCs w:val="20"/>
        </w:rPr>
        <w:t> </w:t>
      </w:r>
      <w:r w:rsidRPr="0045772C">
        <w:rPr>
          <w:rFonts w:ascii="Arial" w:hAnsi="Arial" w:cs="Arial"/>
          <w:bCs/>
          <w:sz w:val="20"/>
          <w:szCs w:val="20"/>
        </w:rPr>
        <w:t xml:space="preserve">jury: </w:t>
      </w:r>
      <w:r w:rsidRPr="0045772C">
        <w:rPr>
          <w:rFonts w:ascii="Arial" w:hAnsi="Arial" w:cs="Arial"/>
          <w:i/>
          <w:sz w:val="20"/>
          <w:szCs w:val="20"/>
        </w:rPr>
        <w:t xml:space="preserve">R v Rajakaruna (No 2) </w:t>
      </w:r>
      <w:r w:rsidRPr="0045772C">
        <w:rPr>
          <w:rFonts w:ascii="Arial" w:hAnsi="Arial" w:cs="Arial"/>
          <w:sz w:val="20"/>
          <w:szCs w:val="20"/>
        </w:rPr>
        <w:t>(2006) 15 VR 592.</w:t>
      </w:r>
      <w:r>
        <w:rPr>
          <w:rFonts w:ascii="Arial" w:hAnsi="Arial" w:cs="Arial"/>
          <w:sz w:val="20"/>
          <w:szCs w:val="20"/>
        </w:rPr>
        <w:t xml:space="preserve">  </w:t>
      </w:r>
      <w:r w:rsidRPr="0045772C">
        <w:rPr>
          <w:rFonts w:ascii="Arial" w:hAnsi="Arial" w:cs="Arial"/>
          <w:sz w:val="20"/>
          <w:szCs w:val="20"/>
        </w:rPr>
        <w:t xml:space="preserve">It is a matter of weight for the court to take into account: </w:t>
      </w:r>
      <w:r w:rsidRPr="0045772C">
        <w:rPr>
          <w:rFonts w:ascii="Arial" w:hAnsi="Arial" w:cs="Arial"/>
          <w:i/>
          <w:color w:val="000000"/>
          <w:sz w:val="20"/>
          <w:szCs w:val="20"/>
        </w:rPr>
        <w:t>Advanced Wire &amp; Cable Pty Ltd v Abdulle</w:t>
      </w:r>
      <w:r w:rsidRPr="0045772C">
        <w:rPr>
          <w:rFonts w:ascii="Arial" w:hAnsi="Arial" w:cs="Arial"/>
          <w:color w:val="000000"/>
          <w:sz w:val="20"/>
          <w:szCs w:val="20"/>
        </w:rPr>
        <w:t xml:space="preserve"> [2009] VSCA 170,</w:t>
      </w:r>
      <w:r w:rsidRPr="0045772C">
        <w:rPr>
          <w:rFonts w:ascii="Arial" w:hAnsi="Arial" w:cs="Arial"/>
          <w:sz w:val="20"/>
          <w:szCs w:val="20"/>
        </w:rPr>
        <w:t xml:space="preserve"> [14].</w:t>
      </w:r>
      <w:r>
        <w:rPr>
          <w:rFonts w:ascii="Arial" w:hAnsi="Arial" w:cs="Arial"/>
          <w:sz w:val="20"/>
          <w:szCs w:val="20"/>
        </w:rPr>
        <w:t>”</w:t>
      </w:r>
    </w:p>
    <w:p w14:paraId="40A638F5" w14:textId="77777777" w:rsidR="00115DCA" w:rsidRDefault="00115DCA" w:rsidP="00DE0CC3">
      <w:pPr>
        <w:jc w:val="both"/>
        <w:rPr>
          <w:rFonts w:ascii="Arial" w:hAnsi="Arial" w:cs="Arial"/>
          <w:color w:val="000000"/>
          <w:sz w:val="20"/>
        </w:rPr>
      </w:pPr>
    </w:p>
    <w:p w14:paraId="7FC05DD8" w14:textId="51F2EF56" w:rsidR="00115DCA" w:rsidRDefault="00115DCA" w:rsidP="00DE0CC3">
      <w:pPr>
        <w:jc w:val="both"/>
        <w:rPr>
          <w:rFonts w:ascii="Arial" w:hAnsi="Arial" w:cs="Arial"/>
          <w:color w:val="000000"/>
          <w:sz w:val="20"/>
        </w:rPr>
      </w:pPr>
      <w:r>
        <w:rPr>
          <w:rFonts w:ascii="Arial" w:hAnsi="Arial" w:cs="Arial"/>
          <w:color w:val="000000"/>
          <w:sz w:val="20"/>
        </w:rPr>
        <w:t xml:space="preserve">In allowing the appeal and ordering a new trial in </w:t>
      </w:r>
      <w:r w:rsidRPr="00115DCA">
        <w:rPr>
          <w:rFonts w:ascii="Arial" w:hAnsi="Arial" w:cs="Arial"/>
          <w:i/>
          <w:iCs/>
          <w:color w:val="000000"/>
          <w:sz w:val="20"/>
        </w:rPr>
        <w:t>Lynn v The King</w:t>
      </w:r>
      <w:r>
        <w:rPr>
          <w:rFonts w:ascii="Arial" w:hAnsi="Arial" w:cs="Arial"/>
          <w:color w:val="000000"/>
          <w:sz w:val="20"/>
        </w:rPr>
        <w:t xml:space="preserve"> [2025] VSCA 315 (summarised in </w:t>
      </w:r>
      <w:r w:rsidRPr="00115DCA">
        <w:rPr>
          <w:rFonts w:ascii="Arial" w:hAnsi="Arial" w:cs="Arial"/>
          <w:b/>
          <w:bCs/>
          <w:color w:val="000000"/>
          <w:sz w:val="20"/>
          <w:shd w:val="clear" w:color="auto" w:fill="C5E0B3" w:themeFill="accent6" w:themeFillTint="66"/>
        </w:rPr>
        <w:t>section 10.0.2</w:t>
      </w:r>
      <w:r>
        <w:rPr>
          <w:rFonts w:ascii="Arial" w:hAnsi="Arial" w:cs="Arial"/>
          <w:color w:val="000000"/>
          <w:sz w:val="20"/>
        </w:rPr>
        <w:t>) the Court of Appeal said at [63]:</w:t>
      </w:r>
    </w:p>
    <w:p w14:paraId="58C26EE2" w14:textId="3318B471" w:rsidR="006E4EBA" w:rsidRDefault="006E4EBA" w:rsidP="006E4EBA">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1769D6">
        <w:rPr>
          <w:rFonts w:ascii="Arial" w:hAnsi="Arial" w:cs="Arial"/>
          <w:sz w:val="20"/>
          <w:szCs w:val="20"/>
        </w:rPr>
        <w:t xml:space="preserve">While the rule in </w:t>
      </w:r>
      <w:r w:rsidRPr="001769D6">
        <w:rPr>
          <w:rFonts w:ascii="Arial" w:hAnsi="Arial" w:cs="Arial"/>
          <w:i/>
          <w:iCs/>
          <w:sz w:val="20"/>
          <w:szCs w:val="20"/>
        </w:rPr>
        <w:t>Browne v Dunn</w:t>
      </w:r>
      <w:r w:rsidRPr="001769D6">
        <w:rPr>
          <w:rFonts w:ascii="Arial" w:hAnsi="Arial" w:cs="Arial"/>
          <w:sz w:val="20"/>
          <w:szCs w:val="20"/>
        </w:rPr>
        <w:t xml:space="preserve"> does not require cross-examining counsel to tackle a witness on every aspect of his or her evidence, no matter how inconsequential or trivial in the context of the issues joined in the trial</w:t>
      </w:r>
      <w:r>
        <w:rPr>
          <w:rFonts w:ascii="Arial" w:hAnsi="Arial" w:cs="Arial"/>
          <w:sz w:val="20"/>
          <w:szCs w:val="20"/>
        </w:rPr>
        <w:t xml:space="preserve"> {see</w:t>
      </w:r>
      <w:r w:rsidRPr="008B103E">
        <w:rPr>
          <w:rFonts w:ascii="Arial" w:hAnsi="Arial" w:cs="Arial"/>
          <w:sz w:val="20"/>
          <w:szCs w:val="20"/>
        </w:rPr>
        <w:t xml:space="preserve">, e.g., </w:t>
      </w:r>
      <w:r w:rsidRPr="008B103E">
        <w:rPr>
          <w:rFonts w:ascii="Arial" w:hAnsi="Arial" w:cs="Arial"/>
          <w:i/>
          <w:iCs/>
          <w:sz w:val="20"/>
          <w:szCs w:val="20"/>
        </w:rPr>
        <w:t>R v Birks</w:t>
      </w:r>
      <w:r w:rsidRPr="008B103E">
        <w:rPr>
          <w:rFonts w:ascii="Arial" w:hAnsi="Arial" w:cs="Arial"/>
          <w:sz w:val="20"/>
          <w:szCs w:val="20"/>
        </w:rPr>
        <w:t xml:space="preserve"> (1990) 19 NSWLR 677, 688</w:t>
      </w:r>
      <w:r>
        <w:rPr>
          <w:rFonts w:ascii="Arial" w:hAnsi="Arial" w:cs="Arial"/>
          <w:sz w:val="20"/>
          <w:szCs w:val="20"/>
        </w:rPr>
        <w:t>}</w:t>
      </w:r>
      <w:r w:rsidRPr="001769D6">
        <w:rPr>
          <w:rFonts w:ascii="Arial" w:hAnsi="Arial" w:cs="Arial"/>
          <w:sz w:val="20"/>
          <w:szCs w:val="20"/>
        </w:rPr>
        <w:t>,</w:t>
      </w:r>
      <w:r>
        <w:rPr>
          <w:rFonts w:ascii="Arial" w:hAnsi="Arial" w:cs="Arial"/>
          <w:sz w:val="20"/>
          <w:szCs w:val="20"/>
        </w:rPr>
        <w:t xml:space="preserve"> </w:t>
      </w:r>
      <w:r w:rsidRPr="001769D6">
        <w:rPr>
          <w:rFonts w:ascii="Arial" w:hAnsi="Arial" w:cs="Arial"/>
          <w:sz w:val="20"/>
          <w:szCs w:val="20"/>
        </w:rPr>
        <w:t>we consider that prosecuting counsel in this case did breach the rule at least in relation to the first, second, sixth, seventh, eighth, tenth, eleventh, thirteenth, fourteenth, sixteenth and seventeenth — the Director conceded the sixth, seventh and eleventh — of the items set out in the trial judge’s directions. To that extent, it is plain that there has been an irregularity in the trial.</w:t>
      </w:r>
      <w:r>
        <w:rPr>
          <w:rFonts w:ascii="Arial" w:hAnsi="Arial" w:cs="Arial"/>
          <w:sz w:val="20"/>
          <w:szCs w:val="20"/>
        </w:rPr>
        <w:t>”</w:t>
      </w:r>
    </w:p>
    <w:p w14:paraId="166EBA6A" w14:textId="77777777" w:rsidR="00115DCA" w:rsidRDefault="00115DCA" w:rsidP="00DE0CC3">
      <w:pPr>
        <w:jc w:val="both"/>
        <w:rPr>
          <w:rFonts w:ascii="Arial" w:hAnsi="Arial" w:cs="Arial"/>
          <w:color w:val="000000"/>
          <w:sz w:val="20"/>
        </w:rPr>
      </w:pPr>
    </w:p>
    <w:p w14:paraId="23CAA841" w14:textId="1EC56954" w:rsidR="0045772C" w:rsidRPr="006F7316" w:rsidRDefault="00A62B38" w:rsidP="00115DCA">
      <w:pPr>
        <w:jc w:val="both"/>
        <w:rPr>
          <w:rFonts w:ascii="Arial" w:hAnsi="Arial" w:cs="Arial"/>
          <w:sz w:val="20"/>
          <w:szCs w:val="20"/>
        </w:rPr>
      </w:pPr>
      <w:r w:rsidRPr="00EE27CA">
        <w:rPr>
          <w:rFonts w:ascii="Arial" w:hAnsi="Arial" w:cs="Arial"/>
          <w:color w:val="000000"/>
          <w:sz w:val="20"/>
        </w:rPr>
        <w:t>For further discussion of the rule, s</w:t>
      </w:r>
      <w:r w:rsidR="00912B49" w:rsidRPr="00EE27CA">
        <w:rPr>
          <w:rFonts w:ascii="Arial" w:hAnsi="Arial" w:cs="Arial"/>
          <w:color w:val="000000"/>
          <w:sz w:val="20"/>
        </w:rPr>
        <w:t>ee</w:t>
      </w:r>
      <w:r w:rsidRPr="00EE27CA">
        <w:rPr>
          <w:rFonts w:ascii="Arial" w:hAnsi="Arial" w:cs="Arial"/>
          <w:color w:val="000000"/>
          <w:sz w:val="20"/>
        </w:rPr>
        <w:t xml:space="preserve"> </w:t>
      </w:r>
      <w:r w:rsidR="00912B49" w:rsidRPr="00EE27CA">
        <w:rPr>
          <w:rFonts w:ascii="Arial" w:hAnsi="Arial" w:cs="Arial"/>
          <w:i/>
          <w:color w:val="000000"/>
          <w:sz w:val="20"/>
        </w:rPr>
        <w:t>R v Arnott</w:t>
      </w:r>
      <w:r w:rsidR="0045772C" w:rsidRPr="00EE27CA">
        <w:rPr>
          <w:rFonts w:ascii="Arial" w:hAnsi="Arial" w:cs="Arial"/>
          <w:color w:val="000000"/>
          <w:sz w:val="20"/>
        </w:rPr>
        <w:t xml:space="preserve"> [2009] VSCA 299 at [105]-[109]; </w:t>
      </w:r>
      <w:r w:rsidR="004F16FC" w:rsidRPr="00EE27CA">
        <w:rPr>
          <w:rFonts w:ascii="Arial" w:hAnsi="Arial" w:cs="Arial"/>
          <w:i/>
          <w:color w:val="000000"/>
          <w:sz w:val="20"/>
        </w:rPr>
        <w:t>R v Edward Drash</w:t>
      </w:r>
      <w:r w:rsidR="004F16FC" w:rsidRPr="00EE27CA">
        <w:rPr>
          <w:rFonts w:ascii="Arial" w:hAnsi="Arial" w:cs="Arial"/>
          <w:color w:val="000000"/>
          <w:sz w:val="20"/>
        </w:rPr>
        <w:t xml:space="preserve"> [2012] VSCA 33 at [64]-[89]; </w:t>
      </w:r>
      <w:r w:rsidRPr="00EE27CA">
        <w:rPr>
          <w:rFonts w:ascii="Arial" w:hAnsi="Arial" w:cs="Arial"/>
          <w:i/>
          <w:color w:val="000000"/>
          <w:sz w:val="20"/>
        </w:rPr>
        <w:t>R v Michael Peter Smith</w:t>
      </w:r>
      <w:r w:rsidRPr="00EE27CA">
        <w:rPr>
          <w:rFonts w:ascii="Arial" w:hAnsi="Arial" w:cs="Arial"/>
          <w:color w:val="000000"/>
          <w:sz w:val="20"/>
        </w:rPr>
        <w:t xml:space="preserve"> [20</w:t>
      </w:r>
      <w:r w:rsidRPr="00EE27CA">
        <w:rPr>
          <w:rFonts w:ascii="Arial" w:hAnsi="Arial" w:cs="Arial"/>
          <w:color w:val="000000"/>
          <w:sz w:val="20"/>
          <w:szCs w:val="20"/>
        </w:rPr>
        <w:t>12] VSCA 187 at [49]-[53]</w:t>
      </w:r>
      <w:r w:rsidR="003113DF" w:rsidRPr="00EE27CA">
        <w:rPr>
          <w:rFonts w:ascii="Arial" w:hAnsi="Arial" w:cs="Arial"/>
          <w:color w:val="000000"/>
          <w:sz w:val="20"/>
          <w:szCs w:val="20"/>
        </w:rPr>
        <w:t xml:space="preserve">; </w:t>
      </w:r>
      <w:r w:rsidR="003113DF" w:rsidRPr="00EE27CA">
        <w:rPr>
          <w:rFonts w:ascii="Arial" w:hAnsi="Arial" w:cs="Arial"/>
          <w:i/>
          <w:color w:val="000000"/>
          <w:sz w:val="20"/>
          <w:szCs w:val="20"/>
        </w:rPr>
        <w:t>Pasqualotto v Pasqualotto</w:t>
      </w:r>
      <w:r w:rsidR="003113DF" w:rsidRPr="00EE27CA">
        <w:rPr>
          <w:rFonts w:ascii="Arial" w:hAnsi="Arial" w:cs="Arial"/>
          <w:color w:val="000000"/>
          <w:sz w:val="20"/>
          <w:szCs w:val="20"/>
        </w:rPr>
        <w:t xml:space="preserve"> [2013] VSCA 16 at [177] &amp; [221]-[273]</w:t>
      </w:r>
      <w:r w:rsidR="007A4837">
        <w:rPr>
          <w:rFonts w:ascii="Arial" w:hAnsi="Arial" w:cs="Arial"/>
          <w:color w:val="000000"/>
          <w:sz w:val="20"/>
          <w:szCs w:val="20"/>
        </w:rPr>
        <w:t xml:space="preserve">; </w:t>
      </w:r>
      <w:r w:rsidR="00F62AFF" w:rsidRPr="00F62AFF">
        <w:rPr>
          <w:rFonts w:ascii="Arial" w:hAnsi="Arial" w:cs="Arial"/>
          <w:i/>
          <w:iCs/>
          <w:color w:val="000000"/>
          <w:sz w:val="20"/>
        </w:rPr>
        <w:t>Gant v The Queen; Siddique v The Queen</w:t>
      </w:r>
      <w:r w:rsidR="00F62AFF">
        <w:rPr>
          <w:rFonts w:ascii="Arial" w:hAnsi="Arial" w:cs="Arial"/>
          <w:color w:val="000000"/>
          <w:sz w:val="20"/>
        </w:rPr>
        <w:t xml:space="preserve"> [2017] VSCA 104 at [59] &amp; [113]; </w:t>
      </w:r>
      <w:r w:rsidR="007A4837" w:rsidRPr="007A4837">
        <w:rPr>
          <w:rFonts w:ascii="Arial" w:hAnsi="Arial" w:cs="Arial"/>
          <w:i/>
          <w:iCs/>
          <w:color w:val="000000"/>
          <w:sz w:val="20"/>
          <w:szCs w:val="20"/>
        </w:rPr>
        <w:t>Hofer v The Queen</w:t>
      </w:r>
      <w:r w:rsidR="007A4837">
        <w:rPr>
          <w:rFonts w:ascii="Arial" w:hAnsi="Arial" w:cs="Arial"/>
          <w:color w:val="000000"/>
          <w:sz w:val="20"/>
          <w:szCs w:val="20"/>
        </w:rPr>
        <w:t xml:space="preserve"> [2021] HCA 36 at [26]-[28] &amp; [74]</w:t>
      </w:r>
      <w:r w:rsidR="000A6838">
        <w:rPr>
          <w:rFonts w:ascii="Arial" w:hAnsi="Arial" w:cs="Arial"/>
          <w:color w:val="000000"/>
          <w:sz w:val="20"/>
          <w:szCs w:val="20"/>
        </w:rPr>
        <w:t xml:space="preserve">; </w:t>
      </w:r>
      <w:bookmarkStart w:id="846" w:name="_Hlk151359053"/>
      <w:r w:rsidR="000A6838" w:rsidRPr="000A6838">
        <w:rPr>
          <w:rFonts w:ascii="Arial" w:hAnsi="Arial" w:cs="Arial"/>
          <w:i/>
          <w:iCs/>
          <w:color w:val="000000"/>
          <w:sz w:val="20"/>
          <w:szCs w:val="20"/>
        </w:rPr>
        <w:t xml:space="preserve">Wilson (a pseudonym) </w:t>
      </w:r>
      <w:r w:rsidR="000A6838" w:rsidRPr="00241E82">
        <w:rPr>
          <w:rFonts w:ascii="Arial" w:hAnsi="Arial" w:cs="Arial"/>
          <w:i/>
          <w:iCs/>
          <w:color w:val="000000"/>
          <w:sz w:val="20"/>
          <w:szCs w:val="20"/>
        </w:rPr>
        <w:t>v The King</w:t>
      </w:r>
      <w:r w:rsidR="000A6838" w:rsidRPr="00241E82">
        <w:rPr>
          <w:rFonts w:ascii="Arial" w:hAnsi="Arial" w:cs="Arial"/>
          <w:color w:val="000000"/>
          <w:sz w:val="20"/>
          <w:szCs w:val="20"/>
        </w:rPr>
        <w:t xml:space="preserve"> [2023] VSC 276 at [43]-[64]</w:t>
      </w:r>
      <w:bookmarkEnd w:id="846"/>
      <w:r w:rsidR="00BA2E1A">
        <w:rPr>
          <w:rFonts w:ascii="Arial" w:hAnsi="Arial" w:cs="Arial"/>
          <w:color w:val="000000"/>
          <w:sz w:val="20"/>
          <w:szCs w:val="20"/>
        </w:rPr>
        <w:t xml:space="preserve">; </w:t>
      </w:r>
      <w:r w:rsidR="00BA2E1A">
        <w:rPr>
          <w:rFonts w:ascii="Arial" w:hAnsi="Arial" w:cs="Arial"/>
          <w:i/>
          <w:iCs/>
          <w:color w:val="000000"/>
          <w:sz w:val="20"/>
          <w:szCs w:val="20"/>
        </w:rPr>
        <w:t xml:space="preserve">Seymour (a pseudonym) v The King </w:t>
      </w:r>
      <w:r w:rsidR="00BA2E1A" w:rsidRPr="00E437D8">
        <w:rPr>
          <w:rFonts w:ascii="Arial" w:hAnsi="Arial" w:cs="Arial"/>
          <w:color w:val="000000"/>
          <w:sz w:val="20"/>
          <w:szCs w:val="20"/>
        </w:rPr>
        <w:t>[2025] VSCA 334</w:t>
      </w:r>
      <w:r w:rsidR="00BA2E1A">
        <w:rPr>
          <w:rFonts w:ascii="Arial" w:hAnsi="Arial" w:cs="Arial"/>
          <w:color w:val="000000"/>
          <w:sz w:val="20"/>
          <w:szCs w:val="20"/>
        </w:rPr>
        <w:t xml:space="preserve"> at [</w:t>
      </w:r>
      <w:r w:rsidR="004650D0">
        <w:rPr>
          <w:rFonts w:ascii="Arial" w:hAnsi="Arial" w:cs="Arial"/>
          <w:color w:val="000000"/>
          <w:sz w:val="20"/>
          <w:szCs w:val="20"/>
        </w:rPr>
        <w:t>104</w:t>
      </w:r>
      <w:r w:rsidR="00BA2E1A">
        <w:rPr>
          <w:rFonts w:ascii="Arial" w:hAnsi="Arial" w:cs="Arial"/>
          <w:color w:val="000000"/>
          <w:sz w:val="20"/>
          <w:szCs w:val="20"/>
        </w:rPr>
        <w:t>]</w:t>
      </w:r>
      <w:r w:rsidR="004650D0">
        <w:rPr>
          <w:rFonts w:ascii="Arial" w:hAnsi="Arial" w:cs="Arial"/>
          <w:color w:val="000000"/>
          <w:sz w:val="20"/>
          <w:szCs w:val="20"/>
        </w:rPr>
        <w:noBreakHyphen/>
      </w:r>
      <w:r w:rsidR="00BA2E1A">
        <w:rPr>
          <w:rFonts w:ascii="Arial" w:hAnsi="Arial" w:cs="Arial"/>
          <w:color w:val="000000"/>
          <w:sz w:val="20"/>
          <w:szCs w:val="20"/>
        </w:rPr>
        <w:t>[</w:t>
      </w:r>
      <w:r w:rsidR="004650D0">
        <w:rPr>
          <w:rFonts w:ascii="Arial" w:hAnsi="Arial" w:cs="Arial"/>
          <w:color w:val="000000"/>
          <w:sz w:val="20"/>
          <w:szCs w:val="20"/>
        </w:rPr>
        <w:t>133</w:t>
      </w:r>
      <w:r w:rsidR="00BA2E1A">
        <w:rPr>
          <w:rFonts w:ascii="Arial" w:hAnsi="Arial" w:cs="Arial"/>
          <w:color w:val="000000"/>
          <w:sz w:val="20"/>
          <w:szCs w:val="20"/>
        </w:rPr>
        <w:t>].</w:t>
      </w:r>
    </w:p>
    <w:p w14:paraId="30A58D52" w14:textId="77777777" w:rsidR="00B8085D" w:rsidRDefault="00B8085D" w:rsidP="00B8085D">
      <w:pPr>
        <w:jc w:val="both"/>
        <w:rPr>
          <w:rFonts w:ascii="Arial" w:hAnsi="Arial" w:cs="Arial"/>
          <w:sz w:val="20"/>
        </w:rPr>
      </w:pPr>
    </w:p>
    <w:p w14:paraId="5A2B561C" w14:textId="77777777" w:rsidR="00B8085D" w:rsidRPr="008C3BC8" w:rsidRDefault="00B8085D" w:rsidP="00B8085D">
      <w:pPr>
        <w:pStyle w:val="Heading3"/>
        <w:keepNext/>
        <w:spacing w:after="120" w:line="240" w:lineRule="auto"/>
        <w:rPr>
          <w:rFonts w:ascii="Arial" w:hAnsi="Arial" w:cs="Arial"/>
          <w:b/>
          <w:bCs/>
          <w:color w:val="000000"/>
          <w:sz w:val="20"/>
        </w:rPr>
      </w:pPr>
      <w:bookmarkStart w:id="847" w:name="_3.5.14_The_rule"/>
      <w:bookmarkEnd w:id="847"/>
      <w:r w:rsidRPr="008C3BC8">
        <w:rPr>
          <w:rFonts w:ascii="Arial" w:hAnsi="Arial" w:cs="Arial"/>
          <w:b/>
          <w:bCs/>
          <w:color w:val="000000"/>
          <w:sz w:val="20"/>
        </w:rPr>
        <w:t>3.5.14</w:t>
      </w:r>
      <w:r w:rsidRPr="008C3BC8">
        <w:rPr>
          <w:rFonts w:ascii="Arial" w:hAnsi="Arial" w:cs="Arial"/>
          <w:b/>
          <w:bCs/>
          <w:color w:val="000000"/>
          <w:sz w:val="20"/>
        </w:rPr>
        <w:tab/>
        <w:t>The rule in Jones v Dunkel</w:t>
      </w:r>
    </w:p>
    <w:p w14:paraId="4B934969" w14:textId="77777777" w:rsidR="00B8085D" w:rsidRPr="008C3BC8" w:rsidRDefault="00B8085D" w:rsidP="00B8085D">
      <w:pPr>
        <w:jc w:val="both"/>
        <w:rPr>
          <w:rFonts w:ascii="Arial" w:hAnsi="Arial" w:cs="Arial"/>
          <w:color w:val="000000"/>
          <w:sz w:val="20"/>
        </w:rPr>
      </w:pPr>
      <w:r w:rsidRPr="008C3BC8">
        <w:rPr>
          <w:rFonts w:ascii="Arial" w:hAnsi="Arial" w:cs="Arial"/>
          <w:color w:val="000000"/>
          <w:sz w:val="20"/>
          <w:szCs w:val="20"/>
        </w:rPr>
        <w:t xml:space="preserve">The rule in </w:t>
      </w:r>
      <w:r w:rsidRPr="008C3BC8">
        <w:rPr>
          <w:rFonts w:ascii="Arial" w:hAnsi="Arial" w:cs="Arial"/>
          <w:i/>
          <w:iCs/>
          <w:color w:val="000000"/>
          <w:sz w:val="20"/>
        </w:rPr>
        <w:t>Jones v Dunkel</w:t>
      </w:r>
      <w:r w:rsidRPr="008C3BC8">
        <w:rPr>
          <w:rFonts w:ascii="Arial" w:hAnsi="Arial" w:cs="Arial"/>
          <w:color w:val="000000"/>
          <w:sz w:val="20"/>
          <w:szCs w:val="20"/>
        </w:rPr>
        <w:t xml:space="preserve"> (1959) 101 CLR 298 relates to the unexplained failure of a party to </w:t>
      </w:r>
      <w:r w:rsidR="00A034E8" w:rsidRPr="008C3BC8">
        <w:rPr>
          <w:rFonts w:ascii="Arial" w:hAnsi="Arial" w:cs="Arial"/>
          <w:color w:val="000000"/>
          <w:sz w:val="20"/>
          <w:szCs w:val="20"/>
        </w:rPr>
        <w:t>lead</w:t>
      </w:r>
      <w:r w:rsidRPr="008C3BC8">
        <w:rPr>
          <w:rFonts w:ascii="Arial" w:hAnsi="Arial" w:cs="Arial"/>
          <w:color w:val="000000"/>
          <w:sz w:val="20"/>
          <w:szCs w:val="20"/>
        </w:rPr>
        <w:t xml:space="preserve"> evidence which may, in appropriate circumstances, </w:t>
      </w:r>
      <w:r w:rsidR="00A034E8" w:rsidRPr="008C3BC8">
        <w:rPr>
          <w:rFonts w:ascii="Arial" w:hAnsi="Arial" w:cs="Arial"/>
          <w:color w:val="000000"/>
          <w:sz w:val="20"/>
          <w:szCs w:val="20"/>
        </w:rPr>
        <w:t>enable</w:t>
      </w:r>
      <w:r w:rsidRPr="008C3BC8">
        <w:rPr>
          <w:rFonts w:ascii="Arial" w:hAnsi="Arial" w:cs="Arial"/>
          <w:color w:val="000000"/>
          <w:sz w:val="20"/>
          <w:szCs w:val="20"/>
        </w:rPr>
        <w:t xml:space="preserve"> an inference </w:t>
      </w:r>
      <w:r w:rsidR="00A034E8" w:rsidRPr="008C3BC8">
        <w:rPr>
          <w:rFonts w:ascii="Arial" w:hAnsi="Arial" w:cs="Arial"/>
          <w:color w:val="000000"/>
          <w:sz w:val="20"/>
          <w:szCs w:val="20"/>
        </w:rPr>
        <w:t xml:space="preserve">to be drawn </w:t>
      </w:r>
      <w:r w:rsidRPr="008C3BC8">
        <w:rPr>
          <w:rFonts w:ascii="Arial" w:hAnsi="Arial" w:cs="Arial"/>
          <w:color w:val="000000"/>
          <w:sz w:val="20"/>
          <w:szCs w:val="20"/>
        </w:rPr>
        <w:t>that the uncalled evidence would not have assisted that party's case</w:t>
      </w:r>
      <w:r w:rsidRPr="008C3BC8">
        <w:rPr>
          <w:rFonts w:ascii="Arial" w:hAnsi="Arial" w:cs="Arial"/>
          <w:color w:val="000000"/>
          <w:sz w:val="20"/>
        </w:rPr>
        <w:t xml:space="preserve">.  </w:t>
      </w:r>
      <w:r w:rsidR="00A034E8" w:rsidRPr="008C3BC8">
        <w:rPr>
          <w:rFonts w:ascii="Arial" w:hAnsi="Arial" w:cs="Arial"/>
          <w:color w:val="000000"/>
          <w:sz w:val="20"/>
        </w:rPr>
        <w:t xml:space="preserve">At p.312 Menzies J stated the rule </w:t>
      </w:r>
      <w:r w:rsidR="00306886" w:rsidRPr="008C3BC8">
        <w:rPr>
          <w:rFonts w:ascii="Arial" w:hAnsi="Arial" w:cs="Arial"/>
          <w:color w:val="000000"/>
          <w:sz w:val="20"/>
        </w:rPr>
        <w:t>as</w:t>
      </w:r>
      <w:r w:rsidR="00A034E8" w:rsidRPr="008C3BC8">
        <w:rPr>
          <w:rFonts w:ascii="Arial" w:hAnsi="Arial" w:cs="Arial"/>
          <w:color w:val="000000"/>
          <w:sz w:val="20"/>
        </w:rPr>
        <w:t xml:space="preserve"> follows:</w:t>
      </w:r>
    </w:p>
    <w:p w14:paraId="6C7427CB" w14:textId="77777777" w:rsidR="00DD21E8" w:rsidRPr="008C3BC8" w:rsidRDefault="00DD21E8" w:rsidP="00D01139">
      <w:pPr>
        <w:keepNext/>
        <w:keepLines/>
        <w:spacing w:before="60"/>
        <w:ind w:left="567" w:right="567"/>
        <w:jc w:val="both"/>
        <w:rPr>
          <w:rFonts w:ascii="Arial" w:hAnsi="Arial" w:cs="Arial"/>
          <w:color w:val="000000"/>
          <w:sz w:val="20"/>
          <w:szCs w:val="20"/>
        </w:rPr>
      </w:pPr>
      <w:r w:rsidRPr="008C3BC8">
        <w:rPr>
          <w:rFonts w:ascii="Arial" w:hAnsi="Arial" w:cs="Arial"/>
          <w:color w:val="000000"/>
          <w:sz w:val="20"/>
          <w:szCs w:val="20"/>
        </w:rPr>
        <w:t>“[A] proper direction in the circumstances should have made three things clear:</w:t>
      </w:r>
    </w:p>
    <w:p w14:paraId="3F27911B" w14:textId="77777777" w:rsidR="00DD21E8" w:rsidRPr="008C3BC8" w:rsidRDefault="00DD21E8" w:rsidP="00D772F0">
      <w:pPr>
        <w:numPr>
          <w:ilvl w:val="0"/>
          <w:numId w:val="33"/>
        </w:numPr>
        <w:tabs>
          <w:tab w:val="clear" w:pos="1287"/>
          <w:tab w:val="num" w:pos="454"/>
        </w:tabs>
        <w:ind w:left="1021" w:right="567" w:hanging="454"/>
        <w:jc w:val="both"/>
        <w:rPr>
          <w:rFonts w:ascii="Arial" w:hAnsi="Arial" w:cs="Arial"/>
          <w:color w:val="000000"/>
          <w:sz w:val="20"/>
          <w:szCs w:val="20"/>
        </w:rPr>
      </w:pPr>
      <w:r w:rsidRPr="008C3BC8">
        <w:rPr>
          <w:rFonts w:ascii="Arial" w:hAnsi="Arial" w:cs="Arial"/>
          <w:color w:val="000000"/>
          <w:sz w:val="20"/>
          <w:szCs w:val="20"/>
        </w:rPr>
        <w:t>that the absence of the defendant Hegedus as a witness cannot be used to make up any deficiency of evidence;</w:t>
      </w:r>
    </w:p>
    <w:p w14:paraId="6BF6841C" w14:textId="77777777" w:rsidR="00DD21E8" w:rsidRPr="008C3BC8" w:rsidRDefault="00B45D30" w:rsidP="00D772F0">
      <w:pPr>
        <w:numPr>
          <w:ilvl w:val="0"/>
          <w:numId w:val="33"/>
        </w:numPr>
        <w:tabs>
          <w:tab w:val="clear" w:pos="1287"/>
          <w:tab w:val="num" w:pos="454"/>
        </w:tabs>
        <w:ind w:left="1021" w:right="567" w:hanging="454"/>
        <w:jc w:val="both"/>
        <w:rPr>
          <w:rFonts w:ascii="Arial" w:hAnsi="Arial" w:cs="Arial"/>
          <w:color w:val="000000"/>
          <w:sz w:val="20"/>
          <w:szCs w:val="20"/>
        </w:rPr>
      </w:pPr>
      <w:r w:rsidRPr="008C3BC8">
        <w:rPr>
          <w:rFonts w:ascii="Arial" w:hAnsi="Arial" w:cs="Arial"/>
          <w:color w:val="000000"/>
          <w:sz w:val="20"/>
          <w:szCs w:val="20"/>
        </w:rPr>
        <w:t>that evidence which might have been contradicted by the defendant can be accepted the more readily if the defendant fails to give evidence;</w:t>
      </w:r>
    </w:p>
    <w:p w14:paraId="6B371510" w14:textId="77777777" w:rsidR="00B45D30" w:rsidRPr="008C3BC8" w:rsidRDefault="00B45D30" w:rsidP="00D772F0">
      <w:pPr>
        <w:numPr>
          <w:ilvl w:val="0"/>
          <w:numId w:val="33"/>
        </w:numPr>
        <w:tabs>
          <w:tab w:val="clear" w:pos="1287"/>
          <w:tab w:val="num" w:pos="454"/>
        </w:tabs>
        <w:ind w:left="1021" w:right="567" w:hanging="454"/>
        <w:jc w:val="both"/>
        <w:rPr>
          <w:rFonts w:ascii="Arial" w:hAnsi="Arial" w:cs="Arial"/>
          <w:color w:val="000000"/>
          <w:sz w:val="20"/>
          <w:szCs w:val="20"/>
        </w:rPr>
      </w:pPr>
      <w:r w:rsidRPr="008C3BC8">
        <w:rPr>
          <w:rFonts w:ascii="Arial" w:hAnsi="Arial" w:cs="Arial"/>
          <w:color w:val="000000"/>
          <w:sz w:val="20"/>
          <w:szCs w:val="20"/>
        </w:rPr>
        <w:lastRenderedPageBreak/>
        <w:t>that where an inference is open from facts proved by direct evidence and the question is whether it should be drawn, the circumstance that the defendant disputing it might have proved the contrary had he chosen to give evidence is properly to be taken into account as a circumstance in favour of drawing the inference.”</w:t>
      </w:r>
    </w:p>
    <w:p w14:paraId="3B30006C" w14:textId="77777777" w:rsidR="00B8085D" w:rsidRDefault="00B8085D" w:rsidP="00B8085D">
      <w:pPr>
        <w:jc w:val="both"/>
        <w:rPr>
          <w:rFonts w:ascii="Arial" w:hAnsi="Arial" w:cs="Arial"/>
          <w:color w:val="000000"/>
          <w:sz w:val="20"/>
        </w:rPr>
      </w:pPr>
    </w:p>
    <w:p w14:paraId="31A12D11" w14:textId="068154BE" w:rsidR="000E5165" w:rsidRPr="000E5165" w:rsidRDefault="000E5165" w:rsidP="00B8085D">
      <w:pPr>
        <w:jc w:val="both"/>
        <w:rPr>
          <w:rFonts w:ascii="Arial" w:hAnsi="Arial" w:cs="Arial"/>
          <w:color w:val="000000"/>
          <w:sz w:val="20"/>
          <w:szCs w:val="20"/>
        </w:rPr>
      </w:pPr>
      <w:r w:rsidRPr="000E5165">
        <w:rPr>
          <w:rFonts w:ascii="Arial" w:hAnsi="Arial" w:cs="Arial"/>
          <w:color w:val="000000"/>
          <w:sz w:val="20"/>
          <w:szCs w:val="20"/>
        </w:rPr>
        <w:t xml:space="preserve">In </w:t>
      </w:r>
      <w:r w:rsidRPr="000E5165">
        <w:rPr>
          <w:rFonts w:ascii="Arial" w:hAnsi="Arial" w:cs="Arial"/>
          <w:i/>
          <w:iCs/>
          <w:color w:val="000000"/>
          <w:sz w:val="20"/>
          <w:szCs w:val="20"/>
        </w:rPr>
        <w:t>Kuhl v Zurich Financial Services Australia Ltd</w:t>
      </w:r>
      <w:r w:rsidRPr="000E5165">
        <w:rPr>
          <w:rFonts w:ascii="Arial" w:hAnsi="Arial" w:cs="Arial"/>
          <w:color w:val="000000"/>
          <w:sz w:val="20"/>
          <w:szCs w:val="20"/>
        </w:rPr>
        <w:t xml:space="preserve"> (2011) </w:t>
      </w:r>
      <w:r w:rsidRPr="000E5165">
        <w:rPr>
          <w:rFonts w:ascii="Arial" w:hAnsi="Arial" w:cs="Arial"/>
          <w:sz w:val="20"/>
          <w:szCs w:val="20"/>
        </w:rPr>
        <w:t xml:space="preserve">243 CLR 361, 384-385, </w:t>
      </w:r>
      <w:r w:rsidR="00E4755A">
        <w:rPr>
          <w:rFonts w:ascii="Arial" w:hAnsi="Arial" w:cs="Arial"/>
          <w:sz w:val="20"/>
          <w:szCs w:val="20"/>
        </w:rPr>
        <w:t>the plurality (</w:t>
      </w:r>
      <w:r w:rsidRPr="000E5165">
        <w:rPr>
          <w:rFonts w:ascii="Arial" w:hAnsi="Arial" w:cs="Arial"/>
          <w:sz w:val="20"/>
          <w:szCs w:val="20"/>
        </w:rPr>
        <w:t xml:space="preserve">Heydon, Crennan </w:t>
      </w:r>
      <w:r w:rsidR="00E4755A">
        <w:rPr>
          <w:rFonts w:ascii="Arial" w:hAnsi="Arial" w:cs="Arial"/>
          <w:sz w:val="20"/>
          <w:szCs w:val="20"/>
        </w:rPr>
        <w:t xml:space="preserve">&amp; </w:t>
      </w:r>
      <w:r w:rsidRPr="000E5165">
        <w:rPr>
          <w:rFonts w:ascii="Arial" w:hAnsi="Arial" w:cs="Arial"/>
          <w:sz w:val="20"/>
          <w:szCs w:val="20"/>
        </w:rPr>
        <w:t>Bell JJ)</w:t>
      </w:r>
      <w:r>
        <w:rPr>
          <w:rFonts w:ascii="Arial" w:hAnsi="Arial" w:cs="Arial"/>
          <w:sz w:val="20"/>
          <w:szCs w:val="20"/>
        </w:rPr>
        <w:t xml:space="preserve"> described the rule as follows</w:t>
      </w:r>
      <w:r w:rsidR="00A616AE">
        <w:rPr>
          <w:rFonts w:ascii="Arial" w:hAnsi="Arial" w:cs="Arial"/>
          <w:sz w:val="20"/>
          <w:szCs w:val="20"/>
        </w:rPr>
        <w:t xml:space="preserve"> at [63]-[64]</w:t>
      </w:r>
      <w:r>
        <w:rPr>
          <w:rFonts w:ascii="Arial" w:hAnsi="Arial" w:cs="Arial"/>
          <w:sz w:val="20"/>
          <w:szCs w:val="20"/>
        </w:rPr>
        <w:t>:</w:t>
      </w:r>
    </w:p>
    <w:p w14:paraId="3C4CFFAA" w14:textId="38AA0324" w:rsidR="000E5165" w:rsidRPr="00E4755A" w:rsidRDefault="000E5165" w:rsidP="00A616AE">
      <w:pPr>
        <w:spacing w:before="60"/>
        <w:ind w:left="567" w:right="567"/>
        <w:jc w:val="both"/>
        <w:rPr>
          <w:rFonts w:ascii="Arial" w:hAnsi="Arial" w:cs="Arial"/>
          <w:color w:val="000000" w:themeColor="text1"/>
          <w:sz w:val="20"/>
          <w:szCs w:val="20"/>
        </w:rPr>
      </w:pPr>
      <w:r w:rsidRPr="00E4755A">
        <w:rPr>
          <w:rFonts w:ascii="Arial" w:hAnsi="Arial" w:cs="Arial"/>
          <w:color w:val="000000"/>
          <w:sz w:val="20"/>
          <w:szCs w:val="20"/>
        </w:rPr>
        <w:t>“</w:t>
      </w:r>
      <w:r w:rsidRPr="00E4755A">
        <w:rPr>
          <w:rFonts w:ascii="Arial" w:hAnsi="Arial" w:cs="Arial"/>
          <w:sz w:val="20"/>
          <w:szCs w:val="20"/>
        </w:rPr>
        <w:t xml:space="preserve">The rule in </w:t>
      </w:r>
      <w:r w:rsidRPr="00E4755A">
        <w:rPr>
          <w:rFonts w:ascii="Arial" w:hAnsi="Arial" w:cs="Arial"/>
          <w:i/>
          <w:iCs/>
          <w:sz w:val="20"/>
          <w:szCs w:val="20"/>
        </w:rPr>
        <w:t>Jones v Dunkel</w:t>
      </w:r>
      <w:r w:rsidRPr="00E4755A">
        <w:rPr>
          <w:rFonts w:ascii="Arial" w:hAnsi="Arial" w:cs="Arial"/>
          <w:sz w:val="20"/>
          <w:szCs w:val="20"/>
        </w:rPr>
        <w:t xml:space="preserve"> is that the unexplained failure by a party to call a witness may in appropriate circumstances support an inference that the uncalled evidence would not have assisted the party's case. That is particularly so where it is the party which is the uncalled witness</w:t>
      </w:r>
      <w:r w:rsidR="00E4755A" w:rsidRPr="00E4755A">
        <w:rPr>
          <w:rFonts w:ascii="Arial" w:hAnsi="Arial" w:cs="Arial"/>
          <w:sz w:val="20"/>
          <w:szCs w:val="20"/>
        </w:rPr>
        <w:t xml:space="preserve">: </w:t>
      </w:r>
      <w:r w:rsidR="00E4755A" w:rsidRPr="00E4755A">
        <w:rPr>
          <w:rFonts w:ascii="Arial" w:hAnsi="Arial" w:cs="Arial"/>
          <w:i/>
          <w:iCs/>
          <w:color w:val="000000"/>
          <w:sz w:val="20"/>
          <w:szCs w:val="20"/>
        </w:rPr>
        <w:t>Dilosa v Latec Finance Pty Ltd</w:t>
      </w:r>
      <w:r w:rsidR="00E4755A" w:rsidRPr="00E4755A">
        <w:rPr>
          <w:rFonts w:ascii="Arial" w:hAnsi="Arial" w:cs="Arial"/>
          <w:color w:val="000000"/>
          <w:sz w:val="20"/>
          <w:szCs w:val="20"/>
        </w:rPr>
        <w:t> (1966) 84 WN (Pt 1) (NSW) 557 at 582.</w:t>
      </w:r>
      <w:r w:rsidRPr="00E4755A">
        <w:rPr>
          <w:rFonts w:ascii="Arial" w:hAnsi="Arial" w:cs="Arial"/>
          <w:sz w:val="20"/>
          <w:szCs w:val="20"/>
        </w:rPr>
        <w:t xml:space="preserve"> The failure to call a witness may also permit the court to draw, with greater confidence, any inference unfavourable to the party that failed to call the witness, if that uncalled witness appears to be in a position to cast light on whether the inference should be drawn</w:t>
      </w:r>
      <w:r w:rsidR="00E4755A">
        <w:rPr>
          <w:rFonts w:ascii="Arial" w:hAnsi="Arial" w:cs="Arial"/>
          <w:sz w:val="20"/>
          <w:szCs w:val="20"/>
        </w:rPr>
        <w:t xml:space="preserve">: </w:t>
      </w:r>
      <w:hyperlink r:id="rId46" w:history="1">
        <w:r w:rsidR="00E4755A" w:rsidRPr="00E4755A">
          <w:rPr>
            <w:rStyle w:val="Hyperlink"/>
            <w:rFonts w:ascii="Arial" w:hAnsi="Arial" w:cs="Arial"/>
            <w:i/>
            <w:iCs/>
            <w:color w:val="000000" w:themeColor="text1"/>
            <w:sz w:val="20"/>
            <w:szCs w:val="20"/>
            <w:u w:val="none"/>
          </w:rPr>
          <w:t>Australian Securities and Investments Commission v Fortescue Metals Group Ltd (No</w:t>
        </w:r>
        <w:r w:rsidR="00E4755A">
          <w:rPr>
            <w:rStyle w:val="Hyperlink"/>
            <w:rFonts w:ascii="Arial" w:hAnsi="Arial" w:cs="Arial"/>
            <w:i/>
            <w:iCs/>
            <w:color w:val="000000" w:themeColor="text1"/>
            <w:sz w:val="20"/>
            <w:szCs w:val="20"/>
            <w:u w:val="none"/>
          </w:rPr>
          <w:t> </w:t>
        </w:r>
        <w:r w:rsidR="00E4755A" w:rsidRPr="00E4755A">
          <w:rPr>
            <w:rStyle w:val="Hyperlink"/>
            <w:rFonts w:ascii="Arial" w:hAnsi="Arial" w:cs="Arial"/>
            <w:i/>
            <w:iCs/>
            <w:color w:val="000000" w:themeColor="text1"/>
            <w:sz w:val="20"/>
            <w:szCs w:val="20"/>
            <w:u w:val="none"/>
          </w:rPr>
          <w:t>5)</w:t>
        </w:r>
      </w:hyperlink>
      <w:r w:rsidR="00E4755A" w:rsidRPr="00E4755A">
        <w:rPr>
          <w:rFonts w:ascii="Arial" w:hAnsi="Arial" w:cs="Arial"/>
          <w:color w:val="000000" w:themeColor="text1"/>
          <w:sz w:val="20"/>
          <w:szCs w:val="20"/>
        </w:rPr>
        <w:t> (2009) 264 ALR 201 at </w:t>
      </w:r>
      <w:hyperlink r:id="rId47" w:history="1">
        <w:r w:rsidR="00E4755A" w:rsidRPr="00E4755A">
          <w:rPr>
            <w:rStyle w:val="Hyperlink"/>
            <w:rFonts w:ascii="Arial" w:hAnsi="Arial" w:cs="Arial"/>
            <w:color w:val="000000" w:themeColor="text1"/>
            <w:sz w:val="20"/>
            <w:szCs w:val="20"/>
            <w:u w:val="none"/>
          </w:rPr>
          <w:t>225</w:t>
        </w:r>
      </w:hyperlink>
      <w:r w:rsidR="00E4755A" w:rsidRPr="00E4755A">
        <w:rPr>
          <w:rFonts w:ascii="Arial" w:hAnsi="Arial" w:cs="Arial"/>
          <w:color w:val="000000" w:themeColor="text1"/>
          <w:sz w:val="20"/>
          <w:szCs w:val="20"/>
        </w:rPr>
        <w:t> </w:t>
      </w:r>
      <w:hyperlink r:id="rId48" w:history="1">
        <w:r w:rsidR="00E4755A" w:rsidRPr="00E4755A">
          <w:rPr>
            <w:rStyle w:val="Hyperlink"/>
            <w:rFonts w:ascii="Arial" w:hAnsi="Arial" w:cs="Arial"/>
            <w:color w:val="000000" w:themeColor="text1"/>
            <w:sz w:val="20"/>
            <w:szCs w:val="20"/>
            <w:u w:val="none"/>
          </w:rPr>
          <w:t>[102]</w:t>
        </w:r>
      </w:hyperlink>
      <w:r w:rsidR="00E4755A" w:rsidRPr="00E4755A">
        <w:rPr>
          <w:rFonts w:ascii="Arial" w:hAnsi="Arial" w:cs="Arial"/>
          <w:color w:val="000000" w:themeColor="text1"/>
          <w:sz w:val="20"/>
          <w:szCs w:val="20"/>
        </w:rPr>
        <w:t>.</w:t>
      </w:r>
      <w:r w:rsidR="00E4755A">
        <w:rPr>
          <w:rFonts w:ascii="Arial" w:hAnsi="Arial" w:cs="Arial"/>
          <w:color w:val="000000" w:themeColor="text1"/>
          <w:sz w:val="20"/>
          <w:szCs w:val="20"/>
        </w:rPr>
        <w:t xml:space="preserve"> </w:t>
      </w:r>
      <w:r w:rsidRPr="00E4755A">
        <w:rPr>
          <w:rFonts w:ascii="Arial" w:hAnsi="Arial" w:cs="Arial"/>
          <w:color w:val="000000" w:themeColor="text1"/>
          <w:sz w:val="20"/>
          <w:szCs w:val="20"/>
        </w:rPr>
        <w:t xml:space="preserve"> </w:t>
      </w:r>
      <w:r w:rsidR="00E4755A" w:rsidRPr="00E4755A">
        <w:rPr>
          <w:rFonts w:ascii="Arial" w:hAnsi="Arial" w:cs="Arial"/>
          <w:color w:val="000000"/>
          <w:sz w:val="20"/>
          <w:szCs w:val="20"/>
        </w:rPr>
        <w:t>These principles have been extended from instances where a witness has not been called at all to instances where a witness has been called but not questioned on particular topics.</w:t>
      </w:r>
      <w:r w:rsidR="00E4755A">
        <w:rPr>
          <w:rFonts w:ascii="Arial" w:hAnsi="Arial" w:cs="Arial"/>
          <w:color w:val="000000"/>
          <w:sz w:val="20"/>
          <w:szCs w:val="20"/>
        </w:rPr>
        <w:t xml:space="preserve">  </w:t>
      </w:r>
      <w:r w:rsidR="00E4755A" w:rsidRPr="00E4755A">
        <w:rPr>
          <w:rFonts w:ascii="Arial" w:hAnsi="Arial" w:cs="Arial"/>
          <w:color w:val="000000"/>
          <w:sz w:val="20"/>
          <w:szCs w:val="20"/>
        </w:rPr>
        <w:t xml:space="preserve">Where counsel for a party has refrained from </w:t>
      </w:r>
      <w:r w:rsidR="00E4755A" w:rsidRPr="00E4755A">
        <w:rPr>
          <w:rFonts w:ascii="Arial" w:hAnsi="Arial" w:cs="Arial"/>
          <w:color w:val="000000" w:themeColor="text1"/>
          <w:sz w:val="20"/>
          <w:szCs w:val="20"/>
        </w:rPr>
        <w:t>asking a witness whom that party has called particular questions on an issue, the court will be less likely to draw inferences favourable to that party from other evidence in relation to that issue</w:t>
      </w:r>
      <w:bookmarkStart w:id="848" w:name="_ftnref50"/>
      <w:r w:rsidR="00E4755A" w:rsidRPr="00E4755A">
        <w:rPr>
          <w:rFonts w:ascii="Arial" w:hAnsi="Arial" w:cs="Arial"/>
          <w:color w:val="000000" w:themeColor="text1"/>
          <w:sz w:val="20"/>
          <w:szCs w:val="20"/>
        </w:rPr>
        <w:t xml:space="preserve">: </w:t>
      </w:r>
      <w:hyperlink r:id="rId49" w:history="1">
        <w:r w:rsidR="00E4755A" w:rsidRPr="00E4755A">
          <w:rPr>
            <w:rStyle w:val="Hyperlink"/>
            <w:rFonts w:ascii="Arial" w:hAnsi="Arial" w:cs="Arial"/>
            <w:i/>
            <w:iCs/>
            <w:color w:val="000000" w:themeColor="text1"/>
            <w:sz w:val="20"/>
            <w:szCs w:val="20"/>
            <w:u w:val="none"/>
          </w:rPr>
          <w:t>Commercial Union Assurance Co of Australia Ltd v Ferrcom Pty Ltd</w:t>
        </w:r>
      </w:hyperlink>
      <w:r w:rsidR="00E4755A" w:rsidRPr="00E4755A">
        <w:rPr>
          <w:rFonts w:ascii="Arial" w:hAnsi="Arial" w:cs="Arial"/>
          <w:color w:val="000000" w:themeColor="text1"/>
          <w:sz w:val="20"/>
          <w:szCs w:val="20"/>
        </w:rPr>
        <w:t> (1991) 22 NSWLR 389 at </w:t>
      </w:r>
      <w:hyperlink r:id="rId50" w:history="1">
        <w:r w:rsidR="00E4755A" w:rsidRPr="00E4755A">
          <w:rPr>
            <w:rStyle w:val="Hyperlink"/>
            <w:rFonts w:ascii="Arial" w:hAnsi="Arial" w:cs="Arial"/>
            <w:color w:val="000000" w:themeColor="text1"/>
            <w:sz w:val="20"/>
            <w:szCs w:val="20"/>
            <w:u w:val="none"/>
          </w:rPr>
          <w:t>418-419</w:t>
        </w:r>
      </w:hyperlink>
      <w:r w:rsidR="00E4755A" w:rsidRPr="00E4755A">
        <w:rPr>
          <w:rFonts w:ascii="Arial" w:hAnsi="Arial" w:cs="Arial"/>
          <w:color w:val="000000" w:themeColor="text1"/>
          <w:sz w:val="20"/>
          <w:szCs w:val="20"/>
        </w:rPr>
        <w:t>. Handley JA stated some stronger propositions in those passages, but what he said is at least authority for what is stated above.</w:t>
      </w:r>
      <w:bookmarkEnd w:id="848"/>
      <w:r w:rsidR="00E4755A" w:rsidRPr="00E4755A">
        <w:rPr>
          <w:rFonts w:ascii="Arial" w:hAnsi="Arial" w:cs="Arial"/>
          <w:color w:val="000000" w:themeColor="text1"/>
          <w:sz w:val="20"/>
          <w:szCs w:val="20"/>
        </w:rPr>
        <w:t xml:space="preserve"> That problem did not arise here. The plaintiff's counsel did ask the plaintiff relevant questions.</w:t>
      </w:r>
    </w:p>
    <w:p w14:paraId="3F110A49" w14:textId="045FBBDD" w:rsidR="000E5165" w:rsidRPr="00E4755A" w:rsidRDefault="000E5165" w:rsidP="00A616AE">
      <w:pPr>
        <w:spacing w:before="60"/>
        <w:ind w:left="567" w:right="567"/>
        <w:jc w:val="both"/>
        <w:rPr>
          <w:rFonts w:ascii="Arial" w:hAnsi="Arial" w:cs="Arial"/>
          <w:color w:val="000000"/>
          <w:sz w:val="20"/>
          <w:szCs w:val="20"/>
        </w:rPr>
      </w:pPr>
      <w:r w:rsidRPr="00E4755A">
        <w:rPr>
          <w:rFonts w:ascii="Arial" w:hAnsi="Arial" w:cs="Arial"/>
          <w:sz w:val="20"/>
          <w:szCs w:val="20"/>
        </w:rPr>
        <w:t xml:space="preserve">The rule in </w:t>
      </w:r>
      <w:r w:rsidRPr="00E4755A">
        <w:rPr>
          <w:rFonts w:ascii="Arial" w:hAnsi="Arial" w:cs="Arial"/>
          <w:i/>
          <w:iCs/>
          <w:sz w:val="20"/>
          <w:szCs w:val="20"/>
        </w:rPr>
        <w:t>Jones v Dunkel</w:t>
      </w:r>
      <w:r w:rsidRPr="00E4755A">
        <w:rPr>
          <w:rFonts w:ascii="Arial" w:hAnsi="Arial" w:cs="Arial"/>
          <w:sz w:val="20"/>
          <w:szCs w:val="20"/>
        </w:rPr>
        <w:t xml:space="preserve"> permits an inference, not that evidence not called by a party would have been adverse to the party, but that it would not have assisted the party</w:t>
      </w:r>
      <w:r w:rsidR="00E4755A" w:rsidRPr="00E4755A">
        <w:rPr>
          <w:rFonts w:ascii="Arial" w:hAnsi="Arial" w:cs="Arial"/>
          <w:sz w:val="20"/>
          <w:szCs w:val="20"/>
        </w:rPr>
        <w:t xml:space="preserve">: </w:t>
      </w:r>
      <w:r w:rsidR="00E4755A" w:rsidRPr="00E4755A">
        <w:rPr>
          <w:rFonts w:ascii="Arial" w:hAnsi="Arial" w:cs="Arial"/>
          <w:i/>
          <w:iCs/>
          <w:color w:val="000000"/>
          <w:sz w:val="20"/>
          <w:szCs w:val="20"/>
          <w:shd w:val="clear" w:color="auto" w:fill="FFFFFF"/>
        </w:rPr>
        <w:t>Dilosa v Latec Finance Pty Ltd</w:t>
      </w:r>
      <w:r w:rsidR="00E4755A" w:rsidRPr="00E4755A">
        <w:rPr>
          <w:rFonts w:ascii="Arial" w:hAnsi="Arial" w:cs="Arial"/>
          <w:color w:val="000000"/>
          <w:sz w:val="20"/>
          <w:szCs w:val="20"/>
          <w:shd w:val="clear" w:color="auto" w:fill="FFFFFF"/>
        </w:rPr>
        <w:t> (1966) 84 WN (Pt 1) (NSW) 557 at 582</w:t>
      </w:r>
      <w:r w:rsidR="00A616AE">
        <w:rPr>
          <w:rFonts w:ascii="Arial" w:hAnsi="Arial" w:cs="Arial"/>
          <w:color w:val="000000"/>
          <w:sz w:val="20"/>
          <w:szCs w:val="20"/>
          <w:shd w:val="clear" w:color="auto" w:fill="FFFFFF"/>
        </w:rPr>
        <w:t>…</w:t>
      </w:r>
      <w:r w:rsidR="00E4755A" w:rsidRPr="00E4755A">
        <w:rPr>
          <w:rFonts w:ascii="Arial" w:hAnsi="Arial" w:cs="Arial"/>
          <w:color w:val="000000"/>
          <w:sz w:val="20"/>
          <w:szCs w:val="20"/>
          <w:shd w:val="clear" w:color="auto" w:fill="FFFFFF"/>
        </w:rPr>
        <w:t>”</w:t>
      </w:r>
    </w:p>
    <w:p w14:paraId="59664D02" w14:textId="77777777" w:rsidR="000E5165" w:rsidRDefault="000E5165" w:rsidP="00B8085D">
      <w:pPr>
        <w:jc w:val="both"/>
        <w:rPr>
          <w:rFonts w:ascii="Arial" w:hAnsi="Arial" w:cs="Arial"/>
          <w:sz w:val="20"/>
          <w:szCs w:val="20"/>
        </w:rPr>
      </w:pPr>
    </w:p>
    <w:p w14:paraId="4BF287D2" w14:textId="3506D74E" w:rsidR="001D1855" w:rsidRDefault="001D1855" w:rsidP="00B8085D">
      <w:pPr>
        <w:jc w:val="both"/>
        <w:rPr>
          <w:rFonts w:ascii="Arial" w:hAnsi="Arial" w:cs="Arial"/>
          <w:sz w:val="20"/>
          <w:szCs w:val="20"/>
        </w:rPr>
      </w:pPr>
      <w:r>
        <w:rPr>
          <w:rFonts w:ascii="Arial" w:hAnsi="Arial" w:cs="Arial"/>
          <w:sz w:val="20"/>
          <w:szCs w:val="20"/>
        </w:rPr>
        <w:t xml:space="preserve">In </w:t>
      </w:r>
      <w:r w:rsidRPr="001D1855">
        <w:rPr>
          <w:rFonts w:ascii="Arial" w:hAnsi="Arial" w:cs="Arial"/>
          <w:i/>
          <w:iCs/>
          <w:sz w:val="20"/>
          <w:szCs w:val="20"/>
        </w:rPr>
        <w:t>Selak v</w:t>
      </w:r>
      <w:r w:rsidRPr="00562DED">
        <w:rPr>
          <w:rFonts w:ascii="Arial" w:hAnsi="Arial" w:cs="Arial"/>
          <w:i/>
          <w:iCs/>
          <w:sz w:val="20"/>
          <w:szCs w:val="20"/>
        </w:rPr>
        <w:t xml:space="preserve"> National </w:t>
      </w:r>
      <w:r w:rsidRPr="00562DED">
        <w:rPr>
          <w:rFonts w:ascii="Arial" w:hAnsi="Arial" w:cs="Arial"/>
          <w:i/>
          <w:iCs/>
          <w:color w:val="000000"/>
          <w:sz w:val="20"/>
        </w:rPr>
        <w:t>Tiles Co Pty Ltd</w:t>
      </w:r>
      <w:r w:rsidRPr="00562DED">
        <w:rPr>
          <w:rFonts w:ascii="Arial" w:hAnsi="Arial" w:cs="Arial"/>
          <w:color w:val="000000"/>
          <w:sz w:val="20"/>
        </w:rPr>
        <w:t xml:space="preserve"> [2026] VSCA 118</w:t>
      </w:r>
      <w:r>
        <w:rPr>
          <w:rFonts w:ascii="Arial" w:hAnsi="Arial" w:cs="Arial"/>
          <w:color w:val="000000"/>
          <w:sz w:val="20"/>
        </w:rPr>
        <w:t xml:space="preserve"> the Court of Appeal </w:t>
      </w:r>
      <w:r w:rsidR="008A1B99" w:rsidRPr="008A1B99">
        <w:rPr>
          <w:rFonts w:ascii="Arial" w:hAnsi="Arial" w:cs="Arial"/>
          <w:color w:val="000000"/>
          <w:sz w:val="20"/>
        </w:rPr>
        <w:t xml:space="preserve">summarised and applied the dicta of </w:t>
      </w:r>
      <w:r w:rsidR="008A1B99">
        <w:rPr>
          <w:rFonts w:ascii="Arial" w:hAnsi="Arial" w:cs="Arial"/>
          <w:color w:val="000000"/>
          <w:sz w:val="20"/>
        </w:rPr>
        <w:t>the High Court</w:t>
      </w:r>
      <w:r w:rsidR="008A1B99" w:rsidRPr="008A1B99">
        <w:rPr>
          <w:rFonts w:ascii="Arial" w:hAnsi="Arial" w:cs="Arial"/>
          <w:color w:val="000000"/>
          <w:sz w:val="20"/>
        </w:rPr>
        <w:t xml:space="preserve"> in </w:t>
      </w:r>
      <w:r w:rsidR="008A1B99" w:rsidRPr="008A1B99">
        <w:rPr>
          <w:rFonts w:ascii="Arial" w:hAnsi="Arial" w:cs="Arial"/>
          <w:i/>
          <w:iCs/>
          <w:color w:val="000000"/>
          <w:sz w:val="20"/>
        </w:rPr>
        <w:t>Jones v Dunkel</w:t>
      </w:r>
      <w:r w:rsidR="008A1B99" w:rsidRPr="008A1B99">
        <w:rPr>
          <w:rFonts w:ascii="Arial" w:hAnsi="Arial" w:cs="Arial"/>
          <w:color w:val="000000"/>
          <w:sz w:val="20"/>
        </w:rPr>
        <w:t xml:space="preserve"> </w:t>
      </w:r>
      <w:r w:rsidR="008A1B99" w:rsidRPr="008A1B99">
        <w:rPr>
          <w:rFonts w:ascii="Arial" w:hAnsi="Arial" w:cs="Arial"/>
          <w:sz w:val="20"/>
          <w:szCs w:val="20"/>
        </w:rPr>
        <w:t>(1959) 101 CLR 298 and provided a neat summary of the law relating to the drawing of inferences in civil cases.</w:t>
      </w:r>
      <w:r w:rsidR="008A1B99">
        <w:rPr>
          <w:rFonts w:ascii="Arial" w:hAnsi="Arial" w:cs="Arial"/>
          <w:sz w:val="20"/>
          <w:szCs w:val="20"/>
        </w:rPr>
        <w:t xml:space="preserve"> </w:t>
      </w:r>
      <w:r w:rsidR="008A1B99" w:rsidRPr="009B5DEF">
        <w:rPr>
          <w:rFonts w:ascii="Arial" w:hAnsi="Arial" w:cs="Arial"/>
          <w:color w:val="000000"/>
          <w:sz w:val="20"/>
        </w:rPr>
        <w:t>McL</w:t>
      </w:r>
      <w:r w:rsidR="008A1B99">
        <w:rPr>
          <w:rFonts w:ascii="Arial" w:hAnsi="Arial" w:cs="Arial"/>
          <w:color w:val="000000"/>
          <w:sz w:val="20"/>
        </w:rPr>
        <w:t>eish</w:t>
      </w:r>
      <w:r w:rsidR="008A1B99" w:rsidRPr="009B5DEF">
        <w:rPr>
          <w:rFonts w:ascii="Arial" w:hAnsi="Arial" w:cs="Arial"/>
          <w:color w:val="000000"/>
          <w:sz w:val="20"/>
        </w:rPr>
        <w:t>, L</w:t>
      </w:r>
      <w:r w:rsidR="008A1B99">
        <w:rPr>
          <w:rFonts w:ascii="Arial" w:hAnsi="Arial" w:cs="Arial"/>
          <w:color w:val="000000"/>
          <w:sz w:val="20"/>
        </w:rPr>
        <w:t>yons</w:t>
      </w:r>
      <w:r w:rsidR="008A1B99" w:rsidRPr="009B5DEF">
        <w:rPr>
          <w:rFonts w:ascii="Arial" w:hAnsi="Arial" w:cs="Arial"/>
          <w:color w:val="000000"/>
          <w:sz w:val="20"/>
        </w:rPr>
        <w:t xml:space="preserve"> JJA and N</w:t>
      </w:r>
      <w:r w:rsidR="008A1B99">
        <w:rPr>
          <w:rFonts w:ascii="Arial" w:hAnsi="Arial" w:cs="Arial"/>
          <w:color w:val="000000"/>
          <w:sz w:val="20"/>
        </w:rPr>
        <w:t>ichols</w:t>
      </w:r>
      <w:r w:rsidR="008A1B99" w:rsidRPr="009B5DEF">
        <w:rPr>
          <w:rFonts w:ascii="Arial" w:hAnsi="Arial" w:cs="Arial"/>
          <w:color w:val="000000"/>
          <w:sz w:val="20"/>
        </w:rPr>
        <w:t xml:space="preserve"> AJA</w:t>
      </w:r>
      <w:r w:rsidR="008A1B99">
        <w:rPr>
          <w:rFonts w:ascii="Arial" w:hAnsi="Arial" w:cs="Arial"/>
          <w:color w:val="000000"/>
          <w:sz w:val="20"/>
        </w:rPr>
        <w:t xml:space="preserve"> </w:t>
      </w:r>
      <w:r w:rsidR="009B5DEF">
        <w:rPr>
          <w:rFonts w:ascii="Arial" w:hAnsi="Arial" w:cs="Arial"/>
          <w:color w:val="000000"/>
          <w:sz w:val="20"/>
        </w:rPr>
        <w:t>said at [</w:t>
      </w:r>
      <w:proofErr w:type="gramStart"/>
      <w:r w:rsidR="009B5DEF">
        <w:rPr>
          <w:rFonts w:ascii="Arial" w:hAnsi="Arial" w:cs="Arial"/>
          <w:color w:val="000000"/>
          <w:sz w:val="20"/>
        </w:rPr>
        <w:t>69]</w:t>
      </w:r>
      <w:r w:rsidR="008A1B99">
        <w:rPr>
          <w:rFonts w:ascii="Arial" w:hAnsi="Arial" w:cs="Arial"/>
          <w:color w:val="000000"/>
          <w:sz w:val="20"/>
        </w:rPr>
        <w:noBreakHyphen/>
      </w:r>
      <w:proofErr w:type="gramEnd"/>
      <w:r w:rsidR="009B5DEF">
        <w:rPr>
          <w:rFonts w:ascii="Arial" w:hAnsi="Arial" w:cs="Arial"/>
          <w:color w:val="000000"/>
          <w:sz w:val="20"/>
        </w:rPr>
        <w:t>[71]:</w:t>
      </w:r>
    </w:p>
    <w:p w14:paraId="6CAAAB9B" w14:textId="1E1BD85B" w:rsidR="009B5DEF" w:rsidRDefault="009B5DEF" w:rsidP="008A1B99">
      <w:pPr>
        <w:spacing w:before="120"/>
        <w:ind w:left="567" w:right="567"/>
        <w:jc w:val="both"/>
        <w:rPr>
          <w:rFonts w:ascii="Arial" w:hAnsi="Arial" w:cs="Arial"/>
          <w:sz w:val="20"/>
          <w:szCs w:val="20"/>
        </w:rPr>
      </w:pPr>
      <w:r>
        <w:rPr>
          <w:rFonts w:ascii="Arial" w:hAnsi="Arial" w:cs="Arial"/>
          <w:color w:val="000000"/>
          <w:sz w:val="20"/>
          <w:szCs w:val="20"/>
        </w:rPr>
        <w:t>[69] “…</w:t>
      </w:r>
      <w:r w:rsidR="001D1855" w:rsidRPr="001D1855">
        <w:rPr>
          <w:rFonts w:ascii="Arial" w:hAnsi="Arial" w:cs="Arial"/>
          <w:sz w:val="20"/>
          <w:szCs w:val="20"/>
        </w:rPr>
        <w:t xml:space="preserve">Mr Selak relied upon the rule in </w:t>
      </w:r>
      <w:r w:rsidR="001D1855" w:rsidRPr="009B5DEF">
        <w:rPr>
          <w:rFonts w:ascii="Arial" w:hAnsi="Arial" w:cs="Arial"/>
          <w:i/>
          <w:iCs/>
          <w:sz w:val="20"/>
          <w:szCs w:val="20"/>
        </w:rPr>
        <w:t>Jones v Dunkel</w:t>
      </w:r>
      <w:r>
        <w:rPr>
          <w:rFonts w:ascii="Arial" w:hAnsi="Arial" w:cs="Arial"/>
          <w:i/>
          <w:iCs/>
          <w:sz w:val="20"/>
          <w:szCs w:val="20"/>
        </w:rPr>
        <w:t xml:space="preserve"> </w:t>
      </w:r>
      <w:r w:rsidRPr="009B5DEF">
        <w:rPr>
          <w:rFonts w:ascii="Arial" w:hAnsi="Arial" w:cs="Arial"/>
          <w:sz w:val="20"/>
          <w:szCs w:val="20"/>
        </w:rPr>
        <w:t>(</w:t>
      </w:r>
      <w:r w:rsidRPr="001D1855">
        <w:rPr>
          <w:rFonts w:ascii="Arial" w:hAnsi="Arial" w:cs="Arial"/>
          <w:sz w:val="20"/>
          <w:szCs w:val="20"/>
        </w:rPr>
        <w:t>1959) 101 CLR 298, 317–22 (Windeyer J); [1959] HCA 8.</w:t>
      </w:r>
      <w:r>
        <w:rPr>
          <w:rFonts w:ascii="Arial" w:hAnsi="Arial" w:cs="Arial"/>
          <w:sz w:val="20"/>
          <w:szCs w:val="20"/>
        </w:rPr>
        <w:t xml:space="preserve"> </w:t>
      </w:r>
      <w:r w:rsidR="001D1855" w:rsidRPr="001D1855">
        <w:rPr>
          <w:rFonts w:ascii="Arial" w:hAnsi="Arial" w:cs="Arial"/>
          <w:sz w:val="20"/>
          <w:szCs w:val="20"/>
        </w:rPr>
        <w:t>The</w:t>
      </w:r>
      <w:r>
        <w:rPr>
          <w:rFonts w:ascii="Arial" w:hAnsi="Arial" w:cs="Arial"/>
          <w:sz w:val="20"/>
          <w:szCs w:val="20"/>
        </w:rPr>
        <w:t xml:space="preserve"> </w:t>
      </w:r>
      <w:r w:rsidR="001D1855" w:rsidRPr="001D1855">
        <w:rPr>
          <w:rFonts w:ascii="Arial" w:hAnsi="Arial" w:cs="Arial"/>
          <w:sz w:val="20"/>
          <w:szCs w:val="20"/>
        </w:rPr>
        <w:t xml:space="preserve">judge </w:t>
      </w:r>
      <w:r w:rsidR="008A1B99">
        <w:rPr>
          <w:rFonts w:ascii="Arial" w:hAnsi="Arial" w:cs="Arial"/>
          <w:sz w:val="20"/>
          <w:szCs w:val="20"/>
        </w:rPr>
        <w:t xml:space="preserve">[Connock J] </w:t>
      </w:r>
      <w:r w:rsidR="001D1855" w:rsidRPr="001D1855">
        <w:rPr>
          <w:rFonts w:ascii="Arial" w:hAnsi="Arial" w:cs="Arial"/>
          <w:sz w:val="20"/>
          <w:szCs w:val="20"/>
        </w:rPr>
        <w:t xml:space="preserve">set out the relevant authorities, concluding with the decision of this Court in </w:t>
      </w:r>
      <w:r w:rsidR="001D1855" w:rsidRPr="009B5DEF">
        <w:rPr>
          <w:rFonts w:ascii="Arial" w:hAnsi="Arial" w:cs="Arial"/>
          <w:i/>
          <w:iCs/>
          <w:sz w:val="20"/>
          <w:szCs w:val="20"/>
        </w:rPr>
        <w:t>Moore v Goldhagen</w:t>
      </w:r>
      <w:r w:rsidR="001D1855" w:rsidRPr="001D1855">
        <w:rPr>
          <w:rFonts w:ascii="Arial" w:hAnsi="Arial" w:cs="Arial"/>
          <w:sz w:val="20"/>
          <w:szCs w:val="20"/>
        </w:rPr>
        <w:t xml:space="preserve"> </w:t>
      </w:r>
      <w:r w:rsidRPr="009B5DEF">
        <w:rPr>
          <w:rFonts w:ascii="Arial" w:hAnsi="Arial" w:cs="Arial"/>
          <w:sz w:val="20"/>
          <w:szCs w:val="20"/>
        </w:rPr>
        <w:t>[2024] VSCA 25 [81]</w:t>
      </w:r>
      <w:r w:rsidR="00385614">
        <w:rPr>
          <w:rFonts w:ascii="Arial" w:hAnsi="Arial" w:cs="Arial"/>
          <w:sz w:val="20"/>
          <w:szCs w:val="20"/>
        </w:rPr>
        <w:t>-</w:t>
      </w:r>
      <w:r w:rsidRPr="009B5DEF">
        <w:rPr>
          <w:rFonts w:ascii="Arial" w:hAnsi="Arial" w:cs="Arial"/>
          <w:sz w:val="20"/>
          <w:szCs w:val="20"/>
        </w:rPr>
        <w:t>[83]</w:t>
      </w:r>
      <w:r>
        <w:rPr>
          <w:rFonts w:ascii="Arial" w:hAnsi="Arial" w:cs="Arial"/>
          <w:sz w:val="20"/>
          <w:szCs w:val="20"/>
        </w:rPr>
        <w:t xml:space="preserve"> </w:t>
      </w:r>
      <w:r w:rsidR="001D1855" w:rsidRPr="001D1855">
        <w:rPr>
          <w:rFonts w:ascii="Arial" w:hAnsi="Arial" w:cs="Arial"/>
          <w:sz w:val="20"/>
          <w:szCs w:val="20"/>
        </w:rPr>
        <w:t xml:space="preserve">to the effect that the unexplained failure of a party to call a witness whom that party may be expected to call may be relevant in two ways: </w:t>
      </w:r>
    </w:p>
    <w:p w14:paraId="3C87068C" w14:textId="56DAFE5C" w:rsidR="009B5DEF" w:rsidRDefault="001D1855" w:rsidP="00A90424">
      <w:pPr>
        <w:spacing w:before="60"/>
        <w:ind w:left="924" w:right="567" w:hanging="357"/>
        <w:jc w:val="both"/>
        <w:rPr>
          <w:rFonts w:ascii="Arial" w:hAnsi="Arial" w:cs="Arial"/>
          <w:sz w:val="20"/>
          <w:szCs w:val="20"/>
        </w:rPr>
      </w:pPr>
      <w:r w:rsidRPr="001D1855">
        <w:rPr>
          <w:rFonts w:ascii="Arial" w:hAnsi="Arial" w:cs="Arial"/>
          <w:sz w:val="20"/>
          <w:szCs w:val="20"/>
        </w:rPr>
        <w:t>(a)</w:t>
      </w:r>
      <w:r w:rsidR="00A90424">
        <w:rPr>
          <w:rFonts w:ascii="Arial" w:hAnsi="Arial" w:cs="Arial"/>
          <w:sz w:val="20"/>
          <w:szCs w:val="20"/>
        </w:rPr>
        <w:tab/>
      </w:r>
      <w:r w:rsidRPr="001D1855">
        <w:rPr>
          <w:rFonts w:ascii="Arial" w:hAnsi="Arial" w:cs="Arial"/>
          <w:sz w:val="20"/>
          <w:szCs w:val="20"/>
        </w:rPr>
        <w:t xml:space="preserve">first, the court may infer from the failure to call such a witness that the evidence of the absent witness would not assist the case of that party; and </w:t>
      </w:r>
    </w:p>
    <w:p w14:paraId="27CC27B3" w14:textId="4AD4D0D8" w:rsidR="009B5DEF" w:rsidRDefault="001D1855" w:rsidP="00A90424">
      <w:pPr>
        <w:spacing w:before="60"/>
        <w:ind w:left="924" w:right="567" w:hanging="357"/>
        <w:jc w:val="both"/>
        <w:rPr>
          <w:rFonts w:ascii="Arial" w:hAnsi="Arial" w:cs="Arial"/>
          <w:sz w:val="20"/>
          <w:szCs w:val="20"/>
        </w:rPr>
      </w:pPr>
      <w:r w:rsidRPr="001D1855">
        <w:rPr>
          <w:rFonts w:ascii="Arial" w:hAnsi="Arial" w:cs="Arial"/>
          <w:sz w:val="20"/>
          <w:szCs w:val="20"/>
        </w:rPr>
        <w:t>(b)</w:t>
      </w:r>
      <w:r w:rsidR="00A90424">
        <w:rPr>
          <w:rFonts w:ascii="Arial" w:hAnsi="Arial" w:cs="Arial"/>
          <w:sz w:val="20"/>
          <w:szCs w:val="20"/>
        </w:rPr>
        <w:tab/>
      </w:r>
      <w:r w:rsidRPr="001D1855">
        <w:rPr>
          <w:rFonts w:ascii="Arial" w:hAnsi="Arial" w:cs="Arial"/>
          <w:sz w:val="20"/>
          <w:szCs w:val="20"/>
        </w:rPr>
        <w:t>second, in such circumstances, the court may also draw an inference unfavourable to the party with greater confidence.</w:t>
      </w:r>
    </w:p>
    <w:p w14:paraId="6DFA0F60" w14:textId="1AC49648" w:rsidR="009B5DEF" w:rsidRDefault="009B5DEF" w:rsidP="008A1B99">
      <w:pPr>
        <w:spacing w:before="120"/>
        <w:ind w:left="567" w:right="567"/>
        <w:jc w:val="both"/>
        <w:rPr>
          <w:rFonts w:ascii="Arial" w:hAnsi="Arial" w:cs="Arial"/>
          <w:sz w:val="20"/>
          <w:szCs w:val="20"/>
        </w:rPr>
      </w:pPr>
      <w:r>
        <w:rPr>
          <w:rFonts w:ascii="Arial" w:hAnsi="Arial" w:cs="Arial"/>
          <w:sz w:val="20"/>
          <w:szCs w:val="20"/>
        </w:rPr>
        <w:t>[</w:t>
      </w:r>
      <w:r w:rsidR="001D1855" w:rsidRPr="001D1855">
        <w:rPr>
          <w:rFonts w:ascii="Arial" w:hAnsi="Arial" w:cs="Arial"/>
          <w:sz w:val="20"/>
          <w:szCs w:val="20"/>
        </w:rPr>
        <w:t>70</w:t>
      </w:r>
      <w:r>
        <w:rPr>
          <w:rFonts w:ascii="Arial" w:hAnsi="Arial" w:cs="Arial"/>
          <w:sz w:val="20"/>
          <w:szCs w:val="20"/>
        </w:rPr>
        <w:t>]</w:t>
      </w:r>
      <w:r w:rsidR="001D1855" w:rsidRPr="001D1855">
        <w:rPr>
          <w:rFonts w:ascii="Arial" w:hAnsi="Arial" w:cs="Arial"/>
          <w:sz w:val="20"/>
          <w:szCs w:val="20"/>
        </w:rPr>
        <w:t xml:space="preserve"> The judge then addressed the law relating to the drawing of inferences in civil cases. After setting out the relevant authorities, the judge concluded that:</w:t>
      </w:r>
    </w:p>
    <w:p w14:paraId="2A6B8278" w14:textId="20AB3E46" w:rsidR="009B5DEF" w:rsidRDefault="001D1855" w:rsidP="00A90424">
      <w:pPr>
        <w:spacing w:before="60"/>
        <w:ind w:left="924" w:right="567" w:hanging="357"/>
        <w:jc w:val="both"/>
        <w:rPr>
          <w:rFonts w:ascii="Arial" w:hAnsi="Arial" w:cs="Arial"/>
          <w:sz w:val="20"/>
          <w:szCs w:val="20"/>
        </w:rPr>
      </w:pPr>
      <w:r w:rsidRPr="001D1855">
        <w:rPr>
          <w:rFonts w:ascii="Arial" w:hAnsi="Arial" w:cs="Arial"/>
          <w:sz w:val="20"/>
          <w:szCs w:val="20"/>
        </w:rPr>
        <w:t>(a)</w:t>
      </w:r>
      <w:r w:rsidR="00A90424">
        <w:rPr>
          <w:rFonts w:ascii="Arial" w:hAnsi="Arial" w:cs="Arial"/>
          <w:sz w:val="20"/>
          <w:szCs w:val="20"/>
        </w:rPr>
        <w:tab/>
      </w:r>
      <w:r w:rsidRPr="001D1855">
        <w:rPr>
          <w:rFonts w:ascii="Arial" w:hAnsi="Arial" w:cs="Arial"/>
          <w:sz w:val="20"/>
          <w:szCs w:val="20"/>
        </w:rPr>
        <w:t>an inference is based upon facts established, found or accepted;</w:t>
      </w:r>
    </w:p>
    <w:p w14:paraId="2FC5BB60" w14:textId="21972E74" w:rsidR="009B5DEF" w:rsidRDefault="001D1855" w:rsidP="00A90424">
      <w:pPr>
        <w:spacing w:before="60"/>
        <w:ind w:left="924" w:right="567" w:hanging="357"/>
        <w:jc w:val="both"/>
        <w:rPr>
          <w:rFonts w:ascii="Arial" w:hAnsi="Arial" w:cs="Arial"/>
          <w:sz w:val="20"/>
          <w:szCs w:val="20"/>
        </w:rPr>
      </w:pPr>
      <w:r w:rsidRPr="001D1855">
        <w:rPr>
          <w:rFonts w:ascii="Arial" w:hAnsi="Arial" w:cs="Arial"/>
          <w:sz w:val="20"/>
          <w:szCs w:val="20"/>
        </w:rPr>
        <w:t>(b)</w:t>
      </w:r>
      <w:r w:rsidR="00A90424">
        <w:rPr>
          <w:rFonts w:ascii="Arial" w:hAnsi="Arial" w:cs="Arial"/>
          <w:sz w:val="20"/>
          <w:szCs w:val="20"/>
        </w:rPr>
        <w:tab/>
      </w:r>
      <w:r w:rsidRPr="001D1855">
        <w:rPr>
          <w:rFonts w:ascii="Arial" w:hAnsi="Arial" w:cs="Arial"/>
          <w:sz w:val="20"/>
          <w:szCs w:val="20"/>
        </w:rPr>
        <w:t>an inference is a reasonable conclusion or deduction drawn as a matter of logic from facts established, found or accepted, and not based on speculation or guesswork;</w:t>
      </w:r>
    </w:p>
    <w:p w14:paraId="7E5E3E84" w14:textId="3D32030B" w:rsidR="009B5DEF" w:rsidRDefault="001D1855" w:rsidP="00A90424">
      <w:pPr>
        <w:spacing w:before="60"/>
        <w:ind w:left="924" w:right="567" w:hanging="357"/>
        <w:jc w:val="both"/>
        <w:rPr>
          <w:rFonts w:ascii="Arial" w:hAnsi="Arial" w:cs="Arial"/>
          <w:sz w:val="20"/>
          <w:szCs w:val="20"/>
        </w:rPr>
      </w:pPr>
      <w:r w:rsidRPr="001D1855">
        <w:rPr>
          <w:rFonts w:ascii="Arial" w:hAnsi="Arial" w:cs="Arial"/>
          <w:sz w:val="20"/>
          <w:szCs w:val="20"/>
        </w:rPr>
        <w:t>(c)</w:t>
      </w:r>
      <w:r w:rsidR="00A90424">
        <w:rPr>
          <w:rFonts w:ascii="Arial" w:hAnsi="Arial" w:cs="Arial"/>
          <w:sz w:val="20"/>
          <w:szCs w:val="20"/>
        </w:rPr>
        <w:tab/>
      </w:r>
      <w:r w:rsidRPr="001D1855">
        <w:rPr>
          <w:rFonts w:ascii="Arial" w:hAnsi="Arial" w:cs="Arial"/>
          <w:sz w:val="20"/>
          <w:szCs w:val="20"/>
        </w:rPr>
        <w:t xml:space="preserve">an inference is at least probably true, as opposed to being possibly true; and </w:t>
      </w:r>
    </w:p>
    <w:p w14:paraId="5FBB39EF" w14:textId="491D2010" w:rsidR="009B5DEF" w:rsidRDefault="001D1855" w:rsidP="00A90424">
      <w:pPr>
        <w:spacing w:before="60"/>
        <w:ind w:left="924" w:right="567" w:hanging="357"/>
        <w:jc w:val="both"/>
        <w:rPr>
          <w:rFonts w:ascii="Arial" w:hAnsi="Arial" w:cs="Arial"/>
          <w:sz w:val="20"/>
          <w:szCs w:val="20"/>
        </w:rPr>
      </w:pPr>
      <w:r w:rsidRPr="001D1855">
        <w:rPr>
          <w:rFonts w:ascii="Arial" w:hAnsi="Arial" w:cs="Arial"/>
          <w:sz w:val="20"/>
          <w:szCs w:val="20"/>
        </w:rPr>
        <w:t>(d)</w:t>
      </w:r>
      <w:r w:rsidR="00A90424">
        <w:rPr>
          <w:rFonts w:ascii="Arial" w:hAnsi="Arial" w:cs="Arial"/>
          <w:sz w:val="20"/>
          <w:szCs w:val="20"/>
        </w:rPr>
        <w:tab/>
      </w:r>
      <w:r w:rsidRPr="001D1855">
        <w:rPr>
          <w:rFonts w:ascii="Arial" w:hAnsi="Arial" w:cs="Arial"/>
          <w:sz w:val="20"/>
          <w:szCs w:val="20"/>
        </w:rPr>
        <w:t>where there are competing inferences available, the Court may only draw an inference if reasonably satisfied that that inference has a greater degree of likelihood than any competing inference.</w:t>
      </w:r>
    </w:p>
    <w:p w14:paraId="380FC7FC" w14:textId="4BC067D6" w:rsidR="001D1855" w:rsidRDefault="009B5DEF" w:rsidP="008A1B99">
      <w:pPr>
        <w:spacing w:before="120"/>
        <w:ind w:left="567" w:right="567"/>
        <w:jc w:val="both"/>
        <w:rPr>
          <w:rFonts w:ascii="Arial" w:hAnsi="Arial" w:cs="Arial"/>
          <w:sz w:val="20"/>
          <w:szCs w:val="20"/>
        </w:rPr>
      </w:pPr>
      <w:r>
        <w:rPr>
          <w:rFonts w:ascii="Arial" w:hAnsi="Arial" w:cs="Arial"/>
          <w:sz w:val="20"/>
          <w:szCs w:val="20"/>
        </w:rPr>
        <w:t>[</w:t>
      </w:r>
      <w:r w:rsidR="001D1855" w:rsidRPr="001D1855">
        <w:rPr>
          <w:rFonts w:ascii="Arial" w:hAnsi="Arial" w:cs="Arial"/>
          <w:sz w:val="20"/>
          <w:szCs w:val="20"/>
        </w:rPr>
        <w:t>71</w:t>
      </w:r>
      <w:r>
        <w:rPr>
          <w:rFonts w:ascii="Arial" w:hAnsi="Arial" w:cs="Arial"/>
          <w:sz w:val="20"/>
          <w:szCs w:val="20"/>
        </w:rPr>
        <w:t>]</w:t>
      </w:r>
      <w:r w:rsidR="001D1855" w:rsidRPr="001D1855">
        <w:rPr>
          <w:rFonts w:ascii="Arial" w:hAnsi="Arial" w:cs="Arial"/>
          <w:sz w:val="20"/>
          <w:szCs w:val="20"/>
        </w:rPr>
        <w:t xml:space="preserve"> We pause to note that we consider that the judge’s summary of the law in the two preceding paragraphs was clear, comprehensive and correct.</w:t>
      </w:r>
      <w:r>
        <w:rPr>
          <w:rFonts w:ascii="Arial" w:hAnsi="Arial" w:cs="Arial"/>
          <w:sz w:val="20"/>
          <w:szCs w:val="20"/>
        </w:rPr>
        <w:t>”</w:t>
      </w:r>
    </w:p>
    <w:p w14:paraId="1F97381E" w14:textId="77777777" w:rsidR="001D1855" w:rsidRPr="00A616AE" w:rsidRDefault="001D1855" w:rsidP="00B8085D">
      <w:pPr>
        <w:jc w:val="both"/>
        <w:rPr>
          <w:rFonts w:ascii="Arial" w:hAnsi="Arial" w:cs="Arial"/>
          <w:sz w:val="20"/>
          <w:szCs w:val="20"/>
        </w:rPr>
      </w:pPr>
    </w:p>
    <w:p w14:paraId="3B8D0195" w14:textId="4A4E1445" w:rsidR="00B45D30" w:rsidRPr="008C3BC8" w:rsidRDefault="00B45D30" w:rsidP="008A1B99">
      <w:pPr>
        <w:jc w:val="both"/>
        <w:rPr>
          <w:rFonts w:ascii="Arial" w:hAnsi="Arial" w:cs="Arial"/>
          <w:color w:val="000000"/>
          <w:sz w:val="20"/>
          <w:szCs w:val="20"/>
        </w:rPr>
      </w:pPr>
      <w:r w:rsidRPr="008C3BC8">
        <w:rPr>
          <w:rFonts w:ascii="Arial" w:hAnsi="Arial" w:cs="Arial"/>
          <w:color w:val="000000"/>
          <w:sz w:val="20"/>
          <w:szCs w:val="20"/>
        </w:rPr>
        <w:t xml:space="preserve">In </w:t>
      </w:r>
      <w:r w:rsidRPr="008C3BC8">
        <w:rPr>
          <w:rFonts w:ascii="Arial" w:hAnsi="Arial" w:cs="Arial"/>
          <w:i/>
          <w:color w:val="000000"/>
          <w:sz w:val="20"/>
          <w:szCs w:val="20"/>
        </w:rPr>
        <w:t>Goddard Elliott v Fritsch</w:t>
      </w:r>
      <w:r w:rsidRPr="008C3BC8">
        <w:rPr>
          <w:rFonts w:ascii="Arial" w:hAnsi="Arial" w:cs="Arial"/>
          <w:color w:val="000000"/>
          <w:sz w:val="20"/>
          <w:szCs w:val="20"/>
        </w:rPr>
        <w:t xml:space="preserve"> [2012] VSC 87 the plaintiff firm of solicitors who had acted for the defendant </w:t>
      </w:r>
      <w:r w:rsidR="00674997" w:rsidRPr="008C3BC8">
        <w:rPr>
          <w:rFonts w:ascii="Arial" w:hAnsi="Arial" w:cs="Arial"/>
          <w:color w:val="000000"/>
          <w:sz w:val="20"/>
          <w:szCs w:val="20"/>
        </w:rPr>
        <w:t xml:space="preserve">husband </w:t>
      </w:r>
      <w:r w:rsidRPr="008C3BC8">
        <w:rPr>
          <w:rFonts w:ascii="Arial" w:hAnsi="Arial" w:cs="Arial"/>
          <w:color w:val="000000"/>
          <w:sz w:val="20"/>
          <w:szCs w:val="20"/>
        </w:rPr>
        <w:t xml:space="preserve">was found by Bell J to have acted negligently in settling a Family Court property dispute at the doorstep of the Court on terms overly generous to the wife. Senior counsel for the defendant in the Family Court case was not called by either party in the </w:t>
      </w:r>
      <w:r w:rsidR="00674997" w:rsidRPr="008C3BC8">
        <w:rPr>
          <w:rFonts w:ascii="Arial" w:hAnsi="Arial" w:cs="Arial"/>
          <w:color w:val="000000"/>
          <w:sz w:val="20"/>
          <w:szCs w:val="20"/>
        </w:rPr>
        <w:t>ensuing negligence action.</w:t>
      </w:r>
      <w:r w:rsidR="007730F3" w:rsidRPr="008C3BC8">
        <w:rPr>
          <w:rFonts w:ascii="Arial" w:hAnsi="Arial" w:cs="Arial"/>
          <w:color w:val="000000"/>
          <w:sz w:val="20"/>
          <w:szCs w:val="20"/>
        </w:rPr>
        <w:t xml:space="preserve"> Bell J held at [36] &amp; [45]:</w:t>
      </w:r>
    </w:p>
    <w:p w14:paraId="2B827C82" w14:textId="77777777" w:rsidR="00674997" w:rsidRPr="008C3BC8" w:rsidRDefault="00674997" w:rsidP="00674997">
      <w:pPr>
        <w:spacing w:before="120"/>
        <w:ind w:left="567" w:right="567"/>
        <w:jc w:val="both"/>
        <w:rPr>
          <w:rFonts w:ascii="Arial" w:hAnsi="Arial" w:cs="Arial"/>
          <w:color w:val="000000"/>
          <w:sz w:val="20"/>
          <w:szCs w:val="20"/>
        </w:rPr>
      </w:pPr>
      <w:r w:rsidRPr="008C3BC8">
        <w:rPr>
          <w:rFonts w:ascii="Arial" w:hAnsi="Arial" w:cs="Arial"/>
          <w:color w:val="000000"/>
          <w:sz w:val="20"/>
          <w:szCs w:val="20"/>
        </w:rPr>
        <w:t xml:space="preserve">[36] “In a case like the present, the rule in </w:t>
      </w:r>
      <w:r w:rsidRPr="008C3BC8">
        <w:rPr>
          <w:rFonts w:ascii="Arial" w:hAnsi="Arial" w:cs="Arial"/>
          <w:i/>
          <w:color w:val="000000"/>
          <w:sz w:val="20"/>
          <w:szCs w:val="20"/>
        </w:rPr>
        <w:t>Jones v Dunkel</w:t>
      </w:r>
      <w:r w:rsidRPr="008C3BC8">
        <w:rPr>
          <w:rFonts w:ascii="Arial" w:hAnsi="Arial" w:cs="Arial"/>
          <w:color w:val="000000"/>
          <w:sz w:val="20"/>
          <w:szCs w:val="20"/>
        </w:rPr>
        <w:t xml:space="preserve"> will apply where ‘it might reasonably have been expected’ [</w:t>
      </w:r>
      <w:r w:rsidRPr="008C3BC8">
        <w:rPr>
          <w:rFonts w:ascii="Arial" w:hAnsi="Arial" w:cs="Arial"/>
          <w:i/>
          <w:color w:val="000000"/>
          <w:sz w:val="20"/>
        </w:rPr>
        <w:t>Ronchi v Portland Smelter Services Ltd</w:t>
      </w:r>
      <w:r w:rsidRPr="008C3BC8">
        <w:rPr>
          <w:rFonts w:ascii="Arial" w:hAnsi="Arial" w:cs="Arial"/>
          <w:color w:val="000000"/>
          <w:sz w:val="20"/>
        </w:rPr>
        <w:t xml:space="preserve"> [2005] VSCA 83 </w:t>
      </w:r>
      <w:r w:rsidRPr="008C3BC8">
        <w:rPr>
          <w:rFonts w:ascii="Arial" w:hAnsi="Arial" w:cs="Arial"/>
          <w:color w:val="000000"/>
          <w:sz w:val="20"/>
        </w:rPr>
        <w:lastRenderedPageBreak/>
        <w:t>at [32] (Eames JA, Buchanan JA agre</w:t>
      </w:r>
      <w:r w:rsidRPr="008C3BC8">
        <w:rPr>
          <w:rFonts w:ascii="Arial" w:hAnsi="Arial" w:cs="Arial"/>
          <w:color w:val="000000"/>
          <w:sz w:val="20"/>
          <w:szCs w:val="20"/>
        </w:rPr>
        <w:t>eing)], or ‘it would be natural’ [</w:t>
      </w:r>
      <w:r w:rsidRPr="008C3BC8">
        <w:rPr>
          <w:rFonts w:ascii="Arial" w:hAnsi="Arial" w:cs="Arial"/>
          <w:i/>
          <w:color w:val="000000"/>
          <w:sz w:val="20"/>
          <w:szCs w:val="20"/>
        </w:rPr>
        <w:t>Payne v Parker</w:t>
      </w:r>
      <w:r w:rsidRPr="008C3BC8">
        <w:rPr>
          <w:rFonts w:ascii="Arial" w:hAnsi="Arial" w:cs="Arial"/>
          <w:color w:val="000000"/>
          <w:sz w:val="20"/>
          <w:szCs w:val="20"/>
        </w:rPr>
        <w:t xml:space="preserve"> [1976] 1 NSWLR 191, 201 (Glass JA)]</w:t>
      </w:r>
      <w:r w:rsidRPr="008C3BC8">
        <w:rPr>
          <w:rFonts w:ascii="Arial" w:hAnsi="Arial" w:cs="Arial"/>
          <w:color w:val="000000"/>
          <w:sz w:val="20"/>
        </w:rPr>
        <w:t xml:space="preserve"> for one party to call or produce the witness.  It has been held the rule applies in a case where there has been an ‘unexplained failure by a party to call a witness who is in the camp of that party’ [</w:t>
      </w:r>
      <w:r w:rsidRPr="008C3BC8">
        <w:rPr>
          <w:rFonts w:ascii="Arial" w:hAnsi="Arial" w:cs="Arial"/>
          <w:i/>
          <w:color w:val="000000"/>
          <w:sz w:val="20"/>
          <w:szCs w:val="20"/>
        </w:rPr>
        <w:t>Ronchi</w:t>
      </w:r>
      <w:r w:rsidRPr="008C3BC8">
        <w:rPr>
          <w:rFonts w:ascii="Arial" w:hAnsi="Arial" w:cs="Arial"/>
          <w:color w:val="000000"/>
          <w:sz w:val="20"/>
          <w:szCs w:val="20"/>
        </w:rPr>
        <w:t xml:space="preserve"> [2005] VSCA 83 at [32] (Eames JA, Buchanan JA agreeing); Warren CJ has laid stress on this requirement in </w:t>
      </w:r>
      <w:r w:rsidRPr="008C3BC8">
        <w:rPr>
          <w:rFonts w:ascii="Arial" w:hAnsi="Arial" w:cs="Arial"/>
          <w:i/>
          <w:color w:val="000000"/>
          <w:sz w:val="20"/>
          <w:szCs w:val="20"/>
        </w:rPr>
        <w:t>CGU Insurance Ltd v CW Fallow and Associates Pty Ltd</w:t>
      </w:r>
      <w:r w:rsidRPr="008C3BC8">
        <w:rPr>
          <w:rFonts w:ascii="Arial" w:hAnsi="Arial" w:cs="Arial"/>
          <w:color w:val="000000"/>
          <w:sz w:val="20"/>
          <w:szCs w:val="20"/>
        </w:rPr>
        <w:t xml:space="preserve"> [2008] VSC 197 at [12].]</w:t>
      </w:r>
      <w:r w:rsidR="00822525" w:rsidRPr="008C3BC8">
        <w:rPr>
          <w:rFonts w:ascii="Arial" w:hAnsi="Arial" w:cs="Arial"/>
          <w:color w:val="000000"/>
          <w:sz w:val="20"/>
          <w:szCs w:val="20"/>
        </w:rPr>
        <w:t xml:space="preserve">  That was the principal matter at issue in the present case.</w:t>
      </w:r>
      <w:r w:rsidRPr="008C3BC8">
        <w:rPr>
          <w:rFonts w:ascii="Arial" w:hAnsi="Arial" w:cs="Arial"/>
          <w:color w:val="000000"/>
          <w:sz w:val="20"/>
        </w:rPr>
        <w:t>”</w:t>
      </w:r>
    </w:p>
    <w:p w14:paraId="47EF56BA" w14:textId="77777777" w:rsidR="00822525" w:rsidRPr="008C3BC8" w:rsidRDefault="00822525" w:rsidP="001B53EE">
      <w:pPr>
        <w:spacing w:before="120"/>
        <w:ind w:left="567" w:right="567"/>
        <w:jc w:val="both"/>
        <w:rPr>
          <w:rFonts w:ascii="Arial" w:hAnsi="Arial" w:cs="Arial"/>
          <w:color w:val="000000"/>
          <w:sz w:val="20"/>
          <w:szCs w:val="20"/>
        </w:rPr>
      </w:pPr>
      <w:r w:rsidRPr="008C3BC8">
        <w:rPr>
          <w:rFonts w:ascii="Arial" w:hAnsi="Arial" w:cs="Arial"/>
          <w:color w:val="000000"/>
          <w:sz w:val="20"/>
          <w:szCs w:val="20"/>
        </w:rPr>
        <w:t>[45] “</w:t>
      </w:r>
      <w:r w:rsidR="002F575D" w:rsidRPr="008C3BC8">
        <w:rPr>
          <w:rFonts w:ascii="Arial" w:hAnsi="Arial" w:cs="Arial"/>
          <w:color w:val="000000"/>
          <w:sz w:val="20"/>
          <w:szCs w:val="20"/>
        </w:rPr>
        <w:t xml:space="preserve">What use may be made of the unexplained failure by Goddard Elliott to lead evidence from Mr Ackman whom they could reasonably have been expected to call?  The general principle which is stated in </w:t>
      </w:r>
      <w:r w:rsidR="002F575D" w:rsidRPr="008C3BC8">
        <w:rPr>
          <w:rFonts w:ascii="Arial" w:hAnsi="Arial" w:cs="Arial"/>
          <w:i/>
          <w:color w:val="000000"/>
          <w:sz w:val="20"/>
          <w:szCs w:val="20"/>
        </w:rPr>
        <w:t>Blatch v Archer</w:t>
      </w:r>
      <w:r w:rsidR="002F575D" w:rsidRPr="008C3BC8">
        <w:rPr>
          <w:rFonts w:ascii="Arial" w:hAnsi="Arial" w:cs="Arial"/>
          <w:color w:val="000000"/>
          <w:sz w:val="20"/>
          <w:szCs w:val="20"/>
        </w:rPr>
        <w:t xml:space="preserve"> (1774) 98 ER 969, 970 (Lord Mansfield); followed and applied in </w:t>
      </w:r>
      <w:r w:rsidR="002F575D" w:rsidRPr="008C3BC8">
        <w:rPr>
          <w:rFonts w:ascii="Arial" w:hAnsi="Arial" w:cs="Arial"/>
          <w:i/>
          <w:color w:val="000000"/>
          <w:sz w:val="20"/>
          <w:szCs w:val="20"/>
        </w:rPr>
        <w:t>Weissensteiner v The Queen</w:t>
      </w:r>
      <w:r w:rsidR="002F575D" w:rsidRPr="008C3BC8">
        <w:rPr>
          <w:rFonts w:ascii="Arial" w:hAnsi="Arial" w:cs="Arial"/>
          <w:color w:val="000000"/>
          <w:sz w:val="20"/>
          <w:szCs w:val="20"/>
        </w:rPr>
        <w:t xml:space="preserve"> (1993) 178 CLR 217, 225 (Mason CJ, Deane and Dawson JJ).is that ‘all evidence is to be weighed according to the proof which it was in the power of one side to have produced and in the power of the other to have contradicted’.  It was held by Newton and Norris JJ in </w:t>
      </w:r>
      <w:r w:rsidR="002F575D" w:rsidRPr="008C3BC8">
        <w:rPr>
          <w:rFonts w:ascii="Arial" w:hAnsi="Arial" w:cs="Arial"/>
          <w:i/>
          <w:color w:val="000000"/>
          <w:sz w:val="20"/>
          <w:szCs w:val="20"/>
        </w:rPr>
        <w:t>O’Donnell v Reichard</w:t>
      </w:r>
      <w:r w:rsidR="002F575D" w:rsidRPr="008C3BC8">
        <w:rPr>
          <w:rFonts w:ascii="Arial" w:hAnsi="Arial" w:cs="Arial"/>
          <w:color w:val="000000"/>
          <w:sz w:val="20"/>
          <w:szCs w:val="20"/>
        </w:rPr>
        <w:t xml:space="preserve"> </w:t>
      </w:r>
      <w:r w:rsidR="0060443B" w:rsidRPr="008C3BC8">
        <w:rPr>
          <w:rFonts w:ascii="Arial" w:hAnsi="Arial" w:cs="Arial"/>
          <w:color w:val="000000"/>
          <w:sz w:val="20"/>
          <w:szCs w:val="20"/>
        </w:rPr>
        <w:t xml:space="preserve">[1975] VR 916 </w:t>
      </w:r>
      <w:r w:rsidR="00BB66CE" w:rsidRPr="008C3BC8">
        <w:rPr>
          <w:rFonts w:ascii="Arial" w:hAnsi="Arial" w:cs="Arial"/>
          <w:color w:val="000000"/>
          <w:sz w:val="20"/>
          <w:szCs w:val="20"/>
        </w:rPr>
        <w:t xml:space="preserve">at 929 </w:t>
      </w:r>
      <w:r w:rsidR="002F575D" w:rsidRPr="008C3BC8">
        <w:rPr>
          <w:rFonts w:ascii="Arial" w:hAnsi="Arial" w:cs="Arial"/>
          <w:color w:val="000000"/>
          <w:sz w:val="20"/>
          <w:szCs w:val="20"/>
        </w:rPr>
        <w:t xml:space="preserve">(which was followed by Buchanan, Eames and Nettle JJA in </w:t>
      </w:r>
      <w:r w:rsidR="002F575D" w:rsidRPr="008C3BC8">
        <w:rPr>
          <w:rFonts w:ascii="Arial" w:hAnsi="Arial" w:cs="Arial"/>
          <w:i/>
          <w:color w:val="000000"/>
          <w:sz w:val="20"/>
          <w:szCs w:val="20"/>
        </w:rPr>
        <w:t>Ronchi</w:t>
      </w:r>
      <w:r w:rsidR="002F575D" w:rsidRPr="008C3BC8">
        <w:rPr>
          <w:rFonts w:ascii="Arial" w:hAnsi="Arial" w:cs="Arial"/>
          <w:color w:val="000000"/>
          <w:sz w:val="16"/>
          <w:szCs w:val="20"/>
        </w:rPr>
        <w:t xml:space="preserve"> </w:t>
      </w:r>
      <w:r w:rsidR="0060443B" w:rsidRPr="008C3BC8">
        <w:rPr>
          <w:rFonts w:ascii="Arial" w:hAnsi="Arial" w:cs="Arial"/>
          <w:color w:val="000000"/>
          <w:sz w:val="20"/>
        </w:rPr>
        <w:t xml:space="preserve">[2005] VSC 83 at [32]) </w:t>
      </w:r>
      <w:r w:rsidR="002F575D" w:rsidRPr="008C3BC8">
        <w:rPr>
          <w:rFonts w:ascii="Arial" w:hAnsi="Arial" w:cs="Arial"/>
          <w:color w:val="000000"/>
          <w:sz w:val="20"/>
          <w:szCs w:val="20"/>
        </w:rPr>
        <w:t>that, in so weighing the evidence, the unexplained failure of the party to call the evidence may be taken into account against that party for two purposes:</w:t>
      </w:r>
    </w:p>
    <w:p w14:paraId="43DEECB2" w14:textId="77777777" w:rsidR="00B55976" w:rsidRPr="008C3BC8" w:rsidRDefault="002F575D" w:rsidP="0045119E">
      <w:pPr>
        <w:pStyle w:val="Quote1"/>
        <w:widowControl/>
        <w:spacing w:after="0"/>
        <w:ind w:left="1021" w:right="567" w:hanging="454"/>
        <w:rPr>
          <w:rFonts w:ascii="Arial" w:hAnsi="Arial" w:cs="Arial"/>
          <w:color w:val="000000"/>
          <w:sz w:val="20"/>
        </w:rPr>
      </w:pPr>
      <w:r w:rsidRPr="008C3BC8">
        <w:rPr>
          <w:rFonts w:ascii="Arial" w:hAnsi="Arial" w:cs="Arial"/>
          <w:color w:val="000000"/>
          <w:sz w:val="20"/>
        </w:rPr>
        <w:t>(a)</w:t>
      </w:r>
      <w:r w:rsidRPr="008C3BC8">
        <w:rPr>
          <w:rFonts w:ascii="Arial" w:hAnsi="Arial" w:cs="Arial"/>
          <w:color w:val="000000"/>
          <w:sz w:val="20"/>
        </w:rPr>
        <w:tab/>
        <w:t>in deciding whether to accept any particular evidence, which has in fact been given, either for or against that party, and which relates to a matter with respect to which the person not called as a witness could have spoken; and</w:t>
      </w:r>
    </w:p>
    <w:p w14:paraId="5A2B3B4F" w14:textId="77777777" w:rsidR="002F575D" w:rsidRPr="008C3BC8" w:rsidRDefault="002F575D" w:rsidP="0060443B">
      <w:pPr>
        <w:pStyle w:val="Quote1"/>
        <w:widowControl/>
        <w:spacing w:after="0"/>
        <w:ind w:left="1021" w:right="567" w:hanging="454"/>
        <w:rPr>
          <w:rFonts w:ascii="Arial" w:hAnsi="Arial" w:cs="Arial"/>
          <w:color w:val="000000"/>
          <w:sz w:val="20"/>
        </w:rPr>
      </w:pPr>
      <w:r w:rsidRPr="008C3BC8">
        <w:rPr>
          <w:rFonts w:ascii="Arial" w:hAnsi="Arial" w:cs="Arial"/>
          <w:color w:val="000000"/>
          <w:sz w:val="20"/>
        </w:rPr>
        <w:t>(b)</w:t>
      </w:r>
      <w:r w:rsidRPr="008C3BC8">
        <w:rPr>
          <w:rFonts w:ascii="Arial" w:hAnsi="Arial" w:cs="Arial"/>
          <w:color w:val="000000"/>
          <w:sz w:val="20"/>
        </w:rPr>
        <w:tab/>
        <w:t>in deciding whether to draw inferences of fact, which are open to them upon evidence which has been given, again in relation to matters with respect to which the person not called</w:t>
      </w:r>
      <w:r w:rsidR="00BB66CE" w:rsidRPr="008C3BC8">
        <w:rPr>
          <w:rFonts w:ascii="Arial" w:hAnsi="Arial" w:cs="Arial"/>
          <w:color w:val="000000"/>
          <w:sz w:val="20"/>
        </w:rPr>
        <w:t xml:space="preserve"> as a witness could have spoken.</w:t>
      </w:r>
    </w:p>
    <w:p w14:paraId="478F2CF3" w14:textId="35EE7E54" w:rsidR="00BB66CE" w:rsidRPr="008C3BC8" w:rsidRDefault="00BB66CE" w:rsidP="00BB66CE">
      <w:pPr>
        <w:ind w:left="567" w:right="567"/>
        <w:jc w:val="both"/>
        <w:rPr>
          <w:rFonts w:ascii="Arial" w:hAnsi="Arial" w:cs="Arial"/>
          <w:color w:val="000000"/>
          <w:sz w:val="20"/>
          <w:szCs w:val="20"/>
        </w:rPr>
      </w:pPr>
      <w:r w:rsidRPr="008C3BC8">
        <w:rPr>
          <w:rFonts w:ascii="Arial" w:hAnsi="Arial" w:cs="Arial"/>
          <w:color w:val="000000"/>
          <w:sz w:val="20"/>
          <w:szCs w:val="20"/>
        </w:rPr>
        <w:t xml:space="preserve">This was approved in </w:t>
      </w:r>
      <w:r w:rsidRPr="008C3BC8">
        <w:rPr>
          <w:rFonts w:ascii="Arial" w:hAnsi="Arial" w:cs="Arial"/>
          <w:i/>
          <w:color w:val="000000"/>
          <w:sz w:val="20"/>
          <w:szCs w:val="20"/>
        </w:rPr>
        <w:t>Brandi v Mingot</w:t>
      </w:r>
      <w:r w:rsidRPr="008C3BC8">
        <w:rPr>
          <w:rFonts w:ascii="Arial" w:hAnsi="Arial" w:cs="Arial"/>
          <w:color w:val="000000"/>
          <w:sz w:val="20"/>
          <w:szCs w:val="20"/>
        </w:rPr>
        <w:t xml:space="preserve"> (1976) 12 ALR 551, 559 (Gibbs ACJ, Stephen, Mason and Aicken JJ.</w:t>
      </w:r>
      <w:r w:rsidR="00CE083F">
        <w:rPr>
          <w:rFonts w:ascii="Arial" w:hAnsi="Arial" w:cs="Arial"/>
          <w:color w:val="000000"/>
          <w:sz w:val="20"/>
          <w:szCs w:val="20"/>
        </w:rPr>
        <w:t>”</w:t>
      </w:r>
    </w:p>
    <w:p w14:paraId="5ABC4BA7" w14:textId="77777777" w:rsidR="0060443B" w:rsidRPr="008C3BC8" w:rsidRDefault="0060443B" w:rsidP="0060443B">
      <w:pPr>
        <w:jc w:val="both"/>
        <w:rPr>
          <w:rFonts w:ascii="Arial" w:hAnsi="Arial" w:cs="Arial"/>
          <w:color w:val="000000"/>
          <w:sz w:val="20"/>
          <w:szCs w:val="20"/>
        </w:rPr>
      </w:pPr>
    </w:p>
    <w:p w14:paraId="04AF3CA8" w14:textId="77777777" w:rsidR="0060443B" w:rsidRPr="008C3BC8" w:rsidRDefault="00BB66CE" w:rsidP="0060443B">
      <w:pPr>
        <w:jc w:val="both"/>
        <w:rPr>
          <w:rFonts w:ascii="Arial" w:hAnsi="Arial" w:cs="Arial"/>
          <w:color w:val="000000"/>
          <w:sz w:val="20"/>
          <w:szCs w:val="20"/>
        </w:rPr>
      </w:pPr>
      <w:r w:rsidRPr="008C3BC8">
        <w:rPr>
          <w:rFonts w:ascii="Arial" w:hAnsi="Arial" w:cs="Arial"/>
          <w:color w:val="000000"/>
          <w:sz w:val="20"/>
          <w:szCs w:val="20"/>
        </w:rPr>
        <w:t>The writer</w:t>
      </w:r>
      <w:r w:rsidR="00C415D8" w:rsidRPr="008C3BC8">
        <w:rPr>
          <w:rFonts w:ascii="Arial" w:hAnsi="Arial" w:cs="Arial"/>
          <w:color w:val="000000"/>
          <w:sz w:val="20"/>
          <w:szCs w:val="20"/>
        </w:rPr>
        <w:t xml:space="preserve"> </w:t>
      </w:r>
      <w:r w:rsidR="0060443B" w:rsidRPr="008C3BC8">
        <w:rPr>
          <w:rFonts w:ascii="Arial" w:hAnsi="Arial" w:cs="Arial"/>
          <w:color w:val="000000"/>
          <w:sz w:val="20"/>
          <w:szCs w:val="20"/>
        </w:rPr>
        <w:t>note</w:t>
      </w:r>
      <w:r w:rsidR="00C415D8" w:rsidRPr="008C3BC8">
        <w:rPr>
          <w:rFonts w:ascii="Arial" w:hAnsi="Arial" w:cs="Arial"/>
          <w:color w:val="000000"/>
          <w:sz w:val="20"/>
          <w:szCs w:val="20"/>
        </w:rPr>
        <w:t>s</w:t>
      </w:r>
      <w:r w:rsidR="0060443B" w:rsidRPr="008C3BC8">
        <w:rPr>
          <w:rFonts w:ascii="Arial" w:hAnsi="Arial" w:cs="Arial"/>
          <w:color w:val="000000"/>
          <w:sz w:val="20"/>
          <w:szCs w:val="20"/>
        </w:rPr>
        <w:t xml:space="preserve"> that in </w:t>
      </w:r>
      <w:r w:rsidR="0060443B" w:rsidRPr="008C3BC8">
        <w:rPr>
          <w:rFonts w:ascii="Arial" w:hAnsi="Arial" w:cs="Arial"/>
          <w:i/>
          <w:color w:val="000000"/>
          <w:sz w:val="20"/>
          <w:szCs w:val="20"/>
        </w:rPr>
        <w:t>O’Donnell v Reichard</w:t>
      </w:r>
      <w:r w:rsidR="0060443B" w:rsidRPr="008C3BC8">
        <w:rPr>
          <w:rFonts w:ascii="Arial" w:hAnsi="Arial" w:cs="Arial"/>
          <w:color w:val="000000"/>
          <w:sz w:val="20"/>
          <w:szCs w:val="20"/>
        </w:rPr>
        <w:t xml:space="preserve"> [1975] VR 91</w:t>
      </w:r>
      <w:r w:rsidR="001B53EE" w:rsidRPr="008C3BC8">
        <w:rPr>
          <w:rFonts w:ascii="Arial" w:hAnsi="Arial" w:cs="Arial"/>
          <w:color w:val="000000"/>
          <w:sz w:val="20"/>
          <w:szCs w:val="20"/>
        </w:rPr>
        <w:t>6 Newton &amp; Norris JJ said at 929</w:t>
      </w:r>
      <w:r w:rsidR="0060443B" w:rsidRPr="008C3BC8">
        <w:rPr>
          <w:rFonts w:ascii="Arial" w:hAnsi="Arial" w:cs="Arial"/>
          <w:color w:val="000000"/>
          <w:sz w:val="20"/>
          <w:szCs w:val="20"/>
        </w:rPr>
        <w:t>:</w:t>
      </w:r>
    </w:p>
    <w:p w14:paraId="51B6BD97" w14:textId="77777777" w:rsidR="0060443B" w:rsidRPr="008C3BC8" w:rsidRDefault="0060443B" w:rsidP="0060443B">
      <w:pPr>
        <w:spacing w:before="60"/>
        <w:ind w:left="567" w:right="567"/>
        <w:jc w:val="both"/>
        <w:rPr>
          <w:rFonts w:ascii="Arial" w:hAnsi="Arial" w:cs="Arial"/>
          <w:color w:val="000000"/>
          <w:sz w:val="20"/>
          <w:szCs w:val="20"/>
        </w:rPr>
      </w:pPr>
      <w:r w:rsidRPr="008C3BC8">
        <w:rPr>
          <w:rFonts w:ascii="Arial" w:hAnsi="Arial" w:cs="Arial"/>
          <w:color w:val="000000"/>
          <w:sz w:val="20"/>
          <w:szCs w:val="20"/>
        </w:rPr>
        <w:t>“</w:t>
      </w:r>
      <w:r w:rsidRPr="008C3BC8">
        <w:rPr>
          <w:rFonts w:ascii="Arial" w:hAnsi="Arial" w:cs="Arial"/>
          <w:color w:val="000000"/>
          <w:sz w:val="20"/>
          <w:szCs w:val="22"/>
        </w:rPr>
        <w:t>[W]here a party without explanation fails to call as a witness a person whom he might reasonably be expected to call, if that person’s evidence would be favourable to him, then, although the jury may not treat as evidence what they may as a matter of speculation think that that person would have said if he had been called as a witness, nevertheless it is open to the jury to infer that that person’s evidence would not have helped that party’s case.</w:t>
      </w:r>
      <w:r w:rsidR="00AC4447">
        <w:rPr>
          <w:rFonts w:ascii="Arial" w:hAnsi="Arial" w:cs="Arial"/>
          <w:color w:val="000000"/>
          <w:sz w:val="20"/>
          <w:szCs w:val="22"/>
        </w:rPr>
        <w:t>”</w:t>
      </w:r>
    </w:p>
    <w:p w14:paraId="6A942B69" w14:textId="77777777" w:rsidR="0060443B" w:rsidRPr="008C3BC8" w:rsidRDefault="0060443B" w:rsidP="006B6441">
      <w:pPr>
        <w:jc w:val="both"/>
        <w:rPr>
          <w:rFonts w:ascii="Arial" w:hAnsi="Arial" w:cs="Arial"/>
          <w:color w:val="000000"/>
          <w:sz w:val="20"/>
          <w:szCs w:val="20"/>
        </w:rPr>
      </w:pPr>
    </w:p>
    <w:p w14:paraId="51524804" w14:textId="77777777" w:rsidR="0060443B" w:rsidRPr="008C3BC8" w:rsidRDefault="0060443B" w:rsidP="0060443B">
      <w:pPr>
        <w:jc w:val="both"/>
        <w:rPr>
          <w:rFonts w:ascii="Arial" w:hAnsi="Arial" w:cs="Arial"/>
          <w:color w:val="000000"/>
          <w:sz w:val="20"/>
          <w:szCs w:val="20"/>
        </w:rPr>
      </w:pPr>
      <w:r w:rsidRPr="008C3BC8">
        <w:rPr>
          <w:rFonts w:ascii="Arial" w:hAnsi="Arial" w:cs="Arial"/>
          <w:color w:val="000000"/>
          <w:sz w:val="20"/>
          <w:szCs w:val="20"/>
        </w:rPr>
        <w:t xml:space="preserve">In </w:t>
      </w:r>
      <w:r w:rsidRPr="008C3BC8">
        <w:rPr>
          <w:rFonts w:ascii="Arial" w:hAnsi="Arial" w:cs="Arial"/>
          <w:i/>
          <w:color w:val="000000"/>
          <w:sz w:val="20"/>
          <w:szCs w:val="20"/>
        </w:rPr>
        <w:t>Goddard Elliott v Fritsch</w:t>
      </w:r>
      <w:r w:rsidRPr="008C3BC8">
        <w:rPr>
          <w:rFonts w:ascii="Arial" w:hAnsi="Arial" w:cs="Arial"/>
          <w:color w:val="000000"/>
          <w:sz w:val="20"/>
          <w:szCs w:val="20"/>
        </w:rPr>
        <w:t xml:space="preserve"> Bell J continued at [46]</w:t>
      </w:r>
      <w:r w:rsidR="00306886" w:rsidRPr="008C3BC8">
        <w:rPr>
          <w:rFonts w:ascii="Arial" w:hAnsi="Arial" w:cs="Arial"/>
          <w:color w:val="000000"/>
          <w:sz w:val="20"/>
          <w:szCs w:val="20"/>
        </w:rPr>
        <w:t xml:space="preserve"> &amp; </w:t>
      </w:r>
      <w:r w:rsidRPr="008C3BC8">
        <w:rPr>
          <w:rFonts w:ascii="Arial" w:hAnsi="Arial" w:cs="Arial"/>
          <w:color w:val="000000"/>
          <w:sz w:val="20"/>
          <w:szCs w:val="20"/>
        </w:rPr>
        <w:t>[49]:</w:t>
      </w:r>
    </w:p>
    <w:p w14:paraId="5CA1985E" w14:textId="77777777" w:rsidR="00B55976" w:rsidRPr="008C3BC8" w:rsidRDefault="00B55976" w:rsidP="00A2179B">
      <w:pPr>
        <w:spacing w:before="60"/>
        <w:ind w:left="567" w:right="567"/>
        <w:jc w:val="both"/>
        <w:rPr>
          <w:rFonts w:ascii="Arial" w:hAnsi="Arial" w:cs="Arial"/>
          <w:color w:val="000000"/>
          <w:sz w:val="20"/>
          <w:szCs w:val="20"/>
        </w:rPr>
      </w:pPr>
      <w:r w:rsidRPr="008C3BC8">
        <w:rPr>
          <w:rFonts w:ascii="Arial" w:hAnsi="Arial" w:cs="Arial"/>
          <w:color w:val="000000"/>
          <w:sz w:val="20"/>
          <w:szCs w:val="20"/>
        </w:rPr>
        <w:t xml:space="preserve">[46] </w:t>
      </w:r>
      <w:r w:rsidR="0060443B" w:rsidRPr="008C3BC8">
        <w:rPr>
          <w:rFonts w:ascii="Arial" w:hAnsi="Arial" w:cs="Arial"/>
          <w:color w:val="000000"/>
          <w:sz w:val="20"/>
          <w:szCs w:val="20"/>
        </w:rPr>
        <w:t>“</w:t>
      </w:r>
      <w:r w:rsidRPr="008C3BC8">
        <w:rPr>
          <w:rFonts w:ascii="Arial" w:hAnsi="Arial" w:cs="Arial"/>
          <w:color w:val="000000"/>
          <w:sz w:val="20"/>
          <w:szCs w:val="20"/>
        </w:rPr>
        <w:t>The unexplained failure of the party to call the witness cannot be used to reason that the evidence of the witness would not have been favourable to the party.  The trier of fact cannot allow the inference which may (not must) be drawn to be elevated that high.  It is limited to the inference that, if called, the evidence would not have assisted the case of the party failing to call the witness</w:t>
      </w:r>
      <w:r w:rsidR="00BB66CE" w:rsidRPr="008C3BC8">
        <w:rPr>
          <w:rFonts w:ascii="Arial" w:hAnsi="Arial" w:cs="Arial"/>
          <w:color w:val="000000"/>
          <w:sz w:val="20"/>
          <w:szCs w:val="20"/>
        </w:rPr>
        <w:t xml:space="preserve">: </w:t>
      </w:r>
      <w:r w:rsidR="00BB66CE" w:rsidRPr="008C3BC8">
        <w:rPr>
          <w:rFonts w:ascii="Arial" w:hAnsi="Arial" w:cs="Arial"/>
          <w:i/>
          <w:color w:val="000000"/>
          <w:sz w:val="20"/>
        </w:rPr>
        <w:t xml:space="preserve">O’Donnell </w:t>
      </w:r>
      <w:r w:rsidR="00BB66CE" w:rsidRPr="008C3BC8">
        <w:rPr>
          <w:rFonts w:ascii="Arial" w:hAnsi="Arial" w:cs="Arial"/>
          <w:color w:val="000000"/>
          <w:sz w:val="20"/>
        </w:rPr>
        <w:t xml:space="preserve">v </w:t>
      </w:r>
      <w:r w:rsidR="00BB66CE" w:rsidRPr="008C3BC8">
        <w:rPr>
          <w:rFonts w:ascii="Arial" w:hAnsi="Arial" w:cs="Arial"/>
          <w:i/>
          <w:color w:val="000000"/>
          <w:sz w:val="20"/>
        </w:rPr>
        <w:t xml:space="preserve">Reichard </w:t>
      </w:r>
      <w:r w:rsidR="00BB66CE" w:rsidRPr="008C3BC8">
        <w:rPr>
          <w:rFonts w:ascii="Arial" w:hAnsi="Arial" w:cs="Arial"/>
          <w:color w:val="000000"/>
          <w:sz w:val="20"/>
        </w:rPr>
        <w:t xml:space="preserve">[1975] VR 916, 929; </w:t>
      </w:r>
      <w:r w:rsidR="00BB66CE" w:rsidRPr="008C3BC8">
        <w:rPr>
          <w:rFonts w:ascii="Arial" w:hAnsi="Arial" w:cs="Arial"/>
          <w:i/>
          <w:color w:val="000000"/>
          <w:sz w:val="20"/>
        </w:rPr>
        <w:t>R v Buckland</w:t>
      </w:r>
      <w:r w:rsidR="00BB66CE" w:rsidRPr="008C3BC8">
        <w:rPr>
          <w:rFonts w:ascii="Arial" w:hAnsi="Arial" w:cs="Arial"/>
          <w:color w:val="000000"/>
          <w:sz w:val="20"/>
        </w:rPr>
        <w:t xml:space="preserve"> [1977] 2 NSWLR 452, 458, approved in </w:t>
      </w:r>
      <w:r w:rsidR="00BB66CE" w:rsidRPr="008C3BC8">
        <w:rPr>
          <w:rFonts w:ascii="Arial" w:hAnsi="Arial" w:cs="Arial"/>
          <w:i/>
          <w:color w:val="000000"/>
          <w:sz w:val="20"/>
        </w:rPr>
        <w:t>Azzopardi v R</w:t>
      </w:r>
      <w:r w:rsidR="00BB66CE" w:rsidRPr="008C3BC8">
        <w:rPr>
          <w:rFonts w:ascii="Arial" w:hAnsi="Arial" w:cs="Arial"/>
          <w:color w:val="000000"/>
          <w:sz w:val="20"/>
        </w:rPr>
        <w:t xml:space="preserve"> (2001) 205 CLR 50.</w:t>
      </w:r>
      <w:r w:rsidR="00BB66CE" w:rsidRPr="008C3BC8">
        <w:rPr>
          <w:rFonts w:ascii="Arial" w:hAnsi="Arial" w:cs="Arial"/>
          <w:color w:val="000000"/>
          <w:sz w:val="20"/>
          <w:szCs w:val="20"/>
        </w:rPr>
        <w:t xml:space="preserve">  </w:t>
      </w:r>
      <w:r w:rsidRPr="008C3BC8">
        <w:rPr>
          <w:rFonts w:ascii="Arial" w:hAnsi="Arial" w:cs="Arial"/>
          <w:color w:val="000000"/>
          <w:sz w:val="20"/>
          <w:szCs w:val="20"/>
        </w:rPr>
        <w:t>As</w:t>
      </w:r>
      <w:r w:rsidR="001B53EE" w:rsidRPr="008C3BC8">
        <w:rPr>
          <w:rFonts w:ascii="Arial" w:hAnsi="Arial" w:cs="Arial"/>
          <w:color w:val="000000"/>
          <w:sz w:val="20"/>
          <w:szCs w:val="20"/>
        </w:rPr>
        <w:t> </w:t>
      </w:r>
      <w:r w:rsidRPr="008C3BC8">
        <w:rPr>
          <w:rFonts w:ascii="Arial" w:hAnsi="Arial" w:cs="Arial"/>
          <w:color w:val="000000"/>
          <w:sz w:val="20"/>
          <w:szCs w:val="20"/>
        </w:rPr>
        <w:t xml:space="preserve">was held in </w:t>
      </w:r>
      <w:r w:rsidRPr="008C3BC8">
        <w:rPr>
          <w:rFonts w:ascii="Arial" w:hAnsi="Arial" w:cs="Arial"/>
          <w:i/>
          <w:color w:val="000000"/>
          <w:sz w:val="20"/>
          <w:szCs w:val="20"/>
        </w:rPr>
        <w:t>Weissensteiner v The Queen</w:t>
      </w:r>
      <w:r w:rsidRPr="008C3BC8">
        <w:rPr>
          <w:rFonts w:ascii="Arial" w:hAnsi="Arial" w:cs="Arial"/>
          <w:color w:val="000000"/>
          <w:sz w:val="20"/>
          <w:szCs w:val="20"/>
        </w:rPr>
        <w:t xml:space="preserve"> </w:t>
      </w:r>
      <w:r w:rsidR="00BB66CE" w:rsidRPr="008C3BC8">
        <w:rPr>
          <w:rFonts w:ascii="Arial" w:hAnsi="Arial" w:cs="Arial"/>
          <w:color w:val="000000"/>
          <w:sz w:val="20"/>
          <w:szCs w:val="20"/>
        </w:rPr>
        <w:t xml:space="preserve">(1993) 178 CLR 217, </w:t>
      </w:r>
      <w:r w:rsidRPr="008C3BC8">
        <w:rPr>
          <w:rFonts w:ascii="Arial" w:hAnsi="Arial" w:cs="Arial"/>
          <w:color w:val="000000"/>
          <w:sz w:val="20"/>
          <w:szCs w:val="20"/>
        </w:rPr>
        <w:t>that inference is available when evaluating all of the evidence which is before the court, including the evidence given by witnesses whose credibility and reliability has been attacked.  As applied in the case of evidence of that kind, Mason CJ, Deane and Dawson JJ held this to be the principle</w:t>
      </w:r>
      <w:r w:rsidR="00BB66CE" w:rsidRPr="008C3BC8">
        <w:rPr>
          <w:rFonts w:ascii="Arial" w:hAnsi="Arial" w:cs="Arial"/>
          <w:color w:val="000000"/>
          <w:sz w:val="20"/>
          <w:szCs w:val="20"/>
        </w:rPr>
        <w:t xml:space="preserve"> at 227-228</w:t>
      </w:r>
      <w:r w:rsidRPr="008C3BC8">
        <w:rPr>
          <w:rFonts w:ascii="Arial" w:hAnsi="Arial" w:cs="Arial"/>
          <w:color w:val="000000"/>
          <w:sz w:val="20"/>
          <w:szCs w:val="20"/>
        </w:rPr>
        <w:t>:</w:t>
      </w:r>
    </w:p>
    <w:p w14:paraId="3E5F42F6" w14:textId="77777777" w:rsidR="002F575D" w:rsidRPr="00A616AE" w:rsidRDefault="00BB66CE" w:rsidP="00306886">
      <w:pPr>
        <w:pStyle w:val="Quote1"/>
        <w:widowControl/>
        <w:spacing w:after="0" w:line="240" w:lineRule="auto"/>
        <w:ind w:left="1134" w:right="1134" w:firstLine="0"/>
        <w:rPr>
          <w:rFonts w:ascii="Arial" w:hAnsi="Arial" w:cs="Arial"/>
          <w:color w:val="000000"/>
          <w:sz w:val="18"/>
          <w:szCs w:val="18"/>
        </w:rPr>
      </w:pPr>
      <w:r w:rsidRPr="00A616AE">
        <w:rPr>
          <w:rFonts w:ascii="Arial" w:hAnsi="Arial" w:cs="Arial"/>
          <w:color w:val="000000"/>
          <w:sz w:val="18"/>
          <w:szCs w:val="18"/>
        </w:rPr>
        <w:t>“</w:t>
      </w:r>
      <w:r w:rsidR="002F575D" w:rsidRPr="00A616AE">
        <w:rPr>
          <w:rFonts w:ascii="Arial" w:hAnsi="Arial" w:cs="Arial"/>
          <w:color w:val="000000"/>
          <w:sz w:val="18"/>
          <w:szCs w:val="18"/>
        </w:rPr>
        <w:t>Doubts about the reliability of witnesses or about the inferences to be drawn from the evidence may be more readily discounted in the absence of contradictory evidence from a party who might have been expected to give or call it.</w:t>
      </w:r>
      <w:r w:rsidRPr="00A616AE">
        <w:rPr>
          <w:rFonts w:ascii="Arial" w:hAnsi="Arial" w:cs="Arial"/>
          <w:color w:val="000000"/>
          <w:sz w:val="18"/>
          <w:szCs w:val="18"/>
        </w:rPr>
        <w:t>”</w:t>
      </w:r>
    </w:p>
    <w:p w14:paraId="6798B806" w14:textId="77777777" w:rsidR="002F575D" w:rsidRPr="008C3BC8" w:rsidRDefault="002F575D" w:rsidP="00306886">
      <w:pPr>
        <w:pStyle w:val="Quote1"/>
        <w:widowControl/>
        <w:spacing w:after="0" w:line="240" w:lineRule="auto"/>
        <w:ind w:left="567" w:right="567" w:firstLine="0"/>
        <w:rPr>
          <w:rFonts w:ascii="Arial" w:hAnsi="Arial" w:cs="Arial"/>
          <w:color w:val="000000"/>
          <w:sz w:val="20"/>
        </w:rPr>
      </w:pPr>
      <w:r w:rsidRPr="008C3BC8">
        <w:rPr>
          <w:rFonts w:ascii="Arial" w:hAnsi="Arial" w:cs="Arial"/>
          <w:color w:val="000000"/>
          <w:sz w:val="20"/>
        </w:rPr>
        <w:t>That is of some importance in this case as Paul’s credit and reliability has been attacked.</w:t>
      </w:r>
      <w:r w:rsidR="00306886" w:rsidRPr="008C3BC8">
        <w:rPr>
          <w:rFonts w:ascii="Arial" w:hAnsi="Arial" w:cs="Arial"/>
          <w:color w:val="000000"/>
          <w:sz w:val="20"/>
        </w:rPr>
        <w:t>”</w:t>
      </w:r>
    </w:p>
    <w:p w14:paraId="68D8A428" w14:textId="77777777" w:rsidR="00306886" w:rsidRPr="008C3BC8" w:rsidRDefault="00306886" w:rsidP="00A2179B">
      <w:pPr>
        <w:pStyle w:val="Quote1"/>
        <w:widowControl/>
        <w:spacing w:before="60" w:after="0" w:line="240" w:lineRule="auto"/>
        <w:ind w:left="567" w:right="567" w:firstLine="0"/>
        <w:rPr>
          <w:rFonts w:ascii="Arial" w:hAnsi="Arial" w:cs="Arial"/>
          <w:color w:val="000000"/>
          <w:sz w:val="20"/>
        </w:rPr>
      </w:pPr>
      <w:r w:rsidRPr="008C3BC8">
        <w:rPr>
          <w:rFonts w:ascii="Arial" w:hAnsi="Arial" w:cs="Arial"/>
          <w:color w:val="000000"/>
          <w:sz w:val="20"/>
        </w:rPr>
        <w:t>[49] “The unexplained failure of Goddard Elliott to call Mr Ackman [who was in its ‘camp’] gives rise to an inference that his evidence would not have assisted Goddard Elliott’s case.  That inference may be taken into account against Goddard Elliott in evaluating the whole of the evidence in the case, including the evidence of Paul.  By reason of Goddard Elliott’s failure to call Mr Ackman, I might more readily resolve any doubts I have about the reliability of Paul’s evidence.”</w:t>
      </w:r>
    </w:p>
    <w:p w14:paraId="5A1E7489" w14:textId="77777777" w:rsidR="00B8085D" w:rsidRPr="004F1D2B" w:rsidRDefault="00B8085D" w:rsidP="00DE0CC3">
      <w:pPr>
        <w:jc w:val="both"/>
        <w:rPr>
          <w:rFonts w:ascii="Arial" w:hAnsi="Arial" w:cs="Arial"/>
          <w:color w:val="000000"/>
          <w:sz w:val="20"/>
        </w:rPr>
      </w:pPr>
    </w:p>
    <w:p w14:paraId="5D699C16" w14:textId="77777777" w:rsidR="009D486E" w:rsidRPr="004F1D2B" w:rsidRDefault="009D486E" w:rsidP="00DE0CC3">
      <w:pPr>
        <w:jc w:val="both"/>
        <w:rPr>
          <w:rFonts w:ascii="Arial" w:hAnsi="Arial" w:cs="Arial"/>
          <w:color w:val="000000"/>
          <w:sz w:val="20"/>
        </w:rPr>
      </w:pPr>
      <w:r w:rsidRPr="004F1D2B">
        <w:rPr>
          <w:rFonts w:ascii="Arial" w:hAnsi="Arial" w:cs="Arial"/>
          <w:color w:val="000000"/>
          <w:sz w:val="20"/>
        </w:rPr>
        <w:t xml:space="preserve">In </w:t>
      </w:r>
      <w:r w:rsidRPr="004F1D2B">
        <w:rPr>
          <w:rFonts w:ascii="Arial" w:hAnsi="Arial" w:cs="Arial"/>
          <w:i/>
          <w:color w:val="000000"/>
          <w:sz w:val="20"/>
        </w:rPr>
        <w:t>Tenth Vandy Pty Ltd &amp; Anor v Natwest Markets Australia Pty Ltd</w:t>
      </w:r>
      <w:r w:rsidRPr="004F1D2B">
        <w:rPr>
          <w:rFonts w:ascii="Arial" w:hAnsi="Arial" w:cs="Arial"/>
          <w:color w:val="000000"/>
          <w:sz w:val="20"/>
        </w:rPr>
        <w:t xml:space="preserve"> [2012] VSCA 102 at [154]-[156] the Court of Appeal upheld dicta of the trial judge that no </w:t>
      </w:r>
      <w:r w:rsidRPr="004F1D2B">
        <w:rPr>
          <w:rFonts w:ascii="Arial" w:hAnsi="Arial" w:cs="Arial"/>
          <w:i/>
          <w:color w:val="000000"/>
          <w:sz w:val="20"/>
        </w:rPr>
        <w:t>Jones v Dunkel</w:t>
      </w:r>
      <w:r w:rsidRPr="004F1D2B">
        <w:rPr>
          <w:rFonts w:ascii="Arial" w:hAnsi="Arial" w:cs="Arial"/>
          <w:color w:val="000000"/>
          <w:sz w:val="20"/>
        </w:rPr>
        <w:t xml:space="preserve"> inference could be drawn against the respondent for failing to call certain witnesses “unless and until the party bearing the burden of proof of its case [the appellant] has by the evidence it relies upon established a case for the [respondent] to answer…[T]he rule in Jones v Dunkel may not be resorted to by a party, in effect, to fill in the facts of its case before the threshold for the operation of the rule is reached”.</w:t>
      </w:r>
    </w:p>
    <w:p w14:paraId="3795DC8C" w14:textId="77777777" w:rsidR="009D486E" w:rsidRPr="004F1D2B" w:rsidRDefault="009D486E" w:rsidP="00DE0CC3">
      <w:pPr>
        <w:jc w:val="both"/>
        <w:rPr>
          <w:rFonts w:ascii="Arial" w:hAnsi="Arial" w:cs="Arial"/>
          <w:color w:val="000000"/>
          <w:sz w:val="20"/>
        </w:rPr>
      </w:pPr>
    </w:p>
    <w:p w14:paraId="0B3AB790" w14:textId="77777777" w:rsidR="001357C7" w:rsidRPr="004F1D2B" w:rsidRDefault="001D1B06" w:rsidP="00DE0CC3">
      <w:pPr>
        <w:jc w:val="both"/>
        <w:rPr>
          <w:rFonts w:ascii="Arial" w:hAnsi="Arial" w:cs="Arial"/>
          <w:color w:val="000000"/>
          <w:sz w:val="20"/>
          <w:szCs w:val="20"/>
        </w:rPr>
      </w:pPr>
      <w:r w:rsidRPr="004F1D2B">
        <w:rPr>
          <w:rFonts w:ascii="Arial" w:hAnsi="Arial" w:cs="Arial"/>
          <w:color w:val="000000"/>
          <w:sz w:val="20"/>
          <w:szCs w:val="20"/>
        </w:rPr>
        <w:t xml:space="preserve">As the Court of Appeal stated in </w:t>
      </w:r>
      <w:r w:rsidRPr="004F1D2B">
        <w:rPr>
          <w:rFonts w:ascii="Arial" w:hAnsi="Arial" w:cs="Arial"/>
          <w:i/>
          <w:color w:val="000000"/>
          <w:sz w:val="20"/>
          <w:szCs w:val="20"/>
        </w:rPr>
        <w:t>R v Ahmed</w:t>
      </w:r>
      <w:r w:rsidRPr="004F1D2B">
        <w:rPr>
          <w:rFonts w:ascii="Arial" w:hAnsi="Arial" w:cs="Arial"/>
          <w:color w:val="000000"/>
          <w:sz w:val="20"/>
          <w:szCs w:val="20"/>
        </w:rPr>
        <w:t xml:space="preserve"> [2012] VSCA 200, the rule in </w:t>
      </w:r>
      <w:r w:rsidRPr="004F1D2B">
        <w:rPr>
          <w:rFonts w:ascii="Arial" w:hAnsi="Arial" w:cs="Arial"/>
          <w:i/>
          <w:color w:val="000000"/>
          <w:sz w:val="20"/>
          <w:szCs w:val="20"/>
        </w:rPr>
        <w:t>Jones v Dunkel</w:t>
      </w:r>
      <w:r w:rsidRPr="004F1D2B">
        <w:rPr>
          <w:rFonts w:ascii="Arial" w:hAnsi="Arial" w:cs="Arial"/>
          <w:color w:val="000000"/>
          <w:sz w:val="20"/>
          <w:szCs w:val="20"/>
        </w:rPr>
        <w:t xml:space="preserve"> is not generally applicable against an accused in criminal proceedings: see the judgment of Nettle JA (with whom Redlich &amp; Osborn JJA agreed) at [16]:</w:t>
      </w:r>
    </w:p>
    <w:p w14:paraId="7DEDF543" w14:textId="763ED7A2" w:rsidR="00F26DDA" w:rsidRDefault="001357C7" w:rsidP="00A2179B">
      <w:pPr>
        <w:pStyle w:val="Quote1"/>
        <w:widowControl/>
        <w:spacing w:before="60" w:after="0" w:line="240" w:lineRule="auto"/>
        <w:ind w:left="567" w:right="567" w:firstLine="0"/>
        <w:rPr>
          <w:rFonts w:ascii="Arial" w:hAnsi="Arial" w:cs="Arial"/>
          <w:color w:val="000000"/>
          <w:sz w:val="20"/>
        </w:rPr>
      </w:pPr>
      <w:r w:rsidRPr="004F1D2B">
        <w:rPr>
          <w:rFonts w:ascii="Arial" w:hAnsi="Arial" w:cs="Arial"/>
          <w:color w:val="000000"/>
          <w:sz w:val="20"/>
        </w:rPr>
        <w:t xml:space="preserve">“[A]t least since the decision of the High Court in </w:t>
      </w:r>
      <w:r w:rsidRPr="004F1D2B">
        <w:rPr>
          <w:rFonts w:ascii="Arial" w:hAnsi="Arial" w:cs="Arial"/>
          <w:i/>
          <w:color w:val="000000"/>
          <w:sz w:val="20"/>
        </w:rPr>
        <w:t>Dyers v The Queen</w:t>
      </w:r>
      <w:r w:rsidRPr="004F1D2B">
        <w:rPr>
          <w:rFonts w:ascii="Arial" w:hAnsi="Arial" w:cs="Arial"/>
          <w:color w:val="000000"/>
          <w:sz w:val="20"/>
        </w:rPr>
        <w:t xml:space="preserve"> (2002) 210 CLR 285, it has been clear that a </w:t>
      </w:r>
      <w:r w:rsidRPr="004F1D2B">
        <w:rPr>
          <w:rFonts w:ascii="Arial" w:hAnsi="Arial" w:cs="Arial"/>
          <w:i/>
          <w:color w:val="000000"/>
          <w:sz w:val="20"/>
        </w:rPr>
        <w:t>Jones v Dunkel</w:t>
      </w:r>
      <w:r w:rsidRPr="004F1D2B">
        <w:rPr>
          <w:rFonts w:ascii="Arial" w:hAnsi="Arial" w:cs="Arial"/>
          <w:color w:val="000000"/>
          <w:sz w:val="20"/>
        </w:rPr>
        <w:t xml:space="preserve"> inference should not be drawn against an accused, except perhaps in the extraordinary circumstances postulated in</w:t>
      </w:r>
      <w:r w:rsidRPr="004F1D2B">
        <w:rPr>
          <w:rFonts w:ascii="Arial" w:hAnsi="Arial" w:cs="Arial"/>
          <w:i/>
          <w:color w:val="000000"/>
          <w:sz w:val="20"/>
        </w:rPr>
        <w:t xml:space="preserve"> Azzopardi v The Queen</w:t>
      </w:r>
      <w:r w:rsidRPr="004F1D2B">
        <w:rPr>
          <w:rFonts w:ascii="Arial" w:hAnsi="Arial" w:cs="Arial"/>
          <w:color w:val="000000"/>
          <w:sz w:val="20"/>
        </w:rPr>
        <w:t xml:space="preserve">: (2001) 205 CLR 50 at 70.  As the High Court explained in </w:t>
      </w:r>
      <w:r w:rsidRPr="004F1D2B">
        <w:rPr>
          <w:rFonts w:ascii="Arial" w:hAnsi="Arial" w:cs="Arial"/>
          <w:i/>
          <w:color w:val="000000"/>
          <w:sz w:val="20"/>
        </w:rPr>
        <w:t>Dyers v The Queen</w:t>
      </w:r>
      <w:r w:rsidRPr="004F1D2B">
        <w:rPr>
          <w:rFonts w:ascii="Arial" w:hAnsi="Arial" w:cs="Arial"/>
          <w:color w:val="000000"/>
          <w:sz w:val="20"/>
        </w:rPr>
        <w:t>, the reason that a judge is ordinarily not to direct a jury that they are entitled to draw an inference adverse to an accused from his failure to call witnesses he might otherwise have been expected to call, is that it would be inconsistent with the accused’s right to silence and thus would effectively reverse the burden of proof which is and must remain upon the Crown throughout: (2002) 210 CLR 285 at [9]-[10] per Gaudron and Hayne JJ, [52]-[53] per Kirby J, [121] per Callinan J.”</w:t>
      </w:r>
    </w:p>
    <w:p w14:paraId="375F1D7C" w14:textId="63E351DE" w:rsidR="00F26DDA" w:rsidRDefault="00F26DDA" w:rsidP="00DE0CC3">
      <w:pPr>
        <w:jc w:val="both"/>
        <w:rPr>
          <w:rFonts w:ascii="Arial" w:hAnsi="Arial" w:cs="Arial"/>
          <w:color w:val="000000"/>
          <w:sz w:val="20"/>
        </w:rPr>
      </w:pPr>
    </w:p>
    <w:p w14:paraId="12670399" w14:textId="2183C301" w:rsidR="00C04DB4" w:rsidRDefault="00C04DB4" w:rsidP="00DE0CC3">
      <w:pPr>
        <w:jc w:val="both"/>
        <w:rPr>
          <w:rFonts w:ascii="Arial" w:hAnsi="Arial" w:cs="Arial"/>
          <w:color w:val="000000"/>
          <w:sz w:val="20"/>
        </w:rPr>
      </w:pPr>
      <w:r>
        <w:rPr>
          <w:rFonts w:ascii="Arial" w:hAnsi="Arial" w:cs="Arial"/>
          <w:color w:val="000000"/>
          <w:sz w:val="20"/>
        </w:rPr>
        <w:t xml:space="preserve">In </w:t>
      </w:r>
      <w:r w:rsidRPr="00C04DB4">
        <w:rPr>
          <w:rFonts w:ascii="Arial" w:hAnsi="Arial" w:cs="Arial"/>
          <w:i/>
          <w:iCs/>
          <w:color w:val="000000"/>
          <w:sz w:val="20"/>
        </w:rPr>
        <w:t>Milky v The King</w:t>
      </w:r>
      <w:r>
        <w:rPr>
          <w:rFonts w:ascii="Arial" w:hAnsi="Arial" w:cs="Arial"/>
          <w:color w:val="000000"/>
          <w:sz w:val="20"/>
        </w:rPr>
        <w:t xml:space="preserve"> [2024] VSCA 136 the Court of Appeal </w:t>
      </w:r>
      <w:r w:rsidR="00A2179B">
        <w:rPr>
          <w:rFonts w:ascii="Arial" w:hAnsi="Arial" w:cs="Arial"/>
          <w:color w:val="000000"/>
          <w:sz w:val="20"/>
        </w:rPr>
        <w:t xml:space="preserve">discussed at length the test referred to by the High Court in </w:t>
      </w:r>
      <w:r w:rsidR="00A2179B" w:rsidRPr="004F1D2B">
        <w:rPr>
          <w:rFonts w:ascii="Arial" w:hAnsi="Arial" w:cs="Arial"/>
          <w:i/>
          <w:color w:val="000000"/>
          <w:sz w:val="20"/>
        </w:rPr>
        <w:t>Dyers v The Queen</w:t>
      </w:r>
      <w:r w:rsidR="00A2179B" w:rsidRPr="00A2179B">
        <w:rPr>
          <w:rFonts w:ascii="Arial" w:hAnsi="Arial" w:cs="Arial"/>
          <w:iCs/>
          <w:color w:val="000000"/>
          <w:sz w:val="20"/>
        </w:rPr>
        <w:t xml:space="preserve"> and held that </w:t>
      </w:r>
      <w:r w:rsidR="00A2179B">
        <w:rPr>
          <w:rFonts w:ascii="Arial" w:hAnsi="Arial" w:cs="Arial"/>
          <w:iCs/>
          <w:color w:val="000000"/>
          <w:sz w:val="20"/>
        </w:rPr>
        <w:t xml:space="preserve">the trial judge was obliged, but failed, to give a direction under s.43 of the </w:t>
      </w:r>
      <w:r w:rsidR="00A2179B" w:rsidRPr="00A2179B">
        <w:rPr>
          <w:rFonts w:ascii="Arial" w:hAnsi="Arial" w:cs="Arial"/>
          <w:i/>
          <w:color w:val="000000"/>
          <w:sz w:val="20"/>
        </w:rPr>
        <w:t>Jury Directions Act 2015</w:t>
      </w:r>
      <w:r w:rsidR="00A2179B">
        <w:rPr>
          <w:rFonts w:ascii="Arial" w:hAnsi="Arial" w:cs="Arial"/>
          <w:iCs/>
          <w:color w:val="000000"/>
          <w:sz w:val="20"/>
        </w:rPr>
        <w:t xml:space="preserve">. </w:t>
      </w:r>
      <w:r w:rsidR="008F7DF6">
        <w:rPr>
          <w:rFonts w:ascii="Arial" w:hAnsi="Arial" w:cs="Arial"/>
          <w:color w:val="000000"/>
          <w:sz w:val="20"/>
        </w:rPr>
        <w:t xml:space="preserve">At [70]-[76] </w:t>
      </w:r>
      <w:r>
        <w:rPr>
          <w:rFonts w:ascii="Arial" w:hAnsi="Arial" w:cs="Arial"/>
          <w:color w:val="000000"/>
          <w:sz w:val="20"/>
        </w:rPr>
        <w:t>Emerton P, Priest &amp; Kaye JJA</w:t>
      </w:r>
      <w:r w:rsidR="008F7DF6">
        <w:rPr>
          <w:rFonts w:ascii="Arial" w:hAnsi="Arial" w:cs="Arial"/>
          <w:color w:val="000000"/>
          <w:sz w:val="20"/>
        </w:rPr>
        <w:t xml:space="preserve"> said:</w:t>
      </w:r>
    </w:p>
    <w:p w14:paraId="2DBEC514" w14:textId="0351D1BF" w:rsidR="00BE3CDF" w:rsidRDefault="00BE3CDF" w:rsidP="00A2179B">
      <w:pPr>
        <w:pStyle w:val="Quote1"/>
        <w:widowControl/>
        <w:spacing w:before="60" w:after="0" w:line="240" w:lineRule="auto"/>
        <w:ind w:left="567" w:right="567" w:firstLine="0"/>
        <w:rPr>
          <w:rFonts w:ascii="Arial" w:hAnsi="Arial" w:cs="Arial"/>
          <w:sz w:val="20"/>
        </w:rPr>
      </w:pPr>
      <w:r>
        <w:rPr>
          <w:rFonts w:ascii="Arial" w:hAnsi="Arial" w:cs="Arial"/>
          <w:sz w:val="20"/>
        </w:rPr>
        <w:t>[</w:t>
      </w:r>
      <w:r w:rsidRPr="00BE3CDF">
        <w:rPr>
          <w:rFonts w:ascii="Arial" w:hAnsi="Arial" w:cs="Arial"/>
          <w:sz w:val="20"/>
        </w:rPr>
        <w:t>70</w:t>
      </w:r>
      <w:r>
        <w:rPr>
          <w:rFonts w:ascii="Arial" w:hAnsi="Arial" w:cs="Arial"/>
          <w:sz w:val="20"/>
        </w:rPr>
        <w:t>]</w:t>
      </w:r>
      <w:r w:rsidRPr="00BE3CDF">
        <w:rPr>
          <w:rFonts w:ascii="Arial" w:hAnsi="Arial" w:cs="Arial"/>
          <w:sz w:val="20"/>
        </w:rPr>
        <w:t xml:space="preserve"> </w:t>
      </w:r>
      <w:r>
        <w:rPr>
          <w:rFonts w:ascii="Arial" w:hAnsi="Arial" w:cs="Arial"/>
          <w:sz w:val="20"/>
        </w:rPr>
        <w:t>“</w:t>
      </w:r>
      <w:r w:rsidRPr="00BE3CDF">
        <w:rPr>
          <w:rFonts w:ascii="Arial" w:hAnsi="Arial" w:cs="Arial"/>
          <w:sz w:val="20"/>
        </w:rPr>
        <w:t xml:space="preserve">The principle, which is ordinarily referred to as the ‘rule in </w:t>
      </w:r>
      <w:r w:rsidRPr="00BE3CDF">
        <w:rPr>
          <w:rFonts w:ascii="Arial" w:hAnsi="Arial" w:cs="Arial"/>
          <w:i/>
          <w:iCs/>
          <w:sz w:val="20"/>
        </w:rPr>
        <w:t>Jones v Dunkel</w:t>
      </w:r>
      <w:r w:rsidRPr="00BE3CDF">
        <w:rPr>
          <w:rFonts w:ascii="Arial" w:hAnsi="Arial" w:cs="Arial"/>
          <w:sz w:val="20"/>
        </w:rPr>
        <w:t>’, may be stated in short terms. In essence, an unexplained failure by a party to call a witness, or to tender evidence, may, in appropriate circumstances, lead to an inference that the witness, who is not called to give evidence, or the evidence that was not adduced, would not have assisted that party’s case</w:t>
      </w:r>
      <w:r>
        <w:rPr>
          <w:rFonts w:ascii="Arial" w:hAnsi="Arial" w:cs="Arial"/>
          <w:sz w:val="20"/>
        </w:rPr>
        <w:t xml:space="preserve">: </w:t>
      </w:r>
      <w:r w:rsidRPr="00BE3CDF">
        <w:rPr>
          <w:rFonts w:ascii="Arial" w:hAnsi="Arial" w:cs="Arial"/>
          <w:i/>
          <w:iCs/>
          <w:sz w:val="20"/>
        </w:rPr>
        <w:t>Jones v Dunkel</w:t>
      </w:r>
      <w:r w:rsidRPr="00BE3CDF">
        <w:rPr>
          <w:rFonts w:ascii="Arial" w:hAnsi="Arial" w:cs="Arial"/>
          <w:sz w:val="20"/>
        </w:rPr>
        <w:t xml:space="preserve"> (1959) 101 CLR 298, 308, 312 </w:t>
      </w:r>
      <w:r>
        <w:rPr>
          <w:rFonts w:ascii="Arial" w:hAnsi="Arial" w:cs="Arial"/>
          <w:sz w:val="20"/>
        </w:rPr>
        <w:t>&amp;</w:t>
      </w:r>
      <w:r w:rsidRPr="00BE3CDF">
        <w:rPr>
          <w:rFonts w:ascii="Arial" w:hAnsi="Arial" w:cs="Arial"/>
          <w:sz w:val="20"/>
        </w:rPr>
        <w:t xml:space="preserve"> 320–321; </w:t>
      </w:r>
      <w:r w:rsidRPr="00BE3CDF">
        <w:rPr>
          <w:rFonts w:ascii="Arial" w:hAnsi="Arial" w:cs="Arial"/>
          <w:i/>
          <w:iCs/>
          <w:sz w:val="20"/>
        </w:rPr>
        <w:t>O’Donnell v Reichard</w:t>
      </w:r>
      <w:r w:rsidRPr="00BE3CDF">
        <w:rPr>
          <w:rFonts w:ascii="Arial" w:hAnsi="Arial" w:cs="Arial"/>
          <w:sz w:val="20"/>
        </w:rPr>
        <w:t xml:space="preserve"> [1975] VR 916, 929; </w:t>
      </w:r>
      <w:r w:rsidRPr="00BE3CDF">
        <w:rPr>
          <w:rFonts w:ascii="Arial" w:hAnsi="Arial" w:cs="Arial"/>
          <w:i/>
          <w:iCs/>
          <w:sz w:val="20"/>
        </w:rPr>
        <w:t>Brandi v Mingot</w:t>
      </w:r>
      <w:r w:rsidRPr="00BE3CDF">
        <w:rPr>
          <w:rFonts w:ascii="Arial" w:hAnsi="Arial" w:cs="Arial"/>
          <w:sz w:val="20"/>
        </w:rPr>
        <w:t xml:space="preserve"> (1976) 12 ALR 551, 559–60.</w:t>
      </w:r>
    </w:p>
    <w:p w14:paraId="04FAF308" w14:textId="1BD8E087" w:rsidR="00BE3CDF" w:rsidRDefault="00F00025" w:rsidP="00F00025">
      <w:pPr>
        <w:pStyle w:val="Quote1"/>
        <w:widowControl/>
        <w:spacing w:before="60" w:after="0" w:line="240" w:lineRule="auto"/>
        <w:ind w:left="567" w:right="567" w:firstLine="0"/>
        <w:rPr>
          <w:rFonts w:ascii="Arial" w:hAnsi="Arial" w:cs="Arial"/>
          <w:sz w:val="20"/>
        </w:rPr>
      </w:pPr>
      <w:r>
        <w:rPr>
          <w:rFonts w:ascii="Arial" w:hAnsi="Arial" w:cs="Arial"/>
          <w:color w:val="000000"/>
          <w:sz w:val="20"/>
        </w:rPr>
        <w:t xml:space="preserve">[71] </w:t>
      </w:r>
      <w:r w:rsidRPr="00BE3CDF">
        <w:rPr>
          <w:rFonts w:ascii="Arial" w:hAnsi="Arial" w:cs="Arial"/>
          <w:sz w:val="20"/>
        </w:rPr>
        <w:t xml:space="preserve">In </w:t>
      </w:r>
      <w:r w:rsidRPr="008F7DF6">
        <w:rPr>
          <w:rFonts w:ascii="Arial" w:hAnsi="Arial" w:cs="Arial"/>
          <w:i/>
          <w:iCs/>
          <w:sz w:val="20"/>
        </w:rPr>
        <w:t>Dyers v The Queen</w:t>
      </w:r>
      <w:r w:rsidR="008F7DF6">
        <w:rPr>
          <w:rFonts w:ascii="Arial" w:hAnsi="Arial" w:cs="Arial"/>
          <w:i/>
          <w:iCs/>
          <w:sz w:val="20"/>
        </w:rPr>
        <w:t xml:space="preserve"> </w:t>
      </w:r>
      <w:r w:rsidR="008F7DF6" w:rsidRPr="00BE3CDF">
        <w:rPr>
          <w:rFonts w:ascii="Arial" w:hAnsi="Arial" w:cs="Arial"/>
          <w:sz w:val="20"/>
        </w:rPr>
        <w:t>(2002) 210 CLR 285</w:t>
      </w:r>
      <w:r w:rsidRPr="00BE3CDF">
        <w:rPr>
          <w:rFonts w:ascii="Arial" w:hAnsi="Arial" w:cs="Arial"/>
          <w:sz w:val="20"/>
        </w:rPr>
        <w:t xml:space="preserve">, the High Court (McHugh J dissenting) held </w:t>
      </w:r>
      <w:r w:rsidR="00A2179B">
        <w:rPr>
          <w:rFonts w:ascii="Arial" w:hAnsi="Arial" w:cs="Arial"/>
          <w:sz w:val="20"/>
        </w:rPr>
        <w:t xml:space="preserve">at [6], [52] &amp; [121]-[123] </w:t>
      </w:r>
      <w:r w:rsidRPr="00BE3CDF">
        <w:rPr>
          <w:rFonts w:ascii="Arial" w:hAnsi="Arial" w:cs="Arial"/>
          <w:sz w:val="20"/>
        </w:rPr>
        <w:t xml:space="preserve">that, save as in exceptional circumstances, the principle in </w:t>
      </w:r>
      <w:r w:rsidRPr="008F7DF6">
        <w:rPr>
          <w:rFonts w:ascii="Arial" w:hAnsi="Arial" w:cs="Arial"/>
          <w:i/>
          <w:iCs/>
          <w:sz w:val="20"/>
        </w:rPr>
        <w:t>Jones v Dunkel</w:t>
      </w:r>
      <w:r w:rsidRPr="00BE3CDF">
        <w:rPr>
          <w:rFonts w:ascii="Arial" w:hAnsi="Arial" w:cs="Arial"/>
          <w:sz w:val="20"/>
        </w:rPr>
        <w:t xml:space="preserve"> does not apply to an accused person, so that, ordinarily, a trial judge should not give such a direction to the jury in a case in which the accused might be expected to give evidence personally or call a particular witness to give evidence in support of the defence.</w:t>
      </w:r>
    </w:p>
    <w:p w14:paraId="573FBA85" w14:textId="138F7239" w:rsidR="00014336"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[72] </w:t>
      </w:r>
      <w:r w:rsidRPr="00BE3CDF">
        <w:rPr>
          <w:rFonts w:ascii="Arial" w:hAnsi="Arial" w:cs="Arial"/>
          <w:sz w:val="20"/>
        </w:rPr>
        <w:t>Gaudron and Hayne JJ (with whom Kirby J agreed) also considered that, as a general rule, a trial judge should not direct a jury that the prosecution would be expected to have called persons to give evidence other than those it did call as witnesses. Their Honours stated</w:t>
      </w:r>
      <w:r w:rsidR="00A2179B">
        <w:rPr>
          <w:rFonts w:ascii="Arial" w:hAnsi="Arial" w:cs="Arial"/>
          <w:sz w:val="20"/>
        </w:rPr>
        <w:t xml:space="preserve"> at [6]</w:t>
      </w:r>
      <w:r w:rsidRPr="00BE3CDF">
        <w:rPr>
          <w:rFonts w:ascii="Arial" w:hAnsi="Arial" w:cs="Arial"/>
          <w:sz w:val="20"/>
        </w:rPr>
        <w:t>:</w:t>
      </w:r>
    </w:p>
    <w:p w14:paraId="24173533" w14:textId="6C42484B" w:rsidR="00F00025" w:rsidRPr="00014336" w:rsidRDefault="00014336" w:rsidP="00014336">
      <w:pPr>
        <w:pStyle w:val="Quote1"/>
        <w:widowControl/>
        <w:spacing w:before="60" w:after="0" w:line="240" w:lineRule="auto"/>
        <w:ind w:left="1021" w:right="1021" w:firstLine="0"/>
        <w:rPr>
          <w:rFonts w:ascii="Arial" w:hAnsi="Arial" w:cs="Arial"/>
          <w:sz w:val="18"/>
          <w:szCs w:val="18"/>
        </w:rPr>
      </w:pPr>
      <w:r>
        <w:rPr>
          <w:rFonts w:ascii="Arial" w:hAnsi="Arial" w:cs="Arial"/>
          <w:sz w:val="18"/>
          <w:szCs w:val="18"/>
        </w:rPr>
        <w:t>‘</w:t>
      </w:r>
      <w:r w:rsidR="00F00025" w:rsidRPr="00014336">
        <w:rPr>
          <w:rFonts w:ascii="Arial" w:hAnsi="Arial" w:cs="Arial"/>
          <w:sz w:val="18"/>
          <w:szCs w:val="18"/>
        </w:rPr>
        <w:t>Further, as a general rule, a trial judge should not direct the jury in a criminal trial that the prosecution would be expected to have called persons to give evidence other than those it did call as witnesses. It follows that, as a general rule, the judge should not direct the jury that they are entitled to infer that the evidence of those who were not called would not have assisted the prosecution. A direction not to speculate about what the person might have said should be given. Again, exceptions to these general rules will be rare and will arise only in cases where it is shown that the prosecution's failure to call the person in question was in breach of the prosecution's duty to call all material witnesses.</w:t>
      </w:r>
      <w:r>
        <w:rPr>
          <w:rFonts w:ascii="Arial" w:hAnsi="Arial" w:cs="Arial"/>
          <w:sz w:val="18"/>
          <w:szCs w:val="18"/>
        </w:rPr>
        <w:t>’</w:t>
      </w:r>
    </w:p>
    <w:p w14:paraId="35CD2B4F" w14:textId="00314C08" w:rsidR="00014336"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[73] </w:t>
      </w:r>
      <w:r w:rsidRPr="00BE3CDF">
        <w:rPr>
          <w:rFonts w:ascii="Arial" w:hAnsi="Arial" w:cs="Arial"/>
          <w:sz w:val="20"/>
        </w:rPr>
        <w:t xml:space="preserve">Gaudron and Hayne JJ elaborated on that point </w:t>
      </w:r>
      <w:r w:rsidR="00A2179B">
        <w:rPr>
          <w:rFonts w:ascii="Arial" w:hAnsi="Arial" w:cs="Arial"/>
          <w:sz w:val="20"/>
        </w:rPr>
        <w:t xml:space="preserve">at [17] </w:t>
      </w:r>
      <w:r w:rsidRPr="00BE3CDF">
        <w:rPr>
          <w:rFonts w:ascii="Arial" w:hAnsi="Arial" w:cs="Arial"/>
          <w:sz w:val="20"/>
        </w:rPr>
        <w:t>as follows:</w:t>
      </w:r>
    </w:p>
    <w:p w14:paraId="57A371A3" w14:textId="046A135D" w:rsidR="00F00025" w:rsidRPr="00014336" w:rsidRDefault="00014336" w:rsidP="00014336">
      <w:pPr>
        <w:pStyle w:val="Quote1"/>
        <w:widowControl/>
        <w:spacing w:before="60" w:after="0" w:line="240" w:lineRule="auto"/>
        <w:ind w:left="1021" w:right="1021" w:firstLine="0"/>
        <w:rPr>
          <w:rFonts w:ascii="Arial" w:hAnsi="Arial" w:cs="Arial"/>
          <w:sz w:val="18"/>
          <w:szCs w:val="18"/>
        </w:rPr>
      </w:pPr>
      <w:r w:rsidRPr="00014336">
        <w:rPr>
          <w:rFonts w:ascii="Arial" w:hAnsi="Arial" w:cs="Arial"/>
          <w:sz w:val="18"/>
          <w:szCs w:val="18"/>
        </w:rPr>
        <w:t>‘</w:t>
      </w:r>
      <w:r w:rsidR="00F00025" w:rsidRPr="00014336">
        <w:rPr>
          <w:rFonts w:ascii="Arial" w:hAnsi="Arial" w:cs="Arial"/>
          <w:sz w:val="18"/>
          <w:szCs w:val="18"/>
        </w:rPr>
        <w:t xml:space="preserve">As was held in </w:t>
      </w:r>
      <w:r w:rsidR="00F00025" w:rsidRPr="00A2179B">
        <w:rPr>
          <w:rFonts w:ascii="Arial" w:hAnsi="Arial" w:cs="Arial"/>
          <w:i/>
          <w:iCs/>
          <w:sz w:val="18"/>
          <w:szCs w:val="18"/>
        </w:rPr>
        <w:t>R v Apostilides</w:t>
      </w:r>
      <w:r w:rsidR="00F00025" w:rsidRPr="00014336">
        <w:rPr>
          <w:rFonts w:ascii="Arial" w:hAnsi="Arial" w:cs="Arial"/>
          <w:sz w:val="18"/>
          <w:szCs w:val="18"/>
        </w:rPr>
        <w:t xml:space="preserve">, it is for the prosecution to decide what evidence it will adduce at trial. The trial judge may, but is not obliged to, question the prosecution in order to discover its reasons for declining to call a particular person, but the trial judge is not called upon to adjudicate the sufficiency of the reasons that the prosecution offers. Only if the trial judge has made such an inquiry and has been given answers considered by the judge to be unsatisfactory, would it seem that there would be any sufficient basis for a judge to tell the jury that it would have been reasonable to expect that the prosecution would call an identified person. There would then be real questions about whether, and how, the jury should be given the information put before the judge and then a further question about what directions the jury should be given in deciding for itself whether the prosecution could reasonably have been expected to call the person. Only when those questions had been answered would further directions of the kind contemplated by </w:t>
      </w:r>
      <w:r w:rsidR="00F00025" w:rsidRPr="00A2179B">
        <w:rPr>
          <w:rFonts w:ascii="Arial" w:hAnsi="Arial" w:cs="Arial"/>
          <w:i/>
          <w:iCs/>
          <w:sz w:val="18"/>
          <w:szCs w:val="18"/>
        </w:rPr>
        <w:t>Jones v Dunkel</w:t>
      </w:r>
      <w:r w:rsidR="00F00025" w:rsidRPr="00014336">
        <w:rPr>
          <w:rFonts w:ascii="Arial" w:hAnsi="Arial" w:cs="Arial"/>
          <w:sz w:val="18"/>
          <w:szCs w:val="18"/>
        </w:rPr>
        <w:t xml:space="preserve"> have been open and they are not questions which arise in the present matter. Nor is it necessary to consider whether some direction of this kind can be given when a party, who has called a witness, does not ask questions of that witness about a particular topic.</w:t>
      </w:r>
      <w:r w:rsidR="00A2179B">
        <w:rPr>
          <w:rFonts w:ascii="Arial" w:hAnsi="Arial" w:cs="Arial"/>
          <w:sz w:val="18"/>
          <w:szCs w:val="18"/>
        </w:rPr>
        <w:t>’</w:t>
      </w:r>
    </w:p>
    <w:p w14:paraId="0E20754F" w14:textId="6D5703FB" w:rsidR="00F00025"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[74] </w:t>
      </w:r>
      <w:r w:rsidRPr="00BE3CDF">
        <w:rPr>
          <w:rFonts w:ascii="Arial" w:hAnsi="Arial" w:cs="Arial"/>
          <w:sz w:val="20"/>
        </w:rPr>
        <w:t xml:space="preserve">As was thus noted in </w:t>
      </w:r>
      <w:r w:rsidRPr="00014336">
        <w:rPr>
          <w:rFonts w:ascii="Arial" w:hAnsi="Arial" w:cs="Arial"/>
          <w:i/>
          <w:iCs/>
          <w:sz w:val="20"/>
        </w:rPr>
        <w:t>Dyers</w:t>
      </w:r>
      <w:r w:rsidRPr="00BE3CDF">
        <w:rPr>
          <w:rFonts w:ascii="Arial" w:hAnsi="Arial" w:cs="Arial"/>
          <w:sz w:val="20"/>
        </w:rPr>
        <w:t xml:space="preserve">, the critical question, in a case in which the prosecution has failed to call a particular person to give evidence, is whether that failure constitutes a breach of the prosecution’s duty to call all material witnesses. It is a fundamental principle of our criminal justice system that the prosecution, in a criminal trial, must act with fairness, </w:t>
      </w:r>
      <w:r w:rsidRPr="00BE3CDF">
        <w:rPr>
          <w:rFonts w:ascii="Arial" w:hAnsi="Arial" w:cs="Arial"/>
          <w:sz w:val="20"/>
        </w:rPr>
        <w:lastRenderedPageBreak/>
        <w:t>with the objective of establishing the whole truth and of ensuring that an accused person is accorded a fair trial</w:t>
      </w:r>
      <w:r w:rsidR="00B70ED0">
        <w:rPr>
          <w:rFonts w:ascii="Arial" w:hAnsi="Arial" w:cs="Arial"/>
          <w:sz w:val="20"/>
        </w:rPr>
        <w:t xml:space="preserve">: </w:t>
      </w:r>
      <w:r w:rsidR="00B70ED0" w:rsidRPr="00B70ED0">
        <w:rPr>
          <w:rFonts w:ascii="Arial" w:hAnsi="Arial" w:cs="Arial"/>
          <w:i/>
          <w:iCs/>
          <w:sz w:val="20"/>
        </w:rPr>
        <w:t>Whitehorn v The Queen</w:t>
      </w:r>
      <w:r w:rsidR="00B70ED0" w:rsidRPr="00BE3CDF">
        <w:rPr>
          <w:rFonts w:ascii="Arial" w:hAnsi="Arial" w:cs="Arial"/>
          <w:sz w:val="20"/>
        </w:rPr>
        <w:t xml:space="preserve"> (1983) 152 CLR 657, 663–</w:t>
      </w:r>
      <w:proofErr w:type="gramStart"/>
      <w:r w:rsidR="00B70ED0" w:rsidRPr="00BE3CDF">
        <w:rPr>
          <w:rFonts w:ascii="Arial" w:hAnsi="Arial" w:cs="Arial"/>
          <w:sz w:val="20"/>
        </w:rPr>
        <w:t xml:space="preserve">4 </w:t>
      </w:r>
      <w:r w:rsidR="00B70ED0">
        <w:rPr>
          <w:rFonts w:ascii="Arial" w:hAnsi="Arial" w:cs="Arial"/>
          <w:sz w:val="20"/>
        </w:rPr>
        <w:t>.</w:t>
      </w:r>
      <w:proofErr w:type="gramEnd"/>
      <w:r w:rsidRPr="00BE3CDF">
        <w:rPr>
          <w:rFonts w:ascii="Arial" w:hAnsi="Arial" w:cs="Arial"/>
          <w:sz w:val="20"/>
        </w:rPr>
        <w:t xml:space="preserve"> In accordance with that duty, the prosecution is required to call all available witnesses, whether they are favourable to the prosecution case or otherwise, unless there is good reason not to do so</w:t>
      </w:r>
      <w:r w:rsidR="00B70ED0">
        <w:rPr>
          <w:rFonts w:ascii="Arial" w:hAnsi="Arial" w:cs="Arial"/>
          <w:sz w:val="20"/>
        </w:rPr>
        <w:t xml:space="preserve">: </w:t>
      </w:r>
      <w:r w:rsidR="00B70ED0" w:rsidRPr="00B70ED0">
        <w:rPr>
          <w:rFonts w:ascii="Arial" w:hAnsi="Arial" w:cs="Arial"/>
          <w:i/>
          <w:iCs/>
          <w:sz w:val="20"/>
        </w:rPr>
        <w:t>Whitehorne v The Queen</w:t>
      </w:r>
      <w:r w:rsidR="00B70ED0">
        <w:rPr>
          <w:rFonts w:ascii="Arial" w:hAnsi="Arial" w:cs="Arial"/>
          <w:sz w:val="20"/>
        </w:rPr>
        <w:t xml:space="preserve"> at 674; </w:t>
      </w:r>
      <w:r w:rsidR="00B70ED0" w:rsidRPr="00B70ED0">
        <w:rPr>
          <w:rFonts w:ascii="Arial" w:hAnsi="Arial" w:cs="Arial"/>
          <w:i/>
          <w:iCs/>
          <w:sz w:val="20"/>
        </w:rPr>
        <w:t>Dyers</w:t>
      </w:r>
      <w:r w:rsidR="00B70ED0">
        <w:rPr>
          <w:rFonts w:ascii="Arial" w:hAnsi="Arial" w:cs="Arial"/>
          <w:sz w:val="20"/>
        </w:rPr>
        <w:t xml:space="preserve"> at 292-293</w:t>
      </w:r>
      <w:r w:rsidRPr="00BE3CDF">
        <w:rPr>
          <w:rFonts w:ascii="Arial" w:hAnsi="Arial" w:cs="Arial"/>
          <w:sz w:val="20"/>
        </w:rPr>
        <w:t>.</w:t>
      </w:r>
    </w:p>
    <w:p w14:paraId="52FBEFA5" w14:textId="77777777" w:rsidR="00B70ED0"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[75] </w:t>
      </w:r>
      <w:r w:rsidR="008F7DF6" w:rsidRPr="00BE3CDF">
        <w:rPr>
          <w:rFonts w:ascii="Arial" w:hAnsi="Arial" w:cs="Arial"/>
          <w:sz w:val="20"/>
        </w:rPr>
        <w:t>Section 43 of the JDA makes provision for a case in which the prosecution, without satisfactory explanation, fails to call or question a particular witness in circumstances in which the judge is satisfied that the prosecution was reasonably expected to call or question that witness. Section 43 provides as follows:</w:t>
      </w:r>
    </w:p>
    <w:p w14:paraId="0F242BF2" w14:textId="77777777" w:rsidR="00B70ED0" w:rsidRDefault="008F7DF6" w:rsidP="00B70ED0">
      <w:pPr>
        <w:pStyle w:val="Quote1"/>
        <w:widowControl/>
        <w:spacing w:before="60" w:after="0" w:line="240" w:lineRule="auto"/>
        <w:ind w:left="567" w:right="567" w:firstLine="0"/>
        <w:jc w:val="center"/>
        <w:rPr>
          <w:rFonts w:ascii="Arial" w:hAnsi="Arial" w:cs="Arial"/>
          <w:sz w:val="20"/>
        </w:rPr>
      </w:pPr>
      <w:r w:rsidRPr="00B70ED0">
        <w:rPr>
          <w:rFonts w:ascii="Arial" w:hAnsi="Arial" w:cs="Arial"/>
          <w:b/>
          <w:bCs/>
          <w:sz w:val="20"/>
        </w:rPr>
        <w:t>Direction on prosecution not calling or questioning witness</w:t>
      </w:r>
    </w:p>
    <w:p w14:paraId="6F3F6DBD" w14:textId="4B1016F4" w:rsidR="00B70ED0" w:rsidRDefault="008F7DF6">
      <w:pPr>
        <w:pStyle w:val="Quote1"/>
        <w:widowControl/>
        <w:numPr>
          <w:ilvl w:val="0"/>
          <w:numId w:val="127"/>
        </w:numPr>
        <w:spacing w:before="60" w:after="0" w:line="240" w:lineRule="auto"/>
        <w:ind w:right="567"/>
        <w:rPr>
          <w:rFonts w:ascii="Arial" w:hAnsi="Arial" w:cs="Arial"/>
          <w:sz w:val="20"/>
        </w:rPr>
      </w:pPr>
      <w:r w:rsidRPr="00BE3CDF">
        <w:rPr>
          <w:rFonts w:ascii="Arial" w:hAnsi="Arial" w:cs="Arial"/>
          <w:sz w:val="20"/>
        </w:rPr>
        <w:t>If the prosecution does not call or question a particular witness, defence counsel may request under section 12 that the trial judge direct the jury on that fact.</w:t>
      </w:r>
    </w:p>
    <w:p w14:paraId="6D3FFE6A" w14:textId="10DE5312" w:rsidR="00B70ED0" w:rsidRDefault="00B70ED0">
      <w:pPr>
        <w:pStyle w:val="Quote1"/>
        <w:widowControl/>
        <w:numPr>
          <w:ilvl w:val="0"/>
          <w:numId w:val="127"/>
        </w:numPr>
        <w:spacing w:before="60" w:after="0" w:line="240" w:lineRule="auto"/>
        <w:ind w:right="567"/>
        <w:rPr>
          <w:rFonts w:ascii="Arial" w:hAnsi="Arial" w:cs="Arial"/>
          <w:sz w:val="20"/>
        </w:rPr>
      </w:pPr>
      <w:r w:rsidRPr="00BE3CDF">
        <w:rPr>
          <w:rFonts w:ascii="Arial" w:hAnsi="Arial" w:cs="Arial"/>
          <w:sz w:val="20"/>
        </w:rPr>
        <w:t>The trial judge may direct the jury as referred to in subsection (1) only if the trial judge is satisfied that the prosecution—</w:t>
      </w:r>
    </w:p>
    <w:p w14:paraId="4A5CA357" w14:textId="77777777" w:rsidR="00B70ED0" w:rsidRDefault="008F7DF6" w:rsidP="00B70ED0">
      <w:pPr>
        <w:pStyle w:val="Quote1"/>
        <w:widowControl/>
        <w:spacing w:before="60" w:after="0" w:line="240" w:lineRule="auto"/>
        <w:ind w:left="1281" w:right="567" w:hanging="357"/>
        <w:rPr>
          <w:rFonts w:ascii="Arial" w:hAnsi="Arial" w:cs="Arial"/>
          <w:sz w:val="20"/>
        </w:rPr>
      </w:pPr>
      <w:r w:rsidRPr="00BE3CDF">
        <w:rPr>
          <w:rFonts w:ascii="Arial" w:hAnsi="Arial" w:cs="Arial"/>
          <w:sz w:val="20"/>
        </w:rPr>
        <w:t>(a)</w:t>
      </w:r>
      <w:r w:rsidR="00B70ED0">
        <w:rPr>
          <w:rFonts w:ascii="Arial" w:hAnsi="Arial" w:cs="Arial"/>
          <w:sz w:val="20"/>
        </w:rPr>
        <w:tab/>
      </w:r>
      <w:r w:rsidRPr="00BE3CDF">
        <w:rPr>
          <w:rFonts w:ascii="Arial" w:hAnsi="Arial" w:cs="Arial"/>
          <w:sz w:val="20"/>
        </w:rPr>
        <w:t>was reasonably expected to call or question the witness; and</w:t>
      </w:r>
    </w:p>
    <w:p w14:paraId="49E35DD2" w14:textId="77777777" w:rsidR="00B70ED0" w:rsidRDefault="008F7DF6" w:rsidP="00B70ED0">
      <w:pPr>
        <w:pStyle w:val="Quote1"/>
        <w:widowControl/>
        <w:spacing w:before="60" w:after="0" w:line="240" w:lineRule="auto"/>
        <w:ind w:left="1281" w:right="567" w:hanging="357"/>
        <w:rPr>
          <w:rFonts w:ascii="Arial" w:hAnsi="Arial" w:cs="Arial"/>
          <w:sz w:val="20"/>
        </w:rPr>
      </w:pPr>
      <w:r w:rsidRPr="00BE3CDF">
        <w:rPr>
          <w:rFonts w:ascii="Arial" w:hAnsi="Arial" w:cs="Arial"/>
          <w:sz w:val="20"/>
        </w:rPr>
        <w:t>(b)</w:t>
      </w:r>
      <w:r w:rsidR="00B70ED0">
        <w:rPr>
          <w:rFonts w:ascii="Arial" w:hAnsi="Arial" w:cs="Arial"/>
          <w:sz w:val="20"/>
        </w:rPr>
        <w:tab/>
      </w:r>
      <w:r w:rsidRPr="00BE3CDF">
        <w:rPr>
          <w:rFonts w:ascii="Arial" w:hAnsi="Arial" w:cs="Arial"/>
          <w:sz w:val="20"/>
        </w:rPr>
        <w:t>has not satisfactorily explained why it did not call or question the witness.</w:t>
      </w:r>
    </w:p>
    <w:p w14:paraId="0A96151C" w14:textId="77777777" w:rsidR="00B70ED0" w:rsidRDefault="008F7DF6">
      <w:pPr>
        <w:pStyle w:val="Quote1"/>
        <w:widowControl/>
        <w:numPr>
          <w:ilvl w:val="0"/>
          <w:numId w:val="127"/>
        </w:numPr>
        <w:spacing w:before="60" w:after="0" w:line="240" w:lineRule="auto"/>
        <w:ind w:right="567"/>
        <w:rPr>
          <w:rFonts w:ascii="Arial" w:hAnsi="Arial" w:cs="Arial"/>
          <w:sz w:val="20"/>
        </w:rPr>
      </w:pPr>
      <w:r w:rsidRPr="00BE3CDF">
        <w:rPr>
          <w:rFonts w:ascii="Arial" w:hAnsi="Arial" w:cs="Arial"/>
          <w:sz w:val="20"/>
        </w:rPr>
        <w:t>In giving a direction referred to in subsection (1), the trial judge may inform the jury that it may conclude that the witness would not have assisted the prosecution’s case.</w:t>
      </w:r>
    </w:p>
    <w:p w14:paraId="017E00B9" w14:textId="29DF04A8" w:rsidR="00B70ED0" w:rsidRDefault="008F7DF6" w:rsidP="00B70ED0">
      <w:pPr>
        <w:pStyle w:val="Quote1"/>
        <w:widowControl/>
        <w:spacing w:before="60" w:after="0" w:line="240" w:lineRule="auto"/>
        <w:ind w:left="567" w:right="567" w:firstLine="0"/>
        <w:rPr>
          <w:rFonts w:ascii="Arial" w:hAnsi="Arial" w:cs="Arial"/>
          <w:sz w:val="20"/>
        </w:rPr>
      </w:pPr>
      <w:r w:rsidRPr="00B70ED0">
        <w:rPr>
          <w:rFonts w:ascii="Arial" w:hAnsi="Arial" w:cs="Arial"/>
          <w:b/>
          <w:bCs/>
          <w:sz w:val="20"/>
        </w:rPr>
        <w:t>Note</w:t>
      </w:r>
      <w:r w:rsidRPr="00BE3CDF">
        <w:rPr>
          <w:rFonts w:ascii="Arial" w:hAnsi="Arial" w:cs="Arial"/>
          <w:sz w:val="20"/>
        </w:rPr>
        <w:t xml:space="preserve"> Section 14 requires the trial judge to give this direction, if requested, unless there are good reasons for not doing so. Section 43(2) qualifies the threshold for giving a requested direction. Section 16 requires the trial judge to give a direction if the trial judge considers that there are substantial and compelling reasons for doing so.</w:t>
      </w:r>
    </w:p>
    <w:p w14:paraId="1854B26C" w14:textId="31C4212E" w:rsidR="008F7DF6" w:rsidRDefault="008F7DF6" w:rsidP="00B70ED0">
      <w:pPr>
        <w:pStyle w:val="Quote1"/>
        <w:widowControl/>
        <w:spacing w:before="60" w:after="0" w:line="240" w:lineRule="auto"/>
        <w:ind w:left="567" w:right="567" w:firstLine="0"/>
        <w:rPr>
          <w:rFonts w:ascii="Arial" w:hAnsi="Arial" w:cs="Arial"/>
          <w:color w:val="000000"/>
          <w:sz w:val="20"/>
        </w:rPr>
      </w:pPr>
      <w:r>
        <w:rPr>
          <w:rFonts w:ascii="Arial" w:hAnsi="Arial" w:cs="Arial"/>
          <w:sz w:val="20"/>
        </w:rPr>
        <w:t xml:space="preserve">[76] </w:t>
      </w:r>
      <w:r w:rsidRPr="00BE3CDF">
        <w:rPr>
          <w:rFonts w:ascii="Arial" w:hAnsi="Arial" w:cs="Arial"/>
          <w:sz w:val="20"/>
        </w:rPr>
        <w:t xml:space="preserve">For the purposes of determining the present application, it is not necessary to consider whether s 43 of the JDA qualifies or affects the principles stated by the majority in </w:t>
      </w:r>
      <w:r w:rsidRPr="008F7DF6">
        <w:rPr>
          <w:rFonts w:ascii="Arial" w:hAnsi="Arial" w:cs="Arial"/>
          <w:i/>
          <w:iCs/>
          <w:sz w:val="20"/>
        </w:rPr>
        <w:t>Dyers</w:t>
      </w:r>
      <w:r w:rsidRPr="00BE3CDF">
        <w:rPr>
          <w:rFonts w:ascii="Arial" w:hAnsi="Arial" w:cs="Arial"/>
          <w:sz w:val="20"/>
        </w:rPr>
        <w:t xml:space="preserve">. For the reasons that follow, we are persuaded that, applying the test referred to in </w:t>
      </w:r>
      <w:r w:rsidRPr="008F7DF6">
        <w:rPr>
          <w:rFonts w:ascii="Arial" w:hAnsi="Arial" w:cs="Arial"/>
          <w:i/>
          <w:iCs/>
          <w:sz w:val="20"/>
        </w:rPr>
        <w:t>Dyers</w:t>
      </w:r>
      <w:r w:rsidRPr="00BE3CDF">
        <w:rPr>
          <w:rFonts w:ascii="Arial" w:hAnsi="Arial" w:cs="Arial"/>
          <w:sz w:val="20"/>
        </w:rPr>
        <w:t>, the judge, in the circumstances of the case, was obliged, but failed, to give a direction under s 43 in respect of the failure of the prosecution to call a particular witnesses who were relevant to the determination by the jury of charge 7 and charge 8.</w:t>
      </w:r>
      <w:r>
        <w:rPr>
          <w:rFonts w:ascii="Arial" w:hAnsi="Arial" w:cs="Arial"/>
          <w:sz w:val="20"/>
        </w:rPr>
        <w:t>”</w:t>
      </w:r>
    </w:p>
    <w:p w14:paraId="2A884DEB" w14:textId="77777777" w:rsidR="00BE3CDF" w:rsidRDefault="00BE3CDF" w:rsidP="00B70ED0">
      <w:pPr>
        <w:jc w:val="both"/>
        <w:rPr>
          <w:rFonts w:ascii="Arial" w:hAnsi="Arial" w:cs="Arial"/>
          <w:color w:val="000000"/>
          <w:sz w:val="20"/>
        </w:rPr>
      </w:pPr>
    </w:p>
    <w:p w14:paraId="1A5C0F6E" w14:textId="47571190" w:rsidR="00F26DDA" w:rsidRDefault="00F26DDA" w:rsidP="00F26DDA">
      <w:pPr>
        <w:jc w:val="both"/>
        <w:rPr>
          <w:rFonts w:ascii="Arial" w:hAnsi="Arial" w:cs="Arial"/>
          <w:color w:val="000000"/>
          <w:sz w:val="20"/>
        </w:rPr>
      </w:pPr>
      <w:r>
        <w:rPr>
          <w:rFonts w:ascii="Arial" w:hAnsi="Arial" w:cs="Arial"/>
          <w:color w:val="000000"/>
          <w:sz w:val="20"/>
        </w:rPr>
        <w:t xml:space="preserve">In </w:t>
      </w:r>
      <w:r w:rsidRPr="00E4035E">
        <w:rPr>
          <w:rFonts w:ascii="Arial" w:hAnsi="Arial" w:cs="Arial"/>
          <w:i/>
          <w:iCs/>
          <w:color w:val="000000"/>
          <w:sz w:val="20"/>
        </w:rPr>
        <w:t>DFFH v West (a pseudonym)</w:t>
      </w:r>
      <w:r>
        <w:rPr>
          <w:rFonts w:ascii="Arial" w:hAnsi="Arial" w:cs="Arial"/>
          <w:color w:val="000000"/>
          <w:sz w:val="20"/>
        </w:rPr>
        <w:t xml:space="preserve"> [2022] VChC 2 the </w:t>
      </w:r>
      <w:r w:rsidR="00407EDF">
        <w:rPr>
          <w:rFonts w:ascii="Arial" w:hAnsi="Arial" w:cs="Arial"/>
          <w:color w:val="000000"/>
          <w:sz w:val="20"/>
        </w:rPr>
        <w:t xml:space="preserve">central </w:t>
      </w:r>
      <w:r>
        <w:rPr>
          <w:rFonts w:ascii="Arial" w:hAnsi="Arial" w:cs="Arial"/>
          <w:color w:val="000000"/>
          <w:sz w:val="20"/>
        </w:rPr>
        <w:t xml:space="preserve">issue was the cause of a fractured rib found on each of two non-identical twins.  The underlying </w:t>
      </w:r>
      <w:r w:rsidR="00407EDF">
        <w:rPr>
          <w:rFonts w:ascii="Arial" w:hAnsi="Arial" w:cs="Arial"/>
          <w:color w:val="000000"/>
          <w:sz w:val="20"/>
        </w:rPr>
        <w:t>fact</w:t>
      </w:r>
      <w:r>
        <w:rPr>
          <w:rFonts w:ascii="Arial" w:hAnsi="Arial" w:cs="Arial"/>
          <w:color w:val="000000"/>
          <w:sz w:val="20"/>
        </w:rPr>
        <w:t xml:space="preserve">s are set out in </w:t>
      </w:r>
      <w:r w:rsidRPr="00A975E6">
        <w:rPr>
          <w:rFonts w:ascii="Arial" w:hAnsi="Arial" w:cs="Arial"/>
          <w:b/>
          <w:bCs/>
          <w:color w:val="000000"/>
          <w:sz w:val="20"/>
          <w:shd w:val="clear" w:color="auto" w:fill="C5E0B3" w:themeFill="accent6" w:themeFillTint="66"/>
        </w:rPr>
        <w:t>section 5.5.3</w:t>
      </w:r>
      <w:r>
        <w:rPr>
          <w:rFonts w:ascii="Arial" w:hAnsi="Arial" w:cs="Arial"/>
          <w:color w:val="000000"/>
          <w:sz w:val="20"/>
        </w:rPr>
        <w:t xml:space="preserve"> below.  The evidentiary contest essentially involved a number of medical professionals.  In dismissing the protection applications Stead M also rejected the DFFH’s submission that an adverse </w:t>
      </w:r>
      <w:r w:rsidRPr="00F26DDA">
        <w:rPr>
          <w:rFonts w:ascii="Arial" w:hAnsi="Arial" w:cs="Arial"/>
          <w:i/>
          <w:iCs/>
          <w:color w:val="000000"/>
          <w:sz w:val="20"/>
        </w:rPr>
        <w:t>Jones v Dunkel</w:t>
      </w:r>
      <w:r>
        <w:rPr>
          <w:rFonts w:ascii="Arial" w:hAnsi="Arial" w:cs="Arial"/>
          <w:color w:val="000000"/>
          <w:sz w:val="20"/>
        </w:rPr>
        <w:t xml:space="preserve"> inference should be drawn against the parents for not giving evidence.</w:t>
      </w:r>
      <w:r w:rsidR="00407EDF">
        <w:rPr>
          <w:rFonts w:ascii="Arial" w:hAnsi="Arial" w:cs="Arial"/>
          <w:color w:val="000000"/>
          <w:sz w:val="20"/>
        </w:rPr>
        <w:t xml:space="preserve">  At [138] her Honour said:</w:t>
      </w:r>
    </w:p>
    <w:p w14:paraId="0F5B20ED" w14:textId="6ED84D64" w:rsidR="00F26DDA" w:rsidRDefault="00407EDF" w:rsidP="00407EDF">
      <w:pPr>
        <w:spacing w:before="120"/>
        <w:ind w:left="567" w:right="567"/>
        <w:jc w:val="both"/>
        <w:rPr>
          <w:rFonts w:ascii="Arial" w:hAnsi="Arial" w:cs="Arial"/>
          <w:sz w:val="20"/>
          <w:szCs w:val="20"/>
        </w:rPr>
      </w:pPr>
      <w:r>
        <w:rPr>
          <w:rFonts w:ascii="Arial" w:hAnsi="Arial" w:cs="Arial"/>
          <w:sz w:val="20"/>
          <w:szCs w:val="20"/>
        </w:rPr>
        <w:t>“</w:t>
      </w:r>
      <w:r w:rsidR="00F26DDA" w:rsidRPr="00FF7B4C">
        <w:rPr>
          <w:rFonts w:ascii="Arial" w:hAnsi="Arial" w:cs="Arial"/>
          <w:sz w:val="20"/>
          <w:szCs w:val="20"/>
        </w:rPr>
        <w:t xml:space="preserve">In the circumstances where the objective evidence does not support an adverse finding against the parents, I do not draw an adverse inference against either of them. The onus of proof rests with the Secretary. It is not for the parents to disprove the suspicions of the Secretary, nor to fill in any deficiencies of the Secretary’s evidence. </w:t>
      </w:r>
      <w:r w:rsidR="00F26DDA">
        <w:rPr>
          <w:rFonts w:ascii="Arial" w:hAnsi="Arial" w:cs="Arial"/>
          <w:sz w:val="20"/>
          <w:szCs w:val="20"/>
        </w:rPr>
        <w:t>T</w:t>
      </w:r>
      <w:r w:rsidR="00F26DDA" w:rsidRPr="00D66F73">
        <w:rPr>
          <w:rFonts w:ascii="Arial" w:hAnsi="Arial" w:cs="Arial"/>
          <w:sz w:val="20"/>
          <w:szCs w:val="20"/>
        </w:rPr>
        <w:t xml:space="preserve">he precedent in </w:t>
      </w:r>
      <w:r w:rsidR="00F26DDA" w:rsidRPr="00D66F73">
        <w:rPr>
          <w:rFonts w:ascii="Arial" w:hAnsi="Arial" w:cs="Arial"/>
          <w:i/>
          <w:iCs/>
          <w:sz w:val="20"/>
          <w:szCs w:val="20"/>
        </w:rPr>
        <w:t>Jones v Dunkel</w:t>
      </w:r>
      <w:r w:rsidR="00F26DDA" w:rsidRPr="00D66F73">
        <w:rPr>
          <w:rFonts w:ascii="Arial" w:hAnsi="Arial" w:cs="Arial"/>
          <w:sz w:val="20"/>
          <w:szCs w:val="20"/>
        </w:rPr>
        <w:t xml:space="preserve"> as set out by Menzies J (at </w:t>
      </w:r>
      <w:r w:rsidR="00F26DDA">
        <w:rPr>
          <w:rFonts w:ascii="Arial" w:hAnsi="Arial" w:cs="Arial"/>
          <w:sz w:val="20"/>
          <w:szCs w:val="20"/>
        </w:rPr>
        <w:t>p.</w:t>
      </w:r>
      <w:r w:rsidR="00F26DDA" w:rsidRPr="00D66F73">
        <w:rPr>
          <w:rFonts w:ascii="Arial" w:hAnsi="Arial" w:cs="Arial"/>
          <w:sz w:val="20"/>
          <w:szCs w:val="20"/>
        </w:rPr>
        <w:t>312)</w:t>
      </w:r>
      <w:r w:rsidR="00F26DDA">
        <w:rPr>
          <w:rFonts w:ascii="Arial" w:hAnsi="Arial" w:cs="Arial"/>
          <w:sz w:val="20"/>
          <w:szCs w:val="20"/>
        </w:rPr>
        <w:t xml:space="preserve"> is:</w:t>
      </w:r>
    </w:p>
    <w:p w14:paraId="360AE73C" w14:textId="77777777" w:rsidR="00F26DDA" w:rsidRDefault="00F26DDA" w:rsidP="00F26DDA">
      <w:pPr>
        <w:pStyle w:val="ListParagraph"/>
        <w:spacing w:before="60"/>
        <w:ind w:left="1264" w:right="907" w:hanging="357"/>
        <w:contextualSpacing/>
        <w:jc w:val="both"/>
        <w:rPr>
          <w:rFonts w:ascii="Arial" w:hAnsi="Arial" w:cs="Arial"/>
          <w:sz w:val="18"/>
          <w:szCs w:val="18"/>
        </w:rPr>
      </w:pPr>
      <w:r w:rsidRPr="00D66F73">
        <w:rPr>
          <w:rFonts w:ascii="Arial" w:hAnsi="Arial" w:cs="Arial"/>
          <w:sz w:val="18"/>
          <w:szCs w:val="18"/>
        </w:rPr>
        <w:t>‘(i)</w:t>
      </w:r>
      <w:r>
        <w:rPr>
          <w:rFonts w:ascii="Arial" w:hAnsi="Arial" w:cs="Arial"/>
          <w:sz w:val="18"/>
          <w:szCs w:val="18"/>
        </w:rPr>
        <w:tab/>
      </w:r>
      <w:r w:rsidRPr="00D66F73">
        <w:rPr>
          <w:rFonts w:ascii="Arial" w:hAnsi="Arial" w:cs="Arial"/>
          <w:sz w:val="18"/>
          <w:szCs w:val="18"/>
        </w:rPr>
        <w:t>that the absence of the defendant … as a witness cannot be used to make up any deficiency of evidence;</w:t>
      </w:r>
    </w:p>
    <w:p w14:paraId="5B55B90B" w14:textId="77777777" w:rsidR="00F26DDA" w:rsidRDefault="00F26DDA" w:rsidP="00F26DDA">
      <w:pPr>
        <w:pStyle w:val="ListParagraph"/>
        <w:spacing w:before="60"/>
        <w:ind w:left="1264" w:right="907" w:hanging="357"/>
        <w:contextualSpacing/>
        <w:jc w:val="both"/>
        <w:rPr>
          <w:rFonts w:ascii="Arial" w:hAnsi="Arial" w:cs="Arial"/>
          <w:sz w:val="18"/>
          <w:szCs w:val="18"/>
        </w:rPr>
      </w:pPr>
      <w:r>
        <w:rPr>
          <w:rFonts w:ascii="Arial" w:hAnsi="Arial" w:cs="Arial"/>
          <w:sz w:val="18"/>
          <w:szCs w:val="18"/>
        </w:rPr>
        <w:t>(</w:t>
      </w:r>
      <w:r w:rsidRPr="00D66F73">
        <w:rPr>
          <w:rFonts w:ascii="Arial" w:hAnsi="Arial" w:cs="Arial"/>
          <w:sz w:val="18"/>
          <w:szCs w:val="18"/>
        </w:rPr>
        <w:t>ii)</w:t>
      </w:r>
      <w:r>
        <w:rPr>
          <w:rFonts w:ascii="Arial" w:hAnsi="Arial" w:cs="Arial"/>
          <w:sz w:val="18"/>
          <w:szCs w:val="18"/>
        </w:rPr>
        <w:tab/>
      </w:r>
      <w:r w:rsidRPr="00D66F73">
        <w:rPr>
          <w:rFonts w:ascii="Arial" w:hAnsi="Arial" w:cs="Arial"/>
          <w:sz w:val="18"/>
          <w:szCs w:val="18"/>
        </w:rPr>
        <w:t>that evidence which might have been contradicted by the defendant can be accepted the more readily if the defendant fails to give evidence;</w:t>
      </w:r>
    </w:p>
    <w:p w14:paraId="02A8C972" w14:textId="77777777" w:rsidR="00F26DDA" w:rsidRPr="00D66F73" w:rsidRDefault="00F26DDA" w:rsidP="00F26DDA">
      <w:pPr>
        <w:pStyle w:val="ListParagraph"/>
        <w:spacing w:before="60"/>
        <w:ind w:left="1264" w:right="907" w:hanging="357"/>
        <w:contextualSpacing/>
        <w:jc w:val="both"/>
        <w:rPr>
          <w:rFonts w:ascii="Arial" w:hAnsi="Arial" w:cs="Arial"/>
          <w:sz w:val="18"/>
          <w:szCs w:val="18"/>
        </w:rPr>
      </w:pPr>
      <w:r w:rsidRPr="00D66F73">
        <w:rPr>
          <w:rFonts w:ascii="Arial" w:hAnsi="Arial" w:cs="Arial"/>
          <w:sz w:val="18"/>
          <w:szCs w:val="18"/>
        </w:rPr>
        <w:t>(iii)</w:t>
      </w:r>
      <w:r>
        <w:rPr>
          <w:rFonts w:ascii="Arial" w:hAnsi="Arial" w:cs="Arial"/>
          <w:sz w:val="18"/>
          <w:szCs w:val="18"/>
        </w:rPr>
        <w:tab/>
      </w:r>
      <w:r w:rsidRPr="00D66F73">
        <w:rPr>
          <w:rFonts w:ascii="Arial" w:hAnsi="Arial" w:cs="Arial"/>
          <w:sz w:val="18"/>
          <w:szCs w:val="18"/>
        </w:rPr>
        <w:t>that where an inference is open from facts proved by direct evidence and the question is whether it should be drawn, the circumstance that the defendant disputing it might have proved the contrary had he chosen to give evidence is properly to be taken into account as a circumstance in favour of drawing the inference.</w:t>
      </w:r>
      <w:r>
        <w:rPr>
          <w:rFonts w:ascii="Arial" w:hAnsi="Arial" w:cs="Arial"/>
          <w:sz w:val="18"/>
          <w:szCs w:val="18"/>
        </w:rPr>
        <w:t>’</w:t>
      </w:r>
    </w:p>
    <w:p w14:paraId="2044C3DA" w14:textId="5440220B" w:rsidR="00F26DDA" w:rsidRDefault="00F26DDA" w:rsidP="00F26DDA">
      <w:pPr>
        <w:spacing w:before="60"/>
        <w:ind w:left="454" w:right="454"/>
        <w:jc w:val="both"/>
        <w:rPr>
          <w:rFonts w:ascii="Arial" w:hAnsi="Arial" w:cs="Arial"/>
          <w:sz w:val="20"/>
          <w:szCs w:val="20"/>
        </w:rPr>
      </w:pPr>
      <w:r w:rsidRPr="00FF7B4C">
        <w:rPr>
          <w:rFonts w:ascii="Arial" w:hAnsi="Arial" w:cs="Arial"/>
          <w:sz w:val="20"/>
          <w:szCs w:val="20"/>
        </w:rPr>
        <w:t>There are cases where direct evidence presented by the Secretary invites inferential reasoning that may tend to support the Secretary’s assertions. In such cases if the parents can contradict this evidence and fail to do so, the inference may be more confidently made. This is not such a case.</w:t>
      </w:r>
      <w:r w:rsidR="00407EDF">
        <w:rPr>
          <w:rFonts w:ascii="Arial" w:hAnsi="Arial" w:cs="Arial"/>
          <w:sz w:val="20"/>
          <w:szCs w:val="20"/>
        </w:rPr>
        <w:t>”</w:t>
      </w:r>
    </w:p>
    <w:p w14:paraId="0DA5D3F8" w14:textId="77777777" w:rsidR="00F26DDA" w:rsidRDefault="00F26DDA" w:rsidP="00DE0CC3">
      <w:pPr>
        <w:jc w:val="both"/>
        <w:rPr>
          <w:rFonts w:ascii="Arial" w:hAnsi="Arial" w:cs="Arial"/>
          <w:color w:val="000000"/>
          <w:sz w:val="20"/>
        </w:rPr>
      </w:pPr>
    </w:p>
    <w:p w14:paraId="0ECAC43F" w14:textId="2D5A71F0" w:rsidR="00704A0E" w:rsidRDefault="00704A0E" w:rsidP="00DE0CC3">
      <w:pPr>
        <w:jc w:val="both"/>
        <w:rPr>
          <w:rFonts w:ascii="Arial" w:hAnsi="Arial" w:cs="Arial"/>
          <w:color w:val="000000"/>
          <w:sz w:val="20"/>
        </w:rPr>
      </w:pPr>
      <w:r>
        <w:rPr>
          <w:rFonts w:ascii="Arial" w:hAnsi="Arial" w:cs="Arial"/>
          <w:color w:val="000000"/>
          <w:sz w:val="20"/>
        </w:rPr>
        <w:t xml:space="preserve">In </w:t>
      </w:r>
      <w:r w:rsidRPr="00704A0E">
        <w:rPr>
          <w:rFonts w:ascii="Arial" w:hAnsi="Arial" w:cs="Arial"/>
          <w:i/>
          <w:iCs/>
          <w:color w:val="000000"/>
          <w:sz w:val="20"/>
        </w:rPr>
        <w:t>Hicks v Slater and Gordon Ltd</w:t>
      </w:r>
      <w:r>
        <w:rPr>
          <w:rFonts w:ascii="Arial" w:hAnsi="Arial" w:cs="Arial"/>
          <w:color w:val="000000"/>
          <w:sz w:val="20"/>
        </w:rPr>
        <w:t xml:space="preserve"> [2024] VSCA 298 the Court of Appeal noted at [156] that “</w:t>
      </w:r>
      <w:r w:rsidRPr="00704A0E">
        <w:rPr>
          <w:rFonts w:ascii="Arial" w:hAnsi="Arial" w:cs="Arial"/>
          <w:color w:val="000000"/>
          <w:sz w:val="20"/>
        </w:rPr>
        <w:t>the principle permitting an adverse inference to be drawn where a party fails to call a witness cannot be used to fill an evidentiary gap, or to convert suspicion into inference.</w:t>
      </w:r>
      <w:r>
        <w:rPr>
          <w:rFonts w:ascii="Arial" w:hAnsi="Arial" w:cs="Arial"/>
          <w:color w:val="000000"/>
          <w:sz w:val="20"/>
        </w:rPr>
        <w:t>”</w:t>
      </w:r>
    </w:p>
    <w:p w14:paraId="69065DD2" w14:textId="77777777" w:rsidR="00704A0E" w:rsidRDefault="00704A0E" w:rsidP="00DE0CC3">
      <w:pPr>
        <w:jc w:val="both"/>
        <w:rPr>
          <w:rFonts w:ascii="Arial" w:hAnsi="Arial" w:cs="Arial"/>
          <w:color w:val="000000"/>
          <w:sz w:val="20"/>
        </w:rPr>
      </w:pPr>
    </w:p>
    <w:p w14:paraId="3CAD586A" w14:textId="0F361E85" w:rsidR="00D743B8" w:rsidRDefault="006B6441" w:rsidP="00DE0CC3">
      <w:pPr>
        <w:jc w:val="both"/>
        <w:rPr>
          <w:rFonts w:ascii="Arial" w:hAnsi="Arial" w:cs="Arial"/>
          <w:color w:val="000000"/>
          <w:sz w:val="20"/>
        </w:rPr>
      </w:pPr>
      <w:r w:rsidRPr="00CB1286">
        <w:rPr>
          <w:rFonts w:ascii="Arial" w:hAnsi="Arial" w:cs="Arial"/>
          <w:color w:val="000000"/>
          <w:sz w:val="20"/>
          <w:szCs w:val="20"/>
        </w:rPr>
        <w:t xml:space="preserve">See also </w:t>
      </w:r>
      <w:r w:rsidRPr="00CB1286">
        <w:rPr>
          <w:rFonts w:ascii="Arial" w:hAnsi="Arial" w:cs="Arial"/>
          <w:i/>
          <w:iCs/>
          <w:color w:val="000000"/>
          <w:sz w:val="20"/>
          <w:szCs w:val="20"/>
        </w:rPr>
        <w:t>Cayford v Let Danny Do It Pty Ltd</w:t>
      </w:r>
      <w:r w:rsidRPr="00CB1286">
        <w:rPr>
          <w:rFonts w:ascii="Arial" w:hAnsi="Arial" w:cs="Arial"/>
          <w:color w:val="000000"/>
          <w:sz w:val="20"/>
          <w:szCs w:val="20"/>
        </w:rPr>
        <w:t xml:space="preserve"> [2021] VSC 707</w:t>
      </w:r>
      <w:r w:rsidR="00EF2FCA" w:rsidRPr="00CB1286">
        <w:rPr>
          <w:rFonts w:ascii="Arial" w:hAnsi="Arial" w:cs="Arial"/>
          <w:color w:val="000000"/>
          <w:sz w:val="20"/>
          <w:szCs w:val="20"/>
        </w:rPr>
        <w:t xml:space="preserve">; </w:t>
      </w:r>
      <w:r w:rsidR="00EF2FCA" w:rsidRPr="00CB1286">
        <w:rPr>
          <w:rFonts w:ascii="Arial" w:hAnsi="Arial" w:cs="Arial"/>
          <w:i/>
          <w:iCs/>
          <w:color w:val="000000"/>
          <w:sz w:val="20"/>
          <w:szCs w:val="20"/>
        </w:rPr>
        <w:t>Archer v Garcia</w:t>
      </w:r>
      <w:r w:rsidR="00EF2FCA" w:rsidRPr="00CB1286">
        <w:rPr>
          <w:rFonts w:ascii="Arial" w:hAnsi="Arial" w:cs="Arial"/>
          <w:color w:val="000000"/>
          <w:sz w:val="20"/>
          <w:szCs w:val="20"/>
        </w:rPr>
        <w:t xml:space="preserve"> [2022] VSC 57 at [73]</w:t>
      </w:r>
      <w:r w:rsidR="00EF2FCA" w:rsidRPr="00CB1286">
        <w:rPr>
          <w:rFonts w:ascii="Arial" w:hAnsi="Arial" w:cs="Arial"/>
          <w:color w:val="000000"/>
          <w:sz w:val="20"/>
          <w:szCs w:val="20"/>
        </w:rPr>
        <w:noBreakHyphen/>
      </w:r>
      <w:r w:rsidR="00F62AFF" w:rsidRPr="00CB1286">
        <w:rPr>
          <w:rFonts w:ascii="Arial" w:hAnsi="Arial" w:cs="Arial"/>
          <w:color w:val="000000"/>
          <w:sz w:val="20"/>
          <w:szCs w:val="20"/>
        </w:rPr>
        <w:t>[</w:t>
      </w:r>
      <w:r w:rsidR="00EF2FCA" w:rsidRPr="00CB1286">
        <w:rPr>
          <w:rFonts w:ascii="Arial" w:hAnsi="Arial" w:cs="Arial"/>
          <w:color w:val="000000"/>
          <w:sz w:val="20"/>
          <w:szCs w:val="20"/>
        </w:rPr>
        <w:t>86]</w:t>
      </w:r>
      <w:r w:rsidR="00551DD9" w:rsidRPr="00CB1286">
        <w:rPr>
          <w:rFonts w:ascii="Arial" w:hAnsi="Arial" w:cs="Arial"/>
          <w:color w:val="000000"/>
          <w:sz w:val="20"/>
          <w:szCs w:val="20"/>
        </w:rPr>
        <w:t xml:space="preserve">; </w:t>
      </w:r>
      <w:r w:rsidR="00551DD9" w:rsidRPr="00CB1286">
        <w:rPr>
          <w:rFonts w:ascii="Arial" w:hAnsi="Arial" w:cs="Arial"/>
          <w:i/>
          <w:iCs/>
          <w:sz w:val="20"/>
          <w:szCs w:val="20"/>
        </w:rPr>
        <w:t>Re Cassar</w:t>
      </w:r>
      <w:r w:rsidR="00551DD9" w:rsidRPr="00CB1286">
        <w:rPr>
          <w:rFonts w:ascii="Arial" w:hAnsi="Arial" w:cs="Arial"/>
          <w:sz w:val="20"/>
          <w:szCs w:val="20"/>
        </w:rPr>
        <w:t xml:space="preserve"> [2022] VSC 126 at [282]-[290]</w:t>
      </w:r>
      <w:r w:rsidR="00FC55B7" w:rsidRPr="00CB1286">
        <w:rPr>
          <w:rFonts w:ascii="Arial" w:hAnsi="Arial" w:cs="Arial"/>
          <w:sz w:val="20"/>
          <w:szCs w:val="20"/>
        </w:rPr>
        <w:t xml:space="preserve">; </w:t>
      </w:r>
      <w:r w:rsidR="00FC55B7" w:rsidRPr="00CB1286">
        <w:rPr>
          <w:rFonts w:ascii="Arial" w:hAnsi="Arial" w:cs="Arial"/>
          <w:i/>
          <w:iCs/>
          <w:sz w:val="20"/>
          <w:szCs w:val="20"/>
        </w:rPr>
        <w:t>Reynolds v Patel</w:t>
      </w:r>
      <w:r w:rsidR="00FC55B7" w:rsidRPr="00CB1286">
        <w:rPr>
          <w:rFonts w:ascii="Arial" w:hAnsi="Arial" w:cs="Arial"/>
          <w:sz w:val="20"/>
          <w:szCs w:val="20"/>
        </w:rPr>
        <w:t xml:space="preserve"> [2022] VSC 211 at [31]-[52]</w:t>
      </w:r>
      <w:r w:rsidR="004045F7" w:rsidRPr="00CB1286">
        <w:rPr>
          <w:rFonts w:ascii="Arial" w:hAnsi="Arial" w:cs="Arial"/>
          <w:sz w:val="20"/>
          <w:szCs w:val="20"/>
        </w:rPr>
        <w:t xml:space="preserve">; </w:t>
      </w:r>
      <w:bookmarkStart w:id="849" w:name="_Hlk106622075"/>
      <w:r w:rsidR="004045F7" w:rsidRPr="00CB1286">
        <w:rPr>
          <w:rFonts w:ascii="Arial" w:hAnsi="Arial" w:cs="Arial"/>
          <w:i/>
          <w:iCs/>
          <w:sz w:val="20"/>
          <w:szCs w:val="20"/>
        </w:rPr>
        <w:t xml:space="preserve">National Express Group Australia (Bayside Trains) Pty Ltd v McDonald </w:t>
      </w:r>
      <w:r w:rsidR="004045F7" w:rsidRPr="00CB1286">
        <w:rPr>
          <w:rFonts w:ascii="Arial" w:hAnsi="Arial" w:cs="Arial"/>
          <w:sz w:val="20"/>
          <w:szCs w:val="20"/>
        </w:rPr>
        <w:t>[2022] VSCA 109 at [39]-[41]</w:t>
      </w:r>
      <w:r w:rsidR="009F6288" w:rsidRPr="00CB1286">
        <w:rPr>
          <w:rFonts w:ascii="Arial" w:hAnsi="Arial" w:cs="Arial"/>
          <w:sz w:val="20"/>
          <w:szCs w:val="20"/>
        </w:rPr>
        <w:t xml:space="preserve">; </w:t>
      </w:r>
      <w:r w:rsidR="009F6288" w:rsidRPr="00CB1286">
        <w:rPr>
          <w:rFonts w:ascii="Arial" w:hAnsi="Arial" w:cs="Arial"/>
          <w:i/>
          <w:iCs/>
          <w:sz w:val="20"/>
          <w:szCs w:val="20"/>
        </w:rPr>
        <w:t>Thompson v Marks</w:t>
      </w:r>
      <w:r w:rsidR="009F6288" w:rsidRPr="00CB1286">
        <w:rPr>
          <w:rFonts w:ascii="Arial" w:hAnsi="Arial" w:cs="Arial"/>
          <w:sz w:val="20"/>
          <w:szCs w:val="20"/>
        </w:rPr>
        <w:t xml:space="preserve"> [2002] VMC 25 at [10]-[25]</w:t>
      </w:r>
      <w:r w:rsidR="00CB1286" w:rsidRPr="00CB1286">
        <w:rPr>
          <w:rFonts w:ascii="Arial" w:hAnsi="Arial" w:cs="Arial"/>
          <w:sz w:val="20"/>
          <w:szCs w:val="20"/>
        </w:rPr>
        <w:t xml:space="preserve">; </w:t>
      </w:r>
      <w:r w:rsidR="00CB1286" w:rsidRPr="00CB1286">
        <w:rPr>
          <w:rFonts w:ascii="Arial" w:hAnsi="Arial" w:cs="Arial"/>
          <w:i/>
          <w:iCs/>
          <w:sz w:val="20"/>
          <w:szCs w:val="20"/>
        </w:rPr>
        <w:t>China Insurance Group Finance Company Limited v Kingston (No</w:t>
      </w:r>
      <w:r w:rsidR="00A616AE">
        <w:rPr>
          <w:rFonts w:ascii="Arial" w:hAnsi="Arial" w:cs="Arial"/>
          <w:i/>
          <w:iCs/>
          <w:sz w:val="20"/>
          <w:szCs w:val="20"/>
        </w:rPr>
        <w:t> </w:t>
      </w:r>
      <w:r w:rsidR="00CB1286" w:rsidRPr="00CB1286">
        <w:rPr>
          <w:rFonts w:ascii="Arial" w:hAnsi="Arial" w:cs="Arial"/>
          <w:i/>
          <w:iCs/>
          <w:sz w:val="20"/>
          <w:szCs w:val="20"/>
        </w:rPr>
        <w:t>3)</w:t>
      </w:r>
      <w:r w:rsidR="00CB1286" w:rsidRPr="00CB1286">
        <w:rPr>
          <w:rFonts w:ascii="Arial" w:hAnsi="Arial" w:cs="Arial"/>
          <w:sz w:val="20"/>
          <w:szCs w:val="20"/>
        </w:rPr>
        <w:t xml:space="preserve"> [2023] VSC 6 at [343]-[353]</w:t>
      </w:r>
      <w:r w:rsidR="00057181">
        <w:rPr>
          <w:rFonts w:ascii="Arial" w:hAnsi="Arial" w:cs="Arial"/>
          <w:sz w:val="20"/>
          <w:szCs w:val="20"/>
        </w:rPr>
        <w:t xml:space="preserve">; </w:t>
      </w:r>
      <w:r w:rsidR="00057181" w:rsidRPr="00057181">
        <w:rPr>
          <w:rFonts w:ascii="Arial" w:hAnsi="Arial" w:cs="Arial"/>
          <w:i/>
          <w:iCs/>
          <w:sz w:val="20"/>
          <w:szCs w:val="20"/>
        </w:rPr>
        <w:t>Gunawardana v GMA Environmental Services Pty Ltd</w:t>
      </w:r>
      <w:r w:rsidR="00057181">
        <w:rPr>
          <w:rFonts w:ascii="Arial" w:hAnsi="Arial" w:cs="Arial"/>
          <w:sz w:val="20"/>
          <w:szCs w:val="20"/>
        </w:rPr>
        <w:t xml:space="preserve"> [2023] VSC 281 at </w:t>
      </w:r>
      <w:r w:rsidR="00057181">
        <w:rPr>
          <w:rFonts w:ascii="Arial" w:hAnsi="Arial" w:cs="Arial"/>
          <w:sz w:val="20"/>
          <w:szCs w:val="20"/>
        </w:rPr>
        <w:lastRenderedPageBreak/>
        <w:t>[73]-[81]</w:t>
      </w:r>
      <w:r w:rsidR="00D743B8">
        <w:rPr>
          <w:rFonts w:ascii="Arial" w:hAnsi="Arial" w:cs="Arial"/>
          <w:sz w:val="20"/>
          <w:szCs w:val="20"/>
        </w:rPr>
        <w:t>;</w:t>
      </w:r>
      <w:bookmarkEnd w:id="849"/>
      <w:r w:rsidR="00D743B8">
        <w:rPr>
          <w:rFonts w:ascii="Arial" w:hAnsi="Arial" w:cs="Arial"/>
          <w:sz w:val="20"/>
          <w:szCs w:val="20"/>
        </w:rPr>
        <w:t xml:space="preserve"> </w:t>
      </w:r>
      <w:r w:rsidR="00D743B8" w:rsidRPr="00D743B8">
        <w:rPr>
          <w:rFonts w:ascii="Arial" w:hAnsi="Arial" w:cs="Arial"/>
          <w:i/>
          <w:iCs/>
          <w:sz w:val="20"/>
          <w:szCs w:val="20"/>
        </w:rPr>
        <w:t>Alphington Developments Pty Ltd v Amcor Pty Ltd (No 5)</w:t>
      </w:r>
      <w:r w:rsidR="00D743B8">
        <w:rPr>
          <w:rFonts w:ascii="Arial" w:hAnsi="Arial" w:cs="Arial"/>
          <w:sz w:val="20"/>
          <w:szCs w:val="20"/>
        </w:rPr>
        <w:t xml:space="preserve"> [2023] VSC 637 at [569]-[586]</w:t>
      </w:r>
      <w:r w:rsidR="00165700">
        <w:rPr>
          <w:rFonts w:ascii="Arial" w:hAnsi="Arial" w:cs="Arial"/>
          <w:sz w:val="20"/>
          <w:szCs w:val="20"/>
        </w:rPr>
        <w:t xml:space="preserve">; </w:t>
      </w:r>
      <w:r w:rsidR="00165700" w:rsidRPr="00165700">
        <w:rPr>
          <w:rFonts w:ascii="Arial" w:hAnsi="Arial" w:cs="Arial"/>
          <w:i/>
          <w:iCs/>
          <w:sz w:val="20"/>
          <w:szCs w:val="20"/>
        </w:rPr>
        <w:t>Moore v Goldhagen</w:t>
      </w:r>
      <w:r w:rsidR="00165700">
        <w:rPr>
          <w:rFonts w:ascii="Arial" w:hAnsi="Arial" w:cs="Arial"/>
          <w:sz w:val="20"/>
          <w:szCs w:val="20"/>
        </w:rPr>
        <w:t xml:space="preserve"> [2024] VSCA 25 at [79]-[91]</w:t>
      </w:r>
      <w:r w:rsidR="000E5165">
        <w:rPr>
          <w:rFonts w:ascii="Arial" w:hAnsi="Arial" w:cs="Arial"/>
          <w:sz w:val="20"/>
          <w:szCs w:val="20"/>
        </w:rPr>
        <w:t xml:space="preserve">; </w:t>
      </w:r>
      <w:r w:rsidR="000E5165" w:rsidRPr="000E5165">
        <w:rPr>
          <w:rFonts w:ascii="Arial" w:hAnsi="Arial" w:cs="Arial"/>
          <w:i/>
          <w:iCs/>
          <w:sz w:val="20"/>
          <w:szCs w:val="20"/>
        </w:rPr>
        <w:t>Transonic Travel Pty Ltd v Tilakee Nominees Pty Ltd &amp; Ors</w:t>
      </w:r>
      <w:r w:rsidR="000E5165">
        <w:rPr>
          <w:rFonts w:ascii="Arial" w:hAnsi="Arial" w:cs="Arial"/>
          <w:sz w:val="20"/>
          <w:szCs w:val="20"/>
        </w:rPr>
        <w:t xml:space="preserve"> [2024] VSC 86 at [679]-[685]</w:t>
      </w:r>
      <w:r w:rsidR="00A04396">
        <w:rPr>
          <w:rFonts w:ascii="Arial" w:hAnsi="Arial" w:cs="Arial"/>
          <w:sz w:val="20"/>
          <w:szCs w:val="20"/>
        </w:rPr>
        <w:t xml:space="preserve">; </w:t>
      </w:r>
      <w:r w:rsidR="00A04396" w:rsidRPr="00A04396">
        <w:rPr>
          <w:rFonts w:ascii="Arial" w:hAnsi="Arial" w:cs="Arial"/>
          <w:i/>
          <w:iCs/>
          <w:sz w:val="20"/>
          <w:szCs w:val="20"/>
        </w:rPr>
        <w:t>Kelly v The King</w:t>
      </w:r>
      <w:r w:rsidR="00A04396">
        <w:rPr>
          <w:rFonts w:ascii="Arial" w:hAnsi="Arial" w:cs="Arial"/>
          <w:sz w:val="20"/>
          <w:szCs w:val="20"/>
        </w:rPr>
        <w:t xml:space="preserve"> [2024] VSCA 69 at [31]-[36] &amp; [52]-[58]</w:t>
      </w:r>
      <w:r w:rsidR="00D624D1">
        <w:rPr>
          <w:rFonts w:ascii="Arial" w:hAnsi="Arial" w:cs="Arial"/>
          <w:sz w:val="20"/>
          <w:szCs w:val="20"/>
        </w:rPr>
        <w:t>;</w:t>
      </w:r>
      <w:r w:rsidR="00D624D1" w:rsidRPr="00D624D1">
        <w:rPr>
          <w:rFonts w:ascii="Arial" w:hAnsi="Arial" w:cs="Arial"/>
          <w:bCs/>
          <w:i/>
          <w:iCs/>
          <w:color w:val="000000"/>
          <w:sz w:val="20"/>
          <w:szCs w:val="20"/>
        </w:rPr>
        <w:t xml:space="preserve"> Shininggarden Pty Ltd v Omega Building Group Pty Ltd</w:t>
      </w:r>
      <w:r w:rsidR="00D624D1">
        <w:rPr>
          <w:rFonts w:ascii="Arial" w:hAnsi="Arial" w:cs="Arial"/>
          <w:bCs/>
          <w:color w:val="000000"/>
          <w:sz w:val="20"/>
          <w:szCs w:val="20"/>
        </w:rPr>
        <w:t xml:space="preserve"> [2024] VSC 583 at [30]-[42]</w:t>
      </w:r>
      <w:r w:rsidR="00893059">
        <w:rPr>
          <w:rFonts w:ascii="Arial" w:hAnsi="Arial" w:cs="Arial"/>
          <w:bCs/>
          <w:color w:val="000000"/>
          <w:sz w:val="20"/>
          <w:szCs w:val="20"/>
        </w:rPr>
        <w:t xml:space="preserve">; </w:t>
      </w:r>
      <w:r w:rsidR="00893059" w:rsidRPr="00893059">
        <w:rPr>
          <w:rFonts w:ascii="Arial" w:hAnsi="Arial" w:cs="Arial"/>
          <w:bCs/>
          <w:i/>
          <w:iCs/>
          <w:color w:val="000000"/>
          <w:sz w:val="20"/>
          <w:szCs w:val="20"/>
        </w:rPr>
        <w:t>DP (a pseudonym) v Bird</w:t>
      </w:r>
      <w:r w:rsidR="00893059">
        <w:rPr>
          <w:rFonts w:ascii="Arial" w:hAnsi="Arial" w:cs="Arial"/>
          <w:bCs/>
          <w:color w:val="000000"/>
          <w:sz w:val="20"/>
          <w:szCs w:val="20"/>
        </w:rPr>
        <w:t xml:space="preserve"> [2021] VSC 850 at [74], [385], [387], [392]-[395], [398] &amp; [410]</w:t>
      </w:r>
      <w:r w:rsidR="00555F51">
        <w:rPr>
          <w:rFonts w:ascii="Arial" w:hAnsi="Arial" w:cs="Arial"/>
          <w:bCs/>
          <w:color w:val="000000"/>
          <w:sz w:val="20"/>
          <w:szCs w:val="20"/>
        </w:rPr>
        <w:t xml:space="preserve">; </w:t>
      </w:r>
      <w:r w:rsidR="00555F51" w:rsidRPr="00555F51">
        <w:rPr>
          <w:rFonts w:ascii="Arial" w:hAnsi="Arial" w:cs="Arial"/>
          <w:bCs/>
          <w:i/>
          <w:iCs/>
          <w:color w:val="000000"/>
          <w:sz w:val="20"/>
          <w:szCs w:val="20"/>
        </w:rPr>
        <w:t>Kairouz v Jasper Nominees Pty Ltd</w:t>
      </w:r>
      <w:r w:rsidR="00555F51">
        <w:rPr>
          <w:rFonts w:ascii="Arial" w:hAnsi="Arial" w:cs="Arial"/>
          <w:bCs/>
          <w:color w:val="000000"/>
          <w:sz w:val="20"/>
          <w:szCs w:val="20"/>
        </w:rPr>
        <w:t xml:space="preserve"> [2025] VSCA 16 at [168]-[173]</w:t>
      </w:r>
      <w:r w:rsidR="00C823CB">
        <w:rPr>
          <w:rFonts w:ascii="Arial" w:hAnsi="Arial" w:cs="Arial"/>
          <w:bCs/>
          <w:color w:val="000000"/>
          <w:sz w:val="20"/>
          <w:szCs w:val="20"/>
        </w:rPr>
        <w:t xml:space="preserve">; </w:t>
      </w:r>
      <w:proofErr w:type="spellStart"/>
      <w:r w:rsidR="00C823CB" w:rsidRPr="00CA290B">
        <w:rPr>
          <w:rFonts w:ascii="Arial" w:hAnsi="Arial" w:cs="Arial"/>
          <w:i/>
          <w:iCs/>
          <w:sz w:val="20"/>
          <w:szCs w:val="20"/>
        </w:rPr>
        <w:t>Yimiao</w:t>
      </w:r>
      <w:proofErr w:type="spellEnd"/>
      <w:r w:rsidR="00C823CB" w:rsidRPr="00CA290B">
        <w:rPr>
          <w:rFonts w:ascii="Arial" w:hAnsi="Arial" w:cs="Arial"/>
          <w:i/>
          <w:iCs/>
          <w:sz w:val="20"/>
          <w:szCs w:val="20"/>
        </w:rPr>
        <w:t xml:space="preserve"> Australia v 3V Development</w:t>
      </w:r>
      <w:r w:rsidR="00C823CB" w:rsidRPr="00E110E4">
        <w:rPr>
          <w:rFonts w:ascii="Arial" w:hAnsi="Arial" w:cs="Arial"/>
          <w:sz w:val="20"/>
          <w:szCs w:val="20"/>
        </w:rPr>
        <w:t xml:space="preserve"> [2026] VSC 133</w:t>
      </w:r>
      <w:r w:rsidR="00C823CB">
        <w:rPr>
          <w:rFonts w:ascii="Arial" w:hAnsi="Arial" w:cs="Arial"/>
          <w:sz w:val="20"/>
          <w:szCs w:val="20"/>
        </w:rPr>
        <w:t xml:space="preserve"> at [12]-[16]</w:t>
      </w:r>
      <w:r w:rsidR="001D1855">
        <w:rPr>
          <w:rFonts w:ascii="Arial" w:hAnsi="Arial" w:cs="Arial"/>
          <w:sz w:val="20"/>
          <w:szCs w:val="20"/>
        </w:rPr>
        <w:t>.</w:t>
      </w:r>
    </w:p>
    <w:p w14:paraId="545DF0CA" w14:textId="77777777" w:rsidR="00562DED" w:rsidRPr="00562DED" w:rsidRDefault="00562DED" w:rsidP="00DE0CC3">
      <w:pPr>
        <w:jc w:val="both"/>
        <w:rPr>
          <w:rFonts w:ascii="Arial" w:hAnsi="Arial" w:cs="Arial"/>
          <w:bCs/>
          <w:color w:val="000000"/>
          <w:sz w:val="20"/>
          <w:szCs w:val="20"/>
        </w:rPr>
      </w:pPr>
    </w:p>
    <w:p w14:paraId="1A099E5D" w14:textId="77777777" w:rsidR="00803AFF" w:rsidRPr="008C3BC8" w:rsidRDefault="003B275F" w:rsidP="00803AFF">
      <w:pPr>
        <w:pStyle w:val="Heading3"/>
        <w:keepNext/>
        <w:spacing w:after="120" w:line="240" w:lineRule="auto"/>
        <w:rPr>
          <w:rFonts w:ascii="Arial" w:hAnsi="Arial" w:cs="Arial"/>
          <w:b/>
          <w:bCs/>
          <w:color w:val="000000"/>
          <w:sz w:val="20"/>
        </w:rPr>
      </w:pPr>
      <w:bookmarkStart w:id="850" w:name="_3.5.15_Unfavourable_witnesses"/>
      <w:bookmarkStart w:id="851" w:name="B3515"/>
      <w:bookmarkEnd w:id="850"/>
      <w:bookmarkEnd w:id="851"/>
      <w:r w:rsidRPr="008C3BC8">
        <w:rPr>
          <w:rFonts w:ascii="Arial" w:hAnsi="Arial" w:cs="Arial"/>
          <w:b/>
          <w:bCs/>
          <w:color w:val="000000"/>
          <w:sz w:val="20"/>
        </w:rPr>
        <w:t>3.5.1</w:t>
      </w:r>
      <w:r w:rsidR="00B8085D" w:rsidRPr="008C3BC8">
        <w:rPr>
          <w:rFonts w:ascii="Arial" w:hAnsi="Arial" w:cs="Arial"/>
          <w:b/>
          <w:bCs/>
          <w:color w:val="000000"/>
          <w:sz w:val="20"/>
        </w:rPr>
        <w:t>5</w:t>
      </w:r>
      <w:r w:rsidRPr="008C3BC8">
        <w:rPr>
          <w:rFonts w:ascii="Arial" w:hAnsi="Arial" w:cs="Arial"/>
          <w:b/>
          <w:bCs/>
          <w:color w:val="000000"/>
          <w:sz w:val="20"/>
        </w:rPr>
        <w:tab/>
        <w:t>Unfavourable witnesses</w:t>
      </w:r>
    </w:p>
    <w:p w14:paraId="7E0D02D0" w14:textId="2F6DE02D" w:rsidR="003B275F" w:rsidRPr="008C3BC8" w:rsidRDefault="003B275F" w:rsidP="00A468AF">
      <w:pPr>
        <w:spacing w:before="120"/>
        <w:jc w:val="both"/>
        <w:rPr>
          <w:rFonts w:ascii="Arial" w:hAnsi="Arial" w:cs="Arial"/>
          <w:color w:val="000000"/>
          <w:sz w:val="20"/>
        </w:rPr>
      </w:pPr>
      <w:r w:rsidRPr="008C3BC8">
        <w:rPr>
          <w:rFonts w:ascii="Arial" w:hAnsi="Arial" w:cs="Arial"/>
          <w:color w:val="000000"/>
          <w:sz w:val="20"/>
        </w:rPr>
        <w:t xml:space="preserve">Section 38(1) of the </w:t>
      </w:r>
      <w:r w:rsidRPr="00A82F40">
        <w:rPr>
          <w:rFonts w:ascii="Arial" w:hAnsi="Arial" w:cs="Arial"/>
          <w:i/>
          <w:iCs/>
          <w:color w:val="000000"/>
          <w:sz w:val="20"/>
        </w:rPr>
        <w:t>Evidence Act 2008</w:t>
      </w:r>
      <w:r w:rsidR="00A82F40">
        <w:rPr>
          <w:rFonts w:ascii="Arial" w:hAnsi="Arial" w:cs="Arial"/>
          <w:color w:val="000000"/>
          <w:sz w:val="20"/>
        </w:rPr>
        <w:t xml:space="preserve"> </w:t>
      </w:r>
      <w:r w:rsidRPr="008C3BC8">
        <w:rPr>
          <w:rFonts w:ascii="Arial" w:hAnsi="Arial" w:cs="Arial"/>
          <w:color w:val="000000"/>
          <w:sz w:val="20"/>
        </w:rPr>
        <w:t>provides:</w:t>
      </w:r>
    </w:p>
    <w:p w14:paraId="5431EC22" w14:textId="77777777" w:rsidR="003B275F" w:rsidRPr="008C3BC8" w:rsidRDefault="003B275F" w:rsidP="003B275F">
      <w:pPr>
        <w:spacing w:before="120"/>
        <w:ind w:left="567" w:right="567"/>
        <w:jc w:val="both"/>
        <w:rPr>
          <w:rFonts w:ascii="Arial" w:hAnsi="Arial" w:cs="Arial"/>
          <w:color w:val="000000"/>
          <w:sz w:val="20"/>
        </w:rPr>
      </w:pPr>
      <w:r w:rsidRPr="008C3BC8">
        <w:rPr>
          <w:rFonts w:ascii="Arial" w:hAnsi="Arial" w:cs="Arial"/>
          <w:color w:val="000000"/>
          <w:sz w:val="20"/>
        </w:rPr>
        <w:t>“A party who called a witness may, with the leave of the court, question the witness, as though the party were cross-examining the witness, about:</w:t>
      </w:r>
    </w:p>
    <w:p w14:paraId="1A3CB6E3" w14:textId="77777777" w:rsidR="003B275F" w:rsidRPr="008C3BC8" w:rsidRDefault="003B275F" w:rsidP="00C80D8F">
      <w:pPr>
        <w:ind w:left="924" w:right="567" w:hanging="357"/>
        <w:jc w:val="both"/>
        <w:rPr>
          <w:rFonts w:ascii="Arial" w:hAnsi="Arial" w:cs="Arial"/>
          <w:color w:val="000000"/>
          <w:sz w:val="20"/>
        </w:rPr>
      </w:pPr>
      <w:r w:rsidRPr="008C3BC8">
        <w:rPr>
          <w:rFonts w:ascii="Arial" w:hAnsi="Arial" w:cs="Arial"/>
          <w:color w:val="000000"/>
          <w:sz w:val="20"/>
        </w:rPr>
        <w:t>(a)</w:t>
      </w:r>
      <w:r w:rsidRPr="008C3BC8">
        <w:rPr>
          <w:rFonts w:ascii="Arial" w:hAnsi="Arial" w:cs="Arial"/>
          <w:color w:val="000000"/>
          <w:sz w:val="20"/>
        </w:rPr>
        <w:tab/>
      </w:r>
      <w:r w:rsidR="00C80D8F" w:rsidRPr="008C3BC8">
        <w:rPr>
          <w:rFonts w:ascii="Arial" w:hAnsi="Arial" w:cs="Arial"/>
          <w:color w:val="000000"/>
          <w:sz w:val="20"/>
        </w:rPr>
        <w:t>evidence given by the witness that is unfavourable to the party; or</w:t>
      </w:r>
    </w:p>
    <w:p w14:paraId="2640D079" w14:textId="77777777" w:rsidR="00C80D8F" w:rsidRPr="008C3BC8" w:rsidRDefault="00C80D8F" w:rsidP="00C80D8F">
      <w:pPr>
        <w:ind w:left="924" w:right="567" w:hanging="357"/>
        <w:jc w:val="both"/>
        <w:rPr>
          <w:rFonts w:ascii="Arial" w:hAnsi="Arial" w:cs="Arial"/>
          <w:color w:val="000000"/>
          <w:sz w:val="20"/>
        </w:rPr>
      </w:pPr>
      <w:r w:rsidRPr="008C3BC8">
        <w:rPr>
          <w:rFonts w:ascii="Arial" w:hAnsi="Arial" w:cs="Arial"/>
          <w:color w:val="000000"/>
          <w:sz w:val="20"/>
        </w:rPr>
        <w:t>(b)</w:t>
      </w:r>
      <w:r w:rsidRPr="008C3BC8">
        <w:rPr>
          <w:rFonts w:ascii="Arial" w:hAnsi="Arial" w:cs="Arial"/>
          <w:color w:val="000000"/>
          <w:sz w:val="20"/>
        </w:rPr>
        <w:tab/>
        <w:t>a matter of which the witness may reasonably be supposed to have knowledge and about which it appears to the court the witness is not, in examination in chief, making a genuine attempt to give evidence; or</w:t>
      </w:r>
    </w:p>
    <w:p w14:paraId="1F8A79AA" w14:textId="77777777" w:rsidR="00C80D8F" w:rsidRPr="008C3BC8" w:rsidRDefault="00C80D8F" w:rsidP="00C80D8F">
      <w:pPr>
        <w:ind w:left="924" w:right="567" w:hanging="357"/>
        <w:jc w:val="both"/>
        <w:rPr>
          <w:rFonts w:ascii="Arial" w:hAnsi="Arial" w:cs="Arial"/>
          <w:color w:val="000000"/>
          <w:sz w:val="20"/>
        </w:rPr>
      </w:pPr>
      <w:r w:rsidRPr="008C3BC8">
        <w:rPr>
          <w:rFonts w:ascii="Arial" w:hAnsi="Arial" w:cs="Arial"/>
          <w:color w:val="000000"/>
          <w:sz w:val="20"/>
        </w:rPr>
        <w:t>(c)</w:t>
      </w:r>
      <w:r w:rsidRPr="008C3BC8">
        <w:rPr>
          <w:rFonts w:ascii="Arial" w:hAnsi="Arial" w:cs="Arial"/>
          <w:color w:val="000000"/>
          <w:sz w:val="20"/>
        </w:rPr>
        <w:tab/>
        <w:t>whether the witness has, at any time, made a prior inconsistent statement.”</w:t>
      </w:r>
    </w:p>
    <w:p w14:paraId="1E6A4215" w14:textId="77777777" w:rsidR="00C80D8F" w:rsidRPr="008C3BC8" w:rsidRDefault="00C80D8F" w:rsidP="00C80D8F">
      <w:pPr>
        <w:jc w:val="both"/>
        <w:rPr>
          <w:rFonts w:ascii="Arial" w:hAnsi="Arial" w:cs="Arial"/>
          <w:color w:val="000000"/>
          <w:sz w:val="20"/>
        </w:rPr>
      </w:pPr>
    </w:p>
    <w:p w14:paraId="6D75D281" w14:textId="77777777" w:rsidR="00C80D8F" w:rsidRPr="008C3BC8" w:rsidRDefault="00962C0C" w:rsidP="00C80D8F">
      <w:pPr>
        <w:jc w:val="both"/>
        <w:rPr>
          <w:rFonts w:ascii="Arial" w:hAnsi="Arial" w:cs="Arial"/>
          <w:color w:val="000000"/>
          <w:sz w:val="20"/>
        </w:rPr>
      </w:pPr>
      <w:r w:rsidRPr="008C3BC8">
        <w:rPr>
          <w:rFonts w:ascii="Arial" w:hAnsi="Arial" w:cs="Arial"/>
          <w:color w:val="000000"/>
          <w:sz w:val="20"/>
        </w:rPr>
        <w:t>Q</w:t>
      </w:r>
      <w:r w:rsidR="00C80D8F" w:rsidRPr="008C3BC8">
        <w:rPr>
          <w:rFonts w:ascii="Arial" w:hAnsi="Arial" w:cs="Arial"/>
          <w:color w:val="000000"/>
          <w:sz w:val="20"/>
        </w:rPr>
        <w:t>uestion</w:t>
      </w:r>
      <w:r w:rsidR="004108DD" w:rsidRPr="008C3BC8">
        <w:rPr>
          <w:rFonts w:ascii="Arial" w:hAnsi="Arial" w:cs="Arial"/>
          <w:color w:val="000000"/>
          <w:sz w:val="20"/>
        </w:rPr>
        <w:t>ing</w:t>
      </w:r>
      <w:r w:rsidR="00C80D8F" w:rsidRPr="008C3BC8">
        <w:rPr>
          <w:rFonts w:ascii="Arial" w:hAnsi="Arial" w:cs="Arial"/>
          <w:color w:val="000000"/>
          <w:sz w:val="20"/>
        </w:rPr>
        <w:t xml:space="preserve"> under s.38 is taken to be cross-examination</w:t>
      </w:r>
      <w:r w:rsidRPr="008C3BC8">
        <w:rPr>
          <w:rFonts w:ascii="Arial" w:hAnsi="Arial" w:cs="Arial"/>
          <w:color w:val="000000"/>
          <w:sz w:val="20"/>
        </w:rPr>
        <w:t xml:space="preserve"> [s.38(2)]</w:t>
      </w:r>
      <w:r w:rsidR="00C80D8F" w:rsidRPr="008C3BC8">
        <w:rPr>
          <w:rFonts w:ascii="Arial" w:hAnsi="Arial" w:cs="Arial"/>
          <w:color w:val="000000"/>
          <w:sz w:val="20"/>
        </w:rPr>
        <w:t xml:space="preserve">.  </w:t>
      </w:r>
      <w:r w:rsidRPr="008C3BC8">
        <w:rPr>
          <w:rFonts w:ascii="Arial" w:hAnsi="Arial" w:cs="Arial"/>
          <w:color w:val="000000"/>
          <w:sz w:val="20"/>
        </w:rPr>
        <w:t>Two of the matters that the court may take into account in determining whether to grant leave are set out in s.38(6) and t</w:t>
      </w:r>
      <w:r w:rsidR="00C80D8F" w:rsidRPr="008C3BC8">
        <w:rPr>
          <w:rFonts w:ascii="Arial" w:hAnsi="Arial" w:cs="Arial"/>
          <w:color w:val="000000"/>
          <w:sz w:val="20"/>
        </w:rPr>
        <w:t>he procedure to be followed is set out in ss.38(4) &amp; 38(5)</w:t>
      </w:r>
      <w:r w:rsidRPr="008C3BC8">
        <w:rPr>
          <w:rFonts w:ascii="Arial" w:hAnsi="Arial" w:cs="Arial"/>
          <w:color w:val="000000"/>
          <w:sz w:val="20"/>
        </w:rPr>
        <w:t>.</w:t>
      </w:r>
    </w:p>
    <w:p w14:paraId="5C198583" w14:textId="77777777" w:rsidR="00962C0C" w:rsidRPr="008C3BC8" w:rsidRDefault="00962C0C" w:rsidP="00962C0C">
      <w:pPr>
        <w:jc w:val="both"/>
        <w:rPr>
          <w:rFonts w:ascii="Arial" w:hAnsi="Arial" w:cs="Arial"/>
          <w:color w:val="000000"/>
          <w:sz w:val="20"/>
        </w:rPr>
      </w:pPr>
    </w:p>
    <w:p w14:paraId="5A23ED19" w14:textId="77777777" w:rsidR="00962C0C" w:rsidRPr="008C3BC8" w:rsidRDefault="00962C0C" w:rsidP="00962C0C">
      <w:pPr>
        <w:jc w:val="both"/>
        <w:rPr>
          <w:rFonts w:ascii="Arial" w:hAnsi="Arial" w:cs="Arial"/>
          <w:color w:val="000000"/>
          <w:sz w:val="20"/>
        </w:rPr>
      </w:pPr>
      <w:r w:rsidRPr="008C3BC8">
        <w:rPr>
          <w:rFonts w:ascii="Arial" w:hAnsi="Arial" w:cs="Arial"/>
          <w:color w:val="000000"/>
          <w:sz w:val="20"/>
        </w:rPr>
        <w:t xml:space="preserve">The word “unfavourable” does not mean adverse or hostile.  In </w:t>
      </w:r>
      <w:r w:rsidRPr="008C3BC8">
        <w:rPr>
          <w:rFonts w:ascii="Arial" w:hAnsi="Arial" w:cs="Arial"/>
          <w:i/>
          <w:color w:val="000000"/>
          <w:sz w:val="20"/>
        </w:rPr>
        <w:t>DPP v McRae</w:t>
      </w:r>
      <w:r w:rsidRPr="008C3BC8">
        <w:rPr>
          <w:rFonts w:ascii="Arial" w:hAnsi="Arial" w:cs="Arial"/>
          <w:color w:val="000000"/>
          <w:sz w:val="20"/>
        </w:rPr>
        <w:t xml:space="preserve"> [2010] VSC 114 at [24] Curtain J took it “to mean ‘not favourable’ as was held by Smart J in </w:t>
      </w:r>
      <w:r w:rsidRPr="008C3BC8">
        <w:rPr>
          <w:rFonts w:ascii="Arial" w:hAnsi="Arial" w:cs="Arial"/>
          <w:i/>
          <w:color w:val="000000"/>
          <w:sz w:val="20"/>
        </w:rPr>
        <w:t>R v Souleyman</w:t>
      </w:r>
      <w:r w:rsidRPr="008C3BC8">
        <w:rPr>
          <w:rFonts w:ascii="Arial" w:hAnsi="Arial" w:cs="Arial"/>
          <w:color w:val="000000"/>
          <w:sz w:val="20"/>
        </w:rPr>
        <w:t xml:space="preserve"> (1996) 40 NSWLR 712 and subsequently followed by courts in New South Wales.”  For discussion </w:t>
      </w:r>
      <w:r w:rsidR="0026410F" w:rsidRPr="008C3BC8">
        <w:rPr>
          <w:rFonts w:ascii="Arial" w:hAnsi="Arial" w:cs="Arial"/>
          <w:color w:val="000000"/>
          <w:sz w:val="20"/>
        </w:rPr>
        <w:t>of</w:t>
      </w:r>
      <w:r w:rsidRPr="008C3BC8">
        <w:rPr>
          <w:rFonts w:ascii="Arial" w:hAnsi="Arial" w:cs="Arial"/>
          <w:color w:val="000000"/>
          <w:sz w:val="20"/>
        </w:rPr>
        <w:t xml:space="preserve"> the relevant principles</w:t>
      </w:r>
      <w:r w:rsidR="0026410F" w:rsidRPr="008C3BC8">
        <w:rPr>
          <w:rFonts w:ascii="Arial" w:hAnsi="Arial" w:cs="Arial"/>
          <w:color w:val="000000"/>
          <w:sz w:val="20"/>
        </w:rPr>
        <w:t>,</w:t>
      </w:r>
      <w:r w:rsidRPr="008C3BC8">
        <w:rPr>
          <w:rFonts w:ascii="Arial" w:hAnsi="Arial" w:cs="Arial"/>
          <w:color w:val="000000"/>
          <w:sz w:val="20"/>
        </w:rPr>
        <w:t xml:space="preserve"> see </w:t>
      </w:r>
      <w:r w:rsidRPr="008C3BC8">
        <w:rPr>
          <w:rFonts w:ascii="Arial" w:hAnsi="Arial" w:cs="Arial"/>
          <w:i/>
          <w:color w:val="000000"/>
          <w:sz w:val="20"/>
        </w:rPr>
        <w:t>Adam v R</w:t>
      </w:r>
      <w:r w:rsidRPr="008C3BC8">
        <w:rPr>
          <w:rFonts w:ascii="Arial" w:hAnsi="Arial" w:cs="Arial"/>
          <w:color w:val="000000"/>
          <w:sz w:val="20"/>
        </w:rPr>
        <w:t xml:space="preserve"> (2001) 207 CLR 96 and the judgment of Curtain J in</w:t>
      </w:r>
      <w:r w:rsidRPr="008C3BC8">
        <w:rPr>
          <w:rFonts w:ascii="Arial" w:hAnsi="Arial" w:cs="Arial"/>
          <w:i/>
          <w:color w:val="000000"/>
          <w:sz w:val="20"/>
        </w:rPr>
        <w:t xml:space="preserve"> DPP v McRae</w:t>
      </w:r>
      <w:r w:rsidRPr="008C3BC8">
        <w:rPr>
          <w:rFonts w:ascii="Arial" w:hAnsi="Arial" w:cs="Arial"/>
          <w:color w:val="000000"/>
          <w:sz w:val="20"/>
        </w:rPr>
        <w:t>.</w:t>
      </w:r>
    </w:p>
    <w:p w14:paraId="6BD716E0" w14:textId="77777777" w:rsidR="00D01139" w:rsidRDefault="00D01139" w:rsidP="00D01139">
      <w:pPr>
        <w:jc w:val="both"/>
        <w:rPr>
          <w:rFonts w:ascii="Arial" w:hAnsi="Arial" w:cs="Arial"/>
          <w:sz w:val="20"/>
        </w:rPr>
      </w:pPr>
      <w:bookmarkStart w:id="852" w:name="_3.6_Statutory_interpretation"/>
      <w:bookmarkStart w:id="853" w:name="B36"/>
      <w:bookmarkStart w:id="854" w:name="_3.6_Statutory_interpretation_1"/>
      <w:bookmarkStart w:id="855" w:name="_Toc30608808"/>
      <w:bookmarkStart w:id="856" w:name="_Toc30610022"/>
      <w:bookmarkStart w:id="857" w:name="_Toc30610266"/>
      <w:bookmarkStart w:id="858" w:name="_Toc30638420"/>
      <w:bookmarkStart w:id="859" w:name="_Toc30644229"/>
      <w:bookmarkStart w:id="860" w:name="_Toc30644632"/>
      <w:bookmarkStart w:id="861" w:name="_Toc30645182"/>
      <w:bookmarkStart w:id="862" w:name="_Toc30646393"/>
      <w:bookmarkStart w:id="863" w:name="_Toc30646688"/>
      <w:bookmarkStart w:id="864" w:name="_Toc30646799"/>
      <w:bookmarkStart w:id="865" w:name="_Toc30648156"/>
      <w:bookmarkStart w:id="866" w:name="_Toc30649054"/>
      <w:bookmarkStart w:id="867" w:name="_Toc30649130"/>
      <w:bookmarkStart w:id="868" w:name="_Toc30649391"/>
      <w:bookmarkStart w:id="869" w:name="_Toc30649716"/>
      <w:bookmarkStart w:id="870" w:name="_Toc30651656"/>
      <w:bookmarkStart w:id="871" w:name="_Toc30652640"/>
      <w:bookmarkStart w:id="872" w:name="_Toc30652738"/>
      <w:bookmarkStart w:id="873" w:name="_Toc30654083"/>
      <w:bookmarkStart w:id="874" w:name="_Toc30654434"/>
      <w:bookmarkStart w:id="875" w:name="_Toc30655053"/>
      <w:bookmarkStart w:id="876" w:name="_Toc30655310"/>
      <w:bookmarkStart w:id="877" w:name="_Toc30656988"/>
      <w:bookmarkStart w:id="878" w:name="_Toc30661737"/>
      <w:bookmarkStart w:id="879" w:name="_Toc30666425"/>
      <w:bookmarkStart w:id="880" w:name="_Toc30666655"/>
      <w:bookmarkStart w:id="881" w:name="_Toc30667830"/>
      <w:bookmarkStart w:id="882" w:name="_Toc30669208"/>
      <w:bookmarkStart w:id="883" w:name="_Toc30671424"/>
      <w:bookmarkStart w:id="884" w:name="_Toc30673951"/>
      <w:bookmarkStart w:id="885" w:name="_Toc30691173"/>
      <w:bookmarkStart w:id="886" w:name="_Toc30691544"/>
      <w:bookmarkStart w:id="887" w:name="_Toc30691924"/>
      <w:bookmarkStart w:id="888" w:name="_Toc30692683"/>
      <w:bookmarkStart w:id="889" w:name="_Toc30693062"/>
      <w:bookmarkStart w:id="890" w:name="_Toc30693440"/>
      <w:bookmarkStart w:id="891" w:name="_Toc30693819"/>
      <w:bookmarkStart w:id="892" w:name="_Toc30694200"/>
      <w:bookmarkStart w:id="893" w:name="_Toc30698789"/>
      <w:bookmarkStart w:id="894" w:name="_Toc30699167"/>
      <w:bookmarkStart w:id="895" w:name="_Toc30699552"/>
      <w:bookmarkStart w:id="896" w:name="_Toc30700707"/>
      <w:bookmarkStart w:id="897" w:name="_Toc30701094"/>
      <w:bookmarkStart w:id="898" w:name="_Toc30743703"/>
      <w:bookmarkStart w:id="899" w:name="_Toc30754525"/>
      <w:bookmarkStart w:id="900" w:name="_Toc30756965"/>
      <w:bookmarkStart w:id="901" w:name="_Toc30757514"/>
      <w:bookmarkStart w:id="902" w:name="_Toc30757914"/>
      <w:bookmarkStart w:id="903" w:name="_Toc30762675"/>
      <w:bookmarkStart w:id="904" w:name="_Toc30767329"/>
      <w:bookmarkStart w:id="905" w:name="_Toc34823345"/>
      <w:bookmarkStart w:id="906" w:name="_Toc58831507"/>
      <w:bookmarkEnd w:id="852"/>
      <w:bookmarkEnd w:id="853"/>
      <w:bookmarkEnd w:id="854"/>
    </w:p>
    <w:p w14:paraId="078AB309" w14:textId="276C176E" w:rsidR="00C013B5" w:rsidRPr="008C3BC8" w:rsidRDefault="00C013B5" w:rsidP="00C013B5">
      <w:pPr>
        <w:pStyle w:val="Heading3"/>
        <w:keepNext/>
        <w:spacing w:after="120" w:line="240" w:lineRule="auto"/>
        <w:rPr>
          <w:rFonts w:ascii="Arial" w:hAnsi="Arial" w:cs="Arial"/>
          <w:b/>
          <w:bCs/>
          <w:color w:val="000000"/>
          <w:sz w:val="20"/>
        </w:rPr>
      </w:pPr>
      <w:bookmarkStart w:id="907" w:name="_3.5.16_Material_may"/>
      <w:bookmarkEnd w:id="907"/>
      <w:r w:rsidRPr="008C3BC8">
        <w:rPr>
          <w:rFonts w:ascii="Arial" w:hAnsi="Arial" w:cs="Arial"/>
          <w:b/>
          <w:bCs/>
          <w:color w:val="000000"/>
          <w:sz w:val="20"/>
        </w:rPr>
        <w:t>3.5.1</w:t>
      </w:r>
      <w:r>
        <w:rPr>
          <w:rFonts w:ascii="Arial" w:hAnsi="Arial" w:cs="Arial"/>
          <w:b/>
          <w:bCs/>
          <w:color w:val="000000"/>
          <w:sz w:val="20"/>
        </w:rPr>
        <w:t>6</w:t>
      </w:r>
      <w:r w:rsidRPr="008C3BC8">
        <w:rPr>
          <w:rFonts w:ascii="Arial" w:hAnsi="Arial" w:cs="Arial"/>
          <w:b/>
          <w:bCs/>
          <w:color w:val="000000"/>
          <w:sz w:val="20"/>
        </w:rPr>
        <w:tab/>
      </w:r>
      <w:r w:rsidR="000F7CF6">
        <w:rPr>
          <w:rFonts w:ascii="Arial" w:hAnsi="Arial" w:cs="Arial"/>
          <w:b/>
          <w:bCs/>
          <w:color w:val="000000"/>
          <w:sz w:val="20"/>
        </w:rPr>
        <w:t>Party m</w:t>
      </w:r>
      <w:r w:rsidR="00BD645B">
        <w:rPr>
          <w:rFonts w:ascii="Arial" w:hAnsi="Arial" w:cs="Arial"/>
          <w:b/>
          <w:bCs/>
          <w:color w:val="000000"/>
          <w:sz w:val="20"/>
        </w:rPr>
        <w:t>ust</w:t>
      </w:r>
      <w:r w:rsidR="000F7CF6">
        <w:rPr>
          <w:rFonts w:ascii="Arial" w:hAnsi="Arial" w:cs="Arial"/>
          <w:b/>
          <w:bCs/>
          <w:color w:val="000000"/>
          <w:sz w:val="20"/>
        </w:rPr>
        <w:t xml:space="preserve"> not file material with </w:t>
      </w:r>
      <w:r w:rsidR="00BD645B">
        <w:rPr>
          <w:rFonts w:ascii="Arial" w:hAnsi="Arial" w:cs="Arial"/>
          <w:b/>
          <w:bCs/>
          <w:color w:val="000000"/>
          <w:sz w:val="20"/>
        </w:rPr>
        <w:t xml:space="preserve">a </w:t>
      </w:r>
      <w:r w:rsidR="000F7CF6">
        <w:rPr>
          <w:rFonts w:ascii="Arial" w:hAnsi="Arial" w:cs="Arial"/>
          <w:b/>
          <w:bCs/>
          <w:color w:val="000000"/>
          <w:sz w:val="20"/>
        </w:rPr>
        <w:t xml:space="preserve">court </w:t>
      </w:r>
      <w:r>
        <w:rPr>
          <w:rFonts w:ascii="Arial" w:hAnsi="Arial" w:cs="Arial"/>
          <w:b/>
          <w:bCs/>
          <w:color w:val="000000"/>
          <w:sz w:val="20"/>
        </w:rPr>
        <w:t xml:space="preserve">without leave after </w:t>
      </w:r>
      <w:r w:rsidR="00A256E5">
        <w:rPr>
          <w:rFonts w:ascii="Arial" w:hAnsi="Arial" w:cs="Arial"/>
          <w:b/>
          <w:bCs/>
          <w:color w:val="000000"/>
          <w:sz w:val="20"/>
        </w:rPr>
        <w:t>judgment is</w:t>
      </w:r>
      <w:r w:rsidR="00DF67EF">
        <w:rPr>
          <w:rFonts w:ascii="Arial" w:hAnsi="Arial" w:cs="Arial"/>
          <w:b/>
          <w:bCs/>
          <w:color w:val="000000"/>
          <w:sz w:val="20"/>
        </w:rPr>
        <w:t xml:space="preserve"> reserved</w:t>
      </w:r>
    </w:p>
    <w:p w14:paraId="294D1772" w14:textId="59FE1E2D" w:rsidR="00C013B5" w:rsidRDefault="00C013B5" w:rsidP="00D01139">
      <w:pPr>
        <w:jc w:val="both"/>
        <w:rPr>
          <w:rFonts w:ascii="Arial" w:hAnsi="Arial" w:cs="Arial"/>
          <w:sz w:val="20"/>
        </w:rPr>
      </w:pPr>
      <w:r>
        <w:rPr>
          <w:rFonts w:ascii="Arial" w:hAnsi="Arial" w:cs="Arial"/>
          <w:sz w:val="20"/>
        </w:rPr>
        <w:t xml:space="preserve">In </w:t>
      </w:r>
      <w:r w:rsidRPr="00C013B5">
        <w:rPr>
          <w:rFonts w:ascii="Arial" w:hAnsi="Arial" w:cs="Arial"/>
          <w:i/>
          <w:iCs/>
          <w:sz w:val="20"/>
        </w:rPr>
        <w:t>Chen v Victorian Legal Services Commissioner</w:t>
      </w:r>
      <w:r w:rsidRPr="00C013B5">
        <w:rPr>
          <w:rFonts w:ascii="Arial" w:hAnsi="Arial" w:cs="Arial"/>
          <w:sz w:val="20"/>
        </w:rPr>
        <w:t xml:space="preserve"> [2026] VSC 320</w:t>
      </w:r>
      <w:r>
        <w:rPr>
          <w:rFonts w:ascii="Arial" w:hAnsi="Arial" w:cs="Arial"/>
          <w:sz w:val="20"/>
        </w:rPr>
        <w:t xml:space="preserve"> after hearing submissions from both parties on 24/04/2026 Watson J reserved his decision. On 29/04/2026 Ms Chen </w:t>
      </w:r>
      <w:r w:rsidR="00AA5347">
        <w:rPr>
          <w:rFonts w:ascii="Arial" w:hAnsi="Arial" w:cs="Arial"/>
          <w:sz w:val="20"/>
        </w:rPr>
        <w:t xml:space="preserve">– a solicitor who had appeared in person on 24/04/2026 – </w:t>
      </w:r>
      <w:r w:rsidRPr="00C013B5">
        <w:rPr>
          <w:rFonts w:ascii="Arial" w:hAnsi="Arial" w:cs="Arial"/>
          <w:sz w:val="20"/>
        </w:rPr>
        <w:t xml:space="preserve">emailed </w:t>
      </w:r>
      <w:r>
        <w:rPr>
          <w:rFonts w:ascii="Arial" w:hAnsi="Arial" w:cs="Arial"/>
          <w:sz w:val="20"/>
        </w:rPr>
        <w:t xml:space="preserve">his Honour’s </w:t>
      </w:r>
      <w:r w:rsidRPr="00C013B5">
        <w:rPr>
          <w:rFonts w:ascii="Arial" w:hAnsi="Arial" w:cs="Arial"/>
          <w:sz w:val="20"/>
        </w:rPr>
        <w:t xml:space="preserve">chambers enclosing 12 pages of further submissions. </w:t>
      </w:r>
      <w:r>
        <w:rPr>
          <w:rFonts w:ascii="Arial" w:hAnsi="Arial" w:cs="Arial"/>
          <w:sz w:val="20"/>
        </w:rPr>
        <w:t>She</w:t>
      </w:r>
      <w:r w:rsidRPr="00C013B5">
        <w:rPr>
          <w:rFonts w:ascii="Arial" w:hAnsi="Arial" w:cs="Arial"/>
          <w:sz w:val="20"/>
        </w:rPr>
        <w:t xml:space="preserve"> had not been granted leave to file further submissions and she had not sought leave to file them. </w:t>
      </w:r>
      <w:r>
        <w:rPr>
          <w:rFonts w:ascii="Arial" w:hAnsi="Arial" w:cs="Arial"/>
          <w:sz w:val="20"/>
        </w:rPr>
        <w:t xml:space="preserve">On 30/04/2026 his Honour’s chambers responded to Ms Chen in the following terms set out in paragraph [34] of his Honour’s judgment </w:t>
      </w:r>
      <w:r w:rsidR="00BD645B">
        <w:rPr>
          <w:rFonts w:ascii="Arial" w:hAnsi="Arial" w:cs="Arial"/>
          <w:sz w:val="20"/>
        </w:rPr>
        <w:t xml:space="preserve">which </w:t>
      </w:r>
      <w:r w:rsidR="00AA5347">
        <w:rPr>
          <w:rFonts w:ascii="Arial" w:hAnsi="Arial" w:cs="Arial"/>
          <w:sz w:val="20"/>
        </w:rPr>
        <w:t>refus</w:t>
      </w:r>
      <w:r w:rsidR="00BD645B">
        <w:rPr>
          <w:rFonts w:ascii="Arial" w:hAnsi="Arial" w:cs="Arial"/>
          <w:sz w:val="20"/>
        </w:rPr>
        <w:t>ed</w:t>
      </w:r>
      <w:r w:rsidR="00AA5347">
        <w:rPr>
          <w:rFonts w:ascii="Arial" w:hAnsi="Arial" w:cs="Arial"/>
          <w:sz w:val="20"/>
        </w:rPr>
        <w:t xml:space="preserve"> Ms Chen leave to appeal:</w:t>
      </w:r>
    </w:p>
    <w:p w14:paraId="0B5542C3" w14:textId="6D4AD8B3" w:rsidR="00AA5347" w:rsidRDefault="00AA5347" w:rsidP="00AA5347">
      <w:pPr>
        <w:spacing w:before="60"/>
        <w:ind w:left="567" w:right="567"/>
        <w:jc w:val="both"/>
        <w:rPr>
          <w:rFonts w:ascii="Arial" w:hAnsi="Arial" w:cs="Arial"/>
          <w:sz w:val="20"/>
        </w:rPr>
      </w:pPr>
      <w:r>
        <w:rPr>
          <w:rFonts w:ascii="Arial" w:hAnsi="Arial" w:cs="Arial"/>
          <w:sz w:val="20"/>
          <w:szCs w:val="20"/>
        </w:rPr>
        <w:t>“</w:t>
      </w:r>
      <w:r w:rsidR="00C013B5" w:rsidRPr="00C013B5">
        <w:rPr>
          <w:rFonts w:ascii="Arial" w:hAnsi="Arial" w:cs="Arial"/>
          <w:sz w:val="20"/>
        </w:rPr>
        <w:t xml:space="preserve">His Honour draws to Ms Chen's attention the following passage from </w:t>
      </w:r>
      <w:r w:rsidR="00C013B5" w:rsidRPr="00AA5347">
        <w:rPr>
          <w:rFonts w:ascii="Arial" w:hAnsi="Arial" w:cs="Arial"/>
          <w:i/>
          <w:iCs/>
          <w:sz w:val="20"/>
        </w:rPr>
        <w:t>Bale &amp; Anor v Mills</w:t>
      </w:r>
      <w:r w:rsidR="00C013B5" w:rsidRPr="00C013B5">
        <w:rPr>
          <w:rFonts w:ascii="Arial" w:hAnsi="Arial" w:cs="Arial"/>
          <w:sz w:val="20"/>
        </w:rPr>
        <w:t xml:space="preserve"> [2011] NSWCA 226 at [57]</w:t>
      </w:r>
      <w:r>
        <w:rPr>
          <w:rFonts w:ascii="Arial" w:hAnsi="Arial" w:cs="Arial"/>
          <w:sz w:val="20"/>
        </w:rPr>
        <w:t>-</w:t>
      </w:r>
      <w:r w:rsidR="00C013B5" w:rsidRPr="00C013B5">
        <w:rPr>
          <w:rFonts w:ascii="Arial" w:hAnsi="Arial" w:cs="Arial"/>
          <w:sz w:val="20"/>
        </w:rPr>
        <w:t>[61]:</w:t>
      </w:r>
    </w:p>
    <w:p w14:paraId="17B6CF3D" w14:textId="77777777" w:rsidR="00AA5347" w:rsidRPr="00AA5347" w:rsidRDefault="00C013B5" w:rsidP="00AA5347">
      <w:pPr>
        <w:spacing w:before="60"/>
        <w:ind w:left="1021" w:right="1021"/>
        <w:jc w:val="both"/>
        <w:rPr>
          <w:rFonts w:ascii="Arial" w:hAnsi="Arial" w:cs="Arial"/>
          <w:sz w:val="18"/>
          <w:szCs w:val="22"/>
        </w:rPr>
      </w:pPr>
      <w:r w:rsidRPr="00AA5347">
        <w:rPr>
          <w:rFonts w:ascii="Arial" w:hAnsi="Arial" w:cs="Arial"/>
          <w:sz w:val="18"/>
          <w:szCs w:val="22"/>
        </w:rPr>
        <w:t xml:space="preserve">It is useful, however, to remind the parties (and through the publication of these reasons the profession and public generally) of the correct position that has been stated, over and over again, by the courts. The High Court, intermediate courts of appeal and other courts have deprecated in strong terms the filing of material after an appeal without, or outside, any leave given: </w:t>
      </w:r>
      <w:r w:rsidRPr="00AA5347">
        <w:rPr>
          <w:rFonts w:ascii="Arial" w:hAnsi="Arial" w:cs="Arial"/>
          <w:i/>
          <w:iCs/>
          <w:sz w:val="18"/>
          <w:szCs w:val="22"/>
        </w:rPr>
        <w:t>Carr v Finance Corporation of Australia Ltd (No 1)</w:t>
      </w:r>
      <w:r w:rsidRPr="00AA5347">
        <w:rPr>
          <w:rFonts w:ascii="Arial" w:hAnsi="Arial" w:cs="Arial"/>
          <w:sz w:val="18"/>
          <w:szCs w:val="22"/>
        </w:rPr>
        <w:t xml:space="preserve"> [1981] HCA 20; 147 CLR 246; </w:t>
      </w:r>
      <w:r w:rsidRPr="00AA5347">
        <w:rPr>
          <w:rFonts w:ascii="Arial" w:hAnsi="Arial" w:cs="Arial"/>
          <w:i/>
          <w:iCs/>
          <w:sz w:val="18"/>
          <w:szCs w:val="22"/>
        </w:rPr>
        <w:t>In the matter of an application by the Chief Commissioner of Police (Vic)</w:t>
      </w:r>
      <w:r w:rsidRPr="00AA5347">
        <w:rPr>
          <w:rFonts w:ascii="Arial" w:hAnsi="Arial" w:cs="Arial"/>
          <w:sz w:val="18"/>
          <w:szCs w:val="22"/>
        </w:rPr>
        <w:t xml:space="preserve"> [2005] HCA 18; 79 ALJR 881 at 884–885 [19] – [23] and 890 [53]–[54]; </w:t>
      </w:r>
      <w:r w:rsidRPr="00AA5347">
        <w:rPr>
          <w:rFonts w:ascii="Arial" w:hAnsi="Arial" w:cs="Arial"/>
          <w:i/>
          <w:iCs/>
          <w:sz w:val="18"/>
          <w:szCs w:val="22"/>
        </w:rPr>
        <w:t>Dwyer v Commonwealth of Australia</w:t>
      </w:r>
      <w:r w:rsidRPr="00AA5347">
        <w:rPr>
          <w:rFonts w:ascii="Arial" w:hAnsi="Arial" w:cs="Arial"/>
          <w:sz w:val="18"/>
          <w:szCs w:val="22"/>
        </w:rPr>
        <w:t xml:space="preserve"> (1995) 31 ATR 48; </w:t>
      </w:r>
      <w:r w:rsidRPr="00AA5347">
        <w:rPr>
          <w:rFonts w:ascii="Arial" w:hAnsi="Arial" w:cs="Arial"/>
          <w:i/>
          <w:iCs/>
          <w:sz w:val="18"/>
          <w:szCs w:val="22"/>
        </w:rPr>
        <w:t xml:space="preserve">Kirwan v </w:t>
      </w:r>
      <w:proofErr w:type="spellStart"/>
      <w:r w:rsidRPr="00AA5347">
        <w:rPr>
          <w:rFonts w:ascii="Arial" w:hAnsi="Arial" w:cs="Arial"/>
          <w:i/>
          <w:iCs/>
          <w:sz w:val="18"/>
          <w:szCs w:val="22"/>
        </w:rPr>
        <w:t>Cresvale</w:t>
      </w:r>
      <w:proofErr w:type="spellEnd"/>
      <w:r w:rsidRPr="00AA5347">
        <w:rPr>
          <w:rFonts w:ascii="Arial" w:hAnsi="Arial" w:cs="Arial"/>
          <w:i/>
          <w:iCs/>
          <w:sz w:val="18"/>
          <w:szCs w:val="22"/>
        </w:rPr>
        <w:t xml:space="preserve"> Far East Ltd (In </w:t>
      </w:r>
      <w:proofErr w:type="spellStart"/>
      <w:r w:rsidRPr="00AA5347">
        <w:rPr>
          <w:rFonts w:ascii="Arial" w:hAnsi="Arial" w:cs="Arial"/>
          <w:i/>
          <w:iCs/>
          <w:sz w:val="18"/>
          <w:szCs w:val="22"/>
        </w:rPr>
        <w:t>liq</w:t>
      </w:r>
      <w:proofErr w:type="spellEnd"/>
      <w:r w:rsidRPr="00AA5347">
        <w:rPr>
          <w:rFonts w:ascii="Arial" w:hAnsi="Arial" w:cs="Arial"/>
          <w:i/>
          <w:iCs/>
          <w:sz w:val="18"/>
          <w:szCs w:val="22"/>
        </w:rPr>
        <w:t>)</w:t>
      </w:r>
      <w:r w:rsidRPr="00AA5347">
        <w:rPr>
          <w:rFonts w:ascii="Arial" w:hAnsi="Arial" w:cs="Arial"/>
          <w:sz w:val="18"/>
          <w:szCs w:val="22"/>
        </w:rPr>
        <w:t xml:space="preserve"> [2002] NSWCA 395; 44 ACSR 21 at [340]; </w:t>
      </w:r>
      <w:r w:rsidRPr="00AA5347">
        <w:rPr>
          <w:rFonts w:ascii="Arial" w:hAnsi="Arial" w:cs="Arial"/>
          <w:i/>
          <w:iCs/>
          <w:sz w:val="18"/>
          <w:szCs w:val="22"/>
        </w:rPr>
        <w:t>Chapman v Caska</w:t>
      </w:r>
      <w:r w:rsidRPr="00AA5347">
        <w:rPr>
          <w:rFonts w:ascii="Arial" w:hAnsi="Arial" w:cs="Arial"/>
          <w:sz w:val="18"/>
          <w:szCs w:val="22"/>
        </w:rPr>
        <w:t xml:space="preserve"> [2005] NSWCA 113 at [19]; </w:t>
      </w:r>
      <w:r w:rsidRPr="00AA5347">
        <w:rPr>
          <w:rFonts w:ascii="Arial" w:hAnsi="Arial" w:cs="Arial"/>
          <w:i/>
          <w:iCs/>
          <w:sz w:val="18"/>
          <w:szCs w:val="22"/>
        </w:rPr>
        <w:t>Willis v Health Communications Network Ltd</w:t>
      </w:r>
      <w:r w:rsidRPr="00AA5347">
        <w:rPr>
          <w:rFonts w:ascii="Arial" w:hAnsi="Arial" w:cs="Arial"/>
          <w:sz w:val="18"/>
          <w:szCs w:val="22"/>
        </w:rPr>
        <w:t xml:space="preserve"> [2007] NSWCA 313; 167 IR 425 at [35]; </w:t>
      </w:r>
      <w:r w:rsidRPr="00AA5347">
        <w:rPr>
          <w:rFonts w:ascii="Arial" w:hAnsi="Arial" w:cs="Arial"/>
          <w:i/>
          <w:iCs/>
          <w:sz w:val="18"/>
          <w:szCs w:val="22"/>
        </w:rPr>
        <w:t>Singh v Secretary, Department of Employment and Workplace Relations</w:t>
      </w:r>
      <w:r w:rsidRPr="00AA5347">
        <w:rPr>
          <w:rFonts w:ascii="Arial" w:hAnsi="Arial" w:cs="Arial"/>
          <w:sz w:val="18"/>
          <w:szCs w:val="22"/>
        </w:rPr>
        <w:t xml:space="preserve"> [2009] FCAFC 59 at [62]– [73]; </w:t>
      </w:r>
      <w:r w:rsidRPr="00AA5347">
        <w:rPr>
          <w:rFonts w:ascii="Arial" w:hAnsi="Arial" w:cs="Arial"/>
          <w:i/>
          <w:iCs/>
          <w:sz w:val="18"/>
          <w:szCs w:val="22"/>
        </w:rPr>
        <w:t>Jackson v Conway</w:t>
      </w:r>
      <w:r w:rsidRPr="00AA5347">
        <w:rPr>
          <w:rFonts w:ascii="Arial" w:hAnsi="Arial" w:cs="Arial"/>
          <w:sz w:val="18"/>
          <w:szCs w:val="22"/>
        </w:rPr>
        <w:t xml:space="preserve"> [2000] FCA 1530; </w:t>
      </w:r>
      <w:r w:rsidRPr="00AA5347">
        <w:rPr>
          <w:rFonts w:ascii="Arial" w:hAnsi="Arial" w:cs="Arial"/>
          <w:i/>
          <w:iCs/>
          <w:sz w:val="18"/>
          <w:szCs w:val="22"/>
        </w:rPr>
        <w:t>R v Theophanous</w:t>
      </w:r>
      <w:r w:rsidRPr="00AA5347">
        <w:rPr>
          <w:rFonts w:ascii="Arial" w:hAnsi="Arial" w:cs="Arial"/>
          <w:sz w:val="18"/>
          <w:szCs w:val="22"/>
        </w:rPr>
        <w:t xml:space="preserve"> [2003] VSCA 99; 141 A Crim R 216 at 286 [14]; and </w:t>
      </w:r>
      <w:r w:rsidRPr="00AA5347">
        <w:rPr>
          <w:rFonts w:ascii="Arial" w:hAnsi="Arial" w:cs="Arial"/>
          <w:i/>
          <w:iCs/>
          <w:sz w:val="18"/>
          <w:szCs w:val="22"/>
        </w:rPr>
        <w:t>R v Zhan Yu Zhong</w:t>
      </w:r>
      <w:r w:rsidRPr="00AA5347">
        <w:rPr>
          <w:rFonts w:ascii="Arial" w:hAnsi="Arial" w:cs="Arial"/>
          <w:sz w:val="18"/>
          <w:szCs w:val="22"/>
        </w:rPr>
        <w:t xml:space="preserve"> [2003] VSCA 56; 139 A Crim R 220 at 221 [2]–[4]. </w:t>
      </w:r>
    </w:p>
    <w:p w14:paraId="39E07847" w14:textId="77777777" w:rsidR="00AA5347" w:rsidRPr="00AA5347" w:rsidRDefault="00C013B5" w:rsidP="00AA5347">
      <w:pPr>
        <w:spacing w:before="60"/>
        <w:ind w:left="1021" w:right="1021"/>
        <w:jc w:val="both"/>
        <w:rPr>
          <w:rFonts w:ascii="Arial" w:hAnsi="Arial" w:cs="Arial"/>
          <w:sz w:val="18"/>
          <w:szCs w:val="22"/>
        </w:rPr>
      </w:pPr>
      <w:r w:rsidRPr="00AA5347">
        <w:rPr>
          <w:rFonts w:ascii="Arial" w:hAnsi="Arial" w:cs="Arial"/>
          <w:sz w:val="18"/>
          <w:szCs w:val="22"/>
        </w:rPr>
        <w:t>Notwithstanding these clear statements the practice still occurs. That the practice still occurs notwithstanding the regular statements of the courts that it should not is no reason not to continue to state clearly to the profession and the public the correct position.</w:t>
      </w:r>
    </w:p>
    <w:p w14:paraId="0D8CB809" w14:textId="77777777" w:rsidR="00AA5347" w:rsidRPr="00AA5347" w:rsidRDefault="00C013B5" w:rsidP="00AA5347">
      <w:pPr>
        <w:spacing w:before="60"/>
        <w:ind w:left="1021" w:right="1021"/>
        <w:jc w:val="both"/>
        <w:rPr>
          <w:rFonts w:ascii="Arial" w:hAnsi="Arial" w:cs="Arial"/>
          <w:sz w:val="18"/>
          <w:szCs w:val="22"/>
        </w:rPr>
      </w:pPr>
      <w:r w:rsidRPr="00AA5347">
        <w:rPr>
          <w:rFonts w:ascii="Arial" w:hAnsi="Arial" w:cs="Arial"/>
          <w:b/>
          <w:bCs/>
          <w:sz w:val="18"/>
          <w:szCs w:val="22"/>
        </w:rPr>
        <w:t>Not only have the parties and their legal representatives no right (whether they agree among themselves to do it or not) to place before the court without prior leave further material after an appeal has been heard, it is wrong.</w:t>
      </w:r>
      <w:r w:rsidRPr="00AA5347">
        <w:rPr>
          <w:rFonts w:ascii="Arial" w:hAnsi="Arial" w:cs="Arial"/>
          <w:sz w:val="18"/>
          <w:szCs w:val="22"/>
        </w:rPr>
        <w:t xml:space="preserve"> It undermines and derogates from the principle of the open administration of justice. The practice is not legitimated by sending the material and in that material seeking leave. The proper course (unless prior leave, statute or court rule permits otherwise) is for the proceedings to be relisted so that an application to enlarge the record can be made and determined in open court: see </w:t>
      </w:r>
      <w:r w:rsidRPr="00AA5347">
        <w:rPr>
          <w:rFonts w:ascii="Arial" w:hAnsi="Arial" w:cs="Arial"/>
          <w:i/>
          <w:iCs/>
          <w:sz w:val="18"/>
          <w:szCs w:val="22"/>
        </w:rPr>
        <w:t>In the matter of an application by the Chief Commissioner of Police (Vic)</w:t>
      </w:r>
      <w:r w:rsidRPr="00AA5347">
        <w:rPr>
          <w:rFonts w:ascii="Arial" w:hAnsi="Arial" w:cs="Arial"/>
          <w:sz w:val="18"/>
          <w:szCs w:val="22"/>
        </w:rPr>
        <w:t xml:space="preserve"> [2005] HCA 18; 79 ALJR 881 at 890 [54] per Kirby J. </w:t>
      </w:r>
    </w:p>
    <w:p w14:paraId="5CAEF698" w14:textId="77777777" w:rsidR="00AA5347" w:rsidRPr="00AA5347" w:rsidRDefault="00C013B5" w:rsidP="00AA5347">
      <w:pPr>
        <w:spacing w:before="60"/>
        <w:ind w:left="1021" w:right="1021"/>
        <w:jc w:val="both"/>
        <w:rPr>
          <w:rFonts w:ascii="Arial" w:hAnsi="Arial" w:cs="Arial"/>
          <w:sz w:val="18"/>
          <w:szCs w:val="22"/>
        </w:rPr>
      </w:pPr>
      <w:r w:rsidRPr="00AA5347">
        <w:rPr>
          <w:rFonts w:ascii="Arial" w:hAnsi="Arial" w:cs="Arial"/>
          <w:sz w:val="18"/>
          <w:szCs w:val="22"/>
        </w:rPr>
        <w:t xml:space="preserve">The appeal is not an occasion merely for a discussion of the issues so that the parties can go away to </w:t>
      </w:r>
      <w:proofErr w:type="spellStart"/>
      <w:r w:rsidRPr="00AA5347">
        <w:rPr>
          <w:rFonts w:ascii="Arial" w:hAnsi="Arial" w:cs="Arial"/>
          <w:sz w:val="18"/>
          <w:szCs w:val="22"/>
        </w:rPr>
        <w:t>marshall</w:t>
      </w:r>
      <w:proofErr w:type="spellEnd"/>
      <w:r w:rsidRPr="00AA5347">
        <w:rPr>
          <w:rFonts w:ascii="Arial" w:hAnsi="Arial" w:cs="Arial"/>
          <w:sz w:val="18"/>
          <w:szCs w:val="22"/>
        </w:rPr>
        <w:t xml:space="preserve"> and develop their</w:t>
      </w:r>
      <w:r w:rsidR="00AA5347" w:rsidRPr="00AA5347">
        <w:rPr>
          <w:rFonts w:ascii="Arial" w:hAnsi="Arial" w:cs="Arial"/>
          <w:sz w:val="18"/>
          <w:szCs w:val="22"/>
        </w:rPr>
        <w:t xml:space="preserve"> </w:t>
      </w:r>
      <w:r w:rsidRPr="00AA5347">
        <w:rPr>
          <w:rFonts w:ascii="Arial" w:hAnsi="Arial" w:cs="Arial"/>
          <w:sz w:val="18"/>
          <w:szCs w:val="22"/>
        </w:rPr>
        <w:t xml:space="preserve">ideas further, bearing in mind the discussion </w:t>
      </w:r>
      <w:r w:rsidRPr="00AA5347">
        <w:rPr>
          <w:rFonts w:ascii="Arial" w:hAnsi="Arial" w:cs="Arial"/>
          <w:sz w:val="18"/>
          <w:szCs w:val="22"/>
        </w:rPr>
        <w:lastRenderedPageBreak/>
        <w:t xml:space="preserve">with the court. It is the time and place when and where argument, and sometimes decision, occurs. </w:t>
      </w:r>
      <w:r w:rsidRPr="00AA5347">
        <w:rPr>
          <w:rFonts w:ascii="Arial" w:hAnsi="Arial" w:cs="Arial"/>
          <w:b/>
          <w:bCs/>
          <w:sz w:val="18"/>
          <w:szCs w:val="22"/>
        </w:rPr>
        <w:t>Once the appeal is reserved, the parties’ rights to argument and to be heard have been exhausted.</w:t>
      </w:r>
      <w:r w:rsidRPr="00AA5347">
        <w:rPr>
          <w:rFonts w:ascii="Arial" w:hAnsi="Arial" w:cs="Arial"/>
          <w:sz w:val="18"/>
          <w:szCs w:val="22"/>
        </w:rPr>
        <w:t xml:space="preserve"> </w:t>
      </w:r>
    </w:p>
    <w:p w14:paraId="595807CB" w14:textId="01D43850" w:rsidR="00AA5347" w:rsidRPr="00AA5347" w:rsidRDefault="00C013B5" w:rsidP="00AA5347">
      <w:pPr>
        <w:spacing w:before="60"/>
        <w:ind w:left="1021" w:right="1021"/>
        <w:jc w:val="both"/>
        <w:rPr>
          <w:rFonts w:ascii="Arial" w:hAnsi="Arial" w:cs="Arial"/>
          <w:sz w:val="18"/>
          <w:szCs w:val="22"/>
        </w:rPr>
      </w:pPr>
      <w:r w:rsidRPr="00AA5347">
        <w:rPr>
          <w:rFonts w:ascii="Arial" w:hAnsi="Arial" w:cs="Arial"/>
          <w:b/>
          <w:bCs/>
          <w:sz w:val="18"/>
          <w:szCs w:val="22"/>
        </w:rPr>
        <w:t xml:space="preserve">The consequence of this is not only that sending submissions to the court is wrong, but also the court may (and generally will) ignore what has been sent. </w:t>
      </w:r>
      <w:r w:rsidRPr="00AA5347">
        <w:rPr>
          <w:rFonts w:ascii="Arial" w:hAnsi="Arial" w:cs="Arial"/>
          <w:sz w:val="18"/>
          <w:szCs w:val="22"/>
        </w:rPr>
        <w:t>(emphasis added)</w:t>
      </w:r>
    </w:p>
    <w:p w14:paraId="6C6A97B8" w14:textId="7F4D7E8C" w:rsidR="00C013B5" w:rsidRPr="00082D41" w:rsidRDefault="00C013B5" w:rsidP="00082D41">
      <w:pPr>
        <w:spacing w:before="60"/>
        <w:ind w:left="567" w:right="567"/>
        <w:jc w:val="both"/>
        <w:rPr>
          <w:rFonts w:ascii="Arial" w:hAnsi="Arial" w:cs="Arial"/>
          <w:sz w:val="20"/>
          <w:szCs w:val="20"/>
        </w:rPr>
      </w:pPr>
      <w:r w:rsidRPr="00082D41">
        <w:rPr>
          <w:rFonts w:ascii="Arial" w:hAnsi="Arial" w:cs="Arial"/>
          <w:sz w:val="20"/>
        </w:rPr>
        <w:t xml:space="preserve">Further, his Honour draws Ms Chen's attention to the provisions of Practice Note SC Gen 4 Custom and Protocol clause 6.6 and rule 22.5 of the </w:t>
      </w:r>
      <w:r w:rsidRPr="00082D41">
        <w:rPr>
          <w:rFonts w:ascii="Arial" w:hAnsi="Arial" w:cs="Arial"/>
          <w:i/>
          <w:iCs/>
          <w:sz w:val="20"/>
        </w:rPr>
        <w:t>Legal Profession Uniform Law Australian Solicitors' Conduct Rules 2015</w:t>
      </w:r>
      <w:r w:rsidRPr="00082D41">
        <w:rPr>
          <w:rFonts w:ascii="Arial" w:hAnsi="Arial" w:cs="Arial"/>
          <w:sz w:val="20"/>
        </w:rPr>
        <w:t xml:space="preserve"> regarding informing other parties before contacting an Associate.</w:t>
      </w:r>
      <w:r w:rsidR="00AA5347" w:rsidRPr="00082D41">
        <w:rPr>
          <w:rFonts w:ascii="Arial" w:hAnsi="Arial" w:cs="Arial"/>
          <w:sz w:val="20"/>
        </w:rPr>
        <w:t>”</w:t>
      </w:r>
    </w:p>
    <w:p w14:paraId="776DC3D4" w14:textId="77777777" w:rsidR="00C013B5" w:rsidRDefault="00C013B5" w:rsidP="00D01139">
      <w:pPr>
        <w:jc w:val="both"/>
        <w:rPr>
          <w:rFonts w:ascii="Arial" w:hAnsi="Arial" w:cs="Arial"/>
          <w:sz w:val="20"/>
        </w:rPr>
      </w:pPr>
    </w:p>
    <w:p w14:paraId="2FD22271" w14:textId="312F6009" w:rsidR="00BD645B" w:rsidRDefault="00BD645B" w:rsidP="00BD645B">
      <w:pPr>
        <w:jc w:val="both"/>
        <w:rPr>
          <w:rFonts w:ascii="Arial" w:hAnsi="Arial" w:cs="Arial"/>
          <w:sz w:val="20"/>
        </w:rPr>
      </w:pPr>
      <w:r>
        <w:rPr>
          <w:rFonts w:ascii="Arial" w:hAnsi="Arial" w:cs="Arial"/>
          <w:sz w:val="20"/>
        </w:rPr>
        <w:t xml:space="preserve">Although the above quote from </w:t>
      </w:r>
      <w:r w:rsidRPr="00AA5347">
        <w:rPr>
          <w:rFonts w:ascii="Arial" w:hAnsi="Arial" w:cs="Arial"/>
          <w:i/>
          <w:iCs/>
          <w:sz w:val="20"/>
        </w:rPr>
        <w:t>Bale &amp; Anor v Mills</w:t>
      </w:r>
      <w:r>
        <w:rPr>
          <w:rFonts w:ascii="Arial" w:hAnsi="Arial" w:cs="Arial"/>
          <w:i/>
          <w:iCs/>
          <w:sz w:val="20"/>
        </w:rPr>
        <w:t xml:space="preserve"> </w:t>
      </w:r>
      <w:r w:rsidRPr="00BD645B">
        <w:rPr>
          <w:rFonts w:ascii="Arial" w:hAnsi="Arial" w:cs="Arial"/>
          <w:sz w:val="20"/>
        </w:rPr>
        <w:t xml:space="preserve">is expressed as applicable to </w:t>
      </w:r>
      <w:r>
        <w:rPr>
          <w:rFonts w:ascii="Arial" w:hAnsi="Arial" w:cs="Arial"/>
          <w:sz w:val="20"/>
        </w:rPr>
        <w:t xml:space="preserve">the filing of material after </w:t>
      </w:r>
      <w:r w:rsidRPr="00BD645B">
        <w:rPr>
          <w:rFonts w:ascii="Arial" w:hAnsi="Arial" w:cs="Arial"/>
          <w:b/>
          <w:bCs/>
          <w:sz w:val="20"/>
        </w:rPr>
        <w:t>an appeal</w:t>
      </w:r>
      <w:r>
        <w:rPr>
          <w:rFonts w:ascii="Arial" w:hAnsi="Arial" w:cs="Arial"/>
          <w:sz w:val="20"/>
        </w:rPr>
        <w:t xml:space="preserve"> has been reserved, the underlying principle appears to be equally applicable to the filing of material after </w:t>
      </w:r>
      <w:r w:rsidRPr="00BD645B">
        <w:rPr>
          <w:rFonts w:ascii="Arial" w:hAnsi="Arial" w:cs="Arial"/>
          <w:b/>
          <w:bCs/>
          <w:sz w:val="20"/>
        </w:rPr>
        <w:t>any hearing</w:t>
      </w:r>
      <w:r>
        <w:rPr>
          <w:rFonts w:ascii="Arial" w:hAnsi="Arial" w:cs="Arial"/>
          <w:sz w:val="20"/>
        </w:rPr>
        <w:t xml:space="preserve"> in which the decision has been reserved. It therefore seems relevant to proceedings in the Children’s Court.</w:t>
      </w:r>
    </w:p>
    <w:p w14:paraId="7AB4A32C" w14:textId="77777777" w:rsidR="00080B28" w:rsidRDefault="00080B28" w:rsidP="00080B28">
      <w:pPr>
        <w:jc w:val="both"/>
        <w:rPr>
          <w:rFonts w:ascii="Arial" w:hAnsi="Arial" w:cs="Arial"/>
          <w:color w:val="000000"/>
          <w:sz w:val="20"/>
        </w:rPr>
      </w:pPr>
    </w:p>
    <w:p w14:paraId="7EE4C452" w14:textId="77777777" w:rsidR="00080B28" w:rsidRDefault="00080B28" w:rsidP="00080B28">
      <w:pPr>
        <w:pBdr>
          <w:top w:val="single" w:sz="4" w:space="1" w:color="auto"/>
          <w:left w:val="single" w:sz="4" w:space="4" w:color="auto"/>
          <w:bottom w:val="single" w:sz="4" w:space="1" w:color="auto"/>
          <w:right w:val="single" w:sz="4" w:space="4" w:color="auto"/>
        </w:pBdr>
        <w:jc w:val="both"/>
        <w:rPr>
          <w:rFonts w:ascii="Arial" w:hAnsi="Arial" w:cs="Arial"/>
          <w:sz w:val="20"/>
        </w:rPr>
      </w:pPr>
      <w:r w:rsidRPr="00B64AC7">
        <w:rPr>
          <w:rFonts w:ascii="Arial" w:hAnsi="Arial" w:cs="Arial"/>
          <w:b/>
          <w:bCs/>
          <w:sz w:val="20"/>
          <w:shd w:val="clear" w:color="auto" w:fill="C5E0B3" w:themeFill="accent6" w:themeFillTint="66"/>
        </w:rPr>
        <w:t>Part 3.5</w:t>
      </w:r>
      <w:r>
        <w:rPr>
          <w:rFonts w:ascii="Arial" w:hAnsi="Arial" w:cs="Arial"/>
          <w:sz w:val="20"/>
        </w:rPr>
        <w:t xml:space="preserve"> is a simplified summary of the Court process.  For more details about Court hearings, see </w:t>
      </w:r>
      <w:r w:rsidRPr="00B64AC7">
        <w:rPr>
          <w:rFonts w:ascii="Arial" w:hAnsi="Arial" w:cs="Arial"/>
          <w:b/>
          <w:bCs/>
          <w:sz w:val="20"/>
          <w:shd w:val="clear" w:color="auto" w:fill="C5E0B3" w:themeFill="accent6" w:themeFillTint="66"/>
        </w:rPr>
        <w:t>Part</w:t>
      </w:r>
      <w:r w:rsidRPr="00B64AC7">
        <w:rPr>
          <w:rFonts w:ascii="Arial" w:hAnsi="Arial" w:cs="Arial"/>
          <w:sz w:val="20"/>
          <w:shd w:val="clear" w:color="auto" w:fill="C5E0B3" w:themeFill="accent6" w:themeFillTint="66"/>
        </w:rPr>
        <w:t xml:space="preserve"> </w:t>
      </w:r>
      <w:r w:rsidRPr="00B64AC7">
        <w:rPr>
          <w:rFonts w:ascii="Arial" w:hAnsi="Arial" w:cs="Arial"/>
          <w:b/>
          <w:bCs/>
          <w:sz w:val="20"/>
          <w:shd w:val="clear" w:color="auto" w:fill="C5E0B3" w:themeFill="accent6" w:themeFillTint="66"/>
        </w:rPr>
        <w:t>4.9</w:t>
      </w:r>
      <w:r>
        <w:rPr>
          <w:rFonts w:ascii="Arial" w:hAnsi="Arial" w:cs="Arial"/>
          <w:b/>
          <w:bCs/>
          <w:sz w:val="20"/>
        </w:rPr>
        <w:t xml:space="preserve"> Family Division Court hearings</w:t>
      </w:r>
      <w:r>
        <w:rPr>
          <w:rFonts w:ascii="Arial" w:hAnsi="Arial" w:cs="Arial"/>
          <w:sz w:val="20"/>
        </w:rPr>
        <w:t xml:space="preserve"> or </w:t>
      </w:r>
      <w:r w:rsidRPr="00B64AC7">
        <w:rPr>
          <w:rFonts w:ascii="Arial" w:hAnsi="Arial" w:cs="Arial"/>
          <w:b/>
          <w:bCs/>
          <w:sz w:val="20"/>
          <w:shd w:val="clear" w:color="auto" w:fill="C5E0B3" w:themeFill="accent6" w:themeFillTint="66"/>
        </w:rPr>
        <w:t>Part 10.3</w:t>
      </w:r>
      <w:r>
        <w:rPr>
          <w:rFonts w:ascii="Arial" w:hAnsi="Arial" w:cs="Arial"/>
          <w:b/>
          <w:bCs/>
          <w:sz w:val="20"/>
        </w:rPr>
        <w:t xml:space="preserve"> Criminal Division summary proceedings</w:t>
      </w:r>
      <w:r>
        <w:rPr>
          <w:rFonts w:ascii="Arial" w:hAnsi="Arial" w:cs="Arial"/>
          <w:sz w:val="20"/>
        </w:rPr>
        <w:t>.</w:t>
      </w:r>
    </w:p>
    <w:p w14:paraId="5BD8463D" w14:textId="77777777" w:rsidR="00080B28" w:rsidRDefault="00080B28" w:rsidP="00080B28">
      <w:pPr>
        <w:jc w:val="both"/>
        <w:rPr>
          <w:rFonts w:ascii="Arial" w:hAnsi="Arial" w:cs="Arial"/>
          <w:sz w:val="20"/>
        </w:rPr>
      </w:pPr>
    </w:p>
    <w:p w14:paraId="130B66E8" w14:textId="77777777" w:rsidR="00080B28" w:rsidRPr="00836E86" w:rsidRDefault="00080B28" w:rsidP="00080B28">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37779678" w14:textId="77777777" w:rsidR="00080B28" w:rsidRPr="00836E86" w:rsidRDefault="00080B28" w:rsidP="00080B28">
      <w:pPr>
        <w:rPr>
          <w:rFonts w:ascii="Arial" w:hAnsi="Arial" w:cs="Arial"/>
          <w:sz w:val="20"/>
        </w:rPr>
      </w:pPr>
    </w:p>
    <w:p w14:paraId="0BE8A27C" w14:textId="2215F27C" w:rsidR="00AB3569" w:rsidRDefault="00AB3569" w:rsidP="00BD645B">
      <w:pPr>
        <w:pStyle w:val="Heading2"/>
        <w:keepNext/>
        <w:keepLines/>
        <w:pageBreakBefore/>
        <w:tabs>
          <w:tab w:val="left" w:pos="567"/>
        </w:tabs>
        <w:spacing w:line="240" w:lineRule="auto"/>
        <w:rPr>
          <w:rFonts w:ascii="Arial" w:hAnsi="Arial" w:cs="Arial"/>
          <w:b/>
          <w:bCs/>
        </w:rPr>
      </w:pPr>
      <w:r>
        <w:rPr>
          <w:rFonts w:ascii="Arial" w:hAnsi="Arial" w:cs="Arial"/>
          <w:b/>
          <w:bCs/>
        </w:rPr>
        <w:lastRenderedPageBreak/>
        <w:t>3.6</w:t>
      </w:r>
      <w:r>
        <w:rPr>
          <w:rFonts w:ascii="Arial" w:hAnsi="Arial" w:cs="Arial"/>
          <w:b/>
          <w:bCs/>
        </w:rPr>
        <w:tab/>
        <w:t>Statutory interpretation</w:t>
      </w:r>
    </w:p>
    <w:p w14:paraId="76AE26A4" w14:textId="77777777" w:rsidR="00AB3569" w:rsidRDefault="00AB3569" w:rsidP="00190B72">
      <w:pPr>
        <w:keepNext/>
        <w:keepLines/>
        <w:jc w:val="both"/>
        <w:rPr>
          <w:rFonts w:ascii="Arial" w:hAnsi="Arial" w:cs="Arial"/>
          <w:sz w:val="20"/>
        </w:rPr>
      </w:pPr>
    </w:p>
    <w:p w14:paraId="120D593E" w14:textId="77777777" w:rsidR="00177B34" w:rsidRDefault="00177B34" w:rsidP="00177B34">
      <w:pPr>
        <w:jc w:val="both"/>
        <w:rPr>
          <w:rFonts w:ascii="Arial" w:hAnsi="Arial" w:cs="Arial"/>
          <w:sz w:val="20"/>
        </w:rPr>
      </w:pPr>
      <w:r>
        <w:rPr>
          <w:rFonts w:ascii="Arial" w:hAnsi="Arial" w:cs="Arial"/>
          <w:sz w:val="20"/>
        </w:rPr>
        <w:t xml:space="preserve">Most of the powers invested in and the duties imposed on </w:t>
      </w:r>
      <w:r w:rsidR="00D32C14">
        <w:rPr>
          <w:rFonts w:ascii="Arial" w:hAnsi="Arial" w:cs="Arial"/>
          <w:sz w:val="20"/>
        </w:rPr>
        <w:t xml:space="preserve">judicial officers and registrars in </w:t>
      </w:r>
      <w:r>
        <w:rPr>
          <w:rFonts w:ascii="Arial" w:hAnsi="Arial" w:cs="Arial"/>
          <w:sz w:val="20"/>
        </w:rPr>
        <w:t xml:space="preserve">the Children’s Court derive from various statutes, primarily Victorian statutes but also </w:t>
      </w:r>
      <w:r w:rsidR="007809A5">
        <w:rPr>
          <w:rFonts w:ascii="Arial" w:hAnsi="Arial" w:cs="Arial"/>
          <w:sz w:val="20"/>
        </w:rPr>
        <w:t>occasional</w:t>
      </w:r>
      <w:r w:rsidR="00D32C14">
        <w:rPr>
          <w:rFonts w:ascii="Arial" w:hAnsi="Arial" w:cs="Arial"/>
          <w:sz w:val="20"/>
        </w:rPr>
        <w:t>ly</w:t>
      </w:r>
      <w:r w:rsidR="007809A5">
        <w:rPr>
          <w:rFonts w:ascii="Arial" w:hAnsi="Arial" w:cs="Arial"/>
          <w:sz w:val="20"/>
        </w:rPr>
        <w:t xml:space="preserve"> </w:t>
      </w:r>
      <w:r w:rsidR="00D32C14">
        <w:rPr>
          <w:rFonts w:ascii="Arial" w:hAnsi="Arial" w:cs="Arial"/>
          <w:sz w:val="20"/>
        </w:rPr>
        <w:t xml:space="preserve">from </w:t>
      </w:r>
      <w:r>
        <w:rPr>
          <w:rFonts w:ascii="Arial" w:hAnsi="Arial" w:cs="Arial"/>
          <w:sz w:val="20"/>
        </w:rPr>
        <w:t>Commonwealth statute</w:t>
      </w:r>
      <w:r w:rsidR="00D32C14">
        <w:rPr>
          <w:rFonts w:ascii="Arial" w:hAnsi="Arial" w:cs="Arial"/>
          <w:sz w:val="20"/>
        </w:rPr>
        <w:t>s</w:t>
      </w:r>
      <w:r>
        <w:rPr>
          <w:rFonts w:ascii="Arial" w:hAnsi="Arial" w:cs="Arial"/>
          <w:sz w:val="20"/>
        </w:rPr>
        <w:t xml:space="preserve">.  The most frequently </w:t>
      </w:r>
      <w:r w:rsidR="007809A5">
        <w:rPr>
          <w:rFonts w:ascii="Arial" w:hAnsi="Arial" w:cs="Arial"/>
          <w:sz w:val="20"/>
        </w:rPr>
        <w:t>cit</w:t>
      </w:r>
      <w:r>
        <w:rPr>
          <w:rFonts w:ascii="Arial" w:hAnsi="Arial" w:cs="Arial"/>
          <w:sz w:val="20"/>
        </w:rPr>
        <w:t>ed statutes are:</w:t>
      </w:r>
    </w:p>
    <w:p w14:paraId="25255626" w14:textId="7DFC6EA1"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Children, Youth and Families Act 200</w:t>
      </w:r>
      <w:r w:rsidR="002F664D" w:rsidRPr="00A82F40">
        <w:rPr>
          <w:rFonts w:ascii="Arial" w:hAnsi="Arial" w:cs="Arial"/>
          <w:i/>
          <w:iCs/>
          <w:sz w:val="20"/>
        </w:rPr>
        <w:t>5</w:t>
      </w:r>
    </w:p>
    <w:p w14:paraId="2466B33E" w14:textId="22118D7F"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Family Violence Protection Act 2008</w:t>
      </w:r>
    </w:p>
    <w:p w14:paraId="12F71749" w14:textId="5FEB4FA2" w:rsidR="00177B34" w:rsidRPr="00A82F40" w:rsidRDefault="002F664D"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Personal Safety</w:t>
      </w:r>
      <w:r w:rsidR="00177B34" w:rsidRPr="00A82F40">
        <w:rPr>
          <w:rFonts w:ascii="Arial" w:hAnsi="Arial" w:cs="Arial"/>
          <w:i/>
          <w:iCs/>
          <w:sz w:val="20"/>
        </w:rPr>
        <w:t xml:space="preserve"> Intervention Orders Act 20</w:t>
      </w:r>
      <w:r w:rsidRPr="00A82F40">
        <w:rPr>
          <w:rFonts w:ascii="Arial" w:hAnsi="Arial" w:cs="Arial"/>
          <w:i/>
          <w:iCs/>
          <w:sz w:val="20"/>
        </w:rPr>
        <w:t>10</w:t>
      </w:r>
    </w:p>
    <w:p w14:paraId="2C45031E" w14:textId="005B4762" w:rsidR="00D32C14" w:rsidRPr="00A82F40" w:rsidRDefault="00D32C1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Magistrates’ Court Act 1989</w:t>
      </w:r>
    </w:p>
    <w:p w14:paraId="6E956731" w14:textId="3F79F99A"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 xml:space="preserve">Crimes Act 1958 </w:t>
      </w:r>
    </w:p>
    <w:p w14:paraId="74A4C612" w14:textId="51D9BFE4"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 xml:space="preserve">Evidence Act </w:t>
      </w:r>
      <w:r w:rsidR="009A6B9B" w:rsidRPr="00A82F40">
        <w:rPr>
          <w:rFonts w:ascii="Arial" w:hAnsi="Arial" w:cs="Arial"/>
          <w:i/>
          <w:iCs/>
          <w:sz w:val="20"/>
        </w:rPr>
        <w:t>200</w:t>
      </w:r>
      <w:r w:rsidRPr="00A82F40">
        <w:rPr>
          <w:rFonts w:ascii="Arial" w:hAnsi="Arial" w:cs="Arial"/>
          <w:i/>
          <w:iCs/>
          <w:sz w:val="20"/>
        </w:rPr>
        <w:t>8</w:t>
      </w:r>
    </w:p>
    <w:p w14:paraId="704FA9BB" w14:textId="228D27ED" w:rsidR="009A6B9B" w:rsidRPr="00A82F40" w:rsidRDefault="009A6B9B"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Criminal Procedure Act 2009</w:t>
      </w:r>
    </w:p>
    <w:p w14:paraId="3B2F5B40" w14:textId="4D95A821" w:rsidR="00D32C14" w:rsidRPr="00A82F40" w:rsidRDefault="00D32C1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Drugs, Poisons and Controlled Substances Act 1981</w:t>
      </w:r>
    </w:p>
    <w:p w14:paraId="22CC8AE1" w14:textId="43F44370"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Road Safety Act 1986</w:t>
      </w:r>
    </w:p>
    <w:p w14:paraId="1BF8B168" w14:textId="5036A954"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Summary Offences Act 198</w:t>
      </w:r>
      <w:r w:rsidR="00D32C14" w:rsidRPr="00A82F40">
        <w:rPr>
          <w:rFonts w:ascii="Arial" w:hAnsi="Arial" w:cs="Arial"/>
          <w:i/>
          <w:iCs/>
          <w:sz w:val="20"/>
        </w:rPr>
        <w:t>6</w:t>
      </w:r>
    </w:p>
    <w:p w14:paraId="2EBAAA30" w14:textId="46FFA7A2" w:rsidR="007809A5" w:rsidRPr="00A82F40" w:rsidRDefault="007809A5"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Crimes Act 1914</w:t>
      </w:r>
      <w:r w:rsidR="00A82F40" w:rsidRPr="00A82F40">
        <w:rPr>
          <w:rFonts w:ascii="Arial" w:hAnsi="Arial" w:cs="Arial"/>
          <w:sz w:val="20"/>
        </w:rPr>
        <w:t xml:space="preserve"> (Cth)</w:t>
      </w:r>
    </w:p>
    <w:p w14:paraId="4A1FD13F" w14:textId="269538A7" w:rsidR="00D32C14" w:rsidRPr="00A82F40" w:rsidRDefault="00D32C1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Family Law Act 1975</w:t>
      </w:r>
      <w:r w:rsidR="00A82F40" w:rsidRPr="00A82F40">
        <w:rPr>
          <w:rFonts w:ascii="Arial" w:hAnsi="Arial" w:cs="Arial"/>
          <w:sz w:val="20"/>
        </w:rPr>
        <w:t xml:space="preserve"> (Cth)</w:t>
      </w:r>
      <w:r w:rsidRPr="00A82F40">
        <w:rPr>
          <w:rFonts w:ascii="Arial" w:hAnsi="Arial" w:cs="Arial"/>
          <w:i/>
          <w:iCs/>
          <w:sz w:val="20"/>
        </w:rPr>
        <w:t>.</w:t>
      </w:r>
    </w:p>
    <w:p w14:paraId="41AB479C" w14:textId="5E7E8731" w:rsidR="00177B34" w:rsidRDefault="00177B34" w:rsidP="00177B34">
      <w:pPr>
        <w:jc w:val="both"/>
        <w:rPr>
          <w:rFonts w:ascii="Arial" w:hAnsi="Arial" w:cs="Arial"/>
          <w:sz w:val="20"/>
        </w:rPr>
      </w:pPr>
    </w:p>
    <w:p w14:paraId="6D0E44E5" w14:textId="77777777" w:rsidR="000E2BC0" w:rsidRDefault="00D32C14" w:rsidP="00177B34">
      <w:pPr>
        <w:jc w:val="both"/>
        <w:rPr>
          <w:rFonts w:ascii="Arial" w:hAnsi="Arial" w:cs="Arial"/>
          <w:sz w:val="20"/>
        </w:rPr>
      </w:pPr>
      <w:r>
        <w:rPr>
          <w:rFonts w:ascii="Arial" w:hAnsi="Arial" w:cs="Arial"/>
          <w:sz w:val="20"/>
        </w:rPr>
        <w:t>Although i</w:t>
      </w:r>
      <w:r w:rsidR="00177B34">
        <w:rPr>
          <w:rFonts w:ascii="Arial" w:hAnsi="Arial" w:cs="Arial"/>
          <w:sz w:val="20"/>
        </w:rPr>
        <w:t xml:space="preserve">t </w:t>
      </w:r>
      <w:r w:rsidR="004C7E7D">
        <w:rPr>
          <w:rFonts w:ascii="Arial" w:hAnsi="Arial" w:cs="Arial"/>
          <w:sz w:val="20"/>
        </w:rPr>
        <w:t xml:space="preserve">is not a frequent occurrence </w:t>
      </w:r>
      <w:r w:rsidR="009F7C91">
        <w:rPr>
          <w:rFonts w:ascii="Arial" w:hAnsi="Arial" w:cs="Arial"/>
          <w:sz w:val="20"/>
        </w:rPr>
        <w:t>in the Children’s Court</w:t>
      </w:r>
      <w:r>
        <w:rPr>
          <w:rFonts w:ascii="Arial" w:hAnsi="Arial" w:cs="Arial"/>
          <w:sz w:val="20"/>
        </w:rPr>
        <w:t>,</w:t>
      </w:r>
      <w:r w:rsidR="004C7E7D">
        <w:rPr>
          <w:rFonts w:ascii="Arial" w:hAnsi="Arial" w:cs="Arial"/>
          <w:sz w:val="20"/>
        </w:rPr>
        <w:t xml:space="preserve"> it </w:t>
      </w:r>
      <w:r w:rsidR="00177B34">
        <w:rPr>
          <w:rFonts w:ascii="Arial" w:hAnsi="Arial" w:cs="Arial"/>
          <w:sz w:val="20"/>
        </w:rPr>
        <w:t xml:space="preserve">sometimes happens that the presiding judicial officer is required to engage in </w:t>
      </w:r>
      <w:r>
        <w:rPr>
          <w:rFonts w:ascii="Arial" w:hAnsi="Arial" w:cs="Arial"/>
          <w:sz w:val="20"/>
        </w:rPr>
        <w:t xml:space="preserve">the interpretation of a </w:t>
      </w:r>
      <w:r w:rsidR="00177B34">
        <w:rPr>
          <w:rFonts w:ascii="Arial" w:hAnsi="Arial" w:cs="Arial"/>
          <w:sz w:val="20"/>
        </w:rPr>
        <w:t xml:space="preserve">statutory </w:t>
      </w:r>
      <w:r>
        <w:rPr>
          <w:rFonts w:ascii="Arial" w:hAnsi="Arial" w:cs="Arial"/>
          <w:sz w:val="20"/>
        </w:rPr>
        <w:t>provis</w:t>
      </w:r>
      <w:r w:rsidR="004C7E7D">
        <w:rPr>
          <w:rFonts w:ascii="Arial" w:hAnsi="Arial" w:cs="Arial"/>
          <w:sz w:val="20"/>
        </w:rPr>
        <w:t>ion</w:t>
      </w:r>
      <w:r w:rsidR="00177B34">
        <w:rPr>
          <w:rFonts w:ascii="Arial" w:hAnsi="Arial" w:cs="Arial"/>
          <w:sz w:val="20"/>
        </w:rPr>
        <w:t xml:space="preserve"> in the course of deciding a case. </w:t>
      </w:r>
      <w:r w:rsidR="009F7C91">
        <w:rPr>
          <w:rFonts w:ascii="Arial" w:hAnsi="Arial" w:cs="Arial"/>
          <w:sz w:val="20"/>
        </w:rPr>
        <w:t>A large number of text</w:t>
      </w:r>
      <w:r w:rsidR="00177B34">
        <w:rPr>
          <w:rFonts w:ascii="Arial" w:hAnsi="Arial" w:cs="Arial"/>
          <w:sz w:val="20"/>
        </w:rPr>
        <w:t>books have been written on the topic of statutory interpretation and a vast array o</w:t>
      </w:r>
      <w:r w:rsidR="009F7C91">
        <w:rPr>
          <w:rFonts w:ascii="Arial" w:hAnsi="Arial" w:cs="Arial"/>
          <w:sz w:val="20"/>
        </w:rPr>
        <w:t>f</w:t>
      </w:r>
      <w:r w:rsidR="00177B34">
        <w:rPr>
          <w:rFonts w:ascii="Arial" w:hAnsi="Arial" w:cs="Arial"/>
          <w:sz w:val="20"/>
        </w:rPr>
        <w:t xml:space="preserve"> case law, generated over centuries in the common law world, has addressed various aspects of the topic. </w:t>
      </w:r>
    </w:p>
    <w:p w14:paraId="6321C33C" w14:textId="77777777" w:rsidR="000E2BC0" w:rsidRDefault="000E2BC0" w:rsidP="00177B34">
      <w:pPr>
        <w:jc w:val="both"/>
        <w:rPr>
          <w:rFonts w:ascii="Arial" w:hAnsi="Arial" w:cs="Arial"/>
          <w:sz w:val="20"/>
        </w:rPr>
      </w:pPr>
    </w:p>
    <w:p w14:paraId="18CD4111" w14:textId="5891533E" w:rsidR="000E2BC0" w:rsidRPr="000E2BC0" w:rsidRDefault="003F7C81" w:rsidP="000E2BC0">
      <w:pPr>
        <w:jc w:val="both"/>
        <w:rPr>
          <w:rFonts w:ascii="Arial" w:hAnsi="Arial" w:cs="Arial"/>
          <w:sz w:val="20"/>
        </w:rPr>
      </w:pPr>
      <w:r>
        <w:rPr>
          <w:rFonts w:ascii="Arial" w:hAnsi="Arial" w:cs="Arial"/>
          <w:sz w:val="20"/>
        </w:rPr>
        <w:t xml:space="preserve">Part IV of the </w:t>
      </w:r>
      <w:r w:rsidRPr="003F7C81">
        <w:rPr>
          <w:rFonts w:ascii="Arial" w:hAnsi="Arial" w:cs="Arial"/>
          <w:i/>
          <w:iCs/>
          <w:sz w:val="20"/>
        </w:rPr>
        <w:t>Interpretation of Legislation Act 1984</w:t>
      </w:r>
      <w:r>
        <w:rPr>
          <w:rFonts w:ascii="Arial" w:hAnsi="Arial" w:cs="Arial"/>
          <w:sz w:val="20"/>
        </w:rPr>
        <w:t xml:space="preserve"> (Vic) is headed “</w:t>
      </w:r>
      <w:r w:rsidRPr="000E2BC0">
        <w:rPr>
          <w:rFonts w:ascii="Arial" w:hAnsi="Arial" w:cs="Arial"/>
          <w:b/>
          <w:sz w:val="20"/>
        </w:rPr>
        <w:t>Provisions applicable to Acts and subordinate instruments</w:t>
      </w:r>
      <w:r w:rsidRPr="003F7C81">
        <w:rPr>
          <w:rFonts w:ascii="Arial" w:hAnsi="Arial" w:cs="Arial"/>
          <w:bCs/>
          <w:sz w:val="20"/>
        </w:rPr>
        <w:t xml:space="preserve">”. Section 35 – under the heading </w:t>
      </w:r>
      <w:r>
        <w:rPr>
          <w:rFonts w:ascii="Arial" w:hAnsi="Arial" w:cs="Arial"/>
          <w:bCs/>
          <w:sz w:val="20"/>
        </w:rPr>
        <w:t>“</w:t>
      </w:r>
      <w:bookmarkStart w:id="908" w:name="_Toc216184837"/>
      <w:r w:rsidR="000E2BC0" w:rsidRPr="000E2BC0">
        <w:rPr>
          <w:rFonts w:ascii="Arial" w:hAnsi="Arial" w:cs="Arial"/>
          <w:b/>
          <w:sz w:val="20"/>
        </w:rPr>
        <w:t>Principles of and aids to interpretation</w:t>
      </w:r>
      <w:bookmarkEnd w:id="908"/>
      <w:r w:rsidRPr="003F7C81">
        <w:rPr>
          <w:rFonts w:ascii="Arial" w:hAnsi="Arial" w:cs="Arial"/>
          <w:bCs/>
          <w:sz w:val="20"/>
        </w:rPr>
        <w:t>”</w:t>
      </w:r>
      <w:r>
        <w:rPr>
          <w:rFonts w:ascii="Arial" w:hAnsi="Arial" w:cs="Arial"/>
          <w:sz w:val="20"/>
        </w:rPr>
        <w:t xml:space="preserve"> – provides:</w:t>
      </w:r>
    </w:p>
    <w:p w14:paraId="1545DB75" w14:textId="00930CA8" w:rsidR="000E2BC0" w:rsidRPr="000E2BC0" w:rsidRDefault="000E2BC0" w:rsidP="003F7C81">
      <w:pPr>
        <w:ind w:left="924" w:right="567" w:hanging="357"/>
        <w:jc w:val="both"/>
        <w:rPr>
          <w:rFonts w:ascii="Arial" w:hAnsi="Arial" w:cs="Arial"/>
          <w:sz w:val="20"/>
        </w:rPr>
      </w:pPr>
      <w:r w:rsidRPr="000E2BC0">
        <w:rPr>
          <w:rFonts w:ascii="Arial" w:hAnsi="Arial" w:cs="Arial"/>
          <w:sz w:val="20"/>
        </w:rPr>
        <w:t>(a)</w:t>
      </w:r>
      <w:r w:rsidRPr="000E2BC0">
        <w:rPr>
          <w:rFonts w:ascii="Arial" w:hAnsi="Arial" w:cs="Arial"/>
          <w:sz w:val="20"/>
        </w:rPr>
        <w:tab/>
        <w:t>a construction that would promote the purpose or object underlying the Act or subordinate instrument (whether or not that purpose or object is expressly stated in the Act or subordinate instrument) shall be preferred to a construction that would not promote that purpose or object; and</w:t>
      </w:r>
    </w:p>
    <w:p w14:paraId="3400C669" w14:textId="24592F06" w:rsidR="000E2BC0" w:rsidRPr="000E2BC0" w:rsidRDefault="000E2BC0" w:rsidP="003F7C81">
      <w:pPr>
        <w:ind w:left="924" w:right="567" w:hanging="357"/>
        <w:jc w:val="both"/>
        <w:rPr>
          <w:rFonts w:ascii="Arial" w:hAnsi="Arial" w:cs="Arial"/>
          <w:sz w:val="20"/>
        </w:rPr>
      </w:pPr>
      <w:r w:rsidRPr="000E2BC0">
        <w:rPr>
          <w:rFonts w:ascii="Arial" w:hAnsi="Arial" w:cs="Arial"/>
          <w:sz w:val="20"/>
        </w:rPr>
        <w:t>(b)</w:t>
      </w:r>
      <w:r w:rsidRPr="000E2BC0">
        <w:rPr>
          <w:rFonts w:ascii="Arial" w:hAnsi="Arial" w:cs="Arial"/>
          <w:sz w:val="20"/>
        </w:rPr>
        <w:tab/>
        <w:t>consideration may be given to any matter or document that is relevant including but not limited to—</w:t>
      </w:r>
    </w:p>
    <w:p w14:paraId="1CC878BF" w14:textId="42CB26B0" w:rsidR="000E2BC0" w:rsidRPr="000E2BC0" w:rsidRDefault="000E2BC0" w:rsidP="003F7C81">
      <w:pPr>
        <w:ind w:left="1287" w:right="567" w:hanging="363"/>
        <w:jc w:val="both"/>
        <w:rPr>
          <w:rFonts w:ascii="Arial" w:hAnsi="Arial" w:cs="Arial"/>
          <w:sz w:val="20"/>
        </w:rPr>
      </w:pPr>
      <w:r w:rsidRPr="000E2BC0">
        <w:rPr>
          <w:rFonts w:ascii="Arial" w:hAnsi="Arial" w:cs="Arial"/>
          <w:sz w:val="20"/>
        </w:rPr>
        <w:t>(i)</w:t>
      </w:r>
      <w:r w:rsidRPr="000E2BC0">
        <w:rPr>
          <w:rFonts w:ascii="Arial" w:hAnsi="Arial" w:cs="Arial"/>
          <w:sz w:val="20"/>
        </w:rPr>
        <w:tab/>
        <w:t>all indications provided by the Act or subordinate instrument as printed by authority, including punctuation;</w:t>
      </w:r>
    </w:p>
    <w:p w14:paraId="51CCFF9E" w14:textId="0697FF04" w:rsidR="000E2BC0" w:rsidRPr="000E2BC0" w:rsidRDefault="000E2BC0" w:rsidP="003F7C81">
      <w:pPr>
        <w:ind w:left="1287" w:right="567" w:hanging="363"/>
        <w:jc w:val="both"/>
        <w:rPr>
          <w:rFonts w:ascii="Arial" w:hAnsi="Arial" w:cs="Arial"/>
          <w:sz w:val="20"/>
        </w:rPr>
      </w:pPr>
      <w:r w:rsidRPr="000E2BC0">
        <w:rPr>
          <w:rFonts w:ascii="Arial" w:hAnsi="Arial" w:cs="Arial"/>
          <w:sz w:val="20"/>
        </w:rPr>
        <w:t>(ii)</w:t>
      </w:r>
      <w:r w:rsidRPr="000E2BC0">
        <w:rPr>
          <w:rFonts w:ascii="Arial" w:hAnsi="Arial" w:cs="Arial"/>
          <w:sz w:val="20"/>
        </w:rPr>
        <w:tab/>
        <w:t>reports of proceedings in any House of the Parliament;</w:t>
      </w:r>
    </w:p>
    <w:p w14:paraId="40772E22" w14:textId="101EDE19" w:rsidR="000E2BC0" w:rsidRPr="000E2BC0" w:rsidRDefault="000E2BC0" w:rsidP="003F7C81">
      <w:pPr>
        <w:ind w:left="1287" w:right="567" w:hanging="363"/>
        <w:jc w:val="both"/>
        <w:rPr>
          <w:rFonts w:ascii="Arial" w:hAnsi="Arial" w:cs="Arial"/>
          <w:sz w:val="20"/>
        </w:rPr>
      </w:pPr>
      <w:r w:rsidRPr="000E2BC0">
        <w:rPr>
          <w:rFonts w:ascii="Arial" w:hAnsi="Arial" w:cs="Arial"/>
          <w:sz w:val="20"/>
        </w:rPr>
        <w:t>(iii)</w:t>
      </w:r>
      <w:r w:rsidRPr="000E2BC0">
        <w:rPr>
          <w:rFonts w:ascii="Arial" w:hAnsi="Arial" w:cs="Arial"/>
          <w:sz w:val="20"/>
        </w:rPr>
        <w:tab/>
        <w:t>explanatory memoranda or other documents laid before or otherwise presented to any House of the Parliament; and</w:t>
      </w:r>
    </w:p>
    <w:p w14:paraId="08644216" w14:textId="0B3B2DEA" w:rsidR="000E2BC0" w:rsidRPr="000E2BC0" w:rsidRDefault="000E2BC0" w:rsidP="003F7C81">
      <w:pPr>
        <w:ind w:left="1281" w:right="567" w:hanging="357"/>
        <w:jc w:val="both"/>
        <w:rPr>
          <w:rFonts w:ascii="Arial" w:hAnsi="Arial" w:cs="Arial"/>
          <w:sz w:val="20"/>
        </w:rPr>
      </w:pPr>
      <w:r w:rsidRPr="000E2BC0">
        <w:rPr>
          <w:rFonts w:ascii="Arial" w:hAnsi="Arial" w:cs="Arial"/>
          <w:sz w:val="20"/>
        </w:rPr>
        <w:t>(iv)</w:t>
      </w:r>
      <w:r w:rsidRPr="000E2BC0">
        <w:rPr>
          <w:rFonts w:ascii="Arial" w:hAnsi="Arial" w:cs="Arial"/>
          <w:sz w:val="20"/>
        </w:rPr>
        <w:tab/>
        <w:t>reports of Royal Commissions, Parliamentary Committees, Law Reform Commissioners and Commissions, Boards of Inquiry, Formal Reviews or other similar bodies.</w:t>
      </w:r>
    </w:p>
    <w:p w14:paraId="0B5FCFEB" w14:textId="62AF2ABE" w:rsidR="003F7C81" w:rsidRPr="003F7C81" w:rsidRDefault="003F7C81" w:rsidP="003F7C81">
      <w:pPr>
        <w:jc w:val="both"/>
        <w:rPr>
          <w:rFonts w:ascii="Arial" w:hAnsi="Arial" w:cs="Arial"/>
          <w:sz w:val="20"/>
        </w:rPr>
      </w:pPr>
      <w:r>
        <w:rPr>
          <w:rFonts w:ascii="Arial" w:hAnsi="Arial" w:cs="Arial"/>
          <w:sz w:val="20"/>
          <w:lang w:val="en-GB"/>
        </w:rPr>
        <w:t xml:space="preserve">Section 36 contains various stipulations in relation to </w:t>
      </w:r>
      <w:r w:rsidR="001E3E04">
        <w:rPr>
          <w:rFonts w:ascii="Arial" w:hAnsi="Arial" w:cs="Arial"/>
          <w:sz w:val="20"/>
          <w:lang w:val="en-GB"/>
        </w:rPr>
        <w:t>“</w:t>
      </w:r>
      <w:r w:rsidRPr="003F7C81">
        <w:rPr>
          <w:rFonts w:ascii="Arial" w:hAnsi="Arial" w:cs="Arial"/>
          <w:sz w:val="20"/>
          <w:lang w:val="en-GB"/>
        </w:rPr>
        <w:t>Headings, Schedules, marginal notes and footnotes</w:t>
      </w:r>
      <w:r w:rsidR="001E3E04">
        <w:rPr>
          <w:rFonts w:ascii="Arial" w:hAnsi="Arial" w:cs="Arial"/>
          <w:sz w:val="20"/>
          <w:lang w:val="en-GB"/>
        </w:rPr>
        <w:t>”.</w:t>
      </w:r>
    </w:p>
    <w:p w14:paraId="45275866" w14:textId="77777777" w:rsidR="000E2BC0" w:rsidRDefault="000E2BC0" w:rsidP="00177B34">
      <w:pPr>
        <w:jc w:val="both"/>
        <w:rPr>
          <w:rFonts w:ascii="Arial" w:hAnsi="Arial" w:cs="Arial"/>
          <w:sz w:val="20"/>
        </w:rPr>
      </w:pPr>
    </w:p>
    <w:p w14:paraId="62E710D3" w14:textId="5165B040" w:rsidR="00177B34" w:rsidRDefault="00177B34" w:rsidP="00177B34">
      <w:pPr>
        <w:jc w:val="both"/>
        <w:rPr>
          <w:rFonts w:ascii="Arial" w:hAnsi="Arial" w:cs="Arial"/>
          <w:sz w:val="20"/>
        </w:rPr>
      </w:pPr>
      <w:r>
        <w:rPr>
          <w:rFonts w:ascii="Arial" w:hAnsi="Arial" w:cs="Arial"/>
          <w:sz w:val="20"/>
        </w:rPr>
        <w:t xml:space="preserve">The modern </w:t>
      </w:r>
      <w:r w:rsidR="00EA77AD">
        <w:rPr>
          <w:rFonts w:ascii="Arial" w:hAnsi="Arial" w:cs="Arial"/>
          <w:sz w:val="20"/>
        </w:rPr>
        <w:t xml:space="preserve">Australian </w:t>
      </w:r>
      <w:r>
        <w:rPr>
          <w:rFonts w:ascii="Arial" w:hAnsi="Arial" w:cs="Arial"/>
          <w:sz w:val="20"/>
        </w:rPr>
        <w:t xml:space="preserve">principles of statutory </w:t>
      </w:r>
      <w:r w:rsidR="004C7E7D">
        <w:rPr>
          <w:rFonts w:ascii="Arial" w:hAnsi="Arial" w:cs="Arial"/>
          <w:sz w:val="20"/>
        </w:rPr>
        <w:t>interpreta</w:t>
      </w:r>
      <w:r>
        <w:rPr>
          <w:rFonts w:ascii="Arial" w:hAnsi="Arial" w:cs="Arial"/>
          <w:sz w:val="20"/>
        </w:rPr>
        <w:t xml:space="preserve">tion </w:t>
      </w:r>
      <w:r w:rsidR="009F7C91">
        <w:rPr>
          <w:rFonts w:ascii="Arial" w:hAnsi="Arial" w:cs="Arial"/>
          <w:sz w:val="20"/>
        </w:rPr>
        <w:t>are</w:t>
      </w:r>
      <w:r>
        <w:rPr>
          <w:rFonts w:ascii="Arial" w:hAnsi="Arial" w:cs="Arial"/>
          <w:sz w:val="20"/>
        </w:rPr>
        <w:t xml:space="preserve"> conveniently summarized in the judgment of Dodds-Streeton JA (with which Ashley JA &amp; Hansen AJA agreed) in </w:t>
      </w:r>
      <w:r w:rsidRPr="009013EB">
        <w:rPr>
          <w:rFonts w:ascii="Arial" w:hAnsi="Arial" w:cs="Arial"/>
          <w:i/>
          <w:sz w:val="20"/>
        </w:rPr>
        <w:t>Alinta Asset Management Pty Ltd v Essential Services Commission</w:t>
      </w:r>
      <w:r>
        <w:rPr>
          <w:rFonts w:ascii="Arial" w:hAnsi="Arial" w:cs="Arial"/>
          <w:sz w:val="20"/>
        </w:rPr>
        <w:t xml:space="preserve"> [2008] VSCA 273</w:t>
      </w:r>
      <w:r w:rsidR="000E2BC0">
        <w:rPr>
          <w:rFonts w:ascii="Arial" w:hAnsi="Arial" w:cs="Arial"/>
          <w:sz w:val="20"/>
        </w:rPr>
        <w:t>; (2008) 22 VR 275</w:t>
      </w:r>
      <w:r>
        <w:rPr>
          <w:rFonts w:ascii="Arial" w:hAnsi="Arial" w:cs="Arial"/>
          <w:sz w:val="20"/>
        </w:rPr>
        <w:t xml:space="preserve"> at [70]-[83]:</w:t>
      </w:r>
    </w:p>
    <w:p w14:paraId="557D50BC" w14:textId="77777777" w:rsidR="00177B34" w:rsidRDefault="00177B34" w:rsidP="00DF59E0">
      <w:pPr>
        <w:spacing w:before="120"/>
        <w:ind w:left="567" w:right="567"/>
        <w:jc w:val="both"/>
        <w:rPr>
          <w:rFonts w:ascii="Arial" w:hAnsi="Arial" w:cs="Arial"/>
          <w:sz w:val="20"/>
        </w:rPr>
      </w:pPr>
      <w:r>
        <w:rPr>
          <w:rFonts w:ascii="Arial" w:hAnsi="Arial" w:cs="Arial"/>
          <w:sz w:val="20"/>
        </w:rPr>
        <w:t>[70] “</w:t>
      </w:r>
      <w:r w:rsidRPr="009013EB">
        <w:rPr>
          <w:rFonts w:ascii="Arial" w:hAnsi="Arial" w:cs="Arial"/>
          <w:sz w:val="20"/>
        </w:rPr>
        <w:t>The principles which govern modern statutory construction were undisputed.</w:t>
      </w:r>
      <w:r>
        <w:rPr>
          <w:rFonts w:ascii="Arial" w:hAnsi="Arial" w:cs="Arial"/>
          <w:sz w:val="20"/>
        </w:rPr>
        <w:t xml:space="preserve">  </w:t>
      </w:r>
      <w:r w:rsidRPr="004C7E7D">
        <w:rPr>
          <w:rFonts w:ascii="Arial" w:hAnsi="Arial" w:cs="Arial"/>
          <w:sz w:val="20"/>
          <w:u w:val="single"/>
        </w:rPr>
        <w:t>It is well established that a purposive approach must be adopted and that purpose must be determined in the light of the language of the relevant provision and the scope and object of the whole sta</w:t>
      </w:r>
      <w:r w:rsidRPr="004C7E7D">
        <w:rPr>
          <w:rFonts w:ascii="Arial" w:hAnsi="Arial" w:cs="Arial"/>
          <w:sz w:val="20"/>
          <w:szCs w:val="20"/>
          <w:u w:val="single"/>
        </w:rPr>
        <w:t>tute</w:t>
      </w:r>
      <w:r w:rsidRPr="00BC229F">
        <w:rPr>
          <w:rFonts w:ascii="Arial" w:hAnsi="Arial" w:cs="Arial"/>
          <w:sz w:val="20"/>
          <w:szCs w:val="20"/>
        </w:rPr>
        <w:t xml:space="preserve">: </w:t>
      </w:r>
      <w:r w:rsidRPr="00BC229F">
        <w:rPr>
          <w:rFonts w:ascii="Arial" w:hAnsi="Arial" w:cs="Arial"/>
          <w:i/>
          <w:sz w:val="20"/>
          <w:szCs w:val="20"/>
        </w:rPr>
        <w:t xml:space="preserve">Tasker v Fullwood </w:t>
      </w:r>
      <w:r w:rsidRPr="00BC229F">
        <w:rPr>
          <w:rFonts w:ascii="Arial" w:hAnsi="Arial" w:cs="Arial"/>
          <w:sz w:val="20"/>
          <w:szCs w:val="20"/>
        </w:rPr>
        <w:t xml:space="preserve">(1978) 1 NSWLR 20, [24] approved by McHugh ACJ, Gummow, Kirby </w:t>
      </w:r>
      <w:r>
        <w:rPr>
          <w:rFonts w:ascii="Arial" w:hAnsi="Arial" w:cs="Arial"/>
          <w:sz w:val="20"/>
          <w:szCs w:val="20"/>
        </w:rPr>
        <w:t>&amp;</w:t>
      </w:r>
      <w:r w:rsidRPr="00BC229F">
        <w:rPr>
          <w:rFonts w:ascii="Arial" w:hAnsi="Arial" w:cs="Arial"/>
          <w:sz w:val="20"/>
          <w:szCs w:val="20"/>
        </w:rPr>
        <w:t xml:space="preserve"> Hayne JJ in </w:t>
      </w:r>
      <w:r w:rsidRPr="00BC229F">
        <w:rPr>
          <w:rFonts w:ascii="Arial" w:hAnsi="Arial" w:cs="Arial"/>
          <w:i/>
          <w:sz w:val="20"/>
          <w:szCs w:val="20"/>
        </w:rPr>
        <w:t>Project Blue Sky</w:t>
      </w:r>
      <w:r w:rsidRPr="00BC229F">
        <w:rPr>
          <w:rFonts w:ascii="Arial" w:hAnsi="Arial" w:cs="Arial"/>
          <w:sz w:val="20"/>
          <w:szCs w:val="20"/>
        </w:rPr>
        <w:t xml:space="preserve"> </w:t>
      </w:r>
      <w:r w:rsidRPr="00BC229F">
        <w:rPr>
          <w:rFonts w:ascii="Arial" w:hAnsi="Arial" w:cs="Arial"/>
          <w:i/>
          <w:sz w:val="20"/>
          <w:szCs w:val="20"/>
        </w:rPr>
        <w:t>Inc v Australian Broadcasting Authority</w:t>
      </w:r>
      <w:r w:rsidRPr="00BC229F">
        <w:rPr>
          <w:rFonts w:ascii="Arial" w:hAnsi="Arial" w:cs="Arial"/>
          <w:sz w:val="20"/>
          <w:szCs w:val="20"/>
        </w:rPr>
        <w:t xml:space="preserve"> (1998) 194 CLR 355.</w:t>
      </w:r>
    </w:p>
    <w:p w14:paraId="438F0D38" w14:textId="77777777" w:rsidR="00177B34" w:rsidRDefault="00177B34" w:rsidP="007E32CC">
      <w:pPr>
        <w:spacing w:before="120"/>
        <w:ind w:left="567" w:right="567"/>
        <w:jc w:val="both"/>
        <w:rPr>
          <w:rFonts w:ascii="Arial" w:hAnsi="Arial" w:cs="Arial"/>
          <w:sz w:val="20"/>
        </w:rPr>
      </w:pPr>
      <w:r>
        <w:rPr>
          <w:rFonts w:ascii="Arial" w:hAnsi="Arial" w:cs="Arial"/>
          <w:sz w:val="20"/>
        </w:rPr>
        <w:t xml:space="preserve">[71] In </w:t>
      </w:r>
      <w:r w:rsidRPr="00BC229F">
        <w:rPr>
          <w:rFonts w:ascii="Arial" w:hAnsi="Arial" w:cs="Arial"/>
          <w:i/>
          <w:sz w:val="20"/>
          <w:szCs w:val="20"/>
        </w:rPr>
        <w:t>Project Blue Sky</w:t>
      </w:r>
      <w:r w:rsidRPr="00BC229F">
        <w:rPr>
          <w:rFonts w:ascii="Arial" w:hAnsi="Arial" w:cs="Arial"/>
          <w:sz w:val="20"/>
          <w:szCs w:val="20"/>
        </w:rPr>
        <w:t xml:space="preserve"> </w:t>
      </w:r>
      <w:r w:rsidRPr="00BC229F">
        <w:rPr>
          <w:rFonts w:ascii="Arial" w:hAnsi="Arial" w:cs="Arial"/>
          <w:i/>
          <w:sz w:val="20"/>
          <w:szCs w:val="20"/>
        </w:rPr>
        <w:t>Inc v Australian Broadcasting Authority</w:t>
      </w:r>
      <w:r>
        <w:rPr>
          <w:rFonts w:ascii="Arial" w:hAnsi="Arial" w:cs="Arial"/>
          <w:sz w:val="20"/>
          <w:szCs w:val="20"/>
        </w:rPr>
        <w:t xml:space="preserve"> (1998) 194 CLR 355 </w:t>
      </w:r>
      <w:r w:rsidR="007E32CC">
        <w:rPr>
          <w:rFonts w:ascii="Arial" w:hAnsi="Arial" w:cs="Arial"/>
          <w:sz w:val="20"/>
          <w:szCs w:val="20"/>
        </w:rPr>
        <w:t xml:space="preserve">at </w:t>
      </w:r>
      <w:r w:rsidR="00351A45">
        <w:rPr>
          <w:rFonts w:ascii="Arial" w:hAnsi="Arial" w:cs="Arial"/>
          <w:sz w:val="20"/>
          <w:szCs w:val="20"/>
        </w:rPr>
        <w:t>[69]-[70]</w:t>
      </w:r>
      <w:r w:rsidR="007E32CC">
        <w:rPr>
          <w:rFonts w:ascii="Arial" w:hAnsi="Arial" w:cs="Arial"/>
          <w:sz w:val="20"/>
          <w:szCs w:val="20"/>
        </w:rPr>
        <w:t xml:space="preserve"> </w:t>
      </w:r>
      <w:r>
        <w:rPr>
          <w:rFonts w:ascii="Arial" w:hAnsi="Arial" w:cs="Arial"/>
          <w:sz w:val="20"/>
          <w:szCs w:val="20"/>
        </w:rPr>
        <w:t>McHugh ACJ, Gummow, Kirby &amp; Hayne JJ, in their joint judgment, stated:</w:t>
      </w:r>
    </w:p>
    <w:p w14:paraId="61FAFDC6" w14:textId="6426B7D9" w:rsidR="00177B34" w:rsidRPr="00A616AE" w:rsidRDefault="00177B34" w:rsidP="007809A5">
      <w:pPr>
        <w:spacing w:before="60"/>
        <w:ind w:left="1134" w:right="1134"/>
        <w:jc w:val="both"/>
        <w:rPr>
          <w:rFonts w:ascii="Arial" w:hAnsi="Arial" w:cs="Arial"/>
          <w:sz w:val="18"/>
          <w:szCs w:val="18"/>
        </w:rPr>
      </w:pPr>
      <w:r w:rsidRPr="00A616AE">
        <w:rPr>
          <w:rFonts w:ascii="Arial" w:hAnsi="Arial" w:cs="Arial"/>
          <w:sz w:val="18"/>
          <w:szCs w:val="18"/>
        </w:rPr>
        <w:t xml:space="preserve">‘[T]he primary object of statutory construction is to construe the relevant provision so that it is consistent with the language and purpose of all the provisions of the statute. (See </w:t>
      </w:r>
      <w:r w:rsidRPr="00A616AE">
        <w:rPr>
          <w:rFonts w:ascii="Arial" w:hAnsi="Arial" w:cs="Arial"/>
          <w:i/>
          <w:sz w:val="18"/>
          <w:szCs w:val="18"/>
        </w:rPr>
        <w:t>Taylor v Public Service Board (NSW)</w:t>
      </w:r>
      <w:r w:rsidRPr="00A616AE">
        <w:rPr>
          <w:rFonts w:ascii="Arial" w:hAnsi="Arial" w:cs="Arial"/>
          <w:sz w:val="18"/>
          <w:szCs w:val="18"/>
        </w:rPr>
        <w:t xml:space="preserve"> (1976) 137 CLR 208 at 213 per Barwick</w:t>
      </w:r>
      <w:r w:rsidR="00420D6C">
        <w:rPr>
          <w:rFonts w:ascii="Arial" w:hAnsi="Arial" w:cs="Arial"/>
          <w:sz w:val="18"/>
          <w:szCs w:val="18"/>
        </w:rPr>
        <w:t> </w:t>
      </w:r>
      <w:r w:rsidRPr="00A616AE">
        <w:rPr>
          <w:rFonts w:ascii="Arial" w:hAnsi="Arial" w:cs="Arial"/>
          <w:sz w:val="18"/>
          <w:szCs w:val="18"/>
        </w:rPr>
        <w:t>CJ).  The meaning of the provision must be determined “by reference to the language of the instrument viewed as a whole” (</w:t>
      </w:r>
      <w:r w:rsidRPr="00A616AE">
        <w:rPr>
          <w:rFonts w:ascii="Arial" w:hAnsi="Arial" w:cs="Arial"/>
          <w:i/>
          <w:sz w:val="18"/>
          <w:szCs w:val="18"/>
        </w:rPr>
        <w:t>Cooper Brookes (Wollongong) Pty Ltd v Federal Commissioner of Taxation</w:t>
      </w:r>
      <w:r w:rsidRPr="00A616AE">
        <w:rPr>
          <w:rFonts w:ascii="Arial" w:hAnsi="Arial" w:cs="Arial"/>
          <w:sz w:val="18"/>
          <w:szCs w:val="18"/>
        </w:rPr>
        <w:t xml:space="preserve"> (1981) 147 CLR 297 at 320 per Mason and </w:t>
      </w:r>
      <w:r w:rsidRPr="00A616AE">
        <w:rPr>
          <w:rFonts w:ascii="Arial" w:hAnsi="Arial" w:cs="Arial"/>
          <w:sz w:val="18"/>
          <w:szCs w:val="18"/>
        </w:rPr>
        <w:lastRenderedPageBreak/>
        <w:t>Wilson</w:t>
      </w:r>
      <w:r w:rsidR="005304A4">
        <w:rPr>
          <w:rFonts w:ascii="Arial" w:hAnsi="Arial" w:cs="Arial"/>
          <w:sz w:val="18"/>
          <w:szCs w:val="18"/>
        </w:rPr>
        <w:t> </w:t>
      </w:r>
      <w:r w:rsidRPr="00A616AE">
        <w:rPr>
          <w:rFonts w:ascii="Arial" w:hAnsi="Arial" w:cs="Arial"/>
          <w:sz w:val="18"/>
          <w:szCs w:val="18"/>
        </w:rPr>
        <w:t xml:space="preserve">JJ.  See also </w:t>
      </w:r>
      <w:proofErr w:type="gramStart"/>
      <w:r w:rsidRPr="00A616AE">
        <w:rPr>
          <w:rFonts w:ascii="Arial" w:hAnsi="Arial" w:cs="Arial"/>
          <w:i/>
          <w:sz w:val="18"/>
          <w:szCs w:val="18"/>
        </w:rPr>
        <w:t>South West</w:t>
      </w:r>
      <w:proofErr w:type="gramEnd"/>
      <w:r w:rsidRPr="00A616AE">
        <w:rPr>
          <w:rFonts w:ascii="Arial" w:hAnsi="Arial" w:cs="Arial"/>
          <w:i/>
          <w:sz w:val="18"/>
          <w:szCs w:val="18"/>
        </w:rPr>
        <w:t xml:space="preserve"> Water Authority v Rumble's</w:t>
      </w:r>
      <w:r w:rsidRPr="00A616AE">
        <w:rPr>
          <w:rFonts w:ascii="Arial" w:hAnsi="Arial" w:cs="Arial"/>
          <w:sz w:val="18"/>
          <w:szCs w:val="18"/>
        </w:rPr>
        <w:t xml:space="preserve"> [1985] AC 609 at 617 per Lord Scarman, "in the context of the legislation read as a whole".)  In </w:t>
      </w:r>
      <w:r w:rsidRPr="00A616AE">
        <w:rPr>
          <w:rFonts w:ascii="Arial" w:hAnsi="Arial" w:cs="Arial"/>
          <w:i/>
          <w:sz w:val="18"/>
          <w:szCs w:val="18"/>
        </w:rPr>
        <w:t>Commissioner for Railways (NSW) v Aqalianos</w:t>
      </w:r>
      <w:r w:rsidRPr="00A616AE">
        <w:rPr>
          <w:rFonts w:ascii="Arial" w:hAnsi="Arial" w:cs="Arial"/>
          <w:sz w:val="18"/>
          <w:szCs w:val="18"/>
        </w:rPr>
        <w:t xml:space="preserve"> (1955) 92 CLR 390 at 397, Dixon CJ pointed out that “the context, the general purpose and policy of a provision and its consistency and fairness are surer guides to its meaning than the logic with which it is constructed.”  Thus, the process of construction must always begin by examining the context of the provision that is being construed. (</w:t>
      </w:r>
      <w:r w:rsidRPr="00A616AE">
        <w:rPr>
          <w:rFonts w:ascii="Arial" w:hAnsi="Arial" w:cs="Arial"/>
          <w:i/>
          <w:sz w:val="18"/>
          <w:szCs w:val="18"/>
        </w:rPr>
        <w:t>Toronto Suburban Railway Co v Toronto Corporation</w:t>
      </w:r>
      <w:r w:rsidRPr="00A616AE">
        <w:rPr>
          <w:rFonts w:ascii="Arial" w:hAnsi="Arial" w:cs="Arial"/>
          <w:sz w:val="18"/>
          <w:szCs w:val="18"/>
        </w:rPr>
        <w:t xml:space="preserve"> [1915] AC 590 at 597; </w:t>
      </w:r>
      <w:r w:rsidRPr="00A616AE">
        <w:rPr>
          <w:rFonts w:ascii="Arial" w:hAnsi="Arial" w:cs="Arial"/>
          <w:i/>
          <w:sz w:val="18"/>
          <w:szCs w:val="18"/>
        </w:rPr>
        <w:t>Minister for Lands (NSW) v Jeremias</w:t>
      </w:r>
      <w:r w:rsidRPr="00A616AE">
        <w:rPr>
          <w:rFonts w:ascii="Arial" w:hAnsi="Arial" w:cs="Arial"/>
          <w:sz w:val="18"/>
          <w:szCs w:val="18"/>
        </w:rPr>
        <w:t xml:space="preserve"> (1917) 23 CLR 322 at 332; </w:t>
      </w:r>
      <w:r w:rsidRPr="00A616AE">
        <w:rPr>
          <w:rFonts w:ascii="Arial" w:hAnsi="Arial" w:cs="Arial"/>
          <w:i/>
          <w:sz w:val="18"/>
          <w:szCs w:val="18"/>
        </w:rPr>
        <w:t>K &amp; S Lake City Freighters Pty Ltd v Gordon &amp; Gotch Ltd</w:t>
      </w:r>
      <w:r w:rsidRPr="00A616AE">
        <w:rPr>
          <w:rFonts w:ascii="Arial" w:hAnsi="Arial" w:cs="Arial"/>
          <w:sz w:val="18"/>
          <w:szCs w:val="18"/>
        </w:rPr>
        <w:t xml:space="preserve"> (1985) 157 CLR 309 at 312 per Gibbs CJ, 315 per Mason J, 321 per Deane J).</w:t>
      </w:r>
    </w:p>
    <w:p w14:paraId="74E68C5D" w14:textId="77777777" w:rsidR="007809A5" w:rsidRPr="00A616AE" w:rsidRDefault="007E32CC" w:rsidP="00A616AE">
      <w:pPr>
        <w:spacing w:before="60"/>
        <w:ind w:left="1134" w:right="1134"/>
        <w:jc w:val="both"/>
        <w:rPr>
          <w:rFonts w:ascii="Arial" w:hAnsi="Arial" w:cs="Arial"/>
          <w:sz w:val="18"/>
          <w:szCs w:val="18"/>
        </w:rPr>
      </w:pPr>
      <w:r w:rsidRPr="00A616AE">
        <w:rPr>
          <w:rFonts w:ascii="Arial" w:hAnsi="Arial" w:cs="Arial"/>
          <w:sz w:val="18"/>
          <w:szCs w:val="18"/>
        </w:rPr>
        <w:t>A legislative instrument must be construed on the prima facie basis that its provisions are intended to give effect to harmonious goals. (</w:t>
      </w:r>
      <w:r w:rsidRPr="00A616AE">
        <w:rPr>
          <w:rFonts w:ascii="Arial" w:hAnsi="Arial" w:cs="Arial"/>
          <w:i/>
          <w:sz w:val="18"/>
          <w:szCs w:val="18"/>
        </w:rPr>
        <w:t>Ross v The Queen</w:t>
      </w:r>
      <w:r w:rsidRPr="00A616AE">
        <w:rPr>
          <w:rFonts w:ascii="Arial" w:hAnsi="Arial" w:cs="Arial"/>
          <w:sz w:val="18"/>
          <w:szCs w:val="18"/>
        </w:rPr>
        <w:t xml:space="preserve"> (1979) 141 CLR 432 at 440 per Gibbs J).</w:t>
      </w:r>
      <w:r w:rsidR="00351A45" w:rsidRPr="00A616AE">
        <w:rPr>
          <w:rFonts w:ascii="Arial" w:hAnsi="Arial" w:cs="Arial"/>
          <w:sz w:val="18"/>
          <w:szCs w:val="18"/>
        </w:rPr>
        <w:t>’</w:t>
      </w:r>
    </w:p>
    <w:p w14:paraId="4BA3BA27" w14:textId="77777777" w:rsidR="007E32CC" w:rsidRDefault="007E32CC" w:rsidP="007E32CC">
      <w:pPr>
        <w:spacing w:before="120"/>
        <w:ind w:left="567" w:right="567"/>
        <w:jc w:val="both"/>
        <w:rPr>
          <w:rFonts w:ascii="Arial" w:hAnsi="Arial" w:cs="Arial"/>
          <w:sz w:val="20"/>
        </w:rPr>
      </w:pPr>
      <w:r>
        <w:rPr>
          <w:rFonts w:ascii="Arial" w:hAnsi="Arial" w:cs="Arial"/>
          <w:sz w:val="20"/>
        </w:rPr>
        <w:t xml:space="preserve">[72] </w:t>
      </w:r>
      <w:r w:rsidRPr="007E32CC">
        <w:rPr>
          <w:rFonts w:ascii="Arial" w:hAnsi="Arial" w:cs="Arial"/>
          <w:sz w:val="20"/>
        </w:rPr>
        <w:t xml:space="preserve">Their Honours observed </w:t>
      </w:r>
      <w:r w:rsidR="00A87525">
        <w:rPr>
          <w:rFonts w:ascii="Arial" w:hAnsi="Arial" w:cs="Arial"/>
          <w:sz w:val="20"/>
        </w:rPr>
        <w:t xml:space="preserve">at </w:t>
      </w:r>
      <w:r w:rsidR="00AD587C">
        <w:rPr>
          <w:rFonts w:ascii="Arial" w:hAnsi="Arial" w:cs="Arial"/>
          <w:sz w:val="20"/>
        </w:rPr>
        <w:t>[70]</w:t>
      </w:r>
      <w:r w:rsidR="00A87525">
        <w:rPr>
          <w:rFonts w:ascii="Arial" w:hAnsi="Arial" w:cs="Arial"/>
          <w:sz w:val="20"/>
        </w:rPr>
        <w:t xml:space="preserve"> </w:t>
      </w:r>
      <w:r w:rsidRPr="007E32CC">
        <w:rPr>
          <w:rFonts w:ascii="Arial" w:hAnsi="Arial" w:cs="Arial"/>
          <w:sz w:val="20"/>
        </w:rPr>
        <w:t>that where provisions of an Act appear, on the basis of their language, to conflict, conflict must be alleviated to the extent possible by adjusting the meaning of the competing provisions to:</w:t>
      </w:r>
    </w:p>
    <w:p w14:paraId="6329596F" w14:textId="77777777" w:rsidR="007E32CC" w:rsidRPr="00A616AE" w:rsidRDefault="00AD587C" w:rsidP="002C0A9F">
      <w:pPr>
        <w:spacing w:before="60"/>
        <w:ind w:left="1134" w:right="1134"/>
        <w:jc w:val="both"/>
        <w:rPr>
          <w:rFonts w:ascii="Arial" w:hAnsi="Arial" w:cs="Arial"/>
          <w:sz w:val="18"/>
          <w:szCs w:val="18"/>
        </w:rPr>
      </w:pPr>
      <w:r w:rsidRPr="00A616AE">
        <w:rPr>
          <w:rFonts w:ascii="Arial" w:hAnsi="Arial" w:cs="Arial"/>
          <w:sz w:val="18"/>
          <w:szCs w:val="18"/>
        </w:rPr>
        <w:t>‘</w:t>
      </w:r>
      <w:r w:rsidR="00A87525" w:rsidRPr="00A616AE">
        <w:rPr>
          <w:rFonts w:ascii="Arial" w:hAnsi="Arial" w:cs="Arial"/>
          <w:sz w:val="18"/>
          <w:szCs w:val="18"/>
        </w:rPr>
        <w:t xml:space="preserve">best give effect to the purpose and language of those provisions while maintaining the unity of all the statutory provisions.  (See </w:t>
      </w:r>
      <w:r w:rsidR="00A87525" w:rsidRPr="00A616AE">
        <w:rPr>
          <w:rFonts w:ascii="Arial" w:hAnsi="Arial" w:cs="Arial"/>
          <w:i/>
          <w:sz w:val="18"/>
          <w:szCs w:val="18"/>
        </w:rPr>
        <w:t>Australian Alliance Assurance Co Ltd v Attorney-General of Queensland</w:t>
      </w:r>
      <w:r w:rsidR="00A87525" w:rsidRPr="00A616AE">
        <w:rPr>
          <w:rFonts w:ascii="Arial" w:hAnsi="Arial" w:cs="Arial"/>
          <w:sz w:val="18"/>
          <w:szCs w:val="18"/>
        </w:rPr>
        <w:t xml:space="preserve"> [1916] St R Qd 135 at 161 per Cooper CJ; </w:t>
      </w:r>
      <w:r w:rsidR="00A87525" w:rsidRPr="00A616AE">
        <w:rPr>
          <w:rFonts w:ascii="Arial" w:hAnsi="Arial" w:cs="Arial"/>
          <w:i/>
          <w:sz w:val="18"/>
          <w:szCs w:val="18"/>
        </w:rPr>
        <w:t>Minister for Resources v Dover Fisheries</w:t>
      </w:r>
      <w:r w:rsidR="00A87525" w:rsidRPr="00A616AE">
        <w:rPr>
          <w:rFonts w:ascii="Arial" w:hAnsi="Arial" w:cs="Arial"/>
          <w:sz w:val="18"/>
          <w:szCs w:val="18"/>
        </w:rPr>
        <w:t xml:space="preserve"> (1993) 43 FCR 565 at 574 per Gummow J; 116 ALR 54 at 63).</w:t>
      </w:r>
      <w:r w:rsidRPr="00A616AE">
        <w:rPr>
          <w:rFonts w:ascii="Arial" w:hAnsi="Arial" w:cs="Arial"/>
          <w:sz w:val="18"/>
          <w:szCs w:val="18"/>
        </w:rPr>
        <w:t>’</w:t>
      </w:r>
    </w:p>
    <w:p w14:paraId="4458ED69"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[73] Furthermore they noted at </w:t>
      </w:r>
      <w:r w:rsidR="00AD587C">
        <w:rPr>
          <w:rFonts w:ascii="Arial" w:hAnsi="Arial" w:cs="Arial"/>
          <w:sz w:val="20"/>
        </w:rPr>
        <w:t>[71]</w:t>
      </w:r>
      <w:r>
        <w:rPr>
          <w:rFonts w:ascii="Arial" w:hAnsi="Arial" w:cs="Arial"/>
          <w:sz w:val="20"/>
        </w:rPr>
        <w:t xml:space="preserve"> that:</w:t>
      </w:r>
    </w:p>
    <w:p w14:paraId="2298B92D" w14:textId="77777777" w:rsidR="00A87525" w:rsidRPr="00A616AE" w:rsidRDefault="00AD587C" w:rsidP="00A87525">
      <w:pPr>
        <w:spacing w:before="60"/>
        <w:ind w:left="1134" w:right="1134"/>
        <w:jc w:val="both"/>
        <w:rPr>
          <w:rFonts w:ascii="Arial" w:hAnsi="Arial" w:cs="Arial"/>
          <w:sz w:val="18"/>
          <w:szCs w:val="18"/>
        </w:rPr>
      </w:pPr>
      <w:r w:rsidRPr="00A616AE">
        <w:rPr>
          <w:rFonts w:ascii="Arial" w:hAnsi="Arial" w:cs="Arial"/>
          <w:sz w:val="18"/>
          <w:szCs w:val="18"/>
        </w:rPr>
        <w:t>‘</w:t>
      </w:r>
      <w:r w:rsidR="00A87525" w:rsidRPr="00A616AE">
        <w:rPr>
          <w:rFonts w:ascii="Arial" w:hAnsi="Arial" w:cs="Arial"/>
          <w:sz w:val="18"/>
          <w:szCs w:val="18"/>
        </w:rPr>
        <w:t>a court construing a statutory provision must strive to give meaning to every word of the provision.  (</w:t>
      </w:r>
      <w:r w:rsidR="00A87525" w:rsidRPr="00A616AE">
        <w:rPr>
          <w:rFonts w:ascii="Arial" w:hAnsi="Arial" w:cs="Arial"/>
          <w:i/>
          <w:sz w:val="18"/>
          <w:szCs w:val="18"/>
        </w:rPr>
        <w:t>The Commonwealth v Baume</w:t>
      </w:r>
      <w:r w:rsidR="00A87525" w:rsidRPr="00A616AE">
        <w:rPr>
          <w:rFonts w:ascii="Arial" w:hAnsi="Arial" w:cs="Arial"/>
          <w:sz w:val="18"/>
          <w:szCs w:val="18"/>
        </w:rPr>
        <w:t xml:space="preserve"> (1905) 2 CLR 405 at 414 per Griffith CJ, 419 per O'Connor J; </w:t>
      </w:r>
      <w:r w:rsidR="00A87525" w:rsidRPr="00A616AE">
        <w:rPr>
          <w:rFonts w:ascii="Arial" w:hAnsi="Arial" w:cs="Arial"/>
          <w:i/>
          <w:sz w:val="18"/>
          <w:szCs w:val="18"/>
        </w:rPr>
        <w:t>Chu Kheng Lim v Minister for Immigration</w:t>
      </w:r>
      <w:r w:rsidR="00A87525" w:rsidRPr="00A616AE">
        <w:rPr>
          <w:rFonts w:ascii="Arial" w:hAnsi="Arial" w:cs="Arial"/>
          <w:sz w:val="18"/>
          <w:szCs w:val="18"/>
        </w:rPr>
        <w:t xml:space="preserve"> (1992) 176 CLR 1 at 12-13 per Mason CJ).</w:t>
      </w:r>
      <w:r w:rsidRPr="00A616AE">
        <w:rPr>
          <w:rFonts w:ascii="Arial" w:hAnsi="Arial" w:cs="Arial"/>
          <w:sz w:val="18"/>
          <w:szCs w:val="18"/>
        </w:rPr>
        <w:t>’</w:t>
      </w:r>
    </w:p>
    <w:p w14:paraId="5804B9A1"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[74] In </w:t>
      </w:r>
      <w:r w:rsidRPr="00A87525">
        <w:rPr>
          <w:rFonts w:ascii="Arial" w:hAnsi="Arial" w:cs="Arial"/>
          <w:i/>
          <w:sz w:val="20"/>
          <w:szCs w:val="20"/>
        </w:rPr>
        <w:t>CIC Insurance Ltd v Bankstown Football Club Ltd</w:t>
      </w:r>
      <w:r>
        <w:rPr>
          <w:rFonts w:ascii="Arial" w:hAnsi="Arial" w:cs="Arial"/>
          <w:sz w:val="20"/>
          <w:szCs w:val="20"/>
        </w:rPr>
        <w:t xml:space="preserve"> (1997) 187 CLR 384 at </w:t>
      </w:r>
      <w:r w:rsidR="00F74B02">
        <w:rPr>
          <w:rFonts w:ascii="Arial" w:hAnsi="Arial" w:cs="Arial"/>
          <w:sz w:val="20"/>
          <w:szCs w:val="20"/>
        </w:rPr>
        <w:t>408</w:t>
      </w:r>
      <w:r w:rsidR="00351A45">
        <w:rPr>
          <w:rFonts w:ascii="Arial" w:hAnsi="Arial" w:cs="Arial"/>
          <w:sz w:val="20"/>
          <w:szCs w:val="20"/>
        </w:rPr>
        <w:t>,</w:t>
      </w:r>
      <w:r w:rsidRPr="00A87525">
        <w:rPr>
          <w:rFonts w:ascii="Arial" w:hAnsi="Arial" w:cs="Arial"/>
          <w:sz w:val="20"/>
          <w:szCs w:val="20"/>
        </w:rPr>
        <w:t xml:space="preserve"> the High Court stated:</w:t>
      </w:r>
    </w:p>
    <w:p w14:paraId="48523DDD" w14:textId="77777777" w:rsidR="00A87525" w:rsidRPr="00A616AE" w:rsidRDefault="00A87525" w:rsidP="00A81791">
      <w:pPr>
        <w:spacing w:before="60"/>
        <w:ind w:left="1134" w:right="1134"/>
        <w:jc w:val="both"/>
        <w:rPr>
          <w:rFonts w:ascii="Arial" w:hAnsi="Arial" w:cs="Arial"/>
          <w:sz w:val="18"/>
          <w:szCs w:val="18"/>
        </w:rPr>
      </w:pPr>
      <w:r w:rsidRPr="00A616AE">
        <w:rPr>
          <w:rFonts w:ascii="Arial" w:hAnsi="Arial" w:cs="Arial"/>
          <w:sz w:val="18"/>
          <w:szCs w:val="18"/>
        </w:rPr>
        <w:t>‘</w:t>
      </w:r>
      <w:r w:rsidRPr="00A616AE">
        <w:rPr>
          <w:rFonts w:ascii="Arial" w:hAnsi="Arial" w:cs="Arial"/>
          <w:sz w:val="18"/>
          <w:szCs w:val="18"/>
          <w:lang w:val="en"/>
        </w:rPr>
        <w:t xml:space="preserve">Moreover, the modern approach to statutory interpretation (a) insists that the context be considered in the first instance, not merely at some later stage when ambiguity might be thought to arise, and (b) uses “context” in its widest sense to include such things as the existing state of the law and the mischief which, by legitimate means such as those just mentioned, one may discern the statute was intended to remedy. Instances of general words in a statute being so constrained by their context are numerous. In particular, as McHugh JA pointed out in </w:t>
      </w:r>
      <w:r w:rsidRPr="00A616AE">
        <w:rPr>
          <w:rStyle w:val="italic1"/>
          <w:rFonts w:ascii="Arial" w:hAnsi="Arial" w:cs="Arial"/>
          <w:color w:val="000000"/>
          <w:sz w:val="18"/>
          <w:szCs w:val="18"/>
          <w:lang w:val="en"/>
        </w:rPr>
        <w:t>Isherwood v Butler Pollnow Pty Ltd</w:t>
      </w:r>
      <w:r w:rsidRPr="00A616AE">
        <w:rPr>
          <w:rStyle w:val="italic1"/>
          <w:rFonts w:ascii="Arial" w:hAnsi="Arial" w:cs="Arial"/>
          <w:i w:val="0"/>
          <w:color w:val="000000"/>
          <w:sz w:val="18"/>
          <w:szCs w:val="18"/>
          <w:lang w:val="en"/>
        </w:rPr>
        <w:t xml:space="preserve"> (1986) 6 NSWLR 363 at 388</w:t>
      </w:r>
      <w:r w:rsidRPr="00A616AE">
        <w:rPr>
          <w:rFonts w:ascii="Arial" w:hAnsi="Arial" w:cs="Arial"/>
          <w:sz w:val="18"/>
          <w:szCs w:val="18"/>
          <w:lang w:val="en"/>
        </w:rPr>
        <w:t>, if the apparently plain words of a provision are read in the light of the mischief which the statute was designed to overcome and of the objects of the legislation they may wear a very different appearance. Further, inconvenience or improbability of result may assist the court in preferring to the literal meaning an alternative construction which, by the steps identified above, is reasonable open and more closely conforms to the legislative intent.</w:t>
      </w:r>
      <w:r w:rsidR="00AD587C" w:rsidRPr="00A616AE">
        <w:rPr>
          <w:rFonts w:ascii="Arial" w:hAnsi="Arial" w:cs="Arial"/>
          <w:sz w:val="18"/>
          <w:szCs w:val="18"/>
          <w:lang w:val="en"/>
        </w:rPr>
        <w:t>’</w:t>
      </w:r>
    </w:p>
    <w:p w14:paraId="161C221A" w14:textId="13051F01" w:rsidR="00A87525" w:rsidRDefault="00A87525" w:rsidP="00A87525">
      <w:pPr>
        <w:spacing w:before="120"/>
        <w:ind w:left="567" w:right="567"/>
        <w:jc w:val="both"/>
        <w:rPr>
          <w:rFonts w:ascii="Arial" w:hAnsi="Arial" w:cs="Arial"/>
          <w:sz w:val="20"/>
        </w:rPr>
      </w:pPr>
      <w:r>
        <w:rPr>
          <w:rFonts w:ascii="Arial" w:hAnsi="Arial" w:cs="Arial"/>
          <w:sz w:val="20"/>
        </w:rPr>
        <w:t xml:space="preserve">[75] A purposive approach </w:t>
      </w:r>
      <w:r w:rsidRPr="00A87525">
        <w:rPr>
          <w:rFonts w:ascii="Arial" w:hAnsi="Arial" w:cs="Arial"/>
          <w:sz w:val="20"/>
        </w:rPr>
        <w:t xml:space="preserve">is also required by s 35 of the </w:t>
      </w:r>
      <w:r w:rsidRPr="00A87525">
        <w:rPr>
          <w:rFonts w:ascii="Arial" w:hAnsi="Arial" w:cs="Arial"/>
          <w:i/>
          <w:sz w:val="20"/>
        </w:rPr>
        <w:t xml:space="preserve">Interpretation of Legislation Act 1984 </w:t>
      </w:r>
      <w:r w:rsidRPr="00A87525">
        <w:rPr>
          <w:rFonts w:ascii="Arial" w:hAnsi="Arial" w:cs="Arial"/>
          <w:sz w:val="20"/>
        </w:rPr>
        <w:t>(Vic)</w:t>
      </w:r>
      <w:r w:rsidR="001E3E04">
        <w:rPr>
          <w:rFonts w:ascii="Arial" w:hAnsi="Arial" w:cs="Arial"/>
          <w:sz w:val="20"/>
        </w:rPr>
        <w:t>…</w:t>
      </w:r>
    </w:p>
    <w:p w14:paraId="5054F89D"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[77] In </w:t>
      </w:r>
      <w:r w:rsidRPr="00B8220E">
        <w:rPr>
          <w:rFonts w:ascii="Arial" w:hAnsi="Arial" w:cs="Arial"/>
          <w:i/>
          <w:sz w:val="20"/>
        </w:rPr>
        <w:t>Project Blue Sky</w:t>
      </w:r>
      <w:r>
        <w:rPr>
          <w:rFonts w:ascii="Arial" w:hAnsi="Arial" w:cs="Arial"/>
          <w:sz w:val="20"/>
        </w:rPr>
        <w:t xml:space="preserve"> </w:t>
      </w:r>
      <w:r w:rsidR="00F74B02">
        <w:rPr>
          <w:rFonts w:ascii="Arial" w:hAnsi="Arial" w:cs="Arial"/>
          <w:sz w:val="20"/>
        </w:rPr>
        <w:t xml:space="preserve">at [78] </w:t>
      </w:r>
      <w:r>
        <w:rPr>
          <w:rFonts w:ascii="Arial" w:hAnsi="Arial" w:cs="Arial"/>
          <w:sz w:val="20"/>
        </w:rPr>
        <w:t>McHugh ACJ, Gummow, Kirby &amp; Hayne JJ stated:</w:t>
      </w:r>
    </w:p>
    <w:p w14:paraId="66D28F93" w14:textId="77777777" w:rsidR="00A87525" w:rsidRPr="00A616AE" w:rsidRDefault="00A87525" w:rsidP="00A87525">
      <w:pPr>
        <w:spacing w:before="60"/>
        <w:ind w:left="1134" w:right="1134"/>
        <w:jc w:val="both"/>
        <w:rPr>
          <w:rFonts w:ascii="Arial" w:hAnsi="Arial" w:cs="Arial"/>
          <w:sz w:val="18"/>
          <w:szCs w:val="18"/>
        </w:rPr>
      </w:pPr>
      <w:r w:rsidRPr="00A616AE">
        <w:rPr>
          <w:rFonts w:ascii="Arial" w:hAnsi="Arial" w:cs="Arial"/>
          <w:sz w:val="18"/>
          <w:szCs w:val="18"/>
        </w:rPr>
        <w:t xml:space="preserve">‘However, the duty of a court is to give the words of a statutory provision the meaning that the legislature is taken to have intended them to have.  Ordinarily that meaning (the legal meaning) will correspond with the grammatical meaning of the provision.  But not always.  The context of the words, the consequences of a literal or grammatical construction, the purpose of the statute or the canons of construction (for example, the presumption that, in the absence of unmistakeable and unambiguous language, the legislature has intended to interfere with basic rights, freedoms or immunities:  </w:t>
      </w:r>
      <w:r w:rsidRPr="00A616AE">
        <w:rPr>
          <w:rFonts w:ascii="Arial" w:hAnsi="Arial" w:cs="Arial"/>
          <w:i/>
          <w:sz w:val="18"/>
          <w:szCs w:val="18"/>
        </w:rPr>
        <w:t>Coco v The Queen</w:t>
      </w:r>
      <w:r w:rsidRPr="00A616AE">
        <w:rPr>
          <w:rFonts w:ascii="Arial" w:hAnsi="Arial" w:cs="Arial"/>
          <w:sz w:val="18"/>
          <w:szCs w:val="18"/>
        </w:rPr>
        <w:t xml:space="preserve"> (1994) 179 CLR 427 at 437) may require the words of a legislative provision to be read in a way that does not correspond with the literal or grammatical meaning.’</w:t>
      </w:r>
    </w:p>
    <w:p w14:paraId="36DAF3DD" w14:textId="77777777" w:rsidR="00B8220E" w:rsidRDefault="00B8220E" w:rsidP="00B8220E">
      <w:pPr>
        <w:spacing w:before="120"/>
        <w:ind w:left="567" w:right="567"/>
        <w:jc w:val="both"/>
        <w:rPr>
          <w:rFonts w:ascii="Arial" w:hAnsi="Arial" w:cs="Arial"/>
          <w:sz w:val="20"/>
          <w:szCs w:val="20"/>
        </w:rPr>
      </w:pPr>
      <w:r w:rsidRPr="00B8220E">
        <w:rPr>
          <w:rFonts w:ascii="Arial" w:hAnsi="Arial" w:cs="Arial"/>
          <w:sz w:val="20"/>
          <w:szCs w:val="20"/>
        </w:rPr>
        <w:t xml:space="preserve">[78] The above statement was approved by McHugh ACJ, Gummow </w:t>
      </w:r>
      <w:r>
        <w:rPr>
          <w:rFonts w:ascii="Arial" w:hAnsi="Arial" w:cs="Arial"/>
          <w:sz w:val="20"/>
          <w:szCs w:val="20"/>
        </w:rPr>
        <w:t>&amp;</w:t>
      </w:r>
      <w:r w:rsidRPr="00B8220E">
        <w:rPr>
          <w:rFonts w:ascii="Arial" w:hAnsi="Arial" w:cs="Arial"/>
          <w:sz w:val="20"/>
          <w:szCs w:val="20"/>
        </w:rPr>
        <w:t xml:space="preserve"> Hayne JJ in </w:t>
      </w:r>
      <w:r w:rsidRPr="00B8220E">
        <w:rPr>
          <w:rFonts w:ascii="Arial" w:hAnsi="Arial" w:cs="Arial"/>
          <w:i/>
          <w:sz w:val="20"/>
          <w:szCs w:val="20"/>
        </w:rPr>
        <w:t>Network Ten Limited v TCN Channel Nine Pty Ltd</w:t>
      </w:r>
      <w:r>
        <w:rPr>
          <w:rFonts w:ascii="Arial" w:hAnsi="Arial" w:cs="Arial"/>
          <w:sz w:val="20"/>
          <w:szCs w:val="20"/>
        </w:rPr>
        <w:t xml:space="preserve"> (2004) 218 CLR 273.</w:t>
      </w:r>
    </w:p>
    <w:p w14:paraId="08CA29A0" w14:textId="2B77C5AA" w:rsidR="00B8220E" w:rsidRPr="00B8220E" w:rsidRDefault="00B8220E" w:rsidP="00B8220E">
      <w:pPr>
        <w:spacing w:before="120"/>
        <w:ind w:left="567" w:right="567"/>
        <w:jc w:val="both"/>
        <w:rPr>
          <w:rFonts w:ascii="Arial" w:hAnsi="Arial" w:cs="Arial"/>
          <w:sz w:val="20"/>
          <w:szCs w:val="20"/>
        </w:rPr>
      </w:pPr>
      <w:r>
        <w:rPr>
          <w:rFonts w:ascii="Arial" w:hAnsi="Arial" w:cs="Arial"/>
          <w:sz w:val="20"/>
          <w:szCs w:val="20"/>
        </w:rPr>
        <w:t xml:space="preserve">[79] Their Honours </w:t>
      </w:r>
      <w:r w:rsidRPr="00B8220E">
        <w:rPr>
          <w:rFonts w:ascii="Arial" w:hAnsi="Arial" w:cs="Arial"/>
          <w:sz w:val="20"/>
        </w:rPr>
        <w:t xml:space="preserve">also there reiterated </w:t>
      </w:r>
      <w:r>
        <w:rPr>
          <w:rFonts w:ascii="Arial" w:hAnsi="Arial" w:cs="Arial"/>
          <w:sz w:val="20"/>
        </w:rPr>
        <w:t xml:space="preserve">at </w:t>
      </w:r>
      <w:r w:rsidR="00E01E84">
        <w:rPr>
          <w:rFonts w:ascii="Arial" w:hAnsi="Arial" w:cs="Arial"/>
          <w:sz w:val="20"/>
        </w:rPr>
        <w:t>[</w:t>
      </w:r>
      <w:r w:rsidR="00F74B02">
        <w:rPr>
          <w:rFonts w:ascii="Arial" w:hAnsi="Arial" w:cs="Arial"/>
          <w:sz w:val="20"/>
        </w:rPr>
        <w:t>11</w:t>
      </w:r>
      <w:r w:rsidR="00E01E84">
        <w:rPr>
          <w:rFonts w:ascii="Arial" w:hAnsi="Arial" w:cs="Arial"/>
          <w:sz w:val="20"/>
        </w:rPr>
        <w:t>]</w:t>
      </w:r>
      <w:r>
        <w:rPr>
          <w:rFonts w:ascii="Arial" w:hAnsi="Arial" w:cs="Arial"/>
          <w:sz w:val="20"/>
        </w:rPr>
        <w:t xml:space="preserve"> </w:t>
      </w:r>
      <w:r w:rsidRPr="00B8220E">
        <w:rPr>
          <w:rFonts w:ascii="Arial" w:hAnsi="Arial" w:cs="Arial"/>
          <w:sz w:val="20"/>
        </w:rPr>
        <w:t xml:space="preserve">McHugh J’s observation, in </w:t>
      </w:r>
      <w:r w:rsidRPr="00B8220E">
        <w:rPr>
          <w:rFonts w:ascii="Arial" w:hAnsi="Arial" w:cs="Arial"/>
          <w:i/>
          <w:sz w:val="20"/>
        </w:rPr>
        <w:t>Newcastle City Council v GIO General Ltd</w:t>
      </w:r>
      <w:r>
        <w:rPr>
          <w:rFonts w:ascii="Arial" w:hAnsi="Arial" w:cs="Arial"/>
          <w:sz w:val="20"/>
        </w:rPr>
        <w:t xml:space="preserve"> (1997) 1</w:t>
      </w:r>
      <w:r w:rsidR="00D32C14">
        <w:rPr>
          <w:rFonts w:ascii="Arial" w:hAnsi="Arial" w:cs="Arial"/>
          <w:sz w:val="20"/>
        </w:rPr>
        <w:t>9</w:t>
      </w:r>
      <w:r>
        <w:rPr>
          <w:rFonts w:ascii="Arial" w:hAnsi="Arial" w:cs="Arial"/>
          <w:sz w:val="20"/>
        </w:rPr>
        <w:t>1 CLR 85, 112 that</w:t>
      </w:r>
      <w:r w:rsidR="00A616AE">
        <w:rPr>
          <w:rFonts w:ascii="Arial" w:hAnsi="Arial" w:cs="Arial"/>
          <w:sz w:val="20"/>
        </w:rPr>
        <w:t>–</w:t>
      </w:r>
    </w:p>
    <w:p w14:paraId="4EAB856A" w14:textId="77777777" w:rsidR="00B8220E" w:rsidRPr="00A616AE" w:rsidRDefault="00AD587C" w:rsidP="002C0A9F">
      <w:pPr>
        <w:spacing w:before="60"/>
        <w:ind w:left="1134" w:right="1134"/>
        <w:jc w:val="both"/>
        <w:rPr>
          <w:rFonts w:ascii="Arial" w:hAnsi="Arial" w:cs="Arial"/>
          <w:sz w:val="18"/>
          <w:szCs w:val="18"/>
        </w:rPr>
      </w:pPr>
      <w:r w:rsidRPr="00A616AE">
        <w:rPr>
          <w:rFonts w:ascii="Arial" w:hAnsi="Arial" w:cs="Arial"/>
          <w:sz w:val="18"/>
          <w:szCs w:val="18"/>
        </w:rPr>
        <w:t>‘</w:t>
      </w:r>
      <w:r w:rsidR="00B8220E" w:rsidRPr="00A616AE">
        <w:rPr>
          <w:rFonts w:ascii="Arial" w:hAnsi="Arial" w:cs="Arial"/>
          <w:sz w:val="18"/>
          <w:szCs w:val="18"/>
        </w:rPr>
        <w:t>[A] Court is permitted to have regard to the words used by the legislature in their legal and historical context and, in appropriate cases, to give them a meaning that will give effect to any purpose of the legislation that can be deduced from that context.</w:t>
      </w:r>
      <w:r w:rsidRPr="00A616AE">
        <w:rPr>
          <w:rFonts w:ascii="Arial" w:hAnsi="Arial" w:cs="Arial"/>
          <w:sz w:val="18"/>
          <w:szCs w:val="18"/>
        </w:rPr>
        <w:t>’</w:t>
      </w:r>
    </w:p>
    <w:p w14:paraId="252A0661" w14:textId="77777777" w:rsidR="00B8220E" w:rsidRDefault="00B8220E" w:rsidP="00B8220E">
      <w:pPr>
        <w:spacing w:before="120"/>
        <w:ind w:left="567" w:right="567"/>
        <w:jc w:val="both"/>
        <w:rPr>
          <w:rFonts w:ascii="Arial" w:hAnsi="Arial" w:cs="Arial"/>
          <w:sz w:val="20"/>
          <w:szCs w:val="20"/>
        </w:rPr>
      </w:pPr>
      <w:r>
        <w:rPr>
          <w:rFonts w:ascii="Arial" w:hAnsi="Arial" w:cs="Arial"/>
          <w:sz w:val="20"/>
          <w:szCs w:val="20"/>
        </w:rPr>
        <w:t xml:space="preserve">[80] In </w:t>
      </w:r>
      <w:r w:rsidRPr="00B8220E">
        <w:rPr>
          <w:rFonts w:ascii="Arial" w:hAnsi="Arial" w:cs="Arial"/>
          <w:i/>
          <w:sz w:val="20"/>
          <w:szCs w:val="20"/>
        </w:rPr>
        <w:t>Network Ten</w:t>
      </w:r>
      <w:r>
        <w:rPr>
          <w:rFonts w:ascii="Arial" w:hAnsi="Arial" w:cs="Arial"/>
          <w:sz w:val="20"/>
          <w:szCs w:val="20"/>
        </w:rPr>
        <w:t xml:space="preserve">, Kirby and Callinan JJ dissented.  </w:t>
      </w:r>
      <w:r w:rsidRPr="00B8220E">
        <w:rPr>
          <w:rFonts w:ascii="Arial" w:hAnsi="Arial" w:cs="Arial"/>
          <w:sz w:val="20"/>
        </w:rPr>
        <w:t xml:space="preserve">They considered that the construction approved by the majority involved distorting or ignoring the language of the </w:t>
      </w:r>
      <w:r w:rsidRPr="00B8220E">
        <w:rPr>
          <w:rFonts w:ascii="Arial" w:hAnsi="Arial" w:cs="Arial"/>
          <w:sz w:val="20"/>
        </w:rPr>
        <w:lastRenderedPageBreak/>
        <w:t xml:space="preserve">statute.  While Kirby J endorsed the contemporary purposive approach to statutory construction, he considered </w:t>
      </w:r>
      <w:r>
        <w:rPr>
          <w:rFonts w:ascii="Arial" w:hAnsi="Arial" w:cs="Arial"/>
          <w:sz w:val="20"/>
        </w:rPr>
        <w:t xml:space="preserve">at </w:t>
      </w:r>
      <w:r w:rsidR="00AD587C">
        <w:rPr>
          <w:rFonts w:ascii="Arial" w:hAnsi="Arial" w:cs="Arial"/>
          <w:sz w:val="20"/>
        </w:rPr>
        <w:t>[89]</w:t>
      </w:r>
      <w:r>
        <w:rPr>
          <w:rFonts w:ascii="Arial" w:hAnsi="Arial" w:cs="Arial"/>
          <w:sz w:val="20"/>
        </w:rPr>
        <w:t xml:space="preserve"> </w:t>
      </w:r>
      <w:r w:rsidRPr="00B8220E">
        <w:rPr>
          <w:rFonts w:ascii="Arial" w:hAnsi="Arial" w:cs="Arial"/>
          <w:sz w:val="20"/>
        </w:rPr>
        <w:t>‘that purpose must be found in the command of the Parliament, expressed in the Act’.</w:t>
      </w:r>
    </w:p>
    <w:p w14:paraId="58438D08" w14:textId="5F417E7E" w:rsidR="00B8220E" w:rsidRDefault="00B8220E" w:rsidP="00AD587C">
      <w:pPr>
        <w:spacing w:before="120"/>
        <w:ind w:left="567" w:right="567"/>
        <w:jc w:val="both"/>
        <w:rPr>
          <w:rFonts w:ascii="Arial" w:hAnsi="Arial" w:cs="Arial"/>
          <w:sz w:val="20"/>
          <w:szCs w:val="20"/>
        </w:rPr>
      </w:pPr>
      <w:r>
        <w:rPr>
          <w:rFonts w:ascii="Arial" w:hAnsi="Arial" w:cs="Arial"/>
          <w:sz w:val="20"/>
          <w:szCs w:val="20"/>
        </w:rPr>
        <w:t xml:space="preserve">[81] While the High Court was divided in </w:t>
      </w:r>
      <w:r w:rsidRPr="00AD587C">
        <w:rPr>
          <w:rFonts w:ascii="Arial" w:hAnsi="Arial" w:cs="Arial"/>
          <w:i/>
          <w:sz w:val="20"/>
          <w:szCs w:val="20"/>
        </w:rPr>
        <w:t>Network Ten</w:t>
      </w:r>
      <w:r>
        <w:rPr>
          <w:rFonts w:ascii="Arial" w:hAnsi="Arial" w:cs="Arial"/>
          <w:sz w:val="20"/>
          <w:szCs w:val="20"/>
        </w:rPr>
        <w:t xml:space="preserve">, the majority did not </w:t>
      </w:r>
      <w:r w:rsidRPr="00B8220E">
        <w:rPr>
          <w:rFonts w:ascii="Arial" w:hAnsi="Arial" w:cs="Arial"/>
          <w:sz w:val="20"/>
        </w:rPr>
        <w:t xml:space="preserve">expressly or implicitly reject Kirby J’s caveat </w:t>
      </w:r>
      <w:r>
        <w:rPr>
          <w:rFonts w:ascii="Arial" w:hAnsi="Arial" w:cs="Arial"/>
          <w:sz w:val="20"/>
        </w:rPr>
        <w:t xml:space="preserve">at </w:t>
      </w:r>
      <w:r w:rsidR="00AD587C">
        <w:rPr>
          <w:rFonts w:ascii="Arial" w:hAnsi="Arial" w:cs="Arial"/>
          <w:sz w:val="20"/>
        </w:rPr>
        <w:t>[105]</w:t>
      </w:r>
      <w:r>
        <w:rPr>
          <w:rFonts w:ascii="Arial" w:hAnsi="Arial" w:cs="Arial"/>
          <w:sz w:val="20"/>
        </w:rPr>
        <w:t xml:space="preserve"> </w:t>
      </w:r>
      <w:r w:rsidRPr="00B8220E">
        <w:rPr>
          <w:rFonts w:ascii="Arial" w:hAnsi="Arial" w:cs="Arial"/>
          <w:sz w:val="20"/>
        </w:rPr>
        <w:t xml:space="preserve">that ‘the application [of the purposive construction of legislation] is always subject to textual limits’ or his related observation </w:t>
      </w:r>
      <w:r>
        <w:rPr>
          <w:rFonts w:ascii="Arial" w:hAnsi="Arial" w:cs="Arial"/>
          <w:sz w:val="20"/>
        </w:rPr>
        <w:t xml:space="preserve">at </w:t>
      </w:r>
      <w:r w:rsidR="00AD587C">
        <w:rPr>
          <w:rFonts w:ascii="Arial" w:hAnsi="Arial" w:cs="Arial"/>
          <w:sz w:val="20"/>
        </w:rPr>
        <w:t>[87]</w:t>
      </w:r>
      <w:r>
        <w:rPr>
          <w:rFonts w:ascii="Arial" w:hAnsi="Arial" w:cs="Arial"/>
          <w:sz w:val="20"/>
        </w:rPr>
        <w:t xml:space="preserve"> </w:t>
      </w:r>
      <w:r w:rsidRPr="00B8220E">
        <w:rPr>
          <w:rFonts w:ascii="Arial" w:hAnsi="Arial" w:cs="Arial"/>
          <w:sz w:val="20"/>
        </w:rPr>
        <w:t>that otherwise.’</w:t>
      </w:r>
    </w:p>
    <w:p w14:paraId="328644EC" w14:textId="4E27B870" w:rsidR="00B8220E" w:rsidRPr="00B8220E" w:rsidRDefault="00AD587C" w:rsidP="00130028">
      <w:pPr>
        <w:spacing w:before="120"/>
        <w:ind w:left="567" w:right="567"/>
        <w:jc w:val="both"/>
        <w:rPr>
          <w:rFonts w:ascii="Arial" w:hAnsi="Arial" w:cs="Arial"/>
          <w:sz w:val="20"/>
          <w:szCs w:val="20"/>
        </w:rPr>
      </w:pPr>
      <w:r>
        <w:rPr>
          <w:rFonts w:ascii="Arial" w:hAnsi="Arial" w:cs="Arial"/>
          <w:sz w:val="20"/>
          <w:szCs w:val="20"/>
        </w:rPr>
        <w:t>[82] Simil</w:t>
      </w:r>
      <w:r w:rsidR="00B8220E">
        <w:rPr>
          <w:rFonts w:ascii="Arial" w:hAnsi="Arial" w:cs="Arial"/>
          <w:sz w:val="20"/>
          <w:szCs w:val="20"/>
        </w:rPr>
        <w:t xml:space="preserve">arly Callinan J’s caveat </w:t>
      </w:r>
      <w:r w:rsidR="00EA77AD">
        <w:rPr>
          <w:rFonts w:ascii="Arial" w:hAnsi="Arial" w:cs="Arial"/>
          <w:sz w:val="20"/>
          <w:szCs w:val="20"/>
        </w:rPr>
        <w:t xml:space="preserve">at </w:t>
      </w:r>
      <w:r>
        <w:rPr>
          <w:rFonts w:ascii="Arial" w:hAnsi="Arial" w:cs="Arial"/>
          <w:sz w:val="20"/>
          <w:szCs w:val="20"/>
        </w:rPr>
        <w:t>[129]</w:t>
      </w:r>
      <w:r w:rsidR="00EA77AD">
        <w:rPr>
          <w:rFonts w:ascii="Arial" w:hAnsi="Arial" w:cs="Arial"/>
          <w:sz w:val="20"/>
          <w:szCs w:val="20"/>
        </w:rPr>
        <w:t xml:space="preserve"> is self-evident and </w:t>
      </w:r>
      <w:r>
        <w:rPr>
          <w:rFonts w:ascii="Arial" w:hAnsi="Arial" w:cs="Arial"/>
          <w:sz w:val="20"/>
          <w:szCs w:val="20"/>
        </w:rPr>
        <w:t>un</w:t>
      </w:r>
      <w:r w:rsidR="00EA77AD">
        <w:rPr>
          <w:rFonts w:ascii="Arial" w:hAnsi="Arial" w:cs="Arial"/>
          <w:sz w:val="20"/>
          <w:szCs w:val="20"/>
        </w:rPr>
        <w:t>controversial</w:t>
      </w:r>
      <w:r w:rsidR="00FD5F44" w:rsidRPr="00A31FFA">
        <w:rPr>
          <w:rFonts w:ascii="Arial" w:hAnsi="Arial" w:cs="Arial"/>
          <w:sz w:val="20"/>
        </w:rPr>
        <w:t>–</w:t>
      </w:r>
    </w:p>
    <w:p w14:paraId="640EE37B" w14:textId="7F4AB623" w:rsidR="00B8220E" w:rsidRPr="00A616AE" w:rsidRDefault="00AD587C" w:rsidP="00B8220E">
      <w:pPr>
        <w:spacing w:before="60"/>
        <w:ind w:left="1134" w:right="1134"/>
        <w:jc w:val="both"/>
        <w:rPr>
          <w:rFonts w:ascii="Arial" w:hAnsi="Arial" w:cs="Arial"/>
          <w:sz w:val="18"/>
          <w:szCs w:val="18"/>
        </w:rPr>
      </w:pPr>
      <w:r w:rsidRPr="00A616AE">
        <w:rPr>
          <w:rFonts w:ascii="Arial" w:hAnsi="Arial" w:cs="Arial"/>
          <w:sz w:val="18"/>
          <w:szCs w:val="18"/>
        </w:rPr>
        <w:t>‘</w:t>
      </w:r>
      <w:r w:rsidR="00B8220E" w:rsidRPr="00A616AE">
        <w:rPr>
          <w:rFonts w:ascii="Arial" w:hAnsi="Arial" w:cs="Arial"/>
          <w:sz w:val="18"/>
          <w:szCs w:val="18"/>
        </w:rPr>
        <w:t>Although a Court is entitled to have regard to the legal and historical context must always be exercised in using all extrinsic material, including in particular assumed historical facts, to ensure that those facts are accurately and relevantly completely stated.</w:t>
      </w:r>
      <w:r w:rsidRPr="00A616AE">
        <w:rPr>
          <w:rFonts w:ascii="Arial" w:hAnsi="Arial" w:cs="Arial"/>
          <w:sz w:val="18"/>
          <w:szCs w:val="18"/>
        </w:rPr>
        <w:t>’</w:t>
      </w:r>
    </w:p>
    <w:p w14:paraId="2A39C60B" w14:textId="77777777" w:rsidR="00803AFF" w:rsidRPr="00B8220E" w:rsidRDefault="00EA77AD" w:rsidP="009747F2">
      <w:pPr>
        <w:spacing w:before="120"/>
        <w:ind w:left="567" w:right="567"/>
        <w:jc w:val="both"/>
        <w:rPr>
          <w:rFonts w:ascii="Arial" w:hAnsi="Arial" w:cs="Arial"/>
          <w:sz w:val="20"/>
          <w:szCs w:val="20"/>
        </w:rPr>
      </w:pPr>
      <w:r>
        <w:rPr>
          <w:rFonts w:ascii="Arial" w:hAnsi="Arial" w:cs="Arial"/>
          <w:sz w:val="20"/>
        </w:rPr>
        <w:t xml:space="preserve">[83] </w:t>
      </w:r>
      <w:r w:rsidRPr="00EA77AD">
        <w:rPr>
          <w:rFonts w:ascii="Arial" w:hAnsi="Arial" w:cs="Arial"/>
          <w:sz w:val="20"/>
          <w:lang w:val="en"/>
        </w:rPr>
        <w:t xml:space="preserve">In </w:t>
      </w:r>
      <w:r w:rsidRPr="00EA77AD">
        <w:rPr>
          <w:rFonts w:ascii="Arial" w:hAnsi="Arial" w:cs="Arial"/>
          <w:i/>
          <w:iCs/>
          <w:sz w:val="20"/>
        </w:rPr>
        <w:t>Mills v Meeking</w:t>
      </w:r>
      <w:r w:rsidRPr="00EA77AD">
        <w:rPr>
          <w:rFonts w:ascii="Arial" w:hAnsi="Arial" w:cs="Arial"/>
          <w:sz w:val="20"/>
          <w:lang w:val="en"/>
        </w:rPr>
        <w:t xml:space="preserve"> </w:t>
      </w:r>
      <w:r>
        <w:rPr>
          <w:rFonts w:ascii="Arial" w:hAnsi="Arial" w:cs="Arial"/>
          <w:sz w:val="20"/>
          <w:lang w:val="en"/>
        </w:rPr>
        <w:t xml:space="preserve">(1990) 169 CLR 214, 235 </w:t>
      </w:r>
      <w:r w:rsidRPr="00EA77AD">
        <w:rPr>
          <w:rFonts w:ascii="Arial" w:hAnsi="Arial" w:cs="Arial"/>
          <w:sz w:val="20"/>
          <w:lang w:val="en"/>
        </w:rPr>
        <w:t>Dawson J also stated that:</w:t>
      </w:r>
    </w:p>
    <w:p w14:paraId="056F5E1B" w14:textId="1813A6CF" w:rsidR="00EA77AD" w:rsidRPr="00A616AE" w:rsidRDefault="00AD587C" w:rsidP="003D7DEC">
      <w:pPr>
        <w:spacing w:before="60"/>
        <w:ind w:left="1134" w:right="1134"/>
        <w:jc w:val="both"/>
        <w:rPr>
          <w:rFonts w:ascii="Arial" w:hAnsi="Arial" w:cs="Arial"/>
          <w:sz w:val="18"/>
          <w:szCs w:val="18"/>
        </w:rPr>
      </w:pPr>
      <w:r w:rsidRPr="00A616AE">
        <w:rPr>
          <w:rFonts w:ascii="Arial" w:hAnsi="Arial" w:cs="Arial"/>
          <w:sz w:val="18"/>
          <w:szCs w:val="18"/>
          <w:lang w:val="en"/>
        </w:rPr>
        <w:t>‘</w:t>
      </w:r>
      <w:r w:rsidR="00EA77AD" w:rsidRPr="00A616AE">
        <w:rPr>
          <w:rFonts w:ascii="Arial" w:hAnsi="Arial" w:cs="Arial"/>
          <w:sz w:val="18"/>
          <w:szCs w:val="18"/>
          <w:lang w:val="en"/>
        </w:rPr>
        <w:t xml:space="preserve">However, if the literal meaning of a provision is to be modified by reference to the purposes of the Act, the modification must be precisely identifiable as that which is necessary to effectuate those purposes and it must be consistent with the wording otherwise adopted by the draftsman. Section 35 [of the </w:t>
      </w:r>
      <w:r w:rsidR="00EA77AD" w:rsidRPr="00A616AE">
        <w:rPr>
          <w:rFonts w:ascii="Arial" w:hAnsi="Arial" w:cs="Arial"/>
          <w:i/>
          <w:sz w:val="18"/>
          <w:szCs w:val="18"/>
          <w:lang w:val="en"/>
        </w:rPr>
        <w:t>Interpretation of Legislation Act 1984</w:t>
      </w:r>
      <w:r w:rsidR="00EA77AD" w:rsidRPr="00A616AE">
        <w:rPr>
          <w:rFonts w:ascii="Arial" w:hAnsi="Arial" w:cs="Arial"/>
          <w:sz w:val="18"/>
          <w:szCs w:val="18"/>
          <w:lang w:val="en"/>
        </w:rPr>
        <w:t>] requires a court to construe an Act, not rewrite it, in the light of its purposes.</w:t>
      </w:r>
      <w:r w:rsidRPr="00A616AE">
        <w:rPr>
          <w:rFonts w:ascii="Arial" w:hAnsi="Arial" w:cs="Arial"/>
          <w:sz w:val="18"/>
          <w:szCs w:val="18"/>
          <w:lang w:val="en"/>
        </w:rPr>
        <w:t>’</w:t>
      </w:r>
      <w:r w:rsidR="00EA77AD" w:rsidRPr="00A616AE">
        <w:rPr>
          <w:rStyle w:val="FootnoteReference"/>
          <w:rFonts w:ascii="Arial" w:hAnsi="Arial" w:cs="Arial"/>
          <w:sz w:val="18"/>
          <w:szCs w:val="18"/>
          <w:lang w:val="en"/>
        </w:rPr>
        <w:t>”</w:t>
      </w:r>
    </w:p>
    <w:p w14:paraId="54C4F65B" w14:textId="77777777" w:rsidR="00452120" w:rsidRDefault="00452120" w:rsidP="00177B34">
      <w:pPr>
        <w:jc w:val="both"/>
        <w:rPr>
          <w:rFonts w:ascii="Arial" w:hAnsi="Arial" w:cs="Arial"/>
          <w:sz w:val="20"/>
        </w:rPr>
      </w:pPr>
    </w:p>
    <w:p w14:paraId="2A551ABB" w14:textId="617D92BB" w:rsidR="008958A4" w:rsidRDefault="008958A4" w:rsidP="00177B34">
      <w:pPr>
        <w:jc w:val="both"/>
        <w:rPr>
          <w:rFonts w:ascii="Arial" w:hAnsi="Arial" w:cs="Arial"/>
          <w:sz w:val="20"/>
        </w:rPr>
      </w:pPr>
      <w:r w:rsidRPr="008958A4">
        <w:rPr>
          <w:rFonts w:ascii="Arial" w:hAnsi="Arial" w:cs="Arial"/>
          <w:sz w:val="20"/>
        </w:rPr>
        <w:t xml:space="preserve">In </w:t>
      </w:r>
      <w:r w:rsidRPr="008958A4">
        <w:rPr>
          <w:rFonts w:ascii="Arial" w:hAnsi="Arial" w:cs="Arial"/>
          <w:i/>
          <w:iCs/>
          <w:sz w:val="20"/>
        </w:rPr>
        <w:t>Beyond Rest Collingwood Pty Ltd v Beams Projects Pty Ltd</w:t>
      </w:r>
      <w:r w:rsidRPr="008958A4">
        <w:rPr>
          <w:rFonts w:ascii="Arial" w:hAnsi="Arial" w:cs="Arial"/>
          <w:sz w:val="20"/>
        </w:rPr>
        <w:t xml:space="preserve"> [2025] VSC 291</w:t>
      </w:r>
      <w:r>
        <w:rPr>
          <w:rFonts w:ascii="Arial" w:hAnsi="Arial" w:cs="Arial"/>
          <w:sz w:val="20"/>
        </w:rPr>
        <w:t xml:space="preserve"> at [51]-[52] Niall CJ summarised the principles of statutory construction as follows:</w:t>
      </w:r>
    </w:p>
    <w:p w14:paraId="5882C174" w14:textId="6B89F1D9" w:rsidR="008958A4" w:rsidRDefault="008958A4" w:rsidP="00210CF9">
      <w:pPr>
        <w:spacing w:before="120"/>
        <w:ind w:left="1021" w:right="567" w:hanging="454"/>
        <w:jc w:val="both"/>
        <w:rPr>
          <w:rFonts w:ascii="Arial" w:hAnsi="Arial" w:cs="Arial"/>
          <w:sz w:val="20"/>
        </w:rPr>
      </w:pPr>
      <w:r>
        <w:rPr>
          <w:rFonts w:ascii="Arial" w:hAnsi="Arial" w:cs="Arial"/>
          <w:sz w:val="20"/>
          <w:szCs w:val="20"/>
        </w:rPr>
        <w:t>[51]</w:t>
      </w:r>
      <w:r w:rsidR="00210CF9">
        <w:rPr>
          <w:rFonts w:ascii="Arial" w:hAnsi="Arial" w:cs="Arial"/>
          <w:sz w:val="20"/>
          <w:szCs w:val="20"/>
        </w:rPr>
        <w:tab/>
      </w:r>
      <w:r>
        <w:rPr>
          <w:rFonts w:ascii="Arial" w:hAnsi="Arial" w:cs="Arial"/>
          <w:sz w:val="20"/>
          <w:szCs w:val="20"/>
        </w:rPr>
        <w:t>“</w:t>
      </w:r>
      <w:r w:rsidR="008A3047" w:rsidRPr="008958A4">
        <w:rPr>
          <w:rFonts w:ascii="Arial" w:hAnsi="Arial" w:cs="Arial"/>
          <w:sz w:val="20"/>
        </w:rPr>
        <w:t xml:space="preserve">There is no dispute about the applicable principles applying equally to contracts and deeds under seal. They were summarised by the Court of Appeal in </w:t>
      </w:r>
      <w:r w:rsidR="008A3047" w:rsidRPr="008A3047">
        <w:rPr>
          <w:rFonts w:ascii="Arial" w:hAnsi="Arial" w:cs="Arial"/>
          <w:i/>
          <w:iCs/>
          <w:sz w:val="20"/>
        </w:rPr>
        <w:t>VS Property &amp; Holding Pty Ltd v Zurzolo</w:t>
      </w:r>
      <w:r w:rsidR="008A3047">
        <w:rPr>
          <w:rFonts w:ascii="Arial" w:hAnsi="Arial" w:cs="Arial"/>
          <w:sz w:val="20"/>
        </w:rPr>
        <w:t xml:space="preserve"> [2024] VSCA 199 at [54] – summarising </w:t>
      </w:r>
      <w:r w:rsidR="008A3047" w:rsidRPr="008A3047">
        <w:rPr>
          <w:rFonts w:ascii="Arial" w:hAnsi="Arial" w:cs="Arial"/>
          <w:i/>
          <w:iCs/>
          <w:sz w:val="20"/>
        </w:rPr>
        <w:t>Adaz Nominees Pty Ltd v Castleway Pty Ltd</w:t>
      </w:r>
      <w:r w:rsidR="008A3047" w:rsidRPr="008958A4">
        <w:rPr>
          <w:rFonts w:ascii="Arial" w:hAnsi="Arial" w:cs="Arial"/>
          <w:sz w:val="20"/>
        </w:rPr>
        <w:t xml:space="preserve"> [2020] VSCA 201</w:t>
      </w:r>
      <w:r w:rsidR="008A3047">
        <w:rPr>
          <w:rFonts w:ascii="Arial" w:hAnsi="Arial" w:cs="Arial"/>
          <w:sz w:val="20"/>
        </w:rPr>
        <w:t xml:space="preserve"> at </w:t>
      </w:r>
      <w:r w:rsidR="008A3047" w:rsidRPr="008958A4">
        <w:rPr>
          <w:rFonts w:ascii="Arial" w:hAnsi="Arial" w:cs="Arial"/>
          <w:sz w:val="20"/>
        </w:rPr>
        <w:t>[70]</w:t>
      </w:r>
      <w:r w:rsidR="008A3047">
        <w:rPr>
          <w:rFonts w:ascii="Arial" w:hAnsi="Arial" w:cs="Arial"/>
          <w:sz w:val="20"/>
        </w:rPr>
        <w:t xml:space="preserve"> – in t</w:t>
      </w:r>
      <w:r w:rsidR="008A3047" w:rsidRPr="008958A4">
        <w:rPr>
          <w:rFonts w:ascii="Arial" w:hAnsi="Arial" w:cs="Arial"/>
          <w:sz w:val="20"/>
        </w:rPr>
        <w:t>he following way:</w:t>
      </w:r>
    </w:p>
    <w:p w14:paraId="2F41ABAE" w14:textId="691D4750"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(a)</w:t>
      </w:r>
      <w:r>
        <w:rPr>
          <w:rFonts w:ascii="Arial" w:hAnsi="Arial" w:cs="Arial"/>
          <w:sz w:val="18"/>
          <w:szCs w:val="22"/>
        </w:rPr>
        <w:tab/>
      </w:r>
      <w:r w:rsidRPr="008A3047">
        <w:rPr>
          <w:rFonts w:ascii="Arial" w:hAnsi="Arial" w:cs="Arial"/>
          <w:sz w:val="18"/>
          <w:szCs w:val="22"/>
        </w:rPr>
        <w:t>In determining the meaning of the terms of a commercial contract, it is necessary to ask what a reasonable businessperson would have understood those terms to mean. To answer that question, ‘the reasonable businessperson [is] placed in the position of the parties’, and the Court applies the following principles:</w:t>
      </w:r>
    </w:p>
    <w:p w14:paraId="4932A36B" w14:textId="23131396"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(b)</w:t>
      </w:r>
      <w:r>
        <w:rPr>
          <w:rFonts w:ascii="Arial" w:hAnsi="Arial" w:cs="Arial"/>
          <w:sz w:val="18"/>
          <w:szCs w:val="22"/>
        </w:rPr>
        <w:tab/>
      </w:r>
      <w:r w:rsidRPr="008A3047">
        <w:rPr>
          <w:rFonts w:ascii="Arial" w:hAnsi="Arial" w:cs="Arial"/>
          <w:sz w:val="18"/>
          <w:szCs w:val="22"/>
        </w:rPr>
        <w:t>The rights and liabilities of parties under a provision of a contract are determined objectively. The subjective intentions of the parties are irrelevant.</w:t>
      </w:r>
    </w:p>
    <w:p w14:paraId="2D9D6A36" w14:textId="7D68AB96"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(c)</w:t>
      </w:r>
      <w:r>
        <w:rPr>
          <w:rFonts w:ascii="Arial" w:hAnsi="Arial" w:cs="Arial"/>
          <w:sz w:val="18"/>
          <w:szCs w:val="22"/>
        </w:rPr>
        <w:tab/>
      </w:r>
      <w:r w:rsidRPr="008A3047">
        <w:rPr>
          <w:rFonts w:ascii="Arial" w:hAnsi="Arial" w:cs="Arial"/>
          <w:sz w:val="18"/>
          <w:szCs w:val="22"/>
        </w:rPr>
        <w:t>The objective approach requires reference to the text and its ordinary meaning, together with:</w:t>
      </w:r>
    </w:p>
    <w:p w14:paraId="61519A57" w14:textId="2EDEF8F5" w:rsidR="008A3047" w:rsidRDefault="008A3047" w:rsidP="00420D6C">
      <w:pPr>
        <w:spacing w:before="60"/>
        <w:ind w:left="1735" w:right="1021" w:hanging="357"/>
        <w:jc w:val="both"/>
        <w:rPr>
          <w:rFonts w:ascii="Arial" w:hAnsi="Arial" w:cs="Arial"/>
          <w:sz w:val="18"/>
          <w:szCs w:val="22"/>
        </w:rPr>
      </w:pPr>
      <w:r w:rsidRPr="008A3047">
        <w:rPr>
          <w:rFonts w:ascii="Arial" w:hAnsi="Arial" w:cs="Arial"/>
          <w:sz w:val="18"/>
          <w:szCs w:val="22"/>
        </w:rPr>
        <w:t>(i)</w:t>
      </w:r>
      <w:r>
        <w:rPr>
          <w:rFonts w:ascii="Arial" w:hAnsi="Arial" w:cs="Arial"/>
          <w:sz w:val="18"/>
          <w:szCs w:val="22"/>
        </w:rPr>
        <w:tab/>
      </w:r>
      <w:r w:rsidRPr="008A3047">
        <w:rPr>
          <w:rFonts w:ascii="Arial" w:hAnsi="Arial" w:cs="Arial"/>
          <w:sz w:val="18"/>
          <w:szCs w:val="22"/>
        </w:rPr>
        <w:t>the context, being the entire text of the contract including matters referred to in the text; and</w:t>
      </w:r>
    </w:p>
    <w:p w14:paraId="543F56A3" w14:textId="1ED75B58" w:rsidR="008A3047" w:rsidRDefault="008A3047" w:rsidP="00420D6C">
      <w:pPr>
        <w:spacing w:before="60"/>
        <w:ind w:left="1735" w:right="1021" w:hanging="357"/>
        <w:jc w:val="both"/>
        <w:rPr>
          <w:rFonts w:ascii="Arial" w:hAnsi="Arial" w:cs="Arial"/>
          <w:sz w:val="18"/>
          <w:szCs w:val="22"/>
        </w:rPr>
      </w:pPr>
      <w:r w:rsidRPr="008A3047">
        <w:rPr>
          <w:rFonts w:ascii="Arial" w:hAnsi="Arial" w:cs="Arial"/>
          <w:sz w:val="18"/>
          <w:szCs w:val="22"/>
        </w:rPr>
        <w:t>(ii)</w:t>
      </w:r>
      <w:r>
        <w:rPr>
          <w:rFonts w:ascii="Arial" w:hAnsi="Arial" w:cs="Arial"/>
          <w:sz w:val="18"/>
          <w:szCs w:val="22"/>
        </w:rPr>
        <w:tab/>
      </w:r>
      <w:r w:rsidRPr="008A3047">
        <w:rPr>
          <w:rFonts w:ascii="Arial" w:hAnsi="Arial" w:cs="Arial"/>
          <w:sz w:val="18"/>
          <w:szCs w:val="22"/>
        </w:rPr>
        <w:t>the purpose of the contract and/or the clause in question.</w:t>
      </w:r>
    </w:p>
    <w:p w14:paraId="2FC0ECCE" w14:textId="5B4D844A"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(d)</w:t>
      </w:r>
      <w:r>
        <w:rPr>
          <w:rFonts w:ascii="Arial" w:hAnsi="Arial" w:cs="Arial"/>
          <w:sz w:val="18"/>
          <w:szCs w:val="22"/>
        </w:rPr>
        <w:tab/>
      </w:r>
      <w:r w:rsidRPr="008A3047">
        <w:rPr>
          <w:rFonts w:ascii="Arial" w:hAnsi="Arial" w:cs="Arial"/>
          <w:sz w:val="18"/>
          <w:szCs w:val="22"/>
        </w:rPr>
        <w:t>These matters will ordinarily be identified by reference to the contract alone, but evidence of mutually known objective background circumstances relevant to the purpose is admissible ‘no matter how clear the “ordinary meaning” of the words’. Identification of purpose may allow admission of evidence of the genesis of the transaction, the background, the context and the market in which the parties are operating.</w:t>
      </w:r>
    </w:p>
    <w:p w14:paraId="4C94B977" w14:textId="77777777"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(e)</w:t>
      </w:r>
      <w:r>
        <w:rPr>
          <w:rFonts w:ascii="Arial" w:hAnsi="Arial" w:cs="Arial"/>
          <w:sz w:val="18"/>
          <w:szCs w:val="22"/>
        </w:rPr>
        <w:tab/>
      </w:r>
      <w:r w:rsidRPr="008A3047">
        <w:rPr>
          <w:rFonts w:ascii="Arial" w:hAnsi="Arial" w:cs="Arial"/>
          <w:sz w:val="18"/>
          <w:szCs w:val="22"/>
        </w:rPr>
        <w:t>Unless a contrary intention appears in the contract, the court is entitled to approach the task of interpretation on the assumption that the parties intended to produce a commercial result, and should construe it so as to avoid a commercial nonsense. However, the court does not weigh the commerciality of the agreement, and business common sense is a topic on which reasonable minds may differ.</w:t>
      </w:r>
    </w:p>
    <w:p w14:paraId="5BC2BD04" w14:textId="77777777"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(f)</w:t>
      </w:r>
      <w:r>
        <w:rPr>
          <w:rFonts w:ascii="Arial" w:hAnsi="Arial" w:cs="Arial"/>
          <w:sz w:val="18"/>
          <w:szCs w:val="22"/>
        </w:rPr>
        <w:tab/>
      </w:r>
      <w:r w:rsidRPr="008A3047">
        <w:rPr>
          <w:rFonts w:ascii="Arial" w:hAnsi="Arial" w:cs="Arial"/>
          <w:sz w:val="18"/>
          <w:szCs w:val="22"/>
        </w:rPr>
        <w:t>If the language used in the contract ‘is ambiguous or susceptible of more than one meaning’, then evidence of surrounding circumstances external to the contract is admissible to assist with interpretation of the language in question.</w:t>
      </w:r>
    </w:p>
    <w:p w14:paraId="7F735C17" w14:textId="77777777"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(g)</w:t>
      </w:r>
      <w:r>
        <w:rPr>
          <w:rFonts w:ascii="Arial" w:hAnsi="Arial" w:cs="Arial"/>
          <w:sz w:val="18"/>
          <w:szCs w:val="22"/>
        </w:rPr>
        <w:tab/>
      </w:r>
      <w:r w:rsidRPr="008A3047">
        <w:rPr>
          <w:rFonts w:ascii="Arial" w:hAnsi="Arial" w:cs="Arial"/>
          <w:sz w:val="18"/>
          <w:szCs w:val="22"/>
        </w:rPr>
        <w:t>However, ‘evidence of the parties’ statements and actions reflecting their actual intentions and expectations’ is inadmissible. Although evidence of prior negotiations is admissible to establish objective background facts known to both parties and the subject matter of the contract, evidence of negotiations reflective of actual intentions and expectations is not receivable.</w:t>
      </w:r>
    </w:p>
    <w:p w14:paraId="1ED1D580" w14:textId="4E66BDB8" w:rsidR="00210CF9"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(h)</w:t>
      </w:r>
      <w:r>
        <w:rPr>
          <w:rFonts w:ascii="Arial" w:hAnsi="Arial" w:cs="Arial"/>
          <w:sz w:val="18"/>
          <w:szCs w:val="22"/>
        </w:rPr>
        <w:tab/>
      </w:r>
      <w:r w:rsidRPr="008A3047">
        <w:rPr>
          <w:rFonts w:ascii="Arial" w:hAnsi="Arial" w:cs="Arial"/>
          <w:sz w:val="18"/>
          <w:szCs w:val="22"/>
        </w:rPr>
        <w:t>Post-contractual conduct is inadmissible to construe the terms of the contract. However, the parties’ subsequent communications may be relevant to determine whether the parties intended to enter into a binding contract.</w:t>
      </w:r>
    </w:p>
    <w:p w14:paraId="337DA328" w14:textId="57377905" w:rsidR="00210CF9" w:rsidRDefault="00210CF9" w:rsidP="00210CF9">
      <w:pPr>
        <w:spacing w:before="120"/>
        <w:ind w:left="1021" w:right="567"/>
        <w:jc w:val="both"/>
        <w:rPr>
          <w:rFonts w:ascii="Arial" w:hAnsi="Arial" w:cs="Arial"/>
          <w:sz w:val="20"/>
        </w:rPr>
      </w:pPr>
      <w:r>
        <w:rPr>
          <w:rFonts w:ascii="Arial" w:hAnsi="Arial" w:cs="Arial"/>
          <w:sz w:val="20"/>
        </w:rPr>
        <w:t xml:space="preserve">See also </w:t>
      </w:r>
      <w:r w:rsidRPr="00210CF9">
        <w:rPr>
          <w:rFonts w:ascii="Arial" w:hAnsi="Arial" w:cs="Arial"/>
          <w:i/>
          <w:iCs/>
          <w:sz w:val="20"/>
        </w:rPr>
        <w:t>Electricity Generation Corporation v Woodside Energy Ltd</w:t>
      </w:r>
      <w:r w:rsidRPr="008958A4">
        <w:rPr>
          <w:rFonts w:ascii="Arial" w:hAnsi="Arial" w:cs="Arial"/>
          <w:sz w:val="20"/>
        </w:rPr>
        <w:t xml:space="preserve"> (2014) 251 CLR 640</w:t>
      </w:r>
      <w:r>
        <w:rPr>
          <w:rFonts w:ascii="Arial" w:hAnsi="Arial" w:cs="Arial"/>
          <w:sz w:val="20"/>
        </w:rPr>
        <w:t xml:space="preserve"> at </w:t>
      </w:r>
      <w:r w:rsidRPr="008958A4">
        <w:rPr>
          <w:rFonts w:ascii="Arial" w:hAnsi="Arial" w:cs="Arial"/>
          <w:sz w:val="20"/>
        </w:rPr>
        <w:t xml:space="preserve">[35]; [2014] HCA 7; </w:t>
      </w:r>
      <w:r w:rsidRPr="00210CF9">
        <w:rPr>
          <w:rFonts w:ascii="Arial" w:hAnsi="Arial" w:cs="Arial"/>
          <w:i/>
          <w:iCs/>
          <w:sz w:val="20"/>
        </w:rPr>
        <w:t>Mount Bruce Mining Pty Ltd v Wright Prospecting Pty Ltd</w:t>
      </w:r>
      <w:r w:rsidRPr="008958A4">
        <w:rPr>
          <w:rFonts w:ascii="Arial" w:hAnsi="Arial" w:cs="Arial"/>
          <w:sz w:val="20"/>
        </w:rPr>
        <w:t xml:space="preserve"> (2015) 256 CLR 104</w:t>
      </w:r>
      <w:r>
        <w:rPr>
          <w:rFonts w:ascii="Arial" w:hAnsi="Arial" w:cs="Arial"/>
          <w:sz w:val="20"/>
        </w:rPr>
        <w:t xml:space="preserve"> at </w:t>
      </w:r>
      <w:r w:rsidRPr="008958A4">
        <w:rPr>
          <w:rFonts w:ascii="Arial" w:hAnsi="Arial" w:cs="Arial"/>
          <w:sz w:val="20"/>
        </w:rPr>
        <w:t xml:space="preserve">[47]; [2015] HCA 37; </w:t>
      </w:r>
      <w:r w:rsidRPr="00210CF9">
        <w:rPr>
          <w:rFonts w:ascii="Arial" w:hAnsi="Arial" w:cs="Arial"/>
          <w:i/>
          <w:iCs/>
          <w:sz w:val="20"/>
        </w:rPr>
        <w:t>Ecosse Property Holdings Pty Ltd v Gee Dee Nominees Pty Ltd</w:t>
      </w:r>
      <w:r w:rsidRPr="008958A4">
        <w:rPr>
          <w:rFonts w:ascii="Arial" w:hAnsi="Arial" w:cs="Arial"/>
          <w:sz w:val="20"/>
        </w:rPr>
        <w:t xml:space="preserve"> (2017) 261 CLR 544</w:t>
      </w:r>
      <w:r>
        <w:rPr>
          <w:rFonts w:ascii="Arial" w:hAnsi="Arial" w:cs="Arial"/>
          <w:sz w:val="20"/>
        </w:rPr>
        <w:t xml:space="preserve"> at</w:t>
      </w:r>
      <w:r w:rsidRPr="008958A4">
        <w:rPr>
          <w:rFonts w:ascii="Arial" w:hAnsi="Arial" w:cs="Arial"/>
          <w:sz w:val="20"/>
        </w:rPr>
        <w:t xml:space="preserve"> [16]; [2017] HCA 12.</w:t>
      </w:r>
    </w:p>
    <w:p w14:paraId="00B3AF85" w14:textId="384E4B42" w:rsidR="008958A4" w:rsidRPr="00210CF9" w:rsidRDefault="00210CF9" w:rsidP="00210CF9">
      <w:pPr>
        <w:spacing w:before="120"/>
        <w:ind w:left="1021" w:right="567" w:hanging="454"/>
        <w:jc w:val="both"/>
        <w:rPr>
          <w:rFonts w:ascii="Arial" w:hAnsi="Arial" w:cs="Arial"/>
          <w:sz w:val="20"/>
          <w:szCs w:val="20"/>
        </w:rPr>
      </w:pPr>
      <w:r w:rsidRPr="00210CF9">
        <w:rPr>
          <w:rFonts w:ascii="Arial" w:hAnsi="Arial" w:cs="Arial"/>
          <w:sz w:val="20"/>
          <w:szCs w:val="20"/>
        </w:rPr>
        <w:lastRenderedPageBreak/>
        <w:t>[</w:t>
      </w:r>
      <w:r w:rsidR="008A3047" w:rsidRPr="00210CF9">
        <w:rPr>
          <w:rFonts w:ascii="Arial" w:hAnsi="Arial" w:cs="Arial"/>
          <w:sz w:val="20"/>
          <w:szCs w:val="20"/>
        </w:rPr>
        <w:t>52</w:t>
      </w:r>
      <w:r w:rsidRPr="00210CF9">
        <w:rPr>
          <w:rFonts w:ascii="Arial" w:hAnsi="Arial" w:cs="Arial"/>
          <w:sz w:val="20"/>
          <w:szCs w:val="20"/>
        </w:rPr>
        <w:t>]</w:t>
      </w:r>
      <w:r w:rsidRPr="00210CF9">
        <w:rPr>
          <w:rFonts w:ascii="Arial" w:hAnsi="Arial" w:cs="Arial"/>
          <w:sz w:val="20"/>
          <w:szCs w:val="20"/>
        </w:rPr>
        <w:tab/>
      </w:r>
      <w:r w:rsidR="008A3047" w:rsidRPr="00210CF9">
        <w:rPr>
          <w:rFonts w:ascii="Arial" w:hAnsi="Arial" w:cs="Arial"/>
          <w:sz w:val="20"/>
          <w:szCs w:val="20"/>
        </w:rPr>
        <w:t>In addition, and to the extent possible, clauses within a contract are to</w:t>
      </w:r>
      <w:r w:rsidRPr="00210CF9">
        <w:rPr>
          <w:rFonts w:ascii="Arial" w:hAnsi="Arial" w:cs="Arial"/>
          <w:sz w:val="20"/>
          <w:szCs w:val="20"/>
        </w:rPr>
        <w:t xml:space="preserve"> be construed harmoniously with each other</w:t>
      </w:r>
      <w:r>
        <w:rPr>
          <w:rFonts w:ascii="Arial" w:hAnsi="Arial" w:cs="Arial"/>
          <w:sz w:val="20"/>
          <w:szCs w:val="20"/>
        </w:rPr>
        <w:t xml:space="preserve">: </w:t>
      </w:r>
      <w:r w:rsidRPr="00210CF9">
        <w:rPr>
          <w:rFonts w:ascii="Arial" w:hAnsi="Arial" w:cs="Arial"/>
          <w:i/>
          <w:iCs/>
          <w:sz w:val="20"/>
        </w:rPr>
        <w:t>Wilkie v Gordian Runoff Ltd</w:t>
      </w:r>
      <w:r w:rsidRPr="008958A4">
        <w:rPr>
          <w:rFonts w:ascii="Arial" w:hAnsi="Arial" w:cs="Arial"/>
          <w:sz w:val="20"/>
        </w:rPr>
        <w:t xml:space="preserve"> (2005) 221 CLR 522</w:t>
      </w:r>
      <w:r>
        <w:rPr>
          <w:rFonts w:ascii="Arial" w:hAnsi="Arial" w:cs="Arial"/>
          <w:sz w:val="20"/>
        </w:rPr>
        <w:t xml:space="preserve"> at [16]</w:t>
      </w:r>
      <w:r w:rsidRPr="008958A4">
        <w:rPr>
          <w:rFonts w:ascii="Arial" w:hAnsi="Arial" w:cs="Arial"/>
          <w:sz w:val="20"/>
        </w:rPr>
        <w:t>; [2005] HCA 17</w:t>
      </w:r>
      <w:r w:rsidRPr="00210CF9">
        <w:rPr>
          <w:rFonts w:ascii="Arial" w:hAnsi="Arial" w:cs="Arial"/>
          <w:sz w:val="20"/>
          <w:szCs w:val="20"/>
        </w:rPr>
        <w:t>7</w:t>
      </w:r>
      <w:r>
        <w:rPr>
          <w:rFonts w:ascii="Arial" w:hAnsi="Arial" w:cs="Arial"/>
          <w:sz w:val="20"/>
          <w:szCs w:val="20"/>
        </w:rPr>
        <w:t>.</w:t>
      </w:r>
      <w:r w:rsidRPr="00210CF9">
        <w:rPr>
          <w:rFonts w:ascii="Arial" w:hAnsi="Arial" w:cs="Arial"/>
          <w:sz w:val="20"/>
          <w:szCs w:val="20"/>
        </w:rPr>
        <w:t xml:space="preserve"> However, if there is any inconsistency between terms</w:t>
      </w:r>
      <w:r>
        <w:rPr>
          <w:rFonts w:ascii="Arial" w:hAnsi="Arial" w:cs="Arial"/>
          <w:sz w:val="20"/>
          <w:szCs w:val="20"/>
        </w:rPr>
        <w:t xml:space="preserve"> then the specific clause will prevail over the general clause: </w:t>
      </w:r>
      <w:r w:rsidRPr="00BD5D62">
        <w:rPr>
          <w:rFonts w:ascii="Arial" w:hAnsi="Arial" w:cs="Arial"/>
          <w:i/>
          <w:iCs/>
          <w:sz w:val="20"/>
          <w:szCs w:val="20"/>
        </w:rPr>
        <w:t>Hume Steel Ltd v Attorney-General (Vic)</w:t>
      </w:r>
      <w:r>
        <w:rPr>
          <w:rFonts w:ascii="Arial" w:hAnsi="Arial" w:cs="Arial"/>
          <w:sz w:val="20"/>
          <w:szCs w:val="20"/>
        </w:rPr>
        <w:t xml:space="preserve"> (1927) 39 CLR 455, 465-6; [1927] HCA 24.”</w:t>
      </w:r>
    </w:p>
    <w:p w14:paraId="3C2FE797" w14:textId="77777777" w:rsidR="008958A4" w:rsidRDefault="008958A4" w:rsidP="00177B34">
      <w:pPr>
        <w:jc w:val="both"/>
        <w:rPr>
          <w:rFonts w:ascii="Arial" w:hAnsi="Arial" w:cs="Arial"/>
          <w:sz w:val="20"/>
        </w:rPr>
      </w:pPr>
    </w:p>
    <w:p w14:paraId="7AD8B02D" w14:textId="0014CC5F" w:rsidR="001A0B53" w:rsidRDefault="001A0B53" w:rsidP="00177B34">
      <w:pPr>
        <w:jc w:val="both"/>
        <w:rPr>
          <w:rFonts w:ascii="Arial" w:hAnsi="Arial" w:cs="Arial"/>
          <w:sz w:val="20"/>
        </w:rPr>
      </w:pPr>
      <w:r>
        <w:rPr>
          <w:rFonts w:ascii="Arial" w:hAnsi="Arial" w:cs="Arial"/>
          <w:sz w:val="20"/>
        </w:rPr>
        <w:t xml:space="preserve">In </w:t>
      </w:r>
      <w:r w:rsidRPr="00072CE7">
        <w:rPr>
          <w:rFonts w:ascii="Arial" w:hAnsi="Arial" w:cs="Arial"/>
          <w:i/>
          <w:iCs/>
          <w:sz w:val="20"/>
        </w:rPr>
        <w:t>Delma Investments Pty Ltd v Commissioner of State Revenue</w:t>
      </w:r>
      <w:r>
        <w:rPr>
          <w:rFonts w:ascii="Arial" w:hAnsi="Arial" w:cs="Arial"/>
          <w:sz w:val="20"/>
        </w:rPr>
        <w:t xml:space="preserve"> [2026] VSCA 53, in construing s.67(1) of the </w:t>
      </w:r>
      <w:r w:rsidRPr="001A0B53">
        <w:rPr>
          <w:rFonts w:ascii="Arial" w:hAnsi="Arial" w:cs="Arial"/>
          <w:i/>
          <w:iCs/>
          <w:sz w:val="20"/>
        </w:rPr>
        <w:t>Land Tax Act 2005</w:t>
      </w:r>
      <w:r>
        <w:rPr>
          <w:rFonts w:ascii="Arial" w:hAnsi="Arial" w:cs="Arial"/>
          <w:sz w:val="20"/>
        </w:rPr>
        <w:t xml:space="preserve"> </w:t>
      </w:r>
      <w:r w:rsidR="0038639E">
        <w:rPr>
          <w:rFonts w:ascii="Arial" w:hAnsi="Arial" w:cs="Arial"/>
          <w:sz w:val="20"/>
        </w:rPr>
        <w:t>to</w:t>
      </w:r>
      <w:r>
        <w:rPr>
          <w:rFonts w:ascii="Arial" w:hAnsi="Arial" w:cs="Arial"/>
          <w:sz w:val="20"/>
        </w:rPr>
        <w:t xml:space="preserve"> determin</w:t>
      </w:r>
      <w:r w:rsidR="0038639E">
        <w:rPr>
          <w:rFonts w:ascii="Arial" w:hAnsi="Arial" w:cs="Arial"/>
          <w:sz w:val="20"/>
        </w:rPr>
        <w:t>e</w:t>
      </w:r>
      <w:r>
        <w:rPr>
          <w:rFonts w:ascii="Arial" w:hAnsi="Arial" w:cs="Arial"/>
          <w:sz w:val="20"/>
        </w:rPr>
        <w:t xml:space="preserve"> </w:t>
      </w:r>
      <w:r w:rsidR="0038639E">
        <w:rPr>
          <w:rFonts w:ascii="Arial" w:hAnsi="Arial" w:cs="Arial"/>
          <w:sz w:val="20"/>
        </w:rPr>
        <w:t>whether</w:t>
      </w:r>
      <w:r>
        <w:rPr>
          <w:rFonts w:ascii="Arial" w:hAnsi="Arial" w:cs="Arial"/>
          <w:sz w:val="20"/>
        </w:rPr>
        <w:t xml:space="preserve"> the relevant person was </w:t>
      </w:r>
      <w:r w:rsidRPr="001A0B53">
        <w:rPr>
          <w:rFonts w:ascii="Arial" w:hAnsi="Arial" w:cs="Arial"/>
          <w:sz w:val="20"/>
        </w:rPr>
        <w:t>normally engaged in a ‘substantially full-time capacity’ in the relevant business of primary production</w:t>
      </w:r>
      <w:r>
        <w:rPr>
          <w:rFonts w:ascii="Arial" w:hAnsi="Arial" w:cs="Arial"/>
          <w:sz w:val="20"/>
        </w:rPr>
        <w:t xml:space="preserve">, </w:t>
      </w:r>
      <w:r w:rsidR="00072CE7">
        <w:rPr>
          <w:rFonts w:ascii="Arial" w:hAnsi="Arial" w:cs="Arial"/>
          <w:sz w:val="20"/>
        </w:rPr>
        <w:t>Niall CJ, Beach &amp; Kennedy JJA said at [36]:</w:t>
      </w:r>
    </w:p>
    <w:p w14:paraId="161A80FB" w14:textId="2C98A986" w:rsidR="00072CE7" w:rsidRDefault="00072CE7" w:rsidP="00072CE7">
      <w:pPr>
        <w:spacing w:before="60"/>
        <w:ind w:left="567" w:right="567"/>
        <w:jc w:val="both"/>
        <w:rPr>
          <w:rFonts w:ascii="Arial" w:hAnsi="Arial" w:cs="Arial"/>
          <w:sz w:val="20"/>
        </w:rPr>
      </w:pPr>
      <w:r>
        <w:rPr>
          <w:rFonts w:ascii="Arial" w:hAnsi="Arial" w:cs="Arial"/>
          <w:sz w:val="20"/>
        </w:rPr>
        <w:t>“</w:t>
      </w:r>
      <w:r w:rsidRPr="001A0B53">
        <w:rPr>
          <w:rFonts w:ascii="Arial" w:hAnsi="Arial" w:cs="Arial"/>
          <w:sz w:val="20"/>
        </w:rPr>
        <w:t>It is uncontroversial that the meaning of a statutory provision is determined by reference to its text, in the light of its context and purpose</w:t>
      </w:r>
      <w:r>
        <w:rPr>
          <w:rFonts w:ascii="Arial" w:hAnsi="Arial" w:cs="Arial"/>
          <w:sz w:val="20"/>
        </w:rPr>
        <w:t xml:space="preserve">: </w:t>
      </w:r>
      <w:r w:rsidRPr="00072CE7">
        <w:rPr>
          <w:rFonts w:ascii="Arial" w:hAnsi="Arial" w:cs="Arial"/>
          <w:i/>
          <w:iCs/>
          <w:sz w:val="20"/>
        </w:rPr>
        <w:t>SAS Trustee Corporation v Miles</w:t>
      </w:r>
      <w:r w:rsidRPr="001A0B53">
        <w:rPr>
          <w:rFonts w:ascii="Arial" w:hAnsi="Arial" w:cs="Arial"/>
          <w:sz w:val="20"/>
        </w:rPr>
        <w:t xml:space="preserve"> (2018) 265 CLR 137, 149 [20]; [2018] HCA 55.</w:t>
      </w:r>
      <w:r>
        <w:rPr>
          <w:rFonts w:ascii="Arial" w:hAnsi="Arial" w:cs="Arial"/>
          <w:sz w:val="20"/>
        </w:rPr>
        <w:t xml:space="preserve"> </w:t>
      </w:r>
      <w:r w:rsidRPr="001A0B53">
        <w:rPr>
          <w:rFonts w:ascii="Arial" w:hAnsi="Arial" w:cs="Arial"/>
          <w:sz w:val="20"/>
        </w:rPr>
        <w:t>However, the applicant is correct in highlighting the importance of the statutory text given that the task of statutory construction must begin and end with a consideration of that text</w:t>
      </w:r>
      <w:r>
        <w:rPr>
          <w:rFonts w:ascii="Arial" w:hAnsi="Arial" w:cs="Arial"/>
          <w:sz w:val="20"/>
        </w:rPr>
        <w:t xml:space="preserve">: </w:t>
      </w:r>
      <w:r w:rsidR="0038639E" w:rsidRPr="0038639E">
        <w:rPr>
          <w:rFonts w:ascii="Arial" w:hAnsi="Arial" w:cs="Arial"/>
          <w:i/>
          <w:iCs/>
          <w:sz w:val="20"/>
        </w:rPr>
        <w:t>Federal Commissioner of Taxation v Consolidated Media Holdings Ltd</w:t>
      </w:r>
      <w:r w:rsidR="0038639E" w:rsidRPr="0038639E">
        <w:rPr>
          <w:rFonts w:ascii="Arial" w:hAnsi="Arial" w:cs="Arial"/>
          <w:sz w:val="20"/>
        </w:rPr>
        <w:t xml:space="preserve"> (2012) 250 CLR 503, 519 </w:t>
      </w:r>
      <w:r w:rsidRPr="001A0B53">
        <w:rPr>
          <w:rFonts w:ascii="Arial" w:hAnsi="Arial" w:cs="Arial"/>
          <w:sz w:val="20"/>
        </w:rPr>
        <w:t xml:space="preserve">[39]; [2012] HCA 55, citing </w:t>
      </w:r>
      <w:r w:rsidRPr="00072CE7">
        <w:rPr>
          <w:rFonts w:ascii="Arial" w:hAnsi="Arial" w:cs="Arial"/>
          <w:i/>
          <w:iCs/>
          <w:sz w:val="20"/>
        </w:rPr>
        <w:t>Alcan</w:t>
      </w:r>
      <w:r w:rsidRPr="001A0B53">
        <w:rPr>
          <w:rFonts w:ascii="Arial" w:hAnsi="Arial" w:cs="Arial"/>
          <w:sz w:val="20"/>
        </w:rPr>
        <w:t xml:space="preserve"> (2009) 239 CLR 27, 46–7 [47]; [2009] HCA 41.</w:t>
      </w:r>
      <w:r>
        <w:rPr>
          <w:rFonts w:ascii="Arial" w:hAnsi="Arial" w:cs="Arial"/>
          <w:sz w:val="20"/>
        </w:rPr>
        <w:t xml:space="preserve"> </w:t>
      </w:r>
      <w:r w:rsidRPr="001A0B53">
        <w:rPr>
          <w:rFonts w:ascii="Arial" w:hAnsi="Arial" w:cs="Arial"/>
          <w:sz w:val="20"/>
        </w:rPr>
        <w:t>The High Court has also said: ‘[t]he fundamental point is that close attention must be paid to the language’ of the relevant provision because ‘[t]here is no substitute for giving attention to the precise terms’ in which a provision is expressed</w:t>
      </w:r>
      <w:r>
        <w:rPr>
          <w:rFonts w:ascii="Arial" w:hAnsi="Arial" w:cs="Arial"/>
          <w:sz w:val="20"/>
        </w:rPr>
        <w:t xml:space="preserve">: </w:t>
      </w:r>
      <w:r w:rsidRPr="00072CE7">
        <w:rPr>
          <w:rFonts w:ascii="Arial" w:hAnsi="Arial" w:cs="Arial"/>
          <w:i/>
          <w:iCs/>
          <w:sz w:val="20"/>
        </w:rPr>
        <w:t>Fleming v The Queen</w:t>
      </w:r>
      <w:r w:rsidRPr="001A0B53">
        <w:rPr>
          <w:rFonts w:ascii="Arial" w:hAnsi="Arial" w:cs="Arial"/>
          <w:sz w:val="20"/>
        </w:rPr>
        <w:t xml:space="preserve"> (1998) 197 CLR 250, 256 [12]; [1998] HCA 68, cited in </w:t>
      </w:r>
      <w:proofErr w:type="spellStart"/>
      <w:r w:rsidRPr="00072CE7">
        <w:rPr>
          <w:rFonts w:ascii="Arial" w:hAnsi="Arial" w:cs="Arial"/>
          <w:i/>
          <w:iCs/>
          <w:sz w:val="20"/>
        </w:rPr>
        <w:t>Baini</w:t>
      </w:r>
      <w:proofErr w:type="spellEnd"/>
      <w:r w:rsidRPr="00072CE7">
        <w:rPr>
          <w:rFonts w:ascii="Arial" w:hAnsi="Arial" w:cs="Arial"/>
          <w:i/>
          <w:iCs/>
          <w:sz w:val="20"/>
        </w:rPr>
        <w:t xml:space="preserve"> v The Queen</w:t>
      </w:r>
      <w:r w:rsidRPr="001A0B53">
        <w:rPr>
          <w:rFonts w:ascii="Arial" w:hAnsi="Arial" w:cs="Arial"/>
          <w:sz w:val="20"/>
        </w:rPr>
        <w:t xml:space="preserve"> (2012) 246 CLR 469, 476 [14]; [2012] HCA 59</w:t>
      </w:r>
      <w:r>
        <w:rPr>
          <w:rFonts w:ascii="Arial" w:hAnsi="Arial" w:cs="Arial"/>
          <w:sz w:val="20"/>
        </w:rPr>
        <w:t>.</w:t>
      </w:r>
      <w:r w:rsidRPr="001A0B53">
        <w:rPr>
          <w:rFonts w:ascii="Arial" w:hAnsi="Arial" w:cs="Arial"/>
          <w:sz w:val="20"/>
        </w:rPr>
        <w:t xml:space="preserve"> Legislative history and extrinsic materials can also not displace the actual words used in the statute</w:t>
      </w:r>
      <w:r>
        <w:rPr>
          <w:rFonts w:ascii="Arial" w:hAnsi="Arial" w:cs="Arial"/>
          <w:sz w:val="20"/>
        </w:rPr>
        <w:t xml:space="preserve">: </w:t>
      </w:r>
      <w:r w:rsidRPr="00072CE7">
        <w:rPr>
          <w:rFonts w:ascii="Arial" w:hAnsi="Arial" w:cs="Arial"/>
          <w:i/>
          <w:iCs/>
          <w:sz w:val="20"/>
        </w:rPr>
        <w:t>FCT</w:t>
      </w:r>
      <w:r w:rsidRPr="001A0B53">
        <w:rPr>
          <w:rFonts w:ascii="Arial" w:hAnsi="Arial" w:cs="Arial"/>
          <w:sz w:val="20"/>
        </w:rPr>
        <w:t xml:space="preserve"> (2012) 250 CLR 503, 519 [39]; </w:t>
      </w:r>
      <w:proofErr w:type="spellStart"/>
      <w:r w:rsidRPr="00072CE7">
        <w:rPr>
          <w:rFonts w:ascii="Arial" w:hAnsi="Arial" w:cs="Arial"/>
          <w:i/>
          <w:iCs/>
          <w:sz w:val="20"/>
        </w:rPr>
        <w:t>Baini</w:t>
      </w:r>
      <w:proofErr w:type="spellEnd"/>
      <w:r w:rsidRPr="001A0B53">
        <w:rPr>
          <w:rFonts w:ascii="Arial" w:hAnsi="Arial" w:cs="Arial"/>
          <w:sz w:val="20"/>
        </w:rPr>
        <w:t xml:space="preserve"> (2012) 246 CLR 469, 476 [14].</w:t>
      </w:r>
      <w:r>
        <w:rPr>
          <w:rFonts w:ascii="Arial" w:hAnsi="Arial" w:cs="Arial"/>
          <w:sz w:val="20"/>
        </w:rPr>
        <w:t>”</w:t>
      </w:r>
    </w:p>
    <w:p w14:paraId="0277D339" w14:textId="77777777" w:rsidR="001A0B53" w:rsidRDefault="001A0B53" w:rsidP="00177B34">
      <w:pPr>
        <w:jc w:val="both"/>
        <w:rPr>
          <w:rFonts w:ascii="Arial" w:hAnsi="Arial" w:cs="Arial"/>
          <w:sz w:val="20"/>
        </w:rPr>
      </w:pPr>
    </w:p>
    <w:p w14:paraId="6F683A8C" w14:textId="7CA4B71E" w:rsidR="00077112" w:rsidRDefault="00DB7E9B" w:rsidP="00177B34">
      <w:pPr>
        <w:jc w:val="both"/>
        <w:rPr>
          <w:rFonts w:ascii="Arial" w:hAnsi="Arial" w:cs="Arial"/>
          <w:sz w:val="20"/>
        </w:rPr>
      </w:pPr>
      <w:r>
        <w:rPr>
          <w:rFonts w:ascii="Arial" w:hAnsi="Arial" w:cs="Arial"/>
          <w:sz w:val="20"/>
        </w:rPr>
        <w:t xml:space="preserve">See also </w:t>
      </w:r>
      <w:bookmarkStart w:id="909" w:name="_Hlk179966031"/>
      <w:r w:rsidR="007D30CD" w:rsidRPr="007D30CD">
        <w:rPr>
          <w:rFonts w:ascii="Arial" w:hAnsi="Arial" w:cs="Arial"/>
          <w:i/>
          <w:iCs/>
          <w:sz w:val="20"/>
        </w:rPr>
        <w:t>Abraham Abbas v Department of Transport and Planning</w:t>
      </w:r>
      <w:r w:rsidR="007D30CD" w:rsidRPr="007D30CD">
        <w:rPr>
          <w:rFonts w:ascii="Arial" w:hAnsi="Arial" w:cs="Arial"/>
          <w:sz w:val="20"/>
        </w:rPr>
        <w:t xml:space="preserve"> [2024] VMC 11</w:t>
      </w:r>
      <w:r w:rsidR="007D30CD">
        <w:rPr>
          <w:rFonts w:ascii="Arial" w:hAnsi="Arial" w:cs="Arial"/>
          <w:sz w:val="20"/>
        </w:rPr>
        <w:t xml:space="preserve"> at [48]-[55]; </w:t>
      </w:r>
      <w:r w:rsidRPr="00DB7E9B">
        <w:rPr>
          <w:rFonts w:ascii="Arial" w:hAnsi="Arial" w:cs="Arial"/>
          <w:i/>
          <w:iCs/>
          <w:sz w:val="20"/>
        </w:rPr>
        <w:t>Owners</w:t>
      </w:r>
      <w:r w:rsidR="007D30CD">
        <w:rPr>
          <w:rFonts w:ascii="Arial" w:hAnsi="Arial" w:cs="Arial"/>
          <w:i/>
          <w:iCs/>
          <w:sz w:val="20"/>
        </w:rPr>
        <w:t> </w:t>
      </w:r>
      <w:r w:rsidRPr="00DB7E9B">
        <w:rPr>
          <w:rFonts w:ascii="Arial" w:hAnsi="Arial" w:cs="Arial"/>
          <w:i/>
          <w:iCs/>
          <w:sz w:val="20"/>
        </w:rPr>
        <w:t>Corporation v Buckley</w:t>
      </w:r>
      <w:r w:rsidRPr="00DB7E9B">
        <w:rPr>
          <w:rFonts w:ascii="Arial" w:hAnsi="Arial" w:cs="Arial"/>
          <w:sz w:val="20"/>
        </w:rPr>
        <w:t xml:space="preserve"> [2024] VMC 12</w:t>
      </w:r>
      <w:r>
        <w:rPr>
          <w:rFonts w:ascii="Arial" w:hAnsi="Arial" w:cs="Arial"/>
          <w:sz w:val="20"/>
        </w:rPr>
        <w:t xml:space="preserve"> at </w:t>
      </w:r>
      <w:r w:rsidR="001D47A4">
        <w:rPr>
          <w:rFonts w:ascii="Arial" w:hAnsi="Arial" w:cs="Arial"/>
          <w:sz w:val="20"/>
        </w:rPr>
        <w:t>[27]-[34]</w:t>
      </w:r>
      <w:bookmarkEnd w:id="909"/>
      <w:r w:rsidR="00BF69A5">
        <w:rPr>
          <w:rFonts w:ascii="Arial" w:hAnsi="Arial" w:cs="Arial"/>
          <w:sz w:val="20"/>
        </w:rPr>
        <w:t xml:space="preserve">; </w:t>
      </w:r>
      <w:r w:rsidR="00B63A6B" w:rsidRPr="00B63A6B">
        <w:rPr>
          <w:rFonts w:ascii="Arial" w:hAnsi="Arial" w:cs="Arial"/>
          <w:i/>
          <w:iCs/>
          <w:sz w:val="20"/>
        </w:rPr>
        <w:t>D</w:t>
      </w:r>
      <w:r w:rsidR="004C7D62">
        <w:rPr>
          <w:rFonts w:ascii="Arial" w:hAnsi="Arial" w:cs="Arial"/>
          <w:i/>
          <w:iCs/>
          <w:sz w:val="20"/>
        </w:rPr>
        <w:t xml:space="preserve">; </w:t>
      </w:r>
      <w:r w:rsidR="00B63A6B" w:rsidRPr="00B63A6B">
        <w:rPr>
          <w:rFonts w:ascii="Arial" w:hAnsi="Arial" w:cs="Arial"/>
          <w:i/>
          <w:iCs/>
          <w:sz w:val="20"/>
        </w:rPr>
        <w:t>P (Cth) v Falco (a pseudonym)</w:t>
      </w:r>
      <w:r w:rsidR="00B63A6B">
        <w:rPr>
          <w:rFonts w:ascii="Arial" w:hAnsi="Arial" w:cs="Arial"/>
          <w:sz w:val="20"/>
        </w:rPr>
        <w:t xml:space="preserve"> [2024] VSCA 247 at [51]-[71]</w:t>
      </w:r>
      <w:r w:rsidR="004C7D62">
        <w:rPr>
          <w:rFonts w:ascii="Arial" w:hAnsi="Arial" w:cs="Arial"/>
          <w:sz w:val="20"/>
        </w:rPr>
        <w:t xml:space="preserve">; </w:t>
      </w:r>
      <w:r w:rsidR="004C7D62" w:rsidRPr="004C7D62">
        <w:rPr>
          <w:rFonts w:ascii="Arial" w:hAnsi="Arial" w:cs="Arial"/>
          <w:i/>
          <w:iCs/>
          <w:sz w:val="20"/>
        </w:rPr>
        <w:t>Jomaring Pty Ltd &amp; Kingston v Head, Transport for Victoria</w:t>
      </w:r>
      <w:r w:rsidR="004C7D62">
        <w:rPr>
          <w:rFonts w:ascii="Arial" w:hAnsi="Arial" w:cs="Arial"/>
          <w:sz w:val="20"/>
        </w:rPr>
        <w:t xml:space="preserve"> [2025] VSCA at [29]</w:t>
      </w:r>
      <w:r w:rsidR="004C7D62">
        <w:rPr>
          <w:rFonts w:ascii="Arial" w:hAnsi="Arial" w:cs="Arial"/>
          <w:sz w:val="20"/>
        </w:rPr>
        <w:noBreakHyphen/>
        <w:t>[32]</w:t>
      </w:r>
      <w:r w:rsidR="00643076">
        <w:rPr>
          <w:rFonts w:ascii="Arial" w:hAnsi="Arial" w:cs="Arial"/>
          <w:sz w:val="20"/>
        </w:rPr>
        <w:t xml:space="preserve">; </w:t>
      </w:r>
      <w:proofErr w:type="spellStart"/>
      <w:r w:rsidR="00643076" w:rsidRPr="00643076">
        <w:rPr>
          <w:rFonts w:ascii="Arial" w:hAnsi="Arial" w:cs="Arial"/>
          <w:i/>
          <w:iCs/>
          <w:sz w:val="20"/>
        </w:rPr>
        <w:t>Castleway</w:t>
      </w:r>
      <w:proofErr w:type="spellEnd"/>
      <w:r w:rsidR="00643076" w:rsidRPr="00643076">
        <w:rPr>
          <w:rFonts w:ascii="Arial" w:hAnsi="Arial" w:cs="Arial"/>
          <w:i/>
          <w:iCs/>
          <w:sz w:val="20"/>
        </w:rPr>
        <w:t xml:space="preserve"> Pty Ltd v </w:t>
      </w:r>
      <w:proofErr w:type="spellStart"/>
      <w:r w:rsidR="00643076" w:rsidRPr="00643076">
        <w:rPr>
          <w:rFonts w:ascii="Arial" w:hAnsi="Arial" w:cs="Arial"/>
          <w:i/>
          <w:iCs/>
          <w:sz w:val="20"/>
        </w:rPr>
        <w:t>Adaz</w:t>
      </w:r>
      <w:proofErr w:type="spellEnd"/>
      <w:r w:rsidR="00643076" w:rsidRPr="00643076">
        <w:rPr>
          <w:rFonts w:ascii="Arial" w:hAnsi="Arial" w:cs="Arial"/>
          <w:i/>
          <w:iCs/>
          <w:sz w:val="20"/>
        </w:rPr>
        <w:t xml:space="preserve"> Nominees Pty Ltd</w:t>
      </w:r>
      <w:r w:rsidR="00643076">
        <w:rPr>
          <w:rFonts w:ascii="Arial" w:hAnsi="Arial" w:cs="Arial"/>
          <w:sz w:val="20"/>
        </w:rPr>
        <w:t xml:space="preserve"> [2026] VSCA 19 at [42]-[61]</w:t>
      </w:r>
      <w:r w:rsidR="00B26EAD">
        <w:rPr>
          <w:rFonts w:ascii="Arial" w:hAnsi="Arial" w:cs="Arial"/>
          <w:sz w:val="20"/>
        </w:rPr>
        <w:t xml:space="preserve">; </w:t>
      </w:r>
      <w:r w:rsidR="00B26EAD" w:rsidRPr="00B26EAD">
        <w:rPr>
          <w:rFonts w:ascii="Arial" w:hAnsi="Arial" w:cs="Arial"/>
          <w:i/>
          <w:iCs/>
          <w:sz w:val="20"/>
        </w:rPr>
        <w:t>Chief Commissioner of Police v Gentner &amp; Anor</w:t>
      </w:r>
      <w:r w:rsidR="00B26EAD">
        <w:rPr>
          <w:rFonts w:ascii="Arial" w:hAnsi="Arial" w:cs="Arial"/>
          <w:sz w:val="20"/>
        </w:rPr>
        <w:t xml:space="preserve"> [2026] VSCA 22 at [72]</w:t>
      </w:r>
      <w:r w:rsidR="00F46619">
        <w:rPr>
          <w:rFonts w:ascii="Arial" w:hAnsi="Arial" w:cs="Arial"/>
          <w:sz w:val="20"/>
        </w:rPr>
        <w:t xml:space="preserve">; </w:t>
      </w:r>
      <w:r w:rsidR="00F46619" w:rsidRPr="00F46619">
        <w:rPr>
          <w:rFonts w:ascii="Arial" w:hAnsi="Arial" w:cs="Arial"/>
          <w:i/>
          <w:iCs/>
          <w:sz w:val="20"/>
        </w:rPr>
        <w:t xml:space="preserve">Zhao v </w:t>
      </w:r>
      <w:proofErr w:type="spellStart"/>
      <w:r w:rsidR="00F46619" w:rsidRPr="00F46619">
        <w:rPr>
          <w:rFonts w:ascii="Arial" w:hAnsi="Arial" w:cs="Arial"/>
          <w:i/>
          <w:iCs/>
          <w:sz w:val="20"/>
        </w:rPr>
        <w:t>Kontomichalos</w:t>
      </w:r>
      <w:proofErr w:type="spellEnd"/>
      <w:r w:rsidR="00F46619" w:rsidRPr="00F46619">
        <w:rPr>
          <w:rFonts w:ascii="Arial" w:hAnsi="Arial" w:cs="Arial"/>
          <w:sz w:val="20"/>
        </w:rPr>
        <w:t xml:space="preserve"> [2026] VSCA 30</w:t>
      </w:r>
      <w:r w:rsidR="00F46619">
        <w:rPr>
          <w:rFonts w:ascii="Arial" w:hAnsi="Arial" w:cs="Arial"/>
          <w:sz w:val="20"/>
        </w:rPr>
        <w:t xml:space="preserve"> at [34]-[61]</w:t>
      </w:r>
      <w:r w:rsidR="00902E5C">
        <w:rPr>
          <w:rFonts w:ascii="Arial" w:hAnsi="Arial" w:cs="Arial"/>
          <w:sz w:val="20"/>
        </w:rPr>
        <w:t xml:space="preserve">; </w:t>
      </w:r>
      <w:r w:rsidR="00902E5C" w:rsidRPr="00902E5C">
        <w:rPr>
          <w:rFonts w:ascii="Arial" w:hAnsi="Arial" w:cs="Arial"/>
          <w:i/>
          <w:iCs/>
          <w:sz w:val="20"/>
        </w:rPr>
        <w:t>Victorian Building Authority v Fall-Armytage</w:t>
      </w:r>
      <w:r w:rsidR="00902E5C">
        <w:rPr>
          <w:rFonts w:ascii="Arial" w:hAnsi="Arial" w:cs="Arial"/>
          <w:sz w:val="20"/>
        </w:rPr>
        <w:t xml:space="preserve"> [2026] VSCA 32 at [47]-[64]</w:t>
      </w:r>
      <w:r w:rsidR="00077112">
        <w:rPr>
          <w:rFonts w:ascii="Arial" w:hAnsi="Arial" w:cs="Arial"/>
          <w:sz w:val="20"/>
        </w:rPr>
        <w:t xml:space="preserve">; </w:t>
      </w:r>
      <w:r w:rsidR="00077112" w:rsidRPr="00077112">
        <w:rPr>
          <w:rFonts w:ascii="Arial" w:hAnsi="Arial" w:cs="Arial"/>
          <w:i/>
          <w:iCs/>
          <w:sz w:val="20"/>
        </w:rPr>
        <w:t>Birchall v The King</w:t>
      </w:r>
      <w:r w:rsidR="00077112" w:rsidRPr="00077112">
        <w:rPr>
          <w:rFonts w:ascii="Arial" w:hAnsi="Arial" w:cs="Arial"/>
          <w:sz w:val="20"/>
        </w:rPr>
        <w:t xml:space="preserve"> [2026] VSCA 63</w:t>
      </w:r>
      <w:r w:rsidR="00077112">
        <w:rPr>
          <w:rFonts w:ascii="Arial" w:hAnsi="Arial" w:cs="Arial"/>
          <w:sz w:val="20"/>
        </w:rPr>
        <w:t xml:space="preserve"> at [67]-[127].</w:t>
      </w:r>
    </w:p>
    <w:p w14:paraId="1B52A0D6" w14:textId="77777777" w:rsidR="00902E5C" w:rsidRDefault="00902E5C" w:rsidP="00177B34">
      <w:pPr>
        <w:jc w:val="both"/>
        <w:rPr>
          <w:rFonts w:ascii="Arial" w:hAnsi="Arial" w:cs="Arial"/>
          <w:sz w:val="20"/>
        </w:rPr>
      </w:pPr>
    </w:p>
    <w:p w14:paraId="285A8586" w14:textId="16521C21" w:rsidR="00480757" w:rsidRDefault="00480757" w:rsidP="00177B34">
      <w:pPr>
        <w:jc w:val="both"/>
        <w:rPr>
          <w:rFonts w:ascii="Arial" w:hAnsi="Arial" w:cs="Arial"/>
          <w:sz w:val="20"/>
        </w:rPr>
      </w:pPr>
      <w:bookmarkStart w:id="910" w:name="_Hlk206061349"/>
      <w:r>
        <w:rPr>
          <w:rFonts w:ascii="Arial" w:hAnsi="Arial" w:cs="Arial"/>
          <w:sz w:val="20"/>
        </w:rPr>
        <w:t xml:space="preserve">And note the conflicting approaches in </w:t>
      </w:r>
      <w:r w:rsidRPr="00480757">
        <w:rPr>
          <w:rFonts w:ascii="Arial" w:hAnsi="Arial" w:cs="Arial"/>
          <w:i/>
          <w:iCs/>
          <w:sz w:val="20"/>
        </w:rPr>
        <w:t>Laming v Electoral Commissioner of the Australian Electoral Commission</w:t>
      </w:r>
      <w:r w:rsidRPr="00480757">
        <w:rPr>
          <w:rFonts w:ascii="Arial" w:hAnsi="Arial" w:cs="Arial"/>
          <w:sz w:val="20"/>
        </w:rPr>
        <w:t xml:space="preserve"> [2025] HCA 31</w:t>
      </w:r>
      <w:r w:rsidR="008531B5">
        <w:rPr>
          <w:rFonts w:ascii="Arial" w:hAnsi="Arial" w:cs="Arial"/>
          <w:sz w:val="20"/>
        </w:rPr>
        <w:t xml:space="preserve"> </w:t>
      </w:r>
      <w:r>
        <w:rPr>
          <w:rFonts w:ascii="Arial" w:hAnsi="Arial" w:cs="Arial"/>
          <w:sz w:val="20"/>
        </w:rPr>
        <w:t xml:space="preserve">of the plurality (Gageler CJ, Gleeson &amp; Jago JJ) </w:t>
      </w:r>
      <w:r w:rsidR="00061852">
        <w:rPr>
          <w:rFonts w:ascii="Arial" w:hAnsi="Arial" w:cs="Arial"/>
          <w:sz w:val="20"/>
        </w:rPr>
        <w:t xml:space="preserve">at [20]-[44] </w:t>
      </w:r>
      <w:r>
        <w:rPr>
          <w:rFonts w:ascii="Arial" w:hAnsi="Arial" w:cs="Arial"/>
          <w:sz w:val="20"/>
        </w:rPr>
        <w:t>and of Edelman J in dissent</w:t>
      </w:r>
      <w:r w:rsidR="001219C7">
        <w:rPr>
          <w:rFonts w:ascii="Arial" w:hAnsi="Arial" w:cs="Arial"/>
          <w:sz w:val="20"/>
        </w:rPr>
        <w:t>, especially</w:t>
      </w:r>
      <w:r>
        <w:rPr>
          <w:rFonts w:ascii="Arial" w:hAnsi="Arial" w:cs="Arial"/>
          <w:sz w:val="20"/>
        </w:rPr>
        <w:t xml:space="preserve"> at [1</w:t>
      </w:r>
      <w:r w:rsidR="001219C7">
        <w:rPr>
          <w:rFonts w:ascii="Arial" w:hAnsi="Arial" w:cs="Arial"/>
          <w:sz w:val="20"/>
        </w:rPr>
        <w:t>29</w:t>
      </w:r>
      <w:r>
        <w:rPr>
          <w:rFonts w:ascii="Arial" w:hAnsi="Arial" w:cs="Arial"/>
          <w:sz w:val="20"/>
        </w:rPr>
        <w:t>]-[130].</w:t>
      </w:r>
    </w:p>
    <w:bookmarkEnd w:id="910"/>
    <w:p w14:paraId="17E99057" w14:textId="643B7133" w:rsidR="00480757" w:rsidRDefault="00480757" w:rsidP="00177B34">
      <w:pPr>
        <w:jc w:val="both"/>
        <w:rPr>
          <w:rFonts w:ascii="Arial" w:hAnsi="Arial" w:cs="Arial"/>
          <w:sz w:val="20"/>
        </w:rPr>
      </w:pPr>
    </w:p>
    <w:p w14:paraId="3F4B3555" w14:textId="11333337" w:rsidR="00967849" w:rsidRDefault="00967849" w:rsidP="00177B34">
      <w:pPr>
        <w:jc w:val="both"/>
        <w:rPr>
          <w:rFonts w:ascii="Arial" w:hAnsi="Arial" w:cs="Arial"/>
          <w:sz w:val="20"/>
        </w:rPr>
      </w:pPr>
      <w:r>
        <w:rPr>
          <w:rFonts w:ascii="Arial" w:hAnsi="Arial" w:cs="Arial"/>
          <w:sz w:val="20"/>
        </w:rPr>
        <w:t xml:space="preserve">In relation to the construction of a commercial contact the Court of Appeal (Orr, Richards &amp; Kenny JJA) </w:t>
      </w:r>
      <w:r w:rsidR="00584D48">
        <w:rPr>
          <w:rFonts w:ascii="Arial" w:hAnsi="Arial" w:cs="Arial"/>
          <w:sz w:val="20"/>
        </w:rPr>
        <w:t xml:space="preserve">said </w:t>
      </w:r>
      <w:r>
        <w:rPr>
          <w:rFonts w:ascii="Arial" w:hAnsi="Arial" w:cs="Arial"/>
          <w:sz w:val="20"/>
        </w:rPr>
        <w:t xml:space="preserve">in </w:t>
      </w:r>
      <w:r w:rsidRPr="00967849">
        <w:rPr>
          <w:rFonts w:ascii="Arial" w:hAnsi="Arial" w:cs="Arial"/>
          <w:i/>
          <w:iCs/>
          <w:sz w:val="20"/>
        </w:rPr>
        <w:t xml:space="preserve">5G Networks Limited v </w:t>
      </w:r>
      <w:proofErr w:type="spellStart"/>
      <w:r w:rsidRPr="00967849">
        <w:rPr>
          <w:rFonts w:ascii="Arial" w:hAnsi="Arial" w:cs="Arial"/>
          <w:i/>
          <w:iCs/>
          <w:sz w:val="20"/>
        </w:rPr>
        <w:t>Centralnic</w:t>
      </w:r>
      <w:proofErr w:type="spellEnd"/>
      <w:r w:rsidRPr="00967849">
        <w:rPr>
          <w:rFonts w:ascii="Arial" w:hAnsi="Arial" w:cs="Arial"/>
          <w:i/>
          <w:iCs/>
          <w:sz w:val="20"/>
        </w:rPr>
        <w:t xml:space="preserve"> Limited (UK Company Number 4985780)</w:t>
      </w:r>
      <w:r>
        <w:rPr>
          <w:rFonts w:ascii="Arial" w:hAnsi="Arial" w:cs="Arial"/>
          <w:sz w:val="20"/>
        </w:rPr>
        <w:t xml:space="preserve"> </w:t>
      </w:r>
      <w:r w:rsidR="00584D48">
        <w:rPr>
          <w:rFonts w:ascii="Arial" w:hAnsi="Arial" w:cs="Arial"/>
          <w:sz w:val="20"/>
        </w:rPr>
        <w:t xml:space="preserve">[2025] VSCA 253 </w:t>
      </w:r>
      <w:r>
        <w:rPr>
          <w:rFonts w:ascii="Arial" w:hAnsi="Arial" w:cs="Arial"/>
          <w:sz w:val="20"/>
        </w:rPr>
        <w:t xml:space="preserve">at [58], citing various passages from </w:t>
      </w:r>
      <w:r w:rsidRPr="00967849">
        <w:rPr>
          <w:rFonts w:ascii="Arial" w:hAnsi="Arial" w:cs="Arial"/>
          <w:i/>
          <w:iCs/>
          <w:sz w:val="20"/>
        </w:rPr>
        <w:t>Electricity Generation Corporation v Woodside Energy Ltd</w:t>
      </w:r>
      <w:r w:rsidRPr="00967849">
        <w:rPr>
          <w:rFonts w:ascii="Arial" w:hAnsi="Arial" w:cs="Arial"/>
          <w:sz w:val="20"/>
        </w:rPr>
        <w:t xml:space="preserve"> (2014) 251 CLR 640</w:t>
      </w:r>
      <w:r>
        <w:rPr>
          <w:rFonts w:ascii="Arial" w:hAnsi="Arial" w:cs="Arial"/>
          <w:sz w:val="20"/>
        </w:rPr>
        <w:t xml:space="preserve"> and</w:t>
      </w:r>
      <w:r w:rsidRPr="00967849">
        <w:rPr>
          <w:rFonts w:ascii="Arial" w:hAnsi="Arial" w:cs="Arial"/>
          <w:sz w:val="20"/>
        </w:rPr>
        <w:t xml:space="preserve"> </w:t>
      </w:r>
      <w:r w:rsidRPr="00967849">
        <w:rPr>
          <w:rFonts w:ascii="Arial" w:hAnsi="Arial" w:cs="Arial"/>
          <w:i/>
          <w:iCs/>
          <w:sz w:val="20"/>
        </w:rPr>
        <w:t>Mount Bruce Mining Pty Ltd v Wright Prospecting Pty Ltd</w:t>
      </w:r>
      <w:r w:rsidRPr="00967849">
        <w:rPr>
          <w:rFonts w:ascii="Arial" w:hAnsi="Arial" w:cs="Arial"/>
          <w:sz w:val="20"/>
        </w:rPr>
        <w:t xml:space="preserve"> (2015) 256 CLR 104</w:t>
      </w:r>
      <w:r>
        <w:rPr>
          <w:rFonts w:ascii="Arial" w:hAnsi="Arial" w:cs="Arial"/>
          <w:sz w:val="20"/>
        </w:rPr>
        <w:t>:</w:t>
      </w:r>
    </w:p>
    <w:p w14:paraId="10792696" w14:textId="7D8718DA" w:rsidR="00967849" w:rsidRPr="00210CF9" w:rsidRDefault="00967849" w:rsidP="00967849">
      <w:pPr>
        <w:spacing w:before="120"/>
        <w:ind w:left="567" w:right="567"/>
        <w:jc w:val="both"/>
        <w:rPr>
          <w:rFonts w:ascii="Arial" w:hAnsi="Arial" w:cs="Arial"/>
          <w:sz w:val="20"/>
          <w:szCs w:val="20"/>
        </w:rPr>
      </w:pPr>
      <w:r>
        <w:rPr>
          <w:rFonts w:ascii="Arial" w:hAnsi="Arial" w:cs="Arial"/>
          <w:sz w:val="20"/>
        </w:rPr>
        <w:t>“</w:t>
      </w:r>
      <w:r w:rsidRPr="00967849">
        <w:rPr>
          <w:rFonts w:ascii="Arial" w:hAnsi="Arial" w:cs="Arial"/>
          <w:sz w:val="20"/>
        </w:rPr>
        <w:t>In brief, a commercial contract is to be construed objectively, by reference to its text, context, and commercial purpose. Ordinarily, the relevant context is confined to the contract itself, and any other contract or document referred to in the text of the contract. In</w:t>
      </w:r>
      <w:r>
        <w:rPr>
          <w:rFonts w:ascii="Arial" w:hAnsi="Arial" w:cs="Arial"/>
          <w:sz w:val="20"/>
        </w:rPr>
        <w:t> </w:t>
      </w:r>
      <w:r w:rsidRPr="00967849">
        <w:rPr>
          <w:rFonts w:ascii="Arial" w:hAnsi="Arial" w:cs="Arial"/>
          <w:sz w:val="20"/>
        </w:rPr>
        <w:t>addition, recourse may be had to surrounding circumstances known to the parties to identify the commercial purpose of the contract, or to assist in determining the proper construction where there is a constructional choice to be made. The contract should be construed so as to avoid it making commercial nonsense or working commercial inconvenience, by asking what a reasonable businessperson would have understood its terms to mean.</w:t>
      </w:r>
      <w:r>
        <w:rPr>
          <w:rFonts w:ascii="Arial" w:hAnsi="Arial" w:cs="Arial"/>
          <w:sz w:val="20"/>
        </w:rPr>
        <w:t>”</w:t>
      </w:r>
    </w:p>
    <w:p w14:paraId="221AD583" w14:textId="77777777" w:rsidR="00967849" w:rsidRDefault="00967849" w:rsidP="00177B34">
      <w:pPr>
        <w:jc w:val="both"/>
        <w:rPr>
          <w:rFonts w:ascii="Arial" w:hAnsi="Arial" w:cs="Arial"/>
          <w:sz w:val="20"/>
        </w:rPr>
      </w:pPr>
    </w:p>
    <w:p w14:paraId="717FA997" w14:textId="26374375" w:rsidR="00F71A5D" w:rsidRDefault="00F71A5D" w:rsidP="00177B34">
      <w:pPr>
        <w:jc w:val="both"/>
        <w:rPr>
          <w:rFonts w:ascii="Arial" w:hAnsi="Arial" w:cs="Arial"/>
          <w:sz w:val="20"/>
        </w:rPr>
      </w:pPr>
      <w:r>
        <w:rPr>
          <w:rFonts w:ascii="Arial" w:hAnsi="Arial" w:cs="Arial"/>
          <w:sz w:val="20"/>
        </w:rPr>
        <w:t xml:space="preserve">See also </w:t>
      </w:r>
      <w:r w:rsidRPr="001443F3">
        <w:rPr>
          <w:rFonts w:ascii="Arial" w:hAnsi="Arial" w:cs="Arial"/>
          <w:i/>
          <w:iCs/>
          <w:sz w:val="20"/>
        </w:rPr>
        <w:t xml:space="preserve">ASD Corporation Australia Pty Ltd v </w:t>
      </w:r>
      <w:proofErr w:type="spellStart"/>
      <w:r w:rsidRPr="001443F3">
        <w:rPr>
          <w:rFonts w:ascii="Arial" w:hAnsi="Arial" w:cs="Arial"/>
          <w:i/>
          <w:iCs/>
          <w:sz w:val="20"/>
        </w:rPr>
        <w:t>Babicka</w:t>
      </w:r>
      <w:proofErr w:type="spellEnd"/>
      <w:r w:rsidRPr="001443F3">
        <w:rPr>
          <w:rFonts w:ascii="Arial" w:hAnsi="Arial" w:cs="Arial"/>
          <w:sz w:val="20"/>
        </w:rPr>
        <w:t xml:space="preserve"> [2026] VSCA 27</w:t>
      </w:r>
      <w:r>
        <w:rPr>
          <w:rFonts w:ascii="Arial" w:hAnsi="Arial" w:cs="Arial"/>
          <w:sz w:val="20"/>
        </w:rPr>
        <w:t xml:space="preserve"> at [32] where Donaghue JA (with whom Beach &amp; Richards JJA agreed) said:</w:t>
      </w:r>
    </w:p>
    <w:p w14:paraId="2CCCDDCB" w14:textId="01541EA3" w:rsidR="00F71A5D" w:rsidRDefault="00F71A5D" w:rsidP="00B32850">
      <w:pPr>
        <w:spacing w:before="60"/>
        <w:ind w:left="567" w:right="567"/>
        <w:jc w:val="both"/>
        <w:rPr>
          <w:rFonts w:ascii="Arial" w:hAnsi="Arial" w:cs="Arial"/>
          <w:sz w:val="20"/>
        </w:rPr>
      </w:pPr>
      <w:r>
        <w:rPr>
          <w:rFonts w:ascii="Arial" w:hAnsi="Arial" w:cs="Arial"/>
          <w:sz w:val="20"/>
          <w:szCs w:val="20"/>
        </w:rPr>
        <w:t>“</w:t>
      </w:r>
      <w:r w:rsidRPr="00F71A5D">
        <w:rPr>
          <w:rFonts w:ascii="Arial" w:hAnsi="Arial" w:cs="Arial"/>
          <w:sz w:val="20"/>
        </w:rPr>
        <w:t>The relevant principles governing the construction of commercial contracts are well</w:t>
      </w:r>
      <w:r>
        <w:rPr>
          <w:rFonts w:ascii="Arial" w:hAnsi="Arial" w:cs="Arial"/>
          <w:sz w:val="20"/>
        </w:rPr>
        <w:t xml:space="preserve"> </w:t>
      </w:r>
      <w:r w:rsidRPr="00F71A5D">
        <w:rPr>
          <w:rFonts w:ascii="Arial" w:hAnsi="Arial" w:cs="Arial"/>
          <w:sz w:val="20"/>
        </w:rPr>
        <w:t xml:space="preserve">established, and they were not in dispute between the parties. As a plurality of the High Court said in </w:t>
      </w:r>
      <w:r w:rsidRPr="00F71A5D">
        <w:rPr>
          <w:rFonts w:ascii="Arial" w:hAnsi="Arial" w:cs="Arial"/>
          <w:i/>
          <w:iCs/>
          <w:sz w:val="20"/>
        </w:rPr>
        <w:t>Mount Bruce Mining Pty Ltd v Wright Prospecting Pty Ltd</w:t>
      </w:r>
      <w:r w:rsidRPr="00F71A5D">
        <w:rPr>
          <w:rFonts w:ascii="Arial" w:hAnsi="Arial" w:cs="Arial"/>
          <w:sz w:val="20"/>
        </w:rPr>
        <w:t xml:space="preserve">: </w:t>
      </w:r>
      <w:r>
        <w:rPr>
          <w:rFonts w:ascii="Arial" w:hAnsi="Arial" w:cs="Arial"/>
          <w:sz w:val="20"/>
        </w:rPr>
        <w:t>(2015) 256 CLR 104, 116 [46]-[47], 118 [51]; [2015] HCA 37:</w:t>
      </w:r>
    </w:p>
    <w:p w14:paraId="6E7B80D0" w14:textId="77777777" w:rsidR="00F71A5D" w:rsidRDefault="00F71A5D" w:rsidP="00B32850">
      <w:pPr>
        <w:spacing w:before="60"/>
        <w:ind w:left="1021" w:right="1077"/>
        <w:jc w:val="both"/>
        <w:rPr>
          <w:rFonts w:ascii="Arial" w:hAnsi="Arial" w:cs="Arial"/>
          <w:sz w:val="18"/>
          <w:szCs w:val="22"/>
        </w:rPr>
      </w:pPr>
      <w:r w:rsidRPr="00F71A5D">
        <w:rPr>
          <w:rFonts w:ascii="Arial" w:hAnsi="Arial" w:cs="Arial"/>
          <w:sz w:val="18"/>
          <w:szCs w:val="22"/>
        </w:rPr>
        <w:t>The rights and liabilities of parties under a provision of a contract are determined objectively, by reference to its text, context (the entire text of the contract as well as any contract, document or statutory provision referred to in the text of the contract) and purpose.</w:t>
      </w:r>
    </w:p>
    <w:p w14:paraId="40564686" w14:textId="77777777" w:rsidR="00F71A5D" w:rsidRDefault="00F71A5D" w:rsidP="00B32850">
      <w:pPr>
        <w:spacing w:before="60"/>
        <w:ind w:left="1021" w:right="1077"/>
        <w:jc w:val="both"/>
        <w:rPr>
          <w:rFonts w:ascii="Arial" w:hAnsi="Arial" w:cs="Arial"/>
          <w:sz w:val="18"/>
          <w:szCs w:val="22"/>
        </w:rPr>
      </w:pPr>
      <w:r w:rsidRPr="00F71A5D">
        <w:rPr>
          <w:rFonts w:ascii="Arial" w:hAnsi="Arial" w:cs="Arial"/>
          <w:sz w:val="18"/>
          <w:szCs w:val="22"/>
        </w:rPr>
        <w:t xml:space="preserve">In determining the meaning of the terms of a commercial contract, it is necessary to ask what a reasonable businessperson would have understood those terms to mean. That </w:t>
      </w:r>
      <w:r w:rsidRPr="00F71A5D">
        <w:rPr>
          <w:rFonts w:ascii="Arial" w:hAnsi="Arial" w:cs="Arial"/>
          <w:sz w:val="18"/>
          <w:szCs w:val="22"/>
        </w:rPr>
        <w:lastRenderedPageBreak/>
        <w:t>inquiry will require consideration of the language used by the parties in the contract, the circumstances addressed by the contract and the commercial purpose or objects to be secured by the contract.</w:t>
      </w:r>
    </w:p>
    <w:p w14:paraId="494B74DF" w14:textId="77777777" w:rsidR="00F71A5D" w:rsidRDefault="00F71A5D" w:rsidP="00B32850">
      <w:pPr>
        <w:spacing w:before="60"/>
        <w:ind w:left="1021" w:right="1077"/>
        <w:jc w:val="both"/>
        <w:rPr>
          <w:rFonts w:ascii="Arial" w:hAnsi="Arial" w:cs="Arial"/>
          <w:sz w:val="18"/>
          <w:szCs w:val="22"/>
        </w:rPr>
      </w:pPr>
      <w:r w:rsidRPr="00F71A5D">
        <w:rPr>
          <w:rFonts w:ascii="Arial" w:hAnsi="Arial" w:cs="Arial"/>
          <w:sz w:val="18"/>
          <w:szCs w:val="22"/>
        </w:rPr>
        <w:t>…</w:t>
      </w:r>
    </w:p>
    <w:p w14:paraId="5F3104AC" w14:textId="1E5A6CA6" w:rsidR="00F71A5D" w:rsidRPr="00F71A5D" w:rsidRDefault="00F71A5D" w:rsidP="00B32850">
      <w:pPr>
        <w:spacing w:before="60"/>
        <w:ind w:left="1021" w:right="1077"/>
        <w:jc w:val="both"/>
        <w:rPr>
          <w:rFonts w:ascii="Arial" w:hAnsi="Arial" w:cs="Arial"/>
          <w:sz w:val="18"/>
          <w:szCs w:val="18"/>
        </w:rPr>
      </w:pPr>
      <w:r w:rsidRPr="00F71A5D">
        <w:rPr>
          <w:rFonts w:ascii="Arial" w:hAnsi="Arial" w:cs="Arial"/>
          <w:sz w:val="18"/>
          <w:szCs w:val="22"/>
        </w:rPr>
        <w:t>Other principles are relevant in the construction of commercial contracts. Unless a contrary intention is indicated in the contract, a court is entitled to approach the task of giving a commercial contract an interpretation on the assumption “that the parties ... intended to produce a commercial result”. Put another way, a commercial contract should be construed so as to avoid it “making commercial nonsense or working commercial inconvenience</w:t>
      </w:r>
      <w:r>
        <w:rPr>
          <w:rFonts w:ascii="Arial" w:hAnsi="Arial" w:cs="Arial"/>
          <w:sz w:val="18"/>
          <w:szCs w:val="22"/>
        </w:rPr>
        <w:t>.</w:t>
      </w:r>
    </w:p>
    <w:p w14:paraId="0AB92C62" w14:textId="150C8626" w:rsidR="00F71A5D" w:rsidRDefault="00F71A5D" w:rsidP="00B32850">
      <w:pPr>
        <w:spacing w:before="60"/>
        <w:ind w:left="567" w:right="567"/>
        <w:jc w:val="both"/>
        <w:rPr>
          <w:rFonts w:ascii="Arial" w:hAnsi="Arial" w:cs="Arial"/>
          <w:sz w:val="20"/>
        </w:rPr>
      </w:pPr>
      <w:r>
        <w:rPr>
          <w:rFonts w:ascii="Arial" w:hAnsi="Arial" w:cs="Arial"/>
          <w:sz w:val="20"/>
        </w:rPr>
        <w:t xml:space="preserve">See also </w:t>
      </w:r>
      <w:r w:rsidRPr="00F71A5D">
        <w:rPr>
          <w:rFonts w:ascii="Arial" w:hAnsi="Arial" w:cs="Arial"/>
          <w:i/>
          <w:iCs/>
          <w:sz w:val="20"/>
        </w:rPr>
        <w:t>Perpetual Ltd v Myer Pty Ltd</w:t>
      </w:r>
      <w:r w:rsidRPr="00F71A5D">
        <w:rPr>
          <w:rFonts w:ascii="Arial" w:hAnsi="Arial" w:cs="Arial"/>
          <w:sz w:val="20"/>
        </w:rPr>
        <w:t xml:space="preserve"> [2019] VSCA 98, [75]; </w:t>
      </w:r>
      <w:r w:rsidRPr="00F71A5D">
        <w:rPr>
          <w:rFonts w:ascii="Arial" w:hAnsi="Arial" w:cs="Arial"/>
          <w:i/>
          <w:iCs/>
          <w:sz w:val="20"/>
        </w:rPr>
        <w:t>PCCEF Pty Ltd v Geelong Football Club Ltd</w:t>
      </w:r>
      <w:r w:rsidRPr="00F71A5D">
        <w:rPr>
          <w:rFonts w:ascii="Arial" w:hAnsi="Arial" w:cs="Arial"/>
          <w:sz w:val="20"/>
        </w:rPr>
        <w:t xml:space="preserve"> [2019] VSCA 144, [27]; </w:t>
      </w:r>
      <w:proofErr w:type="spellStart"/>
      <w:r w:rsidRPr="00F71A5D">
        <w:rPr>
          <w:rFonts w:ascii="Arial" w:hAnsi="Arial" w:cs="Arial"/>
          <w:i/>
          <w:iCs/>
          <w:sz w:val="20"/>
        </w:rPr>
        <w:t>Adaz</w:t>
      </w:r>
      <w:proofErr w:type="spellEnd"/>
      <w:r w:rsidRPr="00F71A5D">
        <w:rPr>
          <w:rFonts w:ascii="Arial" w:hAnsi="Arial" w:cs="Arial"/>
          <w:i/>
          <w:iCs/>
          <w:sz w:val="20"/>
        </w:rPr>
        <w:t xml:space="preserve"> Nominees Pty Ltd v </w:t>
      </w:r>
      <w:proofErr w:type="spellStart"/>
      <w:r w:rsidRPr="00F71A5D">
        <w:rPr>
          <w:rFonts w:ascii="Arial" w:hAnsi="Arial" w:cs="Arial"/>
          <w:i/>
          <w:iCs/>
          <w:sz w:val="20"/>
        </w:rPr>
        <w:t>Castleway</w:t>
      </w:r>
      <w:proofErr w:type="spellEnd"/>
      <w:r w:rsidRPr="00F71A5D">
        <w:rPr>
          <w:rFonts w:ascii="Arial" w:hAnsi="Arial" w:cs="Arial"/>
          <w:i/>
          <w:iCs/>
          <w:sz w:val="20"/>
        </w:rPr>
        <w:t xml:space="preserve"> Pty Ltd </w:t>
      </w:r>
      <w:r w:rsidRPr="00F71A5D">
        <w:rPr>
          <w:rFonts w:ascii="Arial" w:hAnsi="Arial" w:cs="Arial"/>
          <w:sz w:val="20"/>
        </w:rPr>
        <w:t>[2020] VSCA 201, [70].</w:t>
      </w:r>
      <w:r>
        <w:rPr>
          <w:rFonts w:ascii="Arial" w:hAnsi="Arial" w:cs="Arial"/>
          <w:sz w:val="20"/>
        </w:rPr>
        <w:t>”</w:t>
      </w:r>
    </w:p>
    <w:p w14:paraId="7B4F0005" w14:textId="77777777" w:rsidR="00F71A5D" w:rsidRDefault="00F71A5D" w:rsidP="00177B34">
      <w:pPr>
        <w:jc w:val="both"/>
        <w:rPr>
          <w:rFonts w:ascii="Arial" w:hAnsi="Arial" w:cs="Arial"/>
          <w:sz w:val="20"/>
        </w:rPr>
      </w:pPr>
    </w:p>
    <w:p w14:paraId="645A2AEE" w14:textId="06A73A69" w:rsidR="00F10F6C" w:rsidRPr="00F10F6C" w:rsidRDefault="00F10F6C" w:rsidP="00177B34">
      <w:pPr>
        <w:jc w:val="both"/>
        <w:rPr>
          <w:rFonts w:ascii="Arial" w:hAnsi="Arial" w:cs="Arial"/>
          <w:sz w:val="20"/>
          <w:szCs w:val="20"/>
        </w:rPr>
      </w:pPr>
      <w:r w:rsidRPr="00F10F6C">
        <w:rPr>
          <w:rFonts w:ascii="Arial" w:hAnsi="Arial" w:cs="Arial"/>
          <w:sz w:val="20"/>
          <w:szCs w:val="20"/>
        </w:rPr>
        <w:t xml:space="preserve">In </w:t>
      </w:r>
      <w:r w:rsidRPr="00F10F6C">
        <w:rPr>
          <w:rFonts w:ascii="Arial" w:hAnsi="Arial" w:cs="Arial"/>
          <w:i/>
          <w:iCs/>
          <w:sz w:val="20"/>
          <w:szCs w:val="20"/>
        </w:rPr>
        <w:t>Miller v Minister for Immigration, Citizenship and Multicultural Affairs</w:t>
      </w:r>
      <w:r w:rsidRPr="00F10F6C">
        <w:rPr>
          <w:rFonts w:ascii="Arial" w:hAnsi="Arial" w:cs="Arial"/>
          <w:sz w:val="20"/>
          <w:szCs w:val="20"/>
        </w:rPr>
        <w:t xml:space="preserve"> [2024] HCA 13 </w:t>
      </w:r>
      <w:r>
        <w:rPr>
          <w:rFonts w:ascii="Arial" w:hAnsi="Arial" w:cs="Arial"/>
          <w:sz w:val="20"/>
          <w:szCs w:val="20"/>
        </w:rPr>
        <w:t xml:space="preserve">the High Court </w:t>
      </w:r>
      <w:r w:rsidR="00170A99" w:rsidRPr="004D1ED3">
        <w:rPr>
          <w:rFonts w:ascii="Arial" w:hAnsi="Arial" w:cs="Arial"/>
          <w:sz w:val="20"/>
          <w:szCs w:val="20"/>
        </w:rPr>
        <w:t>(</w:t>
      </w:r>
      <w:r w:rsidR="00170A99">
        <w:rPr>
          <w:rFonts w:ascii="Arial" w:hAnsi="Arial" w:cs="Arial"/>
          <w:sz w:val="20"/>
          <w:szCs w:val="20"/>
        </w:rPr>
        <w:t>G</w:t>
      </w:r>
      <w:r w:rsidR="00170A99" w:rsidRPr="004D1ED3">
        <w:rPr>
          <w:rFonts w:ascii="Arial" w:hAnsi="Arial" w:cs="Arial"/>
          <w:sz w:val="20"/>
          <w:szCs w:val="20"/>
        </w:rPr>
        <w:t xml:space="preserve">ageler </w:t>
      </w:r>
      <w:r w:rsidR="00170A99">
        <w:rPr>
          <w:rFonts w:ascii="Arial" w:hAnsi="Arial" w:cs="Arial"/>
          <w:sz w:val="20"/>
          <w:szCs w:val="20"/>
        </w:rPr>
        <w:t>CJ</w:t>
      </w:r>
      <w:r w:rsidR="00170A99" w:rsidRPr="004D1ED3">
        <w:rPr>
          <w:rFonts w:ascii="Arial" w:hAnsi="Arial" w:cs="Arial"/>
          <w:sz w:val="20"/>
          <w:szCs w:val="20"/>
        </w:rPr>
        <w:t xml:space="preserve">, </w:t>
      </w:r>
      <w:r w:rsidR="00170A99">
        <w:rPr>
          <w:rFonts w:ascii="Arial" w:hAnsi="Arial" w:cs="Arial"/>
          <w:sz w:val="20"/>
          <w:szCs w:val="20"/>
        </w:rPr>
        <w:t>G</w:t>
      </w:r>
      <w:r w:rsidR="00170A99" w:rsidRPr="004D1ED3">
        <w:rPr>
          <w:rFonts w:ascii="Arial" w:hAnsi="Arial" w:cs="Arial"/>
          <w:sz w:val="20"/>
          <w:szCs w:val="20"/>
        </w:rPr>
        <w:t xml:space="preserve">ordon, </w:t>
      </w:r>
      <w:r w:rsidR="00170A99">
        <w:rPr>
          <w:rFonts w:ascii="Arial" w:hAnsi="Arial" w:cs="Arial"/>
          <w:sz w:val="20"/>
          <w:szCs w:val="20"/>
        </w:rPr>
        <w:t>E</w:t>
      </w:r>
      <w:r w:rsidR="00170A99" w:rsidRPr="004D1ED3">
        <w:rPr>
          <w:rFonts w:ascii="Arial" w:hAnsi="Arial" w:cs="Arial"/>
          <w:sz w:val="20"/>
          <w:szCs w:val="20"/>
        </w:rPr>
        <w:t xml:space="preserve">delman, </w:t>
      </w:r>
      <w:r w:rsidR="00170A99">
        <w:rPr>
          <w:rFonts w:ascii="Arial" w:hAnsi="Arial" w:cs="Arial"/>
          <w:sz w:val="20"/>
          <w:szCs w:val="20"/>
        </w:rPr>
        <w:t>J</w:t>
      </w:r>
      <w:r w:rsidR="00170A99" w:rsidRPr="004D1ED3">
        <w:rPr>
          <w:rFonts w:ascii="Arial" w:hAnsi="Arial" w:cs="Arial"/>
          <w:sz w:val="20"/>
          <w:szCs w:val="20"/>
        </w:rPr>
        <w:t xml:space="preserve">agot and </w:t>
      </w:r>
      <w:r w:rsidR="00170A99">
        <w:rPr>
          <w:rFonts w:ascii="Arial" w:hAnsi="Arial" w:cs="Arial"/>
          <w:sz w:val="20"/>
          <w:szCs w:val="20"/>
        </w:rPr>
        <w:t>B</w:t>
      </w:r>
      <w:r w:rsidR="00170A99" w:rsidRPr="004D1ED3">
        <w:rPr>
          <w:rFonts w:ascii="Arial" w:hAnsi="Arial" w:cs="Arial"/>
          <w:sz w:val="20"/>
          <w:szCs w:val="20"/>
        </w:rPr>
        <w:t>eech-</w:t>
      </w:r>
      <w:r w:rsidR="00170A99">
        <w:rPr>
          <w:rFonts w:ascii="Arial" w:hAnsi="Arial" w:cs="Arial"/>
          <w:sz w:val="20"/>
          <w:szCs w:val="20"/>
        </w:rPr>
        <w:t>J</w:t>
      </w:r>
      <w:r w:rsidR="00170A99" w:rsidRPr="004D1ED3">
        <w:rPr>
          <w:rFonts w:ascii="Arial" w:hAnsi="Arial" w:cs="Arial"/>
          <w:sz w:val="20"/>
          <w:szCs w:val="20"/>
        </w:rPr>
        <w:t xml:space="preserve">ones </w:t>
      </w:r>
      <w:r w:rsidR="00170A99">
        <w:rPr>
          <w:rFonts w:ascii="Arial" w:hAnsi="Arial" w:cs="Arial"/>
          <w:sz w:val="20"/>
          <w:szCs w:val="20"/>
        </w:rPr>
        <w:t>JJ</w:t>
      </w:r>
      <w:r w:rsidR="00170A99" w:rsidRPr="004D1ED3">
        <w:rPr>
          <w:rFonts w:ascii="Arial" w:hAnsi="Arial" w:cs="Arial"/>
          <w:sz w:val="20"/>
          <w:szCs w:val="20"/>
        </w:rPr>
        <w:t>)</w:t>
      </w:r>
      <w:r w:rsidR="00170A99">
        <w:rPr>
          <w:rFonts w:ascii="Arial" w:hAnsi="Arial" w:cs="Arial"/>
          <w:sz w:val="20"/>
          <w:szCs w:val="20"/>
        </w:rPr>
        <w:t xml:space="preserve"> discussed </w:t>
      </w:r>
      <w:r w:rsidR="00D8775B">
        <w:rPr>
          <w:rFonts w:ascii="Arial" w:hAnsi="Arial" w:cs="Arial"/>
          <w:sz w:val="20"/>
          <w:szCs w:val="20"/>
        </w:rPr>
        <w:t xml:space="preserve">the consequence for the validity of the exercise of statutory jurisdiction of non-compliance with a condition precedent to the exercise of that jurisdiction.  </w:t>
      </w:r>
      <w:r w:rsidR="00ED03D8">
        <w:rPr>
          <w:rFonts w:ascii="Arial" w:hAnsi="Arial" w:cs="Arial"/>
          <w:sz w:val="20"/>
          <w:szCs w:val="20"/>
        </w:rPr>
        <w:t xml:space="preserve">In the process their Honours discussed and applied dicta from </w:t>
      </w:r>
      <w:r w:rsidR="00ED03D8" w:rsidRPr="00BC229F">
        <w:rPr>
          <w:rFonts w:ascii="Arial" w:hAnsi="Arial" w:cs="Arial"/>
          <w:i/>
          <w:sz w:val="20"/>
          <w:szCs w:val="20"/>
        </w:rPr>
        <w:t>Project Blue Sky</w:t>
      </w:r>
      <w:r w:rsidR="00ED03D8" w:rsidRPr="00BC229F">
        <w:rPr>
          <w:rFonts w:ascii="Arial" w:hAnsi="Arial" w:cs="Arial"/>
          <w:sz w:val="20"/>
          <w:szCs w:val="20"/>
        </w:rPr>
        <w:t xml:space="preserve"> </w:t>
      </w:r>
      <w:r w:rsidR="00ED03D8" w:rsidRPr="00BC229F">
        <w:rPr>
          <w:rFonts w:ascii="Arial" w:hAnsi="Arial" w:cs="Arial"/>
          <w:i/>
          <w:sz w:val="20"/>
          <w:szCs w:val="20"/>
        </w:rPr>
        <w:t>Inc v Australian Broadcasting Authority</w:t>
      </w:r>
      <w:r w:rsidR="00ED03D8">
        <w:rPr>
          <w:rFonts w:ascii="Arial" w:hAnsi="Arial" w:cs="Arial"/>
          <w:sz w:val="20"/>
          <w:szCs w:val="20"/>
        </w:rPr>
        <w:t>, saying at [24] &amp; [26]:</w:t>
      </w:r>
    </w:p>
    <w:p w14:paraId="3E16BD5B" w14:textId="1CED74F4" w:rsidR="00ED03D8" w:rsidRDefault="00ED03D8" w:rsidP="00ED03D8">
      <w:pPr>
        <w:spacing w:before="120"/>
        <w:ind w:left="567" w:right="567"/>
        <w:jc w:val="both"/>
        <w:rPr>
          <w:rFonts w:ascii="Arial" w:hAnsi="Arial" w:cs="Arial"/>
          <w:sz w:val="20"/>
          <w:szCs w:val="20"/>
        </w:rPr>
      </w:pPr>
      <w:r>
        <w:rPr>
          <w:rFonts w:ascii="Arial" w:hAnsi="Arial" w:cs="Arial"/>
          <w:sz w:val="20"/>
          <w:szCs w:val="20"/>
        </w:rPr>
        <w:t>[24] “</w:t>
      </w:r>
      <w:r w:rsidR="00170A99" w:rsidRPr="00D8775B">
        <w:rPr>
          <w:rFonts w:ascii="Arial" w:hAnsi="Arial" w:cs="Arial"/>
          <w:sz w:val="20"/>
          <w:szCs w:val="20"/>
        </w:rPr>
        <w:t xml:space="preserve">In </w:t>
      </w:r>
      <w:r w:rsidR="00170A99" w:rsidRPr="00ED03D8">
        <w:rPr>
          <w:rFonts w:ascii="Arial" w:hAnsi="Arial" w:cs="Arial"/>
          <w:i/>
          <w:iCs/>
          <w:sz w:val="20"/>
          <w:szCs w:val="20"/>
        </w:rPr>
        <w:t>Project Blue Sky Inc v Australian Broadcasting Authority</w:t>
      </w:r>
      <w:r>
        <w:rPr>
          <w:rFonts w:ascii="Arial" w:hAnsi="Arial" w:cs="Arial"/>
          <w:sz w:val="20"/>
          <w:szCs w:val="20"/>
        </w:rPr>
        <w:t xml:space="preserve"> (1998) 194 CLR 355 at [91]</w:t>
      </w:r>
      <w:r w:rsidR="00170A99" w:rsidRPr="00D8775B">
        <w:rPr>
          <w:rFonts w:ascii="Arial" w:hAnsi="Arial" w:cs="Arial"/>
          <w:sz w:val="20"/>
          <w:szCs w:val="20"/>
        </w:rPr>
        <w:t>, McHugh, Gummow, Kirby and Hayne JJ explained:</w:t>
      </w:r>
    </w:p>
    <w:p w14:paraId="3E299FD1" w14:textId="6656EC92" w:rsidR="00F10F6C" w:rsidRPr="00ED03D8" w:rsidRDefault="00ED03D8" w:rsidP="0016597E">
      <w:pPr>
        <w:spacing w:before="60"/>
        <w:ind w:left="1021" w:right="1021"/>
        <w:jc w:val="both"/>
        <w:rPr>
          <w:rFonts w:ascii="Arial" w:hAnsi="Arial" w:cs="Arial"/>
          <w:sz w:val="18"/>
          <w:szCs w:val="18"/>
        </w:rPr>
      </w:pPr>
      <w:r w:rsidRPr="00ED03D8">
        <w:rPr>
          <w:rFonts w:ascii="Arial" w:hAnsi="Arial" w:cs="Arial"/>
          <w:sz w:val="18"/>
          <w:szCs w:val="18"/>
        </w:rPr>
        <w:t>‘</w:t>
      </w:r>
      <w:r w:rsidR="00170A99" w:rsidRPr="00ED03D8">
        <w:rPr>
          <w:rFonts w:ascii="Arial" w:hAnsi="Arial" w:cs="Arial"/>
          <w:sz w:val="18"/>
          <w:szCs w:val="18"/>
        </w:rPr>
        <w:t>An act done in breach of a condition regulating the exercise of a statutory power is not necessarily invalid and of no effect. Whether it is depends upon whether there can be discerned a legislative purpose to invalidate any act that fails to comply with the condition. The existence of the purpose is ascertained by reference to the language of the statute, its subject matter and objects, and the consequences for the parties of holding void every act done in breach of the condition.</w:t>
      </w:r>
      <w:r w:rsidRPr="00ED03D8">
        <w:rPr>
          <w:rFonts w:ascii="Arial" w:hAnsi="Arial" w:cs="Arial"/>
          <w:sz w:val="18"/>
          <w:szCs w:val="18"/>
        </w:rPr>
        <w:t>’</w:t>
      </w:r>
    </w:p>
    <w:p w14:paraId="0F6BBD48" w14:textId="6A00BB79" w:rsidR="00ED03D8" w:rsidRDefault="00ED03D8" w:rsidP="0016597E">
      <w:pPr>
        <w:ind w:left="567" w:right="567"/>
        <w:jc w:val="both"/>
        <w:rPr>
          <w:rFonts w:ascii="Arial" w:hAnsi="Arial" w:cs="Arial"/>
          <w:sz w:val="20"/>
          <w:szCs w:val="20"/>
        </w:rPr>
      </w:pPr>
      <w:r>
        <w:rPr>
          <w:rFonts w:ascii="Arial" w:hAnsi="Arial" w:cs="Arial"/>
          <w:sz w:val="20"/>
          <w:szCs w:val="20"/>
        </w:rPr>
        <w:t>…</w:t>
      </w:r>
    </w:p>
    <w:p w14:paraId="33493FA9" w14:textId="568EEB95" w:rsidR="00ED03D8" w:rsidRDefault="00ED03D8" w:rsidP="0016597E">
      <w:pPr>
        <w:spacing w:before="60"/>
        <w:ind w:left="567" w:right="567"/>
        <w:jc w:val="both"/>
        <w:rPr>
          <w:rFonts w:ascii="Arial" w:hAnsi="Arial" w:cs="Arial"/>
          <w:sz w:val="20"/>
          <w:szCs w:val="20"/>
        </w:rPr>
      </w:pPr>
      <w:r>
        <w:rPr>
          <w:rFonts w:ascii="Arial" w:hAnsi="Arial" w:cs="Arial"/>
          <w:sz w:val="20"/>
          <w:szCs w:val="20"/>
        </w:rPr>
        <w:t xml:space="preserve">[26] </w:t>
      </w:r>
      <w:r w:rsidRPr="00ED03D8">
        <w:rPr>
          <w:rFonts w:ascii="Arial" w:hAnsi="Arial" w:cs="Arial"/>
          <w:sz w:val="20"/>
          <w:szCs w:val="20"/>
        </w:rPr>
        <w:t xml:space="preserve">The principle of statutory construction expounded in </w:t>
      </w:r>
      <w:r w:rsidRPr="00ED03D8">
        <w:rPr>
          <w:rFonts w:ascii="Arial" w:hAnsi="Arial" w:cs="Arial"/>
          <w:i/>
          <w:iCs/>
          <w:sz w:val="20"/>
          <w:szCs w:val="20"/>
        </w:rPr>
        <w:t>Project Blue Sky</w:t>
      </w:r>
      <w:r w:rsidRPr="00ED03D8">
        <w:rPr>
          <w:rFonts w:ascii="Arial" w:hAnsi="Arial" w:cs="Arial"/>
          <w:sz w:val="20"/>
          <w:szCs w:val="20"/>
        </w:rPr>
        <w:t xml:space="preserve"> operates in the same way in respect of a condition that is a condition precedent to the exercise of a statutory jurisdiction as it does in respect of a condition that is a condition of the exercise of a statutory jurisdiction. Contrary to another theme of the argument of the Minister, a condition precedent to the exercise of jurisdiction neither stands outside the principle nor calls for any modification of its operation.</w:t>
      </w:r>
      <w:r>
        <w:rPr>
          <w:rFonts w:ascii="Arial" w:hAnsi="Arial" w:cs="Arial"/>
          <w:sz w:val="20"/>
          <w:szCs w:val="20"/>
        </w:rPr>
        <w:t>”</w:t>
      </w:r>
    </w:p>
    <w:p w14:paraId="08CF72A4" w14:textId="77777777" w:rsidR="00ED03D8" w:rsidRDefault="00ED03D8" w:rsidP="00177B34">
      <w:pPr>
        <w:jc w:val="both"/>
        <w:rPr>
          <w:rFonts w:ascii="Arial" w:hAnsi="Arial" w:cs="Arial"/>
          <w:sz w:val="20"/>
        </w:rPr>
      </w:pPr>
    </w:p>
    <w:p w14:paraId="42AC0A16" w14:textId="5FE10EF1" w:rsidR="004D1ED3" w:rsidRDefault="004D1ED3" w:rsidP="00177B34">
      <w:pPr>
        <w:jc w:val="both"/>
        <w:rPr>
          <w:rFonts w:ascii="Arial" w:hAnsi="Arial" w:cs="Arial"/>
          <w:sz w:val="20"/>
        </w:rPr>
      </w:pPr>
      <w:r>
        <w:rPr>
          <w:rFonts w:ascii="Arial" w:hAnsi="Arial" w:cs="Arial"/>
          <w:sz w:val="20"/>
        </w:rPr>
        <w:t xml:space="preserve">In </w:t>
      </w:r>
      <w:r w:rsidRPr="004D1ED3">
        <w:rPr>
          <w:rFonts w:ascii="Arial" w:hAnsi="Arial" w:cs="Arial"/>
          <w:i/>
          <w:iCs/>
          <w:sz w:val="20"/>
          <w:szCs w:val="20"/>
        </w:rPr>
        <w:t>AB (a pseudonym) v Independent Broad-based Anti-corruption Commission</w:t>
      </w:r>
      <w:r w:rsidRPr="004D1ED3">
        <w:rPr>
          <w:rFonts w:ascii="Arial" w:hAnsi="Arial" w:cs="Arial"/>
          <w:sz w:val="20"/>
          <w:szCs w:val="20"/>
        </w:rPr>
        <w:t xml:space="preserve"> [2024] HCA 10</w:t>
      </w:r>
      <w:r>
        <w:rPr>
          <w:rFonts w:ascii="Arial" w:hAnsi="Arial" w:cs="Arial"/>
          <w:sz w:val="20"/>
          <w:szCs w:val="20"/>
        </w:rPr>
        <w:t xml:space="preserve">, the High Court </w:t>
      </w:r>
      <w:r w:rsidRPr="004D1ED3">
        <w:rPr>
          <w:rFonts w:ascii="Arial" w:hAnsi="Arial" w:cs="Arial"/>
          <w:sz w:val="20"/>
          <w:szCs w:val="20"/>
        </w:rPr>
        <w:t>(</w:t>
      </w:r>
      <w:r>
        <w:rPr>
          <w:rFonts w:ascii="Arial" w:hAnsi="Arial" w:cs="Arial"/>
          <w:sz w:val="20"/>
          <w:szCs w:val="20"/>
        </w:rPr>
        <w:t>G</w:t>
      </w:r>
      <w:r w:rsidRPr="004D1ED3">
        <w:rPr>
          <w:rFonts w:ascii="Arial" w:hAnsi="Arial" w:cs="Arial"/>
          <w:sz w:val="20"/>
          <w:szCs w:val="20"/>
        </w:rPr>
        <w:t xml:space="preserve">ageler </w:t>
      </w:r>
      <w:r>
        <w:rPr>
          <w:rFonts w:ascii="Arial" w:hAnsi="Arial" w:cs="Arial"/>
          <w:sz w:val="20"/>
          <w:szCs w:val="20"/>
        </w:rPr>
        <w:t>CJ</w:t>
      </w:r>
      <w:r w:rsidRPr="004D1ED3">
        <w:rPr>
          <w:rFonts w:ascii="Arial" w:hAnsi="Arial" w:cs="Arial"/>
          <w:sz w:val="20"/>
          <w:szCs w:val="20"/>
        </w:rPr>
        <w:t xml:space="preserve">, </w:t>
      </w:r>
      <w:r>
        <w:rPr>
          <w:rFonts w:ascii="Arial" w:hAnsi="Arial" w:cs="Arial"/>
          <w:sz w:val="20"/>
          <w:szCs w:val="20"/>
        </w:rPr>
        <w:t>G</w:t>
      </w:r>
      <w:r w:rsidRPr="004D1ED3">
        <w:rPr>
          <w:rFonts w:ascii="Arial" w:hAnsi="Arial" w:cs="Arial"/>
          <w:sz w:val="20"/>
          <w:szCs w:val="20"/>
        </w:rPr>
        <w:t xml:space="preserve">ordon, </w:t>
      </w:r>
      <w:r>
        <w:rPr>
          <w:rFonts w:ascii="Arial" w:hAnsi="Arial" w:cs="Arial"/>
          <w:sz w:val="20"/>
          <w:szCs w:val="20"/>
        </w:rPr>
        <w:t>E</w:t>
      </w:r>
      <w:r w:rsidRPr="004D1ED3">
        <w:rPr>
          <w:rFonts w:ascii="Arial" w:hAnsi="Arial" w:cs="Arial"/>
          <w:sz w:val="20"/>
          <w:szCs w:val="20"/>
        </w:rPr>
        <w:t xml:space="preserve">delman, </w:t>
      </w:r>
      <w:r>
        <w:rPr>
          <w:rFonts w:ascii="Arial" w:hAnsi="Arial" w:cs="Arial"/>
          <w:sz w:val="20"/>
          <w:szCs w:val="20"/>
        </w:rPr>
        <w:t>S</w:t>
      </w:r>
      <w:r w:rsidRPr="004D1ED3">
        <w:rPr>
          <w:rFonts w:ascii="Arial" w:hAnsi="Arial" w:cs="Arial"/>
          <w:sz w:val="20"/>
          <w:szCs w:val="20"/>
        </w:rPr>
        <w:t xml:space="preserve">teward, </w:t>
      </w:r>
      <w:r>
        <w:rPr>
          <w:rFonts w:ascii="Arial" w:hAnsi="Arial" w:cs="Arial"/>
          <w:sz w:val="20"/>
          <w:szCs w:val="20"/>
        </w:rPr>
        <w:t>G</w:t>
      </w:r>
      <w:r w:rsidRPr="004D1ED3">
        <w:rPr>
          <w:rFonts w:ascii="Arial" w:hAnsi="Arial" w:cs="Arial"/>
          <w:sz w:val="20"/>
          <w:szCs w:val="20"/>
        </w:rPr>
        <w:t xml:space="preserve">leeson, </w:t>
      </w:r>
      <w:r>
        <w:rPr>
          <w:rFonts w:ascii="Arial" w:hAnsi="Arial" w:cs="Arial"/>
          <w:sz w:val="20"/>
          <w:szCs w:val="20"/>
        </w:rPr>
        <w:t>J</w:t>
      </w:r>
      <w:r w:rsidRPr="004D1ED3">
        <w:rPr>
          <w:rFonts w:ascii="Arial" w:hAnsi="Arial" w:cs="Arial"/>
          <w:sz w:val="20"/>
          <w:szCs w:val="20"/>
        </w:rPr>
        <w:t xml:space="preserve">agot and </w:t>
      </w:r>
      <w:r>
        <w:rPr>
          <w:rFonts w:ascii="Arial" w:hAnsi="Arial" w:cs="Arial"/>
          <w:sz w:val="20"/>
          <w:szCs w:val="20"/>
        </w:rPr>
        <w:t>B</w:t>
      </w:r>
      <w:r w:rsidRPr="004D1ED3">
        <w:rPr>
          <w:rFonts w:ascii="Arial" w:hAnsi="Arial" w:cs="Arial"/>
          <w:sz w:val="20"/>
          <w:szCs w:val="20"/>
        </w:rPr>
        <w:t>eech-</w:t>
      </w:r>
      <w:r>
        <w:rPr>
          <w:rFonts w:ascii="Arial" w:hAnsi="Arial" w:cs="Arial"/>
          <w:sz w:val="20"/>
          <w:szCs w:val="20"/>
        </w:rPr>
        <w:t>J</w:t>
      </w:r>
      <w:r w:rsidRPr="004D1ED3">
        <w:rPr>
          <w:rFonts w:ascii="Arial" w:hAnsi="Arial" w:cs="Arial"/>
          <w:sz w:val="20"/>
          <w:szCs w:val="20"/>
        </w:rPr>
        <w:t xml:space="preserve">ones </w:t>
      </w:r>
      <w:r>
        <w:rPr>
          <w:rFonts w:ascii="Arial" w:hAnsi="Arial" w:cs="Arial"/>
          <w:sz w:val="20"/>
          <w:szCs w:val="20"/>
        </w:rPr>
        <w:t>JJ</w:t>
      </w:r>
      <w:r w:rsidRPr="004D1ED3">
        <w:rPr>
          <w:rFonts w:ascii="Arial" w:hAnsi="Arial" w:cs="Arial"/>
          <w:sz w:val="20"/>
          <w:szCs w:val="20"/>
        </w:rPr>
        <w:t>)</w:t>
      </w:r>
      <w:r>
        <w:rPr>
          <w:rFonts w:ascii="Arial" w:hAnsi="Arial" w:cs="Arial"/>
          <w:sz w:val="20"/>
          <w:szCs w:val="20"/>
        </w:rPr>
        <w:t xml:space="preserve"> said at [26]:</w:t>
      </w:r>
    </w:p>
    <w:p w14:paraId="4EE35321" w14:textId="6053E3DD" w:rsidR="004D1ED3" w:rsidRPr="00B8220E" w:rsidRDefault="004D1ED3" w:rsidP="004D1ED3">
      <w:pPr>
        <w:spacing w:before="120"/>
        <w:ind w:left="567" w:right="567"/>
        <w:jc w:val="both"/>
        <w:rPr>
          <w:rFonts w:ascii="Arial" w:hAnsi="Arial" w:cs="Arial"/>
          <w:sz w:val="20"/>
          <w:szCs w:val="20"/>
        </w:rPr>
      </w:pPr>
      <w:r>
        <w:rPr>
          <w:rFonts w:ascii="Arial" w:hAnsi="Arial" w:cs="Arial"/>
          <w:sz w:val="20"/>
          <w:szCs w:val="20"/>
        </w:rPr>
        <w:t>“</w:t>
      </w:r>
      <w:r w:rsidRPr="004D1ED3">
        <w:rPr>
          <w:rFonts w:ascii="Arial" w:hAnsi="Arial" w:cs="Arial"/>
          <w:sz w:val="20"/>
          <w:szCs w:val="20"/>
        </w:rPr>
        <w:t>The nature of a decision-maker's powers and their capacity to affect a person's rights and interests not only bears upon the existence and informs the content of any duty of procedural fairness</w:t>
      </w:r>
      <w:r>
        <w:rPr>
          <w:rFonts w:ascii="Arial" w:hAnsi="Arial" w:cs="Arial"/>
          <w:sz w:val="20"/>
          <w:szCs w:val="20"/>
        </w:rPr>
        <w:t xml:space="preserve"> {</w:t>
      </w:r>
      <w:r w:rsidRPr="004D1ED3">
        <w:rPr>
          <w:rFonts w:ascii="Arial" w:hAnsi="Arial" w:cs="Arial"/>
          <w:i/>
          <w:iCs/>
          <w:sz w:val="20"/>
          <w:szCs w:val="20"/>
        </w:rPr>
        <w:t>Annetts v McCann</w:t>
      </w:r>
      <w:r w:rsidRPr="004D1ED3">
        <w:rPr>
          <w:rFonts w:ascii="Arial" w:hAnsi="Arial" w:cs="Arial"/>
          <w:sz w:val="20"/>
          <w:szCs w:val="20"/>
        </w:rPr>
        <w:t xml:space="preserve"> (1990) 170 CLR 596 at 598 per Mason CJ, Deane and McHugh JJ; </w:t>
      </w:r>
      <w:r w:rsidRPr="004D1ED3">
        <w:rPr>
          <w:rFonts w:ascii="Arial" w:hAnsi="Arial" w:cs="Arial"/>
          <w:i/>
          <w:iCs/>
          <w:sz w:val="20"/>
          <w:szCs w:val="20"/>
        </w:rPr>
        <w:t>Ainsworth</w:t>
      </w:r>
      <w:r w:rsidRPr="004D1ED3">
        <w:rPr>
          <w:rFonts w:ascii="Arial" w:hAnsi="Arial" w:cs="Arial"/>
          <w:sz w:val="20"/>
          <w:szCs w:val="20"/>
        </w:rPr>
        <w:t xml:space="preserve"> (1992) 175 CLR 564 at 576 per Mason CJ, Dawson, Toohey and Gaudron JJ; </w:t>
      </w:r>
      <w:r w:rsidRPr="004D1ED3">
        <w:rPr>
          <w:rFonts w:ascii="Arial" w:hAnsi="Arial" w:cs="Arial"/>
          <w:i/>
          <w:iCs/>
          <w:sz w:val="20"/>
          <w:szCs w:val="20"/>
        </w:rPr>
        <w:t>Gribbles Pathology (Vic) Pty Ltd v Cassidy</w:t>
      </w:r>
      <w:r w:rsidRPr="004D1ED3">
        <w:rPr>
          <w:rFonts w:ascii="Arial" w:hAnsi="Arial" w:cs="Arial"/>
          <w:sz w:val="20"/>
          <w:szCs w:val="20"/>
        </w:rPr>
        <w:t xml:space="preserve"> (2002) 122 FCR 78 at 100 [117] per Weinberg J.</w:t>
      </w:r>
      <w:r>
        <w:rPr>
          <w:rFonts w:ascii="Arial" w:hAnsi="Arial" w:cs="Arial"/>
          <w:sz w:val="20"/>
          <w:szCs w:val="20"/>
        </w:rPr>
        <w:t>}</w:t>
      </w:r>
      <w:r w:rsidRPr="004D1ED3">
        <w:rPr>
          <w:rFonts w:ascii="Arial" w:hAnsi="Arial" w:cs="Arial"/>
          <w:sz w:val="20"/>
          <w:szCs w:val="20"/>
        </w:rPr>
        <w:t>,</w:t>
      </w:r>
      <w:r>
        <w:rPr>
          <w:rFonts w:ascii="Arial" w:hAnsi="Arial" w:cs="Arial"/>
          <w:sz w:val="20"/>
          <w:szCs w:val="20"/>
        </w:rPr>
        <w:t xml:space="preserve"> </w:t>
      </w:r>
      <w:r w:rsidRPr="004D1ED3">
        <w:rPr>
          <w:rFonts w:ascii="Arial" w:hAnsi="Arial" w:cs="Arial"/>
          <w:sz w:val="20"/>
          <w:szCs w:val="20"/>
        </w:rPr>
        <w:t xml:space="preserve">but also informs the proper construction of statutory provisions that create analogous rights and obligations in that </w:t>
      </w:r>
      <w:r>
        <w:rPr>
          <w:rFonts w:ascii="Arial" w:hAnsi="Arial" w:cs="Arial"/>
          <w:sz w:val="20"/>
          <w:szCs w:val="20"/>
        </w:rPr>
        <w:t>‘</w:t>
      </w:r>
      <w:r w:rsidRPr="004D1ED3">
        <w:rPr>
          <w:rFonts w:ascii="Arial" w:hAnsi="Arial" w:cs="Arial"/>
          <w:sz w:val="20"/>
          <w:szCs w:val="20"/>
        </w:rPr>
        <w:t>all statutes are construed ... against a background of common law notions of justice and fairness</w:t>
      </w:r>
      <w:r>
        <w:rPr>
          <w:rFonts w:ascii="Arial" w:hAnsi="Arial" w:cs="Arial"/>
          <w:sz w:val="20"/>
          <w:szCs w:val="20"/>
        </w:rPr>
        <w:t xml:space="preserve">’: </w:t>
      </w:r>
      <w:r w:rsidRPr="004D1ED3">
        <w:rPr>
          <w:rFonts w:ascii="Arial" w:hAnsi="Arial" w:cs="Arial"/>
          <w:i/>
          <w:iCs/>
          <w:sz w:val="20"/>
          <w:szCs w:val="20"/>
        </w:rPr>
        <w:t>Kioa v West</w:t>
      </w:r>
      <w:r w:rsidRPr="004D1ED3">
        <w:rPr>
          <w:rFonts w:ascii="Arial" w:hAnsi="Arial" w:cs="Arial"/>
          <w:sz w:val="20"/>
          <w:szCs w:val="20"/>
        </w:rPr>
        <w:t xml:space="preserve"> (1985) 159 CLR 550 at 609 per Brennan J</w:t>
      </w:r>
      <w:r>
        <w:rPr>
          <w:rFonts w:ascii="Arial" w:hAnsi="Arial" w:cs="Arial"/>
          <w:sz w:val="20"/>
          <w:szCs w:val="20"/>
        </w:rPr>
        <w:t>; s</w:t>
      </w:r>
      <w:r w:rsidRPr="004D1ED3">
        <w:rPr>
          <w:rFonts w:ascii="Arial" w:hAnsi="Arial" w:cs="Arial"/>
          <w:sz w:val="20"/>
          <w:szCs w:val="20"/>
        </w:rPr>
        <w:t xml:space="preserve">ee also </w:t>
      </w:r>
      <w:r w:rsidRPr="004D1ED3">
        <w:rPr>
          <w:rFonts w:ascii="Arial" w:hAnsi="Arial" w:cs="Arial"/>
          <w:i/>
          <w:iCs/>
          <w:sz w:val="20"/>
          <w:szCs w:val="20"/>
        </w:rPr>
        <w:t>Italiano v Carbone</w:t>
      </w:r>
      <w:r w:rsidRPr="004D1ED3">
        <w:rPr>
          <w:rFonts w:ascii="Arial" w:hAnsi="Arial" w:cs="Arial"/>
          <w:sz w:val="20"/>
          <w:szCs w:val="20"/>
        </w:rPr>
        <w:t xml:space="preserve"> [2005] NSWCA 177 at [80] per Basten JA.</w:t>
      </w:r>
      <w:r>
        <w:rPr>
          <w:rFonts w:ascii="Arial" w:hAnsi="Arial" w:cs="Arial"/>
          <w:sz w:val="20"/>
          <w:szCs w:val="20"/>
        </w:rPr>
        <w:t>”</w:t>
      </w:r>
    </w:p>
    <w:p w14:paraId="5D177F40" w14:textId="77777777" w:rsidR="004D1ED3" w:rsidRDefault="004D1ED3" w:rsidP="00177B34">
      <w:pPr>
        <w:jc w:val="both"/>
        <w:rPr>
          <w:rFonts w:ascii="Arial" w:hAnsi="Arial" w:cs="Arial"/>
          <w:sz w:val="20"/>
        </w:rPr>
      </w:pPr>
    </w:p>
    <w:p w14:paraId="436CDFC1" w14:textId="093F6A4C" w:rsidR="007A321D" w:rsidRPr="00130028" w:rsidRDefault="007A321D" w:rsidP="00177B34">
      <w:pPr>
        <w:jc w:val="both"/>
        <w:rPr>
          <w:rFonts w:ascii="Arial" w:hAnsi="Arial" w:cs="Arial"/>
          <w:sz w:val="20"/>
        </w:rPr>
      </w:pPr>
      <w:r>
        <w:rPr>
          <w:rFonts w:ascii="Arial" w:hAnsi="Arial" w:cs="Arial"/>
          <w:sz w:val="20"/>
        </w:rPr>
        <w:t xml:space="preserve">In </w:t>
      </w:r>
      <w:r w:rsidRPr="007A321D">
        <w:rPr>
          <w:rFonts w:ascii="Arial" w:hAnsi="Arial" w:cs="Arial"/>
          <w:i/>
          <w:iCs/>
          <w:sz w:val="20"/>
        </w:rPr>
        <w:t>Azizi v DPP</w:t>
      </w:r>
      <w:r>
        <w:rPr>
          <w:rFonts w:ascii="Arial" w:hAnsi="Arial" w:cs="Arial"/>
          <w:sz w:val="20"/>
        </w:rPr>
        <w:t xml:space="preserve"> [2022] VSCA 71 the Court of Appeal (Priest, T Forrest &amp; Walker JJA) granted leave to appeal but refused the appeal against </w:t>
      </w:r>
      <w:r w:rsidR="00BA6866">
        <w:rPr>
          <w:rFonts w:ascii="Arial" w:hAnsi="Arial" w:cs="Arial"/>
          <w:sz w:val="20"/>
        </w:rPr>
        <w:t xml:space="preserve">a trial judge’s refusal to have the applicant wife’s interest in property excluded from a serious drug offence restraining order made under s.18(1) of the </w:t>
      </w:r>
      <w:r w:rsidR="00BA6866" w:rsidRPr="007A321D">
        <w:rPr>
          <w:rFonts w:ascii="Arial" w:hAnsi="Arial" w:cs="Arial"/>
          <w:i/>
          <w:iCs/>
          <w:sz w:val="20"/>
        </w:rPr>
        <w:t>Confiscation Act 1997</w:t>
      </w:r>
      <w:r w:rsidR="00BA6866">
        <w:rPr>
          <w:rFonts w:ascii="Arial" w:hAnsi="Arial" w:cs="Arial"/>
          <w:sz w:val="20"/>
        </w:rPr>
        <w:t xml:space="preserve">.  The applicant and her accused husband had purchased property and were registered as joint proprietors simultaneously.  </w:t>
      </w:r>
      <w:r w:rsidR="00BA6866" w:rsidRPr="003F031E">
        <w:rPr>
          <w:rFonts w:ascii="Arial" w:hAnsi="Arial" w:cs="Arial"/>
          <w:sz w:val="20"/>
          <w:szCs w:val="20"/>
        </w:rPr>
        <w:t>The property was the family home of the applicant, the accused, their two children, and the accused’s mothe</w:t>
      </w:r>
      <w:r w:rsidR="00BA6866">
        <w:rPr>
          <w:rFonts w:ascii="Arial" w:hAnsi="Arial" w:cs="Arial"/>
          <w:sz w:val="20"/>
          <w:szCs w:val="20"/>
        </w:rPr>
        <w:t xml:space="preserve">r.  </w:t>
      </w:r>
      <w:r w:rsidR="00BA6866">
        <w:rPr>
          <w:rFonts w:ascii="Arial" w:hAnsi="Arial" w:cs="Arial"/>
          <w:sz w:val="20"/>
        </w:rPr>
        <w:t xml:space="preserve">The husband had contributed the entire purchase price.  </w:t>
      </w:r>
      <w:r w:rsidR="00B64671">
        <w:rPr>
          <w:rFonts w:ascii="Arial" w:hAnsi="Arial" w:cs="Arial"/>
          <w:sz w:val="20"/>
        </w:rPr>
        <w:t>The husband was convicted of serious drug offences related to the serious drug offence in reliance of which the restraining order was made.  The wife was not in any way involved in the commission of the serious drug offence by the accused.  S</w:t>
      </w:r>
      <w:r w:rsidR="00BA6866">
        <w:rPr>
          <w:rFonts w:ascii="Arial" w:hAnsi="Arial" w:cs="Arial"/>
          <w:sz w:val="20"/>
        </w:rPr>
        <w:t xml:space="preserve">ection 22A of the Act provides that the court may make an order excluding property from a serious drug offence restraining order if the court is satisfied of various matters, including </w:t>
      </w:r>
      <w:r w:rsidR="00130028">
        <w:rPr>
          <w:rFonts w:ascii="Arial" w:hAnsi="Arial" w:cs="Arial"/>
          <w:sz w:val="20"/>
        </w:rPr>
        <w:t xml:space="preserve">where the applicant had acquired the interest from the accused, directly or indirectly, that it was acquired for sufficient consideration.  </w:t>
      </w:r>
      <w:r w:rsidR="0033471C">
        <w:rPr>
          <w:rFonts w:ascii="Arial" w:hAnsi="Arial" w:cs="Arial"/>
          <w:sz w:val="20"/>
          <w:szCs w:val="20"/>
        </w:rPr>
        <w:t>In</w:t>
      </w:r>
      <w:r w:rsidR="00130028">
        <w:rPr>
          <w:rFonts w:ascii="Arial" w:hAnsi="Arial" w:cs="Arial"/>
          <w:sz w:val="20"/>
          <w:szCs w:val="20"/>
        </w:rPr>
        <w:t> </w:t>
      </w:r>
      <w:r w:rsidR="0033471C">
        <w:rPr>
          <w:rFonts w:ascii="Arial" w:hAnsi="Arial" w:cs="Arial"/>
          <w:sz w:val="20"/>
          <w:szCs w:val="20"/>
        </w:rPr>
        <w:t xml:space="preserve">holding that s.22A(1) of the Act did not require the husband to have had a prior interest in the property and that the applicant had acquired the property indirectly from her accused husband, </w:t>
      </w:r>
      <w:r w:rsidR="00130028">
        <w:rPr>
          <w:rFonts w:ascii="Arial" w:hAnsi="Arial" w:cs="Arial"/>
          <w:sz w:val="20"/>
          <w:szCs w:val="20"/>
        </w:rPr>
        <w:t>the Court of Appeal said at [51]-[56]:</w:t>
      </w:r>
    </w:p>
    <w:p w14:paraId="097EFDBE" w14:textId="0B52504A" w:rsidR="003F031E" w:rsidRDefault="003F031E" w:rsidP="00130028">
      <w:pPr>
        <w:spacing w:before="120"/>
        <w:ind w:left="567" w:right="567"/>
        <w:jc w:val="both"/>
        <w:rPr>
          <w:rFonts w:ascii="Arial" w:hAnsi="Arial" w:cs="Arial"/>
          <w:sz w:val="20"/>
          <w:szCs w:val="20"/>
        </w:rPr>
      </w:pPr>
      <w:r>
        <w:rPr>
          <w:rFonts w:ascii="Arial" w:hAnsi="Arial" w:cs="Arial"/>
          <w:sz w:val="20"/>
        </w:rPr>
        <w:lastRenderedPageBreak/>
        <w:t xml:space="preserve">[51] </w:t>
      </w:r>
      <w:r w:rsidRPr="007A321D">
        <w:rPr>
          <w:rFonts w:ascii="Arial" w:hAnsi="Arial" w:cs="Arial"/>
          <w:sz w:val="20"/>
          <w:szCs w:val="20"/>
        </w:rPr>
        <w:t>In our opinion the respondent’s submissions are to be accepted. A</w:t>
      </w:r>
      <w:r w:rsidR="00130028">
        <w:rPr>
          <w:rFonts w:ascii="Arial" w:hAnsi="Arial" w:cs="Arial"/>
          <w:sz w:val="20"/>
          <w:szCs w:val="20"/>
        </w:rPr>
        <w:t> </w:t>
      </w:r>
      <w:r w:rsidRPr="007A321D">
        <w:rPr>
          <w:rFonts w:ascii="Arial" w:hAnsi="Arial" w:cs="Arial"/>
          <w:sz w:val="20"/>
          <w:szCs w:val="20"/>
        </w:rPr>
        <w:t>consideration of the text, context and purpose of s 22A(1)(c) reveals that the statutory language is sufficiently broad to capture the circumstances of the present case, where the accused contributed the entirety of the purchase price of the property, from funds in which the applicant had no legal or beneficial interest.</w:t>
      </w:r>
    </w:p>
    <w:p w14:paraId="26D99674" w14:textId="10FC9EEE" w:rsidR="003F031E" w:rsidRDefault="003F031E" w:rsidP="00130028">
      <w:pPr>
        <w:spacing w:before="120"/>
        <w:ind w:left="567" w:right="567"/>
        <w:jc w:val="both"/>
        <w:rPr>
          <w:rFonts w:ascii="Arial" w:hAnsi="Arial" w:cs="Arial"/>
          <w:sz w:val="20"/>
          <w:szCs w:val="20"/>
        </w:rPr>
      </w:pPr>
      <w:r>
        <w:rPr>
          <w:rFonts w:ascii="Arial" w:hAnsi="Arial" w:cs="Arial"/>
          <w:sz w:val="20"/>
          <w:szCs w:val="20"/>
        </w:rPr>
        <w:t xml:space="preserve">[52] </w:t>
      </w:r>
      <w:r w:rsidRPr="007A321D">
        <w:rPr>
          <w:rFonts w:ascii="Arial" w:hAnsi="Arial" w:cs="Arial"/>
          <w:sz w:val="20"/>
          <w:szCs w:val="20"/>
        </w:rPr>
        <w:t>Legislation is to be interpreted by reference to its text, context and purpose</w:t>
      </w:r>
      <w:r>
        <w:rPr>
          <w:rFonts w:ascii="Arial" w:hAnsi="Arial" w:cs="Arial"/>
          <w:sz w:val="20"/>
          <w:szCs w:val="20"/>
        </w:rPr>
        <w:t xml:space="preserve">: </w:t>
      </w:r>
      <w:r w:rsidRPr="007A321D">
        <w:rPr>
          <w:rFonts w:ascii="Arial" w:hAnsi="Arial" w:cs="Arial"/>
          <w:sz w:val="20"/>
          <w:szCs w:val="20"/>
        </w:rPr>
        <w:t xml:space="preserve">See, eg, </w:t>
      </w:r>
      <w:r w:rsidRPr="003F031E">
        <w:rPr>
          <w:rFonts w:ascii="Arial" w:hAnsi="Arial" w:cs="Arial"/>
          <w:i/>
          <w:iCs/>
          <w:sz w:val="20"/>
          <w:szCs w:val="20"/>
        </w:rPr>
        <w:t>SAS Trustee Corporation v Miles</w:t>
      </w:r>
      <w:r w:rsidRPr="007A321D">
        <w:rPr>
          <w:rFonts w:ascii="Arial" w:hAnsi="Arial" w:cs="Arial"/>
          <w:sz w:val="20"/>
          <w:szCs w:val="20"/>
        </w:rPr>
        <w:t xml:space="preserve"> (2018) 265 CLR 137, 149 [20] (Kiefel CJ, Bell and Nettle JJ), 157 [41] (Gageler J), 162–3 [64] (Edelman J); [2018] HCA 55; </w:t>
      </w:r>
      <w:r w:rsidRPr="003F031E">
        <w:rPr>
          <w:rFonts w:ascii="Arial" w:hAnsi="Arial" w:cs="Arial"/>
          <w:i/>
          <w:iCs/>
          <w:sz w:val="20"/>
          <w:szCs w:val="20"/>
        </w:rPr>
        <w:t>Alcan (NT) Alumina Pty Ltd v Commissioner of Territory Revenue (NT)</w:t>
      </w:r>
      <w:r w:rsidRPr="007A321D">
        <w:rPr>
          <w:rFonts w:ascii="Arial" w:hAnsi="Arial" w:cs="Arial"/>
          <w:sz w:val="20"/>
          <w:szCs w:val="20"/>
        </w:rPr>
        <w:t xml:space="preserve"> (2009) 239 CLR 27, 46–7 [47] (Hayne, Heydon, Crennan and Kiefel JJ); [2009] HCA 41.</w:t>
      </w:r>
      <w:r>
        <w:rPr>
          <w:rFonts w:ascii="Arial" w:hAnsi="Arial" w:cs="Arial"/>
          <w:sz w:val="20"/>
          <w:szCs w:val="20"/>
        </w:rPr>
        <w:t xml:space="preserve">  </w:t>
      </w:r>
      <w:r w:rsidRPr="007A321D">
        <w:rPr>
          <w:rFonts w:ascii="Arial" w:hAnsi="Arial" w:cs="Arial"/>
          <w:sz w:val="20"/>
          <w:szCs w:val="20"/>
        </w:rPr>
        <w:t xml:space="preserve">And, of course, s 35(a) of the </w:t>
      </w:r>
      <w:r w:rsidRPr="003F031E">
        <w:rPr>
          <w:rFonts w:ascii="Arial" w:hAnsi="Arial" w:cs="Arial"/>
          <w:i/>
          <w:iCs/>
          <w:sz w:val="20"/>
          <w:szCs w:val="20"/>
        </w:rPr>
        <w:t>Interpretation of Legislation Act 1984</w:t>
      </w:r>
      <w:r w:rsidRPr="007A321D">
        <w:rPr>
          <w:rFonts w:ascii="Arial" w:hAnsi="Arial" w:cs="Arial"/>
          <w:sz w:val="20"/>
          <w:szCs w:val="20"/>
        </w:rPr>
        <w:t xml:space="preserve"> provides that a construction that would promote the purpose or object underlying the Act shall be preferred to a construction that would not promote that purpose or object. In Victoria it is also necessary to have regard to s 32(1) of the </w:t>
      </w:r>
      <w:r w:rsidRPr="003F031E">
        <w:rPr>
          <w:rFonts w:ascii="Arial" w:hAnsi="Arial" w:cs="Arial"/>
          <w:i/>
          <w:iCs/>
          <w:sz w:val="20"/>
          <w:szCs w:val="20"/>
        </w:rPr>
        <w:t>Charter of Human Rights and Responsibilities Act 2006</w:t>
      </w:r>
      <w:r w:rsidRPr="007A321D">
        <w:rPr>
          <w:rFonts w:ascii="Arial" w:hAnsi="Arial" w:cs="Arial"/>
          <w:sz w:val="20"/>
          <w:szCs w:val="20"/>
        </w:rPr>
        <w:t>, which provides that, so far as it is possible to do so consistently with its purpose, a statutory provision ‘must be interpreted in a way that is compatible with human rights’.</w:t>
      </w:r>
    </w:p>
    <w:p w14:paraId="25230B80" w14:textId="60DDA61F" w:rsidR="003F031E" w:rsidRPr="0033471C" w:rsidRDefault="003F031E" w:rsidP="00130028">
      <w:pPr>
        <w:spacing w:before="120"/>
        <w:ind w:left="567" w:right="567"/>
        <w:jc w:val="both"/>
        <w:rPr>
          <w:rFonts w:ascii="Arial" w:hAnsi="Arial" w:cs="Arial"/>
          <w:sz w:val="20"/>
          <w:szCs w:val="20"/>
        </w:rPr>
      </w:pPr>
      <w:r>
        <w:rPr>
          <w:rFonts w:ascii="Arial" w:hAnsi="Arial" w:cs="Arial"/>
          <w:sz w:val="20"/>
          <w:szCs w:val="20"/>
        </w:rPr>
        <w:t xml:space="preserve">[53] </w:t>
      </w:r>
      <w:r w:rsidRPr="007A321D">
        <w:rPr>
          <w:rFonts w:ascii="Arial" w:hAnsi="Arial" w:cs="Arial"/>
          <w:sz w:val="20"/>
          <w:szCs w:val="20"/>
        </w:rPr>
        <w:t xml:space="preserve">Further, as the plurality observed in </w:t>
      </w:r>
      <w:r w:rsidRPr="003F031E">
        <w:rPr>
          <w:rFonts w:ascii="Arial" w:hAnsi="Arial" w:cs="Arial"/>
          <w:i/>
          <w:iCs/>
          <w:sz w:val="20"/>
          <w:szCs w:val="20"/>
        </w:rPr>
        <w:t>Lordianto</w:t>
      </w:r>
      <w:r>
        <w:rPr>
          <w:rFonts w:ascii="Arial" w:hAnsi="Arial" w:cs="Arial"/>
          <w:i/>
          <w:iCs/>
          <w:sz w:val="20"/>
          <w:szCs w:val="20"/>
        </w:rPr>
        <w:t xml:space="preserve"> </w:t>
      </w:r>
      <w:r w:rsidRPr="003F031E">
        <w:rPr>
          <w:rFonts w:ascii="Arial" w:hAnsi="Arial" w:cs="Arial"/>
          <w:sz w:val="20"/>
          <w:szCs w:val="20"/>
        </w:rPr>
        <w:t>(2019) 266 CLR 273, 301–2 [61]–[62] (Kiefel CJ, Bell, Keane and Gordon JJ); [2019] HCA 39</w:t>
      </w:r>
      <w:r>
        <w:rPr>
          <w:rFonts w:ascii="Arial" w:hAnsi="Arial" w:cs="Arial"/>
          <w:sz w:val="20"/>
          <w:szCs w:val="20"/>
        </w:rPr>
        <w:t xml:space="preserve">, </w:t>
      </w:r>
      <w:r w:rsidRPr="007A321D">
        <w:rPr>
          <w:rFonts w:ascii="Arial" w:hAnsi="Arial" w:cs="Arial"/>
          <w:sz w:val="20"/>
          <w:szCs w:val="20"/>
        </w:rPr>
        <w:t xml:space="preserve">which concerned the Commonwealth analogue to the Act, the </w:t>
      </w:r>
      <w:r w:rsidRPr="003F031E">
        <w:rPr>
          <w:rFonts w:ascii="Arial" w:hAnsi="Arial" w:cs="Arial"/>
          <w:i/>
          <w:iCs/>
          <w:sz w:val="20"/>
          <w:szCs w:val="20"/>
        </w:rPr>
        <w:t>Proceeds of Crime Act 2002 (Cth)</w:t>
      </w:r>
      <w:r w:rsidRPr="007A321D">
        <w:rPr>
          <w:rFonts w:ascii="Arial" w:hAnsi="Arial" w:cs="Arial"/>
          <w:sz w:val="20"/>
          <w:szCs w:val="20"/>
        </w:rPr>
        <w:t xml:space="preserve"> (‘POCA’), it is not appropriate to interpret a legislative provision as if it ‘comprised separate elements which are to be construed in isolation from one another’. Rather, a legislative provision should ‘be read as a whole and in the context provided by the whole of the statutory framework’.</w:t>
      </w:r>
      <w:r w:rsidR="0033471C">
        <w:rPr>
          <w:rFonts w:ascii="Arial" w:hAnsi="Arial" w:cs="Arial"/>
          <w:sz w:val="20"/>
          <w:szCs w:val="20"/>
        </w:rPr>
        <w:t xml:space="preserve">  </w:t>
      </w:r>
      <w:r w:rsidRPr="003F031E">
        <w:rPr>
          <w:rFonts w:ascii="Arial" w:hAnsi="Arial" w:cs="Arial"/>
          <w:sz w:val="20"/>
          <w:szCs w:val="20"/>
        </w:rPr>
        <w:t>Although their Honours were considering a specific provision of the POCA, these statements reflect general principles of statutory interpretation</w:t>
      </w:r>
      <w:r w:rsidR="0033471C">
        <w:rPr>
          <w:rFonts w:ascii="Arial" w:hAnsi="Arial" w:cs="Arial"/>
          <w:sz w:val="20"/>
          <w:szCs w:val="20"/>
        </w:rPr>
        <w:t>.</w:t>
      </w:r>
    </w:p>
    <w:p w14:paraId="29F228C9" w14:textId="77777777" w:rsidR="00432055" w:rsidRDefault="0033471C" w:rsidP="00130028">
      <w:pPr>
        <w:spacing w:before="120"/>
        <w:ind w:left="567" w:right="567"/>
        <w:jc w:val="both"/>
        <w:rPr>
          <w:rFonts w:ascii="Arial" w:hAnsi="Arial" w:cs="Arial"/>
          <w:sz w:val="20"/>
          <w:szCs w:val="20"/>
        </w:rPr>
      </w:pPr>
      <w:r w:rsidRPr="0033471C">
        <w:rPr>
          <w:rFonts w:ascii="Arial" w:hAnsi="Arial" w:cs="Arial"/>
          <w:sz w:val="20"/>
          <w:szCs w:val="20"/>
        </w:rPr>
        <w:t>…</w:t>
      </w:r>
    </w:p>
    <w:p w14:paraId="709F2551" w14:textId="09CA1E1E" w:rsidR="0033471C" w:rsidRDefault="0033471C" w:rsidP="00130028">
      <w:pPr>
        <w:spacing w:before="120"/>
        <w:ind w:left="567" w:right="567"/>
        <w:jc w:val="both"/>
        <w:rPr>
          <w:rFonts w:ascii="Arial" w:hAnsi="Arial" w:cs="Arial"/>
          <w:sz w:val="20"/>
          <w:szCs w:val="20"/>
        </w:rPr>
      </w:pPr>
      <w:r w:rsidRPr="0033471C">
        <w:rPr>
          <w:rFonts w:ascii="Arial" w:hAnsi="Arial" w:cs="Arial"/>
          <w:sz w:val="20"/>
          <w:szCs w:val="20"/>
        </w:rPr>
        <w:t>[55] In our opinion the applicant’s submissions require interpreting s</w:t>
      </w:r>
      <w:r>
        <w:rPr>
          <w:rFonts w:ascii="Arial" w:hAnsi="Arial" w:cs="Arial"/>
          <w:sz w:val="20"/>
          <w:szCs w:val="20"/>
        </w:rPr>
        <w:t>.</w:t>
      </w:r>
      <w:r w:rsidRPr="0033471C">
        <w:rPr>
          <w:rFonts w:ascii="Arial" w:hAnsi="Arial" w:cs="Arial"/>
          <w:sz w:val="20"/>
          <w:szCs w:val="20"/>
        </w:rPr>
        <w:t xml:space="preserve">22A(1)(c) in precisely the manner against which the plurality cautioned in </w:t>
      </w:r>
      <w:r w:rsidRPr="0033471C">
        <w:rPr>
          <w:rFonts w:ascii="Arial" w:hAnsi="Arial" w:cs="Arial"/>
          <w:i/>
          <w:iCs/>
          <w:sz w:val="20"/>
          <w:szCs w:val="20"/>
        </w:rPr>
        <w:t>Lordianto</w:t>
      </w:r>
      <w:r w:rsidRPr="0033471C">
        <w:rPr>
          <w:rFonts w:ascii="Arial" w:hAnsi="Arial" w:cs="Arial"/>
          <w:sz w:val="20"/>
          <w:szCs w:val="20"/>
        </w:rPr>
        <w:t>.</w:t>
      </w:r>
      <w:r>
        <w:rPr>
          <w:rFonts w:ascii="Arial" w:hAnsi="Arial" w:cs="Arial"/>
          <w:sz w:val="20"/>
          <w:szCs w:val="20"/>
        </w:rPr>
        <w:t xml:space="preserve">  </w:t>
      </w:r>
      <w:r w:rsidRPr="0033471C">
        <w:rPr>
          <w:rFonts w:ascii="Arial" w:hAnsi="Arial" w:cs="Arial"/>
          <w:sz w:val="20"/>
          <w:szCs w:val="20"/>
        </w:rPr>
        <w:t>Although the words ‘directly or indirectly’ appear after the words ‘acquired the interest from the accused’, it is plain that the words ‘directly or indirectly’ apply to the acquisition earlier referred to.</w:t>
      </w:r>
    </w:p>
    <w:p w14:paraId="71448864" w14:textId="10B15BA2" w:rsidR="003F031E" w:rsidRPr="0033471C" w:rsidRDefault="0033471C" w:rsidP="00130028">
      <w:pPr>
        <w:spacing w:before="120"/>
        <w:ind w:left="567" w:right="567"/>
        <w:jc w:val="both"/>
        <w:rPr>
          <w:rFonts w:ascii="Arial" w:hAnsi="Arial" w:cs="Arial"/>
          <w:sz w:val="20"/>
          <w:szCs w:val="20"/>
        </w:rPr>
      </w:pPr>
      <w:r>
        <w:rPr>
          <w:rFonts w:ascii="Arial" w:hAnsi="Arial" w:cs="Arial"/>
          <w:sz w:val="20"/>
          <w:szCs w:val="20"/>
        </w:rPr>
        <w:t xml:space="preserve">[56] </w:t>
      </w:r>
      <w:r w:rsidRPr="0033471C">
        <w:rPr>
          <w:rFonts w:ascii="Arial" w:hAnsi="Arial" w:cs="Arial"/>
          <w:sz w:val="20"/>
          <w:szCs w:val="20"/>
        </w:rPr>
        <w:t>That is, read as a whole, rather than in a piecemeal fashion, s 22A(1)(c) applies in two distinct contexts: (a) first, where the exclusion applicant acquired their interest in the property directly from the accused; and (b) secondly, where the exclusion applicant acquired their interest in the property indirectly from the accused.</w:t>
      </w:r>
      <w:r>
        <w:rPr>
          <w:rFonts w:ascii="Arial" w:hAnsi="Arial" w:cs="Arial"/>
          <w:sz w:val="20"/>
          <w:szCs w:val="20"/>
        </w:rPr>
        <w:t>”</w:t>
      </w:r>
    </w:p>
    <w:p w14:paraId="5B1E2827" w14:textId="77777777" w:rsidR="00C34973" w:rsidRDefault="00C34973" w:rsidP="008076AA">
      <w:pPr>
        <w:jc w:val="both"/>
        <w:rPr>
          <w:rFonts w:ascii="Arial" w:hAnsi="Arial" w:cs="Arial"/>
          <w:sz w:val="20"/>
        </w:rPr>
      </w:pPr>
    </w:p>
    <w:p w14:paraId="5E32AC00" w14:textId="4CE8477B" w:rsidR="007A321D" w:rsidRDefault="00C34973" w:rsidP="00C34973">
      <w:pPr>
        <w:keepNext/>
        <w:keepLines/>
        <w:jc w:val="both"/>
        <w:rPr>
          <w:rFonts w:ascii="Arial" w:hAnsi="Arial" w:cs="Arial"/>
          <w:sz w:val="20"/>
        </w:rPr>
      </w:pPr>
      <w:r>
        <w:rPr>
          <w:rFonts w:ascii="Arial" w:hAnsi="Arial" w:cs="Arial"/>
          <w:sz w:val="20"/>
        </w:rPr>
        <w:t xml:space="preserve">In </w:t>
      </w:r>
      <w:r w:rsidR="008076AA" w:rsidRPr="00F90479">
        <w:rPr>
          <w:rFonts w:ascii="Arial" w:hAnsi="Arial" w:cs="Arial"/>
          <w:i/>
          <w:iCs/>
          <w:sz w:val="20"/>
          <w:szCs w:val="20"/>
        </w:rPr>
        <w:t>Re Mokbel (No 2)</w:t>
      </w:r>
      <w:r w:rsidR="008076AA" w:rsidRPr="00F90479">
        <w:rPr>
          <w:rFonts w:ascii="Arial" w:hAnsi="Arial" w:cs="Arial"/>
          <w:sz w:val="20"/>
          <w:szCs w:val="20"/>
        </w:rPr>
        <w:t xml:space="preserve"> [2024] VSC 39</w:t>
      </w:r>
      <w:r w:rsidR="008076AA">
        <w:rPr>
          <w:rFonts w:ascii="Arial" w:hAnsi="Arial" w:cs="Arial"/>
          <w:sz w:val="20"/>
          <w:szCs w:val="20"/>
        </w:rPr>
        <w:t xml:space="preserve"> at [81] Fullerton J said:</w:t>
      </w:r>
    </w:p>
    <w:p w14:paraId="5496E04C" w14:textId="5A900CBD" w:rsidR="00685327" w:rsidRDefault="00685327" w:rsidP="00685327">
      <w:pPr>
        <w:spacing w:before="120"/>
        <w:ind w:left="567" w:right="567"/>
        <w:jc w:val="both"/>
        <w:rPr>
          <w:rFonts w:ascii="Arial" w:hAnsi="Arial" w:cs="Arial"/>
          <w:sz w:val="20"/>
          <w:szCs w:val="20"/>
        </w:rPr>
      </w:pPr>
      <w:r>
        <w:rPr>
          <w:rFonts w:ascii="Arial" w:hAnsi="Arial" w:cs="Arial"/>
          <w:sz w:val="20"/>
        </w:rPr>
        <w:t>“</w:t>
      </w:r>
      <w:r w:rsidRPr="00AC6CFE">
        <w:rPr>
          <w:rFonts w:ascii="Arial" w:hAnsi="Arial" w:cs="Arial"/>
          <w:sz w:val="20"/>
          <w:szCs w:val="20"/>
        </w:rPr>
        <w:t>It is recognised in the authorities that where two construction of a piece of legislation are reasonably open, the consequences that would flow from competing constructions may be of assistance in informing Parliament’s intention.</w:t>
      </w:r>
      <w:r>
        <w:rPr>
          <w:rFonts w:ascii="Arial" w:hAnsi="Arial" w:cs="Arial"/>
          <w:sz w:val="20"/>
          <w:szCs w:val="20"/>
        </w:rPr>
        <w:t>”</w:t>
      </w:r>
    </w:p>
    <w:p w14:paraId="3DBC7167" w14:textId="1EB8A148" w:rsidR="00685327" w:rsidRDefault="008076AA" w:rsidP="008076AA">
      <w:pPr>
        <w:spacing w:before="60"/>
        <w:jc w:val="both"/>
        <w:rPr>
          <w:rFonts w:ascii="Arial" w:hAnsi="Arial" w:cs="Arial"/>
          <w:sz w:val="20"/>
          <w:szCs w:val="20"/>
        </w:rPr>
      </w:pPr>
      <w:r>
        <w:rPr>
          <w:rFonts w:ascii="Arial" w:hAnsi="Arial" w:cs="Arial"/>
          <w:sz w:val="20"/>
          <w:szCs w:val="20"/>
        </w:rPr>
        <w:t xml:space="preserve">And </w:t>
      </w:r>
      <w:r w:rsidR="007E3984">
        <w:rPr>
          <w:rFonts w:ascii="Arial" w:hAnsi="Arial" w:cs="Arial"/>
          <w:sz w:val="20"/>
          <w:szCs w:val="20"/>
        </w:rPr>
        <w:t xml:space="preserve">at [62]-[80] her Honour discussed the </w:t>
      </w:r>
      <w:r w:rsidR="00685327">
        <w:rPr>
          <w:rFonts w:ascii="Arial" w:hAnsi="Arial" w:cs="Arial"/>
          <w:sz w:val="20"/>
          <w:szCs w:val="20"/>
        </w:rPr>
        <w:t xml:space="preserve">use of extrinsic materials as an aid to statutory construction, </w:t>
      </w:r>
      <w:r w:rsidR="007E3984">
        <w:rPr>
          <w:rFonts w:ascii="Arial" w:hAnsi="Arial" w:cs="Arial"/>
          <w:sz w:val="20"/>
          <w:szCs w:val="20"/>
        </w:rPr>
        <w:t>concluding</w:t>
      </w:r>
      <w:r>
        <w:rPr>
          <w:rFonts w:ascii="Arial" w:hAnsi="Arial" w:cs="Arial"/>
          <w:sz w:val="20"/>
          <w:szCs w:val="20"/>
        </w:rPr>
        <w:t xml:space="preserve"> </w:t>
      </w:r>
      <w:r w:rsidR="00685327">
        <w:rPr>
          <w:rFonts w:ascii="Arial" w:hAnsi="Arial" w:cs="Arial"/>
          <w:sz w:val="20"/>
          <w:szCs w:val="20"/>
        </w:rPr>
        <w:t>at [79]:</w:t>
      </w:r>
    </w:p>
    <w:p w14:paraId="182489BC" w14:textId="6ED7A15C" w:rsidR="00AC6CFE" w:rsidRDefault="00AC6CFE" w:rsidP="00685327">
      <w:pPr>
        <w:spacing w:before="60"/>
        <w:ind w:left="567" w:right="567"/>
        <w:jc w:val="both"/>
        <w:rPr>
          <w:rFonts w:ascii="Arial" w:hAnsi="Arial" w:cs="Arial"/>
          <w:sz w:val="20"/>
        </w:rPr>
      </w:pPr>
      <w:r>
        <w:rPr>
          <w:rFonts w:ascii="Arial" w:hAnsi="Arial" w:cs="Arial"/>
          <w:sz w:val="20"/>
          <w:szCs w:val="20"/>
        </w:rPr>
        <w:t xml:space="preserve">“[T]he use of </w:t>
      </w:r>
      <w:r>
        <w:rPr>
          <w:rFonts w:ascii="Arial" w:hAnsi="Arial" w:cs="Arial"/>
          <w:sz w:val="20"/>
        </w:rPr>
        <w:t>extrinsic materials in a construction exercise should not displace the task of giving meaning to the words of the text under consideration, but…they are available to be used to elucidate, where possible, the statutory purpose of a statutory provision in context”.</w:t>
      </w:r>
    </w:p>
    <w:p w14:paraId="14CE0317" w14:textId="38A6C724" w:rsidR="00685327" w:rsidRDefault="00685327" w:rsidP="00685327">
      <w:pPr>
        <w:spacing w:before="60"/>
        <w:jc w:val="both"/>
        <w:rPr>
          <w:rFonts w:ascii="Arial" w:hAnsi="Arial" w:cs="Arial"/>
          <w:sz w:val="20"/>
          <w:szCs w:val="20"/>
        </w:rPr>
      </w:pPr>
      <w:r>
        <w:rPr>
          <w:rFonts w:ascii="Arial" w:hAnsi="Arial" w:cs="Arial"/>
          <w:sz w:val="20"/>
        </w:rPr>
        <w:t xml:space="preserve">See also </w:t>
      </w:r>
      <w:r w:rsidRPr="007756AC">
        <w:rPr>
          <w:rFonts w:ascii="Arial" w:hAnsi="Arial" w:cs="Arial"/>
          <w:i/>
          <w:iCs/>
          <w:sz w:val="20"/>
          <w:szCs w:val="20"/>
        </w:rPr>
        <w:t>The King v Rohan (a pseudonym)</w:t>
      </w:r>
      <w:r w:rsidRPr="007756AC">
        <w:rPr>
          <w:rFonts w:ascii="Arial" w:hAnsi="Arial" w:cs="Arial"/>
          <w:sz w:val="20"/>
          <w:szCs w:val="20"/>
        </w:rPr>
        <w:t xml:space="preserve"> [2024] HCA 3 </w:t>
      </w:r>
      <w:r>
        <w:rPr>
          <w:rFonts w:ascii="Arial" w:hAnsi="Arial" w:cs="Arial"/>
          <w:sz w:val="20"/>
          <w:szCs w:val="20"/>
        </w:rPr>
        <w:t xml:space="preserve">where the </w:t>
      </w:r>
      <w:r w:rsidR="008076AA">
        <w:rPr>
          <w:rFonts w:ascii="Arial" w:hAnsi="Arial" w:cs="Arial"/>
          <w:sz w:val="20"/>
          <w:szCs w:val="20"/>
        </w:rPr>
        <w:t xml:space="preserve">two </w:t>
      </w:r>
      <w:r>
        <w:rPr>
          <w:rFonts w:ascii="Arial" w:hAnsi="Arial" w:cs="Arial"/>
          <w:sz w:val="20"/>
          <w:szCs w:val="20"/>
        </w:rPr>
        <w:t>judgments made numerous references to the relevant Explanatory Memorandum and Second Reading Speech.</w:t>
      </w:r>
    </w:p>
    <w:p w14:paraId="6B9229A9" w14:textId="77777777" w:rsidR="00641166" w:rsidRDefault="00641166" w:rsidP="00641166">
      <w:pPr>
        <w:jc w:val="both"/>
        <w:rPr>
          <w:rFonts w:ascii="Arial" w:hAnsi="Arial" w:cs="Arial"/>
          <w:sz w:val="20"/>
        </w:rPr>
      </w:pPr>
    </w:p>
    <w:p w14:paraId="4FC9B7B6" w14:textId="0BB8C845" w:rsidR="00075798" w:rsidRDefault="00075798" w:rsidP="0055578F">
      <w:pPr>
        <w:keepNext/>
        <w:keepLines/>
        <w:jc w:val="both"/>
        <w:rPr>
          <w:rFonts w:ascii="Arial" w:hAnsi="Arial" w:cs="Arial"/>
          <w:sz w:val="20"/>
        </w:rPr>
      </w:pPr>
      <w:r>
        <w:rPr>
          <w:rFonts w:ascii="Arial" w:hAnsi="Arial" w:cs="Arial"/>
          <w:sz w:val="20"/>
        </w:rPr>
        <w:t xml:space="preserve">In </w:t>
      </w:r>
      <w:bookmarkStart w:id="911" w:name="_Hlk178664986"/>
      <w:r w:rsidRPr="009E4609">
        <w:rPr>
          <w:rFonts w:ascii="Arial" w:hAnsi="Arial" w:cs="Arial"/>
          <w:i/>
          <w:iCs/>
          <w:sz w:val="20"/>
        </w:rPr>
        <w:t>Brissenden v Victorian Institute of Teaching</w:t>
      </w:r>
      <w:r>
        <w:rPr>
          <w:rFonts w:ascii="Arial" w:hAnsi="Arial" w:cs="Arial"/>
          <w:sz w:val="20"/>
        </w:rPr>
        <w:t xml:space="preserve"> [2024] VSC </w:t>
      </w:r>
      <w:r w:rsidR="009E4609">
        <w:rPr>
          <w:rFonts w:ascii="Arial" w:hAnsi="Arial" w:cs="Arial"/>
          <w:sz w:val="20"/>
        </w:rPr>
        <w:t xml:space="preserve">580 </w:t>
      </w:r>
      <w:bookmarkEnd w:id="911"/>
      <w:r>
        <w:rPr>
          <w:rFonts w:ascii="Arial" w:hAnsi="Arial" w:cs="Arial"/>
          <w:sz w:val="20"/>
        </w:rPr>
        <w:t>O’Meara J said at [</w:t>
      </w:r>
      <w:r w:rsidR="009E4609">
        <w:rPr>
          <w:rFonts w:ascii="Arial" w:hAnsi="Arial" w:cs="Arial"/>
          <w:sz w:val="20"/>
        </w:rPr>
        <w:t>83</w:t>
      </w:r>
      <w:r>
        <w:rPr>
          <w:rFonts w:ascii="Arial" w:hAnsi="Arial" w:cs="Arial"/>
          <w:sz w:val="20"/>
        </w:rPr>
        <w:t>]:</w:t>
      </w:r>
    </w:p>
    <w:p w14:paraId="434187D8" w14:textId="06AFEDFB" w:rsidR="00075798" w:rsidRDefault="00075798" w:rsidP="00075798">
      <w:pPr>
        <w:spacing w:before="60"/>
        <w:ind w:left="567" w:right="567"/>
        <w:jc w:val="both"/>
        <w:rPr>
          <w:rFonts w:ascii="Arial" w:hAnsi="Arial" w:cs="Arial"/>
          <w:sz w:val="20"/>
        </w:rPr>
      </w:pPr>
      <w:r>
        <w:rPr>
          <w:rFonts w:ascii="Arial" w:hAnsi="Arial" w:cs="Arial"/>
          <w:sz w:val="20"/>
        </w:rPr>
        <w:t>“</w:t>
      </w:r>
      <w:r w:rsidRPr="00075798">
        <w:rPr>
          <w:rFonts w:ascii="Arial" w:hAnsi="Arial" w:cs="Arial"/>
          <w:sz w:val="20"/>
        </w:rPr>
        <w:t>It is, of course, permissible to refer to extrinsic materials in order to consider whether a construction would promote the purpose or object underlying the Act</w:t>
      </w:r>
      <w:r>
        <w:rPr>
          <w:rFonts w:ascii="Arial" w:hAnsi="Arial" w:cs="Arial"/>
          <w:sz w:val="20"/>
        </w:rPr>
        <w:t xml:space="preserve">: </w:t>
      </w:r>
      <w:r w:rsidRPr="00075798">
        <w:rPr>
          <w:rFonts w:ascii="Arial" w:hAnsi="Arial" w:cs="Arial"/>
          <w:i/>
          <w:iCs/>
          <w:sz w:val="20"/>
        </w:rPr>
        <w:t>Interpretation of Legislation Act 1984 (Vic)</w:t>
      </w:r>
      <w:r w:rsidRPr="00075798">
        <w:rPr>
          <w:rFonts w:ascii="Arial" w:hAnsi="Arial" w:cs="Arial"/>
          <w:sz w:val="20"/>
        </w:rPr>
        <w:t>, s 35</w:t>
      </w:r>
      <w:r>
        <w:rPr>
          <w:rFonts w:ascii="Arial" w:hAnsi="Arial" w:cs="Arial"/>
          <w:sz w:val="20"/>
        </w:rPr>
        <w:t xml:space="preserve">. That said, </w:t>
      </w:r>
      <w:r w:rsidRPr="00075798">
        <w:rPr>
          <w:rFonts w:ascii="Arial" w:hAnsi="Arial" w:cs="Arial"/>
          <w:sz w:val="20"/>
        </w:rPr>
        <w:t xml:space="preserve">in </w:t>
      </w:r>
      <w:r w:rsidRPr="00075798">
        <w:rPr>
          <w:rFonts w:ascii="Arial" w:hAnsi="Arial" w:cs="Arial"/>
          <w:i/>
          <w:iCs/>
          <w:sz w:val="20"/>
        </w:rPr>
        <w:t>Alcan (NT) Alumina Pty Ltd v Commissioner of Territory Revenue (Northern Territory)</w:t>
      </w:r>
      <w:r>
        <w:rPr>
          <w:rFonts w:ascii="Arial" w:hAnsi="Arial" w:cs="Arial"/>
          <w:sz w:val="20"/>
        </w:rPr>
        <w:t xml:space="preserve"> </w:t>
      </w:r>
      <w:r w:rsidRPr="00075798">
        <w:rPr>
          <w:rFonts w:ascii="Arial" w:hAnsi="Arial" w:cs="Arial"/>
          <w:sz w:val="20"/>
        </w:rPr>
        <w:t xml:space="preserve">(2009) 239 CLR 27 Hayne, Heydon, Crennan and Kiefel JJ stated </w:t>
      </w:r>
      <w:r>
        <w:rPr>
          <w:rFonts w:ascii="Arial" w:hAnsi="Arial" w:cs="Arial"/>
          <w:sz w:val="20"/>
        </w:rPr>
        <w:t xml:space="preserve">at [47] </w:t>
      </w:r>
      <w:r w:rsidRPr="00075798">
        <w:rPr>
          <w:rFonts w:ascii="Arial" w:hAnsi="Arial" w:cs="Arial"/>
          <w:sz w:val="20"/>
        </w:rPr>
        <w:t>that–</w:t>
      </w:r>
    </w:p>
    <w:p w14:paraId="694B7702" w14:textId="2E9D408B" w:rsidR="00075798" w:rsidRPr="00075798" w:rsidRDefault="009E4609" w:rsidP="00075798">
      <w:pPr>
        <w:spacing w:before="60"/>
        <w:ind w:left="1021" w:right="1021"/>
        <w:jc w:val="both"/>
        <w:rPr>
          <w:rFonts w:ascii="Arial" w:hAnsi="Arial" w:cs="Arial"/>
          <w:sz w:val="18"/>
          <w:szCs w:val="18"/>
        </w:rPr>
      </w:pPr>
      <w:r>
        <w:rPr>
          <w:rFonts w:ascii="Arial" w:hAnsi="Arial" w:cs="Arial"/>
          <w:sz w:val="18"/>
          <w:szCs w:val="18"/>
        </w:rPr>
        <w:t>‘</w:t>
      </w:r>
      <w:r w:rsidR="00075798" w:rsidRPr="00075798">
        <w:rPr>
          <w:rFonts w:ascii="Arial" w:hAnsi="Arial" w:cs="Arial"/>
          <w:sz w:val="18"/>
          <w:szCs w:val="18"/>
        </w:rPr>
        <w:t>… the task of statutory construction must begin with a consideration of the text itself. Historical considerations and extrinsic materials cannot be relied on to displace the clear meaning of the text. The language which has actually been employed in the text of legislation is the surest guide to legislative intention. The meaning of the text may require consideration of the context, which includes the general purpose and policy of a provision, in particular the mischief it is seeking to remedy.</w:t>
      </w:r>
      <w:r>
        <w:rPr>
          <w:rFonts w:ascii="Arial" w:hAnsi="Arial" w:cs="Arial"/>
          <w:sz w:val="18"/>
          <w:szCs w:val="18"/>
        </w:rPr>
        <w:t>’</w:t>
      </w:r>
    </w:p>
    <w:p w14:paraId="5B185AFF" w14:textId="7596A0A1" w:rsidR="00075798" w:rsidRDefault="00075798" w:rsidP="00075798">
      <w:pPr>
        <w:spacing w:before="60"/>
        <w:ind w:left="567" w:right="567"/>
        <w:jc w:val="both"/>
        <w:rPr>
          <w:rFonts w:ascii="Arial" w:hAnsi="Arial" w:cs="Arial"/>
          <w:sz w:val="20"/>
        </w:rPr>
      </w:pPr>
      <w:r w:rsidRPr="00075798">
        <w:rPr>
          <w:rFonts w:ascii="Arial" w:hAnsi="Arial" w:cs="Arial"/>
          <w:sz w:val="20"/>
        </w:rPr>
        <w:t xml:space="preserve">See also </w:t>
      </w:r>
      <w:r w:rsidRPr="00075798">
        <w:rPr>
          <w:rFonts w:ascii="Arial" w:hAnsi="Arial" w:cs="Arial"/>
          <w:i/>
          <w:iCs/>
          <w:sz w:val="20"/>
        </w:rPr>
        <w:t>R v A2</w:t>
      </w:r>
      <w:r w:rsidRPr="00075798">
        <w:rPr>
          <w:rFonts w:ascii="Arial" w:hAnsi="Arial" w:cs="Arial"/>
          <w:sz w:val="20"/>
        </w:rPr>
        <w:t xml:space="preserve"> (2019) 269 CLR 507 [32]-[37] </w:t>
      </w:r>
      <w:r>
        <w:rPr>
          <w:rFonts w:ascii="Arial" w:hAnsi="Arial" w:cs="Arial"/>
          <w:sz w:val="20"/>
        </w:rPr>
        <w:t>&amp;</w:t>
      </w:r>
      <w:r w:rsidRPr="00075798">
        <w:rPr>
          <w:rFonts w:ascii="Arial" w:hAnsi="Arial" w:cs="Arial"/>
          <w:sz w:val="20"/>
        </w:rPr>
        <w:t xml:space="preserve"> [124].</w:t>
      </w:r>
      <w:r w:rsidR="009E4609">
        <w:rPr>
          <w:rFonts w:ascii="Arial" w:hAnsi="Arial" w:cs="Arial"/>
          <w:sz w:val="20"/>
        </w:rPr>
        <w:t>”</w:t>
      </w:r>
    </w:p>
    <w:p w14:paraId="00529738" w14:textId="77777777" w:rsidR="00E6177D" w:rsidRDefault="00E6177D" w:rsidP="00641166">
      <w:pPr>
        <w:jc w:val="both"/>
        <w:rPr>
          <w:rFonts w:ascii="Arial" w:hAnsi="Arial" w:cs="Arial"/>
          <w:sz w:val="20"/>
        </w:rPr>
      </w:pPr>
      <w:bookmarkStart w:id="912" w:name="_Hlk185252576"/>
    </w:p>
    <w:p w14:paraId="3A2AEB3B" w14:textId="59F11874" w:rsidR="00FE59A5" w:rsidRDefault="00FE59A5" w:rsidP="00641166">
      <w:pPr>
        <w:jc w:val="both"/>
        <w:rPr>
          <w:rFonts w:ascii="Arial" w:hAnsi="Arial" w:cs="Arial"/>
          <w:sz w:val="20"/>
        </w:rPr>
      </w:pPr>
      <w:r>
        <w:rPr>
          <w:rFonts w:ascii="Arial" w:hAnsi="Arial" w:cs="Arial"/>
          <w:sz w:val="20"/>
        </w:rPr>
        <w:t xml:space="preserve">In </w:t>
      </w:r>
      <w:r w:rsidRPr="00FE59A5">
        <w:rPr>
          <w:rFonts w:ascii="Arial" w:hAnsi="Arial" w:cs="Arial"/>
          <w:i/>
          <w:iCs/>
          <w:sz w:val="20"/>
        </w:rPr>
        <w:t>Lew v Blacher</w:t>
      </w:r>
      <w:r>
        <w:rPr>
          <w:rFonts w:ascii="Arial" w:hAnsi="Arial" w:cs="Arial"/>
          <w:sz w:val="20"/>
        </w:rPr>
        <w:t xml:space="preserve"> [2024] VSCA 304 the respondent arbiter had made a finding of misconduct against the app</w:t>
      </w:r>
      <w:r w:rsidR="00B359EA">
        <w:rPr>
          <w:rFonts w:ascii="Arial" w:hAnsi="Arial" w:cs="Arial"/>
          <w:sz w:val="20"/>
        </w:rPr>
        <w:t>ellant</w:t>
      </w:r>
      <w:r>
        <w:rPr>
          <w:rFonts w:ascii="Arial" w:hAnsi="Arial" w:cs="Arial"/>
          <w:sz w:val="20"/>
        </w:rPr>
        <w:t xml:space="preserve"> councillor</w:t>
      </w:r>
      <w:r w:rsidR="00E4085C">
        <w:rPr>
          <w:rFonts w:ascii="Arial" w:hAnsi="Arial" w:cs="Arial"/>
          <w:sz w:val="20"/>
        </w:rPr>
        <w:t xml:space="preserve">, holding </w:t>
      </w:r>
      <w:r>
        <w:rPr>
          <w:rFonts w:ascii="Arial" w:hAnsi="Arial" w:cs="Arial"/>
          <w:sz w:val="20"/>
        </w:rPr>
        <w:t xml:space="preserve">that his remarks made in a social media post on his private account “amounted to abusive </w:t>
      </w:r>
      <w:r w:rsidRPr="00FE59A5">
        <w:rPr>
          <w:rFonts w:ascii="Arial" w:hAnsi="Arial" w:cs="Arial"/>
          <w:sz w:val="20"/>
        </w:rPr>
        <w:t>behaviour which breached Clause 1(c)</w:t>
      </w:r>
      <w:r>
        <w:rPr>
          <w:rFonts w:ascii="Arial" w:hAnsi="Arial" w:cs="Arial"/>
          <w:sz w:val="20"/>
        </w:rPr>
        <w:t>”</w:t>
      </w:r>
      <w:r w:rsidRPr="00FE59A5">
        <w:rPr>
          <w:rFonts w:ascii="Arial" w:hAnsi="Arial" w:cs="Arial"/>
          <w:sz w:val="20"/>
        </w:rPr>
        <w:t xml:space="preserve"> of the </w:t>
      </w:r>
      <w:r>
        <w:rPr>
          <w:rFonts w:ascii="Arial" w:hAnsi="Arial" w:cs="Arial"/>
          <w:sz w:val="20"/>
        </w:rPr>
        <w:t>Stonnington Code</w:t>
      </w:r>
      <w:r w:rsidRPr="00FE59A5">
        <w:rPr>
          <w:rFonts w:ascii="Arial" w:hAnsi="Arial" w:cs="Arial"/>
          <w:sz w:val="20"/>
        </w:rPr>
        <w:t xml:space="preserve"> of Conduct. </w:t>
      </w:r>
      <w:r>
        <w:rPr>
          <w:rFonts w:ascii="Arial" w:hAnsi="Arial" w:cs="Arial"/>
          <w:sz w:val="20"/>
        </w:rPr>
        <w:t>In</w:t>
      </w:r>
      <w:r w:rsidR="00E4085C">
        <w:rPr>
          <w:rFonts w:ascii="Arial" w:hAnsi="Arial" w:cs="Arial"/>
          <w:sz w:val="20"/>
        </w:rPr>
        <w:t> </w:t>
      </w:r>
      <w:r>
        <w:rPr>
          <w:rFonts w:ascii="Arial" w:hAnsi="Arial" w:cs="Arial"/>
          <w:sz w:val="20"/>
        </w:rPr>
        <w:t>dismissing the appeal, Kennedy, Kaye &amp; Kenny JJA said at [44]:</w:t>
      </w:r>
    </w:p>
    <w:p w14:paraId="6811F72F" w14:textId="2B5CAAAA" w:rsidR="00FE59A5" w:rsidRDefault="00FE59A5" w:rsidP="00FE59A5">
      <w:pPr>
        <w:spacing w:before="60"/>
        <w:ind w:left="567" w:right="567"/>
        <w:jc w:val="both"/>
        <w:rPr>
          <w:rFonts w:ascii="Arial" w:hAnsi="Arial" w:cs="Arial"/>
          <w:sz w:val="20"/>
        </w:rPr>
      </w:pPr>
      <w:r>
        <w:rPr>
          <w:rFonts w:ascii="Arial" w:hAnsi="Arial" w:cs="Arial"/>
          <w:sz w:val="20"/>
        </w:rPr>
        <w:t xml:space="preserve">“The High Court has addressed the proper approach to statutory construction in numerous cases over the last decade or so.  For present purposes, it suffices to refer to a statement by Kiefel CJ and Keane J in </w:t>
      </w:r>
      <w:r w:rsidRPr="00D34F4F">
        <w:rPr>
          <w:rFonts w:ascii="Arial" w:hAnsi="Arial" w:cs="Arial"/>
          <w:i/>
          <w:iCs/>
          <w:sz w:val="20"/>
        </w:rPr>
        <w:t>R v A2</w:t>
      </w:r>
      <w:r>
        <w:rPr>
          <w:rFonts w:ascii="Arial" w:hAnsi="Arial" w:cs="Arial"/>
          <w:sz w:val="20"/>
        </w:rPr>
        <w:t xml:space="preserve"> </w:t>
      </w:r>
      <w:r w:rsidR="004973B0" w:rsidRPr="00075798">
        <w:rPr>
          <w:rFonts w:ascii="Arial" w:hAnsi="Arial" w:cs="Arial"/>
          <w:sz w:val="20"/>
        </w:rPr>
        <w:t>(2019) 269 CLR 507</w:t>
      </w:r>
      <w:r w:rsidR="004973B0">
        <w:rPr>
          <w:rFonts w:ascii="Arial" w:hAnsi="Arial" w:cs="Arial"/>
          <w:sz w:val="20"/>
        </w:rPr>
        <w:t xml:space="preserve"> at 521 [32]-[33] where their Honours described the accepted approach in the following terms:</w:t>
      </w:r>
    </w:p>
    <w:p w14:paraId="222039DD" w14:textId="77777777" w:rsidR="004973B0" w:rsidRDefault="004973B0" w:rsidP="004973B0">
      <w:pPr>
        <w:spacing w:before="60"/>
        <w:ind w:left="1021" w:right="1021"/>
        <w:jc w:val="both"/>
        <w:rPr>
          <w:rFonts w:ascii="Arial" w:hAnsi="Arial" w:cs="Arial"/>
          <w:sz w:val="18"/>
          <w:szCs w:val="18"/>
        </w:rPr>
      </w:pPr>
      <w:r>
        <w:rPr>
          <w:rFonts w:ascii="Arial" w:hAnsi="Arial" w:cs="Arial"/>
          <w:sz w:val="18"/>
          <w:szCs w:val="18"/>
        </w:rPr>
        <w:t xml:space="preserve">‘The method to be applied in construing a statute to ascertain the intended meaning of the words used is well settled. </w:t>
      </w:r>
      <w:r w:rsidRPr="004973B0">
        <w:rPr>
          <w:rFonts w:ascii="Arial" w:hAnsi="Arial" w:cs="Arial"/>
          <w:sz w:val="18"/>
          <w:szCs w:val="18"/>
        </w:rPr>
        <w:t>It commences with a consideration of the words of the provision itself, but it does not end there. A literal approach to construction, which requires the courts to obey the ordinary meaning or usage of the words of a provision, even if the result is improbable, has long been eschewed by this Court. It is now accepted that even words having an apparently clear ordinary or grammatical meaning may be ascribed a different legal meaning after the process of construction is complete. This is because consideration of the context for the provision may point to factors that tend against the ordinary usage of the words of the provision.</w:t>
      </w:r>
    </w:p>
    <w:p w14:paraId="53B16C85" w14:textId="288C987B" w:rsidR="004973B0" w:rsidRPr="00075798" w:rsidRDefault="004973B0" w:rsidP="004973B0">
      <w:pPr>
        <w:spacing w:before="60"/>
        <w:ind w:left="1021" w:right="1021"/>
        <w:jc w:val="both"/>
        <w:rPr>
          <w:rFonts w:ascii="Arial" w:hAnsi="Arial" w:cs="Arial"/>
          <w:sz w:val="18"/>
          <w:szCs w:val="18"/>
        </w:rPr>
      </w:pPr>
      <w:r w:rsidRPr="004973B0">
        <w:rPr>
          <w:rFonts w:ascii="Arial" w:hAnsi="Arial" w:cs="Arial"/>
          <w:sz w:val="18"/>
          <w:szCs w:val="18"/>
        </w:rPr>
        <w:t>Consideration of the context for the provision is undertaken at the first stage of the process of construction. Context is to be understood in its widest sense. It includes surrounding statutory provisions, what may be drawn from other aspects of the statute and the statute as a whole. It extends to the mischief which it may be seen that the statute is intended to remedy.</w:t>
      </w:r>
      <w:r>
        <w:rPr>
          <w:rFonts w:ascii="Arial" w:hAnsi="Arial" w:cs="Arial"/>
          <w:sz w:val="18"/>
          <w:szCs w:val="18"/>
        </w:rPr>
        <w:t>..’</w:t>
      </w:r>
      <w:r w:rsidR="00B5168E">
        <w:rPr>
          <w:rFonts w:ascii="Arial" w:hAnsi="Arial" w:cs="Arial"/>
          <w:sz w:val="18"/>
          <w:szCs w:val="18"/>
        </w:rPr>
        <w:t>.</w:t>
      </w:r>
      <w:r>
        <w:rPr>
          <w:rFonts w:ascii="Arial" w:hAnsi="Arial" w:cs="Arial"/>
          <w:sz w:val="18"/>
          <w:szCs w:val="18"/>
        </w:rPr>
        <w:t>”</w:t>
      </w:r>
    </w:p>
    <w:p w14:paraId="2FE09C15" w14:textId="77777777" w:rsidR="00FE59A5" w:rsidRDefault="00FE59A5" w:rsidP="00641166">
      <w:pPr>
        <w:jc w:val="both"/>
        <w:rPr>
          <w:rFonts w:ascii="Arial" w:hAnsi="Arial" w:cs="Arial"/>
          <w:sz w:val="20"/>
        </w:rPr>
      </w:pPr>
    </w:p>
    <w:p w14:paraId="37B8E2F2" w14:textId="77777777" w:rsidR="00197F05" w:rsidRDefault="00197F05" w:rsidP="00197F05">
      <w:pPr>
        <w:jc w:val="both"/>
        <w:rPr>
          <w:rFonts w:ascii="Arial" w:hAnsi="Arial" w:cs="Arial"/>
          <w:sz w:val="20"/>
        </w:rPr>
      </w:pPr>
      <w:r>
        <w:rPr>
          <w:rFonts w:ascii="Arial" w:hAnsi="Arial" w:cs="Arial"/>
          <w:sz w:val="20"/>
        </w:rPr>
        <w:t xml:space="preserve">In </w:t>
      </w:r>
      <w:r w:rsidRPr="00F31417">
        <w:rPr>
          <w:rFonts w:ascii="Arial" w:hAnsi="Arial" w:cs="Arial"/>
          <w:i/>
          <w:iCs/>
          <w:color w:val="000000"/>
          <w:sz w:val="20"/>
        </w:rPr>
        <w:t>Tricarico v Victorian Legal Services Board (No 2)</w:t>
      </w:r>
      <w:r w:rsidRPr="00F31417">
        <w:rPr>
          <w:rFonts w:ascii="Arial" w:hAnsi="Arial" w:cs="Arial"/>
          <w:color w:val="000000"/>
          <w:sz w:val="20"/>
        </w:rPr>
        <w:t xml:space="preserve"> [2025] VSC 242</w:t>
      </w:r>
      <w:r>
        <w:rPr>
          <w:rFonts w:ascii="Arial" w:hAnsi="Arial" w:cs="Arial"/>
          <w:color w:val="000000"/>
          <w:sz w:val="20"/>
        </w:rPr>
        <w:t xml:space="preserve"> </w:t>
      </w:r>
      <w:r>
        <w:rPr>
          <w:rFonts w:ascii="Arial" w:hAnsi="Arial" w:cs="Arial"/>
          <w:sz w:val="20"/>
        </w:rPr>
        <w:t>Gray J set out the g</w:t>
      </w:r>
      <w:r w:rsidRPr="00332F98">
        <w:rPr>
          <w:rFonts w:ascii="Arial" w:hAnsi="Arial" w:cs="Arial"/>
          <w:sz w:val="20"/>
        </w:rPr>
        <w:t>eneral principles of statutory interpretation</w:t>
      </w:r>
      <w:r w:rsidRPr="00332F98">
        <w:rPr>
          <w:rFonts w:ascii="Arial" w:hAnsi="Arial" w:cs="Arial"/>
          <w:color w:val="000000"/>
          <w:sz w:val="20"/>
        </w:rPr>
        <w:t xml:space="preserve"> </w:t>
      </w:r>
      <w:r>
        <w:rPr>
          <w:rFonts w:ascii="Arial" w:hAnsi="Arial" w:cs="Arial"/>
          <w:color w:val="000000"/>
          <w:sz w:val="20"/>
        </w:rPr>
        <w:t>at [40]-[43] as follows:</w:t>
      </w:r>
    </w:p>
    <w:p w14:paraId="4AE73E0C" w14:textId="77777777" w:rsidR="00197F05" w:rsidRDefault="00197F05" w:rsidP="00197F05">
      <w:pPr>
        <w:spacing w:before="60"/>
        <w:ind w:left="567" w:right="567"/>
        <w:jc w:val="both"/>
        <w:rPr>
          <w:rFonts w:ascii="Arial" w:hAnsi="Arial" w:cs="Arial"/>
          <w:sz w:val="20"/>
        </w:rPr>
      </w:pPr>
      <w:r>
        <w:rPr>
          <w:rFonts w:ascii="Arial" w:hAnsi="Arial" w:cs="Arial"/>
          <w:sz w:val="20"/>
        </w:rPr>
        <w:t>[40] “</w:t>
      </w:r>
      <w:r w:rsidRPr="00452120">
        <w:rPr>
          <w:rFonts w:ascii="Arial" w:hAnsi="Arial" w:cs="Arial"/>
          <w:sz w:val="20"/>
        </w:rPr>
        <w:t>The statutory interpretation process must begin with the text used</w:t>
      </w:r>
      <w:r>
        <w:rPr>
          <w:rFonts w:ascii="Arial" w:hAnsi="Arial" w:cs="Arial"/>
          <w:sz w:val="20"/>
        </w:rPr>
        <w:t xml:space="preserve">: </w:t>
      </w:r>
      <w:r w:rsidRPr="00332F98">
        <w:rPr>
          <w:rFonts w:ascii="Arial" w:hAnsi="Arial" w:cs="Arial"/>
          <w:i/>
          <w:iCs/>
          <w:sz w:val="20"/>
        </w:rPr>
        <w:t>R v A2</w:t>
      </w:r>
      <w:r w:rsidRPr="00452120">
        <w:rPr>
          <w:rFonts w:ascii="Arial" w:hAnsi="Arial" w:cs="Arial"/>
          <w:sz w:val="20"/>
        </w:rPr>
        <w:t xml:space="preserve"> (2019) 269 CLR 507, [32]; </w:t>
      </w:r>
      <w:r w:rsidRPr="00332F98">
        <w:rPr>
          <w:rFonts w:ascii="Arial" w:hAnsi="Arial" w:cs="Arial"/>
          <w:i/>
          <w:iCs/>
          <w:sz w:val="20"/>
        </w:rPr>
        <w:t>Alcan (NT) Alumina Pty Ltd v Commissioner of Territory Revenue</w:t>
      </w:r>
      <w:r w:rsidRPr="00452120">
        <w:rPr>
          <w:rFonts w:ascii="Arial" w:hAnsi="Arial" w:cs="Arial"/>
          <w:sz w:val="20"/>
        </w:rPr>
        <w:t xml:space="preserve"> (2009) 239 CLR 27, [47]; </w:t>
      </w:r>
      <w:r w:rsidRPr="00332F98">
        <w:rPr>
          <w:rFonts w:ascii="Arial" w:hAnsi="Arial" w:cs="Arial"/>
          <w:i/>
          <w:iCs/>
          <w:sz w:val="20"/>
        </w:rPr>
        <w:t>Federal Commissioner of Taxation v Consolidated Media Holdings Ltd</w:t>
      </w:r>
      <w:r w:rsidRPr="00452120">
        <w:rPr>
          <w:rFonts w:ascii="Arial" w:hAnsi="Arial" w:cs="Arial"/>
          <w:sz w:val="20"/>
        </w:rPr>
        <w:t xml:space="preserve"> (2012) 250 CLR 503, [39]; </w:t>
      </w:r>
      <w:r w:rsidRPr="00332F98">
        <w:rPr>
          <w:rFonts w:ascii="Arial" w:hAnsi="Arial" w:cs="Arial"/>
          <w:i/>
          <w:iCs/>
          <w:sz w:val="20"/>
        </w:rPr>
        <w:t>Thiess v Collector of Customs</w:t>
      </w:r>
      <w:r w:rsidRPr="00452120">
        <w:rPr>
          <w:rFonts w:ascii="Arial" w:hAnsi="Arial" w:cs="Arial"/>
          <w:sz w:val="20"/>
        </w:rPr>
        <w:t xml:space="preserve"> (2014) 250 CLR 664, [22]; </w:t>
      </w:r>
      <w:r w:rsidRPr="00332F98">
        <w:rPr>
          <w:rFonts w:ascii="Arial" w:hAnsi="Arial" w:cs="Arial"/>
          <w:i/>
          <w:iCs/>
          <w:sz w:val="20"/>
        </w:rPr>
        <w:t>Treasurer of Victoria v Tabcorp Holdings Ltd</w:t>
      </w:r>
      <w:r w:rsidRPr="00452120">
        <w:rPr>
          <w:rFonts w:ascii="Arial" w:hAnsi="Arial" w:cs="Arial"/>
          <w:sz w:val="20"/>
        </w:rPr>
        <w:t xml:space="preserve"> [2014] VSCA 143, [99]–[102]. Where the words of a provision are clear, unambiguous, and can be intelligibly applied to the subject matter, the provision must be given its ordinary and grammatical meaning — in such cases, Parliament’s intention has been expressed ‘with unambiguous clarity in the language used’</w:t>
      </w:r>
      <w:r>
        <w:rPr>
          <w:rFonts w:ascii="Arial" w:hAnsi="Arial" w:cs="Arial"/>
          <w:sz w:val="20"/>
        </w:rPr>
        <w:t xml:space="preserve">: </w:t>
      </w:r>
      <w:r w:rsidRPr="00332F98">
        <w:rPr>
          <w:rFonts w:ascii="Arial" w:hAnsi="Arial" w:cs="Arial"/>
          <w:i/>
          <w:iCs/>
          <w:sz w:val="20"/>
        </w:rPr>
        <w:t>Tabcorp</w:t>
      </w:r>
      <w:r>
        <w:rPr>
          <w:rFonts w:ascii="Arial" w:hAnsi="Arial" w:cs="Arial"/>
          <w:sz w:val="20"/>
        </w:rPr>
        <w:t xml:space="preserve"> [2], [6].</w:t>
      </w:r>
    </w:p>
    <w:p w14:paraId="24442DEC" w14:textId="77777777" w:rsidR="00197F05" w:rsidRDefault="00197F05" w:rsidP="00197F05">
      <w:pPr>
        <w:spacing w:before="60"/>
        <w:ind w:left="567" w:right="567"/>
        <w:jc w:val="both"/>
        <w:rPr>
          <w:rFonts w:ascii="Arial" w:hAnsi="Arial" w:cs="Arial"/>
          <w:sz w:val="20"/>
        </w:rPr>
      </w:pPr>
      <w:r>
        <w:rPr>
          <w:rFonts w:ascii="Arial" w:hAnsi="Arial" w:cs="Arial"/>
          <w:sz w:val="20"/>
        </w:rPr>
        <w:t>[</w:t>
      </w:r>
      <w:r w:rsidRPr="00452120">
        <w:rPr>
          <w:rFonts w:ascii="Arial" w:hAnsi="Arial" w:cs="Arial"/>
          <w:sz w:val="20"/>
        </w:rPr>
        <w:t>41</w:t>
      </w:r>
      <w:r>
        <w:rPr>
          <w:rFonts w:ascii="Arial" w:hAnsi="Arial" w:cs="Arial"/>
          <w:sz w:val="20"/>
        </w:rPr>
        <w:t>]</w:t>
      </w:r>
      <w:r w:rsidRPr="00452120">
        <w:rPr>
          <w:rFonts w:ascii="Arial" w:hAnsi="Arial" w:cs="Arial"/>
          <w:sz w:val="20"/>
        </w:rPr>
        <w:t xml:space="preserve"> The text must be interpreted in its context, and context should be considered at first instance, rather than at a later stage when ambiguity might arise</w:t>
      </w:r>
      <w:r>
        <w:rPr>
          <w:rFonts w:ascii="Arial" w:hAnsi="Arial" w:cs="Arial"/>
          <w:sz w:val="20"/>
        </w:rPr>
        <w:t xml:space="preserve">: </w:t>
      </w:r>
      <w:r w:rsidRPr="00332F98">
        <w:rPr>
          <w:rFonts w:ascii="Arial" w:hAnsi="Arial" w:cs="Arial"/>
          <w:i/>
          <w:iCs/>
          <w:sz w:val="20"/>
        </w:rPr>
        <w:t>CIC Insurance Ltd v Bankstown Football Club Ltd</w:t>
      </w:r>
      <w:r w:rsidRPr="00452120">
        <w:rPr>
          <w:rFonts w:ascii="Arial" w:hAnsi="Arial" w:cs="Arial"/>
          <w:sz w:val="20"/>
        </w:rPr>
        <w:t xml:space="preserve"> (1997) 187 CLR 384, 408. The context includes the purpose Parliament intended to achieve, as discerned from the legislation itself, and relevant extrinsic material</w:t>
      </w:r>
      <w:r>
        <w:rPr>
          <w:rFonts w:ascii="Arial" w:hAnsi="Arial" w:cs="Arial"/>
          <w:sz w:val="20"/>
        </w:rPr>
        <w:t xml:space="preserve">: </w:t>
      </w:r>
      <w:r w:rsidRPr="00332F98">
        <w:rPr>
          <w:rFonts w:ascii="Arial" w:hAnsi="Arial" w:cs="Arial"/>
          <w:i/>
          <w:iCs/>
          <w:sz w:val="20"/>
        </w:rPr>
        <w:t>Project Blue Sky Inc v Australian Broadcasting Authority</w:t>
      </w:r>
      <w:r w:rsidRPr="00452120">
        <w:rPr>
          <w:rFonts w:ascii="Arial" w:hAnsi="Arial" w:cs="Arial"/>
          <w:sz w:val="20"/>
        </w:rPr>
        <w:t xml:space="preserve"> (1998) 194 CLR 355, [69].</w:t>
      </w:r>
      <w:r>
        <w:rPr>
          <w:rFonts w:ascii="Arial" w:hAnsi="Arial" w:cs="Arial"/>
          <w:sz w:val="20"/>
        </w:rPr>
        <w:t xml:space="preserve"> </w:t>
      </w:r>
      <w:r w:rsidRPr="00452120">
        <w:rPr>
          <w:rFonts w:ascii="Arial" w:hAnsi="Arial" w:cs="Arial"/>
          <w:sz w:val="20"/>
        </w:rPr>
        <w:t>The legislative context includes the statute as a whole, with an assumption that Parliament intends interrelated provisions to operate coherently, giving effect to ‘harmonious goals’</w:t>
      </w:r>
      <w:r>
        <w:rPr>
          <w:rFonts w:ascii="Arial" w:hAnsi="Arial" w:cs="Arial"/>
          <w:sz w:val="20"/>
        </w:rPr>
        <w:t xml:space="preserve">: </w:t>
      </w:r>
      <w:r w:rsidRPr="00332F98">
        <w:rPr>
          <w:rFonts w:ascii="Arial" w:hAnsi="Arial" w:cs="Arial"/>
          <w:i/>
          <w:iCs/>
          <w:sz w:val="20"/>
        </w:rPr>
        <w:t>Project Blue Sky</w:t>
      </w:r>
      <w:r w:rsidRPr="00452120">
        <w:rPr>
          <w:rFonts w:ascii="Arial" w:hAnsi="Arial" w:cs="Arial"/>
          <w:sz w:val="20"/>
        </w:rPr>
        <w:t xml:space="preserve"> [69]</w:t>
      </w:r>
      <w:r>
        <w:rPr>
          <w:rFonts w:ascii="Arial" w:hAnsi="Arial" w:cs="Arial"/>
          <w:sz w:val="20"/>
        </w:rPr>
        <w:t>-</w:t>
      </w:r>
      <w:r w:rsidRPr="00452120">
        <w:rPr>
          <w:rFonts w:ascii="Arial" w:hAnsi="Arial" w:cs="Arial"/>
          <w:sz w:val="20"/>
        </w:rPr>
        <w:t>[70].</w:t>
      </w:r>
    </w:p>
    <w:p w14:paraId="66A28F39" w14:textId="77777777" w:rsidR="00197F05" w:rsidRDefault="00197F05" w:rsidP="00197F05">
      <w:pPr>
        <w:spacing w:before="60"/>
        <w:ind w:left="567" w:right="567"/>
        <w:jc w:val="both"/>
        <w:rPr>
          <w:rFonts w:ascii="Arial" w:hAnsi="Arial" w:cs="Arial"/>
          <w:sz w:val="20"/>
        </w:rPr>
      </w:pPr>
      <w:r>
        <w:rPr>
          <w:rFonts w:ascii="Arial" w:hAnsi="Arial" w:cs="Arial"/>
          <w:sz w:val="20"/>
        </w:rPr>
        <w:t>[</w:t>
      </w:r>
      <w:r w:rsidRPr="00452120">
        <w:rPr>
          <w:rFonts w:ascii="Arial" w:hAnsi="Arial" w:cs="Arial"/>
          <w:sz w:val="20"/>
        </w:rPr>
        <w:t>42</w:t>
      </w:r>
      <w:r>
        <w:rPr>
          <w:rFonts w:ascii="Arial" w:hAnsi="Arial" w:cs="Arial"/>
          <w:sz w:val="20"/>
        </w:rPr>
        <w:t>]</w:t>
      </w:r>
      <w:r w:rsidRPr="00452120">
        <w:rPr>
          <w:rFonts w:ascii="Arial" w:hAnsi="Arial" w:cs="Arial"/>
          <w:sz w:val="20"/>
        </w:rPr>
        <w:t xml:space="preserve"> To discern legislative intention, it may be instructive to consider the legislative history and antecedents of the provision in question</w:t>
      </w:r>
      <w:r>
        <w:rPr>
          <w:rFonts w:ascii="Arial" w:hAnsi="Arial" w:cs="Arial"/>
          <w:sz w:val="20"/>
        </w:rPr>
        <w:t xml:space="preserve">: </w:t>
      </w:r>
      <w:r w:rsidRPr="00142BE8">
        <w:rPr>
          <w:rFonts w:ascii="Arial" w:hAnsi="Arial" w:cs="Arial"/>
          <w:i/>
          <w:iCs/>
          <w:sz w:val="20"/>
        </w:rPr>
        <w:t>Consolidated Media Holdings</w:t>
      </w:r>
      <w:r w:rsidRPr="00452120">
        <w:rPr>
          <w:rFonts w:ascii="Arial" w:hAnsi="Arial" w:cs="Arial"/>
          <w:sz w:val="20"/>
        </w:rPr>
        <w:t xml:space="preserve"> [39]; </w:t>
      </w:r>
      <w:r w:rsidRPr="00142BE8">
        <w:rPr>
          <w:rFonts w:ascii="Arial" w:hAnsi="Arial" w:cs="Arial"/>
          <w:i/>
          <w:iCs/>
          <w:sz w:val="20"/>
        </w:rPr>
        <w:t>Tabcorp</w:t>
      </w:r>
      <w:r w:rsidRPr="00452120">
        <w:rPr>
          <w:rFonts w:ascii="Arial" w:hAnsi="Arial" w:cs="Arial"/>
          <w:sz w:val="20"/>
        </w:rPr>
        <w:t xml:space="preserve"> [2].</w:t>
      </w:r>
      <w:r>
        <w:rPr>
          <w:rFonts w:ascii="Arial" w:hAnsi="Arial" w:cs="Arial"/>
          <w:sz w:val="20"/>
        </w:rPr>
        <w:t xml:space="preserve"> </w:t>
      </w:r>
      <w:r w:rsidRPr="00452120">
        <w:rPr>
          <w:rFonts w:ascii="Arial" w:hAnsi="Arial" w:cs="Arial"/>
          <w:sz w:val="20"/>
        </w:rPr>
        <w:t>Legislative history and extrinsic materials cannot displace the meaning of the statutory text</w:t>
      </w:r>
      <w:r>
        <w:rPr>
          <w:rFonts w:ascii="Arial" w:hAnsi="Arial" w:cs="Arial"/>
          <w:sz w:val="20"/>
        </w:rPr>
        <w:t xml:space="preserve">: </w:t>
      </w:r>
      <w:r w:rsidRPr="00142BE8">
        <w:rPr>
          <w:rFonts w:ascii="Arial" w:hAnsi="Arial" w:cs="Arial"/>
          <w:i/>
          <w:iCs/>
          <w:sz w:val="20"/>
        </w:rPr>
        <w:t>Consolidated Media Holdings</w:t>
      </w:r>
      <w:r w:rsidRPr="00452120">
        <w:rPr>
          <w:rFonts w:ascii="Arial" w:hAnsi="Arial" w:cs="Arial"/>
          <w:sz w:val="20"/>
        </w:rPr>
        <w:t xml:space="preserve"> [39].</w:t>
      </w:r>
    </w:p>
    <w:p w14:paraId="055D6B68" w14:textId="77777777" w:rsidR="00197F05" w:rsidRDefault="00197F05" w:rsidP="00197F05">
      <w:pPr>
        <w:spacing w:before="60"/>
        <w:ind w:left="567" w:right="567"/>
        <w:jc w:val="both"/>
        <w:rPr>
          <w:rFonts w:ascii="Arial" w:hAnsi="Arial" w:cs="Arial"/>
          <w:sz w:val="20"/>
        </w:rPr>
      </w:pPr>
      <w:r>
        <w:rPr>
          <w:rFonts w:ascii="Arial" w:hAnsi="Arial" w:cs="Arial"/>
          <w:sz w:val="20"/>
        </w:rPr>
        <w:t>[</w:t>
      </w:r>
      <w:r w:rsidRPr="00452120">
        <w:rPr>
          <w:rFonts w:ascii="Arial" w:hAnsi="Arial" w:cs="Arial"/>
          <w:sz w:val="20"/>
        </w:rPr>
        <w:t>43</w:t>
      </w:r>
      <w:r>
        <w:rPr>
          <w:rFonts w:ascii="Arial" w:hAnsi="Arial" w:cs="Arial"/>
          <w:sz w:val="20"/>
        </w:rPr>
        <w:t>]</w:t>
      </w:r>
      <w:r w:rsidRPr="00452120">
        <w:rPr>
          <w:rFonts w:ascii="Arial" w:hAnsi="Arial" w:cs="Arial"/>
          <w:sz w:val="20"/>
        </w:rPr>
        <w:t xml:space="preserve"> It is assumed that Parliament intends discretions conferred under statute to be exercised in accordance with the rules of reason and justice</w:t>
      </w:r>
      <w:r>
        <w:rPr>
          <w:rFonts w:ascii="Arial" w:hAnsi="Arial" w:cs="Arial"/>
          <w:sz w:val="20"/>
        </w:rPr>
        <w:t xml:space="preserve">: </w:t>
      </w:r>
      <w:r w:rsidRPr="00142BE8">
        <w:rPr>
          <w:rFonts w:ascii="Arial" w:hAnsi="Arial" w:cs="Arial"/>
          <w:i/>
          <w:iCs/>
          <w:sz w:val="20"/>
        </w:rPr>
        <w:t>Minister for Immigration and Citizenship v Li</w:t>
      </w:r>
      <w:r w:rsidRPr="00452120">
        <w:rPr>
          <w:rFonts w:ascii="Arial" w:hAnsi="Arial" w:cs="Arial"/>
          <w:sz w:val="20"/>
        </w:rPr>
        <w:t xml:space="preserve"> (2013) 249 CLR 332; [2013] HCA 18, [23]–[24]</w:t>
      </w:r>
      <w:r>
        <w:rPr>
          <w:rFonts w:ascii="Arial" w:hAnsi="Arial" w:cs="Arial"/>
          <w:sz w:val="20"/>
        </w:rPr>
        <w:t xml:space="preserve">, </w:t>
      </w:r>
      <w:r w:rsidRPr="00452120">
        <w:rPr>
          <w:rFonts w:ascii="Arial" w:hAnsi="Arial" w:cs="Arial"/>
          <w:sz w:val="20"/>
        </w:rPr>
        <w:t>[63]–[66]</w:t>
      </w:r>
      <w:r>
        <w:rPr>
          <w:rFonts w:ascii="Arial" w:hAnsi="Arial" w:cs="Arial"/>
          <w:sz w:val="20"/>
        </w:rPr>
        <w:t xml:space="preserve"> &amp; [88]-[90]</w:t>
      </w:r>
      <w:r w:rsidRPr="00452120">
        <w:rPr>
          <w:rFonts w:ascii="Arial" w:hAnsi="Arial" w:cs="Arial"/>
          <w:sz w:val="20"/>
        </w:rPr>
        <w:t xml:space="preserve">; </w:t>
      </w:r>
      <w:r w:rsidRPr="00142BE8">
        <w:rPr>
          <w:rFonts w:ascii="Arial" w:hAnsi="Arial" w:cs="Arial"/>
          <w:i/>
          <w:iCs/>
          <w:sz w:val="20"/>
        </w:rPr>
        <w:t>Sharp v Wakefield</w:t>
      </w:r>
      <w:r w:rsidRPr="00452120">
        <w:rPr>
          <w:rFonts w:ascii="Arial" w:hAnsi="Arial" w:cs="Arial"/>
          <w:sz w:val="20"/>
        </w:rPr>
        <w:t xml:space="preserve"> [1891] AC 173, 179.</w:t>
      </w:r>
      <w:r>
        <w:rPr>
          <w:rFonts w:ascii="Arial" w:hAnsi="Arial" w:cs="Arial"/>
          <w:sz w:val="20"/>
        </w:rPr>
        <w:t xml:space="preserve"> </w:t>
      </w:r>
      <w:r w:rsidRPr="00452120">
        <w:rPr>
          <w:rFonts w:ascii="Arial" w:hAnsi="Arial" w:cs="Arial"/>
          <w:sz w:val="20"/>
        </w:rPr>
        <w:t>Absent clear statutory intention to the contrary, it is an implied condition of an exercise of power adversely affecting a person’s interests that they be accorded procedural fairness</w:t>
      </w:r>
      <w:r>
        <w:rPr>
          <w:rFonts w:ascii="Arial" w:hAnsi="Arial" w:cs="Arial"/>
          <w:sz w:val="20"/>
        </w:rPr>
        <w:t xml:space="preserve">: </w:t>
      </w:r>
      <w:r w:rsidRPr="00452120">
        <w:rPr>
          <w:rFonts w:ascii="Arial" w:hAnsi="Arial" w:cs="Arial"/>
          <w:sz w:val="20"/>
        </w:rPr>
        <w:t xml:space="preserve">Eg </w:t>
      </w:r>
      <w:r w:rsidRPr="00142BE8">
        <w:rPr>
          <w:rFonts w:ascii="Arial" w:hAnsi="Arial" w:cs="Arial"/>
          <w:i/>
          <w:iCs/>
          <w:sz w:val="20"/>
        </w:rPr>
        <w:t>Kioa v West</w:t>
      </w:r>
      <w:r w:rsidRPr="00452120">
        <w:rPr>
          <w:rFonts w:ascii="Arial" w:hAnsi="Arial" w:cs="Arial"/>
          <w:sz w:val="20"/>
        </w:rPr>
        <w:t xml:space="preserve"> (1985) 159 CLR 550, 585</w:t>
      </w:r>
      <w:r>
        <w:rPr>
          <w:rFonts w:ascii="Arial" w:hAnsi="Arial" w:cs="Arial"/>
          <w:sz w:val="20"/>
        </w:rPr>
        <w:t xml:space="preserve"> &amp;</w:t>
      </w:r>
      <w:r w:rsidRPr="00452120">
        <w:rPr>
          <w:rFonts w:ascii="Arial" w:hAnsi="Arial" w:cs="Arial"/>
          <w:sz w:val="20"/>
        </w:rPr>
        <w:t xml:space="preserve"> 609–616; </w:t>
      </w:r>
      <w:r w:rsidRPr="00142BE8">
        <w:rPr>
          <w:rFonts w:ascii="Arial" w:hAnsi="Arial" w:cs="Arial"/>
          <w:i/>
          <w:iCs/>
          <w:sz w:val="20"/>
        </w:rPr>
        <w:t>CNY17 v Minister for Immigration and Border Protection</w:t>
      </w:r>
      <w:r w:rsidRPr="00452120">
        <w:rPr>
          <w:rFonts w:ascii="Arial" w:hAnsi="Arial" w:cs="Arial"/>
          <w:sz w:val="20"/>
        </w:rPr>
        <w:t xml:space="preserve"> (2019) 268 CLR 76, [16].</w:t>
      </w:r>
      <w:r>
        <w:rPr>
          <w:rFonts w:ascii="Arial" w:hAnsi="Arial" w:cs="Arial"/>
          <w:sz w:val="20"/>
        </w:rPr>
        <w:t>”</w:t>
      </w:r>
    </w:p>
    <w:p w14:paraId="76F51B33" w14:textId="77777777" w:rsidR="00197F05" w:rsidRDefault="00197F05" w:rsidP="00641166">
      <w:pPr>
        <w:jc w:val="both"/>
        <w:rPr>
          <w:rFonts w:ascii="Arial" w:hAnsi="Arial" w:cs="Arial"/>
          <w:sz w:val="20"/>
        </w:rPr>
      </w:pPr>
    </w:p>
    <w:p w14:paraId="0707A6FF" w14:textId="358F8F0C" w:rsidR="00136AF4" w:rsidRDefault="00136AF4" w:rsidP="00641166">
      <w:pPr>
        <w:jc w:val="both"/>
        <w:rPr>
          <w:rFonts w:ascii="Arial" w:hAnsi="Arial" w:cs="Arial"/>
          <w:color w:val="000000"/>
          <w:sz w:val="20"/>
        </w:rPr>
      </w:pPr>
      <w:r w:rsidRPr="00136AF4">
        <w:rPr>
          <w:rFonts w:ascii="Arial" w:hAnsi="Arial" w:cs="Arial"/>
          <w:color w:val="000000"/>
          <w:sz w:val="20"/>
        </w:rPr>
        <w:t xml:space="preserve">In </w:t>
      </w:r>
      <w:r w:rsidRPr="00875262">
        <w:rPr>
          <w:rFonts w:ascii="Arial" w:hAnsi="Arial" w:cs="Arial"/>
          <w:i/>
          <w:iCs/>
          <w:color w:val="000000"/>
          <w:sz w:val="20"/>
        </w:rPr>
        <w:t>1559 High Street Pty Ltd v Camillo Builders Pty Ltd &amp; Ors</w:t>
      </w:r>
      <w:r w:rsidRPr="00875262">
        <w:rPr>
          <w:rFonts w:ascii="Arial" w:hAnsi="Arial" w:cs="Arial"/>
          <w:color w:val="000000"/>
          <w:sz w:val="20"/>
        </w:rPr>
        <w:t xml:space="preserve"> [2025] VSC 244</w:t>
      </w:r>
      <w:r>
        <w:rPr>
          <w:rFonts w:ascii="Arial" w:hAnsi="Arial" w:cs="Arial"/>
          <w:color w:val="000000"/>
          <w:sz w:val="20"/>
        </w:rPr>
        <w:t xml:space="preserve"> the primary issue was whether </w:t>
      </w:r>
      <w:r w:rsidR="003E05F2">
        <w:rPr>
          <w:rFonts w:ascii="Arial" w:hAnsi="Arial" w:cs="Arial"/>
          <w:color w:val="000000"/>
          <w:sz w:val="20"/>
        </w:rPr>
        <w:t>certain</w:t>
      </w:r>
      <w:r>
        <w:rPr>
          <w:rFonts w:ascii="Arial" w:hAnsi="Arial" w:cs="Arial"/>
          <w:color w:val="000000"/>
          <w:sz w:val="20"/>
        </w:rPr>
        <w:t xml:space="preserve"> provisions of the </w:t>
      </w:r>
      <w:r w:rsidRPr="00136AF4">
        <w:rPr>
          <w:rFonts w:ascii="Arial" w:hAnsi="Arial" w:cs="Arial"/>
          <w:i/>
          <w:iCs/>
          <w:sz w:val="20"/>
        </w:rPr>
        <w:t xml:space="preserve">Building and Construction Industry Security of Payment Act 2002 </w:t>
      </w:r>
      <w:r w:rsidRPr="00B91928">
        <w:rPr>
          <w:rFonts w:ascii="Arial" w:hAnsi="Arial" w:cs="Arial"/>
          <w:sz w:val="20"/>
        </w:rPr>
        <w:t>(Vic)</w:t>
      </w:r>
      <w:r>
        <w:rPr>
          <w:rFonts w:ascii="Arial" w:hAnsi="Arial" w:cs="Arial"/>
          <w:i/>
          <w:iCs/>
          <w:sz w:val="20"/>
        </w:rPr>
        <w:t xml:space="preserve"> </w:t>
      </w:r>
      <w:r w:rsidRPr="00136AF4">
        <w:rPr>
          <w:rFonts w:ascii="Arial" w:hAnsi="Arial" w:cs="Arial"/>
          <w:sz w:val="20"/>
        </w:rPr>
        <w:t xml:space="preserve">are inconsistent with </w:t>
      </w:r>
      <w:r w:rsidR="003E05F2">
        <w:rPr>
          <w:rFonts w:ascii="Arial" w:hAnsi="Arial" w:cs="Arial"/>
          <w:sz w:val="20"/>
        </w:rPr>
        <w:t>certain</w:t>
      </w:r>
      <w:r>
        <w:rPr>
          <w:rFonts w:ascii="Arial" w:hAnsi="Arial" w:cs="Arial"/>
          <w:sz w:val="20"/>
        </w:rPr>
        <w:t xml:space="preserve"> provisions of the </w:t>
      </w:r>
      <w:r w:rsidRPr="00136AF4">
        <w:rPr>
          <w:rFonts w:ascii="Arial" w:hAnsi="Arial" w:cs="Arial"/>
          <w:sz w:val="20"/>
        </w:rPr>
        <w:t xml:space="preserve">Australian Consumer Law as set out in Schedule 2 to the </w:t>
      </w:r>
      <w:r w:rsidRPr="00136AF4">
        <w:rPr>
          <w:rFonts w:ascii="Arial" w:hAnsi="Arial" w:cs="Arial"/>
          <w:i/>
          <w:iCs/>
          <w:sz w:val="20"/>
        </w:rPr>
        <w:t xml:space="preserve">Competition and Consumer Act 2020 </w:t>
      </w:r>
      <w:r w:rsidRPr="00B91928">
        <w:rPr>
          <w:rFonts w:ascii="Arial" w:hAnsi="Arial" w:cs="Arial"/>
          <w:sz w:val="20"/>
        </w:rPr>
        <w:t>(Cth)</w:t>
      </w:r>
      <w:r w:rsidRPr="00136AF4">
        <w:rPr>
          <w:rFonts w:ascii="Arial" w:hAnsi="Arial" w:cs="Arial"/>
          <w:sz w:val="20"/>
        </w:rPr>
        <w:t xml:space="preserve"> and </w:t>
      </w:r>
      <w:r>
        <w:rPr>
          <w:rFonts w:ascii="Arial" w:hAnsi="Arial" w:cs="Arial"/>
          <w:sz w:val="20"/>
        </w:rPr>
        <w:t xml:space="preserve">hence are </w:t>
      </w:r>
      <w:r w:rsidRPr="00136AF4">
        <w:rPr>
          <w:rFonts w:ascii="Arial" w:hAnsi="Arial" w:cs="Arial"/>
          <w:sz w:val="20"/>
        </w:rPr>
        <w:t xml:space="preserve">invalid to that extent under s 109 of the </w:t>
      </w:r>
      <w:r w:rsidRPr="00136AF4">
        <w:rPr>
          <w:rFonts w:ascii="Arial" w:hAnsi="Arial" w:cs="Arial"/>
          <w:i/>
          <w:iCs/>
          <w:sz w:val="20"/>
        </w:rPr>
        <w:t>Commonwealth of Australia Constitution Act</w:t>
      </w:r>
      <w:r>
        <w:rPr>
          <w:rFonts w:ascii="Arial" w:hAnsi="Arial" w:cs="Arial"/>
          <w:sz w:val="20"/>
        </w:rPr>
        <w:t xml:space="preserve">. </w:t>
      </w:r>
      <w:r w:rsidR="00B91928">
        <w:rPr>
          <w:rFonts w:ascii="Arial" w:hAnsi="Arial" w:cs="Arial"/>
          <w:sz w:val="20"/>
        </w:rPr>
        <w:t xml:space="preserve">Stynes J held that there was </w:t>
      </w:r>
      <w:r w:rsidR="00B91928" w:rsidRPr="00136AF4">
        <w:rPr>
          <w:rFonts w:ascii="Arial" w:hAnsi="Arial" w:cs="Arial"/>
          <w:sz w:val="20"/>
        </w:rPr>
        <w:t xml:space="preserve">no operational inconsistency between the State law and </w:t>
      </w:r>
      <w:r w:rsidR="00EE3BE0">
        <w:rPr>
          <w:rFonts w:ascii="Arial" w:hAnsi="Arial" w:cs="Arial"/>
          <w:sz w:val="20"/>
        </w:rPr>
        <w:t xml:space="preserve">the </w:t>
      </w:r>
      <w:r w:rsidR="00B91928" w:rsidRPr="00136AF4">
        <w:rPr>
          <w:rFonts w:ascii="Arial" w:hAnsi="Arial" w:cs="Arial"/>
          <w:sz w:val="20"/>
        </w:rPr>
        <w:t>Commonwealth law</w:t>
      </w:r>
      <w:r w:rsidR="00B91928">
        <w:rPr>
          <w:rFonts w:ascii="Arial" w:hAnsi="Arial" w:cs="Arial"/>
          <w:sz w:val="20"/>
        </w:rPr>
        <w:t>. In the course of her judgment her Honour summarised the a</w:t>
      </w:r>
      <w:r w:rsidR="00B91928" w:rsidRPr="00B91928">
        <w:rPr>
          <w:rFonts w:ascii="Arial" w:hAnsi="Arial" w:cs="Arial"/>
          <w:sz w:val="20"/>
        </w:rPr>
        <w:t xml:space="preserve">pplicable legal principles </w:t>
      </w:r>
      <w:r w:rsidR="00B91928">
        <w:rPr>
          <w:rFonts w:ascii="Arial" w:hAnsi="Arial" w:cs="Arial"/>
          <w:sz w:val="20"/>
        </w:rPr>
        <w:t>in</w:t>
      </w:r>
      <w:r w:rsidR="00B91928" w:rsidRPr="00B91928">
        <w:rPr>
          <w:rFonts w:ascii="Arial" w:hAnsi="Arial" w:cs="Arial"/>
          <w:sz w:val="20"/>
        </w:rPr>
        <w:t xml:space="preserve"> determining statutory inconsistency</w:t>
      </w:r>
      <w:r w:rsidR="00B91928">
        <w:rPr>
          <w:rFonts w:ascii="Arial" w:hAnsi="Arial" w:cs="Arial"/>
          <w:sz w:val="20"/>
        </w:rPr>
        <w:t xml:space="preserve"> at [31]-[3</w:t>
      </w:r>
      <w:r w:rsidR="002C0660">
        <w:rPr>
          <w:rFonts w:ascii="Arial" w:hAnsi="Arial" w:cs="Arial"/>
          <w:sz w:val="20"/>
        </w:rPr>
        <w:t>4</w:t>
      </w:r>
      <w:r w:rsidR="00B91928">
        <w:rPr>
          <w:rFonts w:ascii="Arial" w:hAnsi="Arial" w:cs="Arial"/>
          <w:sz w:val="20"/>
        </w:rPr>
        <w:t>] as follows:</w:t>
      </w:r>
    </w:p>
    <w:p w14:paraId="70CAB8E5" w14:textId="77777777" w:rsidR="00B91928" w:rsidRDefault="00136AF4" w:rsidP="00136AF4">
      <w:pPr>
        <w:spacing w:before="60"/>
        <w:ind w:left="567" w:right="567"/>
        <w:jc w:val="both"/>
        <w:rPr>
          <w:rFonts w:ascii="Arial" w:hAnsi="Arial" w:cs="Arial"/>
          <w:sz w:val="20"/>
        </w:rPr>
      </w:pPr>
      <w:r>
        <w:rPr>
          <w:rFonts w:ascii="Arial" w:hAnsi="Arial" w:cs="Arial"/>
          <w:sz w:val="20"/>
        </w:rPr>
        <w:lastRenderedPageBreak/>
        <w:t>[31] “</w:t>
      </w:r>
      <w:r w:rsidRPr="00136AF4">
        <w:rPr>
          <w:rFonts w:ascii="Arial" w:hAnsi="Arial" w:cs="Arial"/>
          <w:sz w:val="20"/>
        </w:rPr>
        <w:t xml:space="preserve">Section 109 of the Constitution provides that: </w:t>
      </w:r>
    </w:p>
    <w:p w14:paraId="209F636A" w14:textId="71194075" w:rsidR="00136AF4" w:rsidRPr="00B91928" w:rsidRDefault="00136AF4" w:rsidP="00B91928">
      <w:pPr>
        <w:spacing w:before="60"/>
        <w:ind w:left="1021" w:right="1021"/>
        <w:jc w:val="both"/>
        <w:rPr>
          <w:rFonts w:ascii="Arial" w:hAnsi="Arial" w:cs="Arial"/>
          <w:sz w:val="18"/>
          <w:szCs w:val="22"/>
        </w:rPr>
      </w:pPr>
      <w:r w:rsidRPr="00B91928">
        <w:rPr>
          <w:rFonts w:ascii="Arial" w:hAnsi="Arial" w:cs="Arial"/>
          <w:sz w:val="18"/>
          <w:szCs w:val="22"/>
        </w:rPr>
        <w:t>When a law of the State is inconsistent with a law of the Commonwealth, the latter shall prevail, and the former shall, to the extent of the inconsistency, be invalid.</w:t>
      </w:r>
    </w:p>
    <w:p w14:paraId="02F7CD0D" w14:textId="4F9E3812" w:rsidR="00136AF4" w:rsidRDefault="00136AF4" w:rsidP="00136AF4">
      <w:pPr>
        <w:spacing w:before="60"/>
        <w:ind w:left="567" w:right="567"/>
        <w:jc w:val="both"/>
        <w:rPr>
          <w:rFonts w:ascii="Arial" w:hAnsi="Arial" w:cs="Arial"/>
          <w:sz w:val="20"/>
        </w:rPr>
      </w:pPr>
      <w:r>
        <w:rPr>
          <w:rFonts w:ascii="Arial" w:hAnsi="Arial" w:cs="Arial"/>
          <w:sz w:val="20"/>
        </w:rPr>
        <w:t xml:space="preserve">[32] </w:t>
      </w:r>
      <w:r w:rsidRPr="00136AF4">
        <w:rPr>
          <w:rFonts w:ascii="Arial" w:hAnsi="Arial" w:cs="Arial"/>
          <w:sz w:val="20"/>
        </w:rPr>
        <w:t>The starting point for the Court is to construe the relevant Commonwealth and State statutes having regard to their subject matter, scope and purpose in accordance with orthodox principles of statutory construction</w:t>
      </w:r>
      <w:r w:rsidR="00B91928">
        <w:rPr>
          <w:rFonts w:ascii="Arial" w:hAnsi="Arial" w:cs="Arial"/>
          <w:sz w:val="20"/>
        </w:rPr>
        <w:t xml:space="preserve">: </w:t>
      </w:r>
      <w:r w:rsidR="00B91928" w:rsidRPr="00B91928">
        <w:rPr>
          <w:rFonts w:ascii="Arial" w:hAnsi="Arial" w:cs="Arial"/>
          <w:i/>
          <w:iCs/>
          <w:sz w:val="20"/>
        </w:rPr>
        <w:t>P v P</w:t>
      </w:r>
      <w:r w:rsidR="00B91928" w:rsidRPr="00136AF4">
        <w:rPr>
          <w:rFonts w:ascii="Arial" w:hAnsi="Arial" w:cs="Arial"/>
          <w:sz w:val="20"/>
        </w:rPr>
        <w:t xml:space="preserve"> (1994) 181 CLR 583, 601</w:t>
      </w:r>
      <w:r w:rsidR="00B91928">
        <w:rPr>
          <w:rFonts w:ascii="Arial" w:hAnsi="Arial" w:cs="Arial"/>
          <w:sz w:val="20"/>
        </w:rPr>
        <w:t>.</w:t>
      </w:r>
    </w:p>
    <w:p w14:paraId="49A07724" w14:textId="482705E9" w:rsidR="00136AF4" w:rsidRDefault="00136AF4" w:rsidP="00136AF4">
      <w:pPr>
        <w:spacing w:before="60"/>
        <w:ind w:left="567" w:right="567"/>
        <w:jc w:val="both"/>
        <w:rPr>
          <w:rFonts w:ascii="Arial" w:hAnsi="Arial" w:cs="Arial"/>
          <w:sz w:val="20"/>
        </w:rPr>
      </w:pPr>
      <w:r>
        <w:rPr>
          <w:rFonts w:ascii="Arial" w:hAnsi="Arial" w:cs="Arial"/>
          <w:sz w:val="20"/>
        </w:rPr>
        <w:t xml:space="preserve">[33] </w:t>
      </w:r>
      <w:r w:rsidRPr="00136AF4">
        <w:rPr>
          <w:rFonts w:ascii="Arial" w:hAnsi="Arial" w:cs="Arial"/>
          <w:sz w:val="20"/>
        </w:rPr>
        <w:t>A relevant inconsistency will arise when a State law, if valid, would alter, impair or detract from the operation of a law of the Commonwealth</w:t>
      </w:r>
      <w:r w:rsidR="00B91928">
        <w:rPr>
          <w:rFonts w:ascii="Arial" w:hAnsi="Arial" w:cs="Arial"/>
          <w:sz w:val="20"/>
        </w:rPr>
        <w:t xml:space="preserve">: </w:t>
      </w:r>
      <w:r w:rsidR="00B91928" w:rsidRPr="00B91928">
        <w:rPr>
          <w:rFonts w:ascii="Arial" w:hAnsi="Arial" w:cs="Arial"/>
          <w:i/>
          <w:iCs/>
          <w:sz w:val="20"/>
        </w:rPr>
        <w:t>Victoria v Commonwealth</w:t>
      </w:r>
      <w:r w:rsidR="00B91928" w:rsidRPr="00136AF4">
        <w:rPr>
          <w:rFonts w:ascii="Arial" w:hAnsi="Arial" w:cs="Arial"/>
          <w:sz w:val="20"/>
        </w:rPr>
        <w:t xml:space="preserve"> (1937) 58 CLR 618, 630 per Dixon J; approved and confirmed as a relevant test to apply in </w:t>
      </w:r>
      <w:r w:rsidR="00B91928" w:rsidRPr="00B91928">
        <w:rPr>
          <w:rFonts w:ascii="Arial" w:hAnsi="Arial" w:cs="Arial"/>
          <w:i/>
          <w:iCs/>
          <w:sz w:val="20"/>
        </w:rPr>
        <w:t>Telstra Corporation Ltd v Worthing</w:t>
      </w:r>
      <w:r w:rsidR="00B91928" w:rsidRPr="00136AF4">
        <w:rPr>
          <w:rFonts w:ascii="Arial" w:hAnsi="Arial" w:cs="Arial"/>
          <w:sz w:val="20"/>
        </w:rPr>
        <w:t xml:space="preserve"> (1999) 197 CLR 61, 76 [28]</w:t>
      </w:r>
      <w:r w:rsidRPr="00136AF4">
        <w:rPr>
          <w:rFonts w:ascii="Arial" w:hAnsi="Arial" w:cs="Arial"/>
          <w:sz w:val="20"/>
        </w:rPr>
        <w:t>. This is known as ‘direct’ inconsistency, which is the form of inconsistency that 1559HS argues for.</w:t>
      </w:r>
    </w:p>
    <w:p w14:paraId="3AB9C1F6" w14:textId="5F1CDB85" w:rsidR="00136AF4" w:rsidRDefault="00136AF4" w:rsidP="00136AF4">
      <w:pPr>
        <w:spacing w:before="60"/>
        <w:ind w:left="567" w:right="567"/>
        <w:jc w:val="both"/>
        <w:rPr>
          <w:rFonts w:ascii="Arial" w:hAnsi="Arial" w:cs="Arial"/>
          <w:sz w:val="20"/>
        </w:rPr>
      </w:pPr>
      <w:r>
        <w:rPr>
          <w:rFonts w:ascii="Arial" w:hAnsi="Arial" w:cs="Arial"/>
          <w:sz w:val="20"/>
        </w:rPr>
        <w:t xml:space="preserve">[34] </w:t>
      </w:r>
      <w:r w:rsidRPr="00136AF4">
        <w:rPr>
          <w:rFonts w:ascii="Arial" w:hAnsi="Arial" w:cs="Arial"/>
          <w:sz w:val="20"/>
        </w:rPr>
        <w:t>The following principles apply when assessing whether there is direct inconsistency:</w:t>
      </w:r>
    </w:p>
    <w:p w14:paraId="35C2D707" w14:textId="7A4D4E27" w:rsidR="00136AF4" w:rsidRDefault="00B91928" w:rsidP="00B85CFD">
      <w:pPr>
        <w:spacing w:before="60"/>
        <w:ind w:left="1321" w:right="567" w:hanging="357"/>
        <w:jc w:val="both"/>
        <w:rPr>
          <w:rFonts w:ascii="Arial" w:hAnsi="Arial" w:cs="Arial"/>
          <w:sz w:val="20"/>
        </w:rPr>
      </w:pPr>
      <w:r>
        <w:rPr>
          <w:rFonts w:ascii="Arial" w:hAnsi="Arial" w:cs="Arial"/>
          <w:sz w:val="20"/>
        </w:rPr>
        <w:t>(a)</w:t>
      </w:r>
      <w:r w:rsidR="00B85CFD">
        <w:rPr>
          <w:rFonts w:ascii="Arial" w:hAnsi="Arial" w:cs="Arial"/>
          <w:sz w:val="20"/>
        </w:rPr>
        <w:tab/>
        <w:t>A</w:t>
      </w:r>
      <w:r w:rsidR="00B85CFD" w:rsidRPr="00136AF4">
        <w:rPr>
          <w:rFonts w:ascii="Arial" w:hAnsi="Arial" w:cs="Arial"/>
          <w:sz w:val="20"/>
        </w:rPr>
        <w:t>ny alteration, impairment or detraction must “be significant and non-trivial”, which is a question of fact and degree</w:t>
      </w:r>
      <w:r w:rsidR="00B85CFD">
        <w:rPr>
          <w:rFonts w:ascii="Arial" w:hAnsi="Arial" w:cs="Arial"/>
          <w:sz w:val="20"/>
        </w:rPr>
        <w:t xml:space="preserve">: </w:t>
      </w:r>
      <w:r w:rsidR="00B85CFD" w:rsidRPr="00B85CFD">
        <w:rPr>
          <w:rFonts w:ascii="Arial" w:hAnsi="Arial" w:cs="Arial"/>
          <w:i/>
          <w:iCs/>
          <w:sz w:val="20"/>
        </w:rPr>
        <w:t>Bell Group NV (in liq) v Western Australia</w:t>
      </w:r>
      <w:r w:rsidR="00B85CFD" w:rsidRPr="00136AF4">
        <w:rPr>
          <w:rFonts w:ascii="Arial" w:hAnsi="Arial" w:cs="Arial"/>
          <w:sz w:val="20"/>
        </w:rPr>
        <w:t xml:space="preserve"> (2016) 260 CLR 500, 521 [52], citing </w:t>
      </w:r>
      <w:r w:rsidR="00B85CFD" w:rsidRPr="00B85CFD">
        <w:rPr>
          <w:rFonts w:ascii="Arial" w:hAnsi="Arial" w:cs="Arial"/>
          <w:i/>
          <w:iCs/>
          <w:sz w:val="20"/>
        </w:rPr>
        <w:t>Jemena Asset Management (3) Pty Ltd v Coinvest Ltd</w:t>
      </w:r>
      <w:r w:rsidR="00B85CFD" w:rsidRPr="00136AF4">
        <w:rPr>
          <w:rFonts w:ascii="Arial" w:hAnsi="Arial" w:cs="Arial"/>
          <w:sz w:val="20"/>
        </w:rPr>
        <w:t xml:space="preserve"> (2011) 244 CLR 508, 525 [41]. See also </w:t>
      </w:r>
      <w:r w:rsidR="00B85CFD" w:rsidRPr="00B85CFD">
        <w:rPr>
          <w:rFonts w:ascii="Arial" w:hAnsi="Arial" w:cs="Arial"/>
          <w:i/>
          <w:iCs/>
          <w:sz w:val="20"/>
        </w:rPr>
        <w:t>Burns v Corbett</w:t>
      </w:r>
      <w:r w:rsidR="00B85CFD" w:rsidRPr="00136AF4">
        <w:rPr>
          <w:rFonts w:ascii="Arial" w:hAnsi="Arial" w:cs="Arial"/>
          <w:sz w:val="20"/>
        </w:rPr>
        <w:t xml:space="preserve"> (2018) 265 CLR 304, 389 [190].</w:t>
      </w:r>
    </w:p>
    <w:p w14:paraId="078E0CCC" w14:textId="065C052C" w:rsidR="00B85CFD" w:rsidRDefault="00B85CFD" w:rsidP="00B85CFD">
      <w:pPr>
        <w:spacing w:before="60"/>
        <w:ind w:left="1321" w:right="567" w:hanging="357"/>
        <w:jc w:val="both"/>
        <w:rPr>
          <w:rFonts w:ascii="Arial" w:hAnsi="Arial" w:cs="Arial"/>
          <w:sz w:val="20"/>
        </w:rPr>
      </w:pPr>
      <w:r>
        <w:rPr>
          <w:rFonts w:ascii="Arial" w:hAnsi="Arial" w:cs="Arial"/>
          <w:sz w:val="20"/>
        </w:rPr>
        <w:t>(b)</w:t>
      </w:r>
      <w:r>
        <w:rPr>
          <w:rFonts w:ascii="Arial" w:hAnsi="Arial" w:cs="Arial"/>
          <w:sz w:val="20"/>
        </w:rPr>
        <w:tab/>
      </w:r>
      <w:r w:rsidRPr="00136AF4">
        <w:rPr>
          <w:rFonts w:ascii="Arial" w:hAnsi="Arial" w:cs="Arial"/>
          <w:sz w:val="20"/>
        </w:rPr>
        <w:t>It is necessary to consider the practical effect of both the State law and the Commonwealth la</w:t>
      </w:r>
      <w:r>
        <w:rPr>
          <w:rFonts w:ascii="Arial" w:hAnsi="Arial" w:cs="Arial"/>
          <w:sz w:val="20"/>
        </w:rPr>
        <w:t xml:space="preserve">w: </w:t>
      </w:r>
      <w:r w:rsidRPr="00B85CFD">
        <w:rPr>
          <w:rFonts w:ascii="Arial" w:hAnsi="Arial" w:cs="Arial"/>
          <w:i/>
          <w:iCs/>
          <w:sz w:val="20"/>
        </w:rPr>
        <w:t>APLA Ltd v Legal Services Commissioner</w:t>
      </w:r>
      <w:r w:rsidRPr="00136AF4">
        <w:rPr>
          <w:rFonts w:ascii="Arial" w:hAnsi="Arial" w:cs="Arial"/>
          <w:sz w:val="20"/>
        </w:rPr>
        <w:t xml:space="preserve"> (2005) 224 CLR 322 at 399 [203]; </w:t>
      </w:r>
      <w:r w:rsidRPr="00B85CFD">
        <w:rPr>
          <w:rFonts w:ascii="Arial" w:hAnsi="Arial" w:cs="Arial"/>
          <w:i/>
          <w:iCs/>
          <w:sz w:val="20"/>
        </w:rPr>
        <w:t>Bell Group NV (In Liq) v Western Australia</w:t>
      </w:r>
      <w:r w:rsidRPr="00136AF4">
        <w:rPr>
          <w:rFonts w:ascii="Arial" w:hAnsi="Arial" w:cs="Arial"/>
          <w:sz w:val="20"/>
        </w:rPr>
        <w:t xml:space="preserve"> (2016) 260 CLR 500 at 521 [51]; </w:t>
      </w:r>
      <w:r w:rsidRPr="00B85CFD">
        <w:rPr>
          <w:rFonts w:ascii="Arial" w:hAnsi="Arial" w:cs="Arial"/>
          <w:i/>
          <w:iCs/>
          <w:sz w:val="20"/>
        </w:rPr>
        <w:t>Bitannia Pty Ltd v Parkline Constructions Pty Ltd</w:t>
      </w:r>
      <w:r w:rsidRPr="00136AF4">
        <w:rPr>
          <w:rFonts w:ascii="Arial" w:hAnsi="Arial" w:cs="Arial"/>
          <w:sz w:val="20"/>
        </w:rPr>
        <w:t xml:space="preserve"> [2006] NSWCA 238, [115]; </w:t>
      </w:r>
      <w:r w:rsidRPr="00B85CFD">
        <w:rPr>
          <w:rFonts w:ascii="Arial" w:hAnsi="Arial" w:cs="Arial"/>
          <w:i/>
          <w:iCs/>
          <w:sz w:val="20"/>
        </w:rPr>
        <w:t>Façade Treatment Engineering Pty Ltd (in liq) v Brookfield Multiplex Constructions Pty Ltd</w:t>
      </w:r>
      <w:r w:rsidRPr="00136AF4">
        <w:rPr>
          <w:rFonts w:ascii="Arial" w:hAnsi="Arial" w:cs="Arial"/>
          <w:sz w:val="20"/>
        </w:rPr>
        <w:t xml:space="preserve"> [2016] ) 337 ALR 452, 462 [41].</w:t>
      </w:r>
    </w:p>
    <w:p w14:paraId="769593A6" w14:textId="71E93C9F" w:rsidR="00B85CFD" w:rsidRDefault="00B85CFD" w:rsidP="00B85CFD">
      <w:pPr>
        <w:spacing w:before="60"/>
        <w:ind w:left="1321" w:right="567" w:hanging="357"/>
        <w:jc w:val="both"/>
        <w:rPr>
          <w:rFonts w:ascii="Arial" w:hAnsi="Arial" w:cs="Arial"/>
          <w:sz w:val="20"/>
        </w:rPr>
      </w:pPr>
      <w:r>
        <w:rPr>
          <w:rFonts w:ascii="Arial" w:hAnsi="Arial" w:cs="Arial"/>
          <w:sz w:val="20"/>
        </w:rPr>
        <w:t>(c)</w:t>
      </w:r>
      <w:r>
        <w:rPr>
          <w:rFonts w:ascii="Arial" w:hAnsi="Arial" w:cs="Arial"/>
          <w:sz w:val="20"/>
        </w:rPr>
        <w:tab/>
      </w:r>
      <w:r w:rsidRPr="00136AF4">
        <w:rPr>
          <w:rFonts w:ascii="Arial" w:hAnsi="Arial" w:cs="Arial"/>
          <w:sz w:val="20"/>
        </w:rPr>
        <w:t>Another way of characterising direct inconsistency is where the State law takes away, varies or impairs the enjoyment of rights created by the Commonwealth law</w:t>
      </w:r>
      <w:r>
        <w:rPr>
          <w:rFonts w:ascii="Arial" w:hAnsi="Arial" w:cs="Arial"/>
          <w:sz w:val="20"/>
        </w:rPr>
        <w:t xml:space="preserve">: </w:t>
      </w:r>
      <w:r w:rsidRPr="00B85CFD">
        <w:rPr>
          <w:rFonts w:ascii="Arial" w:hAnsi="Arial" w:cs="Arial"/>
          <w:i/>
          <w:iCs/>
          <w:sz w:val="20"/>
        </w:rPr>
        <w:t>Clyde Engineering Co Ltd v Cowburn</w:t>
      </w:r>
      <w:r w:rsidRPr="00136AF4">
        <w:rPr>
          <w:rFonts w:ascii="Arial" w:hAnsi="Arial" w:cs="Arial"/>
          <w:sz w:val="20"/>
        </w:rPr>
        <w:t xml:space="preserve"> (1926) 37 CLR 466, 478; </w:t>
      </w:r>
      <w:r w:rsidRPr="00B85CFD">
        <w:rPr>
          <w:rFonts w:ascii="Arial" w:hAnsi="Arial" w:cs="Arial"/>
          <w:i/>
          <w:iCs/>
          <w:sz w:val="20"/>
        </w:rPr>
        <w:t>Telstra Corporation Ltd v Worthing</w:t>
      </w:r>
      <w:r w:rsidRPr="00136AF4">
        <w:rPr>
          <w:rFonts w:ascii="Arial" w:hAnsi="Arial" w:cs="Arial"/>
          <w:sz w:val="20"/>
        </w:rPr>
        <w:t xml:space="preserve"> (1999) 197 CLR 61 at 78 [32]. See also </w:t>
      </w:r>
      <w:r w:rsidRPr="00B85CFD">
        <w:rPr>
          <w:rFonts w:ascii="Arial" w:hAnsi="Arial" w:cs="Arial"/>
          <w:i/>
          <w:iCs/>
          <w:sz w:val="20"/>
        </w:rPr>
        <w:t>Stock Motor Ploughs Ltd v Forsyth</w:t>
      </w:r>
      <w:r w:rsidRPr="00136AF4">
        <w:rPr>
          <w:rFonts w:ascii="Arial" w:hAnsi="Arial" w:cs="Arial"/>
          <w:sz w:val="20"/>
        </w:rPr>
        <w:t xml:space="preserve"> (1932) 48 CLR 128, 136 (where Dixon J said a law that would “</w:t>
      </w:r>
      <w:r w:rsidRPr="00B85CFD">
        <w:rPr>
          <w:rFonts w:ascii="Arial" w:hAnsi="Arial" w:cs="Arial"/>
          <w:i/>
          <w:iCs/>
          <w:sz w:val="20"/>
        </w:rPr>
        <w:t>impair the enjoyment of</w:t>
      </w:r>
      <w:r w:rsidRPr="00136AF4">
        <w:rPr>
          <w:rFonts w:ascii="Arial" w:hAnsi="Arial" w:cs="Arial"/>
          <w:sz w:val="20"/>
        </w:rPr>
        <w:t xml:space="preserve">” a right created by Commonwealth legislation would be invalid); </w:t>
      </w:r>
      <w:r w:rsidRPr="00B85CFD">
        <w:rPr>
          <w:rFonts w:ascii="Arial" w:hAnsi="Arial" w:cs="Arial"/>
          <w:i/>
          <w:iCs/>
          <w:sz w:val="20"/>
        </w:rPr>
        <w:t>Dao v Australian Postal Commission</w:t>
      </w:r>
      <w:r w:rsidRPr="00136AF4">
        <w:rPr>
          <w:rFonts w:ascii="Arial" w:hAnsi="Arial" w:cs="Arial"/>
          <w:sz w:val="20"/>
        </w:rPr>
        <w:t xml:space="preserve"> (1987) 162</w:t>
      </w:r>
      <w:r>
        <w:rPr>
          <w:rFonts w:ascii="Arial" w:hAnsi="Arial" w:cs="Arial"/>
          <w:sz w:val="20"/>
        </w:rPr>
        <w:t xml:space="preserve"> </w:t>
      </w:r>
      <w:r w:rsidRPr="00B85CFD">
        <w:rPr>
          <w:rFonts w:ascii="Arial" w:hAnsi="Arial" w:cs="Arial"/>
          <w:sz w:val="20"/>
        </w:rPr>
        <w:t xml:space="preserve">CLR 317, 335; </w:t>
      </w:r>
      <w:r w:rsidRPr="00B85CFD">
        <w:rPr>
          <w:rFonts w:ascii="Arial" w:hAnsi="Arial" w:cs="Arial"/>
          <w:i/>
          <w:iCs/>
          <w:sz w:val="20"/>
        </w:rPr>
        <w:t>Western Australia v Ward</w:t>
      </w:r>
      <w:r w:rsidRPr="00B85CFD">
        <w:rPr>
          <w:rFonts w:ascii="Arial" w:hAnsi="Arial" w:cs="Arial"/>
          <w:sz w:val="20"/>
        </w:rPr>
        <w:t xml:space="preserve"> (2002) 213 CLR 1, 288 [667]-[668].</w:t>
      </w:r>
      <w:r>
        <w:rPr>
          <w:rFonts w:ascii="Arial" w:hAnsi="Arial" w:cs="Arial"/>
          <w:sz w:val="20"/>
        </w:rPr>
        <w:t>”</w:t>
      </w:r>
    </w:p>
    <w:p w14:paraId="54E503B1" w14:textId="77777777" w:rsidR="00136AF4" w:rsidRDefault="00136AF4" w:rsidP="00641166">
      <w:pPr>
        <w:jc w:val="both"/>
        <w:rPr>
          <w:rFonts w:ascii="Arial" w:hAnsi="Arial" w:cs="Arial"/>
          <w:sz w:val="20"/>
        </w:rPr>
      </w:pPr>
    </w:p>
    <w:p w14:paraId="6B94D085" w14:textId="1140F13A" w:rsidR="00AA1ABD" w:rsidRDefault="00AA1ABD" w:rsidP="00641166">
      <w:pPr>
        <w:jc w:val="both"/>
        <w:rPr>
          <w:rFonts w:ascii="Arial" w:hAnsi="Arial" w:cs="Arial"/>
          <w:sz w:val="20"/>
        </w:rPr>
      </w:pPr>
      <w:bookmarkStart w:id="913" w:name="_Hlk202161676"/>
      <w:r>
        <w:rPr>
          <w:rFonts w:ascii="Arial" w:hAnsi="Arial" w:cs="Arial"/>
          <w:sz w:val="20"/>
        </w:rPr>
        <w:t xml:space="preserve">As to the use of extrinsic materials </w:t>
      </w:r>
      <w:r w:rsidR="000631D5">
        <w:rPr>
          <w:rFonts w:ascii="Arial" w:hAnsi="Arial" w:cs="Arial"/>
          <w:sz w:val="20"/>
        </w:rPr>
        <w:t xml:space="preserve">in construing Commonwealth legislation – and in particular the operation of s.15AA of the </w:t>
      </w:r>
      <w:r w:rsidR="000631D5" w:rsidRPr="000631D5">
        <w:rPr>
          <w:rFonts w:ascii="Arial" w:hAnsi="Arial" w:cs="Arial"/>
          <w:i/>
          <w:iCs/>
          <w:sz w:val="20"/>
        </w:rPr>
        <w:t>Acts Interpretation Act 1901</w:t>
      </w:r>
      <w:r w:rsidR="000631D5">
        <w:rPr>
          <w:rFonts w:ascii="Arial" w:hAnsi="Arial" w:cs="Arial"/>
          <w:sz w:val="20"/>
        </w:rPr>
        <w:t xml:space="preserve"> (Cth) – see the judgment of Gordon J in </w:t>
      </w:r>
      <w:bookmarkStart w:id="914" w:name="_Hlk202161568"/>
      <w:r w:rsidR="000631D5" w:rsidRPr="000631D5">
        <w:rPr>
          <w:rFonts w:ascii="Arial" w:hAnsi="Arial" w:cs="Arial"/>
          <w:i/>
          <w:iCs/>
          <w:sz w:val="20"/>
        </w:rPr>
        <w:t>Ravbar v Commonwealth of Australia</w:t>
      </w:r>
      <w:r w:rsidR="000631D5" w:rsidRPr="000631D5">
        <w:rPr>
          <w:rFonts w:ascii="Arial" w:hAnsi="Arial" w:cs="Arial"/>
          <w:sz w:val="20"/>
        </w:rPr>
        <w:t xml:space="preserve"> [2025] HCA 25</w:t>
      </w:r>
      <w:r w:rsidR="000631D5">
        <w:rPr>
          <w:rFonts w:ascii="Arial" w:hAnsi="Arial" w:cs="Arial"/>
          <w:sz w:val="20"/>
        </w:rPr>
        <w:t xml:space="preserve"> at [118]-[121]</w:t>
      </w:r>
      <w:bookmarkEnd w:id="914"/>
      <w:r w:rsidR="000631D5">
        <w:rPr>
          <w:rFonts w:ascii="Arial" w:hAnsi="Arial" w:cs="Arial"/>
          <w:sz w:val="20"/>
        </w:rPr>
        <w:t>.</w:t>
      </w:r>
      <w:bookmarkEnd w:id="913"/>
    </w:p>
    <w:p w14:paraId="456D7886" w14:textId="77777777" w:rsidR="00AA1ABD" w:rsidRDefault="00AA1ABD" w:rsidP="00641166">
      <w:pPr>
        <w:jc w:val="both"/>
        <w:rPr>
          <w:rFonts w:ascii="Arial" w:hAnsi="Arial" w:cs="Arial"/>
          <w:sz w:val="20"/>
        </w:rPr>
      </w:pPr>
    </w:p>
    <w:bookmarkEnd w:id="912"/>
    <w:p w14:paraId="61552351" w14:textId="77777777" w:rsidR="00641166" w:rsidRPr="00836E86" w:rsidRDefault="00641166" w:rsidP="00641166">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1A38BC0F" w14:textId="0D19FEE0" w:rsidR="00641166" w:rsidRPr="00836E86" w:rsidRDefault="00641166" w:rsidP="00641166">
      <w:pPr>
        <w:rPr>
          <w:rFonts w:ascii="Arial" w:hAnsi="Arial" w:cs="Arial"/>
          <w:sz w:val="20"/>
        </w:rPr>
      </w:pPr>
    </w:p>
    <w:p w14:paraId="0D9358EE" w14:textId="6056BB09" w:rsidR="00641166" w:rsidRPr="00836E86" w:rsidRDefault="00641166" w:rsidP="00641166">
      <w:pPr>
        <w:pStyle w:val="ListParagraph"/>
        <w:numPr>
          <w:ilvl w:val="0"/>
          <w:numId w:val="79"/>
        </w:numPr>
        <w:rPr>
          <w:rFonts w:ascii="Arial" w:hAnsi="Arial" w:cs="Arial"/>
          <w:sz w:val="20"/>
        </w:rPr>
      </w:pPr>
      <w:r w:rsidRPr="00836E86">
        <w:rPr>
          <w:rFonts w:ascii="Arial" w:hAnsi="Arial" w:cs="Arial"/>
          <w:sz w:val="20"/>
        </w:rPr>
        <w:br w:type="page"/>
      </w:r>
    </w:p>
    <w:p w14:paraId="094FEADD" w14:textId="69747584" w:rsidR="00B21DA4" w:rsidRDefault="00B21DA4" w:rsidP="00F661C5">
      <w:pPr>
        <w:pStyle w:val="Heading2"/>
        <w:keepNext/>
        <w:keepLines/>
        <w:widowControl/>
        <w:tabs>
          <w:tab w:val="left" w:pos="567"/>
        </w:tabs>
        <w:spacing w:line="240" w:lineRule="auto"/>
        <w:rPr>
          <w:rFonts w:ascii="Arial" w:hAnsi="Arial" w:cs="Arial"/>
          <w:b/>
          <w:bCs/>
        </w:rPr>
      </w:pPr>
      <w:bookmarkStart w:id="915" w:name="_3.7_Judgments_-"/>
      <w:bookmarkStart w:id="916" w:name="B37"/>
      <w:bookmarkEnd w:id="915"/>
      <w:r>
        <w:rPr>
          <w:rFonts w:ascii="Arial" w:hAnsi="Arial" w:cs="Arial"/>
          <w:b/>
          <w:bCs/>
        </w:rPr>
        <w:lastRenderedPageBreak/>
        <w:t>3.</w:t>
      </w:r>
      <w:r w:rsidR="00AB3569">
        <w:rPr>
          <w:rFonts w:ascii="Arial" w:hAnsi="Arial" w:cs="Arial"/>
          <w:b/>
          <w:bCs/>
        </w:rPr>
        <w:t>7</w:t>
      </w:r>
      <w:r>
        <w:rPr>
          <w:rFonts w:ascii="Arial" w:hAnsi="Arial" w:cs="Arial"/>
          <w:b/>
          <w:bCs/>
        </w:rPr>
        <w:tab/>
        <w:t>Judgments</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r w:rsidR="00A01EEC">
        <w:rPr>
          <w:rFonts w:ascii="Arial" w:hAnsi="Arial" w:cs="Arial"/>
          <w:b/>
          <w:bCs/>
        </w:rPr>
        <w:t xml:space="preserve"> &amp; Orders</w:t>
      </w:r>
      <w:bookmarkEnd w:id="906"/>
    </w:p>
    <w:bookmarkEnd w:id="916"/>
    <w:p w14:paraId="59F1C633" w14:textId="77777777" w:rsidR="00B21DA4" w:rsidRDefault="00B21DA4" w:rsidP="00F661C5">
      <w:pPr>
        <w:keepNext/>
        <w:keepLines/>
        <w:jc w:val="both"/>
        <w:rPr>
          <w:rFonts w:ascii="Arial" w:hAnsi="Arial" w:cs="Arial"/>
          <w:sz w:val="20"/>
        </w:rPr>
      </w:pPr>
    </w:p>
    <w:p w14:paraId="2B4D68EC" w14:textId="7C2BF4E5" w:rsidR="00B21DA4" w:rsidRDefault="00B21DA4" w:rsidP="00F661C5">
      <w:pPr>
        <w:pStyle w:val="Heading3"/>
        <w:keepNext/>
        <w:keepLines/>
        <w:widowControl/>
        <w:spacing w:after="120" w:line="240" w:lineRule="auto"/>
        <w:rPr>
          <w:rFonts w:ascii="Arial" w:hAnsi="Arial" w:cs="Arial"/>
          <w:b/>
          <w:bCs/>
          <w:sz w:val="20"/>
        </w:rPr>
      </w:pPr>
      <w:bookmarkStart w:id="917" w:name="_3.7.1_Explanation_&amp;"/>
      <w:bookmarkStart w:id="918" w:name="B371"/>
      <w:bookmarkStart w:id="919" w:name="_Toc30652642"/>
      <w:bookmarkStart w:id="920" w:name="_Toc30652740"/>
      <w:bookmarkStart w:id="921" w:name="_Toc30654085"/>
      <w:bookmarkStart w:id="922" w:name="_Toc30654436"/>
      <w:bookmarkStart w:id="923" w:name="_Toc30655055"/>
      <w:bookmarkStart w:id="924" w:name="_Toc30655312"/>
      <w:bookmarkStart w:id="925" w:name="_Toc30656990"/>
      <w:bookmarkStart w:id="926" w:name="_Toc30661739"/>
      <w:bookmarkStart w:id="927" w:name="_Toc30666427"/>
      <w:bookmarkStart w:id="928" w:name="_Toc30666657"/>
      <w:bookmarkStart w:id="929" w:name="_Toc30667832"/>
      <w:bookmarkStart w:id="930" w:name="_Toc30669210"/>
      <w:bookmarkStart w:id="931" w:name="_Toc30671426"/>
      <w:bookmarkStart w:id="932" w:name="_Toc30673953"/>
      <w:bookmarkStart w:id="933" w:name="_Toc30691175"/>
      <w:bookmarkStart w:id="934" w:name="_Toc30691546"/>
      <w:bookmarkStart w:id="935" w:name="_Toc30691926"/>
      <w:bookmarkStart w:id="936" w:name="_Toc30692685"/>
      <w:bookmarkStart w:id="937" w:name="_Toc30693064"/>
      <w:bookmarkStart w:id="938" w:name="_Toc30693442"/>
      <w:bookmarkStart w:id="939" w:name="_Toc30693821"/>
      <w:bookmarkStart w:id="940" w:name="_Toc30694202"/>
      <w:bookmarkStart w:id="941" w:name="_Toc30698791"/>
      <w:bookmarkStart w:id="942" w:name="_Toc30699169"/>
      <w:bookmarkStart w:id="943" w:name="_Toc30699554"/>
      <w:bookmarkStart w:id="944" w:name="_Toc30700709"/>
      <w:bookmarkStart w:id="945" w:name="_Toc30701096"/>
      <w:bookmarkStart w:id="946" w:name="_Toc30743705"/>
      <w:bookmarkStart w:id="947" w:name="_Toc30754527"/>
      <w:bookmarkStart w:id="948" w:name="_Toc30756967"/>
      <w:bookmarkStart w:id="949" w:name="_Toc30757516"/>
      <w:bookmarkStart w:id="950" w:name="_Toc30757916"/>
      <w:bookmarkStart w:id="951" w:name="_Toc30762677"/>
      <w:bookmarkStart w:id="952" w:name="_Toc30767331"/>
      <w:bookmarkStart w:id="953" w:name="_Toc34823347"/>
      <w:bookmarkStart w:id="954" w:name="_Toc58831508"/>
      <w:bookmarkEnd w:id="917"/>
      <w:bookmarkEnd w:id="918"/>
      <w:r>
        <w:rPr>
          <w:rFonts w:ascii="Arial" w:hAnsi="Arial" w:cs="Arial"/>
          <w:b/>
          <w:bCs/>
          <w:sz w:val="20"/>
        </w:rPr>
        <w:t>3.</w:t>
      </w:r>
      <w:r w:rsidR="00AB3569">
        <w:rPr>
          <w:rFonts w:ascii="Arial" w:hAnsi="Arial" w:cs="Arial"/>
          <w:b/>
          <w:bCs/>
          <w:sz w:val="20"/>
        </w:rPr>
        <w:t>7</w:t>
      </w:r>
      <w:r>
        <w:rPr>
          <w:rFonts w:ascii="Arial" w:hAnsi="Arial" w:cs="Arial"/>
          <w:b/>
          <w:bCs/>
          <w:sz w:val="20"/>
        </w:rPr>
        <w:t>.1</w:t>
      </w:r>
      <w:r>
        <w:rPr>
          <w:rFonts w:ascii="Arial" w:hAnsi="Arial" w:cs="Arial"/>
          <w:b/>
          <w:bCs/>
          <w:sz w:val="20"/>
        </w:rPr>
        <w:tab/>
        <w:t>Explanation</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r w:rsidR="00F44596">
        <w:rPr>
          <w:rFonts w:ascii="Arial" w:hAnsi="Arial" w:cs="Arial"/>
          <w:b/>
          <w:bCs/>
          <w:sz w:val="20"/>
        </w:rPr>
        <w:t xml:space="preserve"> </w:t>
      </w:r>
      <w:r w:rsidR="00A01EEC">
        <w:rPr>
          <w:rFonts w:ascii="Arial" w:hAnsi="Arial" w:cs="Arial"/>
          <w:b/>
          <w:bCs/>
          <w:sz w:val="20"/>
        </w:rPr>
        <w:t>of and r</w:t>
      </w:r>
      <w:r w:rsidR="00F44596">
        <w:rPr>
          <w:rFonts w:ascii="Arial" w:hAnsi="Arial" w:cs="Arial"/>
          <w:b/>
          <w:bCs/>
          <w:sz w:val="20"/>
        </w:rPr>
        <w:t>easons</w:t>
      </w:r>
      <w:r w:rsidR="00A01EEC">
        <w:rPr>
          <w:rFonts w:ascii="Arial" w:hAnsi="Arial" w:cs="Arial"/>
          <w:b/>
          <w:bCs/>
          <w:sz w:val="20"/>
        </w:rPr>
        <w:t xml:space="preserve"> for orders</w:t>
      </w:r>
    </w:p>
    <w:p w14:paraId="53BEE9C5" w14:textId="77777777" w:rsidR="00B21DA4" w:rsidRDefault="00B21DA4">
      <w:pPr>
        <w:jc w:val="both"/>
        <w:rPr>
          <w:rFonts w:ascii="Arial" w:hAnsi="Arial" w:cs="Arial"/>
          <w:sz w:val="20"/>
        </w:rPr>
      </w:pPr>
      <w:r>
        <w:rPr>
          <w:rFonts w:ascii="Arial" w:hAnsi="Arial" w:cs="Arial"/>
          <w:sz w:val="20"/>
        </w:rPr>
        <w:t>If the Court makes an order, it must explain the meaning and effect of the order as plainly and simply as possible and in a way which it considers the child, the parents and the other parties to the proceeding will understand [CY</w:t>
      </w:r>
      <w:r w:rsidR="00A46B94">
        <w:rPr>
          <w:rFonts w:ascii="Arial" w:hAnsi="Arial" w:cs="Arial"/>
          <w:sz w:val="20"/>
        </w:rPr>
        <w:t>F</w:t>
      </w:r>
      <w:r>
        <w:rPr>
          <w:rFonts w:ascii="Arial" w:hAnsi="Arial" w:cs="Arial"/>
          <w:sz w:val="20"/>
        </w:rPr>
        <w:t>A, s.</w:t>
      </w:r>
      <w:r w:rsidR="00A46B94">
        <w:rPr>
          <w:rFonts w:ascii="Arial" w:hAnsi="Arial" w:cs="Arial"/>
          <w:sz w:val="20"/>
        </w:rPr>
        <w:t>527</w:t>
      </w:r>
      <w:r>
        <w:rPr>
          <w:rFonts w:ascii="Arial" w:hAnsi="Arial" w:cs="Arial"/>
          <w:sz w:val="20"/>
        </w:rPr>
        <w:t>(1)].  The explanation must be given through an interpreter in the circumstances set out in s.</w:t>
      </w:r>
      <w:r w:rsidR="00A46B94">
        <w:rPr>
          <w:rFonts w:ascii="Arial" w:hAnsi="Arial" w:cs="Arial"/>
          <w:sz w:val="20"/>
        </w:rPr>
        <w:t>527</w:t>
      </w:r>
      <w:r>
        <w:rPr>
          <w:rFonts w:ascii="Arial" w:hAnsi="Arial" w:cs="Arial"/>
          <w:sz w:val="20"/>
        </w:rPr>
        <w:t>(2).</w:t>
      </w:r>
    </w:p>
    <w:p w14:paraId="71CB8AA9" w14:textId="77777777" w:rsidR="00697117" w:rsidRPr="000B509C" w:rsidRDefault="00697117" w:rsidP="00697117">
      <w:pPr>
        <w:jc w:val="both"/>
        <w:rPr>
          <w:rFonts w:ascii="Arial" w:hAnsi="Arial" w:cs="Arial"/>
          <w:sz w:val="20"/>
        </w:rPr>
      </w:pPr>
    </w:p>
    <w:p w14:paraId="28937A52" w14:textId="77777777" w:rsidR="00697117" w:rsidRDefault="00697117" w:rsidP="00697117">
      <w:pPr>
        <w:jc w:val="both"/>
        <w:rPr>
          <w:rFonts w:ascii="Arial" w:hAnsi="Arial" w:cs="Arial"/>
          <w:sz w:val="20"/>
        </w:rPr>
      </w:pPr>
      <w:r>
        <w:rPr>
          <w:rFonts w:ascii="Arial" w:hAnsi="Arial" w:cs="Arial"/>
          <w:sz w:val="20"/>
        </w:rPr>
        <w:t>Neither the explanation given of an order nor the statement of reasons for an order is part of the order [s.527(10)].  The explanation given of an order is not part of the reasons for the order [s.527(11)].</w:t>
      </w:r>
    </w:p>
    <w:p w14:paraId="3CC85842" w14:textId="77777777" w:rsidR="00697117" w:rsidRDefault="00697117" w:rsidP="00697117">
      <w:pPr>
        <w:jc w:val="both"/>
        <w:rPr>
          <w:rFonts w:ascii="Arial" w:hAnsi="Arial" w:cs="Arial"/>
          <w:sz w:val="20"/>
        </w:rPr>
      </w:pPr>
    </w:p>
    <w:p w14:paraId="6CEEA5DA" w14:textId="77777777" w:rsidR="00697117" w:rsidRDefault="00697117" w:rsidP="00697117">
      <w:pPr>
        <w:jc w:val="both"/>
        <w:rPr>
          <w:rFonts w:ascii="Arial" w:hAnsi="Arial" w:cs="Arial"/>
          <w:sz w:val="20"/>
        </w:rPr>
      </w:pPr>
      <w:r>
        <w:rPr>
          <w:rFonts w:ascii="Arial" w:hAnsi="Arial" w:cs="Arial"/>
          <w:sz w:val="20"/>
        </w:rPr>
        <w:t>Section 527(12) of the CYFA provides that an order made by the Court in a proceeding is not invalidated by, nor liable to be challenged, appealed against, reviewed, set aside, quashed or called in question in any court on account of the failure of the Children’s Court to comply with a provision of s.527 in the proceeding.</w:t>
      </w:r>
    </w:p>
    <w:p w14:paraId="075F7D65" w14:textId="77777777" w:rsidR="00697117" w:rsidRDefault="00697117">
      <w:pPr>
        <w:jc w:val="both"/>
        <w:rPr>
          <w:rFonts w:ascii="Arial" w:hAnsi="Arial" w:cs="Arial"/>
          <w:sz w:val="20"/>
        </w:rPr>
      </w:pPr>
    </w:p>
    <w:p w14:paraId="069A0B1C" w14:textId="31CEC070" w:rsidR="00534D65" w:rsidRDefault="00084D11">
      <w:pPr>
        <w:jc w:val="both"/>
        <w:rPr>
          <w:rFonts w:ascii="Arial" w:hAnsi="Arial" w:cs="Arial"/>
          <w:sz w:val="20"/>
        </w:rPr>
      </w:pPr>
      <w:r>
        <w:rPr>
          <w:rFonts w:ascii="Arial" w:hAnsi="Arial" w:cs="Arial"/>
          <w:sz w:val="20"/>
        </w:rPr>
        <w:t xml:space="preserve">An outstanding example of an explanation of an order in a way in which the child will understand is to be found </w:t>
      </w:r>
      <w:r w:rsidR="00ED6E06">
        <w:rPr>
          <w:rFonts w:ascii="Arial" w:hAnsi="Arial" w:cs="Arial"/>
          <w:sz w:val="20"/>
        </w:rPr>
        <w:t>in</w:t>
      </w:r>
      <w:r w:rsidR="00243264">
        <w:rPr>
          <w:rFonts w:ascii="Arial" w:hAnsi="Arial" w:cs="Arial"/>
          <w:sz w:val="20"/>
        </w:rPr>
        <w:t xml:space="preserve"> Appendix One </w:t>
      </w:r>
      <w:r w:rsidR="00ED6E06">
        <w:rPr>
          <w:rFonts w:ascii="Arial" w:hAnsi="Arial" w:cs="Arial"/>
          <w:sz w:val="20"/>
        </w:rPr>
        <w:t>to</w:t>
      </w:r>
      <w:r>
        <w:rPr>
          <w:rFonts w:ascii="Arial" w:hAnsi="Arial" w:cs="Arial"/>
          <w:sz w:val="20"/>
        </w:rPr>
        <w:t xml:space="preserve"> the </w:t>
      </w:r>
      <w:r w:rsidR="00ED6E06">
        <w:rPr>
          <w:rFonts w:ascii="Arial" w:hAnsi="Arial" w:cs="Arial"/>
          <w:sz w:val="20"/>
        </w:rPr>
        <w:t xml:space="preserve">judgment of Recorder McKendrick </w:t>
      </w:r>
      <w:r w:rsidR="005F6D4A">
        <w:rPr>
          <w:rFonts w:ascii="Arial" w:hAnsi="Arial" w:cs="Arial"/>
          <w:sz w:val="20"/>
        </w:rPr>
        <w:t>Q</w:t>
      </w:r>
      <w:r w:rsidR="00ED6E06">
        <w:rPr>
          <w:rFonts w:ascii="Arial" w:hAnsi="Arial" w:cs="Arial"/>
          <w:sz w:val="20"/>
        </w:rPr>
        <w:t xml:space="preserve">C in the </w:t>
      </w:r>
      <w:r>
        <w:rPr>
          <w:rFonts w:ascii="Arial" w:hAnsi="Arial" w:cs="Arial"/>
          <w:sz w:val="20"/>
        </w:rPr>
        <w:t xml:space="preserve">English Family Law case of </w:t>
      </w:r>
      <w:r w:rsidR="00243264" w:rsidRPr="00243264">
        <w:rPr>
          <w:rFonts w:ascii="Arial" w:hAnsi="Arial" w:cs="Arial"/>
          <w:i/>
          <w:iCs/>
          <w:sz w:val="20"/>
        </w:rPr>
        <w:t>Ms D v Mr D</w:t>
      </w:r>
      <w:r w:rsidR="00243264">
        <w:rPr>
          <w:rFonts w:ascii="Arial" w:hAnsi="Arial" w:cs="Arial"/>
          <w:sz w:val="20"/>
        </w:rPr>
        <w:t xml:space="preserve"> [2022] EWFC 164.  </w:t>
      </w:r>
      <w:r w:rsidR="00280E46">
        <w:rPr>
          <w:rFonts w:ascii="Arial" w:hAnsi="Arial" w:cs="Arial"/>
          <w:sz w:val="20"/>
        </w:rPr>
        <w:t xml:space="preserve">The case </w:t>
      </w:r>
      <w:r w:rsidR="008716F2">
        <w:rPr>
          <w:rFonts w:ascii="Arial" w:hAnsi="Arial" w:cs="Arial"/>
          <w:sz w:val="20"/>
        </w:rPr>
        <w:t xml:space="preserve">primarily </w:t>
      </w:r>
      <w:r w:rsidR="00280E46">
        <w:rPr>
          <w:rFonts w:ascii="Arial" w:hAnsi="Arial" w:cs="Arial"/>
          <w:sz w:val="20"/>
        </w:rPr>
        <w:t xml:space="preserve">involved an application by the mother to replace shared-care orders made in March 2018 by sole care orders for two brothers A &amp; B, aged 11 &amp; 8 respectively.  </w:t>
      </w:r>
      <w:r w:rsidR="00534D65">
        <w:rPr>
          <w:rFonts w:ascii="Arial" w:hAnsi="Arial" w:cs="Arial"/>
          <w:sz w:val="20"/>
        </w:rPr>
        <w:t xml:space="preserve">In </w:t>
      </w:r>
      <w:r w:rsidR="00F661C5">
        <w:rPr>
          <w:rFonts w:ascii="Arial" w:hAnsi="Arial" w:cs="Arial"/>
          <w:sz w:val="20"/>
        </w:rPr>
        <w:t>refus</w:t>
      </w:r>
      <w:r w:rsidR="00534D65">
        <w:rPr>
          <w:rFonts w:ascii="Arial" w:hAnsi="Arial" w:cs="Arial"/>
          <w:sz w:val="20"/>
        </w:rPr>
        <w:t xml:space="preserve">ing the </w:t>
      </w:r>
      <w:r w:rsidR="00F661C5">
        <w:rPr>
          <w:rFonts w:ascii="Arial" w:hAnsi="Arial" w:cs="Arial"/>
          <w:sz w:val="20"/>
        </w:rPr>
        <w:t xml:space="preserve">mother’s </w:t>
      </w:r>
      <w:r w:rsidR="00534D65">
        <w:rPr>
          <w:rFonts w:ascii="Arial" w:hAnsi="Arial" w:cs="Arial"/>
          <w:sz w:val="20"/>
        </w:rPr>
        <w:t xml:space="preserve">application </w:t>
      </w:r>
      <w:r w:rsidR="00F661C5">
        <w:rPr>
          <w:rFonts w:ascii="Arial" w:hAnsi="Arial" w:cs="Arial"/>
          <w:sz w:val="20"/>
        </w:rPr>
        <w:t xml:space="preserve">for relocation </w:t>
      </w:r>
      <w:r w:rsidR="00534D65">
        <w:rPr>
          <w:rFonts w:ascii="Arial" w:hAnsi="Arial" w:cs="Arial"/>
          <w:sz w:val="20"/>
        </w:rPr>
        <w:t>his Honour said at [</w:t>
      </w:r>
      <w:r w:rsidR="008716F2">
        <w:rPr>
          <w:rFonts w:ascii="Arial" w:hAnsi="Arial" w:cs="Arial"/>
          <w:sz w:val="20"/>
        </w:rPr>
        <w:t>7</w:t>
      </w:r>
      <w:r w:rsidR="00534D65">
        <w:rPr>
          <w:rFonts w:ascii="Arial" w:hAnsi="Arial" w:cs="Arial"/>
          <w:sz w:val="20"/>
        </w:rPr>
        <w:t>]</w:t>
      </w:r>
      <w:r w:rsidR="008716F2">
        <w:rPr>
          <w:rFonts w:ascii="Arial" w:hAnsi="Arial" w:cs="Arial"/>
          <w:sz w:val="20"/>
        </w:rPr>
        <w:t>, [55]</w:t>
      </w:r>
      <w:r w:rsidR="00534D65">
        <w:rPr>
          <w:rFonts w:ascii="Arial" w:hAnsi="Arial" w:cs="Arial"/>
          <w:sz w:val="20"/>
        </w:rPr>
        <w:t xml:space="preserve"> &amp; [63]:</w:t>
      </w:r>
    </w:p>
    <w:p w14:paraId="292DEDA4" w14:textId="524BCBBC" w:rsidR="00534D65" w:rsidRDefault="00534D65" w:rsidP="00534D65">
      <w:pPr>
        <w:spacing w:before="120"/>
        <w:ind w:left="567" w:right="567"/>
        <w:jc w:val="both"/>
        <w:rPr>
          <w:rFonts w:ascii="Arial" w:hAnsi="Arial" w:cs="Arial"/>
          <w:sz w:val="20"/>
          <w:szCs w:val="20"/>
        </w:rPr>
      </w:pPr>
      <w:r>
        <w:rPr>
          <w:rFonts w:ascii="Arial" w:hAnsi="Arial" w:cs="Arial"/>
          <w:sz w:val="20"/>
          <w:szCs w:val="20"/>
        </w:rPr>
        <w:t>[</w:t>
      </w:r>
      <w:r w:rsidR="008716F2">
        <w:rPr>
          <w:rFonts w:ascii="Arial" w:hAnsi="Arial" w:cs="Arial"/>
          <w:sz w:val="20"/>
          <w:szCs w:val="20"/>
        </w:rPr>
        <w:t>7</w:t>
      </w:r>
      <w:r>
        <w:rPr>
          <w:rFonts w:ascii="Arial" w:hAnsi="Arial" w:cs="Arial"/>
          <w:sz w:val="20"/>
          <w:szCs w:val="20"/>
        </w:rPr>
        <w:t>] “</w:t>
      </w:r>
      <w:r w:rsidR="008716F2">
        <w:rPr>
          <w:rFonts w:ascii="Arial" w:hAnsi="Arial" w:cs="Arial"/>
          <w:sz w:val="20"/>
          <w:szCs w:val="20"/>
        </w:rPr>
        <w:t>…</w:t>
      </w:r>
      <w:r w:rsidRPr="00534D65">
        <w:rPr>
          <w:rFonts w:ascii="Arial" w:hAnsi="Arial" w:cs="Arial"/>
          <w:sz w:val="20"/>
          <w:szCs w:val="20"/>
        </w:rPr>
        <w:t xml:space="preserve">Both Ms D and Mr D need to stand back and appreciate their boys are well cared for by both parents. From everything I have read, they are generally happy, healthy, well-educated and content boys. As I set out below, if they have </w:t>
      </w:r>
      <w:proofErr w:type="gramStart"/>
      <w:r w:rsidRPr="00534D65">
        <w:rPr>
          <w:rFonts w:ascii="Arial" w:hAnsi="Arial" w:cs="Arial"/>
          <w:sz w:val="20"/>
          <w:szCs w:val="20"/>
        </w:rPr>
        <w:t>frustrations</w:t>
      </w:r>
      <w:proofErr w:type="gramEnd"/>
      <w:r w:rsidRPr="00534D65">
        <w:rPr>
          <w:rFonts w:ascii="Arial" w:hAnsi="Arial" w:cs="Arial"/>
          <w:sz w:val="20"/>
          <w:szCs w:val="20"/>
        </w:rPr>
        <w:t xml:space="preserve"> it is with their parents and their poor relationship which at times is negatively visited on the boys’ wellbeing, to their detriment.</w:t>
      </w:r>
      <w:r>
        <w:rPr>
          <w:rFonts w:ascii="Arial" w:hAnsi="Arial" w:cs="Arial"/>
          <w:sz w:val="20"/>
          <w:szCs w:val="20"/>
        </w:rPr>
        <w:t>”</w:t>
      </w:r>
    </w:p>
    <w:p w14:paraId="07351FC7" w14:textId="2A2178FE" w:rsidR="008716F2" w:rsidRDefault="008716F2" w:rsidP="00534D65">
      <w:pPr>
        <w:spacing w:before="120"/>
        <w:ind w:left="567" w:right="567"/>
        <w:jc w:val="both"/>
        <w:rPr>
          <w:rFonts w:ascii="Arial" w:hAnsi="Arial" w:cs="Arial"/>
          <w:sz w:val="20"/>
          <w:szCs w:val="20"/>
        </w:rPr>
      </w:pPr>
      <w:r>
        <w:rPr>
          <w:rFonts w:ascii="Arial" w:hAnsi="Arial" w:cs="Arial"/>
          <w:sz w:val="20"/>
          <w:szCs w:val="20"/>
        </w:rPr>
        <w:t xml:space="preserve">[55] </w:t>
      </w:r>
      <w:r w:rsidR="007374B2">
        <w:rPr>
          <w:rFonts w:ascii="Arial" w:hAnsi="Arial" w:cs="Arial"/>
          <w:sz w:val="20"/>
          <w:szCs w:val="20"/>
        </w:rPr>
        <w:t>“</w:t>
      </w:r>
      <w:r w:rsidRPr="008716F2">
        <w:rPr>
          <w:rFonts w:ascii="Arial" w:hAnsi="Arial" w:cs="Arial"/>
          <w:sz w:val="20"/>
          <w:szCs w:val="20"/>
        </w:rPr>
        <w:t>I do not doubt that A and B have expressed the view that they want to move to Somerset. I consider, however, that they have been subject to quite significant influencing both from what their mother has told them and also by her actions. There has also been some influencing from Mr D</w:t>
      </w:r>
      <w:r>
        <w:rPr>
          <w:rFonts w:ascii="Arial" w:hAnsi="Arial" w:cs="Arial"/>
          <w:sz w:val="20"/>
          <w:szCs w:val="20"/>
        </w:rPr>
        <w:t>…”</w:t>
      </w:r>
    </w:p>
    <w:p w14:paraId="4DD442FB" w14:textId="54824BAD" w:rsidR="00534D65" w:rsidRDefault="00534D65" w:rsidP="00534D65">
      <w:pPr>
        <w:spacing w:before="120"/>
        <w:ind w:left="567" w:right="567"/>
        <w:jc w:val="both"/>
        <w:rPr>
          <w:rFonts w:ascii="Arial" w:hAnsi="Arial" w:cs="Arial"/>
          <w:sz w:val="20"/>
          <w:szCs w:val="20"/>
        </w:rPr>
      </w:pPr>
      <w:r>
        <w:rPr>
          <w:rFonts w:ascii="Arial" w:hAnsi="Arial" w:cs="Arial"/>
          <w:sz w:val="20"/>
          <w:szCs w:val="20"/>
        </w:rPr>
        <w:t>[63] “</w:t>
      </w:r>
      <w:r w:rsidRPr="00534D65">
        <w:rPr>
          <w:rFonts w:ascii="Arial" w:hAnsi="Arial" w:cs="Arial"/>
          <w:sz w:val="20"/>
          <w:szCs w:val="20"/>
        </w:rPr>
        <w:t>I end by urging Mr D and Ms D to work together for A and B to improve their communication with each other to accept this decision made for A and B to ensure the co-parenting the boys</w:t>
      </w:r>
      <w:r w:rsidR="00DA0CC8">
        <w:rPr>
          <w:rFonts w:ascii="Arial" w:hAnsi="Arial" w:cs="Arial"/>
          <w:sz w:val="20"/>
          <w:szCs w:val="20"/>
        </w:rPr>
        <w:t>’</w:t>
      </w:r>
      <w:r w:rsidRPr="00534D65">
        <w:rPr>
          <w:rFonts w:ascii="Arial" w:hAnsi="Arial" w:cs="Arial"/>
          <w:sz w:val="20"/>
          <w:szCs w:val="20"/>
        </w:rPr>
        <w:t xml:space="preserve"> needs is a success for them. A and B are fortunate to have parents with so much to offer each of them.</w:t>
      </w:r>
      <w:r>
        <w:rPr>
          <w:rFonts w:ascii="Arial" w:hAnsi="Arial" w:cs="Arial"/>
          <w:sz w:val="20"/>
          <w:szCs w:val="20"/>
        </w:rPr>
        <w:t>”</w:t>
      </w:r>
    </w:p>
    <w:p w14:paraId="31C6A8E2" w14:textId="592210A4" w:rsidR="00084D11" w:rsidRDefault="00280E46" w:rsidP="008716F2">
      <w:pPr>
        <w:spacing w:before="120"/>
        <w:jc w:val="both"/>
        <w:rPr>
          <w:rFonts w:ascii="Arial" w:hAnsi="Arial" w:cs="Arial"/>
          <w:sz w:val="20"/>
        </w:rPr>
      </w:pPr>
      <w:r>
        <w:rPr>
          <w:rFonts w:ascii="Arial" w:hAnsi="Arial" w:cs="Arial"/>
          <w:sz w:val="20"/>
        </w:rPr>
        <w:t xml:space="preserve">Appendix One </w:t>
      </w:r>
      <w:r w:rsidR="00243264">
        <w:rPr>
          <w:rFonts w:ascii="Arial" w:hAnsi="Arial" w:cs="Arial"/>
          <w:sz w:val="20"/>
        </w:rPr>
        <w:t xml:space="preserve">contains a letter dated 30 August 2022 which </w:t>
      </w:r>
      <w:r w:rsidR="00534D65">
        <w:rPr>
          <w:rFonts w:ascii="Arial" w:hAnsi="Arial" w:cs="Arial"/>
          <w:sz w:val="20"/>
        </w:rPr>
        <w:t xml:space="preserve">his Honour </w:t>
      </w:r>
      <w:r w:rsidR="005B24B9">
        <w:rPr>
          <w:rFonts w:ascii="Arial" w:hAnsi="Arial" w:cs="Arial"/>
          <w:sz w:val="20"/>
        </w:rPr>
        <w:t>wrote</w:t>
      </w:r>
      <w:r w:rsidR="00243264">
        <w:rPr>
          <w:rFonts w:ascii="Arial" w:hAnsi="Arial" w:cs="Arial"/>
          <w:sz w:val="20"/>
        </w:rPr>
        <w:t xml:space="preserve"> to the two boys</w:t>
      </w:r>
      <w:r>
        <w:rPr>
          <w:rFonts w:ascii="Arial" w:hAnsi="Arial" w:cs="Arial"/>
          <w:sz w:val="20"/>
        </w:rPr>
        <w:t>:</w:t>
      </w:r>
    </w:p>
    <w:p w14:paraId="6CDFE510" w14:textId="47486045"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Dear [A] and [B],</w:t>
      </w:r>
    </w:p>
    <w:p w14:paraId="3FD443A4" w14:textId="5228D65E"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My name is John and I am a judge. I met your Mum and Dad at court in London last week. Your </w:t>
      </w:r>
      <w:r w:rsidR="00E07800">
        <w:rPr>
          <w:rFonts w:ascii="Arial" w:hAnsi="Arial" w:cs="Arial"/>
          <w:sz w:val="20"/>
          <w:szCs w:val="20"/>
        </w:rPr>
        <w:t>M</w:t>
      </w:r>
      <w:r w:rsidRPr="00243264">
        <w:rPr>
          <w:rFonts w:ascii="Arial" w:hAnsi="Arial" w:cs="Arial"/>
          <w:sz w:val="20"/>
          <w:szCs w:val="20"/>
        </w:rPr>
        <w:t xml:space="preserve">um and </w:t>
      </w:r>
      <w:r w:rsidR="00E07800">
        <w:rPr>
          <w:rFonts w:ascii="Arial" w:hAnsi="Arial" w:cs="Arial"/>
          <w:sz w:val="20"/>
          <w:szCs w:val="20"/>
        </w:rPr>
        <w:t>D</w:t>
      </w:r>
      <w:r w:rsidRPr="00243264">
        <w:rPr>
          <w:rFonts w:ascii="Arial" w:hAnsi="Arial" w:cs="Arial"/>
          <w:sz w:val="20"/>
          <w:szCs w:val="20"/>
        </w:rPr>
        <w:t>ad have asked me to make decisions for you both about where you should live.</w:t>
      </w:r>
    </w:p>
    <w:p w14:paraId="56B75EE6" w14:textId="4D33CC82"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Your Mum asked me to decide that you should both come and live with her in Somerset and see your Dad only every second weekend and at holidays. Mum wants you to go to schools in Somerset.</w:t>
      </w:r>
    </w:p>
    <w:p w14:paraId="0C13E1FA" w14:textId="77777777"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Your Dad asked me to decide that things should stay as they are. That you spend one week with him and the other week with your Mum in London. Dad wants you to go to schools in London.</w:t>
      </w:r>
    </w:p>
    <w:p w14:paraId="125992E8" w14:textId="77777777"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I think you met a lady called Shelley in July and you told her what you wanted. She told me you both liked the idea of living with your Mum in Somerset. Shelley spoke to me as well last week.</w:t>
      </w:r>
    </w:p>
    <w:p w14:paraId="2BE942E1" w14:textId="77777777"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I hope you both understand that I have made the decision and not your Mum or your Dad. Judges sometimes have to make decisions when parents cannot agree.</w:t>
      </w:r>
    </w:p>
    <w:p w14:paraId="4EE74669" w14:textId="2D203BBF"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I have decided you should both continue to live in London with one week in the care of your Dad and then one week in the care of your mum.</w:t>
      </w:r>
      <w:r>
        <w:rPr>
          <w:rFonts w:ascii="Arial" w:hAnsi="Arial" w:cs="Arial"/>
          <w:sz w:val="20"/>
          <w:szCs w:val="20"/>
        </w:rPr>
        <w:t xml:space="preserve">  </w:t>
      </w:r>
      <w:r w:rsidRPr="00243264">
        <w:rPr>
          <w:rFonts w:ascii="Arial" w:hAnsi="Arial" w:cs="Arial"/>
          <w:sz w:val="20"/>
          <w:szCs w:val="20"/>
        </w:rPr>
        <w:t>This means you will both go to school in London from next week. I have decided you should have nice holidays in Somerset and I will speak with your Mum and Dad again to sort that out.</w:t>
      </w:r>
    </w:p>
    <w:p w14:paraId="5C595483" w14:textId="5048F1CF"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I have made this decision after considering who you both are, what you both need and things like your education, happiness and your welfare. I have decided you need each other </w:t>
      </w:r>
      <w:r w:rsidRPr="00243264">
        <w:rPr>
          <w:rFonts w:ascii="Arial" w:hAnsi="Arial" w:cs="Arial"/>
          <w:sz w:val="20"/>
          <w:szCs w:val="20"/>
        </w:rPr>
        <w:lastRenderedPageBreak/>
        <w:t>– I think you are good brothers to each other. I also think you need to spend time with your Mum and with your Dad. They both need to play an important role in caring for you. I was worried your Dad might not have a full and proper role in your lives if you lived in Somerset. Looking at all these things in the round I felt this was the best decision for you both, although of course I considered what you both wanted.</w:t>
      </w:r>
    </w:p>
    <w:p w14:paraId="60717FDD" w14:textId="5C397C63"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I have also asked your Mum and Dad to behave a bit better. I know you both find the arguing that happens between them difficult. Although it is a naughty word, [A], you are right to describe it to Shelley as </w:t>
      </w:r>
      <w:r w:rsidR="008716F2">
        <w:rPr>
          <w:rFonts w:ascii="Arial" w:hAnsi="Arial" w:cs="Arial"/>
          <w:sz w:val="20"/>
          <w:szCs w:val="20"/>
        </w:rPr>
        <w:t>‘</w:t>
      </w:r>
      <w:r w:rsidRPr="00243264">
        <w:rPr>
          <w:rFonts w:ascii="Arial" w:hAnsi="Arial" w:cs="Arial"/>
          <w:sz w:val="20"/>
          <w:szCs w:val="20"/>
        </w:rPr>
        <w:t>crap</w:t>
      </w:r>
      <w:r w:rsidR="008716F2">
        <w:rPr>
          <w:rFonts w:ascii="Arial" w:hAnsi="Arial" w:cs="Arial"/>
          <w:sz w:val="20"/>
          <w:szCs w:val="20"/>
        </w:rPr>
        <w:t>’</w:t>
      </w:r>
      <w:r w:rsidRPr="00243264">
        <w:rPr>
          <w:rFonts w:ascii="Arial" w:hAnsi="Arial" w:cs="Arial"/>
          <w:sz w:val="20"/>
          <w:szCs w:val="20"/>
        </w:rPr>
        <w:t>.</w:t>
      </w:r>
    </w:p>
    <w:p w14:paraId="2905F227" w14:textId="69873E02"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I have told your parents to stop </w:t>
      </w:r>
      <w:r w:rsidR="008716F2">
        <w:rPr>
          <w:rFonts w:ascii="Arial" w:hAnsi="Arial" w:cs="Arial"/>
          <w:sz w:val="20"/>
          <w:szCs w:val="20"/>
        </w:rPr>
        <w:t>‘</w:t>
      </w:r>
      <w:r w:rsidRPr="00243264">
        <w:rPr>
          <w:rFonts w:ascii="Arial" w:hAnsi="Arial" w:cs="Arial"/>
          <w:sz w:val="20"/>
          <w:szCs w:val="20"/>
        </w:rPr>
        <w:t>the crap</w:t>
      </w:r>
      <w:r w:rsidR="008716F2">
        <w:rPr>
          <w:rFonts w:ascii="Arial" w:hAnsi="Arial" w:cs="Arial"/>
          <w:sz w:val="20"/>
          <w:szCs w:val="20"/>
        </w:rPr>
        <w:t>’</w:t>
      </w:r>
      <w:r w:rsidRPr="00243264">
        <w:rPr>
          <w:rFonts w:ascii="Arial" w:hAnsi="Arial" w:cs="Arial"/>
          <w:sz w:val="20"/>
          <w:szCs w:val="20"/>
        </w:rPr>
        <w:t>. I hope you can both settle down with the new school term with week about with Mum and Dad in your London homes. I hope you will enjoy nice holidays in Somerset. I wish you both good luck.</w:t>
      </w:r>
    </w:p>
    <w:p w14:paraId="4483867E" w14:textId="577C66FE" w:rsidR="00243264" w:rsidRP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Judge John</w:t>
      </w:r>
      <w:r>
        <w:rPr>
          <w:rFonts w:ascii="Arial" w:hAnsi="Arial" w:cs="Arial"/>
          <w:sz w:val="20"/>
          <w:szCs w:val="20"/>
        </w:rPr>
        <w:t>”</w:t>
      </w:r>
    </w:p>
    <w:p w14:paraId="2A2E6156" w14:textId="77777777" w:rsidR="000B509C" w:rsidRDefault="000B509C">
      <w:pPr>
        <w:jc w:val="both"/>
        <w:rPr>
          <w:rFonts w:ascii="Arial" w:hAnsi="Arial" w:cs="Arial"/>
          <w:sz w:val="20"/>
        </w:rPr>
      </w:pPr>
      <w:bookmarkStart w:id="955" w:name="_Hlk192072288"/>
    </w:p>
    <w:p w14:paraId="66142A43" w14:textId="084B0FFD" w:rsidR="00956431" w:rsidRPr="000E21E7" w:rsidRDefault="00956431" w:rsidP="00956431">
      <w:pPr>
        <w:jc w:val="both"/>
        <w:rPr>
          <w:rFonts w:ascii="Arial" w:hAnsi="Arial" w:cs="Arial"/>
          <w:sz w:val="20"/>
        </w:rPr>
      </w:pPr>
      <w:r>
        <w:rPr>
          <w:rFonts w:ascii="Arial" w:hAnsi="Arial" w:cs="Arial"/>
          <w:sz w:val="20"/>
        </w:rPr>
        <w:t xml:space="preserve">A document published </w:t>
      </w:r>
      <w:r w:rsidR="005A2535">
        <w:rPr>
          <w:rFonts w:ascii="Arial" w:hAnsi="Arial" w:cs="Arial"/>
          <w:sz w:val="20"/>
        </w:rPr>
        <w:t xml:space="preserve">jointly </w:t>
      </w:r>
      <w:r>
        <w:rPr>
          <w:rFonts w:ascii="Arial" w:hAnsi="Arial" w:cs="Arial"/>
          <w:sz w:val="20"/>
        </w:rPr>
        <w:t>by the President of the U</w:t>
      </w:r>
      <w:r w:rsidR="005A2535">
        <w:rPr>
          <w:rFonts w:ascii="Arial" w:hAnsi="Arial" w:cs="Arial"/>
          <w:sz w:val="20"/>
        </w:rPr>
        <w:t xml:space="preserve">nited </w:t>
      </w:r>
      <w:r>
        <w:rPr>
          <w:rFonts w:ascii="Arial" w:hAnsi="Arial" w:cs="Arial"/>
          <w:sz w:val="20"/>
        </w:rPr>
        <w:t>K</w:t>
      </w:r>
      <w:r w:rsidR="005A2535">
        <w:rPr>
          <w:rFonts w:ascii="Arial" w:hAnsi="Arial" w:cs="Arial"/>
          <w:sz w:val="20"/>
        </w:rPr>
        <w:t>ingdom</w:t>
      </w:r>
      <w:r>
        <w:rPr>
          <w:rFonts w:ascii="Arial" w:hAnsi="Arial" w:cs="Arial"/>
          <w:sz w:val="20"/>
        </w:rPr>
        <w:t xml:space="preserve"> Family Division </w:t>
      </w:r>
      <w:r w:rsidR="005A2535">
        <w:rPr>
          <w:rFonts w:ascii="Arial" w:hAnsi="Arial" w:cs="Arial"/>
          <w:sz w:val="20"/>
        </w:rPr>
        <w:t xml:space="preserve">and the United Kingdom </w:t>
      </w:r>
      <w:r w:rsidR="005A2535" w:rsidRPr="005A2535">
        <w:rPr>
          <w:rFonts w:ascii="Arial" w:hAnsi="Arial" w:cs="Arial"/>
          <w:sz w:val="20"/>
        </w:rPr>
        <w:t>Family Justice Young People’s Board</w:t>
      </w:r>
      <w:r w:rsidR="005A2535">
        <w:rPr>
          <w:rFonts w:ascii="Arial" w:hAnsi="Arial" w:cs="Arial"/>
          <w:sz w:val="20"/>
        </w:rPr>
        <w:t xml:space="preserve"> </w:t>
      </w:r>
      <w:r>
        <w:rPr>
          <w:rFonts w:ascii="Arial" w:hAnsi="Arial" w:cs="Arial"/>
          <w:sz w:val="20"/>
        </w:rPr>
        <w:t xml:space="preserve">on 26/02/2025 providing guidance on </w:t>
      </w:r>
      <w:r w:rsidR="000E21E7">
        <w:rPr>
          <w:rFonts w:ascii="Arial" w:hAnsi="Arial" w:cs="Arial"/>
          <w:sz w:val="20"/>
        </w:rPr>
        <w:t>‘when, why and how’ to write to children in family court proceedings</w:t>
      </w:r>
      <w:r>
        <w:rPr>
          <w:rFonts w:ascii="Arial" w:hAnsi="Arial" w:cs="Arial"/>
          <w:sz w:val="20"/>
        </w:rPr>
        <w:t xml:space="preserve"> can be downloaded by clicking </w:t>
      </w:r>
      <w:hyperlink r:id="rId51" w:tgtFrame="_blank" w:history="1">
        <w:r w:rsidRPr="000E21E7">
          <w:rPr>
            <w:rStyle w:val="Hyperlink"/>
            <w:rFonts w:ascii="Arial" w:hAnsi="Arial" w:cs="Arial"/>
            <w:sz w:val="20"/>
          </w:rPr>
          <w:t>here</w:t>
        </w:r>
      </w:hyperlink>
      <w:r>
        <w:rPr>
          <w:rFonts w:ascii="Arial" w:hAnsi="Arial" w:cs="Arial"/>
          <w:sz w:val="20"/>
        </w:rPr>
        <w:t>.</w:t>
      </w:r>
    </w:p>
    <w:bookmarkEnd w:id="955"/>
    <w:p w14:paraId="058190B1" w14:textId="77777777" w:rsidR="000E21E7" w:rsidRDefault="000E21E7">
      <w:pPr>
        <w:jc w:val="both"/>
        <w:rPr>
          <w:rFonts w:ascii="Arial" w:hAnsi="Arial" w:cs="Arial"/>
          <w:sz w:val="20"/>
        </w:rPr>
      </w:pPr>
    </w:p>
    <w:p w14:paraId="67962181" w14:textId="71355BC6" w:rsidR="00C43FFB" w:rsidRDefault="00C43FFB">
      <w:pPr>
        <w:jc w:val="both"/>
        <w:rPr>
          <w:rFonts w:ascii="Arial" w:hAnsi="Arial" w:cs="Arial"/>
          <w:sz w:val="20"/>
        </w:rPr>
      </w:pPr>
      <w:r>
        <w:rPr>
          <w:rFonts w:ascii="Arial" w:hAnsi="Arial" w:cs="Arial"/>
          <w:sz w:val="20"/>
        </w:rPr>
        <w:t xml:space="preserve">A further example of a letter written by a judge to a child is to be found in </w:t>
      </w:r>
      <w:hyperlink r:id="rId52" w:history="1">
        <w:r w:rsidRPr="00027ADD">
          <w:rPr>
            <w:rStyle w:val="Hyperlink"/>
            <w:rFonts w:ascii="Arial" w:hAnsi="Arial" w:cs="Arial"/>
            <w:i/>
            <w:iCs/>
            <w:sz w:val="20"/>
          </w:rPr>
          <w:t>PAR v SJF</w:t>
        </w:r>
      </w:hyperlink>
      <w:r>
        <w:rPr>
          <w:rFonts w:ascii="Arial" w:hAnsi="Arial" w:cs="Arial"/>
          <w:sz w:val="20"/>
        </w:rPr>
        <w:t xml:space="preserve"> [2025] NZHC 2148. The primary issue on </w:t>
      </w:r>
      <w:r w:rsidR="00CE2600">
        <w:rPr>
          <w:rFonts w:ascii="Arial" w:hAnsi="Arial" w:cs="Arial"/>
          <w:sz w:val="20"/>
        </w:rPr>
        <w:t xml:space="preserve">the </w:t>
      </w:r>
      <w:r>
        <w:rPr>
          <w:rFonts w:ascii="Arial" w:hAnsi="Arial" w:cs="Arial"/>
          <w:sz w:val="20"/>
        </w:rPr>
        <w:t xml:space="preserve">appeal was whether the boy’s voice was properly taken into account </w:t>
      </w:r>
      <w:r w:rsidR="00725F31">
        <w:rPr>
          <w:rFonts w:ascii="Arial" w:hAnsi="Arial" w:cs="Arial"/>
          <w:sz w:val="20"/>
        </w:rPr>
        <w:t>by</w:t>
      </w:r>
      <w:r>
        <w:rPr>
          <w:rFonts w:ascii="Arial" w:hAnsi="Arial" w:cs="Arial"/>
          <w:sz w:val="20"/>
        </w:rPr>
        <w:t xml:space="preserve"> the Family Court </w:t>
      </w:r>
      <w:r w:rsidR="00725F31">
        <w:rPr>
          <w:rFonts w:ascii="Arial" w:hAnsi="Arial" w:cs="Arial"/>
          <w:sz w:val="20"/>
        </w:rPr>
        <w:t xml:space="preserve">in making an interim parenting </w:t>
      </w:r>
      <w:r>
        <w:rPr>
          <w:rFonts w:ascii="Arial" w:hAnsi="Arial" w:cs="Arial"/>
          <w:sz w:val="20"/>
        </w:rPr>
        <w:t>order that he live overseas with his father and his other two siblings. The boy now clearly expressed the view that he want</w:t>
      </w:r>
      <w:r w:rsidR="00725F31">
        <w:rPr>
          <w:rFonts w:ascii="Arial" w:hAnsi="Arial" w:cs="Arial"/>
          <w:sz w:val="20"/>
        </w:rPr>
        <w:t>ed</w:t>
      </w:r>
      <w:r>
        <w:rPr>
          <w:rFonts w:ascii="Arial" w:hAnsi="Arial" w:cs="Arial"/>
          <w:sz w:val="20"/>
        </w:rPr>
        <w:t xml:space="preserve"> to live in New Zealand. It was eventually agreed by the parties that the boy would live in </w:t>
      </w:r>
      <w:r w:rsidR="00725F31">
        <w:rPr>
          <w:rFonts w:ascii="Arial" w:hAnsi="Arial" w:cs="Arial"/>
          <w:sz w:val="20"/>
        </w:rPr>
        <w:t>N</w:t>
      </w:r>
      <w:r>
        <w:rPr>
          <w:rFonts w:ascii="Arial" w:hAnsi="Arial" w:cs="Arial"/>
          <w:sz w:val="20"/>
        </w:rPr>
        <w:t xml:space="preserve">ew </w:t>
      </w:r>
      <w:r w:rsidR="00725F31">
        <w:rPr>
          <w:rFonts w:ascii="Arial" w:hAnsi="Arial" w:cs="Arial"/>
          <w:sz w:val="20"/>
        </w:rPr>
        <w:t>Zealand until the final resolution of the parenting matters. No agreement on some of the details being reached, Justice Becroft made the ultimate decision and recorded his judgment in the form of a letter to the 14½ year old boy whom his Honour had met prior to the hearing commencing.</w:t>
      </w:r>
    </w:p>
    <w:p w14:paraId="39662160" w14:textId="77777777" w:rsidR="00C43FFB" w:rsidRDefault="00C43FFB">
      <w:pPr>
        <w:jc w:val="both"/>
        <w:rPr>
          <w:rFonts w:ascii="Arial" w:hAnsi="Arial" w:cs="Arial"/>
          <w:sz w:val="20"/>
        </w:rPr>
      </w:pPr>
    </w:p>
    <w:p w14:paraId="3186FA49" w14:textId="70649CCD" w:rsidR="00D052F1" w:rsidRDefault="00D052F1" w:rsidP="00D60FE0">
      <w:pPr>
        <w:pStyle w:val="Heading3"/>
        <w:keepNext/>
        <w:keepLines/>
        <w:widowControl/>
        <w:spacing w:after="120" w:line="240" w:lineRule="auto"/>
        <w:rPr>
          <w:rFonts w:ascii="Arial" w:hAnsi="Arial" w:cs="Arial"/>
          <w:b/>
          <w:bCs/>
          <w:sz w:val="20"/>
        </w:rPr>
      </w:pPr>
      <w:bookmarkStart w:id="956" w:name="_3.7.2_Provision_of"/>
      <w:bookmarkEnd w:id="956"/>
      <w:r>
        <w:rPr>
          <w:rFonts w:ascii="Arial" w:hAnsi="Arial" w:cs="Arial"/>
          <w:b/>
          <w:bCs/>
          <w:sz w:val="20"/>
        </w:rPr>
        <w:t>3.7.2</w:t>
      </w:r>
      <w:r>
        <w:rPr>
          <w:rFonts w:ascii="Arial" w:hAnsi="Arial" w:cs="Arial"/>
          <w:b/>
          <w:bCs/>
          <w:sz w:val="20"/>
        </w:rPr>
        <w:tab/>
        <w:t>Provision of orders to parties</w:t>
      </w:r>
    </w:p>
    <w:p w14:paraId="02A39120" w14:textId="333DAF89" w:rsidR="00D052F1" w:rsidRDefault="00E07800" w:rsidP="00D60FE0">
      <w:pPr>
        <w:jc w:val="both"/>
        <w:rPr>
          <w:rFonts w:ascii="Arial" w:hAnsi="Arial" w:cs="Arial"/>
          <w:sz w:val="20"/>
        </w:rPr>
      </w:pPr>
      <w:r>
        <w:rPr>
          <w:rFonts w:ascii="Arial" w:hAnsi="Arial" w:cs="Arial"/>
          <w:sz w:val="20"/>
        </w:rPr>
        <w:t>Section 527(3) of the CYFA provides:</w:t>
      </w:r>
    </w:p>
    <w:p w14:paraId="47B13B7E" w14:textId="6083E34C" w:rsidR="00E07800" w:rsidRDefault="00E07800" w:rsidP="00E07800">
      <w:pPr>
        <w:spacing w:before="60"/>
        <w:ind w:left="567" w:right="567"/>
        <w:jc w:val="both"/>
        <w:rPr>
          <w:rFonts w:ascii="Arial" w:hAnsi="Arial" w:cs="Arial"/>
          <w:sz w:val="20"/>
        </w:rPr>
      </w:pPr>
      <w:r>
        <w:rPr>
          <w:rFonts w:ascii="Arial" w:hAnsi="Arial" w:cs="Arial"/>
          <w:sz w:val="20"/>
        </w:rPr>
        <w:t>“Immediately after the Court makes an order [referred to in s.527(4)], the Court must provide a written copy of the order in the prescribed form to–</w:t>
      </w:r>
    </w:p>
    <w:p w14:paraId="3EB3D438" w14:textId="3DBE50C8" w:rsidR="00E07800" w:rsidRDefault="00E07800">
      <w:pPr>
        <w:pStyle w:val="ListParagraph"/>
        <w:numPr>
          <w:ilvl w:val="0"/>
          <w:numId w:val="106"/>
        </w:numPr>
        <w:ind w:right="567"/>
        <w:jc w:val="both"/>
        <w:rPr>
          <w:rFonts w:ascii="Arial" w:hAnsi="Arial" w:cs="Arial"/>
          <w:sz w:val="20"/>
        </w:rPr>
      </w:pPr>
      <w:r>
        <w:rPr>
          <w:rFonts w:ascii="Arial" w:hAnsi="Arial" w:cs="Arial"/>
          <w:sz w:val="20"/>
        </w:rPr>
        <w:t>the child; and</w:t>
      </w:r>
    </w:p>
    <w:p w14:paraId="0DAF33A1" w14:textId="52124F51" w:rsidR="00E07800" w:rsidRPr="00E07800" w:rsidRDefault="00E07800">
      <w:pPr>
        <w:pStyle w:val="ListParagraph"/>
        <w:numPr>
          <w:ilvl w:val="0"/>
          <w:numId w:val="106"/>
        </w:numPr>
        <w:ind w:right="567"/>
        <w:jc w:val="both"/>
        <w:rPr>
          <w:rFonts w:ascii="Arial" w:hAnsi="Arial" w:cs="Arial"/>
          <w:sz w:val="20"/>
        </w:rPr>
      </w:pPr>
      <w:r>
        <w:rPr>
          <w:rFonts w:ascii="Arial" w:hAnsi="Arial" w:cs="Arial"/>
          <w:sz w:val="20"/>
        </w:rPr>
        <w:t>if the order is [an order described in paragraphs (a)-(j) of s.527(4)] made by the Family Division–</w:t>
      </w:r>
    </w:p>
    <w:p w14:paraId="429283CF" w14:textId="2E70DD20" w:rsidR="00E07800" w:rsidRDefault="00E07800" w:rsidP="00E07800">
      <w:pPr>
        <w:ind w:left="1378" w:right="567" w:hanging="454"/>
        <w:jc w:val="both"/>
        <w:rPr>
          <w:rFonts w:ascii="Arial" w:hAnsi="Arial" w:cs="Arial"/>
          <w:sz w:val="20"/>
        </w:rPr>
      </w:pPr>
      <w:r>
        <w:rPr>
          <w:rFonts w:ascii="Arial" w:hAnsi="Arial" w:cs="Arial"/>
          <w:sz w:val="20"/>
        </w:rPr>
        <w:t>(i)</w:t>
      </w:r>
      <w:r>
        <w:rPr>
          <w:rFonts w:ascii="Arial" w:hAnsi="Arial" w:cs="Arial"/>
          <w:sz w:val="20"/>
        </w:rPr>
        <w:tab/>
        <w:t>unless the Court otherwise orders, the child’s parents; and</w:t>
      </w:r>
    </w:p>
    <w:p w14:paraId="3ADFDCB5" w14:textId="69A75D11" w:rsidR="00E07800" w:rsidRDefault="00E07800" w:rsidP="00E07800">
      <w:pPr>
        <w:ind w:left="1378" w:right="567" w:hanging="454"/>
        <w:jc w:val="both"/>
        <w:rPr>
          <w:rFonts w:ascii="Arial" w:hAnsi="Arial" w:cs="Arial"/>
          <w:sz w:val="20"/>
        </w:rPr>
      </w:pPr>
      <w:r>
        <w:rPr>
          <w:rFonts w:ascii="Arial" w:hAnsi="Arial" w:cs="Arial"/>
          <w:sz w:val="20"/>
        </w:rPr>
        <w:t>(ii)</w:t>
      </w:r>
      <w:r>
        <w:rPr>
          <w:rFonts w:ascii="Arial" w:hAnsi="Arial" w:cs="Arial"/>
          <w:sz w:val="20"/>
        </w:rPr>
        <w:tab/>
        <w:t>if the Court so orders, any other person with whom the child is living; and</w:t>
      </w:r>
    </w:p>
    <w:p w14:paraId="2460878A" w14:textId="7FF97D2D" w:rsidR="00E07800" w:rsidRPr="00E07800" w:rsidRDefault="00E07800">
      <w:pPr>
        <w:pStyle w:val="ListParagraph"/>
        <w:numPr>
          <w:ilvl w:val="0"/>
          <w:numId w:val="106"/>
        </w:numPr>
        <w:ind w:right="567"/>
        <w:jc w:val="both"/>
        <w:rPr>
          <w:rFonts w:ascii="Arial" w:hAnsi="Arial" w:cs="Arial"/>
          <w:sz w:val="20"/>
        </w:rPr>
      </w:pPr>
      <w:r>
        <w:rPr>
          <w:rFonts w:ascii="Arial" w:hAnsi="Arial" w:cs="Arial"/>
          <w:sz w:val="20"/>
        </w:rPr>
        <w:t>if the order is [an order described in paragraphs (k)-</w:t>
      </w:r>
      <w:r w:rsidR="00B63511">
        <w:rPr>
          <w:rFonts w:ascii="Arial" w:hAnsi="Arial" w:cs="Arial"/>
          <w:sz w:val="20"/>
        </w:rPr>
        <w:t>(n) of s.527(4)] made by the Criminal Division–</w:t>
      </w:r>
    </w:p>
    <w:p w14:paraId="755FF779" w14:textId="21750C8C" w:rsidR="00B63511" w:rsidRDefault="00B63511" w:rsidP="00B63511">
      <w:pPr>
        <w:ind w:left="1378" w:right="567" w:hanging="454"/>
        <w:jc w:val="both"/>
        <w:rPr>
          <w:rFonts w:ascii="Arial" w:hAnsi="Arial" w:cs="Arial"/>
          <w:sz w:val="20"/>
        </w:rPr>
      </w:pPr>
      <w:r>
        <w:rPr>
          <w:rFonts w:ascii="Arial" w:hAnsi="Arial" w:cs="Arial"/>
          <w:sz w:val="20"/>
        </w:rPr>
        <w:t>(i)</w:t>
      </w:r>
      <w:r>
        <w:rPr>
          <w:rFonts w:ascii="Arial" w:hAnsi="Arial" w:cs="Arial"/>
          <w:sz w:val="20"/>
        </w:rPr>
        <w:tab/>
        <w:t>unless the Court otherwise orders, the child’s parents if the child is under the age of 15 years; or</w:t>
      </w:r>
    </w:p>
    <w:p w14:paraId="7DA5DC08" w14:textId="1E9DEFC1" w:rsidR="00B63511" w:rsidRDefault="00B63511" w:rsidP="00B63511">
      <w:pPr>
        <w:ind w:left="1378" w:right="567" w:hanging="454"/>
        <w:jc w:val="both"/>
        <w:rPr>
          <w:rFonts w:ascii="Arial" w:hAnsi="Arial" w:cs="Arial"/>
          <w:sz w:val="20"/>
        </w:rPr>
      </w:pPr>
      <w:r>
        <w:rPr>
          <w:rFonts w:ascii="Arial" w:hAnsi="Arial" w:cs="Arial"/>
          <w:sz w:val="20"/>
        </w:rPr>
        <w:t>(ii)</w:t>
      </w:r>
      <w:r>
        <w:rPr>
          <w:rFonts w:ascii="Arial" w:hAnsi="Arial" w:cs="Arial"/>
          <w:sz w:val="20"/>
        </w:rPr>
        <w:tab/>
        <w:t>if the Court so orders, the child’s parents if the child is of or above the age of 15 years; and</w:t>
      </w:r>
    </w:p>
    <w:p w14:paraId="0BA991D3" w14:textId="54A8FFCE" w:rsidR="00B63511" w:rsidRPr="00E07800" w:rsidRDefault="00B63511">
      <w:pPr>
        <w:pStyle w:val="ListParagraph"/>
        <w:numPr>
          <w:ilvl w:val="0"/>
          <w:numId w:val="106"/>
        </w:numPr>
        <w:ind w:right="567"/>
        <w:jc w:val="both"/>
        <w:rPr>
          <w:rFonts w:ascii="Arial" w:hAnsi="Arial" w:cs="Arial"/>
          <w:sz w:val="20"/>
        </w:rPr>
      </w:pPr>
      <w:r>
        <w:rPr>
          <w:rFonts w:ascii="Arial" w:hAnsi="Arial" w:cs="Arial"/>
          <w:sz w:val="20"/>
        </w:rPr>
        <w:t>the Secretary [or the principal officer of an authorised Aboriginal agency], in appropriate cases; and</w:t>
      </w:r>
    </w:p>
    <w:p w14:paraId="0F67660E" w14:textId="4D521FB0" w:rsidR="00B63511" w:rsidRPr="00E07800" w:rsidRDefault="00B63511">
      <w:pPr>
        <w:pStyle w:val="ListParagraph"/>
        <w:numPr>
          <w:ilvl w:val="0"/>
          <w:numId w:val="106"/>
        </w:numPr>
        <w:ind w:right="567"/>
        <w:jc w:val="both"/>
        <w:rPr>
          <w:rFonts w:ascii="Arial" w:hAnsi="Arial" w:cs="Arial"/>
          <w:sz w:val="20"/>
        </w:rPr>
      </w:pPr>
      <w:r>
        <w:rPr>
          <w:rFonts w:ascii="Arial" w:hAnsi="Arial" w:cs="Arial"/>
          <w:sz w:val="20"/>
        </w:rPr>
        <w:t>in the case of a permanent care order, the person who has, or persons who have, been granted parental responsibility under the order.”</w:t>
      </w:r>
    </w:p>
    <w:p w14:paraId="773A3746" w14:textId="62967941" w:rsidR="00B63511" w:rsidRDefault="00B63511">
      <w:pPr>
        <w:jc w:val="both"/>
        <w:rPr>
          <w:rFonts w:ascii="Arial" w:hAnsi="Arial" w:cs="Arial"/>
          <w:sz w:val="20"/>
        </w:rPr>
      </w:pPr>
    </w:p>
    <w:p w14:paraId="41B6960B" w14:textId="66A813BF" w:rsidR="00B63511" w:rsidRDefault="00B63511">
      <w:pPr>
        <w:jc w:val="both"/>
        <w:rPr>
          <w:rFonts w:ascii="Arial" w:hAnsi="Arial" w:cs="Arial"/>
          <w:sz w:val="20"/>
        </w:rPr>
      </w:pPr>
      <w:r>
        <w:rPr>
          <w:rFonts w:ascii="Arial" w:hAnsi="Arial" w:cs="Arial"/>
          <w:sz w:val="20"/>
        </w:rPr>
        <w:t xml:space="preserve">Pursuant to s.527(5) of the CYFA, the Secretary or the principal officer of an authorised Aboriginal agency </w:t>
      </w:r>
      <w:r w:rsidR="002F407F">
        <w:rPr>
          <w:rFonts w:ascii="Arial" w:hAnsi="Arial" w:cs="Arial"/>
          <w:sz w:val="20"/>
        </w:rPr>
        <w:t xml:space="preserve">(as the case may be) </w:t>
      </w:r>
      <w:r>
        <w:rPr>
          <w:rFonts w:ascii="Arial" w:hAnsi="Arial" w:cs="Arial"/>
          <w:sz w:val="20"/>
        </w:rPr>
        <w:t>must provide a written copy of a temporary assessment order made without notice to the child and the parent of the child, to the child and the parent of the child immediately on exercising any power given under the order.</w:t>
      </w:r>
    </w:p>
    <w:p w14:paraId="659B69F4" w14:textId="77777777" w:rsidR="00B63511" w:rsidRDefault="00B63511">
      <w:pPr>
        <w:jc w:val="both"/>
        <w:rPr>
          <w:rFonts w:ascii="Arial" w:hAnsi="Arial" w:cs="Arial"/>
          <w:sz w:val="20"/>
        </w:rPr>
      </w:pPr>
    </w:p>
    <w:p w14:paraId="53224A55" w14:textId="7A662838" w:rsidR="00B21DA4" w:rsidRDefault="00B21DA4">
      <w:pPr>
        <w:jc w:val="both"/>
        <w:rPr>
          <w:rFonts w:ascii="Arial" w:hAnsi="Arial" w:cs="Arial"/>
          <w:sz w:val="20"/>
        </w:rPr>
      </w:pPr>
      <w:r>
        <w:rPr>
          <w:rFonts w:ascii="Arial" w:hAnsi="Arial" w:cs="Arial"/>
          <w:sz w:val="20"/>
        </w:rPr>
        <w:t>If the Family Division makes a final order in a proceeding, s.</w:t>
      </w:r>
      <w:r w:rsidR="00A46B94">
        <w:rPr>
          <w:rFonts w:ascii="Arial" w:hAnsi="Arial" w:cs="Arial"/>
          <w:sz w:val="20"/>
        </w:rPr>
        <w:t>527</w:t>
      </w:r>
      <w:r>
        <w:rPr>
          <w:rFonts w:ascii="Arial" w:hAnsi="Arial" w:cs="Arial"/>
          <w:sz w:val="20"/>
        </w:rPr>
        <w:t>(</w:t>
      </w:r>
      <w:r w:rsidR="00A46B94">
        <w:rPr>
          <w:rFonts w:ascii="Arial" w:hAnsi="Arial" w:cs="Arial"/>
          <w:sz w:val="20"/>
        </w:rPr>
        <w:t>6</w:t>
      </w:r>
      <w:r>
        <w:rPr>
          <w:rFonts w:ascii="Arial" w:hAnsi="Arial" w:cs="Arial"/>
          <w:sz w:val="20"/>
        </w:rPr>
        <w:t>) of the CY</w:t>
      </w:r>
      <w:r w:rsidR="00A46B94">
        <w:rPr>
          <w:rFonts w:ascii="Arial" w:hAnsi="Arial" w:cs="Arial"/>
          <w:sz w:val="20"/>
        </w:rPr>
        <w:t>F</w:t>
      </w:r>
      <w:r>
        <w:rPr>
          <w:rFonts w:ascii="Arial" w:hAnsi="Arial" w:cs="Arial"/>
          <w:sz w:val="20"/>
        </w:rPr>
        <w:t>A requires it</w:t>
      </w:r>
      <w:r w:rsidR="00E07800">
        <w:rPr>
          <w:rFonts w:ascii="Arial" w:hAnsi="Arial" w:cs="Arial"/>
          <w:sz w:val="20"/>
        </w:rPr>
        <w:t>–</w:t>
      </w:r>
    </w:p>
    <w:p w14:paraId="658A7651" w14:textId="77777777" w:rsidR="00B21DA4" w:rsidRDefault="00B21DA4">
      <w:pPr>
        <w:tabs>
          <w:tab w:val="left" w:pos="363"/>
        </w:tabs>
        <w:jc w:val="both"/>
        <w:rPr>
          <w:rFonts w:ascii="Arial" w:hAnsi="Arial" w:cs="Arial"/>
          <w:sz w:val="20"/>
        </w:rPr>
      </w:pPr>
      <w:r>
        <w:rPr>
          <w:rFonts w:ascii="Arial" w:hAnsi="Arial" w:cs="Arial"/>
          <w:sz w:val="20"/>
        </w:rPr>
        <w:t>(a)</w:t>
      </w:r>
      <w:r>
        <w:rPr>
          <w:rFonts w:ascii="Arial" w:hAnsi="Arial" w:cs="Arial"/>
          <w:sz w:val="20"/>
        </w:rPr>
        <w:tab/>
        <w:t>to state in writing the reasons for the order;</w:t>
      </w:r>
    </w:p>
    <w:p w14:paraId="0BEA00A8" w14:textId="77777777" w:rsidR="00B21DA4" w:rsidRDefault="00B21DA4">
      <w:pPr>
        <w:tabs>
          <w:tab w:val="left" w:pos="363"/>
        </w:tabs>
        <w:jc w:val="both"/>
        <w:rPr>
          <w:rFonts w:ascii="Arial" w:hAnsi="Arial" w:cs="Arial"/>
          <w:sz w:val="20"/>
        </w:rPr>
      </w:pPr>
      <w:r>
        <w:rPr>
          <w:rFonts w:ascii="Arial" w:hAnsi="Arial" w:cs="Arial"/>
          <w:sz w:val="20"/>
        </w:rPr>
        <w:t>(b)</w:t>
      </w:r>
      <w:r>
        <w:rPr>
          <w:rFonts w:ascii="Arial" w:hAnsi="Arial" w:cs="Arial"/>
          <w:sz w:val="20"/>
        </w:rPr>
        <w:tab/>
        <w:t>to cause the statement of reasons to be entered in the register; and</w:t>
      </w:r>
    </w:p>
    <w:p w14:paraId="2B27F0D8" w14:textId="77777777" w:rsidR="00B21DA4" w:rsidRDefault="00B21DA4">
      <w:pPr>
        <w:ind w:left="363" w:hanging="363"/>
        <w:jc w:val="both"/>
        <w:rPr>
          <w:rFonts w:ascii="Arial" w:hAnsi="Arial" w:cs="Arial"/>
          <w:sz w:val="20"/>
        </w:rPr>
      </w:pPr>
      <w:r>
        <w:rPr>
          <w:rFonts w:ascii="Arial" w:hAnsi="Arial" w:cs="Arial"/>
          <w:sz w:val="20"/>
        </w:rPr>
        <w:t>(c)</w:t>
      </w:r>
      <w:r>
        <w:rPr>
          <w:rFonts w:ascii="Arial" w:hAnsi="Arial" w:cs="Arial"/>
          <w:sz w:val="20"/>
        </w:rPr>
        <w:tab/>
        <w:t>unless the Court otherwise orders, to cause a copy of the written statement of reasons to be given or sent by post within 21 days after the making of the order to the child, the child's parents and the other parties to the proceeding.</w:t>
      </w:r>
    </w:p>
    <w:p w14:paraId="356B3917" w14:textId="77777777" w:rsidR="00D60FE0" w:rsidRDefault="00D60FE0">
      <w:pPr>
        <w:rPr>
          <w:rFonts w:ascii="Arial" w:hAnsi="Arial" w:cs="Arial"/>
          <w:sz w:val="20"/>
        </w:rPr>
      </w:pPr>
    </w:p>
    <w:p w14:paraId="364F50B5" w14:textId="08E6E057" w:rsidR="00B21DA4" w:rsidRDefault="00D60FE0">
      <w:pPr>
        <w:rPr>
          <w:rFonts w:ascii="Arial" w:hAnsi="Arial" w:cs="Arial"/>
          <w:sz w:val="20"/>
        </w:rPr>
      </w:pPr>
      <w:r>
        <w:rPr>
          <w:rFonts w:ascii="Arial" w:hAnsi="Arial" w:cs="Arial"/>
          <w:sz w:val="20"/>
        </w:rPr>
        <w:t>Neither the explanation given of an order nor the statement of reasons for an order is part of the order [s.527(10)].</w:t>
      </w:r>
    </w:p>
    <w:p w14:paraId="1BD7F91C" w14:textId="77777777" w:rsidR="00B21DA4" w:rsidRDefault="00B21DA4">
      <w:pPr>
        <w:rPr>
          <w:rFonts w:ascii="Arial" w:hAnsi="Arial" w:cs="Arial"/>
          <w:sz w:val="20"/>
        </w:rPr>
      </w:pPr>
    </w:p>
    <w:p w14:paraId="477C7A58" w14:textId="60DF3A0A" w:rsidR="00B21DA4" w:rsidRDefault="00B21DA4" w:rsidP="00302F4D">
      <w:pPr>
        <w:pStyle w:val="Heading3"/>
        <w:keepNext/>
        <w:keepLines/>
        <w:spacing w:after="120" w:line="240" w:lineRule="auto"/>
        <w:rPr>
          <w:rFonts w:ascii="Arial" w:hAnsi="Arial" w:cs="Arial"/>
          <w:b/>
          <w:bCs/>
          <w:sz w:val="20"/>
        </w:rPr>
      </w:pPr>
      <w:bookmarkStart w:id="957" w:name="_3.7.2_Judgments"/>
      <w:bookmarkStart w:id="958" w:name="B372"/>
      <w:bookmarkStart w:id="959" w:name="_Toc58831510"/>
      <w:bookmarkEnd w:id="957"/>
      <w:bookmarkEnd w:id="958"/>
      <w:r>
        <w:rPr>
          <w:rFonts w:ascii="Arial" w:hAnsi="Arial" w:cs="Arial"/>
          <w:b/>
          <w:bCs/>
          <w:sz w:val="20"/>
        </w:rPr>
        <w:lastRenderedPageBreak/>
        <w:t>3.</w:t>
      </w:r>
      <w:r w:rsidR="00AB3569">
        <w:rPr>
          <w:rFonts w:ascii="Arial" w:hAnsi="Arial" w:cs="Arial"/>
          <w:b/>
          <w:bCs/>
          <w:sz w:val="20"/>
        </w:rPr>
        <w:t>7</w:t>
      </w:r>
      <w:r>
        <w:rPr>
          <w:rFonts w:ascii="Arial" w:hAnsi="Arial" w:cs="Arial"/>
          <w:b/>
          <w:bCs/>
          <w:sz w:val="20"/>
        </w:rPr>
        <w:t>.</w:t>
      </w:r>
      <w:r w:rsidR="00D052F1">
        <w:rPr>
          <w:rFonts w:ascii="Arial" w:hAnsi="Arial" w:cs="Arial"/>
          <w:b/>
          <w:bCs/>
          <w:sz w:val="20"/>
        </w:rPr>
        <w:t>3</w:t>
      </w:r>
      <w:r>
        <w:rPr>
          <w:rFonts w:ascii="Arial" w:hAnsi="Arial" w:cs="Arial"/>
          <w:b/>
          <w:bCs/>
          <w:sz w:val="20"/>
        </w:rPr>
        <w:tab/>
        <w:t>Judgments</w:t>
      </w:r>
      <w:bookmarkEnd w:id="959"/>
    </w:p>
    <w:p w14:paraId="0D6E4D46" w14:textId="77777777" w:rsidR="00B21DA4" w:rsidRDefault="00B21DA4" w:rsidP="00D60FE0">
      <w:pPr>
        <w:jc w:val="both"/>
        <w:rPr>
          <w:rFonts w:ascii="Arial" w:hAnsi="Arial" w:cs="Arial"/>
          <w:sz w:val="20"/>
        </w:rPr>
      </w:pPr>
      <w:r>
        <w:rPr>
          <w:rFonts w:ascii="Arial" w:hAnsi="Arial" w:cs="Arial"/>
          <w:sz w:val="20"/>
        </w:rPr>
        <w:t>A judgment contains the decision in each individual case and the reasons that the judicial officer came to that decision.  Judgments may be:</w:t>
      </w:r>
    </w:p>
    <w:p w14:paraId="5B973EF5" w14:textId="3C53AD5E" w:rsidR="00B21DA4" w:rsidRDefault="00B21DA4">
      <w:pPr>
        <w:numPr>
          <w:ilvl w:val="0"/>
          <w:numId w:val="2"/>
        </w:numPr>
        <w:tabs>
          <w:tab w:val="num" w:pos="423"/>
          <w:tab w:val="num" w:pos="723"/>
        </w:tabs>
        <w:jc w:val="both"/>
        <w:rPr>
          <w:rFonts w:ascii="Arial" w:hAnsi="Arial" w:cs="Arial"/>
          <w:sz w:val="20"/>
        </w:rPr>
      </w:pPr>
      <w:r>
        <w:rPr>
          <w:rFonts w:ascii="Arial" w:hAnsi="Arial" w:cs="Arial"/>
          <w:i/>
          <w:iCs/>
          <w:sz w:val="20"/>
        </w:rPr>
        <w:t>ex tempore</w:t>
      </w:r>
      <w:r>
        <w:rPr>
          <w:rFonts w:ascii="Arial" w:hAnsi="Arial" w:cs="Arial"/>
          <w:sz w:val="20"/>
        </w:rPr>
        <w:t>, that is the decision and the associated</w:t>
      </w:r>
      <w:r w:rsidR="00E07800">
        <w:rPr>
          <w:rFonts w:ascii="Arial" w:hAnsi="Arial" w:cs="Arial"/>
          <w:sz w:val="20"/>
        </w:rPr>
        <w:t xml:space="preserve"> </w:t>
      </w:r>
      <w:r>
        <w:rPr>
          <w:rFonts w:ascii="Arial" w:hAnsi="Arial" w:cs="Arial"/>
          <w:sz w:val="20"/>
        </w:rPr>
        <w:t xml:space="preserve">reasons are given orally in Court immediately </w:t>
      </w:r>
    </w:p>
    <w:p w14:paraId="5457369D" w14:textId="77777777" w:rsidR="00B21DA4" w:rsidRDefault="00B21DA4">
      <w:pPr>
        <w:numPr>
          <w:ilvl w:val="0"/>
          <w:numId w:val="2"/>
        </w:numPr>
        <w:tabs>
          <w:tab w:val="num" w:pos="423"/>
          <w:tab w:val="num" w:pos="723"/>
        </w:tabs>
        <w:jc w:val="both"/>
        <w:rPr>
          <w:rFonts w:ascii="Arial" w:hAnsi="Arial" w:cs="Arial"/>
          <w:sz w:val="20"/>
        </w:rPr>
      </w:pPr>
      <w:r>
        <w:rPr>
          <w:rFonts w:ascii="Arial" w:hAnsi="Arial" w:cs="Arial"/>
          <w:sz w:val="20"/>
        </w:rPr>
        <w:t>reserved, that is given orally or in writing in Court on a later day.</w:t>
      </w:r>
    </w:p>
    <w:p w14:paraId="30D6F74F" w14:textId="5DF1C51C" w:rsidR="00B21DA4" w:rsidRDefault="002B29D9">
      <w:pPr>
        <w:jc w:val="both"/>
        <w:rPr>
          <w:rFonts w:ascii="Arial" w:hAnsi="Arial" w:cs="Arial"/>
          <w:sz w:val="20"/>
        </w:rPr>
      </w:pPr>
      <w:r>
        <w:rPr>
          <w:rFonts w:ascii="Arial" w:hAnsi="Arial" w:cs="Arial"/>
          <w:sz w:val="20"/>
        </w:rPr>
        <w:t xml:space="preserve">For a discussion of the dilemma facing a judge deciding between an </w:t>
      </w:r>
      <w:r w:rsidRPr="00B51AB7">
        <w:rPr>
          <w:rFonts w:ascii="Arial" w:hAnsi="Arial" w:cs="Arial"/>
          <w:i/>
          <w:iCs/>
          <w:sz w:val="20"/>
        </w:rPr>
        <w:t>ex tempore</w:t>
      </w:r>
      <w:r>
        <w:rPr>
          <w:rFonts w:ascii="Arial" w:hAnsi="Arial" w:cs="Arial"/>
          <w:sz w:val="20"/>
        </w:rPr>
        <w:t xml:space="preserve"> judgment and a reserved judgment see </w:t>
      </w:r>
      <w:r w:rsidRPr="00B51AB7">
        <w:rPr>
          <w:rFonts w:ascii="Arial" w:hAnsi="Arial" w:cs="Arial"/>
          <w:i/>
          <w:iCs/>
          <w:sz w:val="20"/>
        </w:rPr>
        <w:t>Hadid v Redpath</w:t>
      </w:r>
      <w:r>
        <w:rPr>
          <w:rFonts w:ascii="Arial" w:hAnsi="Arial" w:cs="Arial"/>
          <w:sz w:val="20"/>
        </w:rPr>
        <w:t xml:space="preserve"> [2001] NSWCA 416 at [40]-[52] per Heydon JA.</w:t>
      </w:r>
    </w:p>
    <w:p w14:paraId="3F12960C" w14:textId="77777777" w:rsidR="002B29D9" w:rsidRDefault="002B29D9">
      <w:pPr>
        <w:jc w:val="both"/>
        <w:rPr>
          <w:rFonts w:ascii="Arial" w:hAnsi="Arial" w:cs="Arial"/>
          <w:sz w:val="20"/>
        </w:rPr>
      </w:pPr>
    </w:p>
    <w:p w14:paraId="41DA561C" w14:textId="54BE8A48" w:rsidR="00B21DA4" w:rsidRDefault="00B21DA4">
      <w:pPr>
        <w:jc w:val="both"/>
        <w:rPr>
          <w:rFonts w:ascii="Arial" w:hAnsi="Arial" w:cs="Arial"/>
          <w:sz w:val="20"/>
        </w:rPr>
      </w:pPr>
      <w:r>
        <w:rPr>
          <w:rFonts w:ascii="Arial" w:hAnsi="Arial" w:cs="Arial"/>
          <w:sz w:val="20"/>
        </w:rPr>
        <w:t xml:space="preserve">Most judgments in the Criminal Division of the Court are </w:t>
      </w:r>
      <w:r>
        <w:rPr>
          <w:rFonts w:ascii="Arial" w:hAnsi="Arial" w:cs="Arial"/>
          <w:i/>
          <w:iCs/>
          <w:sz w:val="20"/>
        </w:rPr>
        <w:t>ex tempore</w:t>
      </w:r>
      <w:r>
        <w:rPr>
          <w:rFonts w:ascii="Arial" w:hAnsi="Arial" w:cs="Arial"/>
          <w:sz w:val="20"/>
        </w:rPr>
        <w:t xml:space="preserve"> as are most judgments in relation to interim orders in Family Division cases.  For a useful discussion of </w:t>
      </w:r>
      <w:r>
        <w:rPr>
          <w:rFonts w:ascii="Arial" w:hAnsi="Arial" w:cs="Arial"/>
          <w:i/>
          <w:iCs/>
          <w:sz w:val="20"/>
        </w:rPr>
        <w:t>ex tempore</w:t>
      </w:r>
      <w:r>
        <w:rPr>
          <w:rFonts w:ascii="Arial" w:hAnsi="Arial" w:cs="Arial"/>
          <w:sz w:val="20"/>
        </w:rPr>
        <w:t xml:space="preserve"> judgments, see a paper by Kirby J entitled "</w:t>
      </w:r>
      <w:r>
        <w:rPr>
          <w:rFonts w:ascii="Arial" w:hAnsi="Arial" w:cs="Arial"/>
          <w:i/>
          <w:iCs/>
          <w:sz w:val="20"/>
        </w:rPr>
        <w:t>Ex tempore</w:t>
      </w:r>
      <w:r>
        <w:rPr>
          <w:rFonts w:ascii="Arial" w:hAnsi="Arial" w:cs="Arial"/>
          <w:sz w:val="20"/>
        </w:rPr>
        <w:t xml:space="preserve"> Judgments </w:t>
      </w:r>
      <w:r w:rsidR="00FD5F44" w:rsidRPr="00A31FFA">
        <w:rPr>
          <w:rFonts w:ascii="Arial" w:hAnsi="Arial" w:cs="Arial"/>
          <w:sz w:val="20"/>
        </w:rPr>
        <w:t>–</w:t>
      </w:r>
      <w:r>
        <w:rPr>
          <w:rFonts w:ascii="Arial" w:hAnsi="Arial" w:cs="Arial"/>
          <w:sz w:val="20"/>
        </w:rPr>
        <w:t xml:space="preserve"> Reasons on the Run" (1995) 25 WALR 213</w:t>
      </w:r>
      <w:r w:rsidR="00B51AB7">
        <w:rPr>
          <w:rFonts w:ascii="Arial" w:hAnsi="Arial" w:cs="Arial"/>
          <w:sz w:val="20"/>
        </w:rPr>
        <w:t>.</w:t>
      </w:r>
    </w:p>
    <w:p w14:paraId="702643CA" w14:textId="77777777" w:rsidR="00B21DA4" w:rsidRDefault="00B21DA4">
      <w:pPr>
        <w:jc w:val="both"/>
        <w:rPr>
          <w:rFonts w:ascii="Arial" w:hAnsi="Arial" w:cs="Arial"/>
          <w:sz w:val="20"/>
        </w:rPr>
      </w:pPr>
    </w:p>
    <w:p w14:paraId="07039180" w14:textId="77777777" w:rsidR="00B21DA4" w:rsidRDefault="00B21DA4">
      <w:pPr>
        <w:jc w:val="both"/>
        <w:rPr>
          <w:rFonts w:ascii="Arial" w:hAnsi="Arial" w:cs="Arial"/>
          <w:sz w:val="20"/>
        </w:rPr>
      </w:pPr>
      <w:r>
        <w:rPr>
          <w:rFonts w:ascii="Arial" w:hAnsi="Arial" w:cs="Arial"/>
          <w:sz w:val="20"/>
        </w:rPr>
        <w:t>A judgment will show the process of reasoning which leads to the conclusions reached by the judicial officer and will usually contain:</w:t>
      </w:r>
    </w:p>
    <w:p w14:paraId="2EF18B61"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a statement of the issues;</w:t>
      </w:r>
    </w:p>
    <w:p w14:paraId="037CE4B4"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facts as they appear from the evidence, with a statement as to why one account of the facts has been preferred to another;</w:t>
      </w:r>
    </w:p>
    <w:p w14:paraId="695E8669"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law to be applied;</w:t>
      </w:r>
    </w:p>
    <w:p w14:paraId="6A574CBF"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judicial officer's decision;</w:t>
      </w:r>
    </w:p>
    <w:p w14:paraId="32283D17"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reasons for coming to that decision; and</w:t>
      </w:r>
    </w:p>
    <w:p w14:paraId="4CBC5EF1"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orders which the judicial officer makes as a result of the decision.</w:t>
      </w:r>
    </w:p>
    <w:p w14:paraId="7193173E" w14:textId="77777777" w:rsidR="00B21DA4" w:rsidRDefault="00B21DA4">
      <w:pPr>
        <w:rPr>
          <w:rFonts w:ascii="Arial" w:hAnsi="Arial" w:cs="Arial"/>
          <w:color w:val="000000"/>
          <w:sz w:val="20"/>
        </w:rPr>
      </w:pPr>
    </w:p>
    <w:p w14:paraId="32EFA19B" w14:textId="77777777" w:rsidR="009D27CA" w:rsidRPr="00232FC7" w:rsidRDefault="009D27CA" w:rsidP="009D27CA">
      <w:pPr>
        <w:jc w:val="both"/>
        <w:rPr>
          <w:rFonts w:ascii="Arial" w:hAnsi="Arial" w:cs="Arial"/>
          <w:color w:val="000000"/>
          <w:sz w:val="20"/>
          <w:szCs w:val="20"/>
        </w:rPr>
      </w:pPr>
      <w:r w:rsidRPr="00232FC7">
        <w:rPr>
          <w:rFonts w:ascii="Arial" w:hAnsi="Arial" w:cs="Arial"/>
          <w:color w:val="000000"/>
          <w:sz w:val="20"/>
          <w:szCs w:val="20"/>
        </w:rPr>
        <w:t xml:space="preserve">In </w:t>
      </w:r>
      <w:r w:rsidRPr="00232FC7">
        <w:rPr>
          <w:rFonts w:ascii="Arial" w:hAnsi="Arial" w:cs="Arial"/>
          <w:i/>
          <w:color w:val="000000"/>
          <w:sz w:val="20"/>
          <w:szCs w:val="20"/>
        </w:rPr>
        <w:t>Murray Goulburn Coop Co Limited v Filliponi</w:t>
      </w:r>
      <w:r w:rsidRPr="00232FC7">
        <w:rPr>
          <w:rFonts w:ascii="Arial" w:hAnsi="Arial" w:cs="Arial"/>
          <w:color w:val="000000"/>
          <w:sz w:val="20"/>
          <w:szCs w:val="20"/>
        </w:rPr>
        <w:t xml:space="preserve"> [2012] VSCA 230, Neave JA &amp; Beach AJA noted at [28]: “Whether reasons will be sufficient in the particular case will, of course, be influenced by the ambit of the dispute at trial.”</w:t>
      </w:r>
    </w:p>
    <w:p w14:paraId="2E17895B" w14:textId="77777777" w:rsidR="009D27CA" w:rsidRDefault="009D27CA">
      <w:pPr>
        <w:rPr>
          <w:rFonts w:ascii="Arial" w:hAnsi="Arial" w:cs="Arial"/>
          <w:sz w:val="20"/>
        </w:rPr>
      </w:pPr>
    </w:p>
    <w:p w14:paraId="57FD3DED" w14:textId="77777777" w:rsidR="00F018D1" w:rsidRDefault="00F018D1" w:rsidP="00F018D1">
      <w:pPr>
        <w:jc w:val="both"/>
        <w:rPr>
          <w:rFonts w:ascii="Arial" w:hAnsi="Arial" w:cs="Arial"/>
          <w:sz w:val="20"/>
        </w:rPr>
      </w:pPr>
      <w:r>
        <w:rPr>
          <w:rFonts w:ascii="Arial" w:hAnsi="Arial" w:cs="Arial"/>
          <w:sz w:val="20"/>
        </w:rPr>
        <w:t xml:space="preserve">In </w:t>
      </w:r>
      <w:r w:rsidRPr="00F018D1">
        <w:rPr>
          <w:rFonts w:ascii="Arial" w:hAnsi="Arial" w:cs="Arial"/>
          <w:i/>
          <w:sz w:val="20"/>
        </w:rPr>
        <w:t>Allsmanti Pty Ltd v Ernikiolis</w:t>
      </w:r>
      <w:r>
        <w:rPr>
          <w:rFonts w:ascii="Arial" w:hAnsi="Arial" w:cs="Arial"/>
          <w:sz w:val="20"/>
        </w:rPr>
        <w:t xml:space="preserve"> [2007] VSCA 17 at [68] Maxwell P summed up the essentials of a good judgment in his approval of what he described as “exemplary” reasons for judgment:</w:t>
      </w:r>
    </w:p>
    <w:p w14:paraId="293D8D15" w14:textId="77777777" w:rsidR="00F018D1" w:rsidRDefault="00F018D1" w:rsidP="009D27CA">
      <w:pPr>
        <w:spacing w:before="60"/>
        <w:ind w:left="567" w:right="567"/>
        <w:jc w:val="both"/>
        <w:rPr>
          <w:rFonts w:ascii="Arial" w:hAnsi="Arial" w:cs="Arial"/>
          <w:sz w:val="20"/>
        </w:rPr>
      </w:pPr>
      <w:r>
        <w:rPr>
          <w:rFonts w:ascii="Arial" w:hAnsi="Arial" w:cs="Arial"/>
          <w:sz w:val="20"/>
        </w:rPr>
        <w:t>“</w:t>
      </w:r>
      <w:r w:rsidRPr="00F018D1">
        <w:rPr>
          <w:rFonts w:ascii="Arial" w:hAnsi="Arial" w:cs="Arial"/>
          <w:sz w:val="20"/>
        </w:rPr>
        <w:t>What his Honour said conveyed to the parties and their legal representatives that this application had been dealt with by someone who knew what he was doing, who understood the applicable law and was well on top of the facts as presented to him in the evidence.  Most importantly, it conveyed why the judge had concluded as he did.  Parties cannot reasonably expect more than that.</w:t>
      </w:r>
      <w:r>
        <w:rPr>
          <w:rFonts w:ascii="Arial" w:hAnsi="Arial" w:cs="Arial"/>
          <w:sz w:val="20"/>
        </w:rPr>
        <w:t>”</w:t>
      </w:r>
    </w:p>
    <w:p w14:paraId="395A2C41" w14:textId="77777777" w:rsidR="00F018D1" w:rsidRDefault="00F018D1">
      <w:pPr>
        <w:rPr>
          <w:rFonts w:ascii="Arial" w:hAnsi="Arial" w:cs="Arial"/>
          <w:sz w:val="20"/>
        </w:rPr>
      </w:pPr>
    </w:p>
    <w:p w14:paraId="53609A58" w14:textId="77777777" w:rsidR="00595D01" w:rsidRPr="00595D01" w:rsidRDefault="00595D01" w:rsidP="00595D01">
      <w:pPr>
        <w:jc w:val="both"/>
        <w:rPr>
          <w:rFonts w:ascii="Arial" w:hAnsi="Arial" w:cs="Arial"/>
        </w:rPr>
      </w:pPr>
      <w:r>
        <w:rPr>
          <w:rFonts w:ascii="Arial" w:hAnsi="Arial" w:cs="Arial"/>
          <w:sz w:val="20"/>
        </w:rPr>
        <w:t xml:space="preserve">In </w:t>
      </w:r>
      <w:r w:rsidRPr="00595D01">
        <w:rPr>
          <w:rFonts w:ascii="Arial" w:hAnsi="Arial" w:cs="Arial"/>
          <w:i/>
          <w:sz w:val="20"/>
        </w:rPr>
        <w:t>Insurance Manufacturers of Australia Pty Ltd v Vandermeer</w:t>
      </w:r>
      <w:r w:rsidR="00323243">
        <w:rPr>
          <w:rFonts w:ascii="Arial" w:hAnsi="Arial" w:cs="Arial"/>
          <w:sz w:val="20"/>
        </w:rPr>
        <w:t xml:space="preserve"> [2007] VSC 28 Kaye J conceded at [34] that “</w:t>
      </w:r>
      <w:r w:rsidR="00323243" w:rsidRPr="00323243">
        <w:rPr>
          <w:rFonts w:ascii="Arial" w:hAnsi="Arial" w:cs="Arial"/>
          <w:sz w:val="20"/>
          <w:szCs w:val="20"/>
        </w:rPr>
        <w:t>the requirement for the provision of reasons by a magistrate is less rigorous than that imposed on judges who are higher in the court hierarchy.</w:t>
      </w:r>
      <w:r w:rsidR="00323243">
        <w:rPr>
          <w:rFonts w:ascii="Arial" w:hAnsi="Arial" w:cs="Arial"/>
          <w:sz w:val="20"/>
          <w:szCs w:val="20"/>
        </w:rPr>
        <w:t xml:space="preserve">”  Nevertheless, his Honour held that a magistrate had erred in law in </w:t>
      </w:r>
      <w:r>
        <w:rPr>
          <w:rFonts w:ascii="Arial" w:hAnsi="Arial" w:cs="Arial"/>
          <w:sz w:val="20"/>
        </w:rPr>
        <w:t>failing to give ade</w:t>
      </w:r>
      <w:r w:rsidR="000A12E1">
        <w:rPr>
          <w:rFonts w:ascii="Arial" w:hAnsi="Arial" w:cs="Arial"/>
          <w:sz w:val="20"/>
        </w:rPr>
        <w:t xml:space="preserve">quate reasons for his decision and </w:t>
      </w:r>
      <w:r>
        <w:rPr>
          <w:rFonts w:ascii="Arial" w:hAnsi="Arial" w:cs="Arial"/>
          <w:sz w:val="20"/>
        </w:rPr>
        <w:t xml:space="preserve">referred with approval </w:t>
      </w:r>
      <w:r w:rsidR="00C35645">
        <w:rPr>
          <w:rFonts w:ascii="Arial" w:hAnsi="Arial" w:cs="Arial"/>
          <w:sz w:val="20"/>
        </w:rPr>
        <w:t xml:space="preserve">at [14] </w:t>
      </w:r>
      <w:r>
        <w:rPr>
          <w:rFonts w:ascii="Arial" w:hAnsi="Arial" w:cs="Arial"/>
          <w:sz w:val="20"/>
        </w:rPr>
        <w:t xml:space="preserve">to dicta of Meagher JA in </w:t>
      </w:r>
      <w:r w:rsidRPr="00595D01">
        <w:rPr>
          <w:rFonts w:ascii="Arial" w:hAnsi="Arial" w:cs="Arial"/>
          <w:i/>
          <w:sz w:val="20"/>
        </w:rPr>
        <w:t>Beale v Government Insurance Office of NSW</w:t>
      </w:r>
      <w:r>
        <w:rPr>
          <w:rFonts w:ascii="Arial" w:hAnsi="Arial" w:cs="Arial"/>
          <w:sz w:val="20"/>
        </w:rPr>
        <w:t xml:space="preserve"> (1997) 48 NSWLR 440 at 442:</w:t>
      </w:r>
    </w:p>
    <w:p w14:paraId="3C0E0EEA" w14:textId="77777777" w:rsidR="00595D01" w:rsidRDefault="00595D01" w:rsidP="009D27CA">
      <w:pPr>
        <w:spacing w:before="60"/>
        <w:ind w:left="567" w:right="567"/>
        <w:jc w:val="both"/>
        <w:rPr>
          <w:rFonts w:ascii="Arial" w:hAnsi="Arial" w:cs="Arial"/>
          <w:sz w:val="20"/>
        </w:rPr>
      </w:pPr>
      <w:r>
        <w:rPr>
          <w:rFonts w:ascii="Arial" w:hAnsi="Arial" w:cs="Arial"/>
          <w:sz w:val="20"/>
        </w:rPr>
        <w:t xml:space="preserve">“There are three fundamental elements of an </w:t>
      </w:r>
      <w:r w:rsidRPr="00595D01">
        <w:rPr>
          <w:rFonts w:ascii="Arial" w:hAnsi="Arial" w:cs="Arial"/>
          <w:sz w:val="20"/>
          <w:szCs w:val="20"/>
        </w:rPr>
        <w:t>adequate statement of reasons, namely:  the judge should refer to relevant evidence; the judge should set out any material findings of fact and conclusions or ultimate findings of fact reached; and the judge should provide reasons for making the relevant findings of fact (and conclusions) and reasons in applying the law to the facts so found.</w:t>
      </w:r>
      <w:r>
        <w:rPr>
          <w:rFonts w:ascii="Arial" w:hAnsi="Arial" w:cs="Arial"/>
          <w:sz w:val="20"/>
          <w:szCs w:val="20"/>
        </w:rPr>
        <w:t>”</w:t>
      </w:r>
    </w:p>
    <w:p w14:paraId="025F04E6" w14:textId="77777777" w:rsidR="00595D01" w:rsidRDefault="00595D01">
      <w:pPr>
        <w:rPr>
          <w:rFonts w:ascii="Arial" w:hAnsi="Arial" w:cs="Arial"/>
          <w:sz w:val="20"/>
        </w:rPr>
      </w:pPr>
    </w:p>
    <w:p w14:paraId="124B8F86" w14:textId="77777777" w:rsidR="00FC6E39" w:rsidRDefault="00FC6E39" w:rsidP="00FC6E39">
      <w:pPr>
        <w:jc w:val="both"/>
        <w:rPr>
          <w:rFonts w:ascii="Arial" w:hAnsi="Arial" w:cs="Arial"/>
          <w:sz w:val="20"/>
          <w:szCs w:val="20"/>
        </w:rPr>
      </w:pPr>
      <w:r w:rsidRPr="00FC6E39">
        <w:rPr>
          <w:rFonts w:ascii="Arial" w:hAnsi="Arial" w:cs="Arial"/>
          <w:sz w:val="20"/>
          <w:szCs w:val="20"/>
        </w:rPr>
        <w:t xml:space="preserve">In </w:t>
      </w:r>
      <w:r w:rsidRPr="00FC6E39">
        <w:rPr>
          <w:rFonts w:ascii="Arial" w:hAnsi="Arial" w:cs="Arial"/>
          <w:i/>
          <w:sz w:val="20"/>
          <w:szCs w:val="20"/>
        </w:rPr>
        <w:t>Kelso v Tatiara Meat Co Pty Ltd</w:t>
      </w:r>
      <w:r>
        <w:rPr>
          <w:rFonts w:ascii="Arial" w:hAnsi="Arial" w:cs="Arial"/>
          <w:sz w:val="20"/>
          <w:szCs w:val="20"/>
        </w:rPr>
        <w:t xml:space="preserve"> [2007] VSCA 267 a </w:t>
      </w:r>
      <w:r w:rsidRPr="00FC6E39">
        <w:rPr>
          <w:rFonts w:ascii="Arial" w:hAnsi="Arial" w:cs="Arial"/>
          <w:sz w:val="20"/>
          <w:szCs w:val="20"/>
        </w:rPr>
        <w:t xml:space="preserve">5 member Court of Appeal </w:t>
      </w:r>
      <w:r>
        <w:rPr>
          <w:rFonts w:ascii="Arial" w:hAnsi="Arial" w:cs="Arial"/>
          <w:sz w:val="20"/>
          <w:szCs w:val="20"/>
        </w:rPr>
        <w:t xml:space="preserve">referred with approval at [186] to dicta of Nettle JA in </w:t>
      </w:r>
      <w:r w:rsidRPr="00FC6E39">
        <w:rPr>
          <w:rFonts w:ascii="Arial" w:hAnsi="Arial" w:cs="Arial"/>
          <w:i/>
          <w:sz w:val="20"/>
          <w:szCs w:val="20"/>
        </w:rPr>
        <w:t>Hunter</w:t>
      </w:r>
      <w:r>
        <w:rPr>
          <w:rFonts w:ascii="Arial" w:hAnsi="Arial" w:cs="Arial"/>
          <w:sz w:val="20"/>
          <w:szCs w:val="20"/>
        </w:rPr>
        <w:t xml:space="preserve"> v </w:t>
      </w:r>
      <w:r w:rsidRPr="00FC6E39">
        <w:rPr>
          <w:rFonts w:ascii="Arial" w:hAnsi="Arial" w:cs="Arial"/>
          <w:i/>
          <w:sz w:val="20"/>
          <w:szCs w:val="20"/>
        </w:rPr>
        <w:t>Tra</w:t>
      </w:r>
      <w:r>
        <w:rPr>
          <w:rFonts w:ascii="Arial" w:hAnsi="Arial" w:cs="Arial"/>
          <w:i/>
          <w:sz w:val="20"/>
          <w:szCs w:val="20"/>
        </w:rPr>
        <w:t>n</w:t>
      </w:r>
      <w:r w:rsidRPr="00FC6E39">
        <w:rPr>
          <w:rFonts w:ascii="Arial" w:hAnsi="Arial" w:cs="Arial"/>
          <w:i/>
          <w:sz w:val="20"/>
          <w:szCs w:val="20"/>
        </w:rPr>
        <w:t>sport Accident Commission &amp; Anor</w:t>
      </w:r>
      <w:r>
        <w:rPr>
          <w:rFonts w:ascii="Arial" w:hAnsi="Arial" w:cs="Arial"/>
          <w:sz w:val="20"/>
          <w:szCs w:val="20"/>
        </w:rPr>
        <w:t xml:space="preserve"> </w:t>
      </w:r>
      <w:r>
        <w:rPr>
          <w:rFonts w:ascii="Arial" w:hAnsi="Arial" w:cs="Arial"/>
          <w:sz w:val="20"/>
        </w:rPr>
        <w:t xml:space="preserve">[2005] VSCA 1, [28] </w:t>
      </w:r>
      <w:r>
        <w:rPr>
          <w:rFonts w:ascii="Arial" w:hAnsi="Arial" w:cs="Arial"/>
          <w:sz w:val="20"/>
          <w:szCs w:val="20"/>
        </w:rPr>
        <w:t>that a “mere recitation of evidence followed by a statement of findings, without any commentary as to why the evidence is said to lead to the findings, is about as good as useless”.  At [188]-[189] the Court of Appeal said:</w:t>
      </w:r>
    </w:p>
    <w:p w14:paraId="77CDC259" w14:textId="77777777" w:rsidR="00FC6E39" w:rsidRDefault="00FC6E39" w:rsidP="00D76EF0">
      <w:pPr>
        <w:spacing w:before="60"/>
        <w:ind w:left="567" w:right="567"/>
        <w:jc w:val="both"/>
        <w:rPr>
          <w:rFonts w:ascii="Arial" w:hAnsi="Arial" w:cs="Arial"/>
          <w:sz w:val="20"/>
        </w:rPr>
      </w:pPr>
      <w:r>
        <w:rPr>
          <w:rFonts w:ascii="Arial" w:hAnsi="Arial" w:cs="Arial"/>
          <w:sz w:val="20"/>
        </w:rPr>
        <w:t xml:space="preserve">“In </w:t>
      </w:r>
      <w:r w:rsidRPr="00FC6E39">
        <w:rPr>
          <w:rFonts w:ascii="Arial" w:hAnsi="Arial" w:cs="Arial"/>
          <w:i/>
          <w:sz w:val="20"/>
          <w:lang w:val="en"/>
        </w:rPr>
        <w:t>Mutual Cleaning &amp; Maintenance Pty Ltd v Stamboulakis</w:t>
      </w:r>
      <w:r w:rsidRPr="00FC6E39">
        <w:rPr>
          <w:rFonts w:ascii="Arial" w:hAnsi="Arial" w:cs="Arial"/>
          <w:sz w:val="20"/>
          <w:szCs w:val="20"/>
          <w:lang w:val="en"/>
        </w:rPr>
        <w:t xml:space="preserve"> </w:t>
      </w:r>
      <w:r w:rsidRPr="00FC6E39">
        <w:rPr>
          <w:rFonts w:ascii="Arial" w:hAnsi="Arial" w:cs="Arial"/>
          <w:sz w:val="20"/>
          <w:szCs w:val="20"/>
        </w:rPr>
        <w:t>[2007] VSCA 46</w:t>
      </w:r>
      <w:r w:rsidRPr="00FC6E39">
        <w:rPr>
          <w:rFonts w:ascii="Arial" w:hAnsi="Arial" w:cs="Arial"/>
          <w:sz w:val="20"/>
          <w:lang w:val="en"/>
        </w:rPr>
        <w:t xml:space="preserve"> Maxwell</w:t>
      </w:r>
      <w:r>
        <w:rPr>
          <w:rFonts w:ascii="Arial" w:hAnsi="Arial" w:cs="Arial"/>
          <w:sz w:val="20"/>
          <w:lang w:val="en"/>
        </w:rPr>
        <w:t> </w:t>
      </w:r>
      <w:r w:rsidRPr="00FC6E39">
        <w:rPr>
          <w:rFonts w:ascii="Arial" w:hAnsi="Arial" w:cs="Arial"/>
          <w:sz w:val="20"/>
          <w:lang w:val="en"/>
        </w:rPr>
        <w:t>P stated that the obligation to give adequate reasons entailed a rational explanation for preferring one witness’s opinion over another.</w:t>
      </w:r>
      <w:r>
        <w:rPr>
          <w:rFonts w:ascii="Arial" w:hAnsi="Arial" w:cs="Arial"/>
          <w:sz w:val="20"/>
          <w:lang w:val="en"/>
        </w:rPr>
        <w:t xml:space="preserve">  </w:t>
      </w:r>
      <w:r w:rsidRPr="00FC6E39">
        <w:rPr>
          <w:rFonts w:ascii="Arial" w:hAnsi="Arial" w:cs="Arial"/>
          <w:sz w:val="20"/>
          <w:lang w:val="en"/>
        </w:rPr>
        <w:t xml:space="preserve">Nettle JA, in </w:t>
      </w:r>
      <w:r w:rsidRPr="00FC6E39">
        <w:rPr>
          <w:rFonts w:ascii="Arial" w:hAnsi="Arial" w:cs="Arial"/>
          <w:i/>
          <w:sz w:val="20"/>
          <w:lang w:val="en"/>
        </w:rPr>
        <w:t>Spence v Gomez</w:t>
      </w:r>
      <w:r>
        <w:rPr>
          <w:rFonts w:ascii="Arial" w:hAnsi="Arial" w:cs="Arial"/>
          <w:i/>
          <w:sz w:val="20"/>
          <w:lang w:val="en"/>
        </w:rPr>
        <w:t xml:space="preserve"> </w:t>
      </w:r>
      <w:r w:rsidRPr="00FC6E39">
        <w:rPr>
          <w:rFonts w:ascii="Arial" w:hAnsi="Arial" w:cs="Arial"/>
          <w:sz w:val="20"/>
          <w:lang w:val="en"/>
        </w:rPr>
        <w:t>[2006] VSCA 48 at [65], again emphasised that the judge was obliged to expose the reasons for ‘resolving a point critical to the contest between the parties …; in other words, to ‘enter into’ the issues canvassed and explain why one case is preferred over another.</w:t>
      </w:r>
      <w:r>
        <w:rPr>
          <w:rFonts w:ascii="Arial" w:hAnsi="Arial" w:cs="Arial"/>
          <w:sz w:val="20"/>
          <w:lang w:val="en"/>
        </w:rPr>
        <w:t>”</w:t>
      </w:r>
    </w:p>
    <w:p w14:paraId="2BA5C9CB" w14:textId="77777777" w:rsidR="00FC6E39" w:rsidRDefault="00FC6E39">
      <w:pPr>
        <w:rPr>
          <w:rFonts w:ascii="Arial" w:hAnsi="Arial" w:cs="Arial"/>
          <w:sz w:val="20"/>
        </w:rPr>
      </w:pPr>
    </w:p>
    <w:p w14:paraId="123B3529" w14:textId="2866D334" w:rsidR="00B21DA4" w:rsidRDefault="00F018D1">
      <w:pPr>
        <w:jc w:val="both"/>
        <w:rPr>
          <w:rFonts w:ascii="Arial" w:hAnsi="Arial" w:cs="Arial"/>
          <w:sz w:val="20"/>
        </w:rPr>
      </w:pPr>
      <w:r>
        <w:rPr>
          <w:rFonts w:ascii="Arial" w:hAnsi="Arial" w:cs="Arial"/>
          <w:sz w:val="20"/>
        </w:rPr>
        <w:t xml:space="preserve">The </w:t>
      </w:r>
      <w:r w:rsidR="00B21DA4">
        <w:rPr>
          <w:rFonts w:ascii="Arial" w:hAnsi="Arial" w:cs="Arial"/>
          <w:sz w:val="20"/>
        </w:rPr>
        <w:t xml:space="preserve">preference </w:t>
      </w:r>
      <w:r>
        <w:rPr>
          <w:rFonts w:ascii="Arial" w:hAnsi="Arial" w:cs="Arial"/>
          <w:sz w:val="20"/>
        </w:rPr>
        <w:t xml:space="preserve">of the President of the Children’s Court </w:t>
      </w:r>
      <w:r w:rsidR="00B21DA4">
        <w:rPr>
          <w:rFonts w:ascii="Arial" w:hAnsi="Arial" w:cs="Arial"/>
          <w:sz w:val="20"/>
        </w:rPr>
        <w:t>is that judgments involving final contests in the Family Division of the Court be given in writing, if it is practicable to do so, although there is no legal requirement that this be done save for the short written reasons contemplated by s.</w:t>
      </w:r>
      <w:r w:rsidR="00A46B94">
        <w:rPr>
          <w:rFonts w:ascii="Arial" w:hAnsi="Arial" w:cs="Arial"/>
          <w:sz w:val="20"/>
        </w:rPr>
        <w:t>527</w:t>
      </w:r>
      <w:r w:rsidR="00B21DA4">
        <w:rPr>
          <w:rFonts w:ascii="Arial" w:hAnsi="Arial" w:cs="Arial"/>
          <w:sz w:val="20"/>
        </w:rPr>
        <w:t>(</w:t>
      </w:r>
      <w:r w:rsidR="00A46B94">
        <w:rPr>
          <w:rFonts w:ascii="Arial" w:hAnsi="Arial" w:cs="Arial"/>
          <w:sz w:val="20"/>
        </w:rPr>
        <w:t>6</w:t>
      </w:r>
      <w:r w:rsidR="00B21DA4">
        <w:rPr>
          <w:rFonts w:ascii="Arial" w:hAnsi="Arial" w:cs="Arial"/>
          <w:sz w:val="20"/>
        </w:rPr>
        <w:t>) of the CY</w:t>
      </w:r>
      <w:r w:rsidR="00A46B94">
        <w:rPr>
          <w:rFonts w:ascii="Arial" w:hAnsi="Arial" w:cs="Arial"/>
          <w:sz w:val="20"/>
        </w:rPr>
        <w:t>F</w:t>
      </w:r>
      <w:r w:rsidR="00B21DA4">
        <w:rPr>
          <w:rFonts w:ascii="Arial" w:hAnsi="Arial" w:cs="Arial"/>
          <w:sz w:val="20"/>
        </w:rPr>
        <w:t xml:space="preserve">A.  But since many such judgments contain findings which are relevant to the preparation of the Department's case plan and may also be relevant in the event of an application to vary, extend or breach </w:t>
      </w:r>
      <w:r w:rsidR="00B21DA4">
        <w:rPr>
          <w:rFonts w:ascii="Arial" w:hAnsi="Arial" w:cs="Arial"/>
          <w:sz w:val="20"/>
        </w:rPr>
        <w:lastRenderedPageBreak/>
        <w:t xml:space="preserve">the order, most such judgments are reserved.  From time to time in the Family Division the interests of justice </w:t>
      </w:r>
      <w:r w:rsidR="00FD5F44" w:rsidRPr="00A31FFA">
        <w:rPr>
          <w:rFonts w:ascii="Arial" w:hAnsi="Arial" w:cs="Arial"/>
          <w:sz w:val="20"/>
        </w:rPr>
        <w:t>–</w:t>
      </w:r>
      <w:r w:rsidR="00B21DA4">
        <w:rPr>
          <w:rFonts w:ascii="Arial" w:hAnsi="Arial" w:cs="Arial"/>
          <w:sz w:val="20"/>
        </w:rPr>
        <w:t xml:space="preserve"> and in particular the interests of the child </w:t>
      </w:r>
      <w:r w:rsidR="00FD5F44" w:rsidRPr="00A31FFA">
        <w:rPr>
          <w:rFonts w:ascii="Arial" w:hAnsi="Arial" w:cs="Arial"/>
          <w:sz w:val="20"/>
        </w:rPr>
        <w:t>–</w:t>
      </w:r>
      <w:r w:rsidR="00B21DA4">
        <w:rPr>
          <w:rFonts w:ascii="Arial" w:hAnsi="Arial" w:cs="Arial"/>
          <w:sz w:val="20"/>
        </w:rPr>
        <w:t xml:space="preserve"> may require the judicial officer to give an </w:t>
      </w:r>
      <w:r w:rsidR="00B21DA4">
        <w:rPr>
          <w:rFonts w:ascii="Arial" w:hAnsi="Arial" w:cs="Arial"/>
          <w:i/>
          <w:iCs/>
          <w:sz w:val="20"/>
        </w:rPr>
        <w:t>ex tempore</w:t>
      </w:r>
      <w:r w:rsidR="00B21DA4">
        <w:rPr>
          <w:rFonts w:ascii="Arial" w:hAnsi="Arial" w:cs="Arial"/>
          <w:sz w:val="20"/>
        </w:rPr>
        <w:t xml:space="preserve"> judgment and follow it with a written judgment at a later date.</w:t>
      </w:r>
    </w:p>
    <w:p w14:paraId="04731328" w14:textId="77777777" w:rsidR="00B21DA4" w:rsidRDefault="00B21DA4">
      <w:pPr>
        <w:rPr>
          <w:rFonts w:ascii="Arial" w:hAnsi="Arial" w:cs="Arial"/>
          <w:sz w:val="20"/>
        </w:rPr>
      </w:pPr>
    </w:p>
    <w:p w14:paraId="4DB28DEB" w14:textId="77777777" w:rsidR="00B21DA4" w:rsidRDefault="00B21DA4">
      <w:pPr>
        <w:jc w:val="both"/>
        <w:rPr>
          <w:rFonts w:ascii="Arial" w:hAnsi="Arial" w:cs="Arial"/>
          <w:sz w:val="20"/>
        </w:rPr>
      </w:pPr>
      <w:r>
        <w:rPr>
          <w:rFonts w:ascii="Arial" w:hAnsi="Arial" w:cs="Arial"/>
          <w:sz w:val="20"/>
        </w:rPr>
        <w:t>There is no general principle that a failure to give reasons amounts to a vitiating error of law.  In</w:t>
      </w:r>
      <w:r w:rsidR="009D27CA">
        <w:rPr>
          <w:rFonts w:ascii="Arial" w:hAnsi="Arial" w:cs="Arial"/>
          <w:sz w:val="20"/>
        </w:rPr>
        <w:t> </w:t>
      </w:r>
      <w:r>
        <w:rPr>
          <w:rFonts w:ascii="Arial" w:hAnsi="Arial" w:cs="Arial"/>
          <w:i/>
          <w:iCs/>
          <w:sz w:val="20"/>
        </w:rPr>
        <w:t>Mansbridge v Nichols &amp; Anor</w:t>
      </w:r>
      <w:r>
        <w:rPr>
          <w:rFonts w:ascii="Arial" w:hAnsi="Arial" w:cs="Arial"/>
          <w:sz w:val="20"/>
        </w:rPr>
        <w:t xml:space="preserve"> [2004] VSC 530 at [32]-[33] Williams J said:</w:t>
      </w:r>
    </w:p>
    <w:p w14:paraId="55FB468A" w14:textId="77777777" w:rsidR="00B21DA4" w:rsidRDefault="00B21DA4" w:rsidP="009D27CA">
      <w:pPr>
        <w:spacing w:before="60"/>
        <w:ind w:left="567" w:right="567"/>
        <w:jc w:val="both"/>
        <w:rPr>
          <w:rFonts w:ascii="Arial" w:hAnsi="Arial" w:cs="Arial"/>
          <w:sz w:val="20"/>
        </w:rPr>
      </w:pPr>
      <w:r>
        <w:rPr>
          <w:rFonts w:ascii="Arial" w:hAnsi="Arial" w:cs="Arial"/>
          <w:sz w:val="20"/>
        </w:rPr>
        <w:t xml:space="preserve">"In </w:t>
      </w:r>
      <w:r>
        <w:rPr>
          <w:rFonts w:ascii="Arial" w:hAnsi="Arial" w:cs="Arial"/>
          <w:i/>
          <w:sz w:val="20"/>
        </w:rPr>
        <w:t xml:space="preserve">Perkins v County Court of </w:t>
      </w:r>
      <w:smartTag w:uri="urn:schemas-microsoft-com:office:smarttags" w:element="State">
        <w:smartTag w:uri="urn:schemas-microsoft-com:office:smarttags" w:element="place">
          <w:r>
            <w:rPr>
              <w:rFonts w:ascii="Arial" w:hAnsi="Arial" w:cs="Arial"/>
              <w:i/>
              <w:sz w:val="20"/>
            </w:rPr>
            <w:t>Victoria</w:t>
          </w:r>
        </w:smartTag>
      </w:smartTag>
      <w:r>
        <w:rPr>
          <w:rFonts w:ascii="Arial" w:hAnsi="Arial" w:cs="Arial"/>
          <w:sz w:val="20"/>
        </w:rPr>
        <w:t xml:space="preserve"> (2000) 2 VR 246 Buchanan JA (with whom Phillips and Charles JJA agreed) expressed the view that the requirements of natural justice did not extend to the form in which a decision was pronounced.  Buchanan JA also held that there was no general principle that a court’s failure to give reasons amounted to a vitiating error of law</w:t>
      </w:r>
      <w:r>
        <w:rPr>
          <w:rStyle w:val="FootnoteReference"/>
          <w:rFonts w:ascii="Arial" w:hAnsi="Arial" w:cs="Arial"/>
          <w:sz w:val="20"/>
        </w:rPr>
        <w:t xml:space="preserve">: </w:t>
      </w:r>
      <w:r>
        <w:rPr>
          <w:rFonts w:ascii="Arial" w:hAnsi="Arial" w:cs="Arial"/>
          <w:sz w:val="20"/>
        </w:rPr>
        <w:t xml:space="preserve">(2000) 2 VR 246 at 270; see </w:t>
      </w:r>
      <w:r>
        <w:rPr>
          <w:rFonts w:ascii="Arial" w:hAnsi="Arial" w:cs="Arial"/>
          <w:i/>
          <w:sz w:val="20"/>
        </w:rPr>
        <w:t>Alcoa of Australia Ltd v McKenna</w:t>
      </w:r>
      <w:r>
        <w:rPr>
          <w:rFonts w:ascii="Arial" w:hAnsi="Arial" w:cs="Arial"/>
          <w:sz w:val="20"/>
        </w:rPr>
        <w:t xml:space="preserve"> [2003] VSCA 182 at [22].</w:t>
      </w:r>
    </w:p>
    <w:p w14:paraId="23CDF1A1" w14:textId="77777777" w:rsidR="00B21DA4" w:rsidRDefault="00B21DA4" w:rsidP="00D76EF0">
      <w:pPr>
        <w:spacing w:before="60"/>
        <w:ind w:left="567" w:right="567"/>
        <w:jc w:val="both"/>
        <w:rPr>
          <w:rFonts w:ascii="Arial" w:hAnsi="Arial" w:cs="Arial"/>
          <w:sz w:val="20"/>
        </w:rPr>
      </w:pPr>
      <w:r>
        <w:rPr>
          <w:rFonts w:ascii="Arial" w:hAnsi="Arial" w:cs="Arial"/>
          <w:sz w:val="20"/>
        </w:rPr>
        <w:t>Buchanan JA considered the criteria for the adequacy of reasons stating at 273-274:</w:t>
      </w:r>
    </w:p>
    <w:p w14:paraId="2EBB6AA2" w14:textId="77777777" w:rsidR="00B21DA4" w:rsidRDefault="00B21DA4" w:rsidP="009D27CA">
      <w:pPr>
        <w:pStyle w:val="Quote1"/>
        <w:spacing w:after="0" w:line="240" w:lineRule="auto"/>
        <w:ind w:left="1134" w:right="1134" w:firstLine="0"/>
        <w:rPr>
          <w:rFonts w:ascii="Arial" w:hAnsi="Arial" w:cs="Arial"/>
        </w:rPr>
      </w:pPr>
      <w:r>
        <w:rPr>
          <w:rFonts w:ascii="Arial" w:hAnsi="Arial" w:cs="Arial"/>
          <w:sz w:val="20"/>
        </w:rPr>
        <w:t xml:space="preserve">'The degree of detailed reasoning required of a tribunal depends upon the nature of the determination, the complexity of the issues and whether the issues are ones of fact or of law or of mixed fact and law, and the function to be served by the giving of reasons.  As to the last matter, reasons which are required to enable a right of appeal on questions of fact to be exercised might not be required if an appeal is limited to questions of law. …The extent of the duty to give reasons will depend upon the way in which the case has been conducted.  A judge may properly limit himself to determining facts which are in issue and dealing with the points which have been taken and the submissions made in relation to them. (See </w:t>
      </w:r>
      <w:r>
        <w:rPr>
          <w:rFonts w:ascii="Arial" w:hAnsi="Arial" w:cs="Arial"/>
          <w:i/>
          <w:sz w:val="20"/>
        </w:rPr>
        <w:t xml:space="preserve">Soulemezis v </w:t>
      </w:r>
      <w:smartTag w:uri="urn:schemas-microsoft-com:office:smarttags" w:element="place">
        <w:r>
          <w:rPr>
            <w:rFonts w:ascii="Arial" w:hAnsi="Arial" w:cs="Arial"/>
            <w:i/>
            <w:sz w:val="20"/>
          </w:rPr>
          <w:t>Dudley</w:t>
        </w:r>
      </w:smartTag>
      <w:r>
        <w:rPr>
          <w:rFonts w:ascii="Arial" w:hAnsi="Arial" w:cs="Arial"/>
          <w:i/>
          <w:sz w:val="20"/>
        </w:rPr>
        <w:t xml:space="preserve"> (Holdings) Pty Ltd </w:t>
      </w:r>
      <w:r>
        <w:rPr>
          <w:rFonts w:ascii="Arial" w:hAnsi="Arial" w:cs="Arial"/>
          <w:sz w:val="20"/>
        </w:rPr>
        <w:t>at 270 per Mahoney JA).'"</w:t>
      </w:r>
    </w:p>
    <w:p w14:paraId="66F684B8" w14:textId="77777777" w:rsidR="00B21DA4" w:rsidRDefault="00B21DA4">
      <w:pPr>
        <w:rPr>
          <w:rFonts w:ascii="Arial" w:hAnsi="Arial" w:cs="Arial"/>
          <w:sz w:val="20"/>
        </w:rPr>
      </w:pPr>
    </w:p>
    <w:p w14:paraId="1A4E65B5"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 xml:space="preserve">Fletcher Construction Australia Ltd v Lines Macfarlane &amp; Marshall Pty Ltd (No 2) </w:t>
      </w:r>
      <w:r>
        <w:rPr>
          <w:rFonts w:ascii="Arial" w:hAnsi="Arial" w:cs="Arial"/>
          <w:sz w:val="20"/>
        </w:rPr>
        <w:t>(2002) 6 VR 1;</w:t>
      </w:r>
      <w:r>
        <w:rPr>
          <w:rFonts w:ascii="Arial" w:hAnsi="Arial" w:cs="Arial"/>
          <w:i/>
          <w:iCs/>
          <w:sz w:val="20"/>
        </w:rPr>
        <w:t xml:space="preserve"> </w:t>
      </w:r>
      <w:r>
        <w:rPr>
          <w:rFonts w:ascii="Arial" w:hAnsi="Arial" w:cs="Arial"/>
          <w:sz w:val="20"/>
        </w:rPr>
        <w:t>[2002] VSCA 189 the Court of Appeal (Charles, Buchanan &amp; Chernov JJA) extensively reviewed the case law and held:</w:t>
      </w:r>
    </w:p>
    <w:p w14:paraId="4CA08295" w14:textId="77777777" w:rsidR="00B21DA4" w:rsidRDefault="00B21DA4" w:rsidP="00D76EF0">
      <w:pPr>
        <w:numPr>
          <w:ilvl w:val="0"/>
          <w:numId w:val="11"/>
        </w:numPr>
        <w:jc w:val="both"/>
        <w:rPr>
          <w:rFonts w:ascii="Arial" w:hAnsi="Arial" w:cs="Arial"/>
          <w:sz w:val="20"/>
        </w:rPr>
      </w:pPr>
      <w:r>
        <w:rPr>
          <w:rFonts w:ascii="Arial" w:hAnsi="Arial" w:cs="Arial"/>
          <w:sz w:val="20"/>
        </w:rPr>
        <w:t xml:space="preserve">At [99]: "The obligation to provide reasons is 'a normal not universal' incident of the judicial process": </w:t>
      </w:r>
      <w:r>
        <w:rPr>
          <w:rFonts w:ascii="Arial" w:hAnsi="Arial" w:cs="Arial"/>
          <w:i/>
          <w:iCs/>
          <w:sz w:val="20"/>
        </w:rPr>
        <w:t>Public Service Board of NSW v Osmond</w:t>
      </w:r>
      <w:r>
        <w:rPr>
          <w:rFonts w:ascii="Arial" w:hAnsi="Arial" w:cs="Arial"/>
          <w:sz w:val="20"/>
        </w:rPr>
        <w:t xml:space="preserve"> (1986) 159 CLR 656 at 666-7; </w:t>
      </w:r>
      <w:r>
        <w:rPr>
          <w:rFonts w:ascii="Arial" w:hAnsi="Arial" w:cs="Arial"/>
          <w:i/>
          <w:iCs/>
          <w:sz w:val="20"/>
        </w:rPr>
        <w:t>Sun Alliance Insurance Ltd v Massoud</w:t>
      </w:r>
      <w:r>
        <w:rPr>
          <w:rFonts w:ascii="Arial" w:hAnsi="Arial" w:cs="Arial"/>
          <w:sz w:val="20"/>
        </w:rPr>
        <w:t xml:space="preserve"> [1989] VR 8 at 19; </w:t>
      </w:r>
      <w:r>
        <w:rPr>
          <w:rFonts w:ascii="Arial" w:hAnsi="Arial" w:cs="Arial"/>
          <w:i/>
          <w:iCs/>
          <w:sz w:val="20"/>
        </w:rPr>
        <w:t>Beale v Government Insurance Office of NSW</w:t>
      </w:r>
      <w:r>
        <w:rPr>
          <w:rFonts w:ascii="Arial" w:hAnsi="Arial" w:cs="Arial"/>
          <w:sz w:val="20"/>
        </w:rPr>
        <w:t xml:space="preserve"> (1997) 48 NSWLR 430 per Meagher JA at 441; </w:t>
      </w:r>
      <w:r>
        <w:rPr>
          <w:rFonts w:ascii="Arial" w:hAnsi="Arial" w:cs="Arial"/>
          <w:i/>
          <w:iCs/>
          <w:sz w:val="20"/>
        </w:rPr>
        <w:t>R v Arnold</w:t>
      </w:r>
      <w:r>
        <w:rPr>
          <w:rFonts w:ascii="Arial" w:hAnsi="Arial" w:cs="Arial"/>
          <w:sz w:val="20"/>
        </w:rPr>
        <w:t xml:space="preserve"> [1999] 1 VR 179 per Phillips JA at 182; </w:t>
      </w:r>
      <w:r>
        <w:rPr>
          <w:rFonts w:ascii="Arial" w:hAnsi="Arial" w:cs="Arial"/>
          <w:i/>
          <w:iCs/>
          <w:sz w:val="20"/>
        </w:rPr>
        <w:t>Perkins v County Court of Victoria</w:t>
      </w:r>
      <w:r>
        <w:rPr>
          <w:rFonts w:ascii="Arial" w:hAnsi="Arial" w:cs="Arial"/>
          <w:sz w:val="20"/>
        </w:rPr>
        <w:t xml:space="preserve"> (2000) 2 VR 246.</w:t>
      </w:r>
    </w:p>
    <w:p w14:paraId="44BE5FF3" w14:textId="77777777" w:rsidR="00B21DA4" w:rsidRDefault="00B21DA4" w:rsidP="00212E38">
      <w:pPr>
        <w:numPr>
          <w:ilvl w:val="0"/>
          <w:numId w:val="11"/>
        </w:numPr>
        <w:jc w:val="both"/>
        <w:rPr>
          <w:rFonts w:ascii="Arial" w:hAnsi="Arial" w:cs="Arial"/>
          <w:sz w:val="20"/>
        </w:rPr>
      </w:pPr>
      <w:r>
        <w:rPr>
          <w:rFonts w:ascii="Arial" w:hAnsi="Arial" w:cs="Arial"/>
          <w:sz w:val="20"/>
        </w:rPr>
        <w:t xml:space="preserve">At [101]: In any case in which reasons are required, the necessary content will depend upon the circumstances of the particular matter.  In </w:t>
      </w:r>
      <w:r>
        <w:rPr>
          <w:rFonts w:ascii="Arial" w:hAnsi="Arial" w:cs="Arial"/>
          <w:i/>
          <w:iCs/>
          <w:sz w:val="20"/>
        </w:rPr>
        <w:t>Beale</w:t>
      </w:r>
      <w:r>
        <w:rPr>
          <w:rFonts w:ascii="Arial" w:hAnsi="Arial" w:cs="Arial"/>
          <w:sz w:val="20"/>
        </w:rPr>
        <w:t>, Meagher JA suggested at 443-4 that while reasons need not be lengthy of elaborate, there were three fundamental elements of a statement of reasons:</w:t>
      </w:r>
    </w:p>
    <w:p w14:paraId="5673D49A" w14:textId="77777777" w:rsidR="00B21DA4" w:rsidRDefault="00B21DA4">
      <w:pPr>
        <w:ind w:left="732" w:hanging="363"/>
        <w:jc w:val="both"/>
        <w:rPr>
          <w:rFonts w:ascii="Arial" w:hAnsi="Arial" w:cs="Arial"/>
          <w:sz w:val="20"/>
        </w:rPr>
      </w:pPr>
      <w:r>
        <w:rPr>
          <w:rFonts w:ascii="Arial" w:hAnsi="Arial" w:cs="Arial"/>
          <w:sz w:val="20"/>
        </w:rPr>
        <w:t>1.</w:t>
      </w:r>
      <w:r>
        <w:rPr>
          <w:rFonts w:ascii="Arial" w:hAnsi="Arial" w:cs="Arial"/>
          <w:sz w:val="20"/>
        </w:rPr>
        <w:tab/>
        <w:t>A judge should refer to relevant evidence albeit not necessarily in detail especially where it is clear that the evidence has been considered.</w:t>
      </w:r>
    </w:p>
    <w:p w14:paraId="34B0044B" w14:textId="77777777" w:rsidR="00B21DA4" w:rsidRDefault="00B21DA4">
      <w:pPr>
        <w:ind w:left="732" w:hanging="363"/>
        <w:jc w:val="both"/>
        <w:rPr>
          <w:rFonts w:ascii="Arial" w:hAnsi="Arial" w:cs="Arial"/>
          <w:sz w:val="20"/>
        </w:rPr>
      </w:pPr>
      <w:r>
        <w:rPr>
          <w:rFonts w:ascii="Arial" w:hAnsi="Arial" w:cs="Arial"/>
          <w:sz w:val="20"/>
        </w:rPr>
        <w:t>2.</w:t>
      </w:r>
      <w:r>
        <w:rPr>
          <w:rFonts w:ascii="Arial" w:hAnsi="Arial" w:cs="Arial"/>
          <w:sz w:val="20"/>
        </w:rPr>
        <w:tab/>
        <w:t>A judge should set out any material findings of fact and any conclusions or ultimate findings of fact reached.</w:t>
      </w:r>
    </w:p>
    <w:p w14:paraId="5FA17DBF" w14:textId="77777777" w:rsidR="00B21DA4" w:rsidRDefault="00B21DA4">
      <w:pPr>
        <w:ind w:left="732" w:hanging="363"/>
        <w:jc w:val="both"/>
        <w:rPr>
          <w:rFonts w:ascii="Arial" w:hAnsi="Arial" w:cs="Arial"/>
          <w:sz w:val="20"/>
        </w:rPr>
      </w:pPr>
      <w:r>
        <w:rPr>
          <w:rFonts w:ascii="Arial" w:hAnsi="Arial" w:cs="Arial"/>
          <w:sz w:val="20"/>
        </w:rPr>
        <w:t>3.</w:t>
      </w:r>
      <w:r>
        <w:rPr>
          <w:rFonts w:ascii="Arial" w:hAnsi="Arial" w:cs="Arial"/>
          <w:sz w:val="20"/>
        </w:rPr>
        <w:tab/>
        <w:t>A judge should provide reasons for making the relevant findings of fact (and conclusions) and reasons in applying the law to the facts found.</w:t>
      </w:r>
    </w:p>
    <w:p w14:paraId="5161F3AF" w14:textId="77777777" w:rsidR="00B21DA4" w:rsidRDefault="00B21DA4" w:rsidP="005E5743">
      <w:pPr>
        <w:numPr>
          <w:ilvl w:val="0"/>
          <w:numId w:val="11"/>
        </w:numPr>
        <w:jc w:val="both"/>
        <w:rPr>
          <w:rFonts w:ascii="Arial" w:hAnsi="Arial" w:cs="Arial"/>
          <w:sz w:val="20"/>
        </w:rPr>
      </w:pPr>
      <w:r>
        <w:rPr>
          <w:rFonts w:ascii="Arial" w:hAnsi="Arial" w:cs="Arial"/>
          <w:sz w:val="20"/>
        </w:rPr>
        <w:t xml:space="preserve">At [103]: The failure of a judge or magistrate to refer to relevant evidence may result in an appeal court properly drawing the inference that it was overlooked or ignored: </w:t>
      </w:r>
      <w:r>
        <w:rPr>
          <w:rFonts w:ascii="Arial" w:hAnsi="Arial" w:cs="Arial"/>
          <w:i/>
          <w:iCs/>
          <w:sz w:val="20"/>
        </w:rPr>
        <w:t>Yendall v Smith Mitchell &amp; Co Ltd</w:t>
      </w:r>
      <w:r>
        <w:rPr>
          <w:rFonts w:ascii="Arial" w:hAnsi="Arial" w:cs="Arial"/>
          <w:sz w:val="20"/>
        </w:rPr>
        <w:t xml:space="preserve"> [1953] VLR 369 at 379; </w:t>
      </w:r>
      <w:r>
        <w:rPr>
          <w:rFonts w:ascii="Arial" w:hAnsi="Arial" w:cs="Arial"/>
          <w:i/>
          <w:iCs/>
          <w:sz w:val="20"/>
        </w:rPr>
        <w:t>Sun Alliance Insurance v Massoud</w:t>
      </w:r>
      <w:r>
        <w:rPr>
          <w:rFonts w:ascii="Arial" w:hAnsi="Arial" w:cs="Arial"/>
          <w:sz w:val="20"/>
        </w:rPr>
        <w:t xml:space="preserve"> [1989] VR 8 at 17; </w:t>
      </w:r>
      <w:r>
        <w:rPr>
          <w:rFonts w:ascii="Arial" w:hAnsi="Arial" w:cs="Arial"/>
          <w:i/>
          <w:iCs/>
          <w:sz w:val="20"/>
        </w:rPr>
        <w:t>Mifsud v Campbell</w:t>
      </w:r>
      <w:r>
        <w:rPr>
          <w:rFonts w:ascii="Arial" w:hAnsi="Arial" w:cs="Arial"/>
          <w:sz w:val="20"/>
        </w:rPr>
        <w:t xml:space="preserve"> (1991) 21 NSWLR 725 at 728; </w:t>
      </w:r>
      <w:r>
        <w:rPr>
          <w:rFonts w:ascii="Arial" w:hAnsi="Arial" w:cs="Arial"/>
          <w:i/>
          <w:iCs/>
          <w:sz w:val="20"/>
        </w:rPr>
        <w:t>NRMA Insurance Ltd v Tatt</w:t>
      </w:r>
      <w:r>
        <w:rPr>
          <w:rFonts w:ascii="Arial" w:hAnsi="Arial" w:cs="Arial"/>
          <w:sz w:val="20"/>
        </w:rPr>
        <w:t xml:space="preserve"> (1989) 92 ALR 299.</w:t>
      </w:r>
    </w:p>
    <w:p w14:paraId="35CE5E9C" w14:textId="77777777" w:rsidR="00B21DA4" w:rsidRDefault="00B21DA4" w:rsidP="002C0A9F">
      <w:pPr>
        <w:numPr>
          <w:ilvl w:val="0"/>
          <w:numId w:val="11"/>
        </w:numPr>
        <w:jc w:val="both"/>
        <w:rPr>
          <w:rFonts w:ascii="Arial" w:hAnsi="Arial" w:cs="Arial"/>
          <w:sz w:val="20"/>
        </w:rPr>
      </w:pPr>
      <w:r>
        <w:rPr>
          <w:rFonts w:ascii="Arial" w:hAnsi="Arial" w:cs="Arial"/>
          <w:sz w:val="20"/>
        </w:rPr>
        <w:t xml:space="preserve">At [157]: "The duty to deal with facts or evidence is not absolute.  The evidence must be significant in the sense that, unless disposed of, it stands in the way of the court's conclusions.  The court need not deal in terms with evidence when its importance falls away because of the manner in which the court disposes of the case.  Nevertheless, if evidence is significant, it is not to be peremptorily shunted aside or ignored: </w:t>
      </w:r>
      <w:r>
        <w:rPr>
          <w:rFonts w:ascii="Arial" w:hAnsi="Arial" w:cs="Arial"/>
          <w:i/>
          <w:iCs/>
          <w:sz w:val="20"/>
        </w:rPr>
        <w:t>Sun Alliance Insurance</w:t>
      </w:r>
      <w:r>
        <w:rPr>
          <w:rFonts w:ascii="Arial" w:hAnsi="Arial" w:cs="Arial"/>
          <w:sz w:val="20"/>
        </w:rPr>
        <w:t xml:space="preserve"> [1989] VR 8 at 18; </w:t>
      </w:r>
      <w:r>
        <w:rPr>
          <w:rFonts w:ascii="Arial" w:hAnsi="Arial" w:cs="Arial"/>
          <w:i/>
          <w:iCs/>
          <w:sz w:val="20"/>
        </w:rPr>
        <w:t>Beale</w:t>
      </w:r>
      <w:r>
        <w:rPr>
          <w:rFonts w:ascii="Arial" w:hAnsi="Arial" w:cs="Arial"/>
          <w:sz w:val="20"/>
        </w:rPr>
        <w:t xml:space="preserve"> 48 NSWLR 430 at 443."</w:t>
      </w:r>
    </w:p>
    <w:p w14:paraId="49105EF0" w14:textId="77777777" w:rsidR="00B21DA4" w:rsidRDefault="00B21DA4">
      <w:pPr>
        <w:jc w:val="both"/>
        <w:rPr>
          <w:rFonts w:ascii="Arial" w:hAnsi="Arial" w:cs="Arial"/>
          <w:sz w:val="20"/>
        </w:rPr>
      </w:pPr>
    </w:p>
    <w:p w14:paraId="1416F5FB" w14:textId="77777777" w:rsidR="00B21DA4" w:rsidRDefault="00B21DA4">
      <w:pPr>
        <w:jc w:val="both"/>
        <w:rPr>
          <w:rFonts w:ascii="Arial" w:hAnsi="Arial" w:cs="Arial"/>
          <w:sz w:val="20"/>
        </w:rPr>
      </w:pPr>
      <w:r>
        <w:rPr>
          <w:rFonts w:ascii="Arial" w:hAnsi="Arial" w:cs="Arial"/>
          <w:sz w:val="20"/>
        </w:rPr>
        <w:t xml:space="preserve">However, as Cussen ACJ noted in </w:t>
      </w:r>
      <w:r>
        <w:rPr>
          <w:rFonts w:ascii="Arial" w:hAnsi="Arial" w:cs="Arial"/>
          <w:i/>
          <w:iCs/>
          <w:sz w:val="20"/>
        </w:rPr>
        <w:t>Brittingham v Williams</w:t>
      </w:r>
      <w:r>
        <w:rPr>
          <w:rFonts w:ascii="Arial" w:hAnsi="Arial" w:cs="Arial"/>
          <w:sz w:val="20"/>
        </w:rPr>
        <w:t xml:space="preserve"> [1932] VLR 237 at 239:</w:t>
      </w:r>
    </w:p>
    <w:p w14:paraId="4FE75B06" w14:textId="77777777" w:rsidR="00B21DA4" w:rsidRDefault="00B21DA4" w:rsidP="005E5743">
      <w:pPr>
        <w:spacing w:before="60"/>
        <w:ind w:left="454" w:right="454"/>
        <w:jc w:val="both"/>
        <w:rPr>
          <w:rFonts w:ascii="Arial" w:hAnsi="Arial" w:cs="Arial"/>
          <w:sz w:val="20"/>
        </w:rPr>
      </w:pPr>
      <w:r>
        <w:rPr>
          <w:rFonts w:ascii="Arial" w:hAnsi="Arial" w:cs="Arial"/>
          <w:sz w:val="20"/>
        </w:rPr>
        <w:t>"The simplicity of the context of a case or the state of the evidence may be such that a mere statement of the conclusion will sufficiently indicate the basis of the decision."</w:t>
      </w:r>
    </w:p>
    <w:p w14:paraId="799BE1E6" w14:textId="77777777" w:rsidR="00B21DA4" w:rsidRDefault="00B21DA4">
      <w:pPr>
        <w:jc w:val="both"/>
        <w:rPr>
          <w:rFonts w:ascii="Arial" w:hAnsi="Arial" w:cs="Arial"/>
          <w:sz w:val="20"/>
        </w:rPr>
      </w:pPr>
    </w:p>
    <w:p w14:paraId="6C3623E5" w14:textId="77777777" w:rsidR="00B21DA4" w:rsidRDefault="00B21DA4">
      <w:pPr>
        <w:jc w:val="both"/>
        <w:rPr>
          <w:rFonts w:ascii="Arial" w:hAnsi="Arial" w:cs="Arial"/>
          <w:sz w:val="20"/>
        </w:rPr>
      </w:pPr>
      <w:r>
        <w:rPr>
          <w:rFonts w:ascii="Arial" w:hAnsi="Arial" w:cs="Arial"/>
          <w:sz w:val="20"/>
        </w:rPr>
        <w:t xml:space="preserve">The balancing process was explained by McHugh JA in </w:t>
      </w:r>
      <w:r>
        <w:rPr>
          <w:rFonts w:ascii="Arial" w:hAnsi="Arial" w:cs="Arial"/>
          <w:i/>
          <w:iCs/>
          <w:sz w:val="20"/>
        </w:rPr>
        <w:t xml:space="preserve">Soulemezis v </w:t>
      </w:r>
      <w:smartTag w:uri="urn:schemas-microsoft-com:office:smarttags" w:element="place">
        <w:r>
          <w:rPr>
            <w:rFonts w:ascii="Arial" w:hAnsi="Arial" w:cs="Arial"/>
            <w:i/>
            <w:iCs/>
            <w:sz w:val="20"/>
          </w:rPr>
          <w:t>Dudley</w:t>
        </w:r>
      </w:smartTag>
      <w:r>
        <w:rPr>
          <w:rFonts w:ascii="Arial" w:hAnsi="Arial" w:cs="Arial"/>
          <w:i/>
          <w:iCs/>
          <w:sz w:val="20"/>
        </w:rPr>
        <w:t xml:space="preserve"> (Holdings) Pty Ltd</w:t>
      </w:r>
      <w:r>
        <w:rPr>
          <w:rFonts w:ascii="Arial" w:hAnsi="Arial" w:cs="Arial"/>
          <w:sz w:val="20"/>
        </w:rPr>
        <w:t xml:space="preserve"> (1987) 10 NSWLR 247 as follows</w:t>
      </w:r>
      <w:r w:rsidR="008C3BC8">
        <w:rPr>
          <w:rFonts w:ascii="Arial" w:hAnsi="Arial" w:cs="Arial"/>
          <w:sz w:val="20"/>
        </w:rPr>
        <w:t xml:space="preserve"> </w:t>
      </w:r>
      <w:r w:rsidR="008C3BC8" w:rsidRPr="008C3BC8">
        <w:rPr>
          <w:rFonts w:ascii="Arial" w:hAnsi="Arial" w:cs="Arial"/>
          <w:color w:val="000000"/>
          <w:sz w:val="20"/>
        </w:rPr>
        <w:t>[emphasis added]</w:t>
      </w:r>
      <w:r>
        <w:rPr>
          <w:rFonts w:ascii="Arial" w:hAnsi="Arial" w:cs="Arial"/>
          <w:sz w:val="20"/>
        </w:rPr>
        <w:t>:</w:t>
      </w:r>
    </w:p>
    <w:p w14:paraId="740C0565" w14:textId="77777777" w:rsidR="00B21DA4" w:rsidRPr="008C3BC8" w:rsidRDefault="00B21DA4" w:rsidP="005E5743">
      <w:pPr>
        <w:spacing w:before="60"/>
        <w:ind w:left="454" w:right="454"/>
        <w:jc w:val="both"/>
        <w:rPr>
          <w:rFonts w:ascii="Arial" w:hAnsi="Arial" w:cs="Arial"/>
          <w:color w:val="000000"/>
          <w:sz w:val="20"/>
          <w:u w:val="single"/>
        </w:rPr>
      </w:pPr>
      <w:r>
        <w:rPr>
          <w:rFonts w:ascii="Arial" w:hAnsi="Arial" w:cs="Arial"/>
          <w:sz w:val="20"/>
        </w:rPr>
        <w:t>"</w:t>
      </w:r>
      <w:r>
        <w:rPr>
          <w:rFonts w:ascii="Arial" w:hAnsi="Arial" w:cs="Arial"/>
          <w:color w:val="000000"/>
          <w:sz w:val="20"/>
        </w:rPr>
        <w:t xml:space="preserve">The limited nature of judicial resources and the cost to litigants and the general public in requiring reasons must also be weighed.  For example, many reasons concerning the admissibility of evidence may require nothing more than a ruling: in NSW common law judges have long held that they are not obliged to hear argument on the admissibility of every </w:t>
      </w:r>
      <w:r>
        <w:rPr>
          <w:rFonts w:ascii="Arial" w:hAnsi="Arial" w:cs="Arial"/>
          <w:color w:val="000000"/>
          <w:sz w:val="20"/>
        </w:rPr>
        <w:lastRenderedPageBreak/>
        <w:t xml:space="preserve">question of evidence let alone give reasons.  It all depends on the importance of </w:t>
      </w:r>
      <w:r w:rsidRPr="008C3BC8">
        <w:rPr>
          <w:rFonts w:ascii="Arial" w:hAnsi="Arial" w:cs="Arial"/>
          <w:color w:val="000000"/>
          <w:sz w:val="20"/>
        </w:rPr>
        <w:t xml:space="preserve">the point involved and its likely effect on the outcome of the case.  </w:t>
      </w:r>
      <w:r w:rsidRPr="008B7D36">
        <w:rPr>
          <w:rFonts w:ascii="Arial" w:hAnsi="Arial" w:cs="Arial"/>
          <w:i/>
          <w:iCs/>
          <w:color w:val="000000"/>
          <w:sz w:val="20"/>
          <w:u w:val="single"/>
        </w:rPr>
        <w:t>But when the decision constitutes what is in fact or substance a final order, the case must be exceptional for a judge not to have a duty to state reasons.</w:t>
      </w:r>
      <w:r w:rsidRPr="008C3BC8">
        <w:rPr>
          <w:rFonts w:ascii="Arial" w:hAnsi="Arial" w:cs="Arial"/>
          <w:i/>
          <w:iCs/>
          <w:color w:val="000000"/>
          <w:sz w:val="20"/>
        </w:rPr>
        <w:t>”</w:t>
      </w:r>
    </w:p>
    <w:p w14:paraId="0C37E19D" w14:textId="77777777" w:rsidR="00B21DA4" w:rsidRDefault="00B21DA4">
      <w:pPr>
        <w:jc w:val="both"/>
        <w:rPr>
          <w:rFonts w:ascii="Arial" w:hAnsi="Arial" w:cs="Arial"/>
          <w:sz w:val="20"/>
        </w:rPr>
      </w:pPr>
      <w:bookmarkStart w:id="960" w:name="_Toc30608810"/>
      <w:bookmarkStart w:id="961" w:name="_Toc30610024"/>
      <w:bookmarkStart w:id="962" w:name="_Toc30610268"/>
      <w:bookmarkStart w:id="963" w:name="_Toc30638422"/>
      <w:bookmarkStart w:id="964" w:name="_Toc30644231"/>
      <w:bookmarkStart w:id="965" w:name="_Toc30644634"/>
      <w:bookmarkStart w:id="966" w:name="_Toc30645184"/>
      <w:bookmarkStart w:id="967" w:name="_Toc30646395"/>
      <w:bookmarkStart w:id="968" w:name="_Toc30646690"/>
      <w:bookmarkStart w:id="969" w:name="_Toc30646801"/>
      <w:bookmarkStart w:id="970" w:name="_Toc30648158"/>
      <w:bookmarkStart w:id="971" w:name="_Toc30649056"/>
      <w:bookmarkStart w:id="972" w:name="_Toc30649132"/>
      <w:bookmarkStart w:id="973" w:name="_Toc30649393"/>
      <w:bookmarkStart w:id="974" w:name="_Toc30649718"/>
      <w:bookmarkStart w:id="975" w:name="_Toc30651658"/>
      <w:bookmarkStart w:id="976" w:name="_Toc30652644"/>
      <w:bookmarkStart w:id="977" w:name="_Toc30652742"/>
      <w:bookmarkStart w:id="978" w:name="_Toc30654087"/>
      <w:bookmarkStart w:id="979" w:name="_Toc30654438"/>
      <w:bookmarkStart w:id="980" w:name="_Toc30655057"/>
      <w:bookmarkStart w:id="981" w:name="_Toc30655314"/>
      <w:bookmarkStart w:id="982" w:name="_Toc30656992"/>
      <w:bookmarkStart w:id="983" w:name="_Toc30661741"/>
      <w:bookmarkStart w:id="984" w:name="_Toc30666429"/>
      <w:bookmarkStart w:id="985" w:name="_Toc30666659"/>
      <w:bookmarkStart w:id="986" w:name="_Toc30667834"/>
      <w:bookmarkStart w:id="987" w:name="_Toc30669212"/>
      <w:bookmarkStart w:id="988" w:name="_Toc30671428"/>
      <w:bookmarkStart w:id="989" w:name="_Toc30673955"/>
      <w:bookmarkStart w:id="990" w:name="_Toc30691177"/>
      <w:bookmarkStart w:id="991" w:name="_Toc30691548"/>
      <w:bookmarkStart w:id="992" w:name="_Toc30691928"/>
      <w:bookmarkStart w:id="993" w:name="_Toc30692687"/>
      <w:bookmarkStart w:id="994" w:name="_Toc30693066"/>
      <w:bookmarkStart w:id="995" w:name="_Toc30693444"/>
      <w:bookmarkStart w:id="996" w:name="_Toc30693823"/>
      <w:bookmarkStart w:id="997" w:name="_Toc30694204"/>
      <w:bookmarkStart w:id="998" w:name="_Toc30698793"/>
      <w:bookmarkStart w:id="999" w:name="_Toc30699171"/>
      <w:bookmarkStart w:id="1000" w:name="_Toc30699556"/>
      <w:bookmarkStart w:id="1001" w:name="_Toc30700711"/>
      <w:bookmarkStart w:id="1002" w:name="_Toc30701098"/>
      <w:bookmarkStart w:id="1003" w:name="_Toc30743707"/>
      <w:bookmarkStart w:id="1004" w:name="_Toc30754529"/>
      <w:bookmarkStart w:id="1005" w:name="_Toc30756969"/>
      <w:bookmarkStart w:id="1006" w:name="_Toc30757518"/>
      <w:bookmarkStart w:id="1007" w:name="_Toc30757918"/>
      <w:bookmarkStart w:id="1008" w:name="_Toc30762679"/>
      <w:bookmarkStart w:id="1009" w:name="_Toc30767333"/>
      <w:bookmarkStart w:id="1010" w:name="_Toc34823349"/>
      <w:bookmarkStart w:id="1011" w:name="_Toc58831511"/>
    </w:p>
    <w:p w14:paraId="56D7097E" w14:textId="77777777" w:rsidR="00B46278" w:rsidRDefault="00B46278" w:rsidP="00B46278">
      <w:pPr>
        <w:jc w:val="both"/>
        <w:rPr>
          <w:rFonts w:ascii="Arial" w:hAnsi="Arial" w:cs="Arial"/>
          <w:sz w:val="20"/>
        </w:rPr>
      </w:pPr>
      <w:r>
        <w:rPr>
          <w:rFonts w:ascii="Arial" w:hAnsi="Arial" w:cs="Arial"/>
          <w:sz w:val="20"/>
        </w:rPr>
        <w:t xml:space="preserve">In </w:t>
      </w:r>
      <w:r w:rsidRPr="00B46278">
        <w:rPr>
          <w:rFonts w:ascii="Arial" w:hAnsi="Arial" w:cs="Arial"/>
          <w:i/>
          <w:sz w:val="20"/>
        </w:rPr>
        <w:t xml:space="preserve">The Roy Morgan Research Centre Pty Ltd v Commissioner of State Revenue </w:t>
      </w:r>
      <w:r>
        <w:rPr>
          <w:rFonts w:ascii="Arial" w:hAnsi="Arial" w:cs="Arial"/>
          <w:sz w:val="20"/>
        </w:rPr>
        <w:t>[2005] VSC 136 at [23] Harper J spoke of the difficulty of getting the balance right:</w:t>
      </w:r>
    </w:p>
    <w:p w14:paraId="12940F3A" w14:textId="77777777" w:rsidR="00B46278" w:rsidRDefault="00B46278" w:rsidP="005E5743">
      <w:pPr>
        <w:spacing w:before="80"/>
        <w:ind w:left="454" w:right="454"/>
        <w:jc w:val="both"/>
        <w:rPr>
          <w:rFonts w:ascii="Arial" w:hAnsi="Arial" w:cs="Arial"/>
          <w:sz w:val="20"/>
        </w:rPr>
      </w:pPr>
      <w:r>
        <w:rPr>
          <w:rFonts w:ascii="Arial" w:hAnsi="Arial" w:cs="Arial"/>
          <w:sz w:val="20"/>
        </w:rPr>
        <w:t>“</w:t>
      </w:r>
      <w:r w:rsidRPr="001E2974">
        <w:rPr>
          <w:rFonts w:ascii="Arial" w:hAnsi="Arial" w:cs="Arial"/>
          <w:sz w:val="20"/>
          <w:szCs w:val="20"/>
        </w:rPr>
        <w:t>As is often the case, it is easier to state the principle than apply it.  Brevity in judgment writing is a virtue; but only if it does not come at the expense of completeness.  Getting the balance right is just one of the difficulties of a generally difficult exercise.  It is no business of a court to insist that members of tribunals deliver a thesis with every judgment.  On the contrary, tribunals are expected to deliver justice with speed and economy, and against these imperatives must in their judgments be as brie</w:t>
      </w:r>
      <w:r>
        <w:rPr>
          <w:rFonts w:ascii="Arial" w:hAnsi="Arial" w:cs="Arial"/>
          <w:sz w:val="20"/>
          <w:szCs w:val="20"/>
        </w:rPr>
        <w:t>f as the circumstances permit.”</w:t>
      </w:r>
    </w:p>
    <w:p w14:paraId="1D37EEB0" w14:textId="77777777" w:rsidR="005E5743" w:rsidRDefault="005E5743" w:rsidP="00B46278">
      <w:pPr>
        <w:jc w:val="both"/>
        <w:rPr>
          <w:rFonts w:ascii="Arial" w:hAnsi="Arial" w:cs="Arial"/>
          <w:sz w:val="20"/>
        </w:rPr>
      </w:pPr>
    </w:p>
    <w:p w14:paraId="3AE9DD64" w14:textId="061CE2DD" w:rsidR="001C5874" w:rsidRDefault="001C1A52" w:rsidP="00B46278">
      <w:pPr>
        <w:jc w:val="both"/>
        <w:rPr>
          <w:rFonts w:ascii="Arial" w:hAnsi="Arial" w:cs="Arial"/>
          <w:sz w:val="20"/>
        </w:rPr>
      </w:pPr>
      <w:r>
        <w:rPr>
          <w:rFonts w:ascii="Arial" w:hAnsi="Arial" w:cs="Arial"/>
          <w:sz w:val="20"/>
        </w:rPr>
        <w:t xml:space="preserve">In </w:t>
      </w:r>
      <w:r w:rsidR="001C5874" w:rsidRPr="001C1A52">
        <w:rPr>
          <w:rFonts w:ascii="Arial" w:hAnsi="Arial" w:cs="Arial"/>
          <w:i/>
          <w:iCs/>
          <w:sz w:val="20"/>
        </w:rPr>
        <w:t xml:space="preserve">Warburton </w:t>
      </w:r>
      <w:r w:rsidRPr="001C1A52">
        <w:rPr>
          <w:rFonts w:ascii="Arial" w:hAnsi="Arial" w:cs="Arial"/>
          <w:i/>
          <w:iCs/>
          <w:sz w:val="20"/>
        </w:rPr>
        <w:t>Environment Inc v VicForests</w:t>
      </w:r>
      <w:r>
        <w:rPr>
          <w:rFonts w:ascii="Arial" w:hAnsi="Arial" w:cs="Arial"/>
          <w:sz w:val="20"/>
        </w:rPr>
        <w:t xml:space="preserve"> [2021] VSCA 194 – holding that the reasons of Garde J in [2021] VSC 35 were adequate – the Court of Appeal (Niall, Emerton &amp; Kennedy JJA) held at [</w:t>
      </w:r>
      <w:r w:rsidR="007C4A9F">
        <w:rPr>
          <w:rFonts w:ascii="Arial" w:hAnsi="Arial" w:cs="Arial"/>
          <w:sz w:val="20"/>
        </w:rPr>
        <w:t>8</w:t>
      </w:r>
      <w:r>
        <w:rPr>
          <w:rFonts w:ascii="Arial" w:hAnsi="Arial" w:cs="Arial"/>
          <w:sz w:val="20"/>
        </w:rPr>
        <w:t>9]-[</w:t>
      </w:r>
      <w:r w:rsidR="007C4A9F">
        <w:rPr>
          <w:rFonts w:ascii="Arial" w:hAnsi="Arial" w:cs="Arial"/>
          <w:sz w:val="20"/>
        </w:rPr>
        <w:t>9</w:t>
      </w:r>
      <w:r w:rsidR="004A50B3">
        <w:rPr>
          <w:rFonts w:ascii="Arial" w:hAnsi="Arial" w:cs="Arial"/>
          <w:sz w:val="20"/>
        </w:rPr>
        <w:t>4</w:t>
      </w:r>
      <w:r>
        <w:rPr>
          <w:rFonts w:ascii="Arial" w:hAnsi="Arial" w:cs="Arial"/>
          <w:sz w:val="20"/>
        </w:rPr>
        <w:t>]:</w:t>
      </w:r>
    </w:p>
    <w:p w14:paraId="38E39EAA" w14:textId="47EAA31E" w:rsidR="001C1A52" w:rsidRPr="001C1A52" w:rsidRDefault="001C1A52" w:rsidP="005E5743">
      <w:pPr>
        <w:spacing w:before="80"/>
        <w:ind w:left="454" w:right="454"/>
        <w:jc w:val="both"/>
        <w:rPr>
          <w:rFonts w:ascii="Arial" w:hAnsi="Arial" w:cs="Arial"/>
          <w:sz w:val="20"/>
          <w:szCs w:val="20"/>
        </w:rPr>
      </w:pPr>
      <w:r>
        <w:rPr>
          <w:rFonts w:ascii="Arial" w:hAnsi="Arial" w:cs="Arial"/>
          <w:sz w:val="20"/>
        </w:rPr>
        <w:t>[</w:t>
      </w:r>
      <w:r w:rsidR="007C4A9F">
        <w:rPr>
          <w:rFonts w:ascii="Arial" w:hAnsi="Arial" w:cs="Arial"/>
          <w:sz w:val="20"/>
        </w:rPr>
        <w:t>8</w:t>
      </w:r>
      <w:r>
        <w:rPr>
          <w:rFonts w:ascii="Arial" w:hAnsi="Arial" w:cs="Arial"/>
          <w:sz w:val="20"/>
        </w:rPr>
        <w:t>9] “</w:t>
      </w:r>
      <w:r w:rsidRPr="001C1A52">
        <w:rPr>
          <w:rFonts w:ascii="Arial" w:hAnsi="Arial" w:cs="Arial"/>
          <w:sz w:val="20"/>
          <w:szCs w:val="20"/>
        </w:rPr>
        <w:t>The obligation to give reasons for a decision is a hallmark of the exercise of judicial power.  It is well established that the nature of the obligation and the content of the duty to give reasons depends on the nature of the hearing and the issues that must be determined.  In</w:t>
      </w:r>
      <w:r>
        <w:rPr>
          <w:rFonts w:ascii="Arial" w:hAnsi="Arial" w:cs="Arial"/>
          <w:sz w:val="20"/>
          <w:szCs w:val="20"/>
        </w:rPr>
        <w:t> </w:t>
      </w:r>
      <w:r w:rsidRPr="001C1A52">
        <w:rPr>
          <w:rFonts w:ascii="Arial" w:hAnsi="Arial" w:cs="Arial"/>
          <w:sz w:val="20"/>
          <w:szCs w:val="20"/>
        </w:rPr>
        <w:t>the context of a decision in a criminal trial before a judge</w:t>
      </w:r>
      <w:r>
        <w:rPr>
          <w:rFonts w:ascii="Arial" w:hAnsi="Arial" w:cs="Arial"/>
          <w:sz w:val="20"/>
          <w:szCs w:val="20"/>
        </w:rPr>
        <w:t xml:space="preserve"> alone Nettle J said in </w:t>
      </w:r>
      <w:r w:rsidRPr="001C1A52">
        <w:rPr>
          <w:rFonts w:ascii="Arial" w:hAnsi="Arial" w:cs="Arial"/>
          <w:i/>
          <w:iCs/>
          <w:sz w:val="20"/>
        </w:rPr>
        <w:t xml:space="preserve">DL v The </w:t>
      </w:r>
      <w:r w:rsidRPr="001C1A52">
        <w:rPr>
          <w:rFonts w:ascii="Arial" w:hAnsi="Arial" w:cs="Arial"/>
          <w:i/>
          <w:iCs/>
          <w:sz w:val="20"/>
          <w:szCs w:val="20"/>
        </w:rPr>
        <w:t>Queen</w:t>
      </w:r>
      <w:r w:rsidRPr="001C1A52">
        <w:rPr>
          <w:rFonts w:ascii="Arial" w:hAnsi="Arial" w:cs="Arial"/>
          <w:sz w:val="20"/>
          <w:szCs w:val="20"/>
        </w:rPr>
        <w:t xml:space="preserve"> (2018) 266 CLR 1, 44</w:t>
      </w:r>
      <w:r w:rsidRPr="001C1A52">
        <w:rPr>
          <w:rFonts w:ascii="Arial" w:eastAsia="Book Antiqua" w:hAnsi="Arial" w:cs="Arial"/>
          <w:sz w:val="20"/>
          <w:szCs w:val="20"/>
        </w:rPr>
        <w:t>–</w:t>
      </w:r>
      <w:r w:rsidRPr="001C1A52">
        <w:rPr>
          <w:rFonts w:ascii="Arial" w:hAnsi="Arial" w:cs="Arial"/>
          <w:sz w:val="20"/>
          <w:szCs w:val="20"/>
        </w:rPr>
        <w:t>5 [131]; [2018] HCA 26 (citations omitted)</w:t>
      </w:r>
      <w:r>
        <w:rPr>
          <w:rFonts w:ascii="Arial" w:hAnsi="Arial" w:cs="Arial"/>
          <w:sz w:val="20"/>
          <w:szCs w:val="20"/>
        </w:rPr>
        <w:t>:</w:t>
      </w:r>
    </w:p>
    <w:p w14:paraId="08325BF2" w14:textId="7C12229C" w:rsidR="001C1A52" w:rsidRPr="001C1A52" w:rsidRDefault="001C1A52" w:rsidP="005E5743">
      <w:pPr>
        <w:ind w:left="907" w:right="907"/>
        <w:jc w:val="both"/>
        <w:rPr>
          <w:rFonts w:ascii="Arial" w:hAnsi="Arial" w:cs="Arial"/>
          <w:sz w:val="20"/>
        </w:rPr>
      </w:pPr>
      <w:r w:rsidRPr="001C1A52">
        <w:rPr>
          <w:rFonts w:ascii="Arial" w:hAnsi="Arial" w:cs="Arial"/>
          <w:sz w:val="18"/>
          <w:szCs w:val="20"/>
        </w:rPr>
        <w:t>‘Since parties must be able to see the extent to which their cases have been understood and accepted, a trial judge will ordinarily be expected to expose his or her reasoning on points critical to the contest between the parties.  This applies both to evidence and to argument.  If a party relies on relevant and cogent evidence which the judge rejects, the judge should provide a reasoned explanation for the rejection of that evidence.  If the parties advance conflicting evidence on a matter significant to the outcome, both sets of evidence should be referred to and reasons provided for why the judge prefers one set of evidence to the other.  Similarly, while a judge is not required to deal with every argument and issue that might arise in the course of a trial, if a party raises a substantial argument which the judge rejects, the judge should refer to it and assign reasons for its rejection.  And in providing reasons, the judge is required to make apparent the steps he or she has taken in reaching the conclusion expressed, for reasons are not intelligible if they leave the reader to speculate as to which of a number of possible paths of reasoning the judge may have taken to that conclusion.  Failure sufficiently to expose the path of reasoning is therefore an error of law.</w:t>
      </w:r>
      <w:r>
        <w:rPr>
          <w:rFonts w:ascii="Arial" w:hAnsi="Arial" w:cs="Arial"/>
          <w:sz w:val="18"/>
          <w:szCs w:val="20"/>
        </w:rPr>
        <w:t>’</w:t>
      </w:r>
    </w:p>
    <w:p w14:paraId="6DC6341A" w14:textId="53648854" w:rsidR="001C1A52" w:rsidRDefault="001C1A52" w:rsidP="005E5743">
      <w:pPr>
        <w:spacing w:before="80"/>
        <w:ind w:left="454" w:right="454"/>
        <w:jc w:val="both"/>
        <w:rPr>
          <w:rFonts w:ascii="Arial" w:hAnsi="Arial" w:cs="Arial"/>
          <w:sz w:val="20"/>
          <w:szCs w:val="20"/>
        </w:rPr>
      </w:pPr>
      <w:r>
        <w:rPr>
          <w:rFonts w:ascii="Arial" w:hAnsi="Arial" w:cs="Arial"/>
          <w:sz w:val="20"/>
          <w:szCs w:val="20"/>
        </w:rPr>
        <w:t>[</w:t>
      </w:r>
      <w:r w:rsidR="007C4A9F">
        <w:rPr>
          <w:rFonts w:ascii="Arial" w:hAnsi="Arial" w:cs="Arial"/>
          <w:sz w:val="20"/>
          <w:szCs w:val="20"/>
        </w:rPr>
        <w:t>9</w:t>
      </w:r>
      <w:r>
        <w:rPr>
          <w:rFonts w:ascii="Arial" w:hAnsi="Arial" w:cs="Arial"/>
          <w:sz w:val="20"/>
          <w:szCs w:val="20"/>
        </w:rPr>
        <w:t xml:space="preserve">0] </w:t>
      </w:r>
      <w:r w:rsidRPr="001C1A52">
        <w:rPr>
          <w:rFonts w:ascii="Arial" w:hAnsi="Arial" w:cs="Arial"/>
          <w:sz w:val="20"/>
          <w:szCs w:val="20"/>
        </w:rPr>
        <w:t>In the paragraph preceding the one just quoted, Nettle J said that the extent of the obligation may depend on the circumstances of the case, but that reasons must identify the relevant principles of law, refer to relevant evidence, state the judge's findings upon material questions of fact, and provide an explanation for those findings and the ultimate conclusions reached by the judge.</w:t>
      </w:r>
    </w:p>
    <w:p w14:paraId="5EDF1EA3" w14:textId="675709CF" w:rsidR="001C1A52" w:rsidRDefault="001C1A52" w:rsidP="005E5743">
      <w:pPr>
        <w:spacing w:before="80"/>
        <w:ind w:left="454" w:right="454"/>
        <w:jc w:val="both"/>
        <w:rPr>
          <w:rFonts w:ascii="Arial" w:hAnsi="Arial" w:cs="Arial"/>
          <w:sz w:val="20"/>
          <w:szCs w:val="20"/>
        </w:rPr>
      </w:pPr>
      <w:r>
        <w:rPr>
          <w:rFonts w:ascii="Arial" w:hAnsi="Arial" w:cs="Arial"/>
          <w:sz w:val="20"/>
          <w:szCs w:val="20"/>
        </w:rPr>
        <w:t>[</w:t>
      </w:r>
      <w:r w:rsidR="007C4A9F">
        <w:rPr>
          <w:rFonts w:ascii="Arial" w:hAnsi="Arial" w:cs="Arial"/>
          <w:sz w:val="20"/>
          <w:szCs w:val="20"/>
        </w:rPr>
        <w:t>9</w:t>
      </w:r>
      <w:r>
        <w:rPr>
          <w:rFonts w:ascii="Arial" w:hAnsi="Arial" w:cs="Arial"/>
          <w:sz w:val="20"/>
          <w:szCs w:val="20"/>
        </w:rPr>
        <w:t xml:space="preserve">1] </w:t>
      </w:r>
      <w:r w:rsidRPr="001C1A52">
        <w:rPr>
          <w:rFonts w:ascii="Arial" w:hAnsi="Arial" w:cs="Arial"/>
          <w:sz w:val="20"/>
          <w:szCs w:val="20"/>
        </w:rPr>
        <w:t xml:space="preserve">In considering an argument about the adequacy of </w:t>
      </w:r>
      <w:r w:rsidRPr="001C1A52">
        <w:rPr>
          <w:rFonts w:ascii="Arial" w:eastAsia="Book Antiqua" w:hAnsi="Arial" w:cs="Arial"/>
          <w:sz w:val="20"/>
          <w:szCs w:val="20"/>
        </w:rPr>
        <w:t xml:space="preserve">a judge’s reasons in a </w:t>
      </w:r>
      <w:r w:rsidRPr="001C1A52">
        <w:rPr>
          <w:rFonts w:ascii="Arial" w:hAnsi="Arial" w:cs="Arial"/>
          <w:sz w:val="20"/>
          <w:szCs w:val="20"/>
        </w:rPr>
        <w:t xml:space="preserve">serious injury application under the s 134AB of the </w:t>
      </w:r>
      <w:r w:rsidRPr="001C1A52">
        <w:rPr>
          <w:rFonts w:ascii="Arial" w:eastAsia="Book Antiqua" w:hAnsi="Arial" w:cs="Arial"/>
          <w:i/>
          <w:sz w:val="20"/>
          <w:szCs w:val="20"/>
        </w:rPr>
        <w:t>Accident Compensation Act 1986</w:t>
      </w:r>
      <w:r w:rsidRPr="001C1A52">
        <w:rPr>
          <w:rFonts w:ascii="Arial" w:hAnsi="Arial" w:cs="Arial"/>
          <w:sz w:val="20"/>
          <w:szCs w:val="20"/>
        </w:rPr>
        <w:t xml:space="preserve">, Kaye JA emphasised the importance of the nature of the exercise, and the manner in which the hearing is conducted, to any assessment of the adequacy of reasons: </w:t>
      </w:r>
      <w:r w:rsidRPr="001C1A52">
        <w:rPr>
          <w:rFonts w:ascii="Arial" w:eastAsia="Book Antiqua" w:hAnsi="Arial" w:cs="Arial"/>
          <w:i/>
          <w:sz w:val="20"/>
          <w:szCs w:val="20"/>
        </w:rPr>
        <w:t>Woolworths Ltd v Warfe</w:t>
      </w:r>
      <w:r w:rsidRPr="001C1A52">
        <w:rPr>
          <w:rFonts w:ascii="Arial" w:hAnsi="Arial" w:cs="Arial"/>
          <w:sz w:val="20"/>
          <w:szCs w:val="20"/>
        </w:rPr>
        <w:t xml:space="preserve"> [2013] VSCA 22; </w:t>
      </w:r>
      <w:r w:rsidRPr="001C1A52">
        <w:rPr>
          <w:rFonts w:ascii="Arial" w:eastAsia="Book Antiqua" w:hAnsi="Arial" w:cs="Arial"/>
          <w:i/>
          <w:sz w:val="20"/>
          <w:szCs w:val="20"/>
        </w:rPr>
        <w:t xml:space="preserve">Bedeux v Transport Accident Commission </w:t>
      </w:r>
      <w:r w:rsidRPr="001C1A52">
        <w:rPr>
          <w:rFonts w:ascii="Arial" w:hAnsi="Arial" w:cs="Arial"/>
          <w:sz w:val="20"/>
          <w:szCs w:val="20"/>
        </w:rPr>
        <w:t>(2016) 76 MVR 50; [2016] VSCA 127.</w:t>
      </w:r>
      <w:r>
        <w:rPr>
          <w:rFonts w:ascii="Arial" w:hAnsi="Arial" w:cs="Arial"/>
          <w:sz w:val="20"/>
          <w:szCs w:val="20"/>
        </w:rPr>
        <w:t xml:space="preserve"> </w:t>
      </w:r>
      <w:r w:rsidRPr="001C1A52">
        <w:rPr>
          <w:rFonts w:ascii="Arial" w:hAnsi="Arial" w:cs="Arial"/>
          <w:sz w:val="20"/>
          <w:szCs w:val="20"/>
        </w:rPr>
        <w:t xml:space="preserve"> After setting out a passage from the oft cited reasons of Nettle JA in </w:t>
      </w:r>
      <w:r w:rsidRPr="004A50B3">
        <w:rPr>
          <w:rFonts w:ascii="Arial" w:eastAsia="Book Antiqua" w:hAnsi="Arial" w:cs="Arial"/>
          <w:i/>
          <w:sz w:val="20"/>
          <w:szCs w:val="20"/>
        </w:rPr>
        <w:t>Hunter</w:t>
      </w:r>
      <w:r w:rsidR="004A50B3" w:rsidRPr="004A50B3">
        <w:rPr>
          <w:rFonts w:ascii="Arial" w:eastAsia="Book Antiqua" w:hAnsi="Arial" w:cs="Arial"/>
          <w:i/>
          <w:sz w:val="20"/>
          <w:szCs w:val="20"/>
        </w:rPr>
        <w:t xml:space="preserve"> v Transport Accident Commission </w:t>
      </w:r>
      <w:r w:rsidR="004A50B3" w:rsidRPr="004A50B3">
        <w:rPr>
          <w:rFonts w:ascii="Arial" w:hAnsi="Arial" w:cs="Arial"/>
          <w:sz w:val="20"/>
          <w:szCs w:val="20"/>
        </w:rPr>
        <w:t xml:space="preserve">[2005] VSCA 1 at [21], </w:t>
      </w:r>
      <w:r w:rsidRPr="004A50B3">
        <w:rPr>
          <w:rFonts w:ascii="Arial" w:hAnsi="Arial" w:cs="Arial"/>
          <w:sz w:val="20"/>
          <w:szCs w:val="20"/>
        </w:rPr>
        <w:t>Kaye JA referred</w:t>
      </w:r>
      <w:r w:rsidRPr="001C1A52">
        <w:rPr>
          <w:rFonts w:ascii="Arial" w:hAnsi="Arial" w:cs="Arial"/>
          <w:sz w:val="20"/>
          <w:szCs w:val="20"/>
        </w:rPr>
        <w:t xml:space="preserve"> to the fact that in a serious injury application there is often little cross examination, and the legal test of serious injury is highly evaluative and does not finally determine rights.  He went on to say that, in an appropriate case, reasons can be assessed to be adequate by a combination of what is expressly stated, and the inferences that necessarily arise from what is expressly stated.</w:t>
      </w:r>
    </w:p>
    <w:p w14:paraId="74DC34FF" w14:textId="6DAC358A" w:rsidR="001C1A52" w:rsidRPr="004A50B3" w:rsidRDefault="001C1A52" w:rsidP="005E5743">
      <w:pPr>
        <w:spacing w:before="80"/>
        <w:ind w:left="454" w:right="454"/>
        <w:jc w:val="both"/>
        <w:rPr>
          <w:rFonts w:ascii="Arial" w:hAnsi="Arial" w:cs="Arial"/>
          <w:sz w:val="20"/>
          <w:szCs w:val="20"/>
        </w:rPr>
      </w:pPr>
      <w:r w:rsidRPr="004A50B3">
        <w:rPr>
          <w:rFonts w:ascii="Arial" w:hAnsi="Arial" w:cs="Arial"/>
          <w:sz w:val="20"/>
          <w:szCs w:val="20"/>
        </w:rPr>
        <w:t>[</w:t>
      </w:r>
      <w:r w:rsidR="007C4A9F">
        <w:rPr>
          <w:rFonts w:ascii="Arial" w:hAnsi="Arial" w:cs="Arial"/>
          <w:sz w:val="20"/>
          <w:szCs w:val="20"/>
        </w:rPr>
        <w:t>9</w:t>
      </w:r>
      <w:r w:rsidRPr="004A50B3">
        <w:rPr>
          <w:rFonts w:ascii="Arial" w:hAnsi="Arial" w:cs="Arial"/>
          <w:sz w:val="20"/>
          <w:szCs w:val="20"/>
        </w:rPr>
        <w:t xml:space="preserve">2] </w:t>
      </w:r>
      <w:r w:rsidR="004A50B3" w:rsidRPr="004A50B3">
        <w:rPr>
          <w:rFonts w:ascii="Arial" w:hAnsi="Arial" w:cs="Arial"/>
          <w:sz w:val="20"/>
          <w:szCs w:val="20"/>
        </w:rPr>
        <w:t xml:space="preserve">As Warburton accepted, the level of detail and analysis that is expected of reasons following a trial may not be required in reasons for interlocutory decisions.  Indeed, applications: </w:t>
      </w:r>
      <w:r w:rsidR="004A50B3" w:rsidRPr="004A50B3">
        <w:rPr>
          <w:rFonts w:ascii="Arial" w:eastAsia="Book Antiqua" w:hAnsi="Arial" w:cs="Arial"/>
          <w:i/>
          <w:sz w:val="20"/>
          <w:szCs w:val="20"/>
        </w:rPr>
        <w:t>Soulemezis v Dudley (Holdings) Pty Ltd</w:t>
      </w:r>
      <w:r w:rsidR="004A50B3" w:rsidRPr="004A50B3">
        <w:rPr>
          <w:rFonts w:ascii="Arial" w:hAnsi="Arial" w:cs="Arial"/>
          <w:sz w:val="20"/>
          <w:szCs w:val="20"/>
        </w:rPr>
        <w:t xml:space="preserve"> (1987) 10 NSWLR 247, 270 (Mahoney JA), 279 (McHugh JA).</w:t>
      </w:r>
    </w:p>
    <w:p w14:paraId="697271F7" w14:textId="1EBC2420" w:rsidR="004A50B3" w:rsidRDefault="004A50B3" w:rsidP="005E5743">
      <w:pPr>
        <w:spacing w:before="80"/>
        <w:ind w:left="454" w:right="454"/>
        <w:jc w:val="both"/>
        <w:rPr>
          <w:rFonts w:ascii="Arial" w:hAnsi="Arial" w:cs="Arial"/>
          <w:sz w:val="20"/>
          <w:szCs w:val="20"/>
        </w:rPr>
      </w:pPr>
      <w:r>
        <w:rPr>
          <w:rFonts w:ascii="Arial" w:hAnsi="Arial" w:cs="Arial"/>
          <w:sz w:val="20"/>
          <w:szCs w:val="20"/>
        </w:rPr>
        <w:t>[</w:t>
      </w:r>
      <w:r w:rsidR="007C4A9F">
        <w:rPr>
          <w:rFonts w:ascii="Arial" w:hAnsi="Arial" w:cs="Arial"/>
          <w:sz w:val="20"/>
          <w:szCs w:val="20"/>
        </w:rPr>
        <w:t>9</w:t>
      </w:r>
      <w:r>
        <w:rPr>
          <w:rFonts w:ascii="Arial" w:hAnsi="Arial" w:cs="Arial"/>
          <w:sz w:val="20"/>
          <w:szCs w:val="20"/>
        </w:rPr>
        <w:t xml:space="preserve">3] </w:t>
      </w:r>
      <w:r w:rsidRPr="004A50B3">
        <w:rPr>
          <w:rFonts w:ascii="Arial" w:hAnsi="Arial" w:cs="Arial"/>
          <w:sz w:val="20"/>
          <w:szCs w:val="20"/>
        </w:rPr>
        <w:t xml:space="preserve">It may be accepted that, absent some special reason, a judge is required to give reasons for granting or refusing an interlocutory injunction.  Those reasons should address the critical issues in the application, which will usually revolve around whether the plaintiff has established a serious question to be tried and explain where the balance of convenience lies.  Without wishing to be prescriptive, reasons on an injunction application are unlikely to require any detailed recitation of the evidence and, having regard to the nature of the exercise, there may be no occasion to resolve factual questions.  It will generally be necessary for the reasons </w:t>
      </w:r>
      <w:r w:rsidRPr="004A50B3">
        <w:rPr>
          <w:rFonts w:ascii="Arial" w:hAnsi="Arial" w:cs="Arial"/>
          <w:sz w:val="20"/>
          <w:szCs w:val="20"/>
        </w:rPr>
        <w:lastRenderedPageBreak/>
        <w:t>to disclose an understanding of the allegations and the basis on which the serious question arises, identify the status quo, and give a brief explanation for why the order is made.  It will also usually be important that the judge reveal, through his or her reasons, an understanding of the impact that the making or refusal of the injunction is likely to have on the affected party.</w:t>
      </w:r>
    </w:p>
    <w:p w14:paraId="3724BE68" w14:textId="64B4632E" w:rsidR="004A50B3" w:rsidRPr="004A50B3" w:rsidRDefault="004A50B3" w:rsidP="001C1A52">
      <w:pPr>
        <w:spacing w:before="80"/>
        <w:ind w:left="567" w:right="567"/>
        <w:jc w:val="both"/>
        <w:rPr>
          <w:rFonts w:ascii="Arial" w:hAnsi="Arial" w:cs="Arial"/>
          <w:sz w:val="20"/>
          <w:szCs w:val="20"/>
        </w:rPr>
      </w:pPr>
      <w:r w:rsidRPr="004A50B3">
        <w:rPr>
          <w:rFonts w:ascii="Arial" w:hAnsi="Arial" w:cs="Arial"/>
          <w:sz w:val="20"/>
          <w:szCs w:val="20"/>
        </w:rPr>
        <w:t>[</w:t>
      </w:r>
      <w:r w:rsidR="007C4A9F">
        <w:rPr>
          <w:rFonts w:ascii="Arial" w:hAnsi="Arial" w:cs="Arial"/>
          <w:sz w:val="20"/>
          <w:szCs w:val="20"/>
        </w:rPr>
        <w:t>9</w:t>
      </w:r>
      <w:r w:rsidRPr="004A50B3">
        <w:rPr>
          <w:rFonts w:ascii="Arial" w:hAnsi="Arial" w:cs="Arial"/>
          <w:sz w:val="20"/>
          <w:szCs w:val="20"/>
        </w:rPr>
        <w:t>4] Of course, these general observations have to be seen in the light of individual circumstances…”</w:t>
      </w:r>
    </w:p>
    <w:p w14:paraId="526C6970" w14:textId="77777777" w:rsidR="001C1A52" w:rsidRDefault="001C1A52" w:rsidP="00B46278">
      <w:pPr>
        <w:jc w:val="both"/>
        <w:rPr>
          <w:rFonts w:ascii="Arial" w:hAnsi="Arial" w:cs="Arial"/>
          <w:sz w:val="20"/>
        </w:rPr>
      </w:pPr>
    </w:p>
    <w:p w14:paraId="364299D3" w14:textId="77777777" w:rsidR="00B21DA4" w:rsidRDefault="00B21DA4">
      <w:pPr>
        <w:jc w:val="both"/>
        <w:rPr>
          <w:rFonts w:ascii="Arial" w:hAnsi="Arial" w:cs="Arial"/>
          <w:sz w:val="20"/>
        </w:rPr>
      </w:pPr>
      <w:r>
        <w:rPr>
          <w:rFonts w:ascii="Arial" w:hAnsi="Arial" w:cs="Arial"/>
          <w:iCs/>
          <w:sz w:val="20"/>
        </w:rPr>
        <w:t xml:space="preserve">In relation to the question of costs, it is the exception rather than the rule that detailed reasons are required.  In </w:t>
      </w:r>
      <w:r>
        <w:rPr>
          <w:rFonts w:ascii="Arial" w:hAnsi="Arial" w:cs="Arial"/>
          <w:i/>
          <w:iCs/>
          <w:sz w:val="20"/>
        </w:rPr>
        <w:t>Ahmed v Russell Kennedy</w:t>
      </w:r>
      <w:r>
        <w:rPr>
          <w:rFonts w:ascii="Arial" w:hAnsi="Arial" w:cs="Arial"/>
          <w:sz w:val="20"/>
        </w:rPr>
        <w:t xml:space="preserve"> [2003] VSC 25 {MC19/03} at [13]-[14], Balmford J. discussed the authorities generally and at [16] adopted the following dicta of the Court of Appeal in </w:t>
      </w:r>
      <w:r>
        <w:rPr>
          <w:rFonts w:ascii="Arial" w:hAnsi="Arial" w:cs="Arial"/>
          <w:i/>
          <w:sz w:val="20"/>
        </w:rPr>
        <w:t xml:space="preserve">English v Emery Reimbold &amp; Strick Ltd </w:t>
      </w:r>
      <w:r>
        <w:rPr>
          <w:rFonts w:ascii="Arial" w:hAnsi="Arial" w:cs="Arial"/>
          <w:iCs/>
          <w:sz w:val="20"/>
        </w:rPr>
        <w:t>[2002] 1 WLR 2409 (Lord Phillips of Worth Matravers MR, Latham &amp; Arden LJJ) at 2419-20:</w:t>
      </w:r>
    </w:p>
    <w:p w14:paraId="728E4240" w14:textId="77777777" w:rsidR="00A962F2" w:rsidRDefault="00B21DA4" w:rsidP="00A962F2">
      <w:pPr>
        <w:spacing w:before="80"/>
        <w:ind w:left="454" w:right="454"/>
        <w:jc w:val="both"/>
        <w:rPr>
          <w:rFonts w:ascii="Arial" w:hAnsi="Arial" w:cs="Arial"/>
          <w:sz w:val="20"/>
        </w:rPr>
      </w:pPr>
      <w:r>
        <w:rPr>
          <w:rFonts w:ascii="Arial" w:hAnsi="Arial" w:cs="Arial"/>
          <w:sz w:val="20"/>
        </w:rPr>
        <w:t xml:space="preserve">[27]  "At the end of a trial the judge will normally do no more than direct who is to pay the costs and upon what basis…Swinton Thomas LJ, in a judgment with which Scott V-C, who was the other member of the court, agreed said this in </w:t>
      </w:r>
      <w:r>
        <w:rPr>
          <w:rFonts w:ascii="Arial" w:hAnsi="Arial" w:cs="Arial"/>
          <w:i/>
          <w:iCs/>
          <w:sz w:val="20"/>
        </w:rPr>
        <w:t>Brent London BC v Aniedobe</w:t>
      </w:r>
      <w:r>
        <w:rPr>
          <w:rFonts w:ascii="Arial" w:hAnsi="Arial" w:cs="Arial"/>
          <w:sz w:val="20"/>
        </w:rPr>
        <w:t xml:space="preserve"> [1999] CA Transcript 2003, in relation to an appeal against an order for costs:</w:t>
      </w:r>
    </w:p>
    <w:p w14:paraId="7E0C06D3" w14:textId="77777777" w:rsidR="00B21DA4" w:rsidRPr="005E5743" w:rsidRDefault="00B21DA4" w:rsidP="00A962F2">
      <w:pPr>
        <w:spacing w:before="60"/>
        <w:ind w:left="907" w:right="907"/>
        <w:jc w:val="both"/>
        <w:rPr>
          <w:rFonts w:ascii="Arial" w:hAnsi="Arial" w:cs="Arial"/>
          <w:sz w:val="18"/>
          <w:szCs w:val="22"/>
        </w:rPr>
      </w:pPr>
      <w:r w:rsidRPr="005E5743">
        <w:rPr>
          <w:rFonts w:ascii="Arial" w:hAnsi="Arial" w:cs="Arial"/>
          <w:sz w:val="18"/>
          <w:szCs w:val="22"/>
        </w:rPr>
        <w:t>'…this court must be slow to interfere with the exercise of a judge's discretion, when the judge has heard the evidence and this court has not.  It is also, in my view, important not to increase the burden on overworked judges…by requiring them in every case to give reasons for their orders as to costs.  In the great majority of cases in all probability the costs will follow the event, and the reasons for the judge's order are plain, in which case there is no need for a judge to give reasons for his order.  However, having said that, if a judge does depart from the ordinary order (that is in the case the costs following the event) it is, in my judgment, incumbent on him to give reasons, albeit short reasons, for taking that unusual course.'</w:t>
      </w:r>
    </w:p>
    <w:p w14:paraId="6C13D024" w14:textId="77777777" w:rsidR="00A962F2" w:rsidRDefault="00B21DA4" w:rsidP="00A962F2">
      <w:pPr>
        <w:spacing w:before="80"/>
        <w:ind w:left="454" w:right="454"/>
        <w:jc w:val="both"/>
        <w:rPr>
          <w:rFonts w:ascii="Arial" w:hAnsi="Arial" w:cs="Arial"/>
          <w:sz w:val="20"/>
        </w:rPr>
      </w:pPr>
      <w:r>
        <w:rPr>
          <w:rFonts w:ascii="Arial" w:hAnsi="Arial" w:cs="Arial"/>
          <w:sz w:val="20"/>
        </w:rPr>
        <w:t>[28</w:t>
      </w:r>
      <w:proofErr w:type="gramStart"/>
      <w:r>
        <w:rPr>
          <w:rFonts w:ascii="Arial" w:hAnsi="Arial" w:cs="Arial"/>
          <w:sz w:val="20"/>
        </w:rPr>
        <w:t>]  It</w:t>
      </w:r>
      <w:proofErr w:type="gramEnd"/>
      <w:r>
        <w:rPr>
          <w:rFonts w:ascii="Arial" w:hAnsi="Arial" w:cs="Arial"/>
          <w:sz w:val="20"/>
        </w:rPr>
        <w:t xml:space="preserve"> is, in general, in the interests of justice that a judge should be free to dispose of applications as to costs in a speedy and uncomplicated way…</w:t>
      </w:r>
    </w:p>
    <w:p w14:paraId="54C380DB" w14:textId="77777777" w:rsidR="00A962F2" w:rsidRDefault="00B21DA4" w:rsidP="00A962F2">
      <w:pPr>
        <w:spacing w:before="80"/>
        <w:ind w:left="454" w:right="454"/>
        <w:jc w:val="both"/>
        <w:rPr>
          <w:rFonts w:ascii="Arial" w:hAnsi="Arial" w:cs="Arial"/>
          <w:sz w:val="20"/>
        </w:rPr>
      </w:pPr>
      <w:r>
        <w:rPr>
          <w:rFonts w:ascii="Arial" w:hAnsi="Arial" w:cs="Arial"/>
          <w:sz w:val="20"/>
        </w:rPr>
        <w:t>[30</w:t>
      </w:r>
      <w:proofErr w:type="gramStart"/>
      <w:r>
        <w:rPr>
          <w:rFonts w:ascii="Arial" w:hAnsi="Arial" w:cs="Arial"/>
          <w:sz w:val="20"/>
        </w:rPr>
        <w:t>]  Where</w:t>
      </w:r>
      <w:proofErr w:type="gramEnd"/>
      <w:r>
        <w:rPr>
          <w:rFonts w:ascii="Arial" w:hAnsi="Arial" w:cs="Arial"/>
          <w:sz w:val="20"/>
        </w:rPr>
        <w:t xml:space="preserve"> no express explanation is given for a costs order, an appellate court will approach the material facts on the assumption that the judge will have had good reason for the award made.  The appellate court will seldom be as well placed as the trial judge to exercise a discretion in relation to costs.  Where it is apparent that there is a perfectly rational explanation for the order made, the court is likely to draw the inference that this is what motivated the judge in making the order.  This has always been the practice of the court (see the comments of Sachs LJ in </w:t>
      </w:r>
      <w:r>
        <w:rPr>
          <w:rFonts w:ascii="Arial" w:hAnsi="Arial" w:cs="Arial"/>
          <w:i/>
          <w:iCs/>
          <w:sz w:val="20"/>
        </w:rPr>
        <w:t xml:space="preserve">Knight v </w:t>
      </w:r>
      <w:smartTag w:uri="urn:schemas-microsoft-com:office:smarttags" w:element="place">
        <w:smartTag w:uri="urn:schemas-microsoft-com:office:smarttags" w:element="City">
          <w:r>
            <w:rPr>
              <w:rFonts w:ascii="Arial" w:hAnsi="Arial" w:cs="Arial"/>
              <w:i/>
              <w:iCs/>
              <w:sz w:val="20"/>
            </w:rPr>
            <w:t>Clifton</w:t>
          </w:r>
        </w:smartTag>
      </w:smartTag>
      <w:r>
        <w:rPr>
          <w:rFonts w:ascii="Arial" w:hAnsi="Arial" w:cs="Arial"/>
          <w:sz w:val="20"/>
        </w:rPr>
        <w:t xml:space="preserve"> [1971] 2 All ER 378 at 393, [1971] Ch 700 at 721).  Thus, in practice, it is only in those cases where an order for costs is made with neither reasons nor any obvious explanation for the order that it is likely to be appropriate to give permission to appeal on the ground of lack of reasons against an order that relates only to costs."</w:t>
      </w:r>
    </w:p>
    <w:p w14:paraId="2CB84529" w14:textId="77777777" w:rsidR="00B21DA4" w:rsidRDefault="00B21DA4">
      <w:pPr>
        <w:rPr>
          <w:rFonts w:ascii="Arial" w:hAnsi="Arial" w:cs="Arial"/>
          <w:sz w:val="20"/>
        </w:rPr>
      </w:pPr>
    </w:p>
    <w:p w14:paraId="344213A2" w14:textId="77777777" w:rsidR="00982197" w:rsidRPr="00986720" w:rsidRDefault="00B21DA4" w:rsidP="00982197">
      <w:pPr>
        <w:jc w:val="both"/>
        <w:rPr>
          <w:rFonts w:ascii="Arial" w:hAnsi="Arial" w:cs="Arial"/>
          <w:color w:val="000000"/>
          <w:sz w:val="20"/>
        </w:rPr>
      </w:pPr>
      <w:r w:rsidRPr="00986720">
        <w:rPr>
          <w:rFonts w:ascii="Arial" w:hAnsi="Arial" w:cs="Arial"/>
          <w:color w:val="000000"/>
          <w:sz w:val="20"/>
        </w:rPr>
        <w:t xml:space="preserve">Depending on the nature of an impugned decision, there may be an appealable error of law if the judicial officer has provided such a lack of reasons for the decision as to render the appeal court unable to determine by what </w:t>
      </w:r>
      <w:r w:rsidR="00982197" w:rsidRPr="00986720">
        <w:rPr>
          <w:rFonts w:ascii="Arial" w:hAnsi="Arial" w:cs="Arial"/>
          <w:color w:val="000000"/>
          <w:sz w:val="20"/>
        </w:rPr>
        <w:t xml:space="preserve">process the result was reached.  In </w:t>
      </w:r>
      <w:r w:rsidR="00982197" w:rsidRPr="00986720">
        <w:rPr>
          <w:rFonts w:ascii="Arial" w:hAnsi="Arial" w:cs="Arial"/>
          <w:i/>
          <w:color w:val="000000"/>
          <w:sz w:val="20"/>
        </w:rPr>
        <w:t>Secretary to the Department of Justice v Yee</w:t>
      </w:r>
      <w:r w:rsidR="00982197" w:rsidRPr="00986720">
        <w:rPr>
          <w:rFonts w:ascii="Arial" w:hAnsi="Arial" w:cs="Arial"/>
          <w:color w:val="000000"/>
          <w:sz w:val="20"/>
        </w:rPr>
        <w:t xml:space="preserve"> [2012] VSC 447 Kyrou J found that the VCAT’s reasons were “disconnected” but did not amount to an appealable error of law:</w:t>
      </w:r>
    </w:p>
    <w:p w14:paraId="5AF7DF1D" w14:textId="77777777" w:rsidR="00A962F2" w:rsidRDefault="00982197" w:rsidP="00A962F2">
      <w:pPr>
        <w:spacing w:before="80"/>
        <w:ind w:left="454" w:right="454"/>
        <w:jc w:val="both"/>
        <w:rPr>
          <w:rFonts w:ascii="Arial" w:hAnsi="Arial" w:cs="Arial"/>
          <w:sz w:val="20"/>
        </w:rPr>
      </w:pPr>
      <w:r w:rsidRPr="00986720">
        <w:rPr>
          <w:rFonts w:ascii="Arial" w:hAnsi="Arial" w:cs="Arial"/>
          <w:color w:val="000000"/>
          <w:sz w:val="20"/>
        </w:rPr>
        <w:t xml:space="preserve">[94] “Reasons for decision have to be read fairly and particular parts have to be read in the context of the reasons as a whole and the manner in which the parties conducted the proceeding: </w:t>
      </w:r>
      <w:r w:rsidRPr="00986720">
        <w:rPr>
          <w:rFonts w:ascii="Arial" w:hAnsi="Arial" w:cs="Arial"/>
          <w:i/>
          <w:color w:val="000000"/>
          <w:sz w:val="20"/>
          <w:szCs w:val="20"/>
        </w:rPr>
        <w:t xml:space="preserve">Shock Records Pty Ltd v Jones </w:t>
      </w:r>
      <w:r w:rsidRPr="00986720">
        <w:rPr>
          <w:rFonts w:ascii="Arial" w:hAnsi="Arial" w:cs="Arial"/>
          <w:color w:val="000000"/>
          <w:sz w:val="20"/>
          <w:szCs w:val="20"/>
        </w:rPr>
        <w:t>[2006] VSCA 180 [85];</w:t>
      </w:r>
      <w:r w:rsidRPr="00986720">
        <w:rPr>
          <w:rFonts w:ascii="Arial" w:hAnsi="Arial" w:cs="Arial"/>
          <w:i/>
          <w:color w:val="000000"/>
          <w:sz w:val="20"/>
          <w:szCs w:val="20"/>
        </w:rPr>
        <w:t xml:space="preserve">  Hesse </w:t>
      </w:r>
      <w:r w:rsidRPr="00986720">
        <w:rPr>
          <w:rFonts w:ascii="Arial" w:hAnsi="Arial" w:cs="Arial"/>
          <w:color w:val="000000"/>
          <w:sz w:val="20"/>
          <w:szCs w:val="20"/>
        </w:rPr>
        <w:t>[2006] VSCA 121 [3], [19]-[22];</w:t>
      </w:r>
      <w:r w:rsidRPr="00986720">
        <w:rPr>
          <w:rFonts w:ascii="Arial" w:hAnsi="Arial" w:cs="Arial"/>
          <w:i/>
          <w:color w:val="000000"/>
          <w:sz w:val="20"/>
          <w:szCs w:val="20"/>
        </w:rPr>
        <w:t xml:space="preserve"> Church </w:t>
      </w:r>
      <w:r w:rsidRPr="00986720">
        <w:rPr>
          <w:rFonts w:ascii="Arial" w:hAnsi="Arial" w:cs="Arial"/>
          <w:color w:val="000000"/>
          <w:sz w:val="20"/>
          <w:szCs w:val="20"/>
        </w:rPr>
        <w:t xml:space="preserve">(2008) 20 VR 566, 585 [91]; </w:t>
      </w:r>
      <w:r w:rsidRPr="00986720">
        <w:rPr>
          <w:rFonts w:ascii="Arial" w:hAnsi="Arial" w:cs="Arial"/>
          <w:i/>
          <w:color w:val="000000"/>
          <w:sz w:val="20"/>
          <w:szCs w:val="20"/>
        </w:rPr>
        <w:t xml:space="preserve">Snibson </w:t>
      </w:r>
      <w:r w:rsidRPr="00986720">
        <w:rPr>
          <w:rFonts w:ascii="Arial" w:hAnsi="Arial" w:cs="Arial"/>
          <w:color w:val="000000"/>
          <w:sz w:val="20"/>
          <w:szCs w:val="20"/>
        </w:rPr>
        <w:t xml:space="preserve">[2012] VSCA [81].  </w:t>
      </w:r>
      <w:r w:rsidRPr="00986720">
        <w:rPr>
          <w:rFonts w:ascii="Arial" w:hAnsi="Arial" w:cs="Arial"/>
          <w:color w:val="000000"/>
          <w:sz w:val="20"/>
        </w:rPr>
        <w:t>Reasons can be adequate by a combination of what is expressly stated and the inferences that necessarily arise from what is expressly state</w:t>
      </w:r>
      <w:r w:rsidRPr="00986720">
        <w:rPr>
          <w:rFonts w:ascii="Arial" w:hAnsi="Arial" w:cs="Arial"/>
          <w:color w:val="000000"/>
          <w:sz w:val="20"/>
          <w:szCs w:val="20"/>
        </w:rPr>
        <w:t xml:space="preserve">d: </w:t>
      </w:r>
      <w:r w:rsidRPr="00986720">
        <w:rPr>
          <w:rFonts w:ascii="Arial" w:hAnsi="Arial" w:cs="Arial"/>
          <w:i/>
          <w:color w:val="000000"/>
          <w:sz w:val="20"/>
          <w:szCs w:val="20"/>
        </w:rPr>
        <w:t xml:space="preserve">Kamel </w:t>
      </w:r>
      <w:r w:rsidRPr="00986720">
        <w:rPr>
          <w:rFonts w:ascii="Arial" w:hAnsi="Arial" w:cs="Arial"/>
          <w:color w:val="000000"/>
          <w:sz w:val="20"/>
          <w:szCs w:val="20"/>
        </w:rPr>
        <w:t xml:space="preserve">[2011] VSCA 110 [86]; </w:t>
      </w:r>
      <w:r w:rsidRPr="00986720">
        <w:rPr>
          <w:rFonts w:ascii="Arial" w:hAnsi="Arial" w:cs="Arial"/>
          <w:i/>
          <w:color w:val="000000"/>
          <w:sz w:val="20"/>
          <w:szCs w:val="20"/>
        </w:rPr>
        <w:t xml:space="preserve">Snibson </w:t>
      </w:r>
      <w:r w:rsidRPr="00986720">
        <w:rPr>
          <w:rFonts w:ascii="Arial" w:hAnsi="Arial" w:cs="Arial"/>
          <w:color w:val="000000"/>
          <w:sz w:val="20"/>
          <w:szCs w:val="20"/>
        </w:rPr>
        <w:t>[2012] VSCA 31 [81].</w:t>
      </w:r>
    </w:p>
    <w:p w14:paraId="4B88CFBA" w14:textId="77777777" w:rsidR="00A962F2" w:rsidRDefault="00982197" w:rsidP="00A962F2">
      <w:pPr>
        <w:spacing w:before="80"/>
        <w:ind w:left="454" w:right="454"/>
        <w:jc w:val="both"/>
        <w:rPr>
          <w:rFonts w:ascii="Arial" w:hAnsi="Arial" w:cs="Arial"/>
          <w:sz w:val="20"/>
        </w:rPr>
      </w:pPr>
      <w:r w:rsidRPr="00986720">
        <w:rPr>
          <w:rFonts w:ascii="Arial" w:hAnsi="Arial" w:cs="Arial"/>
          <w:color w:val="000000"/>
          <w:sz w:val="20"/>
          <w:szCs w:val="20"/>
        </w:rPr>
        <w:t xml:space="preserve">[95] In general, the mere recitation of evidence followed by a statement of findings, without any commentary as to why the evidence is said to lead to the findings, is insufficient to disclose a path of reasoning: </w:t>
      </w:r>
      <w:r w:rsidRPr="00986720">
        <w:rPr>
          <w:rFonts w:ascii="Arial" w:hAnsi="Arial" w:cs="Arial"/>
          <w:i/>
          <w:color w:val="000000"/>
          <w:sz w:val="20"/>
          <w:szCs w:val="20"/>
        </w:rPr>
        <w:t xml:space="preserve">Hunter v Transport Accident Commission </w:t>
      </w:r>
      <w:r w:rsidRPr="00986720">
        <w:rPr>
          <w:rFonts w:ascii="Arial" w:hAnsi="Arial" w:cs="Arial"/>
          <w:color w:val="000000"/>
          <w:sz w:val="20"/>
          <w:szCs w:val="20"/>
        </w:rPr>
        <w:t xml:space="preserve">(2005) 43 MVR 130, 140 [28]; </w:t>
      </w:r>
      <w:r w:rsidRPr="00986720">
        <w:rPr>
          <w:rFonts w:ascii="Arial" w:hAnsi="Arial" w:cs="Arial"/>
          <w:i/>
          <w:color w:val="000000"/>
          <w:sz w:val="20"/>
          <w:szCs w:val="20"/>
        </w:rPr>
        <w:t>Kamel</w:t>
      </w:r>
      <w:r w:rsidRPr="00986720">
        <w:rPr>
          <w:rFonts w:ascii="Arial" w:hAnsi="Arial" w:cs="Arial"/>
          <w:color w:val="000000"/>
          <w:sz w:val="20"/>
          <w:szCs w:val="20"/>
        </w:rPr>
        <w:t xml:space="preserve"> [2011] VSCA 110 [71]; </w:t>
      </w:r>
      <w:r w:rsidRPr="00986720">
        <w:rPr>
          <w:rFonts w:ascii="Arial" w:hAnsi="Arial" w:cs="Arial"/>
          <w:i/>
          <w:color w:val="000000"/>
          <w:sz w:val="20"/>
          <w:szCs w:val="20"/>
        </w:rPr>
        <w:t xml:space="preserve">Snibson </w:t>
      </w:r>
      <w:r w:rsidRPr="00986720">
        <w:rPr>
          <w:rFonts w:ascii="Arial" w:hAnsi="Arial" w:cs="Arial"/>
          <w:color w:val="000000"/>
          <w:sz w:val="20"/>
          <w:szCs w:val="20"/>
        </w:rPr>
        <w:t>[2012] VSCA 31 [82]</w:t>
      </w:r>
      <w:r w:rsidR="001B1B22" w:rsidRPr="00986720">
        <w:rPr>
          <w:rFonts w:ascii="Arial" w:hAnsi="Arial" w:cs="Arial"/>
          <w:color w:val="000000"/>
          <w:sz w:val="20"/>
          <w:szCs w:val="20"/>
        </w:rPr>
        <w:t>.</w:t>
      </w:r>
    </w:p>
    <w:p w14:paraId="45813F78" w14:textId="77777777" w:rsidR="00A962F2" w:rsidRDefault="001B1B22" w:rsidP="00A962F2">
      <w:pPr>
        <w:spacing w:before="80"/>
        <w:ind w:left="454" w:right="454"/>
        <w:jc w:val="both"/>
        <w:rPr>
          <w:rFonts w:ascii="Arial" w:hAnsi="Arial" w:cs="Arial"/>
          <w:sz w:val="20"/>
        </w:rPr>
      </w:pPr>
      <w:r w:rsidRPr="00986720">
        <w:rPr>
          <w:rFonts w:ascii="Arial" w:hAnsi="Arial" w:cs="Arial"/>
          <w:color w:val="000000"/>
          <w:sz w:val="20"/>
          <w:szCs w:val="20"/>
        </w:rPr>
        <w:t xml:space="preserve">[96] In determining whether the VCAT’s reasons are adequate, the Court does not scrutinise those reasons over-zealously with a view to finding error: </w:t>
      </w:r>
      <w:r w:rsidRPr="00986720">
        <w:rPr>
          <w:rFonts w:ascii="Arial" w:hAnsi="Arial" w:cs="Arial"/>
          <w:i/>
          <w:color w:val="000000"/>
          <w:sz w:val="20"/>
          <w:szCs w:val="20"/>
        </w:rPr>
        <w:t xml:space="preserve">Minister for Immigration and Ethnic Affairs v Liang </w:t>
      </w:r>
      <w:r w:rsidRPr="00986720">
        <w:rPr>
          <w:rFonts w:ascii="Arial" w:hAnsi="Arial" w:cs="Arial"/>
          <w:color w:val="000000"/>
          <w:sz w:val="20"/>
          <w:szCs w:val="20"/>
        </w:rPr>
        <w:t xml:space="preserve">(1996) 185 CLR 259, 271-2; </w:t>
      </w:r>
      <w:r w:rsidRPr="00986720">
        <w:rPr>
          <w:rFonts w:ascii="Arial" w:hAnsi="Arial" w:cs="Arial"/>
          <w:i/>
          <w:color w:val="000000"/>
          <w:sz w:val="20"/>
          <w:szCs w:val="20"/>
        </w:rPr>
        <w:t>Paul &amp; Paul</w:t>
      </w:r>
      <w:r w:rsidRPr="00986720">
        <w:rPr>
          <w:rFonts w:ascii="Arial" w:hAnsi="Arial" w:cs="Arial"/>
          <w:color w:val="000000"/>
          <w:sz w:val="20"/>
          <w:szCs w:val="20"/>
        </w:rPr>
        <w:t xml:space="preserve"> [2010] VSC 460 [69].  Nor does the Court expect the VCAT to address every issue raised in the proceeding.  The reference to ‘material questions of fact’ in s 117(5) of the VCAT Act is to factual matters that affected the VCAT’s findings or conclusions.  Accordingly, under s 117(5), it is enough for the VCAT to make findings on the facts upon which its decision turns and to explain the logic of the </w:t>
      </w:r>
      <w:r w:rsidRPr="00986720">
        <w:rPr>
          <w:rFonts w:ascii="Arial" w:hAnsi="Arial" w:cs="Arial"/>
          <w:color w:val="000000"/>
          <w:sz w:val="20"/>
          <w:szCs w:val="20"/>
        </w:rPr>
        <w:lastRenderedPageBreak/>
        <w:t>decision.  The VCAT is also expected to set out the law that it has applied in reaching its decision.</w:t>
      </w:r>
    </w:p>
    <w:p w14:paraId="0A30F1E0" w14:textId="6A55DA49" w:rsidR="00A962F2" w:rsidRDefault="001B1B22" w:rsidP="00A962F2">
      <w:pPr>
        <w:spacing w:before="80"/>
        <w:ind w:left="454" w:right="454"/>
        <w:jc w:val="both"/>
        <w:rPr>
          <w:rFonts w:ascii="Arial" w:hAnsi="Arial" w:cs="Arial"/>
          <w:sz w:val="20"/>
        </w:rPr>
      </w:pPr>
      <w:r w:rsidRPr="00986720">
        <w:rPr>
          <w:rFonts w:ascii="Arial" w:hAnsi="Arial" w:cs="Arial"/>
          <w:color w:val="000000"/>
          <w:sz w:val="20"/>
          <w:szCs w:val="20"/>
        </w:rPr>
        <w:t xml:space="preserve">[97] </w:t>
      </w:r>
      <w:r w:rsidRPr="00986720">
        <w:rPr>
          <w:rFonts w:ascii="Arial" w:hAnsi="Arial" w:cs="Arial"/>
          <w:color w:val="000000"/>
          <w:sz w:val="20"/>
        </w:rPr>
        <w:t xml:space="preserve">The VCAT’s reasons must be intelligible.  Reasons are not intelligible if they leave the reader to wonder about the process of reasoning that has been </w:t>
      </w:r>
      <w:r w:rsidRPr="00986720">
        <w:rPr>
          <w:rFonts w:ascii="Arial" w:hAnsi="Arial" w:cs="Arial"/>
          <w:color w:val="000000"/>
          <w:sz w:val="20"/>
          <w:szCs w:val="20"/>
        </w:rPr>
        <w:t xml:space="preserve">followed: </w:t>
      </w:r>
      <w:r w:rsidRPr="00986720">
        <w:rPr>
          <w:rFonts w:ascii="Arial" w:hAnsi="Arial" w:cs="Arial"/>
          <w:i/>
          <w:color w:val="000000"/>
          <w:sz w:val="20"/>
          <w:szCs w:val="20"/>
        </w:rPr>
        <w:t xml:space="preserve">Anderson </w:t>
      </w:r>
      <w:r w:rsidRPr="00986720">
        <w:rPr>
          <w:rFonts w:ascii="Arial" w:hAnsi="Arial" w:cs="Arial"/>
          <w:color w:val="000000"/>
          <w:sz w:val="20"/>
          <w:szCs w:val="20"/>
        </w:rPr>
        <w:t xml:space="preserve">(2004) 24 VAR 181, 191 [33]; </w:t>
      </w:r>
      <w:r w:rsidRPr="00986720">
        <w:rPr>
          <w:rFonts w:ascii="Arial" w:hAnsi="Arial" w:cs="Arial"/>
          <w:i/>
          <w:color w:val="000000"/>
          <w:sz w:val="20"/>
          <w:szCs w:val="20"/>
        </w:rPr>
        <w:t xml:space="preserve">Caruso v Kite </w:t>
      </w:r>
      <w:r w:rsidRPr="00986720">
        <w:rPr>
          <w:rFonts w:ascii="Arial" w:hAnsi="Arial" w:cs="Arial"/>
          <w:color w:val="000000"/>
          <w:sz w:val="20"/>
          <w:szCs w:val="20"/>
        </w:rPr>
        <w:t xml:space="preserve">[2008] VSC 207 [32]; </w:t>
      </w:r>
      <w:r w:rsidRPr="00986720">
        <w:rPr>
          <w:rFonts w:ascii="Arial" w:hAnsi="Arial" w:cs="Arial"/>
          <w:i/>
          <w:color w:val="000000"/>
          <w:sz w:val="20"/>
          <w:szCs w:val="20"/>
        </w:rPr>
        <w:t>Paul &amp; Paul</w:t>
      </w:r>
      <w:r w:rsidRPr="00986720">
        <w:rPr>
          <w:rFonts w:ascii="Arial" w:hAnsi="Arial" w:cs="Arial"/>
          <w:color w:val="000000"/>
          <w:sz w:val="20"/>
          <w:szCs w:val="20"/>
        </w:rPr>
        <w:t xml:space="preserve"> [2010] VSC 460 [</w:t>
      </w:r>
      <w:proofErr w:type="gramStart"/>
      <w:r w:rsidRPr="00986720">
        <w:rPr>
          <w:rFonts w:ascii="Arial" w:hAnsi="Arial" w:cs="Arial"/>
          <w:color w:val="000000"/>
          <w:sz w:val="20"/>
          <w:szCs w:val="20"/>
        </w:rPr>
        <w:t>69]</w:t>
      </w:r>
      <w:r w:rsidR="00A962F2">
        <w:rPr>
          <w:rFonts w:ascii="Arial" w:hAnsi="Arial" w:cs="Arial"/>
          <w:color w:val="000000"/>
          <w:sz w:val="20"/>
          <w:szCs w:val="20"/>
        </w:rPr>
        <w:t>…</w:t>
      </w:r>
      <w:proofErr w:type="gramEnd"/>
    </w:p>
    <w:p w14:paraId="7AA401FA" w14:textId="77777777" w:rsidR="00A962F2" w:rsidRDefault="001B1B22" w:rsidP="00A962F2">
      <w:pPr>
        <w:spacing w:before="80"/>
        <w:ind w:left="454" w:right="454"/>
        <w:jc w:val="both"/>
        <w:rPr>
          <w:rFonts w:ascii="Arial" w:hAnsi="Arial" w:cs="Arial"/>
          <w:sz w:val="20"/>
        </w:rPr>
      </w:pPr>
      <w:r w:rsidRPr="00986720">
        <w:rPr>
          <w:rFonts w:ascii="Arial" w:hAnsi="Arial" w:cs="Arial"/>
          <w:color w:val="000000"/>
          <w:sz w:val="20"/>
          <w:szCs w:val="20"/>
        </w:rPr>
        <w:t>[100] …The key problem, however, is not that key issues were not addressed.  Rather, it is that those issues were not expressly and coherently brought together, but were left partly to inference.  This manner of providing reasons is unsatisfactory and should be avoided by VCAT in the future.  Nevertheless, in the circumstances of the present case, it does not constitute a breach of s.117 of the VCAT Act or an appealable error of law.”</w:t>
      </w:r>
    </w:p>
    <w:p w14:paraId="6FF53981" w14:textId="77777777" w:rsidR="00982197" w:rsidRDefault="00982197" w:rsidP="001D1B06">
      <w:pPr>
        <w:jc w:val="both"/>
        <w:rPr>
          <w:rFonts w:ascii="Arial" w:hAnsi="Arial" w:cs="Arial"/>
          <w:color w:val="000000"/>
          <w:sz w:val="20"/>
        </w:rPr>
      </w:pPr>
    </w:p>
    <w:p w14:paraId="2DAC05B9" w14:textId="77777777" w:rsidR="00501614" w:rsidRDefault="00501614" w:rsidP="001D1B06">
      <w:pPr>
        <w:jc w:val="both"/>
        <w:rPr>
          <w:rFonts w:ascii="Arial" w:hAnsi="Arial" w:cs="Arial"/>
          <w:color w:val="000000"/>
          <w:sz w:val="20"/>
        </w:rPr>
      </w:pPr>
      <w:r>
        <w:rPr>
          <w:rFonts w:ascii="Arial" w:hAnsi="Arial" w:cs="Arial"/>
          <w:color w:val="000000"/>
          <w:sz w:val="20"/>
        </w:rPr>
        <w:t xml:space="preserve">In </w:t>
      </w:r>
      <w:r w:rsidRPr="00501614">
        <w:rPr>
          <w:rFonts w:ascii="Arial" w:hAnsi="Arial" w:cs="Arial"/>
          <w:i/>
          <w:iCs/>
          <w:color w:val="000000"/>
          <w:sz w:val="20"/>
        </w:rPr>
        <w:t>Bookless v Smith</w:t>
      </w:r>
      <w:r>
        <w:rPr>
          <w:rFonts w:ascii="Arial" w:hAnsi="Arial" w:cs="Arial"/>
          <w:color w:val="000000"/>
          <w:sz w:val="20"/>
        </w:rPr>
        <w:t xml:space="preserve"> [2020] VSC 56 Priest JA found that </w:t>
      </w:r>
      <w:r w:rsidR="00AB27F6">
        <w:rPr>
          <w:rFonts w:ascii="Arial" w:hAnsi="Arial" w:cs="Arial"/>
          <w:color w:val="000000"/>
          <w:sz w:val="20"/>
        </w:rPr>
        <w:t>a</w:t>
      </w:r>
      <w:r>
        <w:rPr>
          <w:rFonts w:ascii="Arial" w:hAnsi="Arial" w:cs="Arial"/>
          <w:color w:val="000000"/>
          <w:sz w:val="20"/>
        </w:rPr>
        <w:t xml:space="preserve"> magistrate hearing charges of indecent assault against an accused had failed to give adequate reasons</w:t>
      </w:r>
      <w:r w:rsidR="00AB27F6">
        <w:rPr>
          <w:rFonts w:ascii="Arial" w:hAnsi="Arial" w:cs="Arial"/>
          <w:color w:val="000000"/>
          <w:sz w:val="20"/>
        </w:rPr>
        <w:t xml:space="preserve">.  Citing, </w:t>
      </w:r>
      <w:r w:rsidR="00AB27F6" w:rsidRPr="00501614">
        <w:rPr>
          <w:rFonts w:ascii="Arial" w:hAnsi="Arial" w:cs="Arial"/>
          <w:i/>
          <w:iCs/>
          <w:color w:val="000000"/>
          <w:sz w:val="20"/>
        </w:rPr>
        <w:t>inter alia</w:t>
      </w:r>
      <w:r w:rsidR="00AB27F6">
        <w:rPr>
          <w:rFonts w:ascii="Arial" w:hAnsi="Arial" w:cs="Arial"/>
          <w:color w:val="000000"/>
          <w:sz w:val="20"/>
        </w:rPr>
        <w:t xml:space="preserve">, dicta of </w:t>
      </w:r>
      <w:r w:rsidR="00211B03">
        <w:rPr>
          <w:rFonts w:ascii="Arial" w:hAnsi="Arial" w:cs="Arial"/>
          <w:color w:val="000000"/>
          <w:sz w:val="20"/>
        </w:rPr>
        <w:t>Meagher</w:t>
      </w:r>
      <w:r w:rsidR="00D72245">
        <w:rPr>
          <w:rFonts w:ascii="Arial" w:hAnsi="Arial" w:cs="Arial"/>
          <w:color w:val="000000"/>
          <w:sz w:val="20"/>
        </w:rPr>
        <w:t> </w:t>
      </w:r>
      <w:r w:rsidR="00AB27F6">
        <w:rPr>
          <w:rFonts w:ascii="Arial" w:hAnsi="Arial" w:cs="Arial"/>
          <w:color w:val="000000"/>
          <w:sz w:val="20"/>
        </w:rPr>
        <w:t>J</w:t>
      </w:r>
      <w:r w:rsidR="00211B03">
        <w:rPr>
          <w:rFonts w:ascii="Arial" w:hAnsi="Arial" w:cs="Arial"/>
          <w:color w:val="000000"/>
          <w:sz w:val="20"/>
        </w:rPr>
        <w:t>A</w:t>
      </w:r>
      <w:r w:rsidR="00AB27F6">
        <w:rPr>
          <w:rFonts w:ascii="Arial" w:hAnsi="Arial" w:cs="Arial"/>
          <w:color w:val="000000"/>
          <w:sz w:val="20"/>
        </w:rPr>
        <w:t xml:space="preserve"> in </w:t>
      </w:r>
      <w:r w:rsidR="00262368" w:rsidRPr="00262368">
        <w:rPr>
          <w:rFonts w:ascii="Arial" w:hAnsi="Arial" w:cs="Arial"/>
          <w:i/>
          <w:iCs/>
          <w:color w:val="000000"/>
          <w:sz w:val="20"/>
        </w:rPr>
        <w:t>Beale v Government Insurance Office of NSW</w:t>
      </w:r>
      <w:r w:rsidR="00262368">
        <w:rPr>
          <w:rFonts w:ascii="Arial" w:hAnsi="Arial" w:cs="Arial"/>
          <w:color w:val="000000"/>
          <w:sz w:val="20"/>
        </w:rPr>
        <w:t xml:space="preserve"> </w:t>
      </w:r>
      <w:r w:rsidR="00262368" w:rsidRPr="00262368">
        <w:rPr>
          <w:rFonts w:ascii="Arial" w:hAnsi="Arial" w:cs="Arial"/>
          <w:color w:val="000000"/>
          <w:sz w:val="20"/>
        </w:rPr>
        <w:t>(1997) 48 NSWLR 430</w:t>
      </w:r>
      <w:r w:rsidR="00262368">
        <w:rPr>
          <w:rFonts w:ascii="Arial" w:hAnsi="Arial" w:cs="Arial"/>
          <w:color w:val="000000"/>
          <w:sz w:val="20"/>
        </w:rPr>
        <w:t xml:space="preserve"> at 441-444</w:t>
      </w:r>
      <w:r w:rsidR="00D6698D">
        <w:rPr>
          <w:rFonts w:ascii="Arial" w:hAnsi="Arial" w:cs="Arial"/>
          <w:color w:val="000000"/>
          <w:sz w:val="20"/>
        </w:rPr>
        <w:t xml:space="preserve"> and of Sholl J in </w:t>
      </w:r>
      <w:r w:rsidR="00D6698D" w:rsidRPr="00D6698D">
        <w:rPr>
          <w:rFonts w:ascii="Arial" w:hAnsi="Arial" w:cs="Arial"/>
          <w:i/>
          <w:iCs/>
          <w:color w:val="000000"/>
          <w:sz w:val="20"/>
        </w:rPr>
        <w:t>Sandhurst and Northern District Trustees Executors &amp; Agency Co Ltd v Auldridge</w:t>
      </w:r>
      <w:r w:rsidR="00D6698D">
        <w:rPr>
          <w:rFonts w:ascii="Arial" w:hAnsi="Arial" w:cs="Arial"/>
          <w:color w:val="000000"/>
          <w:sz w:val="20"/>
        </w:rPr>
        <w:t xml:space="preserve"> [1952] VLR 488, 496</w:t>
      </w:r>
      <w:r w:rsidR="00262368">
        <w:rPr>
          <w:rFonts w:ascii="Arial" w:hAnsi="Arial" w:cs="Arial"/>
          <w:color w:val="000000"/>
          <w:sz w:val="20"/>
        </w:rPr>
        <w:t xml:space="preserve"> </w:t>
      </w:r>
      <w:r w:rsidR="00AB27F6">
        <w:rPr>
          <w:rFonts w:ascii="Arial" w:hAnsi="Arial" w:cs="Arial"/>
          <w:color w:val="000000"/>
          <w:sz w:val="20"/>
        </w:rPr>
        <w:t>h</w:t>
      </w:r>
      <w:r>
        <w:rPr>
          <w:rFonts w:ascii="Arial" w:hAnsi="Arial" w:cs="Arial"/>
          <w:color w:val="000000"/>
          <w:sz w:val="20"/>
        </w:rPr>
        <w:t>is Honour quashed the conviction and ordered a new trial</w:t>
      </w:r>
      <w:r w:rsidR="00262368">
        <w:rPr>
          <w:rFonts w:ascii="Arial" w:hAnsi="Arial" w:cs="Arial"/>
          <w:color w:val="000000"/>
          <w:sz w:val="20"/>
        </w:rPr>
        <w:t xml:space="preserve">.  </w:t>
      </w:r>
      <w:r w:rsidR="00AB27F6">
        <w:rPr>
          <w:rFonts w:ascii="Arial" w:hAnsi="Arial" w:cs="Arial"/>
          <w:color w:val="000000"/>
          <w:sz w:val="20"/>
        </w:rPr>
        <w:t>At [23]-[</w:t>
      </w:r>
      <w:r w:rsidR="00262368">
        <w:rPr>
          <w:rFonts w:ascii="Arial" w:hAnsi="Arial" w:cs="Arial"/>
          <w:color w:val="000000"/>
          <w:sz w:val="20"/>
        </w:rPr>
        <w:t>24</w:t>
      </w:r>
      <w:r w:rsidR="00AB27F6">
        <w:rPr>
          <w:rFonts w:ascii="Arial" w:hAnsi="Arial" w:cs="Arial"/>
          <w:color w:val="000000"/>
          <w:sz w:val="20"/>
        </w:rPr>
        <w:t xml:space="preserve">] </w:t>
      </w:r>
      <w:r w:rsidR="00262368">
        <w:rPr>
          <w:rFonts w:ascii="Arial" w:hAnsi="Arial" w:cs="Arial"/>
          <w:color w:val="000000"/>
          <w:sz w:val="20"/>
        </w:rPr>
        <w:t xml:space="preserve">&amp; [27] </w:t>
      </w:r>
      <w:r w:rsidR="00AB27F6">
        <w:rPr>
          <w:rFonts w:ascii="Arial" w:hAnsi="Arial" w:cs="Arial"/>
          <w:color w:val="000000"/>
          <w:sz w:val="20"/>
        </w:rPr>
        <w:t>his Honour said:</w:t>
      </w:r>
    </w:p>
    <w:p w14:paraId="7DFFCCEA" w14:textId="77777777" w:rsidR="00A962F2" w:rsidRDefault="00AB27F6" w:rsidP="00A962F2">
      <w:pPr>
        <w:spacing w:before="80"/>
        <w:ind w:left="454" w:right="454"/>
        <w:jc w:val="both"/>
        <w:rPr>
          <w:rFonts w:ascii="Arial" w:hAnsi="Arial" w:cs="Arial"/>
          <w:sz w:val="20"/>
        </w:rPr>
      </w:pPr>
      <w:r>
        <w:rPr>
          <w:rFonts w:ascii="Arial" w:hAnsi="Arial" w:cs="Arial"/>
          <w:color w:val="000000"/>
          <w:sz w:val="20"/>
          <w:szCs w:val="20"/>
        </w:rPr>
        <w:t xml:space="preserve">[23] “In </w:t>
      </w:r>
      <w:r w:rsidRPr="00AB27F6">
        <w:rPr>
          <w:rFonts w:ascii="Arial" w:hAnsi="Arial" w:cs="Arial"/>
          <w:i/>
          <w:iCs/>
          <w:color w:val="000000"/>
          <w:sz w:val="20"/>
          <w:szCs w:val="20"/>
        </w:rPr>
        <w:t>Ta v Thompson</w:t>
      </w:r>
      <w:r>
        <w:rPr>
          <w:rFonts w:ascii="Arial" w:hAnsi="Arial" w:cs="Arial"/>
          <w:color w:val="000000"/>
          <w:sz w:val="20"/>
          <w:szCs w:val="20"/>
        </w:rPr>
        <w:t xml:space="preserve"> </w:t>
      </w:r>
      <w:r w:rsidRPr="00501614">
        <w:rPr>
          <w:rFonts w:ascii="Arial" w:hAnsi="Arial" w:cs="Arial"/>
          <w:color w:val="000000"/>
          <w:sz w:val="20"/>
        </w:rPr>
        <w:t>(2013) 46 VR 10, 22–3 [64]</w:t>
      </w:r>
      <w:r>
        <w:rPr>
          <w:rFonts w:ascii="Arial" w:hAnsi="Arial" w:cs="Arial"/>
          <w:color w:val="000000"/>
          <w:sz w:val="20"/>
        </w:rPr>
        <w:t xml:space="preserve"> I observed </w:t>
      </w:r>
      <w:r w:rsidRPr="00501614">
        <w:rPr>
          <w:rFonts w:ascii="Arial" w:hAnsi="Arial" w:cs="Arial"/>
          <w:color w:val="000000"/>
          <w:sz w:val="20"/>
        </w:rPr>
        <w:t xml:space="preserve">that almost a century ago, in </w:t>
      </w:r>
      <w:r w:rsidRPr="00AB27F6">
        <w:rPr>
          <w:rFonts w:ascii="Arial" w:hAnsi="Arial" w:cs="Arial"/>
          <w:i/>
          <w:iCs/>
          <w:color w:val="000000"/>
          <w:sz w:val="20"/>
        </w:rPr>
        <w:t>Donovan v Edwards</w:t>
      </w:r>
      <w:r>
        <w:rPr>
          <w:rFonts w:ascii="Arial" w:hAnsi="Arial" w:cs="Arial"/>
          <w:i/>
          <w:iCs/>
          <w:color w:val="000000"/>
          <w:sz w:val="20"/>
        </w:rPr>
        <w:t xml:space="preserve"> </w:t>
      </w:r>
      <w:r w:rsidRPr="00501614">
        <w:rPr>
          <w:rFonts w:ascii="Arial" w:hAnsi="Arial" w:cs="Arial"/>
          <w:color w:val="000000"/>
          <w:sz w:val="20"/>
        </w:rPr>
        <w:t>[1922] VLR 87,88</w:t>
      </w:r>
      <w:r>
        <w:rPr>
          <w:rFonts w:ascii="Arial" w:hAnsi="Arial" w:cs="Arial"/>
          <w:color w:val="000000"/>
          <w:sz w:val="20"/>
        </w:rPr>
        <w:t xml:space="preserve"> </w:t>
      </w:r>
      <w:r w:rsidRPr="00501614">
        <w:rPr>
          <w:rFonts w:ascii="Arial" w:hAnsi="Arial" w:cs="Arial"/>
          <w:color w:val="000000"/>
          <w:sz w:val="20"/>
        </w:rPr>
        <w:t>Irvine CJ lamented the failure of justices in the Court of Petty Sessions to provide adequate reasons for their decision.  He said</w:t>
      </w:r>
      <w:r>
        <w:rPr>
          <w:rFonts w:ascii="Arial" w:hAnsi="Arial" w:cs="Arial"/>
          <w:color w:val="000000"/>
          <w:sz w:val="20"/>
        </w:rPr>
        <w:t>:</w:t>
      </w:r>
    </w:p>
    <w:p w14:paraId="1114E370" w14:textId="77777777" w:rsidR="00501614" w:rsidRPr="00A962F2" w:rsidRDefault="00211B03" w:rsidP="00C72910">
      <w:pPr>
        <w:ind w:left="907" w:right="907"/>
        <w:jc w:val="both"/>
        <w:rPr>
          <w:rFonts w:ascii="Arial" w:hAnsi="Arial" w:cs="Arial"/>
          <w:color w:val="000000"/>
          <w:sz w:val="18"/>
          <w:szCs w:val="22"/>
        </w:rPr>
      </w:pPr>
      <w:r w:rsidRPr="00A962F2">
        <w:rPr>
          <w:rFonts w:ascii="Arial" w:hAnsi="Arial" w:cs="Arial"/>
          <w:color w:val="000000"/>
          <w:sz w:val="18"/>
          <w:szCs w:val="22"/>
        </w:rPr>
        <w:t>‘This case is another instance of the embarrassment which is caused to the Court, by the refusal of justices to give reasons for their decisions … I have to repeat again that, in the exercise of their judicial functions, justices are not exempt from the duty which attaches to every judicial officer to state, to the best of his ability, the facts he finds, and the reasons for his decision.  The result here is that the justices have made an order leaving it entirely uncertain on what grounds, and on what findings of fact, that order is based.’</w:t>
      </w:r>
    </w:p>
    <w:p w14:paraId="3EAB8082" w14:textId="77777777" w:rsidR="00A962F2" w:rsidRDefault="00262368" w:rsidP="00A962F2">
      <w:pPr>
        <w:spacing w:before="80"/>
        <w:ind w:left="454" w:right="454"/>
        <w:jc w:val="both"/>
        <w:rPr>
          <w:rFonts w:ascii="Arial" w:hAnsi="Arial" w:cs="Arial"/>
          <w:sz w:val="20"/>
        </w:rPr>
      </w:pPr>
      <w:r>
        <w:rPr>
          <w:rFonts w:ascii="Arial" w:hAnsi="Arial" w:cs="Arial"/>
          <w:color w:val="000000"/>
          <w:sz w:val="20"/>
          <w:szCs w:val="20"/>
        </w:rPr>
        <w:t xml:space="preserve">[24] </w:t>
      </w:r>
      <w:r w:rsidRPr="00501614">
        <w:rPr>
          <w:rFonts w:ascii="Arial" w:hAnsi="Arial" w:cs="Arial"/>
          <w:color w:val="000000"/>
          <w:sz w:val="20"/>
        </w:rPr>
        <w:t>There can be no doubt that magistrates have a duty to give adequate reasons for their decisions — so much is an ordinary incident of the judicial function — the nature and content of those reasons being dictated by the evidence and issues raised in the particular case.  In a proceeding such as the present, however, it is not sufficient for a magistrate simply to set out the evidence adduced by one party, and then assert that, having considered the evidence, he or she finds the charges proven, let alone wholly fail to refer to and consider the evidence adduced by the defence on critical issues.  Among other things, it is necessary that a magistrate’s reasons be adequate to enable this court exercising an appellate function to determine whether there was a satisfactory basis for his or her decision.  The reasons need to explain the magistrate’s process of reasoning and to state the basis of the judgment sufficiently to enable this court to see whether the decision did or did not involve an error of law.  The discipline of having to give reasons is a vital technique for ensuring accurate fact finding, correct inferential reasoning and sound application of the law to the facts</w:t>
      </w:r>
      <w:r>
        <w:rPr>
          <w:rFonts w:ascii="Arial" w:hAnsi="Arial" w:cs="Arial"/>
          <w:color w:val="000000"/>
          <w:sz w:val="20"/>
        </w:rPr>
        <w:t>…</w:t>
      </w:r>
    </w:p>
    <w:p w14:paraId="14855F7F" w14:textId="77777777" w:rsidR="00A962F2" w:rsidRDefault="00262368" w:rsidP="00A962F2">
      <w:pPr>
        <w:spacing w:before="80"/>
        <w:ind w:left="454" w:right="454"/>
        <w:jc w:val="both"/>
        <w:rPr>
          <w:rFonts w:ascii="Arial" w:hAnsi="Arial" w:cs="Arial"/>
          <w:sz w:val="20"/>
        </w:rPr>
      </w:pPr>
      <w:r>
        <w:rPr>
          <w:rFonts w:ascii="Arial" w:hAnsi="Arial" w:cs="Arial"/>
          <w:color w:val="000000"/>
          <w:sz w:val="20"/>
        </w:rPr>
        <w:t>[27] [A]</w:t>
      </w:r>
      <w:r w:rsidRPr="00501614">
        <w:rPr>
          <w:rFonts w:ascii="Arial" w:hAnsi="Arial" w:cs="Arial"/>
          <w:color w:val="000000"/>
          <w:sz w:val="20"/>
        </w:rPr>
        <w:t>lthough she referred to much of the evidence in the prosecution case and the issues raised by it, the magistrate failed altogether to identify the basis of her ultimate conclusions by reference to relevant considerations flowing from the evidence.  Moreover, she wholly failed to refer to the evidence adduced by the appellant — including as to his good character — and explain how she was seemingly able to discount it completely.</w:t>
      </w:r>
      <w:r>
        <w:rPr>
          <w:rFonts w:ascii="Arial" w:hAnsi="Arial" w:cs="Arial"/>
          <w:color w:val="000000"/>
          <w:sz w:val="20"/>
        </w:rPr>
        <w:t>”</w:t>
      </w:r>
    </w:p>
    <w:p w14:paraId="4509718A" w14:textId="55A82627" w:rsidR="00262368" w:rsidRDefault="00262368" w:rsidP="001D1B06">
      <w:pPr>
        <w:jc w:val="both"/>
        <w:rPr>
          <w:rFonts w:ascii="Arial" w:hAnsi="Arial" w:cs="Arial"/>
          <w:color w:val="000000"/>
          <w:sz w:val="20"/>
        </w:rPr>
      </w:pPr>
    </w:p>
    <w:p w14:paraId="23E1C34C" w14:textId="6F0B962E" w:rsidR="0037342E" w:rsidRDefault="00721C88" w:rsidP="001D1B06">
      <w:pPr>
        <w:jc w:val="both"/>
        <w:rPr>
          <w:rFonts w:ascii="Arial" w:hAnsi="Arial" w:cs="Arial"/>
          <w:color w:val="000000"/>
          <w:sz w:val="20"/>
        </w:rPr>
      </w:pPr>
      <w:r>
        <w:rPr>
          <w:rFonts w:ascii="Arial" w:hAnsi="Arial" w:cs="Arial"/>
          <w:color w:val="000000"/>
          <w:sz w:val="20"/>
        </w:rPr>
        <w:t xml:space="preserve">In </w:t>
      </w:r>
      <w:r w:rsidRPr="00721C88">
        <w:rPr>
          <w:rFonts w:ascii="Arial" w:hAnsi="Arial" w:cs="Arial"/>
          <w:i/>
          <w:iCs/>
          <w:color w:val="000000"/>
          <w:sz w:val="20"/>
        </w:rPr>
        <w:t>Karabagias v Katopodis</w:t>
      </w:r>
      <w:r>
        <w:rPr>
          <w:rFonts w:ascii="Arial" w:hAnsi="Arial" w:cs="Arial"/>
          <w:color w:val="000000"/>
          <w:sz w:val="20"/>
        </w:rPr>
        <w:t xml:space="preserve"> [2022] VSCA 191 the </w:t>
      </w:r>
      <w:r w:rsidR="0037342E">
        <w:rPr>
          <w:rFonts w:ascii="Arial" w:hAnsi="Arial" w:cs="Arial"/>
          <w:color w:val="000000"/>
          <w:sz w:val="20"/>
        </w:rPr>
        <w:t>applicant alleged representations were made to him by the parents of his ex-wife as a result of which he had expended the majority of his sole asset renovating her parents’ property prior to separation.  The judge held that the alleged representations were not made and dismissed the applicant’s claim for a constructive trust and equitable compensation.  In allowing the appeal and remitting the matter for rehearing, the Court of Appeal held that the judge’s reasons do not reveal the basis on which the findings were made nor why the respondent’s evidence was preferred over the applicant’s.  In relation to the duty to give reasons, Sifris, Kennedy &amp; Walker JJA said at [10]-[14]</w:t>
      </w:r>
      <w:r w:rsidR="002A4DFE">
        <w:rPr>
          <w:rFonts w:ascii="Arial" w:hAnsi="Arial" w:cs="Arial"/>
          <w:color w:val="000000"/>
          <w:sz w:val="20"/>
        </w:rPr>
        <w:t xml:space="preserve"> (citations simplified)</w:t>
      </w:r>
      <w:r w:rsidR="0037342E">
        <w:rPr>
          <w:rFonts w:ascii="Arial" w:hAnsi="Arial" w:cs="Arial"/>
          <w:color w:val="000000"/>
          <w:sz w:val="20"/>
        </w:rPr>
        <w:t>:</w:t>
      </w:r>
    </w:p>
    <w:p w14:paraId="61D8638A" w14:textId="77777777" w:rsidR="00A962F2" w:rsidRDefault="0037342E" w:rsidP="00A962F2">
      <w:pPr>
        <w:spacing w:before="80"/>
        <w:ind w:left="454" w:right="454"/>
        <w:jc w:val="both"/>
        <w:rPr>
          <w:rFonts w:ascii="Arial" w:hAnsi="Arial" w:cs="Arial"/>
          <w:sz w:val="20"/>
        </w:rPr>
      </w:pPr>
      <w:r>
        <w:rPr>
          <w:rFonts w:ascii="Arial" w:hAnsi="Arial" w:cs="Arial"/>
          <w:color w:val="000000"/>
          <w:sz w:val="20"/>
          <w:szCs w:val="20"/>
        </w:rPr>
        <w:t xml:space="preserve">[10] </w:t>
      </w:r>
      <w:r w:rsidRPr="0037342E">
        <w:rPr>
          <w:rFonts w:ascii="Arial" w:hAnsi="Arial" w:cs="Arial"/>
          <w:color w:val="000000"/>
          <w:sz w:val="20"/>
          <w:szCs w:val="20"/>
        </w:rPr>
        <w:t>“</w:t>
      </w:r>
      <w:r w:rsidRPr="0037342E">
        <w:rPr>
          <w:rFonts w:ascii="Arial" w:hAnsi="Arial" w:cs="Arial"/>
          <w:sz w:val="20"/>
          <w:szCs w:val="20"/>
        </w:rPr>
        <w:t xml:space="preserve">It is well-settled that, ordinarily, a judicial officer is under a duty to give reasons: see </w:t>
      </w:r>
      <w:r w:rsidRPr="0037342E">
        <w:rPr>
          <w:rFonts w:ascii="Arial" w:hAnsi="Arial" w:cs="Arial"/>
          <w:i/>
          <w:iCs/>
          <w:sz w:val="20"/>
          <w:szCs w:val="20"/>
        </w:rPr>
        <w:t>Wainohu v New South Wales</w:t>
      </w:r>
      <w:r w:rsidRPr="0037342E">
        <w:rPr>
          <w:rFonts w:ascii="Arial" w:hAnsi="Arial" w:cs="Arial"/>
          <w:sz w:val="20"/>
          <w:szCs w:val="20"/>
        </w:rPr>
        <w:t xml:space="preserve"> (2011) 243 CLR 181, 213–14 </w:t>
      </w:r>
      <w:r w:rsidR="002A4DFE">
        <w:rPr>
          <w:rFonts w:ascii="Arial" w:hAnsi="Arial" w:cs="Arial"/>
          <w:sz w:val="20"/>
          <w:szCs w:val="20"/>
        </w:rPr>
        <w:t xml:space="preserve">at </w:t>
      </w:r>
      <w:r w:rsidRPr="0037342E">
        <w:rPr>
          <w:rFonts w:ascii="Arial" w:hAnsi="Arial" w:cs="Arial"/>
          <w:sz w:val="20"/>
          <w:szCs w:val="20"/>
        </w:rPr>
        <w:t>[54].  The qualification ‘ordinarily’ is a recognition that the duty ‘does not apply to every interlocutory decision, however minor’. The content and detail of the reasons to be provided will vary according to the nature of the jurisdiction which the court is exercising and the particular matter the subject of the decision</w:t>
      </w:r>
      <w:r w:rsidR="003553EF">
        <w:rPr>
          <w:rFonts w:ascii="Arial" w:hAnsi="Arial" w:cs="Arial"/>
          <w:sz w:val="20"/>
          <w:szCs w:val="20"/>
        </w:rPr>
        <w:t xml:space="preserve">: </w:t>
      </w:r>
      <w:r w:rsidR="003553EF" w:rsidRPr="006042EB">
        <w:rPr>
          <w:rFonts w:ascii="Arial" w:hAnsi="Arial" w:cs="Arial"/>
          <w:i/>
          <w:iCs/>
          <w:sz w:val="20"/>
          <w:szCs w:val="20"/>
        </w:rPr>
        <w:t>Wainohu</w:t>
      </w:r>
      <w:r w:rsidR="003553EF">
        <w:rPr>
          <w:rFonts w:ascii="Arial" w:hAnsi="Arial" w:cs="Arial"/>
          <w:sz w:val="20"/>
          <w:szCs w:val="20"/>
        </w:rPr>
        <w:t xml:space="preserve"> </w:t>
      </w:r>
      <w:r w:rsidR="00AB627F">
        <w:rPr>
          <w:rFonts w:ascii="Arial" w:hAnsi="Arial" w:cs="Arial"/>
          <w:sz w:val="20"/>
          <w:szCs w:val="20"/>
        </w:rPr>
        <w:t xml:space="preserve">at </w:t>
      </w:r>
      <w:r w:rsidR="003553EF">
        <w:rPr>
          <w:rFonts w:ascii="Arial" w:hAnsi="Arial" w:cs="Arial"/>
          <w:sz w:val="20"/>
          <w:szCs w:val="20"/>
        </w:rPr>
        <w:t xml:space="preserve">[56].  </w:t>
      </w:r>
      <w:r w:rsidR="00E03D48" w:rsidRPr="0037342E">
        <w:rPr>
          <w:rFonts w:ascii="Arial" w:hAnsi="Arial" w:cs="Arial"/>
          <w:sz w:val="20"/>
          <w:szCs w:val="20"/>
        </w:rPr>
        <w:t>Fundamentally, the duty is an obligation to explain, however briefly, why the judge came to the conclusion that is sought to be challenged. That is, the reasoning process by which the impugned conclusion was reached must be apparen</w:t>
      </w:r>
      <w:r w:rsidR="00E03D48">
        <w:rPr>
          <w:rFonts w:ascii="Arial" w:hAnsi="Arial" w:cs="Arial"/>
          <w:sz w:val="20"/>
          <w:szCs w:val="20"/>
        </w:rPr>
        <w:t>t</w:t>
      </w:r>
      <w:r w:rsidRPr="0037342E">
        <w:rPr>
          <w:rFonts w:ascii="Arial" w:hAnsi="Arial" w:cs="Arial"/>
          <w:sz w:val="20"/>
          <w:szCs w:val="20"/>
        </w:rPr>
        <w:t xml:space="preserve">: </w:t>
      </w:r>
      <w:r w:rsidRPr="00E03D48">
        <w:rPr>
          <w:rFonts w:ascii="Arial" w:hAnsi="Arial" w:cs="Arial"/>
          <w:i/>
          <w:iCs/>
          <w:sz w:val="20"/>
          <w:szCs w:val="20"/>
        </w:rPr>
        <w:t>Intertransport International Private Ltd v Donaldson</w:t>
      </w:r>
      <w:r w:rsidRPr="0037342E">
        <w:rPr>
          <w:rFonts w:ascii="Arial" w:hAnsi="Arial" w:cs="Arial"/>
          <w:sz w:val="20"/>
          <w:szCs w:val="20"/>
        </w:rPr>
        <w:t xml:space="preserve"> [2005] VSCA 303 [18], citing </w:t>
      </w:r>
      <w:r w:rsidRPr="00E03D48">
        <w:rPr>
          <w:rFonts w:ascii="Arial" w:hAnsi="Arial" w:cs="Arial"/>
          <w:i/>
          <w:iCs/>
          <w:sz w:val="20"/>
          <w:szCs w:val="20"/>
        </w:rPr>
        <w:t>Fletcher Construction Australia Ltd v Lines Macfarlane and Marshall Pty Ltd (No</w:t>
      </w:r>
      <w:r w:rsidR="00AB627F">
        <w:rPr>
          <w:rFonts w:ascii="Arial" w:hAnsi="Arial" w:cs="Arial"/>
          <w:i/>
          <w:iCs/>
          <w:sz w:val="20"/>
          <w:szCs w:val="20"/>
        </w:rPr>
        <w:t> </w:t>
      </w:r>
      <w:r w:rsidRPr="00E03D48">
        <w:rPr>
          <w:rFonts w:ascii="Arial" w:hAnsi="Arial" w:cs="Arial"/>
          <w:i/>
          <w:iCs/>
          <w:sz w:val="20"/>
          <w:szCs w:val="20"/>
        </w:rPr>
        <w:t>2)</w:t>
      </w:r>
      <w:r w:rsidRPr="0037342E">
        <w:rPr>
          <w:rFonts w:ascii="Arial" w:hAnsi="Arial" w:cs="Arial"/>
          <w:sz w:val="20"/>
          <w:szCs w:val="20"/>
        </w:rPr>
        <w:t xml:space="preserve"> (2002) 6 VR 1, 30–</w:t>
      </w:r>
      <w:r w:rsidRPr="0037342E">
        <w:rPr>
          <w:rFonts w:ascii="Arial" w:hAnsi="Arial" w:cs="Arial"/>
          <w:sz w:val="20"/>
          <w:szCs w:val="20"/>
        </w:rPr>
        <w:lastRenderedPageBreak/>
        <w:t xml:space="preserve">1; [2002] VSCA 189; </w:t>
      </w:r>
      <w:r w:rsidRPr="00E03D48">
        <w:rPr>
          <w:rFonts w:ascii="Arial" w:hAnsi="Arial" w:cs="Arial"/>
          <w:i/>
          <w:iCs/>
          <w:sz w:val="20"/>
          <w:szCs w:val="20"/>
        </w:rPr>
        <w:t>Sun Alliance Insurance Ltd v Massoud</w:t>
      </w:r>
      <w:r w:rsidRPr="0037342E">
        <w:rPr>
          <w:rFonts w:ascii="Arial" w:hAnsi="Arial" w:cs="Arial"/>
          <w:sz w:val="20"/>
          <w:szCs w:val="20"/>
        </w:rPr>
        <w:t xml:space="preserve"> [1989] VR 8, 18; </w:t>
      </w:r>
      <w:r w:rsidRPr="00E03D48">
        <w:rPr>
          <w:rFonts w:ascii="Arial" w:hAnsi="Arial" w:cs="Arial"/>
          <w:i/>
          <w:iCs/>
          <w:sz w:val="20"/>
          <w:szCs w:val="20"/>
        </w:rPr>
        <w:t>Pettit v Dunkley</w:t>
      </w:r>
      <w:r w:rsidRPr="0037342E">
        <w:rPr>
          <w:rFonts w:ascii="Arial" w:hAnsi="Arial" w:cs="Arial"/>
          <w:sz w:val="20"/>
          <w:szCs w:val="20"/>
        </w:rPr>
        <w:t xml:space="preserve"> [1971] 1 NSWLR 376, 382, 387–8; </w:t>
      </w:r>
      <w:r w:rsidRPr="00E03D48">
        <w:rPr>
          <w:rFonts w:ascii="Arial" w:hAnsi="Arial" w:cs="Arial"/>
          <w:i/>
          <w:iCs/>
          <w:sz w:val="20"/>
          <w:szCs w:val="20"/>
        </w:rPr>
        <w:t>De Iacovo v Lacanale</w:t>
      </w:r>
      <w:r w:rsidRPr="0037342E">
        <w:rPr>
          <w:rFonts w:ascii="Arial" w:hAnsi="Arial" w:cs="Arial"/>
          <w:sz w:val="20"/>
          <w:szCs w:val="20"/>
        </w:rPr>
        <w:t xml:space="preserve"> [1957] VR 553, 557–9.  </w:t>
      </w:r>
      <w:r w:rsidR="00E03D48" w:rsidRPr="0037342E">
        <w:rPr>
          <w:rFonts w:ascii="Arial" w:hAnsi="Arial" w:cs="Arial"/>
          <w:sz w:val="20"/>
          <w:szCs w:val="20"/>
        </w:rPr>
        <w:t>Thus, where there are issues of fact posed for judicial decision, ‘the judge has a duty, as part of the exercise of his judicial office, to state the findings and the reasons for his decision adequately for that purpose.’</w:t>
      </w:r>
      <w:r w:rsidR="00E03D48">
        <w:rPr>
          <w:rFonts w:ascii="Arial" w:hAnsi="Arial" w:cs="Arial"/>
          <w:sz w:val="20"/>
          <w:szCs w:val="20"/>
        </w:rPr>
        <w:t>:</w:t>
      </w:r>
      <w:r w:rsidR="006042EB">
        <w:rPr>
          <w:rFonts w:ascii="Arial" w:hAnsi="Arial" w:cs="Arial"/>
          <w:sz w:val="20"/>
          <w:szCs w:val="20"/>
        </w:rPr>
        <w:t xml:space="preserve"> </w:t>
      </w:r>
      <w:r w:rsidR="006042EB" w:rsidRPr="002A4DFE">
        <w:rPr>
          <w:rFonts w:ascii="Arial" w:hAnsi="Arial" w:cs="Arial"/>
          <w:i/>
          <w:iCs/>
          <w:sz w:val="20"/>
          <w:szCs w:val="20"/>
        </w:rPr>
        <w:t>NRMA Insurance Ltd v Tatt</w:t>
      </w:r>
      <w:r w:rsidR="006042EB">
        <w:rPr>
          <w:rFonts w:ascii="Arial" w:hAnsi="Arial" w:cs="Arial"/>
          <w:sz w:val="20"/>
          <w:szCs w:val="20"/>
        </w:rPr>
        <w:t xml:space="preserve"> (1989) 92 ALR 299, 312.</w:t>
      </w:r>
    </w:p>
    <w:p w14:paraId="61EB222E"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[11] </w:t>
      </w:r>
      <w:r w:rsidRPr="0037342E">
        <w:rPr>
          <w:rFonts w:ascii="Arial" w:hAnsi="Arial" w:cs="Arial"/>
          <w:sz w:val="20"/>
          <w:szCs w:val="20"/>
        </w:rPr>
        <w:t>There are several reasons for this requirement. First, and importantly, the parties, particularly the losing parties, are entitled to know the basis on which the judge came to his or her conclusion, so that consideration can be given to whether the conclusion might be challenged on appeal</w:t>
      </w:r>
      <w:r w:rsidR="006042EB">
        <w:rPr>
          <w:rFonts w:ascii="Arial" w:hAnsi="Arial" w:cs="Arial"/>
          <w:sz w:val="20"/>
          <w:szCs w:val="20"/>
        </w:rPr>
        <w:t xml:space="preserve">: </w:t>
      </w:r>
      <w:r w:rsidR="006042EB" w:rsidRPr="006042EB">
        <w:rPr>
          <w:rFonts w:ascii="Arial" w:hAnsi="Arial" w:cs="Arial"/>
          <w:i/>
          <w:iCs/>
          <w:sz w:val="20"/>
          <w:szCs w:val="20"/>
        </w:rPr>
        <w:t>Intertransport</w:t>
      </w:r>
      <w:r w:rsidR="006042EB" w:rsidRPr="0037342E">
        <w:rPr>
          <w:rFonts w:ascii="Arial" w:hAnsi="Arial" w:cs="Arial"/>
          <w:sz w:val="20"/>
          <w:szCs w:val="20"/>
        </w:rPr>
        <w:t xml:space="preserve"> [2005] VSCA 303</w:t>
      </w:r>
      <w:r w:rsidR="00AB627F">
        <w:rPr>
          <w:rFonts w:ascii="Arial" w:hAnsi="Arial" w:cs="Arial"/>
          <w:sz w:val="20"/>
          <w:szCs w:val="20"/>
        </w:rPr>
        <w:t xml:space="preserve"> at</w:t>
      </w:r>
      <w:r w:rsidR="006042EB" w:rsidRPr="0037342E">
        <w:rPr>
          <w:rFonts w:ascii="Arial" w:hAnsi="Arial" w:cs="Arial"/>
          <w:sz w:val="20"/>
          <w:szCs w:val="20"/>
        </w:rPr>
        <w:t xml:space="preserve"> [18].</w:t>
      </w:r>
      <w:r w:rsidR="006042EB">
        <w:rPr>
          <w:rFonts w:ascii="Arial" w:hAnsi="Arial" w:cs="Arial"/>
          <w:sz w:val="20"/>
          <w:szCs w:val="20"/>
        </w:rPr>
        <w:t xml:space="preserve"> </w:t>
      </w:r>
      <w:r w:rsidRPr="0037342E">
        <w:rPr>
          <w:rFonts w:ascii="Arial" w:hAnsi="Arial" w:cs="Arial"/>
          <w:sz w:val="20"/>
          <w:szCs w:val="20"/>
        </w:rPr>
        <w:t xml:space="preserve"> Further, reasons for the decision are necessary in order for an appellate court to determine if there was relevant error</w:t>
      </w:r>
      <w:r w:rsidR="006042EB">
        <w:rPr>
          <w:rFonts w:ascii="Arial" w:hAnsi="Arial" w:cs="Arial"/>
          <w:sz w:val="20"/>
          <w:szCs w:val="20"/>
        </w:rPr>
        <w:t xml:space="preserve">: </w:t>
      </w:r>
      <w:r w:rsidR="006042EB" w:rsidRPr="006042EB">
        <w:rPr>
          <w:rFonts w:ascii="Arial" w:hAnsi="Arial" w:cs="Arial"/>
          <w:i/>
          <w:iCs/>
          <w:sz w:val="20"/>
          <w:szCs w:val="20"/>
        </w:rPr>
        <w:t>Fletcher</w:t>
      </w:r>
      <w:r w:rsidR="006042EB" w:rsidRPr="0037342E">
        <w:rPr>
          <w:rFonts w:ascii="Arial" w:hAnsi="Arial" w:cs="Arial"/>
          <w:sz w:val="20"/>
          <w:szCs w:val="20"/>
        </w:rPr>
        <w:t xml:space="preserve"> (2002) 6 VR 1, 31</w:t>
      </w:r>
      <w:r w:rsidR="00AB627F">
        <w:rPr>
          <w:rFonts w:ascii="Arial" w:hAnsi="Arial" w:cs="Arial"/>
          <w:sz w:val="20"/>
          <w:szCs w:val="20"/>
        </w:rPr>
        <w:t xml:space="preserve"> at</w:t>
      </w:r>
      <w:r w:rsidR="006042EB" w:rsidRPr="0037342E">
        <w:rPr>
          <w:rFonts w:ascii="Arial" w:hAnsi="Arial" w:cs="Arial"/>
          <w:sz w:val="20"/>
          <w:szCs w:val="20"/>
        </w:rPr>
        <w:t xml:space="preserve"> [100]; [2002] VSCA 189</w:t>
      </w:r>
      <w:r w:rsidR="00AB627F">
        <w:rPr>
          <w:rFonts w:ascii="Arial" w:hAnsi="Arial" w:cs="Arial"/>
          <w:sz w:val="20"/>
          <w:szCs w:val="20"/>
        </w:rPr>
        <w:t xml:space="preserve">.  </w:t>
      </w:r>
      <w:r w:rsidRPr="0037342E">
        <w:rPr>
          <w:rFonts w:ascii="Arial" w:hAnsi="Arial" w:cs="Arial"/>
          <w:sz w:val="20"/>
          <w:szCs w:val="20"/>
        </w:rPr>
        <w:t>In that regard, reasons for judgment will be inadequate if ‘the appeal court is unable to ascertain the reasoning upon which the decision is based [or if] justice is not seen to have been done’</w:t>
      </w:r>
      <w:r w:rsidR="002A4DFE">
        <w:rPr>
          <w:rFonts w:ascii="Arial" w:hAnsi="Arial" w:cs="Arial"/>
          <w:sz w:val="20"/>
          <w:szCs w:val="20"/>
        </w:rPr>
        <w:t xml:space="preserve">: </w:t>
      </w:r>
      <w:r w:rsidR="002A4DFE" w:rsidRPr="002A4DFE">
        <w:rPr>
          <w:rFonts w:ascii="Arial" w:hAnsi="Arial" w:cs="Arial"/>
          <w:i/>
          <w:iCs/>
          <w:sz w:val="20"/>
          <w:szCs w:val="20"/>
        </w:rPr>
        <w:t xml:space="preserve">Sun Alliance </w:t>
      </w:r>
      <w:r w:rsidR="002A4DFE" w:rsidRPr="0037342E">
        <w:rPr>
          <w:rFonts w:ascii="Arial" w:hAnsi="Arial" w:cs="Arial"/>
          <w:sz w:val="20"/>
          <w:szCs w:val="20"/>
        </w:rPr>
        <w:t>[1989] VR 8, 18.</w:t>
      </w:r>
      <w:r w:rsidRPr="0037342E">
        <w:rPr>
          <w:rFonts w:ascii="Arial" w:hAnsi="Arial" w:cs="Arial"/>
          <w:sz w:val="20"/>
          <w:szCs w:val="20"/>
        </w:rPr>
        <w:t xml:space="preserve"> </w:t>
      </w:r>
      <w:r w:rsidR="002A4DFE">
        <w:rPr>
          <w:rFonts w:ascii="Arial" w:hAnsi="Arial" w:cs="Arial"/>
          <w:sz w:val="20"/>
          <w:szCs w:val="20"/>
        </w:rPr>
        <w:t xml:space="preserve"> </w:t>
      </w:r>
      <w:r w:rsidRPr="0037342E">
        <w:rPr>
          <w:rFonts w:ascii="Arial" w:hAnsi="Arial" w:cs="Arial"/>
          <w:sz w:val="20"/>
          <w:szCs w:val="20"/>
        </w:rPr>
        <w:t>Finally, an adequate statement of reasons provides ‘the foundation for the acceptability of the decision by the parties and the public as well as fostering judicial accountability’</w:t>
      </w:r>
      <w:r w:rsidR="002A4DFE">
        <w:rPr>
          <w:rFonts w:ascii="Arial" w:hAnsi="Arial" w:cs="Arial"/>
          <w:sz w:val="20"/>
          <w:szCs w:val="20"/>
        </w:rPr>
        <w:t xml:space="preserve">: </w:t>
      </w:r>
      <w:r w:rsidR="002A4DFE" w:rsidRPr="002A4DFE">
        <w:rPr>
          <w:rFonts w:ascii="Arial" w:hAnsi="Arial" w:cs="Arial"/>
          <w:i/>
          <w:iCs/>
          <w:sz w:val="20"/>
          <w:szCs w:val="20"/>
        </w:rPr>
        <w:t>Intertransport</w:t>
      </w:r>
      <w:r w:rsidR="002A4DFE" w:rsidRPr="0037342E">
        <w:rPr>
          <w:rFonts w:ascii="Arial" w:hAnsi="Arial" w:cs="Arial"/>
          <w:sz w:val="20"/>
          <w:szCs w:val="20"/>
        </w:rPr>
        <w:t xml:space="preserve"> [2005] VSCA 303, [18]</w:t>
      </w:r>
      <w:r w:rsidR="00E87456">
        <w:rPr>
          <w:rFonts w:ascii="Arial" w:hAnsi="Arial" w:cs="Arial"/>
          <w:sz w:val="20"/>
          <w:szCs w:val="20"/>
        </w:rPr>
        <w:t>,</w:t>
      </w:r>
      <w:r w:rsidR="002A4DFE" w:rsidRPr="0037342E">
        <w:rPr>
          <w:rFonts w:ascii="Arial" w:hAnsi="Arial" w:cs="Arial"/>
          <w:sz w:val="20"/>
          <w:szCs w:val="20"/>
        </w:rPr>
        <w:t xml:space="preserve"> quoting </w:t>
      </w:r>
      <w:r w:rsidR="002A4DFE" w:rsidRPr="00E87456">
        <w:rPr>
          <w:rFonts w:ascii="Arial" w:hAnsi="Arial" w:cs="Arial"/>
          <w:i/>
          <w:iCs/>
          <w:sz w:val="20"/>
          <w:szCs w:val="20"/>
        </w:rPr>
        <w:t>Fletcher</w:t>
      </w:r>
      <w:r w:rsidR="002A4DFE" w:rsidRPr="0037342E">
        <w:rPr>
          <w:rFonts w:ascii="Arial" w:hAnsi="Arial" w:cs="Arial"/>
          <w:sz w:val="20"/>
          <w:szCs w:val="20"/>
        </w:rPr>
        <w:t xml:space="preserve"> (2002) 6 VR 1, 31 </w:t>
      </w:r>
      <w:r w:rsidR="00E87456">
        <w:rPr>
          <w:rFonts w:ascii="Arial" w:hAnsi="Arial" w:cs="Arial"/>
          <w:sz w:val="20"/>
          <w:szCs w:val="20"/>
        </w:rPr>
        <w:t xml:space="preserve">at </w:t>
      </w:r>
      <w:r w:rsidR="002A4DFE" w:rsidRPr="0037342E">
        <w:rPr>
          <w:rFonts w:ascii="Arial" w:hAnsi="Arial" w:cs="Arial"/>
          <w:sz w:val="20"/>
          <w:szCs w:val="20"/>
        </w:rPr>
        <w:t>[100]; [2002] VSCA 189.</w:t>
      </w:r>
    </w:p>
    <w:p w14:paraId="377EA7CB"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[12] </w:t>
      </w:r>
      <w:r w:rsidRPr="0037342E">
        <w:rPr>
          <w:rFonts w:ascii="Arial" w:hAnsi="Arial" w:cs="Arial"/>
          <w:sz w:val="20"/>
          <w:szCs w:val="20"/>
        </w:rPr>
        <w:t>Reasons may be brief, but nonetheless adequate, if they reveal the steps in the reasoning of the court by which it reached its decision</w:t>
      </w:r>
      <w:r w:rsidR="002A4DFE">
        <w:rPr>
          <w:rFonts w:ascii="Arial" w:hAnsi="Arial" w:cs="Arial"/>
          <w:sz w:val="20"/>
          <w:szCs w:val="20"/>
        </w:rPr>
        <w:t xml:space="preserve">: </w:t>
      </w:r>
      <w:r w:rsidR="002A4DFE" w:rsidRPr="002A4DFE">
        <w:rPr>
          <w:rFonts w:ascii="Arial" w:hAnsi="Arial" w:cs="Arial"/>
          <w:i/>
          <w:iCs/>
          <w:sz w:val="20"/>
          <w:szCs w:val="20"/>
        </w:rPr>
        <w:t>Kiama Constructions Pty Ltd v Davey</w:t>
      </w:r>
      <w:r w:rsidR="002A4DFE" w:rsidRPr="0037342E">
        <w:rPr>
          <w:rFonts w:ascii="Arial" w:hAnsi="Arial" w:cs="Arial"/>
          <w:sz w:val="20"/>
          <w:szCs w:val="20"/>
        </w:rPr>
        <w:t xml:space="preserve"> (1996) 40 NSWLR 639, 647–8.</w:t>
      </w:r>
      <w:r w:rsidR="002A4DFE">
        <w:rPr>
          <w:rFonts w:ascii="Arial" w:hAnsi="Arial" w:cs="Arial"/>
          <w:sz w:val="20"/>
          <w:szCs w:val="20"/>
        </w:rPr>
        <w:t xml:space="preserve"> </w:t>
      </w:r>
      <w:r w:rsidRPr="0037342E">
        <w:rPr>
          <w:rFonts w:ascii="Arial" w:hAnsi="Arial" w:cs="Arial"/>
          <w:sz w:val="20"/>
          <w:szCs w:val="20"/>
        </w:rPr>
        <w:t xml:space="preserve"> In some cases, it may be that the basis for the decision can be inferred from the whole of the judge’s reasons, having regard to the circumstances of the case. Thus, as Gray J explained in </w:t>
      </w:r>
      <w:r w:rsidRPr="002A4DFE">
        <w:rPr>
          <w:rFonts w:ascii="Arial" w:hAnsi="Arial" w:cs="Arial"/>
          <w:i/>
          <w:iCs/>
          <w:sz w:val="20"/>
          <w:szCs w:val="20"/>
        </w:rPr>
        <w:t>Sun Alliance</w:t>
      </w:r>
      <w:r w:rsidR="00E87456">
        <w:rPr>
          <w:rFonts w:ascii="Arial" w:hAnsi="Arial" w:cs="Arial"/>
          <w:sz w:val="20"/>
          <w:szCs w:val="20"/>
        </w:rPr>
        <w:t xml:space="preserve"> [1989] VR 8, 19:</w:t>
      </w:r>
    </w:p>
    <w:p w14:paraId="6372280C" w14:textId="2B2A1E3D" w:rsidR="00E03D48" w:rsidRPr="00A962F2" w:rsidRDefault="00E87456" w:rsidP="00A962F2">
      <w:pPr>
        <w:spacing w:before="60"/>
        <w:ind w:left="907" w:right="907"/>
        <w:jc w:val="both"/>
        <w:rPr>
          <w:rFonts w:ascii="Arial" w:hAnsi="Arial" w:cs="Arial"/>
          <w:sz w:val="18"/>
          <w:szCs w:val="18"/>
        </w:rPr>
      </w:pPr>
      <w:r w:rsidRPr="00A962F2">
        <w:rPr>
          <w:rFonts w:ascii="Arial" w:hAnsi="Arial" w:cs="Arial"/>
          <w:sz w:val="18"/>
          <w:szCs w:val="18"/>
        </w:rPr>
        <w:t>‘</w:t>
      </w:r>
      <w:r w:rsidR="00E03D48" w:rsidRPr="00A962F2">
        <w:rPr>
          <w:rFonts w:ascii="Arial" w:hAnsi="Arial" w:cs="Arial"/>
          <w:sz w:val="18"/>
          <w:szCs w:val="18"/>
        </w:rPr>
        <w:t>The simplicity of the context of the case or the state of the evidence may be such that a mere statement of the judge’s conclusion will sufficiently indicate the basis of a decision. … In such cases, the foundation for the judge’s conclusion will be indicated as a matter of necessary inference.</w:t>
      </w:r>
      <w:r w:rsidRPr="00A962F2">
        <w:rPr>
          <w:rFonts w:ascii="Arial" w:hAnsi="Arial" w:cs="Arial"/>
          <w:sz w:val="18"/>
          <w:szCs w:val="18"/>
        </w:rPr>
        <w:t>’</w:t>
      </w:r>
    </w:p>
    <w:p w14:paraId="2DAAF962"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[13] </w:t>
      </w:r>
      <w:r w:rsidRPr="0037342E">
        <w:rPr>
          <w:rFonts w:ascii="Arial" w:hAnsi="Arial" w:cs="Arial"/>
          <w:sz w:val="20"/>
          <w:szCs w:val="20"/>
        </w:rPr>
        <w:t xml:space="preserve">However, as Nettle JA observed in </w:t>
      </w:r>
      <w:r w:rsidRPr="00E87456">
        <w:rPr>
          <w:rFonts w:ascii="Arial" w:hAnsi="Arial" w:cs="Arial"/>
          <w:i/>
          <w:iCs/>
          <w:sz w:val="20"/>
          <w:szCs w:val="20"/>
        </w:rPr>
        <w:t>Hunter v Transport Accident Commission</w:t>
      </w:r>
      <w:r w:rsidR="00E87456">
        <w:rPr>
          <w:rFonts w:ascii="Arial" w:hAnsi="Arial" w:cs="Arial"/>
          <w:sz w:val="20"/>
          <w:szCs w:val="20"/>
        </w:rPr>
        <w:t xml:space="preserve"> [2005] VSCA 1 at [28], </w:t>
      </w:r>
      <w:r w:rsidRPr="0037342E">
        <w:rPr>
          <w:rFonts w:ascii="Arial" w:hAnsi="Arial" w:cs="Arial"/>
          <w:sz w:val="20"/>
          <w:szCs w:val="20"/>
        </w:rPr>
        <w:t>a ‘mere recitation of evidence followed by a statement of findings, without any commentary as to why the evidence is said to lead to the findings’, is inadequate. In</w:t>
      </w:r>
      <w:r w:rsidR="00E87456">
        <w:rPr>
          <w:rFonts w:ascii="Arial" w:hAnsi="Arial" w:cs="Arial"/>
          <w:sz w:val="20"/>
          <w:szCs w:val="20"/>
        </w:rPr>
        <w:t> </w:t>
      </w:r>
      <w:r w:rsidRPr="0037342E">
        <w:rPr>
          <w:rFonts w:ascii="Arial" w:hAnsi="Arial" w:cs="Arial"/>
          <w:sz w:val="20"/>
          <w:szCs w:val="20"/>
        </w:rPr>
        <w:t xml:space="preserve">that case his Honour also observed </w:t>
      </w:r>
      <w:r w:rsidR="00E87456">
        <w:rPr>
          <w:rFonts w:ascii="Arial" w:hAnsi="Arial" w:cs="Arial"/>
          <w:sz w:val="20"/>
          <w:szCs w:val="20"/>
        </w:rPr>
        <w:t xml:space="preserve">at [21] </w:t>
      </w:r>
      <w:r w:rsidRPr="0037342E">
        <w:rPr>
          <w:rFonts w:ascii="Arial" w:hAnsi="Arial" w:cs="Arial"/>
          <w:sz w:val="20"/>
          <w:szCs w:val="20"/>
        </w:rPr>
        <w:t>the importance of exposing the ‘path of reasoning’ as follows:</w:t>
      </w:r>
    </w:p>
    <w:p w14:paraId="38F2547D" w14:textId="30430444" w:rsidR="00E03D48" w:rsidRPr="00A962F2" w:rsidRDefault="00E87456" w:rsidP="00A962F2">
      <w:pPr>
        <w:spacing w:before="60"/>
        <w:ind w:left="907" w:right="907"/>
        <w:jc w:val="both"/>
        <w:rPr>
          <w:rFonts w:ascii="Arial" w:hAnsi="Arial" w:cs="Arial"/>
          <w:sz w:val="18"/>
          <w:szCs w:val="18"/>
        </w:rPr>
      </w:pPr>
      <w:r w:rsidRPr="00A962F2">
        <w:rPr>
          <w:rFonts w:ascii="Arial" w:hAnsi="Arial" w:cs="Arial"/>
          <w:sz w:val="18"/>
          <w:szCs w:val="18"/>
        </w:rPr>
        <w:t>‘</w:t>
      </w:r>
      <w:r w:rsidR="00E03D48" w:rsidRPr="00A962F2">
        <w:rPr>
          <w:rFonts w:ascii="Arial" w:hAnsi="Arial" w:cs="Arial"/>
          <w:sz w:val="18"/>
          <w:szCs w:val="18"/>
        </w:rPr>
        <w:t xml:space="preserve">[W]hile the extent of the reasons will depend upon the circumstances of the case, the reasons should deal with the substantial points which have been raised; include findings on material questions of fact; refer to the evidence or other material upon which those findings are based; and provide an intelligible explanation of the process of reasoning that has led the judge from the evidence to the findings and from the findings to the ultimate conclusion. It should also be understood that the requirement to refer to the evidence is not limited to the evidence that has been accepted and acted upon. </w:t>
      </w:r>
      <w:r w:rsidR="00E03D48" w:rsidRPr="00A962F2">
        <w:rPr>
          <w:rFonts w:ascii="Arial" w:hAnsi="Arial" w:cs="Arial"/>
          <w:b/>
          <w:bCs/>
          <w:sz w:val="18"/>
          <w:szCs w:val="18"/>
        </w:rPr>
        <w:t xml:space="preserve">If a party has relied on evidence or material which the judge has rejected, the judge should refer to that evidence or material and, in giving reasons which deal with the substantial points that have been raised, explain why that evidence or material has been rejected. </w:t>
      </w:r>
      <w:r w:rsidR="00E03D48" w:rsidRPr="00A962F2">
        <w:rPr>
          <w:rFonts w:ascii="Arial" w:hAnsi="Arial" w:cs="Arial"/>
          <w:sz w:val="18"/>
          <w:szCs w:val="18"/>
        </w:rPr>
        <w:t xml:space="preserve">There may be exceptions. </w:t>
      </w:r>
      <w:proofErr w:type="gramStart"/>
      <w:r w:rsidR="00E03D48" w:rsidRPr="00A962F2">
        <w:rPr>
          <w:rFonts w:ascii="Arial" w:hAnsi="Arial" w:cs="Arial"/>
          <w:sz w:val="18"/>
          <w:szCs w:val="18"/>
        </w:rPr>
        <w:t>But,</w:t>
      </w:r>
      <w:proofErr w:type="gramEnd"/>
      <w:r w:rsidR="00E03D48" w:rsidRPr="00A962F2">
        <w:rPr>
          <w:rFonts w:ascii="Arial" w:hAnsi="Arial" w:cs="Arial"/>
          <w:sz w:val="18"/>
          <w:szCs w:val="18"/>
        </w:rPr>
        <w:t xml:space="preserve"> ordinarily, where a judge rejects or excludes from consideration evidence or other </w:t>
      </w:r>
      <w:proofErr w:type="gramStart"/>
      <w:r w:rsidR="00E03D48" w:rsidRPr="00A962F2">
        <w:rPr>
          <w:rFonts w:ascii="Arial" w:hAnsi="Arial" w:cs="Arial"/>
          <w:sz w:val="18"/>
          <w:szCs w:val="18"/>
        </w:rPr>
        <w:t>material</w:t>
      </w:r>
      <w:proofErr w:type="gramEnd"/>
      <w:r w:rsidR="00E03D48" w:rsidRPr="00A962F2">
        <w:rPr>
          <w:rFonts w:ascii="Arial" w:hAnsi="Arial" w:cs="Arial"/>
          <w:sz w:val="18"/>
          <w:szCs w:val="18"/>
        </w:rPr>
        <w:t xml:space="preserve"> which is relevant and cogent, it is simply not possible to give fair and sensible reasons for the decision without adverting to and assigning reasons for the rejection or exclusion of that material. Similarly, while it is not incumbent upon the judge to deal with every argument and issue that might arise in the course of a case, where an argument is substantial or an issue is significant, it is necessary to refer to and assign reasons for the rejection of the argument or the resolution of the issue. Above all the </w:t>
      </w:r>
      <w:proofErr w:type="gramStart"/>
      <w:r w:rsidR="00E03D48" w:rsidRPr="00A962F2">
        <w:rPr>
          <w:rFonts w:ascii="Arial" w:hAnsi="Arial" w:cs="Arial"/>
          <w:sz w:val="18"/>
          <w:szCs w:val="18"/>
        </w:rPr>
        <w:t>judge</w:t>
      </w:r>
      <w:proofErr w:type="gramEnd"/>
      <w:r w:rsidR="00E03D48" w:rsidRPr="00A962F2">
        <w:rPr>
          <w:rFonts w:ascii="Arial" w:hAnsi="Arial" w:cs="Arial"/>
          <w:sz w:val="18"/>
          <w:szCs w:val="18"/>
        </w:rPr>
        <w:t xml:space="preserve"> should bear steadily in mind that reasons are not intelligible if they leave the reader to wonder which of a number of possible routes has been taken to the conclusion expressed. </w:t>
      </w:r>
      <w:r w:rsidR="00E03D48" w:rsidRPr="00A962F2">
        <w:rPr>
          <w:rFonts w:ascii="Arial" w:hAnsi="Arial" w:cs="Arial"/>
          <w:b/>
          <w:bCs/>
          <w:sz w:val="18"/>
          <w:szCs w:val="18"/>
        </w:rPr>
        <w:t>Failure to expose the path of reasoning is an error of law.</w:t>
      </w:r>
      <w:r w:rsidRPr="00A962F2">
        <w:rPr>
          <w:rFonts w:ascii="Arial" w:hAnsi="Arial" w:cs="Arial"/>
          <w:sz w:val="18"/>
          <w:szCs w:val="18"/>
        </w:rPr>
        <w:t>’</w:t>
      </w:r>
    </w:p>
    <w:p w14:paraId="66049932" w14:textId="77777777" w:rsidR="00A962F2" w:rsidRDefault="00E03D48" w:rsidP="00A962F2">
      <w:pPr>
        <w:spacing w:before="80"/>
        <w:ind w:left="454" w:right="454"/>
        <w:jc w:val="both"/>
        <w:rPr>
          <w:rFonts w:ascii="Arial" w:hAnsi="Arial" w:cs="Arial"/>
          <w:sz w:val="20"/>
        </w:rPr>
      </w:pPr>
      <w:r>
        <w:rPr>
          <w:rFonts w:ascii="Arial" w:hAnsi="Arial" w:cs="Arial"/>
          <w:sz w:val="20"/>
          <w:szCs w:val="20"/>
        </w:rPr>
        <w:t>[14</w:t>
      </w:r>
      <w:proofErr w:type="gramStart"/>
      <w:r>
        <w:rPr>
          <w:rFonts w:ascii="Arial" w:hAnsi="Arial" w:cs="Arial"/>
          <w:sz w:val="20"/>
          <w:szCs w:val="20"/>
        </w:rPr>
        <w:t xml:space="preserve">] </w:t>
      </w:r>
      <w:r w:rsidRPr="0037342E">
        <w:rPr>
          <w:rFonts w:ascii="Arial" w:hAnsi="Arial" w:cs="Arial"/>
          <w:sz w:val="20"/>
          <w:szCs w:val="20"/>
        </w:rPr>
        <w:t xml:space="preserve"> This</w:t>
      </w:r>
      <w:proofErr w:type="gramEnd"/>
      <w:r w:rsidRPr="0037342E">
        <w:rPr>
          <w:rFonts w:ascii="Arial" w:hAnsi="Arial" w:cs="Arial"/>
          <w:sz w:val="20"/>
          <w:szCs w:val="20"/>
        </w:rPr>
        <w:t xml:space="preserve"> includes an obligation to give a rational and analytical explanation for preferring one witness’s evidence over another’s where there is a conflict of evidence.</w:t>
      </w:r>
      <w:r>
        <w:rPr>
          <w:rFonts w:ascii="Arial" w:hAnsi="Arial" w:cs="Arial"/>
          <w:sz w:val="20"/>
          <w:szCs w:val="20"/>
        </w:rPr>
        <w:t>”</w:t>
      </w:r>
    </w:p>
    <w:p w14:paraId="60E30094" w14:textId="2672B227" w:rsidR="0037342E" w:rsidRDefault="00E87456" w:rsidP="00E87456">
      <w:pPr>
        <w:spacing w:before="60"/>
        <w:jc w:val="both"/>
        <w:rPr>
          <w:rFonts w:ascii="Arial" w:hAnsi="Arial" w:cs="Arial"/>
          <w:color w:val="000000"/>
          <w:sz w:val="20"/>
        </w:rPr>
      </w:pPr>
      <w:r>
        <w:rPr>
          <w:rFonts w:ascii="Arial" w:hAnsi="Arial" w:cs="Arial"/>
          <w:color w:val="000000"/>
          <w:sz w:val="20"/>
        </w:rPr>
        <w:t>At [47]-[</w:t>
      </w:r>
      <w:r w:rsidR="00B918E0">
        <w:rPr>
          <w:rFonts w:ascii="Arial" w:hAnsi="Arial" w:cs="Arial"/>
          <w:color w:val="000000"/>
          <w:sz w:val="20"/>
        </w:rPr>
        <w:t>57</w:t>
      </w:r>
      <w:r>
        <w:rPr>
          <w:rFonts w:ascii="Arial" w:hAnsi="Arial" w:cs="Arial"/>
          <w:color w:val="000000"/>
          <w:sz w:val="20"/>
        </w:rPr>
        <w:t>] their Honours explained their conclusion that the trial judge’s reasons were not adequate as follows:</w:t>
      </w:r>
    </w:p>
    <w:p w14:paraId="78447850" w14:textId="0EB0FE5C" w:rsidR="00E87456" w:rsidRDefault="00E87456" w:rsidP="00A962F2">
      <w:pPr>
        <w:spacing w:before="60"/>
        <w:ind w:left="454" w:right="454"/>
        <w:jc w:val="both"/>
        <w:rPr>
          <w:rFonts w:ascii="Arial" w:hAnsi="Arial" w:cs="Arial"/>
          <w:sz w:val="20"/>
          <w:szCs w:val="20"/>
        </w:rPr>
      </w:pPr>
      <w:r>
        <w:rPr>
          <w:rFonts w:ascii="Arial" w:hAnsi="Arial" w:cs="Arial"/>
          <w:color w:val="000000"/>
          <w:sz w:val="20"/>
          <w:szCs w:val="20"/>
        </w:rPr>
        <w:t xml:space="preserve">[47] </w:t>
      </w:r>
      <w:r w:rsidRPr="00E03D48">
        <w:rPr>
          <w:rFonts w:ascii="Arial" w:hAnsi="Arial" w:cs="Arial"/>
          <w:sz w:val="20"/>
          <w:szCs w:val="20"/>
        </w:rPr>
        <w:t>In our opinion the trial judge’s reasons for her conclusions were not adequate. We accept that the trial judge came to various conclusions, particularly as set out in paragraphs [41] and [45], which are quoted above. It is plain from those paragraphs that the judge accepted Chrysoula’s and Georgia’s evidence that Theo had not been a party to any conversations with Georgia and Petros concerning him and Chrysoula moving into and renovating Unit 1. She thus must have rejected Theo’s evidence that such a conversation did occur.</w:t>
      </w:r>
    </w:p>
    <w:p w14:paraId="371ACAFE" w14:textId="0877C6C6" w:rsidR="00E87456" w:rsidRDefault="00E87456" w:rsidP="00A962F2">
      <w:pPr>
        <w:spacing w:before="60"/>
        <w:ind w:left="454" w:right="454"/>
        <w:jc w:val="both"/>
        <w:rPr>
          <w:rFonts w:ascii="Arial" w:hAnsi="Arial" w:cs="Arial"/>
          <w:sz w:val="20"/>
          <w:szCs w:val="20"/>
        </w:rPr>
      </w:pPr>
      <w:r>
        <w:rPr>
          <w:rFonts w:ascii="Arial" w:hAnsi="Arial" w:cs="Arial"/>
          <w:sz w:val="20"/>
          <w:szCs w:val="20"/>
        </w:rPr>
        <w:t xml:space="preserve">[48] </w:t>
      </w:r>
      <w:r w:rsidR="00637F39" w:rsidRPr="00E03D48">
        <w:rPr>
          <w:rFonts w:ascii="Arial" w:hAnsi="Arial" w:cs="Arial"/>
          <w:sz w:val="20"/>
          <w:szCs w:val="20"/>
        </w:rPr>
        <w:t>However, the key difficulty is that the judge’s reasons contain no explanation of why is particularly striking given the following matters.</w:t>
      </w:r>
    </w:p>
    <w:p w14:paraId="123F1B42" w14:textId="7953F434" w:rsidR="00637F39" w:rsidRDefault="00637F39" w:rsidP="00A962F2">
      <w:pPr>
        <w:spacing w:before="60"/>
        <w:ind w:left="454" w:right="454"/>
        <w:jc w:val="both"/>
        <w:rPr>
          <w:rFonts w:ascii="Arial" w:hAnsi="Arial" w:cs="Arial"/>
          <w:sz w:val="20"/>
          <w:szCs w:val="20"/>
        </w:rPr>
      </w:pPr>
      <w:r>
        <w:rPr>
          <w:rFonts w:ascii="Arial" w:hAnsi="Arial" w:cs="Arial"/>
          <w:sz w:val="20"/>
          <w:szCs w:val="20"/>
        </w:rPr>
        <w:t>[4</w:t>
      </w:r>
      <w:r w:rsidR="001916D0">
        <w:rPr>
          <w:rFonts w:ascii="Arial" w:hAnsi="Arial" w:cs="Arial"/>
          <w:sz w:val="20"/>
          <w:szCs w:val="20"/>
        </w:rPr>
        <w:t xml:space="preserve">9] </w:t>
      </w:r>
      <w:r w:rsidR="001916D0" w:rsidRPr="001916D0">
        <w:rPr>
          <w:rFonts w:ascii="Arial" w:hAnsi="Arial" w:cs="Arial"/>
          <w:i/>
          <w:iCs/>
          <w:sz w:val="20"/>
          <w:szCs w:val="20"/>
        </w:rPr>
        <w:t>First</w:t>
      </w:r>
      <w:r w:rsidR="001916D0" w:rsidRPr="00E03D48">
        <w:rPr>
          <w:rFonts w:ascii="Arial" w:hAnsi="Arial" w:cs="Arial"/>
          <w:sz w:val="20"/>
          <w:szCs w:val="20"/>
        </w:rPr>
        <w:t xml:space="preserve">, the only finding resembling a credit finding was the judge’s statement that she did not accept Georgia’s evidence concerning why she had changed her will in 2020. </w:t>
      </w:r>
      <w:r w:rsidR="001916D0" w:rsidRPr="00E03D48">
        <w:rPr>
          <w:rFonts w:ascii="Arial" w:hAnsi="Arial" w:cs="Arial"/>
          <w:sz w:val="20"/>
          <w:szCs w:val="20"/>
        </w:rPr>
        <w:lastRenderedPageBreak/>
        <w:t>In</w:t>
      </w:r>
      <w:r w:rsidR="00CE2600">
        <w:rPr>
          <w:rFonts w:ascii="Arial" w:hAnsi="Arial" w:cs="Arial"/>
          <w:sz w:val="20"/>
          <w:szCs w:val="20"/>
        </w:rPr>
        <w:t> </w:t>
      </w:r>
      <w:r w:rsidR="001916D0" w:rsidRPr="00E03D48">
        <w:rPr>
          <w:rFonts w:ascii="Arial" w:hAnsi="Arial" w:cs="Arial"/>
          <w:sz w:val="20"/>
          <w:szCs w:val="20"/>
        </w:rPr>
        <w:t>substance, the trial judge rejected Georgia’s evidence on that issue and there is no challenge to that aspect of the trial judge’s reasons on the appeal. Notwithstanding this finding, her Honour did not explain why she accepted as truthful Georgia’s evidence concerning the events in 2012, nor why she preferred Georgia’s evidence over that of Theo.</w:t>
      </w:r>
    </w:p>
    <w:p w14:paraId="6C2CD488" w14:textId="1F4A6A7F"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[50] </w:t>
      </w:r>
      <w:r w:rsidRPr="001916D0">
        <w:rPr>
          <w:rFonts w:ascii="Arial" w:hAnsi="Arial" w:cs="Arial"/>
          <w:i/>
          <w:iCs/>
          <w:sz w:val="20"/>
          <w:szCs w:val="20"/>
        </w:rPr>
        <w:t>Secondly</w:t>
      </w:r>
      <w:r w:rsidRPr="00E03D48">
        <w:rPr>
          <w:rFonts w:ascii="Arial" w:hAnsi="Arial" w:cs="Arial"/>
          <w:sz w:val="20"/>
          <w:szCs w:val="20"/>
        </w:rPr>
        <w:t>, it is notable that the trial judge made no findings (whether positive or adverse) concerning the credit of either Theo or Chrysoula. In the absence of such findings, it is impossible to understand why the judge preferred Chrysoula’s evidence over and above Theo’s evidence.</w:t>
      </w:r>
    </w:p>
    <w:p w14:paraId="04E451D9" w14:textId="06C6403A"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[51] </w:t>
      </w:r>
      <w:r w:rsidRPr="001916D0">
        <w:rPr>
          <w:rFonts w:ascii="Arial" w:hAnsi="Arial" w:cs="Arial"/>
          <w:i/>
          <w:iCs/>
          <w:sz w:val="20"/>
          <w:szCs w:val="20"/>
        </w:rPr>
        <w:t>Thirdly</w:t>
      </w:r>
      <w:r w:rsidRPr="00E03D48">
        <w:rPr>
          <w:rFonts w:ascii="Arial" w:hAnsi="Arial" w:cs="Arial"/>
          <w:sz w:val="20"/>
          <w:szCs w:val="20"/>
        </w:rPr>
        <w:t>, the judge did not address the various inconsistencies between Georgia’s witness statement and her oral evidence. Those inconsistencies included the following: (a) In her witness statement, Georgia said that she had been told about the proposal to renovate in June or July of 2012, but in oral evidence she denied that Chrysoula had told her that Unit 1 would be renovated until the works had commenced. (b) In her witness statement, Georgia said that she ‘used to go over to see the progress of the works’ on Unit</w:t>
      </w:r>
      <w:r>
        <w:rPr>
          <w:rFonts w:ascii="Arial" w:hAnsi="Arial" w:cs="Arial"/>
          <w:sz w:val="20"/>
          <w:szCs w:val="20"/>
        </w:rPr>
        <w:t> </w:t>
      </w:r>
      <w:r w:rsidRPr="00E03D48">
        <w:rPr>
          <w:rFonts w:ascii="Arial" w:hAnsi="Arial" w:cs="Arial"/>
          <w:sz w:val="20"/>
          <w:szCs w:val="20"/>
        </w:rPr>
        <w:t>1. But in her oral evidence she denied that she would check the progress of the works.</w:t>
      </w:r>
    </w:p>
    <w:p w14:paraId="43D30DDD" w14:textId="2C084D5A" w:rsidR="001916D0" w:rsidRDefault="001916D0" w:rsidP="00A962F2">
      <w:pPr>
        <w:spacing w:before="60"/>
        <w:ind w:left="454" w:right="454"/>
        <w:jc w:val="both"/>
        <w:rPr>
          <w:rFonts w:ascii="Arial" w:hAnsi="Arial" w:cs="Arial"/>
          <w:sz w:val="20"/>
          <w:szCs w:val="20"/>
        </w:rPr>
      </w:pPr>
      <w:r>
        <w:rPr>
          <w:rFonts w:ascii="Arial" w:hAnsi="Arial" w:cs="Arial"/>
          <w:color w:val="000000"/>
          <w:sz w:val="20"/>
          <w:szCs w:val="20"/>
        </w:rPr>
        <w:t xml:space="preserve">[52] </w:t>
      </w:r>
      <w:r w:rsidRPr="00E03D48">
        <w:rPr>
          <w:rFonts w:ascii="Arial" w:hAnsi="Arial" w:cs="Arial"/>
          <w:sz w:val="20"/>
          <w:szCs w:val="20"/>
        </w:rPr>
        <w:t>While it may be accepted that the Zoom hearing, the use of an interpreter, and Georgia’s advanced age could have provided some basis for putting aside those inconsistencies, the judge simply did not engage with the inconsistencies at all. It would be speculation on the part of this Court to conclude that these were the reasons why the trial judge was not troubled by the inconsistencies in Georgia’s evidence.</w:t>
      </w:r>
    </w:p>
    <w:p w14:paraId="558C40FF" w14:textId="665F253A"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[53] </w:t>
      </w:r>
      <w:r w:rsidRPr="001916D0">
        <w:rPr>
          <w:rFonts w:ascii="Arial" w:hAnsi="Arial" w:cs="Arial"/>
          <w:i/>
          <w:iCs/>
          <w:sz w:val="20"/>
          <w:szCs w:val="20"/>
        </w:rPr>
        <w:t>Fourthly</w:t>
      </w:r>
      <w:r w:rsidRPr="00E03D48">
        <w:rPr>
          <w:rFonts w:ascii="Arial" w:hAnsi="Arial" w:cs="Arial"/>
          <w:sz w:val="20"/>
          <w:szCs w:val="20"/>
        </w:rPr>
        <w:t>, Chrysoula’s evidence differed from Georgia’s evidence on some significant issues, including the timing of the conversation where Chrysoula had discussed the renovations with her mother.</w:t>
      </w:r>
    </w:p>
    <w:p w14:paraId="6B241EC0" w14:textId="67EFD25A" w:rsidR="001916D0" w:rsidRDefault="001916D0" w:rsidP="00A962F2">
      <w:pPr>
        <w:spacing w:before="60"/>
        <w:ind w:left="454" w:right="454"/>
        <w:jc w:val="both"/>
        <w:rPr>
          <w:rFonts w:ascii="Arial" w:hAnsi="Arial" w:cs="Arial"/>
          <w:sz w:val="20"/>
          <w:szCs w:val="20"/>
        </w:rPr>
      </w:pPr>
      <w:r>
        <w:rPr>
          <w:rFonts w:ascii="Arial" w:hAnsi="Arial" w:cs="Arial"/>
          <w:color w:val="000000"/>
          <w:sz w:val="20"/>
          <w:szCs w:val="20"/>
        </w:rPr>
        <w:t xml:space="preserve">[54] </w:t>
      </w:r>
      <w:r w:rsidRPr="00E03D48">
        <w:rPr>
          <w:rFonts w:ascii="Arial" w:hAnsi="Arial" w:cs="Arial"/>
          <w:sz w:val="20"/>
          <w:szCs w:val="20"/>
        </w:rPr>
        <w:t>These were all matters raised by Theo in his closing submissions to the judge. Yet they do not appear to have been considered by her Honour in reaching her conclusions.</w:t>
      </w:r>
    </w:p>
    <w:p w14:paraId="7665B49D" w14:textId="5E872745"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[55] </w:t>
      </w:r>
      <w:r w:rsidRPr="00B918E0">
        <w:rPr>
          <w:rFonts w:ascii="Arial" w:hAnsi="Arial" w:cs="Arial"/>
          <w:i/>
          <w:iCs/>
          <w:sz w:val="20"/>
          <w:szCs w:val="20"/>
        </w:rPr>
        <w:t>Finally</w:t>
      </w:r>
      <w:r w:rsidRPr="00E03D48">
        <w:rPr>
          <w:rFonts w:ascii="Arial" w:hAnsi="Arial" w:cs="Arial"/>
          <w:sz w:val="20"/>
          <w:szCs w:val="20"/>
        </w:rPr>
        <w:t xml:space="preserve">, the trial judge did not find, and in our </w:t>
      </w:r>
      <w:proofErr w:type="gramStart"/>
      <w:r w:rsidRPr="00E03D48">
        <w:rPr>
          <w:rFonts w:ascii="Arial" w:hAnsi="Arial" w:cs="Arial"/>
          <w:sz w:val="20"/>
          <w:szCs w:val="20"/>
        </w:rPr>
        <w:t>opinion</w:t>
      </w:r>
      <w:proofErr w:type="gramEnd"/>
      <w:r w:rsidRPr="00E03D48">
        <w:rPr>
          <w:rFonts w:ascii="Arial" w:hAnsi="Arial" w:cs="Arial"/>
          <w:sz w:val="20"/>
          <w:szCs w:val="20"/>
        </w:rPr>
        <w:t xml:space="preserve"> it cannot be said, that one version of events was inherently more plausible than the other. This was consistent with the general absence of objective contemporaneous documentation favouring one version over the other.</w:t>
      </w:r>
    </w:p>
    <w:p w14:paraId="01FA6799" w14:textId="3AB48785"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[56] </w:t>
      </w:r>
      <w:r w:rsidRPr="00E03D48">
        <w:rPr>
          <w:rFonts w:ascii="Arial" w:hAnsi="Arial" w:cs="Arial"/>
          <w:sz w:val="20"/>
          <w:szCs w:val="20"/>
        </w:rPr>
        <w:t xml:space="preserve">In our opinion, to adopt the words of Nettle JA in </w:t>
      </w:r>
      <w:r w:rsidRPr="00B918E0">
        <w:rPr>
          <w:rFonts w:ascii="Arial" w:hAnsi="Arial" w:cs="Arial"/>
          <w:i/>
          <w:iCs/>
          <w:sz w:val="20"/>
          <w:szCs w:val="20"/>
        </w:rPr>
        <w:t>Hunter</w:t>
      </w:r>
      <w:r w:rsidR="00B918E0">
        <w:rPr>
          <w:rFonts w:ascii="Arial" w:hAnsi="Arial" w:cs="Arial"/>
          <w:sz w:val="20"/>
          <w:szCs w:val="20"/>
        </w:rPr>
        <w:t xml:space="preserve"> at [28],</w:t>
      </w:r>
      <w:r w:rsidRPr="00E03D48">
        <w:rPr>
          <w:rFonts w:ascii="Arial" w:hAnsi="Arial" w:cs="Arial"/>
          <w:sz w:val="20"/>
          <w:szCs w:val="20"/>
        </w:rPr>
        <w:t xml:space="preserve"> the trial judge engaged in a mere recitation of evidence followed by a statement of findings, without any</w:t>
      </w:r>
      <w:r>
        <w:rPr>
          <w:rFonts w:ascii="Arial" w:hAnsi="Arial" w:cs="Arial"/>
          <w:sz w:val="20"/>
          <w:szCs w:val="20"/>
        </w:rPr>
        <w:t xml:space="preserve"> </w:t>
      </w:r>
      <w:r w:rsidR="00B918E0" w:rsidRPr="00E03D48">
        <w:rPr>
          <w:rFonts w:ascii="Arial" w:hAnsi="Arial" w:cs="Arial"/>
          <w:sz w:val="20"/>
          <w:szCs w:val="20"/>
        </w:rPr>
        <w:t>explanation of why the evidence is said to lead to the findings. Although the judge made material findings of fact, she did not provide an explanation of the process of reasoning that led from the evidence to those findings.</w:t>
      </w:r>
    </w:p>
    <w:p w14:paraId="3ABFD794" w14:textId="1A8EB86C" w:rsidR="00B918E0" w:rsidRPr="0037342E" w:rsidRDefault="00B918E0" w:rsidP="00A962F2">
      <w:pPr>
        <w:spacing w:before="60"/>
        <w:ind w:left="454" w:right="454"/>
        <w:jc w:val="both"/>
        <w:rPr>
          <w:rFonts w:ascii="Arial" w:hAnsi="Arial" w:cs="Arial"/>
          <w:color w:val="000000"/>
          <w:sz w:val="20"/>
          <w:szCs w:val="20"/>
        </w:rPr>
      </w:pPr>
      <w:r>
        <w:rPr>
          <w:rFonts w:ascii="Arial" w:hAnsi="Arial" w:cs="Arial"/>
          <w:sz w:val="20"/>
          <w:szCs w:val="20"/>
        </w:rPr>
        <w:t xml:space="preserve">[57] </w:t>
      </w:r>
      <w:r w:rsidRPr="00E03D48">
        <w:rPr>
          <w:rFonts w:ascii="Arial" w:hAnsi="Arial" w:cs="Arial"/>
          <w:sz w:val="20"/>
          <w:szCs w:val="20"/>
        </w:rPr>
        <w:t>This was also not a case where the basis for the decision can be inferred from the whole of the judge’s reasons, having regard to the circumstances of the case, or where the simplicity of the context or the state of the evidence was such that a mere statement of conclusion was sufficient to reveal the basis of the trial judge’s decision. Rather, the case called for an explanation of why the trial judge preferred Georgia’s and Chrysoula’s evidence over that of Theo. Such explanation also needed to deal with Theo’s arguments in his closing submissions concerning the flaws in Georgia’s and Chrysoula’s evidence.</w:t>
      </w:r>
      <w:r>
        <w:rPr>
          <w:rFonts w:ascii="Arial" w:hAnsi="Arial" w:cs="Arial"/>
          <w:sz w:val="20"/>
          <w:szCs w:val="20"/>
        </w:rPr>
        <w:t>”</w:t>
      </w:r>
    </w:p>
    <w:p w14:paraId="38887663" w14:textId="080C621B" w:rsidR="00E03D48" w:rsidRDefault="00E03D48" w:rsidP="001D1B06">
      <w:pPr>
        <w:jc w:val="both"/>
        <w:rPr>
          <w:rFonts w:ascii="Arial" w:hAnsi="Arial" w:cs="Arial"/>
          <w:color w:val="000000"/>
          <w:sz w:val="20"/>
        </w:rPr>
      </w:pPr>
    </w:p>
    <w:p w14:paraId="769B377F" w14:textId="78F8A0ED" w:rsidR="00DB14A3" w:rsidRDefault="00DB14A3" w:rsidP="001D1B06">
      <w:pPr>
        <w:jc w:val="both"/>
        <w:rPr>
          <w:rFonts w:ascii="Arial" w:hAnsi="Arial" w:cs="Arial"/>
          <w:color w:val="000000"/>
          <w:sz w:val="20"/>
        </w:rPr>
      </w:pPr>
      <w:r>
        <w:rPr>
          <w:rFonts w:ascii="Arial" w:hAnsi="Arial" w:cs="Arial"/>
          <w:color w:val="000000"/>
          <w:sz w:val="20"/>
        </w:rPr>
        <w:t xml:space="preserve">In </w:t>
      </w:r>
      <w:r w:rsidRPr="00DB14A3">
        <w:rPr>
          <w:rFonts w:ascii="Arial" w:hAnsi="Arial" w:cs="Arial"/>
          <w:i/>
          <w:iCs/>
          <w:color w:val="000000"/>
          <w:sz w:val="20"/>
        </w:rPr>
        <w:t>JV v Children’s Court of Victoria &amp; Anor</w:t>
      </w:r>
      <w:r>
        <w:rPr>
          <w:rFonts w:ascii="Arial" w:hAnsi="Arial" w:cs="Arial"/>
          <w:color w:val="000000"/>
          <w:sz w:val="20"/>
        </w:rPr>
        <w:t xml:space="preserve"> [2023] VSC 656 the accused had been found guilty – after a 5-day trial before a magistrate – of one charge of rape and one each of production, possession and distribution of child abuse material.  The magistrate had provided only oral reasons and </w:t>
      </w:r>
      <w:r w:rsidR="009D2F76">
        <w:rPr>
          <w:rFonts w:ascii="Arial" w:hAnsi="Arial" w:cs="Arial"/>
          <w:color w:val="000000"/>
          <w:sz w:val="20"/>
        </w:rPr>
        <w:t>had</w:t>
      </w:r>
      <w:r>
        <w:rPr>
          <w:rFonts w:ascii="Arial" w:hAnsi="Arial" w:cs="Arial"/>
          <w:color w:val="000000"/>
          <w:sz w:val="20"/>
        </w:rPr>
        <w:t xml:space="preserve"> not deliver</w:t>
      </w:r>
      <w:r w:rsidR="009D2F76">
        <w:rPr>
          <w:rFonts w:ascii="Arial" w:hAnsi="Arial" w:cs="Arial"/>
          <w:color w:val="000000"/>
          <w:sz w:val="20"/>
        </w:rPr>
        <w:t>ed</w:t>
      </w:r>
      <w:r>
        <w:rPr>
          <w:rFonts w:ascii="Arial" w:hAnsi="Arial" w:cs="Arial"/>
          <w:color w:val="000000"/>
          <w:sz w:val="20"/>
        </w:rPr>
        <w:t xml:space="preserve"> anticipated written reasons.  JV sought </w:t>
      </w:r>
      <w:r w:rsidR="00C954B8">
        <w:rPr>
          <w:rFonts w:ascii="Arial" w:hAnsi="Arial" w:cs="Arial"/>
          <w:color w:val="000000"/>
          <w:sz w:val="20"/>
        </w:rPr>
        <w:t xml:space="preserve">judicial </w:t>
      </w:r>
      <w:r>
        <w:rPr>
          <w:rFonts w:ascii="Arial" w:hAnsi="Arial" w:cs="Arial"/>
          <w:color w:val="000000"/>
          <w:sz w:val="20"/>
        </w:rPr>
        <w:t xml:space="preserve">review under Order 56 of the </w:t>
      </w:r>
      <w:r w:rsidRPr="00DB14A3">
        <w:rPr>
          <w:rFonts w:ascii="Arial" w:hAnsi="Arial" w:cs="Arial"/>
          <w:i/>
          <w:iCs/>
          <w:color w:val="000000"/>
          <w:sz w:val="20"/>
        </w:rPr>
        <w:t xml:space="preserve">Supreme Court (Civil </w:t>
      </w:r>
      <w:r w:rsidR="003624AB" w:rsidRPr="00DB14A3">
        <w:rPr>
          <w:rFonts w:ascii="Arial" w:hAnsi="Arial" w:cs="Arial"/>
          <w:i/>
          <w:iCs/>
          <w:color w:val="000000"/>
          <w:sz w:val="20"/>
        </w:rPr>
        <w:t>Procedure</w:t>
      </w:r>
      <w:r w:rsidRPr="00DB14A3">
        <w:rPr>
          <w:rFonts w:ascii="Arial" w:hAnsi="Arial" w:cs="Arial"/>
          <w:i/>
          <w:iCs/>
          <w:color w:val="000000"/>
          <w:sz w:val="20"/>
        </w:rPr>
        <w:t>) Rules 2015</w:t>
      </w:r>
      <w:r>
        <w:rPr>
          <w:rFonts w:ascii="Arial" w:hAnsi="Arial" w:cs="Arial"/>
          <w:color w:val="000000"/>
          <w:sz w:val="20"/>
        </w:rPr>
        <w:t xml:space="preserve"> (Vic) on the sole ground that the Magistrate failed to give adequate reasons for his decision.</w:t>
      </w:r>
      <w:r w:rsidR="009D2F76">
        <w:rPr>
          <w:rFonts w:ascii="Arial" w:hAnsi="Arial" w:cs="Arial"/>
          <w:color w:val="000000"/>
          <w:sz w:val="20"/>
        </w:rPr>
        <w:t xml:space="preserve">  At [52]-[56] Forbes J outlined the legal principles </w:t>
      </w:r>
      <w:r w:rsidR="00830595">
        <w:rPr>
          <w:rFonts w:ascii="Arial" w:hAnsi="Arial" w:cs="Arial"/>
          <w:color w:val="000000"/>
          <w:sz w:val="20"/>
        </w:rPr>
        <w:t>relevant to the adequacy of judicial reasons as follows:</w:t>
      </w:r>
    </w:p>
    <w:p w14:paraId="597160D1" w14:textId="26E19E75" w:rsidR="00830595" w:rsidRDefault="00830595" w:rsidP="009462F3">
      <w:pPr>
        <w:spacing w:before="60"/>
        <w:ind w:left="454" w:right="454"/>
        <w:jc w:val="both"/>
        <w:rPr>
          <w:rFonts w:ascii="Arial" w:hAnsi="Arial" w:cs="Arial"/>
          <w:sz w:val="20"/>
          <w:szCs w:val="20"/>
        </w:rPr>
      </w:pPr>
      <w:r w:rsidRPr="00830595">
        <w:rPr>
          <w:rFonts w:ascii="Arial" w:hAnsi="Arial" w:cs="Arial"/>
          <w:sz w:val="20"/>
          <w:szCs w:val="20"/>
        </w:rPr>
        <w:t xml:space="preserve">[52] </w:t>
      </w:r>
      <w:r w:rsidR="003624AB">
        <w:rPr>
          <w:rFonts w:ascii="Arial" w:hAnsi="Arial" w:cs="Arial"/>
          <w:sz w:val="20"/>
          <w:szCs w:val="20"/>
        </w:rPr>
        <w:t>“</w:t>
      </w:r>
      <w:r w:rsidRPr="00830595">
        <w:rPr>
          <w:rFonts w:ascii="Arial" w:hAnsi="Arial" w:cs="Arial"/>
          <w:sz w:val="20"/>
          <w:szCs w:val="20"/>
        </w:rPr>
        <w:t xml:space="preserve">The duty of a judicial officer to give reasons for the decision reached is integral to the exercise of judicial power: </w:t>
      </w:r>
      <w:r w:rsidRPr="00830595">
        <w:rPr>
          <w:rFonts w:ascii="Arial" w:eastAsia="Book Antiqua" w:hAnsi="Arial" w:cs="Arial"/>
          <w:i/>
          <w:sz w:val="20"/>
          <w:szCs w:val="20"/>
        </w:rPr>
        <w:t>Wainohu v New South Wales</w:t>
      </w:r>
      <w:r w:rsidRPr="00830595">
        <w:rPr>
          <w:rFonts w:ascii="Arial" w:hAnsi="Arial" w:cs="Arial"/>
          <w:sz w:val="20"/>
          <w:szCs w:val="20"/>
        </w:rPr>
        <w:t xml:space="preserve"> (2011) 243 CLR 181, [54]; </w:t>
      </w:r>
      <w:r w:rsidRPr="00830595">
        <w:rPr>
          <w:rFonts w:ascii="Arial" w:eastAsia="Book Antiqua" w:hAnsi="Arial" w:cs="Arial"/>
          <w:i/>
          <w:sz w:val="20"/>
          <w:szCs w:val="20"/>
        </w:rPr>
        <w:t>Karabagias v Katopodis</w:t>
      </w:r>
      <w:r w:rsidRPr="00830595">
        <w:rPr>
          <w:rFonts w:ascii="Arial" w:hAnsi="Arial" w:cs="Arial"/>
          <w:sz w:val="20"/>
          <w:szCs w:val="20"/>
        </w:rPr>
        <w:t xml:space="preserve"> [2022] VSCA 191, [10]; </w:t>
      </w:r>
      <w:r w:rsidRPr="00830595">
        <w:rPr>
          <w:rFonts w:ascii="Arial" w:eastAsia="Book Antiqua" w:hAnsi="Arial" w:cs="Arial"/>
          <w:i/>
          <w:sz w:val="20"/>
          <w:szCs w:val="20"/>
        </w:rPr>
        <w:t>Makeham v Sheppard</w:t>
      </w:r>
      <w:r w:rsidRPr="00830595">
        <w:rPr>
          <w:rFonts w:ascii="Arial" w:hAnsi="Arial" w:cs="Arial"/>
          <w:sz w:val="20"/>
          <w:szCs w:val="20"/>
        </w:rPr>
        <w:t xml:space="preserve"> [2020] VSCA 242. The adequacy of those reasons is measured by their sufficiency in explaining the basis for the decision: </w:t>
      </w:r>
      <w:r w:rsidRPr="00830595">
        <w:rPr>
          <w:rFonts w:ascii="Arial" w:eastAsia="Book Antiqua" w:hAnsi="Arial" w:cs="Arial"/>
          <w:i/>
          <w:sz w:val="20"/>
          <w:szCs w:val="20"/>
        </w:rPr>
        <w:t>Public Service Board (NSW) v Osmond</w:t>
      </w:r>
      <w:r w:rsidRPr="00830595">
        <w:rPr>
          <w:rFonts w:ascii="Arial" w:hAnsi="Arial" w:cs="Arial"/>
          <w:sz w:val="20"/>
          <w:szCs w:val="20"/>
        </w:rPr>
        <w:t xml:space="preserve"> (1986) 159 CLR 656, 666-667. Adequate reasons must expose a path of reasoning: </w:t>
      </w:r>
      <w:r w:rsidRPr="00830595">
        <w:rPr>
          <w:rFonts w:ascii="Arial" w:eastAsia="Book Antiqua" w:hAnsi="Arial" w:cs="Arial"/>
          <w:i/>
          <w:sz w:val="20"/>
          <w:szCs w:val="20"/>
        </w:rPr>
        <w:t xml:space="preserve">Hunter v Transport Accident Commission </w:t>
      </w:r>
      <w:r w:rsidRPr="00830595">
        <w:rPr>
          <w:rFonts w:ascii="Arial" w:hAnsi="Arial" w:cs="Arial"/>
          <w:sz w:val="20"/>
          <w:szCs w:val="20"/>
        </w:rPr>
        <w:t xml:space="preserve">[2005] VSCA 1, [21] (Nettle JA).  Reasons should identify the material factual findings upon which the outcome is based and the ultimate factual conclusion reached. Where there are conflicts or discrepancies in the evidence, it is not generally sufficient to rehearse the different evidence. An explanation of the basis for preferring one piece of evidence over another should also be provided: </w:t>
      </w:r>
      <w:r w:rsidRPr="00830595">
        <w:rPr>
          <w:rFonts w:ascii="Arial" w:eastAsia="Book Antiqua" w:hAnsi="Arial" w:cs="Arial"/>
          <w:i/>
          <w:sz w:val="20"/>
          <w:szCs w:val="20"/>
        </w:rPr>
        <w:t>Bookless v Smith</w:t>
      </w:r>
      <w:r w:rsidRPr="00830595">
        <w:rPr>
          <w:rFonts w:ascii="Arial" w:hAnsi="Arial" w:cs="Arial"/>
          <w:sz w:val="20"/>
          <w:szCs w:val="20"/>
        </w:rPr>
        <w:t xml:space="preserve"> [2020] VSC 56, [24].</w:t>
      </w:r>
    </w:p>
    <w:p w14:paraId="4200A3E5" w14:textId="5E53A0C9" w:rsidR="00830595" w:rsidRPr="00830595" w:rsidRDefault="00830595" w:rsidP="009462F3">
      <w:pPr>
        <w:spacing w:before="60"/>
        <w:ind w:left="454" w:right="454"/>
        <w:jc w:val="both"/>
        <w:rPr>
          <w:rFonts w:ascii="Arial" w:eastAsia="Book Antiqua" w:hAnsi="Arial" w:cs="Arial"/>
          <w:b/>
          <w:sz w:val="20"/>
          <w:szCs w:val="20"/>
        </w:rPr>
      </w:pPr>
      <w:r>
        <w:rPr>
          <w:rFonts w:ascii="Arial" w:hAnsi="Arial" w:cs="Arial"/>
          <w:sz w:val="20"/>
          <w:szCs w:val="20"/>
        </w:rPr>
        <w:t xml:space="preserve">[53] </w:t>
      </w:r>
      <w:r w:rsidRPr="00830595">
        <w:rPr>
          <w:rFonts w:ascii="Arial" w:hAnsi="Arial" w:cs="Arial"/>
          <w:sz w:val="20"/>
          <w:szCs w:val="20"/>
        </w:rPr>
        <w:t xml:space="preserve">What amounts to adequate content of reasons will be informed by the nature of the matter under consideration and the way in which the parties identified the issues in dispute and their </w:t>
      </w:r>
      <w:r w:rsidRPr="00830595">
        <w:rPr>
          <w:rFonts w:ascii="Arial" w:hAnsi="Arial" w:cs="Arial"/>
          <w:sz w:val="20"/>
          <w:szCs w:val="20"/>
        </w:rPr>
        <w:lastRenderedPageBreak/>
        <w:t xml:space="preserve">importance. Reasons may be adequate even though they do not deal with the detail of every submission advanced in a hearing if they sufficiently deal with the issues necessary to reach the ultimate conclusion: </w:t>
      </w:r>
      <w:r w:rsidRPr="00830595">
        <w:rPr>
          <w:rFonts w:ascii="Arial" w:eastAsia="Book Antiqua" w:hAnsi="Arial" w:cs="Arial"/>
          <w:i/>
          <w:sz w:val="20"/>
          <w:szCs w:val="20"/>
        </w:rPr>
        <w:t>Beale v Government Insurance Office (NSW)</w:t>
      </w:r>
      <w:r w:rsidRPr="00830595">
        <w:rPr>
          <w:rFonts w:ascii="Arial" w:hAnsi="Arial" w:cs="Arial"/>
          <w:sz w:val="20"/>
          <w:szCs w:val="20"/>
        </w:rPr>
        <w:t xml:space="preserve"> (1997) 48 NSWLR 430, 443-444.</w:t>
      </w:r>
    </w:p>
    <w:p w14:paraId="15DEEA71" w14:textId="0D430BCC" w:rsidR="00830595" w:rsidRDefault="00830595" w:rsidP="009462F3">
      <w:pPr>
        <w:spacing w:before="60"/>
        <w:ind w:left="454" w:right="454"/>
        <w:jc w:val="both"/>
        <w:rPr>
          <w:rFonts w:ascii="Arial" w:hAnsi="Arial" w:cs="Arial"/>
          <w:sz w:val="20"/>
          <w:szCs w:val="20"/>
        </w:rPr>
      </w:pPr>
      <w:r w:rsidRPr="00830595">
        <w:rPr>
          <w:rFonts w:ascii="Arial" w:eastAsia="Book Antiqua" w:hAnsi="Arial" w:cs="Arial"/>
          <w:bCs/>
          <w:sz w:val="20"/>
          <w:szCs w:val="20"/>
        </w:rPr>
        <w:t xml:space="preserve">[54] </w:t>
      </w:r>
      <w:r w:rsidRPr="00830595">
        <w:rPr>
          <w:rFonts w:ascii="Arial" w:hAnsi="Arial" w:cs="Arial"/>
          <w:sz w:val="20"/>
          <w:szCs w:val="20"/>
        </w:rPr>
        <w:t>The importance of reasons underpins the proper administration of justice. Reasons inform a superior court asked to determine whether a decision below contains an error of law or appealable error. They support the decision of the Court being accepted by the parties; in other words they allow parties (and in particular a losing party) to understand why the case has been decided in favour or adverse to them. They promote public confidence in the process of decision making and promote accountability of judicial officers. They support consistency in decision making and provide guidance as to the applicable law and its application to particular factual circumstances.</w:t>
      </w:r>
    </w:p>
    <w:p w14:paraId="60285691" w14:textId="22F25330" w:rsidR="00830595" w:rsidRDefault="00830595" w:rsidP="009462F3">
      <w:pPr>
        <w:spacing w:before="60"/>
        <w:ind w:left="454" w:right="454"/>
        <w:jc w:val="both"/>
        <w:rPr>
          <w:rFonts w:ascii="Arial" w:hAnsi="Arial" w:cs="Arial"/>
          <w:sz w:val="20"/>
          <w:szCs w:val="20"/>
        </w:rPr>
      </w:pPr>
      <w:r>
        <w:rPr>
          <w:rFonts w:ascii="Arial" w:hAnsi="Arial" w:cs="Arial"/>
          <w:sz w:val="20"/>
          <w:szCs w:val="20"/>
        </w:rPr>
        <w:t xml:space="preserve">[55] </w:t>
      </w:r>
      <w:r w:rsidRPr="00830595">
        <w:rPr>
          <w:rFonts w:ascii="Arial" w:hAnsi="Arial" w:cs="Arial"/>
          <w:sz w:val="20"/>
          <w:szCs w:val="20"/>
        </w:rPr>
        <w:t xml:space="preserve">Section 4A of the </w:t>
      </w:r>
      <w:r w:rsidRPr="00B50A1D">
        <w:rPr>
          <w:rFonts w:ascii="Arial" w:hAnsi="Arial" w:cs="Arial"/>
          <w:i/>
          <w:iCs/>
          <w:sz w:val="20"/>
          <w:szCs w:val="20"/>
        </w:rPr>
        <w:t xml:space="preserve">Jury Directions Act </w:t>
      </w:r>
      <w:r w:rsidR="00B50A1D" w:rsidRPr="00B50A1D">
        <w:rPr>
          <w:rFonts w:ascii="Arial" w:hAnsi="Arial" w:cs="Arial"/>
          <w:i/>
          <w:iCs/>
          <w:sz w:val="20"/>
          <w:szCs w:val="20"/>
        </w:rPr>
        <w:t>2015</w:t>
      </w:r>
      <w:r w:rsidR="00B50A1D">
        <w:rPr>
          <w:rFonts w:ascii="Arial" w:hAnsi="Arial" w:cs="Arial"/>
          <w:sz w:val="20"/>
          <w:szCs w:val="20"/>
        </w:rPr>
        <w:t xml:space="preserve"> </w:t>
      </w:r>
      <w:r w:rsidRPr="00830595">
        <w:rPr>
          <w:rFonts w:ascii="Arial" w:hAnsi="Arial" w:cs="Arial"/>
          <w:sz w:val="20"/>
          <w:szCs w:val="20"/>
        </w:rPr>
        <w:t>confirms that a judicial officer hearing a criminal matter without a jury must reason in a manner consistent with how a jury would be directed on the evidence and its use. It provides:</w:t>
      </w:r>
    </w:p>
    <w:p w14:paraId="03F53D0E" w14:textId="4C961369" w:rsidR="009D2F76" w:rsidRPr="00B50A1D" w:rsidRDefault="009D2F76" w:rsidP="00B50A1D">
      <w:pPr>
        <w:tabs>
          <w:tab w:val="center" w:pos="1581"/>
          <w:tab w:val="center" w:pos="5042"/>
        </w:tabs>
        <w:spacing w:before="60"/>
        <w:ind w:left="1021" w:right="1021"/>
        <w:rPr>
          <w:rFonts w:ascii="Arial" w:hAnsi="Arial" w:cs="Arial"/>
          <w:sz w:val="18"/>
          <w:szCs w:val="18"/>
        </w:rPr>
      </w:pPr>
      <w:r w:rsidRPr="00B50A1D">
        <w:rPr>
          <w:rFonts w:ascii="Arial" w:eastAsia="Book Antiqua" w:hAnsi="Arial" w:cs="Arial"/>
          <w:b/>
          <w:sz w:val="18"/>
          <w:szCs w:val="18"/>
        </w:rPr>
        <w:t>4</w:t>
      </w:r>
      <w:proofErr w:type="gramStart"/>
      <w:r w:rsidRPr="00B50A1D">
        <w:rPr>
          <w:rFonts w:ascii="Arial" w:eastAsia="Book Antiqua" w:hAnsi="Arial" w:cs="Arial"/>
          <w:b/>
          <w:sz w:val="18"/>
          <w:szCs w:val="18"/>
        </w:rPr>
        <w:t xml:space="preserve">A  </w:t>
      </w:r>
      <w:r w:rsidRPr="00B50A1D">
        <w:rPr>
          <w:rFonts w:ascii="Arial" w:eastAsia="Book Antiqua" w:hAnsi="Arial" w:cs="Arial"/>
          <w:b/>
          <w:sz w:val="18"/>
          <w:szCs w:val="18"/>
        </w:rPr>
        <w:tab/>
      </w:r>
      <w:proofErr w:type="gramEnd"/>
      <w:r w:rsidRPr="00B50A1D">
        <w:rPr>
          <w:rFonts w:ascii="Arial" w:eastAsia="Book Antiqua" w:hAnsi="Arial" w:cs="Arial"/>
          <w:b/>
          <w:sz w:val="18"/>
          <w:szCs w:val="18"/>
        </w:rPr>
        <w:t xml:space="preserve">Application of Act to criminal proceedings without juries </w:t>
      </w:r>
    </w:p>
    <w:p w14:paraId="7233F017" w14:textId="77777777" w:rsidR="009D2F76" w:rsidRPr="00B50A1D" w:rsidRDefault="009D2F76">
      <w:pPr>
        <w:numPr>
          <w:ilvl w:val="1"/>
          <w:numId w:val="113"/>
        </w:numPr>
        <w:spacing w:before="60"/>
        <w:ind w:left="1475" w:right="1021" w:hanging="454"/>
        <w:jc w:val="both"/>
        <w:rPr>
          <w:rFonts w:ascii="Arial" w:hAnsi="Arial" w:cs="Arial"/>
          <w:sz w:val="18"/>
          <w:szCs w:val="18"/>
        </w:rPr>
      </w:pPr>
      <w:r w:rsidRPr="00B50A1D">
        <w:rPr>
          <w:rFonts w:ascii="Arial" w:hAnsi="Arial" w:cs="Arial"/>
          <w:sz w:val="18"/>
          <w:szCs w:val="18"/>
        </w:rPr>
        <w:t xml:space="preserve">This section applies to – </w:t>
      </w:r>
    </w:p>
    <w:p w14:paraId="4D8E906D" w14:textId="05DF9D2F" w:rsidR="009D2F76" w:rsidRPr="00B50A1D" w:rsidRDefault="009D2F76">
      <w:pPr>
        <w:numPr>
          <w:ilvl w:val="2"/>
          <w:numId w:val="113"/>
        </w:numPr>
        <w:spacing w:before="60"/>
        <w:ind w:left="1928" w:right="1021" w:hanging="454"/>
        <w:jc w:val="both"/>
        <w:rPr>
          <w:rFonts w:ascii="Arial" w:hAnsi="Arial" w:cs="Arial"/>
          <w:sz w:val="18"/>
          <w:szCs w:val="18"/>
        </w:rPr>
      </w:pPr>
      <w:r w:rsidRPr="00B50A1D">
        <w:rPr>
          <w:rFonts w:ascii="Arial" w:hAnsi="Arial" w:cs="Arial"/>
          <w:sz w:val="18"/>
          <w:szCs w:val="18"/>
        </w:rPr>
        <w:t xml:space="preserve">a summary hearing or committal proceeding under the </w:t>
      </w:r>
      <w:r w:rsidRPr="00B50A1D">
        <w:rPr>
          <w:rFonts w:ascii="Arial" w:eastAsia="Book Antiqua" w:hAnsi="Arial" w:cs="Arial"/>
          <w:b/>
          <w:sz w:val="18"/>
          <w:szCs w:val="18"/>
        </w:rPr>
        <w:t>Criminal Procedure Act 2009</w:t>
      </w:r>
      <w:r w:rsidRPr="00B50A1D">
        <w:rPr>
          <w:rFonts w:ascii="Arial" w:hAnsi="Arial" w:cs="Arial"/>
          <w:sz w:val="18"/>
          <w:szCs w:val="18"/>
        </w:rPr>
        <w:t>; and</w:t>
      </w:r>
    </w:p>
    <w:p w14:paraId="714778FD" w14:textId="43262FBE" w:rsidR="009D2F76" w:rsidRPr="00B50A1D" w:rsidRDefault="009D2F76" w:rsidP="00101B91">
      <w:pPr>
        <w:spacing w:before="60"/>
        <w:ind w:left="1474" w:right="709"/>
        <w:rPr>
          <w:rFonts w:ascii="Arial" w:hAnsi="Arial" w:cs="Arial"/>
          <w:sz w:val="18"/>
          <w:szCs w:val="18"/>
        </w:rPr>
      </w:pPr>
      <w:r w:rsidRPr="00B50A1D">
        <w:rPr>
          <w:rFonts w:ascii="Arial" w:hAnsi="Arial" w:cs="Arial"/>
          <w:sz w:val="18"/>
          <w:szCs w:val="18"/>
        </w:rPr>
        <w:t>…</w:t>
      </w:r>
    </w:p>
    <w:p w14:paraId="27234B0F" w14:textId="77777777" w:rsidR="00B50A1D" w:rsidRPr="00B50A1D" w:rsidRDefault="009D2F76">
      <w:pPr>
        <w:numPr>
          <w:ilvl w:val="1"/>
          <w:numId w:val="113"/>
        </w:numPr>
        <w:spacing w:before="60"/>
        <w:ind w:left="1475" w:right="1021" w:hanging="454"/>
        <w:jc w:val="both"/>
        <w:rPr>
          <w:rFonts w:ascii="Arial" w:hAnsi="Arial" w:cs="Arial"/>
          <w:sz w:val="18"/>
          <w:szCs w:val="18"/>
        </w:rPr>
      </w:pPr>
      <w:r w:rsidRPr="00B50A1D">
        <w:rPr>
          <w:rFonts w:ascii="Arial" w:hAnsi="Arial" w:cs="Arial"/>
          <w:sz w:val="18"/>
          <w:szCs w:val="18"/>
        </w:rPr>
        <w:t>The court’s reasoning with respect to any matter in relation to which Part 4,</w:t>
      </w:r>
      <w:r w:rsidR="00B50A1D" w:rsidRPr="00B50A1D">
        <w:rPr>
          <w:rFonts w:ascii="Arial" w:hAnsi="Arial" w:cs="Arial"/>
          <w:sz w:val="18"/>
          <w:szCs w:val="18"/>
        </w:rPr>
        <w:t xml:space="preserve"> </w:t>
      </w:r>
      <w:r w:rsidRPr="00B50A1D">
        <w:rPr>
          <w:rFonts w:ascii="Arial" w:hAnsi="Arial" w:cs="Arial"/>
          <w:sz w:val="18"/>
          <w:szCs w:val="18"/>
        </w:rPr>
        <w:t>5,</w:t>
      </w:r>
      <w:r w:rsidR="00B50A1D" w:rsidRPr="00B50A1D">
        <w:rPr>
          <w:rFonts w:ascii="Arial" w:hAnsi="Arial" w:cs="Arial"/>
          <w:sz w:val="18"/>
          <w:szCs w:val="18"/>
        </w:rPr>
        <w:t xml:space="preserve"> </w:t>
      </w:r>
      <w:r w:rsidRPr="00B50A1D">
        <w:rPr>
          <w:rFonts w:ascii="Arial" w:hAnsi="Arial" w:cs="Arial"/>
          <w:sz w:val="18"/>
          <w:szCs w:val="18"/>
        </w:rPr>
        <w:t xml:space="preserve">6 or 7 makes provision –  </w:t>
      </w:r>
    </w:p>
    <w:p w14:paraId="09CCA31C" w14:textId="77777777" w:rsidR="00B50A1D" w:rsidRPr="00B50A1D" w:rsidRDefault="009D2F76">
      <w:pPr>
        <w:numPr>
          <w:ilvl w:val="2"/>
          <w:numId w:val="113"/>
        </w:numPr>
        <w:spacing w:before="60"/>
        <w:ind w:left="1928" w:right="1021" w:hanging="454"/>
        <w:jc w:val="both"/>
        <w:rPr>
          <w:rFonts w:ascii="Arial" w:hAnsi="Arial" w:cs="Arial"/>
          <w:sz w:val="18"/>
          <w:szCs w:val="18"/>
        </w:rPr>
      </w:pPr>
      <w:r w:rsidRPr="00B50A1D">
        <w:rPr>
          <w:rFonts w:ascii="Arial" w:hAnsi="Arial" w:cs="Arial"/>
          <w:sz w:val="18"/>
          <w:szCs w:val="18"/>
        </w:rPr>
        <w:t>must be consistent with how a jury would be directed in accordance with this Act; and</w:t>
      </w:r>
    </w:p>
    <w:p w14:paraId="5E115266" w14:textId="08A398CC" w:rsidR="00B50A1D" w:rsidRDefault="009D2F76">
      <w:pPr>
        <w:numPr>
          <w:ilvl w:val="2"/>
          <w:numId w:val="113"/>
        </w:numPr>
        <w:spacing w:before="60"/>
        <w:ind w:left="1928" w:right="1021" w:hanging="454"/>
        <w:jc w:val="both"/>
        <w:rPr>
          <w:rFonts w:ascii="Arial" w:hAnsi="Arial" w:cs="Arial"/>
          <w:sz w:val="18"/>
          <w:szCs w:val="18"/>
        </w:rPr>
      </w:pPr>
      <w:r w:rsidRPr="00B50A1D">
        <w:rPr>
          <w:rFonts w:ascii="Arial" w:hAnsi="Arial" w:cs="Arial"/>
          <w:sz w:val="18"/>
          <w:szCs w:val="18"/>
        </w:rPr>
        <w:t xml:space="preserve">must not accept, rely on or adopt –  </w:t>
      </w:r>
    </w:p>
    <w:p w14:paraId="072981C9" w14:textId="4C2F1653" w:rsidR="00C9443C" w:rsidRDefault="00C9443C" w:rsidP="00C9443C">
      <w:pPr>
        <w:spacing w:before="60"/>
        <w:ind w:left="2382" w:right="1021" w:hanging="454"/>
        <w:jc w:val="both"/>
        <w:rPr>
          <w:rFonts w:ascii="Arial" w:hAnsi="Arial" w:cs="Arial"/>
          <w:sz w:val="18"/>
          <w:szCs w:val="18"/>
        </w:rPr>
      </w:pPr>
      <w:r>
        <w:rPr>
          <w:rFonts w:ascii="Arial" w:hAnsi="Arial" w:cs="Arial"/>
          <w:sz w:val="18"/>
          <w:szCs w:val="18"/>
        </w:rPr>
        <w:t>(i)</w:t>
      </w:r>
      <w:r>
        <w:rPr>
          <w:rFonts w:ascii="Arial" w:hAnsi="Arial" w:cs="Arial"/>
          <w:sz w:val="18"/>
          <w:szCs w:val="18"/>
        </w:rPr>
        <w:tab/>
      </w:r>
      <w:r w:rsidRPr="00B50A1D">
        <w:rPr>
          <w:rFonts w:ascii="Arial" w:hAnsi="Arial" w:cs="Arial"/>
          <w:sz w:val="18"/>
          <w:szCs w:val="18"/>
        </w:rPr>
        <w:t>a statement or suggestion that this Act prohibits a trial judge from making, or</w:t>
      </w:r>
    </w:p>
    <w:p w14:paraId="14294818" w14:textId="1FD4010D" w:rsidR="00C9443C" w:rsidRDefault="00C9443C" w:rsidP="00C9443C">
      <w:pPr>
        <w:spacing w:before="60"/>
        <w:ind w:left="2382" w:right="1021" w:hanging="454"/>
        <w:jc w:val="both"/>
        <w:rPr>
          <w:rFonts w:ascii="Arial" w:hAnsi="Arial" w:cs="Arial"/>
          <w:sz w:val="18"/>
          <w:szCs w:val="18"/>
        </w:rPr>
      </w:pPr>
      <w:r>
        <w:rPr>
          <w:rFonts w:ascii="Arial" w:hAnsi="Arial" w:cs="Arial"/>
          <w:sz w:val="18"/>
          <w:szCs w:val="18"/>
        </w:rPr>
        <w:t>(ii)</w:t>
      </w:r>
      <w:r>
        <w:rPr>
          <w:rFonts w:ascii="Arial" w:hAnsi="Arial" w:cs="Arial"/>
          <w:sz w:val="18"/>
          <w:szCs w:val="18"/>
        </w:rPr>
        <w:tab/>
      </w:r>
      <w:r w:rsidRPr="00B50A1D">
        <w:rPr>
          <w:rFonts w:ascii="Arial" w:hAnsi="Arial" w:cs="Arial"/>
          <w:sz w:val="18"/>
          <w:szCs w:val="18"/>
        </w:rPr>
        <w:t>a direction that this Act prohibits a trial judge from giving.</w:t>
      </w:r>
    </w:p>
    <w:p w14:paraId="120DD4E9" w14:textId="6F5787D8" w:rsidR="00C9443C" w:rsidRPr="00C9443C" w:rsidRDefault="00101B91" w:rsidP="009462F3">
      <w:pPr>
        <w:spacing w:before="60"/>
        <w:ind w:left="454" w:right="454"/>
        <w:jc w:val="both"/>
        <w:rPr>
          <w:rFonts w:ascii="Arial" w:hAnsi="Arial" w:cs="Arial"/>
          <w:sz w:val="20"/>
        </w:rPr>
      </w:pPr>
      <w:r w:rsidRPr="00C9443C">
        <w:rPr>
          <w:rFonts w:ascii="Arial" w:hAnsi="Arial" w:cs="Arial"/>
          <w:sz w:val="20"/>
        </w:rPr>
        <w:t xml:space="preserve">[56] </w:t>
      </w:r>
      <w:r w:rsidR="009D2F76" w:rsidRPr="00C9443C">
        <w:rPr>
          <w:rFonts w:ascii="Arial" w:hAnsi="Arial" w:cs="Arial"/>
          <w:sz w:val="20"/>
        </w:rPr>
        <w:t xml:space="preserve">In </w:t>
      </w:r>
      <w:r w:rsidR="009D2F76" w:rsidRPr="00C9443C">
        <w:rPr>
          <w:rFonts w:ascii="Arial" w:eastAsia="Book Antiqua" w:hAnsi="Arial" w:cs="Arial"/>
          <w:i/>
          <w:sz w:val="20"/>
        </w:rPr>
        <w:t xml:space="preserve">Makeham v Sheppard </w:t>
      </w:r>
      <w:r w:rsidRPr="00C9443C">
        <w:rPr>
          <w:rFonts w:ascii="Arial" w:hAnsi="Arial" w:cs="Arial"/>
          <w:sz w:val="20"/>
        </w:rPr>
        <w:t>[2020] VSCA 242</w:t>
      </w:r>
      <w:r w:rsidR="009D2F76" w:rsidRPr="00C9443C">
        <w:rPr>
          <w:rFonts w:ascii="Arial" w:hAnsi="Arial" w:cs="Arial"/>
          <w:sz w:val="20"/>
        </w:rPr>
        <w:t xml:space="preserve">, the Court of Appeal considered the adequacy of a magistrate’s reasons for conviction and in particular their adequacy in light of s 4A of the Jury Directions Act. The Court upheld the appeal on the ground that the availability of a de novo appeal to the County Court did not lessen the need for adequate reasons for the initial decision of the magistrate. The appellant, who was the accused before the Magistrate, had submitted that the Magistrate should direct herself, identifying five particular directions. On appeal, while the reasons did adequately deal with four of the directions sought, the direction as to the accused’s good character was not adequately exposed by the reasons. After setting out generally the principles relevant to the adequacy of reasons of a judicial officer exercising </w:t>
      </w:r>
      <w:r w:rsidR="00B50A1D" w:rsidRPr="00C9443C">
        <w:rPr>
          <w:rFonts w:ascii="Arial" w:hAnsi="Arial" w:cs="Arial"/>
          <w:sz w:val="20"/>
        </w:rPr>
        <w:t>s</w:t>
      </w:r>
      <w:r w:rsidR="009D2F76" w:rsidRPr="00C9443C">
        <w:rPr>
          <w:rFonts w:ascii="Arial" w:hAnsi="Arial" w:cs="Arial"/>
          <w:sz w:val="20"/>
        </w:rPr>
        <w:t>ummary jurisdiction, Priest JA (with whom Kyrou and Weinberg JJA agreed) turned to the impact on these principles of the obligation in s 4A stating</w:t>
      </w:r>
      <w:r w:rsidR="00C9443C" w:rsidRPr="00C9443C">
        <w:rPr>
          <w:rFonts w:ascii="Arial" w:hAnsi="Arial" w:cs="Arial"/>
          <w:sz w:val="20"/>
        </w:rPr>
        <w:t xml:space="preserve"> at [50]</w:t>
      </w:r>
      <w:r w:rsidR="009D2F76" w:rsidRPr="00C9443C">
        <w:rPr>
          <w:rFonts w:ascii="Arial" w:hAnsi="Arial" w:cs="Arial"/>
          <w:sz w:val="20"/>
        </w:rPr>
        <w:t>:</w:t>
      </w:r>
    </w:p>
    <w:p w14:paraId="3787B69F" w14:textId="29B06986" w:rsidR="00B50A1D" w:rsidRPr="00C9443C" w:rsidRDefault="003624AB" w:rsidP="00A01ADC">
      <w:pPr>
        <w:pStyle w:val="ListParagraph"/>
        <w:spacing w:before="60"/>
        <w:ind w:left="907" w:right="907"/>
        <w:jc w:val="both"/>
        <w:rPr>
          <w:rFonts w:ascii="Arial" w:hAnsi="Arial" w:cs="Arial"/>
          <w:sz w:val="18"/>
          <w:szCs w:val="18"/>
        </w:rPr>
      </w:pPr>
      <w:r>
        <w:rPr>
          <w:rFonts w:ascii="Arial" w:hAnsi="Arial" w:cs="Arial"/>
          <w:sz w:val="18"/>
          <w:szCs w:val="18"/>
        </w:rPr>
        <w:t>‘</w:t>
      </w:r>
      <w:r w:rsidR="009D2F76" w:rsidRPr="00C9443C">
        <w:rPr>
          <w:rFonts w:ascii="Arial" w:hAnsi="Arial" w:cs="Arial"/>
          <w:sz w:val="18"/>
          <w:szCs w:val="18"/>
        </w:rPr>
        <w:t xml:space="preserve">First, the language of s 4A(2) makes clear that a magistrate’s </w:t>
      </w:r>
      <w:r w:rsidR="009D2F76" w:rsidRPr="00C9443C">
        <w:rPr>
          <w:rFonts w:ascii="Arial" w:eastAsia="Book Antiqua" w:hAnsi="Arial" w:cs="Arial"/>
          <w:i/>
          <w:sz w:val="18"/>
          <w:szCs w:val="18"/>
        </w:rPr>
        <w:t>reasoning</w:t>
      </w:r>
      <w:r w:rsidR="009D2F76" w:rsidRPr="00C9443C">
        <w:rPr>
          <w:rFonts w:ascii="Arial" w:hAnsi="Arial" w:cs="Arial"/>
          <w:sz w:val="18"/>
          <w:szCs w:val="18"/>
        </w:rPr>
        <w:t xml:space="preserve"> in relation to any matter provided for in Parts 4, 5, 6 or 7 of the JDA, ‘must be </w:t>
      </w:r>
      <w:r w:rsidR="009D2F76" w:rsidRPr="00C9443C">
        <w:rPr>
          <w:rFonts w:ascii="Arial" w:eastAsia="Book Antiqua" w:hAnsi="Arial" w:cs="Arial"/>
          <w:i/>
          <w:sz w:val="18"/>
          <w:szCs w:val="18"/>
        </w:rPr>
        <w:t xml:space="preserve">consistent </w:t>
      </w:r>
      <w:r w:rsidR="009D2F76" w:rsidRPr="00C9443C">
        <w:rPr>
          <w:rFonts w:ascii="Arial" w:hAnsi="Arial" w:cs="Arial"/>
          <w:sz w:val="18"/>
          <w:szCs w:val="18"/>
        </w:rPr>
        <w:t xml:space="preserve">with how a jury would be directed in accordance with the Act (and must not accept, rely or adopt a statement or suggestion that the Act prohibits a trial judge from making, or a direction that the Act prohibits a trial judge from giving). Section 4A does not, however, provide that a magistrate’s </w:t>
      </w:r>
      <w:r w:rsidR="009D2F76" w:rsidRPr="00C9443C">
        <w:rPr>
          <w:rFonts w:ascii="Arial" w:eastAsia="Book Antiqua" w:hAnsi="Arial" w:cs="Arial"/>
          <w:i/>
          <w:sz w:val="18"/>
          <w:szCs w:val="18"/>
        </w:rPr>
        <w:t xml:space="preserve">reasons </w:t>
      </w:r>
      <w:r w:rsidR="009D2F76" w:rsidRPr="00C9443C">
        <w:rPr>
          <w:rFonts w:ascii="Arial" w:hAnsi="Arial" w:cs="Arial"/>
          <w:sz w:val="18"/>
          <w:szCs w:val="18"/>
        </w:rPr>
        <w:t>necessarily must recite that he or she has directed himself or herself in accordance with the provisions of Parts 4 to 7. The obligation to give adequate reasons continues as an ordinary incident of the judicial process recognised at common law, rather than as a statutory obligation arising under the JDA. Hence, the content and extent of a magistrate’s reasons will continue to be dictated by the nature of the matter under consideration; the evidence in the case; and the important issues raised (some or all of which in a given case may invoke consideration of provisions of the JDA).</w:t>
      </w:r>
      <w:r>
        <w:rPr>
          <w:rFonts w:ascii="Arial" w:hAnsi="Arial" w:cs="Arial"/>
          <w:sz w:val="18"/>
          <w:szCs w:val="18"/>
        </w:rPr>
        <w:t>’”</w:t>
      </w:r>
    </w:p>
    <w:p w14:paraId="56719980" w14:textId="630F2777" w:rsidR="00DB14A3" w:rsidRDefault="00715257" w:rsidP="00715257">
      <w:pPr>
        <w:spacing w:before="60"/>
        <w:jc w:val="both"/>
        <w:rPr>
          <w:rFonts w:ascii="Arial" w:hAnsi="Arial" w:cs="Arial"/>
          <w:color w:val="000000"/>
          <w:sz w:val="20"/>
        </w:rPr>
      </w:pPr>
      <w:r>
        <w:rPr>
          <w:rFonts w:ascii="Arial" w:hAnsi="Arial" w:cs="Arial"/>
          <w:color w:val="000000"/>
          <w:sz w:val="20"/>
        </w:rPr>
        <w:t>At [</w:t>
      </w:r>
      <w:r w:rsidR="00951F5C">
        <w:rPr>
          <w:rFonts w:ascii="Arial" w:hAnsi="Arial" w:cs="Arial"/>
          <w:color w:val="000000"/>
          <w:sz w:val="20"/>
        </w:rPr>
        <w:t xml:space="preserve">58] her Honour noted that JV </w:t>
      </w:r>
      <w:r w:rsidR="006C05E9">
        <w:rPr>
          <w:rFonts w:ascii="Arial" w:hAnsi="Arial" w:cs="Arial"/>
          <w:color w:val="000000"/>
          <w:sz w:val="20"/>
        </w:rPr>
        <w:t xml:space="preserve">had </w:t>
      </w:r>
      <w:r w:rsidR="00951F5C">
        <w:rPr>
          <w:rFonts w:ascii="Arial" w:hAnsi="Arial" w:cs="Arial"/>
          <w:color w:val="000000"/>
          <w:sz w:val="20"/>
        </w:rPr>
        <w:t xml:space="preserve">identified </w:t>
      </w:r>
      <w:r w:rsidR="006C05E9">
        <w:rPr>
          <w:rFonts w:ascii="Arial" w:hAnsi="Arial" w:cs="Arial"/>
          <w:color w:val="000000"/>
          <w:sz w:val="20"/>
        </w:rPr>
        <w:t xml:space="preserve">the following </w:t>
      </w:r>
      <w:r w:rsidR="00951F5C">
        <w:rPr>
          <w:rFonts w:ascii="Arial" w:hAnsi="Arial" w:cs="Arial"/>
          <w:color w:val="000000"/>
          <w:sz w:val="20"/>
        </w:rPr>
        <w:t xml:space="preserve">four </w:t>
      </w:r>
      <w:r w:rsidR="006C05E9">
        <w:rPr>
          <w:rFonts w:ascii="Arial" w:hAnsi="Arial" w:cs="Arial"/>
          <w:color w:val="000000"/>
          <w:sz w:val="20"/>
        </w:rPr>
        <w:t>deficiencies</w:t>
      </w:r>
      <w:r w:rsidR="00951F5C">
        <w:rPr>
          <w:rFonts w:ascii="Arial" w:hAnsi="Arial" w:cs="Arial"/>
          <w:color w:val="000000"/>
          <w:sz w:val="20"/>
        </w:rPr>
        <w:t xml:space="preserve"> in the magistrate’s reasons:</w:t>
      </w:r>
    </w:p>
    <w:p w14:paraId="2CFB3C16" w14:textId="05A150FA" w:rsidR="00951F5C" w:rsidRDefault="00951F5C" w:rsidP="009462F3">
      <w:pPr>
        <w:pStyle w:val="ListParagraph"/>
        <w:numPr>
          <w:ilvl w:val="0"/>
          <w:numId w:val="114"/>
        </w:numPr>
        <w:spacing w:before="60"/>
        <w:ind w:left="811" w:right="454" w:hanging="357"/>
        <w:jc w:val="both"/>
        <w:rPr>
          <w:rFonts w:ascii="Arial" w:hAnsi="Arial" w:cs="Arial"/>
          <w:color w:val="000000"/>
          <w:sz w:val="20"/>
        </w:rPr>
      </w:pPr>
      <w:r>
        <w:rPr>
          <w:rFonts w:ascii="Arial" w:hAnsi="Arial" w:cs="Arial"/>
          <w:color w:val="000000"/>
          <w:sz w:val="20"/>
        </w:rPr>
        <w:t>On the central question of consent, the reasons did not identify factual conflicts between the complainant’s recollection of events and the evidence of other witnesses.</w:t>
      </w:r>
    </w:p>
    <w:p w14:paraId="18AC27DE" w14:textId="1783D359" w:rsidR="00951F5C" w:rsidRDefault="00951F5C" w:rsidP="009462F3">
      <w:pPr>
        <w:pStyle w:val="ListParagraph"/>
        <w:numPr>
          <w:ilvl w:val="0"/>
          <w:numId w:val="114"/>
        </w:numPr>
        <w:spacing w:before="60"/>
        <w:ind w:left="811" w:right="454" w:hanging="357"/>
        <w:jc w:val="both"/>
        <w:rPr>
          <w:rFonts w:ascii="Arial" w:hAnsi="Arial" w:cs="Arial"/>
          <w:color w:val="000000"/>
          <w:sz w:val="20"/>
        </w:rPr>
      </w:pPr>
      <w:r>
        <w:rPr>
          <w:rFonts w:ascii="Arial" w:hAnsi="Arial" w:cs="Arial"/>
          <w:color w:val="000000"/>
          <w:sz w:val="20"/>
        </w:rPr>
        <w:t>The Magistrate made no ruling on JV’s state of mind relevant to his defence of reasonable belief in consent and addressed this defence only to say that the accused relies on an understanding that the complainant had ‘given general consent’.</w:t>
      </w:r>
    </w:p>
    <w:p w14:paraId="374FBB00" w14:textId="30E813DF" w:rsidR="00951F5C" w:rsidRDefault="00951F5C" w:rsidP="009462F3">
      <w:pPr>
        <w:pStyle w:val="ListParagraph"/>
        <w:numPr>
          <w:ilvl w:val="0"/>
          <w:numId w:val="114"/>
        </w:numPr>
        <w:spacing w:before="60"/>
        <w:ind w:left="811" w:right="454" w:hanging="357"/>
        <w:jc w:val="both"/>
        <w:rPr>
          <w:rFonts w:ascii="Arial" w:hAnsi="Arial" w:cs="Arial"/>
          <w:color w:val="000000"/>
          <w:sz w:val="20"/>
        </w:rPr>
      </w:pPr>
      <w:r>
        <w:rPr>
          <w:rFonts w:ascii="Arial" w:hAnsi="Arial" w:cs="Arial"/>
          <w:color w:val="000000"/>
          <w:sz w:val="20"/>
        </w:rPr>
        <w:t>The reasons did not set out the evidence upon which the child abuse material charges were found proven and the Magistrate made no factual findings upon which to base a finding of guilt.</w:t>
      </w:r>
    </w:p>
    <w:p w14:paraId="014EEFA1" w14:textId="00C28012" w:rsidR="00951F5C" w:rsidRPr="00951F5C" w:rsidRDefault="00951F5C" w:rsidP="009462F3">
      <w:pPr>
        <w:pStyle w:val="ListParagraph"/>
        <w:numPr>
          <w:ilvl w:val="0"/>
          <w:numId w:val="114"/>
        </w:numPr>
        <w:spacing w:before="60"/>
        <w:ind w:left="811" w:right="454" w:hanging="357"/>
        <w:jc w:val="both"/>
        <w:rPr>
          <w:rFonts w:ascii="Arial" w:hAnsi="Arial" w:cs="Arial"/>
          <w:color w:val="000000"/>
          <w:sz w:val="20"/>
        </w:rPr>
      </w:pPr>
      <w:r w:rsidRPr="00951F5C">
        <w:rPr>
          <w:rFonts w:ascii="Arial" w:hAnsi="Arial" w:cs="Arial"/>
          <w:sz w:val="20"/>
        </w:rPr>
        <w:lastRenderedPageBreak/>
        <w:t>There was no indication in the reasons as to how the Magistrate had directed himself in accordance with the Jury Directions Act and in particular how he had resolved the legal issue as to the direction in relation to incriminating conduct. The parties were entitled to a ruling on this issue and to have its resolution exposed by the actual path of reasoning to a finding of guilt.</w:t>
      </w:r>
    </w:p>
    <w:p w14:paraId="6486BC06" w14:textId="1A7E20D0" w:rsidR="00951F5C" w:rsidRDefault="00951F5C" w:rsidP="00715257">
      <w:pPr>
        <w:spacing w:before="60"/>
        <w:jc w:val="both"/>
        <w:rPr>
          <w:rFonts w:ascii="Arial" w:hAnsi="Arial" w:cs="Arial"/>
          <w:color w:val="000000"/>
          <w:sz w:val="20"/>
        </w:rPr>
      </w:pPr>
      <w:r>
        <w:rPr>
          <w:rFonts w:ascii="Arial" w:hAnsi="Arial" w:cs="Arial"/>
          <w:color w:val="000000"/>
          <w:sz w:val="20"/>
        </w:rPr>
        <w:t>Ultimately at [71] her Honour found that “the reasons are inadequate in the ways identified in paragraphs [58](b) and (d) above.”  At paragraphs [72]-[</w:t>
      </w:r>
      <w:r w:rsidR="004C1008">
        <w:rPr>
          <w:rFonts w:ascii="Arial" w:hAnsi="Arial" w:cs="Arial"/>
          <w:color w:val="000000"/>
          <w:sz w:val="20"/>
        </w:rPr>
        <w:t>80</w:t>
      </w:r>
      <w:r>
        <w:rPr>
          <w:rFonts w:ascii="Arial" w:hAnsi="Arial" w:cs="Arial"/>
          <w:color w:val="000000"/>
          <w:sz w:val="20"/>
        </w:rPr>
        <w:t xml:space="preserve">] her Honour </w:t>
      </w:r>
      <w:r w:rsidR="00BF21DA">
        <w:rPr>
          <w:rFonts w:ascii="Arial" w:hAnsi="Arial" w:cs="Arial"/>
          <w:color w:val="000000"/>
          <w:sz w:val="20"/>
        </w:rPr>
        <w:t xml:space="preserve">also </w:t>
      </w:r>
      <w:r w:rsidR="004C1008">
        <w:rPr>
          <w:rFonts w:ascii="Arial" w:hAnsi="Arial" w:cs="Arial"/>
          <w:color w:val="000000"/>
          <w:sz w:val="20"/>
        </w:rPr>
        <w:t xml:space="preserve">elaborated on </w:t>
      </w:r>
      <w:r w:rsidR="00BF21DA">
        <w:rPr>
          <w:rFonts w:ascii="Arial" w:hAnsi="Arial" w:cs="Arial"/>
          <w:color w:val="000000"/>
          <w:sz w:val="20"/>
        </w:rPr>
        <w:t>“the way in which the reasons dealt with the need to make factual findings and deal with the factual conflicts as raised by paragraphs [58](a) and (c) above."</w:t>
      </w:r>
    </w:p>
    <w:p w14:paraId="561B7DB6" w14:textId="32755977" w:rsidR="009D2F76" w:rsidRDefault="004C1008" w:rsidP="004C1008">
      <w:pPr>
        <w:spacing w:before="60"/>
        <w:jc w:val="both"/>
        <w:rPr>
          <w:rFonts w:ascii="Arial" w:hAnsi="Arial" w:cs="Arial"/>
          <w:sz w:val="20"/>
          <w:szCs w:val="20"/>
        </w:rPr>
      </w:pPr>
      <w:r w:rsidRPr="006C05E9">
        <w:rPr>
          <w:rFonts w:ascii="Arial" w:hAnsi="Arial" w:cs="Arial"/>
          <w:color w:val="000000"/>
          <w:sz w:val="20"/>
          <w:szCs w:val="20"/>
        </w:rPr>
        <w:t xml:space="preserve">At [81]-[102] her Honour rejected the </w:t>
      </w:r>
      <w:r w:rsidR="00CC6128">
        <w:rPr>
          <w:rFonts w:ascii="Arial" w:hAnsi="Arial" w:cs="Arial"/>
          <w:color w:val="000000"/>
          <w:sz w:val="20"/>
          <w:szCs w:val="20"/>
        </w:rPr>
        <w:t xml:space="preserve">second </w:t>
      </w:r>
      <w:r w:rsidRPr="006C05E9">
        <w:rPr>
          <w:rFonts w:ascii="Arial" w:hAnsi="Arial" w:cs="Arial"/>
          <w:color w:val="000000"/>
          <w:sz w:val="20"/>
          <w:szCs w:val="20"/>
        </w:rPr>
        <w:t xml:space="preserve">respondent’s submission that as a matter of discretion relief should be refused because the applicant has two alternative remedies: (a) an appeal to the Supreme Court on a question of law under s.430P(1) of the CYFA; and (b) a rehearing appeal to the County Court under s.424 of the </w:t>
      </w:r>
      <w:r w:rsidR="006C05E9" w:rsidRPr="006C05E9">
        <w:rPr>
          <w:rFonts w:ascii="Arial" w:hAnsi="Arial" w:cs="Arial"/>
          <w:color w:val="000000"/>
          <w:sz w:val="20"/>
          <w:szCs w:val="20"/>
        </w:rPr>
        <w:t xml:space="preserve">CYFA.  In her reasoning her Honour discussed the cases of </w:t>
      </w:r>
      <w:r w:rsidR="006C05E9" w:rsidRPr="006C05E9">
        <w:rPr>
          <w:rFonts w:ascii="Arial" w:hAnsi="Arial" w:cs="Arial"/>
          <w:i/>
          <w:iCs/>
          <w:sz w:val="20"/>
          <w:szCs w:val="20"/>
        </w:rPr>
        <w:t>Kuek v Victoria Legal Aid</w:t>
      </w:r>
      <w:r w:rsidR="006C05E9" w:rsidRPr="006C05E9">
        <w:rPr>
          <w:rFonts w:ascii="Arial" w:hAnsi="Arial" w:cs="Arial"/>
          <w:sz w:val="20"/>
          <w:szCs w:val="20"/>
        </w:rPr>
        <w:t xml:space="preserve"> (2001) 3 VR 289</w:t>
      </w:r>
      <w:r w:rsidR="006C05E9">
        <w:rPr>
          <w:rFonts w:ascii="Arial" w:hAnsi="Arial" w:cs="Arial"/>
          <w:sz w:val="20"/>
          <w:szCs w:val="20"/>
        </w:rPr>
        <w:t>;</w:t>
      </w:r>
      <w:r w:rsidR="006C05E9" w:rsidRPr="006C05E9">
        <w:rPr>
          <w:rFonts w:ascii="Arial" w:hAnsi="Arial" w:cs="Arial"/>
          <w:sz w:val="20"/>
          <w:szCs w:val="20"/>
        </w:rPr>
        <w:t xml:space="preserve"> </w:t>
      </w:r>
      <w:r w:rsidR="006C05E9" w:rsidRPr="006C05E9">
        <w:rPr>
          <w:rFonts w:ascii="Arial" w:hAnsi="Arial" w:cs="Arial"/>
          <w:i/>
          <w:iCs/>
          <w:sz w:val="20"/>
          <w:szCs w:val="20"/>
        </w:rPr>
        <w:t>Perkins v Victorian Bar</w:t>
      </w:r>
      <w:r w:rsidR="006C05E9" w:rsidRPr="006C05E9">
        <w:rPr>
          <w:rFonts w:ascii="Arial" w:hAnsi="Arial" w:cs="Arial"/>
          <w:sz w:val="20"/>
          <w:szCs w:val="20"/>
        </w:rPr>
        <w:t xml:space="preserve"> [2007] VSCA 107</w:t>
      </w:r>
      <w:r w:rsidR="006C05E9">
        <w:rPr>
          <w:rFonts w:ascii="Arial" w:hAnsi="Arial" w:cs="Arial"/>
          <w:sz w:val="20"/>
          <w:szCs w:val="20"/>
        </w:rPr>
        <w:t xml:space="preserve">; </w:t>
      </w:r>
      <w:r w:rsidR="006C05E9" w:rsidRPr="006C05E9">
        <w:rPr>
          <w:rFonts w:ascii="Arial" w:hAnsi="Arial" w:cs="Arial"/>
          <w:i/>
          <w:iCs/>
          <w:sz w:val="20"/>
          <w:szCs w:val="20"/>
        </w:rPr>
        <w:t>Garde-Wilson v Legal Services Board</w:t>
      </w:r>
      <w:r w:rsidR="006C05E9" w:rsidRPr="006C05E9">
        <w:rPr>
          <w:rFonts w:ascii="Arial" w:hAnsi="Arial" w:cs="Arial"/>
          <w:sz w:val="20"/>
          <w:szCs w:val="20"/>
        </w:rPr>
        <w:t xml:space="preserve"> (2008) 19 VR 398.</w:t>
      </w:r>
    </w:p>
    <w:p w14:paraId="5FD2B234" w14:textId="1F06AC5C" w:rsidR="006C05E9" w:rsidRPr="006C05E9" w:rsidRDefault="006C05E9" w:rsidP="004C1008">
      <w:pPr>
        <w:spacing w:before="60"/>
        <w:jc w:val="both"/>
        <w:rPr>
          <w:rFonts w:ascii="Arial" w:hAnsi="Arial" w:cs="Arial"/>
          <w:color w:val="000000"/>
          <w:sz w:val="20"/>
          <w:szCs w:val="20"/>
        </w:rPr>
      </w:pPr>
      <w:r>
        <w:rPr>
          <w:rFonts w:ascii="Arial" w:hAnsi="Arial" w:cs="Arial"/>
          <w:sz w:val="20"/>
          <w:szCs w:val="20"/>
        </w:rPr>
        <w:t>Her Honour concluded at [103]: “I will make orders quashing the Magistrate’s orders and remitting the matter back to the Children’s Court to be heard before a different magistrate.”</w:t>
      </w:r>
    </w:p>
    <w:p w14:paraId="7B03D2B5" w14:textId="77777777" w:rsidR="00DB14A3" w:rsidRDefault="00DB14A3" w:rsidP="001D1B06">
      <w:pPr>
        <w:jc w:val="both"/>
        <w:rPr>
          <w:rFonts w:ascii="Arial" w:hAnsi="Arial" w:cs="Arial"/>
          <w:color w:val="000000"/>
          <w:sz w:val="20"/>
        </w:rPr>
      </w:pPr>
    </w:p>
    <w:p w14:paraId="70B0635D" w14:textId="77777777" w:rsidR="0005560B" w:rsidRDefault="0005560B" w:rsidP="0005560B">
      <w:pPr>
        <w:jc w:val="both"/>
        <w:rPr>
          <w:rFonts w:ascii="Arial" w:hAnsi="Arial" w:cs="Arial"/>
          <w:color w:val="000000"/>
          <w:sz w:val="20"/>
        </w:rPr>
      </w:pPr>
      <w:r>
        <w:rPr>
          <w:rFonts w:ascii="Arial" w:hAnsi="Arial" w:cs="Arial"/>
          <w:color w:val="000000"/>
          <w:sz w:val="20"/>
        </w:rPr>
        <w:t xml:space="preserve">In </w:t>
      </w:r>
      <w:r w:rsidRPr="0005560B">
        <w:rPr>
          <w:rFonts w:ascii="Arial" w:hAnsi="Arial" w:cs="Arial"/>
          <w:i/>
          <w:iCs/>
          <w:color w:val="000000"/>
          <w:sz w:val="20"/>
        </w:rPr>
        <w:t>Korey Caddy v The King</w:t>
      </w:r>
      <w:r>
        <w:rPr>
          <w:rFonts w:ascii="Arial" w:hAnsi="Arial" w:cs="Arial"/>
          <w:color w:val="000000"/>
          <w:sz w:val="20"/>
        </w:rPr>
        <w:t xml:space="preserve"> [2025] VSCA 87 one of the 34 year old applicant’s grounds of appeal against a TES IMP8y/6y for 40 offences including </w:t>
      </w:r>
      <w:r w:rsidRPr="0005560B">
        <w:rPr>
          <w:rFonts w:ascii="Arial" w:hAnsi="Arial" w:cs="Arial"/>
          <w:color w:val="000000"/>
          <w:sz w:val="20"/>
        </w:rPr>
        <w:t xml:space="preserve">arson, theft, burglary, reckless conduct endangering persons and dangerous driving while pursued by police </w:t>
      </w:r>
      <w:r>
        <w:rPr>
          <w:rFonts w:ascii="Arial" w:hAnsi="Arial" w:cs="Arial"/>
          <w:color w:val="000000"/>
          <w:sz w:val="20"/>
        </w:rPr>
        <w:t>was that the sentencing judge had provided insufficient reasons for sentence. In refusing leave to appeal Taylor &amp; T Forrest JJA noted at [38] &amp; [39] that–</w:t>
      </w:r>
    </w:p>
    <w:p w14:paraId="39E0E0B2" w14:textId="77777777" w:rsidR="0005560B" w:rsidRPr="0005560B" w:rsidRDefault="0005560B" w:rsidP="0005560B">
      <w:pPr>
        <w:numPr>
          <w:ilvl w:val="0"/>
          <w:numId w:val="5"/>
        </w:numPr>
        <w:tabs>
          <w:tab w:val="num" w:pos="723"/>
        </w:tabs>
        <w:jc w:val="both"/>
        <w:rPr>
          <w:rFonts w:ascii="Arial" w:hAnsi="Arial" w:cs="Arial"/>
          <w:sz w:val="20"/>
        </w:rPr>
      </w:pPr>
      <w:r>
        <w:rPr>
          <w:rFonts w:ascii="Arial" w:hAnsi="Arial" w:cs="Arial"/>
          <w:sz w:val="20"/>
        </w:rPr>
        <w:t xml:space="preserve">“It is </w:t>
      </w:r>
      <w:r w:rsidRPr="0005560B">
        <w:rPr>
          <w:rFonts w:ascii="Arial" w:hAnsi="Arial" w:cs="Arial"/>
          <w:color w:val="000000"/>
          <w:sz w:val="20"/>
        </w:rPr>
        <w:t>clear that the judge read all of the material that was before her, and by reciting the submissions of the appellant’s counsel which were undisputed by the prosecution, it is clear to us that her Honour took these matters into account.</w:t>
      </w:r>
      <w:r>
        <w:rPr>
          <w:rFonts w:ascii="Arial" w:hAnsi="Arial" w:cs="Arial"/>
          <w:color w:val="000000"/>
          <w:sz w:val="20"/>
        </w:rPr>
        <w:t>”</w:t>
      </w:r>
    </w:p>
    <w:p w14:paraId="0318D486" w14:textId="77777777" w:rsidR="0005560B" w:rsidRDefault="0005560B" w:rsidP="0005560B">
      <w:pPr>
        <w:numPr>
          <w:ilvl w:val="0"/>
          <w:numId w:val="5"/>
        </w:numPr>
        <w:tabs>
          <w:tab w:val="num" w:pos="723"/>
        </w:tabs>
        <w:jc w:val="both"/>
        <w:rPr>
          <w:rFonts w:ascii="Arial" w:hAnsi="Arial" w:cs="Arial"/>
          <w:sz w:val="20"/>
        </w:rPr>
      </w:pPr>
      <w:r>
        <w:rPr>
          <w:rFonts w:ascii="Arial" w:hAnsi="Arial" w:cs="Arial"/>
          <w:sz w:val="20"/>
        </w:rPr>
        <w:t>“</w:t>
      </w:r>
      <w:r w:rsidRPr="0005560B">
        <w:rPr>
          <w:rFonts w:ascii="Arial" w:hAnsi="Arial" w:cs="Arial"/>
          <w:color w:val="000000"/>
          <w:sz w:val="20"/>
        </w:rPr>
        <w:t>Whilst the judge did not specifically say, ‘I take each of these matters into account’, so much is implicit from their context in the sentencing remarks.</w:t>
      </w:r>
      <w:r>
        <w:rPr>
          <w:rFonts w:ascii="Arial" w:hAnsi="Arial" w:cs="Arial"/>
          <w:color w:val="000000"/>
          <w:sz w:val="20"/>
        </w:rPr>
        <w:t>”</w:t>
      </w:r>
    </w:p>
    <w:p w14:paraId="6A9DD392" w14:textId="77777777" w:rsidR="0005560B" w:rsidRDefault="0005560B" w:rsidP="0005560B">
      <w:pPr>
        <w:spacing w:before="60"/>
        <w:jc w:val="both"/>
        <w:rPr>
          <w:rFonts w:ascii="Arial" w:hAnsi="Arial" w:cs="Arial"/>
          <w:color w:val="000000"/>
          <w:sz w:val="20"/>
        </w:rPr>
      </w:pPr>
      <w:r>
        <w:rPr>
          <w:rFonts w:ascii="Arial" w:hAnsi="Arial" w:cs="Arial"/>
          <w:color w:val="000000"/>
          <w:sz w:val="20"/>
        </w:rPr>
        <w:t>Their Honours concluded their discussion of this ground at [42] as follows:</w:t>
      </w:r>
    </w:p>
    <w:p w14:paraId="43CA7F67" w14:textId="77777777" w:rsidR="0005560B" w:rsidRDefault="0005560B" w:rsidP="0005560B">
      <w:pPr>
        <w:spacing w:before="60"/>
        <w:ind w:left="567" w:right="567"/>
        <w:jc w:val="both"/>
        <w:rPr>
          <w:rFonts w:ascii="Arial" w:hAnsi="Arial" w:cs="Arial"/>
          <w:sz w:val="20"/>
        </w:rPr>
      </w:pPr>
      <w:r>
        <w:rPr>
          <w:rFonts w:ascii="Arial" w:hAnsi="Arial" w:cs="Arial"/>
          <w:sz w:val="20"/>
        </w:rPr>
        <w:t>“</w:t>
      </w:r>
      <w:r w:rsidRPr="0005560B">
        <w:rPr>
          <w:rFonts w:ascii="Arial" w:hAnsi="Arial" w:cs="Arial"/>
          <w:color w:val="000000"/>
          <w:sz w:val="20"/>
        </w:rPr>
        <w:t>Before leaving this ground, it would be remiss of us not to record our reservations as to whether an ‘inadequacy of reasons’ ground is an appropriate ground in an appeal of this nature. In view of our conclusion on this ground, it is unnecessary to determine this issue. Nevertheless, we are grateful for counsel’s further research and assistance on it</w:t>
      </w:r>
      <w:r>
        <w:rPr>
          <w:rFonts w:ascii="Arial" w:hAnsi="Arial" w:cs="Arial"/>
          <w:color w:val="000000"/>
          <w:sz w:val="20"/>
        </w:rPr>
        <w:t>: s</w:t>
      </w:r>
      <w:r w:rsidRPr="0005560B">
        <w:rPr>
          <w:rFonts w:ascii="Arial" w:hAnsi="Arial" w:cs="Arial"/>
          <w:color w:val="000000"/>
          <w:sz w:val="20"/>
        </w:rPr>
        <w:t xml:space="preserve">ee, eg, </w:t>
      </w:r>
      <w:r w:rsidRPr="0005560B">
        <w:rPr>
          <w:rFonts w:ascii="Arial" w:hAnsi="Arial" w:cs="Arial"/>
          <w:i/>
          <w:iCs/>
          <w:color w:val="000000"/>
          <w:sz w:val="20"/>
        </w:rPr>
        <w:t>R v Robins</w:t>
      </w:r>
      <w:r w:rsidRPr="0005560B">
        <w:rPr>
          <w:rFonts w:ascii="Arial" w:hAnsi="Arial" w:cs="Arial"/>
          <w:color w:val="000000"/>
          <w:sz w:val="20"/>
        </w:rPr>
        <w:t xml:space="preserve"> [2016] SASFC 55, [20]–[25]; </w:t>
      </w:r>
      <w:r w:rsidRPr="0005560B">
        <w:rPr>
          <w:rFonts w:ascii="Arial" w:hAnsi="Arial" w:cs="Arial"/>
          <w:i/>
          <w:iCs/>
          <w:color w:val="000000"/>
          <w:sz w:val="20"/>
        </w:rPr>
        <w:t>Oatley v Commonwealth Department of Public Prosecutions</w:t>
      </w:r>
      <w:r w:rsidRPr="0005560B">
        <w:rPr>
          <w:rFonts w:ascii="Arial" w:hAnsi="Arial" w:cs="Arial"/>
          <w:color w:val="000000"/>
          <w:sz w:val="20"/>
        </w:rPr>
        <w:t xml:space="preserve"> [2021] SASCA 108, [27]–[29]; </w:t>
      </w:r>
      <w:r w:rsidRPr="0005560B">
        <w:rPr>
          <w:rFonts w:ascii="Arial" w:hAnsi="Arial" w:cs="Arial"/>
          <w:i/>
          <w:iCs/>
          <w:color w:val="000000"/>
          <w:sz w:val="20"/>
        </w:rPr>
        <w:t>R v Davey</w:t>
      </w:r>
      <w:r w:rsidRPr="0005560B">
        <w:rPr>
          <w:rFonts w:ascii="Arial" w:hAnsi="Arial" w:cs="Arial"/>
          <w:color w:val="000000"/>
          <w:sz w:val="20"/>
        </w:rPr>
        <w:t xml:space="preserve"> (2006) 95 SASR 63, 72–3 [36]–[40]; [2006] SASC 177; </w:t>
      </w:r>
      <w:r w:rsidRPr="0005560B">
        <w:rPr>
          <w:rFonts w:ascii="Arial" w:hAnsi="Arial" w:cs="Arial"/>
          <w:i/>
          <w:iCs/>
          <w:color w:val="000000"/>
          <w:sz w:val="20"/>
        </w:rPr>
        <w:t>Cross v Police</w:t>
      </w:r>
      <w:r w:rsidRPr="0005560B">
        <w:rPr>
          <w:rFonts w:ascii="Arial" w:hAnsi="Arial" w:cs="Arial"/>
          <w:color w:val="000000"/>
          <w:sz w:val="20"/>
        </w:rPr>
        <w:t xml:space="preserve"> [2001] SASC 47, [21]–[30]; </w:t>
      </w:r>
      <w:r w:rsidRPr="0005560B">
        <w:rPr>
          <w:rFonts w:ascii="Arial" w:hAnsi="Arial" w:cs="Arial"/>
          <w:i/>
          <w:iCs/>
          <w:color w:val="000000"/>
          <w:sz w:val="20"/>
        </w:rPr>
        <w:t>Makeham v Sheppard</w:t>
      </w:r>
      <w:r w:rsidRPr="0005560B">
        <w:rPr>
          <w:rFonts w:ascii="Arial" w:hAnsi="Arial" w:cs="Arial"/>
          <w:color w:val="000000"/>
          <w:sz w:val="20"/>
        </w:rPr>
        <w:t xml:space="preserve"> [2020] VSCA 242, [77]–[80]; </w:t>
      </w:r>
      <w:r w:rsidRPr="0005560B">
        <w:rPr>
          <w:rFonts w:ascii="Arial" w:hAnsi="Arial" w:cs="Arial"/>
          <w:i/>
          <w:iCs/>
          <w:color w:val="000000"/>
          <w:sz w:val="20"/>
        </w:rPr>
        <w:t>Salmon-Urbani v The Queen</w:t>
      </w:r>
      <w:r w:rsidRPr="0005560B">
        <w:rPr>
          <w:rFonts w:ascii="Arial" w:hAnsi="Arial" w:cs="Arial"/>
          <w:color w:val="000000"/>
          <w:sz w:val="20"/>
        </w:rPr>
        <w:t xml:space="preserve"> [2022] VSCA 170, [48].</w:t>
      </w:r>
      <w:r>
        <w:rPr>
          <w:rFonts w:ascii="Arial" w:hAnsi="Arial" w:cs="Arial"/>
          <w:color w:val="000000"/>
          <w:sz w:val="20"/>
        </w:rPr>
        <w:t>”</w:t>
      </w:r>
    </w:p>
    <w:p w14:paraId="4A866A75" w14:textId="77777777" w:rsidR="0005560B" w:rsidRDefault="0005560B" w:rsidP="0005560B">
      <w:pPr>
        <w:jc w:val="both"/>
        <w:rPr>
          <w:rFonts w:ascii="Arial" w:hAnsi="Arial" w:cs="Arial"/>
          <w:color w:val="000000"/>
          <w:sz w:val="20"/>
        </w:rPr>
      </w:pPr>
    </w:p>
    <w:p w14:paraId="305B5894" w14:textId="2573B4C2" w:rsidR="00E04517" w:rsidRDefault="00E04517" w:rsidP="0005560B">
      <w:pPr>
        <w:jc w:val="both"/>
        <w:rPr>
          <w:rFonts w:ascii="Arial" w:hAnsi="Arial" w:cs="Arial"/>
          <w:color w:val="000000"/>
          <w:sz w:val="20"/>
        </w:rPr>
      </w:pPr>
      <w:r>
        <w:rPr>
          <w:rFonts w:ascii="Arial" w:hAnsi="Arial" w:cs="Arial"/>
          <w:color w:val="000000"/>
          <w:sz w:val="20"/>
        </w:rPr>
        <w:t xml:space="preserve">In </w:t>
      </w:r>
      <w:r w:rsidRPr="00E04517">
        <w:rPr>
          <w:rFonts w:ascii="Arial" w:hAnsi="Arial" w:cs="Arial"/>
          <w:i/>
          <w:iCs/>
          <w:color w:val="000000"/>
          <w:sz w:val="20"/>
        </w:rPr>
        <w:t>Ma</w:t>
      </w:r>
      <w:r w:rsidR="00F31C76">
        <w:rPr>
          <w:rFonts w:ascii="Arial" w:hAnsi="Arial" w:cs="Arial"/>
          <w:i/>
          <w:iCs/>
          <w:color w:val="000000"/>
          <w:sz w:val="20"/>
        </w:rPr>
        <w:t>y &amp; May</w:t>
      </w:r>
      <w:r w:rsidRPr="00E04517">
        <w:rPr>
          <w:rFonts w:ascii="Arial" w:hAnsi="Arial" w:cs="Arial"/>
          <w:i/>
          <w:iCs/>
          <w:color w:val="000000"/>
          <w:sz w:val="20"/>
        </w:rPr>
        <w:t xml:space="preserve"> v HSBC Australia </w:t>
      </w:r>
      <w:r>
        <w:rPr>
          <w:rFonts w:ascii="Arial" w:hAnsi="Arial" w:cs="Arial"/>
          <w:i/>
          <w:iCs/>
          <w:color w:val="000000"/>
          <w:sz w:val="20"/>
        </w:rPr>
        <w:t xml:space="preserve">Bank </w:t>
      </w:r>
      <w:r w:rsidRPr="00E04517">
        <w:rPr>
          <w:rFonts w:ascii="Arial" w:hAnsi="Arial" w:cs="Arial"/>
          <w:i/>
          <w:iCs/>
          <w:color w:val="000000"/>
          <w:sz w:val="20"/>
        </w:rPr>
        <w:t>Limited</w:t>
      </w:r>
      <w:r>
        <w:rPr>
          <w:rFonts w:ascii="Arial" w:hAnsi="Arial" w:cs="Arial"/>
          <w:color w:val="000000"/>
          <w:sz w:val="20"/>
        </w:rPr>
        <w:t xml:space="preserve"> [2025] VSCA 311 the unrepresented applicants sought leave to appeal a summary judgment which the respondent bank had obtained against them, claiming</w:t>
      </w:r>
      <w:r w:rsidR="00F31C76">
        <w:rPr>
          <w:rFonts w:ascii="Arial" w:hAnsi="Arial" w:cs="Arial"/>
          <w:color w:val="000000"/>
          <w:sz w:val="20"/>
        </w:rPr>
        <w:t>,</w:t>
      </w:r>
      <w:r>
        <w:rPr>
          <w:rFonts w:ascii="Arial" w:hAnsi="Arial" w:cs="Arial"/>
          <w:color w:val="000000"/>
          <w:sz w:val="20"/>
        </w:rPr>
        <w:t xml:space="preserve"> </w:t>
      </w:r>
      <w:r w:rsidR="00F31C76" w:rsidRPr="00F31C76">
        <w:rPr>
          <w:rFonts w:ascii="Arial" w:hAnsi="Arial" w:cs="Arial"/>
          <w:i/>
          <w:iCs/>
          <w:color w:val="000000"/>
          <w:sz w:val="20"/>
        </w:rPr>
        <w:t>inter alia</w:t>
      </w:r>
      <w:r w:rsidR="00F31C76">
        <w:rPr>
          <w:rFonts w:ascii="Arial" w:hAnsi="Arial" w:cs="Arial"/>
          <w:color w:val="000000"/>
          <w:sz w:val="20"/>
        </w:rPr>
        <w:t xml:space="preserve">, </w:t>
      </w:r>
      <w:r>
        <w:rPr>
          <w:rFonts w:ascii="Arial" w:hAnsi="Arial" w:cs="Arial"/>
          <w:color w:val="000000"/>
          <w:sz w:val="20"/>
        </w:rPr>
        <w:t xml:space="preserve">that an admitted </w:t>
      </w:r>
      <w:r w:rsidRPr="00E04517">
        <w:rPr>
          <w:rFonts w:ascii="Arial" w:hAnsi="Arial" w:cs="Arial"/>
          <w:color w:val="000000"/>
          <w:sz w:val="20"/>
        </w:rPr>
        <w:t>mortgage was not a contract and not binding</w:t>
      </w:r>
      <w:r>
        <w:rPr>
          <w:rFonts w:ascii="Arial" w:hAnsi="Arial" w:cs="Arial"/>
          <w:color w:val="000000"/>
          <w:sz w:val="20"/>
        </w:rPr>
        <w:t xml:space="preserve"> and that the judge’s reaso</w:t>
      </w:r>
      <w:r w:rsidR="00F31C76">
        <w:rPr>
          <w:rFonts w:ascii="Arial" w:hAnsi="Arial" w:cs="Arial"/>
          <w:color w:val="000000"/>
          <w:sz w:val="20"/>
        </w:rPr>
        <w:t>n</w:t>
      </w:r>
      <w:r>
        <w:rPr>
          <w:rFonts w:ascii="Arial" w:hAnsi="Arial" w:cs="Arial"/>
          <w:color w:val="000000"/>
          <w:sz w:val="20"/>
        </w:rPr>
        <w:t xml:space="preserve">s </w:t>
      </w:r>
      <w:r w:rsidR="00F31C76">
        <w:rPr>
          <w:rFonts w:ascii="Arial" w:hAnsi="Arial" w:cs="Arial"/>
          <w:color w:val="000000"/>
          <w:sz w:val="20"/>
        </w:rPr>
        <w:t>were inadequate. In refusing leave to appeal Walker &amp; Richards JJA said at [52]-[53]:</w:t>
      </w:r>
    </w:p>
    <w:p w14:paraId="50CA2C27" w14:textId="0E069751" w:rsidR="00F31C76" w:rsidRDefault="00F31C76" w:rsidP="00F31C76">
      <w:pPr>
        <w:spacing w:before="60"/>
        <w:ind w:left="454" w:right="454"/>
        <w:jc w:val="both"/>
        <w:rPr>
          <w:rFonts w:ascii="Arial" w:hAnsi="Arial" w:cs="Arial"/>
          <w:color w:val="000000"/>
          <w:sz w:val="20"/>
        </w:rPr>
      </w:pPr>
      <w:r>
        <w:rPr>
          <w:rFonts w:ascii="Arial" w:hAnsi="Arial" w:cs="Arial"/>
          <w:sz w:val="20"/>
          <w:szCs w:val="20"/>
        </w:rPr>
        <w:t>[52] “</w:t>
      </w:r>
      <w:r w:rsidR="00E04517" w:rsidRPr="00E04517">
        <w:rPr>
          <w:rFonts w:ascii="Arial" w:hAnsi="Arial" w:cs="Arial"/>
          <w:color w:val="000000"/>
          <w:sz w:val="20"/>
        </w:rPr>
        <w:t xml:space="preserve">As Gleeson CJ, McHugh and Gummow J observed in </w:t>
      </w:r>
      <w:proofErr w:type="spellStart"/>
      <w:r w:rsidR="00E04517" w:rsidRPr="00F31C76">
        <w:rPr>
          <w:rFonts w:ascii="Arial" w:hAnsi="Arial" w:cs="Arial"/>
          <w:i/>
          <w:iCs/>
          <w:color w:val="000000"/>
          <w:sz w:val="20"/>
        </w:rPr>
        <w:t>Whisprun</w:t>
      </w:r>
      <w:proofErr w:type="spellEnd"/>
      <w:r w:rsidR="00E04517" w:rsidRPr="00F31C76">
        <w:rPr>
          <w:rFonts w:ascii="Arial" w:hAnsi="Arial" w:cs="Arial"/>
          <w:i/>
          <w:iCs/>
          <w:color w:val="000000"/>
          <w:sz w:val="20"/>
        </w:rPr>
        <w:t xml:space="preserve"> Pty Ltd v Dixon</w:t>
      </w:r>
      <w:r>
        <w:rPr>
          <w:rFonts w:ascii="Arial" w:hAnsi="Arial" w:cs="Arial"/>
          <w:color w:val="000000"/>
          <w:sz w:val="20"/>
        </w:rPr>
        <w:t xml:space="preserve"> </w:t>
      </w:r>
      <w:r w:rsidRPr="00E04517">
        <w:rPr>
          <w:rFonts w:ascii="Arial" w:hAnsi="Arial" w:cs="Arial"/>
          <w:color w:val="000000"/>
          <w:sz w:val="20"/>
        </w:rPr>
        <w:t>(2003) 77 ALJR 1598, 1610 [62]</w:t>
      </w:r>
      <w:r>
        <w:rPr>
          <w:rFonts w:ascii="Arial" w:hAnsi="Arial" w:cs="Arial"/>
          <w:color w:val="000000"/>
          <w:sz w:val="20"/>
        </w:rPr>
        <w:t>; [2003] HCA 48:</w:t>
      </w:r>
    </w:p>
    <w:p w14:paraId="3DB5A64D" w14:textId="15BA17D6" w:rsidR="00F31C76" w:rsidRPr="00F31C76" w:rsidRDefault="00F31C76" w:rsidP="00F31C76">
      <w:pPr>
        <w:spacing w:before="60"/>
        <w:ind w:left="907" w:right="907"/>
        <w:jc w:val="both"/>
        <w:rPr>
          <w:rFonts w:ascii="Arial" w:hAnsi="Arial" w:cs="Arial"/>
          <w:color w:val="000000"/>
          <w:sz w:val="18"/>
          <w:szCs w:val="22"/>
        </w:rPr>
      </w:pPr>
      <w:r w:rsidRPr="00F31C76">
        <w:rPr>
          <w:rFonts w:ascii="Arial" w:hAnsi="Arial" w:cs="Arial"/>
          <w:color w:val="000000"/>
          <w:sz w:val="18"/>
          <w:szCs w:val="22"/>
        </w:rPr>
        <w:t>A judge’s reasons are not required to mention every fact or argument relied on by the losing party as relevant to an issue. Judgments of trial judges would soon become longer than they already are if a judge’s failure to mention such facts and arguments would be evidence that he or she had not properly considered the losing party’s case.</w:t>
      </w:r>
    </w:p>
    <w:p w14:paraId="7C85379C" w14:textId="673C83B8" w:rsidR="00F31C76" w:rsidRDefault="00F31C76" w:rsidP="00F31C76">
      <w:pPr>
        <w:spacing w:before="60"/>
        <w:ind w:left="454" w:right="454"/>
        <w:jc w:val="both"/>
        <w:rPr>
          <w:rFonts w:ascii="Arial" w:hAnsi="Arial" w:cs="Arial"/>
          <w:color w:val="000000"/>
          <w:sz w:val="20"/>
        </w:rPr>
      </w:pPr>
      <w:r>
        <w:rPr>
          <w:rFonts w:ascii="Arial" w:hAnsi="Arial" w:cs="Arial"/>
          <w:color w:val="000000"/>
          <w:sz w:val="20"/>
        </w:rPr>
        <w:t xml:space="preserve">[53] </w:t>
      </w:r>
      <w:r w:rsidRPr="00E04517">
        <w:rPr>
          <w:rFonts w:ascii="Arial" w:hAnsi="Arial" w:cs="Arial"/>
          <w:color w:val="000000"/>
          <w:sz w:val="20"/>
        </w:rPr>
        <w:t>In the present case the judge’s reasons sufficiently dealt with the issues necessary to explain his Honour’s decision to grant summary judgment to HSBC and to set aside the notice to admit. Indeed, in light of the nonsensical nature of the Mays’ arguments, the judge went beyond what was required. This ground of appeal has no prospect of success.</w:t>
      </w:r>
      <w:r>
        <w:rPr>
          <w:rFonts w:ascii="Arial" w:hAnsi="Arial" w:cs="Arial"/>
          <w:color w:val="000000"/>
          <w:sz w:val="20"/>
        </w:rPr>
        <w:t>”</w:t>
      </w:r>
    </w:p>
    <w:p w14:paraId="4AE4E562" w14:textId="17962567" w:rsidR="00E04517" w:rsidRDefault="00E04517" w:rsidP="00527415">
      <w:pPr>
        <w:ind w:right="454"/>
        <w:jc w:val="both"/>
        <w:rPr>
          <w:rFonts w:ascii="Arial" w:hAnsi="Arial" w:cs="Arial"/>
          <w:sz w:val="20"/>
          <w:szCs w:val="20"/>
        </w:rPr>
      </w:pPr>
    </w:p>
    <w:p w14:paraId="5869E1D8" w14:textId="5E4F5FA1" w:rsidR="00527415" w:rsidRDefault="00527415" w:rsidP="00527415">
      <w:pPr>
        <w:jc w:val="both"/>
        <w:rPr>
          <w:rFonts w:ascii="Arial" w:hAnsi="Arial" w:cs="Arial"/>
          <w:sz w:val="20"/>
          <w:szCs w:val="20"/>
        </w:rPr>
      </w:pPr>
      <w:r>
        <w:rPr>
          <w:rFonts w:ascii="Arial" w:hAnsi="Arial" w:cs="Arial"/>
          <w:sz w:val="20"/>
        </w:rPr>
        <w:t xml:space="preserve">In </w:t>
      </w:r>
      <w:r w:rsidRPr="00D23D0B">
        <w:rPr>
          <w:rFonts w:ascii="Arial" w:hAnsi="Arial" w:cs="Arial"/>
          <w:i/>
          <w:iCs/>
          <w:sz w:val="20"/>
        </w:rPr>
        <w:t>Khan v Longmire</w:t>
      </w:r>
      <w:r w:rsidRPr="00D23D0B">
        <w:rPr>
          <w:rFonts w:ascii="Arial" w:hAnsi="Arial" w:cs="Arial"/>
          <w:sz w:val="20"/>
        </w:rPr>
        <w:t xml:space="preserve"> [2026] VSC 309</w:t>
      </w:r>
      <w:r>
        <w:rPr>
          <w:rFonts w:ascii="Arial" w:hAnsi="Arial" w:cs="Arial"/>
          <w:sz w:val="20"/>
        </w:rPr>
        <w:t xml:space="preserve"> one of the grounds of appeal was that VCAT had </w:t>
      </w:r>
      <w:r w:rsidRPr="00D23D0B">
        <w:rPr>
          <w:rFonts w:ascii="Arial" w:hAnsi="Arial" w:cs="Arial"/>
          <w:sz w:val="20"/>
        </w:rPr>
        <w:t xml:space="preserve">failed to provide adequate reasons because they were prepared from a transcript of the hearing generated by AI rather than a formal transcript. </w:t>
      </w:r>
      <w:r>
        <w:rPr>
          <w:rFonts w:ascii="Arial" w:hAnsi="Arial" w:cs="Arial"/>
          <w:sz w:val="20"/>
        </w:rPr>
        <w:t xml:space="preserve">Quigley J granted leave to appeal on that ground “primarily given its novel circumstances” but dismissed the appeal. Her Honour’s reasons at [107]-[111] are detailed in </w:t>
      </w:r>
      <w:r w:rsidRPr="00527415">
        <w:rPr>
          <w:rFonts w:ascii="Arial" w:hAnsi="Arial" w:cs="Arial"/>
          <w:b/>
          <w:bCs/>
          <w:sz w:val="20"/>
          <w:shd w:val="clear" w:color="auto" w:fill="C5E0B3" w:themeFill="accent6" w:themeFillTint="66"/>
        </w:rPr>
        <w:t>Part 3.15</w:t>
      </w:r>
      <w:r>
        <w:rPr>
          <w:rFonts w:ascii="Arial" w:hAnsi="Arial" w:cs="Arial"/>
          <w:sz w:val="20"/>
        </w:rPr>
        <w:t>.</w:t>
      </w:r>
    </w:p>
    <w:p w14:paraId="26BB61DF" w14:textId="77777777" w:rsidR="00527415" w:rsidRPr="00F31C76" w:rsidRDefault="00527415" w:rsidP="00527415">
      <w:pPr>
        <w:ind w:right="454"/>
        <w:jc w:val="both"/>
        <w:rPr>
          <w:rFonts w:ascii="Arial" w:hAnsi="Arial" w:cs="Arial"/>
          <w:sz w:val="20"/>
          <w:szCs w:val="20"/>
        </w:rPr>
      </w:pPr>
    </w:p>
    <w:p w14:paraId="01153A31" w14:textId="0B4E4404" w:rsidR="00974565" w:rsidRDefault="001B1B22">
      <w:pPr>
        <w:jc w:val="both"/>
        <w:rPr>
          <w:rFonts w:ascii="Arial" w:hAnsi="Arial" w:cs="Arial"/>
          <w:color w:val="000000"/>
          <w:sz w:val="20"/>
          <w:szCs w:val="20"/>
        </w:rPr>
      </w:pPr>
      <w:r w:rsidRPr="00986720">
        <w:rPr>
          <w:rFonts w:ascii="Arial" w:hAnsi="Arial" w:cs="Arial"/>
          <w:color w:val="000000"/>
          <w:sz w:val="20"/>
        </w:rPr>
        <w:t>Other cases in which impugned reasons were discussed include</w:t>
      </w:r>
      <w:r w:rsidR="00B21DA4" w:rsidRPr="00986720">
        <w:rPr>
          <w:rFonts w:ascii="Arial" w:hAnsi="Arial" w:cs="Arial"/>
          <w:color w:val="000000"/>
          <w:sz w:val="20"/>
        </w:rPr>
        <w:t xml:space="preserve"> </w:t>
      </w:r>
      <w:r w:rsidR="00B21DA4" w:rsidRPr="00986720">
        <w:rPr>
          <w:rFonts w:ascii="Arial" w:hAnsi="Arial" w:cs="Arial"/>
          <w:i/>
          <w:iCs/>
          <w:color w:val="000000"/>
          <w:sz w:val="20"/>
        </w:rPr>
        <w:t>Sun Alliance Insurance v Massoud</w:t>
      </w:r>
      <w:r w:rsidR="00B21DA4" w:rsidRPr="00986720">
        <w:rPr>
          <w:rFonts w:ascii="Arial" w:hAnsi="Arial" w:cs="Arial"/>
          <w:color w:val="000000"/>
          <w:sz w:val="20"/>
        </w:rPr>
        <w:t xml:space="preserve"> [1989] VR 8; </w:t>
      </w:r>
      <w:r w:rsidR="00B21DA4" w:rsidRPr="00986720">
        <w:rPr>
          <w:rFonts w:ascii="Arial" w:hAnsi="Arial" w:cs="Arial"/>
          <w:i/>
          <w:iCs/>
          <w:color w:val="000000"/>
          <w:sz w:val="20"/>
        </w:rPr>
        <w:t>Pettitt v Dunkley</w:t>
      </w:r>
      <w:r w:rsidR="00B21DA4" w:rsidRPr="00986720">
        <w:rPr>
          <w:rFonts w:ascii="Arial" w:hAnsi="Arial" w:cs="Arial"/>
          <w:color w:val="000000"/>
          <w:sz w:val="20"/>
        </w:rPr>
        <w:t xml:space="preserve"> (1971) 1 NSWLR 376; </w:t>
      </w:r>
      <w:r w:rsidR="00B21DA4" w:rsidRPr="00986720">
        <w:rPr>
          <w:rFonts w:ascii="Arial" w:hAnsi="Arial" w:cs="Arial"/>
          <w:i/>
          <w:iCs/>
          <w:color w:val="000000"/>
          <w:sz w:val="20"/>
        </w:rPr>
        <w:t xml:space="preserve">Fletcher Construction Australia Ltd v Lines Macfarlane &amp; Marshall Pty Ltd </w:t>
      </w:r>
      <w:r w:rsidR="00B21DA4" w:rsidRPr="00986720">
        <w:rPr>
          <w:rFonts w:ascii="Arial" w:hAnsi="Arial" w:cs="Arial"/>
          <w:color w:val="000000"/>
          <w:sz w:val="20"/>
        </w:rPr>
        <w:t>(2001) 4 VR 28;</w:t>
      </w:r>
      <w:r w:rsidR="00B21DA4" w:rsidRPr="00986720">
        <w:rPr>
          <w:rFonts w:ascii="Arial" w:hAnsi="Arial" w:cs="Arial"/>
          <w:color w:val="000000"/>
          <w:sz w:val="16"/>
        </w:rPr>
        <w:t xml:space="preserve"> </w:t>
      </w:r>
      <w:r w:rsidR="00B21DA4" w:rsidRPr="00986720">
        <w:rPr>
          <w:rFonts w:ascii="Arial" w:hAnsi="Arial" w:cs="Arial"/>
          <w:color w:val="000000"/>
          <w:sz w:val="20"/>
        </w:rPr>
        <w:t xml:space="preserve">[2001] VSCA 167 at [18]-[19]; </w:t>
      </w:r>
      <w:r w:rsidR="00B21DA4" w:rsidRPr="00986720">
        <w:rPr>
          <w:rFonts w:ascii="Arial" w:hAnsi="Arial" w:cs="Arial"/>
          <w:i/>
          <w:iCs/>
          <w:color w:val="000000"/>
          <w:sz w:val="20"/>
        </w:rPr>
        <w:t>Sam Agresta v Franco Agresta &amp; Commercial Union Assurance Co of Australia Ltd</w:t>
      </w:r>
      <w:r w:rsidR="00B21DA4" w:rsidRPr="00986720">
        <w:rPr>
          <w:rFonts w:ascii="Arial" w:hAnsi="Arial" w:cs="Arial"/>
          <w:color w:val="000000"/>
          <w:sz w:val="20"/>
        </w:rPr>
        <w:t xml:space="preserve"> [2002] VSCA 23 at [28]; </w:t>
      </w:r>
      <w:r w:rsidR="00B21DA4" w:rsidRPr="00986720">
        <w:rPr>
          <w:rFonts w:ascii="Arial" w:hAnsi="Arial" w:cs="Arial"/>
          <w:i/>
          <w:iCs/>
          <w:color w:val="000000"/>
          <w:sz w:val="20"/>
        </w:rPr>
        <w:t xml:space="preserve">The Royal Dental </w:t>
      </w:r>
      <w:r w:rsidR="00B21DA4" w:rsidRPr="00986720">
        <w:rPr>
          <w:rFonts w:ascii="Arial" w:hAnsi="Arial" w:cs="Arial"/>
          <w:i/>
          <w:iCs/>
          <w:color w:val="000000"/>
          <w:sz w:val="20"/>
        </w:rPr>
        <w:lastRenderedPageBreak/>
        <w:t>Hospital of Melbourne v Birsel Akbulut</w:t>
      </w:r>
      <w:r w:rsidR="00B21DA4" w:rsidRPr="00986720">
        <w:rPr>
          <w:rFonts w:ascii="Arial" w:hAnsi="Arial" w:cs="Arial"/>
          <w:color w:val="000000"/>
          <w:sz w:val="20"/>
        </w:rPr>
        <w:t xml:space="preserve"> [2002] VSCA 88 at [21]; </w:t>
      </w:r>
      <w:r w:rsidR="00B21DA4" w:rsidRPr="00986720">
        <w:rPr>
          <w:rFonts w:ascii="Arial" w:hAnsi="Arial" w:cs="Arial"/>
          <w:i/>
          <w:iCs/>
          <w:color w:val="000000"/>
          <w:sz w:val="20"/>
        </w:rPr>
        <w:t>Dura (Australia) Constructions v Girgin</w:t>
      </w:r>
      <w:r w:rsidR="00B21DA4" w:rsidRPr="00986720">
        <w:rPr>
          <w:rFonts w:ascii="Arial" w:hAnsi="Arial" w:cs="Arial"/>
          <w:color w:val="000000"/>
          <w:sz w:val="20"/>
        </w:rPr>
        <w:t xml:space="preserve"> [2002] VSC 449 at [10]-[14];</w:t>
      </w:r>
      <w:r w:rsidR="00B21DA4" w:rsidRPr="00986720">
        <w:rPr>
          <w:rFonts w:ascii="Arial" w:hAnsi="Arial" w:cs="Arial"/>
          <w:i/>
          <w:iCs/>
          <w:color w:val="000000"/>
          <w:sz w:val="20"/>
        </w:rPr>
        <w:t xml:space="preserve"> Smyth v Shire of Murrundindi</w:t>
      </w:r>
      <w:r w:rsidR="00B21DA4" w:rsidRPr="00986720">
        <w:rPr>
          <w:rFonts w:ascii="Arial" w:hAnsi="Arial" w:cs="Arial"/>
          <w:color w:val="000000"/>
          <w:sz w:val="20"/>
        </w:rPr>
        <w:t xml:space="preserve"> [2003] VSCA 75 at [13], [16]-[17]; </w:t>
      </w:r>
      <w:r w:rsidR="00B21DA4" w:rsidRPr="00986720">
        <w:rPr>
          <w:rFonts w:ascii="Arial" w:hAnsi="Arial" w:cs="Arial"/>
          <w:i/>
          <w:iCs/>
          <w:color w:val="000000"/>
          <w:sz w:val="20"/>
        </w:rPr>
        <w:t xml:space="preserve">Day v Electronik Fabric Makers (Vic) Pty Ltd &amp; Anor </w:t>
      </w:r>
      <w:r w:rsidR="00B21DA4" w:rsidRPr="00986720">
        <w:rPr>
          <w:rFonts w:ascii="Arial" w:hAnsi="Arial" w:cs="Arial"/>
          <w:color w:val="000000"/>
          <w:sz w:val="20"/>
        </w:rPr>
        <w:t xml:space="preserve">[2004] VSC 24 at [25] citing </w:t>
      </w:r>
      <w:r w:rsidR="00B21DA4" w:rsidRPr="00986720">
        <w:rPr>
          <w:rFonts w:ascii="Arial" w:hAnsi="Arial" w:cs="Arial"/>
          <w:i/>
          <w:iCs/>
          <w:color w:val="000000"/>
          <w:sz w:val="20"/>
        </w:rPr>
        <w:t>Perkins v County Court of Victoria</w:t>
      </w:r>
      <w:r w:rsidR="00B21DA4" w:rsidRPr="00986720">
        <w:rPr>
          <w:rFonts w:ascii="Arial" w:hAnsi="Arial" w:cs="Arial"/>
          <w:color w:val="000000"/>
          <w:sz w:val="20"/>
        </w:rPr>
        <w:t xml:space="preserve"> (2000) 2 VR 246 at p. 273</w:t>
      </w:r>
      <w:r w:rsidR="001E2974" w:rsidRPr="00986720">
        <w:rPr>
          <w:rFonts w:ascii="Arial" w:hAnsi="Arial" w:cs="Arial"/>
          <w:color w:val="000000"/>
          <w:sz w:val="20"/>
        </w:rPr>
        <w:t xml:space="preserve">; </w:t>
      </w:r>
      <w:r w:rsidR="001E2974" w:rsidRPr="00986720">
        <w:rPr>
          <w:rFonts w:ascii="Arial" w:hAnsi="Arial" w:cs="Arial"/>
          <w:i/>
          <w:color w:val="000000"/>
          <w:sz w:val="20"/>
        </w:rPr>
        <w:t>Barlow &amp; Anor v Hollis</w:t>
      </w:r>
      <w:r w:rsidR="001E2974" w:rsidRPr="00986720">
        <w:rPr>
          <w:rFonts w:ascii="Arial" w:hAnsi="Arial" w:cs="Arial"/>
          <w:color w:val="000000"/>
          <w:sz w:val="20"/>
        </w:rPr>
        <w:t xml:space="preserve"> [2000] VSCA 26 at [15]-[16]; </w:t>
      </w:r>
      <w:r w:rsidR="001E2974" w:rsidRPr="00986720">
        <w:rPr>
          <w:rFonts w:ascii="Arial" w:hAnsi="Arial" w:cs="Arial"/>
          <w:i/>
          <w:color w:val="000000"/>
          <w:sz w:val="20"/>
        </w:rPr>
        <w:t>Hunter v TAC</w:t>
      </w:r>
      <w:r w:rsidR="001E2974" w:rsidRPr="00986720">
        <w:rPr>
          <w:rFonts w:ascii="Arial" w:hAnsi="Arial" w:cs="Arial"/>
          <w:color w:val="000000"/>
          <w:sz w:val="20"/>
        </w:rPr>
        <w:t xml:space="preserve"> [2005] VSCA 1 at [21]-[22]</w:t>
      </w:r>
      <w:r w:rsidR="009B37E3" w:rsidRPr="00986720">
        <w:rPr>
          <w:rFonts w:ascii="Arial" w:hAnsi="Arial" w:cs="Arial"/>
          <w:color w:val="000000"/>
          <w:sz w:val="20"/>
        </w:rPr>
        <w:t xml:space="preserve">; </w:t>
      </w:r>
      <w:r w:rsidR="009B37E3" w:rsidRPr="00986720">
        <w:rPr>
          <w:rFonts w:ascii="Arial" w:hAnsi="Arial" w:cs="Arial"/>
          <w:i/>
          <w:color w:val="000000"/>
          <w:sz w:val="20"/>
        </w:rPr>
        <w:t>Fox v Percy</w:t>
      </w:r>
      <w:r w:rsidR="009B37E3" w:rsidRPr="00986720">
        <w:rPr>
          <w:rFonts w:ascii="Arial" w:hAnsi="Arial" w:cs="Arial"/>
          <w:color w:val="000000"/>
          <w:sz w:val="20"/>
        </w:rPr>
        <w:t xml:space="preserve"> (2003) 214 CLR 118 esp at 124; </w:t>
      </w:r>
      <w:r w:rsidR="009B37E3" w:rsidRPr="00986720">
        <w:rPr>
          <w:rFonts w:ascii="Arial" w:hAnsi="Arial" w:cs="Arial"/>
          <w:i/>
          <w:color w:val="000000"/>
          <w:sz w:val="20"/>
        </w:rPr>
        <w:t>VCP Investments Pty Ltd v J McCubbin &amp; Sons Pty Ltd</w:t>
      </w:r>
      <w:r w:rsidR="009B37E3" w:rsidRPr="00986720">
        <w:rPr>
          <w:rFonts w:ascii="Arial" w:hAnsi="Arial" w:cs="Arial"/>
          <w:color w:val="000000"/>
          <w:sz w:val="20"/>
        </w:rPr>
        <w:t xml:space="preserve"> [2006] VSCA 50 at [4] &amp; [9]-[12]</w:t>
      </w:r>
      <w:r w:rsidR="005E3379" w:rsidRPr="00986720">
        <w:rPr>
          <w:rFonts w:ascii="Arial" w:hAnsi="Arial" w:cs="Arial"/>
          <w:color w:val="000000"/>
          <w:sz w:val="20"/>
        </w:rPr>
        <w:t xml:space="preserve">; </w:t>
      </w:r>
      <w:r w:rsidR="00872620" w:rsidRPr="00986720">
        <w:rPr>
          <w:rFonts w:ascii="Arial" w:hAnsi="Arial" w:cs="Arial"/>
          <w:i/>
          <w:color w:val="000000"/>
          <w:sz w:val="20"/>
        </w:rPr>
        <w:t xml:space="preserve">Waterways Authority v Fitzgibbon </w:t>
      </w:r>
      <w:r w:rsidR="00872620" w:rsidRPr="00986720">
        <w:rPr>
          <w:rFonts w:ascii="Arial" w:hAnsi="Arial" w:cs="Arial"/>
          <w:color w:val="000000"/>
          <w:sz w:val="20"/>
        </w:rPr>
        <w:t xml:space="preserve">[2005] HCA 57; </w:t>
      </w:r>
      <w:r w:rsidR="005E3379" w:rsidRPr="00986720">
        <w:rPr>
          <w:rFonts w:ascii="Arial" w:hAnsi="Arial" w:cs="Arial"/>
          <w:i/>
          <w:color w:val="000000"/>
          <w:sz w:val="20"/>
        </w:rPr>
        <w:t xml:space="preserve">BHP Billiton Ltd </w:t>
      </w:r>
      <w:r w:rsidR="00872620" w:rsidRPr="00986720">
        <w:rPr>
          <w:rFonts w:ascii="Arial" w:hAnsi="Arial" w:cs="Arial"/>
          <w:i/>
          <w:color w:val="000000"/>
          <w:sz w:val="20"/>
        </w:rPr>
        <w:t xml:space="preserve">&amp; Ors </w:t>
      </w:r>
      <w:r w:rsidR="005E3379" w:rsidRPr="00986720">
        <w:rPr>
          <w:rFonts w:ascii="Arial" w:hAnsi="Arial" w:cs="Arial"/>
          <w:i/>
          <w:color w:val="000000"/>
          <w:sz w:val="20"/>
        </w:rPr>
        <w:t>v Oil Basins Ltd</w:t>
      </w:r>
      <w:r w:rsidR="005E3379" w:rsidRPr="00986720">
        <w:rPr>
          <w:rFonts w:ascii="Arial" w:hAnsi="Arial" w:cs="Arial"/>
          <w:color w:val="000000"/>
          <w:sz w:val="20"/>
        </w:rPr>
        <w:t xml:space="preserve"> [2006] VSC 402 at [9]-[15] esp at [13]</w:t>
      </w:r>
      <w:r w:rsidR="00956222" w:rsidRPr="00986720">
        <w:rPr>
          <w:rFonts w:ascii="Arial" w:hAnsi="Arial" w:cs="Arial"/>
          <w:color w:val="000000"/>
          <w:sz w:val="20"/>
        </w:rPr>
        <w:t xml:space="preserve">; </w:t>
      </w:r>
      <w:r w:rsidR="00956222" w:rsidRPr="00986720">
        <w:rPr>
          <w:rFonts w:ascii="Arial" w:hAnsi="Arial" w:cs="Arial"/>
          <w:i/>
          <w:color w:val="000000"/>
          <w:sz w:val="20"/>
        </w:rPr>
        <w:t xml:space="preserve">Hamidi v KAB </w:t>
      </w:r>
      <w:r w:rsidR="00956222" w:rsidRPr="002C7A51">
        <w:rPr>
          <w:rFonts w:ascii="Arial" w:hAnsi="Arial" w:cs="Arial"/>
          <w:i/>
          <w:color w:val="000000"/>
          <w:sz w:val="20"/>
          <w:szCs w:val="20"/>
        </w:rPr>
        <w:t>Seating Pty Ltd</w:t>
      </w:r>
      <w:r w:rsidR="00956222" w:rsidRPr="002C7A51">
        <w:rPr>
          <w:rFonts w:ascii="Arial" w:hAnsi="Arial" w:cs="Arial"/>
          <w:color w:val="000000"/>
          <w:sz w:val="20"/>
          <w:szCs w:val="20"/>
        </w:rPr>
        <w:t xml:space="preserve"> [2007] VSCA 151 at [32] per Ashley JA</w:t>
      </w:r>
      <w:r w:rsidR="008F4302" w:rsidRPr="002C7A51">
        <w:rPr>
          <w:rFonts w:ascii="Arial" w:hAnsi="Arial" w:cs="Arial"/>
          <w:color w:val="000000"/>
          <w:sz w:val="20"/>
          <w:szCs w:val="20"/>
        </w:rPr>
        <w:t xml:space="preserve">; </w:t>
      </w:r>
      <w:r w:rsidR="008F4302" w:rsidRPr="002C7A51">
        <w:rPr>
          <w:rFonts w:ascii="Arial" w:hAnsi="Arial" w:cs="Arial"/>
          <w:i/>
          <w:color w:val="000000"/>
          <w:sz w:val="20"/>
          <w:szCs w:val="20"/>
        </w:rPr>
        <w:t xml:space="preserve">Collins v Nave &amp; Ors </w:t>
      </w:r>
      <w:r w:rsidR="008F4302" w:rsidRPr="002C7A51">
        <w:rPr>
          <w:rFonts w:ascii="Arial" w:hAnsi="Arial" w:cs="Arial"/>
          <w:color w:val="000000"/>
          <w:sz w:val="20"/>
          <w:szCs w:val="20"/>
        </w:rPr>
        <w:t>[2008] VSC 85 at [31]-[34]</w:t>
      </w:r>
      <w:r w:rsidR="00716457" w:rsidRPr="002C7A51">
        <w:rPr>
          <w:rFonts w:ascii="Arial" w:hAnsi="Arial" w:cs="Arial"/>
          <w:color w:val="000000"/>
          <w:sz w:val="20"/>
          <w:szCs w:val="20"/>
        </w:rPr>
        <w:t xml:space="preserve">; </w:t>
      </w:r>
      <w:r w:rsidR="00716457" w:rsidRPr="002C7A51">
        <w:rPr>
          <w:rFonts w:ascii="Arial" w:hAnsi="Arial" w:cs="Arial"/>
          <w:i/>
          <w:color w:val="000000"/>
          <w:sz w:val="20"/>
          <w:szCs w:val="20"/>
        </w:rPr>
        <w:t>BR v VOCAT</w:t>
      </w:r>
      <w:r w:rsidR="00716457" w:rsidRPr="002C7A51">
        <w:rPr>
          <w:rFonts w:ascii="Arial" w:hAnsi="Arial" w:cs="Arial"/>
          <w:color w:val="000000"/>
          <w:sz w:val="20"/>
          <w:szCs w:val="20"/>
        </w:rPr>
        <w:t xml:space="preserve"> [2009] VSC 152 at [25]-[36] per Kaye J</w:t>
      </w:r>
      <w:r w:rsidR="004C2D7E" w:rsidRPr="002C7A51">
        <w:rPr>
          <w:rFonts w:ascii="Arial" w:hAnsi="Arial" w:cs="Arial"/>
          <w:color w:val="000000"/>
          <w:sz w:val="20"/>
          <w:szCs w:val="20"/>
        </w:rPr>
        <w:t xml:space="preserve">; </w:t>
      </w:r>
      <w:r w:rsidR="004C2D7E" w:rsidRPr="002C7A51">
        <w:rPr>
          <w:rFonts w:ascii="Arial" w:hAnsi="Arial" w:cs="Arial"/>
          <w:i/>
          <w:color w:val="000000"/>
          <w:sz w:val="20"/>
          <w:szCs w:val="20"/>
        </w:rPr>
        <w:t xml:space="preserve">Dimatos v Coombe &amp; Ors </w:t>
      </w:r>
      <w:r w:rsidR="004C2D7E" w:rsidRPr="002C7A51">
        <w:rPr>
          <w:rFonts w:ascii="Arial" w:hAnsi="Arial" w:cs="Arial"/>
          <w:color w:val="000000"/>
          <w:sz w:val="20"/>
          <w:szCs w:val="20"/>
        </w:rPr>
        <w:t>[2011] VSC 619 at [20]-[25] per Beach J</w:t>
      </w:r>
      <w:r w:rsidR="007A7235" w:rsidRPr="002C7A51">
        <w:rPr>
          <w:rFonts w:ascii="Arial" w:hAnsi="Arial" w:cs="Arial"/>
          <w:color w:val="000000"/>
          <w:sz w:val="20"/>
          <w:szCs w:val="20"/>
        </w:rPr>
        <w:t xml:space="preserve">; </w:t>
      </w:r>
      <w:r w:rsidR="007A7235" w:rsidRPr="002C7A51">
        <w:rPr>
          <w:rFonts w:ascii="Arial" w:hAnsi="Arial" w:cs="Arial"/>
          <w:i/>
          <w:color w:val="000000"/>
          <w:sz w:val="20"/>
          <w:szCs w:val="20"/>
        </w:rPr>
        <w:t>Ta v Thompson &amp; Anor</w:t>
      </w:r>
      <w:r w:rsidR="007A7235" w:rsidRPr="002C7A51">
        <w:rPr>
          <w:rFonts w:ascii="Arial" w:hAnsi="Arial" w:cs="Arial"/>
          <w:color w:val="000000"/>
          <w:sz w:val="20"/>
          <w:szCs w:val="20"/>
        </w:rPr>
        <w:t xml:space="preserve"> [2012] VSC 446 per Whelan J</w:t>
      </w:r>
      <w:r w:rsidR="009360E7" w:rsidRPr="002C7A51">
        <w:rPr>
          <w:rFonts w:ascii="Arial" w:hAnsi="Arial" w:cs="Arial"/>
          <w:color w:val="FF0000"/>
          <w:sz w:val="20"/>
          <w:szCs w:val="20"/>
        </w:rPr>
        <w:t>;</w:t>
      </w:r>
      <w:r w:rsidR="009360E7" w:rsidRPr="002C7A51">
        <w:rPr>
          <w:rFonts w:ascii="Arial" w:hAnsi="Arial" w:cs="Arial"/>
          <w:color w:val="000000"/>
          <w:sz w:val="20"/>
          <w:szCs w:val="20"/>
        </w:rPr>
        <w:t xml:space="preserve"> </w:t>
      </w:r>
      <w:r w:rsidR="009360E7" w:rsidRPr="002C7A51">
        <w:rPr>
          <w:rFonts w:ascii="Arial" w:hAnsi="Arial" w:cs="Arial"/>
          <w:i/>
          <w:color w:val="000000"/>
          <w:sz w:val="20"/>
          <w:szCs w:val="20"/>
        </w:rPr>
        <w:t>Helou v Shaya</w:t>
      </w:r>
      <w:r w:rsidR="009360E7" w:rsidRPr="002C7A51">
        <w:rPr>
          <w:rFonts w:ascii="Arial" w:hAnsi="Arial" w:cs="Arial"/>
          <w:color w:val="000000"/>
          <w:sz w:val="20"/>
          <w:szCs w:val="20"/>
        </w:rPr>
        <w:t xml:space="preserve"> [2013] VSC 297 at [23]-[27] per Beach J:</w:t>
      </w:r>
      <w:r w:rsidR="009F312C" w:rsidRPr="002C7A51">
        <w:rPr>
          <w:rFonts w:ascii="Arial" w:hAnsi="Arial" w:cs="Arial"/>
          <w:color w:val="000000"/>
          <w:sz w:val="20"/>
          <w:szCs w:val="20"/>
        </w:rPr>
        <w:t xml:space="preserve"> </w:t>
      </w:r>
      <w:r w:rsidR="009F312C" w:rsidRPr="002C7A51">
        <w:rPr>
          <w:rFonts w:ascii="Arial" w:hAnsi="Arial" w:cs="Arial"/>
          <w:i/>
          <w:color w:val="000000"/>
          <w:sz w:val="20"/>
          <w:szCs w:val="20"/>
        </w:rPr>
        <w:t>LG v Melbourne Health</w:t>
      </w:r>
      <w:r w:rsidR="009F312C" w:rsidRPr="002C7A51">
        <w:rPr>
          <w:rFonts w:ascii="Arial" w:hAnsi="Arial" w:cs="Arial"/>
          <w:color w:val="000000"/>
          <w:sz w:val="20"/>
          <w:szCs w:val="20"/>
        </w:rPr>
        <w:t xml:space="preserve"> [2019] VSC 183 at [42]-[54] per Richards J</w:t>
      </w:r>
      <w:r w:rsidR="00E32EC1" w:rsidRPr="002C7A51">
        <w:rPr>
          <w:rFonts w:ascii="Arial" w:hAnsi="Arial" w:cs="Arial"/>
          <w:color w:val="000000"/>
          <w:sz w:val="20"/>
          <w:szCs w:val="20"/>
        </w:rPr>
        <w:t xml:space="preserve">; </w:t>
      </w:r>
      <w:r w:rsidR="00E32EC1" w:rsidRPr="002C7A51">
        <w:rPr>
          <w:rFonts w:ascii="Arial" w:hAnsi="Arial" w:cs="Arial"/>
          <w:i/>
          <w:iCs/>
          <w:color w:val="000000"/>
          <w:sz w:val="20"/>
          <w:szCs w:val="20"/>
        </w:rPr>
        <w:t>Ata Dundar v. Yucel Bas (trading as Bas Brothers Marble and Granite) &amp; Ors</w:t>
      </w:r>
      <w:r w:rsidR="00E32EC1" w:rsidRPr="002C7A51">
        <w:rPr>
          <w:rFonts w:ascii="Arial" w:hAnsi="Arial" w:cs="Arial"/>
          <w:color w:val="000000"/>
          <w:sz w:val="20"/>
          <w:szCs w:val="20"/>
        </w:rPr>
        <w:t xml:space="preserve"> [2019] VSCA 315 at [44]-[73</w:t>
      </w:r>
      <w:r w:rsidR="00046CCA" w:rsidRPr="002C7A51">
        <w:rPr>
          <w:rFonts w:ascii="Arial" w:hAnsi="Arial" w:cs="Arial"/>
          <w:color w:val="000000"/>
          <w:sz w:val="20"/>
          <w:szCs w:val="20"/>
        </w:rPr>
        <w:t xml:space="preserve">]; </w:t>
      </w:r>
      <w:r w:rsidR="00046CCA" w:rsidRPr="002C7A51">
        <w:rPr>
          <w:rFonts w:ascii="Arial" w:hAnsi="Arial" w:cs="Arial"/>
          <w:i/>
          <w:iCs/>
          <w:color w:val="000000"/>
          <w:sz w:val="20"/>
          <w:szCs w:val="20"/>
        </w:rPr>
        <w:t>Celsius Fire Services Pty Ltd v Magistrates’ Court of Victoria &amp; anor</w:t>
      </w:r>
      <w:r w:rsidR="00046CCA" w:rsidRPr="002C7A51">
        <w:rPr>
          <w:rFonts w:ascii="Arial" w:hAnsi="Arial" w:cs="Arial"/>
          <w:color w:val="000000"/>
          <w:sz w:val="20"/>
          <w:szCs w:val="20"/>
        </w:rPr>
        <w:t xml:space="preserve"> [2019] VSC 835 at [25]-[35]</w:t>
      </w:r>
      <w:r w:rsidR="00411410" w:rsidRPr="002C7A51">
        <w:rPr>
          <w:rFonts w:ascii="Arial" w:hAnsi="Arial" w:cs="Arial"/>
          <w:color w:val="000000"/>
          <w:sz w:val="20"/>
          <w:szCs w:val="20"/>
        </w:rPr>
        <w:t xml:space="preserve">; </w:t>
      </w:r>
      <w:r w:rsidR="00411410" w:rsidRPr="002C7A51">
        <w:rPr>
          <w:rFonts w:ascii="Arial" w:hAnsi="Arial" w:cs="Arial"/>
          <w:i/>
          <w:iCs/>
          <w:color w:val="000000"/>
          <w:sz w:val="20"/>
          <w:szCs w:val="20"/>
        </w:rPr>
        <w:t>Makeham v Sheppard</w:t>
      </w:r>
      <w:r w:rsidR="00411410" w:rsidRPr="002C7A51">
        <w:rPr>
          <w:rFonts w:ascii="Arial" w:hAnsi="Arial" w:cs="Arial"/>
          <w:color w:val="000000"/>
          <w:sz w:val="20"/>
          <w:szCs w:val="20"/>
        </w:rPr>
        <w:t xml:space="preserve"> [2020] VSCA 242</w:t>
      </w:r>
      <w:r w:rsidR="004B4C42" w:rsidRPr="002C7A51">
        <w:rPr>
          <w:rFonts w:ascii="Arial" w:hAnsi="Arial" w:cs="Arial"/>
          <w:color w:val="000000"/>
          <w:sz w:val="20"/>
          <w:szCs w:val="20"/>
        </w:rPr>
        <w:t>;</w:t>
      </w:r>
      <w:r w:rsidR="004B4C42" w:rsidRPr="002C7A51">
        <w:rPr>
          <w:rFonts w:ascii="Arial" w:hAnsi="Arial" w:cs="Arial"/>
          <w:i/>
          <w:iCs/>
          <w:sz w:val="20"/>
          <w:szCs w:val="20"/>
        </w:rPr>
        <w:t xml:space="preserve"> A &amp; L Windows Pty Ltd v Yildrim &amp; Ors</w:t>
      </w:r>
      <w:r w:rsidR="004B4C42" w:rsidRPr="002C7A51">
        <w:rPr>
          <w:rFonts w:ascii="Arial" w:hAnsi="Arial" w:cs="Arial"/>
          <w:color w:val="000000"/>
          <w:sz w:val="20"/>
          <w:szCs w:val="20"/>
        </w:rPr>
        <w:t xml:space="preserve"> [2022] VSCA 46 at [29]-[44]</w:t>
      </w:r>
      <w:r w:rsidR="002C7A51" w:rsidRPr="002C7A51">
        <w:rPr>
          <w:rFonts w:ascii="Arial" w:hAnsi="Arial" w:cs="Arial"/>
          <w:color w:val="000000"/>
          <w:sz w:val="20"/>
          <w:szCs w:val="20"/>
        </w:rPr>
        <w:t xml:space="preserve">; </w:t>
      </w:r>
      <w:r w:rsidR="002C7A51" w:rsidRPr="002C7A51">
        <w:rPr>
          <w:rFonts w:ascii="Arial" w:hAnsi="Arial" w:cs="Arial"/>
          <w:i/>
          <w:iCs/>
          <w:color w:val="000000"/>
          <w:sz w:val="20"/>
          <w:szCs w:val="20"/>
        </w:rPr>
        <w:t>AB v Paulet</w:t>
      </w:r>
      <w:r w:rsidR="002C7A51" w:rsidRPr="002C7A51">
        <w:rPr>
          <w:rFonts w:ascii="Arial" w:hAnsi="Arial" w:cs="Arial"/>
          <w:color w:val="000000"/>
          <w:sz w:val="20"/>
          <w:szCs w:val="20"/>
        </w:rPr>
        <w:t xml:space="preserve"> [2022] VSC 414</w:t>
      </w:r>
      <w:r w:rsidR="00883414">
        <w:rPr>
          <w:rFonts w:ascii="Arial" w:hAnsi="Arial" w:cs="Arial"/>
          <w:color w:val="000000"/>
          <w:sz w:val="20"/>
          <w:szCs w:val="20"/>
        </w:rPr>
        <w:t xml:space="preserve">; </w:t>
      </w:r>
      <w:r w:rsidR="00883414" w:rsidRPr="00883414">
        <w:rPr>
          <w:rFonts w:ascii="Arial" w:hAnsi="Arial" w:cs="Arial"/>
          <w:i/>
          <w:iCs/>
          <w:color w:val="000000"/>
          <w:sz w:val="20"/>
          <w:szCs w:val="20"/>
        </w:rPr>
        <w:t>Salmon-Urbani v The Queen</w:t>
      </w:r>
      <w:r w:rsidR="00883414">
        <w:rPr>
          <w:rFonts w:ascii="Arial" w:hAnsi="Arial" w:cs="Arial"/>
          <w:color w:val="000000"/>
          <w:sz w:val="20"/>
          <w:szCs w:val="20"/>
        </w:rPr>
        <w:t xml:space="preserve"> [2022] VSCA 170</w:t>
      </w:r>
      <w:r w:rsidR="00E55ACE">
        <w:rPr>
          <w:rFonts w:ascii="Arial" w:hAnsi="Arial" w:cs="Arial"/>
          <w:color w:val="000000"/>
          <w:sz w:val="20"/>
          <w:szCs w:val="20"/>
        </w:rPr>
        <w:t xml:space="preserve">; </w:t>
      </w:r>
      <w:r w:rsidR="00E55ACE" w:rsidRPr="00E55ACE">
        <w:rPr>
          <w:rFonts w:ascii="Arial" w:hAnsi="Arial" w:cs="Arial"/>
          <w:i/>
          <w:iCs/>
          <w:sz w:val="20"/>
        </w:rPr>
        <w:t>Ah Fook v Transport Accident Commission</w:t>
      </w:r>
      <w:r w:rsidR="00E55ACE">
        <w:rPr>
          <w:rFonts w:ascii="Arial" w:hAnsi="Arial" w:cs="Arial"/>
          <w:sz w:val="20"/>
        </w:rPr>
        <w:t xml:space="preserve"> [2022] VSCA 199 at [67]-[72]</w:t>
      </w:r>
      <w:r w:rsidR="00DD7439">
        <w:rPr>
          <w:rFonts w:ascii="Arial" w:hAnsi="Arial" w:cs="Arial"/>
          <w:sz w:val="20"/>
        </w:rPr>
        <w:t xml:space="preserve">; </w:t>
      </w:r>
      <w:r w:rsidR="00DD7439" w:rsidRPr="00286C7D">
        <w:rPr>
          <w:rFonts w:ascii="Arial" w:hAnsi="Arial" w:cs="Arial"/>
          <w:i/>
          <w:iCs/>
          <w:sz w:val="20"/>
        </w:rPr>
        <w:t>Griffiths v Nillumbik Shire Council</w:t>
      </w:r>
      <w:r w:rsidR="00DD7439">
        <w:rPr>
          <w:rFonts w:ascii="Arial" w:hAnsi="Arial" w:cs="Arial"/>
          <w:sz w:val="20"/>
        </w:rPr>
        <w:t xml:space="preserve"> [2022] VSCA 212 at [115]-[118]</w:t>
      </w:r>
      <w:r w:rsidR="00BD62A1">
        <w:rPr>
          <w:rFonts w:ascii="Arial" w:hAnsi="Arial" w:cs="Arial"/>
          <w:sz w:val="20"/>
        </w:rPr>
        <w:t xml:space="preserve">; </w:t>
      </w:r>
      <w:r w:rsidR="00BD62A1" w:rsidRPr="00BD62A1">
        <w:rPr>
          <w:rFonts w:ascii="Arial" w:hAnsi="Arial" w:cs="Arial"/>
          <w:i/>
          <w:iCs/>
          <w:sz w:val="20"/>
          <w:szCs w:val="20"/>
        </w:rPr>
        <w:t>Cotton On Group Services Pty Ltd v Monica Golowka</w:t>
      </w:r>
      <w:r w:rsidR="00BD62A1" w:rsidRPr="00BD62A1">
        <w:rPr>
          <w:rFonts w:ascii="Arial" w:hAnsi="Arial" w:cs="Arial"/>
          <w:sz w:val="20"/>
          <w:szCs w:val="20"/>
        </w:rPr>
        <w:t xml:space="preserve"> [2022] VSCA </w:t>
      </w:r>
      <w:r w:rsidR="00BD62A1" w:rsidRPr="002F04DC">
        <w:rPr>
          <w:rFonts w:ascii="Arial" w:hAnsi="Arial" w:cs="Arial"/>
          <w:sz w:val="20"/>
          <w:szCs w:val="20"/>
        </w:rPr>
        <w:t>279 at [173]-[174].</w:t>
      </w:r>
      <w:r w:rsidR="00DD7439" w:rsidRPr="002F04DC">
        <w:rPr>
          <w:rFonts w:ascii="Arial" w:hAnsi="Arial" w:cs="Arial"/>
          <w:sz w:val="20"/>
          <w:szCs w:val="20"/>
        </w:rPr>
        <w:t xml:space="preserve"> </w:t>
      </w:r>
      <w:r w:rsidR="002F04DC" w:rsidRPr="002F04DC">
        <w:rPr>
          <w:rFonts w:ascii="Arial" w:hAnsi="Arial" w:cs="Arial"/>
          <w:i/>
          <w:iCs/>
          <w:sz w:val="20"/>
          <w:szCs w:val="20"/>
        </w:rPr>
        <w:t>Hu v Commissioner of the Australian Federal Police</w:t>
      </w:r>
      <w:r w:rsidR="002F04DC" w:rsidRPr="002F04DC">
        <w:rPr>
          <w:rFonts w:ascii="Arial" w:hAnsi="Arial" w:cs="Arial"/>
          <w:sz w:val="20"/>
          <w:szCs w:val="20"/>
        </w:rPr>
        <w:t xml:space="preserve"> [2023] VSCA 32 at [98]-[118]</w:t>
      </w:r>
      <w:r w:rsidR="00275880">
        <w:rPr>
          <w:rFonts w:ascii="Arial" w:hAnsi="Arial" w:cs="Arial"/>
          <w:sz w:val="20"/>
          <w:szCs w:val="20"/>
        </w:rPr>
        <w:t xml:space="preserve">; </w:t>
      </w:r>
      <w:r w:rsidR="00275880" w:rsidRPr="00275880">
        <w:rPr>
          <w:rFonts w:ascii="Arial" w:hAnsi="Arial" w:cs="Arial"/>
          <w:i/>
          <w:iCs/>
          <w:sz w:val="20"/>
          <w:szCs w:val="20"/>
        </w:rPr>
        <w:t>Grujovska v Dr Caroline Brand &amp; Ors</w:t>
      </w:r>
      <w:r w:rsidR="00275880">
        <w:rPr>
          <w:rFonts w:ascii="Arial" w:hAnsi="Arial" w:cs="Arial"/>
          <w:sz w:val="20"/>
          <w:szCs w:val="20"/>
        </w:rPr>
        <w:t xml:space="preserve"> [2023] VSCA 59 at [25]-[29]</w:t>
      </w:r>
      <w:r w:rsidR="008B7437">
        <w:rPr>
          <w:rFonts w:ascii="Arial" w:hAnsi="Arial" w:cs="Arial"/>
          <w:sz w:val="20"/>
          <w:szCs w:val="20"/>
        </w:rPr>
        <w:t xml:space="preserve">; </w:t>
      </w:r>
      <w:r w:rsidR="008B7437" w:rsidRPr="008B7437">
        <w:rPr>
          <w:rFonts w:ascii="Arial" w:hAnsi="Arial" w:cs="Arial"/>
          <w:i/>
          <w:iCs/>
          <w:sz w:val="20"/>
          <w:szCs w:val="20"/>
        </w:rPr>
        <w:t>Chief Commissioner of Police v Zammit</w:t>
      </w:r>
      <w:r w:rsidR="008B7437">
        <w:rPr>
          <w:rFonts w:ascii="Arial" w:hAnsi="Arial" w:cs="Arial"/>
          <w:sz w:val="20"/>
          <w:szCs w:val="20"/>
        </w:rPr>
        <w:t xml:space="preserve"> [2023] VSC 635 at [100]-[107]</w:t>
      </w:r>
      <w:r w:rsidR="003E2745" w:rsidRPr="002C7A51">
        <w:rPr>
          <w:rFonts w:ascii="Arial" w:hAnsi="Arial" w:cs="Arial"/>
          <w:color w:val="000000"/>
          <w:sz w:val="20"/>
          <w:szCs w:val="20"/>
        </w:rPr>
        <w:t xml:space="preserve">; </w:t>
      </w:r>
      <w:r w:rsidR="003E2745" w:rsidRPr="002C7A51">
        <w:rPr>
          <w:rFonts w:ascii="Arial" w:hAnsi="Arial" w:cs="Arial"/>
          <w:i/>
          <w:color w:val="000000"/>
          <w:sz w:val="20"/>
          <w:szCs w:val="20"/>
        </w:rPr>
        <w:t>Gray v Brimbank City Council</w:t>
      </w:r>
      <w:r w:rsidR="003E2745" w:rsidRPr="002C7A51">
        <w:rPr>
          <w:rFonts w:ascii="Arial" w:hAnsi="Arial" w:cs="Arial"/>
          <w:color w:val="000000"/>
          <w:sz w:val="20"/>
          <w:szCs w:val="20"/>
        </w:rPr>
        <w:t xml:space="preserve"> [2014] VSC 13 at [35]-[56] per Rush J</w:t>
      </w:r>
      <w:r w:rsidR="009E33DE">
        <w:rPr>
          <w:rFonts w:ascii="Arial" w:hAnsi="Arial" w:cs="Arial"/>
          <w:color w:val="000000"/>
          <w:sz w:val="20"/>
          <w:szCs w:val="20"/>
        </w:rPr>
        <w:t xml:space="preserve">; </w:t>
      </w:r>
      <w:r w:rsidR="009E33DE" w:rsidRPr="009E33DE">
        <w:rPr>
          <w:rFonts w:ascii="Arial" w:hAnsi="Arial" w:cs="Arial"/>
          <w:i/>
          <w:iCs/>
          <w:color w:val="000000"/>
          <w:sz w:val="20"/>
          <w:szCs w:val="20"/>
        </w:rPr>
        <w:t>Re Kordos</w:t>
      </w:r>
      <w:r w:rsidR="009E33DE">
        <w:rPr>
          <w:rFonts w:ascii="Arial" w:hAnsi="Arial" w:cs="Arial"/>
          <w:color w:val="000000"/>
          <w:sz w:val="20"/>
          <w:szCs w:val="20"/>
        </w:rPr>
        <w:t xml:space="preserve"> [2024] VSCA 84 at [45]-[48]</w:t>
      </w:r>
      <w:r w:rsidR="00AA09C8">
        <w:rPr>
          <w:rFonts w:ascii="Arial" w:hAnsi="Arial" w:cs="Arial"/>
          <w:color w:val="000000"/>
          <w:sz w:val="20"/>
          <w:szCs w:val="20"/>
        </w:rPr>
        <w:t xml:space="preserve">; </w:t>
      </w:r>
      <w:bookmarkStart w:id="1012" w:name="_Hlk174425321"/>
      <w:r w:rsidR="00AA09C8" w:rsidRPr="00AA09C8">
        <w:rPr>
          <w:rFonts w:ascii="Arial" w:hAnsi="Arial" w:cs="Arial"/>
          <w:i/>
          <w:iCs/>
          <w:color w:val="000000"/>
          <w:sz w:val="20"/>
          <w:szCs w:val="20"/>
        </w:rPr>
        <w:t>McKechnie v State of Victoria</w:t>
      </w:r>
      <w:r w:rsidR="00AA09C8">
        <w:rPr>
          <w:rFonts w:ascii="Arial" w:hAnsi="Arial" w:cs="Arial"/>
          <w:color w:val="000000"/>
          <w:sz w:val="20"/>
          <w:szCs w:val="20"/>
        </w:rPr>
        <w:t xml:space="preserve"> [2024] VSCA 171 at [17]</w:t>
      </w:r>
      <w:r w:rsidR="00AA09C8">
        <w:rPr>
          <w:rFonts w:ascii="Arial" w:hAnsi="Arial" w:cs="Arial"/>
          <w:color w:val="000000"/>
          <w:sz w:val="20"/>
          <w:szCs w:val="20"/>
        </w:rPr>
        <w:noBreakHyphen/>
        <w:t>[23]</w:t>
      </w:r>
      <w:r w:rsidR="001A085A">
        <w:rPr>
          <w:rFonts w:ascii="Arial" w:hAnsi="Arial" w:cs="Arial"/>
          <w:color w:val="000000"/>
          <w:sz w:val="20"/>
          <w:szCs w:val="20"/>
        </w:rPr>
        <w:t xml:space="preserve">; </w:t>
      </w:r>
      <w:r w:rsidR="001A085A" w:rsidRPr="005549E2">
        <w:rPr>
          <w:rFonts w:ascii="Arial" w:hAnsi="Arial" w:cs="Arial"/>
          <w:i/>
          <w:iCs/>
          <w:sz w:val="20"/>
        </w:rPr>
        <w:t>Chief Commissioner of Police v Crupi</w:t>
      </w:r>
      <w:r w:rsidR="001A085A">
        <w:rPr>
          <w:rFonts w:ascii="Arial" w:hAnsi="Arial" w:cs="Arial"/>
          <w:sz w:val="20"/>
        </w:rPr>
        <w:t xml:space="preserve"> [2024] HCA 34 at [15]-[19] &amp; [24]</w:t>
      </w:r>
      <w:bookmarkEnd w:id="1012"/>
      <w:r w:rsidR="000B6310">
        <w:rPr>
          <w:rFonts w:ascii="Arial" w:hAnsi="Arial" w:cs="Arial"/>
          <w:sz w:val="20"/>
          <w:szCs w:val="20"/>
        </w:rPr>
        <w:t xml:space="preserve">; </w:t>
      </w:r>
      <w:r w:rsidR="000B6310" w:rsidRPr="000B6310">
        <w:rPr>
          <w:rFonts w:ascii="Arial" w:hAnsi="Arial" w:cs="Arial"/>
          <w:i/>
          <w:iCs/>
          <w:sz w:val="20"/>
          <w:szCs w:val="20"/>
        </w:rPr>
        <w:t>Jurd</w:t>
      </w:r>
      <w:r w:rsidR="000B6310">
        <w:rPr>
          <w:rFonts w:ascii="Arial" w:hAnsi="Arial" w:cs="Arial"/>
          <w:i/>
          <w:iCs/>
          <w:sz w:val="20"/>
          <w:szCs w:val="20"/>
        </w:rPr>
        <w:t xml:space="preserve"> v The King</w:t>
      </w:r>
      <w:r w:rsidR="000B6310">
        <w:rPr>
          <w:rFonts w:ascii="Arial" w:hAnsi="Arial" w:cs="Arial"/>
          <w:sz w:val="20"/>
          <w:szCs w:val="20"/>
        </w:rPr>
        <w:t xml:space="preserve"> [2024] VSCA 224 at [50]-[65]</w:t>
      </w:r>
      <w:r w:rsidR="007B602B">
        <w:rPr>
          <w:rFonts w:ascii="Arial" w:hAnsi="Arial" w:cs="Arial"/>
          <w:sz w:val="20"/>
          <w:szCs w:val="20"/>
        </w:rPr>
        <w:t xml:space="preserve">; </w:t>
      </w:r>
      <w:r w:rsidR="007B602B" w:rsidRPr="007B602B">
        <w:rPr>
          <w:rFonts w:ascii="Arial" w:hAnsi="Arial" w:cs="Arial"/>
          <w:i/>
          <w:iCs/>
          <w:color w:val="000000"/>
          <w:sz w:val="20"/>
        </w:rPr>
        <w:t>Cassim v Dahaby &amp; Anor</w:t>
      </w:r>
      <w:r w:rsidR="007B602B" w:rsidRPr="007B602B">
        <w:rPr>
          <w:rFonts w:ascii="Arial" w:hAnsi="Arial" w:cs="Arial"/>
          <w:color w:val="000000"/>
          <w:sz w:val="20"/>
        </w:rPr>
        <w:t xml:space="preserve"> [2025] VSC 26</w:t>
      </w:r>
      <w:r w:rsidR="007B602B">
        <w:rPr>
          <w:rFonts w:ascii="Arial" w:hAnsi="Arial" w:cs="Arial"/>
          <w:color w:val="000000"/>
          <w:sz w:val="20"/>
        </w:rPr>
        <w:t xml:space="preserve"> at [62]-[13</w:t>
      </w:r>
      <w:r w:rsidR="00974565">
        <w:rPr>
          <w:rFonts w:ascii="Arial" w:hAnsi="Arial" w:cs="Arial"/>
          <w:color w:val="000000"/>
          <w:sz w:val="20"/>
        </w:rPr>
        <w:t>5</w:t>
      </w:r>
      <w:r w:rsidR="007B602B">
        <w:rPr>
          <w:rFonts w:ascii="Arial" w:hAnsi="Arial" w:cs="Arial"/>
          <w:color w:val="000000"/>
          <w:sz w:val="20"/>
        </w:rPr>
        <w:t>]</w:t>
      </w:r>
      <w:r w:rsidR="008E7307">
        <w:rPr>
          <w:rFonts w:ascii="Arial" w:hAnsi="Arial" w:cs="Arial"/>
          <w:color w:val="000000"/>
          <w:sz w:val="20"/>
        </w:rPr>
        <w:t xml:space="preserve">; </w:t>
      </w:r>
      <w:r w:rsidR="008E7307" w:rsidRPr="008E7307">
        <w:rPr>
          <w:rFonts w:ascii="Arial" w:hAnsi="Arial" w:cs="Arial"/>
          <w:i/>
          <w:iCs/>
          <w:color w:val="000000"/>
          <w:sz w:val="20"/>
        </w:rPr>
        <w:t>McKechnie v Evans (final judgment)</w:t>
      </w:r>
      <w:r w:rsidR="008E7307" w:rsidRPr="008E7307">
        <w:rPr>
          <w:rFonts w:ascii="Arial" w:hAnsi="Arial" w:cs="Arial"/>
          <w:color w:val="000000"/>
          <w:sz w:val="20"/>
        </w:rPr>
        <w:t xml:space="preserve"> [2026] VSC 34</w:t>
      </w:r>
      <w:r w:rsidR="008E7307">
        <w:rPr>
          <w:rFonts w:ascii="Arial" w:hAnsi="Arial" w:cs="Arial"/>
          <w:color w:val="000000"/>
          <w:sz w:val="20"/>
        </w:rPr>
        <w:t>.</w:t>
      </w:r>
    </w:p>
    <w:p w14:paraId="341C99E2" w14:textId="77777777" w:rsidR="00974565" w:rsidRPr="007B602B" w:rsidRDefault="00974565">
      <w:pPr>
        <w:jc w:val="both"/>
        <w:rPr>
          <w:rFonts w:ascii="Arial" w:hAnsi="Arial" w:cs="Arial"/>
          <w:color w:val="000000"/>
          <w:sz w:val="20"/>
          <w:szCs w:val="20"/>
        </w:rPr>
      </w:pPr>
    </w:p>
    <w:p w14:paraId="275DA200" w14:textId="397D4977" w:rsidR="00F942F2" w:rsidRDefault="00F942F2">
      <w:pPr>
        <w:jc w:val="both"/>
        <w:rPr>
          <w:rFonts w:ascii="Arial" w:hAnsi="Arial" w:cs="Arial"/>
          <w:color w:val="000000"/>
          <w:sz w:val="20"/>
        </w:rPr>
      </w:pPr>
      <w:r>
        <w:rPr>
          <w:rFonts w:ascii="Arial" w:hAnsi="Arial" w:cs="Arial"/>
          <w:color w:val="000000"/>
          <w:sz w:val="20"/>
        </w:rPr>
        <w:t>The following papers contain useful discussion about the provision of reasons by judicial officers:</w:t>
      </w:r>
    </w:p>
    <w:p w14:paraId="3414F551" w14:textId="4C25F4A6" w:rsidR="00F942F2" w:rsidRDefault="00F942F2" w:rsidP="00F942F2">
      <w:pPr>
        <w:pStyle w:val="ListParagraph"/>
        <w:numPr>
          <w:ilvl w:val="0"/>
          <w:numId w:val="79"/>
        </w:numPr>
        <w:ind w:left="357" w:hanging="357"/>
        <w:jc w:val="both"/>
        <w:rPr>
          <w:rFonts w:ascii="Arial" w:hAnsi="Arial" w:cs="Arial"/>
          <w:color w:val="000000"/>
          <w:sz w:val="20"/>
        </w:rPr>
      </w:pPr>
      <w:r w:rsidRPr="002C7A51">
        <w:rPr>
          <w:rFonts w:ascii="Arial" w:hAnsi="Arial" w:cs="Arial"/>
          <w:color w:val="000000"/>
          <w:sz w:val="20"/>
        </w:rPr>
        <w:t>Kirby J: "Reasons for Judgment: Always Permissible, Usually Desirable and Often Obligatory" (1994) 12 Australian Bar Review 121</w:t>
      </w:r>
      <w:r>
        <w:rPr>
          <w:rFonts w:ascii="Arial" w:hAnsi="Arial" w:cs="Arial"/>
          <w:color w:val="000000"/>
          <w:sz w:val="20"/>
        </w:rPr>
        <w:t>;</w:t>
      </w:r>
    </w:p>
    <w:p w14:paraId="6C25852E" w14:textId="2A006D4A" w:rsidR="00F942F2" w:rsidRPr="00F942F2" w:rsidRDefault="00F942F2" w:rsidP="00F942F2">
      <w:pPr>
        <w:pStyle w:val="ListParagraph"/>
        <w:numPr>
          <w:ilvl w:val="0"/>
          <w:numId w:val="79"/>
        </w:numPr>
        <w:ind w:left="357" w:hanging="357"/>
        <w:jc w:val="both"/>
        <w:rPr>
          <w:rFonts w:ascii="Arial" w:hAnsi="Arial" w:cs="Arial"/>
          <w:color w:val="000000"/>
          <w:sz w:val="20"/>
        </w:rPr>
      </w:pPr>
      <w:r w:rsidRPr="00F942F2">
        <w:rPr>
          <w:rFonts w:ascii="Arial" w:hAnsi="Arial" w:cs="Arial"/>
          <w:color w:val="000000"/>
          <w:sz w:val="20"/>
        </w:rPr>
        <w:t>Weinberg J: “</w:t>
      </w:r>
      <w:r w:rsidRPr="00F942F2">
        <w:rPr>
          <w:rFonts w:ascii="Arial" w:hAnsi="Arial" w:cs="Arial"/>
          <w:sz w:val="20"/>
        </w:rPr>
        <w:t>Adequate, sufficient and excessive reasons” (Judicial College of Victoria, 4 March 2014)</w:t>
      </w:r>
      <w:r>
        <w:rPr>
          <w:rFonts w:ascii="Arial" w:hAnsi="Arial" w:cs="Arial"/>
          <w:sz w:val="20"/>
        </w:rPr>
        <w:t xml:space="preserve"> especially at [30]-[53]</w:t>
      </w:r>
      <w:r w:rsidRPr="00F942F2">
        <w:rPr>
          <w:rFonts w:ascii="Arial" w:hAnsi="Arial" w:cs="Arial"/>
          <w:sz w:val="20"/>
        </w:rPr>
        <w:t>.</w:t>
      </w:r>
    </w:p>
    <w:p w14:paraId="3BD62BAD" w14:textId="77777777" w:rsidR="00F942F2" w:rsidRPr="00986720" w:rsidRDefault="00F942F2">
      <w:pPr>
        <w:jc w:val="both"/>
        <w:rPr>
          <w:rFonts w:ascii="Arial" w:hAnsi="Arial" w:cs="Arial"/>
          <w:color w:val="000000"/>
          <w:sz w:val="20"/>
        </w:rPr>
      </w:pPr>
    </w:p>
    <w:p w14:paraId="24A80DC4" w14:textId="1D7939A8" w:rsidR="00757619" w:rsidRDefault="009E2AB9">
      <w:pPr>
        <w:jc w:val="both"/>
        <w:rPr>
          <w:rFonts w:ascii="Arial" w:hAnsi="Arial" w:cs="Arial"/>
          <w:sz w:val="20"/>
        </w:rPr>
      </w:pPr>
      <w:r w:rsidRPr="00986720">
        <w:rPr>
          <w:rFonts w:ascii="Arial" w:hAnsi="Arial" w:cs="Arial"/>
          <w:color w:val="000000"/>
          <w:sz w:val="20"/>
        </w:rPr>
        <w:t>Inordinate</w:t>
      </w:r>
      <w:r w:rsidR="00757619" w:rsidRPr="00986720">
        <w:rPr>
          <w:rFonts w:ascii="Arial" w:hAnsi="Arial" w:cs="Arial"/>
          <w:color w:val="000000"/>
          <w:sz w:val="20"/>
        </w:rPr>
        <w:t xml:space="preserve"> delay in providing a judgment may, in </w:t>
      </w:r>
      <w:r w:rsidR="00864915" w:rsidRPr="00986720">
        <w:rPr>
          <w:rFonts w:ascii="Arial" w:hAnsi="Arial" w:cs="Arial"/>
          <w:color w:val="000000"/>
          <w:sz w:val="20"/>
        </w:rPr>
        <w:t>very exceptional</w:t>
      </w:r>
      <w:r w:rsidR="00757619" w:rsidRPr="00986720">
        <w:rPr>
          <w:rFonts w:ascii="Arial" w:hAnsi="Arial" w:cs="Arial"/>
          <w:color w:val="000000"/>
          <w:sz w:val="20"/>
        </w:rPr>
        <w:t xml:space="preserve"> circumstances, vitiate a judgment.</w:t>
      </w:r>
      <w:r w:rsidR="00757619">
        <w:rPr>
          <w:rFonts w:ascii="Arial" w:hAnsi="Arial" w:cs="Arial"/>
          <w:sz w:val="20"/>
        </w:rPr>
        <w:t xml:space="preserve">  See </w:t>
      </w:r>
      <w:r w:rsidR="00757619" w:rsidRPr="00757619">
        <w:rPr>
          <w:rFonts w:ascii="Arial" w:hAnsi="Arial" w:cs="Arial"/>
          <w:i/>
          <w:sz w:val="20"/>
        </w:rPr>
        <w:t>Nais v Minister</w:t>
      </w:r>
      <w:r w:rsidR="00757619">
        <w:rPr>
          <w:rFonts w:ascii="Arial" w:hAnsi="Arial" w:cs="Arial"/>
          <w:sz w:val="20"/>
        </w:rPr>
        <w:t xml:space="preserve"> [2005] HCA 7</w:t>
      </w:r>
      <w:r w:rsidR="00864915">
        <w:rPr>
          <w:rFonts w:ascii="Arial" w:hAnsi="Arial" w:cs="Arial"/>
          <w:sz w:val="20"/>
        </w:rPr>
        <w:t>7</w:t>
      </w:r>
      <w:r w:rsidR="00E12660">
        <w:rPr>
          <w:rFonts w:ascii="Arial" w:hAnsi="Arial" w:cs="Arial"/>
          <w:sz w:val="20"/>
        </w:rPr>
        <w:t xml:space="preserve">; (2005) </w:t>
      </w:r>
      <w:r w:rsidR="00E12660" w:rsidRPr="00E12660">
        <w:rPr>
          <w:rFonts w:ascii="Arial" w:hAnsi="Arial" w:cs="Arial"/>
          <w:sz w:val="20"/>
        </w:rPr>
        <w:t>228 CLR 470</w:t>
      </w:r>
      <w:r w:rsidR="00864915">
        <w:rPr>
          <w:rFonts w:ascii="Arial" w:hAnsi="Arial" w:cs="Arial"/>
          <w:sz w:val="20"/>
        </w:rPr>
        <w:t xml:space="preserve"> [delay of </w:t>
      </w:r>
      <w:r w:rsidR="002B29D9">
        <w:rPr>
          <w:rFonts w:ascii="Arial" w:hAnsi="Arial" w:cs="Arial"/>
          <w:sz w:val="20"/>
        </w:rPr>
        <w:t>nearly</w:t>
      </w:r>
      <w:r w:rsidR="005A0688">
        <w:rPr>
          <w:rFonts w:ascii="Arial" w:hAnsi="Arial" w:cs="Arial"/>
          <w:sz w:val="20"/>
        </w:rPr>
        <w:t xml:space="preserve"> 5</w:t>
      </w:r>
      <w:r w:rsidR="00864915">
        <w:rPr>
          <w:rFonts w:ascii="Arial" w:hAnsi="Arial" w:cs="Arial"/>
          <w:sz w:val="20"/>
        </w:rPr>
        <w:t xml:space="preserve"> years].</w:t>
      </w:r>
    </w:p>
    <w:p w14:paraId="5E24E959" w14:textId="77777777" w:rsidR="00864915" w:rsidRDefault="00864915" w:rsidP="00864915">
      <w:pPr>
        <w:jc w:val="both"/>
        <w:rPr>
          <w:rFonts w:ascii="Arial" w:hAnsi="Arial" w:cs="Arial"/>
          <w:sz w:val="20"/>
        </w:rPr>
      </w:pPr>
    </w:p>
    <w:p w14:paraId="4918F0AB" w14:textId="4B297C6A"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Fletcher Construction Australia Ltd v Line Macfarlane &amp; Marshall Pty Ltd</w:t>
      </w:r>
      <w:r>
        <w:rPr>
          <w:rFonts w:ascii="Arial" w:hAnsi="Arial" w:cs="Arial"/>
          <w:sz w:val="20"/>
        </w:rPr>
        <w:t xml:space="preserve"> (2001) 4 VR 28; [2001] VSCA 167 the trial judge had provided draft reasons when pronouncing judgment and final reasons five weeks later which differed to some extent from the draft reasons. The Court of Appeal held</w:t>
      </w:r>
      <w:r w:rsidR="00F942F2">
        <w:rPr>
          <w:rFonts w:ascii="Arial" w:hAnsi="Arial" w:cs="Arial"/>
          <w:sz w:val="20"/>
        </w:rPr>
        <w:t>–</w:t>
      </w:r>
    </w:p>
    <w:p w14:paraId="5CD5BB31" w14:textId="77777777" w:rsidR="00B21DA4" w:rsidRDefault="00B21DA4" w:rsidP="00212E38">
      <w:pPr>
        <w:numPr>
          <w:ilvl w:val="0"/>
          <w:numId w:val="9"/>
        </w:numPr>
        <w:spacing w:before="80"/>
        <w:jc w:val="both"/>
        <w:rPr>
          <w:rFonts w:ascii="Arial" w:hAnsi="Arial" w:cs="Arial"/>
          <w:sz w:val="20"/>
        </w:rPr>
      </w:pPr>
      <w:r>
        <w:rPr>
          <w:rFonts w:ascii="Arial" w:hAnsi="Arial" w:cs="Arial"/>
          <w:sz w:val="20"/>
        </w:rPr>
        <w:t>It is "eminently desirable" that reasons generally be given at the same time as judgment is pronounced.  The reasons for this include:</w:t>
      </w:r>
    </w:p>
    <w:p w14:paraId="0E7B364C" w14:textId="77777777" w:rsidR="00B21DA4" w:rsidRDefault="00B21DA4">
      <w:pPr>
        <w:ind w:left="720" w:hanging="357"/>
        <w:jc w:val="both"/>
        <w:rPr>
          <w:rFonts w:ascii="Arial" w:hAnsi="Arial" w:cs="Arial"/>
          <w:sz w:val="20"/>
        </w:rPr>
      </w:pPr>
      <w:r>
        <w:rPr>
          <w:rFonts w:ascii="Arial" w:hAnsi="Arial" w:cs="Arial"/>
          <w:sz w:val="20"/>
        </w:rPr>
        <w:t>(1)</w:t>
      </w:r>
      <w:r>
        <w:rPr>
          <w:rFonts w:ascii="Arial" w:hAnsi="Arial" w:cs="Arial"/>
          <w:sz w:val="20"/>
        </w:rPr>
        <w:tab/>
        <w:t>The parties are entitled to a decision which is based on the reasoning process of the judge which has been concluded by the time the decision is pronounced.  The court should not reserve to itself the opportunity to mould reasons after the pronouncement of judgement, so as to make them appear consistent with the decision.  However that is not to say that a judge cannot review the reasons after they have been published.</w:t>
      </w:r>
    </w:p>
    <w:p w14:paraId="27DEBFE0" w14:textId="77777777" w:rsidR="00B21DA4" w:rsidRDefault="00B21DA4">
      <w:pPr>
        <w:ind w:left="720" w:hanging="357"/>
        <w:jc w:val="both"/>
        <w:rPr>
          <w:rFonts w:ascii="Arial" w:hAnsi="Arial" w:cs="Arial"/>
          <w:sz w:val="20"/>
        </w:rPr>
      </w:pPr>
      <w:r>
        <w:rPr>
          <w:rFonts w:ascii="Arial" w:hAnsi="Arial" w:cs="Arial"/>
          <w:sz w:val="20"/>
        </w:rPr>
        <w:t>(2)</w:t>
      </w:r>
      <w:r>
        <w:rPr>
          <w:rFonts w:ascii="Arial" w:hAnsi="Arial" w:cs="Arial"/>
          <w:sz w:val="20"/>
        </w:rPr>
        <w:tab/>
        <w:t>The unsuccessful party should be in a position to determine within the time constraints imposed by the rules whether to appeal against the decision.</w:t>
      </w:r>
    </w:p>
    <w:p w14:paraId="2773CC0B" w14:textId="77777777" w:rsidR="00B21DA4" w:rsidRDefault="00B21DA4">
      <w:pPr>
        <w:ind w:firstLine="363"/>
        <w:jc w:val="both"/>
        <w:rPr>
          <w:rFonts w:ascii="Arial" w:hAnsi="Arial" w:cs="Arial"/>
          <w:sz w:val="20"/>
        </w:rPr>
      </w:pPr>
      <w:r>
        <w:rPr>
          <w:rFonts w:ascii="Arial" w:hAnsi="Arial" w:cs="Arial"/>
          <w:sz w:val="20"/>
        </w:rPr>
        <w:t>See per Chernov JA at [31] &amp; Charles JA at [2].</w:t>
      </w:r>
    </w:p>
    <w:p w14:paraId="20678968" w14:textId="77777777" w:rsidR="00B21DA4" w:rsidRDefault="00B21DA4" w:rsidP="00212E38">
      <w:pPr>
        <w:numPr>
          <w:ilvl w:val="0"/>
          <w:numId w:val="9"/>
        </w:numPr>
        <w:spacing w:before="80"/>
        <w:jc w:val="both"/>
        <w:rPr>
          <w:rFonts w:ascii="Arial" w:hAnsi="Arial" w:cs="Arial"/>
          <w:sz w:val="20"/>
        </w:rPr>
      </w:pPr>
      <w:r>
        <w:rPr>
          <w:rFonts w:ascii="Arial" w:hAnsi="Arial" w:cs="Arial"/>
          <w:sz w:val="20"/>
        </w:rPr>
        <w:t xml:space="preserve">However there is no common law requirement that a judge of the Supreme Court must give reasons contemporaneously with pronouncing judgement.  Where the interests of justice required it, a court may properly pronounce judgment and give reasons for it later.  See per Chernov JA at [38] &amp; [40], citing with approval dicta of Mahoney JA in </w:t>
      </w:r>
      <w:r>
        <w:rPr>
          <w:rFonts w:ascii="Arial" w:hAnsi="Arial" w:cs="Arial"/>
          <w:i/>
          <w:iCs/>
          <w:sz w:val="20"/>
        </w:rPr>
        <w:t>Mulvena v Government Insurance Office of NSW</w:t>
      </w:r>
      <w:r>
        <w:rPr>
          <w:rFonts w:ascii="Arial" w:hAnsi="Arial" w:cs="Arial"/>
          <w:sz w:val="20"/>
        </w:rPr>
        <w:t xml:space="preserve"> [Court of Appeal NSW, unreported, 16/06/1992] at p.11.  Chernov JA added at [38]:</w:t>
      </w:r>
    </w:p>
    <w:p w14:paraId="3F0F123B" w14:textId="77777777" w:rsidR="00B21DA4" w:rsidRDefault="00B21DA4" w:rsidP="009462F3">
      <w:pPr>
        <w:ind w:left="737" w:right="454"/>
        <w:jc w:val="both"/>
        <w:rPr>
          <w:rFonts w:ascii="Arial" w:hAnsi="Arial" w:cs="Arial"/>
          <w:sz w:val="20"/>
        </w:rPr>
      </w:pPr>
      <w:r>
        <w:rPr>
          <w:rFonts w:ascii="Arial" w:hAnsi="Arial" w:cs="Arial"/>
          <w:sz w:val="20"/>
        </w:rPr>
        <w:t>"Judges are frequently requested to grant relief as a matter of urgency.  Many such applications raise difficult issues and call for complex reasons for the decision to grant or refuse the remedy sought.  If the court were to wait before making the appropriate orders in such applications until the reasons have been formulated to the point where they can be published, the delay may defeat the whole purpose of seeking the order in the first place.  It is not uncommon, therefore, in appropriate cases, for judges to grant the relief sought and to deliver reasons for it later.  That this is an accepted practice in civil and criminal cases is illustrated by reference to several randomly selected recent cases of the High Court and this Court".</w:t>
      </w:r>
    </w:p>
    <w:p w14:paraId="403B24CB" w14:textId="77777777" w:rsidR="00B21DA4" w:rsidRDefault="00B21DA4" w:rsidP="00212E38">
      <w:pPr>
        <w:numPr>
          <w:ilvl w:val="0"/>
          <w:numId w:val="9"/>
        </w:numPr>
        <w:spacing w:before="80"/>
        <w:jc w:val="both"/>
        <w:rPr>
          <w:rFonts w:ascii="Arial" w:hAnsi="Arial" w:cs="Arial"/>
          <w:sz w:val="20"/>
        </w:rPr>
      </w:pPr>
      <w:r>
        <w:rPr>
          <w:rFonts w:ascii="Arial" w:hAnsi="Arial" w:cs="Arial"/>
          <w:sz w:val="20"/>
        </w:rPr>
        <w:lastRenderedPageBreak/>
        <w:t xml:space="preserve">The trial judge was not </w:t>
      </w:r>
      <w:r>
        <w:rPr>
          <w:rFonts w:ascii="Arial" w:hAnsi="Arial" w:cs="Arial"/>
          <w:i/>
          <w:iCs/>
          <w:sz w:val="20"/>
        </w:rPr>
        <w:t>functus officio</w:t>
      </w:r>
      <w:r>
        <w:rPr>
          <w:rFonts w:ascii="Arial" w:hAnsi="Arial" w:cs="Arial"/>
          <w:sz w:val="20"/>
        </w:rPr>
        <w:t xml:space="preserve"> after pronouncement of judgment: see per Chernov JA at [43]-[45] and see paragraph 3.9 below.</w:t>
      </w:r>
    </w:p>
    <w:p w14:paraId="37FF64E6" w14:textId="77777777" w:rsidR="00B21DA4" w:rsidRDefault="00B21DA4">
      <w:pPr>
        <w:jc w:val="both"/>
        <w:rPr>
          <w:rFonts w:ascii="Arial" w:hAnsi="Arial" w:cs="Arial"/>
          <w:sz w:val="20"/>
        </w:rPr>
      </w:pPr>
    </w:p>
    <w:p w14:paraId="5BCEADA2"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Fletcher Construction Australia Ltd v Line Macfarlane &amp; Marshall Pty Ltd</w:t>
      </w:r>
      <w:r>
        <w:rPr>
          <w:rFonts w:ascii="Arial" w:hAnsi="Arial" w:cs="Arial"/>
          <w:sz w:val="20"/>
        </w:rPr>
        <w:t xml:space="preserve"> (2001) 4 VR 28; [2001] VSCA 167 the Court of Appeal also examined the extent to which judges of a superior court may properly alter reasons for judgment subsequent to them being given.  Chernov JA said at [49] that this</w:t>
      </w:r>
    </w:p>
    <w:p w14:paraId="22E81724" w14:textId="10ED9D55" w:rsidR="00B21DA4" w:rsidRDefault="00B21DA4" w:rsidP="009462F3">
      <w:pPr>
        <w:ind w:left="454" w:right="454"/>
        <w:jc w:val="both"/>
        <w:rPr>
          <w:rFonts w:ascii="Arial" w:hAnsi="Arial" w:cs="Arial"/>
          <w:sz w:val="20"/>
        </w:rPr>
      </w:pPr>
      <w:r>
        <w:rPr>
          <w:rFonts w:ascii="Arial" w:hAnsi="Arial" w:cs="Arial"/>
          <w:sz w:val="20"/>
        </w:rPr>
        <w:t xml:space="preserve">"may depend not only on whether the changes are sought to be made before or after judgment has been entered, but also on the nature and extent of the alterations.  A litigant is entitled to a decision that is based on reasons that have led the judge to that conclusion.  It would obviously impede the proper administration of justice and work unfairness to the parties if the judge could, at a later time, give different reasons for the decision which were crafted after judgment had been pronounced.  Thus, the courts limit the rights of a judge to change the reasons, but they do so consistently with the practical requirements of justice.  In the case of a superior court of record, judgment is not relevantly finalised until it is entered in the records of the court.  Hence, until that occurs, the judge can recall the order and the reasons and make a different order and give different reasons </w:t>
      </w:r>
      <w:r w:rsidR="00FD5F44" w:rsidRPr="00A31FFA">
        <w:rPr>
          <w:rFonts w:ascii="Arial" w:hAnsi="Arial" w:cs="Arial"/>
          <w:sz w:val="20"/>
        </w:rPr>
        <w:t>–</w:t>
      </w:r>
      <w:r>
        <w:rPr>
          <w:rFonts w:ascii="Arial" w:hAnsi="Arial" w:cs="Arial"/>
          <w:sz w:val="20"/>
        </w:rPr>
        <w:t xml:space="preserve"> </w:t>
      </w:r>
      <w:r>
        <w:rPr>
          <w:rFonts w:ascii="Arial" w:hAnsi="Arial" w:cs="Arial"/>
          <w:i/>
          <w:sz w:val="20"/>
        </w:rPr>
        <w:t xml:space="preserve">Smith v. Australia and New Zealand Banking Group Ltd. </w:t>
      </w:r>
      <w:r>
        <w:rPr>
          <w:rFonts w:ascii="Arial" w:hAnsi="Arial" w:cs="Arial"/>
          <w:iCs/>
          <w:sz w:val="20"/>
        </w:rPr>
        <w:t>[Supreme Court of NSW-Court of Appeal, unreported, 21/11/1996 per Priestley, Sheller &amp; Powell JJA]</w:t>
      </w:r>
      <w:r>
        <w:rPr>
          <w:rFonts w:ascii="Arial" w:hAnsi="Arial" w:cs="Arial"/>
          <w:i/>
          <w:sz w:val="20"/>
        </w:rPr>
        <w:t xml:space="preserve">; Sherpa v. Anderson </w:t>
      </w:r>
      <w:r>
        <w:rPr>
          <w:rFonts w:ascii="Arial" w:hAnsi="Arial" w:cs="Arial"/>
          <w:iCs/>
          <w:sz w:val="20"/>
        </w:rPr>
        <w:t>[Supreme Court of NSW, unreported, 14/10/1993 per Young J;</w:t>
      </w:r>
      <w:r>
        <w:rPr>
          <w:rFonts w:ascii="Arial" w:hAnsi="Arial" w:cs="Arial"/>
          <w:i/>
          <w:sz w:val="20"/>
        </w:rPr>
        <w:t xml:space="preserve"> Mulvena v GIO NSW </w:t>
      </w:r>
      <w:r>
        <w:rPr>
          <w:rFonts w:ascii="Arial" w:hAnsi="Arial" w:cs="Arial"/>
          <w:iCs/>
          <w:sz w:val="20"/>
        </w:rPr>
        <w:t>[see above]</w:t>
      </w:r>
      <w:r>
        <w:rPr>
          <w:rFonts w:ascii="Arial" w:hAnsi="Arial" w:cs="Arial"/>
          <w:i/>
          <w:sz w:val="20"/>
        </w:rPr>
        <w:t xml:space="preserve">; Re Harrison’s Shares Under a Settlement </w:t>
      </w:r>
      <w:r>
        <w:rPr>
          <w:rFonts w:ascii="Arial" w:hAnsi="Arial" w:cs="Arial"/>
          <w:iCs/>
          <w:sz w:val="20"/>
        </w:rPr>
        <w:t>[1955] Ch 260 at 284.</w:t>
      </w:r>
      <w:r>
        <w:rPr>
          <w:rFonts w:ascii="Arial" w:hAnsi="Arial" w:cs="Arial"/>
          <w:i/>
          <w:sz w:val="20"/>
        </w:rPr>
        <w:t>.</w:t>
      </w:r>
      <w:r>
        <w:rPr>
          <w:rFonts w:ascii="Arial" w:hAnsi="Arial" w:cs="Arial"/>
          <w:sz w:val="20"/>
        </w:rPr>
        <w:t xml:space="preserve">  But once judgment is perfected the judge cannot, in substance, re-write the given reasons so as to give different reasons for the decision or, in the words of Willmer, L.J. in </w:t>
      </w:r>
      <w:r>
        <w:rPr>
          <w:rFonts w:ascii="Arial" w:hAnsi="Arial" w:cs="Arial"/>
          <w:i/>
          <w:sz w:val="20"/>
        </w:rPr>
        <w:t xml:space="preserve">Bromley v. Bromley (No.2) </w:t>
      </w:r>
      <w:r>
        <w:rPr>
          <w:rFonts w:ascii="Arial" w:hAnsi="Arial" w:cs="Arial"/>
          <w:iCs/>
          <w:sz w:val="20"/>
        </w:rPr>
        <w:t>[1965] P 111 at 114</w:t>
      </w:r>
      <w:r>
        <w:rPr>
          <w:rFonts w:ascii="Arial" w:hAnsi="Arial" w:cs="Arial"/>
          <w:sz w:val="20"/>
        </w:rPr>
        <w:t xml:space="preserve">, “put a different complexion on the issue in dispute”.  In </w:t>
      </w:r>
      <w:r>
        <w:rPr>
          <w:rFonts w:ascii="Arial" w:hAnsi="Arial" w:cs="Arial"/>
          <w:i/>
          <w:sz w:val="20"/>
        </w:rPr>
        <w:t xml:space="preserve">Nakhla v. McCarthy </w:t>
      </w:r>
      <w:r>
        <w:rPr>
          <w:rFonts w:ascii="Arial" w:hAnsi="Arial" w:cs="Arial"/>
          <w:iCs/>
          <w:sz w:val="20"/>
        </w:rPr>
        <w:t xml:space="preserve">[1978] 1 NZLR 291 at 296 </w:t>
      </w:r>
      <w:r>
        <w:rPr>
          <w:rFonts w:ascii="Arial" w:hAnsi="Arial" w:cs="Arial"/>
          <w:sz w:val="20"/>
        </w:rPr>
        <w:t xml:space="preserve">Woodhouse, J. said that in general a judge cannot alter the reasons so as to modify or change the effect of the judgment once it has been perfected.  Similarly, in </w:t>
      </w:r>
      <w:r>
        <w:rPr>
          <w:rFonts w:ascii="Arial" w:hAnsi="Arial" w:cs="Arial"/>
          <w:i/>
          <w:sz w:val="20"/>
        </w:rPr>
        <w:t>Bank of Nova Scotia v. Province of Nova Scotia</w:t>
      </w:r>
      <w:r>
        <w:rPr>
          <w:rFonts w:ascii="Arial" w:hAnsi="Arial" w:cs="Arial"/>
          <w:sz w:val="20"/>
        </w:rPr>
        <w:t xml:space="preserve"> (1977) 23 NSR 357, the Nova Scotia Court of Appeal held that once judgment is entered, the substance of the reasons cannot be changed; if correction is needed it can only be made by a higher court."</w:t>
      </w:r>
    </w:p>
    <w:p w14:paraId="3CCC7A26" w14:textId="77777777" w:rsidR="00B21DA4" w:rsidRDefault="00B21DA4">
      <w:pPr>
        <w:rPr>
          <w:rFonts w:ascii="Arial" w:hAnsi="Arial" w:cs="Arial"/>
          <w:sz w:val="20"/>
        </w:rPr>
      </w:pPr>
    </w:p>
    <w:p w14:paraId="0B76D4E1" w14:textId="77777777" w:rsidR="00B21DA4" w:rsidRDefault="00B21DA4" w:rsidP="00815258">
      <w:pPr>
        <w:keepNext/>
        <w:keepLines/>
        <w:jc w:val="both"/>
        <w:rPr>
          <w:rFonts w:ascii="Arial" w:hAnsi="Arial" w:cs="Arial"/>
          <w:sz w:val="20"/>
        </w:rPr>
      </w:pPr>
      <w:r>
        <w:rPr>
          <w:rFonts w:ascii="Arial" w:hAnsi="Arial" w:cs="Arial"/>
          <w:sz w:val="20"/>
        </w:rPr>
        <w:t>For additional examples of cases where judicial alteration of reasons has been upheld see:</w:t>
      </w:r>
    </w:p>
    <w:p w14:paraId="68D183BE" w14:textId="4FDF2DFB" w:rsidR="00B21DA4" w:rsidRDefault="00B21DA4" w:rsidP="009462F3">
      <w:pPr>
        <w:numPr>
          <w:ilvl w:val="0"/>
          <w:numId w:val="9"/>
        </w:numPr>
        <w:tabs>
          <w:tab w:val="clear" w:pos="363"/>
          <w:tab w:val="num" w:pos="454"/>
        </w:tabs>
        <w:spacing w:before="60"/>
        <w:ind w:left="454" w:hanging="454"/>
        <w:jc w:val="both"/>
        <w:rPr>
          <w:rFonts w:ascii="Arial" w:hAnsi="Arial" w:cs="Arial"/>
          <w:sz w:val="20"/>
        </w:rPr>
      </w:pPr>
      <w:r>
        <w:rPr>
          <w:rFonts w:ascii="Arial" w:hAnsi="Arial" w:cs="Arial"/>
          <w:i/>
          <w:iCs/>
          <w:sz w:val="20"/>
        </w:rPr>
        <w:t>Bar Mordecai v Rotman</w:t>
      </w:r>
      <w:r>
        <w:rPr>
          <w:rFonts w:ascii="Arial" w:hAnsi="Arial" w:cs="Arial"/>
          <w:sz w:val="20"/>
        </w:rPr>
        <w:t xml:space="preserve"> [2000] NSWCA 123 at [93]-[95] per Sheller, Stein &amp; Giles JJA where it was held that </w:t>
      </w:r>
      <w:r>
        <w:rPr>
          <w:rFonts w:ascii="Arial" w:hAnsi="Arial" w:cs="Arial"/>
          <w:i/>
          <w:iCs/>
          <w:sz w:val="20"/>
        </w:rPr>
        <w:t>ex tempore</w:t>
      </w:r>
      <w:r>
        <w:rPr>
          <w:rFonts w:ascii="Arial" w:hAnsi="Arial" w:cs="Arial"/>
          <w:sz w:val="20"/>
        </w:rPr>
        <w:t xml:space="preserve"> reasons can be altered by a judge provided the substance of them is not changed, nor are the orders they sustain;</w:t>
      </w:r>
    </w:p>
    <w:p w14:paraId="4223E420" w14:textId="77777777" w:rsidR="009462F3" w:rsidRDefault="00067BE4" w:rsidP="009462F3">
      <w:pPr>
        <w:numPr>
          <w:ilvl w:val="0"/>
          <w:numId w:val="9"/>
        </w:numPr>
        <w:tabs>
          <w:tab w:val="clear" w:pos="363"/>
          <w:tab w:val="num" w:pos="454"/>
        </w:tabs>
        <w:spacing w:before="60"/>
        <w:ind w:left="454" w:hanging="454"/>
        <w:jc w:val="both"/>
        <w:rPr>
          <w:rFonts w:ascii="Arial" w:hAnsi="Arial" w:cs="Arial"/>
          <w:sz w:val="20"/>
        </w:rPr>
      </w:pPr>
      <w:r>
        <w:rPr>
          <w:rFonts w:ascii="Arial" w:hAnsi="Arial" w:cs="Arial"/>
          <w:i/>
          <w:iCs/>
          <w:sz w:val="20"/>
        </w:rPr>
        <w:t xml:space="preserve">Jay Moore (a pseudonym) v The King </w:t>
      </w:r>
      <w:r w:rsidRPr="00067BE4">
        <w:rPr>
          <w:rFonts w:ascii="Arial" w:hAnsi="Arial" w:cs="Arial"/>
          <w:sz w:val="20"/>
        </w:rPr>
        <w:t xml:space="preserve">[2022] VSCA </w:t>
      </w:r>
      <w:r>
        <w:rPr>
          <w:rFonts w:ascii="Arial" w:hAnsi="Arial" w:cs="Arial"/>
          <w:sz w:val="20"/>
        </w:rPr>
        <w:t xml:space="preserve">233 where at [14], citing </w:t>
      </w:r>
      <w:r w:rsidRPr="00067BE4">
        <w:rPr>
          <w:rFonts w:ascii="Arial" w:hAnsi="Arial" w:cs="Arial"/>
          <w:i/>
          <w:iCs/>
          <w:sz w:val="20"/>
          <w:szCs w:val="20"/>
        </w:rPr>
        <w:t>R v Lazarus</w:t>
      </w:r>
      <w:r w:rsidRPr="00067BE4">
        <w:rPr>
          <w:rFonts w:ascii="Arial" w:hAnsi="Arial" w:cs="Arial"/>
          <w:sz w:val="20"/>
          <w:szCs w:val="20"/>
        </w:rPr>
        <w:t xml:space="preserve"> (2017) 270 A Crim R 378, 402 [122]</w:t>
      </w:r>
      <w:proofErr w:type="gramStart"/>
      <w:r w:rsidRPr="00067BE4">
        <w:rPr>
          <w:rFonts w:ascii="Arial" w:hAnsi="Arial" w:cs="Arial"/>
          <w:sz w:val="20"/>
          <w:szCs w:val="20"/>
        </w:rPr>
        <w:t>–[</w:t>
      </w:r>
      <w:proofErr w:type="gramEnd"/>
      <w:r w:rsidRPr="00067BE4">
        <w:rPr>
          <w:rFonts w:ascii="Arial" w:hAnsi="Arial" w:cs="Arial"/>
          <w:sz w:val="20"/>
          <w:szCs w:val="20"/>
        </w:rPr>
        <w:t>124]</w:t>
      </w:r>
      <w:r>
        <w:rPr>
          <w:rFonts w:ascii="Arial" w:hAnsi="Arial" w:cs="Arial"/>
          <w:sz w:val="20"/>
          <w:szCs w:val="20"/>
        </w:rPr>
        <w:t>, Priest AP &amp; Niall JA said: “</w:t>
      </w:r>
      <w:r w:rsidRPr="00067BE4">
        <w:rPr>
          <w:rFonts w:ascii="Arial" w:hAnsi="Arial" w:cs="Arial"/>
          <w:sz w:val="20"/>
          <w:szCs w:val="20"/>
        </w:rPr>
        <w:t>A judge should be circumspect when revising a written version of reasons orally delivered. He or she must be extremely cautious when adding to, excising from, or otherwise changing, what is supposed to be the written embodiment of the judge’s oral reasons. Certainly a judge must not, in revising his or her reasons, effect any alteration in substance.</w:t>
      </w:r>
      <w:r>
        <w:rPr>
          <w:rFonts w:ascii="Arial" w:hAnsi="Arial" w:cs="Arial"/>
          <w:sz w:val="20"/>
          <w:szCs w:val="20"/>
        </w:rPr>
        <w:t>”</w:t>
      </w:r>
    </w:p>
    <w:p w14:paraId="1A64C670" w14:textId="77777777" w:rsidR="009462F3" w:rsidRDefault="00B21DA4" w:rsidP="009462F3">
      <w:pPr>
        <w:numPr>
          <w:ilvl w:val="0"/>
          <w:numId w:val="9"/>
        </w:numPr>
        <w:tabs>
          <w:tab w:val="clear" w:pos="363"/>
          <w:tab w:val="num" w:pos="454"/>
        </w:tabs>
        <w:spacing w:before="60"/>
        <w:ind w:left="454" w:hanging="454"/>
        <w:jc w:val="both"/>
        <w:rPr>
          <w:rFonts w:ascii="Arial" w:hAnsi="Arial" w:cs="Arial"/>
          <w:sz w:val="20"/>
        </w:rPr>
      </w:pPr>
      <w:r>
        <w:rPr>
          <w:rFonts w:ascii="Arial" w:hAnsi="Arial" w:cs="Arial"/>
          <w:i/>
          <w:sz w:val="20"/>
        </w:rPr>
        <w:t xml:space="preserve">Duke of Buccleuch v. Inland Revenue Commissioners </w:t>
      </w:r>
      <w:r>
        <w:rPr>
          <w:rFonts w:ascii="Arial" w:hAnsi="Arial" w:cs="Arial"/>
          <w:iCs/>
          <w:sz w:val="20"/>
        </w:rPr>
        <w:t xml:space="preserve">[1967] 1 AC 506 where Lord Reid &amp; Lord Guest did not question the correctness of the action of Sankey J in deleting in the version that was later published in the authorized reports [1918] 2 KB 735 a paragraph of his reasons in </w:t>
      </w:r>
      <w:r>
        <w:rPr>
          <w:rFonts w:ascii="Arial" w:hAnsi="Arial" w:cs="Arial"/>
          <w:i/>
          <w:sz w:val="20"/>
        </w:rPr>
        <w:t>Ellesmere (Earl of) v. Inland Revenue Commissioners,</w:t>
      </w:r>
      <w:r>
        <w:rPr>
          <w:rFonts w:ascii="Arial" w:hAnsi="Arial" w:cs="Arial"/>
          <w:sz w:val="20"/>
        </w:rPr>
        <w:t xml:space="preserve"> which had been published in the Law Times (119) LT 568.</w:t>
      </w:r>
    </w:p>
    <w:p w14:paraId="55C6D019" w14:textId="14E0ADA5" w:rsidR="00B21DA4" w:rsidRDefault="00B21DA4">
      <w:pPr>
        <w:rPr>
          <w:rFonts w:ascii="Arial" w:hAnsi="Arial" w:cs="Arial"/>
          <w:sz w:val="20"/>
        </w:rPr>
      </w:pPr>
    </w:p>
    <w:p w14:paraId="472A373B" w14:textId="17BE83B6" w:rsidR="00B21DA4" w:rsidRDefault="004A50B3">
      <w:pPr>
        <w:jc w:val="both"/>
        <w:rPr>
          <w:rFonts w:ascii="Arial" w:hAnsi="Arial" w:cs="Arial"/>
          <w:sz w:val="20"/>
        </w:rPr>
      </w:pPr>
      <w:r>
        <w:rPr>
          <w:rFonts w:ascii="Arial" w:hAnsi="Arial" w:cs="Arial"/>
          <w:sz w:val="20"/>
        </w:rPr>
        <w:t>F</w:t>
      </w:r>
      <w:r w:rsidR="00B21DA4">
        <w:rPr>
          <w:rFonts w:ascii="Arial" w:hAnsi="Arial" w:cs="Arial"/>
          <w:sz w:val="20"/>
        </w:rPr>
        <w:t xml:space="preserve">or examples of cases in which judicial officers have impermissibly changed the reasons for decision see </w:t>
      </w:r>
      <w:r w:rsidR="00B21DA4">
        <w:rPr>
          <w:rFonts w:ascii="Arial" w:hAnsi="Arial" w:cs="Arial"/>
          <w:i/>
          <w:iCs/>
          <w:sz w:val="20"/>
        </w:rPr>
        <w:t>Lam v Beesley</w:t>
      </w:r>
      <w:r w:rsidR="00B21DA4">
        <w:rPr>
          <w:rFonts w:ascii="Arial" w:hAnsi="Arial" w:cs="Arial"/>
          <w:sz w:val="20"/>
        </w:rPr>
        <w:t xml:space="preserve"> (1992) 7 WAR 88 at 92,94-5; </w:t>
      </w:r>
      <w:r w:rsidR="00B21DA4">
        <w:rPr>
          <w:rFonts w:ascii="Arial" w:hAnsi="Arial" w:cs="Arial"/>
          <w:i/>
          <w:iCs/>
          <w:sz w:val="20"/>
        </w:rPr>
        <w:t>Todorovic v Moussa</w:t>
      </w:r>
      <w:r w:rsidR="00B21DA4">
        <w:rPr>
          <w:rFonts w:ascii="Arial" w:hAnsi="Arial" w:cs="Arial"/>
          <w:sz w:val="20"/>
        </w:rPr>
        <w:t xml:space="preserve"> [Supreme Court NSW-Court of Appeal, unreported, 09/04/2001 per Powell &amp; Heydon JJA </w:t>
      </w:r>
      <w:r w:rsidR="00FD5F44" w:rsidRPr="00A31FFA">
        <w:rPr>
          <w:rFonts w:ascii="Arial" w:hAnsi="Arial" w:cs="Arial"/>
          <w:sz w:val="20"/>
        </w:rPr>
        <w:t>–</w:t>
      </w:r>
      <w:r w:rsidR="00B21DA4">
        <w:rPr>
          <w:rFonts w:ascii="Arial" w:hAnsi="Arial" w:cs="Arial"/>
          <w:sz w:val="20"/>
        </w:rPr>
        <w:t xml:space="preserve"> see note in (2001) 75 ALJ 476].</w:t>
      </w:r>
    </w:p>
    <w:p w14:paraId="3995BEB5" w14:textId="77777777" w:rsidR="00B21DA4" w:rsidRDefault="00B21DA4">
      <w:pPr>
        <w:rPr>
          <w:rFonts w:ascii="Arial" w:hAnsi="Arial" w:cs="Arial"/>
          <w:sz w:val="20"/>
        </w:rPr>
      </w:pPr>
    </w:p>
    <w:p w14:paraId="40C1EB4A" w14:textId="77777777" w:rsidR="00CD48BB" w:rsidRDefault="00CD48BB" w:rsidP="00CD48BB">
      <w:pPr>
        <w:jc w:val="both"/>
        <w:rPr>
          <w:rFonts w:ascii="Arial" w:hAnsi="Arial" w:cs="Arial"/>
          <w:sz w:val="20"/>
        </w:rPr>
      </w:pPr>
      <w:r>
        <w:rPr>
          <w:rFonts w:ascii="Arial" w:hAnsi="Arial" w:cs="Arial"/>
          <w:sz w:val="20"/>
        </w:rPr>
        <w:t xml:space="preserve">In </w:t>
      </w:r>
      <w:r w:rsidRPr="00CD48BB">
        <w:rPr>
          <w:rFonts w:ascii="Arial" w:hAnsi="Arial" w:cs="Arial"/>
          <w:i/>
          <w:sz w:val="20"/>
        </w:rPr>
        <w:t>Esso Australia Pty Ltd v Robinson</w:t>
      </w:r>
      <w:r>
        <w:rPr>
          <w:rFonts w:ascii="Arial" w:hAnsi="Arial" w:cs="Arial"/>
          <w:sz w:val="20"/>
        </w:rPr>
        <w:t xml:space="preserve"> [2005] VSCA 138 Cummins J had orally ordered the appellant to pay the respondent compensation of $100,000 and had given brief reasons.  Some time later he prepared full reasons and his associate e-mailed them to the parties.  At [9] the Court of Appeal disapproved the practice of </w:t>
      </w:r>
      <w:r w:rsidR="00840F82">
        <w:rPr>
          <w:rFonts w:ascii="Arial" w:hAnsi="Arial" w:cs="Arial"/>
          <w:sz w:val="20"/>
        </w:rPr>
        <w:t xml:space="preserve">a court </w:t>
      </w:r>
      <w:r>
        <w:rPr>
          <w:rFonts w:ascii="Arial" w:hAnsi="Arial" w:cs="Arial"/>
          <w:sz w:val="20"/>
        </w:rPr>
        <w:t>e-mailing or posting written reasons to the parties without also delivering</w:t>
      </w:r>
      <w:r w:rsidR="00840F82">
        <w:rPr>
          <w:rFonts w:ascii="Arial" w:hAnsi="Arial" w:cs="Arial"/>
          <w:sz w:val="20"/>
        </w:rPr>
        <w:t xml:space="preserve"> them in open court:</w:t>
      </w:r>
    </w:p>
    <w:p w14:paraId="6A6C3EF0" w14:textId="77777777" w:rsidR="00CD48BB" w:rsidRDefault="00CD48BB" w:rsidP="009462F3">
      <w:pPr>
        <w:spacing w:before="60"/>
        <w:ind w:left="454" w:right="454"/>
        <w:jc w:val="both"/>
        <w:rPr>
          <w:rFonts w:ascii="Arial" w:hAnsi="Arial" w:cs="Arial"/>
          <w:sz w:val="20"/>
        </w:rPr>
      </w:pPr>
      <w:r>
        <w:rPr>
          <w:rFonts w:ascii="Arial" w:hAnsi="Arial" w:cs="Arial"/>
          <w:sz w:val="20"/>
        </w:rPr>
        <w:t>“</w:t>
      </w:r>
      <w:r w:rsidR="00840F82" w:rsidRPr="00840F82">
        <w:rPr>
          <w:rFonts w:ascii="Arial" w:hAnsi="Arial" w:cs="Arial"/>
          <w:sz w:val="20"/>
          <w:szCs w:val="20"/>
        </w:rPr>
        <w:t xml:space="preserve">It must be clearly understood that the Supreme Court of </w:t>
      </w:r>
      <w:smartTag w:uri="urn:schemas-microsoft-com:office:smarttags" w:element="place">
        <w:smartTag w:uri="urn:schemas-microsoft-com:office:smarttags" w:element="State">
          <w:r w:rsidR="00840F82" w:rsidRPr="00840F82">
            <w:rPr>
              <w:rFonts w:ascii="Arial" w:hAnsi="Arial" w:cs="Arial"/>
              <w:sz w:val="20"/>
              <w:szCs w:val="20"/>
            </w:rPr>
            <w:t>Victoria</w:t>
          </w:r>
        </w:smartTag>
      </w:smartTag>
      <w:r w:rsidR="00840F82" w:rsidRPr="00840F82">
        <w:rPr>
          <w:rFonts w:ascii="Arial" w:hAnsi="Arial" w:cs="Arial"/>
          <w:sz w:val="20"/>
          <w:szCs w:val="20"/>
        </w:rPr>
        <w:t xml:space="preserve">, save in certain exceptional and well-known cases, sits in public for the hearing </w:t>
      </w:r>
      <w:r w:rsidR="00840F82" w:rsidRPr="00840F82">
        <w:rPr>
          <w:rFonts w:ascii="Arial" w:hAnsi="Arial" w:cs="Arial"/>
          <w:i/>
          <w:sz w:val="20"/>
          <w:szCs w:val="20"/>
        </w:rPr>
        <w:t xml:space="preserve">and determination </w:t>
      </w:r>
      <w:r w:rsidR="00840F82" w:rsidRPr="00840F82">
        <w:rPr>
          <w:rFonts w:ascii="Arial" w:hAnsi="Arial" w:cs="Arial"/>
          <w:sz w:val="20"/>
          <w:szCs w:val="20"/>
        </w:rPr>
        <w:t>of proceedings.  That means that judgment is delivered in open court even if it be by the handing to the Associate of the court’s written reasons and even though they may be available on the Internet very soon thereafter.  Members of the public are entitled to be present in court to hear judgment being given and to obtain a copy of the reasons</w:t>
      </w:r>
      <w:r w:rsidR="00840F82">
        <w:rPr>
          <w:rFonts w:ascii="Arial" w:hAnsi="Arial" w:cs="Arial"/>
          <w:sz w:val="20"/>
          <w:szCs w:val="20"/>
        </w:rPr>
        <w:t xml:space="preserve">: </w:t>
      </w:r>
      <w:r w:rsidR="00840F82">
        <w:rPr>
          <w:rFonts w:ascii="Arial" w:hAnsi="Arial" w:cs="Arial"/>
          <w:i/>
          <w:iCs/>
          <w:sz w:val="20"/>
        </w:rPr>
        <w:t>Fletcher Construction Australia Ltd v Line Macfarlane &amp; Marshall Pty Ltd</w:t>
      </w:r>
      <w:r w:rsidR="00840F82">
        <w:rPr>
          <w:rFonts w:ascii="Arial" w:hAnsi="Arial" w:cs="Arial"/>
          <w:sz w:val="20"/>
        </w:rPr>
        <w:t xml:space="preserve"> (2001) 4 VR 28 at 41-42; [2001] VSCA </w:t>
      </w:r>
      <w:proofErr w:type="gramStart"/>
      <w:r w:rsidR="00840F82">
        <w:rPr>
          <w:rFonts w:ascii="Arial" w:hAnsi="Arial" w:cs="Arial"/>
          <w:sz w:val="20"/>
        </w:rPr>
        <w:t>167</w:t>
      </w:r>
      <w:r w:rsidR="00840F82">
        <w:rPr>
          <w:rFonts w:ascii="Arial" w:hAnsi="Arial" w:cs="Arial"/>
          <w:sz w:val="20"/>
          <w:szCs w:val="20"/>
        </w:rPr>
        <w:t xml:space="preserve">  at</w:t>
      </w:r>
      <w:proofErr w:type="gramEnd"/>
      <w:r w:rsidR="00840F82">
        <w:rPr>
          <w:rFonts w:ascii="Arial" w:hAnsi="Arial" w:cs="Arial"/>
          <w:sz w:val="20"/>
          <w:szCs w:val="20"/>
        </w:rPr>
        <w:t xml:space="preserve"> [35]</w:t>
      </w:r>
      <w:r w:rsidR="00840F82" w:rsidRPr="00840F82">
        <w:rPr>
          <w:rFonts w:ascii="Arial" w:hAnsi="Arial" w:cs="Arial"/>
          <w:sz w:val="20"/>
          <w:szCs w:val="20"/>
        </w:rPr>
        <w:t>.</w:t>
      </w:r>
      <w:r w:rsidR="00840F82">
        <w:rPr>
          <w:rFonts w:ascii="Arial" w:hAnsi="Arial" w:cs="Arial"/>
          <w:sz w:val="20"/>
          <w:szCs w:val="20"/>
        </w:rPr>
        <w:t xml:space="preserve"> </w:t>
      </w:r>
      <w:r w:rsidR="00840F82" w:rsidRPr="00840F82">
        <w:rPr>
          <w:rFonts w:ascii="Arial" w:hAnsi="Arial" w:cs="Arial"/>
          <w:sz w:val="20"/>
          <w:szCs w:val="20"/>
        </w:rPr>
        <w:t xml:space="preserve"> Other instances of the posting or e-mailing by judges of their written reasons have come to this </w:t>
      </w:r>
      <w:r w:rsidR="00840F82" w:rsidRPr="00840F82">
        <w:rPr>
          <w:rFonts w:ascii="Arial" w:hAnsi="Arial" w:cs="Arial"/>
          <w:sz w:val="20"/>
          <w:szCs w:val="20"/>
        </w:rPr>
        <w:lastRenderedPageBreak/>
        <w:t xml:space="preserve">Court’s notice.  Tribunals may be authorised to do that, but the practice should be entirely discountenanced for a court.  The foregoing observations do not apply to the making of consent directions in busy managed lists.  About any such practice we say nothing, though it might be possible for the judge to read out or hand down any </w:t>
      </w:r>
      <w:r w:rsidR="00840F82">
        <w:rPr>
          <w:rFonts w:ascii="Arial" w:hAnsi="Arial" w:cs="Arial"/>
          <w:sz w:val="20"/>
          <w:szCs w:val="20"/>
        </w:rPr>
        <w:t>such directions in open court.”</w:t>
      </w:r>
    </w:p>
    <w:p w14:paraId="3B39D943" w14:textId="77777777" w:rsidR="00912923" w:rsidRDefault="00912923" w:rsidP="00912923">
      <w:pPr>
        <w:jc w:val="both"/>
        <w:rPr>
          <w:rFonts w:ascii="Arial" w:hAnsi="Arial" w:cs="Arial"/>
          <w:sz w:val="20"/>
        </w:rPr>
      </w:pPr>
      <w:bookmarkStart w:id="1013" w:name="_Toc58831516"/>
    </w:p>
    <w:p w14:paraId="3316ADF3" w14:textId="1AA74543" w:rsidR="002E3FD0" w:rsidRDefault="002E3FD0" w:rsidP="002E3FD0">
      <w:pPr>
        <w:pStyle w:val="Heading3"/>
        <w:keepNext/>
        <w:keepLines/>
        <w:spacing w:after="120" w:line="240" w:lineRule="auto"/>
        <w:rPr>
          <w:rFonts w:ascii="Arial" w:hAnsi="Arial" w:cs="Arial"/>
          <w:b/>
          <w:bCs/>
          <w:sz w:val="20"/>
        </w:rPr>
      </w:pPr>
      <w:bookmarkStart w:id="1014" w:name="_3.7.4_Self-executing_orders"/>
      <w:bookmarkEnd w:id="1014"/>
      <w:r>
        <w:rPr>
          <w:rFonts w:ascii="Arial" w:hAnsi="Arial" w:cs="Arial"/>
          <w:b/>
          <w:bCs/>
          <w:sz w:val="20"/>
        </w:rPr>
        <w:t>3.7.4</w:t>
      </w:r>
      <w:r>
        <w:rPr>
          <w:rFonts w:ascii="Arial" w:hAnsi="Arial" w:cs="Arial"/>
          <w:b/>
          <w:bCs/>
          <w:sz w:val="20"/>
        </w:rPr>
        <w:tab/>
        <w:t>Self-executing orders</w:t>
      </w:r>
    </w:p>
    <w:p w14:paraId="445A47B0" w14:textId="7855FE53" w:rsidR="002E3FD0" w:rsidRDefault="002E3FD0" w:rsidP="00912923">
      <w:pPr>
        <w:jc w:val="both"/>
        <w:rPr>
          <w:rFonts w:ascii="Arial" w:hAnsi="Arial" w:cs="Arial"/>
          <w:sz w:val="20"/>
        </w:rPr>
      </w:pPr>
      <w:r>
        <w:rPr>
          <w:rFonts w:ascii="Arial" w:hAnsi="Arial" w:cs="Arial"/>
          <w:sz w:val="20"/>
        </w:rPr>
        <w:t xml:space="preserve">In </w:t>
      </w:r>
      <w:r w:rsidRPr="002E3FD0">
        <w:rPr>
          <w:rFonts w:ascii="Arial" w:hAnsi="Arial" w:cs="Arial"/>
          <w:i/>
          <w:iCs/>
          <w:sz w:val="20"/>
        </w:rPr>
        <w:t>Morris v Morris (No 2)</w:t>
      </w:r>
      <w:r>
        <w:rPr>
          <w:rFonts w:ascii="Arial" w:hAnsi="Arial" w:cs="Arial"/>
          <w:sz w:val="20"/>
        </w:rPr>
        <w:t xml:space="preserve"> [2026] VSC Moore J dismissed an appeal from a </w:t>
      </w:r>
      <w:r w:rsidRPr="002E3FD0">
        <w:rPr>
          <w:rFonts w:ascii="Arial" w:hAnsi="Arial" w:cs="Arial"/>
          <w:sz w:val="20"/>
        </w:rPr>
        <w:t xml:space="preserve">self-executing order of an Associate Justice </w:t>
      </w:r>
      <w:r w:rsidR="00634C08">
        <w:rPr>
          <w:rFonts w:ascii="Arial" w:hAnsi="Arial" w:cs="Arial"/>
          <w:sz w:val="20"/>
        </w:rPr>
        <w:t>dismissing the Plaintiff’s proceeding seeking</w:t>
      </w:r>
      <w:r w:rsidR="00634C08" w:rsidRPr="00634C08">
        <w:rPr>
          <w:rFonts w:ascii="Arial" w:hAnsi="Arial" w:cs="Arial"/>
          <w:sz w:val="20"/>
        </w:rPr>
        <w:t xml:space="preserve"> further provision from </w:t>
      </w:r>
      <w:r w:rsidR="00634C08">
        <w:rPr>
          <w:rFonts w:ascii="Arial" w:hAnsi="Arial" w:cs="Arial"/>
          <w:sz w:val="20"/>
        </w:rPr>
        <w:t>a</w:t>
      </w:r>
      <w:r w:rsidR="00634C08" w:rsidRPr="00634C08">
        <w:rPr>
          <w:rFonts w:ascii="Arial" w:hAnsi="Arial" w:cs="Arial"/>
          <w:sz w:val="20"/>
        </w:rPr>
        <w:t xml:space="preserve"> deceased’s estate under Part IV of the </w:t>
      </w:r>
      <w:r w:rsidR="00634C08" w:rsidRPr="00634C08">
        <w:rPr>
          <w:rFonts w:ascii="Arial" w:hAnsi="Arial" w:cs="Arial"/>
          <w:i/>
          <w:iCs/>
          <w:sz w:val="20"/>
        </w:rPr>
        <w:t>Administration and Probate Act 1958</w:t>
      </w:r>
      <w:r w:rsidR="00634C08">
        <w:rPr>
          <w:rFonts w:ascii="Arial" w:hAnsi="Arial" w:cs="Arial"/>
          <w:sz w:val="20"/>
        </w:rPr>
        <w:t>.</w:t>
      </w:r>
      <w:r w:rsidR="00F2207A">
        <w:rPr>
          <w:rFonts w:ascii="Arial" w:hAnsi="Arial" w:cs="Arial"/>
          <w:sz w:val="20"/>
        </w:rPr>
        <w:t xml:space="preserve"> </w:t>
      </w:r>
      <w:r w:rsidR="001C18EB">
        <w:rPr>
          <w:rFonts w:ascii="Arial" w:hAnsi="Arial" w:cs="Arial"/>
          <w:sz w:val="20"/>
        </w:rPr>
        <w:t>At [31]-[33] &amp; [36]-[38] Moore J discussed the Supreme Court’s inherent power to make self-executing orders and the principles which apply to applications to vary or set aside self-executing orders:</w:t>
      </w:r>
    </w:p>
    <w:p w14:paraId="5DBE1F10" w14:textId="051AC455" w:rsidR="00634C08" w:rsidRDefault="001C18EB" w:rsidP="001C18EB">
      <w:pPr>
        <w:spacing w:before="60"/>
        <w:ind w:left="454" w:right="454"/>
        <w:jc w:val="both"/>
        <w:rPr>
          <w:rFonts w:ascii="Arial" w:hAnsi="Arial" w:cs="Arial"/>
          <w:sz w:val="20"/>
        </w:rPr>
      </w:pPr>
      <w:r>
        <w:rPr>
          <w:rFonts w:ascii="Arial" w:hAnsi="Arial" w:cs="Arial"/>
          <w:sz w:val="20"/>
        </w:rPr>
        <w:t>[31] “</w:t>
      </w:r>
      <w:r w:rsidR="00634C08" w:rsidRPr="00634C08">
        <w:rPr>
          <w:rFonts w:ascii="Arial" w:hAnsi="Arial" w:cs="Arial"/>
          <w:sz w:val="20"/>
        </w:rPr>
        <w:t>Strictly speaking, paragraph 1 of the order made in Olivia’s Part IV proceeding on 19</w:t>
      </w:r>
      <w:r>
        <w:rPr>
          <w:rFonts w:ascii="Arial" w:hAnsi="Arial" w:cs="Arial"/>
          <w:sz w:val="20"/>
        </w:rPr>
        <w:t> </w:t>
      </w:r>
      <w:r w:rsidR="00634C08" w:rsidRPr="00634C08">
        <w:rPr>
          <w:rFonts w:ascii="Arial" w:hAnsi="Arial" w:cs="Arial"/>
          <w:sz w:val="20"/>
        </w:rPr>
        <w:t>November 2025 that ‘the proceeding is dismissed’ was unnecessary. The dismissal of the proceeding was the automatic consequence of paragraph 2 of the orders made on 6</w:t>
      </w:r>
      <w:r>
        <w:rPr>
          <w:rFonts w:ascii="Arial" w:hAnsi="Arial" w:cs="Arial"/>
          <w:sz w:val="20"/>
        </w:rPr>
        <w:t> </w:t>
      </w:r>
      <w:r w:rsidR="00634C08" w:rsidRPr="00634C08">
        <w:rPr>
          <w:rFonts w:ascii="Arial" w:hAnsi="Arial" w:cs="Arial"/>
          <w:sz w:val="20"/>
        </w:rPr>
        <w:t>November 2025 which provided that the proceeding ‘will be dismissed’ ‘[i]n the event that Olivia Morris fails to file a Notice of Trial as required by Order 1’. Order 1 required Olivia to file a Notice of Trial by 4pm on 13 November 2025. Incontrovertibly, that condition was not fulfilled. A document is filed in the Court when it is sealed by the Prothonotary or the Registrar, as the case requires</w:t>
      </w:r>
      <w:r>
        <w:rPr>
          <w:rFonts w:ascii="Arial" w:hAnsi="Arial" w:cs="Arial"/>
          <w:sz w:val="20"/>
        </w:rPr>
        <w:t xml:space="preserve">: </w:t>
      </w:r>
      <w:r w:rsidRPr="001C18EB">
        <w:rPr>
          <w:rFonts w:ascii="Arial" w:hAnsi="Arial" w:cs="Arial"/>
          <w:i/>
          <w:iCs/>
          <w:sz w:val="20"/>
        </w:rPr>
        <w:t>Supreme Court (General Civil Procedure) Rules 2025</w:t>
      </w:r>
      <w:r w:rsidRPr="00634C08">
        <w:rPr>
          <w:rFonts w:ascii="Arial" w:hAnsi="Arial" w:cs="Arial"/>
          <w:sz w:val="20"/>
        </w:rPr>
        <w:t xml:space="preserve"> (Vic) r 28.02(2)</w:t>
      </w:r>
      <w:r w:rsidR="00634C08" w:rsidRPr="00634C08">
        <w:rPr>
          <w:rFonts w:ascii="Arial" w:hAnsi="Arial" w:cs="Arial"/>
          <w:sz w:val="20"/>
        </w:rPr>
        <w:t>. The only Notice of Trial which Olivia has attempted to file in this proceeding was that which she attempted to file at 3:41 PM on 13 November 2025; that attempt was unsuccessful as the Notice of Trial was not then, or at any time, sealed by the Prothonotary or the Registrar.</w:t>
      </w:r>
    </w:p>
    <w:p w14:paraId="12647547" w14:textId="77777777" w:rsidR="001C18EB" w:rsidRDefault="001C18EB" w:rsidP="001C18EB">
      <w:pPr>
        <w:spacing w:before="60"/>
        <w:ind w:left="454" w:right="454"/>
        <w:jc w:val="both"/>
        <w:rPr>
          <w:rFonts w:ascii="Arial" w:hAnsi="Arial" w:cs="Arial"/>
          <w:sz w:val="20"/>
        </w:rPr>
      </w:pPr>
      <w:r>
        <w:rPr>
          <w:rFonts w:ascii="Arial" w:hAnsi="Arial" w:cs="Arial"/>
          <w:sz w:val="20"/>
        </w:rPr>
        <w:t>[32] I</w:t>
      </w:r>
      <w:r w:rsidR="00634C08" w:rsidRPr="00634C08">
        <w:rPr>
          <w:rFonts w:ascii="Arial" w:hAnsi="Arial" w:cs="Arial"/>
          <w:sz w:val="20"/>
        </w:rPr>
        <w:t xml:space="preserve">n the language of the Court of Appeal in </w:t>
      </w:r>
      <w:r w:rsidR="00634C08" w:rsidRPr="001C18EB">
        <w:rPr>
          <w:rFonts w:ascii="Arial" w:hAnsi="Arial" w:cs="Arial"/>
          <w:i/>
          <w:iCs/>
          <w:sz w:val="20"/>
        </w:rPr>
        <w:t>Jorgensen v Slater &amp; Gordon Pty Ltd</w:t>
      </w:r>
      <w:r>
        <w:rPr>
          <w:rFonts w:ascii="Arial" w:hAnsi="Arial" w:cs="Arial"/>
          <w:sz w:val="20"/>
        </w:rPr>
        <w:t xml:space="preserve"> [200] VSCA 110, [5],</w:t>
      </w:r>
      <w:r w:rsidR="00634C08" w:rsidRPr="00634C08">
        <w:rPr>
          <w:rFonts w:ascii="Arial" w:hAnsi="Arial" w:cs="Arial"/>
          <w:sz w:val="20"/>
        </w:rPr>
        <w:t xml:space="preserve"> paragraph 2 of the order of 6 November 2025, expressed in self-executing terms, operated of its own force and took effect automatically upon the expiration of the time fixed for compliance. Although paragraph 1 of the order made on 19 November 2025 was therefore strictly redundant, it served the practical purpose of formally recording the effect of Olivia’s non-compliance with the condition in paragraph 2 of the order made on 6 November 2025.</w:t>
      </w:r>
    </w:p>
    <w:p w14:paraId="20340D7C" w14:textId="5A2B823A" w:rsidR="001C18EB" w:rsidRDefault="001C18EB" w:rsidP="001C18EB">
      <w:pPr>
        <w:spacing w:before="60"/>
        <w:ind w:left="454" w:right="454"/>
        <w:jc w:val="both"/>
        <w:rPr>
          <w:rFonts w:ascii="Arial" w:hAnsi="Arial" w:cs="Arial"/>
          <w:sz w:val="20"/>
        </w:rPr>
      </w:pPr>
      <w:r>
        <w:rPr>
          <w:rFonts w:ascii="Arial" w:hAnsi="Arial" w:cs="Arial"/>
          <w:sz w:val="20"/>
        </w:rPr>
        <w:t xml:space="preserve">[33] </w:t>
      </w:r>
      <w:r w:rsidR="00634C08" w:rsidRPr="00634C08">
        <w:rPr>
          <w:rFonts w:ascii="Arial" w:hAnsi="Arial" w:cs="Arial"/>
          <w:sz w:val="20"/>
        </w:rPr>
        <w:t>Rule 24.05(b) of the Rules preserves the Court’s inherent power to make self-executing orders</w:t>
      </w:r>
      <w:r>
        <w:rPr>
          <w:rFonts w:ascii="Arial" w:hAnsi="Arial" w:cs="Arial"/>
          <w:sz w:val="20"/>
        </w:rPr>
        <w:t>:</w:t>
      </w:r>
    </w:p>
    <w:p w14:paraId="085F6CE9" w14:textId="1C3BD7D7" w:rsidR="001C18EB" w:rsidRDefault="001C18EB" w:rsidP="001C18EB">
      <w:pPr>
        <w:spacing w:before="60"/>
        <w:ind w:left="907" w:right="907"/>
        <w:jc w:val="both"/>
        <w:rPr>
          <w:rFonts w:ascii="Arial" w:hAnsi="Arial" w:cs="Arial"/>
          <w:sz w:val="20"/>
        </w:rPr>
      </w:pPr>
      <w:r>
        <w:rPr>
          <w:rFonts w:ascii="Arial" w:hAnsi="Arial" w:cs="Arial"/>
          <w:sz w:val="18"/>
          <w:szCs w:val="22"/>
        </w:rPr>
        <w:t>‘</w:t>
      </w:r>
      <w:r w:rsidRPr="001C18EB">
        <w:rPr>
          <w:rFonts w:ascii="Arial" w:hAnsi="Arial" w:cs="Arial"/>
          <w:sz w:val="18"/>
          <w:szCs w:val="22"/>
        </w:rPr>
        <w:t>Nothing in this Order affects the inherent power of the Court— to order that upon the failure of a party to do any act or take any step which under these Rules the party is required to do or take or to comply with an order that the party do any such act or take any such step the proceeding shall be dismissed or the defence struck out and that judgment may be entered or that there be judgment accordingly’.</w:t>
      </w:r>
    </w:p>
    <w:p w14:paraId="4E7701B8" w14:textId="3D1AFF48" w:rsidR="001C18EB" w:rsidRDefault="00634C08" w:rsidP="001C18EB">
      <w:pPr>
        <w:spacing w:before="60"/>
        <w:ind w:left="454" w:right="454"/>
        <w:jc w:val="both"/>
        <w:rPr>
          <w:rFonts w:ascii="Arial" w:hAnsi="Arial" w:cs="Arial"/>
          <w:sz w:val="20"/>
        </w:rPr>
      </w:pPr>
      <w:r w:rsidRPr="00634C08">
        <w:rPr>
          <w:rFonts w:ascii="Arial" w:hAnsi="Arial" w:cs="Arial"/>
          <w:sz w:val="20"/>
        </w:rPr>
        <w:t>Rule 24.06 provides the facility or means by which a litigant may set aside or vary such an order</w:t>
      </w:r>
      <w:r w:rsidR="001C18EB">
        <w:rPr>
          <w:rFonts w:ascii="Arial" w:hAnsi="Arial" w:cs="Arial"/>
          <w:sz w:val="20"/>
        </w:rPr>
        <w:t xml:space="preserve">; </w:t>
      </w:r>
      <w:r w:rsidR="001C18EB" w:rsidRPr="00634C08">
        <w:rPr>
          <w:rFonts w:ascii="Arial" w:hAnsi="Arial" w:cs="Arial"/>
          <w:sz w:val="20"/>
        </w:rPr>
        <w:t>it is the appropriate mechanism available to Olivia to challenge the self-executing order made on 6 November 2025</w:t>
      </w:r>
      <w:r w:rsidR="001C18EB">
        <w:rPr>
          <w:rFonts w:ascii="Arial" w:hAnsi="Arial" w:cs="Arial"/>
          <w:sz w:val="20"/>
        </w:rPr>
        <w:t>:</w:t>
      </w:r>
    </w:p>
    <w:p w14:paraId="067D09F4" w14:textId="0623AB5B" w:rsidR="00634C08" w:rsidRPr="004B00B0" w:rsidRDefault="001C18EB" w:rsidP="004B00B0">
      <w:pPr>
        <w:spacing w:before="60"/>
        <w:ind w:left="907" w:right="907"/>
        <w:jc w:val="both"/>
        <w:rPr>
          <w:rFonts w:ascii="Arial" w:hAnsi="Arial" w:cs="Arial"/>
          <w:sz w:val="18"/>
          <w:szCs w:val="22"/>
        </w:rPr>
      </w:pPr>
      <w:r w:rsidRPr="001C18EB">
        <w:rPr>
          <w:rFonts w:ascii="Arial" w:hAnsi="Arial" w:cs="Arial"/>
          <w:sz w:val="18"/>
          <w:szCs w:val="22"/>
        </w:rPr>
        <w:t>’The Court may set aside or vary— (a) an order under this Order or an order referred to in Rule 24.05; a judgment entered or given upon the failure of a party to do any act or take any step which under these Rules the party is required to do or take or to comply with an order that the party do any such act or take any such step’</w:t>
      </w:r>
      <w:r>
        <w:rPr>
          <w:rFonts w:ascii="Arial" w:hAnsi="Arial" w:cs="Arial"/>
          <w:sz w:val="18"/>
          <w:szCs w:val="22"/>
        </w:rPr>
        <w:t>.</w:t>
      </w:r>
    </w:p>
    <w:p w14:paraId="441B3069" w14:textId="4690B152" w:rsidR="001C18EB" w:rsidRDefault="001C18EB" w:rsidP="001C18EB">
      <w:pPr>
        <w:spacing w:before="60"/>
        <w:ind w:left="454" w:right="454"/>
        <w:jc w:val="both"/>
        <w:rPr>
          <w:rFonts w:ascii="Arial" w:hAnsi="Arial" w:cs="Arial"/>
          <w:sz w:val="20"/>
        </w:rPr>
      </w:pPr>
      <w:r>
        <w:rPr>
          <w:rFonts w:ascii="Arial" w:hAnsi="Arial" w:cs="Arial"/>
          <w:sz w:val="20"/>
        </w:rPr>
        <w:t xml:space="preserve">[36] </w:t>
      </w:r>
      <w:r w:rsidR="004B00B0" w:rsidRPr="004B00B0">
        <w:rPr>
          <w:rFonts w:ascii="Arial" w:hAnsi="Arial" w:cs="Arial"/>
          <w:sz w:val="20"/>
        </w:rPr>
        <w:t xml:space="preserve">In </w:t>
      </w:r>
      <w:r w:rsidR="004B00B0" w:rsidRPr="004B00B0">
        <w:rPr>
          <w:rFonts w:ascii="Arial" w:hAnsi="Arial" w:cs="Arial"/>
          <w:i/>
          <w:iCs/>
          <w:sz w:val="20"/>
        </w:rPr>
        <w:t>Jorgensen</w:t>
      </w:r>
      <w:r w:rsidR="004B00B0" w:rsidRPr="004B00B0">
        <w:rPr>
          <w:rFonts w:ascii="Arial" w:hAnsi="Arial" w:cs="Arial"/>
          <w:sz w:val="20"/>
        </w:rPr>
        <w:t xml:space="preserve">, the Court of Appeal set out </w:t>
      </w:r>
      <w:r w:rsidR="004B00B0">
        <w:rPr>
          <w:rFonts w:ascii="Arial" w:hAnsi="Arial" w:cs="Arial"/>
          <w:sz w:val="20"/>
        </w:rPr>
        <w:t xml:space="preserve">at n 6 [9]-[12] </w:t>
      </w:r>
      <w:r w:rsidR="004B00B0" w:rsidRPr="004B00B0">
        <w:rPr>
          <w:rFonts w:ascii="Arial" w:hAnsi="Arial" w:cs="Arial"/>
          <w:sz w:val="20"/>
        </w:rPr>
        <w:t>the principles which apply to applications under r 24.06 to vary or set aside self-executing orders. The salient principles are:</w:t>
      </w:r>
    </w:p>
    <w:p w14:paraId="408ADDD4" w14:textId="13470EBA" w:rsidR="004B00B0" w:rsidRDefault="004B00B0" w:rsidP="004B00B0">
      <w:pPr>
        <w:ind w:left="908" w:right="454" w:hanging="454"/>
        <w:jc w:val="both"/>
        <w:rPr>
          <w:rFonts w:ascii="Arial" w:hAnsi="Arial" w:cs="Arial"/>
          <w:sz w:val="20"/>
        </w:rPr>
      </w:pPr>
      <w:r>
        <w:rPr>
          <w:rFonts w:ascii="Arial" w:hAnsi="Arial" w:cs="Arial"/>
          <w:sz w:val="20"/>
        </w:rPr>
        <w:t>(a)</w:t>
      </w:r>
      <w:r>
        <w:rPr>
          <w:rFonts w:ascii="Arial" w:hAnsi="Arial" w:cs="Arial"/>
          <w:sz w:val="20"/>
        </w:rPr>
        <w:tab/>
      </w:r>
      <w:r w:rsidRPr="004B00B0">
        <w:rPr>
          <w:rFonts w:ascii="Arial" w:hAnsi="Arial" w:cs="Arial"/>
          <w:sz w:val="20"/>
        </w:rPr>
        <w:t>The Court has a wide discretion to relieve a party of the consequences of non-compliance with a self-executing order, the governing consideration being what justice requires.</w:t>
      </w:r>
    </w:p>
    <w:p w14:paraId="07D52D83" w14:textId="20A44D07" w:rsidR="004B00B0" w:rsidRDefault="004B00B0" w:rsidP="004B00B0">
      <w:pPr>
        <w:ind w:left="908" w:right="454" w:hanging="454"/>
        <w:jc w:val="both"/>
        <w:rPr>
          <w:rFonts w:ascii="Arial" w:hAnsi="Arial" w:cs="Arial"/>
          <w:sz w:val="20"/>
        </w:rPr>
      </w:pPr>
      <w:r>
        <w:rPr>
          <w:rFonts w:ascii="Arial" w:hAnsi="Arial" w:cs="Arial"/>
          <w:sz w:val="20"/>
        </w:rPr>
        <w:t>(b)</w:t>
      </w:r>
      <w:r>
        <w:rPr>
          <w:rFonts w:ascii="Arial" w:hAnsi="Arial" w:cs="Arial"/>
          <w:sz w:val="20"/>
        </w:rPr>
        <w:tab/>
      </w:r>
      <w:r w:rsidRPr="004B00B0">
        <w:rPr>
          <w:rFonts w:ascii="Arial" w:hAnsi="Arial" w:cs="Arial"/>
          <w:sz w:val="20"/>
        </w:rPr>
        <w:t>The power to relieve against the consequences of non-compliance must be exercised with care, having regard to the principle that orders are made to be complied with and not to be ignored.</w:t>
      </w:r>
    </w:p>
    <w:p w14:paraId="5F876B62" w14:textId="10FFBEDF" w:rsidR="004B00B0" w:rsidRDefault="004B00B0" w:rsidP="004B00B0">
      <w:pPr>
        <w:ind w:left="908" w:right="454" w:hanging="454"/>
        <w:jc w:val="both"/>
        <w:rPr>
          <w:rFonts w:ascii="Arial" w:hAnsi="Arial" w:cs="Arial"/>
          <w:sz w:val="20"/>
        </w:rPr>
      </w:pPr>
      <w:r>
        <w:rPr>
          <w:rFonts w:ascii="Arial" w:hAnsi="Arial" w:cs="Arial"/>
          <w:sz w:val="20"/>
        </w:rPr>
        <w:t>(c)</w:t>
      </w:r>
      <w:r>
        <w:rPr>
          <w:rFonts w:ascii="Arial" w:hAnsi="Arial" w:cs="Arial"/>
          <w:sz w:val="20"/>
        </w:rPr>
        <w:tab/>
      </w:r>
      <w:r w:rsidRPr="004B00B0">
        <w:rPr>
          <w:rFonts w:ascii="Arial" w:hAnsi="Arial" w:cs="Arial"/>
          <w:sz w:val="20"/>
        </w:rPr>
        <w:t>The considerations to which the Court should ordinarily have regard in the exercise of its discretion to vary or set aside a self-executing order include, at least, the following:</w:t>
      </w:r>
    </w:p>
    <w:p w14:paraId="4068FE6C" w14:textId="4C523AD5" w:rsidR="004B00B0" w:rsidRDefault="004B00B0" w:rsidP="004B00B0">
      <w:pPr>
        <w:ind w:left="1361" w:right="454" w:hanging="454"/>
        <w:jc w:val="both"/>
        <w:rPr>
          <w:rFonts w:ascii="Arial" w:hAnsi="Arial" w:cs="Arial"/>
          <w:sz w:val="20"/>
        </w:rPr>
      </w:pPr>
      <w:r>
        <w:rPr>
          <w:rFonts w:ascii="Arial" w:hAnsi="Arial" w:cs="Arial"/>
          <w:sz w:val="20"/>
        </w:rPr>
        <w:t>(i)</w:t>
      </w:r>
      <w:r>
        <w:rPr>
          <w:rFonts w:ascii="Arial" w:hAnsi="Arial" w:cs="Arial"/>
          <w:sz w:val="20"/>
        </w:rPr>
        <w:tab/>
      </w:r>
      <w:r w:rsidRPr="004B00B0">
        <w:rPr>
          <w:rFonts w:ascii="Arial" w:hAnsi="Arial" w:cs="Arial"/>
          <w:sz w:val="20"/>
        </w:rPr>
        <w:t>the circumstances in which the self-executing order was made;</w:t>
      </w:r>
    </w:p>
    <w:p w14:paraId="0DF104AD" w14:textId="078DF72F" w:rsidR="004B00B0" w:rsidRDefault="004B00B0" w:rsidP="004B00B0">
      <w:pPr>
        <w:ind w:left="1361" w:right="454" w:hanging="454"/>
        <w:jc w:val="both"/>
        <w:rPr>
          <w:rFonts w:ascii="Arial" w:hAnsi="Arial" w:cs="Arial"/>
          <w:sz w:val="20"/>
        </w:rPr>
      </w:pPr>
      <w:r>
        <w:rPr>
          <w:rFonts w:ascii="Arial" w:hAnsi="Arial" w:cs="Arial"/>
          <w:sz w:val="20"/>
        </w:rPr>
        <w:t>(ii)</w:t>
      </w:r>
      <w:r>
        <w:rPr>
          <w:rFonts w:ascii="Arial" w:hAnsi="Arial" w:cs="Arial"/>
          <w:sz w:val="20"/>
        </w:rPr>
        <w:tab/>
      </w:r>
      <w:r w:rsidRPr="004B00B0">
        <w:rPr>
          <w:rFonts w:ascii="Arial" w:hAnsi="Arial" w:cs="Arial"/>
          <w:sz w:val="20"/>
        </w:rPr>
        <w:t>the reasons for non-compliance;</w:t>
      </w:r>
    </w:p>
    <w:p w14:paraId="17E347E4" w14:textId="657D00A0" w:rsidR="004B00B0" w:rsidRDefault="004B00B0" w:rsidP="004B00B0">
      <w:pPr>
        <w:ind w:left="1361" w:right="454" w:hanging="454"/>
        <w:jc w:val="both"/>
        <w:rPr>
          <w:rFonts w:ascii="Arial" w:hAnsi="Arial" w:cs="Arial"/>
          <w:sz w:val="20"/>
        </w:rPr>
      </w:pPr>
      <w:r>
        <w:rPr>
          <w:rFonts w:ascii="Arial" w:hAnsi="Arial" w:cs="Arial"/>
          <w:sz w:val="20"/>
        </w:rPr>
        <w:t>(iii)</w:t>
      </w:r>
      <w:r>
        <w:rPr>
          <w:rFonts w:ascii="Arial" w:hAnsi="Arial" w:cs="Arial"/>
          <w:sz w:val="20"/>
        </w:rPr>
        <w:tab/>
        <w:t xml:space="preserve">the </w:t>
      </w:r>
      <w:r w:rsidRPr="004B00B0">
        <w:rPr>
          <w:rFonts w:ascii="Arial" w:hAnsi="Arial" w:cs="Arial"/>
          <w:sz w:val="20"/>
        </w:rPr>
        <w:t>prejudice to the defaulting party if relief were not granted; and</w:t>
      </w:r>
    </w:p>
    <w:p w14:paraId="0B087B98" w14:textId="291503A7" w:rsidR="004B00B0" w:rsidRDefault="004B00B0" w:rsidP="004B00B0">
      <w:pPr>
        <w:ind w:left="1361" w:right="454" w:hanging="454"/>
        <w:jc w:val="both"/>
        <w:rPr>
          <w:rFonts w:ascii="Arial" w:hAnsi="Arial" w:cs="Arial"/>
          <w:sz w:val="20"/>
        </w:rPr>
      </w:pPr>
      <w:r>
        <w:rPr>
          <w:rFonts w:ascii="Arial" w:hAnsi="Arial" w:cs="Arial"/>
          <w:sz w:val="20"/>
        </w:rPr>
        <w:t>(iv)</w:t>
      </w:r>
      <w:r>
        <w:rPr>
          <w:rFonts w:ascii="Arial" w:hAnsi="Arial" w:cs="Arial"/>
          <w:sz w:val="20"/>
        </w:rPr>
        <w:tab/>
      </w:r>
      <w:r w:rsidRPr="004B00B0">
        <w:rPr>
          <w:rFonts w:ascii="Arial" w:hAnsi="Arial" w:cs="Arial"/>
          <w:sz w:val="20"/>
        </w:rPr>
        <w:t>the prejudice to the innocent party if relief were granted.</w:t>
      </w:r>
    </w:p>
    <w:p w14:paraId="249CECE9" w14:textId="240B9F61" w:rsidR="004B00B0" w:rsidRDefault="004B00B0" w:rsidP="004B00B0">
      <w:pPr>
        <w:ind w:left="908" w:right="454" w:hanging="454"/>
        <w:jc w:val="both"/>
        <w:rPr>
          <w:rFonts w:ascii="Arial" w:hAnsi="Arial" w:cs="Arial"/>
          <w:sz w:val="20"/>
        </w:rPr>
      </w:pPr>
      <w:r>
        <w:rPr>
          <w:rFonts w:ascii="Arial" w:hAnsi="Arial" w:cs="Arial"/>
          <w:sz w:val="20"/>
        </w:rPr>
        <w:t>(d)</w:t>
      </w:r>
      <w:r>
        <w:rPr>
          <w:rFonts w:ascii="Arial" w:hAnsi="Arial" w:cs="Arial"/>
          <w:sz w:val="20"/>
        </w:rPr>
        <w:tab/>
        <w:t>In relation to the reasons for non-compliance, a matter of first importance is to ascertain whether the failure to comply was wilful, that is, being reflective of a deliberate disregard of or indifference to the Court’s order.</w:t>
      </w:r>
    </w:p>
    <w:p w14:paraId="78B4A3E0" w14:textId="1EF529A1" w:rsidR="004B00B0" w:rsidRDefault="004B00B0" w:rsidP="004B00B0">
      <w:pPr>
        <w:spacing w:before="60"/>
        <w:ind w:left="454" w:right="454"/>
        <w:jc w:val="both"/>
        <w:rPr>
          <w:rFonts w:ascii="Arial" w:hAnsi="Arial" w:cs="Arial"/>
          <w:sz w:val="20"/>
        </w:rPr>
      </w:pPr>
      <w:r>
        <w:rPr>
          <w:rFonts w:ascii="Arial" w:hAnsi="Arial" w:cs="Arial"/>
          <w:sz w:val="20"/>
        </w:rPr>
        <w:lastRenderedPageBreak/>
        <w:t xml:space="preserve">[37] </w:t>
      </w:r>
      <w:r w:rsidRPr="004B00B0">
        <w:rPr>
          <w:rFonts w:ascii="Arial" w:hAnsi="Arial" w:cs="Arial"/>
          <w:sz w:val="20"/>
        </w:rPr>
        <w:t xml:space="preserve">The Court of Appeal also observed </w:t>
      </w:r>
      <w:r>
        <w:rPr>
          <w:rFonts w:ascii="Arial" w:hAnsi="Arial" w:cs="Arial"/>
          <w:sz w:val="20"/>
        </w:rPr>
        <w:t xml:space="preserve">at [32] </w:t>
      </w:r>
      <w:r w:rsidRPr="004B00B0">
        <w:rPr>
          <w:rFonts w:ascii="Arial" w:hAnsi="Arial" w:cs="Arial"/>
          <w:sz w:val="20"/>
        </w:rPr>
        <w:t>that a self-executing order is, quite intentionally, penal in character and serves the purposes of signifying the Court’s disapproval of prior non-compliance; emphasising the importance of obedience to Court orders; and securing the performance of the particular procedural step or steps the subject of the order</w:t>
      </w:r>
      <w:r>
        <w:rPr>
          <w:rFonts w:ascii="Arial" w:hAnsi="Arial" w:cs="Arial"/>
          <w:sz w:val="20"/>
        </w:rPr>
        <w:t>.</w:t>
      </w:r>
    </w:p>
    <w:p w14:paraId="124BA47B" w14:textId="2A29917B" w:rsidR="004B00B0" w:rsidRDefault="004B00B0" w:rsidP="00B807F2">
      <w:pPr>
        <w:spacing w:before="60"/>
        <w:ind w:left="454" w:right="454"/>
        <w:jc w:val="both"/>
        <w:rPr>
          <w:rFonts w:ascii="Arial" w:hAnsi="Arial" w:cs="Arial"/>
          <w:sz w:val="20"/>
        </w:rPr>
      </w:pPr>
      <w:r>
        <w:rPr>
          <w:rFonts w:ascii="Arial" w:hAnsi="Arial" w:cs="Arial"/>
          <w:sz w:val="20"/>
        </w:rPr>
        <w:t xml:space="preserve">[38] </w:t>
      </w:r>
      <w:r w:rsidRPr="004B00B0">
        <w:rPr>
          <w:rFonts w:ascii="Arial" w:hAnsi="Arial" w:cs="Arial"/>
          <w:sz w:val="20"/>
        </w:rPr>
        <w:t xml:space="preserve">These principles were recently affirmed by the Court of Appeal in </w:t>
      </w:r>
      <w:proofErr w:type="spellStart"/>
      <w:r w:rsidRPr="004B00B0">
        <w:rPr>
          <w:rFonts w:ascii="Arial" w:hAnsi="Arial" w:cs="Arial"/>
          <w:i/>
          <w:iCs/>
          <w:sz w:val="20"/>
        </w:rPr>
        <w:t>Daimleigh</w:t>
      </w:r>
      <w:proofErr w:type="spellEnd"/>
      <w:r w:rsidRPr="004B00B0">
        <w:rPr>
          <w:rFonts w:ascii="Arial" w:hAnsi="Arial" w:cs="Arial"/>
          <w:i/>
          <w:iCs/>
          <w:sz w:val="20"/>
        </w:rPr>
        <w:t xml:space="preserve"> Capital Pty Ltd (in </w:t>
      </w:r>
      <w:proofErr w:type="spellStart"/>
      <w:r w:rsidRPr="004B00B0">
        <w:rPr>
          <w:rFonts w:ascii="Arial" w:hAnsi="Arial" w:cs="Arial"/>
          <w:i/>
          <w:iCs/>
          <w:sz w:val="20"/>
        </w:rPr>
        <w:t>liq</w:t>
      </w:r>
      <w:proofErr w:type="spellEnd"/>
      <w:r w:rsidRPr="004B00B0">
        <w:rPr>
          <w:rFonts w:ascii="Arial" w:hAnsi="Arial" w:cs="Arial"/>
          <w:i/>
          <w:iCs/>
          <w:sz w:val="20"/>
        </w:rPr>
        <w:t>) v CVS Lane Capital Partners Pty Ltd</w:t>
      </w:r>
      <w:r>
        <w:rPr>
          <w:rFonts w:ascii="Arial" w:hAnsi="Arial" w:cs="Arial"/>
          <w:sz w:val="20"/>
        </w:rPr>
        <w:t xml:space="preserve"> [2025] VSCA 320 at [81]</w:t>
      </w:r>
      <w:r w:rsidRPr="004B00B0">
        <w:rPr>
          <w:rFonts w:ascii="Arial" w:hAnsi="Arial" w:cs="Arial"/>
          <w:sz w:val="20"/>
        </w:rPr>
        <w:t xml:space="preserve"> with the observation that the above considerations were not to be viewed as a rigid set of criteria, or an exhaustive list of considerations. The discretion to order reinstatement is unfettered by conditions or </w:t>
      </w:r>
      <w:r w:rsidR="00B807F2" w:rsidRPr="00B807F2">
        <w:rPr>
          <w:rFonts w:ascii="Arial" w:hAnsi="Arial" w:cs="Arial"/>
          <w:sz w:val="20"/>
        </w:rPr>
        <w:t>guidelines drawn from other cases; the governing consideration must always be what justice requires in the circumstances of the particular case</w:t>
      </w:r>
      <w:r w:rsidR="00B807F2">
        <w:rPr>
          <w:rFonts w:ascii="Arial" w:hAnsi="Arial" w:cs="Arial"/>
          <w:sz w:val="20"/>
        </w:rPr>
        <w:t>: see [80]-[81].</w:t>
      </w:r>
      <w:r w:rsidR="00B807F2" w:rsidRPr="00B807F2">
        <w:rPr>
          <w:rFonts w:ascii="Arial" w:hAnsi="Arial" w:cs="Arial"/>
          <w:sz w:val="20"/>
        </w:rPr>
        <w:t xml:space="preserve"> However, the Court of Appeal also stated </w:t>
      </w:r>
      <w:r w:rsidR="00B807F2">
        <w:rPr>
          <w:rFonts w:ascii="Arial" w:hAnsi="Arial" w:cs="Arial"/>
          <w:sz w:val="20"/>
        </w:rPr>
        <w:t xml:space="preserve">at [79] </w:t>
      </w:r>
      <w:r w:rsidR="00B807F2" w:rsidRPr="00B807F2">
        <w:rPr>
          <w:rFonts w:ascii="Arial" w:hAnsi="Arial" w:cs="Arial"/>
          <w:sz w:val="20"/>
        </w:rPr>
        <w:t xml:space="preserve">that, in determining a reinstatement application, the Court must also seek to further the overarching purpose to facilitate the just, efficient, timely and cost-effective resolution of the real issues in dispute and the objects set out in s 9 of the </w:t>
      </w:r>
      <w:r w:rsidR="00B807F2" w:rsidRPr="00B807F2">
        <w:rPr>
          <w:rFonts w:ascii="Arial" w:hAnsi="Arial" w:cs="Arial"/>
          <w:i/>
          <w:iCs/>
          <w:sz w:val="20"/>
        </w:rPr>
        <w:t>Civil Procedure Act 2010</w:t>
      </w:r>
      <w:r w:rsidR="00B807F2" w:rsidRPr="00B807F2">
        <w:rPr>
          <w:rFonts w:ascii="Arial" w:hAnsi="Arial" w:cs="Arial"/>
          <w:sz w:val="20"/>
        </w:rPr>
        <w:t>, including the efficient conduct of the business of the Court, the efficient use of judicial and administrative resources, minimising delay beyond that reasonably required for necessary interlocutory steps, and the timely determination of the civil proceeding.</w:t>
      </w:r>
      <w:r w:rsidR="00B807F2">
        <w:rPr>
          <w:rFonts w:ascii="Arial" w:hAnsi="Arial" w:cs="Arial"/>
          <w:sz w:val="20"/>
        </w:rPr>
        <w:t>”</w:t>
      </w:r>
    </w:p>
    <w:p w14:paraId="09D415FC" w14:textId="0381DA52" w:rsidR="00B807F2" w:rsidRDefault="00B807F2" w:rsidP="00B807F2">
      <w:pPr>
        <w:spacing w:before="60"/>
        <w:jc w:val="both"/>
        <w:rPr>
          <w:rFonts w:ascii="Arial" w:hAnsi="Arial" w:cs="Arial"/>
          <w:sz w:val="20"/>
        </w:rPr>
      </w:pPr>
      <w:r>
        <w:rPr>
          <w:rFonts w:ascii="Arial" w:hAnsi="Arial" w:cs="Arial"/>
          <w:sz w:val="20"/>
        </w:rPr>
        <w:t xml:space="preserve">See also </w:t>
      </w:r>
      <w:r w:rsidRPr="00B807F2">
        <w:rPr>
          <w:rFonts w:ascii="Arial" w:hAnsi="Arial" w:cs="Arial"/>
          <w:i/>
          <w:iCs/>
          <w:sz w:val="20"/>
        </w:rPr>
        <w:t>Re the Estate of Judith Ann Morris</w:t>
      </w:r>
      <w:r w:rsidRPr="00B807F2">
        <w:rPr>
          <w:rFonts w:ascii="Arial" w:hAnsi="Arial" w:cs="Arial"/>
          <w:sz w:val="20"/>
        </w:rPr>
        <w:t xml:space="preserve"> [2026] VSC 401</w:t>
      </w:r>
      <w:r>
        <w:rPr>
          <w:rFonts w:ascii="Arial" w:hAnsi="Arial" w:cs="Arial"/>
          <w:sz w:val="20"/>
        </w:rPr>
        <w:t xml:space="preserve"> where Barrett </w:t>
      </w:r>
      <w:proofErr w:type="spellStart"/>
      <w:r>
        <w:rPr>
          <w:rFonts w:ascii="Arial" w:hAnsi="Arial" w:cs="Arial"/>
          <w:sz w:val="20"/>
        </w:rPr>
        <w:t>AsJ</w:t>
      </w:r>
      <w:proofErr w:type="spellEnd"/>
      <w:r>
        <w:rPr>
          <w:rFonts w:ascii="Arial" w:hAnsi="Arial" w:cs="Arial"/>
          <w:sz w:val="20"/>
        </w:rPr>
        <w:t xml:space="preserve"> dismissed the same applicant’s a</w:t>
      </w:r>
      <w:r w:rsidRPr="00B807F2">
        <w:rPr>
          <w:rFonts w:ascii="Arial" w:hAnsi="Arial" w:cs="Arial"/>
          <w:sz w:val="20"/>
        </w:rPr>
        <w:t xml:space="preserve">pplication for probate, ‘suspension’ of probate and revocation of probate </w:t>
      </w:r>
      <w:r>
        <w:rPr>
          <w:rFonts w:ascii="Arial" w:hAnsi="Arial" w:cs="Arial"/>
          <w:sz w:val="20"/>
        </w:rPr>
        <w:t>and her f</w:t>
      </w:r>
      <w:r w:rsidRPr="00B807F2">
        <w:rPr>
          <w:rFonts w:ascii="Arial" w:hAnsi="Arial" w:cs="Arial"/>
          <w:sz w:val="20"/>
        </w:rPr>
        <w:t xml:space="preserve">urther application by summons seeking discovery, stay of proceedings and injunctions preventing any steps being taken in </w:t>
      </w:r>
      <w:r>
        <w:rPr>
          <w:rFonts w:ascii="Arial" w:hAnsi="Arial" w:cs="Arial"/>
          <w:sz w:val="20"/>
        </w:rPr>
        <w:t xml:space="preserve">the </w:t>
      </w:r>
      <w:r w:rsidRPr="00B807F2">
        <w:rPr>
          <w:rFonts w:ascii="Arial" w:hAnsi="Arial" w:cs="Arial"/>
          <w:sz w:val="20"/>
        </w:rPr>
        <w:t xml:space="preserve">revocation proceeding or </w:t>
      </w:r>
      <w:r>
        <w:rPr>
          <w:rFonts w:ascii="Arial" w:hAnsi="Arial" w:cs="Arial"/>
          <w:sz w:val="20"/>
        </w:rPr>
        <w:t xml:space="preserve">the </w:t>
      </w:r>
      <w:r w:rsidRPr="00B807F2">
        <w:rPr>
          <w:rFonts w:ascii="Arial" w:hAnsi="Arial" w:cs="Arial"/>
          <w:sz w:val="20"/>
        </w:rPr>
        <w:t>related Part IV application</w:t>
      </w:r>
      <w:r>
        <w:rPr>
          <w:rFonts w:ascii="Arial" w:hAnsi="Arial" w:cs="Arial"/>
          <w:sz w:val="20"/>
        </w:rPr>
        <w:t>.</w:t>
      </w:r>
    </w:p>
    <w:p w14:paraId="5ED46AB2" w14:textId="77777777" w:rsidR="00B807F2" w:rsidRPr="00716E78" w:rsidRDefault="00B807F2" w:rsidP="00B807F2">
      <w:pPr>
        <w:jc w:val="both"/>
        <w:rPr>
          <w:rFonts w:ascii="Arial" w:hAnsi="Arial" w:cs="Arial"/>
          <w:sz w:val="20"/>
        </w:rPr>
      </w:pPr>
    </w:p>
    <w:p w14:paraId="3550A360" w14:textId="77777777" w:rsidR="00912923" w:rsidRPr="00836E86" w:rsidRDefault="00912923" w:rsidP="00912923">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55B75AD9" w14:textId="18AC8681" w:rsidR="00EE547E" w:rsidRDefault="00EE547E">
      <w:pPr>
        <w:rPr>
          <w:rFonts w:ascii="Arial" w:hAnsi="Arial" w:cs="Arial"/>
          <w:sz w:val="20"/>
        </w:rPr>
      </w:pPr>
    </w:p>
    <w:p w14:paraId="35E374BA" w14:textId="7201C475" w:rsidR="00912923" w:rsidRDefault="00912923">
      <w:pPr>
        <w:rPr>
          <w:rFonts w:ascii="Arial" w:hAnsi="Arial" w:cs="Arial"/>
          <w:sz w:val="20"/>
        </w:rPr>
      </w:pPr>
      <w:r>
        <w:rPr>
          <w:rFonts w:ascii="Arial" w:hAnsi="Arial" w:cs="Arial"/>
          <w:sz w:val="20"/>
        </w:rPr>
        <w:br w:type="page"/>
      </w:r>
    </w:p>
    <w:p w14:paraId="7625129E" w14:textId="09EE6169" w:rsidR="00B21DA4" w:rsidRDefault="00B21DA4" w:rsidP="00912923">
      <w:pPr>
        <w:pStyle w:val="Heading2"/>
        <w:keepNext/>
        <w:keepLines/>
        <w:widowControl/>
        <w:tabs>
          <w:tab w:val="left" w:pos="567"/>
        </w:tabs>
        <w:spacing w:line="240" w:lineRule="auto"/>
        <w:rPr>
          <w:rFonts w:ascii="Arial" w:hAnsi="Arial" w:cs="Arial"/>
          <w:b/>
          <w:bCs/>
        </w:rPr>
      </w:pPr>
      <w:bookmarkStart w:id="1015" w:name="_3.8_Amending_judgments"/>
      <w:bookmarkStart w:id="1016" w:name="B38"/>
      <w:bookmarkEnd w:id="1015"/>
      <w:bookmarkEnd w:id="1016"/>
      <w:r>
        <w:rPr>
          <w:rFonts w:ascii="Arial" w:hAnsi="Arial" w:cs="Arial"/>
          <w:b/>
          <w:bCs/>
        </w:rPr>
        <w:lastRenderedPageBreak/>
        <w:t>3.</w:t>
      </w:r>
      <w:r w:rsidR="00AB3569">
        <w:rPr>
          <w:rFonts w:ascii="Arial" w:hAnsi="Arial" w:cs="Arial"/>
          <w:b/>
          <w:bCs/>
        </w:rPr>
        <w:t>8</w:t>
      </w:r>
      <w:r>
        <w:rPr>
          <w:rFonts w:ascii="Arial" w:hAnsi="Arial" w:cs="Arial"/>
          <w:b/>
          <w:bCs/>
        </w:rPr>
        <w:tab/>
        <w:t xml:space="preserve">Amending </w:t>
      </w:r>
      <w:r w:rsidR="00D635CD">
        <w:rPr>
          <w:rFonts w:ascii="Arial" w:hAnsi="Arial" w:cs="Arial"/>
          <w:b/>
          <w:bCs/>
        </w:rPr>
        <w:t xml:space="preserve">a </w:t>
      </w:r>
      <w:r>
        <w:rPr>
          <w:rFonts w:ascii="Arial" w:hAnsi="Arial" w:cs="Arial"/>
          <w:b/>
          <w:bCs/>
        </w:rPr>
        <w:t xml:space="preserve">judgment </w:t>
      </w:r>
      <w:r w:rsidR="00D635CD">
        <w:rPr>
          <w:rFonts w:ascii="Arial" w:hAnsi="Arial" w:cs="Arial"/>
          <w:b/>
          <w:bCs/>
        </w:rPr>
        <w:t xml:space="preserve">/ </w:t>
      </w:r>
      <w:r w:rsidR="005E5DBD">
        <w:rPr>
          <w:rFonts w:ascii="Arial" w:hAnsi="Arial" w:cs="Arial"/>
          <w:b/>
          <w:bCs/>
        </w:rPr>
        <w:t xml:space="preserve">Reopening </w:t>
      </w:r>
      <w:r w:rsidR="00D635CD">
        <w:rPr>
          <w:rFonts w:ascii="Arial" w:hAnsi="Arial" w:cs="Arial"/>
          <w:b/>
          <w:bCs/>
        </w:rPr>
        <w:t xml:space="preserve">a </w:t>
      </w:r>
      <w:r w:rsidR="005E5DBD">
        <w:rPr>
          <w:rFonts w:ascii="Arial" w:hAnsi="Arial" w:cs="Arial"/>
          <w:b/>
          <w:bCs/>
        </w:rPr>
        <w:t>case</w:t>
      </w:r>
      <w:bookmarkEnd w:id="1013"/>
    </w:p>
    <w:p w14:paraId="074824CC" w14:textId="77777777" w:rsidR="00B21DA4" w:rsidRDefault="00B21DA4">
      <w:pPr>
        <w:keepNext/>
        <w:keepLines/>
        <w:jc w:val="both"/>
        <w:rPr>
          <w:rFonts w:ascii="Arial" w:hAnsi="Arial" w:cs="Arial"/>
          <w:sz w:val="20"/>
        </w:rPr>
      </w:pPr>
    </w:p>
    <w:p w14:paraId="1FF103FC" w14:textId="3361029F" w:rsidR="00FE777C" w:rsidRDefault="00FE777C" w:rsidP="00FE777C">
      <w:pPr>
        <w:pStyle w:val="Heading3"/>
        <w:keepNext/>
        <w:keepLines/>
        <w:spacing w:after="120" w:line="240" w:lineRule="auto"/>
        <w:rPr>
          <w:rFonts w:ascii="Arial" w:hAnsi="Arial" w:cs="Arial"/>
          <w:b/>
          <w:bCs/>
          <w:sz w:val="20"/>
        </w:rPr>
      </w:pPr>
      <w:bookmarkStart w:id="1017" w:name="_3.8.1_The_‘slip"/>
      <w:bookmarkEnd w:id="1017"/>
      <w:r>
        <w:rPr>
          <w:rFonts w:ascii="Arial" w:hAnsi="Arial" w:cs="Arial"/>
          <w:b/>
          <w:bCs/>
          <w:sz w:val="20"/>
        </w:rPr>
        <w:t>3.8.1</w:t>
      </w:r>
      <w:r>
        <w:rPr>
          <w:rFonts w:ascii="Arial" w:hAnsi="Arial" w:cs="Arial"/>
          <w:b/>
          <w:bCs/>
          <w:sz w:val="20"/>
        </w:rPr>
        <w:tab/>
        <w:t>The ‘slip rule’</w:t>
      </w:r>
    </w:p>
    <w:p w14:paraId="5121535B" w14:textId="703319F0" w:rsidR="00206786" w:rsidRDefault="00206786" w:rsidP="002D4688">
      <w:pPr>
        <w:jc w:val="both"/>
        <w:rPr>
          <w:rFonts w:ascii="Arial" w:hAnsi="Arial" w:cs="Arial"/>
          <w:sz w:val="20"/>
        </w:rPr>
      </w:pPr>
      <w:r>
        <w:rPr>
          <w:rFonts w:ascii="Arial" w:hAnsi="Arial" w:cs="Arial"/>
          <w:sz w:val="20"/>
        </w:rPr>
        <w:t xml:space="preserve">Section 412 of the </w:t>
      </w:r>
      <w:r w:rsidRPr="00206786">
        <w:rPr>
          <w:rFonts w:ascii="Arial" w:hAnsi="Arial" w:cs="Arial"/>
          <w:i/>
          <w:iCs/>
          <w:sz w:val="20"/>
        </w:rPr>
        <w:t>Criminal Procedure Act 2009</w:t>
      </w:r>
      <w:r>
        <w:rPr>
          <w:rFonts w:ascii="Arial" w:hAnsi="Arial" w:cs="Arial"/>
          <w:sz w:val="20"/>
        </w:rPr>
        <w:t xml:space="preserve"> – which applies in the Children’s Court by virtue of s.528(2)(b) CYFA – provides:</w:t>
      </w:r>
    </w:p>
    <w:p w14:paraId="3868EA51" w14:textId="45C1ADE5" w:rsidR="00206786" w:rsidRDefault="00206786" w:rsidP="009462F3">
      <w:pPr>
        <w:spacing w:before="60"/>
        <w:ind w:left="454" w:right="454"/>
        <w:jc w:val="both"/>
        <w:rPr>
          <w:rFonts w:ascii="Arial" w:hAnsi="Arial" w:cs="Arial"/>
          <w:sz w:val="20"/>
        </w:rPr>
      </w:pPr>
      <w:r>
        <w:rPr>
          <w:rFonts w:ascii="Arial" w:hAnsi="Arial" w:cs="Arial"/>
          <w:sz w:val="20"/>
        </w:rPr>
        <w:t>“For the purpose of correcting any defect or error in substance or in form, a court may amend any summons, warrant, plea, judgment or order.”</w:t>
      </w:r>
    </w:p>
    <w:p w14:paraId="1E22EF28" w14:textId="3239126B" w:rsidR="00206786" w:rsidRDefault="00206786" w:rsidP="00206786">
      <w:pPr>
        <w:jc w:val="both"/>
        <w:rPr>
          <w:rFonts w:ascii="Arial" w:hAnsi="Arial" w:cs="Arial"/>
          <w:sz w:val="20"/>
        </w:rPr>
      </w:pPr>
    </w:p>
    <w:p w14:paraId="52845FBF" w14:textId="37D6374E" w:rsidR="00206786" w:rsidRDefault="002E72AC" w:rsidP="002E72AC">
      <w:pPr>
        <w:jc w:val="both"/>
        <w:rPr>
          <w:rFonts w:ascii="Arial" w:hAnsi="Arial" w:cs="Arial"/>
          <w:sz w:val="20"/>
        </w:rPr>
      </w:pPr>
      <w:r>
        <w:rPr>
          <w:rFonts w:ascii="Arial" w:hAnsi="Arial" w:cs="Arial"/>
          <w:sz w:val="20"/>
        </w:rPr>
        <w:t>For example, s.412 has been used to enable a sentencing court to</w:t>
      </w:r>
      <w:r w:rsidR="00366998" w:rsidRPr="00A31FFA">
        <w:rPr>
          <w:rFonts w:ascii="Arial" w:hAnsi="Arial" w:cs="Arial"/>
          <w:sz w:val="20"/>
        </w:rPr>
        <w:t>–</w:t>
      </w:r>
    </w:p>
    <w:p w14:paraId="65FA0208" w14:textId="5818DD55" w:rsidR="002E72AC" w:rsidRDefault="00206786">
      <w:pPr>
        <w:pStyle w:val="ListParagraph"/>
        <w:numPr>
          <w:ilvl w:val="0"/>
          <w:numId w:val="75"/>
        </w:numPr>
        <w:overflowPunct w:val="0"/>
        <w:autoSpaceDE w:val="0"/>
        <w:autoSpaceDN w:val="0"/>
        <w:adjustRightInd w:val="0"/>
        <w:ind w:left="357" w:hanging="357"/>
        <w:jc w:val="both"/>
        <w:textAlignment w:val="baseline"/>
        <w:rPr>
          <w:rFonts w:ascii="Arial" w:hAnsi="Arial" w:cs="Arial"/>
          <w:sz w:val="20"/>
          <w:szCs w:val="16"/>
        </w:rPr>
      </w:pPr>
      <w:r w:rsidRPr="002E72AC">
        <w:rPr>
          <w:rFonts w:ascii="Arial" w:hAnsi="Arial" w:cs="Arial"/>
          <w:sz w:val="20"/>
          <w:szCs w:val="16"/>
        </w:rPr>
        <w:t>declare the correct figure of pre-sentence detention</w:t>
      </w:r>
      <w:r w:rsidR="002E72AC" w:rsidRPr="002E72AC">
        <w:rPr>
          <w:rFonts w:ascii="Arial" w:hAnsi="Arial" w:cs="Arial"/>
          <w:sz w:val="20"/>
          <w:szCs w:val="16"/>
        </w:rPr>
        <w:t xml:space="preserve">: </w:t>
      </w:r>
      <w:r w:rsidRPr="002E72AC">
        <w:rPr>
          <w:rFonts w:ascii="Arial" w:hAnsi="Arial" w:cs="Arial"/>
          <w:sz w:val="20"/>
          <w:szCs w:val="16"/>
        </w:rPr>
        <w:t xml:space="preserve">see </w:t>
      </w:r>
      <w:r w:rsidRPr="002E72AC">
        <w:rPr>
          <w:rFonts w:ascii="Arial" w:hAnsi="Arial" w:cs="Arial"/>
          <w:i/>
          <w:iCs/>
          <w:sz w:val="20"/>
          <w:szCs w:val="16"/>
        </w:rPr>
        <w:t>McDonald v The Queen</w:t>
      </w:r>
      <w:r w:rsidRPr="002E72AC">
        <w:rPr>
          <w:rFonts w:ascii="Arial" w:hAnsi="Arial" w:cs="Arial"/>
          <w:sz w:val="20"/>
          <w:szCs w:val="16"/>
        </w:rPr>
        <w:t xml:space="preserve"> [2013] VSCA 89</w:t>
      </w:r>
      <w:r w:rsidR="002E72AC" w:rsidRPr="002E72AC">
        <w:rPr>
          <w:rFonts w:ascii="Arial" w:hAnsi="Arial" w:cs="Arial"/>
          <w:sz w:val="20"/>
          <w:szCs w:val="16"/>
        </w:rPr>
        <w:t xml:space="preserve"> at </w:t>
      </w:r>
      <w:r w:rsidRPr="002E72AC">
        <w:rPr>
          <w:rFonts w:ascii="Arial" w:hAnsi="Arial" w:cs="Arial"/>
          <w:sz w:val="20"/>
          <w:szCs w:val="16"/>
        </w:rPr>
        <w:t xml:space="preserve">[17]; </w:t>
      </w:r>
      <w:r w:rsidRPr="002E72AC">
        <w:rPr>
          <w:rFonts w:ascii="Arial" w:hAnsi="Arial" w:cs="Arial"/>
          <w:i/>
          <w:iCs/>
          <w:sz w:val="20"/>
          <w:szCs w:val="16"/>
        </w:rPr>
        <w:t>Smith v The Queen; Droste v The Queen</w:t>
      </w:r>
      <w:r w:rsidRPr="002E72AC">
        <w:rPr>
          <w:rFonts w:ascii="Arial" w:hAnsi="Arial" w:cs="Arial"/>
          <w:sz w:val="20"/>
          <w:szCs w:val="16"/>
        </w:rPr>
        <w:t xml:space="preserve"> [2012] VSCA 133</w:t>
      </w:r>
      <w:r w:rsidR="002E72AC" w:rsidRPr="002E72AC">
        <w:rPr>
          <w:rFonts w:ascii="Arial" w:hAnsi="Arial" w:cs="Arial"/>
          <w:sz w:val="20"/>
          <w:szCs w:val="16"/>
        </w:rPr>
        <w:t xml:space="preserve"> at [32];</w:t>
      </w:r>
    </w:p>
    <w:p w14:paraId="4CEFEA0F" w14:textId="6D714ED9" w:rsidR="002E72AC" w:rsidRPr="002E72AC" w:rsidRDefault="002E72AC">
      <w:pPr>
        <w:pStyle w:val="ListParagraph"/>
        <w:numPr>
          <w:ilvl w:val="0"/>
          <w:numId w:val="75"/>
        </w:numPr>
        <w:overflowPunct w:val="0"/>
        <w:autoSpaceDE w:val="0"/>
        <w:autoSpaceDN w:val="0"/>
        <w:adjustRightInd w:val="0"/>
        <w:ind w:left="357" w:hanging="357"/>
        <w:jc w:val="both"/>
        <w:textAlignment w:val="baseline"/>
        <w:rPr>
          <w:rFonts w:ascii="Arial" w:hAnsi="Arial" w:cs="Arial"/>
          <w:sz w:val="20"/>
          <w:szCs w:val="16"/>
        </w:rPr>
      </w:pPr>
      <w:r>
        <w:rPr>
          <w:rFonts w:ascii="Arial" w:hAnsi="Arial" w:cs="Arial"/>
          <w:sz w:val="20"/>
          <w:szCs w:val="16"/>
        </w:rPr>
        <w:t xml:space="preserve">amend the commencement date of a term of imprisonment or detention: see </w:t>
      </w:r>
      <w:r w:rsidRPr="002E72AC">
        <w:rPr>
          <w:rFonts w:ascii="Arial" w:hAnsi="Arial" w:cs="Arial"/>
          <w:i/>
          <w:iCs/>
          <w:sz w:val="20"/>
          <w:szCs w:val="16"/>
        </w:rPr>
        <w:t>R v Bembo</w:t>
      </w:r>
      <w:r>
        <w:rPr>
          <w:rFonts w:ascii="Arial" w:hAnsi="Arial" w:cs="Arial"/>
          <w:sz w:val="20"/>
          <w:szCs w:val="16"/>
        </w:rPr>
        <w:t xml:space="preserve"> [2019] VCC 1352.</w:t>
      </w:r>
    </w:p>
    <w:p w14:paraId="1066F8BD" w14:textId="77777777" w:rsidR="00206786" w:rsidRPr="002E72AC" w:rsidRDefault="00206786" w:rsidP="002E72AC">
      <w:pPr>
        <w:overflowPunct w:val="0"/>
        <w:autoSpaceDE w:val="0"/>
        <w:autoSpaceDN w:val="0"/>
        <w:adjustRightInd w:val="0"/>
        <w:textAlignment w:val="baseline"/>
        <w:rPr>
          <w:rFonts w:ascii="Arial" w:hAnsi="Arial" w:cs="Arial"/>
          <w:sz w:val="20"/>
          <w:szCs w:val="16"/>
        </w:rPr>
      </w:pPr>
    </w:p>
    <w:p w14:paraId="1CB72F45" w14:textId="5E7F49FC" w:rsidR="002E72AC" w:rsidRPr="002E72AC" w:rsidRDefault="002E72AC" w:rsidP="002E72AC">
      <w:pPr>
        <w:overflowPunct w:val="0"/>
        <w:autoSpaceDE w:val="0"/>
        <w:autoSpaceDN w:val="0"/>
        <w:adjustRightInd w:val="0"/>
        <w:jc w:val="both"/>
        <w:textAlignment w:val="baseline"/>
        <w:rPr>
          <w:rFonts w:ascii="Arial" w:hAnsi="Arial" w:cs="Arial"/>
          <w:sz w:val="20"/>
          <w:szCs w:val="16"/>
        </w:rPr>
      </w:pPr>
      <w:r w:rsidRPr="002E72AC">
        <w:rPr>
          <w:rFonts w:ascii="Arial" w:hAnsi="Arial" w:cs="Arial"/>
          <w:sz w:val="20"/>
          <w:szCs w:val="16"/>
        </w:rPr>
        <w:t xml:space="preserve">However, although s.412 seems very broad on its face, its </w:t>
      </w:r>
      <w:r>
        <w:rPr>
          <w:rFonts w:ascii="Arial" w:hAnsi="Arial" w:cs="Arial"/>
          <w:sz w:val="20"/>
          <w:szCs w:val="16"/>
        </w:rPr>
        <w:t xml:space="preserve">application is much more constrained and it cannot be relied upon in cases where a judge is </w:t>
      </w:r>
      <w:r w:rsidRPr="002E72AC">
        <w:rPr>
          <w:rFonts w:ascii="Arial" w:hAnsi="Arial" w:cs="Arial"/>
          <w:i/>
          <w:iCs/>
          <w:sz w:val="20"/>
          <w:szCs w:val="16"/>
        </w:rPr>
        <w:t>functus officio</w:t>
      </w:r>
      <w:r>
        <w:rPr>
          <w:rFonts w:ascii="Arial" w:hAnsi="Arial" w:cs="Arial"/>
          <w:sz w:val="20"/>
          <w:szCs w:val="16"/>
        </w:rPr>
        <w:t xml:space="preserve">. In </w:t>
      </w:r>
      <w:r w:rsidRPr="002E72AC">
        <w:rPr>
          <w:rFonts w:ascii="Arial" w:hAnsi="Arial" w:cs="Arial"/>
          <w:i/>
          <w:iCs/>
          <w:sz w:val="20"/>
          <w:szCs w:val="16"/>
        </w:rPr>
        <w:t>DPP v Edwards</w:t>
      </w:r>
      <w:r>
        <w:rPr>
          <w:rFonts w:ascii="Arial" w:hAnsi="Arial" w:cs="Arial"/>
          <w:sz w:val="20"/>
          <w:szCs w:val="16"/>
        </w:rPr>
        <w:t xml:space="preserve"> [2012] VSCA 293 Weinberg &amp; Williams AJA stated at [238]:</w:t>
      </w:r>
    </w:p>
    <w:p w14:paraId="552EE939" w14:textId="62639EBE" w:rsidR="00206786" w:rsidRPr="002E72AC" w:rsidRDefault="002E72AC" w:rsidP="009462F3">
      <w:pPr>
        <w:overflowPunct w:val="0"/>
        <w:autoSpaceDE w:val="0"/>
        <w:autoSpaceDN w:val="0"/>
        <w:adjustRightInd w:val="0"/>
        <w:spacing w:before="60" w:after="60"/>
        <w:ind w:left="454" w:right="454"/>
        <w:jc w:val="both"/>
        <w:textAlignment w:val="baseline"/>
        <w:rPr>
          <w:rFonts w:ascii="Arial" w:hAnsi="Arial" w:cs="Arial"/>
          <w:sz w:val="20"/>
          <w:szCs w:val="20"/>
        </w:rPr>
      </w:pPr>
      <w:r w:rsidRPr="002E72AC">
        <w:rPr>
          <w:rFonts w:ascii="Arial" w:hAnsi="Arial" w:cs="Arial"/>
          <w:sz w:val="20"/>
          <w:szCs w:val="20"/>
          <w:shd w:val="clear" w:color="auto" w:fill="FFFFFF"/>
        </w:rPr>
        <w:t>“</w:t>
      </w:r>
      <w:r w:rsidR="00206786" w:rsidRPr="002E72AC">
        <w:rPr>
          <w:rFonts w:ascii="Arial" w:hAnsi="Arial" w:cs="Arial"/>
          <w:sz w:val="20"/>
          <w:szCs w:val="20"/>
          <w:shd w:val="clear" w:color="auto" w:fill="FFFFFF"/>
        </w:rPr>
        <w:t>The judge sought to rely upon </w:t>
      </w:r>
      <w:hyperlink r:id="rId53" w:history="1">
        <w:r w:rsidR="00206786" w:rsidRPr="002E72AC">
          <w:rPr>
            <w:rFonts w:ascii="Arial" w:hAnsi="Arial" w:cs="Arial"/>
            <w:sz w:val="20"/>
            <w:szCs w:val="20"/>
            <w:shd w:val="clear" w:color="auto" w:fill="FFFFFF"/>
          </w:rPr>
          <w:t>s 412</w:t>
        </w:r>
      </w:hyperlink>
      <w:r w:rsidR="00206786" w:rsidRPr="002E72AC">
        <w:rPr>
          <w:rFonts w:ascii="Arial" w:hAnsi="Arial" w:cs="Arial"/>
          <w:sz w:val="20"/>
          <w:szCs w:val="20"/>
          <w:shd w:val="clear" w:color="auto" w:fill="FFFFFF"/>
        </w:rPr>
        <w:t> of the</w:t>
      </w:r>
      <w:r w:rsidR="00206786" w:rsidRPr="002E72AC">
        <w:rPr>
          <w:rFonts w:ascii="Arial" w:hAnsi="Arial" w:cs="Arial"/>
          <w:i/>
          <w:iCs/>
          <w:sz w:val="20"/>
          <w:szCs w:val="20"/>
          <w:shd w:val="clear" w:color="auto" w:fill="FFFFFF"/>
        </w:rPr>
        <w:t> </w:t>
      </w:r>
      <w:hyperlink r:id="rId54" w:history="1">
        <w:r w:rsidR="00206786" w:rsidRPr="002E72AC">
          <w:rPr>
            <w:rFonts w:ascii="Arial" w:hAnsi="Arial" w:cs="Arial"/>
            <w:i/>
            <w:iCs/>
            <w:sz w:val="20"/>
            <w:szCs w:val="20"/>
            <w:shd w:val="clear" w:color="auto" w:fill="FFFFFF"/>
          </w:rPr>
          <w:t>Criminal Procedure Act 2009</w:t>
        </w:r>
      </w:hyperlink>
      <w:r w:rsidR="00206786" w:rsidRPr="002E72AC">
        <w:rPr>
          <w:rFonts w:ascii="Arial" w:hAnsi="Arial" w:cs="Arial"/>
          <w:sz w:val="20"/>
          <w:szCs w:val="20"/>
          <w:shd w:val="clear" w:color="auto" w:fill="FFFFFF"/>
        </w:rPr>
        <w:t> in recalling the first sentence. In our respectful opinion, the section cannot be used in that way. It should not be read as a ‘cure all’, enabling any error, of any kind, to be rectified at any time. It was not intended to, and does not, abrogate the doctrine of functus officio. One would need unmistakably clear language to bring about such a far-reaching, and remarkably radical, result.</w:t>
      </w:r>
      <w:r w:rsidRPr="002E72AC">
        <w:rPr>
          <w:rFonts w:ascii="Arial" w:hAnsi="Arial" w:cs="Arial"/>
          <w:sz w:val="20"/>
          <w:szCs w:val="20"/>
          <w:shd w:val="clear" w:color="auto" w:fill="FFFFFF"/>
        </w:rPr>
        <w:t>”</w:t>
      </w:r>
    </w:p>
    <w:p w14:paraId="03B60AC0" w14:textId="6792AF85" w:rsidR="00206786" w:rsidRPr="002E72AC" w:rsidRDefault="002E72AC" w:rsidP="00C417D0">
      <w:pPr>
        <w:overflowPunct w:val="0"/>
        <w:autoSpaceDE w:val="0"/>
        <w:autoSpaceDN w:val="0"/>
        <w:adjustRightInd w:val="0"/>
        <w:jc w:val="both"/>
        <w:textAlignment w:val="baseline"/>
        <w:rPr>
          <w:rFonts w:ascii="Arial" w:hAnsi="Arial" w:cs="Arial"/>
          <w:sz w:val="20"/>
          <w:szCs w:val="16"/>
        </w:rPr>
      </w:pPr>
      <w:r w:rsidRPr="002E72AC">
        <w:rPr>
          <w:rFonts w:ascii="Arial" w:hAnsi="Arial" w:cs="Arial"/>
          <w:sz w:val="20"/>
          <w:szCs w:val="16"/>
        </w:rPr>
        <w:t xml:space="preserve">See also </w:t>
      </w:r>
      <w:r w:rsidRPr="002E72AC">
        <w:rPr>
          <w:rFonts w:ascii="Arial" w:hAnsi="Arial" w:cs="Arial"/>
          <w:i/>
          <w:iCs/>
          <w:sz w:val="20"/>
          <w:szCs w:val="16"/>
        </w:rPr>
        <w:t xml:space="preserve">CMG v The Queen </w:t>
      </w:r>
      <w:r w:rsidRPr="002E72AC">
        <w:rPr>
          <w:rFonts w:ascii="Arial" w:hAnsi="Arial" w:cs="Arial"/>
          <w:sz w:val="20"/>
          <w:szCs w:val="16"/>
        </w:rPr>
        <w:t>[2013] VSCA 243 at [129]</w:t>
      </w:r>
      <w:r w:rsidR="00C417D0">
        <w:rPr>
          <w:rFonts w:ascii="Arial" w:hAnsi="Arial" w:cs="Arial"/>
          <w:sz w:val="20"/>
          <w:szCs w:val="16"/>
        </w:rPr>
        <w:t xml:space="preserve">; </w:t>
      </w:r>
      <w:r w:rsidR="00C417D0" w:rsidRPr="00C417D0">
        <w:rPr>
          <w:rFonts w:ascii="Arial" w:hAnsi="Arial" w:cs="Arial"/>
          <w:i/>
          <w:iCs/>
          <w:sz w:val="20"/>
          <w:szCs w:val="16"/>
        </w:rPr>
        <w:t>Dimovski v The Queen</w:t>
      </w:r>
      <w:r w:rsidR="00C417D0">
        <w:rPr>
          <w:rFonts w:ascii="Arial" w:hAnsi="Arial" w:cs="Arial"/>
          <w:sz w:val="20"/>
          <w:szCs w:val="16"/>
        </w:rPr>
        <w:t xml:space="preserve"> [2022] VSCA 6 at [</w:t>
      </w:r>
      <w:proofErr w:type="gramStart"/>
      <w:r w:rsidR="00C417D0">
        <w:rPr>
          <w:rFonts w:ascii="Arial" w:hAnsi="Arial" w:cs="Arial"/>
          <w:sz w:val="20"/>
          <w:szCs w:val="16"/>
        </w:rPr>
        <w:t>40]</w:t>
      </w:r>
      <w:r w:rsidR="00C417D0">
        <w:rPr>
          <w:rFonts w:ascii="Arial" w:hAnsi="Arial" w:cs="Arial"/>
          <w:sz w:val="20"/>
          <w:szCs w:val="16"/>
        </w:rPr>
        <w:noBreakHyphen/>
      </w:r>
      <w:proofErr w:type="gramEnd"/>
      <w:r w:rsidR="00C417D0">
        <w:rPr>
          <w:rFonts w:ascii="Arial" w:hAnsi="Arial" w:cs="Arial"/>
          <w:sz w:val="20"/>
          <w:szCs w:val="16"/>
        </w:rPr>
        <w:t>[44]</w:t>
      </w:r>
      <w:r w:rsidRPr="002E72AC">
        <w:rPr>
          <w:rFonts w:ascii="Arial" w:hAnsi="Arial" w:cs="Arial"/>
          <w:sz w:val="20"/>
          <w:szCs w:val="16"/>
        </w:rPr>
        <w:t>.</w:t>
      </w:r>
    </w:p>
    <w:p w14:paraId="0844B6B1" w14:textId="77777777" w:rsidR="00206786" w:rsidRDefault="00206786" w:rsidP="00206786">
      <w:pPr>
        <w:jc w:val="both"/>
        <w:rPr>
          <w:rFonts w:ascii="Arial" w:hAnsi="Arial" w:cs="Arial"/>
          <w:sz w:val="20"/>
        </w:rPr>
      </w:pPr>
    </w:p>
    <w:p w14:paraId="75B86113" w14:textId="6C1F8183" w:rsidR="00B21DA4" w:rsidRDefault="002E72AC" w:rsidP="00206786">
      <w:pPr>
        <w:jc w:val="both"/>
        <w:rPr>
          <w:rFonts w:ascii="Arial" w:hAnsi="Arial" w:cs="Arial"/>
          <w:sz w:val="20"/>
        </w:rPr>
      </w:pPr>
      <w:r>
        <w:rPr>
          <w:rFonts w:ascii="Arial" w:hAnsi="Arial" w:cs="Arial"/>
          <w:sz w:val="20"/>
        </w:rPr>
        <w:t>In general t</w:t>
      </w:r>
      <w:r w:rsidR="00B21DA4">
        <w:rPr>
          <w:rFonts w:ascii="Arial" w:hAnsi="Arial" w:cs="Arial"/>
          <w:sz w:val="20"/>
        </w:rPr>
        <w:t xml:space="preserve">he power of a judicial officer to amend a final judgment is limited.  In </w:t>
      </w:r>
      <w:r w:rsidR="00B21DA4">
        <w:rPr>
          <w:rFonts w:ascii="Arial" w:hAnsi="Arial" w:cs="Arial"/>
          <w:i/>
          <w:iCs/>
          <w:sz w:val="20"/>
        </w:rPr>
        <w:t xml:space="preserve">R v Billington </w:t>
      </w:r>
      <w:r w:rsidR="00B21DA4">
        <w:rPr>
          <w:rFonts w:ascii="Arial" w:hAnsi="Arial" w:cs="Arial"/>
          <w:sz w:val="20"/>
        </w:rPr>
        <w:t xml:space="preserve">[1980] VR 625 at 628 the Full Court of the Supreme Court of Victoria </w:t>
      </w:r>
      <w:r w:rsidR="00366998" w:rsidRPr="00A31FFA">
        <w:rPr>
          <w:rFonts w:ascii="Arial" w:hAnsi="Arial" w:cs="Arial"/>
          <w:sz w:val="20"/>
        </w:rPr>
        <w:t>–</w:t>
      </w:r>
      <w:r w:rsidR="00B21DA4">
        <w:rPr>
          <w:rFonts w:ascii="Arial" w:hAnsi="Arial" w:cs="Arial"/>
          <w:sz w:val="20"/>
        </w:rPr>
        <w:t xml:space="preserve"> following dicta of the Full Court in </w:t>
      </w:r>
      <w:r w:rsidR="00B21DA4">
        <w:rPr>
          <w:rFonts w:ascii="Arial" w:hAnsi="Arial" w:cs="Arial"/>
          <w:i/>
          <w:iCs/>
          <w:sz w:val="20"/>
        </w:rPr>
        <w:t>Carroll v Price</w:t>
      </w:r>
      <w:r w:rsidR="00B21DA4">
        <w:rPr>
          <w:rFonts w:ascii="Arial" w:hAnsi="Arial" w:cs="Arial"/>
          <w:sz w:val="20"/>
        </w:rPr>
        <w:t xml:space="preserve"> [1960] VR 651 at 657-8 </w:t>
      </w:r>
      <w:r w:rsidR="00366998" w:rsidRPr="00A31FFA">
        <w:rPr>
          <w:rFonts w:ascii="Arial" w:hAnsi="Arial" w:cs="Arial"/>
          <w:sz w:val="20"/>
        </w:rPr>
        <w:t>–</w:t>
      </w:r>
      <w:r w:rsidR="00B21DA4">
        <w:rPr>
          <w:rFonts w:ascii="Arial" w:hAnsi="Arial" w:cs="Arial"/>
          <w:sz w:val="20"/>
        </w:rPr>
        <w:t xml:space="preserve"> said:</w:t>
      </w:r>
    </w:p>
    <w:p w14:paraId="3D71143B" w14:textId="77777777" w:rsidR="00B21DA4" w:rsidRDefault="00B21DA4" w:rsidP="005E5DBD">
      <w:pPr>
        <w:spacing w:before="60"/>
        <w:ind w:left="454" w:right="454"/>
        <w:jc w:val="both"/>
        <w:rPr>
          <w:rFonts w:ascii="Arial" w:hAnsi="Arial" w:cs="Arial"/>
          <w:sz w:val="20"/>
        </w:rPr>
      </w:pPr>
      <w:r>
        <w:rPr>
          <w:rFonts w:ascii="Arial" w:hAnsi="Arial" w:cs="Arial"/>
          <w:sz w:val="20"/>
        </w:rPr>
        <w:t>"In the absence of any express legislative provision…it is settled law that until a judgment is passed and entered it is still under the control of the judge who may recall it or alter it, but once it has been passed and entered, or in the case of an order in chambers, signed by the judge it cannot thereafter be altered except in accordance with one of the rules or on appeal."</w:t>
      </w:r>
    </w:p>
    <w:p w14:paraId="3621FEDD" w14:textId="77777777" w:rsidR="00B21DA4" w:rsidRPr="00716457" w:rsidRDefault="00B21DA4">
      <w:pPr>
        <w:jc w:val="both"/>
        <w:rPr>
          <w:rFonts w:ascii="Arial" w:hAnsi="Arial" w:cs="Arial"/>
          <w:sz w:val="18"/>
        </w:rPr>
      </w:pPr>
    </w:p>
    <w:p w14:paraId="513B3F8C" w14:textId="77777777" w:rsidR="00B21DA4" w:rsidRDefault="00B21DA4" w:rsidP="0026646A">
      <w:pPr>
        <w:jc w:val="both"/>
        <w:rPr>
          <w:rFonts w:ascii="Arial" w:hAnsi="Arial" w:cs="Arial"/>
          <w:sz w:val="20"/>
        </w:rPr>
      </w:pPr>
      <w:r>
        <w:rPr>
          <w:rFonts w:ascii="Arial" w:hAnsi="Arial" w:cs="Arial"/>
          <w:sz w:val="20"/>
        </w:rPr>
        <w:t xml:space="preserve">In </w:t>
      </w:r>
      <w:r>
        <w:rPr>
          <w:rFonts w:ascii="Arial" w:hAnsi="Arial" w:cs="Arial"/>
          <w:i/>
          <w:iCs/>
          <w:sz w:val="20"/>
        </w:rPr>
        <w:t>Bailey v Marinoff</w:t>
      </w:r>
      <w:r>
        <w:rPr>
          <w:rFonts w:ascii="Arial" w:hAnsi="Arial" w:cs="Arial"/>
          <w:sz w:val="20"/>
        </w:rPr>
        <w:t xml:space="preserve"> (1971) 125 CLR at 530 Barwick CJ enunciated the rule in similar terms:</w:t>
      </w:r>
    </w:p>
    <w:p w14:paraId="6901C0D6" w14:textId="77777777" w:rsidR="00B21DA4" w:rsidRDefault="00B21DA4" w:rsidP="009462F3">
      <w:pPr>
        <w:spacing w:before="60"/>
        <w:ind w:left="454" w:right="454"/>
        <w:jc w:val="both"/>
        <w:rPr>
          <w:rFonts w:ascii="Arial" w:hAnsi="Arial" w:cs="Arial"/>
          <w:sz w:val="20"/>
        </w:rPr>
      </w:pPr>
      <w:r>
        <w:rPr>
          <w:rFonts w:ascii="Arial" w:hAnsi="Arial" w:cs="Arial"/>
          <w:sz w:val="20"/>
        </w:rPr>
        <w:t>"Once an order disposing of a proceeding has been perfected by being drawn up as the requisite record of a court, that proceeding apart from any specific and relevant statutory provision is at an end in that court and is in its substance, in my opinion, beyond recall by that court."</w:t>
      </w:r>
    </w:p>
    <w:p w14:paraId="034FCFED" w14:textId="77777777" w:rsidR="00B21DA4" w:rsidRDefault="00B21DA4">
      <w:pPr>
        <w:spacing w:before="120"/>
        <w:jc w:val="both"/>
        <w:rPr>
          <w:rFonts w:ascii="Arial" w:hAnsi="Arial" w:cs="Arial"/>
          <w:sz w:val="20"/>
        </w:rPr>
      </w:pPr>
      <w:r>
        <w:rPr>
          <w:rFonts w:ascii="Arial" w:hAnsi="Arial" w:cs="Arial"/>
          <w:sz w:val="20"/>
        </w:rPr>
        <w:t>However, at p.539 Gibbs J made it clear that this rule was not inflexible and indeed only applied to a perfected order in a form which correctly expressed the intention with which it was made:</w:t>
      </w:r>
    </w:p>
    <w:p w14:paraId="27E86614" w14:textId="77777777" w:rsidR="00B21DA4" w:rsidRDefault="00B21DA4" w:rsidP="009462F3">
      <w:pPr>
        <w:spacing w:before="60"/>
        <w:ind w:left="454" w:right="454"/>
        <w:jc w:val="both"/>
        <w:rPr>
          <w:rFonts w:ascii="Arial" w:hAnsi="Arial" w:cs="Arial"/>
          <w:sz w:val="20"/>
        </w:rPr>
      </w:pPr>
      <w:r>
        <w:rPr>
          <w:rFonts w:ascii="Arial" w:hAnsi="Arial" w:cs="Arial"/>
          <w:sz w:val="20"/>
        </w:rPr>
        <w:t>"It is a well settled rule that once an order of a court has been passed and entered or otherwise perfected in a form which correctly expresses the intention with which it was made the court has no jurisdiction to alter it.  …  The rule rests on the obvious principle that it is desirable that there be an end to litigation on the view that it would be mischievous if there were jurisdiction to re-hear a matter decided after full hearing.  However, the rule is not inflexible and…the court has the power to vary an order so as to carry out its own meaning or to make plain language which is doubtful, and that power does not depend on rules of court but is inherent in the court."</w:t>
      </w:r>
    </w:p>
    <w:p w14:paraId="19A0E2D7" w14:textId="77777777" w:rsidR="00B21DA4" w:rsidRDefault="00B21DA4">
      <w:pPr>
        <w:jc w:val="both"/>
        <w:rPr>
          <w:rFonts w:ascii="Arial" w:hAnsi="Arial" w:cs="Arial"/>
          <w:sz w:val="20"/>
        </w:rPr>
      </w:pPr>
    </w:p>
    <w:p w14:paraId="4C2B06DB" w14:textId="77777777" w:rsidR="00BD2080" w:rsidRPr="00BD2080" w:rsidRDefault="00BD2080">
      <w:pPr>
        <w:jc w:val="both"/>
        <w:rPr>
          <w:rFonts w:ascii="Arial" w:hAnsi="Arial" w:cs="Arial"/>
          <w:sz w:val="20"/>
          <w:szCs w:val="20"/>
        </w:rPr>
      </w:pPr>
      <w:r w:rsidRPr="00BD2080">
        <w:rPr>
          <w:rFonts w:ascii="Arial" w:hAnsi="Arial" w:cs="Arial"/>
          <w:sz w:val="20"/>
          <w:szCs w:val="20"/>
        </w:rPr>
        <w:t xml:space="preserve">In </w:t>
      </w:r>
      <w:r w:rsidRPr="00BD2080">
        <w:rPr>
          <w:rFonts w:ascii="Arial" w:hAnsi="Arial" w:cs="Arial"/>
          <w:i/>
          <w:iCs/>
          <w:color w:val="000000"/>
          <w:sz w:val="20"/>
          <w:szCs w:val="20"/>
        </w:rPr>
        <w:t>Funston v CCSS Pty Ltd</w:t>
      </w:r>
      <w:r>
        <w:rPr>
          <w:rFonts w:ascii="Arial" w:hAnsi="Arial" w:cs="Arial"/>
          <w:i/>
          <w:iCs/>
          <w:color w:val="000000"/>
          <w:sz w:val="20"/>
          <w:szCs w:val="20"/>
        </w:rPr>
        <w:t xml:space="preserve"> (Costs)</w:t>
      </w:r>
      <w:r w:rsidRPr="00BD2080">
        <w:rPr>
          <w:rFonts w:ascii="Arial" w:hAnsi="Arial" w:cs="Arial"/>
          <w:color w:val="000000"/>
          <w:sz w:val="20"/>
          <w:szCs w:val="20"/>
        </w:rPr>
        <w:t xml:space="preserve"> [2021] VSC 100</w:t>
      </w:r>
      <w:r>
        <w:rPr>
          <w:rFonts w:ascii="Arial" w:hAnsi="Arial" w:cs="Arial"/>
          <w:color w:val="000000"/>
          <w:sz w:val="20"/>
          <w:szCs w:val="20"/>
        </w:rPr>
        <w:t xml:space="preserve"> at [3]-[4] Quigley J discussed some circumstances in which an authenticated court order may be rescinded</w:t>
      </w:r>
      <w:r w:rsidR="00F44513">
        <w:rPr>
          <w:rFonts w:ascii="Arial" w:hAnsi="Arial" w:cs="Arial"/>
          <w:color w:val="000000"/>
          <w:sz w:val="20"/>
          <w:szCs w:val="20"/>
        </w:rPr>
        <w:t xml:space="preserve"> and replaced by a new order</w:t>
      </w:r>
      <w:r>
        <w:rPr>
          <w:rFonts w:ascii="Arial" w:hAnsi="Arial" w:cs="Arial"/>
          <w:color w:val="000000"/>
          <w:sz w:val="20"/>
          <w:szCs w:val="20"/>
        </w:rPr>
        <w:t>:</w:t>
      </w:r>
    </w:p>
    <w:p w14:paraId="29B2D49B" w14:textId="77777777" w:rsidR="00BD2080" w:rsidRDefault="00BD2080" w:rsidP="009462F3">
      <w:pPr>
        <w:spacing w:before="60"/>
        <w:ind w:left="454" w:right="454"/>
        <w:jc w:val="both"/>
        <w:rPr>
          <w:rFonts w:ascii="Arial" w:hAnsi="Arial" w:cs="Arial"/>
          <w:sz w:val="20"/>
          <w:szCs w:val="20"/>
        </w:rPr>
      </w:pPr>
      <w:r>
        <w:rPr>
          <w:rFonts w:ascii="Arial" w:hAnsi="Arial" w:cs="Arial"/>
          <w:sz w:val="20"/>
        </w:rPr>
        <w:t>“</w:t>
      </w:r>
      <w:r w:rsidRPr="00BD2080">
        <w:rPr>
          <w:rFonts w:ascii="Arial" w:hAnsi="Arial" w:cs="Arial"/>
          <w:sz w:val="20"/>
          <w:szCs w:val="20"/>
        </w:rPr>
        <w:t xml:space="preserve">The instances where an authenticated order of a court should be rescinded are rare, in service of the general public interest that there be an end point to litigation: </w:t>
      </w:r>
      <w:r w:rsidRPr="00BD2080">
        <w:rPr>
          <w:rFonts w:ascii="Arial" w:eastAsia="Book Antiqua" w:hAnsi="Arial" w:cs="Arial"/>
          <w:i/>
          <w:sz w:val="20"/>
          <w:szCs w:val="20"/>
        </w:rPr>
        <w:t xml:space="preserve">Lollis v Loulatzis &amp; Anor (No 3) </w:t>
      </w:r>
      <w:r w:rsidRPr="00BD2080">
        <w:rPr>
          <w:rFonts w:ascii="Arial" w:hAnsi="Arial" w:cs="Arial"/>
          <w:sz w:val="20"/>
          <w:szCs w:val="20"/>
        </w:rPr>
        <w:t xml:space="preserve">[2008] VSC 231 [30].  One such instance is where the hearing that leads to an order was affected by an irregularity so severe as to render the outcome a nullity, for instance where one party is not notified of a hearing date: </w:t>
      </w:r>
      <w:r w:rsidRPr="00BD2080">
        <w:rPr>
          <w:rFonts w:ascii="Arial" w:eastAsia="Book Antiqua" w:hAnsi="Arial" w:cs="Arial"/>
          <w:i/>
          <w:sz w:val="20"/>
          <w:szCs w:val="20"/>
        </w:rPr>
        <w:t xml:space="preserve">Cameron v Cole </w:t>
      </w:r>
      <w:r w:rsidRPr="00BD2080">
        <w:rPr>
          <w:rFonts w:ascii="Arial" w:hAnsi="Arial" w:cs="Arial"/>
          <w:sz w:val="20"/>
          <w:szCs w:val="20"/>
        </w:rPr>
        <w:t xml:space="preserve">(1943) 68 CLR 571,589.  Another such instance, as has been held in another jurisdiction, is where parties consent to set aside an order of the court, provided that no third party sustains injury: </w:t>
      </w:r>
      <w:r w:rsidRPr="00BD2080">
        <w:rPr>
          <w:rFonts w:ascii="Arial" w:eastAsia="Book Antiqua" w:hAnsi="Arial" w:cs="Arial"/>
          <w:i/>
          <w:sz w:val="20"/>
          <w:szCs w:val="20"/>
        </w:rPr>
        <w:t xml:space="preserve">Permanent Trustee </w:t>
      </w:r>
      <w:r w:rsidRPr="00BD2080">
        <w:rPr>
          <w:rFonts w:ascii="Arial" w:eastAsia="Book Antiqua" w:hAnsi="Arial" w:cs="Arial"/>
          <w:i/>
          <w:sz w:val="20"/>
          <w:szCs w:val="20"/>
        </w:rPr>
        <w:lastRenderedPageBreak/>
        <w:t xml:space="preserve">Co (Canberra) Ltd (Executor estate of Andrews) v Stocks &amp; Holdings (Canberra) Pty Ltd </w:t>
      </w:r>
      <w:r w:rsidRPr="00BD2080">
        <w:rPr>
          <w:rFonts w:ascii="Arial" w:hAnsi="Arial" w:cs="Arial"/>
          <w:sz w:val="20"/>
          <w:szCs w:val="20"/>
        </w:rPr>
        <w:t>(1976)</w:t>
      </w:r>
      <w:r w:rsidRPr="00BD2080">
        <w:rPr>
          <w:rFonts w:ascii="Arial" w:eastAsia="Book Antiqua" w:hAnsi="Arial" w:cs="Arial"/>
          <w:i/>
          <w:sz w:val="20"/>
          <w:szCs w:val="20"/>
        </w:rPr>
        <w:t xml:space="preserve"> </w:t>
      </w:r>
      <w:r w:rsidRPr="00BD2080">
        <w:rPr>
          <w:rFonts w:ascii="Arial" w:hAnsi="Arial" w:cs="Arial"/>
          <w:sz w:val="20"/>
          <w:szCs w:val="20"/>
        </w:rPr>
        <w:t>28 FLR 195, 201.</w:t>
      </w:r>
    </w:p>
    <w:p w14:paraId="4C92F801" w14:textId="77777777" w:rsidR="00BD2080" w:rsidRPr="00BD2080" w:rsidRDefault="00BD2080" w:rsidP="009462F3">
      <w:pPr>
        <w:spacing w:before="60"/>
        <w:ind w:left="454" w:right="454"/>
        <w:jc w:val="both"/>
        <w:rPr>
          <w:rFonts w:ascii="Arial" w:hAnsi="Arial" w:cs="Arial"/>
          <w:sz w:val="20"/>
          <w:szCs w:val="20"/>
        </w:rPr>
      </w:pPr>
      <w:r w:rsidRPr="00BD2080">
        <w:rPr>
          <w:rFonts w:ascii="Arial" w:hAnsi="Arial" w:cs="Arial"/>
          <w:sz w:val="20"/>
          <w:szCs w:val="20"/>
        </w:rPr>
        <w:t>In the present circumstances, arguably both of these circumstances apply.  Firstly, drafting reasons in Chambers without considering the submissions of one party is akin to not providing a party with an opportunity to present its arguments at a hearing.  Secondly, by correspondence sent to Chambers on 4 March 2021, both parties consented to the proposal to set aside the orders and reasons of 2 March 2021, and for fresh orders and reasons to be provided in lieu.  Further, there is no third party who would be adversely affected by this course of action.  It is therefore preferable to issue new orders and reasons.</w:t>
      </w:r>
      <w:r>
        <w:rPr>
          <w:rFonts w:ascii="Arial" w:hAnsi="Arial" w:cs="Arial"/>
          <w:sz w:val="20"/>
          <w:szCs w:val="20"/>
        </w:rPr>
        <w:t>”</w:t>
      </w:r>
    </w:p>
    <w:p w14:paraId="3D4112F5" w14:textId="77777777" w:rsidR="00BD2080" w:rsidRDefault="00BD2080">
      <w:pPr>
        <w:jc w:val="both"/>
        <w:rPr>
          <w:rFonts w:ascii="Arial" w:hAnsi="Arial" w:cs="Arial"/>
          <w:sz w:val="20"/>
        </w:rPr>
      </w:pPr>
    </w:p>
    <w:p w14:paraId="04811D9F"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Abacus Australia Ltd v Bradstock G.I.S. Pty Ltd</w:t>
      </w:r>
      <w:r>
        <w:rPr>
          <w:rFonts w:ascii="Arial" w:hAnsi="Arial" w:cs="Arial"/>
          <w:sz w:val="20"/>
        </w:rPr>
        <w:t xml:space="preserve"> [2001] VSC 19 at [31], [33] &amp; [34], Gillard J said of the power to amend, the so-called 'slip rule':</w:t>
      </w:r>
    </w:p>
    <w:p w14:paraId="6859FD5A" w14:textId="77777777" w:rsidR="00B21DA4" w:rsidRDefault="00B21DA4" w:rsidP="009462F3">
      <w:pPr>
        <w:spacing w:before="60"/>
        <w:ind w:left="454" w:right="454"/>
        <w:jc w:val="both"/>
        <w:rPr>
          <w:rFonts w:ascii="Arial" w:hAnsi="Arial" w:cs="Arial"/>
          <w:sz w:val="20"/>
        </w:rPr>
      </w:pPr>
      <w:r>
        <w:rPr>
          <w:rFonts w:ascii="Arial" w:hAnsi="Arial" w:cs="Arial"/>
          <w:sz w:val="20"/>
        </w:rPr>
        <w:t>[31</w:t>
      </w:r>
      <w:proofErr w:type="gramStart"/>
      <w:r>
        <w:rPr>
          <w:rFonts w:ascii="Arial" w:hAnsi="Arial" w:cs="Arial"/>
          <w:sz w:val="20"/>
        </w:rPr>
        <w:t>]  "</w:t>
      </w:r>
      <w:proofErr w:type="gramEnd"/>
      <w:r>
        <w:rPr>
          <w:rFonts w:ascii="Arial" w:hAnsi="Arial" w:cs="Arial"/>
          <w:sz w:val="20"/>
        </w:rPr>
        <w:t>Rule 36.07 is the 'slip rule' and provides:</w:t>
      </w:r>
    </w:p>
    <w:p w14:paraId="5F59666C" w14:textId="2F781EEE" w:rsidR="00B21DA4" w:rsidRDefault="00B21DA4">
      <w:pPr>
        <w:spacing w:before="60"/>
        <w:ind w:left="1440" w:right="1134"/>
        <w:jc w:val="both"/>
        <w:rPr>
          <w:rFonts w:ascii="Arial" w:hAnsi="Arial" w:cs="Arial"/>
          <w:sz w:val="20"/>
        </w:rPr>
      </w:pPr>
      <w:r>
        <w:rPr>
          <w:rFonts w:ascii="Arial" w:hAnsi="Arial" w:cs="Arial"/>
          <w:sz w:val="20"/>
        </w:rPr>
        <w:t>"The court may at any time correct a clerical mistake in a judgment or order or an error arising in a judgment or order from any accidental slip or omission.</w:t>
      </w:r>
      <w:r w:rsidR="00281614">
        <w:rPr>
          <w:rFonts w:ascii="Arial" w:hAnsi="Arial" w:cs="Arial"/>
          <w:sz w:val="20"/>
        </w:rPr>
        <w:t>”</w:t>
      </w:r>
    </w:p>
    <w:p w14:paraId="03BB1953" w14:textId="77777777" w:rsidR="00B21DA4" w:rsidRDefault="00B21DA4" w:rsidP="009462F3">
      <w:pPr>
        <w:spacing w:before="80"/>
        <w:ind w:left="454" w:right="454"/>
        <w:jc w:val="both"/>
        <w:rPr>
          <w:rFonts w:ascii="Arial" w:hAnsi="Arial" w:cs="Arial"/>
          <w:sz w:val="20"/>
        </w:rPr>
      </w:pPr>
      <w:r>
        <w:rPr>
          <w:rFonts w:ascii="Arial" w:hAnsi="Arial" w:cs="Arial"/>
          <w:sz w:val="20"/>
        </w:rPr>
        <w:t>[33</w:t>
      </w:r>
      <w:proofErr w:type="gramStart"/>
      <w:r>
        <w:rPr>
          <w:rFonts w:ascii="Arial" w:hAnsi="Arial" w:cs="Arial"/>
          <w:sz w:val="20"/>
        </w:rPr>
        <w:t>]  In</w:t>
      </w:r>
      <w:proofErr w:type="gramEnd"/>
      <w:r>
        <w:rPr>
          <w:rFonts w:ascii="Arial" w:hAnsi="Arial" w:cs="Arial"/>
          <w:sz w:val="20"/>
        </w:rPr>
        <w:t xml:space="preserve"> addition to the powers in the Rules, the court has an inherent jurisdiction to amend or vary a judgment or order which has been authenticated where there is some error and the court takes steps to ensure that the authenticated order states correctly what the court decided and intended.  See </w:t>
      </w:r>
      <w:r>
        <w:rPr>
          <w:rFonts w:ascii="Arial" w:hAnsi="Arial" w:cs="Arial"/>
          <w:i/>
          <w:iCs/>
          <w:sz w:val="20"/>
        </w:rPr>
        <w:t>Lawrie v Lees</w:t>
      </w:r>
      <w:r>
        <w:rPr>
          <w:rFonts w:ascii="Arial" w:hAnsi="Arial" w:cs="Arial"/>
          <w:sz w:val="20"/>
        </w:rPr>
        <w:t xml:space="preserve"> (1881) 7 App Cas 19 at 34-5.  The inherent power also enables the court to clear up any ambiguity or uncertainty and also to correct any mistake or error made by an officer of the court in drawing up the judgment.  See </w:t>
      </w:r>
      <w:r>
        <w:rPr>
          <w:rFonts w:ascii="Arial" w:hAnsi="Arial" w:cs="Arial"/>
          <w:i/>
          <w:iCs/>
          <w:sz w:val="20"/>
        </w:rPr>
        <w:t>Oxley v Link</w:t>
      </w:r>
      <w:r>
        <w:rPr>
          <w:rFonts w:ascii="Arial" w:hAnsi="Arial" w:cs="Arial"/>
          <w:sz w:val="20"/>
        </w:rPr>
        <w:t xml:space="preserve"> (1914) 2 KB 734 at 738 and 746.</w:t>
      </w:r>
    </w:p>
    <w:p w14:paraId="3BC741B2" w14:textId="77777777" w:rsidR="00B21DA4" w:rsidRDefault="00B21DA4" w:rsidP="009462F3">
      <w:pPr>
        <w:spacing w:before="80"/>
        <w:ind w:left="454" w:right="454"/>
        <w:jc w:val="both"/>
        <w:rPr>
          <w:rFonts w:ascii="Arial" w:hAnsi="Arial" w:cs="Arial"/>
          <w:sz w:val="20"/>
        </w:rPr>
      </w:pPr>
      <w:r>
        <w:rPr>
          <w:rFonts w:ascii="Arial" w:hAnsi="Arial" w:cs="Arial"/>
          <w:sz w:val="20"/>
        </w:rPr>
        <w:t>[34]  But the general rule is that once a judgment or order has been authenticated in a form which correctly expresses the intention with which it was made by the court, the court has no jurisdiction to review, vary or set it aside and the only avenue open to any party to attack the judgment is to appeal."</w:t>
      </w:r>
    </w:p>
    <w:p w14:paraId="66301A82" w14:textId="77777777" w:rsidR="00B21DA4" w:rsidRDefault="00B21DA4" w:rsidP="002C0A9F">
      <w:pPr>
        <w:jc w:val="both"/>
        <w:rPr>
          <w:rFonts w:ascii="Arial" w:hAnsi="Arial" w:cs="Arial"/>
          <w:sz w:val="20"/>
        </w:rPr>
      </w:pPr>
    </w:p>
    <w:p w14:paraId="5E75ED0D" w14:textId="77777777" w:rsidR="00B21DA4" w:rsidRDefault="00B21DA4">
      <w:pPr>
        <w:jc w:val="both"/>
        <w:rPr>
          <w:rFonts w:ascii="Arial" w:hAnsi="Arial" w:cs="Arial"/>
          <w:sz w:val="20"/>
        </w:rPr>
      </w:pPr>
      <w:r>
        <w:rPr>
          <w:rFonts w:ascii="Arial" w:hAnsi="Arial" w:cs="Arial"/>
          <w:sz w:val="20"/>
        </w:rPr>
        <w:t xml:space="preserve">After speaking of the power to vary contained in Rule 21.07 of the Supreme Court Rules, Gillard J. said at [45], after referring to dicta of Evershed LJ in </w:t>
      </w:r>
      <w:r>
        <w:rPr>
          <w:rFonts w:ascii="Arial" w:hAnsi="Arial" w:cs="Arial"/>
          <w:i/>
          <w:iCs/>
          <w:sz w:val="20"/>
        </w:rPr>
        <w:t>Meyer v Meyer</w:t>
      </w:r>
      <w:r>
        <w:rPr>
          <w:rFonts w:ascii="Arial" w:hAnsi="Arial" w:cs="Arial"/>
          <w:sz w:val="20"/>
        </w:rPr>
        <w:t xml:space="preserve"> (1948) P 89 at 95 and </w:t>
      </w:r>
      <w:r>
        <w:rPr>
          <w:rFonts w:ascii="Arial" w:hAnsi="Arial" w:cs="Arial"/>
          <w:i/>
          <w:iCs/>
          <w:sz w:val="20"/>
        </w:rPr>
        <w:t>Thynne v Thynne</w:t>
      </w:r>
      <w:r>
        <w:rPr>
          <w:rFonts w:ascii="Arial" w:hAnsi="Arial" w:cs="Arial"/>
          <w:sz w:val="20"/>
        </w:rPr>
        <w:t xml:space="preserve"> (1955) P 272 at 313:</w:t>
      </w:r>
    </w:p>
    <w:p w14:paraId="6D140747" w14:textId="77777777" w:rsidR="00B21DA4" w:rsidRDefault="00B21DA4" w:rsidP="009462F3">
      <w:pPr>
        <w:spacing w:before="80"/>
        <w:ind w:left="454" w:right="454"/>
        <w:jc w:val="both"/>
        <w:rPr>
          <w:rFonts w:ascii="Arial" w:hAnsi="Arial" w:cs="Arial"/>
          <w:sz w:val="20"/>
        </w:rPr>
      </w:pPr>
      <w:r>
        <w:rPr>
          <w:rFonts w:ascii="Arial" w:hAnsi="Arial" w:cs="Arial"/>
          <w:sz w:val="20"/>
        </w:rPr>
        <w:t xml:space="preserve">"Rule 21.07 and the inherent power of the court give the court jurisdiction in an appropriate case to vary an order.  The word 'vary' in Rule 21.07 should not be given a restricted meaning and covers a change, amendment, modification or alteration of an order.  </w:t>
      </w:r>
      <w:r>
        <w:rPr>
          <w:rFonts w:ascii="Arial" w:hAnsi="Arial" w:cs="Arial"/>
          <w:sz w:val="20"/>
          <w:u w:val="single"/>
        </w:rPr>
        <w:t>The rule and the inherent power should be applied where the purposes of justice require the court to vary the order</w:t>
      </w:r>
      <w:r>
        <w:rPr>
          <w:rFonts w:ascii="Arial" w:hAnsi="Arial" w:cs="Arial"/>
          <w:sz w:val="20"/>
        </w:rPr>
        <w:t>."</w:t>
      </w:r>
    </w:p>
    <w:p w14:paraId="34681CCA" w14:textId="77777777" w:rsidR="00B21DA4" w:rsidRDefault="00B21DA4">
      <w:pPr>
        <w:jc w:val="both"/>
        <w:rPr>
          <w:rFonts w:ascii="Arial" w:hAnsi="Arial" w:cs="Arial"/>
          <w:sz w:val="20"/>
        </w:rPr>
      </w:pPr>
    </w:p>
    <w:p w14:paraId="19253DBD" w14:textId="77777777" w:rsidR="00B21DA4" w:rsidRDefault="00B21DA4" w:rsidP="000F0BE9">
      <w:pPr>
        <w:jc w:val="both"/>
        <w:rPr>
          <w:rFonts w:ascii="Arial" w:hAnsi="Arial" w:cs="Arial"/>
          <w:sz w:val="20"/>
        </w:rPr>
      </w:pPr>
      <w:r>
        <w:rPr>
          <w:rFonts w:ascii="Arial" w:hAnsi="Arial" w:cs="Arial"/>
          <w:sz w:val="20"/>
        </w:rPr>
        <w:t>However, while declining "to restrict the clear discretion which is given to the court…to vary a judgment in appropriate circumstances", His Honour noted at [42]: "The Court would not vary a judgment unless there was good cause and in the absence of proof of some error, so that what was recorded did not give effect to the object of the proceeding and what the Court intended to do."</w:t>
      </w:r>
    </w:p>
    <w:p w14:paraId="44BE32A8" w14:textId="77777777" w:rsidR="00B21DA4" w:rsidRDefault="00B21DA4">
      <w:pPr>
        <w:jc w:val="both"/>
        <w:rPr>
          <w:rFonts w:ascii="Arial" w:hAnsi="Arial" w:cs="Arial"/>
          <w:sz w:val="20"/>
        </w:rPr>
      </w:pPr>
    </w:p>
    <w:p w14:paraId="4FAA3D4F" w14:textId="77777777" w:rsidR="00B21DA4" w:rsidRDefault="00B21DA4">
      <w:pPr>
        <w:jc w:val="both"/>
        <w:rPr>
          <w:rFonts w:ascii="Arial" w:hAnsi="Arial" w:cs="Arial"/>
          <w:sz w:val="20"/>
        </w:rPr>
      </w:pPr>
      <w:r>
        <w:rPr>
          <w:rFonts w:ascii="Arial" w:hAnsi="Arial" w:cs="Arial"/>
          <w:sz w:val="20"/>
        </w:rPr>
        <w:t xml:space="preserve">The above reference by Gillard J to "the purposes of justice" accords with the first of 3 categories of exception to the general rule identified by Brennan J in </w:t>
      </w:r>
      <w:r>
        <w:rPr>
          <w:rFonts w:ascii="Arial" w:hAnsi="Arial" w:cs="Arial"/>
          <w:i/>
          <w:sz w:val="20"/>
        </w:rPr>
        <w:t xml:space="preserve">Permanent Trustee Co. (Canberra) Ltd. (as executor of estate of Andrews) v. Stocks and Holdings (Canberra) Pty. Ltd. </w:t>
      </w:r>
      <w:r>
        <w:rPr>
          <w:rFonts w:ascii="Arial" w:hAnsi="Arial" w:cs="Arial"/>
          <w:iCs/>
          <w:sz w:val="20"/>
        </w:rPr>
        <w:t xml:space="preserve">(1976) 15 ACTR 45 at 48, as noted by Sheller JA in </w:t>
      </w:r>
      <w:r>
        <w:rPr>
          <w:rFonts w:ascii="Arial" w:hAnsi="Arial" w:cs="Arial"/>
          <w:i/>
          <w:sz w:val="20"/>
        </w:rPr>
        <w:t>Logwon Pty. Ltd. v. Warringah Shire Council</w:t>
      </w:r>
      <w:r>
        <w:rPr>
          <w:rFonts w:ascii="Arial" w:hAnsi="Arial" w:cs="Arial"/>
          <w:iCs/>
          <w:sz w:val="20"/>
        </w:rPr>
        <w:t xml:space="preserve"> (1993) 33 NSWLR 13 at 28-29:</w:t>
      </w:r>
    </w:p>
    <w:p w14:paraId="50FED737" w14:textId="77777777" w:rsidR="00B21DA4" w:rsidRDefault="00B21DA4" w:rsidP="00212E38">
      <w:pPr>
        <w:numPr>
          <w:ilvl w:val="0"/>
          <w:numId w:val="10"/>
        </w:numPr>
        <w:jc w:val="both"/>
        <w:rPr>
          <w:rFonts w:ascii="Arial" w:hAnsi="Arial" w:cs="Arial"/>
          <w:sz w:val="20"/>
        </w:rPr>
      </w:pPr>
      <w:r>
        <w:rPr>
          <w:rFonts w:ascii="Arial" w:hAnsi="Arial" w:cs="Arial"/>
          <w:sz w:val="20"/>
        </w:rPr>
        <w:t>Exceptions founded upon the inherent jurisdiction of the court to ensure that its procedures do not effect injustice;</w:t>
      </w:r>
    </w:p>
    <w:p w14:paraId="5B9338D0" w14:textId="77777777" w:rsidR="00B21DA4" w:rsidRDefault="00B21DA4" w:rsidP="00212E38">
      <w:pPr>
        <w:numPr>
          <w:ilvl w:val="0"/>
          <w:numId w:val="10"/>
        </w:numPr>
        <w:jc w:val="both"/>
        <w:rPr>
          <w:rFonts w:ascii="Arial" w:hAnsi="Arial" w:cs="Arial"/>
          <w:sz w:val="20"/>
        </w:rPr>
      </w:pPr>
      <w:r>
        <w:rPr>
          <w:rFonts w:ascii="Arial" w:hAnsi="Arial" w:cs="Arial"/>
          <w:sz w:val="20"/>
        </w:rPr>
        <w:t>Exceptions which are authorized by statute;</w:t>
      </w:r>
    </w:p>
    <w:p w14:paraId="39F7699E" w14:textId="77777777" w:rsidR="00B21DA4" w:rsidRDefault="00B21DA4" w:rsidP="00212E38">
      <w:pPr>
        <w:numPr>
          <w:ilvl w:val="0"/>
          <w:numId w:val="10"/>
        </w:numPr>
        <w:ind w:left="714" w:hanging="357"/>
        <w:jc w:val="both"/>
        <w:rPr>
          <w:rFonts w:ascii="Arial" w:hAnsi="Arial" w:cs="Arial"/>
          <w:sz w:val="20"/>
        </w:rPr>
      </w:pPr>
      <w:r>
        <w:rPr>
          <w:rFonts w:ascii="Arial" w:hAnsi="Arial" w:cs="Arial"/>
          <w:sz w:val="20"/>
        </w:rPr>
        <w:t>Exceptions which override the general rule in order to give relief where the judgment is obtained by fraud or by an agreement which is void or voidable.</w:t>
      </w:r>
    </w:p>
    <w:p w14:paraId="639B9502" w14:textId="77777777" w:rsidR="00B21DA4" w:rsidRDefault="00B21DA4">
      <w:pPr>
        <w:jc w:val="both"/>
        <w:rPr>
          <w:rFonts w:ascii="Arial" w:hAnsi="Arial" w:cs="Arial"/>
          <w:sz w:val="20"/>
        </w:rPr>
      </w:pPr>
      <w:r>
        <w:rPr>
          <w:rFonts w:ascii="Arial" w:hAnsi="Arial" w:cs="Arial"/>
          <w:sz w:val="20"/>
        </w:rPr>
        <w:t xml:space="preserve">See the judgment of the Court of Appeal in </w:t>
      </w:r>
      <w:r>
        <w:rPr>
          <w:rFonts w:ascii="Arial" w:hAnsi="Arial" w:cs="Arial"/>
          <w:i/>
          <w:iCs/>
          <w:sz w:val="20"/>
        </w:rPr>
        <w:t>Mehmed Skrijel v John Carl Mengler &amp; Others</w:t>
      </w:r>
      <w:r>
        <w:rPr>
          <w:rFonts w:ascii="Arial" w:hAnsi="Arial" w:cs="Arial"/>
          <w:sz w:val="20"/>
        </w:rPr>
        <w:t xml:space="preserve"> [2002] VSCA 55.</w:t>
      </w:r>
    </w:p>
    <w:p w14:paraId="62B059EC" w14:textId="77777777" w:rsidR="00B21DA4" w:rsidRPr="00281614" w:rsidRDefault="00B21DA4">
      <w:pPr>
        <w:jc w:val="both"/>
        <w:rPr>
          <w:rFonts w:ascii="Arial" w:hAnsi="Arial" w:cs="Arial"/>
          <w:sz w:val="20"/>
          <w:szCs w:val="36"/>
        </w:rPr>
      </w:pPr>
      <w:bookmarkStart w:id="1018" w:name="_Hlk145676587"/>
    </w:p>
    <w:p w14:paraId="227697AA"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Van Phuc Diep v Appeal Costs Board</w:t>
      </w:r>
      <w:r>
        <w:rPr>
          <w:rFonts w:ascii="Arial" w:hAnsi="Arial" w:cs="Arial"/>
          <w:sz w:val="20"/>
        </w:rPr>
        <w:t xml:space="preserve"> [2003] VSC 386 at [45]-[46] Gillard J reiterated that "the slip rule should not be narrowly confined in its operation" and added: "It is now well-established that the rule covers errors made not only by the court but on the part of a party's legal representative.  See </w:t>
      </w:r>
      <w:r>
        <w:rPr>
          <w:rFonts w:ascii="Arial" w:hAnsi="Arial" w:cs="Arial"/>
          <w:i/>
          <w:iCs/>
          <w:sz w:val="20"/>
        </w:rPr>
        <w:t xml:space="preserve">L. Shaddock and Associates Pty Ltd v </w:t>
      </w:r>
      <w:smartTag w:uri="urn:schemas-microsoft-com:office:smarttags" w:element="place">
        <w:smartTag w:uri="urn:schemas-microsoft-com:office:smarttags" w:element="City">
          <w:r>
            <w:rPr>
              <w:rFonts w:ascii="Arial" w:hAnsi="Arial" w:cs="Arial"/>
              <w:i/>
              <w:iCs/>
              <w:sz w:val="20"/>
            </w:rPr>
            <w:t>Parramatta</w:t>
          </w:r>
        </w:smartTag>
      </w:smartTag>
      <w:r>
        <w:rPr>
          <w:rFonts w:ascii="Arial" w:hAnsi="Arial" w:cs="Arial"/>
          <w:i/>
          <w:iCs/>
          <w:sz w:val="20"/>
        </w:rPr>
        <w:t xml:space="preserve"> City Council</w:t>
      </w:r>
      <w:r>
        <w:rPr>
          <w:rFonts w:ascii="Arial" w:hAnsi="Arial" w:cs="Arial"/>
          <w:sz w:val="20"/>
        </w:rPr>
        <w:t xml:space="preserve"> </w:t>
      </w:r>
      <w:r>
        <w:rPr>
          <w:rFonts w:ascii="Arial" w:hAnsi="Arial" w:cs="Arial"/>
          <w:i/>
          <w:iCs/>
          <w:sz w:val="20"/>
        </w:rPr>
        <w:t>(No 2)</w:t>
      </w:r>
      <w:r>
        <w:rPr>
          <w:rFonts w:ascii="Arial" w:hAnsi="Arial" w:cs="Arial"/>
          <w:sz w:val="20"/>
        </w:rPr>
        <w:t xml:space="preserve"> (1982) 151 CLR 590,594 and </w:t>
      </w:r>
      <w:r>
        <w:rPr>
          <w:rFonts w:ascii="Arial" w:hAnsi="Arial" w:cs="Arial"/>
          <w:i/>
          <w:iCs/>
          <w:sz w:val="20"/>
        </w:rPr>
        <w:t xml:space="preserve">Gould v Vaggelis </w:t>
      </w:r>
      <w:r>
        <w:rPr>
          <w:rFonts w:ascii="Arial" w:hAnsi="Arial" w:cs="Arial"/>
          <w:sz w:val="20"/>
        </w:rPr>
        <w:t>(1995) 157 CLR 215, 274-6."</w:t>
      </w:r>
    </w:p>
    <w:p w14:paraId="3AA521EF" w14:textId="77777777" w:rsidR="00B21DA4" w:rsidRPr="008A5C61" w:rsidRDefault="00B21DA4">
      <w:pPr>
        <w:rPr>
          <w:rFonts w:ascii="Arial" w:hAnsi="Arial" w:cs="Arial"/>
          <w:color w:val="000000"/>
          <w:sz w:val="20"/>
        </w:rPr>
      </w:pPr>
    </w:p>
    <w:bookmarkEnd w:id="1018"/>
    <w:p w14:paraId="6C13AB1C" w14:textId="23533461" w:rsidR="00675F4B" w:rsidRPr="008A5C61" w:rsidRDefault="00675F4B" w:rsidP="00675F4B">
      <w:pPr>
        <w:jc w:val="both"/>
        <w:rPr>
          <w:rFonts w:ascii="Arial" w:hAnsi="Arial" w:cs="Arial"/>
          <w:color w:val="000000"/>
          <w:sz w:val="20"/>
        </w:rPr>
      </w:pPr>
      <w:r w:rsidRPr="008A5C61">
        <w:rPr>
          <w:rFonts w:ascii="Arial" w:hAnsi="Arial" w:cs="Arial"/>
          <w:color w:val="000000"/>
          <w:sz w:val="20"/>
        </w:rPr>
        <w:lastRenderedPageBreak/>
        <w:t xml:space="preserve">In </w:t>
      </w:r>
      <w:r w:rsidRPr="008A5C61">
        <w:rPr>
          <w:rFonts w:ascii="Arial" w:hAnsi="Arial" w:cs="Arial"/>
          <w:i/>
          <w:color w:val="000000"/>
          <w:sz w:val="20"/>
        </w:rPr>
        <w:t>Hodgson v Amcor (No.8)</w:t>
      </w:r>
      <w:r w:rsidRPr="008A5C61">
        <w:rPr>
          <w:rFonts w:ascii="Arial" w:hAnsi="Arial" w:cs="Arial"/>
          <w:color w:val="000000"/>
          <w:sz w:val="20"/>
        </w:rPr>
        <w:t xml:space="preserve"> [2012] VSC 162 – after reviewing the relevant case law at [7]-[24] – Vickery</w:t>
      </w:r>
      <w:r w:rsidR="00FE777C">
        <w:rPr>
          <w:rFonts w:ascii="Arial" w:hAnsi="Arial" w:cs="Arial"/>
          <w:color w:val="000000"/>
          <w:sz w:val="20"/>
        </w:rPr>
        <w:t> </w:t>
      </w:r>
      <w:r w:rsidRPr="008A5C61">
        <w:rPr>
          <w:rFonts w:ascii="Arial" w:hAnsi="Arial" w:cs="Arial"/>
          <w:color w:val="000000"/>
          <w:sz w:val="20"/>
        </w:rPr>
        <w:t xml:space="preserve">J </w:t>
      </w:r>
      <w:r w:rsidR="00852DE6" w:rsidRPr="008A5C61">
        <w:rPr>
          <w:rFonts w:ascii="Arial" w:hAnsi="Arial" w:cs="Arial"/>
          <w:color w:val="000000"/>
          <w:sz w:val="20"/>
        </w:rPr>
        <w:t>adopt</w:t>
      </w:r>
      <w:r w:rsidRPr="008A5C61">
        <w:rPr>
          <w:rFonts w:ascii="Arial" w:hAnsi="Arial" w:cs="Arial"/>
          <w:color w:val="000000"/>
          <w:sz w:val="20"/>
        </w:rPr>
        <w:t>ed at [25]</w:t>
      </w:r>
      <w:r w:rsidR="00852DE6" w:rsidRPr="008A5C61">
        <w:rPr>
          <w:rFonts w:ascii="Arial" w:hAnsi="Arial" w:cs="Arial"/>
          <w:color w:val="000000"/>
          <w:sz w:val="20"/>
        </w:rPr>
        <w:t xml:space="preserve"> a very broad interpretation of the ‘slip rule’ in amending both a judgment and th</w:t>
      </w:r>
      <w:r w:rsidR="00CC1E69" w:rsidRPr="008A5C61">
        <w:rPr>
          <w:rFonts w:ascii="Arial" w:hAnsi="Arial" w:cs="Arial"/>
          <w:color w:val="000000"/>
          <w:sz w:val="20"/>
        </w:rPr>
        <w:t xml:space="preserve">e associated reasons for </w:t>
      </w:r>
      <w:r w:rsidR="00852DE6" w:rsidRPr="008A5C61">
        <w:rPr>
          <w:rFonts w:ascii="Arial" w:hAnsi="Arial" w:cs="Arial"/>
          <w:color w:val="000000"/>
          <w:sz w:val="20"/>
        </w:rPr>
        <w:t>judgment</w:t>
      </w:r>
      <w:r w:rsidRPr="008A5C61">
        <w:rPr>
          <w:rFonts w:ascii="Arial" w:hAnsi="Arial" w:cs="Arial"/>
          <w:color w:val="000000"/>
          <w:sz w:val="20"/>
        </w:rPr>
        <w:t>:</w:t>
      </w:r>
    </w:p>
    <w:p w14:paraId="4998307B" w14:textId="77777777" w:rsidR="00675F4B" w:rsidRPr="008A5C61" w:rsidRDefault="00675F4B" w:rsidP="009462F3">
      <w:pPr>
        <w:spacing w:before="80"/>
        <w:ind w:left="454" w:right="454"/>
        <w:jc w:val="both"/>
        <w:rPr>
          <w:rFonts w:ascii="Arial" w:hAnsi="Arial" w:cs="Arial"/>
          <w:color w:val="000000"/>
          <w:sz w:val="20"/>
        </w:rPr>
      </w:pPr>
      <w:r w:rsidRPr="008A5C61">
        <w:rPr>
          <w:rFonts w:ascii="Arial" w:hAnsi="Arial" w:cs="Arial"/>
          <w:color w:val="000000"/>
          <w:sz w:val="20"/>
        </w:rPr>
        <w:t>“[T]he inherent jurisdiction of the Court may and ought to be invoked to amend reasons for a judgment, an order in the nature of a judgment and other orders, when they contain or result from an adjudication upon that which the court has n</w:t>
      </w:r>
      <w:r w:rsidR="00543601" w:rsidRPr="008A5C61">
        <w:rPr>
          <w:rFonts w:ascii="Arial" w:hAnsi="Arial" w:cs="Arial"/>
          <w:color w:val="000000"/>
          <w:sz w:val="20"/>
        </w:rPr>
        <w:t xml:space="preserve">ever in truth adjudicated upon </w:t>
      </w:r>
      <w:r w:rsidRPr="008A5C61">
        <w:rPr>
          <w:rFonts w:ascii="Arial" w:hAnsi="Arial" w:cs="Arial"/>
          <w:color w:val="000000"/>
          <w:sz w:val="20"/>
        </w:rPr>
        <w:t>or when they do not express the intention and express the meaning of the court at the time when they were made.  Such an amendment may be made at any time:</w:t>
      </w:r>
    </w:p>
    <w:p w14:paraId="6E88BA52" w14:textId="77777777" w:rsidR="00675F4B" w:rsidRPr="008A5C61" w:rsidRDefault="00675F4B" w:rsidP="009462F3">
      <w:pPr>
        <w:tabs>
          <w:tab w:val="left" w:pos="1134"/>
        </w:tabs>
        <w:ind w:left="1021" w:right="907" w:hanging="567"/>
        <w:jc w:val="both"/>
        <w:rPr>
          <w:rFonts w:ascii="Arial" w:hAnsi="Arial" w:cs="Arial"/>
          <w:color w:val="000000"/>
          <w:sz w:val="20"/>
        </w:rPr>
      </w:pPr>
      <w:r w:rsidRPr="008A5C61">
        <w:rPr>
          <w:rFonts w:ascii="Arial" w:hAnsi="Arial" w:cs="Arial"/>
          <w:color w:val="000000"/>
          <w:sz w:val="20"/>
        </w:rPr>
        <w:t>(a)</w:t>
      </w:r>
      <w:r w:rsidRPr="008A5C61">
        <w:rPr>
          <w:rFonts w:ascii="Arial" w:hAnsi="Arial" w:cs="Arial"/>
          <w:color w:val="000000"/>
          <w:sz w:val="20"/>
        </w:rPr>
        <w:tab/>
        <w:t xml:space="preserve">whenever it is in the interests of justice to do so after applying the overarching purpose prescribed by s 7 of the </w:t>
      </w:r>
      <w:r w:rsidRPr="008A5C61">
        <w:rPr>
          <w:rFonts w:ascii="Arial" w:hAnsi="Arial" w:cs="Arial"/>
          <w:i/>
          <w:color w:val="000000"/>
          <w:sz w:val="20"/>
        </w:rPr>
        <w:t>Civil Procedure Act</w:t>
      </w:r>
      <w:r w:rsidRPr="008A5C61">
        <w:rPr>
          <w:rFonts w:ascii="Arial" w:hAnsi="Arial" w:cs="Arial"/>
          <w:color w:val="000000"/>
          <w:sz w:val="20"/>
        </w:rPr>
        <w:t xml:space="preserve"> </w:t>
      </w:r>
      <w:r w:rsidRPr="008A5C61">
        <w:rPr>
          <w:rFonts w:ascii="Arial" w:hAnsi="Arial" w:cs="Arial"/>
          <w:i/>
          <w:color w:val="000000"/>
          <w:sz w:val="20"/>
        </w:rPr>
        <w:t>2010</w:t>
      </w:r>
      <w:r w:rsidRPr="008A5C61">
        <w:rPr>
          <w:rFonts w:ascii="Arial" w:hAnsi="Arial" w:cs="Arial"/>
          <w:color w:val="000000"/>
          <w:sz w:val="20"/>
        </w:rPr>
        <w:t xml:space="preserve"> in accordance with s 8 of the Act in order to avoid unnecessary delay and expense involved in an appeal to the Court of Appeal and burdening that Court with unnecessary appeals relating to matters which should be dealt with at first instance; and</w:t>
      </w:r>
    </w:p>
    <w:p w14:paraId="0E60BB40" w14:textId="77777777" w:rsidR="00852DE6" w:rsidRPr="008A5C61" w:rsidRDefault="00852DE6" w:rsidP="009462F3">
      <w:pPr>
        <w:tabs>
          <w:tab w:val="left" w:pos="1134"/>
        </w:tabs>
        <w:ind w:left="1021" w:right="907" w:hanging="567"/>
        <w:jc w:val="both"/>
        <w:rPr>
          <w:rFonts w:ascii="Arial" w:hAnsi="Arial" w:cs="Arial"/>
          <w:color w:val="000000"/>
          <w:sz w:val="20"/>
        </w:rPr>
      </w:pPr>
      <w:r w:rsidRPr="008A5C61">
        <w:rPr>
          <w:rFonts w:ascii="Arial" w:hAnsi="Arial" w:cs="Arial"/>
          <w:color w:val="000000"/>
          <w:sz w:val="20"/>
        </w:rPr>
        <w:t>(b)</w:t>
      </w:r>
      <w:r w:rsidRPr="008A5C61">
        <w:rPr>
          <w:rFonts w:ascii="Arial" w:hAnsi="Arial" w:cs="Arial"/>
          <w:color w:val="000000"/>
          <w:sz w:val="20"/>
        </w:rPr>
        <w:tab/>
        <w:t xml:space="preserve">after taking into account and duly balancing the </w:t>
      </w:r>
      <w:r w:rsidR="00CC1E69" w:rsidRPr="008A5C61">
        <w:rPr>
          <w:rFonts w:ascii="Arial" w:hAnsi="Arial" w:cs="Arial"/>
          <w:color w:val="000000"/>
          <w:sz w:val="20"/>
        </w:rPr>
        <w:t>‘</w:t>
      </w:r>
      <w:r w:rsidRPr="008A5C61">
        <w:rPr>
          <w:rFonts w:ascii="Arial" w:hAnsi="Arial" w:cs="Arial"/>
          <w:color w:val="000000"/>
          <w:sz w:val="20"/>
        </w:rPr>
        <w:t>finality of litigation</w:t>
      </w:r>
      <w:r w:rsidR="00CC1E69" w:rsidRPr="008A5C61">
        <w:rPr>
          <w:rFonts w:ascii="Arial" w:hAnsi="Arial" w:cs="Arial"/>
          <w:color w:val="000000"/>
          <w:sz w:val="20"/>
        </w:rPr>
        <w:t>’</w:t>
      </w:r>
      <w:r w:rsidRPr="008A5C61">
        <w:rPr>
          <w:rFonts w:ascii="Arial" w:hAnsi="Arial" w:cs="Arial"/>
          <w:color w:val="000000"/>
          <w:sz w:val="20"/>
        </w:rPr>
        <w:t xml:space="preserve"> factors such as the desirability of there being an end to litigation and the need to avoid the mischief of an application made under the guise of the slip rule which in fact amounts to an application to rehear a matter decided after a full hearing.</w:t>
      </w:r>
    </w:p>
    <w:p w14:paraId="2FFC499D" w14:textId="77777777" w:rsidR="00675F4B" w:rsidRDefault="00675F4B">
      <w:pPr>
        <w:rPr>
          <w:rFonts w:ascii="Arial" w:hAnsi="Arial" w:cs="Arial"/>
          <w:color w:val="000000"/>
          <w:sz w:val="20"/>
        </w:rPr>
      </w:pPr>
    </w:p>
    <w:p w14:paraId="7CA0CAD2" w14:textId="77777777" w:rsidR="00C52891" w:rsidRDefault="00C52891" w:rsidP="0051022B">
      <w:pPr>
        <w:jc w:val="both"/>
        <w:rPr>
          <w:rFonts w:ascii="Arial" w:hAnsi="Arial" w:cs="Arial"/>
          <w:color w:val="000000"/>
          <w:sz w:val="20"/>
        </w:rPr>
      </w:pPr>
      <w:r>
        <w:rPr>
          <w:rFonts w:ascii="Arial" w:hAnsi="Arial" w:cs="Arial"/>
          <w:color w:val="000000"/>
          <w:sz w:val="20"/>
        </w:rPr>
        <w:t xml:space="preserve">In </w:t>
      </w:r>
      <w:r w:rsidRPr="0051022B">
        <w:rPr>
          <w:rFonts w:ascii="Arial" w:hAnsi="Arial" w:cs="Arial"/>
          <w:i/>
          <w:color w:val="000000"/>
          <w:sz w:val="20"/>
        </w:rPr>
        <w:t>Burrell v The Queen</w:t>
      </w:r>
      <w:r>
        <w:rPr>
          <w:rFonts w:ascii="Arial" w:hAnsi="Arial" w:cs="Arial"/>
          <w:color w:val="000000"/>
          <w:sz w:val="20"/>
        </w:rPr>
        <w:t xml:space="preserve"> </w:t>
      </w:r>
      <w:r w:rsidR="0051022B">
        <w:rPr>
          <w:rFonts w:ascii="Arial" w:hAnsi="Arial" w:cs="Arial"/>
          <w:color w:val="000000"/>
          <w:sz w:val="20"/>
        </w:rPr>
        <w:t>(2008) 238 CLR 218 at 224-225; [2008] HCA 34 at [21] Gummow ACJ, Hayne, Heydon, Crennan &amp; Kiefel JJ said:</w:t>
      </w:r>
    </w:p>
    <w:p w14:paraId="3F91E2BC" w14:textId="77777777" w:rsidR="0051022B" w:rsidRPr="008A5C61" w:rsidRDefault="0051022B" w:rsidP="009462F3">
      <w:pPr>
        <w:spacing w:before="80"/>
        <w:ind w:left="454" w:right="454"/>
        <w:jc w:val="both"/>
        <w:rPr>
          <w:rFonts w:ascii="Arial" w:hAnsi="Arial" w:cs="Arial"/>
          <w:color w:val="000000"/>
          <w:sz w:val="20"/>
        </w:rPr>
      </w:pPr>
      <w:r>
        <w:rPr>
          <w:rFonts w:ascii="Arial" w:hAnsi="Arial" w:cs="Arial"/>
          <w:color w:val="000000"/>
          <w:sz w:val="20"/>
        </w:rPr>
        <w:t>“The power to correct an error arising from accidental slip or omission, whether under a specific rule of court or otherwise, directs attention to what the court whose record is to be corrected did or intended to do.  It does not permit reconsideration, let alone alteration, of the substance of the result that was reached and recorded.”</w:t>
      </w:r>
    </w:p>
    <w:p w14:paraId="5AB4174B" w14:textId="77777777" w:rsidR="00C52891" w:rsidRDefault="00C52891" w:rsidP="0051022B">
      <w:pPr>
        <w:jc w:val="both"/>
        <w:rPr>
          <w:rFonts w:ascii="Arial" w:hAnsi="Arial" w:cs="Arial"/>
          <w:color w:val="000000"/>
          <w:sz w:val="20"/>
        </w:rPr>
      </w:pPr>
    </w:p>
    <w:p w14:paraId="49EE7FA6" w14:textId="77777777" w:rsidR="0051022B" w:rsidRDefault="0051022B" w:rsidP="0051022B">
      <w:pPr>
        <w:jc w:val="both"/>
        <w:rPr>
          <w:rFonts w:ascii="Arial" w:hAnsi="Arial" w:cs="Arial"/>
          <w:color w:val="000000"/>
          <w:sz w:val="20"/>
        </w:rPr>
      </w:pPr>
      <w:r>
        <w:rPr>
          <w:rFonts w:ascii="Arial" w:hAnsi="Arial" w:cs="Arial"/>
          <w:color w:val="000000"/>
          <w:sz w:val="20"/>
        </w:rPr>
        <w:t xml:space="preserve">In </w:t>
      </w:r>
      <w:r w:rsidRPr="0051022B">
        <w:rPr>
          <w:rFonts w:ascii="Arial" w:hAnsi="Arial" w:cs="Arial"/>
          <w:i/>
          <w:color w:val="000000"/>
          <w:sz w:val="20"/>
        </w:rPr>
        <w:t>CSR Ltd v Eddy</w:t>
      </w:r>
      <w:r>
        <w:rPr>
          <w:rFonts w:ascii="Arial" w:hAnsi="Arial" w:cs="Arial"/>
          <w:color w:val="000000"/>
          <w:sz w:val="20"/>
        </w:rPr>
        <w:t xml:space="preserve"> (2005) 226 CLR 1 at 34-36 Gleeson CJ, Gummow &amp; Heydon JJ said that the power to amend a judgment is “one to be exercised sparingly, lest it encourage carelessness by a party’s legal representative and expose to risk the public interest in the finality of litigation.”</w:t>
      </w:r>
    </w:p>
    <w:p w14:paraId="0414DE8D" w14:textId="77777777" w:rsidR="009D08C7" w:rsidRDefault="009D08C7" w:rsidP="009D08C7">
      <w:pPr>
        <w:jc w:val="both"/>
        <w:rPr>
          <w:rFonts w:ascii="Arial" w:hAnsi="Arial" w:cs="Arial"/>
          <w:sz w:val="20"/>
        </w:rPr>
      </w:pPr>
    </w:p>
    <w:p w14:paraId="2FAA66EB" w14:textId="77777777" w:rsidR="009D08C7" w:rsidRDefault="009D08C7" w:rsidP="009D08C7">
      <w:pPr>
        <w:jc w:val="both"/>
        <w:rPr>
          <w:rFonts w:ascii="Arial" w:hAnsi="Arial" w:cs="Arial"/>
          <w:sz w:val="20"/>
        </w:rPr>
      </w:pPr>
      <w:r>
        <w:rPr>
          <w:rFonts w:ascii="Arial" w:hAnsi="Arial" w:cs="Arial"/>
          <w:sz w:val="20"/>
        </w:rPr>
        <w:t xml:space="preserve">In </w:t>
      </w:r>
      <w:r w:rsidRPr="00457498">
        <w:rPr>
          <w:rFonts w:ascii="Arial" w:hAnsi="Arial" w:cs="Arial"/>
          <w:i/>
          <w:iCs/>
          <w:sz w:val="20"/>
        </w:rPr>
        <w:t>Nikolic &amp; Anor v Twitter International Company (X Corp Inc)</w:t>
      </w:r>
      <w:r>
        <w:rPr>
          <w:rFonts w:ascii="Arial" w:hAnsi="Arial" w:cs="Arial"/>
          <w:sz w:val="20"/>
        </w:rPr>
        <w:t xml:space="preserve"> [2025] VSCA 80 Beach JA discussed the power to set aside a perfected court order, ultimately holding that Gray J had been “plainly correct” in refusing the application to set aside a perfected court order made by consent following settlement of the proceeding. At [23]-[26] his Honour said:</w:t>
      </w:r>
    </w:p>
    <w:p w14:paraId="373B18D8" w14:textId="10BF54FE" w:rsid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23</w:t>
      </w:r>
      <w:r>
        <w:rPr>
          <w:rFonts w:ascii="Arial" w:hAnsi="Arial" w:cs="Arial"/>
          <w:sz w:val="20"/>
        </w:rPr>
        <w:t>]</w:t>
      </w:r>
      <w:r w:rsidRPr="00457498">
        <w:rPr>
          <w:rFonts w:ascii="Arial" w:hAnsi="Arial" w:cs="Arial"/>
          <w:sz w:val="20"/>
        </w:rPr>
        <w:t xml:space="preserve"> </w:t>
      </w:r>
      <w:r>
        <w:rPr>
          <w:rFonts w:ascii="Arial" w:hAnsi="Arial" w:cs="Arial"/>
          <w:sz w:val="20"/>
        </w:rPr>
        <w:t>“</w:t>
      </w:r>
      <w:r w:rsidRPr="00457498">
        <w:rPr>
          <w:rFonts w:ascii="Arial" w:hAnsi="Arial" w:cs="Arial"/>
          <w:sz w:val="20"/>
        </w:rPr>
        <w:t xml:space="preserve">In </w:t>
      </w:r>
      <w:r>
        <w:rPr>
          <w:rFonts w:ascii="Arial" w:hAnsi="Arial" w:cs="Arial"/>
          <w:i/>
          <w:iCs/>
          <w:sz w:val="20"/>
        </w:rPr>
        <w:t>Bailey v Marinoff</w:t>
      </w:r>
      <w:r>
        <w:rPr>
          <w:rFonts w:ascii="Arial" w:hAnsi="Arial" w:cs="Arial"/>
          <w:sz w:val="20"/>
        </w:rPr>
        <w:t xml:space="preserve"> (1971) 125 CLR at 530-1</w:t>
      </w:r>
      <w:r w:rsidRPr="00457498">
        <w:rPr>
          <w:rFonts w:ascii="Arial" w:hAnsi="Arial" w:cs="Arial"/>
          <w:sz w:val="20"/>
        </w:rPr>
        <w:t xml:space="preserve">, Barwick CJ said: </w:t>
      </w:r>
    </w:p>
    <w:p w14:paraId="7134D747" w14:textId="1753B33D" w:rsidR="009D08C7" w:rsidRPr="00457498" w:rsidRDefault="009D08C7" w:rsidP="009D08C7">
      <w:pPr>
        <w:spacing w:before="60"/>
        <w:ind w:left="1021" w:right="1021"/>
        <w:jc w:val="both"/>
        <w:rPr>
          <w:rFonts w:ascii="Arial" w:hAnsi="Arial" w:cs="Arial"/>
          <w:sz w:val="18"/>
          <w:szCs w:val="22"/>
        </w:rPr>
      </w:pPr>
      <w:r w:rsidRPr="00457498">
        <w:rPr>
          <w:rFonts w:ascii="Arial" w:hAnsi="Arial" w:cs="Arial"/>
          <w:sz w:val="18"/>
          <w:szCs w:val="22"/>
        </w:rPr>
        <w:t>Once an order disposing of a proceeding has been perfected by being drawn up as the record of a court, that proceeding apart from any specific and relevant statutory provision is at an end in that court and is in its substance, in my opinion, beyond recall by that court. It would, in my opinion, not promote the due administration of the law or the promotion of justice for a court to have a power to reinstate a proceeding of which it has finally disposed. In my opinion, none of the decided cases lends support to the view that the Supreme Court in this case has any inherent power or jurisdiction to make the order it did make, its earlier order dismissing the appeal having been perfected by the processes of the Court.</w:t>
      </w:r>
    </w:p>
    <w:p w14:paraId="1333C392" w14:textId="6CD24A78" w:rsid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24</w:t>
      </w:r>
      <w:r>
        <w:rPr>
          <w:rFonts w:ascii="Arial" w:hAnsi="Arial" w:cs="Arial"/>
          <w:sz w:val="20"/>
        </w:rPr>
        <w:t>]</w:t>
      </w:r>
      <w:r w:rsidRPr="00457498">
        <w:rPr>
          <w:rFonts w:ascii="Arial" w:hAnsi="Arial" w:cs="Arial"/>
          <w:sz w:val="20"/>
        </w:rPr>
        <w:t xml:space="preserve"> As this Court subsequently said in </w:t>
      </w:r>
      <w:r w:rsidRPr="009D08C7">
        <w:rPr>
          <w:rFonts w:ascii="Arial" w:hAnsi="Arial" w:cs="Arial"/>
          <w:i/>
          <w:iCs/>
          <w:sz w:val="20"/>
        </w:rPr>
        <w:t>Euromark</w:t>
      </w:r>
      <w:r w:rsidRPr="009D08C7">
        <w:rPr>
          <w:rFonts w:ascii="Arial" w:hAnsi="Arial" w:cs="Arial"/>
          <w:sz w:val="20"/>
        </w:rPr>
        <w:t xml:space="preserve"> [2024] VSCA 152, [15] (citations omitted)</w:t>
      </w:r>
      <w:r>
        <w:rPr>
          <w:rFonts w:ascii="Arial" w:hAnsi="Arial" w:cs="Arial"/>
          <w:sz w:val="20"/>
        </w:rPr>
        <w:t>:</w:t>
      </w:r>
    </w:p>
    <w:p w14:paraId="43E2666B" w14:textId="60581337" w:rsidR="009D08C7" w:rsidRPr="00457498" w:rsidRDefault="009D08C7" w:rsidP="009D08C7">
      <w:pPr>
        <w:spacing w:before="60"/>
        <w:ind w:left="1021" w:right="1021"/>
        <w:jc w:val="both"/>
        <w:rPr>
          <w:rFonts w:ascii="Arial" w:hAnsi="Arial" w:cs="Arial"/>
          <w:sz w:val="18"/>
          <w:szCs w:val="22"/>
        </w:rPr>
      </w:pPr>
      <w:r w:rsidRPr="00457498">
        <w:rPr>
          <w:rFonts w:ascii="Arial" w:hAnsi="Arial" w:cs="Arial"/>
          <w:sz w:val="18"/>
          <w:szCs w:val="22"/>
        </w:rPr>
        <w:t>Consistent with that general position, the circumstances in which this Court can set aside its own perfected orders are heavily circumscribed. For example, the Court has an equitable power to do so where the orders have been procured by fraud. It can also do so pursuant to its power to correct an order that is affected by a “clerical mistake” or an “error arising … from any accidental slip or omission”. The purpose of this latter power is to ensure that the orders of the Court as made accurately reflect the actual intention of the Court. The Court also has inherent jurisdiction to make a supplemental order in certain circumstances provided that such order does not vary or alter the initial order</w:t>
      </w:r>
      <w:r>
        <w:rPr>
          <w:rFonts w:ascii="Arial" w:hAnsi="Arial" w:cs="Arial"/>
          <w:sz w:val="18"/>
          <w:szCs w:val="22"/>
        </w:rPr>
        <w:t>.</w:t>
      </w:r>
    </w:p>
    <w:p w14:paraId="638B31EA" w14:textId="777C1FA0" w:rsid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25</w:t>
      </w:r>
      <w:r>
        <w:rPr>
          <w:rFonts w:ascii="Arial" w:hAnsi="Arial" w:cs="Arial"/>
          <w:sz w:val="20"/>
        </w:rPr>
        <w:t>]</w:t>
      </w:r>
      <w:r w:rsidRPr="00457498">
        <w:rPr>
          <w:rFonts w:ascii="Arial" w:hAnsi="Arial" w:cs="Arial"/>
          <w:sz w:val="20"/>
        </w:rPr>
        <w:t xml:space="preserve"> In addition to the limited circumstances described by this Court in </w:t>
      </w:r>
      <w:r w:rsidRPr="009D08C7">
        <w:rPr>
          <w:rFonts w:ascii="Arial" w:hAnsi="Arial" w:cs="Arial"/>
          <w:i/>
          <w:iCs/>
          <w:sz w:val="20"/>
        </w:rPr>
        <w:t>Euromark</w:t>
      </w:r>
      <w:r w:rsidRPr="00457498">
        <w:rPr>
          <w:rFonts w:ascii="Arial" w:hAnsi="Arial" w:cs="Arial"/>
          <w:sz w:val="20"/>
        </w:rPr>
        <w:t>, a court, in the exercise of its inherent jurisdiction, may set aside a consent judgment or order if the agreement on which the judgment or order was based is void or voidable</w:t>
      </w:r>
      <w:r>
        <w:rPr>
          <w:rFonts w:ascii="Arial" w:hAnsi="Arial" w:cs="Arial"/>
          <w:sz w:val="20"/>
        </w:rPr>
        <w:t>: s</w:t>
      </w:r>
      <w:r w:rsidRPr="009D08C7">
        <w:rPr>
          <w:rFonts w:ascii="Arial" w:hAnsi="Arial" w:cs="Arial"/>
          <w:sz w:val="20"/>
        </w:rPr>
        <w:t xml:space="preserve">ee </w:t>
      </w:r>
      <w:r w:rsidRPr="009D08C7">
        <w:rPr>
          <w:rFonts w:ascii="Arial" w:hAnsi="Arial" w:cs="Arial"/>
          <w:i/>
          <w:iCs/>
          <w:sz w:val="20"/>
        </w:rPr>
        <w:t>The Owners Strata Plan No 57164 v Yau</w:t>
      </w:r>
      <w:r w:rsidRPr="009D08C7">
        <w:rPr>
          <w:rFonts w:ascii="Arial" w:hAnsi="Arial" w:cs="Arial"/>
          <w:sz w:val="20"/>
        </w:rPr>
        <w:t xml:space="preserve"> (2017) 96 NSWLR 587, 604 [72], 605 [76], 606 [80], 625 [195]</w:t>
      </w:r>
      <w:r>
        <w:rPr>
          <w:rFonts w:ascii="Arial" w:hAnsi="Arial" w:cs="Arial"/>
          <w:sz w:val="20"/>
        </w:rPr>
        <w:t>,</w:t>
      </w:r>
      <w:r w:rsidRPr="009D08C7">
        <w:rPr>
          <w:rFonts w:ascii="Arial" w:hAnsi="Arial" w:cs="Arial"/>
          <w:sz w:val="20"/>
        </w:rPr>
        <w:t xml:space="preserve"> 631–2 [226]. </w:t>
      </w:r>
      <w:r w:rsidRPr="00457498">
        <w:rPr>
          <w:rFonts w:ascii="Arial" w:hAnsi="Arial" w:cs="Arial"/>
          <w:sz w:val="20"/>
        </w:rPr>
        <w:t>That said, even if some basis for setting aside consent orders is established, the court retains a discretion as to whether the orders should be set aside</w:t>
      </w:r>
      <w:r>
        <w:rPr>
          <w:rFonts w:ascii="Arial" w:hAnsi="Arial" w:cs="Arial"/>
          <w:sz w:val="20"/>
        </w:rPr>
        <w:t xml:space="preserve">: </w:t>
      </w:r>
      <w:r w:rsidRPr="009D08C7">
        <w:rPr>
          <w:rFonts w:ascii="Arial" w:hAnsi="Arial" w:cs="Arial"/>
          <w:i/>
          <w:iCs/>
          <w:sz w:val="20"/>
        </w:rPr>
        <w:t>Ibid</w:t>
      </w:r>
      <w:r w:rsidRPr="009D08C7">
        <w:rPr>
          <w:rFonts w:ascii="Arial" w:hAnsi="Arial" w:cs="Arial"/>
          <w:sz w:val="20"/>
        </w:rPr>
        <w:t xml:space="preserve"> 606 [81], 625 [195], 631–2 [226]</w:t>
      </w:r>
      <w:r>
        <w:rPr>
          <w:rFonts w:ascii="Arial" w:hAnsi="Arial" w:cs="Arial"/>
          <w:sz w:val="20"/>
        </w:rPr>
        <w:t>.</w:t>
      </w:r>
    </w:p>
    <w:p w14:paraId="786CE187" w14:textId="790DF09E" w:rsidR="009D08C7" w:rsidRP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26</w:t>
      </w:r>
      <w:r>
        <w:rPr>
          <w:rFonts w:ascii="Arial" w:hAnsi="Arial" w:cs="Arial"/>
          <w:sz w:val="20"/>
        </w:rPr>
        <w:t>]</w:t>
      </w:r>
      <w:r w:rsidRPr="00457498">
        <w:rPr>
          <w:rFonts w:ascii="Arial" w:hAnsi="Arial" w:cs="Arial"/>
          <w:sz w:val="20"/>
        </w:rPr>
        <w:t xml:space="preserve"> Gray J was, with respect, entirely correct when, having examined all of the plaintiffs’ material and submissions, he concluded that there was simply no basis upon which the Court was empowered to set aside the perfected consent orders and reinstate the proceeding which had been dismissed three years earlier. The material relied upon by the </w:t>
      </w:r>
      <w:r w:rsidRPr="00457498">
        <w:rPr>
          <w:rFonts w:ascii="Arial" w:hAnsi="Arial" w:cs="Arial"/>
          <w:sz w:val="20"/>
        </w:rPr>
        <w:lastRenderedPageBreak/>
        <w:t xml:space="preserve">plaintiffs did not provide any basis upon which the Court could </w:t>
      </w:r>
      <w:r w:rsidRPr="009D08C7">
        <w:rPr>
          <w:rFonts w:ascii="Arial" w:hAnsi="Arial" w:cs="Arial"/>
          <w:color w:val="000000"/>
          <w:sz w:val="20"/>
        </w:rPr>
        <w:t xml:space="preserve">have made the orders sought by the plaintiff. For the reasons he gave, the orders made by his Honour </w:t>
      </w:r>
      <w:r>
        <w:rPr>
          <w:rFonts w:ascii="Arial" w:hAnsi="Arial" w:cs="Arial"/>
          <w:color w:val="000000"/>
          <w:sz w:val="20"/>
        </w:rPr>
        <w:t xml:space="preserve">[in </w:t>
      </w:r>
      <w:r w:rsidRPr="009D08C7">
        <w:rPr>
          <w:rFonts w:ascii="Arial" w:hAnsi="Arial" w:cs="Arial"/>
          <w:color w:val="000000"/>
          <w:sz w:val="20"/>
        </w:rPr>
        <w:t>[2024] VSC 381</w:t>
      </w:r>
      <w:r>
        <w:rPr>
          <w:rFonts w:ascii="Arial" w:hAnsi="Arial" w:cs="Arial"/>
          <w:color w:val="000000"/>
          <w:sz w:val="20"/>
        </w:rPr>
        <w:t xml:space="preserve">] </w:t>
      </w:r>
      <w:r w:rsidRPr="009D08C7">
        <w:rPr>
          <w:rFonts w:ascii="Arial" w:hAnsi="Arial" w:cs="Arial"/>
          <w:color w:val="000000"/>
          <w:sz w:val="20"/>
        </w:rPr>
        <w:t>were plainly correct.</w:t>
      </w:r>
      <w:r>
        <w:rPr>
          <w:rFonts w:ascii="Arial" w:hAnsi="Arial" w:cs="Arial"/>
          <w:color w:val="000000"/>
          <w:sz w:val="20"/>
        </w:rPr>
        <w:t>”</w:t>
      </w:r>
    </w:p>
    <w:p w14:paraId="3D58524A" w14:textId="77777777" w:rsidR="009D08C7" w:rsidRDefault="009D08C7" w:rsidP="002E3476">
      <w:pPr>
        <w:jc w:val="both"/>
        <w:rPr>
          <w:rFonts w:ascii="Arial" w:hAnsi="Arial" w:cs="Arial"/>
          <w:sz w:val="20"/>
          <w:szCs w:val="20"/>
        </w:rPr>
      </w:pPr>
    </w:p>
    <w:p w14:paraId="2707326A" w14:textId="26D4D0B7" w:rsidR="002E3476" w:rsidRPr="002E3476" w:rsidRDefault="002E3476" w:rsidP="002E3476">
      <w:pPr>
        <w:jc w:val="both"/>
        <w:rPr>
          <w:rFonts w:ascii="Arial" w:hAnsi="Arial" w:cs="Arial"/>
          <w:color w:val="000000"/>
          <w:sz w:val="20"/>
          <w:szCs w:val="20"/>
        </w:rPr>
      </w:pPr>
      <w:r w:rsidRPr="002E3476">
        <w:rPr>
          <w:rFonts w:ascii="Arial" w:hAnsi="Arial" w:cs="Arial"/>
          <w:sz w:val="20"/>
          <w:szCs w:val="20"/>
        </w:rPr>
        <w:t xml:space="preserve">The power to correct an error </w:t>
      </w:r>
      <w:r>
        <w:rPr>
          <w:rFonts w:ascii="Arial" w:hAnsi="Arial" w:cs="Arial"/>
          <w:sz w:val="20"/>
          <w:szCs w:val="20"/>
        </w:rPr>
        <w:t xml:space="preserve">contained </w:t>
      </w:r>
      <w:r w:rsidRPr="002E3476">
        <w:rPr>
          <w:rFonts w:ascii="Arial" w:hAnsi="Arial" w:cs="Arial"/>
          <w:sz w:val="20"/>
          <w:szCs w:val="20"/>
        </w:rPr>
        <w:t xml:space="preserve">in r 36.07 of the </w:t>
      </w:r>
      <w:r w:rsidRPr="002E3476">
        <w:rPr>
          <w:rFonts w:ascii="Arial" w:hAnsi="Arial" w:cs="Arial"/>
          <w:i/>
          <w:iCs/>
          <w:sz w:val="20"/>
          <w:szCs w:val="20"/>
        </w:rPr>
        <w:t>Supreme Court (General Civil Procedure) Rules 2015</w:t>
      </w:r>
      <w:r w:rsidRPr="002E3476">
        <w:rPr>
          <w:rFonts w:ascii="Arial" w:hAnsi="Arial" w:cs="Arial"/>
          <w:sz w:val="20"/>
          <w:szCs w:val="20"/>
        </w:rPr>
        <w:t xml:space="preserve"> (Vic)</w:t>
      </w:r>
      <w:r>
        <w:rPr>
          <w:rFonts w:ascii="Arial" w:hAnsi="Arial" w:cs="Arial"/>
          <w:sz w:val="20"/>
          <w:szCs w:val="20"/>
        </w:rPr>
        <w:t xml:space="preserve"> </w:t>
      </w:r>
      <w:r w:rsidRPr="002E3476">
        <w:rPr>
          <w:rFonts w:ascii="Arial" w:hAnsi="Arial" w:cs="Arial"/>
          <w:sz w:val="20"/>
          <w:szCs w:val="20"/>
        </w:rPr>
        <w:t>extends to include an error in reasons for judgment: see</w:t>
      </w:r>
      <w:r>
        <w:rPr>
          <w:rFonts w:ascii="Arial" w:hAnsi="Arial" w:cs="Arial"/>
          <w:sz w:val="20"/>
          <w:szCs w:val="20"/>
        </w:rPr>
        <w:t xml:space="preserve"> per Moore J in</w:t>
      </w:r>
      <w:r w:rsidRPr="002E3476">
        <w:rPr>
          <w:rFonts w:ascii="Arial" w:hAnsi="Arial" w:cs="Arial"/>
          <w:sz w:val="20"/>
          <w:szCs w:val="20"/>
        </w:rPr>
        <w:t xml:space="preserve"> </w:t>
      </w:r>
      <w:r w:rsidRPr="002E3476">
        <w:rPr>
          <w:rFonts w:ascii="Arial" w:hAnsi="Arial" w:cs="Arial"/>
          <w:i/>
          <w:iCs/>
          <w:sz w:val="20"/>
          <w:szCs w:val="20"/>
        </w:rPr>
        <w:t>Attorney-General v Hadashah Sa’adat Khan (No 4)</w:t>
      </w:r>
      <w:r w:rsidRPr="002E3476">
        <w:rPr>
          <w:rFonts w:ascii="Arial" w:hAnsi="Arial" w:cs="Arial"/>
          <w:sz w:val="20"/>
          <w:szCs w:val="20"/>
        </w:rPr>
        <w:t xml:space="preserve"> [2024] VSC 62 at [</w:t>
      </w:r>
      <w:r w:rsidR="0028265F">
        <w:rPr>
          <w:rFonts w:ascii="Arial" w:hAnsi="Arial" w:cs="Arial"/>
          <w:sz w:val="20"/>
          <w:szCs w:val="20"/>
        </w:rPr>
        <w:t>7</w:t>
      </w:r>
      <w:r w:rsidRPr="002E3476">
        <w:rPr>
          <w:rFonts w:ascii="Arial" w:hAnsi="Arial" w:cs="Arial"/>
          <w:sz w:val="20"/>
          <w:szCs w:val="20"/>
        </w:rPr>
        <w:t>]-[</w:t>
      </w:r>
      <w:r>
        <w:rPr>
          <w:rFonts w:ascii="Arial" w:hAnsi="Arial" w:cs="Arial"/>
          <w:sz w:val="20"/>
          <w:szCs w:val="20"/>
        </w:rPr>
        <w:t>9</w:t>
      </w:r>
      <w:r w:rsidRPr="002E3476">
        <w:rPr>
          <w:rFonts w:ascii="Arial" w:hAnsi="Arial" w:cs="Arial"/>
          <w:sz w:val="20"/>
          <w:szCs w:val="20"/>
        </w:rPr>
        <w:t>]</w:t>
      </w:r>
      <w:r>
        <w:rPr>
          <w:rFonts w:ascii="Arial" w:hAnsi="Arial" w:cs="Arial"/>
          <w:color w:val="000000"/>
          <w:sz w:val="20"/>
          <w:szCs w:val="20"/>
        </w:rPr>
        <w:t xml:space="preserve"> a</w:t>
      </w:r>
      <w:r w:rsidRPr="002E3476">
        <w:rPr>
          <w:rFonts w:ascii="Arial" w:hAnsi="Arial" w:cs="Arial"/>
          <w:color w:val="000000"/>
          <w:sz w:val="20"/>
          <w:szCs w:val="20"/>
        </w:rPr>
        <w:t xml:space="preserve">pplying dicta of Chernov JA in </w:t>
      </w:r>
      <w:r w:rsidRPr="002E3476">
        <w:rPr>
          <w:rFonts w:ascii="Arial" w:hAnsi="Arial" w:cs="Arial"/>
          <w:i/>
          <w:iCs/>
          <w:sz w:val="20"/>
          <w:szCs w:val="20"/>
        </w:rPr>
        <w:t>Fletcher Construction Australia Ltd v Lines MacFarlane &amp; Marshall Pty Ltd</w:t>
      </w:r>
      <w:r w:rsidRPr="002E3476">
        <w:rPr>
          <w:rFonts w:ascii="Arial" w:hAnsi="Arial" w:cs="Arial"/>
          <w:sz w:val="20"/>
          <w:szCs w:val="20"/>
        </w:rPr>
        <w:t xml:space="preserve"> (2001) 4 VR 28 at [49] &amp; [51].</w:t>
      </w:r>
    </w:p>
    <w:p w14:paraId="78DACED5" w14:textId="77777777" w:rsidR="002E3476" w:rsidRDefault="002E3476">
      <w:pPr>
        <w:rPr>
          <w:rFonts w:ascii="Arial" w:hAnsi="Arial" w:cs="Arial"/>
          <w:color w:val="000000"/>
          <w:sz w:val="20"/>
        </w:rPr>
      </w:pPr>
    </w:p>
    <w:p w14:paraId="0E13DD7B" w14:textId="2FB57151" w:rsidR="00331B6C" w:rsidRDefault="0051022B" w:rsidP="00FE777C">
      <w:pPr>
        <w:jc w:val="both"/>
        <w:rPr>
          <w:rFonts w:ascii="Arial" w:hAnsi="Arial" w:cs="Arial"/>
          <w:color w:val="000000"/>
          <w:sz w:val="20"/>
        </w:rPr>
      </w:pPr>
      <w:r>
        <w:rPr>
          <w:rFonts w:ascii="Arial" w:hAnsi="Arial" w:cs="Arial"/>
          <w:color w:val="000000"/>
          <w:sz w:val="20"/>
        </w:rPr>
        <w:t xml:space="preserve">See also </w:t>
      </w:r>
      <w:r w:rsidRPr="0051022B">
        <w:rPr>
          <w:rFonts w:ascii="Arial" w:hAnsi="Arial" w:cs="Arial"/>
          <w:i/>
          <w:color w:val="000000"/>
          <w:sz w:val="20"/>
        </w:rPr>
        <w:t>Achurch v The Queen</w:t>
      </w:r>
      <w:r>
        <w:rPr>
          <w:rFonts w:ascii="Arial" w:hAnsi="Arial" w:cs="Arial"/>
          <w:color w:val="000000"/>
          <w:sz w:val="20"/>
        </w:rPr>
        <w:t xml:space="preserve"> (2014) 253 CLR 141 at 154 per French CJ, Crennan, Kiefel &amp; Bell JJ quoting </w:t>
      </w:r>
      <w:r w:rsidRPr="0051022B">
        <w:rPr>
          <w:rFonts w:ascii="Arial" w:hAnsi="Arial" w:cs="Arial"/>
          <w:i/>
          <w:color w:val="000000"/>
          <w:sz w:val="20"/>
        </w:rPr>
        <w:t>Gould v Vaggelas</w:t>
      </w:r>
      <w:r>
        <w:rPr>
          <w:rFonts w:ascii="Arial" w:hAnsi="Arial" w:cs="Arial"/>
          <w:color w:val="000000"/>
          <w:sz w:val="20"/>
        </w:rPr>
        <w:t xml:space="preserve"> (1985) 157 CLR 215 at 275; </w:t>
      </w:r>
      <w:r w:rsidRPr="00492138">
        <w:rPr>
          <w:rFonts w:ascii="Arial" w:hAnsi="Arial" w:cs="Arial"/>
          <w:i/>
          <w:color w:val="000000"/>
          <w:sz w:val="20"/>
        </w:rPr>
        <w:t xml:space="preserve">Certain Lloyd’s Underwriters v Cross &amp; Ors </w:t>
      </w:r>
      <w:r>
        <w:rPr>
          <w:rFonts w:ascii="Arial" w:hAnsi="Arial" w:cs="Arial"/>
          <w:color w:val="000000"/>
          <w:sz w:val="20"/>
        </w:rPr>
        <w:t>[2015] HCA 52 per French CJ</w:t>
      </w:r>
      <w:r w:rsidR="00492138">
        <w:rPr>
          <w:rFonts w:ascii="Arial" w:hAnsi="Arial" w:cs="Arial"/>
          <w:color w:val="000000"/>
          <w:sz w:val="20"/>
        </w:rPr>
        <w:t>;</w:t>
      </w:r>
      <w:r w:rsidR="001F4A69">
        <w:rPr>
          <w:rFonts w:ascii="Arial" w:hAnsi="Arial" w:cs="Arial"/>
          <w:color w:val="000000"/>
          <w:sz w:val="20"/>
        </w:rPr>
        <w:t xml:space="preserve"> </w:t>
      </w:r>
      <w:r w:rsidR="001F4A69" w:rsidRPr="001F4A69">
        <w:rPr>
          <w:rFonts w:ascii="Arial" w:hAnsi="Arial" w:cs="Arial"/>
          <w:i/>
          <w:color w:val="000000"/>
          <w:sz w:val="20"/>
        </w:rPr>
        <w:t>Vinton v Sim (No.2)</w:t>
      </w:r>
      <w:r w:rsidR="002F664D">
        <w:rPr>
          <w:rFonts w:ascii="Arial" w:hAnsi="Arial" w:cs="Arial"/>
          <w:color w:val="000000"/>
          <w:sz w:val="20"/>
        </w:rPr>
        <w:t xml:space="preserve"> [2015] VSC 79 per Mukhtar AsJ</w:t>
      </w:r>
      <w:r w:rsidR="00383CE0">
        <w:rPr>
          <w:rFonts w:ascii="Arial" w:hAnsi="Arial" w:cs="Arial"/>
          <w:color w:val="000000"/>
          <w:sz w:val="20"/>
        </w:rPr>
        <w:t xml:space="preserve">; </w:t>
      </w:r>
      <w:r w:rsidR="00383CE0" w:rsidRPr="00383CE0">
        <w:rPr>
          <w:rFonts w:ascii="Arial" w:hAnsi="Arial" w:cs="Arial"/>
          <w:i/>
          <w:iCs/>
          <w:color w:val="000000"/>
          <w:sz w:val="20"/>
        </w:rPr>
        <w:t>Zirilli v The King</w:t>
      </w:r>
      <w:r w:rsidR="00383CE0">
        <w:rPr>
          <w:rFonts w:ascii="Arial" w:hAnsi="Arial" w:cs="Arial"/>
          <w:color w:val="000000"/>
          <w:sz w:val="20"/>
        </w:rPr>
        <w:t xml:space="preserve"> [2022] VSCA at [</w:t>
      </w:r>
      <w:r w:rsidR="00420B13">
        <w:rPr>
          <w:rFonts w:ascii="Arial" w:hAnsi="Arial" w:cs="Arial"/>
          <w:color w:val="000000"/>
          <w:sz w:val="20"/>
        </w:rPr>
        <w:t>48</w:t>
      </w:r>
      <w:r w:rsidR="00383CE0">
        <w:rPr>
          <w:rFonts w:ascii="Arial" w:hAnsi="Arial" w:cs="Arial"/>
          <w:color w:val="000000"/>
          <w:sz w:val="20"/>
        </w:rPr>
        <w:t>]-[</w:t>
      </w:r>
      <w:r w:rsidR="00420B13">
        <w:rPr>
          <w:rFonts w:ascii="Arial" w:hAnsi="Arial" w:cs="Arial"/>
          <w:color w:val="000000"/>
          <w:sz w:val="20"/>
        </w:rPr>
        <w:t>58</w:t>
      </w:r>
      <w:r w:rsidR="00383CE0">
        <w:rPr>
          <w:rFonts w:ascii="Arial" w:hAnsi="Arial" w:cs="Arial"/>
          <w:color w:val="000000"/>
          <w:sz w:val="20"/>
        </w:rPr>
        <w:t>]</w:t>
      </w:r>
      <w:r w:rsidR="00B97390">
        <w:rPr>
          <w:rFonts w:ascii="Arial" w:hAnsi="Arial" w:cs="Arial"/>
          <w:color w:val="000000"/>
          <w:sz w:val="20"/>
        </w:rPr>
        <w:t xml:space="preserve">; </w:t>
      </w:r>
      <w:r w:rsidR="00B97390" w:rsidRPr="00B97390">
        <w:rPr>
          <w:rFonts w:ascii="Arial" w:hAnsi="Arial" w:cs="Arial"/>
          <w:i/>
          <w:iCs/>
          <w:sz w:val="20"/>
          <w:szCs w:val="20"/>
        </w:rPr>
        <w:t>Merrion B Pty Ltd v Donchiod Pty Ltd (in liq)</w:t>
      </w:r>
      <w:r w:rsidR="00B97390" w:rsidRPr="00B97390">
        <w:rPr>
          <w:rFonts w:ascii="Arial" w:hAnsi="Arial" w:cs="Arial"/>
          <w:sz w:val="20"/>
          <w:szCs w:val="20"/>
        </w:rPr>
        <w:t xml:space="preserve"> [2023] VSC 111</w:t>
      </w:r>
      <w:r w:rsidR="00005A7F">
        <w:rPr>
          <w:rFonts w:ascii="Arial" w:hAnsi="Arial" w:cs="Arial"/>
          <w:sz w:val="20"/>
          <w:szCs w:val="20"/>
        </w:rPr>
        <w:t xml:space="preserve">; </w:t>
      </w:r>
      <w:r w:rsidR="00725925" w:rsidRPr="00725925">
        <w:rPr>
          <w:rFonts w:ascii="Arial" w:hAnsi="Arial" w:cs="Arial"/>
          <w:i/>
          <w:iCs/>
          <w:sz w:val="20"/>
          <w:szCs w:val="20"/>
        </w:rPr>
        <w:t>Lindholm v Elliott &amp; Ors (No 2)</w:t>
      </w:r>
      <w:r w:rsidR="00725925">
        <w:rPr>
          <w:rFonts w:ascii="Arial" w:hAnsi="Arial" w:cs="Arial"/>
          <w:sz w:val="20"/>
          <w:szCs w:val="20"/>
        </w:rPr>
        <w:t xml:space="preserve"> [2023] VSC 572 at [8]-[10]</w:t>
      </w:r>
      <w:r w:rsidR="00251DC5">
        <w:rPr>
          <w:rFonts w:ascii="Arial" w:hAnsi="Arial" w:cs="Arial"/>
          <w:sz w:val="20"/>
          <w:szCs w:val="20"/>
        </w:rPr>
        <w:t xml:space="preserve">; </w:t>
      </w:r>
      <w:r w:rsidR="00251DC5" w:rsidRPr="00251DC5">
        <w:rPr>
          <w:rFonts w:ascii="Arial" w:hAnsi="Arial" w:cs="Arial"/>
          <w:i/>
          <w:iCs/>
          <w:sz w:val="20"/>
          <w:szCs w:val="20"/>
        </w:rPr>
        <w:t>Thomson v Thomson (No 2)</w:t>
      </w:r>
      <w:r w:rsidR="00251DC5" w:rsidRPr="00251DC5">
        <w:rPr>
          <w:rFonts w:ascii="Arial" w:hAnsi="Arial" w:cs="Arial"/>
          <w:sz w:val="20"/>
          <w:szCs w:val="20"/>
        </w:rPr>
        <w:t xml:space="preserve"> </w:t>
      </w:r>
      <w:r w:rsidR="00251DC5">
        <w:rPr>
          <w:rFonts w:ascii="Arial" w:hAnsi="Arial" w:cs="Arial"/>
          <w:sz w:val="20"/>
          <w:szCs w:val="20"/>
        </w:rPr>
        <w:t>[</w:t>
      </w:r>
      <w:r w:rsidR="00251DC5" w:rsidRPr="00251DC5">
        <w:rPr>
          <w:rFonts w:ascii="Arial" w:hAnsi="Arial" w:cs="Arial"/>
          <w:sz w:val="20"/>
          <w:szCs w:val="20"/>
        </w:rPr>
        <w:t>2025] VSC 27</w:t>
      </w:r>
      <w:r w:rsidR="00251DC5">
        <w:rPr>
          <w:rFonts w:ascii="Arial" w:hAnsi="Arial" w:cs="Arial"/>
          <w:sz w:val="20"/>
          <w:szCs w:val="20"/>
        </w:rPr>
        <w:t xml:space="preserve"> at [26]</w:t>
      </w:r>
      <w:r w:rsidR="00331B6C">
        <w:rPr>
          <w:rFonts w:ascii="Arial" w:hAnsi="Arial" w:cs="Arial"/>
          <w:sz w:val="20"/>
          <w:szCs w:val="20"/>
        </w:rPr>
        <w:t xml:space="preserve">; </w:t>
      </w:r>
      <w:r w:rsidR="00331B6C" w:rsidRPr="00331B6C">
        <w:rPr>
          <w:rFonts w:ascii="Arial" w:hAnsi="Arial" w:cs="Arial"/>
          <w:i/>
          <w:iCs/>
          <w:sz w:val="20"/>
          <w:szCs w:val="20"/>
        </w:rPr>
        <w:t xml:space="preserve">Hunt Leather </w:t>
      </w:r>
      <w:bookmarkStart w:id="1019" w:name="_3.9_Costs"/>
      <w:bookmarkStart w:id="1020" w:name="B39"/>
      <w:bookmarkEnd w:id="1019"/>
      <w:bookmarkEnd w:id="1020"/>
      <w:r w:rsidR="00331B6C" w:rsidRPr="00331B6C">
        <w:rPr>
          <w:rFonts w:ascii="Arial" w:hAnsi="Arial" w:cs="Arial"/>
          <w:i/>
          <w:iCs/>
          <w:color w:val="000000"/>
          <w:sz w:val="20"/>
        </w:rPr>
        <w:t>Pty Ltd v Transport for NSW [No 2]</w:t>
      </w:r>
      <w:r w:rsidR="00331B6C" w:rsidRPr="00331B6C">
        <w:rPr>
          <w:rFonts w:ascii="Arial" w:hAnsi="Arial" w:cs="Arial"/>
          <w:color w:val="000000"/>
          <w:sz w:val="20"/>
        </w:rPr>
        <w:t xml:space="preserve"> [2026] HCA 4</w:t>
      </w:r>
      <w:r w:rsidR="00331B6C">
        <w:rPr>
          <w:rFonts w:ascii="Arial" w:hAnsi="Arial" w:cs="Arial"/>
          <w:color w:val="000000"/>
          <w:sz w:val="20"/>
        </w:rPr>
        <w:t xml:space="preserve"> at [5]-[7].</w:t>
      </w:r>
    </w:p>
    <w:p w14:paraId="2DA0478B" w14:textId="77777777" w:rsidR="00331B6C" w:rsidRDefault="00331B6C" w:rsidP="00FE777C">
      <w:pPr>
        <w:jc w:val="both"/>
        <w:rPr>
          <w:rFonts w:ascii="Arial" w:hAnsi="Arial" w:cs="Arial"/>
          <w:color w:val="000000"/>
          <w:sz w:val="20"/>
        </w:rPr>
      </w:pPr>
    </w:p>
    <w:p w14:paraId="25A08DFA" w14:textId="20169433" w:rsidR="00FE777C" w:rsidRPr="002C2CA5" w:rsidRDefault="00FE777C" w:rsidP="00FE777C">
      <w:pPr>
        <w:pStyle w:val="Heading3"/>
        <w:widowControl/>
        <w:tabs>
          <w:tab w:val="left" w:pos="357"/>
          <w:tab w:val="left" w:pos="714"/>
          <w:tab w:val="left" w:pos="1071"/>
          <w:tab w:val="left" w:pos="1428"/>
          <w:tab w:val="left" w:pos="1785"/>
          <w:tab w:val="left" w:pos="2142"/>
          <w:tab w:val="left" w:pos="5562"/>
        </w:tabs>
        <w:spacing w:after="120" w:line="240" w:lineRule="auto"/>
        <w:rPr>
          <w:rFonts w:ascii="Arial" w:hAnsi="Arial" w:cs="Arial"/>
          <w:b/>
          <w:bCs/>
          <w:sz w:val="20"/>
          <w:lang w:val="en-US"/>
        </w:rPr>
      </w:pPr>
      <w:bookmarkStart w:id="1021" w:name="_3.8.2_Reopening_cases"/>
      <w:bookmarkEnd w:id="1021"/>
      <w:r>
        <w:rPr>
          <w:rFonts w:ascii="Arial" w:hAnsi="Arial" w:cs="Arial"/>
          <w:b/>
          <w:bCs/>
          <w:sz w:val="20"/>
        </w:rPr>
        <w:t>3.8.2</w:t>
      </w:r>
      <w:r>
        <w:rPr>
          <w:rFonts w:ascii="Arial" w:hAnsi="Arial" w:cs="Arial"/>
          <w:b/>
          <w:bCs/>
          <w:sz w:val="20"/>
        </w:rPr>
        <w:tab/>
        <w:t xml:space="preserve">Reopening </w:t>
      </w:r>
      <w:r w:rsidR="00D635CD">
        <w:rPr>
          <w:rFonts w:ascii="Arial" w:hAnsi="Arial" w:cs="Arial"/>
          <w:b/>
          <w:bCs/>
          <w:sz w:val="20"/>
        </w:rPr>
        <w:t xml:space="preserve">a </w:t>
      </w:r>
      <w:r>
        <w:rPr>
          <w:rFonts w:ascii="Arial" w:hAnsi="Arial" w:cs="Arial"/>
          <w:b/>
          <w:bCs/>
          <w:sz w:val="20"/>
        </w:rPr>
        <w:t>case</w:t>
      </w:r>
    </w:p>
    <w:p w14:paraId="29C397C1" w14:textId="051C1632" w:rsidR="00FE777C" w:rsidRDefault="00FE777C" w:rsidP="0047078B">
      <w:pPr>
        <w:jc w:val="both"/>
        <w:rPr>
          <w:rFonts w:ascii="Arial" w:hAnsi="Arial" w:cs="Arial"/>
          <w:sz w:val="20"/>
        </w:rPr>
      </w:pPr>
      <w:r>
        <w:rPr>
          <w:rFonts w:ascii="Arial" w:hAnsi="Arial" w:cs="Arial"/>
          <w:sz w:val="20"/>
        </w:rPr>
        <w:t xml:space="preserve">In </w:t>
      </w:r>
      <w:r w:rsidRPr="00FE777C">
        <w:rPr>
          <w:rFonts w:ascii="Arial" w:hAnsi="Arial" w:cs="Arial"/>
          <w:i/>
          <w:iCs/>
          <w:sz w:val="20"/>
        </w:rPr>
        <w:t>Deak v Estate of the Late Carolina Nacinovich and Ermanno Giurina (Final Orders)</w:t>
      </w:r>
      <w:r>
        <w:rPr>
          <w:rFonts w:ascii="Arial" w:hAnsi="Arial" w:cs="Arial"/>
          <w:sz w:val="20"/>
        </w:rPr>
        <w:t xml:space="preserve"> [2025] VSC 202</w:t>
      </w:r>
      <w:r w:rsidR="00B1628F">
        <w:rPr>
          <w:rFonts w:ascii="Arial" w:hAnsi="Arial" w:cs="Arial"/>
          <w:sz w:val="20"/>
        </w:rPr>
        <w:t xml:space="preserve"> the case had been completed but final orders had not yet been made.</w:t>
      </w:r>
      <w:r>
        <w:rPr>
          <w:rFonts w:ascii="Arial" w:hAnsi="Arial" w:cs="Arial"/>
          <w:sz w:val="20"/>
        </w:rPr>
        <w:t xml:space="preserve"> Steffensen AsJ held that the interests of justice favoured granting an application by the plaintiffs for leave to reopen their case </w:t>
      </w:r>
      <w:r w:rsidR="00B1628F">
        <w:rPr>
          <w:rFonts w:ascii="Arial" w:hAnsi="Arial" w:cs="Arial"/>
          <w:sz w:val="20"/>
        </w:rPr>
        <w:t>to adduce</w:t>
      </w:r>
      <w:r>
        <w:rPr>
          <w:rFonts w:ascii="Arial" w:hAnsi="Arial" w:cs="Arial"/>
          <w:sz w:val="20"/>
        </w:rPr>
        <w:t xml:space="preserve"> fresh evidence that a warrant the subject of the proceeding had expired due to a fault by the plaintiffs’ solicitors</w:t>
      </w:r>
      <w:r w:rsidR="00B1628F">
        <w:rPr>
          <w:rFonts w:ascii="Arial" w:hAnsi="Arial" w:cs="Arial"/>
          <w:sz w:val="20"/>
        </w:rPr>
        <w:t xml:space="preserve"> and that a new warrant had been issued</w:t>
      </w:r>
      <w:r>
        <w:rPr>
          <w:rFonts w:ascii="Arial" w:hAnsi="Arial" w:cs="Arial"/>
          <w:sz w:val="20"/>
        </w:rPr>
        <w:t xml:space="preserve">. </w:t>
      </w:r>
      <w:r w:rsidR="00B1628F">
        <w:rPr>
          <w:rFonts w:ascii="Arial" w:hAnsi="Arial" w:cs="Arial"/>
          <w:sz w:val="20"/>
        </w:rPr>
        <w:t xml:space="preserve">His Honour </w:t>
      </w:r>
      <w:r w:rsidR="00B1628F" w:rsidRPr="00B1628F">
        <w:rPr>
          <w:rFonts w:ascii="Arial" w:hAnsi="Arial" w:cs="Arial"/>
          <w:sz w:val="20"/>
        </w:rPr>
        <w:t>grant</w:t>
      </w:r>
      <w:r w:rsidR="00B1628F">
        <w:rPr>
          <w:rFonts w:ascii="Arial" w:hAnsi="Arial" w:cs="Arial"/>
          <w:sz w:val="20"/>
        </w:rPr>
        <w:t>ed</w:t>
      </w:r>
      <w:r w:rsidR="00B1628F" w:rsidRPr="00B1628F">
        <w:rPr>
          <w:rFonts w:ascii="Arial" w:hAnsi="Arial" w:cs="Arial"/>
          <w:sz w:val="20"/>
        </w:rPr>
        <w:t xml:space="preserve"> leave to adduce the </w:t>
      </w:r>
      <w:r w:rsidR="00B1628F">
        <w:rPr>
          <w:rFonts w:ascii="Arial" w:hAnsi="Arial" w:cs="Arial"/>
          <w:sz w:val="20"/>
        </w:rPr>
        <w:t>n</w:t>
      </w:r>
      <w:r w:rsidR="00B1628F" w:rsidRPr="00B1628F">
        <w:rPr>
          <w:rFonts w:ascii="Arial" w:hAnsi="Arial" w:cs="Arial"/>
          <w:sz w:val="20"/>
        </w:rPr>
        <w:t xml:space="preserve">ew </w:t>
      </w:r>
      <w:r w:rsidR="00B1628F">
        <w:rPr>
          <w:rFonts w:ascii="Arial" w:hAnsi="Arial" w:cs="Arial"/>
          <w:sz w:val="20"/>
        </w:rPr>
        <w:t>w</w:t>
      </w:r>
      <w:r w:rsidR="00B1628F" w:rsidRPr="00B1628F">
        <w:rPr>
          <w:rFonts w:ascii="Arial" w:hAnsi="Arial" w:cs="Arial"/>
          <w:sz w:val="20"/>
        </w:rPr>
        <w:t>arrant into evidence</w:t>
      </w:r>
      <w:r w:rsidR="00B1628F">
        <w:rPr>
          <w:rFonts w:ascii="Arial" w:hAnsi="Arial" w:cs="Arial"/>
          <w:sz w:val="20"/>
        </w:rPr>
        <w:t xml:space="preserve"> and made</w:t>
      </w:r>
      <w:r w:rsidR="00B1628F" w:rsidRPr="00B1628F">
        <w:rPr>
          <w:rFonts w:ascii="Arial" w:hAnsi="Arial" w:cs="Arial"/>
          <w:sz w:val="20"/>
        </w:rPr>
        <w:t xml:space="preserve"> final orders in respect of it.</w:t>
      </w:r>
    </w:p>
    <w:p w14:paraId="378B5F3E" w14:textId="55E54FFC" w:rsidR="00B1628F" w:rsidRDefault="00B1628F" w:rsidP="00B1628F">
      <w:pPr>
        <w:spacing w:before="120"/>
        <w:jc w:val="both"/>
        <w:rPr>
          <w:rFonts w:ascii="Arial" w:hAnsi="Arial" w:cs="Arial"/>
          <w:sz w:val="20"/>
        </w:rPr>
      </w:pPr>
      <w:r>
        <w:rPr>
          <w:rFonts w:ascii="Arial" w:hAnsi="Arial" w:cs="Arial"/>
          <w:sz w:val="20"/>
        </w:rPr>
        <w:t>At [9]-[13] his Honour set out the applicable principles as follows:</w:t>
      </w:r>
    </w:p>
    <w:p w14:paraId="47039D03" w14:textId="074F7894" w:rsidR="00B1628F" w:rsidRDefault="00B1628F" w:rsidP="00457498">
      <w:pPr>
        <w:spacing w:before="60"/>
        <w:ind w:left="567" w:right="567"/>
        <w:jc w:val="both"/>
        <w:rPr>
          <w:rFonts w:ascii="Arial" w:hAnsi="Arial" w:cs="Arial"/>
          <w:sz w:val="20"/>
          <w:szCs w:val="20"/>
        </w:rPr>
      </w:pPr>
      <w:r>
        <w:rPr>
          <w:rFonts w:ascii="Arial" w:hAnsi="Arial" w:cs="Arial"/>
          <w:sz w:val="20"/>
          <w:szCs w:val="20"/>
        </w:rPr>
        <w:t>[9] “</w:t>
      </w:r>
      <w:r w:rsidRPr="006E3E5F">
        <w:rPr>
          <w:rFonts w:ascii="Arial" w:hAnsi="Arial" w:cs="Arial"/>
          <w:sz w:val="20"/>
          <w:szCs w:val="20"/>
        </w:rPr>
        <w:t xml:space="preserve">As the Court of Appeal said in </w:t>
      </w:r>
      <w:r w:rsidRPr="006E3E5F">
        <w:rPr>
          <w:rFonts w:ascii="Arial" w:hAnsi="Arial" w:cs="Arial"/>
          <w:i/>
          <w:iCs/>
          <w:sz w:val="20"/>
          <w:szCs w:val="20"/>
        </w:rPr>
        <w:t>Spotlight Pty Ltd v NCON Australia Ltd</w:t>
      </w:r>
      <w:r w:rsidRPr="006E3E5F">
        <w:rPr>
          <w:rFonts w:ascii="Arial" w:hAnsi="Arial" w:cs="Arial"/>
          <w:sz w:val="20"/>
          <w:szCs w:val="20"/>
        </w:rPr>
        <w:t xml:space="preserve"> (‘</w:t>
      </w:r>
      <w:r w:rsidRPr="006E3E5F">
        <w:rPr>
          <w:rFonts w:ascii="Arial" w:hAnsi="Arial" w:cs="Arial"/>
          <w:i/>
          <w:iCs/>
          <w:sz w:val="20"/>
          <w:szCs w:val="20"/>
        </w:rPr>
        <w:t>Spotlight</w:t>
      </w:r>
      <w:r w:rsidRPr="006E3E5F">
        <w:rPr>
          <w:rFonts w:ascii="Arial" w:hAnsi="Arial" w:cs="Arial"/>
          <w:sz w:val="20"/>
          <w:szCs w:val="20"/>
        </w:rPr>
        <w:t>’)</w:t>
      </w:r>
      <w:r w:rsidRPr="00B1628F">
        <w:rPr>
          <w:rFonts w:ascii="Arial" w:hAnsi="Arial" w:cs="Arial"/>
          <w:i/>
          <w:iCs/>
          <w:sz w:val="20"/>
          <w:szCs w:val="20"/>
        </w:rPr>
        <w:t xml:space="preserve"> </w:t>
      </w:r>
      <w:r>
        <w:rPr>
          <w:rFonts w:ascii="Arial" w:hAnsi="Arial" w:cs="Arial"/>
          <w:sz w:val="20"/>
          <w:szCs w:val="20"/>
        </w:rPr>
        <w:t>(2012) 46 VR 1: [2012] VSCA 232 at [26]</w:t>
      </w:r>
      <w:r w:rsidRPr="006E3E5F">
        <w:rPr>
          <w:rFonts w:ascii="Arial" w:hAnsi="Arial" w:cs="Arial"/>
          <w:sz w:val="20"/>
          <w:szCs w:val="20"/>
        </w:rPr>
        <w:t>, leave to reopen to adduce fresh evidence will be granted when the court is satisfied that it is, on the whole, in the interests of justice to do so.</w:t>
      </w:r>
      <w:r>
        <w:rPr>
          <w:rFonts w:ascii="Arial" w:hAnsi="Arial" w:cs="Arial"/>
          <w:sz w:val="20"/>
          <w:szCs w:val="20"/>
        </w:rPr>
        <w:t xml:space="preserve"> </w:t>
      </w:r>
      <w:r w:rsidRPr="006E3E5F">
        <w:rPr>
          <w:rFonts w:ascii="Arial" w:hAnsi="Arial" w:cs="Arial"/>
          <w:sz w:val="20"/>
          <w:szCs w:val="20"/>
        </w:rPr>
        <w:t xml:space="preserve">The Court of Appeal describes this </w:t>
      </w:r>
      <w:r>
        <w:rPr>
          <w:rFonts w:ascii="Arial" w:hAnsi="Arial" w:cs="Arial"/>
          <w:sz w:val="20"/>
          <w:szCs w:val="20"/>
        </w:rPr>
        <w:t xml:space="preserve">at [25]-[26] </w:t>
      </w:r>
      <w:r w:rsidRPr="006E3E5F">
        <w:rPr>
          <w:rFonts w:ascii="Arial" w:hAnsi="Arial" w:cs="Arial"/>
          <w:sz w:val="20"/>
          <w:szCs w:val="20"/>
        </w:rPr>
        <w:t xml:space="preserve">as the ‘overriding principle’ and has identified that there are at least four categories in which leave will be considered.  These are (i) where fresh evidence, unavailable or not reasonably discoverable before, becomes known and available; (ii) where there has been inadvertent error; (iii) where there has been a mistaken apprehension of the facts; and (iv) where there has been a mistaken apprehension of the law. The Court of Appeal emphasises </w:t>
      </w:r>
      <w:r>
        <w:rPr>
          <w:rFonts w:ascii="Arial" w:hAnsi="Arial" w:cs="Arial"/>
          <w:sz w:val="20"/>
          <w:szCs w:val="20"/>
        </w:rPr>
        <w:t xml:space="preserve">at [17]-[18] </w:t>
      </w:r>
      <w:r w:rsidRPr="006E3E5F">
        <w:rPr>
          <w:rFonts w:ascii="Arial" w:hAnsi="Arial" w:cs="Arial"/>
          <w:sz w:val="20"/>
          <w:szCs w:val="20"/>
        </w:rPr>
        <w:t>that the circumstances in which the court may allow a case to be reopened must be exceptional, having regard to the public interest in finality of litigation, and the need to protect the boundaries of the reopened issues.</w:t>
      </w:r>
    </w:p>
    <w:p w14:paraId="70AB6A02" w14:textId="6409E567" w:rsidR="00B1628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10</w:t>
      </w:r>
      <w:r>
        <w:rPr>
          <w:rFonts w:ascii="Arial" w:hAnsi="Arial" w:cs="Arial"/>
          <w:sz w:val="20"/>
          <w:szCs w:val="20"/>
        </w:rPr>
        <w:t>]</w:t>
      </w:r>
      <w:r w:rsidRPr="006E3E5F">
        <w:rPr>
          <w:rFonts w:ascii="Arial" w:hAnsi="Arial" w:cs="Arial"/>
          <w:sz w:val="20"/>
          <w:szCs w:val="20"/>
        </w:rPr>
        <w:t xml:space="preserve"> </w:t>
      </w:r>
      <w:r w:rsidRPr="006E3E5F">
        <w:rPr>
          <w:rFonts w:ascii="Arial" w:hAnsi="Arial" w:cs="Arial"/>
          <w:i/>
          <w:iCs/>
          <w:sz w:val="20"/>
          <w:szCs w:val="20"/>
        </w:rPr>
        <w:t>Spotlight</w:t>
      </w:r>
      <w:r w:rsidRPr="006E3E5F">
        <w:rPr>
          <w:rFonts w:ascii="Arial" w:hAnsi="Arial" w:cs="Arial"/>
          <w:sz w:val="20"/>
          <w:szCs w:val="20"/>
        </w:rPr>
        <w:t xml:space="preserve"> addresses an application after the conclusion of trial, but before judgment had been delivered. The test to be applied on the question of the Court’s jurisdiction to reconsider issues determined in a judgment after it has been delivered, but before final orders have been made, is materially the same. In </w:t>
      </w:r>
      <w:r w:rsidRPr="006E3E5F">
        <w:rPr>
          <w:rFonts w:ascii="Arial" w:hAnsi="Arial" w:cs="Arial"/>
          <w:i/>
          <w:iCs/>
          <w:sz w:val="20"/>
          <w:szCs w:val="20"/>
        </w:rPr>
        <w:t>Autodesk Inc v Dyason (No 2)</w:t>
      </w:r>
      <w:r w:rsidRPr="006E3E5F">
        <w:rPr>
          <w:rFonts w:ascii="Arial" w:hAnsi="Arial" w:cs="Arial"/>
          <w:sz w:val="20"/>
          <w:szCs w:val="20"/>
        </w:rPr>
        <w:t xml:space="preserve"> (‘</w:t>
      </w:r>
      <w:r w:rsidRPr="006E3E5F">
        <w:rPr>
          <w:rFonts w:ascii="Arial" w:hAnsi="Arial" w:cs="Arial"/>
          <w:i/>
          <w:iCs/>
          <w:sz w:val="20"/>
          <w:szCs w:val="20"/>
        </w:rPr>
        <w:t>Autodesk</w:t>
      </w:r>
      <w:r w:rsidRPr="006E3E5F">
        <w:rPr>
          <w:rFonts w:ascii="Arial" w:hAnsi="Arial" w:cs="Arial"/>
          <w:sz w:val="20"/>
          <w:szCs w:val="20"/>
        </w:rPr>
        <w:t>’)</w:t>
      </w:r>
      <w:r>
        <w:rPr>
          <w:rFonts w:ascii="Arial" w:hAnsi="Arial" w:cs="Arial"/>
          <w:sz w:val="20"/>
          <w:szCs w:val="20"/>
        </w:rPr>
        <w:t xml:space="preserve"> (1993) 176 CLR 300</w:t>
      </w:r>
      <w:r w:rsidRPr="006E3E5F">
        <w:rPr>
          <w:rFonts w:ascii="Arial" w:hAnsi="Arial" w:cs="Arial"/>
          <w:sz w:val="20"/>
          <w:szCs w:val="20"/>
        </w:rPr>
        <w:t xml:space="preserve">, the High Court affirmed the jurisdiction to recall a judgment it has pronounced prior to formal entry of the judgment, if a person against whom judgment has been pronounced, through no fault of their own, has not had an opportunity to be heard. The High Court emphasised </w:t>
      </w:r>
      <w:r w:rsidR="005A5467">
        <w:rPr>
          <w:rFonts w:ascii="Arial" w:hAnsi="Arial" w:cs="Arial"/>
          <w:sz w:val="20"/>
          <w:szCs w:val="20"/>
        </w:rPr>
        <w:t xml:space="preserve">at pp.302, 308, 317 &amp; 328 </w:t>
      </w:r>
      <w:r w:rsidRPr="006E3E5F">
        <w:rPr>
          <w:rFonts w:ascii="Arial" w:hAnsi="Arial" w:cs="Arial"/>
          <w:sz w:val="20"/>
          <w:szCs w:val="20"/>
        </w:rPr>
        <w:t>that the jurisdiction must be exercised cautiously and sparingly, having regard to the public interest in the finality of litigation. The jurisdiction must not be used as a backdoor method by which unsuccessful litigants can seek to re-agitate arguments already considered by the Court or because unsuccessful litigants have failed to present the argument as well as they might have.</w:t>
      </w:r>
    </w:p>
    <w:p w14:paraId="7B0EBA78" w14:textId="503D2C9C" w:rsidR="00B1628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11</w:t>
      </w:r>
      <w:r>
        <w:rPr>
          <w:rFonts w:ascii="Arial" w:hAnsi="Arial" w:cs="Arial"/>
          <w:sz w:val="20"/>
          <w:szCs w:val="20"/>
        </w:rPr>
        <w:t>]</w:t>
      </w:r>
      <w:r w:rsidRPr="006E3E5F">
        <w:rPr>
          <w:rFonts w:ascii="Arial" w:hAnsi="Arial" w:cs="Arial"/>
          <w:sz w:val="20"/>
          <w:szCs w:val="20"/>
        </w:rPr>
        <w:t xml:space="preserve"> In doing so, Mason CJ and Gaudron J expressly acknowledged </w:t>
      </w:r>
      <w:r w:rsidR="005A5467">
        <w:rPr>
          <w:rFonts w:ascii="Arial" w:hAnsi="Arial" w:cs="Arial"/>
          <w:sz w:val="20"/>
          <w:szCs w:val="20"/>
        </w:rPr>
        <w:t xml:space="preserve">at pp.302-303 &amp; 328 </w:t>
      </w:r>
      <w:r w:rsidRPr="006E3E5F">
        <w:rPr>
          <w:rFonts w:ascii="Arial" w:hAnsi="Arial" w:cs="Arial"/>
          <w:sz w:val="20"/>
          <w:szCs w:val="20"/>
        </w:rPr>
        <w:t>that the jurisdiction to reopen a judgment before the entry of formal orders is generally exercised where there has been a denial of natural justice, but that it is not limited to such situations.</w:t>
      </w:r>
      <w:r w:rsidR="005A5467">
        <w:rPr>
          <w:rFonts w:ascii="Arial" w:hAnsi="Arial" w:cs="Arial"/>
          <w:sz w:val="20"/>
          <w:szCs w:val="20"/>
        </w:rPr>
        <w:t xml:space="preserve"> </w:t>
      </w:r>
      <w:r w:rsidRPr="006E3E5F">
        <w:rPr>
          <w:rFonts w:ascii="Arial" w:hAnsi="Arial" w:cs="Arial"/>
          <w:sz w:val="20"/>
          <w:szCs w:val="20"/>
        </w:rPr>
        <w:t>The public interest in finality of litigation will not exclude the Court from exercising this exceptional jurisdiction of reviewing or rehearing an issue if its earlier judgment has proceeded on a misapprehension as to the facts or law.</w:t>
      </w:r>
      <w:r w:rsidR="005A5467">
        <w:rPr>
          <w:rFonts w:ascii="Arial" w:hAnsi="Arial" w:cs="Arial"/>
          <w:sz w:val="20"/>
          <w:szCs w:val="20"/>
        </w:rPr>
        <w:t xml:space="preserve"> </w:t>
      </w:r>
      <w:r w:rsidRPr="006E3E5F">
        <w:rPr>
          <w:rFonts w:ascii="Arial" w:hAnsi="Arial" w:cs="Arial"/>
          <w:sz w:val="20"/>
          <w:szCs w:val="20"/>
        </w:rPr>
        <w:t xml:space="preserve">Gaudron J said </w:t>
      </w:r>
      <w:r w:rsidR="005A5467">
        <w:rPr>
          <w:rFonts w:ascii="Arial" w:hAnsi="Arial" w:cs="Arial"/>
          <w:sz w:val="20"/>
          <w:szCs w:val="20"/>
        </w:rPr>
        <w:t xml:space="preserve">at p.328 </w:t>
      </w:r>
      <w:r w:rsidRPr="006E3E5F">
        <w:rPr>
          <w:rFonts w:ascii="Arial" w:hAnsi="Arial" w:cs="Arial"/>
          <w:sz w:val="20"/>
          <w:szCs w:val="20"/>
        </w:rPr>
        <w:t>that the touchstone is whether the interests of justice require the judgment to be vacated.</w:t>
      </w:r>
      <w:r w:rsidR="005A5467">
        <w:rPr>
          <w:rFonts w:ascii="Arial" w:hAnsi="Arial" w:cs="Arial"/>
          <w:sz w:val="20"/>
          <w:szCs w:val="20"/>
        </w:rPr>
        <w:t xml:space="preserve"> </w:t>
      </w:r>
      <w:r w:rsidRPr="006E3E5F">
        <w:rPr>
          <w:rFonts w:ascii="Arial" w:hAnsi="Arial" w:cs="Arial"/>
          <w:sz w:val="20"/>
          <w:szCs w:val="20"/>
        </w:rPr>
        <w:t xml:space="preserve">Mason CJ said </w:t>
      </w:r>
      <w:r w:rsidR="005A5467">
        <w:rPr>
          <w:rFonts w:ascii="Arial" w:hAnsi="Arial" w:cs="Arial"/>
          <w:sz w:val="20"/>
          <w:szCs w:val="20"/>
        </w:rPr>
        <w:t xml:space="preserve">at p.303 </w:t>
      </w:r>
      <w:r w:rsidRPr="006E3E5F">
        <w:rPr>
          <w:rFonts w:ascii="Arial" w:hAnsi="Arial" w:cs="Arial"/>
          <w:sz w:val="20"/>
          <w:szCs w:val="20"/>
        </w:rPr>
        <w:t>‘in order to enliven the exercise of the jurisdiction … this misapprehension cannot be attributed solely to the neglect or default of the party seeking the rehearing’.</w:t>
      </w:r>
    </w:p>
    <w:p w14:paraId="6E77A5F7" w14:textId="3C173662" w:rsidR="00B1628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12</w:t>
      </w:r>
      <w:r>
        <w:rPr>
          <w:rFonts w:ascii="Arial" w:hAnsi="Arial" w:cs="Arial"/>
          <w:sz w:val="20"/>
          <w:szCs w:val="20"/>
        </w:rPr>
        <w:t>]</w:t>
      </w:r>
      <w:r w:rsidRPr="006E3E5F">
        <w:rPr>
          <w:rFonts w:ascii="Arial" w:hAnsi="Arial" w:cs="Arial"/>
          <w:sz w:val="20"/>
          <w:szCs w:val="20"/>
        </w:rPr>
        <w:t xml:space="preserve"> The need to focus upon the interests of justice is also identified in a House of Lords decision relied upon by Mr Giurina: </w:t>
      </w:r>
      <w:r w:rsidRPr="005A5467">
        <w:rPr>
          <w:rFonts w:ascii="Arial" w:hAnsi="Arial" w:cs="Arial"/>
          <w:i/>
          <w:iCs/>
          <w:sz w:val="20"/>
          <w:szCs w:val="20"/>
        </w:rPr>
        <w:t>Mulholland v Mitchell</w:t>
      </w:r>
      <w:r w:rsidR="00D635CD">
        <w:rPr>
          <w:rFonts w:ascii="Arial" w:hAnsi="Arial" w:cs="Arial"/>
          <w:sz w:val="20"/>
          <w:szCs w:val="20"/>
        </w:rPr>
        <w:t xml:space="preserve"> [1971] AC 666.</w:t>
      </w:r>
      <w:r w:rsidRPr="006E3E5F">
        <w:rPr>
          <w:rFonts w:ascii="Arial" w:hAnsi="Arial" w:cs="Arial"/>
          <w:sz w:val="20"/>
          <w:szCs w:val="20"/>
        </w:rPr>
        <w:t xml:space="preserve"> In the context of </w:t>
      </w:r>
      <w:r w:rsidRPr="006E3E5F">
        <w:rPr>
          <w:rFonts w:ascii="Arial" w:hAnsi="Arial" w:cs="Arial"/>
          <w:sz w:val="20"/>
          <w:szCs w:val="20"/>
        </w:rPr>
        <w:lastRenderedPageBreak/>
        <w:t>an application to admit fresh evidence on appeal, Lord Wilberforce said</w:t>
      </w:r>
      <w:r w:rsidR="00D635CD">
        <w:rPr>
          <w:rFonts w:ascii="Arial" w:hAnsi="Arial" w:cs="Arial"/>
          <w:sz w:val="20"/>
          <w:szCs w:val="20"/>
        </w:rPr>
        <w:t xml:space="preserve"> at p.680</w:t>
      </w:r>
      <w:r w:rsidRPr="006E3E5F">
        <w:rPr>
          <w:rFonts w:ascii="Arial" w:hAnsi="Arial" w:cs="Arial"/>
          <w:sz w:val="20"/>
          <w:szCs w:val="20"/>
        </w:rPr>
        <w:t xml:space="preserve"> ‘it may be expected that courts will allow fresh evidence when to refuse it would affront common sense, or a sense of justice’.</w:t>
      </w:r>
    </w:p>
    <w:p w14:paraId="7F149596" w14:textId="7D53443D" w:rsidR="00B1628F" w:rsidRPr="006E3E5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13</w:t>
      </w:r>
      <w:r>
        <w:rPr>
          <w:rFonts w:ascii="Arial" w:hAnsi="Arial" w:cs="Arial"/>
          <w:sz w:val="20"/>
          <w:szCs w:val="20"/>
        </w:rPr>
        <w:t>]</w:t>
      </w:r>
      <w:r w:rsidRPr="006E3E5F">
        <w:rPr>
          <w:rFonts w:ascii="Arial" w:hAnsi="Arial" w:cs="Arial"/>
          <w:sz w:val="20"/>
          <w:szCs w:val="20"/>
        </w:rPr>
        <w:t xml:space="preserve"> Mr Giurina also drew the Court’s attention to </w:t>
      </w:r>
      <w:r w:rsidRPr="00C604A3">
        <w:rPr>
          <w:rFonts w:ascii="Arial" w:hAnsi="Arial" w:cs="Arial"/>
          <w:i/>
          <w:iCs/>
          <w:sz w:val="20"/>
          <w:szCs w:val="20"/>
        </w:rPr>
        <w:t>Bucic v Arnej Pty Ltd (No 4)</w:t>
      </w:r>
      <w:r w:rsidRPr="006E3E5F">
        <w:rPr>
          <w:rFonts w:ascii="Arial" w:hAnsi="Arial" w:cs="Arial"/>
          <w:sz w:val="20"/>
          <w:szCs w:val="20"/>
        </w:rPr>
        <w:t xml:space="preserve"> </w:t>
      </w:r>
      <w:r w:rsidR="00C604A3">
        <w:rPr>
          <w:rFonts w:ascii="Arial" w:hAnsi="Arial" w:cs="Arial"/>
          <w:sz w:val="20"/>
          <w:szCs w:val="20"/>
        </w:rPr>
        <w:t>[2019] VSC 527</w:t>
      </w:r>
      <w:r w:rsidRPr="006E3E5F">
        <w:rPr>
          <w:rFonts w:ascii="Arial" w:hAnsi="Arial" w:cs="Arial"/>
          <w:sz w:val="20"/>
          <w:szCs w:val="20"/>
        </w:rPr>
        <w:t xml:space="preserve">. </w:t>
      </w:r>
      <w:r w:rsidRPr="00C604A3">
        <w:rPr>
          <w:rFonts w:ascii="Arial" w:hAnsi="Arial" w:cs="Arial"/>
          <w:i/>
          <w:iCs/>
          <w:sz w:val="20"/>
          <w:szCs w:val="20"/>
        </w:rPr>
        <w:t>Bucic</w:t>
      </w:r>
      <w:r w:rsidRPr="006E3E5F">
        <w:rPr>
          <w:rFonts w:ascii="Arial" w:hAnsi="Arial" w:cs="Arial"/>
          <w:sz w:val="20"/>
          <w:szCs w:val="20"/>
        </w:rPr>
        <w:t xml:space="preserve"> concerned an application to reopen proceedings after an order disposing of the proceeding had been perfected. Zammit J said </w:t>
      </w:r>
      <w:r w:rsidR="00C604A3">
        <w:rPr>
          <w:rFonts w:ascii="Arial" w:hAnsi="Arial" w:cs="Arial"/>
          <w:sz w:val="20"/>
          <w:szCs w:val="20"/>
        </w:rPr>
        <w:t xml:space="preserve">at [22] </w:t>
      </w:r>
      <w:r w:rsidRPr="006E3E5F">
        <w:rPr>
          <w:rFonts w:ascii="Arial" w:hAnsi="Arial" w:cs="Arial"/>
          <w:sz w:val="20"/>
          <w:szCs w:val="20"/>
        </w:rPr>
        <w:t xml:space="preserve">that ‘it is extremely rare for a court to vary or set aside its own order, save for where there has been fraud, a breach of natural justice, a mistaken apprehension of law or fact or material error in the approach of the judge. The overriding reason for the rule is the importance of the principle of the finality of litigation for the parties and, indeed, all society’. However, in the present circumstances, orders have not yet been made disposing of the proceeding. This may be a distinction without a difference, having regard to the approach set out by Mason CJ and Gaudron J in </w:t>
      </w:r>
      <w:r w:rsidRPr="00C604A3">
        <w:rPr>
          <w:rFonts w:ascii="Arial" w:hAnsi="Arial" w:cs="Arial"/>
          <w:i/>
          <w:iCs/>
          <w:sz w:val="20"/>
          <w:szCs w:val="20"/>
        </w:rPr>
        <w:t>Autodesk</w:t>
      </w:r>
      <w:r w:rsidRPr="006E3E5F">
        <w:rPr>
          <w:rFonts w:ascii="Arial" w:hAnsi="Arial" w:cs="Arial"/>
          <w:sz w:val="20"/>
          <w:szCs w:val="20"/>
        </w:rPr>
        <w:t>, which stated the test in similar terms, albeit in respect of an application to reopen prior to the entry of final orders.</w:t>
      </w:r>
      <w:r>
        <w:rPr>
          <w:rFonts w:ascii="Arial" w:hAnsi="Arial" w:cs="Arial"/>
          <w:sz w:val="20"/>
          <w:szCs w:val="20"/>
        </w:rPr>
        <w:t>”</w:t>
      </w:r>
    </w:p>
    <w:p w14:paraId="12339B5E" w14:textId="77777777" w:rsidR="00716E78" w:rsidRDefault="00716E78" w:rsidP="00716E78">
      <w:pPr>
        <w:jc w:val="both"/>
        <w:rPr>
          <w:rFonts w:ascii="Arial" w:hAnsi="Arial" w:cs="Arial"/>
          <w:color w:val="000000"/>
          <w:sz w:val="20"/>
        </w:rPr>
      </w:pPr>
    </w:p>
    <w:p w14:paraId="60DC0FEE" w14:textId="7303721F" w:rsidR="00716E78" w:rsidRPr="002C2CA5" w:rsidRDefault="00716E78" w:rsidP="00716E78">
      <w:pPr>
        <w:pStyle w:val="Heading3"/>
        <w:widowControl/>
        <w:tabs>
          <w:tab w:val="left" w:pos="357"/>
          <w:tab w:val="left" w:pos="714"/>
          <w:tab w:val="left" w:pos="1071"/>
          <w:tab w:val="left" w:pos="1428"/>
          <w:tab w:val="left" w:pos="1785"/>
          <w:tab w:val="left" w:pos="2142"/>
          <w:tab w:val="left" w:pos="5562"/>
        </w:tabs>
        <w:spacing w:after="120" w:line="240" w:lineRule="auto"/>
        <w:rPr>
          <w:rFonts w:ascii="Arial" w:hAnsi="Arial" w:cs="Arial"/>
          <w:b/>
          <w:bCs/>
          <w:sz w:val="20"/>
          <w:lang w:val="en-US"/>
        </w:rPr>
      </w:pPr>
      <w:bookmarkStart w:id="1022" w:name="_3.8.3_Revised_reasons"/>
      <w:bookmarkEnd w:id="1022"/>
      <w:r>
        <w:rPr>
          <w:rFonts w:ascii="Arial" w:hAnsi="Arial" w:cs="Arial"/>
          <w:b/>
          <w:bCs/>
          <w:sz w:val="20"/>
        </w:rPr>
        <w:t>3.8.3</w:t>
      </w:r>
      <w:r>
        <w:rPr>
          <w:rFonts w:ascii="Arial" w:hAnsi="Arial" w:cs="Arial"/>
          <w:b/>
          <w:bCs/>
          <w:sz w:val="20"/>
        </w:rPr>
        <w:tab/>
      </w:r>
      <w:r w:rsidR="00482D7D">
        <w:rPr>
          <w:rFonts w:ascii="Arial" w:hAnsi="Arial" w:cs="Arial"/>
          <w:b/>
          <w:bCs/>
          <w:sz w:val="20"/>
        </w:rPr>
        <w:t>R</w:t>
      </w:r>
      <w:r>
        <w:rPr>
          <w:rFonts w:ascii="Arial" w:hAnsi="Arial" w:cs="Arial"/>
          <w:b/>
          <w:bCs/>
          <w:sz w:val="20"/>
        </w:rPr>
        <w:t xml:space="preserve">evised reasons </w:t>
      </w:r>
      <w:r w:rsidR="00482D7D">
        <w:rPr>
          <w:rFonts w:ascii="Arial" w:hAnsi="Arial" w:cs="Arial"/>
          <w:b/>
          <w:bCs/>
          <w:sz w:val="20"/>
        </w:rPr>
        <w:t xml:space="preserve">published </w:t>
      </w:r>
      <w:r>
        <w:rPr>
          <w:rFonts w:ascii="Arial" w:hAnsi="Arial" w:cs="Arial"/>
          <w:b/>
          <w:bCs/>
          <w:sz w:val="20"/>
        </w:rPr>
        <w:t>after deliver</w:t>
      </w:r>
      <w:r w:rsidR="002B69BB">
        <w:rPr>
          <w:rFonts w:ascii="Arial" w:hAnsi="Arial" w:cs="Arial"/>
          <w:b/>
          <w:bCs/>
          <w:sz w:val="20"/>
        </w:rPr>
        <w:t>y of</w:t>
      </w:r>
      <w:r>
        <w:rPr>
          <w:rFonts w:ascii="Arial" w:hAnsi="Arial" w:cs="Arial"/>
          <w:b/>
          <w:bCs/>
          <w:sz w:val="20"/>
        </w:rPr>
        <w:t xml:space="preserve"> an </w:t>
      </w:r>
      <w:proofErr w:type="gramStart"/>
      <w:r w:rsidRPr="00716E78">
        <w:rPr>
          <w:rFonts w:ascii="Arial" w:hAnsi="Arial" w:cs="Arial"/>
          <w:b/>
          <w:bCs/>
          <w:i/>
          <w:iCs/>
          <w:sz w:val="20"/>
        </w:rPr>
        <w:t>ex tempore</w:t>
      </w:r>
      <w:proofErr w:type="gramEnd"/>
      <w:r>
        <w:rPr>
          <w:rFonts w:ascii="Arial" w:hAnsi="Arial" w:cs="Arial"/>
          <w:b/>
          <w:bCs/>
          <w:sz w:val="20"/>
        </w:rPr>
        <w:t xml:space="preserve"> judgment</w:t>
      </w:r>
    </w:p>
    <w:p w14:paraId="6FD1C32F" w14:textId="4522263B" w:rsidR="00716E78" w:rsidRDefault="00716E78" w:rsidP="006A6153">
      <w:pPr>
        <w:jc w:val="both"/>
        <w:rPr>
          <w:rFonts w:ascii="Arial" w:hAnsi="Arial" w:cs="Arial"/>
          <w:sz w:val="20"/>
        </w:rPr>
      </w:pPr>
      <w:r>
        <w:rPr>
          <w:rFonts w:ascii="Arial" w:hAnsi="Arial" w:cs="Arial"/>
          <w:sz w:val="20"/>
        </w:rPr>
        <w:t xml:space="preserve">In </w:t>
      </w:r>
      <w:proofErr w:type="spellStart"/>
      <w:r w:rsidRPr="00716E78">
        <w:rPr>
          <w:rFonts w:ascii="Arial" w:hAnsi="Arial" w:cs="Arial"/>
          <w:i/>
          <w:iCs/>
          <w:sz w:val="20"/>
        </w:rPr>
        <w:t>Maradox</w:t>
      </w:r>
      <w:proofErr w:type="spellEnd"/>
      <w:r w:rsidRPr="00716E78">
        <w:rPr>
          <w:rFonts w:ascii="Arial" w:hAnsi="Arial" w:cs="Arial"/>
          <w:i/>
          <w:iCs/>
          <w:sz w:val="20"/>
        </w:rPr>
        <w:t xml:space="preserve"> Pty Ltd v </w:t>
      </w:r>
      <w:proofErr w:type="spellStart"/>
      <w:r w:rsidRPr="00716E78">
        <w:rPr>
          <w:rFonts w:ascii="Arial" w:hAnsi="Arial" w:cs="Arial"/>
          <w:i/>
          <w:iCs/>
          <w:sz w:val="20"/>
        </w:rPr>
        <w:t>Normet</w:t>
      </w:r>
      <w:proofErr w:type="spellEnd"/>
      <w:r w:rsidRPr="00716E78">
        <w:rPr>
          <w:rFonts w:ascii="Arial" w:hAnsi="Arial" w:cs="Arial"/>
          <w:i/>
          <w:iCs/>
          <w:sz w:val="20"/>
        </w:rPr>
        <w:t xml:space="preserve"> Industries Nominees Pty Ltd</w:t>
      </w:r>
      <w:r w:rsidRPr="00716E78">
        <w:rPr>
          <w:rFonts w:ascii="Arial" w:hAnsi="Arial" w:cs="Arial"/>
          <w:sz w:val="20"/>
        </w:rPr>
        <w:t xml:space="preserve"> [2026] VSC 140</w:t>
      </w:r>
      <w:r>
        <w:rPr>
          <w:rFonts w:ascii="Arial" w:hAnsi="Arial" w:cs="Arial"/>
          <w:sz w:val="20"/>
        </w:rPr>
        <w:t xml:space="preserve"> Waller J delivered an </w:t>
      </w:r>
      <w:r w:rsidRPr="00716E78">
        <w:rPr>
          <w:rFonts w:ascii="Arial" w:hAnsi="Arial" w:cs="Arial"/>
          <w:i/>
          <w:iCs/>
          <w:sz w:val="20"/>
        </w:rPr>
        <w:t>ex tempore judgment</w:t>
      </w:r>
      <w:r>
        <w:rPr>
          <w:rFonts w:ascii="Arial" w:hAnsi="Arial" w:cs="Arial"/>
          <w:sz w:val="20"/>
        </w:rPr>
        <w:t xml:space="preserve"> on 17/03/2026. On 23/03/2026 his Honour published revised reasons, noting in footnote 1 that </w:t>
      </w:r>
      <w:r w:rsidR="006A6153">
        <w:rPr>
          <w:rFonts w:ascii="Arial" w:hAnsi="Arial" w:cs="Arial"/>
          <w:sz w:val="20"/>
        </w:rPr>
        <w:t>“[t]</w:t>
      </w:r>
      <w:proofErr w:type="spellStart"/>
      <w:r w:rsidR="006A6153">
        <w:rPr>
          <w:rFonts w:ascii="Arial" w:hAnsi="Arial" w:cs="Arial"/>
          <w:sz w:val="20"/>
        </w:rPr>
        <w:t>hese</w:t>
      </w:r>
      <w:proofErr w:type="spellEnd"/>
      <w:r w:rsidR="006A6153">
        <w:rPr>
          <w:rFonts w:ascii="Arial" w:hAnsi="Arial" w:cs="Arial"/>
          <w:sz w:val="20"/>
        </w:rPr>
        <w:t xml:space="preserve"> </w:t>
      </w:r>
      <w:r w:rsidRPr="00716E78">
        <w:rPr>
          <w:rFonts w:ascii="Arial" w:hAnsi="Arial" w:cs="Arial"/>
          <w:sz w:val="20"/>
        </w:rPr>
        <w:t xml:space="preserve">reasons have been revised in accordance with the principles expressed in </w:t>
      </w:r>
      <w:r w:rsidRPr="00716E78">
        <w:rPr>
          <w:rFonts w:ascii="Arial" w:hAnsi="Arial" w:cs="Arial"/>
          <w:i/>
          <w:iCs/>
          <w:sz w:val="20"/>
        </w:rPr>
        <w:t>Minister for Immigration</w:t>
      </w:r>
      <w:r w:rsidR="006C6A9E">
        <w:rPr>
          <w:rFonts w:ascii="Arial" w:hAnsi="Arial" w:cs="Arial"/>
          <w:i/>
          <w:iCs/>
          <w:sz w:val="20"/>
        </w:rPr>
        <w:t>,</w:t>
      </w:r>
      <w:r w:rsidRPr="00716E78">
        <w:rPr>
          <w:rFonts w:ascii="Arial" w:hAnsi="Arial" w:cs="Arial"/>
          <w:i/>
          <w:iCs/>
          <w:sz w:val="20"/>
        </w:rPr>
        <w:t xml:space="preserve"> Citizenship</w:t>
      </w:r>
      <w:r w:rsidR="006C6A9E">
        <w:rPr>
          <w:rFonts w:ascii="Arial" w:hAnsi="Arial" w:cs="Arial"/>
          <w:i/>
          <w:iCs/>
          <w:sz w:val="20"/>
        </w:rPr>
        <w:t>,</w:t>
      </w:r>
      <w:r w:rsidRPr="00716E78">
        <w:rPr>
          <w:rFonts w:ascii="Arial" w:hAnsi="Arial" w:cs="Arial"/>
          <w:i/>
          <w:iCs/>
          <w:sz w:val="20"/>
        </w:rPr>
        <w:t xml:space="preserve"> Migrant Services and Multicultural Affairs v AAM17</w:t>
      </w:r>
      <w:r w:rsidRPr="00716E78">
        <w:rPr>
          <w:rFonts w:ascii="Arial" w:hAnsi="Arial" w:cs="Arial"/>
          <w:sz w:val="20"/>
        </w:rPr>
        <w:t xml:space="preserve"> (2021) 272 CLR 329, 344–5 [30]</w:t>
      </w:r>
      <w:r w:rsidR="00482D7D">
        <w:rPr>
          <w:rFonts w:ascii="Arial" w:hAnsi="Arial" w:cs="Arial"/>
          <w:sz w:val="20"/>
        </w:rPr>
        <w:t>-</w:t>
      </w:r>
      <w:r w:rsidRPr="00716E78">
        <w:rPr>
          <w:rFonts w:ascii="Arial" w:hAnsi="Arial" w:cs="Arial"/>
          <w:sz w:val="20"/>
        </w:rPr>
        <w:t>[31]</w:t>
      </w:r>
      <w:r w:rsidR="006A6153">
        <w:rPr>
          <w:rFonts w:ascii="Arial" w:hAnsi="Arial" w:cs="Arial"/>
          <w:sz w:val="20"/>
        </w:rPr>
        <w:t xml:space="preserve">”. </w:t>
      </w:r>
    </w:p>
    <w:p w14:paraId="0D8B737F" w14:textId="77777777" w:rsidR="00716E78" w:rsidRDefault="00716E78" w:rsidP="0047078B">
      <w:pPr>
        <w:jc w:val="both"/>
        <w:rPr>
          <w:rFonts w:ascii="Arial" w:hAnsi="Arial" w:cs="Arial"/>
          <w:sz w:val="20"/>
        </w:rPr>
      </w:pPr>
    </w:p>
    <w:p w14:paraId="7E58AE27" w14:textId="03D15E73" w:rsidR="00716E78" w:rsidRDefault="00716E78" w:rsidP="0047078B">
      <w:pPr>
        <w:jc w:val="both"/>
        <w:rPr>
          <w:rFonts w:ascii="Arial" w:hAnsi="Arial" w:cs="Arial"/>
          <w:sz w:val="20"/>
        </w:rPr>
      </w:pPr>
      <w:r>
        <w:rPr>
          <w:rFonts w:ascii="Arial" w:hAnsi="Arial" w:cs="Arial"/>
          <w:sz w:val="20"/>
        </w:rPr>
        <w:t xml:space="preserve">In the aforementioned </w:t>
      </w:r>
      <w:r w:rsidRPr="00716E78">
        <w:rPr>
          <w:rFonts w:ascii="Arial" w:hAnsi="Arial" w:cs="Arial"/>
          <w:i/>
          <w:iCs/>
          <w:sz w:val="20"/>
        </w:rPr>
        <w:t>Minister for Immigration</w:t>
      </w:r>
      <w:r w:rsidR="006C6A9E">
        <w:rPr>
          <w:rFonts w:ascii="Arial" w:hAnsi="Arial" w:cs="Arial"/>
          <w:i/>
          <w:iCs/>
          <w:sz w:val="20"/>
        </w:rPr>
        <w:t>,</w:t>
      </w:r>
      <w:r w:rsidRPr="00716E78">
        <w:rPr>
          <w:rFonts w:ascii="Arial" w:hAnsi="Arial" w:cs="Arial"/>
          <w:i/>
          <w:iCs/>
          <w:sz w:val="20"/>
        </w:rPr>
        <w:t xml:space="preserve"> Citizenship</w:t>
      </w:r>
      <w:r w:rsidR="006C6A9E">
        <w:rPr>
          <w:rFonts w:ascii="Arial" w:hAnsi="Arial" w:cs="Arial"/>
          <w:i/>
          <w:iCs/>
          <w:sz w:val="20"/>
        </w:rPr>
        <w:t>,</w:t>
      </w:r>
      <w:r w:rsidRPr="00716E78">
        <w:rPr>
          <w:rFonts w:ascii="Arial" w:hAnsi="Arial" w:cs="Arial"/>
          <w:i/>
          <w:iCs/>
          <w:sz w:val="20"/>
        </w:rPr>
        <w:t xml:space="preserve"> Migrant Services and Multicultural Affairs v AAM17</w:t>
      </w:r>
      <w:r w:rsidRPr="00716E78">
        <w:rPr>
          <w:rFonts w:ascii="Arial" w:hAnsi="Arial" w:cs="Arial"/>
          <w:sz w:val="20"/>
        </w:rPr>
        <w:t xml:space="preserve"> Steward J </w:t>
      </w:r>
      <w:r>
        <w:rPr>
          <w:rFonts w:ascii="Arial" w:hAnsi="Arial" w:cs="Arial"/>
          <w:sz w:val="20"/>
        </w:rPr>
        <w:t>(with whom Kiefel CJ, Keane, Gordon &amp; Edelman JJ agreed) said at [30]-[32]:</w:t>
      </w:r>
    </w:p>
    <w:p w14:paraId="3B2B637C" w14:textId="74DAD825" w:rsidR="00716E78" w:rsidRDefault="00716E78" w:rsidP="00716E78">
      <w:pPr>
        <w:spacing w:before="60"/>
        <w:ind w:left="567" w:right="567"/>
        <w:jc w:val="both"/>
        <w:rPr>
          <w:rFonts w:ascii="Arial" w:hAnsi="Arial" w:cs="Arial"/>
          <w:sz w:val="20"/>
        </w:rPr>
      </w:pPr>
      <w:r>
        <w:rPr>
          <w:rFonts w:ascii="Arial" w:hAnsi="Arial" w:cs="Arial"/>
          <w:sz w:val="20"/>
        </w:rPr>
        <w:t>[30]</w:t>
      </w:r>
      <w:r>
        <w:rPr>
          <w:rFonts w:ascii="Arial" w:hAnsi="Arial" w:cs="Arial"/>
          <w:sz w:val="20"/>
        </w:rPr>
        <w:tab/>
        <w:t>“…[T]</w:t>
      </w:r>
      <w:r w:rsidRPr="00716E78">
        <w:rPr>
          <w:rFonts w:ascii="Arial" w:hAnsi="Arial" w:cs="Arial"/>
          <w:sz w:val="20"/>
        </w:rPr>
        <w:t>he nature of the Federal Circuit Court's jurisdiction also supports the giving of </w:t>
      </w:r>
      <w:r w:rsidRPr="00716E78">
        <w:rPr>
          <w:rFonts w:ascii="Arial" w:hAnsi="Arial" w:cs="Arial"/>
          <w:i/>
          <w:iCs/>
          <w:sz w:val="20"/>
        </w:rPr>
        <w:t>ex tempore</w:t>
      </w:r>
      <w:r w:rsidRPr="00716E78">
        <w:rPr>
          <w:rFonts w:ascii="Arial" w:hAnsi="Arial" w:cs="Arial"/>
          <w:sz w:val="20"/>
        </w:rPr>
        <w:t> reasons which are then published in written form with revisions. As</w:t>
      </w:r>
      <w:r w:rsidR="00482D7D">
        <w:rPr>
          <w:rFonts w:ascii="Arial" w:hAnsi="Arial" w:cs="Arial"/>
          <w:sz w:val="20"/>
        </w:rPr>
        <w:t xml:space="preserve"> </w:t>
      </w:r>
      <w:r w:rsidRPr="00716E78">
        <w:rPr>
          <w:rFonts w:ascii="Arial" w:hAnsi="Arial" w:cs="Arial"/>
          <w:sz w:val="20"/>
        </w:rPr>
        <w:t>Gleeson CJ, writing extra</w:t>
      </w:r>
      <w:r w:rsidRPr="00716E78">
        <w:rPr>
          <w:rFonts w:ascii="Arial" w:hAnsi="Arial" w:cs="Arial"/>
          <w:sz w:val="20"/>
        </w:rPr>
        <w:noBreakHyphen/>
        <w:t>curially, has observed</w:t>
      </w:r>
      <w:r w:rsidR="006A6153">
        <w:rPr>
          <w:rFonts w:ascii="Arial" w:hAnsi="Arial" w:cs="Arial"/>
          <w:sz w:val="20"/>
        </w:rPr>
        <w:t xml:space="preserve"> in </w:t>
      </w:r>
      <w:r w:rsidR="002B69BB">
        <w:rPr>
          <w:rFonts w:ascii="Arial" w:hAnsi="Arial" w:cs="Arial"/>
          <w:sz w:val="20"/>
        </w:rPr>
        <w:t>‘</w:t>
      </w:r>
      <w:r w:rsidR="006A6153" w:rsidRPr="00716E78">
        <w:rPr>
          <w:rFonts w:ascii="Arial" w:hAnsi="Arial" w:cs="Arial"/>
          <w:sz w:val="20"/>
        </w:rPr>
        <w:t>Revising Transcripts of Summings-Up</w:t>
      </w:r>
      <w:r w:rsidR="002B69BB">
        <w:rPr>
          <w:rFonts w:ascii="Arial" w:hAnsi="Arial" w:cs="Arial"/>
          <w:sz w:val="20"/>
        </w:rPr>
        <w:t>’</w:t>
      </w:r>
      <w:r w:rsidR="006A6153" w:rsidRPr="00716E78">
        <w:rPr>
          <w:rFonts w:ascii="Arial" w:hAnsi="Arial" w:cs="Arial"/>
          <w:sz w:val="20"/>
        </w:rPr>
        <w:t xml:space="preserve"> (1997) 9</w:t>
      </w:r>
      <w:r w:rsidR="002B69BB">
        <w:rPr>
          <w:rFonts w:ascii="Arial" w:hAnsi="Arial" w:cs="Arial"/>
          <w:sz w:val="20"/>
        </w:rPr>
        <w:t xml:space="preserve"> </w:t>
      </w:r>
      <w:r w:rsidR="006A6153" w:rsidRPr="00716E78">
        <w:rPr>
          <w:rFonts w:ascii="Arial" w:hAnsi="Arial" w:cs="Arial"/>
          <w:i/>
          <w:iCs/>
          <w:sz w:val="20"/>
        </w:rPr>
        <w:t>Judicial Officers' Bulletin</w:t>
      </w:r>
      <w:r w:rsidR="002B69BB">
        <w:rPr>
          <w:rFonts w:ascii="Arial" w:hAnsi="Arial" w:cs="Arial"/>
          <w:sz w:val="20"/>
        </w:rPr>
        <w:t xml:space="preserve"> </w:t>
      </w:r>
      <w:r w:rsidR="006A6153" w:rsidRPr="00716E78">
        <w:rPr>
          <w:rFonts w:ascii="Arial" w:hAnsi="Arial" w:cs="Arial"/>
          <w:sz w:val="20"/>
        </w:rPr>
        <w:t>25 at 25</w:t>
      </w:r>
      <w:r w:rsidR="006A6153">
        <w:rPr>
          <w:rFonts w:ascii="Arial" w:hAnsi="Arial" w:cs="Arial"/>
          <w:sz w:val="20"/>
        </w:rPr>
        <w:t>:</w:t>
      </w:r>
    </w:p>
    <w:p w14:paraId="1B267236" w14:textId="645AF33A" w:rsidR="00716E78" w:rsidRPr="00716E78" w:rsidRDefault="002B69BB" w:rsidP="006A6153">
      <w:pPr>
        <w:spacing w:before="60"/>
        <w:ind w:left="1021" w:right="1021"/>
        <w:jc w:val="both"/>
        <w:rPr>
          <w:rFonts w:ascii="Arial" w:hAnsi="Arial" w:cs="Arial"/>
          <w:sz w:val="18"/>
          <w:szCs w:val="22"/>
        </w:rPr>
      </w:pPr>
      <w:r>
        <w:rPr>
          <w:rFonts w:ascii="Arial" w:hAnsi="Arial" w:cs="Arial"/>
          <w:sz w:val="18"/>
          <w:szCs w:val="22"/>
        </w:rPr>
        <w:t>‘</w:t>
      </w:r>
      <w:r w:rsidR="00716E78" w:rsidRPr="00716E78">
        <w:rPr>
          <w:rFonts w:ascii="Arial" w:hAnsi="Arial" w:cs="Arial"/>
          <w:sz w:val="18"/>
          <w:szCs w:val="22"/>
        </w:rPr>
        <w:t xml:space="preserve">There is no reason, in law or in policy, why a judicial officer who delivers a judgment </w:t>
      </w:r>
      <w:r w:rsidR="00716E78" w:rsidRPr="00716E78">
        <w:rPr>
          <w:rFonts w:ascii="Arial" w:hAnsi="Arial" w:cs="Arial"/>
          <w:i/>
          <w:iCs/>
          <w:sz w:val="18"/>
          <w:szCs w:val="22"/>
        </w:rPr>
        <w:t>ex tempore</w:t>
      </w:r>
      <w:r w:rsidR="00716E78" w:rsidRPr="00716E78">
        <w:rPr>
          <w:rFonts w:ascii="Arial" w:hAnsi="Arial" w:cs="Arial"/>
          <w:sz w:val="18"/>
          <w:szCs w:val="22"/>
        </w:rPr>
        <w:t xml:space="preserve"> should be strictly bound to the precise manner in which the reasons were expressed. On the contrary, judges and magistrates are encouraged, where it is possible and appropriate to do so, to decide cases promptly and to give their judgments immediately. It would not advance that policy to prevent them from later improving the manner of expression of their reasons, provided, of course, that they do not alter the substance.</w:t>
      </w:r>
      <w:r>
        <w:rPr>
          <w:rFonts w:ascii="Arial" w:hAnsi="Arial" w:cs="Arial"/>
          <w:sz w:val="18"/>
          <w:szCs w:val="22"/>
        </w:rPr>
        <w:t>’</w:t>
      </w:r>
    </w:p>
    <w:p w14:paraId="6E887A9E" w14:textId="64A49585" w:rsidR="00716E78" w:rsidRPr="00716E78" w:rsidRDefault="006A6153" w:rsidP="006A6153">
      <w:pPr>
        <w:spacing w:before="60"/>
        <w:ind w:left="567" w:right="567"/>
        <w:jc w:val="both"/>
        <w:rPr>
          <w:rFonts w:ascii="Arial" w:hAnsi="Arial" w:cs="Arial"/>
          <w:sz w:val="20"/>
        </w:rPr>
      </w:pPr>
      <w:r>
        <w:rPr>
          <w:rFonts w:ascii="Arial" w:hAnsi="Arial" w:cs="Arial"/>
          <w:sz w:val="20"/>
        </w:rPr>
        <w:t>[31] …[A]</w:t>
      </w:r>
      <w:r w:rsidR="00716E78" w:rsidRPr="00716E78">
        <w:rPr>
          <w:rFonts w:ascii="Arial" w:hAnsi="Arial" w:cs="Arial"/>
          <w:sz w:val="20"/>
        </w:rPr>
        <w:t>s recognised in the above passage, a judge has some ability to improve the expression of her or his judgment in published reasons, so long as she or he does not change the substance of what was said in </w:t>
      </w:r>
      <w:r w:rsidR="00716E78" w:rsidRPr="00716E78">
        <w:rPr>
          <w:rFonts w:ascii="Arial" w:hAnsi="Arial" w:cs="Arial"/>
          <w:i/>
          <w:iCs/>
          <w:sz w:val="20"/>
        </w:rPr>
        <w:t>ex tempore</w:t>
      </w:r>
      <w:r w:rsidR="00716E78" w:rsidRPr="00716E78">
        <w:rPr>
          <w:rFonts w:ascii="Arial" w:hAnsi="Arial" w:cs="Arial"/>
          <w:sz w:val="20"/>
        </w:rPr>
        <w:t> reasons or make other material changes.</w:t>
      </w:r>
      <w:r w:rsidR="002B69BB" w:rsidRPr="00716E78">
        <w:rPr>
          <w:rFonts w:ascii="Arial" w:hAnsi="Arial" w:cs="Arial"/>
          <w:sz w:val="20"/>
        </w:rPr>
        <w:t xml:space="preserve"> </w:t>
      </w:r>
      <w:r w:rsidR="00716E78" w:rsidRPr="00716E78">
        <w:rPr>
          <w:rFonts w:ascii="Arial" w:hAnsi="Arial" w:cs="Arial"/>
          <w:sz w:val="20"/>
        </w:rPr>
        <w:t>Depending upon any applicable rules of court, it may be accepted that in civil proceedings (without a jury) there is latitude for a judge to revise </w:t>
      </w:r>
      <w:r w:rsidR="00716E78" w:rsidRPr="00716E78">
        <w:rPr>
          <w:rFonts w:ascii="Arial" w:hAnsi="Arial" w:cs="Arial"/>
          <w:i/>
          <w:iCs/>
          <w:sz w:val="20"/>
        </w:rPr>
        <w:t>ex tempore</w:t>
      </w:r>
      <w:r w:rsidR="00716E78" w:rsidRPr="00716E78">
        <w:rPr>
          <w:rFonts w:ascii="Arial" w:hAnsi="Arial" w:cs="Arial"/>
          <w:sz w:val="20"/>
        </w:rPr>
        <w:t> reasons. That capacity may not be limited to slips, or to mistakes, or to matters of style. However, changes of substance are not permitte</w:t>
      </w:r>
      <w:r>
        <w:rPr>
          <w:rFonts w:ascii="Arial" w:hAnsi="Arial" w:cs="Arial"/>
          <w:sz w:val="20"/>
        </w:rPr>
        <w:t xml:space="preserve">d: </w:t>
      </w:r>
      <w:r w:rsidRPr="006A6153">
        <w:rPr>
          <w:rFonts w:ascii="Arial" w:hAnsi="Arial" w:cs="Arial"/>
          <w:i/>
          <w:iCs/>
          <w:sz w:val="20"/>
        </w:rPr>
        <w:t>Spencer v Bamber</w:t>
      </w:r>
      <w:r>
        <w:rPr>
          <w:rFonts w:ascii="Arial" w:hAnsi="Arial" w:cs="Arial"/>
          <w:sz w:val="20"/>
        </w:rPr>
        <w:t xml:space="preserve"> [2012] NSWCA 274 at [137] per Campbell JA (Basten &amp; Macfarlan JJA agreeing), quoting </w:t>
      </w:r>
      <w:r w:rsidRPr="002B69BB">
        <w:rPr>
          <w:rFonts w:ascii="Arial" w:hAnsi="Arial" w:cs="Arial"/>
          <w:i/>
          <w:iCs/>
          <w:sz w:val="20"/>
        </w:rPr>
        <w:t>Todorovic v Moussa</w:t>
      </w:r>
      <w:r>
        <w:rPr>
          <w:rFonts w:ascii="Arial" w:hAnsi="Arial" w:cs="Arial"/>
          <w:sz w:val="20"/>
        </w:rPr>
        <w:t xml:space="preserve"> (2001) 53 NSWLR 463 at 467-468 [41]-[47] per Beazley JA (Powell JA and Sperling J agreeing).</w:t>
      </w:r>
    </w:p>
    <w:p w14:paraId="753C74ED" w14:textId="38F18379" w:rsidR="00482D7D" w:rsidRPr="00716E78" w:rsidRDefault="006A6153" w:rsidP="00482D7D">
      <w:pPr>
        <w:spacing w:before="60"/>
        <w:ind w:left="567" w:right="567"/>
        <w:jc w:val="both"/>
        <w:rPr>
          <w:rFonts w:ascii="Arial" w:hAnsi="Arial" w:cs="Arial"/>
          <w:sz w:val="20"/>
        </w:rPr>
      </w:pPr>
      <w:r>
        <w:rPr>
          <w:rFonts w:ascii="Arial" w:hAnsi="Arial" w:cs="Arial"/>
          <w:sz w:val="20"/>
        </w:rPr>
        <w:t>[32] …[W]</w:t>
      </w:r>
      <w:r w:rsidR="00716E78" w:rsidRPr="00716E78">
        <w:rPr>
          <w:rFonts w:ascii="Arial" w:hAnsi="Arial" w:cs="Arial"/>
          <w:sz w:val="20"/>
        </w:rPr>
        <w:t>here written reasons of a court are published following the giving of </w:t>
      </w:r>
      <w:r w:rsidR="00716E78" w:rsidRPr="00716E78">
        <w:rPr>
          <w:rFonts w:ascii="Arial" w:hAnsi="Arial" w:cs="Arial"/>
          <w:i/>
          <w:iCs/>
          <w:sz w:val="20"/>
        </w:rPr>
        <w:t>ex tempore</w:t>
      </w:r>
      <w:r w:rsidR="00716E78" w:rsidRPr="00716E78">
        <w:rPr>
          <w:rFonts w:ascii="Arial" w:hAnsi="Arial" w:cs="Arial"/>
          <w:sz w:val="20"/>
        </w:rPr>
        <w:t> reasons, those written reasons must be taken to be the authentic expression of the judgment of the court unless it is otherwise shown that those reasons had materially deviated from what had been announced in court. Such deviations might be demonstrated by calling for the transcript (or other recording) of the </w:t>
      </w:r>
      <w:r w:rsidR="00716E78" w:rsidRPr="00716E78">
        <w:rPr>
          <w:rFonts w:ascii="Arial" w:hAnsi="Arial" w:cs="Arial"/>
          <w:i/>
          <w:iCs/>
          <w:sz w:val="20"/>
        </w:rPr>
        <w:t>ex tempore</w:t>
      </w:r>
      <w:r w:rsidR="00716E78" w:rsidRPr="00716E78">
        <w:rPr>
          <w:rFonts w:ascii="Arial" w:hAnsi="Arial" w:cs="Arial"/>
          <w:sz w:val="20"/>
        </w:rPr>
        <w:t> judgment; by the production of notes taken by counsel or by an instructing solicitor of what was said; or even by evidence given by counsel or an instructing solicitor in lieu of such notes</w:t>
      </w:r>
      <w:r w:rsidR="00482D7D">
        <w:rPr>
          <w:rFonts w:ascii="Arial" w:hAnsi="Arial" w:cs="Arial"/>
          <w:sz w:val="20"/>
        </w:rPr>
        <w:t>…”</w:t>
      </w:r>
    </w:p>
    <w:p w14:paraId="6A2BFB21" w14:textId="15BB938A" w:rsidR="00716E78" w:rsidRPr="00716E78" w:rsidRDefault="00716E78" w:rsidP="00716E78">
      <w:pPr>
        <w:jc w:val="both"/>
        <w:rPr>
          <w:rFonts w:ascii="Arial" w:hAnsi="Arial" w:cs="Arial"/>
          <w:sz w:val="20"/>
        </w:rPr>
      </w:pPr>
    </w:p>
    <w:p w14:paraId="601B7851" w14:textId="77777777" w:rsidR="0047078B" w:rsidRPr="00836E86" w:rsidRDefault="0047078B" w:rsidP="0047078B">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18E3AF1E" w14:textId="77777777" w:rsidR="0047078B" w:rsidRPr="00836E86" w:rsidRDefault="0047078B" w:rsidP="0047078B">
      <w:pPr>
        <w:rPr>
          <w:rFonts w:ascii="Arial" w:hAnsi="Arial" w:cs="Arial"/>
          <w:sz w:val="20"/>
        </w:rPr>
      </w:pPr>
    </w:p>
    <w:p w14:paraId="71C1D6C1" w14:textId="77777777" w:rsidR="0047078B" w:rsidRPr="00836E86" w:rsidRDefault="0047078B">
      <w:pPr>
        <w:pStyle w:val="ListParagraph"/>
        <w:numPr>
          <w:ilvl w:val="0"/>
          <w:numId w:val="79"/>
        </w:numPr>
        <w:rPr>
          <w:rFonts w:ascii="Arial" w:hAnsi="Arial" w:cs="Arial"/>
          <w:sz w:val="20"/>
        </w:rPr>
      </w:pPr>
      <w:r w:rsidRPr="00836E86">
        <w:rPr>
          <w:rFonts w:ascii="Arial" w:hAnsi="Arial" w:cs="Arial"/>
          <w:sz w:val="20"/>
        </w:rPr>
        <w:br w:type="page"/>
      </w:r>
    </w:p>
    <w:p w14:paraId="795E9285" w14:textId="43C9D1ED" w:rsidR="00B21DA4" w:rsidRPr="00F81B96" w:rsidRDefault="00B21DA4" w:rsidP="005022CC">
      <w:pPr>
        <w:pStyle w:val="Heading2"/>
        <w:keepNext/>
        <w:tabs>
          <w:tab w:val="left" w:pos="567"/>
        </w:tabs>
        <w:spacing w:line="240" w:lineRule="auto"/>
        <w:rPr>
          <w:rFonts w:ascii="Arial" w:hAnsi="Arial" w:cs="Arial"/>
          <w:b/>
          <w:bCs/>
          <w:color w:val="000000"/>
        </w:rPr>
      </w:pPr>
      <w:bookmarkStart w:id="1023" w:name="_3.9_Costs_1"/>
      <w:bookmarkStart w:id="1024" w:name="_Hlk149197444"/>
      <w:bookmarkEnd w:id="1023"/>
      <w:r w:rsidRPr="00F81B96">
        <w:rPr>
          <w:rFonts w:ascii="Arial" w:hAnsi="Arial" w:cs="Arial"/>
          <w:b/>
          <w:bCs/>
          <w:color w:val="000000"/>
        </w:rPr>
        <w:lastRenderedPageBreak/>
        <w:t>3.</w:t>
      </w:r>
      <w:r w:rsidR="00AB3569" w:rsidRPr="00F81B96">
        <w:rPr>
          <w:rFonts w:ascii="Arial" w:hAnsi="Arial" w:cs="Arial"/>
          <w:b/>
          <w:bCs/>
          <w:color w:val="000000"/>
        </w:rPr>
        <w:t>9</w:t>
      </w:r>
      <w:r w:rsidRPr="00F81B96">
        <w:rPr>
          <w:rFonts w:ascii="Arial" w:hAnsi="Arial" w:cs="Arial"/>
          <w:b/>
          <w:bCs/>
          <w:color w:val="000000"/>
        </w:rPr>
        <w:tab/>
        <w:t>Costs</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14:paraId="3C27E962" w14:textId="77777777" w:rsidR="00B21DA4" w:rsidRDefault="00B21DA4" w:rsidP="005022CC">
      <w:pPr>
        <w:keepNext/>
        <w:jc w:val="both"/>
        <w:rPr>
          <w:rFonts w:ascii="Arial" w:hAnsi="Arial" w:cs="Arial"/>
          <w:sz w:val="20"/>
        </w:rPr>
      </w:pPr>
    </w:p>
    <w:bookmarkEnd w:id="1024"/>
    <w:p w14:paraId="6231322F" w14:textId="77777777" w:rsidR="00B21DA4" w:rsidRDefault="00B21DA4">
      <w:pPr>
        <w:jc w:val="both"/>
        <w:rPr>
          <w:rFonts w:ascii="Arial" w:hAnsi="Arial" w:cs="Arial"/>
          <w:sz w:val="20"/>
        </w:rPr>
      </w:pPr>
      <w:r>
        <w:rPr>
          <w:rFonts w:ascii="Arial" w:hAnsi="Arial" w:cs="Arial"/>
          <w:sz w:val="20"/>
        </w:rPr>
        <w:t>Generally parties to proceedings in the Children's Court bear their own costs.  However, most children and a significant proportion of adults who are represented by legal practitioners have their own costs met by Victoria Legal Aid.</w:t>
      </w:r>
    </w:p>
    <w:p w14:paraId="145F3042" w14:textId="77777777" w:rsidR="007D1460" w:rsidRDefault="007D1460">
      <w:pPr>
        <w:jc w:val="both"/>
        <w:rPr>
          <w:rFonts w:ascii="Arial" w:hAnsi="Arial" w:cs="Arial"/>
          <w:sz w:val="20"/>
        </w:rPr>
      </w:pPr>
    </w:p>
    <w:p w14:paraId="22CB1F22" w14:textId="2A4B3C0A" w:rsidR="00B61E41" w:rsidRPr="0090605F" w:rsidRDefault="003856B0" w:rsidP="00DD578D">
      <w:pPr>
        <w:jc w:val="both"/>
        <w:rPr>
          <w:rFonts w:ascii="Arial" w:hAnsi="Arial" w:cs="Arial"/>
          <w:sz w:val="20"/>
          <w:szCs w:val="20"/>
        </w:rPr>
      </w:pPr>
      <w:r>
        <w:rPr>
          <w:rFonts w:ascii="Arial" w:hAnsi="Arial" w:cs="Arial"/>
          <w:sz w:val="20"/>
        </w:rPr>
        <w:t>T</w:t>
      </w:r>
      <w:r w:rsidR="00B21DA4">
        <w:rPr>
          <w:rFonts w:ascii="Arial" w:hAnsi="Arial" w:cs="Arial"/>
          <w:sz w:val="20"/>
        </w:rPr>
        <w:t>he Court's power to order costs against a person derive</w:t>
      </w:r>
      <w:r>
        <w:rPr>
          <w:rFonts w:ascii="Arial" w:hAnsi="Arial" w:cs="Arial"/>
          <w:sz w:val="20"/>
        </w:rPr>
        <w:t>s</w:t>
      </w:r>
      <w:r w:rsidR="00B21DA4">
        <w:rPr>
          <w:rFonts w:ascii="Arial" w:hAnsi="Arial" w:cs="Arial"/>
          <w:sz w:val="20"/>
        </w:rPr>
        <w:t xml:space="preserve"> from ss.131 &amp; 132 of the </w:t>
      </w:r>
      <w:r w:rsidR="00B21DA4" w:rsidRPr="00A82F40">
        <w:rPr>
          <w:rFonts w:ascii="Arial" w:hAnsi="Arial" w:cs="Arial"/>
          <w:i/>
          <w:iCs/>
          <w:sz w:val="20"/>
        </w:rPr>
        <w:t>Magistrates' Court Act 1989</w:t>
      </w:r>
      <w:r w:rsidR="00B21DA4">
        <w:rPr>
          <w:rFonts w:ascii="Arial" w:hAnsi="Arial" w:cs="Arial"/>
          <w:sz w:val="20"/>
        </w:rPr>
        <w:t xml:space="preserve"> </w:t>
      </w:r>
      <w:r w:rsidR="00AE31F8">
        <w:rPr>
          <w:rFonts w:ascii="Arial" w:hAnsi="Arial" w:cs="Arial"/>
          <w:sz w:val="20"/>
        </w:rPr>
        <w:t>(</w:t>
      </w:r>
      <w:r w:rsidR="00B21DA4">
        <w:rPr>
          <w:rFonts w:ascii="Arial" w:hAnsi="Arial" w:cs="Arial"/>
          <w:sz w:val="20"/>
        </w:rPr>
        <w:t>read in conjunction with s.</w:t>
      </w:r>
      <w:r w:rsidR="00457EB2">
        <w:rPr>
          <w:rFonts w:ascii="Arial" w:hAnsi="Arial" w:cs="Arial"/>
          <w:sz w:val="20"/>
        </w:rPr>
        <w:t>528</w:t>
      </w:r>
      <w:r w:rsidR="00B21DA4">
        <w:rPr>
          <w:rFonts w:ascii="Arial" w:hAnsi="Arial" w:cs="Arial"/>
          <w:sz w:val="20"/>
        </w:rPr>
        <w:t>(2) of the CY</w:t>
      </w:r>
      <w:r w:rsidR="00457EB2">
        <w:rPr>
          <w:rFonts w:ascii="Arial" w:hAnsi="Arial" w:cs="Arial"/>
          <w:sz w:val="20"/>
        </w:rPr>
        <w:t>F</w:t>
      </w:r>
      <w:r w:rsidR="00B21DA4">
        <w:rPr>
          <w:rFonts w:ascii="Arial" w:hAnsi="Arial" w:cs="Arial"/>
          <w:sz w:val="20"/>
        </w:rPr>
        <w:t>A</w:t>
      </w:r>
      <w:r w:rsidR="00AE31F8">
        <w:rPr>
          <w:rFonts w:ascii="Arial" w:hAnsi="Arial" w:cs="Arial"/>
          <w:sz w:val="20"/>
        </w:rPr>
        <w:t>)</w:t>
      </w:r>
      <w:r w:rsidR="00C958C7">
        <w:rPr>
          <w:rFonts w:ascii="Arial" w:hAnsi="Arial" w:cs="Arial"/>
          <w:sz w:val="20"/>
        </w:rPr>
        <w:t>,</w:t>
      </w:r>
      <w:r w:rsidR="00B21DA4">
        <w:rPr>
          <w:rFonts w:ascii="Arial" w:hAnsi="Arial" w:cs="Arial"/>
          <w:sz w:val="20"/>
        </w:rPr>
        <w:t xml:space="preserve"> from </w:t>
      </w:r>
      <w:r w:rsidR="00C958C7">
        <w:rPr>
          <w:rFonts w:ascii="Arial" w:hAnsi="Arial" w:cs="Arial"/>
          <w:sz w:val="20"/>
        </w:rPr>
        <w:t xml:space="preserve">s.154 of the </w:t>
      </w:r>
      <w:r w:rsidR="00C958C7" w:rsidRPr="00A82F40">
        <w:rPr>
          <w:rFonts w:ascii="Arial" w:hAnsi="Arial" w:cs="Arial"/>
          <w:i/>
          <w:iCs/>
          <w:sz w:val="20"/>
        </w:rPr>
        <w:t>Family Violence Protection Act 2008</w:t>
      </w:r>
      <w:r w:rsidR="00C958C7">
        <w:rPr>
          <w:rFonts w:ascii="Arial" w:hAnsi="Arial" w:cs="Arial"/>
          <w:sz w:val="20"/>
        </w:rPr>
        <w:t xml:space="preserve"> and s.</w:t>
      </w:r>
      <w:r w:rsidR="00725095">
        <w:rPr>
          <w:rFonts w:ascii="Arial" w:hAnsi="Arial" w:cs="Arial"/>
          <w:sz w:val="20"/>
        </w:rPr>
        <w:t>111</w:t>
      </w:r>
      <w:r w:rsidR="00C958C7">
        <w:rPr>
          <w:rFonts w:ascii="Arial" w:hAnsi="Arial" w:cs="Arial"/>
          <w:sz w:val="20"/>
        </w:rPr>
        <w:t xml:space="preserve"> of the </w:t>
      </w:r>
      <w:r w:rsidR="00725095" w:rsidRPr="00A82F40">
        <w:rPr>
          <w:rFonts w:ascii="Arial" w:hAnsi="Arial" w:cs="Arial"/>
          <w:i/>
          <w:iCs/>
          <w:sz w:val="20"/>
        </w:rPr>
        <w:t>Personal Safety</w:t>
      </w:r>
      <w:r w:rsidR="00C958C7" w:rsidRPr="00A82F40">
        <w:rPr>
          <w:rFonts w:ascii="Arial" w:hAnsi="Arial" w:cs="Arial"/>
          <w:i/>
          <w:iCs/>
          <w:sz w:val="20"/>
        </w:rPr>
        <w:t xml:space="preserve"> Intervention Orders Act 20</w:t>
      </w:r>
      <w:r w:rsidR="00725095" w:rsidRPr="00A82F40">
        <w:rPr>
          <w:rFonts w:ascii="Arial" w:hAnsi="Arial" w:cs="Arial"/>
          <w:i/>
          <w:iCs/>
          <w:sz w:val="20"/>
        </w:rPr>
        <w:t>1</w:t>
      </w:r>
      <w:r w:rsidR="00C958C7" w:rsidRPr="00A82F40">
        <w:rPr>
          <w:rFonts w:ascii="Arial" w:hAnsi="Arial" w:cs="Arial"/>
          <w:i/>
          <w:iCs/>
          <w:sz w:val="20"/>
        </w:rPr>
        <w:t>0</w:t>
      </w:r>
      <w:r w:rsidR="00C958C7">
        <w:rPr>
          <w:rFonts w:ascii="Arial" w:hAnsi="Arial" w:cs="Arial"/>
          <w:sz w:val="20"/>
        </w:rPr>
        <w:t>.</w:t>
      </w:r>
      <w:r w:rsidR="00434DAA">
        <w:rPr>
          <w:rFonts w:ascii="Arial" w:hAnsi="Arial" w:cs="Arial"/>
          <w:sz w:val="20"/>
        </w:rPr>
        <w:t xml:space="preserve">  See </w:t>
      </w:r>
      <w:r w:rsidR="00434DAA" w:rsidRPr="00434DAA">
        <w:rPr>
          <w:rFonts w:ascii="Arial" w:hAnsi="Arial" w:cs="Arial"/>
          <w:i/>
          <w:sz w:val="20"/>
        </w:rPr>
        <w:t>NG v IP</w:t>
      </w:r>
      <w:r w:rsidR="00434DAA">
        <w:rPr>
          <w:rFonts w:ascii="Arial" w:hAnsi="Arial" w:cs="Arial"/>
          <w:sz w:val="20"/>
        </w:rPr>
        <w:t xml:space="preserve"> [2009] VSC 199 </w:t>
      </w:r>
      <w:r w:rsidR="00434DAA" w:rsidRPr="0090605F">
        <w:rPr>
          <w:rFonts w:ascii="Arial" w:hAnsi="Arial" w:cs="Arial"/>
          <w:sz w:val="20"/>
          <w:szCs w:val="20"/>
        </w:rPr>
        <w:t xml:space="preserve">at </w:t>
      </w:r>
      <w:r w:rsidR="002C057B" w:rsidRPr="0090605F">
        <w:rPr>
          <w:rFonts w:ascii="Arial" w:hAnsi="Arial" w:cs="Arial"/>
          <w:sz w:val="20"/>
          <w:szCs w:val="20"/>
        </w:rPr>
        <w:t xml:space="preserve">[15] &amp; </w:t>
      </w:r>
      <w:r w:rsidR="00434DAA" w:rsidRPr="0090605F">
        <w:rPr>
          <w:rFonts w:ascii="Arial" w:hAnsi="Arial" w:cs="Arial"/>
          <w:sz w:val="20"/>
          <w:szCs w:val="20"/>
        </w:rPr>
        <w:t>[23].</w:t>
      </w:r>
    </w:p>
    <w:p w14:paraId="657615F2" w14:textId="77777777" w:rsidR="00B61E41" w:rsidRPr="00DF5439" w:rsidRDefault="00B61E41" w:rsidP="00B61E41">
      <w:pPr>
        <w:jc w:val="both"/>
        <w:rPr>
          <w:rFonts w:ascii="Arial" w:hAnsi="Arial" w:cs="Arial"/>
          <w:color w:val="000000"/>
          <w:sz w:val="20"/>
        </w:rPr>
      </w:pPr>
    </w:p>
    <w:p w14:paraId="7E34C066" w14:textId="4E5CE6D3" w:rsidR="002816DF" w:rsidRPr="00DF5439" w:rsidRDefault="007F0996" w:rsidP="007F0996">
      <w:pPr>
        <w:jc w:val="both"/>
        <w:rPr>
          <w:rFonts w:ascii="Arial" w:hAnsi="Arial" w:cs="Arial"/>
          <w:color w:val="000000"/>
          <w:sz w:val="20"/>
          <w:szCs w:val="20"/>
        </w:rPr>
      </w:pPr>
      <w:r w:rsidRPr="00DF5439">
        <w:rPr>
          <w:rFonts w:ascii="Arial" w:hAnsi="Arial" w:cs="Arial"/>
          <w:color w:val="000000"/>
          <w:sz w:val="20"/>
        </w:rPr>
        <w:t>Section 131(1) is expressed in very broad terms and is not limited to costs orders against parties to the proceeding: “</w:t>
      </w:r>
      <w:r w:rsidRPr="00DF5439">
        <w:rPr>
          <w:rFonts w:ascii="Arial" w:hAnsi="Arial" w:cs="Arial"/>
          <w:color w:val="000000"/>
          <w:sz w:val="20"/>
          <w:szCs w:val="20"/>
        </w:rPr>
        <w:t>The costs of, and incidental to, all proceedings in the Court are in the discretion of the Court and the Court has full power to determine by whom, to whom and to what extent the costs are to be paid.</w:t>
      </w:r>
      <w:r w:rsidRPr="00DF5439">
        <w:rPr>
          <w:rFonts w:ascii="Arial" w:hAnsi="Arial" w:cs="Arial"/>
          <w:color w:val="000000"/>
          <w:sz w:val="20"/>
        </w:rPr>
        <w:t xml:space="preserve">”  For discussion of the principles governing the ordering of costs against non-parties, see </w:t>
      </w:r>
      <w:r w:rsidR="002816DF" w:rsidRPr="00DF5439">
        <w:rPr>
          <w:rFonts w:ascii="Arial" w:hAnsi="Arial" w:cs="Arial"/>
          <w:i/>
          <w:color w:val="000000"/>
          <w:sz w:val="20"/>
          <w:szCs w:val="20"/>
        </w:rPr>
        <w:t>Knight v FP Special Assets Ltd</w:t>
      </w:r>
      <w:r w:rsidR="002816DF" w:rsidRPr="00DF5439">
        <w:rPr>
          <w:rFonts w:ascii="Arial" w:hAnsi="Arial" w:cs="Arial"/>
          <w:color w:val="000000"/>
          <w:sz w:val="20"/>
          <w:szCs w:val="20"/>
        </w:rPr>
        <w:t xml:space="preserve"> (1992) 174 CLR 178; </w:t>
      </w:r>
      <w:r w:rsidR="002816DF" w:rsidRPr="00DF5439">
        <w:rPr>
          <w:rFonts w:ascii="Arial" w:hAnsi="Arial" w:cs="Arial"/>
          <w:i/>
          <w:color w:val="000000"/>
          <w:sz w:val="20"/>
          <w:szCs w:val="20"/>
        </w:rPr>
        <w:t>Bischof v Adams</w:t>
      </w:r>
      <w:r w:rsidR="002816DF" w:rsidRPr="00DF5439">
        <w:rPr>
          <w:rFonts w:ascii="Arial" w:hAnsi="Arial" w:cs="Arial"/>
          <w:color w:val="000000"/>
          <w:sz w:val="20"/>
          <w:szCs w:val="20"/>
        </w:rPr>
        <w:t xml:space="preserve"> [1992] 2 VR 198; </w:t>
      </w:r>
      <w:r w:rsidR="002816DF" w:rsidRPr="00DF5439">
        <w:rPr>
          <w:rFonts w:ascii="Arial" w:hAnsi="Arial" w:cs="Arial"/>
          <w:i/>
          <w:color w:val="000000"/>
          <w:sz w:val="20"/>
          <w:szCs w:val="20"/>
        </w:rPr>
        <w:t xml:space="preserve">Victorian Workcover Authority v Roman Catholic Trusts Corporation for Archdiocese of Melbourne &amp; Anor </w:t>
      </w:r>
      <w:r w:rsidR="002816DF" w:rsidRPr="00DF5439">
        <w:rPr>
          <w:rFonts w:ascii="Arial" w:hAnsi="Arial" w:cs="Arial"/>
          <w:color w:val="000000"/>
          <w:sz w:val="20"/>
          <w:szCs w:val="20"/>
        </w:rPr>
        <w:t>[2013] VSC 26</w:t>
      </w:r>
      <w:r w:rsidR="00F062A8">
        <w:rPr>
          <w:rFonts w:ascii="Arial" w:hAnsi="Arial" w:cs="Arial"/>
          <w:color w:val="000000"/>
          <w:sz w:val="20"/>
          <w:szCs w:val="20"/>
        </w:rPr>
        <w:t xml:space="preserve">; </w:t>
      </w:r>
      <w:bookmarkStart w:id="1025" w:name="_Hlk146776939"/>
      <w:r w:rsidR="00F062A8" w:rsidRPr="00F062A8">
        <w:rPr>
          <w:rFonts w:ascii="Arial" w:hAnsi="Arial" w:cs="Arial"/>
          <w:i/>
          <w:iCs/>
          <w:color w:val="000000"/>
          <w:sz w:val="20"/>
          <w:szCs w:val="20"/>
        </w:rPr>
        <w:t>Lindholm v Elliott &amp; Ors</w:t>
      </w:r>
      <w:r w:rsidR="00F062A8">
        <w:rPr>
          <w:rFonts w:ascii="Arial" w:hAnsi="Arial" w:cs="Arial"/>
          <w:color w:val="000000"/>
          <w:sz w:val="20"/>
          <w:szCs w:val="20"/>
        </w:rPr>
        <w:t xml:space="preserve"> [2023] VSC 442 at [9]-[27]</w:t>
      </w:r>
      <w:r w:rsidR="00BC0484">
        <w:rPr>
          <w:rFonts w:ascii="Arial" w:hAnsi="Arial" w:cs="Arial"/>
          <w:color w:val="000000"/>
          <w:sz w:val="20"/>
          <w:szCs w:val="20"/>
        </w:rPr>
        <w:t xml:space="preserve">; </w:t>
      </w:r>
      <w:r w:rsidR="00BC0484" w:rsidRPr="00BC0484">
        <w:rPr>
          <w:rFonts w:ascii="Arial" w:hAnsi="Arial" w:cs="Arial"/>
          <w:i/>
          <w:iCs/>
          <w:color w:val="000000"/>
          <w:sz w:val="20"/>
          <w:szCs w:val="20"/>
        </w:rPr>
        <w:t>Kyne v Gerard Brandrick &amp; Associates Pty Ltd</w:t>
      </w:r>
      <w:r w:rsidR="00BC0484">
        <w:rPr>
          <w:rFonts w:ascii="Arial" w:hAnsi="Arial" w:cs="Arial"/>
          <w:color w:val="000000"/>
          <w:sz w:val="20"/>
          <w:szCs w:val="20"/>
        </w:rPr>
        <w:t xml:space="preserve"> [2025] VSCA 17 at [35]-[42] &amp; [65]-[82]</w:t>
      </w:r>
      <w:r w:rsidR="002816DF" w:rsidRPr="00DF5439">
        <w:rPr>
          <w:rFonts w:ascii="Arial" w:hAnsi="Arial" w:cs="Arial"/>
          <w:color w:val="000000"/>
          <w:sz w:val="20"/>
          <w:szCs w:val="20"/>
        </w:rPr>
        <w:t>.</w:t>
      </w:r>
      <w:bookmarkEnd w:id="1025"/>
    </w:p>
    <w:p w14:paraId="62B7BA4E" w14:textId="77777777" w:rsidR="00DD578D" w:rsidRDefault="00DD578D" w:rsidP="00DD578D">
      <w:pPr>
        <w:jc w:val="both"/>
        <w:rPr>
          <w:rFonts w:ascii="Arial" w:hAnsi="Arial" w:cs="Arial"/>
          <w:sz w:val="20"/>
          <w:szCs w:val="20"/>
        </w:rPr>
      </w:pPr>
    </w:p>
    <w:p w14:paraId="3D732BB0" w14:textId="77777777" w:rsidR="00DD578D" w:rsidRPr="00DD5CCF" w:rsidRDefault="00DD578D" w:rsidP="00DD578D">
      <w:pPr>
        <w:jc w:val="both"/>
        <w:rPr>
          <w:rFonts w:ascii="Arial" w:hAnsi="Arial" w:cs="Arial"/>
          <w:color w:val="000000"/>
          <w:sz w:val="20"/>
          <w:szCs w:val="20"/>
        </w:rPr>
      </w:pPr>
      <w:r w:rsidRPr="00DF5439">
        <w:rPr>
          <w:rFonts w:ascii="Arial" w:hAnsi="Arial" w:cs="Arial"/>
          <w:color w:val="000000"/>
          <w:sz w:val="20"/>
        </w:rPr>
        <w:t xml:space="preserve">Section 131A of the </w:t>
      </w:r>
      <w:r w:rsidRPr="00A82F40">
        <w:rPr>
          <w:rFonts w:ascii="Arial" w:hAnsi="Arial" w:cs="Arial"/>
          <w:i/>
          <w:iCs/>
          <w:color w:val="000000"/>
          <w:sz w:val="20"/>
        </w:rPr>
        <w:t>Magistrates’ Court Act 1989</w:t>
      </w:r>
      <w:r w:rsidRPr="00DF5439">
        <w:rPr>
          <w:rFonts w:ascii="Arial" w:hAnsi="Arial" w:cs="Arial"/>
          <w:color w:val="000000"/>
          <w:sz w:val="20"/>
        </w:rPr>
        <w:t xml:space="preserve"> (read in conjunction with s.528(2) of the CYFA) gives the Children’s Court power to order that the costs of, and incidental to, a proceeding in the Children’s Court be assessed, settled, taxed or reviewed by the Costs Court. The writer doubts that this </w:t>
      </w:r>
      <w:r w:rsidRPr="00DF5439">
        <w:rPr>
          <w:rFonts w:ascii="Arial" w:hAnsi="Arial" w:cs="Arial"/>
          <w:color w:val="000000"/>
          <w:sz w:val="20"/>
          <w:szCs w:val="20"/>
        </w:rPr>
        <w:t xml:space="preserve">provision will often be used by the Children’s Court. For discussion of the power of the Costs Court to quantify costs incurrent in proceedings in a Magistrates’ Court see the judgment of Daly AsJ in </w:t>
      </w:r>
      <w:r w:rsidRPr="00DF5439">
        <w:rPr>
          <w:rFonts w:ascii="Arial" w:hAnsi="Arial" w:cs="Arial"/>
          <w:i/>
          <w:color w:val="000000"/>
          <w:sz w:val="20"/>
          <w:szCs w:val="20"/>
        </w:rPr>
        <w:t>Brown v Glen Eira (No. 2)</w:t>
      </w:r>
      <w:r w:rsidRPr="00DF5439">
        <w:rPr>
          <w:rFonts w:ascii="Arial" w:hAnsi="Arial" w:cs="Arial"/>
          <w:color w:val="000000"/>
          <w:sz w:val="20"/>
          <w:szCs w:val="20"/>
        </w:rPr>
        <w:t xml:space="preserve"> [2012] VSC 273</w:t>
      </w:r>
      <w:r w:rsidRPr="00DD5CCF">
        <w:t xml:space="preserve"> </w:t>
      </w:r>
      <w:r w:rsidRPr="00DD5CCF">
        <w:rPr>
          <w:rFonts w:ascii="Arial" w:hAnsi="Arial" w:cs="Arial"/>
          <w:sz w:val="20"/>
          <w:szCs w:val="20"/>
        </w:rPr>
        <w:t xml:space="preserve">and </w:t>
      </w:r>
      <w:r w:rsidRPr="00DD5CCF">
        <w:rPr>
          <w:rFonts w:ascii="Arial" w:hAnsi="Arial" w:cs="Arial"/>
          <w:color w:val="000000"/>
          <w:sz w:val="20"/>
          <w:szCs w:val="20"/>
        </w:rPr>
        <w:t xml:space="preserve">Williams J in </w:t>
      </w:r>
      <w:r w:rsidRPr="00DD5CCF">
        <w:rPr>
          <w:rFonts w:ascii="Arial" w:hAnsi="Arial" w:cs="Arial"/>
          <w:i/>
          <w:iCs/>
          <w:color w:val="333333"/>
          <w:sz w:val="20"/>
          <w:szCs w:val="20"/>
          <w:shd w:val="clear" w:color="auto" w:fill="FFFFFF"/>
        </w:rPr>
        <w:t>Easwaralingam v Davis &amp; Anor</w:t>
      </w:r>
      <w:r w:rsidRPr="00DD5CCF">
        <w:rPr>
          <w:rFonts w:ascii="Arial" w:hAnsi="Arial" w:cs="Arial"/>
          <w:color w:val="000000"/>
          <w:sz w:val="20"/>
          <w:szCs w:val="20"/>
        </w:rPr>
        <w:t xml:space="preserve"> [2013] VSC 651.</w:t>
      </w:r>
    </w:p>
    <w:p w14:paraId="5FABF3E0" w14:textId="77777777" w:rsidR="00DD578D" w:rsidRPr="00DF5439" w:rsidRDefault="00DD578D" w:rsidP="00B61E41">
      <w:pPr>
        <w:jc w:val="both"/>
        <w:rPr>
          <w:rFonts w:ascii="Arial" w:hAnsi="Arial" w:cs="Arial"/>
          <w:color w:val="000000"/>
          <w:sz w:val="20"/>
        </w:rPr>
      </w:pPr>
    </w:p>
    <w:p w14:paraId="6F1EE900" w14:textId="77777777" w:rsidR="00431504" w:rsidRPr="008A5C61" w:rsidRDefault="00431504" w:rsidP="000F0BE9">
      <w:pPr>
        <w:jc w:val="both"/>
        <w:rPr>
          <w:rFonts w:ascii="Arial" w:hAnsi="Arial" w:cs="Arial"/>
          <w:color w:val="000000"/>
          <w:sz w:val="20"/>
          <w:szCs w:val="20"/>
        </w:rPr>
      </w:pPr>
      <w:r w:rsidRPr="008A5C61">
        <w:rPr>
          <w:rFonts w:ascii="Arial" w:hAnsi="Arial" w:cs="Arial"/>
          <w:color w:val="000000"/>
          <w:sz w:val="20"/>
        </w:rPr>
        <w:t xml:space="preserve">Under s.132 of the </w:t>
      </w:r>
      <w:r w:rsidRPr="00A82F40">
        <w:rPr>
          <w:rFonts w:ascii="Arial" w:hAnsi="Arial" w:cs="Arial"/>
          <w:i/>
          <w:iCs/>
          <w:color w:val="000000"/>
          <w:sz w:val="20"/>
        </w:rPr>
        <w:t>Magistrates' Court Act 1989</w:t>
      </w:r>
      <w:r w:rsidRPr="008A5C61">
        <w:rPr>
          <w:rFonts w:ascii="Arial" w:hAnsi="Arial" w:cs="Arial"/>
          <w:color w:val="000000"/>
          <w:sz w:val="20"/>
        </w:rPr>
        <w:t xml:space="preserve"> the Court has power to order costs against a legal practitioner for a party to a proceeding who has caused costs to be incurred improperly or without reasonable cause or to be wasted by undue delay or negligence or by any other misconduct of default.  In </w:t>
      </w:r>
      <w:r w:rsidRPr="008A5C61">
        <w:rPr>
          <w:rFonts w:ascii="Arial" w:hAnsi="Arial" w:cs="Arial"/>
          <w:i/>
          <w:color w:val="000000"/>
          <w:sz w:val="20"/>
        </w:rPr>
        <w:t>Gippsreal Limited v Kurek Investments Pty Ltd</w:t>
      </w:r>
      <w:r w:rsidRPr="008A5C61">
        <w:rPr>
          <w:rFonts w:ascii="Arial" w:hAnsi="Arial" w:cs="Arial"/>
          <w:color w:val="000000"/>
          <w:sz w:val="20"/>
        </w:rPr>
        <w:t xml:space="preserve"> [2009] VSC 344 at [2] Pagone J commented that this jurisdiction “must be exercised with caution but in an appropriate case should be exercised”.  See also </w:t>
      </w:r>
      <w:r w:rsidR="00892896" w:rsidRPr="008A5C61">
        <w:rPr>
          <w:rFonts w:ascii="Arial" w:hAnsi="Arial" w:cs="Arial"/>
          <w:i/>
          <w:color w:val="000000"/>
          <w:sz w:val="20"/>
          <w:szCs w:val="20"/>
        </w:rPr>
        <w:t>IMO Fehring Livestock Pty Ltd</w:t>
      </w:r>
      <w:r w:rsidR="00892896" w:rsidRPr="008A5C61">
        <w:rPr>
          <w:rFonts w:ascii="Arial" w:hAnsi="Arial" w:cs="Arial"/>
          <w:color w:val="000000"/>
          <w:sz w:val="20"/>
          <w:szCs w:val="20"/>
        </w:rPr>
        <w:t xml:space="preserve"> [2012] VSC 326 at [41]-[52] per Gardiner AsJ.</w:t>
      </w:r>
    </w:p>
    <w:p w14:paraId="0FDDA1D5" w14:textId="05FEB82B" w:rsidR="005539BE" w:rsidRPr="00213989" w:rsidRDefault="005539BE" w:rsidP="00213989">
      <w:pPr>
        <w:jc w:val="both"/>
        <w:textAlignment w:val="baseline"/>
        <w:rPr>
          <w:rFonts w:ascii="Arial" w:hAnsi="Arial" w:cs="Arial"/>
          <w:color w:val="000000"/>
          <w:sz w:val="20"/>
          <w:szCs w:val="20"/>
          <w:lang w:eastAsia="en-AU"/>
        </w:rPr>
      </w:pPr>
    </w:p>
    <w:p w14:paraId="17EBF528" w14:textId="36A67423" w:rsidR="00213989" w:rsidRPr="00213989" w:rsidRDefault="00213989" w:rsidP="00213989">
      <w:pPr>
        <w:jc w:val="both"/>
        <w:textAlignment w:val="baseline"/>
        <w:rPr>
          <w:rFonts w:ascii="Arial" w:hAnsi="Arial" w:cs="Arial"/>
          <w:color w:val="000000"/>
          <w:sz w:val="20"/>
          <w:szCs w:val="20"/>
          <w:lang w:eastAsia="en-AU"/>
        </w:rPr>
      </w:pPr>
      <w:r w:rsidRPr="00213989">
        <w:rPr>
          <w:rFonts w:ascii="Arial" w:hAnsi="Arial" w:cs="Arial"/>
          <w:sz w:val="20"/>
          <w:szCs w:val="20"/>
        </w:rPr>
        <w:t>Section 132(3) of the MCA prohibits the Court from making an order without giving the legal practitioner a reasonable opportunity to be heard</w:t>
      </w:r>
      <w:r>
        <w:rPr>
          <w:rFonts w:ascii="Arial" w:hAnsi="Arial" w:cs="Arial"/>
          <w:sz w:val="20"/>
          <w:szCs w:val="20"/>
        </w:rPr>
        <w:t xml:space="preserve">: </w:t>
      </w:r>
      <w:r w:rsidRPr="00213989">
        <w:rPr>
          <w:rFonts w:ascii="Arial" w:hAnsi="Arial" w:cs="Arial"/>
          <w:sz w:val="20"/>
          <w:szCs w:val="20"/>
        </w:rPr>
        <w:t>see</w:t>
      </w:r>
      <w:r>
        <w:rPr>
          <w:rFonts w:ascii="Arial" w:hAnsi="Arial" w:cs="Arial"/>
          <w:sz w:val="20"/>
          <w:szCs w:val="20"/>
        </w:rPr>
        <w:t xml:space="preserve"> </w:t>
      </w:r>
      <w:r w:rsidRPr="00213989">
        <w:rPr>
          <w:rFonts w:ascii="Arial" w:hAnsi="Arial" w:cs="Arial"/>
          <w:i/>
          <w:iCs/>
          <w:sz w:val="20"/>
          <w:szCs w:val="20"/>
        </w:rPr>
        <w:t>Lethbridge v Coburn &amp; Knight</w:t>
      </w:r>
      <w:r w:rsidRPr="00213989">
        <w:rPr>
          <w:rFonts w:ascii="Arial" w:hAnsi="Arial" w:cs="Arial"/>
          <w:sz w:val="20"/>
          <w:szCs w:val="20"/>
        </w:rPr>
        <w:t xml:space="preserve"> [2003] VSC 259 at [</w:t>
      </w:r>
      <w:proofErr w:type="gramStart"/>
      <w:r w:rsidRPr="00213989">
        <w:rPr>
          <w:rFonts w:ascii="Arial" w:hAnsi="Arial" w:cs="Arial"/>
          <w:sz w:val="20"/>
          <w:szCs w:val="20"/>
        </w:rPr>
        <w:t>16]</w:t>
      </w:r>
      <w:r>
        <w:rPr>
          <w:rFonts w:ascii="Arial" w:hAnsi="Arial" w:cs="Arial"/>
          <w:sz w:val="20"/>
          <w:szCs w:val="20"/>
        </w:rPr>
        <w:noBreakHyphen/>
      </w:r>
      <w:proofErr w:type="gramEnd"/>
      <w:r w:rsidRPr="00213989">
        <w:rPr>
          <w:rFonts w:ascii="Arial" w:hAnsi="Arial" w:cs="Arial"/>
          <w:sz w:val="20"/>
          <w:szCs w:val="20"/>
        </w:rPr>
        <w:t>[17], [26]</w:t>
      </w:r>
      <w:r>
        <w:rPr>
          <w:rFonts w:ascii="Arial" w:hAnsi="Arial" w:cs="Arial"/>
          <w:sz w:val="20"/>
          <w:szCs w:val="20"/>
        </w:rPr>
        <w:t>.</w:t>
      </w:r>
    </w:p>
    <w:p w14:paraId="6275671F" w14:textId="77777777" w:rsidR="00AB7801" w:rsidRDefault="00AB7801" w:rsidP="00AB7801">
      <w:pPr>
        <w:jc w:val="both"/>
        <w:rPr>
          <w:rFonts w:ascii="Arial" w:hAnsi="Arial" w:cs="Arial"/>
          <w:color w:val="000000"/>
          <w:sz w:val="20"/>
        </w:rPr>
      </w:pPr>
    </w:p>
    <w:p w14:paraId="4D020659" w14:textId="546E85D2" w:rsidR="00AB7801" w:rsidRDefault="00AB7801" w:rsidP="00AB7801">
      <w:pPr>
        <w:jc w:val="both"/>
        <w:rPr>
          <w:rFonts w:ascii="Arial" w:hAnsi="Arial" w:cs="Arial"/>
          <w:color w:val="000000"/>
          <w:sz w:val="20"/>
        </w:rPr>
      </w:pPr>
      <w:r>
        <w:rPr>
          <w:rFonts w:ascii="Arial" w:hAnsi="Arial" w:cs="Arial"/>
          <w:color w:val="000000"/>
          <w:sz w:val="20"/>
        </w:rPr>
        <w:t xml:space="preserve">In </w:t>
      </w:r>
      <w:r w:rsidRPr="004A14B5">
        <w:rPr>
          <w:rFonts w:ascii="Arial" w:hAnsi="Arial" w:cs="Arial"/>
          <w:i/>
          <w:iCs/>
          <w:color w:val="000000"/>
          <w:sz w:val="20"/>
        </w:rPr>
        <w:t>In the matter of an application by Aiden Davis (a pseudonym) (No 2)</w:t>
      </w:r>
      <w:r>
        <w:rPr>
          <w:rFonts w:ascii="Arial" w:hAnsi="Arial" w:cs="Arial"/>
          <w:color w:val="000000"/>
          <w:sz w:val="20"/>
        </w:rPr>
        <w:t xml:space="preserve"> [2025] VSCA 450 the applicant had applied to revoke a coercive power order previously made </w:t>
      </w:r>
      <w:r w:rsidR="00D16FB0">
        <w:rPr>
          <w:rFonts w:ascii="Arial" w:hAnsi="Arial" w:cs="Arial"/>
          <w:color w:val="000000"/>
          <w:sz w:val="20"/>
        </w:rPr>
        <w:t xml:space="preserve">against him </w:t>
      </w:r>
      <w:r>
        <w:rPr>
          <w:rFonts w:ascii="Arial" w:hAnsi="Arial" w:cs="Arial"/>
          <w:color w:val="000000"/>
          <w:sz w:val="20"/>
        </w:rPr>
        <w:t xml:space="preserve">under the </w:t>
      </w:r>
      <w:r w:rsidRPr="0016748B">
        <w:rPr>
          <w:rFonts w:ascii="Arial" w:hAnsi="Arial" w:cs="Arial"/>
          <w:i/>
          <w:iCs/>
          <w:color w:val="000000"/>
          <w:sz w:val="20"/>
        </w:rPr>
        <w:t>Major Crime (Investigative Powers) Act 2004</w:t>
      </w:r>
      <w:r>
        <w:rPr>
          <w:rFonts w:ascii="Arial" w:hAnsi="Arial" w:cs="Arial"/>
          <w:color w:val="000000"/>
          <w:sz w:val="20"/>
        </w:rPr>
        <w:t xml:space="preserve"> and also to stay this proceeding and the related proceeding. </w:t>
      </w:r>
      <w:r w:rsidR="00DA3018">
        <w:rPr>
          <w:rFonts w:ascii="Arial" w:hAnsi="Arial" w:cs="Arial"/>
          <w:color w:val="000000"/>
          <w:sz w:val="20"/>
        </w:rPr>
        <w:t>The basis of the applications was a potential conflict of interest by junior counsel for the respondent.</w:t>
      </w:r>
      <w:r w:rsidR="007D7160">
        <w:rPr>
          <w:rFonts w:ascii="Arial" w:hAnsi="Arial" w:cs="Arial"/>
          <w:color w:val="000000"/>
          <w:sz w:val="20"/>
        </w:rPr>
        <w:t xml:space="preserve"> </w:t>
      </w:r>
      <w:r>
        <w:rPr>
          <w:rFonts w:ascii="Arial" w:hAnsi="Arial" w:cs="Arial"/>
          <w:color w:val="000000"/>
          <w:sz w:val="20"/>
        </w:rPr>
        <w:t xml:space="preserve">Upon </w:t>
      </w:r>
      <w:r w:rsidR="007D7160">
        <w:rPr>
          <w:rFonts w:ascii="Arial" w:hAnsi="Arial" w:cs="Arial"/>
          <w:color w:val="000000"/>
          <w:sz w:val="20"/>
        </w:rPr>
        <w:t xml:space="preserve">the issue being raised junior counsel </w:t>
      </w:r>
      <w:r w:rsidR="00D16FB0">
        <w:rPr>
          <w:rFonts w:ascii="Arial" w:hAnsi="Arial" w:cs="Arial"/>
          <w:color w:val="000000"/>
          <w:sz w:val="20"/>
        </w:rPr>
        <w:t xml:space="preserve">had </w:t>
      </w:r>
      <w:r w:rsidR="007D7160">
        <w:rPr>
          <w:rFonts w:ascii="Arial" w:hAnsi="Arial" w:cs="Arial"/>
          <w:color w:val="000000"/>
          <w:sz w:val="20"/>
        </w:rPr>
        <w:t xml:space="preserve">immediately ceased to act. Upon </w:t>
      </w:r>
      <w:r>
        <w:rPr>
          <w:rFonts w:ascii="Arial" w:hAnsi="Arial" w:cs="Arial"/>
          <w:color w:val="000000"/>
          <w:sz w:val="20"/>
        </w:rPr>
        <w:t xml:space="preserve">the stay application being dismissed the applicant chose to make a short statement and then – despite being advised that the revocation application was still before the court – “respectfully remove[d] [him]self from the hearing” by leaving the courtroom. In his absence, an order was also made dismissing the revocation application. The </w:t>
      </w:r>
      <w:r w:rsidR="00DA3018">
        <w:rPr>
          <w:rFonts w:ascii="Arial" w:hAnsi="Arial" w:cs="Arial"/>
          <w:color w:val="000000"/>
          <w:sz w:val="20"/>
        </w:rPr>
        <w:t xml:space="preserve">Chief </w:t>
      </w:r>
      <w:r>
        <w:rPr>
          <w:rFonts w:ascii="Arial" w:hAnsi="Arial" w:cs="Arial"/>
          <w:color w:val="000000"/>
          <w:sz w:val="20"/>
        </w:rPr>
        <w:t xml:space="preserve">Commissioner </w:t>
      </w:r>
      <w:r w:rsidR="00DA3018">
        <w:rPr>
          <w:rFonts w:ascii="Arial" w:hAnsi="Arial" w:cs="Arial"/>
          <w:color w:val="000000"/>
          <w:sz w:val="20"/>
        </w:rPr>
        <w:t xml:space="preserve">of Victoria Police </w:t>
      </w:r>
      <w:r w:rsidR="00D16FB0">
        <w:rPr>
          <w:rFonts w:ascii="Arial" w:hAnsi="Arial" w:cs="Arial"/>
          <w:color w:val="000000"/>
          <w:sz w:val="20"/>
        </w:rPr>
        <w:t xml:space="preserve">sought </w:t>
      </w:r>
      <w:r>
        <w:rPr>
          <w:rFonts w:ascii="Arial" w:hAnsi="Arial" w:cs="Arial"/>
          <w:color w:val="000000"/>
          <w:sz w:val="20"/>
        </w:rPr>
        <w:t>costs in relation to the revocation application.</w:t>
      </w:r>
    </w:p>
    <w:p w14:paraId="61BA685C" w14:textId="19A4D251" w:rsidR="00AB7801" w:rsidRDefault="007D7160" w:rsidP="007D7160">
      <w:pPr>
        <w:spacing w:before="120"/>
        <w:jc w:val="both"/>
        <w:rPr>
          <w:rFonts w:ascii="Arial" w:hAnsi="Arial" w:cs="Arial"/>
          <w:color w:val="000000"/>
          <w:sz w:val="20"/>
        </w:rPr>
      </w:pPr>
      <w:r>
        <w:rPr>
          <w:rFonts w:ascii="Arial" w:hAnsi="Arial" w:cs="Arial"/>
          <w:color w:val="000000"/>
          <w:sz w:val="20"/>
        </w:rPr>
        <w:t xml:space="preserve">At [8]-[12] Elliott J discussed the relevant legal principles </w:t>
      </w:r>
      <w:r w:rsidR="00D16FB0">
        <w:rPr>
          <w:rFonts w:ascii="Arial" w:hAnsi="Arial" w:cs="Arial"/>
          <w:color w:val="000000"/>
          <w:sz w:val="20"/>
        </w:rPr>
        <w:t xml:space="preserve">relating to costs </w:t>
      </w:r>
      <w:r>
        <w:rPr>
          <w:rFonts w:ascii="Arial" w:hAnsi="Arial" w:cs="Arial"/>
          <w:color w:val="000000"/>
          <w:sz w:val="20"/>
        </w:rPr>
        <w:t>as follows:</w:t>
      </w:r>
    </w:p>
    <w:p w14:paraId="0D9AC41D" w14:textId="305E302F"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[8] </w:t>
      </w:r>
      <w:r w:rsidRPr="007D7160">
        <w:rPr>
          <w:rFonts w:ascii="Arial" w:hAnsi="Arial" w:cs="Arial"/>
          <w:color w:val="000000"/>
          <w:sz w:val="20"/>
        </w:rPr>
        <w:t xml:space="preserve">Section 24 of the </w:t>
      </w:r>
      <w:r w:rsidRPr="00D16FB0">
        <w:rPr>
          <w:rFonts w:ascii="Arial" w:hAnsi="Arial" w:cs="Arial"/>
          <w:i/>
          <w:iCs/>
          <w:color w:val="000000"/>
          <w:sz w:val="20"/>
        </w:rPr>
        <w:t>Supreme Court Act 1986 (Vic)</w:t>
      </w:r>
      <w:r w:rsidRPr="007D7160">
        <w:rPr>
          <w:rFonts w:ascii="Arial" w:hAnsi="Arial" w:cs="Arial"/>
          <w:color w:val="000000"/>
          <w:sz w:val="20"/>
        </w:rPr>
        <w:t xml:space="preserve"> provides:</w:t>
      </w:r>
    </w:p>
    <w:p w14:paraId="1CBCBC71" w14:textId="77777777" w:rsidR="007D7160" w:rsidRPr="007D7160" w:rsidRDefault="007D7160" w:rsidP="007D7160">
      <w:pPr>
        <w:spacing w:before="60"/>
        <w:ind w:left="1021" w:right="1021"/>
        <w:jc w:val="both"/>
        <w:rPr>
          <w:rFonts w:ascii="Arial" w:hAnsi="Arial" w:cs="Arial"/>
          <w:color w:val="000000"/>
          <w:sz w:val="18"/>
          <w:szCs w:val="22"/>
        </w:rPr>
      </w:pPr>
      <w:r w:rsidRPr="007D7160">
        <w:rPr>
          <w:rFonts w:ascii="Arial" w:hAnsi="Arial" w:cs="Arial"/>
          <w:color w:val="000000"/>
          <w:sz w:val="18"/>
          <w:szCs w:val="22"/>
        </w:rPr>
        <w:t>(1) Unless otherwise expressly provided by this or any other Act or by the Rules, costs of and incidental to all matters in this Court, including the administration of estates and trusts, is in the discretion of the Court and the Court has full powers to determine by whom and to what extent the costs are to be paid.</w:t>
      </w:r>
    </w:p>
    <w:p w14:paraId="35808AE4" w14:textId="1DEE2526" w:rsidR="007D7160" w:rsidRPr="007D7160" w:rsidRDefault="007D7160" w:rsidP="007D7160">
      <w:pPr>
        <w:spacing w:before="60"/>
        <w:ind w:left="1021" w:right="1021"/>
        <w:jc w:val="both"/>
        <w:rPr>
          <w:rFonts w:ascii="Arial" w:hAnsi="Arial" w:cs="Arial"/>
          <w:color w:val="000000"/>
          <w:sz w:val="18"/>
          <w:szCs w:val="22"/>
        </w:rPr>
      </w:pPr>
      <w:r w:rsidRPr="007D7160">
        <w:rPr>
          <w:rFonts w:ascii="Arial" w:hAnsi="Arial" w:cs="Arial"/>
          <w:color w:val="000000"/>
          <w:sz w:val="18"/>
          <w:szCs w:val="22"/>
        </w:rPr>
        <w:t>(2) Nothing in this section alters the practice in any criminal proceeding</w:t>
      </w:r>
      <w:r w:rsidR="00D16FB0" w:rsidRPr="00D16FB0">
        <w:rPr>
          <w:rFonts w:ascii="Arial" w:hAnsi="Arial" w:cs="Arial"/>
          <w:color w:val="000000"/>
          <w:sz w:val="18"/>
          <w:szCs w:val="22"/>
        </w:rPr>
        <w:t xml:space="preserve"> (not defined in the Supreme Court Act).</w:t>
      </w:r>
    </w:p>
    <w:p w14:paraId="0E46B6C4" w14:textId="084C87E4"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[9] </w:t>
      </w:r>
      <w:r w:rsidRPr="007D7160">
        <w:rPr>
          <w:rFonts w:ascii="Arial" w:hAnsi="Arial" w:cs="Arial"/>
          <w:color w:val="000000"/>
          <w:sz w:val="20"/>
        </w:rPr>
        <w:t xml:space="preserve">The power regarding costs must be exercised judicially. </w:t>
      </w:r>
      <w:r w:rsidR="00D16FB0">
        <w:rPr>
          <w:rFonts w:ascii="Arial" w:hAnsi="Arial" w:cs="Arial"/>
          <w:color w:val="000000"/>
          <w:sz w:val="20"/>
        </w:rPr>
        <w:t xml:space="preserve">That is, in a just and fair manner with judicial detachment: </w:t>
      </w:r>
      <w:r w:rsidR="00D16FB0" w:rsidRPr="00072E03">
        <w:rPr>
          <w:rFonts w:ascii="Arial" w:hAnsi="Arial" w:cs="Arial"/>
          <w:i/>
          <w:iCs/>
          <w:color w:val="000000"/>
          <w:sz w:val="20"/>
        </w:rPr>
        <w:t>Love v Attorney-General (NSW)</w:t>
      </w:r>
      <w:r w:rsidR="00D16FB0">
        <w:rPr>
          <w:rFonts w:ascii="Arial" w:hAnsi="Arial" w:cs="Arial"/>
          <w:color w:val="000000"/>
          <w:sz w:val="20"/>
        </w:rPr>
        <w:t xml:space="preserve"> (1990) 169 CLR 307, 322.</w:t>
      </w:r>
      <w:r w:rsidRPr="007D7160">
        <w:rPr>
          <w:rFonts w:ascii="Arial" w:hAnsi="Arial" w:cs="Arial"/>
          <w:color w:val="000000"/>
          <w:sz w:val="20"/>
        </w:rPr>
        <w:t xml:space="preserve"> The</w:t>
      </w:r>
      <w:r w:rsidR="00D16FB0">
        <w:rPr>
          <w:rFonts w:ascii="Arial" w:hAnsi="Arial" w:cs="Arial"/>
          <w:color w:val="000000"/>
          <w:sz w:val="20"/>
        </w:rPr>
        <w:t> </w:t>
      </w:r>
      <w:r w:rsidRPr="007D7160">
        <w:rPr>
          <w:rFonts w:ascii="Arial" w:hAnsi="Arial" w:cs="Arial"/>
          <w:color w:val="000000"/>
          <w:sz w:val="20"/>
        </w:rPr>
        <w:t>broad discretion must be exercised by reference only to relevant considerations and based upon facts connected with or leading up to the litigation.</w:t>
      </w:r>
    </w:p>
    <w:p w14:paraId="6BFB179A" w14:textId="13AEC2ED"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[10] </w:t>
      </w:r>
      <w:r w:rsidRPr="007D7160">
        <w:rPr>
          <w:rFonts w:ascii="Arial" w:hAnsi="Arial" w:cs="Arial"/>
          <w:color w:val="000000"/>
          <w:sz w:val="20"/>
        </w:rPr>
        <w:t>Generally, in proceedings that are not criminal proceedings, the rule is that costs should follow the event. Unless disqualifying conduct exists, a successful party should recover its costs even where it has not succeeded on all heads of claim</w:t>
      </w:r>
      <w:r w:rsidR="00D16FB0">
        <w:rPr>
          <w:rFonts w:ascii="Arial" w:hAnsi="Arial" w:cs="Arial"/>
          <w:color w:val="000000"/>
          <w:sz w:val="20"/>
        </w:rPr>
        <w:t xml:space="preserve">: </w:t>
      </w:r>
      <w:r w:rsidR="00D16FB0" w:rsidRPr="00072E03">
        <w:rPr>
          <w:rFonts w:ascii="Arial" w:hAnsi="Arial" w:cs="Arial"/>
          <w:i/>
          <w:iCs/>
          <w:color w:val="000000"/>
          <w:sz w:val="20"/>
        </w:rPr>
        <w:t xml:space="preserve">Chen v Chen </w:t>
      </w:r>
      <w:r w:rsidR="00D16FB0" w:rsidRPr="00072E03">
        <w:rPr>
          <w:rFonts w:ascii="Arial" w:hAnsi="Arial" w:cs="Arial"/>
          <w:i/>
          <w:iCs/>
          <w:color w:val="000000"/>
          <w:sz w:val="20"/>
        </w:rPr>
        <w:lastRenderedPageBreak/>
        <w:t>(No 2)</w:t>
      </w:r>
      <w:r w:rsidR="00D16FB0">
        <w:rPr>
          <w:rFonts w:ascii="Arial" w:hAnsi="Arial" w:cs="Arial"/>
          <w:color w:val="000000"/>
          <w:sz w:val="20"/>
        </w:rPr>
        <w:t xml:space="preserve"> [2009] VSCA 233, [10] and the cases there cited</w:t>
      </w:r>
      <w:r w:rsidRPr="007D7160">
        <w:rPr>
          <w:rFonts w:ascii="Arial" w:hAnsi="Arial" w:cs="Arial"/>
          <w:color w:val="000000"/>
          <w:sz w:val="20"/>
        </w:rPr>
        <w:t>.</w:t>
      </w:r>
      <w:r w:rsidR="00D16FB0">
        <w:rPr>
          <w:rFonts w:ascii="Arial" w:hAnsi="Arial" w:cs="Arial"/>
          <w:color w:val="000000"/>
          <w:sz w:val="20"/>
        </w:rPr>
        <w:t xml:space="preserve"> T</w:t>
      </w:r>
      <w:r w:rsidRPr="007D7160">
        <w:rPr>
          <w:rFonts w:ascii="Arial" w:hAnsi="Arial" w:cs="Arial"/>
          <w:color w:val="000000"/>
          <w:sz w:val="20"/>
        </w:rPr>
        <w:t>hat said, the flexibility of the discretionary power permits the court to examine the</w:t>
      </w:r>
      <w:r>
        <w:rPr>
          <w:rFonts w:ascii="Arial" w:hAnsi="Arial" w:cs="Arial"/>
          <w:color w:val="000000"/>
          <w:sz w:val="20"/>
        </w:rPr>
        <w:t xml:space="preserve"> </w:t>
      </w:r>
      <w:r w:rsidRPr="007D7160">
        <w:rPr>
          <w:rFonts w:ascii="Arial" w:hAnsi="Arial" w:cs="Arial"/>
          <w:color w:val="000000"/>
          <w:sz w:val="20"/>
        </w:rPr>
        <w:t>realities of the case and do substantial justice between the parties on the question of costs</w:t>
      </w:r>
      <w:r w:rsidR="00D16FB0">
        <w:rPr>
          <w:rFonts w:ascii="Arial" w:hAnsi="Arial" w:cs="Arial"/>
          <w:color w:val="000000"/>
          <w:sz w:val="20"/>
        </w:rPr>
        <w:t xml:space="preserve">: </w:t>
      </w:r>
      <w:r w:rsidR="00D16FB0" w:rsidRPr="00D16FB0">
        <w:rPr>
          <w:rFonts w:ascii="Arial" w:hAnsi="Arial" w:cs="Arial"/>
          <w:color w:val="000000"/>
          <w:sz w:val="20"/>
        </w:rPr>
        <w:t>Ibid</w:t>
      </w:r>
      <w:r w:rsidRPr="007D7160">
        <w:rPr>
          <w:rFonts w:ascii="Arial" w:hAnsi="Arial" w:cs="Arial"/>
          <w:color w:val="000000"/>
          <w:sz w:val="20"/>
        </w:rPr>
        <w:t>.</w:t>
      </w:r>
    </w:p>
    <w:p w14:paraId="0DEF1F3B" w14:textId="3214E23C"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[11] </w:t>
      </w:r>
      <w:r w:rsidRPr="007D7160">
        <w:rPr>
          <w:rFonts w:ascii="Arial" w:hAnsi="Arial" w:cs="Arial"/>
          <w:color w:val="000000"/>
          <w:sz w:val="20"/>
        </w:rPr>
        <w:t>The broad statutory power to award costs pursuant to section 24 applies to criminal proceedings</w:t>
      </w:r>
      <w:r w:rsidR="00D16FB0">
        <w:rPr>
          <w:rFonts w:ascii="Arial" w:hAnsi="Arial" w:cs="Arial"/>
          <w:color w:val="000000"/>
          <w:sz w:val="20"/>
        </w:rPr>
        <w:t xml:space="preserve">: </w:t>
      </w:r>
      <w:r w:rsidR="00D16FB0" w:rsidRPr="00072E03">
        <w:rPr>
          <w:rFonts w:ascii="Arial" w:hAnsi="Arial" w:cs="Arial"/>
          <w:i/>
          <w:iCs/>
          <w:color w:val="000000"/>
          <w:sz w:val="20"/>
        </w:rPr>
        <w:t>Commonwealth Director of Public Prosecutions v Brady</w:t>
      </w:r>
      <w:r w:rsidR="00D16FB0">
        <w:rPr>
          <w:rFonts w:ascii="Arial" w:hAnsi="Arial" w:cs="Arial"/>
          <w:color w:val="000000"/>
          <w:sz w:val="20"/>
        </w:rPr>
        <w:t xml:space="preserve"> [2019] VSC 397, [38]-[39] following </w:t>
      </w:r>
      <w:r w:rsidR="00D16FB0" w:rsidRPr="00072E03">
        <w:rPr>
          <w:rFonts w:ascii="Arial" w:hAnsi="Arial" w:cs="Arial"/>
          <w:i/>
          <w:iCs/>
          <w:color w:val="000000"/>
          <w:sz w:val="20"/>
        </w:rPr>
        <w:t>R v Garth</w:t>
      </w:r>
      <w:r w:rsidR="00D16FB0">
        <w:rPr>
          <w:rFonts w:ascii="Arial" w:hAnsi="Arial" w:cs="Arial"/>
          <w:color w:val="000000"/>
          <w:sz w:val="20"/>
        </w:rPr>
        <w:t xml:space="preserve"> (2008) 21 VR 203, 209 [27]</w:t>
      </w:r>
      <w:r w:rsidRPr="007D7160">
        <w:rPr>
          <w:rFonts w:ascii="Arial" w:hAnsi="Arial" w:cs="Arial"/>
          <w:color w:val="000000"/>
          <w:sz w:val="20"/>
        </w:rPr>
        <w:t>.</w:t>
      </w:r>
      <w:r w:rsidR="00D16FB0">
        <w:rPr>
          <w:rFonts w:ascii="Arial" w:hAnsi="Arial" w:cs="Arial"/>
          <w:color w:val="000000"/>
          <w:sz w:val="20"/>
        </w:rPr>
        <w:t xml:space="preserve"> </w:t>
      </w:r>
      <w:r w:rsidRPr="007D7160">
        <w:rPr>
          <w:rFonts w:ascii="Arial" w:hAnsi="Arial" w:cs="Arial"/>
          <w:color w:val="000000"/>
          <w:sz w:val="20"/>
        </w:rPr>
        <w:t xml:space="preserve">However, how that power is to be exercised is informed by section 24(2). Plainly, the legislature intended a manifestly different approach in relation to criminal proceedings, reflected by the well-established general practice in criminal proceedings that the Crown neither gives </w:t>
      </w:r>
      <w:proofErr w:type="gramStart"/>
      <w:r w:rsidRPr="007D7160">
        <w:rPr>
          <w:rFonts w:ascii="Arial" w:hAnsi="Arial" w:cs="Arial"/>
          <w:color w:val="000000"/>
          <w:sz w:val="20"/>
        </w:rPr>
        <w:t>or</w:t>
      </w:r>
      <w:proofErr w:type="gramEnd"/>
      <w:r w:rsidRPr="007D7160">
        <w:rPr>
          <w:rFonts w:ascii="Arial" w:hAnsi="Arial" w:cs="Arial"/>
          <w:color w:val="000000"/>
          <w:sz w:val="20"/>
        </w:rPr>
        <w:t xml:space="preserve"> receives costs</w:t>
      </w:r>
      <w:r w:rsidR="00F322ED">
        <w:rPr>
          <w:rFonts w:ascii="Arial" w:hAnsi="Arial" w:cs="Arial"/>
          <w:color w:val="000000"/>
          <w:sz w:val="20"/>
        </w:rPr>
        <w:t xml:space="preserve">: Ibid, [46]; </w:t>
      </w:r>
      <w:r w:rsidR="00F322ED" w:rsidRPr="00F322ED">
        <w:rPr>
          <w:rFonts w:ascii="Arial" w:hAnsi="Arial" w:cs="Arial"/>
          <w:i/>
          <w:iCs/>
          <w:color w:val="000000"/>
          <w:sz w:val="20"/>
        </w:rPr>
        <w:t>Perkins v County Court of Victoria</w:t>
      </w:r>
      <w:r w:rsidR="00F322ED">
        <w:rPr>
          <w:rFonts w:ascii="Arial" w:hAnsi="Arial" w:cs="Arial"/>
          <w:color w:val="000000"/>
          <w:sz w:val="20"/>
        </w:rPr>
        <w:t xml:space="preserve"> (2000) 2 VR 246, 266 [40]</w:t>
      </w:r>
      <w:r w:rsidRPr="007D7160">
        <w:rPr>
          <w:rFonts w:ascii="Arial" w:hAnsi="Arial" w:cs="Arial"/>
          <w:color w:val="000000"/>
          <w:sz w:val="20"/>
        </w:rPr>
        <w:t>. In addition to the absence of any power at common law to award costs to or against any public or private prosecutor, the underlying policy behind this practice is that an accused is entitled to put the prosecution to proof without risking her or his assets (beyond personally incurring any legal costs in defending the allegations); and that position is reciprocated</w:t>
      </w:r>
      <w:r w:rsidR="00F322ED">
        <w:rPr>
          <w:rFonts w:ascii="Arial" w:hAnsi="Arial" w:cs="Arial"/>
          <w:color w:val="000000"/>
          <w:sz w:val="20"/>
        </w:rPr>
        <w:t>: Ibid, [47]-[49] and the cases there cited.</w:t>
      </w:r>
    </w:p>
    <w:p w14:paraId="038D05BD" w14:textId="669E0DCC"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[12] </w:t>
      </w:r>
      <w:r w:rsidRPr="007D7160">
        <w:rPr>
          <w:rFonts w:ascii="Arial" w:hAnsi="Arial" w:cs="Arial"/>
          <w:color w:val="000000"/>
          <w:sz w:val="20"/>
        </w:rPr>
        <w:t>Although section 24(2) is confined to the practice in criminal proceedings, the existence of that practice may also inform the court as to how its discretion should be exercised in quasi-criminal proceedings, or proceedings that are related to criminal proceedings or quasi-criminal proceedings.</w:t>
      </w:r>
      <w:r w:rsidR="00F322ED">
        <w:rPr>
          <w:rFonts w:ascii="Arial" w:hAnsi="Arial" w:cs="Arial"/>
          <w:color w:val="000000"/>
          <w:sz w:val="20"/>
        </w:rPr>
        <w:t xml:space="preserve"> See, for example, </w:t>
      </w:r>
      <w:r w:rsidR="00F322ED" w:rsidRPr="00F322ED">
        <w:rPr>
          <w:rFonts w:ascii="Arial" w:hAnsi="Arial" w:cs="Arial"/>
          <w:i/>
          <w:iCs/>
          <w:color w:val="000000"/>
          <w:sz w:val="20"/>
        </w:rPr>
        <w:t>Commissioner of Australian Federal Police v Opal Storm Pty Ltd</w:t>
      </w:r>
      <w:r w:rsidR="00F322ED">
        <w:rPr>
          <w:rFonts w:ascii="Arial" w:hAnsi="Arial" w:cs="Arial"/>
          <w:color w:val="000000"/>
          <w:sz w:val="20"/>
        </w:rPr>
        <w:t xml:space="preserve"> [2018] VSCA 301, [72]-[73]. As to the meaning of “quasi-criminal”, albeit in different contexts, see </w:t>
      </w:r>
      <w:r w:rsidR="00F322ED" w:rsidRPr="00F322ED">
        <w:rPr>
          <w:rFonts w:ascii="Arial" w:hAnsi="Arial" w:cs="Arial"/>
          <w:i/>
          <w:iCs/>
          <w:color w:val="000000"/>
          <w:sz w:val="20"/>
        </w:rPr>
        <w:t>Gentner v Police Registration and Services Board &amp; Anor</w:t>
      </w:r>
      <w:r w:rsidR="00F322ED" w:rsidRPr="00F322ED">
        <w:rPr>
          <w:rFonts w:ascii="Arial" w:hAnsi="Arial" w:cs="Arial"/>
          <w:color w:val="000000"/>
          <w:sz w:val="20"/>
        </w:rPr>
        <w:t xml:space="preserve"> [2024] VSC 507, [1]; </w:t>
      </w:r>
      <w:r w:rsidR="00F322ED" w:rsidRPr="00F322ED">
        <w:rPr>
          <w:rFonts w:ascii="Arial" w:hAnsi="Arial" w:cs="Arial"/>
          <w:i/>
          <w:iCs/>
          <w:color w:val="000000"/>
          <w:sz w:val="20"/>
        </w:rPr>
        <w:t>Western Truck Towing Pty Ltd v Magistrates’ Court (Vic)</w:t>
      </w:r>
      <w:r w:rsidR="00F322ED" w:rsidRPr="00F322ED">
        <w:rPr>
          <w:rFonts w:ascii="Arial" w:hAnsi="Arial" w:cs="Arial"/>
          <w:color w:val="000000"/>
          <w:sz w:val="20"/>
        </w:rPr>
        <w:t xml:space="preserve"> [2014] VSC 88, [17], [32]-[34]; </w:t>
      </w:r>
      <w:r w:rsidR="00F322ED" w:rsidRPr="00F322ED">
        <w:rPr>
          <w:rFonts w:ascii="Arial" w:hAnsi="Arial" w:cs="Arial"/>
          <w:i/>
          <w:iCs/>
          <w:color w:val="000000"/>
          <w:sz w:val="20"/>
        </w:rPr>
        <w:t>Australian Competition and Consumer Commission v Australian Safeway Stores Pty Ltd</w:t>
      </w:r>
      <w:r w:rsidR="00F322ED" w:rsidRPr="00F322ED">
        <w:rPr>
          <w:rFonts w:ascii="Arial" w:hAnsi="Arial" w:cs="Arial"/>
          <w:color w:val="000000"/>
          <w:sz w:val="20"/>
        </w:rPr>
        <w:t xml:space="preserve"> (No 3) [2002] FCA 1294, [53]-[55]</w:t>
      </w:r>
      <w:r w:rsidR="00F322ED">
        <w:rPr>
          <w:rFonts w:ascii="Arial" w:hAnsi="Arial" w:cs="Arial"/>
          <w:color w:val="000000"/>
          <w:sz w:val="20"/>
        </w:rPr>
        <w:t xml:space="preserve">. </w:t>
      </w:r>
      <w:r w:rsidRPr="007D7160">
        <w:rPr>
          <w:rFonts w:ascii="Arial" w:hAnsi="Arial" w:cs="Arial"/>
          <w:color w:val="000000"/>
          <w:sz w:val="20"/>
        </w:rPr>
        <w:t>Naturally, each case must be considered according to its own particular facts and circumstances.</w:t>
      </w:r>
      <w:r>
        <w:rPr>
          <w:rFonts w:ascii="Arial" w:hAnsi="Arial" w:cs="Arial"/>
          <w:color w:val="000000"/>
          <w:sz w:val="20"/>
        </w:rPr>
        <w:t>”</w:t>
      </w:r>
    </w:p>
    <w:p w14:paraId="4263440B" w14:textId="4AE520B6" w:rsidR="00AB7801" w:rsidRDefault="00DD578D" w:rsidP="00DD578D">
      <w:pPr>
        <w:spacing w:before="120"/>
        <w:jc w:val="both"/>
        <w:rPr>
          <w:rFonts w:ascii="Arial" w:hAnsi="Arial" w:cs="Arial"/>
          <w:color w:val="000000"/>
          <w:sz w:val="20"/>
        </w:rPr>
      </w:pPr>
      <w:r>
        <w:rPr>
          <w:rFonts w:ascii="Arial" w:hAnsi="Arial" w:cs="Arial"/>
          <w:color w:val="000000"/>
          <w:sz w:val="20"/>
        </w:rPr>
        <w:t>At [39] his Honour said:</w:t>
      </w:r>
    </w:p>
    <w:p w14:paraId="35F50247" w14:textId="6913F91B" w:rsidR="00DD578D" w:rsidRDefault="00DD578D" w:rsidP="00DD578D">
      <w:pPr>
        <w:spacing w:before="60"/>
        <w:ind w:left="567" w:right="567"/>
        <w:jc w:val="both"/>
        <w:rPr>
          <w:rFonts w:ascii="Arial" w:hAnsi="Arial" w:cs="Arial"/>
          <w:color w:val="000000"/>
          <w:sz w:val="20"/>
        </w:rPr>
      </w:pPr>
      <w:r>
        <w:rPr>
          <w:rFonts w:ascii="Arial" w:hAnsi="Arial" w:cs="Arial"/>
          <w:color w:val="000000"/>
          <w:sz w:val="20"/>
        </w:rPr>
        <w:t>“</w:t>
      </w:r>
      <w:r w:rsidRPr="00DA3018">
        <w:rPr>
          <w:rFonts w:ascii="Arial" w:hAnsi="Arial" w:cs="Arial"/>
          <w:color w:val="000000"/>
          <w:sz w:val="20"/>
        </w:rPr>
        <w:t xml:space="preserve">Although not a criminal proceeding, there could be no controversy that the nature of this proceeding could be properly referred to as being, at the very least, of a </w:t>
      </w:r>
      <w:r>
        <w:rPr>
          <w:rFonts w:ascii="Arial" w:hAnsi="Arial" w:cs="Arial"/>
          <w:color w:val="000000"/>
          <w:sz w:val="20"/>
        </w:rPr>
        <w:t>‘</w:t>
      </w:r>
      <w:r w:rsidRPr="00DA3018">
        <w:rPr>
          <w:rFonts w:ascii="Arial" w:hAnsi="Arial" w:cs="Arial"/>
          <w:color w:val="000000"/>
          <w:sz w:val="20"/>
        </w:rPr>
        <w:t>related nature</w:t>
      </w:r>
      <w:r>
        <w:rPr>
          <w:rFonts w:ascii="Arial" w:hAnsi="Arial" w:cs="Arial"/>
          <w:color w:val="000000"/>
          <w:sz w:val="20"/>
        </w:rPr>
        <w:t>’</w:t>
      </w:r>
      <w:r w:rsidRPr="00DA3018">
        <w:rPr>
          <w:rFonts w:ascii="Arial" w:hAnsi="Arial" w:cs="Arial"/>
          <w:color w:val="000000"/>
          <w:sz w:val="20"/>
        </w:rPr>
        <w:t xml:space="preserve"> (and hence that is why the procedures governing this proceeding fall within the ambit of the Criminal Procedure Rules). There is no provision in the Criminal Procedure Rules which provides for the exercise of power or discretion relating to costs.</w:t>
      </w:r>
      <w:r>
        <w:rPr>
          <w:rFonts w:ascii="Arial" w:hAnsi="Arial" w:cs="Arial"/>
          <w:color w:val="000000"/>
          <w:sz w:val="20"/>
        </w:rPr>
        <w:t>”</w:t>
      </w:r>
    </w:p>
    <w:p w14:paraId="172D691E" w14:textId="1C03AB83" w:rsidR="007D7160" w:rsidRDefault="00DD578D" w:rsidP="00DD578D">
      <w:pPr>
        <w:spacing w:before="120"/>
        <w:jc w:val="both"/>
        <w:rPr>
          <w:rFonts w:ascii="Arial" w:hAnsi="Arial" w:cs="Arial"/>
          <w:color w:val="000000"/>
          <w:sz w:val="20"/>
        </w:rPr>
      </w:pPr>
      <w:r>
        <w:rPr>
          <w:rFonts w:ascii="Arial" w:hAnsi="Arial" w:cs="Arial"/>
          <w:color w:val="000000"/>
          <w:sz w:val="20"/>
        </w:rPr>
        <w:t>Ultimately, f</w:t>
      </w:r>
      <w:r w:rsidR="00CC53C2">
        <w:rPr>
          <w:rFonts w:ascii="Arial" w:hAnsi="Arial" w:cs="Arial"/>
          <w:color w:val="000000"/>
          <w:sz w:val="20"/>
        </w:rPr>
        <w:t>or reasons set out at [45]-[48]</w:t>
      </w:r>
      <w:r>
        <w:rPr>
          <w:rFonts w:ascii="Arial" w:hAnsi="Arial" w:cs="Arial"/>
          <w:color w:val="000000"/>
          <w:sz w:val="20"/>
        </w:rPr>
        <w:t>,</w:t>
      </w:r>
      <w:r w:rsidR="00CC53C2">
        <w:rPr>
          <w:rFonts w:ascii="Arial" w:hAnsi="Arial" w:cs="Arial"/>
          <w:color w:val="000000"/>
          <w:sz w:val="20"/>
        </w:rPr>
        <w:t xml:space="preserve"> Elliott J refused the Commissioner’s application for costs on the basis that “</w:t>
      </w:r>
      <w:r w:rsidR="00CC53C2" w:rsidRPr="00AB7801">
        <w:rPr>
          <w:rFonts w:ascii="Arial" w:hAnsi="Arial" w:cs="Arial"/>
          <w:color w:val="000000"/>
          <w:sz w:val="20"/>
        </w:rPr>
        <w:t>the interests of justice have been served as a result of the making of the Revocation Application</w:t>
      </w:r>
      <w:r w:rsidR="00CC53C2">
        <w:rPr>
          <w:rFonts w:ascii="Arial" w:hAnsi="Arial" w:cs="Arial"/>
          <w:color w:val="000000"/>
          <w:sz w:val="20"/>
        </w:rPr>
        <w:t>”.</w:t>
      </w:r>
    </w:p>
    <w:p w14:paraId="5EEDC397" w14:textId="77777777" w:rsidR="00AB7801" w:rsidRDefault="00AB7801" w:rsidP="00213989">
      <w:pPr>
        <w:jc w:val="both"/>
        <w:textAlignment w:val="baseline"/>
        <w:rPr>
          <w:rFonts w:ascii="Arial" w:hAnsi="Arial" w:cs="Arial"/>
          <w:color w:val="000000"/>
          <w:sz w:val="20"/>
          <w:szCs w:val="20"/>
          <w:lang w:eastAsia="en-AU"/>
        </w:rPr>
      </w:pPr>
    </w:p>
    <w:p w14:paraId="44EA502D" w14:textId="7015CD30" w:rsidR="00BB66EC" w:rsidRDefault="00BB66EC" w:rsidP="00213989">
      <w:pPr>
        <w:jc w:val="both"/>
        <w:textAlignment w:val="baseline"/>
        <w:rPr>
          <w:rFonts w:ascii="Arial" w:hAnsi="Arial" w:cs="Arial"/>
          <w:color w:val="000000"/>
          <w:sz w:val="20"/>
          <w:szCs w:val="20"/>
          <w:lang w:eastAsia="en-AU"/>
        </w:rPr>
      </w:pPr>
      <w:r>
        <w:rPr>
          <w:rFonts w:ascii="Arial" w:hAnsi="Arial" w:cs="Arial"/>
          <w:color w:val="000000"/>
          <w:sz w:val="20"/>
          <w:szCs w:val="20"/>
          <w:lang w:eastAsia="en-AU"/>
        </w:rPr>
        <w:t xml:space="preserve">In </w:t>
      </w:r>
      <w:r w:rsidRPr="00BB66EC">
        <w:rPr>
          <w:rFonts w:ascii="Arial" w:hAnsi="Arial" w:cs="Arial"/>
          <w:i/>
          <w:iCs/>
          <w:color w:val="000000"/>
          <w:sz w:val="20"/>
          <w:szCs w:val="20"/>
          <w:lang w:eastAsia="en-AU"/>
        </w:rPr>
        <w:t>Akers v Victoria Police</w:t>
      </w:r>
      <w:r>
        <w:rPr>
          <w:rFonts w:ascii="Arial" w:hAnsi="Arial" w:cs="Arial"/>
          <w:color w:val="000000"/>
          <w:sz w:val="20"/>
          <w:szCs w:val="20"/>
          <w:lang w:eastAsia="en-AU"/>
        </w:rPr>
        <w:t xml:space="preserve"> [2025] VSCA 341 the applicant </w:t>
      </w:r>
      <w:r w:rsidR="009A3F05">
        <w:rPr>
          <w:rFonts w:ascii="Arial" w:hAnsi="Arial" w:cs="Arial"/>
          <w:color w:val="000000"/>
          <w:sz w:val="20"/>
          <w:szCs w:val="20"/>
          <w:lang w:eastAsia="en-AU"/>
        </w:rPr>
        <w:t>sought</w:t>
      </w:r>
      <w:r>
        <w:rPr>
          <w:rFonts w:ascii="Arial" w:hAnsi="Arial" w:cs="Arial"/>
          <w:color w:val="000000"/>
          <w:sz w:val="20"/>
          <w:szCs w:val="20"/>
          <w:lang w:eastAsia="en-AU"/>
        </w:rPr>
        <w:t xml:space="preserve"> leave to appeal against a</w:t>
      </w:r>
      <w:r w:rsidR="009A3F05">
        <w:rPr>
          <w:rFonts w:ascii="Arial" w:hAnsi="Arial" w:cs="Arial"/>
          <w:color w:val="000000"/>
          <w:sz w:val="20"/>
          <w:szCs w:val="20"/>
          <w:lang w:eastAsia="en-AU"/>
        </w:rPr>
        <w:t>n</w:t>
      </w:r>
      <w:r>
        <w:rPr>
          <w:rFonts w:ascii="Arial" w:hAnsi="Arial" w:cs="Arial"/>
          <w:color w:val="000000"/>
          <w:sz w:val="20"/>
          <w:szCs w:val="20"/>
          <w:lang w:eastAsia="en-AU"/>
        </w:rPr>
        <w:t xml:space="preserve"> order </w:t>
      </w:r>
      <w:r w:rsidR="009A3F05">
        <w:rPr>
          <w:rFonts w:ascii="Arial" w:hAnsi="Arial" w:cs="Arial"/>
          <w:color w:val="000000"/>
          <w:sz w:val="20"/>
          <w:szCs w:val="20"/>
          <w:lang w:eastAsia="en-AU"/>
        </w:rPr>
        <w:t>of</w:t>
      </w:r>
      <w:r>
        <w:rPr>
          <w:rFonts w:ascii="Arial" w:hAnsi="Arial" w:cs="Arial"/>
          <w:color w:val="000000"/>
          <w:sz w:val="20"/>
          <w:szCs w:val="20"/>
          <w:lang w:eastAsia="en-AU"/>
        </w:rPr>
        <w:t xml:space="preserve"> Daly </w:t>
      </w:r>
      <w:proofErr w:type="spellStart"/>
      <w:r>
        <w:rPr>
          <w:rFonts w:ascii="Arial" w:hAnsi="Arial" w:cs="Arial"/>
          <w:color w:val="000000"/>
          <w:sz w:val="20"/>
          <w:szCs w:val="20"/>
          <w:lang w:eastAsia="en-AU"/>
        </w:rPr>
        <w:t>AsJ</w:t>
      </w:r>
      <w:proofErr w:type="spellEnd"/>
      <w:r>
        <w:rPr>
          <w:rFonts w:ascii="Arial" w:hAnsi="Arial" w:cs="Arial"/>
          <w:color w:val="000000"/>
          <w:sz w:val="20"/>
          <w:szCs w:val="20"/>
          <w:lang w:eastAsia="en-AU"/>
        </w:rPr>
        <w:t xml:space="preserve"> </w:t>
      </w:r>
      <w:r w:rsidR="009A3F05">
        <w:rPr>
          <w:rFonts w:ascii="Arial" w:hAnsi="Arial" w:cs="Arial"/>
          <w:color w:val="000000"/>
          <w:sz w:val="20"/>
          <w:szCs w:val="20"/>
          <w:lang w:eastAsia="en-AU"/>
        </w:rPr>
        <w:t>requiring</w:t>
      </w:r>
      <w:r>
        <w:rPr>
          <w:rFonts w:ascii="Arial" w:hAnsi="Arial" w:cs="Arial"/>
          <w:color w:val="000000"/>
          <w:sz w:val="20"/>
          <w:szCs w:val="20"/>
          <w:lang w:eastAsia="en-AU"/>
        </w:rPr>
        <w:t xml:space="preserve"> him to pay 75% of the respondent’s costs. Beach JA dismissed the application, holding that the proposed appeal had no prospect of success. At [19]-[22] &amp; </w:t>
      </w:r>
      <w:r w:rsidR="009A3F05">
        <w:rPr>
          <w:rFonts w:ascii="Arial" w:hAnsi="Arial" w:cs="Arial"/>
          <w:color w:val="000000"/>
          <w:sz w:val="20"/>
          <w:szCs w:val="20"/>
          <w:lang w:eastAsia="en-AU"/>
        </w:rPr>
        <w:t>[26]-</w:t>
      </w:r>
      <w:r>
        <w:rPr>
          <w:rFonts w:ascii="Arial" w:hAnsi="Arial" w:cs="Arial"/>
          <w:color w:val="000000"/>
          <w:sz w:val="20"/>
          <w:szCs w:val="20"/>
          <w:lang w:eastAsia="en-AU"/>
        </w:rPr>
        <w:t>[27] his Honour said:</w:t>
      </w:r>
    </w:p>
    <w:p w14:paraId="3D579105" w14:textId="14046ACA"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rPr>
        <w:t>[19] “</w:t>
      </w:r>
      <w:r w:rsidRPr="00BB66EC">
        <w:rPr>
          <w:rFonts w:ascii="Arial" w:hAnsi="Arial" w:cs="Arial"/>
          <w:color w:val="000000"/>
          <w:sz w:val="20"/>
          <w:szCs w:val="20"/>
          <w:lang w:eastAsia="en-AU"/>
        </w:rPr>
        <w:t>This Court has repeatedly observed that appeals from orders as to costs are treated as exceptional and require this Court to exercise particular restraint</w:t>
      </w:r>
      <w:r>
        <w:rPr>
          <w:rFonts w:ascii="Arial" w:hAnsi="Arial" w:cs="Arial"/>
          <w:color w:val="000000"/>
          <w:sz w:val="20"/>
          <w:szCs w:val="20"/>
          <w:lang w:eastAsia="en-AU"/>
        </w:rPr>
        <w:t xml:space="preserve">: </w:t>
      </w:r>
      <w:r w:rsidRPr="00BB66EC">
        <w:rPr>
          <w:rFonts w:ascii="Arial" w:hAnsi="Arial" w:cs="Arial"/>
          <w:i/>
          <w:iCs/>
          <w:color w:val="000000"/>
          <w:sz w:val="20"/>
          <w:szCs w:val="20"/>
          <w:lang w:eastAsia="en-AU"/>
        </w:rPr>
        <w:t>Cargill Australia Ltd v Viterra Malt Pty Ltd</w:t>
      </w:r>
      <w:r w:rsidRPr="00BB66EC">
        <w:rPr>
          <w:rFonts w:ascii="Arial" w:hAnsi="Arial" w:cs="Arial"/>
          <w:color w:val="000000"/>
          <w:sz w:val="20"/>
          <w:szCs w:val="20"/>
          <w:lang w:eastAsia="en-AU"/>
        </w:rPr>
        <w:t xml:space="preserve"> [2023] VSCA 301, [63]; </w:t>
      </w:r>
      <w:r w:rsidRPr="00BB66EC">
        <w:rPr>
          <w:rFonts w:ascii="Arial" w:hAnsi="Arial" w:cs="Arial"/>
          <w:i/>
          <w:iCs/>
          <w:color w:val="000000"/>
          <w:sz w:val="20"/>
          <w:szCs w:val="20"/>
          <w:lang w:eastAsia="en-AU"/>
        </w:rPr>
        <w:t>Gayed v Yuan</w:t>
      </w:r>
      <w:r w:rsidRPr="00BB66EC">
        <w:rPr>
          <w:rFonts w:ascii="Arial" w:hAnsi="Arial" w:cs="Arial"/>
          <w:color w:val="000000"/>
          <w:sz w:val="20"/>
          <w:szCs w:val="20"/>
          <w:lang w:eastAsia="en-AU"/>
        </w:rPr>
        <w:t xml:space="preserve"> [2024] VSCA 85, [51]. Moreover, there is a strong presumption in favour of the correctness of an exercise of discretion on costs</w:t>
      </w:r>
      <w:r>
        <w:rPr>
          <w:rFonts w:ascii="Arial" w:hAnsi="Arial" w:cs="Arial"/>
          <w:color w:val="000000"/>
          <w:sz w:val="20"/>
          <w:szCs w:val="20"/>
          <w:lang w:eastAsia="en-AU"/>
        </w:rPr>
        <w:t xml:space="preserve">: </w:t>
      </w:r>
      <w:r w:rsidRPr="00BB66EC">
        <w:rPr>
          <w:rFonts w:ascii="Arial" w:hAnsi="Arial" w:cs="Arial"/>
          <w:i/>
          <w:iCs/>
          <w:color w:val="000000"/>
          <w:sz w:val="20"/>
          <w:szCs w:val="20"/>
          <w:lang w:eastAsia="en-AU"/>
        </w:rPr>
        <w:t>Li v So</w:t>
      </w:r>
      <w:r w:rsidRPr="00BB66EC">
        <w:rPr>
          <w:rFonts w:ascii="Arial" w:hAnsi="Arial" w:cs="Arial"/>
          <w:color w:val="000000"/>
          <w:sz w:val="20"/>
          <w:szCs w:val="20"/>
          <w:lang w:eastAsia="en-AU"/>
        </w:rPr>
        <w:t xml:space="preserve"> [2021] VSCA 32, [75]; </w:t>
      </w:r>
      <w:r w:rsidRPr="00BB66EC">
        <w:rPr>
          <w:rFonts w:ascii="Arial" w:hAnsi="Arial" w:cs="Arial"/>
          <w:i/>
          <w:iCs/>
          <w:color w:val="000000"/>
          <w:sz w:val="20"/>
          <w:szCs w:val="20"/>
          <w:lang w:eastAsia="en-AU"/>
        </w:rPr>
        <w:t xml:space="preserve">State of Victoria v </w:t>
      </w:r>
      <w:proofErr w:type="spellStart"/>
      <w:r w:rsidRPr="00BB66EC">
        <w:rPr>
          <w:rFonts w:ascii="Arial" w:hAnsi="Arial" w:cs="Arial"/>
          <w:i/>
          <w:iCs/>
          <w:color w:val="000000"/>
          <w:sz w:val="20"/>
          <w:szCs w:val="20"/>
          <w:lang w:eastAsia="en-AU"/>
        </w:rPr>
        <w:t>Villan</w:t>
      </w:r>
      <w:proofErr w:type="spellEnd"/>
      <w:r w:rsidRPr="00BB66EC">
        <w:rPr>
          <w:rFonts w:ascii="Arial" w:hAnsi="Arial" w:cs="Arial"/>
          <w:color w:val="000000"/>
          <w:sz w:val="20"/>
          <w:szCs w:val="20"/>
          <w:lang w:eastAsia="en-AU"/>
        </w:rPr>
        <w:t xml:space="preserve"> [2022] VSCA 106, [40]. The test is not whether this Court would have exercised the discretion in the same way as the associate judge, but whether there was a ground on which her Honour could reasonably have made the order in question</w:t>
      </w:r>
      <w:r>
        <w:rPr>
          <w:rFonts w:ascii="Arial" w:hAnsi="Arial" w:cs="Arial"/>
          <w:color w:val="000000"/>
          <w:sz w:val="20"/>
          <w:szCs w:val="20"/>
          <w:lang w:eastAsia="en-AU"/>
        </w:rPr>
        <w:t>: Ibid.</w:t>
      </w:r>
    </w:p>
    <w:p w14:paraId="15BD8671" w14:textId="4273AE0B"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 xml:space="preserve">[20] </w:t>
      </w:r>
      <w:r w:rsidRPr="00BB66EC">
        <w:rPr>
          <w:rFonts w:ascii="Arial" w:hAnsi="Arial" w:cs="Arial"/>
          <w:color w:val="000000"/>
          <w:sz w:val="20"/>
          <w:szCs w:val="20"/>
          <w:lang w:eastAsia="en-AU"/>
        </w:rPr>
        <w:t xml:space="preserve">That said, there is no basis upon which this Court could conclude that her Honour’s decision as to costs was affected by any error. The decision was a discretionary decision, governed by the principles in </w:t>
      </w:r>
      <w:r w:rsidRPr="00BB66EC">
        <w:rPr>
          <w:rFonts w:ascii="Arial" w:hAnsi="Arial" w:cs="Arial"/>
          <w:i/>
          <w:iCs/>
          <w:color w:val="000000"/>
          <w:sz w:val="20"/>
          <w:szCs w:val="20"/>
          <w:lang w:eastAsia="en-AU"/>
        </w:rPr>
        <w:t>House v The King</w:t>
      </w:r>
      <w:r>
        <w:rPr>
          <w:rFonts w:ascii="Arial" w:hAnsi="Arial" w:cs="Arial"/>
          <w:color w:val="000000"/>
          <w:sz w:val="20"/>
          <w:szCs w:val="20"/>
          <w:lang w:eastAsia="en-AU"/>
        </w:rPr>
        <w:t xml:space="preserve"> </w:t>
      </w:r>
      <w:r w:rsidRPr="00BB66EC">
        <w:rPr>
          <w:rFonts w:ascii="Arial" w:hAnsi="Arial" w:cs="Arial"/>
          <w:color w:val="000000"/>
          <w:sz w:val="20"/>
          <w:szCs w:val="20"/>
          <w:lang w:eastAsia="en-AU"/>
        </w:rPr>
        <w:t>(1936) 55 CLR 499, 505. In order to be successful in this Court, the applicant would have to establish that the associate judge acted on a wrong principle, or allowed extraneous or irrelevant matters to guide or affect her, or mistook the facts, or did not take into account some material consideration or that the result reached was unreasonable or plainly unjust</w:t>
      </w:r>
      <w:r>
        <w:rPr>
          <w:rFonts w:ascii="Arial" w:hAnsi="Arial" w:cs="Arial"/>
          <w:color w:val="000000"/>
          <w:sz w:val="20"/>
          <w:szCs w:val="20"/>
          <w:lang w:eastAsia="en-AU"/>
        </w:rPr>
        <w:t>: Ibid</w:t>
      </w:r>
      <w:r w:rsidRPr="00BB66EC">
        <w:rPr>
          <w:rFonts w:ascii="Arial" w:hAnsi="Arial" w:cs="Arial"/>
          <w:color w:val="000000"/>
          <w:sz w:val="20"/>
          <w:szCs w:val="20"/>
          <w:lang w:eastAsia="en-AU"/>
        </w:rPr>
        <w:t>.</w:t>
      </w:r>
      <w:r>
        <w:rPr>
          <w:rFonts w:ascii="Arial" w:hAnsi="Arial" w:cs="Arial"/>
          <w:color w:val="000000"/>
          <w:sz w:val="20"/>
          <w:szCs w:val="20"/>
          <w:lang w:eastAsia="en-AU"/>
        </w:rPr>
        <w:t xml:space="preserve"> </w:t>
      </w:r>
      <w:r w:rsidRPr="00BB66EC">
        <w:rPr>
          <w:rFonts w:ascii="Arial" w:hAnsi="Arial" w:cs="Arial"/>
          <w:color w:val="000000"/>
          <w:sz w:val="20"/>
          <w:szCs w:val="20"/>
          <w:lang w:eastAsia="en-AU"/>
        </w:rPr>
        <w:t>The material discloses that her Honour did not make any of these types of error.</w:t>
      </w:r>
    </w:p>
    <w:p w14:paraId="6B0D8CE4" w14:textId="77777777"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 xml:space="preserve">[21] </w:t>
      </w:r>
      <w:r w:rsidRPr="00BB66EC">
        <w:rPr>
          <w:rFonts w:ascii="Arial" w:hAnsi="Arial" w:cs="Arial"/>
          <w:color w:val="000000"/>
          <w:sz w:val="20"/>
          <w:szCs w:val="20"/>
          <w:lang w:eastAsia="en-AU"/>
        </w:rPr>
        <w:t xml:space="preserve">In the Trial Division, the applicant sought leave to appeal from orders made in VCAT on 12 proposed grounds. His application was entirely unsuccessful on those grounds. His amended notice of appeal was struck out in its entirety. The respondent was put to the trouble of defending meritless arguments. The only success the applicant enjoyed was on the basis of reasoning created and developed by the associate judge. The costs of the hearing, development and determination of the points raised by the associate judge could </w:t>
      </w:r>
      <w:r w:rsidRPr="00BB66EC">
        <w:rPr>
          <w:rFonts w:ascii="Arial" w:hAnsi="Arial" w:cs="Arial"/>
          <w:color w:val="000000"/>
          <w:sz w:val="20"/>
          <w:szCs w:val="20"/>
          <w:lang w:eastAsia="en-AU"/>
        </w:rPr>
        <w:lastRenderedPageBreak/>
        <w:t>only be a fraction of the total costs of the proceeding in the Trial Division, given the late stage at which those matters were first raised by her Honour.</w:t>
      </w:r>
    </w:p>
    <w:p w14:paraId="4D0A7B80" w14:textId="60EA412E"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w:t>
      </w:r>
      <w:r w:rsidRPr="00BB66EC">
        <w:rPr>
          <w:rFonts w:ascii="Arial" w:hAnsi="Arial" w:cs="Arial"/>
          <w:color w:val="000000"/>
          <w:sz w:val="20"/>
          <w:szCs w:val="20"/>
          <w:lang w:eastAsia="en-AU"/>
        </w:rPr>
        <w:t>22</w:t>
      </w:r>
      <w:r>
        <w:rPr>
          <w:rFonts w:ascii="Arial" w:hAnsi="Arial" w:cs="Arial"/>
          <w:color w:val="000000"/>
          <w:sz w:val="20"/>
          <w:szCs w:val="20"/>
          <w:lang w:eastAsia="en-AU"/>
        </w:rPr>
        <w:t>]</w:t>
      </w:r>
      <w:r w:rsidRPr="00BB66EC">
        <w:rPr>
          <w:rFonts w:ascii="Arial" w:hAnsi="Arial" w:cs="Arial"/>
          <w:color w:val="000000"/>
          <w:sz w:val="20"/>
          <w:szCs w:val="20"/>
          <w:lang w:eastAsia="en-AU"/>
        </w:rPr>
        <w:t xml:space="preserve"> Far from being unreasonable or plainly unjust, her Honour’s costs order was generous to the applicant in that it only required him to pay 75 per cent of the respondent’s costs. Moreover, the fact that, if the associate judge’s resolution of the dispute between the parties had been achieved at VCAT, there would have been no order as to costs, does not in any way suggest that her Honour’s resolution of the costs issue in this case involved </w:t>
      </w:r>
      <w:r w:rsidRPr="00BB66EC">
        <w:rPr>
          <w:rFonts w:ascii="Arial" w:hAnsi="Arial" w:cs="Arial"/>
          <w:i/>
          <w:iCs/>
          <w:color w:val="000000"/>
          <w:sz w:val="20"/>
          <w:szCs w:val="20"/>
          <w:lang w:eastAsia="en-AU"/>
        </w:rPr>
        <w:t>House v The King</w:t>
      </w:r>
      <w:r w:rsidRPr="00BB66EC">
        <w:rPr>
          <w:rFonts w:ascii="Arial" w:hAnsi="Arial" w:cs="Arial"/>
          <w:color w:val="000000"/>
          <w:sz w:val="20"/>
          <w:szCs w:val="20"/>
          <w:lang w:eastAsia="en-AU"/>
        </w:rPr>
        <w:t xml:space="preserve"> error</w:t>
      </w:r>
      <w:r>
        <w:rPr>
          <w:rFonts w:ascii="Arial" w:hAnsi="Arial" w:cs="Arial"/>
          <w:color w:val="000000"/>
          <w:sz w:val="20"/>
          <w:szCs w:val="20"/>
          <w:lang w:eastAsia="en-AU"/>
        </w:rPr>
        <w:t>”</w:t>
      </w:r>
    </w:p>
    <w:p w14:paraId="7CC80C4A" w14:textId="4BCBB6CA" w:rsidR="009A3F05"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[2</w:t>
      </w:r>
      <w:r w:rsidR="009A3F05">
        <w:rPr>
          <w:rFonts w:ascii="Arial" w:hAnsi="Arial" w:cs="Arial"/>
          <w:color w:val="000000"/>
          <w:sz w:val="20"/>
          <w:szCs w:val="20"/>
          <w:lang w:eastAsia="en-AU"/>
        </w:rPr>
        <w:t>6</w:t>
      </w:r>
      <w:r>
        <w:rPr>
          <w:rFonts w:ascii="Arial" w:hAnsi="Arial" w:cs="Arial"/>
          <w:color w:val="000000"/>
          <w:sz w:val="20"/>
          <w:szCs w:val="20"/>
          <w:lang w:eastAsia="en-AU"/>
        </w:rPr>
        <w:t>] “</w:t>
      </w:r>
      <w:r w:rsidR="009A3F05" w:rsidRPr="00BB66EC">
        <w:rPr>
          <w:rFonts w:ascii="Arial" w:hAnsi="Arial" w:cs="Arial"/>
          <w:color w:val="000000"/>
          <w:sz w:val="20"/>
          <w:szCs w:val="20"/>
          <w:lang w:eastAsia="en-AU"/>
        </w:rPr>
        <w:t xml:space="preserve">To the extent that the respondent submitted that, because he was self-represented, some less adverse order as to costs should have been made against him, that submission must also be rejected. Nothing in the applicant’s personal circumstances, or the fact of his self-representation, made the associate judge’s order as to costs erroneous. Moreover, nothing in </w:t>
      </w:r>
      <w:r w:rsidR="009A3F05" w:rsidRPr="009A3F05">
        <w:rPr>
          <w:rFonts w:ascii="Arial" w:hAnsi="Arial" w:cs="Arial"/>
          <w:i/>
          <w:iCs/>
          <w:color w:val="000000"/>
          <w:sz w:val="20"/>
          <w:szCs w:val="20"/>
          <w:lang w:eastAsia="en-AU"/>
        </w:rPr>
        <w:t>Tomasevic v Travaglini</w:t>
      </w:r>
      <w:r w:rsidR="009A3F05">
        <w:rPr>
          <w:rFonts w:ascii="Arial" w:hAnsi="Arial" w:cs="Arial"/>
          <w:color w:val="000000"/>
          <w:sz w:val="20"/>
          <w:szCs w:val="20"/>
          <w:lang w:eastAsia="en-AU"/>
        </w:rPr>
        <w:t xml:space="preserve"> </w:t>
      </w:r>
      <w:r w:rsidR="009A3F05" w:rsidRPr="009A3F05">
        <w:rPr>
          <w:rFonts w:ascii="Arial" w:hAnsi="Arial" w:cs="Arial"/>
          <w:color w:val="000000"/>
          <w:sz w:val="20"/>
          <w:szCs w:val="20"/>
          <w:lang w:eastAsia="en-AU"/>
        </w:rPr>
        <w:t>(2007) 17 VR 100</w:t>
      </w:r>
      <w:r w:rsidR="009A3F05">
        <w:rPr>
          <w:rFonts w:ascii="Arial" w:hAnsi="Arial" w:cs="Arial"/>
          <w:color w:val="000000"/>
          <w:sz w:val="20"/>
          <w:szCs w:val="20"/>
          <w:lang w:eastAsia="en-AU"/>
        </w:rPr>
        <w:t xml:space="preserve"> </w:t>
      </w:r>
      <w:r w:rsidR="009A3F05" w:rsidRPr="00BB66EC">
        <w:rPr>
          <w:rFonts w:ascii="Arial" w:hAnsi="Arial" w:cs="Arial"/>
          <w:color w:val="000000"/>
          <w:sz w:val="20"/>
          <w:szCs w:val="20"/>
          <w:lang w:eastAsia="en-AU"/>
        </w:rPr>
        <w:t>or any of the other cases cited by the applicant assists him on this issue.</w:t>
      </w:r>
    </w:p>
    <w:p w14:paraId="19002543" w14:textId="5EDD818E" w:rsidR="00BB66EC" w:rsidRDefault="009A3F05" w:rsidP="00BB66EC">
      <w:pPr>
        <w:spacing w:before="60"/>
        <w:ind w:left="567" w:right="567"/>
        <w:jc w:val="both"/>
        <w:rPr>
          <w:rFonts w:ascii="Arial" w:hAnsi="Arial" w:cs="Arial"/>
          <w:color w:val="000000"/>
          <w:sz w:val="20"/>
        </w:rPr>
      </w:pPr>
      <w:r>
        <w:rPr>
          <w:rFonts w:ascii="Arial" w:hAnsi="Arial" w:cs="Arial"/>
          <w:color w:val="000000"/>
          <w:sz w:val="20"/>
          <w:szCs w:val="20"/>
          <w:lang w:eastAsia="en-AU"/>
        </w:rPr>
        <w:t>[</w:t>
      </w:r>
      <w:r w:rsidRPr="00BB66EC">
        <w:rPr>
          <w:rFonts w:ascii="Arial" w:hAnsi="Arial" w:cs="Arial"/>
          <w:color w:val="000000"/>
          <w:sz w:val="20"/>
          <w:szCs w:val="20"/>
          <w:lang w:eastAsia="en-AU"/>
        </w:rPr>
        <w:t>27</w:t>
      </w:r>
      <w:r>
        <w:rPr>
          <w:rFonts w:ascii="Arial" w:hAnsi="Arial" w:cs="Arial"/>
          <w:color w:val="000000"/>
          <w:sz w:val="20"/>
          <w:szCs w:val="20"/>
          <w:lang w:eastAsia="en-AU"/>
        </w:rPr>
        <w:t>]</w:t>
      </w:r>
      <w:r w:rsidRPr="00BB66EC">
        <w:rPr>
          <w:rFonts w:ascii="Arial" w:hAnsi="Arial" w:cs="Arial"/>
          <w:color w:val="000000"/>
          <w:sz w:val="20"/>
          <w:szCs w:val="20"/>
          <w:lang w:eastAsia="en-AU"/>
        </w:rPr>
        <w:t xml:space="preserve"> Additionally, nothing in the respondent’s conduct of the proceeding in the Trial Division militated against the making of the costs order ultimately made by her Honour. To the contrary, the respondent’s conduct of the proceeding was eminently reasonable and perspicuously fair to the applicant. The applicant has not established the existence of any conduct on the part of the respondent which might disentitle it to an award of costs in its favour.</w:t>
      </w:r>
      <w:r>
        <w:rPr>
          <w:rFonts w:ascii="Arial" w:hAnsi="Arial" w:cs="Arial"/>
          <w:color w:val="000000"/>
          <w:sz w:val="20"/>
          <w:szCs w:val="20"/>
          <w:lang w:eastAsia="en-AU"/>
        </w:rPr>
        <w:t>”</w:t>
      </w:r>
    </w:p>
    <w:p w14:paraId="58449A6C" w14:textId="77777777" w:rsidR="00BB66EC" w:rsidRDefault="00BB66EC" w:rsidP="00213989">
      <w:pPr>
        <w:jc w:val="both"/>
        <w:textAlignment w:val="baseline"/>
        <w:rPr>
          <w:rFonts w:ascii="Arial" w:hAnsi="Arial" w:cs="Arial"/>
          <w:color w:val="000000"/>
          <w:sz w:val="20"/>
          <w:szCs w:val="20"/>
          <w:lang w:eastAsia="en-AU"/>
        </w:rPr>
      </w:pPr>
    </w:p>
    <w:p w14:paraId="689CBB2C" w14:textId="473D3C86" w:rsidR="004D12B4" w:rsidRDefault="004D12B4" w:rsidP="00213989">
      <w:pPr>
        <w:jc w:val="both"/>
        <w:textAlignment w:val="baseline"/>
        <w:rPr>
          <w:rFonts w:ascii="Arial" w:hAnsi="Arial" w:cs="Arial"/>
          <w:color w:val="000000"/>
          <w:sz w:val="20"/>
          <w:szCs w:val="20"/>
          <w:lang w:eastAsia="en-AU"/>
        </w:rPr>
      </w:pPr>
      <w:r>
        <w:rPr>
          <w:rFonts w:ascii="Arial" w:hAnsi="Arial" w:cs="Arial"/>
          <w:color w:val="000000"/>
          <w:sz w:val="20"/>
          <w:szCs w:val="20"/>
          <w:lang w:eastAsia="en-AU"/>
        </w:rPr>
        <w:t xml:space="preserve">In </w:t>
      </w:r>
      <w:r w:rsidRPr="004D12B4">
        <w:rPr>
          <w:rFonts w:ascii="Arial" w:hAnsi="Arial" w:cs="Arial"/>
          <w:i/>
          <w:iCs/>
          <w:color w:val="000000"/>
          <w:sz w:val="20"/>
          <w:szCs w:val="20"/>
          <w:lang w:eastAsia="en-AU"/>
        </w:rPr>
        <w:t>Cwalina v Rose</w:t>
      </w:r>
      <w:r w:rsidRPr="004D12B4">
        <w:rPr>
          <w:rFonts w:ascii="Arial" w:hAnsi="Arial" w:cs="Arial"/>
          <w:color w:val="000000"/>
          <w:sz w:val="20"/>
          <w:szCs w:val="20"/>
          <w:lang w:eastAsia="en-AU"/>
        </w:rPr>
        <w:t xml:space="preserve"> [2026] VSCA 54</w:t>
      </w:r>
      <w:r>
        <w:rPr>
          <w:rFonts w:ascii="Arial" w:hAnsi="Arial" w:cs="Arial"/>
          <w:color w:val="000000"/>
          <w:sz w:val="20"/>
          <w:szCs w:val="20"/>
          <w:lang w:eastAsia="en-AU"/>
        </w:rPr>
        <w:t xml:space="preserve"> </w:t>
      </w:r>
      <w:r w:rsidRPr="004D12B4">
        <w:rPr>
          <w:rFonts w:ascii="Arial" w:hAnsi="Arial" w:cs="Arial"/>
          <w:color w:val="000000"/>
          <w:sz w:val="20"/>
          <w:szCs w:val="20"/>
          <w:lang w:eastAsia="en-AU"/>
        </w:rPr>
        <w:t>W</w:t>
      </w:r>
      <w:r>
        <w:rPr>
          <w:rFonts w:ascii="Arial" w:hAnsi="Arial" w:cs="Arial"/>
          <w:color w:val="000000"/>
          <w:sz w:val="20"/>
          <w:szCs w:val="20"/>
          <w:lang w:eastAsia="en-AU"/>
        </w:rPr>
        <w:t>alker</w:t>
      </w:r>
      <w:r w:rsidRPr="004D12B4">
        <w:rPr>
          <w:rFonts w:ascii="Arial" w:hAnsi="Arial" w:cs="Arial"/>
          <w:color w:val="000000"/>
          <w:sz w:val="20"/>
          <w:szCs w:val="20"/>
          <w:lang w:eastAsia="en-AU"/>
        </w:rPr>
        <w:t>, W</w:t>
      </w:r>
      <w:r>
        <w:rPr>
          <w:rFonts w:ascii="Arial" w:hAnsi="Arial" w:cs="Arial"/>
          <w:color w:val="000000"/>
          <w:sz w:val="20"/>
          <w:szCs w:val="20"/>
          <w:lang w:eastAsia="en-AU"/>
        </w:rPr>
        <w:t>helan</w:t>
      </w:r>
      <w:r w:rsidRPr="004D12B4">
        <w:rPr>
          <w:rFonts w:ascii="Arial" w:hAnsi="Arial" w:cs="Arial"/>
          <w:color w:val="000000"/>
          <w:sz w:val="20"/>
          <w:szCs w:val="20"/>
          <w:lang w:eastAsia="en-AU"/>
        </w:rPr>
        <w:t xml:space="preserve"> </w:t>
      </w:r>
      <w:r>
        <w:rPr>
          <w:rFonts w:ascii="Arial" w:hAnsi="Arial" w:cs="Arial"/>
          <w:color w:val="000000"/>
          <w:sz w:val="20"/>
          <w:szCs w:val="20"/>
          <w:lang w:eastAsia="en-AU"/>
        </w:rPr>
        <w:t>&amp;</w:t>
      </w:r>
      <w:r w:rsidRPr="004D12B4">
        <w:rPr>
          <w:rFonts w:ascii="Arial" w:hAnsi="Arial" w:cs="Arial"/>
          <w:color w:val="000000"/>
          <w:sz w:val="20"/>
          <w:szCs w:val="20"/>
          <w:lang w:eastAsia="en-AU"/>
        </w:rPr>
        <w:t xml:space="preserve"> K</w:t>
      </w:r>
      <w:r>
        <w:rPr>
          <w:rFonts w:ascii="Arial" w:hAnsi="Arial" w:cs="Arial"/>
          <w:color w:val="000000"/>
          <w:sz w:val="20"/>
          <w:szCs w:val="20"/>
          <w:lang w:eastAsia="en-AU"/>
        </w:rPr>
        <w:t>aye</w:t>
      </w:r>
      <w:r w:rsidRPr="004D12B4">
        <w:rPr>
          <w:rFonts w:ascii="Arial" w:hAnsi="Arial" w:cs="Arial"/>
          <w:color w:val="000000"/>
          <w:sz w:val="20"/>
          <w:szCs w:val="20"/>
          <w:lang w:eastAsia="en-AU"/>
        </w:rPr>
        <w:t xml:space="preserve"> JJA</w:t>
      </w:r>
      <w:r>
        <w:rPr>
          <w:rFonts w:ascii="Arial" w:hAnsi="Arial" w:cs="Arial"/>
          <w:color w:val="000000"/>
          <w:sz w:val="20"/>
          <w:szCs w:val="20"/>
          <w:lang w:eastAsia="en-AU"/>
        </w:rPr>
        <w:t xml:space="preserve"> said at [179]:</w:t>
      </w:r>
    </w:p>
    <w:p w14:paraId="4BEDDA22" w14:textId="15E83508" w:rsidR="004D12B4" w:rsidRDefault="004D12B4" w:rsidP="004D12B4">
      <w:pPr>
        <w:spacing w:before="60"/>
        <w:ind w:left="567" w:right="567"/>
        <w:jc w:val="both"/>
        <w:textAlignment w:val="baseline"/>
        <w:rPr>
          <w:rFonts w:ascii="Arial" w:hAnsi="Arial" w:cs="Arial"/>
          <w:color w:val="000000"/>
          <w:sz w:val="20"/>
          <w:szCs w:val="20"/>
          <w:lang w:eastAsia="en-AU"/>
        </w:rPr>
      </w:pPr>
      <w:r>
        <w:rPr>
          <w:rFonts w:ascii="Arial" w:hAnsi="Arial" w:cs="Arial"/>
          <w:color w:val="000000"/>
          <w:sz w:val="20"/>
          <w:szCs w:val="20"/>
          <w:lang w:eastAsia="en-AU"/>
        </w:rPr>
        <w:t>“</w:t>
      </w:r>
      <w:r w:rsidRPr="004D12B4">
        <w:rPr>
          <w:rFonts w:ascii="Arial" w:hAnsi="Arial" w:cs="Arial"/>
          <w:color w:val="000000"/>
          <w:sz w:val="20"/>
          <w:szCs w:val="20"/>
          <w:lang w:eastAsia="en-AU"/>
        </w:rPr>
        <w:t>Insofar as Mr Cwalina seeks leave to appeal the costs order made 18 December 2023, the authorities emphasise this Court’s reluctance to entertain applications for leave to appeal on costs</w:t>
      </w:r>
      <w:r>
        <w:rPr>
          <w:rFonts w:ascii="Arial" w:hAnsi="Arial" w:cs="Arial"/>
          <w:color w:val="000000"/>
          <w:sz w:val="20"/>
          <w:szCs w:val="20"/>
          <w:lang w:eastAsia="en-AU"/>
        </w:rPr>
        <w:t xml:space="preserve">: </w:t>
      </w:r>
      <w:r w:rsidRPr="004D12B4">
        <w:rPr>
          <w:rFonts w:ascii="Arial" w:hAnsi="Arial" w:cs="Arial"/>
          <w:i/>
          <w:iCs/>
          <w:color w:val="000000"/>
          <w:sz w:val="20"/>
          <w:szCs w:val="20"/>
          <w:lang w:eastAsia="en-AU"/>
        </w:rPr>
        <w:t xml:space="preserve">Viterra v </w:t>
      </w:r>
      <w:proofErr w:type="spellStart"/>
      <w:r w:rsidRPr="004D12B4">
        <w:rPr>
          <w:rFonts w:ascii="Arial" w:hAnsi="Arial" w:cs="Arial"/>
          <w:i/>
          <w:iCs/>
          <w:color w:val="000000"/>
          <w:sz w:val="20"/>
          <w:szCs w:val="20"/>
          <w:lang w:eastAsia="en-AU"/>
        </w:rPr>
        <w:t>Youil</w:t>
      </w:r>
      <w:proofErr w:type="spellEnd"/>
      <w:r w:rsidRPr="004D12B4">
        <w:rPr>
          <w:rFonts w:ascii="Arial" w:hAnsi="Arial" w:cs="Arial"/>
          <w:color w:val="000000"/>
          <w:sz w:val="20"/>
          <w:szCs w:val="20"/>
          <w:lang w:eastAsia="en-AU"/>
        </w:rPr>
        <w:t xml:space="preserve"> [2023] VSCA 304, [42]; </w:t>
      </w:r>
      <w:r w:rsidRPr="004D12B4">
        <w:rPr>
          <w:rFonts w:ascii="Arial" w:hAnsi="Arial" w:cs="Arial"/>
          <w:i/>
          <w:iCs/>
          <w:color w:val="000000"/>
          <w:sz w:val="20"/>
          <w:szCs w:val="20"/>
          <w:lang w:eastAsia="en-AU"/>
        </w:rPr>
        <w:t>United Petroleum Australia Pty Ltd v Herbert Smith Freehills</w:t>
      </w:r>
      <w:r w:rsidRPr="004D12B4">
        <w:rPr>
          <w:rFonts w:ascii="Arial" w:hAnsi="Arial" w:cs="Arial"/>
          <w:color w:val="000000"/>
          <w:sz w:val="20"/>
          <w:szCs w:val="20"/>
          <w:lang w:eastAsia="en-AU"/>
        </w:rPr>
        <w:t xml:space="preserve"> [2020] VSCA 15, [124]</w:t>
      </w:r>
      <w:r>
        <w:rPr>
          <w:rFonts w:ascii="Arial" w:hAnsi="Arial" w:cs="Arial"/>
          <w:color w:val="000000"/>
          <w:sz w:val="20"/>
          <w:szCs w:val="20"/>
          <w:lang w:eastAsia="en-AU"/>
        </w:rPr>
        <w:t>.</w:t>
      </w:r>
      <w:r w:rsidRPr="004D12B4">
        <w:rPr>
          <w:rFonts w:ascii="Arial" w:hAnsi="Arial" w:cs="Arial"/>
          <w:color w:val="000000"/>
          <w:sz w:val="20"/>
          <w:szCs w:val="20"/>
          <w:lang w:eastAsia="en-AU"/>
        </w:rPr>
        <w:t xml:space="preserve"> There is no basis for leave to be granted concerning that costs order here, in our opinion</w:t>
      </w:r>
      <w:r>
        <w:rPr>
          <w:rFonts w:ascii="Arial" w:hAnsi="Arial" w:cs="Arial"/>
          <w:color w:val="000000"/>
          <w:sz w:val="20"/>
          <w:szCs w:val="20"/>
          <w:lang w:eastAsia="en-AU"/>
        </w:rPr>
        <w:t>.”</w:t>
      </w:r>
    </w:p>
    <w:p w14:paraId="352E2D26" w14:textId="77777777" w:rsidR="004D12B4" w:rsidRDefault="004D12B4" w:rsidP="00213989">
      <w:pPr>
        <w:jc w:val="both"/>
        <w:textAlignment w:val="baseline"/>
        <w:rPr>
          <w:rFonts w:ascii="Arial" w:hAnsi="Arial" w:cs="Arial"/>
          <w:color w:val="000000"/>
          <w:sz w:val="20"/>
          <w:szCs w:val="20"/>
          <w:lang w:eastAsia="en-AU"/>
        </w:rPr>
      </w:pPr>
    </w:p>
    <w:p w14:paraId="0CD50016" w14:textId="4088B16F" w:rsidR="00E967D3" w:rsidRDefault="00E967D3" w:rsidP="00213989">
      <w:pPr>
        <w:jc w:val="both"/>
        <w:textAlignment w:val="baseline"/>
        <w:rPr>
          <w:rFonts w:ascii="Arial" w:hAnsi="Arial" w:cs="Arial"/>
          <w:color w:val="000000"/>
          <w:sz w:val="20"/>
          <w:szCs w:val="20"/>
          <w:lang w:eastAsia="en-AU"/>
        </w:rPr>
      </w:pPr>
      <w:r>
        <w:rPr>
          <w:rFonts w:ascii="Arial" w:hAnsi="Arial" w:cs="Arial"/>
          <w:color w:val="000000"/>
          <w:sz w:val="20"/>
          <w:szCs w:val="20"/>
          <w:lang w:eastAsia="en-AU"/>
        </w:rPr>
        <w:t xml:space="preserve">Refusing leave to appeal in </w:t>
      </w:r>
      <w:r w:rsidRPr="00E967D3">
        <w:rPr>
          <w:rFonts w:ascii="Arial" w:hAnsi="Arial" w:cs="Arial"/>
          <w:i/>
          <w:iCs/>
          <w:color w:val="000000"/>
          <w:sz w:val="20"/>
          <w:szCs w:val="20"/>
          <w:lang w:eastAsia="en-AU"/>
        </w:rPr>
        <w:t>I Cook Foods Pty Ltd v State of Victoria</w:t>
      </w:r>
      <w:r w:rsidRPr="00E967D3">
        <w:rPr>
          <w:rFonts w:ascii="Arial" w:hAnsi="Arial" w:cs="Arial"/>
          <w:color w:val="000000"/>
          <w:sz w:val="20"/>
          <w:szCs w:val="20"/>
          <w:lang w:eastAsia="en-AU"/>
        </w:rPr>
        <w:t xml:space="preserve"> [2026] VSCA 150</w:t>
      </w:r>
      <w:r>
        <w:rPr>
          <w:rFonts w:ascii="Arial" w:hAnsi="Arial" w:cs="Arial"/>
          <w:color w:val="000000"/>
          <w:sz w:val="20"/>
          <w:szCs w:val="20"/>
          <w:lang w:eastAsia="en-AU"/>
        </w:rPr>
        <w:t xml:space="preserve"> </w:t>
      </w:r>
      <w:r w:rsidRPr="00E967D3">
        <w:rPr>
          <w:rFonts w:ascii="Arial" w:hAnsi="Arial" w:cs="Arial"/>
          <w:color w:val="000000"/>
          <w:sz w:val="20"/>
          <w:szCs w:val="20"/>
          <w:lang w:eastAsia="en-AU"/>
        </w:rPr>
        <w:t>B</w:t>
      </w:r>
      <w:r>
        <w:rPr>
          <w:rFonts w:ascii="Arial" w:hAnsi="Arial" w:cs="Arial"/>
          <w:color w:val="000000"/>
          <w:sz w:val="20"/>
          <w:szCs w:val="20"/>
          <w:lang w:eastAsia="en-AU"/>
        </w:rPr>
        <w:t>each</w:t>
      </w:r>
      <w:r w:rsidRPr="00E967D3">
        <w:rPr>
          <w:rFonts w:ascii="Arial" w:hAnsi="Arial" w:cs="Arial"/>
          <w:color w:val="000000"/>
          <w:sz w:val="20"/>
          <w:szCs w:val="20"/>
          <w:lang w:eastAsia="en-AU"/>
        </w:rPr>
        <w:t>, D</w:t>
      </w:r>
      <w:r>
        <w:rPr>
          <w:rFonts w:ascii="Arial" w:hAnsi="Arial" w:cs="Arial"/>
          <w:color w:val="000000"/>
          <w:sz w:val="20"/>
          <w:szCs w:val="20"/>
          <w:lang w:eastAsia="en-AU"/>
        </w:rPr>
        <w:t>onaghue</w:t>
      </w:r>
      <w:r w:rsidRPr="00E967D3">
        <w:rPr>
          <w:rFonts w:ascii="Arial" w:hAnsi="Arial" w:cs="Arial"/>
          <w:color w:val="000000"/>
          <w:sz w:val="20"/>
          <w:szCs w:val="20"/>
          <w:lang w:eastAsia="en-AU"/>
        </w:rPr>
        <w:t xml:space="preserve"> and K</w:t>
      </w:r>
      <w:r>
        <w:rPr>
          <w:rFonts w:ascii="Arial" w:hAnsi="Arial" w:cs="Arial"/>
          <w:color w:val="000000"/>
          <w:sz w:val="20"/>
          <w:szCs w:val="20"/>
          <w:lang w:eastAsia="en-AU"/>
        </w:rPr>
        <w:t>aye</w:t>
      </w:r>
      <w:r w:rsidRPr="00E967D3">
        <w:rPr>
          <w:rFonts w:ascii="Arial" w:hAnsi="Arial" w:cs="Arial"/>
          <w:color w:val="000000"/>
          <w:sz w:val="20"/>
          <w:szCs w:val="20"/>
          <w:lang w:eastAsia="en-AU"/>
        </w:rPr>
        <w:t xml:space="preserve"> JJA</w:t>
      </w:r>
      <w:r>
        <w:rPr>
          <w:rFonts w:ascii="Arial" w:hAnsi="Arial" w:cs="Arial"/>
          <w:color w:val="000000"/>
          <w:sz w:val="20"/>
          <w:szCs w:val="20"/>
          <w:lang w:eastAsia="en-AU"/>
        </w:rPr>
        <w:t xml:space="preserve"> said at [55]:</w:t>
      </w:r>
    </w:p>
    <w:p w14:paraId="066E21BE" w14:textId="47476C0A" w:rsidR="00E967D3" w:rsidRDefault="00E967D3" w:rsidP="00E967D3">
      <w:pPr>
        <w:spacing w:before="60"/>
        <w:ind w:left="567" w:right="567"/>
        <w:jc w:val="both"/>
        <w:textAlignment w:val="baseline"/>
        <w:rPr>
          <w:rFonts w:ascii="Arial" w:hAnsi="Arial" w:cs="Arial"/>
          <w:color w:val="000000"/>
          <w:sz w:val="20"/>
          <w:szCs w:val="20"/>
          <w:lang w:eastAsia="en-AU"/>
        </w:rPr>
      </w:pPr>
      <w:r>
        <w:rPr>
          <w:rFonts w:ascii="Arial" w:hAnsi="Arial" w:cs="Arial"/>
          <w:color w:val="000000"/>
          <w:sz w:val="20"/>
          <w:szCs w:val="20"/>
          <w:lang w:eastAsia="en-AU"/>
        </w:rPr>
        <w:t>“</w:t>
      </w:r>
      <w:r w:rsidRPr="00E967D3">
        <w:rPr>
          <w:rFonts w:ascii="Arial" w:hAnsi="Arial" w:cs="Arial"/>
          <w:color w:val="000000"/>
          <w:sz w:val="20"/>
          <w:szCs w:val="20"/>
          <w:lang w:eastAsia="en-AU"/>
        </w:rPr>
        <w:t>As Victoria rightly accepted, appeals from costs orders should be regarded as exceptional, and appellate courts should exercise particular restraint in interfering with such orders</w:t>
      </w:r>
      <w:r>
        <w:rPr>
          <w:rFonts w:ascii="Arial" w:hAnsi="Arial" w:cs="Arial"/>
          <w:color w:val="000000"/>
          <w:sz w:val="20"/>
          <w:szCs w:val="20"/>
          <w:lang w:eastAsia="en-AU"/>
        </w:rPr>
        <w:t>: s</w:t>
      </w:r>
      <w:r w:rsidRPr="00E967D3">
        <w:rPr>
          <w:rFonts w:ascii="Arial" w:hAnsi="Arial" w:cs="Arial"/>
          <w:color w:val="000000"/>
          <w:sz w:val="20"/>
          <w:szCs w:val="20"/>
          <w:lang w:eastAsia="en-AU"/>
        </w:rPr>
        <w:t xml:space="preserve">ee, </w:t>
      </w:r>
      <w:proofErr w:type="spellStart"/>
      <w:r w:rsidRPr="00E967D3">
        <w:rPr>
          <w:rFonts w:ascii="Arial" w:hAnsi="Arial" w:cs="Arial"/>
          <w:color w:val="000000"/>
          <w:sz w:val="20"/>
          <w:szCs w:val="20"/>
          <w:lang w:eastAsia="en-AU"/>
        </w:rPr>
        <w:t>eg</w:t>
      </w:r>
      <w:proofErr w:type="spellEnd"/>
      <w:r w:rsidRPr="00E967D3">
        <w:rPr>
          <w:rFonts w:ascii="Arial" w:hAnsi="Arial" w:cs="Arial"/>
          <w:color w:val="000000"/>
          <w:sz w:val="20"/>
          <w:szCs w:val="20"/>
          <w:lang w:eastAsia="en-AU"/>
        </w:rPr>
        <w:t xml:space="preserve">, </w:t>
      </w:r>
      <w:r w:rsidRPr="00E967D3">
        <w:rPr>
          <w:rFonts w:ascii="Arial" w:hAnsi="Arial" w:cs="Arial"/>
          <w:i/>
          <w:iCs/>
          <w:color w:val="000000"/>
          <w:sz w:val="20"/>
          <w:szCs w:val="20"/>
          <w:lang w:eastAsia="en-AU"/>
        </w:rPr>
        <w:t>Leakes Road Property Development Pty Ltd v Jean-Francois Brasse (t/as Rowson Brasse &amp; Co)</w:t>
      </w:r>
      <w:r w:rsidRPr="00E967D3">
        <w:rPr>
          <w:rFonts w:ascii="Arial" w:hAnsi="Arial" w:cs="Arial"/>
          <w:color w:val="000000"/>
          <w:sz w:val="20"/>
          <w:szCs w:val="20"/>
          <w:lang w:eastAsia="en-AU"/>
        </w:rPr>
        <w:t xml:space="preserve"> (2024) 73 VR 441, 479 [184]; </w:t>
      </w:r>
      <w:r w:rsidRPr="00E967D3">
        <w:rPr>
          <w:rFonts w:ascii="Arial" w:hAnsi="Arial" w:cs="Arial"/>
          <w:i/>
          <w:iCs/>
          <w:color w:val="000000"/>
          <w:sz w:val="20"/>
          <w:szCs w:val="20"/>
          <w:lang w:eastAsia="en-AU"/>
        </w:rPr>
        <w:t xml:space="preserve">Viterra Malt Pty Ltd v </w:t>
      </w:r>
      <w:proofErr w:type="spellStart"/>
      <w:r w:rsidRPr="00E967D3">
        <w:rPr>
          <w:rFonts w:ascii="Arial" w:hAnsi="Arial" w:cs="Arial"/>
          <w:i/>
          <w:iCs/>
          <w:color w:val="000000"/>
          <w:sz w:val="20"/>
          <w:szCs w:val="20"/>
          <w:lang w:eastAsia="en-AU"/>
        </w:rPr>
        <w:t>Youil</w:t>
      </w:r>
      <w:proofErr w:type="spellEnd"/>
      <w:r w:rsidRPr="00E967D3">
        <w:rPr>
          <w:rFonts w:ascii="Arial" w:hAnsi="Arial" w:cs="Arial"/>
          <w:color w:val="000000"/>
          <w:sz w:val="20"/>
          <w:szCs w:val="20"/>
          <w:lang w:eastAsia="en-AU"/>
        </w:rPr>
        <w:t xml:space="preserve"> [2023] VSCA 304, [42]</w:t>
      </w:r>
      <w:r>
        <w:rPr>
          <w:rFonts w:ascii="Arial" w:hAnsi="Arial" w:cs="Arial"/>
          <w:color w:val="000000"/>
          <w:sz w:val="20"/>
          <w:szCs w:val="20"/>
          <w:lang w:eastAsia="en-AU"/>
        </w:rPr>
        <w:t xml:space="preserve">. </w:t>
      </w:r>
      <w:r w:rsidRPr="00E967D3">
        <w:rPr>
          <w:rFonts w:ascii="Arial" w:hAnsi="Arial" w:cs="Arial"/>
          <w:color w:val="000000"/>
          <w:sz w:val="20"/>
          <w:szCs w:val="20"/>
          <w:lang w:eastAsia="en-AU"/>
        </w:rPr>
        <w:t>Here, ICF may be regarded as very fortunate in the costs orders that were made in its favour, in circumstances where it failed on the substantial issue in the trial (being whether it was entitled to damages for misfeasance in public office)</w:t>
      </w:r>
      <w:r>
        <w:rPr>
          <w:rFonts w:ascii="Arial" w:hAnsi="Arial" w:cs="Arial"/>
          <w:color w:val="000000"/>
          <w:sz w:val="20"/>
          <w:szCs w:val="20"/>
          <w:lang w:eastAsia="en-AU"/>
        </w:rPr>
        <w:t xml:space="preserve">: Cf </w:t>
      </w:r>
      <w:r w:rsidRPr="00E967D3">
        <w:rPr>
          <w:rFonts w:ascii="Arial" w:hAnsi="Arial" w:cs="Arial"/>
          <w:i/>
          <w:iCs/>
          <w:color w:val="000000"/>
          <w:sz w:val="20"/>
          <w:szCs w:val="20"/>
          <w:lang w:eastAsia="en-AU"/>
        </w:rPr>
        <w:t>Sanders v Snell</w:t>
      </w:r>
      <w:r w:rsidRPr="00E967D3">
        <w:rPr>
          <w:rFonts w:ascii="Arial" w:hAnsi="Arial" w:cs="Arial"/>
          <w:color w:val="000000"/>
          <w:sz w:val="20"/>
          <w:szCs w:val="20"/>
          <w:lang w:eastAsia="en-AU"/>
        </w:rPr>
        <w:t xml:space="preserve"> (2003) 130 FCR 149; </w:t>
      </w:r>
      <w:r w:rsidRPr="00E967D3">
        <w:rPr>
          <w:rFonts w:ascii="Arial" w:hAnsi="Arial" w:cs="Arial"/>
          <w:i/>
          <w:iCs/>
          <w:color w:val="000000"/>
          <w:sz w:val="20"/>
          <w:szCs w:val="20"/>
          <w:lang w:eastAsia="en-AU"/>
        </w:rPr>
        <w:t>Obeid v Lockley</w:t>
      </w:r>
      <w:r w:rsidRPr="00E967D3">
        <w:rPr>
          <w:rFonts w:ascii="Arial" w:hAnsi="Arial" w:cs="Arial"/>
          <w:color w:val="000000"/>
          <w:sz w:val="20"/>
          <w:szCs w:val="20"/>
          <w:lang w:eastAsia="en-AU"/>
        </w:rPr>
        <w:t xml:space="preserve"> (2018) 98 NSWLR 258</w:t>
      </w:r>
      <w:r>
        <w:rPr>
          <w:rFonts w:ascii="Arial" w:hAnsi="Arial" w:cs="Arial"/>
          <w:color w:val="000000"/>
          <w:sz w:val="20"/>
          <w:szCs w:val="20"/>
          <w:lang w:eastAsia="en-AU"/>
        </w:rPr>
        <w:t>.”</w:t>
      </w:r>
    </w:p>
    <w:p w14:paraId="309A327B" w14:textId="77777777" w:rsidR="00E967D3" w:rsidRDefault="00E967D3" w:rsidP="00213989">
      <w:pPr>
        <w:jc w:val="both"/>
        <w:textAlignment w:val="baseline"/>
        <w:rPr>
          <w:rFonts w:ascii="Arial" w:hAnsi="Arial" w:cs="Arial"/>
          <w:color w:val="000000"/>
          <w:sz w:val="20"/>
          <w:szCs w:val="20"/>
          <w:lang w:eastAsia="en-AU"/>
        </w:rPr>
      </w:pPr>
    </w:p>
    <w:p w14:paraId="44963388" w14:textId="5EF01B05" w:rsidR="00DD2456" w:rsidRDefault="00DD2456" w:rsidP="00B61E41">
      <w:pPr>
        <w:jc w:val="both"/>
        <w:rPr>
          <w:rFonts w:ascii="Arial" w:hAnsi="Arial" w:cs="Arial"/>
          <w:sz w:val="20"/>
          <w:szCs w:val="20"/>
        </w:rPr>
      </w:pPr>
      <w:r>
        <w:rPr>
          <w:rFonts w:ascii="Arial" w:hAnsi="Arial" w:cs="Arial"/>
          <w:sz w:val="20"/>
        </w:rPr>
        <w:t xml:space="preserve">In relation to </w:t>
      </w:r>
      <w:r w:rsidRPr="00DD2456">
        <w:rPr>
          <w:rFonts w:ascii="Arial" w:hAnsi="Arial" w:cs="Arial"/>
          <w:b/>
          <w:bCs/>
          <w:sz w:val="20"/>
        </w:rPr>
        <w:t>civil</w:t>
      </w:r>
      <w:r>
        <w:rPr>
          <w:rFonts w:ascii="Arial" w:hAnsi="Arial" w:cs="Arial"/>
          <w:sz w:val="20"/>
        </w:rPr>
        <w:t xml:space="preserve"> proceedings, the power of the Children’s Court to award costs is also governed by Order 63 of the Magistrates’ Court General Civil Procedure Rules 2010 insofar as it is relevant to proceedings in </w:t>
      </w:r>
      <w:r w:rsidR="00C80296">
        <w:rPr>
          <w:rFonts w:ascii="Arial" w:hAnsi="Arial" w:cs="Arial"/>
          <w:sz w:val="20"/>
        </w:rPr>
        <w:t xml:space="preserve">the Children’s Court. </w:t>
      </w:r>
      <w:r w:rsidR="005539BE" w:rsidRPr="005539BE">
        <w:rPr>
          <w:rFonts w:ascii="Arial" w:hAnsi="Arial" w:cs="Arial"/>
          <w:color w:val="000000"/>
          <w:sz w:val="20"/>
          <w:szCs w:val="20"/>
          <w:lang w:eastAsia="en-AU"/>
        </w:rPr>
        <w:t xml:space="preserve">Although the civil jurisdiction of the Magistrates' Court as contained in Part 5 of the </w:t>
      </w:r>
      <w:r w:rsidR="005539BE" w:rsidRPr="00A82F40">
        <w:rPr>
          <w:rFonts w:ascii="Arial" w:hAnsi="Arial" w:cs="Arial"/>
          <w:i/>
          <w:iCs/>
          <w:color w:val="000000"/>
          <w:sz w:val="20"/>
          <w:szCs w:val="20"/>
          <w:lang w:eastAsia="en-AU"/>
        </w:rPr>
        <w:t>Magistrates' Court Act 1989</w:t>
      </w:r>
      <w:r w:rsidR="005539BE" w:rsidRPr="005539BE">
        <w:rPr>
          <w:rFonts w:ascii="Arial" w:hAnsi="Arial" w:cs="Arial"/>
          <w:color w:val="000000"/>
          <w:sz w:val="20"/>
          <w:szCs w:val="20"/>
          <w:lang w:eastAsia="en-AU"/>
        </w:rPr>
        <w:t xml:space="preserve"> is expressly excluded from the Children's Court by s.528(2)(a) of the CYFA, these rules are made under s.16 of the MCA which is not so excluded. Further, </w:t>
      </w:r>
      <w:r w:rsidR="00544892">
        <w:rPr>
          <w:rFonts w:ascii="Arial" w:hAnsi="Arial" w:cs="Arial"/>
          <w:color w:val="000000"/>
          <w:sz w:val="20"/>
          <w:szCs w:val="20"/>
          <w:lang w:eastAsia="en-AU"/>
        </w:rPr>
        <w:t>Order 63 r</w:t>
      </w:r>
      <w:r w:rsidR="005539BE" w:rsidRPr="005539BE">
        <w:rPr>
          <w:rFonts w:ascii="Arial" w:hAnsi="Arial" w:cs="Arial"/>
          <w:color w:val="000000"/>
          <w:sz w:val="20"/>
          <w:szCs w:val="20"/>
          <w:lang w:eastAsia="en-AU"/>
        </w:rPr>
        <w:t>elate</w:t>
      </w:r>
      <w:r w:rsidR="00544892">
        <w:rPr>
          <w:rFonts w:ascii="Arial" w:hAnsi="Arial" w:cs="Arial"/>
          <w:color w:val="000000"/>
          <w:sz w:val="20"/>
          <w:szCs w:val="20"/>
          <w:lang w:eastAsia="en-AU"/>
        </w:rPr>
        <w:t>s</w:t>
      </w:r>
      <w:r w:rsidR="005539BE" w:rsidRPr="005539BE">
        <w:rPr>
          <w:rFonts w:ascii="Arial" w:hAnsi="Arial" w:cs="Arial"/>
          <w:color w:val="000000"/>
          <w:sz w:val="20"/>
          <w:szCs w:val="20"/>
          <w:lang w:eastAsia="en-AU"/>
        </w:rPr>
        <w:t xml:space="preserve"> to a subject matter </w:t>
      </w:r>
      <w:r w:rsidR="008D1E43">
        <w:rPr>
          <w:rFonts w:ascii="Arial" w:hAnsi="Arial" w:cs="Arial"/>
          <w:color w:val="000000"/>
          <w:sz w:val="20"/>
          <w:szCs w:val="20"/>
          <w:lang w:eastAsia="en-AU"/>
        </w:rPr>
        <w:t>–</w:t>
      </w:r>
      <w:r w:rsidR="005539BE" w:rsidRPr="005539BE">
        <w:rPr>
          <w:rFonts w:ascii="Arial" w:hAnsi="Arial" w:cs="Arial"/>
          <w:color w:val="000000"/>
          <w:sz w:val="20"/>
          <w:szCs w:val="20"/>
          <w:lang w:eastAsia="en-AU"/>
        </w:rPr>
        <w:t xml:space="preserve"> viz.</w:t>
      </w:r>
      <w:r w:rsidR="00E40CBE">
        <w:rPr>
          <w:rFonts w:ascii="Arial" w:hAnsi="Arial" w:cs="Arial"/>
          <w:color w:val="000000"/>
          <w:sz w:val="20"/>
          <w:szCs w:val="20"/>
          <w:lang w:eastAsia="en-AU"/>
        </w:rPr>
        <w:t xml:space="preserve"> </w:t>
      </w:r>
      <w:r w:rsidR="005539BE" w:rsidRPr="005539BE">
        <w:rPr>
          <w:rFonts w:ascii="Arial" w:hAnsi="Arial" w:cs="Arial"/>
          <w:color w:val="000000"/>
          <w:sz w:val="20"/>
          <w:szCs w:val="20"/>
          <w:lang w:eastAsia="en-AU"/>
        </w:rPr>
        <w:t xml:space="preserve"> </w:t>
      </w:r>
      <w:r w:rsidR="005539BE">
        <w:rPr>
          <w:rFonts w:ascii="Arial" w:hAnsi="Arial" w:cs="Arial"/>
          <w:color w:val="000000"/>
          <w:sz w:val="20"/>
          <w:szCs w:val="20"/>
          <w:lang w:eastAsia="en-AU"/>
        </w:rPr>
        <w:t>‘</w:t>
      </w:r>
      <w:r w:rsidR="005539BE" w:rsidRPr="005539BE">
        <w:rPr>
          <w:rFonts w:ascii="Arial" w:hAnsi="Arial" w:cs="Arial"/>
          <w:color w:val="000000"/>
          <w:sz w:val="20"/>
          <w:szCs w:val="20"/>
          <w:lang w:eastAsia="en-AU"/>
        </w:rPr>
        <w:t>costs</w:t>
      </w:r>
      <w:r w:rsidR="005539BE">
        <w:rPr>
          <w:rFonts w:ascii="Arial" w:hAnsi="Arial" w:cs="Arial"/>
          <w:color w:val="000000"/>
          <w:sz w:val="20"/>
          <w:szCs w:val="20"/>
          <w:lang w:eastAsia="en-AU"/>
        </w:rPr>
        <w:t>’</w:t>
      </w:r>
      <w:r w:rsidR="005539BE" w:rsidRPr="005539BE">
        <w:rPr>
          <w:rFonts w:ascii="Arial" w:hAnsi="Arial" w:cs="Arial"/>
          <w:color w:val="000000"/>
          <w:sz w:val="20"/>
          <w:szCs w:val="20"/>
          <w:lang w:eastAsia="en-AU"/>
        </w:rPr>
        <w:t xml:space="preserve"> </w:t>
      </w:r>
      <w:r w:rsidR="008D1E43">
        <w:rPr>
          <w:rFonts w:ascii="Arial" w:hAnsi="Arial" w:cs="Arial"/>
          <w:color w:val="000000"/>
          <w:sz w:val="20"/>
          <w:szCs w:val="20"/>
          <w:lang w:eastAsia="en-AU"/>
        </w:rPr>
        <w:t>–</w:t>
      </w:r>
      <w:r w:rsidR="005539BE" w:rsidRPr="005539BE">
        <w:rPr>
          <w:rFonts w:ascii="Arial" w:hAnsi="Arial" w:cs="Arial"/>
          <w:color w:val="000000"/>
          <w:sz w:val="20"/>
          <w:szCs w:val="20"/>
          <w:lang w:eastAsia="en-AU"/>
        </w:rPr>
        <w:t xml:space="preserve"> which</w:t>
      </w:r>
      <w:r w:rsidR="008D1E43">
        <w:rPr>
          <w:rFonts w:ascii="Arial" w:hAnsi="Arial" w:cs="Arial"/>
          <w:color w:val="000000"/>
          <w:sz w:val="20"/>
          <w:szCs w:val="20"/>
          <w:lang w:eastAsia="en-AU"/>
        </w:rPr>
        <w:t xml:space="preserve"> </w:t>
      </w:r>
      <w:r w:rsidR="005539BE" w:rsidRPr="005539BE">
        <w:rPr>
          <w:rFonts w:ascii="Arial" w:hAnsi="Arial" w:cs="Arial"/>
          <w:color w:val="000000"/>
          <w:sz w:val="20"/>
          <w:szCs w:val="20"/>
          <w:lang w:eastAsia="en-AU"/>
        </w:rPr>
        <w:t>is contained in Part 7 of the MCA, not Part 5.</w:t>
      </w:r>
      <w:r w:rsidR="005539BE">
        <w:rPr>
          <w:rFonts w:ascii="Arial" w:hAnsi="Arial" w:cs="Arial"/>
          <w:color w:val="000000"/>
          <w:sz w:val="20"/>
          <w:szCs w:val="20"/>
          <w:lang w:eastAsia="en-AU"/>
        </w:rPr>
        <w:t xml:space="preserve"> </w:t>
      </w:r>
      <w:r w:rsidR="00544892">
        <w:rPr>
          <w:rFonts w:ascii="Arial" w:hAnsi="Arial" w:cs="Arial"/>
          <w:color w:val="000000"/>
          <w:sz w:val="20"/>
          <w:szCs w:val="20"/>
          <w:lang w:eastAsia="en-AU"/>
        </w:rPr>
        <w:t xml:space="preserve"> Not all of Order 63 is applicable to the Children’s Court.  </w:t>
      </w:r>
      <w:r w:rsidR="00C80296">
        <w:rPr>
          <w:rFonts w:ascii="Arial" w:hAnsi="Arial" w:cs="Arial"/>
          <w:sz w:val="20"/>
        </w:rPr>
        <w:t>For instance rule 63.00.1 and Appendix A</w:t>
      </w:r>
      <w:r w:rsidR="00544892">
        <w:rPr>
          <w:rFonts w:ascii="Arial" w:hAnsi="Arial" w:cs="Arial"/>
          <w:sz w:val="20"/>
        </w:rPr>
        <w:t>/</w:t>
      </w:r>
      <w:r w:rsidR="00C80296">
        <w:rPr>
          <w:rFonts w:ascii="Arial" w:hAnsi="Arial" w:cs="Arial"/>
          <w:sz w:val="20"/>
        </w:rPr>
        <w:t>Table 1 are not relevant because they are limited to matters involving a claim for monetary relief. On the other hand rule 63.34</w:t>
      </w:r>
      <w:r w:rsidR="005539BE">
        <w:rPr>
          <w:rFonts w:ascii="Arial" w:hAnsi="Arial" w:cs="Arial"/>
          <w:sz w:val="20"/>
        </w:rPr>
        <w:t xml:space="preserve"> – which effectively picks up the decision of the Court of Appeal in </w:t>
      </w:r>
      <w:r w:rsidR="005539BE" w:rsidRPr="005539BE">
        <w:rPr>
          <w:rFonts w:ascii="Arial" w:hAnsi="Arial" w:cs="Arial"/>
          <w:i/>
          <w:iCs/>
          <w:color w:val="333333"/>
          <w:spacing w:val="-5"/>
          <w:sz w:val="20"/>
          <w:szCs w:val="20"/>
          <w:lang w:eastAsia="en-AU"/>
        </w:rPr>
        <w:t>Mainieri &amp; Anor v Cirillo</w:t>
      </w:r>
      <w:r w:rsidR="005539BE" w:rsidRPr="005539BE">
        <w:rPr>
          <w:rFonts w:ascii="Arial" w:hAnsi="Arial" w:cs="Arial"/>
          <w:color w:val="333333"/>
          <w:spacing w:val="-5"/>
          <w:sz w:val="20"/>
          <w:szCs w:val="20"/>
          <w:bdr w:val="none" w:sz="0" w:space="0" w:color="auto" w:frame="1"/>
          <w:shd w:val="clear" w:color="auto" w:fill="FFFFFF"/>
          <w:lang w:eastAsia="en-AU"/>
        </w:rPr>
        <w:t xml:space="preserve"> [2014] VSCA 227 </w:t>
      </w:r>
      <w:r w:rsidR="005539BE">
        <w:rPr>
          <w:rFonts w:ascii="Arial" w:hAnsi="Arial" w:cs="Arial"/>
          <w:color w:val="333333"/>
          <w:spacing w:val="-5"/>
          <w:sz w:val="20"/>
          <w:szCs w:val="20"/>
          <w:bdr w:val="none" w:sz="0" w:space="0" w:color="auto" w:frame="1"/>
          <w:shd w:val="clear" w:color="auto" w:fill="FFFFFF"/>
          <w:lang w:eastAsia="en-AU"/>
        </w:rPr>
        <w:t>at [</w:t>
      </w:r>
      <w:r w:rsidR="00CF3D8C">
        <w:rPr>
          <w:rFonts w:ascii="Arial" w:hAnsi="Arial" w:cs="Arial"/>
          <w:color w:val="333333"/>
          <w:spacing w:val="-5"/>
          <w:sz w:val="20"/>
          <w:szCs w:val="20"/>
          <w:bdr w:val="none" w:sz="0" w:space="0" w:color="auto" w:frame="1"/>
          <w:shd w:val="clear" w:color="auto" w:fill="FFFFFF"/>
          <w:lang w:eastAsia="en-AU"/>
        </w:rPr>
        <w:t>41</w:t>
      </w:r>
      <w:r w:rsidR="005539BE">
        <w:rPr>
          <w:rFonts w:ascii="Arial" w:hAnsi="Arial" w:cs="Arial"/>
          <w:color w:val="333333"/>
          <w:spacing w:val="-5"/>
          <w:sz w:val="20"/>
          <w:szCs w:val="20"/>
          <w:bdr w:val="none" w:sz="0" w:space="0" w:color="auto" w:frame="1"/>
          <w:shd w:val="clear" w:color="auto" w:fill="FFFFFF"/>
          <w:lang w:eastAsia="en-AU"/>
        </w:rPr>
        <w:t>]-[</w:t>
      </w:r>
      <w:r w:rsidR="00CF3D8C">
        <w:rPr>
          <w:rFonts w:ascii="Arial" w:hAnsi="Arial" w:cs="Arial"/>
          <w:color w:val="333333"/>
          <w:spacing w:val="-5"/>
          <w:sz w:val="20"/>
          <w:szCs w:val="20"/>
          <w:bdr w:val="none" w:sz="0" w:space="0" w:color="auto" w:frame="1"/>
          <w:shd w:val="clear" w:color="auto" w:fill="FFFFFF"/>
          <w:lang w:eastAsia="en-AU"/>
        </w:rPr>
        <w:t>54</w:t>
      </w:r>
      <w:r w:rsidR="005539BE">
        <w:rPr>
          <w:rFonts w:ascii="Arial" w:hAnsi="Arial" w:cs="Arial"/>
          <w:color w:val="333333"/>
          <w:spacing w:val="-5"/>
          <w:sz w:val="20"/>
          <w:szCs w:val="20"/>
          <w:bdr w:val="none" w:sz="0" w:space="0" w:color="auto" w:frame="1"/>
          <w:shd w:val="clear" w:color="auto" w:fill="FFFFFF"/>
          <w:lang w:eastAsia="en-AU"/>
        </w:rPr>
        <w:t xml:space="preserve">] – </w:t>
      </w:r>
      <w:r w:rsidR="005539BE" w:rsidRPr="005539BE">
        <w:rPr>
          <w:rFonts w:ascii="Arial" w:hAnsi="Arial" w:cs="Arial"/>
          <w:sz w:val="20"/>
          <w:szCs w:val="20"/>
        </w:rPr>
        <w:t>is</w:t>
      </w:r>
      <w:r w:rsidR="00C80296" w:rsidRPr="005539BE">
        <w:rPr>
          <w:rFonts w:ascii="Arial" w:hAnsi="Arial" w:cs="Arial"/>
          <w:sz w:val="20"/>
          <w:szCs w:val="20"/>
        </w:rPr>
        <w:t xml:space="preserve"> relevant</w:t>
      </w:r>
      <w:r w:rsidR="005539BE">
        <w:rPr>
          <w:rFonts w:ascii="Arial" w:hAnsi="Arial" w:cs="Arial"/>
          <w:sz w:val="20"/>
          <w:szCs w:val="20"/>
        </w:rPr>
        <w:t>. Rule 63.34.2(1) provides:</w:t>
      </w:r>
    </w:p>
    <w:p w14:paraId="5143C95D" w14:textId="77777777" w:rsidR="005539BE" w:rsidRDefault="005539BE" w:rsidP="00AF6D28">
      <w:pPr>
        <w:spacing w:before="80"/>
        <w:ind w:left="567" w:right="567"/>
        <w:jc w:val="both"/>
        <w:rPr>
          <w:rFonts w:ascii="Arial" w:hAnsi="Arial" w:cs="Arial"/>
          <w:sz w:val="20"/>
        </w:rPr>
      </w:pPr>
      <w:r>
        <w:rPr>
          <w:rFonts w:ascii="Arial" w:hAnsi="Arial" w:cs="Arial"/>
          <w:sz w:val="20"/>
        </w:rPr>
        <w:t>“</w:t>
      </w:r>
      <w:r w:rsidRPr="005539BE">
        <w:rPr>
          <w:rFonts w:ascii="Arial" w:hAnsi="Arial" w:cs="Arial"/>
          <w:color w:val="000000"/>
          <w:sz w:val="20"/>
          <w:szCs w:val="20"/>
          <w:lang w:eastAsia="en-AU"/>
        </w:rPr>
        <w:t>If an Australian lawyer provides legal assistance to an assisted party in a proceeding on a pro bono basis, the Court may make, in favour of the assisted party, any order for the recovery of the costs of the legal assistance that the Court might have made had the legal assistance been provided not on a pro bono basis but on the basis that the assisted party was under an obligation to pay for the legal assistance in the ordinary way.</w:t>
      </w:r>
      <w:r>
        <w:rPr>
          <w:rFonts w:ascii="Arial" w:hAnsi="Arial" w:cs="Arial"/>
          <w:color w:val="000000"/>
          <w:sz w:val="20"/>
          <w:szCs w:val="20"/>
          <w:lang w:eastAsia="en-AU"/>
        </w:rPr>
        <w:t>”</w:t>
      </w:r>
    </w:p>
    <w:p w14:paraId="3090D046" w14:textId="1627C667" w:rsidR="005539BE" w:rsidRDefault="005539BE" w:rsidP="00B61E41">
      <w:pPr>
        <w:jc w:val="both"/>
        <w:rPr>
          <w:rFonts w:ascii="Arial" w:hAnsi="Arial" w:cs="Arial"/>
          <w:sz w:val="20"/>
        </w:rPr>
      </w:pPr>
    </w:p>
    <w:p w14:paraId="1553BB5E" w14:textId="361DAFC9" w:rsidR="00B43D18" w:rsidRDefault="00E40CBE" w:rsidP="00B61E41">
      <w:pPr>
        <w:jc w:val="both"/>
        <w:rPr>
          <w:rFonts w:ascii="Arial" w:hAnsi="Arial" w:cs="Arial"/>
          <w:sz w:val="20"/>
        </w:rPr>
      </w:pPr>
      <w:r>
        <w:rPr>
          <w:rFonts w:ascii="Arial" w:hAnsi="Arial" w:cs="Arial"/>
          <w:sz w:val="20"/>
        </w:rPr>
        <w:t xml:space="preserve">In relation to the awarding of costs </w:t>
      </w:r>
      <w:r w:rsidR="00231C66">
        <w:rPr>
          <w:rFonts w:ascii="Arial" w:hAnsi="Arial" w:cs="Arial"/>
          <w:sz w:val="20"/>
        </w:rPr>
        <w:t xml:space="preserve">in civil proceedings </w:t>
      </w:r>
      <w:r>
        <w:rPr>
          <w:rFonts w:ascii="Arial" w:hAnsi="Arial" w:cs="Arial"/>
          <w:sz w:val="20"/>
        </w:rPr>
        <w:t xml:space="preserve">generally, </w:t>
      </w:r>
      <w:r w:rsidR="00B43D18">
        <w:rPr>
          <w:rFonts w:ascii="Arial" w:hAnsi="Arial" w:cs="Arial"/>
          <w:sz w:val="20"/>
        </w:rPr>
        <w:t xml:space="preserve">in </w:t>
      </w:r>
      <w:r w:rsidR="00B43D18" w:rsidRPr="000C4907">
        <w:rPr>
          <w:rFonts w:ascii="Arial" w:hAnsi="Arial" w:cs="Arial"/>
          <w:i/>
          <w:iCs/>
          <w:sz w:val="20"/>
        </w:rPr>
        <w:t>Millsave Holdings Pty Ltd &amp; Ors</w:t>
      </w:r>
      <w:r w:rsidR="00B43D18">
        <w:rPr>
          <w:rFonts w:ascii="Arial" w:hAnsi="Arial" w:cs="Arial"/>
          <w:sz w:val="20"/>
        </w:rPr>
        <w:t xml:space="preserve"> v </w:t>
      </w:r>
      <w:r w:rsidR="00B43D18" w:rsidRPr="000C4907">
        <w:rPr>
          <w:rFonts w:ascii="Arial" w:hAnsi="Arial" w:cs="Arial"/>
          <w:i/>
          <w:iCs/>
          <w:sz w:val="20"/>
        </w:rPr>
        <w:t>Slea Pty Ltd &amp; Ors</w:t>
      </w:r>
      <w:r w:rsidR="00B43D18">
        <w:rPr>
          <w:rFonts w:ascii="Arial" w:hAnsi="Arial" w:cs="Arial"/>
          <w:sz w:val="20"/>
        </w:rPr>
        <w:t xml:space="preserve"> </w:t>
      </w:r>
      <w:r w:rsidR="00B43D18" w:rsidRPr="000C4907">
        <w:rPr>
          <w:rFonts w:ascii="Arial" w:hAnsi="Arial" w:cs="Arial"/>
          <w:i/>
          <w:iCs/>
          <w:sz w:val="20"/>
        </w:rPr>
        <w:t>[No 2]</w:t>
      </w:r>
      <w:r w:rsidR="00B43D18">
        <w:rPr>
          <w:rFonts w:ascii="Arial" w:hAnsi="Arial" w:cs="Arial"/>
          <w:sz w:val="20"/>
        </w:rPr>
        <w:t xml:space="preserve"> [2024] VSCA </w:t>
      </w:r>
      <w:r w:rsidR="000C4907">
        <w:rPr>
          <w:rFonts w:ascii="Arial" w:hAnsi="Arial" w:cs="Arial"/>
          <w:sz w:val="20"/>
        </w:rPr>
        <w:t>28 the Court of Appeal (McLeish, Macaulay &amp; Lyons JJA) said at [12]:</w:t>
      </w:r>
    </w:p>
    <w:p w14:paraId="6F617403" w14:textId="4716623A" w:rsidR="00B43D18" w:rsidRDefault="000C4907" w:rsidP="00B43D18">
      <w:pPr>
        <w:spacing w:before="60"/>
        <w:ind w:left="567" w:right="567"/>
        <w:jc w:val="both"/>
        <w:rPr>
          <w:rFonts w:ascii="Arial" w:hAnsi="Arial" w:cs="Arial"/>
          <w:sz w:val="20"/>
          <w:szCs w:val="20"/>
        </w:rPr>
      </w:pPr>
      <w:r>
        <w:rPr>
          <w:rFonts w:ascii="Arial" w:hAnsi="Arial" w:cs="Arial"/>
          <w:sz w:val="20"/>
          <w:szCs w:val="20"/>
        </w:rPr>
        <w:t>“</w:t>
      </w:r>
      <w:r w:rsidR="00B43D18" w:rsidRPr="00B43D18">
        <w:rPr>
          <w:rFonts w:ascii="Arial" w:hAnsi="Arial" w:cs="Arial"/>
          <w:sz w:val="20"/>
          <w:szCs w:val="20"/>
        </w:rPr>
        <w:t xml:space="preserve">In exercising our discretion as to costs, we apply the principles summarised by this Court in </w:t>
      </w:r>
      <w:r w:rsidR="00B43D18" w:rsidRPr="000C4907">
        <w:rPr>
          <w:rFonts w:ascii="Arial" w:hAnsi="Arial" w:cs="Arial"/>
          <w:i/>
          <w:iCs/>
          <w:sz w:val="20"/>
          <w:szCs w:val="20"/>
        </w:rPr>
        <w:t>Chen v Chan [No 2]</w:t>
      </w:r>
      <w:r>
        <w:rPr>
          <w:rFonts w:ascii="Arial" w:hAnsi="Arial" w:cs="Arial"/>
          <w:sz w:val="20"/>
          <w:szCs w:val="20"/>
        </w:rPr>
        <w:t xml:space="preserve"> [2009] VSCA 233 at [10]</w:t>
      </w:r>
      <w:r w:rsidR="00B43D18" w:rsidRPr="00B43D18">
        <w:rPr>
          <w:rFonts w:ascii="Arial" w:hAnsi="Arial" w:cs="Arial"/>
          <w:sz w:val="20"/>
          <w:szCs w:val="20"/>
        </w:rPr>
        <w:t xml:space="preserve">, to which </w:t>
      </w:r>
      <w:r>
        <w:rPr>
          <w:rFonts w:ascii="Arial" w:hAnsi="Arial" w:cs="Arial"/>
          <w:sz w:val="20"/>
          <w:szCs w:val="20"/>
        </w:rPr>
        <w:t xml:space="preserve">[the respondent] </w:t>
      </w:r>
      <w:r w:rsidR="00B43D18" w:rsidRPr="00B43D18">
        <w:rPr>
          <w:rFonts w:ascii="Arial" w:hAnsi="Arial" w:cs="Arial"/>
          <w:sz w:val="20"/>
          <w:szCs w:val="20"/>
        </w:rPr>
        <w:t>Slea drew attention in its written submissions:</w:t>
      </w:r>
    </w:p>
    <w:p w14:paraId="508F76F6"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lastRenderedPageBreak/>
        <w:t>(1) The general rule is that costs should follow the event. Absent disqualifying conduct, the successful party should recover its costs even where it has not succeeded on all heads of claim.</w:t>
      </w:r>
    </w:p>
    <w:p w14:paraId="773279C2"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(2) The Rules of Court permit significant flexibility in determining questions of costs. In particular, the Court is entitled to examine the realities of the case and will attempt to do ‘substantial justice’ as between the parties on matters of costs.</w:t>
      </w:r>
    </w:p>
    <w:p w14:paraId="14BE7799"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(3) Where there is a multiplicity of issues and mixed success has been enjoyed by the parties, a Court may take a pragmatic approach in framing the order for costs, taking into consideration the success (or lack of success) of the parties on an issues basis. Generally, if such an order is made, it is reflected in the successful party being awarded a proportion of its costs but not the full amount.</w:t>
      </w:r>
    </w:p>
    <w:p w14:paraId="31592D70"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(4) A Court may, when fixing costs in a claim where there has been mixed success, take into account complications which it considers will arise in the taxation of costs, as part of its consideration of the overall interests of justice.</w:t>
      </w:r>
    </w:p>
    <w:p w14:paraId="1F312146" w14:textId="1D0EA7E0"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(5) Where a Court determines to make an order apportioning costs, then it does so primarily as ‘a matter of impression and evaluation,’ rather than with arithmetical precision, having considered the importance of the matters upon which the parties have been successful or unsuccessful, the time occupied and the ambit of the submissions made, as well as any other relevant matter.</w:t>
      </w:r>
      <w:r w:rsidR="000C4907">
        <w:rPr>
          <w:rFonts w:ascii="Arial" w:hAnsi="Arial" w:cs="Arial"/>
          <w:sz w:val="18"/>
          <w:szCs w:val="18"/>
        </w:rPr>
        <w:t>”</w:t>
      </w:r>
    </w:p>
    <w:p w14:paraId="484F7090" w14:textId="77777777" w:rsidR="00B43D18" w:rsidRDefault="00B43D18" w:rsidP="00B61E41">
      <w:pPr>
        <w:jc w:val="both"/>
        <w:rPr>
          <w:rFonts w:ascii="Arial" w:hAnsi="Arial" w:cs="Arial"/>
          <w:sz w:val="20"/>
        </w:rPr>
      </w:pPr>
    </w:p>
    <w:p w14:paraId="0EF3201C" w14:textId="3AD63F84" w:rsidR="00E40CBE" w:rsidRDefault="00E40CBE" w:rsidP="00B61E41">
      <w:pPr>
        <w:jc w:val="both"/>
        <w:rPr>
          <w:rFonts w:ascii="Arial" w:hAnsi="Arial" w:cs="Arial"/>
          <w:sz w:val="20"/>
        </w:rPr>
      </w:pPr>
      <w:r>
        <w:rPr>
          <w:rFonts w:ascii="Arial" w:hAnsi="Arial" w:cs="Arial"/>
          <w:sz w:val="20"/>
        </w:rPr>
        <w:t xml:space="preserve">in </w:t>
      </w:r>
      <w:r w:rsidRPr="00E40CBE">
        <w:rPr>
          <w:rFonts w:ascii="Arial" w:hAnsi="Arial" w:cs="Arial"/>
          <w:i/>
          <w:iCs/>
          <w:sz w:val="20"/>
          <w:szCs w:val="20"/>
        </w:rPr>
        <w:t>Huang v Frankston City Council (Costs Ruling)</w:t>
      </w:r>
      <w:r>
        <w:rPr>
          <w:rFonts w:ascii="Arial" w:hAnsi="Arial" w:cs="Arial"/>
          <w:sz w:val="20"/>
          <w:szCs w:val="20"/>
        </w:rPr>
        <w:t xml:space="preserve"> [2023] VSC 41 Tsalamandris J said at [1</w:t>
      </w:r>
      <w:r w:rsidR="00535250">
        <w:rPr>
          <w:rFonts w:ascii="Arial" w:hAnsi="Arial" w:cs="Arial"/>
          <w:sz w:val="20"/>
          <w:szCs w:val="20"/>
        </w:rPr>
        <w:t>0</w:t>
      </w:r>
      <w:r>
        <w:rPr>
          <w:rFonts w:ascii="Arial" w:hAnsi="Arial" w:cs="Arial"/>
          <w:sz w:val="20"/>
          <w:szCs w:val="20"/>
        </w:rPr>
        <w:t>]-[1</w:t>
      </w:r>
      <w:r w:rsidR="00535250">
        <w:rPr>
          <w:rFonts w:ascii="Arial" w:hAnsi="Arial" w:cs="Arial"/>
          <w:sz w:val="20"/>
          <w:szCs w:val="20"/>
        </w:rPr>
        <w:t>3</w:t>
      </w:r>
      <w:r>
        <w:rPr>
          <w:rFonts w:ascii="Arial" w:hAnsi="Arial" w:cs="Arial"/>
          <w:sz w:val="20"/>
          <w:szCs w:val="20"/>
        </w:rPr>
        <w:t>]:</w:t>
      </w:r>
    </w:p>
    <w:p w14:paraId="1DB3528E" w14:textId="1919F14F" w:rsidR="00E40CBE" w:rsidRDefault="00E40CBE" w:rsidP="00E40CBE">
      <w:pPr>
        <w:spacing w:before="80"/>
        <w:ind w:left="567" w:right="567"/>
        <w:jc w:val="both"/>
        <w:rPr>
          <w:rFonts w:ascii="Arial" w:hAnsi="Arial" w:cs="Arial"/>
          <w:sz w:val="20"/>
          <w:szCs w:val="20"/>
        </w:rPr>
      </w:pPr>
      <w:r>
        <w:rPr>
          <w:rFonts w:ascii="Arial" w:hAnsi="Arial" w:cs="Arial"/>
          <w:sz w:val="20"/>
          <w:szCs w:val="20"/>
        </w:rPr>
        <w:t>“</w:t>
      </w:r>
      <w:r w:rsidRPr="00E40CBE">
        <w:rPr>
          <w:rFonts w:ascii="Arial" w:hAnsi="Arial" w:cs="Arial"/>
          <w:sz w:val="20"/>
          <w:szCs w:val="20"/>
        </w:rPr>
        <w:t>Section 24 of the Supreme Court Act 1986 and Part 4.5 of the Civil Procedure Act 2010 confer a broad discretion on the court to award costs. This discretion must be exercised judicially and in accordance with Order 63 of the Rules.</w:t>
      </w:r>
    </w:p>
    <w:p w14:paraId="4884A649" w14:textId="7C920FC5" w:rsidR="00535250" w:rsidRDefault="00535250" w:rsidP="00E40CBE">
      <w:pPr>
        <w:spacing w:before="80"/>
        <w:ind w:left="567" w:right="567"/>
        <w:jc w:val="both"/>
        <w:rPr>
          <w:rFonts w:ascii="Arial" w:hAnsi="Arial" w:cs="Arial"/>
          <w:sz w:val="20"/>
          <w:szCs w:val="20"/>
        </w:rPr>
      </w:pPr>
      <w:r w:rsidRPr="00E40CBE">
        <w:rPr>
          <w:rFonts w:ascii="Arial" w:hAnsi="Arial" w:cs="Arial"/>
          <w:sz w:val="20"/>
          <w:szCs w:val="20"/>
        </w:rPr>
        <w:t>It is well established at common law that, as a general rule, costs follow the event</w:t>
      </w:r>
      <w:r>
        <w:rPr>
          <w:rFonts w:ascii="Arial" w:hAnsi="Arial" w:cs="Arial"/>
          <w:sz w:val="20"/>
          <w:szCs w:val="20"/>
        </w:rPr>
        <w:t xml:space="preserve">.  See </w:t>
      </w:r>
      <w:r w:rsidRPr="00E40CBE">
        <w:rPr>
          <w:rFonts w:ascii="Arial" w:hAnsi="Arial" w:cs="Arial"/>
          <w:sz w:val="20"/>
          <w:szCs w:val="20"/>
        </w:rPr>
        <w:t xml:space="preserve">for example </w:t>
      </w:r>
      <w:r w:rsidRPr="00535250">
        <w:rPr>
          <w:rFonts w:ascii="Arial" w:hAnsi="Arial" w:cs="Arial"/>
          <w:i/>
          <w:iCs/>
          <w:sz w:val="20"/>
          <w:szCs w:val="20"/>
        </w:rPr>
        <w:t>Oshlack v Richmond River Council</w:t>
      </w:r>
      <w:r w:rsidRPr="00E40CBE">
        <w:rPr>
          <w:rFonts w:ascii="Arial" w:hAnsi="Arial" w:cs="Arial"/>
          <w:sz w:val="20"/>
          <w:szCs w:val="20"/>
        </w:rPr>
        <w:t xml:space="preserve"> (1998) 193 CLR 72</w:t>
      </w:r>
      <w:r>
        <w:rPr>
          <w:rFonts w:ascii="Arial" w:hAnsi="Arial" w:cs="Arial"/>
          <w:sz w:val="20"/>
          <w:szCs w:val="20"/>
        </w:rPr>
        <w:t xml:space="preserve">.  </w:t>
      </w:r>
      <w:r w:rsidRPr="00E40CBE">
        <w:rPr>
          <w:rFonts w:ascii="Arial" w:hAnsi="Arial" w:cs="Arial"/>
          <w:sz w:val="20"/>
          <w:szCs w:val="20"/>
        </w:rPr>
        <w:t>This means that a successful party is generally entitled to an award of costs absent special circumstances</w:t>
      </w:r>
      <w:r>
        <w:rPr>
          <w:rFonts w:ascii="Arial" w:hAnsi="Arial" w:cs="Arial"/>
          <w:sz w:val="20"/>
          <w:szCs w:val="20"/>
        </w:rPr>
        <w:t xml:space="preserve">: </w:t>
      </w:r>
      <w:r w:rsidRPr="00535250">
        <w:rPr>
          <w:rFonts w:ascii="Arial" w:hAnsi="Arial" w:cs="Arial"/>
          <w:i/>
          <w:iCs/>
          <w:sz w:val="20"/>
          <w:szCs w:val="20"/>
        </w:rPr>
        <w:t>Kheirs Financial Services Pty Ltd v Aussie Home Loans Pty Ltd</w:t>
      </w:r>
      <w:r w:rsidRPr="00E40CBE">
        <w:rPr>
          <w:rFonts w:ascii="Arial" w:hAnsi="Arial" w:cs="Arial"/>
          <w:sz w:val="20"/>
          <w:szCs w:val="20"/>
        </w:rPr>
        <w:t xml:space="preserve"> (2010) 31 VR 46, 50 [15].</w:t>
      </w:r>
    </w:p>
    <w:p w14:paraId="0A73E238" w14:textId="030A2577" w:rsidR="00535250" w:rsidRDefault="00535250" w:rsidP="00E40CBE">
      <w:pPr>
        <w:spacing w:before="80"/>
        <w:ind w:left="567" w:right="567"/>
        <w:jc w:val="both"/>
        <w:rPr>
          <w:rFonts w:ascii="Arial" w:hAnsi="Arial" w:cs="Arial"/>
          <w:sz w:val="20"/>
          <w:szCs w:val="20"/>
        </w:rPr>
      </w:pPr>
      <w:r w:rsidRPr="00E40CBE">
        <w:rPr>
          <w:rFonts w:ascii="Arial" w:hAnsi="Arial" w:cs="Arial"/>
          <w:sz w:val="20"/>
          <w:szCs w:val="20"/>
        </w:rPr>
        <w:t xml:space="preserve">The justification for this general rule was explained by McHugh J in the High Court decision of </w:t>
      </w:r>
      <w:r w:rsidRPr="00535250">
        <w:rPr>
          <w:rFonts w:ascii="Arial" w:hAnsi="Arial" w:cs="Arial"/>
          <w:i/>
          <w:iCs/>
          <w:sz w:val="20"/>
          <w:szCs w:val="20"/>
        </w:rPr>
        <w:t>Oshlack v Richmond River Council</w:t>
      </w:r>
      <w:r>
        <w:rPr>
          <w:rFonts w:ascii="Arial" w:hAnsi="Arial" w:cs="Arial"/>
          <w:sz w:val="20"/>
          <w:szCs w:val="20"/>
        </w:rPr>
        <w:t xml:space="preserve"> at [67]</w:t>
      </w:r>
      <w:r w:rsidRPr="00E40CBE">
        <w:rPr>
          <w:rFonts w:ascii="Arial" w:hAnsi="Arial" w:cs="Arial"/>
          <w:sz w:val="20"/>
          <w:szCs w:val="20"/>
        </w:rPr>
        <w:t>:</w:t>
      </w:r>
    </w:p>
    <w:p w14:paraId="4AE7A45A" w14:textId="3E2DEDF2" w:rsidR="00E40CBE" w:rsidRDefault="00535250" w:rsidP="00535250">
      <w:pPr>
        <w:spacing w:before="60"/>
        <w:ind w:left="1021" w:right="1021"/>
        <w:jc w:val="both"/>
        <w:rPr>
          <w:rFonts w:ascii="Arial" w:hAnsi="Arial" w:cs="Arial"/>
          <w:sz w:val="20"/>
        </w:rPr>
      </w:pPr>
      <w:r w:rsidRPr="00535250">
        <w:rPr>
          <w:rFonts w:ascii="Arial" w:hAnsi="Arial" w:cs="Arial"/>
          <w:sz w:val="18"/>
          <w:szCs w:val="18"/>
        </w:rPr>
        <w:t>The principle is grounded in reasons of fairness and policy and operates whether the successful party is the plaintiff or the defendant. Costs are not awarded to punish an unsuccessful party. The primary purpose of an award of costs is to indemnify the successful party. If the litigation had not been brought, or defended, by the unsuccessful party the successful party would not have incurred the expense which it did. As between the parties, fairness dictates that the unsuccessful party typically bears the liability for the costs of the unsuccessful litigation.</w:t>
      </w:r>
    </w:p>
    <w:p w14:paraId="77479A0C" w14:textId="3543A408" w:rsidR="00535250" w:rsidRDefault="00535250" w:rsidP="00535250">
      <w:pPr>
        <w:spacing w:before="80"/>
        <w:ind w:left="567" w:right="567"/>
        <w:jc w:val="both"/>
        <w:rPr>
          <w:rFonts w:ascii="Arial" w:hAnsi="Arial" w:cs="Arial"/>
          <w:sz w:val="20"/>
          <w:szCs w:val="20"/>
        </w:rPr>
      </w:pPr>
      <w:r w:rsidRPr="00E40CBE">
        <w:rPr>
          <w:rFonts w:ascii="Arial" w:hAnsi="Arial" w:cs="Arial"/>
          <w:sz w:val="20"/>
          <w:szCs w:val="20"/>
        </w:rPr>
        <w:t xml:space="preserve">As to whether special circumstances exist to justify a departure from this general rule, Riordan J in </w:t>
      </w:r>
      <w:r w:rsidRPr="00535250">
        <w:rPr>
          <w:rFonts w:ascii="Arial" w:hAnsi="Arial" w:cs="Arial"/>
          <w:i/>
          <w:iCs/>
          <w:sz w:val="20"/>
          <w:szCs w:val="20"/>
        </w:rPr>
        <w:t>Siemens Gamesa Renewable Energy Pty Ltd v Bulgana Wind Farm Pty Ltd (Orders and Costs)</w:t>
      </w:r>
      <w:r w:rsidRPr="00E40CBE">
        <w:rPr>
          <w:rFonts w:ascii="Arial" w:hAnsi="Arial" w:cs="Arial"/>
          <w:sz w:val="20"/>
          <w:szCs w:val="20"/>
        </w:rPr>
        <w:t xml:space="preserve"> </w:t>
      </w:r>
      <w:r>
        <w:rPr>
          <w:rFonts w:ascii="Arial" w:hAnsi="Arial" w:cs="Arial"/>
          <w:sz w:val="20"/>
          <w:szCs w:val="20"/>
        </w:rPr>
        <w:t xml:space="preserve">[2020] VSC 267 </w:t>
      </w:r>
      <w:r w:rsidRPr="00E40CBE">
        <w:rPr>
          <w:rFonts w:ascii="Arial" w:hAnsi="Arial" w:cs="Arial"/>
          <w:sz w:val="20"/>
          <w:szCs w:val="20"/>
        </w:rPr>
        <w:t xml:space="preserve">said </w:t>
      </w:r>
      <w:r>
        <w:rPr>
          <w:rFonts w:ascii="Arial" w:hAnsi="Arial" w:cs="Arial"/>
          <w:sz w:val="20"/>
          <w:szCs w:val="20"/>
        </w:rPr>
        <w:t xml:space="preserve">at [10] </w:t>
      </w:r>
      <w:r w:rsidRPr="00E40CBE">
        <w:rPr>
          <w:rFonts w:ascii="Arial" w:hAnsi="Arial" w:cs="Arial"/>
          <w:sz w:val="20"/>
          <w:szCs w:val="20"/>
        </w:rPr>
        <w:t>as follows:</w:t>
      </w:r>
    </w:p>
    <w:p w14:paraId="3CDC3F82" w14:textId="030E23BA"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The touchstone for departing from the general rule is what is required to do justice between the parties. Circumstances which may justify a departure from the usual rule include where the successful party:</w:t>
      </w:r>
    </w:p>
    <w:p w14:paraId="63223312"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 contested many issues on which they failed;</w:t>
      </w:r>
    </w:p>
    <w:p w14:paraId="67B16767"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(ii) required the losing party to contest issues abandoned during trial;</w:t>
      </w:r>
    </w:p>
    <w:p w14:paraId="746D01C6"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(iii) took unnecessarily technical points;</w:t>
      </w:r>
    </w:p>
    <w:p w14:paraId="02C3B71D"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(iv) inappropriately prolonged the litigation;</w:t>
      </w:r>
    </w:p>
    <w:p w14:paraId="288EF133"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(v) pressed a substantially exaggerated claim;</w:t>
      </w:r>
    </w:p>
    <w:p w14:paraId="5D8921AF"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(vi) caused the real issues to be obscured or unnecessary evidence to be led; or</w:t>
      </w:r>
    </w:p>
    <w:p w14:paraId="46FAD59C" w14:textId="7F27F3E6" w:rsidR="00535250" w:rsidRDefault="00535250" w:rsidP="00535250">
      <w:pPr>
        <w:spacing w:before="60"/>
        <w:ind w:left="1021" w:right="1021"/>
        <w:jc w:val="both"/>
        <w:rPr>
          <w:rFonts w:ascii="Arial" w:hAnsi="Arial" w:cs="Arial"/>
          <w:sz w:val="20"/>
        </w:rPr>
      </w:pPr>
      <w:r w:rsidRPr="00535250">
        <w:rPr>
          <w:rFonts w:ascii="Arial" w:hAnsi="Arial" w:cs="Arial"/>
          <w:sz w:val="18"/>
          <w:szCs w:val="18"/>
        </w:rPr>
        <w:t>(vii) facilitated the loss of the opportunity to expeditiously dispose of the case.</w:t>
      </w:r>
      <w:r>
        <w:rPr>
          <w:rFonts w:ascii="Arial" w:hAnsi="Arial" w:cs="Arial"/>
          <w:sz w:val="18"/>
          <w:szCs w:val="18"/>
        </w:rPr>
        <w:t>”</w:t>
      </w:r>
    </w:p>
    <w:p w14:paraId="7BB71DF6" w14:textId="77777777" w:rsidR="00E40CBE" w:rsidRDefault="00E40CBE" w:rsidP="00B61E41">
      <w:pPr>
        <w:jc w:val="both"/>
        <w:rPr>
          <w:rFonts w:ascii="Arial" w:hAnsi="Arial" w:cs="Arial"/>
          <w:sz w:val="20"/>
        </w:rPr>
      </w:pPr>
    </w:p>
    <w:p w14:paraId="65E0EE49" w14:textId="1AC04DC1" w:rsidR="002B5121" w:rsidRDefault="002B5121" w:rsidP="00B61E41">
      <w:pPr>
        <w:jc w:val="both"/>
        <w:rPr>
          <w:rFonts w:ascii="Arial" w:hAnsi="Arial" w:cs="Arial"/>
          <w:sz w:val="20"/>
        </w:rPr>
      </w:pPr>
      <w:r>
        <w:rPr>
          <w:rFonts w:ascii="Arial" w:hAnsi="Arial" w:cs="Arial"/>
          <w:sz w:val="20"/>
        </w:rPr>
        <w:t xml:space="preserve">In </w:t>
      </w:r>
      <w:r w:rsidRPr="002B5121">
        <w:rPr>
          <w:rFonts w:ascii="Arial" w:hAnsi="Arial" w:cs="Arial"/>
          <w:i/>
          <w:iCs/>
          <w:sz w:val="20"/>
        </w:rPr>
        <w:t>Myers v VCAT</w:t>
      </w:r>
      <w:r>
        <w:rPr>
          <w:rFonts w:ascii="Arial" w:hAnsi="Arial" w:cs="Arial"/>
          <w:sz w:val="20"/>
        </w:rPr>
        <w:t xml:space="preserve"> [2024] VSCA 206 Walker JA had dismissed </w:t>
      </w:r>
      <w:r w:rsidR="00861A52">
        <w:rPr>
          <w:rFonts w:ascii="Arial" w:hAnsi="Arial" w:cs="Arial"/>
          <w:sz w:val="20"/>
        </w:rPr>
        <w:t xml:space="preserve">as ‘totally without merit’ </w:t>
      </w:r>
      <w:r>
        <w:rPr>
          <w:rFonts w:ascii="Arial" w:hAnsi="Arial" w:cs="Arial"/>
          <w:sz w:val="20"/>
        </w:rPr>
        <w:t xml:space="preserve">an application for leave to appeal against </w:t>
      </w:r>
      <w:r w:rsidR="00861A52">
        <w:rPr>
          <w:rFonts w:ascii="Arial" w:hAnsi="Arial" w:cs="Arial"/>
          <w:sz w:val="20"/>
        </w:rPr>
        <w:t>the refusal by</w:t>
      </w:r>
      <w:r>
        <w:rPr>
          <w:rFonts w:ascii="Arial" w:hAnsi="Arial" w:cs="Arial"/>
          <w:sz w:val="20"/>
        </w:rPr>
        <w:t xml:space="preserve"> Watson J</w:t>
      </w:r>
      <w:r w:rsidR="00861A52">
        <w:rPr>
          <w:rFonts w:ascii="Arial" w:hAnsi="Arial" w:cs="Arial"/>
          <w:sz w:val="20"/>
        </w:rPr>
        <w:t xml:space="preserve"> of the applicant’s application for a McKenzie friend (as to which see </w:t>
      </w:r>
      <w:r w:rsidR="00861A52" w:rsidRPr="00861A52">
        <w:rPr>
          <w:rFonts w:ascii="Arial" w:hAnsi="Arial" w:cs="Arial"/>
          <w:b/>
          <w:bCs/>
          <w:sz w:val="20"/>
          <w:shd w:val="clear" w:color="auto" w:fill="C5E0B3" w:themeFill="accent6" w:themeFillTint="66"/>
        </w:rPr>
        <w:t>section 3.4.5</w:t>
      </w:r>
      <w:r w:rsidR="00861A52">
        <w:rPr>
          <w:rFonts w:ascii="Arial" w:hAnsi="Arial" w:cs="Arial"/>
          <w:sz w:val="20"/>
        </w:rPr>
        <w:t xml:space="preserve"> above)</w:t>
      </w:r>
      <w:r>
        <w:rPr>
          <w:rFonts w:ascii="Arial" w:hAnsi="Arial" w:cs="Arial"/>
          <w:sz w:val="20"/>
        </w:rPr>
        <w:t xml:space="preserve">. In </w:t>
      </w:r>
      <w:r w:rsidRPr="002B5121">
        <w:rPr>
          <w:rFonts w:ascii="Arial" w:hAnsi="Arial" w:cs="Arial"/>
          <w:i/>
          <w:iCs/>
          <w:sz w:val="20"/>
        </w:rPr>
        <w:t>Myers v VCAT [No 2]</w:t>
      </w:r>
      <w:r>
        <w:rPr>
          <w:rFonts w:ascii="Arial" w:hAnsi="Arial" w:cs="Arial"/>
          <w:sz w:val="20"/>
        </w:rPr>
        <w:t xml:space="preserve"> [2024] VSCA 277 Walker JA ordered that the </w:t>
      </w:r>
      <w:r w:rsidR="00CE575B">
        <w:rPr>
          <w:rFonts w:ascii="Arial" w:hAnsi="Arial" w:cs="Arial"/>
          <w:sz w:val="20"/>
        </w:rPr>
        <w:t xml:space="preserve">unrepresented </w:t>
      </w:r>
      <w:r>
        <w:rPr>
          <w:rFonts w:ascii="Arial" w:hAnsi="Arial" w:cs="Arial"/>
          <w:sz w:val="20"/>
        </w:rPr>
        <w:t>applicant pay the costs of the second and third respondents, saying at [6]-[10]:</w:t>
      </w:r>
    </w:p>
    <w:p w14:paraId="4BFA5775" w14:textId="77777777" w:rsidR="002B5121" w:rsidRDefault="002B5121" w:rsidP="002B5121">
      <w:pPr>
        <w:spacing w:before="60"/>
        <w:ind w:left="567" w:right="567"/>
        <w:jc w:val="both"/>
        <w:rPr>
          <w:rFonts w:ascii="Arial" w:hAnsi="Arial" w:cs="Arial"/>
          <w:sz w:val="20"/>
        </w:rPr>
      </w:pPr>
      <w:r>
        <w:rPr>
          <w:rFonts w:ascii="Arial" w:hAnsi="Arial" w:cs="Arial"/>
          <w:sz w:val="20"/>
          <w:szCs w:val="20"/>
        </w:rPr>
        <w:t>[6] “</w:t>
      </w:r>
      <w:r w:rsidRPr="002B5121">
        <w:rPr>
          <w:rFonts w:ascii="Arial" w:hAnsi="Arial" w:cs="Arial"/>
          <w:sz w:val="20"/>
        </w:rPr>
        <w:t xml:space="preserve">This Court has a broad discretion to award costs pursuant to section 24(1) of the </w:t>
      </w:r>
      <w:r w:rsidRPr="00861A52">
        <w:rPr>
          <w:rFonts w:ascii="Arial" w:hAnsi="Arial" w:cs="Arial"/>
          <w:i/>
          <w:iCs/>
          <w:sz w:val="20"/>
        </w:rPr>
        <w:t>Supreme Court Act 1986</w:t>
      </w:r>
      <w:r w:rsidRPr="002B5121">
        <w:rPr>
          <w:rFonts w:ascii="Arial" w:hAnsi="Arial" w:cs="Arial"/>
          <w:sz w:val="20"/>
        </w:rPr>
        <w:t>. The ‘usual order as to costs’ is that costs will follow the event</w:t>
      </w:r>
      <w:r>
        <w:rPr>
          <w:rFonts w:ascii="Arial" w:hAnsi="Arial" w:cs="Arial"/>
          <w:sz w:val="20"/>
        </w:rPr>
        <w:t xml:space="preserve">: see e.g. </w:t>
      </w:r>
      <w:r w:rsidRPr="002B5121">
        <w:rPr>
          <w:rFonts w:ascii="Arial" w:hAnsi="Arial" w:cs="Arial"/>
          <w:i/>
          <w:iCs/>
          <w:sz w:val="20"/>
        </w:rPr>
        <w:t>Northern Territory v Sangare</w:t>
      </w:r>
      <w:r>
        <w:rPr>
          <w:rFonts w:ascii="Arial" w:hAnsi="Arial" w:cs="Arial"/>
          <w:sz w:val="20"/>
        </w:rPr>
        <w:t xml:space="preserve"> (2019) 265 CLR 164, 173 [25] (citations omitted):</w:t>
      </w:r>
    </w:p>
    <w:p w14:paraId="5B64A009" w14:textId="0A63C537" w:rsidR="002B5121" w:rsidRPr="00D21820" w:rsidRDefault="00D21820" w:rsidP="00D21820">
      <w:pPr>
        <w:spacing w:before="60"/>
        <w:ind w:left="1021" w:right="1021"/>
        <w:jc w:val="both"/>
        <w:rPr>
          <w:rFonts w:ascii="Arial" w:hAnsi="Arial" w:cs="Arial"/>
          <w:sz w:val="18"/>
          <w:szCs w:val="22"/>
        </w:rPr>
      </w:pPr>
      <w:r w:rsidRPr="00D21820">
        <w:rPr>
          <w:rFonts w:ascii="Arial" w:hAnsi="Arial" w:cs="Arial"/>
          <w:sz w:val="18"/>
          <w:szCs w:val="22"/>
        </w:rPr>
        <w:t>A guiding principle by reference to which the [costs] discretion is to be exercised — indeed, ‘one of the most, if not the most, important’ principle — is that the successful party is generally entitled to his or her costs by way of indemnity against the expense of litigation that should not, in justice, have been visited upon that party.</w:t>
      </w:r>
    </w:p>
    <w:p w14:paraId="24BAF677" w14:textId="7F2311FB" w:rsidR="00D21820" w:rsidRDefault="00D21820" w:rsidP="00D21820">
      <w:pPr>
        <w:spacing w:before="60"/>
        <w:ind w:left="567" w:right="567"/>
        <w:jc w:val="both"/>
        <w:rPr>
          <w:rFonts w:ascii="Arial" w:hAnsi="Arial" w:cs="Arial"/>
          <w:sz w:val="20"/>
        </w:rPr>
      </w:pPr>
      <w:r w:rsidRPr="002B5121">
        <w:rPr>
          <w:rFonts w:ascii="Arial" w:hAnsi="Arial" w:cs="Arial"/>
          <w:sz w:val="20"/>
        </w:rPr>
        <w:lastRenderedPageBreak/>
        <w:t xml:space="preserve">The usual rule may, of course, be departed from in the exercise of the Court’s discretion. As the High Court held in </w:t>
      </w:r>
      <w:r w:rsidRPr="00D21820">
        <w:rPr>
          <w:rFonts w:ascii="Arial" w:hAnsi="Arial" w:cs="Arial"/>
          <w:i/>
          <w:iCs/>
          <w:sz w:val="20"/>
        </w:rPr>
        <w:t>Oshlack v Richmond River Council</w:t>
      </w:r>
      <w:r>
        <w:rPr>
          <w:rFonts w:ascii="Arial" w:hAnsi="Arial" w:cs="Arial"/>
          <w:i/>
          <w:iCs/>
          <w:sz w:val="20"/>
        </w:rPr>
        <w:t xml:space="preserve"> </w:t>
      </w:r>
      <w:r w:rsidRPr="002B5121">
        <w:rPr>
          <w:rFonts w:ascii="Arial" w:hAnsi="Arial" w:cs="Arial"/>
          <w:sz w:val="20"/>
        </w:rPr>
        <w:t>(1998) 193 CLR 72, 88 [40], 121 [134]; [1998] HCA 11</w:t>
      </w:r>
      <w:r>
        <w:rPr>
          <w:rFonts w:ascii="Arial" w:hAnsi="Arial" w:cs="Arial"/>
          <w:sz w:val="20"/>
        </w:rPr>
        <w:t xml:space="preserve">, </w:t>
      </w:r>
      <w:r w:rsidRPr="002B5121">
        <w:rPr>
          <w:rFonts w:ascii="Arial" w:hAnsi="Arial" w:cs="Arial"/>
          <w:sz w:val="20"/>
        </w:rPr>
        <w:t>there is no absolute rule with respect to the exercise of the discretion</w:t>
      </w:r>
      <w:r>
        <w:rPr>
          <w:rFonts w:ascii="Arial" w:hAnsi="Arial" w:cs="Arial"/>
          <w:sz w:val="20"/>
        </w:rPr>
        <w:t>.</w:t>
      </w:r>
    </w:p>
    <w:p w14:paraId="689E861F" w14:textId="71FF4D54" w:rsidR="00D21820" w:rsidRDefault="00D21820" w:rsidP="00D21820">
      <w:pPr>
        <w:spacing w:before="60"/>
        <w:ind w:left="567" w:right="567"/>
        <w:jc w:val="both"/>
        <w:rPr>
          <w:rFonts w:ascii="Arial" w:hAnsi="Arial" w:cs="Arial"/>
          <w:sz w:val="20"/>
        </w:rPr>
      </w:pPr>
      <w:r>
        <w:rPr>
          <w:rFonts w:ascii="Arial" w:hAnsi="Arial" w:cs="Arial"/>
          <w:sz w:val="20"/>
        </w:rPr>
        <w:t xml:space="preserve">[7] </w:t>
      </w:r>
      <w:r w:rsidRPr="002B5121">
        <w:rPr>
          <w:rFonts w:ascii="Arial" w:hAnsi="Arial" w:cs="Arial"/>
          <w:sz w:val="20"/>
        </w:rPr>
        <w:t>In the present case, none of the matters raised by the applicant justify departing from the usual rule</w:t>
      </w:r>
      <w:r>
        <w:rPr>
          <w:rFonts w:ascii="Arial" w:hAnsi="Arial" w:cs="Arial"/>
          <w:sz w:val="20"/>
        </w:rPr>
        <w:t>.</w:t>
      </w:r>
    </w:p>
    <w:p w14:paraId="2F8E7CF8" w14:textId="770E9011" w:rsidR="00D21820" w:rsidRDefault="00D21820" w:rsidP="00D21820">
      <w:pPr>
        <w:spacing w:before="60"/>
        <w:ind w:left="567" w:right="567"/>
        <w:jc w:val="both"/>
        <w:rPr>
          <w:rFonts w:ascii="Arial" w:hAnsi="Arial" w:cs="Arial"/>
          <w:sz w:val="20"/>
        </w:rPr>
      </w:pPr>
      <w:r>
        <w:rPr>
          <w:rFonts w:ascii="Arial" w:hAnsi="Arial" w:cs="Arial"/>
          <w:sz w:val="20"/>
        </w:rPr>
        <w:t xml:space="preserve">[8] </w:t>
      </w:r>
      <w:r w:rsidRPr="002B5121">
        <w:rPr>
          <w:rFonts w:ascii="Arial" w:hAnsi="Arial" w:cs="Arial"/>
          <w:sz w:val="20"/>
        </w:rPr>
        <w:t>In relation to the contention that the proceeding concerned the ‘public interest’, I accept that this may provide a basis for departing from the usual rule (although it does not require such departure)</w:t>
      </w:r>
      <w:r>
        <w:rPr>
          <w:rFonts w:ascii="Arial" w:hAnsi="Arial" w:cs="Arial"/>
          <w:sz w:val="20"/>
        </w:rPr>
        <w:t xml:space="preserve">: see </w:t>
      </w:r>
      <w:r w:rsidRPr="00D21820">
        <w:rPr>
          <w:rFonts w:ascii="Arial" w:hAnsi="Arial" w:cs="Arial"/>
          <w:i/>
          <w:iCs/>
          <w:sz w:val="20"/>
        </w:rPr>
        <w:t>Oshlack</w:t>
      </w:r>
      <w:r w:rsidRPr="002B5121">
        <w:rPr>
          <w:rFonts w:ascii="Arial" w:hAnsi="Arial" w:cs="Arial"/>
          <w:sz w:val="20"/>
        </w:rPr>
        <w:t xml:space="preserve"> </w:t>
      </w:r>
      <w:r>
        <w:rPr>
          <w:rFonts w:ascii="Arial" w:hAnsi="Arial" w:cs="Arial"/>
          <w:sz w:val="20"/>
        </w:rPr>
        <w:t xml:space="preserve">at </w:t>
      </w:r>
      <w:r w:rsidRPr="002B5121">
        <w:rPr>
          <w:rFonts w:ascii="Arial" w:hAnsi="Arial" w:cs="Arial"/>
          <w:sz w:val="20"/>
        </w:rPr>
        <w:t>[40]</w:t>
      </w:r>
      <w:r>
        <w:rPr>
          <w:rFonts w:ascii="Arial" w:hAnsi="Arial" w:cs="Arial"/>
          <w:sz w:val="20"/>
        </w:rPr>
        <w:t xml:space="preserve"> &amp;</w:t>
      </w:r>
      <w:r w:rsidRPr="002B5121">
        <w:rPr>
          <w:rFonts w:ascii="Arial" w:hAnsi="Arial" w:cs="Arial"/>
          <w:sz w:val="20"/>
        </w:rPr>
        <w:t xml:space="preserve"> [134]</w:t>
      </w:r>
      <w:r w:rsidR="005F446A">
        <w:rPr>
          <w:rFonts w:ascii="Arial" w:hAnsi="Arial" w:cs="Arial"/>
          <w:sz w:val="20"/>
        </w:rPr>
        <w:t xml:space="preserve">; </w:t>
      </w:r>
      <w:r w:rsidR="005F446A" w:rsidRPr="005F446A">
        <w:rPr>
          <w:rFonts w:ascii="Arial" w:hAnsi="Arial" w:cs="Arial"/>
          <w:i/>
          <w:iCs/>
          <w:sz w:val="20"/>
        </w:rPr>
        <w:t>Cumming v Minister for Planning [No 2]</w:t>
      </w:r>
      <w:r w:rsidR="005F446A" w:rsidRPr="002B5121">
        <w:rPr>
          <w:rFonts w:ascii="Arial" w:hAnsi="Arial" w:cs="Arial"/>
          <w:sz w:val="20"/>
        </w:rPr>
        <w:t xml:space="preserve"> [2020] VSCA 231, [9]</w:t>
      </w:r>
      <w:r w:rsidRPr="002B5121">
        <w:rPr>
          <w:rFonts w:ascii="Arial" w:hAnsi="Arial" w:cs="Arial"/>
          <w:sz w:val="20"/>
        </w:rPr>
        <w:t>. However, in the present case I do not accept the applicant’s submission that his application for leave to appeal was one that concerned the public interest. Fundamentally the application concerned the applicant’s personal desire to have a lay person</w:t>
      </w:r>
      <w:r>
        <w:rPr>
          <w:rFonts w:ascii="Arial" w:hAnsi="Arial" w:cs="Arial"/>
          <w:sz w:val="20"/>
        </w:rPr>
        <w:t xml:space="preserve"> (</w:t>
      </w:r>
      <w:r w:rsidRPr="002B5121">
        <w:rPr>
          <w:rFonts w:ascii="Arial" w:hAnsi="Arial" w:cs="Arial"/>
          <w:sz w:val="20"/>
        </w:rPr>
        <w:t>often referred to as a ‘McKenzie friend’)</w:t>
      </w:r>
      <w:r>
        <w:rPr>
          <w:rFonts w:ascii="Arial" w:hAnsi="Arial" w:cs="Arial"/>
          <w:sz w:val="20"/>
        </w:rPr>
        <w:t xml:space="preserve"> </w:t>
      </w:r>
      <w:r w:rsidRPr="002B5121">
        <w:rPr>
          <w:rFonts w:ascii="Arial" w:hAnsi="Arial" w:cs="Arial"/>
          <w:sz w:val="20"/>
        </w:rPr>
        <w:t>who has no legal qualifications make oral submissions on his behalf</w:t>
      </w:r>
      <w:r>
        <w:rPr>
          <w:rFonts w:ascii="Arial" w:hAnsi="Arial" w:cs="Arial"/>
          <w:sz w:val="20"/>
        </w:rPr>
        <w:t xml:space="preserve"> at trial. </w:t>
      </w:r>
      <w:r w:rsidRPr="002B5121">
        <w:rPr>
          <w:rFonts w:ascii="Arial" w:hAnsi="Arial" w:cs="Arial"/>
          <w:sz w:val="20"/>
        </w:rPr>
        <w:t xml:space="preserve">In my view that did not raise an issue of public interest that would justify a decision not to award the successful parties their costs. For completeness, nor do I consider that the underlying subject matter of the proceeding before Watson J concerns the public interest. Rather, while the litigation involves the operation of the </w:t>
      </w:r>
      <w:r w:rsidRPr="003D7949">
        <w:rPr>
          <w:rFonts w:ascii="Arial" w:hAnsi="Arial" w:cs="Arial"/>
          <w:i/>
          <w:iCs/>
          <w:sz w:val="20"/>
        </w:rPr>
        <w:t>Freedom of Information Act 1982</w:t>
      </w:r>
      <w:r w:rsidRPr="002B5121">
        <w:rPr>
          <w:rFonts w:ascii="Arial" w:hAnsi="Arial" w:cs="Arial"/>
          <w:sz w:val="20"/>
        </w:rPr>
        <w:t>, the applicant seeks to advance a private interest in access to documents</w:t>
      </w:r>
      <w:r>
        <w:rPr>
          <w:rFonts w:ascii="Arial" w:hAnsi="Arial" w:cs="Arial"/>
          <w:sz w:val="20"/>
        </w:rPr>
        <w:t xml:space="preserve">: see </w:t>
      </w:r>
      <w:r w:rsidRPr="00D21820">
        <w:rPr>
          <w:rFonts w:ascii="Arial" w:hAnsi="Arial" w:cs="Arial"/>
          <w:i/>
          <w:iCs/>
          <w:sz w:val="20"/>
        </w:rPr>
        <w:t>Chopra v Department of Education and Training [No 2]</w:t>
      </w:r>
      <w:r w:rsidRPr="002B5121">
        <w:rPr>
          <w:rFonts w:ascii="Arial" w:hAnsi="Arial" w:cs="Arial"/>
          <w:sz w:val="20"/>
        </w:rPr>
        <w:t xml:space="preserve"> [2021] VSCA 112, [27]; </w:t>
      </w:r>
      <w:r w:rsidRPr="00D21820">
        <w:rPr>
          <w:rFonts w:ascii="Arial" w:hAnsi="Arial" w:cs="Arial"/>
          <w:i/>
          <w:iCs/>
          <w:sz w:val="20"/>
        </w:rPr>
        <w:t>Anderson v Stonnington City Council [No 2]</w:t>
      </w:r>
      <w:r w:rsidRPr="002B5121">
        <w:rPr>
          <w:rFonts w:ascii="Arial" w:hAnsi="Arial" w:cs="Arial"/>
          <w:sz w:val="20"/>
        </w:rPr>
        <w:t xml:space="preserve"> [2020] VSCA 238, [6]</w:t>
      </w:r>
      <w:r w:rsidR="009E30A9">
        <w:rPr>
          <w:rFonts w:ascii="Arial" w:hAnsi="Arial" w:cs="Arial"/>
          <w:sz w:val="20"/>
        </w:rPr>
        <w:t>-</w:t>
      </w:r>
      <w:r w:rsidRPr="002B5121">
        <w:rPr>
          <w:rFonts w:ascii="Arial" w:hAnsi="Arial" w:cs="Arial"/>
          <w:sz w:val="20"/>
        </w:rPr>
        <w:t>[7].</w:t>
      </w:r>
    </w:p>
    <w:p w14:paraId="7C583B86" w14:textId="0503200B" w:rsidR="009E30A9" w:rsidRDefault="00D21820" w:rsidP="00D21820">
      <w:pPr>
        <w:spacing w:before="60"/>
        <w:ind w:left="567" w:right="567"/>
        <w:jc w:val="both"/>
        <w:rPr>
          <w:rFonts w:ascii="Arial" w:hAnsi="Arial" w:cs="Arial"/>
          <w:sz w:val="20"/>
        </w:rPr>
      </w:pPr>
      <w:r>
        <w:rPr>
          <w:rFonts w:ascii="Arial" w:hAnsi="Arial" w:cs="Arial"/>
          <w:sz w:val="20"/>
        </w:rPr>
        <w:t xml:space="preserve">[9] </w:t>
      </w:r>
      <w:r w:rsidRPr="002B5121">
        <w:rPr>
          <w:rFonts w:ascii="Arial" w:hAnsi="Arial" w:cs="Arial"/>
          <w:sz w:val="20"/>
        </w:rPr>
        <w:t xml:space="preserve">In relation to the applicant’s reliance on his financial position and his dependence on a disability support pension, I do not consider those matters sufficient to justify a departure from the usual rule in the present case. </w:t>
      </w:r>
      <w:r w:rsidRPr="00861A52">
        <w:rPr>
          <w:rFonts w:ascii="Arial" w:hAnsi="Arial" w:cs="Arial"/>
          <w:b/>
          <w:bCs/>
          <w:sz w:val="20"/>
        </w:rPr>
        <w:t>Absent exceptional circumstances, the financial position of a party is not a matter relevant to the exercise of the costs discretion</w:t>
      </w:r>
      <w:r w:rsidR="005F446A">
        <w:rPr>
          <w:rFonts w:ascii="Arial" w:hAnsi="Arial" w:cs="Arial"/>
          <w:sz w:val="20"/>
        </w:rPr>
        <w:t>:</w:t>
      </w:r>
      <w:r w:rsidR="009E30A9">
        <w:rPr>
          <w:rFonts w:ascii="Arial" w:hAnsi="Arial" w:cs="Arial"/>
          <w:sz w:val="20"/>
        </w:rPr>
        <w:t xml:space="preserve"> </w:t>
      </w:r>
      <w:r w:rsidR="009E30A9" w:rsidRPr="009E30A9">
        <w:rPr>
          <w:rFonts w:ascii="Arial" w:hAnsi="Arial" w:cs="Arial"/>
          <w:i/>
          <w:iCs/>
          <w:sz w:val="20"/>
        </w:rPr>
        <w:t>Board of Examiners v XY</w:t>
      </w:r>
      <w:r w:rsidR="009E30A9" w:rsidRPr="009E30A9">
        <w:rPr>
          <w:rFonts w:ascii="Arial" w:hAnsi="Arial" w:cs="Arial"/>
          <w:sz w:val="20"/>
        </w:rPr>
        <w:t xml:space="preserve"> [2006] VSCA 190, [33]</w:t>
      </w:r>
      <w:r w:rsidR="009E30A9">
        <w:rPr>
          <w:rFonts w:ascii="Arial" w:hAnsi="Arial" w:cs="Arial"/>
          <w:sz w:val="20"/>
        </w:rPr>
        <w:t>-</w:t>
      </w:r>
      <w:r w:rsidR="009E30A9" w:rsidRPr="009E30A9">
        <w:rPr>
          <w:rFonts w:ascii="Arial" w:hAnsi="Arial" w:cs="Arial"/>
          <w:sz w:val="20"/>
        </w:rPr>
        <w:t xml:space="preserve">[34], referred to with approval in </w:t>
      </w:r>
      <w:r w:rsidR="009E30A9" w:rsidRPr="009E30A9">
        <w:rPr>
          <w:rFonts w:ascii="Arial" w:hAnsi="Arial" w:cs="Arial"/>
          <w:i/>
          <w:iCs/>
          <w:sz w:val="20"/>
        </w:rPr>
        <w:t>Sangare</w:t>
      </w:r>
      <w:r w:rsidR="009E30A9" w:rsidRPr="009E30A9">
        <w:rPr>
          <w:rFonts w:ascii="Arial" w:hAnsi="Arial" w:cs="Arial"/>
          <w:sz w:val="20"/>
        </w:rPr>
        <w:t xml:space="preserve"> </w:t>
      </w:r>
      <w:r w:rsidR="009E30A9">
        <w:rPr>
          <w:rFonts w:ascii="Arial" w:hAnsi="Arial" w:cs="Arial"/>
          <w:sz w:val="20"/>
        </w:rPr>
        <w:t>at</w:t>
      </w:r>
      <w:r w:rsidR="009E30A9" w:rsidRPr="009E30A9">
        <w:rPr>
          <w:rFonts w:ascii="Arial" w:hAnsi="Arial" w:cs="Arial"/>
          <w:sz w:val="20"/>
        </w:rPr>
        <w:t xml:space="preserve"> [27]</w:t>
      </w:r>
      <w:r w:rsidR="009E30A9">
        <w:rPr>
          <w:rFonts w:ascii="Arial" w:hAnsi="Arial" w:cs="Arial"/>
          <w:sz w:val="20"/>
        </w:rPr>
        <w:t>.</w:t>
      </w:r>
      <w:r w:rsidR="009E30A9" w:rsidRPr="009E30A9">
        <w:rPr>
          <w:rFonts w:ascii="Arial" w:hAnsi="Arial" w:cs="Arial"/>
          <w:sz w:val="20"/>
        </w:rPr>
        <w:t xml:space="preserve"> In the latter case the High Court observed as follows</w:t>
      </w:r>
      <w:r w:rsidR="009E30A9">
        <w:rPr>
          <w:rFonts w:ascii="Arial" w:hAnsi="Arial" w:cs="Arial"/>
          <w:sz w:val="20"/>
        </w:rPr>
        <w:t xml:space="preserve"> at [27]</w:t>
      </w:r>
      <w:r w:rsidR="009E30A9" w:rsidRPr="009E30A9">
        <w:rPr>
          <w:rFonts w:ascii="Arial" w:hAnsi="Arial" w:cs="Arial"/>
          <w:sz w:val="20"/>
        </w:rPr>
        <w:t>:</w:t>
      </w:r>
    </w:p>
    <w:p w14:paraId="73F204F8" w14:textId="77777777" w:rsidR="009E30A9" w:rsidRPr="009E30A9" w:rsidRDefault="009E30A9" w:rsidP="009E30A9">
      <w:pPr>
        <w:spacing w:before="60"/>
        <w:ind w:left="1021" w:right="1021"/>
        <w:jc w:val="both"/>
        <w:rPr>
          <w:rFonts w:ascii="Arial" w:hAnsi="Arial" w:cs="Arial"/>
          <w:sz w:val="16"/>
          <w:szCs w:val="20"/>
        </w:rPr>
      </w:pPr>
      <w:r w:rsidRPr="009E30A9">
        <w:rPr>
          <w:rFonts w:ascii="Arial" w:hAnsi="Arial" w:cs="Arial"/>
          <w:sz w:val="18"/>
          <w:szCs w:val="22"/>
        </w:rPr>
        <w:t>The successful party, whether rich or poor, did not ask to be subjected to the expense of unmeritorious litigation. The statutory power to order costs affords the successful party necessary protection against unmeritorious litigation; and unmeritorious litigation is no less unmeritorious because it is pursued by a person who is poor or who is a litigant-in-person.</w:t>
      </w:r>
    </w:p>
    <w:p w14:paraId="2C200BEA" w14:textId="6475E640" w:rsidR="00D21820" w:rsidRDefault="00D21820" w:rsidP="00D21820">
      <w:pPr>
        <w:spacing w:before="60"/>
        <w:ind w:left="567" w:right="567"/>
        <w:jc w:val="both"/>
        <w:rPr>
          <w:rFonts w:ascii="Arial" w:hAnsi="Arial" w:cs="Arial"/>
          <w:sz w:val="20"/>
        </w:rPr>
      </w:pPr>
      <w:r w:rsidRPr="00861D03">
        <w:rPr>
          <w:rFonts w:ascii="Arial" w:hAnsi="Arial" w:cs="Arial"/>
          <w:sz w:val="20"/>
        </w:rPr>
        <w:t>The applicant did not demonstrate any exceptional circumstances.</w:t>
      </w:r>
    </w:p>
    <w:p w14:paraId="22AA8C1B" w14:textId="589A3816" w:rsidR="00D21820" w:rsidRDefault="00D21820" w:rsidP="00D21820">
      <w:pPr>
        <w:spacing w:before="60"/>
        <w:ind w:left="567" w:right="567"/>
        <w:jc w:val="both"/>
        <w:rPr>
          <w:rFonts w:ascii="Arial" w:hAnsi="Arial" w:cs="Arial"/>
          <w:sz w:val="20"/>
        </w:rPr>
      </w:pPr>
      <w:r>
        <w:rPr>
          <w:rFonts w:ascii="Arial" w:hAnsi="Arial" w:cs="Arial"/>
          <w:sz w:val="20"/>
        </w:rPr>
        <w:t xml:space="preserve">[10] </w:t>
      </w:r>
      <w:r w:rsidRPr="00A66B9D">
        <w:rPr>
          <w:rFonts w:ascii="Arial" w:hAnsi="Arial" w:cs="Arial"/>
          <w:b/>
          <w:bCs/>
          <w:sz w:val="20"/>
        </w:rPr>
        <w:t>In relation to the applicant’s status as a self-represented litigant and the fact that the second and third respondents are government agencies, these matters have no relevance to the exercise of the costs discretion</w:t>
      </w:r>
      <w:r w:rsidR="00A66B9D">
        <w:rPr>
          <w:rFonts w:ascii="Arial" w:hAnsi="Arial" w:cs="Arial"/>
          <w:sz w:val="20"/>
        </w:rPr>
        <w:t xml:space="preserve"> – Sangare at [27] –</w:t>
      </w:r>
      <w:r w:rsidRPr="00861D03">
        <w:rPr>
          <w:rFonts w:ascii="Arial" w:hAnsi="Arial" w:cs="Arial"/>
          <w:sz w:val="20"/>
        </w:rPr>
        <w:t xml:space="preserve"> (putting to one side the potential for matters of public interest to arise in cases involving government agencies, which I have dealt with </w:t>
      </w:r>
      <w:r w:rsidR="00A66B9D">
        <w:rPr>
          <w:rFonts w:ascii="Arial" w:hAnsi="Arial" w:cs="Arial"/>
          <w:sz w:val="20"/>
        </w:rPr>
        <w:t xml:space="preserve">at [5] </w:t>
      </w:r>
      <w:r w:rsidRPr="00861D03">
        <w:rPr>
          <w:rFonts w:ascii="Arial" w:hAnsi="Arial" w:cs="Arial"/>
          <w:sz w:val="20"/>
        </w:rPr>
        <w:t>above).</w:t>
      </w:r>
      <w:r w:rsidR="00A66B9D">
        <w:rPr>
          <w:rFonts w:ascii="Arial" w:hAnsi="Arial" w:cs="Arial"/>
          <w:sz w:val="20"/>
        </w:rPr>
        <w:t>”</w:t>
      </w:r>
      <w:r w:rsidR="00861A52">
        <w:rPr>
          <w:rFonts w:ascii="Arial" w:hAnsi="Arial" w:cs="Arial"/>
          <w:sz w:val="20"/>
        </w:rPr>
        <w:t xml:space="preserve"> [emphasis added]</w:t>
      </w:r>
    </w:p>
    <w:p w14:paraId="59066759" w14:textId="77777777" w:rsidR="00861D03" w:rsidRDefault="00861D03" w:rsidP="00B61E41">
      <w:pPr>
        <w:jc w:val="both"/>
        <w:rPr>
          <w:rFonts w:ascii="Arial" w:hAnsi="Arial" w:cs="Arial"/>
          <w:sz w:val="20"/>
        </w:rPr>
      </w:pPr>
    </w:p>
    <w:p w14:paraId="4E4AD64E" w14:textId="66416C76" w:rsidR="00176FC3" w:rsidRDefault="00176FC3" w:rsidP="00B61E41">
      <w:pPr>
        <w:jc w:val="both"/>
        <w:rPr>
          <w:rFonts w:ascii="Arial" w:hAnsi="Arial" w:cs="Arial"/>
          <w:sz w:val="20"/>
        </w:rPr>
      </w:pPr>
      <w:r>
        <w:rPr>
          <w:rFonts w:ascii="Arial" w:hAnsi="Arial" w:cs="Arial"/>
          <w:sz w:val="20"/>
        </w:rPr>
        <w:t xml:space="preserve">In relation to the awarding of costs on an </w:t>
      </w:r>
      <w:r w:rsidRPr="00C87054">
        <w:rPr>
          <w:rFonts w:ascii="Arial" w:hAnsi="Arial" w:cs="Arial"/>
          <w:b/>
          <w:bCs/>
          <w:sz w:val="20"/>
        </w:rPr>
        <w:t>indemnity</w:t>
      </w:r>
      <w:r>
        <w:rPr>
          <w:rFonts w:ascii="Arial" w:hAnsi="Arial" w:cs="Arial"/>
          <w:sz w:val="20"/>
        </w:rPr>
        <w:t xml:space="preserve"> basis, in </w:t>
      </w:r>
      <w:r w:rsidRPr="00176FC3">
        <w:rPr>
          <w:rFonts w:ascii="Arial" w:hAnsi="Arial" w:cs="Arial"/>
          <w:i/>
          <w:iCs/>
          <w:sz w:val="20"/>
          <w:szCs w:val="20"/>
        </w:rPr>
        <w:t>Shout Rock Cafes Pty Ltd v City of Port Phillip &amp; Anor (Costs Ruling)</w:t>
      </w:r>
      <w:r>
        <w:rPr>
          <w:rFonts w:ascii="Arial" w:hAnsi="Arial" w:cs="Arial"/>
          <w:sz w:val="20"/>
          <w:szCs w:val="20"/>
        </w:rPr>
        <w:t xml:space="preserve"> [2023] VSC 23 Tsalamandris J said at [18]-[19]:</w:t>
      </w:r>
    </w:p>
    <w:p w14:paraId="566AACDE" w14:textId="70BB3CE2" w:rsidR="00176FC3" w:rsidRDefault="00AB0679" w:rsidP="00176FC3">
      <w:pPr>
        <w:spacing w:before="80"/>
        <w:ind w:left="567" w:right="567"/>
        <w:jc w:val="both"/>
        <w:rPr>
          <w:rFonts w:ascii="Arial" w:hAnsi="Arial" w:cs="Arial"/>
          <w:sz w:val="20"/>
          <w:szCs w:val="20"/>
        </w:rPr>
      </w:pPr>
      <w:r>
        <w:rPr>
          <w:rFonts w:ascii="Arial" w:hAnsi="Arial" w:cs="Arial"/>
          <w:sz w:val="20"/>
        </w:rPr>
        <w:t>“</w:t>
      </w:r>
      <w:r w:rsidR="00176FC3">
        <w:rPr>
          <w:rFonts w:ascii="Arial" w:hAnsi="Arial" w:cs="Arial"/>
          <w:sz w:val="20"/>
        </w:rPr>
        <w:t xml:space="preserve">It is </w:t>
      </w:r>
      <w:r w:rsidR="00176FC3" w:rsidRPr="00176FC3">
        <w:rPr>
          <w:rFonts w:ascii="Arial" w:hAnsi="Arial" w:cs="Arial"/>
          <w:sz w:val="20"/>
          <w:szCs w:val="20"/>
        </w:rPr>
        <w:t>well established that for a court to depart from the usual order and award costs on an indemnity basis, special circumstances must be demonstrated</w:t>
      </w:r>
      <w:r w:rsidR="00176FC3">
        <w:rPr>
          <w:rFonts w:ascii="Arial" w:hAnsi="Arial" w:cs="Arial"/>
          <w:sz w:val="20"/>
          <w:szCs w:val="20"/>
        </w:rPr>
        <w:t>: s</w:t>
      </w:r>
      <w:r w:rsidR="00176FC3" w:rsidRPr="00176FC3">
        <w:rPr>
          <w:rFonts w:ascii="Arial" w:hAnsi="Arial" w:cs="Arial"/>
          <w:sz w:val="20"/>
          <w:szCs w:val="20"/>
        </w:rPr>
        <w:t xml:space="preserve">ee, for example, </w:t>
      </w:r>
      <w:r w:rsidR="00176FC3" w:rsidRPr="00176FC3">
        <w:rPr>
          <w:rFonts w:ascii="Arial" w:hAnsi="Arial" w:cs="Arial"/>
          <w:i/>
          <w:iCs/>
          <w:sz w:val="20"/>
          <w:szCs w:val="20"/>
        </w:rPr>
        <w:t>Ugly Tribe Co Pty Ltd v Sikola &amp; Ors</w:t>
      </w:r>
      <w:r w:rsidR="00176FC3" w:rsidRPr="00176FC3">
        <w:rPr>
          <w:rFonts w:ascii="Arial" w:hAnsi="Arial" w:cs="Arial"/>
          <w:sz w:val="20"/>
          <w:szCs w:val="20"/>
        </w:rPr>
        <w:t xml:space="preserve"> [2001] VSC 189, [7].</w:t>
      </w:r>
    </w:p>
    <w:p w14:paraId="5CF946E4" w14:textId="77777777" w:rsidR="00176FC3" w:rsidRDefault="00176FC3" w:rsidP="00176FC3">
      <w:pPr>
        <w:spacing w:before="80"/>
        <w:ind w:left="567" w:right="567"/>
        <w:jc w:val="both"/>
        <w:rPr>
          <w:rFonts w:ascii="Arial" w:hAnsi="Arial" w:cs="Arial"/>
          <w:sz w:val="20"/>
          <w:szCs w:val="20"/>
        </w:rPr>
      </w:pPr>
      <w:r w:rsidRPr="00176FC3">
        <w:rPr>
          <w:rFonts w:ascii="Arial" w:hAnsi="Arial" w:cs="Arial"/>
          <w:sz w:val="20"/>
          <w:szCs w:val="20"/>
        </w:rPr>
        <w:t xml:space="preserve">In </w:t>
      </w:r>
      <w:r w:rsidRPr="00176FC3">
        <w:rPr>
          <w:rFonts w:ascii="Arial" w:hAnsi="Arial" w:cs="Arial"/>
          <w:i/>
          <w:iCs/>
          <w:sz w:val="20"/>
          <w:szCs w:val="20"/>
        </w:rPr>
        <w:t>Banksia Securities Ltd v Insurance House Pty Ltd (Costs)</w:t>
      </w:r>
      <w:r>
        <w:rPr>
          <w:rFonts w:ascii="Arial" w:hAnsi="Arial" w:cs="Arial"/>
          <w:sz w:val="20"/>
          <w:szCs w:val="20"/>
        </w:rPr>
        <w:t xml:space="preserve"> [2020] VSC 234 at [15],</w:t>
      </w:r>
      <w:r w:rsidRPr="00176FC3">
        <w:rPr>
          <w:rFonts w:ascii="Arial" w:hAnsi="Arial" w:cs="Arial"/>
          <w:sz w:val="20"/>
          <w:szCs w:val="20"/>
        </w:rPr>
        <w:t xml:space="preserve"> John Dixon J restated the principles applicable to an award of indemnity costs as follows:</w:t>
      </w:r>
    </w:p>
    <w:p w14:paraId="4C74BE08" w14:textId="77777777" w:rsidR="00176FC3" w:rsidRPr="00176FC3" w:rsidRDefault="00176FC3" w:rsidP="00176FC3">
      <w:pPr>
        <w:spacing w:before="80"/>
        <w:ind w:left="1021" w:right="1021"/>
        <w:jc w:val="both"/>
        <w:rPr>
          <w:rFonts w:ascii="Arial" w:hAnsi="Arial" w:cs="Arial"/>
          <w:sz w:val="18"/>
          <w:szCs w:val="18"/>
        </w:rPr>
      </w:pPr>
      <w:r w:rsidRPr="00176FC3">
        <w:rPr>
          <w:rFonts w:ascii="Arial" w:hAnsi="Arial" w:cs="Arial"/>
          <w:sz w:val="18"/>
          <w:szCs w:val="18"/>
        </w:rPr>
        <w:t>(a) Costs are to be assessed on a standard basis unless the circumstances of the case justify a departure from the usual course.</w:t>
      </w:r>
    </w:p>
    <w:p w14:paraId="4517AE75" w14:textId="77777777" w:rsidR="00176FC3" w:rsidRPr="00176FC3" w:rsidRDefault="00176FC3" w:rsidP="00176FC3">
      <w:pPr>
        <w:spacing w:before="80"/>
        <w:ind w:left="1021" w:right="1021"/>
        <w:jc w:val="both"/>
        <w:rPr>
          <w:rFonts w:ascii="Arial" w:hAnsi="Arial" w:cs="Arial"/>
          <w:sz w:val="18"/>
          <w:szCs w:val="18"/>
        </w:rPr>
      </w:pPr>
      <w:r w:rsidRPr="00176FC3">
        <w:rPr>
          <w:rFonts w:ascii="Arial" w:hAnsi="Arial" w:cs="Arial"/>
          <w:sz w:val="18"/>
          <w:szCs w:val="18"/>
        </w:rPr>
        <w:t>(b) The making of an indemnity costs order is in the unlimited discretion of the court, with such discretion to be exercised judicially and not unreasonably.</w:t>
      </w:r>
    </w:p>
    <w:p w14:paraId="3D1319B9" w14:textId="00085ED6" w:rsidR="00176FC3" w:rsidRPr="00176FC3" w:rsidRDefault="00176FC3" w:rsidP="00176FC3">
      <w:pPr>
        <w:spacing w:before="80"/>
        <w:ind w:left="1021" w:right="1021"/>
        <w:jc w:val="both"/>
        <w:rPr>
          <w:rFonts w:ascii="Arial" w:hAnsi="Arial" w:cs="Arial"/>
          <w:sz w:val="18"/>
          <w:szCs w:val="22"/>
        </w:rPr>
      </w:pPr>
      <w:r w:rsidRPr="00176FC3">
        <w:rPr>
          <w:rFonts w:ascii="Arial" w:hAnsi="Arial" w:cs="Arial"/>
          <w:sz w:val="18"/>
          <w:szCs w:val="18"/>
        </w:rPr>
        <w:t>(c) The court may order indemnity costs where the circumstances warrant departing from the usual rule that costs be payable on a standard basis</w:t>
      </w:r>
      <w:r w:rsidR="00AB0679">
        <w:rPr>
          <w:rFonts w:ascii="Arial" w:hAnsi="Arial" w:cs="Arial"/>
          <w:sz w:val="18"/>
          <w:szCs w:val="18"/>
        </w:rPr>
        <w:t>.”</w:t>
      </w:r>
    </w:p>
    <w:p w14:paraId="61A65149" w14:textId="77777777" w:rsidR="00C87054" w:rsidRDefault="00C87054" w:rsidP="00C87054">
      <w:pPr>
        <w:jc w:val="both"/>
        <w:rPr>
          <w:rFonts w:ascii="Arial" w:hAnsi="Arial" w:cs="Arial"/>
          <w:sz w:val="20"/>
        </w:rPr>
      </w:pPr>
    </w:p>
    <w:p w14:paraId="11E4F710" w14:textId="08C668F8" w:rsidR="00C87054" w:rsidRDefault="00C87054" w:rsidP="00C87054">
      <w:pPr>
        <w:jc w:val="both"/>
        <w:rPr>
          <w:rFonts w:ascii="Arial" w:hAnsi="Arial" w:cs="Arial"/>
          <w:sz w:val="20"/>
        </w:rPr>
      </w:pPr>
      <w:r>
        <w:rPr>
          <w:rFonts w:ascii="Arial" w:hAnsi="Arial" w:cs="Arial"/>
          <w:sz w:val="20"/>
        </w:rPr>
        <w:t xml:space="preserve">In awarding indemnity costs against the plaintiffs in </w:t>
      </w:r>
      <w:r w:rsidRPr="00C87054">
        <w:rPr>
          <w:rFonts w:ascii="Arial" w:hAnsi="Arial" w:cs="Arial"/>
          <w:i/>
          <w:iCs/>
          <w:sz w:val="20"/>
        </w:rPr>
        <w:t>Nikolic &amp; Anor v Nationwide News Pty Limited &amp; Twitter International Company (X Corp Inc)</w:t>
      </w:r>
      <w:r w:rsidRPr="00C87054">
        <w:rPr>
          <w:rFonts w:ascii="Arial" w:hAnsi="Arial" w:cs="Arial"/>
          <w:sz w:val="20"/>
        </w:rPr>
        <w:t xml:space="preserve"> [2025] VSCA 112</w:t>
      </w:r>
      <w:r>
        <w:rPr>
          <w:rFonts w:ascii="Arial" w:hAnsi="Arial" w:cs="Arial"/>
          <w:sz w:val="20"/>
        </w:rPr>
        <w:t>, Beach JA said at [47]:</w:t>
      </w:r>
    </w:p>
    <w:p w14:paraId="5E141064" w14:textId="201C7496" w:rsidR="00C87054" w:rsidRDefault="00C87054" w:rsidP="00C87054">
      <w:pPr>
        <w:spacing w:before="80"/>
        <w:ind w:left="567" w:right="567"/>
        <w:jc w:val="both"/>
        <w:rPr>
          <w:rFonts w:ascii="Arial" w:hAnsi="Arial" w:cs="Arial"/>
          <w:sz w:val="20"/>
          <w:szCs w:val="20"/>
        </w:rPr>
      </w:pPr>
      <w:r>
        <w:rPr>
          <w:rFonts w:ascii="Arial" w:hAnsi="Arial" w:cs="Arial"/>
          <w:sz w:val="20"/>
          <w:szCs w:val="20"/>
        </w:rPr>
        <w:t>“I</w:t>
      </w:r>
      <w:r w:rsidRPr="00C87054">
        <w:rPr>
          <w:rFonts w:ascii="Arial" w:hAnsi="Arial" w:cs="Arial"/>
          <w:sz w:val="20"/>
          <w:szCs w:val="20"/>
        </w:rPr>
        <w:t>n short, I have concluded that Nationwide and Twitter should have their costs on the indemnity basis because the plaintiffs’ applications for leave to appeal were manifestly hopeless. Moreover, the plaintiffs were on notice that the arguments they advanced were doomed to fail and, despite that, they continued to persist with them, and to make serious and baseless allegations of misconduct against the defendants and their lawyers — which allegations could not, in any event, affect the correctness of the decisions they sought to impugn.</w:t>
      </w:r>
      <w:r>
        <w:rPr>
          <w:rFonts w:ascii="Arial" w:hAnsi="Arial" w:cs="Arial"/>
          <w:sz w:val="20"/>
          <w:szCs w:val="20"/>
        </w:rPr>
        <w:t>”</w:t>
      </w:r>
    </w:p>
    <w:p w14:paraId="3EE9A6EC" w14:textId="18D8D23A" w:rsidR="00A6486E" w:rsidRPr="00A6486E" w:rsidRDefault="00A6486E" w:rsidP="00A6486E">
      <w:pPr>
        <w:spacing w:before="60"/>
        <w:jc w:val="both"/>
        <w:rPr>
          <w:rFonts w:ascii="Arial" w:hAnsi="Arial" w:cs="Arial"/>
          <w:sz w:val="20"/>
        </w:rPr>
      </w:pPr>
      <w:r>
        <w:rPr>
          <w:rFonts w:ascii="Arial" w:hAnsi="Arial" w:cs="Arial"/>
          <w:sz w:val="20"/>
        </w:rPr>
        <w:lastRenderedPageBreak/>
        <w:t xml:space="preserve">In an interesting side issue, </w:t>
      </w:r>
      <w:r w:rsidRPr="00A6486E">
        <w:rPr>
          <w:rFonts w:ascii="Arial" w:hAnsi="Arial" w:cs="Arial"/>
          <w:sz w:val="20"/>
        </w:rPr>
        <w:t xml:space="preserve">his Honour discussed </w:t>
      </w:r>
      <w:r>
        <w:rPr>
          <w:rFonts w:ascii="Arial" w:hAnsi="Arial" w:cs="Arial"/>
          <w:sz w:val="20"/>
        </w:rPr>
        <w:t>a</w:t>
      </w:r>
      <w:r w:rsidRPr="00A6486E">
        <w:rPr>
          <w:rFonts w:ascii="Arial" w:hAnsi="Arial" w:cs="Arial"/>
          <w:sz w:val="20"/>
        </w:rPr>
        <w:t xml:space="preserve">t [36]-[39] </w:t>
      </w:r>
      <w:r>
        <w:rPr>
          <w:rFonts w:ascii="Arial" w:hAnsi="Arial" w:cs="Arial"/>
          <w:sz w:val="20"/>
        </w:rPr>
        <w:t xml:space="preserve">three fictitious “judgments” referred to and relied on by </w:t>
      </w:r>
      <w:r w:rsidRPr="00A6486E">
        <w:rPr>
          <w:rFonts w:ascii="Arial" w:hAnsi="Arial" w:cs="Arial"/>
          <w:sz w:val="20"/>
        </w:rPr>
        <w:t>the plaintiffs</w:t>
      </w:r>
      <w:r>
        <w:rPr>
          <w:rFonts w:ascii="Arial" w:hAnsi="Arial" w:cs="Arial"/>
          <w:sz w:val="20"/>
        </w:rPr>
        <w:t xml:space="preserve"> </w:t>
      </w:r>
      <w:r w:rsidRPr="00A6486E">
        <w:rPr>
          <w:rFonts w:ascii="Arial" w:hAnsi="Arial" w:cs="Arial"/>
          <w:sz w:val="20"/>
        </w:rPr>
        <w:t>on the question of costs</w:t>
      </w:r>
      <w:r>
        <w:rPr>
          <w:rFonts w:ascii="Arial" w:hAnsi="Arial" w:cs="Arial"/>
          <w:sz w:val="20"/>
        </w:rPr>
        <w:t>,</w:t>
      </w:r>
      <w:r w:rsidRPr="00A6486E">
        <w:rPr>
          <w:rFonts w:ascii="Arial" w:hAnsi="Arial" w:cs="Arial"/>
          <w:sz w:val="20"/>
        </w:rPr>
        <w:t xml:space="preserve"> conclud</w:t>
      </w:r>
      <w:r>
        <w:rPr>
          <w:rFonts w:ascii="Arial" w:hAnsi="Arial" w:cs="Arial"/>
          <w:sz w:val="20"/>
        </w:rPr>
        <w:t>ing</w:t>
      </w:r>
      <w:r w:rsidRPr="00A6486E">
        <w:rPr>
          <w:rFonts w:ascii="Arial" w:hAnsi="Arial" w:cs="Arial"/>
          <w:sz w:val="20"/>
        </w:rPr>
        <w:t xml:space="preserve"> at [39]:</w:t>
      </w:r>
    </w:p>
    <w:p w14:paraId="24B58713" w14:textId="77777777" w:rsidR="00A6486E" w:rsidRPr="00A6486E" w:rsidRDefault="00A6486E" w:rsidP="007F2382">
      <w:pPr>
        <w:spacing w:before="60"/>
        <w:ind w:left="567" w:right="567"/>
        <w:jc w:val="both"/>
        <w:rPr>
          <w:rFonts w:ascii="Arial" w:hAnsi="Arial" w:cs="Arial"/>
          <w:sz w:val="20"/>
        </w:rPr>
      </w:pPr>
      <w:r w:rsidRPr="00A6486E">
        <w:rPr>
          <w:rFonts w:ascii="Arial" w:hAnsi="Arial" w:cs="Arial"/>
          <w:sz w:val="20"/>
        </w:rPr>
        <w:t xml:space="preserve">“In the end, the only conclusion I can reach is that, like </w:t>
      </w:r>
      <w:r w:rsidRPr="00A6486E">
        <w:rPr>
          <w:rFonts w:ascii="Arial" w:hAnsi="Arial" w:cs="Arial"/>
          <w:i/>
          <w:iCs/>
          <w:sz w:val="20"/>
        </w:rPr>
        <w:t>DZY v State of Victoria</w:t>
      </w:r>
      <w:r w:rsidRPr="00A6486E">
        <w:rPr>
          <w:rFonts w:ascii="Arial" w:hAnsi="Arial" w:cs="Arial"/>
          <w:sz w:val="20"/>
        </w:rPr>
        <w:t>, these two decisions do not exist in the real world. They are most probably ‘hallucinations’ of the kind referred to in paragraph 7(a) of the New South Wales Supreme Court Practice Note SC Gen 23, which deals with the use of generative artificial intelligence (Gen AI) in that Court.”</w:t>
      </w:r>
    </w:p>
    <w:p w14:paraId="14B9E203" w14:textId="77777777" w:rsidR="00A6486E" w:rsidRDefault="00A6486E" w:rsidP="00A6486E">
      <w:pPr>
        <w:jc w:val="both"/>
        <w:rPr>
          <w:rFonts w:ascii="Arial" w:hAnsi="Arial" w:cs="Arial"/>
          <w:sz w:val="20"/>
        </w:rPr>
      </w:pPr>
    </w:p>
    <w:p w14:paraId="60989110" w14:textId="37141959" w:rsidR="002F4819" w:rsidRDefault="00F36D8A" w:rsidP="00756C52">
      <w:pPr>
        <w:jc w:val="both"/>
        <w:rPr>
          <w:rFonts w:ascii="Arial" w:hAnsi="Arial" w:cs="Arial"/>
          <w:sz w:val="20"/>
        </w:rPr>
      </w:pPr>
      <w:r>
        <w:rPr>
          <w:rFonts w:ascii="Arial" w:hAnsi="Arial" w:cs="Arial"/>
          <w:sz w:val="20"/>
        </w:rPr>
        <w:t>In relation to costs generally (including indemnity costs) s</w:t>
      </w:r>
      <w:r w:rsidR="00176FC3">
        <w:rPr>
          <w:rFonts w:ascii="Arial" w:hAnsi="Arial" w:cs="Arial"/>
          <w:sz w:val="20"/>
        </w:rPr>
        <w:t xml:space="preserve">ee also </w:t>
      </w:r>
      <w:r w:rsidR="00176FC3" w:rsidRPr="00A242C3">
        <w:rPr>
          <w:rFonts w:ascii="Arial" w:hAnsi="Arial" w:cs="Arial"/>
          <w:i/>
          <w:iCs/>
          <w:sz w:val="20"/>
          <w:szCs w:val="20"/>
        </w:rPr>
        <w:t>Love v Kempton &amp; Anor</w:t>
      </w:r>
      <w:r w:rsidR="00176FC3">
        <w:rPr>
          <w:rFonts w:ascii="Arial" w:hAnsi="Arial" w:cs="Arial"/>
          <w:sz w:val="20"/>
          <w:szCs w:val="20"/>
        </w:rPr>
        <w:t xml:space="preserve"> [20</w:t>
      </w:r>
      <w:r w:rsidR="00AB0679">
        <w:rPr>
          <w:rFonts w:ascii="Arial" w:hAnsi="Arial" w:cs="Arial"/>
          <w:sz w:val="20"/>
          <w:szCs w:val="20"/>
        </w:rPr>
        <w:t>10</w:t>
      </w:r>
      <w:r w:rsidR="00176FC3">
        <w:rPr>
          <w:rFonts w:ascii="Arial" w:hAnsi="Arial" w:cs="Arial"/>
          <w:sz w:val="20"/>
          <w:szCs w:val="20"/>
        </w:rPr>
        <w:t xml:space="preserve">] </w:t>
      </w:r>
      <w:r w:rsidR="00A242C3">
        <w:rPr>
          <w:rFonts w:ascii="Arial" w:hAnsi="Arial" w:cs="Arial"/>
          <w:sz w:val="20"/>
          <w:szCs w:val="20"/>
        </w:rPr>
        <w:t xml:space="preserve">VSC 254 at [19]; </w:t>
      </w:r>
      <w:r w:rsidR="00836E86" w:rsidRPr="00836E86">
        <w:rPr>
          <w:rFonts w:ascii="Arial" w:hAnsi="Arial" w:cs="Arial"/>
          <w:i/>
          <w:iCs/>
          <w:sz w:val="20"/>
        </w:rPr>
        <w:t>Mole v Mole (No 2)</w:t>
      </w:r>
      <w:r w:rsidR="00836E86">
        <w:rPr>
          <w:rFonts w:ascii="Arial" w:hAnsi="Arial" w:cs="Arial"/>
          <w:sz w:val="20"/>
        </w:rPr>
        <w:t xml:space="preserve"> [2021] VSC 802</w:t>
      </w:r>
      <w:r w:rsidR="00C31266">
        <w:rPr>
          <w:rFonts w:ascii="Arial" w:hAnsi="Arial" w:cs="Arial"/>
          <w:sz w:val="20"/>
        </w:rPr>
        <w:t xml:space="preserve">; </w:t>
      </w:r>
      <w:r w:rsidR="00425537" w:rsidRPr="00425537">
        <w:rPr>
          <w:rFonts w:ascii="Arial" w:hAnsi="Arial" w:cs="Arial"/>
          <w:i/>
          <w:iCs/>
          <w:sz w:val="20"/>
          <w:szCs w:val="20"/>
        </w:rPr>
        <w:t>M C Wholesaling Pty Ltd &amp; Anor v Che &amp; Ors (No 5)</w:t>
      </w:r>
      <w:r w:rsidR="00425537">
        <w:rPr>
          <w:rFonts w:ascii="Arial" w:hAnsi="Arial" w:cs="Arial"/>
          <w:sz w:val="20"/>
          <w:szCs w:val="20"/>
        </w:rPr>
        <w:t xml:space="preserve"> [2023] VSC 267</w:t>
      </w:r>
      <w:r w:rsidR="007B201F">
        <w:rPr>
          <w:rFonts w:ascii="Arial" w:hAnsi="Arial" w:cs="Arial"/>
          <w:sz w:val="20"/>
          <w:szCs w:val="20"/>
        </w:rPr>
        <w:t xml:space="preserve">; </w:t>
      </w:r>
      <w:r w:rsidR="007B0871" w:rsidRPr="007B0871">
        <w:rPr>
          <w:rFonts w:ascii="Arial" w:hAnsi="Arial" w:cs="Arial"/>
          <w:i/>
          <w:iCs/>
          <w:sz w:val="20"/>
        </w:rPr>
        <w:t xml:space="preserve">Sandpiper Developments Pty Ltd v Main Beach Developments Qld Pty Ltd &amp; Ors </w:t>
      </w:r>
      <w:r w:rsidR="007B0871" w:rsidRPr="007B0871">
        <w:rPr>
          <w:rFonts w:ascii="Arial" w:hAnsi="Arial" w:cs="Arial"/>
          <w:sz w:val="20"/>
        </w:rPr>
        <w:t>[2024] VSC 469;</w:t>
      </w:r>
      <w:r w:rsidR="007B0871">
        <w:rPr>
          <w:rFonts w:ascii="Arial" w:hAnsi="Arial" w:cs="Arial"/>
          <w:i/>
          <w:iCs/>
          <w:sz w:val="20"/>
        </w:rPr>
        <w:t xml:space="preserve"> </w:t>
      </w:r>
      <w:r w:rsidR="007B201F" w:rsidRPr="007B201F">
        <w:rPr>
          <w:rFonts w:ascii="Arial" w:hAnsi="Arial" w:cs="Arial"/>
          <w:i/>
          <w:iCs/>
          <w:sz w:val="20"/>
        </w:rPr>
        <w:t>Maglio v Hino Motor Sales Australia Pty Ltd; McCoy v Hino Motors Ltd (No 2)</w:t>
      </w:r>
      <w:r w:rsidR="007B201F">
        <w:rPr>
          <w:rFonts w:ascii="Arial" w:hAnsi="Arial" w:cs="Arial"/>
          <w:i/>
          <w:iCs/>
          <w:sz w:val="20"/>
        </w:rPr>
        <w:t xml:space="preserve"> </w:t>
      </w:r>
      <w:r w:rsidR="007B201F" w:rsidRPr="007B201F">
        <w:rPr>
          <w:rFonts w:ascii="Arial" w:hAnsi="Arial" w:cs="Arial"/>
          <w:sz w:val="20"/>
        </w:rPr>
        <w:t>[2024] VSC 479 at [8]</w:t>
      </w:r>
      <w:r w:rsidR="004509F5">
        <w:rPr>
          <w:rFonts w:ascii="Arial" w:hAnsi="Arial" w:cs="Arial"/>
          <w:sz w:val="20"/>
        </w:rPr>
        <w:t xml:space="preserve">; </w:t>
      </w:r>
      <w:r w:rsidR="004509F5" w:rsidRPr="004509F5">
        <w:rPr>
          <w:rFonts w:ascii="Arial" w:hAnsi="Arial" w:cs="Arial"/>
          <w:i/>
          <w:iCs/>
          <w:sz w:val="20"/>
        </w:rPr>
        <w:t>Dal Broi v Nicholas James Lawyers Pty Ltd (Costs)</w:t>
      </w:r>
      <w:r w:rsidR="004509F5" w:rsidRPr="004509F5">
        <w:rPr>
          <w:rFonts w:ascii="Arial" w:hAnsi="Arial" w:cs="Arial"/>
          <w:sz w:val="20"/>
        </w:rPr>
        <w:t xml:space="preserve"> [2024] VSC 755</w:t>
      </w:r>
      <w:r w:rsidR="003E02B7">
        <w:rPr>
          <w:rFonts w:ascii="Arial" w:hAnsi="Arial" w:cs="Arial"/>
          <w:sz w:val="20"/>
        </w:rPr>
        <w:t xml:space="preserve">; </w:t>
      </w:r>
      <w:r w:rsidR="003E02B7" w:rsidRPr="003E02B7">
        <w:rPr>
          <w:rFonts w:ascii="Arial" w:hAnsi="Arial" w:cs="Arial"/>
          <w:i/>
          <w:iCs/>
          <w:sz w:val="20"/>
        </w:rPr>
        <w:t>LL UP Pty Ltd v Kegland Distribution Pty Ltd (No 2)</w:t>
      </w:r>
      <w:r w:rsidR="003E02B7">
        <w:rPr>
          <w:rFonts w:ascii="Arial" w:hAnsi="Arial" w:cs="Arial"/>
          <w:sz w:val="20"/>
        </w:rPr>
        <w:t xml:space="preserve"> [2024] VSC 801</w:t>
      </w:r>
      <w:r w:rsidR="00567EDC">
        <w:rPr>
          <w:rFonts w:ascii="Arial" w:hAnsi="Arial" w:cs="Arial"/>
          <w:sz w:val="20"/>
        </w:rPr>
        <w:t xml:space="preserve">; </w:t>
      </w:r>
      <w:r w:rsidR="00567EDC" w:rsidRPr="00567EDC">
        <w:rPr>
          <w:rFonts w:ascii="Arial" w:hAnsi="Arial" w:cs="Arial"/>
          <w:i/>
          <w:iCs/>
          <w:sz w:val="20"/>
        </w:rPr>
        <w:t>LDY Pty Ltd &amp; Anor v GE &amp; L International Investment Pty Ltd &amp; Ors (No 6)</w:t>
      </w:r>
      <w:r w:rsidR="00567EDC" w:rsidRPr="00567EDC">
        <w:rPr>
          <w:rFonts w:ascii="Arial" w:hAnsi="Arial" w:cs="Arial"/>
          <w:sz w:val="20"/>
        </w:rPr>
        <w:t xml:space="preserve"> [2024] VSC 810</w:t>
      </w:r>
      <w:r w:rsidR="00567EDC">
        <w:rPr>
          <w:rFonts w:ascii="Arial" w:hAnsi="Arial" w:cs="Arial"/>
          <w:sz w:val="20"/>
        </w:rPr>
        <w:t xml:space="preserve">; </w:t>
      </w:r>
      <w:r w:rsidR="00567EDC" w:rsidRPr="00567EDC">
        <w:rPr>
          <w:rFonts w:ascii="Arial" w:hAnsi="Arial" w:cs="Arial"/>
          <w:i/>
          <w:iCs/>
          <w:sz w:val="20"/>
        </w:rPr>
        <w:t>B8 Group Pty Ltd v GE &amp; L International Investment Pty Ltd &amp; Ors</w:t>
      </w:r>
      <w:r w:rsidR="00567EDC" w:rsidRPr="00567EDC">
        <w:rPr>
          <w:rFonts w:ascii="Arial" w:hAnsi="Arial" w:cs="Arial"/>
          <w:sz w:val="20"/>
        </w:rPr>
        <w:t xml:space="preserve"> [2024] VSC 811</w:t>
      </w:r>
      <w:r w:rsidR="00DC4340">
        <w:rPr>
          <w:rFonts w:ascii="Arial" w:hAnsi="Arial" w:cs="Arial"/>
          <w:sz w:val="20"/>
        </w:rPr>
        <w:t xml:space="preserve"> and [2025] VSC 240 at [7]</w:t>
      </w:r>
      <w:r w:rsidR="003B3515">
        <w:rPr>
          <w:rFonts w:ascii="Arial" w:hAnsi="Arial" w:cs="Arial"/>
          <w:sz w:val="20"/>
        </w:rPr>
        <w:t xml:space="preserve">; </w:t>
      </w:r>
      <w:r w:rsidR="003B3515" w:rsidRPr="003B3515">
        <w:rPr>
          <w:rFonts w:ascii="Arial" w:hAnsi="Arial" w:cs="Arial"/>
          <w:i/>
          <w:iCs/>
          <w:sz w:val="20"/>
        </w:rPr>
        <w:t>Kuksal v Victorian Legal Services Board (Costs)</w:t>
      </w:r>
      <w:r w:rsidR="003B3515" w:rsidRPr="003B3515">
        <w:rPr>
          <w:rFonts w:ascii="Arial" w:hAnsi="Arial" w:cs="Arial"/>
          <w:sz w:val="20"/>
        </w:rPr>
        <w:t xml:space="preserve"> [2025] VSC 48</w:t>
      </w:r>
      <w:r w:rsidR="00170125">
        <w:rPr>
          <w:rFonts w:ascii="Arial" w:hAnsi="Arial" w:cs="Arial"/>
          <w:sz w:val="20"/>
        </w:rPr>
        <w:t xml:space="preserve"> at [9]-[12]</w:t>
      </w:r>
      <w:r w:rsidR="00756C52">
        <w:rPr>
          <w:rFonts w:ascii="Arial" w:hAnsi="Arial" w:cs="Arial"/>
          <w:sz w:val="20"/>
        </w:rPr>
        <w:t xml:space="preserve">; </w:t>
      </w:r>
      <w:r w:rsidR="00756C52" w:rsidRPr="00756C52">
        <w:rPr>
          <w:rFonts w:ascii="Arial" w:hAnsi="Arial" w:cs="Arial"/>
          <w:i/>
          <w:iCs/>
          <w:sz w:val="20"/>
        </w:rPr>
        <w:t xml:space="preserve">Kuksal v State of Victoria (Costs) </w:t>
      </w:r>
      <w:r w:rsidR="00756C52" w:rsidRPr="00756C52">
        <w:rPr>
          <w:rFonts w:ascii="Arial" w:hAnsi="Arial" w:cs="Arial"/>
          <w:sz w:val="20"/>
        </w:rPr>
        <w:t>[2025] VSC 251</w:t>
      </w:r>
      <w:r w:rsidR="00756C52">
        <w:rPr>
          <w:rFonts w:ascii="Arial" w:hAnsi="Arial" w:cs="Arial"/>
          <w:sz w:val="20"/>
        </w:rPr>
        <w:t xml:space="preserve">; </w:t>
      </w:r>
      <w:r w:rsidR="00756C52" w:rsidRPr="00756C52">
        <w:rPr>
          <w:rFonts w:ascii="Arial" w:hAnsi="Arial" w:cs="Arial"/>
          <w:i/>
          <w:iCs/>
          <w:sz w:val="20"/>
        </w:rPr>
        <w:t>Rokon Holding Pty Ltd v River St Property Nominees Pty Ltd (No 2)</w:t>
      </w:r>
      <w:r w:rsidR="00756C52" w:rsidRPr="00756C52">
        <w:rPr>
          <w:rFonts w:ascii="Arial" w:hAnsi="Arial" w:cs="Arial"/>
          <w:sz w:val="20"/>
        </w:rPr>
        <w:t xml:space="preserve"> [2025] VSC 252</w:t>
      </w:r>
      <w:r w:rsidR="00E8466B">
        <w:rPr>
          <w:rFonts w:ascii="Arial" w:hAnsi="Arial" w:cs="Arial"/>
          <w:sz w:val="20"/>
        </w:rPr>
        <w:t xml:space="preserve">; </w:t>
      </w:r>
      <w:r w:rsidR="00E8466B" w:rsidRPr="00E8466B">
        <w:rPr>
          <w:rFonts w:ascii="Arial" w:hAnsi="Arial" w:cs="Arial"/>
          <w:i/>
          <w:iCs/>
          <w:sz w:val="20"/>
        </w:rPr>
        <w:t>Mitchell Asset Management Pty Ltd v Di Pasquale (No 2)</w:t>
      </w:r>
      <w:r w:rsidR="00E8466B" w:rsidRPr="00E8466B">
        <w:rPr>
          <w:rFonts w:ascii="Arial" w:hAnsi="Arial" w:cs="Arial"/>
          <w:sz w:val="20"/>
        </w:rPr>
        <w:t xml:space="preserve"> [2025] VSC 346</w:t>
      </w:r>
      <w:r w:rsidR="00AF51BD">
        <w:rPr>
          <w:rFonts w:ascii="Arial" w:hAnsi="Arial" w:cs="Arial"/>
          <w:sz w:val="20"/>
        </w:rPr>
        <w:t xml:space="preserve">; </w:t>
      </w:r>
      <w:r w:rsidR="00AF51BD" w:rsidRPr="00AF51BD">
        <w:rPr>
          <w:rFonts w:ascii="Arial" w:hAnsi="Arial" w:cs="Arial"/>
          <w:i/>
          <w:iCs/>
          <w:sz w:val="20"/>
        </w:rPr>
        <w:t>Hoare v Amberlowe Pty Ltd &amp; Ors</w:t>
      </w:r>
      <w:r w:rsidR="00AF51BD" w:rsidRPr="00AF51BD">
        <w:rPr>
          <w:rFonts w:ascii="Arial" w:hAnsi="Arial" w:cs="Arial"/>
          <w:sz w:val="20"/>
        </w:rPr>
        <w:t xml:space="preserve"> [2025] VSC 425</w:t>
      </w:r>
      <w:r w:rsidR="00DA19F7">
        <w:rPr>
          <w:rFonts w:ascii="Arial" w:hAnsi="Arial" w:cs="Arial"/>
          <w:sz w:val="20"/>
        </w:rPr>
        <w:t xml:space="preserve">; </w:t>
      </w:r>
      <w:bookmarkStart w:id="1026" w:name="_Hlk205196602"/>
      <w:r w:rsidR="00DA19F7" w:rsidRPr="00DA19F7">
        <w:rPr>
          <w:rFonts w:ascii="Arial" w:hAnsi="Arial" w:cs="Arial"/>
          <w:i/>
          <w:iCs/>
          <w:sz w:val="20"/>
        </w:rPr>
        <w:t xml:space="preserve">Cottrell v Miglic </w:t>
      </w:r>
      <w:r w:rsidR="003A4185" w:rsidRPr="003A4185">
        <w:rPr>
          <w:rFonts w:ascii="Arial" w:hAnsi="Arial" w:cs="Arial"/>
          <w:sz w:val="20"/>
        </w:rPr>
        <w:t xml:space="preserve">[No 2] </w:t>
      </w:r>
      <w:r w:rsidR="00DA19F7">
        <w:rPr>
          <w:rFonts w:ascii="Arial" w:hAnsi="Arial" w:cs="Arial"/>
          <w:sz w:val="20"/>
        </w:rPr>
        <w:t>[2025] VSCA 177 at [19]-[25]</w:t>
      </w:r>
      <w:r w:rsidR="006F4BC9">
        <w:rPr>
          <w:rFonts w:ascii="Arial" w:hAnsi="Arial" w:cs="Arial"/>
          <w:sz w:val="20"/>
        </w:rPr>
        <w:t xml:space="preserve">; </w:t>
      </w:r>
      <w:r w:rsidR="006F4BC9" w:rsidRPr="006F4BC9">
        <w:rPr>
          <w:rFonts w:ascii="Arial" w:hAnsi="Arial" w:cs="Arial"/>
          <w:i/>
          <w:iCs/>
          <w:sz w:val="20"/>
        </w:rPr>
        <w:t>Biddle v Miele Australia Pty Ltd &amp; Ors</w:t>
      </w:r>
      <w:r w:rsidR="006F4BC9">
        <w:rPr>
          <w:rFonts w:ascii="Arial" w:hAnsi="Arial" w:cs="Arial"/>
          <w:sz w:val="20"/>
        </w:rPr>
        <w:t xml:space="preserve"> [2025] VSCA 263 at [11]-[14]</w:t>
      </w:r>
      <w:r w:rsidR="00196F43">
        <w:rPr>
          <w:rFonts w:ascii="Arial" w:hAnsi="Arial" w:cs="Arial"/>
          <w:sz w:val="20"/>
        </w:rPr>
        <w:t xml:space="preserve">; </w:t>
      </w:r>
      <w:r w:rsidR="00196F43" w:rsidRPr="00196F43">
        <w:rPr>
          <w:rFonts w:ascii="Arial" w:hAnsi="Arial" w:cs="Arial"/>
          <w:i/>
          <w:iCs/>
          <w:sz w:val="20"/>
        </w:rPr>
        <w:t>Morris v Morris (Costs)</w:t>
      </w:r>
      <w:r w:rsidR="00196F43">
        <w:rPr>
          <w:rFonts w:ascii="Arial" w:hAnsi="Arial" w:cs="Arial"/>
          <w:sz w:val="20"/>
        </w:rPr>
        <w:t xml:space="preserve"> [2026] VSC 27 at [13]-[18] &amp; [22]-[33]</w:t>
      </w:r>
      <w:r w:rsidR="00811BF5">
        <w:rPr>
          <w:rFonts w:ascii="Arial" w:hAnsi="Arial" w:cs="Arial"/>
          <w:sz w:val="20"/>
        </w:rPr>
        <w:t>;</w:t>
      </w:r>
      <w:bookmarkEnd w:id="1026"/>
      <w:r w:rsidR="00811BF5" w:rsidRPr="00811BF5">
        <w:rPr>
          <w:rFonts w:ascii="Arial" w:hAnsi="Arial" w:cs="Arial"/>
          <w:sz w:val="20"/>
        </w:rPr>
        <w:t xml:space="preserve"> </w:t>
      </w:r>
      <w:r w:rsidR="00811BF5" w:rsidRPr="00811BF5">
        <w:rPr>
          <w:rFonts w:ascii="Arial" w:hAnsi="Arial" w:cs="Arial"/>
          <w:i/>
          <w:iCs/>
          <w:sz w:val="20"/>
        </w:rPr>
        <w:t>Hazeldene’s Chicken Farm Pty Ltd v Victorian Workcover Authority (No 2)</w:t>
      </w:r>
      <w:r w:rsidR="00811BF5" w:rsidRPr="00811BF5">
        <w:rPr>
          <w:rFonts w:ascii="Arial" w:hAnsi="Arial" w:cs="Arial"/>
          <w:sz w:val="20"/>
        </w:rPr>
        <w:t xml:space="preserve"> [2005] VSCA 298; 13 VR 435, 441 [23]</w:t>
      </w:r>
      <w:r w:rsidR="00811BF5">
        <w:rPr>
          <w:rFonts w:ascii="Arial" w:hAnsi="Arial" w:cs="Arial"/>
          <w:sz w:val="20"/>
        </w:rPr>
        <w:t xml:space="preserve">; </w:t>
      </w:r>
      <w:r w:rsidR="00811BF5" w:rsidRPr="00811BF5">
        <w:rPr>
          <w:rFonts w:ascii="Arial" w:hAnsi="Arial" w:cs="Arial"/>
          <w:i/>
          <w:iCs/>
          <w:sz w:val="20"/>
        </w:rPr>
        <w:t>Re Roberts Construction Group Pty Ltd (No 3) (Costs)</w:t>
      </w:r>
      <w:r w:rsidR="00811BF5">
        <w:rPr>
          <w:rFonts w:ascii="Arial" w:hAnsi="Arial" w:cs="Arial"/>
          <w:sz w:val="20"/>
        </w:rPr>
        <w:t xml:space="preserve"> </w:t>
      </w:r>
      <w:r w:rsidR="00811BF5" w:rsidRPr="00811BF5">
        <w:rPr>
          <w:rFonts w:ascii="Arial" w:hAnsi="Arial" w:cs="Arial"/>
          <w:sz w:val="20"/>
        </w:rPr>
        <w:t>[2026] VSC 53</w:t>
      </w:r>
      <w:r w:rsidR="00811BF5">
        <w:rPr>
          <w:rFonts w:ascii="Arial" w:hAnsi="Arial" w:cs="Arial"/>
          <w:sz w:val="20"/>
        </w:rPr>
        <w:t xml:space="preserve"> at [47]-[68]</w:t>
      </w:r>
      <w:r w:rsidR="00482500">
        <w:rPr>
          <w:rFonts w:ascii="Arial" w:hAnsi="Arial" w:cs="Arial"/>
          <w:sz w:val="20"/>
        </w:rPr>
        <w:t xml:space="preserve">; </w:t>
      </w:r>
      <w:r w:rsidR="00482500" w:rsidRPr="00482500">
        <w:rPr>
          <w:rFonts w:ascii="Arial" w:hAnsi="Arial" w:cs="Arial"/>
          <w:i/>
          <w:iCs/>
          <w:sz w:val="20"/>
        </w:rPr>
        <w:t>Re</w:t>
      </w:r>
      <w:r w:rsidR="00482500">
        <w:rPr>
          <w:rFonts w:ascii="Arial" w:hAnsi="Arial" w:cs="Arial"/>
          <w:i/>
          <w:iCs/>
          <w:sz w:val="20"/>
        </w:rPr>
        <w:t> </w:t>
      </w:r>
      <w:r w:rsidR="00482500" w:rsidRPr="00482500">
        <w:rPr>
          <w:rFonts w:ascii="Arial" w:hAnsi="Arial" w:cs="Arial"/>
          <w:i/>
          <w:iCs/>
          <w:sz w:val="20"/>
        </w:rPr>
        <w:t xml:space="preserve">Flinders </w:t>
      </w:r>
      <w:proofErr w:type="spellStart"/>
      <w:r w:rsidR="00482500" w:rsidRPr="00482500">
        <w:rPr>
          <w:rFonts w:ascii="Arial" w:hAnsi="Arial" w:cs="Arial"/>
          <w:i/>
          <w:iCs/>
          <w:sz w:val="20"/>
        </w:rPr>
        <w:t>Stokie</w:t>
      </w:r>
      <w:proofErr w:type="spellEnd"/>
      <w:r w:rsidR="00482500" w:rsidRPr="00482500">
        <w:rPr>
          <w:rFonts w:ascii="Arial" w:hAnsi="Arial" w:cs="Arial"/>
          <w:i/>
          <w:iCs/>
          <w:sz w:val="20"/>
        </w:rPr>
        <w:t xml:space="preserve"> (Costs Ruling)</w:t>
      </w:r>
      <w:r w:rsidR="00482500">
        <w:rPr>
          <w:rFonts w:ascii="Arial" w:hAnsi="Arial" w:cs="Arial"/>
          <w:sz w:val="20"/>
        </w:rPr>
        <w:t xml:space="preserve"> [2026] VSC 63 at [23]-[28]</w:t>
      </w:r>
      <w:r w:rsidR="00AC5949">
        <w:rPr>
          <w:rFonts w:ascii="Arial" w:hAnsi="Arial" w:cs="Arial"/>
          <w:sz w:val="20"/>
        </w:rPr>
        <w:t xml:space="preserve">; </w:t>
      </w:r>
      <w:r w:rsidR="00AC5949" w:rsidRPr="00AC5949">
        <w:rPr>
          <w:rFonts w:ascii="Arial" w:hAnsi="Arial" w:cs="Arial"/>
          <w:i/>
          <w:iCs/>
          <w:sz w:val="20"/>
        </w:rPr>
        <w:t>Lee v Yap [No 2]</w:t>
      </w:r>
      <w:r w:rsidR="00AC5949">
        <w:rPr>
          <w:rFonts w:ascii="Arial" w:hAnsi="Arial" w:cs="Arial"/>
          <w:sz w:val="20"/>
        </w:rPr>
        <w:t xml:space="preserve"> </w:t>
      </w:r>
      <w:r w:rsidR="00AC5949" w:rsidRPr="00AC5949">
        <w:rPr>
          <w:rFonts w:ascii="Arial" w:hAnsi="Arial" w:cs="Arial"/>
          <w:sz w:val="20"/>
        </w:rPr>
        <w:t>[2026] VSCA 29</w:t>
      </w:r>
      <w:r w:rsidR="00C21D36">
        <w:rPr>
          <w:rFonts w:ascii="Arial" w:hAnsi="Arial" w:cs="Arial"/>
          <w:sz w:val="20"/>
        </w:rPr>
        <w:t xml:space="preserve">; </w:t>
      </w:r>
      <w:r w:rsidR="00C21D36" w:rsidRPr="00C21D36">
        <w:rPr>
          <w:rFonts w:ascii="Arial" w:hAnsi="Arial" w:cs="Arial"/>
          <w:i/>
          <w:iCs/>
          <w:sz w:val="20"/>
        </w:rPr>
        <w:t>Peers v Medical Boar</w:t>
      </w:r>
      <w:r w:rsidR="00C21D36" w:rsidRPr="00CF55E7">
        <w:rPr>
          <w:rFonts w:ascii="Arial" w:hAnsi="Arial" w:cs="Arial"/>
          <w:i/>
          <w:iCs/>
          <w:sz w:val="20"/>
        </w:rPr>
        <w:t xml:space="preserve">d of Australia </w:t>
      </w:r>
      <w:r w:rsidR="00CF55E7" w:rsidRPr="00CF55E7">
        <w:rPr>
          <w:rFonts w:ascii="Arial" w:hAnsi="Arial" w:cs="Arial"/>
          <w:i/>
          <w:iCs/>
          <w:sz w:val="20"/>
        </w:rPr>
        <w:t>[No</w:t>
      </w:r>
      <w:r w:rsidR="00CF55E7">
        <w:rPr>
          <w:rFonts w:ascii="Arial" w:hAnsi="Arial" w:cs="Arial"/>
          <w:i/>
          <w:iCs/>
          <w:sz w:val="20"/>
        </w:rPr>
        <w:t xml:space="preserve"> </w:t>
      </w:r>
      <w:r w:rsidR="00CF55E7" w:rsidRPr="00CF55E7">
        <w:rPr>
          <w:rFonts w:ascii="Arial" w:hAnsi="Arial" w:cs="Arial"/>
          <w:i/>
          <w:iCs/>
          <w:sz w:val="20"/>
        </w:rPr>
        <w:t xml:space="preserve">2] </w:t>
      </w:r>
      <w:r w:rsidR="00C21D36">
        <w:rPr>
          <w:rFonts w:ascii="Arial" w:hAnsi="Arial" w:cs="Arial"/>
          <w:sz w:val="20"/>
        </w:rPr>
        <w:t>[2026] VSCA 38 at [19]-[24]</w:t>
      </w:r>
      <w:r w:rsidR="009B6DC5">
        <w:rPr>
          <w:rFonts w:ascii="Arial" w:hAnsi="Arial" w:cs="Arial"/>
          <w:sz w:val="20"/>
        </w:rPr>
        <w:t xml:space="preserve">; </w:t>
      </w:r>
      <w:r w:rsidR="009B6DC5" w:rsidRPr="009B6DC5">
        <w:rPr>
          <w:rFonts w:ascii="Arial" w:hAnsi="Arial" w:cs="Arial"/>
          <w:i/>
          <w:iCs/>
          <w:sz w:val="20"/>
        </w:rPr>
        <w:t>ANZ v Nguyen (No 2)</w:t>
      </w:r>
      <w:r w:rsidR="009B6DC5">
        <w:rPr>
          <w:rFonts w:ascii="Arial" w:hAnsi="Arial" w:cs="Arial"/>
          <w:sz w:val="20"/>
        </w:rPr>
        <w:t xml:space="preserve"> [2026] VSC 121 at [36]-[39] &amp; [62]-[70]</w:t>
      </w:r>
      <w:r w:rsidR="00FB762E">
        <w:rPr>
          <w:rFonts w:ascii="Arial" w:hAnsi="Arial" w:cs="Arial"/>
          <w:sz w:val="20"/>
        </w:rPr>
        <w:t xml:space="preserve">; </w:t>
      </w:r>
      <w:r w:rsidR="00FB762E" w:rsidRPr="00FB762E">
        <w:rPr>
          <w:rFonts w:ascii="Arial" w:hAnsi="Arial" w:cs="Arial"/>
          <w:i/>
          <w:iCs/>
          <w:sz w:val="20"/>
        </w:rPr>
        <w:t>R.C. Land Management Pty Ltd v Commissioner of State Revenue (No 2)</w:t>
      </w:r>
      <w:r w:rsidR="00FB762E">
        <w:rPr>
          <w:rFonts w:ascii="Arial" w:hAnsi="Arial" w:cs="Arial"/>
          <w:sz w:val="20"/>
        </w:rPr>
        <w:t xml:space="preserve"> [2026] VSC 179 at [20]-[23]</w:t>
      </w:r>
      <w:r w:rsidR="00931F9E">
        <w:rPr>
          <w:rFonts w:ascii="Arial" w:hAnsi="Arial" w:cs="Arial"/>
          <w:sz w:val="20"/>
        </w:rPr>
        <w:t xml:space="preserve">; </w:t>
      </w:r>
      <w:r w:rsidR="00931F9E" w:rsidRPr="00477360">
        <w:rPr>
          <w:rFonts w:ascii="Arial" w:hAnsi="Arial" w:cs="Arial"/>
          <w:i/>
          <w:iCs/>
          <w:sz w:val="20"/>
          <w:szCs w:val="20"/>
        </w:rPr>
        <w:t xml:space="preserve">DZY v Trustees of the Christian Brothers (No </w:t>
      </w:r>
      <w:r w:rsidR="00931F9E">
        <w:rPr>
          <w:rFonts w:ascii="Arial" w:hAnsi="Arial" w:cs="Arial"/>
          <w:i/>
          <w:iCs/>
          <w:sz w:val="20"/>
          <w:szCs w:val="20"/>
        </w:rPr>
        <w:t>4</w:t>
      </w:r>
      <w:r w:rsidR="00931F9E" w:rsidRPr="00477360">
        <w:rPr>
          <w:rFonts w:ascii="Arial" w:hAnsi="Arial" w:cs="Arial"/>
          <w:i/>
          <w:iCs/>
          <w:sz w:val="20"/>
          <w:szCs w:val="20"/>
        </w:rPr>
        <w:t>)</w:t>
      </w:r>
      <w:r w:rsidR="00931F9E">
        <w:rPr>
          <w:rFonts w:ascii="Arial" w:hAnsi="Arial" w:cs="Arial"/>
          <w:sz w:val="20"/>
          <w:szCs w:val="20"/>
        </w:rPr>
        <w:t xml:space="preserve"> [2026] VSC 200</w:t>
      </w:r>
      <w:r w:rsidR="00D23D0B">
        <w:rPr>
          <w:rFonts w:ascii="Arial" w:hAnsi="Arial" w:cs="Arial"/>
          <w:sz w:val="20"/>
          <w:szCs w:val="20"/>
        </w:rPr>
        <w:t xml:space="preserve">; </w:t>
      </w:r>
      <w:r w:rsidR="00D23D0B" w:rsidRPr="00D23D0B">
        <w:rPr>
          <w:rFonts w:ascii="Arial" w:hAnsi="Arial" w:cs="Arial"/>
          <w:i/>
          <w:iCs/>
          <w:sz w:val="20"/>
        </w:rPr>
        <w:t>Khan v Longmire</w:t>
      </w:r>
      <w:r w:rsidR="00D23D0B" w:rsidRPr="00D23D0B">
        <w:rPr>
          <w:rFonts w:ascii="Arial" w:hAnsi="Arial" w:cs="Arial"/>
          <w:sz w:val="20"/>
        </w:rPr>
        <w:t xml:space="preserve"> [2026] VSC 309</w:t>
      </w:r>
      <w:r w:rsidR="00D23D0B">
        <w:rPr>
          <w:rFonts w:ascii="Arial" w:hAnsi="Arial" w:cs="Arial"/>
          <w:sz w:val="20"/>
        </w:rPr>
        <w:t xml:space="preserve"> at [11]-[19] &amp; [26]</w:t>
      </w:r>
      <w:r w:rsidR="00133F17">
        <w:rPr>
          <w:rFonts w:ascii="Arial" w:hAnsi="Arial" w:cs="Arial"/>
          <w:sz w:val="20"/>
        </w:rPr>
        <w:t xml:space="preserve">; </w:t>
      </w:r>
      <w:r w:rsidR="00077C6C" w:rsidRPr="00077C6C">
        <w:rPr>
          <w:rFonts w:ascii="Arial" w:hAnsi="Arial" w:cs="Arial"/>
          <w:i/>
          <w:iCs/>
          <w:sz w:val="20"/>
        </w:rPr>
        <w:t>Country Club Villages Pty Ltd &amp; Ors v Burke &amp; Ors (No 2)</w:t>
      </w:r>
      <w:r w:rsidR="00077C6C" w:rsidRPr="00077C6C">
        <w:rPr>
          <w:rFonts w:ascii="Arial" w:hAnsi="Arial" w:cs="Arial"/>
          <w:sz w:val="20"/>
        </w:rPr>
        <w:t xml:space="preserve"> [2026] VSC 300</w:t>
      </w:r>
      <w:r w:rsidR="00077C6C">
        <w:rPr>
          <w:rFonts w:ascii="Arial" w:hAnsi="Arial" w:cs="Arial"/>
          <w:sz w:val="20"/>
        </w:rPr>
        <w:t xml:space="preserve">; </w:t>
      </w:r>
      <w:r w:rsidR="00133F17" w:rsidRPr="00133F17">
        <w:rPr>
          <w:rFonts w:ascii="Arial" w:hAnsi="Arial" w:cs="Arial"/>
          <w:i/>
          <w:iCs/>
          <w:sz w:val="20"/>
        </w:rPr>
        <w:t>Karam Investments Pty Ltd v Close the Loop (No 2)</w:t>
      </w:r>
      <w:r w:rsidR="00133F17" w:rsidRPr="00133F17">
        <w:rPr>
          <w:rFonts w:ascii="Arial" w:hAnsi="Arial" w:cs="Arial"/>
          <w:sz w:val="20"/>
        </w:rPr>
        <w:t xml:space="preserve"> [2026] VSC 318</w:t>
      </w:r>
      <w:r w:rsidR="002C1F3C">
        <w:rPr>
          <w:rFonts w:ascii="Arial" w:hAnsi="Arial" w:cs="Arial"/>
          <w:sz w:val="20"/>
        </w:rPr>
        <w:t xml:space="preserve">; </w:t>
      </w:r>
      <w:r w:rsidR="002C1F3C" w:rsidRPr="00C013B5">
        <w:rPr>
          <w:rFonts w:ascii="Arial" w:hAnsi="Arial" w:cs="Arial"/>
          <w:i/>
          <w:iCs/>
          <w:sz w:val="20"/>
        </w:rPr>
        <w:t>Chen v Victorian Legal Services Commissioner</w:t>
      </w:r>
      <w:r w:rsidR="002C1F3C" w:rsidRPr="00C013B5">
        <w:rPr>
          <w:rFonts w:ascii="Arial" w:hAnsi="Arial" w:cs="Arial"/>
          <w:sz w:val="20"/>
        </w:rPr>
        <w:t xml:space="preserve"> [2026] VSC 320</w:t>
      </w:r>
      <w:r w:rsidR="002C1F3C">
        <w:rPr>
          <w:rFonts w:ascii="Arial" w:hAnsi="Arial" w:cs="Arial"/>
          <w:sz w:val="20"/>
        </w:rPr>
        <w:t xml:space="preserve"> at [27]-[28] &amp; [49]-[77]</w:t>
      </w:r>
      <w:r>
        <w:rPr>
          <w:rFonts w:ascii="Arial" w:hAnsi="Arial" w:cs="Arial"/>
          <w:sz w:val="20"/>
        </w:rPr>
        <w:t xml:space="preserve">; </w:t>
      </w:r>
      <w:r w:rsidRPr="000F4D8B">
        <w:rPr>
          <w:rFonts w:ascii="Arial" w:hAnsi="Arial" w:cs="Arial"/>
          <w:i/>
          <w:iCs/>
          <w:sz w:val="20"/>
        </w:rPr>
        <w:t>Shakespeare Partners Pty Ltd v Transonic Travel Pty Ltd &amp; Ors [No 2]</w:t>
      </w:r>
      <w:r w:rsidRPr="00F36D8A">
        <w:rPr>
          <w:rFonts w:ascii="Arial" w:hAnsi="Arial" w:cs="Arial"/>
          <w:sz w:val="20"/>
        </w:rPr>
        <w:t xml:space="preserve"> [2026] VSCA 144</w:t>
      </w:r>
      <w:r>
        <w:rPr>
          <w:rFonts w:ascii="Arial" w:hAnsi="Arial" w:cs="Arial"/>
          <w:sz w:val="20"/>
        </w:rPr>
        <w:t xml:space="preserve"> at [14]-[22]</w:t>
      </w:r>
      <w:r w:rsidR="00B35A04">
        <w:rPr>
          <w:rFonts w:ascii="Arial" w:hAnsi="Arial" w:cs="Arial"/>
          <w:sz w:val="20"/>
        </w:rPr>
        <w:t xml:space="preserve">; </w:t>
      </w:r>
      <w:r w:rsidR="00B35A04" w:rsidRPr="00B35A04">
        <w:rPr>
          <w:rFonts w:ascii="Arial" w:hAnsi="Arial" w:cs="Arial"/>
          <w:i/>
          <w:iCs/>
          <w:sz w:val="20"/>
        </w:rPr>
        <w:t>Bridgewater Poultry Farm Pty Ltd v Ash &amp; Sons Eggs Pty Ltd [No 2]</w:t>
      </w:r>
      <w:r w:rsidR="00B35A04">
        <w:rPr>
          <w:rFonts w:ascii="Arial" w:hAnsi="Arial" w:cs="Arial"/>
          <w:sz w:val="20"/>
        </w:rPr>
        <w:t xml:space="preserve"> [2026] VSC 351</w:t>
      </w:r>
      <w:r w:rsidR="00BC54C1">
        <w:rPr>
          <w:rFonts w:ascii="Arial" w:hAnsi="Arial" w:cs="Arial"/>
          <w:sz w:val="20"/>
        </w:rPr>
        <w:t xml:space="preserve">; </w:t>
      </w:r>
      <w:r w:rsidR="00BC54C1" w:rsidRPr="00BC54C1">
        <w:rPr>
          <w:rFonts w:ascii="Arial" w:hAnsi="Arial" w:cs="Arial"/>
          <w:i/>
          <w:iCs/>
          <w:sz w:val="20"/>
        </w:rPr>
        <w:t>Woolnough v Whittlesea City Council &amp; Anor (Costs)</w:t>
      </w:r>
      <w:r w:rsidR="00BC54C1">
        <w:rPr>
          <w:rFonts w:ascii="Arial" w:hAnsi="Arial" w:cs="Arial"/>
          <w:sz w:val="20"/>
        </w:rPr>
        <w:t xml:space="preserve"> [2026] VSC 343</w:t>
      </w:r>
      <w:r w:rsidR="002F4819">
        <w:rPr>
          <w:rFonts w:ascii="Arial" w:hAnsi="Arial" w:cs="Arial"/>
          <w:sz w:val="20"/>
        </w:rPr>
        <w:t xml:space="preserve">; </w:t>
      </w:r>
      <w:proofErr w:type="spellStart"/>
      <w:r w:rsidR="002F4819" w:rsidRPr="002F4819">
        <w:rPr>
          <w:rFonts w:ascii="Arial" w:hAnsi="Arial" w:cs="Arial"/>
          <w:i/>
          <w:iCs/>
          <w:sz w:val="20"/>
        </w:rPr>
        <w:t>Milekovic</w:t>
      </w:r>
      <w:proofErr w:type="spellEnd"/>
      <w:r w:rsidR="002F4819" w:rsidRPr="002F4819">
        <w:rPr>
          <w:rFonts w:ascii="Arial" w:hAnsi="Arial" w:cs="Arial"/>
          <w:i/>
          <w:iCs/>
          <w:sz w:val="20"/>
        </w:rPr>
        <w:t xml:space="preserve"> v </w:t>
      </w:r>
      <w:proofErr w:type="spellStart"/>
      <w:r w:rsidR="002F4819" w:rsidRPr="002F4819">
        <w:rPr>
          <w:rFonts w:ascii="Arial" w:hAnsi="Arial" w:cs="Arial"/>
          <w:i/>
          <w:iCs/>
          <w:sz w:val="20"/>
        </w:rPr>
        <w:t>Vrantsidis</w:t>
      </w:r>
      <w:proofErr w:type="spellEnd"/>
      <w:r w:rsidR="002F4819" w:rsidRPr="002F4819">
        <w:rPr>
          <w:rFonts w:ascii="Arial" w:hAnsi="Arial" w:cs="Arial"/>
          <w:i/>
          <w:iCs/>
          <w:sz w:val="20"/>
        </w:rPr>
        <w:t xml:space="preserve"> &amp; Anor [No</w:t>
      </w:r>
      <w:r w:rsidR="002F4819">
        <w:rPr>
          <w:rFonts w:ascii="Arial" w:hAnsi="Arial" w:cs="Arial"/>
          <w:i/>
          <w:iCs/>
          <w:sz w:val="20"/>
        </w:rPr>
        <w:t> </w:t>
      </w:r>
      <w:r w:rsidR="002F4819" w:rsidRPr="002F4819">
        <w:rPr>
          <w:rFonts w:ascii="Arial" w:hAnsi="Arial" w:cs="Arial"/>
          <w:i/>
          <w:iCs/>
          <w:sz w:val="20"/>
        </w:rPr>
        <w:t>3]</w:t>
      </w:r>
      <w:r w:rsidR="002F4819" w:rsidRPr="002F4819">
        <w:rPr>
          <w:rFonts w:ascii="Arial" w:hAnsi="Arial" w:cs="Arial"/>
          <w:sz w:val="20"/>
        </w:rPr>
        <w:t xml:space="preserve"> [2026] VSCA 146</w:t>
      </w:r>
      <w:r w:rsidR="002F4819">
        <w:rPr>
          <w:rFonts w:ascii="Arial" w:hAnsi="Arial" w:cs="Arial"/>
          <w:sz w:val="20"/>
        </w:rPr>
        <w:t xml:space="preserve"> at [4]-[11] &amp; [19]</w:t>
      </w:r>
      <w:r w:rsidR="006E68F1">
        <w:rPr>
          <w:rFonts w:ascii="Arial" w:hAnsi="Arial" w:cs="Arial"/>
          <w:sz w:val="20"/>
        </w:rPr>
        <w:t xml:space="preserve">; </w:t>
      </w:r>
      <w:r w:rsidR="006E68F1" w:rsidRPr="006E68F1">
        <w:rPr>
          <w:rFonts w:ascii="Arial" w:hAnsi="Arial" w:cs="Arial"/>
          <w:i/>
          <w:iCs/>
          <w:sz w:val="20"/>
        </w:rPr>
        <w:t>Mishra v NBN Co Ltd (No 2)</w:t>
      </w:r>
      <w:r w:rsidR="006E68F1">
        <w:rPr>
          <w:rFonts w:ascii="Arial" w:hAnsi="Arial" w:cs="Arial"/>
          <w:sz w:val="20"/>
        </w:rPr>
        <w:t xml:space="preserve"> [2026] VSC 400.</w:t>
      </w:r>
    </w:p>
    <w:p w14:paraId="2250E8D9" w14:textId="1EB70D7E" w:rsidR="00D23D0B" w:rsidRDefault="00D23D0B" w:rsidP="00756C52">
      <w:pPr>
        <w:jc w:val="both"/>
        <w:rPr>
          <w:rFonts w:ascii="Arial" w:hAnsi="Arial" w:cs="Arial"/>
          <w:sz w:val="20"/>
        </w:rPr>
      </w:pPr>
    </w:p>
    <w:p w14:paraId="7BE98B12" w14:textId="536B36C9" w:rsidR="0090605F" w:rsidRDefault="00B61E41" w:rsidP="00B61E41">
      <w:pPr>
        <w:jc w:val="both"/>
        <w:rPr>
          <w:rFonts w:ascii="Arial" w:hAnsi="Arial" w:cs="Arial"/>
          <w:sz w:val="20"/>
        </w:rPr>
      </w:pPr>
      <w:r>
        <w:rPr>
          <w:rFonts w:ascii="Arial" w:hAnsi="Arial" w:cs="Arial"/>
          <w:sz w:val="20"/>
        </w:rPr>
        <w:t xml:space="preserve">Since 01/01/2010 the Court’s power to order costs against a person in </w:t>
      </w:r>
      <w:r w:rsidRPr="00B61E41">
        <w:rPr>
          <w:rFonts w:ascii="Arial" w:hAnsi="Arial" w:cs="Arial"/>
          <w:b/>
          <w:sz w:val="20"/>
          <w:u w:val="single"/>
        </w:rPr>
        <w:t>criminal</w:t>
      </w:r>
      <w:r>
        <w:rPr>
          <w:rFonts w:ascii="Arial" w:hAnsi="Arial" w:cs="Arial"/>
          <w:sz w:val="20"/>
        </w:rPr>
        <w:t xml:space="preserve"> proceedings is </w:t>
      </w:r>
      <w:r w:rsidR="00421364">
        <w:rPr>
          <w:rFonts w:ascii="Arial" w:hAnsi="Arial" w:cs="Arial"/>
          <w:sz w:val="20"/>
        </w:rPr>
        <w:t xml:space="preserve">also </w:t>
      </w:r>
      <w:r>
        <w:rPr>
          <w:rFonts w:ascii="Arial" w:hAnsi="Arial" w:cs="Arial"/>
          <w:sz w:val="20"/>
        </w:rPr>
        <w:t>governed by s</w:t>
      </w:r>
      <w:r w:rsidR="00A37962">
        <w:rPr>
          <w:rFonts w:ascii="Arial" w:hAnsi="Arial" w:cs="Arial"/>
          <w:sz w:val="20"/>
        </w:rPr>
        <w:t>s</w:t>
      </w:r>
      <w:r>
        <w:rPr>
          <w:rFonts w:ascii="Arial" w:hAnsi="Arial" w:cs="Arial"/>
          <w:sz w:val="20"/>
        </w:rPr>
        <w:t xml:space="preserve">.401 </w:t>
      </w:r>
      <w:r w:rsidR="00A37962">
        <w:rPr>
          <w:rFonts w:ascii="Arial" w:hAnsi="Arial" w:cs="Arial"/>
          <w:sz w:val="20"/>
        </w:rPr>
        <w:t xml:space="preserve">&amp; 410 </w:t>
      </w:r>
      <w:r>
        <w:rPr>
          <w:rFonts w:ascii="Arial" w:hAnsi="Arial" w:cs="Arial"/>
          <w:sz w:val="20"/>
        </w:rPr>
        <w:t xml:space="preserve">of the </w:t>
      </w:r>
      <w:r w:rsidRPr="00A82F40">
        <w:rPr>
          <w:rFonts w:ascii="Arial" w:hAnsi="Arial" w:cs="Arial"/>
          <w:i/>
          <w:iCs/>
          <w:sz w:val="20"/>
        </w:rPr>
        <w:t>Criminal Procedure Act 2009</w:t>
      </w:r>
      <w:r w:rsidR="003856B0">
        <w:rPr>
          <w:rFonts w:ascii="Arial" w:hAnsi="Arial" w:cs="Arial"/>
          <w:sz w:val="20"/>
        </w:rPr>
        <w:t xml:space="preserve">, </w:t>
      </w:r>
      <w:r w:rsidR="0060284E">
        <w:rPr>
          <w:rFonts w:ascii="Arial" w:hAnsi="Arial" w:cs="Arial"/>
          <w:sz w:val="20"/>
        </w:rPr>
        <w:t>section</w:t>
      </w:r>
      <w:r w:rsidR="003856B0">
        <w:rPr>
          <w:rFonts w:ascii="Arial" w:hAnsi="Arial" w:cs="Arial"/>
          <w:sz w:val="20"/>
        </w:rPr>
        <w:t>s</w:t>
      </w:r>
      <w:r w:rsidR="0060284E">
        <w:rPr>
          <w:rFonts w:ascii="Arial" w:hAnsi="Arial" w:cs="Arial"/>
          <w:sz w:val="20"/>
        </w:rPr>
        <w:t xml:space="preserve"> which </w:t>
      </w:r>
      <w:r w:rsidR="003856B0">
        <w:rPr>
          <w:rFonts w:ascii="Arial" w:hAnsi="Arial" w:cs="Arial"/>
          <w:sz w:val="20"/>
        </w:rPr>
        <w:t>are</w:t>
      </w:r>
      <w:r w:rsidR="0060284E">
        <w:rPr>
          <w:rFonts w:ascii="Arial" w:hAnsi="Arial" w:cs="Arial"/>
          <w:sz w:val="20"/>
        </w:rPr>
        <w:t xml:space="preserve"> in similar terms to s</w:t>
      </w:r>
      <w:r w:rsidR="00A37962">
        <w:rPr>
          <w:rFonts w:ascii="Arial" w:hAnsi="Arial" w:cs="Arial"/>
          <w:sz w:val="20"/>
        </w:rPr>
        <w:t>s</w:t>
      </w:r>
      <w:r w:rsidR="0060284E">
        <w:rPr>
          <w:rFonts w:ascii="Arial" w:hAnsi="Arial" w:cs="Arial"/>
          <w:sz w:val="20"/>
        </w:rPr>
        <w:t xml:space="preserve">.131 </w:t>
      </w:r>
      <w:r w:rsidR="00A37962">
        <w:rPr>
          <w:rFonts w:ascii="Arial" w:hAnsi="Arial" w:cs="Arial"/>
          <w:sz w:val="20"/>
        </w:rPr>
        <w:t xml:space="preserve">&amp; 132 </w:t>
      </w:r>
      <w:r w:rsidR="0060284E">
        <w:rPr>
          <w:rFonts w:ascii="Arial" w:hAnsi="Arial" w:cs="Arial"/>
          <w:sz w:val="20"/>
        </w:rPr>
        <w:t xml:space="preserve">of the </w:t>
      </w:r>
      <w:r w:rsidR="0060284E" w:rsidRPr="00A82F40">
        <w:rPr>
          <w:rFonts w:ascii="Arial" w:hAnsi="Arial" w:cs="Arial"/>
          <w:i/>
          <w:iCs/>
          <w:sz w:val="20"/>
        </w:rPr>
        <w:t>Magistrates’ Court Act 1989</w:t>
      </w:r>
      <w:r w:rsidR="0060284E">
        <w:rPr>
          <w:rFonts w:ascii="Arial" w:hAnsi="Arial" w:cs="Arial"/>
          <w:sz w:val="20"/>
        </w:rPr>
        <w:t>.</w:t>
      </w:r>
      <w:r>
        <w:rPr>
          <w:rFonts w:ascii="Arial" w:hAnsi="Arial" w:cs="Arial"/>
          <w:sz w:val="20"/>
        </w:rPr>
        <w:t xml:space="preserve"> </w:t>
      </w:r>
      <w:r w:rsidR="0090605F">
        <w:rPr>
          <w:rFonts w:ascii="Arial" w:hAnsi="Arial" w:cs="Arial"/>
          <w:sz w:val="20"/>
        </w:rPr>
        <w:t xml:space="preserve">See </w:t>
      </w:r>
      <w:r w:rsidR="0090605F" w:rsidRPr="0090605F">
        <w:rPr>
          <w:rFonts w:ascii="Arial" w:hAnsi="Arial" w:cs="Arial"/>
          <w:bCs/>
          <w:i/>
          <w:iCs/>
          <w:sz w:val="20"/>
          <w:szCs w:val="20"/>
        </w:rPr>
        <w:t>Piccolotto v The Queen (No 2)</w:t>
      </w:r>
      <w:r w:rsidR="0090605F" w:rsidRPr="0090605F">
        <w:rPr>
          <w:rFonts w:ascii="Arial" w:hAnsi="Arial" w:cs="Arial"/>
          <w:bCs/>
          <w:sz w:val="20"/>
          <w:szCs w:val="20"/>
        </w:rPr>
        <w:t xml:space="preserve"> [2015] VSCA 182</w:t>
      </w:r>
      <w:r w:rsidR="0090605F">
        <w:rPr>
          <w:rFonts w:ascii="Arial" w:hAnsi="Arial" w:cs="Arial"/>
          <w:bCs/>
          <w:sz w:val="20"/>
          <w:szCs w:val="20"/>
        </w:rPr>
        <w:t>.</w:t>
      </w:r>
    </w:p>
    <w:p w14:paraId="3E92DEF4" w14:textId="55BE2DA2" w:rsidR="00B61E41" w:rsidRDefault="0060284E" w:rsidP="00B61E41">
      <w:pPr>
        <w:jc w:val="both"/>
        <w:rPr>
          <w:rFonts w:ascii="Arial" w:hAnsi="Arial" w:cs="Arial"/>
          <w:sz w:val="20"/>
        </w:rPr>
      </w:pPr>
      <w:r>
        <w:rPr>
          <w:rFonts w:ascii="Arial" w:hAnsi="Arial" w:cs="Arial"/>
          <w:sz w:val="20"/>
        </w:rPr>
        <w:t>As read in conjunction with s.528(2) of the CYFA, s.401</w:t>
      </w:r>
      <w:r w:rsidR="00B61E41">
        <w:rPr>
          <w:rFonts w:ascii="Arial" w:hAnsi="Arial" w:cs="Arial"/>
          <w:sz w:val="20"/>
        </w:rPr>
        <w:t xml:space="preserve"> provides:</w:t>
      </w:r>
    </w:p>
    <w:p w14:paraId="23800218" w14:textId="77777777" w:rsidR="00B61E41" w:rsidRDefault="00B61E41" w:rsidP="00B61E41">
      <w:pPr>
        <w:spacing w:before="80"/>
        <w:ind w:left="924" w:right="567" w:hanging="357"/>
        <w:jc w:val="both"/>
        <w:rPr>
          <w:rFonts w:ascii="Arial" w:hAnsi="Arial" w:cs="Arial"/>
          <w:sz w:val="20"/>
        </w:rPr>
      </w:pPr>
      <w:r>
        <w:rPr>
          <w:rFonts w:ascii="Arial" w:hAnsi="Arial" w:cs="Arial"/>
          <w:sz w:val="20"/>
        </w:rPr>
        <w:t>(1)</w:t>
      </w:r>
      <w:r>
        <w:rPr>
          <w:rFonts w:ascii="Arial" w:hAnsi="Arial" w:cs="Arial"/>
          <w:sz w:val="20"/>
        </w:rPr>
        <w:tab/>
        <w:t xml:space="preserve">Unless otherwise expressly provided by this or any other Act or by the rules of court, </w:t>
      </w:r>
      <w:r w:rsidR="0060284E">
        <w:rPr>
          <w:rFonts w:ascii="Arial" w:hAnsi="Arial" w:cs="Arial"/>
          <w:sz w:val="20"/>
        </w:rPr>
        <w:t>the costs of, and incidental to, all criminal proceedings in the Children’s Court are in the discretion of the court and the court has full power to determine by whom, to whom and to what extent the costs are to be paid.</w:t>
      </w:r>
    </w:p>
    <w:p w14:paraId="00DD2931" w14:textId="77777777" w:rsidR="0060284E" w:rsidRDefault="0060284E" w:rsidP="00216E00">
      <w:pPr>
        <w:spacing w:before="80"/>
        <w:ind w:left="924" w:right="567" w:hanging="357"/>
        <w:jc w:val="both"/>
        <w:rPr>
          <w:rFonts w:ascii="Arial" w:hAnsi="Arial" w:cs="Arial"/>
          <w:sz w:val="20"/>
        </w:rPr>
      </w:pPr>
      <w:r>
        <w:rPr>
          <w:rFonts w:ascii="Arial" w:hAnsi="Arial" w:cs="Arial"/>
          <w:sz w:val="20"/>
        </w:rPr>
        <w:t>(2)</w:t>
      </w:r>
      <w:r>
        <w:rPr>
          <w:rFonts w:ascii="Arial" w:hAnsi="Arial" w:cs="Arial"/>
          <w:sz w:val="20"/>
        </w:rPr>
        <w:tab/>
        <w:t>In exercising its discretion under subsection (1) in a criminal proceeding, the Children’s Court may take into account any unreasonable act or omission by, or on behalf of, a party to the proceeding that the court is satisfied resulted in prolonging the proceeding.</w:t>
      </w:r>
    </w:p>
    <w:p w14:paraId="3F81E171" w14:textId="77777777" w:rsidR="0060284E" w:rsidRDefault="0060284E" w:rsidP="00B61E41">
      <w:pPr>
        <w:spacing w:before="80"/>
        <w:ind w:left="924" w:right="567" w:hanging="357"/>
        <w:jc w:val="both"/>
        <w:rPr>
          <w:rFonts w:ascii="Arial" w:hAnsi="Arial" w:cs="Arial"/>
          <w:sz w:val="20"/>
        </w:rPr>
      </w:pPr>
      <w:r>
        <w:rPr>
          <w:rFonts w:ascii="Arial" w:hAnsi="Arial" w:cs="Arial"/>
          <w:sz w:val="20"/>
        </w:rPr>
        <w:t>(3)</w:t>
      </w:r>
      <w:r>
        <w:rPr>
          <w:rFonts w:ascii="Arial" w:hAnsi="Arial" w:cs="Arial"/>
          <w:sz w:val="20"/>
        </w:rPr>
        <w:tab/>
        <w:t>If the Children’s Court strikes out a charge under s.14(3), the court may award costs against the informant.</w:t>
      </w:r>
    </w:p>
    <w:p w14:paraId="74B27F12" w14:textId="77777777" w:rsidR="00CD6A30" w:rsidRDefault="0060284E" w:rsidP="00CD6A30">
      <w:pPr>
        <w:spacing w:before="80"/>
        <w:ind w:left="924" w:right="567" w:hanging="357"/>
        <w:jc w:val="both"/>
        <w:rPr>
          <w:rFonts w:ascii="Arial" w:hAnsi="Arial" w:cs="Arial"/>
          <w:sz w:val="20"/>
        </w:rPr>
      </w:pPr>
      <w:r>
        <w:rPr>
          <w:rFonts w:ascii="Arial" w:hAnsi="Arial" w:cs="Arial"/>
          <w:sz w:val="20"/>
        </w:rPr>
        <w:t>(4)</w:t>
      </w:r>
      <w:r>
        <w:rPr>
          <w:rFonts w:ascii="Arial" w:hAnsi="Arial" w:cs="Arial"/>
          <w:sz w:val="20"/>
        </w:rPr>
        <w:tab/>
      </w:r>
      <w:r w:rsidR="00CD6A30">
        <w:rPr>
          <w:rFonts w:ascii="Arial" w:hAnsi="Arial" w:cs="Arial"/>
          <w:sz w:val="20"/>
        </w:rPr>
        <w:t xml:space="preserve">This section and s.410 </w:t>
      </w:r>
      <w:r w:rsidR="00A37962">
        <w:rPr>
          <w:rFonts w:ascii="Arial" w:hAnsi="Arial" w:cs="Arial"/>
          <w:sz w:val="20"/>
        </w:rPr>
        <w:t xml:space="preserve">[which provides for a costs liability of a legal practitioner] </w:t>
      </w:r>
      <w:r w:rsidR="00CD6A30">
        <w:rPr>
          <w:rFonts w:ascii="Arial" w:hAnsi="Arial" w:cs="Arial"/>
          <w:sz w:val="20"/>
        </w:rPr>
        <w:t>apply to a purported proceeding in the Children’s Court which is beyond the jurisdiction of the court as if the purported proceeding were within jurisdiction.</w:t>
      </w:r>
    </w:p>
    <w:p w14:paraId="7EC1C4BB" w14:textId="77777777" w:rsidR="00CD6A30" w:rsidRDefault="00CD6A30" w:rsidP="00CD6A30">
      <w:pPr>
        <w:spacing w:before="80"/>
        <w:ind w:left="924" w:right="567" w:hanging="357"/>
        <w:jc w:val="both"/>
        <w:rPr>
          <w:rFonts w:ascii="Arial" w:hAnsi="Arial" w:cs="Arial"/>
          <w:sz w:val="20"/>
        </w:rPr>
      </w:pPr>
      <w:r>
        <w:rPr>
          <w:rFonts w:ascii="Arial" w:hAnsi="Arial" w:cs="Arial"/>
          <w:sz w:val="20"/>
        </w:rPr>
        <w:t>(5)</w:t>
      </w:r>
      <w:r>
        <w:rPr>
          <w:rFonts w:ascii="Arial" w:hAnsi="Arial" w:cs="Arial"/>
          <w:sz w:val="20"/>
        </w:rPr>
        <w:tab/>
        <w:t>If the Children’s Court determines to award costs against an informant who is a member of the police force, the order must be made against the Chief Commissioner of Police.</w:t>
      </w:r>
    </w:p>
    <w:p w14:paraId="6AA5290D" w14:textId="4022DA11" w:rsidR="00C958C7" w:rsidRDefault="00C958C7">
      <w:pPr>
        <w:jc w:val="both"/>
        <w:rPr>
          <w:rFonts w:ascii="Arial" w:hAnsi="Arial" w:cs="Arial"/>
          <w:color w:val="000000"/>
          <w:sz w:val="20"/>
        </w:rPr>
      </w:pPr>
    </w:p>
    <w:p w14:paraId="141483A3" w14:textId="3FBF2E77" w:rsidR="005C7950" w:rsidRDefault="005C7950">
      <w:pPr>
        <w:jc w:val="both"/>
        <w:rPr>
          <w:rFonts w:ascii="Arial" w:hAnsi="Arial" w:cs="Arial"/>
          <w:color w:val="000000"/>
          <w:sz w:val="20"/>
        </w:rPr>
      </w:pPr>
      <w:r>
        <w:rPr>
          <w:rFonts w:ascii="Arial" w:hAnsi="Arial" w:cs="Arial"/>
          <w:color w:val="000000"/>
          <w:sz w:val="20"/>
        </w:rPr>
        <w:t xml:space="preserve">In </w:t>
      </w:r>
      <w:r w:rsidRPr="005C7950">
        <w:rPr>
          <w:rFonts w:ascii="Arial" w:hAnsi="Arial" w:cs="Arial"/>
          <w:i/>
          <w:iCs/>
          <w:color w:val="000000"/>
          <w:sz w:val="20"/>
        </w:rPr>
        <w:t>Manderson v Bensons Property Group Pty Ltd</w:t>
      </w:r>
      <w:r>
        <w:rPr>
          <w:rFonts w:ascii="Arial" w:hAnsi="Arial" w:cs="Arial"/>
          <w:color w:val="000000"/>
          <w:sz w:val="20"/>
        </w:rPr>
        <w:t xml:space="preserve"> [2021] VSCA 227 at [49] the Court of Appeal said: “[W]here a trial is conducted in stages, which is often desirable, it is preferable to wait until the end of the trial, before entertaining any costs applications.”</w:t>
      </w:r>
    </w:p>
    <w:p w14:paraId="226659C2" w14:textId="24665842" w:rsidR="005C7950" w:rsidRDefault="005C7950">
      <w:pPr>
        <w:jc w:val="both"/>
        <w:rPr>
          <w:rFonts w:ascii="Arial" w:hAnsi="Arial" w:cs="Arial"/>
          <w:color w:val="000000"/>
          <w:sz w:val="20"/>
        </w:rPr>
      </w:pPr>
    </w:p>
    <w:p w14:paraId="2B37849D" w14:textId="6F7F2A4E" w:rsidR="00245F15" w:rsidRDefault="0038023D">
      <w:pPr>
        <w:jc w:val="both"/>
        <w:rPr>
          <w:rFonts w:ascii="Arial" w:hAnsi="Arial" w:cs="Arial"/>
          <w:sz w:val="20"/>
          <w:szCs w:val="20"/>
        </w:rPr>
      </w:pPr>
      <w:r>
        <w:rPr>
          <w:rFonts w:ascii="Arial" w:hAnsi="Arial" w:cs="Arial"/>
          <w:color w:val="000000"/>
          <w:sz w:val="20"/>
        </w:rPr>
        <w:t xml:space="preserve">In </w:t>
      </w:r>
      <w:r w:rsidR="000A49B9" w:rsidRPr="002D4403">
        <w:rPr>
          <w:rFonts w:ascii="Arial" w:hAnsi="Arial" w:cs="Arial"/>
          <w:i/>
          <w:iCs/>
          <w:sz w:val="20"/>
          <w:szCs w:val="20"/>
        </w:rPr>
        <w:t>DPP v Tuteru (Application for suppression order)</w:t>
      </w:r>
      <w:r w:rsidR="000A49B9" w:rsidRPr="002D4403">
        <w:rPr>
          <w:rFonts w:ascii="Arial" w:hAnsi="Arial" w:cs="Arial"/>
          <w:sz w:val="20"/>
          <w:szCs w:val="20"/>
        </w:rPr>
        <w:t xml:space="preserve"> [2023] VSC 241 </w:t>
      </w:r>
      <w:r w:rsidR="001D1ED3">
        <w:rPr>
          <w:rFonts w:ascii="Arial" w:hAnsi="Arial" w:cs="Arial"/>
          <w:sz w:val="20"/>
          <w:szCs w:val="20"/>
        </w:rPr>
        <w:t xml:space="preserve">Forbes J dismissed </w:t>
      </w:r>
      <w:r w:rsidR="00522538">
        <w:rPr>
          <w:rFonts w:ascii="Arial" w:hAnsi="Arial" w:cs="Arial"/>
          <w:sz w:val="20"/>
          <w:szCs w:val="20"/>
        </w:rPr>
        <w:t xml:space="preserve">Mr Tuteru’s application for a suppression order but </w:t>
      </w:r>
      <w:r w:rsidR="000F0819">
        <w:rPr>
          <w:rFonts w:ascii="Arial" w:hAnsi="Arial" w:cs="Arial"/>
          <w:sz w:val="20"/>
          <w:szCs w:val="20"/>
        </w:rPr>
        <w:t>at [</w:t>
      </w:r>
      <w:r w:rsidR="009E34AA">
        <w:rPr>
          <w:rFonts w:ascii="Arial" w:hAnsi="Arial" w:cs="Arial"/>
          <w:sz w:val="20"/>
          <w:szCs w:val="20"/>
        </w:rPr>
        <w:t>22</w:t>
      </w:r>
      <w:r w:rsidR="000F0819">
        <w:rPr>
          <w:rFonts w:ascii="Arial" w:hAnsi="Arial" w:cs="Arial"/>
          <w:sz w:val="20"/>
          <w:szCs w:val="20"/>
        </w:rPr>
        <w:t>]-[</w:t>
      </w:r>
      <w:r w:rsidR="009E34AA">
        <w:rPr>
          <w:rFonts w:ascii="Arial" w:hAnsi="Arial" w:cs="Arial"/>
          <w:sz w:val="20"/>
          <w:szCs w:val="20"/>
        </w:rPr>
        <w:t>46</w:t>
      </w:r>
      <w:r w:rsidR="000F0819">
        <w:rPr>
          <w:rFonts w:ascii="Arial" w:hAnsi="Arial" w:cs="Arial"/>
          <w:sz w:val="20"/>
          <w:szCs w:val="20"/>
        </w:rPr>
        <w:t xml:space="preserve">] </w:t>
      </w:r>
      <w:r w:rsidR="00522538">
        <w:rPr>
          <w:rFonts w:ascii="Arial" w:hAnsi="Arial" w:cs="Arial"/>
          <w:sz w:val="20"/>
          <w:szCs w:val="20"/>
        </w:rPr>
        <w:t xml:space="preserve">also </w:t>
      </w:r>
      <w:r w:rsidR="00245F15">
        <w:rPr>
          <w:rFonts w:ascii="Arial" w:hAnsi="Arial" w:cs="Arial"/>
          <w:sz w:val="20"/>
          <w:szCs w:val="20"/>
        </w:rPr>
        <w:t xml:space="preserve">refused Channel Nine’s application for costs </w:t>
      </w:r>
      <w:r w:rsidR="0063720A">
        <w:rPr>
          <w:rFonts w:ascii="Arial" w:hAnsi="Arial" w:cs="Arial"/>
          <w:sz w:val="20"/>
          <w:szCs w:val="20"/>
        </w:rPr>
        <w:t>in detailed reasons, including an analysis of the nature of the proceeding.</w:t>
      </w:r>
    </w:p>
    <w:p w14:paraId="47ADB5B1" w14:textId="77777777" w:rsidR="002F4819" w:rsidRPr="00836E86" w:rsidRDefault="002F4819" w:rsidP="002F4819">
      <w:pPr>
        <w:rPr>
          <w:rFonts w:ascii="Arial" w:hAnsi="Arial" w:cs="Arial"/>
          <w:sz w:val="20"/>
        </w:rPr>
      </w:pPr>
      <w:bookmarkStart w:id="1027" w:name="_Toc30652645"/>
      <w:bookmarkStart w:id="1028" w:name="_Toc30652743"/>
      <w:bookmarkStart w:id="1029" w:name="_Toc30654088"/>
      <w:bookmarkStart w:id="1030" w:name="_Toc30654439"/>
      <w:bookmarkStart w:id="1031" w:name="_Toc30655058"/>
      <w:bookmarkStart w:id="1032" w:name="_Toc30655315"/>
      <w:bookmarkStart w:id="1033" w:name="_Toc30656993"/>
      <w:bookmarkStart w:id="1034" w:name="_Toc30661742"/>
      <w:bookmarkStart w:id="1035" w:name="_Toc30666430"/>
      <w:bookmarkStart w:id="1036" w:name="_Toc30666660"/>
      <w:bookmarkStart w:id="1037" w:name="_Toc30667835"/>
      <w:bookmarkStart w:id="1038" w:name="_Toc30669213"/>
      <w:bookmarkStart w:id="1039" w:name="_Toc30671429"/>
      <w:bookmarkStart w:id="1040" w:name="_Toc30673956"/>
      <w:bookmarkStart w:id="1041" w:name="_Toc30691178"/>
      <w:bookmarkStart w:id="1042" w:name="_Toc30691549"/>
      <w:bookmarkStart w:id="1043" w:name="_Toc30691929"/>
      <w:bookmarkStart w:id="1044" w:name="_Toc30692688"/>
      <w:bookmarkStart w:id="1045" w:name="_Toc30693067"/>
      <w:bookmarkStart w:id="1046" w:name="_Toc30693445"/>
      <w:bookmarkStart w:id="1047" w:name="_Toc30693824"/>
      <w:bookmarkStart w:id="1048" w:name="_Toc30694205"/>
      <w:bookmarkStart w:id="1049" w:name="_Toc30698794"/>
      <w:bookmarkStart w:id="1050" w:name="_Toc30699172"/>
      <w:bookmarkStart w:id="1051" w:name="_Toc30699557"/>
      <w:bookmarkStart w:id="1052" w:name="_Toc30700712"/>
      <w:bookmarkStart w:id="1053" w:name="_Toc30701099"/>
      <w:bookmarkStart w:id="1054" w:name="_Toc30743708"/>
      <w:bookmarkStart w:id="1055" w:name="_Toc30754530"/>
      <w:bookmarkStart w:id="1056" w:name="_Toc30756970"/>
      <w:bookmarkStart w:id="1057" w:name="_Toc30757519"/>
      <w:bookmarkStart w:id="1058" w:name="_Toc30757919"/>
      <w:bookmarkStart w:id="1059" w:name="_Toc30762680"/>
      <w:bookmarkStart w:id="1060" w:name="_Toc30767334"/>
      <w:bookmarkStart w:id="1061" w:name="_Toc34823350"/>
    </w:p>
    <w:p w14:paraId="0DFAB1F2" w14:textId="0487BC51" w:rsidR="007D1460" w:rsidRDefault="007D1460" w:rsidP="007D1460">
      <w:pPr>
        <w:pStyle w:val="Heading3"/>
        <w:keepNext/>
        <w:keepLines/>
        <w:spacing w:after="120" w:line="240" w:lineRule="auto"/>
        <w:rPr>
          <w:rFonts w:ascii="Arial" w:hAnsi="Arial" w:cs="Arial"/>
          <w:b/>
          <w:bCs/>
          <w:sz w:val="20"/>
        </w:rPr>
      </w:pPr>
      <w:bookmarkStart w:id="1062" w:name="_3.9.1_Criminal_Division"/>
      <w:bookmarkStart w:id="1063" w:name="B391"/>
      <w:bookmarkStart w:id="1064" w:name="_Toc58831512"/>
      <w:bookmarkEnd w:id="1062"/>
      <w:bookmarkEnd w:id="1063"/>
      <w:r>
        <w:rPr>
          <w:rFonts w:ascii="Arial" w:hAnsi="Arial" w:cs="Arial"/>
          <w:b/>
          <w:bCs/>
          <w:sz w:val="20"/>
        </w:rPr>
        <w:lastRenderedPageBreak/>
        <w:t>3.9.1</w:t>
      </w:r>
      <w:r>
        <w:rPr>
          <w:rFonts w:ascii="Arial" w:hAnsi="Arial" w:cs="Arial"/>
          <w:b/>
          <w:bCs/>
          <w:sz w:val="20"/>
        </w:rPr>
        <w:tab/>
        <w:t>Criminal Division</w:t>
      </w:r>
      <w:r>
        <w:rPr>
          <w:rFonts w:ascii="Arial" w:hAnsi="Arial" w:cs="Arial"/>
          <w:sz w:val="20"/>
        </w:rPr>
        <w:t xml:space="preserve"> </w:t>
      </w:r>
      <w:r>
        <w:rPr>
          <w:rFonts w:ascii="Arial" w:hAnsi="Arial" w:cs="Arial"/>
          <w:b/>
          <w:bCs/>
          <w:sz w:val="20"/>
        </w:rPr>
        <w:t>(costs of defendant</w:t>
      </w:r>
      <w:r w:rsidR="00AA2DE5">
        <w:rPr>
          <w:rFonts w:ascii="Arial" w:hAnsi="Arial" w:cs="Arial"/>
          <w:b/>
          <w:bCs/>
          <w:sz w:val="20"/>
        </w:rPr>
        <w:t xml:space="preserve"> / </w:t>
      </w:r>
      <w:r w:rsidR="00AA2DE5" w:rsidRPr="00AA2DE5">
        <w:rPr>
          <w:rFonts w:ascii="Arial" w:hAnsi="Arial" w:cs="Arial"/>
          <w:b/>
          <w:bCs/>
          <w:i/>
          <w:iCs/>
          <w:sz w:val="20"/>
        </w:rPr>
        <w:t>amic</w:t>
      </w:r>
      <w:r w:rsidR="00AA2DE5">
        <w:rPr>
          <w:rFonts w:ascii="Arial" w:hAnsi="Arial" w:cs="Arial"/>
          <w:b/>
          <w:bCs/>
          <w:i/>
          <w:iCs/>
          <w:sz w:val="20"/>
        </w:rPr>
        <w:t>u</w:t>
      </w:r>
      <w:r w:rsidR="00AA2DE5" w:rsidRPr="00AA2DE5">
        <w:rPr>
          <w:rFonts w:ascii="Arial" w:hAnsi="Arial" w:cs="Arial"/>
          <w:b/>
          <w:bCs/>
          <w:i/>
          <w:iCs/>
          <w:sz w:val="20"/>
        </w:rPr>
        <w:t>s curiae</w:t>
      </w:r>
      <w:r>
        <w:rPr>
          <w:rFonts w:ascii="Arial" w:hAnsi="Arial" w:cs="Arial"/>
          <w:b/>
          <w:bCs/>
          <w:sz w:val="20"/>
        </w:rPr>
        <w:t>)</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4"/>
    </w:p>
    <w:p w14:paraId="65895A58" w14:textId="051BD397" w:rsidR="00B21DA4" w:rsidRDefault="00B61E41" w:rsidP="004803EE">
      <w:pPr>
        <w:jc w:val="both"/>
        <w:rPr>
          <w:rFonts w:ascii="Arial" w:hAnsi="Arial" w:cs="Arial"/>
          <w:sz w:val="20"/>
        </w:rPr>
      </w:pPr>
      <w:r>
        <w:rPr>
          <w:rFonts w:ascii="Arial" w:hAnsi="Arial" w:cs="Arial"/>
          <w:sz w:val="20"/>
        </w:rPr>
        <w:t>I</w:t>
      </w:r>
      <w:r w:rsidR="00B21DA4">
        <w:rPr>
          <w:rFonts w:ascii="Arial" w:hAnsi="Arial" w:cs="Arial"/>
          <w:sz w:val="20"/>
        </w:rPr>
        <w:t xml:space="preserve">n the summary hearing of criminal proceedings a successful defendant is generally entitled to have his or her reasonable costs paid by the prosecution.  The leading case is </w:t>
      </w:r>
      <w:r w:rsidR="00B21DA4">
        <w:rPr>
          <w:rFonts w:ascii="Arial" w:hAnsi="Arial" w:cs="Arial"/>
          <w:i/>
          <w:iCs/>
          <w:sz w:val="20"/>
        </w:rPr>
        <w:t>Latoudis v Casey</w:t>
      </w:r>
      <w:r w:rsidR="00B21DA4">
        <w:rPr>
          <w:rFonts w:ascii="Arial" w:hAnsi="Arial" w:cs="Arial"/>
          <w:sz w:val="20"/>
        </w:rPr>
        <w:t xml:space="preserve"> (1991) 170 CLR 534 where Mason CJ (who with Toohey &amp; McHugh JJ formed the majority) held that in criminal proceedings</w:t>
      </w:r>
      <w:r w:rsidR="00366998" w:rsidRPr="00A31FFA">
        <w:rPr>
          <w:rFonts w:ascii="Arial" w:hAnsi="Arial" w:cs="Arial"/>
          <w:sz w:val="20"/>
        </w:rPr>
        <w:t>–</w:t>
      </w:r>
    </w:p>
    <w:p w14:paraId="615BBC1B" w14:textId="71D777E1" w:rsidR="00B21DA4" w:rsidRDefault="003A5F36" w:rsidP="000F0BE9">
      <w:pPr>
        <w:spacing w:before="60" w:after="60"/>
        <w:ind w:left="454" w:right="454"/>
        <w:jc w:val="both"/>
        <w:rPr>
          <w:rFonts w:ascii="Arial" w:hAnsi="Arial" w:cs="Arial"/>
          <w:sz w:val="20"/>
        </w:rPr>
      </w:pPr>
      <w:r>
        <w:rPr>
          <w:rFonts w:ascii="Arial" w:hAnsi="Arial" w:cs="Arial"/>
          <w:sz w:val="20"/>
        </w:rPr>
        <w:t xml:space="preserve">At p.544: </w:t>
      </w:r>
      <w:r w:rsidR="00B21DA4">
        <w:rPr>
          <w:rFonts w:ascii="Arial" w:hAnsi="Arial" w:cs="Arial"/>
          <w:sz w:val="20"/>
        </w:rPr>
        <w:t>"[I]n ordinary circumstances, an order for costs should be made in favour of a successful defendant. However, there will be cases in which, when regard is had to the particular circumstances, it would not be just and reasonable to order costs against the prosecutor or to order payment of all of the defendant's costs.  If, for example, the defendant, by his or her conduct after the events constituting the commission of the alleged offence, brought the prosecution upon himself or herself, then it would not be just and reasonable to award costs against the prosecutor."</w:t>
      </w:r>
    </w:p>
    <w:p w14:paraId="32C9DDBD" w14:textId="22B2B369" w:rsidR="003A5F36" w:rsidRDefault="003A5F36" w:rsidP="000F0BE9">
      <w:pPr>
        <w:spacing w:before="60" w:after="60"/>
        <w:ind w:left="454" w:right="454"/>
        <w:jc w:val="both"/>
        <w:rPr>
          <w:rFonts w:ascii="Arial" w:hAnsi="Arial" w:cs="Arial"/>
          <w:iCs/>
          <w:sz w:val="20"/>
        </w:rPr>
      </w:pPr>
      <w:r>
        <w:rPr>
          <w:rFonts w:ascii="Arial" w:hAnsi="Arial" w:cs="Arial"/>
          <w:sz w:val="20"/>
        </w:rPr>
        <w:t>At pp.542-3: “…[</w:t>
      </w:r>
      <w:r w:rsidRPr="003A5F36">
        <w:rPr>
          <w:rFonts w:ascii="Arial" w:hAnsi="Arial" w:cs="Arial"/>
          <w:sz w:val="20"/>
        </w:rPr>
        <w:t>I</w:t>
      </w:r>
      <w:r>
        <w:rPr>
          <w:rFonts w:ascii="Arial" w:hAnsi="Arial" w:cs="Arial"/>
          <w:sz w:val="20"/>
        </w:rPr>
        <w:t>]</w:t>
      </w:r>
      <w:r w:rsidRPr="003A5F36">
        <w:rPr>
          <w:rFonts w:ascii="Arial" w:hAnsi="Arial" w:cs="Arial"/>
          <w:sz w:val="20"/>
        </w:rPr>
        <w:t xml:space="preserve">n exercising its discretion to award or refuse </w:t>
      </w:r>
      <w:proofErr w:type="gramStart"/>
      <w:r w:rsidRPr="003A5F36">
        <w:rPr>
          <w:rFonts w:ascii="Arial" w:hAnsi="Arial" w:cs="Arial"/>
          <w:sz w:val="20"/>
        </w:rPr>
        <w:t>costs,</w:t>
      </w:r>
      <w:proofErr w:type="gramEnd"/>
      <w:r w:rsidRPr="003A5F36">
        <w:rPr>
          <w:rFonts w:ascii="Arial" w:hAnsi="Arial" w:cs="Arial"/>
          <w:sz w:val="20"/>
        </w:rPr>
        <w:t xml:space="preserve"> a court should look at the matter primarily from the perspective of the defendant. To do so conforms to fundamental principle. If one thing is clear in the realm of costs, it is that, in criminal as well as civil proceedings, costs are not awarded by way of punishment of the unsuccessful party. They are compensatory in the sense that they are awarded to indemnify the successful party against the expense to which he or she has been put by reason of the legal proceedings</w:t>
      </w:r>
      <w:r>
        <w:rPr>
          <w:rFonts w:ascii="Arial" w:hAnsi="Arial" w:cs="Arial"/>
          <w:sz w:val="20"/>
        </w:rPr>
        <w:t>..</w:t>
      </w:r>
      <w:r w:rsidRPr="003A5F36">
        <w:rPr>
          <w:rFonts w:ascii="Arial" w:hAnsi="Arial" w:cs="Arial"/>
          <w:sz w:val="20"/>
        </w:rPr>
        <w:t>.</w:t>
      </w:r>
      <w:r>
        <w:rPr>
          <w:rFonts w:ascii="Arial" w:hAnsi="Arial" w:cs="Arial"/>
          <w:sz w:val="20"/>
        </w:rPr>
        <w:t>”</w:t>
      </w:r>
    </w:p>
    <w:p w14:paraId="6A696111" w14:textId="45D0FAED" w:rsidR="0021207A" w:rsidRDefault="0021207A" w:rsidP="001F6C29">
      <w:pPr>
        <w:tabs>
          <w:tab w:val="left" w:pos="6480"/>
        </w:tabs>
        <w:spacing w:before="120"/>
        <w:jc w:val="both"/>
        <w:rPr>
          <w:rFonts w:ascii="Arial" w:hAnsi="Arial" w:cs="Arial"/>
          <w:sz w:val="20"/>
        </w:rPr>
      </w:pPr>
      <w:r>
        <w:rPr>
          <w:rFonts w:ascii="Arial" w:hAnsi="Arial" w:cs="Arial"/>
          <w:sz w:val="20"/>
        </w:rPr>
        <w:t xml:space="preserve">At p.561-2 Toohey J quoted with approval dicta from the Full Court of the Victorian Supreme Court in </w:t>
      </w:r>
      <w:r w:rsidRPr="00C9352E">
        <w:rPr>
          <w:rFonts w:ascii="Arial" w:hAnsi="Arial" w:cs="Arial"/>
          <w:i/>
          <w:iCs/>
          <w:sz w:val="20"/>
        </w:rPr>
        <w:t>Puddy v Borg</w:t>
      </w:r>
      <w:r>
        <w:rPr>
          <w:rFonts w:ascii="Arial" w:hAnsi="Arial" w:cs="Arial"/>
          <w:sz w:val="20"/>
        </w:rPr>
        <w:t xml:space="preserve"> [1973] VR 626 at 628:</w:t>
      </w:r>
    </w:p>
    <w:p w14:paraId="327E2149" w14:textId="159FBB95" w:rsidR="006010C0" w:rsidRDefault="006010C0" w:rsidP="006010C0">
      <w:pPr>
        <w:spacing w:before="60" w:after="60"/>
        <w:ind w:left="454" w:right="454"/>
        <w:jc w:val="both"/>
        <w:rPr>
          <w:rFonts w:ascii="Arial" w:hAnsi="Arial" w:cs="Arial"/>
          <w:iCs/>
          <w:sz w:val="20"/>
        </w:rPr>
      </w:pPr>
      <w:r>
        <w:rPr>
          <w:rFonts w:ascii="Arial" w:hAnsi="Arial" w:cs="Arial"/>
          <w:iCs/>
          <w:sz w:val="20"/>
        </w:rPr>
        <w:t>“The discretion is one to be exercised in each case according to its own circumstances.</w:t>
      </w:r>
      <w:r w:rsidR="008D67F8">
        <w:rPr>
          <w:rFonts w:ascii="Arial" w:hAnsi="Arial" w:cs="Arial"/>
          <w:iCs/>
          <w:sz w:val="20"/>
        </w:rPr>
        <w:t xml:space="preserve"> Beyond limiting the power to such costs as to the court seems just and reasonable, the sub-section does not otherwise circumscribe the discretion conferred.”</w:t>
      </w:r>
    </w:p>
    <w:p w14:paraId="75E94B29" w14:textId="544B6DB0" w:rsidR="0021207A" w:rsidRDefault="008D67F8">
      <w:pPr>
        <w:tabs>
          <w:tab w:val="left" w:pos="6480"/>
        </w:tabs>
        <w:jc w:val="both"/>
        <w:rPr>
          <w:rFonts w:ascii="Arial" w:hAnsi="Arial" w:cs="Arial"/>
          <w:sz w:val="20"/>
        </w:rPr>
      </w:pPr>
      <w:r>
        <w:rPr>
          <w:rFonts w:ascii="Arial" w:hAnsi="Arial" w:cs="Arial"/>
          <w:sz w:val="20"/>
        </w:rPr>
        <w:t xml:space="preserve">See also the judgment of Mason CJ at </w:t>
      </w:r>
      <w:r w:rsidR="00C9352E">
        <w:rPr>
          <w:rFonts w:ascii="Arial" w:hAnsi="Arial" w:cs="Arial"/>
          <w:sz w:val="20"/>
        </w:rPr>
        <w:t>pp.</w:t>
      </w:r>
      <w:r>
        <w:rPr>
          <w:rFonts w:ascii="Arial" w:hAnsi="Arial" w:cs="Arial"/>
          <w:sz w:val="20"/>
        </w:rPr>
        <w:t xml:space="preserve">539-40 (also citing with approval dicta from </w:t>
      </w:r>
      <w:r w:rsidRPr="008D67F8">
        <w:rPr>
          <w:rFonts w:ascii="Arial" w:hAnsi="Arial" w:cs="Arial"/>
          <w:i/>
          <w:iCs/>
          <w:sz w:val="20"/>
        </w:rPr>
        <w:t>Puddy v Borg</w:t>
      </w:r>
      <w:r>
        <w:rPr>
          <w:rFonts w:ascii="Arial" w:hAnsi="Arial" w:cs="Arial"/>
          <w:sz w:val="20"/>
        </w:rPr>
        <w:t xml:space="preserve"> at 628) and the judgment of McHugh J at </w:t>
      </w:r>
      <w:r w:rsidR="00C9352E">
        <w:rPr>
          <w:rFonts w:ascii="Arial" w:hAnsi="Arial" w:cs="Arial"/>
          <w:sz w:val="20"/>
        </w:rPr>
        <w:t>pp.</w:t>
      </w:r>
      <w:r>
        <w:rPr>
          <w:rFonts w:ascii="Arial" w:hAnsi="Arial" w:cs="Arial"/>
          <w:sz w:val="20"/>
        </w:rPr>
        <w:t>566-7.</w:t>
      </w:r>
    </w:p>
    <w:p w14:paraId="327D00E3" w14:textId="2B025D7A" w:rsidR="0021207A" w:rsidRDefault="006010C0" w:rsidP="001F6C29">
      <w:pPr>
        <w:tabs>
          <w:tab w:val="left" w:pos="6480"/>
        </w:tabs>
        <w:spacing w:before="120"/>
        <w:jc w:val="both"/>
        <w:rPr>
          <w:rFonts w:ascii="Arial" w:hAnsi="Arial" w:cs="Arial"/>
          <w:sz w:val="20"/>
        </w:rPr>
      </w:pPr>
      <w:r>
        <w:rPr>
          <w:rFonts w:ascii="Arial" w:hAnsi="Arial" w:cs="Arial"/>
          <w:sz w:val="20"/>
        </w:rPr>
        <w:t xml:space="preserve">At </w:t>
      </w:r>
      <w:r w:rsidR="0021207A">
        <w:rPr>
          <w:rFonts w:ascii="Arial" w:hAnsi="Arial" w:cs="Arial"/>
          <w:sz w:val="20"/>
        </w:rPr>
        <w:t xml:space="preserve">p.565 Toohey J cited dicta of Kirby P noting </w:t>
      </w:r>
      <w:r w:rsidR="0021207A" w:rsidRPr="0021207A">
        <w:rPr>
          <w:rFonts w:ascii="Arial" w:hAnsi="Arial" w:cs="Arial"/>
          <w:sz w:val="20"/>
        </w:rPr>
        <w:t>a very significant distinction between costs in civil and criminal proceedings</w:t>
      </w:r>
      <w:r w:rsidR="0021207A">
        <w:rPr>
          <w:rFonts w:ascii="Arial" w:hAnsi="Arial" w:cs="Arial"/>
          <w:sz w:val="20"/>
        </w:rPr>
        <w:t>:</w:t>
      </w:r>
    </w:p>
    <w:p w14:paraId="4C6D7A96" w14:textId="4C3F3804" w:rsidR="0021207A" w:rsidRPr="0021207A" w:rsidRDefault="0021207A" w:rsidP="0021207A">
      <w:pPr>
        <w:spacing w:before="60" w:after="60"/>
        <w:ind w:left="454" w:right="454"/>
        <w:jc w:val="both"/>
        <w:rPr>
          <w:rFonts w:ascii="Arial" w:hAnsi="Arial" w:cs="Arial"/>
          <w:iCs/>
          <w:sz w:val="20"/>
        </w:rPr>
      </w:pPr>
      <w:r>
        <w:rPr>
          <w:rFonts w:ascii="Arial" w:hAnsi="Arial" w:cs="Arial"/>
          <w:iCs/>
          <w:sz w:val="20"/>
        </w:rPr>
        <w:t>“</w:t>
      </w:r>
      <w:r w:rsidRPr="0021207A">
        <w:rPr>
          <w:rFonts w:ascii="Arial" w:hAnsi="Arial" w:cs="Arial"/>
          <w:sz w:val="20"/>
        </w:rPr>
        <w:t xml:space="preserve">If a prosecution has failed, it would ordinarily be just and reasonable to award the defendant costs, because the defendant has incurred expense, perhaps very considerable expense, in defending the charge. What Kirby P said in </w:t>
      </w:r>
      <w:r w:rsidRPr="0021207A">
        <w:rPr>
          <w:rFonts w:ascii="Arial" w:hAnsi="Arial" w:cs="Arial"/>
          <w:i/>
          <w:iCs/>
          <w:sz w:val="20"/>
        </w:rPr>
        <w:t>Acuthan v Coates</w:t>
      </w:r>
      <w:r w:rsidRPr="0021207A">
        <w:rPr>
          <w:rFonts w:ascii="Arial" w:hAnsi="Arial" w:cs="Arial"/>
          <w:sz w:val="20"/>
        </w:rPr>
        <w:t xml:space="preserve"> (1986) 6 NSWLR 472 at 480 of defendants to committal proceedings is apposite:</w:t>
      </w:r>
    </w:p>
    <w:p w14:paraId="76D87B9D" w14:textId="4CBCBA7A" w:rsidR="0021207A" w:rsidRPr="00811BF5" w:rsidRDefault="0021207A" w:rsidP="0021207A">
      <w:pPr>
        <w:spacing w:before="60"/>
        <w:ind w:left="907" w:right="907"/>
        <w:jc w:val="both"/>
        <w:rPr>
          <w:rFonts w:ascii="Arial" w:hAnsi="Arial" w:cs="Arial"/>
          <w:iCs/>
          <w:sz w:val="18"/>
          <w:szCs w:val="22"/>
        </w:rPr>
      </w:pPr>
      <w:r w:rsidRPr="00811BF5">
        <w:rPr>
          <w:rFonts w:ascii="Arial" w:hAnsi="Arial" w:cs="Arial"/>
          <w:sz w:val="18"/>
          <w:szCs w:val="22"/>
        </w:rPr>
        <w:t>‘The section recognises that persons accused of criminal offences can be put to a great deal of expense in defending themselves. Unlike civil litigation, they cannot simply compromise the matter. Their liberty, reputation and pocket are, or may be, at risk.’”</w:t>
      </w:r>
    </w:p>
    <w:p w14:paraId="174C455B" w14:textId="225B30D6" w:rsidR="00B21DA4" w:rsidRDefault="00B21DA4" w:rsidP="001F6C29">
      <w:pPr>
        <w:tabs>
          <w:tab w:val="left" w:pos="6480"/>
        </w:tabs>
        <w:spacing w:before="120"/>
        <w:jc w:val="both"/>
        <w:rPr>
          <w:rFonts w:ascii="Arial" w:hAnsi="Arial" w:cs="Arial"/>
          <w:sz w:val="20"/>
        </w:rPr>
      </w:pPr>
      <w:r>
        <w:rPr>
          <w:rFonts w:ascii="Arial" w:hAnsi="Arial" w:cs="Arial"/>
          <w:sz w:val="20"/>
        </w:rPr>
        <w:t>A</w:t>
      </w:r>
      <w:r w:rsidR="001F6C29">
        <w:rPr>
          <w:rFonts w:ascii="Arial" w:hAnsi="Arial" w:cs="Arial"/>
          <w:sz w:val="20"/>
        </w:rPr>
        <w:t>nd a</w:t>
      </w:r>
      <w:r>
        <w:rPr>
          <w:rFonts w:ascii="Arial" w:hAnsi="Arial" w:cs="Arial"/>
          <w:sz w:val="20"/>
        </w:rPr>
        <w:t>t p.570 McHugh JJ stated: "Nor can the successful defendant be deprived of his or her costs because the conduct of the defendant gave rise to a suspicion or probability that he or she was guilty of the offence the subject of the prosecution." However earlier in that same paragraph there are the qualifying words: "speaking generally".</w:t>
      </w:r>
    </w:p>
    <w:p w14:paraId="640D7CF6" w14:textId="77777777" w:rsidR="00B21DA4" w:rsidRDefault="00B21DA4">
      <w:pPr>
        <w:tabs>
          <w:tab w:val="left" w:pos="6480"/>
        </w:tabs>
        <w:jc w:val="both"/>
        <w:rPr>
          <w:rFonts w:ascii="Arial" w:hAnsi="Arial" w:cs="Arial"/>
          <w:sz w:val="20"/>
        </w:rPr>
      </w:pPr>
    </w:p>
    <w:p w14:paraId="747FDF74" w14:textId="77777777" w:rsidR="00B21DA4" w:rsidRDefault="00B21DA4">
      <w:pPr>
        <w:tabs>
          <w:tab w:val="left" w:pos="6480"/>
        </w:tabs>
        <w:jc w:val="both"/>
        <w:rPr>
          <w:rFonts w:ascii="Arial" w:hAnsi="Arial" w:cs="Arial"/>
          <w:sz w:val="20"/>
        </w:rPr>
      </w:pPr>
      <w:r>
        <w:rPr>
          <w:rFonts w:ascii="Arial" w:hAnsi="Arial" w:cs="Arial"/>
          <w:sz w:val="20"/>
        </w:rPr>
        <w:t xml:space="preserve">In </w:t>
      </w:r>
      <w:r>
        <w:rPr>
          <w:rFonts w:ascii="Arial" w:hAnsi="Arial" w:cs="Arial"/>
          <w:i/>
          <w:iCs/>
          <w:sz w:val="20"/>
        </w:rPr>
        <w:t xml:space="preserve">Alexander v Renney </w:t>
      </w:r>
      <w:r>
        <w:rPr>
          <w:rFonts w:ascii="Arial" w:hAnsi="Arial" w:cs="Arial"/>
          <w:sz w:val="20"/>
        </w:rPr>
        <w:t xml:space="preserve">[Supreme Court of Victoria, {MC23/95}, </w:t>
      </w:r>
      <w:smartTag w:uri="urn:schemas-microsoft-com:office:smarttags" w:element="date">
        <w:smartTagPr>
          <w:attr w:name="Year" w:val="1995"/>
          <w:attr w:name="Day" w:val="21"/>
          <w:attr w:name="Month" w:val="8"/>
        </w:smartTagPr>
        <w:r>
          <w:rPr>
            <w:rFonts w:ascii="Arial" w:hAnsi="Arial" w:cs="Arial"/>
            <w:sz w:val="20"/>
          </w:rPr>
          <w:t>21/08/1995</w:t>
        </w:r>
      </w:smartTag>
      <w:r>
        <w:rPr>
          <w:rFonts w:ascii="Arial" w:hAnsi="Arial" w:cs="Arial"/>
          <w:sz w:val="20"/>
        </w:rPr>
        <w:t xml:space="preserve">] Batt J upheld a refusal to award costs where relevant information was not disclosed by the defendant at the contest mention.  Compare </w:t>
      </w:r>
      <w:r>
        <w:rPr>
          <w:rFonts w:ascii="Arial" w:hAnsi="Arial" w:cs="Arial"/>
          <w:i/>
          <w:iCs/>
          <w:sz w:val="20"/>
        </w:rPr>
        <w:t>Hehir v Bishop</w:t>
      </w:r>
      <w:r>
        <w:rPr>
          <w:rFonts w:ascii="Arial" w:hAnsi="Arial" w:cs="Arial"/>
          <w:sz w:val="20"/>
        </w:rPr>
        <w:t xml:space="preserve"> [Supreme Court of Victoria, unreported, </w:t>
      </w:r>
      <w:smartTag w:uri="urn:schemas-microsoft-com:office:smarttags" w:element="date">
        <w:smartTagPr>
          <w:attr w:name="Year" w:val="1993"/>
          <w:attr w:name="Day" w:val="20"/>
          <w:attr w:name="Month" w:val="4"/>
        </w:smartTagPr>
        <w:r>
          <w:rPr>
            <w:rFonts w:ascii="Arial" w:hAnsi="Arial" w:cs="Arial"/>
            <w:sz w:val="20"/>
          </w:rPr>
          <w:t>20/04/1993</w:t>
        </w:r>
      </w:smartTag>
      <w:r>
        <w:rPr>
          <w:rFonts w:ascii="Arial" w:hAnsi="Arial" w:cs="Arial"/>
          <w:sz w:val="20"/>
        </w:rPr>
        <w:t>] where Ashley J allowed an appeal against a magistrate's refusal to award costs when a charge of driving an unregistered motor vehicle was dismissed.</w:t>
      </w:r>
    </w:p>
    <w:p w14:paraId="68AC492B" w14:textId="77777777" w:rsidR="00B21DA4" w:rsidRDefault="00B21DA4">
      <w:pPr>
        <w:jc w:val="both"/>
        <w:rPr>
          <w:rFonts w:ascii="Arial" w:hAnsi="Arial" w:cs="Arial"/>
          <w:sz w:val="20"/>
        </w:rPr>
      </w:pPr>
    </w:p>
    <w:p w14:paraId="347FE358" w14:textId="33AF45AD" w:rsidR="00B21DA4" w:rsidRDefault="00B21DA4" w:rsidP="00CF3D8C">
      <w:pPr>
        <w:spacing w:after="120"/>
        <w:jc w:val="both"/>
        <w:rPr>
          <w:rFonts w:ascii="Arial" w:hAnsi="Arial" w:cs="Arial"/>
          <w:sz w:val="20"/>
        </w:rPr>
      </w:pPr>
      <w:r>
        <w:rPr>
          <w:rFonts w:ascii="Arial" w:hAnsi="Arial" w:cs="Arial"/>
          <w:sz w:val="20"/>
        </w:rPr>
        <w:t xml:space="preserve">In </w:t>
      </w:r>
      <w:r>
        <w:rPr>
          <w:rFonts w:ascii="Arial" w:hAnsi="Arial" w:cs="Arial"/>
          <w:i/>
          <w:iCs/>
          <w:sz w:val="20"/>
        </w:rPr>
        <w:t>Jandreoski and Ors v Colley and Ors</w:t>
      </w:r>
      <w:r>
        <w:rPr>
          <w:rFonts w:ascii="Arial" w:hAnsi="Arial" w:cs="Arial"/>
          <w:sz w:val="20"/>
        </w:rPr>
        <w:t xml:space="preserve"> [2004] VSC 131, in dismissing an appeal against a magistrate's refusal of costs to otherwise successful defendants, Teague J engaged in a detailed analysis of the principles espoused in </w:t>
      </w:r>
      <w:r>
        <w:rPr>
          <w:rFonts w:ascii="Arial" w:hAnsi="Arial" w:cs="Arial"/>
          <w:i/>
          <w:iCs/>
          <w:sz w:val="20"/>
        </w:rPr>
        <w:t>Latoudis v Casey</w:t>
      </w:r>
      <w:r>
        <w:rPr>
          <w:rFonts w:ascii="Arial" w:hAnsi="Arial" w:cs="Arial"/>
          <w:sz w:val="20"/>
        </w:rPr>
        <w:t xml:space="preserve"> and six subsequent cas</w:t>
      </w:r>
      <w:r w:rsidR="00567EDC">
        <w:rPr>
          <w:rFonts w:ascii="Arial" w:hAnsi="Arial" w:cs="Arial"/>
          <w:sz w:val="20"/>
        </w:rPr>
        <w:t xml:space="preserve">es </w:t>
      </w:r>
      <w:r>
        <w:rPr>
          <w:rFonts w:ascii="Arial" w:hAnsi="Arial" w:cs="Arial"/>
          <w:sz w:val="20"/>
        </w:rPr>
        <w:t>summarized in table form at [8]:</w:t>
      </w:r>
    </w:p>
    <w:tbl>
      <w:tblPr>
        <w:tblW w:w="9072"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074"/>
        <w:gridCol w:w="6577"/>
        <w:gridCol w:w="1421"/>
      </w:tblGrid>
      <w:tr w:rsidR="00B21DA4" w14:paraId="4FE97100" w14:textId="77777777" w:rsidTr="004A50B3">
        <w:trPr>
          <w:cantSplit/>
        </w:trPr>
        <w:tc>
          <w:tcPr>
            <w:tcW w:w="7651" w:type="dxa"/>
            <w:gridSpan w:val="2"/>
            <w:tcBorders>
              <w:bottom w:val="single" w:sz="12" w:space="0" w:color="auto"/>
            </w:tcBorders>
            <w:shd w:val="clear" w:color="auto" w:fill="DDDDDD"/>
          </w:tcPr>
          <w:p w14:paraId="29416FF3" w14:textId="77777777" w:rsidR="00B21DA4" w:rsidRDefault="00B21DA4" w:rsidP="00CF3D8C">
            <w:pPr>
              <w:keepNext/>
              <w:keepLines/>
              <w:jc w:val="center"/>
              <w:rPr>
                <w:rFonts w:ascii="Arial" w:eastAsia="Arial Unicode MS" w:hAnsi="Arial" w:cs="Arial"/>
                <w:b/>
                <w:bCs/>
                <w:iCs/>
                <w:sz w:val="22"/>
              </w:rPr>
            </w:pPr>
            <w:r>
              <w:rPr>
                <w:rFonts w:ascii="Arial" w:eastAsia="Arial Unicode MS" w:hAnsi="Arial" w:cs="Arial"/>
                <w:b/>
                <w:bCs/>
                <w:iCs/>
                <w:sz w:val="22"/>
              </w:rPr>
              <w:t>CASE</w:t>
            </w:r>
          </w:p>
        </w:tc>
        <w:tc>
          <w:tcPr>
            <w:tcW w:w="1421" w:type="dxa"/>
            <w:tcBorders>
              <w:bottom w:val="single" w:sz="12" w:space="0" w:color="auto"/>
            </w:tcBorders>
            <w:shd w:val="clear" w:color="auto" w:fill="DDDDDD"/>
          </w:tcPr>
          <w:p w14:paraId="4E7093F8" w14:textId="77777777" w:rsidR="00B21DA4" w:rsidRDefault="00B21DA4" w:rsidP="00CF3D8C">
            <w:pPr>
              <w:keepNext/>
              <w:keepLines/>
              <w:jc w:val="center"/>
              <w:rPr>
                <w:rFonts w:ascii="Arial" w:eastAsia="Arial Unicode MS" w:hAnsi="Arial" w:cs="Arial"/>
                <w:b/>
                <w:bCs/>
                <w:sz w:val="22"/>
              </w:rPr>
            </w:pPr>
            <w:r>
              <w:rPr>
                <w:rFonts w:ascii="Arial" w:eastAsia="Arial Unicode MS" w:hAnsi="Arial" w:cs="Arial"/>
                <w:b/>
                <w:bCs/>
                <w:sz w:val="22"/>
              </w:rPr>
              <w:t>COSTS</w:t>
            </w:r>
          </w:p>
        </w:tc>
      </w:tr>
      <w:tr w:rsidR="00B21DA4" w14:paraId="1E2EE9B6" w14:textId="77777777">
        <w:trPr>
          <w:cantSplit/>
        </w:trPr>
        <w:tc>
          <w:tcPr>
            <w:tcW w:w="1074" w:type="dxa"/>
            <w:tcBorders>
              <w:top w:val="single" w:sz="12" w:space="0" w:color="auto"/>
              <w:bottom w:val="single" w:sz="6" w:space="0" w:color="000000"/>
            </w:tcBorders>
          </w:tcPr>
          <w:p w14:paraId="49A0FA05" w14:textId="77777777" w:rsidR="00B21DA4" w:rsidRDefault="00B21DA4" w:rsidP="00CF3D8C">
            <w:pPr>
              <w:keepNext/>
              <w:keepLines/>
              <w:rPr>
                <w:rFonts w:ascii="Arial" w:eastAsia="Arial Unicode MS" w:hAnsi="Arial" w:cs="Arial"/>
                <w:i/>
                <w:sz w:val="20"/>
              </w:rPr>
            </w:pPr>
            <w:r>
              <w:rPr>
                <w:rFonts w:ascii="Arial" w:eastAsia="Arial Unicode MS" w:hAnsi="Arial" w:cs="Arial"/>
                <w:i/>
                <w:sz w:val="20"/>
              </w:rPr>
              <w:t>Latoudis</w:t>
            </w:r>
          </w:p>
        </w:tc>
        <w:tc>
          <w:tcPr>
            <w:tcW w:w="6577" w:type="dxa"/>
            <w:tcBorders>
              <w:top w:val="single" w:sz="12" w:space="0" w:color="auto"/>
              <w:bottom w:val="single" w:sz="6" w:space="0" w:color="000000"/>
            </w:tcBorders>
          </w:tcPr>
          <w:p w14:paraId="3FA476AC" w14:textId="5266834B" w:rsidR="00B21DA4" w:rsidRDefault="00B21DA4" w:rsidP="00CF3D8C">
            <w:pPr>
              <w:keepNext/>
              <w:keepLines/>
              <w:jc w:val="both"/>
              <w:rPr>
                <w:rFonts w:ascii="Arial" w:eastAsia="Arial Unicode MS" w:hAnsi="Arial" w:cs="Arial"/>
                <w:sz w:val="20"/>
              </w:rPr>
            </w:pPr>
            <w:r>
              <w:rPr>
                <w:rFonts w:ascii="Arial" w:eastAsia="Arial Unicode MS" w:hAnsi="Arial" w:cs="Arial"/>
                <w:i/>
                <w:sz w:val="20"/>
              </w:rPr>
              <w:t>Latoudis v Casey</w:t>
            </w:r>
            <w:r>
              <w:rPr>
                <w:rFonts w:ascii="Arial" w:eastAsia="Arial Unicode MS" w:hAnsi="Arial" w:cs="Arial"/>
                <w:sz w:val="20"/>
              </w:rPr>
              <w:t xml:space="preserve"> (199</w:t>
            </w:r>
            <w:r w:rsidR="0080151D">
              <w:rPr>
                <w:rFonts w:ascii="Arial" w:eastAsia="Arial Unicode MS" w:hAnsi="Arial" w:cs="Arial"/>
                <w:sz w:val="20"/>
              </w:rPr>
              <w:t>1</w:t>
            </w:r>
            <w:r>
              <w:rPr>
                <w:rFonts w:ascii="Arial" w:eastAsia="Arial Unicode MS" w:hAnsi="Arial" w:cs="Arial"/>
                <w:sz w:val="20"/>
              </w:rPr>
              <w:t>) 170 CLR 534</w:t>
            </w:r>
          </w:p>
        </w:tc>
        <w:tc>
          <w:tcPr>
            <w:tcW w:w="1421" w:type="dxa"/>
            <w:tcBorders>
              <w:top w:val="single" w:sz="12" w:space="0" w:color="auto"/>
              <w:bottom w:val="single" w:sz="6" w:space="0" w:color="000000"/>
            </w:tcBorders>
          </w:tcPr>
          <w:p w14:paraId="23696AB2" w14:textId="77777777" w:rsidR="00B21DA4" w:rsidRDefault="00B21DA4" w:rsidP="00CF3D8C">
            <w:pPr>
              <w:keepNext/>
              <w:keepLines/>
              <w:spacing w:before="40"/>
              <w:jc w:val="center"/>
              <w:rPr>
                <w:rFonts w:ascii="Arial" w:eastAsia="Arial Unicode MS" w:hAnsi="Arial" w:cs="Arial"/>
                <w:sz w:val="16"/>
              </w:rPr>
            </w:pPr>
            <w:r>
              <w:rPr>
                <w:rFonts w:ascii="Arial" w:eastAsia="Arial Unicode MS" w:hAnsi="Arial" w:cs="Arial"/>
                <w:sz w:val="16"/>
              </w:rPr>
              <w:t>ALLOWED</w:t>
            </w:r>
          </w:p>
        </w:tc>
      </w:tr>
      <w:tr w:rsidR="00B21DA4" w14:paraId="758C625B" w14:textId="77777777">
        <w:trPr>
          <w:cantSplit/>
        </w:trPr>
        <w:tc>
          <w:tcPr>
            <w:tcW w:w="1074" w:type="dxa"/>
            <w:tcBorders>
              <w:top w:val="single" w:sz="6" w:space="0" w:color="000000"/>
            </w:tcBorders>
          </w:tcPr>
          <w:p w14:paraId="08C8A3B1" w14:textId="77777777" w:rsidR="00B21DA4" w:rsidRDefault="00B21DA4">
            <w:pPr>
              <w:rPr>
                <w:rFonts w:ascii="Arial" w:eastAsia="Arial Unicode MS" w:hAnsi="Arial" w:cs="Arial"/>
                <w:i/>
                <w:sz w:val="20"/>
              </w:rPr>
            </w:pPr>
            <w:r>
              <w:rPr>
                <w:rFonts w:ascii="Arial" w:eastAsia="Arial Unicode MS" w:hAnsi="Arial" w:cs="Arial"/>
                <w:i/>
                <w:sz w:val="20"/>
              </w:rPr>
              <w:t>Redl</w:t>
            </w:r>
          </w:p>
        </w:tc>
        <w:tc>
          <w:tcPr>
            <w:tcW w:w="6577" w:type="dxa"/>
            <w:tcBorders>
              <w:top w:val="single" w:sz="6" w:space="0" w:color="000000"/>
            </w:tcBorders>
          </w:tcPr>
          <w:p w14:paraId="143C7619" w14:textId="77777777" w:rsidR="00B21DA4" w:rsidRDefault="00B21DA4">
            <w:pPr>
              <w:jc w:val="both"/>
              <w:rPr>
                <w:rFonts w:ascii="Arial" w:eastAsia="Arial Unicode MS" w:hAnsi="Arial" w:cs="Arial"/>
                <w:sz w:val="20"/>
              </w:rPr>
            </w:pPr>
            <w:r>
              <w:rPr>
                <w:rFonts w:ascii="Arial" w:eastAsia="Arial Unicode MS" w:hAnsi="Arial" w:cs="Arial"/>
                <w:i/>
                <w:sz w:val="20"/>
              </w:rPr>
              <w:t>Redl v Toppin</w:t>
            </w:r>
            <w:r>
              <w:rPr>
                <w:rFonts w:ascii="Arial" w:eastAsia="Arial Unicode MS" w:hAnsi="Arial" w:cs="Arial"/>
                <w:sz w:val="20"/>
              </w:rPr>
              <w:t xml:space="preserve"> (Full Court Supreme Court of Victoria, unreported, 01/04/1993)</w:t>
            </w:r>
          </w:p>
        </w:tc>
        <w:tc>
          <w:tcPr>
            <w:tcW w:w="1421" w:type="dxa"/>
            <w:tcBorders>
              <w:top w:val="single" w:sz="6" w:space="0" w:color="000000"/>
            </w:tcBorders>
          </w:tcPr>
          <w:p w14:paraId="6E8B6AC8"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REFUSAL DISAPPROVED</w:t>
            </w:r>
          </w:p>
        </w:tc>
      </w:tr>
      <w:tr w:rsidR="00B21DA4" w14:paraId="7DC670AF" w14:textId="77777777">
        <w:trPr>
          <w:cantSplit/>
        </w:trPr>
        <w:tc>
          <w:tcPr>
            <w:tcW w:w="1074" w:type="dxa"/>
          </w:tcPr>
          <w:p w14:paraId="25A625E3" w14:textId="77777777" w:rsidR="00B21DA4" w:rsidRDefault="00B21DA4">
            <w:pPr>
              <w:rPr>
                <w:rFonts w:ascii="Arial" w:eastAsia="Arial Unicode MS" w:hAnsi="Arial" w:cs="Arial"/>
                <w:i/>
                <w:sz w:val="20"/>
              </w:rPr>
            </w:pPr>
            <w:r>
              <w:rPr>
                <w:rFonts w:ascii="Arial" w:eastAsia="Arial Unicode MS" w:hAnsi="Arial" w:cs="Arial"/>
                <w:i/>
                <w:sz w:val="20"/>
              </w:rPr>
              <w:t>Larrain</w:t>
            </w:r>
          </w:p>
        </w:tc>
        <w:tc>
          <w:tcPr>
            <w:tcW w:w="6577" w:type="dxa"/>
          </w:tcPr>
          <w:p w14:paraId="72082D6F" w14:textId="77777777" w:rsidR="00B21DA4" w:rsidRDefault="00B21DA4">
            <w:pPr>
              <w:jc w:val="both"/>
              <w:rPr>
                <w:rFonts w:ascii="Arial" w:eastAsia="Arial Unicode MS" w:hAnsi="Arial" w:cs="Arial"/>
                <w:sz w:val="20"/>
              </w:rPr>
            </w:pPr>
            <w:r>
              <w:rPr>
                <w:rFonts w:ascii="Arial" w:eastAsia="Arial Unicode MS" w:hAnsi="Arial" w:cs="Arial"/>
                <w:i/>
                <w:sz w:val="20"/>
              </w:rPr>
              <w:t xml:space="preserve">Larrain v </w:t>
            </w:r>
            <w:smartTag w:uri="urn:schemas-microsoft-com:office:smarttags" w:element="place">
              <w:r>
                <w:rPr>
                  <w:rFonts w:ascii="Arial" w:eastAsia="Arial Unicode MS" w:hAnsi="Arial" w:cs="Arial"/>
                  <w:i/>
                  <w:sz w:val="20"/>
                </w:rPr>
                <w:t>Clark</w:t>
              </w:r>
            </w:smartTag>
            <w:r>
              <w:rPr>
                <w:rFonts w:ascii="Arial" w:eastAsia="Arial Unicode MS" w:hAnsi="Arial" w:cs="Arial"/>
                <w:sz w:val="20"/>
              </w:rPr>
              <w:t xml:space="preserve"> (Smith J, unreported, 13/07/1995)</w:t>
            </w:r>
          </w:p>
        </w:tc>
        <w:tc>
          <w:tcPr>
            <w:tcW w:w="1421" w:type="dxa"/>
          </w:tcPr>
          <w:p w14:paraId="3EC3EF77"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ALLOWED</w:t>
            </w:r>
          </w:p>
        </w:tc>
      </w:tr>
      <w:tr w:rsidR="00B21DA4" w14:paraId="03C36392" w14:textId="77777777">
        <w:trPr>
          <w:cantSplit/>
        </w:trPr>
        <w:tc>
          <w:tcPr>
            <w:tcW w:w="1074" w:type="dxa"/>
          </w:tcPr>
          <w:p w14:paraId="40DDDC37" w14:textId="77777777" w:rsidR="00B21DA4" w:rsidRDefault="00B21DA4">
            <w:pPr>
              <w:rPr>
                <w:rFonts w:ascii="Arial" w:eastAsia="Arial Unicode MS" w:hAnsi="Arial" w:cs="Arial"/>
                <w:i/>
                <w:sz w:val="20"/>
              </w:rPr>
            </w:pPr>
            <w:r>
              <w:rPr>
                <w:rFonts w:ascii="Arial" w:eastAsia="Arial Unicode MS" w:hAnsi="Arial" w:cs="Arial"/>
                <w:i/>
                <w:sz w:val="20"/>
              </w:rPr>
              <w:t>Alexander</w:t>
            </w:r>
          </w:p>
        </w:tc>
        <w:tc>
          <w:tcPr>
            <w:tcW w:w="6577" w:type="dxa"/>
          </w:tcPr>
          <w:p w14:paraId="1A560086" w14:textId="77777777" w:rsidR="00B21DA4" w:rsidRDefault="00B21DA4">
            <w:pPr>
              <w:jc w:val="both"/>
              <w:rPr>
                <w:rFonts w:ascii="Arial" w:eastAsia="Arial Unicode MS" w:hAnsi="Arial" w:cs="Arial"/>
                <w:sz w:val="20"/>
              </w:rPr>
            </w:pPr>
            <w:r>
              <w:rPr>
                <w:rFonts w:ascii="Arial" w:eastAsia="Arial Unicode MS" w:hAnsi="Arial" w:cs="Arial"/>
                <w:i/>
                <w:sz w:val="20"/>
              </w:rPr>
              <w:t xml:space="preserve">Alexander v </w:t>
            </w:r>
            <w:proofErr w:type="gramStart"/>
            <w:r>
              <w:rPr>
                <w:rFonts w:ascii="Arial" w:eastAsia="Arial Unicode MS" w:hAnsi="Arial" w:cs="Arial"/>
                <w:i/>
                <w:sz w:val="20"/>
              </w:rPr>
              <w:t>Renney</w:t>
            </w:r>
            <w:r>
              <w:rPr>
                <w:rFonts w:ascii="Arial" w:eastAsia="Arial Unicode MS" w:hAnsi="Arial" w:cs="Arial"/>
                <w:sz w:val="20"/>
              </w:rPr>
              <w:t xml:space="preserve">  (</w:t>
            </w:r>
            <w:proofErr w:type="gramEnd"/>
            <w:r>
              <w:rPr>
                <w:rFonts w:ascii="Arial" w:eastAsia="Arial Unicode MS" w:hAnsi="Arial" w:cs="Arial"/>
                <w:sz w:val="20"/>
              </w:rPr>
              <w:t>Batt J, unreported, 21/08/1995)</w:t>
            </w:r>
          </w:p>
        </w:tc>
        <w:tc>
          <w:tcPr>
            <w:tcW w:w="1421" w:type="dxa"/>
          </w:tcPr>
          <w:p w14:paraId="705EE6A6"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REFUSED</w:t>
            </w:r>
          </w:p>
        </w:tc>
      </w:tr>
      <w:tr w:rsidR="00B21DA4" w14:paraId="51295129" w14:textId="77777777">
        <w:trPr>
          <w:cantSplit/>
        </w:trPr>
        <w:tc>
          <w:tcPr>
            <w:tcW w:w="1074" w:type="dxa"/>
          </w:tcPr>
          <w:p w14:paraId="79CF95DA" w14:textId="77777777" w:rsidR="00B21DA4" w:rsidRDefault="00B21DA4">
            <w:pPr>
              <w:rPr>
                <w:rFonts w:ascii="Arial" w:eastAsia="Arial Unicode MS" w:hAnsi="Arial" w:cs="Arial"/>
                <w:i/>
                <w:sz w:val="20"/>
              </w:rPr>
            </w:pPr>
            <w:r>
              <w:rPr>
                <w:rFonts w:ascii="Arial" w:eastAsia="Arial Unicode MS" w:hAnsi="Arial" w:cs="Arial"/>
                <w:i/>
                <w:sz w:val="20"/>
              </w:rPr>
              <w:t>Oshlack</w:t>
            </w:r>
          </w:p>
        </w:tc>
        <w:tc>
          <w:tcPr>
            <w:tcW w:w="6577" w:type="dxa"/>
          </w:tcPr>
          <w:p w14:paraId="2BB4C6C8" w14:textId="77777777" w:rsidR="00B21DA4" w:rsidRDefault="00B21DA4">
            <w:pPr>
              <w:jc w:val="both"/>
              <w:rPr>
                <w:rFonts w:ascii="Arial" w:eastAsia="Arial Unicode MS" w:hAnsi="Arial" w:cs="Arial"/>
                <w:sz w:val="20"/>
              </w:rPr>
            </w:pPr>
            <w:r>
              <w:rPr>
                <w:rFonts w:ascii="Arial" w:eastAsia="Arial Unicode MS" w:hAnsi="Arial" w:cs="Arial"/>
                <w:i/>
                <w:sz w:val="20"/>
              </w:rPr>
              <w:t xml:space="preserve">Oshlack v </w:t>
            </w:r>
            <w:smartTag w:uri="urn:schemas-microsoft-com:office:smarttags" w:element="place">
              <w:smartTag w:uri="urn:schemas-microsoft-com:office:smarttags" w:element="PlaceName">
                <w:r>
                  <w:rPr>
                    <w:rFonts w:ascii="Arial" w:eastAsia="Arial Unicode MS" w:hAnsi="Arial" w:cs="Arial"/>
                    <w:i/>
                    <w:sz w:val="20"/>
                  </w:rPr>
                  <w:t>Richmond</w:t>
                </w:r>
              </w:smartTag>
              <w:r>
                <w:rPr>
                  <w:rFonts w:ascii="Arial" w:eastAsia="Arial Unicode MS" w:hAnsi="Arial" w:cs="Arial"/>
                  <w:i/>
                  <w:sz w:val="20"/>
                </w:rPr>
                <w:t xml:space="preserve"> </w:t>
              </w:r>
              <w:smartTag w:uri="urn:schemas-microsoft-com:office:smarttags" w:element="PlaceType">
                <w:r>
                  <w:rPr>
                    <w:rFonts w:ascii="Arial" w:eastAsia="Arial Unicode MS" w:hAnsi="Arial" w:cs="Arial"/>
                    <w:i/>
                    <w:sz w:val="20"/>
                  </w:rPr>
                  <w:t>River</w:t>
                </w:r>
              </w:smartTag>
            </w:smartTag>
            <w:r>
              <w:rPr>
                <w:rFonts w:ascii="Arial" w:eastAsia="Arial Unicode MS" w:hAnsi="Arial" w:cs="Arial"/>
                <w:i/>
                <w:sz w:val="20"/>
              </w:rPr>
              <w:t xml:space="preserve"> Council</w:t>
            </w:r>
            <w:r>
              <w:rPr>
                <w:rFonts w:ascii="Arial" w:eastAsia="Arial Unicode MS" w:hAnsi="Arial" w:cs="Arial"/>
                <w:sz w:val="20"/>
              </w:rPr>
              <w:t xml:space="preserve"> (1997-1998) 193 CLR 72</w:t>
            </w:r>
          </w:p>
        </w:tc>
        <w:tc>
          <w:tcPr>
            <w:tcW w:w="1421" w:type="dxa"/>
          </w:tcPr>
          <w:p w14:paraId="513AA06D"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ALLOWED</w:t>
            </w:r>
          </w:p>
        </w:tc>
      </w:tr>
      <w:tr w:rsidR="00B21DA4" w14:paraId="407792B3" w14:textId="77777777">
        <w:trPr>
          <w:cantSplit/>
        </w:trPr>
        <w:tc>
          <w:tcPr>
            <w:tcW w:w="1074" w:type="dxa"/>
          </w:tcPr>
          <w:p w14:paraId="391B6A63" w14:textId="77777777" w:rsidR="00B21DA4" w:rsidRDefault="00B21DA4">
            <w:pPr>
              <w:rPr>
                <w:rFonts w:ascii="Arial" w:eastAsia="Arial Unicode MS" w:hAnsi="Arial" w:cs="Arial"/>
                <w:i/>
                <w:sz w:val="20"/>
              </w:rPr>
            </w:pPr>
            <w:r>
              <w:rPr>
                <w:rFonts w:ascii="Arial" w:eastAsia="Arial Unicode MS" w:hAnsi="Arial" w:cs="Arial"/>
                <w:i/>
                <w:sz w:val="20"/>
              </w:rPr>
              <w:t>Nguyen</w:t>
            </w:r>
          </w:p>
        </w:tc>
        <w:tc>
          <w:tcPr>
            <w:tcW w:w="6577" w:type="dxa"/>
          </w:tcPr>
          <w:p w14:paraId="6BCD1F4B" w14:textId="77777777" w:rsidR="00B21DA4" w:rsidRDefault="00B21DA4">
            <w:pPr>
              <w:jc w:val="both"/>
              <w:rPr>
                <w:rFonts w:ascii="Arial" w:eastAsia="Arial Unicode MS" w:hAnsi="Arial" w:cs="Arial"/>
                <w:sz w:val="20"/>
              </w:rPr>
            </w:pPr>
            <w:r>
              <w:rPr>
                <w:rFonts w:ascii="Arial" w:eastAsia="Arial Unicode MS" w:hAnsi="Arial" w:cs="Arial"/>
                <w:i/>
                <w:sz w:val="20"/>
              </w:rPr>
              <w:t>Nguyen v Hoekstra</w:t>
            </w:r>
            <w:r>
              <w:rPr>
                <w:rFonts w:ascii="Arial" w:eastAsia="Arial Unicode MS" w:hAnsi="Arial" w:cs="Arial"/>
                <w:sz w:val="20"/>
              </w:rPr>
              <w:t xml:space="preserve"> (1998) 99 A Crim R 497</w:t>
            </w:r>
          </w:p>
        </w:tc>
        <w:tc>
          <w:tcPr>
            <w:tcW w:w="1421" w:type="dxa"/>
          </w:tcPr>
          <w:p w14:paraId="37367D74"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REFUSED</w:t>
            </w:r>
          </w:p>
        </w:tc>
      </w:tr>
      <w:tr w:rsidR="00B21DA4" w14:paraId="38F5B695" w14:textId="77777777">
        <w:trPr>
          <w:cantSplit/>
        </w:trPr>
        <w:tc>
          <w:tcPr>
            <w:tcW w:w="1074" w:type="dxa"/>
          </w:tcPr>
          <w:p w14:paraId="4643A269" w14:textId="77777777" w:rsidR="00B21DA4" w:rsidRDefault="00B21DA4">
            <w:pPr>
              <w:rPr>
                <w:rFonts w:ascii="Arial" w:eastAsia="Arial Unicode MS" w:hAnsi="Arial" w:cs="Arial"/>
                <w:i/>
                <w:sz w:val="20"/>
              </w:rPr>
            </w:pPr>
            <w:r>
              <w:rPr>
                <w:rFonts w:ascii="Arial" w:eastAsia="Arial Unicode MS" w:hAnsi="Arial" w:cs="Arial"/>
                <w:i/>
                <w:sz w:val="20"/>
              </w:rPr>
              <w:t>Junek</w:t>
            </w:r>
          </w:p>
        </w:tc>
        <w:tc>
          <w:tcPr>
            <w:tcW w:w="6577" w:type="dxa"/>
          </w:tcPr>
          <w:p w14:paraId="2BBA77A1" w14:textId="77777777" w:rsidR="00B21DA4" w:rsidRDefault="00B21DA4">
            <w:pPr>
              <w:jc w:val="both"/>
              <w:rPr>
                <w:rFonts w:ascii="Arial" w:eastAsia="Arial Unicode MS" w:hAnsi="Arial" w:cs="Arial"/>
                <w:sz w:val="20"/>
              </w:rPr>
            </w:pPr>
            <w:r>
              <w:rPr>
                <w:rFonts w:ascii="Arial" w:eastAsia="Arial Unicode MS" w:hAnsi="Arial" w:cs="Arial"/>
                <w:i/>
                <w:sz w:val="20"/>
              </w:rPr>
              <w:t>Junek v Busuttil</w:t>
            </w:r>
            <w:r>
              <w:rPr>
                <w:rFonts w:ascii="Arial" w:eastAsia="Arial Unicode MS" w:hAnsi="Arial" w:cs="Arial"/>
                <w:sz w:val="20"/>
              </w:rPr>
              <w:t xml:space="preserve"> (Kellam J, unreported [2004] VSC 115, </w:t>
            </w:r>
            <w:smartTag w:uri="urn:schemas-microsoft-com:office:smarttags" w:element="date">
              <w:smartTagPr>
                <w:attr w:name="Year" w:val="2004"/>
                <w:attr w:name="Day" w:val="7"/>
                <w:attr w:name="Month" w:val="4"/>
              </w:smartTagPr>
              <w:r>
                <w:rPr>
                  <w:rFonts w:ascii="Arial" w:eastAsia="Arial Unicode MS" w:hAnsi="Arial" w:cs="Arial"/>
                  <w:sz w:val="20"/>
                </w:rPr>
                <w:t>07/04/2004</w:t>
              </w:r>
            </w:smartTag>
            <w:r>
              <w:rPr>
                <w:rFonts w:ascii="Arial" w:eastAsia="Arial Unicode MS" w:hAnsi="Arial" w:cs="Arial"/>
                <w:sz w:val="20"/>
              </w:rPr>
              <w:t>)</w:t>
            </w:r>
          </w:p>
        </w:tc>
        <w:tc>
          <w:tcPr>
            <w:tcW w:w="1421" w:type="dxa"/>
          </w:tcPr>
          <w:p w14:paraId="2B8C1B07" w14:textId="77777777" w:rsidR="00B21DA4" w:rsidRDefault="00B21DA4">
            <w:pPr>
              <w:jc w:val="center"/>
              <w:rPr>
                <w:rFonts w:ascii="Arial" w:eastAsia="Arial Unicode MS" w:hAnsi="Arial" w:cs="Arial"/>
                <w:sz w:val="16"/>
              </w:rPr>
            </w:pPr>
            <w:r>
              <w:rPr>
                <w:rFonts w:ascii="Arial" w:eastAsia="Arial Unicode MS" w:hAnsi="Arial" w:cs="Arial"/>
                <w:sz w:val="16"/>
              </w:rPr>
              <w:t>REFUSAL DISAPPROVED</w:t>
            </w:r>
          </w:p>
        </w:tc>
      </w:tr>
    </w:tbl>
    <w:p w14:paraId="456A4034" w14:textId="77777777" w:rsidR="00B21DA4" w:rsidRDefault="00B21DA4">
      <w:pPr>
        <w:jc w:val="both"/>
        <w:rPr>
          <w:rFonts w:ascii="Arial" w:hAnsi="Arial" w:cs="Arial"/>
          <w:sz w:val="20"/>
        </w:rPr>
      </w:pPr>
    </w:p>
    <w:p w14:paraId="182DEF13" w14:textId="77777777" w:rsidR="00B21DA4" w:rsidRDefault="00B21DA4" w:rsidP="000F0BE9">
      <w:pPr>
        <w:jc w:val="both"/>
        <w:rPr>
          <w:rFonts w:ascii="Arial" w:hAnsi="Arial" w:cs="Arial"/>
          <w:sz w:val="20"/>
        </w:rPr>
      </w:pPr>
      <w:r>
        <w:rPr>
          <w:rFonts w:ascii="Arial" w:hAnsi="Arial" w:cs="Arial"/>
          <w:sz w:val="20"/>
        </w:rPr>
        <w:lastRenderedPageBreak/>
        <w:t>At [9]-[13], [26]-[30] &amp; [33] His Honour said:</w:t>
      </w:r>
    </w:p>
    <w:p w14:paraId="353959C2" w14:textId="77777777" w:rsidR="00B21DA4" w:rsidRDefault="00B21DA4" w:rsidP="00A46B94">
      <w:pPr>
        <w:spacing w:before="120"/>
        <w:ind w:left="454" w:right="454"/>
        <w:jc w:val="both"/>
        <w:rPr>
          <w:rFonts w:ascii="Arial" w:eastAsia="Arial Unicode MS" w:hAnsi="Arial" w:cs="Arial"/>
          <w:sz w:val="20"/>
        </w:rPr>
      </w:pPr>
      <w:r>
        <w:rPr>
          <w:rFonts w:ascii="Arial" w:hAnsi="Arial" w:cs="Arial"/>
          <w:iCs/>
          <w:sz w:val="20"/>
        </w:rPr>
        <w:t>[9] "</w:t>
      </w:r>
      <w:r>
        <w:rPr>
          <w:rFonts w:ascii="Arial" w:eastAsia="Arial Unicode MS" w:hAnsi="Arial" w:cs="Arial"/>
          <w:sz w:val="20"/>
        </w:rPr>
        <w:t xml:space="preserve">Differences in positions taken in appellate decisions make the application of principles difficult in this area.  In each of the leading case of </w:t>
      </w:r>
      <w:r>
        <w:rPr>
          <w:rFonts w:ascii="Arial" w:eastAsia="Arial Unicode MS" w:hAnsi="Arial" w:cs="Arial"/>
          <w:i/>
          <w:sz w:val="20"/>
        </w:rPr>
        <w:t>Latoudis</w:t>
      </w:r>
      <w:r>
        <w:rPr>
          <w:rFonts w:ascii="Arial" w:eastAsia="Arial Unicode MS" w:hAnsi="Arial" w:cs="Arial"/>
          <w:sz w:val="20"/>
        </w:rPr>
        <w:t xml:space="preserve"> and of </w:t>
      </w:r>
      <w:r>
        <w:rPr>
          <w:rFonts w:ascii="Arial" w:eastAsia="Arial Unicode MS" w:hAnsi="Arial" w:cs="Arial"/>
          <w:i/>
          <w:sz w:val="20"/>
        </w:rPr>
        <w:t>Oshlack</w:t>
      </w:r>
      <w:r>
        <w:rPr>
          <w:rFonts w:ascii="Arial" w:eastAsia="Arial Unicode MS" w:hAnsi="Arial" w:cs="Arial"/>
          <w:sz w:val="20"/>
        </w:rPr>
        <w:t xml:space="preserve">, the court was split, with a majority of three, and a minority of two.  </w:t>
      </w:r>
      <w:r>
        <w:rPr>
          <w:rFonts w:ascii="Arial" w:eastAsia="Arial Unicode MS" w:hAnsi="Arial" w:cs="Arial"/>
          <w:i/>
          <w:sz w:val="20"/>
        </w:rPr>
        <w:t>Latoudis</w:t>
      </w:r>
      <w:r>
        <w:rPr>
          <w:rFonts w:ascii="Arial" w:eastAsia="Arial Unicode MS" w:hAnsi="Arial" w:cs="Arial"/>
          <w:sz w:val="20"/>
        </w:rPr>
        <w:t xml:space="preserve"> established that, in the ordinary case, where a prosecution is dismissed, the appropriate order will be to have the prosecutor pay the defendant’s costs, but that there will be exceptional cases where no order will be made.  In </w:t>
      </w:r>
      <w:r>
        <w:rPr>
          <w:rFonts w:ascii="Arial" w:eastAsia="Arial Unicode MS" w:hAnsi="Arial" w:cs="Arial"/>
          <w:i/>
          <w:sz w:val="20"/>
        </w:rPr>
        <w:t>Latoudis</w:t>
      </w:r>
      <w:r>
        <w:rPr>
          <w:rFonts w:ascii="Arial" w:eastAsia="Arial Unicode MS" w:hAnsi="Arial" w:cs="Arial"/>
          <w:sz w:val="20"/>
        </w:rPr>
        <w:t xml:space="preserve">, several examples are given by members of the court of considerations which might warrant no order being made.  In </w:t>
      </w:r>
      <w:r>
        <w:rPr>
          <w:rFonts w:ascii="Arial" w:eastAsia="Arial Unicode MS" w:hAnsi="Arial" w:cs="Arial"/>
          <w:i/>
          <w:sz w:val="20"/>
        </w:rPr>
        <w:t>Latoudis</w:t>
      </w:r>
      <w:r>
        <w:rPr>
          <w:rFonts w:ascii="Arial" w:eastAsia="Arial Unicode MS" w:hAnsi="Arial" w:cs="Arial"/>
          <w:sz w:val="20"/>
        </w:rPr>
        <w:t xml:space="preserve">, and in cases after </w:t>
      </w:r>
      <w:r>
        <w:rPr>
          <w:rFonts w:ascii="Arial" w:eastAsia="Arial Unicode MS" w:hAnsi="Arial" w:cs="Arial"/>
          <w:i/>
          <w:sz w:val="20"/>
        </w:rPr>
        <w:t>Latoudis</w:t>
      </w:r>
      <w:r>
        <w:rPr>
          <w:rFonts w:ascii="Arial" w:eastAsia="Arial Unicode MS" w:hAnsi="Arial" w:cs="Arial"/>
          <w:sz w:val="20"/>
        </w:rPr>
        <w:t xml:space="preserve">, judges have stressed the importance of trying to avoid the creation of relatively rigid rules.  In that regard, see, in </w:t>
      </w:r>
      <w:r>
        <w:rPr>
          <w:rFonts w:ascii="Arial" w:eastAsia="Arial Unicode MS" w:hAnsi="Arial" w:cs="Arial"/>
          <w:i/>
          <w:sz w:val="20"/>
        </w:rPr>
        <w:t>Redl</w:t>
      </w:r>
      <w:r>
        <w:rPr>
          <w:rFonts w:ascii="Arial" w:eastAsia="Arial Unicode MS" w:hAnsi="Arial" w:cs="Arial"/>
          <w:sz w:val="20"/>
        </w:rPr>
        <w:t xml:space="preserve">, Brooking J at 3, and Eames J at 11, in </w:t>
      </w:r>
      <w:r>
        <w:rPr>
          <w:rFonts w:ascii="Arial" w:eastAsia="Arial Unicode MS" w:hAnsi="Arial" w:cs="Arial"/>
          <w:i/>
          <w:sz w:val="20"/>
        </w:rPr>
        <w:t>Nguyen</w:t>
      </w:r>
      <w:r>
        <w:rPr>
          <w:rFonts w:ascii="Arial" w:eastAsia="Arial Unicode MS" w:hAnsi="Arial" w:cs="Arial"/>
          <w:sz w:val="20"/>
        </w:rPr>
        <w:t xml:space="preserve">, Phillips JA at 508, and in </w:t>
      </w:r>
      <w:r>
        <w:rPr>
          <w:rFonts w:ascii="Arial" w:eastAsia="Arial Unicode MS" w:hAnsi="Arial" w:cs="Arial"/>
          <w:i/>
          <w:sz w:val="20"/>
        </w:rPr>
        <w:t>Oshlack</w:t>
      </w:r>
      <w:r>
        <w:rPr>
          <w:rFonts w:ascii="Arial" w:eastAsia="Arial Unicode MS" w:hAnsi="Arial" w:cs="Arial"/>
          <w:sz w:val="20"/>
        </w:rPr>
        <w:t>, Kirby J at [134].</w:t>
      </w:r>
    </w:p>
    <w:p w14:paraId="7435479B"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[10] What are some of the possible considerations?  The cases suggest at least the following seven, that I will state in an overly summary way.  First, the prosecutor’s reasonableness. Was it reasonable for the prosecutor to have brought the proceedings?  Secondly, any self-inflicting behaviour on the part of the defendant.  Did the defendant bring the proceeding upon himself or herself?  Thirdly, the defendant not taking a chance to explain his position.  Did the defendant mislead or fail to assist the prosecutor in a material way?  Fourthly, the defendant’s other reprehensible behaviour?  Was there some other reprehensible behaviour on the part of the defendant?  Fifthly, the defendant’s reason for succeeding?  Why was the defendant not convicted?  Sixthly, the defendant’s luck. Was the defendant lucky to escape conviction, in that the proceeding was dismissed only because there was say a failure to satisfy the criminal onus as to an element of the offence?  Seventhly, the defendant’s inappropriate conduct of the proceedings.  Did the defendant prolong the proceedings unnecessarily?  It is obvious that the seven areas are not susceptible of neat compartmentalisation. For example, the defendant’s good fortune may be but an aspect of the defendant’s reason for succeeding.</w:t>
      </w:r>
    </w:p>
    <w:p w14:paraId="3B09073C"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[11] </w:t>
      </w:r>
      <w:r>
        <w:rPr>
          <w:rFonts w:ascii="Arial" w:eastAsia="Arial Unicode MS" w:hAnsi="Arial" w:cs="Arial"/>
          <w:i/>
          <w:sz w:val="20"/>
        </w:rPr>
        <w:t>Latoudis</w:t>
      </w:r>
      <w:r>
        <w:rPr>
          <w:rFonts w:ascii="Arial" w:eastAsia="Arial Unicode MS" w:hAnsi="Arial" w:cs="Arial"/>
          <w:sz w:val="20"/>
        </w:rPr>
        <w:t xml:space="preserve"> effectively ruled out as a consideration warranting a departure from making the ordinary order as to costs, both considerations one and six, the prosecutor’s reasonableness, and the defendant’s luck. As to the first, I acknowledge the qualification stated in </w:t>
      </w:r>
      <w:r>
        <w:rPr>
          <w:rFonts w:ascii="Arial" w:eastAsia="Arial Unicode MS" w:hAnsi="Arial" w:cs="Arial"/>
          <w:i/>
          <w:sz w:val="20"/>
        </w:rPr>
        <w:t>Nguyen</w:t>
      </w:r>
      <w:r>
        <w:rPr>
          <w:rFonts w:ascii="Arial" w:eastAsia="Arial Unicode MS" w:hAnsi="Arial" w:cs="Arial"/>
          <w:sz w:val="20"/>
        </w:rPr>
        <w:t xml:space="preserve"> at 806.  A magistrate might, when stating that the prosecutor acted reasonably, mean no more than that the defendant had brought the prosecution upon himself.</w:t>
      </w:r>
    </w:p>
    <w:p w14:paraId="6467616F"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[12] As I have noted, in </w:t>
      </w:r>
      <w:r>
        <w:rPr>
          <w:rFonts w:ascii="Arial" w:eastAsia="Arial Unicode MS" w:hAnsi="Arial" w:cs="Arial"/>
          <w:i/>
          <w:sz w:val="20"/>
        </w:rPr>
        <w:t>Latoudis</w:t>
      </w:r>
      <w:r>
        <w:rPr>
          <w:rFonts w:ascii="Arial" w:eastAsia="Arial Unicode MS" w:hAnsi="Arial" w:cs="Arial"/>
          <w:sz w:val="20"/>
        </w:rPr>
        <w:t xml:space="preserve">, the three majority judgments provide guidance with examples of circumstances which might warrant the ordinary order not being made.  Mason CJ did so at 544.  He briefly addressed considerations that I have summarised as one, two, three and seven.  Toohey J did so at 565.  He dealt briefly with consideration seven, and at greater length with consideration three.  McHugh J did so at 569-570.  He addressed aspects of considerations one, two, three, six and seven. As has been noted in </w:t>
      </w:r>
      <w:r>
        <w:rPr>
          <w:rFonts w:ascii="Arial" w:eastAsia="Arial Unicode MS" w:hAnsi="Arial" w:cs="Arial"/>
          <w:i/>
          <w:sz w:val="20"/>
        </w:rPr>
        <w:t>Nguyen</w:t>
      </w:r>
      <w:r>
        <w:rPr>
          <w:rFonts w:ascii="Arial" w:eastAsia="Arial Unicode MS" w:hAnsi="Arial" w:cs="Arial"/>
          <w:sz w:val="20"/>
        </w:rPr>
        <w:t xml:space="preserve"> and </w:t>
      </w:r>
      <w:r>
        <w:rPr>
          <w:rFonts w:ascii="Arial" w:eastAsia="Arial Unicode MS" w:hAnsi="Arial" w:cs="Arial"/>
          <w:i/>
          <w:sz w:val="20"/>
        </w:rPr>
        <w:t>Oshlack</w:t>
      </w:r>
      <w:r>
        <w:rPr>
          <w:rFonts w:ascii="Arial" w:eastAsia="Arial Unicode MS" w:hAnsi="Arial" w:cs="Arial"/>
          <w:sz w:val="20"/>
        </w:rPr>
        <w:t>, the approach of McHugh J can be seen to be more rigorous in limiting the scope of exceptions.</w:t>
      </w:r>
    </w:p>
    <w:p w14:paraId="6D11DAF4" w14:textId="77777777" w:rsidR="00B21DA4" w:rsidRDefault="00B21DA4" w:rsidP="002816DF">
      <w:pPr>
        <w:spacing w:before="120"/>
        <w:ind w:left="454" w:right="454"/>
        <w:jc w:val="both"/>
        <w:rPr>
          <w:rFonts w:ascii="Arial" w:eastAsia="Arial Unicode MS" w:hAnsi="Arial" w:cs="Arial"/>
          <w:sz w:val="20"/>
        </w:rPr>
      </w:pPr>
      <w:r>
        <w:rPr>
          <w:rFonts w:ascii="Arial" w:eastAsia="Arial Unicode MS" w:hAnsi="Arial" w:cs="Arial"/>
          <w:sz w:val="20"/>
        </w:rPr>
        <w:t xml:space="preserve">[13] In each of the six cases since </w:t>
      </w:r>
      <w:r>
        <w:rPr>
          <w:rFonts w:ascii="Arial" w:eastAsia="Arial Unicode MS" w:hAnsi="Arial" w:cs="Arial"/>
          <w:i/>
          <w:sz w:val="20"/>
        </w:rPr>
        <w:t>Latoudis</w:t>
      </w:r>
      <w:r>
        <w:rPr>
          <w:rFonts w:ascii="Arial" w:eastAsia="Arial Unicode MS" w:hAnsi="Arial" w:cs="Arial"/>
          <w:sz w:val="20"/>
        </w:rPr>
        <w:t xml:space="preserve">, there has been a review, in some cases a very careful review, of aspects of the guidance provided by </w:t>
      </w:r>
      <w:r>
        <w:rPr>
          <w:rFonts w:ascii="Arial" w:eastAsia="Arial Unicode MS" w:hAnsi="Arial" w:cs="Arial"/>
          <w:i/>
          <w:sz w:val="20"/>
        </w:rPr>
        <w:t>Latoudis</w:t>
      </w:r>
      <w:r>
        <w:rPr>
          <w:rFonts w:ascii="Arial" w:eastAsia="Arial Unicode MS" w:hAnsi="Arial" w:cs="Arial"/>
          <w:sz w:val="20"/>
        </w:rPr>
        <w:t xml:space="preserve">. A similar review was carried out in five other cases that I have not referred to in these reasons, as they were not sufficiently relevant. </w:t>
      </w:r>
      <w:r>
        <w:rPr>
          <w:rFonts w:ascii="Arial" w:eastAsia="Arial Unicode MS" w:hAnsi="Arial" w:cs="Arial"/>
          <w:i/>
          <w:sz w:val="20"/>
        </w:rPr>
        <w:t>Oshlack</w:t>
      </w:r>
      <w:r>
        <w:rPr>
          <w:rFonts w:ascii="Arial" w:eastAsia="Arial Unicode MS" w:hAnsi="Arial" w:cs="Arial"/>
          <w:sz w:val="20"/>
        </w:rPr>
        <w:t xml:space="preserve"> is the only case which is not concerned with orders in the Victorian Magistrates’ Court.  In </w:t>
      </w:r>
      <w:r>
        <w:rPr>
          <w:rFonts w:ascii="Arial" w:eastAsia="Arial Unicode MS" w:hAnsi="Arial" w:cs="Arial"/>
          <w:i/>
          <w:sz w:val="20"/>
        </w:rPr>
        <w:t>Oshlack</w:t>
      </w:r>
      <w:r>
        <w:rPr>
          <w:rFonts w:ascii="Arial" w:eastAsia="Arial Unicode MS" w:hAnsi="Arial" w:cs="Arial"/>
          <w:sz w:val="20"/>
        </w:rPr>
        <w:t xml:space="preserve">, brief references were made to </w:t>
      </w:r>
      <w:r>
        <w:rPr>
          <w:rFonts w:ascii="Arial" w:eastAsia="Arial Unicode MS" w:hAnsi="Arial" w:cs="Arial"/>
          <w:i/>
          <w:sz w:val="20"/>
        </w:rPr>
        <w:t>Latoudis</w:t>
      </w:r>
      <w:r>
        <w:rPr>
          <w:rFonts w:ascii="Arial" w:eastAsia="Arial Unicode MS" w:hAnsi="Arial" w:cs="Arial"/>
          <w:sz w:val="20"/>
        </w:rPr>
        <w:t xml:space="preserve"> by Brennan CJ at [75] and by Gaudron and Gummow JJ at [24]-[29].  More extensive reviews were made by McHugh J at [65], [66] and [76]-[83], and by Kirby J at [123]-[135].</w:t>
      </w:r>
    </w:p>
    <w:p w14:paraId="6109B79A" w14:textId="77777777" w:rsidR="00B21DA4" w:rsidRDefault="00B21DA4" w:rsidP="000F0BE9">
      <w:pPr>
        <w:spacing w:before="120"/>
        <w:ind w:left="454" w:right="454"/>
        <w:jc w:val="both"/>
        <w:rPr>
          <w:rFonts w:ascii="Arial" w:eastAsia="Arial Unicode MS" w:hAnsi="Arial" w:cs="Arial"/>
          <w:sz w:val="20"/>
        </w:rPr>
      </w:pPr>
      <w:r>
        <w:rPr>
          <w:rFonts w:ascii="Arial" w:eastAsia="Arial Unicode MS" w:hAnsi="Arial" w:cs="Arial"/>
          <w:sz w:val="20"/>
        </w:rPr>
        <w:t xml:space="preserve">[26] In </w:t>
      </w:r>
      <w:r>
        <w:rPr>
          <w:rFonts w:ascii="Arial" w:eastAsia="Arial Unicode MS" w:hAnsi="Arial" w:cs="Arial"/>
          <w:i/>
          <w:sz w:val="20"/>
        </w:rPr>
        <w:t>Latoudis</w:t>
      </w:r>
      <w:r>
        <w:rPr>
          <w:rFonts w:ascii="Arial" w:eastAsia="Arial Unicode MS" w:hAnsi="Arial" w:cs="Arial"/>
          <w:sz w:val="20"/>
        </w:rPr>
        <w:t xml:space="preserve">, each of the majority commented on one or more kinds of conduct having the potential to be a consideration as operating to warrant a departure from the usual order.  The focus of most of those comments, by Mason </w:t>
      </w:r>
      <w:proofErr w:type="gramStart"/>
      <w:r>
        <w:rPr>
          <w:rFonts w:ascii="Arial" w:eastAsia="Arial Unicode MS" w:hAnsi="Arial" w:cs="Arial"/>
          <w:sz w:val="20"/>
        </w:rPr>
        <w:t>CJ  at</w:t>
      </w:r>
      <w:proofErr w:type="gramEnd"/>
      <w:r>
        <w:rPr>
          <w:rFonts w:ascii="Arial" w:eastAsia="Arial Unicode MS" w:hAnsi="Arial" w:cs="Arial"/>
          <w:sz w:val="20"/>
        </w:rPr>
        <w:t xml:space="preserve"> 544, Toohey J at 565-566 and McHugh J at 569-570 was on, or primarily on, </w:t>
      </w:r>
      <w:proofErr w:type="gramStart"/>
      <w:r>
        <w:rPr>
          <w:rFonts w:ascii="Arial" w:eastAsia="Arial Unicode MS" w:hAnsi="Arial" w:cs="Arial"/>
          <w:sz w:val="20"/>
        </w:rPr>
        <w:t>conduct  in</w:t>
      </w:r>
      <w:proofErr w:type="gramEnd"/>
      <w:r>
        <w:rPr>
          <w:rFonts w:ascii="Arial" w:eastAsia="Arial Unicode MS" w:hAnsi="Arial" w:cs="Arial"/>
          <w:sz w:val="20"/>
        </w:rPr>
        <w:t xml:space="preserve"> relation to the proceedings or otherwise </w:t>
      </w:r>
      <w:r>
        <w:rPr>
          <w:rFonts w:ascii="Arial" w:eastAsia="Arial Unicode MS" w:hAnsi="Arial" w:cs="Arial"/>
          <w:i/>
          <w:sz w:val="20"/>
        </w:rPr>
        <w:t>after</w:t>
      </w:r>
      <w:r>
        <w:rPr>
          <w:rFonts w:ascii="Arial" w:eastAsia="Arial Unicode MS" w:hAnsi="Arial" w:cs="Arial"/>
          <w:sz w:val="20"/>
        </w:rPr>
        <w:t xml:space="preserve"> the events, as distinct </w:t>
      </w:r>
      <w:proofErr w:type="gramStart"/>
      <w:r>
        <w:rPr>
          <w:rFonts w:ascii="Arial" w:eastAsia="Arial Unicode MS" w:hAnsi="Arial" w:cs="Arial"/>
          <w:sz w:val="20"/>
        </w:rPr>
        <w:t>from  conduct</w:t>
      </w:r>
      <w:proofErr w:type="gramEnd"/>
      <w:r>
        <w:rPr>
          <w:rFonts w:ascii="Arial" w:eastAsia="Arial Unicode MS" w:hAnsi="Arial" w:cs="Arial"/>
          <w:sz w:val="20"/>
        </w:rPr>
        <w:t xml:space="preserve"> that led to the laying of charges (my italics).  The latter conduct was considered in a limited way by McHugh J.  It has been considered in a limited way in each of </w:t>
      </w:r>
      <w:r>
        <w:rPr>
          <w:rFonts w:ascii="Arial" w:eastAsia="Arial Unicode MS" w:hAnsi="Arial" w:cs="Arial"/>
          <w:i/>
          <w:sz w:val="20"/>
        </w:rPr>
        <w:t>Redl</w:t>
      </w:r>
      <w:r>
        <w:rPr>
          <w:rFonts w:ascii="Arial" w:eastAsia="Arial Unicode MS" w:hAnsi="Arial" w:cs="Arial"/>
          <w:sz w:val="20"/>
        </w:rPr>
        <w:t xml:space="preserve">, </w:t>
      </w:r>
      <w:r>
        <w:rPr>
          <w:rFonts w:ascii="Arial" w:eastAsia="Arial Unicode MS" w:hAnsi="Arial" w:cs="Arial"/>
          <w:i/>
          <w:sz w:val="20"/>
        </w:rPr>
        <w:t>Larrain</w:t>
      </w:r>
      <w:r>
        <w:rPr>
          <w:rFonts w:ascii="Arial" w:eastAsia="Arial Unicode MS" w:hAnsi="Arial" w:cs="Arial"/>
          <w:sz w:val="20"/>
        </w:rPr>
        <w:t xml:space="preserve">, </w:t>
      </w:r>
      <w:r>
        <w:rPr>
          <w:rFonts w:ascii="Arial" w:eastAsia="Arial Unicode MS" w:hAnsi="Arial" w:cs="Arial"/>
          <w:i/>
          <w:sz w:val="20"/>
        </w:rPr>
        <w:t>Nguyen</w:t>
      </w:r>
      <w:r>
        <w:rPr>
          <w:rFonts w:ascii="Arial" w:eastAsia="Arial Unicode MS" w:hAnsi="Arial" w:cs="Arial"/>
          <w:sz w:val="20"/>
        </w:rPr>
        <w:t xml:space="preserve"> and </w:t>
      </w:r>
      <w:r>
        <w:rPr>
          <w:rFonts w:ascii="Arial" w:eastAsia="Arial Unicode MS" w:hAnsi="Arial" w:cs="Arial"/>
          <w:i/>
          <w:sz w:val="20"/>
        </w:rPr>
        <w:t>Junek</w:t>
      </w:r>
      <w:r>
        <w:rPr>
          <w:rFonts w:ascii="Arial" w:eastAsia="Arial Unicode MS" w:hAnsi="Arial" w:cs="Arial"/>
          <w:sz w:val="20"/>
        </w:rPr>
        <w:t xml:space="preserve">.  In </w:t>
      </w:r>
      <w:r>
        <w:rPr>
          <w:rFonts w:ascii="Arial" w:eastAsia="Arial Unicode MS" w:hAnsi="Arial" w:cs="Arial"/>
          <w:i/>
          <w:sz w:val="20"/>
        </w:rPr>
        <w:t>Latoudis</w:t>
      </w:r>
      <w:r>
        <w:rPr>
          <w:rFonts w:ascii="Arial" w:eastAsia="Arial Unicode MS" w:hAnsi="Arial" w:cs="Arial"/>
          <w:sz w:val="20"/>
        </w:rPr>
        <w:t xml:space="preserve"> at 570, as I have noted in another context, McHugh J, said: 'Nor can the successful defendant be deprived of his or her costs because the conduct of the defendant gave rise to a suspicion or probability that he or she was guilty of the offence the subject of the prosecution.'</w:t>
      </w:r>
    </w:p>
    <w:p w14:paraId="4CD57D9D" w14:textId="77777777" w:rsidR="00B21DA4" w:rsidRDefault="00B21DA4" w:rsidP="0080151D">
      <w:pPr>
        <w:spacing w:before="120"/>
        <w:ind w:left="454" w:right="454"/>
        <w:jc w:val="both"/>
        <w:rPr>
          <w:rFonts w:ascii="Arial" w:eastAsia="Arial Unicode MS" w:hAnsi="Arial" w:cs="Arial"/>
          <w:sz w:val="20"/>
        </w:rPr>
      </w:pPr>
      <w:r>
        <w:rPr>
          <w:rFonts w:ascii="Arial" w:eastAsia="Arial Unicode MS" w:hAnsi="Arial" w:cs="Arial"/>
          <w:sz w:val="20"/>
        </w:rPr>
        <w:t xml:space="preserve">[27] In </w:t>
      </w:r>
      <w:r>
        <w:rPr>
          <w:rFonts w:ascii="Arial" w:eastAsia="Arial Unicode MS" w:hAnsi="Arial" w:cs="Arial"/>
          <w:i/>
          <w:sz w:val="20"/>
        </w:rPr>
        <w:t>Redl</w:t>
      </w:r>
      <w:r>
        <w:rPr>
          <w:rFonts w:ascii="Arial" w:eastAsia="Arial Unicode MS" w:hAnsi="Arial" w:cs="Arial"/>
          <w:sz w:val="20"/>
        </w:rPr>
        <w:t xml:space="preserve">, Brooking J at 3 to 5, suggested tags of 'misconduct' and 'reprehensible conduct'.  Brooking J said that, in the circumstances of </w:t>
      </w:r>
      <w:r>
        <w:rPr>
          <w:rFonts w:ascii="Arial" w:eastAsia="Arial Unicode MS" w:hAnsi="Arial" w:cs="Arial"/>
          <w:i/>
          <w:sz w:val="20"/>
        </w:rPr>
        <w:t>Redl</w:t>
      </w:r>
      <w:r>
        <w:rPr>
          <w:rFonts w:ascii="Arial" w:eastAsia="Arial Unicode MS" w:hAnsi="Arial" w:cs="Arial"/>
          <w:sz w:val="20"/>
        </w:rPr>
        <w:t xml:space="preserve">, the 'supposed misconduct' was appropriately disregarded because it was the behaviour that led to the charges, and persistence in that behaviour. However, he went on to suggest that a costs order might </w:t>
      </w:r>
      <w:r>
        <w:rPr>
          <w:rFonts w:ascii="Arial" w:eastAsia="Arial Unicode MS" w:hAnsi="Arial" w:cs="Arial"/>
          <w:sz w:val="20"/>
        </w:rPr>
        <w:lastRenderedPageBreak/>
        <w:t>properly be refused on an unproved dishonesty prosecution in the context of a large fraud, noting that that kind of case could be dealt with when it arose…</w:t>
      </w:r>
    </w:p>
    <w:p w14:paraId="3540D4BD" w14:textId="77777777" w:rsidR="00B21DA4" w:rsidRDefault="00B21DA4" w:rsidP="00725095">
      <w:pPr>
        <w:spacing w:before="120"/>
        <w:ind w:left="454" w:right="454"/>
        <w:jc w:val="both"/>
        <w:rPr>
          <w:rFonts w:ascii="Arial" w:eastAsia="Arial Unicode MS" w:hAnsi="Arial" w:cs="Arial"/>
          <w:sz w:val="20"/>
        </w:rPr>
      </w:pPr>
      <w:r>
        <w:rPr>
          <w:rFonts w:ascii="Arial" w:eastAsia="Arial Unicode MS" w:hAnsi="Arial" w:cs="Arial"/>
          <w:sz w:val="20"/>
        </w:rPr>
        <w:t xml:space="preserve">[28] In </w:t>
      </w:r>
      <w:r>
        <w:rPr>
          <w:rFonts w:ascii="Arial" w:eastAsia="Arial Unicode MS" w:hAnsi="Arial" w:cs="Arial"/>
          <w:i/>
          <w:sz w:val="20"/>
        </w:rPr>
        <w:t>Larrain</w:t>
      </w:r>
      <w:r>
        <w:rPr>
          <w:rFonts w:ascii="Arial" w:eastAsia="Arial Unicode MS" w:hAnsi="Arial" w:cs="Arial"/>
          <w:sz w:val="20"/>
        </w:rPr>
        <w:t xml:space="preserve">, Smith J referred to </w:t>
      </w:r>
      <w:r>
        <w:rPr>
          <w:rFonts w:ascii="Arial" w:eastAsia="Arial Unicode MS" w:hAnsi="Arial" w:cs="Arial"/>
          <w:i/>
          <w:sz w:val="20"/>
        </w:rPr>
        <w:t>Redl</w:t>
      </w:r>
      <w:r>
        <w:rPr>
          <w:rFonts w:ascii="Arial" w:eastAsia="Arial Unicode MS" w:hAnsi="Arial" w:cs="Arial"/>
          <w:sz w:val="20"/>
        </w:rPr>
        <w:t xml:space="preserve">, but related the claimed misconduct back to what McHugh J had said in </w:t>
      </w:r>
      <w:r>
        <w:rPr>
          <w:rFonts w:ascii="Arial" w:eastAsia="Arial Unicode MS" w:hAnsi="Arial" w:cs="Arial"/>
          <w:i/>
          <w:sz w:val="20"/>
        </w:rPr>
        <w:t>Latoudis</w:t>
      </w:r>
      <w:r>
        <w:rPr>
          <w:rFonts w:ascii="Arial" w:eastAsia="Arial Unicode MS" w:hAnsi="Arial" w:cs="Arial"/>
          <w:sz w:val="20"/>
        </w:rPr>
        <w:t xml:space="preserve">.  In </w:t>
      </w:r>
      <w:r>
        <w:rPr>
          <w:rFonts w:ascii="Arial" w:eastAsia="Arial Unicode MS" w:hAnsi="Arial" w:cs="Arial"/>
          <w:i/>
          <w:sz w:val="20"/>
        </w:rPr>
        <w:t>Nguyen</w:t>
      </w:r>
      <w:r>
        <w:rPr>
          <w:rFonts w:ascii="Arial" w:eastAsia="Arial Unicode MS" w:hAnsi="Arial" w:cs="Arial"/>
          <w:sz w:val="20"/>
        </w:rPr>
        <w:t xml:space="preserve">, the Court of Appeal treated the claimed misconduct as not of the kind referred to in </w:t>
      </w:r>
      <w:r>
        <w:rPr>
          <w:rFonts w:ascii="Arial" w:eastAsia="Arial Unicode MS" w:hAnsi="Arial" w:cs="Arial"/>
          <w:i/>
          <w:sz w:val="20"/>
        </w:rPr>
        <w:t>Redl</w:t>
      </w:r>
      <w:r>
        <w:rPr>
          <w:rFonts w:ascii="Arial" w:eastAsia="Arial Unicode MS" w:hAnsi="Arial" w:cs="Arial"/>
          <w:sz w:val="20"/>
        </w:rPr>
        <w:t xml:space="preserve">.  In </w:t>
      </w:r>
      <w:r>
        <w:rPr>
          <w:rFonts w:ascii="Arial" w:eastAsia="Arial Unicode MS" w:hAnsi="Arial" w:cs="Arial"/>
          <w:i/>
          <w:sz w:val="20"/>
        </w:rPr>
        <w:t>Junek</w:t>
      </w:r>
      <w:r>
        <w:rPr>
          <w:rFonts w:ascii="Arial" w:eastAsia="Arial Unicode MS" w:hAnsi="Arial" w:cs="Arial"/>
          <w:sz w:val="20"/>
        </w:rPr>
        <w:t xml:space="preserve">, Kellam J at [26] &amp; [40] referred to aspects of what Brooking J had said in </w:t>
      </w:r>
      <w:r>
        <w:rPr>
          <w:rFonts w:ascii="Arial" w:eastAsia="Arial Unicode MS" w:hAnsi="Arial" w:cs="Arial"/>
          <w:i/>
          <w:sz w:val="20"/>
        </w:rPr>
        <w:t>Redl</w:t>
      </w:r>
      <w:r>
        <w:rPr>
          <w:rFonts w:ascii="Arial" w:eastAsia="Arial Unicode MS" w:hAnsi="Arial" w:cs="Arial"/>
          <w:sz w:val="20"/>
        </w:rPr>
        <w:t>.  In the circumstances before him, he concluded that there was not reprehensible conduct.  After reviewing the cases, I am not persuaded that reprehensible behaviour in the circumstances out of which the charges arose is not a relevant consideration together with other considerations on the question of costs.</w:t>
      </w:r>
    </w:p>
    <w:p w14:paraId="132E354C"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[29] I turn to the criticisms by the magistrate of the lack of co-operation of the defendants.  In </w:t>
      </w:r>
      <w:r>
        <w:rPr>
          <w:rFonts w:ascii="Arial" w:eastAsia="Arial Unicode MS" w:hAnsi="Arial" w:cs="Arial"/>
          <w:i/>
          <w:sz w:val="20"/>
        </w:rPr>
        <w:t>Latoudis</w:t>
      </w:r>
      <w:r>
        <w:rPr>
          <w:rFonts w:ascii="Arial" w:eastAsia="Arial Unicode MS" w:hAnsi="Arial" w:cs="Arial"/>
          <w:sz w:val="20"/>
        </w:rPr>
        <w:t>, each of the majority commented on that consideration as operating to warrant a departure from the usual order.  Mason CJ did so briefly at 544, and McHugh J briefly at 569.  Toohey J at 565 was more expansive:</w:t>
      </w:r>
    </w:p>
    <w:p w14:paraId="6EBF67E4" w14:textId="77777777" w:rsidR="00B21DA4" w:rsidRPr="00072E03" w:rsidRDefault="00B21DA4" w:rsidP="006E5C27">
      <w:pPr>
        <w:spacing w:before="60"/>
        <w:ind w:left="851" w:right="851"/>
        <w:jc w:val="both"/>
        <w:rPr>
          <w:rFonts w:ascii="Arial" w:eastAsia="Arial Unicode MS" w:hAnsi="Arial" w:cs="Arial"/>
          <w:sz w:val="18"/>
          <w:szCs w:val="22"/>
        </w:rPr>
      </w:pPr>
      <w:r w:rsidRPr="00072E03">
        <w:rPr>
          <w:rFonts w:ascii="Arial" w:eastAsia="Arial Unicode MS" w:hAnsi="Arial" w:cs="Arial"/>
          <w:sz w:val="18"/>
          <w:szCs w:val="22"/>
        </w:rPr>
        <w:t xml:space="preserve">'…if a defendant has been given the opportunity of explaining his or her version of events before a charge is laid and refuses the opportunity, and it later appears that an explanation could have avoided a prosecution, it may well be just and reasonable to refuse costs: see, by way of illustration, </w:t>
      </w:r>
      <w:r w:rsidRPr="00072E03">
        <w:rPr>
          <w:rFonts w:ascii="Arial" w:eastAsia="Arial Unicode MS" w:hAnsi="Arial" w:cs="Arial"/>
          <w:i/>
          <w:sz w:val="18"/>
          <w:szCs w:val="22"/>
        </w:rPr>
        <w:t>R v Dainer</w:t>
      </w:r>
      <w:r w:rsidRPr="00072E03">
        <w:rPr>
          <w:rFonts w:ascii="Arial" w:eastAsia="Arial Unicode MS" w:hAnsi="Arial" w:cs="Arial"/>
          <w:sz w:val="18"/>
          <w:szCs w:val="22"/>
        </w:rPr>
        <w:t xml:space="preserve"> (1988) 91 FLR 33.  This has nothing to do with the right to silence in criminal matters.  A defendant or prospective defendant is entitled to refuse an explanation to the police.  But if an explanation is refused, the successful defendant can hardly complain if the court refuses an award of costs, when an explanation might have avoided the prosecution.'</w:t>
      </w:r>
    </w:p>
    <w:p w14:paraId="40019A60" w14:textId="77777777" w:rsidR="00B21DA4" w:rsidRDefault="00B21DA4" w:rsidP="003A171C">
      <w:pPr>
        <w:spacing w:before="120"/>
        <w:ind w:left="454" w:right="454"/>
        <w:jc w:val="both"/>
        <w:rPr>
          <w:rFonts w:ascii="Arial" w:eastAsia="Arial Unicode MS" w:hAnsi="Arial" w:cs="Arial"/>
          <w:sz w:val="20"/>
        </w:rPr>
      </w:pPr>
      <w:r>
        <w:rPr>
          <w:rFonts w:ascii="Arial" w:eastAsia="Arial Unicode MS" w:hAnsi="Arial" w:cs="Arial"/>
          <w:sz w:val="20"/>
        </w:rPr>
        <w:t xml:space="preserve">[30] It may not be easy to reconcile, with the observations of Toohey J in </w:t>
      </w:r>
      <w:r>
        <w:rPr>
          <w:rFonts w:ascii="Arial" w:eastAsia="Arial Unicode MS" w:hAnsi="Arial" w:cs="Arial"/>
          <w:i/>
          <w:sz w:val="20"/>
        </w:rPr>
        <w:t>Latoudis</w:t>
      </w:r>
      <w:r>
        <w:rPr>
          <w:rFonts w:ascii="Arial" w:eastAsia="Arial Unicode MS" w:hAnsi="Arial" w:cs="Arial"/>
          <w:sz w:val="20"/>
        </w:rPr>
        <w:t xml:space="preserve"> that I have quoted,</w:t>
      </w:r>
      <w:r w:rsidR="00474886">
        <w:rPr>
          <w:rFonts w:ascii="Arial" w:eastAsia="Arial Unicode MS" w:hAnsi="Arial" w:cs="Arial"/>
          <w:sz w:val="20"/>
        </w:rPr>
        <w:t xml:space="preserve"> </w:t>
      </w:r>
      <w:r>
        <w:rPr>
          <w:rFonts w:ascii="Arial" w:eastAsia="Arial Unicode MS" w:hAnsi="Arial" w:cs="Arial"/>
          <w:sz w:val="20"/>
        </w:rPr>
        <w:t xml:space="preserve">what was said in </w:t>
      </w:r>
      <w:r>
        <w:rPr>
          <w:rFonts w:ascii="Arial" w:eastAsia="Arial Unicode MS" w:hAnsi="Arial" w:cs="Arial"/>
          <w:i/>
          <w:sz w:val="20"/>
        </w:rPr>
        <w:t>Larrain</w:t>
      </w:r>
      <w:r>
        <w:rPr>
          <w:rFonts w:ascii="Arial" w:eastAsia="Arial Unicode MS" w:hAnsi="Arial" w:cs="Arial"/>
          <w:sz w:val="20"/>
        </w:rPr>
        <w:t xml:space="preserve">, </w:t>
      </w:r>
      <w:r>
        <w:rPr>
          <w:rFonts w:ascii="Arial" w:eastAsia="Arial Unicode MS" w:hAnsi="Arial" w:cs="Arial"/>
          <w:i/>
          <w:sz w:val="20"/>
        </w:rPr>
        <w:t>Alexander</w:t>
      </w:r>
      <w:r>
        <w:rPr>
          <w:rFonts w:ascii="Arial" w:eastAsia="Arial Unicode MS" w:hAnsi="Arial" w:cs="Arial"/>
          <w:sz w:val="20"/>
        </w:rPr>
        <w:t xml:space="preserve"> and </w:t>
      </w:r>
      <w:r>
        <w:rPr>
          <w:rFonts w:ascii="Arial" w:eastAsia="Arial Unicode MS" w:hAnsi="Arial" w:cs="Arial"/>
          <w:i/>
          <w:sz w:val="20"/>
        </w:rPr>
        <w:t>Junek</w:t>
      </w:r>
      <w:r>
        <w:rPr>
          <w:rFonts w:ascii="Arial" w:eastAsia="Arial Unicode MS" w:hAnsi="Arial" w:cs="Arial"/>
          <w:sz w:val="20"/>
        </w:rPr>
        <w:t xml:space="preserve"> as to a defendant choosing not to answer certain police questions.  The difference may be seen to lie in the distinction which arises from the use of the word 'mere' or 'merely' relative to the exercise of the right to silence.  That may be the same distinction which is made in </w:t>
      </w:r>
      <w:r>
        <w:rPr>
          <w:rFonts w:ascii="Arial" w:eastAsia="Arial Unicode MS" w:hAnsi="Arial" w:cs="Arial"/>
          <w:i/>
          <w:sz w:val="20"/>
        </w:rPr>
        <w:t>Alexander</w:t>
      </w:r>
      <w:r>
        <w:rPr>
          <w:rFonts w:ascii="Arial" w:eastAsia="Arial Unicode MS" w:hAnsi="Arial" w:cs="Arial"/>
          <w:sz w:val="20"/>
        </w:rPr>
        <w:t>, by Batt J at 11 between mere omissions and conduct which provokes or leads to the prosecution.  Clearly, there underlies the right of a person to decline to answer police questions, the protection against self-incrimination.  As against that, generally the approach of the law is to encourage the provision of information which may tend to incriminate other persons.  Hence the discount on sentencing given for co-operation with the police.  There are complications however, where the provision of information as to others would or might also, albeit more indirectly, incriminate the individual.  In the circumstances before me, I can see that the choice of the defendants not to answer questions could be seen to have acted as a factor which operate to their disadvantage in the way contemplated by Toohey J. By answering police questions, the defendant could have provided more information to the police that would not have incriminated them. That information might have resulted in no charges being laid at all against any of the three.  That would have been so if they had said that they had gone to the service station with a fourth man, and that the fourth man alone had taken items and spilled the oil…</w:t>
      </w:r>
    </w:p>
    <w:p w14:paraId="188C3B28" w14:textId="77777777" w:rsidR="00B21DA4" w:rsidRDefault="00B21DA4" w:rsidP="00CF3D8C">
      <w:pPr>
        <w:spacing w:before="120"/>
        <w:ind w:left="454" w:right="454"/>
        <w:jc w:val="both"/>
        <w:rPr>
          <w:rFonts w:ascii="Arial" w:eastAsia="Arial Unicode MS" w:hAnsi="Arial" w:cs="Arial"/>
          <w:sz w:val="20"/>
        </w:rPr>
      </w:pPr>
      <w:r>
        <w:rPr>
          <w:rFonts w:ascii="Arial" w:eastAsia="Arial Unicode MS" w:hAnsi="Arial" w:cs="Arial"/>
          <w:sz w:val="20"/>
        </w:rPr>
        <w:t>[33] On my analysis of his reasons, the magistrate said, in short: 'The defendants brought these charges on themselves.  They chose to take a part in a piece of reprehensible conduct at the expense of those running a service station. They then chose to decline to assist the police in a way that might have avoided any charges being laid.'  On my analysis of the guidance provided by appellate decisions, those considerations were relevant and warranted the discretion being exercised as it was exercised.  As I am not satisfied that the magistrate did err, the appeals will be dismissed, with the usual order as to costs."</w:t>
      </w:r>
    </w:p>
    <w:p w14:paraId="56C61EAF" w14:textId="77777777" w:rsidR="00434DAA" w:rsidRDefault="00434DAA" w:rsidP="00434DAA">
      <w:pPr>
        <w:tabs>
          <w:tab w:val="left" w:pos="6480"/>
        </w:tabs>
        <w:jc w:val="both"/>
        <w:rPr>
          <w:rFonts w:ascii="Arial" w:hAnsi="Arial" w:cs="Arial"/>
          <w:sz w:val="20"/>
        </w:rPr>
      </w:pPr>
    </w:p>
    <w:p w14:paraId="0993FF69" w14:textId="77777777" w:rsidR="003D7031" w:rsidRDefault="00677106" w:rsidP="00434DAA">
      <w:pPr>
        <w:tabs>
          <w:tab w:val="left" w:pos="6480"/>
        </w:tabs>
        <w:jc w:val="both"/>
        <w:rPr>
          <w:rFonts w:ascii="Arial" w:hAnsi="Arial" w:cs="Arial"/>
          <w:sz w:val="20"/>
        </w:rPr>
      </w:pPr>
      <w:r w:rsidRPr="00677106">
        <w:rPr>
          <w:rFonts w:ascii="Arial" w:hAnsi="Arial" w:cs="Arial"/>
          <w:iCs/>
          <w:sz w:val="20"/>
        </w:rPr>
        <w:t xml:space="preserve">In </w:t>
      </w:r>
      <w:r w:rsidR="00434DAA">
        <w:rPr>
          <w:rFonts w:ascii="Arial" w:hAnsi="Arial" w:cs="Arial"/>
          <w:i/>
          <w:iCs/>
          <w:sz w:val="20"/>
        </w:rPr>
        <w:t xml:space="preserve">NG v IP </w:t>
      </w:r>
      <w:r w:rsidR="00434DAA">
        <w:rPr>
          <w:rFonts w:ascii="Arial" w:hAnsi="Arial" w:cs="Arial"/>
          <w:sz w:val="20"/>
        </w:rPr>
        <w:t xml:space="preserve">[2009] VSC 199 </w:t>
      </w:r>
      <w:r>
        <w:rPr>
          <w:rFonts w:ascii="Arial" w:hAnsi="Arial" w:cs="Arial"/>
          <w:sz w:val="20"/>
        </w:rPr>
        <w:t xml:space="preserve">a magistrate sitting in the Children’s Court had dismissed three charges of rape and one charge of committing an indecent act with a child brought against NG who at the time of the alleged offences was 16 years of age.  </w:t>
      </w:r>
      <w:r w:rsidR="006A4D5A">
        <w:rPr>
          <w:rFonts w:ascii="Arial" w:hAnsi="Arial" w:cs="Arial"/>
          <w:sz w:val="20"/>
        </w:rPr>
        <w:t>She had also</w:t>
      </w:r>
      <w:r>
        <w:rPr>
          <w:rFonts w:ascii="Arial" w:hAnsi="Arial" w:cs="Arial"/>
          <w:sz w:val="20"/>
        </w:rPr>
        <w:t xml:space="preserve"> refused the defendant’s application for costs</w:t>
      </w:r>
      <w:r w:rsidR="003D7031">
        <w:rPr>
          <w:rFonts w:ascii="Arial" w:hAnsi="Arial" w:cs="Arial"/>
          <w:sz w:val="20"/>
        </w:rPr>
        <w:t>, giving detailed written reasons for so doing</w:t>
      </w:r>
      <w:r>
        <w:rPr>
          <w:rFonts w:ascii="Arial" w:hAnsi="Arial" w:cs="Arial"/>
          <w:sz w:val="20"/>
        </w:rPr>
        <w:t xml:space="preserve">.  </w:t>
      </w:r>
      <w:r w:rsidR="003D7031">
        <w:rPr>
          <w:rFonts w:ascii="Arial" w:hAnsi="Arial" w:cs="Arial"/>
          <w:sz w:val="20"/>
        </w:rPr>
        <w:t xml:space="preserve">Starting with the proposition in </w:t>
      </w:r>
      <w:r w:rsidR="003D7031" w:rsidRPr="00974C44">
        <w:rPr>
          <w:rFonts w:ascii="Arial" w:hAnsi="Arial" w:cs="Arial"/>
          <w:i/>
          <w:sz w:val="20"/>
        </w:rPr>
        <w:t>Latoudis v Casey</w:t>
      </w:r>
      <w:r w:rsidR="003D7031">
        <w:rPr>
          <w:rFonts w:ascii="Arial" w:hAnsi="Arial" w:cs="Arial"/>
          <w:sz w:val="20"/>
        </w:rPr>
        <w:t xml:space="preserve"> that </w:t>
      </w:r>
      <w:r w:rsidR="00974C44">
        <w:rPr>
          <w:rFonts w:ascii="Arial" w:hAnsi="Arial" w:cs="Arial"/>
          <w:sz w:val="20"/>
        </w:rPr>
        <w:t xml:space="preserve">as a rule costs should be awarded to successful defendants, Her Honour went on to </w:t>
      </w:r>
      <w:r w:rsidR="006A4D5A">
        <w:rPr>
          <w:rFonts w:ascii="Arial" w:hAnsi="Arial" w:cs="Arial"/>
          <w:sz w:val="20"/>
        </w:rPr>
        <w:t>say</w:t>
      </w:r>
      <w:r w:rsidR="00974C44">
        <w:rPr>
          <w:rFonts w:ascii="Arial" w:hAnsi="Arial" w:cs="Arial"/>
          <w:sz w:val="20"/>
        </w:rPr>
        <w:t xml:space="preserve"> at pp.5-6:</w:t>
      </w:r>
    </w:p>
    <w:p w14:paraId="0DBA1ED6" w14:textId="77777777" w:rsidR="00974C44" w:rsidRDefault="00974C44" w:rsidP="00216E00">
      <w:pPr>
        <w:spacing w:before="120" w:after="120"/>
        <w:ind w:left="454" w:right="454"/>
        <w:jc w:val="both"/>
        <w:rPr>
          <w:rFonts w:ascii="Arial" w:eastAsia="Arial Unicode MS" w:hAnsi="Arial" w:cs="Arial"/>
          <w:sz w:val="20"/>
        </w:rPr>
      </w:pPr>
      <w:r>
        <w:rPr>
          <w:rFonts w:ascii="Arial" w:eastAsia="Arial Unicode MS" w:hAnsi="Arial" w:cs="Arial"/>
          <w:sz w:val="20"/>
        </w:rPr>
        <w:t>“</w:t>
      </w:r>
      <w:r w:rsidRPr="00974C44">
        <w:rPr>
          <w:rFonts w:ascii="Arial" w:eastAsia="Arial Unicode MS" w:hAnsi="Arial" w:cs="Arial"/>
          <w:i/>
          <w:sz w:val="20"/>
        </w:rPr>
        <w:t>Latoudis v Casey</w:t>
      </w:r>
      <w:r>
        <w:rPr>
          <w:rFonts w:ascii="Arial" w:eastAsia="Arial Unicode MS" w:hAnsi="Arial" w:cs="Arial"/>
          <w:sz w:val="20"/>
        </w:rPr>
        <w:t xml:space="preserve"> makes it clear that a legitimate ground upon which a Court might refuse to exercise its discretion to grant costs is where a defendant refuses to provide an explanation to the prosecution in circumstances where the prosecution may have been avoided had the explanation been given….</w:t>
      </w:r>
      <w:r w:rsidR="006A4D5A">
        <w:rPr>
          <w:rFonts w:ascii="Arial" w:eastAsia="Arial Unicode MS" w:hAnsi="Arial" w:cs="Arial"/>
          <w:sz w:val="20"/>
        </w:rPr>
        <w:t xml:space="preserve">Mr [R] for the O.P.P. submitted that had the prosecution been made aware of the Defendant’s account, informed consideration could have been given to whether the prosecution should have proceeded in light of the substantially similar versions of [two eyewitnesses].  I have much sympathy for this argument.  It is extremely rare in cases of sexual assault to have independent and objective eyewitness evidence.  In determining this case I placed significant weight on the evidence of [the two eyewitnesses] given the </w:t>
      </w:r>
      <w:r w:rsidR="006A4D5A">
        <w:rPr>
          <w:rFonts w:ascii="Arial" w:eastAsia="Arial Unicode MS" w:hAnsi="Arial" w:cs="Arial"/>
          <w:sz w:val="20"/>
        </w:rPr>
        <w:lastRenderedPageBreak/>
        <w:t xml:space="preserve">discrepancies in some of the other evidence.  It might be said that the O.P.P should not have proceeded with this prosecution in the face of the eyewitness accounts alone.  I do not agree with this.  There was no way to determine </w:t>
      </w:r>
      <w:r>
        <w:rPr>
          <w:rFonts w:ascii="Arial" w:eastAsia="Arial Unicode MS" w:hAnsi="Arial" w:cs="Arial"/>
          <w:sz w:val="20"/>
        </w:rPr>
        <w:t xml:space="preserve">the accuracy of the accounts </w:t>
      </w:r>
      <w:r w:rsidR="006A4D5A">
        <w:rPr>
          <w:rFonts w:ascii="Arial" w:eastAsia="Arial Unicode MS" w:hAnsi="Arial" w:cs="Arial"/>
          <w:sz w:val="20"/>
        </w:rPr>
        <w:t xml:space="preserve">without the Defendant’s version having been given.  </w:t>
      </w:r>
      <w:r w:rsidR="00F75E61">
        <w:rPr>
          <w:rFonts w:ascii="Arial" w:eastAsia="Arial Unicode MS" w:hAnsi="Arial" w:cs="Arial"/>
          <w:sz w:val="20"/>
        </w:rPr>
        <w:t>In addition, it stands to reason that had the prosecution been made aware of the defence before the start of the contested hearing the case may have been shortened in length as the issues would have been confined.</w:t>
      </w:r>
    </w:p>
    <w:p w14:paraId="383DBA5B" w14:textId="77777777" w:rsidR="00F75E61" w:rsidRDefault="00F75E61" w:rsidP="000F0BE9">
      <w:pPr>
        <w:spacing w:before="120"/>
        <w:ind w:left="454" w:right="454"/>
        <w:jc w:val="both"/>
        <w:rPr>
          <w:rFonts w:ascii="Arial" w:eastAsia="Arial Unicode MS" w:hAnsi="Arial" w:cs="Arial"/>
          <w:sz w:val="20"/>
        </w:rPr>
      </w:pPr>
      <w:r>
        <w:rPr>
          <w:rFonts w:ascii="Arial" w:eastAsia="Arial Unicode MS" w:hAnsi="Arial" w:cs="Arial"/>
          <w:sz w:val="20"/>
        </w:rPr>
        <w:t>I accept that the Defendant had the right to remain silent until he gave evidence at the hearing and I do not criticize him for doing so.  However, having done so, for the reasons stated above, he cannot then expect costs in the particular and unusual circumstances of this case.”</w:t>
      </w:r>
    </w:p>
    <w:p w14:paraId="3322FAE5" w14:textId="77777777" w:rsidR="003D7031" w:rsidRDefault="003D7031" w:rsidP="00434DAA">
      <w:pPr>
        <w:tabs>
          <w:tab w:val="left" w:pos="6480"/>
        </w:tabs>
        <w:jc w:val="both"/>
        <w:rPr>
          <w:rFonts w:ascii="Arial" w:hAnsi="Arial" w:cs="Arial"/>
          <w:sz w:val="20"/>
        </w:rPr>
      </w:pPr>
    </w:p>
    <w:p w14:paraId="5FFFE1C1" w14:textId="77777777" w:rsidR="00434DAA" w:rsidRDefault="00F75E61" w:rsidP="00AC2791">
      <w:pPr>
        <w:tabs>
          <w:tab w:val="left" w:pos="6480"/>
        </w:tabs>
        <w:jc w:val="both"/>
        <w:rPr>
          <w:rFonts w:ascii="Arial" w:hAnsi="Arial" w:cs="Arial"/>
          <w:sz w:val="20"/>
        </w:rPr>
      </w:pPr>
      <w:r>
        <w:rPr>
          <w:rFonts w:ascii="Arial" w:hAnsi="Arial" w:cs="Arial"/>
          <w:sz w:val="20"/>
        </w:rPr>
        <w:t xml:space="preserve">On appeal </w:t>
      </w:r>
      <w:r w:rsidR="00677106">
        <w:rPr>
          <w:rFonts w:ascii="Arial" w:hAnsi="Arial" w:cs="Arial"/>
          <w:sz w:val="20"/>
        </w:rPr>
        <w:t xml:space="preserve">Beach J set aside the </w:t>
      </w:r>
      <w:r w:rsidR="00771DA4">
        <w:rPr>
          <w:rFonts w:ascii="Arial" w:hAnsi="Arial" w:cs="Arial"/>
          <w:sz w:val="20"/>
        </w:rPr>
        <w:t xml:space="preserve">magistrate’s </w:t>
      </w:r>
      <w:r w:rsidR="00677106">
        <w:rPr>
          <w:rFonts w:ascii="Arial" w:hAnsi="Arial" w:cs="Arial"/>
          <w:sz w:val="20"/>
        </w:rPr>
        <w:t xml:space="preserve">order refusing costs and remitted the case to the Children’s Court for a determination of the amount payable.  At [15] </w:t>
      </w:r>
      <w:r>
        <w:rPr>
          <w:rFonts w:ascii="Arial" w:hAnsi="Arial" w:cs="Arial"/>
          <w:sz w:val="20"/>
        </w:rPr>
        <w:t>his Honour</w:t>
      </w:r>
      <w:r w:rsidR="00677106">
        <w:rPr>
          <w:rFonts w:ascii="Arial" w:hAnsi="Arial" w:cs="Arial"/>
          <w:sz w:val="20"/>
        </w:rPr>
        <w:t xml:space="preserve"> </w:t>
      </w:r>
      <w:r w:rsidR="00434DAA">
        <w:rPr>
          <w:rFonts w:ascii="Arial" w:hAnsi="Arial" w:cs="Arial"/>
          <w:sz w:val="20"/>
        </w:rPr>
        <w:t>discuss</w:t>
      </w:r>
      <w:r w:rsidR="00677106">
        <w:rPr>
          <w:rFonts w:ascii="Arial" w:hAnsi="Arial" w:cs="Arial"/>
          <w:sz w:val="20"/>
        </w:rPr>
        <w:t xml:space="preserve">ed the principles to be applied, starting with </w:t>
      </w:r>
      <w:r w:rsidR="00677106" w:rsidRPr="00677106">
        <w:rPr>
          <w:rFonts w:ascii="Arial" w:hAnsi="Arial" w:cs="Arial"/>
          <w:i/>
          <w:sz w:val="20"/>
        </w:rPr>
        <w:t>Latoudis v Casey</w:t>
      </w:r>
      <w:r w:rsidR="00677106">
        <w:rPr>
          <w:rFonts w:ascii="Arial" w:hAnsi="Arial" w:cs="Arial"/>
          <w:sz w:val="20"/>
        </w:rPr>
        <w:t xml:space="preserve"> (1991) 170 CLR 534 and continuing with </w:t>
      </w:r>
      <w:r w:rsidR="00677106" w:rsidRPr="00E62C92">
        <w:rPr>
          <w:rFonts w:ascii="Arial" w:hAnsi="Arial" w:cs="Arial"/>
          <w:i/>
          <w:sz w:val="20"/>
        </w:rPr>
        <w:t>Junek v Busuttil</w:t>
      </w:r>
      <w:r w:rsidR="00677106">
        <w:rPr>
          <w:rFonts w:ascii="Arial" w:hAnsi="Arial" w:cs="Arial"/>
          <w:sz w:val="20"/>
        </w:rPr>
        <w:t xml:space="preserve"> </w:t>
      </w:r>
      <w:r w:rsidR="00E62C92">
        <w:rPr>
          <w:rFonts w:ascii="Arial" w:hAnsi="Arial" w:cs="Arial"/>
          <w:sz w:val="20"/>
        </w:rPr>
        <w:t xml:space="preserve">[2004] VSC 115 (Kellam J), </w:t>
      </w:r>
      <w:r w:rsidR="00E62C92" w:rsidRPr="00E62C92">
        <w:rPr>
          <w:rFonts w:ascii="Arial" w:hAnsi="Arial" w:cs="Arial"/>
          <w:i/>
          <w:sz w:val="20"/>
        </w:rPr>
        <w:t>Parker v Kelly</w:t>
      </w:r>
      <w:r w:rsidR="00E62C92">
        <w:rPr>
          <w:rFonts w:ascii="Arial" w:hAnsi="Arial" w:cs="Arial"/>
          <w:sz w:val="20"/>
        </w:rPr>
        <w:t xml:space="preserve"> [Supreme Court of Victoria-Marks J, unreported, 16/07/1991), </w:t>
      </w:r>
      <w:r w:rsidR="00E62C92" w:rsidRPr="00E62C92">
        <w:rPr>
          <w:rFonts w:ascii="Arial" w:hAnsi="Arial" w:cs="Arial"/>
          <w:i/>
          <w:sz w:val="20"/>
        </w:rPr>
        <w:t>Redl v Toppin</w:t>
      </w:r>
      <w:r w:rsidR="00E62C92">
        <w:rPr>
          <w:rFonts w:ascii="Arial" w:hAnsi="Arial" w:cs="Arial"/>
          <w:sz w:val="20"/>
        </w:rPr>
        <w:t xml:space="preserve"> [Full Court Supreme Court of Victoria, unreported, 01/04/1993), </w:t>
      </w:r>
      <w:r w:rsidR="00E62C92" w:rsidRPr="00E62C92">
        <w:rPr>
          <w:rFonts w:ascii="Arial" w:hAnsi="Arial" w:cs="Arial"/>
          <w:i/>
          <w:sz w:val="20"/>
        </w:rPr>
        <w:t>Larrain v Clark</w:t>
      </w:r>
      <w:r w:rsidR="00E62C92">
        <w:rPr>
          <w:rFonts w:ascii="Arial" w:hAnsi="Arial" w:cs="Arial"/>
          <w:sz w:val="20"/>
        </w:rPr>
        <w:t xml:space="preserve"> [Supreme Court of Victoria-Smith J, unreported, 13/07/1995), </w:t>
      </w:r>
      <w:r w:rsidR="00E62C92" w:rsidRPr="00E62C92">
        <w:rPr>
          <w:rFonts w:ascii="Arial" w:hAnsi="Arial" w:cs="Arial"/>
          <w:i/>
          <w:sz w:val="20"/>
        </w:rPr>
        <w:t>Hehir v Bishop</w:t>
      </w:r>
      <w:r w:rsidR="00E62C92">
        <w:rPr>
          <w:rFonts w:ascii="Arial" w:hAnsi="Arial" w:cs="Arial"/>
          <w:sz w:val="20"/>
        </w:rPr>
        <w:t xml:space="preserve"> [Supreme Court of Victoria-Ashley J, unreported, 20/04/1993), </w:t>
      </w:r>
      <w:r w:rsidR="00E62C92" w:rsidRPr="00E62C92">
        <w:rPr>
          <w:rFonts w:ascii="Arial" w:hAnsi="Arial" w:cs="Arial"/>
          <w:i/>
          <w:sz w:val="20"/>
        </w:rPr>
        <w:t>Nguyen v Hoekstra</w:t>
      </w:r>
      <w:r w:rsidR="00E62C92">
        <w:rPr>
          <w:rFonts w:ascii="Arial" w:hAnsi="Arial" w:cs="Arial"/>
          <w:sz w:val="20"/>
        </w:rPr>
        <w:t xml:space="preserve"> </w:t>
      </w:r>
      <w:r w:rsidR="00ED6723">
        <w:rPr>
          <w:rFonts w:ascii="Arial" w:hAnsi="Arial" w:cs="Arial"/>
          <w:sz w:val="20"/>
        </w:rPr>
        <w:t xml:space="preserve">(1998) </w:t>
      </w:r>
      <w:r w:rsidR="00E62C92">
        <w:rPr>
          <w:rFonts w:ascii="Arial" w:hAnsi="Arial" w:cs="Arial"/>
          <w:sz w:val="20"/>
        </w:rPr>
        <w:t>99 A Crim R 497</w:t>
      </w:r>
      <w:r>
        <w:rPr>
          <w:rFonts w:ascii="Arial" w:hAnsi="Arial" w:cs="Arial"/>
          <w:sz w:val="20"/>
        </w:rPr>
        <w:t xml:space="preserve"> and</w:t>
      </w:r>
      <w:r w:rsidR="00ED6723">
        <w:rPr>
          <w:rFonts w:ascii="Arial" w:hAnsi="Arial" w:cs="Arial"/>
          <w:sz w:val="20"/>
        </w:rPr>
        <w:t xml:space="preserve"> </w:t>
      </w:r>
      <w:r w:rsidR="00ED6723" w:rsidRPr="00E62C92">
        <w:rPr>
          <w:rFonts w:ascii="Arial" w:hAnsi="Arial" w:cs="Arial"/>
          <w:i/>
          <w:sz w:val="20"/>
        </w:rPr>
        <w:t>Alexander v Renney</w:t>
      </w:r>
      <w:r w:rsidR="00ED6723">
        <w:rPr>
          <w:rFonts w:ascii="Arial" w:hAnsi="Arial" w:cs="Arial"/>
          <w:sz w:val="20"/>
        </w:rPr>
        <w:t xml:space="preserve"> [Supreme Court of Victoria, unreported, 21/08/1995)</w:t>
      </w:r>
      <w:r w:rsidR="009727A2">
        <w:rPr>
          <w:rFonts w:ascii="Arial" w:hAnsi="Arial" w:cs="Arial"/>
          <w:sz w:val="20"/>
        </w:rPr>
        <w:t>.  In the latter case</w:t>
      </w:r>
      <w:r>
        <w:rPr>
          <w:rFonts w:ascii="Arial" w:hAnsi="Arial" w:cs="Arial"/>
          <w:sz w:val="20"/>
        </w:rPr>
        <w:t xml:space="preserve"> </w:t>
      </w:r>
      <w:r w:rsidR="00ED6723">
        <w:rPr>
          <w:rFonts w:ascii="Arial" w:hAnsi="Arial" w:cs="Arial"/>
          <w:sz w:val="20"/>
        </w:rPr>
        <w:t>Batt J had upheld a magistrate’s refusal to award costs, saying:</w:t>
      </w:r>
      <w:r w:rsidR="002361E6">
        <w:rPr>
          <w:rFonts w:ascii="Arial" w:hAnsi="Arial" w:cs="Arial"/>
          <w:sz w:val="20"/>
        </w:rPr>
        <w:t xml:space="preserve"> </w:t>
      </w:r>
      <w:r w:rsidR="00ED6723">
        <w:rPr>
          <w:rFonts w:ascii="Arial" w:eastAsia="Arial Unicode MS" w:hAnsi="Arial" w:cs="Arial"/>
          <w:sz w:val="20"/>
        </w:rPr>
        <w:t>“The appellant in this case in challenging the Magistrate’s orders must really say that it was not open to the Magistrate to find that the circumstances were not ordinary.”</w:t>
      </w:r>
      <w:r w:rsidR="002361E6">
        <w:rPr>
          <w:rFonts w:ascii="Arial" w:eastAsia="Arial Unicode MS" w:hAnsi="Arial" w:cs="Arial"/>
          <w:sz w:val="20"/>
        </w:rPr>
        <w:t xml:space="preserve">  </w:t>
      </w:r>
      <w:r w:rsidR="00ED6723">
        <w:rPr>
          <w:rFonts w:ascii="Arial" w:hAnsi="Arial" w:cs="Arial"/>
          <w:sz w:val="20"/>
        </w:rPr>
        <w:t xml:space="preserve">In </w:t>
      </w:r>
      <w:r w:rsidR="00ED6723" w:rsidRPr="00ED6723">
        <w:rPr>
          <w:rFonts w:ascii="Arial" w:hAnsi="Arial" w:cs="Arial"/>
          <w:i/>
          <w:sz w:val="20"/>
        </w:rPr>
        <w:t>NG v IP</w:t>
      </w:r>
      <w:r w:rsidR="00A00CFD">
        <w:rPr>
          <w:rFonts w:ascii="Arial" w:hAnsi="Arial" w:cs="Arial"/>
          <w:sz w:val="20"/>
        </w:rPr>
        <w:t xml:space="preserve"> at [15]-[</w:t>
      </w:r>
      <w:r w:rsidR="006152D6">
        <w:rPr>
          <w:rFonts w:ascii="Arial" w:hAnsi="Arial" w:cs="Arial"/>
          <w:sz w:val="20"/>
        </w:rPr>
        <w:t>20]</w:t>
      </w:r>
      <w:r w:rsidR="00275FE4">
        <w:rPr>
          <w:rFonts w:ascii="Arial" w:hAnsi="Arial" w:cs="Arial"/>
          <w:sz w:val="20"/>
        </w:rPr>
        <w:t xml:space="preserve"> &amp;</w:t>
      </w:r>
      <w:r w:rsidR="006152D6">
        <w:rPr>
          <w:rFonts w:ascii="Arial" w:hAnsi="Arial" w:cs="Arial"/>
          <w:sz w:val="20"/>
        </w:rPr>
        <w:t xml:space="preserve"> [22]</w:t>
      </w:r>
      <w:r w:rsidR="00275FE4">
        <w:rPr>
          <w:rFonts w:ascii="Arial" w:hAnsi="Arial" w:cs="Arial"/>
          <w:sz w:val="20"/>
        </w:rPr>
        <w:t>-</w:t>
      </w:r>
      <w:r w:rsidR="00ED6723">
        <w:rPr>
          <w:rFonts w:ascii="Arial" w:hAnsi="Arial" w:cs="Arial"/>
          <w:sz w:val="20"/>
        </w:rPr>
        <w:t>[</w:t>
      </w:r>
      <w:r w:rsidR="006152D6">
        <w:rPr>
          <w:rFonts w:ascii="Arial" w:hAnsi="Arial" w:cs="Arial"/>
          <w:sz w:val="20"/>
        </w:rPr>
        <w:t>24</w:t>
      </w:r>
      <w:r w:rsidR="00ED6723">
        <w:rPr>
          <w:rFonts w:ascii="Arial" w:hAnsi="Arial" w:cs="Arial"/>
          <w:sz w:val="20"/>
        </w:rPr>
        <w:t>] Beach J said:</w:t>
      </w:r>
    </w:p>
    <w:p w14:paraId="76849CA6" w14:textId="77777777" w:rsidR="00ED6723" w:rsidRDefault="00ED6723" w:rsidP="00ED6723">
      <w:pPr>
        <w:spacing w:before="120"/>
        <w:ind w:left="454" w:right="454"/>
        <w:jc w:val="both"/>
        <w:rPr>
          <w:rFonts w:ascii="Arial" w:eastAsia="Arial Unicode MS" w:hAnsi="Arial" w:cs="Arial"/>
          <w:sz w:val="20"/>
        </w:rPr>
      </w:pPr>
      <w:r>
        <w:rPr>
          <w:rFonts w:ascii="Arial" w:eastAsia="Arial Unicode MS" w:hAnsi="Arial" w:cs="Arial"/>
          <w:sz w:val="20"/>
        </w:rPr>
        <w:t>[15] “</w:t>
      </w:r>
      <w:r w:rsidR="002C057B" w:rsidRPr="002C057B">
        <w:rPr>
          <w:rFonts w:ascii="Arial" w:eastAsia="Arial Unicode MS" w:hAnsi="Arial" w:cs="Arial"/>
          <w:i/>
          <w:sz w:val="20"/>
        </w:rPr>
        <w:t>Latuodis v Casey</w:t>
      </w:r>
      <w:r w:rsidR="002C057B">
        <w:rPr>
          <w:rFonts w:ascii="Arial" w:eastAsia="Arial Unicode MS" w:hAnsi="Arial" w:cs="Arial"/>
          <w:sz w:val="20"/>
        </w:rPr>
        <w:t xml:space="preserve"> is authority for the proposition that in ordinary circumstances an order for costs should be made in favour of a successful defendant in a criminal proceeding in the summary jurisdiction of the Magistrates’ Court.  Because of s.528(2) of the CYFA, that proposition has equal force with respect to a criminal proceeding in the Children’s Court…</w:t>
      </w:r>
    </w:p>
    <w:p w14:paraId="587A8FF4" w14:textId="77777777" w:rsidR="002C057B" w:rsidRDefault="002C057B" w:rsidP="00ED6723">
      <w:pPr>
        <w:spacing w:before="120"/>
        <w:ind w:left="454" w:right="454"/>
        <w:jc w:val="both"/>
        <w:rPr>
          <w:rFonts w:ascii="Arial" w:eastAsia="Arial Unicode MS" w:hAnsi="Arial" w:cs="Arial"/>
          <w:sz w:val="20"/>
        </w:rPr>
      </w:pPr>
      <w:r>
        <w:rPr>
          <w:rFonts w:ascii="Arial" w:eastAsia="Arial Unicode MS" w:hAnsi="Arial" w:cs="Arial"/>
          <w:sz w:val="20"/>
        </w:rPr>
        <w:t>[16] In order to succeed in this appeal, NG must show it was not open to the Magistrate to conclude that this case was out of the ordinary circumstances so as to justify the withholding of an order for costs in favour of NG or that the Magistrate’s decision was affected by an error of law vitiating the exer</w:t>
      </w:r>
      <w:r w:rsidR="00A00CFD">
        <w:rPr>
          <w:rFonts w:ascii="Arial" w:eastAsia="Arial Unicode MS" w:hAnsi="Arial" w:cs="Arial"/>
          <w:sz w:val="20"/>
        </w:rPr>
        <w:t>cise of her Honour’s discretion.</w:t>
      </w:r>
    </w:p>
    <w:p w14:paraId="70F16306" w14:textId="77777777" w:rsidR="00A00CFD" w:rsidRDefault="00A00CFD" w:rsidP="002816DF">
      <w:pPr>
        <w:spacing w:before="120"/>
        <w:ind w:left="454" w:right="454"/>
        <w:jc w:val="both"/>
        <w:rPr>
          <w:rFonts w:ascii="Arial" w:eastAsia="Arial Unicode MS" w:hAnsi="Arial" w:cs="Arial"/>
          <w:sz w:val="20"/>
        </w:rPr>
      </w:pPr>
      <w:r>
        <w:rPr>
          <w:rFonts w:ascii="Arial" w:eastAsia="Arial Unicode MS" w:hAnsi="Arial" w:cs="Arial"/>
          <w:sz w:val="20"/>
        </w:rPr>
        <w:t xml:space="preserve">[17] For present purposes, it can be accepted that it is ‘extremely rare in cases of sexual assault to have independent and objective </w:t>
      </w:r>
      <w:proofErr w:type="gramStart"/>
      <w:r>
        <w:rPr>
          <w:rFonts w:ascii="Arial" w:eastAsia="Arial Unicode MS" w:hAnsi="Arial" w:cs="Arial"/>
          <w:sz w:val="20"/>
        </w:rPr>
        <w:t>eye witness</w:t>
      </w:r>
      <w:proofErr w:type="gramEnd"/>
      <w:r>
        <w:rPr>
          <w:rFonts w:ascii="Arial" w:eastAsia="Arial Unicode MS" w:hAnsi="Arial" w:cs="Arial"/>
          <w:sz w:val="20"/>
        </w:rPr>
        <w:t xml:space="preserve"> evidence’.  However, this fact alone cannot be sufficient to take the case outside the class of cases contemplated by the expression ‘in ordinary circumstances’.  Similarly, merely because every case is unique (and thus involves its own ‘particular…circumstances’) cannot be a ground for considering such a case as falling outside ‘ordinary circumstances’.  In her Honour’s reasons for refusing costs, the only unusual (out of the ordinary) circumstance identified is the existence of independent and objective </w:t>
      </w:r>
      <w:proofErr w:type="gramStart"/>
      <w:r>
        <w:rPr>
          <w:rFonts w:ascii="Arial" w:eastAsia="Arial Unicode MS" w:hAnsi="Arial" w:cs="Arial"/>
          <w:sz w:val="20"/>
        </w:rPr>
        <w:t>eye witness</w:t>
      </w:r>
      <w:proofErr w:type="gramEnd"/>
      <w:r>
        <w:rPr>
          <w:rFonts w:ascii="Arial" w:eastAsia="Arial Unicode MS" w:hAnsi="Arial" w:cs="Arial"/>
          <w:sz w:val="20"/>
        </w:rPr>
        <w:t xml:space="preserve"> evidence in the case of sexual assault.  As I have said above, this circumstance alone is not capable of taking this case outside an application of </w:t>
      </w:r>
      <w:r w:rsidRPr="00A00CFD">
        <w:rPr>
          <w:rFonts w:ascii="Arial" w:eastAsia="Arial Unicode MS" w:hAnsi="Arial" w:cs="Arial"/>
          <w:i/>
          <w:sz w:val="20"/>
        </w:rPr>
        <w:t>Latoudis v Casey</w:t>
      </w:r>
      <w:r>
        <w:rPr>
          <w:rFonts w:ascii="Arial" w:eastAsia="Arial Unicode MS" w:hAnsi="Arial" w:cs="Arial"/>
          <w:sz w:val="20"/>
        </w:rPr>
        <w:t xml:space="preserve"> which is favourable to NG.</w:t>
      </w:r>
    </w:p>
    <w:p w14:paraId="7770BFC8" w14:textId="77777777" w:rsidR="00A00CFD" w:rsidRDefault="00A00CFD" w:rsidP="00AF6D28">
      <w:pPr>
        <w:spacing w:before="120"/>
        <w:ind w:left="454" w:right="454"/>
        <w:jc w:val="both"/>
        <w:rPr>
          <w:rFonts w:ascii="Arial" w:eastAsia="Arial Unicode MS" w:hAnsi="Arial" w:cs="Arial"/>
          <w:sz w:val="20"/>
        </w:rPr>
      </w:pPr>
      <w:r>
        <w:rPr>
          <w:rFonts w:ascii="Arial" w:eastAsia="Arial Unicode MS" w:hAnsi="Arial" w:cs="Arial"/>
          <w:sz w:val="20"/>
        </w:rPr>
        <w:t xml:space="preserve">[18] </w:t>
      </w:r>
      <w:r w:rsidR="00EE74C2">
        <w:rPr>
          <w:rFonts w:ascii="Arial" w:eastAsia="Arial Unicode MS" w:hAnsi="Arial" w:cs="Arial"/>
          <w:sz w:val="20"/>
        </w:rPr>
        <w:t>Further, the submission made by counsel for the OPP to the Magistrate…that had the prosecution been made aware of NG’s account, informed consideration could have been given to whether the prosecution should have proceeded in the light of the versions of W1 and W2 was without merit.  As her Honour notes, penetration was a central issue.  The complainant alleged penetration.  NG denied penetration.  The evidence of W1 and W2 was not directed to the issue of penetration.  Additionally, if there was any merit in this submission, then the prosecution, having heard NG’s version in the witness box, could have determined not to proceed further (either after the evidence was given or during the five days when her Honour’s decision was reserved).  While different factors may be called into play in deciding whether to discontinue a prosecution which has commenced, as compared with not commencing a prosecution, nothing in the material before me suggests there was any realistic prospect that if NG gave his version before he was charged, charges might not have been laid.  This was a case of oath against oath on the issue of penetration, with a body of evidence (independent and objective) relevant to the issues of identification and consent.</w:t>
      </w:r>
    </w:p>
    <w:p w14:paraId="3B7A5D5C" w14:textId="205B0633" w:rsidR="002C057B" w:rsidRDefault="002C057B"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[19] There was no evidence of any conduct by NG </w:t>
      </w:r>
      <w:r w:rsidR="004A6A4A">
        <w:rPr>
          <w:rFonts w:ascii="Arial" w:eastAsia="Arial Unicode MS" w:hAnsi="Arial" w:cs="Arial"/>
          <w:sz w:val="20"/>
        </w:rPr>
        <w:t xml:space="preserve">after the events in respect of which he was charged which could be described as conduct which brought the prosecution upon himself.  There was no evidence justifying the conclusion that this case was outside the class of ordinary cases where an order for costs under s.131 of the </w:t>
      </w:r>
      <w:r w:rsidR="004A6A4A" w:rsidRPr="003D7E6D">
        <w:rPr>
          <w:rFonts w:ascii="Arial" w:eastAsia="Arial Unicode MS" w:hAnsi="Arial" w:cs="Arial"/>
          <w:i/>
          <w:iCs/>
          <w:sz w:val="20"/>
        </w:rPr>
        <w:t>Magistrates’ Court Act</w:t>
      </w:r>
      <w:r w:rsidR="004A6A4A">
        <w:rPr>
          <w:rFonts w:ascii="Arial" w:eastAsia="Arial Unicode MS" w:hAnsi="Arial" w:cs="Arial"/>
          <w:sz w:val="20"/>
        </w:rPr>
        <w:t xml:space="preserve"> should be made.  </w:t>
      </w:r>
      <w:r w:rsidR="006152D6">
        <w:rPr>
          <w:rFonts w:ascii="Arial" w:eastAsia="Arial Unicode MS" w:hAnsi="Arial" w:cs="Arial"/>
          <w:sz w:val="20"/>
        </w:rPr>
        <w:t xml:space="preserve">Cf. </w:t>
      </w:r>
      <w:r w:rsidR="006152D6" w:rsidRPr="006152D6">
        <w:rPr>
          <w:rFonts w:ascii="Arial" w:eastAsia="Arial Unicode MS" w:hAnsi="Arial" w:cs="Arial"/>
          <w:i/>
          <w:sz w:val="20"/>
        </w:rPr>
        <w:t>Transport Accident Commission v O’Reilly</w:t>
      </w:r>
      <w:r w:rsidR="006152D6">
        <w:rPr>
          <w:rFonts w:ascii="Arial" w:eastAsia="Arial Unicode MS" w:hAnsi="Arial" w:cs="Arial"/>
          <w:sz w:val="20"/>
        </w:rPr>
        <w:t xml:space="preserve"> [1999] 2 VR 436.  Accordingly, the principles enunciated in </w:t>
      </w:r>
      <w:r w:rsidR="006152D6" w:rsidRPr="006152D6">
        <w:rPr>
          <w:rFonts w:ascii="Arial" w:eastAsia="Arial Unicode MS" w:hAnsi="Arial" w:cs="Arial"/>
          <w:i/>
          <w:sz w:val="20"/>
        </w:rPr>
        <w:t>Latoudis v Casey</w:t>
      </w:r>
      <w:r w:rsidR="006152D6">
        <w:rPr>
          <w:rFonts w:ascii="Arial" w:eastAsia="Arial Unicode MS" w:hAnsi="Arial" w:cs="Arial"/>
          <w:sz w:val="20"/>
        </w:rPr>
        <w:t xml:space="preserve"> were misapplied.  This constitutes a relevant error of law.  Cf. </w:t>
      </w:r>
      <w:r w:rsidR="006152D6" w:rsidRPr="006152D6">
        <w:rPr>
          <w:rFonts w:ascii="Arial" w:eastAsia="Arial Unicode MS" w:hAnsi="Arial" w:cs="Arial"/>
          <w:i/>
          <w:sz w:val="20"/>
        </w:rPr>
        <w:t>House v The King</w:t>
      </w:r>
      <w:r w:rsidR="006152D6">
        <w:rPr>
          <w:rFonts w:ascii="Arial" w:eastAsia="Arial Unicode MS" w:hAnsi="Arial" w:cs="Arial"/>
          <w:sz w:val="20"/>
        </w:rPr>
        <w:t xml:space="preserve"> (1936) 55 CLR 499 and </w:t>
      </w:r>
      <w:r w:rsidR="006152D6" w:rsidRPr="006152D6">
        <w:rPr>
          <w:rFonts w:ascii="Arial" w:eastAsia="Arial Unicode MS" w:hAnsi="Arial" w:cs="Arial"/>
          <w:i/>
          <w:sz w:val="20"/>
        </w:rPr>
        <w:t xml:space="preserve">Australian Coal and Shale Employees </w:t>
      </w:r>
      <w:r w:rsidR="006152D6" w:rsidRPr="006152D6">
        <w:rPr>
          <w:rFonts w:ascii="Arial" w:eastAsia="Arial Unicode MS" w:hAnsi="Arial" w:cs="Arial"/>
          <w:i/>
          <w:sz w:val="20"/>
        </w:rPr>
        <w:lastRenderedPageBreak/>
        <w:t>Federation v The Commonwealth</w:t>
      </w:r>
      <w:r w:rsidR="006152D6">
        <w:rPr>
          <w:rFonts w:ascii="Arial" w:eastAsia="Arial Unicode MS" w:hAnsi="Arial" w:cs="Arial"/>
          <w:sz w:val="20"/>
        </w:rPr>
        <w:t xml:space="preserve"> (1953) 94 CLR 621.  It follows that the appeal must be allowed.  In the event that I reached this conclusion, the parties asked me to re-exercise the discretion.</w:t>
      </w:r>
    </w:p>
    <w:p w14:paraId="605C5615" w14:textId="77777777" w:rsidR="006152D6" w:rsidRDefault="006152D6" w:rsidP="00ED6723">
      <w:pPr>
        <w:spacing w:before="120"/>
        <w:ind w:left="454" w:right="454"/>
        <w:jc w:val="both"/>
        <w:rPr>
          <w:rFonts w:ascii="Arial" w:eastAsia="Arial Unicode MS" w:hAnsi="Arial" w:cs="Arial"/>
          <w:sz w:val="20"/>
        </w:rPr>
      </w:pPr>
      <w:r>
        <w:rPr>
          <w:rFonts w:ascii="Arial" w:eastAsia="Arial Unicode MS" w:hAnsi="Arial" w:cs="Arial"/>
          <w:sz w:val="20"/>
        </w:rPr>
        <w:t>[20] [T]here is nothing which establishes that NG unreasonably induced the informant, IP, to think that a charge could be successfully brought against him</w:t>
      </w:r>
      <w:r w:rsidR="004B406E">
        <w:rPr>
          <w:rFonts w:ascii="Arial" w:eastAsia="Arial Unicode MS" w:hAnsi="Arial" w:cs="Arial"/>
          <w:sz w:val="20"/>
        </w:rPr>
        <w:t xml:space="preserve">: cf. </w:t>
      </w:r>
      <w:r w:rsidR="004B406E" w:rsidRPr="004B406E">
        <w:rPr>
          <w:rFonts w:ascii="Arial" w:eastAsia="Arial Unicode MS" w:hAnsi="Arial" w:cs="Arial"/>
          <w:i/>
          <w:sz w:val="20"/>
        </w:rPr>
        <w:t>Latoudis v Casey</w:t>
      </w:r>
      <w:r w:rsidR="004B406E">
        <w:rPr>
          <w:rFonts w:ascii="Arial" w:eastAsia="Arial Unicode MS" w:hAnsi="Arial" w:cs="Arial"/>
          <w:sz w:val="20"/>
        </w:rPr>
        <w:t xml:space="preserve"> at 569 per McHugh J.  Further, there is nothing to suggest that the conduct of NG ‘occasioned unnecessary expense in the institution or conduct of the proceedings: </w:t>
      </w:r>
      <w:r w:rsidR="004B406E" w:rsidRPr="004B406E">
        <w:rPr>
          <w:rFonts w:ascii="Arial" w:eastAsia="Arial Unicode MS" w:hAnsi="Arial" w:cs="Arial"/>
          <w:i/>
          <w:sz w:val="20"/>
        </w:rPr>
        <w:t>ibid</w:t>
      </w:r>
      <w:r w:rsidR="004B406E">
        <w:rPr>
          <w:rFonts w:ascii="Arial" w:eastAsia="Arial Unicode MS" w:hAnsi="Arial" w:cs="Arial"/>
          <w:sz w:val="20"/>
        </w:rPr>
        <w:t>…</w:t>
      </w:r>
    </w:p>
    <w:p w14:paraId="515F3E4B" w14:textId="77777777" w:rsidR="006152D6" w:rsidRDefault="006152D6"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[22] </w:t>
      </w:r>
      <w:r w:rsidR="004B406E">
        <w:rPr>
          <w:rFonts w:ascii="Arial" w:eastAsia="Arial Unicode MS" w:hAnsi="Arial" w:cs="Arial"/>
          <w:sz w:val="20"/>
        </w:rPr>
        <w:t xml:space="preserve">At the time he was interviewed, NG was 16 years of age.  Prior to being interviewed, he received advice from a solicitor to exercise his right to silence in the interview.  I have already concluded that there was no evidence justifying the suggestion there was any realistic prospect that if NG gave his version before being charged, charges might not have been laid.  Thus NG’s exercise of his right to silence did not constitute a refusal to put forward information which may have led to a decision not to proceed with the prosecution: </w:t>
      </w:r>
      <w:r w:rsidR="00EC54C2">
        <w:rPr>
          <w:rFonts w:ascii="Arial" w:eastAsia="Arial Unicode MS" w:hAnsi="Arial" w:cs="Arial"/>
          <w:sz w:val="20"/>
        </w:rPr>
        <w:t xml:space="preserve">cf. the judgment of Eames J in </w:t>
      </w:r>
      <w:r w:rsidR="00EC54C2" w:rsidRPr="00EC54C2">
        <w:rPr>
          <w:rFonts w:ascii="Arial" w:eastAsia="Arial Unicode MS" w:hAnsi="Arial" w:cs="Arial"/>
          <w:i/>
          <w:sz w:val="20"/>
        </w:rPr>
        <w:t>Redl v Toppin</w:t>
      </w:r>
      <w:r w:rsidR="00EC54C2">
        <w:rPr>
          <w:rFonts w:ascii="Arial" w:eastAsia="Arial Unicode MS" w:hAnsi="Arial" w:cs="Arial"/>
          <w:sz w:val="20"/>
        </w:rPr>
        <w:t xml:space="preserve"> at p.8.  </w:t>
      </w:r>
      <w:r w:rsidR="003D7031">
        <w:rPr>
          <w:rFonts w:ascii="Arial" w:eastAsia="Arial Unicode MS" w:hAnsi="Arial" w:cs="Arial"/>
          <w:sz w:val="20"/>
        </w:rPr>
        <w:t xml:space="preserve">In my view, it was quite reasonable for NG to exercise his right to silence in the context of this case on the basis that any explanation he gave would only have had the capacity to be used against him – rather than potentially resulting in no charges being </w:t>
      </w:r>
      <w:proofErr w:type="gramStart"/>
      <w:r w:rsidR="003D7031">
        <w:rPr>
          <w:rFonts w:ascii="Arial" w:eastAsia="Arial Unicode MS" w:hAnsi="Arial" w:cs="Arial"/>
          <w:sz w:val="20"/>
        </w:rPr>
        <w:t>laid:</w:t>
      </w:r>
      <w:proofErr w:type="gramEnd"/>
      <w:r w:rsidR="003D7031">
        <w:rPr>
          <w:rFonts w:ascii="Arial" w:eastAsia="Arial Unicode MS" w:hAnsi="Arial" w:cs="Arial"/>
          <w:sz w:val="20"/>
        </w:rPr>
        <w:t xml:space="preserve"> </w:t>
      </w:r>
      <w:r w:rsidR="003D7031" w:rsidRPr="003D7031">
        <w:rPr>
          <w:rFonts w:ascii="Arial" w:eastAsia="Arial Unicode MS" w:hAnsi="Arial" w:cs="Arial"/>
          <w:i/>
          <w:sz w:val="20"/>
        </w:rPr>
        <w:t>ibid</w:t>
      </w:r>
      <w:r w:rsidR="003D7031">
        <w:rPr>
          <w:rFonts w:ascii="Arial" w:eastAsia="Arial Unicode MS" w:hAnsi="Arial" w:cs="Arial"/>
          <w:sz w:val="20"/>
        </w:rPr>
        <w:t>.</w:t>
      </w:r>
    </w:p>
    <w:p w14:paraId="4DE594D8" w14:textId="77777777" w:rsidR="00275FE4" w:rsidRDefault="00275FE4"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[23] [T]here is no reason why an order for costs should not be made under s.131 of the </w:t>
      </w:r>
      <w:r w:rsidRPr="003D7E6D">
        <w:rPr>
          <w:rFonts w:ascii="Arial" w:eastAsia="Arial Unicode MS" w:hAnsi="Arial" w:cs="Arial"/>
          <w:i/>
          <w:iCs/>
          <w:sz w:val="20"/>
        </w:rPr>
        <w:t>Magistrates’ Court Act</w:t>
      </w:r>
      <w:r>
        <w:rPr>
          <w:rFonts w:ascii="Arial" w:eastAsia="Arial Unicode MS" w:hAnsi="Arial" w:cs="Arial"/>
          <w:sz w:val="20"/>
        </w:rPr>
        <w:t xml:space="preserve"> in respect of the Children’s Court proceeding...I consider that in the exercise of my discretion there should be an order for costs in favour of NG.</w:t>
      </w:r>
    </w:p>
    <w:p w14:paraId="7B8BF4E3" w14:textId="77777777" w:rsidR="006152D6" w:rsidRDefault="006152D6"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[24] </w:t>
      </w:r>
      <w:r w:rsidR="004B406E">
        <w:rPr>
          <w:rFonts w:ascii="Arial" w:eastAsia="Arial Unicode MS" w:hAnsi="Arial" w:cs="Arial"/>
          <w:sz w:val="20"/>
        </w:rPr>
        <w:t>…In the circumstances, there is nothing in the material to suggest that NG, in exercising his right to silence, prolonged the proceeding unreasonably – and thus disentitled himself to an exercise of discretion (in the ordinary course) in his favour.”</w:t>
      </w:r>
    </w:p>
    <w:p w14:paraId="433EA12D" w14:textId="77777777" w:rsidR="00B21DA4" w:rsidRDefault="00B21DA4">
      <w:pPr>
        <w:jc w:val="both"/>
        <w:rPr>
          <w:rFonts w:ascii="Arial" w:hAnsi="Arial" w:cs="Arial"/>
          <w:color w:val="000000"/>
          <w:sz w:val="20"/>
        </w:rPr>
      </w:pPr>
    </w:p>
    <w:p w14:paraId="0AF5D694" w14:textId="4FEAF52E" w:rsidR="00AB62B7" w:rsidRDefault="001B494D" w:rsidP="00C9370C">
      <w:pPr>
        <w:jc w:val="both"/>
        <w:rPr>
          <w:rFonts w:ascii="Arial" w:hAnsi="Arial" w:cs="Arial"/>
          <w:color w:val="000000"/>
          <w:sz w:val="20"/>
        </w:rPr>
      </w:pPr>
      <w:r>
        <w:rPr>
          <w:rFonts w:ascii="Arial" w:hAnsi="Arial" w:cs="Arial"/>
          <w:color w:val="000000"/>
          <w:sz w:val="20"/>
        </w:rPr>
        <w:t xml:space="preserve">In </w:t>
      </w:r>
      <w:r w:rsidRPr="001B494D">
        <w:rPr>
          <w:rFonts w:ascii="Arial" w:hAnsi="Arial" w:cs="Arial"/>
          <w:i/>
          <w:iCs/>
          <w:color w:val="000000"/>
          <w:sz w:val="20"/>
        </w:rPr>
        <w:t>Victoria Police v WX (a pseudonym) (Costs Application)</w:t>
      </w:r>
      <w:r>
        <w:rPr>
          <w:rFonts w:ascii="Arial" w:hAnsi="Arial" w:cs="Arial"/>
          <w:color w:val="000000"/>
          <w:sz w:val="20"/>
        </w:rPr>
        <w:t xml:space="preserve"> [2025] VChC 2 – a contested summary hearing in the </w:t>
      </w:r>
      <w:r w:rsidR="00872FC7">
        <w:rPr>
          <w:rFonts w:ascii="Arial" w:hAnsi="Arial" w:cs="Arial"/>
          <w:color w:val="000000"/>
          <w:sz w:val="20"/>
        </w:rPr>
        <w:t xml:space="preserve">Criminal Division of the </w:t>
      </w:r>
      <w:r>
        <w:rPr>
          <w:rFonts w:ascii="Arial" w:hAnsi="Arial" w:cs="Arial"/>
          <w:color w:val="000000"/>
          <w:sz w:val="20"/>
        </w:rPr>
        <w:t xml:space="preserve">Children’s Court – one of the 3 charges against WX </w:t>
      </w:r>
      <w:r w:rsidR="002A57B5">
        <w:rPr>
          <w:rFonts w:ascii="Arial" w:hAnsi="Arial" w:cs="Arial"/>
          <w:color w:val="000000"/>
          <w:sz w:val="20"/>
        </w:rPr>
        <w:t>had been</w:t>
      </w:r>
      <w:r>
        <w:rPr>
          <w:rFonts w:ascii="Arial" w:hAnsi="Arial" w:cs="Arial"/>
          <w:color w:val="000000"/>
          <w:sz w:val="20"/>
        </w:rPr>
        <w:t xml:space="preserve"> discharged on a no case submission and 2 </w:t>
      </w:r>
      <w:r w:rsidR="002A57B5">
        <w:rPr>
          <w:rFonts w:ascii="Arial" w:hAnsi="Arial" w:cs="Arial"/>
          <w:color w:val="000000"/>
          <w:sz w:val="20"/>
        </w:rPr>
        <w:t>had been</w:t>
      </w:r>
      <w:r>
        <w:rPr>
          <w:rFonts w:ascii="Arial" w:hAnsi="Arial" w:cs="Arial"/>
          <w:color w:val="000000"/>
          <w:sz w:val="20"/>
        </w:rPr>
        <w:t xml:space="preserve"> dismissed upon him being found not guilty. The</w:t>
      </w:r>
      <w:r w:rsidR="002A57B5">
        <w:rPr>
          <w:rFonts w:ascii="Arial" w:hAnsi="Arial" w:cs="Arial"/>
          <w:color w:val="000000"/>
          <w:sz w:val="20"/>
        </w:rPr>
        <w:t> </w:t>
      </w:r>
      <w:r>
        <w:rPr>
          <w:rFonts w:ascii="Arial" w:hAnsi="Arial" w:cs="Arial"/>
          <w:color w:val="000000"/>
          <w:sz w:val="20"/>
        </w:rPr>
        <w:t xml:space="preserve">Prosecution conceded that it is appropriate that costs be awarded. However, it took issue </w:t>
      </w:r>
      <w:r w:rsidR="00C9370C">
        <w:rPr>
          <w:rFonts w:ascii="Arial" w:hAnsi="Arial" w:cs="Arial"/>
          <w:color w:val="000000"/>
          <w:sz w:val="20"/>
        </w:rPr>
        <w:t>on 4</w:t>
      </w:r>
      <w:r w:rsidR="002A57B5">
        <w:rPr>
          <w:rFonts w:ascii="Arial" w:hAnsi="Arial" w:cs="Arial"/>
          <w:color w:val="000000"/>
          <w:sz w:val="20"/>
        </w:rPr>
        <w:t> </w:t>
      </w:r>
      <w:r w:rsidR="00C9370C">
        <w:rPr>
          <w:rFonts w:ascii="Arial" w:hAnsi="Arial" w:cs="Arial"/>
          <w:color w:val="000000"/>
          <w:sz w:val="20"/>
        </w:rPr>
        <w:t xml:space="preserve">points </w:t>
      </w:r>
      <w:r>
        <w:rPr>
          <w:rFonts w:ascii="Arial" w:hAnsi="Arial" w:cs="Arial"/>
          <w:color w:val="000000"/>
          <w:sz w:val="20"/>
        </w:rPr>
        <w:t>with the quantum claimed by the Defence.</w:t>
      </w:r>
      <w:r w:rsidR="003A5F36">
        <w:rPr>
          <w:rFonts w:ascii="Arial" w:hAnsi="Arial" w:cs="Arial"/>
          <w:color w:val="000000"/>
          <w:sz w:val="20"/>
        </w:rPr>
        <w:t xml:space="preserve"> </w:t>
      </w:r>
      <w:r w:rsidR="00AB62B7">
        <w:rPr>
          <w:rFonts w:ascii="Arial" w:hAnsi="Arial" w:cs="Arial"/>
          <w:color w:val="000000"/>
          <w:sz w:val="20"/>
        </w:rPr>
        <w:t>Contini M ultimately made the following costs order:</w:t>
      </w:r>
    </w:p>
    <w:p w14:paraId="5F635B81" w14:textId="320DE9FF" w:rsidR="00AB62B7" w:rsidRPr="00AB62B7" w:rsidRDefault="00AB62B7" w:rsidP="00C9370C">
      <w:pPr>
        <w:spacing w:before="60"/>
        <w:ind w:left="454" w:right="454"/>
        <w:jc w:val="both"/>
        <w:rPr>
          <w:rFonts w:ascii="Arial" w:eastAsia="Arial Unicode MS" w:hAnsi="Arial" w:cs="Arial"/>
          <w:sz w:val="20"/>
        </w:rPr>
      </w:pPr>
      <w:r w:rsidRPr="00AB62B7">
        <w:rPr>
          <w:rFonts w:ascii="Arial" w:eastAsia="Arial Unicode MS" w:hAnsi="Arial" w:cs="Arial"/>
          <w:sz w:val="20"/>
        </w:rPr>
        <w:t xml:space="preserve">The Chief Commissioner of Police is to pay </w:t>
      </w:r>
      <w:r w:rsidR="00DC3E89">
        <w:rPr>
          <w:rFonts w:ascii="Arial" w:eastAsia="Arial Unicode MS" w:hAnsi="Arial" w:cs="Arial"/>
          <w:sz w:val="20"/>
        </w:rPr>
        <w:t xml:space="preserve">the </w:t>
      </w:r>
      <w:r w:rsidRPr="00AB62B7">
        <w:rPr>
          <w:rFonts w:ascii="Arial" w:eastAsia="Arial Unicode MS" w:hAnsi="Arial" w:cs="Arial"/>
          <w:sz w:val="20"/>
        </w:rPr>
        <w:t>solicitor for WX costs fixed at $64,350.00 inclusive of GST. A stay of 30 days is granted. These costs are made up as follows:</w:t>
      </w:r>
    </w:p>
    <w:p w14:paraId="01BA3A2F" w14:textId="607E69DC" w:rsidR="00AB62B7" w:rsidRPr="00AB62B7" w:rsidRDefault="00DC3E89" w:rsidP="00C9370C">
      <w:pPr>
        <w:spacing w:before="60"/>
        <w:ind w:left="454" w:right="454"/>
        <w:jc w:val="both"/>
        <w:rPr>
          <w:rFonts w:ascii="Arial" w:eastAsia="Arial Unicode MS" w:hAnsi="Arial" w:cs="Arial"/>
          <w:sz w:val="20"/>
        </w:rPr>
      </w:pPr>
      <w:r w:rsidRPr="00DC3E89">
        <w:rPr>
          <w:rFonts w:ascii="Arial" w:eastAsia="Arial Unicode MS" w:hAnsi="Arial" w:cs="Arial"/>
          <w:sz w:val="20"/>
          <w:u w:val="single"/>
        </w:rPr>
        <w:t>Senior counsel</w:t>
      </w:r>
      <w:r w:rsidR="00AB62B7" w:rsidRPr="00AB62B7">
        <w:rPr>
          <w:rFonts w:ascii="Arial" w:eastAsia="Arial Unicode MS" w:hAnsi="Arial" w:cs="Arial"/>
          <w:sz w:val="20"/>
        </w:rPr>
        <w:t xml:space="preserve"> – $34,650.00 </w:t>
      </w:r>
      <w:r w:rsidR="00872FC7">
        <w:rPr>
          <w:rFonts w:ascii="Arial" w:eastAsia="Arial Unicode MS" w:hAnsi="Arial" w:cs="Arial"/>
          <w:sz w:val="20"/>
        </w:rPr>
        <w:t>c</w:t>
      </w:r>
      <w:r w:rsidR="00AB62B7" w:rsidRPr="00AB62B7">
        <w:rPr>
          <w:rFonts w:ascii="Arial" w:eastAsia="Arial Unicode MS" w:hAnsi="Arial" w:cs="Arial"/>
          <w:sz w:val="20"/>
        </w:rPr>
        <w:t>omprising 1.5 days preparation and 3 days appearance fee at $7,700.00 daily rate.</w:t>
      </w:r>
      <w:r w:rsidR="00C9370C">
        <w:rPr>
          <w:rFonts w:ascii="Arial" w:eastAsia="Arial Unicode MS" w:hAnsi="Arial" w:cs="Arial"/>
          <w:sz w:val="20"/>
        </w:rPr>
        <w:t xml:space="preserve"> [3 days preparation had been claimed.]</w:t>
      </w:r>
    </w:p>
    <w:p w14:paraId="6056DA24" w14:textId="2969CAD5" w:rsidR="00AB62B7" w:rsidRPr="00AB62B7" w:rsidRDefault="00DC3E89" w:rsidP="00C9370C">
      <w:pPr>
        <w:spacing w:before="60"/>
        <w:ind w:left="454" w:right="454"/>
        <w:jc w:val="both"/>
        <w:rPr>
          <w:rFonts w:ascii="Arial" w:eastAsia="Arial Unicode MS" w:hAnsi="Arial" w:cs="Arial"/>
          <w:sz w:val="20"/>
        </w:rPr>
      </w:pPr>
      <w:r w:rsidRPr="00DC3E89">
        <w:rPr>
          <w:rFonts w:ascii="Arial" w:eastAsia="Arial Unicode MS" w:hAnsi="Arial" w:cs="Arial"/>
          <w:sz w:val="20"/>
          <w:u w:val="single"/>
        </w:rPr>
        <w:t>Junior counsel</w:t>
      </w:r>
      <w:r w:rsidR="00AB62B7" w:rsidRPr="00AB62B7">
        <w:rPr>
          <w:rFonts w:ascii="Arial" w:eastAsia="Arial Unicode MS" w:hAnsi="Arial" w:cs="Arial"/>
          <w:sz w:val="20"/>
        </w:rPr>
        <w:t xml:space="preserve"> – $13,200.00 </w:t>
      </w:r>
      <w:r w:rsidR="00872FC7">
        <w:rPr>
          <w:rFonts w:ascii="Arial" w:eastAsia="Arial Unicode MS" w:hAnsi="Arial" w:cs="Arial"/>
          <w:sz w:val="20"/>
        </w:rPr>
        <w:t>c</w:t>
      </w:r>
      <w:r w:rsidR="00AB62B7" w:rsidRPr="00AB62B7">
        <w:rPr>
          <w:rFonts w:ascii="Arial" w:eastAsia="Arial Unicode MS" w:hAnsi="Arial" w:cs="Arial"/>
          <w:sz w:val="20"/>
        </w:rPr>
        <w:t xml:space="preserve">omprising 1.5 days preparation and 2.5 days appearance fee at $3,300.00 daily rate. </w:t>
      </w:r>
      <w:r w:rsidR="00C9370C">
        <w:rPr>
          <w:rFonts w:ascii="Arial" w:eastAsia="Arial Unicode MS" w:hAnsi="Arial" w:cs="Arial"/>
          <w:sz w:val="20"/>
        </w:rPr>
        <w:t>[3 days prepar</w:t>
      </w:r>
      <w:r w:rsidR="00A871D9">
        <w:rPr>
          <w:rFonts w:ascii="Arial" w:eastAsia="Arial Unicode MS" w:hAnsi="Arial" w:cs="Arial"/>
          <w:sz w:val="20"/>
        </w:rPr>
        <w:t>ation</w:t>
      </w:r>
      <w:r w:rsidR="00C9370C">
        <w:rPr>
          <w:rFonts w:ascii="Arial" w:eastAsia="Arial Unicode MS" w:hAnsi="Arial" w:cs="Arial"/>
          <w:sz w:val="20"/>
        </w:rPr>
        <w:t xml:space="preserve"> and 3 days appearance had been claimed.]</w:t>
      </w:r>
    </w:p>
    <w:p w14:paraId="22BD7D77" w14:textId="0696EC7C" w:rsidR="00AB62B7" w:rsidRDefault="00DC3E89" w:rsidP="00C9370C">
      <w:pPr>
        <w:spacing w:before="60"/>
        <w:ind w:left="454" w:right="454"/>
        <w:jc w:val="both"/>
        <w:rPr>
          <w:rFonts w:ascii="Arial" w:eastAsia="Arial Unicode MS" w:hAnsi="Arial" w:cs="Arial"/>
          <w:sz w:val="20"/>
        </w:rPr>
      </w:pPr>
      <w:r w:rsidRPr="00DC3E89">
        <w:rPr>
          <w:rFonts w:ascii="Arial" w:eastAsia="Arial Unicode MS" w:hAnsi="Arial" w:cs="Arial"/>
          <w:sz w:val="20"/>
          <w:u w:val="single"/>
        </w:rPr>
        <w:t>Instructing solicitor</w:t>
      </w:r>
      <w:r w:rsidR="00AB62B7" w:rsidRPr="00AB62B7">
        <w:rPr>
          <w:rFonts w:ascii="Arial" w:eastAsia="Arial Unicode MS" w:hAnsi="Arial" w:cs="Arial"/>
          <w:sz w:val="20"/>
        </w:rPr>
        <w:t xml:space="preserve"> – $16,500.00 </w:t>
      </w:r>
      <w:r w:rsidR="00872FC7">
        <w:rPr>
          <w:rFonts w:ascii="Arial" w:eastAsia="Arial Unicode MS" w:hAnsi="Arial" w:cs="Arial"/>
          <w:sz w:val="20"/>
        </w:rPr>
        <w:t>c</w:t>
      </w:r>
      <w:r w:rsidR="00AB62B7" w:rsidRPr="00AB62B7">
        <w:rPr>
          <w:rFonts w:ascii="Arial" w:eastAsia="Arial Unicode MS" w:hAnsi="Arial" w:cs="Arial"/>
          <w:sz w:val="20"/>
        </w:rPr>
        <w:t>omprising 2 days preparation and 3 days attendance fee at $3,300.00 daily rate</w:t>
      </w:r>
      <w:r w:rsidR="00C9370C">
        <w:rPr>
          <w:rFonts w:ascii="Arial" w:eastAsia="Arial Unicode MS" w:hAnsi="Arial" w:cs="Arial"/>
          <w:sz w:val="20"/>
        </w:rPr>
        <w:t xml:space="preserve"> [3 days preparation and 3 days attendance had been claimed.]</w:t>
      </w:r>
    </w:p>
    <w:p w14:paraId="6789E66F" w14:textId="2FB80E23" w:rsidR="00AB62B7" w:rsidRDefault="00872FC7" w:rsidP="001965F1">
      <w:pPr>
        <w:spacing w:before="60" w:after="120"/>
        <w:jc w:val="both"/>
        <w:rPr>
          <w:rFonts w:ascii="Arial" w:hAnsi="Arial" w:cs="Arial"/>
          <w:color w:val="000000"/>
          <w:sz w:val="20"/>
        </w:rPr>
      </w:pPr>
      <w:r>
        <w:rPr>
          <w:rFonts w:ascii="Arial" w:hAnsi="Arial" w:cs="Arial"/>
          <w:color w:val="000000"/>
          <w:sz w:val="20"/>
        </w:rPr>
        <w:t>Below is a</w:t>
      </w:r>
      <w:r w:rsidR="00A354CD">
        <w:rPr>
          <w:rFonts w:ascii="Arial" w:hAnsi="Arial" w:cs="Arial"/>
          <w:color w:val="000000"/>
          <w:sz w:val="20"/>
        </w:rPr>
        <w:t>n anonymised summary of h</w:t>
      </w:r>
      <w:r w:rsidR="001965F1">
        <w:rPr>
          <w:rFonts w:ascii="Arial" w:hAnsi="Arial" w:cs="Arial"/>
          <w:color w:val="000000"/>
          <w:sz w:val="20"/>
        </w:rPr>
        <w:t>er Honour’s reasons</w:t>
      </w:r>
      <w:r w:rsidR="00A354CD">
        <w:rPr>
          <w:rFonts w:ascii="Arial" w:hAnsi="Arial" w:cs="Arial"/>
          <w:color w:val="000000"/>
          <w:sz w:val="20"/>
        </w:rPr>
        <w:t>.</w:t>
      </w:r>
    </w:p>
    <w:tbl>
      <w:tblPr>
        <w:tblStyle w:val="TableGrid"/>
        <w:tblW w:w="0" w:type="auto"/>
        <w:tblLook w:val="04A0" w:firstRow="1" w:lastRow="0" w:firstColumn="1" w:lastColumn="0" w:noHBand="0" w:noVBand="1"/>
      </w:tblPr>
      <w:tblGrid>
        <w:gridCol w:w="9060"/>
      </w:tblGrid>
      <w:tr w:rsidR="001F6C29" w:rsidRPr="001F6C29" w14:paraId="653A3FF6" w14:textId="77777777" w:rsidTr="001F6C29">
        <w:tc>
          <w:tcPr>
            <w:tcW w:w="9060" w:type="dxa"/>
            <w:shd w:val="clear" w:color="auto" w:fill="000000" w:themeFill="text1"/>
          </w:tcPr>
          <w:p w14:paraId="78836EB0" w14:textId="4EA03710" w:rsidR="001F6C29" w:rsidRPr="001F6C29" w:rsidRDefault="001F6C29" w:rsidP="001F6C29">
            <w:pPr>
              <w:jc w:val="center"/>
              <w:rPr>
                <w:rFonts w:ascii="Arial" w:hAnsi="Arial" w:cs="Arial"/>
                <w:b/>
                <w:bCs/>
                <w:color w:val="FFFFFF" w:themeColor="background1"/>
                <w:sz w:val="20"/>
              </w:rPr>
            </w:pPr>
            <w:r w:rsidRPr="001F6C29">
              <w:rPr>
                <w:rFonts w:ascii="Arial" w:hAnsi="Arial" w:cs="Arial"/>
                <w:b/>
                <w:bCs/>
                <w:color w:val="FFFFFF" w:themeColor="background1"/>
                <w:sz w:val="20"/>
              </w:rPr>
              <w:t>PART 3 – IS GST CLAIMED BY THE DEFENCE PAYABLE BY THE PROSECUTION</w:t>
            </w:r>
            <w:r w:rsidR="001965F1">
              <w:rPr>
                <w:rFonts w:ascii="Arial" w:hAnsi="Arial" w:cs="Arial"/>
                <w:b/>
                <w:bCs/>
                <w:color w:val="FFFFFF" w:themeColor="background1"/>
                <w:sz w:val="20"/>
              </w:rPr>
              <w:t>?</w:t>
            </w:r>
          </w:p>
        </w:tc>
      </w:tr>
      <w:tr w:rsidR="001F6C29" w14:paraId="3152B82D" w14:textId="77777777" w:rsidTr="001F6C29">
        <w:tc>
          <w:tcPr>
            <w:tcW w:w="9060" w:type="dxa"/>
            <w:shd w:val="clear" w:color="auto" w:fill="DDDDDD"/>
          </w:tcPr>
          <w:p w14:paraId="59AF335F" w14:textId="2C70EC4D" w:rsidR="001F6C29" w:rsidRPr="00DC3E89" w:rsidRDefault="00325CB8" w:rsidP="001F6C29">
            <w:pPr>
              <w:jc w:val="center"/>
              <w:rPr>
                <w:rFonts w:ascii="Arial" w:hAnsi="Arial" w:cs="Arial"/>
                <w:b/>
                <w:bCs/>
                <w:color w:val="000000"/>
                <w:sz w:val="20"/>
              </w:rPr>
            </w:pPr>
            <w:r>
              <w:rPr>
                <w:rFonts w:ascii="Arial" w:hAnsi="Arial" w:cs="Arial"/>
                <w:b/>
                <w:bCs/>
                <w:color w:val="000000"/>
                <w:sz w:val="20"/>
              </w:rPr>
              <w:t>Ruling</w:t>
            </w:r>
            <w:r w:rsidR="001F6C29" w:rsidRPr="00DC3E89">
              <w:rPr>
                <w:rFonts w:ascii="Arial" w:hAnsi="Arial" w:cs="Arial"/>
                <w:b/>
                <w:bCs/>
                <w:color w:val="000000"/>
                <w:sz w:val="20"/>
              </w:rPr>
              <w:t>: The costs award is inclusive of GST</w:t>
            </w:r>
            <w:r w:rsidR="006179B0">
              <w:rPr>
                <w:rFonts w:ascii="Arial" w:hAnsi="Arial" w:cs="Arial"/>
                <w:b/>
                <w:bCs/>
                <w:color w:val="000000"/>
                <w:sz w:val="20"/>
              </w:rPr>
              <w:t>.</w:t>
            </w:r>
          </w:p>
        </w:tc>
      </w:tr>
      <w:tr w:rsidR="001F6C29" w14:paraId="4DFE3266" w14:textId="77777777" w:rsidTr="00DC3E89">
        <w:tc>
          <w:tcPr>
            <w:tcW w:w="9060" w:type="dxa"/>
          </w:tcPr>
          <w:p w14:paraId="6B9D1312" w14:textId="71159C37" w:rsidR="001F6C29" w:rsidRDefault="001F6C29" w:rsidP="008835A1">
            <w:pPr>
              <w:spacing w:before="40"/>
              <w:jc w:val="both"/>
              <w:rPr>
                <w:rFonts w:ascii="Arial" w:hAnsi="Arial" w:cs="Arial"/>
                <w:color w:val="000000"/>
                <w:sz w:val="20"/>
              </w:rPr>
            </w:pPr>
            <w:r>
              <w:rPr>
                <w:rFonts w:ascii="Arial" w:hAnsi="Arial" w:cs="Arial"/>
                <w:color w:val="000000"/>
                <w:sz w:val="20"/>
              </w:rPr>
              <w:t xml:space="preserve">The </w:t>
            </w:r>
            <w:r w:rsidR="00E25FE9">
              <w:rPr>
                <w:rFonts w:ascii="Arial" w:hAnsi="Arial" w:cs="Arial"/>
                <w:color w:val="000000"/>
                <w:sz w:val="20"/>
              </w:rPr>
              <w:t>P</w:t>
            </w:r>
            <w:r>
              <w:rPr>
                <w:rFonts w:ascii="Arial" w:hAnsi="Arial" w:cs="Arial"/>
                <w:color w:val="000000"/>
                <w:sz w:val="20"/>
              </w:rPr>
              <w:t xml:space="preserve">rosecution’s submission </w:t>
            </w:r>
            <w:r w:rsidR="005C77A8">
              <w:rPr>
                <w:rFonts w:ascii="Arial" w:hAnsi="Arial" w:cs="Arial"/>
                <w:color w:val="000000"/>
                <w:sz w:val="20"/>
              </w:rPr>
              <w:t>that GST is no</w:t>
            </w:r>
            <w:r w:rsidR="00E25FE9">
              <w:rPr>
                <w:rFonts w:ascii="Arial" w:hAnsi="Arial" w:cs="Arial"/>
                <w:color w:val="000000"/>
                <w:sz w:val="20"/>
              </w:rPr>
              <w:t xml:space="preserve">t payable by it </w:t>
            </w:r>
            <w:r>
              <w:rPr>
                <w:rFonts w:ascii="Arial" w:hAnsi="Arial" w:cs="Arial"/>
                <w:color w:val="000000"/>
                <w:sz w:val="20"/>
              </w:rPr>
              <w:t xml:space="preserve">is </w:t>
            </w:r>
            <w:r w:rsidR="001965F1" w:rsidRPr="001965F1">
              <w:rPr>
                <w:rFonts w:ascii="Arial" w:hAnsi="Arial" w:cs="Arial"/>
                <w:color w:val="000000"/>
                <w:sz w:val="20"/>
              </w:rPr>
              <w:t xml:space="preserve">said to be based on the judgment of Wood AsJ in </w:t>
            </w:r>
            <w:r w:rsidR="001965F1" w:rsidRPr="001965F1">
              <w:rPr>
                <w:rFonts w:ascii="Arial" w:hAnsi="Arial" w:cs="Arial"/>
                <w:i/>
                <w:iCs/>
                <w:color w:val="000000"/>
                <w:sz w:val="20"/>
              </w:rPr>
              <w:t>Lujerdean v G C Corrigan &amp; Co Pty Ltd</w:t>
            </w:r>
            <w:r w:rsidR="001965F1" w:rsidRPr="001965F1">
              <w:rPr>
                <w:rFonts w:ascii="Arial" w:hAnsi="Arial" w:cs="Arial"/>
                <w:color w:val="000000"/>
                <w:sz w:val="20"/>
              </w:rPr>
              <w:t xml:space="preserve"> </w:t>
            </w:r>
            <w:r w:rsidR="001965F1">
              <w:rPr>
                <w:rFonts w:ascii="Arial" w:hAnsi="Arial" w:cs="Arial"/>
                <w:color w:val="000000"/>
                <w:sz w:val="20"/>
              </w:rPr>
              <w:t xml:space="preserve">[2014] VSC 682 </w:t>
            </w:r>
            <w:r w:rsidR="001965F1" w:rsidRPr="001965F1">
              <w:rPr>
                <w:rFonts w:ascii="Arial" w:hAnsi="Arial" w:cs="Arial"/>
                <w:color w:val="000000"/>
                <w:sz w:val="20"/>
              </w:rPr>
              <w:t xml:space="preserve">where his Honour upheld a decision of a judicial registrar that GST was not payable on party-party costs ordered by the County Court in a civil case and quantified on the scale of costs in the </w:t>
            </w:r>
            <w:r w:rsidR="001965F1" w:rsidRPr="001965F1">
              <w:rPr>
                <w:rFonts w:ascii="Arial" w:hAnsi="Arial" w:cs="Arial"/>
                <w:i/>
                <w:iCs/>
                <w:color w:val="000000"/>
                <w:sz w:val="20"/>
              </w:rPr>
              <w:t>County Court Civil Procedure Rules 2008</w:t>
            </w:r>
            <w:r w:rsidR="001965F1" w:rsidRPr="001965F1">
              <w:rPr>
                <w:rFonts w:ascii="Arial" w:hAnsi="Arial" w:cs="Arial"/>
                <w:color w:val="000000"/>
                <w:sz w:val="20"/>
              </w:rPr>
              <w:t xml:space="preserve">. It appears to me that his Honour’s reasoning does not assist the Prosecution in this criminal proceeding where there is no applicable scale of costs. I note that a costs scale also applies to civil proceedings in the Magistrates’ Court but there is no costs scale applicable to criminal proceedings in either the Children’s Court or the Magistrates’ Court. I also note that in </w:t>
            </w:r>
            <w:r w:rsidR="001965F1" w:rsidRPr="001965F1">
              <w:rPr>
                <w:rFonts w:ascii="Arial" w:hAnsi="Arial" w:cs="Arial"/>
                <w:i/>
                <w:iCs/>
                <w:color w:val="000000"/>
                <w:sz w:val="20"/>
              </w:rPr>
              <w:t xml:space="preserve">Lujerdean’s Case </w:t>
            </w:r>
            <w:r w:rsidR="001965F1" w:rsidRPr="001965F1">
              <w:rPr>
                <w:rFonts w:ascii="Arial" w:hAnsi="Arial" w:cs="Arial"/>
                <w:color w:val="000000"/>
                <w:sz w:val="20"/>
              </w:rPr>
              <w:t>at [24] Wood AsJ drew a distinction between the GST consequences of party-party costs and solicitor-client costs, stating:</w:t>
            </w:r>
          </w:p>
          <w:p w14:paraId="62FAC9EE" w14:textId="161CA30D" w:rsidR="001965F1" w:rsidRDefault="001965F1" w:rsidP="001965F1">
            <w:pPr>
              <w:spacing w:before="60"/>
              <w:ind w:left="454" w:right="454"/>
              <w:jc w:val="both"/>
              <w:rPr>
                <w:rFonts w:ascii="Arial" w:hAnsi="Arial" w:cs="Arial"/>
                <w:color w:val="000000"/>
                <w:sz w:val="20"/>
              </w:rPr>
            </w:pPr>
            <w:r w:rsidRPr="001965F1">
              <w:rPr>
                <w:rFonts w:ascii="Arial" w:hAnsi="Arial" w:cs="Arial"/>
                <w:color w:val="000000"/>
                <w:sz w:val="18"/>
                <w:szCs w:val="22"/>
              </w:rPr>
              <w:t>The decision to change the scale [in 2011] to exclude GST was obviously taken for good reason. If</w:t>
            </w:r>
            <w:r w:rsidR="00872FC7">
              <w:rPr>
                <w:rFonts w:ascii="Arial" w:hAnsi="Arial" w:cs="Arial"/>
                <w:color w:val="000000"/>
                <w:sz w:val="18"/>
                <w:szCs w:val="22"/>
              </w:rPr>
              <w:t> </w:t>
            </w:r>
            <w:r w:rsidRPr="001965F1">
              <w:rPr>
                <w:rFonts w:ascii="Arial" w:hAnsi="Arial" w:cs="Arial"/>
                <w:color w:val="000000"/>
                <w:sz w:val="18"/>
                <w:szCs w:val="22"/>
              </w:rPr>
              <w:t>the Applicant’s position is correct then GST would be claimable on the scale items irrespective of whether it was applied as between solicitor and client or between parties in a party party scenario. In</w:t>
            </w:r>
            <w:r w:rsidR="00872FC7">
              <w:rPr>
                <w:rFonts w:ascii="Arial" w:hAnsi="Arial" w:cs="Arial"/>
                <w:color w:val="000000"/>
                <w:sz w:val="18"/>
                <w:szCs w:val="22"/>
              </w:rPr>
              <w:t> </w:t>
            </w:r>
            <w:r w:rsidRPr="001965F1">
              <w:rPr>
                <w:rFonts w:ascii="Arial" w:hAnsi="Arial" w:cs="Arial"/>
                <w:color w:val="000000"/>
                <w:sz w:val="18"/>
                <w:szCs w:val="22"/>
              </w:rPr>
              <w:t>other words, on either scenario. If that is so then there would have been little reason to change the scale to exclude GST as GST would be relevant in all circumstances.</w:t>
            </w:r>
          </w:p>
          <w:p w14:paraId="5A7C8E94" w14:textId="009CC117" w:rsidR="001965F1" w:rsidRDefault="001965F1" w:rsidP="001965F1">
            <w:pPr>
              <w:spacing w:before="120"/>
              <w:jc w:val="both"/>
              <w:rPr>
                <w:rFonts w:ascii="Arial" w:hAnsi="Arial" w:cs="Arial"/>
                <w:color w:val="000000"/>
                <w:sz w:val="20"/>
              </w:rPr>
            </w:pPr>
            <w:r w:rsidRPr="001965F1">
              <w:rPr>
                <w:rFonts w:ascii="Arial" w:hAnsi="Arial" w:cs="Arial"/>
                <w:color w:val="000000"/>
                <w:sz w:val="20"/>
              </w:rPr>
              <w:t xml:space="preserve">Further, it is clear from the majority judgments in </w:t>
            </w:r>
            <w:r w:rsidRPr="001965F1">
              <w:rPr>
                <w:rFonts w:ascii="Arial" w:hAnsi="Arial" w:cs="Arial"/>
                <w:i/>
                <w:iCs/>
                <w:color w:val="000000"/>
                <w:sz w:val="20"/>
              </w:rPr>
              <w:t xml:space="preserve">Latoudis v Casey </w:t>
            </w:r>
            <w:r w:rsidRPr="001965F1">
              <w:rPr>
                <w:rFonts w:ascii="Arial" w:hAnsi="Arial" w:cs="Arial"/>
                <w:color w:val="000000"/>
                <w:sz w:val="20"/>
              </w:rPr>
              <w:t xml:space="preserve">that, in exercising the discretion to award costs against the </w:t>
            </w:r>
            <w:r w:rsidR="00E25FE9">
              <w:rPr>
                <w:rFonts w:ascii="Arial" w:hAnsi="Arial" w:cs="Arial"/>
                <w:color w:val="000000"/>
                <w:sz w:val="20"/>
              </w:rPr>
              <w:t>P</w:t>
            </w:r>
            <w:r w:rsidRPr="001965F1">
              <w:rPr>
                <w:rFonts w:ascii="Arial" w:hAnsi="Arial" w:cs="Arial"/>
                <w:color w:val="000000"/>
                <w:sz w:val="20"/>
              </w:rPr>
              <w:t>rosecution in this criminal proceeding, the decision should be viewed primarily from the perspective of the accused who is required to pay GST as part of the financial burden of exculpating himself in this proceeding. For instance, Mason CJ said</w:t>
            </w:r>
            <w:r>
              <w:rPr>
                <w:rFonts w:ascii="Arial" w:hAnsi="Arial" w:cs="Arial"/>
                <w:color w:val="000000"/>
                <w:sz w:val="20"/>
              </w:rPr>
              <w:t xml:space="preserve"> at </w:t>
            </w:r>
            <w:r w:rsidR="002A57B5">
              <w:rPr>
                <w:rFonts w:ascii="Arial" w:hAnsi="Arial" w:cs="Arial"/>
                <w:color w:val="000000"/>
                <w:sz w:val="20"/>
              </w:rPr>
              <w:t>pp.</w:t>
            </w:r>
            <w:r>
              <w:rPr>
                <w:rFonts w:ascii="Arial" w:hAnsi="Arial" w:cs="Arial"/>
                <w:color w:val="000000"/>
                <w:sz w:val="20"/>
              </w:rPr>
              <w:t>542-3</w:t>
            </w:r>
            <w:r w:rsidRPr="001965F1">
              <w:rPr>
                <w:rFonts w:ascii="Arial" w:hAnsi="Arial" w:cs="Arial"/>
                <w:color w:val="000000"/>
                <w:sz w:val="20"/>
              </w:rPr>
              <w:t>:</w:t>
            </w:r>
          </w:p>
          <w:p w14:paraId="404BDECB" w14:textId="77777777" w:rsidR="001965F1" w:rsidRDefault="001965F1" w:rsidP="001965F1">
            <w:pPr>
              <w:spacing w:before="60"/>
              <w:ind w:left="454" w:right="454"/>
              <w:jc w:val="both"/>
              <w:rPr>
                <w:rFonts w:ascii="Arial" w:hAnsi="Arial" w:cs="Arial"/>
                <w:color w:val="000000"/>
                <w:sz w:val="18"/>
                <w:szCs w:val="22"/>
              </w:rPr>
            </w:pPr>
            <w:r w:rsidRPr="001965F1">
              <w:rPr>
                <w:rFonts w:ascii="Arial" w:hAnsi="Arial" w:cs="Arial"/>
                <w:color w:val="000000"/>
                <w:sz w:val="18"/>
                <w:szCs w:val="22"/>
              </w:rPr>
              <w:lastRenderedPageBreak/>
              <w:t>It will be seen from what I have already said that, in exercising its discretion to award or refuse costs, a court should look at the matter primarily from the perspective of the defendant. To do so conforms to fundamental principle. If one thing is clear in the realm of costs, it is that, in criminal as well as civil proceedings, costs are not awarded by way of punishment of the unsuccessful party. They are compensatory in the sense that they are awarded to indemnify the successful party against the expense to which he or she has been put by reason of the legal proceedings</w:t>
            </w:r>
            <w:r w:rsidR="00A7529A">
              <w:rPr>
                <w:rFonts w:ascii="Arial" w:hAnsi="Arial" w:cs="Arial"/>
                <w:color w:val="000000"/>
                <w:sz w:val="18"/>
                <w:szCs w:val="22"/>
              </w:rPr>
              <w:t>.</w:t>
            </w:r>
          </w:p>
          <w:p w14:paraId="3631DF38" w14:textId="07FF2F3D" w:rsidR="00BA11E3" w:rsidRDefault="00BA11E3" w:rsidP="00BA11E3">
            <w:pPr>
              <w:spacing w:before="120"/>
              <w:jc w:val="both"/>
              <w:rPr>
                <w:rFonts w:ascii="Arial" w:hAnsi="Arial" w:cs="Arial"/>
                <w:color w:val="000000"/>
                <w:sz w:val="20"/>
              </w:rPr>
            </w:pPr>
            <w:r>
              <w:rPr>
                <w:rFonts w:ascii="Arial" w:hAnsi="Arial" w:cs="Arial"/>
                <w:color w:val="000000"/>
                <w:sz w:val="20"/>
              </w:rPr>
              <w:t xml:space="preserve">At </w:t>
            </w:r>
            <w:r w:rsidR="002A57B5">
              <w:rPr>
                <w:rFonts w:ascii="Arial" w:hAnsi="Arial" w:cs="Arial"/>
                <w:color w:val="000000"/>
                <w:sz w:val="20"/>
              </w:rPr>
              <w:t>p.</w:t>
            </w:r>
            <w:r>
              <w:rPr>
                <w:rFonts w:ascii="Arial" w:hAnsi="Arial" w:cs="Arial"/>
                <w:color w:val="000000"/>
                <w:sz w:val="20"/>
              </w:rPr>
              <w:t xml:space="preserve">565 </w:t>
            </w:r>
            <w:r w:rsidRPr="001965F1">
              <w:rPr>
                <w:rFonts w:ascii="Arial" w:hAnsi="Arial" w:cs="Arial"/>
                <w:color w:val="000000"/>
                <w:sz w:val="20"/>
              </w:rPr>
              <w:t xml:space="preserve">Toohey J also noted </w:t>
            </w:r>
            <w:r>
              <w:rPr>
                <w:rFonts w:ascii="Arial" w:hAnsi="Arial" w:cs="Arial"/>
                <w:color w:val="000000"/>
                <w:sz w:val="20"/>
              </w:rPr>
              <w:t>the</w:t>
            </w:r>
            <w:r w:rsidRPr="001965F1">
              <w:rPr>
                <w:rFonts w:ascii="Arial" w:hAnsi="Arial" w:cs="Arial"/>
                <w:color w:val="000000"/>
                <w:sz w:val="20"/>
              </w:rPr>
              <w:t xml:space="preserve"> very significant distinction between costs in civil and criminal proceedings</w:t>
            </w:r>
            <w:r>
              <w:rPr>
                <w:rFonts w:ascii="Arial" w:hAnsi="Arial" w:cs="Arial"/>
                <w:color w:val="000000"/>
                <w:sz w:val="20"/>
              </w:rPr>
              <w:t xml:space="preserve">, quoting what Kirby P had said in </w:t>
            </w:r>
            <w:r w:rsidRPr="001965F1">
              <w:rPr>
                <w:rFonts w:ascii="Arial" w:hAnsi="Arial" w:cs="Arial"/>
                <w:i/>
                <w:iCs/>
                <w:color w:val="000000"/>
                <w:sz w:val="20"/>
              </w:rPr>
              <w:t>Acuthan v Coates</w:t>
            </w:r>
            <w:r w:rsidR="006179B0">
              <w:rPr>
                <w:rFonts w:ascii="Arial" w:hAnsi="Arial" w:cs="Arial"/>
                <w:i/>
                <w:iCs/>
                <w:color w:val="000000"/>
                <w:sz w:val="20"/>
              </w:rPr>
              <w:t xml:space="preserve"> </w:t>
            </w:r>
            <w:r w:rsidR="006179B0" w:rsidRPr="0021207A">
              <w:rPr>
                <w:rFonts w:ascii="Arial" w:hAnsi="Arial" w:cs="Arial"/>
                <w:sz w:val="20"/>
              </w:rPr>
              <w:t>(1986) 6 NSWLR 472 at 480</w:t>
            </w:r>
            <w:r w:rsidRPr="001965F1">
              <w:rPr>
                <w:rFonts w:ascii="Arial" w:hAnsi="Arial" w:cs="Arial"/>
                <w:color w:val="000000"/>
                <w:sz w:val="20"/>
              </w:rPr>
              <w:t>:</w:t>
            </w:r>
          </w:p>
          <w:p w14:paraId="2573B727" w14:textId="45AF3773" w:rsidR="006179B0" w:rsidRDefault="006179B0" w:rsidP="002A57B5">
            <w:pPr>
              <w:spacing w:before="40" w:after="60"/>
              <w:ind w:left="454" w:right="454"/>
              <w:jc w:val="both"/>
              <w:rPr>
                <w:rFonts w:ascii="Arial" w:hAnsi="Arial" w:cs="Arial"/>
                <w:color w:val="000000"/>
                <w:sz w:val="18"/>
                <w:szCs w:val="22"/>
              </w:rPr>
            </w:pPr>
            <w:r w:rsidRPr="006179B0">
              <w:rPr>
                <w:rFonts w:ascii="Arial" w:hAnsi="Arial" w:cs="Arial"/>
                <w:sz w:val="18"/>
                <w:szCs w:val="22"/>
              </w:rPr>
              <w:t>The section recognises that persons accused of criminal offences can be put to a great deal of expense in defending themselves. Unlike civil litigation, they cannot simply compromise the matter. Their liberty, reputation and pocket are, or may be, at risk.</w:t>
            </w:r>
          </w:p>
          <w:p w14:paraId="32144094" w14:textId="2BAEE095" w:rsidR="00A7529A" w:rsidRDefault="00276362" w:rsidP="00DC3E89">
            <w:pPr>
              <w:spacing w:before="120"/>
              <w:jc w:val="both"/>
              <w:rPr>
                <w:rFonts w:ascii="Arial" w:hAnsi="Arial" w:cs="Arial"/>
                <w:color w:val="000000"/>
                <w:sz w:val="20"/>
              </w:rPr>
            </w:pPr>
            <w:r w:rsidRPr="001965F1">
              <w:rPr>
                <w:rFonts w:ascii="Arial" w:hAnsi="Arial" w:cs="Arial"/>
                <w:color w:val="000000"/>
                <w:sz w:val="20"/>
              </w:rPr>
              <w:t xml:space="preserve">The order for costs against the Prosecution which I am making in this case is an order which – insofar as it is just and reasonable to do so – indemnifies the accused against the expense to which he has been put by reason of the criminal proceedings. It is therefore not akin to an award of ‘party-party’ costs as that term is used in relation to civil proceedings. It is not based on any scale contained in subordinate legislation. It is much more akin to a substantial but not total award of ‘solicitor-client’ costs on which – as the above quote </w:t>
            </w:r>
            <w:r w:rsidR="00872FC7" w:rsidRPr="001965F1">
              <w:rPr>
                <w:rFonts w:ascii="Arial" w:hAnsi="Arial" w:cs="Arial"/>
                <w:color w:val="000000"/>
                <w:sz w:val="20"/>
              </w:rPr>
              <w:t xml:space="preserve">at [24] </w:t>
            </w:r>
            <w:r w:rsidRPr="001965F1">
              <w:rPr>
                <w:rFonts w:ascii="Arial" w:hAnsi="Arial" w:cs="Arial"/>
                <w:color w:val="000000"/>
                <w:sz w:val="20"/>
              </w:rPr>
              <w:t xml:space="preserve">from the judgment of Wood AsJ </w:t>
            </w:r>
            <w:r w:rsidR="00DC3E89" w:rsidRPr="001965F1">
              <w:rPr>
                <w:rFonts w:ascii="Arial" w:hAnsi="Arial" w:cs="Arial"/>
                <w:color w:val="000000"/>
                <w:sz w:val="20"/>
              </w:rPr>
              <w:t>in</w:t>
            </w:r>
            <w:r w:rsidR="00DC3E89" w:rsidRPr="001965F1">
              <w:rPr>
                <w:rFonts w:ascii="Arial" w:hAnsi="Arial" w:cs="Arial"/>
                <w:i/>
                <w:iCs/>
                <w:color w:val="000000"/>
                <w:sz w:val="20"/>
              </w:rPr>
              <w:t xml:space="preserve"> </w:t>
            </w:r>
            <w:r w:rsidR="00872FC7" w:rsidRPr="001965F1">
              <w:rPr>
                <w:rFonts w:ascii="Arial" w:hAnsi="Arial" w:cs="Arial"/>
                <w:i/>
                <w:iCs/>
                <w:color w:val="000000"/>
                <w:sz w:val="20"/>
              </w:rPr>
              <w:t xml:space="preserve">Lujerdean’s </w:t>
            </w:r>
            <w:r w:rsidR="00DC3E89" w:rsidRPr="001965F1">
              <w:rPr>
                <w:rFonts w:ascii="Arial" w:hAnsi="Arial" w:cs="Arial"/>
                <w:i/>
                <w:iCs/>
                <w:color w:val="000000"/>
                <w:sz w:val="20"/>
              </w:rPr>
              <w:t xml:space="preserve">Case </w:t>
            </w:r>
            <w:r w:rsidRPr="001965F1">
              <w:rPr>
                <w:rFonts w:ascii="Arial" w:hAnsi="Arial" w:cs="Arial"/>
                <w:color w:val="000000"/>
                <w:sz w:val="20"/>
              </w:rPr>
              <w:t xml:space="preserve">makes clear – GST is </w:t>
            </w:r>
            <w:r w:rsidR="00872FC7">
              <w:rPr>
                <w:rFonts w:ascii="Arial" w:hAnsi="Arial" w:cs="Arial"/>
                <w:color w:val="000000"/>
                <w:sz w:val="20"/>
              </w:rPr>
              <w:t>“</w:t>
            </w:r>
            <w:r w:rsidRPr="001965F1">
              <w:rPr>
                <w:rFonts w:ascii="Arial" w:hAnsi="Arial" w:cs="Arial"/>
                <w:color w:val="000000"/>
                <w:sz w:val="20"/>
              </w:rPr>
              <w:t>claimable…as between solicitor and client</w:t>
            </w:r>
            <w:r w:rsidR="00872FC7">
              <w:rPr>
                <w:rFonts w:ascii="Arial" w:hAnsi="Arial" w:cs="Arial"/>
                <w:color w:val="000000"/>
                <w:sz w:val="20"/>
              </w:rPr>
              <w:t>”</w:t>
            </w:r>
            <w:r>
              <w:rPr>
                <w:rFonts w:ascii="Arial" w:hAnsi="Arial" w:cs="Arial"/>
                <w:color w:val="000000"/>
                <w:sz w:val="20"/>
              </w:rPr>
              <w:t>.</w:t>
            </w:r>
          </w:p>
        </w:tc>
      </w:tr>
    </w:tbl>
    <w:p w14:paraId="5137D363" w14:textId="77777777" w:rsidR="001B494D" w:rsidRPr="00DC3E89" w:rsidRDefault="001B494D" w:rsidP="00DC3E89">
      <w:pPr>
        <w:jc w:val="both"/>
        <w:rPr>
          <w:rFonts w:ascii="Arial" w:hAnsi="Arial" w:cs="Arial"/>
          <w:color w:val="000000"/>
          <w:sz w:val="12"/>
          <w:szCs w:val="16"/>
        </w:rPr>
      </w:pPr>
    </w:p>
    <w:tbl>
      <w:tblPr>
        <w:tblStyle w:val="TableGrid"/>
        <w:tblW w:w="0" w:type="auto"/>
        <w:tblLook w:val="04A0" w:firstRow="1" w:lastRow="0" w:firstColumn="1" w:lastColumn="0" w:noHBand="0" w:noVBand="1"/>
      </w:tblPr>
      <w:tblGrid>
        <w:gridCol w:w="9060"/>
      </w:tblGrid>
      <w:tr w:rsidR="00DC3E89" w:rsidRPr="001F6C29" w14:paraId="7C740C57" w14:textId="77777777" w:rsidTr="008F100D">
        <w:tc>
          <w:tcPr>
            <w:tcW w:w="9060" w:type="dxa"/>
            <w:shd w:val="clear" w:color="auto" w:fill="000000" w:themeFill="text1"/>
          </w:tcPr>
          <w:p w14:paraId="01C1A217" w14:textId="5D50DB5A" w:rsidR="00DC3E89" w:rsidRPr="001F6C29" w:rsidRDefault="00DC3E89" w:rsidP="008F100D">
            <w:pPr>
              <w:jc w:val="center"/>
              <w:rPr>
                <w:rFonts w:ascii="Arial" w:hAnsi="Arial" w:cs="Arial"/>
                <w:b/>
                <w:bCs/>
                <w:color w:val="FFFFFF" w:themeColor="background1"/>
                <w:sz w:val="20"/>
              </w:rPr>
            </w:pPr>
            <w:r w:rsidRPr="001F6C29">
              <w:rPr>
                <w:rFonts w:ascii="Arial" w:hAnsi="Arial" w:cs="Arial"/>
                <w:b/>
                <w:bCs/>
                <w:color w:val="FFFFFF" w:themeColor="background1"/>
                <w:sz w:val="20"/>
              </w:rPr>
              <w:t xml:space="preserve">PART </w:t>
            </w:r>
            <w:r>
              <w:rPr>
                <w:rFonts w:ascii="Arial" w:hAnsi="Arial" w:cs="Arial"/>
                <w:b/>
                <w:bCs/>
                <w:color w:val="FFFFFF" w:themeColor="background1"/>
                <w:sz w:val="20"/>
              </w:rPr>
              <w:t>4</w:t>
            </w:r>
            <w:r w:rsidRPr="001F6C29">
              <w:rPr>
                <w:rFonts w:ascii="Arial" w:hAnsi="Arial" w:cs="Arial"/>
                <w:b/>
                <w:bCs/>
                <w:color w:val="FFFFFF" w:themeColor="background1"/>
                <w:sz w:val="20"/>
              </w:rPr>
              <w:t xml:space="preserve"> </w:t>
            </w:r>
            <w:r>
              <w:rPr>
                <w:rFonts w:ascii="Arial" w:hAnsi="Arial" w:cs="Arial"/>
                <w:b/>
                <w:bCs/>
                <w:color w:val="FFFFFF" w:themeColor="background1"/>
                <w:sz w:val="20"/>
              </w:rPr>
              <w:t>– QUANTUM OF SENIOR COUNSEL’S DAILY APPEARANCE FEE</w:t>
            </w:r>
          </w:p>
        </w:tc>
      </w:tr>
      <w:tr w:rsidR="00DC3E89" w14:paraId="29A2D6DC" w14:textId="77777777" w:rsidTr="008F100D">
        <w:tc>
          <w:tcPr>
            <w:tcW w:w="9060" w:type="dxa"/>
            <w:shd w:val="clear" w:color="auto" w:fill="DDDDDD"/>
          </w:tcPr>
          <w:p w14:paraId="0B0A6A76" w14:textId="2BFD8FC0" w:rsidR="00DC3E89" w:rsidRPr="006179B0" w:rsidRDefault="00325CB8" w:rsidP="008F100D">
            <w:pPr>
              <w:jc w:val="center"/>
              <w:rPr>
                <w:rFonts w:ascii="Arial" w:hAnsi="Arial" w:cs="Arial"/>
                <w:b/>
                <w:bCs/>
                <w:color w:val="000000"/>
                <w:sz w:val="20"/>
              </w:rPr>
            </w:pPr>
            <w:r>
              <w:rPr>
                <w:rFonts w:ascii="Arial" w:hAnsi="Arial" w:cs="Arial"/>
                <w:b/>
                <w:bCs/>
                <w:color w:val="000000"/>
                <w:sz w:val="20"/>
              </w:rPr>
              <w:t>Ruling</w:t>
            </w:r>
            <w:r w:rsidR="00DC3E89" w:rsidRPr="006179B0">
              <w:rPr>
                <w:rFonts w:ascii="Arial" w:hAnsi="Arial" w:cs="Arial"/>
                <w:b/>
                <w:bCs/>
                <w:color w:val="000000"/>
                <w:sz w:val="20"/>
              </w:rPr>
              <w:t xml:space="preserve">: The </w:t>
            </w:r>
            <w:r w:rsidR="006179B0" w:rsidRPr="006179B0">
              <w:rPr>
                <w:rFonts w:ascii="Arial" w:hAnsi="Arial" w:cs="Arial"/>
                <w:b/>
                <w:bCs/>
                <w:color w:val="000000"/>
                <w:sz w:val="20"/>
              </w:rPr>
              <w:t xml:space="preserve">appearance </w:t>
            </w:r>
            <w:r w:rsidR="00DC3E89" w:rsidRPr="006179B0">
              <w:rPr>
                <w:rFonts w:ascii="Arial" w:hAnsi="Arial" w:cs="Arial"/>
                <w:b/>
                <w:bCs/>
                <w:color w:val="000000"/>
                <w:sz w:val="20"/>
              </w:rPr>
              <w:t xml:space="preserve">costs </w:t>
            </w:r>
            <w:r w:rsidR="006179B0" w:rsidRPr="006179B0">
              <w:rPr>
                <w:rFonts w:ascii="Arial" w:hAnsi="Arial" w:cs="Arial"/>
                <w:b/>
                <w:bCs/>
                <w:color w:val="000000"/>
                <w:sz w:val="20"/>
              </w:rPr>
              <w:t>sought for senior counsel were reasonably incurred</w:t>
            </w:r>
            <w:r w:rsidR="006179B0">
              <w:rPr>
                <w:rFonts w:ascii="Arial" w:hAnsi="Arial" w:cs="Arial"/>
                <w:b/>
                <w:bCs/>
                <w:color w:val="000000"/>
                <w:sz w:val="20"/>
              </w:rPr>
              <w:t>.</w:t>
            </w:r>
          </w:p>
        </w:tc>
      </w:tr>
      <w:tr w:rsidR="00DC3E89" w14:paraId="2CC2EF64" w14:textId="77777777" w:rsidTr="00DC3E89">
        <w:tc>
          <w:tcPr>
            <w:tcW w:w="9060" w:type="dxa"/>
          </w:tcPr>
          <w:p w14:paraId="315A44CB" w14:textId="0AEFC01B" w:rsidR="006179B0" w:rsidRPr="006179B0" w:rsidRDefault="006179B0" w:rsidP="005C64E5">
            <w:pPr>
              <w:spacing w:before="40"/>
              <w:jc w:val="both"/>
              <w:rPr>
                <w:rFonts w:ascii="Arial" w:hAnsi="Arial" w:cs="Arial"/>
                <w:color w:val="000000"/>
                <w:sz w:val="20"/>
              </w:rPr>
            </w:pPr>
            <w:r w:rsidRPr="006179B0">
              <w:rPr>
                <w:rFonts w:ascii="Arial" w:hAnsi="Arial" w:cs="Arial"/>
                <w:color w:val="000000"/>
                <w:sz w:val="20"/>
              </w:rPr>
              <w:t>The Prosecution submit</w:t>
            </w:r>
            <w:r w:rsidR="008835A1">
              <w:rPr>
                <w:rFonts w:ascii="Arial" w:hAnsi="Arial" w:cs="Arial"/>
                <w:color w:val="000000"/>
                <w:sz w:val="20"/>
              </w:rPr>
              <w:t>ted</w:t>
            </w:r>
            <w:r w:rsidRPr="006179B0">
              <w:rPr>
                <w:rFonts w:ascii="Arial" w:hAnsi="Arial" w:cs="Arial"/>
                <w:color w:val="000000"/>
                <w:sz w:val="20"/>
              </w:rPr>
              <w:t xml:space="preserve"> that the daily appearance rate ($7,000 excluding GST per day) of </w:t>
            </w:r>
            <w:r>
              <w:rPr>
                <w:rFonts w:ascii="Arial" w:hAnsi="Arial" w:cs="Arial"/>
                <w:color w:val="000000"/>
                <w:sz w:val="20"/>
              </w:rPr>
              <w:t>senior counsel</w:t>
            </w:r>
            <w:r w:rsidRPr="006179B0">
              <w:rPr>
                <w:rFonts w:ascii="Arial" w:hAnsi="Arial" w:cs="Arial"/>
                <w:color w:val="000000"/>
                <w:sz w:val="20"/>
              </w:rPr>
              <w:t xml:space="preserve"> should be reduced to accord with Schedule 1 of the </w:t>
            </w:r>
            <w:r w:rsidRPr="006179B0">
              <w:rPr>
                <w:rFonts w:ascii="Arial" w:hAnsi="Arial" w:cs="Arial"/>
                <w:i/>
                <w:iCs/>
                <w:color w:val="000000"/>
                <w:sz w:val="20"/>
              </w:rPr>
              <w:t xml:space="preserve">Supreme Court (General Civil Procedure) Rules 2015. </w:t>
            </w:r>
            <w:r w:rsidRPr="006179B0">
              <w:rPr>
                <w:rFonts w:ascii="Arial" w:hAnsi="Arial" w:cs="Arial"/>
                <w:color w:val="000000"/>
                <w:sz w:val="20"/>
              </w:rPr>
              <w:t xml:space="preserve">The basis for asserting that the fee-capping contained in these Rules would or should apply to the Children’s Court is unclear to me given the differences highlighted in the authorities between costs awards in criminal and civil proceedings and dicta from the majority judgments in </w:t>
            </w:r>
            <w:r w:rsidRPr="006179B0">
              <w:rPr>
                <w:rFonts w:ascii="Arial" w:hAnsi="Arial" w:cs="Arial"/>
                <w:i/>
                <w:iCs/>
                <w:color w:val="000000"/>
                <w:sz w:val="20"/>
              </w:rPr>
              <w:t xml:space="preserve">Latoudis v Casey </w:t>
            </w:r>
            <w:r w:rsidRPr="006179B0">
              <w:rPr>
                <w:rFonts w:ascii="Arial" w:hAnsi="Arial" w:cs="Arial"/>
                <w:color w:val="000000"/>
                <w:sz w:val="20"/>
              </w:rPr>
              <w:t>cited in Part 3 above. This submission is accordingly rejected.</w:t>
            </w:r>
          </w:p>
          <w:p w14:paraId="7618B41F" w14:textId="0911ED49" w:rsidR="00DC3E89" w:rsidRDefault="006179B0" w:rsidP="00E25FE9">
            <w:pPr>
              <w:spacing w:before="120" w:after="40"/>
              <w:jc w:val="both"/>
              <w:rPr>
                <w:rFonts w:ascii="Arial" w:hAnsi="Arial" w:cs="Arial"/>
                <w:color w:val="000000"/>
                <w:sz w:val="20"/>
              </w:rPr>
            </w:pPr>
            <w:r w:rsidRPr="006179B0">
              <w:rPr>
                <w:rFonts w:ascii="Arial" w:hAnsi="Arial" w:cs="Arial"/>
                <w:color w:val="000000"/>
                <w:sz w:val="20"/>
              </w:rPr>
              <w:t xml:space="preserve">In my view, in the circumstances the costs sought for senior counsel were reasonably incurred and are of a reasonable amount considering the seriousness of the alleged offences in this matter and the potentially very serious ramifications for the accused of a finding of guilt. Those potential ramifications include not only the </w:t>
            </w:r>
            <w:r w:rsidR="00872FC7">
              <w:rPr>
                <w:rFonts w:ascii="Arial" w:hAnsi="Arial" w:cs="Arial"/>
                <w:color w:val="000000"/>
                <w:sz w:val="20"/>
              </w:rPr>
              <w:t>“</w:t>
            </w:r>
            <w:r w:rsidRPr="006179B0">
              <w:rPr>
                <w:rFonts w:ascii="Arial" w:hAnsi="Arial" w:cs="Arial"/>
                <w:color w:val="000000"/>
                <w:sz w:val="20"/>
              </w:rPr>
              <w:t>liberty, reputation and pocket</w:t>
            </w:r>
            <w:r w:rsidR="00872FC7">
              <w:rPr>
                <w:rFonts w:ascii="Arial" w:hAnsi="Arial" w:cs="Arial"/>
                <w:color w:val="000000"/>
                <w:sz w:val="20"/>
              </w:rPr>
              <w:t>”</w:t>
            </w:r>
            <w:r w:rsidRPr="006179B0">
              <w:rPr>
                <w:rFonts w:ascii="Arial" w:hAnsi="Arial" w:cs="Arial"/>
                <w:color w:val="000000"/>
                <w:sz w:val="20"/>
              </w:rPr>
              <w:t xml:space="preserve"> of the accused – to quote Kirby P in </w:t>
            </w:r>
            <w:r w:rsidRPr="006179B0">
              <w:rPr>
                <w:rFonts w:ascii="Arial" w:hAnsi="Arial" w:cs="Arial"/>
                <w:i/>
                <w:iCs/>
                <w:color w:val="000000"/>
                <w:sz w:val="20"/>
              </w:rPr>
              <w:t>Acuthan v Coates</w:t>
            </w:r>
            <w:r w:rsidRPr="006179B0">
              <w:rPr>
                <w:rFonts w:ascii="Arial" w:hAnsi="Arial" w:cs="Arial"/>
                <w:color w:val="000000"/>
                <w:sz w:val="20"/>
              </w:rPr>
              <w:t xml:space="preserve"> – but also a potential adverse impact on his future employment prospects.</w:t>
            </w:r>
          </w:p>
        </w:tc>
      </w:tr>
    </w:tbl>
    <w:p w14:paraId="6C7917B1" w14:textId="77777777" w:rsidR="00DC3E89" w:rsidRPr="00DC3E89" w:rsidRDefault="00DC3E89" w:rsidP="00DC3E89">
      <w:pPr>
        <w:jc w:val="both"/>
        <w:rPr>
          <w:rFonts w:ascii="Arial" w:hAnsi="Arial" w:cs="Arial"/>
          <w:color w:val="000000"/>
          <w:sz w:val="12"/>
          <w:szCs w:val="16"/>
        </w:rPr>
      </w:pPr>
    </w:p>
    <w:tbl>
      <w:tblPr>
        <w:tblStyle w:val="TableGrid"/>
        <w:tblW w:w="0" w:type="auto"/>
        <w:tblLook w:val="04A0" w:firstRow="1" w:lastRow="0" w:firstColumn="1" w:lastColumn="0" w:noHBand="0" w:noVBand="1"/>
      </w:tblPr>
      <w:tblGrid>
        <w:gridCol w:w="9060"/>
      </w:tblGrid>
      <w:tr w:rsidR="00DC3E89" w:rsidRPr="001F6C29" w14:paraId="10DDFEA5" w14:textId="77777777" w:rsidTr="008F100D">
        <w:tc>
          <w:tcPr>
            <w:tcW w:w="9060" w:type="dxa"/>
            <w:shd w:val="clear" w:color="auto" w:fill="000000" w:themeFill="text1"/>
          </w:tcPr>
          <w:p w14:paraId="7C8EE46C" w14:textId="214B4852" w:rsidR="00DC3E89" w:rsidRPr="001F6C29" w:rsidRDefault="00DC3E89" w:rsidP="008F100D">
            <w:pPr>
              <w:jc w:val="center"/>
              <w:rPr>
                <w:rFonts w:ascii="Arial" w:hAnsi="Arial" w:cs="Arial"/>
                <w:b/>
                <w:bCs/>
                <w:color w:val="FFFFFF" w:themeColor="background1"/>
                <w:sz w:val="20"/>
              </w:rPr>
            </w:pPr>
            <w:r w:rsidRPr="001F6C29">
              <w:rPr>
                <w:rFonts w:ascii="Arial" w:hAnsi="Arial" w:cs="Arial"/>
                <w:b/>
                <w:bCs/>
                <w:color w:val="FFFFFF" w:themeColor="background1"/>
                <w:sz w:val="20"/>
              </w:rPr>
              <w:t xml:space="preserve">PART </w:t>
            </w:r>
            <w:r>
              <w:rPr>
                <w:rFonts w:ascii="Arial" w:hAnsi="Arial" w:cs="Arial"/>
                <w:b/>
                <w:bCs/>
                <w:color w:val="FFFFFF" w:themeColor="background1"/>
                <w:sz w:val="20"/>
              </w:rPr>
              <w:t>5</w:t>
            </w:r>
            <w:r w:rsidRPr="001F6C29">
              <w:rPr>
                <w:rFonts w:ascii="Arial" w:hAnsi="Arial" w:cs="Arial"/>
                <w:b/>
                <w:bCs/>
                <w:color w:val="FFFFFF" w:themeColor="background1"/>
                <w:sz w:val="20"/>
              </w:rPr>
              <w:t xml:space="preserve"> </w:t>
            </w:r>
            <w:r>
              <w:rPr>
                <w:rFonts w:ascii="Arial" w:hAnsi="Arial" w:cs="Arial"/>
                <w:b/>
                <w:bCs/>
                <w:color w:val="FFFFFF" w:themeColor="background1"/>
                <w:sz w:val="20"/>
              </w:rPr>
              <w:t>– QUANTUM OF JUNIOR COUNSEL’S APPEARANCE FEE</w:t>
            </w:r>
            <w:r w:rsidR="00325CB8">
              <w:rPr>
                <w:rFonts w:ascii="Arial" w:hAnsi="Arial" w:cs="Arial"/>
                <w:b/>
                <w:bCs/>
                <w:color w:val="FFFFFF" w:themeColor="background1"/>
                <w:sz w:val="20"/>
              </w:rPr>
              <w:t xml:space="preserve"> </w:t>
            </w:r>
          </w:p>
        </w:tc>
      </w:tr>
      <w:tr w:rsidR="00DC3E89" w14:paraId="2BA756AE" w14:textId="77777777" w:rsidTr="008F100D">
        <w:tc>
          <w:tcPr>
            <w:tcW w:w="9060" w:type="dxa"/>
            <w:shd w:val="clear" w:color="auto" w:fill="DDDDDD"/>
          </w:tcPr>
          <w:p w14:paraId="2F7EB9B6" w14:textId="1414EF50" w:rsidR="00DC3E89" w:rsidRPr="00325CB8" w:rsidRDefault="00325CB8" w:rsidP="00325CB8">
            <w:pPr>
              <w:jc w:val="both"/>
              <w:rPr>
                <w:rFonts w:ascii="Arial" w:hAnsi="Arial" w:cs="Arial"/>
                <w:b/>
                <w:bCs/>
                <w:color w:val="000000"/>
                <w:sz w:val="20"/>
              </w:rPr>
            </w:pPr>
            <w:r>
              <w:rPr>
                <w:rFonts w:ascii="Arial" w:hAnsi="Arial" w:cs="Arial"/>
                <w:b/>
                <w:bCs/>
                <w:color w:val="000000"/>
                <w:sz w:val="20"/>
              </w:rPr>
              <w:t>Ruling</w:t>
            </w:r>
            <w:r w:rsidR="00DC3E89" w:rsidRPr="00325CB8">
              <w:rPr>
                <w:rFonts w:ascii="Arial" w:hAnsi="Arial" w:cs="Arial"/>
                <w:b/>
                <w:bCs/>
                <w:color w:val="000000"/>
                <w:sz w:val="20"/>
              </w:rPr>
              <w:t xml:space="preserve">: </w:t>
            </w:r>
            <w:r>
              <w:rPr>
                <w:rFonts w:ascii="Arial" w:hAnsi="Arial" w:cs="Arial"/>
                <w:b/>
                <w:bCs/>
                <w:color w:val="000000"/>
                <w:sz w:val="20"/>
              </w:rPr>
              <w:t>A full day’s appearance costs in circumstances where junior counsel was absent from court for one morning would not constitute expenses reasonably incurred, especially when an instructor was also in attendance at court.</w:t>
            </w:r>
            <w:r w:rsidR="002F0F02">
              <w:rPr>
                <w:rFonts w:ascii="Arial" w:hAnsi="Arial" w:cs="Arial"/>
                <w:b/>
                <w:bCs/>
                <w:color w:val="000000"/>
                <w:sz w:val="20"/>
              </w:rPr>
              <w:t xml:space="preserve"> This is notwithstanding the Defence submission that Counsel’s fees are charged and capped on a daily rate.</w:t>
            </w:r>
          </w:p>
        </w:tc>
      </w:tr>
    </w:tbl>
    <w:p w14:paraId="5AB778D0" w14:textId="77777777" w:rsidR="00DC3E89" w:rsidRPr="00DC3E89" w:rsidRDefault="00DC3E89" w:rsidP="00DC3E89">
      <w:pPr>
        <w:jc w:val="both"/>
        <w:rPr>
          <w:rFonts w:ascii="Arial" w:hAnsi="Arial" w:cs="Arial"/>
          <w:color w:val="000000"/>
          <w:sz w:val="12"/>
          <w:szCs w:val="16"/>
        </w:rPr>
      </w:pPr>
    </w:p>
    <w:tbl>
      <w:tblPr>
        <w:tblStyle w:val="TableGrid"/>
        <w:tblW w:w="0" w:type="auto"/>
        <w:tblLook w:val="04A0" w:firstRow="1" w:lastRow="0" w:firstColumn="1" w:lastColumn="0" w:noHBand="0" w:noVBand="1"/>
      </w:tblPr>
      <w:tblGrid>
        <w:gridCol w:w="9060"/>
      </w:tblGrid>
      <w:tr w:rsidR="00DC3E89" w:rsidRPr="001F6C29" w14:paraId="378BD4F4" w14:textId="77777777" w:rsidTr="008F100D">
        <w:tc>
          <w:tcPr>
            <w:tcW w:w="9060" w:type="dxa"/>
            <w:shd w:val="clear" w:color="auto" w:fill="000000" w:themeFill="text1"/>
          </w:tcPr>
          <w:p w14:paraId="4BA2971B" w14:textId="7F357AAC" w:rsidR="00DC3E89" w:rsidRPr="001F6C29" w:rsidRDefault="00DC3E89" w:rsidP="008F100D">
            <w:pPr>
              <w:jc w:val="center"/>
              <w:rPr>
                <w:rFonts w:ascii="Arial" w:hAnsi="Arial" w:cs="Arial"/>
                <w:b/>
                <w:bCs/>
                <w:color w:val="FFFFFF" w:themeColor="background1"/>
                <w:sz w:val="20"/>
              </w:rPr>
            </w:pPr>
            <w:r w:rsidRPr="001F6C29">
              <w:rPr>
                <w:rFonts w:ascii="Arial" w:hAnsi="Arial" w:cs="Arial"/>
                <w:b/>
                <w:bCs/>
                <w:color w:val="FFFFFF" w:themeColor="background1"/>
                <w:sz w:val="20"/>
              </w:rPr>
              <w:t xml:space="preserve">PART </w:t>
            </w:r>
            <w:r>
              <w:rPr>
                <w:rFonts w:ascii="Arial" w:hAnsi="Arial" w:cs="Arial"/>
                <w:b/>
                <w:bCs/>
                <w:color w:val="FFFFFF" w:themeColor="background1"/>
                <w:sz w:val="20"/>
              </w:rPr>
              <w:t>6</w:t>
            </w:r>
            <w:r w:rsidRPr="001F6C29">
              <w:rPr>
                <w:rFonts w:ascii="Arial" w:hAnsi="Arial" w:cs="Arial"/>
                <w:b/>
                <w:bCs/>
                <w:color w:val="FFFFFF" w:themeColor="background1"/>
                <w:sz w:val="20"/>
              </w:rPr>
              <w:t xml:space="preserve"> </w:t>
            </w:r>
            <w:r>
              <w:rPr>
                <w:rFonts w:ascii="Arial" w:hAnsi="Arial" w:cs="Arial"/>
                <w:b/>
                <w:bCs/>
                <w:color w:val="FFFFFF" w:themeColor="background1"/>
                <w:sz w:val="20"/>
              </w:rPr>
              <w:t>– QUANTUM OF LEGAL REPRESENTATIVES’ PREPARATION COSTS</w:t>
            </w:r>
          </w:p>
        </w:tc>
      </w:tr>
      <w:tr w:rsidR="00DC3E89" w14:paraId="562D7594" w14:textId="77777777" w:rsidTr="008F100D">
        <w:tc>
          <w:tcPr>
            <w:tcW w:w="9060" w:type="dxa"/>
            <w:shd w:val="clear" w:color="auto" w:fill="DDDDDD"/>
          </w:tcPr>
          <w:p w14:paraId="0A756EEF" w14:textId="09DC906F" w:rsidR="00DC3E89" w:rsidRPr="005C64E5" w:rsidRDefault="00325CB8" w:rsidP="008F100D">
            <w:pPr>
              <w:jc w:val="center"/>
              <w:rPr>
                <w:rFonts w:ascii="Arial" w:hAnsi="Arial" w:cs="Arial"/>
                <w:b/>
                <w:bCs/>
                <w:color w:val="000000"/>
                <w:sz w:val="20"/>
              </w:rPr>
            </w:pPr>
            <w:r w:rsidRPr="005C64E5">
              <w:rPr>
                <w:rFonts w:ascii="Arial" w:hAnsi="Arial" w:cs="Arial"/>
                <w:b/>
                <w:bCs/>
                <w:color w:val="000000"/>
                <w:sz w:val="20"/>
              </w:rPr>
              <w:t>Ruling</w:t>
            </w:r>
            <w:r w:rsidR="00DC3E89" w:rsidRPr="005C64E5">
              <w:rPr>
                <w:rFonts w:ascii="Arial" w:hAnsi="Arial" w:cs="Arial"/>
                <w:b/>
                <w:bCs/>
                <w:color w:val="000000"/>
                <w:sz w:val="20"/>
              </w:rPr>
              <w:t xml:space="preserve">: </w:t>
            </w:r>
            <w:r w:rsidR="00872FC7" w:rsidRPr="005C64E5">
              <w:rPr>
                <w:rFonts w:ascii="Arial" w:hAnsi="Arial" w:cs="Arial"/>
                <w:b/>
                <w:bCs/>
                <w:color w:val="000000"/>
                <w:sz w:val="20"/>
              </w:rPr>
              <w:t>1.5 days</w:t>
            </w:r>
            <w:r w:rsidR="005C64E5" w:rsidRPr="005C64E5">
              <w:rPr>
                <w:rFonts w:ascii="Arial" w:hAnsi="Arial" w:cs="Arial"/>
                <w:b/>
                <w:bCs/>
                <w:color w:val="000000"/>
                <w:sz w:val="20"/>
              </w:rPr>
              <w:t>’</w:t>
            </w:r>
            <w:r w:rsidR="00872FC7" w:rsidRPr="005C64E5">
              <w:rPr>
                <w:rFonts w:ascii="Arial" w:hAnsi="Arial" w:cs="Arial"/>
                <w:b/>
                <w:bCs/>
                <w:color w:val="000000"/>
                <w:sz w:val="20"/>
              </w:rPr>
              <w:t xml:space="preserve"> preparation for each counsel and 2 days’ for</w:t>
            </w:r>
            <w:r w:rsidR="005C64E5" w:rsidRPr="005C64E5">
              <w:rPr>
                <w:rFonts w:ascii="Arial" w:hAnsi="Arial" w:cs="Arial"/>
                <w:b/>
                <w:bCs/>
                <w:color w:val="000000"/>
                <w:sz w:val="20"/>
              </w:rPr>
              <w:t xml:space="preserve"> instructing solicitor awarded.</w:t>
            </w:r>
          </w:p>
        </w:tc>
      </w:tr>
      <w:tr w:rsidR="00DC3E89" w14:paraId="2FF35D38" w14:textId="77777777" w:rsidTr="008F100D">
        <w:tc>
          <w:tcPr>
            <w:tcW w:w="9060" w:type="dxa"/>
          </w:tcPr>
          <w:p w14:paraId="4CEC11B6" w14:textId="2CC32ED9" w:rsidR="00DC3E89" w:rsidRDefault="005C64E5" w:rsidP="005C64E5">
            <w:pPr>
              <w:spacing w:before="40"/>
              <w:jc w:val="both"/>
              <w:rPr>
                <w:rFonts w:ascii="Arial" w:hAnsi="Arial" w:cs="Arial"/>
                <w:color w:val="000000"/>
                <w:sz w:val="20"/>
              </w:rPr>
            </w:pPr>
            <w:r>
              <w:rPr>
                <w:rFonts w:ascii="Arial" w:hAnsi="Arial" w:cs="Arial"/>
                <w:color w:val="000000"/>
                <w:sz w:val="20"/>
              </w:rPr>
              <w:t>The Defence claimed 3 days’ preparation costs for each of the 3 legal representatives in the matter, submitting that in the usual course of proceedings general practice is for defence practitioners to be allowed at least one day preparation for each hearing date.</w:t>
            </w:r>
          </w:p>
          <w:p w14:paraId="77D7D3B1" w14:textId="77777777" w:rsidR="005C64E5" w:rsidRDefault="005C64E5" w:rsidP="005C64E5">
            <w:pPr>
              <w:spacing w:before="60"/>
              <w:jc w:val="both"/>
              <w:rPr>
                <w:rFonts w:ascii="Arial" w:hAnsi="Arial" w:cs="Arial"/>
                <w:color w:val="000000"/>
                <w:sz w:val="20"/>
              </w:rPr>
            </w:pPr>
            <w:r>
              <w:rPr>
                <w:rFonts w:ascii="Arial" w:hAnsi="Arial" w:cs="Arial"/>
                <w:color w:val="000000"/>
                <w:sz w:val="20"/>
              </w:rPr>
              <w:t>The Prosecution submitted that the preparation costs should be scaled back to 1.5 days for each lawyer. This was based on Victoria Police’s general approach to allow a half day preparation for each day in court</w:t>
            </w:r>
          </w:p>
          <w:p w14:paraId="150E051D" w14:textId="1C79B794" w:rsidR="005C64E5" w:rsidRDefault="005C64E5" w:rsidP="005C64E5">
            <w:pPr>
              <w:spacing w:before="60"/>
              <w:jc w:val="both"/>
              <w:rPr>
                <w:rFonts w:ascii="Arial" w:hAnsi="Arial" w:cs="Arial"/>
                <w:color w:val="000000"/>
                <w:sz w:val="20"/>
              </w:rPr>
            </w:pPr>
            <w:r>
              <w:rPr>
                <w:rFonts w:ascii="Arial" w:hAnsi="Arial" w:cs="Arial"/>
                <w:color w:val="000000"/>
                <w:sz w:val="20"/>
              </w:rPr>
              <w:t xml:space="preserve">The discretion afforded to the Court </w:t>
            </w:r>
            <w:r w:rsidR="002F0F02">
              <w:rPr>
                <w:rFonts w:ascii="Arial" w:hAnsi="Arial" w:cs="Arial"/>
                <w:color w:val="000000"/>
                <w:sz w:val="20"/>
              </w:rPr>
              <w:t xml:space="preserve">as to the quantum of costs is broad but will only extend to costs that were reasonably incurred and of a reasonable amount: see dicta of Toohey J in </w:t>
            </w:r>
            <w:r w:rsidR="002F0F02" w:rsidRPr="002F0F02">
              <w:rPr>
                <w:rFonts w:ascii="Arial" w:hAnsi="Arial" w:cs="Arial"/>
                <w:i/>
                <w:iCs/>
                <w:color w:val="000000"/>
                <w:sz w:val="20"/>
              </w:rPr>
              <w:t>Latoudis v Casey</w:t>
            </w:r>
            <w:r w:rsidR="002F0F02">
              <w:rPr>
                <w:rFonts w:ascii="Arial" w:hAnsi="Arial" w:cs="Arial"/>
                <w:color w:val="000000"/>
                <w:sz w:val="20"/>
              </w:rPr>
              <w:t xml:space="preserve"> (1990) 170 CLR 534 at 561-2 quoting dicta from </w:t>
            </w:r>
            <w:r w:rsidR="002F0F02" w:rsidRPr="002F0F02">
              <w:rPr>
                <w:rFonts w:ascii="Arial" w:hAnsi="Arial" w:cs="Arial"/>
                <w:i/>
                <w:iCs/>
                <w:color w:val="000000"/>
                <w:sz w:val="20"/>
              </w:rPr>
              <w:t>Puddy v Borg</w:t>
            </w:r>
            <w:r w:rsidR="002F0F02">
              <w:rPr>
                <w:rFonts w:ascii="Arial" w:hAnsi="Arial" w:cs="Arial"/>
                <w:color w:val="000000"/>
                <w:sz w:val="20"/>
              </w:rPr>
              <w:t xml:space="preserve"> [1973] VR 626 at 628; see also the judgment of Mason CJ at 539-40 (also citing with approval dicta from </w:t>
            </w:r>
            <w:r w:rsidR="002F0F02" w:rsidRPr="002F0F02">
              <w:rPr>
                <w:rFonts w:ascii="Arial" w:hAnsi="Arial" w:cs="Arial"/>
                <w:i/>
                <w:iCs/>
                <w:color w:val="000000"/>
                <w:sz w:val="20"/>
              </w:rPr>
              <w:t>Puddy v Borg</w:t>
            </w:r>
            <w:r w:rsidR="002F0F02">
              <w:rPr>
                <w:rFonts w:ascii="Arial" w:hAnsi="Arial" w:cs="Arial"/>
                <w:color w:val="000000"/>
                <w:sz w:val="20"/>
              </w:rPr>
              <w:t xml:space="preserve"> at 628) and the judgment of McHugh J at 566-7. In assessing this, I must consider, among other things, the seriousness of the alleged offences and the complexity of the case. As Toohey J emphasised in his quotation from </w:t>
            </w:r>
            <w:r w:rsidR="002F0F02" w:rsidRPr="002F0F02">
              <w:rPr>
                <w:rFonts w:ascii="Arial" w:hAnsi="Arial" w:cs="Arial"/>
                <w:i/>
                <w:iCs/>
                <w:color w:val="000000"/>
                <w:sz w:val="20"/>
              </w:rPr>
              <w:t>Puddy v Borg</w:t>
            </w:r>
            <w:r w:rsidR="00377942" w:rsidRPr="00377942">
              <w:rPr>
                <w:rFonts w:ascii="Arial" w:hAnsi="Arial" w:cs="Arial"/>
                <w:color w:val="000000"/>
                <w:sz w:val="20"/>
              </w:rPr>
              <w:t xml:space="preserve"> at 561</w:t>
            </w:r>
            <w:r w:rsidR="002F0F02">
              <w:rPr>
                <w:rFonts w:ascii="Arial" w:hAnsi="Arial" w:cs="Arial"/>
                <w:color w:val="000000"/>
                <w:sz w:val="20"/>
              </w:rPr>
              <w:t>: “The discretion is one to be exercised in each case according to its own circumstances.”</w:t>
            </w:r>
            <w:r w:rsidR="00377942">
              <w:rPr>
                <w:rFonts w:ascii="Arial" w:hAnsi="Arial" w:cs="Arial"/>
                <w:color w:val="000000"/>
                <w:sz w:val="20"/>
              </w:rPr>
              <w:t xml:space="preserve"> I cannot therefore consider myself bound by either the “general practice” as asserted by the Defence or “Victoria Police’s general approach” as asserted by the Prosecution.</w:t>
            </w:r>
            <w:r w:rsidR="002A57B5">
              <w:rPr>
                <w:rFonts w:ascii="Arial" w:hAnsi="Arial" w:cs="Arial"/>
                <w:color w:val="000000"/>
                <w:sz w:val="20"/>
              </w:rPr>
              <w:t xml:space="preserve"> They are no more than starting positions for my analysis.</w:t>
            </w:r>
          </w:p>
          <w:p w14:paraId="5D9BD372" w14:textId="055876C0" w:rsidR="00377942" w:rsidRDefault="00377942" w:rsidP="005C64E5">
            <w:pPr>
              <w:spacing w:before="60"/>
              <w:jc w:val="both"/>
              <w:rPr>
                <w:rFonts w:ascii="Arial" w:hAnsi="Arial" w:cs="Arial"/>
                <w:color w:val="000000"/>
                <w:sz w:val="20"/>
              </w:rPr>
            </w:pPr>
            <w:r>
              <w:rPr>
                <w:rFonts w:ascii="Arial" w:hAnsi="Arial" w:cs="Arial"/>
                <w:color w:val="000000"/>
                <w:sz w:val="20"/>
              </w:rPr>
              <w:t xml:space="preserve">While the alleged offending in this matter was at the upper end of seriousness in the spectrum of matters that can be determined by this court and the proceeding was expedited, I note that WX gave a no comment record of interview, there was no VARE completed, the evidence before the court was </w:t>
            </w:r>
            <w:r>
              <w:rPr>
                <w:rFonts w:ascii="Arial" w:hAnsi="Arial" w:cs="Arial"/>
                <w:color w:val="000000"/>
                <w:sz w:val="20"/>
              </w:rPr>
              <w:lastRenderedPageBreak/>
              <w:t>from four witnesses, all of whom provided written statements, and the issue in dispute was of a discrete nature.</w:t>
            </w:r>
          </w:p>
          <w:p w14:paraId="290495CB" w14:textId="05653CB0" w:rsidR="002F0F02" w:rsidRDefault="00377942" w:rsidP="00377942">
            <w:pPr>
              <w:spacing w:before="60" w:after="40"/>
              <w:jc w:val="both"/>
              <w:rPr>
                <w:rFonts w:ascii="Arial" w:hAnsi="Arial" w:cs="Arial"/>
                <w:color w:val="000000"/>
                <w:sz w:val="20"/>
              </w:rPr>
            </w:pPr>
            <w:r>
              <w:rPr>
                <w:rFonts w:ascii="Arial" w:hAnsi="Arial" w:cs="Arial"/>
                <w:color w:val="000000"/>
                <w:sz w:val="20"/>
              </w:rPr>
              <w:t>Considering all of the circumstances, I am satisfied that the costs sought in relation to preparation of the matter should be scaled back to 1.5 days’ preparation for each counsel and to 2 days’ preparation for the instructing solicitor. This is not because of “Victoria Police’s general approach” to costs but because any greater award of preparation costs would not, in my view, be just and reasonable in the fairly straightforward circumstances of this case. So far as the instructing solicitor is concerned, I consider it just and reasonable to add a further 0.5 days to his 1.5 days of preparation costs associated with the hearing in order to cover the time spent in taking initial instructions from WX.</w:t>
            </w:r>
          </w:p>
        </w:tc>
      </w:tr>
    </w:tbl>
    <w:p w14:paraId="090C30A5" w14:textId="77777777" w:rsidR="004A14B5" w:rsidRPr="00986720" w:rsidRDefault="004A14B5">
      <w:pPr>
        <w:jc w:val="both"/>
        <w:rPr>
          <w:rFonts w:ascii="Arial" w:hAnsi="Arial" w:cs="Arial"/>
          <w:color w:val="000000"/>
          <w:sz w:val="20"/>
        </w:rPr>
      </w:pPr>
    </w:p>
    <w:p w14:paraId="54BA06CD" w14:textId="18A34A8A" w:rsidR="00B15C64" w:rsidRPr="00986720" w:rsidRDefault="003979FC">
      <w:pPr>
        <w:jc w:val="both"/>
        <w:rPr>
          <w:rFonts w:ascii="Arial" w:hAnsi="Arial" w:cs="Arial"/>
          <w:color w:val="000000"/>
          <w:sz w:val="20"/>
        </w:rPr>
      </w:pPr>
      <w:r w:rsidRPr="00986720">
        <w:rPr>
          <w:rFonts w:ascii="Arial" w:hAnsi="Arial" w:cs="Arial"/>
          <w:color w:val="000000"/>
          <w:sz w:val="20"/>
        </w:rPr>
        <w:t xml:space="preserve">By contrast, it should be noted </w:t>
      </w:r>
      <w:r w:rsidR="00B15C64" w:rsidRPr="00986720">
        <w:rPr>
          <w:rFonts w:ascii="Arial" w:hAnsi="Arial" w:cs="Arial"/>
          <w:color w:val="000000"/>
          <w:sz w:val="20"/>
        </w:rPr>
        <w:t>that in superior courts – as a matter of longstanding general practice</w:t>
      </w:r>
      <w:r w:rsidRPr="00986720">
        <w:rPr>
          <w:rFonts w:ascii="Arial" w:hAnsi="Arial" w:cs="Arial"/>
          <w:color w:val="000000"/>
          <w:sz w:val="20"/>
        </w:rPr>
        <w:t xml:space="preserve"> –</w:t>
      </w:r>
      <w:r w:rsidR="00B15C64" w:rsidRPr="00986720">
        <w:rPr>
          <w:rFonts w:ascii="Arial" w:hAnsi="Arial" w:cs="Arial"/>
          <w:color w:val="000000"/>
          <w:sz w:val="20"/>
        </w:rPr>
        <w:t xml:space="preserve"> costs</w:t>
      </w:r>
      <w:r w:rsidRPr="00986720">
        <w:rPr>
          <w:rFonts w:ascii="Arial" w:hAnsi="Arial" w:cs="Arial"/>
          <w:color w:val="000000"/>
          <w:sz w:val="20"/>
        </w:rPr>
        <w:t xml:space="preserve"> </w:t>
      </w:r>
      <w:r w:rsidR="00B15C64" w:rsidRPr="00986720">
        <w:rPr>
          <w:rFonts w:ascii="Arial" w:hAnsi="Arial" w:cs="Arial"/>
          <w:color w:val="000000"/>
          <w:sz w:val="20"/>
        </w:rPr>
        <w:t xml:space="preserve">are not awarded in favour of or against the Crown in criminal proceedings brought by the Crown (including appeals and most interlocutory proceedings): see </w:t>
      </w:r>
      <w:r w:rsidR="00B15C64" w:rsidRPr="00986720">
        <w:rPr>
          <w:rFonts w:ascii="Arial" w:hAnsi="Arial" w:cs="Arial"/>
          <w:i/>
          <w:color w:val="000000"/>
          <w:sz w:val="20"/>
        </w:rPr>
        <w:t>R v Payara</w:t>
      </w:r>
      <w:r w:rsidR="00B15C64" w:rsidRPr="00986720">
        <w:rPr>
          <w:rFonts w:ascii="Arial" w:hAnsi="Arial" w:cs="Arial"/>
          <w:color w:val="000000"/>
          <w:sz w:val="20"/>
        </w:rPr>
        <w:t xml:space="preserve"> [2012] VSCA 266 at [</w:t>
      </w:r>
      <w:r w:rsidRPr="00986720">
        <w:rPr>
          <w:rFonts w:ascii="Arial" w:hAnsi="Arial" w:cs="Arial"/>
          <w:color w:val="000000"/>
          <w:sz w:val="20"/>
        </w:rPr>
        <w:t>6</w:t>
      </w:r>
      <w:r w:rsidR="00B15C64" w:rsidRPr="00986720">
        <w:rPr>
          <w:rFonts w:ascii="Arial" w:hAnsi="Arial" w:cs="Arial"/>
          <w:color w:val="000000"/>
          <w:sz w:val="20"/>
        </w:rPr>
        <w:t xml:space="preserve">] per Nettle JA citing </w:t>
      </w:r>
      <w:r w:rsidRPr="00986720">
        <w:rPr>
          <w:rFonts w:ascii="Arial" w:hAnsi="Arial" w:cs="Arial"/>
          <w:i/>
          <w:color w:val="000000"/>
          <w:sz w:val="20"/>
        </w:rPr>
        <w:t>R v Goia</w:t>
      </w:r>
      <w:r w:rsidRPr="00986720">
        <w:rPr>
          <w:rFonts w:ascii="Arial" w:hAnsi="Arial" w:cs="Arial"/>
          <w:color w:val="000000"/>
          <w:sz w:val="20"/>
        </w:rPr>
        <w:t xml:space="preserve"> (1988) 19 FCR 212, 213; </w:t>
      </w:r>
      <w:r w:rsidRPr="00986720">
        <w:rPr>
          <w:rFonts w:ascii="Arial" w:hAnsi="Arial" w:cs="Arial"/>
          <w:i/>
          <w:color w:val="000000"/>
          <w:sz w:val="20"/>
        </w:rPr>
        <w:t>R v J</w:t>
      </w:r>
      <w:r w:rsidRPr="00986720">
        <w:rPr>
          <w:rFonts w:ascii="Arial" w:hAnsi="Arial" w:cs="Arial"/>
          <w:color w:val="000000"/>
          <w:sz w:val="20"/>
        </w:rPr>
        <w:t xml:space="preserve"> (1983) 49 ALR 376,379; </w:t>
      </w:r>
      <w:r w:rsidRPr="00986720">
        <w:rPr>
          <w:rFonts w:ascii="Arial" w:hAnsi="Arial" w:cs="Arial"/>
          <w:i/>
          <w:color w:val="000000"/>
          <w:sz w:val="20"/>
        </w:rPr>
        <w:t>McEwen v Siely</w:t>
      </w:r>
      <w:r w:rsidRPr="00986720">
        <w:rPr>
          <w:rFonts w:ascii="Arial" w:hAnsi="Arial" w:cs="Arial"/>
          <w:color w:val="000000"/>
          <w:sz w:val="20"/>
        </w:rPr>
        <w:t xml:space="preserve"> (1972) 21 FLR 131,135.</w:t>
      </w:r>
      <w:r w:rsidR="009F17D4">
        <w:rPr>
          <w:rFonts w:ascii="Arial" w:hAnsi="Arial" w:cs="Arial"/>
          <w:color w:val="000000"/>
          <w:sz w:val="20"/>
        </w:rPr>
        <w:t xml:space="preserve">  However, in the ‘exceptional cases’ of </w:t>
      </w:r>
      <w:r w:rsidR="009F17D4" w:rsidRPr="009F17D4">
        <w:rPr>
          <w:rFonts w:ascii="Arial" w:hAnsi="Arial" w:cs="Arial"/>
          <w:i/>
          <w:iCs/>
          <w:color w:val="000000"/>
          <w:sz w:val="20"/>
        </w:rPr>
        <w:t xml:space="preserve">Madafferi v The Queen </w:t>
      </w:r>
      <w:r w:rsidR="009F17D4">
        <w:rPr>
          <w:rFonts w:ascii="Arial" w:hAnsi="Arial" w:cs="Arial"/>
          <w:i/>
          <w:iCs/>
          <w:color w:val="000000"/>
          <w:sz w:val="20"/>
        </w:rPr>
        <w:t>[</w:t>
      </w:r>
      <w:r w:rsidR="009F17D4" w:rsidRPr="009F17D4">
        <w:rPr>
          <w:rFonts w:ascii="Arial" w:hAnsi="Arial" w:cs="Arial"/>
          <w:i/>
          <w:iCs/>
          <w:color w:val="000000"/>
          <w:sz w:val="20"/>
        </w:rPr>
        <w:t>No.2</w:t>
      </w:r>
      <w:r w:rsidR="009F17D4">
        <w:rPr>
          <w:rFonts w:ascii="Arial" w:hAnsi="Arial" w:cs="Arial"/>
          <w:i/>
          <w:iCs/>
          <w:color w:val="000000"/>
          <w:sz w:val="20"/>
        </w:rPr>
        <w:t>]</w:t>
      </w:r>
      <w:r w:rsidR="009F17D4">
        <w:rPr>
          <w:rFonts w:ascii="Arial" w:hAnsi="Arial" w:cs="Arial"/>
          <w:color w:val="000000"/>
          <w:sz w:val="20"/>
        </w:rPr>
        <w:t xml:space="preserve"> [2021] VSCA 4</w:t>
      </w:r>
      <w:r w:rsidR="00AA2DE5">
        <w:rPr>
          <w:rFonts w:ascii="Arial" w:hAnsi="Arial" w:cs="Arial"/>
          <w:color w:val="000000"/>
          <w:sz w:val="20"/>
        </w:rPr>
        <w:t> </w:t>
      </w:r>
      <w:r w:rsidR="009F17D4">
        <w:rPr>
          <w:rFonts w:ascii="Arial" w:hAnsi="Arial" w:cs="Arial"/>
          <w:color w:val="000000"/>
          <w:sz w:val="20"/>
        </w:rPr>
        <w:t xml:space="preserve">and </w:t>
      </w:r>
      <w:r w:rsidR="009F17D4" w:rsidRPr="009F17D4">
        <w:rPr>
          <w:rFonts w:ascii="Arial" w:hAnsi="Arial" w:cs="Arial"/>
          <w:i/>
          <w:iCs/>
          <w:color w:val="000000"/>
          <w:sz w:val="20"/>
        </w:rPr>
        <w:t>Zirilli v The Queen [No.2]</w:t>
      </w:r>
      <w:r w:rsidR="009F17D4">
        <w:rPr>
          <w:rFonts w:ascii="Arial" w:hAnsi="Arial" w:cs="Arial"/>
          <w:color w:val="000000"/>
          <w:sz w:val="20"/>
        </w:rPr>
        <w:t xml:space="preserve"> [2021] VSCA 5 the Court of Appeal ordered the Chief Commissioner of Police to pay the </w:t>
      </w:r>
      <w:r w:rsidR="009F17D4" w:rsidRPr="009F17D4">
        <w:rPr>
          <w:rFonts w:ascii="Arial" w:hAnsi="Arial" w:cs="Arial"/>
          <w:i/>
          <w:iCs/>
          <w:color w:val="000000"/>
          <w:sz w:val="20"/>
        </w:rPr>
        <w:t>amicus curiae’s</w:t>
      </w:r>
      <w:r w:rsidR="009F17D4">
        <w:rPr>
          <w:rFonts w:ascii="Arial" w:hAnsi="Arial" w:cs="Arial"/>
          <w:color w:val="000000"/>
          <w:sz w:val="20"/>
        </w:rPr>
        <w:t xml:space="preserve"> costs of the Commissioner’s unsuccessful public interest immunity application.</w:t>
      </w:r>
      <w:r w:rsidR="00AA2DE5">
        <w:rPr>
          <w:rFonts w:ascii="Arial" w:hAnsi="Arial" w:cs="Arial"/>
          <w:color w:val="000000"/>
          <w:sz w:val="20"/>
        </w:rPr>
        <w:t xml:space="preserve"> And in the ‘exceptional case’ of </w:t>
      </w:r>
      <w:r w:rsidR="00AA2DE5" w:rsidRPr="00AA2DE5">
        <w:rPr>
          <w:rFonts w:ascii="Arial" w:hAnsi="Arial" w:cs="Arial"/>
          <w:i/>
          <w:iCs/>
          <w:color w:val="000000"/>
          <w:sz w:val="20"/>
        </w:rPr>
        <w:t>AB v Paulet (No 2)</w:t>
      </w:r>
      <w:r w:rsidR="00AA2DE5">
        <w:rPr>
          <w:rFonts w:ascii="Arial" w:hAnsi="Arial" w:cs="Arial"/>
          <w:color w:val="000000"/>
          <w:sz w:val="20"/>
        </w:rPr>
        <w:t xml:space="preserve"> [2022] VSC 646 Croucher J ordered – for reasons detailed at [60]-[64] – that th</w:t>
      </w:r>
      <w:r w:rsidR="00AA2DE5" w:rsidRPr="00AA2DE5">
        <w:rPr>
          <w:rFonts w:ascii="Arial" w:hAnsi="Arial" w:cs="Arial"/>
          <w:sz w:val="20"/>
          <w:szCs w:val="20"/>
        </w:rPr>
        <w:t>e Chief Commissioner of Victoria Police pay</w:t>
      </w:r>
      <w:r w:rsidR="00AA2DE5">
        <w:rPr>
          <w:rFonts w:ascii="Arial" w:hAnsi="Arial" w:cs="Arial"/>
          <w:sz w:val="20"/>
          <w:szCs w:val="20"/>
        </w:rPr>
        <w:t xml:space="preserve"> the</w:t>
      </w:r>
      <w:r w:rsidR="00AA2DE5" w:rsidRPr="00AA2DE5">
        <w:rPr>
          <w:rFonts w:ascii="Arial" w:hAnsi="Arial" w:cs="Arial"/>
          <w:sz w:val="20"/>
          <w:szCs w:val="20"/>
        </w:rPr>
        <w:t xml:space="preserve"> </w:t>
      </w:r>
      <w:r w:rsidR="00AA2DE5" w:rsidRPr="00AA2DE5">
        <w:rPr>
          <w:rFonts w:ascii="Arial" w:hAnsi="Arial" w:cs="Arial"/>
          <w:i/>
          <w:iCs/>
          <w:sz w:val="20"/>
          <w:szCs w:val="20"/>
        </w:rPr>
        <w:t>amici curiae’s</w:t>
      </w:r>
      <w:r w:rsidR="00AA2DE5" w:rsidRPr="00AA2DE5">
        <w:rPr>
          <w:rFonts w:ascii="Arial" w:hAnsi="Arial" w:cs="Arial"/>
          <w:sz w:val="20"/>
          <w:szCs w:val="20"/>
        </w:rPr>
        <w:t xml:space="preserve"> costs of the application in th</w:t>
      </w:r>
      <w:r w:rsidR="00AA2DE5">
        <w:rPr>
          <w:rFonts w:ascii="Arial" w:hAnsi="Arial" w:cs="Arial"/>
          <w:sz w:val="20"/>
          <w:szCs w:val="20"/>
        </w:rPr>
        <w:t>e Supreme</w:t>
      </w:r>
      <w:r w:rsidR="00AA2DE5" w:rsidRPr="00AA2DE5">
        <w:rPr>
          <w:rFonts w:ascii="Arial" w:hAnsi="Arial" w:cs="Arial"/>
          <w:sz w:val="20"/>
          <w:szCs w:val="20"/>
        </w:rPr>
        <w:t xml:space="preserve"> Court on the standard basis</w:t>
      </w:r>
      <w:r w:rsidR="00AA2DE5">
        <w:rPr>
          <w:rFonts w:ascii="Arial" w:hAnsi="Arial" w:cs="Arial"/>
          <w:sz w:val="20"/>
          <w:szCs w:val="20"/>
        </w:rPr>
        <w:t>.</w:t>
      </w:r>
    </w:p>
    <w:p w14:paraId="7FA3BCF0" w14:textId="77777777" w:rsidR="00B15C64" w:rsidRDefault="00B15C64">
      <w:pPr>
        <w:jc w:val="both"/>
        <w:rPr>
          <w:rFonts w:ascii="Arial" w:hAnsi="Arial" w:cs="Arial"/>
          <w:color w:val="000000"/>
          <w:sz w:val="20"/>
        </w:rPr>
      </w:pPr>
    </w:p>
    <w:p w14:paraId="4794348E" w14:textId="77777777" w:rsidR="00B21DA4" w:rsidRPr="002C2CA5" w:rsidRDefault="00B21DA4" w:rsidP="00FF5575">
      <w:pPr>
        <w:pStyle w:val="Heading3"/>
        <w:keepNext/>
        <w:keepLines/>
        <w:widowControl/>
        <w:spacing w:after="120" w:line="240" w:lineRule="auto"/>
        <w:rPr>
          <w:rFonts w:ascii="Arial" w:hAnsi="Arial" w:cs="Arial"/>
          <w:b/>
          <w:bCs/>
          <w:sz w:val="20"/>
          <w:lang w:val="en-US"/>
        </w:rPr>
      </w:pPr>
      <w:bookmarkStart w:id="1065" w:name="_3.9.2_Criminal_Division"/>
      <w:bookmarkStart w:id="1066" w:name="B392"/>
      <w:bookmarkStart w:id="1067" w:name="_Toc30652646"/>
      <w:bookmarkStart w:id="1068" w:name="_Toc30652744"/>
      <w:bookmarkStart w:id="1069" w:name="_Toc30654089"/>
      <w:bookmarkStart w:id="1070" w:name="_Toc30654440"/>
      <w:bookmarkStart w:id="1071" w:name="_Toc30655059"/>
      <w:bookmarkStart w:id="1072" w:name="_Toc30655316"/>
      <w:bookmarkStart w:id="1073" w:name="_Toc30656994"/>
      <w:bookmarkStart w:id="1074" w:name="_Toc30661743"/>
      <w:bookmarkStart w:id="1075" w:name="_Toc30666431"/>
      <w:bookmarkStart w:id="1076" w:name="_Toc30666661"/>
      <w:bookmarkStart w:id="1077" w:name="_Toc30667836"/>
      <w:bookmarkStart w:id="1078" w:name="_Toc30669214"/>
      <w:bookmarkStart w:id="1079" w:name="_Toc30671430"/>
      <w:bookmarkStart w:id="1080" w:name="_Toc30673957"/>
      <w:bookmarkStart w:id="1081" w:name="_Toc30691179"/>
      <w:bookmarkStart w:id="1082" w:name="_Toc30691550"/>
      <w:bookmarkStart w:id="1083" w:name="_Toc30691930"/>
      <w:bookmarkStart w:id="1084" w:name="_Toc30692689"/>
      <w:bookmarkStart w:id="1085" w:name="_Toc30693068"/>
      <w:bookmarkStart w:id="1086" w:name="_Toc30693446"/>
      <w:bookmarkStart w:id="1087" w:name="_Toc30693825"/>
      <w:bookmarkStart w:id="1088" w:name="_Toc30694206"/>
      <w:bookmarkStart w:id="1089" w:name="_Toc30698795"/>
      <w:bookmarkStart w:id="1090" w:name="_Toc30699173"/>
      <w:bookmarkStart w:id="1091" w:name="_Toc30699558"/>
      <w:bookmarkStart w:id="1092" w:name="_Toc30700713"/>
      <w:bookmarkStart w:id="1093" w:name="_Toc30701100"/>
      <w:bookmarkStart w:id="1094" w:name="_Toc30743709"/>
      <w:bookmarkStart w:id="1095" w:name="_Toc30754531"/>
      <w:bookmarkStart w:id="1096" w:name="_Toc30756971"/>
      <w:bookmarkStart w:id="1097" w:name="_Toc30757520"/>
      <w:bookmarkStart w:id="1098" w:name="_Toc30757920"/>
      <w:bookmarkStart w:id="1099" w:name="_Toc30762681"/>
      <w:bookmarkStart w:id="1100" w:name="_Toc30767335"/>
      <w:bookmarkStart w:id="1101" w:name="_Toc34823351"/>
      <w:bookmarkStart w:id="1102" w:name="_Toc58831513"/>
      <w:bookmarkEnd w:id="1065"/>
      <w:bookmarkEnd w:id="1066"/>
      <w:r>
        <w:rPr>
          <w:rFonts w:ascii="Arial" w:hAnsi="Arial" w:cs="Arial"/>
          <w:b/>
          <w:bCs/>
          <w:sz w:val="20"/>
        </w:rPr>
        <w:t>3.</w:t>
      </w:r>
      <w:r w:rsidR="00AB3569">
        <w:rPr>
          <w:rFonts w:ascii="Arial" w:hAnsi="Arial" w:cs="Arial"/>
          <w:b/>
          <w:bCs/>
          <w:sz w:val="20"/>
        </w:rPr>
        <w:t>9</w:t>
      </w:r>
      <w:r>
        <w:rPr>
          <w:rFonts w:ascii="Arial" w:hAnsi="Arial" w:cs="Arial"/>
          <w:b/>
          <w:bCs/>
          <w:sz w:val="20"/>
        </w:rPr>
        <w:t>.2</w:t>
      </w:r>
      <w:r>
        <w:rPr>
          <w:rFonts w:ascii="Arial" w:hAnsi="Arial" w:cs="Arial"/>
          <w:b/>
          <w:bCs/>
          <w:sz w:val="20"/>
        </w:rPr>
        <w:tab/>
        <w:t>Criminal Division (costs of prosecution)</w:t>
      </w:r>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p>
    <w:p w14:paraId="1BB0FEAF" w14:textId="77777777" w:rsidR="00B21DA4" w:rsidRDefault="00B21DA4" w:rsidP="009F17D4">
      <w:pPr>
        <w:jc w:val="both"/>
        <w:rPr>
          <w:rFonts w:ascii="Arial" w:hAnsi="Arial" w:cs="Arial"/>
          <w:sz w:val="20"/>
        </w:rPr>
      </w:pPr>
      <w:r>
        <w:rPr>
          <w:rFonts w:ascii="Arial" w:hAnsi="Arial" w:cs="Arial"/>
          <w:sz w:val="20"/>
        </w:rPr>
        <w:t xml:space="preserve">In </w:t>
      </w:r>
      <w:r>
        <w:rPr>
          <w:rFonts w:ascii="Arial" w:hAnsi="Arial" w:cs="Arial"/>
          <w:i/>
          <w:iCs/>
          <w:sz w:val="20"/>
        </w:rPr>
        <w:t>Fitzgerald v Golden</w:t>
      </w:r>
      <w:r>
        <w:rPr>
          <w:rFonts w:ascii="Arial" w:hAnsi="Arial" w:cs="Arial"/>
          <w:sz w:val="20"/>
        </w:rPr>
        <w:t xml:space="preserve"> [Supreme Court of Victoria, {MC6/96}, 05/12/1995] Beach J. quashed orders for costs in favour of the prosecutor and informant said to be "thrown away" by late service of a notice of alibi, holding (at p.10) that they "had not incurred any expense by reason of the adjournment against which they were entitled to be indemnified.  Their pay had not been docked by reason of the adjournment.  I have little doubt that following the adjournment…they went about their normal duties as police officers."</w:t>
      </w:r>
    </w:p>
    <w:p w14:paraId="702743E8" w14:textId="77777777" w:rsidR="00B15C64" w:rsidRDefault="00B15C64">
      <w:pPr>
        <w:jc w:val="both"/>
        <w:rPr>
          <w:rFonts w:ascii="Arial" w:hAnsi="Arial" w:cs="Arial"/>
          <w:sz w:val="20"/>
        </w:rPr>
      </w:pPr>
    </w:p>
    <w:p w14:paraId="2D650E4C" w14:textId="77777777" w:rsidR="00B21DA4" w:rsidRDefault="00B21DA4" w:rsidP="009747F2">
      <w:pPr>
        <w:pStyle w:val="Heading3"/>
        <w:keepNext/>
        <w:keepLines/>
        <w:widowControl/>
        <w:spacing w:after="120" w:line="240" w:lineRule="auto"/>
        <w:rPr>
          <w:rFonts w:ascii="Arial" w:hAnsi="Arial" w:cs="Arial"/>
          <w:b/>
          <w:bCs/>
          <w:sz w:val="20"/>
        </w:rPr>
      </w:pPr>
      <w:bookmarkStart w:id="1103" w:name="_3.9.3_Family_Division"/>
      <w:bookmarkStart w:id="1104" w:name="B393"/>
      <w:bookmarkStart w:id="1105" w:name="_Toc30652647"/>
      <w:bookmarkStart w:id="1106" w:name="_Toc30652745"/>
      <w:bookmarkStart w:id="1107" w:name="_Toc30654090"/>
      <w:bookmarkStart w:id="1108" w:name="_Toc30654441"/>
      <w:bookmarkStart w:id="1109" w:name="_Toc30655060"/>
      <w:bookmarkStart w:id="1110" w:name="_Toc30655317"/>
      <w:bookmarkStart w:id="1111" w:name="_Toc30656995"/>
      <w:bookmarkStart w:id="1112" w:name="_Toc30661744"/>
      <w:bookmarkStart w:id="1113" w:name="_Toc30666432"/>
      <w:bookmarkStart w:id="1114" w:name="_Toc30666662"/>
      <w:bookmarkStart w:id="1115" w:name="_Toc30667837"/>
      <w:bookmarkStart w:id="1116" w:name="_Toc30669215"/>
      <w:bookmarkStart w:id="1117" w:name="_Toc30671431"/>
      <w:bookmarkStart w:id="1118" w:name="_Toc30673958"/>
      <w:bookmarkStart w:id="1119" w:name="_Toc30691180"/>
      <w:bookmarkStart w:id="1120" w:name="_Toc30691551"/>
      <w:bookmarkStart w:id="1121" w:name="_Toc30691931"/>
      <w:bookmarkStart w:id="1122" w:name="_Toc30692690"/>
      <w:bookmarkStart w:id="1123" w:name="_Toc30693069"/>
      <w:bookmarkStart w:id="1124" w:name="_Toc30693447"/>
      <w:bookmarkStart w:id="1125" w:name="_Toc30693826"/>
      <w:bookmarkStart w:id="1126" w:name="_Toc30694207"/>
      <w:bookmarkStart w:id="1127" w:name="_Toc30698796"/>
      <w:bookmarkStart w:id="1128" w:name="_Toc30699174"/>
      <w:bookmarkStart w:id="1129" w:name="_Toc30699559"/>
      <w:bookmarkStart w:id="1130" w:name="_Toc30700714"/>
      <w:bookmarkStart w:id="1131" w:name="_Toc30701101"/>
      <w:bookmarkStart w:id="1132" w:name="_Toc30743710"/>
      <w:bookmarkStart w:id="1133" w:name="_Toc30754532"/>
      <w:bookmarkStart w:id="1134" w:name="_Toc30756972"/>
      <w:bookmarkStart w:id="1135" w:name="_Toc30757521"/>
      <w:bookmarkStart w:id="1136" w:name="_Toc30757921"/>
      <w:bookmarkStart w:id="1137" w:name="_Toc30762682"/>
      <w:bookmarkStart w:id="1138" w:name="_Toc30767336"/>
      <w:bookmarkStart w:id="1139" w:name="_Toc34823352"/>
      <w:bookmarkStart w:id="1140" w:name="_Toc58831514"/>
      <w:bookmarkStart w:id="1141" w:name="_Hlk149197338"/>
      <w:bookmarkStart w:id="1142" w:name="_Hlk149197027"/>
      <w:bookmarkEnd w:id="1103"/>
      <w:bookmarkEnd w:id="1104"/>
      <w:r>
        <w:rPr>
          <w:rFonts w:ascii="Arial" w:hAnsi="Arial" w:cs="Arial"/>
          <w:b/>
          <w:bCs/>
          <w:sz w:val="20"/>
        </w:rPr>
        <w:t>3.</w:t>
      </w:r>
      <w:r w:rsidR="00EA77AD">
        <w:rPr>
          <w:rFonts w:ascii="Arial" w:hAnsi="Arial" w:cs="Arial"/>
          <w:b/>
          <w:bCs/>
          <w:sz w:val="20"/>
        </w:rPr>
        <w:t>9</w:t>
      </w:r>
      <w:r>
        <w:rPr>
          <w:rFonts w:ascii="Arial" w:hAnsi="Arial" w:cs="Arial"/>
          <w:b/>
          <w:bCs/>
          <w:sz w:val="20"/>
        </w:rPr>
        <w:t>.3</w:t>
      </w:r>
      <w:r>
        <w:rPr>
          <w:rFonts w:ascii="Arial" w:hAnsi="Arial" w:cs="Arial"/>
          <w:b/>
          <w:bCs/>
          <w:sz w:val="20"/>
        </w:rPr>
        <w:tab/>
        <w:t>Family Division</w:t>
      </w:r>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r>
        <w:rPr>
          <w:rFonts w:ascii="Arial" w:hAnsi="Arial" w:cs="Arial"/>
          <w:b/>
          <w:bCs/>
          <w:sz w:val="20"/>
        </w:rPr>
        <w:t xml:space="preserve"> (protection proceedings)</w:t>
      </w:r>
      <w:bookmarkEnd w:id="1133"/>
      <w:bookmarkEnd w:id="1134"/>
      <w:bookmarkEnd w:id="1135"/>
      <w:bookmarkEnd w:id="1136"/>
      <w:bookmarkEnd w:id="1137"/>
      <w:bookmarkEnd w:id="1138"/>
      <w:bookmarkEnd w:id="1139"/>
      <w:bookmarkEnd w:id="1140"/>
    </w:p>
    <w:p w14:paraId="18E24C8F" w14:textId="7B13C9D1" w:rsidR="00B21DA4" w:rsidRDefault="00B21DA4" w:rsidP="00A33764">
      <w:pPr>
        <w:jc w:val="both"/>
        <w:rPr>
          <w:rFonts w:ascii="Arial" w:hAnsi="Arial" w:cs="Arial"/>
          <w:i/>
          <w:sz w:val="20"/>
        </w:rPr>
      </w:pPr>
      <w:r>
        <w:rPr>
          <w:rFonts w:ascii="Arial" w:hAnsi="Arial" w:cs="Arial"/>
          <w:sz w:val="20"/>
        </w:rPr>
        <w:t xml:space="preserve">In protection proceedings in the Family Division it is very uncommon for the Court to order that one party bears another party's costs.  </w:t>
      </w:r>
      <w:r w:rsidR="00C7180E">
        <w:rPr>
          <w:rFonts w:ascii="Arial" w:hAnsi="Arial" w:cs="Arial"/>
          <w:sz w:val="20"/>
        </w:rPr>
        <w:t xml:space="preserve">This is notwithstanding the general rule in civil proceedings that “costs follow the event” unless exceptional circumstances exist: see </w:t>
      </w:r>
      <w:r w:rsidR="00C7180E" w:rsidRPr="00C7180E">
        <w:rPr>
          <w:rFonts w:ascii="Arial" w:hAnsi="Arial" w:cs="Arial"/>
          <w:i/>
          <w:sz w:val="20"/>
        </w:rPr>
        <w:t>Danyl Hammond (a pseudonym) v Secretary to the Department of Health and Human Services; The Attorney-General of Victoria v DPP [No 2]</w:t>
      </w:r>
      <w:r w:rsidR="00C7180E">
        <w:rPr>
          <w:rFonts w:ascii="Arial" w:hAnsi="Arial" w:cs="Arial"/>
          <w:sz w:val="20"/>
        </w:rPr>
        <w:t xml:space="preserve"> [2019] VSCA 45 at [3]</w:t>
      </w:r>
      <w:r w:rsidR="00E721A0">
        <w:rPr>
          <w:rFonts w:ascii="Arial" w:hAnsi="Arial" w:cs="Arial"/>
          <w:sz w:val="20"/>
        </w:rPr>
        <w:t xml:space="preserve">; </w:t>
      </w:r>
      <w:r w:rsidR="00E721A0" w:rsidRPr="00E721A0">
        <w:rPr>
          <w:rFonts w:ascii="Arial" w:hAnsi="Arial" w:cs="Arial"/>
          <w:i/>
          <w:iCs/>
          <w:sz w:val="20"/>
          <w:szCs w:val="20"/>
        </w:rPr>
        <w:t>Anderson v Stonnington City Council (No 2)</w:t>
      </w:r>
      <w:r w:rsidR="00E721A0" w:rsidRPr="00E721A0">
        <w:rPr>
          <w:rFonts w:ascii="Arial" w:hAnsi="Arial" w:cs="Arial"/>
          <w:sz w:val="20"/>
          <w:szCs w:val="20"/>
        </w:rPr>
        <w:t xml:space="preserve"> </w:t>
      </w:r>
      <w:r w:rsidR="00E721A0">
        <w:rPr>
          <w:rFonts w:ascii="Arial" w:hAnsi="Arial" w:cs="Arial"/>
          <w:sz w:val="20"/>
          <w:szCs w:val="20"/>
        </w:rPr>
        <w:t xml:space="preserve">[2020] VSCA 238.  </w:t>
      </w:r>
      <w:r w:rsidR="00C7180E">
        <w:rPr>
          <w:rFonts w:ascii="Arial" w:hAnsi="Arial" w:cs="Arial"/>
          <w:sz w:val="20"/>
        </w:rPr>
        <w:t>A</w:t>
      </w:r>
      <w:r w:rsidR="00E721A0">
        <w:rPr>
          <w:rFonts w:ascii="Arial" w:hAnsi="Arial" w:cs="Arial"/>
          <w:sz w:val="20"/>
        </w:rPr>
        <w:t xml:space="preserve"> </w:t>
      </w:r>
      <w:r w:rsidR="00C7180E">
        <w:rPr>
          <w:rFonts w:ascii="Arial" w:hAnsi="Arial" w:cs="Arial"/>
          <w:sz w:val="20"/>
        </w:rPr>
        <w:t xml:space="preserve">test for the exercise of the power to order costs in protection proceedings </w:t>
      </w:r>
      <w:r>
        <w:rPr>
          <w:rFonts w:ascii="Arial" w:hAnsi="Arial" w:cs="Arial"/>
          <w:sz w:val="20"/>
        </w:rPr>
        <w:t xml:space="preserve">is set out in the </w:t>
      </w:r>
      <w:r w:rsidR="00390222">
        <w:rPr>
          <w:rFonts w:ascii="Arial" w:hAnsi="Arial" w:cs="Arial"/>
          <w:sz w:val="20"/>
        </w:rPr>
        <w:t xml:space="preserve">unreported </w:t>
      </w:r>
      <w:r>
        <w:rPr>
          <w:rFonts w:ascii="Arial" w:hAnsi="Arial" w:cs="Arial"/>
          <w:sz w:val="20"/>
        </w:rPr>
        <w:t xml:space="preserve">judgment of Hampel J. in </w:t>
      </w:r>
      <w:r>
        <w:rPr>
          <w:rFonts w:ascii="Arial" w:hAnsi="Arial" w:cs="Arial"/>
          <w:i/>
          <w:sz w:val="20"/>
        </w:rPr>
        <w:t>Secretary to the Department of Human Services</w:t>
      </w:r>
      <w:r>
        <w:rPr>
          <w:rFonts w:ascii="Arial" w:hAnsi="Arial" w:cs="Arial"/>
          <w:sz w:val="20"/>
        </w:rPr>
        <w:t xml:space="preserve"> v.</w:t>
      </w:r>
      <w:r>
        <w:rPr>
          <w:rFonts w:ascii="Arial" w:hAnsi="Arial" w:cs="Arial"/>
          <w:i/>
          <w:sz w:val="20"/>
        </w:rPr>
        <w:t xml:space="preserve"> His Worship Mr Hanrahan </w:t>
      </w:r>
      <w:r w:rsidR="00390222">
        <w:rPr>
          <w:rFonts w:ascii="Arial" w:hAnsi="Arial" w:cs="Arial"/>
          <w:i/>
          <w:sz w:val="20"/>
        </w:rPr>
        <w:t xml:space="preserve">and Maher and </w:t>
      </w:r>
      <w:r>
        <w:rPr>
          <w:rFonts w:ascii="Arial" w:hAnsi="Arial" w:cs="Arial"/>
          <w:i/>
          <w:sz w:val="20"/>
        </w:rPr>
        <w:t>O</w:t>
      </w:r>
      <w:r w:rsidR="00390222">
        <w:rPr>
          <w:rFonts w:ascii="Arial" w:hAnsi="Arial" w:cs="Arial"/>
          <w:i/>
          <w:sz w:val="20"/>
        </w:rPr>
        <w:t>ther</w:t>
      </w:r>
      <w:r>
        <w:rPr>
          <w:rFonts w:ascii="Arial" w:hAnsi="Arial" w:cs="Arial"/>
          <w:i/>
          <w:sz w:val="20"/>
        </w:rPr>
        <w:t xml:space="preserve">s </w:t>
      </w:r>
      <w:r>
        <w:rPr>
          <w:rFonts w:ascii="Arial" w:hAnsi="Arial" w:cs="Arial"/>
          <w:iCs/>
          <w:sz w:val="20"/>
        </w:rPr>
        <w:t xml:space="preserve">[Supreme Court of Victoria, {MC21/97}, </w:t>
      </w:r>
      <w:smartTag w:uri="urn:schemas-microsoft-com:office:smarttags" w:element="date">
        <w:smartTagPr>
          <w:attr w:name="Year" w:val="1996"/>
          <w:attr w:name="Day" w:val="10"/>
          <w:attr w:name="Month" w:val="12"/>
        </w:smartTagPr>
        <w:r>
          <w:rPr>
            <w:rFonts w:ascii="Arial" w:hAnsi="Arial" w:cs="Arial"/>
            <w:iCs/>
            <w:sz w:val="20"/>
          </w:rPr>
          <w:t>10/12/1996</w:t>
        </w:r>
      </w:smartTag>
      <w:r>
        <w:rPr>
          <w:rFonts w:ascii="Arial" w:hAnsi="Arial" w:cs="Arial"/>
          <w:iCs/>
          <w:sz w:val="20"/>
        </w:rPr>
        <w:t>] where his Honour held</w:t>
      </w:r>
      <w:r w:rsidR="008B7CCD">
        <w:rPr>
          <w:rFonts w:ascii="Arial" w:hAnsi="Arial" w:cs="Arial"/>
          <w:iCs/>
          <w:sz w:val="20"/>
        </w:rPr>
        <w:t xml:space="preserve"> [emphasis added]</w:t>
      </w:r>
      <w:r w:rsidR="00366998">
        <w:rPr>
          <w:rFonts w:ascii="Arial" w:hAnsi="Arial" w:cs="Arial"/>
          <w:iCs/>
          <w:sz w:val="20"/>
        </w:rPr>
        <w:t>:</w:t>
      </w:r>
    </w:p>
    <w:p w14:paraId="0D7F3702" w14:textId="16245485" w:rsidR="00390222" w:rsidRDefault="00B21DA4" w:rsidP="00390222">
      <w:pPr>
        <w:spacing w:before="60"/>
        <w:ind w:left="454" w:right="454"/>
        <w:jc w:val="both"/>
        <w:rPr>
          <w:rFonts w:ascii="Arial" w:hAnsi="Arial" w:cs="Arial"/>
          <w:iCs/>
          <w:sz w:val="20"/>
        </w:rPr>
      </w:pPr>
      <w:r>
        <w:rPr>
          <w:rFonts w:ascii="Arial" w:hAnsi="Arial" w:cs="Arial"/>
          <w:iCs/>
          <w:sz w:val="20"/>
        </w:rPr>
        <w:t>“</w:t>
      </w:r>
      <w:r w:rsidR="00390222">
        <w:rPr>
          <w:rFonts w:ascii="Arial" w:hAnsi="Arial" w:cs="Arial"/>
          <w:iCs/>
          <w:sz w:val="20"/>
        </w:rPr>
        <w:t>This is an appeal against an order made by the Magistrate of the Children’s Court sitting at Warrnambool awarding costs of the respondents of $1,680.</w:t>
      </w:r>
    </w:p>
    <w:p w14:paraId="0ACB38D4" w14:textId="310886C0" w:rsidR="00390222" w:rsidRDefault="00390222" w:rsidP="00390222">
      <w:pPr>
        <w:spacing w:before="60"/>
        <w:ind w:left="454" w:right="454"/>
        <w:jc w:val="both"/>
        <w:rPr>
          <w:rFonts w:ascii="Arial" w:hAnsi="Arial" w:cs="Arial"/>
          <w:iCs/>
          <w:sz w:val="20"/>
        </w:rPr>
      </w:pPr>
      <w:r>
        <w:rPr>
          <w:rFonts w:ascii="Arial" w:hAnsi="Arial" w:cs="Arial"/>
          <w:iCs/>
          <w:sz w:val="20"/>
        </w:rPr>
        <w:t xml:space="preserve">On 27 February 1996 the appellant issued a protection application pursuant to the </w:t>
      </w:r>
      <w:r w:rsidRPr="00390222">
        <w:rPr>
          <w:rFonts w:ascii="Arial" w:hAnsi="Arial" w:cs="Arial"/>
          <w:i/>
          <w:sz w:val="20"/>
        </w:rPr>
        <w:t>Children and Young Persons Act 1989</w:t>
      </w:r>
      <w:r>
        <w:rPr>
          <w:rFonts w:ascii="Arial" w:hAnsi="Arial" w:cs="Arial"/>
          <w:iCs/>
          <w:sz w:val="20"/>
        </w:rPr>
        <w:t>.  On 9 August 1996 the Magistrate in a reserved decision ordered costs against the appellant after the protection application was withdrawn and struck out with the consent of the parties.</w:t>
      </w:r>
    </w:p>
    <w:p w14:paraId="2B67DDD5" w14:textId="74B0A17C" w:rsidR="00390222" w:rsidRDefault="00390222" w:rsidP="00390222">
      <w:pPr>
        <w:spacing w:before="60"/>
        <w:ind w:left="454" w:right="454"/>
        <w:jc w:val="both"/>
        <w:rPr>
          <w:rFonts w:ascii="Arial" w:hAnsi="Arial" w:cs="Arial"/>
          <w:iCs/>
          <w:sz w:val="20"/>
        </w:rPr>
      </w:pPr>
      <w:r>
        <w:rPr>
          <w:rFonts w:ascii="Arial" w:hAnsi="Arial" w:cs="Arial"/>
          <w:iCs/>
          <w:sz w:val="20"/>
        </w:rPr>
        <w:t>The power of the Magistrate to order costs was not disputed but a submission was made on behalf of the appellant that costs should not be ordered.  The substance of those submissions appears from the affidavit material in this appeal and is not in dispute.  In summary it was put that such orders are rarely made because the Department’s job was a difficult one, that the Department was justified in becoming involved in the matter and issuing a protection application when it did, that the circumstances of the child had changed and the changes justified the withdrawal of the application which was properly issued originally, and that the history of the matter</w:t>
      </w:r>
      <w:r w:rsidR="008B7CCD">
        <w:rPr>
          <w:rFonts w:ascii="Arial" w:hAnsi="Arial" w:cs="Arial"/>
          <w:iCs/>
          <w:sz w:val="20"/>
        </w:rPr>
        <w:t xml:space="preserve"> militated against the grant of costs.  It was conceded that the amount of costs, if granted, was appropriate.</w:t>
      </w:r>
    </w:p>
    <w:p w14:paraId="37301998" w14:textId="0E1B1884" w:rsidR="008B7CCD" w:rsidRDefault="008B7CCD" w:rsidP="00390222">
      <w:pPr>
        <w:spacing w:before="60"/>
        <w:ind w:left="454" w:right="454"/>
        <w:jc w:val="both"/>
        <w:rPr>
          <w:rFonts w:ascii="Arial" w:hAnsi="Arial" w:cs="Arial"/>
          <w:iCs/>
          <w:sz w:val="20"/>
        </w:rPr>
      </w:pPr>
      <w:r>
        <w:rPr>
          <w:rFonts w:ascii="Arial" w:hAnsi="Arial" w:cs="Arial"/>
          <w:iCs/>
          <w:sz w:val="20"/>
        </w:rPr>
        <w:t xml:space="preserve">In my opinion the combined effect of s.24 of the </w:t>
      </w:r>
      <w:r w:rsidRPr="008B7CCD">
        <w:rPr>
          <w:rFonts w:ascii="Arial" w:hAnsi="Arial" w:cs="Arial"/>
          <w:i/>
          <w:sz w:val="20"/>
        </w:rPr>
        <w:t>Children and Young Persons Act</w:t>
      </w:r>
      <w:r>
        <w:rPr>
          <w:rFonts w:ascii="Arial" w:hAnsi="Arial" w:cs="Arial"/>
          <w:iCs/>
          <w:sz w:val="20"/>
        </w:rPr>
        <w:t xml:space="preserve"> [in similar terms to s.528 of the CYFA] and s.131 of the Magistrates’ Court Act is to provide a statutory basis for the jurisdiction in the Magistrates’ Court to award costs in cases such as the present.  (See also </w:t>
      </w:r>
      <w:r w:rsidRPr="008B7CCD">
        <w:rPr>
          <w:rFonts w:ascii="Arial" w:hAnsi="Arial" w:cs="Arial"/>
          <w:i/>
          <w:sz w:val="20"/>
        </w:rPr>
        <w:t>Wilson v McDougall</w:t>
      </w:r>
      <w:r>
        <w:rPr>
          <w:rFonts w:ascii="Arial" w:hAnsi="Arial" w:cs="Arial"/>
          <w:iCs/>
          <w:sz w:val="20"/>
        </w:rPr>
        <w:t xml:space="preserve"> (1987) 11 NSWER. 241.)</w:t>
      </w:r>
    </w:p>
    <w:p w14:paraId="371DA931" w14:textId="3356B4BC" w:rsidR="008B7CCD" w:rsidRDefault="008B7CCD" w:rsidP="00390222">
      <w:pPr>
        <w:spacing w:before="60"/>
        <w:ind w:left="454" w:right="454"/>
        <w:jc w:val="both"/>
        <w:rPr>
          <w:rFonts w:ascii="Arial" w:hAnsi="Arial" w:cs="Arial"/>
          <w:iCs/>
          <w:sz w:val="20"/>
        </w:rPr>
      </w:pPr>
      <w:r>
        <w:rPr>
          <w:rFonts w:ascii="Arial" w:hAnsi="Arial" w:cs="Arial"/>
          <w:iCs/>
          <w:sz w:val="20"/>
        </w:rPr>
        <w:t xml:space="preserve">The question remains whether this Court should in this case interfere with the Magistrate’s discretion in awarding costs.  In my opinion, the ‘strong presumption in favour of the </w:t>
      </w:r>
      <w:r>
        <w:rPr>
          <w:rFonts w:ascii="Arial" w:hAnsi="Arial" w:cs="Arial"/>
          <w:iCs/>
          <w:sz w:val="20"/>
        </w:rPr>
        <w:lastRenderedPageBreak/>
        <w:t xml:space="preserve">correctness of the decision appealed from’ particularly where it relates to the discretion in respect of costs has not been displaced.  It has not been demonstrated that irrelevant considerations have been taken into account or relevant considerations have not been taken into account.  Nor is the decision on its face plainly wrong.  (See </w:t>
      </w:r>
      <w:r w:rsidRPr="008B7CCD">
        <w:rPr>
          <w:rFonts w:ascii="Arial" w:hAnsi="Arial" w:cs="Arial"/>
          <w:i/>
          <w:sz w:val="20"/>
        </w:rPr>
        <w:t>Australia Coal and Shale Employees Federation v Commonwealth</w:t>
      </w:r>
      <w:r>
        <w:rPr>
          <w:rFonts w:ascii="Arial" w:hAnsi="Arial" w:cs="Arial"/>
          <w:iCs/>
          <w:sz w:val="20"/>
        </w:rPr>
        <w:t xml:space="preserve"> (1953) 94 CLR 621.)</w:t>
      </w:r>
    </w:p>
    <w:p w14:paraId="3C9FC059" w14:textId="547E3116" w:rsidR="00B21DA4" w:rsidRDefault="008B7CCD" w:rsidP="004A2A38">
      <w:pPr>
        <w:spacing w:before="60"/>
        <w:ind w:left="454" w:right="454"/>
        <w:jc w:val="both"/>
        <w:rPr>
          <w:rFonts w:ascii="Arial" w:hAnsi="Arial" w:cs="Arial"/>
          <w:b/>
          <w:bCs/>
          <w:iCs/>
          <w:sz w:val="20"/>
        </w:rPr>
      </w:pPr>
      <w:r>
        <w:rPr>
          <w:rFonts w:ascii="Arial" w:hAnsi="Arial" w:cs="Arial"/>
          <w:iCs/>
          <w:sz w:val="20"/>
        </w:rPr>
        <w:t xml:space="preserve">There was argument before me as to the nature of the discretion to be exercised in relation to proceedings under the </w:t>
      </w:r>
      <w:r w:rsidRPr="008B7CCD">
        <w:rPr>
          <w:rFonts w:ascii="Arial" w:hAnsi="Arial" w:cs="Arial"/>
          <w:i/>
          <w:sz w:val="20"/>
        </w:rPr>
        <w:t>Children and Young Persons Act</w:t>
      </w:r>
      <w:r>
        <w:rPr>
          <w:rFonts w:ascii="Arial" w:hAnsi="Arial" w:cs="Arial"/>
          <w:i/>
          <w:sz w:val="20"/>
        </w:rPr>
        <w:t xml:space="preserve"> </w:t>
      </w:r>
      <w:r w:rsidRPr="008B7CCD">
        <w:rPr>
          <w:rFonts w:ascii="Arial" w:hAnsi="Arial" w:cs="Arial"/>
          <w:iCs/>
          <w:sz w:val="20"/>
        </w:rPr>
        <w:t xml:space="preserve">where a protection application is involved.  </w:t>
      </w:r>
      <w:r>
        <w:rPr>
          <w:rFonts w:ascii="Arial" w:hAnsi="Arial" w:cs="Arial"/>
          <w:iCs/>
          <w:sz w:val="20"/>
        </w:rPr>
        <w:t xml:space="preserve">I agree with the appellant’s submissions that the </w:t>
      </w:r>
      <w:r w:rsidR="00B21DA4">
        <w:rPr>
          <w:rFonts w:ascii="Arial" w:hAnsi="Arial" w:cs="Arial"/>
          <w:iCs/>
          <w:sz w:val="20"/>
        </w:rPr>
        <w:t xml:space="preserve">discretion is to be exercised on grounds different from those referred to in </w:t>
      </w:r>
      <w:r w:rsidR="00B21DA4">
        <w:rPr>
          <w:rFonts w:ascii="Arial" w:hAnsi="Arial" w:cs="Arial"/>
          <w:i/>
          <w:sz w:val="20"/>
        </w:rPr>
        <w:t>Latoudis v Casey</w:t>
      </w:r>
      <w:r>
        <w:rPr>
          <w:rFonts w:ascii="Arial" w:hAnsi="Arial" w:cs="Arial"/>
          <w:iCs/>
          <w:sz w:val="20"/>
        </w:rPr>
        <w:t xml:space="preserve"> (1991) 170 CLR 534.</w:t>
      </w:r>
      <w:r w:rsidR="00B21DA4">
        <w:rPr>
          <w:rFonts w:ascii="Arial" w:hAnsi="Arial" w:cs="Arial"/>
          <w:iCs/>
          <w:sz w:val="20"/>
        </w:rPr>
        <w:t xml:space="preserve">  </w:t>
      </w:r>
      <w:r w:rsidR="00B21DA4" w:rsidRPr="00093E02">
        <w:rPr>
          <w:rFonts w:ascii="Arial" w:hAnsi="Arial" w:cs="Arial"/>
          <w:b/>
          <w:bCs/>
          <w:iCs/>
          <w:sz w:val="20"/>
        </w:rPr>
        <w:t xml:space="preserve">Protection application proceedings are not criminal proceedings and by their very nature are for the benefit of the children with whom they are concerned: see </w:t>
      </w:r>
      <w:r w:rsidR="00B21DA4" w:rsidRPr="00093E02">
        <w:rPr>
          <w:rFonts w:ascii="Arial" w:hAnsi="Arial" w:cs="Arial"/>
          <w:b/>
          <w:bCs/>
          <w:i/>
          <w:sz w:val="20"/>
        </w:rPr>
        <w:t>M &amp; Ors v M</w:t>
      </w:r>
      <w:r w:rsidR="00B21DA4" w:rsidRPr="00093E02">
        <w:rPr>
          <w:rFonts w:ascii="Arial" w:hAnsi="Arial" w:cs="Arial"/>
          <w:b/>
          <w:bCs/>
          <w:iCs/>
          <w:sz w:val="20"/>
        </w:rPr>
        <w:t xml:space="preserve"> [1993] 1 VR 391.</w:t>
      </w:r>
      <w:r w:rsidRPr="00093E02">
        <w:rPr>
          <w:rFonts w:ascii="Arial" w:hAnsi="Arial" w:cs="Arial"/>
          <w:b/>
          <w:bCs/>
          <w:iCs/>
          <w:sz w:val="20"/>
        </w:rPr>
        <w:t>)</w:t>
      </w:r>
      <w:r w:rsidR="00B21DA4" w:rsidRPr="00093E02">
        <w:rPr>
          <w:rFonts w:ascii="Arial" w:hAnsi="Arial" w:cs="Arial"/>
          <w:b/>
          <w:bCs/>
          <w:iCs/>
          <w:sz w:val="20"/>
        </w:rPr>
        <w:t xml:space="preserve">  A protection application may be appropriately brought but by the time the matter comes up for hearing circumstances may have changed so that it may then be equally appropriately withdrawn. This is one matter which may, in an appropriate case, affect the exercise of the costs discretion. Other relevant considerations, given the nature of the jurisdiction, may include the extent of investigation by the Secretary when the application is made, the circumstances in which it is withdrawn, the amount of notice given of the intention to withdraw and whether the action taken by the Secretary is in any way irresponsible or mischievous.</w:t>
      </w:r>
    </w:p>
    <w:p w14:paraId="1ECDB0E0" w14:textId="25B097F8" w:rsidR="004A2A38" w:rsidRPr="004A2A38" w:rsidRDefault="004A2A38" w:rsidP="004A2A38">
      <w:pPr>
        <w:spacing w:before="60"/>
        <w:ind w:left="454" w:right="454"/>
        <w:jc w:val="both"/>
        <w:rPr>
          <w:rFonts w:ascii="Arial" w:hAnsi="Arial" w:cs="Arial"/>
          <w:iCs/>
          <w:sz w:val="20"/>
        </w:rPr>
      </w:pPr>
      <w:r w:rsidRPr="004A2A38">
        <w:rPr>
          <w:rFonts w:ascii="Arial" w:hAnsi="Arial" w:cs="Arial"/>
          <w:iCs/>
          <w:sz w:val="20"/>
        </w:rPr>
        <w:t>The appeal stands dismissed with costs.</w:t>
      </w:r>
      <w:r>
        <w:rPr>
          <w:rFonts w:ascii="Arial" w:hAnsi="Arial" w:cs="Arial"/>
          <w:iCs/>
          <w:sz w:val="20"/>
        </w:rPr>
        <w:t>”</w:t>
      </w:r>
    </w:p>
    <w:p w14:paraId="57A2EB3A" w14:textId="77777777" w:rsidR="00DE762A" w:rsidRDefault="00DE762A">
      <w:pPr>
        <w:jc w:val="both"/>
        <w:rPr>
          <w:rFonts w:ascii="Arial" w:hAnsi="Arial" w:cs="Arial"/>
          <w:iCs/>
          <w:sz w:val="20"/>
        </w:rPr>
      </w:pPr>
    </w:p>
    <w:p w14:paraId="2026E232" w14:textId="66E8311A" w:rsidR="006004E0" w:rsidRDefault="006004E0" w:rsidP="00C37348">
      <w:pPr>
        <w:jc w:val="both"/>
        <w:rPr>
          <w:rFonts w:ascii="Arial" w:hAnsi="Arial" w:cs="Arial"/>
          <w:sz w:val="20"/>
        </w:rPr>
      </w:pPr>
      <w:r>
        <w:rPr>
          <w:rFonts w:ascii="Arial" w:hAnsi="Arial" w:cs="Arial"/>
          <w:sz w:val="20"/>
        </w:rPr>
        <w:t xml:space="preserve">In </w:t>
      </w:r>
      <w:r w:rsidRPr="006004E0">
        <w:rPr>
          <w:rFonts w:ascii="Arial" w:hAnsi="Arial" w:cs="Arial"/>
          <w:i/>
          <w:sz w:val="20"/>
        </w:rPr>
        <w:t>DOHS v Ms T &amp; Mr M</w:t>
      </w:r>
      <w:r>
        <w:rPr>
          <w:rFonts w:ascii="Arial" w:hAnsi="Arial" w:cs="Arial"/>
          <w:sz w:val="20"/>
        </w:rPr>
        <w:t xml:space="preserve"> [unreported, Children’s Court of Victoria, </w:t>
      </w:r>
      <w:r w:rsidR="008F69CC">
        <w:rPr>
          <w:rFonts w:ascii="Arial" w:hAnsi="Arial" w:cs="Arial"/>
          <w:sz w:val="20"/>
        </w:rPr>
        <w:t>12</w:t>
      </w:r>
      <w:r>
        <w:rPr>
          <w:rFonts w:ascii="Arial" w:hAnsi="Arial" w:cs="Arial"/>
          <w:sz w:val="20"/>
        </w:rPr>
        <w:t xml:space="preserve">/10/2009], Magistrate Power applied the test set out by Hampel J in </w:t>
      </w:r>
      <w:r>
        <w:rPr>
          <w:rFonts w:ascii="Arial" w:hAnsi="Arial" w:cs="Arial"/>
          <w:i/>
          <w:sz w:val="20"/>
        </w:rPr>
        <w:t>Secretary to the Department of Human Services</w:t>
      </w:r>
      <w:r>
        <w:rPr>
          <w:rFonts w:ascii="Arial" w:hAnsi="Arial" w:cs="Arial"/>
          <w:sz w:val="20"/>
        </w:rPr>
        <w:t xml:space="preserve"> v.</w:t>
      </w:r>
      <w:r>
        <w:rPr>
          <w:rFonts w:ascii="Arial" w:hAnsi="Arial" w:cs="Arial"/>
          <w:i/>
          <w:sz w:val="20"/>
        </w:rPr>
        <w:t xml:space="preserve"> His Worship Mr Hanrahan </w:t>
      </w:r>
      <w:r w:rsidR="008B7CCD">
        <w:rPr>
          <w:rFonts w:ascii="Arial" w:hAnsi="Arial" w:cs="Arial"/>
          <w:i/>
          <w:sz w:val="20"/>
        </w:rPr>
        <w:t xml:space="preserve">and Maher and Others </w:t>
      </w:r>
      <w:r>
        <w:rPr>
          <w:rFonts w:ascii="Arial" w:hAnsi="Arial" w:cs="Arial"/>
          <w:sz w:val="20"/>
        </w:rPr>
        <w:t>and ordered that the Department pay the parents’ costs for 3 days of the 9 days of the contested hearing.  In section 25 of his judgment, Magistrate Power said:</w:t>
      </w:r>
    </w:p>
    <w:p w14:paraId="0EC04EA4" w14:textId="77777777" w:rsidR="006004E0" w:rsidRDefault="006004E0" w:rsidP="00957031">
      <w:pPr>
        <w:spacing w:before="80"/>
        <w:ind w:left="454" w:right="454"/>
        <w:jc w:val="both"/>
        <w:rPr>
          <w:rFonts w:ascii="Arial" w:hAnsi="Arial" w:cs="Arial"/>
          <w:iCs/>
          <w:sz w:val="20"/>
        </w:rPr>
      </w:pPr>
      <w:r>
        <w:rPr>
          <w:rFonts w:ascii="Arial" w:hAnsi="Arial" w:cs="Arial"/>
          <w:iCs/>
          <w:sz w:val="20"/>
        </w:rPr>
        <w:t>“</w:t>
      </w:r>
      <w:r w:rsidRPr="006004E0">
        <w:rPr>
          <w:rFonts w:ascii="Arial" w:hAnsi="Arial" w:cs="Arial"/>
          <w:sz w:val="20"/>
        </w:rPr>
        <w:t xml:space="preserve">The onus of satisfying me that I should depart from the normal practice that parties in protection proceedings bear their own costs rests on the applicant parents.  They have not satisfied me on balance that it was irresponsible for DOHS to have commenced this contested hearing.  The DOHS’ officer responsible for the decision to press for a custody to Secretary order was </w:t>
      </w:r>
      <w:r w:rsidR="008F69CC">
        <w:rPr>
          <w:rFonts w:ascii="Arial" w:hAnsi="Arial" w:cs="Arial"/>
          <w:sz w:val="20"/>
        </w:rPr>
        <w:t>[the Unit Manager]</w:t>
      </w:r>
      <w:r w:rsidRPr="006004E0">
        <w:rPr>
          <w:rFonts w:ascii="Arial" w:hAnsi="Arial" w:cs="Arial"/>
          <w:sz w:val="20"/>
        </w:rPr>
        <w:t xml:space="preserve">.  On one – perhaps charitable – view, </w:t>
      </w:r>
      <w:r w:rsidR="008F69CC">
        <w:rPr>
          <w:rFonts w:ascii="Arial" w:hAnsi="Arial" w:cs="Arial"/>
          <w:sz w:val="20"/>
        </w:rPr>
        <w:t>the Unit Manager</w:t>
      </w:r>
      <w:r w:rsidRPr="006004E0">
        <w:rPr>
          <w:rFonts w:ascii="Arial" w:hAnsi="Arial" w:cs="Arial"/>
          <w:sz w:val="20"/>
        </w:rPr>
        <w:t>’s case for a custody to Secretary order was supported by the independent observations and opinions which the PASDS worker had set out in her reports of 02/07/2009 &amp; 27/07/2009 as well as the feedback which he had receiv</w:t>
      </w:r>
      <w:r w:rsidR="008F69CC">
        <w:rPr>
          <w:rFonts w:ascii="Arial" w:hAnsi="Arial" w:cs="Arial"/>
          <w:sz w:val="20"/>
        </w:rPr>
        <w:t>ed from PASDS and other sources…</w:t>
      </w:r>
    </w:p>
    <w:p w14:paraId="02959F15" w14:textId="77777777" w:rsidR="008F69CC" w:rsidRDefault="008F69CC" w:rsidP="001B5152">
      <w:pPr>
        <w:spacing w:before="80"/>
        <w:ind w:left="454" w:right="454"/>
        <w:jc w:val="both"/>
        <w:rPr>
          <w:rFonts w:ascii="Arial" w:hAnsi="Arial" w:cs="Arial"/>
          <w:iCs/>
          <w:sz w:val="20"/>
        </w:rPr>
      </w:pPr>
      <w:r w:rsidRPr="008F69CC">
        <w:rPr>
          <w:rFonts w:ascii="Arial" w:hAnsi="Arial" w:cs="Arial"/>
          <w:sz w:val="20"/>
        </w:rPr>
        <w:t xml:space="preserve">The tenor of the evidence elicited in the first four days of this hearing ought to have sounded a significant cautionary note to DOHS.  However, given that </w:t>
      </w:r>
      <w:r>
        <w:rPr>
          <w:rFonts w:ascii="Arial" w:hAnsi="Arial" w:cs="Arial"/>
          <w:sz w:val="20"/>
        </w:rPr>
        <w:t>the PASDS worker</w:t>
      </w:r>
      <w:r w:rsidRPr="008F69CC">
        <w:rPr>
          <w:rFonts w:ascii="Arial" w:hAnsi="Arial" w:cs="Arial"/>
          <w:sz w:val="20"/>
        </w:rPr>
        <w:t xml:space="preserve">’s opinions and recommendations had not yet been tested in the Court, I am not satisfied that it was irresponsible for the Department not to have capitulated at an earlier stage.  But when, on the afternoon of the fifth day of the hearing, </w:t>
      </w:r>
      <w:r>
        <w:rPr>
          <w:rFonts w:ascii="Arial" w:hAnsi="Arial" w:cs="Arial"/>
          <w:sz w:val="20"/>
        </w:rPr>
        <w:t>her</w:t>
      </w:r>
      <w:r w:rsidRPr="008F69CC">
        <w:rPr>
          <w:rFonts w:ascii="Arial" w:hAnsi="Arial" w:cs="Arial"/>
          <w:sz w:val="20"/>
        </w:rPr>
        <w:t xml:space="preserve"> opinions lay in tatters after incisive cross-examination, the Department ought to have realized that it no longer had evidence which was anywhere near sufficient to support a custody to Secretary order</w:t>
      </w:r>
      <w:r>
        <w:rPr>
          <w:rFonts w:ascii="Arial" w:hAnsi="Arial" w:cs="Arial"/>
          <w:sz w:val="20"/>
        </w:rPr>
        <w:t>…</w:t>
      </w:r>
    </w:p>
    <w:p w14:paraId="41049044" w14:textId="77777777" w:rsidR="00247019" w:rsidRDefault="008F69CC" w:rsidP="001B5152">
      <w:pPr>
        <w:spacing w:before="80"/>
        <w:ind w:left="454" w:right="454"/>
        <w:jc w:val="both"/>
        <w:rPr>
          <w:rFonts w:ascii="Arial" w:hAnsi="Arial" w:cs="Arial"/>
          <w:iCs/>
          <w:sz w:val="20"/>
        </w:rPr>
      </w:pPr>
      <w:r w:rsidRPr="008F69CC">
        <w:rPr>
          <w:rFonts w:ascii="Arial" w:hAnsi="Arial" w:cs="Arial"/>
          <w:sz w:val="20"/>
        </w:rPr>
        <w:t>Late that afternoon</w:t>
      </w:r>
      <w:r>
        <w:rPr>
          <w:rFonts w:ascii="Arial" w:hAnsi="Arial" w:cs="Arial"/>
          <w:sz w:val="20"/>
        </w:rPr>
        <w:t xml:space="preserve">, after </w:t>
      </w:r>
      <w:r w:rsidRPr="008F69CC">
        <w:rPr>
          <w:rFonts w:ascii="Arial" w:hAnsi="Arial" w:cs="Arial"/>
          <w:sz w:val="20"/>
        </w:rPr>
        <w:t xml:space="preserve">I had stood the hearing down for a while because </w:t>
      </w:r>
      <w:r>
        <w:rPr>
          <w:rFonts w:ascii="Arial" w:hAnsi="Arial" w:cs="Arial"/>
          <w:sz w:val="20"/>
        </w:rPr>
        <w:t>[the mother]</w:t>
      </w:r>
      <w:r w:rsidRPr="008F69CC">
        <w:rPr>
          <w:rFonts w:ascii="Arial" w:hAnsi="Arial" w:cs="Arial"/>
          <w:sz w:val="20"/>
        </w:rPr>
        <w:t xml:space="preserve"> had become so distressed by the process</w:t>
      </w:r>
      <w:r>
        <w:rPr>
          <w:rFonts w:ascii="Arial" w:hAnsi="Arial" w:cs="Arial"/>
          <w:iCs/>
          <w:sz w:val="20"/>
        </w:rPr>
        <w:t>, I said words to the effect that I saw the whole process as having a very great potential to affect the mother’s mental health adversely which could not be of benefit to the child…</w:t>
      </w:r>
      <w:r w:rsidR="00247019">
        <w:rPr>
          <w:rFonts w:ascii="Arial" w:hAnsi="Arial" w:cs="Arial"/>
          <w:iCs/>
          <w:sz w:val="20"/>
        </w:rPr>
        <w:t xml:space="preserve"> </w:t>
      </w:r>
      <w:r>
        <w:rPr>
          <w:rFonts w:ascii="Arial" w:hAnsi="Arial" w:cs="Arial"/>
          <w:iCs/>
          <w:sz w:val="20"/>
        </w:rPr>
        <w:t xml:space="preserve">The fact that in these circumstances DOHS – as a supposedly model litigant – did not then agree to a supervision order but soldiered on without significant supporting evidence was irresponsible.  The fact that, in my view, the Department’s intransigence </w:t>
      </w:r>
      <w:r w:rsidR="00247019">
        <w:rPr>
          <w:rFonts w:ascii="Arial" w:hAnsi="Arial" w:cs="Arial"/>
          <w:iCs/>
          <w:sz w:val="20"/>
        </w:rPr>
        <w:t>posed significant risks to [the mother’s] mental health made its decision both grossly irresponsible and cruel.</w:t>
      </w:r>
    </w:p>
    <w:p w14:paraId="671F5DEA" w14:textId="77777777" w:rsidR="00247019" w:rsidRDefault="00247019" w:rsidP="001B5152">
      <w:pPr>
        <w:spacing w:before="80"/>
        <w:ind w:left="454" w:right="454"/>
        <w:jc w:val="both"/>
        <w:rPr>
          <w:rFonts w:ascii="Arial" w:hAnsi="Arial" w:cs="Arial"/>
          <w:iCs/>
          <w:sz w:val="20"/>
        </w:rPr>
      </w:pPr>
      <w:r>
        <w:rPr>
          <w:rFonts w:ascii="Arial" w:hAnsi="Arial" w:cs="Arial"/>
          <w:iCs/>
          <w:sz w:val="20"/>
        </w:rPr>
        <w:t>However, it is likely that there would still have been a further day required…to sort out the conditions on the order…In the end the case ran for 9 days.  Accordingly, in my view, DOHS’ irresponsibility contributed to the case running 3 days longer than it should have.</w:t>
      </w:r>
    </w:p>
    <w:p w14:paraId="3962C95A" w14:textId="77777777" w:rsidR="008F69CC" w:rsidRDefault="00247019" w:rsidP="001B5152">
      <w:pPr>
        <w:spacing w:before="80"/>
        <w:ind w:left="454" w:right="454"/>
        <w:jc w:val="both"/>
        <w:rPr>
          <w:rFonts w:ascii="Arial" w:hAnsi="Arial" w:cs="Arial"/>
          <w:iCs/>
          <w:sz w:val="20"/>
        </w:rPr>
      </w:pPr>
      <w:r>
        <w:rPr>
          <w:rFonts w:ascii="Arial" w:hAnsi="Arial" w:cs="Arial"/>
          <w:iCs/>
          <w:sz w:val="20"/>
        </w:rPr>
        <w:t>It is just that DOHS should bear the parents’ costs of legal representation for 3 days on the legal aid scale, a total amount of $4302.”</w:t>
      </w:r>
    </w:p>
    <w:p w14:paraId="1DD35864" w14:textId="77777777" w:rsidR="006004E0" w:rsidRDefault="006004E0" w:rsidP="001B5152">
      <w:pPr>
        <w:jc w:val="both"/>
        <w:rPr>
          <w:rFonts w:ascii="Arial" w:hAnsi="Arial" w:cs="Arial"/>
          <w:sz w:val="20"/>
        </w:rPr>
      </w:pPr>
    </w:p>
    <w:p w14:paraId="51F4626E" w14:textId="1166AA2F" w:rsidR="006206C8" w:rsidRDefault="006206C8" w:rsidP="001B5152">
      <w:pPr>
        <w:jc w:val="both"/>
        <w:rPr>
          <w:rFonts w:ascii="Arial" w:hAnsi="Arial" w:cs="Arial"/>
          <w:sz w:val="20"/>
        </w:rPr>
      </w:pPr>
      <w:r>
        <w:rPr>
          <w:rFonts w:ascii="Arial" w:hAnsi="Arial" w:cs="Arial"/>
          <w:sz w:val="20"/>
        </w:rPr>
        <w:t xml:space="preserve">In </w:t>
      </w:r>
      <w:r w:rsidRPr="006206C8">
        <w:rPr>
          <w:rFonts w:ascii="Arial" w:hAnsi="Arial" w:cs="Arial"/>
          <w:i/>
          <w:iCs/>
          <w:sz w:val="20"/>
        </w:rPr>
        <w:t>DHHS v Smith (Costs)</w:t>
      </w:r>
      <w:r>
        <w:rPr>
          <w:rFonts w:ascii="Arial" w:hAnsi="Arial" w:cs="Arial"/>
          <w:sz w:val="20"/>
        </w:rPr>
        <w:t xml:space="preserve"> [2020] VSC 268 the Department brought an unsuccessful appeal against an interim accommodation order made by the Children’s Court allowing the father of a 2 month old child to have contact with the child subject to supervision by the child’s mother.  In granting the applications of the mother and father for costs of the appeal, Riordan J said at [20]-[</w:t>
      </w:r>
      <w:r w:rsidR="00E60220">
        <w:rPr>
          <w:rFonts w:ascii="Arial" w:hAnsi="Arial" w:cs="Arial"/>
          <w:sz w:val="20"/>
        </w:rPr>
        <w:t>26</w:t>
      </w:r>
      <w:r>
        <w:rPr>
          <w:rFonts w:ascii="Arial" w:hAnsi="Arial" w:cs="Arial"/>
          <w:sz w:val="20"/>
        </w:rPr>
        <w:t>]:</w:t>
      </w:r>
    </w:p>
    <w:p w14:paraId="3A51A8E9" w14:textId="22ECC7E3" w:rsidR="006206C8" w:rsidRDefault="006206C8" w:rsidP="006206C8">
      <w:pPr>
        <w:spacing w:before="60"/>
        <w:ind w:left="454" w:right="454"/>
        <w:jc w:val="both"/>
        <w:rPr>
          <w:rFonts w:ascii="Arial" w:hAnsi="Arial" w:cs="Arial"/>
          <w:sz w:val="20"/>
        </w:rPr>
      </w:pPr>
      <w:r>
        <w:rPr>
          <w:rFonts w:ascii="Arial" w:hAnsi="Arial" w:cs="Arial"/>
          <w:iCs/>
          <w:sz w:val="20"/>
        </w:rPr>
        <w:t>[20] “</w:t>
      </w:r>
      <w:r w:rsidR="00E60220" w:rsidRPr="006206C8">
        <w:rPr>
          <w:rFonts w:ascii="Arial" w:hAnsi="Arial" w:cs="Arial"/>
          <w:sz w:val="20"/>
        </w:rPr>
        <w:t>In my opinion, it is appropriate that the Secretary be ordered to pay the respondents’ costs as sought, for the following reasons.</w:t>
      </w:r>
    </w:p>
    <w:p w14:paraId="2214BBF6" w14:textId="6AA635BD" w:rsidR="00E60220" w:rsidRDefault="00E60220" w:rsidP="006206C8">
      <w:pPr>
        <w:spacing w:before="60"/>
        <w:ind w:left="454" w:right="454"/>
        <w:jc w:val="both"/>
        <w:rPr>
          <w:rFonts w:ascii="Arial" w:hAnsi="Arial" w:cs="Arial"/>
          <w:sz w:val="20"/>
        </w:rPr>
      </w:pPr>
      <w:r>
        <w:rPr>
          <w:rFonts w:ascii="Arial" w:hAnsi="Arial" w:cs="Arial"/>
          <w:sz w:val="20"/>
        </w:rPr>
        <w:lastRenderedPageBreak/>
        <w:t xml:space="preserve">[21] </w:t>
      </w:r>
      <w:r w:rsidRPr="006206C8">
        <w:rPr>
          <w:rFonts w:ascii="Arial" w:hAnsi="Arial" w:cs="Arial"/>
          <w:sz w:val="20"/>
        </w:rPr>
        <w:t>There is no dispute that the Court has jurisdiction under s 24 of the Supreme Court Act 1986 (Vic) to order the payment of costs in the exercise of its discretion.</w:t>
      </w:r>
    </w:p>
    <w:p w14:paraId="3F737E93" w14:textId="00D23930" w:rsidR="00E60220" w:rsidRDefault="00E60220" w:rsidP="006206C8">
      <w:pPr>
        <w:spacing w:before="60"/>
        <w:ind w:left="454" w:right="454"/>
        <w:jc w:val="both"/>
        <w:rPr>
          <w:rFonts w:ascii="Arial" w:hAnsi="Arial" w:cs="Arial"/>
          <w:sz w:val="20"/>
        </w:rPr>
      </w:pPr>
      <w:r>
        <w:rPr>
          <w:rFonts w:ascii="Arial" w:hAnsi="Arial" w:cs="Arial"/>
          <w:sz w:val="20"/>
        </w:rPr>
        <w:t xml:space="preserve">[22] </w:t>
      </w:r>
      <w:r w:rsidRPr="006206C8">
        <w:rPr>
          <w:rFonts w:ascii="Arial" w:hAnsi="Arial" w:cs="Arial"/>
          <w:sz w:val="20"/>
        </w:rPr>
        <w:t xml:space="preserve">With few exceptions, the usual order is that a successful party is entitled to an award of costs in its favour. As McHugh J said </w:t>
      </w:r>
      <w:r>
        <w:rPr>
          <w:rFonts w:ascii="Arial" w:hAnsi="Arial" w:cs="Arial"/>
          <w:sz w:val="20"/>
        </w:rPr>
        <w:t xml:space="preserve">(in dissent but not with respect to these principles) in </w:t>
      </w:r>
      <w:r w:rsidRPr="00E60220">
        <w:rPr>
          <w:rFonts w:ascii="Arial" w:hAnsi="Arial" w:cs="Arial"/>
          <w:i/>
          <w:iCs/>
          <w:sz w:val="20"/>
        </w:rPr>
        <w:t>Oshlack v Richmond River Council</w:t>
      </w:r>
      <w:r>
        <w:rPr>
          <w:rFonts w:ascii="Arial" w:hAnsi="Arial" w:cs="Arial"/>
          <w:sz w:val="20"/>
        </w:rPr>
        <w:t xml:space="preserve"> (1998) 193 CLR 72, 97 [67]:</w:t>
      </w:r>
    </w:p>
    <w:p w14:paraId="3C8B1F4F" w14:textId="01CFB1DF" w:rsidR="00E60220" w:rsidRPr="00E60220" w:rsidRDefault="00E60220" w:rsidP="00E60220">
      <w:pPr>
        <w:spacing w:before="60"/>
        <w:ind w:left="907" w:right="907"/>
        <w:jc w:val="both"/>
        <w:rPr>
          <w:rFonts w:ascii="Arial" w:hAnsi="Arial" w:cs="Arial"/>
          <w:sz w:val="18"/>
          <w:szCs w:val="22"/>
        </w:rPr>
      </w:pPr>
      <w:r w:rsidRPr="00E60220">
        <w:rPr>
          <w:rFonts w:ascii="Arial" w:hAnsi="Arial" w:cs="Arial"/>
          <w:sz w:val="18"/>
          <w:szCs w:val="22"/>
        </w:rPr>
        <w:t>The expression the ‘usual order as to costs’ embodies the important principle that, subject to certain exceptions, a successful party in litigation is entitled to an award of costs in its favour. The principle is grounded in reasons of fairness and policy and operates whether the successful party is the plaintiff or the defendant. Costs are not awarded to punish an unsuccessful party. The primary purpose of an award of costs is to indemnify the successful party.</w:t>
      </w:r>
    </w:p>
    <w:p w14:paraId="1511F896" w14:textId="3DF8B8EF" w:rsidR="00E60220" w:rsidRDefault="00E60220" w:rsidP="006206C8">
      <w:pPr>
        <w:spacing w:before="60"/>
        <w:ind w:left="454" w:right="454"/>
        <w:jc w:val="both"/>
        <w:rPr>
          <w:rFonts w:ascii="Arial" w:hAnsi="Arial" w:cs="Arial"/>
          <w:sz w:val="20"/>
        </w:rPr>
      </w:pPr>
      <w:r w:rsidRPr="006206C8">
        <w:rPr>
          <w:rFonts w:ascii="Arial" w:hAnsi="Arial" w:cs="Arial"/>
          <w:sz w:val="20"/>
        </w:rPr>
        <w:t xml:space="preserve">His Honour went on to say </w:t>
      </w:r>
      <w:r>
        <w:rPr>
          <w:rFonts w:ascii="Arial" w:hAnsi="Arial" w:cs="Arial"/>
          <w:sz w:val="20"/>
        </w:rPr>
        <w:t xml:space="preserve">at 98 [70] </w:t>
      </w:r>
      <w:r w:rsidRPr="006206C8">
        <w:rPr>
          <w:rFonts w:ascii="Arial" w:hAnsi="Arial" w:cs="Arial"/>
          <w:sz w:val="20"/>
        </w:rPr>
        <w:t>that ‘there are very few, if any, exceptions to the usual order as to costs outside the area of disentitling conduct’.</w:t>
      </w:r>
    </w:p>
    <w:p w14:paraId="15977EF4" w14:textId="26CB0277" w:rsidR="00E60220" w:rsidRDefault="00E60220" w:rsidP="006206C8">
      <w:pPr>
        <w:spacing w:before="60"/>
        <w:ind w:left="454" w:right="454"/>
        <w:jc w:val="both"/>
        <w:rPr>
          <w:rFonts w:ascii="Arial" w:hAnsi="Arial" w:cs="Arial"/>
          <w:sz w:val="20"/>
        </w:rPr>
      </w:pPr>
      <w:r>
        <w:rPr>
          <w:rFonts w:ascii="Arial" w:hAnsi="Arial" w:cs="Arial"/>
          <w:sz w:val="20"/>
        </w:rPr>
        <w:t xml:space="preserve">[23] </w:t>
      </w:r>
      <w:r w:rsidRPr="006206C8">
        <w:rPr>
          <w:rFonts w:ascii="Arial" w:hAnsi="Arial" w:cs="Arial"/>
          <w:sz w:val="20"/>
        </w:rPr>
        <w:t>Although it can be readily accepted that the Secretary has a significant role in acting in the public interest for the protection of children, as the above authorities demonstrate, that does not make the Secretary immune from the application of the principles for the usual order of costs in this Court.</w:t>
      </w:r>
    </w:p>
    <w:p w14:paraId="62561ABD" w14:textId="01E1435B" w:rsidR="007B2B69" w:rsidRDefault="00E60220" w:rsidP="006206C8">
      <w:pPr>
        <w:spacing w:before="60"/>
        <w:ind w:left="454" w:right="454"/>
        <w:jc w:val="both"/>
        <w:rPr>
          <w:rFonts w:ascii="Arial" w:hAnsi="Arial" w:cs="Arial"/>
          <w:sz w:val="20"/>
        </w:rPr>
      </w:pPr>
      <w:r>
        <w:rPr>
          <w:rFonts w:ascii="Arial" w:hAnsi="Arial" w:cs="Arial"/>
          <w:sz w:val="20"/>
        </w:rPr>
        <w:t xml:space="preserve">[24] </w:t>
      </w:r>
      <w:r w:rsidRPr="006206C8">
        <w:rPr>
          <w:rFonts w:ascii="Arial" w:hAnsi="Arial" w:cs="Arial"/>
          <w:sz w:val="20"/>
        </w:rPr>
        <w:t xml:space="preserve">In my opinion, the role of the Secretary is not significantly different to the role of other regulatory authorities who conduct litigation. In </w:t>
      </w:r>
      <w:r w:rsidRPr="007B2B69">
        <w:rPr>
          <w:rFonts w:ascii="Arial" w:hAnsi="Arial" w:cs="Arial"/>
          <w:i/>
          <w:iCs/>
          <w:sz w:val="20"/>
        </w:rPr>
        <w:t>Quinn v Law Institute of Victoria Ltd (No 2)</w:t>
      </w:r>
      <w:r w:rsidR="007B2B69">
        <w:rPr>
          <w:rFonts w:ascii="Arial" w:hAnsi="Arial" w:cs="Arial"/>
          <w:sz w:val="20"/>
        </w:rPr>
        <w:t xml:space="preserve"> (2027) 27 VAR 13</w:t>
      </w:r>
      <w:r w:rsidRPr="006206C8">
        <w:rPr>
          <w:rFonts w:ascii="Arial" w:hAnsi="Arial" w:cs="Arial"/>
          <w:sz w:val="20"/>
        </w:rPr>
        <w:t xml:space="preserve">, the Court of Appeal </w:t>
      </w:r>
      <w:r w:rsidR="007B2B69">
        <w:rPr>
          <w:rFonts w:ascii="Arial" w:hAnsi="Arial" w:cs="Arial"/>
          <w:sz w:val="20"/>
        </w:rPr>
        <w:t xml:space="preserve">(Maxwell P, Chernov &amp; Nettle JJA) </w:t>
      </w:r>
      <w:r w:rsidRPr="006206C8">
        <w:rPr>
          <w:rFonts w:ascii="Arial" w:hAnsi="Arial" w:cs="Arial"/>
          <w:sz w:val="20"/>
        </w:rPr>
        <w:t>rejected a submission of the Law Institute that there should be no order as to the costs of an appeal because of the public function served by the Law Institute with respect to disciplinary proceedings. The Court said</w:t>
      </w:r>
      <w:r w:rsidR="007B2B69">
        <w:rPr>
          <w:rFonts w:ascii="Arial" w:hAnsi="Arial" w:cs="Arial"/>
          <w:sz w:val="20"/>
        </w:rPr>
        <w:t xml:space="preserve"> at 14-15 [7]</w:t>
      </w:r>
      <w:r w:rsidRPr="006206C8">
        <w:rPr>
          <w:rFonts w:ascii="Arial" w:hAnsi="Arial" w:cs="Arial"/>
          <w:sz w:val="20"/>
        </w:rPr>
        <w:t xml:space="preserve">: </w:t>
      </w:r>
    </w:p>
    <w:p w14:paraId="5181A919" w14:textId="39E1AF09" w:rsidR="00E60220" w:rsidRPr="007B2B69" w:rsidRDefault="00E60220" w:rsidP="007B2B69">
      <w:pPr>
        <w:spacing w:before="60"/>
        <w:ind w:left="907" w:right="907"/>
        <w:jc w:val="both"/>
        <w:rPr>
          <w:rFonts w:ascii="Arial" w:hAnsi="Arial" w:cs="Arial"/>
          <w:sz w:val="18"/>
          <w:szCs w:val="22"/>
        </w:rPr>
      </w:pPr>
      <w:r w:rsidRPr="007B2B69">
        <w:rPr>
          <w:rFonts w:ascii="Arial" w:hAnsi="Arial" w:cs="Arial"/>
          <w:sz w:val="18"/>
          <w:szCs w:val="22"/>
        </w:rPr>
        <w:t>The institute’s position in this respect is no different from that of any other regulatory agency which is a party to proceedings before a domestic tribunal. The Transport Accident Commission, the Victorian WorkCover Authority and the Environment Protection Authority Victoria regularly appear as respondents to review proceedings in the Victorian Civil and Administrative Tribunal in respect of decisions made in the exercise of their statutory powers. Decisions of that Tribunal are appellable on a question of law. If the decision-making agency seeks unsuccessfully to defend such an appeal, it will be ordered to pay the appellant’s costs.</w:t>
      </w:r>
    </w:p>
    <w:p w14:paraId="2E74B084" w14:textId="77777777" w:rsidR="007B2B69" w:rsidRDefault="00E60220" w:rsidP="006206C8">
      <w:pPr>
        <w:spacing w:before="60"/>
        <w:ind w:left="454" w:right="454"/>
        <w:jc w:val="both"/>
        <w:rPr>
          <w:rFonts w:ascii="Arial" w:hAnsi="Arial" w:cs="Arial"/>
          <w:sz w:val="20"/>
        </w:rPr>
      </w:pPr>
      <w:r>
        <w:rPr>
          <w:rFonts w:ascii="Arial" w:hAnsi="Arial" w:cs="Arial"/>
          <w:sz w:val="20"/>
        </w:rPr>
        <w:t xml:space="preserve">[25] </w:t>
      </w:r>
      <w:r w:rsidRPr="006206C8">
        <w:rPr>
          <w:rFonts w:ascii="Arial" w:hAnsi="Arial" w:cs="Arial"/>
          <w:sz w:val="20"/>
        </w:rPr>
        <w:t>Similarly, with respect to the proposition that costs on appeal should follow the practice with respect to costs in the tribunal below, the Court of Appeal said</w:t>
      </w:r>
      <w:r w:rsidR="007B2B69">
        <w:rPr>
          <w:rFonts w:ascii="Arial" w:hAnsi="Arial" w:cs="Arial"/>
          <w:sz w:val="20"/>
        </w:rPr>
        <w:t xml:space="preserve"> at 15 [9]-[10]</w:t>
      </w:r>
      <w:r w:rsidRPr="006206C8">
        <w:rPr>
          <w:rFonts w:ascii="Arial" w:hAnsi="Arial" w:cs="Arial"/>
          <w:sz w:val="20"/>
        </w:rPr>
        <w:t>:</w:t>
      </w:r>
    </w:p>
    <w:p w14:paraId="54ACA899" w14:textId="7ECCCF7E" w:rsidR="007B2B69" w:rsidRDefault="007B2B69" w:rsidP="007B2B69">
      <w:pPr>
        <w:spacing w:before="60"/>
        <w:ind w:left="907" w:right="907"/>
        <w:jc w:val="both"/>
        <w:rPr>
          <w:rFonts w:ascii="Arial" w:hAnsi="Arial" w:cs="Arial"/>
          <w:sz w:val="18"/>
          <w:szCs w:val="22"/>
        </w:rPr>
      </w:pPr>
      <w:r w:rsidRPr="007B2B69">
        <w:rPr>
          <w:rFonts w:ascii="Arial" w:hAnsi="Arial" w:cs="Arial"/>
          <w:sz w:val="18"/>
          <w:szCs w:val="22"/>
        </w:rPr>
        <w:t xml:space="preserve">Nor is the present costs question to be likened to the question which arises at the conclusion of disciplinary proceedings in which the institute is prosecutor. As counsel for the institute pointed out, s 162 of the </w:t>
      </w:r>
      <w:r w:rsidRPr="007B2B69">
        <w:rPr>
          <w:rFonts w:ascii="Arial" w:hAnsi="Arial" w:cs="Arial"/>
          <w:i/>
          <w:iCs/>
          <w:sz w:val="18"/>
          <w:szCs w:val="22"/>
        </w:rPr>
        <w:t>Legal Practice Act 1996</w:t>
      </w:r>
      <w:r w:rsidRPr="007B2B69">
        <w:rPr>
          <w:rFonts w:ascii="Arial" w:hAnsi="Arial" w:cs="Arial"/>
          <w:sz w:val="18"/>
          <w:szCs w:val="22"/>
        </w:rPr>
        <w:t xml:space="preserve"> provided that no order for costs is to be made against the institute in such proceedings except in exceptional circumstances. The evident policy of that provision is that the institute should not be deterred by the risk of an adverse costs order from prosecuting charges of misconduct before the tribunal. That is a very important function, carried out in the public interest.</w:t>
      </w:r>
    </w:p>
    <w:p w14:paraId="5277364E" w14:textId="55F5E059" w:rsidR="007B2B69" w:rsidRPr="007B2B69" w:rsidRDefault="007B2B69" w:rsidP="007B2B69">
      <w:pPr>
        <w:spacing w:before="60"/>
        <w:ind w:left="907" w:right="907"/>
        <w:jc w:val="both"/>
        <w:rPr>
          <w:rFonts w:ascii="Arial" w:hAnsi="Arial" w:cs="Arial"/>
          <w:sz w:val="16"/>
          <w:szCs w:val="20"/>
        </w:rPr>
      </w:pPr>
      <w:r w:rsidRPr="007B2B69">
        <w:rPr>
          <w:rFonts w:ascii="Arial" w:hAnsi="Arial" w:cs="Arial"/>
          <w:sz w:val="18"/>
          <w:szCs w:val="22"/>
        </w:rPr>
        <w:t>No such provision was made, and no such considerations apply, in relation to an appeal like the present. For the reasons already given, the institute must decide, as any respondent to such an appeal must decide, whether the decision under appeal is likely to be affirmed or quashed. If it defends the appeal and loses, it should pay the appellant’s costs.</w:t>
      </w:r>
    </w:p>
    <w:p w14:paraId="6E21F2EA" w14:textId="1874E8AB" w:rsidR="00E60220" w:rsidRDefault="00E60220" w:rsidP="006206C8">
      <w:pPr>
        <w:spacing w:before="60"/>
        <w:ind w:left="454" w:right="454"/>
        <w:jc w:val="both"/>
        <w:rPr>
          <w:rFonts w:ascii="Arial" w:hAnsi="Arial" w:cs="Arial"/>
          <w:iCs/>
          <w:sz w:val="20"/>
        </w:rPr>
      </w:pPr>
      <w:r>
        <w:rPr>
          <w:rFonts w:ascii="Arial" w:hAnsi="Arial" w:cs="Arial"/>
          <w:sz w:val="20"/>
        </w:rPr>
        <w:t xml:space="preserve">[26] </w:t>
      </w:r>
      <w:r w:rsidRPr="006206C8">
        <w:rPr>
          <w:rFonts w:ascii="Arial" w:hAnsi="Arial" w:cs="Arial"/>
          <w:sz w:val="20"/>
        </w:rPr>
        <w:t>Although I do not consider that the Secretary’s decision to appeal was unreasonable, or that the Secretary misconducted itself in the conduct of the appeal, in my opinion, these factors are not sufficient to justify a departure from the usual rule as to costs or deprive the respondents of their rights to indemnity.</w:t>
      </w:r>
      <w:r>
        <w:rPr>
          <w:rFonts w:ascii="Arial" w:hAnsi="Arial" w:cs="Arial"/>
          <w:sz w:val="20"/>
        </w:rPr>
        <w:t>”</w:t>
      </w:r>
    </w:p>
    <w:p w14:paraId="045967AE" w14:textId="77777777" w:rsidR="006206C8" w:rsidRDefault="006206C8" w:rsidP="001B5152">
      <w:pPr>
        <w:jc w:val="both"/>
        <w:rPr>
          <w:rFonts w:ascii="Arial" w:hAnsi="Arial" w:cs="Arial"/>
          <w:sz w:val="20"/>
        </w:rPr>
      </w:pPr>
    </w:p>
    <w:p w14:paraId="4FF2ADDF" w14:textId="77777777" w:rsidR="00B21DA4" w:rsidRDefault="00B21DA4" w:rsidP="009F17D4">
      <w:pPr>
        <w:pStyle w:val="Heading3"/>
        <w:keepNext/>
        <w:keepLines/>
        <w:widowControl/>
        <w:spacing w:after="120" w:line="240" w:lineRule="auto"/>
        <w:rPr>
          <w:rFonts w:ascii="Arial" w:hAnsi="Arial" w:cs="Arial"/>
          <w:b/>
          <w:bCs/>
          <w:sz w:val="20"/>
        </w:rPr>
      </w:pPr>
      <w:bookmarkStart w:id="1143" w:name="_3.9.4_Family_Division"/>
      <w:bookmarkStart w:id="1144" w:name="B394"/>
      <w:bookmarkStart w:id="1145" w:name="_Toc30754533"/>
      <w:bookmarkStart w:id="1146" w:name="_Toc30756973"/>
      <w:bookmarkStart w:id="1147" w:name="_Toc30757522"/>
      <w:bookmarkStart w:id="1148" w:name="_Toc30757922"/>
      <w:bookmarkStart w:id="1149" w:name="_Toc30762683"/>
      <w:bookmarkStart w:id="1150" w:name="_Toc30767337"/>
      <w:bookmarkStart w:id="1151" w:name="_Toc34823353"/>
      <w:bookmarkStart w:id="1152" w:name="_Toc58831515"/>
      <w:bookmarkEnd w:id="1141"/>
      <w:bookmarkEnd w:id="1143"/>
      <w:bookmarkEnd w:id="1144"/>
      <w:r>
        <w:rPr>
          <w:rFonts w:ascii="Arial" w:hAnsi="Arial" w:cs="Arial"/>
          <w:b/>
          <w:bCs/>
          <w:sz w:val="20"/>
        </w:rPr>
        <w:t>3.</w:t>
      </w:r>
      <w:r w:rsidR="00AB3569">
        <w:rPr>
          <w:rFonts w:ascii="Arial" w:hAnsi="Arial" w:cs="Arial"/>
          <w:b/>
          <w:bCs/>
          <w:sz w:val="20"/>
        </w:rPr>
        <w:t>9</w:t>
      </w:r>
      <w:r>
        <w:rPr>
          <w:rFonts w:ascii="Arial" w:hAnsi="Arial" w:cs="Arial"/>
          <w:b/>
          <w:bCs/>
          <w:sz w:val="20"/>
        </w:rPr>
        <w:t>.4</w:t>
      </w:r>
      <w:r>
        <w:rPr>
          <w:rFonts w:ascii="Arial" w:hAnsi="Arial" w:cs="Arial"/>
          <w:b/>
          <w:bCs/>
          <w:sz w:val="20"/>
        </w:rPr>
        <w:tab/>
        <w:t>Family Division (intervention order proceedings)</w:t>
      </w:r>
      <w:bookmarkEnd w:id="1145"/>
      <w:bookmarkEnd w:id="1146"/>
      <w:bookmarkEnd w:id="1147"/>
      <w:bookmarkEnd w:id="1148"/>
      <w:bookmarkEnd w:id="1149"/>
      <w:bookmarkEnd w:id="1150"/>
      <w:bookmarkEnd w:id="1151"/>
      <w:bookmarkEnd w:id="1152"/>
    </w:p>
    <w:p w14:paraId="2C053109" w14:textId="414895B3" w:rsidR="00D11291" w:rsidRDefault="00103848" w:rsidP="001B5152">
      <w:pPr>
        <w:jc w:val="both"/>
        <w:rPr>
          <w:rFonts w:ascii="Arial" w:hAnsi="Arial" w:cs="Arial"/>
          <w:sz w:val="20"/>
        </w:rPr>
      </w:pPr>
      <w:bookmarkStart w:id="1153" w:name="_Toc30608811"/>
      <w:bookmarkStart w:id="1154" w:name="_Toc30610025"/>
      <w:bookmarkStart w:id="1155" w:name="_Toc30610269"/>
      <w:bookmarkStart w:id="1156" w:name="_Toc30638423"/>
      <w:bookmarkStart w:id="1157" w:name="_Toc30644232"/>
      <w:bookmarkStart w:id="1158" w:name="_Toc30644635"/>
      <w:bookmarkStart w:id="1159" w:name="_Toc30645185"/>
      <w:bookmarkStart w:id="1160" w:name="_Toc30646396"/>
      <w:bookmarkStart w:id="1161" w:name="_Toc30646691"/>
      <w:bookmarkStart w:id="1162" w:name="_Toc30646802"/>
      <w:bookmarkStart w:id="1163" w:name="_Toc30648159"/>
      <w:bookmarkStart w:id="1164" w:name="_Toc30649057"/>
      <w:bookmarkStart w:id="1165" w:name="_Toc30649133"/>
      <w:bookmarkStart w:id="1166" w:name="_Toc30649394"/>
      <w:bookmarkStart w:id="1167" w:name="_Toc30649719"/>
      <w:bookmarkStart w:id="1168" w:name="_Toc30651659"/>
      <w:bookmarkStart w:id="1169" w:name="_Toc30652648"/>
      <w:bookmarkStart w:id="1170" w:name="_Toc30652746"/>
      <w:bookmarkStart w:id="1171" w:name="_Toc30654091"/>
      <w:bookmarkStart w:id="1172" w:name="_Toc30654442"/>
      <w:bookmarkStart w:id="1173" w:name="_Toc30655061"/>
      <w:bookmarkStart w:id="1174" w:name="_Toc30655318"/>
      <w:bookmarkStart w:id="1175" w:name="_Toc30656996"/>
      <w:bookmarkStart w:id="1176" w:name="_Toc30661745"/>
      <w:bookmarkStart w:id="1177" w:name="_Toc30666433"/>
      <w:bookmarkStart w:id="1178" w:name="_Toc30666663"/>
      <w:bookmarkStart w:id="1179" w:name="_Toc30667838"/>
      <w:bookmarkStart w:id="1180" w:name="_Toc30669216"/>
      <w:bookmarkStart w:id="1181" w:name="_Toc30671432"/>
      <w:bookmarkStart w:id="1182" w:name="_Toc30673959"/>
      <w:bookmarkStart w:id="1183" w:name="_Toc30691181"/>
      <w:bookmarkStart w:id="1184" w:name="_Toc30691552"/>
      <w:bookmarkStart w:id="1185" w:name="_Toc30691932"/>
      <w:bookmarkStart w:id="1186" w:name="_Toc30692691"/>
      <w:bookmarkStart w:id="1187" w:name="_Toc30693070"/>
      <w:bookmarkStart w:id="1188" w:name="_Toc30693448"/>
      <w:bookmarkStart w:id="1189" w:name="_Toc30693827"/>
      <w:bookmarkStart w:id="1190" w:name="_Toc30694208"/>
      <w:bookmarkStart w:id="1191" w:name="_Toc30698797"/>
      <w:bookmarkStart w:id="1192" w:name="_Toc30699175"/>
      <w:bookmarkStart w:id="1193" w:name="_Toc30699560"/>
      <w:bookmarkStart w:id="1194" w:name="_Toc30700715"/>
      <w:bookmarkStart w:id="1195" w:name="_Toc30701102"/>
      <w:bookmarkStart w:id="1196" w:name="_Toc30743711"/>
      <w:r>
        <w:rPr>
          <w:rFonts w:ascii="Arial" w:hAnsi="Arial" w:cs="Arial"/>
          <w:sz w:val="20"/>
        </w:rPr>
        <w:t xml:space="preserve">Section 154 of the </w:t>
      </w:r>
      <w:r w:rsidRPr="003D7E6D">
        <w:rPr>
          <w:rFonts w:ascii="Arial" w:hAnsi="Arial" w:cs="Arial"/>
          <w:i/>
          <w:iCs/>
          <w:sz w:val="20"/>
        </w:rPr>
        <w:t>Family Violence Protection Act 2008</w:t>
      </w:r>
      <w:r>
        <w:rPr>
          <w:rFonts w:ascii="Arial" w:hAnsi="Arial" w:cs="Arial"/>
          <w:sz w:val="20"/>
        </w:rPr>
        <w:t xml:space="preserve"> and s.</w:t>
      </w:r>
      <w:r w:rsidR="004834ED">
        <w:rPr>
          <w:rFonts w:ascii="Arial" w:hAnsi="Arial" w:cs="Arial"/>
          <w:sz w:val="20"/>
        </w:rPr>
        <w:t>111</w:t>
      </w:r>
      <w:r>
        <w:rPr>
          <w:rFonts w:ascii="Arial" w:hAnsi="Arial" w:cs="Arial"/>
          <w:sz w:val="20"/>
        </w:rPr>
        <w:t xml:space="preserve"> of the </w:t>
      </w:r>
      <w:r w:rsidR="004834ED" w:rsidRPr="003D7E6D">
        <w:rPr>
          <w:rFonts w:ascii="Arial" w:hAnsi="Arial" w:cs="Arial"/>
          <w:i/>
          <w:iCs/>
          <w:sz w:val="20"/>
        </w:rPr>
        <w:t>Personal Safety</w:t>
      </w:r>
      <w:r w:rsidRPr="003D7E6D">
        <w:rPr>
          <w:rFonts w:ascii="Arial" w:hAnsi="Arial" w:cs="Arial"/>
          <w:i/>
          <w:iCs/>
          <w:sz w:val="20"/>
        </w:rPr>
        <w:t xml:space="preserve"> Intervention Orders Act 20</w:t>
      </w:r>
      <w:r w:rsidR="004834ED" w:rsidRPr="003D7E6D">
        <w:rPr>
          <w:rFonts w:ascii="Arial" w:hAnsi="Arial" w:cs="Arial"/>
          <w:i/>
          <w:iCs/>
          <w:sz w:val="20"/>
        </w:rPr>
        <w:t>10</w:t>
      </w:r>
      <w:r>
        <w:rPr>
          <w:rFonts w:ascii="Arial" w:hAnsi="Arial" w:cs="Arial"/>
          <w:sz w:val="20"/>
        </w:rPr>
        <w:t xml:space="preserve"> provide that each party to any proceedings under the respective Act must bear his or her own costs </w:t>
      </w:r>
      <w:r w:rsidR="00D11291">
        <w:rPr>
          <w:rFonts w:ascii="Arial" w:hAnsi="Arial" w:cs="Arial"/>
          <w:sz w:val="20"/>
        </w:rPr>
        <w:t xml:space="preserve">of the proceeding </w:t>
      </w:r>
      <w:r>
        <w:rPr>
          <w:rFonts w:ascii="Arial" w:hAnsi="Arial" w:cs="Arial"/>
          <w:sz w:val="20"/>
        </w:rPr>
        <w:t>unless</w:t>
      </w:r>
      <w:r w:rsidR="00366998" w:rsidRPr="00A31FFA">
        <w:rPr>
          <w:rFonts w:ascii="Arial" w:hAnsi="Arial" w:cs="Arial"/>
          <w:sz w:val="20"/>
        </w:rPr>
        <w:t>–</w:t>
      </w:r>
    </w:p>
    <w:p w14:paraId="5E36E4C2" w14:textId="77777777" w:rsidR="00D11291" w:rsidRDefault="00103848" w:rsidP="000F0BE9">
      <w:pPr>
        <w:numPr>
          <w:ilvl w:val="0"/>
          <w:numId w:val="17"/>
        </w:numPr>
        <w:tabs>
          <w:tab w:val="clear" w:pos="1500"/>
        </w:tabs>
        <w:ind w:left="357" w:hanging="357"/>
        <w:jc w:val="both"/>
        <w:rPr>
          <w:rFonts w:ascii="Arial" w:hAnsi="Arial" w:cs="Arial"/>
          <w:sz w:val="20"/>
        </w:rPr>
      </w:pPr>
      <w:r>
        <w:rPr>
          <w:rFonts w:ascii="Arial" w:hAnsi="Arial" w:cs="Arial"/>
          <w:sz w:val="20"/>
        </w:rPr>
        <w:t>the Court decides that exceptional circumstances warrant otherwise</w:t>
      </w:r>
      <w:r w:rsidR="00D11291">
        <w:rPr>
          <w:rFonts w:ascii="Arial" w:hAnsi="Arial" w:cs="Arial"/>
          <w:sz w:val="20"/>
        </w:rPr>
        <w:t>; or</w:t>
      </w:r>
    </w:p>
    <w:p w14:paraId="7AF2D30B" w14:textId="77777777" w:rsidR="00D11291" w:rsidRDefault="00D11291" w:rsidP="00212E38">
      <w:pPr>
        <w:numPr>
          <w:ilvl w:val="0"/>
          <w:numId w:val="17"/>
        </w:numPr>
        <w:tabs>
          <w:tab w:val="clear" w:pos="1500"/>
        </w:tabs>
        <w:ind w:left="357" w:hanging="357"/>
        <w:jc w:val="both"/>
        <w:rPr>
          <w:rFonts w:ascii="Arial" w:hAnsi="Arial" w:cs="Arial"/>
          <w:sz w:val="20"/>
        </w:rPr>
      </w:pPr>
      <w:r>
        <w:rPr>
          <w:rFonts w:ascii="Arial" w:hAnsi="Arial" w:cs="Arial"/>
          <w:sz w:val="20"/>
        </w:rPr>
        <w:t>the Court is satisfied that the making of any application was vexatious, frivolous or in bad faith.</w:t>
      </w:r>
    </w:p>
    <w:p w14:paraId="509754C4" w14:textId="77777777" w:rsidR="00881B99" w:rsidRPr="00986720" w:rsidRDefault="00881B99" w:rsidP="00881B99">
      <w:pPr>
        <w:jc w:val="both"/>
        <w:rPr>
          <w:rFonts w:ascii="Arial" w:hAnsi="Arial" w:cs="Arial"/>
          <w:color w:val="000000"/>
          <w:sz w:val="20"/>
        </w:rPr>
      </w:pPr>
    </w:p>
    <w:p w14:paraId="589BC223" w14:textId="77777777" w:rsidR="00881B99" w:rsidRPr="002C2CA5" w:rsidRDefault="00881B99" w:rsidP="00881B99">
      <w:pPr>
        <w:pStyle w:val="Heading3"/>
        <w:keepNext/>
        <w:keepLines/>
        <w:spacing w:after="120" w:line="240" w:lineRule="auto"/>
        <w:rPr>
          <w:rFonts w:ascii="Arial" w:hAnsi="Arial" w:cs="Arial"/>
          <w:b/>
          <w:bCs/>
          <w:sz w:val="20"/>
          <w:lang w:val="en-US"/>
        </w:rPr>
      </w:pPr>
      <w:bookmarkStart w:id="1197" w:name="_3.9.5_Very_limited"/>
      <w:bookmarkStart w:id="1198" w:name="B395"/>
      <w:bookmarkEnd w:id="1142"/>
      <w:bookmarkEnd w:id="1197"/>
      <w:bookmarkEnd w:id="1198"/>
      <w:r>
        <w:rPr>
          <w:rFonts w:ascii="Arial" w:hAnsi="Arial" w:cs="Arial"/>
          <w:b/>
          <w:bCs/>
          <w:sz w:val="20"/>
        </w:rPr>
        <w:t>3.9.5</w:t>
      </w:r>
      <w:r>
        <w:rPr>
          <w:rFonts w:ascii="Arial" w:hAnsi="Arial" w:cs="Arial"/>
          <w:b/>
          <w:bCs/>
          <w:sz w:val="20"/>
        </w:rPr>
        <w:tab/>
        <w:t>Very limited entitlement of self-represented litigants to costs</w:t>
      </w:r>
    </w:p>
    <w:p w14:paraId="6A7397DF" w14:textId="2A416709" w:rsidR="00881B99" w:rsidRDefault="00881B99" w:rsidP="00881B99">
      <w:pPr>
        <w:jc w:val="both"/>
        <w:rPr>
          <w:rFonts w:ascii="Arial" w:hAnsi="Arial" w:cs="Arial"/>
          <w:sz w:val="20"/>
        </w:rPr>
      </w:pPr>
      <w:r>
        <w:rPr>
          <w:rFonts w:ascii="Arial" w:hAnsi="Arial" w:cs="Arial"/>
          <w:sz w:val="20"/>
        </w:rPr>
        <w:t xml:space="preserve">In </w:t>
      </w:r>
      <w:r>
        <w:rPr>
          <w:rFonts w:ascii="Arial" w:hAnsi="Arial" w:cs="Arial"/>
          <w:i/>
          <w:iCs/>
          <w:sz w:val="20"/>
        </w:rPr>
        <w:t>P v RM &amp; Ors</w:t>
      </w:r>
      <w:r>
        <w:rPr>
          <w:rFonts w:ascii="Arial" w:hAnsi="Arial" w:cs="Arial"/>
          <w:sz w:val="20"/>
        </w:rPr>
        <w:t xml:space="preserve"> [2004] VSC 78 </w:t>
      </w:r>
      <w:r w:rsidR="004A2A38">
        <w:rPr>
          <w:rFonts w:ascii="Arial" w:hAnsi="Arial" w:cs="Arial"/>
          <w:sz w:val="20"/>
        </w:rPr>
        <w:t>–</w:t>
      </w:r>
      <w:r>
        <w:rPr>
          <w:rFonts w:ascii="Arial" w:hAnsi="Arial" w:cs="Arial"/>
          <w:sz w:val="20"/>
        </w:rPr>
        <w:t xml:space="preserve"> a</w:t>
      </w:r>
      <w:r w:rsidR="004A2A38">
        <w:rPr>
          <w:rFonts w:ascii="Arial" w:hAnsi="Arial" w:cs="Arial"/>
          <w:sz w:val="20"/>
        </w:rPr>
        <w:t xml:space="preserve"> </w:t>
      </w:r>
      <w:r>
        <w:rPr>
          <w:rFonts w:ascii="Arial" w:hAnsi="Arial" w:cs="Arial"/>
          <w:sz w:val="20"/>
        </w:rPr>
        <w:t xml:space="preserve">case in which the bulk of the judgment is in [2004] VSC 14 </w:t>
      </w:r>
      <w:r w:rsidR="00657D5F">
        <w:rPr>
          <w:rFonts w:ascii="Arial" w:hAnsi="Arial" w:cs="Arial"/>
          <w:sz w:val="20"/>
        </w:rPr>
        <w:t>–</w:t>
      </w:r>
      <w:r>
        <w:rPr>
          <w:rFonts w:ascii="Arial" w:hAnsi="Arial" w:cs="Arial"/>
          <w:sz w:val="20"/>
        </w:rPr>
        <w:t xml:space="preserve"> Gillard</w:t>
      </w:r>
      <w:r w:rsidR="00657D5F">
        <w:rPr>
          <w:rFonts w:ascii="Arial" w:hAnsi="Arial" w:cs="Arial"/>
          <w:sz w:val="20"/>
        </w:rPr>
        <w:t xml:space="preserve"> </w:t>
      </w:r>
      <w:r>
        <w:rPr>
          <w:rFonts w:ascii="Arial" w:hAnsi="Arial" w:cs="Arial"/>
          <w:sz w:val="20"/>
        </w:rPr>
        <w:t>J awarded $150 costs to the father for loss of income consequent on his attendance as a witness, not as a party. At [5] His Honour said:</w:t>
      </w:r>
    </w:p>
    <w:p w14:paraId="6F963A13" w14:textId="77777777" w:rsidR="00881B99" w:rsidRDefault="00881B99" w:rsidP="000F0BE9">
      <w:pPr>
        <w:spacing w:before="80"/>
        <w:ind w:left="454" w:right="454"/>
        <w:jc w:val="both"/>
        <w:rPr>
          <w:rFonts w:ascii="Arial" w:hAnsi="Arial" w:cs="Arial"/>
          <w:iCs/>
          <w:sz w:val="20"/>
        </w:rPr>
      </w:pPr>
      <w:r>
        <w:rPr>
          <w:rFonts w:ascii="Arial" w:hAnsi="Arial" w:cs="Arial"/>
          <w:iCs/>
          <w:sz w:val="20"/>
        </w:rPr>
        <w:t xml:space="preserve">"[In] </w:t>
      </w:r>
      <w:r>
        <w:rPr>
          <w:rFonts w:ascii="Arial" w:hAnsi="Arial" w:cs="Arial"/>
          <w:i/>
          <w:sz w:val="20"/>
        </w:rPr>
        <w:t>Kowal v Zoccoli</w:t>
      </w:r>
      <w:r>
        <w:rPr>
          <w:rFonts w:ascii="Arial" w:hAnsi="Arial" w:cs="Arial"/>
          <w:iCs/>
          <w:sz w:val="20"/>
        </w:rPr>
        <w:t xml:space="preserve"> (2002) 4 VR 399 [t]he Court of Appeal held that a party was not entitled to compensation for loss of income.  However it was recognized in that case that a party was </w:t>
      </w:r>
      <w:r>
        <w:rPr>
          <w:rFonts w:ascii="Arial" w:hAnsi="Arial" w:cs="Arial"/>
          <w:iCs/>
          <w:sz w:val="20"/>
        </w:rPr>
        <w:lastRenderedPageBreak/>
        <w:t xml:space="preserve">entitled to witness' expenses.  The High Court said in </w:t>
      </w:r>
      <w:r>
        <w:rPr>
          <w:rFonts w:ascii="Arial" w:hAnsi="Arial" w:cs="Arial"/>
          <w:i/>
          <w:sz w:val="20"/>
        </w:rPr>
        <w:t>Cachia v Hanes</w:t>
      </w:r>
      <w:r>
        <w:rPr>
          <w:rFonts w:ascii="Arial" w:hAnsi="Arial" w:cs="Arial"/>
          <w:iCs/>
          <w:sz w:val="20"/>
        </w:rPr>
        <w:t xml:space="preserve"> (1994) 179 CLR 403: 'Of course a litigant who qualifies as a witness is entitled to the ordinary witness's fees.' The law permits a party who is a necessary witness to be allowed his loss of time in the same way as a witness who is not a party.  See </w:t>
      </w:r>
      <w:smartTag w:uri="urn:schemas-microsoft-com:office:smarttags" w:element="place">
        <w:smartTag w:uri="urn:schemas-microsoft-com:office:smarttags" w:element="City">
          <w:r>
            <w:rPr>
              <w:rFonts w:ascii="Arial" w:hAnsi="Arial" w:cs="Arial"/>
              <w:i/>
              <w:sz w:val="20"/>
            </w:rPr>
            <w:t>Harbin</w:t>
          </w:r>
        </w:smartTag>
      </w:smartTag>
      <w:r>
        <w:rPr>
          <w:rFonts w:ascii="Arial" w:hAnsi="Arial" w:cs="Arial"/>
          <w:i/>
          <w:sz w:val="20"/>
        </w:rPr>
        <w:t xml:space="preserve"> v Gordon</w:t>
      </w:r>
      <w:r>
        <w:rPr>
          <w:rFonts w:ascii="Arial" w:hAnsi="Arial" w:cs="Arial"/>
          <w:iCs/>
          <w:sz w:val="20"/>
        </w:rPr>
        <w:t xml:space="preserve"> [1914] 2 KB 577 at 586 and </w:t>
      </w:r>
      <w:r>
        <w:rPr>
          <w:rFonts w:ascii="Arial" w:hAnsi="Arial" w:cs="Arial"/>
          <w:i/>
          <w:sz w:val="20"/>
        </w:rPr>
        <w:t>McCoughtry v Schrick</w:t>
      </w:r>
      <w:r>
        <w:rPr>
          <w:rFonts w:ascii="Arial" w:hAnsi="Arial" w:cs="Arial"/>
          <w:iCs/>
          <w:sz w:val="20"/>
        </w:rPr>
        <w:t xml:space="preserve"> [1947] VLR 342."</w:t>
      </w:r>
    </w:p>
    <w:p w14:paraId="713ED29A" w14:textId="77777777" w:rsidR="00881B99" w:rsidRDefault="00881B99" w:rsidP="00881B99">
      <w:pPr>
        <w:jc w:val="both"/>
        <w:rPr>
          <w:rFonts w:ascii="Arial" w:hAnsi="Arial" w:cs="Arial"/>
          <w:sz w:val="20"/>
        </w:rPr>
      </w:pPr>
    </w:p>
    <w:p w14:paraId="122246C6" w14:textId="77777777" w:rsidR="00A959E9" w:rsidRDefault="00881B99" w:rsidP="00881B99">
      <w:pPr>
        <w:jc w:val="both"/>
        <w:rPr>
          <w:rFonts w:ascii="Arial" w:hAnsi="Arial" w:cs="Arial"/>
          <w:sz w:val="20"/>
        </w:rPr>
      </w:pPr>
      <w:r>
        <w:rPr>
          <w:rFonts w:ascii="Arial" w:hAnsi="Arial" w:cs="Arial"/>
          <w:sz w:val="20"/>
        </w:rPr>
        <w:t xml:space="preserve">In </w:t>
      </w:r>
      <w:r w:rsidRPr="00DE762A">
        <w:rPr>
          <w:rFonts w:ascii="Arial" w:hAnsi="Arial" w:cs="Arial"/>
          <w:i/>
          <w:sz w:val="20"/>
        </w:rPr>
        <w:t>LG</w:t>
      </w:r>
      <w:r>
        <w:rPr>
          <w:rFonts w:ascii="Arial" w:hAnsi="Arial" w:cs="Arial"/>
          <w:i/>
          <w:sz w:val="20"/>
        </w:rPr>
        <w:t xml:space="preserve"> &amp; EG</w:t>
      </w:r>
      <w:r w:rsidRPr="00DE762A">
        <w:rPr>
          <w:rFonts w:ascii="Arial" w:hAnsi="Arial" w:cs="Arial"/>
          <w:i/>
          <w:sz w:val="20"/>
        </w:rPr>
        <w:t xml:space="preserve"> v Melbourne Health</w:t>
      </w:r>
      <w:r>
        <w:rPr>
          <w:rFonts w:ascii="Arial" w:hAnsi="Arial" w:cs="Arial"/>
          <w:sz w:val="20"/>
        </w:rPr>
        <w:t xml:space="preserve"> [2019] VSC 183 a self-represented litigant </w:t>
      </w:r>
      <w:r w:rsidR="007D1264">
        <w:rPr>
          <w:rFonts w:ascii="Arial" w:hAnsi="Arial" w:cs="Arial"/>
          <w:sz w:val="20"/>
        </w:rPr>
        <w:t xml:space="preserve">EG </w:t>
      </w:r>
      <w:r>
        <w:rPr>
          <w:rFonts w:ascii="Arial" w:hAnsi="Arial" w:cs="Arial"/>
          <w:sz w:val="20"/>
        </w:rPr>
        <w:t xml:space="preserve">was legally qualified and admitted to practice but did not hold a current practising certificate.  In refusing to make an order for payment of the otherwise successful litigant’s professional costs </w:t>
      </w:r>
      <w:r w:rsidR="007D1264">
        <w:rPr>
          <w:rFonts w:ascii="Arial" w:hAnsi="Arial" w:cs="Arial"/>
          <w:sz w:val="20"/>
        </w:rPr>
        <w:t xml:space="preserve">at [111] </w:t>
      </w:r>
      <w:r>
        <w:rPr>
          <w:rFonts w:ascii="Arial" w:hAnsi="Arial" w:cs="Arial"/>
          <w:sz w:val="20"/>
        </w:rPr>
        <w:t xml:space="preserve">Richards J applied the rule in </w:t>
      </w:r>
      <w:r>
        <w:rPr>
          <w:rFonts w:ascii="Arial" w:hAnsi="Arial" w:cs="Arial"/>
          <w:i/>
          <w:sz w:val="20"/>
        </w:rPr>
        <w:t>Cachia v Hanes</w:t>
      </w:r>
      <w:r>
        <w:rPr>
          <w:rFonts w:ascii="Arial" w:hAnsi="Arial" w:cs="Arial"/>
          <w:iCs/>
          <w:sz w:val="20"/>
        </w:rPr>
        <w:t xml:space="preserve"> (1994) 179 CLR 403 </w:t>
      </w:r>
      <w:r w:rsidR="007D1264">
        <w:rPr>
          <w:rFonts w:ascii="Arial" w:hAnsi="Arial" w:cs="Arial"/>
          <w:iCs/>
          <w:sz w:val="20"/>
        </w:rPr>
        <w:t xml:space="preserve">that “a costs order should not be made to reimburse a self-represented litigant for the time they spend in preparing for and arguing their case, but is limited to money paid or liabilities incurred for professional legal services.”  Richards J went on to hold at [113] </w:t>
      </w:r>
      <w:r>
        <w:rPr>
          <w:rFonts w:ascii="Arial" w:hAnsi="Arial" w:cs="Arial"/>
          <w:iCs/>
          <w:sz w:val="20"/>
        </w:rPr>
        <w:t xml:space="preserve">that the narrow exception to this principle drawn from </w:t>
      </w:r>
      <w:r w:rsidRPr="00DE762A">
        <w:rPr>
          <w:rFonts w:ascii="Arial" w:hAnsi="Arial" w:cs="Arial"/>
          <w:i/>
          <w:sz w:val="20"/>
        </w:rPr>
        <w:t xml:space="preserve">The London Scottish Benefit Society v Chorley, Crawford and Chester </w:t>
      </w:r>
      <w:r w:rsidRPr="00DE762A">
        <w:rPr>
          <w:rFonts w:ascii="Arial" w:hAnsi="Arial" w:cs="Arial"/>
          <w:sz w:val="20"/>
        </w:rPr>
        <w:t xml:space="preserve">(1884) 13 QBD 872 </w:t>
      </w:r>
      <w:r w:rsidR="007D1264">
        <w:rPr>
          <w:rFonts w:ascii="Arial" w:hAnsi="Arial" w:cs="Arial"/>
          <w:sz w:val="20"/>
        </w:rPr>
        <w:t xml:space="preserve">and </w:t>
      </w:r>
      <w:r w:rsidRPr="00DE762A">
        <w:rPr>
          <w:rFonts w:ascii="Arial" w:hAnsi="Arial" w:cs="Arial"/>
          <w:sz w:val="20"/>
        </w:rPr>
        <w:t xml:space="preserve">followed by the High Court in </w:t>
      </w:r>
      <w:r>
        <w:rPr>
          <w:rFonts w:ascii="Arial" w:hAnsi="Arial" w:cs="Arial"/>
          <w:i/>
          <w:sz w:val="20"/>
        </w:rPr>
        <w:t>Guss v Veenhuizen (No</w:t>
      </w:r>
      <w:r w:rsidR="00A959E9">
        <w:rPr>
          <w:rFonts w:ascii="Arial" w:hAnsi="Arial" w:cs="Arial"/>
          <w:i/>
          <w:sz w:val="20"/>
        </w:rPr>
        <w:t> </w:t>
      </w:r>
      <w:r>
        <w:rPr>
          <w:rFonts w:ascii="Arial" w:hAnsi="Arial" w:cs="Arial"/>
          <w:i/>
          <w:sz w:val="20"/>
        </w:rPr>
        <w:t xml:space="preserve">2) </w:t>
      </w:r>
      <w:r w:rsidRPr="00DE762A">
        <w:rPr>
          <w:rFonts w:ascii="Arial" w:hAnsi="Arial" w:cs="Arial"/>
          <w:sz w:val="20"/>
        </w:rPr>
        <w:t xml:space="preserve">(1976) 136 CLR 47 </w:t>
      </w:r>
      <w:r>
        <w:rPr>
          <w:rFonts w:ascii="Arial" w:hAnsi="Arial" w:cs="Arial"/>
          <w:sz w:val="20"/>
        </w:rPr>
        <w:t xml:space="preserve">applies only to a lawyer entitled to practice.  The order for costs in </w:t>
      </w:r>
      <w:r w:rsidR="007D1264">
        <w:rPr>
          <w:rFonts w:ascii="Arial" w:hAnsi="Arial" w:cs="Arial"/>
          <w:sz w:val="20"/>
        </w:rPr>
        <w:t xml:space="preserve">favour of the appellant EG </w:t>
      </w:r>
      <w:r>
        <w:rPr>
          <w:rFonts w:ascii="Arial" w:hAnsi="Arial" w:cs="Arial"/>
          <w:sz w:val="20"/>
        </w:rPr>
        <w:t xml:space="preserve">was limited to expenses reasonably incurred by </w:t>
      </w:r>
      <w:r w:rsidR="007D1264">
        <w:rPr>
          <w:rFonts w:ascii="Arial" w:hAnsi="Arial" w:cs="Arial"/>
          <w:sz w:val="20"/>
        </w:rPr>
        <w:t>EG</w:t>
      </w:r>
      <w:r>
        <w:rPr>
          <w:rFonts w:ascii="Arial" w:hAnsi="Arial" w:cs="Arial"/>
          <w:sz w:val="20"/>
        </w:rPr>
        <w:t xml:space="preserve"> in relation to the proceeding, including for interpreters, but did not include any amount by way of professional costs for work done by </w:t>
      </w:r>
      <w:r w:rsidR="007D1264">
        <w:rPr>
          <w:rFonts w:ascii="Arial" w:hAnsi="Arial" w:cs="Arial"/>
          <w:sz w:val="20"/>
        </w:rPr>
        <w:t>him</w:t>
      </w:r>
      <w:r>
        <w:rPr>
          <w:rFonts w:ascii="Arial" w:hAnsi="Arial" w:cs="Arial"/>
          <w:sz w:val="20"/>
        </w:rPr>
        <w:t xml:space="preserve"> in relation to the proceeding.</w:t>
      </w:r>
    </w:p>
    <w:p w14:paraId="4801D1E7" w14:textId="77777777" w:rsidR="00881B99" w:rsidRPr="008322D5" w:rsidRDefault="008322D5" w:rsidP="00A959E9">
      <w:pPr>
        <w:spacing w:before="120"/>
        <w:jc w:val="both"/>
        <w:rPr>
          <w:rFonts w:ascii="Arial" w:hAnsi="Arial" w:cs="Arial"/>
          <w:sz w:val="16"/>
          <w:szCs w:val="20"/>
        </w:rPr>
      </w:pPr>
      <w:r>
        <w:rPr>
          <w:rFonts w:ascii="Arial" w:hAnsi="Arial" w:cs="Arial"/>
          <w:sz w:val="20"/>
        </w:rPr>
        <w:t xml:space="preserve">EG’s application for leave to appeal was run on a different basis, namely that he was entitled to costs for acting on behalf of his mother LG </w:t>
      </w:r>
      <w:r w:rsidR="00A959E9">
        <w:rPr>
          <w:rFonts w:ascii="Arial" w:hAnsi="Arial" w:cs="Arial"/>
          <w:sz w:val="20"/>
        </w:rPr>
        <w:t xml:space="preserve">in the VCAT hearing </w:t>
      </w:r>
      <w:r>
        <w:rPr>
          <w:rFonts w:ascii="Arial" w:hAnsi="Arial" w:cs="Arial"/>
          <w:sz w:val="20"/>
        </w:rPr>
        <w:t xml:space="preserve">as a professional advocate under ss.62(1)(b)(ii) &amp; 109(1) of the </w:t>
      </w:r>
      <w:r w:rsidRPr="008322D5">
        <w:rPr>
          <w:rFonts w:ascii="Arial" w:eastAsia="Book Antiqua" w:hAnsi="Arial" w:cs="Arial"/>
          <w:i/>
          <w:sz w:val="20"/>
          <w:szCs w:val="20"/>
        </w:rPr>
        <w:t>Victorian Civil and Administrative Tribunal Act 1998</w:t>
      </w:r>
      <w:r>
        <w:rPr>
          <w:rFonts w:ascii="Arial" w:eastAsia="Book Antiqua" w:hAnsi="Arial" w:cs="Arial"/>
          <w:i/>
          <w:sz w:val="20"/>
          <w:szCs w:val="20"/>
        </w:rPr>
        <w:t>.</w:t>
      </w:r>
      <w:r w:rsidRPr="008322D5">
        <w:rPr>
          <w:rFonts w:ascii="Arial" w:eastAsia="Book Antiqua" w:hAnsi="Arial" w:cs="Arial"/>
          <w:iCs/>
          <w:sz w:val="20"/>
          <w:szCs w:val="20"/>
        </w:rPr>
        <w:t xml:space="preserve">  The Court of Appeal </w:t>
      </w:r>
      <w:r>
        <w:rPr>
          <w:rFonts w:ascii="Arial" w:eastAsia="Book Antiqua" w:hAnsi="Arial" w:cs="Arial"/>
          <w:iCs/>
          <w:sz w:val="20"/>
          <w:szCs w:val="20"/>
        </w:rPr>
        <w:t xml:space="preserve">refused leave to EG to rely on ‘fresh evidence’ of his retainer to provide professional services to his mother: see </w:t>
      </w:r>
      <w:r w:rsidR="00881B99">
        <w:rPr>
          <w:rFonts w:ascii="Arial" w:hAnsi="Arial" w:cs="Arial"/>
          <w:sz w:val="20"/>
        </w:rPr>
        <w:t>[2020] VSCA 64</w:t>
      </w:r>
      <w:r>
        <w:rPr>
          <w:rFonts w:ascii="Arial" w:hAnsi="Arial" w:cs="Arial"/>
          <w:sz w:val="20"/>
        </w:rPr>
        <w:t>.</w:t>
      </w:r>
    </w:p>
    <w:p w14:paraId="08DE58B2" w14:textId="135C5506" w:rsidR="00881B99" w:rsidRDefault="00A959E9" w:rsidP="008322D5">
      <w:pPr>
        <w:spacing w:before="120"/>
        <w:jc w:val="both"/>
        <w:rPr>
          <w:rFonts w:ascii="Arial" w:hAnsi="Arial" w:cs="Arial"/>
          <w:sz w:val="20"/>
        </w:rPr>
      </w:pPr>
      <w:r>
        <w:rPr>
          <w:rFonts w:ascii="Arial" w:hAnsi="Arial" w:cs="Arial"/>
          <w:sz w:val="20"/>
        </w:rPr>
        <w:t xml:space="preserve">The principal costs arguments raised by the parties before Richards J had concerned the costs of the successful appeal before Richards J where EG had relied upon the </w:t>
      </w:r>
      <w:r w:rsidRPr="00A959E9">
        <w:rPr>
          <w:rFonts w:ascii="Arial" w:hAnsi="Arial" w:cs="Arial"/>
          <w:i/>
          <w:iCs/>
          <w:sz w:val="20"/>
        </w:rPr>
        <w:t>Chorley</w:t>
      </w:r>
      <w:r>
        <w:rPr>
          <w:rFonts w:ascii="Arial" w:hAnsi="Arial" w:cs="Arial"/>
          <w:sz w:val="20"/>
        </w:rPr>
        <w:t xml:space="preserve"> exception.  EG did not pursue that issue before the Court of Appeal as he accepted that the </w:t>
      </w:r>
      <w:r w:rsidRPr="00A959E9">
        <w:rPr>
          <w:rFonts w:ascii="Arial" w:hAnsi="Arial" w:cs="Arial"/>
          <w:i/>
          <w:iCs/>
          <w:sz w:val="20"/>
        </w:rPr>
        <w:t>Chorley</w:t>
      </w:r>
      <w:r>
        <w:rPr>
          <w:rFonts w:ascii="Arial" w:hAnsi="Arial" w:cs="Arial"/>
          <w:sz w:val="20"/>
        </w:rPr>
        <w:t xml:space="preserve"> exception no longer exists in Australia following the subsequent decision of the High Court in </w:t>
      </w:r>
      <w:r w:rsidRPr="00A959E9">
        <w:rPr>
          <w:rFonts w:ascii="Arial" w:hAnsi="Arial" w:cs="Arial"/>
          <w:i/>
          <w:iCs/>
          <w:sz w:val="20"/>
        </w:rPr>
        <w:t>Bell Lawyers Pty Ltd v Pentelow</w:t>
      </w:r>
      <w:r>
        <w:rPr>
          <w:rFonts w:ascii="Arial" w:hAnsi="Arial" w:cs="Arial"/>
          <w:sz w:val="20"/>
        </w:rPr>
        <w:t xml:space="preserve"> (2019) </w:t>
      </w:r>
      <w:r w:rsidR="002D6C1B">
        <w:rPr>
          <w:rFonts w:ascii="Arial" w:hAnsi="Arial" w:cs="Arial"/>
          <w:sz w:val="20"/>
        </w:rPr>
        <w:t>269 CLR 333</w:t>
      </w:r>
      <w:r>
        <w:rPr>
          <w:rFonts w:ascii="Arial" w:hAnsi="Arial" w:cs="Arial"/>
          <w:sz w:val="20"/>
        </w:rPr>
        <w:t xml:space="preserve">; [2019] HCA 29.  In </w:t>
      </w:r>
      <w:r w:rsidR="00AA348D" w:rsidRPr="00AA348D">
        <w:rPr>
          <w:rFonts w:ascii="Arial" w:hAnsi="Arial" w:cs="Arial"/>
          <w:i/>
          <w:iCs/>
          <w:sz w:val="20"/>
        </w:rPr>
        <w:t>Bell Lawyers</w:t>
      </w:r>
      <w:r w:rsidR="00AA348D">
        <w:rPr>
          <w:rFonts w:ascii="Arial" w:hAnsi="Arial" w:cs="Arial"/>
          <w:sz w:val="20"/>
        </w:rPr>
        <w:t xml:space="preserve"> at [1]-[3] Kiefel CJ, Bell, Keane &amp; Gordon J (with whom Gageler &amp; Edelman JJ agreed) said:</w:t>
      </w:r>
    </w:p>
    <w:p w14:paraId="54FD6CF8" w14:textId="77777777" w:rsidR="00AA348D" w:rsidRDefault="00AA348D" w:rsidP="00AA348D">
      <w:pPr>
        <w:spacing w:before="80"/>
        <w:ind w:left="454" w:right="454"/>
        <w:jc w:val="both"/>
        <w:rPr>
          <w:rFonts w:ascii="Arial" w:hAnsi="Arial" w:cs="Arial"/>
          <w:sz w:val="20"/>
          <w:szCs w:val="20"/>
        </w:rPr>
      </w:pPr>
      <w:r>
        <w:rPr>
          <w:rFonts w:ascii="Arial" w:hAnsi="Arial" w:cs="Arial"/>
          <w:iCs/>
          <w:sz w:val="20"/>
        </w:rPr>
        <w:t>[1] “</w:t>
      </w:r>
      <w:r w:rsidRPr="00AA348D">
        <w:rPr>
          <w:rFonts w:ascii="Arial" w:hAnsi="Arial" w:cs="Arial"/>
          <w:sz w:val="20"/>
          <w:szCs w:val="20"/>
        </w:rPr>
        <w:t>As a general rule, a self-represented litigant may not obtain any recompense for the value of his or her time spent in litigation</w:t>
      </w:r>
      <w:r>
        <w:rPr>
          <w:rFonts w:ascii="Arial" w:hAnsi="Arial" w:cs="Arial"/>
          <w:sz w:val="20"/>
          <w:szCs w:val="20"/>
        </w:rPr>
        <w:t xml:space="preserve">: </w:t>
      </w:r>
      <w:r w:rsidRPr="00AA348D">
        <w:rPr>
          <w:rFonts w:ascii="Arial" w:hAnsi="Arial" w:cs="Arial"/>
          <w:i/>
          <w:sz w:val="20"/>
          <w:szCs w:val="20"/>
        </w:rPr>
        <w:t xml:space="preserve">Cachia v Hanes </w:t>
      </w:r>
      <w:r w:rsidRPr="00AA348D">
        <w:rPr>
          <w:rFonts w:ascii="Arial" w:hAnsi="Arial" w:cs="Arial"/>
          <w:sz w:val="20"/>
          <w:szCs w:val="20"/>
        </w:rPr>
        <w:t xml:space="preserve">(1994) 179 CLR 403 at 410-411; [1994] HCA 14.  See also </w:t>
      </w:r>
      <w:r w:rsidRPr="00AA348D">
        <w:rPr>
          <w:rFonts w:ascii="Arial" w:hAnsi="Arial" w:cs="Arial"/>
          <w:i/>
          <w:sz w:val="20"/>
          <w:szCs w:val="20"/>
        </w:rPr>
        <w:t xml:space="preserve">Guss v Veenhuizen [No 2] </w:t>
      </w:r>
      <w:r w:rsidRPr="00AA348D">
        <w:rPr>
          <w:rFonts w:ascii="Arial" w:hAnsi="Arial" w:cs="Arial"/>
          <w:sz w:val="20"/>
          <w:szCs w:val="20"/>
        </w:rPr>
        <w:t xml:space="preserve">(1976) 136 CLR 47 at 51; [1976] HCA 57.  Under an exception to the general rule, a self-represented litigant who happens to be a solicitor may recover his or her professional costs of acting in the litigation.  This exception is commonly referred to as "the </w:t>
      </w:r>
      <w:r w:rsidRPr="00AA348D">
        <w:rPr>
          <w:rFonts w:ascii="Arial" w:hAnsi="Arial" w:cs="Arial"/>
          <w:i/>
          <w:sz w:val="20"/>
          <w:szCs w:val="20"/>
        </w:rPr>
        <w:t xml:space="preserve">Chorley </w:t>
      </w:r>
      <w:r w:rsidRPr="00AA348D">
        <w:rPr>
          <w:rFonts w:ascii="Arial" w:hAnsi="Arial" w:cs="Arial"/>
          <w:sz w:val="20"/>
          <w:szCs w:val="20"/>
        </w:rPr>
        <w:t xml:space="preserve">exception", having been authoritatively established as a "rule of practice" by the Court of Appeal of England and Wales in </w:t>
      </w:r>
      <w:r w:rsidRPr="00AA348D">
        <w:rPr>
          <w:rFonts w:ascii="Arial" w:hAnsi="Arial" w:cs="Arial"/>
          <w:i/>
          <w:sz w:val="20"/>
          <w:szCs w:val="20"/>
        </w:rPr>
        <w:t>London Scottish Benefit Society v Chorley</w:t>
      </w:r>
      <w:r>
        <w:rPr>
          <w:rFonts w:ascii="Arial" w:hAnsi="Arial" w:cs="Arial"/>
          <w:i/>
          <w:sz w:val="20"/>
          <w:szCs w:val="20"/>
        </w:rPr>
        <w:t xml:space="preserve"> </w:t>
      </w:r>
      <w:r w:rsidRPr="00AA348D">
        <w:rPr>
          <w:rFonts w:ascii="Arial" w:hAnsi="Arial" w:cs="Arial"/>
          <w:sz w:val="20"/>
          <w:szCs w:val="20"/>
        </w:rPr>
        <w:t>(1884) 13 QBD 872 at 877.</w:t>
      </w:r>
    </w:p>
    <w:p w14:paraId="194A4ACD" w14:textId="77777777" w:rsidR="00AA348D" w:rsidRDefault="00AA348D" w:rsidP="00AA348D">
      <w:pPr>
        <w:spacing w:before="80"/>
        <w:ind w:left="454" w:right="454"/>
        <w:jc w:val="both"/>
        <w:rPr>
          <w:rFonts w:ascii="Arial" w:hAnsi="Arial" w:cs="Arial"/>
          <w:sz w:val="20"/>
          <w:szCs w:val="20"/>
        </w:rPr>
      </w:pPr>
      <w:r>
        <w:rPr>
          <w:rFonts w:ascii="Arial" w:hAnsi="Arial" w:cs="Arial"/>
          <w:sz w:val="20"/>
          <w:szCs w:val="20"/>
        </w:rPr>
        <w:t xml:space="preserve">[2] One issue raised </w:t>
      </w:r>
      <w:r w:rsidRPr="00AA348D">
        <w:rPr>
          <w:rFonts w:ascii="Arial" w:hAnsi="Arial" w:cs="Arial"/>
          <w:sz w:val="20"/>
          <w:szCs w:val="20"/>
        </w:rPr>
        <w:t xml:space="preserve">by this appeal is whether the </w:t>
      </w:r>
      <w:r w:rsidRPr="00AA348D">
        <w:rPr>
          <w:rFonts w:ascii="Arial" w:hAnsi="Arial" w:cs="Arial"/>
          <w:i/>
          <w:sz w:val="20"/>
          <w:szCs w:val="20"/>
        </w:rPr>
        <w:t xml:space="preserve">Chorley </w:t>
      </w:r>
      <w:r w:rsidRPr="00AA348D">
        <w:rPr>
          <w:rFonts w:ascii="Arial" w:hAnsi="Arial" w:cs="Arial"/>
          <w:sz w:val="20"/>
          <w:szCs w:val="20"/>
        </w:rPr>
        <w:t xml:space="preserve">exception operates to the benefit of barristers who represent themselves.  Another, more fundamental, issue is whether the </w:t>
      </w:r>
      <w:r w:rsidRPr="00AA348D">
        <w:rPr>
          <w:rFonts w:ascii="Arial" w:hAnsi="Arial" w:cs="Arial"/>
          <w:i/>
          <w:sz w:val="20"/>
          <w:szCs w:val="20"/>
        </w:rPr>
        <w:t xml:space="preserve">Chorley </w:t>
      </w:r>
      <w:r w:rsidRPr="00AA348D">
        <w:rPr>
          <w:rFonts w:ascii="Arial" w:hAnsi="Arial" w:cs="Arial"/>
          <w:sz w:val="20"/>
          <w:szCs w:val="20"/>
        </w:rPr>
        <w:t>exception should be recognised as part of the common law of Australia.</w:t>
      </w:r>
    </w:p>
    <w:p w14:paraId="522452BE" w14:textId="77777777" w:rsidR="00AA348D" w:rsidRPr="00AA348D" w:rsidRDefault="00AA348D" w:rsidP="00AA348D">
      <w:pPr>
        <w:spacing w:before="80"/>
        <w:ind w:left="454" w:right="454"/>
        <w:jc w:val="both"/>
        <w:rPr>
          <w:rFonts w:ascii="Arial" w:hAnsi="Arial" w:cs="Arial"/>
          <w:iCs/>
          <w:sz w:val="16"/>
          <w:szCs w:val="20"/>
        </w:rPr>
      </w:pPr>
      <w:r>
        <w:rPr>
          <w:rFonts w:ascii="Arial" w:hAnsi="Arial" w:cs="Arial"/>
          <w:sz w:val="20"/>
          <w:szCs w:val="20"/>
        </w:rPr>
        <w:t xml:space="preserve">[3] </w:t>
      </w:r>
      <w:r w:rsidRPr="00AA348D">
        <w:rPr>
          <w:rFonts w:ascii="Arial" w:hAnsi="Arial" w:cs="Arial"/>
          <w:sz w:val="20"/>
          <w:szCs w:val="20"/>
        </w:rPr>
        <w:t xml:space="preserve">The </w:t>
      </w:r>
      <w:r w:rsidRPr="00AA348D">
        <w:rPr>
          <w:rFonts w:ascii="Arial" w:hAnsi="Arial" w:cs="Arial"/>
          <w:i/>
          <w:sz w:val="20"/>
          <w:szCs w:val="20"/>
        </w:rPr>
        <w:t xml:space="preserve">Chorley </w:t>
      </w:r>
      <w:r w:rsidRPr="00AA348D">
        <w:rPr>
          <w:rFonts w:ascii="Arial" w:hAnsi="Arial" w:cs="Arial"/>
          <w:sz w:val="20"/>
          <w:szCs w:val="20"/>
        </w:rPr>
        <w:t xml:space="preserve">exception has rightly been described by this Court as </w:t>
      </w:r>
      <w:r>
        <w:rPr>
          <w:rFonts w:ascii="Arial" w:hAnsi="Arial" w:cs="Arial"/>
          <w:sz w:val="20"/>
          <w:szCs w:val="20"/>
        </w:rPr>
        <w:t>‘</w:t>
      </w:r>
      <w:r w:rsidRPr="00AA348D">
        <w:rPr>
          <w:rFonts w:ascii="Arial" w:hAnsi="Arial" w:cs="Arial"/>
          <w:sz w:val="20"/>
          <w:szCs w:val="20"/>
        </w:rPr>
        <w:t>anomalous</w:t>
      </w:r>
      <w:r>
        <w:rPr>
          <w:rFonts w:ascii="Arial" w:hAnsi="Arial" w:cs="Arial"/>
          <w:sz w:val="20"/>
          <w:szCs w:val="20"/>
        </w:rPr>
        <w:t xml:space="preserve">’: </w:t>
      </w:r>
      <w:r w:rsidRPr="00AA348D">
        <w:rPr>
          <w:rFonts w:ascii="Arial" w:hAnsi="Arial" w:cs="Arial"/>
          <w:i/>
          <w:sz w:val="20"/>
          <w:szCs w:val="20"/>
        </w:rPr>
        <w:t xml:space="preserve">Cachia v Hanes </w:t>
      </w:r>
      <w:r w:rsidRPr="00AA348D">
        <w:rPr>
          <w:rFonts w:ascii="Arial" w:hAnsi="Arial" w:cs="Arial"/>
          <w:sz w:val="20"/>
          <w:szCs w:val="20"/>
        </w:rPr>
        <w:t>at 411.  Because it is anomalous, it should not be extended by judicial decision</w:t>
      </w:r>
      <w:r w:rsidR="005B1EBA">
        <w:rPr>
          <w:rFonts w:ascii="Arial" w:hAnsi="Arial" w:cs="Arial"/>
          <w:sz w:val="20"/>
          <w:szCs w:val="20"/>
        </w:rPr>
        <w:t xml:space="preserve"> {</w:t>
      </w:r>
      <w:r w:rsidR="005B1EBA" w:rsidRPr="005B1EBA">
        <w:rPr>
          <w:rFonts w:ascii="Arial" w:hAnsi="Arial" w:cs="Arial"/>
          <w:i/>
          <w:sz w:val="20"/>
          <w:szCs w:val="20"/>
        </w:rPr>
        <w:t xml:space="preserve">Midgley v Midgley </w:t>
      </w:r>
      <w:r w:rsidR="005B1EBA" w:rsidRPr="005B1EBA">
        <w:rPr>
          <w:rFonts w:ascii="Arial" w:hAnsi="Arial" w:cs="Arial"/>
          <w:sz w:val="20"/>
          <w:szCs w:val="20"/>
        </w:rPr>
        <w:t xml:space="preserve">[1893] 3 Ch 282 at 299, 303, 306-307; </w:t>
      </w:r>
      <w:r w:rsidR="005B1EBA" w:rsidRPr="005B1EBA">
        <w:rPr>
          <w:rFonts w:ascii="Arial" w:hAnsi="Arial" w:cs="Arial"/>
          <w:i/>
          <w:sz w:val="20"/>
          <w:szCs w:val="20"/>
        </w:rPr>
        <w:t xml:space="preserve">Best v Samuel Fox &amp; Co Ltd </w:t>
      </w:r>
      <w:r w:rsidR="005B1EBA" w:rsidRPr="005B1EBA">
        <w:rPr>
          <w:rFonts w:ascii="Arial" w:hAnsi="Arial" w:cs="Arial"/>
          <w:sz w:val="20"/>
          <w:szCs w:val="20"/>
        </w:rPr>
        <w:t xml:space="preserve">[1952] AC 716 at 728, 733; </w:t>
      </w:r>
      <w:r w:rsidR="005B1EBA" w:rsidRPr="005B1EBA">
        <w:rPr>
          <w:rFonts w:ascii="Arial" w:hAnsi="Arial" w:cs="Arial"/>
          <w:i/>
          <w:sz w:val="20"/>
          <w:szCs w:val="20"/>
        </w:rPr>
        <w:t xml:space="preserve">Cassell &amp; Co Ltd v Broome </w:t>
      </w:r>
      <w:r w:rsidR="005B1EBA" w:rsidRPr="005B1EBA">
        <w:rPr>
          <w:rFonts w:ascii="Arial" w:hAnsi="Arial" w:cs="Arial"/>
          <w:sz w:val="20"/>
          <w:szCs w:val="20"/>
        </w:rPr>
        <w:t xml:space="preserve">[1972] AC 1027 at 1086; </w:t>
      </w:r>
      <w:r w:rsidR="005B1EBA" w:rsidRPr="005B1EBA">
        <w:rPr>
          <w:rFonts w:ascii="Arial" w:hAnsi="Arial" w:cs="Arial"/>
          <w:i/>
          <w:sz w:val="20"/>
          <w:szCs w:val="20"/>
        </w:rPr>
        <w:t xml:space="preserve">CSR Ltd v Eddy </w:t>
      </w:r>
      <w:r w:rsidR="005B1EBA" w:rsidRPr="005B1EBA">
        <w:rPr>
          <w:rFonts w:ascii="Arial" w:hAnsi="Arial" w:cs="Arial"/>
          <w:sz w:val="20"/>
          <w:szCs w:val="20"/>
        </w:rPr>
        <w:t>(2005) 226 CLR 1 at 18 [35]; [2005] HCA 64</w:t>
      </w:r>
      <w:r w:rsidR="005B1EBA">
        <w:rPr>
          <w:rFonts w:ascii="Arial" w:hAnsi="Arial" w:cs="Arial"/>
          <w:sz w:val="20"/>
          <w:szCs w:val="20"/>
        </w:rPr>
        <w:t>}</w:t>
      </w:r>
      <w:r w:rsidRPr="005B1EBA">
        <w:rPr>
          <w:rFonts w:ascii="Arial" w:hAnsi="Arial" w:cs="Arial"/>
          <w:sz w:val="16"/>
          <w:szCs w:val="16"/>
        </w:rPr>
        <w:t xml:space="preserve"> </w:t>
      </w:r>
      <w:r w:rsidRPr="00AA348D">
        <w:rPr>
          <w:rFonts w:ascii="Arial" w:hAnsi="Arial" w:cs="Arial"/>
          <w:sz w:val="20"/>
          <w:szCs w:val="20"/>
        </w:rPr>
        <w:t>to the benefit of barristers.  This view has previously been taken by some courts in Australia</w:t>
      </w:r>
      <w:r w:rsidR="00474886">
        <w:rPr>
          <w:rFonts w:ascii="Arial" w:hAnsi="Arial" w:cs="Arial"/>
          <w:sz w:val="20"/>
          <w:szCs w:val="20"/>
        </w:rPr>
        <w:t>.  S</w:t>
      </w:r>
      <w:r w:rsidR="005B1EBA" w:rsidRPr="005B1EBA">
        <w:rPr>
          <w:rFonts w:ascii="Arial" w:hAnsi="Arial" w:cs="Arial"/>
          <w:sz w:val="20"/>
          <w:szCs w:val="20"/>
        </w:rPr>
        <w:t xml:space="preserve">ee </w:t>
      </w:r>
      <w:r w:rsidR="005B1EBA" w:rsidRPr="005B1EBA">
        <w:rPr>
          <w:rFonts w:ascii="Arial" w:hAnsi="Arial" w:cs="Arial"/>
          <w:i/>
          <w:sz w:val="20"/>
          <w:szCs w:val="20"/>
        </w:rPr>
        <w:t xml:space="preserve">Hartford Holdings Pty Ltd v CP (Adelaide) Pty Ltd </w:t>
      </w:r>
      <w:r w:rsidR="005B1EBA" w:rsidRPr="005B1EBA">
        <w:rPr>
          <w:rFonts w:ascii="Arial" w:hAnsi="Arial" w:cs="Arial"/>
          <w:sz w:val="20"/>
          <w:szCs w:val="20"/>
        </w:rPr>
        <w:t xml:space="preserve">[2004] SASC 161 at [125]; </w:t>
      </w:r>
      <w:r w:rsidR="005B1EBA" w:rsidRPr="005B1EBA">
        <w:rPr>
          <w:rFonts w:ascii="Arial" w:hAnsi="Arial" w:cs="Arial"/>
          <w:i/>
          <w:sz w:val="20"/>
          <w:szCs w:val="20"/>
        </w:rPr>
        <w:t xml:space="preserve">Winn v Garland Hawthorn Brahe (Ruling No 1) </w:t>
      </w:r>
      <w:r w:rsidR="005B1EBA" w:rsidRPr="005B1EBA">
        <w:rPr>
          <w:rFonts w:ascii="Arial" w:hAnsi="Arial" w:cs="Arial"/>
          <w:sz w:val="20"/>
          <w:szCs w:val="20"/>
        </w:rPr>
        <w:t xml:space="preserve">[2007] VSC 360 at [10]-[11]; </w:t>
      </w:r>
      <w:r w:rsidR="005B1EBA" w:rsidRPr="005B1EBA">
        <w:rPr>
          <w:rFonts w:ascii="Arial" w:hAnsi="Arial" w:cs="Arial"/>
          <w:i/>
          <w:sz w:val="20"/>
          <w:szCs w:val="20"/>
        </w:rPr>
        <w:t xml:space="preserve">Murphy v Legal Services Commissioner [No 2] </w:t>
      </w:r>
      <w:r w:rsidR="005B1EBA" w:rsidRPr="005B1EBA">
        <w:rPr>
          <w:rFonts w:ascii="Arial" w:hAnsi="Arial" w:cs="Arial"/>
          <w:sz w:val="20"/>
          <w:szCs w:val="20"/>
        </w:rPr>
        <w:t xml:space="preserve">[2013] QSC 253 at [16]; </w:t>
      </w:r>
      <w:r w:rsidR="005B1EBA" w:rsidRPr="005B1EBA">
        <w:rPr>
          <w:rFonts w:ascii="Arial" w:hAnsi="Arial" w:cs="Arial"/>
          <w:i/>
          <w:sz w:val="20"/>
          <w:szCs w:val="20"/>
        </w:rPr>
        <w:t xml:space="preserve">Bechara v Bates </w:t>
      </w:r>
      <w:r w:rsidR="005B1EBA" w:rsidRPr="005B1EBA">
        <w:rPr>
          <w:rFonts w:ascii="Arial" w:hAnsi="Arial" w:cs="Arial"/>
          <w:sz w:val="20"/>
          <w:szCs w:val="20"/>
        </w:rPr>
        <w:t xml:space="preserve">[2018] FCA 460 at [6].  But see to the contrary </w:t>
      </w:r>
      <w:r w:rsidR="005B1EBA" w:rsidRPr="005B1EBA">
        <w:rPr>
          <w:rFonts w:ascii="Arial" w:hAnsi="Arial" w:cs="Arial"/>
          <w:i/>
          <w:sz w:val="20"/>
          <w:szCs w:val="20"/>
        </w:rPr>
        <w:t xml:space="preserve">Ada Evans Chambers Pty Ltd v Santisi </w:t>
      </w:r>
      <w:r w:rsidR="005B1EBA" w:rsidRPr="005B1EBA">
        <w:rPr>
          <w:rFonts w:ascii="Arial" w:hAnsi="Arial" w:cs="Arial"/>
          <w:sz w:val="20"/>
          <w:szCs w:val="20"/>
        </w:rPr>
        <w:t>[2014] NSWSC 538 at [29].</w:t>
      </w:r>
      <w:r w:rsidRPr="00AA348D">
        <w:rPr>
          <w:rFonts w:ascii="Arial" w:hAnsi="Arial" w:cs="Arial"/>
          <w:sz w:val="20"/>
          <w:szCs w:val="20"/>
        </w:rPr>
        <w:t xml:space="preserve">  Dealing with the matter more broadly, however, the </w:t>
      </w:r>
      <w:r w:rsidRPr="00AA348D">
        <w:rPr>
          <w:rFonts w:ascii="Arial" w:hAnsi="Arial" w:cs="Arial"/>
          <w:i/>
          <w:sz w:val="20"/>
          <w:szCs w:val="20"/>
        </w:rPr>
        <w:t xml:space="preserve">Chorley </w:t>
      </w:r>
      <w:r w:rsidRPr="00AA348D">
        <w:rPr>
          <w:rFonts w:ascii="Arial" w:hAnsi="Arial" w:cs="Arial"/>
          <w:sz w:val="20"/>
          <w:szCs w:val="20"/>
        </w:rPr>
        <w:t>exception is not only anomalous, it is an affront to the fundamental value of equality of all persons before the law.  It cannot be justified by the considerations of policy said to support it.  Accordingly, it should not be recognised as part of the common law of Australia.</w:t>
      </w:r>
      <w:r w:rsidR="005B1EBA">
        <w:rPr>
          <w:rFonts w:ascii="Arial" w:hAnsi="Arial" w:cs="Arial"/>
          <w:sz w:val="20"/>
          <w:szCs w:val="20"/>
        </w:rPr>
        <w:t>”</w:t>
      </w:r>
    </w:p>
    <w:p w14:paraId="56872CAC" w14:textId="77777777" w:rsidR="00A959E9" w:rsidRDefault="00A959E9" w:rsidP="002672DD">
      <w:pPr>
        <w:jc w:val="both"/>
        <w:rPr>
          <w:rFonts w:ascii="Arial" w:hAnsi="Arial" w:cs="Arial"/>
          <w:sz w:val="20"/>
        </w:rPr>
      </w:pPr>
    </w:p>
    <w:p w14:paraId="701CED50" w14:textId="1D63DB86" w:rsidR="00FF604F" w:rsidRPr="00F95F7C" w:rsidRDefault="00FF604F" w:rsidP="002672DD">
      <w:pPr>
        <w:jc w:val="both"/>
        <w:rPr>
          <w:rFonts w:ascii="Arial" w:hAnsi="Arial" w:cs="Arial"/>
          <w:sz w:val="20"/>
        </w:rPr>
      </w:pPr>
      <w:r>
        <w:rPr>
          <w:rFonts w:ascii="Arial" w:hAnsi="Arial" w:cs="Arial"/>
          <w:sz w:val="20"/>
        </w:rPr>
        <w:t xml:space="preserve">In </w:t>
      </w:r>
      <w:r w:rsidR="00F95F7C" w:rsidRPr="00F95F7C">
        <w:rPr>
          <w:rFonts w:ascii="Arial" w:hAnsi="Arial" w:cs="Arial"/>
          <w:i/>
          <w:iCs/>
          <w:sz w:val="20"/>
          <w:szCs w:val="20"/>
        </w:rPr>
        <w:t>McKechnie v State of Victoria (Costs Judgment)</w:t>
      </w:r>
      <w:r w:rsidR="00F95F7C" w:rsidRPr="00F95F7C">
        <w:rPr>
          <w:rFonts w:ascii="Arial" w:hAnsi="Arial" w:cs="Arial"/>
          <w:sz w:val="20"/>
          <w:szCs w:val="20"/>
        </w:rPr>
        <w:t xml:space="preserve"> [2023] VSC 234</w:t>
      </w:r>
      <w:r w:rsidR="00F95F7C">
        <w:rPr>
          <w:rFonts w:ascii="Arial" w:hAnsi="Arial" w:cs="Arial"/>
          <w:sz w:val="20"/>
          <w:szCs w:val="20"/>
        </w:rPr>
        <w:t xml:space="preserve"> at [</w:t>
      </w:r>
      <w:r w:rsidR="00CF4B0E">
        <w:rPr>
          <w:rFonts w:ascii="Arial" w:hAnsi="Arial" w:cs="Arial"/>
          <w:sz w:val="20"/>
          <w:szCs w:val="20"/>
        </w:rPr>
        <w:t>7</w:t>
      </w:r>
      <w:r w:rsidR="00F95F7C">
        <w:rPr>
          <w:rFonts w:ascii="Arial" w:hAnsi="Arial" w:cs="Arial"/>
          <w:sz w:val="20"/>
          <w:szCs w:val="20"/>
        </w:rPr>
        <w:t>]-[</w:t>
      </w:r>
      <w:r w:rsidR="00CF4B0E">
        <w:rPr>
          <w:rFonts w:ascii="Arial" w:hAnsi="Arial" w:cs="Arial"/>
          <w:sz w:val="20"/>
          <w:szCs w:val="20"/>
        </w:rPr>
        <w:t>10</w:t>
      </w:r>
      <w:r w:rsidR="00F95F7C">
        <w:rPr>
          <w:rFonts w:ascii="Arial" w:hAnsi="Arial" w:cs="Arial"/>
          <w:sz w:val="20"/>
          <w:szCs w:val="20"/>
        </w:rPr>
        <w:t>]</w:t>
      </w:r>
      <w:r w:rsidR="00F95F7C" w:rsidRPr="00F95F7C">
        <w:rPr>
          <w:rFonts w:ascii="Arial" w:hAnsi="Arial" w:cs="Arial"/>
          <w:sz w:val="20"/>
          <w:szCs w:val="20"/>
        </w:rPr>
        <w:t xml:space="preserve"> – in refusing costs to the unrepresented plaintiff following </w:t>
      </w:r>
      <w:r w:rsidR="00F95F7C">
        <w:rPr>
          <w:rFonts w:ascii="Arial" w:hAnsi="Arial" w:cs="Arial"/>
          <w:sz w:val="20"/>
          <w:szCs w:val="20"/>
        </w:rPr>
        <w:t>the dismissal of the defendant</w:t>
      </w:r>
      <w:r w:rsidR="00E37ECF">
        <w:rPr>
          <w:rFonts w:ascii="Arial" w:hAnsi="Arial" w:cs="Arial"/>
          <w:sz w:val="20"/>
          <w:szCs w:val="20"/>
        </w:rPr>
        <w:t xml:space="preserve"> State</w:t>
      </w:r>
      <w:r w:rsidR="00F95F7C">
        <w:rPr>
          <w:rFonts w:ascii="Arial" w:hAnsi="Arial" w:cs="Arial"/>
          <w:sz w:val="20"/>
          <w:szCs w:val="20"/>
        </w:rPr>
        <w:t xml:space="preserve">’s summary dismissal summons – Ginnane J also discussed the decisions of the High Court in </w:t>
      </w:r>
      <w:r w:rsidR="00F95F7C" w:rsidRPr="007F3B61">
        <w:rPr>
          <w:rFonts w:ascii="Arial" w:hAnsi="Arial" w:cs="Arial"/>
          <w:i/>
          <w:iCs/>
          <w:sz w:val="20"/>
          <w:szCs w:val="20"/>
        </w:rPr>
        <w:t>Cachia v Hanes</w:t>
      </w:r>
      <w:r w:rsidR="00F95F7C">
        <w:rPr>
          <w:rFonts w:ascii="Arial" w:hAnsi="Arial" w:cs="Arial"/>
          <w:sz w:val="20"/>
          <w:szCs w:val="20"/>
        </w:rPr>
        <w:t xml:space="preserve"> </w:t>
      </w:r>
      <w:r w:rsidR="00B8038A">
        <w:rPr>
          <w:rFonts w:ascii="Arial" w:hAnsi="Arial" w:cs="Arial"/>
          <w:iCs/>
          <w:sz w:val="20"/>
        </w:rPr>
        <w:t xml:space="preserve">(1994) 179 CLR 403 </w:t>
      </w:r>
      <w:r w:rsidR="00F95F7C">
        <w:rPr>
          <w:rFonts w:ascii="Arial" w:hAnsi="Arial" w:cs="Arial"/>
          <w:sz w:val="20"/>
          <w:szCs w:val="20"/>
        </w:rPr>
        <w:t xml:space="preserve">&amp; </w:t>
      </w:r>
      <w:r w:rsidR="00F95F7C" w:rsidRPr="007F3B61">
        <w:rPr>
          <w:rFonts w:ascii="Arial" w:hAnsi="Arial" w:cs="Arial"/>
          <w:i/>
          <w:iCs/>
          <w:sz w:val="20"/>
          <w:szCs w:val="20"/>
        </w:rPr>
        <w:t xml:space="preserve">Bell Lawyers v </w:t>
      </w:r>
      <w:r w:rsidR="007F3B61" w:rsidRPr="007F3B61">
        <w:rPr>
          <w:rFonts w:ascii="Arial" w:hAnsi="Arial" w:cs="Arial"/>
          <w:i/>
          <w:iCs/>
          <w:sz w:val="20"/>
          <w:szCs w:val="20"/>
        </w:rPr>
        <w:t>Pentelow</w:t>
      </w:r>
      <w:r w:rsidR="00B8038A">
        <w:rPr>
          <w:rFonts w:ascii="Arial" w:hAnsi="Arial" w:cs="Arial"/>
          <w:i/>
          <w:iCs/>
          <w:sz w:val="20"/>
          <w:szCs w:val="20"/>
        </w:rPr>
        <w:t xml:space="preserve"> </w:t>
      </w:r>
      <w:r w:rsidR="00B8038A">
        <w:rPr>
          <w:rFonts w:ascii="Arial" w:hAnsi="Arial" w:cs="Arial"/>
          <w:sz w:val="20"/>
        </w:rPr>
        <w:t xml:space="preserve">(2019) </w:t>
      </w:r>
      <w:r w:rsidR="0038105B">
        <w:rPr>
          <w:rFonts w:ascii="Arial" w:hAnsi="Arial" w:cs="Arial"/>
          <w:sz w:val="20"/>
        </w:rPr>
        <w:t>269 CLR 333</w:t>
      </w:r>
      <w:r w:rsidR="00B8038A">
        <w:rPr>
          <w:rFonts w:ascii="Arial" w:hAnsi="Arial" w:cs="Arial"/>
          <w:sz w:val="20"/>
        </w:rPr>
        <w:t>; [2019] HCA 29</w:t>
      </w:r>
      <w:r w:rsidR="007F3B61">
        <w:rPr>
          <w:rFonts w:ascii="Arial" w:hAnsi="Arial" w:cs="Arial"/>
          <w:sz w:val="20"/>
          <w:szCs w:val="20"/>
        </w:rPr>
        <w:t>:</w:t>
      </w:r>
    </w:p>
    <w:p w14:paraId="39ECBC33" w14:textId="48E9EE6A" w:rsidR="00ED0D8C" w:rsidRDefault="00626B7C" w:rsidP="00ED0D8C">
      <w:pPr>
        <w:spacing w:before="80"/>
        <w:ind w:left="454" w:right="454"/>
        <w:jc w:val="both"/>
        <w:rPr>
          <w:rFonts w:ascii="Arial" w:hAnsi="Arial" w:cs="Arial"/>
          <w:sz w:val="20"/>
          <w:szCs w:val="20"/>
        </w:rPr>
      </w:pPr>
      <w:r>
        <w:rPr>
          <w:rFonts w:ascii="Arial" w:hAnsi="Arial" w:cs="Arial"/>
          <w:sz w:val="20"/>
          <w:szCs w:val="20"/>
        </w:rPr>
        <w:lastRenderedPageBreak/>
        <w:t xml:space="preserve">[7] </w:t>
      </w:r>
      <w:r w:rsidR="00F95F7C">
        <w:rPr>
          <w:rFonts w:ascii="Arial" w:hAnsi="Arial" w:cs="Arial"/>
          <w:sz w:val="20"/>
          <w:szCs w:val="20"/>
        </w:rPr>
        <w:t>“</w:t>
      </w:r>
      <w:r w:rsidR="00ED0D8C" w:rsidRPr="00ED0D8C">
        <w:rPr>
          <w:rFonts w:ascii="Arial" w:hAnsi="Arial" w:cs="Arial"/>
          <w:i/>
          <w:iCs/>
          <w:sz w:val="20"/>
          <w:szCs w:val="20"/>
        </w:rPr>
        <w:t>Cachia v Hanes</w:t>
      </w:r>
      <w:r w:rsidR="00ED0D8C" w:rsidRPr="00ED0D8C">
        <w:rPr>
          <w:rFonts w:ascii="Arial" w:hAnsi="Arial" w:cs="Arial"/>
          <w:sz w:val="20"/>
          <w:szCs w:val="20"/>
        </w:rPr>
        <w:t>, which concerned the Supreme Court Rules 1970 (NSW), does not support Mr McKechnie’s submissions. In the High Court’s judgment, Mason CJ, Brennan, Deane, Dawson and McHugh JJ stated</w:t>
      </w:r>
      <w:r w:rsidR="00691D29">
        <w:rPr>
          <w:rFonts w:ascii="Arial" w:hAnsi="Arial" w:cs="Arial"/>
          <w:sz w:val="20"/>
          <w:szCs w:val="20"/>
        </w:rPr>
        <w:t xml:space="preserve"> at 410</w:t>
      </w:r>
      <w:r w:rsidR="00ED0D8C" w:rsidRPr="00ED0D8C">
        <w:rPr>
          <w:rFonts w:ascii="Arial" w:hAnsi="Arial" w:cs="Arial"/>
          <w:sz w:val="20"/>
          <w:szCs w:val="20"/>
        </w:rPr>
        <w:t>:</w:t>
      </w:r>
    </w:p>
    <w:p w14:paraId="5756625C" w14:textId="6E54C2EF" w:rsidR="00ED0D8C" w:rsidRDefault="00ED0D8C" w:rsidP="00ED0D8C">
      <w:pPr>
        <w:spacing w:before="80"/>
        <w:ind w:left="907" w:right="907"/>
        <w:jc w:val="both"/>
        <w:rPr>
          <w:rFonts w:ascii="Arial" w:hAnsi="Arial" w:cs="Arial"/>
          <w:sz w:val="20"/>
          <w:szCs w:val="20"/>
        </w:rPr>
      </w:pPr>
      <w:r w:rsidRPr="00ED0D8C">
        <w:rPr>
          <w:rFonts w:ascii="Arial" w:hAnsi="Arial" w:cs="Arial"/>
          <w:sz w:val="18"/>
          <w:szCs w:val="18"/>
        </w:rPr>
        <w:t>To use the Rules to compensate a litigant in person for time lost would cut across their clear intent. Costs, within the meaning of the Rules, are reimbursement for work done or expenses incurred by a practitioner or practitioner’s employee. Compensation for the loss of time of a litigant in person cannot be said to constitute costs within the meaning of the Rules.</w:t>
      </w:r>
    </w:p>
    <w:p w14:paraId="5ECCC8E4" w14:textId="67E6E228" w:rsidR="00ED0D8C" w:rsidRDefault="00691D29" w:rsidP="00ED0D8C">
      <w:pPr>
        <w:spacing w:before="80"/>
        <w:ind w:left="454" w:right="454"/>
        <w:jc w:val="both"/>
        <w:rPr>
          <w:rFonts w:ascii="Arial" w:hAnsi="Arial" w:cs="Arial"/>
          <w:sz w:val="20"/>
          <w:szCs w:val="20"/>
        </w:rPr>
      </w:pPr>
      <w:r>
        <w:rPr>
          <w:rFonts w:ascii="Arial" w:hAnsi="Arial" w:cs="Arial"/>
          <w:sz w:val="20"/>
          <w:szCs w:val="20"/>
        </w:rPr>
        <w:t xml:space="preserve">[8] </w:t>
      </w:r>
      <w:r w:rsidR="00ED0D8C" w:rsidRPr="00ED0D8C">
        <w:rPr>
          <w:rFonts w:ascii="Arial" w:hAnsi="Arial" w:cs="Arial"/>
          <w:sz w:val="20"/>
          <w:szCs w:val="20"/>
        </w:rPr>
        <w:t>Their Honours also stated</w:t>
      </w:r>
      <w:r w:rsidR="0038105B">
        <w:rPr>
          <w:rFonts w:ascii="Arial" w:hAnsi="Arial" w:cs="Arial"/>
          <w:sz w:val="20"/>
          <w:szCs w:val="20"/>
        </w:rPr>
        <w:t xml:space="preserve"> at 414</w:t>
      </w:r>
      <w:r w:rsidR="00ED0D8C" w:rsidRPr="00ED0D8C">
        <w:rPr>
          <w:rFonts w:ascii="Arial" w:hAnsi="Arial" w:cs="Arial"/>
          <w:sz w:val="20"/>
          <w:szCs w:val="20"/>
        </w:rPr>
        <w:t>:</w:t>
      </w:r>
    </w:p>
    <w:p w14:paraId="31200795" w14:textId="524A03AB" w:rsidR="00ED0D8C" w:rsidRDefault="00ED0D8C" w:rsidP="00ED0D8C">
      <w:pPr>
        <w:spacing w:before="80"/>
        <w:ind w:left="907" w:right="907"/>
        <w:jc w:val="both"/>
        <w:rPr>
          <w:rFonts w:ascii="Arial" w:hAnsi="Arial" w:cs="Arial"/>
          <w:sz w:val="20"/>
          <w:szCs w:val="20"/>
        </w:rPr>
      </w:pPr>
      <w:r w:rsidRPr="00ED0D8C">
        <w:rPr>
          <w:rFonts w:ascii="Arial" w:hAnsi="Arial" w:cs="Arial"/>
          <w:sz w:val="18"/>
          <w:szCs w:val="18"/>
        </w:rPr>
        <w:t xml:space="preserve">Even less do the Rules provide for the substitution of an antithetical basis for the accepted basis upon which a taxation of party and party costs is conducted. We speak of antithesis because, as we have said, the accepted basis for an award of costs is that they are by way of indemnity. They are intended to reimburse a litigant for costs </w:t>
      </w:r>
      <w:proofErr w:type="gramStart"/>
      <w:r w:rsidRPr="00ED0D8C">
        <w:rPr>
          <w:rFonts w:ascii="Arial" w:hAnsi="Arial" w:cs="Arial"/>
          <w:sz w:val="18"/>
          <w:szCs w:val="18"/>
        </w:rPr>
        <w:t>actually incurred,</w:t>
      </w:r>
      <w:proofErr w:type="gramEnd"/>
      <w:r w:rsidRPr="00ED0D8C">
        <w:rPr>
          <w:rFonts w:ascii="Arial" w:hAnsi="Arial" w:cs="Arial"/>
          <w:sz w:val="18"/>
          <w:szCs w:val="18"/>
        </w:rPr>
        <w:t xml:space="preserve"> they are not intended to compensate for some other disadvantage or inconvenience suffered by the litigant.</w:t>
      </w:r>
    </w:p>
    <w:p w14:paraId="068E3D0D" w14:textId="6A412D29" w:rsidR="00662432" w:rsidRDefault="002B5AD0" w:rsidP="00662432">
      <w:pPr>
        <w:spacing w:before="80"/>
        <w:ind w:left="454" w:right="454"/>
        <w:jc w:val="both"/>
        <w:rPr>
          <w:rFonts w:ascii="Arial" w:hAnsi="Arial" w:cs="Arial"/>
          <w:sz w:val="20"/>
          <w:szCs w:val="20"/>
        </w:rPr>
      </w:pPr>
      <w:r>
        <w:rPr>
          <w:rFonts w:ascii="Arial" w:hAnsi="Arial" w:cs="Arial"/>
          <w:sz w:val="20"/>
          <w:szCs w:val="20"/>
        </w:rPr>
        <w:t xml:space="preserve">[9] </w:t>
      </w:r>
      <w:r w:rsidR="00ED0D8C" w:rsidRPr="00ED0D8C">
        <w:rPr>
          <w:rFonts w:ascii="Arial" w:hAnsi="Arial" w:cs="Arial"/>
          <w:sz w:val="20"/>
          <w:szCs w:val="20"/>
        </w:rPr>
        <w:t xml:space="preserve">In the later decision in </w:t>
      </w:r>
      <w:r w:rsidR="00ED0D8C" w:rsidRPr="007F3B61">
        <w:rPr>
          <w:rFonts w:ascii="Arial" w:hAnsi="Arial" w:cs="Arial"/>
          <w:i/>
          <w:iCs/>
          <w:sz w:val="20"/>
          <w:szCs w:val="20"/>
        </w:rPr>
        <w:t>Bell Lawyers Pty Ltd v Pentelow</w:t>
      </w:r>
      <w:r w:rsidR="00FA49B5">
        <w:rPr>
          <w:rFonts w:ascii="Arial" w:hAnsi="Arial" w:cs="Arial"/>
          <w:sz w:val="20"/>
          <w:szCs w:val="20"/>
        </w:rPr>
        <w:t xml:space="preserve"> at 339</w:t>
      </w:r>
      <w:r w:rsidR="00BB4986">
        <w:rPr>
          <w:rFonts w:ascii="Arial" w:hAnsi="Arial" w:cs="Arial"/>
          <w:sz w:val="20"/>
          <w:szCs w:val="20"/>
        </w:rPr>
        <w:t>,</w:t>
      </w:r>
      <w:r w:rsidR="00ED0D8C" w:rsidRPr="00ED0D8C">
        <w:rPr>
          <w:rFonts w:ascii="Arial" w:hAnsi="Arial" w:cs="Arial"/>
          <w:sz w:val="20"/>
          <w:szCs w:val="20"/>
        </w:rPr>
        <w:t xml:space="preserve"> Kiefel CJ, Bell, Keane and Gordon JJ described the general rule as:</w:t>
      </w:r>
    </w:p>
    <w:p w14:paraId="4424D177" w14:textId="4DB7CE1E" w:rsidR="00662432" w:rsidRPr="002B5AD0" w:rsidRDefault="00ED0D8C" w:rsidP="00662432">
      <w:pPr>
        <w:spacing w:before="80"/>
        <w:ind w:left="907" w:right="907"/>
        <w:jc w:val="both"/>
        <w:rPr>
          <w:rFonts w:ascii="Arial" w:hAnsi="Arial" w:cs="Arial"/>
          <w:sz w:val="18"/>
          <w:szCs w:val="18"/>
        </w:rPr>
      </w:pPr>
      <w:r w:rsidRPr="002B5AD0">
        <w:rPr>
          <w:rFonts w:ascii="Arial" w:hAnsi="Arial" w:cs="Arial"/>
          <w:sz w:val="18"/>
          <w:szCs w:val="18"/>
        </w:rPr>
        <w:t>a self-represented litigant may not obtain any recompense for the value of his or her time spent in litigation.</w:t>
      </w:r>
    </w:p>
    <w:p w14:paraId="30B35588" w14:textId="3318BAE2" w:rsidR="00ED0D8C" w:rsidRDefault="002B5AD0" w:rsidP="00ED0D8C">
      <w:pPr>
        <w:spacing w:before="80"/>
        <w:ind w:left="454" w:right="454"/>
        <w:jc w:val="both"/>
        <w:rPr>
          <w:rFonts w:ascii="Arial" w:hAnsi="Arial" w:cs="Arial"/>
          <w:sz w:val="20"/>
          <w:szCs w:val="20"/>
        </w:rPr>
      </w:pPr>
      <w:r>
        <w:rPr>
          <w:rFonts w:ascii="Arial" w:hAnsi="Arial" w:cs="Arial"/>
          <w:sz w:val="20"/>
          <w:szCs w:val="20"/>
        </w:rPr>
        <w:t xml:space="preserve">[10] </w:t>
      </w:r>
      <w:r w:rsidR="00ED0D8C" w:rsidRPr="00ED0D8C">
        <w:rPr>
          <w:rFonts w:ascii="Arial" w:hAnsi="Arial" w:cs="Arial"/>
          <w:sz w:val="20"/>
          <w:szCs w:val="20"/>
        </w:rPr>
        <w:t xml:space="preserve">Their Honours cited </w:t>
      </w:r>
      <w:r w:rsidR="00ED0D8C" w:rsidRPr="007F3B61">
        <w:rPr>
          <w:rFonts w:ascii="Arial" w:hAnsi="Arial" w:cs="Arial"/>
          <w:i/>
          <w:iCs/>
          <w:sz w:val="20"/>
          <w:szCs w:val="20"/>
        </w:rPr>
        <w:t>Cachia v Hanes</w:t>
      </w:r>
      <w:r w:rsidR="00BB4986">
        <w:rPr>
          <w:rFonts w:ascii="Arial" w:hAnsi="Arial" w:cs="Arial"/>
          <w:sz w:val="20"/>
          <w:szCs w:val="20"/>
        </w:rPr>
        <w:t xml:space="preserve"> </w:t>
      </w:r>
      <w:r w:rsidR="00ED0D8C" w:rsidRPr="00ED0D8C">
        <w:rPr>
          <w:rFonts w:ascii="Arial" w:hAnsi="Arial" w:cs="Arial"/>
          <w:sz w:val="20"/>
          <w:szCs w:val="20"/>
        </w:rPr>
        <w:t>for that proposition.</w:t>
      </w:r>
      <w:r w:rsidR="00662432">
        <w:rPr>
          <w:rFonts w:ascii="Arial" w:hAnsi="Arial" w:cs="Arial"/>
          <w:sz w:val="20"/>
          <w:szCs w:val="20"/>
        </w:rPr>
        <w:t>”</w:t>
      </w:r>
    </w:p>
    <w:p w14:paraId="4C554E02" w14:textId="77777777" w:rsidR="001D0708" w:rsidRPr="00ED0D8C" w:rsidRDefault="001D0708" w:rsidP="00ED0D8C">
      <w:pPr>
        <w:jc w:val="both"/>
        <w:rPr>
          <w:rFonts w:ascii="Arial" w:hAnsi="Arial" w:cs="Arial"/>
          <w:sz w:val="16"/>
          <w:szCs w:val="20"/>
        </w:rPr>
      </w:pPr>
    </w:p>
    <w:p w14:paraId="7DCE50DF" w14:textId="73D047AC" w:rsidR="001D0708" w:rsidRDefault="00F44513" w:rsidP="002672DD">
      <w:pPr>
        <w:jc w:val="both"/>
        <w:rPr>
          <w:rFonts w:ascii="Arial" w:hAnsi="Arial" w:cs="Arial"/>
          <w:sz w:val="20"/>
          <w:szCs w:val="20"/>
        </w:rPr>
      </w:pPr>
      <w:r>
        <w:rPr>
          <w:rFonts w:ascii="Arial" w:hAnsi="Arial" w:cs="Arial"/>
          <w:sz w:val="20"/>
        </w:rPr>
        <w:t xml:space="preserve">In </w:t>
      </w:r>
      <w:r w:rsidRPr="00F44513">
        <w:rPr>
          <w:rFonts w:ascii="Arial" w:hAnsi="Arial" w:cs="Arial"/>
          <w:i/>
          <w:iCs/>
          <w:sz w:val="20"/>
        </w:rPr>
        <w:t>Ganesh v National Australia Bank</w:t>
      </w:r>
      <w:r>
        <w:rPr>
          <w:rFonts w:ascii="Arial" w:hAnsi="Arial" w:cs="Arial"/>
          <w:sz w:val="20"/>
        </w:rPr>
        <w:t xml:space="preserve"> [2021] VSCA 45 the Court of Appeal (McLeish, Sifris &amp; Kennedy JJA) – considering the cases of </w:t>
      </w:r>
      <w:r w:rsidRPr="00F44513">
        <w:rPr>
          <w:rFonts w:ascii="Arial" w:eastAsia="Book Antiqua" w:hAnsi="Arial" w:cs="Arial"/>
          <w:i/>
          <w:sz w:val="20"/>
          <w:szCs w:val="20"/>
        </w:rPr>
        <w:t>Cachia v Hanes</w:t>
      </w:r>
      <w:r w:rsidRPr="00F44513">
        <w:rPr>
          <w:rFonts w:ascii="Arial" w:hAnsi="Arial" w:cs="Arial"/>
          <w:sz w:val="20"/>
          <w:szCs w:val="20"/>
        </w:rPr>
        <w:t xml:space="preserve"> (1994) 179 CLR 403, </w:t>
      </w:r>
      <w:r w:rsidRPr="00F44513">
        <w:rPr>
          <w:rFonts w:ascii="Arial" w:eastAsia="Book Antiqua" w:hAnsi="Arial" w:cs="Arial"/>
          <w:i/>
          <w:sz w:val="20"/>
          <w:szCs w:val="20"/>
        </w:rPr>
        <w:t xml:space="preserve">Bell Lawyers v Pentelow </w:t>
      </w:r>
      <w:r w:rsidRPr="00F44513">
        <w:rPr>
          <w:rFonts w:ascii="Arial" w:hAnsi="Arial" w:cs="Arial"/>
          <w:sz w:val="20"/>
          <w:szCs w:val="20"/>
        </w:rPr>
        <w:t xml:space="preserve">(2019) </w:t>
      </w:r>
      <w:r w:rsidR="001D0708" w:rsidRPr="001D0708">
        <w:rPr>
          <w:rFonts w:ascii="Arial" w:hAnsi="Arial" w:cs="Arial"/>
          <w:sz w:val="20"/>
          <w:szCs w:val="20"/>
        </w:rPr>
        <w:t xml:space="preserve">(2019) 269 CLR 333, 339 </w:t>
      </w:r>
      <w:r>
        <w:rPr>
          <w:rFonts w:ascii="Arial" w:hAnsi="Arial" w:cs="Arial"/>
          <w:sz w:val="20"/>
          <w:szCs w:val="20"/>
        </w:rPr>
        <w:t>and</w:t>
      </w:r>
      <w:r w:rsidRPr="00F44513">
        <w:rPr>
          <w:rFonts w:ascii="Arial" w:hAnsi="Arial" w:cs="Arial"/>
          <w:sz w:val="20"/>
          <w:szCs w:val="20"/>
        </w:rPr>
        <w:t xml:space="preserve"> </w:t>
      </w:r>
      <w:r w:rsidRPr="00F44513">
        <w:rPr>
          <w:rFonts w:ascii="Arial" w:eastAsia="Book Antiqua" w:hAnsi="Arial" w:cs="Arial"/>
          <w:i/>
          <w:sz w:val="20"/>
          <w:szCs w:val="20"/>
        </w:rPr>
        <w:t>United Petroleum Australia Pty Ltd v Herbert Smith Freehills</w:t>
      </w:r>
      <w:r w:rsidRPr="00F44513">
        <w:rPr>
          <w:rFonts w:ascii="Arial" w:hAnsi="Arial" w:cs="Arial"/>
          <w:sz w:val="20"/>
          <w:szCs w:val="20"/>
        </w:rPr>
        <w:t xml:space="preserve"> [2020] VSCA 15</w:t>
      </w:r>
      <w:r>
        <w:rPr>
          <w:rFonts w:ascii="Arial" w:hAnsi="Arial" w:cs="Arial"/>
          <w:sz w:val="20"/>
          <w:szCs w:val="20"/>
        </w:rPr>
        <w:t xml:space="preserve"> – held </w:t>
      </w:r>
      <w:r w:rsidR="00791730">
        <w:rPr>
          <w:rFonts w:ascii="Arial" w:hAnsi="Arial" w:cs="Arial"/>
          <w:sz w:val="20"/>
          <w:szCs w:val="20"/>
        </w:rPr>
        <w:t xml:space="preserve">at [85] </w:t>
      </w:r>
      <w:r>
        <w:rPr>
          <w:rFonts w:ascii="Arial" w:hAnsi="Arial" w:cs="Arial"/>
          <w:sz w:val="20"/>
          <w:szCs w:val="20"/>
        </w:rPr>
        <w:t xml:space="preserve">that </w:t>
      </w:r>
      <w:r w:rsidR="00791730">
        <w:rPr>
          <w:rFonts w:ascii="Arial" w:hAnsi="Arial" w:cs="Arial"/>
          <w:sz w:val="20"/>
          <w:szCs w:val="20"/>
        </w:rPr>
        <w:t xml:space="preserve">although </w:t>
      </w:r>
      <w:r w:rsidR="00791730" w:rsidRPr="00791730">
        <w:rPr>
          <w:rFonts w:ascii="Arial" w:hAnsi="Arial" w:cs="Arial"/>
          <w:i/>
          <w:iCs/>
          <w:sz w:val="20"/>
          <w:szCs w:val="20"/>
        </w:rPr>
        <w:t>Cachia v Hanes</w:t>
      </w:r>
      <w:r w:rsidR="00791730">
        <w:rPr>
          <w:rFonts w:ascii="Arial" w:hAnsi="Arial" w:cs="Arial"/>
          <w:sz w:val="20"/>
          <w:szCs w:val="20"/>
        </w:rPr>
        <w:t xml:space="preserve"> precludes self-represented litigants from being awarded costs to compensate for their own time in preparing and conducting a case, it does not preclude the recovery of other costs, including disbursements and expenses.</w:t>
      </w:r>
      <w:r w:rsidR="00EC6700">
        <w:rPr>
          <w:rFonts w:ascii="Arial" w:hAnsi="Arial" w:cs="Arial"/>
          <w:sz w:val="20"/>
          <w:szCs w:val="20"/>
        </w:rPr>
        <w:t xml:space="preserve"> </w:t>
      </w:r>
      <w:r w:rsidR="001D0708">
        <w:rPr>
          <w:rFonts w:ascii="Arial" w:hAnsi="Arial" w:cs="Arial"/>
          <w:sz w:val="20"/>
          <w:szCs w:val="20"/>
        </w:rPr>
        <w:t xml:space="preserve">In </w:t>
      </w:r>
      <w:r w:rsidR="001D0708" w:rsidRPr="001D0708">
        <w:rPr>
          <w:rFonts w:ascii="Arial" w:hAnsi="Arial" w:cs="Arial"/>
          <w:i/>
          <w:iCs/>
          <w:sz w:val="20"/>
          <w:szCs w:val="20"/>
        </w:rPr>
        <w:t>Song v M.T.V. Building &amp; Construction Pty Ltd</w:t>
      </w:r>
      <w:r w:rsidR="001D0708">
        <w:rPr>
          <w:rFonts w:ascii="Arial" w:hAnsi="Arial" w:cs="Arial"/>
          <w:sz w:val="20"/>
          <w:szCs w:val="20"/>
        </w:rPr>
        <w:t xml:space="preserve"> [2025] VSC 3 Quigley J said at [130]:</w:t>
      </w:r>
    </w:p>
    <w:p w14:paraId="4D80B09A" w14:textId="16E08101" w:rsidR="001D0708" w:rsidRDefault="001D0708" w:rsidP="001D0708">
      <w:pPr>
        <w:spacing w:before="80"/>
        <w:ind w:left="454" w:right="454"/>
        <w:jc w:val="both"/>
        <w:rPr>
          <w:rFonts w:ascii="Arial" w:hAnsi="Arial" w:cs="Arial"/>
          <w:sz w:val="20"/>
          <w:szCs w:val="20"/>
        </w:rPr>
      </w:pPr>
      <w:r>
        <w:rPr>
          <w:rFonts w:ascii="Arial" w:hAnsi="Arial" w:cs="Arial"/>
          <w:sz w:val="20"/>
          <w:szCs w:val="20"/>
        </w:rPr>
        <w:t>“</w:t>
      </w:r>
      <w:r w:rsidRPr="001D0708">
        <w:rPr>
          <w:rFonts w:ascii="Arial" w:hAnsi="Arial" w:cs="Arial"/>
          <w:sz w:val="20"/>
          <w:szCs w:val="20"/>
        </w:rPr>
        <w:t>While the applicants as successful self-represented litigants cannot be compensated for their time and labour spent in preparation of their case or attending court, they are entitled to make a claim for out of pocket costs</w:t>
      </w:r>
      <w:r>
        <w:rPr>
          <w:rFonts w:ascii="Arial" w:hAnsi="Arial" w:cs="Arial"/>
          <w:sz w:val="20"/>
          <w:szCs w:val="20"/>
        </w:rPr>
        <w:t xml:space="preserve">: </w:t>
      </w:r>
      <w:r w:rsidRPr="001D0708">
        <w:rPr>
          <w:rFonts w:ascii="Arial" w:hAnsi="Arial" w:cs="Arial"/>
          <w:i/>
          <w:iCs/>
          <w:sz w:val="20"/>
          <w:szCs w:val="20"/>
        </w:rPr>
        <w:t>Cachia v Hanes</w:t>
      </w:r>
      <w:r w:rsidRPr="001D0708">
        <w:rPr>
          <w:rFonts w:ascii="Arial" w:hAnsi="Arial" w:cs="Arial"/>
          <w:sz w:val="20"/>
          <w:szCs w:val="20"/>
        </w:rPr>
        <w:t xml:space="preserve"> (1994) 179 CLR 403, 408, 410–14, 417; </w:t>
      </w:r>
      <w:r w:rsidRPr="001D0708">
        <w:rPr>
          <w:rFonts w:ascii="Arial" w:hAnsi="Arial" w:cs="Arial"/>
          <w:i/>
          <w:iCs/>
          <w:sz w:val="20"/>
          <w:szCs w:val="20"/>
        </w:rPr>
        <w:t>Bell Lawyers Pty Ltd v Pentelow</w:t>
      </w:r>
      <w:r w:rsidRPr="001D0708">
        <w:rPr>
          <w:rFonts w:ascii="Arial" w:hAnsi="Arial" w:cs="Arial"/>
          <w:sz w:val="20"/>
          <w:szCs w:val="20"/>
        </w:rPr>
        <w:t xml:space="preserve"> [1]; </w:t>
      </w:r>
      <w:r w:rsidRPr="001D0708">
        <w:rPr>
          <w:rFonts w:ascii="Arial" w:hAnsi="Arial" w:cs="Arial"/>
          <w:i/>
          <w:iCs/>
          <w:sz w:val="20"/>
          <w:szCs w:val="20"/>
        </w:rPr>
        <w:t>McKechnie v Ma’a (in his capacity as the Governor of Port Phillip Prison)</w:t>
      </w:r>
      <w:r w:rsidRPr="001D0708">
        <w:rPr>
          <w:rFonts w:ascii="Arial" w:hAnsi="Arial" w:cs="Arial"/>
          <w:sz w:val="20"/>
          <w:szCs w:val="20"/>
        </w:rPr>
        <w:t xml:space="preserve"> [2024] VSC 768, [24]; </w:t>
      </w:r>
      <w:r w:rsidRPr="001D0708">
        <w:rPr>
          <w:rFonts w:ascii="Arial" w:hAnsi="Arial" w:cs="Arial"/>
          <w:i/>
          <w:iCs/>
          <w:sz w:val="20"/>
          <w:szCs w:val="20"/>
        </w:rPr>
        <w:t>Ganesh v National Australia Bank Ltd</w:t>
      </w:r>
      <w:r w:rsidRPr="001D0708">
        <w:rPr>
          <w:rFonts w:ascii="Arial" w:hAnsi="Arial" w:cs="Arial"/>
          <w:sz w:val="20"/>
          <w:szCs w:val="20"/>
        </w:rPr>
        <w:t xml:space="preserve"> [2021] VSCA 45, [89].</w:t>
      </w:r>
      <w:r>
        <w:rPr>
          <w:rFonts w:ascii="Arial" w:hAnsi="Arial" w:cs="Arial"/>
          <w:sz w:val="20"/>
          <w:szCs w:val="20"/>
        </w:rPr>
        <w:t xml:space="preserve"> </w:t>
      </w:r>
      <w:r w:rsidRPr="001D0708">
        <w:rPr>
          <w:rFonts w:ascii="Arial" w:hAnsi="Arial" w:cs="Arial"/>
          <w:sz w:val="20"/>
          <w:szCs w:val="20"/>
        </w:rPr>
        <w:t>These could include court fees, searches of court files and transcripts</w:t>
      </w:r>
      <w:r>
        <w:rPr>
          <w:rFonts w:ascii="Arial" w:hAnsi="Arial" w:cs="Arial"/>
          <w:sz w:val="20"/>
          <w:szCs w:val="20"/>
        </w:rPr>
        <w:t xml:space="preserve">: </w:t>
      </w:r>
      <w:r w:rsidRPr="001D0708">
        <w:rPr>
          <w:rFonts w:ascii="Arial" w:hAnsi="Arial" w:cs="Arial"/>
          <w:i/>
          <w:iCs/>
          <w:sz w:val="20"/>
          <w:szCs w:val="20"/>
        </w:rPr>
        <w:t>Hoe v Lennox</w:t>
      </w:r>
      <w:r w:rsidRPr="001D0708">
        <w:rPr>
          <w:rFonts w:ascii="Arial" w:hAnsi="Arial" w:cs="Arial"/>
          <w:sz w:val="20"/>
          <w:szCs w:val="20"/>
        </w:rPr>
        <w:t xml:space="preserve"> [2020] VSC 262, [26]</w:t>
      </w:r>
      <w:r>
        <w:rPr>
          <w:rFonts w:ascii="Arial" w:hAnsi="Arial" w:cs="Arial"/>
          <w:sz w:val="20"/>
          <w:szCs w:val="20"/>
        </w:rPr>
        <w:t>-</w:t>
      </w:r>
      <w:r w:rsidRPr="001D0708">
        <w:rPr>
          <w:rFonts w:ascii="Arial" w:hAnsi="Arial" w:cs="Arial"/>
          <w:sz w:val="20"/>
          <w:szCs w:val="20"/>
        </w:rPr>
        <w:t>[27]</w:t>
      </w:r>
      <w:r>
        <w:rPr>
          <w:rFonts w:ascii="Arial" w:hAnsi="Arial" w:cs="Arial"/>
          <w:sz w:val="20"/>
          <w:szCs w:val="20"/>
        </w:rPr>
        <w:t>.”</w:t>
      </w:r>
    </w:p>
    <w:p w14:paraId="46A28781" w14:textId="77777777" w:rsidR="001D0708" w:rsidRDefault="001D0708" w:rsidP="001D0708">
      <w:pPr>
        <w:jc w:val="both"/>
        <w:rPr>
          <w:rFonts w:ascii="Arial" w:hAnsi="Arial" w:cs="Arial"/>
          <w:sz w:val="16"/>
          <w:szCs w:val="20"/>
        </w:rPr>
      </w:pPr>
    </w:p>
    <w:p w14:paraId="41566263" w14:textId="6B7E853C" w:rsidR="00AC328B" w:rsidRDefault="008E4C3B" w:rsidP="001D0708">
      <w:pPr>
        <w:jc w:val="both"/>
        <w:rPr>
          <w:rFonts w:ascii="Arial" w:hAnsi="Arial" w:cs="Arial"/>
          <w:sz w:val="20"/>
        </w:rPr>
      </w:pPr>
      <w:r w:rsidRPr="008E4C3B">
        <w:rPr>
          <w:rFonts w:ascii="Arial" w:hAnsi="Arial" w:cs="Arial"/>
          <w:sz w:val="20"/>
        </w:rPr>
        <w:t xml:space="preserve">In </w:t>
      </w:r>
      <w:r w:rsidRPr="008E4C3B">
        <w:rPr>
          <w:rFonts w:ascii="Arial" w:hAnsi="Arial" w:cs="Arial"/>
          <w:i/>
          <w:iCs/>
          <w:sz w:val="20"/>
        </w:rPr>
        <w:t>Birketu Pty Ltd v Atanaskovic</w:t>
      </w:r>
      <w:r w:rsidRPr="008E4C3B">
        <w:rPr>
          <w:rFonts w:ascii="Arial" w:hAnsi="Arial" w:cs="Arial"/>
          <w:sz w:val="20"/>
        </w:rPr>
        <w:t xml:space="preserve"> [2025] HCA 2 </w:t>
      </w:r>
      <w:r>
        <w:rPr>
          <w:rFonts w:ascii="Arial" w:hAnsi="Arial" w:cs="Arial"/>
          <w:sz w:val="20"/>
        </w:rPr>
        <w:t xml:space="preserve">the appellant, a partner in an unincorporated law firm, represented the firm in litigation against the respondent, a former client.  The firm was successful in the litigation and procured an order for costs in its favour. </w:t>
      </w:r>
      <w:r w:rsidR="00AC328B">
        <w:rPr>
          <w:rFonts w:ascii="Arial" w:hAnsi="Arial" w:cs="Arial"/>
          <w:sz w:val="20"/>
        </w:rPr>
        <w:t>By a majority of 5:2 the plurality (G</w:t>
      </w:r>
      <w:r w:rsidR="00AC328B" w:rsidRPr="00AC328B">
        <w:rPr>
          <w:rFonts w:ascii="Arial" w:hAnsi="Arial" w:cs="Arial"/>
          <w:sz w:val="20"/>
        </w:rPr>
        <w:t xml:space="preserve">ageler </w:t>
      </w:r>
      <w:r w:rsidR="00AC328B">
        <w:rPr>
          <w:rFonts w:ascii="Arial" w:hAnsi="Arial" w:cs="Arial"/>
          <w:sz w:val="20"/>
        </w:rPr>
        <w:t>CJ</w:t>
      </w:r>
      <w:r w:rsidR="00AC328B" w:rsidRPr="00AC328B">
        <w:rPr>
          <w:rFonts w:ascii="Arial" w:hAnsi="Arial" w:cs="Arial"/>
          <w:sz w:val="20"/>
        </w:rPr>
        <w:t xml:space="preserve">, </w:t>
      </w:r>
      <w:r w:rsidR="00AC328B">
        <w:rPr>
          <w:rFonts w:ascii="Arial" w:hAnsi="Arial" w:cs="Arial"/>
          <w:sz w:val="20"/>
        </w:rPr>
        <w:t>G</w:t>
      </w:r>
      <w:r w:rsidR="00AC328B" w:rsidRPr="00AC328B">
        <w:rPr>
          <w:rFonts w:ascii="Arial" w:hAnsi="Arial" w:cs="Arial"/>
          <w:sz w:val="20"/>
        </w:rPr>
        <w:t xml:space="preserve">ordon, </w:t>
      </w:r>
      <w:r w:rsidR="00AC328B">
        <w:rPr>
          <w:rFonts w:ascii="Arial" w:hAnsi="Arial" w:cs="Arial"/>
          <w:sz w:val="20"/>
        </w:rPr>
        <w:t>E</w:t>
      </w:r>
      <w:r w:rsidR="00AC328B" w:rsidRPr="00AC328B">
        <w:rPr>
          <w:rFonts w:ascii="Arial" w:hAnsi="Arial" w:cs="Arial"/>
          <w:sz w:val="20"/>
        </w:rPr>
        <w:t xml:space="preserve">delman, </w:t>
      </w:r>
      <w:r w:rsidR="00AC328B">
        <w:rPr>
          <w:rFonts w:ascii="Arial" w:hAnsi="Arial" w:cs="Arial"/>
          <w:sz w:val="20"/>
        </w:rPr>
        <w:t>G</w:t>
      </w:r>
      <w:r w:rsidR="00AC328B" w:rsidRPr="00AC328B">
        <w:rPr>
          <w:rFonts w:ascii="Arial" w:hAnsi="Arial" w:cs="Arial"/>
          <w:sz w:val="20"/>
        </w:rPr>
        <w:t xml:space="preserve">leeson and </w:t>
      </w:r>
      <w:r w:rsidR="00AC328B">
        <w:rPr>
          <w:rFonts w:ascii="Arial" w:hAnsi="Arial" w:cs="Arial"/>
          <w:sz w:val="20"/>
        </w:rPr>
        <w:t>B</w:t>
      </w:r>
      <w:r w:rsidR="00AC328B" w:rsidRPr="00AC328B">
        <w:rPr>
          <w:rFonts w:ascii="Arial" w:hAnsi="Arial" w:cs="Arial"/>
          <w:sz w:val="20"/>
        </w:rPr>
        <w:t>eech-</w:t>
      </w:r>
      <w:r w:rsidR="00AC328B">
        <w:rPr>
          <w:rFonts w:ascii="Arial" w:hAnsi="Arial" w:cs="Arial"/>
          <w:sz w:val="20"/>
        </w:rPr>
        <w:t>J</w:t>
      </w:r>
      <w:r w:rsidR="00AC328B" w:rsidRPr="00AC328B">
        <w:rPr>
          <w:rFonts w:ascii="Arial" w:hAnsi="Arial" w:cs="Arial"/>
          <w:sz w:val="20"/>
        </w:rPr>
        <w:t xml:space="preserve">ones </w:t>
      </w:r>
      <w:r w:rsidR="00AC328B">
        <w:rPr>
          <w:rFonts w:ascii="Arial" w:hAnsi="Arial" w:cs="Arial"/>
          <w:sz w:val="20"/>
        </w:rPr>
        <w:t>JJ) held–</w:t>
      </w:r>
    </w:p>
    <w:p w14:paraId="56931067" w14:textId="77777777" w:rsidR="00AC328B" w:rsidRPr="00AC328B" w:rsidRDefault="00AC328B" w:rsidP="001D0708">
      <w:pPr>
        <w:numPr>
          <w:ilvl w:val="0"/>
          <w:numId w:val="17"/>
        </w:numPr>
        <w:tabs>
          <w:tab w:val="clear" w:pos="1500"/>
        </w:tabs>
        <w:ind w:left="357" w:hanging="357"/>
        <w:jc w:val="both"/>
        <w:rPr>
          <w:rFonts w:ascii="Arial" w:hAnsi="Arial" w:cs="Arial"/>
          <w:sz w:val="20"/>
        </w:rPr>
      </w:pPr>
      <w:r>
        <w:rPr>
          <w:rFonts w:ascii="Arial" w:hAnsi="Arial" w:cs="Arial"/>
          <w:sz w:val="20"/>
        </w:rPr>
        <w:t xml:space="preserve">at [1] that it </w:t>
      </w:r>
      <w:r w:rsidRPr="00AC328B">
        <w:rPr>
          <w:rFonts w:ascii="Arial" w:hAnsi="Arial" w:cs="Arial"/>
          <w:sz w:val="20"/>
        </w:rPr>
        <w:t>i</w:t>
      </w:r>
      <w:r w:rsidR="008E4C3B" w:rsidRPr="00AC328B">
        <w:rPr>
          <w:rFonts w:ascii="Arial" w:hAnsi="Arial" w:cs="Arial"/>
          <w:sz w:val="20"/>
        </w:rPr>
        <w:t xml:space="preserve">s clear from </w:t>
      </w:r>
      <w:r w:rsidR="008E4C3B" w:rsidRPr="00AC328B">
        <w:rPr>
          <w:rFonts w:ascii="Arial" w:hAnsi="Arial" w:cs="Arial"/>
          <w:i/>
          <w:iCs/>
          <w:sz w:val="20"/>
        </w:rPr>
        <w:t>Bell Lawyers Pty Ltd v Pentelow</w:t>
      </w:r>
      <w:r w:rsidR="008E4C3B" w:rsidRPr="00AC328B">
        <w:rPr>
          <w:rFonts w:ascii="Arial" w:hAnsi="Arial" w:cs="Arial"/>
          <w:sz w:val="20"/>
        </w:rPr>
        <w:t xml:space="preserve"> </w:t>
      </w:r>
      <w:r w:rsidR="008E4C3B" w:rsidRPr="00AC328B">
        <w:rPr>
          <w:rFonts w:ascii="Arial" w:hAnsi="Arial" w:cs="Arial"/>
          <w:sz w:val="20"/>
          <w:szCs w:val="20"/>
        </w:rPr>
        <w:t>(2019) (2019) 269 CLR 333 that the order for costs does not entitle the firm to obtain recompense for legal work performed by the partner</w:t>
      </w:r>
      <w:r>
        <w:rPr>
          <w:rFonts w:ascii="Arial" w:hAnsi="Arial" w:cs="Arial"/>
          <w:sz w:val="20"/>
          <w:szCs w:val="20"/>
        </w:rPr>
        <w:t>;</w:t>
      </w:r>
    </w:p>
    <w:p w14:paraId="440C4A28" w14:textId="3DDC88F4" w:rsidR="008E4C3B" w:rsidRPr="00AC328B" w:rsidRDefault="00AC328B" w:rsidP="001D0708">
      <w:pPr>
        <w:numPr>
          <w:ilvl w:val="0"/>
          <w:numId w:val="17"/>
        </w:numPr>
        <w:tabs>
          <w:tab w:val="clear" w:pos="1500"/>
        </w:tabs>
        <w:ind w:left="357" w:hanging="357"/>
        <w:jc w:val="both"/>
        <w:rPr>
          <w:rFonts w:ascii="Arial" w:hAnsi="Arial" w:cs="Arial"/>
          <w:sz w:val="20"/>
        </w:rPr>
      </w:pPr>
      <w:r>
        <w:rPr>
          <w:rFonts w:ascii="Arial" w:hAnsi="Arial" w:cs="Arial"/>
          <w:sz w:val="20"/>
          <w:szCs w:val="20"/>
        </w:rPr>
        <w:t xml:space="preserve">at [2] that </w:t>
      </w:r>
      <w:r w:rsidRPr="00AC328B">
        <w:rPr>
          <w:rFonts w:ascii="Arial" w:hAnsi="Arial" w:cs="Arial"/>
          <w:sz w:val="20"/>
          <w:szCs w:val="20"/>
        </w:rPr>
        <w:t>“an order for costs in favour of an unincorporated law firm entitles the firm to obtain recompense for legal work performed by an employed solicitor of that firm”</w:t>
      </w:r>
      <w:r>
        <w:rPr>
          <w:rFonts w:ascii="Arial" w:hAnsi="Arial" w:cs="Arial"/>
          <w:sz w:val="20"/>
          <w:szCs w:val="20"/>
        </w:rPr>
        <w:t>; and</w:t>
      </w:r>
    </w:p>
    <w:p w14:paraId="2E49143E" w14:textId="4C9A6681" w:rsidR="00AC328B" w:rsidRPr="00AC328B" w:rsidRDefault="00AC328B" w:rsidP="001D0708">
      <w:pPr>
        <w:numPr>
          <w:ilvl w:val="0"/>
          <w:numId w:val="17"/>
        </w:numPr>
        <w:tabs>
          <w:tab w:val="clear" w:pos="1500"/>
        </w:tabs>
        <w:ind w:left="357" w:hanging="357"/>
        <w:jc w:val="both"/>
        <w:rPr>
          <w:rFonts w:ascii="Arial" w:hAnsi="Arial" w:cs="Arial"/>
          <w:sz w:val="20"/>
        </w:rPr>
      </w:pPr>
      <w:r>
        <w:rPr>
          <w:rFonts w:ascii="Arial" w:hAnsi="Arial" w:cs="Arial"/>
          <w:sz w:val="20"/>
          <w:szCs w:val="20"/>
        </w:rPr>
        <w:t>at [</w:t>
      </w:r>
      <w:r w:rsidR="002835C5">
        <w:rPr>
          <w:rFonts w:ascii="Arial" w:hAnsi="Arial" w:cs="Arial"/>
          <w:sz w:val="20"/>
          <w:szCs w:val="20"/>
        </w:rPr>
        <w:t>37</w:t>
      </w:r>
      <w:r>
        <w:rPr>
          <w:rFonts w:ascii="Arial" w:hAnsi="Arial" w:cs="Arial"/>
          <w:sz w:val="20"/>
          <w:szCs w:val="20"/>
        </w:rPr>
        <w:t xml:space="preserve">] that </w:t>
      </w:r>
      <w:r w:rsidR="002835C5">
        <w:rPr>
          <w:rFonts w:ascii="Arial" w:hAnsi="Arial" w:cs="Arial"/>
          <w:sz w:val="20"/>
          <w:szCs w:val="20"/>
        </w:rPr>
        <w:t xml:space="preserve">the decision of the Victorian Court of Appeal in </w:t>
      </w:r>
      <w:r w:rsidR="002835C5" w:rsidRPr="00F44513">
        <w:rPr>
          <w:rFonts w:ascii="Arial" w:eastAsia="Book Antiqua" w:hAnsi="Arial" w:cs="Arial"/>
          <w:i/>
          <w:sz w:val="20"/>
          <w:szCs w:val="20"/>
        </w:rPr>
        <w:t>United Petroleum Australia Pty Ltd v Herbert Smith Freehills</w:t>
      </w:r>
      <w:r w:rsidR="002835C5" w:rsidRPr="00F44513">
        <w:rPr>
          <w:rFonts w:ascii="Arial" w:hAnsi="Arial" w:cs="Arial"/>
          <w:sz w:val="20"/>
          <w:szCs w:val="20"/>
        </w:rPr>
        <w:t xml:space="preserve"> [2020] VSCA 15</w:t>
      </w:r>
      <w:r w:rsidR="002835C5" w:rsidRPr="002835C5">
        <w:rPr>
          <w:rFonts w:ascii="Arial" w:hAnsi="Arial" w:cs="Arial"/>
          <w:sz w:val="20"/>
          <w:szCs w:val="20"/>
        </w:rPr>
        <w:t xml:space="preserve"> must be overruled.</w:t>
      </w:r>
    </w:p>
    <w:p w14:paraId="70F5BB15" w14:textId="77777777" w:rsidR="008E4C3B" w:rsidRPr="002835C5" w:rsidRDefault="008E4C3B" w:rsidP="001D0708">
      <w:pPr>
        <w:jc w:val="both"/>
        <w:rPr>
          <w:rFonts w:ascii="Arial" w:hAnsi="Arial" w:cs="Arial"/>
          <w:sz w:val="16"/>
          <w:szCs w:val="20"/>
        </w:rPr>
      </w:pPr>
    </w:p>
    <w:p w14:paraId="1AC9A0AC" w14:textId="643530C9" w:rsidR="00F44513" w:rsidRDefault="00EC6700" w:rsidP="002672DD">
      <w:pPr>
        <w:jc w:val="both"/>
        <w:rPr>
          <w:rFonts w:ascii="Arial" w:hAnsi="Arial" w:cs="Arial"/>
          <w:sz w:val="20"/>
        </w:rPr>
      </w:pPr>
      <w:r>
        <w:rPr>
          <w:rFonts w:ascii="Arial" w:hAnsi="Arial" w:cs="Arial"/>
          <w:sz w:val="20"/>
          <w:szCs w:val="20"/>
        </w:rPr>
        <w:t xml:space="preserve">See also </w:t>
      </w:r>
      <w:r w:rsidRPr="00EC6700">
        <w:rPr>
          <w:rFonts w:ascii="Arial" w:hAnsi="Arial" w:cs="Arial"/>
          <w:i/>
          <w:iCs/>
          <w:sz w:val="20"/>
          <w:szCs w:val="20"/>
        </w:rPr>
        <w:t>Di Lorenzo v The Magistrates’ Court of Victoria</w:t>
      </w:r>
      <w:r>
        <w:rPr>
          <w:rFonts w:ascii="Arial" w:hAnsi="Arial" w:cs="Arial"/>
          <w:sz w:val="20"/>
          <w:szCs w:val="20"/>
        </w:rPr>
        <w:t xml:space="preserve"> [2021] VSC 475 at [26]</w:t>
      </w:r>
      <w:r w:rsidR="00491DFF">
        <w:rPr>
          <w:rFonts w:ascii="Arial" w:hAnsi="Arial" w:cs="Arial"/>
          <w:sz w:val="20"/>
          <w:szCs w:val="20"/>
        </w:rPr>
        <w:t>.</w:t>
      </w:r>
    </w:p>
    <w:p w14:paraId="657D5675" w14:textId="77777777" w:rsidR="00C87467" w:rsidRPr="00C87467" w:rsidRDefault="00C87467" w:rsidP="00C87467">
      <w:pPr>
        <w:pStyle w:val="Heading3"/>
        <w:keepNext/>
        <w:spacing w:line="240" w:lineRule="auto"/>
        <w:rPr>
          <w:rFonts w:ascii="Arial" w:hAnsi="Arial" w:cs="Arial"/>
          <w:sz w:val="20"/>
        </w:rPr>
      </w:pPr>
      <w:bookmarkStart w:id="1199" w:name="_3.9.6_Enforcement_of"/>
      <w:bookmarkStart w:id="1200" w:name="B396"/>
      <w:bookmarkEnd w:id="1199"/>
      <w:bookmarkEnd w:id="1200"/>
    </w:p>
    <w:p w14:paraId="736A8EB3" w14:textId="5A756A56" w:rsidR="002672DD" w:rsidRPr="002C34CB" w:rsidRDefault="002672DD" w:rsidP="00C87467">
      <w:pPr>
        <w:pStyle w:val="Heading3"/>
        <w:spacing w:after="120" w:line="240" w:lineRule="auto"/>
        <w:rPr>
          <w:rFonts w:ascii="Arial" w:hAnsi="Arial" w:cs="Arial"/>
          <w:b/>
          <w:bCs/>
          <w:sz w:val="20"/>
          <w:lang w:val="en-AU"/>
        </w:rPr>
      </w:pPr>
      <w:r>
        <w:rPr>
          <w:rFonts w:ascii="Arial" w:hAnsi="Arial" w:cs="Arial"/>
          <w:b/>
          <w:bCs/>
          <w:sz w:val="20"/>
        </w:rPr>
        <w:t>3.9.</w:t>
      </w:r>
      <w:r w:rsidR="00881B99">
        <w:rPr>
          <w:rFonts w:ascii="Arial" w:hAnsi="Arial" w:cs="Arial"/>
          <w:b/>
          <w:bCs/>
          <w:sz w:val="20"/>
        </w:rPr>
        <w:t>6</w:t>
      </w:r>
      <w:r>
        <w:rPr>
          <w:rFonts w:ascii="Arial" w:hAnsi="Arial" w:cs="Arial"/>
          <w:b/>
          <w:bCs/>
          <w:sz w:val="20"/>
        </w:rPr>
        <w:tab/>
        <w:t>Enforcement of costs orders</w:t>
      </w:r>
      <w:r w:rsidR="002C34CB">
        <w:rPr>
          <w:rFonts w:ascii="Arial" w:hAnsi="Arial" w:cs="Arial"/>
          <w:b/>
          <w:bCs/>
          <w:sz w:val="20"/>
          <w:lang w:val="en-AU"/>
        </w:rPr>
        <w:t xml:space="preserve"> made in the Family Division</w:t>
      </w:r>
    </w:p>
    <w:p w14:paraId="59F14CFB" w14:textId="77777777" w:rsidR="002672DD" w:rsidRDefault="002C34CB" w:rsidP="002672DD">
      <w:pPr>
        <w:jc w:val="both"/>
        <w:rPr>
          <w:rFonts w:ascii="Arial" w:hAnsi="Arial" w:cs="Arial"/>
          <w:sz w:val="20"/>
        </w:rPr>
      </w:pPr>
      <w:r w:rsidRPr="002C34CB">
        <w:rPr>
          <w:rFonts w:ascii="Arial" w:hAnsi="Arial" w:cs="Arial"/>
          <w:color w:val="000000"/>
          <w:sz w:val="20"/>
        </w:rPr>
        <w:t>Perhaps because it is comparatively uncommon for costs orders to be made in the Family Division of the Children’s Court, there ha</w:t>
      </w:r>
      <w:r w:rsidR="00725095">
        <w:rPr>
          <w:rFonts w:ascii="Arial" w:hAnsi="Arial" w:cs="Arial"/>
          <w:color w:val="000000"/>
          <w:sz w:val="20"/>
        </w:rPr>
        <w:t>d</w:t>
      </w:r>
      <w:r w:rsidRPr="002C34CB">
        <w:rPr>
          <w:rFonts w:ascii="Arial" w:hAnsi="Arial" w:cs="Arial"/>
          <w:color w:val="000000"/>
          <w:sz w:val="20"/>
        </w:rPr>
        <w:t xml:space="preserve"> </w:t>
      </w:r>
      <w:r w:rsidR="00791730">
        <w:rPr>
          <w:rFonts w:ascii="Arial" w:hAnsi="Arial" w:cs="Arial"/>
          <w:color w:val="000000"/>
          <w:sz w:val="20"/>
        </w:rPr>
        <w:t>original</w:t>
      </w:r>
      <w:r w:rsidRPr="002C34CB">
        <w:rPr>
          <w:rFonts w:ascii="Arial" w:hAnsi="Arial" w:cs="Arial"/>
          <w:color w:val="000000"/>
          <w:sz w:val="20"/>
        </w:rPr>
        <w:t xml:space="preserve">ly been no statutory mechanism for enforcing such orders.  </w:t>
      </w:r>
      <w:r w:rsidR="00725095">
        <w:rPr>
          <w:rFonts w:ascii="Arial" w:hAnsi="Arial" w:cs="Arial"/>
          <w:color w:val="000000"/>
          <w:sz w:val="20"/>
        </w:rPr>
        <w:t xml:space="preserve">Section </w:t>
      </w:r>
      <w:r>
        <w:rPr>
          <w:rFonts w:ascii="Arial" w:hAnsi="Arial" w:cs="Arial"/>
          <w:color w:val="000000"/>
          <w:sz w:val="20"/>
        </w:rPr>
        <w:t>528A of the CYFA</w:t>
      </w:r>
      <w:r w:rsidRPr="002C34CB">
        <w:rPr>
          <w:rFonts w:ascii="Arial" w:hAnsi="Arial" w:cs="Arial"/>
          <w:color w:val="000000"/>
          <w:sz w:val="20"/>
        </w:rPr>
        <w:t xml:space="preserve"> </w:t>
      </w:r>
      <w:r w:rsidR="00725095">
        <w:rPr>
          <w:rFonts w:ascii="Arial" w:hAnsi="Arial" w:cs="Arial"/>
          <w:color w:val="000000"/>
          <w:sz w:val="20"/>
        </w:rPr>
        <w:t xml:space="preserve">now </w:t>
      </w:r>
      <w:r w:rsidRPr="002C34CB">
        <w:rPr>
          <w:rFonts w:ascii="Arial" w:hAnsi="Arial" w:cs="Arial"/>
          <w:color w:val="000000"/>
          <w:sz w:val="20"/>
        </w:rPr>
        <w:t>fills that gap.  It provides:</w:t>
      </w:r>
    </w:p>
    <w:p w14:paraId="19231F04" w14:textId="77777777" w:rsidR="002C34CB" w:rsidRPr="000713BB" w:rsidRDefault="002C34CB" w:rsidP="000713BB">
      <w:pPr>
        <w:tabs>
          <w:tab w:val="left" w:pos="363"/>
        </w:tabs>
        <w:spacing w:before="60" w:line="240" w:lineRule="exact"/>
        <w:ind w:left="363" w:hanging="363"/>
        <w:jc w:val="both"/>
        <w:rPr>
          <w:rFonts w:ascii="Arial" w:hAnsi="Arial" w:cs="Arial"/>
          <w:color w:val="000000"/>
          <w:sz w:val="20"/>
          <w:lang w:val="en-US"/>
        </w:rPr>
      </w:pPr>
      <w:r w:rsidRPr="000713BB">
        <w:rPr>
          <w:rFonts w:ascii="Arial" w:hAnsi="Arial" w:cs="Arial"/>
          <w:color w:val="000000"/>
          <w:sz w:val="20"/>
          <w:lang w:val="en-US"/>
        </w:rPr>
        <w:t>(</w:t>
      </w:r>
      <w:proofErr w:type="gramStart"/>
      <w:r w:rsidRPr="000713BB">
        <w:rPr>
          <w:rFonts w:ascii="Arial" w:hAnsi="Arial" w:cs="Arial"/>
          <w:color w:val="000000"/>
          <w:sz w:val="20"/>
          <w:lang w:val="en-US"/>
        </w:rPr>
        <w:t>1) ‘</w:t>
      </w:r>
      <w:proofErr w:type="gramEnd"/>
      <w:r w:rsidRPr="000713BB">
        <w:rPr>
          <w:rFonts w:ascii="Arial" w:hAnsi="Arial" w:cs="Arial"/>
          <w:color w:val="000000"/>
          <w:sz w:val="20"/>
          <w:lang w:val="en-US"/>
        </w:rPr>
        <w:t xml:space="preserve">Order for </w:t>
      </w:r>
      <w:proofErr w:type="gramStart"/>
      <w:r w:rsidRPr="000713BB">
        <w:rPr>
          <w:rFonts w:ascii="Arial" w:hAnsi="Arial" w:cs="Arial"/>
          <w:color w:val="000000"/>
          <w:sz w:val="20"/>
          <w:lang w:val="en-US"/>
        </w:rPr>
        <w:t>costs’</w:t>
      </w:r>
      <w:proofErr w:type="gramEnd"/>
      <w:r w:rsidRPr="000713BB">
        <w:rPr>
          <w:rFonts w:ascii="Arial" w:hAnsi="Arial" w:cs="Arial"/>
          <w:color w:val="000000"/>
          <w:sz w:val="20"/>
          <w:lang w:val="en-US"/>
        </w:rPr>
        <w:t xml:space="preserve"> means an or</w:t>
      </w:r>
      <w:r w:rsidR="000713BB">
        <w:rPr>
          <w:rFonts w:ascii="Arial" w:hAnsi="Arial" w:cs="Arial"/>
          <w:color w:val="000000"/>
          <w:sz w:val="20"/>
          <w:lang w:val="en-US"/>
        </w:rPr>
        <w:t>der for costs made by the Court in proceedings in the Family Division or under s.154 of the FVPA or s.111 of the PSIA.</w:t>
      </w:r>
    </w:p>
    <w:p w14:paraId="73698A28" w14:textId="77777777" w:rsidR="002C34CB" w:rsidRPr="000713BB" w:rsidRDefault="000713BB" w:rsidP="000713BB">
      <w:pPr>
        <w:tabs>
          <w:tab w:val="left" w:pos="363"/>
        </w:tabs>
        <w:spacing w:before="60" w:line="240" w:lineRule="exact"/>
        <w:ind w:left="284" w:hanging="284"/>
        <w:jc w:val="both"/>
        <w:rPr>
          <w:rFonts w:ascii="Arial" w:hAnsi="Arial" w:cs="Arial"/>
          <w:color w:val="000000"/>
          <w:sz w:val="20"/>
          <w:lang w:val="en-US"/>
        </w:rPr>
      </w:pPr>
      <w:r w:rsidRPr="000713BB">
        <w:rPr>
          <w:rFonts w:ascii="Arial" w:hAnsi="Arial" w:cs="Arial"/>
          <w:color w:val="000000"/>
          <w:sz w:val="20"/>
          <w:lang w:val="en-US"/>
        </w:rPr>
        <w:t xml:space="preserve"> </w:t>
      </w:r>
      <w:r w:rsidR="002C34CB" w:rsidRPr="000713BB">
        <w:rPr>
          <w:rFonts w:ascii="Arial" w:hAnsi="Arial" w:cs="Arial"/>
          <w:color w:val="000000"/>
          <w:sz w:val="20"/>
          <w:lang w:val="en-US"/>
        </w:rPr>
        <w:t>(2) A person in whose favour an order for costs is made may enforce the order by filing in the appropriate court [viz. a court that has jurisdiction to enforce an amount of costs equivalent to that required to be paid under an order for costs] a copy of the order certified by the principal registrar of the Children’s Court to be a true copy.</w:t>
      </w:r>
    </w:p>
    <w:p w14:paraId="32E61918" w14:textId="77777777" w:rsidR="002C34CB" w:rsidRPr="000713BB" w:rsidRDefault="002C34CB" w:rsidP="000713BB">
      <w:pPr>
        <w:tabs>
          <w:tab w:val="left" w:pos="363"/>
        </w:tabs>
        <w:spacing w:before="60" w:line="240" w:lineRule="exact"/>
        <w:ind w:left="284" w:hanging="284"/>
        <w:jc w:val="both"/>
        <w:rPr>
          <w:rFonts w:ascii="Arial" w:hAnsi="Arial" w:cs="Arial"/>
          <w:color w:val="000000"/>
          <w:sz w:val="20"/>
          <w:lang w:val="en-US"/>
        </w:rPr>
      </w:pPr>
      <w:r w:rsidRPr="000713BB">
        <w:rPr>
          <w:rFonts w:ascii="Arial" w:hAnsi="Arial" w:cs="Arial"/>
          <w:color w:val="000000"/>
          <w:sz w:val="20"/>
          <w:lang w:val="en-US"/>
        </w:rPr>
        <w:t>(3) On filing, the order must be taken to be an order of the appropriate court for payment of costs and may be enforced accordingly.</w:t>
      </w:r>
    </w:p>
    <w:p w14:paraId="405D6B3C" w14:textId="77777777" w:rsidR="000713BB" w:rsidRDefault="000713BB" w:rsidP="000713BB">
      <w:pPr>
        <w:jc w:val="both"/>
        <w:rPr>
          <w:rFonts w:ascii="Arial" w:hAnsi="Arial" w:cs="Arial"/>
          <w:sz w:val="20"/>
        </w:rPr>
      </w:pPr>
    </w:p>
    <w:p w14:paraId="5AE7BB81" w14:textId="77777777" w:rsidR="000713BB" w:rsidRDefault="00725095" w:rsidP="000713BB">
      <w:pPr>
        <w:jc w:val="both"/>
        <w:rPr>
          <w:rFonts w:ascii="Arial" w:hAnsi="Arial" w:cs="Arial"/>
          <w:sz w:val="20"/>
        </w:rPr>
      </w:pPr>
      <w:r>
        <w:rPr>
          <w:rFonts w:ascii="Arial" w:hAnsi="Arial" w:cs="Arial"/>
          <w:color w:val="000000"/>
          <w:sz w:val="20"/>
        </w:rPr>
        <w:lastRenderedPageBreak/>
        <w:t xml:space="preserve">Section </w:t>
      </w:r>
      <w:r w:rsidR="000713BB">
        <w:rPr>
          <w:rFonts w:ascii="Arial" w:hAnsi="Arial" w:cs="Arial"/>
          <w:color w:val="000000"/>
          <w:sz w:val="20"/>
        </w:rPr>
        <w:t xml:space="preserve">170(2) of the FVPA and s.126(2) of the PSIA </w:t>
      </w:r>
      <w:r w:rsidR="000713BB" w:rsidRPr="000713BB">
        <w:rPr>
          <w:rFonts w:ascii="Arial" w:hAnsi="Arial" w:cs="Arial"/>
          <w:color w:val="000000"/>
          <w:sz w:val="20"/>
        </w:rPr>
        <w:t xml:space="preserve">provide that for the purposes of enforcement of an order for costs made under s.154 or s.111 (as the case may be), Division 5 of Part 5 of the </w:t>
      </w:r>
      <w:r w:rsidR="000713BB" w:rsidRPr="003D7E6D">
        <w:rPr>
          <w:rFonts w:ascii="Arial" w:hAnsi="Arial" w:cs="Arial"/>
          <w:i/>
          <w:iCs/>
          <w:color w:val="000000"/>
          <w:sz w:val="20"/>
        </w:rPr>
        <w:t>Magistrates’ Court Act 1989</w:t>
      </w:r>
      <w:r w:rsidR="000713BB" w:rsidRPr="000713BB">
        <w:rPr>
          <w:rFonts w:ascii="Arial" w:hAnsi="Arial" w:cs="Arial"/>
          <w:color w:val="000000"/>
          <w:sz w:val="20"/>
        </w:rPr>
        <w:t xml:space="preserve"> and any relevant rules apply.  These provisions also apply to the enforcement of costs orders made under </w:t>
      </w:r>
      <w:r w:rsidR="000713BB">
        <w:rPr>
          <w:rFonts w:ascii="Arial" w:hAnsi="Arial" w:cs="Arial"/>
          <w:color w:val="000000"/>
          <w:sz w:val="20"/>
        </w:rPr>
        <w:t>the FVPA &amp; PS</w:t>
      </w:r>
      <w:r w:rsidR="000F5EA5">
        <w:rPr>
          <w:rFonts w:ascii="Arial" w:hAnsi="Arial" w:cs="Arial"/>
          <w:color w:val="000000"/>
          <w:sz w:val="20"/>
        </w:rPr>
        <w:t>I</w:t>
      </w:r>
      <w:r w:rsidR="000713BB">
        <w:rPr>
          <w:rFonts w:ascii="Arial" w:hAnsi="Arial" w:cs="Arial"/>
          <w:color w:val="000000"/>
          <w:sz w:val="20"/>
        </w:rPr>
        <w:t xml:space="preserve">A </w:t>
      </w:r>
      <w:r w:rsidR="000713BB" w:rsidRPr="000713BB">
        <w:rPr>
          <w:rFonts w:ascii="Arial" w:hAnsi="Arial" w:cs="Arial"/>
          <w:color w:val="000000"/>
          <w:sz w:val="20"/>
        </w:rPr>
        <w:t>in the Magistrates’ Court.</w:t>
      </w:r>
    </w:p>
    <w:p w14:paraId="0711347C" w14:textId="77777777" w:rsidR="002672DD" w:rsidRDefault="002672DD" w:rsidP="001B5152">
      <w:pPr>
        <w:jc w:val="both"/>
        <w:rPr>
          <w:rFonts w:ascii="Arial" w:hAnsi="Arial" w:cs="Arial"/>
          <w:sz w:val="20"/>
        </w:rPr>
      </w:pPr>
    </w:p>
    <w:p w14:paraId="5DF93F60" w14:textId="79176075" w:rsidR="00482D33" w:rsidRPr="002C34CB" w:rsidRDefault="00482D33" w:rsidP="00482D33">
      <w:pPr>
        <w:pStyle w:val="Heading3"/>
        <w:keepNext/>
        <w:spacing w:after="120" w:line="240" w:lineRule="auto"/>
        <w:rPr>
          <w:rFonts w:ascii="Arial" w:hAnsi="Arial" w:cs="Arial"/>
          <w:b/>
          <w:bCs/>
          <w:sz w:val="20"/>
          <w:lang w:val="en-AU"/>
        </w:rPr>
      </w:pPr>
      <w:bookmarkStart w:id="1201" w:name="_3.10_Appeals_-"/>
      <w:bookmarkStart w:id="1202" w:name="B310"/>
      <w:bookmarkStart w:id="1203" w:name="_3.9.7_Costs_against"/>
      <w:bookmarkEnd w:id="1201"/>
      <w:bookmarkEnd w:id="1202"/>
      <w:bookmarkEnd w:id="1203"/>
      <w:r>
        <w:rPr>
          <w:rFonts w:ascii="Arial" w:hAnsi="Arial" w:cs="Arial"/>
          <w:b/>
          <w:bCs/>
          <w:sz w:val="20"/>
        </w:rPr>
        <w:t>3.9.7</w:t>
      </w:r>
      <w:r>
        <w:rPr>
          <w:rFonts w:ascii="Arial" w:hAnsi="Arial" w:cs="Arial"/>
          <w:b/>
          <w:bCs/>
          <w:sz w:val="20"/>
        </w:rPr>
        <w:tab/>
        <w:t>Costs against the Court</w:t>
      </w:r>
    </w:p>
    <w:p w14:paraId="1020DF94" w14:textId="7FCE48F6" w:rsidR="00F57477" w:rsidRPr="00F57477" w:rsidRDefault="00F57477" w:rsidP="00056361">
      <w:pPr>
        <w:pStyle w:val="jade-noverticalmargins"/>
        <w:shd w:val="clear" w:color="auto" w:fill="FFFFFF"/>
        <w:spacing w:before="0" w:beforeAutospacing="0" w:after="0" w:afterAutospacing="0"/>
        <w:jc w:val="both"/>
        <w:rPr>
          <w:rFonts w:ascii="Arial" w:hAnsi="Arial" w:cs="Arial"/>
          <w:color w:val="000000"/>
          <w:sz w:val="20"/>
          <w:szCs w:val="20"/>
        </w:rPr>
      </w:pPr>
      <w:r>
        <w:rPr>
          <w:rFonts w:ascii="Arial" w:hAnsi="Arial" w:cs="Arial"/>
          <w:sz w:val="20"/>
          <w:szCs w:val="20"/>
        </w:rPr>
        <w:t xml:space="preserve">In </w:t>
      </w:r>
      <w:r w:rsidRPr="00F57477">
        <w:rPr>
          <w:rFonts w:ascii="Arial" w:hAnsi="Arial" w:cs="Arial"/>
          <w:i/>
          <w:iCs/>
          <w:sz w:val="20"/>
          <w:szCs w:val="20"/>
        </w:rPr>
        <w:t>Magistrates’ Court of Victoria at Heidelberg v Robinson</w:t>
      </w:r>
      <w:r>
        <w:rPr>
          <w:rFonts w:ascii="Arial" w:hAnsi="Arial" w:cs="Arial"/>
          <w:sz w:val="20"/>
          <w:szCs w:val="20"/>
        </w:rPr>
        <w:t xml:space="preserve"> </w:t>
      </w:r>
      <w:r w:rsidRPr="00F57477">
        <w:rPr>
          <w:rFonts w:ascii="Arial" w:hAnsi="Arial" w:cs="Arial"/>
          <w:color w:val="000000"/>
          <w:sz w:val="20"/>
          <w:szCs w:val="20"/>
        </w:rPr>
        <w:t>(2000) 2 VR 233;</w:t>
      </w:r>
      <w:r>
        <w:rPr>
          <w:rFonts w:ascii="Arial" w:hAnsi="Arial" w:cs="Arial"/>
          <w:color w:val="000000"/>
          <w:sz w:val="20"/>
          <w:szCs w:val="20"/>
        </w:rPr>
        <w:t xml:space="preserve"> [2000] VSCA 198 at [1</w:t>
      </w:r>
      <w:r w:rsidR="000E62E2">
        <w:rPr>
          <w:rFonts w:ascii="Arial" w:hAnsi="Arial" w:cs="Arial"/>
          <w:color w:val="000000"/>
          <w:sz w:val="20"/>
          <w:szCs w:val="20"/>
        </w:rPr>
        <w:t>3</w:t>
      </w:r>
      <w:r>
        <w:rPr>
          <w:rFonts w:ascii="Arial" w:hAnsi="Arial" w:cs="Arial"/>
          <w:color w:val="000000"/>
          <w:sz w:val="20"/>
          <w:szCs w:val="20"/>
        </w:rPr>
        <w:t>]</w:t>
      </w:r>
      <w:r w:rsidR="000E62E2">
        <w:rPr>
          <w:rFonts w:ascii="Arial" w:hAnsi="Arial" w:cs="Arial"/>
          <w:color w:val="000000"/>
          <w:sz w:val="20"/>
          <w:szCs w:val="20"/>
        </w:rPr>
        <w:t xml:space="preserve"> &amp; </w:t>
      </w:r>
      <w:r>
        <w:rPr>
          <w:rFonts w:ascii="Arial" w:hAnsi="Arial" w:cs="Arial"/>
          <w:color w:val="000000"/>
          <w:sz w:val="20"/>
          <w:szCs w:val="20"/>
        </w:rPr>
        <w:t>[1</w:t>
      </w:r>
      <w:r w:rsidR="000E62E2">
        <w:rPr>
          <w:rFonts w:ascii="Arial" w:hAnsi="Arial" w:cs="Arial"/>
          <w:color w:val="000000"/>
          <w:sz w:val="20"/>
          <w:szCs w:val="20"/>
        </w:rPr>
        <w:t>0</w:t>
      </w:r>
      <w:r>
        <w:rPr>
          <w:rFonts w:ascii="Arial" w:hAnsi="Arial" w:cs="Arial"/>
          <w:color w:val="000000"/>
          <w:sz w:val="20"/>
          <w:szCs w:val="20"/>
        </w:rPr>
        <w:t>]</w:t>
      </w:r>
      <w:r w:rsidR="000E62E2">
        <w:rPr>
          <w:rFonts w:ascii="Arial" w:hAnsi="Arial" w:cs="Arial"/>
          <w:color w:val="000000"/>
          <w:sz w:val="20"/>
          <w:szCs w:val="20"/>
        </w:rPr>
        <w:t>-[11]</w:t>
      </w:r>
      <w:r>
        <w:rPr>
          <w:rFonts w:ascii="Arial" w:hAnsi="Arial" w:cs="Arial"/>
          <w:color w:val="000000"/>
          <w:sz w:val="20"/>
          <w:szCs w:val="20"/>
        </w:rPr>
        <w:t xml:space="preserve"> Brooking JA, with the </w:t>
      </w:r>
      <w:r w:rsidRPr="00F57477">
        <w:rPr>
          <w:rFonts w:ascii="Arial" w:hAnsi="Arial" w:cs="Arial"/>
          <w:color w:val="000000"/>
          <w:sz w:val="20"/>
          <w:szCs w:val="20"/>
        </w:rPr>
        <w:t>agreement of Charles and Buchanan JJA, surveyed the authorities from Victoria, New South Wales and England and identified the following principles:</w:t>
      </w:r>
    </w:p>
    <w:p w14:paraId="35F69CBB" w14:textId="47F26A10" w:rsidR="00F57477" w:rsidRDefault="000E62E2" w:rsidP="00F57477">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[13] “…</w:t>
      </w:r>
      <w:r w:rsidR="00F57477" w:rsidRPr="00F57477">
        <w:rPr>
          <w:rFonts w:ascii="Arial" w:hAnsi="Arial" w:cs="Arial"/>
          <w:sz w:val="20"/>
          <w:szCs w:val="20"/>
        </w:rPr>
        <w:t xml:space="preserve">A settled practice has developed of not awarding costs against an inferior court merely because that court has made a mistake. The practice has been to require a clear case of serious misconduct </w:t>
      </w:r>
      <w:r w:rsidR="00F57477">
        <w:rPr>
          <w:rFonts w:ascii="Arial" w:hAnsi="Arial" w:cs="Arial"/>
          <w:sz w:val="20"/>
          <w:szCs w:val="20"/>
        </w:rPr>
        <w:t>–</w:t>
      </w:r>
      <w:r w:rsidR="00F57477" w:rsidRPr="00F57477">
        <w:rPr>
          <w:rFonts w:ascii="Arial" w:hAnsi="Arial" w:cs="Arial"/>
          <w:sz w:val="20"/>
          <w:szCs w:val="20"/>
        </w:rPr>
        <w:t xml:space="preserve"> misconduct</w:t>
      </w:r>
      <w:r w:rsidR="00F57477">
        <w:rPr>
          <w:rFonts w:ascii="Arial" w:hAnsi="Arial" w:cs="Arial"/>
          <w:sz w:val="20"/>
          <w:szCs w:val="20"/>
        </w:rPr>
        <w:t xml:space="preserve"> </w:t>
      </w:r>
      <w:r w:rsidR="00F57477" w:rsidRPr="00F57477">
        <w:rPr>
          <w:rFonts w:ascii="Arial" w:hAnsi="Arial" w:cs="Arial"/>
          <w:sz w:val="20"/>
          <w:szCs w:val="20"/>
        </w:rPr>
        <w:t>of such a nature as to justify an award of costs. Categories of such misconduct have come to be recognised. They are not exhaustive. What the courts have done is lay down principles or guidelines for the exercise of the discretion</w:t>
      </w:r>
      <w:r>
        <w:rPr>
          <w:rFonts w:ascii="Arial" w:hAnsi="Arial" w:cs="Arial"/>
          <w:sz w:val="20"/>
          <w:szCs w:val="20"/>
        </w:rPr>
        <w:t xml:space="preserve">: </w:t>
      </w:r>
      <w:r w:rsidRPr="000E62E2">
        <w:rPr>
          <w:rFonts w:ascii="Arial" w:hAnsi="Arial" w:cs="Arial"/>
          <w:i/>
          <w:iCs/>
          <w:sz w:val="20"/>
          <w:szCs w:val="20"/>
        </w:rPr>
        <w:t>Aiden Shipping Co Ltd v Interbulk Ltd</w:t>
      </w:r>
      <w:r>
        <w:rPr>
          <w:rFonts w:ascii="Arial" w:hAnsi="Arial" w:cs="Arial"/>
          <w:sz w:val="20"/>
          <w:szCs w:val="20"/>
        </w:rPr>
        <w:t xml:space="preserve"> [1986] AC 965 at 975 per Lord Goff; </w:t>
      </w:r>
      <w:r w:rsidRPr="000E62E2">
        <w:rPr>
          <w:rFonts w:ascii="Arial" w:hAnsi="Arial" w:cs="Arial"/>
          <w:i/>
          <w:iCs/>
          <w:sz w:val="20"/>
          <w:szCs w:val="20"/>
        </w:rPr>
        <w:t>Symphony Group Plc v Hodgson</w:t>
      </w:r>
      <w:r>
        <w:rPr>
          <w:rFonts w:ascii="Arial" w:hAnsi="Arial" w:cs="Arial"/>
          <w:sz w:val="20"/>
          <w:szCs w:val="20"/>
        </w:rPr>
        <w:t xml:space="preserve"> [1994] QB 179 at 192 per Balcombe LJ; Norbis v Norbis (1986) 161 CLR 513; </w:t>
      </w:r>
      <w:r w:rsidRPr="000E62E2">
        <w:rPr>
          <w:rFonts w:ascii="Arial" w:hAnsi="Arial" w:cs="Arial"/>
          <w:i/>
          <w:iCs/>
          <w:sz w:val="20"/>
          <w:szCs w:val="20"/>
        </w:rPr>
        <w:t>Latoudis v Casey</w:t>
      </w:r>
      <w:r>
        <w:rPr>
          <w:rFonts w:ascii="Arial" w:hAnsi="Arial" w:cs="Arial"/>
          <w:sz w:val="20"/>
          <w:szCs w:val="20"/>
        </w:rPr>
        <w:t xml:space="preserve"> (1990) 170 CLR 534 at 541-2 per Mason CJ, 544-5 per Brennan J, 558-9 per Dawson J and 562 per Toohey J; </w:t>
      </w:r>
      <w:r w:rsidRPr="000E62E2">
        <w:rPr>
          <w:rFonts w:ascii="Arial" w:hAnsi="Arial" w:cs="Arial"/>
          <w:i/>
          <w:iCs/>
          <w:sz w:val="20"/>
          <w:szCs w:val="20"/>
        </w:rPr>
        <w:t>El Deeb v Magistrates’ Court of South Australia</w:t>
      </w:r>
      <w:r>
        <w:rPr>
          <w:rFonts w:ascii="Arial" w:hAnsi="Arial" w:cs="Arial"/>
          <w:sz w:val="20"/>
          <w:szCs w:val="20"/>
        </w:rPr>
        <w:t xml:space="preserve"> (1999) 72 SASR 596 at 599.”</w:t>
      </w:r>
    </w:p>
    <w:p w14:paraId="3DED7211" w14:textId="77777777" w:rsidR="000E62E2" w:rsidRDefault="000E62E2" w:rsidP="00F57477">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[10] “…</w:t>
      </w:r>
      <w:r w:rsidR="00F57477" w:rsidRPr="00F57477">
        <w:rPr>
          <w:rFonts w:ascii="Arial" w:hAnsi="Arial" w:cs="Arial"/>
          <w:sz w:val="20"/>
          <w:szCs w:val="20"/>
        </w:rPr>
        <w:t>In my view, the notion of serious misconduct or serious impropriety may be said to underlie the award of costs against inferior courts provided that it is understood that there may be misconduct or impropriety notwithstanding the absence of any </w:t>
      </w:r>
      <w:r w:rsidR="00F57477" w:rsidRPr="00F57477">
        <w:rPr>
          <w:rFonts w:ascii="Arial" w:hAnsi="Arial" w:cs="Arial"/>
          <w:i/>
          <w:iCs/>
          <w:sz w:val="20"/>
          <w:szCs w:val="20"/>
        </w:rPr>
        <w:t>knowing</w:t>
      </w:r>
      <w:r w:rsidR="00F57477" w:rsidRPr="00F57477">
        <w:rPr>
          <w:rFonts w:ascii="Arial" w:hAnsi="Arial" w:cs="Arial"/>
          <w:sz w:val="20"/>
          <w:szCs w:val="20"/>
        </w:rPr>
        <w:t xml:space="preserve"> departure from elementary principles. By this I mean that the person or persons constituting the court may be said to be guilty of serious misconduct or serious impropriety if they failed to observe some fundamental principle of justice notwithstanding that they were ignorant of that principle. Some principles are so fundamental that it may be regarded as misconduct or impropriety in the necessary sense for an inferior court not to observe them notwithstanding that the court is unaware of them. There is, I think, here to be drawn a distinction between rules of substantive law and the fundamental rules of natural justice. The superior court may be prepared to regard even </w:t>
      </w:r>
      <w:r w:rsidR="00F57477">
        <w:rPr>
          <w:rFonts w:ascii="Arial" w:hAnsi="Arial" w:cs="Arial"/>
          <w:sz w:val="20"/>
          <w:szCs w:val="20"/>
        </w:rPr>
        <w:t>‘</w:t>
      </w:r>
      <w:r w:rsidR="00F57477" w:rsidRPr="00F57477">
        <w:rPr>
          <w:rFonts w:ascii="Arial" w:hAnsi="Arial" w:cs="Arial"/>
          <w:sz w:val="20"/>
          <w:szCs w:val="20"/>
        </w:rPr>
        <w:t>an astounding blunder</w:t>
      </w:r>
      <w:r w:rsidR="00F57477">
        <w:rPr>
          <w:rFonts w:ascii="Arial" w:hAnsi="Arial" w:cs="Arial"/>
          <w:sz w:val="20"/>
          <w:szCs w:val="20"/>
        </w:rPr>
        <w:t>’</w:t>
      </w:r>
      <w:r w:rsidR="00F57477" w:rsidRPr="00F57477">
        <w:rPr>
          <w:rFonts w:ascii="Arial" w:hAnsi="Arial" w:cs="Arial"/>
          <w:sz w:val="20"/>
          <w:szCs w:val="20"/>
        </w:rPr>
        <w:t xml:space="preserve"> in a matter of substantive law as not exhibiting </w:t>
      </w:r>
      <w:r w:rsidR="00F57477">
        <w:rPr>
          <w:rFonts w:ascii="Arial" w:hAnsi="Arial" w:cs="Arial"/>
          <w:sz w:val="20"/>
          <w:szCs w:val="20"/>
        </w:rPr>
        <w:t>‘</w:t>
      </w:r>
      <w:r w:rsidR="00F57477" w:rsidRPr="00F57477">
        <w:rPr>
          <w:rFonts w:ascii="Arial" w:hAnsi="Arial" w:cs="Arial"/>
          <w:sz w:val="20"/>
          <w:szCs w:val="20"/>
        </w:rPr>
        <w:t>gross ignorance</w:t>
      </w:r>
      <w:r w:rsidR="00F57477">
        <w:rPr>
          <w:rFonts w:ascii="Arial" w:hAnsi="Arial" w:cs="Arial"/>
          <w:sz w:val="20"/>
          <w:szCs w:val="20"/>
        </w:rPr>
        <w:t>’</w:t>
      </w:r>
      <w:r w:rsidR="00F57477" w:rsidRPr="00F57477">
        <w:rPr>
          <w:rFonts w:ascii="Arial" w:hAnsi="Arial" w:cs="Arial"/>
          <w:sz w:val="20"/>
          <w:szCs w:val="20"/>
        </w:rPr>
        <w:t xml:space="preserve"> in a necessary sense and, in the absence of </w:t>
      </w:r>
      <w:r w:rsidR="00F57477">
        <w:rPr>
          <w:rFonts w:ascii="Arial" w:hAnsi="Arial" w:cs="Arial"/>
          <w:sz w:val="20"/>
          <w:szCs w:val="20"/>
        </w:rPr>
        <w:t>‘</w:t>
      </w:r>
      <w:r w:rsidR="00F57477" w:rsidRPr="00F57477">
        <w:rPr>
          <w:rFonts w:ascii="Arial" w:hAnsi="Arial" w:cs="Arial"/>
          <w:sz w:val="20"/>
          <w:szCs w:val="20"/>
        </w:rPr>
        <w:t>perversity</w:t>
      </w:r>
      <w:r w:rsidR="00F57477">
        <w:rPr>
          <w:rFonts w:ascii="Arial" w:hAnsi="Arial" w:cs="Arial"/>
          <w:sz w:val="20"/>
          <w:szCs w:val="20"/>
        </w:rPr>
        <w:t>’</w:t>
      </w:r>
      <w:r w:rsidR="00F57477" w:rsidRPr="00F57477">
        <w:rPr>
          <w:rFonts w:ascii="Arial" w:hAnsi="Arial" w:cs="Arial"/>
          <w:sz w:val="20"/>
          <w:szCs w:val="20"/>
        </w:rPr>
        <w:t xml:space="preserve">, may decline to make an order for costs against the inferior court, although a stage might be reached at which the rule of substantive law that had, albeit through ignorance, not been applied was so fundamental as to require the case to be viewed as one of misconduct or impropriety and so as making an award of costs appropriate. But when one is concerned, not with some “ordinary” rule of substantive law, but with the fundamental principles concerning procedural fairness or natural justice, the inferior court may be held not to be excused by its own ignorance. In considering the suggestion of </w:t>
      </w:r>
      <w:r w:rsidR="00F57477">
        <w:rPr>
          <w:rFonts w:ascii="Arial" w:hAnsi="Arial" w:cs="Arial"/>
          <w:sz w:val="20"/>
          <w:szCs w:val="20"/>
        </w:rPr>
        <w:t>‘</w:t>
      </w:r>
      <w:r w:rsidR="00F57477" w:rsidRPr="00F57477">
        <w:rPr>
          <w:rFonts w:ascii="Arial" w:hAnsi="Arial" w:cs="Arial"/>
          <w:sz w:val="20"/>
          <w:szCs w:val="20"/>
        </w:rPr>
        <w:t>gross ignorance</w:t>
      </w:r>
      <w:r w:rsidR="00F57477">
        <w:rPr>
          <w:rFonts w:ascii="Arial" w:hAnsi="Arial" w:cs="Arial"/>
          <w:sz w:val="20"/>
          <w:szCs w:val="20"/>
        </w:rPr>
        <w:t>’</w:t>
      </w:r>
      <w:r w:rsidR="00F57477" w:rsidRPr="00F57477">
        <w:rPr>
          <w:rFonts w:ascii="Arial" w:hAnsi="Arial" w:cs="Arial"/>
          <w:sz w:val="20"/>
          <w:szCs w:val="20"/>
        </w:rPr>
        <w:t>, and what is to be excused, one cannot overlook the fact that the lay and honorary justice has given way to the legally qualified professional magistrate. But in saying this I do not wish to suggest that a mere blunder should attract an award of costs: the approach should still be benign, or reasonably so, where a bona fide mistake has been made.</w:t>
      </w:r>
    </w:p>
    <w:p w14:paraId="276C9B3F" w14:textId="5F5D2C49" w:rsidR="00F57477" w:rsidRPr="00F57477" w:rsidRDefault="000E62E2" w:rsidP="00F57477">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 xml:space="preserve">[11] …Marks J in </w:t>
      </w:r>
      <w:r w:rsidRPr="000E62E2">
        <w:rPr>
          <w:rFonts w:ascii="Arial" w:hAnsi="Arial" w:cs="Arial"/>
          <w:i/>
          <w:iCs/>
          <w:sz w:val="20"/>
          <w:szCs w:val="20"/>
        </w:rPr>
        <w:t>Edwards v Hutchins</w:t>
      </w:r>
      <w:r>
        <w:rPr>
          <w:rFonts w:ascii="Arial" w:hAnsi="Arial" w:cs="Arial"/>
          <w:sz w:val="20"/>
          <w:szCs w:val="20"/>
        </w:rPr>
        <w:t xml:space="preserve"> (Supreme Court of Victoria, unreported, 31/10/1990) said that [the New South Wales authorities] supported the proposition that an order for costs would not ordinarily be made against a magistrate in the absence of perverse or shameful </w:t>
      </w:r>
      <w:r w:rsidR="003D3944">
        <w:rPr>
          <w:rFonts w:ascii="Arial" w:hAnsi="Arial" w:cs="Arial"/>
          <w:sz w:val="20"/>
          <w:szCs w:val="20"/>
        </w:rPr>
        <w:t xml:space="preserve">in </w:t>
      </w:r>
      <w:r>
        <w:rPr>
          <w:rFonts w:ascii="Arial" w:hAnsi="Arial" w:cs="Arial"/>
          <w:sz w:val="20"/>
          <w:szCs w:val="20"/>
        </w:rPr>
        <w:t xml:space="preserve">conduct…In </w:t>
      </w:r>
      <w:r w:rsidRPr="003D3944">
        <w:rPr>
          <w:rFonts w:ascii="Arial" w:hAnsi="Arial" w:cs="Arial"/>
          <w:i/>
          <w:iCs/>
          <w:sz w:val="20"/>
          <w:szCs w:val="20"/>
        </w:rPr>
        <w:t>Munro v West</w:t>
      </w:r>
      <w:r>
        <w:rPr>
          <w:rFonts w:ascii="Arial" w:hAnsi="Arial" w:cs="Arial"/>
          <w:sz w:val="20"/>
          <w:szCs w:val="20"/>
        </w:rPr>
        <w:t xml:space="preserve"> (Supreme Court of Victoria, unreported, 07/03/1997) Smith J derived from them the test of whether there was a clear case of </w:t>
      </w:r>
      <w:r w:rsidR="003D3944">
        <w:rPr>
          <w:rFonts w:ascii="Arial" w:hAnsi="Arial" w:cs="Arial"/>
          <w:sz w:val="20"/>
          <w:szCs w:val="20"/>
        </w:rPr>
        <w:t xml:space="preserve">serious misconduct.  Chernov J, in </w:t>
      </w:r>
      <w:r w:rsidR="003D3944" w:rsidRPr="003D3944">
        <w:rPr>
          <w:rFonts w:ascii="Arial" w:hAnsi="Arial" w:cs="Arial"/>
          <w:i/>
          <w:iCs/>
          <w:sz w:val="20"/>
          <w:szCs w:val="20"/>
        </w:rPr>
        <w:t>Charter Homes Pty Ltd v Housing Guarantee Fund Ltd</w:t>
      </w:r>
      <w:r w:rsidR="003D3944">
        <w:rPr>
          <w:rFonts w:ascii="Arial" w:hAnsi="Arial" w:cs="Arial"/>
          <w:sz w:val="20"/>
          <w:szCs w:val="20"/>
        </w:rPr>
        <w:t xml:space="preserve"> (Supreme Court of Victoria, unreported, 07/03/1997) used a number of expressions to be derived from the decisions in New South Wales, as did Charles JA, speaking for the court, in </w:t>
      </w:r>
      <w:r w:rsidR="003D3944" w:rsidRPr="003D3944">
        <w:rPr>
          <w:rFonts w:ascii="Arial" w:hAnsi="Arial" w:cs="Arial"/>
          <w:i/>
          <w:iCs/>
          <w:sz w:val="20"/>
          <w:szCs w:val="20"/>
        </w:rPr>
        <w:t>Psychologists’ Registration Board of Victoria v Herald &amp; Weekly Times Ltd</w:t>
      </w:r>
      <w:r w:rsidR="003D3944">
        <w:rPr>
          <w:rFonts w:ascii="Arial" w:hAnsi="Arial" w:cs="Arial"/>
          <w:sz w:val="20"/>
          <w:szCs w:val="20"/>
        </w:rPr>
        <w:t xml:space="preserve"> [2000] VSCA 118 at [111].”</w:t>
      </w:r>
    </w:p>
    <w:p w14:paraId="44927E3D" w14:textId="77777777" w:rsidR="00056361" w:rsidRDefault="00056361" w:rsidP="00056361">
      <w:pPr>
        <w:pStyle w:val="NormalWeb"/>
        <w:shd w:val="clear" w:color="auto" w:fill="FFFFFF"/>
        <w:spacing w:before="0" w:beforeAutospacing="0" w:after="0" w:afterAutospacing="0"/>
        <w:jc w:val="both"/>
        <w:rPr>
          <w:rFonts w:ascii="Arial" w:hAnsi="Arial" w:cs="Arial"/>
          <w:sz w:val="20"/>
          <w:szCs w:val="20"/>
        </w:rPr>
      </w:pPr>
    </w:p>
    <w:p w14:paraId="6E03747C" w14:textId="61371722" w:rsidR="00056361" w:rsidRDefault="003D3944" w:rsidP="00056361">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In </w:t>
      </w:r>
      <w:r w:rsidRPr="00482D33">
        <w:rPr>
          <w:rFonts w:ascii="Arial" w:hAnsi="Arial" w:cs="Arial"/>
          <w:i/>
          <w:iCs/>
          <w:sz w:val="20"/>
          <w:szCs w:val="20"/>
        </w:rPr>
        <w:t>Travis v Rando &amp; Anor</w:t>
      </w:r>
      <w:r>
        <w:rPr>
          <w:rFonts w:ascii="Arial" w:hAnsi="Arial" w:cs="Arial"/>
          <w:sz w:val="20"/>
          <w:szCs w:val="20"/>
        </w:rPr>
        <w:t xml:space="preserve"> [2022] VSC 782, in refusing applications by both parties for costs against the Magistrates’ Court of Victoria in a case in which the presiding magistrate had made “an error </w:t>
      </w:r>
      <w:r w:rsidRPr="003D3944">
        <w:rPr>
          <w:rFonts w:ascii="Arial" w:hAnsi="Arial" w:cs="Arial"/>
          <w:sz w:val="20"/>
          <w:szCs w:val="20"/>
        </w:rPr>
        <w:t>relating to the fundamental principles concerning procedural fairness and natural justice</w:t>
      </w:r>
      <w:r>
        <w:rPr>
          <w:rFonts w:ascii="Arial" w:hAnsi="Arial" w:cs="Arial"/>
          <w:sz w:val="20"/>
          <w:szCs w:val="20"/>
        </w:rPr>
        <w:t>”, Irving AsJ</w:t>
      </w:r>
      <w:r w:rsidR="00366998" w:rsidRPr="00A31FFA">
        <w:rPr>
          <w:rFonts w:ascii="Arial" w:hAnsi="Arial" w:cs="Arial"/>
          <w:sz w:val="20"/>
        </w:rPr>
        <w:t>–</w:t>
      </w:r>
    </w:p>
    <w:p w14:paraId="7EF18BF5" w14:textId="1EFB6B75" w:rsidR="00056361" w:rsidRDefault="005D0117">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Pr>
          <w:rFonts w:ascii="Arial" w:hAnsi="Arial" w:cs="Arial"/>
          <w:sz w:val="20"/>
          <w:szCs w:val="20"/>
        </w:rPr>
        <w:t xml:space="preserve">cited at [8] the above dicta of Brooking JA in </w:t>
      </w:r>
      <w:r w:rsidRPr="00F57477">
        <w:rPr>
          <w:rFonts w:ascii="Arial" w:hAnsi="Arial" w:cs="Arial"/>
          <w:i/>
          <w:iCs/>
          <w:sz w:val="20"/>
          <w:szCs w:val="20"/>
        </w:rPr>
        <w:t>Magistrates’ Court of Victoria at Heidelberg v Robinson</w:t>
      </w:r>
      <w:r w:rsidR="003D3944">
        <w:rPr>
          <w:rFonts w:ascii="Arial" w:hAnsi="Arial" w:cs="Arial"/>
          <w:sz w:val="20"/>
          <w:szCs w:val="20"/>
        </w:rPr>
        <w:t xml:space="preserve"> </w:t>
      </w:r>
      <w:r>
        <w:rPr>
          <w:rFonts w:ascii="Arial" w:hAnsi="Arial" w:cs="Arial"/>
          <w:sz w:val="20"/>
          <w:szCs w:val="20"/>
        </w:rPr>
        <w:t>at [10] &amp; [13]</w:t>
      </w:r>
      <w:r w:rsidR="00056361">
        <w:rPr>
          <w:rFonts w:ascii="Arial" w:hAnsi="Arial" w:cs="Arial"/>
          <w:sz w:val="20"/>
          <w:szCs w:val="20"/>
        </w:rPr>
        <w:t>; and</w:t>
      </w:r>
    </w:p>
    <w:p w14:paraId="50E772E5" w14:textId="1CE93620" w:rsidR="00F57477" w:rsidRPr="00F57477" w:rsidRDefault="00056361">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Pr>
          <w:rFonts w:ascii="Arial" w:hAnsi="Arial" w:cs="Arial"/>
          <w:sz w:val="20"/>
          <w:szCs w:val="20"/>
        </w:rPr>
        <w:t xml:space="preserve">noted </w:t>
      </w:r>
      <w:r w:rsidR="005D0117">
        <w:rPr>
          <w:rFonts w:ascii="Arial" w:hAnsi="Arial" w:cs="Arial"/>
          <w:sz w:val="20"/>
          <w:szCs w:val="20"/>
        </w:rPr>
        <w:t xml:space="preserve">at [9] that Brooking JA </w:t>
      </w:r>
      <w:r>
        <w:rPr>
          <w:rFonts w:ascii="Arial" w:hAnsi="Arial" w:cs="Arial"/>
          <w:sz w:val="20"/>
          <w:szCs w:val="20"/>
        </w:rPr>
        <w:t xml:space="preserve">had </w:t>
      </w:r>
      <w:r w:rsidR="005D0117">
        <w:rPr>
          <w:rFonts w:ascii="Arial" w:hAnsi="Arial" w:cs="Arial"/>
          <w:sz w:val="20"/>
          <w:szCs w:val="20"/>
        </w:rPr>
        <w:t xml:space="preserve">considered </w:t>
      </w:r>
      <w:r>
        <w:rPr>
          <w:rFonts w:ascii="Arial" w:hAnsi="Arial" w:cs="Arial"/>
          <w:sz w:val="20"/>
          <w:szCs w:val="20"/>
        </w:rPr>
        <w:t xml:space="preserve">at [7] </w:t>
      </w:r>
      <w:r w:rsidR="005D0117">
        <w:rPr>
          <w:rFonts w:ascii="Arial" w:hAnsi="Arial" w:cs="Arial"/>
          <w:sz w:val="20"/>
          <w:szCs w:val="20"/>
        </w:rPr>
        <w:t xml:space="preserve">that the word ‘perverse’ </w:t>
      </w:r>
      <w:r>
        <w:rPr>
          <w:rFonts w:ascii="Arial" w:hAnsi="Arial" w:cs="Arial"/>
          <w:sz w:val="20"/>
          <w:szCs w:val="20"/>
        </w:rPr>
        <w:t>was used in the New South Wales cases to “suggest something more than error, or manifest error, and conveys some such notion as obstinacy or persistence in error”.</w:t>
      </w:r>
    </w:p>
    <w:p w14:paraId="5A2FA789" w14:textId="6CAE4DA5" w:rsidR="00F57477" w:rsidRDefault="00056361" w:rsidP="00093E02">
      <w:pPr>
        <w:pStyle w:val="NormalWeb"/>
        <w:keepNext/>
        <w:keepLines/>
        <w:shd w:val="clear" w:color="auto" w:fill="FFFFFF"/>
        <w:spacing w:before="60" w:beforeAutospacing="0" w:after="0" w:afterAutospacing="0"/>
        <w:rPr>
          <w:rFonts w:ascii="Arial" w:hAnsi="Arial" w:cs="Arial"/>
          <w:sz w:val="20"/>
          <w:szCs w:val="20"/>
        </w:rPr>
      </w:pPr>
      <w:r>
        <w:rPr>
          <w:rFonts w:ascii="Arial" w:hAnsi="Arial" w:cs="Arial"/>
          <w:sz w:val="20"/>
          <w:szCs w:val="20"/>
        </w:rPr>
        <w:lastRenderedPageBreak/>
        <w:t>At [14] Irving AsJ concluded:</w:t>
      </w:r>
    </w:p>
    <w:p w14:paraId="07FF653A" w14:textId="2BA859A1" w:rsidR="00056361" w:rsidRDefault="00056361" w:rsidP="00056361">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3D3944">
        <w:rPr>
          <w:rFonts w:ascii="Arial" w:hAnsi="Arial" w:cs="Arial"/>
          <w:sz w:val="20"/>
          <w:szCs w:val="20"/>
        </w:rPr>
        <w:t>In refusing to allow Travis to make submissions or to stand the matter down to allow Travis to obtain the relevant authority, the Magistrate was clearly acting on his own, albeit incorrect, understanding of the law.</w:t>
      </w:r>
      <w:r>
        <w:rPr>
          <w:rFonts w:ascii="Arial" w:hAnsi="Arial" w:cs="Arial"/>
          <w:sz w:val="20"/>
          <w:szCs w:val="20"/>
        </w:rPr>
        <w:t xml:space="preserve"> </w:t>
      </w:r>
      <w:r w:rsidRPr="003D3944">
        <w:rPr>
          <w:rFonts w:ascii="Arial" w:hAnsi="Arial" w:cs="Arial"/>
          <w:sz w:val="20"/>
          <w:szCs w:val="20"/>
        </w:rPr>
        <w:t xml:space="preserve"> I</w:t>
      </w:r>
      <w:r>
        <w:rPr>
          <w:rFonts w:ascii="Arial" w:hAnsi="Arial" w:cs="Arial"/>
          <w:sz w:val="20"/>
          <w:szCs w:val="20"/>
        </w:rPr>
        <w:t xml:space="preserve"> </w:t>
      </w:r>
      <w:r w:rsidRPr="003D3944">
        <w:rPr>
          <w:rFonts w:ascii="Arial" w:hAnsi="Arial" w:cs="Arial"/>
          <w:sz w:val="20"/>
          <w:szCs w:val="20"/>
        </w:rPr>
        <w:t xml:space="preserve">cannot however be satisfied that the Magistrate acted in a way that meant his manifest error can be regarded as serious misconduct. </w:t>
      </w:r>
      <w:r>
        <w:rPr>
          <w:rFonts w:ascii="Arial" w:hAnsi="Arial" w:cs="Arial"/>
          <w:sz w:val="20"/>
          <w:szCs w:val="20"/>
        </w:rPr>
        <w:t xml:space="preserve"> </w:t>
      </w:r>
      <w:r w:rsidRPr="003D3944">
        <w:rPr>
          <w:rFonts w:ascii="Arial" w:hAnsi="Arial" w:cs="Arial"/>
          <w:sz w:val="20"/>
          <w:szCs w:val="20"/>
        </w:rPr>
        <w:t>The</w:t>
      </w:r>
      <w:r>
        <w:rPr>
          <w:rFonts w:ascii="Arial" w:hAnsi="Arial" w:cs="Arial"/>
          <w:sz w:val="20"/>
          <w:szCs w:val="20"/>
        </w:rPr>
        <w:t xml:space="preserve"> </w:t>
      </w:r>
      <w:r w:rsidRPr="003D3944">
        <w:rPr>
          <w:rFonts w:ascii="Arial" w:hAnsi="Arial" w:cs="Arial"/>
          <w:sz w:val="20"/>
          <w:szCs w:val="20"/>
        </w:rPr>
        <w:t>consequence of the Magistrate’s actions was serious in that the prosecution was denied procedural fairness.  In my view the brief extract of the transcript provided does not clearly show that the Magistrate acted with obstinance or persisted in error when viewed in the context of his own misunderstanding of the law.  Bearing in mind the caution with which the Court should approach ordering costs against an inferior court, I am not satisfied that it is appropriate to make such a costs order in this matter.</w:t>
      </w:r>
      <w:r>
        <w:rPr>
          <w:rFonts w:ascii="Arial" w:hAnsi="Arial" w:cs="Arial"/>
          <w:sz w:val="20"/>
          <w:szCs w:val="20"/>
        </w:rPr>
        <w:t>”</w:t>
      </w:r>
    </w:p>
    <w:p w14:paraId="4EB59EBC" w14:textId="16C7335E" w:rsidR="00056361" w:rsidRDefault="00056361" w:rsidP="00056361">
      <w:pPr>
        <w:pStyle w:val="NormalWeb"/>
        <w:shd w:val="clear" w:color="auto" w:fill="FFFFFF"/>
        <w:spacing w:before="0" w:beforeAutospacing="0" w:after="0" w:afterAutospacing="0"/>
        <w:rPr>
          <w:rFonts w:ascii="Arial" w:hAnsi="Arial" w:cs="Arial"/>
          <w:sz w:val="20"/>
          <w:szCs w:val="20"/>
        </w:rPr>
      </w:pPr>
    </w:p>
    <w:p w14:paraId="730A4F59" w14:textId="711CAD10" w:rsidR="00F6291A" w:rsidRPr="00F6291A" w:rsidRDefault="00F6291A" w:rsidP="00F6291A">
      <w:pPr>
        <w:pStyle w:val="NormalWeb"/>
        <w:shd w:val="clear" w:color="auto" w:fill="FFFFFF"/>
        <w:spacing w:before="0" w:beforeAutospacing="0" w:after="0" w:afterAutospacing="0"/>
        <w:jc w:val="both"/>
        <w:rPr>
          <w:rFonts w:ascii="Arial" w:hAnsi="Arial" w:cs="Arial"/>
          <w:sz w:val="20"/>
          <w:szCs w:val="20"/>
        </w:rPr>
      </w:pPr>
      <w:r w:rsidRPr="00F6291A">
        <w:rPr>
          <w:rFonts w:ascii="Arial" w:hAnsi="Arial" w:cs="Arial"/>
          <w:sz w:val="20"/>
          <w:szCs w:val="20"/>
        </w:rPr>
        <w:t xml:space="preserve">See also </w:t>
      </w:r>
      <w:r w:rsidRPr="00F6291A">
        <w:rPr>
          <w:rFonts w:ascii="Arial" w:eastAsia="Book Antiqua" w:hAnsi="Arial" w:cs="Arial"/>
          <w:i/>
          <w:sz w:val="20"/>
          <w:szCs w:val="20"/>
        </w:rPr>
        <w:t>Swebbs v Magistrates’ Court of Victoria (No 2)</w:t>
      </w:r>
      <w:r w:rsidRPr="00F6291A">
        <w:rPr>
          <w:rFonts w:ascii="Arial" w:hAnsi="Arial" w:cs="Arial"/>
          <w:sz w:val="20"/>
          <w:szCs w:val="20"/>
        </w:rPr>
        <w:t xml:space="preserve"> [2017] VSC 339 (Ginnane J); </w:t>
      </w:r>
      <w:r w:rsidRPr="00F6291A">
        <w:rPr>
          <w:rFonts w:ascii="Arial" w:hAnsi="Arial" w:cs="Arial"/>
          <w:i/>
          <w:iCs/>
          <w:sz w:val="20"/>
          <w:szCs w:val="20"/>
        </w:rPr>
        <w:t>DDD v Magistrates’ Court of Victoria</w:t>
      </w:r>
      <w:r>
        <w:rPr>
          <w:rFonts w:ascii="Arial" w:hAnsi="Arial" w:cs="Arial"/>
          <w:sz w:val="20"/>
          <w:szCs w:val="20"/>
        </w:rPr>
        <w:t xml:space="preserve"> [2023] VSC 89 at [167] (Croucher J)</w:t>
      </w:r>
      <w:r w:rsidRPr="00F6291A">
        <w:rPr>
          <w:rFonts w:ascii="Arial" w:hAnsi="Arial" w:cs="Arial"/>
          <w:sz w:val="20"/>
          <w:szCs w:val="20"/>
        </w:rPr>
        <w:t>.</w:t>
      </w:r>
    </w:p>
    <w:p w14:paraId="3B26F26F" w14:textId="697C51A9" w:rsidR="00F6291A" w:rsidRDefault="00F6291A" w:rsidP="00056361">
      <w:pPr>
        <w:pStyle w:val="NormalWeb"/>
        <w:shd w:val="clear" w:color="auto" w:fill="FFFFFF"/>
        <w:spacing w:before="0" w:beforeAutospacing="0" w:after="0" w:afterAutospacing="0"/>
        <w:rPr>
          <w:rFonts w:ascii="Arial" w:hAnsi="Arial" w:cs="Arial"/>
          <w:sz w:val="20"/>
          <w:szCs w:val="20"/>
        </w:rPr>
      </w:pPr>
    </w:p>
    <w:p w14:paraId="727BBB91" w14:textId="3EEEA7DE" w:rsidR="00170463" w:rsidRPr="002C34CB" w:rsidRDefault="00170463" w:rsidP="00170463">
      <w:pPr>
        <w:pStyle w:val="Heading3"/>
        <w:keepNext/>
        <w:spacing w:after="120" w:line="240" w:lineRule="auto"/>
        <w:rPr>
          <w:rFonts w:ascii="Arial" w:hAnsi="Arial" w:cs="Arial"/>
          <w:b/>
          <w:bCs/>
          <w:sz w:val="20"/>
          <w:lang w:val="en-AU"/>
        </w:rPr>
      </w:pPr>
      <w:bookmarkStart w:id="1204" w:name="_3.9.8_The_Appeal"/>
      <w:bookmarkEnd w:id="1204"/>
      <w:r>
        <w:rPr>
          <w:rFonts w:ascii="Arial" w:hAnsi="Arial" w:cs="Arial"/>
          <w:b/>
          <w:bCs/>
          <w:sz w:val="20"/>
        </w:rPr>
        <w:t>3.9.8</w:t>
      </w:r>
      <w:r>
        <w:rPr>
          <w:rFonts w:ascii="Arial" w:hAnsi="Arial" w:cs="Arial"/>
          <w:b/>
          <w:bCs/>
          <w:sz w:val="20"/>
        </w:rPr>
        <w:tab/>
      </w:r>
      <w:r w:rsidR="001C3EC1">
        <w:rPr>
          <w:rFonts w:ascii="Arial" w:hAnsi="Arial" w:cs="Arial"/>
          <w:b/>
          <w:bCs/>
          <w:sz w:val="20"/>
        </w:rPr>
        <w:t>Costs i</w:t>
      </w:r>
      <w:r w:rsidR="00411175">
        <w:rPr>
          <w:rFonts w:ascii="Arial" w:hAnsi="Arial" w:cs="Arial"/>
          <w:b/>
          <w:bCs/>
          <w:sz w:val="20"/>
        </w:rPr>
        <w:t xml:space="preserve">ndemnity </w:t>
      </w:r>
      <w:r w:rsidR="001C3EC1">
        <w:rPr>
          <w:rFonts w:ascii="Arial" w:hAnsi="Arial" w:cs="Arial"/>
          <w:b/>
          <w:bCs/>
          <w:sz w:val="20"/>
        </w:rPr>
        <w:t>c</w:t>
      </w:r>
      <w:r w:rsidR="00411175">
        <w:rPr>
          <w:rFonts w:ascii="Arial" w:hAnsi="Arial" w:cs="Arial"/>
          <w:b/>
          <w:bCs/>
          <w:sz w:val="20"/>
        </w:rPr>
        <w:t xml:space="preserve">ertificates under the </w:t>
      </w:r>
      <w:r>
        <w:rPr>
          <w:rFonts w:ascii="Arial" w:hAnsi="Arial" w:cs="Arial"/>
          <w:b/>
          <w:bCs/>
          <w:sz w:val="20"/>
        </w:rPr>
        <w:t>Appeal Costs Act</w:t>
      </w:r>
    </w:p>
    <w:p w14:paraId="0F4DC05D" w14:textId="2051288D" w:rsidR="00482D33" w:rsidRPr="00C47ABC" w:rsidRDefault="00C47ABC" w:rsidP="00482D33">
      <w:pPr>
        <w:jc w:val="both"/>
        <w:rPr>
          <w:rFonts w:ascii="Arial" w:hAnsi="Arial" w:cs="Arial"/>
          <w:sz w:val="16"/>
          <w:szCs w:val="16"/>
        </w:rPr>
      </w:pPr>
      <w:r w:rsidRPr="00C47ABC">
        <w:rPr>
          <w:rFonts w:ascii="Arial" w:hAnsi="Arial" w:cs="Arial"/>
          <w:sz w:val="20"/>
          <w:szCs w:val="20"/>
        </w:rPr>
        <w:t xml:space="preserve">The </w:t>
      </w:r>
      <w:r w:rsidRPr="00C47ABC">
        <w:rPr>
          <w:rFonts w:ascii="Arial" w:hAnsi="Arial" w:cs="Arial"/>
          <w:i/>
          <w:iCs/>
          <w:sz w:val="20"/>
          <w:szCs w:val="20"/>
        </w:rPr>
        <w:t>Appeal Costs Act 199</w:t>
      </w:r>
      <w:r>
        <w:rPr>
          <w:rFonts w:ascii="Arial" w:hAnsi="Arial" w:cs="Arial"/>
          <w:i/>
          <w:iCs/>
          <w:sz w:val="20"/>
          <w:szCs w:val="20"/>
        </w:rPr>
        <w:t>8</w:t>
      </w:r>
      <w:r w:rsidRPr="00C47ABC">
        <w:rPr>
          <w:rFonts w:ascii="Arial" w:hAnsi="Arial" w:cs="Arial"/>
          <w:sz w:val="20"/>
          <w:szCs w:val="20"/>
        </w:rPr>
        <w:t xml:space="preserve"> [ACA] – which re-enacts with amendments the </w:t>
      </w:r>
      <w:r w:rsidRPr="00C47ABC">
        <w:rPr>
          <w:rFonts w:ascii="Arial" w:hAnsi="Arial" w:cs="Arial"/>
          <w:i/>
          <w:iCs/>
          <w:sz w:val="20"/>
          <w:szCs w:val="20"/>
        </w:rPr>
        <w:t>Appeal Costs Act 1964</w:t>
      </w:r>
      <w:r w:rsidRPr="00C47ABC">
        <w:rPr>
          <w:rFonts w:ascii="Arial" w:hAnsi="Arial" w:cs="Arial"/>
          <w:sz w:val="20"/>
          <w:szCs w:val="20"/>
        </w:rPr>
        <w:t xml:space="preserve">. </w:t>
      </w:r>
      <w:r>
        <w:rPr>
          <w:rFonts w:ascii="Arial" w:hAnsi="Arial" w:cs="Arial"/>
          <w:sz w:val="20"/>
          <w:szCs w:val="20"/>
        </w:rPr>
        <w:t xml:space="preserve">– empowers </w:t>
      </w:r>
      <w:r w:rsidR="005B16EA">
        <w:rPr>
          <w:rFonts w:ascii="Arial" w:hAnsi="Arial" w:cs="Arial"/>
          <w:sz w:val="20"/>
          <w:szCs w:val="20"/>
        </w:rPr>
        <w:t xml:space="preserve">the </w:t>
      </w:r>
      <w:r>
        <w:rPr>
          <w:rFonts w:ascii="Arial" w:hAnsi="Arial" w:cs="Arial"/>
          <w:sz w:val="20"/>
          <w:szCs w:val="20"/>
        </w:rPr>
        <w:t xml:space="preserve">issue </w:t>
      </w:r>
      <w:r w:rsidR="005B16EA">
        <w:rPr>
          <w:rFonts w:ascii="Arial" w:hAnsi="Arial" w:cs="Arial"/>
          <w:sz w:val="20"/>
          <w:szCs w:val="20"/>
        </w:rPr>
        <w:t xml:space="preserve">of </w:t>
      </w:r>
      <w:r w:rsidR="00411175">
        <w:rPr>
          <w:rFonts w:ascii="Arial" w:hAnsi="Arial" w:cs="Arial"/>
          <w:sz w:val="20"/>
          <w:szCs w:val="20"/>
        </w:rPr>
        <w:t xml:space="preserve">an </w:t>
      </w:r>
      <w:r>
        <w:rPr>
          <w:rFonts w:ascii="Arial" w:hAnsi="Arial" w:cs="Arial"/>
          <w:sz w:val="20"/>
          <w:szCs w:val="20"/>
        </w:rPr>
        <w:t>indemnity certificate</w:t>
      </w:r>
      <w:r w:rsidR="00411175">
        <w:rPr>
          <w:rFonts w:ascii="Arial" w:hAnsi="Arial" w:cs="Arial"/>
          <w:sz w:val="20"/>
          <w:szCs w:val="20"/>
        </w:rPr>
        <w:t xml:space="preserve"> [IC]</w:t>
      </w:r>
      <w:r>
        <w:rPr>
          <w:rFonts w:ascii="Arial" w:hAnsi="Arial" w:cs="Arial"/>
          <w:sz w:val="20"/>
          <w:szCs w:val="20"/>
        </w:rPr>
        <w:t xml:space="preserve"> to cover limited or specific costs of specified parties in certain circumstances.</w:t>
      </w:r>
      <w:r w:rsidR="009747F2">
        <w:rPr>
          <w:rFonts w:ascii="Arial" w:hAnsi="Arial" w:cs="Arial"/>
          <w:sz w:val="20"/>
          <w:szCs w:val="20"/>
        </w:rPr>
        <w:t xml:space="preserve">  </w:t>
      </w:r>
      <w:r w:rsidR="00170463">
        <w:rPr>
          <w:rFonts w:ascii="Arial" w:hAnsi="Arial" w:cs="Arial"/>
          <w:sz w:val="20"/>
          <w:szCs w:val="20"/>
        </w:rPr>
        <w:t xml:space="preserve">There are </w:t>
      </w:r>
      <w:r w:rsidR="00BD58DE">
        <w:rPr>
          <w:rFonts w:ascii="Arial" w:hAnsi="Arial" w:cs="Arial"/>
          <w:sz w:val="20"/>
          <w:szCs w:val="20"/>
        </w:rPr>
        <w:t xml:space="preserve">essentially </w:t>
      </w:r>
      <w:r w:rsidR="008777EC">
        <w:rPr>
          <w:rFonts w:ascii="Arial" w:hAnsi="Arial" w:cs="Arial"/>
          <w:sz w:val="20"/>
          <w:szCs w:val="20"/>
        </w:rPr>
        <w:t>4</w:t>
      </w:r>
      <w:r w:rsidR="00170463">
        <w:rPr>
          <w:rFonts w:ascii="Arial" w:hAnsi="Arial" w:cs="Arial"/>
          <w:sz w:val="20"/>
          <w:szCs w:val="20"/>
        </w:rPr>
        <w:t xml:space="preserve"> separate </w:t>
      </w:r>
      <w:r w:rsidR="008777EC">
        <w:rPr>
          <w:rFonts w:ascii="Arial" w:hAnsi="Arial" w:cs="Arial"/>
          <w:sz w:val="20"/>
          <w:szCs w:val="20"/>
        </w:rPr>
        <w:t>categories</w:t>
      </w:r>
      <w:r w:rsidR="00BD58DE">
        <w:rPr>
          <w:rFonts w:ascii="Arial" w:hAnsi="Arial" w:cs="Arial"/>
          <w:sz w:val="20"/>
          <w:szCs w:val="20"/>
        </w:rPr>
        <w:t xml:space="preserve"> of applications pursuant to</w:t>
      </w:r>
      <w:r w:rsidR="00170463">
        <w:rPr>
          <w:rFonts w:ascii="Arial" w:hAnsi="Arial" w:cs="Arial"/>
          <w:sz w:val="20"/>
          <w:szCs w:val="20"/>
        </w:rPr>
        <w:t xml:space="preserve"> which </w:t>
      </w:r>
      <w:r w:rsidR="00BD58DE">
        <w:rPr>
          <w:rFonts w:ascii="Arial" w:hAnsi="Arial" w:cs="Arial"/>
          <w:sz w:val="20"/>
          <w:szCs w:val="20"/>
        </w:rPr>
        <w:t>indemnity certificates under the ACA may be issued</w:t>
      </w:r>
      <w:r w:rsidR="005B16EA">
        <w:rPr>
          <w:rFonts w:ascii="Arial" w:hAnsi="Arial" w:cs="Arial"/>
          <w:sz w:val="20"/>
          <w:szCs w:val="20"/>
        </w:rPr>
        <w:t xml:space="preserve"> by various courts</w:t>
      </w:r>
      <w:r w:rsidR="00BD58DE">
        <w:rPr>
          <w:rFonts w:ascii="Arial" w:hAnsi="Arial" w:cs="Arial"/>
          <w:sz w:val="20"/>
          <w:szCs w:val="20"/>
        </w:rPr>
        <w:t>:</w:t>
      </w:r>
    </w:p>
    <w:p w14:paraId="13432D32" w14:textId="7C99413A" w:rsidR="00482D33" w:rsidRPr="00C705DB" w:rsidRDefault="00BD58DE">
      <w:pPr>
        <w:pStyle w:val="ListParagraph"/>
        <w:numPr>
          <w:ilvl w:val="0"/>
          <w:numId w:val="95"/>
        </w:numPr>
        <w:ind w:left="357" w:hanging="357"/>
        <w:jc w:val="both"/>
        <w:rPr>
          <w:rFonts w:ascii="Arial" w:hAnsi="Arial" w:cs="Arial"/>
          <w:b/>
          <w:bCs/>
          <w:sz w:val="20"/>
        </w:rPr>
      </w:pPr>
      <w:r w:rsidRPr="00C705DB">
        <w:rPr>
          <w:rFonts w:ascii="Arial" w:hAnsi="Arial" w:cs="Arial"/>
          <w:b/>
          <w:bCs/>
          <w:sz w:val="20"/>
        </w:rPr>
        <w:t>Part 2</w:t>
      </w:r>
      <w:r w:rsidR="00C705DB" w:rsidRPr="00C705DB">
        <w:rPr>
          <w:rFonts w:ascii="Arial" w:hAnsi="Arial" w:cs="Arial"/>
          <w:b/>
          <w:bCs/>
          <w:sz w:val="20"/>
        </w:rPr>
        <w:t>-Entitlement to payment in civil matters</w:t>
      </w:r>
    </w:p>
    <w:p w14:paraId="6FE166B3" w14:textId="118AB569" w:rsidR="00BD58DE" w:rsidRDefault="00C705DB" w:rsidP="00C705DB">
      <w:pPr>
        <w:ind w:left="357"/>
        <w:jc w:val="both"/>
        <w:rPr>
          <w:rFonts w:ascii="Arial" w:hAnsi="Arial" w:cs="Arial"/>
          <w:sz w:val="20"/>
          <w:szCs w:val="20"/>
        </w:rPr>
      </w:pPr>
      <w:r>
        <w:rPr>
          <w:rFonts w:ascii="Arial" w:hAnsi="Arial" w:cs="Arial"/>
          <w:sz w:val="20"/>
          <w:szCs w:val="20"/>
        </w:rPr>
        <w:t xml:space="preserve">Application by respondent for </w:t>
      </w:r>
      <w:r w:rsidR="00411175">
        <w:rPr>
          <w:rFonts w:ascii="Arial" w:hAnsi="Arial" w:cs="Arial"/>
          <w:sz w:val="20"/>
          <w:szCs w:val="20"/>
        </w:rPr>
        <w:t>IC</w:t>
      </w:r>
      <w:r>
        <w:rPr>
          <w:rFonts w:ascii="Arial" w:hAnsi="Arial" w:cs="Arial"/>
          <w:sz w:val="20"/>
          <w:szCs w:val="20"/>
        </w:rPr>
        <w:t xml:space="preserve"> in respect of successful appeal – s.4</w:t>
      </w:r>
    </w:p>
    <w:p w14:paraId="399BAD56" w14:textId="6563379C" w:rsidR="00C705DB" w:rsidRDefault="00C705DB" w:rsidP="00C705DB">
      <w:pPr>
        <w:ind w:left="357"/>
        <w:jc w:val="both"/>
        <w:rPr>
          <w:rFonts w:ascii="Arial" w:hAnsi="Arial" w:cs="Arial"/>
          <w:sz w:val="20"/>
          <w:szCs w:val="20"/>
        </w:rPr>
      </w:pPr>
      <w:r>
        <w:rPr>
          <w:rFonts w:ascii="Arial" w:hAnsi="Arial" w:cs="Arial"/>
          <w:sz w:val="20"/>
          <w:szCs w:val="20"/>
        </w:rPr>
        <w:t xml:space="preserve">Application by successful appellant for grant of </w:t>
      </w:r>
      <w:r w:rsidR="00411175">
        <w:rPr>
          <w:rFonts w:ascii="Arial" w:hAnsi="Arial" w:cs="Arial"/>
          <w:sz w:val="20"/>
          <w:szCs w:val="20"/>
        </w:rPr>
        <w:t>IC</w:t>
      </w:r>
      <w:r>
        <w:rPr>
          <w:rFonts w:ascii="Arial" w:hAnsi="Arial" w:cs="Arial"/>
          <w:sz w:val="20"/>
          <w:szCs w:val="20"/>
        </w:rPr>
        <w:t xml:space="preserve"> in certain circ</w:t>
      </w:r>
      <w:r w:rsidR="00411175">
        <w:rPr>
          <w:rFonts w:ascii="Arial" w:hAnsi="Arial" w:cs="Arial"/>
          <w:sz w:val="20"/>
          <w:szCs w:val="20"/>
        </w:rPr>
        <w:t>umstance</w:t>
      </w:r>
      <w:r>
        <w:rPr>
          <w:rFonts w:ascii="Arial" w:hAnsi="Arial" w:cs="Arial"/>
          <w:sz w:val="20"/>
          <w:szCs w:val="20"/>
        </w:rPr>
        <w:t>s – s.7</w:t>
      </w:r>
    </w:p>
    <w:p w14:paraId="003E071C" w14:textId="74042270" w:rsidR="00C705DB" w:rsidRDefault="00C705DB" w:rsidP="00C705DB">
      <w:pPr>
        <w:ind w:left="357"/>
        <w:jc w:val="both"/>
        <w:rPr>
          <w:rFonts w:ascii="Arial" w:hAnsi="Arial" w:cs="Arial"/>
          <w:sz w:val="20"/>
          <w:szCs w:val="20"/>
        </w:rPr>
      </w:pPr>
      <w:r>
        <w:rPr>
          <w:rFonts w:ascii="Arial" w:hAnsi="Arial" w:cs="Arial"/>
          <w:sz w:val="20"/>
          <w:szCs w:val="20"/>
        </w:rPr>
        <w:t>Appellant ordered to pay costs of new trial entitled to be indemnified – s.8</w:t>
      </w:r>
    </w:p>
    <w:p w14:paraId="5DAA1267" w14:textId="3A3CD7EE" w:rsidR="00C705DB" w:rsidRDefault="00C705DB" w:rsidP="00C705DB">
      <w:pPr>
        <w:ind w:left="357"/>
        <w:jc w:val="both"/>
        <w:rPr>
          <w:rFonts w:ascii="Arial" w:hAnsi="Arial" w:cs="Arial"/>
          <w:sz w:val="20"/>
          <w:szCs w:val="20"/>
        </w:rPr>
      </w:pPr>
      <w:r>
        <w:rPr>
          <w:rFonts w:ascii="Arial" w:hAnsi="Arial" w:cs="Arial"/>
          <w:sz w:val="20"/>
          <w:szCs w:val="20"/>
        </w:rPr>
        <w:t xml:space="preserve">Application for </w:t>
      </w:r>
      <w:r w:rsidR="00411175">
        <w:rPr>
          <w:rFonts w:ascii="Arial" w:hAnsi="Arial" w:cs="Arial"/>
          <w:sz w:val="20"/>
          <w:szCs w:val="20"/>
        </w:rPr>
        <w:t>IC</w:t>
      </w:r>
      <w:r>
        <w:rPr>
          <w:rFonts w:ascii="Arial" w:hAnsi="Arial" w:cs="Arial"/>
          <w:sz w:val="20"/>
          <w:szCs w:val="20"/>
        </w:rPr>
        <w:t xml:space="preserve"> if civil proceeding discontinued and new trial ordered – s.10</w:t>
      </w:r>
    </w:p>
    <w:p w14:paraId="3CCD2D5C" w14:textId="3FD97A7B" w:rsidR="00C705DB" w:rsidRPr="00C705DB" w:rsidRDefault="00C705DB">
      <w:pPr>
        <w:pStyle w:val="ListParagraph"/>
        <w:numPr>
          <w:ilvl w:val="0"/>
          <w:numId w:val="95"/>
        </w:numPr>
        <w:ind w:left="357" w:hanging="357"/>
        <w:jc w:val="both"/>
        <w:rPr>
          <w:rFonts w:ascii="Arial" w:hAnsi="Arial" w:cs="Arial"/>
          <w:b/>
          <w:bCs/>
          <w:sz w:val="20"/>
        </w:rPr>
      </w:pPr>
      <w:r>
        <w:rPr>
          <w:rFonts w:ascii="Arial" w:hAnsi="Arial" w:cs="Arial"/>
          <w:b/>
          <w:bCs/>
          <w:sz w:val="20"/>
        </w:rPr>
        <w:t>Part</w:t>
      </w:r>
      <w:r w:rsidR="008777EC">
        <w:rPr>
          <w:rFonts w:ascii="Arial" w:hAnsi="Arial" w:cs="Arial"/>
          <w:b/>
          <w:bCs/>
          <w:sz w:val="20"/>
        </w:rPr>
        <w:t xml:space="preserve"> 3</w:t>
      </w:r>
      <w:r>
        <w:rPr>
          <w:rFonts w:ascii="Arial" w:hAnsi="Arial" w:cs="Arial"/>
          <w:b/>
          <w:bCs/>
          <w:sz w:val="20"/>
        </w:rPr>
        <w:t>-Entitlement to payment in criminal matters involving appeals/cases stated</w:t>
      </w:r>
    </w:p>
    <w:p w14:paraId="6AF84CE4" w14:textId="28AFD53A" w:rsidR="00C705DB" w:rsidRDefault="00C705DB" w:rsidP="005B16EA">
      <w:pPr>
        <w:ind w:left="1094" w:hanging="737"/>
        <w:jc w:val="both"/>
        <w:rPr>
          <w:rFonts w:ascii="Arial" w:hAnsi="Arial" w:cs="Arial"/>
          <w:sz w:val="20"/>
          <w:szCs w:val="20"/>
        </w:rPr>
      </w:pPr>
      <w:r>
        <w:rPr>
          <w:rFonts w:ascii="Arial" w:hAnsi="Arial" w:cs="Arial"/>
          <w:sz w:val="20"/>
          <w:szCs w:val="20"/>
        </w:rPr>
        <w:t xml:space="preserve">Application by appellant for </w:t>
      </w:r>
      <w:r w:rsidR="00411175">
        <w:rPr>
          <w:rFonts w:ascii="Arial" w:hAnsi="Arial" w:cs="Arial"/>
          <w:sz w:val="20"/>
          <w:szCs w:val="20"/>
        </w:rPr>
        <w:t>IC</w:t>
      </w:r>
      <w:r>
        <w:rPr>
          <w:rFonts w:ascii="Arial" w:hAnsi="Arial" w:cs="Arial"/>
          <w:sz w:val="20"/>
          <w:szCs w:val="20"/>
        </w:rPr>
        <w:t xml:space="preserve"> if appeal against conviction is successful – s.14</w:t>
      </w:r>
    </w:p>
    <w:p w14:paraId="35F10C60" w14:textId="70EDB238" w:rsidR="00C705DB" w:rsidRDefault="00C705DB" w:rsidP="005B16EA">
      <w:pPr>
        <w:ind w:left="1094" w:hanging="737"/>
        <w:jc w:val="both"/>
        <w:rPr>
          <w:rFonts w:ascii="Arial" w:hAnsi="Arial" w:cs="Arial"/>
          <w:sz w:val="20"/>
          <w:szCs w:val="20"/>
        </w:rPr>
      </w:pPr>
      <w:r>
        <w:rPr>
          <w:rFonts w:ascii="Arial" w:hAnsi="Arial" w:cs="Arial"/>
          <w:sz w:val="20"/>
          <w:szCs w:val="20"/>
        </w:rPr>
        <w:t xml:space="preserve">Application by </w:t>
      </w:r>
      <w:r w:rsidR="008777EC">
        <w:rPr>
          <w:rFonts w:ascii="Arial" w:hAnsi="Arial" w:cs="Arial"/>
          <w:sz w:val="20"/>
          <w:szCs w:val="20"/>
        </w:rPr>
        <w:t>respo</w:t>
      </w:r>
      <w:r>
        <w:rPr>
          <w:rFonts w:ascii="Arial" w:hAnsi="Arial" w:cs="Arial"/>
          <w:sz w:val="20"/>
          <w:szCs w:val="20"/>
        </w:rPr>
        <w:t>n</w:t>
      </w:r>
      <w:r w:rsidR="008777EC">
        <w:rPr>
          <w:rFonts w:ascii="Arial" w:hAnsi="Arial" w:cs="Arial"/>
          <w:sz w:val="20"/>
          <w:szCs w:val="20"/>
        </w:rPr>
        <w:t>den</w:t>
      </w:r>
      <w:r>
        <w:rPr>
          <w:rFonts w:ascii="Arial" w:hAnsi="Arial" w:cs="Arial"/>
          <w:sz w:val="20"/>
          <w:szCs w:val="20"/>
        </w:rPr>
        <w:t xml:space="preserve">t for </w:t>
      </w:r>
      <w:r w:rsidR="00411175">
        <w:rPr>
          <w:rFonts w:ascii="Arial" w:hAnsi="Arial" w:cs="Arial"/>
          <w:sz w:val="20"/>
          <w:szCs w:val="20"/>
        </w:rPr>
        <w:t>IC</w:t>
      </w:r>
      <w:r>
        <w:rPr>
          <w:rFonts w:ascii="Arial" w:hAnsi="Arial" w:cs="Arial"/>
          <w:sz w:val="20"/>
          <w:szCs w:val="20"/>
        </w:rPr>
        <w:t xml:space="preserve"> if </w:t>
      </w:r>
      <w:r w:rsidR="008777EC">
        <w:rPr>
          <w:rFonts w:ascii="Arial" w:hAnsi="Arial" w:cs="Arial"/>
          <w:sz w:val="20"/>
          <w:szCs w:val="20"/>
        </w:rPr>
        <w:t>the Crown or DPP appeals</w:t>
      </w:r>
      <w:r>
        <w:rPr>
          <w:rFonts w:ascii="Arial" w:hAnsi="Arial" w:cs="Arial"/>
          <w:sz w:val="20"/>
          <w:szCs w:val="20"/>
        </w:rPr>
        <w:t xml:space="preserve"> – s.1</w:t>
      </w:r>
      <w:r w:rsidR="008777EC">
        <w:rPr>
          <w:rFonts w:ascii="Arial" w:hAnsi="Arial" w:cs="Arial"/>
          <w:sz w:val="20"/>
          <w:szCs w:val="20"/>
        </w:rPr>
        <w:t>5</w:t>
      </w:r>
    </w:p>
    <w:p w14:paraId="1E892AEA" w14:textId="1C267784"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for </w:t>
      </w:r>
      <w:r w:rsidR="00411175">
        <w:rPr>
          <w:rFonts w:ascii="Arial" w:hAnsi="Arial" w:cs="Arial"/>
          <w:sz w:val="20"/>
          <w:szCs w:val="20"/>
        </w:rPr>
        <w:t>IC</w:t>
      </w:r>
      <w:r>
        <w:rPr>
          <w:rFonts w:ascii="Arial" w:hAnsi="Arial" w:cs="Arial"/>
          <w:sz w:val="20"/>
          <w:szCs w:val="20"/>
        </w:rPr>
        <w:t xml:space="preserve"> if interlocutory appeal by the accused is successful – s.15A</w:t>
      </w:r>
    </w:p>
    <w:p w14:paraId="3AE8E90C" w14:textId="4665A925"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respondent for </w:t>
      </w:r>
      <w:r w:rsidR="00411175">
        <w:rPr>
          <w:rFonts w:ascii="Arial" w:hAnsi="Arial" w:cs="Arial"/>
          <w:sz w:val="20"/>
          <w:szCs w:val="20"/>
        </w:rPr>
        <w:t>IC</w:t>
      </w:r>
      <w:r>
        <w:rPr>
          <w:rFonts w:ascii="Arial" w:hAnsi="Arial" w:cs="Arial"/>
          <w:sz w:val="20"/>
          <w:szCs w:val="20"/>
        </w:rPr>
        <w:t xml:space="preserve"> if interlocutory appeal by prosecution– s.15B</w:t>
      </w:r>
    </w:p>
    <w:p w14:paraId="24F4F779" w14:textId="35B683E5"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accused </w:t>
      </w:r>
      <w:proofErr w:type="gramStart"/>
      <w:r>
        <w:rPr>
          <w:rFonts w:ascii="Arial" w:hAnsi="Arial" w:cs="Arial"/>
          <w:sz w:val="20"/>
          <w:szCs w:val="20"/>
        </w:rPr>
        <w:t>for</w:t>
      </w:r>
      <w:proofErr w:type="gramEnd"/>
      <w:r>
        <w:rPr>
          <w:rFonts w:ascii="Arial" w:hAnsi="Arial" w:cs="Arial"/>
          <w:sz w:val="20"/>
          <w:szCs w:val="20"/>
        </w:rPr>
        <w:t xml:space="preserve"> </w:t>
      </w:r>
      <w:r w:rsidR="00411175">
        <w:rPr>
          <w:rFonts w:ascii="Arial" w:hAnsi="Arial" w:cs="Arial"/>
          <w:sz w:val="20"/>
          <w:szCs w:val="20"/>
        </w:rPr>
        <w:t>IC</w:t>
      </w:r>
      <w:r>
        <w:rPr>
          <w:rFonts w:ascii="Arial" w:hAnsi="Arial" w:cs="Arial"/>
          <w:sz w:val="20"/>
          <w:szCs w:val="20"/>
        </w:rPr>
        <w:t xml:space="preserve"> if case stated for Court of Appeal – s.15C</w:t>
      </w:r>
    </w:p>
    <w:p w14:paraId="77A0227A" w14:textId="6FB2D685"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accused </w:t>
      </w:r>
      <w:proofErr w:type="gramStart"/>
      <w:r>
        <w:rPr>
          <w:rFonts w:ascii="Arial" w:hAnsi="Arial" w:cs="Arial"/>
          <w:sz w:val="20"/>
          <w:szCs w:val="20"/>
        </w:rPr>
        <w:t>for</w:t>
      </w:r>
      <w:proofErr w:type="gramEnd"/>
      <w:r>
        <w:rPr>
          <w:rFonts w:ascii="Arial" w:hAnsi="Arial" w:cs="Arial"/>
          <w:sz w:val="20"/>
          <w:szCs w:val="20"/>
        </w:rPr>
        <w:t xml:space="preserve"> </w:t>
      </w:r>
      <w:r w:rsidR="00411175">
        <w:rPr>
          <w:rFonts w:ascii="Arial" w:hAnsi="Arial" w:cs="Arial"/>
          <w:sz w:val="20"/>
          <w:szCs w:val="20"/>
        </w:rPr>
        <w:t>IC</w:t>
      </w:r>
      <w:r>
        <w:rPr>
          <w:rFonts w:ascii="Arial" w:hAnsi="Arial" w:cs="Arial"/>
          <w:sz w:val="20"/>
          <w:szCs w:val="20"/>
        </w:rPr>
        <w:t xml:space="preserve"> if </w:t>
      </w:r>
      <w:r w:rsidR="005B16EA">
        <w:rPr>
          <w:rFonts w:ascii="Arial" w:hAnsi="Arial" w:cs="Arial"/>
          <w:sz w:val="20"/>
          <w:szCs w:val="20"/>
        </w:rPr>
        <w:t>criminal proceeding discontinued and new trial ordered</w:t>
      </w:r>
      <w:r>
        <w:rPr>
          <w:rFonts w:ascii="Arial" w:hAnsi="Arial" w:cs="Arial"/>
          <w:sz w:val="20"/>
          <w:szCs w:val="20"/>
        </w:rPr>
        <w:t xml:space="preserve"> – s.1</w:t>
      </w:r>
      <w:r w:rsidR="005B16EA">
        <w:rPr>
          <w:rFonts w:ascii="Arial" w:hAnsi="Arial" w:cs="Arial"/>
          <w:sz w:val="20"/>
          <w:szCs w:val="20"/>
        </w:rPr>
        <w:t>6</w:t>
      </w:r>
    </w:p>
    <w:p w14:paraId="5557981B" w14:textId="6EA6D41D"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w:t>
      </w:r>
      <w:r w:rsidR="005B16EA">
        <w:rPr>
          <w:rFonts w:ascii="Arial" w:hAnsi="Arial" w:cs="Arial"/>
          <w:sz w:val="20"/>
          <w:szCs w:val="20"/>
        </w:rPr>
        <w:t xml:space="preserve">accused </w:t>
      </w:r>
      <w:proofErr w:type="gramStart"/>
      <w:r>
        <w:rPr>
          <w:rFonts w:ascii="Arial" w:hAnsi="Arial" w:cs="Arial"/>
          <w:sz w:val="20"/>
          <w:szCs w:val="20"/>
        </w:rPr>
        <w:t>for</w:t>
      </w:r>
      <w:proofErr w:type="gramEnd"/>
      <w:r>
        <w:rPr>
          <w:rFonts w:ascii="Arial" w:hAnsi="Arial" w:cs="Arial"/>
          <w:sz w:val="20"/>
          <w:szCs w:val="20"/>
        </w:rPr>
        <w:t xml:space="preserve"> </w:t>
      </w:r>
      <w:r w:rsidR="00411175">
        <w:rPr>
          <w:rFonts w:ascii="Arial" w:hAnsi="Arial" w:cs="Arial"/>
          <w:sz w:val="20"/>
          <w:szCs w:val="20"/>
        </w:rPr>
        <w:t>IC</w:t>
      </w:r>
      <w:r>
        <w:rPr>
          <w:rFonts w:ascii="Arial" w:hAnsi="Arial" w:cs="Arial"/>
          <w:sz w:val="20"/>
          <w:szCs w:val="20"/>
        </w:rPr>
        <w:t xml:space="preserve"> if </w:t>
      </w:r>
      <w:r w:rsidR="005B16EA">
        <w:rPr>
          <w:rFonts w:ascii="Arial" w:hAnsi="Arial" w:cs="Arial"/>
          <w:sz w:val="20"/>
          <w:szCs w:val="20"/>
        </w:rPr>
        <w:t>DPP applies for continuation of prosecution of person previously acquitted</w:t>
      </w:r>
      <w:r>
        <w:rPr>
          <w:rFonts w:ascii="Arial" w:hAnsi="Arial" w:cs="Arial"/>
          <w:sz w:val="20"/>
          <w:szCs w:val="20"/>
        </w:rPr>
        <w:t xml:space="preserve"> – s.1</w:t>
      </w:r>
      <w:r w:rsidR="005B16EA">
        <w:rPr>
          <w:rFonts w:ascii="Arial" w:hAnsi="Arial" w:cs="Arial"/>
          <w:sz w:val="20"/>
          <w:szCs w:val="20"/>
        </w:rPr>
        <w:t>7A</w:t>
      </w:r>
    </w:p>
    <w:p w14:paraId="387C269C" w14:textId="729CA509" w:rsidR="005B16EA" w:rsidRPr="00C705DB" w:rsidRDefault="005B16EA">
      <w:pPr>
        <w:pStyle w:val="ListParagraph"/>
        <w:keepNext/>
        <w:keepLines/>
        <w:numPr>
          <w:ilvl w:val="0"/>
          <w:numId w:val="95"/>
        </w:numPr>
        <w:ind w:left="357" w:hanging="357"/>
        <w:jc w:val="both"/>
        <w:rPr>
          <w:rFonts w:ascii="Arial" w:hAnsi="Arial" w:cs="Arial"/>
          <w:b/>
          <w:bCs/>
          <w:sz w:val="20"/>
        </w:rPr>
      </w:pPr>
      <w:r>
        <w:rPr>
          <w:rFonts w:ascii="Arial" w:hAnsi="Arial" w:cs="Arial"/>
          <w:b/>
          <w:bCs/>
          <w:sz w:val="20"/>
        </w:rPr>
        <w:t>Part 4-Indemnity certificates in cases stated</w:t>
      </w:r>
    </w:p>
    <w:p w14:paraId="167077E6" w14:textId="25842A3B" w:rsidR="00411175" w:rsidRDefault="005B16EA" w:rsidP="00411175">
      <w:pPr>
        <w:ind w:left="1094" w:hanging="737"/>
        <w:jc w:val="both"/>
        <w:rPr>
          <w:rFonts w:ascii="Arial" w:hAnsi="Arial" w:cs="Arial"/>
          <w:sz w:val="20"/>
          <w:szCs w:val="20"/>
        </w:rPr>
      </w:pPr>
      <w:r>
        <w:rPr>
          <w:rFonts w:ascii="Arial" w:hAnsi="Arial" w:cs="Arial"/>
          <w:sz w:val="20"/>
        </w:rPr>
        <w:t>Applicat</w:t>
      </w:r>
      <w:r w:rsidR="00411175">
        <w:rPr>
          <w:rFonts w:ascii="Arial" w:hAnsi="Arial" w:cs="Arial"/>
          <w:sz w:val="20"/>
        </w:rPr>
        <w:t>ion</w:t>
      </w:r>
      <w:r>
        <w:rPr>
          <w:rFonts w:ascii="Arial" w:hAnsi="Arial" w:cs="Arial"/>
          <w:sz w:val="20"/>
        </w:rPr>
        <w:t xml:space="preserve"> by any party other than the Crown for </w:t>
      </w:r>
      <w:r w:rsidR="00411175">
        <w:rPr>
          <w:rFonts w:ascii="Arial" w:hAnsi="Arial" w:cs="Arial"/>
          <w:sz w:val="20"/>
        </w:rPr>
        <w:t>IC</w:t>
      </w:r>
      <w:r>
        <w:rPr>
          <w:rFonts w:ascii="Arial" w:hAnsi="Arial" w:cs="Arial"/>
          <w:sz w:val="20"/>
        </w:rPr>
        <w:t xml:space="preserve"> in any proceeding in which a case is stated or a question of law is reserved </w:t>
      </w:r>
      <w:r w:rsidR="00411175">
        <w:rPr>
          <w:rFonts w:ascii="Arial" w:hAnsi="Arial" w:cs="Arial"/>
          <w:sz w:val="20"/>
        </w:rPr>
        <w:t>– s.19</w:t>
      </w:r>
    </w:p>
    <w:p w14:paraId="6C8BCC8F" w14:textId="6696DFC1" w:rsidR="00411175" w:rsidRPr="00C705DB" w:rsidRDefault="00411175">
      <w:pPr>
        <w:pStyle w:val="ListParagraph"/>
        <w:numPr>
          <w:ilvl w:val="0"/>
          <w:numId w:val="95"/>
        </w:numPr>
        <w:ind w:left="357" w:hanging="357"/>
        <w:jc w:val="both"/>
        <w:rPr>
          <w:rFonts w:ascii="Arial" w:hAnsi="Arial" w:cs="Arial"/>
          <w:b/>
          <w:bCs/>
          <w:sz w:val="20"/>
        </w:rPr>
      </w:pPr>
      <w:r>
        <w:rPr>
          <w:rFonts w:ascii="Arial" w:hAnsi="Arial" w:cs="Arial"/>
          <w:b/>
          <w:bCs/>
          <w:sz w:val="20"/>
        </w:rPr>
        <w:t>Indemnity certificate if a criminal proceeding is adjourned – s.17</w:t>
      </w:r>
    </w:p>
    <w:p w14:paraId="4CC767CF" w14:textId="51F57800" w:rsidR="005B16EA" w:rsidRPr="005B16EA" w:rsidRDefault="00411175" w:rsidP="005B16EA">
      <w:pPr>
        <w:ind w:left="357"/>
        <w:jc w:val="both"/>
        <w:rPr>
          <w:rFonts w:ascii="Arial" w:hAnsi="Arial" w:cs="Arial"/>
          <w:sz w:val="20"/>
        </w:rPr>
      </w:pPr>
      <w:r>
        <w:rPr>
          <w:rFonts w:ascii="Arial" w:hAnsi="Arial" w:cs="Arial"/>
          <w:sz w:val="20"/>
        </w:rPr>
        <w:t>Note that there is no equivalent provision where a civil proceeding is adjourned</w:t>
      </w:r>
    </w:p>
    <w:p w14:paraId="455A8900" w14:textId="77777777" w:rsidR="0095053F" w:rsidRDefault="0095053F" w:rsidP="0095053F">
      <w:pPr>
        <w:pStyle w:val="NormalWeb"/>
        <w:shd w:val="clear" w:color="auto" w:fill="FFFFFF"/>
        <w:spacing w:before="0" w:beforeAutospacing="0" w:after="0" w:afterAutospacing="0"/>
        <w:rPr>
          <w:rFonts w:ascii="Arial" w:hAnsi="Arial" w:cs="Arial"/>
          <w:sz w:val="20"/>
          <w:szCs w:val="20"/>
        </w:rPr>
      </w:pPr>
    </w:p>
    <w:p w14:paraId="77B2523C" w14:textId="475C5041" w:rsidR="000F4D8B" w:rsidRDefault="000F4D8B" w:rsidP="000F4D8B">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In </w:t>
      </w:r>
      <w:r w:rsidRPr="000F4D8B">
        <w:rPr>
          <w:rFonts w:ascii="Arial" w:hAnsi="Arial" w:cs="Arial"/>
          <w:i/>
          <w:iCs/>
          <w:sz w:val="20"/>
        </w:rPr>
        <w:t>Shakespeare Partners Pty Ltd v Transonic Travel Pty Ltd &amp; Ors [No 2]</w:t>
      </w:r>
      <w:r w:rsidRPr="00F36D8A">
        <w:rPr>
          <w:rFonts w:ascii="Arial" w:hAnsi="Arial" w:cs="Arial"/>
          <w:sz w:val="20"/>
        </w:rPr>
        <w:t xml:space="preserve"> [2026] VSCA 144</w:t>
      </w:r>
      <w:r>
        <w:rPr>
          <w:rFonts w:ascii="Arial" w:hAnsi="Arial" w:cs="Arial"/>
          <w:sz w:val="20"/>
        </w:rPr>
        <w:t xml:space="preserve">, the appellant’s challenge to the liability finding was unsuccessful but its challenge to the damages finding was successful, the damages against the appellant being reduced from approximately $5 million to approximately $1 million. In refusing the appellant’s claim for an appeals costs certificate under s.4 of the </w:t>
      </w:r>
      <w:r w:rsidRPr="000F4D8B">
        <w:rPr>
          <w:rFonts w:ascii="Arial" w:hAnsi="Arial" w:cs="Arial"/>
          <w:i/>
          <w:iCs/>
          <w:sz w:val="20"/>
        </w:rPr>
        <w:t>Appeal Costs Act 1998</w:t>
      </w:r>
      <w:r>
        <w:rPr>
          <w:rFonts w:ascii="Arial" w:hAnsi="Arial" w:cs="Arial"/>
          <w:sz w:val="20"/>
        </w:rPr>
        <w:t xml:space="preserve">, </w:t>
      </w:r>
      <w:r w:rsidRPr="000F4D8B">
        <w:rPr>
          <w:rFonts w:ascii="Arial" w:hAnsi="Arial" w:cs="Arial"/>
          <w:sz w:val="20"/>
        </w:rPr>
        <w:t>L</w:t>
      </w:r>
      <w:r>
        <w:rPr>
          <w:rFonts w:ascii="Arial" w:hAnsi="Arial" w:cs="Arial"/>
          <w:sz w:val="20"/>
        </w:rPr>
        <w:t>yons</w:t>
      </w:r>
      <w:r w:rsidRPr="000F4D8B">
        <w:rPr>
          <w:rFonts w:ascii="Arial" w:hAnsi="Arial" w:cs="Arial"/>
          <w:sz w:val="20"/>
        </w:rPr>
        <w:t>, O</w:t>
      </w:r>
      <w:r>
        <w:rPr>
          <w:rFonts w:ascii="Arial" w:hAnsi="Arial" w:cs="Arial"/>
          <w:sz w:val="20"/>
        </w:rPr>
        <w:t>rr</w:t>
      </w:r>
      <w:r w:rsidRPr="000F4D8B">
        <w:rPr>
          <w:rFonts w:ascii="Arial" w:hAnsi="Arial" w:cs="Arial"/>
          <w:sz w:val="20"/>
        </w:rPr>
        <w:t xml:space="preserve"> and K</w:t>
      </w:r>
      <w:r>
        <w:rPr>
          <w:rFonts w:ascii="Arial" w:hAnsi="Arial" w:cs="Arial"/>
          <w:sz w:val="20"/>
        </w:rPr>
        <w:t>enny</w:t>
      </w:r>
      <w:r w:rsidRPr="000F4D8B">
        <w:rPr>
          <w:rFonts w:ascii="Arial" w:hAnsi="Arial" w:cs="Arial"/>
          <w:sz w:val="20"/>
        </w:rPr>
        <w:t xml:space="preserve"> JJA</w:t>
      </w:r>
      <w:r>
        <w:rPr>
          <w:rFonts w:ascii="Arial" w:hAnsi="Arial" w:cs="Arial"/>
          <w:sz w:val="20"/>
        </w:rPr>
        <w:t xml:space="preserve"> said at [23]: “</w:t>
      </w:r>
      <w:r w:rsidRPr="000F4D8B">
        <w:rPr>
          <w:rFonts w:ascii="Arial" w:hAnsi="Arial" w:cs="Arial"/>
          <w:sz w:val="20"/>
          <w:szCs w:val="20"/>
        </w:rPr>
        <w:t>We can see no basis on which an indemnity certificate could be granted to Shakespeare, as s 4 of that Act only permits a respondent to a successful appeal to apply for such a certificate.</w:t>
      </w:r>
      <w:r>
        <w:rPr>
          <w:rFonts w:ascii="Arial" w:hAnsi="Arial" w:cs="Arial"/>
          <w:sz w:val="20"/>
          <w:szCs w:val="20"/>
        </w:rPr>
        <w:t>”</w:t>
      </w:r>
    </w:p>
    <w:p w14:paraId="021D09D0" w14:textId="77777777" w:rsidR="000F4D8B" w:rsidRDefault="000F4D8B" w:rsidP="0095053F">
      <w:pPr>
        <w:pStyle w:val="NormalWeb"/>
        <w:shd w:val="clear" w:color="auto" w:fill="FFFFFF"/>
        <w:spacing w:before="0" w:beforeAutospacing="0" w:after="0" w:afterAutospacing="0"/>
        <w:rPr>
          <w:rFonts w:ascii="Arial" w:hAnsi="Arial" w:cs="Arial"/>
          <w:sz w:val="20"/>
          <w:szCs w:val="20"/>
        </w:rPr>
      </w:pPr>
    </w:p>
    <w:p w14:paraId="78AA4043" w14:textId="3A8ACDF6" w:rsidR="00147A7B" w:rsidRDefault="00147A7B" w:rsidP="00147A7B">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In relation to whether an application for an order under the Sex Offenders Registration Act 2004 is a criminal or a civil proceeding for the purposes of the ACA, see </w:t>
      </w:r>
      <w:r w:rsidRPr="00147A7B">
        <w:rPr>
          <w:rFonts w:ascii="Arial" w:hAnsi="Arial" w:cs="Arial"/>
          <w:i/>
          <w:iCs/>
          <w:sz w:val="20"/>
          <w:szCs w:val="20"/>
        </w:rPr>
        <w:t>Kostiuk v KH (a pseudonym) (No 2)</w:t>
      </w:r>
      <w:r w:rsidRPr="00147A7B">
        <w:rPr>
          <w:rFonts w:ascii="Arial" w:hAnsi="Arial" w:cs="Arial"/>
          <w:sz w:val="20"/>
          <w:szCs w:val="20"/>
        </w:rPr>
        <w:t xml:space="preserve"> [2024] VSC 636</w:t>
      </w:r>
      <w:r>
        <w:rPr>
          <w:rFonts w:ascii="Arial" w:hAnsi="Arial" w:cs="Arial"/>
          <w:sz w:val="20"/>
          <w:szCs w:val="20"/>
        </w:rPr>
        <w:t>.</w:t>
      </w:r>
    </w:p>
    <w:p w14:paraId="0BA97687" w14:textId="77777777" w:rsidR="00147A7B" w:rsidRDefault="00147A7B" w:rsidP="0095053F">
      <w:pPr>
        <w:pStyle w:val="NormalWeb"/>
        <w:shd w:val="clear" w:color="auto" w:fill="FFFFFF"/>
        <w:spacing w:before="0" w:beforeAutospacing="0" w:after="0" w:afterAutospacing="0"/>
        <w:rPr>
          <w:rFonts w:ascii="Arial" w:hAnsi="Arial" w:cs="Arial"/>
          <w:sz w:val="20"/>
          <w:szCs w:val="20"/>
        </w:rPr>
      </w:pPr>
    </w:p>
    <w:p w14:paraId="3D46ABBA" w14:textId="16DDB9DC" w:rsidR="0095053F" w:rsidRPr="002C34CB" w:rsidRDefault="0095053F" w:rsidP="0095053F">
      <w:pPr>
        <w:pStyle w:val="Heading3"/>
        <w:keepNext/>
        <w:spacing w:after="120" w:line="240" w:lineRule="auto"/>
        <w:rPr>
          <w:rFonts w:ascii="Arial" w:hAnsi="Arial" w:cs="Arial"/>
          <w:b/>
          <w:bCs/>
          <w:sz w:val="20"/>
          <w:lang w:val="en-AU"/>
        </w:rPr>
      </w:pPr>
      <w:bookmarkStart w:id="1205" w:name="_3.9.9_Costs_of"/>
      <w:bookmarkEnd w:id="1205"/>
      <w:r>
        <w:rPr>
          <w:rFonts w:ascii="Arial" w:hAnsi="Arial" w:cs="Arial"/>
          <w:b/>
          <w:bCs/>
          <w:sz w:val="20"/>
        </w:rPr>
        <w:t>3.9.9</w:t>
      </w:r>
      <w:r>
        <w:rPr>
          <w:rFonts w:ascii="Arial" w:hAnsi="Arial" w:cs="Arial"/>
          <w:b/>
          <w:bCs/>
          <w:sz w:val="20"/>
        </w:rPr>
        <w:tab/>
        <w:t>Costs of an intervener/contradictor</w:t>
      </w:r>
    </w:p>
    <w:p w14:paraId="63A17D8D" w14:textId="366A4179" w:rsidR="0095053F" w:rsidRPr="0095053F" w:rsidRDefault="0095053F" w:rsidP="00482D33">
      <w:pPr>
        <w:jc w:val="both"/>
        <w:rPr>
          <w:rFonts w:ascii="Arial" w:hAnsi="Arial" w:cs="Arial"/>
          <w:sz w:val="16"/>
          <w:szCs w:val="16"/>
        </w:rPr>
      </w:pPr>
      <w:r>
        <w:rPr>
          <w:rFonts w:ascii="Arial" w:hAnsi="Arial" w:cs="Arial"/>
          <w:sz w:val="20"/>
          <w:szCs w:val="20"/>
        </w:rPr>
        <w:t xml:space="preserve">In </w:t>
      </w:r>
      <w:r w:rsidRPr="0095053F">
        <w:rPr>
          <w:rFonts w:ascii="Arial" w:hAnsi="Arial" w:cs="Arial"/>
          <w:i/>
          <w:iCs/>
          <w:sz w:val="20"/>
          <w:szCs w:val="20"/>
        </w:rPr>
        <w:t>In the matter of Border Express Pty Ltd (No 2)</w:t>
      </w:r>
      <w:r w:rsidRPr="0095053F">
        <w:rPr>
          <w:rFonts w:ascii="Arial" w:hAnsi="Arial" w:cs="Arial"/>
          <w:sz w:val="20"/>
          <w:szCs w:val="20"/>
        </w:rPr>
        <w:t xml:space="preserve"> [2024] VSC 41 </w:t>
      </w:r>
      <w:r>
        <w:rPr>
          <w:rFonts w:ascii="Arial" w:hAnsi="Arial" w:cs="Arial"/>
          <w:sz w:val="20"/>
          <w:szCs w:val="20"/>
        </w:rPr>
        <w:t>the p</w:t>
      </w:r>
      <w:r w:rsidRPr="0095053F">
        <w:rPr>
          <w:rFonts w:ascii="Arial" w:hAnsi="Arial" w:cs="Arial"/>
          <w:sz w:val="20"/>
          <w:szCs w:val="20"/>
        </w:rPr>
        <w:t xml:space="preserve">laintiff’s proceeding </w:t>
      </w:r>
      <w:r>
        <w:rPr>
          <w:rFonts w:ascii="Arial" w:hAnsi="Arial" w:cs="Arial"/>
          <w:sz w:val="20"/>
          <w:szCs w:val="20"/>
        </w:rPr>
        <w:t>had been</w:t>
      </w:r>
      <w:r w:rsidRPr="0095053F">
        <w:rPr>
          <w:rFonts w:ascii="Arial" w:hAnsi="Arial" w:cs="Arial"/>
          <w:sz w:val="20"/>
          <w:szCs w:val="20"/>
        </w:rPr>
        <w:t xml:space="preserve"> dismissed</w:t>
      </w:r>
      <w:r>
        <w:rPr>
          <w:rFonts w:ascii="Arial" w:hAnsi="Arial" w:cs="Arial"/>
          <w:sz w:val="20"/>
          <w:szCs w:val="20"/>
        </w:rPr>
        <w:t xml:space="preserve">.  There was an </w:t>
      </w:r>
      <w:r w:rsidRPr="0095053F">
        <w:rPr>
          <w:rFonts w:ascii="Arial" w:hAnsi="Arial" w:cs="Arial"/>
          <w:sz w:val="20"/>
          <w:szCs w:val="20"/>
        </w:rPr>
        <w:t xml:space="preserve">intervener who </w:t>
      </w:r>
      <w:r>
        <w:rPr>
          <w:rFonts w:ascii="Arial" w:hAnsi="Arial" w:cs="Arial"/>
          <w:sz w:val="20"/>
          <w:szCs w:val="20"/>
        </w:rPr>
        <w:t xml:space="preserve">protected the intervener’s interests but </w:t>
      </w:r>
      <w:r w:rsidR="00BA0870">
        <w:rPr>
          <w:rFonts w:ascii="Arial" w:hAnsi="Arial" w:cs="Arial"/>
          <w:sz w:val="20"/>
          <w:szCs w:val="20"/>
        </w:rPr>
        <w:t xml:space="preserve">who </w:t>
      </w:r>
      <w:r w:rsidRPr="0095053F">
        <w:rPr>
          <w:rFonts w:ascii="Arial" w:hAnsi="Arial" w:cs="Arial"/>
          <w:sz w:val="20"/>
          <w:szCs w:val="20"/>
        </w:rPr>
        <w:t>also took on the role as a contradictor on all issues</w:t>
      </w:r>
      <w:r>
        <w:rPr>
          <w:rFonts w:ascii="Arial" w:hAnsi="Arial" w:cs="Arial"/>
          <w:sz w:val="20"/>
          <w:szCs w:val="20"/>
        </w:rPr>
        <w:t>.  Attiwil</w:t>
      </w:r>
      <w:r w:rsidR="00BA0870">
        <w:rPr>
          <w:rFonts w:ascii="Arial" w:hAnsi="Arial" w:cs="Arial"/>
          <w:sz w:val="20"/>
          <w:szCs w:val="20"/>
        </w:rPr>
        <w:t>l</w:t>
      </w:r>
      <w:r>
        <w:rPr>
          <w:rFonts w:ascii="Arial" w:hAnsi="Arial" w:cs="Arial"/>
          <w:sz w:val="20"/>
          <w:szCs w:val="20"/>
        </w:rPr>
        <w:t xml:space="preserve"> J ordered that the plaintiff pay the </w:t>
      </w:r>
      <w:r w:rsidRPr="0095053F">
        <w:rPr>
          <w:rFonts w:ascii="Arial" w:hAnsi="Arial" w:cs="Arial"/>
          <w:sz w:val="20"/>
          <w:szCs w:val="20"/>
        </w:rPr>
        <w:t>intervener’s costs on a standard basis</w:t>
      </w:r>
      <w:r>
        <w:rPr>
          <w:rFonts w:ascii="Arial" w:hAnsi="Arial" w:cs="Arial"/>
          <w:sz w:val="20"/>
          <w:szCs w:val="20"/>
        </w:rPr>
        <w:t>.  At [3] his Honour summarised the applicable law as follows:</w:t>
      </w:r>
    </w:p>
    <w:p w14:paraId="16C15554" w14:textId="77777777" w:rsidR="0095053F" w:rsidRDefault="0095053F" w:rsidP="0095053F">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95053F">
        <w:rPr>
          <w:rFonts w:ascii="Arial" w:hAnsi="Arial" w:cs="Arial"/>
          <w:sz w:val="20"/>
          <w:szCs w:val="20"/>
        </w:rPr>
        <w:t xml:space="preserve">Pursuant to s 24 of the </w:t>
      </w:r>
      <w:r w:rsidRPr="00BA0870">
        <w:rPr>
          <w:rFonts w:ascii="Arial" w:hAnsi="Arial" w:cs="Arial"/>
          <w:i/>
          <w:iCs/>
          <w:sz w:val="20"/>
          <w:szCs w:val="20"/>
        </w:rPr>
        <w:t>Supreme Court Act 1986</w:t>
      </w:r>
      <w:r w:rsidRPr="0095053F">
        <w:rPr>
          <w:rFonts w:ascii="Arial" w:hAnsi="Arial" w:cs="Arial"/>
          <w:sz w:val="20"/>
          <w:szCs w:val="20"/>
        </w:rPr>
        <w:t xml:space="preserve"> (Vic), the costs of and incidental to the proceeding are in the discretion of the Court, and the Court has full power to determine by whom and to what extent the costs are to be paid. The discretion must</w:t>
      </w:r>
      <w:r>
        <w:rPr>
          <w:rFonts w:ascii="Arial" w:hAnsi="Arial" w:cs="Arial"/>
          <w:sz w:val="20"/>
          <w:szCs w:val="20"/>
        </w:rPr>
        <w:t xml:space="preserve"> </w:t>
      </w:r>
      <w:r w:rsidRPr="0095053F">
        <w:rPr>
          <w:rFonts w:ascii="Arial" w:hAnsi="Arial" w:cs="Arial"/>
          <w:sz w:val="20"/>
          <w:szCs w:val="20"/>
        </w:rPr>
        <w:t>be exercised judicially.</w:t>
      </w:r>
      <w:r>
        <w:rPr>
          <w:rFonts w:ascii="Arial" w:hAnsi="Arial" w:cs="Arial"/>
          <w:sz w:val="20"/>
          <w:szCs w:val="20"/>
        </w:rPr>
        <w:t xml:space="preserve">  </w:t>
      </w:r>
      <w:r w:rsidRPr="0095053F">
        <w:rPr>
          <w:rFonts w:ascii="Arial" w:hAnsi="Arial" w:cs="Arial"/>
          <w:sz w:val="20"/>
          <w:szCs w:val="20"/>
        </w:rPr>
        <w:t>The applicable principles concerning the costs of an intervener were not in dispute and may be relevantly summarised as follows:</w:t>
      </w:r>
    </w:p>
    <w:p w14:paraId="7B979C52" w14:textId="1FA85D0E"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lastRenderedPageBreak/>
        <w:t>an intervener has the rights, duties and liabilities of a party to a proceeding, but an intervener’s interests are in no way the same as those of other parties to a proceeding;</w:t>
      </w:r>
      <w:r w:rsidR="00BA0870">
        <w:rPr>
          <w:rFonts w:ascii="Arial" w:hAnsi="Arial" w:cs="Arial"/>
          <w:sz w:val="20"/>
          <w:szCs w:val="20"/>
        </w:rPr>
        <w:t xml:space="preserve">  s</w:t>
      </w:r>
      <w:r w:rsidR="00BA0870" w:rsidRPr="0095053F">
        <w:rPr>
          <w:rFonts w:ascii="Arial" w:hAnsi="Arial" w:cs="Arial"/>
          <w:sz w:val="20"/>
          <w:szCs w:val="20"/>
        </w:rPr>
        <w:t xml:space="preserve">ee </w:t>
      </w:r>
      <w:r w:rsidR="00BA0870" w:rsidRPr="00BA0870">
        <w:rPr>
          <w:rFonts w:ascii="Arial" w:hAnsi="Arial" w:cs="Arial"/>
          <w:i/>
          <w:iCs/>
          <w:sz w:val="20"/>
          <w:szCs w:val="20"/>
        </w:rPr>
        <w:t>Motor Trades Association of Australia Superannuation Fund Pty Ltd v Rickus</w:t>
      </w:r>
      <w:r w:rsidR="00BA0870" w:rsidRPr="0095053F">
        <w:rPr>
          <w:rFonts w:ascii="Arial" w:hAnsi="Arial" w:cs="Arial"/>
          <w:sz w:val="20"/>
          <w:szCs w:val="20"/>
        </w:rPr>
        <w:t xml:space="preserve"> [2007] FCA 1878 [34] and </w:t>
      </w:r>
      <w:r w:rsidR="00BA0870" w:rsidRPr="00BA0870">
        <w:rPr>
          <w:rFonts w:ascii="Arial" w:hAnsi="Arial" w:cs="Arial"/>
          <w:i/>
          <w:iCs/>
          <w:sz w:val="20"/>
          <w:szCs w:val="20"/>
        </w:rPr>
        <w:t>Johnston v Cameron</w:t>
      </w:r>
      <w:r w:rsidR="00BA0870" w:rsidRPr="0095053F">
        <w:rPr>
          <w:rFonts w:ascii="Arial" w:hAnsi="Arial" w:cs="Arial"/>
          <w:sz w:val="20"/>
          <w:szCs w:val="20"/>
        </w:rPr>
        <w:t xml:space="preserve"> [2002] FCAFC 301 [18]–[19], citing </w:t>
      </w:r>
      <w:r w:rsidR="00BA0870" w:rsidRPr="00BA0870">
        <w:rPr>
          <w:rFonts w:ascii="Arial" w:hAnsi="Arial" w:cs="Arial"/>
          <w:i/>
          <w:iCs/>
          <w:sz w:val="20"/>
          <w:szCs w:val="20"/>
        </w:rPr>
        <w:t>Ruddock v Vadarlis (No 2)</w:t>
      </w:r>
      <w:r w:rsidR="00BA0870" w:rsidRPr="0095053F">
        <w:rPr>
          <w:rFonts w:ascii="Arial" w:hAnsi="Arial" w:cs="Arial"/>
          <w:sz w:val="20"/>
          <w:szCs w:val="20"/>
        </w:rPr>
        <w:t xml:space="preserve"> (2001) 115 FCR 229 [53]</w:t>
      </w:r>
      <w:r w:rsidR="00E40FDE">
        <w:rPr>
          <w:rFonts w:ascii="Arial" w:hAnsi="Arial" w:cs="Arial"/>
          <w:sz w:val="20"/>
          <w:szCs w:val="20"/>
        </w:rPr>
        <w:t>;</w:t>
      </w:r>
    </w:p>
    <w:p w14:paraId="15CD71FC" w14:textId="21926F91"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as a general rule an intervener neither pays nor receives costs</w:t>
      </w:r>
      <w:r w:rsidR="00BA0870">
        <w:rPr>
          <w:rFonts w:ascii="Arial" w:hAnsi="Arial" w:cs="Arial"/>
          <w:sz w:val="20"/>
          <w:szCs w:val="20"/>
        </w:rPr>
        <w:t xml:space="preserve">: </w:t>
      </w:r>
      <w:r w:rsidR="00BA0870" w:rsidRPr="00BA0870">
        <w:rPr>
          <w:rFonts w:ascii="Arial" w:hAnsi="Arial" w:cs="Arial"/>
          <w:i/>
          <w:iCs/>
          <w:sz w:val="20"/>
          <w:szCs w:val="20"/>
        </w:rPr>
        <w:t>Mandalinic v Stone (Liquidator) (No 2)</w:t>
      </w:r>
      <w:r w:rsidR="00BA0870" w:rsidRPr="0095053F">
        <w:rPr>
          <w:rFonts w:ascii="Arial" w:hAnsi="Arial" w:cs="Arial"/>
          <w:sz w:val="20"/>
          <w:szCs w:val="20"/>
        </w:rPr>
        <w:t xml:space="preserve"> [2023] FCAFC 176 [4]</w:t>
      </w:r>
      <w:r w:rsidRPr="0095053F">
        <w:rPr>
          <w:rFonts w:ascii="Arial" w:hAnsi="Arial" w:cs="Arial"/>
          <w:sz w:val="20"/>
          <w:szCs w:val="20"/>
        </w:rPr>
        <w:t>;</w:t>
      </w:r>
    </w:p>
    <w:p w14:paraId="039A5C34" w14:textId="003E0747"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 xml:space="preserve">there is no </w:t>
      </w:r>
      <w:r w:rsidR="00BA0870">
        <w:rPr>
          <w:rFonts w:ascii="Arial" w:hAnsi="Arial" w:cs="Arial"/>
          <w:sz w:val="20"/>
          <w:szCs w:val="20"/>
        </w:rPr>
        <w:t>‘</w:t>
      </w:r>
      <w:r w:rsidRPr="0095053F">
        <w:rPr>
          <w:rFonts w:ascii="Arial" w:hAnsi="Arial" w:cs="Arial"/>
          <w:sz w:val="20"/>
          <w:szCs w:val="20"/>
        </w:rPr>
        <w:t>usual practice</w:t>
      </w:r>
      <w:r w:rsidR="00BA0870">
        <w:rPr>
          <w:rFonts w:ascii="Arial" w:hAnsi="Arial" w:cs="Arial"/>
          <w:sz w:val="20"/>
          <w:szCs w:val="20"/>
        </w:rPr>
        <w:t>’</w:t>
      </w:r>
      <w:r w:rsidRPr="0095053F">
        <w:rPr>
          <w:rFonts w:ascii="Arial" w:hAnsi="Arial" w:cs="Arial"/>
          <w:sz w:val="20"/>
          <w:szCs w:val="20"/>
        </w:rPr>
        <w:t xml:space="preserve"> of ordering costs in an intervener’s favour when the outcome of a proceeding accords with submissions advanced by the intervener</w:t>
      </w:r>
      <w:r w:rsidR="00BA0870">
        <w:rPr>
          <w:rFonts w:ascii="Arial" w:hAnsi="Arial" w:cs="Arial"/>
          <w:sz w:val="20"/>
          <w:szCs w:val="20"/>
        </w:rPr>
        <w:t xml:space="preserve">: see </w:t>
      </w:r>
      <w:r w:rsidR="00BA0870" w:rsidRPr="00BA0870">
        <w:rPr>
          <w:rFonts w:ascii="Arial" w:hAnsi="Arial" w:cs="Arial"/>
          <w:i/>
          <w:iCs/>
          <w:sz w:val="20"/>
          <w:szCs w:val="20"/>
        </w:rPr>
        <w:t>Johnston</w:t>
      </w:r>
      <w:r w:rsidR="00BA0870" w:rsidRPr="0095053F">
        <w:rPr>
          <w:rFonts w:ascii="Arial" w:hAnsi="Arial" w:cs="Arial"/>
          <w:sz w:val="20"/>
          <w:szCs w:val="20"/>
        </w:rPr>
        <w:t xml:space="preserve"> </w:t>
      </w:r>
      <w:r w:rsidR="00BA0870">
        <w:rPr>
          <w:rFonts w:ascii="Arial" w:hAnsi="Arial" w:cs="Arial"/>
          <w:sz w:val="20"/>
          <w:szCs w:val="20"/>
        </w:rPr>
        <w:t>at</w:t>
      </w:r>
      <w:r w:rsidR="00BA0870" w:rsidRPr="0095053F">
        <w:rPr>
          <w:rFonts w:ascii="Arial" w:hAnsi="Arial" w:cs="Arial"/>
          <w:sz w:val="20"/>
          <w:szCs w:val="20"/>
        </w:rPr>
        <w:t xml:space="preserve"> [18]</w:t>
      </w:r>
      <w:r w:rsidR="00BA0870">
        <w:rPr>
          <w:rFonts w:ascii="Arial" w:hAnsi="Arial" w:cs="Arial"/>
          <w:sz w:val="20"/>
          <w:szCs w:val="20"/>
        </w:rPr>
        <w:t>-</w:t>
      </w:r>
      <w:r w:rsidR="00BA0870" w:rsidRPr="0095053F">
        <w:rPr>
          <w:rFonts w:ascii="Arial" w:hAnsi="Arial" w:cs="Arial"/>
          <w:sz w:val="20"/>
          <w:szCs w:val="20"/>
        </w:rPr>
        <w:t>[19]</w:t>
      </w:r>
      <w:r w:rsidR="00BA0870">
        <w:rPr>
          <w:rFonts w:ascii="Arial" w:hAnsi="Arial" w:cs="Arial"/>
          <w:sz w:val="20"/>
          <w:szCs w:val="20"/>
        </w:rPr>
        <w:t>; t</w:t>
      </w:r>
      <w:r w:rsidRPr="0095053F">
        <w:rPr>
          <w:rFonts w:ascii="Arial" w:hAnsi="Arial" w:cs="Arial"/>
          <w:sz w:val="20"/>
          <w:szCs w:val="20"/>
        </w:rPr>
        <w:t>his is in contrast to the position of a party to a proceeding, such as a plaintiff or a defendant;</w:t>
      </w:r>
    </w:p>
    <w:p w14:paraId="79685388" w14:textId="21A884A3"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an intervener cannot expect, as a matter of course, that an unsuccessful party to the proceeding in which the intervener has intruded should bear the extra burden of the intervener’s costs even if the intervention was well intentioned and proved to be of assistance to the court</w:t>
      </w:r>
      <w:r w:rsidR="00BA0870">
        <w:rPr>
          <w:rFonts w:ascii="Arial" w:hAnsi="Arial" w:cs="Arial"/>
          <w:sz w:val="20"/>
          <w:szCs w:val="20"/>
        </w:rPr>
        <w:t xml:space="preserve">: </w:t>
      </w:r>
      <w:r w:rsidR="00BA0870" w:rsidRPr="00BA0870">
        <w:rPr>
          <w:rFonts w:ascii="Arial" w:hAnsi="Arial" w:cs="Arial"/>
          <w:i/>
          <w:iCs/>
          <w:sz w:val="20"/>
          <w:szCs w:val="20"/>
        </w:rPr>
        <w:t>City of Burnside v Attorney-General of South Australia</w:t>
      </w:r>
      <w:r w:rsidR="00BA0870" w:rsidRPr="0095053F">
        <w:rPr>
          <w:rFonts w:ascii="Arial" w:hAnsi="Arial" w:cs="Arial"/>
          <w:sz w:val="20"/>
          <w:szCs w:val="20"/>
        </w:rPr>
        <w:t xml:space="preserve"> (1994) 63 SASR 65, 67</w:t>
      </w:r>
      <w:r w:rsidRPr="0095053F">
        <w:rPr>
          <w:rFonts w:ascii="Arial" w:hAnsi="Arial" w:cs="Arial"/>
          <w:sz w:val="20"/>
          <w:szCs w:val="20"/>
        </w:rPr>
        <w:t>;</w:t>
      </w:r>
    </w:p>
    <w:p w14:paraId="7F595560" w14:textId="7D277AB8"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private litigants should not have to pay additional sums in legal fees for the general good of the administration of justice and in the elucidation of a statute of particular concern to an intervenor</w:t>
      </w:r>
      <w:r w:rsidR="00BA0870">
        <w:rPr>
          <w:rFonts w:ascii="Arial" w:hAnsi="Arial" w:cs="Arial"/>
          <w:sz w:val="20"/>
          <w:szCs w:val="20"/>
        </w:rPr>
        <w:t xml:space="preserve">: </w:t>
      </w:r>
      <w:r w:rsidR="00BA0870" w:rsidRPr="00BA0870">
        <w:rPr>
          <w:rFonts w:ascii="Arial" w:hAnsi="Arial" w:cs="Arial"/>
          <w:i/>
          <w:iCs/>
          <w:sz w:val="20"/>
          <w:szCs w:val="20"/>
        </w:rPr>
        <w:t>Tonto Home Loans Australia Pty Ltd v Tavares (No 2)</w:t>
      </w:r>
      <w:r w:rsidR="00BA0870" w:rsidRPr="0095053F">
        <w:rPr>
          <w:rFonts w:ascii="Arial" w:hAnsi="Arial" w:cs="Arial"/>
          <w:sz w:val="20"/>
          <w:szCs w:val="20"/>
        </w:rPr>
        <w:t xml:space="preserve"> [2012] NSWCA 129 [7]</w:t>
      </w:r>
      <w:r w:rsidRPr="0095053F">
        <w:rPr>
          <w:rFonts w:ascii="Arial" w:hAnsi="Arial" w:cs="Arial"/>
          <w:sz w:val="20"/>
          <w:szCs w:val="20"/>
        </w:rPr>
        <w:t>;</w:t>
      </w:r>
    </w:p>
    <w:p w14:paraId="5FE6A718" w14:textId="215E6859" w:rsidR="008373EF"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there are instances in which courts have made a costs order in favour of an intervener where the intervention was necessary to protect the interests of the intervener</w:t>
      </w:r>
      <w:r w:rsidR="00BA0870">
        <w:rPr>
          <w:rFonts w:ascii="Arial" w:hAnsi="Arial" w:cs="Arial"/>
          <w:sz w:val="20"/>
          <w:szCs w:val="20"/>
        </w:rPr>
        <w:t xml:space="preserve">: </w:t>
      </w:r>
      <w:r w:rsidR="00BA0870" w:rsidRPr="00BA0870">
        <w:rPr>
          <w:rFonts w:ascii="Arial" w:hAnsi="Arial" w:cs="Arial"/>
          <w:i/>
          <w:iCs/>
          <w:sz w:val="20"/>
          <w:szCs w:val="20"/>
        </w:rPr>
        <w:t>Mandalinic</w:t>
      </w:r>
      <w:r w:rsidR="00BA0870" w:rsidRPr="0095053F">
        <w:rPr>
          <w:rFonts w:ascii="Arial" w:hAnsi="Arial" w:cs="Arial"/>
          <w:sz w:val="20"/>
          <w:szCs w:val="20"/>
        </w:rPr>
        <w:t xml:space="preserve"> </w:t>
      </w:r>
      <w:r w:rsidR="00BA0870">
        <w:rPr>
          <w:rFonts w:ascii="Arial" w:hAnsi="Arial" w:cs="Arial"/>
          <w:sz w:val="20"/>
          <w:szCs w:val="20"/>
        </w:rPr>
        <w:t>at</w:t>
      </w:r>
      <w:r w:rsidR="00BA0870" w:rsidRPr="0095053F">
        <w:rPr>
          <w:rFonts w:ascii="Arial" w:hAnsi="Arial" w:cs="Arial"/>
          <w:sz w:val="20"/>
          <w:szCs w:val="20"/>
        </w:rPr>
        <w:t xml:space="preserve"> [4]</w:t>
      </w:r>
      <w:r w:rsidR="008373EF">
        <w:rPr>
          <w:rFonts w:ascii="Arial" w:hAnsi="Arial" w:cs="Arial"/>
          <w:sz w:val="20"/>
          <w:szCs w:val="20"/>
        </w:rPr>
        <w:t>-</w:t>
      </w:r>
      <w:r w:rsidR="00BA0870" w:rsidRPr="0095053F">
        <w:rPr>
          <w:rFonts w:ascii="Arial" w:hAnsi="Arial" w:cs="Arial"/>
          <w:sz w:val="20"/>
          <w:szCs w:val="20"/>
        </w:rPr>
        <w:t>[5]</w:t>
      </w:r>
      <w:r w:rsidR="003B74AF">
        <w:rPr>
          <w:rFonts w:ascii="Arial" w:hAnsi="Arial" w:cs="Arial"/>
          <w:sz w:val="20"/>
          <w:szCs w:val="20"/>
        </w:rPr>
        <w:t>; i</w:t>
      </w:r>
      <w:r w:rsidRPr="0095053F">
        <w:rPr>
          <w:rFonts w:ascii="Arial" w:hAnsi="Arial" w:cs="Arial"/>
          <w:sz w:val="20"/>
          <w:szCs w:val="20"/>
        </w:rPr>
        <w:t xml:space="preserve">n </w:t>
      </w:r>
      <w:r w:rsidRPr="00BA0870">
        <w:rPr>
          <w:rFonts w:ascii="Arial" w:hAnsi="Arial" w:cs="Arial"/>
          <w:i/>
          <w:iCs/>
          <w:sz w:val="20"/>
          <w:szCs w:val="20"/>
        </w:rPr>
        <w:t>City of Burnside v Attorney-General of South Australia</w:t>
      </w:r>
      <w:r w:rsidRPr="0095053F">
        <w:rPr>
          <w:rFonts w:ascii="Arial" w:hAnsi="Arial" w:cs="Arial"/>
          <w:sz w:val="20"/>
          <w:szCs w:val="20"/>
        </w:rPr>
        <w:t xml:space="preserve">, Debelle J observed </w:t>
      </w:r>
      <w:r w:rsidR="008373EF">
        <w:rPr>
          <w:rFonts w:ascii="Arial" w:hAnsi="Arial" w:cs="Arial"/>
          <w:sz w:val="20"/>
          <w:szCs w:val="20"/>
        </w:rPr>
        <w:t xml:space="preserve">at 67 </w:t>
      </w:r>
      <w:r w:rsidRPr="0095053F">
        <w:rPr>
          <w:rFonts w:ascii="Arial" w:hAnsi="Arial" w:cs="Arial"/>
          <w:sz w:val="20"/>
          <w:szCs w:val="20"/>
        </w:rPr>
        <w:t xml:space="preserve">that </w:t>
      </w:r>
      <w:r w:rsidR="00BA0870">
        <w:rPr>
          <w:rFonts w:ascii="Arial" w:hAnsi="Arial" w:cs="Arial"/>
          <w:sz w:val="20"/>
          <w:szCs w:val="20"/>
        </w:rPr>
        <w:t>‘</w:t>
      </w:r>
      <w:r w:rsidRPr="0095053F">
        <w:rPr>
          <w:rFonts w:ascii="Arial" w:hAnsi="Arial" w:cs="Arial"/>
          <w:sz w:val="20"/>
          <w:szCs w:val="20"/>
        </w:rPr>
        <w:t>generally speaking, a successful intervener will recover costs only if the intervention was necessary to protect his interest</w:t>
      </w:r>
      <w:r w:rsidR="00BA0870">
        <w:rPr>
          <w:rFonts w:ascii="Arial" w:hAnsi="Arial" w:cs="Arial"/>
          <w:sz w:val="20"/>
          <w:szCs w:val="20"/>
        </w:rPr>
        <w:t>’</w:t>
      </w:r>
      <w:r w:rsidRPr="0095053F">
        <w:rPr>
          <w:rFonts w:ascii="Arial" w:hAnsi="Arial" w:cs="Arial"/>
          <w:sz w:val="20"/>
          <w:szCs w:val="20"/>
        </w:rPr>
        <w:t>;</w:t>
      </w:r>
    </w:p>
    <w:p w14:paraId="1651B8F6" w14:textId="072CC515" w:rsidR="008373EF"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 xml:space="preserve">there are instances in which courts have made an order for costs in favour of an intervener in circumstances in which the intervener had a </w:t>
      </w:r>
      <w:r w:rsidR="008373EF">
        <w:rPr>
          <w:rFonts w:ascii="Arial" w:hAnsi="Arial" w:cs="Arial"/>
          <w:sz w:val="20"/>
          <w:szCs w:val="20"/>
        </w:rPr>
        <w:t>‘</w:t>
      </w:r>
      <w:r w:rsidRPr="0095053F">
        <w:rPr>
          <w:rFonts w:ascii="Arial" w:hAnsi="Arial" w:cs="Arial"/>
          <w:sz w:val="20"/>
          <w:szCs w:val="20"/>
        </w:rPr>
        <w:t>special interest</w:t>
      </w:r>
      <w:r w:rsidR="008373EF">
        <w:rPr>
          <w:rFonts w:ascii="Arial" w:hAnsi="Arial" w:cs="Arial"/>
          <w:sz w:val="20"/>
          <w:szCs w:val="20"/>
        </w:rPr>
        <w:t>’ {</w:t>
      </w:r>
      <w:r w:rsidR="008373EF" w:rsidRPr="008373EF">
        <w:rPr>
          <w:rFonts w:ascii="Arial" w:hAnsi="Arial" w:cs="Arial"/>
          <w:i/>
          <w:iCs/>
          <w:sz w:val="20"/>
          <w:szCs w:val="20"/>
        </w:rPr>
        <w:t>Xat Ky v Australvic Property Management Pty Ltd (No 2)</w:t>
      </w:r>
      <w:r w:rsidR="008373EF" w:rsidRPr="008373EF">
        <w:rPr>
          <w:rFonts w:ascii="Arial" w:hAnsi="Arial" w:cs="Arial"/>
          <w:sz w:val="20"/>
          <w:szCs w:val="20"/>
        </w:rPr>
        <w:t xml:space="preserve"> [2007] FCA 1785 [22]</w:t>
      </w:r>
      <w:r w:rsidR="008373EF">
        <w:rPr>
          <w:rFonts w:ascii="Arial" w:hAnsi="Arial" w:cs="Arial"/>
          <w:sz w:val="20"/>
          <w:szCs w:val="20"/>
        </w:rPr>
        <w:t xml:space="preserve">} </w:t>
      </w:r>
      <w:r w:rsidRPr="0095053F">
        <w:rPr>
          <w:rFonts w:ascii="Arial" w:hAnsi="Arial" w:cs="Arial"/>
          <w:sz w:val="20"/>
          <w:szCs w:val="20"/>
        </w:rPr>
        <w:t xml:space="preserve">or a </w:t>
      </w:r>
      <w:r w:rsidR="008373EF">
        <w:rPr>
          <w:rFonts w:ascii="Arial" w:hAnsi="Arial" w:cs="Arial"/>
          <w:sz w:val="20"/>
          <w:szCs w:val="20"/>
        </w:rPr>
        <w:t>‘</w:t>
      </w:r>
      <w:r w:rsidRPr="0095053F">
        <w:rPr>
          <w:rFonts w:ascii="Arial" w:hAnsi="Arial" w:cs="Arial"/>
          <w:sz w:val="20"/>
          <w:szCs w:val="20"/>
        </w:rPr>
        <w:t>legitimate interest</w:t>
      </w:r>
      <w:r w:rsidR="008373EF">
        <w:rPr>
          <w:rFonts w:ascii="Arial" w:hAnsi="Arial" w:cs="Arial"/>
          <w:sz w:val="20"/>
          <w:szCs w:val="20"/>
        </w:rPr>
        <w:t>’ {</w:t>
      </w:r>
      <w:r w:rsidR="008373EF" w:rsidRPr="008373EF">
        <w:rPr>
          <w:rFonts w:ascii="Arial" w:hAnsi="Arial" w:cs="Arial"/>
          <w:i/>
          <w:iCs/>
          <w:sz w:val="20"/>
          <w:szCs w:val="20"/>
        </w:rPr>
        <w:t>Motor Trades</w:t>
      </w:r>
      <w:r w:rsidR="008373EF" w:rsidRPr="008373EF">
        <w:rPr>
          <w:rFonts w:ascii="Arial" w:hAnsi="Arial" w:cs="Arial"/>
          <w:sz w:val="20"/>
          <w:szCs w:val="20"/>
        </w:rPr>
        <w:t xml:space="preserve"> </w:t>
      </w:r>
      <w:r w:rsidR="008373EF">
        <w:rPr>
          <w:rFonts w:ascii="Arial" w:hAnsi="Arial" w:cs="Arial"/>
          <w:sz w:val="20"/>
          <w:szCs w:val="20"/>
        </w:rPr>
        <w:t>at</w:t>
      </w:r>
      <w:r w:rsidR="008373EF" w:rsidRPr="008373EF">
        <w:rPr>
          <w:rFonts w:ascii="Arial" w:hAnsi="Arial" w:cs="Arial"/>
          <w:sz w:val="20"/>
          <w:szCs w:val="20"/>
        </w:rPr>
        <w:t xml:space="preserve"> [34]–[35]</w:t>
      </w:r>
      <w:r w:rsidR="008373EF">
        <w:rPr>
          <w:rFonts w:ascii="Arial" w:hAnsi="Arial" w:cs="Arial"/>
          <w:sz w:val="20"/>
          <w:szCs w:val="20"/>
        </w:rPr>
        <w:t xml:space="preserve"> &amp;</w:t>
      </w:r>
      <w:r w:rsidR="008373EF" w:rsidRPr="008373EF">
        <w:rPr>
          <w:rFonts w:ascii="Arial" w:hAnsi="Arial" w:cs="Arial"/>
          <w:sz w:val="20"/>
          <w:szCs w:val="20"/>
        </w:rPr>
        <w:t xml:space="preserve"> [38]</w:t>
      </w:r>
      <w:r w:rsidR="008373EF">
        <w:rPr>
          <w:rFonts w:ascii="Arial" w:hAnsi="Arial" w:cs="Arial"/>
          <w:sz w:val="20"/>
          <w:szCs w:val="20"/>
        </w:rPr>
        <w:t>}</w:t>
      </w:r>
      <w:r w:rsidRPr="0095053F">
        <w:rPr>
          <w:rFonts w:ascii="Arial" w:hAnsi="Arial" w:cs="Arial"/>
          <w:sz w:val="20"/>
          <w:szCs w:val="20"/>
        </w:rPr>
        <w:t xml:space="preserve"> or an </w:t>
      </w:r>
      <w:r w:rsidR="008373EF">
        <w:rPr>
          <w:rFonts w:ascii="Arial" w:hAnsi="Arial" w:cs="Arial"/>
          <w:sz w:val="20"/>
          <w:szCs w:val="20"/>
        </w:rPr>
        <w:t>‘</w:t>
      </w:r>
      <w:r w:rsidRPr="0095053F">
        <w:rPr>
          <w:rFonts w:ascii="Arial" w:hAnsi="Arial" w:cs="Arial"/>
          <w:sz w:val="20"/>
          <w:szCs w:val="20"/>
        </w:rPr>
        <w:t>interest</w:t>
      </w:r>
      <w:r w:rsidR="008373EF">
        <w:rPr>
          <w:rFonts w:ascii="Arial" w:hAnsi="Arial" w:cs="Arial"/>
          <w:sz w:val="20"/>
          <w:szCs w:val="20"/>
        </w:rPr>
        <w:t>’</w:t>
      </w:r>
      <w:r w:rsidRPr="0095053F">
        <w:rPr>
          <w:rFonts w:ascii="Arial" w:hAnsi="Arial" w:cs="Arial"/>
          <w:sz w:val="20"/>
          <w:szCs w:val="20"/>
        </w:rPr>
        <w:t xml:space="preserve"> in the proceeding</w:t>
      </w:r>
      <w:r w:rsidR="008373EF">
        <w:rPr>
          <w:rFonts w:ascii="Arial" w:hAnsi="Arial" w:cs="Arial"/>
          <w:sz w:val="20"/>
          <w:szCs w:val="20"/>
        </w:rPr>
        <w:t xml:space="preserve"> {</w:t>
      </w:r>
      <w:r w:rsidR="008373EF" w:rsidRPr="008373EF">
        <w:rPr>
          <w:rFonts w:ascii="Arial" w:hAnsi="Arial" w:cs="Arial"/>
          <w:i/>
          <w:iCs/>
          <w:sz w:val="20"/>
          <w:szCs w:val="20"/>
        </w:rPr>
        <w:t>Queensland North Australia Pty Ltd v Takeovers Panel</w:t>
      </w:r>
      <w:r w:rsidR="008373EF" w:rsidRPr="008373EF">
        <w:rPr>
          <w:rFonts w:ascii="Arial" w:hAnsi="Arial" w:cs="Arial"/>
          <w:sz w:val="20"/>
          <w:szCs w:val="20"/>
        </w:rPr>
        <w:t xml:space="preserve"> (2014) 100 ACSR 358 [235]</w:t>
      </w:r>
      <w:r w:rsidR="008373EF">
        <w:rPr>
          <w:rFonts w:ascii="Arial" w:hAnsi="Arial" w:cs="Arial"/>
          <w:sz w:val="20"/>
          <w:szCs w:val="20"/>
        </w:rPr>
        <w:t>}</w:t>
      </w:r>
      <w:r w:rsidRPr="0095053F">
        <w:rPr>
          <w:rFonts w:ascii="Arial" w:hAnsi="Arial" w:cs="Arial"/>
          <w:sz w:val="20"/>
          <w:szCs w:val="20"/>
        </w:rPr>
        <w:t xml:space="preserve"> where those interests were different to a parties’ interests</w:t>
      </w:r>
      <w:r w:rsidR="008373EF">
        <w:rPr>
          <w:rFonts w:ascii="Arial" w:hAnsi="Arial" w:cs="Arial"/>
          <w:sz w:val="20"/>
          <w:szCs w:val="20"/>
        </w:rPr>
        <w:t xml:space="preserve"> {</w:t>
      </w:r>
      <w:r w:rsidR="008373EF" w:rsidRPr="008373EF">
        <w:rPr>
          <w:rFonts w:ascii="Arial" w:hAnsi="Arial" w:cs="Arial"/>
          <w:i/>
          <w:iCs/>
          <w:sz w:val="20"/>
          <w:szCs w:val="20"/>
        </w:rPr>
        <w:t>Motor Trades</w:t>
      </w:r>
      <w:r w:rsidR="008373EF" w:rsidRPr="008373EF">
        <w:rPr>
          <w:rFonts w:ascii="Arial" w:hAnsi="Arial" w:cs="Arial"/>
          <w:sz w:val="20"/>
          <w:szCs w:val="20"/>
        </w:rPr>
        <w:t xml:space="preserve"> </w:t>
      </w:r>
      <w:r w:rsidR="008373EF">
        <w:rPr>
          <w:rFonts w:ascii="Arial" w:hAnsi="Arial" w:cs="Arial"/>
          <w:sz w:val="20"/>
          <w:szCs w:val="20"/>
        </w:rPr>
        <w:t>at</w:t>
      </w:r>
      <w:r w:rsidR="008373EF" w:rsidRPr="008373EF">
        <w:rPr>
          <w:rFonts w:ascii="Arial" w:hAnsi="Arial" w:cs="Arial"/>
          <w:sz w:val="20"/>
          <w:szCs w:val="20"/>
        </w:rPr>
        <w:t xml:space="preserve"> [38]</w:t>
      </w:r>
      <w:r w:rsidR="008373EF">
        <w:rPr>
          <w:rFonts w:ascii="Arial" w:hAnsi="Arial" w:cs="Arial"/>
          <w:sz w:val="20"/>
          <w:szCs w:val="20"/>
        </w:rPr>
        <w:t>}</w:t>
      </w:r>
      <w:r w:rsidRPr="0095053F">
        <w:rPr>
          <w:rFonts w:ascii="Arial" w:hAnsi="Arial" w:cs="Arial"/>
          <w:sz w:val="20"/>
          <w:szCs w:val="20"/>
        </w:rPr>
        <w:t>;</w:t>
      </w:r>
      <w:r w:rsidR="008373EF">
        <w:rPr>
          <w:rFonts w:ascii="Arial" w:hAnsi="Arial" w:cs="Arial"/>
          <w:sz w:val="20"/>
          <w:szCs w:val="20"/>
        </w:rPr>
        <w:t xml:space="preserve"> </w:t>
      </w:r>
      <w:r w:rsidRPr="0095053F">
        <w:rPr>
          <w:rFonts w:ascii="Arial" w:hAnsi="Arial" w:cs="Arial"/>
          <w:sz w:val="20"/>
          <w:szCs w:val="20"/>
        </w:rPr>
        <w:t>and</w:t>
      </w:r>
    </w:p>
    <w:p w14:paraId="5B49590F" w14:textId="5219D9A4" w:rsidR="0095053F" w:rsidRPr="008373EF" w:rsidRDefault="0095053F" w:rsidP="003E4770">
      <w:pPr>
        <w:pStyle w:val="NormalWeb"/>
        <w:numPr>
          <w:ilvl w:val="0"/>
          <w:numId w:val="116"/>
        </w:numPr>
        <w:shd w:val="clear" w:color="auto" w:fill="FFFFFF"/>
        <w:spacing w:before="60" w:beforeAutospacing="0" w:after="0" w:afterAutospacing="0"/>
        <w:ind w:left="811" w:right="454" w:hanging="357"/>
        <w:jc w:val="both"/>
        <w:rPr>
          <w:rFonts w:ascii="Arial" w:hAnsi="Arial" w:cs="Arial"/>
          <w:sz w:val="16"/>
          <w:szCs w:val="16"/>
        </w:rPr>
      </w:pPr>
      <w:r w:rsidRPr="008373EF">
        <w:rPr>
          <w:rFonts w:ascii="Arial" w:hAnsi="Arial" w:cs="Arial"/>
          <w:sz w:val="20"/>
          <w:szCs w:val="20"/>
        </w:rPr>
        <w:t>an order for costs either in favour or against an intervener must also take into account the role the intervener assumed and the intervener’s participation in the proceeding</w:t>
      </w:r>
      <w:r w:rsidR="008373EF" w:rsidRPr="008373EF">
        <w:rPr>
          <w:rFonts w:ascii="Arial" w:hAnsi="Arial" w:cs="Arial"/>
          <w:sz w:val="20"/>
          <w:szCs w:val="20"/>
        </w:rPr>
        <w:t xml:space="preserve">: </w:t>
      </w:r>
      <w:r w:rsidR="008373EF" w:rsidRPr="008373EF">
        <w:rPr>
          <w:rFonts w:ascii="Arial" w:hAnsi="Arial" w:cs="Arial"/>
          <w:i/>
          <w:iCs/>
          <w:sz w:val="20"/>
          <w:szCs w:val="20"/>
        </w:rPr>
        <w:t>Motor Trades</w:t>
      </w:r>
      <w:r w:rsidR="008373EF" w:rsidRPr="008373EF">
        <w:rPr>
          <w:rFonts w:ascii="Arial" w:hAnsi="Arial" w:cs="Arial"/>
          <w:sz w:val="20"/>
          <w:szCs w:val="20"/>
        </w:rPr>
        <w:t xml:space="preserve"> at [34]</w:t>
      </w:r>
      <w:r w:rsidRPr="008373EF">
        <w:rPr>
          <w:rFonts w:ascii="Arial" w:hAnsi="Arial" w:cs="Arial"/>
          <w:sz w:val="20"/>
          <w:szCs w:val="20"/>
        </w:rPr>
        <w:t>.</w:t>
      </w:r>
      <w:r w:rsidR="008373EF" w:rsidRPr="008373EF">
        <w:rPr>
          <w:rFonts w:ascii="Arial" w:hAnsi="Arial" w:cs="Arial"/>
          <w:sz w:val="20"/>
          <w:szCs w:val="20"/>
        </w:rPr>
        <w:t>”</w:t>
      </w:r>
    </w:p>
    <w:p w14:paraId="688FF34D" w14:textId="77777777" w:rsidR="0095053F" w:rsidRDefault="0095053F" w:rsidP="00482D33">
      <w:pPr>
        <w:jc w:val="both"/>
        <w:rPr>
          <w:rFonts w:ascii="Arial" w:hAnsi="Arial" w:cs="Arial"/>
          <w:sz w:val="20"/>
          <w:szCs w:val="20"/>
        </w:rPr>
      </w:pPr>
    </w:p>
    <w:p w14:paraId="1929DBD8" w14:textId="362D1966" w:rsidR="003C3B46" w:rsidRPr="002C34CB" w:rsidRDefault="003C3B46" w:rsidP="003C3B46">
      <w:pPr>
        <w:pStyle w:val="Heading3"/>
        <w:keepNext/>
        <w:spacing w:after="120" w:line="240" w:lineRule="auto"/>
        <w:rPr>
          <w:rFonts w:ascii="Arial" w:hAnsi="Arial" w:cs="Arial"/>
          <w:b/>
          <w:bCs/>
          <w:sz w:val="20"/>
          <w:lang w:val="en-AU"/>
        </w:rPr>
      </w:pPr>
      <w:bookmarkStart w:id="1206" w:name="_3.9.10_Costs_in"/>
      <w:bookmarkEnd w:id="1206"/>
      <w:r>
        <w:rPr>
          <w:rFonts w:ascii="Arial" w:hAnsi="Arial" w:cs="Arial"/>
          <w:b/>
          <w:bCs/>
          <w:sz w:val="20"/>
        </w:rPr>
        <w:t>3.9.10</w:t>
      </w:r>
      <w:r>
        <w:rPr>
          <w:rFonts w:ascii="Arial" w:hAnsi="Arial" w:cs="Arial"/>
          <w:b/>
          <w:bCs/>
          <w:sz w:val="20"/>
        </w:rPr>
        <w:tab/>
        <w:t>Costs in applications for suppression orders</w:t>
      </w:r>
    </w:p>
    <w:p w14:paraId="7A977414" w14:textId="77777777" w:rsidR="00CC20CD" w:rsidRDefault="003C3B46" w:rsidP="003C3B46">
      <w:pPr>
        <w:jc w:val="both"/>
        <w:rPr>
          <w:rFonts w:ascii="Arial" w:hAnsi="Arial" w:cs="Arial"/>
          <w:sz w:val="20"/>
        </w:rPr>
      </w:pPr>
      <w:r>
        <w:rPr>
          <w:rFonts w:ascii="Arial" w:hAnsi="Arial" w:cs="Arial"/>
          <w:sz w:val="20"/>
        </w:rPr>
        <w:t xml:space="preserve">In </w:t>
      </w:r>
      <w:r w:rsidRPr="008A796C">
        <w:rPr>
          <w:rFonts w:ascii="Arial" w:hAnsi="Arial" w:cs="Arial"/>
          <w:i/>
          <w:iCs/>
          <w:sz w:val="20"/>
        </w:rPr>
        <w:t>Mokbel v DPP (Suppression)</w:t>
      </w:r>
      <w:r w:rsidRPr="008A796C">
        <w:rPr>
          <w:rFonts w:ascii="Arial" w:hAnsi="Arial" w:cs="Arial"/>
          <w:sz w:val="20"/>
        </w:rPr>
        <w:t xml:space="preserve"> [2024] VSC 784 Beach JA</w:t>
      </w:r>
      <w:r>
        <w:rPr>
          <w:rFonts w:ascii="Arial" w:hAnsi="Arial" w:cs="Arial"/>
          <w:sz w:val="20"/>
        </w:rPr>
        <w:t xml:space="preserve"> had refused an application by police members PM1 &amp; PM2 for a proceeding suppression order prohibiting the publication </w:t>
      </w:r>
      <w:r w:rsidRPr="008A796C">
        <w:rPr>
          <w:rFonts w:ascii="Arial" w:hAnsi="Arial" w:cs="Arial"/>
          <w:sz w:val="20"/>
        </w:rPr>
        <w:t>anywhere in Australia of a report of the proceeding</w:t>
      </w:r>
      <w:r>
        <w:rPr>
          <w:rFonts w:ascii="Arial" w:hAnsi="Arial" w:cs="Arial"/>
          <w:sz w:val="20"/>
        </w:rPr>
        <w:t>,</w:t>
      </w:r>
      <w:r w:rsidRPr="008A796C">
        <w:rPr>
          <w:rFonts w:ascii="Arial" w:hAnsi="Arial" w:cs="Arial"/>
          <w:sz w:val="20"/>
        </w:rPr>
        <w:t xml:space="preserve"> and any information derived from the proceeding, which identifies </w:t>
      </w:r>
      <w:r>
        <w:rPr>
          <w:rFonts w:ascii="Arial" w:hAnsi="Arial" w:cs="Arial"/>
          <w:sz w:val="20"/>
        </w:rPr>
        <w:t xml:space="preserve">them </w:t>
      </w:r>
      <w:r w:rsidRPr="008A796C">
        <w:rPr>
          <w:rFonts w:ascii="Arial" w:hAnsi="Arial" w:cs="Arial"/>
          <w:sz w:val="20"/>
        </w:rPr>
        <w:t>(by name, image or particulars) as being the members who</w:t>
      </w:r>
      <w:r>
        <w:rPr>
          <w:rFonts w:ascii="Arial" w:hAnsi="Arial" w:cs="Arial"/>
          <w:sz w:val="20"/>
        </w:rPr>
        <w:t>m</w:t>
      </w:r>
      <w:r w:rsidRPr="008A796C">
        <w:rPr>
          <w:rFonts w:ascii="Arial" w:hAnsi="Arial" w:cs="Arial"/>
          <w:sz w:val="20"/>
        </w:rPr>
        <w:t xml:space="preserve"> </w:t>
      </w:r>
      <w:r>
        <w:rPr>
          <w:rFonts w:ascii="Arial" w:hAnsi="Arial" w:cs="Arial"/>
          <w:sz w:val="20"/>
        </w:rPr>
        <w:t xml:space="preserve">Fullerton J </w:t>
      </w:r>
      <w:r w:rsidRPr="008A796C">
        <w:rPr>
          <w:rFonts w:ascii="Arial" w:hAnsi="Arial" w:cs="Arial"/>
          <w:sz w:val="20"/>
        </w:rPr>
        <w:t xml:space="preserve">found </w:t>
      </w:r>
      <w:r>
        <w:rPr>
          <w:rFonts w:ascii="Arial" w:hAnsi="Arial" w:cs="Arial"/>
          <w:sz w:val="20"/>
        </w:rPr>
        <w:t xml:space="preserve">in a Reference Determination </w:t>
      </w:r>
      <w:r w:rsidRPr="008A796C">
        <w:rPr>
          <w:rFonts w:ascii="Arial" w:hAnsi="Arial" w:cs="Arial"/>
          <w:sz w:val="20"/>
        </w:rPr>
        <w:t xml:space="preserve">were party to a joint criminal enterprise to attempt to pervert the course of justice. </w:t>
      </w:r>
      <w:r>
        <w:rPr>
          <w:rFonts w:ascii="Arial" w:hAnsi="Arial" w:cs="Arial"/>
          <w:sz w:val="20"/>
        </w:rPr>
        <w:t>PM1 &amp; PM2</w:t>
      </w:r>
      <w:r w:rsidRPr="008A796C">
        <w:rPr>
          <w:rFonts w:ascii="Arial" w:hAnsi="Arial" w:cs="Arial"/>
          <w:sz w:val="20"/>
        </w:rPr>
        <w:t xml:space="preserve"> sought the suppression order on the ground that it was necessary to prevent a real and substantial risk of prejudice to the proper administration of justice that could not be prevented by other reasonably available means: s 18(1)(a) of the </w:t>
      </w:r>
      <w:r>
        <w:rPr>
          <w:rFonts w:ascii="Arial" w:hAnsi="Arial" w:cs="Arial"/>
          <w:sz w:val="20"/>
        </w:rPr>
        <w:t>OCA</w:t>
      </w:r>
      <w:r w:rsidRPr="008A796C">
        <w:rPr>
          <w:rFonts w:ascii="Arial" w:hAnsi="Arial" w:cs="Arial"/>
          <w:sz w:val="20"/>
        </w:rPr>
        <w:t xml:space="preserve">. </w:t>
      </w:r>
      <w:r>
        <w:rPr>
          <w:rFonts w:ascii="Arial" w:hAnsi="Arial" w:cs="Arial"/>
          <w:sz w:val="20"/>
        </w:rPr>
        <w:t xml:space="preserve">Beach JA refused the </w:t>
      </w:r>
      <w:r w:rsidRPr="008A796C">
        <w:rPr>
          <w:rFonts w:ascii="Arial" w:hAnsi="Arial" w:cs="Arial"/>
          <w:sz w:val="20"/>
        </w:rPr>
        <w:t>application, holding that the order was not necessary to prevent a real and substantial risk of prejudice to the proper administration of justice.</w:t>
      </w:r>
    </w:p>
    <w:p w14:paraId="7E5AC3E7" w14:textId="1F4D1921" w:rsidR="003C3B46" w:rsidRDefault="003C3B46" w:rsidP="00CC20CD">
      <w:pPr>
        <w:spacing w:before="120"/>
        <w:jc w:val="both"/>
        <w:rPr>
          <w:rFonts w:ascii="Arial" w:hAnsi="Arial" w:cs="Arial"/>
          <w:sz w:val="20"/>
          <w:szCs w:val="20"/>
        </w:rPr>
      </w:pPr>
      <w:r>
        <w:rPr>
          <w:rFonts w:ascii="Arial" w:hAnsi="Arial" w:cs="Arial"/>
          <w:sz w:val="20"/>
        </w:rPr>
        <w:t xml:space="preserve">In the ensuing appeal in </w:t>
      </w:r>
      <w:r w:rsidRPr="00C50B71">
        <w:rPr>
          <w:rFonts w:ascii="Arial" w:hAnsi="Arial" w:cs="Arial"/>
          <w:i/>
          <w:iCs/>
          <w:sz w:val="20"/>
        </w:rPr>
        <w:t>Police Member 1 (a pseudonym) &amp; Anor v Antonios Sajih Mokbel &amp; Anor</w:t>
      </w:r>
      <w:r>
        <w:rPr>
          <w:rFonts w:ascii="Arial" w:hAnsi="Arial" w:cs="Arial"/>
          <w:sz w:val="20"/>
        </w:rPr>
        <w:t xml:space="preserve"> [2025] VSCA 34 the Court of Appeal </w:t>
      </w:r>
      <w:r w:rsidR="003722D8">
        <w:rPr>
          <w:rFonts w:ascii="Arial" w:hAnsi="Arial" w:cs="Arial"/>
          <w:sz w:val="20"/>
        </w:rPr>
        <w:t>(</w:t>
      </w:r>
      <w:r w:rsidR="003722D8" w:rsidRPr="003C3B46">
        <w:rPr>
          <w:rFonts w:ascii="Arial" w:hAnsi="Arial" w:cs="Arial"/>
          <w:sz w:val="20"/>
          <w:szCs w:val="20"/>
        </w:rPr>
        <w:t>N</w:t>
      </w:r>
      <w:r w:rsidR="003722D8">
        <w:rPr>
          <w:rFonts w:ascii="Arial" w:hAnsi="Arial" w:cs="Arial"/>
          <w:sz w:val="20"/>
          <w:szCs w:val="20"/>
        </w:rPr>
        <w:t>iall</w:t>
      </w:r>
      <w:r w:rsidR="003722D8" w:rsidRPr="003C3B46">
        <w:rPr>
          <w:rFonts w:ascii="Arial" w:hAnsi="Arial" w:cs="Arial"/>
          <w:sz w:val="20"/>
          <w:szCs w:val="20"/>
        </w:rPr>
        <w:t xml:space="preserve"> CJ, E</w:t>
      </w:r>
      <w:r w:rsidR="003722D8">
        <w:rPr>
          <w:rFonts w:ascii="Arial" w:hAnsi="Arial" w:cs="Arial"/>
          <w:sz w:val="20"/>
          <w:szCs w:val="20"/>
        </w:rPr>
        <w:t>merton</w:t>
      </w:r>
      <w:r w:rsidR="003722D8" w:rsidRPr="003C3B46">
        <w:rPr>
          <w:rFonts w:ascii="Arial" w:hAnsi="Arial" w:cs="Arial"/>
          <w:sz w:val="20"/>
          <w:szCs w:val="20"/>
        </w:rPr>
        <w:t xml:space="preserve"> P and J F</w:t>
      </w:r>
      <w:r w:rsidR="003722D8">
        <w:rPr>
          <w:rFonts w:ascii="Arial" w:hAnsi="Arial" w:cs="Arial"/>
          <w:sz w:val="20"/>
          <w:szCs w:val="20"/>
        </w:rPr>
        <w:t>orrest</w:t>
      </w:r>
      <w:r w:rsidR="003722D8" w:rsidRPr="003C3B46">
        <w:rPr>
          <w:rFonts w:ascii="Arial" w:hAnsi="Arial" w:cs="Arial"/>
          <w:sz w:val="20"/>
          <w:szCs w:val="20"/>
        </w:rPr>
        <w:t xml:space="preserve"> AJA</w:t>
      </w:r>
      <w:r w:rsidR="003722D8">
        <w:rPr>
          <w:rFonts w:ascii="Arial" w:hAnsi="Arial" w:cs="Arial"/>
          <w:sz w:val="20"/>
          <w:szCs w:val="20"/>
        </w:rPr>
        <w:t>)</w:t>
      </w:r>
      <w:r w:rsidR="003722D8" w:rsidRPr="003C3B46">
        <w:rPr>
          <w:rFonts w:ascii="Arial" w:hAnsi="Arial" w:cs="Arial"/>
          <w:sz w:val="20"/>
          <w:szCs w:val="20"/>
        </w:rPr>
        <w:t xml:space="preserve"> </w:t>
      </w:r>
      <w:r>
        <w:rPr>
          <w:rFonts w:ascii="Arial" w:hAnsi="Arial" w:cs="Arial"/>
          <w:sz w:val="20"/>
        </w:rPr>
        <w:t>granted the police members PM1 &amp; PM2 leave to appeal the decision of Beach JA but dismissed their appeal.</w:t>
      </w:r>
    </w:p>
    <w:p w14:paraId="75E3B76C" w14:textId="1740CC5C" w:rsidR="003C3B46" w:rsidRPr="0095053F" w:rsidRDefault="00CC20CD" w:rsidP="003C3B46">
      <w:pPr>
        <w:spacing w:before="120"/>
        <w:jc w:val="both"/>
        <w:rPr>
          <w:rFonts w:ascii="Arial" w:hAnsi="Arial" w:cs="Arial"/>
          <w:sz w:val="16"/>
          <w:szCs w:val="16"/>
        </w:rPr>
      </w:pPr>
      <w:bookmarkStart w:id="1207" w:name="_Hlk195680493"/>
      <w:r>
        <w:rPr>
          <w:rFonts w:ascii="Arial" w:hAnsi="Arial" w:cs="Arial"/>
          <w:sz w:val="20"/>
          <w:szCs w:val="20"/>
        </w:rPr>
        <w:t xml:space="preserve">The Court also refused an ensuing application for costs by the intervening media interests: see </w:t>
      </w:r>
      <w:r w:rsidR="003C3B46">
        <w:rPr>
          <w:rFonts w:ascii="Arial" w:hAnsi="Arial" w:cs="Arial"/>
          <w:i/>
          <w:iCs/>
          <w:sz w:val="20"/>
          <w:szCs w:val="20"/>
        </w:rPr>
        <w:t xml:space="preserve">Police Member 1 (a pseudonym) &amp; Anor v </w:t>
      </w:r>
      <w:r w:rsidR="003C3B46" w:rsidRPr="00C50B71">
        <w:rPr>
          <w:rFonts w:ascii="Arial" w:hAnsi="Arial" w:cs="Arial"/>
          <w:i/>
          <w:iCs/>
          <w:sz w:val="20"/>
        </w:rPr>
        <w:t>Antonios Sajih Mokbel</w:t>
      </w:r>
      <w:r w:rsidR="003C3B46">
        <w:rPr>
          <w:rFonts w:ascii="Arial" w:hAnsi="Arial" w:cs="Arial"/>
          <w:i/>
          <w:iCs/>
          <w:sz w:val="20"/>
          <w:szCs w:val="20"/>
        </w:rPr>
        <w:t xml:space="preserve"> &amp; Anor, Nine Network Pty Ltd &amp; Ors Interveners </w:t>
      </w:r>
      <w:r w:rsidR="003C3B46" w:rsidRPr="003C3B46">
        <w:rPr>
          <w:rFonts w:ascii="Arial" w:hAnsi="Arial" w:cs="Arial"/>
          <w:sz w:val="20"/>
          <w:szCs w:val="20"/>
        </w:rPr>
        <w:t>[2025] VSCA 78</w:t>
      </w:r>
      <w:r>
        <w:rPr>
          <w:rFonts w:ascii="Arial" w:hAnsi="Arial" w:cs="Arial"/>
          <w:sz w:val="20"/>
          <w:szCs w:val="20"/>
        </w:rPr>
        <w:t xml:space="preserve">. Their Honours </w:t>
      </w:r>
      <w:r w:rsidR="003722D8">
        <w:rPr>
          <w:rFonts w:ascii="Arial" w:hAnsi="Arial" w:cs="Arial"/>
          <w:sz w:val="20"/>
          <w:szCs w:val="20"/>
        </w:rPr>
        <w:t>conclud</w:t>
      </w:r>
      <w:r>
        <w:rPr>
          <w:rFonts w:ascii="Arial" w:hAnsi="Arial" w:cs="Arial"/>
          <w:sz w:val="20"/>
          <w:szCs w:val="20"/>
        </w:rPr>
        <w:t>ed</w:t>
      </w:r>
      <w:r w:rsidR="003722D8">
        <w:rPr>
          <w:rFonts w:ascii="Arial" w:hAnsi="Arial" w:cs="Arial"/>
          <w:sz w:val="20"/>
          <w:szCs w:val="20"/>
        </w:rPr>
        <w:t xml:space="preserve"> at [9]:</w:t>
      </w:r>
    </w:p>
    <w:p w14:paraId="2975367A" w14:textId="595AE33C" w:rsidR="003C3B46" w:rsidRDefault="003722D8" w:rsidP="003C3B46">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003C3B46" w:rsidRPr="003C3B46">
        <w:rPr>
          <w:rFonts w:ascii="Arial" w:hAnsi="Arial" w:cs="Arial"/>
          <w:sz w:val="20"/>
          <w:szCs w:val="20"/>
        </w:rPr>
        <w:t>9</w:t>
      </w:r>
      <w:r>
        <w:rPr>
          <w:rFonts w:ascii="Arial" w:hAnsi="Arial" w:cs="Arial"/>
          <w:sz w:val="20"/>
          <w:szCs w:val="20"/>
        </w:rPr>
        <w:t>]</w:t>
      </w:r>
      <w:r w:rsidR="003C3B46" w:rsidRPr="003C3B46">
        <w:rPr>
          <w:rFonts w:ascii="Arial" w:hAnsi="Arial" w:cs="Arial"/>
          <w:sz w:val="20"/>
          <w:szCs w:val="20"/>
        </w:rPr>
        <w:t xml:space="preserve"> </w:t>
      </w:r>
      <w:r>
        <w:rPr>
          <w:rFonts w:ascii="Arial" w:hAnsi="Arial" w:cs="Arial"/>
          <w:sz w:val="20"/>
          <w:szCs w:val="20"/>
        </w:rPr>
        <w:t>“</w:t>
      </w:r>
      <w:r w:rsidR="003C3B46" w:rsidRPr="003C3B46">
        <w:rPr>
          <w:rFonts w:ascii="Arial" w:hAnsi="Arial" w:cs="Arial"/>
          <w:sz w:val="20"/>
          <w:szCs w:val="20"/>
        </w:rPr>
        <w:t xml:space="preserve">Furthermore, we reject the submission that the arguments made by the applicants were ‘weak’ and involved only the protection of their reputational rights — not the administration of justice. Although the applicants were unsuccessful in obtaining a suppression order, their arguments were not without merit, they concerned the proper administration of justice as well as their reputational rights, and they were entitled to run them on appeal. Leave to do so was granted. Having regard to the context in which this occurred, and the fact that </w:t>
      </w:r>
      <w:r w:rsidR="003C3B46" w:rsidRPr="003722D8">
        <w:rPr>
          <w:rFonts w:ascii="Arial" w:hAnsi="Arial" w:cs="Arial"/>
          <w:b/>
          <w:bCs/>
          <w:sz w:val="20"/>
          <w:szCs w:val="20"/>
        </w:rPr>
        <w:t>there is no general rule that costs follow the event on applications for suppression orders</w:t>
      </w:r>
      <w:r w:rsidR="003C3B46" w:rsidRPr="003C3B46">
        <w:rPr>
          <w:rFonts w:ascii="Arial" w:hAnsi="Arial" w:cs="Arial"/>
          <w:sz w:val="20"/>
          <w:szCs w:val="20"/>
        </w:rPr>
        <w:t>, we consider that costs should lie where they fall.</w:t>
      </w:r>
      <w:r>
        <w:rPr>
          <w:rFonts w:ascii="Arial" w:hAnsi="Arial" w:cs="Arial"/>
          <w:sz w:val="20"/>
          <w:szCs w:val="20"/>
        </w:rPr>
        <w:t>” [emphasis added]</w:t>
      </w:r>
    </w:p>
    <w:bookmarkEnd w:id="1207"/>
    <w:p w14:paraId="6A950A81" w14:textId="10B7A3D7" w:rsidR="003C3B46" w:rsidRDefault="003C3B46" w:rsidP="00482D33">
      <w:pPr>
        <w:jc w:val="both"/>
        <w:rPr>
          <w:rFonts w:ascii="Arial" w:hAnsi="Arial" w:cs="Arial"/>
          <w:sz w:val="20"/>
          <w:szCs w:val="20"/>
        </w:rPr>
      </w:pPr>
    </w:p>
    <w:p w14:paraId="04BFCE4A" w14:textId="23765CE4" w:rsidR="003722D8" w:rsidRDefault="003722D8" w:rsidP="00482D33">
      <w:pPr>
        <w:jc w:val="both"/>
        <w:rPr>
          <w:rFonts w:ascii="Arial" w:hAnsi="Arial" w:cs="Arial"/>
          <w:sz w:val="20"/>
          <w:szCs w:val="20"/>
        </w:rPr>
      </w:pPr>
      <w:r>
        <w:rPr>
          <w:rFonts w:ascii="Arial" w:hAnsi="Arial" w:cs="Arial"/>
          <w:sz w:val="20"/>
          <w:szCs w:val="20"/>
        </w:rPr>
        <w:t xml:space="preserve">At </w:t>
      </w:r>
      <w:r w:rsidR="00916B70">
        <w:rPr>
          <w:rFonts w:ascii="Arial" w:hAnsi="Arial" w:cs="Arial"/>
          <w:sz w:val="20"/>
          <w:szCs w:val="20"/>
        </w:rPr>
        <w:t>[5]-</w:t>
      </w:r>
      <w:r>
        <w:rPr>
          <w:rFonts w:ascii="Arial" w:hAnsi="Arial" w:cs="Arial"/>
          <w:sz w:val="20"/>
          <w:szCs w:val="20"/>
        </w:rPr>
        <w:t xml:space="preserve">[7] their Honours </w:t>
      </w:r>
      <w:r w:rsidR="00916B70">
        <w:rPr>
          <w:rFonts w:ascii="Arial" w:hAnsi="Arial" w:cs="Arial"/>
          <w:sz w:val="20"/>
          <w:szCs w:val="20"/>
        </w:rPr>
        <w:t xml:space="preserve">discussed the application of s.409 of the </w:t>
      </w:r>
      <w:r w:rsidR="00916B70" w:rsidRPr="00B91C6C">
        <w:rPr>
          <w:rFonts w:ascii="Arial" w:hAnsi="Arial" w:cs="Arial"/>
          <w:i/>
          <w:iCs/>
          <w:sz w:val="20"/>
          <w:szCs w:val="20"/>
        </w:rPr>
        <w:t>Criminal Procedure Act 2009</w:t>
      </w:r>
      <w:r w:rsidR="00916B70">
        <w:rPr>
          <w:rFonts w:ascii="Arial" w:hAnsi="Arial" w:cs="Arial"/>
          <w:sz w:val="20"/>
          <w:szCs w:val="20"/>
        </w:rPr>
        <w:t xml:space="preserve"> [CPA] and whether or not the intervening media interests were parties to the proceeding, ultimately concluding it was unnecessary to decide either issue:</w:t>
      </w:r>
    </w:p>
    <w:p w14:paraId="3F2506E2" w14:textId="53F0970A" w:rsidR="00916B70" w:rsidRDefault="00916B70" w:rsidP="00916B70">
      <w:pPr>
        <w:spacing w:before="60"/>
        <w:ind w:left="454" w:right="454"/>
        <w:jc w:val="both"/>
        <w:rPr>
          <w:rFonts w:ascii="Arial" w:hAnsi="Arial" w:cs="Arial"/>
          <w:sz w:val="20"/>
          <w:szCs w:val="20"/>
        </w:rPr>
      </w:pPr>
      <w:r>
        <w:rPr>
          <w:rFonts w:ascii="Arial" w:hAnsi="Arial" w:cs="Arial"/>
          <w:sz w:val="20"/>
          <w:szCs w:val="20"/>
        </w:rPr>
        <w:t>[5] “</w:t>
      </w:r>
      <w:r w:rsidR="003722D8" w:rsidRPr="003722D8">
        <w:rPr>
          <w:rFonts w:ascii="Arial" w:hAnsi="Arial" w:cs="Arial"/>
          <w:sz w:val="20"/>
          <w:szCs w:val="20"/>
        </w:rPr>
        <w:t xml:space="preserve">Section 409 </w:t>
      </w:r>
      <w:r>
        <w:rPr>
          <w:rFonts w:ascii="Arial" w:hAnsi="Arial" w:cs="Arial"/>
          <w:sz w:val="20"/>
          <w:szCs w:val="20"/>
        </w:rPr>
        <w:t xml:space="preserve">[CPA] </w:t>
      </w:r>
      <w:r w:rsidR="003722D8" w:rsidRPr="003722D8">
        <w:rPr>
          <w:rFonts w:ascii="Arial" w:hAnsi="Arial" w:cs="Arial"/>
          <w:sz w:val="20"/>
          <w:szCs w:val="20"/>
        </w:rPr>
        <w:t>relevantly provides that no costs are to be allowed to a party to an appeal under Parts 6.3 or 6.4 of the CPA or to a proceeding preliminary or incidental to an appeal of that kind. It is unclear whether the applicants’ application for a suppression order made in the reference determination proceeding was a proceeding within the meaning of s</w:t>
      </w:r>
      <w:r w:rsidR="00B91C6C">
        <w:rPr>
          <w:rFonts w:ascii="Arial" w:hAnsi="Arial" w:cs="Arial"/>
          <w:sz w:val="20"/>
          <w:szCs w:val="20"/>
        </w:rPr>
        <w:t>.</w:t>
      </w:r>
      <w:r w:rsidR="003722D8" w:rsidRPr="003722D8">
        <w:rPr>
          <w:rFonts w:ascii="Arial" w:hAnsi="Arial" w:cs="Arial"/>
          <w:sz w:val="20"/>
          <w:szCs w:val="20"/>
        </w:rPr>
        <w:t xml:space="preserve">409. We observe, however, that the provision in the </w:t>
      </w:r>
      <w:r w:rsidR="003722D8" w:rsidRPr="003722D8">
        <w:rPr>
          <w:rFonts w:ascii="Arial" w:hAnsi="Arial" w:cs="Arial"/>
          <w:i/>
          <w:iCs/>
          <w:sz w:val="20"/>
          <w:szCs w:val="20"/>
        </w:rPr>
        <w:t>Open Courts Act 2013</w:t>
      </w:r>
      <w:r w:rsidR="003722D8" w:rsidRPr="003722D8">
        <w:rPr>
          <w:rFonts w:ascii="Arial" w:hAnsi="Arial" w:cs="Arial"/>
          <w:sz w:val="20"/>
          <w:szCs w:val="20"/>
        </w:rPr>
        <w:t xml:space="preserve"> governing who may appear and be heard on an application for a proceeding suppression order distinguishes between a party to the proceeding concerned and a news media organisation</w:t>
      </w:r>
      <w:r w:rsidR="00B91C6C">
        <w:rPr>
          <w:rFonts w:ascii="Arial" w:hAnsi="Arial" w:cs="Arial"/>
          <w:sz w:val="20"/>
          <w:szCs w:val="20"/>
        </w:rPr>
        <w:t>: s</w:t>
      </w:r>
      <w:r w:rsidRPr="003722D8">
        <w:rPr>
          <w:rFonts w:ascii="Arial" w:hAnsi="Arial" w:cs="Arial"/>
          <w:sz w:val="20"/>
          <w:szCs w:val="20"/>
        </w:rPr>
        <w:t xml:space="preserve">ee s 19(2) of the </w:t>
      </w:r>
      <w:r w:rsidRPr="00916B70">
        <w:rPr>
          <w:rFonts w:ascii="Arial" w:hAnsi="Arial" w:cs="Arial"/>
          <w:i/>
          <w:iCs/>
          <w:sz w:val="20"/>
          <w:szCs w:val="20"/>
        </w:rPr>
        <w:t>Open Courts Act 2013</w:t>
      </w:r>
      <w:r w:rsidRPr="003722D8">
        <w:rPr>
          <w:rFonts w:ascii="Arial" w:hAnsi="Arial" w:cs="Arial"/>
          <w:sz w:val="20"/>
          <w:szCs w:val="20"/>
        </w:rPr>
        <w:t>.</w:t>
      </w:r>
      <w:r>
        <w:rPr>
          <w:rFonts w:ascii="Arial" w:hAnsi="Arial" w:cs="Arial"/>
          <w:sz w:val="20"/>
          <w:szCs w:val="20"/>
        </w:rPr>
        <w:t xml:space="preserve"> </w:t>
      </w:r>
      <w:r w:rsidRPr="003722D8">
        <w:rPr>
          <w:rFonts w:ascii="Arial" w:hAnsi="Arial" w:cs="Arial"/>
          <w:sz w:val="20"/>
          <w:szCs w:val="20"/>
        </w:rPr>
        <w:t xml:space="preserve">‘News media organisation’ and ‘party’ are defined, separately, in s 3 of the Act. </w:t>
      </w:r>
      <w:r w:rsidR="003722D8" w:rsidRPr="003722D8">
        <w:rPr>
          <w:rFonts w:ascii="Arial" w:hAnsi="Arial" w:cs="Arial"/>
          <w:sz w:val="20"/>
          <w:szCs w:val="20"/>
        </w:rPr>
        <w:t xml:space="preserve">This indicates that a news media organisation is not a party to the proceeding for the purposes of the </w:t>
      </w:r>
      <w:r w:rsidR="003722D8" w:rsidRPr="00916B70">
        <w:rPr>
          <w:rFonts w:ascii="Arial" w:hAnsi="Arial" w:cs="Arial"/>
          <w:i/>
          <w:iCs/>
          <w:sz w:val="20"/>
          <w:szCs w:val="20"/>
        </w:rPr>
        <w:t>Open Courts Act 2013</w:t>
      </w:r>
      <w:r w:rsidR="003722D8" w:rsidRPr="003722D8">
        <w:rPr>
          <w:rFonts w:ascii="Arial" w:hAnsi="Arial" w:cs="Arial"/>
          <w:sz w:val="20"/>
          <w:szCs w:val="20"/>
        </w:rPr>
        <w:t>.</w:t>
      </w:r>
    </w:p>
    <w:p w14:paraId="36BBF529" w14:textId="77777777" w:rsidR="00916B70" w:rsidRDefault="00916B70" w:rsidP="00916B70">
      <w:pPr>
        <w:spacing w:before="60"/>
        <w:ind w:left="454" w:right="454"/>
        <w:jc w:val="both"/>
        <w:rPr>
          <w:rFonts w:ascii="Arial" w:hAnsi="Arial" w:cs="Arial"/>
          <w:sz w:val="20"/>
          <w:szCs w:val="20"/>
        </w:rPr>
      </w:pPr>
      <w:r>
        <w:rPr>
          <w:rFonts w:ascii="Arial" w:hAnsi="Arial" w:cs="Arial"/>
          <w:sz w:val="20"/>
          <w:szCs w:val="20"/>
        </w:rPr>
        <w:t>[</w:t>
      </w:r>
      <w:r w:rsidR="003722D8" w:rsidRPr="003722D8">
        <w:rPr>
          <w:rFonts w:ascii="Arial" w:hAnsi="Arial" w:cs="Arial"/>
          <w:sz w:val="20"/>
          <w:szCs w:val="20"/>
        </w:rPr>
        <w:t>6</w:t>
      </w:r>
      <w:r>
        <w:rPr>
          <w:rFonts w:ascii="Arial" w:hAnsi="Arial" w:cs="Arial"/>
          <w:sz w:val="20"/>
          <w:szCs w:val="20"/>
        </w:rPr>
        <w:t>]</w:t>
      </w:r>
      <w:r w:rsidR="003722D8" w:rsidRPr="003722D8">
        <w:rPr>
          <w:rFonts w:ascii="Arial" w:hAnsi="Arial" w:cs="Arial"/>
          <w:sz w:val="20"/>
          <w:szCs w:val="20"/>
        </w:rPr>
        <w:t xml:space="preserve"> However, the applicants submit that, as the media interests themselves submitted to the Court, the media interests were parties to the suppression order proceeding. They chose to file an application for unconditional leave to intervene on all issues in the proceeding and were granted such leave, having been given all the privileges and liabilities of a party, including the right to appeal, tender evidence and participate fully in all aspects of the argument.</w:t>
      </w:r>
    </w:p>
    <w:p w14:paraId="6F7EA54F" w14:textId="66ACEF65" w:rsidR="003722D8" w:rsidRDefault="00916B70" w:rsidP="00916B70">
      <w:pPr>
        <w:spacing w:before="60"/>
        <w:ind w:left="454" w:right="454"/>
        <w:jc w:val="both"/>
        <w:rPr>
          <w:rFonts w:ascii="Arial" w:hAnsi="Arial" w:cs="Arial"/>
          <w:sz w:val="20"/>
          <w:szCs w:val="20"/>
        </w:rPr>
      </w:pPr>
      <w:r>
        <w:rPr>
          <w:rFonts w:ascii="Arial" w:hAnsi="Arial" w:cs="Arial"/>
          <w:sz w:val="20"/>
          <w:szCs w:val="20"/>
        </w:rPr>
        <w:t>[</w:t>
      </w:r>
      <w:r w:rsidR="003722D8" w:rsidRPr="003722D8">
        <w:rPr>
          <w:rFonts w:ascii="Arial" w:hAnsi="Arial" w:cs="Arial"/>
          <w:sz w:val="20"/>
          <w:szCs w:val="20"/>
        </w:rPr>
        <w:t>7</w:t>
      </w:r>
      <w:r>
        <w:rPr>
          <w:rFonts w:ascii="Arial" w:hAnsi="Arial" w:cs="Arial"/>
          <w:sz w:val="20"/>
          <w:szCs w:val="20"/>
        </w:rPr>
        <w:t>]</w:t>
      </w:r>
      <w:r w:rsidR="003722D8" w:rsidRPr="003722D8">
        <w:rPr>
          <w:rFonts w:ascii="Arial" w:hAnsi="Arial" w:cs="Arial"/>
          <w:sz w:val="20"/>
          <w:szCs w:val="20"/>
        </w:rPr>
        <w:t xml:space="preserve"> Like Beach JA below, we consider that it is unnecessary to decide whether s 409 applies in this case or whether the media interests are to be treated as parties to the suppression order proceeding. This is because we would not make an order that the applicants pay the costs of the media interests in any event.</w:t>
      </w:r>
      <w:r>
        <w:rPr>
          <w:rFonts w:ascii="Arial" w:hAnsi="Arial" w:cs="Arial"/>
          <w:sz w:val="20"/>
          <w:szCs w:val="20"/>
        </w:rPr>
        <w:t>”</w:t>
      </w:r>
    </w:p>
    <w:p w14:paraId="7C69C9C0" w14:textId="77777777" w:rsidR="00C9127E" w:rsidRDefault="00C9127E" w:rsidP="00C9127E">
      <w:pPr>
        <w:jc w:val="both"/>
        <w:rPr>
          <w:rFonts w:ascii="Arial" w:hAnsi="Arial" w:cs="Arial"/>
          <w:sz w:val="20"/>
        </w:rPr>
      </w:pPr>
    </w:p>
    <w:p w14:paraId="016DC064" w14:textId="77777777" w:rsidR="00C9127E" w:rsidRPr="00836E86" w:rsidRDefault="00C9127E" w:rsidP="00C9127E">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6A7A76B2" w14:textId="77777777" w:rsidR="00C9127E" w:rsidRPr="00836E86" w:rsidRDefault="00C9127E" w:rsidP="00C9127E">
      <w:pPr>
        <w:rPr>
          <w:rFonts w:ascii="Arial" w:hAnsi="Arial" w:cs="Arial"/>
          <w:sz w:val="20"/>
        </w:rPr>
      </w:pPr>
    </w:p>
    <w:p w14:paraId="7728779C" w14:textId="77777777" w:rsidR="00C9127E" w:rsidRDefault="00C9127E" w:rsidP="00C9127E">
      <w:pPr>
        <w:rPr>
          <w:rFonts w:ascii="Arial" w:hAnsi="Arial" w:cs="Arial"/>
          <w:b/>
          <w:bCs/>
          <w:kern w:val="28"/>
          <w:szCs w:val="20"/>
          <w:lang w:val="en-GB"/>
        </w:rPr>
      </w:pPr>
      <w:r>
        <w:rPr>
          <w:rFonts w:ascii="Arial" w:hAnsi="Arial" w:cs="Arial"/>
          <w:b/>
          <w:bCs/>
        </w:rPr>
        <w:br w:type="page"/>
      </w:r>
    </w:p>
    <w:p w14:paraId="3A172CC0" w14:textId="4869990A" w:rsidR="005B1EBA" w:rsidRDefault="005B1EBA" w:rsidP="005B1EBA">
      <w:pPr>
        <w:pStyle w:val="Heading2"/>
        <w:keepNext/>
        <w:tabs>
          <w:tab w:val="left" w:pos="567"/>
        </w:tabs>
        <w:spacing w:line="240" w:lineRule="auto"/>
        <w:rPr>
          <w:rFonts w:ascii="Arial" w:hAnsi="Arial" w:cs="Arial"/>
          <w:b/>
          <w:bCs/>
        </w:rPr>
      </w:pPr>
      <w:r>
        <w:rPr>
          <w:rFonts w:ascii="Arial" w:hAnsi="Arial" w:cs="Arial"/>
          <w:b/>
          <w:bCs/>
        </w:rPr>
        <w:lastRenderedPageBreak/>
        <w:t>3.10</w:t>
      </w:r>
      <w:r>
        <w:rPr>
          <w:rFonts w:ascii="Arial" w:hAnsi="Arial" w:cs="Arial"/>
          <w:b/>
          <w:bCs/>
        </w:rPr>
        <w:tab/>
        <w:t>Appeals</w:t>
      </w:r>
      <w:r w:rsidR="00043500">
        <w:rPr>
          <w:rFonts w:ascii="Arial" w:hAnsi="Arial" w:cs="Arial"/>
          <w:b/>
          <w:bCs/>
        </w:rPr>
        <w:t>/Reviews</w:t>
      </w:r>
    </w:p>
    <w:p w14:paraId="261C81F7" w14:textId="5AA56919" w:rsidR="005B1EBA" w:rsidRPr="0035269B" w:rsidRDefault="005B1EBA" w:rsidP="0035269B">
      <w:pPr>
        <w:rPr>
          <w:rFonts w:ascii="Arial" w:hAnsi="Arial" w:cs="Arial"/>
          <w:sz w:val="16"/>
          <w:szCs w:val="20"/>
        </w:rPr>
      </w:pPr>
    </w:p>
    <w:bookmarkStart w:id="1208" w:name="_3.10.1_Appeals_to"/>
    <w:bookmarkEnd w:id="1208"/>
    <w:p w14:paraId="459C6CE1" w14:textId="77777777" w:rsidR="00137B35" w:rsidRPr="00465206" w:rsidRDefault="00137B35" w:rsidP="00137B35">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3.10.1</w:t>
      </w:r>
      <w:r w:rsidRPr="00465206">
        <w:rPr>
          <w:rStyle w:val="Hyperlink"/>
          <w:rFonts w:ascii="Arial" w:hAnsi="Arial" w:cs="Arial"/>
          <w:b/>
          <w:bCs/>
          <w:color w:val="000000" w:themeColor="text1"/>
          <w:sz w:val="20"/>
          <w:u w:val="none"/>
        </w:rPr>
        <w:tab/>
        <w:t>Appeals to higher courts</w:t>
      </w:r>
      <w:r w:rsidRPr="00465206">
        <w:rPr>
          <w:rFonts w:ascii="Arial" w:hAnsi="Arial" w:cs="Arial"/>
          <w:b/>
          <w:bCs/>
          <w:color w:val="000000" w:themeColor="text1"/>
          <w:sz w:val="20"/>
        </w:rPr>
        <w:fldChar w:fldCharType="end"/>
      </w:r>
    </w:p>
    <w:p w14:paraId="1D09D0BA" w14:textId="2F29648B" w:rsidR="00137B35" w:rsidRDefault="00137B35" w:rsidP="00137B35">
      <w:pPr>
        <w:jc w:val="both"/>
        <w:rPr>
          <w:rFonts w:ascii="Arial" w:hAnsi="Arial" w:cs="Arial"/>
          <w:sz w:val="20"/>
        </w:rPr>
      </w:pPr>
      <w:r>
        <w:rPr>
          <w:rFonts w:ascii="Arial" w:hAnsi="Arial" w:cs="Arial"/>
          <w:sz w:val="20"/>
        </w:rPr>
        <w:t>A party has the right to appeal to a higher court in certain circumstances if he or she is dissatisfied with the decision of either Division of the Children's Court [C</w:t>
      </w:r>
      <w:r w:rsidR="009D0ACC">
        <w:rPr>
          <w:rFonts w:ascii="Arial" w:hAnsi="Arial" w:cs="Arial"/>
          <w:sz w:val="20"/>
        </w:rPr>
        <w:t>h</w:t>
      </w:r>
      <w:r>
        <w:rPr>
          <w:rFonts w:ascii="Arial" w:hAnsi="Arial" w:cs="Arial"/>
          <w:sz w:val="20"/>
        </w:rPr>
        <w:t xml:space="preserve">CV]. Very few appeals </w:t>
      </w:r>
      <w:r w:rsidR="001D41B6">
        <w:rPr>
          <w:rFonts w:ascii="Arial" w:hAnsi="Arial" w:cs="Arial"/>
          <w:sz w:val="20"/>
        </w:rPr>
        <w:t xml:space="preserve">from the Children’s Court </w:t>
      </w:r>
      <w:r>
        <w:rPr>
          <w:rFonts w:ascii="Arial" w:hAnsi="Arial" w:cs="Arial"/>
          <w:sz w:val="20"/>
        </w:rPr>
        <w:t>reach the Court of Appeal and to date no appeals have reached the High Court.</w:t>
      </w:r>
    </w:p>
    <w:p w14:paraId="66DF0683" w14:textId="77777777" w:rsidR="00715438" w:rsidRDefault="00715438" w:rsidP="0035269B">
      <w:pPr>
        <w:rPr>
          <w:rFonts w:ascii="Arial" w:hAnsi="Arial" w:cs="Arial"/>
          <w:sz w:val="20"/>
        </w:rPr>
      </w:pPr>
    </w:p>
    <w:p w14:paraId="7746DB24" w14:textId="714E5622" w:rsidR="0035269B" w:rsidRPr="0035269B" w:rsidRDefault="0035269B" w:rsidP="001D41B6">
      <w:pPr>
        <w:jc w:val="both"/>
        <w:rPr>
          <w:rFonts w:ascii="Arial" w:hAnsi="Arial" w:cs="Arial"/>
          <w:sz w:val="20"/>
        </w:rPr>
      </w:pPr>
      <w:r w:rsidRPr="0035269B">
        <w:rPr>
          <w:rFonts w:ascii="Arial" w:hAnsi="Arial" w:cs="Arial"/>
          <w:sz w:val="20"/>
        </w:rPr>
        <w:t xml:space="preserve">In </w:t>
      </w:r>
      <w:r w:rsidRPr="00707868">
        <w:rPr>
          <w:rFonts w:ascii="Arial" w:hAnsi="Arial" w:cs="Arial"/>
          <w:i/>
          <w:iCs/>
          <w:sz w:val="20"/>
        </w:rPr>
        <w:t>O’Bryan v Lindholm</w:t>
      </w:r>
      <w:r>
        <w:rPr>
          <w:rFonts w:ascii="Arial" w:hAnsi="Arial" w:cs="Arial"/>
          <w:sz w:val="20"/>
        </w:rPr>
        <w:t xml:space="preserve"> [2024] VSCA 130, in </w:t>
      </w:r>
      <w:r w:rsidRPr="0035269B">
        <w:rPr>
          <w:rFonts w:ascii="Arial" w:hAnsi="Arial" w:cs="Arial"/>
          <w:sz w:val="20"/>
        </w:rPr>
        <w:t>dismissing the applicant’s appeal as incompetent, the Court of Appeal (</w:t>
      </w:r>
      <w:r>
        <w:rPr>
          <w:rFonts w:ascii="Arial" w:hAnsi="Arial" w:cs="Arial"/>
          <w:sz w:val="20"/>
        </w:rPr>
        <w:t>Kennedy, Walker &amp; Macaulay JJA</w:t>
      </w:r>
      <w:r w:rsidRPr="0035269B">
        <w:rPr>
          <w:rFonts w:ascii="Arial" w:hAnsi="Arial" w:cs="Arial"/>
          <w:sz w:val="20"/>
        </w:rPr>
        <w:t>) said at [48]-[49]:</w:t>
      </w:r>
    </w:p>
    <w:p w14:paraId="5A1DED27" w14:textId="7B5F8AC3" w:rsidR="0035269B" w:rsidRDefault="0035269B" w:rsidP="0035269B">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35269B">
        <w:rPr>
          <w:rFonts w:ascii="Arial" w:hAnsi="Arial" w:cs="Arial"/>
          <w:sz w:val="20"/>
          <w:szCs w:val="20"/>
        </w:rPr>
        <w:t>48</w:t>
      </w:r>
      <w:r>
        <w:rPr>
          <w:rFonts w:ascii="Arial" w:hAnsi="Arial" w:cs="Arial"/>
          <w:sz w:val="20"/>
          <w:szCs w:val="20"/>
        </w:rPr>
        <w:t>]</w:t>
      </w:r>
      <w:r w:rsidRPr="0035269B">
        <w:rPr>
          <w:rFonts w:ascii="Arial" w:hAnsi="Arial" w:cs="Arial"/>
          <w:sz w:val="20"/>
          <w:szCs w:val="20"/>
        </w:rPr>
        <w:t xml:space="preserve"> </w:t>
      </w:r>
      <w:r>
        <w:rPr>
          <w:rFonts w:ascii="Arial" w:hAnsi="Arial" w:cs="Arial"/>
          <w:sz w:val="20"/>
          <w:szCs w:val="20"/>
        </w:rPr>
        <w:t>“…[T]</w:t>
      </w:r>
      <w:r w:rsidRPr="0035269B">
        <w:rPr>
          <w:rFonts w:ascii="Arial" w:hAnsi="Arial" w:cs="Arial"/>
          <w:sz w:val="20"/>
          <w:szCs w:val="20"/>
        </w:rPr>
        <w:t xml:space="preserve">he short answer to the applicant’s submission is that there is no common law right to appeal. As stated by the High Court in </w:t>
      </w:r>
      <w:r w:rsidRPr="0035269B">
        <w:rPr>
          <w:rFonts w:ascii="Arial" w:hAnsi="Arial" w:cs="Arial"/>
          <w:i/>
          <w:iCs/>
          <w:sz w:val="20"/>
          <w:szCs w:val="20"/>
        </w:rPr>
        <w:t>Dwyer v Calco Timbers Pty Ltd</w:t>
      </w:r>
      <w:r w:rsidRPr="0035269B">
        <w:rPr>
          <w:rFonts w:ascii="Arial" w:hAnsi="Arial" w:cs="Arial"/>
          <w:sz w:val="20"/>
          <w:szCs w:val="20"/>
        </w:rPr>
        <w:t>:(2008) 234 CLR 124, 128</w:t>
      </w:r>
      <w:r>
        <w:rPr>
          <w:rFonts w:ascii="Arial" w:hAnsi="Arial" w:cs="Arial"/>
          <w:sz w:val="20"/>
          <w:szCs w:val="20"/>
        </w:rPr>
        <w:t xml:space="preserve"> [2]; [2008] HCA 13:</w:t>
      </w:r>
    </w:p>
    <w:p w14:paraId="0A207E90" w14:textId="0C822D14" w:rsidR="0035269B" w:rsidRPr="0035269B" w:rsidRDefault="0035269B" w:rsidP="0035269B">
      <w:pPr>
        <w:pStyle w:val="NormalWeb"/>
        <w:shd w:val="clear" w:color="auto" w:fill="FFFFFF"/>
        <w:spacing w:before="60" w:beforeAutospacing="0" w:after="0" w:afterAutospacing="0"/>
        <w:ind w:left="907" w:right="907"/>
        <w:jc w:val="both"/>
        <w:rPr>
          <w:rFonts w:ascii="Arial" w:hAnsi="Arial" w:cs="Arial"/>
          <w:sz w:val="18"/>
          <w:szCs w:val="18"/>
        </w:rPr>
      </w:pPr>
      <w:r w:rsidRPr="0035269B">
        <w:rPr>
          <w:rFonts w:ascii="Arial" w:hAnsi="Arial" w:cs="Arial"/>
          <w:sz w:val="18"/>
          <w:szCs w:val="18"/>
        </w:rPr>
        <w:t>The issues which arise illustrate the proposition, emphasised in a number of decisions of this Court, that an ‘appeal’ is not a procedure known to the common law, but, rather, always is a creature of statute.</w:t>
      </w:r>
    </w:p>
    <w:p w14:paraId="017AE6FF" w14:textId="01D44758" w:rsidR="0035269B" w:rsidRDefault="0035269B" w:rsidP="0035269B">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35269B">
        <w:rPr>
          <w:rFonts w:ascii="Arial" w:hAnsi="Arial" w:cs="Arial"/>
          <w:sz w:val="20"/>
          <w:szCs w:val="20"/>
        </w:rPr>
        <w:t>49</w:t>
      </w:r>
      <w:r>
        <w:rPr>
          <w:rFonts w:ascii="Arial" w:hAnsi="Arial" w:cs="Arial"/>
          <w:sz w:val="20"/>
          <w:szCs w:val="20"/>
        </w:rPr>
        <w:t>]</w:t>
      </w:r>
      <w:r w:rsidRPr="0035269B">
        <w:rPr>
          <w:rFonts w:ascii="Arial" w:hAnsi="Arial" w:cs="Arial"/>
          <w:sz w:val="20"/>
          <w:szCs w:val="20"/>
        </w:rPr>
        <w:t xml:space="preserve"> The footnote to this passage records that the authorities for this proposition are collected in </w:t>
      </w:r>
      <w:r w:rsidRPr="0035269B">
        <w:rPr>
          <w:rFonts w:ascii="Arial" w:hAnsi="Arial" w:cs="Arial"/>
          <w:i/>
          <w:iCs/>
          <w:sz w:val="20"/>
          <w:szCs w:val="20"/>
        </w:rPr>
        <w:t>Fox v Percy</w:t>
      </w:r>
      <w:r w:rsidRPr="0035269B">
        <w:rPr>
          <w:rFonts w:ascii="Arial" w:hAnsi="Arial" w:cs="Arial"/>
          <w:sz w:val="20"/>
          <w:szCs w:val="20"/>
        </w:rPr>
        <w:t xml:space="preserve"> </w:t>
      </w:r>
      <w:r w:rsidR="00707868">
        <w:rPr>
          <w:rFonts w:ascii="Arial" w:hAnsi="Arial" w:cs="Arial"/>
          <w:sz w:val="20"/>
          <w:szCs w:val="20"/>
        </w:rPr>
        <w:t>(2003) 214 CLR 118, 124 [20]; [2003] HCA 22.</w:t>
      </w:r>
      <w:r w:rsidRPr="0035269B">
        <w:rPr>
          <w:rFonts w:ascii="Arial" w:hAnsi="Arial" w:cs="Arial"/>
          <w:sz w:val="20"/>
          <w:szCs w:val="20"/>
        </w:rPr>
        <w:t xml:space="preserve"> Those authorities are longstanding and span the years from 1864 through to 2000.</w:t>
      </w:r>
      <w:r>
        <w:rPr>
          <w:rFonts w:ascii="Arial" w:hAnsi="Arial" w:cs="Arial"/>
          <w:sz w:val="20"/>
          <w:szCs w:val="20"/>
        </w:rPr>
        <w:t xml:space="preserve">  Being </w:t>
      </w:r>
      <w:r w:rsidRPr="00707868">
        <w:rPr>
          <w:rFonts w:ascii="Arial" w:hAnsi="Arial" w:cs="Arial"/>
          <w:i/>
          <w:iCs/>
          <w:sz w:val="20"/>
          <w:szCs w:val="20"/>
        </w:rPr>
        <w:t>Attorney-General v Sillem</w:t>
      </w:r>
      <w:r w:rsidRPr="0035269B">
        <w:rPr>
          <w:rFonts w:ascii="Arial" w:hAnsi="Arial" w:cs="Arial"/>
          <w:sz w:val="20"/>
          <w:szCs w:val="20"/>
        </w:rPr>
        <w:t xml:space="preserve"> (1864) 10 HLC 704, 720–721 [11 ER 1200, 1207–1208]; </w:t>
      </w:r>
      <w:r w:rsidRPr="00707868">
        <w:rPr>
          <w:rFonts w:ascii="Arial" w:hAnsi="Arial" w:cs="Arial"/>
          <w:i/>
          <w:iCs/>
          <w:sz w:val="20"/>
          <w:szCs w:val="20"/>
        </w:rPr>
        <w:t>South Australian Land Mortgage and Agency Co Ltd v The King</w:t>
      </w:r>
      <w:r w:rsidRPr="0035269B">
        <w:rPr>
          <w:rFonts w:ascii="Arial" w:hAnsi="Arial" w:cs="Arial"/>
          <w:sz w:val="20"/>
          <w:szCs w:val="20"/>
        </w:rPr>
        <w:t xml:space="preserve"> (1922) 30 CLR 523, 552–553; </w:t>
      </w:r>
      <w:r w:rsidRPr="00707868">
        <w:rPr>
          <w:rFonts w:ascii="Arial" w:hAnsi="Arial" w:cs="Arial"/>
          <w:i/>
          <w:iCs/>
          <w:sz w:val="20"/>
          <w:szCs w:val="20"/>
        </w:rPr>
        <w:t>CDJ v VAJ</w:t>
      </w:r>
      <w:r w:rsidRPr="0035269B">
        <w:rPr>
          <w:rFonts w:ascii="Arial" w:hAnsi="Arial" w:cs="Arial"/>
          <w:sz w:val="20"/>
          <w:szCs w:val="20"/>
        </w:rPr>
        <w:t xml:space="preserve"> (1998) 197 CLR 172, 196-197 [91]–[95], 230 [184]; </w:t>
      </w:r>
      <w:r w:rsidRPr="00707868">
        <w:rPr>
          <w:rFonts w:ascii="Arial" w:hAnsi="Arial" w:cs="Arial"/>
          <w:i/>
          <w:iCs/>
          <w:sz w:val="20"/>
          <w:szCs w:val="20"/>
        </w:rPr>
        <w:t>State Rail Authority (NSW) v Earthline Constructions Pty Ltd</w:t>
      </w:r>
      <w:r w:rsidRPr="0035269B">
        <w:rPr>
          <w:rFonts w:ascii="Arial" w:hAnsi="Arial" w:cs="Arial"/>
          <w:sz w:val="20"/>
          <w:szCs w:val="20"/>
        </w:rPr>
        <w:t xml:space="preserve"> (1999) 73 ALJR 306, 322 [72]; 160 ALR 588, 609; </w:t>
      </w:r>
      <w:r w:rsidRPr="00707868">
        <w:rPr>
          <w:rFonts w:ascii="Arial" w:hAnsi="Arial" w:cs="Arial"/>
          <w:i/>
          <w:iCs/>
          <w:sz w:val="20"/>
          <w:szCs w:val="20"/>
        </w:rPr>
        <w:t>DJL v Central Authority</w:t>
      </w:r>
      <w:r w:rsidRPr="0035269B">
        <w:rPr>
          <w:rFonts w:ascii="Arial" w:hAnsi="Arial" w:cs="Arial"/>
          <w:sz w:val="20"/>
          <w:szCs w:val="20"/>
        </w:rPr>
        <w:t xml:space="preserve"> (2000) 201 CLR 226, 245–6 [40]; Allesch v Maunz (2000) 203 CLR 172, 179–180 [20]–[22], 187 [44].</w:t>
      </w:r>
      <w:r w:rsidR="00707868">
        <w:rPr>
          <w:rFonts w:ascii="Arial" w:hAnsi="Arial" w:cs="Arial"/>
          <w:sz w:val="20"/>
          <w:szCs w:val="20"/>
        </w:rPr>
        <w:t>”</w:t>
      </w:r>
    </w:p>
    <w:p w14:paraId="3ABE5EC8" w14:textId="77777777" w:rsidR="00254C81" w:rsidRDefault="00254C81" w:rsidP="00254C81">
      <w:pPr>
        <w:rPr>
          <w:rFonts w:ascii="Arial" w:hAnsi="Arial" w:cs="Arial"/>
          <w:sz w:val="20"/>
          <w:szCs w:val="20"/>
        </w:rPr>
      </w:pPr>
    </w:p>
    <w:p w14:paraId="3446F6DA" w14:textId="77777777" w:rsidR="00254C81" w:rsidRDefault="00254C81" w:rsidP="00254C81">
      <w:pPr>
        <w:rPr>
          <w:rFonts w:ascii="Arial" w:hAnsi="Arial" w:cs="Arial"/>
          <w:sz w:val="20"/>
          <w:szCs w:val="20"/>
        </w:rPr>
      </w:pPr>
      <w:r>
        <w:rPr>
          <w:rFonts w:ascii="Arial" w:hAnsi="Arial" w:cs="Arial"/>
          <w:sz w:val="20"/>
          <w:szCs w:val="20"/>
        </w:rPr>
        <w:t xml:space="preserve">Section 17(2) of the </w:t>
      </w:r>
      <w:r w:rsidRPr="00715438">
        <w:rPr>
          <w:rFonts w:ascii="Arial" w:hAnsi="Arial" w:cs="Arial"/>
          <w:i/>
          <w:iCs/>
          <w:sz w:val="20"/>
          <w:szCs w:val="20"/>
        </w:rPr>
        <w:t>Supreme Court Act 1986</w:t>
      </w:r>
      <w:r>
        <w:rPr>
          <w:rFonts w:ascii="Arial" w:hAnsi="Arial" w:cs="Arial"/>
          <w:sz w:val="20"/>
          <w:szCs w:val="20"/>
        </w:rPr>
        <w:t xml:space="preserve"> provides:</w:t>
      </w:r>
    </w:p>
    <w:p w14:paraId="2178CBA9" w14:textId="77777777" w:rsidR="00254C81" w:rsidRDefault="00254C81" w:rsidP="00254C81">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715438">
        <w:rPr>
          <w:rFonts w:ascii="Arial" w:hAnsi="Arial" w:cs="Arial"/>
          <w:sz w:val="20"/>
          <w:szCs w:val="20"/>
        </w:rPr>
        <w:t>Unless otherwise expressly provided by this or any other Act, an appeal lies to the Court of Appeal from any determination of the Trial Division constituted by a Judge of the Court.</w:t>
      </w:r>
      <w:r>
        <w:rPr>
          <w:rFonts w:ascii="Arial" w:hAnsi="Arial" w:cs="Arial"/>
          <w:sz w:val="20"/>
          <w:szCs w:val="20"/>
        </w:rPr>
        <w:t>”</w:t>
      </w:r>
    </w:p>
    <w:p w14:paraId="53E9A416" w14:textId="059FF959" w:rsidR="00137B35" w:rsidRDefault="001D41B6" w:rsidP="001D41B6">
      <w:pPr>
        <w:pStyle w:val="NormalWeb"/>
        <w:shd w:val="clear" w:color="auto" w:fill="FFFFFF"/>
        <w:spacing w:before="120" w:beforeAutospacing="0" w:after="0" w:afterAutospacing="0"/>
        <w:ind w:right="454"/>
        <w:jc w:val="both"/>
        <w:rPr>
          <w:rFonts w:ascii="Arial" w:hAnsi="Arial" w:cs="Arial"/>
          <w:sz w:val="20"/>
          <w:szCs w:val="20"/>
        </w:rPr>
      </w:pPr>
      <w:r>
        <w:rPr>
          <w:rFonts w:ascii="Arial" w:hAnsi="Arial" w:cs="Arial"/>
          <w:sz w:val="20"/>
          <w:szCs w:val="20"/>
        </w:rPr>
        <w:t xml:space="preserve">In relation to the meaning of ‘determination’ in s.17(2), the Court of Appeal in </w:t>
      </w:r>
      <w:r w:rsidRPr="00707868">
        <w:rPr>
          <w:rFonts w:ascii="Arial" w:hAnsi="Arial" w:cs="Arial"/>
          <w:i/>
          <w:iCs/>
          <w:sz w:val="20"/>
        </w:rPr>
        <w:t>O’Bryan v Lindholm</w:t>
      </w:r>
      <w:r>
        <w:rPr>
          <w:rFonts w:ascii="Arial" w:hAnsi="Arial" w:cs="Arial"/>
          <w:sz w:val="20"/>
          <w:szCs w:val="20"/>
        </w:rPr>
        <w:t xml:space="preserve"> explained at [94]-[97]:</w:t>
      </w:r>
    </w:p>
    <w:p w14:paraId="68885BAB" w14:textId="174FAB3C" w:rsidR="00137B35"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[94] “</w:t>
      </w:r>
      <w:r w:rsidRPr="00137B35">
        <w:rPr>
          <w:rFonts w:ascii="Arial" w:hAnsi="Arial" w:cs="Arial"/>
          <w:sz w:val="20"/>
          <w:szCs w:val="20"/>
        </w:rPr>
        <w:t>Critically, then, as the High Court explained</w:t>
      </w:r>
      <w:r>
        <w:rPr>
          <w:rFonts w:ascii="Arial" w:hAnsi="Arial" w:cs="Arial"/>
          <w:sz w:val="20"/>
          <w:szCs w:val="20"/>
        </w:rPr>
        <w:t xml:space="preserve"> in </w:t>
      </w:r>
      <w:r w:rsidRPr="00137B35">
        <w:rPr>
          <w:rFonts w:ascii="Arial" w:hAnsi="Arial" w:cs="Arial"/>
          <w:i/>
          <w:iCs/>
          <w:sz w:val="20"/>
          <w:szCs w:val="20"/>
        </w:rPr>
        <w:t>AZC20 v Minister for Immigration, Citizenship, Migrant Services and Multicultural Affairs</w:t>
      </w:r>
      <w:r>
        <w:rPr>
          <w:rFonts w:ascii="Arial" w:hAnsi="Arial" w:cs="Arial"/>
          <w:sz w:val="20"/>
          <w:szCs w:val="20"/>
        </w:rPr>
        <w:t xml:space="preserve"> </w:t>
      </w:r>
      <w:r w:rsidRPr="00137B35">
        <w:rPr>
          <w:rFonts w:ascii="Arial" w:hAnsi="Arial" w:cs="Arial"/>
          <w:sz w:val="20"/>
          <w:szCs w:val="20"/>
        </w:rPr>
        <w:t>(2023) 97 ALJR 674, 686 [34]</w:t>
      </w:r>
      <w:r w:rsidR="001D41B6">
        <w:rPr>
          <w:rFonts w:ascii="Arial" w:hAnsi="Arial" w:cs="Arial"/>
          <w:sz w:val="20"/>
          <w:szCs w:val="20"/>
        </w:rPr>
        <w:t>-</w:t>
      </w:r>
      <w:r w:rsidRPr="00137B35">
        <w:rPr>
          <w:rFonts w:ascii="Arial" w:hAnsi="Arial" w:cs="Arial"/>
          <w:sz w:val="20"/>
          <w:szCs w:val="20"/>
        </w:rPr>
        <w:t>[35]; [2023] HCA 26</w:t>
      </w:r>
      <w:r>
        <w:rPr>
          <w:rFonts w:ascii="Arial" w:hAnsi="Arial" w:cs="Arial"/>
          <w:sz w:val="20"/>
          <w:szCs w:val="20"/>
        </w:rPr>
        <w:t xml:space="preserve"> </w:t>
      </w:r>
      <w:r w:rsidRPr="00137B35">
        <w:rPr>
          <w:rFonts w:ascii="Arial" w:hAnsi="Arial" w:cs="Arial"/>
          <w:sz w:val="20"/>
          <w:szCs w:val="20"/>
        </w:rPr>
        <w:t>an appeal is not against reasons for judgment. Moreover, there is nothing in the text, or context of s 17, or its predecessor,</w:t>
      </w:r>
      <w:r>
        <w:rPr>
          <w:rFonts w:ascii="Arial" w:hAnsi="Arial" w:cs="Arial"/>
          <w:sz w:val="20"/>
          <w:szCs w:val="20"/>
        </w:rPr>
        <w:t xml:space="preserve"> </w:t>
      </w:r>
      <w:r w:rsidRPr="00137B35">
        <w:rPr>
          <w:rFonts w:ascii="Arial" w:hAnsi="Arial" w:cs="Arial"/>
          <w:sz w:val="20"/>
          <w:szCs w:val="20"/>
        </w:rPr>
        <w:t>which would suggest that an appeal right should extend to a right to separately challenge individual findings made in reasons given by a judge.</w:t>
      </w:r>
    </w:p>
    <w:p w14:paraId="6CA2D6C4" w14:textId="45ADFA18" w:rsidR="00137B35"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137B35">
        <w:rPr>
          <w:rFonts w:ascii="Arial" w:hAnsi="Arial" w:cs="Arial"/>
          <w:sz w:val="20"/>
          <w:szCs w:val="20"/>
        </w:rPr>
        <w:t>95</w:t>
      </w:r>
      <w:r>
        <w:rPr>
          <w:rFonts w:ascii="Arial" w:hAnsi="Arial" w:cs="Arial"/>
          <w:sz w:val="20"/>
          <w:szCs w:val="20"/>
        </w:rPr>
        <w:t>]</w:t>
      </w:r>
      <w:r w:rsidRPr="00137B35">
        <w:rPr>
          <w:rFonts w:ascii="Arial" w:hAnsi="Arial" w:cs="Arial"/>
          <w:sz w:val="20"/>
          <w:szCs w:val="20"/>
        </w:rPr>
        <w:t xml:space="preserve"> We also agree with the respondent that an examination of potential consequences supports the construction that we have reached. Consistent with the concerns raised in </w:t>
      </w:r>
      <w:r w:rsidRPr="00137B35">
        <w:rPr>
          <w:rFonts w:ascii="Arial" w:hAnsi="Arial" w:cs="Arial"/>
          <w:i/>
          <w:iCs/>
          <w:sz w:val="20"/>
          <w:szCs w:val="20"/>
        </w:rPr>
        <w:t>Lake v Lake</w:t>
      </w:r>
      <w:r w:rsidR="001D41B6">
        <w:rPr>
          <w:rFonts w:ascii="Arial" w:hAnsi="Arial" w:cs="Arial"/>
          <w:sz w:val="20"/>
          <w:szCs w:val="20"/>
        </w:rPr>
        <w:t xml:space="preserve"> </w:t>
      </w:r>
      <w:r w:rsidR="001D41B6" w:rsidRPr="001D41B6">
        <w:rPr>
          <w:rFonts w:ascii="Arial" w:hAnsi="Arial" w:cs="Arial"/>
          <w:sz w:val="20"/>
          <w:szCs w:val="20"/>
        </w:rPr>
        <w:t xml:space="preserve">[1955] P 336; [1955] 2 All ER 538; </w:t>
      </w:r>
      <w:r w:rsidRPr="001D41B6">
        <w:rPr>
          <w:rFonts w:ascii="Arial" w:hAnsi="Arial" w:cs="Arial"/>
          <w:sz w:val="20"/>
          <w:szCs w:val="20"/>
        </w:rPr>
        <w:t xml:space="preserve">it is unclear what consequences would flow if any one of the findings in the relevant paragraphs was to be ‘set aside’. </w:t>
      </w:r>
      <w:r w:rsidR="001D41B6">
        <w:rPr>
          <w:rFonts w:ascii="Arial" w:hAnsi="Arial" w:cs="Arial"/>
          <w:sz w:val="20"/>
          <w:szCs w:val="20"/>
        </w:rPr>
        <w:t xml:space="preserve"> </w:t>
      </w:r>
      <w:r w:rsidRPr="001D41B6">
        <w:rPr>
          <w:rFonts w:ascii="Arial" w:hAnsi="Arial" w:cs="Arial"/>
          <w:sz w:val="20"/>
          <w:szCs w:val="20"/>
        </w:rPr>
        <w:t>The ability to attack individu</w:t>
      </w:r>
      <w:r w:rsidRPr="00137B35">
        <w:rPr>
          <w:rFonts w:ascii="Arial" w:hAnsi="Arial" w:cs="Arial"/>
          <w:sz w:val="20"/>
          <w:szCs w:val="20"/>
        </w:rPr>
        <w:t>al findings would also considerably increase the volume of appeals (and potentially remittals) without clear justification. Such fragmentation undermines principles of finality and should not be adopted absent express and clear words.</w:t>
      </w:r>
    </w:p>
    <w:p w14:paraId="2850235F" w14:textId="5167E409" w:rsidR="00137B35"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137B35">
        <w:rPr>
          <w:rFonts w:ascii="Arial" w:hAnsi="Arial" w:cs="Arial"/>
          <w:sz w:val="20"/>
          <w:szCs w:val="20"/>
        </w:rPr>
        <w:t>96</w:t>
      </w:r>
      <w:r>
        <w:rPr>
          <w:rFonts w:ascii="Arial" w:hAnsi="Arial" w:cs="Arial"/>
          <w:sz w:val="20"/>
          <w:szCs w:val="20"/>
        </w:rPr>
        <w:t>]</w:t>
      </w:r>
      <w:r w:rsidRPr="00137B35">
        <w:rPr>
          <w:rFonts w:ascii="Arial" w:hAnsi="Arial" w:cs="Arial"/>
          <w:sz w:val="20"/>
          <w:szCs w:val="20"/>
        </w:rPr>
        <w:t xml:space="preserve"> Having regard, then, to the text, context and purpose</w:t>
      </w:r>
      <w:r w:rsidR="00254C81">
        <w:rPr>
          <w:rFonts w:ascii="Arial" w:hAnsi="Arial" w:cs="Arial"/>
          <w:sz w:val="20"/>
          <w:szCs w:val="20"/>
        </w:rPr>
        <w:t xml:space="preserve"> [of s.17(2)]</w:t>
      </w:r>
      <w:r w:rsidRPr="00137B35">
        <w:rPr>
          <w:rFonts w:ascii="Arial" w:hAnsi="Arial" w:cs="Arial"/>
          <w:sz w:val="20"/>
          <w:szCs w:val="20"/>
        </w:rPr>
        <w:t>, together with the relevant authorities, we consider that a ‘determination’ connotes the finalisation of a matter or other operative decision that affects rights, duties or liabilities. It would not include the making of findings of fact prior to the making of an operative decision of that kind. It is otherwise unnecessary to explore the precise parameters of a ‘determination’. Whatever its precise scope, it does not extend to the findings made in the relevant paragraphs that the applicant seeks to challenge.</w:t>
      </w:r>
    </w:p>
    <w:p w14:paraId="1B9B4CDD" w14:textId="26D98E30" w:rsidR="00715438"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137B35">
        <w:rPr>
          <w:rFonts w:ascii="Arial" w:hAnsi="Arial" w:cs="Arial"/>
          <w:sz w:val="20"/>
          <w:szCs w:val="20"/>
        </w:rPr>
        <w:t>97</w:t>
      </w:r>
      <w:r>
        <w:rPr>
          <w:rFonts w:ascii="Arial" w:hAnsi="Arial" w:cs="Arial"/>
          <w:sz w:val="20"/>
          <w:szCs w:val="20"/>
        </w:rPr>
        <w:t>]</w:t>
      </w:r>
      <w:r w:rsidRPr="00137B35">
        <w:rPr>
          <w:rFonts w:ascii="Arial" w:hAnsi="Arial" w:cs="Arial"/>
          <w:sz w:val="20"/>
          <w:szCs w:val="20"/>
        </w:rPr>
        <w:t xml:space="preserve"> The appeal in respect of which leave is sought is thus incompetent</w:t>
      </w:r>
      <w:r>
        <w:rPr>
          <w:rFonts w:ascii="Arial" w:hAnsi="Arial" w:cs="Arial"/>
          <w:sz w:val="20"/>
          <w:szCs w:val="20"/>
        </w:rPr>
        <w:t>.”</w:t>
      </w:r>
    </w:p>
    <w:p w14:paraId="3D8865E7" w14:textId="0A960FAD" w:rsidR="00E978C0" w:rsidRDefault="00E978C0" w:rsidP="00692743">
      <w:pPr>
        <w:jc w:val="both"/>
        <w:rPr>
          <w:rFonts w:ascii="Arial" w:hAnsi="Arial" w:cs="Arial"/>
          <w:sz w:val="20"/>
        </w:rPr>
      </w:pPr>
      <w:bookmarkStart w:id="1209" w:name="_Hlk190855076"/>
      <w:bookmarkStart w:id="1210" w:name="_Hlk96596487"/>
    </w:p>
    <w:p w14:paraId="689F166B" w14:textId="40DA65C1" w:rsidR="00E70BC3" w:rsidRDefault="00E70BC3" w:rsidP="00692743">
      <w:pPr>
        <w:jc w:val="both"/>
        <w:rPr>
          <w:rFonts w:ascii="Arial" w:hAnsi="Arial" w:cs="Arial"/>
          <w:sz w:val="20"/>
        </w:rPr>
      </w:pPr>
      <w:r>
        <w:rPr>
          <w:rFonts w:ascii="Arial" w:hAnsi="Arial" w:cs="Arial"/>
          <w:sz w:val="20"/>
        </w:rPr>
        <w:t xml:space="preserve">In </w:t>
      </w:r>
      <w:r w:rsidRPr="00E70BC3">
        <w:rPr>
          <w:rFonts w:ascii="Arial" w:hAnsi="Arial" w:cs="Arial"/>
          <w:i/>
          <w:iCs/>
          <w:sz w:val="20"/>
        </w:rPr>
        <w:t>SL (a pseudonym) v Secretary DFFH &amp; Ors</w:t>
      </w:r>
      <w:r>
        <w:rPr>
          <w:rFonts w:ascii="Arial" w:hAnsi="Arial" w:cs="Arial"/>
          <w:sz w:val="20"/>
        </w:rPr>
        <w:t xml:space="preserve"> [2025] VSC 822 </w:t>
      </w:r>
      <w:r w:rsidR="00B22E47">
        <w:rPr>
          <w:rFonts w:ascii="Arial" w:hAnsi="Arial" w:cs="Arial"/>
          <w:sz w:val="20"/>
        </w:rPr>
        <w:t>the</w:t>
      </w:r>
      <w:r>
        <w:rPr>
          <w:rFonts w:ascii="Arial" w:hAnsi="Arial" w:cs="Arial"/>
          <w:sz w:val="20"/>
        </w:rPr>
        <w:t xml:space="preserve"> appellant mother SL had attended court </w:t>
      </w:r>
      <w:r w:rsidR="00EC7CFC">
        <w:rPr>
          <w:rFonts w:ascii="Arial" w:hAnsi="Arial" w:cs="Arial"/>
          <w:sz w:val="20"/>
        </w:rPr>
        <w:t xml:space="preserve">on 14/04/2025 </w:t>
      </w:r>
      <w:r>
        <w:rPr>
          <w:rFonts w:ascii="Arial" w:hAnsi="Arial" w:cs="Arial"/>
          <w:sz w:val="20"/>
        </w:rPr>
        <w:t xml:space="preserve">and had spoken briefly with her lawyer but left court before the matter was called on. When </w:t>
      </w:r>
      <w:r w:rsidR="00EC7CFC">
        <w:rPr>
          <w:rFonts w:ascii="Arial" w:hAnsi="Arial" w:cs="Arial"/>
          <w:sz w:val="20"/>
        </w:rPr>
        <w:t>it</w:t>
      </w:r>
      <w:r>
        <w:rPr>
          <w:rFonts w:ascii="Arial" w:hAnsi="Arial" w:cs="Arial"/>
          <w:sz w:val="20"/>
        </w:rPr>
        <w:t xml:space="preserve"> was called on, the mother’s lawyer advised the magistrate that she had been unable to take instructions other than to seek an adjournment. This adjournment application was not opposed by DFFH and neither the father nor the elder of the two children strictly opposed it. Ultimately the magistrate declined to grant the adjournment</w:t>
      </w:r>
      <w:r w:rsidR="00B22E47">
        <w:rPr>
          <w:rFonts w:ascii="Arial" w:hAnsi="Arial" w:cs="Arial"/>
          <w:sz w:val="20"/>
        </w:rPr>
        <w:t>, found the protection applications proved and made family preservation orders placing t</w:t>
      </w:r>
      <w:r w:rsidR="00EC7CFC">
        <w:rPr>
          <w:rFonts w:ascii="Arial" w:hAnsi="Arial" w:cs="Arial"/>
          <w:sz w:val="20"/>
        </w:rPr>
        <w:t>he</w:t>
      </w:r>
      <w:r w:rsidR="00B22E47">
        <w:rPr>
          <w:rFonts w:ascii="Arial" w:hAnsi="Arial" w:cs="Arial"/>
          <w:sz w:val="20"/>
        </w:rPr>
        <w:t xml:space="preserve"> children in the day-to-day care of their father for a period of 6 months.</w:t>
      </w:r>
    </w:p>
    <w:p w14:paraId="1C58C79D" w14:textId="7C4FC881" w:rsidR="00B22E47" w:rsidRDefault="00A657F2" w:rsidP="00B22E47">
      <w:pPr>
        <w:spacing w:before="120"/>
        <w:jc w:val="both"/>
        <w:rPr>
          <w:rFonts w:ascii="Arial" w:hAnsi="Arial" w:cs="Arial"/>
          <w:sz w:val="20"/>
        </w:rPr>
      </w:pPr>
      <w:r>
        <w:rPr>
          <w:rFonts w:ascii="Arial" w:hAnsi="Arial" w:cs="Arial"/>
          <w:sz w:val="20"/>
        </w:rPr>
        <w:t>The appellant filed a notice of appeal on 23/04/2025. Thereafter there were a number of interlocutory hearings in the Supreme Court until on 14/10/2025 the parties were unable to reach agreement in a directions hearing</w:t>
      </w:r>
      <w:r w:rsidR="00255423">
        <w:rPr>
          <w:rFonts w:ascii="Arial" w:hAnsi="Arial" w:cs="Arial"/>
          <w:sz w:val="20"/>
        </w:rPr>
        <w:t xml:space="preserve"> and the case was adjourned for hearing and determination of the appeal. However, </w:t>
      </w:r>
      <w:r w:rsidR="006D3E3C">
        <w:rPr>
          <w:rFonts w:ascii="Arial" w:hAnsi="Arial" w:cs="Arial"/>
          <w:sz w:val="20"/>
        </w:rPr>
        <w:lastRenderedPageBreak/>
        <w:t xml:space="preserve">the </w:t>
      </w:r>
      <w:r w:rsidR="00B22E47">
        <w:rPr>
          <w:rFonts w:ascii="Arial" w:hAnsi="Arial" w:cs="Arial"/>
          <w:sz w:val="20"/>
        </w:rPr>
        <w:t xml:space="preserve">family preservation orders expired on 23/10/2025 and thereafter there </w:t>
      </w:r>
      <w:r>
        <w:rPr>
          <w:rFonts w:ascii="Arial" w:hAnsi="Arial" w:cs="Arial"/>
          <w:sz w:val="20"/>
        </w:rPr>
        <w:t>ha</w:t>
      </w:r>
      <w:r w:rsidR="00EC7CFC">
        <w:rPr>
          <w:rFonts w:ascii="Arial" w:hAnsi="Arial" w:cs="Arial"/>
          <w:sz w:val="20"/>
        </w:rPr>
        <w:t xml:space="preserve">d </w:t>
      </w:r>
      <w:r w:rsidR="00B22E47">
        <w:rPr>
          <w:rFonts w:ascii="Arial" w:hAnsi="Arial" w:cs="Arial"/>
          <w:sz w:val="20"/>
        </w:rPr>
        <w:t xml:space="preserve">no longer </w:t>
      </w:r>
      <w:r w:rsidR="00EC7CFC">
        <w:rPr>
          <w:rFonts w:ascii="Arial" w:hAnsi="Arial" w:cs="Arial"/>
          <w:sz w:val="20"/>
        </w:rPr>
        <w:t xml:space="preserve">been </w:t>
      </w:r>
      <w:r w:rsidR="00B22E47">
        <w:rPr>
          <w:rFonts w:ascii="Arial" w:hAnsi="Arial" w:cs="Arial"/>
          <w:sz w:val="20"/>
        </w:rPr>
        <w:t xml:space="preserve">any legally operative order in relation to either of the children. On 27/11/2025 Gray J dismissed the appeal as </w:t>
      </w:r>
      <w:r w:rsidR="00255423">
        <w:rPr>
          <w:rFonts w:ascii="Arial" w:hAnsi="Arial" w:cs="Arial"/>
          <w:sz w:val="20"/>
        </w:rPr>
        <w:t xml:space="preserve">no longer </w:t>
      </w:r>
      <w:r w:rsidR="00B22E47">
        <w:rPr>
          <w:rFonts w:ascii="Arial" w:hAnsi="Arial" w:cs="Arial"/>
          <w:sz w:val="20"/>
        </w:rPr>
        <w:t>competent on the basis of dicta:</w:t>
      </w:r>
    </w:p>
    <w:p w14:paraId="1F2BF51A" w14:textId="3B09E554" w:rsidR="00B22E47" w:rsidRPr="00255423" w:rsidRDefault="00B22E47" w:rsidP="003E6EC7">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sidRPr="00255423">
        <w:rPr>
          <w:rFonts w:ascii="Arial" w:hAnsi="Arial" w:cs="Arial"/>
          <w:sz w:val="20"/>
          <w:szCs w:val="20"/>
        </w:rPr>
        <w:t xml:space="preserve">of the High Court in </w:t>
      </w:r>
      <w:r w:rsidRPr="00255423">
        <w:rPr>
          <w:rFonts w:ascii="Arial" w:hAnsi="Arial" w:cs="Arial"/>
          <w:i/>
          <w:iCs/>
          <w:sz w:val="20"/>
          <w:szCs w:val="20"/>
        </w:rPr>
        <w:t>AZC20 v Minister for Immigration, Citizenship, Migrant Services and Multicultural Affairs</w:t>
      </w:r>
      <w:r w:rsidRPr="00255423">
        <w:rPr>
          <w:rFonts w:ascii="Arial" w:hAnsi="Arial" w:cs="Arial"/>
          <w:sz w:val="20"/>
          <w:szCs w:val="20"/>
        </w:rPr>
        <w:t xml:space="preserve"> (2023) 278 CLR 512; [2023] HCA 26 at [34]</w:t>
      </w:r>
      <w:r w:rsidR="00255423" w:rsidRPr="00255423">
        <w:rPr>
          <w:rFonts w:ascii="Arial" w:hAnsi="Arial" w:cs="Arial"/>
          <w:sz w:val="20"/>
          <w:szCs w:val="20"/>
        </w:rPr>
        <w:t>-[35]</w:t>
      </w:r>
      <w:r w:rsidRPr="00255423">
        <w:rPr>
          <w:rFonts w:ascii="Arial" w:hAnsi="Arial" w:cs="Arial"/>
          <w:sz w:val="20"/>
          <w:szCs w:val="20"/>
        </w:rPr>
        <w:t xml:space="preserve"> that </w:t>
      </w:r>
      <w:r w:rsidR="00255423" w:rsidRPr="00255423">
        <w:rPr>
          <w:rFonts w:ascii="Arial" w:hAnsi="Arial" w:cs="Arial"/>
          <w:sz w:val="20"/>
          <w:szCs w:val="20"/>
        </w:rPr>
        <w:t xml:space="preserve">“an appeal is against orders, not against reasons for judgment” and that </w:t>
      </w:r>
      <w:r w:rsidR="00A657F2" w:rsidRPr="00255423">
        <w:rPr>
          <w:rFonts w:ascii="Arial" w:hAnsi="Arial" w:cs="Arial"/>
          <w:sz w:val="20"/>
          <w:szCs w:val="20"/>
        </w:rPr>
        <w:t>a</w:t>
      </w:r>
      <w:r w:rsidRPr="00255423">
        <w:rPr>
          <w:rFonts w:ascii="Arial" w:hAnsi="Arial" w:cs="Arial"/>
          <w:sz w:val="20"/>
          <w:szCs w:val="20"/>
        </w:rPr>
        <w:t xml:space="preserve"> </w:t>
      </w:r>
      <w:r w:rsidR="00A657F2" w:rsidRPr="00255423">
        <w:rPr>
          <w:rFonts w:ascii="Arial" w:hAnsi="Arial" w:cs="Arial"/>
          <w:sz w:val="20"/>
          <w:szCs w:val="20"/>
        </w:rPr>
        <w:t xml:space="preserve">live “controversy over some immediate right, duty or liability” </w:t>
      </w:r>
      <w:r w:rsidR="00255423" w:rsidRPr="00255423">
        <w:rPr>
          <w:rFonts w:ascii="Arial" w:hAnsi="Arial" w:cs="Arial"/>
          <w:sz w:val="20"/>
          <w:szCs w:val="20"/>
        </w:rPr>
        <w:t xml:space="preserve">was required </w:t>
      </w:r>
      <w:r w:rsidR="00A657F2" w:rsidRPr="00255423">
        <w:rPr>
          <w:rFonts w:ascii="Arial" w:hAnsi="Arial" w:cs="Arial"/>
          <w:sz w:val="20"/>
          <w:szCs w:val="20"/>
        </w:rPr>
        <w:t>to ground a “matter” on appeal; and</w:t>
      </w:r>
    </w:p>
    <w:p w14:paraId="0DAE0ADA" w14:textId="2236FB5C" w:rsidR="00B22E47" w:rsidRDefault="00A657F2" w:rsidP="00B22E47">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Pr>
          <w:rFonts w:ascii="Arial" w:hAnsi="Arial" w:cs="Arial"/>
          <w:sz w:val="20"/>
          <w:szCs w:val="20"/>
        </w:rPr>
        <w:t xml:space="preserve">of the Court of Appeal in </w:t>
      </w:r>
      <w:r w:rsidRPr="00A657F2">
        <w:rPr>
          <w:rFonts w:ascii="Arial" w:hAnsi="Arial" w:cs="Arial"/>
          <w:i/>
          <w:iCs/>
          <w:sz w:val="20"/>
          <w:szCs w:val="20"/>
        </w:rPr>
        <w:t>O’Bryan v Lindholm</w:t>
      </w:r>
      <w:r>
        <w:rPr>
          <w:rFonts w:ascii="Arial" w:hAnsi="Arial" w:cs="Arial"/>
          <w:sz w:val="20"/>
          <w:szCs w:val="20"/>
        </w:rPr>
        <w:t xml:space="preserve"> (2024) 74 VR 496; [2024] VSCA 130 at [93] </w:t>
      </w:r>
      <w:r w:rsidR="00255423">
        <w:rPr>
          <w:rFonts w:ascii="Arial" w:hAnsi="Arial" w:cs="Arial"/>
          <w:sz w:val="20"/>
          <w:szCs w:val="20"/>
        </w:rPr>
        <w:t xml:space="preserve">that applied the reasoning of the plurality in the </w:t>
      </w:r>
      <w:r w:rsidR="00255423" w:rsidRPr="00255423">
        <w:rPr>
          <w:rFonts w:ascii="Arial" w:hAnsi="Arial" w:cs="Arial"/>
          <w:i/>
          <w:iCs/>
          <w:sz w:val="20"/>
          <w:szCs w:val="20"/>
        </w:rPr>
        <w:t>AZC20 Case</w:t>
      </w:r>
      <w:r w:rsidR="00255423">
        <w:rPr>
          <w:rFonts w:ascii="Arial" w:hAnsi="Arial" w:cs="Arial"/>
          <w:sz w:val="20"/>
          <w:szCs w:val="20"/>
        </w:rPr>
        <w:t>.</w:t>
      </w:r>
    </w:p>
    <w:p w14:paraId="2F125094" w14:textId="67E90AEA" w:rsidR="00B22E47" w:rsidRDefault="00255423" w:rsidP="00255423">
      <w:pPr>
        <w:pStyle w:val="NormalWeb"/>
        <w:shd w:val="clear" w:color="auto" w:fill="FFFFFF"/>
        <w:spacing w:before="60" w:beforeAutospacing="0" w:after="0" w:afterAutospacing="0"/>
        <w:jc w:val="both"/>
        <w:rPr>
          <w:rFonts w:ascii="Arial" w:hAnsi="Arial" w:cs="Arial"/>
          <w:sz w:val="20"/>
          <w:szCs w:val="20"/>
        </w:rPr>
      </w:pPr>
      <w:r>
        <w:rPr>
          <w:rFonts w:ascii="Arial" w:hAnsi="Arial" w:cs="Arial"/>
          <w:sz w:val="20"/>
          <w:szCs w:val="20"/>
        </w:rPr>
        <w:t>Accordingly, Gray J concluded at [31] that:</w:t>
      </w:r>
    </w:p>
    <w:p w14:paraId="32138257" w14:textId="360C0503" w:rsidR="00255423" w:rsidRDefault="00255423" w:rsidP="00255423">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“Applied to this case, I consider that, absent a continuing effect of an order appealed from under s.329(1) of the CYFA, there is no remaining subject matter for the appeal to this Court under that section.”</w:t>
      </w:r>
    </w:p>
    <w:p w14:paraId="40D6F219" w14:textId="77777777" w:rsidR="00E70BC3" w:rsidRDefault="00E70BC3" w:rsidP="00692743">
      <w:pPr>
        <w:jc w:val="both"/>
        <w:rPr>
          <w:rFonts w:ascii="Arial" w:hAnsi="Arial" w:cs="Arial"/>
          <w:sz w:val="20"/>
        </w:rPr>
      </w:pPr>
    </w:p>
    <w:p w14:paraId="39E411D3" w14:textId="7D8CAB68" w:rsidR="00CC6128" w:rsidRDefault="00CC6128" w:rsidP="00CC6128">
      <w:pPr>
        <w:pBdr>
          <w:top w:val="thinThickThinSmallGap" w:sz="24" w:space="1" w:color="auto"/>
        </w:pBdr>
        <w:jc w:val="both"/>
        <w:rPr>
          <w:rFonts w:ascii="Arial" w:hAnsi="Arial" w:cs="Arial"/>
          <w:sz w:val="20"/>
        </w:rPr>
      </w:pPr>
    </w:p>
    <w:bookmarkEnd w:id="1209"/>
    <w:p w14:paraId="735F169C" w14:textId="0B4249EF" w:rsidR="00CC6128" w:rsidRDefault="00CC6128" w:rsidP="00CC6128">
      <w:pPr>
        <w:jc w:val="both"/>
        <w:rPr>
          <w:rFonts w:ascii="Arial" w:hAnsi="Arial" w:cs="Arial"/>
          <w:sz w:val="20"/>
        </w:rPr>
      </w:pPr>
      <w:r>
        <w:rPr>
          <w:rFonts w:ascii="Arial" w:hAnsi="Arial" w:cs="Arial"/>
          <w:sz w:val="20"/>
        </w:rPr>
        <w:t xml:space="preserve">As and from 04/12/2021 the right of </w:t>
      </w:r>
      <w:r w:rsidRPr="00607388">
        <w:rPr>
          <w:rFonts w:ascii="Arial" w:hAnsi="Arial" w:cs="Arial"/>
          <w:i/>
          <w:iCs/>
          <w:sz w:val="20"/>
        </w:rPr>
        <w:t>de novo</w:t>
      </w:r>
      <w:r>
        <w:rPr>
          <w:rFonts w:ascii="Arial" w:hAnsi="Arial" w:cs="Arial"/>
          <w:sz w:val="20"/>
        </w:rPr>
        <w:t xml:space="preserve"> appeal against a final order made in child protection proceedings in the Family Division of the Children’s Court – formerly created by s.328 of the CYFA – has been removed, following the repeal of that section by s.3 of the </w:t>
      </w:r>
      <w:r w:rsidR="00A962F2">
        <w:rPr>
          <w:rFonts w:ascii="Arial" w:hAnsi="Arial" w:cs="Arial"/>
          <w:sz w:val="20"/>
        </w:rPr>
        <w:t xml:space="preserve">rather </w:t>
      </w:r>
      <w:r>
        <w:rPr>
          <w:rFonts w:ascii="Arial" w:hAnsi="Arial" w:cs="Arial"/>
          <w:sz w:val="20"/>
        </w:rPr>
        <w:t xml:space="preserve">misleadingly-named </w:t>
      </w:r>
      <w:r w:rsidRPr="00607388">
        <w:rPr>
          <w:rFonts w:ascii="Arial" w:hAnsi="Arial" w:cs="Arial"/>
          <w:i/>
          <w:iCs/>
          <w:sz w:val="20"/>
        </w:rPr>
        <w:t>Justice Legislation Amendment (Criminal Appeals</w:t>
      </w:r>
      <w:r>
        <w:rPr>
          <w:rFonts w:ascii="Arial" w:hAnsi="Arial" w:cs="Arial"/>
          <w:i/>
          <w:iCs/>
          <w:sz w:val="20"/>
        </w:rPr>
        <w:t>)</w:t>
      </w:r>
      <w:r w:rsidRPr="00607388">
        <w:rPr>
          <w:rFonts w:ascii="Arial" w:hAnsi="Arial" w:cs="Arial"/>
          <w:i/>
          <w:iCs/>
          <w:sz w:val="20"/>
        </w:rPr>
        <w:t xml:space="preserve"> Act 2019</w:t>
      </w:r>
      <w:r>
        <w:rPr>
          <w:rFonts w:ascii="Arial" w:hAnsi="Arial" w:cs="Arial"/>
          <w:sz w:val="20"/>
        </w:rPr>
        <w:t>.  The only avenues of “appeal” in relation to orders made by judges or magistrates in child protection proceedings are:</w:t>
      </w:r>
    </w:p>
    <w:p w14:paraId="21F36339" w14:textId="77777777" w:rsidR="00CC6128" w:rsidRPr="00210AE6" w:rsidRDefault="00CC6128">
      <w:pPr>
        <w:pStyle w:val="ListParagraph"/>
        <w:numPr>
          <w:ilvl w:val="0"/>
          <w:numId w:val="147"/>
        </w:numPr>
        <w:ind w:left="357" w:hanging="357"/>
        <w:jc w:val="both"/>
        <w:rPr>
          <w:rFonts w:ascii="Arial" w:hAnsi="Arial" w:cs="Arial"/>
          <w:sz w:val="20"/>
        </w:rPr>
      </w:pPr>
      <w:r w:rsidRPr="00210AE6">
        <w:rPr>
          <w:rFonts w:ascii="Arial" w:hAnsi="Arial" w:cs="Arial"/>
          <w:sz w:val="20"/>
        </w:rPr>
        <w:t>appeals under s.329 CYFA or judicial reviews under Order 56 Supreme Court Rules where there is an alleged error of law; or</w:t>
      </w:r>
    </w:p>
    <w:p w14:paraId="113241A0" w14:textId="77777777" w:rsidR="00CC6128" w:rsidRPr="00210AE6" w:rsidRDefault="00CC6128">
      <w:pPr>
        <w:pStyle w:val="ListParagraph"/>
        <w:numPr>
          <w:ilvl w:val="0"/>
          <w:numId w:val="147"/>
        </w:numPr>
        <w:ind w:left="357" w:hanging="357"/>
        <w:jc w:val="both"/>
        <w:rPr>
          <w:rFonts w:ascii="Arial" w:hAnsi="Arial" w:cs="Arial"/>
          <w:sz w:val="20"/>
        </w:rPr>
      </w:pPr>
      <w:r w:rsidRPr="00210AE6">
        <w:rPr>
          <w:rFonts w:ascii="Arial" w:hAnsi="Arial" w:cs="Arial"/>
          <w:sz w:val="20"/>
        </w:rPr>
        <w:t>IAO appeals pursuant to s.271 CYFA.</w:t>
      </w:r>
    </w:p>
    <w:p w14:paraId="500C4847" w14:textId="35849728" w:rsidR="00CC6128" w:rsidRDefault="00CC6128" w:rsidP="00CC6128">
      <w:pPr>
        <w:jc w:val="both"/>
        <w:rPr>
          <w:rFonts w:ascii="Arial" w:hAnsi="Arial" w:cs="Arial"/>
          <w:sz w:val="20"/>
        </w:rPr>
      </w:pPr>
      <w:bookmarkStart w:id="1211" w:name="_Hlk190854864"/>
    </w:p>
    <w:p w14:paraId="5AD191F7" w14:textId="77777777" w:rsidR="00A962F2" w:rsidRDefault="00A962F2" w:rsidP="00A962F2">
      <w:pPr>
        <w:jc w:val="both"/>
        <w:rPr>
          <w:rFonts w:ascii="Arial" w:hAnsi="Arial" w:cs="Arial"/>
          <w:sz w:val="20"/>
        </w:rPr>
      </w:pPr>
      <w:r>
        <w:rPr>
          <w:rFonts w:ascii="Arial" w:hAnsi="Arial" w:cs="Arial"/>
          <w:sz w:val="20"/>
        </w:rPr>
        <w:t xml:space="preserve">Purposes of the aforementioned </w:t>
      </w:r>
      <w:r w:rsidRPr="00607388">
        <w:rPr>
          <w:rFonts w:ascii="Arial" w:hAnsi="Arial" w:cs="Arial"/>
          <w:i/>
          <w:iCs/>
          <w:sz w:val="20"/>
        </w:rPr>
        <w:t>Justice Legislation Amendment (Criminal Appeals</w:t>
      </w:r>
      <w:r>
        <w:rPr>
          <w:rFonts w:ascii="Arial" w:hAnsi="Arial" w:cs="Arial"/>
          <w:i/>
          <w:iCs/>
          <w:sz w:val="20"/>
        </w:rPr>
        <w:t>)</w:t>
      </w:r>
      <w:r w:rsidRPr="00607388">
        <w:rPr>
          <w:rFonts w:ascii="Arial" w:hAnsi="Arial" w:cs="Arial"/>
          <w:i/>
          <w:iCs/>
          <w:sz w:val="20"/>
        </w:rPr>
        <w:t xml:space="preserve"> Act 2019</w:t>
      </w:r>
      <w:r>
        <w:rPr>
          <w:rFonts w:ascii="Arial" w:hAnsi="Arial" w:cs="Arial"/>
          <w:sz w:val="20"/>
        </w:rPr>
        <w:t xml:space="preserve"> include in s.1(c) amendments of both the</w:t>
      </w:r>
      <w:r w:rsidRPr="008D14CC">
        <w:rPr>
          <w:rFonts w:ascii="Arial" w:hAnsi="Arial" w:cs="Arial"/>
          <w:sz w:val="20"/>
        </w:rPr>
        <w:t xml:space="preserve"> CYFA </w:t>
      </w:r>
      <w:r>
        <w:rPr>
          <w:rFonts w:ascii="Arial" w:hAnsi="Arial" w:cs="Arial"/>
          <w:sz w:val="20"/>
        </w:rPr>
        <w:t xml:space="preserve">and the </w:t>
      </w:r>
      <w:r w:rsidRPr="008D14CC">
        <w:rPr>
          <w:rFonts w:ascii="Arial" w:hAnsi="Arial" w:cs="Arial"/>
          <w:i/>
          <w:iCs/>
          <w:sz w:val="20"/>
        </w:rPr>
        <w:t>Criminal Procedure Act 2009</w:t>
      </w:r>
      <w:r>
        <w:rPr>
          <w:rFonts w:ascii="Arial" w:hAnsi="Arial" w:cs="Arial"/>
          <w:sz w:val="20"/>
        </w:rPr>
        <w:t>:</w:t>
      </w:r>
    </w:p>
    <w:p w14:paraId="34D98E2B" w14:textId="77777777" w:rsidR="00A962F2" w:rsidRDefault="00A962F2">
      <w:pPr>
        <w:pStyle w:val="ListParagraph"/>
        <w:numPr>
          <w:ilvl w:val="0"/>
          <w:numId w:val="148"/>
        </w:numPr>
        <w:ind w:left="357" w:hanging="357"/>
        <w:jc w:val="both"/>
        <w:rPr>
          <w:rFonts w:ascii="Arial" w:hAnsi="Arial" w:cs="Arial"/>
          <w:sz w:val="20"/>
        </w:rPr>
      </w:pPr>
      <w:r>
        <w:rPr>
          <w:rFonts w:ascii="Arial" w:hAnsi="Arial" w:cs="Arial"/>
          <w:sz w:val="20"/>
        </w:rPr>
        <w:t>to abolish de novo appeals against convictions recorded in summary proceedings and to provide instead for those appeals to be by way of rehearing; and</w:t>
      </w:r>
    </w:p>
    <w:p w14:paraId="192FCE82" w14:textId="77777777" w:rsidR="00A962F2" w:rsidRDefault="00A962F2">
      <w:pPr>
        <w:pStyle w:val="ListParagraph"/>
        <w:numPr>
          <w:ilvl w:val="0"/>
          <w:numId w:val="148"/>
        </w:numPr>
        <w:ind w:left="357" w:hanging="357"/>
        <w:jc w:val="both"/>
        <w:rPr>
          <w:rFonts w:ascii="Arial" w:hAnsi="Arial" w:cs="Arial"/>
          <w:sz w:val="20"/>
        </w:rPr>
      </w:pPr>
      <w:r>
        <w:rPr>
          <w:rFonts w:ascii="Arial" w:hAnsi="Arial" w:cs="Arial"/>
          <w:sz w:val="20"/>
        </w:rPr>
        <w:t>to abolish de novo appeals against sentences imposed in summary proceedings and to provide instead for a different kind of appeal against those sentences.</w:t>
      </w:r>
    </w:p>
    <w:p w14:paraId="5A11FE42" w14:textId="77777777" w:rsidR="00A962F2" w:rsidRDefault="00A962F2" w:rsidP="00A962F2">
      <w:pPr>
        <w:jc w:val="both"/>
        <w:rPr>
          <w:rFonts w:ascii="Arial" w:hAnsi="Arial" w:cs="Arial"/>
          <w:sz w:val="20"/>
        </w:rPr>
      </w:pPr>
    </w:p>
    <w:p w14:paraId="7F540A2E" w14:textId="20B2AAC4" w:rsidR="00A962F2" w:rsidRDefault="00A962F2" w:rsidP="00A962F2">
      <w:pPr>
        <w:jc w:val="both"/>
        <w:rPr>
          <w:rFonts w:ascii="Arial" w:hAnsi="Arial" w:cs="Arial"/>
          <w:sz w:val="20"/>
        </w:rPr>
      </w:pPr>
      <w:r>
        <w:rPr>
          <w:rFonts w:ascii="Arial" w:hAnsi="Arial" w:cs="Arial"/>
          <w:sz w:val="20"/>
        </w:rPr>
        <w:t xml:space="preserve">However, the amendments referred to in s.1(c) are not yet in effect.  Their default commencement date was originally extended from 03/07/2021 to 01/01/2023.  Their default commencement date has been further extended to 05/07/2025 by s.9(1) of the </w:t>
      </w:r>
      <w:r w:rsidRPr="00607388">
        <w:rPr>
          <w:rFonts w:ascii="Arial" w:hAnsi="Arial" w:cs="Arial"/>
          <w:i/>
          <w:iCs/>
          <w:sz w:val="20"/>
        </w:rPr>
        <w:t>Justice Legislation Amendment (</w:t>
      </w:r>
      <w:r>
        <w:rPr>
          <w:rFonts w:ascii="Arial" w:hAnsi="Arial" w:cs="Arial"/>
          <w:i/>
          <w:iCs/>
          <w:sz w:val="20"/>
        </w:rPr>
        <w:t>Trial by Judge Alone and Other Matters</w:t>
      </w:r>
      <w:r w:rsidRPr="00607388">
        <w:rPr>
          <w:rFonts w:ascii="Arial" w:hAnsi="Arial" w:cs="Arial"/>
          <w:i/>
          <w:iCs/>
          <w:sz w:val="20"/>
        </w:rPr>
        <w:t>)</w:t>
      </w:r>
      <w:r>
        <w:rPr>
          <w:rFonts w:ascii="Arial" w:hAnsi="Arial" w:cs="Arial"/>
          <w:i/>
          <w:iCs/>
          <w:sz w:val="20"/>
        </w:rPr>
        <w:t xml:space="preserve"> Act</w:t>
      </w:r>
      <w:r w:rsidRPr="00607388">
        <w:rPr>
          <w:rFonts w:ascii="Arial" w:hAnsi="Arial" w:cs="Arial"/>
          <w:i/>
          <w:iCs/>
          <w:sz w:val="20"/>
        </w:rPr>
        <w:t xml:space="preserve"> 20</w:t>
      </w:r>
      <w:r>
        <w:rPr>
          <w:rFonts w:ascii="Arial" w:hAnsi="Arial" w:cs="Arial"/>
          <w:i/>
          <w:iCs/>
          <w:sz w:val="20"/>
        </w:rPr>
        <w:t>22</w:t>
      </w:r>
      <w:r>
        <w:rPr>
          <w:rFonts w:ascii="Arial" w:hAnsi="Arial" w:cs="Arial"/>
          <w:sz w:val="20"/>
        </w:rPr>
        <w:t>.</w:t>
      </w:r>
    </w:p>
    <w:bookmarkEnd w:id="1211"/>
    <w:p w14:paraId="79D8594C" w14:textId="77777777" w:rsidR="00A962F2" w:rsidRDefault="00A962F2" w:rsidP="00CC6128">
      <w:pPr>
        <w:jc w:val="both"/>
        <w:rPr>
          <w:rFonts w:ascii="Arial" w:hAnsi="Arial" w:cs="Arial"/>
          <w:sz w:val="20"/>
        </w:rPr>
      </w:pPr>
    </w:p>
    <w:p w14:paraId="45405F3D" w14:textId="77777777" w:rsidR="00CC6128" w:rsidRDefault="00CC6128" w:rsidP="00CC6128">
      <w:pPr>
        <w:pBdr>
          <w:top w:val="thinThickThinSmallGap" w:sz="24" w:space="1" w:color="auto"/>
        </w:pBdr>
        <w:jc w:val="both"/>
        <w:rPr>
          <w:rFonts w:ascii="Arial" w:hAnsi="Arial" w:cs="Arial"/>
          <w:sz w:val="20"/>
        </w:rPr>
      </w:pPr>
    </w:p>
    <w:p w14:paraId="76EE28F1" w14:textId="592D3954" w:rsidR="00CC6128" w:rsidRDefault="005B1EBA" w:rsidP="00692743">
      <w:pPr>
        <w:jc w:val="both"/>
        <w:rPr>
          <w:rFonts w:ascii="Arial" w:hAnsi="Arial" w:cs="Arial"/>
          <w:sz w:val="20"/>
        </w:rPr>
      </w:pPr>
      <w:r>
        <w:rPr>
          <w:rFonts w:ascii="Arial" w:hAnsi="Arial" w:cs="Arial"/>
          <w:sz w:val="20"/>
        </w:rPr>
        <w:t xml:space="preserve">Using the word "appeal" in a </w:t>
      </w:r>
      <w:r w:rsidR="00B73D9F">
        <w:rPr>
          <w:rFonts w:ascii="Arial" w:hAnsi="Arial" w:cs="Arial"/>
          <w:sz w:val="20"/>
        </w:rPr>
        <w:t>broad</w:t>
      </w:r>
      <w:r>
        <w:rPr>
          <w:rFonts w:ascii="Arial" w:hAnsi="Arial" w:cs="Arial"/>
          <w:sz w:val="20"/>
        </w:rPr>
        <w:t xml:space="preserve"> sense, there are</w:t>
      </w:r>
      <w:r w:rsidR="00CC6128">
        <w:rPr>
          <w:rFonts w:ascii="Arial" w:hAnsi="Arial" w:cs="Arial"/>
          <w:sz w:val="20"/>
        </w:rPr>
        <w:t>–</w:t>
      </w:r>
    </w:p>
    <w:p w14:paraId="53A9654A" w14:textId="40B684EB" w:rsidR="00CC6128" w:rsidRPr="00CC6128" w:rsidRDefault="005B1EBA">
      <w:pPr>
        <w:pStyle w:val="ListParagraph"/>
        <w:numPr>
          <w:ilvl w:val="0"/>
          <w:numId w:val="149"/>
        </w:numPr>
        <w:ind w:left="357" w:hanging="357"/>
        <w:jc w:val="both"/>
        <w:rPr>
          <w:rFonts w:ascii="Arial" w:hAnsi="Arial" w:cs="Arial"/>
          <w:iCs/>
          <w:sz w:val="20"/>
          <w:szCs w:val="24"/>
        </w:rPr>
      </w:pPr>
      <w:r>
        <w:rPr>
          <w:rFonts w:ascii="Arial" w:hAnsi="Arial" w:cs="Arial"/>
          <w:sz w:val="20"/>
        </w:rPr>
        <w:t>f</w:t>
      </w:r>
      <w:r w:rsidR="002F439D">
        <w:rPr>
          <w:rFonts w:ascii="Arial" w:hAnsi="Arial" w:cs="Arial"/>
          <w:sz w:val="20"/>
        </w:rPr>
        <w:t>ive</w:t>
      </w:r>
      <w:r>
        <w:rPr>
          <w:rFonts w:ascii="Arial" w:hAnsi="Arial" w:cs="Arial"/>
          <w:sz w:val="20"/>
        </w:rPr>
        <w:t xml:space="preserve"> different types of appeal </w:t>
      </w:r>
      <w:r w:rsidR="00CC6128">
        <w:rPr>
          <w:rFonts w:ascii="Arial" w:hAnsi="Arial" w:cs="Arial"/>
          <w:sz w:val="20"/>
        </w:rPr>
        <w:t xml:space="preserve">to a higher court </w:t>
      </w:r>
      <w:r>
        <w:rPr>
          <w:rFonts w:ascii="Arial" w:hAnsi="Arial" w:cs="Arial"/>
          <w:sz w:val="20"/>
        </w:rPr>
        <w:t xml:space="preserve">(see </w:t>
      </w:r>
      <w:r w:rsidR="00A962F2">
        <w:rPr>
          <w:rFonts w:ascii="Arial" w:hAnsi="Arial" w:cs="Arial"/>
          <w:sz w:val="20"/>
        </w:rPr>
        <w:t xml:space="preserve">the </w:t>
      </w:r>
      <w:r>
        <w:rPr>
          <w:rFonts w:ascii="Arial" w:hAnsi="Arial" w:cs="Arial"/>
          <w:sz w:val="20"/>
        </w:rPr>
        <w:t xml:space="preserve">table </w:t>
      </w:r>
      <w:r w:rsidR="00A962F2">
        <w:rPr>
          <w:rFonts w:ascii="Arial" w:hAnsi="Arial" w:cs="Arial"/>
          <w:sz w:val="20"/>
        </w:rPr>
        <w:t>below</w:t>
      </w:r>
      <w:r>
        <w:rPr>
          <w:rFonts w:ascii="Arial" w:hAnsi="Arial" w:cs="Arial"/>
          <w:sz w:val="20"/>
        </w:rPr>
        <w:t xml:space="preserve">) from a decision of </w:t>
      </w:r>
      <w:r w:rsidR="00CC6128">
        <w:rPr>
          <w:rFonts w:ascii="Arial" w:hAnsi="Arial" w:cs="Arial"/>
          <w:sz w:val="20"/>
        </w:rPr>
        <w:t xml:space="preserve">the President or a magistrate of </w:t>
      </w:r>
      <w:r>
        <w:rPr>
          <w:rFonts w:ascii="Arial" w:hAnsi="Arial" w:cs="Arial"/>
          <w:sz w:val="20"/>
        </w:rPr>
        <w:t xml:space="preserve">the </w:t>
      </w:r>
      <w:r w:rsidR="00CC6128">
        <w:rPr>
          <w:rFonts w:ascii="Arial" w:hAnsi="Arial" w:cs="Arial"/>
          <w:sz w:val="20"/>
        </w:rPr>
        <w:t>Children’s Court; and</w:t>
      </w:r>
    </w:p>
    <w:p w14:paraId="71F4EDE1" w14:textId="0317653A" w:rsidR="00CC6128" w:rsidRPr="00987CA2" w:rsidRDefault="00CC6128">
      <w:pPr>
        <w:pStyle w:val="ListParagraph"/>
        <w:numPr>
          <w:ilvl w:val="0"/>
          <w:numId w:val="149"/>
        </w:numPr>
        <w:ind w:left="357" w:hanging="357"/>
        <w:jc w:val="both"/>
        <w:rPr>
          <w:rFonts w:ascii="Arial" w:hAnsi="Arial" w:cs="Arial"/>
          <w:iCs/>
          <w:sz w:val="20"/>
          <w:szCs w:val="24"/>
        </w:rPr>
      </w:pPr>
      <w:r>
        <w:rPr>
          <w:rFonts w:ascii="Arial" w:hAnsi="Arial" w:cs="Arial"/>
          <w:sz w:val="20"/>
        </w:rPr>
        <w:t xml:space="preserve">three different paths (see </w:t>
      </w:r>
      <w:r w:rsidR="00A962F2">
        <w:rPr>
          <w:rFonts w:ascii="Arial" w:hAnsi="Arial" w:cs="Arial"/>
          <w:sz w:val="20"/>
        </w:rPr>
        <w:t xml:space="preserve">the </w:t>
      </w:r>
      <w:r>
        <w:rPr>
          <w:rFonts w:ascii="Arial" w:hAnsi="Arial" w:cs="Arial"/>
          <w:sz w:val="20"/>
        </w:rPr>
        <w:t xml:space="preserve">diagram </w:t>
      </w:r>
      <w:r w:rsidR="00A962F2">
        <w:rPr>
          <w:rFonts w:ascii="Arial" w:hAnsi="Arial" w:cs="Arial"/>
          <w:sz w:val="20"/>
        </w:rPr>
        <w:t>below</w:t>
      </w:r>
      <w:r>
        <w:rPr>
          <w:rFonts w:ascii="Arial" w:hAnsi="Arial" w:cs="Arial"/>
          <w:sz w:val="20"/>
        </w:rPr>
        <w:t>).</w:t>
      </w:r>
    </w:p>
    <w:p w14:paraId="5454353B" w14:textId="7A8D6C2D" w:rsidR="00692743" w:rsidRDefault="00692743" w:rsidP="00692743">
      <w:pPr>
        <w:jc w:val="both"/>
        <w:rPr>
          <w:rFonts w:ascii="Arial" w:hAnsi="Arial" w:cs="Arial"/>
          <w:sz w:val="20"/>
        </w:rPr>
      </w:pPr>
    </w:p>
    <w:p w14:paraId="30AC984B" w14:textId="01B3EFC0" w:rsidR="00B73D9F" w:rsidRDefault="00B73D9F" w:rsidP="00CC6128">
      <w:pPr>
        <w:jc w:val="both"/>
        <w:rPr>
          <w:rFonts w:ascii="Arial" w:hAnsi="Arial" w:cs="Arial"/>
          <w:sz w:val="20"/>
          <w:szCs w:val="20"/>
        </w:rPr>
      </w:pPr>
      <w:r>
        <w:rPr>
          <w:rFonts w:ascii="Arial" w:hAnsi="Arial" w:cs="Arial"/>
          <w:color w:val="000000"/>
          <w:sz w:val="20"/>
        </w:rPr>
        <w:t xml:space="preserve">In </w:t>
      </w:r>
      <w:r w:rsidRPr="00DB14A3">
        <w:rPr>
          <w:rFonts w:ascii="Arial" w:hAnsi="Arial" w:cs="Arial"/>
          <w:i/>
          <w:iCs/>
          <w:color w:val="000000"/>
          <w:sz w:val="20"/>
        </w:rPr>
        <w:t>JV v Children’s Court of Victoria &amp; Anor</w:t>
      </w:r>
      <w:r>
        <w:rPr>
          <w:rFonts w:ascii="Arial" w:hAnsi="Arial" w:cs="Arial"/>
          <w:color w:val="000000"/>
          <w:sz w:val="20"/>
        </w:rPr>
        <w:t xml:space="preserve"> [2023] VSC 656 Forbes J discussed </w:t>
      </w:r>
      <w:r w:rsidR="00CC6128">
        <w:rPr>
          <w:rFonts w:ascii="Arial" w:hAnsi="Arial" w:cs="Arial"/>
          <w:color w:val="000000"/>
          <w:sz w:val="20"/>
        </w:rPr>
        <w:t>an</w:t>
      </w:r>
      <w:r>
        <w:rPr>
          <w:rFonts w:ascii="Arial" w:hAnsi="Arial" w:cs="Arial"/>
          <w:color w:val="000000"/>
          <w:sz w:val="20"/>
        </w:rPr>
        <w:t xml:space="preserve"> aspect of the relationship between these </w:t>
      </w:r>
      <w:r w:rsidR="00CC6128">
        <w:rPr>
          <w:rFonts w:ascii="Arial" w:hAnsi="Arial" w:cs="Arial"/>
          <w:color w:val="000000"/>
          <w:sz w:val="20"/>
        </w:rPr>
        <w:t>types of “appeal”</w:t>
      </w:r>
      <w:r>
        <w:rPr>
          <w:rFonts w:ascii="Arial" w:hAnsi="Arial" w:cs="Arial"/>
          <w:color w:val="000000"/>
          <w:sz w:val="20"/>
        </w:rPr>
        <w:t xml:space="preserve">. The accused JV had been found guilty – after a 5-day trial before a magistrate – of one charge of rape and one each of production, possession and distribution of child abuse material. The magistrate had provided only oral reasons and had not delivered anticipated written reasons.  JV sought judicial review under Order 56 of the </w:t>
      </w:r>
      <w:r w:rsidRPr="00DB14A3">
        <w:rPr>
          <w:rFonts w:ascii="Arial" w:hAnsi="Arial" w:cs="Arial"/>
          <w:i/>
          <w:iCs/>
          <w:color w:val="000000"/>
          <w:sz w:val="20"/>
        </w:rPr>
        <w:t>Supreme Court (Civil Procedure) Rules 2015</w:t>
      </w:r>
      <w:r>
        <w:rPr>
          <w:rFonts w:ascii="Arial" w:hAnsi="Arial" w:cs="Arial"/>
          <w:color w:val="000000"/>
          <w:sz w:val="20"/>
        </w:rPr>
        <w:t xml:space="preserve"> (Vic) on the sole ground that the Magistrate failed to give adequate reasons for his decision. Her Honour found that the magistrate’s reasons were inadequate and made orders quashing the Magistrate’s orders and remitting the matter </w:t>
      </w:r>
      <w:r>
        <w:rPr>
          <w:rFonts w:ascii="Arial" w:hAnsi="Arial" w:cs="Arial"/>
          <w:sz w:val="20"/>
          <w:szCs w:val="20"/>
        </w:rPr>
        <w:t>back to the Children’s Court to be heard b</w:t>
      </w:r>
      <w:r w:rsidR="00CC6128">
        <w:rPr>
          <w:rFonts w:ascii="Arial" w:hAnsi="Arial" w:cs="Arial"/>
          <w:sz w:val="20"/>
          <w:szCs w:val="20"/>
        </w:rPr>
        <w:t>y</w:t>
      </w:r>
      <w:r>
        <w:rPr>
          <w:rFonts w:ascii="Arial" w:hAnsi="Arial" w:cs="Arial"/>
          <w:sz w:val="20"/>
          <w:szCs w:val="20"/>
        </w:rPr>
        <w:t xml:space="preserve"> a different magistrate.  In so doing, </w:t>
      </w:r>
      <w:r w:rsidR="00A962F2">
        <w:rPr>
          <w:rFonts w:ascii="Arial" w:hAnsi="Arial" w:cs="Arial"/>
          <w:sz w:val="20"/>
          <w:szCs w:val="20"/>
        </w:rPr>
        <w:t xml:space="preserve">for reasons detailed </w:t>
      </w:r>
      <w:r>
        <w:rPr>
          <w:rFonts w:ascii="Arial" w:hAnsi="Arial" w:cs="Arial"/>
          <w:sz w:val="20"/>
          <w:szCs w:val="20"/>
        </w:rPr>
        <w:t>at [81]-[102] her Honour:</w:t>
      </w:r>
    </w:p>
    <w:p w14:paraId="685B37C8" w14:textId="2BAE990C" w:rsidR="00B73D9F" w:rsidRPr="00987CA2" w:rsidRDefault="00B73D9F">
      <w:pPr>
        <w:pStyle w:val="ListParagraph"/>
        <w:numPr>
          <w:ilvl w:val="0"/>
          <w:numId w:val="150"/>
        </w:numPr>
        <w:ind w:left="357" w:hanging="357"/>
        <w:jc w:val="both"/>
        <w:rPr>
          <w:rFonts w:ascii="Arial" w:hAnsi="Arial" w:cs="Arial"/>
          <w:iCs/>
          <w:sz w:val="20"/>
          <w:szCs w:val="24"/>
        </w:rPr>
      </w:pPr>
      <w:r w:rsidRPr="00987CA2">
        <w:rPr>
          <w:rFonts w:ascii="Arial" w:hAnsi="Arial" w:cs="Arial"/>
          <w:color w:val="000000"/>
          <w:sz w:val="20"/>
        </w:rPr>
        <w:t xml:space="preserve">rejected the </w:t>
      </w:r>
      <w:r>
        <w:rPr>
          <w:rFonts w:ascii="Arial" w:hAnsi="Arial" w:cs="Arial"/>
          <w:color w:val="000000"/>
          <w:sz w:val="20"/>
        </w:rPr>
        <w:t xml:space="preserve">second </w:t>
      </w:r>
      <w:r w:rsidRPr="00987CA2">
        <w:rPr>
          <w:rFonts w:ascii="Arial" w:hAnsi="Arial" w:cs="Arial"/>
          <w:color w:val="000000"/>
          <w:sz w:val="20"/>
        </w:rPr>
        <w:t>respondent’s submission that as a matter of discretion relief should be refused because the applicant ha</w:t>
      </w:r>
      <w:r w:rsidR="00A962F2">
        <w:rPr>
          <w:rFonts w:ascii="Arial" w:hAnsi="Arial" w:cs="Arial"/>
          <w:color w:val="000000"/>
          <w:sz w:val="20"/>
        </w:rPr>
        <w:t>d</w:t>
      </w:r>
      <w:r w:rsidRPr="00987CA2">
        <w:rPr>
          <w:rFonts w:ascii="Arial" w:hAnsi="Arial" w:cs="Arial"/>
          <w:color w:val="000000"/>
          <w:sz w:val="20"/>
        </w:rPr>
        <w:t xml:space="preserve"> two alternative remedies: (a) an appeal to the Supreme Court on a question of law under s.430P(1) of the CYFA; and (b) a rehearing appeal to the County Court under s.424 of the CYFA</w:t>
      </w:r>
      <w:r>
        <w:rPr>
          <w:rFonts w:ascii="Arial" w:hAnsi="Arial" w:cs="Arial"/>
          <w:color w:val="000000"/>
          <w:sz w:val="20"/>
        </w:rPr>
        <w:t>; and</w:t>
      </w:r>
    </w:p>
    <w:p w14:paraId="0E77D8E3" w14:textId="77777777" w:rsidR="00B73D9F" w:rsidRPr="00E70549" w:rsidRDefault="00B73D9F">
      <w:pPr>
        <w:pStyle w:val="ListParagraph"/>
        <w:numPr>
          <w:ilvl w:val="0"/>
          <w:numId w:val="150"/>
        </w:numPr>
        <w:ind w:left="357" w:hanging="357"/>
        <w:jc w:val="both"/>
        <w:rPr>
          <w:rFonts w:ascii="Arial" w:hAnsi="Arial" w:cs="Arial"/>
          <w:iCs/>
          <w:sz w:val="20"/>
          <w:szCs w:val="24"/>
        </w:rPr>
      </w:pPr>
      <w:r w:rsidRPr="00987CA2">
        <w:rPr>
          <w:rFonts w:ascii="Arial" w:hAnsi="Arial" w:cs="Arial"/>
          <w:color w:val="000000"/>
          <w:sz w:val="20"/>
        </w:rPr>
        <w:t xml:space="preserve">discussed the cases of </w:t>
      </w:r>
      <w:r w:rsidRPr="00987CA2">
        <w:rPr>
          <w:rFonts w:ascii="Arial" w:hAnsi="Arial" w:cs="Arial"/>
          <w:i/>
          <w:iCs/>
          <w:sz w:val="20"/>
        </w:rPr>
        <w:t>Kuek v Victoria Legal Aid</w:t>
      </w:r>
      <w:r w:rsidRPr="00987CA2">
        <w:rPr>
          <w:rFonts w:ascii="Arial" w:hAnsi="Arial" w:cs="Arial"/>
          <w:sz w:val="20"/>
        </w:rPr>
        <w:t xml:space="preserve"> (2001) 3 VR 289; </w:t>
      </w:r>
      <w:r w:rsidRPr="00987CA2">
        <w:rPr>
          <w:rFonts w:ascii="Arial" w:hAnsi="Arial" w:cs="Arial"/>
          <w:i/>
          <w:iCs/>
          <w:sz w:val="20"/>
        </w:rPr>
        <w:t>Perkins v Victorian Bar</w:t>
      </w:r>
      <w:r w:rsidRPr="00987CA2">
        <w:rPr>
          <w:rFonts w:ascii="Arial" w:hAnsi="Arial" w:cs="Arial"/>
          <w:sz w:val="20"/>
        </w:rPr>
        <w:t xml:space="preserve"> [2007] VSCA 107; </w:t>
      </w:r>
      <w:r w:rsidRPr="00987CA2">
        <w:rPr>
          <w:rFonts w:ascii="Arial" w:hAnsi="Arial" w:cs="Arial"/>
          <w:i/>
          <w:iCs/>
          <w:sz w:val="20"/>
        </w:rPr>
        <w:t>Garde-Wilson v Legal Services Board</w:t>
      </w:r>
      <w:r w:rsidRPr="00987CA2">
        <w:rPr>
          <w:rFonts w:ascii="Arial" w:hAnsi="Arial" w:cs="Arial"/>
          <w:sz w:val="20"/>
        </w:rPr>
        <w:t xml:space="preserve"> (2008) 19 VR 398.</w:t>
      </w:r>
    </w:p>
    <w:p w14:paraId="2EF98E49" w14:textId="77777777" w:rsidR="00E70549" w:rsidRDefault="00E70549" w:rsidP="00E70549">
      <w:pPr>
        <w:jc w:val="both"/>
        <w:rPr>
          <w:rFonts w:ascii="Arial" w:hAnsi="Arial" w:cs="Arial"/>
          <w:iCs/>
          <w:sz w:val="20"/>
        </w:rPr>
      </w:pPr>
    </w:p>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210"/>
    <w:p w14:paraId="071F81CC" w14:textId="1B95E8C2" w:rsidR="004A2800" w:rsidRDefault="00C954B8" w:rsidP="00A9750C">
      <w:pPr>
        <w:spacing w:after="120"/>
        <w:jc w:val="both"/>
        <w:rPr>
          <w:rFonts w:ascii="Arial" w:hAnsi="Arial" w:cs="Arial"/>
          <w:sz w:val="20"/>
        </w:rPr>
      </w:pPr>
      <w:r>
        <w:rPr>
          <w:noProof/>
        </w:rPr>
        <w:lastRenderedPageBreak/>
        <mc:AlternateContent>
          <mc:Choice Requires="wps">
            <w:drawing>
              <wp:anchor distT="0" distB="0" distL="114298" distR="114298" simplePos="0" relativeHeight="251659264" behindDoc="0" locked="0" layoutInCell="1" allowOverlap="1" wp14:anchorId="4EB84E10" wp14:editId="1CFC715E">
                <wp:simplePos x="0" y="0"/>
                <wp:positionH relativeFrom="column">
                  <wp:posOffset>2986404</wp:posOffset>
                </wp:positionH>
                <wp:positionV relativeFrom="paragraph">
                  <wp:posOffset>2924810</wp:posOffset>
                </wp:positionV>
                <wp:extent cx="0" cy="378460"/>
                <wp:effectExtent l="76200" t="38100" r="38100" b="2540"/>
                <wp:wrapNone/>
                <wp:docPr id="18879107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line">
                          <a:avLst/>
                        </a:prstGeom>
                        <a:noFill/>
                        <a:ln w="19050">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w:pict>
              <v:line w14:anchorId="46AE3DA8" id="Straight Connector 1"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5.15pt,230.3pt" to="235.15pt,2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" strokeweight="1.5pt">
                <v:stroke startarrow="block"/>
              </v:line>
            </w:pict>
          </mc:Fallback>
        </mc:AlternateContent>
      </w:r>
      <w:r>
        <w:rPr>
          <w:noProof/>
        </w:rPr>
        <mc:AlternateContent>
          <mc:Choice Requires="wpg">
            <w:drawing>
              <wp:inline distT="0" distB="0" distL="0" distR="0" wp14:anchorId="13F6CF0E" wp14:editId="71D1DF9E">
                <wp:extent cx="5723890" cy="4819650"/>
                <wp:effectExtent l="33655" t="26670" r="33655" b="11430"/>
                <wp:docPr id="315021505"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3890" cy="4819650"/>
                          <a:chOff x="1418" y="1418"/>
                          <a:chExt cx="9014" cy="6566"/>
                        </a:xfrm>
                      </wpg:grpSpPr>
                      <wps:wsp>
                        <wps:cNvPr id="340638664" name="Line 3"/>
                        <wps:cNvCnPr>
                          <a:cxnSpLocks noChangeShapeType="1"/>
                        </wps:cNvCnPr>
                        <wps:spPr bwMode="auto">
                          <a:xfrm>
                            <a:off x="6119" y="4224"/>
                            <a:ext cx="0" cy="51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73144455" name="Line 168"/>
                        <wps:cNvCnPr>
                          <a:cxnSpLocks noChangeShapeType="1"/>
                        </wps:cNvCnPr>
                        <wps:spPr bwMode="auto">
                          <a:xfrm>
                            <a:off x="4168" y="3941"/>
                            <a:ext cx="442"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27284889" name="Group 169"/>
                        <wpg:cNvGrpSpPr>
                          <a:grpSpLocks/>
                        </wpg:cNvGrpSpPr>
                        <wpg:grpSpPr bwMode="auto">
                          <a:xfrm>
                            <a:off x="1418" y="1418"/>
                            <a:ext cx="9014" cy="6566"/>
                            <a:chOff x="1439" y="1418"/>
                            <a:chExt cx="9014" cy="6566"/>
                          </a:xfrm>
                        </wpg:grpSpPr>
                        <wps:wsp>
                          <wps:cNvPr id="1188761406" name="Line 170"/>
                          <wps:cNvCnPr>
                            <a:cxnSpLocks noChangeShapeType="1"/>
                          </wps:cNvCnPr>
                          <wps:spPr bwMode="auto">
                            <a:xfrm>
                              <a:off x="4196" y="6123"/>
                              <a:ext cx="44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85436198" name="Text Box 171"/>
                          <wps:cNvSpPr txBox="1">
                            <a:spLocks noChangeArrowheads="1"/>
                          </wps:cNvSpPr>
                          <wps:spPr bwMode="auto">
                            <a:xfrm>
                              <a:off x="1559" y="5538"/>
                              <a:ext cx="1678" cy="1523"/>
                            </a:xfrm>
                            <a:prstGeom prst="rect">
                              <a:avLst/>
                            </a:prstGeom>
                            <a:solidFill>
                              <a:srgbClr val="C0C0C0">
                                <a:alpha val="50195"/>
                              </a:srgbClr>
                            </a:solidFill>
                            <a:ln w="9525">
                              <a:solidFill>
                                <a:srgbClr val="000000"/>
                              </a:solidFill>
                              <a:miter lim="800000"/>
                              <a:headEnd/>
                              <a:tailEnd/>
                            </a:ln>
                          </wps:spPr>
                          <wps:txbx>
                            <w:txbxContent>
                              <w:p w14:paraId="524037E9" w14:textId="77777777" w:rsidR="00D45643" w:rsidRDefault="00D45643" w:rsidP="00212E38">
                                <w:pPr>
                                  <w:numPr>
                                    <w:ilvl w:val="0"/>
                                    <w:numId w:val="14"/>
                                  </w:numPr>
                                  <w:tabs>
                                    <w:tab w:val="num" w:pos="227"/>
                                  </w:tabs>
                                  <w:spacing w:before="40"/>
                                  <w:rPr>
                                    <w:rFonts w:ascii="Arial" w:hAnsi="Arial" w:cs="Arial"/>
                                    <w:b/>
                                    <w:bCs/>
                                    <w:color w:val="000000"/>
                                    <w:sz w:val="20"/>
                                  </w:rPr>
                                </w:pPr>
                                <w:r>
                                  <w:rPr>
                                    <w:rFonts w:ascii="Arial" w:hAnsi="Arial" w:cs="Arial"/>
                                    <w:b/>
                                    <w:bCs/>
                                    <w:color w:val="000000"/>
                                    <w:sz w:val="20"/>
                                  </w:rPr>
                                  <w:t>Qn of law</w:t>
                                </w:r>
                              </w:p>
                              <w:p w14:paraId="04ADD8F7"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IAO appeal</w:t>
                                </w:r>
                              </w:p>
                              <w:p w14:paraId="1C691DC0"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O.56</w:t>
                                </w:r>
                              </w:p>
                              <w:p w14:paraId="016A2A72" w14:textId="77777777"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w:t>
                                </w:r>
                              </w:p>
                              <w:p w14:paraId="084631B8" w14:textId="7C987FC2" w:rsidR="00D45643" w:rsidRDefault="00D45643" w:rsidP="00AC5724">
                                <w:pPr>
                                  <w:rPr>
                                    <w:rFonts w:ascii="Arial" w:hAnsi="Arial" w:cs="Arial"/>
                                    <w:b/>
                                    <w:bCs/>
                                    <w:i/>
                                    <w:iCs/>
                                    <w:color w:val="000000"/>
                                    <w:sz w:val="20"/>
                                  </w:rPr>
                                </w:pPr>
                                <w:r>
                                  <w:rPr>
                                    <w:rFonts w:ascii="Arial" w:hAnsi="Arial" w:cs="Arial"/>
                                    <w:b/>
                                    <w:bCs/>
                                    <w:i/>
                                    <w:iCs/>
                                    <w:color w:val="000000"/>
                                    <w:sz w:val="20"/>
                                  </w:rPr>
                                  <w:t>(Criminal Div)</w:t>
                                </w:r>
                              </w:p>
                              <w:p w14:paraId="07A71410" w14:textId="31308CAD"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 (IVO)</w:t>
                                </w:r>
                              </w:p>
                            </w:txbxContent>
                          </wps:txbx>
                          <wps:bodyPr rot="0" vert="horz" wrap="square" lIns="91440" tIns="18000" rIns="91440" bIns="36000" anchor="t" anchorCtr="0" upright="1">
                            <a:noAutofit/>
                          </wps:bodyPr>
                        </wps:wsp>
                        <wps:wsp>
                          <wps:cNvPr id="1221144917" name="Line 172"/>
                          <wps:cNvCnPr>
                            <a:cxnSpLocks noChangeShapeType="1"/>
                          </wps:cNvCnPr>
                          <wps:spPr bwMode="auto">
                            <a:xfrm>
                              <a:off x="4196" y="3941"/>
                              <a:ext cx="0" cy="219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758480" name="Line 173"/>
                          <wps:cNvCnPr>
                            <a:cxnSpLocks noChangeShapeType="1"/>
                          </wps:cNvCnPr>
                          <wps:spPr bwMode="auto">
                            <a:xfrm>
                              <a:off x="6359" y="6532"/>
                              <a:ext cx="0" cy="902"/>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2340619" name="Text Box 174"/>
                          <wps:cNvSpPr txBox="1">
                            <a:spLocks noChangeArrowheads="1"/>
                          </wps:cNvSpPr>
                          <wps:spPr bwMode="auto">
                            <a:xfrm>
                              <a:off x="4610" y="2413"/>
                              <a:ext cx="3024" cy="655"/>
                            </a:xfrm>
                            <a:prstGeom prst="rect">
                              <a:avLst/>
                            </a:prstGeom>
                            <a:solidFill>
                              <a:srgbClr val="000000"/>
                            </a:solidFill>
                            <a:ln w="9525">
                              <a:solidFill>
                                <a:srgbClr val="000000"/>
                              </a:solidFill>
                              <a:miter lim="800000"/>
                              <a:headEnd/>
                              <a:tailEnd/>
                            </a:ln>
                          </wps:spPr>
                          <wps:txbx>
                            <w:txbxContent>
                              <w:p w14:paraId="75569063" w14:textId="77777777" w:rsidR="00D45643" w:rsidRDefault="00D45643" w:rsidP="004A2800">
                                <w:pPr>
                                  <w:spacing w:before="120"/>
                                  <w:jc w:val="center"/>
                                  <w:rPr>
                                    <w:rFonts w:ascii="Arial Narrow" w:hAnsi="Arial Narrow"/>
                                    <w:b/>
                                    <w:bCs/>
                                    <w:color w:val="FFFFFF"/>
                                    <w:sz w:val="22"/>
                                  </w:rPr>
                                </w:pPr>
                                <w:r>
                                  <w:rPr>
                                    <w:rFonts w:ascii="Arial Narrow" w:hAnsi="Arial Narrow"/>
                                    <w:b/>
                                    <w:bCs/>
                                    <w:color w:val="FFFFFF"/>
                                    <w:sz w:val="22"/>
                                  </w:rPr>
                                  <w:t xml:space="preserve">HIGH COURT OF </w:t>
                                </w:r>
                                <w:smartTag w:uri="urn:schemas-microsoft-com:office:smarttags" w:element="place">
                                  <w:smartTag w:uri="urn:schemas-microsoft-com:office:smarttags" w:element="country-region">
                                    <w:r>
                                      <w:rPr>
                                        <w:rFonts w:ascii="Arial Narrow" w:hAnsi="Arial Narrow"/>
                                        <w:b/>
                                        <w:bCs/>
                                        <w:color w:val="FFFFFF"/>
                                        <w:sz w:val="22"/>
                                      </w:rPr>
                                      <w:t>AUSTRALIA</w:t>
                                    </w:r>
                                  </w:smartTag>
                                </w:smartTag>
                              </w:p>
                            </w:txbxContent>
                          </wps:txbx>
                          <wps:bodyPr rot="0" vert="horz" wrap="square" lIns="91440" tIns="36000" rIns="91440" bIns="36000" anchor="t" anchorCtr="0" upright="1">
                            <a:noAutofit/>
                          </wps:bodyPr>
                        </wps:wsp>
                        <wps:wsp>
                          <wps:cNvPr id="1018924361" name="Text Box 175"/>
                          <wps:cNvSpPr txBox="1">
                            <a:spLocks noChangeArrowheads="1"/>
                          </wps:cNvSpPr>
                          <wps:spPr bwMode="auto">
                            <a:xfrm>
                              <a:off x="2375" y="7445"/>
                              <a:ext cx="3024" cy="539"/>
                            </a:xfrm>
                            <a:prstGeom prst="rect">
                              <a:avLst/>
                            </a:prstGeom>
                            <a:solidFill>
                              <a:srgbClr val="800080"/>
                            </a:solidFill>
                            <a:ln w="9525">
                              <a:solidFill>
                                <a:srgbClr val="000000"/>
                              </a:solidFill>
                              <a:miter lim="800000"/>
                              <a:headEnd/>
                              <a:tailEnd/>
                            </a:ln>
                          </wps:spPr>
                          <wps:txbx>
                            <w:txbxContent>
                              <w:p w14:paraId="0F5AB006"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51F902D" w14:textId="77777777" w:rsidR="00D45643" w:rsidRDefault="00D45643" w:rsidP="004A2800">
                                <w:pPr>
                                  <w:jc w:val="center"/>
                                  <w:rPr>
                                    <w:rFonts w:ascii="Arial Narrow" w:hAnsi="Arial Narrow"/>
                                    <w:b/>
                                    <w:bCs/>
                                  </w:rPr>
                                </w:pPr>
                                <w:r>
                                  <w:rPr>
                                    <w:rFonts w:ascii="Arial Narrow" w:hAnsi="Arial Narrow"/>
                                    <w:b/>
                                    <w:bCs/>
                                    <w:color w:val="FFFFFF"/>
                                    <w:sz w:val="22"/>
                                  </w:rPr>
                                  <w:t>[President]</w:t>
                                </w:r>
                              </w:p>
                            </w:txbxContent>
                          </wps:txbx>
                          <wps:bodyPr rot="0" vert="horz" wrap="square" lIns="91440" tIns="18000" rIns="91440" bIns="36000" anchor="t" anchorCtr="0" upright="1">
                            <a:noAutofit/>
                          </wps:bodyPr>
                        </wps:wsp>
                        <wps:wsp>
                          <wps:cNvPr id="1101398246" name="Line 176"/>
                          <wps:cNvCnPr>
                            <a:cxnSpLocks noChangeShapeType="1"/>
                          </wps:cNvCnPr>
                          <wps:spPr bwMode="auto">
                            <a:xfrm>
                              <a:off x="6118" y="3054"/>
                              <a:ext cx="0" cy="51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80156588" name="Line 177"/>
                          <wps:cNvCnPr>
                            <a:cxnSpLocks noChangeShapeType="1"/>
                          </wps:cNvCnPr>
                          <wps:spPr bwMode="auto">
                            <a:xfrm>
                              <a:off x="3239" y="5170"/>
                              <a:ext cx="1417"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2362945" name="Text Box 178"/>
                          <wps:cNvSpPr txBox="1">
                            <a:spLocks noChangeArrowheads="1"/>
                          </wps:cNvSpPr>
                          <wps:spPr bwMode="auto">
                            <a:xfrm>
                              <a:off x="6119" y="7445"/>
                              <a:ext cx="3024" cy="539"/>
                            </a:xfrm>
                            <a:prstGeom prst="rect">
                              <a:avLst/>
                            </a:prstGeom>
                            <a:solidFill>
                              <a:srgbClr val="339966"/>
                            </a:solidFill>
                            <a:ln w="9525">
                              <a:solidFill>
                                <a:srgbClr val="000000"/>
                              </a:solidFill>
                              <a:miter lim="800000"/>
                              <a:headEnd/>
                              <a:tailEnd/>
                            </a:ln>
                          </wps:spPr>
                          <wps:txbx>
                            <w:txbxContent>
                              <w:p w14:paraId="3A7EA645"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7BD6D86" w14:textId="77777777" w:rsidR="00D45643" w:rsidRDefault="00D45643" w:rsidP="004A2800">
                                <w:pPr>
                                  <w:jc w:val="center"/>
                                  <w:rPr>
                                    <w:rFonts w:ascii="Arial Narrow" w:hAnsi="Arial Narrow"/>
                                    <w:b/>
                                    <w:bCs/>
                                  </w:rPr>
                                </w:pPr>
                                <w:r>
                                  <w:rPr>
                                    <w:rFonts w:ascii="Arial Narrow" w:hAnsi="Arial Narrow"/>
                                    <w:b/>
                                    <w:bCs/>
                                    <w:color w:val="FFFFFF"/>
                                    <w:sz w:val="22"/>
                                  </w:rPr>
                                  <w:t>[Magistrate]</w:t>
                                </w:r>
                              </w:p>
                            </w:txbxContent>
                          </wps:txbx>
                          <wps:bodyPr rot="0" vert="horz" wrap="square" lIns="91440" tIns="18000" rIns="91440" bIns="36000" anchor="t" anchorCtr="0" upright="1">
                            <a:noAutofit/>
                          </wps:bodyPr>
                        </wps:wsp>
                        <wps:wsp>
                          <wps:cNvPr id="1383332662" name="Rectangle 179"/>
                          <wps:cNvSpPr>
                            <a:spLocks noChangeArrowheads="1"/>
                          </wps:cNvSpPr>
                          <wps:spPr bwMode="auto">
                            <a:xfrm>
                              <a:off x="1439" y="1418"/>
                              <a:ext cx="9014" cy="434"/>
                            </a:xfrm>
                            <a:prstGeom prst="rect">
                              <a:avLst/>
                            </a:prstGeom>
                            <a:solidFill>
                              <a:srgbClr val="000000"/>
                            </a:solidFill>
                            <a:ln w="508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A0A0A0"/>
                                    </a:outerShdw>
                                  </a:effectLst>
                                </a14:hiddenEffects>
                              </a:ext>
                            </a:extLst>
                          </wps:spPr>
                          <wps:txbx>
                            <w:txbxContent>
                              <w:p w14:paraId="37968266" w14:textId="3BA3D4F9" w:rsidR="00D45643" w:rsidRDefault="00D45643" w:rsidP="002C1F3C">
                                <w:pPr>
                                  <w:pageBreakBefore/>
                                  <w:jc w:val="center"/>
                                  <w:rPr>
                                    <w:rFonts w:ascii="Arial Rounded MT Bold" w:hAnsi="Arial Rounded MT Bold"/>
                                    <w:color w:val="FFFFFF"/>
                                    <w:sz w:val="30"/>
                                    <w:szCs w:val="40"/>
                                  </w:rPr>
                                </w:pPr>
                                <w:r>
                                  <w:rPr>
                                    <w:rFonts w:ascii="Arial Rounded MT Bold" w:hAnsi="Arial Rounded MT Bold"/>
                                    <w:color w:val="FFFFFF"/>
                                    <w:sz w:val="30"/>
                                    <w:szCs w:val="40"/>
                                  </w:rPr>
                                  <w:t>HIERARCHY OF APPEALS FROM THE CHILDREN'S COURT</w:t>
                                </w:r>
                              </w:p>
                              <w:p w14:paraId="172E28C1" w14:textId="77777777" w:rsidR="00D45643" w:rsidRDefault="00D45643" w:rsidP="004A2800">
                                <w:pPr>
                                  <w:jc w:val="center"/>
                                  <w:rPr>
                                    <w:rFonts w:ascii="Arial Rounded MT Bold" w:hAnsi="Arial Rounded MT Bold"/>
                                    <w:color w:val="FFFFFF"/>
                                    <w:sz w:val="30"/>
                                    <w:szCs w:val="40"/>
                                  </w:rPr>
                                </w:pPr>
                              </w:p>
                              <w:p w14:paraId="24154717" w14:textId="77777777"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w:t>
                                </w:r>
                              </w:p>
                              <w:p w14:paraId="5F55147F" w14:textId="77777777" w:rsidR="00D45643" w:rsidRDefault="00D45643" w:rsidP="004A2800">
                                <w:pPr>
                                  <w:jc w:val="center"/>
                                  <w:rPr>
                                    <w:rFonts w:ascii="Arial Rounded MT Bold" w:hAnsi="Arial Rounded MT Bold"/>
                                    <w:color w:val="FFFFFF"/>
                                    <w:sz w:val="40"/>
                                    <w:szCs w:val="40"/>
                                  </w:rPr>
                                </w:pPr>
                              </w:p>
                            </w:txbxContent>
                          </wps:txbx>
                          <wps:bodyPr rot="0" vert="horz" wrap="square" lIns="92075" tIns="46037" rIns="92075" bIns="46037" anchor="ctr" anchorCtr="0" upright="1">
                            <a:noAutofit/>
                          </wps:bodyPr>
                        </wps:wsp>
                        <wps:wsp>
                          <wps:cNvPr id="52369825" name="Text Box 180"/>
                          <wps:cNvSpPr txBox="1">
                            <a:spLocks noChangeArrowheads="1"/>
                          </wps:cNvSpPr>
                          <wps:spPr bwMode="auto">
                            <a:xfrm>
                              <a:off x="4610" y="5892"/>
                              <a:ext cx="3024" cy="655"/>
                            </a:xfrm>
                            <a:prstGeom prst="rect">
                              <a:avLst/>
                            </a:prstGeom>
                            <a:solidFill>
                              <a:srgbClr val="800080"/>
                            </a:solidFill>
                            <a:ln w="9525">
                              <a:solidFill>
                                <a:srgbClr val="000000"/>
                              </a:solidFill>
                              <a:miter lim="800000"/>
                              <a:headEnd/>
                              <a:tailEnd/>
                            </a:ln>
                          </wps:spPr>
                          <wps:txbx>
                            <w:txbxContent>
                              <w:p w14:paraId="482AC911" w14:textId="77777777" w:rsidR="00D45643" w:rsidRDefault="00D45643" w:rsidP="004A2800">
                                <w:pPr>
                                  <w:spacing w:before="80"/>
                                  <w:jc w:val="center"/>
                                  <w:rPr>
                                    <w:rFonts w:ascii="Arial Narrow" w:hAnsi="Arial Narrow"/>
                                    <w:b/>
                                    <w:bCs/>
                                    <w:sz w:val="34"/>
                                  </w:rPr>
                                </w:pPr>
                                <w:r>
                                  <w:rPr>
                                    <w:rFonts w:ascii="Arial Narrow" w:hAnsi="Arial Narrow"/>
                                    <w:b/>
                                    <w:bCs/>
                                    <w:color w:val="FFFFFF"/>
                                    <w:sz w:val="36"/>
                                  </w:rPr>
                                  <w:t>COUNTY COURT</w:t>
                                </w:r>
                              </w:p>
                            </w:txbxContent>
                          </wps:txbx>
                          <wps:bodyPr rot="0" vert="horz" wrap="square" lIns="91440" tIns="18000" rIns="91440" bIns="36000" anchor="t" anchorCtr="0" upright="1">
                            <a:noAutofit/>
                          </wps:bodyPr>
                        </wps:wsp>
                        <wps:wsp>
                          <wps:cNvPr id="1671242542" name="Text Box 181"/>
                          <wps:cNvSpPr txBox="1">
                            <a:spLocks noChangeArrowheads="1"/>
                          </wps:cNvSpPr>
                          <wps:spPr bwMode="auto">
                            <a:xfrm>
                              <a:off x="4610" y="3600"/>
                              <a:ext cx="3024" cy="654"/>
                            </a:xfrm>
                            <a:prstGeom prst="rect">
                              <a:avLst/>
                            </a:prstGeom>
                            <a:solidFill>
                              <a:srgbClr val="FF0000"/>
                            </a:solidFill>
                            <a:ln w="9525">
                              <a:solidFill>
                                <a:srgbClr val="000000"/>
                              </a:solidFill>
                              <a:miter lim="800000"/>
                              <a:headEnd/>
                              <a:tailEnd/>
                            </a:ln>
                          </wps:spPr>
                          <wps:txbx>
                            <w:txbxContent>
                              <w:p w14:paraId="71C3133B" w14:textId="77777777" w:rsidR="00D45643" w:rsidRDefault="00D45643" w:rsidP="004A2800">
                                <w:pPr>
                                  <w:spacing w:before="80"/>
                                  <w:jc w:val="center"/>
                                  <w:rPr>
                                    <w:rFonts w:ascii="Arial Narrow" w:hAnsi="Arial Narrow"/>
                                    <w:b/>
                                    <w:bCs/>
                                    <w:sz w:val="34"/>
                                  </w:rPr>
                                </w:pPr>
                                <w:r>
                                  <w:rPr>
                                    <w:rFonts w:ascii="Arial Narrow" w:hAnsi="Arial Narrow"/>
                                    <w:b/>
                                    <w:bCs/>
                                    <w:color w:val="FFFFFF"/>
                                    <w:sz w:val="34"/>
                                  </w:rPr>
                                  <w:t>COURT OF APPEAL</w:t>
                                </w:r>
                              </w:p>
                            </w:txbxContent>
                          </wps:txbx>
                          <wps:bodyPr rot="0" vert="horz" wrap="square" lIns="91440" tIns="18000" rIns="91440" bIns="36000" anchor="t" anchorCtr="0" upright="1">
                            <a:noAutofit/>
                          </wps:bodyPr>
                        </wps:wsp>
                        <wps:wsp>
                          <wps:cNvPr id="291766708" name="Text Box 182"/>
                          <wps:cNvSpPr txBox="1">
                            <a:spLocks noChangeArrowheads="1"/>
                          </wps:cNvSpPr>
                          <wps:spPr bwMode="auto">
                            <a:xfrm>
                              <a:off x="4655" y="4718"/>
                              <a:ext cx="3024" cy="655"/>
                            </a:xfrm>
                            <a:prstGeom prst="rect">
                              <a:avLst/>
                            </a:prstGeom>
                            <a:solidFill>
                              <a:srgbClr val="FF0000"/>
                            </a:solidFill>
                            <a:ln w="9525">
                              <a:solidFill>
                                <a:srgbClr val="000000"/>
                              </a:solidFill>
                              <a:miter lim="800000"/>
                              <a:headEnd/>
                              <a:tailEnd/>
                            </a:ln>
                          </wps:spPr>
                          <wps:txbx>
                            <w:txbxContent>
                              <w:p w14:paraId="3409E6B8" w14:textId="77777777" w:rsidR="00D45643" w:rsidRDefault="00D45643" w:rsidP="004A2800">
                                <w:pPr>
                                  <w:pageBreakBefore/>
                                  <w:spacing w:before="80"/>
                                  <w:jc w:val="center"/>
                                  <w:rPr>
                                    <w:rFonts w:ascii="Arial Narrow" w:hAnsi="Arial Narrow"/>
                                    <w:b/>
                                    <w:bCs/>
                                    <w:sz w:val="34"/>
                                  </w:rPr>
                                </w:pPr>
                                <w:r>
                                  <w:rPr>
                                    <w:rFonts w:ascii="Arial Narrow" w:hAnsi="Arial Narrow"/>
                                    <w:b/>
                                    <w:bCs/>
                                    <w:color w:val="FFFFFF"/>
                                    <w:sz w:val="36"/>
                                  </w:rPr>
                                  <w:t>SUPREME COURT</w:t>
                                </w:r>
                              </w:p>
                            </w:txbxContent>
                          </wps:txbx>
                          <wps:bodyPr rot="0" vert="horz" wrap="square" lIns="91440" tIns="18000" rIns="91440" bIns="36000" anchor="t" anchorCtr="0" upright="1">
                            <a:noAutofit/>
                          </wps:bodyPr>
                        </wps:wsp>
                        <wps:wsp>
                          <wps:cNvPr id="1994311773" name="Line 183"/>
                          <wps:cNvCnPr>
                            <a:cxnSpLocks noChangeShapeType="1"/>
                          </wps:cNvCnPr>
                          <wps:spPr bwMode="auto">
                            <a:xfrm>
                              <a:off x="3239" y="5164"/>
                              <a:ext cx="0" cy="2319"/>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36231614" name="Line 184"/>
                          <wps:cNvCnPr>
                            <a:cxnSpLocks noChangeShapeType="1"/>
                          </wps:cNvCnPr>
                          <wps:spPr bwMode="auto">
                            <a:xfrm>
                              <a:off x="8639" y="5100"/>
                              <a:ext cx="0" cy="2319"/>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61580222" name="Text Box 185"/>
                          <wps:cNvSpPr txBox="1">
                            <a:spLocks noChangeArrowheads="1"/>
                          </wps:cNvSpPr>
                          <wps:spPr bwMode="auto">
                            <a:xfrm>
                              <a:off x="8642" y="5782"/>
                              <a:ext cx="1678" cy="932"/>
                            </a:xfrm>
                            <a:prstGeom prst="rect">
                              <a:avLst/>
                            </a:prstGeom>
                            <a:solidFill>
                              <a:srgbClr val="C0C0C0">
                                <a:alpha val="50195"/>
                              </a:srgbClr>
                            </a:solidFill>
                            <a:ln w="9525">
                              <a:solidFill>
                                <a:srgbClr val="000000"/>
                              </a:solidFill>
                              <a:miter lim="800000"/>
                              <a:headEnd/>
                              <a:tailEnd/>
                            </a:ln>
                          </wps:spPr>
                          <wps:txbx>
                            <w:txbxContent>
                              <w:p w14:paraId="3BFF0DEE" w14:textId="77777777" w:rsidR="00D45643" w:rsidRDefault="00D45643" w:rsidP="00212E38">
                                <w:pPr>
                                  <w:numPr>
                                    <w:ilvl w:val="0"/>
                                    <w:numId w:val="16"/>
                                  </w:numPr>
                                  <w:spacing w:before="40"/>
                                  <w:rPr>
                                    <w:rFonts w:ascii="Arial" w:hAnsi="Arial" w:cs="Arial"/>
                                    <w:b/>
                                    <w:bCs/>
                                    <w:color w:val="000000"/>
                                    <w:sz w:val="20"/>
                                  </w:rPr>
                                </w:pPr>
                                <w:r>
                                  <w:rPr>
                                    <w:rFonts w:ascii="Arial" w:hAnsi="Arial" w:cs="Arial"/>
                                    <w:b/>
                                    <w:bCs/>
                                    <w:color w:val="000000"/>
                                    <w:sz w:val="20"/>
                                  </w:rPr>
                                  <w:t>Question of law</w:t>
                                </w:r>
                              </w:p>
                              <w:p w14:paraId="42C63775"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IAO appeal</w:t>
                                </w:r>
                              </w:p>
                              <w:p w14:paraId="494A4EBB"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O.56</w:t>
                                </w:r>
                              </w:p>
                            </w:txbxContent>
                          </wps:txbx>
                          <wps:bodyPr rot="0" vert="horz" wrap="square" lIns="91440" tIns="18000" rIns="91440" bIns="36000" anchor="t" anchorCtr="0" upright="1">
                            <a:noAutofit/>
                          </wps:bodyPr>
                        </wps:wsp>
                        <wps:wsp>
                          <wps:cNvPr id="1572270210" name="Line 186"/>
                          <wps:cNvCnPr>
                            <a:cxnSpLocks noChangeShapeType="1"/>
                          </wps:cNvCnPr>
                          <wps:spPr bwMode="auto">
                            <a:xfrm>
                              <a:off x="7702" y="5126"/>
                              <a:ext cx="964"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8051641" name="Text Box 187"/>
                          <wps:cNvSpPr txBox="1">
                            <a:spLocks noChangeArrowheads="1"/>
                          </wps:cNvSpPr>
                          <wps:spPr bwMode="auto">
                            <a:xfrm>
                              <a:off x="6359" y="6698"/>
                              <a:ext cx="2098" cy="687"/>
                            </a:xfrm>
                            <a:prstGeom prst="rect">
                              <a:avLst/>
                            </a:prstGeom>
                            <a:solidFill>
                              <a:srgbClr val="C0C0C0">
                                <a:alpha val="50195"/>
                              </a:srgbClr>
                            </a:solidFill>
                            <a:ln w="9525">
                              <a:solidFill>
                                <a:srgbClr val="000000"/>
                              </a:solidFill>
                              <a:miter lim="800000"/>
                              <a:headEnd/>
                              <a:tailEnd/>
                            </a:ln>
                          </wps:spPr>
                          <wps:txbx>
                            <w:txbxContent>
                              <w:p w14:paraId="2527264A" w14:textId="2E91A204" w:rsidR="00D45643" w:rsidRDefault="00D45643" w:rsidP="00212E38">
                                <w:pPr>
                                  <w:numPr>
                                    <w:ilvl w:val="0"/>
                                    <w:numId w:val="15"/>
                                  </w:numPr>
                                  <w:rPr>
                                    <w:rFonts w:ascii="Arial" w:hAnsi="Arial" w:cs="Arial"/>
                                    <w:b/>
                                    <w:bCs/>
                                    <w:i/>
                                    <w:iCs/>
                                    <w:color w:val="000000"/>
                                    <w:sz w:val="20"/>
                                  </w:rPr>
                                </w:pPr>
                                <w:r>
                                  <w:rPr>
                                    <w:rFonts w:ascii="Arial" w:hAnsi="Arial" w:cs="Arial"/>
                                    <w:b/>
                                    <w:bCs/>
                                    <w:i/>
                                    <w:iCs/>
                                    <w:color w:val="000000"/>
                                    <w:sz w:val="20"/>
                                  </w:rPr>
                                  <w:t>Rehearing</w:t>
                                </w:r>
                              </w:p>
                              <w:p w14:paraId="41DD6A68" w14:textId="08EF1DF4" w:rsidR="00D45643" w:rsidRDefault="00D45643" w:rsidP="00731675">
                                <w:pPr>
                                  <w:rPr>
                                    <w:rFonts w:ascii="Arial" w:hAnsi="Arial" w:cs="Arial"/>
                                    <w:b/>
                                    <w:bCs/>
                                    <w:i/>
                                    <w:iCs/>
                                    <w:color w:val="000000"/>
                                    <w:sz w:val="20"/>
                                  </w:rPr>
                                </w:pPr>
                                <w:r>
                                  <w:rPr>
                                    <w:rFonts w:ascii="Arial" w:hAnsi="Arial" w:cs="Arial"/>
                                    <w:b/>
                                    <w:bCs/>
                                    <w:i/>
                                    <w:iCs/>
                                    <w:color w:val="000000"/>
                                    <w:sz w:val="20"/>
                                  </w:rPr>
                                  <w:t>(Criminal Division)</w:t>
                                </w:r>
                              </w:p>
                              <w:p w14:paraId="40868AD9" w14:textId="24012CC6" w:rsidR="00D45643" w:rsidRDefault="00D45643" w:rsidP="00731675">
                                <w:pPr>
                                  <w:rPr>
                                    <w:rFonts w:ascii="Arial" w:hAnsi="Arial" w:cs="Arial"/>
                                    <w:b/>
                                    <w:bCs/>
                                    <w:i/>
                                    <w:iCs/>
                                    <w:color w:val="000000"/>
                                    <w:sz w:val="20"/>
                                  </w:rPr>
                                </w:pPr>
                                <w:r>
                                  <w:rPr>
                                    <w:rFonts w:ascii="Arial" w:hAnsi="Arial" w:cs="Arial"/>
                                    <w:b/>
                                    <w:bCs/>
                                    <w:i/>
                                    <w:iCs/>
                                    <w:color w:val="000000"/>
                                    <w:sz w:val="20"/>
                                  </w:rPr>
                                  <w:t>5. Rehearing (IVO)</w:t>
                                </w:r>
                              </w:p>
                              <w:p w14:paraId="329AABE5" w14:textId="2D04C83F" w:rsidR="00D45643" w:rsidRDefault="00D45643" w:rsidP="00731675">
                                <w:pPr>
                                  <w:rPr>
                                    <w:rFonts w:ascii="Arial" w:hAnsi="Arial" w:cs="Arial"/>
                                    <w:b/>
                                    <w:bCs/>
                                    <w:i/>
                                    <w:iCs/>
                                    <w:color w:val="000000"/>
                                    <w:sz w:val="20"/>
                                  </w:rPr>
                                </w:pPr>
                                <w:r>
                                  <w:rPr>
                                    <w:rFonts w:ascii="Arial" w:hAnsi="Arial" w:cs="Arial"/>
                                    <w:b/>
                                    <w:bCs/>
                                    <w:i/>
                                    <w:iCs/>
                                    <w:color w:val="000000"/>
                                    <w:sz w:val="20"/>
                                  </w:rPr>
                                  <w:t>5.IVO</w:t>
                                </w:r>
                              </w:p>
                            </w:txbxContent>
                          </wps:txbx>
                          <wps:bodyPr rot="0" vert="horz" wrap="square" lIns="91440" tIns="18000" rIns="91440" bIns="36000" anchor="t" anchorCtr="0" upright="1">
                            <a:noAutofit/>
                          </wps:bodyPr>
                        </wps:wsp>
                      </wpg:grpSp>
                    </wpg:wgp>
                  </a:graphicData>
                </a:graphic>
              </wp:inline>
            </w:drawing>
          </mc:Choice>
          <mc:Fallback>
            <w:pict>
              <v:group w14:anchorId="13F6CF0E" id="Group 166" o:spid="_x0000_s1026" style="width:450.7pt;height:379.5pt;mso-position-horizontal-relative:char;mso-position-vertical-relative:line" coordorigin="1418,1418" coordsize="9014,6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">
                <v:line id="Line 3" o:spid="_x0000_s1027" style="position:absolute;visibility:visible;mso-wrap-style:square" from="6119,4224" to="6119,4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" strokeweight="1.5pt">
                  <v:stroke startarrow="block"/>
                </v:line>
                <v:line id="Line 168" o:spid="_x0000_s1028" style="position:absolute;visibility:visible;mso-wrap-style:square" from="4168,3941" to="4610,3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" strokeweight="1.5pt">
                  <v:stroke endarrow="block"/>
                </v:line>
                <v:group id="Group 169" o:spid="_x0000_s1029" style="position:absolute;left:1418;top:1418;width:9014;height:6566" coordorigin="1439,1418" coordsize="9014,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">
                  <v:line id="Line 170" o:spid="_x0000_s1030" style="position:absolute;visibility:visible;mso-wrap-style:square" from="4196,6123" to="4638,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" strokeweight="1.5pt"/>
                  <v:shapetype id="_x0000_t202" coordsize="21600,21600" o:spt="202" path="m,l,21600r21600,l21600,xe">
                    <v:stroke joinstyle="miter"/>
                    <v:path gradientshapeok="t" o:connecttype="rect"/>
                  </v:shapetype>
                  <v:shape id="Text Box 171" o:spid="_x0000_s1031" type="#_x0000_t202" style="position:absolute;left:1559;top:5538;width:1678;height:1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" fillcolor="silver">
                    <v:fill opacity="32896f"/>
                    <v:textbox inset=",.5mm,,1mm">
                      <w:txbxContent>
                        <w:p w14:paraId="524037E9" w14:textId="77777777" w:rsidR="00D45643" w:rsidRDefault="00D45643" w:rsidP="00212E38">
                          <w:pPr>
                            <w:numPr>
                              <w:ilvl w:val="0"/>
                              <w:numId w:val="14"/>
                            </w:numPr>
                            <w:tabs>
                              <w:tab w:val="num" w:pos="227"/>
                            </w:tabs>
                            <w:spacing w:before="40"/>
                            <w:rPr>
                              <w:rFonts w:ascii="Arial" w:hAnsi="Arial" w:cs="Arial"/>
                              <w:b/>
                              <w:bCs/>
                              <w:color w:val="000000"/>
                              <w:sz w:val="20"/>
                            </w:rPr>
                          </w:pPr>
                          <w:r>
                            <w:rPr>
                              <w:rFonts w:ascii="Arial" w:hAnsi="Arial" w:cs="Arial"/>
                              <w:b/>
                              <w:bCs/>
                              <w:color w:val="000000"/>
                              <w:sz w:val="20"/>
                            </w:rPr>
                            <w:t>Qn of law</w:t>
                          </w:r>
                        </w:p>
                        <w:p w14:paraId="04ADD8F7"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IAO appeal</w:t>
                          </w:r>
                        </w:p>
                        <w:p w14:paraId="1C691DC0"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O.56</w:t>
                          </w:r>
                        </w:p>
                        <w:p w14:paraId="016A2A72" w14:textId="77777777"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w:t>
                          </w:r>
                        </w:p>
                        <w:p w14:paraId="084631B8" w14:textId="7C987FC2" w:rsidR="00D45643" w:rsidRDefault="00D45643" w:rsidP="00AC5724">
                          <w:pPr>
                            <w:rPr>
                              <w:rFonts w:ascii="Arial" w:hAnsi="Arial" w:cs="Arial"/>
                              <w:b/>
                              <w:bCs/>
                              <w:i/>
                              <w:iCs/>
                              <w:color w:val="000000"/>
                              <w:sz w:val="20"/>
                            </w:rPr>
                          </w:pPr>
                          <w:r>
                            <w:rPr>
                              <w:rFonts w:ascii="Arial" w:hAnsi="Arial" w:cs="Arial"/>
                              <w:b/>
                              <w:bCs/>
                              <w:i/>
                              <w:iCs/>
                              <w:color w:val="000000"/>
                              <w:sz w:val="20"/>
                            </w:rPr>
                            <w:t>(Criminal Div)</w:t>
                          </w:r>
                        </w:p>
                        <w:p w14:paraId="07A71410" w14:textId="31308CAD"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 (IVO)</w:t>
                          </w:r>
                        </w:p>
                      </w:txbxContent>
                    </v:textbox>
                  </v:shape>
                  <v:line id="Line 172" o:spid="_x0000_s1032" style="position:absolute;visibility:visible;mso-wrap-style:square" from="4196,3941" to="4196,6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" strokeweight="1.5pt"/>
                  <v:line id="Line 173" o:spid="_x0000_s1033" style="position:absolute;visibility:visible;mso-wrap-style:square" from="6359,6532" to="6359,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" strokeweight="1.5pt">
                    <v:stroke startarrow="block"/>
                  </v:line>
                  <v:shape id="Text Box 174" o:spid="_x0000_s1034" type="#_x0000_t202" style="position:absolute;left:4610;top:2413;width:3024;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" fillcolor="black">
                    <v:textbox inset=",1mm,,1mm">
                      <w:txbxContent>
                        <w:p w14:paraId="75569063" w14:textId="77777777" w:rsidR="00D45643" w:rsidRDefault="00D45643" w:rsidP="004A2800">
                          <w:pPr>
                            <w:spacing w:before="120"/>
                            <w:jc w:val="center"/>
                            <w:rPr>
                              <w:rFonts w:ascii="Arial Narrow" w:hAnsi="Arial Narrow"/>
                              <w:b/>
                              <w:bCs/>
                              <w:color w:val="FFFFFF"/>
                              <w:sz w:val="22"/>
                            </w:rPr>
                          </w:pPr>
                          <w:r>
                            <w:rPr>
                              <w:rFonts w:ascii="Arial Narrow" w:hAnsi="Arial Narrow"/>
                              <w:b/>
                              <w:bCs/>
                              <w:color w:val="FFFFFF"/>
                              <w:sz w:val="22"/>
                            </w:rPr>
                            <w:t xml:space="preserve">HIGH COURT OF </w:t>
                          </w:r>
                          <w:smartTag w:uri="urn:schemas-microsoft-com:office:smarttags" w:element="place">
                            <w:smartTag w:uri="urn:schemas-microsoft-com:office:smarttags" w:element="country-region">
                              <w:r>
                                <w:rPr>
                                  <w:rFonts w:ascii="Arial Narrow" w:hAnsi="Arial Narrow"/>
                                  <w:b/>
                                  <w:bCs/>
                                  <w:color w:val="FFFFFF"/>
                                  <w:sz w:val="22"/>
                                </w:rPr>
                                <w:t>AUSTRALIA</w:t>
                              </w:r>
                            </w:smartTag>
                          </w:smartTag>
                        </w:p>
                      </w:txbxContent>
                    </v:textbox>
                  </v:shape>
                  <v:shape id="Text Box 175" o:spid="_x0000_s1035" type="#_x0000_t202" style="position:absolute;left:2375;top:7445;width:302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" fillcolor="purple">
                    <v:textbox inset=",.5mm,,1mm">
                      <w:txbxContent>
                        <w:p w14:paraId="0F5AB006"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51F902D" w14:textId="77777777" w:rsidR="00D45643" w:rsidRDefault="00D45643" w:rsidP="004A2800">
                          <w:pPr>
                            <w:jc w:val="center"/>
                            <w:rPr>
                              <w:rFonts w:ascii="Arial Narrow" w:hAnsi="Arial Narrow"/>
                              <w:b/>
                              <w:bCs/>
                            </w:rPr>
                          </w:pPr>
                          <w:r>
                            <w:rPr>
                              <w:rFonts w:ascii="Arial Narrow" w:hAnsi="Arial Narrow"/>
                              <w:b/>
                              <w:bCs/>
                              <w:color w:val="FFFFFF"/>
                              <w:sz w:val="22"/>
                            </w:rPr>
                            <w:t>[President]</w:t>
                          </w:r>
                        </w:p>
                      </w:txbxContent>
                    </v:textbox>
                  </v:shape>
                  <v:line id="Line 176" o:spid="_x0000_s1036" style="position:absolute;visibility:visible;mso-wrap-style:square" from="6118,3054" to="6118,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" strokeweight="1.5pt">
                    <v:stroke startarrow="block"/>
                  </v:line>
                  <v:line id="Line 177" o:spid="_x0000_s1037" style="position:absolute;visibility:visible;mso-wrap-style:square" from="3239,5170" to="4656,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" strokeweight="1.5pt">
                    <v:stroke endarrow="block"/>
                  </v:line>
                  <v:shape id="Text Box 178" o:spid="_x0000_s1038" type="#_x0000_t202" style="position:absolute;left:6119;top:7445;width:302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" fillcolor="#396">
                    <v:textbox inset=",.5mm,,1mm">
                      <w:txbxContent>
                        <w:p w14:paraId="3A7EA645"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7BD6D86" w14:textId="77777777" w:rsidR="00D45643" w:rsidRDefault="00D45643" w:rsidP="004A2800">
                          <w:pPr>
                            <w:jc w:val="center"/>
                            <w:rPr>
                              <w:rFonts w:ascii="Arial Narrow" w:hAnsi="Arial Narrow"/>
                              <w:b/>
                              <w:bCs/>
                            </w:rPr>
                          </w:pPr>
                          <w:r>
                            <w:rPr>
                              <w:rFonts w:ascii="Arial Narrow" w:hAnsi="Arial Narrow"/>
                              <w:b/>
                              <w:bCs/>
                              <w:color w:val="FFFFFF"/>
                              <w:sz w:val="22"/>
                            </w:rPr>
                            <w:t>[Magistrate]</w:t>
                          </w:r>
                        </w:p>
                      </w:txbxContent>
                    </v:textbox>
                  </v:shape>
                  <v:rect id="Rectangle 179" o:spid="_x0000_s1039" style="position:absolute;left:1439;top:1418;width:9014;height: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" fillcolor="black" strokeweight="4pt">
                    <v:shadow color="#a0a0a0"/>
                    <v:textbox inset="7.25pt,1.2788mm,7.25pt,1.2788mm">
                      <w:txbxContent>
                        <w:p w14:paraId="37968266" w14:textId="3BA3D4F9" w:rsidR="00D45643" w:rsidRDefault="00D45643" w:rsidP="002C1F3C">
                          <w:pPr>
                            <w:pageBreakBefore/>
                            <w:jc w:val="center"/>
                            <w:rPr>
                              <w:rFonts w:ascii="Arial Rounded MT Bold" w:hAnsi="Arial Rounded MT Bold"/>
                              <w:color w:val="FFFFFF"/>
                              <w:sz w:val="30"/>
                              <w:szCs w:val="40"/>
                            </w:rPr>
                          </w:pPr>
                          <w:r>
                            <w:rPr>
                              <w:rFonts w:ascii="Arial Rounded MT Bold" w:hAnsi="Arial Rounded MT Bold"/>
                              <w:color w:val="FFFFFF"/>
                              <w:sz w:val="30"/>
                              <w:szCs w:val="40"/>
                            </w:rPr>
                            <w:t>HIERARCHY OF APPEALS FROM THE CHILDREN'S COURT</w:t>
                          </w:r>
                        </w:p>
                        <w:p w14:paraId="172E28C1" w14:textId="77777777" w:rsidR="00D45643" w:rsidRDefault="00D45643" w:rsidP="004A2800">
                          <w:pPr>
                            <w:jc w:val="center"/>
                            <w:rPr>
                              <w:rFonts w:ascii="Arial Rounded MT Bold" w:hAnsi="Arial Rounded MT Bold"/>
                              <w:color w:val="FFFFFF"/>
                              <w:sz w:val="30"/>
                              <w:szCs w:val="40"/>
                            </w:rPr>
                          </w:pPr>
                        </w:p>
                        <w:p w14:paraId="24154717" w14:textId="77777777"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w:t>
                          </w:r>
                        </w:p>
                        <w:p w14:paraId="5F55147F" w14:textId="77777777" w:rsidR="00D45643" w:rsidRDefault="00D45643" w:rsidP="004A2800">
                          <w:pPr>
                            <w:jc w:val="center"/>
                            <w:rPr>
                              <w:rFonts w:ascii="Arial Rounded MT Bold" w:hAnsi="Arial Rounded MT Bold"/>
                              <w:color w:val="FFFFFF"/>
                              <w:sz w:val="40"/>
                              <w:szCs w:val="40"/>
                            </w:rPr>
                          </w:pPr>
                        </w:p>
                      </w:txbxContent>
                    </v:textbox>
                  </v:rect>
                  <v:shape id="Text Box 180" o:spid="_x0000_s1040" type="#_x0000_t202" style="position:absolute;left:4610;top:5892;width:3024;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" fillcolor="purple">
                    <v:textbox inset=",.5mm,,1mm">
                      <w:txbxContent>
                        <w:p w14:paraId="482AC911" w14:textId="77777777" w:rsidR="00D45643" w:rsidRDefault="00D45643" w:rsidP="004A2800">
                          <w:pPr>
                            <w:spacing w:before="80"/>
                            <w:jc w:val="center"/>
                            <w:rPr>
                              <w:rFonts w:ascii="Arial Narrow" w:hAnsi="Arial Narrow"/>
                              <w:b/>
                              <w:bCs/>
                              <w:sz w:val="34"/>
                            </w:rPr>
                          </w:pPr>
                          <w:r>
                            <w:rPr>
                              <w:rFonts w:ascii="Arial Narrow" w:hAnsi="Arial Narrow"/>
                              <w:b/>
                              <w:bCs/>
                              <w:color w:val="FFFFFF"/>
                              <w:sz w:val="36"/>
                            </w:rPr>
                            <w:t>COUNTY COURT</w:t>
                          </w:r>
                        </w:p>
                      </w:txbxContent>
                    </v:textbox>
                  </v:shape>
                  <v:shape id="Text Box 181" o:spid="_x0000_s1041" type="#_x0000_t202" style="position:absolute;left:4610;top:3600;width:3024;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" fillcolor="red">
                    <v:textbox inset=",.5mm,,1mm">
                      <w:txbxContent>
                        <w:p w14:paraId="71C3133B" w14:textId="77777777" w:rsidR="00D45643" w:rsidRDefault="00D45643" w:rsidP="004A2800">
                          <w:pPr>
                            <w:spacing w:before="80"/>
                            <w:jc w:val="center"/>
                            <w:rPr>
                              <w:rFonts w:ascii="Arial Narrow" w:hAnsi="Arial Narrow"/>
                              <w:b/>
                              <w:bCs/>
                              <w:sz w:val="34"/>
                            </w:rPr>
                          </w:pPr>
                          <w:r>
                            <w:rPr>
                              <w:rFonts w:ascii="Arial Narrow" w:hAnsi="Arial Narrow"/>
                              <w:b/>
                              <w:bCs/>
                              <w:color w:val="FFFFFF"/>
                              <w:sz w:val="34"/>
                            </w:rPr>
                            <w:t>COURT OF APPEAL</w:t>
                          </w:r>
                        </w:p>
                      </w:txbxContent>
                    </v:textbox>
                  </v:shape>
                  <v:shape id="Text Box 182" o:spid="_x0000_s1042" type="#_x0000_t202" style="position:absolute;left:4655;top:4718;width:3024;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" fillcolor="red">
                    <v:textbox inset=",.5mm,,1mm">
                      <w:txbxContent>
                        <w:p w14:paraId="3409E6B8" w14:textId="77777777" w:rsidR="00D45643" w:rsidRDefault="00D45643" w:rsidP="004A2800">
                          <w:pPr>
                            <w:pageBreakBefore/>
                            <w:spacing w:before="80"/>
                            <w:jc w:val="center"/>
                            <w:rPr>
                              <w:rFonts w:ascii="Arial Narrow" w:hAnsi="Arial Narrow"/>
                              <w:b/>
                              <w:bCs/>
                              <w:sz w:val="34"/>
                            </w:rPr>
                          </w:pPr>
                          <w:r>
                            <w:rPr>
                              <w:rFonts w:ascii="Arial Narrow" w:hAnsi="Arial Narrow"/>
                              <w:b/>
                              <w:bCs/>
                              <w:color w:val="FFFFFF"/>
                              <w:sz w:val="36"/>
                            </w:rPr>
                            <w:t>SUPREME COURT</w:t>
                          </w:r>
                        </w:p>
                      </w:txbxContent>
                    </v:textbox>
                  </v:shape>
                  <v:line id="Line 183" o:spid="_x0000_s1043" style="position:absolute;visibility:visible;mso-wrap-style:square" from="3239,5164" to="3239,7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" strokeweight="1.5pt">
                    <v:stroke startarrow="block"/>
                  </v:line>
                  <v:line id="Line 184" o:spid="_x0000_s1044" style="position:absolute;visibility:visible;mso-wrap-style:square" from="8639,5100" to="8639,7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" strokeweight="1.5pt">
                    <v:stroke startarrow="block"/>
                  </v:line>
                  <v:shape id="Text Box 185" o:spid="_x0000_s1045" type="#_x0000_t202" style="position:absolute;left:8642;top:5782;width:1678;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" fillcolor="silver">
                    <v:fill opacity="32896f"/>
                    <v:textbox inset=",.5mm,,1mm">
                      <w:txbxContent>
                        <w:p w14:paraId="3BFF0DEE" w14:textId="77777777" w:rsidR="00D45643" w:rsidRDefault="00D45643" w:rsidP="00212E38">
                          <w:pPr>
                            <w:numPr>
                              <w:ilvl w:val="0"/>
                              <w:numId w:val="16"/>
                            </w:numPr>
                            <w:spacing w:before="40"/>
                            <w:rPr>
                              <w:rFonts w:ascii="Arial" w:hAnsi="Arial" w:cs="Arial"/>
                              <w:b/>
                              <w:bCs/>
                              <w:color w:val="000000"/>
                              <w:sz w:val="20"/>
                            </w:rPr>
                          </w:pPr>
                          <w:r>
                            <w:rPr>
                              <w:rFonts w:ascii="Arial" w:hAnsi="Arial" w:cs="Arial"/>
                              <w:b/>
                              <w:bCs/>
                              <w:color w:val="000000"/>
                              <w:sz w:val="20"/>
                            </w:rPr>
                            <w:t>Question of law</w:t>
                          </w:r>
                        </w:p>
                        <w:p w14:paraId="42C63775"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IAO appeal</w:t>
                          </w:r>
                        </w:p>
                        <w:p w14:paraId="494A4EBB"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O.56</w:t>
                          </w:r>
                        </w:p>
                      </w:txbxContent>
                    </v:textbox>
                  </v:shape>
                  <v:line id="Line 186" o:spid="_x0000_s1046" style="position:absolute;visibility:visible;mso-wrap-style:square" from="7702,5126" to="8666,5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" strokeweight="1.5pt">
                    <v:stroke startarrow="block"/>
                  </v:line>
                  <v:shape id="Text Box 187" o:spid="_x0000_s1047" type="#_x0000_t202" style="position:absolute;left:6359;top:6698;width:2098;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" fillcolor="silver">
                    <v:fill opacity="32896f"/>
                    <v:textbox inset=",.5mm,,1mm">
                      <w:txbxContent>
                        <w:p w14:paraId="2527264A" w14:textId="2E91A204" w:rsidR="00D45643" w:rsidRDefault="00D45643" w:rsidP="00212E38">
                          <w:pPr>
                            <w:numPr>
                              <w:ilvl w:val="0"/>
                              <w:numId w:val="15"/>
                            </w:numPr>
                            <w:rPr>
                              <w:rFonts w:ascii="Arial" w:hAnsi="Arial" w:cs="Arial"/>
                              <w:b/>
                              <w:bCs/>
                              <w:i/>
                              <w:iCs/>
                              <w:color w:val="000000"/>
                              <w:sz w:val="20"/>
                            </w:rPr>
                          </w:pPr>
                          <w:r>
                            <w:rPr>
                              <w:rFonts w:ascii="Arial" w:hAnsi="Arial" w:cs="Arial"/>
                              <w:b/>
                              <w:bCs/>
                              <w:i/>
                              <w:iCs/>
                              <w:color w:val="000000"/>
                              <w:sz w:val="20"/>
                            </w:rPr>
                            <w:t>Rehearing</w:t>
                          </w:r>
                        </w:p>
                        <w:p w14:paraId="41DD6A68" w14:textId="08EF1DF4" w:rsidR="00D45643" w:rsidRDefault="00D45643" w:rsidP="00731675">
                          <w:pPr>
                            <w:rPr>
                              <w:rFonts w:ascii="Arial" w:hAnsi="Arial" w:cs="Arial"/>
                              <w:b/>
                              <w:bCs/>
                              <w:i/>
                              <w:iCs/>
                              <w:color w:val="000000"/>
                              <w:sz w:val="20"/>
                            </w:rPr>
                          </w:pPr>
                          <w:r>
                            <w:rPr>
                              <w:rFonts w:ascii="Arial" w:hAnsi="Arial" w:cs="Arial"/>
                              <w:b/>
                              <w:bCs/>
                              <w:i/>
                              <w:iCs/>
                              <w:color w:val="000000"/>
                              <w:sz w:val="20"/>
                            </w:rPr>
                            <w:t>(Criminal Division)</w:t>
                          </w:r>
                        </w:p>
                        <w:p w14:paraId="40868AD9" w14:textId="24012CC6" w:rsidR="00D45643" w:rsidRDefault="00D45643" w:rsidP="00731675">
                          <w:pPr>
                            <w:rPr>
                              <w:rFonts w:ascii="Arial" w:hAnsi="Arial" w:cs="Arial"/>
                              <w:b/>
                              <w:bCs/>
                              <w:i/>
                              <w:iCs/>
                              <w:color w:val="000000"/>
                              <w:sz w:val="20"/>
                            </w:rPr>
                          </w:pPr>
                          <w:r>
                            <w:rPr>
                              <w:rFonts w:ascii="Arial" w:hAnsi="Arial" w:cs="Arial"/>
                              <w:b/>
                              <w:bCs/>
                              <w:i/>
                              <w:iCs/>
                              <w:color w:val="000000"/>
                              <w:sz w:val="20"/>
                            </w:rPr>
                            <w:t>5. Rehearing (IVO)</w:t>
                          </w:r>
                        </w:p>
                        <w:p w14:paraId="329AABE5" w14:textId="2D04C83F" w:rsidR="00D45643" w:rsidRDefault="00D45643" w:rsidP="00731675">
                          <w:pPr>
                            <w:rPr>
                              <w:rFonts w:ascii="Arial" w:hAnsi="Arial" w:cs="Arial"/>
                              <w:b/>
                              <w:bCs/>
                              <w:i/>
                              <w:iCs/>
                              <w:color w:val="000000"/>
                              <w:sz w:val="20"/>
                            </w:rPr>
                          </w:pPr>
                          <w:r>
                            <w:rPr>
                              <w:rFonts w:ascii="Arial" w:hAnsi="Arial" w:cs="Arial"/>
                              <w:b/>
                              <w:bCs/>
                              <w:i/>
                              <w:iCs/>
                              <w:color w:val="000000"/>
                              <w:sz w:val="20"/>
                            </w:rPr>
                            <w:t>5.IVO</w:t>
                          </w:r>
                        </w:p>
                      </w:txbxContent>
                    </v:textbox>
                  </v:shape>
                </v:group>
                <w10:anchorlock/>
              </v:group>
            </w:pict>
          </mc:Fallback>
        </mc:AlternateContent>
      </w:r>
    </w:p>
    <w:tbl>
      <w:tblPr>
        <w:tblW w:w="0" w:type="auto"/>
        <w:tblInd w:w="11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395"/>
        <w:gridCol w:w="1406"/>
        <w:gridCol w:w="7110"/>
      </w:tblGrid>
      <w:tr w:rsidR="000D3BBE" w14:paraId="5DB40788" w14:textId="77777777" w:rsidTr="00A064DE">
        <w:tc>
          <w:tcPr>
            <w:tcW w:w="1801" w:type="dxa"/>
            <w:gridSpan w:val="2"/>
            <w:tcBorders>
              <w:bottom w:val="single" w:sz="18" w:space="0" w:color="auto"/>
            </w:tcBorders>
          </w:tcPr>
          <w:p w14:paraId="5EC3352A" w14:textId="77777777" w:rsidR="000D3BBE" w:rsidRDefault="000D3BBE" w:rsidP="0068249A">
            <w:pPr>
              <w:keepNext/>
              <w:keepLines/>
              <w:jc w:val="center"/>
              <w:rPr>
                <w:rFonts w:ascii="Arial" w:hAnsi="Arial" w:cs="Arial"/>
                <w:b/>
                <w:bCs/>
                <w:sz w:val="20"/>
              </w:rPr>
            </w:pPr>
            <w:r>
              <w:rPr>
                <w:rFonts w:ascii="Arial" w:hAnsi="Arial" w:cs="Arial"/>
                <w:b/>
                <w:bCs/>
                <w:sz w:val="20"/>
              </w:rPr>
              <w:t>APPEAL TYPE</w:t>
            </w:r>
          </w:p>
        </w:tc>
        <w:tc>
          <w:tcPr>
            <w:tcW w:w="7110" w:type="dxa"/>
            <w:tcBorders>
              <w:bottom w:val="single" w:sz="18" w:space="0" w:color="auto"/>
            </w:tcBorders>
          </w:tcPr>
          <w:p w14:paraId="01DB8618" w14:textId="77777777" w:rsidR="000D3BBE" w:rsidRDefault="000D3BBE" w:rsidP="0068249A">
            <w:pPr>
              <w:keepNext/>
              <w:keepLines/>
              <w:jc w:val="center"/>
              <w:rPr>
                <w:rFonts w:ascii="Arial" w:hAnsi="Arial" w:cs="Arial"/>
                <w:b/>
                <w:bCs/>
                <w:sz w:val="20"/>
              </w:rPr>
            </w:pPr>
            <w:r>
              <w:rPr>
                <w:rFonts w:ascii="Arial" w:hAnsi="Arial" w:cs="Arial"/>
                <w:b/>
                <w:bCs/>
                <w:sz w:val="20"/>
              </w:rPr>
              <w:t>NOTES</w:t>
            </w:r>
          </w:p>
        </w:tc>
      </w:tr>
      <w:tr w:rsidR="00B21DA4" w14:paraId="545200E3" w14:textId="77777777" w:rsidTr="00A064DE">
        <w:tc>
          <w:tcPr>
            <w:tcW w:w="395" w:type="dxa"/>
            <w:tcBorders>
              <w:top w:val="single" w:sz="18" w:space="0" w:color="auto"/>
              <w:bottom w:val="single" w:sz="4" w:space="0" w:color="auto"/>
            </w:tcBorders>
          </w:tcPr>
          <w:p w14:paraId="5E91CAD1" w14:textId="77777777" w:rsidR="00B21DA4" w:rsidRDefault="00B21DA4" w:rsidP="002816DF">
            <w:pPr>
              <w:jc w:val="center"/>
              <w:rPr>
                <w:rFonts w:ascii="Arial" w:hAnsi="Arial" w:cs="Arial"/>
                <w:sz w:val="20"/>
              </w:rPr>
            </w:pPr>
            <w:r>
              <w:rPr>
                <w:rFonts w:ascii="Arial" w:hAnsi="Arial" w:cs="Arial"/>
                <w:sz w:val="20"/>
              </w:rPr>
              <w:t>1</w:t>
            </w:r>
          </w:p>
        </w:tc>
        <w:tc>
          <w:tcPr>
            <w:tcW w:w="1406" w:type="dxa"/>
            <w:tcBorders>
              <w:top w:val="single" w:sz="18" w:space="0" w:color="auto"/>
              <w:bottom w:val="single" w:sz="4" w:space="0" w:color="auto"/>
            </w:tcBorders>
          </w:tcPr>
          <w:p w14:paraId="1A1E9FAD" w14:textId="77777777" w:rsidR="00B21DA4" w:rsidRDefault="00B21DA4" w:rsidP="002816DF">
            <w:pPr>
              <w:jc w:val="center"/>
              <w:rPr>
                <w:rFonts w:ascii="Arial" w:hAnsi="Arial" w:cs="Arial"/>
                <w:sz w:val="20"/>
              </w:rPr>
            </w:pPr>
            <w:r>
              <w:rPr>
                <w:rFonts w:ascii="Arial" w:hAnsi="Arial" w:cs="Arial"/>
                <w:sz w:val="20"/>
              </w:rPr>
              <w:t>Appeal on a question of law</w:t>
            </w:r>
          </w:p>
          <w:p w14:paraId="23E06AF8" w14:textId="77777777" w:rsidR="00B21DA4" w:rsidRDefault="00B21DA4" w:rsidP="002816DF">
            <w:pPr>
              <w:jc w:val="center"/>
              <w:rPr>
                <w:rFonts w:ascii="Arial" w:hAnsi="Arial" w:cs="Arial"/>
                <w:sz w:val="20"/>
              </w:rPr>
            </w:pPr>
            <w:r>
              <w:rPr>
                <w:rFonts w:ascii="Arial" w:hAnsi="Arial" w:cs="Arial"/>
                <w:sz w:val="20"/>
              </w:rPr>
              <w:t xml:space="preserve">[appeal </w:t>
            </w:r>
            <w:r>
              <w:rPr>
                <w:rFonts w:ascii="Arial" w:hAnsi="Arial" w:cs="Arial"/>
                <w:i/>
                <w:iCs/>
                <w:sz w:val="20"/>
              </w:rPr>
              <w:t>stricto sensu</w:t>
            </w:r>
            <w:r>
              <w:rPr>
                <w:rFonts w:ascii="Arial" w:hAnsi="Arial" w:cs="Arial"/>
                <w:sz w:val="20"/>
              </w:rPr>
              <w:t>]</w:t>
            </w:r>
          </w:p>
        </w:tc>
        <w:tc>
          <w:tcPr>
            <w:tcW w:w="7110" w:type="dxa"/>
            <w:tcBorders>
              <w:top w:val="single" w:sz="18" w:space="0" w:color="auto"/>
              <w:bottom w:val="single" w:sz="4" w:space="0" w:color="auto"/>
            </w:tcBorders>
          </w:tcPr>
          <w:p w14:paraId="73746BA1" w14:textId="1E5AAFD1" w:rsidR="00B21DA4" w:rsidRDefault="00B21DA4" w:rsidP="002816DF">
            <w:pPr>
              <w:jc w:val="both"/>
              <w:rPr>
                <w:rFonts w:ascii="Arial" w:hAnsi="Arial" w:cs="Arial"/>
                <w:sz w:val="20"/>
              </w:rPr>
            </w:pPr>
            <w:r>
              <w:rPr>
                <w:rFonts w:ascii="Arial" w:hAnsi="Arial" w:cs="Arial"/>
                <w:sz w:val="20"/>
              </w:rPr>
              <w:t xml:space="preserve">A right of appeal </w:t>
            </w:r>
            <w:r w:rsidR="00477335">
              <w:rPr>
                <w:rFonts w:ascii="Arial" w:hAnsi="Arial" w:cs="Arial"/>
                <w:sz w:val="20"/>
              </w:rPr>
              <w:t xml:space="preserve">to the Supreme Court </w:t>
            </w:r>
            <w:r>
              <w:rPr>
                <w:rFonts w:ascii="Arial" w:hAnsi="Arial" w:cs="Arial"/>
                <w:sz w:val="20"/>
              </w:rPr>
              <w:t xml:space="preserve">on a question of law from </w:t>
            </w:r>
            <w:r w:rsidR="00433AC1">
              <w:rPr>
                <w:rFonts w:ascii="Arial" w:hAnsi="Arial" w:cs="Arial"/>
                <w:sz w:val="20"/>
              </w:rPr>
              <w:t xml:space="preserve">a </w:t>
            </w:r>
            <w:r>
              <w:rPr>
                <w:rFonts w:ascii="Arial" w:hAnsi="Arial" w:cs="Arial"/>
                <w:sz w:val="20"/>
              </w:rPr>
              <w:t xml:space="preserve">final order of the </w:t>
            </w:r>
            <w:r w:rsidR="00E978C0">
              <w:rPr>
                <w:rFonts w:ascii="Arial" w:hAnsi="Arial" w:cs="Arial"/>
                <w:sz w:val="20"/>
              </w:rPr>
              <w:t>C</w:t>
            </w:r>
            <w:r w:rsidR="009D0ACC">
              <w:rPr>
                <w:rFonts w:ascii="Arial" w:hAnsi="Arial" w:cs="Arial"/>
                <w:sz w:val="20"/>
              </w:rPr>
              <w:t>h</w:t>
            </w:r>
            <w:r w:rsidR="00E978C0">
              <w:rPr>
                <w:rFonts w:ascii="Arial" w:hAnsi="Arial" w:cs="Arial"/>
                <w:sz w:val="20"/>
              </w:rPr>
              <w:t>CV</w:t>
            </w:r>
            <w:r>
              <w:rPr>
                <w:rFonts w:ascii="Arial" w:hAnsi="Arial" w:cs="Arial"/>
                <w:sz w:val="20"/>
              </w:rPr>
              <w:t xml:space="preserve"> (other than in a committal proceeding</w:t>
            </w:r>
            <w:r w:rsidR="00433AC1">
              <w:rPr>
                <w:rFonts w:ascii="Arial" w:hAnsi="Arial" w:cs="Arial"/>
                <w:sz w:val="20"/>
              </w:rPr>
              <w:t>) is granted and regulated by s</w:t>
            </w:r>
            <w:r>
              <w:rPr>
                <w:rFonts w:ascii="Arial" w:hAnsi="Arial" w:cs="Arial"/>
                <w:sz w:val="20"/>
              </w:rPr>
              <w:t>.</w:t>
            </w:r>
            <w:r w:rsidR="00A46B94">
              <w:rPr>
                <w:rFonts w:ascii="Arial" w:hAnsi="Arial" w:cs="Arial"/>
                <w:sz w:val="20"/>
              </w:rPr>
              <w:t>32</w:t>
            </w:r>
            <w:r w:rsidR="00477335">
              <w:rPr>
                <w:rFonts w:ascii="Arial" w:hAnsi="Arial" w:cs="Arial"/>
                <w:sz w:val="20"/>
              </w:rPr>
              <w:t>9</w:t>
            </w:r>
            <w:r>
              <w:rPr>
                <w:rFonts w:ascii="Arial" w:hAnsi="Arial" w:cs="Arial"/>
                <w:sz w:val="20"/>
              </w:rPr>
              <w:t xml:space="preserve"> </w:t>
            </w:r>
            <w:r w:rsidR="00433AC1">
              <w:rPr>
                <w:rFonts w:ascii="Arial" w:hAnsi="Arial" w:cs="Arial"/>
                <w:sz w:val="20"/>
              </w:rPr>
              <w:t>(</w:t>
            </w:r>
            <w:r>
              <w:rPr>
                <w:rFonts w:ascii="Arial" w:hAnsi="Arial" w:cs="Arial"/>
                <w:sz w:val="20"/>
              </w:rPr>
              <w:t>Family Division</w:t>
            </w:r>
            <w:r w:rsidR="00433AC1">
              <w:rPr>
                <w:rFonts w:ascii="Arial" w:hAnsi="Arial" w:cs="Arial"/>
                <w:sz w:val="20"/>
              </w:rPr>
              <w:t>)</w:t>
            </w:r>
            <w:r>
              <w:rPr>
                <w:rFonts w:ascii="Arial" w:hAnsi="Arial" w:cs="Arial"/>
                <w:sz w:val="20"/>
              </w:rPr>
              <w:t xml:space="preserve"> </w:t>
            </w:r>
            <w:r w:rsidR="000C1B40">
              <w:rPr>
                <w:rFonts w:ascii="Arial" w:hAnsi="Arial" w:cs="Arial"/>
                <w:sz w:val="20"/>
              </w:rPr>
              <w:t>and</w:t>
            </w:r>
            <w:r>
              <w:rPr>
                <w:rFonts w:ascii="Arial" w:hAnsi="Arial" w:cs="Arial"/>
                <w:sz w:val="20"/>
              </w:rPr>
              <w:t xml:space="preserve"> </w:t>
            </w:r>
            <w:r w:rsidR="007D59CE">
              <w:rPr>
                <w:rFonts w:ascii="Arial" w:hAnsi="Arial" w:cs="Arial"/>
                <w:sz w:val="20"/>
              </w:rPr>
              <w:t>s.430P</w:t>
            </w:r>
            <w:r>
              <w:rPr>
                <w:rFonts w:ascii="Arial" w:hAnsi="Arial" w:cs="Arial"/>
                <w:sz w:val="20"/>
              </w:rPr>
              <w:t xml:space="preserve"> </w:t>
            </w:r>
            <w:r w:rsidR="00433AC1">
              <w:rPr>
                <w:rFonts w:ascii="Arial" w:hAnsi="Arial" w:cs="Arial"/>
                <w:sz w:val="20"/>
              </w:rPr>
              <w:t>(</w:t>
            </w:r>
            <w:r>
              <w:rPr>
                <w:rFonts w:ascii="Arial" w:hAnsi="Arial" w:cs="Arial"/>
                <w:sz w:val="20"/>
              </w:rPr>
              <w:t>Criminal Division</w:t>
            </w:r>
            <w:r w:rsidR="00433AC1">
              <w:rPr>
                <w:rFonts w:ascii="Arial" w:hAnsi="Arial" w:cs="Arial"/>
                <w:sz w:val="20"/>
              </w:rPr>
              <w:t>)</w:t>
            </w:r>
            <w:r>
              <w:rPr>
                <w:rFonts w:ascii="Arial" w:hAnsi="Arial" w:cs="Arial"/>
                <w:sz w:val="20"/>
              </w:rPr>
              <w:t xml:space="preserve"> of the CY</w:t>
            </w:r>
            <w:r w:rsidR="00A46B94">
              <w:rPr>
                <w:rFonts w:ascii="Arial" w:hAnsi="Arial" w:cs="Arial"/>
                <w:sz w:val="20"/>
              </w:rPr>
              <w:t>F</w:t>
            </w:r>
            <w:r>
              <w:rPr>
                <w:rFonts w:ascii="Arial" w:hAnsi="Arial" w:cs="Arial"/>
                <w:sz w:val="20"/>
              </w:rPr>
              <w:t>A.  Th</w:t>
            </w:r>
            <w:r w:rsidR="0001163B">
              <w:rPr>
                <w:rFonts w:ascii="Arial" w:hAnsi="Arial" w:cs="Arial"/>
                <w:sz w:val="20"/>
              </w:rPr>
              <w:t>is is an appeal “in the strict sense”. It is not a re-hearing. Th</w:t>
            </w:r>
            <w:r>
              <w:rPr>
                <w:rFonts w:ascii="Arial" w:hAnsi="Arial" w:cs="Arial"/>
                <w:sz w:val="20"/>
              </w:rPr>
              <w:t>e appellant must show that the trial judge/magistrate has made an error of law, some examples of which are detailed below.</w:t>
            </w:r>
          </w:p>
        </w:tc>
      </w:tr>
      <w:tr w:rsidR="00B21DA4" w14:paraId="49200B4F" w14:textId="77777777" w:rsidTr="00A064DE">
        <w:tc>
          <w:tcPr>
            <w:tcW w:w="395" w:type="dxa"/>
            <w:tcBorders>
              <w:top w:val="single" w:sz="4" w:space="0" w:color="auto"/>
            </w:tcBorders>
          </w:tcPr>
          <w:p w14:paraId="68F8F8FA" w14:textId="77777777" w:rsidR="00B21DA4" w:rsidRDefault="00B21DA4" w:rsidP="00216E00">
            <w:pPr>
              <w:jc w:val="center"/>
              <w:rPr>
                <w:rFonts w:ascii="Arial" w:hAnsi="Arial" w:cs="Arial"/>
                <w:sz w:val="20"/>
              </w:rPr>
            </w:pPr>
            <w:r>
              <w:rPr>
                <w:rFonts w:ascii="Arial" w:hAnsi="Arial" w:cs="Arial"/>
                <w:sz w:val="20"/>
              </w:rPr>
              <w:t>2</w:t>
            </w:r>
          </w:p>
        </w:tc>
        <w:tc>
          <w:tcPr>
            <w:tcW w:w="1406" w:type="dxa"/>
            <w:tcBorders>
              <w:top w:val="single" w:sz="4" w:space="0" w:color="auto"/>
            </w:tcBorders>
          </w:tcPr>
          <w:p w14:paraId="327479F8" w14:textId="77777777" w:rsidR="00B21DA4" w:rsidRDefault="00B21DA4" w:rsidP="004A2800">
            <w:pPr>
              <w:jc w:val="center"/>
              <w:rPr>
                <w:rFonts w:ascii="Arial" w:hAnsi="Arial" w:cs="Arial"/>
                <w:sz w:val="20"/>
              </w:rPr>
            </w:pPr>
            <w:r>
              <w:rPr>
                <w:rFonts w:ascii="Arial" w:hAnsi="Arial" w:cs="Arial"/>
                <w:sz w:val="20"/>
              </w:rPr>
              <w:t>IAO appeal</w:t>
            </w:r>
          </w:p>
        </w:tc>
        <w:tc>
          <w:tcPr>
            <w:tcW w:w="7110" w:type="dxa"/>
            <w:tcBorders>
              <w:top w:val="single" w:sz="4" w:space="0" w:color="auto"/>
            </w:tcBorders>
          </w:tcPr>
          <w:p w14:paraId="3977EF31" w14:textId="77777777" w:rsidR="00B21DA4" w:rsidRDefault="00B47CAA" w:rsidP="004A2800">
            <w:pPr>
              <w:jc w:val="both"/>
              <w:rPr>
                <w:rFonts w:ascii="Arial" w:hAnsi="Arial" w:cs="Arial"/>
                <w:sz w:val="20"/>
              </w:rPr>
            </w:pPr>
            <w:r>
              <w:rPr>
                <w:rFonts w:ascii="Arial" w:hAnsi="Arial" w:cs="Arial"/>
                <w:sz w:val="20"/>
              </w:rPr>
              <w:t>A right of appeal to the Supreme Court p</w:t>
            </w:r>
            <w:r w:rsidR="00B21DA4">
              <w:rPr>
                <w:rFonts w:ascii="Arial" w:hAnsi="Arial" w:cs="Arial"/>
                <w:sz w:val="20"/>
              </w:rPr>
              <w:t>ursuant to s.</w:t>
            </w:r>
            <w:r w:rsidR="00AE31F8">
              <w:rPr>
                <w:rFonts w:ascii="Arial" w:hAnsi="Arial" w:cs="Arial"/>
                <w:sz w:val="20"/>
              </w:rPr>
              <w:t>271</w:t>
            </w:r>
            <w:r w:rsidR="00B21DA4">
              <w:rPr>
                <w:rFonts w:ascii="Arial" w:hAnsi="Arial" w:cs="Arial"/>
                <w:sz w:val="20"/>
              </w:rPr>
              <w:t xml:space="preserve"> of the CY</w:t>
            </w:r>
            <w:r w:rsidR="00AE31F8">
              <w:rPr>
                <w:rFonts w:ascii="Arial" w:hAnsi="Arial" w:cs="Arial"/>
                <w:sz w:val="20"/>
              </w:rPr>
              <w:t>F</w:t>
            </w:r>
            <w:r w:rsidR="00B21DA4">
              <w:rPr>
                <w:rFonts w:ascii="Arial" w:hAnsi="Arial" w:cs="Arial"/>
                <w:sz w:val="20"/>
              </w:rPr>
              <w:t>A</w:t>
            </w:r>
            <w:r w:rsidR="008111C6">
              <w:rPr>
                <w:rFonts w:ascii="Arial" w:hAnsi="Arial" w:cs="Arial"/>
                <w:sz w:val="20"/>
              </w:rPr>
              <w:t xml:space="preserve"> on a decision to make or refuse to make an interim accommodation order in the Family Division</w:t>
            </w:r>
            <w:r w:rsidR="00B21DA4">
              <w:rPr>
                <w:rFonts w:ascii="Arial" w:hAnsi="Arial" w:cs="Arial"/>
                <w:sz w:val="20"/>
              </w:rPr>
              <w:t>.</w:t>
            </w:r>
          </w:p>
        </w:tc>
      </w:tr>
      <w:tr w:rsidR="00B21DA4" w14:paraId="66FAC76F" w14:textId="77777777" w:rsidTr="00A064DE">
        <w:tc>
          <w:tcPr>
            <w:tcW w:w="395" w:type="dxa"/>
          </w:tcPr>
          <w:p w14:paraId="6D5EADBD" w14:textId="77777777" w:rsidR="00B21DA4" w:rsidRDefault="00B21DA4" w:rsidP="00AC2791">
            <w:pPr>
              <w:jc w:val="center"/>
              <w:rPr>
                <w:rFonts w:ascii="Arial" w:hAnsi="Arial" w:cs="Arial"/>
                <w:sz w:val="20"/>
              </w:rPr>
            </w:pPr>
            <w:r>
              <w:rPr>
                <w:rFonts w:ascii="Arial" w:hAnsi="Arial" w:cs="Arial"/>
                <w:sz w:val="20"/>
              </w:rPr>
              <w:t>3</w:t>
            </w:r>
          </w:p>
        </w:tc>
        <w:tc>
          <w:tcPr>
            <w:tcW w:w="1406" w:type="dxa"/>
          </w:tcPr>
          <w:p w14:paraId="643C15E8" w14:textId="77777777" w:rsidR="00B21DA4" w:rsidRDefault="00B21DA4" w:rsidP="00AC2791">
            <w:pPr>
              <w:jc w:val="center"/>
              <w:rPr>
                <w:rFonts w:ascii="Arial" w:hAnsi="Arial" w:cs="Arial"/>
                <w:sz w:val="20"/>
              </w:rPr>
            </w:pPr>
            <w:r>
              <w:rPr>
                <w:rFonts w:ascii="Arial" w:hAnsi="Arial" w:cs="Arial"/>
                <w:sz w:val="20"/>
              </w:rPr>
              <w:t>Order 56</w:t>
            </w:r>
          </w:p>
          <w:p w14:paraId="702154FF" w14:textId="77777777" w:rsidR="00B21DA4" w:rsidRDefault="00B21DA4" w:rsidP="00AC2791">
            <w:pPr>
              <w:jc w:val="center"/>
              <w:rPr>
                <w:rFonts w:ascii="Arial" w:hAnsi="Arial" w:cs="Arial"/>
                <w:sz w:val="20"/>
              </w:rPr>
            </w:pPr>
            <w:r>
              <w:rPr>
                <w:rFonts w:ascii="Arial" w:hAnsi="Arial" w:cs="Arial"/>
                <w:sz w:val="20"/>
              </w:rPr>
              <w:t>judicial review</w:t>
            </w:r>
          </w:p>
        </w:tc>
        <w:tc>
          <w:tcPr>
            <w:tcW w:w="7110" w:type="dxa"/>
          </w:tcPr>
          <w:p w14:paraId="49C6B42C" w14:textId="77777777" w:rsidR="00B21DA4" w:rsidRDefault="00B21DA4" w:rsidP="00AC2791">
            <w:pPr>
              <w:jc w:val="both"/>
              <w:rPr>
                <w:rFonts w:ascii="Arial" w:hAnsi="Arial" w:cs="Arial"/>
                <w:sz w:val="20"/>
              </w:rPr>
            </w:pPr>
            <w:r>
              <w:rPr>
                <w:rFonts w:ascii="Arial" w:hAnsi="Arial" w:cs="Arial"/>
                <w:sz w:val="20"/>
              </w:rPr>
              <w:t xml:space="preserve">Order 56.01(1) of Supreme Court Rules provides that the jurisdiction of the Supreme Court to </w:t>
            </w:r>
            <w:bookmarkStart w:id="1212" w:name="_Hlk89260004"/>
            <w:r>
              <w:rPr>
                <w:rFonts w:ascii="Arial" w:hAnsi="Arial" w:cs="Arial"/>
                <w:sz w:val="20"/>
              </w:rPr>
              <w:t xml:space="preserve">grant any relief or remedy in the nature of certiorari, mandamus, prohibition or quo warranto </w:t>
            </w:r>
            <w:bookmarkEnd w:id="1212"/>
            <w:r>
              <w:rPr>
                <w:rFonts w:ascii="Arial" w:hAnsi="Arial" w:cs="Arial"/>
                <w:sz w:val="20"/>
              </w:rPr>
              <w:t>shall be exercised only by way of judgment or order (including interlocutory order) and in a proceeding commenced in accordance with these Rules.</w:t>
            </w:r>
          </w:p>
        </w:tc>
      </w:tr>
      <w:tr w:rsidR="00B21DA4" w14:paraId="0B848D5F" w14:textId="77777777" w:rsidTr="00147CF9">
        <w:tc>
          <w:tcPr>
            <w:tcW w:w="395" w:type="dxa"/>
            <w:tcBorders>
              <w:bottom w:val="single" w:sz="4" w:space="0" w:color="auto"/>
            </w:tcBorders>
          </w:tcPr>
          <w:p w14:paraId="3DC1EA28" w14:textId="77777777" w:rsidR="00B21DA4" w:rsidRDefault="00B21DA4" w:rsidP="00C37348">
            <w:pPr>
              <w:jc w:val="center"/>
              <w:rPr>
                <w:rFonts w:ascii="Arial" w:hAnsi="Arial" w:cs="Arial"/>
                <w:sz w:val="20"/>
              </w:rPr>
            </w:pPr>
            <w:r>
              <w:rPr>
                <w:rFonts w:ascii="Arial" w:hAnsi="Arial" w:cs="Arial"/>
                <w:sz w:val="20"/>
              </w:rPr>
              <w:t>4</w:t>
            </w:r>
          </w:p>
        </w:tc>
        <w:tc>
          <w:tcPr>
            <w:tcW w:w="1406" w:type="dxa"/>
            <w:tcBorders>
              <w:bottom w:val="single" w:sz="4" w:space="0" w:color="auto"/>
            </w:tcBorders>
          </w:tcPr>
          <w:p w14:paraId="5340CB89" w14:textId="4E050228" w:rsidR="00B21DA4" w:rsidRDefault="00AC5724" w:rsidP="00C37348">
            <w:pPr>
              <w:jc w:val="center"/>
              <w:rPr>
                <w:rFonts w:ascii="Arial" w:hAnsi="Arial" w:cs="Arial"/>
                <w:sz w:val="20"/>
              </w:rPr>
            </w:pPr>
            <w:r>
              <w:rPr>
                <w:rFonts w:ascii="Arial" w:hAnsi="Arial" w:cs="Arial"/>
                <w:sz w:val="20"/>
              </w:rPr>
              <w:t>Rehearing Criminal Division</w:t>
            </w:r>
          </w:p>
        </w:tc>
        <w:tc>
          <w:tcPr>
            <w:tcW w:w="7110" w:type="dxa"/>
            <w:tcBorders>
              <w:bottom w:val="single" w:sz="4" w:space="0" w:color="auto"/>
            </w:tcBorders>
          </w:tcPr>
          <w:p w14:paraId="3445D765" w14:textId="52AD3EE4" w:rsidR="00E60F08" w:rsidRDefault="00B21DA4">
            <w:pPr>
              <w:pStyle w:val="ListParagraph"/>
              <w:keepNext/>
              <w:keepLines/>
              <w:numPr>
                <w:ilvl w:val="0"/>
                <w:numId w:val="78"/>
              </w:numPr>
              <w:ind w:left="357" w:hanging="357"/>
              <w:jc w:val="both"/>
              <w:rPr>
                <w:rFonts w:ascii="Arial" w:hAnsi="Arial" w:cs="Arial"/>
                <w:sz w:val="20"/>
              </w:rPr>
            </w:pPr>
            <w:r w:rsidRPr="00E60F08">
              <w:rPr>
                <w:rFonts w:ascii="Arial" w:hAnsi="Arial" w:cs="Arial"/>
                <w:sz w:val="20"/>
              </w:rPr>
              <w:t>A right of appeal by certain persons against certain order</w:t>
            </w:r>
            <w:r w:rsidR="007D59CE" w:rsidRPr="00E60F08">
              <w:rPr>
                <w:rFonts w:ascii="Arial" w:hAnsi="Arial" w:cs="Arial"/>
                <w:sz w:val="20"/>
              </w:rPr>
              <w:t xml:space="preserve">s of the </w:t>
            </w:r>
            <w:r w:rsidR="00A9750C" w:rsidRPr="00E60F08">
              <w:rPr>
                <w:rFonts w:ascii="Arial" w:hAnsi="Arial" w:cs="Arial"/>
                <w:sz w:val="20"/>
              </w:rPr>
              <w:t xml:space="preserve">Criminal Division of the </w:t>
            </w:r>
            <w:r w:rsidR="002E1818">
              <w:rPr>
                <w:rFonts w:ascii="Arial" w:hAnsi="Arial" w:cs="Arial"/>
                <w:sz w:val="20"/>
              </w:rPr>
              <w:t>C</w:t>
            </w:r>
            <w:r w:rsidR="009D0ACC">
              <w:rPr>
                <w:rFonts w:ascii="Arial" w:hAnsi="Arial" w:cs="Arial"/>
                <w:sz w:val="20"/>
              </w:rPr>
              <w:t>h</w:t>
            </w:r>
            <w:r w:rsidR="002E1818">
              <w:rPr>
                <w:rFonts w:ascii="Arial" w:hAnsi="Arial" w:cs="Arial"/>
                <w:sz w:val="20"/>
              </w:rPr>
              <w:t>CV</w:t>
            </w:r>
            <w:r w:rsidR="007D59CE" w:rsidRPr="00E60F08">
              <w:rPr>
                <w:rFonts w:ascii="Arial" w:hAnsi="Arial" w:cs="Arial"/>
                <w:sz w:val="20"/>
              </w:rPr>
              <w:t xml:space="preserve"> is granted and regulated by ss.</w:t>
            </w:r>
            <w:r w:rsidR="00477335" w:rsidRPr="00E60F08">
              <w:rPr>
                <w:rFonts w:ascii="Arial" w:hAnsi="Arial" w:cs="Arial"/>
                <w:sz w:val="20"/>
              </w:rPr>
              <w:t>424</w:t>
            </w:r>
            <w:r w:rsidR="00AC4A02" w:rsidRPr="00E60F08">
              <w:rPr>
                <w:rFonts w:ascii="Arial" w:hAnsi="Arial" w:cs="Arial"/>
                <w:sz w:val="20"/>
              </w:rPr>
              <w:t>-430O</w:t>
            </w:r>
            <w:r w:rsidRPr="00E60F08">
              <w:rPr>
                <w:rFonts w:ascii="Arial" w:hAnsi="Arial" w:cs="Arial"/>
                <w:sz w:val="20"/>
              </w:rPr>
              <w:t xml:space="preserve"> of the CY</w:t>
            </w:r>
            <w:r w:rsidR="00477335" w:rsidRPr="00E60F08">
              <w:rPr>
                <w:rFonts w:ascii="Arial" w:hAnsi="Arial" w:cs="Arial"/>
                <w:sz w:val="20"/>
              </w:rPr>
              <w:t>F</w:t>
            </w:r>
            <w:r w:rsidRPr="00E60F08">
              <w:rPr>
                <w:rFonts w:ascii="Arial" w:hAnsi="Arial" w:cs="Arial"/>
                <w:sz w:val="20"/>
              </w:rPr>
              <w:t>A.</w:t>
            </w:r>
          </w:p>
          <w:p w14:paraId="37F74534" w14:textId="1817B5ED" w:rsidR="00E60F08" w:rsidRDefault="00E60F08">
            <w:pPr>
              <w:pStyle w:val="ListParagraph"/>
              <w:keepNext/>
              <w:keepLines/>
              <w:numPr>
                <w:ilvl w:val="0"/>
                <w:numId w:val="78"/>
              </w:numPr>
              <w:ind w:left="357" w:hanging="357"/>
              <w:jc w:val="both"/>
              <w:rPr>
                <w:rFonts w:ascii="Arial" w:hAnsi="Arial" w:cs="Arial"/>
                <w:sz w:val="20"/>
              </w:rPr>
            </w:pPr>
            <w:r>
              <w:rPr>
                <w:rFonts w:ascii="Arial" w:hAnsi="Arial" w:cs="Arial"/>
                <w:sz w:val="20"/>
              </w:rPr>
              <w:t>An appeal from a decision of the President is heard by a single judge in the Trial Division of the Supreme Court. An appeal from a decision of a Magistrate is heard in the County Court.</w:t>
            </w:r>
          </w:p>
          <w:p w14:paraId="2C5F5715" w14:textId="77777777" w:rsidR="00F33A3F" w:rsidRDefault="00F33A3F">
            <w:pPr>
              <w:pStyle w:val="ListParagraph"/>
              <w:keepNext/>
              <w:keepLines/>
              <w:numPr>
                <w:ilvl w:val="0"/>
                <w:numId w:val="78"/>
              </w:numPr>
              <w:ind w:left="357" w:hanging="357"/>
              <w:jc w:val="both"/>
              <w:rPr>
                <w:rFonts w:ascii="Arial" w:hAnsi="Arial" w:cs="Arial"/>
                <w:sz w:val="20"/>
              </w:rPr>
            </w:pPr>
            <w:r>
              <w:rPr>
                <w:rFonts w:ascii="Arial" w:hAnsi="Arial" w:cs="Arial"/>
                <w:sz w:val="20"/>
              </w:rPr>
              <w:t>The appellant need show no error by the trial judge/magistrate.</w:t>
            </w:r>
          </w:p>
          <w:p w14:paraId="731F1C10" w14:textId="3CE59153" w:rsidR="00B21DA4" w:rsidRPr="00F33A3F" w:rsidRDefault="00E60F08">
            <w:pPr>
              <w:pStyle w:val="ListParagraph"/>
              <w:keepNext/>
              <w:keepLines/>
              <w:numPr>
                <w:ilvl w:val="0"/>
                <w:numId w:val="78"/>
              </w:numPr>
              <w:ind w:left="357" w:hanging="357"/>
              <w:jc w:val="both"/>
              <w:rPr>
                <w:rFonts w:ascii="Arial" w:hAnsi="Arial" w:cs="Arial"/>
                <w:sz w:val="20"/>
              </w:rPr>
            </w:pPr>
            <w:r>
              <w:rPr>
                <w:rFonts w:ascii="Arial" w:hAnsi="Arial" w:cs="Arial"/>
                <w:sz w:val="20"/>
              </w:rPr>
              <w:t>The appeal proceeds by way of a rehearing, not by a determination of whether the orders made by the Children's Court should or should not have been made [see ss.426(1) &amp; 429(1)]</w:t>
            </w:r>
          </w:p>
        </w:tc>
      </w:tr>
      <w:tr w:rsidR="00AC5724" w14:paraId="343C3341" w14:textId="77777777" w:rsidTr="00147CF9">
        <w:tc>
          <w:tcPr>
            <w:tcW w:w="395" w:type="dxa"/>
            <w:tcBorders>
              <w:top w:val="single" w:sz="4" w:space="0" w:color="auto"/>
              <w:bottom w:val="single" w:sz="18" w:space="0" w:color="auto"/>
            </w:tcBorders>
          </w:tcPr>
          <w:p w14:paraId="71FAE1E9" w14:textId="4A9788A1" w:rsidR="00AC5724" w:rsidRDefault="00AC5724" w:rsidP="00147CF9">
            <w:pPr>
              <w:jc w:val="center"/>
              <w:rPr>
                <w:rFonts w:ascii="Arial" w:hAnsi="Arial" w:cs="Arial"/>
                <w:sz w:val="20"/>
              </w:rPr>
            </w:pPr>
            <w:r>
              <w:rPr>
                <w:rFonts w:ascii="Arial" w:hAnsi="Arial" w:cs="Arial"/>
                <w:sz w:val="20"/>
              </w:rPr>
              <w:t>5</w:t>
            </w:r>
          </w:p>
        </w:tc>
        <w:tc>
          <w:tcPr>
            <w:tcW w:w="1406" w:type="dxa"/>
            <w:tcBorders>
              <w:top w:val="single" w:sz="4" w:space="0" w:color="auto"/>
              <w:bottom w:val="single" w:sz="18" w:space="0" w:color="auto"/>
            </w:tcBorders>
          </w:tcPr>
          <w:p w14:paraId="40B9AD3E" w14:textId="75717780" w:rsidR="00AC5724" w:rsidRDefault="00AC5724" w:rsidP="00147CF9">
            <w:pPr>
              <w:jc w:val="center"/>
              <w:rPr>
                <w:rFonts w:ascii="Arial" w:hAnsi="Arial" w:cs="Arial"/>
                <w:sz w:val="20"/>
              </w:rPr>
            </w:pPr>
            <w:r>
              <w:rPr>
                <w:rFonts w:ascii="Arial" w:hAnsi="Arial" w:cs="Arial"/>
                <w:sz w:val="20"/>
              </w:rPr>
              <w:t>Intervention order appeal</w:t>
            </w:r>
          </w:p>
        </w:tc>
        <w:tc>
          <w:tcPr>
            <w:tcW w:w="7110" w:type="dxa"/>
            <w:tcBorders>
              <w:top w:val="single" w:sz="4" w:space="0" w:color="auto"/>
              <w:bottom w:val="single" w:sz="18" w:space="0" w:color="auto"/>
            </w:tcBorders>
          </w:tcPr>
          <w:p w14:paraId="2E37F845" w14:textId="5B528C8A" w:rsidR="00AC5724" w:rsidRDefault="00AC5724" w:rsidP="00147CF9">
            <w:pPr>
              <w:keepNext/>
              <w:keepLines/>
              <w:jc w:val="both"/>
              <w:rPr>
                <w:rFonts w:ascii="Arial" w:hAnsi="Arial" w:cs="Arial"/>
                <w:sz w:val="20"/>
              </w:rPr>
            </w:pPr>
            <w:r w:rsidRPr="00147CF9">
              <w:rPr>
                <w:rFonts w:ascii="Arial" w:hAnsi="Arial" w:cs="Arial"/>
                <w:iCs/>
                <w:sz w:val="20"/>
              </w:rPr>
              <w:t xml:space="preserve">A detailed discussion of </w:t>
            </w:r>
            <w:bookmarkStart w:id="1213" w:name="_Hlk89255537"/>
            <w:r w:rsidR="00147CF9" w:rsidRPr="00147CF9">
              <w:rPr>
                <w:rFonts w:ascii="Arial" w:hAnsi="Arial" w:cs="Arial"/>
                <w:sz w:val="20"/>
              </w:rPr>
              <w:t>ss.114-121 of the FVPA and ss.91-98 of the PSIA</w:t>
            </w:r>
            <w:r>
              <w:rPr>
                <w:rFonts w:ascii="Arial" w:hAnsi="Arial" w:cs="Arial"/>
                <w:iCs/>
                <w:sz w:val="20"/>
              </w:rPr>
              <w:t xml:space="preserve"> </w:t>
            </w:r>
            <w:bookmarkEnd w:id="1213"/>
            <w:r>
              <w:rPr>
                <w:rFonts w:ascii="Arial" w:hAnsi="Arial" w:cs="Arial"/>
                <w:iCs/>
                <w:sz w:val="20"/>
              </w:rPr>
              <w:t>relating to appeals against an order of the Family Division of the C</w:t>
            </w:r>
            <w:r w:rsidR="009D0ACC">
              <w:rPr>
                <w:rFonts w:ascii="Arial" w:hAnsi="Arial" w:cs="Arial"/>
                <w:iCs/>
                <w:sz w:val="20"/>
              </w:rPr>
              <w:t>h</w:t>
            </w:r>
            <w:r>
              <w:rPr>
                <w:rFonts w:ascii="Arial" w:hAnsi="Arial" w:cs="Arial"/>
                <w:iCs/>
                <w:sz w:val="20"/>
              </w:rPr>
              <w:t xml:space="preserve">CV making or refusing to make an intervention order is contained in </w:t>
            </w:r>
            <w:r w:rsidR="00AB747A" w:rsidRPr="00B43A11">
              <w:rPr>
                <w:rFonts w:ascii="Arial" w:hAnsi="Arial" w:cs="Arial"/>
                <w:b/>
                <w:bCs/>
                <w:iCs/>
                <w:sz w:val="20"/>
                <w:shd w:val="clear" w:color="auto" w:fill="C5E0B3" w:themeFill="accent6" w:themeFillTint="66"/>
              </w:rPr>
              <w:t>Part</w:t>
            </w:r>
            <w:r w:rsidRPr="00B43A11">
              <w:rPr>
                <w:rFonts w:ascii="Arial" w:hAnsi="Arial" w:cs="Arial"/>
                <w:b/>
                <w:bCs/>
                <w:iCs/>
                <w:sz w:val="20"/>
                <w:shd w:val="clear" w:color="auto" w:fill="C5E0B3" w:themeFill="accent6" w:themeFillTint="66"/>
              </w:rPr>
              <w:t xml:space="preserve"> 6.14</w:t>
            </w:r>
            <w:r>
              <w:rPr>
                <w:rFonts w:ascii="Arial" w:hAnsi="Arial" w:cs="Arial"/>
                <w:iCs/>
                <w:sz w:val="20"/>
              </w:rPr>
              <w:t xml:space="preserve"> of these Research Materials.</w:t>
            </w:r>
          </w:p>
        </w:tc>
      </w:tr>
    </w:tbl>
    <w:p w14:paraId="2A7318C7" w14:textId="77777777" w:rsidR="00987CA2" w:rsidRDefault="00987CA2" w:rsidP="00E60F08">
      <w:pPr>
        <w:jc w:val="both"/>
        <w:rPr>
          <w:rFonts w:ascii="Arial" w:hAnsi="Arial" w:cs="Arial"/>
          <w:iCs/>
          <w:sz w:val="20"/>
        </w:rPr>
      </w:pPr>
    </w:p>
    <w:p w14:paraId="57B7FDBD" w14:textId="6371A94D" w:rsidR="00E60F08" w:rsidRDefault="00E60F08" w:rsidP="00E60F08">
      <w:pPr>
        <w:jc w:val="both"/>
        <w:rPr>
          <w:rFonts w:ascii="Arial" w:hAnsi="Arial" w:cs="Arial"/>
          <w:sz w:val="20"/>
        </w:rPr>
      </w:pPr>
      <w:r w:rsidRPr="007E32F7">
        <w:rPr>
          <w:rFonts w:ascii="Arial" w:hAnsi="Arial" w:cs="Arial"/>
          <w:iCs/>
          <w:sz w:val="20"/>
        </w:rPr>
        <w:t>For</w:t>
      </w:r>
      <w:r>
        <w:rPr>
          <w:rFonts w:ascii="Arial" w:hAnsi="Arial" w:cs="Arial"/>
          <w:iCs/>
          <w:sz w:val="20"/>
        </w:rPr>
        <w:t xml:space="preserve"> an analysis of the nature of appeals by way of rehearing and a discussion of the procedure to be followed on such appeals, see </w:t>
      </w:r>
      <w:r>
        <w:rPr>
          <w:rFonts w:ascii="Arial" w:hAnsi="Arial" w:cs="Arial"/>
          <w:i/>
          <w:iCs/>
          <w:sz w:val="20"/>
        </w:rPr>
        <w:t>Neill v County Court of Victoria &amp; Anor.</w:t>
      </w:r>
      <w:r>
        <w:rPr>
          <w:rFonts w:ascii="Arial" w:hAnsi="Arial" w:cs="Arial"/>
          <w:sz w:val="20"/>
        </w:rPr>
        <w:t xml:space="preserve"> [2003] VSC 328 at [12]-[14]</w:t>
      </w:r>
      <w:r>
        <w:rPr>
          <w:rFonts w:ascii="Arial" w:hAnsi="Arial" w:cs="Arial"/>
          <w:iCs/>
          <w:sz w:val="20"/>
        </w:rPr>
        <w:t xml:space="preserve"> per Redlich J; </w:t>
      </w:r>
      <w:r w:rsidRPr="00A7661E">
        <w:rPr>
          <w:rFonts w:ascii="Arial" w:hAnsi="Arial" w:cs="Arial"/>
          <w:i/>
          <w:iCs/>
          <w:sz w:val="20"/>
        </w:rPr>
        <w:t>H v R &amp; Ors</w:t>
      </w:r>
      <w:r>
        <w:rPr>
          <w:rFonts w:ascii="Arial" w:hAnsi="Arial" w:cs="Arial"/>
          <w:iCs/>
          <w:sz w:val="20"/>
        </w:rPr>
        <w:t xml:space="preserve"> [2008] VSC 369 at [9]-[10] per Forrest J citing </w:t>
      </w:r>
      <w:r w:rsidRPr="00A7661E">
        <w:rPr>
          <w:rFonts w:ascii="Arial" w:hAnsi="Arial" w:cs="Arial"/>
          <w:i/>
          <w:iCs/>
          <w:sz w:val="20"/>
        </w:rPr>
        <w:t>Humphries v Poljak</w:t>
      </w:r>
      <w:r>
        <w:rPr>
          <w:rFonts w:ascii="Arial" w:hAnsi="Arial" w:cs="Arial"/>
          <w:iCs/>
          <w:sz w:val="20"/>
        </w:rPr>
        <w:t xml:space="preserve"> </w:t>
      </w:r>
      <w:r w:rsidRPr="00A7661E">
        <w:rPr>
          <w:rFonts w:ascii="Arial" w:hAnsi="Arial" w:cs="Arial"/>
          <w:sz w:val="20"/>
        </w:rPr>
        <w:t>(1992) 2 VR 129, 139</w:t>
      </w:r>
      <w:r>
        <w:rPr>
          <w:rFonts w:ascii="Arial" w:hAnsi="Arial" w:cs="Arial"/>
          <w:iCs/>
          <w:sz w:val="20"/>
        </w:rPr>
        <w:t xml:space="preserve"> per Crockett &amp; Southwell JJ.</w:t>
      </w:r>
    </w:p>
    <w:p w14:paraId="0D7425D5" w14:textId="77777777" w:rsidR="00E60F08" w:rsidRDefault="00E60F08" w:rsidP="00E60F08">
      <w:pPr>
        <w:jc w:val="both"/>
        <w:rPr>
          <w:rFonts w:ascii="Arial" w:hAnsi="Arial" w:cs="Arial"/>
          <w:sz w:val="20"/>
        </w:rPr>
      </w:pPr>
    </w:p>
    <w:p w14:paraId="2E43D1FB" w14:textId="3D4687F5" w:rsidR="00C37535" w:rsidRDefault="006C7065" w:rsidP="00E60F08">
      <w:pPr>
        <w:jc w:val="both"/>
        <w:rPr>
          <w:rFonts w:ascii="Arial" w:hAnsi="Arial" w:cs="Arial"/>
          <w:sz w:val="20"/>
        </w:rPr>
      </w:pPr>
      <w:r>
        <w:rPr>
          <w:rFonts w:ascii="Arial" w:hAnsi="Arial" w:cs="Arial"/>
          <w:sz w:val="20"/>
        </w:rPr>
        <w:t xml:space="preserve">In cases where the appellant is seeking to overturn the exercise of a judicial discretion or to overturn an interlocutory decision there is a greater burden on the appellant. These two circumstances coalesced in the case of </w:t>
      </w:r>
      <w:r w:rsidRPr="006C7065">
        <w:rPr>
          <w:rFonts w:ascii="Arial" w:hAnsi="Arial" w:cs="Arial"/>
          <w:i/>
          <w:iCs/>
          <w:sz w:val="20"/>
        </w:rPr>
        <w:t>Mulvaney v Hive &amp; Wellness Australia Pty Ltd &amp; Anor</w:t>
      </w:r>
      <w:r>
        <w:rPr>
          <w:rFonts w:ascii="Arial" w:hAnsi="Arial" w:cs="Arial"/>
          <w:sz w:val="20"/>
        </w:rPr>
        <w:t xml:space="preserve"> [2019] VSCA 122 where the Court of Appeal refused an </w:t>
      </w:r>
      <w:r w:rsidR="003839C8">
        <w:rPr>
          <w:rFonts w:ascii="Arial" w:hAnsi="Arial" w:cs="Arial"/>
          <w:sz w:val="20"/>
        </w:rPr>
        <w:t xml:space="preserve">application by Mulvaney for leave to </w:t>
      </w:r>
      <w:r w:rsidR="003839C8" w:rsidRPr="003839C8">
        <w:rPr>
          <w:rFonts w:ascii="Arial" w:hAnsi="Arial" w:cs="Arial"/>
          <w:sz w:val="20"/>
        </w:rPr>
        <w:t xml:space="preserve">appeal from </w:t>
      </w:r>
      <w:r w:rsidR="003839C8">
        <w:rPr>
          <w:rFonts w:ascii="Arial" w:hAnsi="Arial" w:cs="Arial"/>
          <w:sz w:val="20"/>
        </w:rPr>
        <w:t>a</w:t>
      </w:r>
      <w:r w:rsidR="00CB75A1">
        <w:rPr>
          <w:rFonts w:ascii="Arial" w:hAnsi="Arial" w:cs="Arial"/>
          <w:sz w:val="20"/>
        </w:rPr>
        <w:t xml:space="preserve"> </w:t>
      </w:r>
      <w:r w:rsidR="003839C8">
        <w:rPr>
          <w:rFonts w:ascii="Arial" w:hAnsi="Arial" w:cs="Arial"/>
          <w:sz w:val="20"/>
        </w:rPr>
        <w:t xml:space="preserve">decision of </w:t>
      </w:r>
      <w:r w:rsidR="003839C8" w:rsidRPr="003839C8">
        <w:rPr>
          <w:rFonts w:ascii="Arial" w:hAnsi="Arial" w:cs="Arial"/>
          <w:sz w:val="20"/>
        </w:rPr>
        <w:t>John Dixon J</w:t>
      </w:r>
      <w:r w:rsidR="003839C8">
        <w:rPr>
          <w:rFonts w:ascii="Arial" w:hAnsi="Arial" w:cs="Arial"/>
          <w:sz w:val="20"/>
        </w:rPr>
        <w:t xml:space="preserve"> refusing an interlocutory application to vary an interlocutory injunction</w:t>
      </w:r>
      <w:r w:rsidR="003839C8" w:rsidRPr="003839C8">
        <w:rPr>
          <w:rFonts w:ascii="Arial" w:hAnsi="Arial" w:cs="Arial"/>
          <w:sz w:val="20"/>
        </w:rPr>
        <w:t>.</w:t>
      </w:r>
      <w:r w:rsidR="003839C8">
        <w:rPr>
          <w:rFonts w:ascii="Arial" w:hAnsi="Arial" w:cs="Arial"/>
          <w:sz w:val="20"/>
        </w:rPr>
        <w:t xml:space="preserve"> At [48]-[</w:t>
      </w:r>
      <w:r w:rsidR="00CB75A1">
        <w:rPr>
          <w:rFonts w:ascii="Arial" w:hAnsi="Arial" w:cs="Arial"/>
          <w:sz w:val="20"/>
        </w:rPr>
        <w:t>52</w:t>
      </w:r>
      <w:r w:rsidR="003839C8">
        <w:rPr>
          <w:rFonts w:ascii="Arial" w:hAnsi="Arial" w:cs="Arial"/>
          <w:sz w:val="20"/>
        </w:rPr>
        <w:t xml:space="preserve">] Kyrou &amp; Emerton JJA and </w:t>
      </w:r>
      <w:proofErr w:type="spellStart"/>
      <w:r w:rsidR="003839C8">
        <w:rPr>
          <w:rFonts w:ascii="Arial" w:hAnsi="Arial" w:cs="Arial"/>
          <w:sz w:val="20"/>
        </w:rPr>
        <w:t>Sifris</w:t>
      </w:r>
      <w:proofErr w:type="spellEnd"/>
      <w:r w:rsidR="003839C8">
        <w:rPr>
          <w:rFonts w:ascii="Arial" w:hAnsi="Arial" w:cs="Arial"/>
          <w:sz w:val="20"/>
        </w:rPr>
        <w:t xml:space="preserve"> </w:t>
      </w:r>
      <w:r w:rsidR="00FF5C66">
        <w:rPr>
          <w:rFonts w:ascii="Arial" w:hAnsi="Arial" w:cs="Arial"/>
          <w:sz w:val="20"/>
        </w:rPr>
        <w:t>AJA</w:t>
      </w:r>
      <w:r w:rsidR="003839C8">
        <w:rPr>
          <w:rFonts w:ascii="Arial" w:hAnsi="Arial" w:cs="Arial"/>
          <w:sz w:val="20"/>
        </w:rPr>
        <w:t xml:space="preserve"> – under the heading “</w:t>
      </w:r>
      <w:r w:rsidR="003839C8" w:rsidRPr="00CB75A1">
        <w:rPr>
          <w:rFonts w:ascii="Arial" w:hAnsi="Arial" w:cs="Arial"/>
          <w:i/>
          <w:iCs/>
          <w:sz w:val="20"/>
        </w:rPr>
        <w:t>Nature of application – relevant principles</w:t>
      </w:r>
      <w:r w:rsidR="003839C8">
        <w:rPr>
          <w:rFonts w:ascii="Arial" w:hAnsi="Arial" w:cs="Arial"/>
          <w:sz w:val="20"/>
        </w:rPr>
        <w:t>” – said:</w:t>
      </w:r>
    </w:p>
    <w:p w14:paraId="22032945" w14:textId="0B1C097C" w:rsidR="003839C8" w:rsidRDefault="003839C8" w:rsidP="003839C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[48] “There are two relevant principles that require this Court to proceed with caution.</w:t>
      </w:r>
    </w:p>
    <w:p w14:paraId="3B914DF7" w14:textId="49518673" w:rsidR="003839C8" w:rsidRDefault="003839C8" w:rsidP="003839C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[49] First, the decision of the judge involve the exercise of a discretion. Accordingly, the </w:t>
      </w:r>
      <w:r w:rsidRPr="00C37535">
        <w:rPr>
          <w:rFonts w:ascii="Arial" w:hAnsi="Arial" w:cs="Arial"/>
          <w:sz w:val="20"/>
        </w:rPr>
        <w:t xml:space="preserve">applicant is required to overcome the threshold requirements set out in </w:t>
      </w:r>
      <w:r w:rsidRPr="003839C8">
        <w:rPr>
          <w:rFonts w:ascii="Arial" w:hAnsi="Arial" w:cs="Arial"/>
          <w:i/>
          <w:iCs/>
          <w:sz w:val="20"/>
        </w:rPr>
        <w:t>House v The King</w:t>
      </w:r>
      <w:r w:rsidRPr="00C37535">
        <w:rPr>
          <w:rFonts w:ascii="Arial" w:hAnsi="Arial" w:cs="Arial"/>
          <w:sz w:val="20"/>
        </w:rPr>
        <w:t xml:space="preserve"> (1936) 55 CLR 499.</w:t>
      </w:r>
    </w:p>
    <w:p w14:paraId="2998B99F" w14:textId="5EEA7186" w:rsidR="003839C8" w:rsidRDefault="003839C8" w:rsidP="003839C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[50] </w:t>
      </w:r>
      <w:r w:rsidR="000B14E2">
        <w:rPr>
          <w:rFonts w:ascii="Arial" w:hAnsi="Arial" w:cs="Arial"/>
          <w:sz w:val="20"/>
        </w:rPr>
        <w:t xml:space="preserve">In </w:t>
      </w:r>
      <w:r w:rsidR="000B14E2" w:rsidRPr="000B14E2">
        <w:rPr>
          <w:rFonts w:ascii="Arial" w:hAnsi="Arial" w:cs="Arial"/>
          <w:i/>
          <w:iCs/>
          <w:sz w:val="20"/>
        </w:rPr>
        <w:t>House v The King</w:t>
      </w:r>
      <w:r w:rsidR="000B14E2">
        <w:rPr>
          <w:rFonts w:ascii="Arial" w:hAnsi="Arial" w:cs="Arial"/>
          <w:sz w:val="20"/>
        </w:rPr>
        <w:t xml:space="preserve"> the High Court said at 504-5:</w:t>
      </w:r>
    </w:p>
    <w:p w14:paraId="67FA2A52" w14:textId="30F40C29" w:rsidR="006C7065" w:rsidRPr="000B14E2" w:rsidRDefault="000B14E2" w:rsidP="000B14E2">
      <w:pPr>
        <w:spacing w:before="60"/>
        <w:ind w:left="907" w:right="907"/>
        <w:jc w:val="both"/>
        <w:rPr>
          <w:rFonts w:ascii="Arial" w:hAnsi="Arial" w:cs="Arial"/>
          <w:sz w:val="18"/>
          <w:szCs w:val="22"/>
        </w:rPr>
      </w:pPr>
      <w:r w:rsidRPr="000B14E2">
        <w:rPr>
          <w:rFonts w:ascii="Arial" w:hAnsi="Arial" w:cs="Arial"/>
          <w:sz w:val="18"/>
          <w:szCs w:val="22"/>
        </w:rPr>
        <w:t>The manner in which an appeal against an exercise of discretion should be determined is governed by established principles. It is not enough that the judges composing the appellate court consider that, if they had been in the position of the primary judge, they would have taken a different course. It must appear that some error has been made in exercising the discretion. If the judge acts upon a wrong principle, if he allows extraneous or irrelevant matters to guide or affect him, if he mistakes the facts, if he does not take into account some material consideration, then his determination should be reviewed and the appellate court may exercise its own discretion in substitution for his if it has the materials for doing so. It may not appear how the primary judge has reached the result embodied in his order, but, if upon the facts it is unreasonable or plainly unjust, the appellate court may infer that in some way there has been a failure properly to exercise the discretion which the law reposes in the court of first instance. In such a case, although the nature of the error may not be discoverable, the exercise of the discretion is reviewed on the ground that a substantial wrong has in fact occurred.</w:t>
      </w:r>
    </w:p>
    <w:p w14:paraId="6AD66EDA" w14:textId="3C082E17" w:rsidR="000B14E2" w:rsidRDefault="000B14E2" w:rsidP="000B14E2">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[51] </w:t>
      </w:r>
      <w:r w:rsidRPr="00C37535">
        <w:rPr>
          <w:rFonts w:ascii="Arial" w:hAnsi="Arial" w:cs="Arial"/>
          <w:sz w:val="20"/>
        </w:rPr>
        <w:t xml:space="preserve">In the recent decision of </w:t>
      </w:r>
      <w:r w:rsidRPr="000B14E2">
        <w:rPr>
          <w:rFonts w:ascii="Arial" w:hAnsi="Arial" w:cs="Arial"/>
          <w:i/>
          <w:iCs/>
          <w:sz w:val="20"/>
        </w:rPr>
        <w:t>Charan v Nationwide News Pty Ltd</w:t>
      </w:r>
      <w:r>
        <w:rPr>
          <w:rFonts w:ascii="Arial" w:hAnsi="Arial" w:cs="Arial"/>
          <w:sz w:val="20"/>
        </w:rPr>
        <w:t xml:space="preserve"> [2019] VSCA 36 (Beach, Niall &amp; Ashley JJA),</w:t>
      </w:r>
      <w:r w:rsidRPr="00C37535">
        <w:rPr>
          <w:rFonts w:ascii="Arial" w:hAnsi="Arial" w:cs="Arial"/>
          <w:sz w:val="20"/>
        </w:rPr>
        <w:t xml:space="preserve"> this Court refused leave to appeal a discretionary decision of the trial judge in relation to costs. The Court said </w:t>
      </w:r>
      <w:r>
        <w:rPr>
          <w:rFonts w:ascii="Arial" w:hAnsi="Arial" w:cs="Arial"/>
          <w:sz w:val="20"/>
        </w:rPr>
        <w:t xml:space="preserve">at [244] </w:t>
      </w:r>
      <w:r w:rsidRPr="00C37535">
        <w:rPr>
          <w:rFonts w:ascii="Arial" w:hAnsi="Arial" w:cs="Arial"/>
          <w:sz w:val="20"/>
        </w:rPr>
        <w:t>that ‘[s]</w:t>
      </w:r>
      <w:proofErr w:type="spellStart"/>
      <w:r w:rsidRPr="00C37535">
        <w:rPr>
          <w:rFonts w:ascii="Arial" w:hAnsi="Arial" w:cs="Arial"/>
          <w:sz w:val="20"/>
        </w:rPr>
        <w:t>uch</w:t>
      </w:r>
      <w:proofErr w:type="spellEnd"/>
      <w:r w:rsidRPr="00C37535">
        <w:rPr>
          <w:rFonts w:ascii="Arial" w:hAnsi="Arial" w:cs="Arial"/>
          <w:sz w:val="20"/>
        </w:rPr>
        <w:t xml:space="preserve"> a challenge can only succeed if the decision is infected with </w:t>
      </w:r>
      <w:r w:rsidRPr="000B14E2">
        <w:rPr>
          <w:rFonts w:ascii="Arial" w:hAnsi="Arial" w:cs="Arial"/>
          <w:i/>
          <w:iCs/>
          <w:sz w:val="20"/>
        </w:rPr>
        <w:t>House v The King</w:t>
      </w:r>
      <w:r w:rsidRPr="00C37535">
        <w:rPr>
          <w:rFonts w:ascii="Arial" w:hAnsi="Arial" w:cs="Arial"/>
          <w:sz w:val="20"/>
        </w:rPr>
        <w:t xml:space="preserve"> error’. The Court held that in relation to various matters it could not be said that ‘the mis-weighting was so great as to constitute a failure to bring matters to account at all’ which would give rise to an error within the principles of </w:t>
      </w:r>
      <w:r w:rsidRPr="00FF5C66">
        <w:rPr>
          <w:rFonts w:ascii="Arial" w:hAnsi="Arial" w:cs="Arial"/>
          <w:i/>
          <w:iCs/>
          <w:sz w:val="20"/>
        </w:rPr>
        <w:t>House v The King</w:t>
      </w:r>
      <w:r w:rsidRPr="00C37535">
        <w:rPr>
          <w:rFonts w:ascii="Arial" w:hAnsi="Arial" w:cs="Arial"/>
          <w:sz w:val="20"/>
        </w:rPr>
        <w:t xml:space="preserve">. </w:t>
      </w:r>
      <w:r>
        <w:rPr>
          <w:rFonts w:ascii="Arial" w:hAnsi="Arial" w:cs="Arial"/>
          <w:sz w:val="20"/>
        </w:rPr>
        <w:t xml:space="preserve">By contrast, in </w:t>
      </w:r>
      <w:r w:rsidRPr="000B14E2">
        <w:rPr>
          <w:rFonts w:ascii="Arial" w:hAnsi="Arial" w:cs="Arial"/>
          <w:i/>
          <w:iCs/>
          <w:sz w:val="20"/>
        </w:rPr>
        <w:t>Trailer Trash Franchise Systems Pty Ltd v GM Fascia &amp; Gutter Pty Ltd</w:t>
      </w:r>
      <w:r>
        <w:rPr>
          <w:rFonts w:ascii="Arial" w:hAnsi="Arial" w:cs="Arial"/>
          <w:sz w:val="20"/>
        </w:rPr>
        <w:t xml:space="preserve"> [2017] VSCA 293, the use of the wrong method of calculating costs was held (Tate &amp; Kyrou JJA) to fall within the principles of House v The King so as to justify appellate intervention.</w:t>
      </w:r>
    </w:p>
    <w:p w14:paraId="5851195B" w14:textId="425FAE58" w:rsidR="000B14E2" w:rsidRDefault="000B14E2" w:rsidP="000B14E2">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[52] </w:t>
      </w:r>
      <w:r w:rsidRPr="00C37535">
        <w:rPr>
          <w:rFonts w:ascii="Arial" w:hAnsi="Arial" w:cs="Arial"/>
          <w:sz w:val="20"/>
        </w:rPr>
        <w:t xml:space="preserve">Second, the decision of the judge is interlocutory. In </w:t>
      </w:r>
      <w:r w:rsidRPr="000B14E2">
        <w:rPr>
          <w:rFonts w:ascii="Arial" w:hAnsi="Arial" w:cs="Arial"/>
          <w:i/>
          <w:iCs/>
          <w:sz w:val="20"/>
        </w:rPr>
        <w:t>Cargill Australia Ltd v Viterra Malt Pty Ltd</w:t>
      </w:r>
      <w:r>
        <w:rPr>
          <w:rFonts w:ascii="Arial" w:hAnsi="Arial" w:cs="Arial"/>
          <w:sz w:val="20"/>
        </w:rPr>
        <w:t xml:space="preserve"> [2018] VSCA 260</w:t>
      </w:r>
      <w:r w:rsidRPr="00C37535">
        <w:rPr>
          <w:rFonts w:ascii="Arial" w:hAnsi="Arial" w:cs="Arial"/>
          <w:sz w:val="20"/>
        </w:rPr>
        <w:t xml:space="preserve"> the majority (Kyrou and McLeish JJA, Whelan JA dissenting) held</w:t>
      </w:r>
      <w:r>
        <w:rPr>
          <w:rFonts w:ascii="Arial" w:hAnsi="Arial" w:cs="Arial"/>
          <w:sz w:val="20"/>
        </w:rPr>
        <w:t xml:space="preserve"> at [113]</w:t>
      </w:r>
      <w:r w:rsidRPr="00C37535">
        <w:rPr>
          <w:rFonts w:ascii="Arial" w:hAnsi="Arial" w:cs="Arial"/>
          <w:sz w:val="20"/>
        </w:rPr>
        <w:t>:</w:t>
      </w:r>
    </w:p>
    <w:p w14:paraId="7F000F87" w14:textId="5EDC985A" w:rsidR="000B14E2" w:rsidRPr="000B14E2" w:rsidRDefault="000B14E2" w:rsidP="000B14E2">
      <w:pPr>
        <w:spacing w:before="60"/>
        <w:ind w:left="907" w:right="907"/>
        <w:jc w:val="both"/>
        <w:rPr>
          <w:rFonts w:ascii="Arial" w:hAnsi="Arial" w:cs="Arial"/>
          <w:sz w:val="16"/>
          <w:szCs w:val="20"/>
        </w:rPr>
      </w:pPr>
      <w:r w:rsidRPr="000B14E2">
        <w:rPr>
          <w:rFonts w:ascii="Arial" w:hAnsi="Arial" w:cs="Arial"/>
          <w:sz w:val="18"/>
          <w:szCs w:val="22"/>
        </w:rPr>
        <w:t>The fact that an order in respect of which leave to appeal is sought is an interlocutory order regarding a matter of practice and procedure is a significant consideration bearing upon the exercise of the residual discretion.</w:t>
      </w:r>
    </w:p>
    <w:p w14:paraId="703DE37C" w14:textId="5704D57F" w:rsidR="000B14E2" w:rsidRDefault="000B14E2" w:rsidP="000B14E2">
      <w:pPr>
        <w:pStyle w:val="NormalWeb"/>
        <w:shd w:val="clear" w:color="auto" w:fill="FFFFFF"/>
        <w:spacing w:before="60" w:beforeAutospacing="0" w:after="0" w:afterAutospacing="0"/>
        <w:ind w:left="454" w:right="454"/>
        <w:jc w:val="both"/>
        <w:rPr>
          <w:rFonts w:ascii="Arial" w:hAnsi="Arial" w:cs="Arial"/>
          <w:sz w:val="20"/>
        </w:rPr>
      </w:pPr>
      <w:r w:rsidRPr="00C37535">
        <w:rPr>
          <w:rFonts w:ascii="Arial" w:hAnsi="Arial" w:cs="Arial"/>
          <w:sz w:val="20"/>
        </w:rPr>
        <w:t xml:space="preserve">In </w:t>
      </w:r>
      <w:proofErr w:type="spellStart"/>
      <w:r w:rsidRPr="000B14E2">
        <w:rPr>
          <w:rFonts w:ascii="Arial" w:hAnsi="Arial" w:cs="Arial"/>
          <w:i/>
          <w:iCs/>
          <w:sz w:val="20"/>
        </w:rPr>
        <w:t>Bodycorp</w:t>
      </w:r>
      <w:proofErr w:type="spellEnd"/>
      <w:r w:rsidRPr="000B14E2">
        <w:rPr>
          <w:rFonts w:ascii="Arial" w:hAnsi="Arial" w:cs="Arial"/>
          <w:i/>
          <w:iCs/>
          <w:sz w:val="20"/>
        </w:rPr>
        <w:t xml:space="preserve"> Repairers Pty Ltd v GDG Legal Pty Ltd</w:t>
      </w:r>
      <w:r w:rsidRPr="00C37535">
        <w:rPr>
          <w:rFonts w:ascii="Arial" w:hAnsi="Arial" w:cs="Arial"/>
          <w:sz w:val="20"/>
        </w:rPr>
        <w:t>, this Court set out the governing principles as follows:</w:t>
      </w:r>
    </w:p>
    <w:p w14:paraId="19B4E293" w14:textId="57CF62A4" w:rsidR="000B14E2" w:rsidRPr="000B14E2" w:rsidRDefault="000B14E2" w:rsidP="000B14E2">
      <w:pPr>
        <w:spacing w:before="60"/>
        <w:ind w:left="907" w:right="907"/>
        <w:jc w:val="both"/>
        <w:rPr>
          <w:rFonts w:ascii="Arial" w:hAnsi="Arial" w:cs="Arial"/>
          <w:sz w:val="16"/>
          <w:szCs w:val="20"/>
        </w:rPr>
      </w:pPr>
      <w:r w:rsidRPr="000B14E2">
        <w:rPr>
          <w:rFonts w:ascii="Arial" w:hAnsi="Arial" w:cs="Arial"/>
          <w:sz w:val="18"/>
          <w:szCs w:val="22"/>
        </w:rPr>
        <w:t>While the old distinction between interlocutory and final orders no longer exists, the principles which underlay the former requirement for leave whenever a party sought to appeal an interlocutory order to continue to be potentially relevant. In particular, it is most important for the proper administration of justice that this Court keep a ‘tight rein’ upon interference with interlocutory orders at first instance, given the potential consequences of a failure to do so in terms of delay and increased cost, and given the potential for applications in relation to interlocutory orders to become a means whereby discretionary judgments in the trial division are in effect transferred to the Court of Appeal. That is especially so where, as here, there has already been a rehearing de novo of a decision made by a judicial registrar of this Court.</w:t>
      </w:r>
    </w:p>
    <w:p w14:paraId="6C888D67" w14:textId="609DC309" w:rsidR="00CB75A1" w:rsidRDefault="00CB75A1" w:rsidP="00CB75A1">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[53] After </w:t>
      </w:r>
      <w:r w:rsidRPr="00C37535">
        <w:rPr>
          <w:rFonts w:ascii="Arial" w:hAnsi="Arial" w:cs="Arial"/>
          <w:sz w:val="20"/>
        </w:rPr>
        <w:t>referring to the requirement that leave to appeal will only be granted if the Court of Appeal is satisfied that there is a real prospect of success</w:t>
      </w:r>
      <w:r>
        <w:rPr>
          <w:rFonts w:ascii="Arial" w:hAnsi="Arial" w:cs="Arial"/>
          <w:sz w:val="20"/>
        </w:rPr>
        <w:t xml:space="preserve"> (</w:t>
      </w:r>
      <w:r w:rsidRPr="00772086">
        <w:rPr>
          <w:rFonts w:ascii="Arial" w:hAnsi="Arial" w:cs="Arial"/>
          <w:i/>
          <w:iCs/>
          <w:sz w:val="20"/>
        </w:rPr>
        <w:t>Supreme Court Act 1986</w:t>
      </w:r>
      <w:r>
        <w:rPr>
          <w:rFonts w:ascii="Arial" w:hAnsi="Arial" w:cs="Arial"/>
          <w:sz w:val="20"/>
        </w:rPr>
        <w:t xml:space="preserve"> s 14C)</w:t>
      </w:r>
      <w:r w:rsidRPr="00C37535">
        <w:rPr>
          <w:rFonts w:ascii="Arial" w:hAnsi="Arial" w:cs="Arial"/>
          <w:sz w:val="20"/>
        </w:rPr>
        <w:t>, Kyrou and McLeish JJA held that the Court has a ‘residual discretion to refuse leave, even in those cases where the appeal has a real prospect of success’</w:t>
      </w:r>
      <w:r>
        <w:rPr>
          <w:rFonts w:ascii="Arial" w:hAnsi="Arial" w:cs="Arial"/>
          <w:sz w:val="20"/>
        </w:rPr>
        <w:t xml:space="preserve">: </w:t>
      </w:r>
      <w:r w:rsidRPr="006E2BAE">
        <w:rPr>
          <w:rFonts w:ascii="Arial" w:hAnsi="Arial" w:cs="Arial"/>
          <w:i/>
          <w:iCs/>
          <w:sz w:val="20"/>
        </w:rPr>
        <w:t>Cargill</w:t>
      </w:r>
      <w:r>
        <w:rPr>
          <w:rFonts w:ascii="Arial" w:hAnsi="Arial" w:cs="Arial"/>
          <w:sz w:val="20"/>
        </w:rPr>
        <w:t xml:space="preserve"> [2018] VSCA 260 [110]</w:t>
      </w:r>
      <w:r w:rsidRPr="00C37535">
        <w:rPr>
          <w:rFonts w:ascii="Arial" w:hAnsi="Arial" w:cs="Arial"/>
          <w:sz w:val="20"/>
        </w:rPr>
        <w:t xml:space="preserve">. Their Honours went on to say that ‘there may be cases where no substantial injustice will be </w:t>
      </w:r>
      <w:r w:rsidRPr="00C37535">
        <w:rPr>
          <w:rFonts w:ascii="Arial" w:hAnsi="Arial" w:cs="Arial"/>
          <w:sz w:val="20"/>
        </w:rPr>
        <w:lastRenderedPageBreak/>
        <w:t>done if the decision stands, especially when the appeal is from an order as to practice and procedure’.</w:t>
      </w:r>
    </w:p>
    <w:p w14:paraId="1160D84B" w14:textId="3ACE046C" w:rsidR="00CB75A1" w:rsidRDefault="00CB75A1" w:rsidP="00CB75A1">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[54] </w:t>
      </w:r>
      <w:r w:rsidR="00C37535" w:rsidRPr="00C37535">
        <w:rPr>
          <w:rFonts w:ascii="Arial" w:hAnsi="Arial" w:cs="Arial"/>
          <w:sz w:val="20"/>
        </w:rPr>
        <w:t>In relation to substantial injustice, Kyrou and McLeish JJA said</w:t>
      </w:r>
      <w:r w:rsidR="00772086">
        <w:rPr>
          <w:rFonts w:ascii="Arial" w:hAnsi="Arial" w:cs="Arial"/>
          <w:sz w:val="20"/>
        </w:rPr>
        <w:t xml:space="preserve"> at [111]-[112]</w:t>
      </w:r>
      <w:r w:rsidR="00C37535" w:rsidRPr="00C37535">
        <w:rPr>
          <w:rFonts w:ascii="Arial" w:hAnsi="Arial" w:cs="Arial"/>
          <w:sz w:val="20"/>
        </w:rPr>
        <w:t>:</w:t>
      </w:r>
    </w:p>
    <w:p w14:paraId="180BDBC3" w14:textId="77777777" w:rsidR="00CB75A1" w:rsidRPr="00CB75A1" w:rsidRDefault="00C37535" w:rsidP="00CB75A1">
      <w:pPr>
        <w:spacing w:before="60"/>
        <w:ind w:left="907" w:right="907"/>
        <w:jc w:val="both"/>
        <w:rPr>
          <w:rFonts w:ascii="Arial" w:hAnsi="Arial" w:cs="Arial"/>
          <w:sz w:val="14"/>
          <w:szCs w:val="18"/>
        </w:rPr>
      </w:pPr>
      <w:r w:rsidRPr="00CB75A1">
        <w:rPr>
          <w:rFonts w:ascii="Arial" w:hAnsi="Arial" w:cs="Arial"/>
          <w:sz w:val="18"/>
          <w:szCs w:val="22"/>
        </w:rPr>
        <w:t xml:space="preserve">There is no separate requirement under s 14C [of the </w:t>
      </w:r>
      <w:r w:rsidRPr="00CB75A1">
        <w:rPr>
          <w:rFonts w:ascii="Arial" w:hAnsi="Arial" w:cs="Arial"/>
          <w:i/>
          <w:iCs/>
          <w:sz w:val="18"/>
          <w:szCs w:val="22"/>
        </w:rPr>
        <w:t>Supreme Court Act 1986</w:t>
      </w:r>
      <w:r w:rsidRPr="00CB75A1">
        <w:rPr>
          <w:rFonts w:ascii="Arial" w:hAnsi="Arial" w:cs="Arial"/>
          <w:sz w:val="18"/>
          <w:szCs w:val="22"/>
        </w:rPr>
        <w:t xml:space="preserve">] that ‘substantial injustice’ be established if the decision sought to be appealed were to stand. The distinction is between those appeals whose prospects are real and those whose prospects are fanciful. At the same time, the concept of substantial injustice may be useful in determining whether the residual discretion should be exercised. Observations regarding substantial injustice made by this Court in </w:t>
      </w:r>
      <w:r w:rsidRPr="00CB75A1">
        <w:rPr>
          <w:rFonts w:ascii="Arial" w:hAnsi="Arial" w:cs="Arial"/>
          <w:i/>
          <w:iCs/>
          <w:sz w:val="18"/>
          <w:szCs w:val="22"/>
        </w:rPr>
        <w:t>Swan Hill Chemicals Pty Ltd v MA &amp; J Tripodi Pty Ltd</w:t>
      </w:r>
      <w:r w:rsidRPr="00CB75A1">
        <w:rPr>
          <w:rFonts w:ascii="Arial" w:hAnsi="Arial" w:cs="Arial"/>
          <w:sz w:val="18"/>
          <w:szCs w:val="22"/>
        </w:rPr>
        <w:t xml:space="preserve"> must be understood in the light of the requirements of s 14C as explained above.</w:t>
      </w:r>
    </w:p>
    <w:p w14:paraId="454FBEFE" w14:textId="0D773E81" w:rsidR="00CB75A1" w:rsidRDefault="00C37535" w:rsidP="00CB75A1">
      <w:pPr>
        <w:pStyle w:val="NormalWeb"/>
        <w:shd w:val="clear" w:color="auto" w:fill="FFFFFF"/>
        <w:spacing w:before="60" w:beforeAutospacing="0" w:after="0" w:afterAutospacing="0"/>
        <w:ind w:left="454" w:right="454"/>
        <w:jc w:val="both"/>
        <w:rPr>
          <w:rFonts w:ascii="Arial" w:hAnsi="Arial" w:cs="Arial"/>
          <w:sz w:val="20"/>
        </w:rPr>
      </w:pPr>
      <w:r w:rsidRPr="00C37535">
        <w:rPr>
          <w:rFonts w:ascii="Arial" w:hAnsi="Arial" w:cs="Arial"/>
          <w:sz w:val="20"/>
        </w:rPr>
        <w:t xml:space="preserve">This Court held in </w:t>
      </w:r>
      <w:r w:rsidRPr="00CB75A1">
        <w:rPr>
          <w:rFonts w:ascii="Arial" w:hAnsi="Arial" w:cs="Arial"/>
          <w:i/>
          <w:iCs/>
          <w:sz w:val="20"/>
        </w:rPr>
        <w:t>Molonglo Group (Australia) Pty Ltd v Cahill</w:t>
      </w:r>
      <w:r w:rsidRPr="00C37535">
        <w:rPr>
          <w:rFonts w:ascii="Arial" w:hAnsi="Arial" w:cs="Arial"/>
          <w:sz w:val="20"/>
        </w:rPr>
        <w:t xml:space="preserve"> as follows:</w:t>
      </w:r>
    </w:p>
    <w:p w14:paraId="3BEBFCD0" w14:textId="77777777" w:rsidR="00CB75A1" w:rsidRPr="00CB75A1" w:rsidRDefault="00C37535" w:rsidP="00CB75A1">
      <w:pPr>
        <w:spacing w:before="60"/>
        <w:ind w:left="907" w:right="907"/>
        <w:jc w:val="both"/>
        <w:rPr>
          <w:rFonts w:ascii="Arial" w:hAnsi="Arial" w:cs="Arial"/>
          <w:sz w:val="12"/>
          <w:szCs w:val="16"/>
        </w:rPr>
      </w:pPr>
      <w:r w:rsidRPr="00CB75A1">
        <w:rPr>
          <w:rFonts w:ascii="Arial" w:hAnsi="Arial" w:cs="Arial"/>
          <w:sz w:val="18"/>
          <w:szCs w:val="22"/>
        </w:rPr>
        <w:t>Even if this Court is satisfied that an appeal has a real prospect of success, it may nevertheless refuse to grant leave in the exercise of its residual discretion, such as when no substantial injustice will be done if the decision at first instance stands, or the order sought to be appealed against is one of practice and procedure. The question of leave may sometimes be approached by considering, first, whether discretionary considerations exist which justify a refusal of leave, regardless of an applicant’s prospect of success. Where discretionary considerations exist but by themselves are insufficient to justify a refusal of leave, refusal may nevertheless be warranted where those discretionary considerations arise in the context of an appeal that has low, albeit real, prospects of success.</w:t>
      </w:r>
    </w:p>
    <w:p w14:paraId="1A208EF8" w14:textId="77777777" w:rsidR="00C37535" w:rsidRDefault="00C37535" w:rsidP="00E60F08">
      <w:pPr>
        <w:jc w:val="both"/>
        <w:rPr>
          <w:rFonts w:ascii="Arial" w:hAnsi="Arial" w:cs="Arial"/>
          <w:sz w:val="20"/>
        </w:rPr>
      </w:pPr>
    </w:p>
    <w:p w14:paraId="4107C25A" w14:textId="3CDEFD23" w:rsidR="005F6352" w:rsidRDefault="00E34594" w:rsidP="00E60F08">
      <w:pPr>
        <w:jc w:val="both"/>
        <w:rPr>
          <w:rFonts w:ascii="Arial" w:hAnsi="Arial" w:cs="Arial"/>
          <w:sz w:val="20"/>
        </w:rPr>
      </w:pPr>
      <w:r>
        <w:rPr>
          <w:rFonts w:ascii="Arial" w:hAnsi="Arial" w:cs="Arial"/>
          <w:sz w:val="20"/>
        </w:rPr>
        <w:t xml:space="preserve">In </w:t>
      </w:r>
      <w:r w:rsidRPr="005F6352">
        <w:rPr>
          <w:rFonts w:ascii="Arial" w:hAnsi="Arial" w:cs="Arial"/>
          <w:i/>
          <w:iCs/>
          <w:sz w:val="20"/>
        </w:rPr>
        <w:t>Roper v Roper</w:t>
      </w:r>
      <w:r>
        <w:rPr>
          <w:rFonts w:ascii="Arial" w:hAnsi="Arial" w:cs="Arial"/>
          <w:sz w:val="20"/>
        </w:rPr>
        <w:t xml:space="preserve"> [2026] VSCA 50, i</w:t>
      </w:r>
      <w:r w:rsidR="005F6352">
        <w:rPr>
          <w:rFonts w:ascii="Arial" w:hAnsi="Arial" w:cs="Arial"/>
          <w:sz w:val="20"/>
        </w:rPr>
        <w:t xml:space="preserve">n dismissing an appeal </w:t>
      </w:r>
      <w:r>
        <w:rPr>
          <w:rFonts w:ascii="Arial" w:hAnsi="Arial" w:cs="Arial"/>
          <w:sz w:val="20"/>
        </w:rPr>
        <w:t xml:space="preserve">against a </w:t>
      </w:r>
      <w:r w:rsidRPr="00E34594">
        <w:rPr>
          <w:rFonts w:ascii="Arial" w:hAnsi="Arial" w:cs="Arial"/>
          <w:sz w:val="20"/>
        </w:rPr>
        <w:t xml:space="preserve">family provision order </w:t>
      </w:r>
      <w:r>
        <w:rPr>
          <w:rFonts w:ascii="Arial" w:hAnsi="Arial" w:cs="Arial"/>
          <w:sz w:val="20"/>
        </w:rPr>
        <w:t xml:space="preserve">under Part IV of </w:t>
      </w:r>
      <w:r w:rsidRPr="00E34594">
        <w:rPr>
          <w:rFonts w:ascii="Arial" w:hAnsi="Arial" w:cs="Arial"/>
          <w:i/>
          <w:iCs/>
          <w:sz w:val="20"/>
        </w:rPr>
        <w:t>the Administration and Probate Act 1958</w:t>
      </w:r>
      <w:r w:rsidRPr="00E34594">
        <w:rPr>
          <w:rFonts w:ascii="Arial" w:hAnsi="Arial" w:cs="Arial"/>
          <w:sz w:val="20"/>
        </w:rPr>
        <w:t xml:space="preserve">, </w:t>
      </w:r>
      <w:r w:rsidR="005F6352">
        <w:rPr>
          <w:rFonts w:ascii="Arial" w:hAnsi="Arial" w:cs="Arial"/>
          <w:sz w:val="20"/>
        </w:rPr>
        <w:t xml:space="preserve">Kennedy, Richards &amp; Donaghue JJA elaborated on the principle in </w:t>
      </w:r>
      <w:r w:rsidR="005F6352" w:rsidRPr="005F6352">
        <w:rPr>
          <w:rFonts w:ascii="Arial" w:hAnsi="Arial" w:cs="Arial"/>
          <w:i/>
          <w:iCs/>
          <w:sz w:val="20"/>
        </w:rPr>
        <w:t>House v The King</w:t>
      </w:r>
      <w:r w:rsidR="005F6352">
        <w:rPr>
          <w:rFonts w:ascii="Arial" w:hAnsi="Arial" w:cs="Arial"/>
          <w:sz w:val="20"/>
        </w:rPr>
        <w:t xml:space="preserve"> </w:t>
      </w:r>
      <w:r>
        <w:rPr>
          <w:rFonts w:ascii="Arial" w:hAnsi="Arial" w:cs="Arial"/>
          <w:sz w:val="20"/>
        </w:rPr>
        <w:t xml:space="preserve">at [13] </w:t>
      </w:r>
      <w:r w:rsidR="005F6352">
        <w:rPr>
          <w:rFonts w:ascii="Arial" w:hAnsi="Arial" w:cs="Arial"/>
          <w:sz w:val="20"/>
        </w:rPr>
        <w:t>a</w:t>
      </w:r>
      <w:r w:rsidR="00AA7D26">
        <w:rPr>
          <w:rFonts w:ascii="Arial" w:hAnsi="Arial" w:cs="Arial"/>
          <w:sz w:val="20"/>
        </w:rPr>
        <w:t>s follows</w:t>
      </w:r>
      <w:r w:rsidR="005F6352">
        <w:rPr>
          <w:rFonts w:ascii="Arial" w:hAnsi="Arial" w:cs="Arial"/>
          <w:sz w:val="20"/>
        </w:rPr>
        <w:t>:</w:t>
      </w:r>
    </w:p>
    <w:p w14:paraId="6F1C699D" w14:textId="7B9BFBCD" w:rsidR="005F6352" w:rsidRDefault="005F6352" w:rsidP="005F6352">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w:t>
      </w:r>
      <w:r w:rsidRPr="005F6352">
        <w:rPr>
          <w:rFonts w:ascii="Arial" w:hAnsi="Arial" w:cs="Arial"/>
          <w:sz w:val="20"/>
        </w:rPr>
        <w:t xml:space="preserve">The judge’s assessment of the amount of provision to be made for </w:t>
      </w:r>
      <w:r>
        <w:rPr>
          <w:rFonts w:ascii="Arial" w:hAnsi="Arial" w:cs="Arial"/>
          <w:sz w:val="20"/>
        </w:rPr>
        <w:t>[the appellant]</w:t>
      </w:r>
      <w:r w:rsidRPr="005F6352">
        <w:rPr>
          <w:rFonts w:ascii="Arial" w:hAnsi="Arial" w:cs="Arial"/>
          <w:sz w:val="20"/>
        </w:rPr>
        <w:t xml:space="preserve"> out of the estate involved an exercise of discretion, and the principles in </w:t>
      </w:r>
      <w:r w:rsidRPr="005F6352">
        <w:rPr>
          <w:rFonts w:ascii="Arial" w:hAnsi="Arial" w:cs="Arial"/>
          <w:i/>
          <w:iCs/>
          <w:sz w:val="20"/>
        </w:rPr>
        <w:t>House v The King</w:t>
      </w:r>
      <w:r>
        <w:rPr>
          <w:rFonts w:ascii="Arial" w:hAnsi="Arial" w:cs="Arial"/>
          <w:sz w:val="20"/>
        </w:rPr>
        <w:t xml:space="preserve"> </w:t>
      </w:r>
      <w:r w:rsidRPr="005F6352">
        <w:rPr>
          <w:rFonts w:ascii="Arial" w:hAnsi="Arial" w:cs="Arial"/>
          <w:sz w:val="20"/>
        </w:rPr>
        <w:t>(1936) 55 CLR 499; [1936] HCA 40 therefore apply to appellate review of the determination</w:t>
      </w:r>
      <w:r>
        <w:rPr>
          <w:rFonts w:ascii="Arial" w:hAnsi="Arial" w:cs="Arial"/>
          <w:sz w:val="20"/>
        </w:rPr>
        <w:t xml:space="preserve">: </w:t>
      </w:r>
      <w:r w:rsidRPr="005F6352">
        <w:rPr>
          <w:rFonts w:ascii="Arial" w:hAnsi="Arial" w:cs="Arial"/>
          <w:i/>
          <w:iCs/>
          <w:sz w:val="20"/>
        </w:rPr>
        <w:t>Gash v Ruzicka</w:t>
      </w:r>
      <w:r w:rsidRPr="005F6352">
        <w:rPr>
          <w:rFonts w:ascii="Arial" w:hAnsi="Arial" w:cs="Arial"/>
          <w:sz w:val="20"/>
        </w:rPr>
        <w:t xml:space="preserve"> (2023) 23 ASTLR 52, 64 [61]; [2023] VSCA 189. </w:t>
      </w:r>
      <w:r>
        <w:rPr>
          <w:rFonts w:ascii="Arial" w:hAnsi="Arial" w:cs="Arial"/>
          <w:sz w:val="20"/>
        </w:rPr>
        <w:t>[The appellant]</w:t>
      </w:r>
      <w:r w:rsidRPr="005F6352">
        <w:rPr>
          <w:rFonts w:ascii="Arial" w:hAnsi="Arial" w:cs="Arial"/>
          <w:sz w:val="20"/>
        </w:rPr>
        <w:t xml:space="preserve"> must establish that the judge acted upon a wrong principle, mistook the facts, had regard to irrelevant matters, failed to take into account relevant matters, or reached a result that was unreasonable or plainly unjust.</w:t>
      </w:r>
      <w:r>
        <w:rPr>
          <w:rFonts w:ascii="Arial" w:hAnsi="Arial" w:cs="Arial"/>
          <w:sz w:val="20"/>
        </w:rPr>
        <w:t>”</w:t>
      </w:r>
    </w:p>
    <w:p w14:paraId="3B96B920" w14:textId="300CAD83" w:rsidR="005F6352" w:rsidRDefault="005F6352" w:rsidP="00E60F08">
      <w:pPr>
        <w:jc w:val="both"/>
        <w:rPr>
          <w:rFonts w:ascii="Arial" w:hAnsi="Arial" w:cs="Arial"/>
          <w:sz w:val="20"/>
        </w:rPr>
      </w:pPr>
    </w:p>
    <w:p w14:paraId="16F90630" w14:textId="5F9D4C3D" w:rsidR="000356F4" w:rsidRDefault="000356F4" w:rsidP="00E60F08">
      <w:pPr>
        <w:jc w:val="both"/>
        <w:rPr>
          <w:rFonts w:ascii="Arial" w:hAnsi="Arial" w:cs="Arial"/>
          <w:sz w:val="20"/>
        </w:rPr>
      </w:pPr>
      <w:r>
        <w:rPr>
          <w:rFonts w:ascii="Arial" w:hAnsi="Arial" w:cs="Arial"/>
          <w:sz w:val="20"/>
        </w:rPr>
        <w:t xml:space="preserve">In </w:t>
      </w:r>
      <w:r w:rsidRPr="000356F4">
        <w:rPr>
          <w:rFonts w:ascii="Arial" w:hAnsi="Arial" w:cs="Arial"/>
          <w:i/>
          <w:iCs/>
          <w:sz w:val="20"/>
        </w:rPr>
        <w:t>Cartledge v The King</w:t>
      </w:r>
      <w:r>
        <w:rPr>
          <w:rFonts w:ascii="Arial" w:hAnsi="Arial" w:cs="Arial"/>
          <w:sz w:val="20"/>
        </w:rPr>
        <w:t xml:space="preserve"> [2026] VSCA 81 the applicant had pleaded guilty to </w:t>
      </w:r>
      <w:r w:rsidRPr="000356F4">
        <w:rPr>
          <w:rFonts w:ascii="Arial" w:hAnsi="Arial" w:cs="Arial"/>
          <w:sz w:val="20"/>
        </w:rPr>
        <w:t>aggravated burglary, conduct endangering persons, sexual assault, attempted rape and unlawful assault</w:t>
      </w:r>
      <w:r>
        <w:rPr>
          <w:rFonts w:ascii="Arial" w:hAnsi="Arial" w:cs="Arial"/>
          <w:sz w:val="20"/>
        </w:rPr>
        <w:t>. A single judge of the Court of Appeal had previously refused an extension of time on the basis that the proposed grounds of appeal had no merit. The applicant was unable to identify any significant matter overlooked or misunderstood by the single judge. In refusing an application for extension of time to appeal, Emerton P &amp; Beach JA said at [10]:</w:t>
      </w:r>
    </w:p>
    <w:p w14:paraId="13FDD065" w14:textId="37BF3451" w:rsidR="000356F4" w:rsidRPr="000356F4" w:rsidRDefault="000356F4" w:rsidP="000356F4">
      <w:pPr>
        <w:pStyle w:val="NormalWeb"/>
        <w:shd w:val="clear" w:color="auto" w:fill="FFFFFF"/>
        <w:spacing w:before="60" w:beforeAutospacing="0" w:after="0" w:afterAutospacing="0"/>
        <w:ind w:left="454" w:right="454"/>
        <w:jc w:val="both"/>
        <w:rPr>
          <w:rFonts w:ascii="Arial" w:hAnsi="Arial" w:cs="Arial"/>
          <w:sz w:val="22"/>
          <w:szCs w:val="28"/>
        </w:rPr>
      </w:pPr>
      <w:r>
        <w:rPr>
          <w:rFonts w:ascii="Arial" w:hAnsi="Arial" w:cs="Arial"/>
          <w:sz w:val="20"/>
        </w:rPr>
        <w:t xml:space="preserve">“…[T]his </w:t>
      </w:r>
      <w:r w:rsidRPr="000356F4">
        <w:rPr>
          <w:rFonts w:ascii="Arial" w:hAnsi="Arial" w:cs="Arial"/>
          <w:sz w:val="20"/>
        </w:rPr>
        <w:t>Court had repeatedly observed that where a judge of this Court has already expressed detailed and careful reasons on the merits of an application, those reasons will ordinarily be given considerable weight by the bench hearing the election</w:t>
      </w:r>
      <w:r>
        <w:rPr>
          <w:rFonts w:ascii="Arial" w:hAnsi="Arial" w:cs="Arial"/>
          <w:sz w:val="20"/>
        </w:rPr>
        <w:t xml:space="preserve">: </w:t>
      </w:r>
      <w:r w:rsidRPr="000356F4">
        <w:rPr>
          <w:rFonts w:ascii="Arial" w:hAnsi="Arial" w:cs="Arial"/>
          <w:i/>
          <w:iCs/>
          <w:sz w:val="20"/>
        </w:rPr>
        <w:t>Lord v The Queen</w:t>
      </w:r>
      <w:r w:rsidRPr="000356F4">
        <w:rPr>
          <w:rFonts w:ascii="Arial" w:hAnsi="Arial" w:cs="Arial"/>
          <w:sz w:val="20"/>
        </w:rPr>
        <w:t xml:space="preserve"> [2018] VSCA 52, [4]</w:t>
      </w:r>
      <w:r>
        <w:rPr>
          <w:rFonts w:ascii="Arial" w:hAnsi="Arial" w:cs="Arial"/>
          <w:sz w:val="20"/>
        </w:rPr>
        <w:t xml:space="preserve"> </w:t>
      </w:r>
      <w:r w:rsidRPr="000356F4">
        <w:rPr>
          <w:rFonts w:ascii="Arial" w:hAnsi="Arial" w:cs="Arial"/>
          <w:sz w:val="20"/>
        </w:rPr>
        <w:t xml:space="preserve">citing </w:t>
      </w:r>
      <w:r w:rsidRPr="000356F4">
        <w:rPr>
          <w:rFonts w:ascii="Arial" w:hAnsi="Arial" w:cs="Arial"/>
          <w:i/>
          <w:iCs/>
          <w:sz w:val="20"/>
        </w:rPr>
        <w:t>Booysen v The Queen</w:t>
      </w:r>
      <w:r w:rsidRPr="000356F4">
        <w:rPr>
          <w:rFonts w:ascii="Arial" w:hAnsi="Arial" w:cs="Arial"/>
          <w:sz w:val="20"/>
        </w:rPr>
        <w:t xml:space="preserve"> [2014] VSCA 150, [9]; </w:t>
      </w:r>
      <w:proofErr w:type="spellStart"/>
      <w:r w:rsidRPr="000356F4">
        <w:rPr>
          <w:rFonts w:ascii="Arial" w:hAnsi="Arial" w:cs="Arial"/>
          <w:i/>
          <w:iCs/>
          <w:sz w:val="20"/>
        </w:rPr>
        <w:t>Ayol</w:t>
      </w:r>
      <w:proofErr w:type="spellEnd"/>
      <w:r w:rsidRPr="000356F4">
        <w:rPr>
          <w:rFonts w:ascii="Arial" w:hAnsi="Arial" w:cs="Arial"/>
          <w:i/>
          <w:iCs/>
          <w:sz w:val="20"/>
        </w:rPr>
        <w:t xml:space="preserve"> v The Queen</w:t>
      </w:r>
      <w:r w:rsidRPr="000356F4">
        <w:rPr>
          <w:rFonts w:ascii="Arial" w:hAnsi="Arial" w:cs="Arial"/>
          <w:sz w:val="20"/>
        </w:rPr>
        <w:t xml:space="preserve"> [2014] VSCA 151, [14]; </w:t>
      </w:r>
      <w:r w:rsidRPr="000356F4">
        <w:rPr>
          <w:rFonts w:ascii="Arial" w:hAnsi="Arial" w:cs="Arial"/>
          <w:i/>
          <w:iCs/>
          <w:sz w:val="20"/>
        </w:rPr>
        <w:t>Mifsud v The Queen</w:t>
      </w:r>
      <w:r w:rsidRPr="000356F4">
        <w:rPr>
          <w:rFonts w:ascii="Arial" w:hAnsi="Arial" w:cs="Arial"/>
          <w:sz w:val="20"/>
        </w:rPr>
        <w:t xml:space="preserve"> [2014] VSCA 160, [16]; </w:t>
      </w:r>
      <w:r w:rsidRPr="000356F4">
        <w:rPr>
          <w:rFonts w:ascii="Arial" w:hAnsi="Arial" w:cs="Arial"/>
          <w:i/>
          <w:iCs/>
          <w:sz w:val="20"/>
        </w:rPr>
        <w:t>Booth v The Queen</w:t>
      </w:r>
      <w:r w:rsidRPr="000356F4">
        <w:rPr>
          <w:rFonts w:ascii="Arial" w:hAnsi="Arial" w:cs="Arial"/>
          <w:sz w:val="20"/>
        </w:rPr>
        <w:t xml:space="preserve"> [2015] VSCA 51, [121]–[123]; </w:t>
      </w:r>
      <w:proofErr w:type="spellStart"/>
      <w:r w:rsidRPr="000356F4">
        <w:rPr>
          <w:rFonts w:ascii="Arial" w:hAnsi="Arial" w:cs="Arial"/>
          <w:i/>
          <w:iCs/>
          <w:sz w:val="20"/>
        </w:rPr>
        <w:t>Sadrani</w:t>
      </w:r>
      <w:proofErr w:type="spellEnd"/>
      <w:r w:rsidRPr="000356F4">
        <w:rPr>
          <w:rFonts w:ascii="Arial" w:hAnsi="Arial" w:cs="Arial"/>
          <w:i/>
          <w:iCs/>
          <w:sz w:val="20"/>
        </w:rPr>
        <w:t xml:space="preserve"> v The Queen</w:t>
      </w:r>
      <w:r w:rsidRPr="000356F4">
        <w:rPr>
          <w:rFonts w:ascii="Arial" w:hAnsi="Arial" w:cs="Arial"/>
          <w:sz w:val="20"/>
        </w:rPr>
        <w:t xml:space="preserve"> [2015] VSCA 202, [5]–[8].</w:t>
      </w:r>
      <w:r>
        <w:rPr>
          <w:rFonts w:ascii="Arial" w:hAnsi="Arial" w:cs="Arial"/>
          <w:sz w:val="20"/>
        </w:rPr>
        <w:t xml:space="preserve"> </w:t>
      </w:r>
      <w:r w:rsidRPr="000356F4">
        <w:rPr>
          <w:rFonts w:ascii="Arial" w:hAnsi="Arial" w:cs="Arial"/>
          <w:sz w:val="20"/>
        </w:rPr>
        <w:t>Indeed, it has been said that:</w:t>
      </w:r>
    </w:p>
    <w:p w14:paraId="16C36996" w14:textId="49B07D2B" w:rsidR="000356F4" w:rsidRPr="000356F4" w:rsidRDefault="000356F4" w:rsidP="000356F4">
      <w:pPr>
        <w:pStyle w:val="NormalWeb"/>
        <w:shd w:val="clear" w:color="auto" w:fill="FFFFFF"/>
        <w:spacing w:before="60" w:beforeAutospacing="0" w:after="0" w:afterAutospacing="0"/>
        <w:ind w:left="907" w:right="907"/>
        <w:jc w:val="both"/>
        <w:rPr>
          <w:rFonts w:ascii="Arial" w:hAnsi="Arial" w:cs="Arial"/>
          <w:sz w:val="18"/>
          <w:szCs w:val="22"/>
        </w:rPr>
      </w:pPr>
      <w:r w:rsidRPr="000356F4">
        <w:rPr>
          <w:rFonts w:ascii="Arial" w:hAnsi="Arial" w:cs="Arial"/>
          <w:sz w:val="18"/>
          <w:szCs w:val="22"/>
        </w:rPr>
        <w:t>Where leave to appeal has been refused and is supported by careful and extensive reasons, this Court should approach an election to again seek leave on the basis that the applicant should ordinarily demonstrate by reference to the reasoning on the initial application for leave to appeal that there would be error if the conclusion that the grounds were not reasonably arguable were allowed to stand</w:t>
      </w:r>
      <w:r>
        <w:rPr>
          <w:rFonts w:ascii="Arial" w:hAnsi="Arial" w:cs="Arial"/>
          <w:sz w:val="18"/>
          <w:szCs w:val="22"/>
        </w:rPr>
        <w:t xml:space="preserve">: </w:t>
      </w:r>
      <w:proofErr w:type="spellStart"/>
      <w:r w:rsidRPr="000356F4">
        <w:rPr>
          <w:rFonts w:ascii="Arial" w:hAnsi="Arial" w:cs="Arial"/>
          <w:i/>
          <w:iCs/>
          <w:sz w:val="18"/>
          <w:szCs w:val="22"/>
        </w:rPr>
        <w:t>Ayol</w:t>
      </w:r>
      <w:proofErr w:type="spellEnd"/>
      <w:r w:rsidRPr="000356F4">
        <w:rPr>
          <w:rFonts w:ascii="Arial" w:hAnsi="Arial" w:cs="Arial"/>
          <w:sz w:val="18"/>
          <w:szCs w:val="22"/>
        </w:rPr>
        <w:t xml:space="preserve"> [2014] VSCA 151, [26].</w:t>
      </w:r>
      <w:r>
        <w:rPr>
          <w:rFonts w:ascii="Arial" w:hAnsi="Arial" w:cs="Arial"/>
          <w:sz w:val="18"/>
          <w:szCs w:val="22"/>
        </w:rPr>
        <w:t>”</w:t>
      </w:r>
    </w:p>
    <w:p w14:paraId="2C93AF01" w14:textId="77777777" w:rsidR="000356F4" w:rsidRDefault="000356F4" w:rsidP="00E60F08">
      <w:pPr>
        <w:jc w:val="both"/>
        <w:rPr>
          <w:rFonts w:ascii="Arial" w:hAnsi="Arial" w:cs="Arial"/>
          <w:sz w:val="20"/>
        </w:rPr>
      </w:pPr>
    </w:p>
    <w:p w14:paraId="10A960AB" w14:textId="6F4E93AE" w:rsidR="00B21DA4" w:rsidRDefault="00B21DA4" w:rsidP="00E60F08">
      <w:pPr>
        <w:jc w:val="both"/>
        <w:rPr>
          <w:rFonts w:ascii="Arial" w:hAnsi="Arial" w:cs="Arial"/>
          <w:sz w:val="20"/>
        </w:rPr>
      </w:pPr>
      <w:r>
        <w:rPr>
          <w:rFonts w:ascii="Arial" w:hAnsi="Arial" w:cs="Arial"/>
          <w:sz w:val="20"/>
        </w:rPr>
        <w:t>Examples of appealable</w:t>
      </w:r>
      <w:r w:rsidR="00B13110">
        <w:rPr>
          <w:rFonts w:ascii="Arial" w:hAnsi="Arial" w:cs="Arial"/>
          <w:sz w:val="20"/>
        </w:rPr>
        <w:t>/reviewable</w:t>
      </w:r>
      <w:r>
        <w:rPr>
          <w:rFonts w:ascii="Arial" w:hAnsi="Arial" w:cs="Arial"/>
          <w:sz w:val="20"/>
        </w:rPr>
        <w:t xml:space="preserve"> errors of law </w:t>
      </w:r>
      <w:r w:rsidR="00772086">
        <w:rPr>
          <w:rFonts w:ascii="Arial" w:hAnsi="Arial" w:cs="Arial"/>
          <w:sz w:val="20"/>
        </w:rPr>
        <w:t>include</w:t>
      </w:r>
      <w:r w:rsidR="00366998" w:rsidRPr="00A31FFA">
        <w:rPr>
          <w:rFonts w:ascii="Arial" w:hAnsi="Arial" w:cs="Arial"/>
          <w:sz w:val="20"/>
        </w:rPr>
        <w:t>–</w:t>
      </w:r>
    </w:p>
    <w:p w14:paraId="4CEE32FF" w14:textId="5646C7D7" w:rsidR="00B21DA4" w:rsidRDefault="00E34594" w:rsidP="00E60F08">
      <w:pPr>
        <w:numPr>
          <w:ilvl w:val="0"/>
          <w:numId w:val="7"/>
        </w:numPr>
        <w:ind w:left="357" w:hanging="357"/>
        <w:jc w:val="both"/>
        <w:rPr>
          <w:rFonts w:ascii="Arial" w:hAnsi="Arial" w:cs="Arial"/>
          <w:sz w:val="20"/>
        </w:rPr>
      </w:pPr>
      <w:r>
        <w:rPr>
          <w:rFonts w:ascii="Arial" w:hAnsi="Arial" w:cs="Arial"/>
          <w:sz w:val="20"/>
        </w:rPr>
        <w:t>application of a wrong legal principle;</w:t>
      </w:r>
    </w:p>
    <w:p w14:paraId="69274749" w14:textId="77777777" w:rsidR="00B21DA4" w:rsidRDefault="00B21DA4" w:rsidP="00E60F08">
      <w:pPr>
        <w:numPr>
          <w:ilvl w:val="0"/>
          <w:numId w:val="7"/>
        </w:numPr>
        <w:ind w:left="357" w:hanging="357"/>
        <w:jc w:val="both"/>
        <w:rPr>
          <w:rFonts w:ascii="Arial" w:hAnsi="Arial" w:cs="Arial"/>
          <w:sz w:val="20"/>
        </w:rPr>
      </w:pPr>
      <w:r>
        <w:rPr>
          <w:rFonts w:ascii="Arial" w:hAnsi="Arial" w:cs="Arial"/>
          <w:sz w:val="20"/>
        </w:rPr>
        <w:t>misapplication of a legal principle;</w:t>
      </w:r>
    </w:p>
    <w:p w14:paraId="22E6B5E1" w14:textId="77777777" w:rsidR="00B21DA4" w:rsidRDefault="00B21DA4" w:rsidP="00212E38">
      <w:pPr>
        <w:numPr>
          <w:ilvl w:val="0"/>
          <w:numId w:val="7"/>
        </w:numPr>
        <w:ind w:left="357" w:hanging="357"/>
        <w:jc w:val="both"/>
        <w:rPr>
          <w:rFonts w:ascii="Arial" w:hAnsi="Arial" w:cs="Arial"/>
          <w:sz w:val="20"/>
        </w:rPr>
      </w:pPr>
      <w:r>
        <w:rPr>
          <w:rFonts w:ascii="Arial" w:hAnsi="Arial" w:cs="Arial"/>
          <w:sz w:val="20"/>
        </w:rPr>
        <w:t>a major error in relation to the facts in the case which has significantly affected the outcome and which is sufficiently gross to be considered an error of law;</w:t>
      </w:r>
    </w:p>
    <w:p w14:paraId="07DC43F8" w14:textId="2FB70146" w:rsidR="00B21DA4" w:rsidRDefault="00B21DA4" w:rsidP="00212E38">
      <w:pPr>
        <w:numPr>
          <w:ilvl w:val="0"/>
          <w:numId w:val="7"/>
        </w:numPr>
        <w:ind w:left="357" w:hanging="357"/>
        <w:jc w:val="both"/>
        <w:rPr>
          <w:rFonts w:ascii="Arial" w:hAnsi="Arial" w:cs="Arial"/>
          <w:sz w:val="20"/>
        </w:rPr>
      </w:pPr>
      <w:r>
        <w:rPr>
          <w:rFonts w:ascii="Arial" w:hAnsi="Arial" w:cs="Arial"/>
          <w:sz w:val="20"/>
        </w:rPr>
        <w:t>an outcome outside the range of orders reasonably open to the trial judge/magistrate on the evidence before him or her;</w:t>
      </w:r>
    </w:p>
    <w:p w14:paraId="1AB8AE6D" w14:textId="176FA899" w:rsidR="00027D50" w:rsidRDefault="00027D50" w:rsidP="00212E38">
      <w:pPr>
        <w:numPr>
          <w:ilvl w:val="0"/>
          <w:numId w:val="7"/>
        </w:numPr>
        <w:ind w:left="357" w:hanging="357"/>
        <w:jc w:val="both"/>
        <w:rPr>
          <w:rFonts w:ascii="Arial" w:hAnsi="Arial" w:cs="Arial"/>
          <w:sz w:val="20"/>
        </w:rPr>
      </w:pPr>
      <w:r>
        <w:rPr>
          <w:rFonts w:ascii="Arial" w:hAnsi="Arial" w:cs="Arial"/>
          <w:sz w:val="20"/>
        </w:rPr>
        <w:t>a failure to provide procedural fairness to one or more of the parties;</w:t>
      </w:r>
    </w:p>
    <w:p w14:paraId="282842A8" w14:textId="77777777" w:rsidR="00B21DA4" w:rsidRDefault="00B21DA4" w:rsidP="00212E38">
      <w:pPr>
        <w:numPr>
          <w:ilvl w:val="0"/>
          <w:numId w:val="7"/>
        </w:numPr>
        <w:ind w:left="357" w:hanging="357"/>
        <w:jc w:val="both"/>
        <w:rPr>
          <w:rFonts w:ascii="Arial" w:hAnsi="Arial" w:cs="Arial"/>
          <w:sz w:val="20"/>
        </w:rPr>
      </w:pPr>
      <w:r>
        <w:rPr>
          <w:rFonts w:ascii="Arial" w:hAnsi="Arial" w:cs="Arial"/>
          <w:sz w:val="20"/>
        </w:rPr>
        <w:t>a failure, in certain circumstances, to provide reasons for the decision which leave the appeal court unable to determine by what process the result was reached.</w:t>
      </w:r>
    </w:p>
    <w:p w14:paraId="2C718A86" w14:textId="77777777" w:rsidR="00E34594" w:rsidRDefault="00E34594">
      <w:pPr>
        <w:jc w:val="both"/>
        <w:rPr>
          <w:rFonts w:ascii="Arial" w:hAnsi="Arial" w:cs="Arial"/>
          <w:sz w:val="20"/>
        </w:rPr>
      </w:pPr>
    </w:p>
    <w:p w14:paraId="1A92AAEE" w14:textId="5D405ECE" w:rsidR="001443F3" w:rsidRDefault="001443F3">
      <w:pPr>
        <w:jc w:val="both"/>
        <w:rPr>
          <w:rFonts w:ascii="Arial" w:hAnsi="Arial" w:cs="Arial"/>
          <w:sz w:val="20"/>
        </w:rPr>
      </w:pPr>
      <w:r>
        <w:rPr>
          <w:rFonts w:ascii="Arial" w:hAnsi="Arial" w:cs="Arial"/>
          <w:sz w:val="20"/>
        </w:rPr>
        <w:lastRenderedPageBreak/>
        <w:t xml:space="preserve">Further, an appellant should generally not be permitted to advance a different case on appeal to that advanced below: see </w:t>
      </w:r>
      <w:r w:rsidRPr="001443F3">
        <w:rPr>
          <w:rFonts w:ascii="Arial" w:hAnsi="Arial" w:cs="Arial"/>
          <w:i/>
          <w:iCs/>
          <w:sz w:val="20"/>
        </w:rPr>
        <w:t xml:space="preserve">ASD Corporation Australia Pty Ltd v </w:t>
      </w:r>
      <w:proofErr w:type="spellStart"/>
      <w:r w:rsidRPr="001443F3">
        <w:rPr>
          <w:rFonts w:ascii="Arial" w:hAnsi="Arial" w:cs="Arial"/>
          <w:i/>
          <w:iCs/>
          <w:sz w:val="20"/>
        </w:rPr>
        <w:t>Babicka</w:t>
      </w:r>
      <w:proofErr w:type="spellEnd"/>
      <w:r w:rsidRPr="001443F3">
        <w:rPr>
          <w:rFonts w:ascii="Arial" w:hAnsi="Arial" w:cs="Arial"/>
          <w:sz w:val="20"/>
        </w:rPr>
        <w:t xml:space="preserve"> [2026] VSCA 27</w:t>
      </w:r>
      <w:r>
        <w:rPr>
          <w:rFonts w:ascii="Arial" w:hAnsi="Arial" w:cs="Arial"/>
          <w:sz w:val="20"/>
        </w:rPr>
        <w:t xml:space="preserve"> at [29]</w:t>
      </w:r>
      <w:r w:rsidR="00023BBD">
        <w:rPr>
          <w:rFonts w:ascii="Arial" w:hAnsi="Arial" w:cs="Arial"/>
          <w:sz w:val="20"/>
        </w:rPr>
        <w:t xml:space="preserve"> in turn referencing</w:t>
      </w:r>
      <w:r>
        <w:rPr>
          <w:rFonts w:ascii="Arial" w:hAnsi="Arial" w:cs="Arial"/>
          <w:sz w:val="20"/>
        </w:rPr>
        <w:t xml:space="preserve"> </w:t>
      </w:r>
      <w:r w:rsidRPr="001443F3">
        <w:rPr>
          <w:rFonts w:ascii="Arial" w:hAnsi="Arial" w:cs="Arial"/>
          <w:i/>
          <w:iCs/>
          <w:sz w:val="20"/>
        </w:rPr>
        <w:t>Coulton v Holcombe</w:t>
      </w:r>
      <w:r w:rsidRPr="001443F3">
        <w:rPr>
          <w:rFonts w:ascii="Arial" w:hAnsi="Arial" w:cs="Arial"/>
          <w:sz w:val="20"/>
        </w:rPr>
        <w:t xml:space="preserve"> (1986) 162 CLR 1, 7–8; [1986] HCA 33; </w:t>
      </w:r>
      <w:r w:rsidRPr="001443F3">
        <w:rPr>
          <w:rFonts w:ascii="Arial" w:hAnsi="Arial" w:cs="Arial"/>
          <w:i/>
          <w:iCs/>
          <w:sz w:val="20"/>
        </w:rPr>
        <w:t>University of Wollongong v Metwally (No 2)</w:t>
      </w:r>
      <w:r w:rsidRPr="001443F3">
        <w:rPr>
          <w:rFonts w:ascii="Arial" w:hAnsi="Arial" w:cs="Arial"/>
          <w:sz w:val="20"/>
        </w:rPr>
        <w:t xml:space="preserve"> (1985) 59 ALJR 481, 483; [1985] HCA 28</w:t>
      </w:r>
      <w:r>
        <w:rPr>
          <w:rFonts w:ascii="Arial" w:hAnsi="Arial" w:cs="Arial"/>
          <w:sz w:val="20"/>
        </w:rPr>
        <w:t>;</w:t>
      </w:r>
      <w:r w:rsidRPr="001443F3">
        <w:rPr>
          <w:rFonts w:ascii="Arial" w:hAnsi="Arial" w:cs="Arial"/>
          <w:sz w:val="20"/>
        </w:rPr>
        <w:t xml:space="preserve"> </w:t>
      </w:r>
      <w:proofErr w:type="spellStart"/>
      <w:r w:rsidRPr="001443F3">
        <w:rPr>
          <w:rFonts w:ascii="Arial" w:hAnsi="Arial" w:cs="Arial"/>
          <w:i/>
          <w:iCs/>
          <w:sz w:val="20"/>
        </w:rPr>
        <w:t>Whisprun</w:t>
      </w:r>
      <w:proofErr w:type="spellEnd"/>
      <w:r w:rsidRPr="001443F3">
        <w:rPr>
          <w:rFonts w:ascii="Arial" w:hAnsi="Arial" w:cs="Arial"/>
          <w:i/>
          <w:iCs/>
          <w:sz w:val="20"/>
        </w:rPr>
        <w:t xml:space="preserve"> v Pty Ltd v Dixon</w:t>
      </w:r>
      <w:r w:rsidRPr="001443F3">
        <w:rPr>
          <w:rFonts w:ascii="Arial" w:hAnsi="Arial" w:cs="Arial"/>
          <w:sz w:val="20"/>
        </w:rPr>
        <w:t xml:space="preserve"> (2003) 77 ALJR 1598, 1608 [51]–[52]; [2003] HCA 48; </w:t>
      </w:r>
      <w:r w:rsidRPr="001443F3">
        <w:rPr>
          <w:rFonts w:ascii="Arial" w:hAnsi="Arial" w:cs="Arial"/>
          <w:i/>
          <w:iCs/>
          <w:sz w:val="20"/>
        </w:rPr>
        <w:t>Mayfair Land Holdings Pty Ltd v Terafortis Ltd</w:t>
      </w:r>
      <w:r w:rsidRPr="001443F3">
        <w:rPr>
          <w:rFonts w:ascii="Arial" w:hAnsi="Arial" w:cs="Arial"/>
          <w:sz w:val="20"/>
        </w:rPr>
        <w:t xml:space="preserve"> [2025] VSCA 343, [15]</w:t>
      </w:r>
      <w:r w:rsidR="00AE5459">
        <w:rPr>
          <w:rFonts w:ascii="Arial" w:hAnsi="Arial" w:cs="Arial"/>
          <w:sz w:val="20"/>
        </w:rPr>
        <w:t xml:space="preserve">; </w:t>
      </w:r>
      <w:r w:rsidR="00AE5459" w:rsidRPr="00AE5459">
        <w:rPr>
          <w:rFonts w:ascii="Arial" w:hAnsi="Arial" w:cs="Arial"/>
          <w:i/>
          <w:iCs/>
          <w:sz w:val="20"/>
        </w:rPr>
        <w:t>Draper v Victorian Building Authority</w:t>
      </w:r>
      <w:r w:rsidR="00AE5459" w:rsidRPr="00AE5459">
        <w:rPr>
          <w:rFonts w:ascii="Arial" w:hAnsi="Arial" w:cs="Arial"/>
          <w:sz w:val="20"/>
        </w:rPr>
        <w:t xml:space="preserve"> [2026] VSCA 64</w:t>
      </w:r>
      <w:r w:rsidR="00AE5459">
        <w:rPr>
          <w:rFonts w:ascii="Arial" w:hAnsi="Arial" w:cs="Arial"/>
          <w:sz w:val="20"/>
        </w:rPr>
        <w:t>, [59]-[66].</w:t>
      </w:r>
    </w:p>
    <w:p w14:paraId="26A9CFCC" w14:textId="77777777" w:rsidR="001443F3" w:rsidRDefault="001443F3">
      <w:pPr>
        <w:jc w:val="both"/>
        <w:rPr>
          <w:rFonts w:ascii="Arial" w:hAnsi="Arial" w:cs="Arial"/>
          <w:sz w:val="20"/>
        </w:rPr>
      </w:pPr>
    </w:p>
    <w:p w14:paraId="1AD960F4" w14:textId="77777777" w:rsidR="00AC4A02" w:rsidRDefault="00AC4A02">
      <w:pPr>
        <w:jc w:val="both"/>
        <w:rPr>
          <w:rFonts w:ascii="Arial" w:hAnsi="Arial" w:cs="Arial"/>
          <w:sz w:val="20"/>
        </w:rPr>
      </w:pPr>
      <w:r>
        <w:rPr>
          <w:rFonts w:ascii="Arial" w:hAnsi="Arial" w:cs="Arial"/>
          <w:sz w:val="20"/>
        </w:rPr>
        <w:t xml:space="preserve">Section 430Q of the CYFA provides that if a person appeals under </w:t>
      </w:r>
      <w:r w:rsidR="001B6181">
        <w:rPr>
          <w:rFonts w:ascii="Arial" w:hAnsi="Arial" w:cs="Arial"/>
          <w:sz w:val="20"/>
        </w:rPr>
        <w:t>s.430P to the Supreme Court on a question of law, that person abandons finally and conclusively any right under the CYFA or any other Act to appeal to the County Court or the Trial Division of the Supreme Court in relation to that proceeding.</w:t>
      </w:r>
    </w:p>
    <w:p w14:paraId="20693893" w14:textId="77777777" w:rsidR="00AC4A02" w:rsidRDefault="00AC4A02">
      <w:pPr>
        <w:jc w:val="both"/>
        <w:rPr>
          <w:rFonts w:ascii="Arial" w:hAnsi="Arial" w:cs="Arial"/>
          <w:sz w:val="20"/>
        </w:rPr>
      </w:pPr>
    </w:p>
    <w:p w14:paraId="7FAC2143" w14:textId="77777777" w:rsidR="00B21DA4" w:rsidRDefault="00B21DA4">
      <w:pPr>
        <w:jc w:val="both"/>
        <w:rPr>
          <w:rFonts w:ascii="Arial" w:hAnsi="Arial" w:cs="Arial"/>
          <w:sz w:val="20"/>
        </w:rPr>
      </w:pPr>
      <w:r>
        <w:rPr>
          <w:rFonts w:ascii="Arial" w:hAnsi="Arial" w:cs="Arial"/>
          <w:sz w:val="20"/>
        </w:rPr>
        <w:t>The Secretary to the Department may appeal pursuant to ss.</w:t>
      </w:r>
      <w:r w:rsidR="00AE31F8">
        <w:rPr>
          <w:rFonts w:ascii="Arial" w:hAnsi="Arial" w:cs="Arial"/>
          <w:sz w:val="20"/>
        </w:rPr>
        <w:t>271</w:t>
      </w:r>
      <w:r>
        <w:rPr>
          <w:rFonts w:ascii="Arial" w:hAnsi="Arial" w:cs="Arial"/>
          <w:sz w:val="20"/>
        </w:rPr>
        <w:t xml:space="preserve"> or </w:t>
      </w:r>
      <w:r w:rsidR="009B774F">
        <w:rPr>
          <w:rFonts w:ascii="Arial" w:hAnsi="Arial" w:cs="Arial"/>
          <w:sz w:val="20"/>
        </w:rPr>
        <w:t>329</w:t>
      </w:r>
      <w:r>
        <w:rPr>
          <w:rFonts w:ascii="Arial" w:hAnsi="Arial" w:cs="Arial"/>
          <w:sz w:val="20"/>
        </w:rPr>
        <w:t xml:space="preserve"> of the CY</w:t>
      </w:r>
      <w:r w:rsidR="00C374EE">
        <w:rPr>
          <w:rFonts w:ascii="Arial" w:hAnsi="Arial" w:cs="Arial"/>
          <w:sz w:val="20"/>
        </w:rPr>
        <w:t>F</w:t>
      </w:r>
      <w:r>
        <w:rPr>
          <w:rFonts w:ascii="Arial" w:hAnsi="Arial" w:cs="Arial"/>
          <w:sz w:val="20"/>
        </w:rPr>
        <w:t>A only by an officer properly delegated under s.</w:t>
      </w:r>
      <w:r w:rsidR="009B774F">
        <w:rPr>
          <w:rFonts w:ascii="Arial" w:hAnsi="Arial" w:cs="Arial"/>
          <w:sz w:val="20"/>
        </w:rPr>
        <w:t>1</w:t>
      </w:r>
      <w:r>
        <w:rPr>
          <w:rFonts w:ascii="Arial" w:hAnsi="Arial" w:cs="Arial"/>
          <w:sz w:val="20"/>
        </w:rPr>
        <w:t xml:space="preserve">7: see the decision of Balmford J </w:t>
      </w:r>
      <w:r w:rsidR="009B774F">
        <w:rPr>
          <w:rFonts w:ascii="Arial" w:hAnsi="Arial" w:cs="Arial"/>
          <w:sz w:val="20"/>
        </w:rPr>
        <w:t xml:space="preserve">in relation to similar provisions in the CYPA </w:t>
      </w:r>
      <w:r>
        <w:rPr>
          <w:rFonts w:ascii="Arial" w:hAnsi="Arial" w:cs="Arial"/>
          <w:sz w:val="20"/>
        </w:rPr>
        <w:t xml:space="preserve">in </w:t>
      </w:r>
      <w:r>
        <w:rPr>
          <w:rFonts w:ascii="Arial" w:hAnsi="Arial" w:cs="Arial"/>
          <w:i/>
          <w:iCs/>
          <w:sz w:val="20"/>
        </w:rPr>
        <w:t>E v W</w:t>
      </w:r>
      <w:r w:rsidR="00AE31F8">
        <w:rPr>
          <w:rFonts w:ascii="Arial" w:hAnsi="Arial" w:cs="Arial"/>
          <w:sz w:val="20"/>
        </w:rPr>
        <w:t xml:space="preserve"> [2001] VSC 132.</w:t>
      </w:r>
    </w:p>
    <w:p w14:paraId="0984FA95" w14:textId="77777777" w:rsidR="00B21DA4" w:rsidRDefault="00B21DA4">
      <w:pPr>
        <w:jc w:val="both"/>
        <w:rPr>
          <w:rFonts w:ascii="Arial" w:hAnsi="Arial" w:cs="Arial"/>
          <w:sz w:val="20"/>
        </w:rPr>
      </w:pPr>
    </w:p>
    <w:p w14:paraId="4D8DE7B1" w14:textId="76386478" w:rsidR="00B21DA4" w:rsidRDefault="00B21DA4">
      <w:pPr>
        <w:jc w:val="both"/>
        <w:rPr>
          <w:rFonts w:ascii="Arial" w:hAnsi="Arial" w:cs="Arial"/>
          <w:sz w:val="20"/>
        </w:rPr>
      </w:pPr>
      <w:r>
        <w:rPr>
          <w:rFonts w:ascii="Arial" w:hAnsi="Arial" w:cs="Arial"/>
          <w:sz w:val="20"/>
        </w:rPr>
        <w:t xml:space="preserve">Sections </w:t>
      </w:r>
      <w:r w:rsidR="00D83C7E">
        <w:rPr>
          <w:rFonts w:ascii="Arial" w:hAnsi="Arial" w:cs="Arial"/>
          <w:sz w:val="20"/>
        </w:rPr>
        <w:t>330</w:t>
      </w:r>
      <w:r>
        <w:rPr>
          <w:rFonts w:ascii="Arial" w:hAnsi="Arial" w:cs="Arial"/>
          <w:sz w:val="20"/>
        </w:rPr>
        <w:t xml:space="preserve"> (Family Division) &amp; </w:t>
      </w:r>
      <w:r w:rsidR="00D83C7E">
        <w:rPr>
          <w:rFonts w:ascii="Arial" w:hAnsi="Arial" w:cs="Arial"/>
          <w:sz w:val="20"/>
        </w:rPr>
        <w:t>430</w:t>
      </w:r>
      <w:r w:rsidR="00DC0C00">
        <w:rPr>
          <w:rFonts w:ascii="Arial" w:hAnsi="Arial" w:cs="Arial"/>
          <w:sz w:val="20"/>
        </w:rPr>
        <w:t>ZD</w:t>
      </w:r>
      <w:r>
        <w:rPr>
          <w:rFonts w:ascii="Arial" w:hAnsi="Arial" w:cs="Arial"/>
          <w:sz w:val="20"/>
        </w:rPr>
        <w:t xml:space="preserve"> (Criminal Division) require that appeals under ss.</w:t>
      </w:r>
      <w:r w:rsidR="00D83C7E">
        <w:rPr>
          <w:rFonts w:ascii="Arial" w:hAnsi="Arial" w:cs="Arial"/>
          <w:sz w:val="20"/>
        </w:rPr>
        <w:t>329</w:t>
      </w:r>
      <w:r>
        <w:rPr>
          <w:rFonts w:ascii="Arial" w:hAnsi="Arial" w:cs="Arial"/>
          <w:sz w:val="20"/>
        </w:rPr>
        <w:t xml:space="preserve">, </w:t>
      </w:r>
      <w:r w:rsidR="00D83C7E">
        <w:rPr>
          <w:rFonts w:ascii="Arial" w:hAnsi="Arial" w:cs="Arial"/>
          <w:sz w:val="20"/>
        </w:rPr>
        <w:t>424</w:t>
      </w:r>
      <w:r>
        <w:rPr>
          <w:rFonts w:ascii="Arial" w:hAnsi="Arial" w:cs="Arial"/>
          <w:sz w:val="20"/>
        </w:rPr>
        <w:t xml:space="preserve">, </w:t>
      </w:r>
      <w:r w:rsidR="00D83C7E">
        <w:rPr>
          <w:rFonts w:ascii="Arial" w:hAnsi="Arial" w:cs="Arial"/>
          <w:sz w:val="20"/>
        </w:rPr>
        <w:t>42</w:t>
      </w:r>
      <w:r w:rsidR="00DE112D">
        <w:rPr>
          <w:rFonts w:ascii="Arial" w:hAnsi="Arial" w:cs="Arial"/>
          <w:sz w:val="20"/>
        </w:rPr>
        <w:t>7</w:t>
      </w:r>
      <w:r>
        <w:rPr>
          <w:rFonts w:ascii="Arial" w:hAnsi="Arial" w:cs="Arial"/>
          <w:sz w:val="20"/>
        </w:rPr>
        <w:t xml:space="preserve"> or </w:t>
      </w:r>
      <w:r w:rsidR="00D83C7E">
        <w:rPr>
          <w:rFonts w:ascii="Arial" w:hAnsi="Arial" w:cs="Arial"/>
          <w:sz w:val="20"/>
        </w:rPr>
        <w:t>4</w:t>
      </w:r>
      <w:r w:rsidR="00DE112D">
        <w:rPr>
          <w:rFonts w:ascii="Arial" w:hAnsi="Arial" w:cs="Arial"/>
          <w:sz w:val="20"/>
        </w:rPr>
        <w:t>30P</w:t>
      </w:r>
      <w:r>
        <w:rPr>
          <w:rFonts w:ascii="Arial" w:hAnsi="Arial" w:cs="Arial"/>
          <w:sz w:val="20"/>
        </w:rPr>
        <w:t xml:space="preserve"> are to be heard in open court unless the appeal court orders otherwise.</w:t>
      </w:r>
    </w:p>
    <w:p w14:paraId="57FE48AB" w14:textId="77777777" w:rsidR="00B21DA4" w:rsidRDefault="00B21DA4">
      <w:pPr>
        <w:jc w:val="both"/>
        <w:rPr>
          <w:rFonts w:ascii="Arial" w:hAnsi="Arial" w:cs="Arial"/>
          <w:sz w:val="20"/>
        </w:rPr>
      </w:pPr>
    </w:p>
    <w:p w14:paraId="51369A04" w14:textId="77777777" w:rsidR="00B21DA4" w:rsidRDefault="00B21DA4">
      <w:pPr>
        <w:jc w:val="both"/>
        <w:rPr>
          <w:rFonts w:ascii="Arial" w:hAnsi="Arial" w:cs="Arial"/>
          <w:sz w:val="20"/>
        </w:rPr>
      </w:pPr>
      <w:r>
        <w:rPr>
          <w:rFonts w:ascii="Arial" w:hAnsi="Arial" w:cs="Arial"/>
          <w:sz w:val="20"/>
        </w:rPr>
        <w:t>Appeals in the Court of Appeal &amp; the High Court of Australia are generally heard by a court comprised of 3 &amp; 5 judges respectively.  If the appeal court is not unanimous as to the outcome of the appeal, it is determined by decision of the majority.</w:t>
      </w:r>
    </w:p>
    <w:p w14:paraId="36BF79C0" w14:textId="77777777" w:rsidR="00FC0676" w:rsidRDefault="00FC0676" w:rsidP="00FC0676">
      <w:pPr>
        <w:jc w:val="both"/>
        <w:rPr>
          <w:rFonts w:ascii="Arial" w:hAnsi="Arial" w:cs="Arial"/>
          <w:sz w:val="20"/>
        </w:rPr>
      </w:pPr>
    </w:p>
    <w:p w14:paraId="6AAE7C9C" w14:textId="77777777" w:rsidR="00FC0676" w:rsidRDefault="00FC0676" w:rsidP="00FC0676">
      <w:pPr>
        <w:jc w:val="both"/>
        <w:rPr>
          <w:rFonts w:ascii="Arial" w:hAnsi="Arial" w:cs="Arial"/>
          <w:sz w:val="20"/>
        </w:rPr>
      </w:pPr>
      <w:r>
        <w:rPr>
          <w:rFonts w:ascii="Arial" w:hAnsi="Arial" w:cs="Arial"/>
          <w:sz w:val="20"/>
        </w:rPr>
        <w:t>Appeals from decisions of the County Court, the Supreme Court or the Court of Appeal are restricted to appeals on a question of law.</w:t>
      </w:r>
    </w:p>
    <w:p w14:paraId="42EF5FE9" w14:textId="77777777" w:rsidR="00FC0676" w:rsidRDefault="00FC0676">
      <w:pPr>
        <w:jc w:val="both"/>
        <w:rPr>
          <w:rFonts w:ascii="Arial" w:hAnsi="Arial" w:cs="Arial"/>
          <w:sz w:val="20"/>
        </w:rPr>
      </w:pPr>
    </w:p>
    <w:p w14:paraId="743F556B" w14:textId="4554FBA1" w:rsidR="00B21DA4" w:rsidRDefault="000C1B40">
      <w:pPr>
        <w:jc w:val="both"/>
        <w:rPr>
          <w:rFonts w:ascii="Arial" w:hAnsi="Arial" w:cs="Arial"/>
          <w:sz w:val="20"/>
        </w:rPr>
      </w:pPr>
      <w:r>
        <w:rPr>
          <w:rFonts w:ascii="Arial" w:hAnsi="Arial" w:cs="Arial"/>
          <w:sz w:val="20"/>
        </w:rPr>
        <w:t xml:space="preserve">Sections 329(10) (Family Division) and ss.430A &amp; 430Z (Criminal Division) provide for orders </w:t>
      </w:r>
      <w:r w:rsidR="00077FAD">
        <w:rPr>
          <w:rFonts w:ascii="Arial" w:hAnsi="Arial" w:cs="Arial"/>
          <w:sz w:val="20"/>
        </w:rPr>
        <w:t xml:space="preserve">to be made in certain circumstances staying orders of the Children’s Court </w:t>
      </w:r>
      <w:r>
        <w:rPr>
          <w:rFonts w:ascii="Arial" w:hAnsi="Arial" w:cs="Arial"/>
          <w:sz w:val="20"/>
        </w:rPr>
        <w:t>when app</w:t>
      </w:r>
      <w:r w:rsidR="00077FAD">
        <w:rPr>
          <w:rFonts w:ascii="Arial" w:hAnsi="Arial" w:cs="Arial"/>
          <w:sz w:val="20"/>
        </w:rPr>
        <w:t xml:space="preserve">eal proceedings have been initiated.  </w:t>
      </w:r>
      <w:r w:rsidR="00B21DA4">
        <w:rPr>
          <w:rFonts w:ascii="Arial" w:hAnsi="Arial" w:cs="Arial"/>
          <w:sz w:val="20"/>
        </w:rPr>
        <w:t xml:space="preserve">In </w:t>
      </w:r>
      <w:r w:rsidR="00B21DA4">
        <w:rPr>
          <w:rFonts w:ascii="Arial" w:hAnsi="Arial" w:cs="Arial"/>
          <w:i/>
          <w:iCs/>
          <w:sz w:val="20"/>
        </w:rPr>
        <w:t>CC v DOHS</w:t>
      </w:r>
      <w:r w:rsidR="00B21DA4">
        <w:rPr>
          <w:rFonts w:ascii="Arial" w:hAnsi="Arial" w:cs="Arial"/>
          <w:sz w:val="20"/>
        </w:rPr>
        <w:t xml:space="preserve"> [2003] VSC 134 at [29] Habersberger J held that there is no statutory provision giving the County Court jurisdiction to grant a stay of an order of the Children's Court prior to the actual hearing of an appeal.  However at [31] his Honour held </w:t>
      </w:r>
      <w:r w:rsidR="005875FB">
        <w:rPr>
          <w:rFonts w:ascii="Arial" w:hAnsi="Arial" w:cs="Arial"/>
          <w:sz w:val="20"/>
        </w:rPr>
        <w:t>–</w:t>
      </w:r>
      <w:r w:rsidR="00B21DA4">
        <w:rPr>
          <w:rFonts w:ascii="Arial" w:hAnsi="Arial" w:cs="Arial"/>
          <w:sz w:val="20"/>
        </w:rPr>
        <w:t xml:space="preserve"> on</w:t>
      </w:r>
      <w:r w:rsidR="005875FB">
        <w:rPr>
          <w:rFonts w:ascii="Arial" w:hAnsi="Arial" w:cs="Arial"/>
          <w:sz w:val="20"/>
        </w:rPr>
        <w:t xml:space="preserve"> </w:t>
      </w:r>
      <w:r w:rsidR="00B21DA4">
        <w:rPr>
          <w:rFonts w:ascii="Arial" w:hAnsi="Arial" w:cs="Arial"/>
          <w:sz w:val="20"/>
        </w:rPr>
        <w:t xml:space="preserve">the authority of </w:t>
      </w:r>
      <w:r w:rsidR="00B21DA4">
        <w:rPr>
          <w:rFonts w:ascii="Arial" w:hAnsi="Arial" w:cs="Arial"/>
          <w:i/>
          <w:iCs/>
          <w:sz w:val="20"/>
        </w:rPr>
        <w:t>Cocker v Tempest</w:t>
      </w:r>
      <w:r w:rsidR="00B21DA4">
        <w:rPr>
          <w:rFonts w:ascii="Arial" w:hAnsi="Arial" w:cs="Arial"/>
          <w:sz w:val="20"/>
        </w:rPr>
        <w:t xml:space="preserve"> (1841) 7 M &amp; W 501 at 503-4; 151 ER 864 at 865 and </w:t>
      </w:r>
      <w:r w:rsidR="00B21DA4">
        <w:rPr>
          <w:rFonts w:ascii="Arial" w:hAnsi="Arial" w:cs="Arial"/>
          <w:i/>
          <w:iCs/>
          <w:sz w:val="20"/>
        </w:rPr>
        <w:t>Dietrich v The Queen</w:t>
      </w:r>
      <w:r w:rsidR="00B21DA4">
        <w:rPr>
          <w:rFonts w:ascii="Arial" w:hAnsi="Arial" w:cs="Arial"/>
          <w:sz w:val="20"/>
        </w:rPr>
        <w:t xml:space="preserve"> (1992) 177 CLR 292 </w:t>
      </w:r>
      <w:r w:rsidR="005875FB">
        <w:rPr>
          <w:rFonts w:ascii="Arial" w:hAnsi="Arial" w:cs="Arial"/>
          <w:sz w:val="20"/>
        </w:rPr>
        <w:t>–</w:t>
      </w:r>
      <w:r w:rsidR="00B21DA4">
        <w:rPr>
          <w:rFonts w:ascii="Arial" w:hAnsi="Arial" w:cs="Arial"/>
          <w:sz w:val="20"/>
        </w:rPr>
        <w:t xml:space="preserve"> that</w:t>
      </w:r>
      <w:r w:rsidR="005875FB">
        <w:rPr>
          <w:rFonts w:ascii="Arial" w:hAnsi="Arial" w:cs="Arial"/>
          <w:sz w:val="20"/>
        </w:rPr>
        <w:t xml:space="preserve"> </w:t>
      </w:r>
      <w:r w:rsidR="00B21DA4">
        <w:rPr>
          <w:rFonts w:ascii="Arial" w:hAnsi="Arial" w:cs="Arial"/>
          <w:sz w:val="20"/>
        </w:rPr>
        <w:t xml:space="preserve">the County Court has an inherent power to </w:t>
      </w:r>
      <w:r w:rsidR="00A064DE">
        <w:rPr>
          <w:rFonts w:ascii="Arial" w:hAnsi="Arial" w:cs="Arial"/>
          <w:sz w:val="20"/>
        </w:rPr>
        <w:t>grant</w:t>
      </w:r>
      <w:r w:rsidR="00B21DA4">
        <w:rPr>
          <w:rFonts w:ascii="Arial" w:hAnsi="Arial" w:cs="Arial"/>
          <w:sz w:val="20"/>
        </w:rPr>
        <w:t xml:space="preserve"> such an order pending the hearing of an appeal in order to prevent an injustice to a party to the appeal.</w:t>
      </w:r>
    </w:p>
    <w:p w14:paraId="3CBCD9AA" w14:textId="77777777" w:rsidR="003C751E" w:rsidRDefault="003C751E" w:rsidP="003C751E">
      <w:pPr>
        <w:jc w:val="both"/>
        <w:rPr>
          <w:rFonts w:ascii="Arial" w:hAnsi="Arial" w:cs="Arial"/>
          <w:sz w:val="20"/>
        </w:rPr>
      </w:pPr>
    </w:p>
    <w:p w14:paraId="33F728E6" w14:textId="77777777" w:rsidR="00433AC1" w:rsidRDefault="00F244AE" w:rsidP="003C751E">
      <w:pPr>
        <w:jc w:val="both"/>
        <w:rPr>
          <w:rFonts w:ascii="Arial" w:hAnsi="Arial" w:cs="Arial"/>
          <w:sz w:val="20"/>
        </w:rPr>
      </w:pPr>
      <w:r>
        <w:rPr>
          <w:rFonts w:ascii="Arial" w:hAnsi="Arial" w:cs="Arial"/>
          <w:sz w:val="20"/>
        </w:rPr>
        <w:t>Section</w:t>
      </w:r>
      <w:r w:rsidR="00321E2C">
        <w:rPr>
          <w:rFonts w:ascii="Arial" w:hAnsi="Arial" w:cs="Arial"/>
          <w:sz w:val="20"/>
        </w:rPr>
        <w:t>s</w:t>
      </w:r>
      <w:r>
        <w:rPr>
          <w:rFonts w:ascii="Arial" w:hAnsi="Arial" w:cs="Arial"/>
          <w:sz w:val="20"/>
        </w:rPr>
        <w:t xml:space="preserve"> </w:t>
      </w:r>
      <w:r w:rsidR="00D83C7E">
        <w:rPr>
          <w:rFonts w:ascii="Arial" w:hAnsi="Arial" w:cs="Arial"/>
          <w:sz w:val="20"/>
        </w:rPr>
        <w:t>42</w:t>
      </w:r>
      <w:r w:rsidR="00077FAD">
        <w:rPr>
          <w:rFonts w:ascii="Arial" w:hAnsi="Arial" w:cs="Arial"/>
          <w:sz w:val="20"/>
        </w:rPr>
        <w:t>6</w:t>
      </w:r>
      <w:r w:rsidR="00433AC1">
        <w:rPr>
          <w:rFonts w:ascii="Arial" w:hAnsi="Arial" w:cs="Arial"/>
          <w:sz w:val="20"/>
        </w:rPr>
        <w:t>(</w:t>
      </w:r>
      <w:r w:rsidR="00077FAD">
        <w:rPr>
          <w:rFonts w:ascii="Arial" w:hAnsi="Arial" w:cs="Arial"/>
          <w:sz w:val="20"/>
        </w:rPr>
        <w:t>9</w:t>
      </w:r>
      <w:r w:rsidR="00433AC1">
        <w:rPr>
          <w:rFonts w:ascii="Arial" w:hAnsi="Arial" w:cs="Arial"/>
          <w:sz w:val="20"/>
        </w:rPr>
        <w:t xml:space="preserve">) </w:t>
      </w:r>
      <w:r w:rsidR="00077FAD">
        <w:rPr>
          <w:rFonts w:ascii="Arial" w:hAnsi="Arial" w:cs="Arial"/>
          <w:sz w:val="20"/>
        </w:rPr>
        <w:t xml:space="preserve">&amp; 429(9) </w:t>
      </w:r>
      <w:r>
        <w:rPr>
          <w:rFonts w:ascii="Arial" w:hAnsi="Arial" w:cs="Arial"/>
          <w:sz w:val="20"/>
        </w:rPr>
        <w:t>of the CY</w:t>
      </w:r>
      <w:r w:rsidR="00D83C7E">
        <w:rPr>
          <w:rFonts w:ascii="Arial" w:hAnsi="Arial" w:cs="Arial"/>
          <w:sz w:val="20"/>
        </w:rPr>
        <w:t>F</w:t>
      </w:r>
      <w:r>
        <w:rPr>
          <w:rFonts w:ascii="Arial" w:hAnsi="Arial" w:cs="Arial"/>
          <w:sz w:val="20"/>
        </w:rPr>
        <w:t xml:space="preserve">A </w:t>
      </w:r>
      <w:r w:rsidR="00433AC1">
        <w:rPr>
          <w:rFonts w:ascii="Arial" w:hAnsi="Arial" w:cs="Arial"/>
          <w:sz w:val="20"/>
        </w:rPr>
        <w:t xml:space="preserve">provide that </w:t>
      </w:r>
      <w:r>
        <w:rPr>
          <w:rFonts w:ascii="Arial" w:hAnsi="Arial" w:cs="Arial"/>
          <w:sz w:val="20"/>
        </w:rPr>
        <w:t>on an appeal under s.</w:t>
      </w:r>
      <w:r w:rsidR="00D83C7E">
        <w:rPr>
          <w:rFonts w:ascii="Arial" w:hAnsi="Arial" w:cs="Arial"/>
          <w:sz w:val="20"/>
        </w:rPr>
        <w:t>424</w:t>
      </w:r>
      <w:r>
        <w:rPr>
          <w:rFonts w:ascii="Arial" w:hAnsi="Arial" w:cs="Arial"/>
          <w:sz w:val="20"/>
        </w:rPr>
        <w:t xml:space="preserve"> </w:t>
      </w:r>
      <w:r w:rsidR="00321E2C">
        <w:rPr>
          <w:rFonts w:ascii="Arial" w:hAnsi="Arial" w:cs="Arial"/>
          <w:sz w:val="20"/>
        </w:rPr>
        <w:t xml:space="preserve">or s.427 </w:t>
      </w:r>
      <w:r w:rsidR="00433AC1">
        <w:rPr>
          <w:rFonts w:ascii="Arial" w:hAnsi="Arial" w:cs="Arial"/>
          <w:sz w:val="20"/>
        </w:rPr>
        <w:t>the Supreme Court and County Court may, despite anything to the contrary in the CY</w:t>
      </w:r>
      <w:r w:rsidR="00C374EE">
        <w:rPr>
          <w:rFonts w:ascii="Arial" w:hAnsi="Arial" w:cs="Arial"/>
          <w:sz w:val="20"/>
        </w:rPr>
        <w:t>F</w:t>
      </w:r>
      <w:r w:rsidR="00433AC1">
        <w:rPr>
          <w:rFonts w:ascii="Arial" w:hAnsi="Arial" w:cs="Arial"/>
          <w:sz w:val="20"/>
        </w:rPr>
        <w:t xml:space="preserve">A, make a probation order, youth supervision order or youth attendance order in respect of a person even though at the time of making that order the person is of or above the age of </w:t>
      </w:r>
      <w:r>
        <w:rPr>
          <w:rFonts w:ascii="Arial" w:hAnsi="Arial" w:cs="Arial"/>
          <w:sz w:val="20"/>
        </w:rPr>
        <w:t>19 years but under 21 years.</w:t>
      </w:r>
    </w:p>
    <w:p w14:paraId="2BE8C6BD" w14:textId="77777777" w:rsidR="00F244AE" w:rsidRDefault="00F244AE" w:rsidP="003C751E">
      <w:pPr>
        <w:jc w:val="both"/>
        <w:rPr>
          <w:rFonts w:ascii="Arial" w:hAnsi="Arial" w:cs="Arial"/>
          <w:sz w:val="20"/>
        </w:rPr>
      </w:pPr>
    </w:p>
    <w:p w14:paraId="1C1D0991" w14:textId="03AA5A3F" w:rsidR="00433AC1" w:rsidRDefault="001B6181" w:rsidP="00B04EE8">
      <w:pPr>
        <w:jc w:val="both"/>
        <w:rPr>
          <w:rFonts w:ascii="Arial" w:hAnsi="Arial" w:cs="Arial"/>
          <w:sz w:val="20"/>
        </w:rPr>
      </w:pPr>
      <w:r>
        <w:rPr>
          <w:rFonts w:ascii="Arial" w:hAnsi="Arial" w:cs="Arial"/>
          <w:sz w:val="20"/>
        </w:rPr>
        <w:t xml:space="preserve">Sections 427-429 </w:t>
      </w:r>
      <w:r w:rsidR="00C35E7B">
        <w:rPr>
          <w:rFonts w:ascii="Arial" w:hAnsi="Arial" w:cs="Arial"/>
          <w:sz w:val="20"/>
        </w:rPr>
        <w:t xml:space="preserve">of the CYFA </w:t>
      </w:r>
      <w:r>
        <w:rPr>
          <w:rFonts w:ascii="Arial" w:hAnsi="Arial" w:cs="Arial"/>
          <w:sz w:val="20"/>
        </w:rPr>
        <w:t xml:space="preserve">grant and regulate </w:t>
      </w:r>
      <w:r w:rsidR="00C35E7B">
        <w:rPr>
          <w:rFonts w:ascii="Arial" w:hAnsi="Arial" w:cs="Arial"/>
          <w:sz w:val="20"/>
        </w:rPr>
        <w:t xml:space="preserve">a power for the DPP to appeal against a sentence imposed by the Children’s Court in a summary proceeding in the Criminal Division. </w:t>
      </w:r>
      <w:r w:rsidR="00701F42">
        <w:rPr>
          <w:rFonts w:ascii="Arial" w:hAnsi="Arial" w:cs="Arial"/>
          <w:sz w:val="20"/>
        </w:rPr>
        <w:t xml:space="preserve">Principles upon which an appeal court must act in considering a Crown appeal against sentence are set out in the judgment of Charles J in </w:t>
      </w:r>
      <w:r w:rsidR="00701F42" w:rsidRPr="00FF1FEA">
        <w:rPr>
          <w:rFonts w:ascii="Arial" w:hAnsi="Arial" w:cs="Arial"/>
          <w:i/>
          <w:sz w:val="20"/>
        </w:rPr>
        <w:t>R v Clark</w:t>
      </w:r>
      <w:r w:rsidR="004600E7">
        <w:rPr>
          <w:rFonts w:ascii="Arial" w:hAnsi="Arial" w:cs="Arial"/>
          <w:i/>
          <w:sz w:val="20"/>
        </w:rPr>
        <w:t>e</w:t>
      </w:r>
      <w:r w:rsidR="00701F42">
        <w:rPr>
          <w:rFonts w:ascii="Arial" w:hAnsi="Arial" w:cs="Arial"/>
          <w:sz w:val="20"/>
        </w:rPr>
        <w:t xml:space="preserve"> [1996] 2 VR 520 at 522.  See also </w:t>
      </w:r>
      <w:r w:rsidR="00701F42" w:rsidRPr="00701F42">
        <w:rPr>
          <w:rFonts w:ascii="Arial" w:hAnsi="Arial" w:cs="Arial"/>
          <w:i/>
          <w:sz w:val="20"/>
        </w:rPr>
        <w:t>DPP v Shields</w:t>
      </w:r>
      <w:r w:rsidR="00701F42">
        <w:rPr>
          <w:rFonts w:ascii="Arial" w:hAnsi="Arial" w:cs="Arial"/>
          <w:sz w:val="20"/>
        </w:rPr>
        <w:t xml:space="preserve"> [2005] VSCA 150 at [4].</w:t>
      </w:r>
    </w:p>
    <w:p w14:paraId="2104CF67" w14:textId="03D4993B" w:rsidR="00433AC1" w:rsidRDefault="00433AC1" w:rsidP="003C751E">
      <w:pPr>
        <w:jc w:val="both"/>
        <w:rPr>
          <w:rFonts w:ascii="Arial" w:hAnsi="Arial" w:cs="Arial"/>
          <w:sz w:val="20"/>
        </w:rPr>
      </w:pPr>
    </w:p>
    <w:p w14:paraId="03E63CFC" w14:textId="77777777" w:rsidR="00947E1E" w:rsidRDefault="006E2BAE" w:rsidP="003C751E">
      <w:pPr>
        <w:jc w:val="both"/>
        <w:rPr>
          <w:rFonts w:ascii="Arial" w:hAnsi="Arial" w:cs="Arial"/>
          <w:sz w:val="20"/>
        </w:rPr>
      </w:pPr>
      <w:r>
        <w:rPr>
          <w:rFonts w:ascii="Arial" w:hAnsi="Arial" w:cs="Arial"/>
          <w:sz w:val="20"/>
        </w:rPr>
        <w:t xml:space="preserve">In </w:t>
      </w:r>
      <w:proofErr w:type="spellStart"/>
      <w:r w:rsidRPr="00EB1CB8">
        <w:rPr>
          <w:rFonts w:ascii="Arial" w:hAnsi="Arial" w:cs="Arial"/>
          <w:i/>
          <w:iCs/>
          <w:sz w:val="20"/>
        </w:rPr>
        <w:t>Malwal</w:t>
      </w:r>
      <w:proofErr w:type="spellEnd"/>
      <w:r w:rsidRPr="00EB1CB8">
        <w:rPr>
          <w:rFonts w:ascii="Arial" w:hAnsi="Arial" w:cs="Arial"/>
          <w:i/>
          <w:iCs/>
          <w:sz w:val="20"/>
        </w:rPr>
        <w:t xml:space="preserve"> v The King</w:t>
      </w:r>
      <w:r>
        <w:rPr>
          <w:rFonts w:ascii="Arial" w:hAnsi="Arial" w:cs="Arial"/>
          <w:sz w:val="20"/>
        </w:rPr>
        <w:t xml:space="preserve"> [2026] VSCA 135 </w:t>
      </w:r>
      <w:r w:rsidR="00EB1CB8">
        <w:rPr>
          <w:rFonts w:ascii="Arial" w:hAnsi="Arial" w:cs="Arial"/>
          <w:sz w:val="20"/>
        </w:rPr>
        <w:t>the18-year-old applicant had been found guilty of aggravated home invasion and causing injury intentionally. The trial had been run on a narrow basis involving a dispute as to whether the applicant had entered the home and participated in the aggravated home invasion. The primary witness had described three</w:t>
      </w:r>
      <w:r w:rsidR="00947E1E">
        <w:rPr>
          <w:rFonts w:ascii="Arial" w:hAnsi="Arial" w:cs="Arial"/>
          <w:sz w:val="20"/>
        </w:rPr>
        <w:t>,</w:t>
      </w:r>
      <w:r w:rsidR="00EB1CB8">
        <w:rPr>
          <w:rFonts w:ascii="Arial" w:hAnsi="Arial" w:cs="Arial"/>
          <w:sz w:val="20"/>
        </w:rPr>
        <w:t xml:space="preserve"> then four offenders in the house. There was a 000 call by another witness describing four offenders in the house.</w:t>
      </w:r>
    </w:p>
    <w:p w14:paraId="6617C4AD" w14:textId="32BE4978" w:rsidR="006E2BAE" w:rsidRDefault="00EB1CB8" w:rsidP="00947E1E">
      <w:pPr>
        <w:spacing w:before="60"/>
        <w:jc w:val="both"/>
        <w:rPr>
          <w:rFonts w:ascii="Arial" w:hAnsi="Arial" w:cs="Arial"/>
          <w:sz w:val="20"/>
        </w:rPr>
      </w:pPr>
      <w:r>
        <w:rPr>
          <w:rFonts w:ascii="Arial" w:hAnsi="Arial" w:cs="Arial"/>
          <w:sz w:val="20"/>
        </w:rPr>
        <w:t>In relation to the relevant legal principles</w:t>
      </w:r>
      <w:r w:rsidR="00947E1E">
        <w:rPr>
          <w:rFonts w:ascii="Arial" w:hAnsi="Arial" w:cs="Arial"/>
          <w:sz w:val="20"/>
        </w:rPr>
        <w:t xml:space="preserve"> to be applied on the appeal</w:t>
      </w:r>
      <w:r>
        <w:rPr>
          <w:rFonts w:ascii="Arial" w:hAnsi="Arial" w:cs="Arial"/>
          <w:sz w:val="20"/>
        </w:rPr>
        <w:t xml:space="preserve">, </w:t>
      </w:r>
      <w:r w:rsidRPr="00EB1CB8">
        <w:rPr>
          <w:rFonts w:ascii="Arial" w:hAnsi="Arial" w:cs="Arial"/>
          <w:sz w:val="20"/>
        </w:rPr>
        <w:t>T</w:t>
      </w:r>
      <w:r>
        <w:rPr>
          <w:rFonts w:ascii="Arial" w:hAnsi="Arial" w:cs="Arial"/>
          <w:sz w:val="20"/>
        </w:rPr>
        <w:t>aylor</w:t>
      </w:r>
      <w:r w:rsidRPr="00EB1CB8">
        <w:rPr>
          <w:rFonts w:ascii="Arial" w:hAnsi="Arial" w:cs="Arial"/>
          <w:sz w:val="20"/>
        </w:rPr>
        <w:t>, B</w:t>
      </w:r>
      <w:r>
        <w:rPr>
          <w:rFonts w:ascii="Arial" w:hAnsi="Arial" w:cs="Arial"/>
          <w:sz w:val="20"/>
        </w:rPr>
        <w:t>oyce</w:t>
      </w:r>
      <w:r w:rsidRPr="00EB1CB8">
        <w:rPr>
          <w:rFonts w:ascii="Arial" w:hAnsi="Arial" w:cs="Arial"/>
          <w:sz w:val="20"/>
        </w:rPr>
        <w:t xml:space="preserve"> and T</w:t>
      </w:r>
      <w:r w:rsidR="00947E1E">
        <w:rPr>
          <w:rFonts w:ascii="Arial" w:hAnsi="Arial" w:cs="Arial"/>
          <w:sz w:val="20"/>
        </w:rPr>
        <w:t xml:space="preserve"> </w:t>
      </w:r>
      <w:r w:rsidRPr="00EB1CB8">
        <w:rPr>
          <w:rFonts w:ascii="Arial" w:hAnsi="Arial" w:cs="Arial"/>
          <w:sz w:val="20"/>
        </w:rPr>
        <w:t>F</w:t>
      </w:r>
      <w:r>
        <w:rPr>
          <w:rFonts w:ascii="Arial" w:hAnsi="Arial" w:cs="Arial"/>
          <w:sz w:val="20"/>
        </w:rPr>
        <w:t>orrest</w:t>
      </w:r>
      <w:r w:rsidRPr="00EB1CB8">
        <w:rPr>
          <w:rFonts w:ascii="Arial" w:hAnsi="Arial" w:cs="Arial"/>
          <w:sz w:val="20"/>
        </w:rPr>
        <w:t xml:space="preserve"> JJA</w:t>
      </w:r>
      <w:r>
        <w:rPr>
          <w:rFonts w:ascii="Arial" w:hAnsi="Arial" w:cs="Arial"/>
          <w:sz w:val="20"/>
        </w:rPr>
        <w:t xml:space="preserve"> said at [38]-[39]:</w:t>
      </w:r>
    </w:p>
    <w:p w14:paraId="3A3B2830" w14:textId="77777777" w:rsidR="00EB1CB8" w:rsidRDefault="00EB1CB8" w:rsidP="00EB1CB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[38] “</w:t>
      </w:r>
      <w:r w:rsidR="006E2BAE" w:rsidRPr="006E2BAE">
        <w:rPr>
          <w:rFonts w:ascii="Arial" w:hAnsi="Arial" w:cs="Arial"/>
          <w:sz w:val="20"/>
        </w:rPr>
        <w:t>This Court must allow an appeal against conviction if it is satisfied that ‘the verdict of the jury is unreasonable or cannot be supported having regard to the evidence’</w:t>
      </w:r>
      <w:r>
        <w:rPr>
          <w:rFonts w:ascii="Arial" w:hAnsi="Arial" w:cs="Arial"/>
          <w:sz w:val="20"/>
        </w:rPr>
        <w:t xml:space="preserve">: </w:t>
      </w:r>
      <w:r w:rsidRPr="00EB1CB8">
        <w:rPr>
          <w:rFonts w:ascii="Arial" w:hAnsi="Arial" w:cs="Arial"/>
          <w:i/>
          <w:iCs/>
          <w:sz w:val="20"/>
        </w:rPr>
        <w:t>Criminal Procedure Act 2009</w:t>
      </w:r>
      <w:r w:rsidRPr="006E2BAE">
        <w:rPr>
          <w:rFonts w:ascii="Arial" w:hAnsi="Arial" w:cs="Arial"/>
          <w:sz w:val="20"/>
        </w:rPr>
        <w:t>, s 276(1)(a).</w:t>
      </w:r>
      <w:r>
        <w:rPr>
          <w:rFonts w:ascii="Arial" w:hAnsi="Arial" w:cs="Arial"/>
          <w:sz w:val="20"/>
        </w:rPr>
        <w:t xml:space="preserve"> </w:t>
      </w:r>
      <w:r w:rsidR="006E2BAE" w:rsidRPr="006E2BAE">
        <w:rPr>
          <w:rFonts w:ascii="Arial" w:hAnsi="Arial" w:cs="Arial"/>
          <w:sz w:val="20"/>
        </w:rPr>
        <w:t xml:space="preserve">The applicable legal principles that must be applied when determining an unreasonable or unsafe jury verdict were set out by this Court in </w:t>
      </w:r>
      <w:r w:rsidR="006E2BAE" w:rsidRPr="00EB1CB8">
        <w:rPr>
          <w:rFonts w:ascii="Arial" w:hAnsi="Arial" w:cs="Arial"/>
          <w:i/>
          <w:iCs/>
          <w:sz w:val="20"/>
        </w:rPr>
        <w:t>Holland v The King</w:t>
      </w:r>
      <w:r>
        <w:rPr>
          <w:rFonts w:ascii="Arial" w:hAnsi="Arial" w:cs="Arial"/>
          <w:sz w:val="20"/>
        </w:rPr>
        <w:t xml:space="preserve"> </w:t>
      </w:r>
      <w:r w:rsidRPr="006E2BAE">
        <w:rPr>
          <w:rFonts w:ascii="Arial" w:hAnsi="Arial" w:cs="Arial"/>
          <w:sz w:val="20"/>
        </w:rPr>
        <w:t>[2025] VSCA 5, [9]</w:t>
      </w:r>
      <w:r>
        <w:rPr>
          <w:rFonts w:ascii="Arial" w:hAnsi="Arial" w:cs="Arial"/>
          <w:sz w:val="20"/>
        </w:rPr>
        <w:t>:</w:t>
      </w:r>
    </w:p>
    <w:p w14:paraId="28FBB0F5" w14:textId="7ECE3525" w:rsidR="00EB1CB8" w:rsidRPr="00A50F7F" w:rsidRDefault="00A50F7F" w:rsidP="00A50F7F">
      <w:pPr>
        <w:pStyle w:val="NormalWeb"/>
        <w:shd w:val="clear" w:color="auto" w:fill="FFFFFF"/>
        <w:spacing w:before="60" w:beforeAutospacing="0" w:after="0" w:afterAutospacing="0"/>
        <w:ind w:left="907" w:right="907"/>
        <w:jc w:val="both"/>
        <w:rPr>
          <w:rFonts w:ascii="Arial" w:hAnsi="Arial" w:cs="Arial"/>
          <w:sz w:val="18"/>
          <w:szCs w:val="22"/>
        </w:rPr>
      </w:pPr>
      <w:r w:rsidRPr="00A50F7F">
        <w:rPr>
          <w:rFonts w:ascii="Arial" w:hAnsi="Arial" w:cs="Arial"/>
          <w:sz w:val="18"/>
          <w:szCs w:val="22"/>
        </w:rPr>
        <w:t>The principles that this Court must apply are as follows:</w:t>
      </w:r>
    </w:p>
    <w:p w14:paraId="22D17609" w14:textId="68A9EAA7" w:rsidR="00EB1CB8" w:rsidRDefault="00A50F7F" w:rsidP="00A50F7F">
      <w:pPr>
        <w:pStyle w:val="NormalWeb"/>
        <w:numPr>
          <w:ilvl w:val="0"/>
          <w:numId w:val="181"/>
        </w:numPr>
        <w:shd w:val="clear" w:color="auto" w:fill="FFFFFF"/>
        <w:spacing w:before="60" w:beforeAutospacing="0" w:after="0" w:afterAutospacing="0"/>
        <w:ind w:right="907"/>
        <w:jc w:val="both"/>
        <w:rPr>
          <w:rFonts w:ascii="Arial" w:hAnsi="Arial" w:cs="Arial"/>
          <w:sz w:val="18"/>
          <w:szCs w:val="18"/>
        </w:rPr>
      </w:pPr>
      <w:r w:rsidRPr="00A50F7F">
        <w:rPr>
          <w:rFonts w:ascii="Arial" w:hAnsi="Arial" w:cs="Arial"/>
          <w:sz w:val="18"/>
          <w:szCs w:val="18"/>
        </w:rPr>
        <w:t xml:space="preserve">The applicant must demonstrate that, on the whole of the evidence, it was not open to the jury to be satisfied beyond reasonable doubt of the offence charged: </w:t>
      </w:r>
      <w:r w:rsidRPr="00A50F7F">
        <w:rPr>
          <w:rFonts w:ascii="Arial" w:hAnsi="Arial" w:cs="Arial"/>
          <w:i/>
          <w:iCs/>
          <w:sz w:val="18"/>
          <w:szCs w:val="18"/>
        </w:rPr>
        <w:t>Paulson v The King</w:t>
      </w:r>
      <w:r w:rsidRPr="00A50F7F">
        <w:rPr>
          <w:rFonts w:ascii="Arial" w:hAnsi="Arial" w:cs="Arial"/>
          <w:sz w:val="18"/>
          <w:szCs w:val="18"/>
        </w:rPr>
        <w:t xml:space="preserve"> [2024] VSCA 188; </w:t>
      </w:r>
      <w:r w:rsidRPr="00A50F7F">
        <w:rPr>
          <w:rFonts w:ascii="Arial" w:hAnsi="Arial" w:cs="Arial"/>
          <w:i/>
          <w:iCs/>
          <w:sz w:val="18"/>
          <w:szCs w:val="18"/>
        </w:rPr>
        <w:t>M v The Queen</w:t>
      </w:r>
      <w:r w:rsidRPr="00A50F7F">
        <w:rPr>
          <w:rFonts w:ascii="Arial" w:hAnsi="Arial" w:cs="Arial"/>
          <w:sz w:val="18"/>
          <w:szCs w:val="18"/>
        </w:rPr>
        <w:t xml:space="preserve"> (1994) 181 CLR 487, 492–3</w:t>
      </w:r>
      <w:r w:rsidRPr="00A50F7F">
        <w:rPr>
          <w:rFonts w:ascii="Arial" w:hAnsi="Arial" w:cs="Arial"/>
          <w:i/>
          <w:iCs/>
          <w:sz w:val="18"/>
          <w:szCs w:val="18"/>
        </w:rPr>
        <w:t>; Plaza Lopez v The King</w:t>
      </w:r>
      <w:r w:rsidRPr="00A50F7F">
        <w:rPr>
          <w:rFonts w:ascii="Arial" w:hAnsi="Arial" w:cs="Arial"/>
          <w:sz w:val="18"/>
          <w:szCs w:val="18"/>
        </w:rPr>
        <w:t xml:space="preserve"> [2024] VSCA 265, [68].</w:t>
      </w:r>
    </w:p>
    <w:p w14:paraId="468B4A30" w14:textId="643A8CF2" w:rsidR="00A50F7F" w:rsidRDefault="00A50F7F" w:rsidP="00A50F7F">
      <w:pPr>
        <w:pStyle w:val="NormalWeb"/>
        <w:numPr>
          <w:ilvl w:val="0"/>
          <w:numId w:val="181"/>
        </w:numPr>
        <w:shd w:val="clear" w:color="auto" w:fill="FFFFFF"/>
        <w:spacing w:before="60" w:beforeAutospacing="0" w:after="0" w:afterAutospacing="0"/>
        <w:ind w:right="907"/>
        <w:jc w:val="both"/>
        <w:rPr>
          <w:rFonts w:ascii="Arial" w:hAnsi="Arial" w:cs="Arial"/>
          <w:sz w:val="18"/>
          <w:szCs w:val="18"/>
        </w:rPr>
      </w:pPr>
      <w:r w:rsidRPr="00A50F7F">
        <w:rPr>
          <w:rFonts w:ascii="Arial" w:hAnsi="Arial" w:cs="Arial"/>
          <w:sz w:val="18"/>
          <w:szCs w:val="18"/>
        </w:rPr>
        <w:lastRenderedPageBreak/>
        <w:t xml:space="preserve">The appellate Court must make its own independent assessment of the evidence giving full weight to the jury’s advantage in seeing and hearing the evidence: </w:t>
      </w:r>
      <w:r w:rsidRPr="00A50F7F">
        <w:rPr>
          <w:rFonts w:ascii="Arial" w:hAnsi="Arial" w:cs="Arial"/>
          <w:i/>
          <w:iCs/>
          <w:sz w:val="18"/>
          <w:szCs w:val="18"/>
        </w:rPr>
        <w:t>M v The Queen</w:t>
      </w:r>
      <w:r w:rsidRPr="00A50F7F">
        <w:rPr>
          <w:rFonts w:ascii="Arial" w:hAnsi="Arial" w:cs="Arial"/>
          <w:sz w:val="18"/>
          <w:szCs w:val="18"/>
        </w:rPr>
        <w:t xml:space="preserve"> (1994) 181 CLR 487, 492–3.</w:t>
      </w:r>
    </w:p>
    <w:p w14:paraId="63B75ECD" w14:textId="7D4C53D8" w:rsidR="00A50F7F" w:rsidRPr="00A50F7F" w:rsidRDefault="00A50F7F" w:rsidP="00A50F7F">
      <w:pPr>
        <w:pStyle w:val="NormalWeb"/>
        <w:numPr>
          <w:ilvl w:val="0"/>
          <w:numId w:val="181"/>
        </w:numPr>
        <w:shd w:val="clear" w:color="auto" w:fill="FFFFFF"/>
        <w:spacing w:before="60" w:beforeAutospacing="0" w:after="0" w:afterAutospacing="0"/>
        <w:ind w:right="907"/>
        <w:jc w:val="both"/>
        <w:rPr>
          <w:rFonts w:ascii="Arial" w:hAnsi="Arial" w:cs="Arial"/>
          <w:sz w:val="18"/>
          <w:szCs w:val="18"/>
        </w:rPr>
      </w:pPr>
      <w:r w:rsidRPr="00A50F7F">
        <w:rPr>
          <w:rFonts w:ascii="Arial" w:hAnsi="Arial" w:cs="Arial"/>
          <w:sz w:val="18"/>
          <w:szCs w:val="18"/>
        </w:rPr>
        <w:t xml:space="preserve">The jury is ‘the constitutional tribunal for deciding issues of fact’: Hocking v Bell </w:t>
      </w:r>
      <w:r>
        <w:rPr>
          <w:rFonts w:ascii="Arial" w:hAnsi="Arial" w:cs="Arial"/>
          <w:sz w:val="18"/>
          <w:szCs w:val="18"/>
        </w:rPr>
        <w:t>(</w:t>
      </w:r>
      <w:r w:rsidRPr="00A50F7F">
        <w:rPr>
          <w:rFonts w:ascii="Arial" w:hAnsi="Arial" w:cs="Arial"/>
          <w:sz w:val="18"/>
          <w:szCs w:val="18"/>
        </w:rPr>
        <w:t>1945</w:t>
      </w:r>
      <w:r>
        <w:rPr>
          <w:rFonts w:ascii="Arial" w:hAnsi="Arial" w:cs="Arial"/>
          <w:sz w:val="18"/>
          <w:szCs w:val="18"/>
        </w:rPr>
        <w:t>)</w:t>
      </w:r>
      <w:r w:rsidRPr="00A50F7F">
        <w:rPr>
          <w:rFonts w:ascii="Arial" w:hAnsi="Arial" w:cs="Arial"/>
          <w:sz w:val="18"/>
          <w:szCs w:val="18"/>
        </w:rPr>
        <w:t xml:space="preserve"> 71 CLR 430, 440 quoted in </w:t>
      </w:r>
      <w:r w:rsidRPr="00A50F7F">
        <w:rPr>
          <w:rFonts w:ascii="Arial" w:hAnsi="Arial" w:cs="Arial"/>
          <w:i/>
          <w:iCs/>
          <w:sz w:val="18"/>
          <w:szCs w:val="18"/>
        </w:rPr>
        <w:t>R v Baden-Clay</w:t>
      </w:r>
      <w:r w:rsidRPr="00A50F7F">
        <w:rPr>
          <w:rFonts w:ascii="Arial" w:hAnsi="Arial" w:cs="Arial"/>
          <w:sz w:val="18"/>
          <w:szCs w:val="18"/>
        </w:rPr>
        <w:t xml:space="preserve"> (2016) 258 CLR 308, 329 [65]</w:t>
      </w:r>
      <w:r>
        <w:rPr>
          <w:rFonts w:ascii="Arial" w:hAnsi="Arial" w:cs="Arial"/>
          <w:sz w:val="18"/>
          <w:szCs w:val="18"/>
        </w:rPr>
        <w:t>.</w:t>
      </w:r>
      <w:r w:rsidRPr="00A50F7F">
        <w:rPr>
          <w:rFonts w:ascii="Arial" w:hAnsi="Arial" w:cs="Arial"/>
          <w:sz w:val="18"/>
          <w:szCs w:val="18"/>
        </w:rPr>
        <w:t xml:space="preserve"> To set aside a jury verdict</w:t>
      </w:r>
      <w:r w:rsidRPr="00A50F7F">
        <w:rPr>
          <w:rFonts w:ascii="Arial" w:hAnsi="Arial" w:cs="Arial"/>
          <w:sz w:val="18"/>
          <w:szCs w:val="22"/>
        </w:rPr>
        <w:t xml:space="preserve"> on the ground that it is unreasonable is a ‘serious step’ and not to be taken without particular regard to the jury’s advantage of seeing and hearing the evidence</w:t>
      </w:r>
      <w:r>
        <w:rPr>
          <w:rFonts w:ascii="Arial" w:hAnsi="Arial" w:cs="Arial"/>
          <w:sz w:val="18"/>
          <w:szCs w:val="22"/>
        </w:rPr>
        <w:t xml:space="preserve">: </w:t>
      </w:r>
      <w:r w:rsidRPr="00A50F7F">
        <w:rPr>
          <w:rFonts w:ascii="Arial" w:hAnsi="Arial" w:cs="Arial"/>
          <w:i/>
          <w:iCs/>
          <w:sz w:val="18"/>
          <w:szCs w:val="22"/>
        </w:rPr>
        <w:t>R</w:t>
      </w:r>
      <w:r>
        <w:rPr>
          <w:rFonts w:ascii="Arial" w:hAnsi="Arial" w:cs="Arial"/>
          <w:i/>
          <w:iCs/>
          <w:sz w:val="18"/>
          <w:szCs w:val="22"/>
        </w:rPr>
        <w:t> </w:t>
      </w:r>
      <w:r w:rsidRPr="00A50F7F">
        <w:rPr>
          <w:rFonts w:ascii="Arial" w:hAnsi="Arial" w:cs="Arial"/>
          <w:i/>
          <w:iCs/>
          <w:sz w:val="18"/>
          <w:szCs w:val="22"/>
        </w:rPr>
        <w:t>v Baden-Clay</w:t>
      </w:r>
      <w:r w:rsidRPr="00A50F7F">
        <w:rPr>
          <w:rFonts w:ascii="Arial" w:hAnsi="Arial" w:cs="Arial"/>
          <w:sz w:val="18"/>
          <w:szCs w:val="22"/>
        </w:rPr>
        <w:t xml:space="preserve"> (2016) 258 CLR 308, 329 [65]. …</w:t>
      </w:r>
    </w:p>
    <w:p w14:paraId="02A9C9E0" w14:textId="722BF7CC" w:rsidR="00A50F7F" w:rsidRDefault="00A50F7F" w:rsidP="00A50F7F">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[39] </w:t>
      </w:r>
      <w:r w:rsidR="006E2BAE" w:rsidRPr="006E2BAE">
        <w:rPr>
          <w:rFonts w:ascii="Arial" w:hAnsi="Arial" w:cs="Arial"/>
          <w:sz w:val="20"/>
        </w:rPr>
        <w:t xml:space="preserve">Furthermore, both parties agreed that this Court must proceed on the basis that the jury accepted that the evidence of Mary concerning the presence of four intruders as credible and reliable. As was observed in </w:t>
      </w:r>
      <w:r w:rsidR="006E2BAE" w:rsidRPr="00A50F7F">
        <w:rPr>
          <w:rFonts w:ascii="Arial" w:hAnsi="Arial" w:cs="Arial"/>
          <w:i/>
          <w:iCs/>
          <w:sz w:val="20"/>
        </w:rPr>
        <w:t>Holland</w:t>
      </w:r>
      <w:r>
        <w:rPr>
          <w:rFonts w:ascii="Arial" w:hAnsi="Arial" w:cs="Arial"/>
          <w:sz w:val="20"/>
        </w:rPr>
        <w:t xml:space="preserve"> at [9]:</w:t>
      </w:r>
    </w:p>
    <w:p w14:paraId="41EA54CF" w14:textId="47A11FB8" w:rsidR="00A50F7F" w:rsidRPr="00A50F7F" w:rsidRDefault="00A50F7F" w:rsidP="00A50F7F">
      <w:pPr>
        <w:pStyle w:val="NormalWeb"/>
        <w:shd w:val="clear" w:color="auto" w:fill="FFFFFF"/>
        <w:spacing w:before="60" w:beforeAutospacing="0" w:after="0" w:afterAutospacing="0"/>
        <w:ind w:left="907" w:right="907"/>
        <w:jc w:val="both"/>
        <w:rPr>
          <w:rFonts w:ascii="Arial" w:hAnsi="Arial" w:cs="Arial"/>
          <w:sz w:val="18"/>
          <w:szCs w:val="22"/>
        </w:rPr>
      </w:pPr>
      <w:r w:rsidRPr="00A50F7F">
        <w:rPr>
          <w:rFonts w:ascii="Arial" w:hAnsi="Arial" w:cs="Arial"/>
          <w:sz w:val="18"/>
          <w:szCs w:val="22"/>
        </w:rPr>
        <w:t>The function of this Court is then to examine the record to see whether, notwithstanding that assessment, either by reason of other evidence, inconsistencies, discrepancies, or other inadequacy, the court is satisfied that the jury, acting rationally, ought nonetheless to have entertained a reasonable doubt as to proof of guilt</w:t>
      </w:r>
      <w:r>
        <w:rPr>
          <w:rFonts w:ascii="Arial" w:hAnsi="Arial" w:cs="Arial"/>
          <w:sz w:val="18"/>
          <w:szCs w:val="22"/>
        </w:rPr>
        <w:t xml:space="preserve">: </w:t>
      </w:r>
      <w:r w:rsidRPr="00A50F7F">
        <w:rPr>
          <w:rFonts w:ascii="Arial" w:hAnsi="Arial" w:cs="Arial"/>
          <w:i/>
          <w:iCs/>
          <w:sz w:val="18"/>
          <w:szCs w:val="22"/>
        </w:rPr>
        <w:t>Pell v The Queen</w:t>
      </w:r>
      <w:r w:rsidRPr="00A50F7F">
        <w:rPr>
          <w:rFonts w:ascii="Arial" w:hAnsi="Arial" w:cs="Arial"/>
          <w:sz w:val="18"/>
          <w:szCs w:val="22"/>
        </w:rPr>
        <w:t xml:space="preserve"> (2020) 268 CLR 123, 145 [39]; [2020] HCA 12.</w:t>
      </w:r>
      <w:r w:rsidR="00947E1E">
        <w:rPr>
          <w:rFonts w:ascii="Arial" w:hAnsi="Arial" w:cs="Arial"/>
          <w:sz w:val="18"/>
          <w:szCs w:val="22"/>
        </w:rPr>
        <w:t>”</w:t>
      </w:r>
    </w:p>
    <w:p w14:paraId="689719A2" w14:textId="60ECAF72" w:rsidR="00A50F7F" w:rsidRDefault="004960E4" w:rsidP="00947E1E">
      <w:pPr>
        <w:pStyle w:val="NormalWeb"/>
        <w:shd w:val="clear" w:color="auto" w:fill="FFFFFF"/>
        <w:spacing w:before="60" w:beforeAutospacing="0" w:after="0" w:afterAutospacing="0"/>
        <w:jc w:val="both"/>
        <w:rPr>
          <w:rFonts w:ascii="Arial" w:hAnsi="Arial" w:cs="Arial"/>
          <w:sz w:val="20"/>
        </w:rPr>
      </w:pPr>
      <w:r>
        <w:rPr>
          <w:rFonts w:ascii="Arial" w:hAnsi="Arial" w:cs="Arial"/>
          <w:sz w:val="20"/>
        </w:rPr>
        <w:t>For reasons detailed at [41]-[43] t</w:t>
      </w:r>
      <w:r w:rsidR="00947E1E">
        <w:rPr>
          <w:rFonts w:ascii="Arial" w:hAnsi="Arial" w:cs="Arial"/>
          <w:sz w:val="20"/>
        </w:rPr>
        <w:t xml:space="preserve">he Court of Appeal refused leave to appeal, holding that there was strong </w:t>
      </w:r>
      <w:r w:rsidR="00947E1E" w:rsidRPr="00EB1CB8">
        <w:rPr>
          <w:rFonts w:ascii="Arial" w:hAnsi="Arial" w:cs="Arial"/>
          <w:sz w:val="20"/>
        </w:rPr>
        <w:t xml:space="preserve">circumstantial evidence linking </w:t>
      </w:r>
      <w:r w:rsidR="00947E1E">
        <w:rPr>
          <w:rFonts w:ascii="Arial" w:hAnsi="Arial" w:cs="Arial"/>
          <w:sz w:val="20"/>
        </w:rPr>
        <w:t xml:space="preserve">the </w:t>
      </w:r>
      <w:r w:rsidR="00947E1E" w:rsidRPr="00EB1CB8">
        <w:rPr>
          <w:rFonts w:ascii="Arial" w:hAnsi="Arial" w:cs="Arial"/>
          <w:sz w:val="20"/>
        </w:rPr>
        <w:t>applicant with</w:t>
      </w:r>
      <w:r w:rsidR="00947E1E">
        <w:rPr>
          <w:rFonts w:ascii="Arial" w:hAnsi="Arial" w:cs="Arial"/>
          <w:sz w:val="20"/>
        </w:rPr>
        <w:t xml:space="preserve"> the</w:t>
      </w:r>
      <w:r w:rsidR="00947E1E" w:rsidRPr="00EB1CB8">
        <w:rPr>
          <w:rFonts w:ascii="Arial" w:hAnsi="Arial" w:cs="Arial"/>
          <w:sz w:val="20"/>
        </w:rPr>
        <w:t xml:space="preserve"> offending </w:t>
      </w:r>
      <w:r w:rsidR="00947E1E">
        <w:rPr>
          <w:rFonts w:ascii="Arial" w:hAnsi="Arial" w:cs="Arial"/>
          <w:sz w:val="20"/>
        </w:rPr>
        <w:t>and a</w:t>
      </w:r>
      <w:r w:rsidR="00947E1E" w:rsidRPr="00EB1CB8">
        <w:rPr>
          <w:rFonts w:ascii="Arial" w:hAnsi="Arial" w:cs="Arial"/>
          <w:sz w:val="20"/>
        </w:rPr>
        <w:t xml:space="preserve">mple evidence to find </w:t>
      </w:r>
      <w:r>
        <w:rPr>
          <w:rFonts w:ascii="Arial" w:hAnsi="Arial" w:cs="Arial"/>
          <w:sz w:val="20"/>
        </w:rPr>
        <w:t xml:space="preserve">the </w:t>
      </w:r>
      <w:r w:rsidR="00947E1E" w:rsidRPr="00EB1CB8">
        <w:rPr>
          <w:rFonts w:ascii="Arial" w:hAnsi="Arial" w:cs="Arial"/>
          <w:sz w:val="20"/>
        </w:rPr>
        <w:t>applicant guilty</w:t>
      </w:r>
      <w:r w:rsidR="00947E1E">
        <w:rPr>
          <w:rFonts w:ascii="Arial" w:hAnsi="Arial" w:cs="Arial"/>
          <w:sz w:val="20"/>
        </w:rPr>
        <w:t>.</w:t>
      </w:r>
    </w:p>
    <w:p w14:paraId="65E2A61E" w14:textId="77777777" w:rsidR="00947E1E" w:rsidRDefault="00947E1E" w:rsidP="00A50F7F">
      <w:pPr>
        <w:pStyle w:val="NormalWeb"/>
        <w:shd w:val="clear" w:color="auto" w:fill="FFFFFF"/>
        <w:spacing w:before="0" w:beforeAutospacing="0" w:after="0" w:afterAutospacing="0"/>
        <w:ind w:right="454"/>
        <w:jc w:val="both"/>
        <w:rPr>
          <w:rFonts w:ascii="Arial" w:hAnsi="Arial" w:cs="Arial"/>
          <w:sz w:val="20"/>
        </w:rPr>
      </w:pPr>
    </w:p>
    <w:p w14:paraId="2AA2E751" w14:textId="0CC33AA0" w:rsidR="00B04EE8" w:rsidRDefault="001468DD" w:rsidP="003C751E">
      <w:pPr>
        <w:jc w:val="both"/>
        <w:rPr>
          <w:rFonts w:ascii="Arial" w:hAnsi="Arial" w:cs="Arial"/>
          <w:sz w:val="20"/>
        </w:rPr>
      </w:pPr>
      <w:r>
        <w:rPr>
          <w:rFonts w:ascii="Arial" w:hAnsi="Arial" w:cs="Arial"/>
          <w:sz w:val="20"/>
        </w:rPr>
        <w:t xml:space="preserve">In </w:t>
      </w:r>
      <w:proofErr w:type="spellStart"/>
      <w:r w:rsidRPr="00B04EE8">
        <w:rPr>
          <w:rFonts w:ascii="Arial" w:hAnsi="Arial" w:cs="Arial"/>
          <w:i/>
          <w:iCs/>
          <w:sz w:val="20"/>
        </w:rPr>
        <w:t>Binse</w:t>
      </w:r>
      <w:proofErr w:type="spellEnd"/>
      <w:r w:rsidRPr="00B04EE8">
        <w:rPr>
          <w:rFonts w:ascii="Arial" w:hAnsi="Arial" w:cs="Arial"/>
          <w:i/>
          <w:iCs/>
          <w:sz w:val="20"/>
        </w:rPr>
        <w:t xml:space="preserve"> v The King</w:t>
      </w:r>
      <w:r>
        <w:rPr>
          <w:rFonts w:ascii="Arial" w:hAnsi="Arial" w:cs="Arial"/>
          <w:sz w:val="20"/>
        </w:rPr>
        <w:t xml:space="preserve"> [2025] VSCA 158, i</w:t>
      </w:r>
      <w:r w:rsidR="00B04EE8">
        <w:rPr>
          <w:rFonts w:ascii="Arial" w:hAnsi="Arial" w:cs="Arial"/>
          <w:sz w:val="20"/>
        </w:rPr>
        <w:t xml:space="preserve">n </w:t>
      </w:r>
      <w:r>
        <w:rPr>
          <w:rFonts w:ascii="Arial" w:hAnsi="Arial" w:cs="Arial"/>
          <w:sz w:val="20"/>
        </w:rPr>
        <w:t>refusing leave to</w:t>
      </w:r>
      <w:r w:rsidR="00B04EE8">
        <w:rPr>
          <w:rFonts w:ascii="Arial" w:hAnsi="Arial" w:cs="Arial"/>
          <w:sz w:val="20"/>
        </w:rPr>
        <w:t xml:space="preserve"> appeal against conviction after a guilty plea</w:t>
      </w:r>
      <w:r>
        <w:rPr>
          <w:rFonts w:ascii="Arial" w:hAnsi="Arial" w:cs="Arial"/>
          <w:sz w:val="20"/>
        </w:rPr>
        <w:t>,</w:t>
      </w:r>
      <w:r w:rsidR="00B04EE8">
        <w:rPr>
          <w:rFonts w:ascii="Arial" w:hAnsi="Arial" w:cs="Arial"/>
          <w:sz w:val="20"/>
        </w:rPr>
        <w:t xml:space="preserve"> the Court of Appeal </w:t>
      </w:r>
      <w:r>
        <w:rPr>
          <w:rFonts w:ascii="Arial" w:hAnsi="Arial" w:cs="Arial"/>
          <w:sz w:val="20"/>
        </w:rPr>
        <w:t>said</w:t>
      </w:r>
      <w:r w:rsidR="00B04EE8">
        <w:rPr>
          <w:rFonts w:ascii="Arial" w:hAnsi="Arial" w:cs="Arial"/>
          <w:sz w:val="20"/>
        </w:rPr>
        <w:t xml:space="preserve"> at [90]</w:t>
      </w:r>
      <w:r>
        <w:rPr>
          <w:rFonts w:ascii="Arial" w:hAnsi="Arial" w:cs="Arial"/>
          <w:sz w:val="20"/>
        </w:rPr>
        <w:t>-[94]</w:t>
      </w:r>
      <w:r w:rsidR="00B04EE8">
        <w:rPr>
          <w:rFonts w:ascii="Arial" w:hAnsi="Arial" w:cs="Arial"/>
          <w:sz w:val="20"/>
        </w:rPr>
        <w:t>:</w:t>
      </w:r>
    </w:p>
    <w:p w14:paraId="1082E915" w14:textId="27171CA3" w:rsidR="00B04EE8" w:rsidRDefault="00B04EE8"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szCs w:val="20"/>
        </w:rPr>
        <w:t>[90] “</w:t>
      </w:r>
      <w:r w:rsidRPr="00B04EE8">
        <w:rPr>
          <w:rFonts w:ascii="Arial" w:hAnsi="Arial" w:cs="Arial"/>
          <w:sz w:val="20"/>
        </w:rPr>
        <w:t>It is well-established that an applicant must demonstrate particularly exceptional circumstances, in order that an appellate court, following a plea of guilty, will grant leave to appeal against conviction</w:t>
      </w:r>
      <w:r>
        <w:rPr>
          <w:rFonts w:ascii="Arial" w:hAnsi="Arial" w:cs="Arial"/>
          <w:sz w:val="20"/>
        </w:rPr>
        <w:t xml:space="preserve">: </w:t>
      </w:r>
      <w:r w:rsidRPr="001468DD">
        <w:rPr>
          <w:rFonts w:ascii="Arial" w:hAnsi="Arial" w:cs="Arial"/>
          <w:i/>
          <w:iCs/>
          <w:sz w:val="20"/>
        </w:rPr>
        <w:t>Zirilli</w:t>
      </w:r>
      <w:r>
        <w:rPr>
          <w:rFonts w:ascii="Arial" w:hAnsi="Arial" w:cs="Arial"/>
          <w:sz w:val="20"/>
        </w:rPr>
        <w:t xml:space="preserve"> (2021) 287 A Crim R 407, 411 [10]</w:t>
      </w:r>
      <w:r w:rsidRPr="00B04EE8">
        <w:rPr>
          <w:rFonts w:ascii="Arial" w:hAnsi="Arial" w:cs="Arial"/>
          <w:sz w:val="20"/>
        </w:rPr>
        <w:t>. Courts approach such an application with caution, based on the public interest in the finality of legal proceedings, and the principle that a plea of guilty by an accused, in possession of all the relevant facts, is normally an admission by that person of the necessary elements of the offence</w:t>
      </w:r>
      <w:r>
        <w:rPr>
          <w:rFonts w:ascii="Arial" w:hAnsi="Arial" w:cs="Arial"/>
          <w:sz w:val="20"/>
        </w:rPr>
        <w:t xml:space="preserve">: </w:t>
      </w:r>
      <w:r w:rsidRPr="001468DD">
        <w:rPr>
          <w:rFonts w:ascii="Arial" w:hAnsi="Arial" w:cs="Arial"/>
          <w:i/>
          <w:iCs/>
          <w:sz w:val="20"/>
        </w:rPr>
        <w:t>Liberti v The Queen</w:t>
      </w:r>
      <w:r>
        <w:rPr>
          <w:rFonts w:ascii="Arial" w:hAnsi="Arial" w:cs="Arial"/>
          <w:sz w:val="20"/>
        </w:rPr>
        <w:t xml:space="preserve"> (1991) 55 A Crim R </w:t>
      </w:r>
      <w:r w:rsidR="001468DD">
        <w:rPr>
          <w:rFonts w:ascii="Arial" w:hAnsi="Arial" w:cs="Arial"/>
          <w:sz w:val="20"/>
        </w:rPr>
        <w:t>120, 12</w:t>
      </w:r>
      <w:r w:rsidRPr="00B04EE8">
        <w:rPr>
          <w:rFonts w:ascii="Arial" w:hAnsi="Arial" w:cs="Arial"/>
          <w:sz w:val="20"/>
        </w:rPr>
        <w:t>2</w:t>
      </w:r>
      <w:r w:rsidR="001468DD">
        <w:rPr>
          <w:rFonts w:ascii="Arial" w:hAnsi="Arial" w:cs="Arial"/>
          <w:sz w:val="20"/>
        </w:rPr>
        <w:t>.</w:t>
      </w:r>
    </w:p>
    <w:p w14:paraId="1B47D0DC" w14:textId="186FC4B7" w:rsidR="00B04EE8" w:rsidRPr="00040365" w:rsidRDefault="00040365" w:rsidP="00B04EE8">
      <w:pPr>
        <w:pStyle w:val="NormalWeb"/>
        <w:shd w:val="clear" w:color="auto" w:fill="FFFFFF"/>
        <w:spacing w:before="60" w:beforeAutospacing="0" w:after="0" w:afterAutospacing="0"/>
        <w:ind w:left="454" w:right="454"/>
        <w:jc w:val="both"/>
        <w:rPr>
          <w:rFonts w:ascii="Arial" w:hAnsi="Arial" w:cs="Arial"/>
          <w:sz w:val="20"/>
          <w:szCs w:val="20"/>
        </w:rPr>
      </w:pPr>
      <w:r w:rsidRPr="00040365">
        <w:rPr>
          <w:rFonts w:ascii="Arial" w:hAnsi="Arial" w:cs="Arial"/>
          <w:sz w:val="20"/>
          <w:szCs w:val="20"/>
        </w:rPr>
        <w:t xml:space="preserve">[91] A conviction entered on the basis of such a plea will not be set aside on appeal, unless it can be demonstrated that a miscarriage of justice has occurred. Ordinarily, in such a case, it will be necessary to demonstrate that the accused did not understand the nature of the charge, or did not intend to admit that he or she was guilty of it, or that, on the admitted facts, the accused could not have been guilty of the offence: </w:t>
      </w:r>
      <w:r w:rsidRPr="00040365">
        <w:rPr>
          <w:rFonts w:ascii="Arial" w:hAnsi="Arial" w:cs="Arial"/>
          <w:i/>
          <w:iCs/>
          <w:sz w:val="20"/>
          <w:szCs w:val="20"/>
        </w:rPr>
        <w:t>R v Forde</w:t>
      </w:r>
      <w:r w:rsidRPr="00040365">
        <w:rPr>
          <w:rFonts w:ascii="Arial" w:hAnsi="Arial" w:cs="Arial"/>
          <w:sz w:val="20"/>
          <w:szCs w:val="20"/>
        </w:rPr>
        <w:t xml:space="preserve"> </w:t>
      </w:r>
      <w:r>
        <w:rPr>
          <w:rFonts w:ascii="Arial" w:hAnsi="Arial" w:cs="Arial"/>
          <w:sz w:val="20"/>
          <w:szCs w:val="20"/>
        </w:rPr>
        <w:t>[1923] 2 KB 400, 403</w:t>
      </w:r>
      <w:r w:rsidRPr="00040365">
        <w:rPr>
          <w:rFonts w:ascii="Arial" w:hAnsi="Arial" w:cs="Arial"/>
          <w:sz w:val="20"/>
          <w:szCs w:val="20"/>
        </w:rPr>
        <w:t xml:space="preserve">; </w:t>
      </w:r>
      <w:r w:rsidRPr="00040365">
        <w:rPr>
          <w:rFonts w:ascii="Arial" w:hAnsi="Arial" w:cs="Arial"/>
          <w:i/>
          <w:iCs/>
          <w:sz w:val="20"/>
          <w:szCs w:val="20"/>
        </w:rPr>
        <w:t>Meissner v The Queen</w:t>
      </w:r>
      <w:r w:rsidRPr="00040365">
        <w:rPr>
          <w:rFonts w:ascii="Arial" w:hAnsi="Arial" w:cs="Arial"/>
          <w:sz w:val="20"/>
          <w:szCs w:val="20"/>
        </w:rPr>
        <w:t xml:space="preserve"> (1995) 184 CLR 132, 157; [1995] HCA 41; </w:t>
      </w:r>
      <w:r w:rsidRPr="00040365">
        <w:rPr>
          <w:rFonts w:ascii="Arial" w:hAnsi="Arial" w:cs="Arial"/>
          <w:i/>
          <w:iCs/>
          <w:sz w:val="20"/>
          <w:szCs w:val="20"/>
        </w:rPr>
        <w:t>R v Stewart</w:t>
      </w:r>
      <w:r w:rsidRPr="00040365">
        <w:rPr>
          <w:rFonts w:ascii="Arial" w:hAnsi="Arial" w:cs="Arial"/>
          <w:sz w:val="20"/>
          <w:szCs w:val="20"/>
        </w:rPr>
        <w:t xml:space="preserve"> [1960] VR 106, 108; </w:t>
      </w:r>
      <w:r w:rsidRPr="00040365">
        <w:rPr>
          <w:rFonts w:ascii="Arial" w:hAnsi="Arial" w:cs="Arial"/>
          <w:i/>
          <w:iCs/>
          <w:sz w:val="20"/>
          <w:szCs w:val="20"/>
        </w:rPr>
        <w:t>R v Murphy</w:t>
      </w:r>
      <w:r w:rsidRPr="00040365">
        <w:rPr>
          <w:rFonts w:ascii="Arial" w:hAnsi="Arial" w:cs="Arial"/>
          <w:sz w:val="20"/>
          <w:szCs w:val="20"/>
        </w:rPr>
        <w:t xml:space="preserve"> [1965] VR 187, 190; </w:t>
      </w:r>
      <w:r w:rsidRPr="00040365">
        <w:rPr>
          <w:rFonts w:ascii="Arial" w:hAnsi="Arial" w:cs="Arial"/>
          <w:i/>
          <w:iCs/>
          <w:sz w:val="20"/>
          <w:szCs w:val="20"/>
        </w:rPr>
        <w:t>Weston (a pseudonym) v The Queen</w:t>
      </w:r>
      <w:r w:rsidRPr="00040365">
        <w:rPr>
          <w:rFonts w:ascii="Arial" w:hAnsi="Arial" w:cs="Arial"/>
          <w:sz w:val="20"/>
          <w:szCs w:val="20"/>
        </w:rPr>
        <w:t xml:space="preserve"> (2015) 48 VR 413, 444; [2015] VSCA 354; </w:t>
      </w:r>
      <w:r w:rsidRPr="00040365">
        <w:rPr>
          <w:rFonts w:ascii="Arial" w:hAnsi="Arial" w:cs="Arial"/>
          <w:i/>
          <w:iCs/>
          <w:sz w:val="20"/>
          <w:szCs w:val="20"/>
        </w:rPr>
        <w:t>Gurappaji v The Queen</w:t>
      </w:r>
      <w:r w:rsidRPr="00040365">
        <w:rPr>
          <w:rFonts w:ascii="Arial" w:hAnsi="Arial" w:cs="Arial"/>
          <w:sz w:val="20"/>
          <w:szCs w:val="20"/>
        </w:rPr>
        <w:t xml:space="preserve"> [2018] VSCA 187 [6]–[10].</w:t>
      </w:r>
    </w:p>
    <w:p w14:paraId="218AD913" w14:textId="65F6D6B5" w:rsidR="001468DD" w:rsidRDefault="00B04EE8"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w:t>
      </w:r>
      <w:r w:rsidRPr="00B04EE8">
        <w:rPr>
          <w:rFonts w:ascii="Arial" w:hAnsi="Arial" w:cs="Arial"/>
          <w:sz w:val="20"/>
        </w:rPr>
        <w:t>92</w:t>
      </w:r>
      <w:r>
        <w:rPr>
          <w:rFonts w:ascii="Arial" w:hAnsi="Arial" w:cs="Arial"/>
          <w:sz w:val="20"/>
        </w:rPr>
        <w:t>]</w:t>
      </w:r>
      <w:r w:rsidRPr="00B04EE8">
        <w:rPr>
          <w:rFonts w:ascii="Arial" w:hAnsi="Arial" w:cs="Arial"/>
          <w:sz w:val="20"/>
        </w:rPr>
        <w:t xml:space="preserve"> In </w:t>
      </w:r>
      <w:r w:rsidRPr="00B04EE8">
        <w:rPr>
          <w:rFonts w:ascii="Arial" w:hAnsi="Arial" w:cs="Arial"/>
          <w:i/>
          <w:iCs/>
          <w:sz w:val="20"/>
        </w:rPr>
        <w:t>Peters v The Queen (No 2)</w:t>
      </w:r>
      <w:r w:rsidR="007059BD">
        <w:rPr>
          <w:rFonts w:ascii="Arial" w:hAnsi="Arial" w:cs="Arial"/>
          <w:i/>
          <w:iCs/>
          <w:sz w:val="20"/>
        </w:rPr>
        <w:t xml:space="preserve"> </w:t>
      </w:r>
      <w:r w:rsidR="007059BD" w:rsidRPr="007059BD">
        <w:rPr>
          <w:rFonts w:ascii="Arial" w:hAnsi="Arial" w:cs="Arial"/>
          <w:sz w:val="20"/>
        </w:rPr>
        <w:t>(2019) 60 VR 231; [2019] VSCA 292</w:t>
      </w:r>
      <w:r w:rsidRPr="007059BD">
        <w:rPr>
          <w:rFonts w:ascii="Arial" w:hAnsi="Arial" w:cs="Arial"/>
          <w:sz w:val="20"/>
        </w:rPr>
        <w:t>,</w:t>
      </w:r>
      <w:r w:rsidRPr="00B04EE8">
        <w:rPr>
          <w:rFonts w:ascii="Arial" w:hAnsi="Arial" w:cs="Arial"/>
          <w:sz w:val="20"/>
        </w:rPr>
        <w:t xml:space="preserve"> this Court summarised the relevant principles in the following terms</w:t>
      </w:r>
      <w:r w:rsidR="00040365">
        <w:rPr>
          <w:rFonts w:ascii="Arial" w:hAnsi="Arial" w:cs="Arial"/>
          <w:sz w:val="20"/>
        </w:rPr>
        <w:t xml:space="preserve"> at [37]-[41]</w:t>
      </w:r>
      <w:r w:rsidRPr="00B04EE8">
        <w:rPr>
          <w:rFonts w:ascii="Arial" w:hAnsi="Arial" w:cs="Arial"/>
          <w:sz w:val="20"/>
        </w:rPr>
        <w:t>:</w:t>
      </w:r>
    </w:p>
    <w:p w14:paraId="45AD2B59" w14:textId="77777777" w:rsidR="001468D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 xml:space="preserve">The test for determining whether a conviction should be set aside following a plea of guilty is whether the applicant has established a substantial miscarriage of justice, in accordance with s 276(1) of the </w:t>
      </w:r>
      <w:r w:rsidRPr="001468DD">
        <w:rPr>
          <w:rFonts w:ascii="Arial" w:hAnsi="Arial" w:cs="Arial"/>
          <w:i/>
          <w:iCs/>
          <w:sz w:val="18"/>
          <w:szCs w:val="22"/>
        </w:rPr>
        <w:t>Criminal Procedure Act 2009</w:t>
      </w:r>
      <w:r w:rsidRPr="001468DD">
        <w:rPr>
          <w:rFonts w:ascii="Arial" w:hAnsi="Arial" w:cs="Arial"/>
          <w:sz w:val="18"/>
          <w:szCs w:val="22"/>
        </w:rPr>
        <w:t>....</w:t>
      </w:r>
    </w:p>
    <w:p w14:paraId="5D112316" w14:textId="12DA54EF" w:rsidR="007059B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 xml:space="preserve">Although the categories of miscarriage of justice are of course not closed, two kinds of situation have emerged repeatedly in the cases. As articulated by Avory J in </w:t>
      </w:r>
      <w:r w:rsidRPr="001468DD">
        <w:rPr>
          <w:rFonts w:ascii="Arial" w:hAnsi="Arial" w:cs="Arial"/>
          <w:i/>
          <w:iCs/>
          <w:sz w:val="18"/>
          <w:szCs w:val="22"/>
        </w:rPr>
        <w:t>R v Forde</w:t>
      </w:r>
      <w:r w:rsidRPr="001468DD">
        <w:rPr>
          <w:rFonts w:ascii="Arial" w:hAnsi="Arial" w:cs="Arial"/>
          <w:sz w:val="18"/>
          <w:szCs w:val="22"/>
        </w:rPr>
        <w:t>, they are, first, where the applicant did not appreciate the nature of the charge, or did not intend to admit that he was guilty of it, and secondly, where the applicant could not in law have been convicted of the offence charged on the facts alleged.</w:t>
      </w:r>
    </w:p>
    <w:p w14:paraId="12F9E7CF" w14:textId="77777777" w:rsidR="007059B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The first of these cases can be described as challenging the integrity of the plea in the sense that it was not really attributable to a genuine consciousness of guilt. Of itself, that will ordinarily only suffice to warrant a new trial if, in addition to doubt attaching to the integrity of the plea, it is shown that there was an ‘issuable question of guilt’, meaning a genuine issue as to the guilt of the accused.</w:t>
      </w:r>
    </w:p>
    <w:p w14:paraId="72EB248B" w14:textId="77777777" w:rsidR="007059B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The second kind of circumstance does not involve merely an arguable case as to the guilt or otherwise of the accused. It involves a relatively narrow class of case in which the material relied upon by the Crown was insufficient at law to sustain a conviction on the charge in question. In this situation, the focus is not on the integrity of the plea but on the conviction itself. The conviction involves a miscarriage of justice because the facts alleged simply could not support a conviction, or the charge in question was not known to the law.</w:t>
      </w:r>
    </w:p>
    <w:p w14:paraId="01772D3D" w14:textId="01B30D2F" w:rsidR="001468DD" w:rsidRDefault="00B04EE8" w:rsidP="001468DD">
      <w:pPr>
        <w:pStyle w:val="NormalWeb"/>
        <w:shd w:val="clear" w:color="auto" w:fill="FFFFFF"/>
        <w:spacing w:before="60" w:beforeAutospacing="0" w:after="0" w:afterAutospacing="0"/>
        <w:ind w:left="907" w:right="907"/>
        <w:jc w:val="both"/>
        <w:rPr>
          <w:rFonts w:ascii="Arial" w:hAnsi="Arial" w:cs="Arial"/>
          <w:sz w:val="20"/>
        </w:rPr>
      </w:pPr>
      <w:r w:rsidRPr="001468DD">
        <w:rPr>
          <w:rFonts w:ascii="Arial" w:hAnsi="Arial" w:cs="Arial"/>
          <w:sz w:val="18"/>
          <w:szCs w:val="22"/>
        </w:rPr>
        <w:t>In contrast, identification of a mere issue as to the guilt or innocence of the person who has pleaded guilty, without more, will rarely if ever warrant setting aside a conviction after a plea of guilty. This itself respects the integrity of the plea and the high public interest attached to finality of criminal proceedings. It also recognises the fact that, in pleading guilty, an accused will have chosen to forego potential defences in the hope of deriving some compensating benefit.</w:t>
      </w:r>
    </w:p>
    <w:p w14:paraId="23D2DFFD" w14:textId="37EEC30F" w:rsidR="001468DD" w:rsidRDefault="001468DD"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lastRenderedPageBreak/>
        <w:t>[</w:t>
      </w:r>
      <w:r w:rsidR="00B04EE8" w:rsidRPr="00B04EE8">
        <w:rPr>
          <w:rFonts w:ascii="Arial" w:hAnsi="Arial" w:cs="Arial"/>
          <w:sz w:val="20"/>
        </w:rPr>
        <w:t>93</w:t>
      </w:r>
      <w:r>
        <w:rPr>
          <w:rFonts w:ascii="Arial" w:hAnsi="Arial" w:cs="Arial"/>
          <w:sz w:val="20"/>
        </w:rPr>
        <w:t>]</w:t>
      </w:r>
      <w:r w:rsidR="00B04EE8" w:rsidRPr="00B04EE8">
        <w:rPr>
          <w:rFonts w:ascii="Arial" w:hAnsi="Arial" w:cs="Arial"/>
          <w:sz w:val="20"/>
        </w:rPr>
        <w:t xml:space="preserve"> In accordance with those principles, it is well-established that erroneous advice by counsel, concerning an applicant’s prospects of success at trial, may not necessarily, per se, be sufficient to establish a substantial miscarriage of justice</w:t>
      </w:r>
      <w:r w:rsidR="007059BD">
        <w:rPr>
          <w:rFonts w:ascii="Arial" w:hAnsi="Arial" w:cs="Arial"/>
          <w:sz w:val="20"/>
        </w:rPr>
        <w:t xml:space="preserve">: </w:t>
      </w:r>
      <w:r w:rsidR="007059BD" w:rsidRPr="007059BD">
        <w:rPr>
          <w:rFonts w:ascii="Arial" w:hAnsi="Arial" w:cs="Arial"/>
          <w:i/>
          <w:iCs/>
          <w:sz w:val="20"/>
        </w:rPr>
        <w:t>R v Pugh</w:t>
      </w:r>
      <w:r w:rsidR="007059BD">
        <w:rPr>
          <w:rFonts w:ascii="Arial" w:hAnsi="Arial" w:cs="Arial"/>
          <w:sz w:val="20"/>
        </w:rPr>
        <w:t xml:space="preserve"> (2015) 158 A Crim R 302, 312 [52]; </w:t>
      </w:r>
      <w:r w:rsidR="007059BD" w:rsidRPr="007059BD">
        <w:rPr>
          <w:rFonts w:ascii="Arial" w:hAnsi="Arial" w:cs="Arial"/>
          <w:i/>
          <w:iCs/>
          <w:sz w:val="20"/>
        </w:rPr>
        <w:t>Meissner</w:t>
      </w:r>
      <w:r w:rsidR="007059BD">
        <w:rPr>
          <w:rFonts w:ascii="Arial" w:hAnsi="Arial" w:cs="Arial"/>
          <w:sz w:val="20"/>
        </w:rPr>
        <w:t xml:space="preserve"> (1995) 184 CLR 132, 143.</w:t>
      </w:r>
    </w:p>
    <w:p w14:paraId="52741C9D" w14:textId="0D13A713" w:rsidR="001468DD" w:rsidRDefault="001468DD"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w:t>
      </w:r>
      <w:r w:rsidR="00B04EE8" w:rsidRPr="00B04EE8">
        <w:rPr>
          <w:rFonts w:ascii="Arial" w:hAnsi="Arial" w:cs="Arial"/>
          <w:sz w:val="20"/>
        </w:rPr>
        <w:t>94</w:t>
      </w:r>
      <w:r>
        <w:rPr>
          <w:rFonts w:ascii="Arial" w:hAnsi="Arial" w:cs="Arial"/>
          <w:sz w:val="20"/>
        </w:rPr>
        <w:t>]</w:t>
      </w:r>
      <w:r w:rsidR="00B04EE8" w:rsidRPr="00B04EE8">
        <w:rPr>
          <w:rFonts w:ascii="Arial" w:hAnsi="Arial" w:cs="Arial"/>
          <w:sz w:val="20"/>
        </w:rPr>
        <w:t xml:space="preserve"> The circumstances in which erroneous advice, as to an applicant’s guilt, may be such as to result in a miscarriage of justice, are illustrated by the decision of the Court of Appeal of Queensland in </w:t>
      </w:r>
      <w:r w:rsidR="00B04EE8" w:rsidRPr="007059BD">
        <w:rPr>
          <w:rFonts w:ascii="Arial" w:hAnsi="Arial" w:cs="Arial"/>
          <w:i/>
          <w:iCs/>
          <w:sz w:val="20"/>
        </w:rPr>
        <w:t>R v Williamson</w:t>
      </w:r>
      <w:r w:rsidR="007059BD">
        <w:rPr>
          <w:rFonts w:ascii="Arial" w:hAnsi="Arial" w:cs="Arial"/>
          <w:sz w:val="20"/>
        </w:rPr>
        <w:t xml:space="preserve"> (2012) 224 A Crim R 160</w:t>
      </w:r>
      <w:r w:rsidR="00B04EE8" w:rsidRPr="00B04EE8">
        <w:rPr>
          <w:rFonts w:ascii="Arial" w:hAnsi="Arial" w:cs="Arial"/>
          <w:sz w:val="20"/>
        </w:rPr>
        <w:t>. In that case, counsel gave advice to the applicant as to her guilt of the relevant charge, which advice the court characterised as ‘grossly inadequate’</w:t>
      </w:r>
      <w:r w:rsidR="007059BD">
        <w:rPr>
          <w:rFonts w:ascii="Arial" w:hAnsi="Arial" w:cs="Arial"/>
          <w:sz w:val="20"/>
        </w:rPr>
        <w:t>: at 173 [38]</w:t>
      </w:r>
      <w:r w:rsidR="00B04EE8" w:rsidRPr="00B04EE8">
        <w:rPr>
          <w:rFonts w:ascii="Arial" w:hAnsi="Arial" w:cs="Arial"/>
          <w:sz w:val="20"/>
        </w:rPr>
        <w:t>.</w:t>
      </w:r>
      <w:r w:rsidR="007059BD">
        <w:rPr>
          <w:rFonts w:ascii="Arial" w:hAnsi="Arial" w:cs="Arial"/>
          <w:sz w:val="20"/>
        </w:rPr>
        <w:t xml:space="preserve"> </w:t>
      </w:r>
      <w:r w:rsidR="00B04EE8" w:rsidRPr="00B04EE8">
        <w:rPr>
          <w:rFonts w:ascii="Arial" w:hAnsi="Arial" w:cs="Arial"/>
          <w:sz w:val="20"/>
        </w:rPr>
        <w:t>As a result, the court was satisfied that the applicant did not understand the nature of the charge to which she was pleading guilty, and she did not intend to admit her guilt of the offence that was the subject of the charge</w:t>
      </w:r>
      <w:r w:rsidR="007059BD">
        <w:rPr>
          <w:rFonts w:ascii="Arial" w:hAnsi="Arial" w:cs="Arial"/>
          <w:sz w:val="20"/>
        </w:rPr>
        <w:t>: at 175 [45]</w:t>
      </w:r>
      <w:r w:rsidR="00B04EE8" w:rsidRPr="00B04EE8">
        <w:rPr>
          <w:rFonts w:ascii="Arial" w:hAnsi="Arial" w:cs="Arial"/>
          <w:sz w:val="20"/>
        </w:rPr>
        <w:t>.</w:t>
      </w:r>
      <w:r w:rsidR="007059BD">
        <w:rPr>
          <w:rFonts w:ascii="Arial" w:hAnsi="Arial" w:cs="Arial"/>
          <w:sz w:val="20"/>
        </w:rPr>
        <w:t xml:space="preserve"> </w:t>
      </w:r>
      <w:r w:rsidR="00B04EE8" w:rsidRPr="00B04EE8">
        <w:rPr>
          <w:rFonts w:ascii="Arial" w:hAnsi="Arial" w:cs="Arial"/>
          <w:sz w:val="20"/>
        </w:rPr>
        <w:t>On that basis it was concluded that the case was one of the ‘relatively rare cases’ in which a substantial miscarriage of justice, based on the erroneous advice of counsel, was established</w:t>
      </w:r>
      <w:r w:rsidR="007059BD">
        <w:rPr>
          <w:rFonts w:ascii="Arial" w:hAnsi="Arial" w:cs="Arial"/>
          <w:sz w:val="20"/>
        </w:rPr>
        <w:t>: at 175 [45]</w:t>
      </w:r>
      <w:r w:rsidR="00B04EE8" w:rsidRPr="00B04EE8">
        <w:rPr>
          <w:rFonts w:ascii="Arial" w:hAnsi="Arial" w:cs="Arial"/>
          <w:sz w:val="20"/>
        </w:rPr>
        <w:t>.</w:t>
      </w:r>
      <w:r w:rsidR="00810B2F">
        <w:rPr>
          <w:rFonts w:ascii="Arial" w:hAnsi="Arial" w:cs="Arial"/>
          <w:sz w:val="20"/>
        </w:rPr>
        <w:t>”</w:t>
      </w:r>
    </w:p>
    <w:p w14:paraId="3E7949F9" w14:textId="77777777" w:rsidR="00B04EE8" w:rsidRDefault="00B04EE8" w:rsidP="003C751E">
      <w:pPr>
        <w:jc w:val="both"/>
        <w:rPr>
          <w:rFonts w:ascii="Arial" w:hAnsi="Arial" w:cs="Arial"/>
          <w:sz w:val="20"/>
        </w:rPr>
      </w:pPr>
    </w:p>
    <w:p w14:paraId="37CAFE1F" w14:textId="6481CD7D" w:rsidR="00394BF1" w:rsidRDefault="000708B6" w:rsidP="003C751E">
      <w:pPr>
        <w:jc w:val="both"/>
        <w:rPr>
          <w:rFonts w:ascii="Arial" w:hAnsi="Arial" w:cs="Arial"/>
          <w:sz w:val="20"/>
        </w:rPr>
      </w:pPr>
      <w:r>
        <w:rPr>
          <w:rFonts w:ascii="Arial" w:hAnsi="Arial" w:cs="Arial"/>
          <w:sz w:val="20"/>
        </w:rPr>
        <w:t xml:space="preserve">In </w:t>
      </w:r>
      <w:r w:rsidRPr="000708B6">
        <w:rPr>
          <w:rFonts w:ascii="Arial" w:hAnsi="Arial" w:cs="Arial"/>
          <w:i/>
          <w:iCs/>
          <w:sz w:val="20"/>
        </w:rPr>
        <w:t>Parker v DPP (</w:t>
      </w:r>
      <w:proofErr w:type="spellStart"/>
      <w:r w:rsidRPr="000708B6">
        <w:rPr>
          <w:rFonts w:ascii="Arial" w:hAnsi="Arial" w:cs="Arial"/>
          <w:i/>
          <w:iCs/>
          <w:sz w:val="20"/>
        </w:rPr>
        <w:t>Cth</w:t>
      </w:r>
      <w:proofErr w:type="spellEnd"/>
      <w:r w:rsidRPr="000708B6">
        <w:rPr>
          <w:rFonts w:ascii="Arial" w:hAnsi="Arial" w:cs="Arial"/>
          <w:i/>
          <w:iCs/>
          <w:sz w:val="20"/>
        </w:rPr>
        <w:t>)</w:t>
      </w:r>
      <w:r>
        <w:rPr>
          <w:rFonts w:ascii="Arial" w:hAnsi="Arial" w:cs="Arial"/>
          <w:sz w:val="20"/>
        </w:rPr>
        <w:t xml:space="preserve"> [2025] VSCA 316 the applicant had pleaded guilty to a charge of </w:t>
      </w:r>
      <w:r w:rsidRPr="000708B6">
        <w:rPr>
          <w:rFonts w:ascii="Arial" w:hAnsi="Arial" w:cs="Arial"/>
          <w:sz w:val="20"/>
        </w:rPr>
        <w:t xml:space="preserve">entering into </w:t>
      </w:r>
      <w:r w:rsidR="00394BF1">
        <w:rPr>
          <w:rFonts w:ascii="Arial" w:hAnsi="Arial" w:cs="Arial"/>
          <w:sz w:val="20"/>
        </w:rPr>
        <w:t xml:space="preserve">an </w:t>
      </w:r>
      <w:r w:rsidRPr="000708B6">
        <w:rPr>
          <w:rFonts w:ascii="Arial" w:hAnsi="Arial" w:cs="Arial"/>
          <w:sz w:val="20"/>
        </w:rPr>
        <w:t xml:space="preserve">agreement or transaction with intentions including preventing recovery of entitlements of employees in contravention of </w:t>
      </w:r>
      <w:r w:rsidRPr="000708B6">
        <w:rPr>
          <w:rFonts w:ascii="Arial" w:hAnsi="Arial" w:cs="Arial"/>
          <w:i/>
          <w:iCs/>
          <w:sz w:val="20"/>
        </w:rPr>
        <w:t>Corporations Act 2001</w:t>
      </w:r>
      <w:r w:rsidRPr="000708B6">
        <w:rPr>
          <w:rFonts w:ascii="Arial" w:hAnsi="Arial" w:cs="Arial"/>
          <w:sz w:val="20"/>
        </w:rPr>
        <w:t xml:space="preserve"> (</w:t>
      </w:r>
      <w:proofErr w:type="spellStart"/>
      <w:r w:rsidRPr="000708B6">
        <w:rPr>
          <w:rFonts w:ascii="Arial" w:hAnsi="Arial" w:cs="Arial"/>
          <w:sz w:val="20"/>
        </w:rPr>
        <w:t>Cth</w:t>
      </w:r>
      <w:proofErr w:type="spellEnd"/>
      <w:r w:rsidRPr="000708B6">
        <w:rPr>
          <w:rFonts w:ascii="Arial" w:hAnsi="Arial" w:cs="Arial"/>
          <w:sz w:val="20"/>
        </w:rPr>
        <w:t>) s 596</w:t>
      </w:r>
      <w:proofErr w:type="gramStart"/>
      <w:r w:rsidRPr="000708B6">
        <w:rPr>
          <w:rFonts w:ascii="Arial" w:hAnsi="Arial" w:cs="Arial"/>
          <w:sz w:val="20"/>
        </w:rPr>
        <w:t>AB(</w:t>
      </w:r>
      <w:proofErr w:type="gramEnd"/>
      <w:r w:rsidRPr="000708B6">
        <w:rPr>
          <w:rFonts w:ascii="Arial" w:hAnsi="Arial" w:cs="Arial"/>
          <w:sz w:val="20"/>
        </w:rPr>
        <w:t xml:space="preserve">1) </w:t>
      </w:r>
      <w:r>
        <w:rPr>
          <w:rFonts w:ascii="Arial" w:hAnsi="Arial" w:cs="Arial"/>
          <w:sz w:val="20"/>
        </w:rPr>
        <w:t xml:space="preserve">and had been sentenced to IMP2y6m with immediate release on a recognizance release order. </w:t>
      </w:r>
      <w:r w:rsidR="00394BF1">
        <w:rPr>
          <w:rFonts w:ascii="Arial" w:hAnsi="Arial" w:cs="Arial"/>
          <w:sz w:val="20"/>
        </w:rPr>
        <w:t>His</w:t>
      </w:r>
      <w:r>
        <w:rPr>
          <w:rFonts w:ascii="Arial" w:hAnsi="Arial" w:cs="Arial"/>
          <w:sz w:val="20"/>
        </w:rPr>
        <w:t xml:space="preserve"> a</w:t>
      </w:r>
      <w:r w:rsidRPr="000708B6">
        <w:rPr>
          <w:rFonts w:ascii="Arial" w:hAnsi="Arial" w:cs="Arial"/>
          <w:sz w:val="20"/>
        </w:rPr>
        <w:t xml:space="preserve">pplication for leave to appeal against conviction </w:t>
      </w:r>
      <w:r>
        <w:rPr>
          <w:rFonts w:ascii="Arial" w:hAnsi="Arial" w:cs="Arial"/>
          <w:sz w:val="20"/>
        </w:rPr>
        <w:t xml:space="preserve">was </w:t>
      </w:r>
      <w:r w:rsidRPr="000708B6">
        <w:rPr>
          <w:rFonts w:ascii="Arial" w:hAnsi="Arial" w:cs="Arial"/>
          <w:sz w:val="20"/>
        </w:rPr>
        <w:t xml:space="preserve">on </w:t>
      </w:r>
      <w:r>
        <w:rPr>
          <w:rFonts w:ascii="Arial" w:hAnsi="Arial" w:cs="Arial"/>
          <w:sz w:val="20"/>
        </w:rPr>
        <w:t xml:space="preserve">the </w:t>
      </w:r>
      <w:r w:rsidRPr="000708B6">
        <w:rPr>
          <w:rFonts w:ascii="Arial" w:hAnsi="Arial" w:cs="Arial"/>
          <w:sz w:val="20"/>
        </w:rPr>
        <w:t xml:space="preserve">basis that </w:t>
      </w:r>
      <w:r>
        <w:rPr>
          <w:rFonts w:ascii="Arial" w:hAnsi="Arial" w:cs="Arial"/>
          <w:sz w:val="20"/>
        </w:rPr>
        <w:t xml:space="preserve">he </w:t>
      </w:r>
      <w:r w:rsidRPr="000708B6">
        <w:rPr>
          <w:rFonts w:ascii="Arial" w:hAnsi="Arial" w:cs="Arial"/>
          <w:sz w:val="20"/>
        </w:rPr>
        <w:t>could not have been found guilty of offence charged</w:t>
      </w:r>
      <w:r w:rsidR="00394BF1">
        <w:rPr>
          <w:rFonts w:ascii="Arial" w:hAnsi="Arial" w:cs="Arial"/>
          <w:sz w:val="20"/>
        </w:rPr>
        <w:t xml:space="preserve"> because he believed that the employment entitlements were recoverable under the </w:t>
      </w:r>
      <w:r w:rsidR="00394BF1" w:rsidRPr="00394BF1">
        <w:rPr>
          <w:rFonts w:ascii="Arial" w:hAnsi="Arial" w:cs="Arial"/>
          <w:i/>
          <w:iCs/>
          <w:sz w:val="20"/>
        </w:rPr>
        <w:t>Fair Entitlements Guarantee Act 2012</w:t>
      </w:r>
      <w:r w:rsidR="00394BF1" w:rsidRPr="00394BF1">
        <w:rPr>
          <w:rFonts w:ascii="Arial" w:hAnsi="Arial" w:cs="Arial"/>
          <w:sz w:val="20"/>
        </w:rPr>
        <w:t xml:space="preserve"> (</w:t>
      </w:r>
      <w:proofErr w:type="spellStart"/>
      <w:r w:rsidR="00394BF1" w:rsidRPr="00394BF1">
        <w:rPr>
          <w:rFonts w:ascii="Arial" w:hAnsi="Arial" w:cs="Arial"/>
          <w:sz w:val="20"/>
        </w:rPr>
        <w:t>Cth</w:t>
      </w:r>
      <w:proofErr w:type="spellEnd"/>
      <w:r w:rsidR="00394BF1" w:rsidRPr="00394BF1">
        <w:rPr>
          <w:rFonts w:ascii="Arial" w:hAnsi="Arial" w:cs="Arial"/>
          <w:sz w:val="20"/>
        </w:rPr>
        <w:t>)</w:t>
      </w:r>
      <w:r w:rsidR="00394BF1">
        <w:rPr>
          <w:rFonts w:ascii="Arial" w:hAnsi="Arial" w:cs="Arial"/>
          <w:sz w:val="20"/>
        </w:rPr>
        <w:t>. The respondent conceded the appeal. At [11]-[1</w:t>
      </w:r>
      <w:r w:rsidR="00834A26">
        <w:rPr>
          <w:rFonts w:ascii="Arial" w:hAnsi="Arial" w:cs="Arial"/>
          <w:sz w:val="20"/>
        </w:rPr>
        <w:t>4</w:t>
      </w:r>
      <w:r w:rsidR="00394BF1">
        <w:rPr>
          <w:rFonts w:ascii="Arial" w:hAnsi="Arial" w:cs="Arial"/>
          <w:sz w:val="20"/>
        </w:rPr>
        <w:t>] McLeish &amp; Orr JA said:</w:t>
      </w:r>
    </w:p>
    <w:p w14:paraId="134E7145" w14:textId="5AB0D868" w:rsidR="00394BF1" w:rsidRDefault="00394BF1" w:rsidP="00394BF1">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[11] “This </w:t>
      </w:r>
      <w:r w:rsidRPr="00394BF1">
        <w:rPr>
          <w:rFonts w:ascii="Arial" w:hAnsi="Arial" w:cs="Arial"/>
          <w:sz w:val="20"/>
        </w:rPr>
        <w:t xml:space="preserve">Court in </w:t>
      </w:r>
      <w:r w:rsidRPr="00394BF1">
        <w:rPr>
          <w:rFonts w:ascii="Arial" w:hAnsi="Arial" w:cs="Arial"/>
          <w:i/>
          <w:iCs/>
          <w:sz w:val="20"/>
        </w:rPr>
        <w:t>Peters v The Queen [No 2</w:t>
      </w:r>
      <w:r w:rsidRPr="00394BF1">
        <w:rPr>
          <w:rFonts w:ascii="Arial" w:hAnsi="Arial" w:cs="Arial"/>
          <w:sz w:val="20"/>
        </w:rPr>
        <w:t>]</w:t>
      </w:r>
      <w:r>
        <w:rPr>
          <w:rFonts w:ascii="Arial" w:hAnsi="Arial" w:cs="Arial"/>
          <w:sz w:val="20"/>
        </w:rPr>
        <w:t xml:space="preserve"> </w:t>
      </w:r>
      <w:r w:rsidRPr="00394BF1">
        <w:rPr>
          <w:rFonts w:ascii="Arial" w:hAnsi="Arial" w:cs="Arial"/>
          <w:sz w:val="20"/>
        </w:rPr>
        <w:t>(2019) 60 VR 231 summarised the principles governing appeals against convictions following a plea of guilty as follows</w:t>
      </w:r>
      <w:r w:rsidR="00834A26">
        <w:rPr>
          <w:rFonts w:ascii="Arial" w:hAnsi="Arial" w:cs="Arial"/>
          <w:sz w:val="20"/>
        </w:rPr>
        <w:t xml:space="preserve"> at [38]-[40]</w:t>
      </w:r>
      <w:r w:rsidRPr="00394BF1">
        <w:rPr>
          <w:rFonts w:ascii="Arial" w:hAnsi="Arial" w:cs="Arial"/>
          <w:sz w:val="20"/>
        </w:rPr>
        <w:t>:</w:t>
      </w:r>
    </w:p>
    <w:p w14:paraId="7F5DE2DF" w14:textId="77777777" w:rsidR="00394BF1" w:rsidRDefault="00394BF1" w:rsidP="00394BF1">
      <w:pPr>
        <w:pStyle w:val="NormalWeb"/>
        <w:shd w:val="clear" w:color="auto" w:fill="FFFFFF"/>
        <w:spacing w:before="60" w:beforeAutospacing="0" w:after="0" w:afterAutospacing="0"/>
        <w:ind w:left="907" w:right="907"/>
        <w:jc w:val="both"/>
        <w:rPr>
          <w:rFonts w:ascii="Arial" w:hAnsi="Arial" w:cs="Arial"/>
          <w:sz w:val="18"/>
          <w:szCs w:val="18"/>
        </w:rPr>
      </w:pPr>
      <w:r w:rsidRPr="00394BF1">
        <w:rPr>
          <w:rFonts w:ascii="Arial" w:hAnsi="Arial" w:cs="Arial"/>
          <w:sz w:val="18"/>
          <w:szCs w:val="18"/>
        </w:rPr>
        <w:t xml:space="preserve">Although the categories of miscarriage of justice are of course not closed, two kinds of situation have emerged repeatedly in the cases. As articulated by Avory J in </w:t>
      </w:r>
      <w:r w:rsidRPr="00394BF1">
        <w:rPr>
          <w:rFonts w:ascii="Arial" w:hAnsi="Arial" w:cs="Arial"/>
          <w:i/>
          <w:iCs/>
          <w:sz w:val="18"/>
          <w:szCs w:val="18"/>
        </w:rPr>
        <w:t>R v Forde</w:t>
      </w:r>
      <w:r w:rsidRPr="00394BF1">
        <w:rPr>
          <w:rFonts w:ascii="Arial" w:hAnsi="Arial" w:cs="Arial"/>
          <w:sz w:val="18"/>
          <w:szCs w:val="18"/>
        </w:rPr>
        <w:t>, they are, first, where the applicant did not appreciate the nature of the charge, or did not intend to admit that he was guilty of it, and secondly, where the applicant could not in law have been convicted of the offence charged on the facts alleged.</w:t>
      </w:r>
    </w:p>
    <w:p w14:paraId="4F166D46" w14:textId="77777777" w:rsidR="00394BF1" w:rsidRDefault="00394BF1" w:rsidP="00394BF1">
      <w:pPr>
        <w:pStyle w:val="NormalWeb"/>
        <w:shd w:val="clear" w:color="auto" w:fill="FFFFFF"/>
        <w:spacing w:before="60" w:beforeAutospacing="0" w:after="0" w:afterAutospacing="0"/>
        <w:ind w:left="907" w:right="907"/>
        <w:jc w:val="both"/>
        <w:rPr>
          <w:rFonts w:ascii="Arial" w:hAnsi="Arial" w:cs="Arial"/>
          <w:sz w:val="18"/>
          <w:szCs w:val="18"/>
        </w:rPr>
      </w:pPr>
      <w:r w:rsidRPr="00394BF1">
        <w:rPr>
          <w:rFonts w:ascii="Arial" w:hAnsi="Arial" w:cs="Arial"/>
          <w:sz w:val="18"/>
          <w:szCs w:val="18"/>
        </w:rPr>
        <w:t xml:space="preserve"> … </w:t>
      </w:r>
    </w:p>
    <w:p w14:paraId="0848DCD6" w14:textId="4C74D82D" w:rsidR="00394BF1" w:rsidRPr="00834A26" w:rsidRDefault="00394BF1" w:rsidP="00834A26">
      <w:pPr>
        <w:pStyle w:val="NormalWeb"/>
        <w:shd w:val="clear" w:color="auto" w:fill="FFFFFF"/>
        <w:spacing w:before="60" w:beforeAutospacing="0" w:after="0" w:afterAutospacing="0"/>
        <w:ind w:left="907" w:right="907"/>
        <w:jc w:val="both"/>
        <w:rPr>
          <w:rFonts w:ascii="Arial" w:hAnsi="Arial" w:cs="Arial"/>
          <w:sz w:val="18"/>
          <w:szCs w:val="22"/>
        </w:rPr>
      </w:pPr>
      <w:r w:rsidRPr="00394BF1">
        <w:rPr>
          <w:rFonts w:ascii="Arial" w:hAnsi="Arial" w:cs="Arial"/>
          <w:sz w:val="18"/>
          <w:szCs w:val="18"/>
        </w:rPr>
        <w:t>The second kind of circumstance does not involve merely an arguable case as to the guilt or otherwise of the accused. It involves a relatively narrow class of case in which the material relied upon by the Crown was insufficient at law to sustain a conviction on the charge in question. In this situation, the focus is not on the integrity of the plea but on the conviction itself. The conviction involves a miscarriage of justice because the facts alleged simply could not support a conviction, or the charge in question was not known to the law</w:t>
      </w:r>
      <w:r w:rsidR="00834A26">
        <w:rPr>
          <w:rFonts w:ascii="Arial" w:hAnsi="Arial" w:cs="Arial"/>
          <w:sz w:val="18"/>
          <w:szCs w:val="18"/>
        </w:rPr>
        <w:t xml:space="preserve"> </w:t>
      </w:r>
      <w:r w:rsidR="00834A26" w:rsidRPr="00834A26">
        <w:rPr>
          <w:rFonts w:ascii="Arial" w:hAnsi="Arial" w:cs="Arial"/>
          <w:sz w:val="18"/>
          <w:szCs w:val="22"/>
        </w:rPr>
        <w:t>(citations omitted)</w:t>
      </w:r>
      <w:r w:rsidR="00834A26">
        <w:rPr>
          <w:rFonts w:ascii="Arial" w:hAnsi="Arial" w:cs="Arial"/>
          <w:sz w:val="18"/>
          <w:szCs w:val="22"/>
        </w:rPr>
        <w:t>: s</w:t>
      </w:r>
      <w:r w:rsidR="00834A26" w:rsidRPr="00834A26">
        <w:rPr>
          <w:rFonts w:ascii="Arial" w:hAnsi="Arial" w:cs="Arial"/>
          <w:sz w:val="18"/>
          <w:szCs w:val="22"/>
        </w:rPr>
        <w:t xml:space="preserve">ee also </w:t>
      </w:r>
      <w:r w:rsidR="00834A26" w:rsidRPr="00834A26">
        <w:rPr>
          <w:rFonts w:ascii="Arial" w:hAnsi="Arial" w:cs="Arial"/>
          <w:i/>
          <w:iCs/>
          <w:sz w:val="18"/>
          <w:szCs w:val="22"/>
        </w:rPr>
        <w:t>Mokbel v The King</w:t>
      </w:r>
      <w:r w:rsidR="00834A26" w:rsidRPr="00834A26">
        <w:rPr>
          <w:rFonts w:ascii="Arial" w:hAnsi="Arial" w:cs="Arial"/>
          <w:sz w:val="18"/>
          <w:szCs w:val="22"/>
        </w:rPr>
        <w:t xml:space="preserve"> [2025] VSCA 243 [594]–[598]; </w:t>
      </w:r>
      <w:r w:rsidR="00834A26" w:rsidRPr="00834A26">
        <w:rPr>
          <w:rFonts w:ascii="Arial" w:hAnsi="Arial" w:cs="Arial"/>
          <w:i/>
          <w:iCs/>
          <w:sz w:val="18"/>
          <w:szCs w:val="22"/>
        </w:rPr>
        <w:t>Jamieson v The Queen</w:t>
      </w:r>
      <w:r w:rsidR="00834A26" w:rsidRPr="00834A26">
        <w:rPr>
          <w:rFonts w:ascii="Arial" w:hAnsi="Arial" w:cs="Arial"/>
          <w:sz w:val="18"/>
          <w:szCs w:val="22"/>
        </w:rPr>
        <w:t xml:space="preserve"> [2017] VSCA 140 [44(6)], [78]–[88]; </w:t>
      </w:r>
      <w:r w:rsidR="00834A26" w:rsidRPr="00834A26">
        <w:rPr>
          <w:rFonts w:ascii="Arial" w:hAnsi="Arial" w:cs="Arial"/>
          <w:i/>
          <w:iCs/>
          <w:sz w:val="18"/>
          <w:szCs w:val="22"/>
        </w:rPr>
        <w:t>Monaghan v The King</w:t>
      </w:r>
      <w:r w:rsidR="00834A26" w:rsidRPr="00834A26">
        <w:rPr>
          <w:rFonts w:ascii="Arial" w:hAnsi="Arial" w:cs="Arial"/>
          <w:sz w:val="18"/>
          <w:szCs w:val="22"/>
        </w:rPr>
        <w:t xml:space="preserve"> [2022] VSCA 247 [24].</w:t>
      </w:r>
    </w:p>
    <w:p w14:paraId="03D3BE58" w14:textId="5E9DB9BF" w:rsidR="00834A26" w:rsidRDefault="00834A26" w:rsidP="00834A26">
      <w:pPr>
        <w:spacing w:before="60"/>
        <w:ind w:left="454" w:right="454"/>
        <w:jc w:val="both"/>
        <w:rPr>
          <w:rFonts w:ascii="Arial" w:hAnsi="Arial" w:cs="Arial"/>
          <w:sz w:val="20"/>
        </w:rPr>
      </w:pPr>
      <w:r>
        <w:rPr>
          <w:rFonts w:ascii="Arial" w:hAnsi="Arial" w:cs="Arial"/>
          <w:sz w:val="20"/>
        </w:rPr>
        <w:t xml:space="preserve">[12] </w:t>
      </w:r>
      <w:r w:rsidR="00394BF1" w:rsidRPr="00394BF1">
        <w:rPr>
          <w:rFonts w:ascii="Arial" w:hAnsi="Arial" w:cs="Arial"/>
          <w:sz w:val="20"/>
        </w:rPr>
        <w:t>In the second category described above, there is a miscarriage of justice because the prosecution case is insufficient at law to sustain a conviction on the relevant charge. In such a case the vice in the conviction is ‘fundamental’ in the sense in which that term</w:t>
      </w:r>
      <w:r>
        <w:rPr>
          <w:rFonts w:ascii="Arial" w:hAnsi="Arial" w:cs="Arial"/>
          <w:sz w:val="20"/>
        </w:rPr>
        <w:t xml:space="preserve"> </w:t>
      </w:r>
      <w:r w:rsidRPr="00834A26">
        <w:rPr>
          <w:rFonts w:ascii="Arial" w:hAnsi="Arial" w:cs="Arial"/>
          <w:sz w:val="20"/>
        </w:rPr>
        <w:t xml:space="preserve">is used in </w:t>
      </w:r>
      <w:r w:rsidRPr="00834A26">
        <w:rPr>
          <w:rFonts w:ascii="Arial" w:hAnsi="Arial" w:cs="Arial"/>
          <w:i/>
          <w:iCs/>
          <w:sz w:val="20"/>
        </w:rPr>
        <w:t>Karam v The King</w:t>
      </w:r>
      <w:r>
        <w:rPr>
          <w:rFonts w:ascii="Arial" w:hAnsi="Arial" w:cs="Arial"/>
          <w:sz w:val="20"/>
        </w:rPr>
        <w:t xml:space="preserve"> </w:t>
      </w:r>
      <w:r w:rsidRPr="00834A26">
        <w:rPr>
          <w:rFonts w:ascii="Arial" w:hAnsi="Arial" w:cs="Arial"/>
          <w:sz w:val="20"/>
        </w:rPr>
        <w:t>[2023] VSCA 318 [216]</w:t>
      </w:r>
      <w:r>
        <w:rPr>
          <w:rFonts w:ascii="Arial" w:hAnsi="Arial" w:cs="Arial"/>
          <w:sz w:val="20"/>
        </w:rPr>
        <w:t xml:space="preserve">, </w:t>
      </w:r>
      <w:r w:rsidRPr="00834A26">
        <w:rPr>
          <w:rFonts w:ascii="Arial" w:hAnsi="Arial" w:cs="Arial"/>
          <w:sz w:val="20"/>
        </w:rPr>
        <w:t>and the conviction must be set aside. It follows that, although the applicant filed an affidavit explaining the reasons for his plea of guilty, it is not necessary to have regard to that explanation.</w:t>
      </w:r>
    </w:p>
    <w:p w14:paraId="463007A8" w14:textId="77777777" w:rsidR="00834A26" w:rsidRDefault="00834A26" w:rsidP="00834A26">
      <w:pPr>
        <w:spacing w:before="60"/>
        <w:ind w:left="454" w:right="454"/>
        <w:jc w:val="both"/>
        <w:rPr>
          <w:rFonts w:ascii="Arial" w:hAnsi="Arial" w:cs="Arial"/>
          <w:sz w:val="20"/>
        </w:rPr>
      </w:pPr>
      <w:r>
        <w:rPr>
          <w:rFonts w:ascii="Arial" w:hAnsi="Arial" w:cs="Arial"/>
          <w:sz w:val="20"/>
        </w:rPr>
        <w:t>[</w:t>
      </w:r>
      <w:r w:rsidRPr="00834A26">
        <w:rPr>
          <w:rFonts w:ascii="Arial" w:hAnsi="Arial" w:cs="Arial"/>
          <w:sz w:val="20"/>
        </w:rPr>
        <w:t>13</w:t>
      </w:r>
      <w:r>
        <w:rPr>
          <w:rFonts w:ascii="Arial" w:hAnsi="Arial" w:cs="Arial"/>
          <w:sz w:val="20"/>
        </w:rPr>
        <w:t>]</w:t>
      </w:r>
      <w:r w:rsidRPr="00834A26">
        <w:rPr>
          <w:rFonts w:ascii="Arial" w:hAnsi="Arial" w:cs="Arial"/>
          <w:sz w:val="20"/>
        </w:rPr>
        <w:t xml:space="preserve"> The Court’s answer to the reserved question demonstrates that the present case falls within the second category described in </w:t>
      </w:r>
      <w:r w:rsidRPr="00834A26">
        <w:rPr>
          <w:rFonts w:ascii="Arial" w:hAnsi="Arial" w:cs="Arial"/>
          <w:i/>
          <w:iCs/>
          <w:sz w:val="20"/>
        </w:rPr>
        <w:t>Peters [No 2]</w:t>
      </w:r>
      <w:r w:rsidRPr="00834A26">
        <w:rPr>
          <w:rFonts w:ascii="Arial" w:hAnsi="Arial" w:cs="Arial"/>
          <w:sz w:val="20"/>
        </w:rPr>
        <w:t xml:space="preserve">. Because the applicant believed that employee entitlements could be recovered by means of advances by the Commonwealth under the </w:t>
      </w:r>
      <w:r w:rsidRPr="00E77CBB">
        <w:rPr>
          <w:rFonts w:ascii="Arial" w:hAnsi="Arial" w:cs="Arial"/>
          <w:i/>
          <w:iCs/>
          <w:sz w:val="20"/>
        </w:rPr>
        <w:t>FEG Act</w:t>
      </w:r>
      <w:r w:rsidRPr="00834A26">
        <w:rPr>
          <w:rFonts w:ascii="Arial" w:hAnsi="Arial" w:cs="Arial"/>
          <w:sz w:val="20"/>
        </w:rPr>
        <w:t>, it was not open to find that the applicant intended to prevent the recovery of those entitlements for the purposes of s 596</w:t>
      </w:r>
      <w:proofErr w:type="gramStart"/>
      <w:r w:rsidRPr="00834A26">
        <w:rPr>
          <w:rFonts w:ascii="Arial" w:hAnsi="Arial" w:cs="Arial"/>
          <w:sz w:val="20"/>
        </w:rPr>
        <w:t>AB(</w:t>
      </w:r>
      <w:proofErr w:type="gramEnd"/>
      <w:r w:rsidRPr="00834A26">
        <w:rPr>
          <w:rFonts w:ascii="Arial" w:hAnsi="Arial" w:cs="Arial"/>
          <w:sz w:val="20"/>
        </w:rPr>
        <w:t>1). The respondent accepts that this is so.</w:t>
      </w:r>
    </w:p>
    <w:p w14:paraId="24B19384" w14:textId="1695B322" w:rsidR="00394BF1" w:rsidRDefault="00834A26" w:rsidP="00834A26">
      <w:pPr>
        <w:spacing w:before="60"/>
        <w:ind w:left="454" w:right="454"/>
        <w:jc w:val="both"/>
        <w:rPr>
          <w:rFonts w:ascii="Arial" w:hAnsi="Arial" w:cs="Arial"/>
          <w:sz w:val="20"/>
        </w:rPr>
      </w:pPr>
      <w:r>
        <w:rPr>
          <w:rFonts w:ascii="Arial" w:hAnsi="Arial" w:cs="Arial"/>
          <w:sz w:val="20"/>
        </w:rPr>
        <w:t>[</w:t>
      </w:r>
      <w:r w:rsidRPr="00834A26">
        <w:rPr>
          <w:rFonts w:ascii="Arial" w:hAnsi="Arial" w:cs="Arial"/>
          <w:sz w:val="20"/>
        </w:rPr>
        <w:t>14</w:t>
      </w:r>
      <w:r>
        <w:rPr>
          <w:rFonts w:ascii="Arial" w:hAnsi="Arial" w:cs="Arial"/>
          <w:sz w:val="20"/>
        </w:rPr>
        <w:t>]</w:t>
      </w:r>
      <w:r w:rsidRPr="00834A26">
        <w:rPr>
          <w:rFonts w:ascii="Arial" w:hAnsi="Arial" w:cs="Arial"/>
          <w:sz w:val="20"/>
        </w:rPr>
        <w:t xml:space="preserve"> For these reasons, it was not legally open to convict the applicant on the facts alleged, notwithstanding his plea of guilty. Leave to appeal should therefore be granted, the appeal allowed and the conviction set aside.</w:t>
      </w:r>
      <w:r>
        <w:rPr>
          <w:rFonts w:ascii="Arial" w:hAnsi="Arial" w:cs="Arial"/>
          <w:sz w:val="20"/>
        </w:rPr>
        <w:t>”</w:t>
      </w:r>
    </w:p>
    <w:p w14:paraId="2B6CE675" w14:textId="14D9871F" w:rsidR="00834A26" w:rsidRDefault="00834A26" w:rsidP="00834A26">
      <w:pPr>
        <w:spacing w:before="60"/>
        <w:jc w:val="both"/>
        <w:rPr>
          <w:rFonts w:ascii="Arial" w:hAnsi="Arial" w:cs="Arial"/>
          <w:sz w:val="20"/>
        </w:rPr>
      </w:pPr>
      <w:r>
        <w:rPr>
          <w:rFonts w:ascii="Arial" w:hAnsi="Arial" w:cs="Arial"/>
          <w:sz w:val="20"/>
        </w:rPr>
        <w:t xml:space="preserve">At [15]-[21] their Honours discussed whether to order a </w:t>
      </w:r>
      <w:r w:rsidR="00AD77DD">
        <w:rPr>
          <w:rFonts w:ascii="Arial" w:hAnsi="Arial" w:cs="Arial"/>
          <w:sz w:val="20"/>
        </w:rPr>
        <w:t>trial or to enter an acquittal, ultimately holding that wa</w:t>
      </w:r>
      <w:r w:rsidR="00AD77DD" w:rsidRPr="00AD77DD">
        <w:rPr>
          <w:rFonts w:ascii="Arial" w:hAnsi="Arial" w:cs="Arial"/>
          <w:sz w:val="20"/>
        </w:rPr>
        <w:t xml:space="preserve">s in the interests of justice that </w:t>
      </w:r>
      <w:r w:rsidR="00BF1D10">
        <w:rPr>
          <w:rFonts w:ascii="Arial" w:hAnsi="Arial" w:cs="Arial"/>
          <w:sz w:val="20"/>
        </w:rPr>
        <w:t>t</w:t>
      </w:r>
      <w:r w:rsidR="00AD77DD" w:rsidRPr="00AD77DD">
        <w:rPr>
          <w:rFonts w:ascii="Arial" w:hAnsi="Arial" w:cs="Arial"/>
          <w:sz w:val="20"/>
        </w:rPr>
        <w:t xml:space="preserve">he </w:t>
      </w:r>
      <w:r w:rsidR="00BF1D10">
        <w:rPr>
          <w:rFonts w:ascii="Arial" w:hAnsi="Arial" w:cs="Arial"/>
          <w:sz w:val="20"/>
        </w:rPr>
        <w:t xml:space="preserve">applicant </w:t>
      </w:r>
      <w:r w:rsidR="00AD77DD" w:rsidRPr="00AD77DD">
        <w:rPr>
          <w:rFonts w:ascii="Arial" w:hAnsi="Arial" w:cs="Arial"/>
          <w:sz w:val="20"/>
        </w:rPr>
        <w:t>be acquitted</w:t>
      </w:r>
      <w:r w:rsidR="00AD77DD">
        <w:rPr>
          <w:rFonts w:ascii="Arial" w:hAnsi="Arial" w:cs="Arial"/>
          <w:sz w:val="20"/>
        </w:rPr>
        <w:t xml:space="preserve"> since the prospect of a new trial advancing a case against </w:t>
      </w:r>
      <w:r w:rsidR="00BF1D10">
        <w:rPr>
          <w:rFonts w:ascii="Arial" w:hAnsi="Arial" w:cs="Arial"/>
          <w:sz w:val="20"/>
        </w:rPr>
        <w:t xml:space="preserve">him </w:t>
      </w:r>
      <w:r w:rsidR="00AD77DD">
        <w:rPr>
          <w:rFonts w:ascii="Arial" w:hAnsi="Arial" w:cs="Arial"/>
          <w:sz w:val="20"/>
        </w:rPr>
        <w:t>reliant on fundamentally different material would be “strikingly unfair”.</w:t>
      </w:r>
    </w:p>
    <w:p w14:paraId="01679A9D" w14:textId="77777777" w:rsidR="000708B6" w:rsidRDefault="000708B6" w:rsidP="003C751E">
      <w:pPr>
        <w:jc w:val="both"/>
        <w:rPr>
          <w:rFonts w:ascii="Arial" w:hAnsi="Arial" w:cs="Arial"/>
          <w:sz w:val="20"/>
        </w:rPr>
      </w:pPr>
    </w:p>
    <w:p w14:paraId="28793CD4" w14:textId="1BAE43BF" w:rsidR="0086089D" w:rsidRDefault="0086089D" w:rsidP="003C751E">
      <w:pPr>
        <w:jc w:val="both"/>
        <w:rPr>
          <w:rFonts w:ascii="Arial" w:hAnsi="Arial" w:cs="Arial"/>
          <w:sz w:val="20"/>
        </w:rPr>
      </w:pPr>
      <w:r>
        <w:rPr>
          <w:rFonts w:ascii="Arial" w:hAnsi="Arial" w:cs="Arial"/>
          <w:sz w:val="20"/>
        </w:rPr>
        <w:t xml:space="preserve">In </w:t>
      </w:r>
      <w:r w:rsidRPr="0086089D">
        <w:rPr>
          <w:rFonts w:ascii="Arial" w:hAnsi="Arial" w:cs="Arial"/>
          <w:i/>
          <w:iCs/>
          <w:sz w:val="20"/>
        </w:rPr>
        <w:t>Dom</w:t>
      </w:r>
      <w:r>
        <w:rPr>
          <w:rFonts w:ascii="Arial" w:hAnsi="Arial" w:cs="Arial"/>
          <w:i/>
          <w:iCs/>
          <w:sz w:val="20"/>
        </w:rPr>
        <w:t>e</w:t>
      </w:r>
      <w:r w:rsidRPr="0086089D">
        <w:rPr>
          <w:rFonts w:ascii="Arial" w:hAnsi="Arial" w:cs="Arial"/>
          <w:i/>
          <w:iCs/>
          <w:sz w:val="20"/>
        </w:rPr>
        <w:t>nic Barbaro v The King</w:t>
      </w:r>
      <w:r>
        <w:rPr>
          <w:rFonts w:ascii="Arial" w:hAnsi="Arial" w:cs="Arial"/>
          <w:sz w:val="20"/>
        </w:rPr>
        <w:t xml:space="preserve"> [2025] VSCA 321 the applicant had been sentenced in 2008 to a term of imprisonment after pleading guilty to a charge of conspiracy to </w:t>
      </w:r>
      <w:proofErr w:type="spellStart"/>
      <w:r>
        <w:rPr>
          <w:rFonts w:ascii="Arial" w:hAnsi="Arial" w:cs="Arial"/>
          <w:sz w:val="20"/>
        </w:rPr>
        <w:t>traffick</w:t>
      </w:r>
      <w:proofErr w:type="spellEnd"/>
      <w:r>
        <w:rPr>
          <w:rFonts w:ascii="Arial" w:hAnsi="Arial" w:cs="Arial"/>
          <w:sz w:val="20"/>
        </w:rPr>
        <w:t xml:space="preserve"> in a commercial quantity of a drug of dependence used in the manufacture of methylamphetamine. His then barrister was a registered police informer who </w:t>
      </w:r>
      <w:r w:rsidR="0097011C">
        <w:rPr>
          <w:rFonts w:ascii="Arial" w:hAnsi="Arial" w:cs="Arial"/>
          <w:sz w:val="20"/>
        </w:rPr>
        <w:t xml:space="preserve">– </w:t>
      </w:r>
      <w:r>
        <w:rPr>
          <w:rFonts w:ascii="Arial" w:hAnsi="Arial" w:cs="Arial"/>
          <w:sz w:val="20"/>
        </w:rPr>
        <w:t xml:space="preserve">together with the police </w:t>
      </w:r>
      <w:r w:rsidR="0097011C">
        <w:rPr>
          <w:rFonts w:ascii="Arial" w:hAnsi="Arial" w:cs="Arial"/>
          <w:sz w:val="20"/>
        </w:rPr>
        <w:t xml:space="preserve">– </w:t>
      </w:r>
      <w:r>
        <w:rPr>
          <w:rFonts w:ascii="Arial" w:hAnsi="Arial" w:cs="Arial"/>
          <w:sz w:val="20"/>
        </w:rPr>
        <w:t xml:space="preserve">persuaded another client to provide evidence against the applicant which was important to the prosecution case against the applicant. The Crown conceded that there had been a substantial miscarriage of justice. Holding that there was insufficient evidence to </w:t>
      </w:r>
      <w:r>
        <w:rPr>
          <w:rFonts w:ascii="Arial" w:hAnsi="Arial" w:cs="Arial"/>
          <w:sz w:val="20"/>
        </w:rPr>
        <w:lastRenderedPageBreak/>
        <w:t xml:space="preserve">justify a conviction on the conspiracy to </w:t>
      </w:r>
      <w:proofErr w:type="spellStart"/>
      <w:r>
        <w:rPr>
          <w:rFonts w:ascii="Arial" w:hAnsi="Arial" w:cs="Arial"/>
          <w:sz w:val="20"/>
        </w:rPr>
        <w:t>traffick</w:t>
      </w:r>
      <w:proofErr w:type="spellEnd"/>
      <w:r>
        <w:rPr>
          <w:rFonts w:ascii="Arial" w:hAnsi="Arial" w:cs="Arial"/>
          <w:sz w:val="20"/>
        </w:rPr>
        <w:t xml:space="preserve"> charge and that the applicant could not have been found guilty of ‘some other offence’, the Court of Appeal (Emerton P, Taylor JA &amp; Fox JJA) considered that it was not in the interests of justice to order a retrial, allowed the appeal and set aside the conviction.</w:t>
      </w:r>
    </w:p>
    <w:p w14:paraId="23B5635E" w14:textId="77777777" w:rsidR="0086089D" w:rsidRDefault="0086089D" w:rsidP="003C751E">
      <w:pPr>
        <w:jc w:val="both"/>
        <w:rPr>
          <w:rFonts w:ascii="Arial" w:hAnsi="Arial" w:cs="Arial"/>
          <w:sz w:val="20"/>
        </w:rPr>
      </w:pPr>
    </w:p>
    <w:p w14:paraId="36FE34FF" w14:textId="385D3DCC" w:rsidR="00F03BEA" w:rsidRDefault="00F03BEA" w:rsidP="003C751E">
      <w:pPr>
        <w:jc w:val="both"/>
        <w:rPr>
          <w:rFonts w:ascii="Arial" w:hAnsi="Arial" w:cs="Arial"/>
          <w:sz w:val="20"/>
        </w:rPr>
      </w:pPr>
      <w:r>
        <w:rPr>
          <w:rFonts w:ascii="Arial" w:hAnsi="Arial" w:cs="Arial"/>
          <w:sz w:val="20"/>
        </w:rPr>
        <w:t xml:space="preserve">For another instance of a substantial miscarriage of justice see </w:t>
      </w:r>
      <w:r w:rsidRPr="00F03BEA">
        <w:rPr>
          <w:rFonts w:ascii="Arial" w:hAnsi="Arial" w:cs="Arial"/>
          <w:i/>
          <w:iCs/>
          <w:sz w:val="20"/>
        </w:rPr>
        <w:t>Samantha Smith v The King</w:t>
      </w:r>
      <w:r>
        <w:rPr>
          <w:rFonts w:ascii="Arial" w:hAnsi="Arial" w:cs="Arial"/>
          <w:sz w:val="20"/>
        </w:rPr>
        <w:t xml:space="preserve"> [2025] VSCA 326.</w:t>
      </w:r>
    </w:p>
    <w:p w14:paraId="3AB65CF1" w14:textId="77777777" w:rsidR="00F03BEA" w:rsidRDefault="00F03BEA" w:rsidP="003C751E">
      <w:pPr>
        <w:jc w:val="both"/>
        <w:rPr>
          <w:rFonts w:ascii="Arial" w:hAnsi="Arial" w:cs="Arial"/>
          <w:sz w:val="20"/>
        </w:rPr>
      </w:pPr>
    </w:p>
    <w:p w14:paraId="0705E392" w14:textId="6D169A47" w:rsidR="0053400E" w:rsidRDefault="0053400E" w:rsidP="003C751E">
      <w:pPr>
        <w:jc w:val="both"/>
        <w:rPr>
          <w:rFonts w:ascii="Arial" w:hAnsi="Arial" w:cs="Arial"/>
          <w:bCs/>
          <w:color w:val="000000"/>
          <w:sz w:val="20"/>
        </w:rPr>
      </w:pPr>
      <w:r>
        <w:rPr>
          <w:rFonts w:ascii="Arial" w:hAnsi="Arial" w:cs="Arial"/>
          <w:sz w:val="20"/>
        </w:rPr>
        <w:t xml:space="preserve">In </w:t>
      </w:r>
      <w:bookmarkStart w:id="1214" w:name="_Hlk217368519"/>
      <w:r w:rsidR="00131157" w:rsidRPr="00A673D6">
        <w:rPr>
          <w:rFonts w:ascii="Arial" w:hAnsi="Arial" w:cs="Arial"/>
          <w:bCs/>
          <w:i/>
          <w:iCs/>
          <w:color w:val="000000"/>
          <w:sz w:val="20"/>
        </w:rPr>
        <w:t xml:space="preserve">DPP v </w:t>
      </w:r>
      <w:proofErr w:type="spellStart"/>
      <w:r w:rsidR="00131157" w:rsidRPr="00A673D6">
        <w:rPr>
          <w:rFonts w:ascii="Arial" w:hAnsi="Arial" w:cs="Arial"/>
          <w:bCs/>
          <w:i/>
          <w:iCs/>
          <w:color w:val="000000"/>
          <w:sz w:val="20"/>
        </w:rPr>
        <w:t>Gluyas</w:t>
      </w:r>
      <w:proofErr w:type="spellEnd"/>
      <w:r w:rsidR="00131157" w:rsidRPr="00A673D6">
        <w:rPr>
          <w:rFonts w:ascii="Arial" w:hAnsi="Arial" w:cs="Arial"/>
          <w:bCs/>
          <w:i/>
          <w:iCs/>
          <w:color w:val="000000"/>
          <w:sz w:val="20"/>
        </w:rPr>
        <w:t xml:space="preserve">; </w:t>
      </w:r>
      <w:proofErr w:type="spellStart"/>
      <w:r w:rsidR="00131157" w:rsidRPr="00A673D6">
        <w:rPr>
          <w:rFonts w:ascii="Arial" w:hAnsi="Arial" w:cs="Arial"/>
          <w:bCs/>
          <w:i/>
          <w:iCs/>
          <w:color w:val="000000"/>
          <w:sz w:val="20"/>
        </w:rPr>
        <w:t>Gluyas</w:t>
      </w:r>
      <w:proofErr w:type="spellEnd"/>
      <w:r w:rsidR="00131157" w:rsidRPr="00A673D6">
        <w:rPr>
          <w:rFonts w:ascii="Arial" w:hAnsi="Arial" w:cs="Arial"/>
          <w:bCs/>
          <w:i/>
          <w:iCs/>
          <w:color w:val="000000"/>
          <w:sz w:val="20"/>
        </w:rPr>
        <w:t xml:space="preserve"> v The King</w:t>
      </w:r>
      <w:r w:rsidR="00131157">
        <w:rPr>
          <w:rFonts w:ascii="Arial" w:hAnsi="Arial" w:cs="Arial"/>
          <w:bCs/>
          <w:color w:val="000000"/>
          <w:sz w:val="20"/>
        </w:rPr>
        <w:t xml:space="preserve"> </w:t>
      </w:r>
      <w:r w:rsidR="00131157" w:rsidRPr="00A673D6">
        <w:rPr>
          <w:rFonts w:ascii="Arial" w:hAnsi="Arial" w:cs="Arial"/>
          <w:bCs/>
          <w:color w:val="000000"/>
          <w:sz w:val="20"/>
        </w:rPr>
        <w:t>[2025] VSC</w:t>
      </w:r>
      <w:r w:rsidR="004E29DC">
        <w:rPr>
          <w:rFonts w:ascii="Arial" w:hAnsi="Arial" w:cs="Arial"/>
          <w:bCs/>
          <w:color w:val="000000"/>
          <w:sz w:val="20"/>
        </w:rPr>
        <w:t>A</w:t>
      </w:r>
      <w:r w:rsidR="00131157" w:rsidRPr="00A673D6">
        <w:rPr>
          <w:rFonts w:ascii="Arial" w:hAnsi="Arial" w:cs="Arial"/>
          <w:bCs/>
          <w:color w:val="000000"/>
          <w:sz w:val="20"/>
        </w:rPr>
        <w:t xml:space="preserve"> </w:t>
      </w:r>
      <w:r w:rsidR="004E29DC">
        <w:rPr>
          <w:rFonts w:ascii="Arial" w:hAnsi="Arial" w:cs="Arial"/>
          <w:bCs/>
          <w:color w:val="000000"/>
          <w:sz w:val="20"/>
        </w:rPr>
        <w:t>335</w:t>
      </w:r>
      <w:r w:rsidR="00131157" w:rsidRPr="00A673D6">
        <w:rPr>
          <w:rFonts w:ascii="Arial" w:hAnsi="Arial" w:cs="Arial"/>
          <w:bCs/>
          <w:color w:val="000000"/>
          <w:sz w:val="20"/>
        </w:rPr>
        <w:t xml:space="preserve"> </w:t>
      </w:r>
      <w:bookmarkEnd w:id="1214"/>
      <w:r w:rsidR="00131157">
        <w:rPr>
          <w:rFonts w:ascii="Arial" w:hAnsi="Arial" w:cs="Arial"/>
          <w:bCs/>
          <w:color w:val="000000"/>
          <w:sz w:val="20"/>
        </w:rPr>
        <w:t xml:space="preserve">the DPP had appealed a sentence of IMP5m + CCO 2y imposed on the 46 year old applicant after a sentence indication hearing followed by a plea of guilty to one charge of aggravated burglary and </w:t>
      </w:r>
      <w:r w:rsidR="00131157" w:rsidRPr="00A673D6">
        <w:rPr>
          <w:rFonts w:ascii="Arial" w:hAnsi="Arial" w:cs="Arial"/>
          <w:bCs/>
          <w:color w:val="000000"/>
          <w:sz w:val="20"/>
        </w:rPr>
        <w:t>two charges of theft (including theft of motor vehicle) with co-offenders</w:t>
      </w:r>
      <w:r w:rsidR="00131157">
        <w:rPr>
          <w:rFonts w:ascii="Arial" w:hAnsi="Arial" w:cs="Arial"/>
          <w:bCs/>
          <w:color w:val="000000"/>
          <w:sz w:val="20"/>
        </w:rPr>
        <w:t xml:space="preserve">. The applicant applied for leave to appeal against conviction after he was informed by the Court of Appeal that he was at risk of an increase in sentence. For reasons detailed at [48]-[177] the Court of Appeal dismissed the applicant’s appeal, holding that his plea had been freely and voluntarily made, notwithstanding that the DPP had conceded </w:t>
      </w:r>
      <w:r w:rsidR="00BE1C2B">
        <w:rPr>
          <w:rFonts w:ascii="Arial" w:hAnsi="Arial" w:cs="Arial"/>
          <w:bCs/>
          <w:color w:val="000000"/>
          <w:sz w:val="20"/>
        </w:rPr>
        <w:t xml:space="preserve">– for the 3 reasons detailed at [163]-[165] – </w:t>
      </w:r>
      <w:r w:rsidR="00131157" w:rsidRPr="00131157">
        <w:rPr>
          <w:rFonts w:ascii="Arial" w:hAnsi="Arial" w:cs="Arial"/>
          <w:bCs/>
          <w:color w:val="000000"/>
          <w:sz w:val="20"/>
        </w:rPr>
        <w:t>that Mr</w:t>
      </w:r>
      <w:r w:rsidR="00BE1C2B">
        <w:rPr>
          <w:rFonts w:ascii="Arial" w:hAnsi="Arial" w:cs="Arial"/>
          <w:bCs/>
          <w:color w:val="000000"/>
          <w:sz w:val="20"/>
        </w:rPr>
        <w:t> </w:t>
      </w:r>
      <w:r w:rsidR="00131157" w:rsidRPr="00131157">
        <w:rPr>
          <w:rFonts w:ascii="Arial" w:hAnsi="Arial" w:cs="Arial"/>
          <w:bCs/>
          <w:color w:val="000000"/>
          <w:sz w:val="20"/>
        </w:rPr>
        <w:t xml:space="preserve">Gluyas’ conviction appeal ought be allowed and his convictions set aside. </w:t>
      </w:r>
      <w:r w:rsidR="00131157">
        <w:rPr>
          <w:rFonts w:ascii="Arial" w:hAnsi="Arial" w:cs="Arial"/>
          <w:bCs/>
          <w:color w:val="000000"/>
          <w:sz w:val="20"/>
        </w:rPr>
        <w:t>In summary Boyce &amp; Kidd JJA and J Forrest JA said at [175]-[176]:</w:t>
      </w:r>
    </w:p>
    <w:p w14:paraId="0CEE6FC0" w14:textId="52BE7EAB" w:rsidR="008E6612" w:rsidRDefault="00131157" w:rsidP="00131157">
      <w:pPr>
        <w:spacing w:before="60"/>
        <w:ind w:left="454" w:right="454"/>
        <w:jc w:val="both"/>
        <w:rPr>
          <w:rFonts w:ascii="Arial" w:hAnsi="Arial" w:cs="Arial"/>
          <w:sz w:val="20"/>
        </w:rPr>
      </w:pPr>
      <w:r>
        <w:rPr>
          <w:rFonts w:ascii="Arial" w:hAnsi="Arial" w:cs="Arial"/>
          <w:sz w:val="20"/>
        </w:rPr>
        <w:t>[</w:t>
      </w:r>
      <w:r w:rsidRPr="00131157">
        <w:rPr>
          <w:rFonts w:ascii="Arial" w:hAnsi="Arial" w:cs="Arial"/>
          <w:sz w:val="20"/>
        </w:rPr>
        <w:t>175</w:t>
      </w:r>
      <w:r>
        <w:rPr>
          <w:rFonts w:ascii="Arial" w:hAnsi="Arial" w:cs="Arial"/>
          <w:sz w:val="20"/>
        </w:rPr>
        <w:t>]</w:t>
      </w:r>
      <w:r w:rsidRPr="00131157">
        <w:rPr>
          <w:rFonts w:ascii="Arial" w:hAnsi="Arial" w:cs="Arial"/>
          <w:sz w:val="20"/>
        </w:rPr>
        <w:t xml:space="preserve"> </w:t>
      </w:r>
      <w:r>
        <w:rPr>
          <w:rFonts w:ascii="Arial" w:hAnsi="Arial" w:cs="Arial"/>
          <w:sz w:val="20"/>
        </w:rPr>
        <w:t>“</w:t>
      </w:r>
      <w:r w:rsidRPr="00131157">
        <w:rPr>
          <w:rFonts w:ascii="Arial" w:hAnsi="Arial" w:cs="Arial"/>
          <w:sz w:val="20"/>
        </w:rPr>
        <w:t xml:space="preserve">We have determined that proper participation in the Victorian sentence indication scheme does not, of itself, operate to produce a substantial miscarriage of justice which warrants the setting aside of an accused’s conviction sustained after a plea of guilty has been entered upon the giving of a sentence indication. Participation, in this manner, by an accused in the scheme does not deprive an accused’s plea of its free and voluntary nature. Given the statutory context that applies in this case, we consider that we are at liberty to depart from the reasoning of the majority in </w:t>
      </w:r>
      <w:r w:rsidR="008E6612" w:rsidRPr="008E6612">
        <w:rPr>
          <w:rFonts w:ascii="Arial" w:hAnsi="Arial" w:cs="Arial"/>
          <w:i/>
          <w:iCs/>
          <w:sz w:val="20"/>
        </w:rPr>
        <w:t>Guariglia v The Queen</w:t>
      </w:r>
      <w:r w:rsidR="008E6612" w:rsidRPr="008E6612">
        <w:rPr>
          <w:rFonts w:ascii="Arial" w:hAnsi="Arial" w:cs="Arial"/>
          <w:sz w:val="20"/>
        </w:rPr>
        <w:t xml:space="preserve"> (2010) 208 A Crim R 49</w:t>
      </w:r>
      <w:r w:rsidR="008E6612">
        <w:rPr>
          <w:rFonts w:ascii="Arial" w:hAnsi="Arial" w:cs="Arial"/>
          <w:sz w:val="20"/>
        </w:rPr>
        <w:t xml:space="preserve"> </w:t>
      </w:r>
      <w:r w:rsidRPr="00131157">
        <w:rPr>
          <w:rFonts w:ascii="Arial" w:hAnsi="Arial" w:cs="Arial"/>
          <w:sz w:val="20"/>
        </w:rPr>
        <w:t xml:space="preserve">to the extent that doing so is necessary to reach the conclusions we have set out above. We note, however, that in substance our conclusions in this respect are at one with those reached by the English Court of Appeal in </w:t>
      </w:r>
      <w:r w:rsidR="008E6612">
        <w:rPr>
          <w:rFonts w:ascii="Arial" w:hAnsi="Arial" w:cs="Arial"/>
          <w:i/>
          <w:iCs/>
          <w:sz w:val="20"/>
        </w:rPr>
        <w:t>R v G</w:t>
      </w:r>
      <w:r w:rsidRPr="00BE1C2B">
        <w:rPr>
          <w:rFonts w:ascii="Arial" w:hAnsi="Arial" w:cs="Arial"/>
          <w:i/>
          <w:iCs/>
          <w:sz w:val="20"/>
        </w:rPr>
        <w:t>oodyear</w:t>
      </w:r>
      <w:r w:rsidR="008E6612">
        <w:rPr>
          <w:rFonts w:ascii="Arial" w:hAnsi="Arial" w:cs="Arial"/>
          <w:sz w:val="20"/>
        </w:rPr>
        <w:t xml:space="preserve"> </w:t>
      </w:r>
      <w:r w:rsidR="008E6612" w:rsidRPr="008E6612">
        <w:rPr>
          <w:rFonts w:ascii="Arial" w:hAnsi="Arial" w:cs="Arial"/>
          <w:sz w:val="20"/>
        </w:rPr>
        <w:t>[2005] 1 WLR 2532</w:t>
      </w:r>
      <w:r w:rsidR="008E6612">
        <w:rPr>
          <w:rFonts w:ascii="Arial" w:hAnsi="Arial" w:cs="Arial"/>
          <w:sz w:val="20"/>
        </w:rPr>
        <w:t xml:space="preserve">. </w:t>
      </w:r>
      <w:r w:rsidR="008E6612" w:rsidRPr="008E6612">
        <w:rPr>
          <w:rFonts w:ascii="Arial" w:hAnsi="Arial" w:cs="Arial"/>
          <w:sz w:val="20"/>
        </w:rPr>
        <w:t>We were not taken to, nor has our research located any English decision where the simple giving of a ‘</w:t>
      </w:r>
      <w:r w:rsidR="008E6612" w:rsidRPr="008E6612">
        <w:rPr>
          <w:rFonts w:ascii="Arial" w:hAnsi="Arial" w:cs="Arial"/>
          <w:i/>
          <w:iCs/>
          <w:sz w:val="20"/>
        </w:rPr>
        <w:t>Goodyear</w:t>
      </w:r>
      <w:r w:rsidR="008E6612" w:rsidRPr="008E6612">
        <w:rPr>
          <w:rFonts w:ascii="Arial" w:hAnsi="Arial" w:cs="Arial"/>
          <w:sz w:val="20"/>
        </w:rPr>
        <w:t xml:space="preserve"> indication’ vested the sentenced person with a right, on appeal, to withdraw their plea. We note, however, that in </w:t>
      </w:r>
      <w:r w:rsidR="008E6612" w:rsidRPr="008E6612">
        <w:rPr>
          <w:rFonts w:ascii="Arial" w:hAnsi="Arial" w:cs="Arial"/>
          <w:i/>
          <w:iCs/>
          <w:sz w:val="20"/>
        </w:rPr>
        <w:t>Nightingale (Danny)</w:t>
      </w:r>
      <w:r w:rsidR="008E6612" w:rsidRPr="008E6612">
        <w:rPr>
          <w:rFonts w:ascii="Arial" w:hAnsi="Arial" w:cs="Arial"/>
          <w:sz w:val="20"/>
        </w:rPr>
        <w:t xml:space="preserve"> [2013] 2 Cr App R 7, an uninvited sentence indication that was given ‘out of the blue’ entitled the accused to a quashing of his conviction.</w:t>
      </w:r>
    </w:p>
    <w:p w14:paraId="4F7AA0D1" w14:textId="582FFF05" w:rsidR="00BE1C2B" w:rsidRDefault="00BE1C2B" w:rsidP="00BE1C2B">
      <w:pPr>
        <w:spacing w:before="60"/>
        <w:ind w:left="454" w:right="454"/>
        <w:jc w:val="both"/>
        <w:rPr>
          <w:rFonts w:ascii="Arial" w:hAnsi="Arial" w:cs="Arial"/>
          <w:sz w:val="20"/>
        </w:rPr>
      </w:pPr>
      <w:r>
        <w:rPr>
          <w:rFonts w:ascii="Arial" w:hAnsi="Arial" w:cs="Arial"/>
          <w:sz w:val="20"/>
        </w:rPr>
        <w:t>[</w:t>
      </w:r>
      <w:r w:rsidR="00131157" w:rsidRPr="00131157">
        <w:rPr>
          <w:rFonts w:ascii="Arial" w:hAnsi="Arial" w:cs="Arial"/>
          <w:sz w:val="20"/>
        </w:rPr>
        <w:t>176</w:t>
      </w:r>
      <w:r>
        <w:rPr>
          <w:rFonts w:ascii="Arial" w:hAnsi="Arial" w:cs="Arial"/>
          <w:sz w:val="20"/>
        </w:rPr>
        <w:t>]</w:t>
      </w:r>
      <w:r w:rsidR="00131157" w:rsidRPr="00131157">
        <w:rPr>
          <w:rFonts w:ascii="Arial" w:hAnsi="Arial" w:cs="Arial"/>
          <w:sz w:val="20"/>
        </w:rPr>
        <w:t xml:space="preserve"> We have determined, also, that the simple exercise by the Director of his right to appeal a sentence imposed after a sentence indication hearing does not, in and of itself, operate to provide the person sentenced with a basis to withdraw his or her plea on an appeal against conviction. Similarly, in that respect, we regard ourselves in substance to be at one with the decision in </w:t>
      </w:r>
      <w:r w:rsidR="00131157" w:rsidRPr="00BE1C2B">
        <w:rPr>
          <w:rFonts w:ascii="Arial" w:hAnsi="Arial" w:cs="Arial"/>
          <w:i/>
          <w:iCs/>
          <w:sz w:val="20"/>
        </w:rPr>
        <w:t>Goodyear</w:t>
      </w:r>
      <w:r>
        <w:rPr>
          <w:rFonts w:ascii="Arial" w:hAnsi="Arial" w:cs="Arial"/>
          <w:sz w:val="20"/>
        </w:rPr>
        <w:t>.</w:t>
      </w:r>
      <w:r w:rsidR="00397C8A">
        <w:rPr>
          <w:rFonts w:ascii="Arial" w:hAnsi="Arial" w:cs="Arial"/>
          <w:sz w:val="20"/>
        </w:rPr>
        <w:t xml:space="preserve"> </w:t>
      </w:r>
      <w:r w:rsidR="008E6612" w:rsidRPr="008E6612">
        <w:rPr>
          <w:rFonts w:ascii="Arial" w:hAnsi="Arial" w:cs="Arial"/>
          <w:sz w:val="20"/>
        </w:rPr>
        <w:t>Our research has failed to discover a case where the fact of a reference by the Attorney-General to the Court of Appeal in England due to the leniency of a sentence imposed after the giving of a ‘Goodyear indication’ provided the sentenced person with a basis to a withdrawal of their plea of guilty on appeal.</w:t>
      </w:r>
      <w:r w:rsidR="00397C8A">
        <w:rPr>
          <w:rFonts w:ascii="Arial" w:hAnsi="Arial" w:cs="Arial"/>
          <w:sz w:val="20"/>
        </w:rPr>
        <w:t>”</w:t>
      </w:r>
    </w:p>
    <w:p w14:paraId="05715B69" w14:textId="77777777" w:rsidR="00131157" w:rsidRDefault="00131157" w:rsidP="003C751E">
      <w:pPr>
        <w:jc w:val="both"/>
        <w:rPr>
          <w:rFonts w:ascii="Arial" w:hAnsi="Arial" w:cs="Arial"/>
          <w:sz w:val="20"/>
        </w:rPr>
      </w:pPr>
    </w:p>
    <w:bookmarkStart w:id="1215" w:name="_3.10.2_Reviews_of"/>
    <w:bookmarkEnd w:id="1215"/>
    <w:p w14:paraId="4C129A31" w14:textId="74DF863E" w:rsidR="00853002" w:rsidRPr="00465206" w:rsidRDefault="00853002" w:rsidP="00853002">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3.10.2</w:t>
      </w:r>
      <w:r w:rsidRPr="00465206">
        <w:rPr>
          <w:rStyle w:val="Hyperlink"/>
          <w:rFonts w:ascii="Arial" w:hAnsi="Arial" w:cs="Arial"/>
          <w:b/>
          <w:bCs/>
          <w:color w:val="000000" w:themeColor="text1"/>
          <w:sz w:val="20"/>
          <w:u w:val="none"/>
        </w:rPr>
        <w:tab/>
        <w:t>Reviews o</w:t>
      </w:r>
      <w:r w:rsidR="00991338" w:rsidRPr="00465206">
        <w:rPr>
          <w:rStyle w:val="Hyperlink"/>
          <w:rFonts w:ascii="Arial" w:hAnsi="Arial" w:cs="Arial"/>
          <w:b/>
          <w:bCs/>
          <w:color w:val="000000" w:themeColor="text1"/>
          <w:sz w:val="20"/>
          <w:u w:val="none"/>
        </w:rPr>
        <w:t>f judicial registrars’ determinations</w:t>
      </w:r>
      <w:r w:rsidRPr="00465206">
        <w:rPr>
          <w:rFonts w:ascii="Arial" w:hAnsi="Arial" w:cs="Arial"/>
          <w:b/>
          <w:bCs/>
          <w:color w:val="000000" w:themeColor="text1"/>
          <w:sz w:val="20"/>
        </w:rPr>
        <w:fldChar w:fldCharType="end"/>
      </w:r>
    </w:p>
    <w:p w14:paraId="7822C0F3" w14:textId="17024CCC" w:rsidR="003D36F6" w:rsidRDefault="00853002" w:rsidP="003C751E">
      <w:pPr>
        <w:jc w:val="both"/>
        <w:rPr>
          <w:rFonts w:ascii="Arial" w:hAnsi="Arial" w:cs="Arial"/>
          <w:sz w:val="20"/>
        </w:rPr>
      </w:pPr>
      <w:r>
        <w:rPr>
          <w:rFonts w:ascii="Arial" w:hAnsi="Arial" w:cs="Arial"/>
          <w:sz w:val="20"/>
        </w:rPr>
        <w:t xml:space="preserve">Rule </w:t>
      </w:r>
      <w:r w:rsidR="00DE7665">
        <w:rPr>
          <w:rFonts w:ascii="Arial" w:hAnsi="Arial" w:cs="Arial"/>
          <w:sz w:val="20"/>
        </w:rPr>
        <w:t xml:space="preserve">3.02 </w:t>
      </w:r>
      <w:r>
        <w:rPr>
          <w:rFonts w:ascii="Arial" w:hAnsi="Arial" w:cs="Arial"/>
          <w:sz w:val="20"/>
        </w:rPr>
        <w:t xml:space="preserve">of the </w:t>
      </w:r>
      <w:r w:rsidR="00DE7665" w:rsidRPr="00DE7665">
        <w:rPr>
          <w:rFonts w:ascii="Arial" w:hAnsi="Arial" w:cs="Arial"/>
          <w:i/>
          <w:iCs/>
          <w:sz w:val="20"/>
        </w:rPr>
        <w:t>Children, Youth and Families (Children’s Court Judicial Registrars) Rules 2021</w:t>
      </w:r>
      <w:r w:rsidR="00DE7665">
        <w:rPr>
          <w:rFonts w:ascii="Arial" w:hAnsi="Arial" w:cs="Arial"/>
          <w:sz w:val="20"/>
        </w:rPr>
        <w:t xml:space="preserve"> enables a party to a proceeding or matter in the Children’s Court determined by a judicial registrar to apply to the Children’s Court constituted by a magistrate or the President for a review </w:t>
      </w:r>
      <w:r w:rsidR="00EB0D09">
        <w:rPr>
          <w:rFonts w:ascii="Arial" w:hAnsi="Arial" w:cs="Arial"/>
          <w:sz w:val="20"/>
        </w:rPr>
        <w:t xml:space="preserve">– and </w:t>
      </w:r>
      <w:r w:rsidR="00991338">
        <w:rPr>
          <w:rFonts w:ascii="Arial" w:hAnsi="Arial" w:cs="Arial"/>
          <w:sz w:val="20"/>
        </w:rPr>
        <w:t>opt</w:t>
      </w:r>
      <w:r w:rsidR="00EB0D09">
        <w:rPr>
          <w:rFonts w:ascii="Arial" w:hAnsi="Arial" w:cs="Arial"/>
          <w:sz w:val="20"/>
        </w:rPr>
        <w:t xml:space="preserve">ionally </w:t>
      </w:r>
      <w:r w:rsidR="00465206">
        <w:rPr>
          <w:rFonts w:ascii="Arial" w:hAnsi="Arial" w:cs="Arial"/>
          <w:sz w:val="20"/>
        </w:rPr>
        <w:t>for</w:t>
      </w:r>
      <w:r w:rsidR="00EB0D09">
        <w:rPr>
          <w:rFonts w:ascii="Arial" w:hAnsi="Arial" w:cs="Arial"/>
          <w:sz w:val="20"/>
        </w:rPr>
        <w:t xml:space="preserve"> a stay – of that determination.  </w:t>
      </w:r>
      <w:r w:rsidR="003D36F6">
        <w:rPr>
          <w:rFonts w:ascii="Arial" w:hAnsi="Arial" w:cs="Arial"/>
          <w:sz w:val="20"/>
        </w:rPr>
        <w:t>Under rule 3.03 the review Court:</w:t>
      </w:r>
    </w:p>
    <w:p w14:paraId="0E0710C7" w14:textId="0302497B" w:rsidR="00853002" w:rsidRPr="003D36F6" w:rsidRDefault="003D36F6" w:rsidP="00834A26">
      <w:pPr>
        <w:pStyle w:val="ListParagraph"/>
        <w:numPr>
          <w:ilvl w:val="0"/>
          <w:numId w:val="80"/>
        </w:numPr>
        <w:ind w:left="357" w:hanging="357"/>
        <w:jc w:val="both"/>
        <w:rPr>
          <w:rFonts w:ascii="Arial" w:hAnsi="Arial" w:cs="Arial"/>
          <w:sz w:val="20"/>
        </w:rPr>
      </w:pPr>
      <w:r>
        <w:rPr>
          <w:rFonts w:ascii="Arial" w:hAnsi="Arial" w:cs="Arial"/>
          <w:sz w:val="20"/>
        </w:rPr>
        <w:t xml:space="preserve">must determine </w:t>
      </w:r>
      <w:r w:rsidRPr="003D36F6">
        <w:rPr>
          <w:rFonts w:ascii="Arial" w:hAnsi="Arial" w:cs="Arial"/>
          <w:sz w:val="20"/>
        </w:rPr>
        <w:t xml:space="preserve">an application for review by way of a hearing </w:t>
      </w:r>
      <w:r w:rsidRPr="003D36F6">
        <w:rPr>
          <w:rFonts w:ascii="Arial" w:hAnsi="Arial" w:cs="Arial"/>
          <w:i/>
          <w:iCs/>
          <w:sz w:val="20"/>
        </w:rPr>
        <w:t>de novo</w:t>
      </w:r>
      <w:r w:rsidRPr="003D36F6">
        <w:rPr>
          <w:rFonts w:ascii="Arial" w:hAnsi="Arial" w:cs="Arial"/>
          <w:sz w:val="20"/>
        </w:rPr>
        <w:t>; and</w:t>
      </w:r>
    </w:p>
    <w:p w14:paraId="7D144670" w14:textId="152DE2B9" w:rsidR="003D36F6" w:rsidRPr="003D36F6" w:rsidRDefault="003D36F6">
      <w:pPr>
        <w:pStyle w:val="ListParagraph"/>
        <w:numPr>
          <w:ilvl w:val="0"/>
          <w:numId w:val="80"/>
        </w:numPr>
        <w:ind w:left="357" w:hanging="357"/>
        <w:jc w:val="both"/>
        <w:rPr>
          <w:rFonts w:ascii="Arial" w:hAnsi="Arial" w:cs="Arial"/>
          <w:sz w:val="20"/>
        </w:rPr>
      </w:pPr>
      <w:r>
        <w:rPr>
          <w:rFonts w:ascii="Arial" w:hAnsi="Arial" w:cs="Arial"/>
          <w:sz w:val="20"/>
        </w:rPr>
        <w:t>must have regard to the interests of justice and, if applicable, the principles set out in Part 1.2 CYFA.</w:t>
      </w:r>
    </w:p>
    <w:p w14:paraId="6DF34D5B" w14:textId="77777777" w:rsidR="00E25E37" w:rsidRDefault="00E25E37" w:rsidP="00E25E37">
      <w:pPr>
        <w:jc w:val="both"/>
        <w:rPr>
          <w:rFonts w:ascii="Arial" w:hAnsi="Arial" w:cs="Arial"/>
          <w:sz w:val="20"/>
        </w:rPr>
      </w:pPr>
      <w:bookmarkStart w:id="1216" w:name="_3.11_Case_stated"/>
      <w:bookmarkStart w:id="1217" w:name="B311"/>
      <w:bookmarkEnd w:id="1216"/>
      <w:bookmarkEnd w:id="1217"/>
    </w:p>
    <w:bookmarkStart w:id="1218" w:name="_3.10.3_Dismissal_of"/>
    <w:bookmarkEnd w:id="1218"/>
    <w:p w14:paraId="29EB82C9" w14:textId="1502DE6F" w:rsidR="00E25E37" w:rsidRPr="00465206" w:rsidRDefault="00E25E37" w:rsidP="00E25E37">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w:t>
      </w:r>
      <w:r>
        <w:rPr>
          <w:rStyle w:val="Hyperlink"/>
          <w:rFonts w:ascii="Arial" w:hAnsi="Arial" w:cs="Arial"/>
          <w:b/>
          <w:bCs/>
          <w:color w:val="000000" w:themeColor="text1"/>
          <w:sz w:val="20"/>
          <w:u w:val="none"/>
        </w:rPr>
        <w:t>3</w:t>
      </w:r>
      <w:r w:rsidRPr="00465206">
        <w:rPr>
          <w:rStyle w:val="Hyperlink"/>
          <w:rFonts w:ascii="Arial" w:hAnsi="Arial" w:cs="Arial"/>
          <w:b/>
          <w:bCs/>
          <w:color w:val="000000" w:themeColor="text1"/>
          <w:sz w:val="20"/>
          <w:u w:val="none"/>
        </w:rPr>
        <w:tab/>
      </w:r>
      <w:r>
        <w:rPr>
          <w:rStyle w:val="Hyperlink"/>
          <w:rFonts w:ascii="Arial" w:hAnsi="Arial" w:cs="Arial"/>
          <w:b/>
          <w:bCs/>
          <w:color w:val="000000" w:themeColor="text1"/>
          <w:sz w:val="20"/>
          <w:u w:val="none"/>
        </w:rPr>
        <w:t>Dismissal</w:t>
      </w:r>
      <w:r w:rsidRPr="00465206">
        <w:rPr>
          <w:rFonts w:ascii="Arial" w:hAnsi="Arial" w:cs="Arial"/>
          <w:b/>
          <w:bCs/>
          <w:color w:val="000000" w:themeColor="text1"/>
          <w:sz w:val="20"/>
        </w:rPr>
        <w:fldChar w:fldCharType="end"/>
      </w:r>
      <w:r>
        <w:rPr>
          <w:rFonts w:ascii="Arial" w:hAnsi="Arial" w:cs="Arial"/>
          <w:b/>
          <w:bCs/>
          <w:color w:val="000000" w:themeColor="text1"/>
          <w:sz w:val="20"/>
        </w:rPr>
        <w:t xml:space="preserve"> of appeal proceeding for want of prosecution</w:t>
      </w:r>
    </w:p>
    <w:p w14:paraId="55431BD6" w14:textId="78899528" w:rsidR="00935A6C" w:rsidRDefault="00E25E37" w:rsidP="00E25E37">
      <w:pPr>
        <w:jc w:val="both"/>
        <w:rPr>
          <w:rFonts w:ascii="Arial" w:hAnsi="Arial" w:cs="Arial"/>
          <w:sz w:val="20"/>
        </w:rPr>
      </w:pPr>
      <w:r>
        <w:rPr>
          <w:rFonts w:ascii="Arial" w:hAnsi="Arial" w:cs="Arial"/>
          <w:sz w:val="20"/>
        </w:rPr>
        <w:t xml:space="preserve">In </w:t>
      </w:r>
      <w:r w:rsidRPr="00E25E37">
        <w:rPr>
          <w:rFonts w:ascii="Arial" w:hAnsi="Arial" w:cs="Arial"/>
          <w:i/>
          <w:iCs/>
          <w:sz w:val="20"/>
        </w:rPr>
        <w:t>Fezollari v The King [No 2]</w:t>
      </w:r>
      <w:r>
        <w:rPr>
          <w:rFonts w:ascii="Arial" w:hAnsi="Arial" w:cs="Arial"/>
          <w:sz w:val="20"/>
        </w:rPr>
        <w:t xml:space="preserve"> the applicant had pleaded guilty in 2010 to one charge of trafficking </w:t>
      </w:r>
      <w:r w:rsidRPr="00E25E37">
        <w:rPr>
          <w:rFonts w:ascii="Arial" w:hAnsi="Arial" w:cs="Arial"/>
          <w:sz w:val="20"/>
        </w:rPr>
        <w:t>methamphetamine</w:t>
      </w:r>
      <w:r>
        <w:rPr>
          <w:rFonts w:ascii="Arial" w:hAnsi="Arial" w:cs="Arial"/>
          <w:sz w:val="20"/>
        </w:rPr>
        <w:t xml:space="preserve"> and </w:t>
      </w:r>
      <w:r w:rsidRPr="00E25E37">
        <w:rPr>
          <w:rFonts w:ascii="Arial" w:hAnsi="Arial" w:cs="Arial"/>
          <w:sz w:val="20"/>
        </w:rPr>
        <w:t>was sentenced to a term of imprisonment. In 2011, following a plea of guilty to another charge of trafficking methamphetamine, the applicant was sentenced to another term of imprisonment</w:t>
      </w:r>
      <w:r>
        <w:rPr>
          <w:rFonts w:ascii="Arial" w:hAnsi="Arial" w:cs="Arial"/>
          <w:sz w:val="20"/>
        </w:rPr>
        <w:t xml:space="preserve">. </w:t>
      </w:r>
      <w:r w:rsidR="00935A6C">
        <w:rPr>
          <w:rFonts w:ascii="Arial" w:hAnsi="Arial" w:cs="Arial"/>
          <w:sz w:val="20"/>
        </w:rPr>
        <w:t xml:space="preserve">In November 2021 the </w:t>
      </w:r>
      <w:r w:rsidR="00935A6C" w:rsidRPr="00935A6C">
        <w:rPr>
          <w:rFonts w:ascii="Arial" w:hAnsi="Arial" w:cs="Arial"/>
          <w:sz w:val="20"/>
        </w:rPr>
        <w:t xml:space="preserve">applicant filed an application for an extension of time within which to seek leave to appeal against his convictions, together with an application for leave to appeal against conviction and a document headed ‘Interim/Holding Written Case for the Applicant’. </w:t>
      </w:r>
      <w:r w:rsidR="00935A6C">
        <w:rPr>
          <w:rFonts w:ascii="Arial" w:hAnsi="Arial" w:cs="Arial"/>
          <w:sz w:val="20"/>
        </w:rPr>
        <w:t xml:space="preserve">The proposed grounds of appeal were there had been a substantial miscarriage of justice in that Nicola Gobbo represented him between 2004 and 2008 and she informed on him for over 2 years. The applicant was not taking any steps to finalise his written case, was in breach of orders requiring a revised/final document to be filed and served and had failed to appear or instruct legal practitioners. </w:t>
      </w:r>
    </w:p>
    <w:p w14:paraId="4833167E" w14:textId="2D9C50BF" w:rsidR="003C1514" w:rsidRDefault="003C1514" w:rsidP="003C1514">
      <w:pPr>
        <w:spacing w:before="120"/>
        <w:jc w:val="both"/>
        <w:rPr>
          <w:rFonts w:ascii="Arial" w:hAnsi="Arial" w:cs="Arial"/>
          <w:sz w:val="20"/>
        </w:rPr>
      </w:pPr>
      <w:r w:rsidRPr="003C1514">
        <w:rPr>
          <w:rFonts w:ascii="Arial" w:hAnsi="Arial" w:cs="Arial"/>
          <w:sz w:val="20"/>
        </w:rPr>
        <w:t xml:space="preserve">The application was heard by </w:t>
      </w:r>
      <w:r>
        <w:rPr>
          <w:rFonts w:ascii="Arial" w:hAnsi="Arial" w:cs="Arial"/>
          <w:sz w:val="20"/>
        </w:rPr>
        <w:t xml:space="preserve">the Court of Appeal </w:t>
      </w:r>
      <w:r w:rsidRPr="003C1514">
        <w:rPr>
          <w:rFonts w:ascii="Arial" w:hAnsi="Arial" w:cs="Arial"/>
          <w:sz w:val="20"/>
        </w:rPr>
        <w:t>on 26</w:t>
      </w:r>
      <w:r w:rsidR="00DB5FC8">
        <w:rPr>
          <w:rFonts w:ascii="Arial" w:hAnsi="Arial" w:cs="Arial"/>
          <w:sz w:val="20"/>
        </w:rPr>
        <w:t>/09/</w:t>
      </w:r>
      <w:r w:rsidRPr="003C1514">
        <w:rPr>
          <w:rFonts w:ascii="Arial" w:hAnsi="Arial" w:cs="Arial"/>
          <w:sz w:val="20"/>
        </w:rPr>
        <w:t xml:space="preserve">2024. On that day, the respondent appeared </w:t>
      </w:r>
      <w:r w:rsidR="00DB5FC8">
        <w:rPr>
          <w:rFonts w:ascii="Arial" w:hAnsi="Arial" w:cs="Arial"/>
          <w:sz w:val="20"/>
        </w:rPr>
        <w:t>and sought</w:t>
      </w:r>
      <w:r w:rsidRPr="003C1514">
        <w:rPr>
          <w:rFonts w:ascii="Arial" w:hAnsi="Arial" w:cs="Arial"/>
          <w:sz w:val="20"/>
        </w:rPr>
        <w:t xml:space="preserve"> to have the applicant’s applications dismissed; the former solicitors appeared, saying that they had no instructions from the applicant, and asking to be allowed to withdraw from continuing to act </w:t>
      </w:r>
      <w:r w:rsidRPr="003C1514">
        <w:rPr>
          <w:rFonts w:ascii="Arial" w:hAnsi="Arial" w:cs="Arial"/>
          <w:sz w:val="20"/>
        </w:rPr>
        <w:lastRenderedPageBreak/>
        <w:t xml:space="preserve">for him. After hearing argument, </w:t>
      </w:r>
      <w:r>
        <w:rPr>
          <w:rFonts w:ascii="Arial" w:hAnsi="Arial" w:cs="Arial"/>
          <w:sz w:val="20"/>
        </w:rPr>
        <w:t>the Court</w:t>
      </w:r>
      <w:r w:rsidRPr="003C1514">
        <w:rPr>
          <w:rFonts w:ascii="Arial" w:hAnsi="Arial" w:cs="Arial"/>
          <w:sz w:val="20"/>
        </w:rPr>
        <w:t xml:space="preserve"> concluded that it was premature at that stage to dismiss the applicant’s applications</w:t>
      </w:r>
      <w:r>
        <w:rPr>
          <w:rFonts w:ascii="Arial" w:hAnsi="Arial" w:cs="Arial"/>
          <w:sz w:val="20"/>
        </w:rPr>
        <w:t xml:space="preserve"> and instead made orders:</w:t>
      </w:r>
    </w:p>
    <w:p w14:paraId="31F7685D" w14:textId="0C6C77E8" w:rsidR="003C1514" w:rsidRDefault="003C1514" w:rsidP="004703FA">
      <w:pPr>
        <w:pStyle w:val="ListParagraph"/>
        <w:numPr>
          <w:ilvl w:val="0"/>
          <w:numId w:val="116"/>
        </w:numPr>
        <w:ind w:left="454" w:hanging="454"/>
        <w:jc w:val="both"/>
        <w:rPr>
          <w:rFonts w:ascii="Arial" w:hAnsi="Arial" w:cs="Arial"/>
          <w:sz w:val="20"/>
        </w:rPr>
      </w:pPr>
      <w:r w:rsidRPr="00DB5FC8">
        <w:rPr>
          <w:rFonts w:ascii="Arial" w:hAnsi="Arial" w:cs="Arial"/>
          <w:sz w:val="20"/>
        </w:rPr>
        <w:t>requiring the applicant to file and serve a revised notice of his application and a final written case in support of his application for an extension of time; and</w:t>
      </w:r>
    </w:p>
    <w:p w14:paraId="52E904DE" w14:textId="5BD63E06" w:rsidR="00DB5FC8" w:rsidRDefault="00DB5FC8">
      <w:pPr>
        <w:pStyle w:val="ListParagraph"/>
        <w:numPr>
          <w:ilvl w:val="0"/>
          <w:numId w:val="146"/>
        </w:numPr>
        <w:ind w:left="454" w:hanging="454"/>
        <w:jc w:val="both"/>
        <w:rPr>
          <w:rFonts w:ascii="Arial" w:hAnsi="Arial" w:cs="Arial"/>
          <w:sz w:val="20"/>
        </w:rPr>
      </w:pPr>
      <w:r>
        <w:rPr>
          <w:rFonts w:ascii="Arial" w:hAnsi="Arial" w:cs="Arial"/>
          <w:sz w:val="20"/>
        </w:rPr>
        <w:t>requiring the solicitors on the record for the applicant to email and post various documents to the applicant; and</w:t>
      </w:r>
    </w:p>
    <w:p w14:paraId="04FE832B" w14:textId="7A47B024" w:rsidR="00DB5FC8" w:rsidRPr="00DB5FC8" w:rsidRDefault="00DB5FC8">
      <w:pPr>
        <w:pStyle w:val="ListParagraph"/>
        <w:numPr>
          <w:ilvl w:val="0"/>
          <w:numId w:val="146"/>
        </w:numPr>
        <w:ind w:left="454" w:hanging="454"/>
        <w:jc w:val="both"/>
        <w:rPr>
          <w:rFonts w:ascii="Arial" w:hAnsi="Arial" w:cs="Arial"/>
          <w:sz w:val="20"/>
        </w:rPr>
      </w:pPr>
      <w:r>
        <w:rPr>
          <w:rFonts w:ascii="Arial" w:hAnsi="Arial" w:cs="Arial"/>
          <w:sz w:val="20"/>
        </w:rPr>
        <w:t>adjourning the case to 17/03/2025.</w:t>
      </w:r>
    </w:p>
    <w:p w14:paraId="755072D0" w14:textId="1FD76BBE" w:rsidR="00DB5FC8" w:rsidRDefault="00DB5FC8" w:rsidP="003C1514">
      <w:pPr>
        <w:spacing w:before="120"/>
        <w:jc w:val="both"/>
        <w:rPr>
          <w:rFonts w:ascii="Arial" w:hAnsi="Arial" w:cs="Arial"/>
          <w:sz w:val="20"/>
        </w:rPr>
      </w:pPr>
      <w:r>
        <w:rPr>
          <w:rFonts w:ascii="Arial" w:hAnsi="Arial" w:cs="Arial"/>
          <w:sz w:val="20"/>
        </w:rPr>
        <w:t xml:space="preserve">By the adjourned date there had been </w:t>
      </w:r>
      <w:r w:rsidR="003C1514" w:rsidRPr="003C1514">
        <w:rPr>
          <w:rFonts w:ascii="Arial" w:hAnsi="Arial" w:cs="Arial"/>
          <w:sz w:val="20"/>
        </w:rPr>
        <w:t xml:space="preserve">no progress of any kind in the applicant’s applications for more than two years. Despite multiple attempts to communicate with him about his applications </w:t>
      </w:r>
      <w:r>
        <w:rPr>
          <w:rFonts w:ascii="Arial" w:hAnsi="Arial" w:cs="Arial"/>
          <w:sz w:val="20"/>
        </w:rPr>
        <w:t>“</w:t>
      </w:r>
      <w:r w:rsidR="003C1514" w:rsidRPr="003C1514">
        <w:rPr>
          <w:rFonts w:ascii="Arial" w:hAnsi="Arial" w:cs="Arial"/>
          <w:sz w:val="20"/>
        </w:rPr>
        <w:t>the applicant has simply maintained radio silence — seemingly ignoring every attempt to communicate with him.</w:t>
      </w:r>
      <w:r>
        <w:rPr>
          <w:rFonts w:ascii="Arial" w:hAnsi="Arial" w:cs="Arial"/>
          <w:sz w:val="20"/>
        </w:rPr>
        <w:t>”</w:t>
      </w:r>
      <w:r w:rsidR="003C1514" w:rsidRPr="003C1514">
        <w:rPr>
          <w:rFonts w:ascii="Arial" w:hAnsi="Arial" w:cs="Arial"/>
          <w:sz w:val="20"/>
        </w:rPr>
        <w:t xml:space="preserve"> </w:t>
      </w:r>
      <w:r>
        <w:rPr>
          <w:rFonts w:ascii="Arial" w:hAnsi="Arial" w:cs="Arial"/>
          <w:sz w:val="20"/>
        </w:rPr>
        <w:t>When the matter was called that morning, there was no appearance for the applicant and there had been no compliance with order (i) made on 26/09/2024. Saying at [17] that “</w:t>
      </w:r>
      <w:r w:rsidRPr="003C1514">
        <w:rPr>
          <w:rFonts w:ascii="Arial" w:hAnsi="Arial" w:cs="Arial"/>
          <w:sz w:val="20"/>
        </w:rPr>
        <w:t>it is plain to us that the applicant does not propose to take any step to progress his applications at any time in the foreseeable future</w:t>
      </w:r>
      <w:r>
        <w:rPr>
          <w:rFonts w:ascii="Arial" w:hAnsi="Arial" w:cs="Arial"/>
          <w:sz w:val="20"/>
        </w:rPr>
        <w:t>” Beach &amp; McLeish JJA dismissed the applications for want of prosecution, noting at [18]:</w:t>
      </w:r>
    </w:p>
    <w:p w14:paraId="7C80AE97" w14:textId="6E4154DF" w:rsidR="00935A6C" w:rsidRPr="004703FA" w:rsidRDefault="004703FA" w:rsidP="004703FA">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003C1514" w:rsidRPr="003C1514">
        <w:rPr>
          <w:rFonts w:ascii="Arial" w:hAnsi="Arial" w:cs="Arial"/>
          <w:sz w:val="20"/>
        </w:rPr>
        <w:t>The applications for an extension of time and for leave to appeal remain on foot. There has been inordinate delay by the applicant in the prosecution of them. Remaining on foot, they have continued to consume the time of the respondent and court staff — these being limited public resources — to an extent that is now patently unjustifiable. In all the circumstances, the applications should now be dismissed for want of prosecution, and we will so order.</w:t>
      </w:r>
      <w:r>
        <w:rPr>
          <w:rFonts w:ascii="Arial" w:hAnsi="Arial" w:cs="Arial"/>
          <w:sz w:val="20"/>
        </w:rPr>
        <w:t>”</w:t>
      </w:r>
    </w:p>
    <w:p w14:paraId="52A7CC70" w14:textId="16F8715B" w:rsidR="00E546E7" w:rsidRDefault="00E546E7" w:rsidP="00E546E7">
      <w:pPr>
        <w:jc w:val="both"/>
        <w:rPr>
          <w:rFonts w:ascii="Arial" w:hAnsi="Arial" w:cs="Arial"/>
          <w:sz w:val="20"/>
        </w:rPr>
      </w:pPr>
    </w:p>
    <w:bookmarkStart w:id="1219" w:name="_3.10.4_The_role"/>
    <w:bookmarkStart w:id="1220" w:name="_Hlk220659145"/>
    <w:bookmarkEnd w:id="1219"/>
    <w:p w14:paraId="0A5AD54F" w14:textId="31D82FF1" w:rsidR="00E546E7" w:rsidRPr="00465206" w:rsidRDefault="00E546E7" w:rsidP="00E546E7">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w:t>
      </w:r>
      <w:r>
        <w:rPr>
          <w:rStyle w:val="Hyperlink"/>
          <w:rFonts w:ascii="Arial" w:hAnsi="Arial" w:cs="Arial"/>
          <w:b/>
          <w:bCs/>
          <w:color w:val="000000" w:themeColor="text1"/>
          <w:sz w:val="20"/>
          <w:u w:val="none"/>
        </w:rPr>
        <w:t>4</w:t>
      </w:r>
      <w:r w:rsidRPr="00465206">
        <w:rPr>
          <w:rStyle w:val="Hyperlink"/>
          <w:rFonts w:ascii="Arial" w:hAnsi="Arial" w:cs="Arial"/>
          <w:b/>
          <w:bCs/>
          <w:color w:val="000000" w:themeColor="text1"/>
          <w:sz w:val="20"/>
          <w:u w:val="none"/>
        </w:rPr>
        <w:tab/>
      </w:r>
      <w:r w:rsidRPr="00465206">
        <w:rPr>
          <w:rFonts w:ascii="Arial" w:hAnsi="Arial" w:cs="Arial"/>
          <w:b/>
          <w:bCs/>
          <w:color w:val="000000" w:themeColor="text1"/>
          <w:sz w:val="20"/>
        </w:rPr>
        <w:fldChar w:fldCharType="end"/>
      </w:r>
      <w:r w:rsidR="00FC2DAB">
        <w:rPr>
          <w:rFonts w:ascii="Arial" w:hAnsi="Arial" w:cs="Arial"/>
          <w:b/>
          <w:bCs/>
          <w:color w:val="000000" w:themeColor="text1"/>
          <w:sz w:val="20"/>
        </w:rPr>
        <w:t xml:space="preserve">The role of </w:t>
      </w:r>
      <w:r w:rsidR="00690031">
        <w:rPr>
          <w:rFonts w:ascii="Arial" w:hAnsi="Arial" w:cs="Arial"/>
          <w:b/>
          <w:bCs/>
          <w:color w:val="000000" w:themeColor="text1"/>
          <w:sz w:val="20"/>
        </w:rPr>
        <w:t>the</w:t>
      </w:r>
      <w:r w:rsidR="001E5BEB">
        <w:rPr>
          <w:rFonts w:ascii="Arial" w:hAnsi="Arial" w:cs="Arial"/>
          <w:b/>
          <w:bCs/>
          <w:color w:val="000000" w:themeColor="text1"/>
          <w:sz w:val="20"/>
        </w:rPr>
        <w:t xml:space="preserve"> lower court</w:t>
      </w:r>
      <w:r w:rsidR="00FC2DAB">
        <w:rPr>
          <w:rFonts w:ascii="Arial" w:hAnsi="Arial" w:cs="Arial"/>
          <w:b/>
          <w:bCs/>
          <w:color w:val="000000" w:themeColor="text1"/>
          <w:sz w:val="20"/>
        </w:rPr>
        <w:t xml:space="preserve"> </w:t>
      </w:r>
      <w:r w:rsidR="00001324">
        <w:rPr>
          <w:rFonts w:ascii="Arial" w:hAnsi="Arial" w:cs="Arial"/>
          <w:b/>
          <w:bCs/>
          <w:color w:val="000000" w:themeColor="text1"/>
          <w:sz w:val="20"/>
        </w:rPr>
        <w:t>i</w:t>
      </w:r>
      <w:r w:rsidR="00FC2DAB">
        <w:rPr>
          <w:rFonts w:ascii="Arial" w:hAnsi="Arial" w:cs="Arial"/>
          <w:b/>
          <w:bCs/>
          <w:color w:val="000000" w:themeColor="text1"/>
          <w:sz w:val="20"/>
        </w:rPr>
        <w:t xml:space="preserve">n </w:t>
      </w:r>
      <w:r w:rsidR="00075919">
        <w:rPr>
          <w:rFonts w:ascii="Arial" w:hAnsi="Arial" w:cs="Arial"/>
          <w:b/>
          <w:bCs/>
          <w:color w:val="000000" w:themeColor="text1"/>
          <w:sz w:val="20"/>
        </w:rPr>
        <w:t xml:space="preserve">an </w:t>
      </w:r>
      <w:r w:rsidR="00FC2DAB">
        <w:rPr>
          <w:rFonts w:ascii="Arial" w:hAnsi="Arial" w:cs="Arial"/>
          <w:b/>
          <w:bCs/>
          <w:color w:val="000000" w:themeColor="text1"/>
          <w:sz w:val="20"/>
        </w:rPr>
        <w:t xml:space="preserve">appeal to </w:t>
      </w:r>
      <w:r w:rsidR="00FB6E5A">
        <w:rPr>
          <w:rFonts w:ascii="Arial" w:hAnsi="Arial" w:cs="Arial"/>
          <w:b/>
          <w:bCs/>
          <w:color w:val="000000" w:themeColor="text1"/>
          <w:sz w:val="20"/>
        </w:rPr>
        <w:t>the Supreme Court</w:t>
      </w:r>
    </w:p>
    <w:p w14:paraId="1B41F6CF" w14:textId="194CFD73" w:rsidR="00FC2DAB" w:rsidRDefault="005E1F87" w:rsidP="00E546E7">
      <w:pPr>
        <w:jc w:val="both"/>
        <w:rPr>
          <w:rFonts w:ascii="Arial" w:hAnsi="Arial" w:cs="Arial"/>
          <w:sz w:val="20"/>
        </w:rPr>
      </w:pPr>
      <w:r>
        <w:rPr>
          <w:rFonts w:ascii="Arial" w:hAnsi="Arial" w:cs="Arial"/>
          <w:sz w:val="20"/>
        </w:rPr>
        <w:t xml:space="preserve">It is generally not appropriate for </w:t>
      </w:r>
      <w:r w:rsidR="00FB6E5A">
        <w:rPr>
          <w:rFonts w:ascii="Arial" w:hAnsi="Arial" w:cs="Arial"/>
          <w:sz w:val="20"/>
        </w:rPr>
        <w:t xml:space="preserve">a </w:t>
      </w:r>
      <w:r>
        <w:rPr>
          <w:rFonts w:ascii="Arial" w:hAnsi="Arial" w:cs="Arial"/>
          <w:sz w:val="20"/>
        </w:rPr>
        <w:t xml:space="preserve">lower court to “enter the fray” in the course of </w:t>
      </w:r>
      <w:r w:rsidR="00E15617">
        <w:rPr>
          <w:rFonts w:ascii="Arial" w:hAnsi="Arial" w:cs="Arial"/>
          <w:sz w:val="20"/>
        </w:rPr>
        <w:t>an</w:t>
      </w:r>
      <w:r>
        <w:rPr>
          <w:rFonts w:ascii="Arial" w:hAnsi="Arial" w:cs="Arial"/>
          <w:sz w:val="20"/>
        </w:rPr>
        <w:t xml:space="preserve"> appeal to </w:t>
      </w:r>
      <w:r w:rsidR="00FB6E5A">
        <w:rPr>
          <w:rFonts w:ascii="Arial" w:hAnsi="Arial" w:cs="Arial"/>
          <w:sz w:val="20"/>
        </w:rPr>
        <w:t>a</w:t>
      </w:r>
      <w:r>
        <w:rPr>
          <w:rFonts w:ascii="Arial" w:hAnsi="Arial" w:cs="Arial"/>
          <w:sz w:val="20"/>
        </w:rPr>
        <w:t xml:space="preserve"> higher court. </w:t>
      </w:r>
      <w:r w:rsidR="00FC2DAB">
        <w:rPr>
          <w:rFonts w:ascii="Arial" w:hAnsi="Arial" w:cs="Arial"/>
          <w:sz w:val="20"/>
        </w:rPr>
        <w:t xml:space="preserve">In </w:t>
      </w:r>
      <w:r w:rsidR="00FC2DAB" w:rsidRPr="00DD765C">
        <w:rPr>
          <w:rFonts w:ascii="Arial" w:hAnsi="Arial" w:cs="Arial"/>
          <w:i/>
          <w:sz w:val="20"/>
        </w:rPr>
        <w:t>R v The Australian Broadcasting Tribunal; Ex parte Hardiman</w:t>
      </w:r>
      <w:r w:rsidR="00FC2DAB">
        <w:rPr>
          <w:rFonts w:ascii="Arial" w:hAnsi="Arial" w:cs="Arial"/>
          <w:sz w:val="20"/>
        </w:rPr>
        <w:t xml:space="preserve"> (1980) 144 CLR 13</w:t>
      </w:r>
      <w:r>
        <w:rPr>
          <w:rFonts w:ascii="Arial" w:hAnsi="Arial" w:cs="Arial"/>
          <w:sz w:val="20"/>
        </w:rPr>
        <w:t xml:space="preserve"> Gibbs CJ, Stephen, Mason, Aickin &amp; Wilson JJ </w:t>
      </w:r>
      <w:r w:rsidR="00E15617">
        <w:rPr>
          <w:rFonts w:ascii="Arial" w:hAnsi="Arial" w:cs="Arial"/>
          <w:sz w:val="20"/>
        </w:rPr>
        <w:t>concluded</w:t>
      </w:r>
      <w:r>
        <w:rPr>
          <w:rFonts w:ascii="Arial" w:hAnsi="Arial" w:cs="Arial"/>
          <w:sz w:val="20"/>
        </w:rPr>
        <w:t xml:space="preserve"> at [54]:</w:t>
      </w:r>
      <w:r w:rsidR="00FC2DAB">
        <w:rPr>
          <w:rFonts w:ascii="Arial" w:hAnsi="Arial" w:cs="Arial"/>
          <w:sz w:val="20"/>
        </w:rPr>
        <w:t xml:space="preserve"> </w:t>
      </w:r>
    </w:p>
    <w:p w14:paraId="7AB4A64D" w14:textId="0A8D3ED8" w:rsidR="00FC2DAB" w:rsidRDefault="005E1F87" w:rsidP="005E1F87">
      <w:pPr>
        <w:spacing w:before="60"/>
        <w:ind w:left="454" w:right="454"/>
        <w:jc w:val="both"/>
        <w:rPr>
          <w:rFonts w:ascii="Arial" w:hAnsi="Arial" w:cs="Arial"/>
          <w:sz w:val="20"/>
        </w:rPr>
      </w:pPr>
      <w:r>
        <w:rPr>
          <w:rFonts w:ascii="Arial" w:hAnsi="Arial" w:cs="Arial"/>
          <w:sz w:val="20"/>
        </w:rPr>
        <w:t>“</w:t>
      </w:r>
      <w:r w:rsidRPr="005E1F87">
        <w:rPr>
          <w:rFonts w:ascii="Arial" w:hAnsi="Arial" w:cs="Arial"/>
          <w:sz w:val="20"/>
        </w:rPr>
        <w:t>There is one final matter. Mr. Hughes was instructed by the Tribunal to take the unusual course of contesting the prosecutors' case for relief and this he did by presenting a substantive argument. In cases of this kind the</w:t>
      </w:r>
      <w:r>
        <w:rPr>
          <w:rFonts w:ascii="Arial" w:hAnsi="Arial" w:cs="Arial"/>
          <w:sz w:val="20"/>
        </w:rPr>
        <w:t xml:space="preserve"> </w:t>
      </w:r>
      <w:r w:rsidRPr="005E1F87">
        <w:rPr>
          <w:rFonts w:ascii="Arial" w:hAnsi="Arial" w:cs="Arial"/>
          <w:sz w:val="20"/>
        </w:rPr>
        <w:t>usual course is for a tribunal to submit to such order as the court may make. The course which was adopted by the Tribunal in this Court is not one which we would wish to encourage. If a tribunal becomes a protagonist in this Court there is the risk that by so doing it endangers the impartiality which it is expected to maintain in subsequent proceedings which take place if and when relief is granted. The presentation of a case in this Court by a tribunal should be regarded as exceptional and, where it occurs should, in general, be limited to submissions going to the powers and procedures of the Tribunal.</w:t>
      </w:r>
      <w:r>
        <w:rPr>
          <w:rFonts w:ascii="Arial" w:hAnsi="Arial" w:cs="Arial"/>
          <w:sz w:val="20"/>
        </w:rPr>
        <w:t>”</w:t>
      </w:r>
    </w:p>
    <w:p w14:paraId="2BB5F8E0" w14:textId="28143D0C" w:rsidR="00280070" w:rsidRDefault="00280070" w:rsidP="00280070">
      <w:pPr>
        <w:spacing w:before="120"/>
        <w:jc w:val="both"/>
        <w:rPr>
          <w:rFonts w:ascii="Arial" w:hAnsi="Arial" w:cs="Arial"/>
          <w:sz w:val="20"/>
        </w:rPr>
      </w:pPr>
      <w:r>
        <w:rPr>
          <w:rFonts w:ascii="Arial" w:hAnsi="Arial" w:cs="Arial"/>
          <w:sz w:val="20"/>
        </w:rPr>
        <w:t xml:space="preserve">See also dicta of Bell J in </w:t>
      </w:r>
      <w:r w:rsidRPr="00F13772">
        <w:rPr>
          <w:rFonts w:ascii="Arial" w:hAnsi="Arial" w:cs="Arial"/>
          <w:i/>
          <w:sz w:val="20"/>
        </w:rPr>
        <w:t>Grima v MacCallum</w:t>
      </w:r>
      <w:r>
        <w:rPr>
          <w:rFonts w:ascii="Arial" w:hAnsi="Arial" w:cs="Arial"/>
          <w:sz w:val="20"/>
        </w:rPr>
        <w:t xml:space="preserve"> [2014] VSC 473 at [5]-[6] discussed in </w:t>
      </w:r>
      <w:r w:rsidRPr="00280070">
        <w:rPr>
          <w:rFonts w:ascii="Arial" w:hAnsi="Arial" w:cs="Arial"/>
          <w:b/>
          <w:bCs/>
          <w:sz w:val="20"/>
          <w:shd w:val="clear" w:color="auto" w:fill="C5E0B3"/>
        </w:rPr>
        <w:t>section 3.1.2</w:t>
      </w:r>
      <w:r>
        <w:rPr>
          <w:rFonts w:ascii="Arial" w:hAnsi="Arial" w:cs="Arial"/>
          <w:sz w:val="20"/>
        </w:rPr>
        <w:t xml:space="preserve"> above.</w:t>
      </w:r>
    </w:p>
    <w:p w14:paraId="1083C9E4" w14:textId="77777777" w:rsidR="00280070" w:rsidRDefault="00280070" w:rsidP="00E546E7">
      <w:pPr>
        <w:jc w:val="both"/>
        <w:rPr>
          <w:rFonts w:ascii="Arial" w:hAnsi="Arial" w:cs="Arial"/>
          <w:sz w:val="20"/>
        </w:rPr>
      </w:pPr>
    </w:p>
    <w:p w14:paraId="1A6FEC96" w14:textId="66E32956" w:rsidR="005E1F87" w:rsidRDefault="005E1F87" w:rsidP="009527DA">
      <w:pPr>
        <w:jc w:val="both"/>
        <w:rPr>
          <w:rFonts w:ascii="Arial" w:hAnsi="Arial" w:cs="Arial"/>
          <w:sz w:val="20"/>
        </w:rPr>
      </w:pPr>
      <w:r>
        <w:rPr>
          <w:rFonts w:ascii="Arial" w:hAnsi="Arial" w:cs="Arial"/>
          <w:sz w:val="20"/>
        </w:rPr>
        <w:t xml:space="preserve">However, in </w:t>
      </w:r>
      <w:r w:rsidR="00F83676">
        <w:rPr>
          <w:rFonts w:ascii="Arial" w:hAnsi="Arial" w:cs="Arial"/>
          <w:sz w:val="20"/>
        </w:rPr>
        <w:t xml:space="preserve">allowing the appeal in </w:t>
      </w:r>
      <w:r w:rsidRPr="005E1F87">
        <w:rPr>
          <w:rFonts w:ascii="Arial" w:hAnsi="Arial" w:cs="Arial"/>
          <w:i/>
          <w:iCs/>
          <w:sz w:val="20"/>
        </w:rPr>
        <w:t>Gabriel v Coroners Court of Victoria</w:t>
      </w:r>
      <w:r>
        <w:rPr>
          <w:rFonts w:ascii="Arial" w:hAnsi="Arial" w:cs="Arial"/>
          <w:sz w:val="20"/>
        </w:rPr>
        <w:t xml:space="preserve"> [2026] VSC 11 Craig J </w:t>
      </w:r>
      <w:r w:rsidR="00F83676">
        <w:rPr>
          <w:rFonts w:ascii="Arial" w:hAnsi="Arial" w:cs="Arial"/>
          <w:sz w:val="20"/>
        </w:rPr>
        <w:t xml:space="preserve">was critical </w:t>
      </w:r>
      <w:r w:rsidR="002E3F1F">
        <w:rPr>
          <w:rFonts w:ascii="Arial" w:hAnsi="Arial" w:cs="Arial"/>
          <w:sz w:val="20"/>
        </w:rPr>
        <w:t xml:space="preserve">at </w:t>
      </w:r>
      <w:r w:rsidR="00724722">
        <w:rPr>
          <w:rFonts w:ascii="Arial" w:hAnsi="Arial" w:cs="Arial"/>
          <w:sz w:val="20"/>
        </w:rPr>
        <w:t>[4]-</w:t>
      </w:r>
      <w:r w:rsidR="002E3F1F">
        <w:rPr>
          <w:rFonts w:ascii="Arial" w:hAnsi="Arial" w:cs="Arial"/>
          <w:sz w:val="20"/>
        </w:rPr>
        <w:t xml:space="preserve">[5] </w:t>
      </w:r>
      <w:r w:rsidR="00F83676">
        <w:rPr>
          <w:rFonts w:ascii="Arial" w:hAnsi="Arial" w:cs="Arial"/>
          <w:sz w:val="20"/>
        </w:rPr>
        <w:t xml:space="preserve">of the Coroners Court’s “unduly cautious and potentially unhelpful application of </w:t>
      </w:r>
      <w:r w:rsidR="00F83676" w:rsidRPr="00F83676">
        <w:rPr>
          <w:rFonts w:ascii="Arial" w:hAnsi="Arial" w:cs="Arial"/>
          <w:i/>
          <w:iCs/>
          <w:sz w:val="20"/>
        </w:rPr>
        <w:t>Hardiman</w:t>
      </w:r>
      <w:r w:rsidR="00F83676">
        <w:rPr>
          <w:rFonts w:ascii="Arial" w:hAnsi="Arial" w:cs="Arial"/>
          <w:sz w:val="20"/>
        </w:rPr>
        <w:t>”</w:t>
      </w:r>
      <w:r w:rsidR="00724722">
        <w:rPr>
          <w:rFonts w:ascii="Arial" w:hAnsi="Arial" w:cs="Arial"/>
          <w:sz w:val="20"/>
        </w:rPr>
        <w:t xml:space="preserve"> in submitting that “</w:t>
      </w:r>
      <w:r w:rsidR="00724722" w:rsidRPr="00724722">
        <w:rPr>
          <w:rFonts w:ascii="Arial" w:hAnsi="Arial" w:cs="Arial"/>
          <w:sz w:val="20"/>
        </w:rPr>
        <w:t>its role was limited to assisting this Court in relation to the applicable law, questions of jurisdiction and power, and practices and procedures of the Coroners Court</w:t>
      </w:r>
      <w:r w:rsidR="00001324">
        <w:rPr>
          <w:rFonts w:ascii="Arial" w:hAnsi="Arial" w:cs="Arial"/>
          <w:sz w:val="20"/>
        </w:rPr>
        <w:t>”</w:t>
      </w:r>
      <w:r w:rsidR="00724722" w:rsidRPr="00724722">
        <w:rPr>
          <w:rFonts w:ascii="Arial" w:hAnsi="Arial" w:cs="Arial"/>
          <w:sz w:val="20"/>
        </w:rPr>
        <w:t>.</w:t>
      </w:r>
      <w:r w:rsidR="00724722">
        <w:rPr>
          <w:rFonts w:ascii="Arial" w:hAnsi="Arial" w:cs="Arial"/>
          <w:sz w:val="20"/>
        </w:rPr>
        <w:t xml:space="preserve"> At [46]-[47] Craig J noted that </w:t>
      </w:r>
      <w:r w:rsidR="00F83676">
        <w:rPr>
          <w:rFonts w:ascii="Arial" w:hAnsi="Arial" w:cs="Arial"/>
          <w:sz w:val="20"/>
        </w:rPr>
        <w:t>s.88</w:t>
      </w:r>
      <w:r w:rsidR="009527DA">
        <w:rPr>
          <w:rFonts w:ascii="Arial" w:hAnsi="Arial" w:cs="Arial"/>
          <w:sz w:val="20"/>
        </w:rPr>
        <w:t>(1)</w:t>
      </w:r>
      <w:r w:rsidR="00F83676">
        <w:rPr>
          <w:rFonts w:ascii="Arial" w:hAnsi="Arial" w:cs="Arial"/>
          <w:sz w:val="20"/>
        </w:rPr>
        <w:t xml:space="preserve"> of the </w:t>
      </w:r>
      <w:r w:rsidR="00F83676" w:rsidRPr="00F83676">
        <w:rPr>
          <w:rFonts w:ascii="Arial" w:hAnsi="Arial" w:cs="Arial"/>
          <w:i/>
          <w:iCs/>
          <w:sz w:val="20"/>
        </w:rPr>
        <w:t>Coroners Act 2008</w:t>
      </w:r>
      <w:r w:rsidR="00F83676">
        <w:rPr>
          <w:rFonts w:ascii="Arial" w:hAnsi="Arial" w:cs="Arial"/>
          <w:sz w:val="20"/>
        </w:rPr>
        <w:t xml:space="preserve"> </w:t>
      </w:r>
      <w:r w:rsidR="009527DA">
        <w:rPr>
          <w:rFonts w:ascii="Arial" w:hAnsi="Arial" w:cs="Arial"/>
          <w:sz w:val="20"/>
        </w:rPr>
        <w:t xml:space="preserve">provides that if an appeal </w:t>
      </w:r>
      <w:r w:rsidR="009527DA" w:rsidRPr="009527DA">
        <w:rPr>
          <w:rFonts w:ascii="Arial" w:hAnsi="Arial" w:cs="Arial"/>
          <w:sz w:val="20"/>
        </w:rPr>
        <w:t>under s</w:t>
      </w:r>
      <w:r w:rsidR="009527DA">
        <w:rPr>
          <w:rFonts w:ascii="Arial" w:hAnsi="Arial" w:cs="Arial"/>
          <w:sz w:val="20"/>
        </w:rPr>
        <w:t>s.</w:t>
      </w:r>
      <w:r w:rsidR="009527DA" w:rsidRPr="009527DA">
        <w:rPr>
          <w:rFonts w:ascii="Arial" w:hAnsi="Arial" w:cs="Arial"/>
          <w:sz w:val="20"/>
        </w:rPr>
        <w:t>79</w:t>
      </w:r>
      <w:r w:rsidR="009527DA">
        <w:rPr>
          <w:rFonts w:ascii="Arial" w:hAnsi="Arial" w:cs="Arial"/>
          <w:sz w:val="20"/>
        </w:rPr>
        <w:t>, 81 or 85</w:t>
      </w:r>
      <w:r w:rsidR="009527DA" w:rsidRPr="009527DA">
        <w:rPr>
          <w:rFonts w:ascii="Arial" w:hAnsi="Arial" w:cs="Arial"/>
          <w:sz w:val="20"/>
        </w:rPr>
        <w:t>(1) is successful, the Supreme Court must not remit the matter to the Coroners Court</w:t>
      </w:r>
      <w:r w:rsidR="00724722">
        <w:rPr>
          <w:rFonts w:ascii="Arial" w:hAnsi="Arial" w:cs="Arial"/>
          <w:sz w:val="20"/>
        </w:rPr>
        <w:t>; s</w:t>
      </w:r>
      <w:r w:rsidR="00F83676">
        <w:rPr>
          <w:rFonts w:ascii="Arial" w:hAnsi="Arial" w:cs="Arial"/>
          <w:sz w:val="20"/>
        </w:rPr>
        <w:t xml:space="preserve">ee also </w:t>
      </w:r>
      <w:r w:rsidR="00F83676" w:rsidRPr="00FC2DAB">
        <w:rPr>
          <w:rFonts w:ascii="Arial" w:hAnsi="Arial" w:cs="Arial"/>
          <w:i/>
          <w:iCs/>
          <w:sz w:val="20"/>
        </w:rPr>
        <w:t>Traynor v Spooner</w:t>
      </w:r>
      <w:r w:rsidR="00F83676">
        <w:rPr>
          <w:rFonts w:ascii="Arial" w:hAnsi="Arial" w:cs="Arial"/>
          <w:i/>
          <w:iCs/>
          <w:sz w:val="20"/>
        </w:rPr>
        <w:t xml:space="preserve"> </w:t>
      </w:r>
      <w:r w:rsidR="00F83676" w:rsidRPr="00F83676">
        <w:rPr>
          <w:rFonts w:ascii="Arial" w:hAnsi="Arial" w:cs="Arial"/>
          <w:sz w:val="20"/>
        </w:rPr>
        <w:t>[</w:t>
      </w:r>
      <w:r w:rsidR="00F83676">
        <w:rPr>
          <w:rFonts w:ascii="Arial" w:hAnsi="Arial" w:cs="Arial"/>
          <w:sz w:val="20"/>
        </w:rPr>
        <w:t>2012</w:t>
      </w:r>
      <w:r w:rsidR="00F83676" w:rsidRPr="00F83676">
        <w:rPr>
          <w:rFonts w:ascii="Arial" w:hAnsi="Arial" w:cs="Arial"/>
          <w:sz w:val="20"/>
        </w:rPr>
        <w:t>]</w:t>
      </w:r>
      <w:r w:rsidR="00F83676">
        <w:rPr>
          <w:rFonts w:ascii="Arial" w:hAnsi="Arial" w:cs="Arial"/>
          <w:sz w:val="20"/>
        </w:rPr>
        <w:t xml:space="preserve"> VSC 651 at [38]; </w:t>
      </w:r>
      <w:r w:rsidR="00F83676" w:rsidRPr="00FC2DAB">
        <w:rPr>
          <w:rFonts w:ascii="Arial" w:hAnsi="Arial" w:cs="Arial"/>
          <w:i/>
          <w:iCs/>
          <w:sz w:val="20"/>
        </w:rPr>
        <w:t xml:space="preserve">Magdziarz v </w:t>
      </w:r>
      <w:proofErr w:type="spellStart"/>
      <w:r w:rsidR="00F83676" w:rsidRPr="00FC2DAB">
        <w:rPr>
          <w:rFonts w:ascii="Arial" w:hAnsi="Arial" w:cs="Arial"/>
          <w:i/>
          <w:iCs/>
          <w:sz w:val="20"/>
        </w:rPr>
        <w:t>Heffey</w:t>
      </w:r>
      <w:proofErr w:type="spellEnd"/>
      <w:r w:rsidR="00F83676">
        <w:rPr>
          <w:rFonts w:ascii="Arial" w:hAnsi="Arial" w:cs="Arial"/>
          <w:i/>
          <w:iCs/>
          <w:sz w:val="20"/>
        </w:rPr>
        <w:t xml:space="preserve"> </w:t>
      </w:r>
      <w:r w:rsidR="00F83676" w:rsidRPr="00F83676">
        <w:rPr>
          <w:rFonts w:ascii="Arial" w:hAnsi="Arial" w:cs="Arial"/>
          <w:sz w:val="20"/>
        </w:rPr>
        <w:t>[1995] VSC 201</w:t>
      </w:r>
      <w:r w:rsidR="00F83676">
        <w:rPr>
          <w:rFonts w:ascii="Arial" w:hAnsi="Arial" w:cs="Arial"/>
          <w:sz w:val="20"/>
        </w:rPr>
        <w:t>. A</w:t>
      </w:r>
      <w:r w:rsidR="00724722">
        <w:rPr>
          <w:rFonts w:ascii="Arial" w:hAnsi="Arial" w:cs="Arial"/>
          <w:sz w:val="20"/>
        </w:rPr>
        <w:t xml:space="preserve">ccordingly, </w:t>
      </w:r>
      <w:r w:rsidR="00F83676">
        <w:rPr>
          <w:rFonts w:ascii="Arial" w:hAnsi="Arial" w:cs="Arial"/>
          <w:sz w:val="20"/>
        </w:rPr>
        <w:t xml:space="preserve">Craig J </w:t>
      </w:r>
      <w:r w:rsidR="009527DA">
        <w:rPr>
          <w:rFonts w:ascii="Arial" w:hAnsi="Arial" w:cs="Arial"/>
          <w:sz w:val="20"/>
        </w:rPr>
        <w:t>held</w:t>
      </w:r>
      <w:r w:rsidR="00724722">
        <w:rPr>
          <w:rFonts w:ascii="Arial" w:hAnsi="Arial" w:cs="Arial"/>
          <w:sz w:val="20"/>
        </w:rPr>
        <w:t xml:space="preserve"> at [7]</w:t>
      </w:r>
      <w:r w:rsidR="009527DA">
        <w:rPr>
          <w:rFonts w:ascii="Arial" w:hAnsi="Arial" w:cs="Arial"/>
          <w:sz w:val="20"/>
        </w:rPr>
        <w:t>:</w:t>
      </w:r>
    </w:p>
    <w:p w14:paraId="7744838B" w14:textId="355B9CA0" w:rsidR="00F83676" w:rsidRDefault="009527DA" w:rsidP="009527DA">
      <w:pPr>
        <w:spacing w:before="60"/>
        <w:ind w:left="454" w:right="454"/>
        <w:jc w:val="both"/>
        <w:rPr>
          <w:rFonts w:ascii="Arial" w:hAnsi="Arial" w:cs="Arial"/>
          <w:sz w:val="20"/>
        </w:rPr>
      </w:pPr>
      <w:r>
        <w:rPr>
          <w:rFonts w:ascii="Arial" w:hAnsi="Arial" w:cs="Arial"/>
          <w:sz w:val="20"/>
        </w:rPr>
        <w:t>“</w:t>
      </w:r>
      <w:r w:rsidR="00F83676" w:rsidRPr="00F83676">
        <w:rPr>
          <w:rFonts w:ascii="Arial" w:hAnsi="Arial" w:cs="Arial"/>
          <w:sz w:val="20"/>
        </w:rPr>
        <w:t>Having regard to the specialist expertise involved and the institutional knowledge that would inevitably develop as to the administration of the Act, I consider that there will be occasions on which it is appropriate for the Coroner to take a more proactive role when there is no prospect of the issue currently being litigated returning to the Coroner for determination.</w:t>
      </w:r>
      <w:r>
        <w:rPr>
          <w:rFonts w:ascii="Arial" w:hAnsi="Arial" w:cs="Arial"/>
          <w:sz w:val="20"/>
        </w:rPr>
        <w:t>”</w:t>
      </w:r>
    </w:p>
    <w:p w14:paraId="7F477EA3" w14:textId="59148483" w:rsidR="00FC2DAB" w:rsidRDefault="00001324" w:rsidP="007F4F26">
      <w:pPr>
        <w:spacing w:before="120"/>
        <w:jc w:val="both"/>
        <w:rPr>
          <w:rFonts w:ascii="Arial" w:hAnsi="Arial" w:cs="Arial"/>
          <w:sz w:val="20"/>
        </w:rPr>
      </w:pPr>
      <w:bookmarkStart w:id="1221" w:name="Heading71"/>
      <w:bookmarkEnd w:id="1221"/>
      <w:r>
        <w:rPr>
          <w:rFonts w:ascii="Arial" w:hAnsi="Arial" w:cs="Arial"/>
          <w:sz w:val="20"/>
        </w:rPr>
        <w:t xml:space="preserve">Unlike the position of the Coroner in ss.79 &amp; 88 of the </w:t>
      </w:r>
      <w:r w:rsidRPr="009527DA">
        <w:rPr>
          <w:rFonts w:ascii="Arial" w:hAnsi="Arial" w:cs="Arial"/>
          <w:i/>
          <w:iCs/>
          <w:sz w:val="20"/>
        </w:rPr>
        <w:t>Coroners Act 2008</w:t>
      </w:r>
      <w:r>
        <w:rPr>
          <w:rFonts w:ascii="Arial" w:hAnsi="Arial" w:cs="Arial"/>
          <w:sz w:val="20"/>
        </w:rPr>
        <w:t>, t</w:t>
      </w:r>
      <w:r w:rsidR="009527DA">
        <w:rPr>
          <w:rFonts w:ascii="Arial" w:hAnsi="Arial" w:cs="Arial"/>
          <w:sz w:val="20"/>
        </w:rPr>
        <w:t xml:space="preserve">here </w:t>
      </w:r>
      <w:r w:rsidR="002E3F1F">
        <w:rPr>
          <w:rFonts w:ascii="Arial" w:hAnsi="Arial" w:cs="Arial"/>
          <w:sz w:val="20"/>
        </w:rPr>
        <w:t xml:space="preserve">is </w:t>
      </w:r>
      <w:r w:rsidR="009527DA">
        <w:rPr>
          <w:rFonts w:ascii="Arial" w:hAnsi="Arial" w:cs="Arial"/>
          <w:sz w:val="20"/>
        </w:rPr>
        <w:t xml:space="preserve">no statutory prohibition in the CYFA against </w:t>
      </w:r>
      <w:r w:rsidR="00FB6E5A">
        <w:rPr>
          <w:rFonts w:ascii="Arial" w:hAnsi="Arial" w:cs="Arial"/>
          <w:sz w:val="20"/>
        </w:rPr>
        <w:t>a matter being remitted to the Children’s Court upon a successful appeal</w:t>
      </w:r>
      <w:r w:rsidR="002E3F1F">
        <w:rPr>
          <w:rFonts w:ascii="Arial" w:hAnsi="Arial" w:cs="Arial"/>
          <w:sz w:val="20"/>
        </w:rPr>
        <w:t>. Hence</w:t>
      </w:r>
      <w:r w:rsidR="00FB6E5A">
        <w:rPr>
          <w:rFonts w:ascii="Arial" w:hAnsi="Arial" w:cs="Arial"/>
          <w:sz w:val="20"/>
        </w:rPr>
        <w:t xml:space="preserve"> the </w:t>
      </w:r>
      <w:r w:rsidR="00AD6CE4" w:rsidRPr="00AD6CE4">
        <w:rPr>
          <w:rFonts w:ascii="Arial" w:hAnsi="Arial" w:cs="Arial"/>
          <w:i/>
          <w:iCs/>
          <w:sz w:val="20"/>
        </w:rPr>
        <w:t>ratio decidendi</w:t>
      </w:r>
      <w:r w:rsidR="00FB6E5A">
        <w:rPr>
          <w:rFonts w:ascii="Arial" w:hAnsi="Arial" w:cs="Arial"/>
          <w:sz w:val="20"/>
        </w:rPr>
        <w:t xml:space="preserve"> of </w:t>
      </w:r>
      <w:r w:rsidR="002E3F1F">
        <w:rPr>
          <w:rFonts w:ascii="Arial" w:hAnsi="Arial" w:cs="Arial"/>
          <w:sz w:val="20"/>
        </w:rPr>
        <w:t xml:space="preserve">Craig J </w:t>
      </w:r>
      <w:r w:rsidR="00280070">
        <w:rPr>
          <w:rFonts w:ascii="Arial" w:hAnsi="Arial" w:cs="Arial"/>
          <w:sz w:val="20"/>
        </w:rPr>
        <w:t xml:space="preserve">in </w:t>
      </w:r>
      <w:r w:rsidR="00280070" w:rsidRPr="00280070">
        <w:rPr>
          <w:rFonts w:ascii="Arial" w:hAnsi="Arial" w:cs="Arial"/>
          <w:i/>
          <w:iCs/>
          <w:sz w:val="20"/>
        </w:rPr>
        <w:t>Gabriel’s Case</w:t>
      </w:r>
      <w:r w:rsidR="00280070">
        <w:rPr>
          <w:rFonts w:ascii="Arial" w:hAnsi="Arial" w:cs="Arial"/>
          <w:sz w:val="20"/>
        </w:rPr>
        <w:t xml:space="preserve"> </w:t>
      </w:r>
      <w:r w:rsidR="002E3F1F">
        <w:rPr>
          <w:rFonts w:ascii="Arial" w:hAnsi="Arial" w:cs="Arial"/>
          <w:sz w:val="20"/>
        </w:rPr>
        <w:t>does not apply</w:t>
      </w:r>
      <w:r w:rsidR="00FB6E5A">
        <w:rPr>
          <w:rFonts w:ascii="Arial" w:hAnsi="Arial" w:cs="Arial"/>
          <w:sz w:val="20"/>
        </w:rPr>
        <w:t xml:space="preserve"> to appeals to the Supreme Court from decisions of the Children’s Court.</w:t>
      </w:r>
    </w:p>
    <w:bookmarkEnd w:id="1220"/>
    <w:p w14:paraId="3721E345" w14:textId="77777777" w:rsidR="00D11826" w:rsidRDefault="00D11826" w:rsidP="00D11826">
      <w:pPr>
        <w:jc w:val="both"/>
        <w:rPr>
          <w:rFonts w:ascii="Arial" w:hAnsi="Arial" w:cs="Arial"/>
          <w:sz w:val="20"/>
        </w:rPr>
      </w:pPr>
    </w:p>
    <w:bookmarkStart w:id="1222" w:name="_3.10.5_Interlocutory_appeal"/>
    <w:bookmarkEnd w:id="1222"/>
    <w:p w14:paraId="7621DF31" w14:textId="77777777" w:rsidR="004A6400" w:rsidRPr="00465206" w:rsidRDefault="004A6400" w:rsidP="004A6400">
      <w:pPr>
        <w:pStyle w:val="Heading3"/>
        <w:keepNext/>
        <w:spacing w:after="120" w:line="240" w:lineRule="auto"/>
        <w:rPr>
          <w:rFonts w:ascii="Arial" w:hAnsi="Arial" w:cs="Arial"/>
          <w:b/>
          <w:bCs/>
          <w:color w:val="000000" w:themeColor="text1"/>
          <w:sz w:val="20"/>
          <w:lang w:val="en-AU"/>
        </w:rPr>
      </w:pPr>
      <w:r w:rsidRPr="009A2E96">
        <w:rPr>
          <w:rFonts w:ascii="Arial" w:hAnsi="Arial" w:cs="Arial"/>
          <w:b/>
          <w:bCs/>
          <w:color w:val="000000" w:themeColor="text1"/>
          <w:sz w:val="20"/>
        </w:rPr>
        <w:fldChar w:fldCharType="begin"/>
      </w:r>
      <w:r w:rsidRPr="009A2E96">
        <w:rPr>
          <w:rFonts w:ascii="Arial" w:hAnsi="Arial" w:cs="Arial"/>
          <w:b/>
          <w:bCs/>
          <w:color w:val="000000" w:themeColor="text1"/>
          <w:sz w:val="20"/>
        </w:rPr>
        <w:instrText xml:space="preserve"> HYPERLINK  \l "_3.10.1_Appeals_to" </w:instrText>
      </w:r>
      <w:r w:rsidRPr="009A2E96">
        <w:rPr>
          <w:rFonts w:ascii="Arial" w:hAnsi="Arial" w:cs="Arial"/>
          <w:b/>
          <w:bCs/>
          <w:color w:val="000000" w:themeColor="text1"/>
          <w:sz w:val="20"/>
        </w:rPr>
      </w:r>
      <w:r w:rsidRPr="009A2E96">
        <w:rPr>
          <w:rFonts w:ascii="Arial" w:hAnsi="Arial" w:cs="Arial"/>
          <w:b/>
          <w:bCs/>
          <w:color w:val="000000" w:themeColor="text1"/>
          <w:sz w:val="20"/>
        </w:rPr>
        <w:fldChar w:fldCharType="separate"/>
      </w:r>
      <w:r w:rsidRPr="009A2E96">
        <w:rPr>
          <w:rStyle w:val="Hyperlink"/>
          <w:rFonts w:ascii="Arial" w:hAnsi="Arial" w:cs="Arial"/>
          <w:b/>
          <w:bCs/>
          <w:color w:val="000000" w:themeColor="text1"/>
          <w:sz w:val="20"/>
          <w:u w:val="none"/>
        </w:rPr>
        <w:t>3.10.5</w:t>
      </w:r>
      <w:r w:rsidRPr="009A2E96">
        <w:rPr>
          <w:rStyle w:val="Hyperlink"/>
          <w:rFonts w:ascii="Arial" w:hAnsi="Arial" w:cs="Arial"/>
          <w:b/>
          <w:bCs/>
          <w:color w:val="000000" w:themeColor="text1"/>
          <w:sz w:val="20"/>
          <w:u w:val="none"/>
        </w:rPr>
        <w:tab/>
      </w:r>
      <w:r w:rsidRPr="009A2E96">
        <w:rPr>
          <w:rFonts w:ascii="Arial" w:hAnsi="Arial" w:cs="Arial"/>
          <w:b/>
          <w:bCs/>
          <w:color w:val="000000" w:themeColor="text1"/>
          <w:sz w:val="20"/>
        </w:rPr>
        <w:fldChar w:fldCharType="end"/>
      </w:r>
      <w:r w:rsidRPr="009A2E96">
        <w:rPr>
          <w:rFonts w:ascii="Arial" w:hAnsi="Arial" w:cs="Arial"/>
          <w:b/>
          <w:bCs/>
          <w:color w:val="000000" w:themeColor="text1"/>
          <w:sz w:val="20"/>
        </w:rPr>
        <w:t>Int</w:t>
      </w:r>
      <w:r>
        <w:rPr>
          <w:rFonts w:ascii="Arial" w:hAnsi="Arial" w:cs="Arial"/>
          <w:b/>
          <w:bCs/>
          <w:color w:val="000000" w:themeColor="text1"/>
          <w:sz w:val="20"/>
        </w:rPr>
        <w:t>erlocutory appeal from decision made prior to or during a superior court trial</w:t>
      </w:r>
    </w:p>
    <w:p w14:paraId="0C7C5C81" w14:textId="77777777" w:rsidR="004A6400" w:rsidRDefault="004A6400" w:rsidP="004A6400">
      <w:pPr>
        <w:jc w:val="both"/>
        <w:rPr>
          <w:rFonts w:ascii="Arial" w:hAnsi="Arial" w:cs="Arial"/>
          <w:sz w:val="20"/>
        </w:rPr>
      </w:pPr>
      <w:r>
        <w:rPr>
          <w:rFonts w:ascii="Arial" w:hAnsi="Arial" w:cs="Arial"/>
          <w:sz w:val="20"/>
        </w:rPr>
        <w:t xml:space="preserve">A scheme for the hearing and determination of appeals from certain interlocutory decisions made prior to, or during, the trial of an indictable offence in the County Court or the Trial Division of the Supreme Court is contained in Div 4 of Part 6.3 of the </w:t>
      </w:r>
      <w:r w:rsidRPr="00F944D9">
        <w:rPr>
          <w:rFonts w:ascii="Arial" w:hAnsi="Arial" w:cs="Arial"/>
          <w:i/>
          <w:iCs/>
          <w:sz w:val="20"/>
        </w:rPr>
        <w:t>Criminal Procedure Act 2009</w:t>
      </w:r>
      <w:r>
        <w:rPr>
          <w:rFonts w:ascii="Arial" w:hAnsi="Arial" w:cs="Arial"/>
          <w:sz w:val="20"/>
        </w:rPr>
        <w:t xml:space="preserve"> [CPA], in particular ss.295</w:t>
      </w:r>
      <w:r>
        <w:rPr>
          <w:rFonts w:ascii="Arial" w:hAnsi="Arial" w:cs="Arial"/>
          <w:sz w:val="20"/>
        </w:rPr>
        <w:noBreakHyphen/>
        <w:t xml:space="preserve">297, 342 &amp; 349. In </w:t>
      </w:r>
      <w:r w:rsidRPr="00F944D9">
        <w:rPr>
          <w:rFonts w:ascii="Arial" w:hAnsi="Arial" w:cs="Arial"/>
          <w:i/>
          <w:iCs/>
          <w:sz w:val="20"/>
        </w:rPr>
        <w:t>Hameed (a pseudonym) v The King</w:t>
      </w:r>
      <w:r>
        <w:rPr>
          <w:rFonts w:ascii="Arial" w:hAnsi="Arial" w:cs="Arial"/>
          <w:sz w:val="20"/>
        </w:rPr>
        <w:t xml:space="preserve"> [2026] VSCA 48 the applicant had been charged with sexual offences. The trial judge had refused leave to adduce evidence of the complainant’s sexual activities pursuant to ss.342 &amp; 349 of the CPA and had refused to certify that interlocutory decision pursuant to s.295(3)(b). Both the applicant and the respondent had submitted incorrectly, and the judge </w:t>
      </w:r>
      <w:r>
        <w:rPr>
          <w:rFonts w:ascii="Arial" w:hAnsi="Arial" w:cs="Arial"/>
          <w:sz w:val="20"/>
        </w:rPr>
        <w:lastRenderedPageBreak/>
        <w:t>had accepted, that s.295(3)(b) was the applicable provision governing the question of certification ‘</w:t>
      </w:r>
      <w:r w:rsidRPr="000A4136">
        <w:rPr>
          <w:rFonts w:ascii="Arial" w:hAnsi="Arial" w:cs="Arial"/>
          <w:sz w:val="20"/>
        </w:rPr>
        <w:t xml:space="preserve">following the decision in </w:t>
      </w:r>
      <w:r w:rsidRPr="00442A42">
        <w:rPr>
          <w:rFonts w:ascii="Arial" w:hAnsi="Arial" w:cs="Arial"/>
          <w:i/>
          <w:iCs/>
          <w:sz w:val="20"/>
        </w:rPr>
        <w:t>Hurst (a pseudonym) v The Queen</w:t>
      </w:r>
      <w:r>
        <w:rPr>
          <w:rFonts w:ascii="Arial" w:hAnsi="Arial" w:cs="Arial"/>
          <w:sz w:val="20"/>
        </w:rPr>
        <w:t xml:space="preserve"> [2021] VSCA 3, [18]</w:t>
      </w:r>
      <w:r w:rsidRPr="000A4136">
        <w:rPr>
          <w:rFonts w:ascii="Arial" w:hAnsi="Arial" w:cs="Arial"/>
          <w:sz w:val="20"/>
        </w:rPr>
        <w:t>’.</w:t>
      </w:r>
    </w:p>
    <w:p w14:paraId="19F58487" w14:textId="77777777" w:rsidR="004A6400" w:rsidRDefault="004A6400" w:rsidP="004A6400">
      <w:pPr>
        <w:jc w:val="both"/>
        <w:rPr>
          <w:rFonts w:ascii="Arial" w:hAnsi="Arial" w:cs="Arial"/>
          <w:sz w:val="20"/>
        </w:rPr>
      </w:pPr>
    </w:p>
    <w:p w14:paraId="7AE9E357" w14:textId="77777777" w:rsidR="004A6400" w:rsidRDefault="004A6400" w:rsidP="004A6400">
      <w:pPr>
        <w:jc w:val="both"/>
        <w:rPr>
          <w:rFonts w:ascii="Arial" w:hAnsi="Arial" w:cs="Arial"/>
          <w:sz w:val="20"/>
        </w:rPr>
      </w:pPr>
      <w:r>
        <w:rPr>
          <w:rFonts w:ascii="Arial" w:hAnsi="Arial" w:cs="Arial"/>
          <w:sz w:val="20"/>
        </w:rPr>
        <w:t>The Court of Appeal – constituted by 5 judges – commenced with an outline of the interlocutory appeals scheme and ultimately refused the application for review of the trial judge’s refusal to certify and dismissed as incompetent the application for leave to appeal the interlocutory decision. At [2]-[5] &amp; [8] Emerton P, Walker, Orr, Kidd JJA &amp; Croucher AJA said:</w:t>
      </w:r>
    </w:p>
    <w:p w14:paraId="79C37890" w14:textId="77777777" w:rsidR="004A6400" w:rsidRDefault="004A6400" w:rsidP="004A6400">
      <w:pPr>
        <w:spacing w:before="60"/>
        <w:ind w:left="454" w:right="454"/>
        <w:jc w:val="both"/>
        <w:rPr>
          <w:rFonts w:ascii="Arial" w:hAnsi="Arial" w:cs="Arial"/>
          <w:sz w:val="20"/>
        </w:rPr>
      </w:pPr>
      <w:r>
        <w:rPr>
          <w:rFonts w:ascii="Arial" w:hAnsi="Arial" w:cs="Arial"/>
          <w:sz w:val="20"/>
        </w:rPr>
        <w:t>[2] “</w:t>
      </w:r>
      <w:r w:rsidRPr="00D11826">
        <w:rPr>
          <w:rFonts w:ascii="Arial" w:hAnsi="Arial" w:cs="Arial"/>
          <w:sz w:val="20"/>
        </w:rPr>
        <w:t>An important element of the scheme is the requirement that a party wishing to appeal an interlocutory decision obtain certification from the judge who made the interlocutory decision. The particular form (or forms) of certification depends upon the nature of the interlocutory decision and whether it is made before or after the trial commences:</w:t>
      </w:r>
    </w:p>
    <w:p w14:paraId="5AF5252C" w14:textId="77777777" w:rsidR="004A6400" w:rsidRDefault="004A6400" w:rsidP="004A6400">
      <w:pPr>
        <w:spacing w:before="60"/>
        <w:ind w:left="454" w:right="454"/>
        <w:jc w:val="both"/>
        <w:rPr>
          <w:rFonts w:ascii="Arial" w:hAnsi="Arial" w:cs="Arial"/>
          <w:sz w:val="20"/>
        </w:rPr>
      </w:pPr>
      <w:r>
        <w:rPr>
          <w:rFonts w:ascii="Arial" w:hAnsi="Arial" w:cs="Arial"/>
          <w:sz w:val="20"/>
        </w:rPr>
        <w:t>(a)</w:t>
      </w:r>
      <w:r>
        <w:rPr>
          <w:rFonts w:ascii="Arial" w:hAnsi="Arial" w:cs="Arial"/>
          <w:sz w:val="20"/>
        </w:rPr>
        <w:tab/>
      </w:r>
      <w:r w:rsidRPr="00D11826">
        <w:rPr>
          <w:rFonts w:ascii="Arial" w:hAnsi="Arial" w:cs="Arial"/>
          <w:sz w:val="20"/>
        </w:rPr>
        <w:t>Where the interlocutory decision concerns the admissibility of evidence, the form of certification required is that the evidence, if ruled inadmissible, would eliminate or substantially weaken the prosecution case</w:t>
      </w:r>
      <w:r>
        <w:rPr>
          <w:rFonts w:ascii="Arial" w:hAnsi="Arial" w:cs="Arial"/>
          <w:sz w:val="20"/>
        </w:rPr>
        <w:t>: CPA, s.295(3)(a)</w:t>
      </w:r>
      <w:r w:rsidRPr="00D11826">
        <w:rPr>
          <w:rFonts w:ascii="Arial" w:hAnsi="Arial" w:cs="Arial"/>
          <w:sz w:val="20"/>
        </w:rPr>
        <w:t>.</w:t>
      </w:r>
    </w:p>
    <w:p w14:paraId="099FE261" w14:textId="77777777" w:rsidR="004A6400" w:rsidRDefault="004A6400" w:rsidP="004A6400">
      <w:pPr>
        <w:spacing w:before="60"/>
        <w:ind w:left="454" w:right="454"/>
        <w:jc w:val="both"/>
        <w:rPr>
          <w:rFonts w:ascii="Arial" w:hAnsi="Arial" w:cs="Arial"/>
          <w:sz w:val="20"/>
        </w:rPr>
      </w:pPr>
      <w:r>
        <w:rPr>
          <w:rFonts w:ascii="Arial" w:hAnsi="Arial" w:cs="Arial"/>
          <w:sz w:val="20"/>
        </w:rPr>
        <w:t>(b)</w:t>
      </w:r>
      <w:r>
        <w:rPr>
          <w:rFonts w:ascii="Arial" w:hAnsi="Arial" w:cs="Arial"/>
          <w:sz w:val="20"/>
        </w:rPr>
        <w:tab/>
      </w:r>
      <w:r w:rsidRPr="00D11826">
        <w:rPr>
          <w:rFonts w:ascii="Arial" w:hAnsi="Arial" w:cs="Arial"/>
          <w:sz w:val="20"/>
        </w:rPr>
        <w:t>Where the interlocutory decision does not concern the admissibility of evidence, the form of certification required is that the interlocutory decision is otherwise of sufficient importance to the trial to justify it being determined on an interlocutory appeal</w:t>
      </w:r>
      <w:r>
        <w:rPr>
          <w:rFonts w:ascii="Arial" w:hAnsi="Arial" w:cs="Arial"/>
          <w:sz w:val="20"/>
        </w:rPr>
        <w:t>: CPA, s.295(3)(b)</w:t>
      </w:r>
      <w:r w:rsidRPr="00D11826">
        <w:rPr>
          <w:rFonts w:ascii="Arial" w:hAnsi="Arial" w:cs="Arial"/>
          <w:sz w:val="20"/>
        </w:rPr>
        <w:t>.</w:t>
      </w:r>
    </w:p>
    <w:p w14:paraId="55BC4B19" w14:textId="77777777" w:rsidR="004A6400" w:rsidRPr="00B86712" w:rsidRDefault="004A6400" w:rsidP="004A6400">
      <w:pPr>
        <w:spacing w:before="60"/>
        <w:ind w:left="454" w:right="454"/>
        <w:jc w:val="both"/>
        <w:rPr>
          <w:rFonts w:ascii="Arial" w:hAnsi="Arial" w:cs="Arial"/>
          <w:b/>
          <w:bCs/>
          <w:sz w:val="20"/>
        </w:rPr>
      </w:pPr>
      <w:r>
        <w:rPr>
          <w:rFonts w:ascii="Arial" w:hAnsi="Arial" w:cs="Arial"/>
          <w:sz w:val="20"/>
        </w:rPr>
        <w:t>(c)</w:t>
      </w:r>
      <w:r>
        <w:rPr>
          <w:rFonts w:ascii="Arial" w:hAnsi="Arial" w:cs="Arial"/>
          <w:sz w:val="20"/>
        </w:rPr>
        <w:tab/>
      </w:r>
      <w:r w:rsidRPr="00D11826">
        <w:rPr>
          <w:rFonts w:ascii="Arial" w:hAnsi="Arial" w:cs="Arial"/>
          <w:sz w:val="20"/>
        </w:rPr>
        <w:t>Where the interlocutory decision is made after the trial commences, the form of certification required is that the issue the subject of the proposed appeal was not reasonably able to be identified before the trial or the party raising the issue was not at fault in failing to identify the issue before the trial</w:t>
      </w:r>
      <w:r>
        <w:rPr>
          <w:rFonts w:ascii="Arial" w:hAnsi="Arial" w:cs="Arial"/>
          <w:sz w:val="20"/>
        </w:rPr>
        <w:t>: CPA, s</w:t>
      </w:r>
      <w:r w:rsidRPr="00D11826">
        <w:rPr>
          <w:rFonts w:ascii="Arial" w:hAnsi="Arial" w:cs="Arial"/>
          <w:sz w:val="20"/>
        </w:rPr>
        <w:t>.</w:t>
      </w:r>
      <w:r>
        <w:rPr>
          <w:rFonts w:ascii="Arial" w:hAnsi="Arial" w:cs="Arial"/>
          <w:sz w:val="20"/>
        </w:rPr>
        <w:t>295(3)(c).</w:t>
      </w:r>
    </w:p>
    <w:p w14:paraId="3399F033" w14:textId="77777777" w:rsidR="004A6400" w:rsidRDefault="004A6400" w:rsidP="004A6400">
      <w:pPr>
        <w:spacing w:before="60"/>
        <w:ind w:left="454" w:right="454"/>
        <w:jc w:val="both"/>
        <w:rPr>
          <w:rFonts w:ascii="Arial" w:hAnsi="Arial" w:cs="Arial"/>
          <w:sz w:val="20"/>
        </w:rPr>
      </w:pPr>
      <w:r>
        <w:rPr>
          <w:rFonts w:ascii="Arial" w:hAnsi="Arial" w:cs="Arial"/>
          <w:sz w:val="20"/>
        </w:rPr>
        <w:t xml:space="preserve">[3] </w:t>
      </w:r>
      <w:r w:rsidRPr="00D11826">
        <w:rPr>
          <w:rFonts w:ascii="Arial" w:hAnsi="Arial" w:cs="Arial"/>
          <w:sz w:val="20"/>
        </w:rPr>
        <w:t>If the judge refuses to provide the relevant form (or forms) of certification, the party who sought certification may apply to this Court for review of the decision to refuse certification</w:t>
      </w:r>
      <w:r>
        <w:rPr>
          <w:rFonts w:ascii="Arial" w:hAnsi="Arial" w:cs="Arial"/>
          <w:sz w:val="20"/>
        </w:rPr>
        <w:t>: CPA, s.296(1).</w:t>
      </w:r>
    </w:p>
    <w:p w14:paraId="33A0A081" w14:textId="77777777" w:rsidR="004A6400" w:rsidRDefault="004A6400" w:rsidP="004A6400">
      <w:pPr>
        <w:spacing w:before="60"/>
        <w:ind w:left="454" w:right="454"/>
        <w:jc w:val="both"/>
        <w:rPr>
          <w:rFonts w:ascii="Arial" w:hAnsi="Arial" w:cs="Arial"/>
          <w:sz w:val="20"/>
        </w:rPr>
      </w:pPr>
      <w:r>
        <w:rPr>
          <w:rFonts w:ascii="Arial" w:hAnsi="Arial" w:cs="Arial"/>
          <w:sz w:val="20"/>
        </w:rPr>
        <w:t xml:space="preserve">[4] </w:t>
      </w:r>
      <w:r w:rsidRPr="00D11826">
        <w:rPr>
          <w:rFonts w:ascii="Arial" w:hAnsi="Arial" w:cs="Arial"/>
          <w:sz w:val="20"/>
        </w:rPr>
        <w:t>A second important element of the scheme is the requirement that a party seeking to appeal an interlocutory decision obtain leave to appeal from this Court. Leave to appeal may only be sought where the trial judge has provided certification</w:t>
      </w:r>
      <w:r>
        <w:rPr>
          <w:rFonts w:ascii="Arial" w:hAnsi="Arial" w:cs="Arial"/>
          <w:sz w:val="20"/>
        </w:rPr>
        <w:t xml:space="preserve">: CPA, s.295(3). </w:t>
      </w:r>
      <w:r w:rsidRPr="00D11826">
        <w:rPr>
          <w:rFonts w:ascii="Arial" w:hAnsi="Arial" w:cs="Arial"/>
          <w:sz w:val="20"/>
        </w:rPr>
        <w:t>Leave to appeal may only be granted if the Court is satisfied that it is in the interests of justice to grant leave to appeal, having regard to various factors, including whether the determination</w:t>
      </w:r>
      <w:r>
        <w:rPr>
          <w:rFonts w:ascii="Arial" w:hAnsi="Arial" w:cs="Arial"/>
          <w:sz w:val="20"/>
        </w:rPr>
        <w:t xml:space="preserve"> </w:t>
      </w:r>
      <w:r w:rsidRPr="00D11826">
        <w:rPr>
          <w:rFonts w:ascii="Arial" w:hAnsi="Arial" w:cs="Arial"/>
          <w:sz w:val="20"/>
        </w:rPr>
        <w:t>of the appeal may render the trial unnecessary, or resolve an issue of law, evidence or procedure that is necessary for the proper conduct of the trial</w:t>
      </w:r>
      <w:r>
        <w:rPr>
          <w:rFonts w:ascii="Arial" w:hAnsi="Arial" w:cs="Arial"/>
          <w:sz w:val="20"/>
        </w:rPr>
        <w:t>: CPA.s.297(1).</w:t>
      </w:r>
    </w:p>
    <w:p w14:paraId="343A55BF" w14:textId="77777777" w:rsidR="004A6400" w:rsidRDefault="004A6400" w:rsidP="004A6400">
      <w:pPr>
        <w:spacing w:before="60"/>
        <w:ind w:left="454" w:right="454"/>
        <w:jc w:val="both"/>
        <w:rPr>
          <w:rFonts w:ascii="Arial" w:hAnsi="Arial" w:cs="Arial"/>
          <w:sz w:val="20"/>
        </w:rPr>
      </w:pPr>
      <w:r>
        <w:rPr>
          <w:rFonts w:ascii="Arial" w:hAnsi="Arial" w:cs="Arial"/>
          <w:sz w:val="20"/>
        </w:rPr>
        <w:t xml:space="preserve">[5] </w:t>
      </w:r>
      <w:r w:rsidRPr="00D11826">
        <w:rPr>
          <w:rFonts w:ascii="Arial" w:hAnsi="Arial" w:cs="Arial"/>
          <w:sz w:val="20"/>
        </w:rPr>
        <w:t>Since the introduction of the interlocutory appeals scheme in 2009, the hearing and determination of interlocutory appeals and associated applications</w:t>
      </w:r>
      <w:r>
        <w:rPr>
          <w:rFonts w:ascii="Arial" w:hAnsi="Arial" w:cs="Arial"/>
          <w:sz w:val="20"/>
        </w:rPr>
        <w:t xml:space="preserve"> {namely, applications to review a trial judge’s refusal to certify an interlocutory decision under s.296 of the CPA and applications for leave to appeal an interlocutory decision under s.295 of the CPA}</w:t>
      </w:r>
      <w:r w:rsidRPr="00D11826">
        <w:rPr>
          <w:rFonts w:ascii="Arial" w:hAnsi="Arial" w:cs="Arial"/>
          <w:sz w:val="20"/>
        </w:rPr>
        <w:t xml:space="preserve"> has become a significant part of the work of this Court. The submissions in this case present a timely opportunity for this Court to consider and clarify the parameters of the scheme, particularly in so far as they concern the certification and leave requirements.</w:t>
      </w:r>
    </w:p>
    <w:p w14:paraId="3CF854E8" w14:textId="77777777" w:rsidR="004A6400" w:rsidRDefault="004A6400" w:rsidP="004A6400">
      <w:pPr>
        <w:spacing w:before="60"/>
        <w:ind w:left="454" w:right="454"/>
        <w:jc w:val="both"/>
        <w:rPr>
          <w:rFonts w:ascii="Arial" w:hAnsi="Arial" w:cs="Arial"/>
          <w:sz w:val="20"/>
        </w:rPr>
      </w:pPr>
      <w:r>
        <w:rPr>
          <w:rFonts w:ascii="Arial" w:hAnsi="Arial" w:cs="Arial"/>
          <w:sz w:val="20"/>
        </w:rPr>
        <w:t>…</w:t>
      </w:r>
    </w:p>
    <w:p w14:paraId="1DDE1DED" w14:textId="77777777" w:rsidR="004A6400" w:rsidRDefault="004A6400" w:rsidP="004A6400">
      <w:pPr>
        <w:spacing w:before="60"/>
        <w:ind w:left="454" w:right="454"/>
        <w:jc w:val="both"/>
        <w:rPr>
          <w:rFonts w:ascii="Arial" w:hAnsi="Arial" w:cs="Arial"/>
          <w:sz w:val="20"/>
        </w:rPr>
      </w:pPr>
      <w:r>
        <w:rPr>
          <w:rFonts w:ascii="Arial" w:hAnsi="Arial" w:cs="Arial"/>
          <w:sz w:val="20"/>
        </w:rPr>
        <w:t xml:space="preserve">[8] For </w:t>
      </w:r>
      <w:r w:rsidRPr="00D11826">
        <w:rPr>
          <w:rFonts w:ascii="Arial" w:hAnsi="Arial" w:cs="Arial"/>
          <w:sz w:val="20"/>
        </w:rPr>
        <w:t>the reasons that follow, we consider that the judge was correct to refuse to certify the interlocutory decision</w:t>
      </w:r>
      <w:r>
        <w:rPr>
          <w:rFonts w:ascii="Arial" w:hAnsi="Arial" w:cs="Arial"/>
          <w:sz w:val="20"/>
        </w:rPr>
        <w:t xml:space="preserve"> [‘</w:t>
      </w:r>
      <w:r w:rsidRPr="00C0612E">
        <w:rPr>
          <w:rFonts w:ascii="Arial" w:hAnsi="Arial" w:cs="Arial"/>
          <w:sz w:val="20"/>
        </w:rPr>
        <w:t>albeit not for the reasons she gave</w:t>
      </w:r>
      <w:r>
        <w:rPr>
          <w:rFonts w:ascii="Arial" w:hAnsi="Arial" w:cs="Arial"/>
          <w:sz w:val="20"/>
        </w:rPr>
        <w:t>’]</w:t>
      </w:r>
      <w:r w:rsidRPr="00D11826">
        <w:rPr>
          <w:rFonts w:ascii="Arial" w:hAnsi="Arial" w:cs="Arial"/>
          <w:sz w:val="20"/>
        </w:rPr>
        <w:t>. A decision to refuse leave to adduce evidence of a complainant’s sexual activities is a decision that ‘concerns the admissibility of evidence’</w:t>
      </w:r>
      <w:r>
        <w:rPr>
          <w:rFonts w:ascii="Arial" w:hAnsi="Arial" w:cs="Arial"/>
          <w:sz w:val="20"/>
        </w:rPr>
        <w:t>: CPA, s.295(3)(a)</w:t>
      </w:r>
      <w:r w:rsidRPr="00D11826">
        <w:rPr>
          <w:rFonts w:ascii="Arial" w:hAnsi="Arial" w:cs="Arial"/>
          <w:sz w:val="20"/>
        </w:rPr>
        <w:t xml:space="preserve">. To the extent that the decision in </w:t>
      </w:r>
      <w:r w:rsidRPr="00442A42">
        <w:rPr>
          <w:rFonts w:ascii="Arial" w:hAnsi="Arial" w:cs="Arial"/>
          <w:i/>
          <w:iCs/>
          <w:sz w:val="20"/>
        </w:rPr>
        <w:t>Hurst (a</w:t>
      </w:r>
      <w:r>
        <w:rPr>
          <w:rFonts w:ascii="Arial" w:hAnsi="Arial" w:cs="Arial"/>
          <w:i/>
          <w:iCs/>
          <w:sz w:val="20"/>
        </w:rPr>
        <w:t> </w:t>
      </w:r>
      <w:r w:rsidRPr="00442A42">
        <w:rPr>
          <w:rFonts w:ascii="Arial" w:hAnsi="Arial" w:cs="Arial"/>
          <w:i/>
          <w:iCs/>
          <w:sz w:val="20"/>
        </w:rPr>
        <w:t>pseudonym) v The Queen</w:t>
      </w:r>
      <w:r>
        <w:rPr>
          <w:rFonts w:ascii="Arial" w:hAnsi="Arial" w:cs="Arial"/>
          <w:sz w:val="20"/>
        </w:rPr>
        <w:t xml:space="preserve"> </w:t>
      </w:r>
      <w:r w:rsidRPr="00D11826">
        <w:rPr>
          <w:rFonts w:ascii="Arial" w:hAnsi="Arial" w:cs="Arial"/>
          <w:sz w:val="20"/>
        </w:rPr>
        <w:t xml:space="preserve">suggests otherwise, it is plainly wrong. The </w:t>
      </w:r>
      <w:r>
        <w:rPr>
          <w:rFonts w:ascii="Arial" w:hAnsi="Arial" w:cs="Arial"/>
          <w:sz w:val="20"/>
        </w:rPr>
        <w:t xml:space="preserve">evidence of the complainant’s sexual activities [the ‘sole purpose’ of which ‘was to attack the complainant’s credit’ – see [35]] </w:t>
      </w:r>
      <w:r w:rsidRPr="00D11826">
        <w:rPr>
          <w:rFonts w:ascii="Arial" w:hAnsi="Arial" w:cs="Arial"/>
          <w:sz w:val="20"/>
        </w:rPr>
        <w:t>is incapable of satisfying the relevant criterion for certification, namely that, if ruled inadmissible, it would eliminate or substantially weaken the prosecution case. The application for review of the judge’s refusal to certify will therefore be refused. As a result, the application for leave to appeal the interlocutory decision is incompetent.</w:t>
      </w:r>
      <w:r>
        <w:rPr>
          <w:rFonts w:ascii="Arial" w:hAnsi="Arial" w:cs="Arial"/>
          <w:sz w:val="20"/>
        </w:rPr>
        <w:t>”</w:t>
      </w:r>
    </w:p>
    <w:p w14:paraId="62D6459F" w14:textId="77777777" w:rsidR="00F46A92" w:rsidRDefault="00F46A92" w:rsidP="00F46A92">
      <w:pPr>
        <w:jc w:val="both"/>
        <w:rPr>
          <w:rFonts w:ascii="Arial" w:hAnsi="Arial" w:cs="Arial"/>
          <w:sz w:val="20"/>
        </w:rPr>
      </w:pPr>
    </w:p>
    <w:bookmarkStart w:id="1223" w:name="_3.10.6_Pre-conditions_for"/>
    <w:bookmarkEnd w:id="1223"/>
    <w:p w14:paraId="5139CE2F" w14:textId="7C908E8F" w:rsidR="00F46A92" w:rsidRPr="00465206" w:rsidRDefault="00F46A92" w:rsidP="00F46A92">
      <w:pPr>
        <w:pStyle w:val="Heading3"/>
        <w:keepNext/>
        <w:spacing w:after="120" w:line="240" w:lineRule="auto"/>
        <w:rPr>
          <w:rFonts w:ascii="Arial" w:hAnsi="Arial" w:cs="Arial"/>
          <w:b/>
          <w:bCs/>
          <w:color w:val="000000" w:themeColor="text1"/>
          <w:sz w:val="20"/>
          <w:lang w:val="en-AU"/>
        </w:rPr>
      </w:pPr>
      <w:r w:rsidRPr="009A2E96">
        <w:rPr>
          <w:rFonts w:ascii="Arial" w:hAnsi="Arial" w:cs="Arial"/>
          <w:b/>
          <w:bCs/>
          <w:color w:val="000000" w:themeColor="text1"/>
          <w:sz w:val="20"/>
        </w:rPr>
        <w:fldChar w:fldCharType="begin"/>
      </w:r>
      <w:r w:rsidRPr="009A2E96">
        <w:rPr>
          <w:rFonts w:ascii="Arial" w:hAnsi="Arial" w:cs="Arial"/>
          <w:b/>
          <w:bCs/>
          <w:color w:val="000000" w:themeColor="text1"/>
          <w:sz w:val="20"/>
        </w:rPr>
        <w:instrText xml:space="preserve"> HYPERLINK  \l "_3.10.1_Appeals_to" </w:instrText>
      </w:r>
      <w:r w:rsidRPr="009A2E96">
        <w:rPr>
          <w:rFonts w:ascii="Arial" w:hAnsi="Arial" w:cs="Arial"/>
          <w:b/>
          <w:bCs/>
          <w:color w:val="000000" w:themeColor="text1"/>
          <w:sz w:val="20"/>
        </w:rPr>
      </w:r>
      <w:r w:rsidRPr="009A2E96">
        <w:rPr>
          <w:rFonts w:ascii="Arial" w:hAnsi="Arial" w:cs="Arial"/>
          <w:b/>
          <w:bCs/>
          <w:color w:val="000000" w:themeColor="text1"/>
          <w:sz w:val="20"/>
        </w:rPr>
        <w:fldChar w:fldCharType="separate"/>
      </w:r>
      <w:r w:rsidRPr="009A2E96">
        <w:rPr>
          <w:rStyle w:val="Hyperlink"/>
          <w:rFonts w:ascii="Arial" w:hAnsi="Arial" w:cs="Arial"/>
          <w:b/>
          <w:bCs/>
          <w:color w:val="000000" w:themeColor="text1"/>
          <w:sz w:val="20"/>
          <w:u w:val="none"/>
        </w:rPr>
        <w:t>3.10.</w:t>
      </w:r>
      <w:r>
        <w:rPr>
          <w:rStyle w:val="Hyperlink"/>
          <w:rFonts w:ascii="Arial" w:hAnsi="Arial" w:cs="Arial"/>
          <w:b/>
          <w:bCs/>
          <w:color w:val="000000" w:themeColor="text1"/>
          <w:sz w:val="20"/>
          <w:u w:val="none"/>
        </w:rPr>
        <w:t>6</w:t>
      </w:r>
      <w:r w:rsidRPr="009A2E96">
        <w:rPr>
          <w:rStyle w:val="Hyperlink"/>
          <w:rFonts w:ascii="Arial" w:hAnsi="Arial" w:cs="Arial"/>
          <w:b/>
          <w:bCs/>
          <w:color w:val="000000" w:themeColor="text1"/>
          <w:sz w:val="20"/>
          <w:u w:val="none"/>
        </w:rPr>
        <w:tab/>
      </w:r>
      <w:r w:rsidRPr="009A2E96">
        <w:rPr>
          <w:rFonts w:ascii="Arial" w:hAnsi="Arial" w:cs="Arial"/>
          <w:b/>
          <w:bCs/>
          <w:color w:val="000000" w:themeColor="text1"/>
          <w:sz w:val="20"/>
        </w:rPr>
        <w:fldChar w:fldCharType="end"/>
      </w:r>
      <w:proofErr w:type="gramStart"/>
      <w:r>
        <w:rPr>
          <w:rFonts w:ascii="Arial" w:hAnsi="Arial" w:cs="Arial"/>
          <w:b/>
          <w:bCs/>
          <w:color w:val="000000" w:themeColor="text1"/>
          <w:sz w:val="20"/>
        </w:rPr>
        <w:t>Pre-conditions</w:t>
      </w:r>
      <w:proofErr w:type="gramEnd"/>
      <w:r>
        <w:rPr>
          <w:rFonts w:ascii="Arial" w:hAnsi="Arial" w:cs="Arial"/>
          <w:b/>
          <w:bCs/>
          <w:color w:val="000000" w:themeColor="text1"/>
          <w:sz w:val="20"/>
        </w:rPr>
        <w:t xml:space="preserve"> for granting a stay pending appeal</w:t>
      </w:r>
    </w:p>
    <w:p w14:paraId="76B835AF" w14:textId="0ABE1FE9" w:rsidR="00F46A92" w:rsidRDefault="000F6CBB" w:rsidP="004E473E">
      <w:pPr>
        <w:jc w:val="both"/>
        <w:rPr>
          <w:rFonts w:ascii="Arial" w:hAnsi="Arial" w:cs="Arial"/>
          <w:sz w:val="20"/>
        </w:rPr>
      </w:pPr>
      <w:r>
        <w:rPr>
          <w:rFonts w:ascii="Arial" w:hAnsi="Arial" w:cs="Arial"/>
          <w:sz w:val="20"/>
        </w:rPr>
        <w:t xml:space="preserve">In </w:t>
      </w:r>
      <w:r w:rsidRPr="00BA2357">
        <w:rPr>
          <w:rFonts w:ascii="Arial" w:hAnsi="Arial" w:cs="Arial"/>
          <w:i/>
          <w:iCs/>
          <w:sz w:val="20"/>
        </w:rPr>
        <w:t>Victorian Legal Services Board v Guss</w:t>
      </w:r>
      <w:r w:rsidRPr="00BA2357">
        <w:rPr>
          <w:rFonts w:ascii="Arial" w:hAnsi="Arial" w:cs="Arial"/>
          <w:sz w:val="20"/>
        </w:rPr>
        <w:t xml:space="preserve"> [2026] VSC 396</w:t>
      </w:r>
      <w:r>
        <w:rPr>
          <w:rFonts w:ascii="Arial" w:hAnsi="Arial" w:cs="Arial"/>
          <w:sz w:val="20"/>
        </w:rPr>
        <w:t xml:space="preserve"> Finanzio J refused the respondent’s application for a </w:t>
      </w:r>
      <w:r w:rsidRPr="000F6CBB">
        <w:rPr>
          <w:rFonts w:ascii="Arial" w:hAnsi="Arial" w:cs="Arial"/>
          <w:sz w:val="20"/>
        </w:rPr>
        <w:t>stay</w:t>
      </w:r>
      <w:r>
        <w:rPr>
          <w:rFonts w:ascii="Arial" w:hAnsi="Arial" w:cs="Arial"/>
          <w:sz w:val="20"/>
        </w:rPr>
        <w:t xml:space="preserve"> pending </w:t>
      </w:r>
      <w:r w:rsidR="001965F4">
        <w:rPr>
          <w:rFonts w:ascii="Arial" w:hAnsi="Arial" w:cs="Arial"/>
          <w:sz w:val="20"/>
        </w:rPr>
        <w:t xml:space="preserve">his </w:t>
      </w:r>
      <w:r>
        <w:rPr>
          <w:rFonts w:ascii="Arial" w:hAnsi="Arial" w:cs="Arial"/>
          <w:sz w:val="20"/>
        </w:rPr>
        <w:t xml:space="preserve">appeal </w:t>
      </w:r>
      <w:r w:rsidRPr="000F6CBB">
        <w:rPr>
          <w:rFonts w:ascii="Arial" w:hAnsi="Arial" w:cs="Arial"/>
          <w:sz w:val="20"/>
        </w:rPr>
        <w:t xml:space="preserve">of orders </w:t>
      </w:r>
      <w:r>
        <w:rPr>
          <w:rFonts w:ascii="Arial" w:hAnsi="Arial" w:cs="Arial"/>
          <w:sz w:val="20"/>
        </w:rPr>
        <w:t xml:space="preserve">made by </w:t>
      </w:r>
      <w:r w:rsidRPr="000F6CBB">
        <w:rPr>
          <w:rFonts w:ascii="Arial" w:hAnsi="Arial" w:cs="Arial"/>
          <w:sz w:val="20"/>
        </w:rPr>
        <w:t>Harris J</w:t>
      </w:r>
      <w:r>
        <w:rPr>
          <w:rFonts w:ascii="Arial" w:hAnsi="Arial" w:cs="Arial"/>
          <w:sz w:val="20"/>
        </w:rPr>
        <w:t xml:space="preserve"> requiring him to provide the </w:t>
      </w:r>
      <w:r w:rsidR="00826D40">
        <w:rPr>
          <w:rFonts w:ascii="Arial" w:hAnsi="Arial" w:cs="Arial"/>
          <w:sz w:val="20"/>
        </w:rPr>
        <w:t>Legal Services Board</w:t>
      </w:r>
      <w:r>
        <w:rPr>
          <w:rFonts w:ascii="Arial" w:hAnsi="Arial" w:cs="Arial"/>
          <w:sz w:val="20"/>
        </w:rPr>
        <w:t xml:space="preserve"> with account login details and a password associated with his email address. </w:t>
      </w:r>
      <w:r w:rsidR="001965F4">
        <w:rPr>
          <w:rFonts w:ascii="Arial" w:hAnsi="Arial" w:cs="Arial"/>
          <w:sz w:val="20"/>
        </w:rPr>
        <w:t>At [</w:t>
      </w:r>
      <w:proofErr w:type="gramStart"/>
      <w:r w:rsidR="001965F4">
        <w:rPr>
          <w:rFonts w:ascii="Arial" w:hAnsi="Arial" w:cs="Arial"/>
          <w:sz w:val="20"/>
        </w:rPr>
        <w:t>39]</w:t>
      </w:r>
      <w:r w:rsidR="00826D40">
        <w:rPr>
          <w:rFonts w:ascii="Arial" w:hAnsi="Arial" w:cs="Arial"/>
          <w:sz w:val="20"/>
        </w:rPr>
        <w:noBreakHyphen/>
      </w:r>
      <w:proofErr w:type="gramEnd"/>
      <w:r w:rsidR="001965F4">
        <w:rPr>
          <w:rFonts w:ascii="Arial" w:hAnsi="Arial" w:cs="Arial"/>
          <w:sz w:val="20"/>
        </w:rPr>
        <w:t xml:space="preserve">[42] Finanzio J </w:t>
      </w:r>
      <w:r w:rsidR="00826D40">
        <w:rPr>
          <w:rFonts w:ascii="Arial" w:hAnsi="Arial" w:cs="Arial"/>
          <w:sz w:val="20"/>
        </w:rPr>
        <w:t>summaris</w:t>
      </w:r>
      <w:r w:rsidR="001965F4">
        <w:rPr>
          <w:rFonts w:ascii="Arial" w:hAnsi="Arial" w:cs="Arial"/>
          <w:sz w:val="20"/>
        </w:rPr>
        <w:t>ed the underlying legal principles as follows:</w:t>
      </w:r>
    </w:p>
    <w:p w14:paraId="324068DF" w14:textId="77777777" w:rsidR="001965F4" w:rsidRDefault="001965F4" w:rsidP="001965F4">
      <w:pPr>
        <w:spacing w:before="60"/>
        <w:ind w:left="454" w:right="454"/>
        <w:jc w:val="both"/>
        <w:rPr>
          <w:rFonts w:ascii="Arial" w:hAnsi="Arial" w:cs="Arial"/>
          <w:sz w:val="20"/>
        </w:rPr>
      </w:pPr>
      <w:r>
        <w:rPr>
          <w:rFonts w:ascii="Arial" w:hAnsi="Arial" w:cs="Arial"/>
          <w:sz w:val="20"/>
        </w:rPr>
        <w:t>[39] “</w:t>
      </w:r>
      <w:r w:rsidR="00F46A92" w:rsidRPr="00F46A92">
        <w:rPr>
          <w:rFonts w:ascii="Arial" w:hAnsi="Arial" w:cs="Arial"/>
          <w:sz w:val="20"/>
        </w:rPr>
        <w:t>The Court has a broad discretion to grant a stay pending appeal</w:t>
      </w:r>
      <w:r>
        <w:rPr>
          <w:rFonts w:ascii="Arial" w:hAnsi="Arial" w:cs="Arial"/>
          <w:sz w:val="20"/>
        </w:rPr>
        <w:t xml:space="preserve">: </w:t>
      </w:r>
      <w:r w:rsidRPr="001965F4">
        <w:rPr>
          <w:rFonts w:ascii="Arial" w:hAnsi="Arial" w:cs="Arial"/>
          <w:i/>
          <w:iCs/>
          <w:sz w:val="20"/>
        </w:rPr>
        <w:t>Maher v Commonwealth Bank of Australia</w:t>
      </w:r>
      <w:r w:rsidRPr="00F46A92">
        <w:rPr>
          <w:rFonts w:ascii="Arial" w:hAnsi="Arial" w:cs="Arial"/>
          <w:sz w:val="20"/>
        </w:rPr>
        <w:t xml:space="preserve"> [2008] VSCA 122, [23]</w:t>
      </w:r>
      <w:r w:rsidR="00F46A92" w:rsidRPr="00F46A92">
        <w:rPr>
          <w:rFonts w:ascii="Arial" w:hAnsi="Arial" w:cs="Arial"/>
          <w:sz w:val="20"/>
        </w:rPr>
        <w:t>. The onus is on the applicant to demonstrate that a stay ought to be granted</w:t>
      </w:r>
      <w:r>
        <w:rPr>
          <w:rFonts w:ascii="Arial" w:hAnsi="Arial" w:cs="Arial"/>
          <w:sz w:val="20"/>
        </w:rPr>
        <w:t xml:space="preserve">: </w:t>
      </w:r>
      <w:proofErr w:type="spellStart"/>
      <w:r w:rsidRPr="001965F4">
        <w:rPr>
          <w:rFonts w:ascii="Arial" w:hAnsi="Arial" w:cs="Arial"/>
          <w:i/>
          <w:iCs/>
          <w:sz w:val="20"/>
        </w:rPr>
        <w:t>Ribbera</w:t>
      </w:r>
      <w:proofErr w:type="spellEnd"/>
      <w:r w:rsidRPr="001965F4">
        <w:rPr>
          <w:rFonts w:ascii="Arial" w:hAnsi="Arial" w:cs="Arial"/>
          <w:i/>
          <w:iCs/>
          <w:sz w:val="20"/>
        </w:rPr>
        <w:t xml:space="preserve"> v The Queen</w:t>
      </w:r>
      <w:r w:rsidRPr="00F46A92">
        <w:rPr>
          <w:rFonts w:ascii="Arial" w:hAnsi="Arial" w:cs="Arial"/>
          <w:sz w:val="20"/>
        </w:rPr>
        <w:t xml:space="preserve"> [2014] VSCA 173, [</w:t>
      </w:r>
      <w:proofErr w:type="gramStart"/>
      <w:r w:rsidRPr="00F46A92">
        <w:rPr>
          <w:rFonts w:ascii="Arial" w:hAnsi="Arial" w:cs="Arial"/>
          <w:sz w:val="20"/>
        </w:rPr>
        <w:t>26]</w:t>
      </w:r>
      <w:r>
        <w:rPr>
          <w:rFonts w:ascii="Arial" w:hAnsi="Arial" w:cs="Arial"/>
          <w:sz w:val="20"/>
        </w:rPr>
        <w:noBreakHyphen/>
      </w:r>
      <w:proofErr w:type="gramEnd"/>
      <w:r w:rsidRPr="00F46A92">
        <w:rPr>
          <w:rFonts w:ascii="Arial" w:hAnsi="Arial" w:cs="Arial"/>
          <w:sz w:val="20"/>
        </w:rPr>
        <w:t>[27]</w:t>
      </w:r>
      <w:r>
        <w:rPr>
          <w:rFonts w:ascii="Arial" w:hAnsi="Arial" w:cs="Arial"/>
          <w:sz w:val="20"/>
        </w:rPr>
        <w:t xml:space="preserve">; </w:t>
      </w:r>
      <w:r w:rsidRPr="001965F4">
        <w:rPr>
          <w:rFonts w:ascii="Arial" w:hAnsi="Arial" w:cs="Arial"/>
          <w:i/>
          <w:iCs/>
          <w:sz w:val="20"/>
        </w:rPr>
        <w:t>Neate v Thoroughbred International Marketing Pty Ltd</w:t>
      </w:r>
      <w:r w:rsidRPr="00F46A92">
        <w:rPr>
          <w:rFonts w:ascii="Arial" w:hAnsi="Arial" w:cs="Arial"/>
          <w:sz w:val="20"/>
        </w:rPr>
        <w:t xml:space="preserve"> (2012) 34 VR 318, 320 [5]</w:t>
      </w:r>
      <w:r>
        <w:rPr>
          <w:rFonts w:ascii="Arial" w:hAnsi="Arial" w:cs="Arial"/>
          <w:sz w:val="20"/>
        </w:rPr>
        <w:t xml:space="preserve">. </w:t>
      </w:r>
      <w:r w:rsidR="00F46A92" w:rsidRPr="00F46A92">
        <w:rPr>
          <w:rFonts w:ascii="Arial" w:hAnsi="Arial" w:cs="Arial"/>
          <w:sz w:val="20"/>
        </w:rPr>
        <w:t xml:space="preserve">An applicant for a stay must satisfy the Court that ‘special or exceptional circumstances’ exist </w:t>
      </w:r>
      <w:r w:rsidR="00F46A92" w:rsidRPr="00F46A92">
        <w:rPr>
          <w:rFonts w:ascii="Arial" w:hAnsi="Arial" w:cs="Arial"/>
          <w:sz w:val="20"/>
        </w:rPr>
        <w:lastRenderedPageBreak/>
        <w:t>before a stay will be granted</w:t>
      </w:r>
      <w:r>
        <w:rPr>
          <w:rFonts w:ascii="Arial" w:hAnsi="Arial" w:cs="Arial"/>
          <w:sz w:val="20"/>
        </w:rPr>
        <w:t xml:space="preserve">: </w:t>
      </w:r>
      <w:proofErr w:type="spellStart"/>
      <w:r w:rsidRPr="001965F4">
        <w:rPr>
          <w:rFonts w:ascii="Arial" w:hAnsi="Arial" w:cs="Arial"/>
          <w:i/>
          <w:iCs/>
          <w:sz w:val="20"/>
        </w:rPr>
        <w:t>Kairouz</w:t>
      </w:r>
      <w:proofErr w:type="spellEnd"/>
      <w:r w:rsidRPr="001965F4">
        <w:rPr>
          <w:rFonts w:ascii="Arial" w:hAnsi="Arial" w:cs="Arial"/>
          <w:i/>
          <w:iCs/>
          <w:sz w:val="20"/>
        </w:rPr>
        <w:t xml:space="preserve"> v Jasper Nominees Ltd</w:t>
      </w:r>
      <w:r w:rsidRPr="00F46A92">
        <w:rPr>
          <w:rFonts w:ascii="Arial" w:hAnsi="Arial" w:cs="Arial"/>
          <w:sz w:val="20"/>
        </w:rPr>
        <w:t xml:space="preserve"> [2024] VSCA 68, [8]</w:t>
      </w:r>
      <w:r w:rsidR="00F46A92" w:rsidRPr="00F46A92">
        <w:rPr>
          <w:rFonts w:ascii="Arial" w:hAnsi="Arial" w:cs="Arial"/>
          <w:sz w:val="20"/>
        </w:rPr>
        <w:t>.</w:t>
      </w:r>
      <w:r>
        <w:rPr>
          <w:rFonts w:ascii="Arial" w:hAnsi="Arial" w:cs="Arial"/>
          <w:sz w:val="20"/>
        </w:rPr>
        <w:t xml:space="preserve"> </w:t>
      </w:r>
      <w:r w:rsidR="00F46A92" w:rsidRPr="00F46A92">
        <w:rPr>
          <w:rFonts w:ascii="Arial" w:hAnsi="Arial" w:cs="Arial"/>
          <w:sz w:val="20"/>
        </w:rPr>
        <w:t>The categories of special or exceptional circumstances are not closed: it will depend on the facts of each particular case</w:t>
      </w:r>
      <w:r>
        <w:rPr>
          <w:rFonts w:ascii="Arial" w:hAnsi="Arial" w:cs="Arial"/>
          <w:sz w:val="20"/>
        </w:rPr>
        <w:t xml:space="preserve">: </w:t>
      </w:r>
      <w:r w:rsidRPr="001965F4">
        <w:rPr>
          <w:rFonts w:ascii="Arial" w:hAnsi="Arial" w:cs="Arial"/>
          <w:i/>
          <w:iCs/>
          <w:sz w:val="20"/>
        </w:rPr>
        <w:t>Maher</w:t>
      </w:r>
      <w:r w:rsidRPr="00F46A92">
        <w:rPr>
          <w:rFonts w:ascii="Arial" w:hAnsi="Arial" w:cs="Arial"/>
          <w:sz w:val="20"/>
        </w:rPr>
        <w:t xml:space="preserve"> [2008] VSCA 122, [23]</w:t>
      </w:r>
      <w:r w:rsidR="00F46A92" w:rsidRPr="00F46A92">
        <w:rPr>
          <w:rFonts w:ascii="Arial" w:hAnsi="Arial" w:cs="Arial"/>
          <w:sz w:val="20"/>
        </w:rPr>
        <w:t>.</w:t>
      </w:r>
    </w:p>
    <w:p w14:paraId="25A8217A" w14:textId="376E8638" w:rsidR="001965F4" w:rsidRDefault="001965F4" w:rsidP="001965F4">
      <w:pPr>
        <w:spacing w:before="60"/>
        <w:ind w:left="454" w:right="454"/>
        <w:jc w:val="both"/>
        <w:rPr>
          <w:rFonts w:ascii="Arial" w:hAnsi="Arial" w:cs="Arial"/>
          <w:sz w:val="20"/>
        </w:rPr>
      </w:pPr>
      <w:r>
        <w:rPr>
          <w:rFonts w:ascii="Arial" w:hAnsi="Arial" w:cs="Arial"/>
          <w:sz w:val="20"/>
        </w:rPr>
        <w:t>[</w:t>
      </w:r>
      <w:r w:rsidR="00F46A92" w:rsidRPr="00F46A92">
        <w:rPr>
          <w:rFonts w:ascii="Arial" w:hAnsi="Arial" w:cs="Arial"/>
          <w:sz w:val="20"/>
        </w:rPr>
        <w:t>40</w:t>
      </w:r>
      <w:r>
        <w:rPr>
          <w:rFonts w:ascii="Arial" w:hAnsi="Arial" w:cs="Arial"/>
          <w:sz w:val="20"/>
        </w:rPr>
        <w:t>]</w:t>
      </w:r>
      <w:r w:rsidR="00F46A92" w:rsidRPr="00F46A92">
        <w:rPr>
          <w:rFonts w:ascii="Arial" w:hAnsi="Arial" w:cs="Arial"/>
          <w:sz w:val="20"/>
        </w:rPr>
        <w:t xml:space="preserve"> Special circumstances would exist where there was a real risk that an appeal against the orders of the Court, if successful, would be rendered nugatory</w:t>
      </w:r>
      <w:r>
        <w:rPr>
          <w:rFonts w:ascii="Arial" w:hAnsi="Arial" w:cs="Arial"/>
          <w:sz w:val="20"/>
        </w:rPr>
        <w:t xml:space="preserve">: </w:t>
      </w:r>
      <w:proofErr w:type="spellStart"/>
      <w:r w:rsidRPr="001965F4">
        <w:rPr>
          <w:rFonts w:ascii="Arial" w:hAnsi="Arial" w:cs="Arial"/>
          <w:i/>
          <w:iCs/>
          <w:sz w:val="20"/>
        </w:rPr>
        <w:t>Cellante</w:t>
      </w:r>
      <w:proofErr w:type="spellEnd"/>
      <w:r w:rsidRPr="001965F4">
        <w:rPr>
          <w:rFonts w:ascii="Arial" w:hAnsi="Arial" w:cs="Arial"/>
          <w:i/>
          <w:iCs/>
          <w:sz w:val="20"/>
        </w:rPr>
        <w:t xml:space="preserve"> v G Kallis Industries Pty Ltd</w:t>
      </w:r>
      <w:r w:rsidRPr="00F46A92">
        <w:rPr>
          <w:rFonts w:ascii="Arial" w:hAnsi="Arial" w:cs="Arial"/>
          <w:sz w:val="20"/>
        </w:rPr>
        <w:t xml:space="preserve"> [1991] 2 VR 653, 657</w:t>
      </w:r>
      <w:r w:rsidR="00F46A92" w:rsidRPr="00F46A92">
        <w:rPr>
          <w:rFonts w:ascii="Arial" w:hAnsi="Arial" w:cs="Arial"/>
          <w:sz w:val="20"/>
        </w:rPr>
        <w:t>.</w:t>
      </w:r>
      <w:r>
        <w:rPr>
          <w:rFonts w:ascii="Arial" w:hAnsi="Arial" w:cs="Arial"/>
          <w:sz w:val="20"/>
        </w:rPr>
        <w:t xml:space="preserve"> </w:t>
      </w:r>
      <w:r w:rsidR="00F46A92" w:rsidRPr="00F46A92">
        <w:rPr>
          <w:rFonts w:ascii="Arial" w:hAnsi="Arial" w:cs="Arial"/>
          <w:sz w:val="20"/>
        </w:rPr>
        <w:t>An appeal might be rendered nugatory in a number of ways, including if a successful appellant could not be substantially restored to his or her former position if a stay were not granted</w:t>
      </w:r>
      <w:r>
        <w:rPr>
          <w:rFonts w:ascii="Arial" w:hAnsi="Arial" w:cs="Arial"/>
          <w:sz w:val="20"/>
        </w:rPr>
        <w:t xml:space="preserve">: </w:t>
      </w:r>
      <w:r w:rsidRPr="001965F4">
        <w:rPr>
          <w:rFonts w:ascii="Arial" w:hAnsi="Arial" w:cs="Arial"/>
          <w:i/>
          <w:iCs/>
          <w:sz w:val="20"/>
        </w:rPr>
        <w:t>Neate</w:t>
      </w:r>
      <w:r w:rsidRPr="00F46A92">
        <w:rPr>
          <w:rFonts w:ascii="Arial" w:hAnsi="Arial" w:cs="Arial"/>
          <w:sz w:val="20"/>
        </w:rPr>
        <w:t xml:space="preserve"> (2012) 34 VR 318, 322 [1]; </w:t>
      </w:r>
      <w:proofErr w:type="spellStart"/>
      <w:r w:rsidRPr="001965F4">
        <w:rPr>
          <w:rFonts w:ascii="Arial" w:hAnsi="Arial" w:cs="Arial"/>
          <w:i/>
          <w:iCs/>
          <w:sz w:val="20"/>
        </w:rPr>
        <w:t>Ribbera</w:t>
      </w:r>
      <w:proofErr w:type="spellEnd"/>
      <w:r w:rsidRPr="00F46A92">
        <w:rPr>
          <w:rFonts w:ascii="Arial" w:hAnsi="Arial" w:cs="Arial"/>
          <w:sz w:val="20"/>
        </w:rPr>
        <w:t xml:space="preserve"> [2014] VSCA 173, [11]</w:t>
      </w:r>
      <w:r>
        <w:rPr>
          <w:rFonts w:ascii="Arial" w:hAnsi="Arial" w:cs="Arial"/>
          <w:sz w:val="20"/>
        </w:rPr>
        <w:t>.</w:t>
      </w:r>
    </w:p>
    <w:p w14:paraId="60EEB0D6" w14:textId="77777777" w:rsidR="00B61DF3" w:rsidRDefault="001965F4" w:rsidP="001965F4">
      <w:pPr>
        <w:spacing w:before="60"/>
        <w:ind w:left="454" w:right="454"/>
        <w:jc w:val="both"/>
        <w:rPr>
          <w:rFonts w:ascii="Arial" w:hAnsi="Arial" w:cs="Arial"/>
          <w:sz w:val="20"/>
        </w:rPr>
      </w:pPr>
      <w:r>
        <w:rPr>
          <w:rFonts w:ascii="Arial" w:hAnsi="Arial" w:cs="Arial"/>
          <w:sz w:val="20"/>
        </w:rPr>
        <w:t xml:space="preserve">[41] </w:t>
      </w:r>
      <w:r w:rsidR="00F46A92" w:rsidRPr="00F46A92">
        <w:rPr>
          <w:rFonts w:ascii="Arial" w:hAnsi="Arial" w:cs="Arial"/>
          <w:sz w:val="20"/>
        </w:rPr>
        <w:t>Where an application for a stay is made pending an appeal, a stay should not be granted unless there is at least an arguable ground of appeal — whether the ground of appeal is arguable should be treated as a relatively low bar</w:t>
      </w:r>
      <w:r w:rsidR="00B61DF3">
        <w:rPr>
          <w:rFonts w:ascii="Arial" w:hAnsi="Arial" w:cs="Arial"/>
          <w:sz w:val="20"/>
        </w:rPr>
        <w:t xml:space="preserve">: </w:t>
      </w:r>
      <w:proofErr w:type="spellStart"/>
      <w:r w:rsidR="00B61DF3" w:rsidRPr="001965F4">
        <w:rPr>
          <w:rFonts w:ascii="Arial" w:hAnsi="Arial" w:cs="Arial"/>
          <w:i/>
          <w:iCs/>
          <w:sz w:val="20"/>
        </w:rPr>
        <w:t>Kairouz</w:t>
      </w:r>
      <w:proofErr w:type="spellEnd"/>
      <w:r w:rsidR="00B61DF3" w:rsidRPr="001965F4">
        <w:rPr>
          <w:rFonts w:ascii="Arial" w:hAnsi="Arial" w:cs="Arial"/>
          <w:i/>
          <w:iCs/>
          <w:sz w:val="20"/>
        </w:rPr>
        <w:t xml:space="preserve"> </w:t>
      </w:r>
      <w:r w:rsidR="00B61DF3" w:rsidRPr="00F46A92">
        <w:rPr>
          <w:rFonts w:ascii="Arial" w:hAnsi="Arial" w:cs="Arial"/>
          <w:sz w:val="20"/>
        </w:rPr>
        <w:t>[2024] VSCA 68, [</w:t>
      </w:r>
      <w:r w:rsidR="00B61DF3">
        <w:rPr>
          <w:rFonts w:ascii="Arial" w:hAnsi="Arial" w:cs="Arial"/>
          <w:sz w:val="20"/>
        </w:rPr>
        <w:t>10</w:t>
      </w:r>
      <w:r w:rsidR="00B61DF3" w:rsidRPr="00F46A92">
        <w:rPr>
          <w:rFonts w:ascii="Arial" w:hAnsi="Arial" w:cs="Arial"/>
          <w:sz w:val="20"/>
        </w:rPr>
        <w:t>].</w:t>
      </w:r>
    </w:p>
    <w:p w14:paraId="67E9FEB3" w14:textId="3E140CB8" w:rsidR="00F46A92" w:rsidRPr="00B61DF3" w:rsidRDefault="00B61DF3" w:rsidP="001965F4">
      <w:pPr>
        <w:spacing w:before="60"/>
        <w:ind w:left="454" w:right="454"/>
        <w:jc w:val="both"/>
      </w:pPr>
      <w:r>
        <w:rPr>
          <w:rFonts w:ascii="Arial" w:hAnsi="Arial" w:cs="Arial"/>
          <w:sz w:val="20"/>
        </w:rPr>
        <w:t>[</w:t>
      </w:r>
      <w:r w:rsidR="00F46A92" w:rsidRPr="00F46A92">
        <w:rPr>
          <w:rFonts w:ascii="Arial" w:hAnsi="Arial" w:cs="Arial"/>
          <w:sz w:val="20"/>
        </w:rPr>
        <w:t>42</w:t>
      </w:r>
      <w:r>
        <w:rPr>
          <w:rFonts w:ascii="Arial" w:hAnsi="Arial" w:cs="Arial"/>
          <w:sz w:val="20"/>
        </w:rPr>
        <w:t>]</w:t>
      </w:r>
      <w:r w:rsidR="00F46A92" w:rsidRPr="00F46A92">
        <w:rPr>
          <w:rFonts w:ascii="Arial" w:hAnsi="Arial" w:cs="Arial"/>
          <w:sz w:val="20"/>
        </w:rPr>
        <w:t xml:space="preserve"> Even if special or exceptional circumstances are established by an applicant for a stay, the grant of a stay remains discretionary</w:t>
      </w:r>
      <w:r>
        <w:rPr>
          <w:rFonts w:ascii="Arial" w:hAnsi="Arial" w:cs="Arial"/>
          <w:sz w:val="20"/>
        </w:rPr>
        <w:t xml:space="preserve">: </w:t>
      </w:r>
      <w:r w:rsidRPr="00B61DF3">
        <w:rPr>
          <w:rFonts w:ascii="Arial" w:hAnsi="Arial" w:cs="Arial"/>
          <w:i/>
          <w:iCs/>
          <w:sz w:val="20"/>
        </w:rPr>
        <w:t>Neate</w:t>
      </w:r>
      <w:r>
        <w:rPr>
          <w:rFonts w:ascii="Arial" w:hAnsi="Arial" w:cs="Arial"/>
          <w:sz w:val="20"/>
        </w:rPr>
        <w:t xml:space="preserve"> </w:t>
      </w:r>
      <w:r w:rsidRPr="00F46A92">
        <w:rPr>
          <w:rFonts w:ascii="Arial" w:hAnsi="Arial" w:cs="Arial"/>
          <w:sz w:val="20"/>
        </w:rPr>
        <w:t>(2012) 34 VR 318, 32</w:t>
      </w:r>
      <w:r>
        <w:rPr>
          <w:rFonts w:ascii="Arial" w:hAnsi="Arial" w:cs="Arial"/>
          <w:sz w:val="20"/>
        </w:rPr>
        <w:t>0</w:t>
      </w:r>
      <w:r w:rsidRPr="00F46A92">
        <w:rPr>
          <w:rFonts w:ascii="Arial" w:hAnsi="Arial" w:cs="Arial"/>
          <w:sz w:val="20"/>
        </w:rPr>
        <w:t xml:space="preserve"> [</w:t>
      </w:r>
      <w:r>
        <w:rPr>
          <w:rFonts w:ascii="Arial" w:hAnsi="Arial" w:cs="Arial"/>
          <w:sz w:val="20"/>
        </w:rPr>
        <w:t>6].”</w:t>
      </w:r>
    </w:p>
    <w:p w14:paraId="3B209DFA" w14:textId="449CD399" w:rsidR="00F46A92" w:rsidRDefault="00B61DF3" w:rsidP="00B61DF3">
      <w:pPr>
        <w:spacing w:before="60"/>
        <w:jc w:val="both"/>
        <w:rPr>
          <w:rFonts w:ascii="Arial" w:hAnsi="Arial" w:cs="Arial"/>
          <w:sz w:val="20"/>
        </w:rPr>
      </w:pPr>
      <w:r>
        <w:rPr>
          <w:rFonts w:ascii="Arial" w:hAnsi="Arial" w:cs="Arial"/>
          <w:sz w:val="20"/>
        </w:rPr>
        <w:t>In refusing the respondent’s application for a stay Finanzio J concluded at [56]:</w:t>
      </w:r>
    </w:p>
    <w:p w14:paraId="57A39888" w14:textId="6546DBAB" w:rsidR="00B61DF3" w:rsidRDefault="00B61DF3" w:rsidP="00B61DF3">
      <w:pPr>
        <w:spacing w:before="60"/>
        <w:ind w:left="454" w:right="454"/>
        <w:jc w:val="both"/>
        <w:rPr>
          <w:rFonts w:ascii="Arial" w:hAnsi="Arial" w:cs="Arial"/>
          <w:sz w:val="20"/>
        </w:rPr>
      </w:pPr>
      <w:r>
        <w:rPr>
          <w:rFonts w:ascii="Arial" w:hAnsi="Arial" w:cs="Arial"/>
          <w:sz w:val="20"/>
        </w:rPr>
        <w:t xml:space="preserve">“While an applicant for a stay need only clear the relatively low hurdle of establishing ‘arguable’ grounds of appeal – it is not no hurdle at all. While it is not for me to speculate as to the likelihood of success of Mr </w:t>
      </w:r>
      <w:proofErr w:type="spellStart"/>
      <w:r>
        <w:rPr>
          <w:rFonts w:ascii="Arial" w:hAnsi="Arial" w:cs="Arial"/>
          <w:sz w:val="20"/>
        </w:rPr>
        <w:t>Guss’</w:t>
      </w:r>
      <w:proofErr w:type="spellEnd"/>
      <w:r>
        <w:rPr>
          <w:rFonts w:ascii="Arial" w:hAnsi="Arial" w:cs="Arial"/>
          <w:sz w:val="20"/>
        </w:rPr>
        <w:t xml:space="preserve"> grounds before the appellant court, or for me to sit in judgment as though I were an appellate court considering the legal correctness of decisions of other judges in the Trial Division, it is for me to assess whether the grounds Mr Guss advances in oral argument before me clear the low bar of being ‘arguable’. In my view they do not.”</w:t>
      </w:r>
    </w:p>
    <w:p w14:paraId="1F3E1C1C" w14:textId="39FEF5C5" w:rsidR="00B61DF3" w:rsidRDefault="0053180B" w:rsidP="0053180B">
      <w:pPr>
        <w:spacing w:before="60"/>
        <w:jc w:val="both"/>
        <w:rPr>
          <w:rFonts w:ascii="Arial" w:hAnsi="Arial" w:cs="Arial"/>
          <w:sz w:val="20"/>
        </w:rPr>
      </w:pPr>
      <w:r>
        <w:rPr>
          <w:rFonts w:ascii="Arial" w:hAnsi="Arial" w:cs="Arial"/>
          <w:sz w:val="20"/>
        </w:rPr>
        <w:t>In ultimately finding the charge of contempt proved</w:t>
      </w:r>
      <w:r w:rsidR="008D1E6A">
        <w:rPr>
          <w:rFonts w:ascii="Arial" w:hAnsi="Arial" w:cs="Arial"/>
          <w:sz w:val="20"/>
        </w:rPr>
        <w:t xml:space="preserve"> against the respondent</w:t>
      </w:r>
      <w:r>
        <w:rPr>
          <w:rFonts w:ascii="Arial" w:hAnsi="Arial" w:cs="Arial"/>
          <w:sz w:val="20"/>
        </w:rPr>
        <w:t xml:space="preserve"> Finanzio J said at [124]:</w:t>
      </w:r>
    </w:p>
    <w:p w14:paraId="0DAE4EA2" w14:textId="699E7A61" w:rsidR="0053180B" w:rsidRDefault="0053180B" w:rsidP="0053180B">
      <w:pPr>
        <w:spacing w:before="60"/>
        <w:ind w:left="454" w:right="454"/>
        <w:jc w:val="both"/>
        <w:rPr>
          <w:rFonts w:ascii="Arial" w:hAnsi="Arial" w:cs="Arial"/>
          <w:sz w:val="20"/>
        </w:rPr>
      </w:pPr>
      <w:r>
        <w:rPr>
          <w:rFonts w:ascii="Arial" w:hAnsi="Arial" w:cs="Arial"/>
          <w:sz w:val="20"/>
        </w:rPr>
        <w:t>“</w:t>
      </w:r>
      <w:r w:rsidRPr="0053180B">
        <w:rPr>
          <w:rFonts w:ascii="Arial" w:hAnsi="Arial" w:cs="Arial"/>
          <w:sz w:val="20"/>
        </w:rPr>
        <w:t>I am satisfied beyond reasonable doubt that Mr Guss has never intended to comply with an order requiring him to provide the login details and passwords to the email account. His refusal to do so has been calculating, deliberate, wilful and contumacious.</w:t>
      </w:r>
      <w:r>
        <w:rPr>
          <w:rFonts w:ascii="Arial" w:hAnsi="Arial" w:cs="Arial"/>
          <w:sz w:val="20"/>
        </w:rPr>
        <w:t>”</w:t>
      </w:r>
    </w:p>
    <w:p w14:paraId="5BF1BDFE" w14:textId="730B5831" w:rsidR="0053180B" w:rsidRDefault="0053180B" w:rsidP="004E473E">
      <w:pPr>
        <w:jc w:val="both"/>
        <w:rPr>
          <w:rFonts w:ascii="Arial" w:hAnsi="Arial" w:cs="Arial"/>
          <w:sz w:val="20"/>
        </w:rPr>
      </w:pPr>
    </w:p>
    <w:p w14:paraId="1805E9DF" w14:textId="77777777" w:rsidR="004E473E" w:rsidRPr="00836E86" w:rsidRDefault="004E473E" w:rsidP="004E473E">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35E9D1BA" w14:textId="77777777" w:rsidR="004E473E" w:rsidRPr="00836E86" w:rsidRDefault="004E473E" w:rsidP="004E473E">
      <w:pPr>
        <w:rPr>
          <w:rFonts w:ascii="Arial" w:hAnsi="Arial" w:cs="Arial"/>
          <w:sz w:val="20"/>
        </w:rPr>
      </w:pPr>
    </w:p>
    <w:p w14:paraId="16418A40" w14:textId="77777777" w:rsidR="000356F4" w:rsidRDefault="000356F4">
      <w:pPr>
        <w:rPr>
          <w:rFonts w:ascii="Arial" w:hAnsi="Arial" w:cs="Arial"/>
          <w:b/>
          <w:bCs/>
          <w:kern w:val="28"/>
          <w:szCs w:val="20"/>
          <w:lang w:val="en-GB"/>
        </w:rPr>
      </w:pPr>
      <w:bookmarkStart w:id="1224" w:name="_3.11_Case_stated_1"/>
      <w:bookmarkEnd w:id="1224"/>
      <w:r>
        <w:rPr>
          <w:rFonts w:ascii="Arial" w:hAnsi="Arial" w:cs="Arial"/>
          <w:b/>
          <w:bCs/>
        </w:rPr>
        <w:br w:type="page"/>
      </w:r>
    </w:p>
    <w:p w14:paraId="2C60FBD7" w14:textId="1D746B35" w:rsidR="003C751E" w:rsidRDefault="003C751E" w:rsidP="003C751E">
      <w:pPr>
        <w:pStyle w:val="Heading2"/>
        <w:keepNext/>
        <w:keepLines/>
        <w:tabs>
          <w:tab w:val="left" w:pos="567"/>
        </w:tabs>
        <w:spacing w:line="240" w:lineRule="auto"/>
        <w:rPr>
          <w:rFonts w:ascii="Arial" w:hAnsi="Arial" w:cs="Arial"/>
          <w:b/>
          <w:bCs/>
        </w:rPr>
      </w:pPr>
      <w:r>
        <w:rPr>
          <w:rFonts w:ascii="Arial" w:hAnsi="Arial" w:cs="Arial"/>
          <w:b/>
          <w:bCs/>
        </w:rPr>
        <w:lastRenderedPageBreak/>
        <w:t>3.1</w:t>
      </w:r>
      <w:r w:rsidR="00AB3569">
        <w:rPr>
          <w:rFonts w:ascii="Arial" w:hAnsi="Arial" w:cs="Arial"/>
          <w:b/>
          <w:bCs/>
        </w:rPr>
        <w:t>1</w:t>
      </w:r>
      <w:r>
        <w:rPr>
          <w:rFonts w:ascii="Arial" w:hAnsi="Arial" w:cs="Arial"/>
          <w:b/>
          <w:bCs/>
        </w:rPr>
        <w:tab/>
        <w:t>Case stated</w:t>
      </w:r>
    </w:p>
    <w:p w14:paraId="1FAA3149" w14:textId="77777777" w:rsidR="00C31870" w:rsidRDefault="00C31870" w:rsidP="00EA77AD">
      <w:pPr>
        <w:keepNext/>
        <w:keepLines/>
        <w:rPr>
          <w:rFonts w:ascii="Arial" w:hAnsi="Arial" w:cs="Arial"/>
          <w:sz w:val="20"/>
        </w:rPr>
      </w:pPr>
    </w:p>
    <w:p w14:paraId="5F31909D" w14:textId="77777777" w:rsidR="003C751E" w:rsidRDefault="00D83C7E" w:rsidP="00AA6787">
      <w:pPr>
        <w:jc w:val="both"/>
        <w:rPr>
          <w:rFonts w:ascii="Arial" w:hAnsi="Arial" w:cs="Arial"/>
          <w:sz w:val="20"/>
        </w:rPr>
      </w:pPr>
      <w:r>
        <w:rPr>
          <w:rFonts w:ascii="Arial" w:hAnsi="Arial" w:cs="Arial"/>
          <w:sz w:val="20"/>
        </w:rPr>
        <w:t>Under s.533 of the CYFA t</w:t>
      </w:r>
      <w:r w:rsidR="00C31870">
        <w:rPr>
          <w:rFonts w:ascii="Arial" w:hAnsi="Arial" w:cs="Arial"/>
          <w:sz w:val="20"/>
        </w:rPr>
        <w:t xml:space="preserve">he Children’s Court has power, with the consent of the President and in both the Family Division </w:t>
      </w:r>
      <w:r>
        <w:rPr>
          <w:rFonts w:ascii="Arial" w:hAnsi="Arial" w:cs="Arial"/>
          <w:sz w:val="20"/>
        </w:rPr>
        <w:t>and the Criminal Division</w:t>
      </w:r>
      <w:r w:rsidR="00C31870">
        <w:rPr>
          <w:rFonts w:ascii="Arial" w:hAnsi="Arial" w:cs="Arial"/>
          <w:sz w:val="20"/>
        </w:rPr>
        <w:t>, to “state a case”, that is to reserve a question of law for determination by t</w:t>
      </w:r>
      <w:r w:rsidR="0074509D">
        <w:rPr>
          <w:rFonts w:ascii="Arial" w:hAnsi="Arial" w:cs="Arial"/>
          <w:sz w:val="20"/>
        </w:rPr>
        <w:t>he Supreme Court.  The section</w:t>
      </w:r>
      <w:r w:rsidR="00C31870">
        <w:rPr>
          <w:rFonts w:ascii="Arial" w:hAnsi="Arial" w:cs="Arial"/>
          <w:sz w:val="20"/>
        </w:rPr>
        <w:t xml:space="preserve"> provide</w:t>
      </w:r>
      <w:r w:rsidR="0074509D">
        <w:rPr>
          <w:rFonts w:ascii="Arial" w:hAnsi="Arial" w:cs="Arial"/>
          <w:sz w:val="20"/>
        </w:rPr>
        <w:t>s</w:t>
      </w:r>
      <w:r w:rsidR="00C31870">
        <w:rPr>
          <w:rFonts w:ascii="Arial" w:hAnsi="Arial" w:cs="Arial"/>
          <w:sz w:val="20"/>
        </w:rPr>
        <w:t>:</w:t>
      </w:r>
    </w:p>
    <w:p w14:paraId="0B85C1BD" w14:textId="77777777" w:rsidR="00B21DA4" w:rsidRDefault="00C31870" w:rsidP="00A7083E">
      <w:pPr>
        <w:tabs>
          <w:tab w:val="left" w:pos="357"/>
        </w:tabs>
        <w:spacing w:before="60" w:after="60"/>
        <w:ind w:left="357" w:hanging="357"/>
        <w:jc w:val="both"/>
        <w:rPr>
          <w:rFonts w:ascii="Arial" w:hAnsi="Arial" w:cs="Arial"/>
          <w:sz w:val="20"/>
        </w:rPr>
      </w:pPr>
      <w:r>
        <w:rPr>
          <w:rFonts w:ascii="Arial" w:hAnsi="Arial" w:cs="Arial"/>
          <w:sz w:val="20"/>
        </w:rPr>
        <w:t>(1)</w:t>
      </w:r>
      <w:r>
        <w:rPr>
          <w:rFonts w:ascii="Arial" w:hAnsi="Arial" w:cs="Arial"/>
          <w:sz w:val="20"/>
        </w:rPr>
        <w:tab/>
      </w:r>
      <w:r w:rsidR="00A7083E">
        <w:rPr>
          <w:rFonts w:ascii="Arial" w:hAnsi="Arial" w:cs="Arial"/>
          <w:sz w:val="20"/>
        </w:rPr>
        <w:t>If a question of law arises in a proceeding, the Court, of its own motion or on the application of any party, may, with the consent of the President, reserve the question in the form of a special case stated for the opinion of the Supreme Court.</w:t>
      </w:r>
    </w:p>
    <w:p w14:paraId="256615F3" w14:textId="25C77309" w:rsidR="00C31870" w:rsidRDefault="00A7083E" w:rsidP="00A7083E">
      <w:pPr>
        <w:tabs>
          <w:tab w:val="left" w:pos="357"/>
        </w:tabs>
        <w:ind w:left="357" w:hanging="357"/>
        <w:jc w:val="both"/>
        <w:rPr>
          <w:rFonts w:ascii="Arial" w:hAnsi="Arial" w:cs="Arial"/>
          <w:sz w:val="20"/>
        </w:rPr>
      </w:pPr>
      <w:r>
        <w:rPr>
          <w:rFonts w:ascii="Arial" w:hAnsi="Arial" w:cs="Arial"/>
          <w:sz w:val="20"/>
        </w:rPr>
        <w:t>(2)</w:t>
      </w:r>
      <w:r>
        <w:rPr>
          <w:rFonts w:ascii="Arial" w:hAnsi="Arial" w:cs="Arial"/>
          <w:sz w:val="20"/>
        </w:rPr>
        <w:tab/>
        <w:t>If a question of law has been reserved for the opinion of the Supreme Court, the Children’s Court cannot</w:t>
      </w:r>
      <w:r w:rsidR="00366998" w:rsidRPr="00A31FFA">
        <w:rPr>
          <w:rFonts w:ascii="Arial" w:hAnsi="Arial" w:cs="Arial"/>
          <w:sz w:val="20"/>
        </w:rPr>
        <w:t>–</w:t>
      </w:r>
    </w:p>
    <w:p w14:paraId="5864DE26" w14:textId="77777777" w:rsidR="004C7E7D" w:rsidRDefault="004C7E7D" w:rsidP="004C7E7D">
      <w:pPr>
        <w:tabs>
          <w:tab w:val="left" w:pos="357"/>
        </w:tabs>
        <w:ind w:left="720" w:hanging="720"/>
        <w:jc w:val="both"/>
        <w:rPr>
          <w:rFonts w:ascii="Arial" w:hAnsi="Arial" w:cs="Arial"/>
          <w:sz w:val="20"/>
        </w:rPr>
      </w:pPr>
      <w:r>
        <w:rPr>
          <w:rFonts w:ascii="Arial" w:hAnsi="Arial" w:cs="Arial"/>
          <w:sz w:val="20"/>
        </w:rPr>
        <w:tab/>
        <w:t>(a)</w:t>
      </w:r>
      <w:r>
        <w:rPr>
          <w:rFonts w:ascii="Arial" w:hAnsi="Arial" w:cs="Arial"/>
          <w:sz w:val="20"/>
        </w:rPr>
        <w:tab/>
      </w:r>
      <w:r w:rsidR="00A7083E">
        <w:rPr>
          <w:rFonts w:ascii="Arial" w:hAnsi="Arial" w:cs="Arial"/>
          <w:sz w:val="20"/>
        </w:rPr>
        <w:t>finally determine the matter until the opinion of the Supreme Court has been given; or</w:t>
      </w:r>
    </w:p>
    <w:p w14:paraId="30AB2D99" w14:textId="77777777" w:rsidR="00A7083E" w:rsidRDefault="00A7083E" w:rsidP="001F5C49">
      <w:pPr>
        <w:tabs>
          <w:tab w:val="left" w:pos="357"/>
        </w:tabs>
        <w:ind w:left="720" w:hanging="720"/>
        <w:jc w:val="both"/>
        <w:rPr>
          <w:rFonts w:ascii="Arial" w:hAnsi="Arial" w:cs="Arial"/>
          <w:sz w:val="20"/>
        </w:rPr>
      </w:pPr>
      <w:r>
        <w:rPr>
          <w:rFonts w:ascii="Arial" w:hAnsi="Arial" w:cs="Arial"/>
          <w:sz w:val="20"/>
        </w:rPr>
        <w:tab/>
        <w:t>(b)</w:t>
      </w:r>
      <w:r>
        <w:rPr>
          <w:rFonts w:ascii="Arial" w:hAnsi="Arial" w:cs="Arial"/>
          <w:sz w:val="20"/>
        </w:rPr>
        <w:tab/>
        <w:t>proceed in a manner or make a determination that is inconsistent with the opinion of the Supreme Court on the question of law.</w:t>
      </w:r>
    </w:p>
    <w:p w14:paraId="32011F99" w14:textId="77777777" w:rsidR="00592CF8" w:rsidRDefault="00592CF8" w:rsidP="001F5C49">
      <w:pPr>
        <w:jc w:val="both"/>
        <w:rPr>
          <w:rFonts w:ascii="Arial" w:hAnsi="Arial" w:cs="Arial"/>
          <w:sz w:val="20"/>
        </w:rPr>
      </w:pPr>
      <w:bookmarkStart w:id="1225" w:name="_Hlk69482946"/>
    </w:p>
    <w:p w14:paraId="70260254" w14:textId="77777777" w:rsidR="00592CF8" w:rsidRDefault="00592CF8" w:rsidP="00440B09">
      <w:pPr>
        <w:pStyle w:val="Heading2"/>
        <w:widowControl/>
        <w:tabs>
          <w:tab w:val="left" w:pos="567"/>
        </w:tabs>
        <w:spacing w:line="240" w:lineRule="auto"/>
        <w:rPr>
          <w:rFonts w:ascii="Arial" w:hAnsi="Arial" w:cs="Arial"/>
          <w:b/>
          <w:bCs/>
        </w:rPr>
      </w:pPr>
      <w:bookmarkStart w:id="1226" w:name="_3.12_The_Children’s"/>
      <w:bookmarkEnd w:id="1226"/>
      <w:r>
        <w:rPr>
          <w:rFonts w:ascii="Arial" w:hAnsi="Arial" w:cs="Arial"/>
          <w:b/>
          <w:bCs/>
        </w:rPr>
        <w:t>3.12</w:t>
      </w:r>
      <w:r>
        <w:rPr>
          <w:rFonts w:ascii="Arial" w:hAnsi="Arial" w:cs="Arial"/>
          <w:b/>
          <w:bCs/>
        </w:rPr>
        <w:tab/>
        <w:t>The Children’s Court’s information-sharing role</w:t>
      </w:r>
    </w:p>
    <w:p w14:paraId="7D3430DF" w14:textId="77777777" w:rsidR="00D92E50" w:rsidRDefault="00D92E50" w:rsidP="00440B09">
      <w:pPr>
        <w:rPr>
          <w:rFonts w:ascii="Arial" w:hAnsi="Arial" w:cs="Arial"/>
          <w:sz w:val="20"/>
        </w:rPr>
      </w:pPr>
    </w:p>
    <w:p w14:paraId="5643CBA1" w14:textId="77777777" w:rsidR="003562E8" w:rsidRDefault="003562E8" w:rsidP="00592CF8">
      <w:pPr>
        <w:jc w:val="both"/>
        <w:rPr>
          <w:rFonts w:ascii="Arial" w:hAnsi="Arial" w:cs="Arial"/>
          <w:sz w:val="20"/>
          <w:szCs w:val="20"/>
        </w:rPr>
      </w:pPr>
      <w:r w:rsidRPr="00592CF8">
        <w:rPr>
          <w:rFonts w:ascii="Arial" w:hAnsi="Arial" w:cs="Arial"/>
          <w:sz w:val="20"/>
          <w:szCs w:val="20"/>
        </w:rPr>
        <w:t xml:space="preserve">The Child Information Sharing Scheme (CISS) allows authorised organisations, known as Information Sharing Entities (ISEs), to share information to support child wellbeing or safety without the need </w:t>
      </w:r>
      <w:r>
        <w:rPr>
          <w:rFonts w:ascii="Arial" w:hAnsi="Arial" w:cs="Arial"/>
          <w:sz w:val="20"/>
          <w:szCs w:val="20"/>
        </w:rPr>
        <w:t>to</w:t>
      </w:r>
      <w:r w:rsidRPr="00592CF8">
        <w:rPr>
          <w:rFonts w:ascii="Arial" w:hAnsi="Arial" w:cs="Arial"/>
          <w:sz w:val="20"/>
          <w:szCs w:val="20"/>
        </w:rPr>
        <w:t xml:space="preserve"> seek consent. The CISS explicitly recognises that a child’s safety takes precedence over any individual</w:t>
      </w:r>
      <w:r w:rsidR="002D4885">
        <w:rPr>
          <w:rFonts w:ascii="Arial" w:hAnsi="Arial" w:cs="Arial"/>
          <w:sz w:val="20"/>
          <w:szCs w:val="20"/>
        </w:rPr>
        <w:t>’</w:t>
      </w:r>
      <w:r w:rsidRPr="00592CF8">
        <w:rPr>
          <w:rFonts w:ascii="Arial" w:hAnsi="Arial" w:cs="Arial"/>
          <w:sz w:val="20"/>
          <w:szCs w:val="20"/>
        </w:rPr>
        <w:t>s privacy. It</w:t>
      </w:r>
      <w:r w:rsidR="002D4885">
        <w:rPr>
          <w:rFonts w:ascii="Arial" w:hAnsi="Arial" w:cs="Arial"/>
          <w:sz w:val="20"/>
          <w:szCs w:val="20"/>
        </w:rPr>
        <w:t> </w:t>
      </w:r>
      <w:r w:rsidRPr="00592CF8">
        <w:rPr>
          <w:rFonts w:ascii="Arial" w:hAnsi="Arial" w:cs="Arial"/>
          <w:sz w:val="20"/>
          <w:szCs w:val="20"/>
        </w:rPr>
        <w:t xml:space="preserve">ensures that professionals working with children can gain a </w:t>
      </w:r>
      <w:r w:rsidR="00346213">
        <w:rPr>
          <w:rFonts w:ascii="Arial" w:hAnsi="Arial" w:cs="Arial"/>
          <w:sz w:val="20"/>
          <w:szCs w:val="20"/>
        </w:rPr>
        <w:t xml:space="preserve">more </w:t>
      </w:r>
      <w:r w:rsidRPr="00592CF8">
        <w:rPr>
          <w:rFonts w:ascii="Arial" w:hAnsi="Arial" w:cs="Arial"/>
          <w:sz w:val="20"/>
          <w:szCs w:val="20"/>
        </w:rPr>
        <w:t>complete view of the children they work with, making it easier to identify wellbeing or safety needs earlier, and to act on them sooner.</w:t>
      </w:r>
    </w:p>
    <w:p w14:paraId="01E7B9A2" w14:textId="77777777" w:rsidR="003562E8" w:rsidRDefault="003562E8" w:rsidP="00592CF8">
      <w:pPr>
        <w:jc w:val="both"/>
        <w:rPr>
          <w:rFonts w:ascii="Arial" w:hAnsi="Arial" w:cs="Arial"/>
          <w:sz w:val="20"/>
          <w:szCs w:val="20"/>
        </w:rPr>
      </w:pPr>
    </w:p>
    <w:p w14:paraId="31C91CAC" w14:textId="2FAD2826" w:rsidR="00440B09" w:rsidRDefault="003562E8" w:rsidP="00440B09">
      <w:pPr>
        <w:jc w:val="both"/>
        <w:rPr>
          <w:rFonts w:ascii="Arial" w:hAnsi="Arial" w:cs="Arial"/>
          <w:sz w:val="20"/>
          <w:szCs w:val="20"/>
        </w:rPr>
      </w:pPr>
      <w:r w:rsidRPr="00592CF8">
        <w:rPr>
          <w:rFonts w:ascii="Arial" w:hAnsi="Arial" w:cs="Arial"/>
          <w:sz w:val="20"/>
          <w:szCs w:val="20"/>
        </w:rPr>
        <w:t xml:space="preserve">The CISS </w:t>
      </w:r>
      <w:r w:rsidR="002D4885">
        <w:rPr>
          <w:rFonts w:ascii="Arial" w:hAnsi="Arial" w:cs="Arial"/>
          <w:sz w:val="20"/>
          <w:szCs w:val="20"/>
        </w:rPr>
        <w:t xml:space="preserve">is established under Part 6A of the </w:t>
      </w:r>
      <w:r w:rsidR="002D4885" w:rsidRPr="002D4885">
        <w:rPr>
          <w:rFonts w:ascii="Arial" w:hAnsi="Arial" w:cs="Arial"/>
          <w:i/>
          <w:iCs/>
          <w:sz w:val="20"/>
          <w:szCs w:val="20"/>
        </w:rPr>
        <w:t>Child Wellbeing and Safety Act 2005</w:t>
      </w:r>
      <w:r w:rsidR="00440B09">
        <w:rPr>
          <w:rFonts w:ascii="Arial" w:hAnsi="Arial" w:cs="Arial"/>
          <w:sz w:val="20"/>
          <w:szCs w:val="20"/>
        </w:rPr>
        <w:t xml:space="preserve"> </w:t>
      </w:r>
      <w:r w:rsidR="003D7E6D">
        <w:rPr>
          <w:rFonts w:ascii="Arial" w:hAnsi="Arial" w:cs="Arial"/>
          <w:sz w:val="20"/>
          <w:szCs w:val="20"/>
        </w:rPr>
        <w:t>[‘</w:t>
      </w:r>
      <w:r w:rsidR="006B140A">
        <w:rPr>
          <w:rFonts w:ascii="Arial" w:hAnsi="Arial" w:cs="Arial"/>
          <w:sz w:val="20"/>
          <w:szCs w:val="20"/>
        </w:rPr>
        <w:t>CWSA</w:t>
      </w:r>
      <w:r w:rsidR="003D7E6D">
        <w:rPr>
          <w:rFonts w:ascii="Arial" w:hAnsi="Arial" w:cs="Arial"/>
          <w:sz w:val="20"/>
          <w:szCs w:val="20"/>
        </w:rPr>
        <w:t>’]</w:t>
      </w:r>
      <w:r w:rsidR="006B140A">
        <w:rPr>
          <w:rFonts w:ascii="Arial" w:hAnsi="Arial" w:cs="Arial"/>
          <w:sz w:val="20"/>
          <w:szCs w:val="20"/>
        </w:rPr>
        <w:t xml:space="preserve"> </w:t>
      </w:r>
      <w:r w:rsidR="00440B09">
        <w:rPr>
          <w:rFonts w:ascii="Arial" w:hAnsi="Arial" w:cs="Arial"/>
          <w:sz w:val="20"/>
          <w:szCs w:val="20"/>
        </w:rPr>
        <w:t>which contains the following 6 Divisions:</w:t>
      </w:r>
    </w:p>
    <w:p w14:paraId="0B5DBB65" w14:textId="77777777" w:rsidR="00440B09" w:rsidRPr="006A050F" w:rsidRDefault="00440B09" w:rsidP="00440B09">
      <w:pPr>
        <w:pBdr>
          <w:bottom w:val="single" w:sz="4" w:space="1" w:color="auto"/>
        </w:pBdr>
        <w:rPr>
          <w:rFonts w:ascii="Arial" w:hAnsi="Arial" w:cs="Arial"/>
          <w:color w:val="000000"/>
          <w:sz w:val="16"/>
        </w:rPr>
      </w:pPr>
    </w:p>
    <w:tbl>
      <w:tblPr>
        <w:tblW w:w="9161"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1304"/>
        <w:gridCol w:w="6746"/>
      </w:tblGrid>
      <w:tr w:rsidR="00440B09" w:rsidRPr="0099478A" w14:paraId="3B839051" w14:textId="77777777" w:rsidTr="00193DD0">
        <w:tc>
          <w:tcPr>
            <w:tcW w:w="1111" w:type="dxa"/>
            <w:shd w:val="clear" w:color="auto" w:fill="DDDDDD"/>
          </w:tcPr>
          <w:p w14:paraId="25EAD20F"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DIVISION</w:t>
            </w:r>
          </w:p>
        </w:tc>
        <w:tc>
          <w:tcPr>
            <w:tcW w:w="1304" w:type="dxa"/>
            <w:shd w:val="clear" w:color="auto" w:fill="DDDDDD"/>
          </w:tcPr>
          <w:p w14:paraId="3C893E0D"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SECTIONS</w:t>
            </w:r>
          </w:p>
        </w:tc>
        <w:tc>
          <w:tcPr>
            <w:tcW w:w="6746" w:type="dxa"/>
            <w:shd w:val="clear" w:color="auto" w:fill="DDDDDD"/>
          </w:tcPr>
          <w:p w14:paraId="781E3FD4"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440B09" w:rsidRPr="0099478A" w14:paraId="5012CDC8" w14:textId="77777777" w:rsidTr="00193DD0">
        <w:tc>
          <w:tcPr>
            <w:tcW w:w="1111" w:type="dxa"/>
          </w:tcPr>
          <w:p w14:paraId="41444745"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1</w:t>
            </w:r>
          </w:p>
        </w:tc>
        <w:tc>
          <w:tcPr>
            <w:tcW w:w="1304" w:type="dxa"/>
          </w:tcPr>
          <w:p w14:paraId="736F05B8" w14:textId="77777777" w:rsidR="00440B09" w:rsidRPr="0099478A" w:rsidRDefault="00440B09" w:rsidP="003D1974">
            <w:pPr>
              <w:jc w:val="center"/>
              <w:rPr>
                <w:rFonts w:ascii="Arial" w:hAnsi="Arial" w:cs="Arial"/>
                <w:b/>
                <w:bCs/>
                <w:color w:val="000000"/>
                <w:sz w:val="20"/>
                <w:szCs w:val="32"/>
              </w:rPr>
            </w:pPr>
            <w:r>
              <w:rPr>
                <w:rFonts w:ascii="Arial" w:hAnsi="Arial" w:cs="Arial"/>
                <w:b/>
                <w:bCs/>
                <w:color w:val="000000"/>
                <w:sz w:val="20"/>
                <w:szCs w:val="32"/>
              </w:rPr>
              <w:t>41P-41U</w:t>
            </w:r>
          </w:p>
        </w:tc>
        <w:tc>
          <w:tcPr>
            <w:tcW w:w="6746" w:type="dxa"/>
          </w:tcPr>
          <w:p w14:paraId="053B5404" w14:textId="77777777" w:rsidR="00440B09" w:rsidRPr="0099478A" w:rsidRDefault="00440B09" w:rsidP="003D1974">
            <w:pPr>
              <w:jc w:val="both"/>
              <w:rPr>
                <w:rFonts w:ascii="Arial" w:hAnsi="Arial" w:cs="Arial"/>
                <w:color w:val="000000"/>
                <w:sz w:val="20"/>
                <w:szCs w:val="32"/>
              </w:rPr>
            </w:pPr>
            <w:r w:rsidRPr="0099478A">
              <w:rPr>
                <w:rFonts w:ascii="Arial" w:hAnsi="Arial" w:cs="Arial"/>
                <w:color w:val="000000"/>
                <w:sz w:val="20"/>
                <w:szCs w:val="32"/>
              </w:rPr>
              <w:t xml:space="preserve">Definitions &amp; meanings, application </w:t>
            </w:r>
            <w:r w:rsidR="00193DD0">
              <w:rPr>
                <w:rFonts w:ascii="Arial" w:hAnsi="Arial" w:cs="Arial"/>
                <w:color w:val="000000"/>
                <w:sz w:val="20"/>
                <w:szCs w:val="32"/>
              </w:rPr>
              <w:t>to courts and tribunals</w:t>
            </w:r>
            <w:r w:rsidRPr="0099478A">
              <w:rPr>
                <w:rFonts w:ascii="Arial" w:hAnsi="Arial" w:cs="Arial"/>
                <w:color w:val="000000"/>
                <w:sz w:val="20"/>
                <w:szCs w:val="32"/>
              </w:rPr>
              <w:t xml:space="preserve"> </w:t>
            </w:r>
            <w:r w:rsidR="00193DD0">
              <w:rPr>
                <w:rFonts w:ascii="Arial" w:hAnsi="Arial" w:cs="Arial"/>
                <w:color w:val="000000"/>
                <w:sz w:val="20"/>
                <w:szCs w:val="32"/>
              </w:rPr>
              <w:t>&amp;</w:t>
            </w:r>
            <w:r w:rsidRPr="0099478A">
              <w:rPr>
                <w:rFonts w:ascii="Arial" w:hAnsi="Arial" w:cs="Arial"/>
                <w:color w:val="000000"/>
                <w:sz w:val="20"/>
                <w:szCs w:val="32"/>
              </w:rPr>
              <w:t xml:space="preserve"> principles</w:t>
            </w:r>
          </w:p>
        </w:tc>
      </w:tr>
      <w:tr w:rsidR="00440B09" w:rsidRPr="0099478A" w14:paraId="4D79994F" w14:textId="77777777" w:rsidTr="00193DD0">
        <w:tc>
          <w:tcPr>
            <w:tcW w:w="1111" w:type="dxa"/>
          </w:tcPr>
          <w:p w14:paraId="7C6D5190"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2</w:t>
            </w:r>
          </w:p>
        </w:tc>
        <w:tc>
          <w:tcPr>
            <w:tcW w:w="1304" w:type="dxa"/>
          </w:tcPr>
          <w:p w14:paraId="08DEEE56"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41V-41Z</w:t>
            </w:r>
          </w:p>
        </w:tc>
        <w:tc>
          <w:tcPr>
            <w:tcW w:w="6746" w:type="dxa"/>
          </w:tcPr>
          <w:p w14:paraId="6B6A17CE" w14:textId="77777777" w:rsidR="00193DD0"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INFORMATION SHARING</w:t>
            </w:r>
          </w:p>
          <w:p w14:paraId="60202D60" w14:textId="77777777" w:rsidR="00440B09" w:rsidRPr="0099478A" w:rsidRDefault="00193DD0" w:rsidP="003D1974">
            <w:pPr>
              <w:jc w:val="both"/>
              <w:rPr>
                <w:rFonts w:ascii="Arial" w:hAnsi="Arial" w:cs="Arial"/>
                <w:color w:val="000000"/>
                <w:sz w:val="20"/>
                <w:szCs w:val="32"/>
              </w:rPr>
            </w:pPr>
            <w:r>
              <w:rPr>
                <w:rFonts w:ascii="Arial" w:hAnsi="Arial" w:cs="Arial"/>
                <w:color w:val="000000"/>
                <w:sz w:val="20"/>
                <w:szCs w:val="32"/>
              </w:rPr>
              <w:t>Voluntary disclosure, request for information, further disclosure of information &amp; collection and use of confidential information</w:t>
            </w:r>
          </w:p>
        </w:tc>
      </w:tr>
      <w:tr w:rsidR="00440B09" w:rsidRPr="0099478A" w14:paraId="445C8BD0" w14:textId="77777777" w:rsidTr="00193DD0">
        <w:tc>
          <w:tcPr>
            <w:tcW w:w="1111" w:type="dxa"/>
          </w:tcPr>
          <w:p w14:paraId="4CFB58F2"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3</w:t>
            </w:r>
          </w:p>
        </w:tc>
        <w:tc>
          <w:tcPr>
            <w:tcW w:w="1304" w:type="dxa"/>
          </w:tcPr>
          <w:p w14:paraId="61900F4F"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41ZA-41ZC</w:t>
            </w:r>
          </w:p>
        </w:tc>
        <w:tc>
          <w:tcPr>
            <w:tcW w:w="6746" w:type="dxa"/>
          </w:tcPr>
          <w:p w14:paraId="6EA829E8" w14:textId="77777777" w:rsidR="00440B09" w:rsidRPr="00193DD0" w:rsidRDefault="00193DD0" w:rsidP="00193DD0">
            <w:pPr>
              <w:jc w:val="center"/>
              <w:rPr>
                <w:rFonts w:ascii="Arial" w:hAnsi="Arial" w:cs="Arial"/>
                <w:b/>
                <w:bCs/>
                <w:color w:val="000000"/>
                <w:sz w:val="16"/>
              </w:rPr>
            </w:pPr>
            <w:r w:rsidRPr="00193DD0">
              <w:rPr>
                <w:rFonts w:ascii="Arial" w:hAnsi="Arial" w:cs="Arial"/>
                <w:b/>
                <w:bCs/>
                <w:noProof/>
                <w:sz w:val="20"/>
                <w:szCs w:val="20"/>
              </w:rPr>
              <w:t xml:space="preserve">GUIDELINES, PROTECTED DISCLOSURES </w:t>
            </w:r>
            <w:r>
              <w:rPr>
                <w:rFonts w:ascii="Arial" w:hAnsi="Arial" w:cs="Arial"/>
                <w:b/>
                <w:bCs/>
                <w:noProof/>
                <w:sz w:val="20"/>
                <w:szCs w:val="20"/>
              </w:rPr>
              <w:t>AND</w:t>
            </w:r>
            <w:r w:rsidRPr="00193DD0">
              <w:rPr>
                <w:rFonts w:ascii="Arial" w:hAnsi="Arial" w:cs="Arial"/>
                <w:b/>
                <w:bCs/>
                <w:noProof/>
                <w:sz w:val="20"/>
                <w:szCs w:val="20"/>
              </w:rPr>
              <w:t xml:space="preserve"> RECORDING</w:t>
            </w:r>
            <w:r>
              <w:rPr>
                <w:rFonts w:ascii="Arial" w:hAnsi="Arial" w:cs="Arial"/>
                <w:b/>
                <w:bCs/>
                <w:noProof/>
                <w:sz w:val="20"/>
                <w:szCs w:val="20"/>
              </w:rPr>
              <w:t> </w:t>
            </w:r>
            <w:r w:rsidRPr="00193DD0">
              <w:rPr>
                <w:rFonts w:ascii="Arial" w:hAnsi="Arial" w:cs="Arial"/>
                <w:b/>
                <w:bCs/>
                <w:noProof/>
                <w:sz w:val="20"/>
                <w:szCs w:val="20"/>
              </w:rPr>
              <w:t>REQUIREMENTS</w:t>
            </w:r>
          </w:p>
        </w:tc>
      </w:tr>
      <w:tr w:rsidR="00440B09" w:rsidRPr="0099478A" w14:paraId="082ABB04" w14:textId="77777777" w:rsidTr="00193DD0">
        <w:tc>
          <w:tcPr>
            <w:tcW w:w="1111" w:type="dxa"/>
          </w:tcPr>
          <w:p w14:paraId="2D6C7F02"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4</w:t>
            </w:r>
          </w:p>
        </w:tc>
        <w:tc>
          <w:tcPr>
            <w:tcW w:w="1304" w:type="dxa"/>
          </w:tcPr>
          <w:p w14:paraId="36513E67"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41ZD-41ZJ</w:t>
            </w:r>
          </w:p>
        </w:tc>
        <w:tc>
          <w:tcPr>
            <w:tcW w:w="6746" w:type="dxa"/>
          </w:tcPr>
          <w:p w14:paraId="65D3C49D" w14:textId="77777777" w:rsidR="00440B09"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RELATIONSHIP OF PART 6A WITH OTHER ACTS</w:t>
            </w:r>
          </w:p>
        </w:tc>
      </w:tr>
      <w:tr w:rsidR="00440B09" w:rsidRPr="0099478A" w14:paraId="26CA3065" w14:textId="77777777" w:rsidTr="00873D30">
        <w:tc>
          <w:tcPr>
            <w:tcW w:w="1111" w:type="dxa"/>
            <w:tcBorders>
              <w:bottom w:val="single" w:sz="12" w:space="0" w:color="auto"/>
            </w:tcBorders>
          </w:tcPr>
          <w:p w14:paraId="6A554538"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5</w:t>
            </w:r>
          </w:p>
        </w:tc>
        <w:tc>
          <w:tcPr>
            <w:tcW w:w="1304" w:type="dxa"/>
            <w:tcBorders>
              <w:bottom w:val="single" w:sz="12" w:space="0" w:color="auto"/>
            </w:tcBorders>
          </w:tcPr>
          <w:p w14:paraId="644D5B18"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41ZK-41ZM</w:t>
            </w:r>
          </w:p>
        </w:tc>
        <w:tc>
          <w:tcPr>
            <w:tcW w:w="6746" w:type="dxa"/>
            <w:tcBorders>
              <w:bottom w:val="single" w:sz="12" w:space="0" w:color="auto"/>
            </w:tcBorders>
          </w:tcPr>
          <w:p w14:paraId="06AC9B30" w14:textId="77777777" w:rsidR="00440B09"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OFFENCES</w:t>
            </w:r>
          </w:p>
        </w:tc>
      </w:tr>
      <w:tr w:rsidR="00440B09" w:rsidRPr="0099478A" w14:paraId="51044C65" w14:textId="77777777" w:rsidTr="00193DD0">
        <w:tc>
          <w:tcPr>
            <w:tcW w:w="1111" w:type="dxa"/>
          </w:tcPr>
          <w:p w14:paraId="35AF4FC2"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6</w:t>
            </w:r>
          </w:p>
        </w:tc>
        <w:tc>
          <w:tcPr>
            <w:tcW w:w="1304" w:type="dxa"/>
          </w:tcPr>
          <w:p w14:paraId="2193A0BE"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41ZN-41ZO</w:t>
            </w:r>
          </w:p>
        </w:tc>
        <w:tc>
          <w:tcPr>
            <w:tcW w:w="6746" w:type="dxa"/>
          </w:tcPr>
          <w:p w14:paraId="378A55A4" w14:textId="77777777" w:rsidR="00440B09"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REVIEW OF OPERATION OF PART 6A</w:t>
            </w:r>
          </w:p>
        </w:tc>
      </w:tr>
    </w:tbl>
    <w:p w14:paraId="2CF39409" w14:textId="77777777" w:rsidR="00346213" w:rsidRDefault="00346213" w:rsidP="00346213">
      <w:pPr>
        <w:jc w:val="both"/>
        <w:rPr>
          <w:rFonts w:ascii="Arial" w:hAnsi="Arial" w:cs="Arial"/>
          <w:sz w:val="20"/>
          <w:szCs w:val="20"/>
        </w:rPr>
      </w:pPr>
    </w:p>
    <w:p w14:paraId="1782F2D7" w14:textId="439A4CA5" w:rsidR="00346213" w:rsidRPr="002C528F" w:rsidRDefault="00346213" w:rsidP="00346213">
      <w:pPr>
        <w:shd w:val="clear" w:color="auto" w:fill="000000"/>
        <w:jc w:val="both"/>
        <w:rPr>
          <w:rFonts w:ascii="Arial" w:hAnsi="Arial" w:cs="Arial"/>
          <w:b/>
          <w:bCs/>
          <w:sz w:val="20"/>
          <w:szCs w:val="20"/>
        </w:rPr>
      </w:pPr>
      <w:r w:rsidRPr="002C528F">
        <w:rPr>
          <w:rFonts w:ascii="Arial" w:hAnsi="Arial" w:cs="Arial"/>
          <w:b/>
          <w:bCs/>
          <w:sz w:val="20"/>
          <w:szCs w:val="20"/>
        </w:rPr>
        <w:t xml:space="preserve">The </w:t>
      </w:r>
      <w:r>
        <w:rPr>
          <w:rFonts w:ascii="Arial" w:hAnsi="Arial" w:cs="Arial"/>
          <w:b/>
          <w:bCs/>
          <w:sz w:val="20"/>
          <w:szCs w:val="20"/>
        </w:rPr>
        <w:t xml:space="preserve">CISS operates in parallel with the Family Violence Information Sharing Scheme (FVISS) which is established under Parts 5A &amp; 5B (ss.144A to 144SA &amp; 144SB to 144SG) of the </w:t>
      </w:r>
      <w:r w:rsidRPr="00FD79D9">
        <w:rPr>
          <w:rFonts w:ascii="Arial" w:hAnsi="Arial" w:cs="Arial"/>
          <w:b/>
          <w:bCs/>
          <w:i/>
          <w:iCs/>
          <w:sz w:val="20"/>
          <w:szCs w:val="20"/>
        </w:rPr>
        <w:t>Family Violence Protection Act 2008</w:t>
      </w:r>
      <w:r>
        <w:rPr>
          <w:rFonts w:ascii="Arial" w:hAnsi="Arial" w:cs="Arial"/>
          <w:b/>
          <w:bCs/>
          <w:sz w:val="20"/>
          <w:szCs w:val="20"/>
        </w:rPr>
        <w:t xml:space="preserve"> (FVPA).  Where an ISE is prescribed as an ISE under the CISS and also the FVISS, the ISE may collect, use or disclose confidential information either </w:t>
      </w:r>
      <w:r w:rsidR="00903840">
        <w:rPr>
          <w:rFonts w:ascii="Arial" w:hAnsi="Arial" w:cs="Arial"/>
          <w:b/>
          <w:bCs/>
          <w:sz w:val="20"/>
          <w:szCs w:val="20"/>
        </w:rPr>
        <w:t>under and in accordance with</w:t>
      </w:r>
      <w:r>
        <w:rPr>
          <w:rFonts w:ascii="Arial" w:hAnsi="Arial" w:cs="Arial"/>
          <w:b/>
          <w:bCs/>
          <w:sz w:val="20"/>
          <w:szCs w:val="20"/>
        </w:rPr>
        <w:t xml:space="preserve"> Part 5A of the FVPA or Part 6A of the CWSA: see s.41ZD of the CWSA. For further details of the FVISS see </w:t>
      </w:r>
      <w:r w:rsidR="004B696B">
        <w:rPr>
          <w:rFonts w:ascii="Arial" w:hAnsi="Arial" w:cs="Arial"/>
          <w:b/>
          <w:bCs/>
          <w:sz w:val="20"/>
          <w:szCs w:val="20"/>
          <w:shd w:val="clear" w:color="auto" w:fill="C5E0B3"/>
        </w:rPr>
        <w:t>Part</w:t>
      </w:r>
      <w:r w:rsidRPr="00395B17">
        <w:rPr>
          <w:rFonts w:ascii="Arial" w:hAnsi="Arial" w:cs="Arial"/>
          <w:b/>
          <w:bCs/>
          <w:sz w:val="20"/>
          <w:szCs w:val="20"/>
          <w:shd w:val="clear" w:color="auto" w:fill="C5E0B3"/>
        </w:rPr>
        <w:t xml:space="preserve"> 6FV.15</w:t>
      </w:r>
      <w:r w:rsidR="00080BC8">
        <w:rPr>
          <w:rFonts w:ascii="Arial" w:hAnsi="Arial" w:cs="Arial"/>
          <w:b/>
          <w:bCs/>
          <w:sz w:val="20"/>
          <w:szCs w:val="20"/>
        </w:rPr>
        <w:t xml:space="preserve"> of these Research Materials</w:t>
      </w:r>
      <w:r>
        <w:rPr>
          <w:rFonts w:ascii="Arial" w:hAnsi="Arial" w:cs="Arial"/>
          <w:b/>
          <w:bCs/>
          <w:sz w:val="20"/>
          <w:szCs w:val="20"/>
        </w:rPr>
        <w:t>.</w:t>
      </w:r>
    </w:p>
    <w:p w14:paraId="15AAE638" w14:textId="77777777" w:rsidR="00FD79D9" w:rsidRDefault="00FD79D9" w:rsidP="00FD79D9">
      <w:pPr>
        <w:jc w:val="both"/>
        <w:rPr>
          <w:rFonts w:ascii="Arial" w:hAnsi="Arial" w:cs="Arial"/>
          <w:sz w:val="20"/>
          <w:szCs w:val="20"/>
        </w:rPr>
      </w:pPr>
    </w:p>
    <w:p w14:paraId="584EAA17" w14:textId="77777777" w:rsidR="00FD79D9" w:rsidRPr="00762B31" w:rsidRDefault="00FD79D9" w:rsidP="00FD79D9">
      <w:pPr>
        <w:jc w:val="both"/>
        <w:rPr>
          <w:rFonts w:ascii="Arial" w:hAnsi="Arial" w:cs="Arial"/>
          <w:sz w:val="20"/>
          <w:szCs w:val="20"/>
          <w:lang w:val="en-GB"/>
        </w:rPr>
      </w:pPr>
      <w:r>
        <w:rPr>
          <w:rFonts w:ascii="Arial" w:hAnsi="Arial" w:cs="Arial"/>
          <w:sz w:val="20"/>
          <w:szCs w:val="20"/>
        </w:rPr>
        <w:t>Secrecy and confidentiality provisions in other laws continue to apply unless they have been expressly overridden for the purposes of the CISS (see Division 4, Part 6A CWSA). This mirrors the approach taken in the FVISS. For example, reports prepared by the Children’s Court Clinic remain subject to the relevant confidentiality provisions in the CYFA, FVPA and PSIO Act.</w:t>
      </w:r>
    </w:p>
    <w:p w14:paraId="5CE01396" w14:textId="77777777" w:rsidR="00440B09" w:rsidRPr="00A05824" w:rsidRDefault="00440B09" w:rsidP="00440B09">
      <w:pPr>
        <w:pStyle w:val="Heading2"/>
        <w:spacing w:line="240" w:lineRule="auto"/>
        <w:rPr>
          <w:rFonts w:ascii="Arial" w:hAnsi="Arial" w:cs="Arial"/>
          <w:color w:val="000000"/>
          <w:sz w:val="20"/>
          <w:szCs w:val="16"/>
        </w:rPr>
      </w:pPr>
    </w:p>
    <w:p w14:paraId="1B5C5C87" w14:textId="7FF09704" w:rsidR="00FD79D9" w:rsidRDefault="00440B09" w:rsidP="007D10ED">
      <w:pPr>
        <w:jc w:val="both"/>
        <w:rPr>
          <w:rFonts w:ascii="Arial" w:hAnsi="Arial" w:cs="Arial"/>
          <w:sz w:val="20"/>
          <w:szCs w:val="20"/>
        </w:rPr>
      </w:pPr>
      <w:r>
        <w:rPr>
          <w:rFonts w:ascii="Arial" w:hAnsi="Arial" w:cs="Arial"/>
          <w:sz w:val="20"/>
          <w:szCs w:val="20"/>
        </w:rPr>
        <w:t>The CISS</w:t>
      </w:r>
      <w:r w:rsidR="002D4885">
        <w:rPr>
          <w:rFonts w:ascii="Arial" w:hAnsi="Arial" w:cs="Arial"/>
          <w:sz w:val="20"/>
          <w:szCs w:val="20"/>
        </w:rPr>
        <w:t xml:space="preserve"> </w:t>
      </w:r>
      <w:r w:rsidR="003562E8" w:rsidRPr="00592CF8">
        <w:rPr>
          <w:rFonts w:ascii="Arial" w:hAnsi="Arial" w:cs="Arial"/>
          <w:sz w:val="20"/>
          <w:szCs w:val="20"/>
        </w:rPr>
        <w:t xml:space="preserve">applies to all Victorian children and young people up to the age of 18 years. </w:t>
      </w:r>
      <w:r w:rsidR="003562E8">
        <w:rPr>
          <w:rFonts w:ascii="Arial" w:hAnsi="Arial" w:cs="Arial"/>
          <w:sz w:val="20"/>
          <w:szCs w:val="20"/>
        </w:rPr>
        <w:t xml:space="preserve"> The Children’s Court (C</w:t>
      </w:r>
      <w:r w:rsidR="009D0ACC">
        <w:rPr>
          <w:rFonts w:ascii="Arial" w:hAnsi="Arial" w:cs="Arial"/>
          <w:sz w:val="20"/>
          <w:szCs w:val="20"/>
        </w:rPr>
        <w:t>h</w:t>
      </w:r>
      <w:r w:rsidR="003562E8">
        <w:rPr>
          <w:rFonts w:ascii="Arial" w:hAnsi="Arial" w:cs="Arial"/>
          <w:sz w:val="20"/>
          <w:szCs w:val="20"/>
        </w:rPr>
        <w:t xml:space="preserve">CV) and the Magistrates’ Court (MCV) </w:t>
      </w:r>
      <w:r w:rsidR="00424B8F">
        <w:rPr>
          <w:rFonts w:ascii="Arial" w:hAnsi="Arial" w:cs="Arial"/>
          <w:sz w:val="20"/>
          <w:szCs w:val="20"/>
        </w:rPr>
        <w:t xml:space="preserve">– together with a number of other organisations – </w:t>
      </w:r>
      <w:r w:rsidR="003562E8" w:rsidRPr="00592CF8">
        <w:rPr>
          <w:rFonts w:ascii="Arial" w:hAnsi="Arial" w:cs="Arial"/>
          <w:sz w:val="20"/>
          <w:szCs w:val="20"/>
        </w:rPr>
        <w:t>are</w:t>
      </w:r>
      <w:r w:rsidR="00424B8F">
        <w:rPr>
          <w:rFonts w:ascii="Arial" w:hAnsi="Arial" w:cs="Arial"/>
          <w:sz w:val="20"/>
          <w:szCs w:val="20"/>
        </w:rPr>
        <w:t xml:space="preserve"> </w:t>
      </w:r>
      <w:r w:rsidR="003562E8" w:rsidRPr="00592CF8">
        <w:rPr>
          <w:rFonts w:ascii="Arial" w:hAnsi="Arial" w:cs="Arial"/>
          <w:sz w:val="20"/>
          <w:szCs w:val="20"/>
        </w:rPr>
        <w:t xml:space="preserve">prescribed as ISEs under the </w:t>
      </w:r>
      <w:r w:rsidR="003562E8" w:rsidRPr="003562E8">
        <w:rPr>
          <w:rFonts w:ascii="Arial" w:hAnsi="Arial" w:cs="Arial"/>
          <w:i/>
          <w:iCs/>
          <w:sz w:val="20"/>
          <w:szCs w:val="20"/>
        </w:rPr>
        <w:t>Child Wellbeing and Safety (Information Sharing) Amendment Regulations 2021</w:t>
      </w:r>
      <w:r w:rsidR="003562E8">
        <w:rPr>
          <w:rFonts w:ascii="Arial" w:hAnsi="Arial" w:cs="Arial"/>
          <w:sz w:val="20"/>
          <w:szCs w:val="20"/>
        </w:rPr>
        <w:t>.</w:t>
      </w:r>
      <w:r w:rsidR="00903840">
        <w:rPr>
          <w:rFonts w:ascii="Arial" w:hAnsi="Arial" w:cs="Arial"/>
          <w:sz w:val="20"/>
          <w:szCs w:val="20"/>
        </w:rPr>
        <w:t xml:space="preserve">  DFFH is also a prescribed ISE under both the CISS and the FVISS.</w:t>
      </w:r>
    </w:p>
    <w:p w14:paraId="41566442" w14:textId="77777777" w:rsidR="00FD79D9" w:rsidRDefault="00FD79D9" w:rsidP="007D10ED">
      <w:pPr>
        <w:jc w:val="both"/>
        <w:rPr>
          <w:rFonts w:ascii="Arial" w:hAnsi="Arial" w:cs="Arial"/>
          <w:sz w:val="20"/>
          <w:szCs w:val="20"/>
        </w:rPr>
      </w:pPr>
    </w:p>
    <w:p w14:paraId="2A51212D" w14:textId="77777777" w:rsidR="007D10ED" w:rsidRDefault="00436D06" w:rsidP="007D10ED">
      <w:pPr>
        <w:jc w:val="both"/>
        <w:rPr>
          <w:rFonts w:ascii="Arial" w:hAnsi="Arial" w:cs="Arial"/>
          <w:sz w:val="20"/>
          <w:szCs w:val="20"/>
        </w:rPr>
      </w:pPr>
      <w:r>
        <w:rPr>
          <w:rFonts w:ascii="Arial" w:hAnsi="Arial" w:cs="Arial"/>
          <w:sz w:val="20"/>
          <w:szCs w:val="20"/>
        </w:rPr>
        <w:t>However, i</w:t>
      </w:r>
      <w:r w:rsidR="007D10ED">
        <w:rPr>
          <w:rFonts w:ascii="Arial" w:hAnsi="Arial" w:cs="Arial"/>
          <w:sz w:val="20"/>
          <w:szCs w:val="20"/>
        </w:rPr>
        <w:t xml:space="preserve">t is important to note that the operation of Part 6A CWSA is narrower in relation to, or for the purposes of, the judicial or quasi-judicial functions of courts and tribunals than it is for </w:t>
      </w:r>
      <w:r w:rsidR="007D10ED" w:rsidRPr="00DB71AA">
        <w:rPr>
          <w:rFonts w:ascii="Arial" w:hAnsi="Arial" w:cs="Arial"/>
          <w:color w:val="000000"/>
          <w:sz w:val="20"/>
          <w:szCs w:val="20"/>
        </w:rPr>
        <w:t>government/statutory agencies prescribed as ISEs</w:t>
      </w:r>
      <w:r w:rsidR="007D10ED">
        <w:rPr>
          <w:rFonts w:ascii="Arial" w:hAnsi="Arial" w:cs="Arial"/>
          <w:color w:val="000000"/>
          <w:sz w:val="20"/>
          <w:szCs w:val="20"/>
        </w:rPr>
        <w:t xml:space="preserve"> </w:t>
      </w:r>
      <w:r w:rsidR="007D10ED" w:rsidRPr="00DB71AA">
        <w:rPr>
          <w:rFonts w:ascii="Arial" w:hAnsi="Arial" w:cs="Arial"/>
          <w:sz w:val="20"/>
          <w:szCs w:val="20"/>
        </w:rPr>
        <w:t xml:space="preserve">generally: see </w:t>
      </w:r>
      <w:r w:rsidR="007D10ED" w:rsidRPr="00DB71AA">
        <w:rPr>
          <w:rFonts w:ascii="Arial" w:hAnsi="Arial" w:cs="Arial"/>
          <w:b/>
          <w:bCs/>
          <w:sz w:val="20"/>
          <w:szCs w:val="20"/>
          <w:shd w:val="clear" w:color="auto" w:fill="000000"/>
        </w:rPr>
        <w:t>s.41T</w:t>
      </w:r>
      <w:r w:rsidR="007D10ED" w:rsidRPr="00DB71AA">
        <w:rPr>
          <w:rFonts w:ascii="Arial" w:hAnsi="Arial" w:cs="Arial"/>
          <w:sz w:val="20"/>
          <w:szCs w:val="20"/>
        </w:rPr>
        <w:t xml:space="preserve"> CWSA which provides</w:t>
      </w:r>
      <w:r w:rsidR="007D10ED">
        <w:rPr>
          <w:rFonts w:ascii="Arial" w:hAnsi="Arial" w:cs="Arial"/>
          <w:sz w:val="20"/>
          <w:szCs w:val="20"/>
        </w:rPr>
        <w:t>:</w:t>
      </w:r>
    </w:p>
    <w:p w14:paraId="05729617" w14:textId="77777777" w:rsidR="007D10ED" w:rsidRPr="00B46865" w:rsidRDefault="007D10ED" w:rsidP="007D10ED">
      <w:pPr>
        <w:pStyle w:val="BodySectionSub"/>
        <w:ind w:left="454" w:right="454"/>
        <w:jc w:val="both"/>
        <w:rPr>
          <w:rFonts w:ascii="Arial" w:hAnsi="Arial" w:cs="Arial"/>
          <w:sz w:val="20"/>
          <w:szCs w:val="16"/>
        </w:rPr>
      </w:pPr>
      <w:r>
        <w:rPr>
          <w:rFonts w:ascii="Arial" w:hAnsi="Arial" w:cs="Arial"/>
          <w:sz w:val="20"/>
          <w:szCs w:val="16"/>
        </w:rPr>
        <w:t>“</w:t>
      </w:r>
      <w:r w:rsidRPr="00B46865">
        <w:rPr>
          <w:rFonts w:ascii="Arial" w:hAnsi="Arial" w:cs="Arial"/>
          <w:sz w:val="20"/>
          <w:szCs w:val="16"/>
        </w:rPr>
        <w:t>If any of the following persons or bodies are prescribed to be information sharing entities or restricted information sharing entities, nothing in this Part applies to the collection, use or disclosure of confidential information by those persons or bodies in relation to, or for the purposes of, their judicial or quasi</w:t>
      </w:r>
      <w:r w:rsidRPr="00B46865">
        <w:rPr>
          <w:rFonts w:ascii="Arial" w:hAnsi="Arial" w:cs="Arial"/>
          <w:sz w:val="20"/>
          <w:szCs w:val="16"/>
        </w:rPr>
        <w:noBreakHyphen/>
        <w:t>judicial functions—</w:t>
      </w:r>
    </w:p>
    <w:p w14:paraId="17F4A28F"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lastRenderedPageBreak/>
        <w:t>(a)</w:t>
      </w:r>
      <w:r w:rsidRPr="00B46865">
        <w:rPr>
          <w:rFonts w:ascii="Arial" w:hAnsi="Arial" w:cs="Arial"/>
          <w:sz w:val="20"/>
          <w:szCs w:val="16"/>
        </w:rPr>
        <w:tab/>
        <w:t xml:space="preserve">a court or tribunal; </w:t>
      </w:r>
    </w:p>
    <w:p w14:paraId="1F0D1640"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t>(b)</w:t>
      </w:r>
      <w:r w:rsidRPr="00B46865">
        <w:rPr>
          <w:rFonts w:ascii="Arial" w:hAnsi="Arial" w:cs="Arial"/>
          <w:sz w:val="20"/>
          <w:szCs w:val="16"/>
        </w:rPr>
        <w:tab/>
        <w:t>the holder of a judicial or quasi-judicial office or other office pertaining to a court or tribunal in their capacity as the holder of that office;</w:t>
      </w:r>
    </w:p>
    <w:p w14:paraId="541B67F8"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t>(c)</w:t>
      </w:r>
      <w:r w:rsidRPr="00B46865">
        <w:rPr>
          <w:rFonts w:ascii="Arial" w:hAnsi="Arial" w:cs="Arial"/>
          <w:sz w:val="20"/>
          <w:szCs w:val="16"/>
        </w:rPr>
        <w:tab/>
        <w:t xml:space="preserve">a registry or other office of a court or tribunal; </w:t>
      </w:r>
    </w:p>
    <w:p w14:paraId="3A708350"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t>(d)</w:t>
      </w:r>
      <w:r w:rsidRPr="00B46865">
        <w:rPr>
          <w:rFonts w:ascii="Arial" w:hAnsi="Arial" w:cs="Arial"/>
          <w:sz w:val="20"/>
          <w:szCs w:val="16"/>
        </w:rPr>
        <w:tab/>
        <w:t>the staff of such a registry or other office in their capacity as members of that staff.</w:t>
      </w:r>
      <w:r>
        <w:rPr>
          <w:rFonts w:ascii="Arial" w:hAnsi="Arial" w:cs="Arial"/>
          <w:sz w:val="20"/>
          <w:szCs w:val="16"/>
        </w:rPr>
        <w:t>”</w:t>
      </w:r>
    </w:p>
    <w:p w14:paraId="096A7553" w14:textId="77777777" w:rsidR="007D10ED" w:rsidRDefault="007D10ED" w:rsidP="00592CF8">
      <w:pPr>
        <w:jc w:val="both"/>
        <w:rPr>
          <w:rFonts w:ascii="Arial" w:hAnsi="Arial" w:cs="Arial"/>
          <w:sz w:val="20"/>
          <w:szCs w:val="20"/>
        </w:rPr>
      </w:pPr>
    </w:p>
    <w:p w14:paraId="54239BC9" w14:textId="0B790368" w:rsidR="007D10ED" w:rsidRDefault="003562E8" w:rsidP="00592CF8">
      <w:pPr>
        <w:jc w:val="both"/>
        <w:rPr>
          <w:rFonts w:ascii="Arial" w:hAnsi="Arial" w:cs="Arial"/>
          <w:sz w:val="20"/>
          <w:szCs w:val="20"/>
        </w:rPr>
      </w:pPr>
      <w:r>
        <w:rPr>
          <w:rFonts w:ascii="Arial" w:hAnsi="Arial" w:cs="Arial"/>
          <w:sz w:val="20"/>
          <w:szCs w:val="20"/>
        </w:rPr>
        <w:t xml:space="preserve">Under the CISS </w:t>
      </w:r>
      <w:r w:rsidR="00903840">
        <w:rPr>
          <w:rFonts w:ascii="Arial" w:hAnsi="Arial" w:cs="Arial"/>
          <w:sz w:val="20"/>
          <w:szCs w:val="20"/>
        </w:rPr>
        <w:t xml:space="preserve">and the FVISS </w:t>
      </w:r>
      <w:r>
        <w:rPr>
          <w:rFonts w:ascii="Arial" w:hAnsi="Arial" w:cs="Arial"/>
          <w:sz w:val="20"/>
          <w:szCs w:val="20"/>
        </w:rPr>
        <w:t>the C</w:t>
      </w:r>
      <w:r w:rsidR="009D0ACC">
        <w:rPr>
          <w:rFonts w:ascii="Arial" w:hAnsi="Arial" w:cs="Arial"/>
          <w:sz w:val="20"/>
          <w:szCs w:val="20"/>
        </w:rPr>
        <w:t>h</w:t>
      </w:r>
      <w:r>
        <w:rPr>
          <w:rFonts w:ascii="Arial" w:hAnsi="Arial" w:cs="Arial"/>
          <w:sz w:val="20"/>
          <w:szCs w:val="20"/>
        </w:rPr>
        <w:t xml:space="preserve">CV and the MCV each have the authority to disclose and request confidential information </w:t>
      </w:r>
      <w:r w:rsidR="00873D30">
        <w:rPr>
          <w:rFonts w:ascii="Arial" w:hAnsi="Arial" w:cs="Arial"/>
          <w:sz w:val="20"/>
          <w:szCs w:val="20"/>
        </w:rPr>
        <w:t xml:space="preserve">– other than ‘excluded information’ – </w:t>
      </w:r>
      <w:r w:rsidR="00485DC0">
        <w:rPr>
          <w:rFonts w:ascii="Arial" w:hAnsi="Arial" w:cs="Arial"/>
          <w:sz w:val="20"/>
          <w:szCs w:val="20"/>
        </w:rPr>
        <w:t>about</w:t>
      </w:r>
      <w:r w:rsidR="00873D30">
        <w:rPr>
          <w:rFonts w:ascii="Arial" w:hAnsi="Arial" w:cs="Arial"/>
          <w:sz w:val="20"/>
          <w:szCs w:val="20"/>
        </w:rPr>
        <w:t xml:space="preserve"> </w:t>
      </w:r>
      <w:r w:rsidR="00485DC0">
        <w:rPr>
          <w:rFonts w:ascii="Arial" w:hAnsi="Arial" w:cs="Arial"/>
          <w:sz w:val="20"/>
          <w:szCs w:val="20"/>
        </w:rPr>
        <w:t xml:space="preserve">any person </w:t>
      </w:r>
      <w:r>
        <w:rPr>
          <w:rFonts w:ascii="Arial" w:hAnsi="Arial" w:cs="Arial"/>
          <w:sz w:val="20"/>
          <w:szCs w:val="20"/>
        </w:rPr>
        <w:t xml:space="preserve">with other ISEs </w:t>
      </w:r>
      <w:r w:rsidR="00485DC0">
        <w:rPr>
          <w:rFonts w:ascii="Arial" w:hAnsi="Arial" w:cs="Arial"/>
          <w:sz w:val="20"/>
          <w:szCs w:val="20"/>
        </w:rPr>
        <w:t>for the purpose of</w:t>
      </w:r>
      <w:r>
        <w:rPr>
          <w:rFonts w:ascii="Arial" w:hAnsi="Arial" w:cs="Arial"/>
          <w:sz w:val="20"/>
          <w:szCs w:val="20"/>
        </w:rPr>
        <w:t xml:space="preserve"> promot</w:t>
      </w:r>
      <w:r w:rsidR="00485DC0">
        <w:rPr>
          <w:rFonts w:ascii="Arial" w:hAnsi="Arial" w:cs="Arial"/>
          <w:sz w:val="20"/>
          <w:szCs w:val="20"/>
        </w:rPr>
        <w:t>ing</w:t>
      </w:r>
      <w:r>
        <w:rPr>
          <w:rFonts w:ascii="Arial" w:hAnsi="Arial" w:cs="Arial"/>
          <w:sz w:val="20"/>
          <w:szCs w:val="20"/>
        </w:rPr>
        <w:t xml:space="preserve"> the wellbeing or safety of a child or group of children.</w:t>
      </w:r>
      <w:r w:rsidR="00AC0009">
        <w:rPr>
          <w:rFonts w:ascii="Arial" w:hAnsi="Arial" w:cs="Arial"/>
          <w:sz w:val="20"/>
          <w:szCs w:val="20"/>
        </w:rPr>
        <w:t xml:space="preserve">  </w:t>
      </w:r>
      <w:r w:rsidR="007D10ED" w:rsidRPr="007D10ED">
        <w:rPr>
          <w:rFonts w:ascii="Arial" w:hAnsi="Arial" w:cs="Arial"/>
          <w:sz w:val="20"/>
          <w:szCs w:val="20"/>
        </w:rPr>
        <w:t xml:space="preserve">However, given </w:t>
      </w:r>
      <w:r w:rsidR="007D10ED">
        <w:rPr>
          <w:rFonts w:ascii="Arial" w:hAnsi="Arial" w:cs="Arial"/>
          <w:sz w:val="20"/>
          <w:szCs w:val="20"/>
        </w:rPr>
        <w:t xml:space="preserve">the limitations provided by s.41T </w:t>
      </w:r>
      <w:r w:rsidR="00875A32">
        <w:rPr>
          <w:rFonts w:ascii="Arial" w:hAnsi="Arial" w:cs="Arial"/>
          <w:sz w:val="20"/>
          <w:szCs w:val="20"/>
        </w:rPr>
        <w:t>on information</w:t>
      </w:r>
      <w:r w:rsidR="00400FD1">
        <w:rPr>
          <w:rFonts w:ascii="Arial" w:hAnsi="Arial" w:cs="Arial"/>
          <w:sz w:val="20"/>
          <w:szCs w:val="20"/>
        </w:rPr>
        <w:t xml:space="preserve"> </w:t>
      </w:r>
      <w:r w:rsidR="00875A32">
        <w:rPr>
          <w:rFonts w:ascii="Arial" w:hAnsi="Arial" w:cs="Arial"/>
          <w:sz w:val="20"/>
          <w:szCs w:val="20"/>
        </w:rPr>
        <w:t xml:space="preserve">sharing in relation to the courts’ judicial/quasi-judicial functions, the </w:t>
      </w:r>
      <w:r w:rsidR="000F0503">
        <w:rPr>
          <w:rFonts w:ascii="Arial" w:hAnsi="Arial" w:cs="Arial"/>
          <w:sz w:val="20"/>
          <w:szCs w:val="20"/>
        </w:rPr>
        <w:t>main</w:t>
      </w:r>
      <w:r w:rsidR="00875A32">
        <w:rPr>
          <w:rFonts w:ascii="Arial" w:hAnsi="Arial" w:cs="Arial"/>
          <w:sz w:val="20"/>
          <w:szCs w:val="20"/>
        </w:rPr>
        <w:t xml:space="preserve"> role of the </w:t>
      </w:r>
      <w:r w:rsidR="00903840">
        <w:rPr>
          <w:rFonts w:ascii="Arial" w:hAnsi="Arial" w:cs="Arial"/>
          <w:sz w:val="20"/>
          <w:szCs w:val="20"/>
        </w:rPr>
        <w:t>MCV &amp; C</w:t>
      </w:r>
      <w:r w:rsidR="009D0ACC">
        <w:rPr>
          <w:rFonts w:ascii="Arial" w:hAnsi="Arial" w:cs="Arial"/>
          <w:sz w:val="20"/>
          <w:szCs w:val="20"/>
        </w:rPr>
        <w:t>h</w:t>
      </w:r>
      <w:r w:rsidR="00903840">
        <w:rPr>
          <w:rFonts w:ascii="Arial" w:hAnsi="Arial" w:cs="Arial"/>
          <w:sz w:val="20"/>
          <w:szCs w:val="20"/>
        </w:rPr>
        <w:t xml:space="preserve">CV Central Information Sharing Team </w:t>
      </w:r>
      <w:r w:rsidR="00875A32">
        <w:rPr>
          <w:rFonts w:ascii="Arial" w:hAnsi="Arial" w:cs="Arial"/>
          <w:sz w:val="20"/>
          <w:szCs w:val="20"/>
        </w:rPr>
        <w:t>is responding to requests from other ISEs (e.g. for copies of IVOs etc).</w:t>
      </w:r>
    </w:p>
    <w:p w14:paraId="751C556B" w14:textId="77777777" w:rsidR="00B46865" w:rsidRDefault="00B46865" w:rsidP="00592CF8">
      <w:pPr>
        <w:jc w:val="both"/>
        <w:rPr>
          <w:rFonts w:ascii="Arial" w:hAnsi="Arial" w:cs="Arial"/>
          <w:sz w:val="20"/>
          <w:szCs w:val="20"/>
        </w:rPr>
      </w:pPr>
    </w:p>
    <w:p w14:paraId="5B05DD2F" w14:textId="3C845E02" w:rsidR="00485DC0" w:rsidRDefault="001428EC" w:rsidP="006D3226">
      <w:pPr>
        <w:spacing w:after="120"/>
        <w:jc w:val="both"/>
        <w:rPr>
          <w:rFonts w:ascii="Arial" w:hAnsi="Arial" w:cs="Arial"/>
          <w:sz w:val="20"/>
          <w:szCs w:val="20"/>
        </w:rPr>
      </w:pPr>
      <w:r>
        <w:rPr>
          <w:rFonts w:ascii="Arial" w:hAnsi="Arial" w:cs="Arial"/>
          <w:sz w:val="20"/>
          <w:szCs w:val="20"/>
        </w:rPr>
        <w:t xml:space="preserve">It </w:t>
      </w:r>
      <w:r w:rsidR="00400FD1">
        <w:rPr>
          <w:rFonts w:ascii="Arial" w:hAnsi="Arial" w:cs="Arial"/>
          <w:sz w:val="20"/>
          <w:szCs w:val="20"/>
        </w:rPr>
        <w:t xml:space="preserve">should also be noted </w:t>
      </w:r>
      <w:r>
        <w:rPr>
          <w:rFonts w:ascii="Arial" w:hAnsi="Arial" w:cs="Arial"/>
          <w:sz w:val="20"/>
          <w:szCs w:val="20"/>
        </w:rPr>
        <w:t xml:space="preserve">that the concept of </w:t>
      </w:r>
      <w:r w:rsidR="00873D30">
        <w:rPr>
          <w:rFonts w:ascii="Arial" w:hAnsi="Arial" w:cs="Arial"/>
          <w:sz w:val="20"/>
          <w:szCs w:val="20"/>
        </w:rPr>
        <w:t xml:space="preserve">‘excluded information’ </w:t>
      </w:r>
      <w:r w:rsidR="00AF7EF5">
        <w:rPr>
          <w:rFonts w:ascii="Arial" w:hAnsi="Arial" w:cs="Arial"/>
          <w:sz w:val="20"/>
          <w:szCs w:val="20"/>
        </w:rPr>
        <w:t xml:space="preserve">is broader for both </w:t>
      </w:r>
      <w:r>
        <w:rPr>
          <w:rFonts w:ascii="Arial" w:hAnsi="Arial" w:cs="Arial"/>
          <w:sz w:val="20"/>
          <w:szCs w:val="20"/>
        </w:rPr>
        <w:t>the C</w:t>
      </w:r>
      <w:r w:rsidR="009D0ACC">
        <w:rPr>
          <w:rFonts w:ascii="Arial" w:hAnsi="Arial" w:cs="Arial"/>
          <w:sz w:val="20"/>
          <w:szCs w:val="20"/>
        </w:rPr>
        <w:t>h</w:t>
      </w:r>
      <w:r>
        <w:rPr>
          <w:rFonts w:ascii="Arial" w:hAnsi="Arial" w:cs="Arial"/>
          <w:sz w:val="20"/>
          <w:szCs w:val="20"/>
        </w:rPr>
        <w:t xml:space="preserve">CV and the MCV </w:t>
      </w:r>
      <w:r w:rsidR="00AF7EF5">
        <w:rPr>
          <w:rFonts w:ascii="Arial" w:hAnsi="Arial" w:cs="Arial"/>
          <w:sz w:val="20"/>
          <w:szCs w:val="20"/>
        </w:rPr>
        <w:t xml:space="preserve">than </w:t>
      </w:r>
      <w:r>
        <w:rPr>
          <w:rFonts w:ascii="Arial" w:hAnsi="Arial" w:cs="Arial"/>
          <w:sz w:val="20"/>
          <w:szCs w:val="20"/>
        </w:rPr>
        <w:t xml:space="preserve">it is </w:t>
      </w:r>
      <w:r w:rsidR="00AF7EF5">
        <w:rPr>
          <w:rFonts w:ascii="Arial" w:hAnsi="Arial" w:cs="Arial"/>
          <w:sz w:val="20"/>
          <w:szCs w:val="20"/>
        </w:rPr>
        <w:t>for ISEs generally</w:t>
      </w:r>
      <w:r w:rsidR="00C640B1">
        <w:rPr>
          <w:rFonts w:ascii="Arial" w:hAnsi="Arial" w:cs="Arial"/>
          <w:sz w:val="20"/>
          <w:szCs w:val="20"/>
        </w:rPr>
        <w:t xml:space="preserve">: see </w:t>
      </w:r>
      <w:r w:rsidR="008E344D" w:rsidRPr="008E344D">
        <w:rPr>
          <w:rFonts w:ascii="Arial" w:hAnsi="Arial" w:cs="Arial"/>
          <w:b/>
          <w:bCs/>
          <w:sz w:val="20"/>
          <w:szCs w:val="20"/>
          <w:shd w:val="clear" w:color="auto" w:fill="000000"/>
        </w:rPr>
        <w:t>s.41</w:t>
      </w:r>
      <w:r w:rsidR="008E344D">
        <w:rPr>
          <w:rFonts w:ascii="Arial" w:hAnsi="Arial" w:cs="Arial"/>
          <w:b/>
          <w:bCs/>
          <w:sz w:val="20"/>
          <w:szCs w:val="20"/>
          <w:shd w:val="clear" w:color="auto" w:fill="000000"/>
        </w:rPr>
        <w:t>Q</w:t>
      </w:r>
      <w:r w:rsidR="00C640B1">
        <w:rPr>
          <w:rFonts w:ascii="Arial" w:hAnsi="Arial" w:cs="Arial"/>
          <w:sz w:val="20"/>
          <w:szCs w:val="20"/>
        </w:rPr>
        <w:t xml:space="preserve"> CWSA</w:t>
      </w:r>
      <w:r w:rsidR="00AF7EF5">
        <w:rPr>
          <w:rFonts w:ascii="Arial" w:hAnsi="Arial" w:cs="Arial"/>
          <w:sz w:val="20"/>
          <w:szCs w:val="20"/>
        </w:rPr>
        <w:t>.</w:t>
      </w:r>
      <w:r w:rsidR="00FD79D9">
        <w:rPr>
          <w:rFonts w:ascii="Arial" w:hAnsi="Arial" w:cs="Arial"/>
          <w:sz w:val="20"/>
          <w:szCs w:val="20"/>
        </w:rPr>
        <w:t xml:space="preserve">  T</w:t>
      </w:r>
      <w:r w:rsidR="003562E8" w:rsidRPr="00592CF8">
        <w:rPr>
          <w:rFonts w:ascii="Arial" w:hAnsi="Arial" w:cs="Arial"/>
          <w:sz w:val="20"/>
          <w:szCs w:val="20"/>
        </w:rPr>
        <w:t>he CISS information sharing thresholds</w:t>
      </w:r>
      <w:r w:rsidR="00873D30">
        <w:rPr>
          <w:rFonts w:ascii="Arial" w:hAnsi="Arial" w:cs="Arial"/>
          <w:sz w:val="20"/>
          <w:szCs w:val="20"/>
        </w:rPr>
        <w:t xml:space="preserve"> </w:t>
      </w:r>
      <w:r w:rsidR="00F36226">
        <w:rPr>
          <w:rFonts w:ascii="Arial" w:hAnsi="Arial" w:cs="Arial"/>
          <w:sz w:val="20"/>
          <w:szCs w:val="20"/>
        </w:rPr>
        <w:t xml:space="preserve">set out in </w:t>
      </w:r>
      <w:r w:rsidR="00903840">
        <w:rPr>
          <w:rFonts w:ascii="Arial" w:hAnsi="Arial" w:cs="Arial"/>
          <w:sz w:val="20"/>
          <w:szCs w:val="20"/>
        </w:rPr>
        <w:t xml:space="preserve">Part 6A of </w:t>
      </w:r>
      <w:r w:rsidR="00F36226">
        <w:rPr>
          <w:rFonts w:ascii="Arial" w:hAnsi="Arial" w:cs="Arial"/>
          <w:sz w:val="20"/>
          <w:szCs w:val="20"/>
        </w:rPr>
        <w:t xml:space="preserve">the CWSA </w:t>
      </w:r>
      <w:r w:rsidR="00873D30">
        <w:rPr>
          <w:rFonts w:ascii="Arial" w:hAnsi="Arial" w:cs="Arial"/>
          <w:sz w:val="20"/>
          <w:szCs w:val="20"/>
        </w:rPr>
        <w:t xml:space="preserve">are as </w:t>
      </w:r>
      <w:r w:rsidR="00485DC0">
        <w:rPr>
          <w:rFonts w:ascii="Arial" w:hAnsi="Arial" w:cs="Arial"/>
          <w:sz w:val="20"/>
          <w:szCs w:val="20"/>
        </w:rPr>
        <w:t>follows:</w:t>
      </w:r>
    </w:p>
    <w:tbl>
      <w:tblPr>
        <w:tblW w:w="91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529"/>
        <w:gridCol w:w="5783"/>
      </w:tblGrid>
      <w:tr w:rsidR="00485DC0" w:rsidRPr="004F4392" w14:paraId="7471A9F1" w14:textId="77777777" w:rsidTr="006B140A">
        <w:tc>
          <w:tcPr>
            <w:tcW w:w="828" w:type="dxa"/>
          </w:tcPr>
          <w:p w14:paraId="0B0342E6" w14:textId="77777777" w:rsidR="00485DC0" w:rsidRPr="004F4392" w:rsidRDefault="00485DC0" w:rsidP="006B140A">
            <w:pPr>
              <w:keepNext/>
              <w:keepLines/>
              <w:jc w:val="center"/>
              <w:rPr>
                <w:rFonts w:ascii="Arial" w:hAnsi="Arial" w:cs="Arial"/>
                <w:sz w:val="20"/>
                <w:szCs w:val="20"/>
              </w:rPr>
            </w:pPr>
            <w:r w:rsidRPr="004F4392">
              <w:rPr>
                <w:rFonts w:ascii="Arial" w:hAnsi="Arial" w:cs="Arial"/>
                <w:sz w:val="36"/>
                <w:szCs w:val="36"/>
              </w:rPr>
              <w:sym w:font="Wingdings" w:char="F08C"/>
            </w:r>
          </w:p>
        </w:tc>
        <w:tc>
          <w:tcPr>
            <w:tcW w:w="2529" w:type="dxa"/>
            <w:shd w:val="clear" w:color="auto" w:fill="DDDDDD"/>
          </w:tcPr>
          <w:p w14:paraId="172A1779" w14:textId="77777777" w:rsidR="00485DC0" w:rsidRPr="004F4392" w:rsidRDefault="00080BC8" w:rsidP="006B140A">
            <w:pPr>
              <w:keepNext/>
              <w:keepLines/>
              <w:jc w:val="both"/>
              <w:rPr>
                <w:rFonts w:ascii="Arial" w:hAnsi="Arial" w:cs="Arial"/>
                <w:b/>
                <w:bCs/>
                <w:sz w:val="20"/>
                <w:szCs w:val="20"/>
              </w:rPr>
            </w:pPr>
            <w:r w:rsidRPr="003D1974">
              <w:rPr>
                <w:rFonts w:ascii="Arial" w:hAnsi="Arial" w:cs="Arial"/>
                <w:b/>
                <w:bCs/>
                <w:sz w:val="20"/>
                <w:szCs w:val="20"/>
                <w:shd w:val="clear" w:color="auto" w:fill="000000"/>
              </w:rPr>
              <w:t>s.41</w:t>
            </w:r>
            <w:r>
              <w:rPr>
                <w:rFonts w:ascii="Arial" w:hAnsi="Arial" w:cs="Arial"/>
                <w:b/>
                <w:bCs/>
                <w:sz w:val="20"/>
                <w:szCs w:val="20"/>
                <w:shd w:val="clear" w:color="auto" w:fill="000000"/>
              </w:rPr>
              <w:t>W(1)</w:t>
            </w:r>
            <w:r w:rsidRPr="004F4392">
              <w:rPr>
                <w:rFonts w:ascii="Arial" w:hAnsi="Arial" w:cs="Arial"/>
                <w:b/>
                <w:bCs/>
                <w:sz w:val="20"/>
                <w:szCs w:val="20"/>
              </w:rPr>
              <w:t xml:space="preserve"> </w:t>
            </w:r>
            <w:r w:rsidR="00485DC0" w:rsidRPr="004F4392">
              <w:rPr>
                <w:rFonts w:ascii="Arial" w:hAnsi="Arial" w:cs="Arial"/>
                <w:b/>
                <w:bCs/>
                <w:sz w:val="20"/>
                <w:szCs w:val="20"/>
              </w:rPr>
              <w:t>PROMOTING CHILD WELLBEING OR SAFETY</w:t>
            </w:r>
            <w:r w:rsidR="00F36226">
              <w:rPr>
                <w:rFonts w:ascii="Arial" w:hAnsi="Arial" w:cs="Arial"/>
                <w:b/>
                <w:bCs/>
                <w:sz w:val="20"/>
                <w:szCs w:val="20"/>
              </w:rPr>
              <w:t xml:space="preserve"> </w:t>
            </w:r>
          </w:p>
        </w:tc>
        <w:tc>
          <w:tcPr>
            <w:tcW w:w="5783" w:type="dxa"/>
          </w:tcPr>
          <w:p w14:paraId="44D32CFC" w14:textId="77777777" w:rsidR="00485DC0" w:rsidRPr="004F4392" w:rsidRDefault="00485DC0" w:rsidP="006B140A">
            <w:pPr>
              <w:keepNext/>
              <w:keepLines/>
              <w:jc w:val="both"/>
              <w:rPr>
                <w:rFonts w:ascii="Arial" w:hAnsi="Arial" w:cs="Arial"/>
                <w:sz w:val="20"/>
                <w:szCs w:val="20"/>
              </w:rPr>
            </w:pPr>
            <w:r w:rsidRPr="004F4392">
              <w:rPr>
                <w:rFonts w:ascii="Arial" w:hAnsi="Arial" w:cs="Arial"/>
                <w:sz w:val="20"/>
                <w:szCs w:val="20"/>
              </w:rPr>
              <w:t>An ISE can request or disclose information about any person for the purpose of promoting the wellbeing or safety of a child or group of children.</w:t>
            </w:r>
          </w:p>
        </w:tc>
      </w:tr>
      <w:tr w:rsidR="006D3226" w:rsidRPr="004F4392" w14:paraId="569CC508" w14:textId="77777777" w:rsidTr="006D3226">
        <w:trPr>
          <w:trHeight w:val="590"/>
        </w:trPr>
        <w:tc>
          <w:tcPr>
            <w:tcW w:w="828" w:type="dxa"/>
            <w:vMerge w:val="restart"/>
          </w:tcPr>
          <w:p w14:paraId="4791800E" w14:textId="77777777" w:rsidR="006D3226" w:rsidRPr="004F4392" w:rsidRDefault="006D3226" w:rsidP="004F4392">
            <w:pPr>
              <w:jc w:val="center"/>
              <w:rPr>
                <w:rFonts w:ascii="Arial" w:hAnsi="Arial" w:cs="Arial"/>
                <w:sz w:val="20"/>
                <w:szCs w:val="20"/>
              </w:rPr>
            </w:pPr>
            <w:r w:rsidRPr="004F4392">
              <w:rPr>
                <w:rFonts w:ascii="Arial" w:hAnsi="Arial" w:cs="Arial"/>
                <w:sz w:val="40"/>
                <w:szCs w:val="40"/>
              </w:rPr>
              <w:sym w:font="Wingdings" w:char="F08D"/>
            </w:r>
          </w:p>
        </w:tc>
        <w:tc>
          <w:tcPr>
            <w:tcW w:w="2529" w:type="dxa"/>
            <w:shd w:val="clear" w:color="auto" w:fill="DDDDDD"/>
          </w:tcPr>
          <w:p w14:paraId="33EA7C84" w14:textId="77777777" w:rsidR="006D3226" w:rsidRPr="004F4392" w:rsidRDefault="00080BC8" w:rsidP="00080BC8">
            <w:pPr>
              <w:spacing w:before="80"/>
              <w:jc w:val="both"/>
              <w:rPr>
                <w:rFonts w:ascii="Arial" w:hAnsi="Arial" w:cs="Arial"/>
                <w:b/>
                <w:bCs/>
                <w:sz w:val="20"/>
                <w:szCs w:val="20"/>
              </w:rPr>
            </w:pPr>
            <w:r w:rsidRPr="003D1974">
              <w:rPr>
                <w:rFonts w:ascii="Arial" w:hAnsi="Arial" w:cs="Arial"/>
                <w:b/>
                <w:bCs/>
                <w:sz w:val="20"/>
                <w:szCs w:val="20"/>
                <w:shd w:val="clear" w:color="auto" w:fill="000000"/>
              </w:rPr>
              <w:t>s.41</w:t>
            </w:r>
            <w:r>
              <w:rPr>
                <w:rFonts w:ascii="Arial" w:hAnsi="Arial" w:cs="Arial"/>
                <w:b/>
                <w:bCs/>
                <w:sz w:val="20"/>
                <w:szCs w:val="20"/>
                <w:shd w:val="clear" w:color="auto" w:fill="000000"/>
              </w:rPr>
              <w:t>W(3)</w:t>
            </w:r>
            <w:r>
              <w:rPr>
                <w:rFonts w:ascii="Arial" w:hAnsi="Arial" w:cs="Arial"/>
                <w:b/>
                <w:bCs/>
                <w:sz w:val="20"/>
                <w:szCs w:val="20"/>
              </w:rPr>
              <w:t xml:space="preserve"> </w:t>
            </w:r>
            <w:r w:rsidR="006D3226" w:rsidRPr="004F4392">
              <w:rPr>
                <w:rFonts w:ascii="Arial" w:hAnsi="Arial" w:cs="Arial"/>
                <w:b/>
                <w:bCs/>
                <w:sz w:val="20"/>
                <w:szCs w:val="20"/>
              </w:rPr>
              <w:t>SHARING TO ASSIST ANOTHER</w:t>
            </w:r>
            <w:r w:rsidR="006D3226">
              <w:rPr>
                <w:rFonts w:ascii="Arial" w:hAnsi="Arial" w:cs="Arial"/>
                <w:b/>
                <w:bCs/>
                <w:sz w:val="20"/>
                <w:szCs w:val="20"/>
              </w:rPr>
              <w:t xml:space="preserve"> </w:t>
            </w:r>
            <w:r w:rsidR="006D3226" w:rsidRPr="004F4392">
              <w:rPr>
                <w:rFonts w:ascii="Arial" w:hAnsi="Arial" w:cs="Arial"/>
                <w:b/>
                <w:bCs/>
                <w:sz w:val="20"/>
                <w:szCs w:val="20"/>
              </w:rPr>
              <w:t>ISE</w:t>
            </w:r>
            <w:r w:rsidR="006D3226">
              <w:rPr>
                <w:rFonts w:ascii="Arial" w:hAnsi="Arial" w:cs="Arial"/>
                <w:b/>
                <w:bCs/>
                <w:sz w:val="20"/>
                <w:szCs w:val="20"/>
              </w:rPr>
              <w:t xml:space="preserve"> </w:t>
            </w:r>
          </w:p>
        </w:tc>
        <w:tc>
          <w:tcPr>
            <w:tcW w:w="5783" w:type="dxa"/>
            <w:vMerge w:val="restart"/>
          </w:tcPr>
          <w:p w14:paraId="45B7AF37" w14:textId="77777777" w:rsidR="006D3226" w:rsidRPr="004F4392" w:rsidRDefault="006D3226" w:rsidP="004F4392">
            <w:pPr>
              <w:jc w:val="both"/>
              <w:rPr>
                <w:rFonts w:ascii="Arial" w:hAnsi="Arial" w:cs="Arial"/>
                <w:sz w:val="20"/>
                <w:szCs w:val="20"/>
              </w:rPr>
            </w:pPr>
            <w:r w:rsidRPr="004F4392">
              <w:rPr>
                <w:rFonts w:ascii="Arial" w:hAnsi="Arial" w:cs="Arial"/>
                <w:sz w:val="20"/>
                <w:szCs w:val="20"/>
              </w:rPr>
              <w:t>The disclosing ISE must reasonably believe that sharing the information may assist the receiving ISE to carry out one or more of the following activities:</w:t>
            </w:r>
          </w:p>
          <w:p w14:paraId="32C9B3F6"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 xml:space="preserve">making a decision, </w:t>
            </w:r>
            <w:r>
              <w:rPr>
                <w:rFonts w:ascii="Arial" w:hAnsi="Arial" w:cs="Arial"/>
                <w:sz w:val="20"/>
                <w:szCs w:val="20"/>
              </w:rPr>
              <w:t xml:space="preserve">an </w:t>
            </w:r>
            <w:r w:rsidRPr="004F4392">
              <w:rPr>
                <w:rFonts w:ascii="Arial" w:hAnsi="Arial" w:cs="Arial"/>
                <w:sz w:val="20"/>
                <w:szCs w:val="20"/>
              </w:rPr>
              <w:t>assessment or a plan relating to a child or group of children;</w:t>
            </w:r>
          </w:p>
          <w:p w14:paraId="7F09BC2E"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initiating or conducting an investigation relating to a child or group of children;</w:t>
            </w:r>
          </w:p>
          <w:p w14:paraId="33852C6B"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providing a service relating to a child or group of children;</w:t>
            </w:r>
          </w:p>
          <w:p w14:paraId="1705DA84"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managing any risk to a child or group of children.</w:t>
            </w:r>
          </w:p>
        </w:tc>
      </w:tr>
      <w:tr w:rsidR="006D3226" w:rsidRPr="004F4392" w14:paraId="3CAE28BD" w14:textId="77777777" w:rsidTr="00FF1D02">
        <w:trPr>
          <w:trHeight w:val="738"/>
        </w:trPr>
        <w:tc>
          <w:tcPr>
            <w:tcW w:w="828" w:type="dxa"/>
            <w:vMerge/>
          </w:tcPr>
          <w:p w14:paraId="573F9DE5" w14:textId="77777777" w:rsidR="006D3226" w:rsidRPr="004F4392" w:rsidRDefault="006D3226" w:rsidP="004F4392">
            <w:pPr>
              <w:jc w:val="center"/>
              <w:rPr>
                <w:rFonts w:ascii="Arial" w:hAnsi="Arial" w:cs="Arial"/>
                <w:sz w:val="40"/>
                <w:szCs w:val="40"/>
              </w:rPr>
            </w:pPr>
          </w:p>
        </w:tc>
        <w:tc>
          <w:tcPr>
            <w:tcW w:w="2529" w:type="dxa"/>
            <w:shd w:val="clear" w:color="auto" w:fill="000000"/>
          </w:tcPr>
          <w:p w14:paraId="3E9939CD" w14:textId="77777777" w:rsidR="006D3226" w:rsidRPr="004F4392" w:rsidRDefault="006D3226" w:rsidP="006D3226">
            <w:pPr>
              <w:spacing w:before="120"/>
              <w:jc w:val="both"/>
              <w:rPr>
                <w:rFonts w:ascii="Arial" w:hAnsi="Arial" w:cs="Arial"/>
                <w:b/>
                <w:bCs/>
                <w:sz w:val="20"/>
                <w:szCs w:val="20"/>
              </w:rPr>
            </w:pPr>
            <w:r w:rsidRPr="00546B31">
              <w:rPr>
                <w:rFonts w:ascii="Arial" w:hAnsi="Arial" w:cs="Arial"/>
                <w:b/>
                <w:bCs/>
                <w:sz w:val="20"/>
                <w:szCs w:val="20"/>
              </w:rPr>
              <w:t xml:space="preserve">Courts cannot be compelled to provide information under the CISS: see </w:t>
            </w:r>
            <w:r w:rsidRPr="006D3226">
              <w:rPr>
                <w:rFonts w:ascii="Arial" w:hAnsi="Arial" w:cs="Arial"/>
                <w:b/>
                <w:bCs/>
                <w:sz w:val="20"/>
                <w:szCs w:val="20"/>
                <w:shd w:val="clear" w:color="auto" w:fill="000000"/>
              </w:rPr>
              <w:t>s.41W(5)</w:t>
            </w:r>
            <w:r w:rsidRPr="00546B31">
              <w:rPr>
                <w:rFonts w:ascii="Arial" w:hAnsi="Arial" w:cs="Arial"/>
                <w:b/>
                <w:bCs/>
                <w:sz w:val="20"/>
                <w:szCs w:val="20"/>
              </w:rPr>
              <w:t xml:space="preserve"> CWSA.</w:t>
            </w:r>
          </w:p>
        </w:tc>
        <w:tc>
          <w:tcPr>
            <w:tcW w:w="5783" w:type="dxa"/>
            <w:vMerge/>
          </w:tcPr>
          <w:p w14:paraId="174B3E9F" w14:textId="77777777" w:rsidR="006D3226" w:rsidRPr="004F4392" w:rsidRDefault="006D3226" w:rsidP="004F4392">
            <w:pPr>
              <w:jc w:val="both"/>
              <w:rPr>
                <w:rFonts w:ascii="Arial" w:hAnsi="Arial" w:cs="Arial"/>
                <w:sz w:val="20"/>
                <w:szCs w:val="20"/>
              </w:rPr>
            </w:pPr>
          </w:p>
        </w:tc>
      </w:tr>
      <w:tr w:rsidR="001428EC" w:rsidRPr="004F4392" w14:paraId="3075774F" w14:textId="77777777" w:rsidTr="006B140A">
        <w:tc>
          <w:tcPr>
            <w:tcW w:w="828" w:type="dxa"/>
            <w:vMerge w:val="restart"/>
          </w:tcPr>
          <w:p w14:paraId="005D9F60" w14:textId="77777777" w:rsidR="001428EC" w:rsidRPr="004F4392" w:rsidRDefault="001428EC" w:rsidP="004F4392">
            <w:pPr>
              <w:jc w:val="center"/>
              <w:rPr>
                <w:rFonts w:ascii="Arial" w:hAnsi="Arial" w:cs="Arial"/>
                <w:sz w:val="20"/>
                <w:szCs w:val="20"/>
              </w:rPr>
            </w:pPr>
            <w:r w:rsidRPr="004F4392">
              <w:rPr>
                <w:rFonts w:ascii="Arial" w:hAnsi="Arial" w:cs="Arial"/>
                <w:sz w:val="40"/>
                <w:szCs w:val="40"/>
              </w:rPr>
              <w:sym w:font="Wingdings" w:char="F08E"/>
            </w:r>
          </w:p>
        </w:tc>
        <w:tc>
          <w:tcPr>
            <w:tcW w:w="2529" w:type="dxa"/>
            <w:shd w:val="clear" w:color="auto" w:fill="DDDDDD"/>
          </w:tcPr>
          <w:p w14:paraId="22B7C8A5" w14:textId="77777777" w:rsidR="001428EC" w:rsidRPr="004F4392" w:rsidRDefault="00080BC8" w:rsidP="004F4392">
            <w:pPr>
              <w:jc w:val="both"/>
              <w:rPr>
                <w:rFonts w:ascii="Arial" w:hAnsi="Arial" w:cs="Arial"/>
                <w:b/>
                <w:bCs/>
                <w:sz w:val="20"/>
                <w:szCs w:val="20"/>
              </w:rPr>
            </w:pPr>
            <w:r w:rsidRPr="003D1974">
              <w:rPr>
                <w:rFonts w:ascii="Arial" w:hAnsi="Arial" w:cs="Arial"/>
                <w:b/>
                <w:bCs/>
                <w:sz w:val="20"/>
                <w:szCs w:val="20"/>
                <w:shd w:val="clear" w:color="auto" w:fill="000000"/>
              </w:rPr>
              <w:t>s.41Q</w:t>
            </w:r>
            <w:r>
              <w:rPr>
                <w:rFonts w:ascii="Arial" w:hAnsi="Arial" w:cs="Arial"/>
                <w:b/>
                <w:bCs/>
                <w:sz w:val="20"/>
                <w:szCs w:val="20"/>
              </w:rPr>
              <w:t xml:space="preserve"> </w:t>
            </w:r>
            <w:r w:rsidR="001428EC" w:rsidRPr="004F4392">
              <w:rPr>
                <w:rFonts w:ascii="Arial" w:hAnsi="Arial" w:cs="Arial"/>
                <w:b/>
                <w:bCs/>
                <w:sz w:val="20"/>
                <w:szCs w:val="20"/>
              </w:rPr>
              <w:t>EXCLUDED INFORMATION</w:t>
            </w:r>
          </w:p>
        </w:tc>
        <w:tc>
          <w:tcPr>
            <w:tcW w:w="5783" w:type="dxa"/>
          </w:tcPr>
          <w:p w14:paraId="7F992034" w14:textId="77777777" w:rsidR="001428EC" w:rsidRPr="004F4392" w:rsidRDefault="001428EC" w:rsidP="004F4392">
            <w:pPr>
              <w:jc w:val="both"/>
              <w:rPr>
                <w:rFonts w:ascii="Arial" w:hAnsi="Arial" w:cs="Arial"/>
                <w:sz w:val="20"/>
                <w:szCs w:val="20"/>
              </w:rPr>
            </w:pPr>
            <w:r w:rsidRPr="004F4392">
              <w:rPr>
                <w:rFonts w:ascii="Arial" w:hAnsi="Arial" w:cs="Arial"/>
                <w:sz w:val="20"/>
                <w:szCs w:val="20"/>
              </w:rPr>
              <w:t xml:space="preserve">The information being disclosed or requested is not known to be ‘excluded information’ under </w:t>
            </w:r>
            <w:r w:rsidR="00F36226">
              <w:rPr>
                <w:rFonts w:ascii="Arial" w:hAnsi="Arial" w:cs="Arial"/>
                <w:sz w:val="20"/>
                <w:szCs w:val="20"/>
              </w:rPr>
              <w:t xml:space="preserve">Part 6A </w:t>
            </w:r>
            <w:r w:rsidRPr="004F4392">
              <w:rPr>
                <w:rFonts w:ascii="Arial" w:hAnsi="Arial" w:cs="Arial"/>
                <w:sz w:val="20"/>
                <w:szCs w:val="20"/>
              </w:rPr>
              <w:t>of</w:t>
            </w:r>
            <w:r>
              <w:rPr>
                <w:rFonts w:ascii="Arial" w:hAnsi="Arial" w:cs="Arial"/>
                <w:sz w:val="20"/>
                <w:szCs w:val="20"/>
              </w:rPr>
              <w:t xml:space="preserve"> </w:t>
            </w:r>
            <w:r w:rsidRPr="004F4392">
              <w:rPr>
                <w:rFonts w:ascii="Arial" w:hAnsi="Arial" w:cs="Arial"/>
                <w:sz w:val="20"/>
                <w:szCs w:val="20"/>
              </w:rPr>
              <w:t>the</w:t>
            </w:r>
            <w:r>
              <w:rPr>
                <w:rFonts w:ascii="Arial" w:hAnsi="Arial" w:cs="Arial"/>
                <w:sz w:val="20"/>
                <w:szCs w:val="20"/>
              </w:rPr>
              <w:t xml:space="preserve"> CWSA</w:t>
            </w:r>
            <w:r w:rsidRPr="004F4392">
              <w:rPr>
                <w:rFonts w:ascii="Arial" w:hAnsi="Arial" w:cs="Arial"/>
                <w:i/>
                <w:iCs/>
                <w:sz w:val="20"/>
                <w:szCs w:val="20"/>
              </w:rPr>
              <w:t>.</w:t>
            </w:r>
          </w:p>
        </w:tc>
      </w:tr>
      <w:tr w:rsidR="001428EC" w:rsidRPr="004F4392" w14:paraId="3CCC52B4" w14:textId="77777777" w:rsidTr="003D1974">
        <w:tc>
          <w:tcPr>
            <w:tcW w:w="828" w:type="dxa"/>
            <w:vMerge/>
          </w:tcPr>
          <w:p w14:paraId="256ED476" w14:textId="77777777" w:rsidR="001428EC" w:rsidRPr="00440B09" w:rsidRDefault="001428EC" w:rsidP="003D1974">
            <w:pPr>
              <w:jc w:val="center"/>
              <w:rPr>
                <w:rFonts w:ascii="Arial" w:hAnsi="Arial" w:cs="Arial"/>
                <w:sz w:val="40"/>
                <w:szCs w:val="40"/>
              </w:rPr>
            </w:pPr>
          </w:p>
        </w:tc>
        <w:tc>
          <w:tcPr>
            <w:tcW w:w="8312" w:type="dxa"/>
            <w:gridSpan w:val="2"/>
            <w:tcBorders>
              <w:top w:val="single" w:sz="4" w:space="0" w:color="auto"/>
              <w:bottom w:val="single" w:sz="4" w:space="0" w:color="auto"/>
              <w:right w:val="single" w:sz="4" w:space="0" w:color="auto"/>
            </w:tcBorders>
            <w:shd w:val="clear" w:color="auto" w:fill="DDDDDD"/>
          </w:tcPr>
          <w:p w14:paraId="27D986A4" w14:textId="3D5DC31C" w:rsidR="001428EC" w:rsidRDefault="001428EC" w:rsidP="00E55F44">
            <w:pPr>
              <w:jc w:val="both"/>
              <w:rPr>
                <w:rFonts w:ascii="Arial" w:hAnsi="Arial" w:cs="Arial"/>
                <w:sz w:val="20"/>
                <w:szCs w:val="20"/>
              </w:rPr>
            </w:pPr>
            <w:r w:rsidRPr="003D1974">
              <w:rPr>
                <w:rFonts w:ascii="Arial" w:hAnsi="Arial" w:cs="Arial"/>
                <w:b/>
                <w:bCs/>
                <w:sz w:val="20"/>
                <w:szCs w:val="20"/>
                <w:shd w:val="clear" w:color="auto" w:fill="000000"/>
              </w:rPr>
              <w:t>s.41Q</w:t>
            </w:r>
            <w:r>
              <w:rPr>
                <w:rFonts w:ascii="Arial" w:hAnsi="Arial" w:cs="Arial"/>
                <w:sz w:val="20"/>
                <w:szCs w:val="20"/>
              </w:rPr>
              <w:t xml:space="preserve"> provides that confidential information is </w:t>
            </w:r>
            <w:r w:rsidR="00F36226">
              <w:rPr>
                <w:rFonts w:ascii="Arial" w:hAnsi="Arial" w:cs="Arial"/>
                <w:sz w:val="20"/>
                <w:szCs w:val="20"/>
              </w:rPr>
              <w:t>‘</w:t>
            </w:r>
            <w:r w:rsidRPr="00873D30">
              <w:rPr>
                <w:rFonts w:ascii="Arial" w:hAnsi="Arial" w:cs="Arial"/>
                <w:b/>
                <w:bCs/>
                <w:sz w:val="20"/>
                <w:szCs w:val="20"/>
              </w:rPr>
              <w:t>excluded information</w:t>
            </w:r>
            <w:r w:rsidR="00F36226">
              <w:rPr>
                <w:rFonts w:ascii="Arial" w:hAnsi="Arial" w:cs="Arial"/>
                <w:b/>
                <w:bCs/>
                <w:sz w:val="20"/>
                <w:szCs w:val="20"/>
              </w:rPr>
              <w:t>’</w:t>
            </w:r>
            <w:r>
              <w:rPr>
                <w:rFonts w:ascii="Arial" w:hAnsi="Arial" w:cs="Arial"/>
                <w:sz w:val="20"/>
                <w:szCs w:val="20"/>
              </w:rPr>
              <w:t xml:space="preserve"> if</w:t>
            </w:r>
            <w:r w:rsidR="00366998" w:rsidRPr="00A31FFA">
              <w:rPr>
                <w:rFonts w:ascii="Arial" w:hAnsi="Arial" w:cs="Arial"/>
                <w:sz w:val="20"/>
              </w:rPr>
              <w:t>–</w:t>
            </w:r>
          </w:p>
          <w:p w14:paraId="5F0EF7E6" w14:textId="5A3A572D" w:rsidR="001428EC" w:rsidRDefault="001428EC">
            <w:pPr>
              <w:numPr>
                <w:ilvl w:val="0"/>
                <w:numId w:val="60"/>
              </w:numPr>
              <w:ind w:left="641" w:hanging="357"/>
              <w:jc w:val="both"/>
              <w:rPr>
                <w:rFonts w:ascii="Arial" w:hAnsi="Arial" w:cs="Arial"/>
                <w:sz w:val="20"/>
                <w:szCs w:val="20"/>
              </w:rPr>
            </w:pPr>
            <w:r>
              <w:rPr>
                <w:rFonts w:ascii="Arial" w:hAnsi="Arial" w:cs="Arial"/>
                <w:sz w:val="20"/>
                <w:szCs w:val="20"/>
              </w:rPr>
              <w:t>the collection, use or disclosure of that information could be reasonably expected to</w:t>
            </w:r>
            <w:r w:rsidR="00366998" w:rsidRPr="00A31FFA">
              <w:rPr>
                <w:rFonts w:ascii="Arial" w:hAnsi="Arial" w:cs="Arial"/>
                <w:sz w:val="20"/>
              </w:rPr>
              <w:t>–</w:t>
            </w:r>
          </w:p>
          <w:p w14:paraId="5C4926D8" w14:textId="77777777" w:rsidR="001428EC" w:rsidRDefault="001428EC">
            <w:pPr>
              <w:numPr>
                <w:ilvl w:val="0"/>
                <w:numId w:val="61"/>
              </w:numPr>
              <w:ind w:left="1191" w:hanging="567"/>
              <w:jc w:val="both"/>
              <w:rPr>
                <w:rFonts w:ascii="Arial" w:hAnsi="Arial" w:cs="Arial"/>
                <w:sz w:val="20"/>
                <w:szCs w:val="20"/>
              </w:rPr>
            </w:pPr>
            <w:r>
              <w:rPr>
                <w:rFonts w:ascii="Arial" w:hAnsi="Arial" w:cs="Arial"/>
                <w:sz w:val="20"/>
                <w:szCs w:val="20"/>
              </w:rPr>
              <w:t>endanger a person’s life or result in physical injury; or</w:t>
            </w:r>
          </w:p>
          <w:p w14:paraId="7D6402B5"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prejudice the investigation of a breach or possible breach of the law, or prejudice the enforcement or proper administration of the law, in a particular instance; or</w:t>
            </w:r>
          </w:p>
          <w:p w14:paraId="00C8DC95"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prejudice a coronial inquest or inquiry; or</w:t>
            </w:r>
          </w:p>
          <w:p w14:paraId="34C2F94D"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prejudice the fair trial of a person or the impartial adjudication of a particular case; or</w:t>
            </w:r>
          </w:p>
          <w:p w14:paraId="36E2C927"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disclose the contents of a document, or a communication, that is of such a nature that the contents of the document, or the communication, would be privileged from production in legal proceedings on the ground of legal professional privilege or client legal privilege; or</w:t>
            </w:r>
          </w:p>
          <w:p w14:paraId="354BBBC4" w14:textId="77777777" w:rsidR="001428EC" w:rsidRPr="00AF7EF5" w:rsidRDefault="001428EC" w:rsidP="00987CA2">
            <w:pPr>
              <w:keepNext/>
              <w:keepLines/>
              <w:numPr>
                <w:ilvl w:val="0"/>
                <w:numId w:val="61"/>
              </w:numPr>
              <w:ind w:left="1191" w:hanging="567"/>
              <w:jc w:val="both"/>
              <w:rPr>
                <w:rFonts w:ascii="Arial" w:hAnsi="Arial" w:cs="Arial"/>
                <w:sz w:val="20"/>
                <w:szCs w:val="20"/>
              </w:rPr>
            </w:pPr>
            <w:r w:rsidRPr="00AF7EF5">
              <w:rPr>
                <w:rFonts w:ascii="Arial" w:hAnsi="Arial" w:cs="Arial"/>
                <w:sz w:val="20"/>
                <w:szCs w:val="16"/>
              </w:rPr>
              <w:t>disclose, or enable a person to ascertain, the identity of a confidential source of information in relation to the enforcement or administration of the law; or</w:t>
            </w:r>
          </w:p>
          <w:p w14:paraId="356F213A" w14:textId="77777777" w:rsidR="001428EC" w:rsidRPr="00C37B0D"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contravene a court order or a provision made by or under this Act or any other Act that—</w:t>
            </w:r>
          </w:p>
          <w:p w14:paraId="035A6B71" w14:textId="77777777" w:rsidR="001428EC" w:rsidRPr="00AF7EF5" w:rsidRDefault="001428EC">
            <w:pPr>
              <w:numPr>
                <w:ilvl w:val="0"/>
                <w:numId w:val="62"/>
              </w:numPr>
              <w:ind w:left="1475" w:hanging="284"/>
              <w:jc w:val="both"/>
              <w:rPr>
                <w:rFonts w:ascii="Arial" w:hAnsi="Arial" w:cs="Arial"/>
                <w:sz w:val="20"/>
                <w:szCs w:val="20"/>
              </w:rPr>
            </w:pPr>
            <w:r w:rsidRPr="00AF7EF5">
              <w:rPr>
                <w:rFonts w:ascii="Arial" w:hAnsi="Arial" w:cs="Arial"/>
                <w:sz w:val="20"/>
                <w:szCs w:val="16"/>
              </w:rPr>
              <w:t>prohibits or restricts, or authorises a court or tribunal to prohibit or restrict, the publication or other disclosure of information for or in connection with any proceeding; or</w:t>
            </w:r>
          </w:p>
          <w:p w14:paraId="3ED87876" w14:textId="77777777" w:rsidR="001428EC" w:rsidRDefault="001428EC">
            <w:pPr>
              <w:numPr>
                <w:ilvl w:val="0"/>
                <w:numId w:val="62"/>
              </w:numPr>
              <w:ind w:left="1475" w:hanging="284"/>
              <w:jc w:val="both"/>
              <w:rPr>
                <w:rFonts w:ascii="Arial" w:hAnsi="Arial" w:cs="Arial"/>
                <w:sz w:val="20"/>
                <w:szCs w:val="20"/>
              </w:rPr>
            </w:pPr>
            <w:r w:rsidRPr="00C37B0D">
              <w:rPr>
                <w:rFonts w:ascii="Arial" w:hAnsi="Arial" w:cs="Arial"/>
                <w:sz w:val="20"/>
                <w:szCs w:val="16"/>
              </w:rPr>
              <w:t>requires or authorises a court or tribunal to close any proceeding to the public; or</w:t>
            </w:r>
          </w:p>
          <w:p w14:paraId="1192195E" w14:textId="77777777" w:rsidR="001428EC" w:rsidRDefault="001428EC">
            <w:pPr>
              <w:numPr>
                <w:ilvl w:val="0"/>
                <w:numId w:val="61"/>
              </w:numPr>
              <w:ind w:left="1191" w:hanging="567"/>
              <w:jc w:val="both"/>
              <w:rPr>
                <w:rFonts w:ascii="Arial" w:hAnsi="Arial" w:cs="Arial"/>
                <w:sz w:val="20"/>
                <w:szCs w:val="20"/>
              </w:rPr>
            </w:pPr>
            <w:r>
              <w:rPr>
                <w:rFonts w:ascii="Arial" w:hAnsi="Arial" w:cs="Arial"/>
                <w:sz w:val="20"/>
                <w:szCs w:val="16"/>
              </w:rPr>
              <w:t>be contrary to the public interest; or</w:t>
            </w:r>
          </w:p>
          <w:p w14:paraId="2CE3DE1A" w14:textId="77777777" w:rsidR="001428EC" w:rsidRPr="0007241B" w:rsidRDefault="001428EC">
            <w:pPr>
              <w:numPr>
                <w:ilvl w:val="0"/>
                <w:numId w:val="60"/>
              </w:numPr>
              <w:ind w:left="641" w:hanging="357"/>
              <w:jc w:val="both"/>
              <w:rPr>
                <w:rFonts w:ascii="Arial" w:hAnsi="Arial" w:cs="Arial"/>
                <w:sz w:val="20"/>
                <w:szCs w:val="20"/>
              </w:rPr>
            </w:pPr>
            <w:r w:rsidRPr="00AF7EF5">
              <w:rPr>
                <w:rFonts w:ascii="Arial" w:hAnsi="Arial" w:cs="Arial"/>
                <w:sz w:val="20"/>
                <w:szCs w:val="16"/>
              </w:rPr>
              <w:t>the information is prescribed to be excluded information for the purposes of Part</w:t>
            </w:r>
            <w:r>
              <w:rPr>
                <w:rFonts w:ascii="Arial" w:hAnsi="Arial" w:cs="Arial"/>
                <w:sz w:val="20"/>
                <w:szCs w:val="16"/>
              </w:rPr>
              <w:t xml:space="preserve"> 6A</w:t>
            </w:r>
            <w:r w:rsidRPr="00AF7EF5">
              <w:rPr>
                <w:rFonts w:ascii="Arial" w:hAnsi="Arial" w:cs="Arial"/>
                <w:sz w:val="20"/>
                <w:szCs w:val="16"/>
              </w:rPr>
              <w:t>.</w:t>
            </w:r>
          </w:p>
        </w:tc>
      </w:tr>
    </w:tbl>
    <w:p w14:paraId="058D9345" w14:textId="5F4C17FC" w:rsidR="006D013C" w:rsidRDefault="006D013C" w:rsidP="00592CF8">
      <w:pPr>
        <w:jc w:val="both"/>
        <w:rPr>
          <w:rFonts w:ascii="Arial" w:hAnsi="Arial" w:cs="Arial"/>
          <w:sz w:val="20"/>
          <w:szCs w:val="20"/>
        </w:rPr>
      </w:pPr>
    </w:p>
    <w:p w14:paraId="2357634F" w14:textId="312C97AC" w:rsidR="00485DC0" w:rsidRDefault="00424B8F" w:rsidP="006D013C">
      <w:pPr>
        <w:keepNext/>
        <w:keepLines/>
        <w:jc w:val="both"/>
        <w:rPr>
          <w:rFonts w:ascii="Arial" w:hAnsi="Arial" w:cs="Arial"/>
          <w:sz w:val="20"/>
          <w:szCs w:val="20"/>
        </w:rPr>
      </w:pPr>
      <w:r>
        <w:rPr>
          <w:rFonts w:ascii="Arial" w:hAnsi="Arial" w:cs="Arial"/>
          <w:sz w:val="20"/>
          <w:szCs w:val="20"/>
        </w:rPr>
        <w:t>If the threshold</w:t>
      </w:r>
      <w:r w:rsidR="00873D30">
        <w:rPr>
          <w:rFonts w:ascii="Arial" w:hAnsi="Arial" w:cs="Arial"/>
          <w:sz w:val="20"/>
          <w:szCs w:val="20"/>
        </w:rPr>
        <w:t>s</w:t>
      </w:r>
      <w:r>
        <w:rPr>
          <w:rFonts w:ascii="Arial" w:hAnsi="Arial" w:cs="Arial"/>
          <w:sz w:val="20"/>
          <w:szCs w:val="20"/>
        </w:rPr>
        <w:t xml:space="preserve"> of the CISS (as set out in the table above) </w:t>
      </w:r>
      <w:r w:rsidR="00873D30">
        <w:rPr>
          <w:rFonts w:ascii="Arial" w:hAnsi="Arial" w:cs="Arial"/>
          <w:sz w:val="20"/>
          <w:szCs w:val="20"/>
        </w:rPr>
        <w:t>are</w:t>
      </w:r>
      <w:r>
        <w:rPr>
          <w:rFonts w:ascii="Arial" w:hAnsi="Arial" w:cs="Arial"/>
          <w:sz w:val="20"/>
          <w:szCs w:val="20"/>
        </w:rPr>
        <w:t xml:space="preserve"> met, an ISE</w:t>
      </w:r>
      <w:r w:rsidR="00366998" w:rsidRPr="00A31FFA">
        <w:rPr>
          <w:rFonts w:ascii="Arial" w:hAnsi="Arial" w:cs="Arial"/>
          <w:sz w:val="20"/>
        </w:rPr>
        <w:t>–</w:t>
      </w:r>
    </w:p>
    <w:p w14:paraId="6A898BBD" w14:textId="77777777" w:rsidR="00424B8F" w:rsidRDefault="00424B8F">
      <w:pPr>
        <w:numPr>
          <w:ilvl w:val="0"/>
          <w:numId w:val="96"/>
        </w:numPr>
        <w:ind w:left="357" w:hanging="357"/>
        <w:jc w:val="both"/>
        <w:rPr>
          <w:rFonts w:ascii="Arial" w:hAnsi="Arial" w:cs="Arial"/>
          <w:sz w:val="20"/>
          <w:szCs w:val="20"/>
        </w:rPr>
      </w:pPr>
      <w:r>
        <w:rPr>
          <w:rFonts w:ascii="Arial" w:hAnsi="Arial" w:cs="Arial"/>
          <w:sz w:val="20"/>
          <w:szCs w:val="20"/>
        </w:rPr>
        <w:t>can share proactively with other ISEs;</w:t>
      </w:r>
    </w:p>
    <w:p w14:paraId="39C2BAC9" w14:textId="77777777" w:rsidR="00424B8F" w:rsidRDefault="00424B8F">
      <w:pPr>
        <w:numPr>
          <w:ilvl w:val="0"/>
          <w:numId w:val="96"/>
        </w:numPr>
        <w:ind w:left="357" w:hanging="357"/>
        <w:jc w:val="both"/>
        <w:rPr>
          <w:rFonts w:ascii="Arial" w:hAnsi="Arial" w:cs="Arial"/>
          <w:sz w:val="20"/>
          <w:szCs w:val="20"/>
        </w:rPr>
      </w:pPr>
      <w:r>
        <w:rPr>
          <w:rFonts w:ascii="Arial" w:hAnsi="Arial" w:cs="Arial"/>
          <w:sz w:val="20"/>
          <w:szCs w:val="20"/>
        </w:rPr>
        <w:t>can request information from another ISE;</w:t>
      </w:r>
    </w:p>
    <w:p w14:paraId="7E8484C9" w14:textId="3D175987" w:rsidR="00424B8F" w:rsidRPr="006D3226" w:rsidRDefault="00424B8F">
      <w:pPr>
        <w:numPr>
          <w:ilvl w:val="0"/>
          <w:numId w:val="63"/>
        </w:numPr>
        <w:ind w:left="357" w:hanging="357"/>
        <w:jc w:val="both"/>
        <w:rPr>
          <w:rFonts w:ascii="Arial" w:hAnsi="Arial" w:cs="Arial"/>
          <w:sz w:val="20"/>
          <w:szCs w:val="20"/>
        </w:rPr>
      </w:pPr>
      <w:r w:rsidRPr="006D3226">
        <w:rPr>
          <w:rFonts w:ascii="Arial" w:hAnsi="Arial" w:cs="Arial"/>
          <w:sz w:val="20"/>
          <w:szCs w:val="20"/>
        </w:rPr>
        <w:t>must respond to requests for information from another ISE and provide relevant information</w:t>
      </w:r>
      <w:r w:rsidR="00C73A2A">
        <w:rPr>
          <w:rFonts w:ascii="Arial" w:hAnsi="Arial" w:cs="Arial"/>
          <w:sz w:val="20"/>
          <w:szCs w:val="20"/>
        </w:rPr>
        <w:t>;</w:t>
      </w:r>
      <w:r w:rsidR="006D3226" w:rsidRPr="006D3226">
        <w:rPr>
          <w:rFonts w:ascii="Arial" w:hAnsi="Arial" w:cs="Arial"/>
          <w:sz w:val="20"/>
          <w:szCs w:val="20"/>
        </w:rPr>
        <w:t xml:space="preserve"> </w:t>
      </w:r>
      <w:r w:rsidR="00C73A2A">
        <w:rPr>
          <w:rFonts w:ascii="Arial" w:hAnsi="Arial" w:cs="Arial"/>
          <w:sz w:val="20"/>
          <w:szCs w:val="20"/>
        </w:rPr>
        <w:t>however, s</w:t>
      </w:r>
      <w:r w:rsidR="00080BC8">
        <w:rPr>
          <w:rFonts w:ascii="Arial" w:hAnsi="Arial" w:cs="Arial"/>
          <w:sz w:val="20"/>
          <w:szCs w:val="20"/>
        </w:rPr>
        <w:t>s</w:t>
      </w:r>
      <w:r w:rsidR="00C73A2A">
        <w:rPr>
          <w:rFonts w:ascii="Arial" w:hAnsi="Arial" w:cs="Arial"/>
          <w:sz w:val="20"/>
          <w:szCs w:val="20"/>
        </w:rPr>
        <w:t>.</w:t>
      </w:r>
      <w:r w:rsidR="00080BC8">
        <w:rPr>
          <w:rFonts w:ascii="Arial" w:hAnsi="Arial" w:cs="Arial"/>
          <w:sz w:val="20"/>
          <w:szCs w:val="20"/>
        </w:rPr>
        <w:t xml:space="preserve">41T &amp; </w:t>
      </w:r>
      <w:r w:rsidR="00C73A2A">
        <w:rPr>
          <w:rFonts w:ascii="Arial" w:hAnsi="Arial" w:cs="Arial"/>
          <w:sz w:val="20"/>
          <w:szCs w:val="20"/>
        </w:rPr>
        <w:t>41</w:t>
      </w:r>
      <w:proofErr w:type="gramStart"/>
      <w:r w:rsidR="00C73A2A">
        <w:rPr>
          <w:rFonts w:ascii="Arial" w:hAnsi="Arial" w:cs="Arial"/>
          <w:sz w:val="20"/>
          <w:szCs w:val="20"/>
        </w:rPr>
        <w:t>W(</w:t>
      </w:r>
      <w:proofErr w:type="gramEnd"/>
      <w:r w:rsidR="00C73A2A">
        <w:rPr>
          <w:rFonts w:ascii="Arial" w:hAnsi="Arial" w:cs="Arial"/>
          <w:sz w:val="20"/>
          <w:szCs w:val="20"/>
        </w:rPr>
        <w:t>5) CWSA provide</w:t>
      </w:r>
      <w:r w:rsidR="00080BC8">
        <w:rPr>
          <w:rFonts w:ascii="Arial" w:hAnsi="Arial" w:cs="Arial"/>
          <w:sz w:val="20"/>
          <w:szCs w:val="20"/>
        </w:rPr>
        <w:t xml:space="preserve"> </w:t>
      </w:r>
      <w:r w:rsidR="00C73A2A">
        <w:rPr>
          <w:rFonts w:ascii="Arial" w:hAnsi="Arial" w:cs="Arial"/>
          <w:sz w:val="20"/>
          <w:szCs w:val="20"/>
        </w:rPr>
        <w:t xml:space="preserve">that </w:t>
      </w:r>
      <w:r w:rsidR="00FD79D9" w:rsidRPr="006D3226">
        <w:rPr>
          <w:rFonts w:ascii="Arial" w:hAnsi="Arial" w:cs="Arial"/>
          <w:sz w:val="20"/>
          <w:szCs w:val="20"/>
        </w:rPr>
        <w:t>the mandatory requirement to respond does not apply to the C</w:t>
      </w:r>
      <w:r w:rsidR="009D0ACC">
        <w:rPr>
          <w:rFonts w:ascii="Arial" w:hAnsi="Arial" w:cs="Arial"/>
          <w:sz w:val="20"/>
          <w:szCs w:val="20"/>
        </w:rPr>
        <w:t>h</w:t>
      </w:r>
      <w:r w:rsidR="00FD79D9" w:rsidRPr="006D3226">
        <w:rPr>
          <w:rFonts w:ascii="Arial" w:hAnsi="Arial" w:cs="Arial"/>
          <w:sz w:val="20"/>
          <w:szCs w:val="20"/>
        </w:rPr>
        <w:t>CV and MCV</w:t>
      </w:r>
      <w:r w:rsidR="00C73A2A">
        <w:rPr>
          <w:rFonts w:ascii="Arial" w:hAnsi="Arial" w:cs="Arial"/>
          <w:sz w:val="20"/>
          <w:szCs w:val="20"/>
        </w:rPr>
        <w:t>.</w:t>
      </w:r>
    </w:p>
    <w:bookmarkEnd w:id="1225"/>
    <w:p w14:paraId="4CD631F2" w14:textId="77777777" w:rsidR="00B7111B" w:rsidRPr="00B7111B" w:rsidRDefault="00B7111B" w:rsidP="00B7111B">
      <w:pPr>
        <w:jc w:val="both"/>
        <w:rPr>
          <w:rFonts w:ascii="Arial" w:hAnsi="Arial" w:cs="Arial"/>
          <w:sz w:val="20"/>
        </w:rPr>
      </w:pPr>
    </w:p>
    <w:p w14:paraId="5046EA01" w14:textId="016CA1B1" w:rsidR="00B7111B" w:rsidRDefault="00B7111B" w:rsidP="00B7111B">
      <w:pPr>
        <w:pStyle w:val="Heading2"/>
        <w:widowControl/>
        <w:tabs>
          <w:tab w:val="left" w:pos="567"/>
        </w:tabs>
        <w:spacing w:line="240" w:lineRule="auto"/>
        <w:rPr>
          <w:rFonts w:ascii="Arial" w:hAnsi="Arial" w:cs="Arial"/>
          <w:b/>
          <w:bCs/>
        </w:rPr>
      </w:pPr>
      <w:bookmarkStart w:id="1227" w:name="_3.13_Court’s_powers"/>
      <w:bookmarkStart w:id="1228" w:name="_3.13_Execution_of"/>
      <w:bookmarkEnd w:id="1227"/>
      <w:bookmarkEnd w:id="1228"/>
      <w:r>
        <w:rPr>
          <w:rFonts w:ascii="Arial" w:hAnsi="Arial" w:cs="Arial"/>
          <w:b/>
          <w:bCs/>
        </w:rPr>
        <w:lastRenderedPageBreak/>
        <w:t>3.13</w:t>
      </w:r>
      <w:r>
        <w:rPr>
          <w:rFonts w:ascii="Arial" w:hAnsi="Arial" w:cs="Arial"/>
          <w:b/>
          <w:bCs/>
        </w:rPr>
        <w:tab/>
      </w:r>
      <w:r w:rsidR="005D1CA1">
        <w:rPr>
          <w:rFonts w:ascii="Arial" w:hAnsi="Arial" w:cs="Arial"/>
          <w:b/>
          <w:bCs/>
        </w:rPr>
        <w:t xml:space="preserve">Interstate execution </w:t>
      </w:r>
      <w:r w:rsidR="00B5441A">
        <w:rPr>
          <w:rFonts w:ascii="Arial" w:hAnsi="Arial" w:cs="Arial"/>
          <w:b/>
          <w:bCs/>
        </w:rPr>
        <w:t>of warrants</w:t>
      </w:r>
      <w:r>
        <w:rPr>
          <w:rFonts w:ascii="Arial" w:hAnsi="Arial" w:cs="Arial"/>
          <w:b/>
          <w:bCs/>
        </w:rPr>
        <w:t xml:space="preserve"> </w:t>
      </w:r>
      <w:r w:rsidR="00B5441A">
        <w:rPr>
          <w:rFonts w:ascii="Arial" w:hAnsi="Arial" w:cs="Arial"/>
          <w:b/>
          <w:bCs/>
        </w:rPr>
        <w:t xml:space="preserve">issued by </w:t>
      </w:r>
      <w:r w:rsidR="005D1CA1">
        <w:rPr>
          <w:rFonts w:ascii="Arial" w:hAnsi="Arial" w:cs="Arial"/>
          <w:b/>
          <w:bCs/>
        </w:rPr>
        <w:t>Australian state</w:t>
      </w:r>
      <w:r w:rsidR="00D60B6A">
        <w:rPr>
          <w:rFonts w:ascii="Arial" w:hAnsi="Arial" w:cs="Arial"/>
          <w:b/>
          <w:bCs/>
        </w:rPr>
        <w:t xml:space="preserve"> </w:t>
      </w:r>
      <w:r w:rsidR="00B5441A">
        <w:rPr>
          <w:rFonts w:ascii="Arial" w:hAnsi="Arial" w:cs="Arial"/>
          <w:b/>
          <w:bCs/>
        </w:rPr>
        <w:t>courts</w:t>
      </w:r>
    </w:p>
    <w:p w14:paraId="4B8C0114" w14:textId="5C254540" w:rsidR="00B7111B" w:rsidRDefault="00B7111B" w:rsidP="00B7111B">
      <w:pPr>
        <w:rPr>
          <w:rFonts w:ascii="Arial" w:hAnsi="Arial" w:cs="Arial"/>
          <w:sz w:val="20"/>
        </w:rPr>
      </w:pPr>
    </w:p>
    <w:p w14:paraId="1CDE913A" w14:textId="64E8EA9D" w:rsidR="00B7111B" w:rsidRDefault="00215ED7" w:rsidP="00215ED7">
      <w:pPr>
        <w:jc w:val="both"/>
        <w:rPr>
          <w:rFonts w:ascii="Arial" w:hAnsi="Arial" w:cs="Arial"/>
          <w:sz w:val="20"/>
        </w:rPr>
      </w:pPr>
      <w:r>
        <w:rPr>
          <w:rFonts w:ascii="Arial" w:hAnsi="Arial" w:cs="Arial"/>
          <w:sz w:val="20"/>
        </w:rPr>
        <w:t xml:space="preserve">Division 1 of Part 5 [ss.81-90] of the </w:t>
      </w:r>
      <w:r w:rsidRPr="00215ED7">
        <w:rPr>
          <w:rFonts w:ascii="Arial" w:hAnsi="Arial" w:cs="Arial"/>
          <w:i/>
          <w:iCs/>
          <w:sz w:val="20"/>
        </w:rPr>
        <w:t>Service and Execution of Process Act 199</w:t>
      </w:r>
      <w:r w:rsidR="00B5441A">
        <w:rPr>
          <w:rFonts w:ascii="Arial" w:hAnsi="Arial" w:cs="Arial"/>
          <w:i/>
          <w:iCs/>
          <w:sz w:val="20"/>
        </w:rPr>
        <w:t>2</w:t>
      </w:r>
      <w:r>
        <w:rPr>
          <w:rFonts w:ascii="Arial" w:hAnsi="Arial" w:cs="Arial"/>
          <w:sz w:val="20"/>
        </w:rPr>
        <w:t xml:space="preserve"> (Cth) sets out a procedure by which a warrant issued by an Australian State Court may be executed in another Australian State.  </w:t>
      </w:r>
      <w:r w:rsidR="00FE313D">
        <w:rPr>
          <w:rFonts w:ascii="Arial" w:hAnsi="Arial" w:cs="Arial"/>
          <w:sz w:val="20"/>
        </w:rPr>
        <w:t xml:space="preserve">Sections 82(2) &amp; </w:t>
      </w:r>
      <w:r w:rsidR="00684E16">
        <w:rPr>
          <w:rFonts w:ascii="Arial" w:hAnsi="Arial" w:cs="Arial"/>
          <w:sz w:val="20"/>
        </w:rPr>
        <w:t>82</w:t>
      </w:r>
      <w:r w:rsidR="00FE313D">
        <w:rPr>
          <w:rFonts w:ascii="Arial" w:hAnsi="Arial" w:cs="Arial"/>
          <w:sz w:val="20"/>
        </w:rPr>
        <w:t>(3) provide that a</w:t>
      </w:r>
      <w:r w:rsidR="005C7620">
        <w:rPr>
          <w:rFonts w:ascii="Arial" w:hAnsi="Arial" w:cs="Arial"/>
          <w:sz w:val="20"/>
        </w:rPr>
        <w:t xml:space="preserve"> person the subject of an Australian State Court warrant (other than a person who is in prison) may be apprehended by</w:t>
      </w:r>
      <w:r w:rsidR="00366998" w:rsidRPr="00A31FFA">
        <w:rPr>
          <w:rFonts w:ascii="Arial" w:hAnsi="Arial" w:cs="Arial"/>
          <w:sz w:val="20"/>
        </w:rPr>
        <w:t>–</w:t>
      </w:r>
    </w:p>
    <w:p w14:paraId="61EE9772" w14:textId="328F5895" w:rsidR="005C7620" w:rsidRDefault="005C7620">
      <w:pPr>
        <w:numPr>
          <w:ilvl w:val="0"/>
          <w:numId w:val="63"/>
        </w:numPr>
        <w:ind w:left="357" w:hanging="357"/>
        <w:jc w:val="both"/>
        <w:rPr>
          <w:rFonts w:ascii="Arial" w:hAnsi="Arial" w:cs="Arial"/>
          <w:sz w:val="20"/>
          <w:szCs w:val="20"/>
        </w:rPr>
      </w:pPr>
      <w:bookmarkStart w:id="1229" w:name="_Toc514752899"/>
      <w:r>
        <w:rPr>
          <w:rFonts w:ascii="Arial" w:hAnsi="Arial" w:cs="Arial"/>
          <w:sz w:val="20"/>
          <w:szCs w:val="20"/>
        </w:rPr>
        <w:t>an officer of the police force of the State in which the person is found; or</w:t>
      </w:r>
    </w:p>
    <w:p w14:paraId="4046181B" w14:textId="7DE98275" w:rsidR="005C7620" w:rsidRDefault="005C7620">
      <w:pPr>
        <w:numPr>
          <w:ilvl w:val="0"/>
          <w:numId w:val="63"/>
        </w:numPr>
        <w:ind w:left="357" w:hanging="357"/>
        <w:jc w:val="both"/>
        <w:rPr>
          <w:rFonts w:ascii="Arial" w:hAnsi="Arial" w:cs="Arial"/>
          <w:sz w:val="20"/>
          <w:szCs w:val="20"/>
        </w:rPr>
      </w:pPr>
      <w:r>
        <w:rPr>
          <w:rFonts w:ascii="Arial" w:hAnsi="Arial" w:cs="Arial"/>
          <w:sz w:val="20"/>
          <w:szCs w:val="20"/>
        </w:rPr>
        <w:t>the Sheriff of that State or any of the Sheriff’s officers; or</w:t>
      </w:r>
    </w:p>
    <w:p w14:paraId="023EB3E0" w14:textId="04A1FCF0" w:rsidR="005C7620" w:rsidRDefault="005C7620">
      <w:pPr>
        <w:numPr>
          <w:ilvl w:val="0"/>
          <w:numId w:val="63"/>
        </w:numPr>
        <w:ind w:left="357" w:hanging="357"/>
        <w:jc w:val="both"/>
        <w:rPr>
          <w:rFonts w:ascii="Arial" w:hAnsi="Arial" w:cs="Arial"/>
          <w:sz w:val="20"/>
          <w:szCs w:val="20"/>
        </w:rPr>
      </w:pPr>
      <w:r>
        <w:rPr>
          <w:rFonts w:ascii="Arial" w:hAnsi="Arial" w:cs="Arial"/>
          <w:sz w:val="20"/>
          <w:szCs w:val="20"/>
        </w:rPr>
        <w:t>a member or special member of the Australian Federal Police.</w:t>
      </w:r>
    </w:p>
    <w:p w14:paraId="3E96ECE4" w14:textId="428EC903" w:rsidR="005C7620" w:rsidRDefault="005C7620" w:rsidP="005C7620">
      <w:pPr>
        <w:rPr>
          <w:rFonts w:ascii="Arial" w:hAnsi="Arial" w:cs="Arial"/>
          <w:sz w:val="20"/>
        </w:rPr>
      </w:pPr>
      <w:bookmarkStart w:id="1230" w:name="_Toc514752900"/>
      <w:bookmarkEnd w:id="1229"/>
    </w:p>
    <w:p w14:paraId="7AC259DE" w14:textId="7692C42B" w:rsidR="005C7620" w:rsidRDefault="00684E16" w:rsidP="005C7620">
      <w:pPr>
        <w:jc w:val="both"/>
        <w:rPr>
          <w:rFonts w:ascii="Arial" w:hAnsi="Arial" w:cs="Arial"/>
          <w:sz w:val="20"/>
        </w:rPr>
      </w:pPr>
      <w:r>
        <w:rPr>
          <w:rFonts w:ascii="Arial" w:hAnsi="Arial" w:cs="Arial"/>
          <w:sz w:val="20"/>
        </w:rPr>
        <w:t>Section 83 provides that a</w:t>
      </w:r>
      <w:r w:rsidR="005C7620">
        <w:rPr>
          <w:rFonts w:ascii="Arial" w:hAnsi="Arial" w:cs="Arial"/>
          <w:sz w:val="20"/>
        </w:rPr>
        <w:t xml:space="preserve">s soon as practicable after being apprehended the person </w:t>
      </w:r>
      <w:r w:rsidR="00FE313D">
        <w:rPr>
          <w:rFonts w:ascii="Arial" w:hAnsi="Arial" w:cs="Arial"/>
          <w:sz w:val="20"/>
        </w:rPr>
        <w:t>must</w:t>
      </w:r>
      <w:r w:rsidR="005C7620">
        <w:rPr>
          <w:rFonts w:ascii="Arial" w:hAnsi="Arial" w:cs="Arial"/>
          <w:sz w:val="20"/>
        </w:rPr>
        <w:t xml:space="preserve"> be taken before a magistrate of the State in which the person was apprehended.  The warrant or a copy thereof must be produced to the magistrate if it is available.  If the warrant or copy is not produced, the magistrate may</w:t>
      </w:r>
      <w:r w:rsidR="00366998" w:rsidRPr="00A31FFA">
        <w:rPr>
          <w:rFonts w:ascii="Arial" w:hAnsi="Arial" w:cs="Arial"/>
          <w:sz w:val="20"/>
        </w:rPr>
        <w:t>–</w:t>
      </w:r>
    </w:p>
    <w:p w14:paraId="73BF6E5E" w14:textId="69E50972" w:rsidR="005C7620" w:rsidRDefault="005C7620">
      <w:pPr>
        <w:numPr>
          <w:ilvl w:val="0"/>
          <w:numId w:val="63"/>
        </w:numPr>
        <w:ind w:left="357" w:hanging="357"/>
        <w:jc w:val="both"/>
        <w:rPr>
          <w:rFonts w:ascii="Arial" w:hAnsi="Arial" w:cs="Arial"/>
          <w:sz w:val="20"/>
          <w:szCs w:val="20"/>
        </w:rPr>
      </w:pPr>
      <w:r>
        <w:rPr>
          <w:rFonts w:ascii="Arial" w:hAnsi="Arial" w:cs="Arial"/>
          <w:sz w:val="20"/>
          <w:szCs w:val="20"/>
        </w:rPr>
        <w:t>order that the person be released; or</w:t>
      </w:r>
    </w:p>
    <w:p w14:paraId="5665B27A" w14:textId="06D0B333" w:rsidR="005C7620" w:rsidRPr="005C7620" w:rsidRDefault="005C7620">
      <w:pPr>
        <w:numPr>
          <w:ilvl w:val="0"/>
          <w:numId w:val="63"/>
        </w:numPr>
        <w:ind w:left="357" w:hanging="357"/>
        <w:jc w:val="both"/>
        <w:rPr>
          <w:rFonts w:ascii="Arial" w:hAnsi="Arial" w:cs="Arial"/>
          <w:sz w:val="20"/>
          <w:szCs w:val="20"/>
        </w:rPr>
      </w:pPr>
      <w:r>
        <w:rPr>
          <w:rFonts w:ascii="Arial" w:hAnsi="Arial" w:cs="Arial"/>
          <w:sz w:val="20"/>
          <w:szCs w:val="20"/>
        </w:rPr>
        <w:t xml:space="preserve">adjourn the </w:t>
      </w:r>
      <w:r w:rsidRPr="005C7620">
        <w:rPr>
          <w:rFonts w:ascii="Arial" w:hAnsi="Arial" w:cs="Arial"/>
          <w:color w:val="000000"/>
          <w:sz w:val="20"/>
          <w:szCs w:val="20"/>
        </w:rPr>
        <w:t>proceeding for such reasonable time as the magistrate specifies and remand the person on bail or in such custody as the magistrate specifies</w:t>
      </w:r>
      <w:r>
        <w:rPr>
          <w:rFonts w:ascii="Arial" w:hAnsi="Arial" w:cs="Arial"/>
          <w:color w:val="000000"/>
          <w:sz w:val="20"/>
          <w:szCs w:val="20"/>
        </w:rPr>
        <w:t xml:space="preserve">; </w:t>
      </w:r>
      <w:r>
        <w:rPr>
          <w:rFonts w:ascii="Arial" w:hAnsi="Arial" w:cs="Arial"/>
          <w:sz w:val="20"/>
          <w:szCs w:val="20"/>
        </w:rPr>
        <w:t>i</w:t>
      </w:r>
      <w:r w:rsidRPr="005C7620">
        <w:rPr>
          <w:rFonts w:ascii="Arial" w:hAnsi="Arial" w:cs="Arial"/>
          <w:sz w:val="20"/>
        </w:rPr>
        <w:t xml:space="preserve">f the warrant or a copy is not produced when the proceeding resumes </w:t>
      </w:r>
      <w:r>
        <w:rPr>
          <w:rFonts w:ascii="Arial" w:hAnsi="Arial" w:cs="Arial"/>
          <w:sz w:val="20"/>
        </w:rPr>
        <w:t>a</w:t>
      </w:r>
      <w:r w:rsidRPr="005C7620">
        <w:rPr>
          <w:rFonts w:ascii="Arial" w:hAnsi="Arial" w:cs="Arial"/>
          <w:sz w:val="20"/>
        </w:rPr>
        <w:t xml:space="preserve"> further adjournment may be granted if </w:t>
      </w:r>
      <w:r>
        <w:rPr>
          <w:rFonts w:ascii="Arial" w:hAnsi="Arial" w:cs="Arial"/>
          <w:sz w:val="20"/>
        </w:rPr>
        <w:t>reasonable cause is shown; the total time of any such adjournment(s) must not exceed 5 days.</w:t>
      </w:r>
    </w:p>
    <w:p w14:paraId="2E9F6497" w14:textId="33E2B3DF" w:rsidR="005D1CA1" w:rsidRDefault="005D1CA1" w:rsidP="00B5441A">
      <w:pPr>
        <w:jc w:val="both"/>
        <w:rPr>
          <w:rFonts w:ascii="Arial" w:hAnsi="Arial" w:cs="Arial"/>
          <w:sz w:val="20"/>
        </w:rPr>
      </w:pPr>
    </w:p>
    <w:p w14:paraId="62A785D9" w14:textId="4E3B1455" w:rsidR="005D1CA1" w:rsidRDefault="005D1CA1" w:rsidP="00B5441A">
      <w:pPr>
        <w:jc w:val="both"/>
        <w:rPr>
          <w:rFonts w:ascii="Arial" w:hAnsi="Arial" w:cs="Arial"/>
          <w:sz w:val="20"/>
        </w:rPr>
      </w:pPr>
      <w:r>
        <w:rPr>
          <w:rFonts w:ascii="Arial" w:hAnsi="Arial" w:cs="Arial"/>
          <w:sz w:val="20"/>
        </w:rPr>
        <w:t xml:space="preserve">For the purposes of a proceeding </w:t>
      </w:r>
      <w:r w:rsidR="00684E16">
        <w:rPr>
          <w:rFonts w:ascii="Arial" w:hAnsi="Arial" w:cs="Arial"/>
          <w:sz w:val="20"/>
        </w:rPr>
        <w:t>under s.83</w:t>
      </w:r>
      <w:r>
        <w:rPr>
          <w:rFonts w:ascii="Arial" w:hAnsi="Arial" w:cs="Arial"/>
          <w:sz w:val="20"/>
        </w:rPr>
        <w:t xml:space="preserve">, the magistrate is not bound by the rules of evidence and – in the event of an adjournment – </w:t>
      </w:r>
      <w:r w:rsidRPr="005D1CA1">
        <w:rPr>
          <w:rFonts w:ascii="Arial" w:hAnsi="Arial" w:cs="Arial"/>
          <w:color w:val="000000"/>
          <w:sz w:val="20"/>
          <w:szCs w:val="20"/>
        </w:rPr>
        <w:t>it</w:t>
      </w:r>
      <w:r>
        <w:rPr>
          <w:rFonts w:ascii="Arial" w:hAnsi="Arial" w:cs="Arial"/>
          <w:color w:val="000000"/>
          <w:sz w:val="20"/>
          <w:szCs w:val="20"/>
        </w:rPr>
        <w:t xml:space="preserve"> </w:t>
      </w:r>
      <w:r w:rsidRPr="005D1CA1">
        <w:rPr>
          <w:rFonts w:ascii="Arial" w:hAnsi="Arial" w:cs="Arial"/>
          <w:color w:val="000000"/>
          <w:sz w:val="20"/>
          <w:szCs w:val="20"/>
        </w:rPr>
        <w:t>is not necessary that a magistrate before whom the proceeding was previously conducted continue to conduct the proceeding</w:t>
      </w:r>
      <w:r w:rsidR="00684E16">
        <w:rPr>
          <w:rFonts w:ascii="Arial" w:hAnsi="Arial" w:cs="Arial"/>
          <w:color w:val="000000"/>
          <w:sz w:val="20"/>
          <w:szCs w:val="20"/>
        </w:rPr>
        <w:t xml:space="preserve"> [s.83(14)]</w:t>
      </w:r>
      <w:r>
        <w:rPr>
          <w:rFonts w:ascii="Arial" w:hAnsi="Arial" w:cs="Arial"/>
          <w:color w:val="000000"/>
          <w:sz w:val="20"/>
          <w:szCs w:val="20"/>
        </w:rPr>
        <w:t xml:space="preserve">.  </w:t>
      </w:r>
      <w:r>
        <w:rPr>
          <w:rFonts w:ascii="Arial" w:hAnsi="Arial" w:cs="Arial"/>
          <w:sz w:val="20"/>
        </w:rPr>
        <w:t>The law of the state in which the person is apprehended applies with respect to the granting of bail</w:t>
      </w:r>
      <w:r w:rsidR="00684E16">
        <w:rPr>
          <w:rFonts w:ascii="Arial" w:hAnsi="Arial" w:cs="Arial"/>
          <w:sz w:val="20"/>
        </w:rPr>
        <w:t xml:space="preserve"> [s.88]</w:t>
      </w:r>
      <w:r>
        <w:rPr>
          <w:rFonts w:ascii="Arial" w:hAnsi="Arial" w:cs="Arial"/>
          <w:sz w:val="20"/>
        </w:rPr>
        <w:t>.</w:t>
      </w:r>
    </w:p>
    <w:p w14:paraId="14510B08" w14:textId="77777777" w:rsidR="005D1CA1" w:rsidRDefault="005D1CA1" w:rsidP="00B5441A">
      <w:pPr>
        <w:jc w:val="both"/>
        <w:rPr>
          <w:rFonts w:ascii="Arial" w:hAnsi="Arial" w:cs="Arial"/>
          <w:sz w:val="20"/>
        </w:rPr>
      </w:pPr>
    </w:p>
    <w:p w14:paraId="04FC79C4" w14:textId="428611E0" w:rsidR="005C7620" w:rsidRDefault="00B5441A" w:rsidP="00B5441A">
      <w:pPr>
        <w:jc w:val="both"/>
        <w:rPr>
          <w:rFonts w:ascii="Arial" w:hAnsi="Arial" w:cs="Arial"/>
          <w:sz w:val="20"/>
        </w:rPr>
      </w:pPr>
      <w:r>
        <w:rPr>
          <w:rFonts w:ascii="Arial" w:hAnsi="Arial" w:cs="Arial"/>
          <w:sz w:val="20"/>
        </w:rPr>
        <w:t>If the warrant or a copy is not produced when the proceeding resumes after the further adjournment, the magistrate must order that the person be released</w:t>
      </w:r>
      <w:r w:rsidR="00FE313D">
        <w:rPr>
          <w:rFonts w:ascii="Arial" w:hAnsi="Arial" w:cs="Arial"/>
          <w:sz w:val="20"/>
        </w:rPr>
        <w:t xml:space="preserve"> [s.83(7)].</w:t>
      </w:r>
    </w:p>
    <w:p w14:paraId="5D64027D" w14:textId="60C066B3" w:rsidR="00D60B6A" w:rsidRDefault="00D60B6A" w:rsidP="00D60B6A">
      <w:pPr>
        <w:rPr>
          <w:rFonts w:ascii="Arial" w:hAnsi="Arial" w:cs="Arial"/>
          <w:sz w:val="20"/>
        </w:rPr>
      </w:pPr>
    </w:p>
    <w:p w14:paraId="5030D371" w14:textId="03208AEB" w:rsidR="00D60B6A" w:rsidRDefault="00D60B6A" w:rsidP="00D60B6A">
      <w:pPr>
        <w:rPr>
          <w:rFonts w:ascii="Arial" w:hAnsi="Arial" w:cs="Arial"/>
          <w:sz w:val="20"/>
        </w:rPr>
      </w:pPr>
      <w:r>
        <w:rPr>
          <w:rFonts w:ascii="Arial" w:hAnsi="Arial" w:cs="Arial"/>
          <w:sz w:val="20"/>
        </w:rPr>
        <w:t>If a warrant or copy is produced, the magistrate must order</w:t>
      </w:r>
      <w:r w:rsidR="00366998" w:rsidRPr="00A31FFA">
        <w:rPr>
          <w:rFonts w:ascii="Arial" w:hAnsi="Arial" w:cs="Arial"/>
          <w:sz w:val="20"/>
        </w:rPr>
        <w:t>–</w:t>
      </w:r>
    </w:p>
    <w:p w14:paraId="34BC7FEB" w14:textId="62886D1F" w:rsidR="00D60B6A" w:rsidRDefault="00D60B6A">
      <w:pPr>
        <w:numPr>
          <w:ilvl w:val="0"/>
          <w:numId w:val="63"/>
        </w:numPr>
        <w:ind w:left="357" w:hanging="357"/>
        <w:jc w:val="both"/>
        <w:rPr>
          <w:rFonts w:ascii="Arial" w:hAnsi="Arial" w:cs="Arial"/>
          <w:sz w:val="20"/>
          <w:szCs w:val="20"/>
        </w:rPr>
      </w:pPr>
      <w:r>
        <w:rPr>
          <w:rFonts w:ascii="Arial" w:hAnsi="Arial" w:cs="Arial"/>
          <w:sz w:val="20"/>
          <w:szCs w:val="20"/>
        </w:rPr>
        <w:t>[s.8</w:t>
      </w:r>
      <w:r w:rsidR="00684E16">
        <w:rPr>
          <w:rFonts w:ascii="Arial" w:hAnsi="Arial" w:cs="Arial"/>
          <w:sz w:val="20"/>
          <w:szCs w:val="20"/>
        </w:rPr>
        <w:t>3</w:t>
      </w:r>
      <w:r>
        <w:rPr>
          <w:rFonts w:ascii="Arial" w:hAnsi="Arial" w:cs="Arial"/>
          <w:sz w:val="20"/>
          <w:szCs w:val="20"/>
        </w:rPr>
        <w:t>(10)] that the person be released if the magistrate is satisfied that the warrant is invalid; or</w:t>
      </w:r>
    </w:p>
    <w:p w14:paraId="10184F92" w14:textId="09DF2594" w:rsidR="00D60B6A" w:rsidRDefault="00D60B6A">
      <w:pPr>
        <w:numPr>
          <w:ilvl w:val="0"/>
          <w:numId w:val="63"/>
        </w:numPr>
        <w:ind w:left="357" w:hanging="357"/>
        <w:jc w:val="both"/>
        <w:rPr>
          <w:rFonts w:ascii="Arial" w:hAnsi="Arial" w:cs="Arial"/>
          <w:sz w:val="20"/>
          <w:szCs w:val="20"/>
        </w:rPr>
      </w:pPr>
      <w:r>
        <w:rPr>
          <w:rFonts w:ascii="Arial" w:hAnsi="Arial" w:cs="Arial"/>
          <w:sz w:val="20"/>
          <w:szCs w:val="20"/>
        </w:rPr>
        <w:t>[ss.8</w:t>
      </w:r>
      <w:r w:rsidR="00684E16">
        <w:rPr>
          <w:rFonts w:ascii="Arial" w:hAnsi="Arial" w:cs="Arial"/>
          <w:sz w:val="20"/>
          <w:szCs w:val="20"/>
        </w:rPr>
        <w:t>3</w:t>
      </w:r>
      <w:r>
        <w:rPr>
          <w:rFonts w:ascii="Arial" w:hAnsi="Arial" w:cs="Arial"/>
          <w:sz w:val="20"/>
          <w:szCs w:val="20"/>
        </w:rPr>
        <w:t>(8) &amp; 8</w:t>
      </w:r>
      <w:r w:rsidR="00684E16">
        <w:rPr>
          <w:rFonts w:ascii="Arial" w:hAnsi="Arial" w:cs="Arial"/>
          <w:sz w:val="20"/>
          <w:szCs w:val="20"/>
        </w:rPr>
        <w:t>3</w:t>
      </w:r>
      <w:r>
        <w:rPr>
          <w:rFonts w:ascii="Arial" w:hAnsi="Arial" w:cs="Arial"/>
          <w:sz w:val="20"/>
          <w:szCs w:val="20"/>
        </w:rPr>
        <w:t>(9)] that subject to any other specified conditions</w:t>
      </w:r>
      <w:r w:rsidR="00366998" w:rsidRPr="00A31FFA">
        <w:rPr>
          <w:rFonts w:ascii="Arial" w:hAnsi="Arial" w:cs="Arial"/>
          <w:sz w:val="20"/>
        </w:rPr>
        <w:t>–</w:t>
      </w:r>
    </w:p>
    <w:p w14:paraId="170D83F4" w14:textId="5A768495" w:rsidR="00D60B6A" w:rsidRPr="00D60B6A" w:rsidRDefault="00D60B6A">
      <w:pPr>
        <w:pStyle w:val="acthead5"/>
        <w:numPr>
          <w:ilvl w:val="0"/>
          <w:numId w:val="74"/>
        </w:numPr>
        <w:shd w:val="clear" w:color="auto" w:fill="FFFFFF"/>
        <w:spacing w:before="0" w:beforeAutospacing="0" w:after="0" w:afterAutospacing="0"/>
        <w:ind w:left="714" w:hanging="357"/>
        <w:rPr>
          <w:b/>
          <w:bCs/>
          <w:color w:val="000000"/>
        </w:rPr>
      </w:pPr>
      <w:r w:rsidRPr="00D60B6A">
        <w:rPr>
          <w:rFonts w:ascii="Arial" w:hAnsi="Arial" w:cs="Arial"/>
          <w:color w:val="000000"/>
          <w:sz w:val="20"/>
          <w:szCs w:val="20"/>
        </w:rPr>
        <w:t>the person be remanded on bail on condition that the person appear at such time and place in the place of issue of the warrant as the magistrate specifies</w:t>
      </w:r>
      <w:r>
        <w:rPr>
          <w:rFonts w:ascii="Arial" w:hAnsi="Arial" w:cs="Arial"/>
          <w:color w:val="000000"/>
          <w:sz w:val="20"/>
          <w:szCs w:val="20"/>
        </w:rPr>
        <w:t>; or</w:t>
      </w:r>
    </w:p>
    <w:p w14:paraId="0FC93F45" w14:textId="2266E809" w:rsidR="00D60B6A" w:rsidRDefault="00D60B6A">
      <w:pPr>
        <w:pStyle w:val="acthead5"/>
        <w:numPr>
          <w:ilvl w:val="0"/>
          <w:numId w:val="74"/>
        </w:numPr>
        <w:shd w:val="clear" w:color="auto" w:fill="FFFFFF"/>
        <w:spacing w:before="0" w:beforeAutospacing="0" w:after="0" w:afterAutospacing="0"/>
        <w:ind w:left="714" w:hanging="357"/>
        <w:jc w:val="both"/>
        <w:rPr>
          <w:rStyle w:val="charsectno"/>
          <w:b/>
          <w:bCs/>
          <w:color w:val="000000"/>
        </w:rPr>
      </w:pPr>
      <w:r w:rsidRPr="00D60B6A">
        <w:rPr>
          <w:rFonts w:ascii="Arial" w:hAnsi="Arial" w:cs="Arial"/>
          <w:color w:val="000000"/>
          <w:sz w:val="20"/>
          <w:szCs w:val="20"/>
        </w:rPr>
        <w:t>that the person be taken, in such custody or otherwise as the magistrate specifies, to a specified place in the place of issue of the warrant</w:t>
      </w:r>
      <w:r>
        <w:rPr>
          <w:rFonts w:ascii="Arial" w:hAnsi="Arial" w:cs="Arial"/>
          <w:color w:val="000000"/>
          <w:sz w:val="20"/>
          <w:szCs w:val="20"/>
        </w:rPr>
        <w:t>.</w:t>
      </w:r>
    </w:p>
    <w:p w14:paraId="3F4BF7E7" w14:textId="352F3E68" w:rsidR="00D60B6A" w:rsidRDefault="00684E16" w:rsidP="00AB747A">
      <w:pPr>
        <w:jc w:val="both"/>
        <w:rPr>
          <w:rFonts w:ascii="Arial" w:hAnsi="Arial" w:cs="Arial"/>
          <w:sz w:val="20"/>
        </w:rPr>
      </w:pPr>
      <w:r>
        <w:rPr>
          <w:rFonts w:ascii="Arial" w:hAnsi="Arial" w:cs="Arial"/>
          <w:sz w:val="20"/>
        </w:rPr>
        <w:t>Under ss.83(11) &amp; 83(12) t</w:t>
      </w:r>
      <w:r w:rsidR="00D60B6A">
        <w:rPr>
          <w:rFonts w:ascii="Arial" w:hAnsi="Arial" w:cs="Arial"/>
          <w:sz w:val="20"/>
        </w:rPr>
        <w:t>he magistrate may suspend an o</w:t>
      </w:r>
      <w:r w:rsidR="00DA6ACF">
        <w:rPr>
          <w:rFonts w:ascii="Arial" w:hAnsi="Arial" w:cs="Arial"/>
          <w:sz w:val="20"/>
        </w:rPr>
        <w:t>rder made under s.8</w:t>
      </w:r>
      <w:r>
        <w:rPr>
          <w:rFonts w:ascii="Arial" w:hAnsi="Arial" w:cs="Arial"/>
          <w:sz w:val="20"/>
        </w:rPr>
        <w:t>3</w:t>
      </w:r>
      <w:r w:rsidR="00DA6ACF">
        <w:rPr>
          <w:rFonts w:ascii="Arial" w:hAnsi="Arial" w:cs="Arial"/>
          <w:sz w:val="20"/>
        </w:rPr>
        <w:t>(8)(b) for a specified period and remand the person on bail or in such custody as the magistrate specifies until the end of that period.</w:t>
      </w:r>
    </w:p>
    <w:p w14:paraId="0025ABC8" w14:textId="403BD1CD" w:rsidR="004C3BEA" w:rsidRDefault="004C3BEA" w:rsidP="004C3BEA">
      <w:pPr>
        <w:rPr>
          <w:rFonts w:ascii="Arial" w:hAnsi="Arial" w:cs="Arial"/>
          <w:sz w:val="20"/>
        </w:rPr>
      </w:pPr>
      <w:bookmarkStart w:id="1231" w:name="_Toc514752904"/>
      <w:bookmarkEnd w:id="1230"/>
    </w:p>
    <w:p w14:paraId="51EC7D84" w14:textId="3CF4AF7A" w:rsidR="004C3BEA" w:rsidRDefault="004C3BEA" w:rsidP="004C3BEA">
      <w:pPr>
        <w:jc w:val="both"/>
        <w:rPr>
          <w:rFonts w:ascii="Arial" w:hAnsi="Arial" w:cs="Arial"/>
          <w:sz w:val="20"/>
        </w:rPr>
      </w:pPr>
      <w:r>
        <w:rPr>
          <w:rFonts w:ascii="Arial" w:hAnsi="Arial" w:cs="Arial"/>
          <w:sz w:val="20"/>
        </w:rPr>
        <w:t>Although these provisions seem primarily to relate to warrants to arrest issued in criminal proceedings, the writer considers that they are also relevant to the execution of child protection warrants issued under the CYFA</w:t>
      </w:r>
      <w:r w:rsidR="00D8597F">
        <w:rPr>
          <w:rFonts w:ascii="Arial" w:hAnsi="Arial" w:cs="Arial"/>
          <w:sz w:val="20"/>
        </w:rPr>
        <w:t xml:space="preserve"> or an equivalent interstate law, noting for instance that s.8</w:t>
      </w:r>
      <w:r w:rsidR="00684E16">
        <w:rPr>
          <w:rFonts w:ascii="Arial" w:hAnsi="Arial" w:cs="Arial"/>
          <w:sz w:val="20"/>
        </w:rPr>
        <w:t>3</w:t>
      </w:r>
      <w:r w:rsidR="00D8597F">
        <w:rPr>
          <w:rFonts w:ascii="Arial" w:hAnsi="Arial" w:cs="Arial"/>
          <w:sz w:val="20"/>
        </w:rPr>
        <w:t>(8)(b) does not necessarily require a child apprehended under an interstate warrant to be taken “in custody” to the issuing state.</w:t>
      </w:r>
    </w:p>
    <w:p w14:paraId="612E11D1" w14:textId="6C9058C9" w:rsidR="00D8597F" w:rsidRDefault="00D8597F" w:rsidP="004C3BEA">
      <w:pPr>
        <w:jc w:val="both"/>
        <w:rPr>
          <w:rFonts w:ascii="Arial" w:hAnsi="Arial" w:cs="Arial"/>
          <w:sz w:val="20"/>
        </w:rPr>
      </w:pPr>
    </w:p>
    <w:p w14:paraId="0902355A" w14:textId="60F74717" w:rsidR="00D8597F" w:rsidRPr="00FE313D" w:rsidRDefault="00D8597F" w:rsidP="004C3BEA">
      <w:pPr>
        <w:jc w:val="both"/>
        <w:rPr>
          <w:rFonts w:ascii="Arial" w:hAnsi="Arial" w:cs="Arial"/>
          <w:sz w:val="20"/>
          <w:szCs w:val="20"/>
        </w:rPr>
      </w:pPr>
      <w:r>
        <w:rPr>
          <w:rFonts w:ascii="Arial" w:hAnsi="Arial" w:cs="Arial"/>
          <w:sz w:val="20"/>
        </w:rPr>
        <w:t xml:space="preserve">Section 86 empowers an apprehended person or a person to whom an interstate warrant is directed to apply to the Supreme Court of the executing State for </w:t>
      </w:r>
      <w:r w:rsidR="00FE313D">
        <w:rPr>
          <w:rFonts w:ascii="Arial" w:hAnsi="Arial" w:cs="Arial"/>
          <w:sz w:val="20"/>
        </w:rPr>
        <w:t xml:space="preserve">a </w:t>
      </w:r>
      <w:r>
        <w:rPr>
          <w:rFonts w:ascii="Arial" w:hAnsi="Arial" w:cs="Arial"/>
          <w:sz w:val="20"/>
        </w:rPr>
        <w:t xml:space="preserve">review – by rehearing – of the order.  For an </w:t>
      </w:r>
      <w:r w:rsidRPr="00FE313D">
        <w:rPr>
          <w:rFonts w:ascii="Arial" w:hAnsi="Arial" w:cs="Arial"/>
          <w:sz w:val="20"/>
          <w:szCs w:val="20"/>
        </w:rPr>
        <w:t xml:space="preserve">example of such a review see </w:t>
      </w:r>
      <w:hyperlink r:id="rId55" w:tgtFrame="_blank" w:history="1">
        <w:r w:rsidRPr="00FE313D">
          <w:rPr>
            <w:rStyle w:val="Hyperlink"/>
            <w:rFonts w:ascii="Arial" w:hAnsi="Arial" w:cs="Arial"/>
            <w:i/>
            <w:iCs/>
            <w:color w:val="000000" w:themeColor="text1"/>
            <w:sz w:val="20"/>
            <w:szCs w:val="20"/>
            <w:u w:val="none"/>
            <w:bdr w:val="none" w:sz="0" w:space="0" w:color="auto" w:frame="1"/>
            <w:shd w:val="clear" w:color="auto" w:fill="FFFFFF"/>
          </w:rPr>
          <w:t>Re Taleb</w:t>
        </w:r>
        <w:r w:rsidRPr="00FE313D">
          <w:rPr>
            <w:rStyle w:val="Hyperlink"/>
            <w:rFonts w:ascii="Arial" w:hAnsi="Arial" w:cs="Arial"/>
            <w:color w:val="000000" w:themeColor="text1"/>
            <w:sz w:val="20"/>
            <w:szCs w:val="20"/>
            <w:u w:val="none"/>
            <w:bdr w:val="none" w:sz="0" w:space="0" w:color="auto" w:frame="1"/>
            <w:shd w:val="clear" w:color="auto" w:fill="FFFFFF"/>
          </w:rPr>
          <w:t xml:space="preserve"> [2021] VSC 427</w:t>
        </w:r>
      </w:hyperlink>
      <w:r w:rsidRPr="00FE313D">
        <w:rPr>
          <w:rFonts w:ascii="Arial" w:hAnsi="Arial" w:cs="Arial"/>
          <w:color w:val="201F1E"/>
          <w:sz w:val="20"/>
          <w:szCs w:val="20"/>
          <w:shd w:val="clear" w:color="auto" w:fill="FFFFFF"/>
        </w:rPr>
        <w:t>.</w:t>
      </w:r>
    </w:p>
    <w:bookmarkEnd w:id="1231"/>
    <w:p w14:paraId="4C4C39D9" w14:textId="77777777" w:rsidR="00B7111B" w:rsidRDefault="00B7111B" w:rsidP="00B7111B">
      <w:pPr>
        <w:rPr>
          <w:rFonts w:ascii="Arial" w:hAnsi="Arial" w:cs="Arial"/>
          <w:sz w:val="20"/>
        </w:rPr>
      </w:pPr>
    </w:p>
    <w:p w14:paraId="0AAA31CA" w14:textId="21D5C1DF" w:rsidR="008B692E" w:rsidRDefault="008B692E" w:rsidP="008B692E">
      <w:pPr>
        <w:pStyle w:val="Heading2"/>
        <w:widowControl/>
        <w:tabs>
          <w:tab w:val="left" w:pos="567"/>
        </w:tabs>
        <w:spacing w:line="240" w:lineRule="auto"/>
        <w:rPr>
          <w:rFonts w:ascii="Arial" w:hAnsi="Arial" w:cs="Arial"/>
          <w:b/>
          <w:bCs/>
        </w:rPr>
      </w:pPr>
      <w:bookmarkStart w:id="1232" w:name="_3.14_The_Child"/>
      <w:bookmarkEnd w:id="1232"/>
      <w:r>
        <w:rPr>
          <w:rFonts w:ascii="Arial" w:hAnsi="Arial" w:cs="Arial"/>
          <w:b/>
          <w:bCs/>
        </w:rPr>
        <w:t>3.14</w:t>
      </w:r>
      <w:r>
        <w:rPr>
          <w:rFonts w:ascii="Arial" w:hAnsi="Arial" w:cs="Arial"/>
          <w:b/>
          <w:bCs/>
        </w:rPr>
        <w:tab/>
        <w:t>Victorian Civil and Administrative Tribunal’s child protection jurisdiction</w:t>
      </w:r>
    </w:p>
    <w:p w14:paraId="74F68AD7" w14:textId="77777777" w:rsidR="00BA2C61" w:rsidRDefault="00BA2C61" w:rsidP="00BA2C61">
      <w:pPr>
        <w:rPr>
          <w:rFonts w:ascii="Arial" w:hAnsi="Arial" w:cs="Arial"/>
          <w:sz w:val="20"/>
        </w:rPr>
      </w:pPr>
    </w:p>
    <w:p w14:paraId="19B3AFA3" w14:textId="6C821A71" w:rsidR="00BA2C61" w:rsidRDefault="00BA2C61" w:rsidP="00BA2C61">
      <w:pPr>
        <w:jc w:val="both"/>
        <w:rPr>
          <w:rFonts w:ascii="Arial" w:hAnsi="Arial" w:cs="Arial"/>
          <w:sz w:val="20"/>
          <w:szCs w:val="20"/>
        </w:rPr>
      </w:pPr>
      <w:r>
        <w:rPr>
          <w:rFonts w:ascii="Arial" w:hAnsi="Arial" w:cs="Arial"/>
          <w:sz w:val="20"/>
        </w:rPr>
        <w:t xml:space="preserve">Section </w:t>
      </w:r>
      <w:r w:rsidR="008B692E">
        <w:rPr>
          <w:rFonts w:ascii="Arial" w:hAnsi="Arial" w:cs="Arial"/>
          <w:sz w:val="20"/>
        </w:rPr>
        <w:t xml:space="preserve">333 </w:t>
      </w:r>
      <w:r>
        <w:rPr>
          <w:rFonts w:ascii="Arial" w:hAnsi="Arial" w:cs="Arial"/>
          <w:sz w:val="20"/>
        </w:rPr>
        <w:t>of the</w:t>
      </w:r>
      <w:r w:rsidRPr="008B692E">
        <w:rPr>
          <w:rFonts w:ascii="Arial" w:hAnsi="Arial" w:cs="Arial"/>
          <w:sz w:val="20"/>
        </w:rPr>
        <w:t xml:space="preserve"> </w:t>
      </w:r>
      <w:r w:rsidR="008B692E" w:rsidRPr="008B692E">
        <w:rPr>
          <w:rFonts w:ascii="Arial" w:hAnsi="Arial" w:cs="Arial"/>
          <w:sz w:val="20"/>
        </w:rPr>
        <w:t xml:space="preserve">CYFA </w:t>
      </w:r>
      <w:r>
        <w:rPr>
          <w:rFonts w:ascii="Arial" w:hAnsi="Arial" w:cs="Arial"/>
          <w:sz w:val="20"/>
        </w:rPr>
        <w:t>provides</w:t>
      </w:r>
      <w:r w:rsidR="008B692E">
        <w:rPr>
          <w:rFonts w:ascii="Arial" w:hAnsi="Arial" w:cs="Arial"/>
          <w:sz w:val="20"/>
        </w:rPr>
        <w:t>:</w:t>
      </w:r>
    </w:p>
    <w:p w14:paraId="71309F93" w14:textId="1E0A5ACB" w:rsidR="008B692E" w:rsidRPr="008B692E" w:rsidRDefault="008B692E">
      <w:pPr>
        <w:pStyle w:val="ListParagraph"/>
        <w:numPr>
          <w:ilvl w:val="0"/>
          <w:numId w:val="144"/>
        </w:numPr>
        <w:tabs>
          <w:tab w:val="num" w:pos="720"/>
        </w:tabs>
        <w:spacing w:before="60"/>
        <w:jc w:val="both"/>
        <w:rPr>
          <w:rFonts w:ascii="Arial" w:hAnsi="Arial" w:cs="Arial"/>
          <w:sz w:val="20"/>
        </w:rPr>
      </w:pPr>
      <w:r w:rsidRPr="008B692E">
        <w:rPr>
          <w:rFonts w:ascii="Arial" w:hAnsi="Arial" w:cs="Arial"/>
          <w:sz w:val="20"/>
        </w:rPr>
        <w:t>“</w:t>
      </w:r>
      <w:r>
        <w:rPr>
          <w:rFonts w:ascii="Arial" w:hAnsi="Arial" w:cs="Arial"/>
          <w:sz w:val="20"/>
        </w:rPr>
        <w:t>A child or a child’s parent may apply to the Victorian Civil and Administrative Tribunal [VCAT] for review of–</w:t>
      </w:r>
    </w:p>
    <w:p w14:paraId="7166C9B4" w14:textId="503359F5" w:rsidR="008B692E" w:rsidRDefault="008B692E">
      <w:pPr>
        <w:pStyle w:val="ListParagraph"/>
        <w:numPr>
          <w:ilvl w:val="0"/>
          <w:numId w:val="143"/>
        </w:numPr>
        <w:ind w:left="1077" w:hanging="357"/>
        <w:contextualSpacing/>
        <w:jc w:val="both"/>
        <w:rPr>
          <w:rFonts w:ascii="Arial" w:hAnsi="Arial" w:cs="Arial"/>
          <w:sz w:val="20"/>
        </w:rPr>
      </w:pPr>
      <w:r>
        <w:rPr>
          <w:rFonts w:ascii="Arial" w:hAnsi="Arial" w:cs="Arial"/>
          <w:sz w:val="20"/>
        </w:rPr>
        <w:t>a decision contained in a case plan prepared in respect of the child under section 168 or any other decision made by the Secretary concerning the child</w:t>
      </w:r>
      <w:r w:rsidRPr="008B692E">
        <w:rPr>
          <w:rFonts w:ascii="Arial" w:hAnsi="Arial" w:cs="Arial"/>
          <w:sz w:val="20"/>
        </w:rPr>
        <w:t xml:space="preserve">; </w:t>
      </w:r>
      <w:r>
        <w:rPr>
          <w:rFonts w:ascii="Arial" w:hAnsi="Arial" w:cs="Arial"/>
          <w:sz w:val="20"/>
        </w:rPr>
        <w:t>or</w:t>
      </w:r>
    </w:p>
    <w:p w14:paraId="48C53A67" w14:textId="0324C07C" w:rsidR="008B692E" w:rsidRDefault="008B692E">
      <w:pPr>
        <w:pStyle w:val="ListParagraph"/>
        <w:numPr>
          <w:ilvl w:val="0"/>
          <w:numId w:val="143"/>
        </w:numPr>
        <w:ind w:left="1077" w:hanging="357"/>
        <w:contextualSpacing/>
        <w:jc w:val="both"/>
        <w:rPr>
          <w:rFonts w:ascii="Arial" w:hAnsi="Arial" w:cs="Arial"/>
          <w:sz w:val="20"/>
        </w:rPr>
      </w:pPr>
      <w:r>
        <w:rPr>
          <w:rFonts w:ascii="Arial" w:hAnsi="Arial" w:cs="Arial"/>
          <w:sz w:val="20"/>
        </w:rPr>
        <w:t>without limiting paragraph (a), a decision contained in a case plan prepared in respect of the child under section 168 by the principal officer of an Aboriginal agency or any other decision made by the principal officer concerning the child under an authorisation under section 18.</w:t>
      </w:r>
    </w:p>
    <w:p w14:paraId="528D4A6B" w14:textId="0A98480B" w:rsidR="00782546" w:rsidRPr="00782546" w:rsidRDefault="00782546">
      <w:pPr>
        <w:pStyle w:val="ListParagraph"/>
        <w:numPr>
          <w:ilvl w:val="0"/>
          <w:numId w:val="144"/>
        </w:numPr>
        <w:tabs>
          <w:tab w:val="num" w:pos="720"/>
        </w:tabs>
        <w:spacing w:before="60"/>
        <w:jc w:val="both"/>
        <w:rPr>
          <w:rFonts w:ascii="Arial" w:hAnsi="Arial" w:cs="Arial"/>
          <w:sz w:val="20"/>
        </w:rPr>
      </w:pPr>
      <w:r>
        <w:rPr>
          <w:rFonts w:ascii="Arial" w:hAnsi="Arial" w:cs="Arial"/>
          <w:sz w:val="20"/>
        </w:rPr>
        <w:t>An application for review must be made within 28 days after the later of–</w:t>
      </w:r>
    </w:p>
    <w:p w14:paraId="084C44BC" w14:textId="6EE4A43A" w:rsidR="00782546" w:rsidRDefault="00782546">
      <w:pPr>
        <w:pStyle w:val="ListParagraph"/>
        <w:numPr>
          <w:ilvl w:val="0"/>
          <w:numId w:val="145"/>
        </w:numPr>
        <w:ind w:left="1077" w:hanging="357"/>
        <w:contextualSpacing/>
        <w:jc w:val="both"/>
        <w:rPr>
          <w:rFonts w:ascii="Arial" w:hAnsi="Arial" w:cs="Arial"/>
          <w:sz w:val="20"/>
        </w:rPr>
      </w:pPr>
      <w:r>
        <w:rPr>
          <w:rFonts w:ascii="Arial" w:hAnsi="Arial" w:cs="Arial"/>
          <w:sz w:val="20"/>
        </w:rPr>
        <w:t>the day on which the decision is made;</w:t>
      </w:r>
    </w:p>
    <w:p w14:paraId="686E03B5" w14:textId="1157EE03" w:rsidR="00782546" w:rsidRDefault="00782546">
      <w:pPr>
        <w:pStyle w:val="ListParagraph"/>
        <w:numPr>
          <w:ilvl w:val="0"/>
          <w:numId w:val="145"/>
        </w:numPr>
        <w:ind w:left="1077" w:hanging="357"/>
        <w:contextualSpacing/>
        <w:jc w:val="both"/>
        <w:rPr>
          <w:rFonts w:ascii="Arial" w:hAnsi="Arial" w:cs="Arial"/>
          <w:sz w:val="20"/>
        </w:rPr>
      </w:pPr>
      <w:r>
        <w:rPr>
          <w:rFonts w:ascii="Arial" w:hAnsi="Arial" w:cs="Arial"/>
          <w:sz w:val="20"/>
        </w:rPr>
        <w:lastRenderedPageBreak/>
        <w:t xml:space="preserve">if, under the </w:t>
      </w:r>
      <w:r w:rsidRPr="00782546">
        <w:rPr>
          <w:rFonts w:ascii="Arial" w:hAnsi="Arial" w:cs="Arial"/>
          <w:b/>
          <w:bCs/>
          <w:sz w:val="20"/>
        </w:rPr>
        <w:t>Victorian Civil and Administrative Tribunal Act 1998</w:t>
      </w:r>
      <w:r>
        <w:rPr>
          <w:rFonts w:ascii="Arial" w:hAnsi="Arial" w:cs="Arial"/>
          <w:sz w:val="20"/>
        </w:rPr>
        <w:t>, the person requests a statement of reasons for the decision, the day on which the statement of reasons is given to the person or the person is informed under section 46(5) of that Act that a statement of reasons will not be given.</w:t>
      </w:r>
    </w:p>
    <w:p w14:paraId="4BD08EBF" w14:textId="66AE7F86" w:rsidR="00782546" w:rsidRPr="00782546" w:rsidRDefault="00782546">
      <w:pPr>
        <w:pStyle w:val="ListParagraph"/>
        <w:numPr>
          <w:ilvl w:val="0"/>
          <w:numId w:val="144"/>
        </w:numPr>
        <w:tabs>
          <w:tab w:val="num" w:pos="720"/>
        </w:tabs>
        <w:spacing w:before="60"/>
        <w:jc w:val="both"/>
        <w:rPr>
          <w:rFonts w:ascii="Arial" w:hAnsi="Arial" w:cs="Arial"/>
          <w:sz w:val="20"/>
        </w:rPr>
      </w:pPr>
      <w:r>
        <w:rPr>
          <w:rFonts w:ascii="Arial" w:hAnsi="Arial" w:cs="Arial"/>
          <w:sz w:val="20"/>
        </w:rPr>
        <w:t>Before a person is entitled to apply to VCAT for the review of a decision referred to in subsection (1), the person must have exhausted all available avenues for the review of the decision under section 331 [internal review of decision of Secretary DFFH] or section 332 [internal review of decision of principal officer of Aboriginal agency].</w:t>
      </w:r>
    </w:p>
    <w:p w14:paraId="5D3EC320" w14:textId="77777777" w:rsidR="00782546" w:rsidRDefault="00782546" w:rsidP="005A5673">
      <w:pPr>
        <w:rPr>
          <w:rFonts w:ascii="Arial" w:hAnsi="Arial" w:cs="Arial"/>
          <w:sz w:val="20"/>
        </w:rPr>
      </w:pPr>
    </w:p>
    <w:p w14:paraId="45EF9272" w14:textId="273F55FC" w:rsidR="003C559F" w:rsidRDefault="00B05CA3" w:rsidP="00A97CDB">
      <w:pPr>
        <w:jc w:val="both"/>
        <w:rPr>
          <w:rFonts w:ascii="Arial" w:hAnsi="Arial" w:cs="Arial"/>
          <w:sz w:val="20"/>
        </w:rPr>
      </w:pPr>
      <w:bookmarkStart w:id="1233" w:name="_Hlk190866524"/>
      <w:r>
        <w:rPr>
          <w:rFonts w:ascii="Arial" w:hAnsi="Arial" w:cs="Arial"/>
          <w:sz w:val="20"/>
        </w:rPr>
        <w:t xml:space="preserve">In </w:t>
      </w:r>
      <w:r w:rsidRPr="00B05CA3">
        <w:rPr>
          <w:rFonts w:ascii="Arial" w:hAnsi="Arial" w:cs="Arial"/>
          <w:i/>
          <w:iCs/>
          <w:sz w:val="20"/>
        </w:rPr>
        <w:t>INP v Secretary, Department of Families, Fairness and Housing</w:t>
      </w:r>
      <w:r w:rsidRPr="00B05CA3">
        <w:rPr>
          <w:rFonts w:ascii="Arial" w:hAnsi="Arial" w:cs="Arial"/>
          <w:sz w:val="20"/>
        </w:rPr>
        <w:t xml:space="preserve"> [2025] VSC 31 </w:t>
      </w:r>
      <w:r>
        <w:rPr>
          <w:rFonts w:ascii="Arial" w:hAnsi="Arial" w:cs="Arial"/>
          <w:sz w:val="20"/>
        </w:rPr>
        <w:t xml:space="preserve">the </w:t>
      </w:r>
      <w:r w:rsidR="00DA7F88">
        <w:rPr>
          <w:rFonts w:ascii="Arial" w:hAnsi="Arial" w:cs="Arial"/>
          <w:sz w:val="20"/>
        </w:rPr>
        <w:t xml:space="preserve">unrepresented </w:t>
      </w:r>
      <w:r>
        <w:rPr>
          <w:rFonts w:ascii="Arial" w:hAnsi="Arial" w:cs="Arial"/>
          <w:sz w:val="20"/>
        </w:rPr>
        <w:t xml:space="preserve">applicant </w:t>
      </w:r>
      <w:r w:rsidR="003C559F">
        <w:rPr>
          <w:rFonts w:ascii="Arial" w:hAnsi="Arial" w:cs="Arial"/>
          <w:sz w:val="20"/>
        </w:rPr>
        <w:t xml:space="preserve">is the father of 3 children. He and the children’s mother had separated in 2014, the </w:t>
      </w:r>
      <w:r w:rsidR="00A9017E">
        <w:rPr>
          <w:rFonts w:ascii="Arial" w:hAnsi="Arial" w:cs="Arial"/>
          <w:sz w:val="20"/>
        </w:rPr>
        <w:t>mother</w:t>
      </w:r>
      <w:r w:rsidR="003C559F">
        <w:rPr>
          <w:rFonts w:ascii="Arial" w:hAnsi="Arial" w:cs="Arial"/>
          <w:sz w:val="20"/>
        </w:rPr>
        <w:t xml:space="preserve"> leaving the family home and taking the children with her. The Federal Circuit Court had made orders, including for shared parenting responsibilities and for the children to spend time with the father and mother. </w:t>
      </w:r>
      <w:r w:rsidR="00A9017E">
        <w:rPr>
          <w:rFonts w:ascii="Arial" w:hAnsi="Arial" w:cs="Arial"/>
          <w:sz w:val="20"/>
        </w:rPr>
        <w:t xml:space="preserve">In October 2018 child protection practitioners had removed the children – then aged 15,12 &amp; 11 – from </w:t>
      </w:r>
      <w:r w:rsidR="00DA7F88">
        <w:rPr>
          <w:rFonts w:ascii="Arial" w:hAnsi="Arial" w:cs="Arial"/>
          <w:sz w:val="20"/>
        </w:rPr>
        <w:t>the applicant’s</w:t>
      </w:r>
      <w:r w:rsidR="00A9017E">
        <w:rPr>
          <w:rFonts w:ascii="Arial" w:hAnsi="Arial" w:cs="Arial"/>
          <w:sz w:val="20"/>
        </w:rPr>
        <w:t xml:space="preserve"> care and ceased his contact with them but </w:t>
      </w:r>
      <w:r w:rsidR="003674F8">
        <w:rPr>
          <w:rFonts w:ascii="Arial" w:hAnsi="Arial" w:cs="Arial"/>
          <w:sz w:val="20"/>
        </w:rPr>
        <w:t xml:space="preserve">the Department had not </w:t>
      </w:r>
      <w:r w:rsidR="00A9017E">
        <w:rPr>
          <w:rFonts w:ascii="Arial" w:hAnsi="Arial" w:cs="Arial"/>
          <w:sz w:val="20"/>
        </w:rPr>
        <w:t>commenced</w:t>
      </w:r>
      <w:r w:rsidR="003674F8">
        <w:rPr>
          <w:rFonts w:ascii="Arial" w:hAnsi="Arial" w:cs="Arial"/>
          <w:sz w:val="20"/>
        </w:rPr>
        <w:t xml:space="preserve"> child protection proceedings </w:t>
      </w:r>
      <w:r w:rsidR="00A9017E">
        <w:rPr>
          <w:rFonts w:ascii="Arial" w:hAnsi="Arial" w:cs="Arial"/>
          <w:sz w:val="20"/>
        </w:rPr>
        <w:t>in the Children’s Court.</w:t>
      </w:r>
      <w:r w:rsidR="003674F8">
        <w:rPr>
          <w:rFonts w:ascii="Arial" w:hAnsi="Arial" w:cs="Arial"/>
          <w:sz w:val="20"/>
        </w:rPr>
        <w:t xml:space="preserve"> </w:t>
      </w:r>
      <w:r w:rsidR="005A5673">
        <w:rPr>
          <w:rFonts w:ascii="Arial" w:hAnsi="Arial" w:cs="Arial"/>
          <w:sz w:val="20"/>
        </w:rPr>
        <w:t>One</w:t>
      </w:r>
      <w:r w:rsidR="003674F8">
        <w:rPr>
          <w:rFonts w:ascii="Arial" w:hAnsi="Arial" w:cs="Arial"/>
          <w:sz w:val="20"/>
        </w:rPr>
        <w:t xml:space="preserve"> effect of the Department’s actions – </w:t>
      </w:r>
      <w:r w:rsidR="005A5673">
        <w:rPr>
          <w:rFonts w:ascii="Arial" w:hAnsi="Arial" w:cs="Arial"/>
          <w:sz w:val="20"/>
        </w:rPr>
        <w:t xml:space="preserve">some of </w:t>
      </w:r>
      <w:r w:rsidR="003674F8">
        <w:rPr>
          <w:rFonts w:ascii="Arial" w:hAnsi="Arial" w:cs="Arial"/>
          <w:sz w:val="20"/>
        </w:rPr>
        <w:t>which the Department’s internal review ultimately conceded w</w:t>
      </w:r>
      <w:r w:rsidR="005A5673">
        <w:rPr>
          <w:rFonts w:ascii="Arial" w:hAnsi="Arial" w:cs="Arial"/>
          <w:sz w:val="20"/>
        </w:rPr>
        <w:t>ere</w:t>
      </w:r>
      <w:r w:rsidR="003674F8">
        <w:rPr>
          <w:rFonts w:ascii="Arial" w:hAnsi="Arial" w:cs="Arial"/>
          <w:sz w:val="20"/>
        </w:rPr>
        <w:t xml:space="preserve"> </w:t>
      </w:r>
      <w:r w:rsidR="005A5673">
        <w:rPr>
          <w:rFonts w:ascii="Arial" w:hAnsi="Arial" w:cs="Arial"/>
          <w:sz w:val="20"/>
        </w:rPr>
        <w:t>invalid</w:t>
      </w:r>
      <w:r w:rsidR="003674F8">
        <w:rPr>
          <w:rFonts w:ascii="Arial" w:hAnsi="Arial" w:cs="Arial"/>
          <w:sz w:val="20"/>
        </w:rPr>
        <w:t xml:space="preserve"> – was that the younger two children’s contact with INP was removed for two weeks </w:t>
      </w:r>
      <w:r w:rsidR="005A5673">
        <w:rPr>
          <w:rFonts w:ascii="Arial" w:hAnsi="Arial" w:cs="Arial"/>
          <w:sz w:val="20"/>
        </w:rPr>
        <w:t>and</w:t>
      </w:r>
      <w:r w:rsidR="003674F8">
        <w:rPr>
          <w:rFonts w:ascii="Arial" w:hAnsi="Arial" w:cs="Arial"/>
          <w:sz w:val="20"/>
        </w:rPr>
        <w:t xml:space="preserve"> INP understood that he could only contact the oldest child in or about August 2019 after the completion of the internal review.</w:t>
      </w:r>
    </w:p>
    <w:p w14:paraId="19B3628D" w14:textId="3C997A3A" w:rsidR="003C559F" w:rsidRDefault="00A97CDB" w:rsidP="00A97CDB">
      <w:pPr>
        <w:spacing w:before="120"/>
        <w:jc w:val="both"/>
        <w:rPr>
          <w:rFonts w:ascii="Arial" w:hAnsi="Arial" w:cs="Arial"/>
          <w:sz w:val="20"/>
        </w:rPr>
      </w:pPr>
      <w:bookmarkStart w:id="1234" w:name="_Hlk190866585"/>
      <w:bookmarkEnd w:id="1233"/>
      <w:r>
        <w:rPr>
          <w:rFonts w:ascii="Arial" w:hAnsi="Arial" w:cs="Arial"/>
          <w:sz w:val="20"/>
        </w:rPr>
        <w:t xml:space="preserve">INP had sought a review by VCAT of </w:t>
      </w:r>
      <w:r w:rsidR="005A5673">
        <w:rPr>
          <w:rFonts w:ascii="Arial" w:hAnsi="Arial" w:cs="Arial"/>
          <w:sz w:val="20"/>
        </w:rPr>
        <w:t>five</w:t>
      </w:r>
      <w:r>
        <w:rPr>
          <w:rFonts w:ascii="Arial" w:hAnsi="Arial" w:cs="Arial"/>
          <w:sz w:val="20"/>
        </w:rPr>
        <w:t xml:space="preserve"> decisions made by </w:t>
      </w:r>
      <w:r w:rsidR="005A5673">
        <w:rPr>
          <w:rFonts w:ascii="Arial" w:hAnsi="Arial" w:cs="Arial"/>
          <w:sz w:val="20"/>
        </w:rPr>
        <w:t xml:space="preserve">the Department’s </w:t>
      </w:r>
      <w:r>
        <w:rPr>
          <w:rFonts w:ascii="Arial" w:hAnsi="Arial" w:cs="Arial"/>
          <w:sz w:val="20"/>
        </w:rPr>
        <w:t xml:space="preserve">child protection practitioners. </w:t>
      </w:r>
      <w:r w:rsidR="005A5673" w:rsidRPr="00B05CA3">
        <w:rPr>
          <w:rFonts w:ascii="Arial" w:hAnsi="Arial" w:cs="Arial"/>
          <w:sz w:val="20"/>
        </w:rPr>
        <w:t>VCAT</w:t>
      </w:r>
      <w:r w:rsidR="005A5673">
        <w:rPr>
          <w:rFonts w:ascii="Arial" w:hAnsi="Arial" w:cs="Arial"/>
          <w:sz w:val="20"/>
        </w:rPr>
        <w:t xml:space="preserve"> had </w:t>
      </w:r>
      <w:r w:rsidR="005A5673" w:rsidRPr="00B05CA3">
        <w:rPr>
          <w:rFonts w:ascii="Arial" w:hAnsi="Arial" w:cs="Arial"/>
          <w:sz w:val="20"/>
        </w:rPr>
        <w:t>summarily dismiss</w:t>
      </w:r>
      <w:r w:rsidR="005A5673">
        <w:rPr>
          <w:rFonts w:ascii="Arial" w:hAnsi="Arial" w:cs="Arial"/>
          <w:sz w:val="20"/>
        </w:rPr>
        <w:t>ed</w:t>
      </w:r>
      <w:r w:rsidR="005A5673" w:rsidRPr="00B05CA3">
        <w:rPr>
          <w:rFonts w:ascii="Arial" w:hAnsi="Arial" w:cs="Arial"/>
          <w:sz w:val="20"/>
        </w:rPr>
        <w:t xml:space="preserve"> </w:t>
      </w:r>
      <w:r w:rsidR="005A5673">
        <w:rPr>
          <w:rFonts w:ascii="Arial" w:hAnsi="Arial" w:cs="Arial"/>
          <w:sz w:val="20"/>
        </w:rPr>
        <w:t xml:space="preserve">the </w:t>
      </w:r>
      <w:r w:rsidR="005A5673" w:rsidRPr="00B05CA3">
        <w:rPr>
          <w:rFonts w:ascii="Arial" w:hAnsi="Arial" w:cs="Arial"/>
          <w:sz w:val="20"/>
        </w:rPr>
        <w:t>proceeding as misconceived and lacking in substance</w:t>
      </w:r>
      <w:r w:rsidR="005A5673">
        <w:rPr>
          <w:rFonts w:ascii="Arial" w:hAnsi="Arial" w:cs="Arial"/>
          <w:sz w:val="20"/>
        </w:rPr>
        <w:t xml:space="preserve">. In granting leave to appeal and allowing INP’s appeal, </w:t>
      </w:r>
      <w:r>
        <w:rPr>
          <w:rFonts w:ascii="Arial" w:hAnsi="Arial" w:cs="Arial"/>
          <w:sz w:val="20"/>
        </w:rPr>
        <w:t xml:space="preserve">Ginnane J held </w:t>
      </w:r>
      <w:bookmarkEnd w:id="1234"/>
      <w:r>
        <w:rPr>
          <w:rFonts w:ascii="Arial" w:hAnsi="Arial" w:cs="Arial"/>
          <w:sz w:val="20"/>
        </w:rPr>
        <w:t>at [3]:</w:t>
      </w:r>
    </w:p>
    <w:p w14:paraId="1329175F" w14:textId="26226C12" w:rsidR="00A97CDB" w:rsidRDefault="00A97CDB" w:rsidP="00A97CDB">
      <w:pPr>
        <w:spacing w:before="60"/>
        <w:ind w:left="567" w:right="567"/>
        <w:jc w:val="both"/>
        <w:rPr>
          <w:rFonts w:ascii="Arial" w:hAnsi="Arial" w:cs="Arial"/>
          <w:sz w:val="20"/>
        </w:rPr>
      </w:pPr>
      <w:r>
        <w:rPr>
          <w:rFonts w:ascii="Arial" w:hAnsi="Arial" w:cs="Arial"/>
          <w:sz w:val="20"/>
        </w:rPr>
        <w:t xml:space="preserve">“INP is </w:t>
      </w:r>
      <w:r w:rsidR="00E1607C" w:rsidRPr="00E1607C">
        <w:rPr>
          <w:rFonts w:ascii="Arial" w:hAnsi="Arial" w:cs="Arial"/>
          <w:sz w:val="20"/>
        </w:rPr>
        <w:t>granted leave to appeal on a number of his proposed grounds of appeal and VCAT’s order is set aside on grounds that include that his application for declarations has an arguable utility being to restore his reputation and assist his future relationships with his children and because this was not a case for summary dismissal. Declarations are discretionary remedies and the decision whether to grant them will be affected by the case presented, including the evidence and submissions in support of it. INP had not presented his complete case. He sought a further statement of reasons for the five decisions and a s</w:t>
      </w:r>
      <w:r>
        <w:rPr>
          <w:rFonts w:ascii="Arial" w:hAnsi="Arial" w:cs="Arial"/>
          <w:sz w:val="20"/>
        </w:rPr>
        <w:t> </w:t>
      </w:r>
      <w:r w:rsidR="00E1607C" w:rsidRPr="00E1607C">
        <w:rPr>
          <w:rFonts w:ascii="Arial" w:hAnsi="Arial" w:cs="Arial"/>
          <w:sz w:val="20"/>
        </w:rPr>
        <w:t>49 statement. The Secretary intended to present her submissions and any evidence about the best interests of the children only at a final hearing, if one occurred. I consider that the Tribunal’s application of the best interests of the children principle to the outcome of the review could only have occurred after INP had presented his complete case. The issues of whether he was entitled to further reasons and a s 49 statement, which he raised at the start of the VCAT hearing, should have been decided before the hearing proceeded. In addition, the Tribunal did not give proper consideration to INP’s and the children’s Charter rights, perhaps because INP had not presented his full case.</w:t>
      </w:r>
      <w:r>
        <w:rPr>
          <w:rFonts w:ascii="Arial" w:hAnsi="Arial" w:cs="Arial"/>
          <w:sz w:val="20"/>
        </w:rPr>
        <w:t>”</w:t>
      </w:r>
    </w:p>
    <w:p w14:paraId="7E5A5614" w14:textId="3DF4495E" w:rsidR="00A97CDB" w:rsidRDefault="00DA7F88" w:rsidP="00F31B8B">
      <w:pPr>
        <w:spacing w:before="120"/>
        <w:jc w:val="both"/>
        <w:rPr>
          <w:rFonts w:ascii="Arial" w:hAnsi="Arial" w:cs="Arial"/>
          <w:sz w:val="20"/>
        </w:rPr>
      </w:pPr>
      <w:r>
        <w:rPr>
          <w:rFonts w:ascii="Arial" w:hAnsi="Arial" w:cs="Arial"/>
          <w:sz w:val="20"/>
        </w:rPr>
        <w:t>H</w:t>
      </w:r>
      <w:r w:rsidR="00A97CDB">
        <w:rPr>
          <w:rFonts w:ascii="Arial" w:hAnsi="Arial" w:cs="Arial"/>
          <w:sz w:val="20"/>
        </w:rPr>
        <w:t xml:space="preserve">is Honour </w:t>
      </w:r>
      <w:r w:rsidR="00A97CDB" w:rsidRPr="00A97CDB">
        <w:rPr>
          <w:rFonts w:ascii="Arial" w:hAnsi="Arial" w:cs="Arial"/>
          <w:sz w:val="20"/>
        </w:rPr>
        <w:t>remit</w:t>
      </w:r>
      <w:r w:rsidR="005A5673">
        <w:rPr>
          <w:rFonts w:ascii="Arial" w:hAnsi="Arial" w:cs="Arial"/>
          <w:sz w:val="20"/>
        </w:rPr>
        <w:t>ted</w:t>
      </w:r>
      <w:r w:rsidR="00A97CDB" w:rsidRPr="00A97CDB">
        <w:rPr>
          <w:rFonts w:ascii="Arial" w:hAnsi="Arial" w:cs="Arial"/>
          <w:sz w:val="20"/>
        </w:rPr>
        <w:t xml:space="preserve"> INP’s proceeding to VCAT for a hearing by a differently constituted Tribunal in accordance with law and </w:t>
      </w:r>
      <w:r w:rsidR="005A5673">
        <w:rPr>
          <w:rFonts w:ascii="Arial" w:hAnsi="Arial" w:cs="Arial"/>
          <w:sz w:val="20"/>
        </w:rPr>
        <w:t>his Honour’s</w:t>
      </w:r>
      <w:r w:rsidR="00A97CDB" w:rsidRPr="00A97CDB">
        <w:rPr>
          <w:rFonts w:ascii="Arial" w:hAnsi="Arial" w:cs="Arial"/>
          <w:sz w:val="20"/>
        </w:rPr>
        <w:t xml:space="preserve"> reasons for judgment.</w:t>
      </w:r>
      <w:r w:rsidR="005A5673">
        <w:rPr>
          <w:rFonts w:ascii="Arial" w:hAnsi="Arial" w:cs="Arial"/>
          <w:sz w:val="20"/>
        </w:rPr>
        <w:t xml:space="preserve"> In relation to </w:t>
      </w:r>
      <w:r>
        <w:rPr>
          <w:rFonts w:ascii="Arial" w:hAnsi="Arial" w:cs="Arial"/>
          <w:sz w:val="20"/>
        </w:rPr>
        <w:t xml:space="preserve">his Honour’s findings on </w:t>
      </w:r>
      <w:r w:rsidR="00677975">
        <w:rPr>
          <w:rFonts w:ascii="Arial" w:hAnsi="Arial" w:cs="Arial"/>
          <w:sz w:val="20"/>
        </w:rPr>
        <w:t xml:space="preserve">the Charter rights of </w:t>
      </w:r>
      <w:r w:rsidR="005A5673">
        <w:rPr>
          <w:rFonts w:ascii="Arial" w:hAnsi="Arial" w:cs="Arial"/>
          <w:sz w:val="20"/>
        </w:rPr>
        <w:t xml:space="preserve">INP and the children see </w:t>
      </w:r>
      <w:r w:rsidR="005A5673" w:rsidRPr="00B815DA">
        <w:rPr>
          <w:rFonts w:ascii="Arial" w:hAnsi="Arial" w:cs="Arial"/>
          <w:b/>
          <w:bCs/>
          <w:sz w:val="20"/>
          <w:shd w:val="clear" w:color="auto" w:fill="C5E0B3"/>
        </w:rPr>
        <w:t>section</w:t>
      </w:r>
      <w:r w:rsidR="00F31B8B">
        <w:rPr>
          <w:rFonts w:ascii="Arial" w:hAnsi="Arial" w:cs="Arial"/>
          <w:b/>
          <w:bCs/>
          <w:sz w:val="20"/>
          <w:shd w:val="clear" w:color="auto" w:fill="C5E0B3"/>
        </w:rPr>
        <w:t xml:space="preserve"> 1.</w:t>
      </w:r>
      <w:r w:rsidR="00677975">
        <w:rPr>
          <w:rFonts w:ascii="Arial" w:hAnsi="Arial" w:cs="Arial"/>
          <w:b/>
          <w:bCs/>
          <w:sz w:val="20"/>
          <w:shd w:val="clear" w:color="auto" w:fill="C5E0B3"/>
        </w:rPr>
        <w:t>5</w:t>
      </w:r>
      <w:r w:rsidR="00F31B8B">
        <w:rPr>
          <w:rFonts w:ascii="Arial" w:hAnsi="Arial" w:cs="Arial"/>
          <w:b/>
          <w:bCs/>
          <w:sz w:val="20"/>
          <w:shd w:val="clear" w:color="auto" w:fill="C5E0B3"/>
        </w:rPr>
        <w:t>.3</w:t>
      </w:r>
      <w:r w:rsidR="00F31B8B">
        <w:rPr>
          <w:rFonts w:ascii="Arial" w:hAnsi="Arial" w:cs="Arial"/>
          <w:sz w:val="20"/>
        </w:rPr>
        <w:t>.</w:t>
      </w:r>
    </w:p>
    <w:p w14:paraId="49AA0241" w14:textId="77777777" w:rsidR="003A3428" w:rsidRDefault="003A3428" w:rsidP="003A3428">
      <w:pPr>
        <w:rPr>
          <w:rFonts w:ascii="Arial" w:hAnsi="Arial" w:cs="Arial"/>
          <w:sz w:val="20"/>
        </w:rPr>
      </w:pPr>
    </w:p>
    <w:p w14:paraId="1A25628A" w14:textId="30E4DCEB" w:rsidR="003A3428" w:rsidRDefault="003A3428" w:rsidP="00AD7B25">
      <w:pPr>
        <w:pStyle w:val="Heading2"/>
        <w:widowControl/>
        <w:tabs>
          <w:tab w:val="left" w:pos="567"/>
        </w:tabs>
        <w:spacing w:after="120" w:line="240" w:lineRule="auto"/>
        <w:rPr>
          <w:rFonts w:ascii="Arial" w:hAnsi="Arial" w:cs="Arial"/>
          <w:b/>
          <w:bCs/>
        </w:rPr>
      </w:pPr>
      <w:bookmarkStart w:id="1235" w:name="_3.15_Use_of"/>
      <w:bookmarkEnd w:id="1235"/>
      <w:r>
        <w:rPr>
          <w:rFonts w:ascii="Arial" w:hAnsi="Arial" w:cs="Arial"/>
          <w:b/>
          <w:bCs/>
        </w:rPr>
        <w:t>3.15</w:t>
      </w:r>
      <w:r>
        <w:rPr>
          <w:rFonts w:ascii="Arial" w:hAnsi="Arial" w:cs="Arial"/>
          <w:b/>
          <w:bCs/>
        </w:rPr>
        <w:tab/>
        <w:t>Use of artificial intelligence [AI] in Victoria</w:t>
      </w:r>
      <w:r w:rsidR="007934BF">
        <w:rPr>
          <w:rFonts w:ascii="Arial" w:hAnsi="Arial" w:cs="Arial"/>
          <w:b/>
          <w:bCs/>
        </w:rPr>
        <w:t>’s</w:t>
      </w:r>
      <w:r>
        <w:rPr>
          <w:rFonts w:ascii="Arial" w:hAnsi="Arial" w:cs="Arial"/>
          <w:b/>
          <w:bCs/>
        </w:rPr>
        <w:t xml:space="preserve"> courts and tribunals</w:t>
      </w:r>
    </w:p>
    <w:p w14:paraId="27420354" w14:textId="7C000C4E" w:rsidR="003A3428" w:rsidRDefault="00AD7B25" w:rsidP="00D912A4">
      <w:pPr>
        <w:jc w:val="both"/>
        <w:rPr>
          <w:rFonts w:ascii="Arial" w:hAnsi="Arial" w:cs="Arial"/>
          <w:sz w:val="20"/>
        </w:rPr>
      </w:pPr>
      <w:r w:rsidRPr="00AD7B25">
        <w:rPr>
          <w:rFonts w:ascii="Arial" w:hAnsi="Arial" w:cs="Arial"/>
          <w:sz w:val="20"/>
        </w:rPr>
        <w:t xml:space="preserve">Artificial intelligence (AI) is a broad concept encompassing many ways in which computer systems </w:t>
      </w:r>
      <w:r w:rsidR="00216665">
        <w:rPr>
          <w:rFonts w:ascii="Arial" w:hAnsi="Arial" w:cs="Arial"/>
          <w:sz w:val="20"/>
        </w:rPr>
        <w:t xml:space="preserve">themselves perform tasks normally requiring human intelligence, such as </w:t>
      </w:r>
      <w:r w:rsidRPr="00AD7B25">
        <w:rPr>
          <w:rFonts w:ascii="Arial" w:hAnsi="Arial" w:cs="Arial"/>
          <w:sz w:val="20"/>
        </w:rPr>
        <w:t>collat</w:t>
      </w:r>
      <w:r w:rsidR="00216665">
        <w:rPr>
          <w:rFonts w:ascii="Arial" w:hAnsi="Arial" w:cs="Arial"/>
          <w:sz w:val="20"/>
        </w:rPr>
        <w:t>ing</w:t>
      </w:r>
      <w:r w:rsidRPr="00AD7B25">
        <w:rPr>
          <w:rFonts w:ascii="Arial" w:hAnsi="Arial" w:cs="Arial"/>
          <w:sz w:val="20"/>
        </w:rPr>
        <w:t>, synthesiz</w:t>
      </w:r>
      <w:r w:rsidR="00216665">
        <w:rPr>
          <w:rFonts w:ascii="Arial" w:hAnsi="Arial" w:cs="Arial"/>
          <w:sz w:val="20"/>
        </w:rPr>
        <w:t>ing</w:t>
      </w:r>
      <w:r w:rsidRPr="00AD7B25">
        <w:rPr>
          <w:rFonts w:ascii="Arial" w:hAnsi="Arial" w:cs="Arial"/>
          <w:sz w:val="20"/>
        </w:rPr>
        <w:t>, catalogu</w:t>
      </w:r>
      <w:r w:rsidR="00216665">
        <w:rPr>
          <w:rFonts w:ascii="Arial" w:hAnsi="Arial" w:cs="Arial"/>
          <w:sz w:val="20"/>
        </w:rPr>
        <w:t>ing</w:t>
      </w:r>
      <w:r w:rsidRPr="00AD7B25">
        <w:rPr>
          <w:rFonts w:ascii="Arial" w:hAnsi="Arial" w:cs="Arial"/>
          <w:sz w:val="20"/>
        </w:rPr>
        <w:t xml:space="preserve"> and generat</w:t>
      </w:r>
      <w:r w:rsidR="00216665">
        <w:rPr>
          <w:rFonts w:ascii="Arial" w:hAnsi="Arial" w:cs="Arial"/>
          <w:sz w:val="20"/>
        </w:rPr>
        <w:t>ing</w:t>
      </w:r>
      <w:r w:rsidRPr="00AD7B25">
        <w:rPr>
          <w:rFonts w:ascii="Arial" w:hAnsi="Arial" w:cs="Arial"/>
          <w:sz w:val="20"/>
        </w:rPr>
        <w:t xml:space="preserve"> selected information. AI </w:t>
      </w:r>
      <w:r w:rsidR="001161A4">
        <w:rPr>
          <w:rFonts w:ascii="Arial" w:hAnsi="Arial" w:cs="Arial"/>
          <w:sz w:val="20"/>
        </w:rPr>
        <w:t xml:space="preserve">already </w:t>
      </w:r>
      <w:r w:rsidRPr="00AD7B25">
        <w:rPr>
          <w:rFonts w:ascii="Arial" w:hAnsi="Arial" w:cs="Arial"/>
          <w:sz w:val="20"/>
        </w:rPr>
        <w:t>supplements many computer</w:t>
      </w:r>
      <w:r w:rsidR="00A028A8">
        <w:rPr>
          <w:rFonts w:ascii="Arial" w:hAnsi="Arial" w:cs="Arial"/>
          <w:sz w:val="20"/>
        </w:rPr>
        <w:t>-</w:t>
      </w:r>
      <w:r w:rsidRPr="00AD7B25">
        <w:rPr>
          <w:rFonts w:ascii="Arial" w:hAnsi="Arial" w:cs="Arial"/>
          <w:sz w:val="20"/>
        </w:rPr>
        <w:t>based search engines and information management systems</w:t>
      </w:r>
      <w:r w:rsidR="00D912A4">
        <w:rPr>
          <w:rFonts w:ascii="Arial" w:hAnsi="Arial" w:cs="Arial"/>
          <w:sz w:val="20"/>
        </w:rPr>
        <w:t>,</w:t>
      </w:r>
      <w:r w:rsidRPr="00AD7B25">
        <w:rPr>
          <w:rFonts w:ascii="Arial" w:hAnsi="Arial" w:cs="Arial"/>
          <w:sz w:val="20"/>
        </w:rPr>
        <w:t xml:space="preserve"> including those used by the legal profession and courts</w:t>
      </w:r>
      <w:r w:rsidR="00D912A4">
        <w:rPr>
          <w:rFonts w:ascii="Arial" w:hAnsi="Arial" w:cs="Arial"/>
          <w:sz w:val="20"/>
        </w:rPr>
        <w:t>.</w:t>
      </w:r>
    </w:p>
    <w:p w14:paraId="2C1E5A31" w14:textId="77777777" w:rsidR="00AD7B25" w:rsidRDefault="00AD7B25" w:rsidP="003A3428">
      <w:pPr>
        <w:rPr>
          <w:rFonts w:ascii="Arial" w:hAnsi="Arial" w:cs="Arial"/>
          <w:sz w:val="20"/>
        </w:rPr>
      </w:pPr>
    </w:p>
    <w:p w14:paraId="5BB4A0A1" w14:textId="77777777" w:rsidR="00021645" w:rsidRPr="00A6486E" w:rsidRDefault="00021645" w:rsidP="00021645">
      <w:pPr>
        <w:jc w:val="both"/>
        <w:rPr>
          <w:rFonts w:ascii="Arial" w:hAnsi="Arial" w:cs="Arial"/>
          <w:sz w:val="20"/>
        </w:rPr>
      </w:pPr>
      <w:r>
        <w:rPr>
          <w:rFonts w:ascii="Arial" w:hAnsi="Arial" w:cs="Arial"/>
          <w:sz w:val="20"/>
        </w:rPr>
        <w:t xml:space="preserve">In the course of awarding indemnity costs against the plaintiffs in </w:t>
      </w:r>
      <w:r w:rsidRPr="00C87054">
        <w:rPr>
          <w:rFonts w:ascii="Arial" w:hAnsi="Arial" w:cs="Arial"/>
          <w:i/>
          <w:iCs/>
          <w:sz w:val="20"/>
        </w:rPr>
        <w:t>Nikolic &amp; Anor v Nationwide News Pty Limited &amp; Twitter International Company (X Corp Inc)</w:t>
      </w:r>
      <w:r w:rsidRPr="00C87054">
        <w:rPr>
          <w:rFonts w:ascii="Arial" w:hAnsi="Arial" w:cs="Arial"/>
          <w:sz w:val="20"/>
        </w:rPr>
        <w:t xml:space="preserve"> [2025] VSCA 112</w:t>
      </w:r>
      <w:r>
        <w:rPr>
          <w:rFonts w:ascii="Arial" w:hAnsi="Arial" w:cs="Arial"/>
          <w:sz w:val="20"/>
        </w:rPr>
        <w:t xml:space="preserve">, Beach JA </w:t>
      </w:r>
      <w:r w:rsidRPr="00A6486E">
        <w:rPr>
          <w:rFonts w:ascii="Arial" w:hAnsi="Arial" w:cs="Arial"/>
          <w:sz w:val="20"/>
        </w:rPr>
        <w:t xml:space="preserve">discussed </w:t>
      </w:r>
      <w:r>
        <w:rPr>
          <w:rFonts w:ascii="Arial" w:hAnsi="Arial" w:cs="Arial"/>
          <w:sz w:val="20"/>
        </w:rPr>
        <w:t>a</w:t>
      </w:r>
      <w:r w:rsidRPr="00A6486E">
        <w:rPr>
          <w:rFonts w:ascii="Arial" w:hAnsi="Arial" w:cs="Arial"/>
          <w:sz w:val="20"/>
        </w:rPr>
        <w:t>t [</w:t>
      </w:r>
      <w:proofErr w:type="gramStart"/>
      <w:r w:rsidRPr="00A6486E">
        <w:rPr>
          <w:rFonts w:ascii="Arial" w:hAnsi="Arial" w:cs="Arial"/>
          <w:sz w:val="20"/>
        </w:rPr>
        <w:t>36]</w:t>
      </w:r>
      <w:r>
        <w:rPr>
          <w:rFonts w:ascii="Arial" w:hAnsi="Arial" w:cs="Arial"/>
          <w:sz w:val="20"/>
          <w:vertAlign w:val="subscript"/>
        </w:rPr>
        <w:noBreakHyphen/>
      </w:r>
      <w:proofErr w:type="gramEnd"/>
      <w:r w:rsidRPr="00A6486E">
        <w:rPr>
          <w:rFonts w:ascii="Arial" w:hAnsi="Arial" w:cs="Arial"/>
          <w:sz w:val="20"/>
        </w:rPr>
        <w:t xml:space="preserve">[39] </w:t>
      </w:r>
      <w:r>
        <w:rPr>
          <w:rFonts w:ascii="Arial" w:hAnsi="Arial" w:cs="Arial"/>
          <w:sz w:val="20"/>
        </w:rPr>
        <w:t xml:space="preserve">three fictitious “judgments” referred to and relied on by </w:t>
      </w:r>
      <w:r w:rsidRPr="00A6486E">
        <w:rPr>
          <w:rFonts w:ascii="Arial" w:hAnsi="Arial" w:cs="Arial"/>
          <w:sz w:val="20"/>
        </w:rPr>
        <w:t>the plaintiffs</w:t>
      </w:r>
      <w:r>
        <w:rPr>
          <w:rFonts w:ascii="Arial" w:hAnsi="Arial" w:cs="Arial"/>
          <w:sz w:val="20"/>
        </w:rPr>
        <w:t xml:space="preserve"> </w:t>
      </w:r>
      <w:r w:rsidRPr="00A6486E">
        <w:rPr>
          <w:rFonts w:ascii="Arial" w:hAnsi="Arial" w:cs="Arial"/>
          <w:sz w:val="20"/>
        </w:rPr>
        <w:t>on the question of costs</w:t>
      </w:r>
      <w:r>
        <w:rPr>
          <w:rFonts w:ascii="Arial" w:hAnsi="Arial" w:cs="Arial"/>
          <w:sz w:val="20"/>
        </w:rPr>
        <w:t>,</w:t>
      </w:r>
      <w:r w:rsidRPr="00A6486E">
        <w:rPr>
          <w:rFonts w:ascii="Arial" w:hAnsi="Arial" w:cs="Arial"/>
          <w:sz w:val="20"/>
        </w:rPr>
        <w:t xml:space="preserve"> conclud</w:t>
      </w:r>
      <w:r>
        <w:rPr>
          <w:rFonts w:ascii="Arial" w:hAnsi="Arial" w:cs="Arial"/>
          <w:sz w:val="20"/>
        </w:rPr>
        <w:t>ing</w:t>
      </w:r>
      <w:r w:rsidRPr="00A6486E">
        <w:rPr>
          <w:rFonts w:ascii="Arial" w:hAnsi="Arial" w:cs="Arial"/>
          <w:sz w:val="20"/>
        </w:rPr>
        <w:t xml:space="preserve"> at [39]:</w:t>
      </w:r>
    </w:p>
    <w:p w14:paraId="3B83286A" w14:textId="77777777" w:rsidR="00021645" w:rsidRPr="00A6486E" w:rsidRDefault="00021645" w:rsidP="00021645">
      <w:pPr>
        <w:spacing w:before="60"/>
        <w:ind w:left="567" w:right="567"/>
        <w:jc w:val="both"/>
        <w:rPr>
          <w:rFonts w:ascii="Arial" w:hAnsi="Arial" w:cs="Arial"/>
          <w:sz w:val="20"/>
        </w:rPr>
      </w:pPr>
      <w:r w:rsidRPr="00A6486E">
        <w:rPr>
          <w:rFonts w:ascii="Arial" w:hAnsi="Arial" w:cs="Arial"/>
          <w:sz w:val="20"/>
        </w:rPr>
        <w:t xml:space="preserve">“In the end, the only conclusion I can reach is that, like </w:t>
      </w:r>
      <w:r w:rsidRPr="00A6486E">
        <w:rPr>
          <w:rFonts w:ascii="Arial" w:hAnsi="Arial" w:cs="Arial"/>
          <w:i/>
          <w:iCs/>
          <w:sz w:val="20"/>
        </w:rPr>
        <w:t>DZY v State of Victoria</w:t>
      </w:r>
      <w:r w:rsidRPr="00A6486E">
        <w:rPr>
          <w:rFonts w:ascii="Arial" w:hAnsi="Arial" w:cs="Arial"/>
          <w:sz w:val="20"/>
        </w:rPr>
        <w:t>, these two decisions do not exist in the real world. They are most probably ‘hallucinations’ of the kind referred to in paragraph 7(a) of the New South Wales Supreme Court Practice Note SC Gen 23, which deals with the use of generative artificial intelligence (Gen AI) in that Court.”</w:t>
      </w:r>
    </w:p>
    <w:p w14:paraId="720C44B4" w14:textId="77777777" w:rsidR="00021645" w:rsidRDefault="00021645" w:rsidP="003A3428">
      <w:pPr>
        <w:rPr>
          <w:rFonts w:ascii="Arial" w:hAnsi="Arial" w:cs="Arial"/>
          <w:sz w:val="20"/>
        </w:rPr>
      </w:pPr>
    </w:p>
    <w:p w14:paraId="52F2843D" w14:textId="3D70F980" w:rsidR="00D23D0B" w:rsidRDefault="00D23D0B" w:rsidP="00D23D0B">
      <w:pPr>
        <w:jc w:val="both"/>
        <w:rPr>
          <w:rFonts w:ascii="Arial" w:hAnsi="Arial" w:cs="Arial"/>
          <w:sz w:val="20"/>
        </w:rPr>
      </w:pPr>
      <w:r>
        <w:rPr>
          <w:rFonts w:ascii="Arial" w:hAnsi="Arial" w:cs="Arial"/>
          <w:sz w:val="20"/>
        </w:rPr>
        <w:t xml:space="preserve">In </w:t>
      </w:r>
      <w:r w:rsidRPr="00D23D0B">
        <w:rPr>
          <w:rFonts w:ascii="Arial" w:hAnsi="Arial" w:cs="Arial"/>
          <w:i/>
          <w:iCs/>
          <w:sz w:val="20"/>
        </w:rPr>
        <w:t>Khan v Longmire</w:t>
      </w:r>
      <w:r w:rsidRPr="00D23D0B">
        <w:rPr>
          <w:rFonts w:ascii="Arial" w:hAnsi="Arial" w:cs="Arial"/>
          <w:sz w:val="20"/>
        </w:rPr>
        <w:t xml:space="preserve"> [2026] VSC 309</w:t>
      </w:r>
      <w:r>
        <w:rPr>
          <w:rFonts w:ascii="Arial" w:hAnsi="Arial" w:cs="Arial"/>
          <w:sz w:val="20"/>
        </w:rPr>
        <w:t xml:space="preserve"> one of the grounds of appeal was that VCAT had </w:t>
      </w:r>
      <w:r w:rsidRPr="00D23D0B">
        <w:rPr>
          <w:rFonts w:ascii="Arial" w:hAnsi="Arial" w:cs="Arial"/>
          <w:sz w:val="20"/>
        </w:rPr>
        <w:t xml:space="preserve">failed to provide adequate reasons because they were prepared from a transcript of the hearing generated by AI rather than a formal transcript. </w:t>
      </w:r>
      <w:r>
        <w:rPr>
          <w:rFonts w:ascii="Arial" w:hAnsi="Arial" w:cs="Arial"/>
          <w:sz w:val="20"/>
        </w:rPr>
        <w:t>Quigley J granted leave to appeal on that ground “primarily given its novel circumstances” but dismissed the appeal. At [</w:t>
      </w:r>
      <w:r w:rsidR="00912923">
        <w:rPr>
          <w:rFonts w:ascii="Arial" w:hAnsi="Arial" w:cs="Arial"/>
          <w:sz w:val="20"/>
        </w:rPr>
        <w:t>107</w:t>
      </w:r>
      <w:r>
        <w:rPr>
          <w:rFonts w:ascii="Arial" w:hAnsi="Arial" w:cs="Arial"/>
          <w:sz w:val="20"/>
        </w:rPr>
        <w:t>]</w:t>
      </w:r>
      <w:r w:rsidR="00912923">
        <w:rPr>
          <w:rFonts w:ascii="Arial" w:hAnsi="Arial" w:cs="Arial"/>
          <w:sz w:val="20"/>
        </w:rPr>
        <w:t>-[111]</w:t>
      </w:r>
      <w:r>
        <w:rPr>
          <w:rFonts w:ascii="Arial" w:hAnsi="Arial" w:cs="Arial"/>
          <w:sz w:val="20"/>
        </w:rPr>
        <w:t xml:space="preserve"> her Honour said:</w:t>
      </w:r>
    </w:p>
    <w:p w14:paraId="2D7300C3" w14:textId="6482D52C" w:rsidR="00D23D0B" w:rsidRDefault="00912923" w:rsidP="00D23D0B">
      <w:pPr>
        <w:spacing w:before="60"/>
        <w:ind w:left="567" w:right="567"/>
        <w:jc w:val="both"/>
        <w:rPr>
          <w:rFonts w:ascii="Arial" w:hAnsi="Arial" w:cs="Arial"/>
          <w:sz w:val="20"/>
        </w:rPr>
      </w:pPr>
      <w:r>
        <w:rPr>
          <w:rFonts w:ascii="Arial" w:hAnsi="Arial" w:cs="Arial"/>
          <w:sz w:val="20"/>
        </w:rPr>
        <w:lastRenderedPageBreak/>
        <w:t xml:space="preserve">[107] </w:t>
      </w:r>
      <w:r w:rsidR="00D23D0B">
        <w:rPr>
          <w:rFonts w:ascii="Arial" w:hAnsi="Arial" w:cs="Arial"/>
          <w:sz w:val="20"/>
        </w:rPr>
        <w:t>“</w:t>
      </w:r>
      <w:r w:rsidRPr="00912923">
        <w:rPr>
          <w:rFonts w:ascii="Arial" w:hAnsi="Arial" w:cs="Arial"/>
          <w:sz w:val="20"/>
        </w:rPr>
        <w:t>I consider that the Applicant has miscategorised the use of the AI tool in the circumstances here. This is distinguishable from using AI to actually produce the reasoning product. That product had already been provided when the Tribunal gave its oral reasons. The reference to the use of the AI transcript to produce the reasons is not the same as the use of AI to determine the reasons. That is the product of the intellectual exercise of the Tribunal Member and that exercise had previously taken place at the conclusion of the hearing when he pronounced his order and gave oral reasons.</w:t>
      </w:r>
    </w:p>
    <w:p w14:paraId="3064F9AD" w14:textId="77777777" w:rsidR="00912923" w:rsidRDefault="00912923" w:rsidP="00912923">
      <w:pPr>
        <w:spacing w:before="60"/>
        <w:ind w:left="567" w:right="567"/>
        <w:jc w:val="both"/>
        <w:rPr>
          <w:rFonts w:ascii="Arial" w:hAnsi="Arial" w:cs="Arial"/>
          <w:sz w:val="20"/>
        </w:rPr>
      </w:pPr>
      <w:r>
        <w:rPr>
          <w:rFonts w:ascii="Arial" w:hAnsi="Arial" w:cs="Arial"/>
          <w:sz w:val="20"/>
        </w:rPr>
        <w:t>[108] T</w:t>
      </w:r>
      <w:r w:rsidRPr="00912923">
        <w:rPr>
          <w:rFonts w:ascii="Arial" w:hAnsi="Arial" w:cs="Arial"/>
          <w:sz w:val="20"/>
        </w:rPr>
        <w:t>he Tribunal fairly and properly acknowledged that as no transcript had been provided, he resorted in the circumstances to the use of an available AI tool. In my view, this is no different to the use of the Tribunal’s own notes or the typing up of a transcript from the recording by a Tribunal staff member.</w:t>
      </w:r>
    </w:p>
    <w:p w14:paraId="1A693D5D" w14:textId="77777777" w:rsidR="00912923" w:rsidRDefault="00912923" w:rsidP="00912923">
      <w:pPr>
        <w:spacing w:before="60"/>
        <w:ind w:left="567" w:right="567"/>
        <w:jc w:val="both"/>
        <w:rPr>
          <w:rFonts w:ascii="Arial" w:hAnsi="Arial" w:cs="Arial"/>
          <w:sz w:val="20"/>
        </w:rPr>
      </w:pPr>
      <w:r>
        <w:rPr>
          <w:rFonts w:ascii="Arial" w:hAnsi="Arial" w:cs="Arial"/>
          <w:sz w:val="20"/>
        </w:rPr>
        <w:t>[</w:t>
      </w:r>
      <w:r w:rsidRPr="00912923">
        <w:rPr>
          <w:rFonts w:ascii="Arial" w:hAnsi="Arial" w:cs="Arial"/>
          <w:sz w:val="20"/>
        </w:rPr>
        <w:t>109</w:t>
      </w:r>
      <w:r>
        <w:rPr>
          <w:rFonts w:ascii="Arial" w:hAnsi="Arial" w:cs="Arial"/>
          <w:sz w:val="20"/>
        </w:rPr>
        <w:t>]</w:t>
      </w:r>
      <w:r w:rsidRPr="00912923">
        <w:rPr>
          <w:rFonts w:ascii="Arial" w:hAnsi="Arial" w:cs="Arial"/>
          <w:sz w:val="20"/>
        </w:rPr>
        <w:t xml:space="preserve"> As such, I do not consider that the production of the transcript by using a transcription service tool is an impeachable use of AI in the production of reasons. It is no more than a tool, not unlike a judge’s own notes, which can legitimately be used in the production of written reasons. </w:t>
      </w:r>
    </w:p>
    <w:p w14:paraId="6EE5F967" w14:textId="3650132F" w:rsidR="00912923" w:rsidRDefault="00912923" w:rsidP="00912923">
      <w:pPr>
        <w:spacing w:before="60"/>
        <w:ind w:left="567" w:right="567"/>
        <w:jc w:val="both"/>
        <w:rPr>
          <w:rFonts w:ascii="Arial" w:hAnsi="Arial" w:cs="Arial"/>
          <w:sz w:val="20"/>
        </w:rPr>
      </w:pPr>
      <w:r>
        <w:rPr>
          <w:rFonts w:ascii="Arial" w:hAnsi="Arial" w:cs="Arial"/>
          <w:sz w:val="20"/>
        </w:rPr>
        <w:t>[</w:t>
      </w:r>
      <w:r w:rsidRPr="00912923">
        <w:rPr>
          <w:rFonts w:ascii="Arial" w:hAnsi="Arial" w:cs="Arial"/>
          <w:sz w:val="20"/>
        </w:rPr>
        <w:t>110</w:t>
      </w:r>
      <w:r>
        <w:rPr>
          <w:rFonts w:ascii="Arial" w:hAnsi="Arial" w:cs="Arial"/>
          <w:sz w:val="20"/>
        </w:rPr>
        <w:t>]</w:t>
      </w:r>
      <w:r w:rsidRPr="00912923">
        <w:rPr>
          <w:rFonts w:ascii="Arial" w:hAnsi="Arial" w:cs="Arial"/>
          <w:sz w:val="20"/>
        </w:rPr>
        <w:t xml:space="preserve"> The subsequent production of an independent transcript from the Tribunal recording demonstrates that there is no material difference in the decision or reasons for the decision. Rather, it demonstrates that the Tribunal in its oral reasons provided a consistent analysis and demonstrates that the primary consideration, being that it is fair to do so given the matters in section 109</w:t>
      </w:r>
      <w:r>
        <w:rPr>
          <w:rFonts w:ascii="Arial" w:hAnsi="Arial" w:cs="Arial"/>
          <w:sz w:val="20"/>
        </w:rPr>
        <w:t xml:space="preserve"> [of the VCAT Act]</w:t>
      </w:r>
      <w:r w:rsidRPr="00912923">
        <w:rPr>
          <w:rFonts w:ascii="Arial" w:hAnsi="Arial" w:cs="Arial"/>
          <w:sz w:val="20"/>
        </w:rPr>
        <w:t xml:space="preserve">, was expressed. </w:t>
      </w:r>
    </w:p>
    <w:p w14:paraId="5587BA7B" w14:textId="4F867770" w:rsidR="00912923" w:rsidRDefault="00912923" w:rsidP="00912923">
      <w:pPr>
        <w:spacing w:before="60"/>
        <w:ind w:left="567" w:right="567"/>
        <w:jc w:val="both"/>
        <w:rPr>
          <w:rFonts w:ascii="Arial" w:hAnsi="Arial" w:cs="Arial"/>
          <w:sz w:val="20"/>
        </w:rPr>
      </w:pPr>
      <w:r>
        <w:rPr>
          <w:rFonts w:ascii="Arial" w:hAnsi="Arial" w:cs="Arial"/>
          <w:sz w:val="20"/>
        </w:rPr>
        <w:t>[</w:t>
      </w:r>
      <w:r w:rsidRPr="00912923">
        <w:rPr>
          <w:rFonts w:ascii="Arial" w:hAnsi="Arial" w:cs="Arial"/>
          <w:sz w:val="20"/>
        </w:rPr>
        <w:t>111</w:t>
      </w:r>
      <w:r>
        <w:rPr>
          <w:rFonts w:ascii="Arial" w:hAnsi="Arial" w:cs="Arial"/>
          <w:sz w:val="20"/>
        </w:rPr>
        <w:t>]</w:t>
      </w:r>
      <w:r w:rsidRPr="00912923">
        <w:rPr>
          <w:rFonts w:ascii="Arial" w:hAnsi="Arial" w:cs="Arial"/>
          <w:sz w:val="20"/>
        </w:rPr>
        <w:t xml:space="preserve"> Furthermore, when the written reasons are compared with the formal transcript, it is clear that the reasons for the decision given orally is not inconsistent or different from the decision expressed in the oral reasons.</w:t>
      </w:r>
    </w:p>
    <w:p w14:paraId="56A030BD" w14:textId="77777777" w:rsidR="00912923" w:rsidRDefault="00912923" w:rsidP="00912923">
      <w:pPr>
        <w:ind w:right="567"/>
        <w:jc w:val="both"/>
        <w:rPr>
          <w:rFonts w:ascii="Arial" w:hAnsi="Arial" w:cs="Arial"/>
          <w:sz w:val="20"/>
        </w:rPr>
      </w:pPr>
    </w:p>
    <w:p w14:paraId="38E86967" w14:textId="5FB0DDFA" w:rsidR="00867A72" w:rsidRPr="00844F04" w:rsidRDefault="00867A72" w:rsidP="00867A72">
      <w:pPr>
        <w:pStyle w:val="Heading3"/>
        <w:keepNext/>
        <w:spacing w:after="120" w:line="240" w:lineRule="auto"/>
        <w:rPr>
          <w:rFonts w:ascii="Arial" w:hAnsi="Arial" w:cs="Arial"/>
          <w:b/>
          <w:bCs/>
          <w:color w:val="000000"/>
          <w:sz w:val="20"/>
        </w:rPr>
      </w:pPr>
      <w:bookmarkStart w:id="1236" w:name="_3.15.1_Caution_re"/>
      <w:bookmarkEnd w:id="1236"/>
      <w:r>
        <w:rPr>
          <w:rFonts w:ascii="Arial" w:hAnsi="Arial" w:cs="Arial"/>
          <w:b/>
          <w:bCs/>
          <w:color w:val="000000"/>
          <w:sz w:val="20"/>
        </w:rPr>
        <w:t>3</w:t>
      </w:r>
      <w:r w:rsidRPr="00523616">
        <w:rPr>
          <w:rFonts w:ascii="Arial" w:hAnsi="Arial" w:cs="Arial"/>
          <w:b/>
          <w:bCs/>
          <w:color w:val="000000"/>
          <w:sz w:val="20"/>
        </w:rPr>
        <w:t>.</w:t>
      </w:r>
      <w:r>
        <w:rPr>
          <w:rFonts w:ascii="Arial" w:hAnsi="Arial" w:cs="Arial"/>
          <w:b/>
          <w:bCs/>
          <w:color w:val="000000"/>
          <w:sz w:val="20"/>
        </w:rPr>
        <w:t>15</w:t>
      </w:r>
      <w:r w:rsidRPr="00523616">
        <w:rPr>
          <w:rFonts w:ascii="Arial" w:hAnsi="Arial" w:cs="Arial"/>
          <w:b/>
          <w:bCs/>
          <w:color w:val="000000"/>
          <w:sz w:val="20"/>
        </w:rPr>
        <w:t>.1</w:t>
      </w:r>
      <w:r w:rsidRPr="00523616">
        <w:rPr>
          <w:rFonts w:ascii="Arial" w:hAnsi="Arial" w:cs="Arial"/>
          <w:b/>
          <w:bCs/>
          <w:color w:val="000000"/>
          <w:sz w:val="20"/>
        </w:rPr>
        <w:tab/>
      </w:r>
      <w:r>
        <w:rPr>
          <w:rFonts w:ascii="Arial" w:hAnsi="Arial" w:cs="Arial"/>
          <w:b/>
          <w:bCs/>
          <w:color w:val="000000"/>
          <w:sz w:val="20"/>
        </w:rPr>
        <w:t>Caution re use of AI tools in preparation of sensitive documents</w:t>
      </w:r>
    </w:p>
    <w:p w14:paraId="47206DF5" w14:textId="77777777" w:rsidR="00867A72" w:rsidRDefault="00867A72" w:rsidP="00867A72">
      <w:pPr>
        <w:jc w:val="both"/>
        <w:rPr>
          <w:rFonts w:ascii="Arial" w:hAnsi="Arial" w:cs="Arial"/>
          <w:color w:val="000000"/>
          <w:sz w:val="20"/>
        </w:rPr>
      </w:pPr>
      <w:r w:rsidRPr="00EE1AE8">
        <w:rPr>
          <w:rFonts w:ascii="Arial" w:hAnsi="Arial" w:cs="Arial"/>
          <w:color w:val="000000"/>
          <w:sz w:val="20"/>
        </w:rPr>
        <w:t>In December 2023 the Department of Families, Fairness and Housing (DFFH) reported a privacy</w:t>
      </w:r>
      <w:r>
        <w:rPr>
          <w:rFonts w:ascii="Arial" w:hAnsi="Arial" w:cs="Arial"/>
          <w:color w:val="000000"/>
          <w:sz w:val="20"/>
        </w:rPr>
        <w:t xml:space="preserve"> </w:t>
      </w:r>
      <w:r w:rsidRPr="00EE1AE8">
        <w:rPr>
          <w:rFonts w:ascii="Arial" w:hAnsi="Arial" w:cs="Arial"/>
          <w:color w:val="000000"/>
          <w:sz w:val="20"/>
        </w:rPr>
        <w:t>incident to the Office of the Information Commissioner (OVIC), explaining that a Child Protection</w:t>
      </w:r>
      <w:r>
        <w:rPr>
          <w:rFonts w:ascii="Arial" w:hAnsi="Arial" w:cs="Arial"/>
          <w:color w:val="000000"/>
          <w:sz w:val="20"/>
        </w:rPr>
        <w:t xml:space="preserve"> </w:t>
      </w:r>
      <w:r w:rsidRPr="00EE1AE8">
        <w:rPr>
          <w:rFonts w:ascii="Arial" w:hAnsi="Arial" w:cs="Arial"/>
          <w:color w:val="000000"/>
          <w:sz w:val="20"/>
        </w:rPr>
        <w:t xml:space="preserve">worker had used </w:t>
      </w:r>
      <w:r>
        <w:rPr>
          <w:rFonts w:ascii="Arial" w:hAnsi="Arial" w:cs="Arial"/>
          <w:color w:val="000000"/>
          <w:sz w:val="20"/>
        </w:rPr>
        <w:t xml:space="preserve">an artificial intelligence (AI) tool, </w:t>
      </w:r>
      <w:r w:rsidRPr="00EE1AE8">
        <w:rPr>
          <w:rFonts w:ascii="Arial" w:hAnsi="Arial" w:cs="Arial"/>
          <w:color w:val="000000"/>
          <w:sz w:val="20"/>
        </w:rPr>
        <w:t>ChatGPT2</w:t>
      </w:r>
      <w:r>
        <w:rPr>
          <w:rFonts w:ascii="Arial" w:hAnsi="Arial" w:cs="Arial"/>
          <w:color w:val="000000"/>
          <w:sz w:val="20"/>
        </w:rPr>
        <w:t>,</w:t>
      </w:r>
      <w:r w:rsidRPr="00EE1AE8">
        <w:rPr>
          <w:rFonts w:ascii="Arial" w:hAnsi="Arial" w:cs="Arial"/>
          <w:color w:val="000000"/>
          <w:sz w:val="20"/>
        </w:rPr>
        <w:t xml:space="preserve"> when drafting a Protection Application Report. Th</w:t>
      </w:r>
      <w:r>
        <w:rPr>
          <w:rFonts w:ascii="Arial" w:hAnsi="Arial" w:cs="Arial"/>
          <w:color w:val="000000"/>
          <w:sz w:val="20"/>
        </w:rPr>
        <w:t xml:space="preserve">e </w:t>
      </w:r>
      <w:r w:rsidRPr="00EE1AE8">
        <w:rPr>
          <w:rFonts w:ascii="Arial" w:hAnsi="Arial" w:cs="Arial"/>
          <w:color w:val="000000"/>
          <w:sz w:val="20"/>
        </w:rPr>
        <w:t>report had been submitted to the Children’s Court for a case concerning a young child whose parents</w:t>
      </w:r>
      <w:r>
        <w:rPr>
          <w:rFonts w:ascii="Arial" w:hAnsi="Arial" w:cs="Arial"/>
          <w:color w:val="000000"/>
          <w:sz w:val="20"/>
        </w:rPr>
        <w:t xml:space="preserve"> </w:t>
      </w:r>
      <w:r w:rsidRPr="00EE1AE8">
        <w:rPr>
          <w:rFonts w:ascii="Arial" w:hAnsi="Arial" w:cs="Arial"/>
          <w:color w:val="000000"/>
          <w:sz w:val="20"/>
        </w:rPr>
        <w:t>had been charged in relation to sexual offences.</w:t>
      </w:r>
      <w:r>
        <w:rPr>
          <w:rFonts w:ascii="Arial" w:hAnsi="Arial" w:cs="Arial"/>
          <w:color w:val="000000"/>
          <w:sz w:val="20"/>
        </w:rPr>
        <w:t xml:space="preserve">  The ensuing OVIC investigation report stated at pages 4</w:t>
      </w:r>
      <w:r>
        <w:rPr>
          <w:rFonts w:ascii="Arial" w:hAnsi="Arial" w:cs="Arial"/>
          <w:color w:val="000000"/>
          <w:sz w:val="20"/>
        </w:rPr>
        <w:noBreakHyphen/>
        <w:t>5:</w:t>
      </w:r>
    </w:p>
    <w:p w14:paraId="42272C2A" w14:textId="77777777" w:rsidR="00867A72" w:rsidRPr="00EE1AE8"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 xml:space="preserve">“The investigation undertaken by </w:t>
      </w:r>
      <w:r>
        <w:rPr>
          <w:rFonts w:ascii="Arial" w:hAnsi="Arial" w:cs="Arial"/>
          <w:color w:val="000000"/>
          <w:sz w:val="20"/>
        </w:rPr>
        <w:t>[OVIC]</w:t>
      </w:r>
      <w:r w:rsidRPr="00EE1AE8">
        <w:rPr>
          <w:rFonts w:ascii="Arial" w:hAnsi="Arial" w:cs="Arial"/>
          <w:color w:val="000000"/>
          <w:sz w:val="20"/>
        </w:rPr>
        <w:t xml:space="preserve"> found that a Child Protection worker entered a significant amount of personal and delicate information into ChatGPT, including names and information about risk assessments relating to the child. The worker asked ChatGPT to assist in drafting a Protection Application Report – a report that is submitted to the Children’s Court to inform decisions about whether a child requires protection.</w:t>
      </w:r>
    </w:p>
    <w:p w14:paraId="73D63121" w14:textId="77777777" w:rsidR="00867A72"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As a result, the Large Language Model (LLM) on which ChatGPT is based played a role in describing the risks posed to a young child if they continued living at home with their parents, who had been charged with sexual offences.</w:t>
      </w:r>
    </w:p>
    <w:p w14:paraId="7B27B213" w14:textId="77777777" w:rsidR="00867A72" w:rsidRPr="00EE1AE8"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The inappropriateness of this should be clear when we think of how LLMs work.</w:t>
      </w:r>
      <w:r>
        <w:rPr>
          <w:rFonts w:ascii="Arial" w:hAnsi="Arial" w:cs="Arial"/>
          <w:color w:val="000000"/>
          <w:sz w:val="20"/>
        </w:rPr>
        <w:t xml:space="preserve">  </w:t>
      </w:r>
      <w:r w:rsidRPr="00EE1AE8">
        <w:rPr>
          <w:rFonts w:ascii="Arial" w:hAnsi="Arial" w:cs="Arial"/>
          <w:color w:val="000000"/>
          <w:sz w:val="20"/>
        </w:rPr>
        <w:t>LLMs do not use reasoning or understand context – they provide statistical predictions on the most likely words to respond to a user prompt. As described in the investigation report:</w:t>
      </w:r>
    </w:p>
    <w:p w14:paraId="3CE7831B" w14:textId="77777777" w:rsidR="00867A72" w:rsidRPr="00EE1AE8" w:rsidRDefault="00867A72" w:rsidP="00867A72">
      <w:pPr>
        <w:spacing w:before="60"/>
        <w:ind w:left="1021" w:right="1021"/>
        <w:jc w:val="both"/>
        <w:rPr>
          <w:rFonts w:ascii="Arial" w:hAnsi="Arial" w:cs="Arial"/>
          <w:i/>
          <w:iCs/>
          <w:color w:val="000000"/>
          <w:sz w:val="18"/>
          <w:szCs w:val="22"/>
        </w:rPr>
      </w:pPr>
      <w:r w:rsidRPr="00EE1AE8">
        <w:rPr>
          <w:rFonts w:ascii="Arial" w:hAnsi="Arial" w:cs="Arial"/>
          <w:i/>
          <w:iCs/>
          <w:color w:val="000000"/>
          <w:sz w:val="18"/>
          <w:szCs w:val="22"/>
        </w:rPr>
        <w:t xml:space="preserve">‘AI systems are not tasked with telling the truth. Sometimes people may mistakenly think that AI systems only get things wrong occasionally while otherwise telling the truth. We need to understand that AI systems make mistakes, so it is important to verify the accuracy of the output before relying on the model. This is especially important when people rely on AI systems to make decisions that affect themselves or others.’ </w:t>
      </w:r>
    </w:p>
    <w:p w14:paraId="189D748F" w14:textId="77777777" w:rsidR="00867A72" w:rsidRPr="00EE1AE8"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The result in this case was a Protection Application Report that contained inaccurate personal information, downplaying the risks to the child. Fortunately, it did not change the outcome of the child’s case, but it is easy to see the potential harm that could have arisen.</w:t>
      </w:r>
    </w:p>
    <w:p w14:paraId="6B8D4BF1" w14:textId="77777777" w:rsidR="00867A72"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For example, the Protection Application Report mistakenly described a child’s doll, that was used by the child’s father for sexual purposes, as a mitigating factor, in that the parents had provided the child with ‘age appropriate toys’. This description was clearly not the result of expert human analysis and reasoning of the facts of the case.</w:t>
      </w:r>
    </w:p>
    <w:p w14:paraId="26A74D05" w14:textId="77777777" w:rsidR="00867A72"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Further, through entering personal and sensitive information into ChatGPT, the information in this case was disclosed to OpenAI, an overseas company, and released outside the control of DFFH. OpenAI now holds that information and can determine how it is further used and disclosed.”</w:t>
      </w:r>
    </w:p>
    <w:p w14:paraId="7B428504" w14:textId="77777777" w:rsidR="00867A72" w:rsidRDefault="00867A72" w:rsidP="00867A72">
      <w:pPr>
        <w:rPr>
          <w:rFonts w:ascii="Arial" w:hAnsi="Arial" w:cs="Arial"/>
          <w:color w:val="000000"/>
          <w:sz w:val="20"/>
        </w:rPr>
      </w:pPr>
    </w:p>
    <w:p w14:paraId="41F5E03E" w14:textId="77777777" w:rsidR="00867A72" w:rsidRDefault="00867A72" w:rsidP="00867A72">
      <w:pPr>
        <w:jc w:val="both"/>
        <w:rPr>
          <w:rFonts w:ascii="Arial" w:hAnsi="Arial" w:cs="Arial"/>
          <w:color w:val="000000"/>
          <w:sz w:val="20"/>
        </w:rPr>
      </w:pPr>
      <w:r>
        <w:rPr>
          <w:rFonts w:ascii="Arial" w:hAnsi="Arial" w:cs="Arial"/>
          <w:color w:val="000000"/>
          <w:sz w:val="20"/>
        </w:rPr>
        <w:lastRenderedPageBreak/>
        <w:t>Noting at paragraph [119] that “</w:t>
      </w:r>
      <w:r w:rsidRPr="00192B87">
        <w:rPr>
          <w:rFonts w:ascii="Arial" w:hAnsi="Arial" w:cs="Arial"/>
          <w:color w:val="000000"/>
          <w:sz w:val="20"/>
        </w:rPr>
        <w:t>in child protection matters the risks of harm from using GenAI tools are too great to be</w:t>
      </w:r>
      <w:r>
        <w:rPr>
          <w:rFonts w:ascii="Arial" w:hAnsi="Arial" w:cs="Arial"/>
          <w:color w:val="000000"/>
          <w:sz w:val="20"/>
        </w:rPr>
        <w:t xml:space="preserve"> </w:t>
      </w:r>
      <w:r w:rsidRPr="00192B87">
        <w:rPr>
          <w:rFonts w:ascii="Arial" w:hAnsi="Arial" w:cs="Arial"/>
          <w:color w:val="000000"/>
          <w:sz w:val="20"/>
        </w:rPr>
        <w:t>managed by policy and guidance alone</w:t>
      </w:r>
      <w:r>
        <w:rPr>
          <w:rFonts w:ascii="Arial" w:hAnsi="Arial" w:cs="Arial"/>
          <w:color w:val="000000"/>
          <w:sz w:val="20"/>
        </w:rPr>
        <w:t>”, OVIC issued DFFH with a two-year compliance notice containing 6 specific actions.  Action 1 was as follows [emphasis added]:</w:t>
      </w:r>
    </w:p>
    <w:p w14:paraId="10A872AF" w14:textId="77777777" w:rsidR="00867A72" w:rsidRDefault="00867A72" w:rsidP="00867A72">
      <w:pPr>
        <w:spacing w:before="60"/>
        <w:ind w:left="567" w:right="567"/>
        <w:jc w:val="both"/>
        <w:rPr>
          <w:rFonts w:ascii="Arial" w:hAnsi="Arial" w:cs="Arial"/>
          <w:color w:val="000000"/>
          <w:sz w:val="20"/>
        </w:rPr>
      </w:pPr>
      <w:r>
        <w:rPr>
          <w:rFonts w:ascii="Arial" w:hAnsi="Arial" w:cs="Arial"/>
          <w:color w:val="000000"/>
          <w:sz w:val="20"/>
        </w:rPr>
        <w:t>“</w:t>
      </w:r>
      <w:r w:rsidRPr="00A324B7">
        <w:rPr>
          <w:rFonts w:ascii="Arial" w:hAnsi="Arial" w:cs="Arial"/>
          <w:b/>
          <w:bCs/>
          <w:color w:val="000000"/>
          <w:sz w:val="20"/>
        </w:rPr>
        <w:t>DFFH must issue a direction to Child Protection staff setting out that they are not to use any web</w:t>
      </w:r>
      <w:r>
        <w:rPr>
          <w:rFonts w:ascii="Arial" w:hAnsi="Arial" w:cs="Arial"/>
          <w:b/>
          <w:bCs/>
          <w:color w:val="000000"/>
          <w:sz w:val="20"/>
        </w:rPr>
        <w:t>-</w:t>
      </w:r>
      <w:r w:rsidRPr="00A324B7">
        <w:rPr>
          <w:rFonts w:ascii="Arial" w:hAnsi="Arial" w:cs="Arial"/>
          <w:b/>
          <w:bCs/>
          <w:color w:val="000000"/>
          <w:sz w:val="20"/>
        </w:rPr>
        <w:t>based</w:t>
      </w:r>
      <w:r w:rsidRPr="007C35F9">
        <w:rPr>
          <w:rFonts w:ascii="Arial" w:hAnsi="Arial" w:cs="Arial"/>
          <w:b/>
          <w:bCs/>
          <w:color w:val="000000"/>
          <w:sz w:val="20"/>
        </w:rPr>
        <w:t xml:space="preserve"> </w:t>
      </w:r>
      <w:r w:rsidRPr="00A324B7">
        <w:rPr>
          <w:rFonts w:ascii="Arial" w:hAnsi="Arial" w:cs="Arial"/>
          <w:b/>
          <w:bCs/>
          <w:color w:val="000000"/>
          <w:sz w:val="20"/>
        </w:rPr>
        <w:t>or external Application Programming Interface (API)-based GenAI text tools (such as</w:t>
      </w:r>
      <w:r w:rsidRPr="007C35F9">
        <w:rPr>
          <w:rFonts w:ascii="Arial" w:hAnsi="Arial" w:cs="Arial"/>
          <w:b/>
          <w:bCs/>
          <w:color w:val="000000"/>
          <w:sz w:val="20"/>
        </w:rPr>
        <w:t xml:space="preserve"> ChatGPT) as part of their official duties.</w:t>
      </w:r>
      <w:r w:rsidRPr="00A324B7">
        <w:rPr>
          <w:rFonts w:ascii="Arial" w:hAnsi="Arial" w:cs="Arial"/>
          <w:color w:val="000000"/>
          <w:sz w:val="20"/>
        </w:rPr>
        <w:t xml:space="preserve"> This direction must be issued by 24</w:t>
      </w:r>
      <w:r>
        <w:rPr>
          <w:rFonts w:ascii="Arial" w:hAnsi="Arial" w:cs="Arial"/>
          <w:color w:val="000000"/>
          <w:sz w:val="20"/>
        </w:rPr>
        <w:t xml:space="preserve"> </w:t>
      </w:r>
      <w:r w:rsidRPr="00A324B7">
        <w:rPr>
          <w:rFonts w:ascii="Arial" w:hAnsi="Arial" w:cs="Arial"/>
          <w:color w:val="000000"/>
          <w:sz w:val="20"/>
        </w:rPr>
        <w:t>September 2024</w:t>
      </w:r>
      <w:r>
        <w:rPr>
          <w:rFonts w:ascii="Arial" w:hAnsi="Arial" w:cs="Arial"/>
          <w:color w:val="000000"/>
          <w:sz w:val="20"/>
        </w:rPr>
        <w:t>.”</w:t>
      </w:r>
    </w:p>
    <w:p w14:paraId="294453FB" w14:textId="77777777" w:rsidR="00867A72" w:rsidRDefault="00867A72" w:rsidP="00867A72">
      <w:pPr>
        <w:jc w:val="both"/>
        <w:rPr>
          <w:rFonts w:ascii="Arial" w:hAnsi="Arial" w:cs="Arial"/>
          <w:color w:val="000000"/>
          <w:sz w:val="20"/>
        </w:rPr>
      </w:pPr>
    </w:p>
    <w:p w14:paraId="3D5684B3" w14:textId="77777777" w:rsidR="00867A72" w:rsidRDefault="00867A72" w:rsidP="00867A72">
      <w:pPr>
        <w:jc w:val="both"/>
        <w:rPr>
          <w:rFonts w:ascii="Arial" w:hAnsi="Arial" w:cs="Arial"/>
          <w:color w:val="000000"/>
          <w:sz w:val="20"/>
        </w:rPr>
      </w:pPr>
      <w:r>
        <w:rPr>
          <w:rFonts w:ascii="Arial" w:hAnsi="Arial" w:cs="Arial"/>
          <w:color w:val="000000"/>
          <w:sz w:val="20"/>
        </w:rPr>
        <w:t>At paragraphs [122]-[126] the OVIC investigation report concluded:</w:t>
      </w:r>
    </w:p>
    <w:p w14:paraId="3B2D8990" w14:textId="77777777" w:rsidR="00867A72" w:rsidRDefault="00867A72" w:rsidP="00867A72">
      <w:pPr>
        <w:spacing w:before="60"/>
        <w:ind w:left="567" w:right="567"/>
        <w:jc w:val="both"/>
        <w:rPr>
          <w:rFonts w:ascii="Arial" w:hAnsi="Arial" w:cs="Arial"/>
          <w:color w:val="000000"/>
          <w:sz w:val="20"/>
        </w:rPr>
      </w:pPr>
      <w:r>
        <w:rPr>
          <w:rFonts w:ascii="Arial" w:hAnsi="Arial" w:cs="Arial"/>
          <w:color w:val="000000"/>
          <w:sz w:val="20"/>
        </w:rPr>
        <w:t>“</w:t>
      </w:r>
      <w:r w:rsidRPr="00A324B7">
        <w:rPr>
          <w:rFonts w:ascii="Arial" w:hAnsi="Arial" w:cs="Arial"/>
          <w:color w:val="000000"/>
          <w:sz w:val="20"/>
        </w:rPr>
        <w:t>OVIC recognises that technology relating to LLMs and GenAI is evolving. The position that these tools</w:t>
      </w:r>
      <w:r>
        <w:rPr>
          <w:rFonts w:ascii="Arial" w:hAnsi="Arial" w:cs="Arial"/>
          <w:color w:val="000000"/>
          <w:sz w:val="20"/>
        </w:rPr>
        <w:t xml:space="preserve"> </w:t>
      </w:r>
      <w:r w:rsidRPr="00A324B7">
        <w:rPr>
          <w:rFonts w:ascii="Arial" w:hAnsi="Arial" w:cs="Arial"/>
          <w:color w:val="000000"/>
          <w:sz w:val="20"/>
        </w:rPr>
        <w:t>should not be used by Child Protection staff is based on an assessment of their current limitations, the</w:t>
      </w:r>
      <w:r>
        <w:rPr>
          <w:rFonts w:ascii="Arial" w:hAnsi="Arial" w:cs="Arial"/>
          <w:color w:val="000000"/>
          <w:sz w:val="20"/>
        </w:rPr>
        <w:t xml:space="preserve"> </w:t>
      </w:r>
      <w:r w:rsidRPr="00A324B7">
        <w:rPr>
          <w:rFonts w:ascii="Arial" w:hAnsi="Arial" w:cs="Arial"/>
          <w:color w:val="000000"/>
          <w:sz w:val="20"/>
        </w:rPr>
        <w:t>associated privacy risks, and DFFH’s current controls.</w:t>
      </w:r>
    </w:p>
    <w:p w14:paraId="5D033E8A" w14:textId="77777777" w:rsidR="00867A72" w:rsidRDefault="00867A72" w:rsidP="00867A72">
      <w:pPr>
        <w:spacing w:before="60"/>
        <w:ind w:left="567" w:right="567"/>
        <w:jc w:val="both"/>
        <w:rPr>
          <w:rFonts w:ascii="Arial" w:hAnsi="Arial" w:cs="Arial"/>
          <w:color w:val="000000"/>
          <w:sz w:val="20"/>
        </w:rPr>
      </w:pPr>
      <w:r w:rsidRPr="00A324B7">
        <w:rPr>
          <w:rFonts w:ascii="Arial" w:hAnsi="Arial" w:cs="Arial"/>
          <w:color w:val="000000"/>
          <w:sz w:val="20"/>
        </w:rPr>
        <w:t>In the event significant advances are made to enable LLMs to better understand context, it is possible</w:t>
      </w:r>
      <w:r>
        <w:rPr>
          <w:rFonts w:ascii="Arial" w:hAnsi="Arial" w:cs="Arial"/>
          <w:color w:val="000000"/>
          <w:sz w:val="20"/>
        </w:rPr>
        <w:t xml:space="preserve"> </w:t>
      </w:r>
      <w:r w:rsidRPr="00A324B7">
        <w:rPr>
          <w:rFonts w:ascii="Arial" w:hAnsi="Arial" w:cs="Arial"/>
          <w:color w:val="000000"/>
          <w:sz w:val="20"/>
        </w:rPr>
        <w:t>that the risk environment will change in the future. Similarly, it is open to DFFH to demonstrate that</w:t>
      </w:r>
      <w:r>
        <w:rPr>
          <w:rFonts w:ascii="Arial" w:hAnsi="Arial" w:cs="Arial"/>
          <w:color w:val="000000"/>
          <w:sz w:val="20"/>
        </w:rPr>
        <w:t xml:space="preserve"> </w:t>
      </w:r>
      <w:r w:rsidRPr="00A324B7">
        <w:rPr>
          <w:rFonts w:ascii="Arial" w:hAnsi="Arial" w:cs="Arial"/>
          <w:color w:val="000000"/>
          <w:sz w:val="20"/>
        </w:rPr>
        <w:t>improvements it has made to its controls would ensure compliance with IPP 3.1 and IPP 4.1 without</w:t>
      </w:r>
      <w:r>
        <w:rPr>
          <w:rFonts w:ascii="Arial" w:hAnsi="Arial" w:cs="Arial"/>
          <w:color w:val="000000"/>
          <w:sz w:val="20"/>
        </w:rPr>
        <w:t xml:space="preserve"> </w:t>
      </w:r>
      <w:r w:rsidRPr="00A324B7">
        <w:rPr>
          <w:rFonts w:ascii="Arial" w:hAnsi="Arial" w:cs="Arial"/>
          <w:color w:val="000000"/>
          <w:sz w:val="20"/>
        </w:rPr>
        <w:t>the need for the above specified actions.</w:t>
      </w:r>
    </w:p>
    <w:p w14:paraId="60831D2E" w14:textId="77777777" w:rsidR="00867A72" w:rsidRDefault="00867A72" w:rsidP="00867A72">
      <w:pPr>
        <w:spacing w:before="60"/>
        <w:ind w:left="567" w:right="567"/>
        <w:jc w:val="both"/>
        <w:rPr>
          <w:rFonts w:ascii="Arial" w:hAnsi="Arial" w:cs="Arial"/>
          <w:color w:val="000000"/>
          <w:sz w:val="20"/>
        </w:rPr>
      </w:pPr>
      <w:r w:rsidRPr="00A324B7">
        <w:rPr>
          <w:rFonts w:ascii="Arial" w:hAnsi="Arial" w:cs="Arial"/>
          <w:color w:val="000000"/>
          <w:sz w:val="20"/>
        </w:rPr>
        <w:t>It may be that DFFH wishes to revisit the matter of the use of LLMs and GenAI in the child protection</w:t>
      </w:r>
      <w:r>
        <w:rPr>
          <w:rFonts w:ascii="Arial" w:hAnsi="Arial" w:cs="Arial"/>
          <w:color w:val="000000"/>
          <w:sz w:val="20"/>
        </w:rPr>
        <w:t xml:space="preserve"> </w:t>
      </w:r>
      <w:r w:rsidRPr="00A324B7">
        <w:rPr>
          <w:rFonts w:ascii="Arial" w:hAnsi="Arial" w:cs="Arial"/>
          <w:color w:val="000000"/>
          <w:sz w:val="20"/>
        </w:rPr>
        <w:t>context within the two-year compliance notice period, in the event of such changes</w:t>
      </w:r>
      <w:r>
        <w:rPr>
          <w:rFonts w:ascii="Arial" w:hAnsi="Arial" w:cs="Arial"/>
          <w:color w:val="000000"/>
          <w:sz w:val="20"/>
        </w:rPr>
        <w:t>…</w:t>
      </w:r>
    </w:p>
    <w:p w14:paraId="210360E1" w14:textId="77777777" w:rsidR="00867A72" w:rsidRDefault="00867A72" w:rsidP="00867A72">
      <w:pPr>
        <w:spacing w:before="60"/>
        <w:ind w:left="567" w:right="567"/>
        <w:jc w:val="both"/>
        <w:rPr>
          <w:rFonts w:ascii="Arial" w:hAnsi="Arial" w:cs="Arial"/>
          <w:color w:val="000000"/>
          <w:sz w:val="20"/>
        </w:rPr>
      </w:pPr>
      <w:r>
        <w:rPr>
          <w:rFonts w:ascii="Arial" w:hAnsi="Arial" w:cs="Arial"/>
          <w:color w:val="000000"/>
          <w:sz w:val="20"/>
        </w:rPr>
        <w:t xml:space="preserve">[OVIC] </w:t>
      </w:r>
      <w:r w:rsidRPr="00A324B7">
        <w:rPr>
          <w:rFonts w:ascii="Arial" w:hAnsi="Arial" w:cs="Arial"/>
          <w:color w:val="000000"/>
          <w:sz w:val="20"/>
        </w:rPr>
        <w:t>believes there may be some specific use cases where the risk is less than</w:t>
      </w:r>
      <w:r>
        <w:rPr>
          <w:rFonts w:ascii="Arial" w:hAnsi="Arial" w:cs="Arial"/>
          <w:color w:val="000000"/>
          <w:sz w:val="20"/>
        </w:rPr>
        <w:t xml:space="preserve"> </w:t>
      </w:r>
      <w:r w:rsidRPr="00A324B7">
        <w:rPr>
          <w:rFonts w:ascii="Arial" w:hAnsi="Arial" w:cs="Arial"/>
          <w:color w:val="000000"/>
          <w:sz w:val="20"/>
        </w:rPr>
        <w:t>others, but that child protection, by its nature, requires the very highest standards of care. Any</w:t>
      </w:r>
      <w:r>
        <w:rPr>
          <w:rFonts w:ascii="Arial" w:hAnsi="Arial" w:cs="Arial"/>
          <w:color w:val="000000"/>
          <w:sz w:val="20"/>
        </w:rPr>
        <w:t xml:space="preserve"> </w:t>
      </w:r>
      <w:r w:rsidRPr="00A324B7">
        <w:rPr>
          <w:rFonts w:ascii="Arial" w:hAnsi="Arial" w:cs="Arial"/>
          <w:color w:val="000000"/>
          <w:sz w:val="20"/>
        </w:rPr>
        <w:t>application to vary the specified actions in relation to Child Protection staff, information, or activities</w:t>
      </w:r>
      <w:r>
        <w:rPr>
          <w:rFonts w:ascii="Arial" w:hAnsi="Arial" w:cs="Arial"/>
          <w:color w:val="000000"/>
          <w:sz w:val="20"/>
        </w:rPr>
        <w:t xml:space="preserve"> </w:t>
      </w:r>
      <w:r w:rsidRPr="00A324B7">
        <w:rPr>
          <w:rFonts w:ascii="Arial" w:hAnsi="Arial" w:cs="Arial"/>
          <w:color w:val="000000"/>
          <w:sz w:val="20"/>
        </w:rPr>
        <w:t>would need to be accompanied by the highest standards of verifiable evidence.</w:t>
      </w:r>
      <w:r>
        <w:rPr>
          <w:rFonts w:ascii="Arial" w:hAnsi="Arial" w:cs="Arial"/>
          <w:color w:val="000000"/>
          <w:sz w:val="20"/>
        </w:rPr>
        <w:t>”</w:t>
      </w:r>
    </w:p>
    <w:p w14:paraId="19A8522F" w14:textId="77777777" w:rsidR="00867A72" w:rsidRDefault="00867A72" w:rsidP="00867A72">
      <w:pPr>
        <w:jc w:val="both"/>
        <w:rPr>
          <w:rFonts w:ascii="Arial" w:hAnsi="Arial" w:cs="Arial"/>
          <w:color w:val="000000"/>
          <w:sz w:val="20"/>
        </w:rPr>
      </w:pPr>
    </w:p>
    <w:p w14:paraId="6965A29F" w14:textId="77777777" w:rsidR="00867A72" w:rsidRDefault="00867A72" w:rsidP="00867A72">
      <w:pPr>
        <w:jc w:val="both"/>
        <w:rPr>
          <w:rFonts w:ascii="Arial" w:hAnsi="Arial" w:cs="Arial"/>
          <w:color w:val="000000"/>
          <w:sz w:val="20"/>
        </w:rPr>
      </w:pPr>
      <w:r>
        <w:rPr>
          <w:rFonts w:ascii="Arial" w:hAnsi="Arial" w:cs="Arial"/>
          <w:color w:val="000000"/>
          <w:sz w:val="20"/>
        </w:rPr>
        <w:t>In November 2024 the Children’s Court was advised by Court Services Victoria Digital that:</w:t>
      </w:r>
    </w:p>
    <w:p w14:paraId="7B1CADE3" w14:textId="77777777" w:rsidR="00867A72" w:rsidRDefault="00867A72" w:rsidP="001A754B">
      <w:pPr>
        <w:pStyle w:val="ListParagraph"/>
        <w:numPr>
          <w:ilvl w:val="0"/>
          <w:numId w:val="173"/>
        </w:numPr>
        <w:ind w:left="357" w:hanging="357"/>
        <w:jc w:val="both"/>
        <w:rPr>
          <w:rFonts w:ascii="Arial" w:hAnsi="Arial" w:cs="Arial"/>
          <w:color w:val="000000"/>
          <w:sz w:val="20"/>
        </w:rPr>
      </w:pPr>
      <w:r>
        <w:rPr>
          <w:rFonts w:ascii="Arial" w:hAnsi="Arial" w:cs="Arial"/>
          <w:color w:val="000000"/>
          <w:sz w:val="20"/>
        </w:rPr>
        <w:t xml:space="preserve">any Court use of </w:t>
      </w:r>
      <w:r w:rsidRPr="005B08CF">
        <w:rPr>
          <w:rFonts w:ascii="Arial" w:hAnsi="Arial" w:cs="Arial"/>
          <w:color w:val="000000"/>
          <w:sz w:val="20"/>
        </w:rPr>
        <w:t>11 GenAI related websites (</w:t>
      </w:r>
      <w:r w:rsidRPr="005B08CF">
        <w:rPr>
          <w:rFonts w:ascii="Arial" w:hAnsi="Arial" w:cs="Arial"/>
          <w:sz w:val="20"/>
        </w:rPr>
        <w:t xml:space="preserve">Andi, </w:t>
      </w:r>
      <w:proofErr w:type="spellStart"/>
      <w:r w:rsidRPr="005B08CF">
        <w:rPr>
          <w:rFonts w:ascii="Arial" w:hAnsi="Arial" w:cs="Arial"/>
          <w:sz w:val="20"/>
        </w:rPr>
        <w:t>Decktopus</w:t>
      </w:r>
      <w:proofErr w:type="spellEnd"/>
      <w:r w:rsidRPr="005B08CF">
        <w:rPr>
          <w:rFonts w:ascii="Arial" w:hAnsi="Arial" w:cs="Arial"/>
          <w:sz w:val="20"/>
        </w:rPr>
        <w:t xml:space="preserve">, </w:t>
      </w:r>
      <w:proofErr w:type="spellStart"/>
      <w:r w:rsidRPr="005B08CF">
        <w:rPr>
          <w:rFonts w:ascii="Arial" w:hAnsi="Arial" w:cs="Arial"/>
          <w:sz w:val="20"/>
        </w:rPr>
        <w:t>AssemblyAI</w:t>
      </w:r>
      <w:proofErr w:type="spellEnd"/>
      <w:r w:rsidRPr="005B08CF">
        <w:rPr>
          <w:rFonts w:ascii="Arial" w:hAnsi="Arial" w:cs="Arial"/>
          <w:sz w:val="20"/>
        </w:rPr>
        <w:t xml:space="preserve">, Canary Mail, Blackbox AI, Cutout.pro, </w:t>
      </w:r>
      <w:proofErr w:type="spellStart"/>
      <w:r w:rsidRPr="005B08CF">
        <w:rPr>
          <w:rFonts w:ascii="Arial" w:hAnsi="Arial" w:cs="Arial"/>
          <w:sz w:val="20"/>
        </w:rPr>
        <w:t>VocalRemover</w:t>
      </w:r>
      <w:proofErr w:type="spellEnd"/>
      <w:r w:rsidRPr="005B08CF">
        <w:rPr>
          <w:rFonts w:ascii="Arial" w:hAnsi="Arial" w:cs="Arial"/>
          <w:sz w:val="20"/>
        </w:rPr>
        <w:t xml:space="preserve">, You.com, </w:t>
      </w:r>
      <w:proofErr w:type="spellStart"/>
      <w:r w:rsidRPr="005B08CF">
        <w:rPr>
          <w:rFonts w:ascii="Arial" w:hAnsi="Arial" w:cs="Arial"/>
          <w:sz w:val="20"/>
        </w:rPr>
        <w:t>Pixir</w:t>
      </w:r>
      <w:proofErr w:type="spellEnd"/>
      <w:r w:rsidRPr="005B08CF">
        <w:rPr>
          <w:rFonts w:ascii="Arial" w:hAnsi="Arial" w:cs="Arial"/>
          <w:sz w:val="20"/>
        </w:rPr>
        <w:t xml:space="preserve">, </w:t>
      </w:r>
      <w:proofErr w:type="spellStart"/>
      <w:r w:rsidRPr="005B08CF">
        <w:rPr>
          <w:rFonts w:ascii="Arial" w:hAnsi="Arial" w:cs="Arial"/>
          <w:sz w:val="20"/>
        </w:rPr>
        <w:t>OpenRead</w:t>
      </w:r>
      <w:proofErr w:type="spellEnd"/>
      <w:r w:rsidRPr="005B08CF">
        <w:rPr>
          <w:rFonts w:ascii="Arial" w:hAnsi="Arial" w:cs="Arial"/>
          <w:sz w:val="20"/>
        </w:rPr>
        <w:t xml:space="preserve"> &amp; </w:t>
      </w:r>
      <w:proofErr w:type="spellStart"/>
      <w:r w:rsidRPr="005B08CF">
        <w:rPr>
          <w:rFonts w:ascii="Arial" w:hAnsi="Arial" w:cs="Arial"/>
          <w:sz w:val="20"/>
        </w:rPr>
        <w:t>TwinPics</w:t>
      </w:r>
      <w:proofErr w:type="spellEnd"/>
      <w:r w:rsidRPr="005B08CF">
        <w:rPr>
          <w:rFonts w:ascii="Arial" w:hAnsi="Arial" w:cs="Arial"/>
          <w:color w:val="000000"/>
          <w:sz w:val="20"/>
        </w:rPr>
        <w:t>) would be blocked; and</w:t>
      </w:r>
    </w:p>
    <w:p w14:paraId="1647CE89" w14:textId="77777777" w:rsidR="00867A72" w:rsidRPr="005B08CF" w:rsidRDefault="00867A72" w:rsidP="001A754B">
      <w:pPr>
        <w:pStyle w:val="ListParagraph"/>
        <w:numPr>
          <w:ilvl w:val="0"/>
          <w:numId w:val="173"/>
        </w:numPr>
        <w:ind w:left="357" w:hanging="357"/>
        <w:jc w:val="both"/>
        <w:rPr>
          <w:rFonts w:ascii="Arial" w:hAnsi="Arial" w:cs="Arial"/>
          <w:color w:val="000000"/>
          <w:sz w:val="20"/>
        </w:rPr>
      </w:pPr>
      <w:r>
        <w:rPr>
          <w:rFonts w:ascii="Arial" w:hAnsi="Arial" w:cs="Arial"/>
          <w:color w:val="000000"/>
          <w:sz w:val="20"/>
        </w:rPr>
        <w:t xml:space="preserve">any Court </w:t>
      </w:r>
      <w:r w:rsidRPr="005B08CF">
        <w:rPr>
          <w:rFonts w:ascii="Arial" w:hAnsi="Arial" w:cs="Arial"/>
          <w:color w:val="000000"/>
          <w:sz w:val="20"/>
        </w:rPr>
        <w:t xml:space="preserve">use of 15 other GenAI related websites </w:t>
      </w:r>
      <w:r>
        <w:rPr>
          <w:rFonts w:ascii="Arial" w:hAnsi="Arial" w:cs="Arial"/>
          <w:color w:val="000000"/>
          <w:sz w:val="20"/>
        </w:rPr>
        <w:t>(</w:t>
      </w:r>
      <w:r w:rsidRPr="005B08CF">
        <w:rPr>
          <w:rFonts w:ascii="Arial" w:hAnsi="Arial" w:cs="Arial"/>
          <w:sz w:val="20"/>
        </w:rPr>
        <w:t xml:space="preserve">ChatGPT, </w:t>
      </w:r>
      <w:proofErr w:type="spellStart"/>
      <w:r w:rsidRPr="005B08CF">
        <w:rPr>
          <w:rFonts w:ascii="Arial" w:hAnsi="Arial" w:cs="Arial"/>
          <w:sz w:val="20"/>
        </w:rPr>
        <w:t>ChatSonic</w:t>
      </w:r>
      <w:proofErr w:type="spellEnd"/>
      <w:r w:rsidRPr="005B08CF">
        <w:rPr>
          <w:rFonts w:ascii="Arial" w:hAnsi="Arial" w:cs="Arial"/>
          <w:sz w:val="20"/>
        </w:rPr>
        <w:t xml:space="preserve">, Claude, Copy.ai, Meta AI, Grammarly, </w:t>
      </w:r>
      <w:proofErr w:type="spellStart"/>
      <w:r w:rsidRPr="005B08CF">
        <w:rPr>
          <w:rFonts w:ascii="Arial" w:hAnsi="Arial" w:cs="Arial"/>
          <w:sz w:val="20"/>
        </w:rPr>
        <w:t>HuggingChat</w:t>
      </w:r>
      <w:proofErr w:type="spellEnd"/>
      <w:r w:rsidRPr="005B08CF">
        <w:rPr>
          <w:rFonts w:ascii="Arial" w:hAnsi="Arial" w:cs="Arial"/>
          <w:sz w:val="20"/>
        </w:rPr>
        <w:t xml:space="preserve">, Jasper, </w:t>
      </w:r>
      <w:proofErr w:type="spellStart"/>
      <w:r w:rsidRPr="005B08CF">
        <w:rPr>
          <w:rFonts w:ascii="Arial" w:hAnsi="Arial" w:cs="Arial"/>
          <w:sz w:val="20"/>
        </w:rPr>
        <w:t>NeuroFlash</w:t>
      </w:r>
      <w:proofErr w:type="spellEnd"/>
      <w:r w:rsidRPr="005B08CF">
        <w:rPr>
          <w:rFonts w:ascii="Arial" w:hAnsi="Arial" w:cs="Arial"/>
          <w:sz w:val="20"/>
        </w:rPr>
        <w:t xml:space="preserve">, Poe, </w:t>
      </w:r>
      <w:proofErr w:type="spellStart"/>
      <w:r w:rsidRPr="005B08CF">
        <w:rPr>
          <w:rFonts w:ascii="Arial" w:hAnsi="Arial" w:cs="Arial"/>
          <w:sz w:val="20"/>
        </w:rPr>
        <w:t>ScribeHow</w:t>
      </w:r>
      <w:proofErr w:type="spellEnd"/>
      <w:r w:rsidRPr="005B08CF">
        <w:rPr>
          <w:rFonts w:ascii="Arial" w:hAnsi="Arial" w:cs="Arial"/>
          <w:sz w:val="20"/>
        </w:rPr>
        <w:t xml:space="preserve">, </w:t>
      </w:r>
      <w:proofErr w:type="spellStart"/>
      <w:r w:rsidRPr="005B08CF">
        <w:rPr>
          <w:rFonts w:ascii="Arial" w:hAnsi="Arial" w:cs="Arial"/>
          <w:sz w:val="20"/>
        </w:rPr>
        <w:t>QuillBot</w:t>
      </w:r>
      <w:proofErr w:type="spellEnd"/>
      <w:r w:rsidRPr="005B08CF">
        <w:rPr>
          <w:rFonts w:ascii="Arial" w:hAnsi="Arial" w:cs="Arial"/>
          <w:sz w:val="20"/>
        </w:rPr>
        <w:t xml:space="preserve">, </w:t>
      </w:r>
      <w:proofErr w:type="spellStart"/>
      <w:r w:rsidRPr="005B08CF">
        <w:rPr>
          <w:rFonts w:ascii="Arial" w:hAnsi="Arial" w:cs="Arial"/>
          <w:sz w:val="20"/>
        </w:rPr>
        <w:t>Wordtune</w:t>
      </w:r>
      <w:proofErr w:type="spellEnd"/>
      <w:r w:rsidRPr="005B08CF">
        <w:rPr>
          <w:rFonts w:ascii="Arial" w:hAnsi="Arial" w:cs="Arial"/>
          <w:sz w:val="20"/>
        </w:rPr>
        <w:t>, Gemini, Copilot</w:t>
      </w:r>
      <w:r>
        <w:rPr>
          <w:rFonts w:ascii="Arial" w:hAnsi="Arial" w:cs="Arial"/>
          <w:sz w:val="20"/>
        </w:rPr>
        <w:t>) would be accompanied by a reminder that the user should never put publicly-available information into this AI tool.</w:t>
      </w:r>
    </w:p>
    <w:p w14:paraId="5BCB14FE" w14:textId="77777777" w:rsidR="00867A72" w:rsidRPr="0056214D" w:rsidRDefault="00867A72" w:rsidP="00867A72">
      <w:pPr>
        <w:spacing w:before="60"/>
        <w:jc w:val="both"/>
        <w:rPr>
          <w:rFonts w:ascii="Arial" w:hAnsi="Arial" w:cs="Arial"/>
          <w:noProof/>
          <w:sz w:val="20"/>
        </w:rPr>
      </w:pPr>
      <w:r>
        <w:rPr>
          <w:rFonts w:ascii="Arial" w:hAnsi="Arial" w:cs="Arial"/>
          <w:noProof/>
          <w:sz w:val="20"/>
        </w:rPr>
        <w:t>The effect of this reminder is that ChCV personnel are not permitted to use any of the 15 non-blocked GenAI tools in conjunction with their work except for documents containing non-sensitive information. This means, for example, that documents containing information protected by s.534 CYFA cannot be generated by any of these AI tools.</w:t>
      </w:r>
    </w:p>
    <w:p w14:paraId="0ED90E15" w14:textId="77777777" w:rsidR="00605407" w:rsidRDefault="00605407" w:rsidP="00605407">
      <w:pPr>
        <w:jc w:val="both"/>
        <w:rPr>
          <w:rFonts w:ascii="Arial" w:hAnsi="Arial" w:cs="Arial"/>
          <w:sz w:val="20"/>
        </w:rPr>
      </w:pPr>
    </w:p>
    <w:p w14:paraId="37FE049C" w14:textId="77777777" w:rsidR="00605407" w:rsidRPr="00836E86" w:rsidRDefault="00605407" w:rsidP="00605407">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2703AB5E" w14:textId="77777777" w:rsidR="00605407" w:rsidRPr="00836E86" w:rsidRDefault="00605407" w:rsidP="00605407">
      <w:pPr>
        <w:rPr>
          <w:rFonts w:ascii="Arial" w:hAnsi="Arial" w:cs="Arial"/>
          <w:sz w:val="20"/>
        </w:rPr>
      </w:pPr>
    </w:p>
    <w:p w14:paraId="59ABFDFD" w14:textId="77777777" w:rsidR="007B24F6" w:rsidRDefault="007B24F6">
      <w:pPr>
        <w:rPr>
          <w:rFonts w:ascii="Arial" w:hAnsi="Arial" w:cs="Arial"/>
          <w:b/>
          <w:bCs/>
          <w:color w:val="000000" w:themeColor="text1"/>
          <w:kern w:val="28"/>
          <w:sz w:val="20"/>
          <w:szCs w:val="20"/>
          <w:lang w:val="en-GB"/>
        </w:rPr>
      </w:pPr>
      <w:bookmarkStart w:id="1237" w:name="_3.15.2_VLRC_guidelines"/>
      <w:bookmarkEnd w:id="1237"/>
      <w:r>
        <w:rPr>
          <w:rFonts w:ascii="Arial" w:hAnsi="Arial" w:cs="Arial"/>
          <w:b/>
          <w:bCs/>
          <w:color w:val="000000" w:themeColor="text1"/>
          <w:sz w:val="20"/>
        </w:rPr>
        <w:br w:type="page"/>
      </w:r>
    </w:p>
    <w:p w14:paraId="577C4ADF" w14:textId="59CE47F9" w:rsidR="00867A72" w:rsidRPr="00AD54C1" w:rsidRDefault="00867A72" w:rsidP="00867A72">
      <w:pPr>
        <w:pStyle w:val="Heading3"/>
        <w:keepNext/>
        <w:spacing w:after="120" w:line="240" w:lineRule="auto"/>
        <w:rPr>
          <w:rFonts w:ascii="Arial" w:hAnsi="Arial" w:cs="Arial"/>
          <w:b/>
          <w:bCs/>
          <w:color w:val="000000" w:themeColor="text1"/>
          <w:sz w:val="20"/>
        </w:rPr>
      </w:pPr>
      <w:hyperlink w:anchor="_3.15.2_VLRC_guidelines" w:history="1">
        <w:r w:rsidRPr="00AD54C1">
          <w:rPr>
            <w:rStyle w:val="Hyperlink"/>
            <w:rFonts w:ascii="Arial" w:hAnsi="Arial" w:cs="Arial"/>
            <w:b/>
            <w:bCs/>
            <w:color w:val="000000" w:themeColor="text1"/>
            <w:sz w:val="20"/>
            <w:u w:val="none"/>
          </w:rPr>
          <w:t>3.15.2</w:t>
        </w:r>
        <w:r w:rsidRPr="00AD54C1">
          <w:rPr>
            <w:rStyle w:val="Hyperlink"/>
            <w:rFonts w:ascii="Arial" w:hAnsi="Arial" w:cs="Arial"/>
            <w:b/>
            <w:bCs/>
            <w:color w:val="000000" w:themeColor="text1"/>
            <w:sz w:val="20"/>
            <w:u w:val="none"/>
          </w:rPr>
          <w:tab/>
          <w:t xml:space="preserve">VLRC </w:t>
        </w:r>
        <w:r w:rsidR="00A30928">
          <w:rPr>
            <w:rStyle w:val="Hyperlink"/>
            <w:rFonts w:ascii="Arial" w:hAnsi="Arial" w:cs="Arial"/>
            <w:b/>
            <w:bCs/>
            <w:color w:val="000000" w:themeColor="text1"/>
            <w:sz w:val="20"/>
            <w:u w:val="none"/>
          </w:rPr>
          <w:t xml:space="preserve">report and </w:t>
        </w:r>
        <w:r w:rsidR="008F1785">
          <w:rPr>
            <w:rStyle w:val="Hyperlink"/>
            <w:rFonts w:ascii="Arial" w:hAnsi="Arial" w:cs="Arial"/>
            <w:b/>
            <w:bCs/>
            <w:color w:val="000000" w:themeColor="text1"/>
            <w:sz w:val="20"/>
            <w:u w:val="none"/>
          </w:rPr>
          <w:t>recommendation</w:t>
        </w:r>
        <w:r w:rsidR="00A30928">
          <w:rPr>
            <w:rStyle w:val="Hyperlink"/>
            <w:rFonts w:ascii="Arial" w:hAnsi="Arial" w:cs="Arial"/>
            <w:b/>
            <w:bCs/>
            <w:color w:val="000000" w:themeColor="text1"/>
            <w:sz w:val="20"/>
            <w:u w:val="none"/>
          </w:rPr>
          <w:t>s re</w:t>
        </w:r>
        <w:r w:rsidRPr="00AD54C1">
          <w:rPr>
            <w:rStyle w:val="Hyperlink"/>
            <w:rFonts w:ascii="Arial" w:hAnsi="Arial" w:cs="Arial"/>
            <w:b/>
            <w:bCs/>
            <w:color w:val="000000" w:themeColor="text1"/>
            <w:sz w:val="20"/>
            <w:u w:val="none"/>
          </w:rPr>
          <w:t xml:space="preserve"> the </w:t>
        </w:r>
        <w:r w:rsidR="00A30928">
          <w:rPr>
            <w:rStyle w:val="Hyperlink"/>
            <w:rFonts w:ascii="Arial" w:hAnsi="Arial" w:cs="Arial"/>
            <w:b/>
            <w:bCs/>
            <w:color w:val="000000" w:themeColor="text1"/>
            <w:sz w:val="20"/>
            <w:u w:val="none"/>
          </w:rPr>
          <w:t xml:space="preserve">safe </w:t>
        </w:r>
        <w:r w:rsidRPr="00AD54C1">
          <w:rPr>
            <w:rStyle w:val="Hyperlink"/>
            <w:rFonts w:ascii="Arial" w:hAnsi="Arial" w:cs="Arial"/>
            <w:b/>
            <w:bCs/>
            <w:color w:val="000000" w:themeColor="text1"/>
            <w:sz w:val="20"/>
            <w:u w:val="none"/>
          </w:rPr>
          <w:t>use of AI in Victoria</w:t>
        </w:r>
        <w:r w:rsidR="00BC07EA">
          <w:rPr>
            <w:rStyle w:val="Hyperlink"/>
            <w:rFonts w:ascii="Arial" w:hAnsi="Arial" w:cs="Arial"/>
            <w:b/>
            <w:bCs/>
            <w:color w:val="000000" w:themeColor="text1"/>
            <w:sz w:val="20"/>
            <w:u w:val="none"/>
          </w:rPr>
          <w:t>’s</w:t>
        </w:r>
        <w:r w:rsidRPr="00AD54C1">
          <w:rPr>
            <w:rStyle w:val="Hyperlink"/>
            <w:rFonts w:ascii="Arial" w:hAnsi="Arial" w:cs="Arial"/>
            <w:b/>
            <w:bCs/>
            <w:color w:val="000000" w:themeColor="text1"/>
            <w:sz w:val="20"/>
            <w:u w:val="none"/>
          </w:rPr>
          <w:t xml:space="preserve"> courts and tribunals</w:t>
        </w:r>
      </w:hyperlink>
    </w:p>
    <w:p w14:paraId="32158850" w14:textId="6F4F1071" w:rsidR="00B46330" w:rsidRPr="009B3C91" w:rsidRDefault="009B3C91" w:rsidP="00B46330">
      <w:pPr>
        <w:jc w:val="both"/>
        <w:rPr>
          <w:rFonts w:ascii="Arial" w:hAnsi="Arial" w:cs="Arial"/>
          <w:sz w:val="20"/>
        </w:rPr>
      </w:pPr>
      <w:r>
        <w:rPr>
          <w:rFonts w:ascii="Arial" w:hAnsi="Arial" w:cs="Arial"/>
          <w:sz w:val="20"/>
        </w:rPr>
        <w:t>The Victorian Law Reform Commission [VLRC] has advised that p</w:t>
      </w:r>
      <w:r w:rsidR="00B46330" w:rsidRPr="003A3428">
        <w:rPr>
          <w:rFonts w:ascii="Arial" w:hAnsi="Arial" w:cs="Arial"/>
          <w:sz w:val="20"/>
        </w:rPr>
        <w:t>eople are increasingly using AI in courts and tribunals, including over a third of Victorian lawyers, as well as some experts and self-represented litigants. The use of AI by Victoria</w:t>
      </w:r>
      <w:r w:rsidR="00B46330">
        <w:rPr>
          <w:rFonts w:ascii="Arial" w:hAnsi="Arial" w:cs="Arial"/>
          <w:sz w:val="20"/>
        </w:rPr>
        <w:t>n</w:t>
      </w:r>
      <w:r w:rsidR="00B46330" w:rsidRPr="003A3428">
        <w:rPr>
          <w:rFonts w:ascii="Arial" w:hAnsi="Arial" w:cs="Arial"/>
          <w:sz w:val="20"/>
        </w:rPr>
        <w:t xml:space="preserve"> courts and VCAT is at an early stage, with some pilots underway to help improve court services, including for transcription, legal research, reviewing documents and removing distressing images to reduce vicarious trauma for court staff</w:t>
      </w:r>
      <w:r>
        <w:rPr>
          <w:rFonts w:ascii="Arial" w:hAnsi="Arial" w:cs="Arial"/>
          <w:sz w:val="20"/>
        </w:rPr>
        <w:t xml:space="preserve">: see </w:t>
      </w:r>
      <w:hyperlink r:id="rId56" w:history="1">
        <w:r w:rsidRPr="009B3C91">
          <w:rPr>
            <w:rStyle w:val="Hyperlink"/>
            <w:rFonts w:ascii="Arial" w:hAnsi="Arial" w:cs="Arial"/>
            <w:sz w:val="20"/>
          </w:rPr>
          <w:t>https://www.lawreform.vic.gov.au/project/artificial-intelligence-in-victorias-courts-and-tribunals/</w:t>
        </w:r>
      </w:hyperlink>
      <w:r w:rsidRPr="009B3C91">
        <w:rPr>
          <w:rFonts w:ascii="Arial" w:hAnsi="Arial" w:cs="Arial"/>
          <w:sz w:val="20"/>
        </w:rPr>
        <w:t>.</w:t>
      </w:r>
    </w:p>
    <w:p w14:paraId="12D61BF0" w14:textId="77777777" w:rsidR="00B46330" w:rsidRPr="003A3428" w:rsidRDefault="00B46330" w:rsidP="00B46330">
      <w:pPr>
        <w:jc w:val="both"/>
        <w:rPr>
          <w:rFonts w:ascii="Arial" w:hAnsi="Arial" w:cs="Arial"/>
          <w:sz w:val="20"/>
        </w:rPr>
      </w:pPr>
    </w:p>
    <w:p w14:paraId="1389CB62" w14:textId="32E10392" w:rsidR="00187C08" w:rsidRDefault="00B46330" w:rsidP="00187C08">
      <w:pPr>
        <w:jc w:val="both"/>
        <w:rPr>
          <w:rFonts w:ascii="Arial" w:hAnsi="Arial" w:cs="Arial"/>
          <w:sz w:val="20"/>
        </w:rPr>
      </w:pPr>
      <w:r w:rsidRPr="003A3428">
        <w:rPr>
          <w:rFonts w:ascii="Arial" w:hAnsi="Arial" w:cs="Arial"/>
          <w:sz w:val="20"/>
        </w:rPr>
        <w:t>The</w:t>
      </w:r>
      <w:r>
        <w:rPr>
          <w:rFonts w:ascii="Arial" w:hAnsi="Arial" w:cs="Arial"/>
          <w:sz w:val="20"/>
        </w:rPr>
        <w:t xml:space="preserve"> </w:t>
      </w:r>
      <w:r w:rsidR="00BC07EA">
        <w:rPr>
          <w:rFonts w:ascii="Arial" w:hAnsi="Arial" w:cs="Arial"/>
          <w:sz w:val="20"/>
        </w:rPr>
        <w:t>report of the</w:t>
      </w:r>
      <w:r w:rsidR="009B3C91">
        <w:rPr>
          <w:rFonts w:ascii="Arial" w:hAnsi="Arial" w:cs="Arial"/>
          <w:sz w:val="20"/>
        </w:rPr>
        <w:t xml:space="preserve"> VLRC</w:t>
      </w:r>
      <w:r w:rsidR="00BC07EA">
        <w:rPr>
          <w:rFonts w:ascii="Arial" w:hAnsi="Arial" w:cs="Arial"/>
          <w:sz w:val="20"/>
        </w:rPr>
        <w:t xml:space="preserve"> entitled</w:t>
      </w:r>
      <w:r>
        <w:rPr>
          <w:rFonts w:ascii="Arial" w:hAnsi="Arial" w:cs="Arial"/>
          <w:sz w:val="20"/>
        </w:rPr>
        <w:t xml:space="preserve"> </w:t>
      </w:r>
      <w:hyperlink r:id="rId57" w:history="1">
        <w:r w:rsidRPr="00AB14FC">
          <w:rPr>
            <w:rStyle w:val="Hyperlink"/>
            <w:rFonts w:ascii="Arial" w:hAnsi="Arial" w:cs="Arial"/>
            <w:b/>
            <w:bCs/>
            <w:i/>
            <w:iCs/>
            <w:sz w:val="20"/>
          </w:rPr>
          <w:t>Artificial Intelligence in Victoria’s Courts and Tribuna</w:t>
        </w:r>
        <w:r w:rsidR="00BC07EA" w:rsidRPr="00AB14FC">
          <w:rPr>
            <w:rStyle w:val="Hyperlink"/>
            <w:rFonts w:ascii="Arial" w:hAnsi="Arial" w:cs="Arial"/>
            <w:b/>
            <w:bCs/>
            <w:i/>
            <w:iCs/>
            <w:sz w:val="20"/>
          </w:rPr>
          <w:t>ls</w:t>
        </w:r>
      </w:hyperlink>
      <w:r>
        <w:rPr>
          <w:rFonts w:ascii="Arial" w:hAnsi="Arial" w:cs="Arial"/>
          <w:i/>
          <w:iCs/>
          <w:sz w:val="20"/>
        </w:rPr>
        <w:t xml:space="preserve"> </w:t>
      </w:r>
      <w:r w:rsidR="00BC07EA">
        <w:rPr>
          <w:rFonts w:ascii="Arial" w:hAnsi="Arial" w:cs="Arial"/>
          <w:sz w:val="20"/>
        </w:rPr>
        <w:t>–</w:t>
      </w:r>
      <w:r w:rsidRPr="003A3428">
        <w:rPr>
          <w:rFonts w:ascii="Arial" w:hAnsi="Arial" w:cs="Arial"/>
          <w:sz w:val="20"/>
        </w:rPr>
        <w:t xml:space="preserve"> tabled in </w:t>
      </w:r>
      <w:r w:rsidR="00FD5AF0">
        <w:rPr>
          <w:rFonts w:ascii="Arial" w:hAnsi="Arial" w:cs="Arial"/>
          <w:sz w:val="20"/>
        </w:rPr>
        <w:t xml:space="preserve">the Victorian </w:t>
      </w:r>
      <w:r w:rsidRPr="003A3428">
        <w:rPr>
          <w:rFonts w:ascii="Arial" w:hAnsi="Arial" w:cs="Arial"/>
          <w:sz w:val="20"/>
        </w:rPr>
        <w:t xml:space="preserve">Parliament </w:t>
      </w:r>
      <w:r>
        <w:rPr>
          <w:rFonts w:ascii="Arial" w:hAnsi="Arial" w:cs="Arial"/>
          <w:sz w:val="20"/>
        </w:rPr>
        <w:t xml:space="preserve">on </w:t>
      </w:r>
      <w:r w:rsidR="001037D7">
        <w:rPr>
          <w:rFonts w:ascii="Arial" w:hAnsi="Arial" w:cs="Arial"/>
          <w:sz w:val="20"/>
        </w:rPr>
        <w:t>3</w:t>
      </w:r>
      <w:r>
        <w:rPr>
          <w:rFonts w:ascii="Arial" w:hAnsi="Arial" w:cs="Arial"/>
          <w:sz w:val="20"/>
        </w:rPr>
        <w:t xml:space="preserve"> February 2026</w:t>
      </w:r>
      <w:r w:rsidR="0095660E">
        <w:rPr>
          <w:rFonts w:ascii="Arial" w:hAnsi="Arial" w:cs="Arial"/>
          <w:sz w:val="20"/>
        </w:rPr>
        <w:t xml:space="preserve"> and published on 4 February 2026</w:t>
      </w:r>
      <w:r w:rsidR="00BC07EA">
        <w:rPr>
          <w:rFonts w:ascii="Arial" w:hAnsi="Arial" w:cs="Arial"/>
          <w:sz w:val="20"/>
        </w:rPr>
        <w:t xml:space="preserve"> – i</w:t>
      </w:r>
      <w:r w:rsidRPr="003A3428">
        <w:rPr>
          <w:rFonts w:ascii="Arial" w:hAnsi="Arial" w:cs="Arial"/>
          <w:sz w:val="20"/>
        </w:rPr>
        <w:t>s the first inquiry by an Australian law reform body into the use of AI in courts.</w:t>
      </w:r>
      <w:r w:rsidR="00BC07EA">
        <w:rPr>
          <w:rFonts w:ascii="Arial" w:hAnsi="Arial" w:cs="Arial"/>
          <w:sz w:val="20"/>
        </w:rPr>
        <w:t xml:space="preserve"> </w:t>
      </w:r>
      <w:r w:rsidR="008661DA">
        <w:rPr>
          <w:rFonts w:ascii="Arial" w:hAnsi="Arial" w:cs="Arial"/>
          <w:sz w:val="20"/>
        </w:rPr>
        <w:t>It is divided into 10 chapters:</w:t>
      </w:r>
    </w:p>
    <w:p w14:paraId="37C7170F" w14:textId="77777777" w:rsidR="00BC07EA" w:rsidRDefault="00BC07EA" w:rsidP="00187C08">
      <w:pPr>
        <w:jc w:val="both"/>
        <w:rPr>
          <w:rFonts w:ascii="Arial" w:hAnsi="Arial" w:cs="Arial"/>
          <w:sz w:val="20"/>
        </w:rPr>
      </w:pPr>
    </w:p>
    <w:tbl>
      <w:tblPr>
        <w:tblStyle w:val="TableGrid"/>
        <w:tblW w:w="9065" w:type="dxa"/>
        <w:tblLook w:val="04A0" w:firstRow="1" w:lastRow="0" w:firstColumn="1" w:lastColumn="0" w:noHBand="0" w:noVBand="1"/>
      </w:tblPr>
      <w:tblGrid>
        <w:gridCol w:w="1183"/>
        <w:gridCol w:w="6590"/>
        <w:gridCol w:w="1292"/>
      </w:tblGrid>
      <w:tr w:rsidR="002739C4" w:rsidRPr="002739C4" w14:paraId="56CF1925" w14:textId="77777777" w:rsidTr="002739C4">
        <w:tc>
          <w:tcPr>
            <w:tcW w:w="1183" w:type="dxa"/>
            <w:shd w:val="clear" w:color="auto" w:fill="000000" w:themeFill="text1"/>
          </w:tcPr>
          <w:p w14:paraId="7E65AC5C" w14:textId="7D2A1A9C" w:rsidR="002739C4" w:rsidRPr="002739C4" w:rsidRDefault="002739C4" w:rsidP="002739C4">
            <w:pPr>
              <w:jc w:val="center"/>
              <w:rPr>
                <w:rFonts w:ascii="Arial" w:hAnsi="Arial" w:cs="Arial"/>
                <w:b/>
                <w:bCs/>
                <w:sz w:val="20"/>
              </w:rPr>
            </w:pPr>
            <w:r w:rsidRPr="002739C4">
              <w:rPr>
                <w:rFonts w:ascii="Arial" w:hAnsi="Arial" w:cs="Arial"/>
                <w:b/>
                <w:bCs/>
                <w:sz w:val="20"/>
              </w:rPr>
              <w:t>CHAPTER</w:t>
            </w:r>
          </w:p>
        </w:tc>
        <w:tc>
          <w:tcPr>
            <w:tcW w:w="6590" w:type="dxa"/>
            <w:shd w:val="clear" w:color="auto" w:fill="000000" w:themeFill="text1"/>
          </w:tcPr>
          <w:p w14:paraId="1D923C30" w14:textId="2A66C097" w:rsidR="002739C4" w:rsidRPr="002739C4" w:rsidRDefault="002739C4" w:rsidP="002739C4">
            <w:pPr>
              <w:jc w:val="center"/>
              <w:rPr>
                <w:rFonts w:ascii="Arial" w:hAnsi="Arial" w:cs="Arial"/>
                <w:b/>
                <w:bCs/>
                <w:sz w:val="20"/>
              </w:rPr>
            </w:pPr>
            <w:r>
              <w:rPr>
                <w:rFonts w:ascii="Arial" w:hAnsi="Arial" w:cs="Arial"/>
                <w:b/>
                <w:bCs/>
                <w:sz w:val="20"/>
              </w:rPr>
              <w:t>TITLE</w:t>
            </w:r>
          </w:p>
        </w:tc>
        <w:tc>
          <w:tcPr>
            <w:tcW w:w="1292" w:type="dxa"/>
            <w:shd w:val="clear" w:color="auto" w:fill="000000" w:themeFill="text1"/>
          </w:tcPr>
          <w:p w14:paraId="0E1BAD2C" w14:textId="7A2F2C54" w:rsidR="002739C4" w:rsidRPr="002739C4" w:rsidRDefault="002739C4" w:rsidP="002739C4">
            <w:pPr>
              <w:jc w:val="center"/>
              <w:rPr>
                <w:rFonts w:ascii="Arial" w:hAnsi="Arial" w:cs="Arial"/>
                <w:b/>
                <w:bCs/>
                <w:sz w:val="20"/>
              </w:rPr>
            </w:pPr>
            <w:r w:rsidRPr="002739C4">
              <w:rPr>
                <w:rFonts w:ascii="Arial" w:hAnsi="Arial" w:cs="Arial"/>
                <w:b/>
                <w:bCs/>
                <w:sz w:val="20"/>
              </w:rPr>
              <w:t>PAGES</w:t>
            </w:r>
          </w:p>
        </w:tc>
      </w:tr>
      <w:tr w:rsidR="002739C4" w14:paraId="47FD8451" w14:textId="77777777" w:rsidTr="002739C4">
        <w:tc>
          <w:tcPr>
            <w:tcW w:w="1183" w:type="dxa"/>
          </w:tcPr>
          <w:p w14:paraId="62048811" w14:textId="42F738D2" w:rsidR="002739C4" w:rsidRPr="002739C4" w:rsidRDefault="002739C4" w:rsidP="002739C4">
            <w:pPr>
              <w:jc w:val="center"/>
              <w:rPr>
                <w:rFonts w:ascii="Arial" w:hAnsi="Arial" w:cs="Arial"/>
                <w:b/>
                <w:bCs/>
                <w:sz w:val="20"/>
              </w:rPr>
            </w:pPr>
            <w:r w:rsidRPr="002739C4">
              <w:rPr>
                <w:rFonts w:ascii="Arial" w:hAnsi="Arial" w:cs="Arial"/>
                <w:b/>
                <w:bCs/>
                <w:sz w:val="20"/>
              </w:rPr>
              <w:t>1</w:t>
            </w:r>
          </w:p>
        </w:tc>
        <w:tc>
          <w:tcPr>
            <w:tcW w:w="6590" w:type="dxa"/>
          </w:tcPr>
          <w:p w14:paraId="62E4D608" w14:textId="214BB392" w:rsidR="002739C4" w:rsidRDefault="002739C4" w:rsidP="00187C08">
            <w:pPr>
              <w:jc w:val="both"/>
              <w:rPr>
                <w:rFonts w:ascii="Arial" w:hAnsi="Arial" w:cs="Arial"/>
                <w:sz w:val="20"/>
              </w:rPr>
            </w:pPr>
            <w:hyperlink r:id="rId58" w:history="1">
              <w:r w:rsidRPr="00BC07EA">
                <w:rPr>
                  <w:rStyle w:val="Hyperlink"/>
                  <w:rFonts w:ascii="Arial" w:hAnsi="Arial" w:cs="Arial"/>
                  <w:b/>
                  <w:bCs/>
                  <w:sz w:val="20"/>
                </w:rPr>
                <w:t>Introduction: Artificial Intelligence in Victoria’s Courts and Tribunals</w:t>
              </w:r>
            </w:hyperlink>
          </w:p>
        </w:tc>
        <w:tc>
          <w:tcPr>
            <w:tcW w:w="1292" w:type="dxa"/>
          </w:tcPr>
          <w:p w14:paraId="7FF3D349" w14:textId="02569602" w:rsidR="002739C4" w:rsidRPr="002739C4" w:rsidRDefault="002739C4" w:rsidP="002739C4">
            <w:pPr>
              <w:jc w:val="center"/>
              <w:rPr>
                <w:rFonts w:ascii="Arial" w:hAnsi="Arial" w:cs="Arial"/>
                <w:b/>
                <w:bCs/>
                <w:sz w:val="20"/>
              </w:rPr>
            </w:pPr>
            <w:r>
              <w:rPr>
                <w:rFonts w:ascii="Arial" w:hAnsi="Arial" w:cs="Arial"/>
                <w:b/>
                <w:bCs/>
                <w:sz w:val="20"/>
              </w:rPr>
              <w:t>2-</w:t>
            </w:r>
            <w:r w:rsidR="00A30928">
              <w:rPr>
                <w:rFonts w:ascii="Arial" w:hAnsi="Arial" w:cs="Arial"/>
                <w:b/>
                <w:bCs/>
                <w:sz w:val="20"/>
              </w:rPr>
              <w:t>7</w:t>
            </w:r>
          </w:p>
        </w:tc>
      </w:tr>
      <w:tr w:rsidR="002739C4" w14:paraId="654EB729" w14:textId="77777777" w:rsidTr="002739C4">
        <w:tc>
          <w:tcPr>
            <w:tcW w:w="1183" w:type="dxa"/>
          </w:tcPr>
          <w:p w14:paraId="63C9E75F" w14:textId="7E53CFDD" w:rsidR="002739C4" w:rsidRPr="002739C4" w:rsidRDefault="002739C4" w:rsidP="002739C4">
            <w:pPr>
              <w:jc w:val="center"/>
              <w:rPr>
                <w:rFonts w:ascii="Arial" w:hAnsi="Arial" w:cs="Arial"/>
                <w:b/>
                <w:bCs/>
                <w:sz w:val="20"/>
              </w:rPr>
            </w:pPr>
            <w:r>
              <w:rPr>
                <w:rFonts w:ascii="Arial" w:hAnsi="Arial" w:cs="Arial"/>
                <w:b/>
                <w:bCs/>
                <w:sz w:val="20"/>
              </w:rPr>
              <w:t>2</w:t>
            </w:r>
          </w:p>
        </w:tc>
        <w:tc>
          <w:tcPr>
            <w:tcW w:w="6590" w:type="dxa"/>
          </w:tcPr>
          <w:p w14:paraId="53BE2072" w14:textId="18537323" w:rsidR="002739C4" w:rsidRDefault="002739C4" w:rsidP="00187C08">
            <w:pPr>
              <w:jc w:val="both"/>
              <w:rPr>
                <w:rFonts w:ascii="Arial" w:hAnsi="Arial" w:cs="Arial"/>
                <w:sz w:val="20"/>
              </w:rPr>
            </w:pPr>
            <w:hyperlink r:id="rId59" w:history="1">
              <w:r w:rsidRPr="00BC07EA">
                <w:rPr>
                  <w:rStyle w:val="Hyperlink"/>
                  <w:rFonts w:ascii="Arial" w:hAnsi="Arial" w:cs="Arial"/>
                  <w:b/>
                  <w:bCs/>
                  <w:sz w:val="20"/>
                </w:rPr>
                <w:t>Current and emerging uses of AI in courts and tribunals</w:t>
              </w:r>
            </w:hyperlink>
          </w:p>
        </w:tc>
        <w:tc>
          <w:tcPr>
            <w:tcW w:w="1292" w:type="dxa"/>
          </w:tcPr>
          <w:p w14:paraId="3FEF95B2" w14:textId="2A3A6561" w:rsidR="002739C4" w:rsidRPr="002739C4" w:rsidRDefault="00A30928" w:rsidP="002739C4">
            <w:pPr>
              <w:jc w:val="center"/>
              <w:rPr>
                <w:rFonts w:ascii="Arial" w:hAnsi="Arial" w:cs="Arial"/>
                <w:b/>
                <w:bCs/>
                <w:sz w:val="20"/>
              </w:rPr>
            </w:pPr>
            <w:r>
              <w:rPr>
                <w:rFonts w:ascii="Arial" w:hAnsi="Arial" w:cs="Arial"/>
                <w:b/>
                <w:bCs/>
                <w:sz w:val="20"/>
              </w:rPr>
              <w:t>8-37</w:t>
            </w:r>
          </w:p>
        </w:tc>
      </w:tr>
      <w:tr w:rsidR="002739C4" w14:paraId="2CDFCA36" w14:textId="77777777" w:rsidTr="002739C4">
        <w:tc>
          <w:tcPr>
            <w:tcW w:w="1183" w:type="dxa"/>
          </w:tcPr>
          <w:p w14:paraId="17D59682" w14:textId="2D1F18F3" w:rsidR="002739C4" w:rsidRPr="002739C4" w:rsidRDefault="002739C4" w:rsidP="002739C4">
            <w:pPr>
              <w:jc w:val="center"/>
              <w:rPr>
                <w:rFonts w:ascii="Arial" w:hAnsi="Arial" w:cs="Arial"/>
                <w:b/>
                <w:bCs/>
                <w:sz w:val="20"/>
              </w:rPr>
            </w:pPr>
            <w:r>
              <w:rPr>
                <w:rFonts w:ascii="Arial" w:hAnsi="Arial" w:cs="Arial"/>
                <w:b/>
                <w:bCs/>
                <w:sz w:val="20"/>
              </w:rPr>
              <w:t>3</w:t>
            </w:r>
          </w:p>
        </w:tc>
        <w:tc>
          <w:tcPr>
            <w:tcW w:w="6590" w:type="dxa"/>
          </w:tcPr>
          <w:p w14:paraId="77FBC14E" w14:textId="7580275B" w:rsidR="002739C4" w:rsidRDefault="00AB14FC" w:rsidP="00187C08">
            <w:pPr>
              <w:jc w:val="both"/>
              <w:rPr>
                <w:rFonts w:ascii="Arial" w:hAnsi="Arial" w:cs="Arial"/>
                <w:sz w:val="20"/>
              </w:rPr>
            </w:pPr>
            <w:hyperlink r:id="rId60" w:history="1">
              <w:r w:rsidRPr="00BC07EA">
                <w:rPr>
                  <w:rStyle w:val="Hyperlink"/>
                  <w:rFonts w:ascii="Arial" w:hAnsi="Arial" w:cs="Arial"/>
                  <w:b/>
                  <w:bCs/>
                  <w:sz w:val="20"/>
                </w:rPr>
                <w:t>Opportunities and risks of AI</w:t>
              </w:r>
            </w:hyperlink>
          </w:p>
        </w:tc>
        <w:tc>
          <w:tcPr>
            <w:tcW w:w="1292" w:type="dxa"/>
          </w:tcPr>
          <w:p w14:paraId="1033C380" w14:textId="697DE729" w:rsidR="002739C4" w:rsidRPr="002739C4" w:rsidRDefault="00A30928" w:rsidP="002739C4">
            <w:pPr>
              <w:jc w:val="center"/>
              <w:rPr>
                <w:rFonts w:ascii="Arial" w:hAnsi="Arial" w:cs="Arial"/>
                <w:b/>
                <w:bCs/>
                <w:sz w:val="20"/>
              </w:rPr>
            </w:pPr>
            <w:r>
              <w:rPr>
                <w:rFonts w:ascii="Arial" w:hAnsi="Arial" w:cs="Arial"/>
                <w:b/>
                <w:bCs/>
                <w:sz w:val="20"/>
              </w:rPr>
              <w:t>38-65</w:t>
            </w:r>
          </w:p>
        </w:tc>
      </w:tr>
      <w:tr w:rsidR="002739C4" w14:paraId="472867AB" w14:textId="77777777" w:rsidTr="002739C4">
        <w:tc>
          <w:tcPr>
            <w:tcW w:w="1183" w:type="dxa"/>
          </w:tcPr>
          <w:p w14:paraId="205D42C0" w14:textId="1D0CF873" w:rsidR="002739C4" w:rsidRPr="002739C4" w:rsidRDefault="002739C4" w:rsidP="002739C4">
            <w:pPr>
              <w:jc w:val="center"/>
              <w:rPr>
                <w:rFonts w:ascii="Arial" w:hAnsi="Arial" w:cs="Arial"/>
                <w:b/>
                <w:bCs/>
                <w:sz w:val="20"/>
              </w:rPr>
            </w:pPr>
            <w:r>
              <w:rPr>
                <w:rFonts w:ascii="Arial" w:hAnsi="Arial" w:cs="Arial"/>
                <w:b/>
                <w:bCs/>
                <w:sz w:val="20"/>
              </w:rPr>
              <w:t>4</w:t>
            </w:r>
          </w:p>
        </w:tc>
        <w:tc>
          <w:tcPr>
            <w:tcW w:w="6590" w:type="dxa"/>
          </w:tcPr>
          <w:p w14:paraId="34D67E04" w14:textId="1B98DE79" w:rsidR="002739C4" w:rsidRDefault="00AB14FC" w:rsidP="00187C08">
            <w:pPr>
              <w:jc w:val="both"/>
              <w:rPr>
                <w:rFonts w:ascii="Arial" w:hAnsi="Arial" w:cs="Arial"/>
                <w:sz w:val="20"/>
              </w:rPr>
            </w:pPr>
            <w:hyperlink r:id="rId61" w:history="1">
              <w:r w:rsidRPr="00BC07EA">
                <w:rPr>
                  <w:rStyle w:val="Hyperlink"/>
                  <w:rFonts w:ascii="Arial" w:hAnsi="Arial" w:cs="Arial"/>
                  <w:b/>
                  <w:bCs/>
                  <w:sz w:val="20"/>
                </w:rPr>
                <w:t>Australian and global AI regulation</w:t>
              </w:r>
            </w:hyperlink>
          </w:p>
        </w:tc>
        <w:tc>
          <w:tcPr>
            <w:tcW w:w="1292" w:type="dxa"/>
          </w:tcPr>
          <w:p w14:paraId="23AD371F" w14:textId="5A27AF05" w:rsidR="002739C4" w:rsidRPr="002739C4" w:rsidRDefault="00A30928" w:rsidP="002739C4">
            <w:pPr>
              <w:jc w:val="center"/>
              <w:rPr>
                <w:rFonts w:ascii="Arial" w:hAnsi="Arial" w:cs="Arial"/>
                <w:b/>
                <w:bCs/>
                <w:sz w:val="20"/>
              </w:rPr>
            </w:pPr>
            <w:r>
              <w:rPr>
                <w:rFonts w:ascii="Arial" w:hAnsi="Arial" w:cs="Arial"/>
                <w:b/>
                <w:bCs/>
                <w:sz w:val="20"/>
              </w:rPr>
              <w:t>66-</w:t>
            </w:r>
            <w:r w:rsidR="00E5489D">
              <w:rPr>
                <w:rFonts w:ascii="Arial" w:hAnsi="Arial" w:cs="Arial"/>
                <w:b/>
                <w:bCs/>
                <w:sz w:val="20"/>
              </w:rPr>
              <w:t>79</w:t>
            </w:r>
          </w:p>
        </w:tc>
      </w:tr>
      <w:tr w:rsidR="002739C4" w14:paraId="63345F05" w14:textId="77777777" w:rsidTr="002739C4">
        <w:tc>
          <w:tcPr>
            <w:tcW w:w="1183" w:type="dxa"/>
          </w:tcPr>
          <w:p w14:paraId="741DE8EE" w14:textId="15A402E9" w:rsidR="002739C4" w:rsidRPr="002739C4" w:rsidRDefault="002739C4" w:rsidP="002739C4">
            <w:pPr>
              <w:jc w:val="center"/>
              <w:rPr>
                <w:rFonts w:ascii="Arial" w:hAnsi="Arial" w:cs="Arial"/>
                <w:b/>
                <w:bCs/>
                <w:sz w:val="20"/>
              </w:rPr>
            </w:pPr>
            <w:r>
              <w:rPr>
                <w:rFonts w:ascii="Arial" w:hAnsi="Arial" w:cs="Arial"/>
                <w:b/>
                <w:bCs/>
                <w:sz w:val="20"/>
              </w:rPr>
              <w:t>5</w:t>
            </w:r>
          </w:p>
        </w:tc>
        <w:tc>
          <w:tcPr>
            <w:tcW w:w="6590" w:type="dxa"/>
          </w:tcPr>
          <w:p w14:paraId="3A7DDC2F" w14:textId="5A4E8FDF" w:rsidR="002739C4" w:rsidRDefault="00AB14FC" w:rsidP="00187C08">
            <w:pPr>
              <w:jc w:val="both"/>
              <w:rPr>
                <w:rFonts w:ascii="Arial" w:hAnsi="Arial" w:cs="Arial"/>
                <w:sz w:val="20"/>
              </w:rPr>
            </w:pPr>
            <w:hyperlink r:id="rId62" w:history="1">
              <w:r w:rsidRPr="00BC07EA">
                <w:rPr>
                  <w:rStyle w:val="Hyperlink"/>
                  <w:rFonts w:ascii="Arial" w:hAnsi="Arial" w:cs="Arial"/>
                  <w:b/>
                  <w:bCs/>
                  <w:sz w:val="20"/>
                </w:rPr>
                <w:t>Is legislative reform necessary for safe use of AI in courts and tribunals?</w:t>
              </w:r>
            </w:hyperlink>
          </w:p>
        </w:tc>
        <w:tc>
          <w:tcPr>
            <w:tcW w:w="1292" w:type="dxa"/>
          </w:tcPr>
          <w:p w14:paraId="0974DC4E" w14:textId="1E37E984" w:rsidR="002739C4" w:rsidRPr="002739C4" w:rsidRDefault="00E5489D" w:rsidP="002739C4">
            <w:pPr>
              <w:jc w:val="center"/>
              <w:rPr>
                <w:rFonts w:ascii="Arial" w:hAnsi="Arial" w:cs="Arial"/>
                <w:b/>
                <w:bCs/>
                <w:sz w:val="20"/>
              </w:rPr>
            </w:pPr>
            <w:r>
              <w:rPr>
                <w:rFonts w:ascii="Arial" w:hAnsi="Arial" w:cs="Arial"/>
                <w:b/>
                <w:bCs/>
                <w:sz w:val="20"/>
              </w:rPr>
              <w:t>80-123</w:t>
            </w:r>
          </w:p>
        </w:tc>
      </w:tr>
      <w:tr w:rsidR="002739C4" w14:paraId="4840A85D" w14:textId="77777777" w:rsidTr="002739C4">
        <w:tc>
          <w:tcPr>
            <w:tcW w:w="1183" w:type="dxa"/>
          </w:tcPr>
          <w:p w14:paraId="01FC0253" w14:textId="3495709B" w:rsidR="002739C4" w:rsidRPr="002739C4" w:rsidRDefault="002739C4" w:rsidP="003D3749">
            <w:pPr>
              <w:jc w:val="center"/>
              <w:rPr>
                <w:rFonts w:ascii="Arial" w:hAnsi="Arial" w:cs="Arial"/>
                <w:b/>
                <w:bCs/>
                <w:sz w:val="20"/>
              </w:rPr>
            </w:pPr>
            <w:r>
              <w:rPr>
                <w:rFonts w:ascii="Arial" w:hAnsi="Arial" w:cs="Arial"/>
                <w:b/>
                <w:bCs/>
                <w:sz w:val="20"/>
              </w:rPr>
              <w:t>6</w:t>
            </w:r>
          </w:p>
        </w:tc>
        <w:tc>
          <w:tcPr>
            <w:tcW w:w="6590" w:type="dxa"/>
          </w:tcPr>
          <w:p w14:paraId="3BF1DC34" w14:textId="36DAB6B4" w:rsidR="002739C4" w:rsidRDefault="00A30928" w:rsidP="003D3749">
            <w:pPr>
              <w:jc w:val="both"/>
              <w:rPr>
                <w:rFonts w:ascii="Arial" w:hAnsi="Arial" w:cs="Arial"/>
                <w:sz w:val="20"/>
              </w:rPr>
            </w:pPr>
            <w:hyperlink r:id="rId63" w:history="1">
              <w:r w:rsidRPr="00BC07EA">
                <w:rPr>
                  <w:rStyle w:val="Hyperlink"/>
                  <w:rFonts w:ascii="Arial" w:hAnsi="Arial" w:cs="Arial"/>
                  <w:b/>
                  <w:bCs/>
                  <w:sz w:val="20"/>
                </w:rPr>
                <w:t>Principles to guide the safe use of AI in courts and tribunals</w:t>
              </w:r>
            </w:hyperlink>
          </w:p>
        </w:tc>
        <w:tc>
          <w:tcPr>
            <w:tcW w:w="1292" w:type="dxa"/>
          </w:tcPr>
          <w:p w14:paraId="48999D9F" w14:textId="0A8ED8CE" w:rsidR="002739C4" w:rsidRPr="002739C4" w:rsidRDefault="00E5489D" w:rsidP="003D3749">
            <w:pPr>
              <w:jc w:val="center"/>
              <w:rPr>
                <w:rFonts w:ascii="Arial" w:hAnsi="Arial" w:cs="Arial"/>
                <w:b/>
                <w:bCs/>
                <w:sz w:val="20"/>
              </w:rPr>
            </w:pPr>
            <w:r>
              <w:rPr>
                <w:rFonts w:ascii="Arial" w:hAnsi="Arial" w:cs="Arial"/>
                <w:b/>
                <w:bCs/>
                <w:sz w:val="20"/>
              </w:rPr>
              <w:t>124-145</w:t>
            </w:r>
          </w:p>
        </w:tc>
      </w:tr>
      <w:tr w:rsidR="002739C4" w14:paraId="4B84602F" w14:textId="77777777" w:rsidTr="002739C4">
        <w:tc>
          <w:tcPr>
            <w:tcW w:w="1183" w:type="dxa"/>
          </w:tcPr>
          <w:p w14:paraId="7387DC30" w14:textId="7FD72FB7" w:rsidR="002739C4" w:rsidRPr="002739C4" w:rsidRDefault="002739C4" w:rsidP="003D3749">
            <w:pPr>
              <w:jc w:val="center"/>
              <w:rPr>
                <w:rFonts w:ascii="Arial" w:hAnsi="Arial" w:cs="Arial"/>
                <w:b/>
                <w:bCs/>
                <w:sz w:val="20"/>
              </w:rPr>
            </w:pPr>
            <w:r>
              <w:rPr>
                <w:rFonts w:ascii="Arial" w:hAnsi="Arial" w:cs="Arial"/>
                <w:b/>
                <w:bCs/>
                <w:sz w:val="20"/>
              </w:rPr>
              <w:t>7</w:t>
            </w:r>
          </w:p>
        </w:tc>
        <w:tc>
          <w:tcPr>
            <w:tcW w:w="6590" w:type="dxa"/>
          </w:tcPr>
          <w:p w14:paraId="3E170690" w14:textId="679BC84E" w:rsidR="002739C4" w:rsidRDefault="00A30928" w:rsidP="003D3749">
            <w:pPr>
              <w:jc w:val="both"/>
              <w:rPr>
                <w:rFonts w:ascii="Arial" w:hAnsi="Arial" w:cs="Arial"/>
                <w:sz w:val="20"/>
              </w:rPr>
            </w:pPr>
            <w:hyperlink r:id="rId64" w:history="1">
              <w:r w:rsidRPr="00BC07EA">
                <w:rPr>
                  <w:rStyle w:val="Hyperlink"/>
                  <w:rFonts w:ascii="Arial" w:hAnsi="Arial" w:cs="Arial"/>
                  <w:b/>
                  <w:bCs/>
                  <w:sz w:val="20"/>
                </w:rPr>
                <w:t>Court user guidelines to support safe use of AI</w:t>
              </w:r>
            </w:hyperlink>
          </w:p>
        </w:tc>
        <w:tc>
          <w:tcPr>
            <w:tcW w:w="1292" w:type="dxa"/>
          </w:tcPr>
          <w:p w14:paraId="14639629" w14:textId="752976BA" w:rsidR="002739C4" w:rsidRPr="002739C4" w:rsidRDefault="00E5489D" w:rsidP="003D3749">
            <w:pPr>
              <w:jc w:val="center"/>
              <w:rPr>
                <w:rFonts w:ascii="Arial" w:hAnsi="Arial" w:cs="Arial"/>
                <w:b/>
                <w:bCs/>
                <w:sz w:val="20"/>
              </w:rPr>
            </w:pPr>
            <w:r>
              <w:rPr>
                <w:rFonts w:ascii="Arial" w:hAnsi="Arial" w:cs="Arial"/>
                <w:b/>
                <w:bCs/>
                <w:sz w:val="20"/>
              </w:rPr>
              <w:t>146-189</w:t>
            </w:r>
          </w:p>
        </w:tc>
      </w:tr>
      <w:tr w:rsidR="002739C4" w14:paraId="4DCD4098" w14:textId="77777777" w:rsidTr="002739C4">
        <w:tc>
          <w:tcPr>
            <w:tcW w:w="1183" w:type="dxa"/>
          </w:tcPr>
          <w:p w14:paraId="306ADB3E" w14:textId="44E48C95" w:rsidR="002739C4" w:rsidRPr="002739C4" w:rsidRDefault="002739C4" w:rsidP="003D3749">
            <w:pPr>
              <w:jc w:val="center"/>
              <w:rPr>
                <w:rFonts w:ascii="Arial" w:hAnsi="Arial" w:cs="Arial"/>
                <w:b/>
                <w:bCs/>
                <w:sz w:val="20"/>
              </w:rPr>
            </w:pPr>
            <w:r>
              <w:rPr>
                <w:rFonts w:ascii="Arial" w:hAnsi="Arial" w:cs="Arial"/>
                <w:b/>
                <w:bCs/>
                <w:sz w:val="20"/>
              </w:rPr>
              <w:t>8</w:t>
            </w:r>
          </w:p>
        </w:tc>
        <w:tc>
          <w:tcPr>
            <w:tcW w:w="6590" w:type="dxa"/>
          </w:tcPr>
          <w:p w14:paraId="0E69B025" w14:textId="2BDF2DFB" w:rsidR="002739C4" w:rsidRDefault="00A30928" w:rsidP="003D3749">
            <w:pPr>
              <w:jc w:val="both"/>
              <w:rPr>
                <w:rFonts w:ascii="Arial" w:hAnsi="Arial" w:cs="Arial"/>
                <w:sz w:val="20"/>
              </w:rPr>
            </w:pPr>
            <w:hyperlink r:id="rId65" w:history="1">
              <w:r w:rsidRPr="00BC07EA">
                <w:rPr>
                  <w:rStyle w:val="Hyperlink"/>
                  <w:rFonts w:ascii="Arial" w:hAnsi="Arial" w:cs="Arial"/>
                  <w:b/>
                  <w:bCs/>
                  <w:sz w:val="20"/>
                </w:rPr>
                <w:t>Judicial officer guidelines to support the safe use of AI</w:t>
              </w:r>
            </w:hyperlink>
          </w:p>
        </w:tc>
        <w:tc>
          <w:tcPr>
            <w:tcW w:w="1292" w:type="dxa"/>
          </w:tcPr>
          <w:p w14:paraId="07972E06" w14:textId="41357B44" w:rsidR="002739C4" w:rsidRPr="002739C4" w:rsidRDefault="00E5489D" w:rsidP="003D3749">
            <w:pPr>
              <w:jc w:val="center"/>
              <w:rPr>
                <w:rFonts w:ascii="Arial" w:hAnsi="Arial" w:cs="Arial"/>
                <w:b/>
                <w:bCs/>
                <w:sz w:val="20"/>
              </w:rPr>
            </w:pPr>
            <w:r>
              <w:rPr>
                <w:rFonts w:ascii="Arial" w:hAnsi="Arial" w:cs="Arial"/>
                <w:b/>
                <w:bCs/>
                <w:sz w:val="20"/>
              </w:rPr>
              <w:t>190-223</w:t>
            </w:r>
          </w:p>
        </w:tc>
      </w:tr>
      <w:tr w:rsidR="002739C4" w14:paraId="14B5D5B0" w14:textId="77777777" w:rsidTr="002739C4">
        <w:tc>
          <w:tcPr>
            <w:tcW w:w="1183" w:type="dxa"/>
          </w:tcPr>
          <w:p w14:paraId="5633EBB2" w14:textId="783B6C54" w:rsidR="002739C4" w:rsidRPr="002739C4" w:rsidRDefault="002739C4" w:rsidP="003D3749">
            <w:pPr>
              <w:jc w:val="center"/>
              <w:rPr>
                <w:rFonts w:ascii="Arial" w:hAnsi="Arial" w:cs="Arial"/>
                <w:b/>
                <w:bCs/>
                <w:sz w:val="20"/>
              </w:rPr>
            </w:pPr>
            <w:r>
              <w:rPr>
                <w:rFonts w:ascii="Arial" w:hAnsi="Arial" w:cs="Arial"/>
                <w:b/>
                <w:bCs/>
                <w:sz w:val="20"/>
              </w:rPr>
              <w:t>9</w:t>
            </w:r>
          </w:p>
        </w:tc>
        <w:tc>
          <w:tcPr>
            <w:tcW w:w="6590" w:type="dxa"/>
          </w:tcPr>
          <w:p w14:paraId="20E5FBC2" w14:textId="21F150BC" w:rsidR="002739C4" w:rsidRDefault="00A30928" w:rsidP="003D3749">
            <w:pPr>
              <w:jc w:val="both"/>
              <w:rPr>
                <w:rFonts w:ascii="Arial" w:hAnsi="Arial" w:cs="Arial"/>
                <w:sz w:val="20"/>
              </w:rPr>
            </w:pPr>
            <w:hyperlink r:id="rId66" w:history="1">
              <w:r w:rsidRPr="00BC07EA">
                <w:rPr>
                  <w:rStyle w:val="Hyperlink"/>
                  <w:rFonts w:ascii="Arial" w:hAnsi="Arial" w:cs="Arial"/>
                  <w:b/>
                  <w:bCs/>
                  <w:sz w:val="20"/>
                </w:rPr>
                <w:t>Governance to support AI innovation</w:t>
              </w:r>
            </w:hyperlink>
          </w:p>
        </w:tc>
        <w:tc>
          <w:tcPr>
            <w:tcW w:w="1292" w:type="dxa"/>
          </w:tcPr>
          <w:p w14:paraId="31F81120" w14:textId="640EFE03" w:rsidR="002739C4" w:rsidRPr="002739C4" w:rsidRDefault="00E5489D" w:rsidP="003D3749">
            <w:pPr>
              <w:jc w:val="center"/>
              <w:rPr>
                <w:rFonts w:ascii="Arial" w:hAnsi="Arial" w:cs="Arial"/>
                <w:b/>
                <w:bCs/>
                <w:sz w:val="20"/>
              </w:rPr>
            </w:pPr>
            <w:r>
              <w:rPr>
                <w:rFonts w:ascii="Arial" w:hAnsi="Arial" w:cs="Arial"/>
                <w:b/>
                <w:bCs/>
                <w:sz w:val="20"/>
              </w:rPr>
              <w:t>224-263</w:t>
            </w:r>
          </w:p>
        </w:tc>
      </w:tr>
      <w:tr w:rsidR="002739C4" w14:paraId="6C9D6609" w14:textId="77777777" w:rsidTr="002739C4">
        <w:tc>
          <w:tcPr>
            <w:tcW w:w="1183" w:type="dxa"/>
          </w:tcPr>
          <w:p w14:paraId="11826A13" w14:textId="51C3F4E7" w:rsidR="002739C4" w:rsidRPr="002739C4" w:rsidRDefault="002739C4" w:rsidP="003D3749">
            <w:pPr>
              <w:jc w:val="center"/>
              <w:rPr>
                <w:rFonts w:ascii="Arial" w:hAnsi="Arial" w:cs="Arial"/>
                <w:b/>
                <w:bCs/>
                <w:sz w:val="20"/>
              </w:rPr>
            </w:pPr>
            <w:r>
              <w:rPr>
                <w:rFonts w:ascii="Arial" w:hAnsi="Arial" w:cs="Arial"/>
                <w:b/>
                <w:bCs/>
                <w:sz w:val="20"/>
              </w:rPr>
              <w:t>10</w:t>
            </w:r>
          </w:p>
        </w:tc>
        <w:tc>
          <w:tcPr>
            <w:tcW w:w="6590" w:type="dxa"/>
          </w:tcPr>
          <w:p w14:paraId="532C17F8" w14:textId="68CB43D8" w:rsidR="002739C4" w:rsidRDefault="00E5489D" w:rsidP="003D3749">
            <w:pPr>
              <w:jc w:val="both"/>
              <w:rPr>
                <w:rFonts w:ascii="Arial" w:hAnsi="Arial" w:cs="Arial"/>
                <w:sz w:val="20"/>
              </w:rPr>
            </w:pPr>
            <w:hyperlink r:id="rId67" w:history="1">
              <w:r w:rsidRPr="00BC07EA">
                <w:rPr>
                  <w:rStyle w:val="Hyperlink"/>
                  <w:rFonts w:ascii="Arial" w:hAnsi="Arial" w:cs="Arial"/>
                  <w:b/>
                  <w:bCs/>
                  <w:sz w:val="20"/>
                </w:rPr>
                <w:t>Pro</w:t>
              </w:r>
              <w:r>
                <w:rPr>
                  <w:rStyle w:val="Hyperlink"/>
                  <w:rFonts w:ascii="Arial" w:hAnsi="Arial" w:cs="Arial"/>
                  <w:b/>
                  <w:bCs/>
                  <w:sz w:val="20"/>
                </w:rPr>
                <w:t>moting awareness and education to support safe use of AI</w:t>
              </w:r>
            </w:hyperlink>
          </w:p>
        </w:tc>
        <w:tc>
          <w:tcPr>
            <w:tcW w:w="1292" w:type="dxa"/>
          </w:tcPr>
          <w:p w14:paraId="5DA0605B" w14:textId="38EB01C7" w:rsidR="002739C4" w:rsidRPr="002739C4" w:rsidRDefault="00E5489D" w:rsidP="003D3749">
            <w:pPr>
              <w:jc w:val="center"/>
              <w:rPr>
                <w:rFonts w:ascii="Arial" w:hAnsi="Arial" w:cs="Arial"/>
                <w:b/>
                <w:bCs/>
                <w:sz w:val="20"/>
              </w:rPr>
            </w:pPr>
            <w:r>
              <w:rPr>
                <w:rFonts w:ascii="Arial" w:hAnsi="Arial" w:cs="Arial"/>
                <w:b/>
                <w:bCs/>
                <w:sz w:val="20"/>
              </w:rPr>
              <w:t>264-275</w:t>
            </w:r>
          </w:p>
        </w:tc>
      </w:tr>
    </w:tbl>
    <w:p w14:paraId="2E11A807" w14:textId="77777777" w:rsidR="002739C4" w:rsidRDefault="002739C4" w:rsidP="00187C08">
      <w:pPr>
        <w:jc w:val="both"/>
        <w:rPr>
          <w:rFonts w:ascii="Arial" w:hAnsi="Arial" w:cs="Arial"/>
          <w:sz w:val="20"/>
        </w:rPr>
      </w:pPr>
    </w:p>
    <w:p w14:paraId="22744636" w14:textId="41F5F555" w:rsidR="00E5489D" w:rsidRDefault="00E5489D" w:rsidP="00187C08">
      <w:pPr>
        <w:jc w:val="both"/>
        <w:rPr>
          <w:rFonts w:ascii="Arial" w:hAnsi="Arial" w:cs="Arial"/>
          <w:sz w:val="20"/>
        </w:rPr>
      </w:pPr>
      <w:r>
        <w:rPr>
          <w:rFonts w:ascii="Arial" w:hAnsi="Arial" w:cs="Arial"/>
          <w:sz w:val="20"/>
        </w:rPr>
        <w:t xml:space="preserve">The </w:t>
      </w:r>
      <w:r w:rsidR="00187C08" w:rsidRPr="003A3428">
        <w:rPr>
          <w:rFonts w:ascii="Arial" w:hAnsi="Arial" w:cs="Arial"/>
          <w:sz w:val="20"/>
        </w:rPr>
        <w:t>VLRC Chair, the Hon. Anthony North KC said</w:t>
      </w:r>
      <w:r>
        <w:rPr>
          <w:rFonts w:ascii="Arial" w:hAnsi="Arial" w:cs="Arial"/>
          <w:sz w:val="20"/>
        </w:rPr>
        <w:t>:</w:t>
      </w:r>
    </w:p>
    <w:p w14:paraId="61B63964" w14:textId="600FC047" w:rsidR="00E5489D" w:rsidRDefault="00187C08" w:rsidP="001A754B">
      <w:pPr>
        <w:numPr>
          <w:ilvl w:val="0"/>
          <w:numId w:val="174"/>
        </w:numPr>
        <w:ind w:left="714" w:right="357" w:hanging="357"/>
        <w:jc w:val="both"/>
        <w:rPr>
          <w:rFonts w:ascii="Arial" w:hAnsi="Arial" w:cs="Arial"/>
          <w:sz w:val="20"/>
        </w:rPr>
      </w:pPr>
      <w:r w:rsidRPr="003A3428">
        <w:rPr>
          <w:rFonts w:ascii="Arial" w:hAnsi="Arial" w:cs="Arial"/>
          <w:sz w:val="20"/>
        </w:rPr>
        <w:t>“AI can support more efficient court services and greater access to justice but there are significant risks”.</w:t>
      </w:r>
    </w:p>
    <w:p w14:paraId="7D9F467D" w14:textId="77A2A116" w:rsidR="00187C08" w:rsidRDefault="00187C08" w:rsidP="001A754B">
      <w:pPr>
        <w:numPr>
          <w:ilvl w:val="0"/>
          <w:numId w:val="174"/>
        </w:numPr>
        <w:ind w:left="714" w:right="357" w:hanging="357"/>
        <w:jc w:val="both"/>
        <w:rPr>
          <w:rFonts w:ascii="Arial" w:hAnsi="Arial" w:cs="Arial"/>
          <w:sz w:val="20"/>
        </w:rPr>
      </w:pPr>
      <w:r w:rsidRPr="00E5489D">
        <w:rPr>
          <w:rFonts w:ascii="Arial" w:hAnsi="Arial" w:cs="Arial"/>
          <w:sz w:val="20"/>
        </w:rPr>
        <w:t>“There are issues with the security and privacy of information used in AI tools. We have also seen a growing number of cases where inaccurate or made-up AI-generated content has been submitted to courts.”</w:t>
      </w:r>
    </w:p>
    <w:p w14:paraId="3186E391" w14:textId="77777777" w:rsidR="00B82ED1" w:rsidRPr="00B82ED1" w:rsidRDefault="00B82ED1" w:rsidP="00B82ED1">
      <w:pPr>
        <w:jc w:val="both"/>
        <w:rPr>
          <w:rFonts w:ascii="Arial" w:hAnsi="Arial" w:cs="Arial"/>
          <w:sz w:val="20"/>
        </w:rPr>
      </w:pPr>
    </w:p>
    <w:p w14:paraId="78752B02" w14:textId="21633D89" w:rsidR="00B82ED1" w:rsidRPr="00B82ED1" w:rsidRDefault="00B82ED1" w:rsidP="00B82ED1">
      <w:pPr>
        <w:jc w:val="both"/>
        <w:rPr>
          <w:rFonts w:ascii="Arial" w:hAnsi="Arial" w:cs="Arial"/>
          <w:sz w:val="20"/>
        </w:rPr>
      </w:pPr>
      <w:r w:rsidRPr="00B82ED1">
        <w:rPr>
          <w:rFonts w:ascii="Arial" w:hAnsi="Arial" w:cs="Arial"/>
          <w:sz w:val="20"/>
        </w:rPr>
        <w:t>While AI tools can support jud</w:t>
      </w:r>
      <w:r w:rsidR="000F01F7">
        <w:rPr>
          <w:rFonts w:ascii="Arial" w:hAnsi="Arial" w:cs="Arial"/>
          <w:sz w:val="20"/>
        </w:rPr>
        <w:t>icial officers</w:t>
      </w:r>
      <w:r w:rsidRPr="00B82ED1">
        <w:rPr>
          <w:rFonts w:ascii="Arial" w:hAnsi="Arial" w:cs="Arial"/>
          <w:sz w:val="20"/>
        </w:rPr>
        <w:t>, it is important they are not used for judicial decision-making because of risks to judicial independence and confidence in the administration of justice. Mr North said: “To support public trust, we recommend that judicial guidelines prohibit the use of AI tools for judicial decision-making.”</w:t>
      </w:r>
    </w:p>
    <w:p w14:paraId="3CECE12F" w14:textId="77777777" w:rsidR="00B82ED1" w:rsidRDefault="00B82ED1" w:rsidP="00187C08">
      <w:pPr>
        <w:jc w:val="both"/>
        <w:rPr>
          <w:rFonts w:ascii="Arial" w:hAnsi="Arial" w:cs="Arial"/>
          <w:sz w:val="20"/>
        </w:rPr>
      </w:pPr>
    </w:p>
    <w:p w14:paraId="626018D4" w14:textId="4E9773B9" w:rsidR="00187C08" w:rsidRPr="003A3428" w:rsidRDefault="00187C08" w:rsidP="00187C08">
      <w:pPr>
        <w:jc w:val="both"/>
        <w:rPr>
          <w:rFonts w:ascii="Arial" w:hAnsi="Arial" w:cs="Arial"/>
          <w:sz w:val="20"/>
        </w:rPr>
      </w:pPr>
      <w:r w:rsidRPr="003A3428">
        <w:rPr>
          <w:rFonts w:ascii="Arial" w:hAnsi="Arial" w:cs="Arial"/>
          <w:sz w:val="20"/>
        </w:rPr>
        <w:t>In response to the risks</w:t>
      </w:r>
      <w:r w:rsidR="00B82ED1">
        <w:rPr>
          <w:rFonts w:ascii="Arial" w:hAnsi="Arial" w:cs="Arial"/>
          <w:sz w:val="20"/>
        </w:rPr>
        <w:t xml:space="preserve"> of AI </w:t>
      </w:r>
      <w:r w:rsidR="008661DA">
        <w:rPr>
          <w:rFonts w:ascii="Arial" w:hAnsi="Arial" w:cs="Arial"/>
          <w:sz w:val="20"/>
        </w:rPr>
        <w:t xml:space="preserve">referred to by Mr North and </w:t>
      </w:r>
      <w:r w:rsidR="00B82ED1">
        <w:rPr>
          <w:rFonts w:ascii="Arial" w:hAnsi="Arial" w:cs="Arial"/>
          <w:sz w:val="20"/>
        </w:rPr>
        <w:t>discussed in Chapter 3</w:t>
      </w:r>
      <w:r w:rsidR="008661DA">
        <w:rPr>
          <w:rFonts w:ascii="Arial" w:hAnsi="Arial" w:cs="Arial"/>
          <w:sz w:val="20"/>
        </w:rPr>
        <w:t xml:space="preserve"> of the report</w:t>
      </w:r>
      <w:r w:rsidR="008F1785">
        <w:rPr>
          <w:rFonts w:ascii="Arial" w:hAnsi="Arial" w:cs="Arial"/>
          <w:sz w:val="20"/>
        </w:rPr>
        <w:t xml:space="preserve"> –</w:t>
      </w:r>
      <w:r w:rsidRPr="003A3428">
        <w:rPr>
          <w:rFonts w:ascii="Arial" w:hAnsi="Arial" w:cs="Arial"/>
          <w:sz w:val="20"/>
        </w:rPr>
        <w:t xml:space="preserve"> and considering the rapidly changing nature of AI</w:t>
      </w:r>
      <w:r w:rsidR="008F1785">
        <w:rPr>
          <w:rFonts w:ascii="Arial" w:hAnsi="Arial" w:cs="Arial"/>
          <w:sz w:val="20"/>
        </w:rPr>
        <w:t xml:space="preserve"> –</w:t>
      </w:r>
      <w:r w:rsidRPr="003A3428">
        <w:rPr>
          <w:rFonts w:ascii="Arial" w:hAnsi="Arial" w:cs="Arial"/>
          <w:sz w:val="20"/>
        </w:rPr>
        <w:t xml:space="preserve"> the </w:t>
      </w:r>
      <w:r w:rsidR="007B24F6">
        <w:rPr>
          <w:rFonts w:ascii="Arial" w:hAnsi="Arial" w:cs="Arial"/>
          <w:sz w:val="20"/>
        </w:rPr>
        <w:t>VLRC</w:t>
      </w:r>
      <w:r w:rsidRPr="003A3428">
        <w:rPr>
          <w:rFonts w:ascii="Arial" w:hAnsi="Arial" w:cs="Arial"/>
          <w:sz w:val="20"/>
        </w:rPr>
        <w:t xml:space="preserve"> has recommended</w:t>
      </w:r>
      <w:r w:rsidR="001037D7">
        <w:rPr>
          <w:rFonts w:ascii="Arial" w:hAnsi="Arial" w:cs="Arial"/>
          <w:sz w:val="20"/>
        </w:rPr>
        <w:t xml:space="preserve"> </w:t>
      </w:r>
      <w:r w:rsidR="001037D7" w:rsidRPr="00B46330">
        <w:rPr>
          <w:rFonts w:ascii="Arial" w:hAnsi="Arial" w:cs="Arial"/>
          <w:sz w:val="20"/>
        </w:rPr>
        <w:t>that Victoria</w:t>
      </w:r>
      <w:r w:rsidR="001037D7">
        <w:rPr>
          <w:rFonts w:ascii="Arial" w:hAnsi="Arial" w:cs="Arial"/>
          <w:sz w:val="20"/>
        </w:rPr>
        <w:t>n</w:t>
      </w:r>
      <w:r w:rsidR="001037D7" w:rsidRPr="00B46330">
        <w:rPr>
          <w:rFonts w:ascii="Arial" w:hAnsi="Arial" w:cs="Arial"/>
          <w:sz w:val="20"/>
        </w:rPr>
        <w:t xml:space="preserve"> courts adopt a principles-based regulatory approach</w:t>
      </w:r>
      <w:r w:rsidR="001037D7">
        <w:rPr>
          <w:rFonts w:ascii="Arial" w:hAnsi="Arial" w:cs="Arial"/>
          <w:sz w:val="20"/>
        </w:rPr>
        <w:t xml:space="preserve"> </w:t>
      </w:r>
      <w:r w:rsidR="001037D7" w:rsidRPr="003A3428">
        <w:rPr>
          <w:rFonts w:ascii="Arial" w:hAnsi="Arial" w:cs="Arial"/>
          <w:sz w:val="20"/>
        </w:rPr>
        <w:t>focused on guidelines and education</w:t>
      </w:r>
      <w:r w:rsidR="001037D7">
        <w:rPr>
          <w:rFonts w:ascii="Arial" w:hAnsi="Arial" w:cs="Arial"/>
          <w:sz w:val="20"/>
        </w:rPr>
        <w:t>. Its report set</w:t>
      </w:r>
      <w:r w:rsidR="00E744A6">
        <w:rPr>
          <w:rFonts w:ascii="Arial" w:hAnsi="Arial" w:cs="Arial"/>
          <w:sz w:val="20"/>
        </w:rPr>
        <w:t>s</w:t>
      </w:r>
      <w:r w:rsidR="001037D7">
        <w:rPr>
          <w:rFonts w:ascii="Arial" w:hAnsi="Arial" w:cs="Arial"/>
          <w:sz w:val="20"/>
        </w:rPr>
        <w:t xml:space="preserve"> out:</w:t>
      </w:r>
    </w:p>
    <w:p w14:paraId="1194F549" w14:textId="0AC81444" w:rsidR="0095660E" w:rsidRDefault="007A5F0A" w:rsidP="001A754B">
      <w:pPr>
        <w:numPr>
          <w:ilvl w:val="0"/>
          <w:numId w:val="172"/>
        </w:numPr>
        <w:ind w:left="357" w:hanging="357"/>
        <w:jc w:val="both"/>
        <w:rPr>
          <w:rFonts w:ascii="Arial" w:hAnsi="Arial" w:cs="Arial"/>
          <w:sz w:val="20"/>
        </w:rPr>
      </w:pPr>
      <w:r>
        <w:rPr>
          <w:rFonts w:ascii="Arial" w:hAnsi="Arial" w:cs="Arial"/>
          <w:sz w:val="20"/>
        </w:rPr>
        <w:t>Eigh</w:t>
      </w:r>
      <w:r w:rsidR="0095660E">
        <w:rPr>
          <w:rFonts w:ascii="Arial" w:hAnsi="Arial" w:cs="Arial"/>
          <w:sz w:val="20"/>
        </w:rPr>
        <w:t xml:space="preserve">t principles </w:t>
      </w:r>
      <w:r>
        <w:rPr>
          <w:rFonts w:ascii="Arial" w:hAnsi="Arial" w:cs="Arial"/>
          <w:sz w:val="20"/>
        </w:rPr>
        <w:t xml:space="preserve">(pictured) and 30 recommendations (detailed below) </w:t>
      </w:r>
      <w:r w:rsidR="0095660E" w:rsidRPr="003A3428">
        <w:rPr>
          <w:rFonts w:ascii="Arial" w:hAnsi="Arial" w:cs="Arial"/>
          <w:sz w:val="20"/>
        </w:rPr>
        <w:t xml:space="preserve">to guide the safe use of AI </w:t>
      </w:r>
      <w:r w:rsidR="0095660E">
        <w:rPr>
          <w:rFonts w:ascii="Arial" w:hAnsi="Arial" w:cs="Arial"/>
          <w:sz w:val="20"/>
        </w:rPr>
        <w:t xml:space="preserve">in courts and tribunals </w:t>
      </w:r>
      <w:r w:rsidR="0095660E" w:rsidRPr="003A3428">
        <w:rPr>
          <w:rFonts w:ascii="Arial" w:hAnsi="Arial" w:cs="Arial"/>
          <w:sz w:val="20"/>
        </w:rPr>
        <w:t>and help preserve public trust in the justice system.</w:t>
      </w:r>
    </w:p>
    <w:p w14:paraId="133AE8E7" w14:textId="635ADBC6" w:rsidR="00555AB5" w:rsidRDefault="00555AB5" w:rsidP="00E744A6">
      <w:pPr>
        <w:jc w:val="center"/>
        <w:rPr>
          <w:rFonts w:ascii="Arial" w:hAnsi="Arial" w:cs="Arial"/>
          <w:sz w:val="20"/>
        </w:rPr>
      </w:pPr>
      <w:r w:rsidRPr="00555AB5">
        <w:rPr>
          <w:rFonts w:ascii="Arial" w:hAnsi="Arial" w:cs="Arial"/>
          <w:noProof/>
          <w:sz w:val="20"/>
        </w:rPr>
        <w:drawing>
          <wp:inline distT="0" distB="0" distL="0" distR="0" wp14:anchorId="2FAE1705" wp14:editId="46E4A827">
            <wp:extent cx="2160000" cy="2058799"/>
            <wp:effectExtent l="0" t="0" r="0" b="0"/>
            <wp:docPr id="103933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3776" name=""/>
                    <pic:cNvPicPr/>
                  </pic:nvPicPr>
                  <pic:blipFill>
                    <a:blip r:embed="rId68" cstate="print">
                      <a:extLst>
                        <a:ext uri="{28A0092B-C50C-407E-A947-70E740481C1C}">
                          <a14:useLocalDpi xmlns:a14="http://schemas.microsoft.com/office/drawing/2010/main" val="0"/>
                        </a:ext>
                      </a:extLst>
                    </a:blip>
                    <a:stretch>
                      <a:fillRect/>
                    </a:stretch>
                  </pic:blipFill>
                  <pic:spPr>
                    <a:xfrm>
                      <a:off x="0" y="0"/>
                      <a:ext cx="2160000" cy="2058799"/>
                    </a:xfrm>
                    <a:prstGeom prst="rect">
                      <a:avLst/>
                    </a:prstGeom>
                  </pic:spPr>
                </pic:pic>
              </a:graphicData>
            </a:graphic>
          </wp:inline>
        </w:drawing>
      </w:r>
    </w:p>
    <w:p w14:paraId="31975A82" w14:textId="77777777" w:rsidR="00187C08" w:rsidRPr="003A3428" w:rsidRDefault="00187C08" w:rsidP="001A754B">
      <w:pPr>
        <w:numPr>
          <w:ilvl w:val="0"/>
          <w:numId w:val="172"/>
        </w:numPr>
        <w:ind w:left="357" w:hanging="357"/>
        <w:jc w:val="both"/>
        <w:rPr>
          <w:rFonts w:ascii="Arial" w:hAnsi="Arial" w:cs="Arial"/>
          <w:sz w:val="20"/>
        </w:rPr>
      </w:pPr>
      <w:r w:rsidRPr="003A3428">
        <w:rPr>
          <w:rFonts w:ascii="Arial" w:hAnsi="Arial" w:cs="Arial"/>
          <w:sz w:val="20"/>
        </w:rPr>
        <w:t>Guidelines for court users, judicial officers and staff on implementing the principles.</w:t>
      </w:r>
    </w:p>
    <w:p w14:paraId="1677F024" w14:textId="77777777" w:rsidR="00187C08" w:rsidRPr="003A3428" w:rsidRDefault="00187C08" w:rsidP="001A754B">
      <w:pPr>
        <w:numPr>
          <w:ilvl w:val="0"/>
          <w:numId w:val="172"/>
        </w:numPr>
        <w:ind w:left="357" w:hanging="357"/>
        <w:jc w:val="both"/>
        <w:rPr>
          <w:rFonts w:ascii="Arial" w:hAnsi="Arial" w:cs="Arial"/>
          <w:sz w:val="20"/>
        </w:rPr>
      </w:pPr>
      <w:r w:rsidRPr="003A3428">
        <w:rPr>
          <w:rFonts w:ascii="Arial" w:hAnsi="Arial" w:cs="Arial"/>
          <w:sz w:val="20"/>
        </w:rPr>
        <w:t>Prohibition of the use of AI for judicial decision-making.</w:t>
      </w:r>
    </w:p>
    <w:p w14:paraId="1244506D" w14:textId="77777777" w:rsidR="00187C08" w:rsidRPr="003A3428" w:rsidRDefault="00187C08" w:rsidP="001A754B">
      <w:pPr>
        <w:numPr>
          <w:ilvl w:val="0"/>
          <w:numId w:val="172"/>
        </w:numPr>
        <w:ind w:left="357" w:hanging="357"/>
        <w:jc w:val="both"/>
        <w:rPr>
          <w:rFonts w:ascii="Arial" w:hAnsi="Arial" w:cs="Arial"/>
          <w:sz w:val="20"/>
        </w:rPr>
      </w:pPr>
      <w:r w:rsidRPr="003A3428">
        <w:rPr>
          <w:rFonts w:ascii="Arial" w:hAnsi="Arial" w:cs="Arial"/>
          <w:sz w:val="20"/>
        </w:rPr>
        <w:t>Governance processes including an AI assurance framework to assess and monitor new AI uses.</w:t>
      </w:r>
    </w:p>
    <w:p w14:paraId="61CE13AD" w14:textId="77777777" w:rsidR="00187C08" w:rsidRPr="003A3428" w:rsidRDefault="00187C08" w:rsidP="001A754B">
      <w:pPr>
        <w:numPr>
          <w:ilvl w:val="0"/>
          <w:numId w:val="172"/>
        </w:numPr>
        <w:ind w:left="357" w:hanging="357"/>
        <w:jc w:val="both"/>
        <w:rPr>
          <w:rFonts w:ascii="Arial" w:hAnsi="Arial" w:cs="Arial"/>
          <w:sz w:val="20"/>
        </w:rPr>
      </w:pPr>
      <w:r w:rsidRPr="003A3428">
        <w:rPr>
          <w:rFonts w:ascii="Arial" w:hAnsi="Arial" w:cs="Arial"/>
          <w:sz w:val="20"/>
        </w:rPr>
        <w:t>Training and education for lawyers, judicial officers and the public to increase awareness about AI guidelines and promote the safe use of AI.</w:t>
      </w:r>
    </w:p>
    <w:p w14:paraId="37162E91" w14:textId="398A8AC4" w:rsidR="00DF092A" w:rsidRPr="00DF092A" w:rsidRDefault="00DF092A" w:rsidP="00DF092A">
      <w:pPr>
        <w:jc w:val="both"/>
        <w:rPr>
          <w:rFonts w:ascii="Arial" w:hAnsi="Arial" w:cs="Arial"/>
          <w:sz w:val="20"/>
        </w:rPr>
      </w:pPr>
      <w:r w:rsidRPr="00DF092A">
        <w:rPr>
          <w:rFonts w:ascii="Arial" w:hAnsi="Arial" w:cs="Arial"/>
          <w:sz w:val="20"/>
        </w:rPr>
        <w:lastRenderedPageBreak/>
        <w:t xml:space="preserve">With AI technology and its use in courts still evolving, the </w:t>
      </w:r>
      <w:r w:rsidR="009B3C91">
        <w:rPr>
          <w:rFonts w:ascii="Arial" w:hAnsi="Arial" w:cs="Arial"/>
          <w:sz w:val="20"/>
        </w:rPr>
        <w:t>VLRC</w:t>
      </w:r>
      <w:r w:rsidRPr="00DF092A">
        <w:rPr>
          <w:rFonts w:ascii="Arial" w:hAnsi="Arial" w:cs="Arial"/>
          <w:sz w:val="20"/>
        </w:rPr>
        <w:t xml:space="preserve"> has not recommended legislative reform but has identified areas that might require reform in future. Ongoing monitoring of emerging issues, including the laws of evidence and administrative law is recommended.</w:t>
      </w:r>
    </w:p>
    <w:p w14:paraId="6D7C21FE" w14:textId="77777777" w:rsidR="00187C08" w:rsidRDefault="00187C08" w:rsidP="00187C08">
      <w:pPr>
        <w:jc w:val="both"/>
        <w:rPr>
          <w:rFonts w:ascii="Arial" w:hAnsi="Arial" w:cs="Arial"/>
          <w:sz w:val="20"/>
        </w:rPr>
      </w:pPr>
    </w:p>
    <w:tbl>
      <w:tblPr>
        <w:tblStyle w:val="TableGrid"/>
        <w:tblW w:w="9071" w:type="dxa"/>
        <w:tblLook w:val="04A0" w:firstRow="1" w:lastRow="0" w:firstColumn="1" w:lastColumn="0" w:noHBand="0" w:noVBand="1"/>
      </w:tblPr>
      <w:tblGrid>
        <w:gridCol w:w="618"/>
        <w:gridCol w:w="8453"/>
      </w:tblGrid>
      <w:tr w:rsidR="00B82ED1" w:rsidRPr="002739C4" w14:paraId="6CF10F87" w14:textId="77777777" w:rsidTr="00136875">
        <w:tc>
          <w:tcPr>
            <w:tcW w:w="9071" w:type="dxa"/>
            <w:gridSpan w:val="2"/>
            <w:shd w:val="clear" w:color="auto" w:fill="000000" w:themeFill="text1"/>
          </w:tcPr>
          <w:p w14:paraId="50B5E3CD" w14:textId="09C07C6B" w:rsidR="00B82ED1" w:rsidRPr="002739C4" w:rsidRDefault="00B82ED1" w:rsidP="008661DA">
            <w:pPr>
              <w:keepNext/>
              <w:keepLines/>
              <w:jc w:val="center"/>
              <w:rPr>
                <w:rFonts w:ascii="Arial" w:hAnsi="Arial" w:cs="Arial"/>
                <w:b/>
                <w:bCs/>
                <w:sz w:val="20"/>
              </w:rPr>
            </w:pPr>
            <w:r>
              <w:rPr>
                <w:rFonts w:ascii="Arial" w:hAnsi="Arial" w:cs="Arial"/>
                <w:b/>
                <w:bCs/>
                <w:sz w:val="20"/>
              </w:rPr>
              <w:t>VLRC RECOMMENATIONS</w:t>
            </w:r>
            <w:r w:rsidR="00165543">
              <w:rPr>
                <w:rFonts w:ascii="Arial" w:hAnsi="Arial" w:cs="Arial"/>
                <w:b/>
                <w:bCs/>
                <w:sz w:val="20"/>
              </w:rPr>
              <w:t xml:space="preserve"> [including GUIDELINES]</w:t>
            </w:r>
          </w:p>
        </w:tc>
      </w:tr>
      <w:tr w:rsidR="008F1785" w14:paraId="35027065" w14:textId="77777777" w:rsidTr="00136875">
        <w:trPr>
          <w:trHeight w:val="83"/>
        </w:trPr>
        <w:tc>
          <w:tcPr>
            <w:tcW w:w="9071" w:type="dxa"/>
            <w:gridSpan w:val="2"/>
            <w:shd w:val="clear" w:color="auto" w:fill="DDDDDD"/>
          </w:tcPr>
          <w:p w14:paraId="704F8085" w14:textId="60F382EB" w:rsidR="008F1785" w:rsidRPr="002739C4" w:rsidRDefault="008F1785" w:rsidP="008F1785">
            <w:pPr>
              <w:jc w:val="center"/>
              <w:rPr>
                <w:rFonts w:ascii="Arial" w:hAnsi="Arial" w:cs="Arial"/>
                <w:b/>
                <w:bCs/>
                <w:sz w:val="20"/>
              </w:rPr>
            </w:pPr>
            <w:r w:rsidRPr="008661DA">
              <w:rPr>
                <w:rFonts w:ascii="Arial" w:hAnsi="Arial" w:cs="Arial"/>
                <w:b/>
                <w:bCs/>
                <w:sz w:val="20"/>
              </w:rPr>
              <w:t>CHAPTER 4: AUSTRALIAN AND GLOBAL AI REGULATION</w:t>
            </w:r>
          </w:p>
        </w:tc>
      </w:tr>
      <w:tr w:rsidR="008F1785" w14:paraId="202AA480" w14:textId="77777777" w:rsidTr="00645526">
        <w:trPr>
          <w:trHeight w:val="83"/>
        </w:trPr>
        <w:tc>
          <w:tcPr>
            <w:tcW w:w="618" w:type="dxa"/>
            <w:shd w:val="clear" w:color="auto" w:fill="000000" w:themeFill="text1"/>
          </w:tcPr>
          <w:p w14:paraId="671A5E91" w14:textId="72BC2D9B" w:rsidR="008F1785" w:rsidRPr="002739C4" w:rsidRDefault="008F1785" w:rsidP="003D3749">
            <w:pPr>
              <w:jc w:val="center"/>
              <w:rPr>
                <w:rFonts w:ascii="Arial" w:hAnsi="Arial" w:cs="Arial"/>
                <w:b/>
                <w:bCs/>
                <w:sz w:val="20"/>
              </w:rPr>
            </w:pPr>
            <w:r>
              <w:rPr>
                <w:rFonts w:ascii="Arial" w:hAnsi="Arial" w:cs="Arial"/>
                <w:b/>
                <w:bCs/>
                <w:sz w:val="20"/>
              </w:rPr>
              <w:t>1</w:t>
            </w:r>
          </w:p>
        </w:tc>
        <w:tc>
          <w:tcPr>
            <w:tcW w:w="8453" w:type="dxa"/>
          </w:tcPr>
          <w:p w14:paraId="2B84C948" w14:textId="3F2D4B20" w:rsidR="008F1785" w:rsidRDefault="008F1785" w:rsidP="008F1785">
            <w:pPr>
              <w:jc w:val="both"/>
              <w:rPr>
                <w:rFonts w:ascii="Arial" w:hAnsi="Arial" w:cs="Arial"/>
                <w:b/>
                <w:bCs/>
                <w:sz w:val="20"/>
              </w:rPr>
            </w:pPr>
            <w:r w:rsidRPr="008661DA">
              <w:rPr>
                <w:rFonts w:ascii="Arial" w:hAnsi="Arial" w:cs="Arial"/>
                <w:sz w:val="18"/>
                <w:szCs w:val="22"/>
              </w:rPr>
              <w:t>The Victorian Government should collaborate with the Australian Government and other states and territories to develop a consistent and agreed national approach to AI regulation. While national AI regulation is important for safety and consistency, care must be given to ensure any national reform maintains judicial independence.</w:t>
            </w:r>
          </w:p>
        </w:tc>
      </w:tr>
      <w:tr w:rsidR="008F1785" w14:paraId="56DB14A7" w14:textId="77777777" w:rsidTr="00136875">
        <w:trPr>
          <w:trHeight w:val="83"/>
        </w:trPr>
        <w:tc>
          <w:tcPr>
            <w:tcW w:w="9071" w:type="dxa"/>
            <w:gridSpan w:val="2"/>
            <w:shd w:val="clear" w:color="auto" w:fill="DDDDDD"/>
          </w:tcPr>
          <w:p w14:paraId="65966CDC" w14:textId="394A6F7F" w:rsidR="008F1785" w:rsidRPr="008F1785" w:rsidRDefault="008F1785" w:rsidP="003D3749">
            <w:pPr>
              <w:jc w:val="center"/>
              <w:rPr>
                <w:rFonts w:ascii="Arial" w:hAnsi="Arial" w:cs="Arial"/>
                <w:b/>
                <w:bCs/>
                <w:sz w:val="20"/>
              </w:rPr>
            </w:pPr>
            <w:r w:rsidRPr="008F1785">
              <w:rPr>
                <w:rFonts w:ascii="Arial" w:hAnsi="Arial" w:cs="Arial"/>
                <w:b/>
                <w:bCs/>
                <w:sz w:val="20"/>
              </w:rPr>
              <w:t>CHAPTER 5: IS LEGISLATIVE REFORM NECESSARY FOR SAFE USE OF AI IN COURTS AND TRIBUNALS?</w:t>
            </w:r>
          </w:p>
        </w:tc>
      </w:tr>
      <w:tr w:rsidR="008F1785" w14:paraId="565AAB10" w14:textId="77777777" w:rsidTr="00645526">
        <w:trPr>
          <w:trHeight w:val="83"/>
        </w:trPr>
        <w:tc>
          <w:tcPr>
            <w:tcW w:w="618" w:type="dxa"/>
            <w:shd w:val="clear" w:color="auto" w:fill="000000" w:themeFill="text1"/>
          </w:tcPr>
          <w:p w14:paraId="2DB4379D" w14:textId="47DDDBF1" w:rsidR="008F1785" w:rsidRPr="002739C4" w:rsidRDefault="008F1785" w:rsidP="003D3749">
            <w:pPr>
              <w:jc w:val="center"/>
              <w:rPr>
                <w:rFonts w:ascii="Arial" w:hAnsi="Arial" w:cs="Arial"/>
                <w:b/>
                <w:bCs/>
                <w:sz w:val="20"/>
              </w:rPr>
            </w:pPr>
            <w:r>
              <w:rPr>
                <w:rFonts w:ascii="Arial" w:hAnsi="Arial" w:cs="Arial"/>
                <w:b/>
                <w:bCs/>
                <w:sz w:val="20"/>
              </w:rPr>
              <w:t>2</w:t>
            </w:r>
          </w:p>
        </w:tc>
        <w:tc>
          <w:tcPr>
            <w:tcW w:w="8453" w:type="dxa"/>
          </w:tcPr>
          <w:p w14:paraId="75C65FEB" w14:textId="08A7A10F" w:rsidR="008F1785" w:rsidRPr="008F1785" w:rsidRDefault="008F1785" w:rsidP="003D3749">
            <w:pPr>
              <w:jc w:val="both"/>
              <w:rPr>
                <w:rFonts w:ascii="Arial" w:hAnsi="Arial" w:cs="Arial"/>
                <w:b/>
                <w:bCs/>
                <w:sz w:val="18"/>
                <w:szCs w:val="22"/>
              </w:rPr>
            </w:pPr>
            <w:r w:rsidRPr="008F1785">
              <w:rPr>
                <w:rFonts w:ascii="Arial" w:hAnsi="Arial" w:cs="Arial"/>
                <w:sz w:val="18"/>
                <w:szCs w:val="22"/>
              </w:rPr>
              <w:t>Victoria’s courts and VCAT should publicly state how their privacy and AI policies seek to be consistent with the Victorian Information Privacy Principles.</w:t>
            </w:r>
          </w:p>
        </w:tc>
      </w:tr>
      <w:tr w:rsidR="008F1785" w14:paraId="522F624B" w14:textId="77777777" w:rsidTr="00645526">
        <w:trPr>
          <w:trHeight w:val="83"/>
        </w:trPr>
        <w:tc>
          <w:tcPr>
            <w:tcW w:w="618" w:type="dxa"/>
            <w:shd w:val="clear" w:color="auto" w:fill="000000" w:themeFill="text1"/>
          </w:tcPr>
          <w:p w14:paraId="708B3F23" w14:textId="7EDAAC36" w:rsidR="008F1785" w:rsidRDefault="008F1785" w:rsidP="003D3749">
            <w:pPr>
              <w:jc w:val="center"/>
              <w:rPr>
                <w:rFonts w:ascii="Arial" w:hAnsi="Arial" w:cs="Arial"/>
                <w:b/>
                <w:bCs/>
                <w:sz w:val="20"/>
              </w:rPr>
            </w:pPr>
            <w:r>
              <w:rPr>
                <w:rFonts w:ascii="Arial" w:hAnsi="Arial" w:cs="Arial"/>
                <w:b/>
                <w:bCs/>
                <w:sz w:val="20"/>
              </w:rPr>
              <w:t>3</w:t>
            </w:r>
          </w:p>
        </w:tc>
        <w:tc>
          <w:tcPr>
            <w:tcW w:w="8453" w:type="dxa"/>
          </w:tcPr>
          <w:p w14:paraId="29022417" w14:textId="2B4E7691" w:rsidR="008F1785" w:rsidRPr="008F1785" w:rsidRDefault="008F1785" w:rsidP="003D3749">
            <w:pPr>
              <w:jc w:val="both"/>
              <w:rPr>
                <w:rFonts w:ascii="Arial" w:hAnsi="Arial" w:cs="Arial"/>
                <w:sz w:val="18"/>
                <w:szCs w:val="22"/>
              </w:rPr>
            </w:pPr>
            <w:r w:rsidRPr="008F1785">
              <w:rPr>
                <w:rFonts w:ascii="Arial" w:hAnsi="Arial" w:cs="Arial"/>
                <w:sz w:val="18"/>
                <w:szCs w:val="22"/>
              </w:rPr>
              <w:t xml:space="preserve">A court-led expert working group should monitor the suitability of the </w:t>
            </w:r>
            <w:r w:rsidRPr="008F1785">
              <w:rPr>
                <w:rFonts w:ascii="Arial" w:hAnsi="Arial" w:cs="Arial"/>
                <w:i/>
                <w:iCs/>
                <w:sz w:val="18"/>
                <w:szCs w:val="22"/>
              </w:rPr>
              <w:t>Evidence Act 2008</w:t>
            </w:r>
            <w:r w:rsidRPr="008F1785">
              <w:rPr>
                <w:rFonts w:ascii="Arial" w:hAnsi="Arial" w:cs="Arial"/>
                <w:sz w:val="18"/>
                <w:szCs w:val="22"/>
              </w:rPr>
              <w:t xml:space="preserve"> (Vic) to address emerging AI-related evidence issues, and report annually to the Chief Justice of Victoria.</w:t>
            </w:r>
          </w:p>
        </w:tc>
      </w:tr>
      <w:tr w:rsidR="008F1785" w14:paraId="00B41EDC" w14:textId="77777777" w:rsidTr="00136875">
        <w:trPr>
          <w:trHeight w:val="83"/>
        </w:trPr>
        <w:tc>
          <w:tcPr>
            <w:tcW w:w="9071" w:type="dxa"/>
            <w:gridSpan w:val="2"/>
            <w:shd w:val="clear" w:color="auto" w:fill="DDDDDD"/>
          </w:tcPr>
          <w:p w14:paraId="64E6AE28" w14:textId="48B40B4C" w:rsidR="008F1785" w:rsidRPr="008F1785" w:rsidRDefault="008F1785" w:rsidP="003D3749">
            <w:pPr>
              <w:jc w:val="center"/>
              <w:rPr>
                <w:rFonts w:ascii="Arial" w:hAnsi="Arial" w:cs="Arial"/>
                <w:b/>
                <w:bCs/>
                <w:sz w:val="20"/>
              </w:rPr>
            </w:pPr>
            <w:r w:rsidRPr="008F1785">
              <w:rPr>
                <w:rFonts w:ascii="Arial" w:hAnsi="Arial" w:cs="Arial"/>
                <w:b/>
                <w:bCs/>
                <w:sz w:val="20"/>
              </w:rPr>
              <w:t>CHAPTER 6: PRINCIPLES TO GUIDE THE SAFE USE OF AI IN COURTS AND TRIBUNALS</w:t>
            </w:r>
          </w:p>
        </w:tc>
      </w:tr>
      <w:tr w:rsidR="008F1785" w14:paraId="26CDB391" w14:textId="77777777" w:rsidTr="00645526">
        <w:trPr>
          <w:trHeight w:val="83"/>
        </w:trPr>
        <w:tc>
          <w:tcPr>
            <w:tcW w:w="618" w:type="dxa"/>
            <w:shd w:val="clear" w:color="auto" w:fill="000000" w:themeFill="text1"/>
          </w:tcPr>
          <w:p w14:paraId="191087BC" w14:textId="42677A19" w:rsidR="008F1785" w:rsidRPr="002739C4" w:rsidRDefault="008F1785" w:rsidP="003D3749">
            <w:pPr>
              <w:jc w:val="center"/>
              <w:rPr>
                <w:rFonts w:ascii="Arial" w:hAnsi="Arial" w:cs="Arial"/>
                <w:b/>
                <w:bCs/>
                <w:sz w:val="20"/>
              </w:rPr>
            </w:pPr>
            <w:r>
              <w:rPr>
                <w:rFonts w:ascii="Arial" w:hAnsi="Arial" w:cs="Arial"/>
                <w:b/>
                <w:bCs/>
                <w:sz w:val="20"/>
              </w:rPr>
              <w:t>4</w:t>
            </w:r>
          </w:p>
        </w:tc>
        <w:tc>
          <w:tcPr>
            <w:tcW w:w="8453" w:type="dxa"/>
          </w:tcPr>
          <w:p w14:paraId="2A33F86A" w14:textId="3CE1D131" w:rsidR="008F1785" w:rsidRPr="008F1785" w:rsidRDefault="008F1785" w:rsidP="003D3749">
            <w:pPr>
              <w:jc w:val="both"/>
              <w:rPr>
                <w:rFonts w:ascii="Arial" w:hAnsi="Arial" w:cs="Arial"/>
                <w:b/>
                <w:bCs/>
                <w:sz w:val="18"/>
                <w:szCs w:val="22"/>
              </w:rPr>
            </w:pPr>
            <w:r w:rsidRPr="008F1785">
              <w:rPr>
                <w:rFonts w:ascii="Arial" w:hAnsi="Arial" w:cs="Arial"/>
                <w:sz w:val="18"/>
                <w:szCs w:val="22"/>
              </w:rPr>
              <w:t>The Commission’s principles should be adopted and applied where relevant by Victoria’s courts and VCAT when making decisions about the use of AI. The individual principles should be employed to achieve the overarching objective of maintaining public trust.</w:t>
            </w:r>
          </w:p>
        </w:tc>
      </w:tr>
      <w:tr w:rsidR="008F1785" w14:paraId="73A46FC6" w14:textId="77777777" w:rsidTr="00136875">
        <w:trPr>
          <w:trHeight w:val="83"/>
        </w:trPr>
        <w:tc>
          <w:tcPr>
            <w:tcW w:w="9071" w:type="dxa"/>
            <w:gridSpan w:val="2"/>
            <w:shd w:val="clear" w:color="auto" w:fill="DDDDDD"/>
          </w:tcPr>
          <w:p w14:paraId="3DA164CA" w14:textId="1143B87A" w:rsidR="008F1785" w:rsidRPr="008F1785" w:rsidRDefault="008F1785" w:rsidP="00136875">
            <w:pPr>
              <w:jc w:val="center"/>
              <w:rPr>
                <w:rFonts w:ascii="Arial" w:hAnsi="Arial" w:cs="Arial"/>
                <w:b/>
                <w:bCs/>
                <w:sz w:val="20"/>
              </w:rPr>
            </w:pPr>
            <w:r w:rsidRPr="008F1785">
              <w:rPr>
                <w:rFonts w:ascii="Arial" w:hAnsi="Arial" w:cs="Arial"/>
                <w:b/>
                <w:bCs/>
                <w:sz w:val="20"/>
              </w:rPr>
              <w:t xml:space="preserve">CHAPTER </w:t>
            </w:r>
            <w:r w:rsidR="00F562DC">
              <w:rPr>
                <w:rFonts w:ascii="Arial" w:hAnsi="Arial" w:cs="Arial"/>
                <w:b/>
                <w:bCs/>
                <w:sz w:val="20"/>
              </w:rPr>
              <w:t>7</w:t>
            </w:r>
            <w:r w:rsidRPr="008F1785">
              <w:rPr>
                <w:rFonts w:ascii="Arial" w:hAnsi="Arial" w:cs="Arial"/>
                <w:b/>
                <w:bCs/>
                <w:sz w:val="20"/>
              </w:rPr>
              <w:t xml:space="preserve">: </w:t>
            </w:r>
            <w:r w:rsidR="00F562DC">
              <w:rPr>
                <w:rFonts w:ascii="Arial" w:hAnsi="Arial" w:cs="Arial"/>
                <w:b/>
                <w:bCs/>
                <w:sz w:val="20"/>
              </w:rPr>
              <w:t>COURT USER GUIDELINES TO SUPPORT SAFE USE OF AI</w:t>
            </w:r>
          </w:p>
        </w:tc>
      </w:tr>
      <w:tr w:rsidR="00136875" w14:paraId="56974BF2" w14:textId="77777777" w:rsidTr="005D063A">
        <w:trPr>
          <w:trHeight w:val="83"/>
        </w:trPr>
        <w:tc>
          <w:tcPr>
            <w:tcW w:w="618" w:type="dxa"/>
            <w:tcBorders>
              <w:bottom w:val="single" w:sz="4" w:space="0" w:color="auto"/>
            </w:tcBorders>
            <w:shd w:val="clear" w:color="auto" w:fill="000000" w:themeFill="text1"/>
          </w:tcPr>
          <w:p w14:paraId="20F61444" w14:textId="77777777" w:rsidR="00136875" w:rsidRPr="00645526" w:rsidRDefault="00136875"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1B744567" w14:textId="0545A347" w:rsidR="00136875" w:rsidRPr="00E76AB5" w:rsidRDefault="00136875" w:rsidP="003D3749">
            <w:pPr>
              <w:jc w:val="center"/>
              <w:rPr>
                <w:rFonts w:ascii="Arial" w:hAnsi="Arial" w:cs="Arial"/>
                <w:sz w:val="18"/>
                <w:szCs w:val="22"/>
              </w:rPr>
            </w:pPr>
            <w:r>
              <w:rPr>
                <w:rFonts w:ascii="Arial" w:hAnsi="Arial" w:cs="Arial"/>
                <w:b/>
                <w:bCs/>
                <w:sz w:val="18"/>
                <w:szCs w:val="22"/>
                <w:shd w:val="clear" w:color="auto" w:fill="000000" w:themeFill="text1"/>
              </w:rPr>
              <w:t xml:space="preserve">Consistency </w:t>
            </w:r>
            <w:r w:rsidRPr="00645526">
              <w:rPr>
                <w:rFonts w:ascii="Arial" w:hAnsi="Arial" w:cs="Arial"/>
                <w:b/>
                <w:bCs/>
                <w:sz w:val="18"/>
                <w:szCs w:val="22"/>
                <w:shd w:val="clear" w:color="auto" w:fill="000000" w:themeFill="text1"/>
              </w:rPr>
              <w:t>of court user guidelines</w:t>
            </w:r>
          </w:p>
        </w:tc>
      </w:tr>
      <w:tr w:rsidR="00E76AB5" w14:paraId="1EAC9A63" w14:textId="77777777" w:rsidTr="005D063A">
        <w:trPr>
          <w:trHeight w:val="147"/>
        </w:trPr>
        <w:tc>
          <w:tcPr>
            <w:tcW w:w="618" w:type="dxa"/>
            <w:vMerge w:val="restart"/>
            <w:tcBorders>
              <w:bottom w:val="nil"/>
            </w:tcBorders>
            <w:shd w:val="clear" w:color="auto" w:fill="000000" w:themeFill="text1"/>
          </w:tcPr>
          <w:p w14:paraId="0660E955" w14:textId="6C67559B" w:rsidR="00E76AB5" w:rsidRPr="002739C4" w:rsidRDefault="00E76AB5" w:rsidP="003D3749">
            <w:pPr>
              <w:jc w:val="center"/>
              <w:rPr>
                <w:rFonts w:ascii="Arial" w:hAnsi="Arial" w:cs="Arial"/>
                <w:b/>
                <w:bCs/>
                <w:sz w:val="20"/>
              </w:rPr>
            </w:pPr>
            <w:r>
              <w:rPr>
                <w:rFonts w:ascii="Arial" w:hAnsi="Arial" w:cs="Arial"/>
                <w:b/>
                <w:bCs/>
                <w:sz w:val="20"/>
              </w:rPr>
              <w:t>5</w:t>
            </w:r>
          </w:p>
        </w:tc>
        <w:tc>
          <w:tcPr>
            <w:tcW w:w="8453" w:type="dxa"/>
            <w:shd w:val="pct10" w:color="00B050" w:fill="auto"/>
          </w:tcPr>
          <w:p w14:paraId="4EE412A8" w14:textId="0113B056"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The Supreme Court’s Guidelines for Litigants: Responsible Use of Artificial Intelligence, as varied by recommendations 7 to 11, should be adopted by Victoria’s courts and VCAT.</w:t>
            </w:r>
          </w:p>
        </w:tc>
      </w:tr>
      <w:tr w:rsidR="00E76AB5" w14:paraId="101F77AD" w14:textId="77777777" w:rsidTr="00136875">
        <w:trPr>
          <w:trHeight w:val="147"/>
        </w:trPr>
        <w:tc>
          <w:tcPr>
            <w:tcW w:w="618" w:type="dxa"/>
            <w:vMerge/>
            <w:tcBorders>
              <w:bottom w:val="nil"/>
            </w:tcBorders>
            <w:shd w:val="clear" w:color="auto" w:fill="000000" w:themeFill="text1"/>
          </w:tcPr>
          <w:p w14:paraId="546A1D9A" w14:textId="77777777" w:rsidR="00E76AB5" w:rsidRDefault="00E76AB5" w:rsidP="003D3749">
            <w:pPr>
              <w:jc w:val="center"/>
              <w:rPr>
                <w:rFonts w:ascii="Arial" w:hAnsi="Arial" w:cs="Arial"/>
                <w:b/>
                <w:bCs/>
                <w:sz w:val="20"/>
              </w:rPr>
            </w:pPr>
          </w:p>
        </w:tc>
        <w:tc>
          <w:tcPr>
            <w:tcW w:w="8453" w:type="dxa"/>
          </w:tcPr>
          <w:p w14:paraId="05FE8420" w14:textId="699FE586" w:rsidR="00E76AB5" w:rsidRPr="00E76AB5" w:rsidRDefault="00E76AB5" w:rsidP="003D3749">
            <w:pPr>
              <w:jc w:val="both"/>
              <w:rPr>
                <w:rFonts w:ascii="Arial" w:hAnsi="Arial" w:cs="Arial"/>
                <w:sz w:val="18"/>
                <w:szCs w:val="22"/>
              </w:rPr>
            </w:pPr>
            <w:r>
              <w:rPr>
                <w:rFonts w:ascii="Arial" w:hAnsi="Arial" w:cs="Arial"/>
                <w:sz w:val="18"/>
                <w:szCs w:val="22"/>
              </w:rPr>
              <w:t xml:space="preserve">For a summary of the </w:t>
            </w:r>
            <w:r w:rsidRPr="00E76AB5">
              <w:rPr>
                <w:rFonts w:ascii="Arial" w:hAnsi="Arial" w:cs="Arial"/>
                <w:sz w:val="18"/>
                <w:szCs w:val="22"/>
              </w:rPr>
              <w:t xml:space="preserve">Supreme Court’s </w:t>
            </w:r>
            <w:hyperlink r:id="rId69" w:history="1">
              <w:r w:rsidRPr="00A028A8">
                <w:rPr>
                  <w:rStyle w:val="Hyperlink"/>
                  <w:rFonts w:ascii="Arial" w:hAnsi="Arial" w:cs="Arial"/>
                  <w:b/>
                  <w:bCs/>
                  <w:sz w:val="18"/>
                  <w:szCs w:val="22"/>
                </w:rPr>
                <w:t>Guidelines for Litigants: Responsible Use of Artificial Intelligence</w:t>
              </w:r>
            </w:hyperlink>
            <w:r>
              <w:rPr>
                <w:rFonts w:ascii="Arial" w:hAnsi="Arial" w:cs="Arial"/>
                <w:sz w:val="18"/>
                <w:szCs w:val="22"/>
              </w:rPr>
              <w:t xml:space="preserve"> see </w:t>
            </w:r>
            <w:r w:rsidRPr="00E76AB5">
              <w:rPr>
                <w:rFonts w:ascii="Arial" w:hAnsi="Arial" w:cs="Arial"/>
                <w:b/>
                <w:bCs/>
                <w:sz w:val="18"/>
                <w:szCs w:val="22"/>
                <w:shd w:val="clear" w:color="auto" w:fill="C5E0B3" w:themeFill="accent6" w:themeFillTint="66"/>
              </w:rPr>
              <w:t>section 3.15.3</w:t>
            </w:r>
            <w:r>
              <w:rPr>
                <w:rFonts w:ascii="Arial" w:hAnsi="Arial" w:cs="Arial"/>
                <w:sz w:val="18"/>
                <w:szCs w:val="22"/>
              </w:rPr>
              <w:t xml:space="preserve"> below.</w:t>
            </w:r>
          </w:p>
        </w:tc>
      </w:tr>
      <w:tr w:rsidR="00E76AB5" w14:paraId="6EADCC48" w14:textId="77777777" w:rsidTr="00136875">
        <w:trPr>
          <w:trHeight w:val="83"/>
        </w:trPr>
        <w:tc>
          <w:tcPr>
            <w:tcW w:w="618" w:type="dxa"/>
            <w:tcBorders>
              <w:top w:val="nil"/>
              <w:left w:val="single" w:sz="4" w:space="0" w:color="000000" w:themeColor="text1"/>
              <w:bottom w:val="single" w:sz="4" w:space="0" w:color="000000" w:themeColor="text1"/>
              <w:right w:val="single" w:sz="4" w:space="0" w:color="000000" w:themeColor="text1"/>
            </w:tcBorders>
            <w:shd w:val="clear" w:color="auto" w:fill="000000" w:themeFill="text1"/>
          </w:tcPr>
          <w:p w14:paraId="1A319686" w14:textId="620EC8B9" w:rsidR="00E76AB5" w:rsidRPr="002739C4" w:rsidRDefault="00E76AB5" w:rsidP="003D3749">
            <w:pPr>
              <w:jc w:val="center"/>
              <w:rPr>
                <w:rFonts w:ascii="Arial" w:hAnsi="Arial" w:cs="Arial"/>
                <w:b/>
                <w:bCs/>
                <w:sz w:val="20"/>
              </w:rPr>
            </w:pPr>
            <w:r>
              <w:rPr>
                <w:rFonts w:ascii="Arial" w:hAnsi="Arial" w:cs="Arial"/>
                <w:b/>
                <w:bCs/>
                <w:sz w:val="20"/>
              </w:rPr>
              <w:t>6</w:t>
            </w:r>
          </w:p>
        </w:tc>
        <w:tc>
          <w:tcPr>
            <w:tcW w:w="8453" w:type="dxa"/>
            <w:tcBorders>
              <w:left w:val="single" w:sz="4" w:space="0" w:color="000000" w:themeColor="text1"/>
              <w:bottom w:val="single" w:sz="4" w:space="0" w:color="auto"/>
            </w:tcBorders>
          </w:tcPr>
          <w:p w14:paraId="7B686313" w14:textId="2A103ED4" w:rsidR="00E76AB5" w:rsidRPr="00E76AB5" w:rsidRDefault="00E76AB5" w:rsidP="003D3749">
            <w:pPr>
              <w:jc w:val="both"/>
              <w:rPr>
                <w:rFonts w:ascii="Arial" w:hAnsi="Arial" w:cs="Arial"/>
                <w:b/>
                <w:bCs/>
                <w:sz w:val="18"/>
                <w:szCs w:val="22"/>
              </w:rPr>
            </w:pPr>
            <w:r w:rsidRPr="00E76AB5">
              <w:rPr>
                <w:rFonts w:ascii="Arial" w:hAnsi="Arial" w:cs="Arial"/>
                <w:sz w:val="18"/>
                <w:szCs w:val="22"/>
              </w:rPr>
              <w:t>The Chief Justice of Victoria should consider working with his counterparts through the Council of Chief Justices to seek to achieve consistency nationally on the response to AI throughout Australia’s courts and tribunals</w:t>
            </w:r>
          </w:p>
        </w:tc>
      </w:tr>
      <w:tr w:rsidR="00645526" w14:paraId="2F19FBB7" w14:textId="77777777" w:rsidTr="00136875">
        <w:trPr>
          <w:trHeight w:val="83"/>
        </w:trPr>
        <w:tc>
          <w:tcPr>
            <w:tcW w:w="618" w:type="dxa"/>
            <w:tcBorders>
              <w:top w:val="single" w:sz="4" w:space="0" w:color="000000" w:themeColor="text1"/>
            </w:tcBorders>
            <w:shd w:val="clear" w:color="auto" w:fill="000000" w:themeFill="text1"/>
          </w:tcPr>
          <w:p w14:paraId="4E5D905E" w14:textId="1B12D145" w:rsidR="00645526" w:rsidRPr="00645526" w:rsidRDefault="00645526" w:rsidP="00645526">
            <w:pPr>
              <w:jc w:val="center"/>
              <w:rPr>
                <w:rFonts w:ascii="Arial" w:hAnsi="Arial" w:cs="Arial"/>
                <w:color w:val="000000" w:themeColor="text1"/>
                <w:sz w:val="18"/>
                <w:szCs w:val="22"/>
              </w:rPr>
            </w:pPr>
          </w:p>
        </w:tc>
        <w:tc>
          <w:tcPr>
            <w:tcW w:w="8453" w:type="dxa"/>
            <w:shd w:val="clear" w:color="auto" w:fill="000000" w:themeFill="text1"/>
          </w:tcPr>
          <w:p w14:paraId="3E391651" w14:textId="3BF2F419" w:rsidR="00645526" w:rsidRPr="00E76AB5" w:rsidRDefault="00645526" w:rsidP="00645526">
            <w:pPr>
              <w:jc w:val="center"/>
              <w:rPr>
                <w:rFonts w:ascii="Arial" w:hAnsi="Arial" w:cs="Arial"/>
                <w:sz w:val="18"/>
                <w:szCs w:val="22"/>
              </w:rPr>
            </w:pPr>
            <w:r>
              <w:rPr>
                <w:rFonts w:ascii="Arial" w:hAnsi="Arial" w:cs="Arial"/>
                <w:b/>
                <w:bCs/>
                <w:sz w:val="18"/>
                <w:szCs w:val="22"/>
                <w:shd w:val="clear" w:color="auto" w:fill="000000" w:themeFill="text1"/>
              </w:rPr>
              <w:t xml:space="preserve">Scope </w:t>
            </w:r>
            <w:r w:rsidRPr="00645526">
              <w:rPr>
                <w:rFonts w:ascii="Arial" w:hAnsi="Arial" w:cs="Arial"/>
                <w:b/>
                <w:bCs/>
                <w:sz w:val="18"/>
                <w:szCs w:val="22"/>
                <w:shd w:val="clear" w:color="auto" w:fill="000000" w:themeFill="text1"/>
              </w:rPr>
              <w:t>of court user guidelines</w:t>
            </w:r>
          </w:p>
        </w:tc>
      </w:tr>
      <w:tr w:rsidR="00E76AB5" w14:paraId="778C38A5" w14:textId="77777777" w:rsidTr="005D063A">
        <w:trPr>
          <w:trHeight w:val="83"/>
        </w:trPr>
        <w:tc>
          <w:tcPr>
            <w:tcW w:w="618" w:type="dxa"/>
            <w:shd w:val="clear" w:color="auto" w:fill="000000" w:themeFill="text1"/>
          </w:tcPr>
          <w:p w14:paraId="0C9BD29D" w14:textId="1427E2E0" w:rsidR="00E76AB5" w:rsidRPr="002739C4" w:rsidRDefault="00E76AB5" w:rsidP="003D3749">
            <w:pPr>
              <w:jc w:val="center"/>
              <w:rPr>
                <w:rFonts w:ascii="Arial" w:hAnsi="Arial" w:cs="Arial"/>
                <w:b/>
                <w:bCs/>
                <w:sz w:val="20"/>
              </w:rPr>
            </w:pPr>
            <w:r>
              <w:rPr>
                <w:rFonts w:ascii="Arial" w:hAnsi="Arial" w:cs="Arial"/>
                <w:b/>
                <w:bCs/>
                <w:sz w:val="20"/>
              </w:rPr>
              <w:t>7</w:t>
            </w:r>
          </w:p>
        </w:tc>
        <w:tc>
          <w:tcPr>
            <w:tcW w:w="8453" w:type="dxa"/>
            <w:tcBorders>
              <w:bottom w:val="single" w:sz="4" w:space="0" w:color="auto"/>
            </w:tcBorders>
          </w:tcPr>
          <w:p w14:paraId="096B085B" w14:textId="77777777" w:rsidR="00E76AB5" w:rsidRDefault="00E76AB5" w:rsidP="003D3749">
            <w:pPr>
              <w:jc w:val="both"/>
              <w:rPr>
                <w:rFonts w:ascii="Arial" w:hAnsi="Arial" w:cs="Arial"/>
                <w:sz w:val="18"/>
                <w:szCs w:val="22"/>
              </w:rPr>
            </w:pPr>
            <w:r w:rsidRPr="00E76AB5">
              <w:rPr>
                <w:rFonts w:ascii="Arial" w:hAnsi="Arial" w:cs="Arial"/>
                <w:sz w:val="18"/>
                <w:szCs w:val="22"/>
              </w:rPr>
              <w:t>The Supreme Court’s guidelines should be updated to:</w:t>
            </w:r>
          </w:p>
          <w:p w14:paraId="67D012DB" w14:textId="55395B63" w:rsidR="00E76AB5" w:rsidRDefault="00E76AB5" w:rsidP="00E76AB5">
            <w:pPr>
              <w:ind w:left="284" w:hanging="284"/>
              <w:jc w:val="both"/>
              <w:rPr>
                <w:rFonts w:ascii="Arial" w:hAnsi="Arial" w:cs="Arial"/>
                <w:sz w:val="18"/>
                <w:szCs w:val="22"/>
              </w:rPr>
            </w:pPr>
            <w:r>
              <w:rPr>
                <w:rFonts w:ascii="Arial" w:hAnsi="Arial" w:cs="Arial"/>
                <w:sz w:val="18"/>
                <w:szCs w:val="22"/>
              </w:rPr>
              <w:t xml:space="preserve">(a) </w:t>
            </w:r>
            <w:r w:rsidRPr="00E76AB5">
              <w:rPr>
                <w:rFonts w:ascii="Arial" w:hAnsi="Arial" w:cs="Arial"/>
                <w:sz w:val="18"/>
                <w:szCs w:val="22"/>
              </w:rPr>
              <w:t>define AI, GenAI, public AI and closed AI</w:t>
            </w:r>
            <w:r>
              <w:rPr>
                <w:rFonts w:ascii="Arial" w:hAnsi="Arial" w:cs="Arial"/>
                <w:sz w:val="18"/>
                <w:szCs w:val="22"/>
              </w:rPr>
              <w:t>;</w:t>
            </w:r>
          </w:p>
          <w:p w14:paraId="5A3D71CD" w14:textId="77777777" w:rsidR="00E76AB5" w:rsidRDefault="00E76AB5" w:rsidP="00E76AB5">
            <w:pPr>
              <w:ind w:left="284" w:hanging="284"/>
              <w:jc w:val="both"/>
              <w:rPr>
                <w:rFonts w:ascii="Arial" w:hAnsi="Arial" w:cs="Arial"/>
                <w:sz w:val="18"/>
                <w:szCs w:val="22"/>
              </w:rPr>
            </w:pPr>
            <w:r>
              <w:rPr>
                <w:rFonts w:ascii="Arial" w:hAnsi="Arial" w:cs="Arial"/>
                <w:sz w:val="18"/>
                <w:szCs w:val="22"/>
              </w:rPr>
              <w:t>(</w:t>
            </w:r>
            <w:r w:rsidRPr="00E76AB5">
              <w:rPr>
                <w:rFonts w:ascii="Arial" w:hAnsi="Arial" w:cs="Arial"/>
                <w:sz w:val="18"/>
                <w:szCs w:val="22"/>
              </w:rPr>
              <w:t>b</w:t>
            </w:r>
            <w:r>
              <w:rPr>
                <w:rFonts w:ascii="Arial" w:hAnsi="Arial" w:cs="Arial"/>
                <w:sz w:val="18"/>
                <w:szCs w:val="22"/>
              </w:rPr>
              <w:t>)</w:t>
            </w:r>
            <w:r w:rsidRPr="00E76AB5">
              <w:rPr>
                <w:rFonts w:ascii="Arial" w:hAnsi="Arial" w:cs="Arial"/>
                <w:sz w:val="18"/>
                <w:szCs w:val="22"/>
              </w:rPr>
              <w:t xml:space="preserve"> apply to civil and criminal matters</w:t>
            </w:r>
            <w:r>
              <w:rPr>
                <w:rFonts w:ascii="Arial" w:hAnsi="Arial" w:cs="Arial"/>
                <w:sz w:val="18"/>
                <w:szCs w:val="22"/>
              </w:rPr>
              <w:t>;</w:t>
            </w:r>
          </w:p>
          <w:p w14:paraId="6AE9BE2C" w14:textId="77777777" w:rsidR="00E76AB5" w:rsidRDefault="00E76AB5" w:rsidP="00E76AB5">
            <w:pPr>
              <w:ind w:left="284" w:hanging="284"/>
              <w:jc w:val="both"/>
              <w:rPr>
                <w:rFonts w:ascii="Arial" w:hAnsi="Arial" w:cs="Arial"/>
                <w:sz w:val="18"/>
                <w:szCs w:val="22"/>
              </w:rPr>
            </w:pPr>
            <w:r>
              <w:rPr>
                <w:rFonts w:ascii="Arial" w:hAnsi="Arial" w:cs="Arial"/>
                <w:sz w:val="18"/>
                <w:szCs w:val="22"/>
              </w:rPr>
              <w:t>(</w:t>
            </w:r>
            <w:r w:rsidRPr="00E76AB5">
              <w:rPr>
                <w:rFonts w:ascii="Arial" w:hAnsi="Arial" w:cs="Arial"/>
                <w:sz w:val="18"/>
                <w:szCs w:val="22"/>
              </w:rPr>
              <w:t>c</w:t>
            </w:r>
            <w:r>
              <w:rPr>
                <w:rFonts w:ascii="Arial" w:hAnsi="Arial" w:cs="Arial"/>
                <w:sz w:val="18"/>
                <w:szCs w:val="22"/>
              </w:rPr>
              <w:t>)</w:t>
            </w:r>
            <w:r w:rsidRPr="00E76AB5">
              <w:rPr>
                <w:rFonts w:ascii="Arial" w:hAnsi="Arial" w:cs="Arial"/>
                <w:sz w:val="18"/>
                <w:szCs w:val="22"/>
              </w:rPr>
              <w:t xml:space="preserve"> apply to all court users including lawyers, litigants (whether represented or not) and witnesses (lay and expert)</w:t>
            </w:r>
            <w:r>
              <w:rPr>
                <w:rFonts w:ascii="Arial" w:hAnsi="Arial" w:cs="Arial"/>
                <w:sz w:val="18"/>
                <w:szCs w:val="22"/>
              </w:rPr>
              <w:t>;</w:t>
            </w:r>
          </w:p>
          <w:p w14:paraId="50EB8CFA" w14:textId="5FFCE4E8" w:rsidR="00E76AB5" w:rsidRPr="00E76AB5" w:rsidRDefault="00E76AB5" w:rsidP="00E76AB5">
            <w:pPr>
              <w:ind w:left="284" w:hanging="284"/>
              <w:jc w:val="both"/>
              <w:rPr>
                <w:rFonts w:ascii="Arial" w:hAnsi="Arial" w:cs="Arial"/>
                <w:b/>
                <w:bCs/>
                <w:sz w:val="18"/>
                <w:szCs w:val="22"/>
              </w:rPr>
            </w:pPr>
            <w:r>
              <w:rPr>
                <w:rFonts w:ascii="Arial" w:hAnsi="Arial" w:cs="Arial"/>
                <w:sz w:val="18"/>
                <w:szCs w:val="22"/>
              </w:rPr>
              <w:t>(</w:t>
            </w:r>
            <w:r w:rsidRPr="00E76AB5">
              <w:rPr>
                <w:rFonts w:ascii="Arial" w:hAnsi="Arial" w:cs="Arial"/>
                <w:sz w:val="18"/>
                <w:szCs w:val="22"/>
              </w:rPr>
              <w:t>d</w:t>
            </w:r>
            <w:r>
              <w:rPr>
                <w:rFonts w:ascii="Arial" w:hAnsi="Arial" w:cs="Arial"/>
                <w:sz w:val="18"/>
                <w:szCs w:val="22"/>
              </w:rPr>
              <w:t>)</w:t>
            </w:r>
            <w:r w:rsidRPr="00E76AB5">
              <w:rPr>
                <w:rFonts w:ascii="Arial" w:hAnsi="Arial" w:cs="Arial"/>
                <w:sz w:val="18"/>
                <w:szCs w:val="22"/>
              </w:rPr>
              <w:t xml:space="preserve"> contain the Commission’s principles.</w:t>
            </w:r>
          </w:p>
        </w:tc>
      </w:tr>
      <w:tr w:rsidR="00E76AB5" w14:paraId="79D10315" w14:textId="77777777" w:rsidTr="005D063A">
        <w:trPr>
          <w:trHeight w:val="83"/>
        </w:trPr>
        <w:tc>
          <w:tcPr>
            <w:tcW w:w="618" w:type="dxa"/>
            <w:shd w:val="clear" w:color="auto" w:fill="000000" w:themeFill="text1"/>
          </w:tcPr>
          <w:p w14:paraId="59660C5F" w14:textId="4015B6A3" w:rsidR="00E76AB5" w:rsidRPr="002739C4" w:rsidRDefault="00E76AB5" w:rsidP="003D3749">
            <w:pPr>
              <w:jc w:val="center"/>
              <w:rPr>
                <w:rFonts w:ascii="Arial" w:hAnsi="Arial" w:cs="Arial"/>
                <w:b/>
                <w:bCs/>
                <w:sz w:val="20"/>
              </w:rPr>
            </w:pPr>
            <w:r>
              <w:rPr>
                <w:rFonts w:ascii="Arial" w:hAnsi="Arial" w:cs="Arial"/>
                <w:b/>
                <w:bCs/>
                <w:sz w:val="20"/>
              </w:rPr>
              <w:t>8</w:t>
            </w:r>
          </w:p>
        </w:tc>
        <w:tc>
          <w:tcPr>
            <w:tcW w:w="8453" w:type="dxa"/>
            <w:shd w:val="pct10" w:color="00B050" w:fill="auto"/>
          </w:tcPr>
          <w:p w14:paraId="1E5F4D10"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The Supreme Court’s guidelines should state that court users can use GenAI in the preparation of submissions but to ensure accuracy court users should:</w:t>
            </w:r>
          </w:p>
          <w:p w14:paraId="52284845"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(a) fact check and proofread GenAI content;</w:t>
            </w:r>
          </w:p>
          <w:p w14:paraId="790DEB32"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(b) edit and adapt GenAI content to suit the situation;</w:t>
            </w:r>
          </w:p>
          <w:p w14:paraId="05FECDCA"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(c) verify references;</w:t>
            </w:r>
          </w:p>
          <w:p w14:paraId="6A16987F"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(d) use sources known to be accurate;</w:t>
            </w:r>
          </w:p>
          <w:p w14:paraId="3AF59139" w14:textId="13E00946"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(e) not use GenAI to verify subsections (a) to (d) above.</w:t>
            </w:r>
          </w:p>
        </w:tc>
      </w:tr>
      <w:tr w:rsidR="00E76AB5" w14:paraId="16D65C13" w14:textId="77777777" w:rsidTr="005D063A">
        <w:trPr>
          <w:trHeight w:val="83"/>
        </w:trPr>
        <w:tc>
          <w:tcPr>
            <w:tcW w:w="618" w:type="dxa"/>
            <w:shd w:val="clear" w:color="auto" w:fill="000000" w:themeFill="text1"/>
          </w:tcPr>
          <w:p w14:paraId="6270327D" w14:textId="23FD8B35" w:rsidR="00E76AB5" w:rsidRPr="002739C4" w:rsidRDefault="00E76AB5" w:rsidP="003D3749">
            <w:pPr>
              <w:jc w:val="center"/>
              <w:rPr>
                <w:rFonts w:ascii="Arial" w:hAnsi="Arial" w:cs="Arial"/>
                <w:b/>
                <w:bCs/>
                <w:sz w:val="20"/>
              </w:rPr>
            </w:pPr>
            <w:r>
              <w:rPr>
                <w:rFonts w:ascii="Arial" w:hAnsi="Arial" w:cs="Arial"/>
                <w:b/>
                <w:bCs/>
                <w:sz w:val="20"/>
              </w:rPr>
              <w:t>9</w:t>
            </w:r>
          </w:p>
        </w:tc>
        <w:tc>
          <w:tcPr>
            <w:tcW w:w="8453" w:type="dxa"/>
            <w:tcBorders>
              <w:bottom w:val="single" w:sz="4" w:space="0" w:color="auto"/>
            </w:tcBorders>
          </w:tcPr>
          <w:p w14:paraId="054DDAFA" w14:textId="3D50CC03" w:rsidR="00E76AB5" w:rsidRPr="00E76AB5" w:rsidRDefault="00E76AB5" w:rsidP="003D3749">
            <w:pPr>
              <w:jc w:val="both"/>
              <w:rPr>
                <w:rFonts w:ascii="Arial" w:hAnsi="Arial" w:cs="Arial"/>
                <w:b/>
                <w:bCs/>
                <w:sz w:val="18"/>
                <w:szCs w:val="22"/>
              </w:rPr>
            </w:pPr>
            <w:r w:rsidRPr="00E76AB5">
              <w:rPr>
                <w:rFonts w:ascii="Arial" w:hAnsi="Arial" w:cs="Arial"/>
                <w:sz w:val="18"/>
                <w:szCs w:val="22"/>
              </w:rPr>
              <w:t>A person making a witness statement, character reference or similar statement must verify its accuracy and that it represents their view.</w:t>
            </w:r>
          </w:p>
        </w:tc>
      </w:tr>
      <w:tr w:rsidR="00E76AB5" w14:paraId="091FFCF6" w14:textId="77777777" w:rsidTr="005D063A">
        <w:trPr>
          <w:trHeight w:val="83"/>
        </w:trPr>
        <w:tc>
          <w:tcPr>
            <w:tcW w:w="618" w:type="dxa"/>
            <w:shd w:val="clear" w:color="auto" w:fill="000000" w:themeFill="text1"/>
          </w:tcPr>
          <w:p w14:paraId="4FD5AB4B" w14:textId="1515A5FC" w:rsidR="00E76AB5" w:rsidRPr="002739C4" w:rsidRDefault="00E76AB5" w:rsidP="003D3749">
            <w:pPr>
              <w:jc w:val="center"/>
              <w:rPr>
                <w:rFonts w:ascii="Arial" w:hAnsi="Arial" w:cs="Arial"/>
                <w:b/>
                <w:bCs/>
                <w:sz w:val="20"/>
              </w:rPr>
            </w:pPr>
            <w:r>
              <w:rPr>
                <w:rFonts w:ascii="Arial" w:hAnsi="Arial" w:cs="Arial"/>
                <w:b/>
                <w:bCs/>
                <w:sz w:val="20"/>
              </w:rPr>
              <w:t>10</w:t>
            </w:r>
          </w:p>
        </w:tc>
        <w:tc>
          <w:tcPr>
            <w:tcW w:w="8453" w:type="dxa"/>
            <w:shd w:val="pct10" w:color="00B050" w:fill="auto"/>
          </w:tcPr>
          <w:p w14:paraId="53193556" w14:textId="2C50EDCD" w:rsidR="00E76AB5" w:rsidRPr="005D063A" w:rsidRDefault="00C716FD" w:rsidP="003D3749">
            <w:pPr>
              <w:jc w:val="both"/>
              <w:rPr>
                <w:rFonts w:ascii="Arial" w:hAnsi="Arial" w:cs="Arial"/>
                <w:b/>
                <w:bCs/>
                <w:sz w:val="18"/>
                <w:szCs w:val="22"/>
              </w:rPr>
            </w:pPr>
            <w:r w:rsidRPr="005D063A">
              <w:rPr>
                <w:rFonts w:ascii="Arial" w:hAnsi="Arial" w:cs="Arial"/>
                <w:b/>
                <w:bCs/>
                <w:sz w:val="18"/>
                <w:szCs w:val="22"/>
              </w:rPr>
              <w:t>The Expert Witness Code of Conduct applicable in civil trials should be updated to align with the Practice Note Expert Evidence in Criminal Trials in relation to the use of AI by experts.</w:t>
            </w:r>
          </w:p>
        </w:tc>
      </w:tr>
      <w:tr w:rsidR="00E76AB5" w14:paraId="3823E6F8" w14:textId="77777777" w:rsidTr="00645526">
        <w:trPr>
          <w:trHeight w:val="83"/>
        </w:trPr>
        <w:tc>
          <w:tcPr>
            <w:tcW w:w="618" w:type="dxa"/>
            <w:shd w:val="clear" w:color="auto" w:fill="000000" w:themeFill="text1"/>
          </w:tcPr>
          <w:p w14:paraId="2B381F3E" w14:textId="2F5FE1CD" w:rsidR="00E76AB5" w:rsidRPr="002739C4" w:rsidRDefault="00E76AB5" w:rsidP="003D3749">
            <w:pPr>
              <w:jc w:val="center"/>
              <w:rPr>
                <w:rFonts w:ascii="Arial" w:hAnsi="Arial" w:cs="Arial"/>
                <w:b/>
                <w:bCs/>
                <w:sz w:val="20"/>
              </w:rPr>
            </w:pPr>
            <w:r>
              <w:rPr>
                <w:rFonts w:ascii="Arial" w:hAnsi="Arial" w:cs="Arial"/>
                <w:b/>
                <w:bCs/>
                <w:sz w:val="20"/>
              </w:rPr>
              <w:t>11</w:t>
            </w:r>
          </w:p>
        </w:tc>
        <w:tc>
          <w:tcPr>
            <w:tcW w:w="8453" w:type="dxa"/>
          </w:tcPr>
          <w:p w14:paraId="1CB2A15C" w14:textId="77777777" w:rsidR="00024A55" w:rsidRDefault="00C716FD" w:rsidP="003D3749">
            <w:pPr>
              <w:jc w:val="both"/>
              <w:rPr>
                <w:rFonts w:ascii="Arial" w:hAnsi="Arial" w:cs="Arial"/>
                <w:sz w:val="18"/>
                <w:szCs w:val="22"/>
              </w:rPr>
            </w:pPr>
            <w:r w:rsidRPr="00C716FD">
              <w:rPr>
                <w:rFonts w:ascii="Arial" w:hAnsi="Arial" w:cs="Arial"/>
                <w:sz w:val="18"/>
                <w:szCs w:val="22"/>
              </w:rPr>
              <w:t>The Supreme Court guidelines should refer to obligations for the use of AI by expert witnesses contained in the:</w:t>
            </w:r>
          </w:p>
          <w:p w14:paraId="51A1D446" w14:textId="77777777" w:rsidR="00024A55" w:rsidRDefault="00024A55" w:rsidP="003D3749">
            <w:pPr>
              <w:jc w:val="both"/>
              <w:rPr>
                <w:rFonts w:ascii="Arial" w:hAnsi="Arial" w:cs="Arial"/>
                <w:sz w:val="18"/>
                <w:szCs w:val="22"/>
              </w:rPr>
            </w:pPr>
            <w:r>
              <w:rPr>
                <w:rFonts w:ascii="Arial" w:hAnsi="Arial" w:cs="Arial"/>
                <w:sz w:val="18"/>
                <w:szCs w:val="22"/>
              </w:rPr>
              <w:t>(</w:t>
            </w:r>
            <w:r w:rsidR="00C716FD" w:rsidRPr="00C716FD">
              <w:rPr>
                <w:rFonts w:ascii="Arial" w:hAnsi="Arial" w:cs="Arial"/>
                <w:sz w:val="18"/>
                <w:szCs w:val="22"/>
              </w:rPr>
              <w:t>a</w:t>
            </w:r>
            <w:r>
              <w:rPr>
                <w:rFonts w:ascii="Arial" w:hAnsi="Arial" w:cs="Arial"/>
                <w:sz w:val="18"/>
                <w:szCs w:val="22"/>
              </w:rPr>
              <w:t>)</w:t>
            </w:r>
            <w:r w:rsidR="00C716FD" w:rsidRPr="00C716FD">
              <w:rPr>
                <w:rFonts w:ascii="Arial" w:hAnsi="Arial" w:cs="Arial"/>
                <w:sz w:val="18"/>
                <w:szCs w:val="22"/>
              </w:rPr>
              <w:t xml:space="preserve"> Practice Note Expert Evidence in Criminal Trials</w:t>
            </w:r>
            <w:r>
              <w:rPr>
                <w:rFonts w:ascii="Arial" w:hAnsi="Arial" w:cs="Arial"/>
                <w:sz w:val="18"/>
                <w:szCs w:val="22"/>
              </w:rPr>
              <w:t>;</w:t>
            </w:r>
            <w:r w:rsidR="00C716FD" w:rsidRPr="00C716FD">
              <w:rPr>
                <w:rFonts w:ascii="Arial" w:hAnsi="Arial" w:cs="Arial"/>
                <w:sz w:val="18"/>
                <w:szCs w:val="22"/>
              </w:rPr>
              <w:t xml:space="preserve"> and</w:t>
            </w:r>
          </w:p>
          <w:p w14:paraId="23135801" w14:textId="0060F345" w:rsidR="00E76AB5" w:rsidRPr="00C716FD" w:rsidRDefault="00024A55" w:rsidP="003D3749">
            <w:pPr>
              <w:jc w:val="both"/>
              <w:rPr>
                <w:rFonts w:ascii="Arial" w:hAnsi="Arial" w:cs="Arial"/>
                <w:b/>
                <w:bCs/>
                <w:sz w:val="18"/>
                <w:szCs w:val="22"/>
              </w:rPr>
            </w:pPr>
            <w:r>
              <w:rPr>
                <w:rFonts w:ascii="Arial" w:hAnsi="Arial" w:cs="Arial"/>
                <w:sz w:val="18"/>
                <w:szCs w:val="22"/>
              </w:rPr>
              <w:t>(</w:t>
            </w:r>
            <w:r w:rsidR="00C716FD" w:rsidRPr="00C716FD">
              <w:rPr>
                <w:rFonts w:ascii="Arial" w:hAnsi="Arial" w:cs="Arial"/>
                <w:sz w:val="18"/>
                <w:szCs w:val="22"/>
              </w:rPr>
              <w:t>b</w:t>
            </w:r>
            <w:r>
              <w:rPr>
                <w:rFonts w:ascii="Arial" w:hAnsi="Arial" w:cs="Arial"/>
                <w:sz w:val="18"/>
                <w:szCs w:val="22"/>
              </w:rPr>
              <w:t>)</w:t>
            </w:r>
            <w:r w:rsidR="00C716FD" w:rsidRPr="00C716FD">
              <w:rPr>
                <w:rFonts w:ascii="Arial" w:hAnsi="Arial" w:cs="Arial"/>
                <w:sz w:val="18"/>
                <w:szCs w:val="22"/>
              </w:rPr>
              <w:t xml:space="preserve"> Expert Witness Code of Conduct (once updated as per recommendation 10).</w:t>
            </w:r>
          </w:p>
        </w:tc>
      </w:tr>
      <w:tr w:rsidR="00024A55" w14:paraId="78AB48D8" w14:textId="77777777" w:rsidTr="00136875">
        <w:trPr>
          <w:trHeight w:val="83"/>
        </w:trPr>
        <w:tc>
          <w:tcPr>
            <w:tcW w:w="9071" w:type="dxa"/>
            <w:gridSpan w:val="2"/>
            <w:shd w:val="clear" w:color="auto" w:fill="DDDDDD"/>
          </w:tcPr>
          <w:p w14:paraId="7396BBB0" w14:textId="73A2894C" w:rsidR="00024A55" w:rsidRPr="008F1785" w:rsidRDefault="00024A55" w:rsidP="003D3749">
            <w:pPr>
              <w:jc w:val="center"/>
              <w:rPr>
                <w:rFonts w:ascii="Arial" w:hAnsi="Arial" w:cs="Arial"/>
                <w:b/>
                <w:bCs/>
                <w:sz w:val="20"/>
              </w:rPr>
            </w:pPr>
            <w:r w:rsidRPr="008F1785">
              <w:rPr>
                <w:rFonts w:ascii="Arial" w:hAnsi="Arial" w:cs="Arial"/>
                <w:b/>
                <w:bCs/>
                <w:sz w:val="20"/>
              </w:rPr>
              <w:t xml:space="preserve">CHAPTER </w:t>
            </w:r>
            <w:r>
              <w:rPr>
                <w:rFonts w:ascii="Arial" w:hAnsi="Arial" w:cs="Arial"/>
                <w:b/>
                <w:bCs/>
                <w:sz w:val="20"/>
              </w:rPr>
              <w:t>8</w:t>
            </w:r>
            <w:r w:rsidRPr="008F1785">
              <w:rPr>
                <w:rFonts w:ascii="Arial" w:hAnsi="Arial" w:cs="Arial"/>
                <w:b/>
                <w:bCs/>
                <w:sz w:val="20"/>
              </w:rPr>
              <w:t xml:space="preserve">: </w:t>
            </w:r>
            <w:r w:rsidR="00136875">
              <w:rPr>
                <w:rFonts w:ascii="Arial" w:hAnsi="Arial" w:cs="Arial"/>
                <w:b/>
                <w:bCs/>
                <w:sz w:val="20"/>
              </w:rPr>
              <w:t>JUDICIAL OFFICER</w:t>
            </w:r>
            <w:r>
              <w:rPr>
                <w:rFonts w:ascii="Arial" w:hAnsi="Arial" w:cs="Arial"/>
                <w:b/>
                <w:bCs/>
                <w:sz w:val="20"/>
              </w:rPr>
              <w:t xml:space="preserve"> GUIDELINES TO SUPPORT SAFE USE OF AI</w:t>
            </w:r>
          </w:p>
        </w:tc>
      </w:tr>
      <w:tr w:rsidR="00136875" w14:paraId="0364AA29" w14:textId="77777777" w:rsidTr="003D3749">
        <w:trPr>
          <w:trHeight w:val="83"/>
        </w:trPr>
        <w:tc>
          <w:tcPr>
            <w:tcW w:w="618" w:type="dxa"/>
            <w:tcBorders>
              <w:bottom w:val="single" w:sz="4" w:space="0" w:color="auto"/>
            </w:tcBorders>
            <w:shd w:val="clear" w:color="auto" w:fill="000000" w:themeFill="text1"/>
          </w:tcPr>
          <w:p w14:paraId="3CDE0EDF" w14:textId="77777777" w:rsidR="00136875" w:rsidRPr="00645526" w:rsidRDefault="00136875" w:rsidP="003D3749">
            <w:pPr>
              <w:jc w:val="center"/>
              <w:rPr>
                <w:rFonts w:ascii="Arial" w:hAnsi="Arial" w:cs="Arial"/>
                <w:color w:val="000000" w:themeColor="text1"/>
                <w:sz w:val="18"/>
                <w:szCs w:val="22"/>
              </w:rPr>
            </w:pPr>
          </w:p>
        </w:tc>
        <w:tc>
          <w:tcPr>
            <w:tcW w:w="8453" w:type="dxa"/>
            <w:shd w:val="clear" w:color="auto" w:fill="000000" w:themeFill="text1"/>
          </w:tcPr>
          <w:p w14:paraId="2DED4B0B" w14:textId="54F061B9" w:rsidR="00136875" w:rsidRPr="00E76AB5" w:rsidRDefault="00136875" w:rsidP="003D3749">
            <w:pPr>
              <w:jc w:val="center"/>
              <w:rPr>
                <w:rFonts w:ascii="Arial" w:hAnsi="Arial" w:cs="Arial"/>
                <w:sz w:val="18"/>
                <w:szCs w:val="22"/>
              </w:rPr>
            </w:pPr>
            <w:r>
              <w:rPr>
                <w:rFonts w:ascii="Arial" w:hAnsi="Arial" w:cs="Arial"/>
                <w:b/>
                <w:bCs/>
                <w:sz w:val="18"/>
                <w:szCs w:val="22"/>
                <w:shd w:val="clear" w:color="auto" w:fill="000000" w:themeFill="text1"/>
              </w:rPr>
              <w:t xml:space="preserve">Consistency </w:t>
            </w:r>
            <w:r w:rsidRPr="00645526">
              <w:rPr>
                <w:rFonts w:ascii="Arial" w:hAnsi="Arial" w:cs="Arial"/>
                <w:b/>
                <w:bCs/>
                <w:sz w:val="18"/>
                <w:szCs w:val="22"/>
                <w:shd w:val="clear" w:color="auto" w:fill="000000" w:themeFill="text1"/>
              </w:rPr>
              <w:t xml:space="preserve">of </w:t>
            </w:r>
            <w:r>
              <w:rPr>
                <w:rFonts w:ascii="Arial" w:hAnsi="Arial" w:cs="Arial"/>
                <w:b/>
                <w:bCs/>
                <w:sz w:val="18"/>
                <w:szCs w:val="22"/>
                <w:shd w:val="clear" w:color="auto" w:fill="000000" w:themeFill="text1"/>
              </w:rPr>
              <w:t>judicial officer</w:t>
            </w:r>
            <w:r w:rsidRPr="00645526">
              <w:rPr>
                <w:rFonts w:ascii="Arial" w:hAnsi="Arial" w:cs="Arial"/>
                <w:b/>
                <w:bCs/>
                <w:sz w:val="18"/>
                <w:szCs w:val="22"/>
                <w:shd w:val="clear" w:color="auto" w:fill="000000" w:themeFill="text1"/>
              </w:rPr>
              <w:t xml:space="preserve"> guidelines</w:t>
            </w:r>
          </w:p>
        </w:tc>
      </w:tr>
      <w:tr w:rsidR="00024A55" w14:paraId="4B44E008" w14:textId="77777777" w:rsidTr="00645526">
        <w:trPr>
          <w:trHeight w:val="147"/>
        </w:trPr>
        <w:tc>
          <w:tcPr>
            <w:tcW w:w="618" w:type="dxa"/>
            <w:shd w:val="clear" w:color="auto" w:fill="000000" w:themeFill="text1"/>
          </w:tcPr>
          <w:p w14:paraId="5E1674B0" w14:textId="5EC71010" w:rsidR="00024A55" w:rsidRPr="002739C4" w:rsidRDefault="00024A55" w:rsidP="003D3749">
            <w:pPr>
              <w:jc w:val="center"/>
              <w:rPr>
                <w:rFonts w:ascii="Arial" w:hAnsi="Arial" w:cs="Arial"/>
                <w:b/>
                <w:bCs/>
                <w:sz w:val="20"/>
              </w:rPr>
            </w:pPr>
            <w:r>
              <w:rPr>
                <w:rFonts w:ascii="Arial" w:hAnsi="Arial" w:cs="Arial"/>
                <w:b/>
                <w:bCs/>
                <w:sz w:val="20"/>
              </w:rPr>
              <w:t>12</w:t>
            </w:r>
          </w:p>
        </w:tc>
        <w:tc>
          <w:tcPr>
            <w:tcW w:w="8453" w:type="dxa"/>
          </w:tcPr>
          <w:p w14:paraId="1E876546" w14:textId="06E2E36E" w:rsidR="00024A55" w:rsidRPr="00136875" w:rsidRDefault="00136875" w:rsidP="003D3749">
            <w:pPr>
              <w:jc w:val="both"/>
              <w:rPr>
                <w:rFonts w:ascii="Arial" w:hAnsi="Arial" w:cs="Arial"/>
                <w:b/>
                <w:bCs/>
                <w:sz w:val="18"/>
                <w:szCs w:val="22"/>
              </w:rPr>
            </w:pPr>
            <w:r w:rsidRPr="00136875">
              <w:rPr>
                <w:rFonts w:ascii="Arial" w:hAnsi="Arial" w:cs="Arial"/>
                <w:sz w:val="18"/>
                <w:szCs w:val="22"/>
              </w:rPr>
              <w:t>The Chief Justice of Victoria, in consultation with Victorian Heads of Jurisdiction, should consider developing public guidelines for all judicial officers in Victoria to support public trust in the administration of justice and inform the safe use and understanding of AI. Based on these, the President of VCAT should release guidelines for tribunal members.</w:t>
            </w:r>
          </w:p>
        </w:tc>
      </w:tr>
      <w:tr w:rsidR="00136875" w14:paraId="3D893744" w14:textId="77777777" w:rsidTr="007F5CBB">
        <w:trPr>
          <w:trHeight w:val="83"/>
        </w:trPr>
        <w:tc>
          <w:tcPr>
            <w:tcW w:w="618" w:type="dxa"/>
            <w:tcBorders>
              <w:bottom w:val="single" w:sz="4" w:space="0" w:color="auto"/>
            </w:tcBorders>
            <w:shd w:val="clear" w:color="auto" w:fill="000000" w:themeFill="text1"/>
          </w:tcPr>
          <w:p w14:paraId="51CBA615" w14:textId="77777777" w:rsidR="00136875" w:rsidRPr="00645526" w:rsidRDefault="00136875"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0CAF562A" w14:textId="10E8D9F4" w:rsidR="00136875" w:rsidRPr="00E76AB5" w:rsidRDefault="00136875" w:rsidP="003D3749">
            <w:pPr>
              <w:jc w:val="center"/>
              <w:rPr>
                <w:rFonts w:ascii="Arial" w:hAnsi="Arial" w:cs="Arial"/>
                <w:sz w:val="18"/>
                <w:szCs w:val="22"/>
              </w:rPr>
            </w:pPr>
            <w:r>
              <w:rPr>
                <w:rFonts w:ascii="Arial" w:hAnsi="Arial" w:cs="Arial"/>
                <w:b/>
                <w:bCs/>
                <w:sz w:val="18"/>
                <w:szCs w:val="22"/>
                <w:shd w:val="clear" w:color="auto" w:fill="000000" w:themeFill="text1"/>
              </w:rPr>
              <w:t xml:space="preserve">Scope </w:t>
            </w:r>
            <w:r w:rsidRPr="00645526">
              <w:rPr>
                <w:rFonts w:ascii="Arial" w:hAnsi="Arial" w:cs="Arial"/>
                <w:b/>
                <w:bCs/>
                <w:sz w:val="18"/>
                <w:szCs w:val="22"/>
                <w:shd w:val="clear" w:color="auto" w:fill="000000" w:themeFill="text1"/>
              </w:rPr>
              <w:t xml:space="preserve">of </w:t>
            </w:r>
            <w:r>
              <w:rPr>
                <w:rFonts w:ascii="Arial" w:hAnsi="Arial" w:cs="Arial"/>
                <w:b/>
                <w:bCs/>
                <w:sz w:val="18"/>
                <w:szCs w:val="22"/>
                <w:shd w:val="clear" w:color="auto" w:fill="000000" w:themeFill="text1"/>
              </w:rPr>
              <w:t>judicial officer</w:t>
            </w:r>
            <w:r w:rsidRPr="00645526">
              <w:rPr>
                <w:rFonts w:ascii="Arial" w:hAnsi="Arial" w:cs="Arial"/>
                <w:b/>
                <w:bCs/>
                <w:sz w:val="18"/>
                <w:szCs w:val="22"/>
                <w:shd w:val="clear" w:color="auto" w:fill="000000" w:themeFill="text1"/>
              </w:rPr>
              <w:t xml:space="preserve"> guidelines</w:t>
            </w:r>
          </w:p>
        </w:tc>
      </w:tr>
      <w:tr w:rsidR="00136875" w14:paraId="2E66EC2A" w14:textId="77777777" w:rsidTr="007F5CBB">
        <w:trPr>
          <w:trHeight w:val="147"/>
        </w:trPr>
        <w:tc>
          <w:tcPr>
            <w:tcW w:w="618" w:type="dxa"/>
            <w:shd w:val="clear" w:color="auto" w:fill="000000" w:themeFill="text1"/>
          </w:tcPr>
          <w:p w14:paraId="4B5FF55A" w14:textId="3849DDB9" w:rsidR="00136875" w:rsidRPr="002739C4" w:rsidRDefault="00136875" w:rsidP="003D3749">
            <w:pPr>
              <w:jc w:val="center"/>
              <w:rPr>
                <w:rFonts w:ascii="Arial" w:hAnsi="Arial" w:cs="Arial"/>
                <w:b/>
                <w:bCs/>
                <w:sz w:val="20"/>
              </w:rPr>
            </w:pPr>
            <w:r>
              <w:rPr>
                <w:rFonts w:ascii="Arial" w:hAnsi="Arial" w:cs="Arial"/>
                <w:b/>
                <w:bCs/>
                <w:sz w:val="20"/>
              </w:rPr>
              <w:t>13</w:t>
            </w:r>
          </w:p>
        </w:tc>
        <w:tc>
          <w:tcPr>
            <w:tcW w:w="8453" w:type="dxa"/>
            <w:tcBorders>
              <w:bottom w:val="single" w:sz="4" w:space="0" w:color="auto"/>
            </w:tcBorders>
            <w:shd w:val="pct10" w:color="00B050" w:fill="auto"/>
          </w:tcPr>
          <w:p w14:paraId="3B545C55" w14:textId="6309935D" w:rsidR="00136875" w:rsidRPr="00136875" w:rsidRDefault="00136875" w:rsidP="003D3749">
            <w:pPr>
              <w:jc w:val="both"/>
              <w:rPr>
                <w:rFonts w:ascii="Arial" w:hAnsi="Arial" w:cs="Arial"/>
                <w:b/>
                <w:bCs/>
                <w:sz w:val="18"/>
                <w:szCs w:val="22"/>
              </w:rPr>
            </w:pPr>
            <w:r w:rsidRPr="00136875">
              <w:rPr>
                <w:rFonts w:ascii="Arial" w:hAnsi="Arial" w:cs="Arial"/>
                <w:b/>
                <w:bCs/>
                <w:sz w:val="18"/>
                <w:szCs w:val="22"/>
              </w:rPr>
              <w:t>Guidelines for judicial officers should prohibit the use of AI for judicial decision making.</w:t>
            </w:r>
          </w:p>
        </w:tc>
      </w:tr>
      <w:tr w:rsidR="00136875" w14:paraId="353DBC2A" w14:textId="77777777" w:rsidTr="007F5CBB">
        <w:trPr>
          <w:trHeight w:val="147"/>
        </w:trPr>
        <w:tc>
          <w:tcPr>
            <w:tcW w:w="618" w:type="dxa"/>
            <w:shd w:val="clear" w:color="auto" w:fill="000000" w:themeFill="text1"/>
          </w:tcPr>
          <w:p w14:paraId="3D7EE571" w14:textId="76807D6B" w:rsidR="00136875" w:rsidRPr="002739C4" w:rsidRDefault="00136875" w:rsidP="003D3749">
            <w:pPr>
              <w:jc w:val="center"/>
              <w:rPr>
                <w:rFonts w:ascii="Arial" w:hAnsi="Arial" w:cs="Arial"/>
                <w:b/>
                <w:bCs/>
                <w:sz w:val="20"/>
              </w:rPr>
            </w:pPr>
            <w:r>
              <w:rPr>
                <w:rFonts w:ascii="Arial" w:hAnsi="Arial" w:cs="Arial"/>
                <w:b/>
                <w:bCs/>
                <w:sz w:val="20"/>
              </w:rPr>
              <w:t>14</w:t>
            </w:r>
          </w:p>
        </w:tc>
        <w:tc>
          <w:tcPr>
            <w:tcW w:w="8453" w:type="dxa"/>
            <w:shd w:val="pct10" w:color="00B050" w:fill="auto"/>
          </w:tcPr>
          <w:p w14:paraId="48350641" w14:textId="61D4DF47" w:rsidR="00136875" w:rsidRPr="005D063A" w:rsidRDefault="00136875" w:rsidP="003D3749">
            <w:pPr>
              <w:jc w:val="both"/>
              <w:rPr>
                <w:rFonts w:ascii="Arial" w:hAnsi="Arial" w:cs="Arial"/>
                <w:b/>
                <w:bCs/>
                <w:sz w:val="18"/>
                <w:szCs w:val="22"/>
              </w:rPr>
            </w:pPr>
            <w:r w:rsidRPr="005D063A">
              <w:rPr>
                <w:rFonts w:ascii="Arial" w:hAnsi="Arial" w:cs="Arial"/>
                <w:b/>
                <w:bCs/>
                <w:sz w:val="18"/>
                <w:szCs w:val="22"/>
              </w:rPr>
              <w:t>Guidelines for judicial officers should clarify that the prohibition on AI use for judicial decision-making is not intended to encompass supportive uses of AI.</w:t>
            </w:r>
          </w:p>
        </w:tc>
      </w:tr>
      <w:tr w:rsidR="00136875" w14:paraId="4EFEA467" w14:textId="77777777" w:rsidTr="003D3749">
        <w:trPr>
          <w:trHeight w:val="147"/>
        </w:trPr>
        <w:tc>
          <w:tcPr>
            <w:tcW w:w="618" w:type="dxa"/>
            <w:shd w:val="clear" w:color="auto" w:fill="000000" w:themeFill="text1"/>
          </w:tcPr>
          <w:p w14:paraId="76696D67" w14:textId="39776DEA" w:rsidR="00136875" w:rsidRPr="002739C4" w:rsidRDefault="00136875" w:rsidP="003D3749">
            <w:pPr>
              <w:jc w:val="center"/>
              <w:rPr>
                <w:rFonts w:ascii="Arial" w:hAnsi="Arial" w:cs="Arial"/>
                <w:b/>
                <w:bCs/>
                <w:sz w:val="20"/>
              </w:rPr>
            </w:pPr>
            <w:r>
              <w:rPr>
                <w:rFonts w:ascii="Arial" w:hAnsi="Arial" w:cs="Arial"/>
                <w:b/>
                <w:bCs/>
                <w:sz w:val="20"/>
              </w:rPr>
              <w:t>15</w:t>
            </w:r>
          </w:p>
        </w:tc>
        <w:tc>
          <w:tcPr>
            <w:tcW w:w="8453" w:type="dxa"/>
          </w:tcPr>
          <w:p w14:paraId="45970DF1" w14:textId="33220970" w:rsidR="00136875" w:rsidRPr="00136875" w:rsidRDefault="00136875" w:rsidP="003D3749">
            <w:pPr>
              <w:jc w:val="both"/>
              <w:rPr>
                <w:rFonts w:ascii="Arial" w:hAnsi="Arial" w:cs="Arial"/>
                <w:b/>
                <w:bCs/>
                <w:sz w:val="18"/>
                <w:szCs w:val="22"/>
              </w:rPr>
            </w:pPr>
            <w:r w:rsidRPr="00136875">
              <w:rPr>
                <w:rFonts w:ascii="Arial" w:hAnsi="Arial" w:cs="Arial"/>
                <w:sz w:val="18"/>
                <w:szCs w:val="22"/>
              </w:rPr>
              <w:t>Guidelines for judicial officers should encourage judicial support staff to discuss their use of AI tools with their supervising judicial officer</w:t>
            </w:r>
          </w:p>
        </w:tc>
      </w:tr>
      <w:tr w:rsidR="00645526" w14:paraId="22412CB5" w14:textId="77777777" w:rsidTr="00136875">
        <w:trPr>
          <w:trHeight w:val="83"/>
        </w:trPr>
        <w:tc>
          <w:tcPr>
            <w:tcW w:w="9071" w:type="dxa"/>
            <w:gridSpan w:val="2"/>
            <w:shd w:val="clear" w:color="auto" w:fill="DDDDDD"/>
          </w:tcPr>
          <w:p w14:paraId="1C4BC7EA" w14:textId="7D3DD8BA" w:rsidR="00645526" w:rsidRPr="008F1785" w:rsidRDefault="00645526" w:rsidP="003D3749">
            <w:pPr>
              <w:jc w:val="center"/>
              <w:rPr>
                <w:rFonts w:ascii="Arial" w:hAnsi="Arial" w:cs="Arial"/>
                <w:b/>
                <w:bCs/>
                <w:sz w:val="20"/>
              </w:rPr>
            </w:pPr>
            <w:r w:rsidRPr="008F1785">
              <w:rPr>
                <w:rFonts w:ascii="Arial" w:hAnsi="Arial" w:cs="Arial"/>
                <w:b/>
                <w:bCs/>
                <w:sz w:val="20"/>
              </w:rPr>
              <w:t xml:space="preserve">CHAPTER </w:t>
            </w:r>
            <w:r w:rsidR="00136875">
              <w:rPr>
                <w:rFonts w:ascii="Arial" w:hAnsi="Arial" w:cs="Arial"/>
                <w:b/>
                <w:bCs/>
                <w:sz w:val="20"/>
              </w:rPr>
              <w:t>9</w:t>
            </w:r>
            <w:r w:rsidRPr="008F1785">
              <w:rPr>
                <w:rFonts w:ascii="Arial" w:hAnsi="Arial" w:cs="Arial"/>
                <w:b/>
                <w:bCs/>
                <w:sz w:val="20"/>
              </w:rPr>
              <w:t xml:space="preserve">: </w:t>
            </w:r>
            <w:r w:rsidR="00136875">
              <w:rPr>
                <w:rFonts w:ascii="Arial" w:hAnsi="Arial" w:cs="Arial"/>
                <w:b/>
                <w:bCs/>
                <w:sz w:val="20"/>
              </w:rPr>
              <w:t>GOVERNANCE TO SUPPORT AI INNOVATION</w:t>
            </w:r>
          </w:p>
        </w:tc>
      </w:tr>
      <w:tr w:rsidR="00136875" w14:paraId="080CFC4B" w14:textId="77777777" w:rsidTr="003D3749">
        <w:trPr>
          <w:trHeight w:val="83"/>
        </w:trPr>
        <w:tc>
          <w:tcPr>
            <w:tcW w:w="618" w:type="dxa"/>
            <w:tcBorders>
              <w:bottom w:val="single" w:sz="4" w:space="0" w:color="auto"/>
            </w:tcBorders>
            <w:shd w:val="clear" w:color="auto" w:fill="000000" w:themeFill="text1"/>
          </w:tcPr>
          <w:p w14:paraId="6BA636B9" w14:textId="77777777" w:rsidR="00136875" w:rsidRPr="00645526" w:rsidRDefault="00136875"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628E4C2B" w14:textId="0537607E" w:rsidR="00136875" w:rsidRPr="00E76AB5" w:rsidRDefault="00136875" w:rsidP="003D3749">
            <w:pPr>
              <w:jc w:val="center"/>
              <w:rPr>
                <w:rFonts w:ascii="Arial" w:hAnsi="Arial" w:cs="Arial"/>
                <w:sz w:val="18"/>
                <w:szCs w:val="22"/>
              </w:rPr>
            </w:pPr>
            <w:r>
              <w:rPr>
                <w:rFonts w:ascii="Arial" w:hAnsi="Arial" w:cs="Arial"/>
                <w:b/>
                <w:bCs/>
                <w:sz w:val="18"/>
                <w:szCs w:val="22"/>
                <w:shd w:val="clear" w:color="auto" w:fill="000000" w:themeFill="text1"/>
              </w:rPr>
              <w:t xml:space="preserve">Governance bodies, </w:t>
            </w:r>
            <w:r w:rsidR="00165543">
              <w:rPr>
                <w:rFonts w:ascii="Arial" w:hAnsi="Arial" w:cs="Arial"/>
                <w:b/>
                <w:bCs/>
                <w:sz w:val="18"/>
                <w:szCs w:val="22"/>
                <w:shd w:val="clear" w:color="auto" w:fill="000000" w:themeFill="text1"/>
              </w:rPr>
              <w:t>roles and responsibilities</w:t>
            </w:r>
          </w:p>
        </w:tc>
      </w:tr>
      <w:tr w:rsidR="00136875" w14:paraId="4DC8D02F" w14:textId="77777777" w:rsidTr="003D3749">
        <w:trPr>
          <w:trHeight w:val="147"/>
        </w:trPr>
        <w:tc>
          <w:tcPr>
            <w:tcW w:w="618" w:type="dxa"/>
            <w:shd w:val="clear" w:color="auto" w:fill="000000" w:themeFill="text1"/>
          </w:tcPr>
          <w:p w14:paraId="580606F1" w14:textId="0F35DA59" w:rsidR="00136875" w:rsidRPr="002739C4" w:rsidRDefault="00136875" w:rsidP="003D3749">
            <w:pPr>
              <w:jc w:val="center"/>
              <w:rPr>
                <w:rFonts w:ascii="Arial" w:hAnsi="Arial" w:cs="Arial"/>
                <w:b/>
                <w:bCs/>
                <w:sz w:val="20"/>
              </w:rPr>
            </w:pPr>
            <w:r>
              <w:rPr>
                <w:rFonts w:ascii="Arial" w:hAnsi="Arial" w:cs="Arial"/>
                <w:b/>
                <w:bCs/>
                <w:sz w:val="20"/>
              </w:rPr>
              <w:t>16</w:t>
            </w:r>
          </w:p>
        </w:tc>
        <w:tc>
          <w:tcPr>
            <w:tcW w:w="8453" w:type="dxa"/>
          </w:tcPr>
          <w:p w14:paraId="7A454083" w14:textId="423870B4" w:rsidR="00136875" w:rsidRPr="00165543" w:rsidRDefault="00165543" w:rsidP="003D3749">
            <w:pPr>
              <w:jc w:val="both"/>
              <w:rPr>
                <w:rFonts w:ascii="Arial" w:hAnsi="Arial" w:cs="Arial"/>
                <w:b/>
                <w:bCs/>
                <w:sz w:val="18"/>
                <w:szCs w:val="22"/>
              </w:rPr>
            </w:pPr>
            <w:r w:rsidRPr="00165543">
              <w:rPr>
                <w:rFonts w:ascii="Arial" w:hAnsi="Arial" w:cs="Arial"/>
                <w:sz w:val="18"/>
                <w:szCs w:val="22"/>
              </w:rPr>
              <w:t>A technology and innovation committee should be established by the Courts Council to support ongoing governance of AI across Victoria’s courts and VCAT.</w:t>
            </w:r>
          </w:p>
        </w:tc>
      </w:tr>
      <w:tr w:rsidR="00136875" w14:paraId="62C39CEA" w14:textId="77777777" w:rsidTr="003D3749">
        <w:trPr>
          <w:trHeight w:val="147"/>
        </w:trPr>
        <w:tc>
          <w:tcPr>
            <w:tcW w:w="618" w:type="dxa"/>
            <w:shd w:val="clear" w:color="auto" w:fill="000000" w:themeFill="text1"/>
          </w:tcPr>
          <w:p w14:paraId="2BE778D0" w14:textId="0D71D4E8" w:rsidR="00136875" w:rsidRPr="002739C4" w:rsidRDefault="00165543" w:rsidP="003D3749">
            <w:pPr>
              <w:jc w:val="center"/>
              <w:rPr>
                <w:rFonts w:ascii="Arial" w:hAnsi="Arial" w:cs="Arial"/>
                <w:b/>
                <w:bCs/>
                <w:sz w:val="20"/>
              </w:rPr>
            </w:pPr>
            <w:r>
              <w:rPr>
                <w:rFonts w:ascii="Arial" w:hAnsi="Arial" w:cs="Arial"/>
                <w:b/>
                <w:bCs/>
                <w:sz w:val="20"/>
              </w:rPr>
              <w:lastRenderedPageBreak/>
              <w:t>17</w:t>
            </w:r>
          </w:p>
        </w:tc>
        <w:tc>
          <w:tcPr>
            <w:tcW w:w="8453" w:type="dxa"/>
          </w:tcPr>
          <w:p w14:paraId="6A127FF4" w14:textId="405A43A9" w:rsidR="00136875" w:rsidRPr="00165543" w:rsidRDefault="00165543" w:rsidP="003D3749">
            <w:pPr>
              <w:jc w:val="both"/>
              <w:rPr>
                <w:rFonts w:ascii="Arial" w:hAnsi="Arial" w:cs="Arial"/>
                <w:b/>
                <w:bCs/>
                <w:sz w:val="18"/>
                <w:szCs w:val="22"/>
              </w:rPr>
            </w:pPr>
            <w:r w:rsidRPr="00165543">
              <w:rPr>
                <w:rFonts w:ascii="Arial" w:hAnsi="Arial" w:cs="Arial"/>
                <w:sz w:val="18"/>
                <w:szCs w:val="22"/>
              </w:rPr>
              <w:t>Coordination and consistency in AI governance should be promoted by the Courts Council across Victoria’s courts and VCAT.</w:t>
            </w:r>
          </w:p>
        </w:tc>
      </w:tr>
      <w:tr w:rsidR="00645526" w14:paraId="6F019819" w14:textId="77777777" w:rsidTr="00645526">
        <w:trPr>
          <w:trHeight w:val="147"/>
        </w:trPr>
        <w:tc>
          <w:tcPr>
            <w:tcW w:w="618" w:type="dxa"/>
            <w:shd w:val="clear" w:color="auto" w:fill="000000" w:themeFill="text1"/>
          </w:tcPr>
          <w:p w14:paraId="395CE748" w14:textId="34B2678B" w:rsidR="00645526" w:rsidRPr="002739C4" w:rsidRDefault="00165543" w:rsidP="003D3749">
            <w:pPr>
              <w:jc w:val="center"/>
              <w:rPr>
                <w:rFonts w:ascii="Arial" w:hAnsi="Arial" w:cs="Arial"/>
                <w:b/>
                <w:bCs/>
                <w:sz w:val="20"/>
              </w:rPr>
            </w:pPr>
            <w:r>
              <w:rPr>
                <w:rFonts w:ascii="Arial" w:hAnsi="Arial" w:cs="Arial"/>
                <w:b/>
                <w:bCs/>
                <w:sz w:val="20"/>
              </w:rPr>
              <w:t>18</w:t>
            </w:r>
          </w:p>
        </w:tc>
        <w:tc>
          <w:tcPr>
            <w:tcW w:w="8453" w:type="dxa"/>
          </w:tcPr>
          <w:p w14:paraId="3C219298" w14:textId="5880EE48" w:rsidR="00645526" w:rsidRPr="00165543" w:rsidRDefault="00165543" w:rsidP="003D3749">
            <w:pPr>
              <w:jc w:val="both"/>
              <w:rPr>
                <w:rFonts w:ascii="Arial" w:hAnsi="Arial" w:cs="Arial"/>
                <w:b/>
                <w:bCs/>
                <w:sz w:val="18"/>
                <w:szCs w:val="22"/>
              </w:rPr>
            </w:pPr>
            <w:r w:rsidRPr="00165543">
              <w:rPr>
                <w:rFonts w:ascii="Arial" w:hAnsi="Arial" w:cs="Arial"/>
                <w:sz w:val="18"/>
                <w:szCs w:val="22"/>
              </w:rPr>
              <w:t>A technology and innovation judicial officer or VCAT member should be appointed by the head of each of Victoria’s court jurisdictions and VCAT to support AI development and innovation.</w:t>
            </w:r>
          </w:p>
        </w:tc>
      </w:tr>
      <w:tr w:rsidR="00165543" w14:paraId="117FF54D" w14:textId="77777777" w:rsidTr="003D3749">
        <w:trPr>
          <w:trHeight w:val="83"/>
        </w:trPr>
        <w:tc>
          <w:tcPr>
            <w:tcW w:w="618" w:type="dxa"/>
            <w:tcBorders>
              <w:bottom w:val="single" w:sz="4" w:space="0" w:color="auto"/>
            </w:tcBorders>
            <w:shd w:val="clear" w:color="auto" w:fill="000000" w:themeFill="text1"/>
          </w:tcPr>
          <w:p w14:paraId="764DBFC5" w14:textId="26A14AC2" w:rsidR="00165543" w:rsidRPr="00645526" w:rsidRDefault="00165543"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1FC2DC08" w14:textId="5D933774" w:rsidR="00165543" w:rsidRPr="00E76AB5" w:rsidRDefault="00165543" w:rsidP="00165543">
            <w:pPr>
              <w:keepNext/>
              <w:keepLines/>
              <w:jc w:val="center"/>
              <w:rPr>
                <w:rFonts w:ascii="Arial" w:hAnsi="Arial" w:cs="Arial"/>
                <w:sz w:val="18"/>
                <w:szCs w:val="22"/>
              </w:rPr>
            </w:pPr>
            <w:r>
              <w:rPr>
                <w:rFonts w:ascii="Arial" w:hAnsi="Arial" w:cs="Arial"/>
                <w:b/>
                <w:bCs/>
                <w:sz w:val="18"/>
                <w:szCs w:val="22"/>
                <w:shd w:val="clear" w:color="auto" w:fill="000000" w:themeFill="text1"/>
              </w:rPr>
              <w:t>Scope of an AI policy</w:t>
            </w:r>
          </w:p>
        </w:tc>
      </w:tr>
      <w:tr w:rsidR="00165543" w14:paraId="09B8E615" w14:textId="77777777" w:rsidTr="003D3749">
        <w:trPr>
          <w:trHeight w:val="147"/>
        </w:trPr>
        <w:tc>
          <w:tcPr>
            <w:tcW w:w="618" w:type="dxa"/>
            <w:shd w:val="clear" w:color="auto" w:fill="000000" w:themeFill="text1"/>
          </w:tcPr>
          <w:p w14:paraId="74F24F01" w14:textId="59672370" w:rsidR="00165543" w:rsidRPr="002739C4" w:rsidRDefault="00165543" w:rsidP="003D3749">
            <w:pPr>
              <w:jc w:val="center"/>
              <w:rPr>
                <w:rFonts w:ascii="Arial" w:hAnsi="Arial" w:cs="Arial"/>
                <w:b/>
                <w:bCs/>
                <w:sz w:val="20"/>
              </w:rPr>
            </w:pPr>
            <w:r>
              <w:rPr>
                <w:rFonts w:ascii="Arial" w:hAnsi="Arial" w:cs="Arial"/>
                <w:b/>
                <w:bCs/>
                <w:sz w:val="20"/>
              </w:rPr>
              <w:t>19</w:t>
            </w:r>
          </w:p>
        </w:tc>
        <w:tc>
          <w:tcPr>
            <w:tcW w:w="8453" w:type="dxa"/>
          </w:tcPr>
          <w:p w14:paraId="0ECDD6DF" w14:textId="751E5186" w:rsidR="00165543" w:rsidRPr="00165543" w:rsidRDefault="00165543" w:rsidP="003D3749">
            <w:pPr>
              <w:jc w:val="both"/>
              <w:rPr>
                <w:rFonts w:ascii="Arial" w:hAnsi="Arial" w:cs="Arial"/>
                <w:b/>
                <w:bCs/>
                <w:sz w:val="18"/>
                <w:szCs w:val="22"/>
              </w:rPr>
            </w:pPr>
            <w:r w:rsidRPr="00165543">
              <w:rPr>
                <w:rFonts w:ascii="Arial" w:hAnsi="Arial" w:cs="Arial"/>
                <w:sz w:val="18"/>
                <w:szCs w:val="22"/>
              </w:rPr>
              <w:t>An AI policy for Court Services Victoria staff and court and tribunal staff should include the Commission’s principles on the safe and acceptable use of AI.</w:t>
            </w:r>
          </w:p>
        </w:tc>
      </w:tr>
      <w:tr w:rsidR="00165543" w14:paraId="303A4BFF" w14:textId="77777777" w:rsidTr="003D3749">
        <w:trPr>
          <w:trHeight w:val="147"/>
        </w:trPr>
        <w:tc>
          <w:tcPr>
            <w:tcW w:w="618" w:type="dxa"/>
            <w:shd w:val="clear" w:color="auto" w:fill="000000" w:themeFill="text1"/>
          </w:tcPr>
          <w:p w14:paraId="155F6888" w14:textId="49ACB41F" w:rsidR="00165543" w:rsidRPr="002739C4" w:rsidRDefault="00165543" w:rsidP="003D3749">
            <w:pPr>
              <w:jc w:val="center"/>
              <w:rPr>
                <w:rFonts w:ascii="Arial" w:hAnsi="Arial" w:cs="Arial"/>
                <w:b/>
                <w:bCs/>
                <w:sz w:val="20"/>
              </w:rPr>
            </w:pPr>
            <w:r>
              <w:rPr>
                <w:rFonts w:ascii="Arial" w:hAnsi="Arial" w:cs="Arial"/>
                <w:b/>
                <w:bCs/>
                <w:sz w:val="20"/>
              </w:rPr>
              <w:t>20</w:t>
            </w:r>
          </w:p>
        </w:tc>
        <w:tc>
          <w:tcPr>
            <w:tcW w:w="8453" w:type="dxa"/>
          </w:tcPr>
          <w:p w14:paraId="0839E607" w14:textId="0EF6EFC8" w:rsidR="00165543" w:rsidRPr="00165543" w:rsidRDefault="00165543" w:rsidP="003D3749">
            <w:pPr>
              <w:jc w:val="both"/>
              <w:rPr>
                <w:rFonts w:ascii="Arial" w:hAnsi="Arial" w:cs="Arial"/>
                <w:b/>
                <w:bCs/>
                <w:sz w:val="18"/>
                <w:szCs w:val="22"/>
              </w:rPr>
            </w:pPr>
            <w:r w:rsidRPr="00165543">
              <w:rPr>
                <w:rFonts w:ascii="Arial" w:hAnsi="Arial" w:cs="Arial"/>
                <w:sz w:val="18"/>
                <w:szCs w:val="22"/>
              </w:rPr>
              <w:t>Court Services Victoria should coordinate an AI inventory, reasonably identifying AI tools designed, developed. deployed or procured by Court Services Victoria, Victoria’s courts and VCAT which should be published and updated annually.</w:t>
            </w:r>
          </w:p>
        </w:tc>
      </w:tr>
      <w:tr w:rsidR="00165543" w14:paraId="239B0D28" w14:textId="77777777" w:rsidTr="003D3749">
        <w:trPr>
          <w:trHeight w:val="147"/>
        </w:trPr>
        <w:tc>
          <w:tcPr>
            <w:tcW w:w="618" w:type="dxa"/>
            <w:shd w:val="clear" w:color="auto" w:fill="000000" w:themeFill="text1"/>
          </w:tcPr>
          <w:p w14:paraId="742D7E2B" w14:textId="44F37791" w:rsidR="00165543" w:rsidRPr="002739C4" w:rsidRDefault="00165543" w:rsidP="003D3749">
            <w:pPr>
              <w:jc w:val="center"/>
              <w:rPr>
                <w:rFonts w:ascii="Arial" w:hAnsi="Arial" w:cs="Arial"/>
                <w:b/>
                <w:bCs/>
                <w:sz w:val="20"/>
              </w:rPr>
            </w:pPr>
            <w:r>
              <w:rPr>
                <w:rFonts w:ascii="Arial" w:hAnsi="Arial" w:cs="Arial"/>
                <w:b/>
                <w:bCs/>
                <w:sz w:val="20"/>
              </w:rPr>
              <w:t>21</w:t>
            </w:r>
          </w:p>
        </w:tc>
        <w:tc>
          <w:tcPr>
            <w:tcW w:w="8453" w:type="dxa"/>
          </w:tcPr>
          <w:p w14:paraId="104E36DA" w14:textId="27B56510" w:rsidR="00165543" w:rsidRPr="00165543" w:rsidRDefault="00165543" w:rsidP="003D3749">
            <w:pPr>
              <w:jc w:val="both"/>
              <w:rPr>
                <w:rFonts w:ascii="Arial" w:hAnsi="Arial" w:cs="Arial"/>
                <w:b/>
                <w:bCs/>
                <w:sz w:val="18"/>
                <w:szCs w:val="22"/>
              </w:rPr>
            </w:pPr>
            <w:r w:rsidRPr="00165543">
              <w:rPr>
                <w:rFonts w:ascii="Arial" w:hAnsi="Arial" w:cs="Arial"/>
                <w:sz w:val="18"/>
                <w:szCs w:val="22"/>
              </w:rPr>
              <w:t>Victoria’s courts and VCAT should consult with people likely affected by AI tools based on the AI assurance framework (set out in recommendation 23). Consultation should occur before implementing AI tools and throughout the AI lifecycle.</w:t>
            </w:r>
          </w:p>
        </w:tc>
      </w:tr>
      <w:tr w:rsidR="00165543" w14:paraId="10198D54" w14:textId="77777777" w:rsidTr="003D3749">
        <w:trPr>
          <w:trHeight w:val="147"/>
        </w:trPr>
        <w:tc>
          <w:tcPr>
            <w:tcW w:w="618" w:type="dxa"/>
            <w:shd w:val="clear" w:color="auto" w:fill="000000" w:themeFill="text1"/>
          </w:tcPr>
          <w:p w14:paraId="7D189698" w14:textId="653ACC70" w:rsidR="00165543" w:rsidRPr="002739C4" w:rsidRDefault="00165543" w:rsidP="003D3749">
            <w:pPr>
              <w:jc w:val="center"/>
              <w:rPr>
                <w:rFonts w:ascii="Arial" w:hAnsi="Arial" w:cs="Arial"/>
                <w:b/>
                <w:bCs/>
                <w:sz w:val="20"/>
              </w:rPr>
            </w:pPr>
            <w:r>
              <w:rPr>
                <w:rFonts w:ascii="Arial" w:hAnsi="Arial" w:cs="Arial"/>
                <w:b/>
                <w:bCs/>
                <w:sz w:val="20"/>
              </w:rPr>
              <w:t>22</w:t>
            </w:r>
          </w:p>
        </w:tc>
        <w:tc>
          <w:tcPr>
            <w:tcW w:w="8453" w:type="dxa"/>
          </w:tcPr>
          <w:p w14:paraId="20210353" w14:textId="77777777" w:rsidR="00165543" w:rsidRPr="00165543" w:rsidRDefault="00165543" w:rsidP="003D3749">
            <w:pPr>
              <w:jc w:val="both"/>
              <w:rPr>
                <w:rFonts w:ascii="Arial" w:hAnsi="Arial" w:cs="Arial"/>
                <w:sz w:val="18"/>
                <w:szCs w:val="22"/>
              </w:rPr>
            </w:pPr>
            <w:r w:rsidRPr="00165543">
              <w:rPr>
                <w:rFonts w:ascii="Arial" w:hAnsi="Arial" w:cs="Arial"/>
                <w:sz w:val="18"/>
                <w:szCs w:val="22"/>
              </w:rPr>
              <w:t xml:space="preserve">Victoria’s courts and VCAT should: </w:t>
            </w:r>
          </w:p>
          <w:p w14:paraId="29D13EE5" w14:textId="77777777" w:rsidR="00165543" w:rsidRDefault="00165543" w:rsidP="00165543">
            <w:pPr>
              <w:ind w:left="284" w:hanging="284"/>
              <w:jc w:val="both"/>
              <w:rPr>
                <w:rFonts w:ascii="Arial" w:hAnsi="Arial" w:cs="Arial"/>
                <w:sz w:val="18"/>
                <w:szCs w:val="22"/>
              </w:rPr>
            </w:pPr>
            <w:r w:rsidRPr="00165543">
              <w:rPr>
                <w:rFonts w:ascii="Arial" w:hAnsi="Arial" w:cs="Arial"/>
                <w:sz w:val="18"/>
                <w:szCs w:val="22"/>
              </w:rPr>
              <w:t>(a) notify people whose rights are significantly affected by a decision made or materially influenced by AI. Notification should include clear and understandable information on how the decision was made.</w:t>
            </w:r>
          </w:p>
          <w:p w14:paraId="3356481F" w14:textId="047C2072" w:rsidR="00165543" w:rsidRPr="00165543" w:rsidRDefault="00165543" w:rsidP="00165543">
            <w:pPr>
              <w:ind w:left="284" w:hanging="284"/>
              <w:jc w:val="both"/>
              <w:rPr>
                <w:rFonts w:ascii="Arial" w:hAnsi="Arial" w:cs="Arial"/>
                <w:sz w:val="18"/>
                <w:szCs w:val="22"/>
              </w:rPr>
            </w:pPr>
            <w:r>
              <w:rPr>
                <w:rFonts w:ascii="Arial" w:hAnsi="Arial" w:cs="Arial"/>
                <w:sz w:val="18"/>
                <w:szCs w:val="22"/>
              </w:rPr>
              <w:t>(</w:t>
            </w:r>
            <w:r w:rsidRPr="00165543">
              <w:rPr>
                <w:rFonts w:ascii="Arial" w:hAnsi="Arial" w:cs="Arial"/>
                <w:sz w:val="18"/>
                <w:szCs w:val="22"/>
              </w:rPr>
              <w:t>b</w:t>
            </w:r>
            <w:r>
              <w:rPr>
                <w:rFonts w:ascii="Arial" w:hAnsi="Arial" w:cs="Arial"/>
                <w:sz w:val="18"/>
                <w:szCs w:val="22"/>
              </w:rPr>
              <w:t>)</w:t>
            </w:r>
            <w:r w:rsidRPr="00165543">
              <w:rPr>
                <w:rFonts w:ascii="Arial" w:hAnsi="Arial" w:cs="Arial"/>
                <w:sz w:val="18"/>
                <w:szCs w:val="22"/>
              </w:rPr>
              <w:t xml:space="preserve"> ensure there is human oversight of decisions made or materially influenced by AI. The extent of oversight will depend on the context.</w:t>
            </w:r>
          </w:p>
        </w:tc>
      </w:tr>
      <w:tr w:rsidR="00165543" w14:paraId="45700A8C" w14:textId="77777777" w:rsidTr="003D3749">
        <w:trPr>
          <w:trHeight w:val="83"/>
        </w:trPr>
        <w:tc>
          <w:tcPr>
            <w:tcW w:w="618" w:type="dxa"/>
            <w:tcBorders>
              <w:bottom w:val="single" w:sz="4" w:space="0" w:color="auto"/>
            </w:tcBorders>
            <w:shd w:val="clear" w:color="auto" w:fill="000000" w:themeFill="text1"/>
          </w:tcPr>
          <w:p w14:paraId="0FE850BE" w14:textId="77777777" w:rsidR="00165543" w:rsidRPr="00645526" w:rsidRDefault="00165543"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5E6E383B" w14:textId="77777777" w:rsidR="00165543" w:rsidRPr="00E76AB5" w:rsidRDefault="00165543" w:rsidP="003D3749">
            <w:pPr>
              <w:keepNext/>
              <w:keepLines/>
              <w:jc w:val="center"/>
              <w:rPr>
                <w:rFonts w:ascii="Arial" w:hAnsi="Arial" w:cs="Arial"/>
                <w:sz w:val="18"/>
                <w:szCs w:val="22"/>
              </w:rPr>
            </w:pPr>
            <w:r>
              <w:rPr>
                <w:rFonts w:ascii="Arial" w:hAnsi="Arial" w:cs="Arial"/>
                <w:b/>
                <w:bCs/>
                <w:sz w:val="18"/>
                <w:szCs w:val="22"/>
                <w:shd w:val="clear" w:color="auto" w:fill="000000" w:themeFill="text1"/>
              </w:rPr>
              <w:t>Scope of an AI policy</w:t>
            </w:r>
          </w:p>
        </w:tc>
      </w:tr>
      <w:tr w:rsidR="00165543" w14:paraId="351C095B" w14:textId="77777777" w:rsidTr="003D3749">
        <w:trPr>
          <w:trHeight w:val="147"/>
        </w:trPr>
        <w:tc>
          <w:tcPr>
            <w:tcW w:w="618" w:type="dxa"/>
            <w:shd w:val="clear" w:color="auto" w:fill="000000" w:themeFill="text1"/>
          </w:tcPr>
          <w:p w14:paraId="3F4F8E9B" w14:textId="47978FDA" w:rsidR="00165543" w:rsidRPr="002739C4" w:rsidRDefault="00165543" w:rsidP="003D3749">
            <w:pPr>
              <w:jc w:val="center"/>
              <w:rPr>
                <w:rFonts w:ascii="Arial" w:hAnsi="Arial" w:cs="Arial"/>
                <w:b/>
                <w:bCs/>
                <w:sz w:val="20"/>
              </w:rPr>
            </w:pPr>
            <w:r>
              <w:rPr>
                <w:rFonts w:ascii="Arial" w:hAnsi="Arial" w:cs="Arial"/>
                <w:b/>
                <w:bCs/>
                <w:sz w:val="20"/>
              </w:rPr>
              <w:t>23</w:t>
            </w:r>
          </w:p>
        </w:tc>
        <w:tc>
          <w:tcPr>
            <w:tcW w:w="8453" w:type="dxa"/>
          </w:tcPr>
          <w:p w14:paraId="6A1EA7E6" w14:textId="2D8B8AFA" w:rsidR="00165543" w:rsidRPr="00165543" w:rsidRDefault="00165543" w:rsidP="003D3749">
            <w:pPr>
              <w:jc w:val="both"/>
              <w:rPr>
                <w:rFonts w:ascii="Arial" w:hAnsi="Arial" w:cs="Arial"/>
                <w:b/>
                <w:bCs/>
                <w:sz w:val="18"/>
                <w:szCs w:val="22"/>
              </w:rPr>
            </w:pPr>
            <w:r w:rsidRPr="00165543">
              <w:rPr>
                <w:rFonts w:ascii="Arial" w:hAnsi="Arial" w:cs="Arial"/>
                <w:sz w:val="18"/>
                <w:szCs w:val="22"/>
              </w:rPr>
              <w:t>Court Services Victoria should develop an AI Assurance Framework aligned with the Commission’s principles to manage the ethics and risks associated with AI use cases for Victoria’s courts and VCAT, based on the pilot VPS AI Assurance Framework.</w:t>
            </w:r>
          </w:p>
        </w:tc>
      </w:tr>
      <w:tr w:rsidR="00645526" w14:paraId="29084864" w14:textId="77777777" w:rsidTr="00136875">
        <w:trPr>
          <w:trHeight w:val="83"/>
        </w:trPr>
        <w:tc>
          <w:tcPr>
            <w:tcW w:w="9071" w:type="dxa"/>
            <w:gridSpan w:val="2"/>
            <w:shd w:val="clear" w:color="auto" w:fill="DDDDDD"/>
          </w:tcPr>
          <w:p w14:paraId="2B34F0D8" w14:textId="619AA512" w:rsidR="00645526" w:rsidRPr="008F1785" w:rsidRDefault="00645526" w:rsidP="003D3749">
            <w:pPr>
              <w:jc w:val="center"/>
              <w:rPr>
                <w:rFonts w:ascii="Arial" w:hAnsi="Arial" w:cs="Arial"/>
                <w:b/>
                <w:bCs/>
                <w:sz w:val="20"/>
              </w:rPr>
            </w:pPr>
            <w:r w:rsidRPr="008F1785">
              <w:rPr>
                <w:rFonts w:ascii="Arial" w:hAnsi="Arial" w:cs="Arial"/>
                <w:b/>
                <w:bCs/>
                <w:sz w:val="20"/>
              </w:rPr>
              <w:t xml:space="preserve">CHAPTER </w:t>
            </w:r>
            <w:r w:rsidR="00165543">
              <w:rPr>
                <w:rFonts w:ascii="Arial" w:hAnsi="Arial" w:cs="Arial"/>
                <w:b/>
                <w:bCs/>
                <w:sz w:val="20"/>
              </w:rPr>
              <w:t>10</w:t>
            </w:r>
            <w:r w:rsidRPr="008F1785">
              <w:rPr>
                <w:rFonts w:ascii="Arial" w:hAnsi="Arial" w:cs="Arial"/>
                <w:b/>
                <w:bCs/>
                <w:sz w:val="20"/>
              </w:rPr>
              <w:t xml:space="preserve">: </w:t>
            </w:r>
            <w:r w:rsidR="002F23D4">
              <w:rPr>
                <w:rFonts w:ascii="Arial" w:hAnsi="Arial" w:cs="Arial"/>
                <w:b/>
                <w:bCs/>
                <w:sz w:val="20"/>
              </w:rPr>
              <w:t>PROMOTING AWARENESS AND EDUCATION TO SUPPORT SAFE USE OF AI</w:t>
            </w:r>
          </w:p>
        </w:tc>
      </w:tr>
      <w:tr w:rsidR="002F23D4" w:rsidRPr="002F23D4" w14:paraId="5A40E1AD" w14:textId="77777777" w:rsidTr="003D3749">
        <w:trPr>
          <w:trHeight w:val="83"/>
        </w:trPr>
        <w:tc>
          <w:tcPr>
            <w:tcW w:w="618" w:type="dxa"/>
            <w:tcBorders>
              <w:bottom w:val="single" w:sz="4" w:space="0" w:color="auto"/>
            </w:tcBorders>
            <w:shd w:val="clear" w:color="auto" w:fill="000000" w:themeFill="text1"/>
          </w:tcPr>
          <w:p w14:paraId="4A87AFBD" w14:textId="77777777" w:rsidR="002F23D4" w:rsidRPr="002F23D4" w:rsidRDefault="002F23D4" w:rsidP="003D3749">
            <w:pPr>
              <w:jc w:val="center"/>
              <w:rPr>
                <w:rFonts w:ascii="Arial" w:hAnsi="Arial" w:cs="Arial"/>
                <w:b/>
                <w:bCs/>
                <w:color w:val="000000" w:themeColor="text1"/>
                <w:sz w:val="18"/>
                <w:szCs w:val="22"/>
              </w:rPr>
            </w:pPr>
          </w:p>
        </w:tc>
        <w:tc>
          <w:tcPr>
            <w:tcW w:w="8453" w:type="dxa"/>
            <w:tcBorders>
              <w:bottom w:val="single" w:sz="4" w:space="0" w:color="auto"/>
            </w:tcBorders>
            <w:shd w:val="clear" w:color="auto" w:fill="000000" w:themeFill="text1"/>
          </w:tcPr>
          <w:p w14:paraId="526DD2E8" w14:textId="268C9ABA" w:rsidR="002F23D4" w:rsidRPr="002F23D4" w:rsidRDefault="002F23D4" w:rsidP="003D3749">
            <w:pPr>
              <w:keepNext/>
              <w:keepLines/>
              <w:jc w:val="center"/>
              <w:rPr>
                <w:rFonts w:ascii="Arial" w:hAnsi="Arial" w:cs="Arial"/>
                <w:b/>
                <w:bCs/>
                <w:sz w:val="18"/>
                <w:szCs w:val="22"/>
              </w:rPr>
            </w:pPr>
            <w:r w:rsidRPr="002F23D4">
              <w:rPr>
                <w:rFonts w:ascii="Arial" w:hAnsi="Arial" w:cs="Arial"/>
                <w:b/>
                <w:bCs/>
                <w:sz w:val="18"/>
                <w:szCs w:val="22"/>
              </w:rPr>
              <w:t>Education for judicial officers and staff</w:t>
            </w:r>
          </w:p>
        </w:tc>
      </w:tr>
      <w:tr w:rsidR="00165543" w14:paraId="6398803F" w14:textId="77777777" w:rsidTr="003D3749">
        <w:trPr>
          <w:trHeight w:val="147"/>
        </w:trPr>
        <w:tc>
          <w:tcPr>
            <w:tcW w:w="618" w:type="dxa"/>
            <w:shd w:val="clear" w:color="auto" w:fill="000000" w:themeFill="text1"/>
          </w:tcPr>
          <w:p w14:paraId="0149B495" w14:textId="77777777" w:rsidR="00165543" w:rsidRPr="002739C4" w:rsidRDefault="00165543" w:rsidP="003D3749">
            <w:pPr>
              <w:jc w:val="center"/>
              <w:rPr>
                <w:rFonts w:ascii="Arial" w:hAnsi="Arial" w:cs="Arial"/>
                <w:b/>
                <w:bCs/>
                <w:sz w:val="20"/>
              </w:rPr>
            </w:pPr>
            <w:r>
              <w:rPr>
                <w:rFonts w:ascii="Arial" w:hAnsi="Arial" w:cs="Arial"/>
                <w:b/>
                <w:bCs/>
                <w:sz w:val="20"/>
              </w:rPr>
              <w:t>24</w:t>
            </w:r>
          </w:p>
        </w:tc>
        <w:tc>
          <w:tcPr>
            <w:tcW w:w="8453" w:type="dxa"/>
          </w:tcPr>
          <w:p w14:paraId="03A171D4" w14:textId="29976EF6" w:rsidR="00165543" w:rsidRPr="002F23D4" w:rsidRDefault="002F23D4" w:rsidP="003D3749">
            <w:pPr>
              <w:jc w:val="both"/>
              <w:rPr>
                <w:rFonts w:ascii="Arial" w:hAnsi="Arial" w:cs="Arial"/>
                <w:b/>
                <w:bCs/>
                <w:sz w:val="18"/>
                <w:szCs w:val="22"/>
              </w:rPr>
            </w:pPr>
            <w:r w:rsidRPr="002F23D4">
              <w:rPr>
                <w:rFonts w:ascii="Arial" w:hAnsi="Arial" w:cs="Arial"/>
                <w:sz w:val="18"/>
                <w:szCs w:val="22"/>
              </w:rPr>
              <w:t>AI education and training for judicial officers and VCAT members should continue to be developed and expanded by the Judicial College of Victoria.</w:t>
            </w:r>
          </w:p>
        </w:tc>
      </w:tr>
      <w:tr w:rsidR="00645526" w14:paraId="64F486C3" w14:textId="77777777" w:rsidTr="00645526">
        <w:trPr>
          <w:trHeight w:val="147"/>
        </w:trPr>
        <w:tc>
          <w:tcPr>
            <w:tcW w:w="618" w:type="dxa"/>
            <w:shd w:val="clear" w:color="auto" w:fill="000000" w:themeFill="text1"/>
          </w:tcPr>
          <w:p w14:paraId="3DCDE777" w14:textId="6C7CD8FE" w:rsidR="00645526" w:rsidRPr="002739C4" w:rsidRDefault="00165543" w:rsidP="003D3749">
            <w:pPr>
              <w:jc w:val="center"/>
              <w:rPr>
                <w:rFonts w:ascii="Arial" w:hAnsi="Arial" w:cs="Arial"/>
                <w:b/>
                <w:bCs/>
                <w:sz w:val="20"/>
              </w:rPr>
            </w:pPr>
            <w:r>
              <w:rPr>
                <w:rFonts w:ascii="Arial" w:hAnsi="Arial" w:cs="Arial"/>
                <w:b/>
                <w:bCs/>
                <w:sz w:val="20"/>
              </w:rPr>
              <w:t>2</w:t>
            </w:r>
            <w:r w:rsidR="00645526">
              <w:rPr>
                <w:rFonts w:ascii="Arial" w:hAnsi="Arial" w:cs="Arial"/>
                <w:b/>
                <w:bCs/>
                <w:sz w:val="20"/>
              </w:rPr>
              <w:t>5</w:t>
            </w:r>
          </w:p>
        </w:tc>
        <w:tc>
          <w:tcPr>
            <w:tcW w:w="8453" w:type="dxa"/>
          </w:tcPr>
          <w:p w14:paraId="1F35907B" w14:textId="77616745" w:rsidR="00645526" w:rsidRPr="002F23D4" w:rsidRDefault="002F23D4" w:rsidP="003D3749">
            <w:pPr>
              <w:jc w:val="both"/>
              <w:rPr>
                <w:rFonts w:ascii="Arial" w:hAnsi="Arial" w:cs="Arial"/>
                <w:b/>
                <w:bCs/>
                <w:sz w:val="18"/>
                <w:szCs w:val="22"/>
              </w:rPr>
            </w:pPr>
            <w:r w:rsidRPr="002F23D4">
              <w:rPr>
                <w:rFonts w:ascii="Arial" w:hAnsi="Arial" w:cs="Arial"/>
                <w:sz w:val="18"/>
                <w:szCs w:val="22"/>
              </w:rPr>
              <w:t>Induction and ongoing AI training for judicial officers, VCAT members and support staff should be provided by Victoria’s courts and VCAT.</w:t>
            </w:r>
          </w:p>
        </w:tc>
      </w:tr>
      <w:tr w:rsidR="00D123ED" w14:paraId="233E927C" w14:textId="77777777" w:rsidTr="00D123ED">
        <w:trPr>
          <w:trHeight w:val="147"/>
        </w:trPr>
        <w:tc>
          <w:tcPr>
            <w:tcW w:w="618" w:type="dxa"/>
            <w:shd w:val="clear" w:color="auto" w:fill="000000" w:themeFill="text1"/>
          </w:tcPr>
          <w:p w14:paraId="435909B1" w14:textId="47A636CF" w:rsidR="00D123ED" w:rsidRPr="002739C4" w:rsidRDefault="00D123ED" w:rsidP="003D3749">
            <w:pPr>
              <w:jc w:val="center"/>
              <w:rPr>
                <w:rFonts w:ascii="Arial" w:hAnsi="Arial" w:cs="Arial"/>
                <w:b/>
                <w:bCs/>
                <w:sz w:val="20"/>
              </w:rPr>
            </w:pPr>
            <w:r>
              <w:rPr>
                <w:rFonts w:ascii="Arial" w:hAnsi="Arial" w:cs="Arial"/>
                <w:b/>
                <w:bCs/>
                <w:sz w:val="20"/>
              </w:rPr>
              <w:t>26</w:t>
            </w:r>
          </w:p>
        </w:tc>
        <w:tc>
          <w:tcPr>
            <w:tcW w:w="8453" w:type="dxa"/>
          </w:tcPr>
          <w:p w14:paraId="49D59EEC" w14:textId="2EA2EF5D" w:rsidR="00D123ED" w:rsidRPr="002F23D4" w:rsidRDefault="002F23D4" w:rsidP="003D3749">
            <w:pPr>
              <w:jc w:val="both"/>
              <w:rPr>
                <w:rFonts w:ascii="Arial" w:hAnsi="Arial" w:cs="Arial"/>
                <w:b/>
                <w:bCs/>
                <w:sz w:val="18"/>
                <w:szCs w:val="22"/>
              </w:rPr>
            </w:pPr>
            <w:r w:rsidRPr="002F23D4">
              <w:rPr>
                <w:rFonts w:ascii="Arial" w:hAnsi="Arial" w:cs="Arial"/>
                <w:sz w:val="18"/>
                <w:szCs w:val="22"/>
              </w:rPr>
              <w:t>Court Services Victoria should continue to develop induction and ongoing training for staff, including when new AI tools are implemented.</w:t>
            </w:r>
          </w:p>
        </w:tc>
      </w:tr>
      <w:tr w:rsidR="002F23D4" w:rsidRPr="002F23D4" w14:paraId="4CFF6CCB" w14:textId="77777777" w:rsidTr="003D3749">
        <w:trPr>
          <w:trHeight w:val="83"/>
        </w:trPr>
        <w:tc>
          <w:tcPr>
            <w:tcW w:w="618" w:type="dxa"/>
            <w:tcBorders>
              <w:bottom w:val="single" w:sz="4" w:space="0" w:color="auto"/>
            </w:tcBorders>
            <w:shd w:val="clear" w:color="auto" w:fill="000000" w:themeFill="text1"/>
          </w:tcPr>
          <w:p w14:paraId="45B8B4F8" w14:textId="77777777" w:rsidR="002F23D4" w:rsidRPr="002F23D4" w:rsidRDefault="002F23D4" w:rsidP="003D3749">
            <w:pPr>
              <w:jc w:val="center"/>
              <w:rPr>
                <w:rFonts w:ascii="Arial" w:hAnsi="Arial" w:cs="Arial"/>
                <w:b/>
                <w:bCs/>
                <w:color w:val="000000" w:themeColor="text1"/>
                <w:sz w:val="18"/>
                <w:szCs w:val="22"/>
              </w:rPr>
            </w:pPr>
          </w:p>
        </w:tc>
        <w:tc>
          <w:tcPr>
            <w:tcW w:w="8453" w:type="dxa"/>
            <w:tcBorders>
              <w:bottom w:val="single" w:sz="4" w:space="0" w:color="auto"/>
            </w:tcBorders>
            <w:shd w:val="clear" w:color="auto" w:fill="000000" w:themeFill="text1"/>
          </w:tcPr>
          <w:p w14:paraId="5A0355CD" w14:textId="2E4A4E44" w:rsidR="002F23D4" w:rsidRPr="002F23D4" w:rsidRDefault="002F23D4" w:rsidP="003D3749">
            <w:pPr>
              <w:keepNext/>
              <w:keepLines/>
              <w:jc w:val="center"/>
              <w:rPr>
                <w:rFonts w:ascii="Arial" w:hAnsi="Arial" w:cs="Arial"/>
                <w:b/>
                <w:bCs/>
                <w:sz w:val="18"/>
                <w:szCs w:val="22"/>
              </w:rPr>
            </w:pPr>
            <w:r w:rsidRPr="002F23D4">
              <w:rPr>
                <w:rFonts w:ascii="Arial" w:hAnsi="Arial" w:cs="Arial"/>
                <w:b/>
                <w:bCs/>
                <w:sz w:val="18"/>
                <w:szCs w:val="22"/>
              </w:rPr>
              <w:t xml:space="preserve">Education for </w:t>
            </w:r>
            <w:r>
              <w:rPr>
                <w:rFonts w:ascii="Arial" w:hAnsi="Arial" w:cs="Arial"/>
                <w:b/>
                <w:bCs/>
                <w:sz w:val="18"/>
                <w:szCs w:val="22"/>
              </w:rPr>
              <w:t>lawyers</w:t>
            </w:r>
          </w:p>
        </w:tc>
      </w:tr>
      <w:tr w:rsidR="00D123ED" w14:paraId="4D8BC976" w14:textId="77777777" w:rsidTr="00D123ED">
        <w:trPr>
          <w:trHeight w:val="147"/>
        </w:trPr>
        <w:tc>
          <w:tcPr>
            <w:tcW w:w="618" w:type="dxa"/>
            <w:shd w:val="clear" w:color="auto" w:fill="000000" w:themeFill="text1"/>
          </w:tcPr>
          <w:p w14:paraId="32867537" w14:textId="413F9A3B" w:rsidR="00D123ED" w:rsidRPr="002739C4" w:rsidRDefault="00D123ED" w:rsidP="003D3749">
            <w:pPr>
              <w:jc w:val="center"/>
              <w:rPr>
                <w:rFonts w:ascii="Arial" w:hAnsi="Arial" w:cs="Arial"/>
                <w:b/>
                <w:bCs/>
                <w:sz w:val="20"/>
              </w:rPr>
            </w:pPr>
            <w:r>
              <w:rPr>
                <w:rFonts w:ascii="Arial" w:hAnsi="Arial" w:cs="Arial"/>
                <w:b/>
                <w:bCs/>
                <w:sz w:val="20"/>
              </w:rPr>
              <w:t>27</w:t>
            </w:r>
          </w:p>
        </w:tc>
        <w:tc>
          <w:tcPr>
            <w:tcW w:w="8453" w:type="dxa"/>
          </w:tcPr>
          <w:p w14:paraId="6B4B9479" w14:textId="405BBF1A" w:rsidR="00D123ED" w:rsidRPr="002F23D4" w:rsidRDefault="002F23D4" w:rsidP="003D3749">
            <w:pPr>
              <w:jc w:val="both"/>
              <w:rPr>
                <w:rFonts w:ascii="Arial" w:hAnsi="Arial" w:cs="Arial"/>
                <w:b/>
                <w:bCs/>
                <w:sz w:val="18"/>
                <w:szCs w:val="22"/>
              </w:rPr>
            </w:pPr>
            <w:r w:rsidRPr="002F23D4">
              <w:rPr>
                <w:rFonts w:ascii="Arial" w:hAnsi="Arial" w:cs="Arial"/>
                <w:sz w:val="18"/>
                <w:szCs w:val="22"/>
              </w:rPr>
              <w:t>Guidance for Victorian lawyers on AI use and its intersection with professional obligations should continue to be developed and updated by the Victorian Legal Services Board and Commissioner.</w:t>
            </w:r>
          </w:p>
        </w:tc>
      </w:tr>
      <w:tr w:rsidR="00D123ED" w14:paraId="5657C4BE" w14:textId="77777777" w:rsidTr="00D123ED">
        <w:trPr>
          <w:trHeight w:val="147"/>
        </w:trPr>
        <w:tc>
          <w:tcPr>
            <w:tcW w:w="618" w:type="dxa"/>
            <w:shd w:val="clear" w:color="auto" w:fill="000000" w:themeFill="text1"/>
          </w:tcPr>
          <w:p w14:paraId="06BC961A" w14:textId="41E02F15" w:rsidR="00D123ED" w:rsidRPr="002739C4" w:rsidRDefault="00D123ED" w:rsidP="003D3749">
            <w:pPr>
              <w:jc w:val="center"/>
              <w:rPr>
                <w:rFonts w:ascii="Arial" w:hAnsi="Arial" w:cs="Arial"/>
                <w:b/>
                <w:bCs/>
                <w:sz w:val="20"/>
              </w:rPr>
            </w:pPr>
            <w:r>
              <w:rPr>
                <w:rFonts w:ascii="Arial" w:hAnsi="Arial" w:cs="Arial"/>
                <w:b/>
                <w:bCs/>
                <w:sz w:val="20"/>
              </w:rPr>
              <w:t>28</w:t>
            </w:r>
          </w:p>
        </w:tc>
        <w:tc>
          <w:tcPr>
            <w:tcW w:w="8453" w:type="dxa"/>
          </w:tcPr>
          <w:p w14:paraId="0BD71BF2" w14:textId="179CFDD7" w:rsidR="00D123ED" w:rsidRPr="002F23D4" w:rsidRDefault="002F23D4" w:rsidP="003D3749">
            <w:pPr>
              <w:jc w:val="both"/>
              <w:rPr>
                <w:rFonts w:ascii="Arial" w:hAnsi="Arial" w:cs="Arial"/>
                <w:b/>
                <w:bCs/>
                <w:sz w:val="18"/>
                <w:szCs w:val="22"/>
              </w:rPr>
            </w:pPr>
            <w:r w:rsidRPr="002F23D4">
              <w:rPr>
                <w:rFonts w:ascii="Arial" w:hAnsi="Arial" w:cs="Arial"/>
                <w:sz w:val="18"/>
                <w:szCs w:val="22"/>
              </w:rPr>
              <w:t>The Law Institute of Victoria and the Victorian Bar should continue to provide education to members about AI and legal practice. The educational program should be formalised and expanded to meet ongoing challenges.</w:t>
            </w:r>
          </w:p>
        </w:tc>
      </w:tr>
      <w:tr w:rsidR="00D123ED" w14:paraId="04BF5719" w14:textId="77777777" w:rsidTr="00D123ED">
        <w:trPr>
          <w:trHeight w:val="147"/>
        </w:trPr>
        <w:tc>
          <w:tcPr>
            <w:tcW w:w="618" w:type="dxa"/>
            <w:shd w:val="clear" w:color="auto" w:fill="000000" w:themeFill="text1"/>
          </w:tcPr>
          <w:p w14:paraId="00237ED9" w14:textId="1BBCE010" w:rsidR="00D123ED" w:rsidRPr="002739C4" w:rsidRDefault="00D123ED" w:rsidP="003D3749">
            <w:pPr>
              <w:jc w:val="center"/>
              <w:rPr>
                <w:rFonts w:ascii="Arial" w:hAnsi="Arial" w:cs="Arial"/>
                <w:b/>
                <w:bCs/>
                <w:sz w:val="20"/>
              </w:rPr>
            </w:pPr>
            <w:r>
              <w:rPr>
                <w:rFonts w:ascii="Arial" w:hAnsi="Arial" w:cs="Arial"/>
                <w:b/>
                <w:bCs/>
                <w:sz w:val="20"/>
              </w:rPr>
              <w:t>29</w:t>
            </w:r>
          </w:p>
        </w:tc>
        <w:tc>
          <w:tcPr>
            <w:tcW w:w="8453" w:type="dxa"/>
          </w:tcPr>
          <w:p w14:paraId="6CC60BCB" w14:textId="3B71D52D" w:rsidR="00D123ED" w:rsidRPr="002F23D4" w:rsidRDefault="002F23D4" w:rsidP="003D3749">
            <w:pPr>
              <w:jc w:val="both"/>
              <w:rPr>
                <w:rFonts w:ascii="Arial" w:hAnsi="Arial" w:cs="Arial"/>
                <w:b/>
                <w:bCs/>
                <w:sz w:val="18"/>
                <w:szCs w:val="22"/>
              </w:rPr>
            </w:pPr>
            <w:r w:rsidRPr="002F23D4">
              <w:rPr>
                <w:rFonts w:ascii="Arial" w:hAnsi="Arial" w:cs="Arial"/>
                <w:sz w:val="18"/>
                <w:szCs w:val="22"/>
              </w:rPr>
              <w:t>The Law Council of Australia should update the Commentary to the Australian Solicitors Conduct Rules in relation to AI.</w:t>
            </w:r>
          </w:p>
        </w:tc>
      </w:tr>
      <w:tr w:rsidR="002F23D4" w:rsidRPr="002F23D4" w14:paraId="4A435C54" w14:textId="77777777" w:rsidTr="003D3749">
        <w:trPr>
          <w:trHeight w:val="83"/>
        </w:trPr>
        <w:tc>
          <w:tcPr>
            <w:tcW w:w="618" w:type="dxa"/>
            <w:tcBorders>
              <w:bottom w:val="single" w:sz="4" w:space="0" w:color="auto"/>
            </w:tcBorders>
            <w:shd w:val="clear" w:color="auto" w:fill="000000" w:themeFill="text1"/>
          </w:tcPr>
          <w:p w14:paraId="76CA90D0" w14:textId="77777777" w:rsidR="002F23D4" w:rsidRPr="002F23D4" w:rsidRDefault="002F23D4" w:rsidP="003D3749">
            <w:pPr>
              <w:jc w:val="center"/>
              <w:rPr>
                <w:rFonts w:ascii="Arial" w:hAnsi="Arial" w:cs="Arial"/>
                <w:b/>
                <w:bCs/>
                <w:color w:val="000000" w:themeColor="text1"/>
                <w:sz w:val="18"/>
                <w:szCs w:val="22"/>
              </w:rPr>
            </w:pPr>
          </w:p>
        </w:tc>
        <w:tc>
          <w:tcPr>
            <w:tcW w:w="8453" w:type="dxa"/>
            <w:tcBorders>
              <w:bottom w:val="single" w:sz="4" w:space="0" w:color="auto"/>
            </w:tcBorders>
            <w:shd w:val="clear" w:color="auto" w:fill="000000" w:themeFill="text1"/>
          </w:tcPr>
          <w:p w14:paraId="54227DDD" w14:textId="0A4DB27A" w:rsidR="002F23D4" w:rsidRPr="002F23D4" w:rsidRDefault="002F23D4" w:rsidP="003D3749">
            <w:pPr>
              <w:keepNext/>
              <w:keepLines/>
              <w:jc w:val="center"/>
              <w:rPr>
                <w:rFonts w:ascii="Arial" w:hAnsi="Arial" w:cs="Arial"/>
                <w:b/>
                <w:bCs/>
                <w:sz w:val="18"/>
                <w:szCs w:val="22"/>
              </w:rPr>
            </w:pPr>
            <w:r w:rsidRPr="002F23D4">
              <w:rPr>
                <w:rFonts w:ascii="Arial" w:hAnsi="Arial" w:cs="Arial"/>
                <w:b/>
                <w:bCs/>
                <w:sz w:val="18"/>
                <w:szCs w:val="22"/>
              </w:rPr>
              <w:t xml:space="preserve">Education for </w:t>
            </w:r>
            <w:r>
              <w:rPr>
                <w:rFonts w:ascii="Arial" w:hAnsi="Arial" w:cs="Arial"/>
                <w:b/>
                <w:bCs/>
                <w:sz w:val="18"/>
                <w:szCs w:val="22"/>
              </w:rPr>
              <w:t>court users and the public</w:t>
            </w:r>
          </w:p>
        </w:tc>
      </w:tr>
      <w:tr w:rsidR="00D123ED" w14:paraId="7291CA7A" w14:textId="77777777" w:rsidTr="00D123ED">
        <w:trPr>
          <w:trHeight w:val="147"/>
        </w:trPr>
        <w:tc>
          <w:tcPr>
            <w:tcW w:w="618" w:type="dxa"/>
            <w:shd w:val="clear" w:color="auto" w:fill="000000" w:themeFill="text1"/>
          </w:tcPr>
          <w:p w14:paraId="0B426877" w14:textId="07450183" w:rsidR="00D123ED" w:rsidRPr="002739C4" w:rsidRDefault="00D123ED" w:rsidP="003D3749">
            <w:pPr>
              <w:jc w:val="center"/>
              <w:rPr>
                <w:rFonts w:ascii="Arial" w:hAnsi="Arial" w:cs="Arial"/>
                <w:b/>
                <w:bCs/>
                <w:sz w:val="20"/>
              </w:rPr>
            </w:pPr>
            <w:r>
              <w:rPr>
                <w:rFonts w:ascii="Arial" w:hAnsi="Arial" w:cs="Arial"/>
                <w:b/>
                <w:bCs/>
                <w:sz w:val="20"/>
              </w:rPr>
              <w:t>30</w:t>
            </w:r>
          </w:p>
        </w:tc>
        <w:tc>
          <w:tcPr>
            <w:tcW w:w="8453" w:type="dxa"/>
          </w:tcPr>
          <w:p w14:paraId="1E4878FE" w14:textId="77777777" w:rsidR="002F23D4" w:rsidRDefault="002F23D4" w:rsidP="003D3749">
            <w:pPr>
              <w:jc w:val="both"/>
              <w:rPr>
                <w:rFonts w:ascii="Arial" w:hAnsi="Arial" w:cs="Arial"/>
                <w:sz w:val="18"/>
                <w:szCs w:val="22"/>
              </w:rPr>
            </w:pPr>
            <w:r w:rsidRPr="002F23D4">
              <w:rPr>
                <w:rFonts w:ascii="Arial" w:hAnsi="Arial" w:cs="Arial"/>
                <w:sz w:val="18"/>
                <w:szCs w:val="22"/>
              </w:rPr>
              <w:t>Victoria’s courts and VCAT should:</w:t>
            </w:r>
          </w:p>
          <w:p w14:paraId="3D82A07A" w14:textId="2D8E8E0E" w:rsidR="002F23D4" w:rsidRDefault="002F23D4" w:rsidP="002F23D4">
            <w:pPr>
              <w:ind w:left="284" w:hanging="284"/>
              <w:jc w:val="both"/>
              <w:rPr>
                <w:rFonts w:ascii="Arial" w:hAnsi="Arial" w:cs="Arial"/>
                <w:sz w:val="18"/>
                <w:szCs w:val="22"/>
              </w:rPr>
            </w:pPr>
            <w:r>
              <w:rPr>
                <w:rFonts w:ascii="Arial" w:hAnsi="Arial" w:cs="Arial"/>
                <w:sz w:val="18"/>
                <w:szCs w:val="22"/>
              </w:rPr>
              <w:t>(</w:t>
            </w:r>
            <w:r w:rsidRPr="002F23D4">
              <w:rPr>
                <w:rFonts w:ascii="Arial" w:hAnsi="Arial" w:cs="Arial"/>
                <w:sz w:val="18"/>
                <w:szCs w:val="22"/>
              </w:rPr>
              <w:t>a</w:t>
            </w:r>
            <w:r>
              <w:rPr>
                <w:rFonts w:ascii="Arial" w:hAnsi="Arial" w:cs="Arial"/>
                <w:sz w:val="18"/>
                <w:szCs w:val="22"/>
              </w:rPr>
              <w:t>)</w:t>
            </w:r>
            <w:r w:rsidRPr="002F23D4">
              <w:rPr>
                <w:rFonts w:ascii="Arial" w:hAnsi="Arial" w:cs="Arial"/>
                <w:sz w:val="18"/>
                <w:szCs w:val="22"/>
              </w:rPr>
              <w:t xml:space="preserve"> ensure people within court registries can assist court users with the use of court</w:t>
            </w:r>
            <w:r>
              <w:rPr>
                <w:rFonts w:ascii="Arial" w:hAnsi="Arial" w:cs="Arial"/>
                <w:sz w:val="18"/>
                <w:szCs w:val="22"/>
              </w:rPr>
              <w:t xml:space="preserve"> </w:t>
            </w:r>
            <w:r w:rsidRPr="002F23D4">
              <w:rPr>
                <w:rFonts w:ascii="Arial" w:hAnsi="Arial" w:cs="Arial"/>
                <w:sz w:val="18"/>
                <w:szCs w:val="22"/>
              </w:rPr>
              <w:t>based AI systems</w:t>
            </w:r>
            <w:r>
              <w:rPr>
                <w:rFonts w:ascii="Arial" w:hAnsi="Arial" w:cs="Arial"/>
                <w:sz w:val="18"/>
                <w:szCs w:val="22"/>
              </w:rPr>
              <w:t>;</w:t>
            </w:r>
          </w:p>
          <w:p w14:paraId="0DAE4B77" w14:textId="10482401" w:rsidR="00D123ED" w:rsidRPr="002F23D4" w:rsidRDefault="002F23D4" w:rsidP="003D3749">
            <w:pPr>
              <w:jc w:val="both"/>
              <w:rPr>
                <w:rFonts w:ascii="Arial" w:hAnsi="Arial" w:cs="Arial"/>
                <w:b/>
                <w:bCs/>
                <w:sz w:val="18"/>
                <w:szCs w:val="22"/>
              </w:rPr>
            </w:pPr>
            <w:r>
              <w:rPr>
                <w:rFonts w:ascii="Arial" w:hAnsi="Arial" w:cs="Arial"/>
                <w:sz w:val="18"/>
                <w:szCs w:val="22"/>
              </w:rPr>
              <w:t>(</w:t>
            </w:r>
            <w:r w:rsidRPr="002F23D4">
              <w:rPr>
                <w:rFonts w:ascii="Arial" w:hAnsi="Arial" w:cs="Arial"/>
                <w:sz w:val="18"/>
                <w:szCs w:val="22"/>
              </w:rPr>
              <w:t>b</w:t>
            </w:r>
            <w:r>
              <w:rPr>
                <w:rFonts w:ascii="Arial" w:hAnsi="Arial" w:cs="Arial"/>
                <w:sz w:val="18"/>
                <w:szCs w:val="22"/>
              </w:rPr>
              <w:t>)</w:t>
            </w:r>
            <w:r w:rsidRPr="002F23D4">
              <w:rPr>
                <w:rFonts w:ascii="Arial" w:hAnsi="Arial" w:cs="Arial"/>
                <w:sz w:val="18"/>
                <w:szCs w:val="22"/>
              </w:rPr>
              <w:t xml:space="preserve"> develop AI-related public awareness resources for people from diverse backgrounds.</w:t>
            </w:r>
          </w:p>
        </w:tc>
      </w:tr>
    </w:tbl>
    <w:p w14:paraId="24DAB3E9" w14:textId="77777777" w:rsidR="007A5F0A" w:rsidRDefault="007A5F0A" w:rsidP="00187C08">
      <w:pPr>
        <w:jc w:val="both"/>
        <w:rPr>
          <w:rFonts w:ascii="Arial" w:hAnsi="Arial" w:cs="Arial"/>
          <w:sz w:val="20"/>
        </w:rPr>
      </w:pPr>
    </w:p>
    <w:bookmarkStart w:id="1238" w:name="_3.15.3_The_Supreme"/>
    <w:bookmarkEnd w:id="1238"/>
    <w:p w14:paraId="48BD2EAD" w14:textId="3051DF55" w:rsidR="000F01F7" w:rsidRPr="000F01F7" w:rsidRDefault="000F01F7" w:rsidP="000F01F7">
      <w:pPr>
        <w:pStyle w:val="Heading3"/>
        <w:keepNext/>
        <w:spacing w:after="120" w:line="240" w:lineRule="auto"/>
        <w:rPr>
          <w:rFonts w:ascii="Arial" w:hAnsi="Arial" w:cs="Arial"/>
          <w:b/>
          <w:bCs/>
          <w:color w:val="000000" w:themeColor="text1"/>
          <w:sz w:val="20"/>
        </w:rPr>
      </w:pPr>
      <w:r>
        <w:fldChar w:fldCharType="begin"/>
      </w:r>
      <w:r>
        <w:instrText>HYPERLINK \l "_3.15.2_VLRC_guidelines"</w:instrText>
      </w:r>
      <w:r>
        <w:fldChar w:fldCharType="separate"/>
      </w:r>
      <w:r w:rsidRPr="000F01F7">
        <w:rPr>
          <w:rStyle w:val="Hyperlink"/>
          <w:rFonts w:ascii="Arial" w:hAnsi="Arial" w:cs="Arial"/>
          <w:b/>
          <w:bCs/>
          <w:color w:val="000000" w:themeColor="text1"/>
          <w:sz w:val="20"/>
          <w:u w:val="none"/>
        </w:rPr>
        <w:t>3.15.3</w:t>
      </w:r>
      <w:r w:rsidRPr="000F01F7">
        <w:rPr>
          <w:rStyle w:val="Hyperlink"/>
          <w:rFonts w:ascii="Arial" w:hAnsi="Arial" w:cs="Arial"/>
          <w:b/>
          <w:bCs/>
          <w:color w:val="000000" w:themeColor="text1"/>
          <w:sz w:val="20"/>
          <w:u w:val="none"/>
        </w:rPr>
        <w:tab/>
        <w:t>The S</w:t>
      </w:r>
      <w:r>
        <w:fldChar w:fldCharType="end"/>
      </w:r>
      <w:r w:rsidRPr="000F01F7">
        <w:rPr>
          <w:rFonts w:ascii="Arial" w:hAnsi="Arial" w:cs="Arial"/>
          <w:b/>
          <w:bCs/>
          <w:sz w:val="20"/>
        </w:rPr>
        <w:t>upreme Court’s Guidelines for Litigants: Responsible Use of Artificial Intelligence</w:t>
      </w:r>
    </w:p>
    <w:p w14:paraId="34FE542B" w14:textId="7A04815D" w:rsidR="000F01F7" w:rsidRDefault="000F01F7" w:rsidP="000F01F7">
      <w:pPr>
        <w:jc w:val="both"/>
        <w:rPr>
          <w:rFonts w:ascii="Arial" w:hAnsi="Arial" w:cs="Arial"/>
          <w:sz w:val="20"/>
        </w:rPr>
      </w:pPr>
      <w:r>
        <w:rPr>
          <w:rFonts w:ascii="Arial" w:hAnsi="Arial" w:cs="Arial"/>
          <w:sz w:val="20"/>
        </w:rPr>
        <w:t xml:space="preserve">The </w:t>
      </w:r>
      <w:r w:rsidR="00AD7B25">
        <w:rPr>
          <w:rFonts w:ascii="Arial" w:hAnsi="Arial" w:cs="Arial"/>
          <w:sz w:val="20"/>
        </w:rPr>
        <w:t xml:space="preserve">Supreme Court’s </w:t>
      </w:r>
      <w:hyperlink r:id="rId70" w:history="1">
        <w:r w:rsidR="00AD7B25" w:rsidRPr="008A12D3">
          <w:rPr>
            <w:rStyle w:val="Hyperlink"/>
            <w:rFonts w:ascii="Arial" w:hAnsi="Arial" w:cs="Arial"/>
            <w:b/>
            <w:bCs/>
            <w:i/>
            <w:iCs/>
            <w:sz w:val="20"/>
          </w:rPr>
          <w:t>Guidelines for Litigants: Responsible Use of AI</w:t>
        </w:r>
      </w:hyperlink>
      <w:r w:rsidR="00AD7B25">
        <w:rPr>
          <w:rFonts w:ascii="Arial" w:hAnsi="Arial" w:cs="Arial"/>
          <w:sz w:val="20"/>
        </w:rPr>
        <w:t xml:space="preserve"> dated 6</w:t>
      </w:r>
      <w:r w:rsidR="00410414">
        <w:rPr>
          <w:rFonts w:ascii="Arial" w:hAnsi="Arial" w:cs="Arial"/>
          <w:sz w:val="20"/>
        </w:rPr>
        <w:t xml:space="preserve"> </w:t>
      </w:r>
      <w:r w:rsidR="00AD7B25">
        <w:rPr>
          <w:rFonts w:ascii="Arial" w:hAnsi="Arial" w:cs="Arial"/>
          <w:sz w:val="20"/>
        </w:rPr>
        <w:t xml:space="preserve">May 2024 were developed </w:t>
      </w:r>
      <w:r w:rsidR="00AD7B25" w:rsidRPr="00AD7B25">
        <w:rPr>
          <w:rFonts w:ascii="Arial" w:hAnsi="Arial" w:cs="Arial"/>
          <w:sz w:val="20"/>
        </w:rPr>
        <w:t xml:space="preserve">to assist </w:t>
      </w:r>
      <w:r w:rsidR="00AD7B25">
        <w:rPr>
          <w:rFonts w:ascii="Arial" w:hAnsi="Arial" w:cs="Arial"/>
          <w:sz w:val="20"/>
        </w:rPr>
        <w:t xml:space="preserve">both legal practitioners and self-represented litigants </w:t>
      </w:r>
      <w:r w:rsidR="00AD7B25" w:rsidRPr="00AD7B25">
        <w:rPr>
          <w:rFonts w:ascii="Arial" w:hAnsi="Arial" w:cs="Arial"/>
          <w:sz w:val="20"/>
        </w:rPr>
        <w:t>conducting litigation in the Supreme Court.</w:t>
      </w:r>
      <w:r w:rsidR="00AD7B25">
        <w:rPr>
          <w:rFonts w:ascii="Arial" w:hAnsi="Arial" w:cs="Arial"/>
          <w:sz w:val="20"/>
        </w:rPr>
        <w:t xml:space="preserve"> An appendix to the Guidelines identifies and defines common terms.</w:t>
      </w:r>
    </w:p>
    <w:p w14:paraId="1DDD1B81" w14:textId="4F3A40AE" w:rsidR="00410414" w:rsidRDefault="00C01A4E" w:rsidP="00410414">
      <w:pPr>
        <w:spacing w:before="120"/>
        <w:jc w:val="both"/>
        <w:rPr>
          <w:rFonts w:ascii="Arial" w:hAnsi="Arial" w:cs="Arial"/>
          <w:sz w:val="20"/>
        </w:rPr>
      </w:pPr>
      <w:r>
        <w:rPr>
          <w:rFonts w:ascii="Arial" w:hAnsi="Arial" w:cs="Arial"/>
          <w:sz w:val="20"/>
        </w:rPr>
        <w:t xml:space="preserve">The Guidelines </w:t>
      </w:r>
      <w:r w:rsidR="00410414">
        <w:rPr>
          <w:rFonts w:ascii="Arial" w:hAnsi="Arial" w:cs="Arial"/>
          <w:sz w:val="20"/>
        </w:rPr>
        <w:t>note that t</w:t>
      </w:r>
      <w:r w:rsidR="00410414" w:rsidRPr="00AD7B25">
        <w:rPr>
          <w:rFonts w:ascii="Arial" w:hAnsi="Arial" w:cs="Arial"/>
          <w:sz w:val="20"/>
        </w:rPr>
        <w:t>he assistance of computers in information management is an important tool for the efficient conduct of litigation</w:t>
      </w:r>
      <w:r w:rsidR="00410414">
        <w:rPr>
          <w:rFonts w:ascii="Arial" w:hAnsi="Arial" w:cs="Arial"/>
          <w:sz w:val="20"/>
        </w:rPr>
        <w:t xml:space="preserve"> and that G</w:t>
      </w:r>
      <w:r w:rsidR="00410414" w:rsidRPr="00AD7B25">
        <w:rPr>
          <w:rFonts w:ascii="Arial" w:hAnsi="Arial" w:cs="Arial"/>
          <w:sz w:val="20"/>
        </w:rPr>
        <w:t>enerative AI tools are already in use in legal settings</w:t>
      </w:r>
      <w:r w:rsidR="00410414">
        <w:rPr>
          <w:rFonts w:ascii="Arial" w:hAnsi="Arial" w:cs="Arial"/>
          <w:sz w:val="20"/>
        </w:rPr>
        <w:t xml:space="preserve"> and t</w:t>
      </w:r>
      <w:r w:rsidR="00410414" w:rsidRPr="00AD7B25">
        <w:rPr>
          <w:rFonts w:ascii="Arial" w:hAnsi="Arial" w:cs="Arial"/>
          <w:sz w:val="20"/>
        </w:rPr>
        <w:t>he capacity and use of such tools is rapidly increasing.</w:t>
      </w:r>
    </w:p>
    <w:p w14:paraId="776C0979" w14:textId="77777777" w:rsidR="00CB71A0" w:rsidRDefault="00CB71A0" w:rsidP="00CB71A0">
      <w:pPr>
        <w:jc w:val="both"/>
        <w:rPr>
          <w:rFonts w:ascii="Arial" w:hAnsi="Arial" w:cs="Arial"/>
          <w:sz w:val="20"/>
        </w:rPr>
      </w:pPr>
    </w:p>
    <w:p w14:paraId="06B44BF7" w14:textId="77777777" w:rsidR="00CB71A0" w:rsidRDefault="00CB71A0" w:rsidP="00CB71A0">
      <w:pPr>
        <w:jc w:val="both"/>
        <w:rPr>
          <w:rFonts w:ascii="Arial" w:hAnsi="Arial" w:cs="Arial"/>
          <w:sz w:val="20"/>
        </w:rPr>
      </w:pPr>
      <w:r>
        <w:rPr>
          <w:rFonts w:ascii="Arial" w:hAnsi="Arial" w:cs="Arial"/>
          <w:sz w:val="20"/>
        </w:rPr>
        <w:t xml:space="preserve">In </w:t>
      </w:r>
      <w:bookmarkStart w:id="1239" w:name="_Hlk219797820"/>
      <w:r w:rsidRPr="008017AC">
        <w:rPr>
          <w:rFonts w:ascii="Arial" w:hAnsi="Arial" w:cs="Arial"/>
          <w:i/>
          <w:iCs/>
          <w:sz w:val="20"/>
        </w:rPr>
        <w:t>Director of Public Prosecutions v GR</w:t>
      </w:r>
      <w:r>
        <w:rPr>
          <w:rFonts w:ascii="Arial" w:hAnsi="Arial" w:cs="Arial"/>
          <w:sz w:val="20"/>
        </w:rPr>
        <w:t xml:space="preserve"> [2025] VSC 490 </w:t>
      </w:r>
      <w:bookmarkEnd w:id="1239"/>
      <w:r>
        <w:rPr>
          <w:rFonts w:ascii="Arial" w:hAnsi="Arial" w:cs="Arial"/>
          <w:sz w:val="20"/>
        </w:rPr>
        <w:t xml:space="preserve">the deceased – who was the mother of the coaccused XQ – was killed by GR on 05/04/2023. At the time GR was 14 years old and XQ was 15 years old. </w:t>
      </w:r>
      <w:r w:rsidRPr="008017AC">
        <w:rPr>
          <w:rFonts w:ascii="Arial" w:hAnsi="Arial" w:cs="Arial"/>
          <w:sz w:val="20"/>
        </w:rPr>
        <w:t xml:space="preserve">On the basis of </w:t>
      </w:r>
      <w:r>
        <w:rPr>
          <w:rFonts w:ascii="Arial" w:hAnsi="Arial" w:cs="Arial"/>
          <w:sz w:val="20"/>
        </w:rPr>
        <w:t>two forensic psychiatric reports</w:t>
      </w:r>
      <w:r w:rsidRPr="008017AC">
        <w:rPr>
          <w:rFonts w:ascii="Arial" w:hAnsi="Arial" w:cs="Arial"/>
          <w:sz w:val="20"/>
        </w:rPr>
        <w:t xml:space="preserve">, the parties </w:t>
      </w:r>
      <w:r>
        <w:rPr>
          <w:rFonts w:ascii="Arial" w:hAnsi="Arial" w:cs="Arial"/>
          <w:sz w:val="20"/>
        </w:rPr>
        <w:t xml:space="preserve">had </w:t>
      </w:r>
      <w:r w:rsidRPr="008017AC">
        <w:rPr>
          <w:rFonts w:ascii="Arial" w:hAnsi="Arial" w:cs="Arial"/>
          <w:sz w:val="20"/>
        </w:rPr>
        <w:t>agreed that the proposed evidence established the defence of mental impairment</w:t>
      </w:r>
      <w:r>
        <w:rPr>
          <w:rFonts w:ascii="Arial" w:hAnsi="Arial" w:cs="Arial"/>
          <w:sz w:val="20"/>
        </w:rPr>
        <w:t xml:space="preserve"> for GR</w:t>
      </w:r>
      <w:r w:rsidRPr="008017AC">
        <w:rPr>
          <w:rFonts w:ascii="Arial" w:hAnsi="Arial" w:cs="Arial"/>
          <w:sz w:val="20"/>
        </w:rPr>
        <w:t>.</w:t>
      </w:r>
      <w:r>
        <w:rPr>
          <w:rFonts w:ascii="Arial" w:hAnsi="Arial" w:cs="Arial"/>
          <w:sz w:val="20"/>
        </w:rPr>
        <w:t xml:space="preserve"> On 14/08/2025 Elliott J found GR not guilty of murder by reason of mental impairment, being satisfied that </w:t>
      </w:r>
      <w:r w:rsidRPr="008E2E19">
        <w:rPr>
          <w:rFonts w:ascii="Arial" w:hAnsi="Arial" w:cs="Arial"/>
          <w:sz w:val="20"/>
        </w:rPr>
        <w:t>GR was suffering from a mental impairment at the time of engaging in the conduct constituting the offence, the effect of which was that he could not reason with a moderate degree of sense and composure about whether his conduct, as perceived by reasonable people, was wrong</w:t>
      </w:r>
      <w:r>
        <w:rPr>
          <w:rFonts w:ascii="Arial" w:hAnsi="Arial" w:cs="Arial"/>
          <w:sz w:val="20"/>
        </w:rPr>
        <w:t xml:space="preserve">. His Honour declared GR liable to supervision under Part 5 of the </w:t>
      </w:r>
      <w:r w:rsidRPr="008E2E19">
        <w:rPr>
          <w:rFonts w:ascii="Arial" w:hAnsi="Arial" w:cs="Arial"/>
          <w:i/>
          <w:iCs/>
          <w:sz w:val="20"/>
        </w:rPr>
        <w:t>Crimes (Mental impairment and Unfitness to be Tried) Act 1997</w:t>
      </w:r>
      <w:r>
        <w:rPr>
          <w:rFonts w:ascii="Arial" w:hAnsi="Arial" w:cs="Arial"/>
          <w:i/>
          <w:iCs/>
          <w:sz w:val="20"/>
        </w:rPr>
        <w:t xml:space="preserve"> </w:t>
      </w:r>
      <w:r w:rsidRPr="00C7471A">
        <w:rPr>
          <w:rFonts w:ascii="Arial" w:hAnsi="Arial" w:cs="Arial"/>
          <w:sz w:val="20"/>
        </w:rPr>
        <w:t>[</w:t>
      </w:r>
      <w:r>
        <w:rPr>
          <w:rFonts w:ascii="Arial" w:hAnsi="Arial" w:cs="Arial"/>
          <w:sz w:val="20"/>
        </w:rPr>
        <w:t xml:space="preserve">the </w:t>
      </w:r>
      <w:r w:rsidRPr="00C7471A">
        <w:rPr>
          <w:rFonts w:ascii="Arial" w:hAnsi="Arial" w:cs="Arial"/>
          <w:sz w:val="20"/>
        </w:rPr>
        <w:t>CMIA]</w:t>
      </w:r>
      <w:r>
        <w:rPr>
          <w:rFonts w:ascii="Arial" w:hAnsi="Arial" w:cs="Arial"/>
          <w:sz w:val="20"/>
        </w:rPr>
        <w:t xml:space="preserve"> and adjourned the matter to allow for a report and a certificate of available services to be obtained.</w:t>
      </w:r>
    </w:p>
    <w:p w14:paraId="4DD2F083" w14:textId="77777777" w:rsidR="00CB71A0" w:rsidRDefault="00CB71A0" w:rsidP="00CB71A0">
      <w:pPr>
        <w:spacing w:before="120"/>
        <w:jc w:val="both"/>
        <w:rPr>
          <w:rFonts w:ascii="Arial" w:hAnsi="Arial" w:cs="Arial"/>
          <w:sz w:val="20"/>
        </w:rPr>
      </w:pPr>
      <w:r>
        <w:rPr>
          <w:rFonts w:ascii="Arial" w:hAnsi="Arial" w:cs="Arial"/>
          <w:sz w:val="20"/>
        </w:rPr>
        <w:t xml:space="preserve">However, before that – on 30/07/2025 – the Court had invited the parties by email to </w:t>
      </w:r>
      <w:r w:rsidRPr="00C90393">
        <w:rPr>
          <w:rFonts w:ascii="Arial" w:hAnsi="Arial" w:cs="Arial"/>
          <w:sz w:val="20"/>
        </w:rPr>
        <w:t xml:space="preserve">provide an outline of submissions on the extent of the </w:t>
      </w:r>
      <w:r>
        <w:rPr>
          <w:rFonts w:ascii="Arial" w:hAnsi="Arial" w:cs="Arial"/>
          <w:sz w:val="20"/>
        </w:rPr>
        <w:t xml:space="preserve">Court’s </w:t>
      </w:r>
      <w:r w:rsidRPr="00C90393">
        <w:rPr>
          <w:rFonts w:ascii="Arial" w:hAnsi="Arial" w:cs="Arial"/>
          <w:sz w:val="20"/>
        </w:rPr>
        <w:t xml:space="preserve">power to remand GR at various locations in the event that he was declared liable to supervision under Part 5 of the </w:t>
      </w:r>
      <w:r>
        <w:rPr>
          <w:rFonts w:ascii="Arial" w:hAnsi="Arial" w:cs="Arial"/>
          <w:sz w:val="20"/>
        </w:rPr>
        <w:t>CMIA</w:t>
      </w:r>
      <w:r w:rsidRPr="00C90393">
        <w:rPr>
          <w:rFonts w:ascii="Arial" w:hAnsi="Arial" w:cs="Arial"/>
          <w:sz w:val="20"/>
        </w:rPr>
        <w:t>.</w:t>
      </w:r>
      <w:r>
        <w:rPr>
          <w:rFonts w:ascii="Arial" w:hAnsi="Arial" w:cs="Arial"/>
          <w:sz w:val="20"/>
        </w:rPr>
        <w:t xml:space="preserve"> Subsequently, the defence filed with the Court submissions which had been created by </w:t>
      </w:r>
      <w:r w:rsidRPr="00292BD2">
        <w:rPr>
          <w:rFonts w:ascii="Arial" w:hAnsi="Arial" w:cs="Arial"/>
          <w:b/>
          <w:bCs/>
          <w:sz w:val="20"/>
        </w:rPr>
        <w:t>artificial intelligence [AI]</w:t>
      </w:r>
      <w:r>
        <w:rPr>
          <w:rFonts w:ascii="Arial" w:hAnsi="Arial" w:cs="Arial"/>
          <w:sz w:val="20"/>
        </w:rPr>
        <w:t xml:space="preserve"> and which included references </w:t>
      </w:r>
      <w:r>
        <w:rPr>
          <w:rFonts w:ascii="Arial" w:hAnsi="Arial" w:cs="Arial"/>
          <w:sz w:val="20"/>
        </w:rPr>
        <w:lastRenderedPageBreak/>
        <w:t xml:space="preserve">to non-existent case citations and inaccurate quotes. </w:t>
      </w:r>
      <w:r w:rsidRPr="00C7471A">
        <w:rPr>
          <w:rFonts w:ascii="Arial" w:hAnsi="Arial" w:cs="Arial"/>
          <w:sz w:val="20"/>
        </w:rPr>
        <w:t>The</w:t>
      </w:r>
      <w:r>
        <w:rPr>
          <w:rFonts w:ascii="Arial" w:hAnsi="Arial" w:cs="Arial"/>
          <w:sz w:val="20"/>
        </w:rPr>
        <w:t xml:space="preserve">se </w:t>
      </w:r>
      <w:r w:rsidRPr="00C7471A">
        <w:rPr>
          <w:rFonts w:ascii="Arial" w:hAnsi="Arial" w:cs="Arial"/>
          <w:sz w:val="20"/>
        </w:rPr>
        <w:t xml:space="preserve">submissions were </w:t>
      </w:r>
      <w:r>
        <w:rPr>
          <w:rFonts w:ascii="Arial" w:hAnsi="Arial" w:cs="Arial"/>
          <w:sz w:val="20"/>
        </w:rPr>
        <w:t xml:space="preserve">also </w:t>
      </w:r>
      <w:r w:rsidRPr="00C7471A">
        <w:rPr>
          <w:rFonts w:ascii="Arial" w:hAnsi="Arial" w:cs="Arial"/>
          <w:sz w:val="20"/>
        </w:rPr>
        <w:t xml:space="preserve">sent to prosecutors, who did not verify </w:t>
      </w:r>
      <w:r>
        <w:rPr>
          <w:rFonts w:ascii="Arial" w:hAnsi="Arial" w:cs="Arial"/>
          <w:sz w:val="20"/>
        </w:rPr>
        <w:t xml:space="preserve">that </w:t>
      </w:r>
      <w:r w:rsidRPr="00C7471A">
        <w:rPr>
          <w:rFonts w:ascii="Arial" w:hAnsi="Arial" w:cs="Arial"/>
          <w:sz w:val="20"/>
        </w:rPr>
        <w:t>all the information was correct and created their own submissions based on the defence documents.</w:t>
      </w:r>
      <w:r>
        <w:rPr>
          <w:rFonts w:ascii="Arial" w:hAnsi="Arial" w:cs="Arial"/>
          <w:sz w:val="20"/>
        </w:rPr>
        <w:t xml:space="preserve"> All counsel involved unequivocally apologized to the Court. At [77]-[80] Elliott J said [emphasis added]:</w:t>
      </w:r>
    </w:p>
    <w:p w14:paraId="3061AAC1" w14:textId="77777777" w:rsidR="00CB71A0" w:rsidRDefault="00CB71A0" w:rsidP="00CB71A0">
      <w:pPr>
        <w:spacing w:before="60"/>
        <w:ind w:left="567" w:right="567"/>
        <w:jc w:val="both"/>
        <w:rPr>
          <w:rFonts w:ascii="Arial" w:hAnsi="Arial" w:cs="Arial"/>
          <w:sz w:val="20"/>
        </w:rPr>
      </w:pPr>
      <w:r>
        <w:rPr>
          <w:rFonts w:ascii="Arial" w:hAnsi="Arial" w:cs="Arial"/>
          <w:iCs/>
          <w:color w:val="000000"/>
          <w:sz w:val="20"/>
        </w:rPr>
        <w:t>[77] “</w:t>
      </w:r>
      <w:r w:rsidRPr="008017AC">
        <w:rPr>
          <w:rFonts w:ascii="Arial" w:hAnsi="Arial" w:cs="Arial"/>
          <w:sz w:val="20"/>
        </w:rPr>
        <w:t>Observations have been previously made in other cases about the unsatisfactory consequences that may flow from litigants using artificial intelligence in the preparation of materials to be relied upon for court purposes</w:t>
      </w:r>
      <w:r>
        <w:rPr>
          <w:rFonts w:ascii="Arial" w:hAnsi="Arial" w:cs="Arial"/>
          <w:sz w:val="20"/>
        </w:rPr>
        <w:t xml:space="preserve">: </w:t>
      </w:r>
      <w:r w:rsidRPr="007D0264">
        <w:rPr>
          <w:rFonts w:ascii="Arial" w:hAnsi="Arial" w:cs="Arial"/>
          <w:i/>
          <w:iCs/>
          <w:sz w:val="20"/>
        </w:rPr>
        <w:t>Nikolic v IDAZ09 Pty Ltd</w:t>
      </w:r>
      <w:r w:rsidRPr="008017AC">
        <w:rPr>
          <w:rFonts w:ascii="Arial" w:hAnsi="Arial" w:cs="Arial"/>
          <w:sz w:val="20"/>
        </w:rPr>
        <w:t xml:space="preserve"> [2025] VSCA 112, [36]-[39]; </w:t>
      </w:r>
      <w:r w:rsidRPr="007D0264">
        <w:rPr>
          <w:rFonts w:ascii="Arial" w:hAnsi="Arial" w:cs="Arial"/>
          <w:i/>
          <w:iCs/>
          <w:sz w:val="20"/>
        </w:rPr>
        <w:t xml:space="preserve">May v </w:t>
      </w:r>
      <w:proofErr w:type="spellStart"/>
      <w:r w:rsidRPr="007D0264">
        <w:rPr>
          <w:rFonts w:ascii="Arial" w:hAnsi="Arial" w:cs="Arial"/>
          <w:i/>
          <w:iCs/>
          <w:sz w:val="20"/>
        </w:rPr>
        <w:t>Costaras</w:t>
      </w:r>
      <w:proofErr w:type="spellEnd"/>
      <w:r w:rsidRPr="008017AC">
        <w:rPr>
          <w:rFonts w:ascii="Arial" w:hAnsi="Arial" w:cs="Arial"/>
          <w:sz w:val="20"/>
        </w:rPr>
        <w:t xml:space="preserve"> [2025] NSWCA 178, [3]-[17]</w:t>
      </w:r>
      <w:r>
        <w:rPr>
          <w:rFonts w:ascii="Arial" w:hAnsi="Arial" w:cs="Arial"/>
          <w:sz w:val="20"/>
        </w:rPr>
        <w:t>;</w:t>
      </w:r>
      <w:r w:rsidRPr="008017AC">
        <w:rPr>
          <w:rFonts w:ascii="Arial" w:hAnsi="Arial" w:cs="Arial"/>
          <w:sz w:val="20"/>
        </w:rPr>
        <w:t xml:space="preserve"> [49]; </w:t>
      </w:r>
      <w:r w:rsidRPr="007D0264">
        <w:rPr>
          <w:rFonts w:ascii="Arial" w:hAnsi="Arial" w:cs="Arial"/>
          <w:i/>
          <w:iCs/>
          <w:sz w:val="20"/>
        </w:rPr>
        <w:t>Kaur v Royal Melbourne Institute of Technology</w:t>
      </w:r>
      <w:r w:rsidRPr="008017AC">
        <w:rPr>
          <w:rFonts w:ascii="Arial" w:hAnsi="Arial" w:cs="Arial"/>
          <w:sz w:val="20"/>
        </w:rPr>
        <w:t xml:space="preserve"> [2024] VSCA 264, </w:t>
      </w:r>
      <w:proofErr w:type="spellStart"/>
      <w:r w:rsidRPr="008017AC">
        <w:rPr>
          <w:rFonts w:ascii="Arial" w:hAnsi="Arial" w:cs="Arial"/>
          <w:sz w:val="20"/>
        </w:rPr>
        <w:t>fn</w:t>
      </w:r>
      <w:proofErr w:type="spellEnd"/>
      <w:r w:rsidRPr="008017AC">
        <w:rPr>
          <w:rFonts w:ascii="Arial" w:hAnsi="Arial" w:cs="Arial"/>
          <w:sz w:val="20"/>
        </w:rPr>
        <w:t xml:space="preserve"> 19.</w:t>
      </w:r>
      <w:r>
        <w:rPr>
          <w:rFonts w:ascii="Arial" w:hAnsi="Arial" w:cs="Arial"/>
          <w:sz w:val="20"/>
        </w:rPr>
        <w:t xml:space="preserve"> </w:t>
      </w:r>
      <w:r w:rsidRPr="008017AC">
        <w:rPr>
          <w:rFonts w:ascii="Arial" w:hAnsi="Arial" w:cs="Arial"/>
          <w:sz w:val="20"/>
        </w:rPr>
        <w:t>The comments in these</w:t>
      </w:r>
      <w:r>
        <w:rPr>
          <w:rFonts w:ascii="Arial" w:hAnsi="Arial" w:cs="Arial"/>
          <w:sz w:val="20"/>
        </w:rPr>
        <w:t xml:space="preserve"> </w:t>
      </w:r>
      <w:r w:rsidRPr="008017AC">
        <w:rPr>
          <w:rFonts w:ascii="Arial" w:hAnsi="Arial" w:cs="Arial"/>
          <w:sz w:val="20"/>
        </w:rPr>
        <w:t>cases have been confined to circumstances where self-represented litigants have utilised this technology in an attempt to present their case.</w:t>
      </w:r>
    </w:p>
    <w:p w14:paraId="2DE08DCC" w14:textId="77777777" w:rsidR="00CB71A0" w:rsidRDefault="00CB71A0" w:rsidP="00CB71A0">
      <w:pPr>
        <w:spacing w:before="60"/>
        <w:ind w:left="567" w:right="567"/>
        <w:jc w:val="both"/>
        <w:rPr>
          <w:rFonts w:ascii="Arial" w:hAnsi="Arial" w:cs="Arial"/>
          <w:sz w:val="20"/>
        </w:rPr>
      </w:pPr>
      <w:r>
        <w:rPr>
          <w:rFonts w:ascii="Arial" w:hAnsi="Arial" w:cs="Arial"/>
          <w:sz w:val="20"/>
        </w:rPr>
        <w:t>[</w:t>
      </w:r>
      <w:r w:rsidRPr="008017AC">
        <w:rPr>
          <w:rFonts w:ascii="Arial" w:hAnsi="Arial" w:cs="Arial"/>
          <w:sz w:val="20"/>
        </w:rPr>
        <w:t>78</w:t>
      </w:r>
      <w:r>
        <w:rPr>
          <w:rFonts w:ascii="Arial" w:hAnsi="Arial" w:cs="Arial"/>
          <w:sz w:val="20"/>
        </w:rPr>
        <w:t>]</w:t>
      </w:r>
      <w:r w:rsidRPr="008017AC">
        <w:rPr>
          <w:rFonts w:ascii="Arial" w:hAnsi="Arial" w:cs="Arial"/>
          <w:sz w:val="20"/>
        </w:rPr>
        <w:t xml:space="preserve"> In May 2024, </w:t>
      </w:r>
      <w:r>
        <w:rPr>
          <w:rFonts w:ascii="Arial" w:hAnsi="Arial" w:cs="Arial"/>
          <w:sz w:val="20"/>
        </w:rPr>
        <w:t>[the Supreme Court]</w:t>
      </w:r>
      <w:r w:rsidRPr="008017AC">
        <w:rPr>
          <w:rFonts w:ascii="Arial" w:hAnsi="Arial" w:cs="Arial"/>
          <w:sz w:val="20"/>
        </w:rPr>
        <w:t xml:space="preserve"> published “Guidelines for litigants. Responsible use of artificial intelligence in litigation”. </w:t>
      </w:r>
      <w:r w:rsidRPr="009C4AE6">
        <w:rPr>
          <w:rFonts w:ascii="Arial" w:hAnsi="Arial" w:cs="Arial"/>
          <w:sz w:val="20"/>
        </w:rPr>
        <w:t xml:space="preserve">A copy of the guidelines is available at: </w:t>
      </w:r>
      <w:bookmarkStart w:id="1240" w:name="_Hlk219797886"/>
      <w:bookmarkStart w:id="1241" w:name="_Hlk219797730"/>
      <w:r>
        <w:fldChar w:fldCharType="begin"/>
      </w:r>
      <w:r>
        <w:instrText>HYPERLINK "https://www.supremecourt.vic.gov.au/forms-fees-and-services/forms-templates-and-guidelines/guideline-responsible-use-of-ai-in-litigation"</w:instrText>
      </w:r>
      <w:r>
        <w:fldChar w:fldCharType="separate"/>
      </w:r>
      <w:r w:rsidRPr="00912E82">
        <w:rPr>
          <w:rStyle w:val="Hyperlink"/>
          <w:rFonts w:ascii="Arial" w:hAnsi="Arial" w:cs="Arial"/>
          <w:sz w:val="20"/>
        </w:rPr>
        <w:t>https://www.supremecourt.vic.gov.au/forms-fees-and-services/forms-templates-and-guidelines/guideline-responsible-use-of-ai-in-litigation</w:t>
      </w:r>
      <w:r>
        <w:fldChar w:fldCharType="end"/>
      </w:r>
      <w:r w:rsidRPr="009C4AE6">
        <w:rPr>
          <w:rFonts w:ascii="Arial" w:hAnsi="Arial" w:cs="Arial"/>
          <w:sz w:val="20"/>
        </w:rPr>
        <w:t>.</w:t>
      </w:r>
      <w:bookmarkEnd w:id="1240"/>
      <w:r>
        <w:rPr>
          <w:rFonts w:ascii="Arial" w:hAnsi="Arial" w:cs="Arial"/>
          <w:sz w:val="20"/>
        </w:rPr>
        <w:t xml:space="preserve"> </w:t>
      </w:r>
      <w:bookmarkEnd w:id="1241"/>
      <w:r w:rsidRPr="00143355">
        <w:rPr>
          <w:rFonts w:ascii="Arial" w:hAnsi="Arial" w:cs="Arial"/>
          <w:b/>
          <w:bCs/>
          <w:sz w:val="20"/>
        </w:rPr>
        <w:t>It is essential that all litigants and practitioners adhere to these guidelines.</w:t>
      </w:r>
    </w:p>
    <w:p w14:paraId="1AACA33A" w14:textId="77777777" w:rsidR="00CB71A0" w:rsidRDefault="00CB71A0" w:rsidP="00CB71A0">
      <w:pPr>
        <w:spacing w:before="60"/>
        <w:ind w:left="567" w:right="567"/>
        <w:jc w:val="both"/>
        <w:rPr>
          <w:rFonts w:ascii="Arial" w:hAnsi="Arial" w:cs="Arial"/>
          <w:sz w:val="20"/>
        </w:rPr>
      </w:pPr>
      <w:r>
        <w:rPr>
          <w:rFonts w:ascii="Arial" w:hAnsi="Arial" w:cs="Arial"/>
          <w:sz w:val="20"/>
        </w:rPr>
        <w:t>[</w:t>
      </w:r>
      <w:r w:rsidRPr="008017AC">
        <w:rPr>
          <w:rFonts w:ascii="Arial" w:hAnsi="Arial" w:cs="Arial"/>
          <w:sz w:val="20"/>
        </w:rPr>
        <w:t>79</w:t>
      </w:r>
      <w:r>
        <w:rPr>
          <w:rFonts w:ascii="Arial" w:hAnsi="Arial" w:cs="Arial"/>
          <w:sz w:val="20"/>
        </w:rPr>
        <w:t>]</w:t>
      </w:r>
      <w:r w:rsidRPr="008017AC">
        <w:rPr>
          <w:rFonts w:ascii="Arial" w:hAnsi="Arial" w:cs="Arial"/>
          <w:sz w:val="20"/>
        </w:rPr>
        <w:t xml:space="preserve"> </w:t>
      </w:r>
      <w:r w:rsidRPr="007D0264">
        <w:rPr>
          <w:rFonts w:ascii="Arial" w:hAnsi="Arial" w:cs="Arial"/>
          <w:b/>
          <w:bCs/>
          <w:sz w:val="20"/>
        </w:rPr>
        <w:t>The ability of the court to rely upon the accuracy of submissions made by counsel is fundamental to the due administration of justice.</w:t>
      </w:r>
      <w:r w:rsidRPr="008017AC">
        <w:rPr>
          <w:rFonts w:ascii="Arial" w:hAnsi="Arial" w:cs="Arial"/>
          <w:sz w:val="20"/>
        </w:rPr>
        <w:t xml:space="preserve"> Self-evidently, as was immediately and unequivocally acknowledged by counsel in this case, </w:t>
      </w:r>
      <w:r w:rsidRPr="007D0264">
        <w:rPr>
          <w:rFonts w:ascii="Arial" w:hAnsi="Arial" w:cs="Arial"/>
          <w:b/>
          <w:bCs/>
          <w:sz w:val="20"/>
        </w:rPr>
        <w:t>any use of artificial intelligence without careful and attentive oversight of counsel would seriously undermine the court’s processes and its ability to deliver justice in a timely and cost effective manner</w:t>
      </w:r>
      <w:r w:rsidRPr="008017AC">
        <w:rPr>
          <w:rFonts w:ascii="Arial" w:hAnsi="Arial" w:cs="Arial"/>
          <w:sz w:val="20"/>
        </w:rPr>
        <w:t>.</w:t>
      </w:r>
    </w:p>
    <w:p w14:paraId="6BFEB2EC" w14:textId="77777777" w:rsidR="00CB71A0" w:rsidRPr="007D0264" w:rsidRDefault="00CB71A0" w:rsidP="00CB71A0">
      <w:pPr>
        <w:spacing w:before="60"/>
        <w:ind w:left="567" w:right="567"/>
        <w:jc w:val="both"/>
        <w:rPr>
          <w:rFonts w:ascii="Arial" w:hAnsi="Arial" w:cs="Arial"/>
          <w:sz w:val="20"/>
        </w:rPr>
      </w:pPr>
      <w:r>
        <w:rPr>
          <w:rFonts w:ascii="Arial" w:hAnsi="Arial" w:cs="Arial"/>
          <w:sz w:val="20"/>
        </w:rPr>
        <w:t>[</w:t>
      </w:r>
      <w:r w:rsidRPr="008017AC">
        <w:rPr>
          <w:rFonts w:ascii="Arial" w:hAnsi="Arial" w:cs="Arial"/>
          <w:sz w:val="20"/>
        </w:rPr>
        <w:t>80</w:t>
      </w:r>
      <w:r>
        <w:rPr>
          <w:rFonts w:ascii="Arial" w:hAnsi="Arial" w:cs="Arial"/>
          <w:sz w:val="20"/>
        </w:rPr>
        <w:t>]</w:t>
      </w:r>
      <w:r w:rsidRPr="008017AC">
        <w:rPr>
          <w:rFonts w:ascii="Arial" w:hAnsi="Arial" w:cs="Arial"/>
          <w:sz w:val="20"/>
        </w:rPr>
        <w:t xml:space="preserve"> Regrettable as it is to single out counsel and their instructing solicitors in this case for what has occurred, in light of the matters set out above it is important to record that counsel must take full and ultimate responsibility for any submissions made to the court. To this end, </w:t>
      </w:r>
      <w:r w:rsidRPr="007D0264">
        <w:rPr>
          <w:rFonts w:ascii="Arial" w:hAnsi="Arial" w:cs="Arial"/>
          <w:b/>
          <w:bCs/>
          <w:sz w:val="20"/>
        </w:rPr>
        <w:t>it is not acceptable for artificial intelligence to be used unless the product of that use is independently and thoroughly verified. The same may be said for solicitors responsible for producing or filing court documents.</w:t>
      </w:r>
      <w:r>
        <w:rPr>
          <w:rFonts w:ascii="Arial" w:hAnsi="Arial" w:cs="Arial"/>
          <w:sz w:val="20"/>
        </w:rPr>
        <w:t>”</w:t>
      </w:r>
    </w:p>
    <w:p w14:paraId="2522F32F" w14:textId="77777777" w:rsidR="00CB71A0" w:rsidRDefault="00CB71A0" w:rsidP="00CB71A0">
      <w:pPr>
        <w:jc w:val="both"/>
        <w:rPr>
          <w:rFonts w:ascii="Arial" w:hAnsi="Arial" w:cs="Arial"/>
          <w:sz w:val="20"/>
        </w:rPr>
      </w:pPr>
    </w:p>
    <w:p w14:paraId="48D817D5" w14:textId="77777777" w:rsidR="00CB71A0" w:rsidRDefault="00CB71A0" w:rsidP="00CB71A0">
      <w:pPr>
        <w:jc w:val="both"/>
        <w:rPr>
          <w:rFonts w:ascii="Arial" w:hAnsi="Arial" w:cs="Arial"/>
          <w:sz w:val="20"/>
        </w:rPr>
      </w:pPr>
      <w:r>
        <w:rPr>
          <w:rFonts w:ascii="Arial" w:hAnsi="Arial" w:cs="Arial"/>
          <w:sz w:val="20"/>
        </w:rPr>
        <w:t>The document referred to by Elliott J at [78] – “</w:t>
      </w:r>
      <w:r w:rsidRPr="00DA691B">
        <w:rPr>
          <w:rFonts w:ascii="Arial" w:hAnsi="Arial" w:cs="Arial"/>
          <w:b/>
          <w:bCs/>
          <w:sz w:val="20"/>
        </w:rPr>
        <w:t>Guidelines for litigants. Responsible use of artificial intelligence in litigation</w:t>
      </w:r>
      <w:r>
        <w:rPr>
          <w:rFonts w:ascii="Arial" w:hAnsi="Arial" w:cs="Arial"/>
          <w:sz w:val="20"/>
        </w:rPr>
        <w:t>” – states:</w:t>
      </w:r>
    </w:p>
    <w:p w14:paraId="25172457" w14:textId="77777777" w:rsidR="00CB71A0" w:rsidRDefault="00CB71A0" w:rsidP="00CB71A0">
      <w:pPr>
        <w:jc w:val="both"/>
        <w:rPr>
          <w:rFonts w:ascii="Arial" w:hAnsi="Arial" w:cs="Arial"/>
          <w:sz w:val="20"/>
        </w:rPr>
      </w:pPr>
    </w:p>
    <w:p w14:paraId="03D9EEE8" w14:textId="77777777" w:rsidR="00CB71A0" w:rsidRPr="00E71C44" w:rsidRDefault="00CB71A0" w:rsidP="00CB71A0">
      <w:pPr>
        <w:keepNext/>
        <w:keepLines/>
        <w:jc w:val="both"/>
        <w:rPr>
          <w:rFonts w:ascii="Arial" w:hAnsi="Arial" w:cs="Arial"/>
          <w:b/>
          <w:bCs/>
          <w:sz w:val="20"/>
        </w:rPr>
      </w:pPr>
      <w:r w:rsidRPr="00E71C44">
        <w:rPr>
          <w:rFonts w:ascii="Arial" w:hAnsi="Arial" w:cs="Arial"/>
          <w:b/>
          <w:bCs/>
          <w:sz w:val="20"/>
        </w:rPr>
        <w:t>Introduction</w:t>
      </w:r>
    </w:p>
    <w:p w14:paraId="5AAEF0D4" w14:textId="77777777" w:rsidR="00CB71A0" w:rsidRDefault="00CB71A0" w:rsidP="00CB71A0">
      <w:pPr>
        <w:spacing w:before="120"/>
        <w:jc w:val="both"/>
        <w:rPr>
          <w:rFonts w:ascii="Arial" w:hAnsi="Arial" w:cs="Arial"/>
          <w:sz w:val="20"/>
        </w:rPr>
      </w:pPr>
      <w:r w:rsidRPr="00E71C44">
        <w:rPr>
          <w:rFonts w:ascii="Arial" w:hAnsi="Arial" w:cs="Arial"/>
          <w:sz w:val="20"/>
        </w:rPr>
        <w:t>These Guidelines have been developed to assist those conducting litigation in the Supreme Court of Victoria. They are designed to assist both legal practitioners and self-represented litigants. An appendix identifies common terms and defines those terms as they are used in these Guidelines.</w:t>
      </w:r>
    </w:p>
    <w:p w14:paraId="0459D7DA" w14:textId="77777777" w:rsidR="00CB71A0" w:rsidRPr="00E71C44" w:rsidRDefault="00CB71A0" w:rsidP="00CB71A0">
      <w:pPr>
        <w:spacing w:before="120"/>
        <w:jc w:val="both"/>
        <w:rPr>
          <w:rFonts w:ascii="Arial" w:hAnsi="Arial" w:cs="Arial"/>
          <w:sz w:val="20"/>
        </w:rPr>
      </w:pPr>
      <w:r w:rsidRPr="00E71C44">
        <w:rPr>
          <w:rFonts w:ascii="Arial" w:hAnsi="Arial" w:cs="Arial"/>
          <w:sz w:val="20"/>
        </w:rPr>
        <w:t>Artificial intelligence (AI) is a broad concept encompassing many ways in which computer systems collate, synthesize, catalogue and generate selected information. Already AI supplements many computer based search engines and information management systems including those used by the legal profession and courts.</w:t>
      </w:r>
      <w:r>
        <w:rPr>
          <w:rFonts w:ascii="Arial" w:hAnsi="Arial" w:cs="Arial"/>
          <w:sz w:val="20"/>
        </w:rPr>
        <w:t xml:space="preserve"> </w:t>
      </w:r>
      <w:r w:rsidRPr="00E71C44">
        <w:rPr>
          <w:rFonts w:ascii="Arial" w:hAnsi="Arial" w:cs="Arial"/>
          <w:sz w:val="20"/>
        </w:rPr>
        <w:t>The assistance of computers in information management is an important tool for the efficient conduct of litigation. The Court recognises that generative AI tools are already in use in legal settings. The capacity and use of such tools is rapidly increasing.</w:t>
      </w:r>
    </w:p>
    <w:p w14:paraId="05BA69B7" w14:textId="77777777" w:rsidR="00CB71A0" w:rsidRPr="00E71C44" w:rsidRDefault="00CB71A0" w:rsidP="00CB71A0">
      <w:pPr>
        <w:spacing w:before="120"/>
        <w:jc w:val="both"/>
        <w:rPr>
          <w:rFonts w:ascii="Arial" w:hAnsi="Arial" w:cs="Arial"/>
          <w:b/>
          <w:bCs/>
          <w:sz w:val="20"/>
        </w:rPr>
      </w:pPr>
      <w:r w:rsidRPr="00E71C44">
        <w:rPr>
          <w:rFonts w:ascii="Arial" w:hAnsi="Arial" w:cs="Arial"/>
          <w:b/>
          <w:bCs/>
          <w:sz w:val="20"/>
        </w:rPr>
        <w:t>Principles for use of AI by litigants</w:t>
      </w:r>
    </w:p>
    <w:p w14:paraId="5B7648B4"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Parties and practitioners who are using AI tools in the course of litigation should ensure they have an understanding of the manner in which those tools work, as well as their limitations.</w:t>
      </w:r>
    </w:p>
    <w:p w14:paraId="63CFF635"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Parties and practitioners should be aware that the privacy and confidentiality of information and data provided to an external program that provides answers generated by AI may not be guaranteed and the information may not be secure.</w:t>
      </w:r>
    </w:p>
    <w:p w14:paraId="3C2540C5"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The use of AI programs by a</w:t>
      </w:r>
      <w:r>
        <w:rPr>
          <w:rFonts w:ascii="Arial" w:hAnsi="Arial" w:cs="Arial"/>
          <w:sz w:val="20"/>
        </w:rPr>
        <w:t xml:space="preserve"> </w:t>
      </w:r>
      <w:r w:rsidRPr="00E71C44">
        <w:rPr>
          <w:rFonts w:ascii="Arial" w:hAnsi="Arial" w:cs="Arial"/>
          <w:sz w:val="20"/>
        </w:rPr>
        <w:t>party</w:t>
      </w:r>
      <w:r>
        <w:rPr>
          <w:rFonts w:ascii="Arial" w:hAnsi="Arial" w:cs="Arial"/>
          <w:sz w:val="20"/>
        </w:rPr>
        <w:t xml:space="preserve"> </w:t>
      </w:r>
      <w:r w:rsidRPr="00E71C44">
        <w:rPr>
          <w:rFonts w:ascii="Arial" w:hAnsi="Arial" w:cs="Arial"/>
          <w:sz w:val="20"/>
        </w:rPr>
        <w:t>must not indirectly mislead another participant in the litigation process (including the Court) as to the nature of any work undertaken or the content produced by that program. Ordinarily parties and their practitioners should disclose to each other the assistance provided by AI programs to the legal task undertaken. Where appropriate (for example, where it is necessary to enable a proper understanding of the provenance of a document or the weight that can be placed upon its contents), the use of AI should be disclosed to other parties and the court.</w:t>
      </w:r>
    </w:p>
    <w:p w14:paraId="7C32A685"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The use of AI programs to assist in the completion of legal tasks must be subject to the obligations of legal practitioners in the conduct of litigation, including the obligation of candour to the Court and, where applicable, to obligations imposed by the</w:t>
      </w:r>
      <w:r>
        <w:rPr>
          <w:rFonts w:ascii="Arial" w:hAnsi="Arial" w:cs="Arial"/>
          <w:sz w:val="20"/>
        </w:rPr>
        <w:t xml:space="preserve"> </w:t>
      </w:r>
      <w:r w:rsidRPr="00E71C44">
        <w:rPr>
          <w:rFonts w:ascii="Arial" w:hAnsi="Arial" w:cs="Arial"/>
          <w:i/>
          <w:iCs/>
          <w:sz w:val="20"/>
        </w:rPr>
        <w:t>Civil Procedure Act 2010</w:t>
      </w:r>
      <w:r w:rsidRPr="00E71C44">
        <w:rPr>
          <w:rFonts w:ascii="Arial" w:hAnsi="Arial" w:cs="Arial"/>
          <w:sz w:val="20"/>
        </w:rPr>
        <w:t xml:space="preserve">, by </w:t>
      </w:r>
      <w:r w:rsidRPr="00E71C44">
        <w:rPr>
          <w:rFonts w:ascii="Arial" w:hAnsi="Arial" w:cs="Arial"/>
          <w:sz w:val="20"/>
        </w:rPr>
        <w:lastRenderedPageBreak/>
        <w:t>which practitioners and litigants represent that documents prepared and submissions made have a proper basis.</w:t>
      </w:r>
    </w:p>
    <w:p w14:paraId="3E2B3E2B"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Self</w:t>
      </w:r>
      <w:r>
        <w:rPr>
          <w:rFonts w:ascii="Arial" w:hAnsi="Arial" w:cs="Arial"/>
          <w:sz w:val="20"/>
        </w:rPr>
        <w:t>-</w:t>
      </w:r>
      <w:r w:rsidRPr="00E71C44">
        <w:rPr>
          <w:rFonts w:ascii="Arial" w:hAnsi="Arial" w:cs="Arial"/>
          <w:sz w:val="20"/>
        </w:rPr>
        <w:t>represented litigants (and witnesses) who use generative AI to prepare documents are encouraged to identify this by including a statement as to the AI tool used in the document that is to be filed or the report that is prepared. This will not detract from the contents of the document being considered by the relevant judicial officer on its merits but will provide useful context to assist the judicial officer. For example it will assist in forming a more accurate assessment about the level of legal knowledge or experience possessed by a self-represented party.</w:t>
      </w:r>
    </w:p>
    <w:p w14:paraId="1BFCC938" w14:textId="77777777" w:rsidR="00CB71A0" w:rsidRPr="00E71C44" w:rsidRDefault="00CB71A0" w:rsidP="00CB71A0">
      <w:pPr>
        <w:spacing w:before="120"/>
        <w:jc w:val="both"/>
        <w:rPr>
          <w:rFonts w:ascii="Arial" w:hAnsi="Arial" w:cs="Arial"/>
          <w:b/>
          <w:bCs/>
          <w:sz w:val="20"/>
        </w:rPr>
      </w:pPr>
      <w:r w:rsidRPr="00E71C44">
        <w:rPr>
          <w:rFonts w:ascii="Arial" w:hAnsi="Arial" w:cs="Arial"/>
          <w:b/>
          <w:bCs/>
          <w:sz w:val="20"/>
        </w:rPr>
        <w:t>Application of principles</w:t>
      </w:r>
    </w:p>
    <w:p w14:paraId="4BC03BC4"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 xml:space="preserve">AI that can search and identify relevant matters in a closed category of information is presently used with good effect in the Court. An illustration is the use of Technology Assisted Review (TAR) which employs machine learning for large scale document review. Practitioners should consider the use of such options to improve productivity and efficiency consistent with the expectation that use of common technologies is a core skill for lawyers (Practice Note SC </w:t>
      </w:r>
      <w:proofErr w:type="spellStart"/>
      <w:r w:rsidRPr="00E71C44">
        <w:rPr>
          <w:rFonts w:ascii="Arial" w:hAnsi="Arial" w:cs="Arial"/>
          <w:sz w:val="20"/>
        </w:rPr>
        <w:t>Gn</w:t>
      </w:r>
      <w:proofErr w:type="spellEnd"/>
      <w:r>
        <w:rPr>
          <w:rFonts w:ascii="Arial" w:hAnsi="Arial" w:cs="Arial"/>
          <w:sz w:val="20"/>
        </w:rPr>
        <w:t> </w:t>
      </w:r>
      <w:r w:rsidRPr="00E71C44">
        <w:rPr>
          <w:rFonts w:ascii="Arial" w:hAnsi="Arial" w:cs="Arial"/>
          <w:sz w:val="20"/>
        </w:rPr>
        <w:t>5). Use of such technology with co-operation of the parties and appropriate management by the Court is to be encouraged.</w:t>
      </w:r>
    </w:p>
    <w:p w14:paraId="28C1A08D"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Specialised legally focused AI tools appear more likely to be useful and reliable to parties and practitioners involved in litigation than general-purpose tools. Access to specialised legal databases, some of which will make use of AI technologies, is available through the Law Library of Victoria.</w:t>
      </w:r>
    </w:p>
    <w:p w14:paraId="27390C9A" w14:textId="77777777" w:rsidR="00CB71A0"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Generative AI and Large Language Models create output that is not the product of reasoning. Nor are they a legal research tool. They use probability to predict a given sequence of words. Output is determined by the information provided to it and is not presumed to be correct. The use of commercial or freely available public programs such as ChatGPT and Google Gemini, is more likely to produce results that are inaccurate for the purpose of current litigation. Generative AI does not relieve the responsible</w:t>
      </w:r>
      <w:r>
        <w:rPr>
          <w:rFonts w:ascii="Arial" w:hAnsi="Arial" w:cs="Arial"/>
          <w:sz w:val="20"/>
        </w:rPr>
        <w:t xml:space="preserve"> </w:t>
      </w:r>
      <w:r w:rsidRPr="00E71C44">
        <w:rPr>
          <w:rFonts w:ascii="Arial" w:hAnsi="Arial" w:cs="Arial"/>
          <w:sz w:val="20"/>
        </w:rPr>
        <w:t>legal practitioner of the need to exercise</w:t>
      </w:r>
      <w:r>
        <w:rPr>
          <w:rFonts w:ascii="Arial" w:hAnsi="Arial" w:cs="Arial"/>
          <w:sz w:val="20"/>
        </w:rPr>
        <w:t xml:space="preserve"> </w:t>
      </w:r>
      <w:r w:rsidRPr="00E71C44">
        <w:rPr>
          <w:rFonts w:ascii="Arial" w:hAnsi="Arial" w:cs="Arial"/>
          <w:sz w:val="20"/>
        </w:rPr>
        <w:t>judgment</w:t>
      </w:r>
      <w:r>
        <w:rPr>
          <w:rFonts w:ascii="Arial" w:hAnsi="Arial" w:cs="Arial"/>
          <w:sz w:val="20"/>
        </w:rPr>
        <w:t xml:space="preserve"> </w:t>
      </w:r>
      <w:r w:rsidRPr="00E71C44">
        <w:rPr>
          <w:rFonts w:ascii="Arial" w:hAnsi="Arial" w:cs="Arial"/>
          <w:sz w:val="20"/>
        </w:rPr>
        <w:t>and professional skill in reviewing the final product to be provided to the Court. AI generated text should be checked so as not to be:</w:t>
      </w:r>
    </w:p>
    <w:p w14:paraId="52A53F72" w14:textId="77777777" w:rsidR="00CB71A0" w:rsidRPr="00E74F00" w:rsidRDefault="00CB71A0" w:rsidP="00CB71A0">
      <w:pPr>
        <w:pStyle w:val="ListParagraph"/>
        <w:numPr>
          <w:ilvl w:val="1"/>
          <w:numId w:val="170"/>
        </w:numPr>
        <w:spacing w:before="120"/>
        <w:ind w:left="1077" w:hanging="357"/>
        <w:jc w:val="both"/>
        <w:rPr>
          <w:rFonts w:ascii="Arial" w:hAnsi="Arial" w:cs="Arial"/>
          <w:sz w:val="20"/>
        </w:rPr>
      </w:pPr>
      <w:r w:rsidRPr="00E74F00">
        <w:rPr>
          <w:rFonts w:ascii="Arial" w:hAnsi="Arial" w:cs="Arial"/>
          <w:i/>
          <w:iCs/>
          <w:sz w:val="20"/>
        </w:rPr>
        <w:t>out of date</w:t>
      </w:r>
      <w:r w:rsidRPr="00E74F00">
        <w:rPr>
          <w:rFonts w:ascii="Arial" w:hAnsi="Arial" w:cs="Arial"/>
          <w:sz w:val="20"/>
        </w:rPr>
        <w:t>, in that the model used may only have been trained on data up to a certain point in time, and therefore will be unaware of any more recent jurisprudence or other developments in the law that may be relevant to a case;</w:t>
      </w:r>
    </w:p>
    <w:p w14:paraId="287FC78A" w14:textId="77777777" w:rsidR="00CB71A0" w:rsidRDefault="00CB71A0" w:rsidP="00CB71A0">
      <w:pPr>
        <w:pStyle w:val="ListParagraph"/>
        <w:numPr>
          <w:ilvl w:val="1"/>
          <w:numId w:val="170"/>
        </w:numPr>
        <w:spacing w:before="120"/>
        <w:ind w:left="1077" w:hanging="357"/>
        <w:jc w:val="both"/>
        <w:rPr>
          <w:rFonts w:ascii="Arial" w:hAnsi="Arial" w:cs="Arial"/>
          <w:sz w:val="20"/>
        </w:rPr>
      </w:pPr>
      <w:r w:rsidRPr="00E74F00">
        <w:rPr>
          <w:rFonts w:ascii="Arial" w:hAnsi="Arial" w:cs="Arial"/>
          <w:i/>
          <w:iCs/>
          <w:sz w:val="20"/>
        </w:rPr>
        <w:t>incomplete</w:t>
      </w:r>
      <w:r w:rsidRPr="00E74F00">
        <w:rPr>
          <w:rFonts w:ascii="Arial" w:hAnsi="Arial" w:cs="Arial"/>
          <w:sz w:val="20"/>
        </w:rPr>
        <w:t>, in that the tool may not generate material addressing all arguments that a party is required to make or all issues that would be in a party’s interests to cover, and summaries generated by such tools may not contain all relevant points;</w:t>
      </w:r>
    </w:p>
    <w:p w14:paraId="4916CBC7" w14:textId="77777777" w:rsidR="00CB71A0" w:rsidRDefault="00CB71A0" w:rsidP="00CB71A0">
      <w:pPr>
        <w:pStyle w:val="ListParagraph"/>
        <w:numPr>
          <w:ilvl w:val="1"/>
          <w:numId w:val="170"/>
        </w:numPr>
        <w:spacing w:before="120"/>
        <w:ind w:left="1077" w:hanging="357"/>
        <w:jc w:val="both"/>
        <w:rPr>
          <w:rFonts w:ascii="Arial" w:hAnsi="Arial" w:cs="Arial"/>
          <w:sz w:val="20"/>
        </w:rPr>
      </w:pPr>
      <w:r w:rsidRPr="00E74F00">
        <w:rPr>
          <w:rFonts w:ascii="Arial" w:hAnsi="Arial" w:cs="Arial"/>
          <w:i/>
          <w:iCs/>
          <w:sz w:val="20"/>
        </w:rPr>
        <w:t>inaccurate or incorrect</w:t>
      </w:r>
      <w:r w:rsidRPr="00E74F00">
        <w:rPr>
          <w:rFonts w:ascii="Arial" w:hAnsi="Arial" w:cs="Arial"/>
          <w:sz w:val="20"/>
        </w:rPr>
        <w:t>, in that the tool may not produce factually or legally correct output (for example in some situations, users have been adversely affected by placing reliance on made-up cases or incorrect legal propositions);</w:t>
      </w:r>
    </w:p>
    <w:p w14:paraId="0A94788C" w14:textId="77777777" w:rsidR="00CB71A0" w:rsidRDefault="00CB71A0" w:rsidP="00CB71A0">
      <w:pPr>
        <w:pStyle w:val="ListParagraph"/>
        <w:numPr>
          <w:ilvl w:val="1"/>
          <w:numId w:val="170"/>
        </w:numPr>
        <w:spacing w:before="120"/>
        <w:ind w:left="1077" w:hanging="357"/>
        <w:jc w:val="both"/>
        <w:rPr>
          <w:rFonts w:ascii="Arial" w:hAnsi="Arial" w:cs="Arial"/>
          <w:sz w:val="20"/>
        </w:rPr>
      </w:pPr>
      <w:r w:rsidRPr="00E74F00">
        <w:rPr>
          <w:rFonts w:ascii="Arial" w:hAnsi="Arial" w:cs="Arial"/>
          <w:i/>
          <w:iCs/>
          <w:sz w:val="20"/>
        </w:rPr>
        <w:t>inapplicable to the</w:t>
      </w:r>
      <w:r>
        <w:rPr>
          <w:rFonts w:ascii="Arial" w:hAnsi="Arial" w:cs="Arial"/>
          <w:i/>
          <w:iCs/>
          <w:sz w:val="20"/>
        </w:rPr>
        <w:t xml:space="preserve"> </w:t>
      </w:r>
      <w:r w:rsidRPr="00E74F00">
        <w:rPr>
          <w:rFonts w:ascii="Arial" w:hAnsi="Arial" w:cs="Arial"/>
          <w:i/>
          <w:iCs/>
          <w:sz w:val="20"/>
        </w:rPr>
        <w:t>jurisdiction</w:t>
      </w:r>
      <w:r w:rsidRPr="00E74F00">
        <w:rPr>
          <w:rFonts w:ascii="Arial" w:hAnsi="Arial" w:cs="Arial"/>
          <w:sz w:val="20"/>
        </w:rPr>
        <w:t>, as the data used to train the underlying model might be drawn from other jurisdictions with different substantive laws and procedural requirements;</w:t>
      </w:r>
      <w:r>
        <w:rPr>
          <w:rFonts w:ascii="Arial" w:hAnsi="Arial" w:cs="Arial"/>
          <w:sz w:val="20"/>
        </w:rPr>
        <w:t xml:space="preserve"> or</w:t>
      </w:r>
    </w:p>
    <w:p w14:paraId="7CE151DF" w14:textId="77777777" w:rsidR="00CB71A0" w:rsidRPr="00E74F00" w:rsidRDefault="00CB71A0" w:rsidP="00CB71A0">
      <w:pPr>
        <w:pStyle w:val="ListParagraph"/>
        <w:numPr>
          <w:ilvl w:val="1"/>
          <w:numId w:val="170"/>
        </w:numPr>
        <w:spacing w:before="120"/>
        <w:ind w:left="1077" w:hanging="357"/>
        <w:jc w:val="both"/>
        <w:rPr>
          <w:rFonts w:ascii="Arial" w:hAnsi="Arial" w:cs="Arial"/>
          <w:sz w:val="20"/>
        </w:rPr>
      </w:pPr>
      <w:r w:rsidRPr="00E74F00">
        <w:rPr>
          <w:rFonts w:ascii="Arial" w:hAnsi="Arial" w:cs="Arial"/>
          <w:i/>
          <w:iCs/>
          <w:sz w:val="20"/>
        </w:rPr>
        <w:t>biased</w:t>
      </w:r>
      <w:r w:rsidRPr="00E74F00">
        <w:rPr>
          <w:rFonts w:ascii="Arial" w:hAnsi="Arial" w:cs="Arial"/>
          <w:sz w:val="20"/>
        </w:rPr>
        <w:t>, given the model will have been created based on data that the user is unaware of, but which may over- or under-represent certain demographics or otherwise prefer certain viewpoints over others in a way that will not be transparent to users.</w:t>
      </w:r>
    </w:p>
    <w:p w14:paraId="6B0ECEFF"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A party or practitioner signing or certifying a document, filing a document with the Court, or otherwise relying on a document’s contents in a proceeding, remains responsible for accuracy of the content. Whether a court document is signed by an individual or on behalf of a firm, the act of signing a document that is filed with the Court is a representation that the document is considered by those preparing it to be accurate and complete. Reliance on the fact that a document was prepared with the assistance of a generative AI tool is unlikely to be an adequate response to a document that contains errors or omissions.</w:t>
      </w:r>
    </w:p>
    <w:p w14:paraId="3227F790"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Particular caution needs to be exercised if generative AI tools are used to assist in the preparation of affidavit materials, witness statements or other documents created to represent the evidence or opinion of a witness. The relevant witness should ensure that documents are sworn/affirmed or finalised in a manner that reflects that person’s own knowledge and words. Similar considerations arise in the use and identification of such tools in compiling data in the preparation of any expert reports or opinions, and compliance with the Expert Witness Code of Conduct.</w:t>
      </w:r>
    </w:p>
    <w:p w14:paraId="42510A95" w14:textId="77777777" w:rsidR="00CB71A0" w:rsidRPr="00E71C44" w:rsidRDefault="00CB71A0" w:rsidP="00CB71A0">
      <w:pPr>
        <w:spacing w:before="120"/>
        <w:jc w:val="both"/>
        <w:rPr>
          <w:rFonts w:ascii="Arial" w:hAnsi="Arial" w:cs="Arial"/>
          <w:b/>
          <w:bCs/>
          <w:sz w:val="20"/>
        </w:rPr>
      </w:pPr>
      <w:r w:rsidRPr="00E71C44">
        <w:rPr>
          <w:rFonts w:ascii="Arial" w:hAnsi="Arial" w:cs="Arial"/>
          <w:b/>
          <w:bCs/>
          <w:sz w:val="20"/>
        </w:rPr>
        <w:lastRenderedPageBreak/>
        <w:t>Use of AI by Judicial Officers</w:t>
      </w:r>
    </w:p>
    <w:p w14:paraId="3A0FC39B" w14:textId="6F3880FE" w:rsidR="00CB71A0" w:rsidRPr="00C25581" w:rsidRDefault="00CB71A0" w:rsidP="00CB71A0">
      <w:pPr>
        <w:numPr>
          <w:ilvl w:val="0"/>
          <w:numId w:val="169"/>
        </w:numPr>
        <w:spacing w:before="120"/>
        <w:jc w:val="both"/>
        <w:rPr>
          <w:rFonts w:ascii="Arial" w:hAnsi="Arial" w:cs="Arial"/>
          <w:sz w:val="20"/>
          <w:szCs w:val="20"/>
        </w:rPr>
      </w:pPr>
      <w:r w:rsidRPr="00C25581">
        <w:rPr>
          <w:rFonts w:ascii="Arial" w:hAnsi="Arial" w:cs="Arial"/>
          <w:sz w:val="20"/>
          <w:szCs w:val="20"/>
        </w:rPr>
        <w:t>The Australian Institute of Judicial Administration has produced a guide for courts addressing the challenges and opportunities presented by AI tools</w:t>
      </w:r>
      <w:r w:rsidR="00C25581" w:rsidRPr="00C25581">
        <w:rPr>
          <w:rFonts w:ascii="Arial" w:hAnsi="Arial" w:cs="Arial"/>
          <w:sz w:val="20"/>
          <w:szCs w:val="20"/>
        </w:rPr>
        <w:t xml:space="preserve">: </w:t>
      </w:r>
      <w:hyperlink r:id="rId71" w:tgtFrame="_blank" w:history="1">
        <w:r w:rsidR="00C25581" w:rsidRPr="00C25581">
          <w:rPr>
            <w:rStyle w:val="Hyperlink"/>
            <w:rFonts w:ascii="Arial" w:hAnsi="Arial" w:cs="Arial"/>
            <w:b/>
            <w:bCs/>
            <w:sz w:val="20"/>
            <w:szCs w:val="20"/>
          </w:rPr>
          <w:t>https://aija.org.au/publications/ai-decision-making-and-the-courts-a-guide-for-judges-tribunal-members-and-court-administrators/</w:t>
        </w:r>
      </w:hyperlink>
      <w:r w:rsidR="00C25581">
        <w:rPr>
          <w:rFonts w:ascii="Arial" w:hAnsi="Arial" w:cs="Arial"/>
          <w:sz w:val="20"/>
          <w:szCs w:val="20"/>
        </w:rPr>
        <w:t xml:space="preserve">. </w:t>
      </w:r>
      <w:r w:rsidRPr="00C25581">
        <w:rPr>
          <w:rFonts w:ascii="Arial" w:hAnsi="Arial" w:cs="Arial"/>
          <w:sz w:val="20"/>
          <w:szCs w:val="20"/>
        </w:rPr>
        <w:t>The guide emphasises the importance of ensuring that the use of AI tools is consistent with core judicial values of open justice, accountability, impartiality and equality before the law, procedural fairness, access to justice and efficiency.</w:t>
      </w:r>
    </w:p>
    <w:p w14:paraId="09CFE41C" w14:textId="77777777" w:rsidR="00CB71A0" w:rsidRPr="00E71C44" w:rsidRDefault="00CB71A0" w:rsidP="00CB71A0">
      <w:pPr>
        <w:numPr>
          <w:ilvl w:val="0"/>
          <w:numId w:val="169"/>
        </w:numPr>
        <w:spacing w:before="120"/>
        <w:jc w:val="both"/>
        <w:rPr>
          <w:rFonts w:ascii="Arial" w:hAnsi="Arial" w:cs="Arial"/>
          <w:sz w:val="20"/>
        </w:rPr>
      </w:pPr>
      <w:r w:rsidRPr="00E71C44">
        <w:rPr>
          <w:rFonts w:ascii="Arial" w:hAnsi="Arial" w:cs="Arial"/>
          <w:sz w:val="20"/>
        </w:rPr>
        <w:t>AI is not presently used for decision making nor used to develop or prepare reasons for decision because it does not engage in a reasoning process nor a process specific to the circumstance before the court.</w:t>
      </w:r>
    </w:p>
    <w:p w14:paraId="076EAEA3" w14:textId="77777777" w:rsidR="00CB71A0" w:rsidRDefault="00CB71A0" w:rsidP="00CB71A0">
      <w:pPr>
        <w:spacing w:before="120" w:after="120"/>
        <w:jc w:val="both"/>
        <w:rPr>
          <w:rFonts w:ascii="Arial" w:hAnsi="Arial" w:cs="Arial"/>
          <w:b/>
          <w:bCs/>
          <w:sz w:val="20"/>
        </w:rPr>
      </w:pPr>
      <w:r w:rsidRPr="00E71C44">
        <w:rPr>
          <w:rFonts w:ascii="Arial" w:hAnsi="Arial" w:cs="Arial"/>
          <w:b/>
          <w:bCs/>
          <w:sz w:val="20"/>
        </w:rPr>
        <w:t>Glossary</w:t>
      </w:r>
    </w:p>
    <w:tbl>
      <w:tblPr>
        <w:tblStyle w:val="TableGrid"/>
        <w:tblW w:w="0" w:type="auto"/>
        <w:tblLook w:val="04A0" w:firstRow="1" w:lastRow="0" w:firstColumn="1" w:lastColumn="0" w:noHBand="0" w:noVBand="1"/>
      </w:tblPr>
      <w:tblGrid>
        <w:gridCol w:w="2262"/>
        <w:gridCol w:w="6797"/>
      </w:tblGrid>
      <w:tr w:rsidR="00CB71A0" w14:paraId="63607E09" w14:textId="77777777" w:rsidTr="00AA1E20">
        <w:tc>
          <w:tcPr>
            <w:tcW w:w="2262" w:type="dxa"/>
          </w:tcPr>
          <w:p w14:paraId="3C2E59FD" w14:textId="77777777" w:rsidR="00CB71A0" w:rsidRDefault="00CB71A0" w:rsidP="00AA1E20">
            <w:pPr>
              <w:jc w:val="both"/>
              <w:rPr>
                <w:rFonts w:ascii="Arial" w:hAnsi="Arial" w:cs="Arial"/>
                <w:b/>
                <w:bCs/>
                <w:sz w:val="20"/>
              </w:rPr>
            </w:pPr>
            <w:r w:rsidRPr="00E71C44">
              <w:rPr>
                <w:rFonts w:ascii="Arial" w:hAnsi="Arial" w:cs="Arial"/>
                <w:b/>
                <w:bCs/>
                <w:sz w:val="20"/>
              </w:rPr>
              <w:t>Artificial intelligence (AI)</w:t>
            </w:r>
          </w:p>
        </w:tc>
        <w:tc>
          <w:tcPr>
            <w:tcW w:w="6797" w:type="dxa"/>
          </w:tcPr>
          <w:p w14:paraId="593F1048" w14:textId="77777777" w:rsidR="00CB71A0" w:rsidRDefault="00CB71A0" w:rsidP="00AA1E20">
            <w:pPr>
              <w:jc w:val="both"/>
              <w:rPr>
                <w:rFonts w:ascii="Arial" w:hAnsi="Arial" w:cs="Arial"/>
                <w:b/>
                <w:bCs/>
                <w:sz w:val="20"/>
              </w:rPr>
            </w:pPr>
            <w:r w:rsidRPr="00E71C44">
              <w:rPr>
                <w:rFonts w:ascii="Arial" w:hAnsi="Arial" w:cs="Arial"/>
                <w:sz w:val="20"/>
              </w:rPr>
              <w:t>A term describing a range of technologies and techniques used to computationally generate outputs that typically require human intelligence to produce.</w:t>
            </w:r>
          </w:p>
        </w:tc>
      </w:tr>
      <w:tr w:rsidR="00CB71A0" w14:paraId="6ACDB2C0" w14:textId="77777777" w:rsidTr="00AA1E20">
        <w:tc>
          <w:tcPr>
            <w:tcW w:w="2262" w:type="dxa"/>
          </w:tcPr>
          <w:p w14:paraId="07CFFDFC" w14:textId="77777777" w:rsidR="00CB71A0" w:rsidRDefault="00CB71A0" w:rsidP="00AA1E20">
            <w:pPr>
              <w:jc w:val="both"/>
              <w:rPr>
                <w:rFonts w:ascii="Arial" w:hAnsi="Arial" w:cs="Arial"/>
                <w:b/>
                <w:bCs/>
                <w:sz w:val="20"/>
              </w:rPr>
            </w:pPr>
            <w:r w:rsidRPr="00E71C44">
              <w:rPr>
                <w:rFonts w:ascii="Arial" w:hAnsi="Arial" w:cs="Arial"/>
                <w:b/>
                <w:bCs/>
                <w:sz w:val="20"/>
              </w:rPr>
              <w:t>Generative AI</w:t>
            </w:r>
          </w:p>
        </w:tc>
        <w:tc>
          <w:tcPr>
            <w:tcW w:w="6797" w:type="dxa"/>
          </w:tcPr>
          <w:p w14:paraId="514F5070" w14:textId="77777777" w:rsidR="00CB71A0" w:rsidRDefault="00CB71A0" w:rsidP="00AA1E20">
            <w:pPr>
              <w:jc w:val="both"/>
              <w:rPr>
                <w:rFonts w:ascii="Arial" w:hAnsi="Arial" w:cs="Arial"/>
                <w:b/>
                <w:bCs/>
                <w:sz w:val="20"/>
              </w:rPr>
            </w:pPr>
            <w:r w:rsidRPr="00E71C44">
              <w:rPr>
                <w:rFonts w:ascii="Arial" w:hAnsi="Arial" w:cs="Arial"/>
                <w:sz w:val="20"/>
              </w:rPr>
              <w:t>AI systems that are able to produce new output such as text or images, usually based on text prompts provided as an input.</w:t>
            </w:r>
          </w:p>
        </w:tc>
      </w:tr>
      <w:tr w:rsidR="00CB71A0" w14:paraId="22D800CB" w14:textId="77777777" w:rsidTr="00AA1E20">
        <w:tc>
          <w:tcPr>
            <w:tcW w:w="2262" w:type="dxa"/>
          </w:tcPr>
          <w:p w14:paraId="704F5653" w14:textId="77777777" w:rsidR="00CB71A0" w:rsidRDefault="00CB71A0" w:rsidP="00AA1E20">
            <w:pPr>
              <w:jc w:val="both"/>
              <w:rPr>
                <w:rFonts w:ascii="Arial" w:hAnsi="Arial" w:cs="Arial"/>
                <w:b/>
                <w:bCs/>
                <w:sz w:val="20"/>
              </w:rPr>
            </w:pPr>
            <w:r w:rsidRPr="00E71C44">
              <w:rPr>
                <w:rFonts w:ascii="Arial" w:hAnsi="Arial" w:cs="Arial"/>
                <w:b/>
                <w:bCs/>
                <w:sz w:val="20"/>
              </w:rPr>
              <w:t>Machine learning (ML)</w:t>
            </w:r>
          </w:p>
        </w:tc>
        <w:tc>
          <w:tcPr>
            <w:tcW w:w="6797" w:type="dxa"/>
          </w:tcPr>
          <w:p w14:paraId="2EAFA19E" w14:textId="77777777" w:rsidR="00CB71A0" w:rsidRDefault="00CB71A0" w:rsidP="00AA1E20">
            <w:pPr>
              <w:jc w:val="both"/>
              <w:rPr>
                <w:rFonts w:ascii="Arial" w:hAnsi="Arial" w:cs="Arial"/>
                <w:b/>
                <w:bCs/>
                <w:sz w:val="20"/>
              </w:rPr>
            </w:pPr>
            <w:r w:rsidRPr="00E71C44">
              <w:rPr>
                <w:rFonts w:ascii="Arial" w:hAnsi="Arial" w:cs="Arial"/>
                <w:sz w:val="20"/>
              </w:rPr>
              <w:t>An area of AI involving systems making decisions based on their analysis of data initially provided to them, and then learning from their experience in order to produce better results.</w:t>
            </w:r>
          </w:p>
        </w:tc>
      </w:tr>
      <w:tr w:rsidR="00CB71A0" w14:paraId="0A458F78" w14:textId="77777777" w:rsidTr="00AA1E20">
        <w:tc>
          <w:tcPr>
            <w:tcW w:w="2262" w:type="dxa"/>
          </w:tcPr>
          <w:p w14:paraId="53A32FC8" w14:textId="77777777" w:rsidR="00CB71A0" w:rsidRDefault="00CB71A0" w:rsidP="00AA1E20">
            <w:pPr>
              <w:jc w:val="both"/>
              <w:rPr>
                <w:rFonts w:ascii="Arial" w:hAnsi="Arial" w:cs="Arial"/>
                <w:b/>
                <w:bCs/>
                <w:sz w:val="20"/>
              </w:rPr>
            </w:pPr>
            <w:r w:rsidRPr="00E71C44">
              <w:rPr>
                <w:rFonts w:ascii="Arial" w:hAnsi="Arial" w:cs="Arial"/>
                <w:b/>
                <w:bCs/>
                <w:sz w:val="20"/>
              </w:rPr>
              <w:t>Large language models (LLMs)</w:t>
            </w:r>
          </w:p>
        </w:tc>
        <w:tc>
          <w:tcPr>
            <w:tcW w:w="6797" w:type="dxa"/>
          </w:tcPr>
          <w:p w14:paraId="366CE2CC" w14:textId="77777777" w:rsidR="00CB71A0" w:rsidRDefault="00CB71A0" w:rsidP="00AA1E20">
            <w:pPr>
              <w:jc w:val="both"/>
              <w:rPr>
                <w:rFonts w:ascii="Arial" w:hAnsi="Arial" w:cs="Arial"/>
                <w:b/>
                <w:bCs/>
                <w:sz w:val="20"/>
              </w:rPr>
            </w:pPr>
            <w:r w:rsidRPr="00E71C44">
              <w:rPr>
                <w:rFonts w:ascii="Arial" w:hAnsi="Arial" w:cs="Arial"/>
                <w:sz w:val="20"/>
              </w:rPr>
              <w:t>A type of model generated from training on an extremely large amount of text data, which can be used to understand and generate natural-language text.</w:t>
            </w:r>
          </w:p>
        </w:tc>
      </w:tr>
      <w:tr w:rsidR="00CB71A0" w14:paraId="48537B19" w14:textId="77777777" w:rsidTr="00AA1E20">
        <w:tc>
          <w:tcPr>
            <w:tcW w:w="2262" w:type="dxa"/>
          </w:tcPr>
          <w:p w14:paraId="299D9C87" w14:textId="77777777" w:rsidR="00CB71A0" w:rsidRDefault="00CB71A0" w:rsidP="00AA1E20">
            <w:pPr>
              <w:jc w:val="both"/>
              <w:rPr>
                <w:rFonts w:ascii="Arial" w:hAnsi="Arial" w:cs="Arial"/>
                <w:b/>
                <w:bCs/>
                <w:sz w:val="20"/>
              </w:rPr>
            </w:pPr>
            <w:r w:rsidRPr="00E71C44">
              <w:rPr>
                <w:rFonts w:ascii="Arial" w:hAnsi="Arial" w:cs="Arial"/>
                <w:b/>
                <w:bCs/>
                <w:sz w:val="20"/>
              </w:rPr>
              <w:t>Training data</w:t>
            </w:r>
          </w:p>
        </w:tc>
        <w:tc>
          <w:tcPr>
            <w:tcW w:w="6797" w:type="dxa"/>
          </w:tcPr>
          <w:p w14:paraId="1E8AA7C9" w14:textId="77777777" w:rsidR="00CB71A0" w:rsidRDefault="00CB71A0" w:rsidP="00AA1E20">
            <w:pPr>
              <w:jc w:val="both"/>
              <w:rPr>
                <w:rFonts w:ascii="Arial" w:hAnsi="Arial" w:cs="Arial"/>
                <w:b/>
                <w:bCs/>
                <w:sz w:val="20"/>
              </w:rPr>
            </w:pPr>
            <w:r w:rsidRPr="00E71C44">
              <w:rPr>
                <w:rFonts w:ascii="Arial" w:hAnsi="Arial" w:cs="Arial"/>
                <w:sz w:val="20"/>
              </w:rPr>
              <w:t>The ‘inputs’ used for a machine learning algorithm with which a model is developed to perform classifications or make decisions about other data subsequently. The training data that is used heavily affects the outputs that a model can be used to produce, meaning any biases or undesirable features present in the training data can therefore also be present in the outputs produced by a system that uses the resulting model.</w:t>
            </w:r>
          </w:p>
        </w:tc>
      </w:tr>
      <w:tr w:rsidR="00CB71A0" w14:paraId="73FCE097" w14:textId="77777777" w:rsidTr="00AA1E20">
        <w:tc>
          <w:tcPr>
            <w:tcW w:w="2262" w:type="dxa"/>
          </w:tcPr>
          <w:p w14:paraId="45A646F2" w14:textId="77777777" w:rsidR="00CB71A0" w:rsidRDefault="00CB71A0" w:rsidP="00AA1E20">
            <w:pPr>
              <w:jc w:val="both"/>
              <w:rPr>
                <w:rFonts w:ascii="Arial" w:hAnsi="Arial" w:cs="Arial"/>
                <w:b/>
                <w:bCs/>
                <w:sz w:val="20"/>
              </w:rPr>
            </w:pPr>
            <w:r w:rsidRPr="00E71C44">
              <w:rPr>
                <w:rFonts w:ascii="Arial" w:hAnsi="Arial" w:cs="Arial"/>
                <w:b/>
                <w:bCs/>
                <w:sz w:val="20"/>
              </w:rPr>
              <w:t>Model</w:t>
            </w:r>
          </w:p>
        </w:tc>
        <w:tc>
          <w:tcPr>
            <w:tcW w:w="6797" w:type="dxa"/>
          </w:tcPr>
          <w:p w14:paraId="16FC9C17" w14:textId="77777777" w:rsidR="00CB71A0" w:rsidRDefault="00CB71A0" w:rsidP="00AA1E20">
            <w:pPr>
              <w:jc w:val="both"/>
              <w:rPr>
                <w:rFonts w:ascii="Arial" w:hAnsi="Arial" w:cs="Arial"/>
                <w:b/>
                <w:bCs/>
                <w:sz w:val="20"/>
              </w:rPr>
            </w:pPr>
            <w:r w:rsidRPr="00E71C44">
              <w:rPr>
                <w:rFonts w:ascii="Arial" w:hAnsi="Arial" w:cs="Arial"/>
                <w:sz w:val="20"/>
              </w:rPr>
              <w:t>The information used by an AI system to draw inferences or make decisions. The model is generated from the application of machine learning algorithms to a set of training data.</w:t>
            </w:r>
          </w:p>
        </w:tc>
      </w:tr>
      <w:tr w:rsidR="00CB71A0" w14:paraId="16575494" w14:textId="77777777" w:rsidTr="00AA1E20">
        <w:tc>
          <w:tcPr>
            <w:tcW w:w="2262" w:type="dxa"/>
          </w:tcPr>
          <w:p w14:paraId="4740F093" w14:textId="77777777" w:rsidR="00CB71A0" w:rsidRPr="00E71C44" w:rsidRDefault="00CB71A0" w:rsidP="00AA1E20">
            <w:pPr>
              <w:jc w:val="both"/>
              <w:rPr>
                <w:rFonts w:ascii="Arial" w:hAnsi="Arial" w:cs="Arial"/>
                <w:b/>
                <w:bCs/>
                <w:sz w:val="20"/>
              </w:rPr>
            </w:pPr>
            <w:r w:rsidRPr="00E71C44">
              <w:rPr>
                <w:rFonts w:ascii="Arial" w:hAnsi="Arial" w:cs="Arial"/>
                <w:b/>
                <w:bCs/>
                <w:sz w:val="20"/>
              </w:rPr>
              <w:t>Technology-assisted review (TAR)</w:t>
            </w:r>
          </w:p>
        </w:tc>
        <w:tc>
          <w:tcPr>
            <w:tcW w:w="6797" w:type="dxa"/>
          </w:tcPr>
          <w:p w14:paraId="215A0AA6" w14:textId="77777777" w:rsidR="00CB71A0" w:rsidRDefault="00CB71A0" w:rsidP="00AA1E20">
            <w:pPr>
              <w:jc w:val="both"/>
              <w:rPr>
                <w:rFonts w:ascii="Arial" w:hAnsi="Arial" w:cs="Arial"/>
                <w:b/>
                <w:bCs/>
                <w:sz w:val="20"/>
              </w:rPr>
            </w:pPr>
            <w:r w:rsidRPr="00E71C44">
              <w:rPr>
                <w:rFonts w:ascii="Arial" w:hAnsi="Arial" w:cs="Arial"/>
                <w:sz w:val="20"/>
              </w:rPr>
              <w:t>An application of machine learning that is sometimes used in large discovery exercises in litigation, in which a computer system is used to identify and classify documents likely to be relevant to the issues in dispute in a case based on a smaller set of initial human-reviewed documents. The system subsequently ‘learns’ and refines its decision-making based on further human review of its outputs, enabling the semi-automated review of large volumes of data while only requiring human decision-making over a smaller subset of that material.</w:t>
            </w:r>
          </w:p>
        </w:tc>
      </w:tr>
    </w:tbl>
    <w:p w14:paraId="2F54762D" w14:textId="77777777" w:rsidR="00CB71A0" w:rsidRDefault="00CB71A0" w:rsidP="00CB71A0">
      <w:pPr>
        <w:jc w:val="both"/>
        <w:rPr>
          <w:rFonts w:ascii="Helvetica" w:hAnsi="Helvetica"/>
          <w:color w:val="000000"/>
          <w:sz w:val="20"/>
        </w:rPr>
      </w:pPr>
    </w:p>
    <w:p w14:paraId="7FA7578E" w14:textId="29E28F19" w:rsidR="000D4D13" w:rsidRDefault="00CB71A0" w:rsidP="00CB71A0">
      <w:pPr>
        <w:jc w:val="both"/>
        <w:rPr>
          <w:rFonts w:ascii="Arial" w:hAnsi="Arial" w:cs="Arial"/>
          <w:sz w:val="20"/>
        </w:rPr>
      </w:pPr>
      <w:r>
        <w:rPr>
          <w:rFonts w:ascii="Helvetica" w:hAnsi="Helvetica"/>
          <w:color w:val="000000"/>
          <w:sz w:val="20"/>
        </w:rPr>
        <w:t xml:space="preserve">In </w:t>
      </w:r>
      <w:r w:rsidR="00C25581" w:rsidRPr="00C25581">
        <w:rPr>
          <w:rFonts w:ascii="Helvetica" w:hAnsi="Helvetica"/>
          <w:i/>
          <w:iCs/>
          <w:color w:val="000000"/>
          <w:sz w:val="20"/>
        </w:rPr>
        <w:t>Re Walker</w:t>
      </w:r>
      <w:r w:rsidR="00C25581">
        <w:rPr>
          <w:rFonts w:ascii="Helvetica" w:hAnsi="Helvetica"/>
          <w:color w:val="000000"/>
          <w:sz w:val="20"/>
        </w:rPr>
        <w:t xml:space="preserve"> [2025] VSC 714 </w:t>
      </w:r>
      <w:r w:rsidR="00E33D18">
        <w:rPr>
          <w:rFonts w:ascii="Helvetica" w:hAnsi="Helvetica"/>
          <w:color w:val="000000"/>
          <w:sz w:val="20"/>
        </w:rPr>
        <w:t xml:space="preserve">Ms </w:t>
      </w:r>
      <w:r w:rsidR="005C2B86">
        <w:rPr>
          <w:rFonts w:ascii="Helvetica" w:hAnsi="Helvetica"/>
          <w:color w:val="000000"/>
          <w:sz w:val="20"/>
        </w:rPr>
        <w:t>[</w:t>
      </w:r>
      <w:r w:rsidR="00E33D18">
        <w:rPr>
          <w:rFonts w:ascii="Helvetica" w:hAnsi="Helvetica"/>
          <w:color w:val="000000"/>
          <w:sz w:val="20"/>
        </w:rPr>
        <w:t>R</w:t>
      </w:r>
      <w:r w:rsidR="005C2B86">
        <w:rPr>
          <w:rFonts w:ascii="Helvetica" w:hAnsi="Helvetica"/>
          <w:color w:val="000000"/>
          <w:sz w:val="20"/>
        </w:rPr>
        <w:t>]</w:t>
      </w:r>
      <w:r w:rsidR="00E33D18">
        <w:rPr>
          <w:rFonts w:ascii="Helvetica" w:hAnsi="Helvetica"/>
          <w:color w:val="000000"/>
          <w:sz w:val="20"/>
        </w:rPr>
        <w:t xml:space="preserve">, </w:t>
      </w:r>
      <w:r w:rsidR="00C25581">
        <w:rPr>
          <w:rFonts w:ascii="Helvetica" w:hAnsi="Helvetica"/>
          <w:color w:val="000000"/>
          <w:sz w:val="20"/>
        </w:rPr>
        <w:t>the solicitor for the defendant</w:t>
      </w:r>
      <w:r w:rsidR="00E33D18">
        <w:rPr>
          <w:rFonts w:ascii="Helvetica" w:hAnsi="Helvetica"/>
          <w:color w:val="000000"/>
          <w:sz w:val="20"/>
        </w:rPr>
        <w:t xml:space="preserve">, </w:t>
      </w:r>
      <w:r w:rsidR="00C25581">
        <w:rPr>
          <w:rFonts w:ascii="Helvetica" w:hAnsi="Helvetica"/>
          <w:color w:val="000000"/>
          <w:sz w:val="20"/>
        </w:rPr>
        <w:t>had used artificial intelligence to prepare written submissions filed with the Court in challenging an application for grant of probate. In her submission</w:t>
      </w:r>
      <w:r w:rsidR="005C2B86">
        <w:rPr>
          <w:rFonts w:ascii="Helvetica" w:hAnsi="Helvetica"/>
          <w:color w:val="000000"/>
          <w:sz w:val="20"/>
        </w:rPr>
        <w:t>s</w:t>
      </w:r>
      <w:r w:rsidR="00C25581">
        <w:rPr>
          <w:rFonts w:ascii="Helvetica" w:hAnsi="Helvetica"/>
          <w:color w:val="000000"/>
          <w:sz w:val="20"/>
        </w:rPr>
        <w:t xml:space="preserve"> </w:t>
      </w:r>
      <w:r w:rsidR="000D4D13">
        <w:rPr>
          <w:rFonts w:ascii="Helvetica" w:hAnsi="Helvetica"/>
          <w:color w:val="000000"/>
          <w:sz w:val="20"/>
        </w:rPr>
        <w:t>the solicitor had placed reliance on non-existent or hallucinated case references and had not verified the accuracy of citations, thereby failing to comply</w:t>
      </w:r>
      <w:r w:rsidR="000D4D13" w:rsidRPr="000D4D13">
        <w:rPr>
          <w:rFonts w:ascii="Helvetica" w:hAnsi="Helvetica"/>
          <w:color w:val="000000"/>
          <w:sz w:val="20"/>
        </w:rPr>
        <w:t xml:space="preserve"> with the Supreme Court </w:t>
      </w:r>
      <w:r w:rsidR="000D4D13" w:rsidRPr="005C2B86">
        <w:rPr>
          <w:rFonts w:ascii="Helvetica" w:hAnsi="Helvetica"/>
          <w:b/>
          <w:bCs/>
          <w:color w:val="000000"/>
          <w:sz w:val="20"/>
        </w:rPr>
        <w:t xml:space="preserve">Guidelines for </w:t>
      </w:r>
      <w:r w:rsidR="000D4D13" w:rsidRPr="005C2B86">
        <w:rPr>
          <w:rFonts w:ascii="Arial" w:hAnsi="Arial" w:cs="Arial"/>
          <w:b/>
          <w:bCs/>
          <w:sz w:val="20"/>
        </w:rPr>
        <w:t>Responsible use of artificial intelligence in litigation</w:t>
      </w:r>
      <w:r w:rsidR="000D4D13" w:rsidRPr="000D4D13">
        <w:rPr>
          <w:rFonts w:ascii="Arial" w:hAnsi="Arial" w:cs="Arial"/>
          <w:sz w:val="20"/>
        </w:rPr>
        <w:t>.</w:t>
      </w:r>
      <w:r w:rsidR="000D4D13">
        <w:rPr>
          <w:rFonts w:ascii="Arial" w:hAnsi="Arial" w:cs="Arial"/>
          <w:sz w:val="20"/>
        </w:rPr>
        <w:t xml:space="preserve"> After discussing the judgment of Elliott J in </w:t>
      </w:r>
      <w:r w:rsidR="000D4D13" w:rsidRPr="008017AC">
        <w:rPr>
          <w:rFonts w:ascii="Arial" w:hAnsi="Arial" w:cs="Arial"/>
          <w:i/>
          <w:iCs/>
          <w:sz w:val="20"/>
        </w:rPr>
        <w:t>D</w:t>
      </w:r>
      <w:r w:rsidR="005C2B86">
        <w:rPr>
          <w:rFonts w:ascii="Arial" w:hAnsi="Arial" w:cs="Arial"/>
          <w:i/>
          <w:iCs/>
          <w:sz w:val="20"/>
        </w:rPr>
        <w:t>PP</w:t>
      </w:r>
      <w:r w:rsidR="000D4D13" w:rsidRPr="008017AC">
        <w:rPr>
          <w:rFonts w:ascii="Arial" w:hAnsi="Arial" w:cs="Arial"/>
          <w:i/>
          <w:iCs/>
          <w:sz w:val="20"/>
        </w:rPr>
        <w:t xml:space="preserve"> v GR</w:t>
      </w:r>
      <w:r w:rsidR="000D4D13">
        <w:rPr>
          <w:rFonts w:ascii="Arial" w:hAnsi="Arial" w:cs="Arial"/>
          <w:sz w:val="20"/>
        </w:rPr>
        <w:t xml:space="preserve"> [2025] VSC 490, Moore J reiterated at [61]: “</w:t>
      </w:r>
      <w:r w:rsidR="000D4D13" w:rsidRPr="000D4D13">
        <w:rPr>
          <w:rFonts w:ascii="Arial" w:hAnsi="Arial" w:cs="Arial"/>
          <w:sz w:val="20"/>
        </w:rPr>
        <w:t>It is not acceptable for artificial intelligence to be used by solicitors or barristers in the production of court documents, unless the product of that use is independently and thoroughly verified.</w:t>
      </w:r>
      <w:r w:rsidR="000D4D13">
        <w:rPr>
          <w:rFonts w:ascii="Arial" w:hAnsi="Arial" w:cs="Arial"/>
          <w:sz w:val="20"/>
        </w:rPr>
        <w:t xml:space="preserve">” </w:t>
      </w:r>
      <w:r w:rsidR="00E33D18">
        <w:rPr>
          <w:rFonts w:ascii="Arial" w:hAnsi="Arial" w:cs="Arial"/>
          <w:sz w:val="20"/>
        </w:rPr>
        <w:t>A</w:t>
      </w:r>
      <w:r w:rsidR="005C2B86">
        <w:rPr>
          <w:rFonts w:ascii="Arial" w:hAnsi="Arial" w:cs="Arial"/>
          <w:sz w:val="20"/>
        </w:rPr>
        <w:t>nd a</w:t>
      </w:r>
      <w:r w:rsidR="000D4D13">
        <w:rPr>
          <w:rFonts w:ascii="Arial" w:hAnsi="Arial" w:cs="Arial"/>
          <w:sz w:val="20"/>
        </w:rPr>
        <w:t xml:space="preserve">t [78]-[79] </w:t>
      </w:r>
      <w:r w:rsidR="00E33D18">
        <w:rPr>
          <w:rFonts w:ascii="Arial" w:hAnsi="Arial" w:cs="Arial"/>
          <w:sz w:val="20"/>
        </w:rPr>
        <w:t>Moore J said [emphasis added]:</w:t>
      </w:r>
    </w:p>
    <w:p w14:paraId="03EC9472" w14:textId="27011DC0" w:rsidR="00E33D18" w:rsidRDefault="00E33D18" w:rsidP="00E33D18">
      <w:pPr>
        <w:spacing w:before="60"/>
        <w:ind w:left="567" w:right="567"/>
        <w:jc w:val="both"/>
        <w:rPr>
          <w:rFonts w:ascii="Arial" w:hAnsi="Arial" w:cs="Arial"/>
          <w:sz w:val="20"/>
        </w:rPr>
      </w:pPr>
      <w:r>
        <w:rPr>
          <w:rFonts w:ascii="Arial" w:hAnsi="Arial" w:cs="Arial"/>
          <w:sz w:val="20"/>
        </w:rPr>
        <w:t xml:space="preserve">[78] “…Ms </w:t>
      </w:r>
      <w:r w:rsidR="005C2B86">
        <w:rPr>
          <w:rFonts w:ascii="Arial" w:hAnsi="Arial" w:cs="Arial"/>
          <w:sz w:val="20"/>
        </w:rPr>
        <w:t>[</w:t>
      </w:r>
      <w:r>
        <w:rPr>
          <w:rFonts w:ascii="Arial" w:hAnsi="Arial" w:cs="Arial"/>
          <w:sz w:val="20"/>
        </w:rPr>
        <w:t>R</w:t>
      </w:r>
      <w:r w:rsidR="005C2B86">
        <w:rPr>
          <w:rFonts w:ascii="Arial" w:hAnsi="Arial" w:cs="Arial"/>
          <w:sz w:val="20"/>
        </w:rPr>
        <w:t>]</w:t>
      </w:r>
      <w:r>
        <w:rPr>
          <w:rFonts w:ascii="Arial" w:hAnsi="Arial" w:cs="Arial"/>
          <w:sz w:val="20"/>
        </w:rPr>
        <w:t xml:space="preserve"> </w:t>
      </w:r>
      <w:r w:rsidR="000D4D13" w:rsidRPr="000D4D13">
        <w:rPr>
          <w:rFonts w:ascii="Arial" w:hAnsi="Arial" w:cs="Arial"/>
          <w:sz w:val="20"/>
        </w:rPr>
        <w:t>responded to the matters raised by chambers by, amongst other things, correcting the name of one of the authorities to which she referred in her submissions. She referred to this again in her affidavit.</w:t>
      </w:r>
      <w:r>
        <w:rPr>
          <w:rFonts w:ascii="Arial" w:hAnsi="Arial" w:cs="Arial"/>
          <w:sz w:val="20"/>
        </w:rPr>
        <w:t xml:space="preserve"> </w:t>
      </w:r>
      <w:r w:rsidR="000D4D13" w:rsidRPr="000D4D13">
        <w:rPr>
          <w:rFonts w:ascii="Arial" w:hAnsi="Arial" w:cs="Arial"/>
          <w:sz w:val="20"/>
        </w:rPr>
        <w:t xml:space="preserve">However, upon examination, the corrected authority, which concerned the making of a statutory will, had no relevance to the passing-over application, and no explanation was provided in Ms </w:t>
      </w:r>
      <w:r w:rsidR="005C2B86">
        <w:rPr>
          <w:rFonts w:ascii="Arial" w:hAnsi="Arial" w:cs="Arial"/>
          <w:sz w:val="20"/>
        </w:rPr>
        <w:t>[</w:t>
      </w:r>
      <w:r w:rsidR="000D4D13" w:rsidRPr="000D4D13">
        <w:rPr>
          <w:rFonts w:ascii="Arial" w:hAnsi="Arial" w:cs="Arial"/>
          <w:sz w:val="20"/>
        </w:rPr>
        <w:t>R</w:t>
      </w:r>
      <w:r w:rsidR="005C2B86">
        <w:rPr>
          <w:rFonts w:ascii="Arial" w:hAnsi="Arial" w:cs="Arial"/>
          <w:sz w:val="20"/>
        </w:rPr>
        <w:t>]</w:t>
      </w:r>
      <w:r w:rsidR="000D4D13" w:rsidRPr="000D4D13">
        <w:rPr>
          <w:rFonts w:ascii="Arial" w:hAnsi="Arial" w:cs="Arial"/>
          <w:sz w:val="20"/>
        </w:rPr>
        <w:t xml:space="preserve">’s submissions for the continued reference to and apparent reliance on it. This diminishes the value of Ms </w:t>
      </w:r>
      <w:r w:rsidR="005C2B86">
        <w:rPr>
          <w:rFonts w:ascii="Arial" w:hAnsi="Arial" w:cs="Arial"/>
          <w:sz w:val="20"/>
        </w:rPr>
        <w:t>[</w:t>
      </w:r>
      <w:r w:rsidR="000D4D13" w:rsidRPr="000D4D13">
        <w:rPr>
          <w:rFonts w:ascii="Arial" w:hAnsi="Arial" w:cs="Arial"/>
          <w:sz w:val="20"/>
        </w:rPr>
        <w:t>R</w:t>
      </w:r>
      <w:r w:rsidR="005C2B86">
        <w:rPr>
          <w:rFonts w:ascii="Arial" w:hAnsi="Arial" w:cs="Arial"/>
          <w:sz w:val="20"/>
        </w:rPr>
        <w:t>]</w:t>
      </w:r>
      <w:r w:rsidR="000D4D13" w:rsidRPr="000D4D13">
        <w:rPr>
          <w:rFonts w:ascii="Arial" w:hAnsi="Arial" w:cs="Arial"/>
          <w:sz w:val="20"/>
        </w:rPr>
        <w:t>’s acknowledgment of the importance of legal practitioners reading authorities on which they</w:t>
      </w:r>
      <w:r>
        <w:rPr>
          <w:rFonts w:ascii="Arial" w:hAnsi="Arial" w:cs="Arial"/>
          <w:sz w:val="20"/>
        </w:rPr>
        <w:t xml:space="preserve"> rely </w:t>
      </w:r>
      <w:r w:rsidR="000D4D13" w:rsidRPr="000D4D13">
        <w:rPr>
          <w:rFonts w:ascii="Arial" w:hAnsi="Arial" w:cs="Arial"/>
          <w:sz w:val="20"/>
        </w:rPr>
        <w:t xml:space="preserve">in submissions and suggests the adoption of a superficial approach to the requirement in paragraph 8 of the Guidelines that practitioners check the product generated by AI so as to ensure its accuracy. </w:t>
      </w:r>
      <w:r w:rsidR="000D4D13" w:rsidRPr="00E33D18">
        <w:rPr>
          <w:rFonts w:ascii="Arial" w:hAnsi="Arial" w:cs="Arial"/>
          <w:b/>
          <w:bCs/>
          <w:sz w:val="20"/>
        </w:rPr>
        <w:t>A practitioner does not discharge that obligation by merely ensuring the accuracy of the citation of authorities generated by AI without also confirming their relevance</w:t>
      </w:r>
      <w:r w:rsidR="000D4D13" w:rsidRPr="000D4D13">
        <w:rPr>
          <w:rFonts w:ascii="Arial" w:hAnsi="Arial" w:cs="Arial"/>
          <w:sz w:val="20"/>
        </w:rPr>
        <w:t>.</w:t>
      </w:r>
    </w:p>
    <w:p w14:paraId="20E3C590" w14:textId="3853A680" w:rsidR="000D4D13" w:rsidRDefault="00E33D18" w:rsidP="00E33D18">
      <w:pPr>
        <w:spacing w:before="60"/>
        <w:ind w:left="567" w:right="567"/>
        <w:jc w:val="both"/>
        <w:rPr>
          <w:rFonts w:ascii="Arial" w:hAnsi="Arial" w:cs="Arial"/>
          <w:sz w:val="20"/>
        </w:rPr>
      </w:pPr>
      <w:r>
        <w:rPr>
          <w:rFonts w:ascii="Arial" w:hAnsi="Arial" w:cs="Arial"/>
          <w:sz w:val="20"/>
        </w:rPr>
        <w:lastRenderedPageBreak/>
        <w:t>[</w:t>
      </w:r>
      <w:r w:rsidR="000D4D13" w:rsidRPr="000D4D13">
        <w:rPr>
          <w:rFonts w:ascii="Arial" w:hAnsi="Arial" w:cs="Arial"/>
          <w:sz w:val="20"/>
        </w:rPr>
        <w:t>79</w:t>
      </w:r>
      <w:r>
        <w:rPr>
          <w:rFonts w:ascii="Arial" w:hAnsi="Arial" w:cs="Arial"/>
          <w:sz w:val="20"/>
        </w:rPr>
        <w:t>]</w:t>
      </w:r>
      <w:r w:rsidR="000D4D13" w:rsidRPr="000D4D13">
        <w:rPr>
          <w:rFonts w:ascii="Arial" w:hAnsi="Arial" w:cs="Arial"/>
          <w:sz w:val="20"/>
        </w:rPr>
        <w:t xml:space="preserve"> The rules of professional conduct also prohibit legal practitioners from engaging in conduct which is likely, to a material degree, to be prejudicial to, or diminish, public confidence in the administration of justice</w:t>
      </w:r>
      <w:r w:rsidR="00400235">
        <w:rPr>
          <w:rFonts w:ascii="Arial" w:hAnsi="Arial" w:cs="Arial"/>
          <w:sz w:val="20"/>
        </w:rPr>
        <w:t>: R</w:t>
      </w:r>
      <w:r w:rsidR="000D4D13" w:rsidRPr="000D4D13">
        <w:rPr>
          <w:rFonts w:ascii="Arial" w:hAnsi="Arial" w:cs="Arial"/>
          <w:sz w:val="20"/>
        </w:rPr>
        <w:t xml:space="preserve">ule 5.1.2(i) of the </w:t>
      </w:r>
      <w:r w:rsidR="000D4D13" w:rsidRPr="005C2B86">
        <w:rPr>
          <w:rFonts w:ascii="Arial" w:hAnsi="Arial" w:cs="Arial"/>
          <w:i/>
          <w:iCs/>
          <w:sz w:val="20"/>
        </w:rPr>
        <w:t>Legal Profession Uniform Law Australian Solicitors’ Conduct Rules 2015</w:t>
      </w:r>
      <w:r w:rsidR="000D4D13" w:rsidRPr="000D4D13">
        <w:rPr>
          <w:rFonts w:ascii="Arial" w:hAnsi="Arial" w:cs="Arial"/>
          <w:sz w:val="20"/>
        </w:rPr>
        <w:t xml:space="preserve">. </w:t>
      </w:r>
      <w:r w:rsidR="00400235" w:rsidRPr="000D4D13">
        <w:rPr>
          <w:rFonts w:ascii="Arial" w:hAnsi="Arial" w:cs="Arial"/>
          <w:sz w:val="20"/>
        </w:rPr>
        <w:t xml:space="preserve">I am satisfied that Ms </w:t>
      </w:r>
      <w:r w:rsidR="005C2B86">
        <w:rPr>
          <w:rFonts w:ascii="Arial" w:hAnsi="Arial" w:cs="Arial"/>
          <w:sz w:val="20"/>
        </w:rPr>
        <w:t>[</w:t>
      </w:r>
      <w:r w:rsidR="00400235" w:rsidRPr="000D4D13">
        <w:rPr>
          <w:rFonts w:ascii="Arial" w:hAnsi="Arial" w:cs="Arial"/>
          <w:sz w:val="20"/>
        </w:rPr>
        <w:t>R</w:t>
      </w:r>
      <w:r w:rsidR="005C2B86">
        <w:rPr>
          <w:rFonts w:ascii="Arial" w:hAnsi="Arial" w:cs="Arial"/>
          <w:sz w:val="20"/>
        </w:rPr>
        <w:t>]</w:t>
      </w:r>
      <w:r w:rsidR="00400235" w:rsidRPr="000D4D13">
        <w:rPr>
          <w:rFonts w:ascii="Arial" w:hAnsi="Arial" w:cs="Arial"/>
          <w:sz w:val="20"/>
        </w:rPr>
        <w:t xml:space="preserve">’s failure </w:t>
      </w:r>
      <w:r w:rsidR="000D4D13" w:rsidRPr="000D4D13">
        <w:rPr>
          <w:rFonts w:ascii="Arial" w:hAnsi="Arial" w:cs="Arial"/>
          <w:sz w:val="20"/>
        </w:rPr>
        <w:t xml:space="preserve">to observe the requirements imposed by the Guidelines and the preparation and filing of submissions containing non-existent authorities generated by AI tools is conduct of this character. This is because, as stated by Elliott J in </w:t>
      </w:r>
      <w:r w:rsidR="000D4D13" w:rsidRPr="00400235">
        <w:rPr>
          <w:rFonts w:ascii="Arial" w:hAnsi="Arial" w:cs="Arial"/>
          <w:i/>
          <w:iCs/>
          <w:sz w:val="20"/>
        </w:rPr>
        <w:t>DPP v GR</w:t>
      </w:r>
      <w:r w:rsidR="000D4D13" w:rsidRPr="000D4D13">
        <w:rPr>
          <w:rFonts w:ascii="Arial" w:hAnsi="Arial" w:cs="Arial"/>
          <w:sz w:val="20"/>
        </w:rPr>
        <w:t>, the accuracy of submissions made by counsel (and likewise by solicitors) is fundamental to the due administration of justice</w:t>
      </w:r>
      <w:r w:rsidR="00400235">
        <w:rPr>
          <w:rFonts w:ascii="Arial" w:hAnsi="Arial" w:cs="Arial"/>
          <w:sz w:val="20"/>
        </w:rPr>
        <w:t>.”</w:t>
      </w:r>
    </w:p>
    <w:p w14:paraId="0DC81670" w14:textId="452F4982" w:rsidR="005C2B86" w:rsidRDefault="000D4D13" w:rsidP="005C2B86">
      <w:pPr>
        <w:spacing w:before="60"/>
        <w:jc w:val="both"/>
        <w:rPr>
          <w:rFonts w:ascii="Arial" w:hAnsi="Arial" w:cs="Arial"/>
          <w:sz w:val="20"/>
        </w:rPr>
      </w:pPr>
      <w:r>
        <w:rPr>
          <w:rFonts w:ascii="Arial" w:hAnsi="Arial" w:cs="Arial"/>
          <w:sz w:val="20"/>
        </w:rPr>
        <w:t xml:space="preserve">Ultimately </w:t>
      </w:r>
      <w:r w:rsidR="005C2B86">
        <w:rPr>
          <w:rFonts w:ascii="Arial" w:hAnsi="Arial" w:cs="Arial"/>
          <w:sz w:val="20"/>
        </w:rPr>
        <w:t>h</w:t>
      </w:r>
      <w:r w:rsidR="00CE343D">
        <w:rPr>
          <w:rFonts w:ascii="Arial" w:hAnsi="Arial" w:cs="Arial"/>
          <w:sz w:val="20"/>
        </w:rPr>
        <w:t>is</w:t>
      </w:r>
      <w:r w:rsidR="005C2B86">
        <w:rPr>
          <w:rFonts w:ascii="Arial" w:hAnsi="Arial" w:cs="Arial"/>
          <w:sz w:val="20"/>
        </w:rPr>
        <w:t xml:space="preserve"> Honour imposed a formal reprimand on Ms [R], saying at [81]-[82]:</w:t>
      </w:r>
    </w:p>
    <w:p w14:paraId="1938B661" w14:textId="7F9724F5" w:rsidR="00015C9A" w:rsidRDefault="005C2B86" w:rsidP="005C2B86">
      <w:pPr>
        <w:spacing w:before="60"/>
        <w:ind w:left="567" w:right="567"/>
        <w:jc w:val="both"/>
        <w:rPr>
          <w:rFonts w:ascii="Helvetica" w:hAnsi="Helvetica"/>
          <w:color w:val="000000"/>
          <w:sz w:val="20"/>
        </w:rPr>
      </w:pPr>
      <w:r>
        <w:rPr>
          <w:rFonts w:ascii="Arial" w:hAnsi="Arial" w:cs="Arial"/>
          <w:sz w:val="20"/>
        </w:rPr>
        <w:t>[81] “…</w:t>
      </w:r>
      <w:r w:rsidRPr="005C2B86">
        <w:rPr>
          <w:rFonts w:ascii="Helvetica" w:hAnsi="Helvetica"/>
          <w:color w:val="000000"/>
          <w:sz w:val="20"/>
        </w:rPr>
        <w:t xml:space="preserve">Ms </w:t>
      </w:r>
      <w:r>
        <w:rPr>
          <w:rFonts w:ascii="Helvetica" w:hAnsi="Helvetica"/>
          <w:color w:val="000000"/>
          <w:sz w:val="20"/>
        </w:rPr>
        <w:t>[</w:t>
      </w:r>
      <w:r w:rsidRPr="005C2B86">
        <w:rPr>
          <w:rFonts w:ascii="Helvetica" w:hAnsi="Helvetica"/>
          <w:color w:val="000000"/>
          <w:sz w:val="20"/>
        </w:rPr>
        <w:t>R</w:t>
      </w:r>
      <w:r>
        <w:rPr>
          <w:rFonts w:ascii="Helvetica" w:hAnsi="Helvetica"/>
          <w:color w:val="000000"/>
          <w:sz w:val="20"/>
        </w:rPr>
        <w:t>]</w:t>
      </w:r>
      <w:r w:rsidRPr="005C2B86">
        <w:rPr>
          <w:rFonts w:ascii="Helvetica" w:hAnsi="Helvetica"/>
          <w:color w:val="000000"/>
          <w:sz w:val="20"/>
        </w:rPr>
        <w:t xml:space="preserve"> promptly and unreservedly apologised to the Court for her conduct; I accept that she is genuinely contrite. There is no evidence that Ms </w:t>
      </w:r>
      <w:r>
        <w:rPr>
          <w:rFonts w:ascii="Helvetica" w:hAnsi="Helvetica"/>
          <w:color w:val="000000"/>
          <w:sz w:val="20"/>
        </w:rPr>
        <w:t>[</w:t>
      </w:r>
      <w:r w:rsidRPr="005C2B86">
        <w:rPr>
          <w:rFonts w:ascii="Helvetica" w:hAnsi="Helvetica"/>
          <w:color w:val="000000"/>
          <w:sz w:val="20"/>
        </w:rPr>
        <w:t>R</w:t>
      </w:r>
      <w:r>
        <w:rPr>
          <w:rFonts w:ascii="Helvetica" w:hAnsi="Helvetica"/>
          <w:color w:val="000000"/>
          <w:sz w:val="20"/>
        </w:rPr>
        <w:t>]</w:t>
      </w:r>
      <w:r w:rsidRPr="005C2B86">
        <w:rPr>
          <w:rFonts w:ascii="Helvetica" w:hAnsi="Helvetica"/>
          <w:color w:val="000000"/>
          <w:sz w:val="20"/>
        </w:rPr>
        <w:t xml:space="preserve"> has previously been found to have engaged in unprofessional conduct. I have also taken into account the urgent circumstances of pre-trial preparation in which the conduct occurred and her reliance on counsel. I also do not overlook the fact that the publication of these reasons in</w:t>
      </w:r>
      <w:r>
        <w:rPr>
          <w:rFonts w:ascii="Helvetica" w:hAnsi="Helvetica"/>
          <w:color w:val="000000"/>
          <w:sz w:val="20"/>
        </w:rPr>
        <w:t xml:space="preserve"> which Ms</w:t>
      </w:r>
      <w:r w:rsidRPr="00015C9A">
        <w:rPr>
          <w:sz w:val="18"/>
          <w:szCs w:val="18"/>
        </w:rPr>
        <w:t> </w:t>
      </w:r>
      <w:r w:rsidR="00CE343D">
        <w:rPr>
          <w:sz w:val="18"/>
          <w:szCs w:val="18"/>
        </w:rPr>
        <w:t>[</w:t>
      </w:r>
      <w:r>
        <w:rPr>
          <w:rFonts w:ascii="Helvetica" w:hAnsi="Helvetica"/>
          <w:color w:val="000000"/>
          <w:sz w:val="20"/>
        </w:rPr>
        <w:t xml:space="preserve">R] </w:t>
      </w:r>
      <w:r w:rsidRPr="005C2B86">
        <w:rPr>
          <w:rFonts w:ascii="Helvetica" w:hAnsi="Helvetica"/>
          <w:color w:val="000000"/>
          <w:sz w:val="20"/>
        </w:rPr>
        <w:t xml:space="preserve">is identified is itself a significant adverse consequence for her professional standing. </w:t>
      </w:r>
    </w:p>
    <w:p w14:paraId="3EF26181" w14:textId="22F7BC02" w:rsidR="005C2B86" w:rsidRDefault="00015C9A" w:rsidP="005C2B86">
      <w:pPr>
        <w:spacing w:before="60"/>
        <w:ind w:left="567" w:right="567"/>
        <w:jc w:val="both"/>
        <w:rPr>
          <w:rFonts w:ascii="Arial" w:hAnsi="Arial" w:cs="Arial"/>
          <w:sz w:val="20"/>
        </w:rPr>
      </w:pPr>
      <w:r>
        <w:rPr>
          <w:rFonts w:ascii="Helvetica" w:hAnsi="Helvetica"/>
          <w:color w:val="000000"/>
          <w:sz w:val="20"/>
        </w:rPr>
        <w:t>[</w:t>
      </w:r>
      <w:r w:rsidR="005C2B86" w:rsidRPr="005C2B86">
        <w:rPr>
          <w:rFonts w:ascii="Helvetica" w:hAnsi="Helvetica"/>
          <w:color w:val="000000"/>
          <w:sz w:val="20"/>
        </w:rPr>
        <w:t>82</w:t>
      </w:r>
      <w:r>
        <w:rPr>
          <w:rFonts w:ascii="Helvetica" w:hAnsi="Helvetica"/>
          <w:color w:val="000000"/>
          <w:sz w:val="20"/>
        </w:rPr>
        <w:t>]</w:t>
      </w:r>
      <w:r w:rsidR="005C2B86" w:rsidRPr="005C2B86">
        <w:rPr>
          <w:rFonts w:ascii="Helvetica" w:hAnsi="Helvetica"/>
          <w:color w:val="000000"/>
          <w:sz w:val="20"/>
        </w:rPr>
        <w:t xml:space="preserve"> In my assessment, it is appropriate to, and the Court does, impose a reprimand on Ms</w:t>
      </w:r>
      <w:r w:rsidR="00CE343D">
        <w:rPr>
          <w:rFonts w:ascii="Helvetica" w:hAnsi="Helvetica"/>
          <w:color w:val="000000"/>
          <w:sz w:val="20"/>
        </w:rPr>
        <w:t> [</w:t>
      </w:r>
      <w:r w:rsidR="005C2B86" w:rsidRPr="005C2B86">
        <w:rPr>
          <w:rFonts w:ascii="Helvetica" w:hAnsi="Helvetica"/>
          <w:color w:val="000000"/>
          <w:sz w:val="20"/>
        </w:rPr>
        <w:t>R</w:t>
      </w:r>
      <w:r w:rsidR="00CE343D">
        <w:rPr>
          <w:rFonts w:ascii="Helvetica" w:hAnsi="Helvetica"/>
          <w:color w:val="000000"/>
          <w:sz w:val="20"/>
        </w:rPr>
        <w:t>]</w:t>
      </w:r>
      <w:r w:rsidR="005C2B86" w:rsidRPr="005C2B86">
        <w:rPr>
          <w:rFonts w:ascii="Helvetica" w:hAnsi="Helvetica"/>
          <w:color w:val="000000"/>
          <w:sz w:val="20"/>
        </w:rPr>
        <w:t xml:space="preserve"> for her conduct. A reprimand in itself is a serious sanction for a professional person</w:t>
      </w:r>
      <w:r w:rsidR="00CE343D">
        <w:rPr>
          <w:rFonts w:ascii="Helvetica" w:hAnsi="Helvetica"/>
          <w:color w:val="000000"/>
          <w:sz w:val="20"/>
        </w:rPr>
        <w:t>…”</w:t>
      </w:r>
    </w:p>
    <w:p w14:paraId="4963109C" w14:textId="77777777" w:rsidR="005C2B86" w:rsidRDefault="005C2B86" w:rsidP="00CE343D">
      <w:pPr>
        <w:jc w:val="both"/>
        <w:rPr>
          <w:rFonts w:ascii="Arial" w:hAnsi="Arial" w:cs="Arial"/>
          <w:sz w:val="20"/>
        </w:rPr>
      </w:pPr>
    </w:p>
    <w:p w14:paraId="2F2EBF3A" w14:textId="1AD8EBB9" w:rsidR="00CE343D" w:rsidRDefault="00CE343D" w:rsidP="00CE343D">
      <w:pPr>
        <w:jc w:val="both"/>
        <w:rPr>
          <w:rFonts w:ascii="Arial" w:hAnsi="Arial" w:cs="Arial"/>
          <w:sz w:val="20"/>
        </w:rPr>
      </w:pPr>
      <w:r>
        <w:rPr>
          <w:rFonts w:ascii="Arial" w:hAnsi="Arial" w:cs="Arial"/>
          <w:sz w:val="20"/>
        </w:rPr>
        <w:t xml:space="preserve">In </w:t>
      </w:r>
      <w:r w:rsidRPr="00CE343D">
        <w:rPr>
          <w:rFonts w:ascii="Arial" w:hAnsi="Arial" w:cs="Arial"/>
          <w:i/>
          <w:iCs/>
          <w:sz w:val="20"/>
        </w:rPr>
        <w:t>Oberoi v Douglas</w:t>
      </w:r>
      <w:r>
        <w:rPr>
          <w:rFonts w:ascii="Arial" w:hAnsi="Arial" w:cs="Arial"/>
          <w:sz w:val="20"/>
        </w:rPr>
        <w:t xml:space="preserve"> [2026] VSCA 31 Walker JA ordered that t</w:t>
      </w:r>
      <w:r w:rsidRPr="00CE343D">
        <w:rPr>
          <w:rFonts w:ascii="Arial" w:hAnsi="Arial" w:cs="Arial"/>
          <w:sz w:val="20"/>
        </w:rPr>
        <w:t xml:space="preserve">he application for leave to appeal </w:t>
      </w:r>
      <w:r>
        <w:rPr>
          <w:rFonts w:ascii="Arial" w:hAnsi="Arial" w:cs="Arial"/>
          <w:sz w:val="20"/>
        </w:rPr>
        <w:t>be</w:t>
      </w:r>
      <w:r w:rsidRPr="00CE343D">
        <w:rPr>
          <w:rFonts w:ascii="Arial" w:hAnsi="Arial" w:cs="Arial"/>
          <w:sz w:val="20"/>
        </w:rPr>
        <w:t xml:space="preserve"> dismissed for want of prosecution</w:t>
      </w:r>
      <w:r>
        <w:rPr>
          <w:rFonts w:ascii="Arial" w:hAnsi="Arial" w:cs="Arial"/>
          <w:sz w:val="20"/>
        </w:rPr>
        <w:t xml:space="preserve"> in circumstances where the applicant had failed </w:t>
      </w:r>
      <w:r w:rsidRPr="00CE343D">
        <w:rPr>
          <w:rFonts w:ascii="Arial" w:hAnsi="Arial" w:cs="Arial"/>
          <w:sz w:val="20"/>
        </w:rPr>
        <w:t xml:space="preserve">to comply with timetable orders or settle </w:t>
      </w:r>
      <w:r>
        <w:rPr>
          <w:rFonts w:ascii="Arial" w:hAnsi="Arial" w:cs="Arial"/>
          <w:sz w:val="20"/>
        </w:rPr>
        <w:t xml:space="preserve">the </w:t>
      </w:r>
      <w:r w:rsidRPr="00CE343D">
        <w:rPr>
          <w:rFonts w:ascii="Arial" w:hAnsi="Arial" w:cs="Arial"/>
          <w:sz w:val="20"/>
        </w:rPr>
        <w:t xml:space="preserve">application book despite repeated efforts by </w:t>
      </w:r>
      <w:r>
        <w:rPr>
          <w:rFonts w:ascii="Arial" w:hAnsi="Arial" w:cs="Arial"/>
          <w:sz w:val="20"/>
        </w:rPr>
        <w:t xml:space="preserve">the </w:t>
      </w:r>
      <w:r w:rsidRPr="00CE343D">
        <w:rPr>
          <w:rFonts w:ascii="Arial" w:hAnsi="Arial" w:cs="Arial"/>
          <w:sz w:val="20"/>
        </w:rPr>
        <w:t xml:space="preserve">respondent and </w:t>
      </w:r>
      <w:r>
        <w:rPr>
          <w:rFonts w:ascii="Arial" w:hAnsi="Arial" w:cs="Arial"/>
          <w:sz w:val="20"/>
        </w:rPr>
        <w:t xml:space="preserve">the Supreme Court </w:t>
      </w:r>
      <w:r w:rsidRPr="00CE343D">
        <w:rPr>
          <w:rFonts w:ascii="Arial" w:hAnsi="Arial" w:cs="Arial"/>
          <w:sz w:val="20"/>
        </w:rPr>
        <w:t xml:space="preserve">Registry to engage with </w:t>
      </w:r>
      <w:r>
        <w:rPr>
          <w:rFonts w:ascii="Arial" w:hAnsi="Arial" w:cs="Arial"/>
          <w:sz w:val="20"/>
        </w:rPr>
        <w:t xml:space="preserve">the </w:t>
      </w:r>
      <w:r w:rsidRPr="00CE343D">
        <w:rPr>
          <w:rFonts w:ascii="Arial" w:hAnsi="Arial" w:cs="Arial"/>
          <w:sz w:val="20"/>
        </w:rPr>
        <w:t>applicant</w:t>
      </w:r>
      <w:r>
        <w:rPr>
          <w:rFonts w:ascii="Arial" w:hAnsi="Arial" w:cs="Arial"/>
          <w:sz w:val="20"/>
        </w:rPr>
        <w:t xml:space="preserve">. An additional issue which had arisen was that </w:t>
      </w:r>
      <w:r w:rsidR="00BC4012">
        <w:rPr>
          <w:rFonts w:ascii="Arial" w:hAnsi="Arial" w:cs="Arial"/>
          <w:sz w:val="20"/>
        </w:rPr>
        <w:t>the a</w:t>
      </w:r>
      <w:r w:rsidR="00BC4012" w:rsidRPr="00BC4012">
        <w:rPr>
          <w:rFonts w:ascii="Arial" w:hAnsi="Arial" w:cs="Arial"/>
          <w:sz w:val="20"/>
        </w:rPr>
        <w:t xml:space="preserve">pplicant’s written case, signed and filed by </w:t>
      </w:r>
      <w:r w:rsidR="00BC4012">
        <w:rPr>
          <w:rFonts w:ascii="Arial" w:hAnsi="Arial" w:cs="Arial"/>
          <w:sz w:val="20"/>
        </w:rPr>
        <w:t xml:space="preserve">a </w:t>
      </w:r>
      <w:r w:rsidR="00BC4012" w:rsidRPr="00BC4012">
        <w:rPr>
          <w:rFonts w:ascii="Arial" w:hAnsi="Arial" w:cs="Arial"/>
          <w:sz w:val="20"/>
        </w:rPr>
        <w:t xml:space="preserve">solicitor, appeared to contain non-existent cases and hallucinated quotations </w:t>
      </w:r>
      <w:r w:rsidR="00BC4012">
        <w:rPr>
          <w:rFonts w:ascii="Arial" w:hAnsi="Arial" w:cs="Arial"/>
          <w:sz w:val="20"/>
        </w:rPr>
        <w:t xml:space="preserve">and to have used AI contrary to the Supreme Court guidelines. The Court had </w:t>
      </w:r>
      <w:r w:rsidR="00BC4012" w:rsidRPr="00BC4012">
        <w:rPr>
          <w:rFonts w:ascii="Arial" w:hAnsi="Arial" w:cs="Arial"/>
          <w:sz w:val="20"/>
        </w:rPr>
        <w:t xml:space="preserve">notified </w:t>
      </w:r>
      <w:r w:rsidR="00BC4012">
        <w:rPr>
          <w:rFonts w:ascii="Arial" w:hAnsi="Arial" w:cs="Arial"/>
          <w:sz w:val="20"/>
        </w:rPr>
        <w:t xml:space="preserve">the </w:t>
      </w:r>
      <w:r w:rsidR="00BC4012" w:rsidRPr="00BC4012">
        <w:rPr>
          <w:rFonts w:ascii="Arial" w:hAnsi="Arial" w:cs="Arial"/>
          <w:sz w:val="20"/>
        </w:rPr>
        <w:t xml:space="preserve">applicant’s solicitor of </w:t>
      </w:r>
      <w:r w:rsidR="00BC4012">
        <w:rPr>
          <w:rFonts w:ascii="Arial" w:hAnsi="Arial" w:cs="Arial"/>
          <w:sz w:val="20"/>
        </w:rPr>
        <w:t xml:space="preserve">the </w:t>
      </w:r>
      <w:r w:rsidR="00BC4012" w:rsidRPr="00BC4012">
        <w:rPr>
          <w:rFonts w:ascii="Arial" w:hAnsi="Arial" w:cs="Arial"/>
          <w:sz w:val="20"/>
        </w:rPr>
        <w:t xml:space="preserve">Court’s concerns </w:t>
      </w:r>
      <w:r w:rsidR="00BC4012">
        <w:rPr>
          <w:rFonts w:ascii="Arial" w:hAnsi="Arial" w:cs="Arial"/>
          <w:sz w:val="20"/>
        </w:rPr>
        <w:t>but the s</w:t>
      </w:r>
      <w:r w:rsidR="00BC4012" w:rsidRPr="00BC4012">
        <w:rPr>
          <w:rFonts w:ascii="Arial" w:hAnsi="Arial" w:cs="Arial"/>
          <w:sz w:val="20"/>
        </w:rPr>
        <w:t>olicitor did not provide an explanation</w:t>
      </w:r>
      <w:r w:rsidR="00BC4012">
        <w:rPr>
          <w:rFonts w:ascii="Arial" w:hAnsi="Arial" w:cs="Arial"/>
          <w:sz w:val="20"/>
        </w:rPr>
        <w:t xml:space="preserve">. The Court then cautioned the solicitor that the </w:t>
      </w:r>
      <w:r w:rsidR="00BC4012" w:rsidRPr="00BC4012">
        <w:rPr>
          <w:rFonts w:ascii="Arial" w:hAnsi="Arial" w:cs="Arial"/>
          <w:sz w:val="20"/>
        </w:rPr>
        <w:t xml:space="preserve">matter would be referred to </w:t>
      </w:r>
      <w:r w:rsidR="00BC4012">
        <w:rPr>
          <w:rFonts w:ascii="Arial" w:hAnsi="Arial" w:cs="Arial"/>
          <w:sz w:val="20"/>
        </w:rPr>
        <w:t xml:space="preserve">the </w:t>
      </w:r>
      <w:r w:rsidR="00BC4012" w:rsidRPr="00BC4012">
        <w:rPr>
          <w:rFonts w:ascii="Arial" w:hAnsi="Arial" w:cs="Arial"/>
          <w:sz w:val="20"/>
        </w:rPr>
        <w:t xml:space="preserve">Legal Services Commissioner </w:t>
      </w:r>
      <w:r w:rsidR="00BC4012">
        <w:rPr>
          <w:rFonts w:ascii="Arial" w:hAnsi="Arial" w:cs="Arial"/>
          <w:sz w:val="20"/>
        </w:rPr>
        <w:t>but the s</w:t>
      </w:r>
      <w:r w:rsidR="00BC4012" w:rsidRPr="00BC4012">
        <w:rPr>
          <w:rFonts w:ascii="Arial" w:hAnsi="Arial" w:cs="Arial"/>
          <w:sz w:val="20"/>
        </w:rPr>
        <w:t xml:space="preserve">olicitor did not provide </w:t>
      </w:r>
      <w:r w:rsidR="00BC4012">
        <w:rPr>
          <w:rFonts w:ascii="Arial" w:hAnsi="Arial" w:cs="Arial"/>
          <w:sz w:val="20"/>
        </w:rPr>
        <w:t xml:space="preserve">a </w:t>
      </w:r>
      <w:r w:rsidR="00BC4012" w:rsidRPr="00BC4012">
        <w:rPr>
          <w:rFonts w:ascii="Arial" w:hAnsi="Arial" w:cs="Arial"/>
          <w:sz w:val="20"/>
        </w:rPr>
        <w:t>substantive response</w:t>
      </w:r>
      <w:r w:rsidR="00BC4012">
        <w:rPr>
          <w:rFonts w:ascii="Arial" w:hAnsi="Arial" w:cs="Arial"/>
          <w:sz w:val="20"/>
        </w:rPr>
        <w:t>. At [60]-[61] Walker JA said:</w:t>
      </w:r>
    </w:p>
    <w:p w14:paraId="356642DD" w14:textId="6790286C" w:rsidR="00BC4012" w:rsidRPr="00BC4012" w:rsidRDefault="00BC4012" w:rsidP="00BC4012">
      <w:pPr>
        <w:spacing w:before="60"/>
        <w:ind w:left="567" w:right="567"/>
        <w:jc w:val="both"/>
        <w:rPr>
          <w:rFonts w:ascii="Arial" w:hAnsi="Arial" w:cs="Arial"/>
          <w:color w:val="000000"/>
          <w:sz w:val="20"/>
          <w:szCs w:val="20"/>
        </w:rPr>
      </w:pPr>
      <w:r>
        <w:rPr>
          <w:rFonts w:ascii="Helvetica" w:hAnsi="Helvetica"/>
          <w:color w:val="000000"/>
          <w:sz w:val="20"/>
        </w:rPr>
        <w:t>[60] “</w:t>
      </w:r>
      <w:r w:rsidRPr="00BC4012">
        <w:rPr>
          <w:rFonts w:ascii="Arial" w:hAnsi="Arial" w:cs="Arial"/>
          <w:color w:val="000000"/>
          <w:sz w:val="20"/>
          <w:szCs w:val="20"/>
        </w:rPr>
        <w:t xml:space="preserve">Even putting to one side the Guidelines, reliance by a practitioner on authorities which do not exist, and on ‘quotations’ that are not in fact taken from the cases cited, represents a falling short of the standards of diligence that a member of the public is entitled to expect of a reasonably competent lawyer. The rules of professional conduct also prohibit legal practitioners from engaging in conduct which is likely, to a material degree, to be prejudicial to, or diminish, public confidence in the administration of justice: </w:t>
      </w:r>
      <w:r w:rsidRPr="00BC4012">
        <w:rPr>
          <w:rFonts w:ascii="Arial" w:hAnsi="Arial" w:cs="Arial"/>
          <w:i/>
          <w:iCs/>
          <w:color w:val="000000"/>
          <w:sz w:val="20"/>
          <w:szCs w:val="20"/>
        </w:rPr>
        <w:t>Legal Profession Uniform Law Australian Solicitors’ Conduct Rules 2015</w:t>
      </w:r>
      <w:r w:rsidRPr="00BC4012">
        <w:rPr>
          <w:rFonts w:ascii="Arial" w:hAnsi="Arial" w:cs="Arial"/>
          <w:color w:val="000000"/>
          <w:sz w:val="20"/>
          <w:szCs w:val="20"/>
        </w:rPr>
        <w:t>, r 5.1.2(j)</w:t>
      </w:r>
      <w:r w:rsidRPr="00BC4012">
        <w:rPr>
          <w:rFonts w:ascii="Arial" w:hAnsi="Arial" w:cs="Arial"/>
          <w:i/>
          <w:iCs/>
          <w:color w:val="000000"/>
          <w:sz w:val="20"/>
          <w:szCs w:val="20"/>
        </w:rPr>
        <w:t>.</w:t>
      </w:r>
      <w:r w:rsidRPr="00BC4012">
        <w:rPr>
          <w:rFonts w:ascii="Arial" w:hAnsi="Arial" w:cs="Arial"/>
          <w:color w:val="000000"/>
          <w:sz w:val="20"/>
          <w:szCs w:val="20"/>
        </w:rPr>
        <w:t xml:space="preserve"> As Elliott J said in </w:t>
      </w:r>
      <w:r w:rsidRPr="00BC4012">
        <w:rPr>
          <w:rFonts w:ascii="Arial" w:hAnsi="Arial" w:cs="Arial"/>
          <w:i/>
          <w:iCs/>
          <w:color w:val="000000"/>
          <w:sz w:val="20"/>
          <w:szCs w:val="20"/>
        </w:rPr>
        <w:t>DPP v GR</w:t>
      </w:r>
      <w:r w:rsidRPr="00BC4012">
        <w:rPr>
          <w:rFonts w:ascii="Arial" w:hAnsi="Arial" w:cs="Arial"/>
          <w:color w:val="000000"/>
          <w:sz w:val="20"/>
          <w:szCs w:val="20"/>
        </w:rPr>
        <w:t xml:space="preserve"> [2025] VSC 490 at [79] and Moore J said in </w:t>
      </w:r>
      <w:r w:rsidRPr="00BC4012">
        <w:rPr>
          <w:rFonts w:ascii="Arial" w:hAnsi="Arial" w:cs="Arial"/>
          <w:i/>
          <w:iCs/>
          <w:color w:val="000000"/>
          <w:sz w:val="20"/>
          <w:szCs w:val="20"/>
        </w:rPr>
        <w:t>Re Walker</w:t>
      </w:r>
      <w:r w:rsidRPr="00BC4012">
        <w:rPr>
          <w:rFonts w:ascii="Arial" w:hAnsi="Arial" w:cs="Arial"/>
          <w:color w:val="000000"/>
          <w:sz w:val="20"/>
          <w:szCs w:val="20"/>
        </w:rPr>
        <w:t xml:space="preserve"> [2025] VSC 714 at [61]</w:t>
      </w:r>
      <w:r w:rsidRPr="00BC4012">
        <w:rPr>
          <w:rFonts w:ascii="Arial" w:hAnsi="Arial" w:cs="Arial"/>
          <w:i/>
          <w:iCs/>
          <w:color w:val="000000"/>
          <w:sz w:val="20"/>
          <w:szCs w:val="20"/>
        </w:rPr>
        <w:t xml:space="preserve"> </w:t>
      </w:r>
      <w:r w:rsidRPr="00BC4012">
        <w:rPr>
          <w:rFonts w:ascii="Arial" w:hAnsi="Arial" w:cs="Arial"/>
          <w:color w:val="000000"/>
          <w:sz w:val="20"/>
          <w:szCs w:val="20"/>
        </w:rPr>
        <w:t>the accuracy of submissions to a court made by legal practitioners is fundamental to the due administration of justice.</w:t>
      </w:r>
    </w:p>
    <w:p w14:paraId="4E39FDDB" w14:textId="0B6AFF2F" w:rsidR="00BC4012" w:rsidRDefault="00BC4012" w:rsidP="00BC4012">
      <w:pPr>
        <w:spacing w:before="60"/>
        <w:ind w:left="567" w:right="567"/>
        <w:jc w:val="both"/>
        <w:rPr>
          <w:rFonts w:ascii="Arial" w:hAnsi="Arial" w:cs="Arial"/>
          <w:color w:val="000000"/>
          <w:sz w:val="20"/>
          <w:szCs w:val="20"/>
        </w:rPr>
      </w:pPr>
      <w:r>
        <w:rPr>
          <w:rFonts w:ascii="Arial" w:hAnsi="Arial" w:cs="Arial"/>
          <w:color w:val="000000"/>
          <w:sz w:val="20"/>
          <w:szCs w:val="20"/>
        </w:rPr>
        <w:t xml:space="preserve">[61] </w:t>
      </w:r>
      <w:r w:rsidRPr="00BC4012">
        <w:rPr>
          <w:rFonts w:ascii="Arial" w:hAnsi="Arial" w:cs="Arial"/>
          <w:color w:val="000000"/>
          <w:sz w:val="20"/>
          <w:szCs w:val="20"/>
        </w:rPr>
        <w:t>In the absence of any response from the solicitor, I continued to have serious concerns about her conduct in relation to the potential use of AI. However, in the circumstances it is not possible for me to determine precisely what occurred in the preparation of the applicant’s written case. Nor is it possible for me to determine whether it would be appropriate for me to exercise the Court’s inherent supervisory jurisdiction over legal practitioners, for example by reprimanding the solicitor, which was the course adopted by Moore J in</w:t>
      </w:r>
      <w:r>
        <w:rPr>
          <w:rFonts w:ascii="Arial" w:hAnsi="Arial" w:cs="Arial"/>
          <w:color w:val="000000"/>
          <w:sz w:val="20"/>
          <w:szCs w:val="20"/>
        </w:rPr>
        <w:t xml:space="preserve"> </w:t>
      </w:r>
      <w:r w:rsidRPr="00BC4012">
        <w:rPr>
          <w:rFonts w:ascii="Arial" w:hAnsi="Arial" w:cs="Arial"/>
          <w:i/>
          <w:iCs/>
          <w:color w:val="000000"/>
          <w:sz w:val="20"/>
          <w:szCs w:val="20"/>
        </w:rPr>
        <w:t>Re Walker</w:t>
      </w:r>
      <w:r>
        <w:rPr>
          <w:rFonts w:ascii="Arial" w:hAnsi="Arial" w:cs="Arial"/>
          <w:color w:val="000000"/>
          <w:sz w:val="20"/>
          <w:szCs w:val="20"/>
        </w:rPr>
        <w:t>; s</w:t>
      </w:r>
      <w:r w:rsidRPr="005C2B86">
        <w:rPr>
          <w:rFonts w:ascii="Helvetica" w:hAnsi="Helvetica"/>
          <w:color w:val="000000"/>
          <w:sz w:val="20"/>
        </w:rPr>
        <w:t xml:space="preserve">ee for example the following cases published in the last year in which practitioners have been criticised for their use of AI: </w:t>
      </w:r>
      <w:r w:rsidRPr="00BC4012">
        <w:rPr>
          <w:rFonts w:ascii="Helvetica" w:hAnsi="Helvetica"/>
          <w:i/>
          <w:iCs/>
          <w:color w:val="000000"/>
          <w:sz w:val="20"/>
        </w:rPr>
        <w:t>Murray (on behalf of Wamba Wemba Native Title Claim Group) v State of Victoria</w:t>
      </w:r>
      <w:r w:rsidRPr="005C2B86">
        <w:rPr>
          <w:rFonts w:ascii="Helvetica" w:hAnsi="Helvetica"/>
          <w:color w:val="000000"/>
          <w:sz w:val="20"/>
        </w:rPr>
        <w:t xml:space="preserve"> [2025] FCA 731; </w:t>
      </w:r>
      <w:r w:rsidRPr="00BC4012">
        <w:rPr>
          <w:rFonts w:ascii="Helvetica" w:hAnsi="Helvetica"/>
          <w:i/>
          <w:iCs/>
          <w:color w:val="000000"/>
          <w:sz w:val="20"/>
        </w:rPr>
        <w:t>JNE24 v Minister for Immigration and Citizenship</w:t>
      </w:r>
      <w:r w:rsidRPr="005C2B86">
        <w:rPr>
          <w:rFonts w:ascii="Helvetica" w:hAnsi="Helvetica"/>
          <w:color w:val="000000"/>
          <w:sz w:val="20"/>
        </w:rPr>
        <w:t xml:space="preserve"> [2025] FedCFamC2G 1314; </w:t>
      </w:r>
      <w:r w:rsidRPr="00BC4012">
        <w:rPr>
          <w:rFonts w:ascii="Helvetica" w:hAnsi="Helvetica"/>
          <w:i/>
          <w:iCs/>
          <w:color w:val="000000"/>
          <w:sz w:val="20"/>
        </w:rPr>
        <w:t>Valu v Minister for Immigration and Multicultural Affairs (No 2)</w:t>
      </w:r>
      <w:r w:rsidRPr="005C2B86">
        <w:rPr>
          <w:rFonts w:ascii="Helvetica" w:hAnsi="Helvetica"/>
          <w:color w:val="000000"/>
          <w:sz w:val="20"/>
        </w:rPr>
        <w:t xml:space="preserve"> [2025] FedCFamC2G 95; </w:t>
      </w:r>
      <w:r w:rsidRPr="00BC4012">
        <w:rPr>
          <w:rFonts w:ascii="Helvetica" w:hAnsi="Helvetica"/>
          <w:i/>
          <w:iCs/>
          <w:color w:val="000000"/>
          <w:sz w:val="20"/>
        </w:rPr>
        <w:t>Handa and Mallick</w:t>
      </w:r>
      <w:r w:rsidRPr="005C2B86">
        <w:rPr>
          <w:rFonts w:ascii="Helvetica" w:hAnsi="Helvetica"/>
          <w:color w:val="000000"/>
          <w:sz w:val="20"/>
        </w:rPr>
        <w:t xml:space="preserve"> [2024] FedCFamC2F 957; </w:t>
      </w:r>
      <w:r w:rsidRPr="00BC4012">
        <w:rPr>
          <w:rFonts w:ascii="Helvetica" w:hAnsi="Helvetica"/>
          <w:i/>
          <w:iCs/>
          <w:color w:val="000000"/>
          <w:sz w:val="20"/>
        </w:rPr>
        <w:t>DPP v GR</w:t>
      </w:r>
      <w:r w:rsidRPr="005C2B86">
        <w:rPr>
          <w:rFonts w:ascii="Helvetica" w:hAnsi="Helvetica"/>
          <w:color w:val="000000"/>
          <w:sz w:val="20"/>
        </w:rPr>
        <w:t xml:space="preserve"> (n 33).</w:t>
      </w:r>
      <w:r w:rsidR="00AE307E">
        <w:rPr>
          <w:rFonts w:ascii="Helvetica" w:hAnsi="Helvetica"/>
          <w:color w:val="000000"/>
          <w:sz w:val="20"/>
        </w:rPr>
        <w:t xml:space="preserve"> </w:t>
      </w:r>
      <w:r w:rsidRPr="00BC4012">
        <w:rPr>
          <w:rFonts w:ascii="Arial" w:hAnsi="Arial" w:cs="Arial"/>
          <w:color w:val="000000"/>
          <w:sz w:val="20"/>
          <w:szCs w:val="20"/>
        </w:rPr>
        <w:t>Rather, the only practicable course available to me is to refer the solicitor to the Legal Services Commissioner for investigation. Accordingly, I propose to take that step.</w:t>
      </w:r>
      <w:r>
        <w:rPr>
          <w:rFonts w:ascii="Arial" w:hAnsi="Arial" w:cs="Arial"/>
          <w:color w:val="000000"/>
          <w:sz w:val="20"/>
          <w:szCs w:val="20"/>
        </w:rPr>
        <w:t>”</w:t>
      </w:r>
    </w:p>
    <w:p w14:paraId="4D7BBD43" w14:textId="77777777" w:rsidR="00AD7B25" w:rsidRDefault="00AD7B25" w:rsidP="000F01F7">
      <w:pPr>
        <w:jc w:val="both"/>
        <w:rPr>
          <w:rFonts w:ascii="Arial" w:hAnsi="Arial" w:cs="Arial"/>
          <w:sz w:val="20"/>
        </w:rPr>
      </w:pPr>
    </w:p>
    <w:p w14:paraId="66BA93A2" w14:textId="77777777" w:rsidR="001536F3" w:rsidRDefault="001536F3" w:rsidP="001536F3">
      <w:pPr>
        <w:jc w:val="center"/>
        <w:rPr>
          <w:rFonts w:ascii="Arial" w:hAnsi="Arial" w:cs="Arial"/>
        </w:rPr>
      </w:pPr>
      <w:r>
        <w:t>`</w:t>
      </w:r>
      <w:r>
        <w:rPr>
          <w:noProof/>
        </w:rPr>
        <w:drawing>
          <wp:inline distT="0" distB="0" distL="0" distR="0" wp14:anchorId="1EBE9E06" wp14:editId="11C0FC70">
            <wp:extent cx="1801495" cy="416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801495" cy="416560"/>
                    </a:xfrm>
                    <a:prstGeom prst="rect">
                      <a:avLst/>
                    </a:prstGeom>
                    <a:noFill/>
                    <a:ln>
                      <a:noFill/>
                    </a:ln>
                  </pic:spPr>
                </pic:pic>
              </a:graphicData>
            </a:graphic>
          </wp:inline>
        </w:drawing>
      </w:r>
    </w:p>
    <w:p w14:paraId="6AC01A37" w14:textId="77777777" w:rsidR="001536F3" w:rsidRPr="00B7111B" w:rsidRDefault="001536F3" w:rsidP="00677975">
      <w:pPr>
        <w:rPr>
          <w:rFonts w:ascii="Arial" w:hAnsi="Arial" w:cs="Arial"/>
          <w:sz w:val="20"/>
        </w:rPr>
      </w:pPr>
    </w:p>
    <w:sectPr w:rsidR="001536F3" w:rsidRPr="00B7111B" w:rsidSect="00C37D0C">
      <w:footerReference w:type="default" r:id="rId73"/>
      <w:pgSz w:w="11906" w:h="16838"/>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9AE51" w14:textId="77777777" w:rsidR="00C0090A" w:rsidRDefault="00C0090A">
      <w:r>
        <w:separator/>
      </w:r>
    </w:p>
  </w:endnote>
  <w:endnote w:type="continuationSeparator" w:id="0">
    <w:p w14:paraId="4A4827F4" w14:textId="77777777" w:rsidR="00C0090A" w:rsidRDefault="00C0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B0F5" w14:textId="58F2769C" w:rsidR="00D45643" w:rsidRPr="00232FC7" w:rsidRDefault="00D45643" w:rsidP="00137B74">
    <w:pPr>
      <w:pStyle w:val="Footer"/>
      <w:pBdr>
        <w:top w:val="single" w:sz="4" w:space="1" w:color="auto"/>
      </w:pBdr>
      <w:rPr>
        <w:rStyle w:val="PageNumber"/>
        <w:rFonts w:ascii="Arial" w:hAnsi="Arial" w:cs="Arial"/>
        <w:b/>
        <w:bCs/>
        <w:color w:val="000000"/>
        <w:sz w:val="16"/>
      </w:rPr>
    </w:pPr>
    <w:r>
      <w:rPr>
        <w:rStyle w:val="PageNumber"/>
        <w:rFonts w:ascii="Arial" w:hAnsi="Arial" w:cs="Arial"/>
        <w:b/>
        <w:bCs/>
        <w:sz w:val="16"/>
      </w:rPr>
      <w:t xml:space="preserve">Produced by </w:t>
    </w:r>
    <w:r>
      <w:rPr>
        <w:rStyle w:val="PageNumber"/>
        <w:rFonts w:ascii="Arial" w:hAnsi="Arial" w:cs="Arial"/>
        <w:b/>
        <w:bCs/>
        <w:color w:val="000000"/>
        <w:sz w:val="16"/>
      </w:rPr>
      <w:t xml:space="preserve">former </w:t>
    </w:r>
    <w:r w:rsidRPr="00232FC7">
      <w:rPr>
        <w:rStyle w:val="PageNumber"/>
        <w:rFonts w:ascii="Arial" w:hAnsi="Arial" w:cs="Arial"/>
        <w:b/>
        <w:bCs/>
        <w:color w:val="000000"/>
        <w:sz w:val="16"/>
      </w:rPr>
      <w:t>Magistrate Peter Power for the Children's Court of Victoria</w:t>
    </w:r>
  </w:p>
  <w:p w14:paraId="281DA017" w14:textId="0A4914BA" w:rsidR="00D45643" w:rsidRPr="00EE27CA" w:rsidRDefault="00D45643" w:rsidP="00137B74">
    <w:pPr>
      <w:pStyle w:val="Footer"/>
      <w:rPr>
        <w:color w:val="000000"/>
        <w:sz w:val="16"/>
      </w:rPr>
    </w:pPr>
    <w:r w:rsidRPr="00232FC7">
      <w:rPr>
        <w:rStyle w:val="PageNumber"/>
        <w:rFonts w:ascii="Arial" w:hAnsi="Arial" w:cs="Arial"/>
        <w:b/>
        <w:bCs/>
        <w:color w:val="000000"/>
        <w:sz w:val="16"/>
      </w:rPr>
      <w:t xml:space="preserve">Last updated </w:t>
    </w:r>
    <w:r w:rsidR="008B1ED3">
      <w:rPr>
        <w:rStyle w:val="PageNumber"/>
        <w:rFonts w:ascii="Arial" w:hAnsi="Arial" w:cs="Arial"/>
        <w:b/>
        <w:bCs/>
        <w:color w:val="000000"/>
        <w:sz w:val="16"/>
      </w:rPr>
      <w:t>02 July</w:t>
    </w:r>
    <w:r w:rsidR="00DF67CB">
      <w:rPr>
        <w:rStyle w:val="PageNumber"/>
        <w:rFonts w:ascii="Arial" w:hAnsi="Arial" w:cs="Arial"/>
        <w:b/>
        <w:bCs/>
        <w:color w:val="000000"/>
        <w:sz w:val="16"/>
      </w:rPr>
      <w:t xml:space="preserve"> 2026</w:t>
    </w:r>
    <w:r w:rsidRPr="00EE27CA">
      <w:rPr>
        <w:rStyle w:val="PageNumber"/>
        <w:rFonts w:ascii="Arial" w:hAnsi="Arial" w:cs="Arial"/>
        <w:b/>
        <w:bCs/>
        <w:color w:val="000000"/>
        <w:sz w:val="18"/>
      </w:rPr>
      <w:tab/>
    </w:r>
    <w:r w:rsidRPr="00EE27CA">
      <w:rPr>
        <w:rStyle w:val="PageNumber"/>
        <w:rFonts w:ascii="Arial" w:hAnsi="Arial" w:cs="Arial"/>
        <w:b/>
        <w:bCs/>
        <w:color w:val="000000"/>
      </w:rPr>
      <w:tab/>
    </w:r>
    <w:r w:rsidRPr="00EE27CA">
      <w:rPr>
        <w:rStyle w:val="PageNumber"/>
        <w:rFonts w:ascii="Arial" w:hAnsi="Arial" w:cs="Arial"/>
        <w:b/>
        <w:bCs/>
        <w:color w:val="000000"/>
        <w:sz w:val="16"/>
      </w:rPr>
      <w:t>3.</w:t>
    </w:r>
    <w:r w:rsidRPr="00EE27CA">
      <w:rPr>
        <w:rStyle w:val="PageNumber"/>
        <w:rFonts w:ascii="Arial" w:hAnsi="Arial" w:cs="Arial"/>
        <w:b/>
        <w:bCs/>
        <w:color w:val="000000"/>
        <w:sz w:val="16"/>
      </w:rPr>
      <w:fldChar w:fldCharType="begin"/>
    </w:r>
    <w:r w:rsidRPr="00EE27CA">
      <w:rPr>
        <w:rStyle w:val="PageNumber"/>
        <w:rFonts w:ascii="Arial" w:hAnsi="Arial" w:cs="Arial"/>
        <w:b/>
        <w:bCs/>
        <w:color w:val="000000"/>
        <w:sz w:val="16"/>
      </w:rPr>
      <w:instrText xml:space="preserve"> PAGE </w:instrText>
    </w:r>
    <w:r w:rsidRPr="00EE27CA">
      <w:rPr>
        <w:rStyle w:val="PageNumber"/>
        <w:rFonts w:ascii="Arial" w:hAnsi="Arial" w:cs="Arial"/>
        <w:b/>
        <w:bCs/>
        <w:color w:val="000000"/>
        <w:sz w:val="16"/>
      </w:rPr>
      <w:fldChar w:fldCharType="separate"/>
    </w:r>
    <w:r>
      <w:rPr>
        <w:rStyle w:val="PageNumber"/>
        <w:rFonts w:ascii="Arial" w:hAnsi="Arial" w:cs="Arial"/>
        <w:b/>
        <w:bCs/>
        <w:noProof/>
        <w:color w:val="000000"/>
        <w:sz w:val="16"/>
      </w:rPr>
      <w:t>35</w:t>
    </w:r>
    <w:r w:rsidRPr="00EE27CA">
      <w:rPr>
        <w:rStyle w:val="PageNumber"/>
        <w:rFonts w:ascii="Arial" w:hAnsi="Arial" w:cs="Arial"/>
        <w:b/>
        <w:bCs/>
        <w:color w:val="000000"/>
        <w:sz w:val="16"/>
      </w:rPr>
      <w:fldChar w:fldCharType="end"/>
    </w:r>
  </w:p>
  <w:p w14:paraId="13935A37" w14:textId="77777777" w:rsidR="00D45643" w:rsidRDefault="00D45643">
    <w:pPr>
      <w:pStyle w:val="Footer"/>
      <w:jc w:val="cen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59054" w14:textId="77777777" w:rsidR="00C0090A" w:rsidRDefault="00C0090A">
      <w:r>
        <w:separator/>
      </w:r>
    </w:p>
  </w:footnote>
  <w:footnote w:type="continuationSeparator" w:id="0">
    <w:p w14:paraId="6F58B513" w14:textId="77777777" w:rsidR="00C0090A" w:rsidRDefault="00C00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rPr>
        <w:sz w:val="2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541902"/>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2" w15:restartNumberingAfterBreak="0">
    <w:nsid w:val="015B1F98"/>
    <w:multiLevelType w:val="hybridMultilevel"/>
    <w:tmpl w:val="7E26F1BC"/>
    <w:lvl w:ilvl="0" w:tplc="4BFC558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321064">
      <w:start w:val="1"/>
      <w:numFmt w:val="bullet"/>
      <w:lvlRestart w:val="0"/>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C81A2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7C2BE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F64CE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7CB6C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E2611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E87D8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7211C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1D7481B"/>
    <w:multiLevelType w:val="hybridMultilevel"/>
    <w:tmpl w:val="D5607934"/>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4" w15:restartNumberingAfterBreak="0">
    <w:nsid w:val="04695C85"/>
    <w:multiLevelType w:val="hybridMultilevel"/>
    <w:tmpl w:val="2F00858C"/>
    <w:lvl w:ilvl="0" w:tplc="CC4AC22E">
      <w:start w:val="2"/>
      <w:numFmt w:val="lowerLetter"/>
      <w:lvlText w:val="(%1)"/>
      <w:lvlJc w:val="left"/>
      <w:pPr>
        <w:ind w:left="14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4C766FD"/>
    <w:multiLevelType w:val="hybridMultilevel"/>
    <w:tmpl w:val="8D825B0C"/>
    <w:lvl w:ilvl="0" w:tplc="0C09000F">
      <w:start w:val="1"/>
      <w:numFmt w:val="decimal"/>
      <w:lvlText w:val="%1."/>
      <w:lvlJc w:val="left"/>
      <w:pPr>
        <w:tabs>
          <w:tab w:val="num" w:pos="360"/>
        </w:tabs>
        <w:ind w:left="360" w:hanging="360"/>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CE618C"/>
    <w:multiLevelType w:val="hybridMultilevel"/>
    <w:tmpl w:val="0D40D5EC"/>
    <w:lvl w:ilvl="0" w:tplc="58705C82">
      <w:start w:val="1"/>
      <w:numFmt w:val="decimal"/>
      <w:lvlText w:val="%1."/>
      <w:lvlJc w:val="left"/>
      <w:pPr>
        <w:tabs>
          <w:tab w:val="num" w:pos="227"/>
        </w:tabs>
        <w:ind w:left="227" w:hanging="227"/>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3B41AC"/>
    <w:multiLevelType w:val="hybridMultilevel"/>
    <w:tmpl w:val="0C601A1E"/>
    <w:lvl w:ilvl="0" w:tplc="B41AED8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6550EBB"/>
    <w:multiLevelType w:val="hybridMultilevel"/>
    <w:tmpl w:val="62E2DC2A"/>
    <w:lvl w:ilvl="0" w:tplc="98903C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06BD3610"/>
    <w:multiLevelType w:val="hybridMultilevel"/>
    <w:tmpl w:val="BB22AB92"/>
    <w:lvl w:ilvl="0" w:tplc="3BE8B6D0">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0" w15:restartNumberingAfterBreak="0">
    <w:nsid w:val="071E2E6B"/>
    <w:multiLevelType w:val="hybridMultilevel"/>
    <w:tmpl w:val="F056D104"/>
    <w:lvl w:ilvl="0" w:tplc="FFFFFFFF">
      <w:start w:val="1"/>
      <w:numFmt w:val="decimal"/>
      <w:lvlText w:val="(%1)"/>
      <w:lvlJc w:val="left"/>
      <w:pPr>
        <w:tabs>
          <w:tab w:val="num" w:pos="1140"/>
        </w:tabs>
        <w:ind w:left="1140" w:hanging="57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723003C"/>
    <w:multiLevelType w:val="hybridMultilevel"/>
    <w:tmpl w:val="DAC8B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3E7602"/>
    <w:multiLevelType w:val="hybridMultilevel"/>
    <w:tmpl w:val="B636D6CA"/>
    <w:lvl w:ilvl="0" w:tplc="BE60EA5A">
      <w:start w:val="1"/>
      <w:numFmt w:val="decimal"/>
      <w:lvlText w:val="%1."/>
      <w:lvlJc w:val="left"/>
      <w:pPr>
        <w:tabs>
          <w:tab w:val="num" w:pos="720"/>
        </w:tabs>
        <w:ind w:left="720" w:hanging="360"/>
      </w:pPr>
    </w:lvl>
    <w:lvl w:ilvl="1" w:tplc="0088AB2C">
      <w:numFmt w:val="none"/>
      <w:lvlText w:val=""/>
      <w:lvlJc w:val="left"/>
      <w:pPr>
        <w:tabs>
          <w:tab w:val="num" w:pos="360"/>
        </w:tabs>
      </w:pPr>
    </w:lvl>
    <w:lvl w:ilvl="2" w:tplc="2662D992">
      <w:numFmt w:val="none"/>
      <w:lvlText w:val=""/>
      <w:lvlJc w:val="left"/>
      <w:pPr>
        <w:tabs>
          <w:tab w:val="num" w:pos="360"/>
        </w:tabs>
      </w:pPr>
    </w:lvl>
    <w:lvl w:ilvl="3" w:tplc="5EA40D6E">
      <w:numFmt w:val="none"/>
      <w:lvlText w:val=""/>
      <w:lvlJc w:val="left"/>
      <w:pPr>
        <w:tabs>
          <w:tab w:val="num" w:pos="360"/>
        </w:tabs>
      </w:pPr>
    </w:lvl>
    <w:lvl w:ilvl="4" w:tplc="9B7C61C0">
      <w:numFmt w:val="none"/>
      <w:lvlText w:val=""/>
      <w:lvlJc w:val="left"/>
      <w:pPr>
        <w:tabs>
          <w:tab w:val="num" w:pos="360"/>
        </w:tabs>
      </w:pPr>
    </w:lvl>
    <w:lvl w:ilvl="5" w:tplc="7E841480">
      <w:numFmt w:val="none"/>
      <w:lvlText w:val=""/>
      <w:lvlJc w:val="left"/>
      <w:pPr>
        <w:tabs>
          <w:tab w:val="num" w:pos="360"/>
        </w:tabs>
      </w:pPr>
    </w:lvl>
    <w:lvl w:ilvl="6" w:tplc="CD42169A">
      <w:numFmt w:val="none"/>
      <w:lvlText w:val=""/>
      <w:lvlJc w:val="left"/>
      <w:pPr>
        <w:tabs>
          <w:tab w:val="num" w:pos="360"/>
        </w:tabs>
      </w:pPr>
    </w:lvl>
    <w:lvl w:ilvl="7" w:tplc="676E6BBE">
      <w:numFmt w:val="none"/>
      <w:lvlText w:val=""/>
      <w:lvlJc w:val="left"/>
      <w:pPr>
        <w:tabs>
          <w:tab w:val="num" w:pos="360"/>
        </w:tabs>
      </w:pPr>
    </w:lvl>
    <w:lvl w:ilvl="8" w:tplc="F91C6040">
      <w:numFmt w:val="none"/>
      <w:lvlText w:val=""/>
      <w:lvlJc w:val="left"/>
      <w:pPr>
        <w:tabs>
          <w:tab w:val="num" w:pos="360"/>
        </w:tabs>
      </w:pPr>
    </w:lvl>
  </w:abstractNum>
  <w:abstractNum w:abstractNumId="13" w15:restartNumberingAfterBreak="0">
    <w:nsid w:val="0746273C"/>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14" w15:restartNumberingAfterBreak="0">
    <w:nsid w:val="07B9702C"/>
    <w:multiLevelType w:val="hybridMultilevel"/>
    <w:tmpl w:val="CE4268F2"/>
    <w:lvl w:ilvl="0" w:tplc="5FF822FE">
      <w:start w:val="1"/>
      <w:numFmt w:val="lowerRoman"/>
      <w:lvlText w:val="(%1)"/>
      <w:lvlJc w:val="left"/>
      <w:pPr>
        <w:ind w:left="2502" w:hanging="720"/>
      </w:pPr>
      <w:rPr>
        <w:rFonts w:hint="default"/>
      </w:rPr>
    </w:lvl>
    <w:lvl w:ilvl="1" w:tplc="0C090019" w:tentative="1">
      <w:start w:val="1"/>
      <w:numFmt w:val="lowerLetter"/>
      <w:lvlText w:val="%2."/>
      <w:lvlJc w:val="left"/>
      <w:pPr>
        <w:ind w:left="2862" w:hanging="360"/>
      </w:pPr>
    </w:lvl>
    <w:lvl w:ilvl="2" w:tplc="0C09001B" w:tentative="1">
      <w:start w:val="1"/>
      <w:numFmt w:val="lowerRoman"/>
      <w:lvlText w:val="%3."/>
      <w:lvlJc w:val="right"/>
      <w:pPr>
        <w:ind w:left="3582" w:hanging="180"/>
      </w:pPr>
    </w:lvl>
    <w:lvl w:ilvl="3" w:tplc="0C09000F" w:tentative="1">
      <w:start w:val="1"/>
      <w:numFmt w:val="decimal"/>
      <w:lvlText w:val="%4."/>
      <w:lvlJc w:val="left"/>
      <w:pPr>
        <w:ind w:left="4302" w:hanging="360"/>
      </w:pPr>
    </w:lvl>
    <w:lvl w:ilvl="4" w:tplc="0C090019" w:tentative="1">
      <w:start w:val="1"/>
      <w:numFmt w:val="lowerLetter"/>
      <w:lvlText w:val="%5."/>
      <w:lvlJc w:val="left"/>
      <w:pPr>
        <w:ind w:left="5022" w:hanging="360"/>
      </w:pPr>
    </w:lvl>
    <w:lvl w:ilvl="5" w:tplc="0C09001B" w:tentative="1">
      <w:start w:val="1"/>
      <w:numFmt w:val="lowerRoman"/>
      <w:lvlText w:val="%6."/>
      <w:lvlJc w:val="right"/>
      <w:pPr>
        <w:ind w:left="5742" w:hanging="180"/>
      </w:pPr>
    </w:lvl>
    <w:lvl w:ilvl="6" w:tplc="0C09000F" w:tentative="1">
      <w:start w:val="1"/>
      <w:numFmt w:val="decimal"/>
      <w:lvlText w:val="%7."/>
      <w:lvlJc w:val="left"/>
      <w:pPr>
        <w:ind w:left="6462" w:hanging="360"/>
      </w:pPr>
    </w:lvl>
    <w:lvl w:ilvl="7" w:tplc="0C090019" w:tentative="1">
      <w:start w:val="1"/>
      <w:numFmt w:val="lowerLetter"/>
      <w:lvlText w:val="%8."/>
      <w:lvlJc w:val="left"/>
      <w:pPr>
        <w:ind w:left="7182" w:hanging="360"/>
      </w:pPr>
    </w:lvl>
    <w:lvl w:ilvl="8" w:tplc="0C09001B" w:tentative="1">
      <w:start w:val="1"/>
      <w:numFmt w:val="lowerRoman"/>
      <w:lvlText w:val="%9."/>
      <w:lvlJc w:val="right"/>
      <w:pPr>
        <w:ind w:left="7902" w:hanging="180"/>
      </w:pPr>
    </w:lvl>
  </w:abstractNum>
  <w:abstractNum w:abstractNumId="15" w15:restartNumberingAfterBreak="0">
    <w:nsid w:val="081E183E"/>
    <w:multiLevelType w:val="hybridMultilevel"/>
    <w:tmpl w:val="721AE528"/>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08764C5B"/>
    <w:multiLevelType w:val="hybridMultilevel"/>
    <w:tmpl w:val="12EC4A7A"/>
    <w:lvl w:ilvl="0" w:tplc="D628641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7" w15:restartNumberingAfterBreak="0">
    <w:nsid w:val="0952460A"/>
    <w:multiLevelType w:val="hybridMultilevel"/>
    <w:tmpl w:val="502613F0"/>
    <w:lvl w:ilvl="0" w:tplc="0F6E3828">
      <w:start w:val="2"/>
      <w:numFmt w:val="bullet"/>
      <w:lvlText w:val=""/>
      <w:lvlJc w:val="left"/>
      <w:pPr>
        <w:ind w:left="774" w:hanging="360"/>
      </w:pPr>
      <w:rPr>
        <w:rFonts w:ascii="Wingdings 2" w:hAnsi="Wingdings 2" w:hint="default"/>
        <w:color w:val="000000" w:themeColor="text1"/>
        <w:sz w:val="18"/>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8" w15:restartNumberingAfterBreak="0">
    <w:nsid w:val="099D6C58"/>
    <w:multiLevelType w:val="hybridMultilevel"/>
    <w:tmpl w:val="10446DD2"/>
    <w:lvl w:ilvl="0" w:tplc="570E06B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09D84FF4"/>
    <w:multiLevelType w:val="hybridMultilevel"/>
    <w:tmpl w:val="D208FDA0"/>
    <w:lvl w:ilvl="0" w:tplc="A342AD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B8E7537"/>
    <w:multiLevelType w:val="multilevel"/>
    <w:tmpl w:val="1F82FF6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CA4118A"/>
    <w:multiLevelType w:val="multilevel"/>
    <w:tmpl w:val="7AD819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0D5D5C24"/>
    <w:multiLevelType w:val="hybridMultilevel"/>
    <w:tmpl w:val="7C568462"/>
    <w:lvl w:ilvl="0" w:tplc="2C0E9B26">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3" w15:restartNumberingAfterBreak="0">
    <w:nsid w:val="0E9B792B"/>
    <w:multiLevelType w:val="hybridMultilevel"/>
    <w:tmpl w:val="4C60878E"/>
    <w:lvl w:ilvl="0" w:tplc="43603BE6">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4" w15:restartNumberingAfterBreak="0">
    <w:nsid w:val="0F956D00"/>
    <w:multiLevelType w:val="hybridMultilevel"/>
    <w:tmpl w:val="CD98B56E"/>
    <w:lvl w:ilvl="0" w:tplc="191236A6">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F957DFD"/>
    <w:multiLevelType w:val="hybridMultilevel"/>
    <w:tmpl w:val="C3ECEC20"/>
    <w:lvl w:ilvl="0" w:tplc="1042F8FC">
      <w:start w:val="4"/>
      <w:numFmt w:val="decimal"/>
      <w:lvlText w:val="%1."/>
      <w:lvlJc w:val="left"/>
      <w:pPr>
        <w:tabs>
          <w:tab w:val="num" w:pos="227"/>
        </w:tabs>
        <w:ind w:left="227" w:hanging="227"/>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05A6E8F"/>
    <w:multiLevelType w:val="hybridMultilevel"/>
    <w:tmpl w:val="289EAE40"/>
    <w:lvl w:ilvl="0" w:tplc="0C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1924830"/>
    <w:multiLevelType w:val="hybridMultilevel"/>
    <w:tmpl w:val="20C8201A"/>
    <w:lvl w:ilvl="0" w:tplc="8E2466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1E401C1"/>
    <w:multiLevelType w:val="hybridMultilevel"/>
    <w:tmpl w:val="2F425CB8"/>
    <w:lvl w:ilvl="0" w:tplc="C6AADADE">
      <w:start w:val="1"/>
      <w:numFmt w:val="decimal"/>
      <w:lvlText w:val="%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34E479E"/>
    <w:multiLevelType w:val="hybridMultilevel"/>
    <w:tmpl w:val="2CC84E92"/>
    <w:lvl w:ilvl="0" w:tplc="B98223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3630043"/>
    <w:multiLevelType w:val="hybridMultilevel"/>
    <w:tmpl w:val="5A46C252"/>
    <w:lvl w:ilvl="0" w:tplc="5FA813B4">
      <w:start w:val="1"/>
      <w:numFmt w:val="bullet"/>
      <w:lvlText w:val=""/>
      <w:lvlJc w:val="left"/>
      <w:pPr>
        <w:tabs>
          <w:tab w:val="num" w:pos="0"/>
        </w:tabs>
        <w:ind w:left="343" w:hanging="283"/>
      </w:pPr>
      <w:rPr>
        <w:rFonts w:ascii="Symbol" w:hAnsi="Symbol" w:hint="default"/>
        <w:color w:val="00000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1460622E"/>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16305C10"/>
    <w:multiLevelType w:val="hybridMultilevel"/>
    <w:tmpl w:val="56265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79854A7"/>
    <w:multiLevelType w:val="multilevel"/>
    <w:tmpl w:val="9972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414B25"/>
    <w:multiLevelType w:val="hybridMultilevel"/>
    <w:tmpl w:val="7B4CB410"/>
    <w:lvl w:ilvl="0" w:tplc="7B62D2BC">
      <w:start w:val="1"/>
      <w:numFmt w:val="decimal"/>
      <w:lvlText w:val="(%1)"/>
      <w:lvlJc w:val="left"/>
      <w:pPr>
        <w:ind w:left="818" w:hanging="458"/>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1B5830B6"/>
    <w:multiLevelType w:val="hybridMultilevel"/>
    <w:tmpl w:val="E44A7340"/>
    <w:lvl w:ilvl="0" w:tplc="D6D073D0">
      <w:start w:val="1"/>
      <w:numFmt w:val="bullet"/>
      <w:lvlText w:val=""/>
      <w:lvlJc w:val="left"/>
      <w:pPr>
        <w:ind w:left="1174" w:hanging="360"/>
      </w:pPr>
      <w:rPr>
        <w:rFonts w:ascii="Symbol" w:hAnsi="Symbol" w:hint="default"/>
        <w:u w:color="000000" w:themeColor="text1"/>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36" w15:restartNumberingAfterBreak="0">
    <w:nsid w:val="1C615DF2"/>
    <w:multiLevelType w:val="hybridMultilevel"/>
    <w:tmpl w:val="98BE5BC0"/>
    <w:lvl w:ilvl="0" w:tplc="E2A0CA02">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1E0F621B"/>
    <w:multiLevelType w:val="hybridMultilevel"/>
    <w:tmpl w:val="F056D104"/>
    <w:lvl w:ilvl="0" w:tplc="3FA06DE0">
      <w:start w:val="1"/>
      <w:numFmt w:val="decimal"/>
      <w:lvlText w:val="(%1)"/>
      <w:lvlJc w:val="left"/>
      <w:pPr>
        <w:tabs>
          <w:tab w:val="num" w:pos="1140"/>
        </w:tabs>
        <w:ind w:left="1140" w:hanging="570"/>
      </w:pPr>
      <w:rPr>
        <w:rFonts w:hint="default"/>
      </w:rPr>
    </w:lvl>
    <w:lvl w:ilvl="1" w:tplc="43D4A37C">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1F5A0379"/>
    <w:multiLevelType w:val="hybridMultilevel"/>
    <w:tmpl w:val="5DD645C6"/>
    <w:lvl w:ilvl="0" w:tplc="C29677B8">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39" w15:restartNumberingAfterBreak="0">
    <w:nsid w:val="21002D5C"/>
    <w:multiLevelType w:val="hybridMultilevel"/>
    <w:tmpl w:val="9B6E36F6"/>
    <w:lvl w:ilvl="0" w:tplc="D4DA2950">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11E43D5"/>
    <w:multiLevelType w:val="hybridMultilevel"/>
    <w:tmpl w:val="062627C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1" w15:restartNumberingAfterBreak="0">
    <w:nsid w:val="2162658B"/>
    <w:multiLevelType w:val="hybridMultilevel"/>
    <w:tmpl w:val="814A5C84"/>
    <w:lvl w:ilvl="0" w:tplc="33E8C3AE">
      <w:start w:val="1"/>
      <w:numFmt w:val="bullet"/>
      <w:lvlText w:val=""/>
      <w:lvlJc w:val="left"/>
      <w:pPr>
        <w:tabs>
          <w:tab w:val="num" w:pos="814"/>
        </w:tabs>
        <w:ind w:left="756" w:hanging="396"/>
      </w:pPr>
      <w:rPr>
        <w:rFonts w:ascii="Symbol" w:hAnsi="Symbol" w:hint="default"/>
        <w:color w:val="000000"/>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19D2AB4"/>
    <w:multiLevelType w:val="hybridMultilevel"/>
    <w:tmpl w:val="550C29BA"/>
    <w:lvl w:ilvl="0" w:tplc="FFFFFFFF">
      <w:start w:val="1"/>
      <w:numFmt w:val="lowerLetter"/>
      <w:lvlText w:val="(%1)"/>
      <w:lvlJc w:val="left"/>
      <w:pPr>
        <w:ind w:left="720" w:hanging="360"/>
      </w:pPr>
      <w:rPr>
        <w:rFonts w:ascii="Arial" w:eastAsia="Times New Roman" w:hAnsi="Arial" w:cs="Arial"/>
        <w:b w:val="0"/>
        <w:i w:val="0"/>
        <w:strike w:val="0"/>
        <w:dstrike w:val="0"/>
        <w:color w:val="000000"/>
        <w:sz w:val="20"/>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2374A54"/>
    <w:multiLevelType w:val="hybridMultilevel"/>
    <w:tmpl w:val="702E2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251282E"/>
    <w:multiLevelType w:val="hybridMultilevel"/>
    <w:tmpl w:val="9956E924"/>
    <w:lvl w:ilvl="0" w:tplc="87FC4D5C">
      <w:start w:val="1"/>
      <w:numFmt w:val="bullet"/>
      <w:lvlText w:val=""/>
      <w:lvlJc w:val="left"/>
      <w:pPr>
        <w:ind w:left="777" w:hanging="360"/>
      </w:pPr>
      <w:rPr>
        <w:rFonts w:ascii="Symbol" w:hAnsi="Symbol" w:hint="default"/>
        <w:b w:val="0"/>
        <w:i w:val="0"/>
        <w:strike w:val="0"/>
        <w:dstrike w:val="0"/>
        <w:color w:val="000000"/>
        <w:sz w:val="22"/>
        <w:szCs w:val="24"/>
        <w:u w:val="none" w:color="000000"/>
        <w:vertAlign w:val="baseline"/>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45" w15:restartNumberingAfterBreak="0">
    <w:nsid w:val="234B2542"/>
    <w:multiLevelType w:val="hybridMultilevel"/>
    <w:tmpl w:val="F9D04804"/>
    <w:lvl w:ilvl="0" w:tplc="C916F59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46" w15:restartNumberingAfterBreak="0">
    <w:nsid w:val="23FC36EF"/>
    <w:multiLevelType w:val="hybridMultilevel"/>
    <w:tmpl w:val="6BDAE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43116B4"/>
    <w:multiLevelType w:val="hybridMultilevel"/>
    <w:tmpl w:val="1DE2EF46"/>
    <w:lvl w:ilvl="0" w:tplc="27F07808">
      <w:start w:val="1"/>
      <w:numFmt w:val="bullet"/>
      <w:lvlText w:val=""/>
      <w:lvlJc w:val="left"/>
      <w:pPr>
        <w:tabs>
          <w:tab w:val="num" w:pos="723"/>
        </w:tabs>
        <w:ind w:left="0" w:firstLine="363"/>
      </w:pPr>
      <w:rPr>
        <w:rFonts w:ascii="Wingdings" w:hAnsi="Wingdings" w:cs="Times New Roman"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6026099"/>
    <w:multiLevelType w:val="hybridMultilevel"/>
    <w:tmpl w:val="83B8B224"/>
    <w:lvl w:ilvl="0" w:tplc="4F7CBCE0">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49" w15:restartNumberingAfterBreak="0">
    <w:nsid w:val="26611F2B"/>
    <w:multiLevelType w:val="hybridMultilevel"/>
    <w:tmpl w:val="9894EDCC"/>
    <w:lvl w:ilvl="0" w:tplc="E9EC863E">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0" w15:restartNumberingAfterBreak="0">
    <w:nsid w:val="26FD6E21"/>
    <w:multiLevelType w:val="hybridMultilevel"/>
    <w:tmpl w:val="84B6BA60"/>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72D3541"/>
    <w:multiLevelType w:val="hybridMultilevel"/>
    <w:tmpl w:val="5C2C8A4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297826C7"/>
    <w:multiLevelType w:val="hybridMultilevel"/>
    <w:tmpl w:val="A66A9A06"/>
    <w:lvl w:ilvl="0" w:tplc="5E3212A0">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A140ECC"/>
    <w:multiLevelType w:val="hybridMultilevel"/>
    <w:tmpl w:val="1F067648"/>
    <w:lvl w:ilvl="0" w:tplc="189C769A">
      <w:start w:val="1"/>
      <w:numFmt w:val="decimal"/>
      <w:lvlText w:val="(%1)"/>
      <w:lvlJc w:val="left"/>
      <w:pPr>
        <w:ind w:left="2145"/>
      </w:pPr>
      <w:rPr>
        <w:rFonts w:ascii="Arial" w:hAnsi="Arial" w:cs="Book Antiqua" w:hint="default"/>
        <w:b w:val="0"/>
        <w:i w:val="0"/>
        <w:strike w:val="0"/>
        <w:dstrike w:val="0"/>
        <w:color w:val="000000"/>
        <w:sz w:val="18"/>
        <w:szCs w:val="22"/>
        <w:u w:val="none" w:color="000000"/>
        <w:bdr w:val="none" w:sz="0" w:space="0" w:color="auto"/>
        <w:shd w:val="clear" w:color="auto" w:fill="auto"/>
        <w:vertAlign w:val="baseline"/>
      </w:rPr>
    </w:lvl>
    <w:lvl w:ilvl="1" w:tplc="9EF48C5A">
      <w:start w:val="1"/>
      <w:numFmt w:val="lowerLetter"/>
      <w:lvlText w:val="%2"/>
      <w:lvlJc w:val="left"/>
      <w:pPr>
        <w:ind w:left="119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E0189C64">
      <w:start w:val="1"/>
      <w:numFmt w:val="lowerRoman"/>
      <w:lvlText w:val="%3"/>
      <w:lvlJc w:val="left"/>
      <w:pPr>
        <w:ind w:left="191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26981A64">
      <w:start w:val="1"/>
      <w:numFmt w:val="decimal"/>
      <w:lvlText w:val="%4"/>
      <w:lvlJc w:val="left"/>
      <w:pPr>
        <w:ind w:left="263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E2FA161C">
      <w:start w:val="1"/>
      <w:numFmt w:val="lowerLetter"/>
      <w:lvlText w:val="%5"/>
      <w:lvlJc w:val="left"/>
      <w:pPr>
        <w:ind w:left="335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7A72DE60">
      <w:start w:val="1"/>
      <w:numFmt w:val="lowerRoman"/>
      <w:lvlText w:val="%6"/>
      <w:lvlJc w:val="left"/>
      <w:pPr>
        <w:ind w:left="407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95F4600A">
      <w:start w:val="1"/>
      <w:numFmt w:val="decimal"/>
      <w:lvlText w:val="%7"/>
      <w:lvlJc w:val="left"/>
      <w:pPr>
        <w:ind w:left="479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C7AEFCE6">
      <w:start w:val="1"/>
      <w:numFmt w:val="lowerLetter"/>
      <w:lvlText w:val="%8"/>
      <w:lvlJc w:val="left"/>
      <w:pPr>
        <w:ind w:left="551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A0FEAA90">
      <w:start w:val="1"/>
      <w:numFmt w:val="lowerRoman"/>
      <w:lvlText w:val="%9"/>
      <w:lvlJc w:val="left"/>
      <w:pPr>
        <w:ind w:left="623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2A1E6CF3"/>
    <w:multiLevelType w:val="hybridMultilevel"/>
    <w:tmpl w:val="0C346596"/>
    <w:lvl w:ilvl="0" w:tplc="29027E08">
      <w:start w:val="2"/>
      <w:numFmt w:val="lowerRoman"/>
      <w:lvlText w:val="(%1)"/>
      <w:lvlJc w:val="left"/>
      <w:pPr>
        <w:ind w:left="1077" w:hanging="360"/>
      </w:pPr>
      <w:rPr>
        <w:rFonts w:ascii="Arial" w:hAnsi="Arial" w:cs="Arial" w:hint="default"/>
        <w:b w:val="0"/>
        <w:i w:val="0"/>
        <w:strike w:val="0"/>
        <w:dstrike w:val="0"/>
        <w:color w:val="181717"/>
        <w:sz w:val="20"/>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2A8F6204"/>
    <w:multiLevelType w:val="hybridMultilevel"/>
    <w:tmpl w:val="246229E4"/>
    <w:lvl w:ilvl="0" w:tplc="55BC8538">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2AC27F4D"/>
    <w:multiLevelType w:val="hybridMultilevel"/>
    <w:tmpl w:val="A830D6FE"/>
    <w:lvl w:ilvl="0" w:tplc="8D60332C">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2D972DD9"/>
    <w:multiLevelType w:val="hybridMultilevel"/>
    <w:tmpl w:val="1A42D6A0"/>
    <w:lvl w:ilvl="0" w:tplc="DA34B622">
      <w:start w:val="1"/>
      <w:numFmt w:val="bullet"/>
      <w:lvlText w:val=""/>
      <w:lvlJc w:val="left"/>
      <w:pPr>
        <w:ind w:left="774" w:hanging="360"/>
      </w:pPr>
      <w:rPr>
        <w:rFonts w:ascii="Symbol" w:hAnsi="Symbol" w:hint="default"/>
        <w:sz w:val="22"/>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8" w15:restartNumberingAfterBreak="0">
    <w:nsid w:val="2DB657EC"/>
    <w:multiLevelType w:val="hybridMultilevel"/>
    <w:tmpl w:val="8568478A"/>
    <w:lvl w:ilvl="0" w:tplc="E3DADD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2DBF42AD"/>
    <w:multiLevelType w:val="hybridMultilevel"/>
    <w:tmpl w:val="5B58A964"/>
    <w:lvl w:ilvl="0" w:tplc="8FF2C78C">
      <w:start w:val="2"/>
      <w:numFmt w:val="bullet"/>
      <w:lvlText w:val=""/>
      <w:lvlJc w:val="left"/>
      <w:pPr>
        <w:tabs>
          <w:tab w:val="num" w:pos="363"/>
        </w:tabs>
        <w:ind w:left="363" w:hanging="363"/>
      </w:pPr>
      <w:rPr>
        <w:rFonts w:ascii="Wingdings 2" w:hAnsi="Wingdings 2" w:hint="default"/>
        <w:sz w:val="20"/>
      </w:rPr>
    </w:lvl>
    <w:lvl w:ilvl="1" w:tplc="191236A6">
      <w:start w:val="2"/>
      <w:numFmt w:val="bullet"/>
      <w:lvlText w:val=""/>
      <w:lvlJc w:val="left"/>
      <w:pPr>
        <w:tabs>
          <w:tab w:val="num" w:pos="1440"/>
        </w:tabs>
        <w:ind w:left="1080" w:firstLine="0"/>
      </w:pPr>
      <w:rPr>
        <w:rFonts w:ascii="Wingdings 2" w:hAnsi="Wingdings 2"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2E3136D0"/>
    <w:multiLevelType w:val="multilevel"/>
    <w:tmpl w:val="585881B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E6A4C53"/>
    <w:multiLevelType w:val="hybridMultilevel"/>
    <w:tmpl w:val="246CB9E2"/>
    <w:lvl w:ilvl="0" w:tplc="1C4E62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2EAB0025"/>
    <w:multiLevelType w:val="hybridMultilevel"/>
    <w:tmpl w:val="73643D3A"/>
    <w:lvl w:ilvl="0" w:tplc="62E2EA16">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2EC90D53"/>
    <w:multiLevelType w:val="hybridMultilevel"/>
    <w:tmpl w:val="CB6EDA5C"/>
    <w:lvl w:ilvl="0" w:tplc="075E2182">
      <w:start w:val="1"/>
      <w:numFmt w:val="lowerRoman"/>
      <w:lvlText w:val="(%1)"/>
      <w:lvlJc w:val="left"/>
      <w:pPr>
        <w:ind w:left="774" w:hanging="360"/>
      </w:pPr>
      <w:rPr>
        <w:rFonts w:ascii="Arial" w:hAnsi="Arial" w:hint="default"/>
        <w:b/>
        <w:i w:val="0"/>
        <w:color w:val="000000"/>
        <w:sz w:val="20"/>
        <w:szCs w:val="32"/>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4" w15:restartNumberingAfterBreak="0">
    <w:nsid w:val="2F3959AF"/>
    <w:multiLevelType w:val="hybridMultilevel"/>
    <w:tmpl w:val="EFF63AFE"/>
    <w:lvl w:ilvl="0" w:tplc="B3DED8DC">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5" w15:restartNumberingAfterBreak="0">
    <w:nsid w:val="30740883"/>
    <w:multiLevelType w:val="hybridMultilevel"/>
    <w:tmpl w:val="788027E6"/>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6" w15:restartNumberingAfterBreak="0">
    <w:nsid w:val="311F1D5E"/>
    <w:multiLevelType w:val="hybridMultilevel"/>
    <w:tmpl w:val="675839D0"/>
    <w:lvl w:ilvl="0" w:tplc="EA066FCC">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32302767"/>
    <w:multiLevelType w:val="hybridMultilevel"/>
    <w:tmpl w:val="24D2E302"/>
    <w:lvl w:ilvl="0" w:tplc="2EF6F3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323B3837"/>
    <w:multiLevelType w:val="hybridMultilevel"/>
    <w:tmpl w:val="550C29BA"/>
    <w:lvl w:ilvl="0" w:tplc="2174C63A">
      <w:start w:val="1"/>
      <w:numFmt w:val="lowerLetter"/>
      <w:lvlText w:val="(%1)"/>
      <w:lvlJc w:val="left"/>
      <w:pPr>
        <w:ind w:left="720" w:hanging="360"/>
      </w:pPr>
      <w:rPr>
        <w:rFonts w:ascii="Arial" w:eastAsia="Times New Roman" w:hAnsi="Arial" w:cs="Arial"/>
        <w:b w:val="0"/>
        <w:i w:val="0"/>
        <w:strike w:val="0"/>
        <w:dstrike w:val="0"/>
        <w:color w:val="000000"/>
        <w:sz w:val="20"/>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2966A55"/>
    <w:multiLevelType w:val="hybridMultilevel"/>
    <w:tmpl w:val="FE906304"/>
    <w:lvl w:ilvl="0" w:tplc="6F523F1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71" w15:restartNumberingAfterBreak="0">
    <w:nsid w:val="33005254"/>
    <w:multiLevelType w:val="hybridMultilevel"/>
    <w:tmpl w:val="7A4E5F50"/>
    <w:lvl w:ilvl="0" w:tplc="576075C4">
      <w:start w:val="1"/>
      <w:numFmt w:val="decimal"/>
      <w:lvlText w:val="%1."/>
      <w:lvlJc w:val="left"/>
      <w:pPr>
        <w:ind w:left="927" w:hanging="360"/>
      </w:pPr>
      <w:rPr>
        <w:rFonts w:ascii="Arial" w:hAnsi="Arial" w:hint="default"/>
        <w:b w:val="0"/>
        <w:i w:val="0"/>
        <w:sz w:val="2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2" w15:restartNumberingAfterBreak="0">
    <w:nsid w:val="3304517C"/>
    <w:multiLevelType w:val="hybridMultilevel"/>
    <w:tmpl w:val="D8D4B6CA"/>
    <w:lvl w:ilvl="0" w:tplc="B7026C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338D72C0"/>
    <w:multiLevelType w:val="hybridMultilevel"/>
    <w:tmpl w:val="2604E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33BE2D18"/>
    <w:multiLevelType w:val="hybridMultilevel"/>
    <w:tmpl w:val="5D90BED8"/>
    <w:lvl w:ilvl="0" w:tplc="BEDA4C9C">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33F02E60"/>
    <w:multiLevelType w:val="hybridMultilevel"/>
    <w:tmpl w:val="E4C61548"/>
    <w:lvl w:ilvl="0" w:tplc="E96A0C02">
      <w:start w:val="1"/>
      <w:numFmt w:val="lowerLetter"/>
      <w:lvlText w:val="(%1)"/>
      <w:lvlJc w:val="left"/>
      <w:pPr>
        <w:ind w:left="720" w:hanging="36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34A67015"/>
    <w:multiLevelType w:val="hybridMultilevel"/>
    <w:tmpl w:val="6486DE16"/>
    <w:lvl w:ilvl="0" w:tplc="2940031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351B0124"/>
    <w:multiLevelType w:val="hybridMultilevel"/>
    <w:tmpl w:val="22C09B0A"/>
    <w:lvl w:ilvl="0" w:tplc="649623A8">
      <w:start w:val="8"/>
      <w:numFmt w:val="bullet"/>
      <w:lvlText w:val=""/>
      <w:lvlJc w:val="left"/>
      <w:pPr>
        <w:ind w:left="720" w:hanging="360"/>
      </w:pPr>
      <w:rPr>
        <w:rFonts w:ascii="Wingdings" w:hAnsi="Wingdings" w:cs="Times New Roman" w:hint="default"/>
        <w:b w:val="0"/>
        <w:i w:val="0"/>
        <w:color w:val="000000"/>
        <w:sz w:val="24"/>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35B10BCA"/>
    <w:multiLevelType w:val="hybridMultilevel"/>
    <w:tmpl w:val="4FE0A926"/>
    <w:lvl w:ilvl="0" w:tplc="DDA8F6C2">
      <w:start w:val="37"/>
      <w:numFmt w:val="decimal"/>
      <w:lvlText w:val="%1"/>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F9B67C3C">
      <w:start w:val="37"/>
      <w:numFmt w:val="lowerRoman"/>
      <w:lvlText w:val="(%2)"/>
      <w:lvlJc w:val="left"/>
      <w:pPr>
        <w:ind w:left="1425" w:firstLine="0"/>
      </w:pPr>
      <w:rPr>
        <w:rFonts w:ascii="Arial" w:hAnsi="Arial" w:cs="Book Antiqua" w:hint="default"/>
        <w:b w:val="0"/>
        <w:i w:val="0"/>
        <w:strike w:val="0"/>
        <w:dstrike w:val="0"/>
        <w:color w:val="000000"/>
        <w:sz w:val="20"/>
        <w:szCs w:val="24"/>
        <w:u w:val="none" w:color="000000"/>
        <w:vertAlign w:val="baseline"/>
      </w:rPr>
    </w:lvl>
    <w:lvl w:ilvl="2" w:tplc="B1A0DD16">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1F660F2A">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1DCA2E4C">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6A1AFCD6">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41B40066">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AF12CA0C">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ACF0DEF4">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35BB08BD"/>
    <w:multiLevelType w:val="hybridMultilevel"/>
    <w:tmpl w:val="9D6846DC"/>
    <w:lvl w:ilvl="0" w:tplc="C528291A">
      <w:start w:val="2"/>
      <w:numFmt w:val="bullet"/>
      <w:lvlText w:val=""/>
      <w:lvlJc w:val="left"/>
      <w:pPr>
        <w:ind w:left="784" w:hanging="360"/>
      </w:pPr>
      <w:rPr>
        <w:rFonts w:ascii="Wingdings 2" w:hAnsi="Wingdings 2" w:hint="default"/>
        <w:sz w:val="20"/>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80" w15:restartNumberingAfterBreak="0">
    <w:nsid w:val="364A78D1"/>
    <w:multiLevelType w:val="hybridMultilevel"/>
    <w:tmpl w:val="86A841CE"/>
    <w:lvl w:ilvl="0" w:tplc="61205F1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1" w15:restartNumberingAfterBreak="0">
    <w:nsid w:val="369947CD"/>
    <w:multiLevelType w:val="hybridMultilevel"/>
    <w:tmpl w:val="8E84DF26"/>
    <w:lvl w:ilvl="0" w:tplc="B3C0400E">
      <w:start w:val="1"/>
      <w:numFmt w:val="bullet"/>
      <w:lvlText w:val=""/>
      <w:lvlJc w:val="left"/>
      <w:pPr>
        <w:tabs>
          <w:tab w:val="num" w:pos="0"/>
        </w:tabs>
        <w:ind w:left="343" w:hanging="283"/>
      </w:pPr>
      <w:rPr>
        <w:rFonts w:ascii="Symbol" w:hAnsi="Symbol" w:hint="default"/>
        <w:color w:val="00000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2" w15:restartNumberingAfterBreak="0">
    <w:nsid w:val="36D24942"/>
    <w:multiLevelType w:val="hybridMultilevel"/>
    <w:tmpl w:val="F7FAB7BA"/>
    <w:lvl w:ilvl="0" w:tplc="24CAD848">
      <w:start w:val="1"/>
      <w:numFmt w:val="lowerLetter"/>
      <w:lvlText w:val="(%1)"/>
      <w:lvlJc w:val="left"/>
      <w:pPr>
        <w:ind w:left="1425" w:firstLine="0"/>
      </w:pPr>
      <w:rPr>
        <w:rFonts w:ascii="Arial" w:hAnsi="Arial" w:cs="Times New Roman" w:hint="default"/>
        <w:b w:val="0"/>
        <w:i w:val="0"/>
        <w:strike w:val="0"/>
        <w:dstrike w:val="0"/>
        <w:color w:val="000000"/>
        <w:sz w:val="20"/>
        <w:szCs w:val="24"/>
        <w:u w:val="none" w:color="000000"/>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381365C8"/>
    <w:multiLevelType w:val="hybridMultilevel"/>
    <w:tmpl w:val="A4DAF078"/>
    <w:lvl w:ilvl="0" w:tplc="87649A66">
      <w:start w:val="1"/>
      <w:numFmt w:val="decimal"/>
      <w:lvlText w:val="(%1)"/>
      <w:lvlJc w:val="left"/>
      <w:pPr>
        <w:ind w:left="720" w:hanging="36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386A02C4"/>
    <w:multiLevelType w:val="hybridMultilevel"/>
    <w:tmpl w:val="31D415DC"/>
    <w:lvl w:ilvl="0" w:tplc="FAF4192C">
      <w:start w:val="1"/>
      <w:numFmt w:val="upperLetter"/>
      <w:lvlText w:val="(%1)"/>
      <w:lvlJc w:val="left"/>
      <w:pPr>
        <w:ind w:left="720" w:hanging="360"/>
      </w:pPr>
      <w:rPr>
        <w:rFonts w:ascii="Arial" w:hAnsi="Arial" w:cs="Book Antiqua" w:hint="default"/>
        <w:b w:val="0"/>
        <w:i w:val="0"/>
        <w:strike w:val="0"/>
        <w:dstrike w:val="0"/>
        <w:color w:val="000000"/>
        <w:sz w:val="20"/>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38E8642A"/>
    <w:multiLevelType w:val="hybridMultilevel"/>
    <w:tmpl w:val="ED58FD8C"/>
    <w:lvl w:ilvl="0" w:tplc="C528291A">
      <w:start w:val="2"/>
      <w:numFmt w:val="bullet"/>
      <w:lvlText w:val=""/>
      <w:lvlJc w:val="left"/>
      <w:pPr>
        <w:tabs>
          <w:tab w:val="num" w:pos="780"/>
        </w:tabs>
        <w:ind w:left="780" w:hanging="360"/>
      </w:pPr>
      <w:rPr>
        <w:rFonts w:ascii="Wingdings 2" w:hAnsi="Wingdings 2" w:hint="default"/>
        <w:b w:val="0"/>
        <w:i w:val="0"/>
        <w:sz w:val="20"/>
        <w:szCs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6" w15:restartNumberingAfterBreak="0">
    <w:nsid w:val="390A7FE6"/>
    <w:multiLevelType w:val="hybridMultilevel"/>
    <w:tmpl w:val="B930E176"/>
    <w:lvl w:ilvl="0" w:tplc="9620DD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39A34FEE"/>
    <w:multiLevelType w:val="hybridMultilevel"/>
    <w:tmpl w:val="261C787A"/>
    <w:lvl w:ilvl="0" w:tplc="9B24430C">
      <w:start w:val="4"/>
      <w:numFmt w:val="lowerLetter"/>
      <w:lvlText w:val="(%1)"/>
      <w:lvlJc w:val="left"/>
      <w:pPr>
        <w:tabs>
          <w:tab w:val="num" w:pos="1267"/>
        </w:tabs>
        <w:ind w:left="1267"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8" w15:restartNumberingAfterBreak="0">
    <w:nsid w:val="3A982B4D"/>
    <w:multiLevelType w:val="hybridMultilevel"/>
    <w:tmpl w:val="BB22AB92"/>
    <w:lvl w:ilvl="0" w:tplc="FFFFFFFF">
      <w:start w:val="1"/>
      <w:numFmt w:val="lowerLetter"/>
      <w:lvlText w:val="(%1)"/>
      <w:lvlJc w:val="left"/>
      <w:pPr>
        <w:ind w:left="1381" w:hanging="360"/>
      </w:pPr>
      <w:rPr>
        <w:rFonts w:hint="default"/>
      </w:rPr>
    </w:lvl>
    <w:lvl w:ilvl="1" w:tplc="FFFFFFFF" w:tentative="1">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89" w15:restartNumberingAfterBreak="0">
    <w:nsid w:val="3AE649AA"/>
    <w:multiLevelType w:val="hybridMultilevel"/>
    <w:tmpl w:val="75E43002"/>
    <w:lvl w:ilvl="0" w:tplc="6700C2B0">
      <w:start w:val="1"/>
      <w:numFmt w:val="lowerLetter"/>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90" w15:restartNumberingAfterBreak="0">
    <w:nsid w:val="3B090075"/>
    <w:multiLevelType w:val="hybridMultilevel"/>
    <w:tmpl w:val="C088CC14"/>
    <w:lvl w:ilvl="0" w:tplc="E1F6417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1" w15:restartNumberingAfterBreak="0">
    <w:nsid w:val="3D1F1D31"/>
    <w:multiLevelType w:val="hybridMultilevel"/>
    <w:tmpl w:val="1B9A5298"/>
    <w:lvl w:ilvl="0" w:tplc="48404122">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2" w15:restartNumberingAfterBreak="0">
    <w:nsid w:val="3E283417"/>
    <w:multiLevelType w:val="hybridMultilevel"/>
    <w:tmpl w:val="AC082358"/>
    <w:lvl w:ilvl="0" w:tplc="A6B6FF52">
      <w:start w:val="2"/>
      <w:numFmt w:val="decimal"/>
      <w:lvlText w:val="%1."/>
      <w:lvlJc w:val="left"/>
      <w:pPr>
        <w:tabs>
          <w:tab w:val="num" w:pos="927"/>
        </w:tabs>
        <w:ind w:left="927" w:hanging="36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93" w15:restartNumberingAfterBreak="0">
    <w:nsid w:val="3E48153D"/>
    <w:multiLevelType w:val="multilevel"/>
    <w:tmpl w:val="D094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F4F0B61"/>
    <w:multiLevelType w:val="hybridMultilevel"/>
    <w:tmpl w:val="8230FFB0"/>
    <w:lvl w:ilvl="0" w:tplc="B5782918">
      <w:start w:val="1"/>
      <w:numFmt w:val="bullet"/>
      <w:lvlText w:val=""/>
      <w:lvlJc w:val="left"/>
      <w:pPr>
        <w:tabs>
          <w:tab w:val="num" w:pos="514"/>
        </w:tabs>
        <w:ind w:left="514" w:hanging="454"/>
      </w:pPr>
      <w:rPr>
        <w:rFonts w:ascii="Symbol" w:hAnsi="Symbol" w:hint="default"/>
        <w:color w:val="auto"/>
        <w:sz w:val="20"/>
        <w:szCs w:val="28"/>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95" w15:restartNumberingAfterBreak="0">
    <w:nsid w:val="41035986"/>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96" w15:restartNumberingAfterBreak="0">
    <w:nsid w:val="415509FA"/>
    <w:multiLevelType w:val="hybridMultilevel"/>
    <w:tmpl w:val="699C1396"/>
    <w:lvl w:ilvl="0" w:tplc="A9EA2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41A64161"/>
    <w:multiLevelType w:val="multilevel"/>
    <w:tmpl w:val="BAC80654"/>
    <w:lvl w:ilvl="0">
      <w:start w:val="1"/>
      <w:numFmt w:val="decimal"/>
      <w:lvlText w:val="%1"/>
      <w:lvlJc w:val="left"/>
      <w:pPr>
        <w:tabs>
          <w:tab w:val="num" w:pos="1134"/>
        </w:tabs>
        <w:ind w:left="1134" w:hanging="567"/>
      </w:pPr>
      <w:rPr>
        <w:rFonts w:ascii="Arial" w:hAnsi="Arial" w:hint="default"/>
        <w:b w:val="0"/>
        <w:i w:val="0"/>
        <w:sz w:val="20"/>
      </w:rPr>
    </w:lvl>
    <w:lvl w:ilvl="1">
      <w:start w:val="1"/>
      <w:numFmt w:val="lowerLetter"/>
      <w:pStyle w:val="CCVNumberLevel3"/>
      <w:lvlText w:val="(%2)"/>
      <w:lvlJc w:val="left"/>
      <w:pPr>
        <w:tabs>
          <w:tab w:val="num" w:pos="1701"/>
        </w:tabs>
        <w:ind w:left="1701" w:hanging="567"/>
      </w:pPr>
      <w:rPr>
        <w:rFonts w:ascii="Arial" w:hAnsi="Arial" w:hint="default"/>
        <w:b w:val="0"/>
        <w:i w:val="0"/>
        <w:sz w:val="24"/>
      </w:rPr>
    </w:lvl>
    <w:lvl w:ilvl="2">
      <w:start w:val="1"/>
      <w:numFmt w:val="lowerRoman"/>
      <w:pStyle w:val="CCVNumberLevel3"/>
      <w:lvlText w:val="(%3)"/>
      <w:lvlJc w:val="left"/>
      <w:pPr>
        <w:tabs>
          <w:tab w:val="num" w:pos="2268"/>
        </w:tabs>
        <w:ind w:left="2268" w:hanging="567"/>
      </w:pPr>
      <w:rPr>
        <w:rFonts w:ascii="Arial" w:hAnsi="Arial" w:hint="default"/>
        <w:b w:val="0"/>
        <w:i w:val="0"/>
        <w:sz w:val="24"/>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hanging="32766"/>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8" w15:restartNumberingAfterBreak="0">
    <w:nsid w:val="4335107B"/>
    <w:multiLevelType w:val="hybridMultilevel"/>
    <w:tmpl w:val="F6CC9FFC"/>
    <w:lvl w:ilvl="0" w:tplc="51E0953C">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43E148C3"/>
    <w:multiLevelType w:val="hybridMultilevel"/>
    <w:tmpl w:val="54DA8052"/>
    <w:lvl w:ilvl="0" w:tplc="FC84FB98">
      <w:start w:val="1"/>
      <w:numFmt w:val="bullet"/>
      <w:lvlText w:val=""/>
      <w:lvlJc w:val="left"/>
      <w:pPr>
        <w:ind w:left="777" w:hanging="360"/>
      </w:pPr>
      <w:rPr>
        <w:rFonts w:ascii="Symbol" w:hAnsi="Symbol" w:hint="default"/>
        <w:b w:val="0"/>
        <w:i w:val="0"/>
        <w:strike w:val="0"/>
        <w:dstrike w:val="0"/>
        <w:color w:val="000000" w:themeColor="text1"/>
        <w:sz w:val="20"/>
        <w:szCs w:val="28"/>
        <w:u w:val="none" w:color="000000"/>
        <w:vertAlign w:val="baselin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00" w15:restartNumberingAfterBreak="0">
    <w:nsid w:val="44036924"/>
    <w:multiLevelType w:val="hybridMultilevel"/>
    <w:tmpl w:val="C088CC14"/>
    <w:lvl w:ilvl="0" w:tplc="E1F6417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01" w15:restartNumberingAfterBreak="0">
    <w:nsid w:val="44715F1F"/>
    <w:multiLevelType w:val="hybridMultilevel"/>
    <w:tmpl w:val="D248A936"/>
    <w:lvl w:ilvl="0" w:tplc="CBF065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44E37F08"/>
    <w:multiLevelType w:val="hybridMultilevel"/>
    <w:tmpl w:val="3D3CA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456F6C2D"/>
    <w:multiLevelType w:val="hybridMultilevel"/>
    <w:tmpl w:val="7E1ED0EE"/>
    <w:lvl w:ilvl="0" w:tplc="0C09000B">
      <w:start w:val="1"/>
      <w:numFmt w:val="bullet"/>
      <w:lvlText w:val=""/>
      <w:lvlJc w:val="left"/>
      <w:pPr>
        <w:ind w:left="726" w:hanging="360"/>
      </w:pPr>
      <w:rPr>
        <w:rFonts w:ascii="Wingdings" w:hAnsi="Wingdings"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04" w15:restartNumberingAfterBreak="0">
    <w:nsid w:val="458410AC"/>
    <w:multiLevelType w:val="hybridMultilevel"/>
    <w:tmpl w:val="74021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45B90095"/>
    <w:multiLevelType w:val="hybridMultilevel"/>
    <w:tmpl w:val="26B8ABE0"/>
    <w:lvl w:ilvl="0" w:tplc="CAFEE57E">
      <w:start w:val="1"/>
      <w:numFmt w:val="decimal"/>
      <w:lvlText w:val="(%1)"/>
      <w:lvlJc w:val="left"/>
      <w:pPr>
        <w:ind w:left="720" w:hanging="360"/>
      </w:pPr>
      <w:rPr>
        <w:rFonts w:ascii="Arial" w:hAnsi="Arial" w:cs="Book Antiqua" w:hint="default"/>
        <w:b w:val="0"/>
        <w:i w:val="0"/>
        <w:strike w:val="0"/>
        <w:dstrike w:val="0"/>
        <w:color w:val="000000"/>
        <w:sz w:val="18"/>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46463C71"/>
    <w:multiLevelType w:val="hybridMultilevel"/>
    <w:tmpl w:val="F4DAE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4723542A"/>
    <w:multiLevelType w:val="hybridMultilevel"/>
    <w:tmpl w:val="F71810D0"/>
    <w:lvl w:ilvl="0" w:tplc="68B2D0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492D0DC3"/>
    <w:multiLevelType w:val="hybridMultilevel"/>
    <w:tmpl w:val="D6D2D6F8"/>
    <w:lvl w:ilvl="0" w:tplc="5E3212A0">
      <w:start w:val="1"/>
      <w:numFmt w:val="lowerRoman"/>
      <w:lvlText w:val="(%1)"/>
      <w:lvlJc w:val="left"/>
      <w:pPr>
        <w:tabs>
          <w:tab w:val="num" w:pos="1287"/>
        </w:tabs>
        <w:ind w:left="1287" w:hanging="72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109" w15:restartNumberingAfterBreak="0">
    <w:nsid w:val="499052CA"/>
    <w:multiLevelType w:val="hybridMultilevel"/>
    <w:tmpl w:val="39E8E9DE"/>
    <w:lvl w:ilvl="0" w:tplc="3656F2B8">
      <w:start w:val="8"/>
      <w:numFmt w:val="bullet"/>
      <w:lvlText w:val=""/>
      <w:lvlJc w:val="left"/>
      <w:pPr>
        <w:ind w:left="720" w:hanging="360"/>
      </w:pPr>
      <w:rPr>
        <w:rFonts w:ascii="Wingdings" w:hAnsi="Wingdings" w:cs="Times New Roman" w:hint="default"/>
        <w:b w:val="0"/>
        <w:i w:val="0"/>
        <w:color w:val="000000"/>
        <w:sz w:val="20"/>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49C710B2"/>
    <w:multiLevelType w:val="hybridMultilevel"/>
    <w:tmpl w:val="4C1409BC"/>
    <w:lvl w:ilvl="0" w:tplc="318E78D2">
      <w:start w:val="1"/>
      <w:numFmt w:val="lowerLetter"/>
      <w:lvlText w:val="(%1)"/>
      <w:lvlJc w:val="left"/>
      <w:pPr>
        <w:ind w:left="14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4A1418B2"/>
    <w:multiLevelType w:val="hybridMultilevel"/>
    <w:tmpl w:val="1AE87EA2"/>
    <w:lvl w:ilvl="0" w:tplc="DE5CFA1C">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4A927FAD"/>
    <w:multiLevelType w:val="hybridMultilevel"/>
    <w:tmpl w:val="D0B6881E"/>
    <w:lvl w:ilvl="0" w:tplc="0C090005">
      <w:start w:val="1"/>
      <w:numFmt w:val="bullet"/>
      <w:lvlText w:val=""/>
      <w:lvlJc w:val="left"/>
      <w:pPr>
        <w:ind w:left="720" w:hanging="360"/>
      </w:pPr>
      <w:rPr>
        <w:rFonts w:ascii="Wingdings" w:hAnsi="Wingding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4B356908"/>
    <w:multiLevelType w:val="hybridMultilevel"/>
    <w:tmpl w:val="0A165ABC"/>
    <w:lvl w:ilvl="0" w:tplc="4B92B93E">
      <w:start w:val="3"/>
      <w:numFmt w:val="bullet"/>
      <w:lvlText w:val=""/>
      <w:lvlJc w:val="left"/>
      <w:pPr>
        <w:ind w:left="814" w:hanging="360"/>
      </w:pPr>
      <w:rPr>
        <w:rFonts w:ascii="Symbol" w:eastAsia="Times New Roman" w:hAnsi="Symbol" w:cs="Aria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114" w15:restartNumberingAfterBreak="0">
    <w:nsid w:val="4E2D5655"/>
    <w:multiLevelType w:val="hybridMultilevel"/>
    <w:tmpl w:val="7CBE01F0"/>
    <w:lvl w:ilvl="0" w:tplc="36E2E596">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4E820B83"/>
    <w:multiLevelType w:val="hybridMultilevel"/>
    <w:tmpl w:val="B20C1496"/>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4F496A28"/>
    <w:multiLevelType w:val="hybridMultilevel"/>
    <w:tmpl w:val="758C17AA"/>
    <w:lvl w:ilvl="0" w:tplc="CAA8277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7" w15:restartNumberingAfterBreak="0">
    <w:nsid w:val="4FD84F47"/>
    <w:multiLevelType w:val="hybridMultilevel"/>
    <w:tmpl w:val="9894EDCC"/>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18" w15:restartNumberingAfterBreak="0">
    <w:nsid w:val="501E4C6B"/>
    <w:multiLevelType w:val="hybridMultilevel"/>
    <w:tmpl w:val="CF2EA5AE"/>
    <w:lvl w:ilvl="0" w:tplc="0FD832C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509D64A4"/>
    <w:multiLevelType w:val="hybridMultilevel"/>
    <w:tmpl w:val="836411DA"/>
    <w:lvl w:ilvl="0" w:tplc="821A8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51102AF5"/>
    <w:multiLevelType w:val="hybridMultilevel"/>
    <w:tmpl w:val="76FACFBA"/>
    <w:lvl w:ilvl="0" w:tplc="8A78AA02">
      <w:start w:val="1"/>
      <w:numFmt w:val="bullet"/>
      <w:lvlText w:val="•"/>
      <w:lvlJc w:val="left"/>
      <w:pPr>
        <w:ind w:left="720" w:hanging="360"/>
      </w:pPr>
      <w:rPr>
        <w:rFonts w:ascii="Arial" w:hAnsi="Arial" w:hint="default"/>
        <w:b w:val="0"/>
        <w:i w:val="0"/>
        <w:strike w:val="0"/>
        <w:dstrike w:val="0"/>
        <w:color w:val="231F20"/>
        <w:sz w:val="20"/>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51AE4AAE"/>
    <w:multiLevelType w:val="hybridMultilevel"/>
    <w:tmpl w:val="6EEA893A"/>
    <w:lvl w:ilvl="0" w:tplc="59963D96">
      <w:start w:val="1"/>
      <w:numFmt w:val="bullet"/>
      <w:lvlText w:val="•"/>
      <w:lvlJc w:val="left"/>
      <w:pPr>
        <w:ind w:left="777" w:hanging="360"/>
      </w:pPr>
      <w:rPr>
        <w:rFonts w:ascii="Arial" w:hAnsi="Arial" w:hint="default"/>
        <w:b w:val="0"/>
        <w:i w:val="0"/>
        <w:strike w:val="0"/>
        <w:dstrike w:val="0"/>
        <w:color w:val="231F20"/>
        <w:sz w:val="22"/>
        <w:szCs w:val="28"/>
        <w:u w:val="none" w:color="000000"/>
        <w:vertAlign w:val="baseline"/>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22" w15:restartNumberingAfterBreak="0">
    <w:nsid w:val="52DA32B5"/>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123" w15:restartNumberingAfterBreak="0">
    <w:nsid w:val="54B57178"/>
    <w:multiLevelType w:val="hybridMultilevel"/>
    <w:tmpl w:val="A836910A"/>
    <w:lvl w:ilvl="0" w:tplc="148EE116">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54BC0031"/>
    <w:multiLevelType w:val="hybridMultilevel"/>
    <w:tmpl w:val="06D44432"/>
    <w:lvl w:ilvl="0" w:tplc="51D271AA">
      <w:start w:val="1"/>
      <w:numFmt w:val="lowerRoman"/>
      <w:lvlText w:val="(%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54FA3608"/>
    <w:multiLevelType w:val="hybridMultilevel"/>
    <w:tmpl w:val="06D8F7DC"/>
    <w:lvl w:ilvl="0" w:tplc="37C614E0">
      <w:start w:val="27"/>
      <w:numFmt w:val="decimal"/>
      <w:lvlText w:val="%1"/>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567E979C">
      <w:start w:val="1"/>
      <w:numFmt w:val="lowerLetter"/>
      <w:lvlText w:val="(%2)"/>
      <w:lvlJc w:val="left"/>
      <w:pPr>
        <w:ind w:left="1425"/>
      </w:pPr>
      <w:rPr>
        <w:rFonts w:ascii="Arial" w:hAnsi="Arial" w:cs="Times New Roman" w:hint="default"/>
        <w:b w:val="0"/>
        <w:i w:val="0"/>
        <w:strike w:val="0"/>
        <w:dstrike w:val="0"/>
        <w:color w:val="000000"/>
        <w:sz w:val="20"/>
        <w:szCs w:val="24"/>
        <w:u w:val="none" w:color="000000"/>
        <w:bdr w:val="none" w:sz="0" w:space="0" w:color="auto"/>
        <w:shd w:val="clear" w:color="auto" w:fill="auto"/>
        <w:vertAlign w:val="baseline"/>
      </w:rPr>
    </w:lvl>
    <w:lvl w:ilvl="2" w:tplc="81C61748">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A79C75B8">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99E2F97E">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205E0856">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0E10BB64">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62F6FAAA">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E99ED2D6">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55A56B0B"/>
    <w:multiLevelType w:val="hybridMultilevel"/>
    <w:tmpl w:val="568A4704"/>
    <w:lvl w:ilvl="0" w:tplc="148455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566C4498"/>
    <w:multiLevelType w:val="hybridMultilevel"/>
    <w:tmpl w:val="98466240"/>
    <w:lvl w:ilvl="0" w:tplc="513CDF00">
      <w:start w:val="4"/>
      <w:numFmt w:val="lowerLetter"/>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15:restartNumberingAfterBreak="0">
    <w:nsid w:val="569566ED"/>
    <w:multiLevelType w:val="hybridMultilevel"/>
    <w:tmpl w:val="A3A0C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575B117C"/>
    <w:multiLevelType w:val="hybridMultilevel"/>
    <w:tmpl w:val="070CB49C"/>
    <w:lvl w:ilvl="0" w:tplc="762ACCC4">
      <w:start w:val="2"/>
      <w:numFmt w:val="bullet"/>
      <w:lvlText w:val=""/>
      <w:lvlJc w:val="left"/>
      <w:pPr>
        <w:ind w:left="720" w:hanging="360"/>
      </w:pPr>
      <w:rPr>
        <w:rFonts w:ascii="Wingdings 2" w:hAnsi="Wingdings 2" w:hint="default"/>
        <w:color w:val="000000" w:themeColor="tex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57F17FF4"/>
    <w:multiLevelType w:val="hybridMultilevel"/>
    <w:tmpl w:val="A4FA7F2A"/>
    <w:lvl w:ilvl="0" w:tplc="567E979C">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58632380"/>
    <w:multiLevelType w:val="hybridMultilevel"/>
    <w:tmpl w:val="1E8A186C"/>
    <w:lvl w:ilvl="0" w:tplc="821A8BA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2" w15:restartNumberingAfterBreak="0">
    <w:nsid w:val="5ABA5468"/>
    <w:multiLevelType w:val="hybridMultilevel"/>
    <w:tmpl w:val="BB22AB92"/>
    <w:lvl w:ilvl="0" w:tplc="FFFFFFFF">
      <w:start w:val="1"/>
      <w:numFmt w:val="lowerLetter"/>
      <w:lvlText w:val="(%1)"/>
      <w:lvlJc w:val="left"/>
      <w:pPr>
        <w:ind w:left="1381" w:hanging="360"/>
      </w:pPr>
      <w:rPr>
        <w:rFonts w:hint="default"/>
      </w:rPr>
    </w:lvl>
    <w:lvl w:ilvl="1" w:tplc="FFFFFFFF" w:tentative="1">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133" w15:restartNumberingAfterBreak="0">
    <w:nsid w:val="5B4D6D55"/>
    <w:multiLevelType w:val="hybridMultilevel"/>
    <w:tmpl w:val="1548CFE8"/>
    <w:lvl w:ilvl="0" w:tplc="129E983E">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34" w15:restartNumberingAfterBreak="0">
    <w:nsid w:val="5C58557F"/>
    <w:multiLevelType w:val="hybridMultilevel"/>
    <w:tmpl w:val="425E9A14"/>
    <w:lvl w:ilvl="0" w:tplc="0C09000B">
      <w:start w:val="1"/>
      <w:numFmt w:val="bullet"/>
      <w:lvlText w:val=""/>
      <w:lvlJc w:val="left"/>
      <w:pPr>
        <w:ind w:left="1174" w:hanging="360"/>
      </w:pPr>
      <w:rPr>
        <w:rFonts w:ascii="Wingdings" w:hAnsi="Wingdings"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35" w15:restartNumberingAfterBreak="0">
    <w:nsid w:val="5D0F531F"/>
    <w:multiLevelType w:val="hybridMultilevel"/>
    <w:tmpl w:val="EAC400F8"/>
    <w:lvl w:ilvl="0" w:tplc="22F6B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6" w15:restartNumberingAfterBreak="0">
    <w:nsid w:val="5DAA115B"/>
    <w:multiLevelType w:val="hybridMultilevel"/>
    <w:tmpl w:val="D3CE28A0"/>
    <w:lvl w:ilvl="0" w:tplc="DE88A9F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7" w15:restartNumberingAfterBreak="0">
    <w:nsid w:val="5E9F4304"/>
    <w:multiLevelType w:val="hybridMultilevel"/>
    <w:tmpl w:val="772C337E"/>
    <w:lvl w:ilvl="0" w:tplc="035644D8">
      <w:start w:val="1"/>
      <w:numFmt w:val="lowerLetter"/>
      <w:lvlText w:val="(%1)"/>
      <w:lvlJc w:val="left"/>
      <w:pPr>
        <w:ind w:left="1782" w:hanging="465"/>
      </w:pPr>
      <w:rPr>
        <w:rFonts w:hint="default"/>
      </w:rPr>
    </w:lvl>
    <w:lvl w:ilvl="1" w:tplc="0C090019" w:tentative="1">
      <w:start w:val="1"/>
      <w:numFmt w:val="lowerLetter"/>
      <w:lvlText w:val="%2."/>
      <w:lvlJc w:val="left"/>
      <w:pPr>
        <w:ind w:left="2397" w:hanging="360"/>
      </w:pPr>
    </w:lvl>
    <w:lvl w:ilvl="2" w:tplc="0C09001B" w:tentative="1">
      <w:start w:val="1"/>
      <w:numFmt w:val="lowerRoman"/>
      <w:lvlText w:val="%3."/>
      <w:lvlJc w:val="right"/>
      <w:pPr>
        <w:ind w:left="3117" w:hanging="180"/>
      </w:pPr>
    </w:lvl>
    <w:lvl w:ilvl="3" w:tplc="0C09000F" w:tentative="1">
      <w:start w:val="1"/>
      <w:numFmt w:val="decimal"/>
      <w:lvlText w:val="%4."/>
      <w:lvlJc w:val="left"/>
      <w:pPr>
        <w:ind w:left="3837" w:hanging="360"/>
      </w:pPr>
    </w:lvl>
    <w:lvl w:ilvl="4" w:tplc="0C090019" w:tentative="1">
      <w:start w:val="1"/>
      <w:numFmt w:val="lowerLetter"/>
      <w:lvlText w:val="%5."/>
      <w:lvlJc w:val="left"/>
      <w:pPr>
        <w:ind w:left="4557" w:hanging="360"/>
      </w:pPr>
    </w:lvl>
    <w:lvl w:ilvl="5" w:tplc="0C09001B" w:tentative="1">
      <w:start w:val="1"/>
      <w:numFmt w:val="lowerRoman"/>
      <w:lvlText w:val="%6."/>
      <w:lvlJc w:val="right"/>
      <w:pPr>
        <w:ind w:left="5277" w:hanging="180"/>
      </w:pPr>
    </w:lvl>
    <w:lvl w:ilvl="6" w:tplc="0C09000F" w:tentative="1">
      <w:start w:val="1"/>
      <w:numFmt w:val="decimal"/>
      <w:lvlText w:val="%7."/>
      <w:lvlJc w:val="left"/>
      <w:pPr>
        <w:ind w:left="5997" w:hanging="360"/>
      </w:pPr>
    </w:lvl>
    <w:lvl w:ilvl="7" w:tplc="0C090019" w:tentative="1">
      <w:start w:val="1"/>
      <w:numFmt w:val="lowerLetter"/>
      <w:lvlText w:val="%8."/>
      <w:lvlJc w:val="left"/>
      <w:pPr>
        <w:ind w:left="6717" w:hanging="360"/>
      </w:pPr>
    </w:lvl>
    <w:lvl w:ilvl="8" w:tplc="0C09001B" w:tentative="1">
      <w:start w:val="1"/>
      <w:numFmt w:val="lowerRoman"/>
      <w:lvlText w:val="%9."/>
      <w:lvlJc w:val="right"/>
      <w:pPr>
        <w:ind w:left="7437" w:hanging="180"/>
      </w:pPr>
    </w:lvl>
  </w:abstractNum>
  <w:abstractNum w:abstractNumId="138" w15:restartNumberingAfterBreak="0">
    <w:nsid w:val="60BA0A62"/>
    <w:multiLevelType w:val="hybridMultilevel"/>
    <w:tmpl w:val="AB30CFA4"/>
    <w:lvl w:ilvl="0" w:tplc="B40E2ADC">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 w15:restartNumberingAfterBreak="0">
    <w:nsid w:val="61C17474"/>
    <w:multiLevelType w:val="hybridMultilevel"/>
    <w:tmpl w:val="12EC4A7A"/>
    <w:lvl w:ilvl="0" w:tplc="D628641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40" w15:restartNumberingAfterBreak="0">
    <w:nsid w:val="62DC5CDA"/>
    <w:multiLevelType w:val="hybridMultilevel"/>
    <w:tmpl w:val="4B9C2E12"/>
    <w:lvl w:ilvl="0" w:tplc="26748DEC">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1" w15:restartNumberingAfterBreak="0">
    <w:nsid w:val="63F466F9"/>
    <w:multiLevelType w:val="hybridMultilevel"/>
    <w:tmpl w:val="7438F2DA"/>
    <w:lvl w:ilvl="0" w:tplc="A768BEF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15:restartNumberingAfterBreak="0">
    <w:nsid w:val="64183237"/>
    <w:multiLevelType w:val="hybridMultilevel"/>
    <w:tmpl w:val="C088CC14"/>
    <w:lvl w:ilvl="0" w:tplc="E1F6417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43" w15:restartNumberingAfterBreak="0">
    <w:nsid w:val="642778FA"/>
    <w:multiLevelType w:val="hybridMultilevel"/>
    <w:tmpl w:val="DCB83CD2"/>
    <w:lvl w:ilvl="0" w:tplc="AFCCC046">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15:restartNumberingAfterBreak="0">
    <w:nsid w:val="646A7D90"/>
    <w:multiLevelType w:val="hybridMultilevel"/>
    <w:tmpl w:val="2DE62F46"/>
    <w:lvl w:ilvl="0" w:tplc="84A637BA">
      <w:start w:val="1"/>
      <w:numFmt w:val="bullet"/>
      <w:lvlText w:val=""/>
      <w:lvlJc w:val="left"/>
      <w:pPr>
        <w:ind w:left="720" w:hanging="360"/>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659B40BB"/>
    <w:multiLevelType w:val="hybridMultilevel"/>
    <w:tmpl w:val="9894EDCC"/>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6" w15:restartNumberingAfterBreak="0">
    <w:nsid w:val="66AF18AF"/>
    <w:multiLevelType w:val="hybridMultilevel"/>
    <w:tmpl w:val="271E0D4E"/>
    <w:lvl w:ilvl="0" w:tplc="C400DA0E">
      <w:start w:val="2"/>
      <w:numFmt w:val="bullet"/>
      <w:lvlText w:val=""/>
      <w:lvlJc w:val="left"/>
      <w:pPr>
        <w:ind w:left="720" w:hanging="360"/>
      </w:pPr>
      <w:rPr>
        <w:rFonts w:ascii="Wingdings 2" w:hAnsi="Wingdings 2"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674D3CE2"/>
    <w:multiLevelType w:val="hybridMultilevel"/>
    <w:tmpl w:val="AE0EBC12"/>
    <w:lvl w:ilvl="0" w:tplc="0922C2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8" w15:restartNumberingAfterBreak="0">
    <w:nsid w:val="67725D44"/>
    <w:multiLevelType w:val="hybridMultilevel"/>
    <w:tmpl w:val="CE4268F2"/>
    <w:lvl w:ilvl="0" w:tplc="FFFFFFFF">
      <w:start w:val="1"/>
      <w:numFmt w:val="lowerRoman"/>
      <w:lvlText w:val="(%1)"/>
      <w:lvlJc w:val="left"/>
      <w:pPr>
        <w:ind w:left="2502" w:hanging="720"/>
      </w:pPr>
      <w:rPr>
        <w:rFonts w:hint="default"/>
      </w:rPr>
    </w:lvl>
    <w:lvl w:ilvl="1" w:tplc="FFFFFFFF" w:tentative="1">
      <w:start w:val="1"/>
      <w:numFmt w:val="lowerLetter"/>
      <w:lvlText w:val="%2."/>
      <w:lvlJc w:val="left"/>
      <w:pPr>
        <w:ind w:left="2862" w:hanging="360"/>
      </w:pPr>
    </w:lvl>
    <w:lvl w:ilvl="2" w:tplc="FFFFFFFF" w:tentative="1">
      <w:start w:val="1"/>
      <w:numFmt w:val="lowerRoman"/>
      <w:lvlText w:val="%3."/>
      <w:lvlJc w:val="right"/>
      <w:pPr>
        <w:ind w:left="3582" w:hanging="180"/>
      </w:pPr>
    </w:lvl>
    <w:lvl w:ilvl="3" w:tplc="FFFFFFFF" w:tentative="1">
      <w:start w:val="1"/>
      <w:numFmt w:val="decimal"/>
      <w:lvlText w:val="%4."/>
      <w:lvlJc w:val="left"/>
      <w:pPr>
        <w:ind w:left="4302" w:hanging="360"/>
      </w:pPr>
    </w:lvl>
    <w:lvl w:ilvl="4" w:tplc="FFFFFFFF" w:tentative="1">
      <w:start w:val="1"/>
      <w:numFmt w:val="lowerLetter"/>
      <w:lvlText w:val="%5."/>
      <w:lvlJc w:val="left"/>
      <w:pPr>
        <w:ind w:left="5022" w:hanging="360"/>
      </w:pPr>
    </w:lvl>
    <w:lvl w:ilvl="5" w:tplc="FFFFFFFF" w:tentative="1">
      <w:start w:val="1"/>
      <w:numFmt w:val="lowerRoman"/>
      <w:lvlText w:val="%6."/>
      <w:lvlJc w:val="right"/>
      <w:pPr>
        <w:ind w:left="5742" w:hanging="180"/>
      </w:pPr>
    </w:lvl>
    <w:lvl w:ilvl="6" w:tplc="FFFFFFFF" w:tentative="1">
      <w:start w:val="1"/>
      <w:numFmt w:val="decimal"/>
      <w:lvlText w:val="%7."/>
      <w:lvlJc w:val="left"/>
      <w:pPr>
        <w:ind w:left="6462" w:hanging="360"/>
      </w:pPr>
    </w:lvl>
    <w:lvl w:ilvl="7" w:tplc="FFFFFFFF" w:tentative="1">
      <w:start w:val="1"/>
      <w:numFmt w:val="lowerLetter"/>
      <w:lvlText w:val="%8."/>
      <w:lvlJc w:val="left"/>
      <w:pPr>
        <w:ind w:left="7182" w:hanging="360"/>
      </w:pPr>
    </w:lvl>
    <w:lvl w:ilvl="8" w:tplc="FFFFFFFF" w:tentative="1">
      <w:start w:val="1"/>
      <w:numFmt w:val="lowerRoman"/>
      <w:lvlText w:val="%9."/>
      <w:lvlJc w:val="right"/>
      <w:pPr>
        <w:ind w:left="7902" w:hanging="180"/>
      </w:pPr>
    </w:lvl>
  </w:abstractNum>
  <w:abstractNum w:abstractNumId="149" w15:restartNumberingAfterBreak="0">
    <w:nsid w:val="67975B4C"/>
    <w:multiLevelType w:val="hybridMultilevel"/>
    <w:tmpl w:val="805822C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50" w15:restartNumberingAfterBreak="0">
    <w:nsid w:val="680B325E"/>
    <w:multiLevelType w:val="hybridMultilevel"/>
    <w:tmpl w:val="0DA0EEC2"/>
    <w:lvl w:ilvl="0" w:tplc="CAFEE57E">
      <w:start w:val="1"/>
      <w:numFmt w:val="decimal"/>
      <w:lvlText w:val="(%1)"/>
      <w:lvlJc w:val="left"/>
      <w:pPr>
        <w:ind w:left="720" w:hanging="360"/>
      </w:pPr>
      <w:rPr>
        <w:rFonts w:ascii="Arial" w:hAnsi="Arial" w:cs="Book Antiqua" w:hint="default"/>
        <w:b w:val="0"/>
        <w:i w:val="0"/>
        <w:strike w:val="0"/>
        <w:dstrike w:val="0"/>
        <w:color w:val="000000"/>
        <w:sz w:val="18"/>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1" w15:restartNumberingAfterBreak="0">
    <w:nsid w:val="69023212"/>
    <w:multiLevelType w:val="hybridMultilevel"/>
    <w:tmpl w:val="389C3C28"/>
    <w:lvl w:ilvl="0" w:tplc="DA04475A">
      <w:start w:val="1"/>
      <w:numFmt w:val="lowerRoman"/>
      <w:lvlText w:val="(%1)"/>
      <w:lvlJc w:val="left"/>
      <w:pPr>
        <w:ind w:left="1425" w:firstLine="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2" w15:restartNumberingAfterBreak="0">
    <w:nsid w:val="69326A03"/>
    <w:multiLevelType w:val="hybridMultilevel"/>
    <w:tmpl w:val="664A7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3" w15:restartNumberingAfterBreak="0">
    <w:nsid w:val="6A4E71C5"/>
    <w:multiLevelType w:val="hybridMultilevel"/>
    <w:tmpl w:val="A9606272"/>
    <w:lvl w:ilvl="0" w:tplc="E97A8750">
      <w:start w:val="1"/>
      <w:numFmt w:val="bullet"/>
      <w:lvlText w:val=""/>
      <w:lvlJc w:val="left"/>
      <w:pPr>
        <w:tabs>
          <w:tab w:val="num" w:pos="420"/>
        </w:tabs>
        <w:ind w:left="420" w:hanging="36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6B862F9C"/>
    <w:multiLevelType w:val="hybridMultilevel"/>
    <w:tmpl w:val="49BC3724"/>
    <w:lvl w:ilvl="0" w:tplc="FF5E5F34">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55" w15:restartNumberingAfterBreak="0">
    <w:nsid w:val="6BE86FD6"/>
    <w:multiLevelType w:val="hybridMultilevel"/>
    <w:tmpl w:val="6AE4159C"/>
    <w:lvl w:ilvl="0" w:tplc="266AF40A">
      <w:start w:val="1"/>
      <w:numFmt w:val="bullet"/>
      <w:lvlText w:val=""/>
      <w:lvlJc w:val="left"/>
      <w:pPr>
        <w:ind w:left="777" w:hanging="360"/>
      </w:pPr>
      <w:rPr>
        <w:rFonts w:ascii="Symbol" w:hAnsi="Symbol" w:hint="default"/>
        <w:sz w:val="2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56" w15:restartNumberingAfterBreak="0">
    <w:nsid w:val="6C3211B5"/>
    <w:multiLevelType w:val="hybridMultilevel"/>
    <w:tmpl w:val="93DCF126"/>
    <w:lvl w:ilvl="0" w:tplc="11985D02">
      <w:start w:val="1"/>
      <w:numFmt w:val="bullet"/>
      <w:lvlText w:val="•"/>
      <w:lvlJc w:val="left"/>
      <w:pPr>
        <w:ind w:left="720" w:hanging="360"/>
      </w:pPr>
      <w:rPr>
        <w:rFonts w:ascii="Arial" w:hAnsi="Arial" w:hint="default"/>
        <w:b w:val="0"/>
        <w:i w:val="0"/>
        <w:strike w:val="0"/>
        <w:dstrike w:val="0"/>
        <w:color w:val="231F20"/>
        <w:sz w:val="24"/>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7" w15:restartNumberingAfterBreak="0">
    <w:nsid w:val="6CFA0B31"/>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158" w15:restartNumberingAfterBreak="0">
    <w:nsid w:val="6EFA42C3"/>
    <w:multiLevelType w:val="hybridMultilevel"/>
    <w:tmpl w:val="F4340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9" w15:restartNumberingAfterBreak="0">
    <w:nsid w:val="6FED29F4"/>
    <w:multiLevelType w:val="hybridMultilevel"/>
    <w:tmpl w:val="704481CE"/>
    <w:lvl w:ilvl="0" w:tplc="203AA7C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0" w15:restartNumberingAfterBreak="0">
    <w:nsid w:val="71EE795D"/>
    <w:multiLevelType w:val="hybridMultilevel"/>
    <w:tmpl w:val="86469F58"/>
    <w:lvl w:ilvl="0" w:tplc="5A20F18E">
      <w:start w:val="1"/>
      <w:numFmt w:val="lowerLetter"/>
      <w:lvlText w:val="(%1)"/>
      <w:lvlJc w:val="left"/>
      <w:pPr>
        <w:tabs>
          <w:tab w:val="num" w:pos="1140"/>
        </w:tabs>
        <w:ind w:left="1140" w:hanging="570"/>
      </w:pPr>
      <w:rPr>
        <w:rFonts w:hint="default"/>
      </w:rPr>
    </w:lvl>
    <w:lvl w:ilvl="1" w:tplc="0C090019" w:tentative="1">
      <w:start w:val="1"/>
      <w:numFmt w:val="lowerLetter"/>
      <w:lvlText w:val="%2."/>
      <w:lvlJc w:val="left"/>
      <w:pPr>
        <w:tabs>
          <w:tab w:val="num" w:pos="1650"/>
        </w:tabs>
        <w:ind w:left="1650" w:hanging="360"/>
      </w:pPr>
    </w:lvl>
    <w:lvl w:ilvl="2" w:tplc="0C09001B" w:tentative="1">
      <w:start w:val="1"/>
      <w:numFmt w:val="lowerRoman"/>
      <w:lvlText w:val="%3."/>
      <w:lvlJc w:val="right"/>
      <w:pPr>
        <w:tabs>
          <w:tab w:val="num" w:pos="2370"/>
        </w:tabs>
        <w:ind w:left="2370" w:hanging="180"/>
      </w:pPr>
    </w:lvl>
    <w:lvl w:ilvl="3" w:tplc="0C09000F" w:tentative="1">
      <w:start w:val="1"/>
      <w:numFmt w:val="decimal"/>
      <w:lvlText w:val="%4."/>
      <w:lvlJc w:val="left"/>
      <w:pPr>
        <w:tabs>
          <w:tab w:val="num" w:pos="3090"/>
        </w:tabs>
        <w:ind w:left="3090" w:hanging="360"/>
      </w:pPr>
    </w:lvl>
    <w:lvl w:ilvl="4" w:tplc="0C090019" w:tentative="1">
      <w:start w:val="1"/>
      <w:numFmt w:val="lowerLetter"/>
      <w:lvlText w:val="%5."/>
      <w:lvlJc w:val="left"/>
      <w:pPr>
        <w:tabs>
          <w:tab w:val="num" w:pos="3810"/>
        </w:tabs>
        <w:ind w:left="3810" w:hanging="360"/>
      </w:pPr>
    </w:lvl>
    <w:lvl w:ilvl="5" w:tplc="0C09001B" w:tentative="1">
      <w:start w:val="1"/>
      <w:numFmt w:val="lowerRoman"/>
      <w:lvlText w:val="%6."/>
      <w:lvlJc w:val="right"/>
      <w:pPr>
        <w:tabs>
          <w:tab w:val="num" w:pos="4530"/>
        </w:tabs>
        <w:ind w:left="4530" w:hanging="180"/>
      </w:pPr>
    </w:lvl>
    <w:lvl w:ilvl="6" w:tplc="0C09000F" w:tentative="1">
      <w:start w:val="1"/>
      <w:numFmt w:val="decimal"/>
      <w:lvlText w:val="%7."/>
      <w:lvlJc w:val="left"/>
      <w:pPr>
        <w:tabs>
          <w:tab w:val="num" w:pos="5250"/>
        </w:tabs>
        <w:ind w:left="5250" w:hanging="360"/>
      </w:pPr>
    </w:lvl>
    <w:lvl w:ilvl="7" w:tplc="0C090019" w:tentative="1">
      <w:start w:val="1"/>
      <w:numFmt w:val="lowerLetter"/>
      <w:lvlText w:val="%8."/>
      <w:lvlJc w:val="left"/>
      <w:pPr>
        <w:tabs>
          <w:tab w:val="num" w:pos="5970"/>
        </w:tabs>
        <w:ind w:left="5970" w:hanging="360"/>
      </w:pPr>
    </w:lvl>
    <w:lvl w:ilvl="8" w:tplc="0C09001B" w:tentative="1">
      <w:start w:val="1"/>
      <w:numFmt w:val="lowerRoman"/>
      <w:lvlText w:val="%9."/>
      <w:lvlJc w:val="right"/>
      <w:pPr>
        <w:tabs>
          <w:tab w:val="num" w:pos="6690"/>
        </w:tabs>
        <w:ind w:left="6690" w:hanging="180"/>
      </w:pPr>
    </w:lvl>
  </w:abstractNum>
  <w:abstractNum w:abstractNumId="161" w15:restartNumberingAfterBreak="0">
    <w:nsid w:val="73363B59"/>
    <w:multiLevelType w:val="hybridMultilevel"/>
    <w:tmpl w:val="F692E98C"/>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3A13308"/>
    <w:multiLevelType w:val="hybridMultilevel"/>
    <w:tmpl w:val="E4BCA49C"/>
    <w:lvl w:ilvl="0" w:tplc="069A91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3" w15:restartNumberingAfterBreak="0">
    <w:nsid w:val="73C772E4"/>
    <w:multiLevelType w:val="singleLevel"/>
    <w:tmpl w:val="ED4AE5DC"/>
    <w:lvl w:ilvl="0">
      <w:start w:val="1"/>
      <w:numFmt w:val="lowerRoman"/>
      <w:pStyle w:val="ListNumber"/>
      <w:lvlText w:val="(%1) "/>
      <w:legacy w:legacy="1" w:legacySpace="0" w:legacyIndent="283"/>
      <w:lvlJc w:val="left"/>
      <w:pPr>
        <w:ind w:left="1003" w:hanging="283"/>
      </w:pPr>
      <w:rPr>
        <w:rFonts w:ascii="Arial Black" w:hAnsi="Arial Black" w:hint="default"/>
        <w:b w:val="0"/>
        <w:i w:val="0"/>
        <w:sz w:val="20"/>
        <w:u w:val="none"/>
      </w:rPr>
    </w:lvl>
  </w:abstractNum>
  <w:abstractNum w:abstractNumId="164" w15:restartNumberingAfterBreak="0">
    <w:nsid w:val="75411766"/>
    <w:multiLevelType w:val="hybridMultilevel"/>
    <w:tmpl w:val="90BAA450"/>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5" w15:restartNumberingAfterBreak="0">
    <w:nsid w:val="764D2C5C"/>
    <w:multiLevelType w:val="multilevel"/>
    <w:tmpl w:val="B0EA7408"/>
    <w:lvl w:ilvl="0">
      <w:start w:val="1"/>
      <w:numFmt w:val="decimal"/>
      <w:lvlText w:val="%1."/>
      <w:lvlJc w:val="left"/>
      <w:pPr>
        <w:tabs>
          <w:tab w:val="num" w:pos="720"/>
        </w:tabs>
        <w:ind w:left="720" w:hanging="360"/>
      </w:pPr>
    </w:lvl>
    <w:lvl w:ilvl="1">
      <w:start w:val="14"/>
      <w:numFmt w:val="decimal"/>
      <w:isLgl/>
      <w:lvlText w:val="%1.%2"/>
      <w:lvlJc w:val="left"/>
      <w:pPr>
        <w:ind w:left="4867" w:hanging="47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6" w15:restartNumberingAfterBreak="0">
    <w:nsid w:val="765A3534"/>
    <w:multiLevelType w:val="hybridMultilevel"/>
    <w:tmpl w:val="06B6ACE0"/>
    <w:lvl w:ilvl="0" w:tplc="74F2E8DE">
      <w:start w:val="52"/>
      <w:numFmt w:val="decimal"/>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8CCEB06">
      <w:start w:val="1"/>
      <w:numFmt w:val="decimal"/>
      <w:lvlText w:val="(%2)"/>
      <w:lvlJc w:val="left"/>
      <w:pPr>
        <w:ind w:left="1080" w:firstLine="0"/>
      </w:pPr>
      <w:rPr>
        <w:rFonts w:ascii="Arial" w:hAnsi="Arial" w:cs="Book Antiqua" w:hint="default"/>
        <w:b w:val="0"/>
        <w:i w:val="0"/>
        <w:strike w:val="0"/>
        <w:dstrike w:val="0"/>
        <w:color w:val="000000"/>
        <w:sz w:val="18"/>
        <w:szCs w:val="22"/>
        <w:u w:val="none" w:color="000000"/>
        <w:vertAlign w:val="baseline"/>
      </w:rPr>
    </w:lvl>
    <w:lvl w:ilvl="2" w:tplc="5AE4706E">
      <w:start w:val="1"/>
      <w:numFmt w:val="lowerLetter"/>
      <w:lvlText w:val="(%3)"/>
      <w:lvlJc w:val="left"/>
      <w:pPr>
        <w:ind w:left="2880" w:firstLine="0"/>
      </w:pPr>
      <w:rPr>
        <w:rFonts w:ascii="Arial" w:hAnsi="Arial" w:cs="Book Antiqua" w:hint="default"/>
        <w:b w:val="0"/>
        <w:i w:val="0"/>
        <w:strike w:val="0"/>
        <w:dstrike w:val="0"/>
        <w:color w:val="000000"/>
        <w:sz w:val="18"/>
        <w:szCs w:val="22"/>
        <w:u w:val="none" w:color="000000"/>
        <w:vertAlign w:val="baseline"/>
      </w:rPr>
    </w:lvl>
    <w:lvl w:ilvl="3" w:tplc="102836DA">
      <w:start w:val="1"/>
      <w:numFmt w:val="lowerRoman"/>
      <w:lvlText w:val="(%4)"/>
      <w:lvlJc w:val="left"/>
      <w:pPr>
        <w:ind w:left="36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B2C85124">
      <w:start w:val="1"/>
      <w:numFmt w:val="lowerLetter"/>
      <w:lvlText w:val="%5"/>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4442F186">
      <w:start w:val="1"/>
      <w:numFmt w:val="lowerRoman"/>
      <w:lvlText w:val="%6"/>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60D40FFC">
      <w:start w:val="1"/>
      <w:numFmt w:val="decimal"/>
      <w:lvlText w:val="%7"/>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9DB0FB0A">
      <w:start w:val="1"/>
      <w:numFmt w:val="lowerLetter"/>
      <w:lvlText w:val="%8"/>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5F245AA8">
      <w:start w:val="1"/>
      <w:numFmt w:val="lowerRoman"/>
      <w:lvlText w:val="%9"/>
      <w:lvlJc w:val="left"/>
      <w:pPr>
        <w:ind w:left="68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76E32C0E"/>
    <w:multiLevelType w:val="hybridMultilevel"/>
    <w:tmpl w:val="1A769032"/>
    <w:lvl w:ilvl="0" w:tplc="8A1E39DC">
      <w:start w:val="1"/>
      <w:numFmt w:val="lowerRoman"/>
      <w:lvlText w:val="(%1)"/>
      <w:lvlJc w:val="left"/>
      <w:pPr>
        <w:ind w:left="720" w:hanging="36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8" w15:restartNumberingAfterBreak="0">
    <w:nsid w:val="776834AE"/>
    <w:multiLevelType w:val="hybridMultilevel"/>
    <w:tmpl w:val="1DE2EF46"/>
    <w:lvl w:ilvl="0" w:tplc="63705CDC">
      <w:start w:val="1"/>
      <w:numFmt w:val="bullet"/>
      <w:lvlText w:val=""/>
      <w:lvlJc w:val="left"/>
      <w:pPr>
        <w:tabs>
          <w:tab w:val="num" w:pos="360"/>
        </w:tabs>
        <w:ind w:left="0" w:firstLine="0"/>
      </w:pPr>
      <w:rPr>
        <w:rFonts w:ascii="Wingdings" w:hAnsi="Wingdings" w:cs="Times New Roman"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78897DA0"/>
    <w:multiLevelType w:val="hybridMultilevel"/>
    <w:tmpl w:val="568C9450"/>
    <w:lvl w:ilvl="0" w:tplc="DF0C7166">
      <w:start w:val="3"/>
      <w:numFmt w:val="lowerRoman"/>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0" w15:restartNumberingAfterBreak="0">
    <w:nsid w:val="78CD316B"/>
    <w:multiLevelType w:val="hybridMultilevel"/>
    <w:tmpl w:val="49A6D84C"/>
    <w:lvl w:ilvl="0" w:tplc="A35A62DC">
      <w:start w:val="1"/>
      <w:numFmt w:val="bullet"/>
      <w:lvlText w:val=""/>
      <w:lvlJc w:val="left"/>
      <w:pPr>
        <w:ind w:left="2098"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1" w15:restartNumberingAfterBreak="0">
    <w:nsid w:val="792B312D"/>
    <w:multiLevelType w:val="hybridMultilevel"/>
    <w:tmpl w:val="82602568"/>
    <w:lvl w:ilvl="0" w:tplc="3EACBAB6">
      <w:start w:val="1"/>
      <w:numFmt w:val="decimal"/>
      <w:lvlText w:val="(%1)"/>
      <w:lvlJc w:val="left"/>
      <w:pPr>
        <w:ind w:left="1479" w:hanging="458"/>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72" w15:restartNumberingAfterBreak="0">
    <w:nsid w:val="7961440B"/>
    <w:multiLevelType w:val="hybridMultilevel"/>
    <w:tmpl w:val="32320C1E"/>
    <w:lvl w:ilvl="0" w:tplc="8B4442D2">
      <w:start w:val="1"/>
      <w:numFmt w:val="bullet"/>
      <w:pStyle w:val="Bullet"/>
      <w:lvlText w:val=""/>
      <w:lvlJc w:val="left"/>
      <w:pPr>
        <w:tabs>
          <w:tab w:val="num" w:pos="2291"/>
        </w:tabs>
        <w:ind w:left="2291" w:hanging="851"/>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3" w15:restartNumberingAfterBreak="0">
    <w:nsid w:val="79E81750"/>
    <w:multiLevelType w:val="hybridMultilevel"/>
    <w:tmpl w:val="511E47AA"/>
    <w:lvl w:ilvl="0" w:tplc="9E6AB35C">
      <w:start w:val="1"/>
      <w:numFmt w:val="lowerLetter"/>
      <w:lvlText w:val="(%1)"/>
      <w:lvlJc w:val="left"/>
      <w:pPr>
        <w:ind w:left="1095" w:hanging="360"/>
      </w:pPr>
      <w:rPr>
        <w:rFonts w:hint="default"/>
      </w:rPr>
    </w:lvl>
    <w:lvl w:ilvl="1" w:tplc="0C090019">
      <w:start w:val="1"/>
      <w:numFmt w:val="lowerLetter"/>
      <w:lvlText w:val="%2."/>
      <w:lvlJc w:val="left"/>
      <w:pPr>
        <w:ind w:left="1815" w:hanging="360"/>
      </w:pPr>
    </w:lvl>
    <w:lvl w:ilvl="2" w:tplc="0C09001B" w:tentative="1">
      <w:start w:val="1"/>
      <w:numFmt w:val="lowerRoman"/>
      <w:lvlText w:val="%3."/>
      <w:lvlJc w:val="right"/>
      <w:pPr>
        <w:ind w:left="2535" w:hanging="180"/>
      </w:pPr>
    </w:lvl>
    <w:lvl w:ilvl="3" w:tplc="0C09000F" w:tentative="1">
      <w:start w:val="1"/>
      <w:numFmt w:val="decimal"/>
      <w:lvlText w:val="%4."/>
      <w:lvlJc w:val="left"/>
      <w:pPr>
        <w:ind w:left="3255" w:hanging="360"/>
      </w:pPr>
    </w:lvl>
    <w:lvl w:ilvl="4" w:tplc="0C090019" w:tentative="1">
      <w:start w:val="1"/>
      <w:numFmt w:val="lowerLetter"/>
      <w:lvlText w:val="%5."/>
      <w:lvlJc w:val="left"/>
      <w:pPr>
        <w:ind w:left="3975" w:hanging="360"/>
      </w:pPr>
    </w:lvl>
    <w:lvl w:ilvl="5" w:tplc="0C09001B" w:tentative="1">
      <w:start w:val="1"/>
      <w:numFmt w:val="lowerRoman"/>
      <w:lvlText w:val="%6."/>
      <w:lvlJc w:val="right"/>
      <w:pPr>
        <w:ind w:left="4695" w:hanging="180"/>
      </w:pPr>
    </w:lvl>
    <w:lvl w:ilvl="6" w:tplc="0C09000F" w:tentative="1">
      <w:start w:val="1"/>
      <w:numFmt w:val="decimal"/>
      <w:lvlText w:val="%7."/>
      <w:lvlJc w:val="left"/>
      <w:pPr>
        <w:ind w:left="5415" w:hanging="360"/>
      </w:pPr>
    </w:lvl>
    <w:lvl w:ilvl="7" w:tplc="0C090019" w:tentative="1">
      <w:start w:val="1"/>
      <w:numFmt w:val="lowerLetter"/>
      <w:lvlText w:val="%8."/>
      <w:lvlJc w:val="left"/>
      <w:pPr>
        <w:ind w:left="6135" w:hanging="360"/>
      </w:pPr>
    </w:lvl>
    <w:lvl w:ilvl="8" w:tplc="0C09001B" w:tentative="1">
      <w:start w:val="1"/>
      <w:numFmt w:val="lowerRoman"/>
      <w:lvlText w:val="%9."/>
      <w:lvlJc w:val="right"/>
      <w:pPr>
        <w:ind w:left="6855" w:hanging="180"/>
      </w:pPr>
    </w:lvl>
  </w:abstractNum>
  <w:abstractNum w:abstractNumId="174" w15:restartNumberingAfterBreak="0">
    <w:nsid w:val="7AE576B4"/>
    <w:multiLevelType w:val="hybridMultilevel"/>
    <w:tmpl w:val="A8A8B6E2"/>
    <w:lvl w:ilvl="0" w:tplc="8E26D792">
      <w:start w:val="1"/>
      <w:numFmt w:val="decimal"/>
      <w:lvlText w:val="%1."/>
      <w:lvlJc w:val="left"/>
      <w:pPr>
        <w:ind w:left="786" w:hanging="360"/>
      </w:pPr>
      <w:rPr>
        <w:rFonts w:ascii="Arial" w:hAnsi="Arial" w:cs="Arial" w:hint="default"/>
        <w:b w:val="0"/>
        <w:i w:val="0"/>
      </w:rPr>
    </w:lvl>
    <w:lvl w:ilvl="1" w:tplc="71B6F606">
      <w:start w:val="1"/>
      <w:numFmt w:val="lowerLetter"/>
      <w:lvlText w:val="%2."/>
      <w:lvlJc w:val="left"/>
      <w:pPr>
        <w:ind w:left="1440" w:hanging="360"/>
      </w:pPr>
      <w:rPr>
        <w:b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5" w15:restartNumberingAfterBreak="0">
    <w:nsid w:val="7B24716D"/>
    <w:multiLevelType w:val="hybridMultilevel"/>
    <w:tmpl w:val="7A2A0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6" w15:restartNumberingAfterBreak="0">
    <w:nsid w:val="7C593D35"/>
    <w:multiLevelType w:val="hybridMultilevel"/>
    <w:tmpl w:val="B3EA9ECE"/>
    <w:lvl w:ilvl="0" w:tplc="8FF2C78C">
      <w:start w:val="2"/>
      <w:numFmt w:val="bullet"/>
      <w:lvlText w:val=""/>
      <w:lvlJc w:val="left"/>
      <w:pPr>
        <w:ind w:left="774" w:hanging="360"/>
      </w:pPr>
      <w:rPr>
        <w:rFonts w:ascii="Wingdings 2" w:hAnsi="Wingdings 2"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77" w15:restartNumberingAfterBreak="0">
    <w:nsid w:val="7D306DF5"/>
    <w:multiLevelType w:val="hybridMultilevel"/>
    <w:tmpl w:val="80EA11CC"/>
    <w:lvl w:ilvl="0" w:tplc="4934E7E2">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8" w15:restartNumberingAfterBreak="0">
    <w:nsid w:val="7D834C3F"/>
    <w:multiLevelType w:val="hybridMultilevel"/>
    <w:tmpl w:val="94F4E4B4"/>
    <w:lvl w:ilvl="0" w:tplc="5E963AEA">
      <w:start w:val="1"/>
      <w:numFmt w:val="bullet"/>
      <w:lvlText w:val=""/>
      <w:lvlJc w:val="left"/>
      <w:pPr>
        <w:tabs>
          <w:tab w:val="num" w:pos="1500"/>
        </w:tabs>
        <w:ind w:left="1500" w:hanging="360"/>
      </w:pPr>
      <w:rPr>
        <w:rFonts w:ascii="Symbol" w:hAnsi="Symbol" w:hint="default"/>
        <w:color w:val="auto"/>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79" w15:restartNumberingAfterBreak="0">
    <w:nsid w:val="7DA02BAE"/>
    <w:multiLevelType w:val="hybridMultilevel"/>
    <w:tmpl w:val="FB9EA6EC"/>
    <w:lvl w:ilvl="0" w:tplc="D4DA2950">
      <w:start w:val="2"/>
      <w:numFmt w:val="bullet"/>
      <w:lvlText w:val=""/>
      <w:lvlJc w:val="left"/>
      <w:pPr>
        <w:tabs>
          <w:tab w:val="num" w:pos="420"/>
        </w:tabs>
        <w:ind w:left="60" w:firstLine="0"/>
      </w:pPr>
      <w:rPr>
        <w:rFonts w:ascii="Wingdings 2" w:hAnsi="Wingdings 2" w:hint="default"/>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0" w15:restartNumberingAfterBreak="0">
    <w:nsid w:val="7DC00747"/>
    <w:multiLevelType w:val="hybridMultilevel"/>
    <w:tmpl w:val="D9B8EE74"/>
    <w:lvl w:ilvl="0" w:tplc="8EA23F0C">
      <w:start w:val="1"/>
      <w:numFmt w:val="lowerRoman"/>
      <w:lvlText w:val="(%1)"/>
      <w:lvlJc w:val="left"/>
      <w:pPr>
        <w:ind w:left="1077" w:hanging="360"/>
      </w:pPr>
      <w:rPr>
        <w:rFonts w:ascii="Arial" w:hAnsi="Arial" w:cs="Arial" w:hint="default"/>
        <w:b w:val="0"/>
        <w:i w:val="0"/>
        <w:strike w:val="0"/>
        <w:dstrike w:val="0"/>
        <w:color w:val="181717"/>
        <w:sz w:val="20"/>
        <w:szCs w:val="20"/>
        <w:u w:val="none" w:color="000000"/>
        <w:vertAlign w:val="baseline"/>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81" w15:restartNumberingAfterBreak="0">
    <w:nsid w:val="7EA0049B"/>
    <w:multiLevelType w:val="hybridMultilevel"/>
    <w:tmpl w:val="6DDE56AA"/>
    <w:lvl w:ilvl="0" w:tplc="5BCAD08E">
      <w:start w:val="1"/>
      <w:numFmt w:val="lowerLetter"/>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04060094">
    <w:abstractNumId w:val="163"/>
  </w:num>
  <w:num w:numId="2" w16cid:durableId="565148479">
    <w:abstractNumId w:val="59"/>
  </w:num>
  <w:num w:numId="3" w16cid:durableId="734089563">
    <w:abstractNumId w:val="70"/>
  </w:num>
  <w:num w:numId="4" w16cid:durableId="295961182">
    <w:abstractNumId w:val="168"/>
  </w:num>
  <w:num w:numId="5" w16cid:durableId="1956671450">
    <w:abstractNumId w:val="111"/>
  </w:num>
  <w:num w:numId="6" w16cid:durableId="375131689">
    <w:abstractNumId w:val="47"/>
  </w:num>
  <w:num w:numId="7" w16cid:durableId="1461387659">
    <w:abstractNumId w:val="24"/>
  </w:num>
  <w:num w:numId="8" w16cid:durableId="1750467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1250939">
    <w:abstractNumId w:val="115"/>
  </w:num>
  <w:num w:numId="10" w16cid:durableId="339505381">
    <w:abstractNumId w:val="165"/>
  </w:num>
  <w:num w:numId="11" w16cid:durableId="1635987078">
    <w:abstractNumId w:val="114"/>
  </w:num>
  <w:num w:numId="12" w16cid:durableId="1879972971">
    <w:abstractNumId w:val="39"/>
  </w:num>
  <w:num w:numId="13" w16cid:durableId="2097169926">
    <w:abstractNumId w:val="179"/>
  </w:num>
  <w:num w:numId="14" w16cid:durableId="1597321610">
    <w:abstractNumId w:val="5"/>
  </w:num>
  <w:num w:numId="15" w16cid:durableId="612514816">
    <w:abstractNumId w:val="25"/>
  </w:num>
  <w:num w:numId="16" w16cid:durableId="1544903481">
    <w:abstractNumId w:val="6"/>
  </w:num>
  <w:num w:numId="17" w16cid:durableId="662049190">
    <w:abstractNumId w:val="178"/>
  </w:num>
  <w:num w:numId="18" w16cid:durableId="1911886641">
    <w:abstractNumId w:val="18"/>
  </w:num>
  <w:num w:numId="19" w16cid:durableId="2099865530">
    <w:abstractNumId w:val="92"/>
  </w:num>
  <w:num w:numId="20" w16cid:durableId="305933984">
    <w:abstractNumId w:val="12"/>
  </w:num>
  <w:num w:numId="21" w16cid:durableId="395007215">
    <w:abstractNumId w:val="94"/>
  </w:num>
  <w:num w:numId="22" w16cid:durableId="1627001036">
    <w:abstractNumId w:val="131"/>
  </w:num>
  <w:num w:numId="23" w16cid:durableId="1541169070">
    <w:abstractNumId w:val="160"/>
  </w:num>
  <w:num w:numId="24" w16cid:durableId="1867670272">
    <w:abstractNumId w:val="37"/>
  </w:num>
  <w:num w:numId="25" w16cid:durableId="1104961416">
    <w:abstractNumId w:val="153"/>
  </w:num>
  <w:num w:numId="26" w16cid:durableId="875049460">
    <w:abstractNumId w:val="8"/>
  </w:num>
  <w:num w:numId="27" w16cid:durableId="1450199747">
    <w:abstractNumId w:val="164"/>
  </w:num>
  <w:num w:numId="28" w16cid:durableId="1363895009">
    <w:abstractNumId w:val="15"/>
  </w:num>
  <w:num w:numId="29" w16cid:durableId="131407357">
    <w:abstractNumId w:val="80"/>
  </w:num>
  <w:num w:numId="30" w16cid:durableId="1109818330">
    <w:abstractNumId w:val="81"/>
  </w:num>
  <w:num w:numId="31" w16cid:durableId="1304039603">
    <w:abstractNumId w:val="30"/>
  </w:num>
  <w:num w:numId="32" w16cid:durableId="105080445">
    <w:abstractNumId w:val="41"/>
  </w:num>
  <w:num w:numId="33" w16cid:durableId="1951545210">
    <w:abstractNumId w:val="108"/>
  </w:num>
  <w:num w:numId="34" w16cid:durableId="1513686477">
    <w:abstractNumId w:val="172"/>
  </w:num>
  <w:num w:numId="35" w16cid:durableId="782918561">
    <w:abstractNumId w:val="87"/>
  </w:num>
  <w:num w:numId="36" w16cid:durableId="1134712469">
    <w:abstractNumId w:val="57"/>
  </w:num>
  <w:num w:numId="37" w16cid:durableId="515777756">
    <w:abstractNumId w:val="154"/>
  </w:num>
  <w:num w:numId="38" w16cid:durableId="1242787461">
    <w:abstractNumId w:val="96"/>
  </w:num>
  <w:num w:numId="39" w16cid:durableId="804587307">
    <w:abstractNumId w:val="79"/>
  </w:num>
  <w:num w:numId="40" w16cid:durableId="302388527">
    <w:abstractNumId w:val="85"/>
  </w:num>
  <w:num w:numId="41" w16cid:durableId="1333921571">
    <w:abstractNumId w:val="167"/>
  </w:num>
  <w:num w:numId="42" w16cid:durableId="1012535862">
    <w:abstractNumId w:val="83"/>
  </w:num>
  <w:num w:numId="43" w16cid:durableId="321399952">
    <w:abstractNumId w:val="75"/>
  </w:num>
  <w:num w:numId="44" w16cid:durableId="791363909">
    <w:abstractNumId w:val="44"/>
  </w:num>
  <w:num w:numId="45" w16cid:durableId="1888956811">
    <w:abstractNumId w:val="103"/>
  </w:num>
  <w:num w:numId="46" w16cid:durableId="107354056">
    <w:abstractNumId w:val="2"/>
  </w:num>
  <w:num w:numId="47" w16cid:durableId="64958678">
    <w:abstractNumId w:val="139"/>
  </w:num>
  <w:num w:numId="48" w16cid:durableId="400637028">
    <w:abstractNumId w:val="16"/>
  </w:num>
  <w:num w:numId="49" w16cid:durableId="321589634">
    <w:abstractNumId w:val="11"/>
  </w:num>
  <w:num w:numId="50" w16cid:durableId="1543713457">
    <w:abstractNumId w:val="174"/>
  </w:num>
  <w:num w:numId="51" w16cid:durableId="962344558">
    <w:abstractNumId w:val="130"/>
  </w:num>
  <w:num w:numId="52" w16cid:durableId="1929345919">
    <w:abstractNumId w:val="55"/>
  </w:num>
  <w:num w:numId="53" w16cid:durableId="987397365">
    <w:abstractNumId w:val="120"/>
  </w:num>
  <w:num w:numId="54" w16cid:durableId="124660162">
    <w:abstractNumId w:val="121"/>
  </w:num>
  <w:num w:numId="55" w16cid:durableId="1679697315">
    <w:abstractNumId w:val="125"/>
  </w:num>
  <w:num w:numId="56" w16cid:durableId="496074002">
    <w:abstractNumId w:val="82"/>
  </w:num>
  <w:num w:numId="57" w16cid:durableId="1905094294">
    <w:abstractNumId w:val="156"/>
  </w:num>
  <w:num w:numId="58" w16cid:durableId="2061316609">
    <w:abstractNumId w:val="65"/>
  </w:num>
  <w:num w:numId="59" w16cid:durableId="1040399952">
    <w:abstractNumId w:val="123"/>
  </w:num>
  <w:num w:numId="60" w16cid:durableId="2031249511">
    <w:abstractNumId w:val="135"/>
  </w:num>
  <w:num w:numId="61" w16cid:durableId="626089121">
    <w:abstractNumId w:val="86"/>
  </w:num>
  <w:num w:numId="62" w16cid:durableId="56780148">
    <w:abstractNumId w:val="69"/>
  </w:num>
  <w:num w:numId="63" w16cid:durableId="1055928143">
    <w:abstractNumId w:val="74"/>
  </w:num>
  <w:num w:numId="64" w16cid:durableId="1523276807">
    <w:abstractNumId w:val="176"/>
  </w:num>
  <w:num w:numId="65" w16cid:durableId="297423213">
    <w:abstractNumId w:val="134"/>
  </w:num>
  <w:num w:numId="66" w16cid:durableId="1066612680">
    <w:abstractNumId w:val="142"/>
  </w:num>
  <w:num w:numId="67" w16cid:durableId="1488087089">
    <w:abstractNumId w:val="100"/>
  </w:num>
  <w:num w:numId="68" w16cid:durableId="166991224">
    <w:abstractNumId w:val="90"/>
  </w:num>
  <w:num w:numId="69" w16cid:durableId="1528175381">
    <w:abstractNumId w:val="181"/>
  </w:num>
  <w:num w:numId="70" w16cid:durableId="147748099">
    <w:abstractNumId w:val="127"/>
  </w:num>
  <w:num w:numId="71" w16cid:durableId="1983921348">
    <w:abstractNumId w:val="72"/>
  </w:num>
  <w:num w:numId="72" w16cid:durableId="1095446321">
    <w:abstractNumId w:val="32"/>
  </w:num>
  <w:num w:numId="73" w16cid:durableId="792554023">
    <w:abstractNumId w:val="106"/>
  </w:num>
  <w:num w:numId="74" w16cid:durableId="146478443">
    <w:abstractNumId w:val="143"/>
  </w:num>
  <w:num w:numId="75" w16cid:durableId="1897282059">
    <w:abstractNumId w:val="149"/>
  </w:num>
  <w:num w:numId="76" w16cid:durableId="589043726">
    <w:abstractNumId w:val="155"/>
  </w:num>
  <w:num w:numId="77" w16cid:durableId="132330904">
    <w:abstractNumId w:val="169"/>
  </w:num>
  <w:num w:numId="78" w16cid:durableId="1259290725">
    <w:abstractNumId w:val="109"/>
  </w:num>
  <w:num w:numId="79" w16cid:durableId="192616723">
    <w:abstractNumId w:val="52"/>
  </w:num>
  <w:num w:numId="80" w16cid:durableId="65732712">
    <w:abstractNumId w:val="107"/>
  </w:num>
  <w:num w:numId="81" w16cid:durableId="771241926">
    <w:abstractNumId w:val="99"/>
  </w:num>
  <w:num w:numId="82" w16cid:durableId="2009139626">
    <w:abstractNumId w:val="147"/>
  </w:num>
  <w:num w:numId="83" w16cid:durableId="1672440230">
    <w:abstractNumId w:val="19"/>
  </w:num>
  <w:num w:numId="84" w16cid:durableId="1138763731">
    <w:abstractNumId w:val="77"/>
  </w:num>
  <w:num w:numId="85" w16cid:durableId="704789167">
    <w:abstractNumId w:val="78"/>
  </w:num>
  <w:num w:numId="86" w16cid:durableId="44722775">
    <w:abstractNumId w:val="51"/>
  </w:num>
  <w:num w:numId="87" w16cid:durableId="749696539">
    <w:abstractNumId w:val="53"/>
  </w:num>
  <w:num w:numId="88" w16cid:durableId="1005863644">
    <w:abstractNumId w:val="71"/>
  </w:num>
  <w:num w:numId="89" w16cid:durableId="1947275008">
    <w:abstractNumId w:val="177"/>
  </w:num>
  <w:num w:numId="90" w16cid:durableId="628322409">
    <w:abstractNumId w:val="10"/>
  </w:num>
  <w:num w:numId="91" w16cid:durableId="2023167194">
    <w:abstractNumId w:val="104"/>
  </w:num>
  <w:num w:numId="92" w16cid:durableId="1973318938">
    <w:abstractNumId w:val="28"/>
  </w:num>
  <w:num w:numId="93" w16cid:durableId="1489133808">
    <w:abstractNumId w:val="112"/>
  </w:num>
  <w:num w:numId="94" w16cid:durableId="1075862651">
    <w:abstractNumId w:val="23"/>
  </w:num>
  <w:num w:numId="95" w16cid:durableId="2098937688">
    <w:abstractNumId w:val="63"/>
  </w:num>
  <w:num w:numId="96" w16cid:durableId="968558838">
    <w:abstractNumId w:val="138"/>
  </w:num>
  <w:num w:numId="97" w16cid:durableId="1964190162">
    <w:abstractNumId w:val="97"/>
  </w:num>
  <w:num w:numId="98" w16cid:durableId="2126607290">
    <w:abstractNumId w:val="144"/>
  </w:num>
  <w:num w:numId="99" w16cid:durableId="124659890">
    <w:abstractNumId w:val="49"/>
  </w:num>
  <w:num w:numId="100" w16cid:durableId="125513698">
    <w:abstractNumId w:val="145"/>
  </w:num>
  <w:num w:numId="101" w16cid:durableId="373575974">
    <w:abstractNumId w:val="117"/>
  </w:num>
  <w:num w:numId="102" w16cid:durableId="1457329956">
    <w:abstractNumId w:val="4"/>
  </w:num>
  <w:num w:numId="103" w16cid:durableId="1256476952">
    <w:abstractNumId w:val="110"/>
  </w:num>
  <w:num w:numId="104" w16cid:durableId="24527185">
    <w:abstractNumId w:val="66"/>
  </w:num>
  <w:num w:numId="105" w16cid:durableId="2094281104">
    <w:abstractNumId w:val="171"/>
  </w:num>
  <w:num w:numId="106" w16cid:durableId="1164778413">
    <w:abstractNumId w:val="116"/>
  </w:num>
  <w:num w:numId="107" w16cid:durableId="733510554">
    <w:abstractNumId w:val="9"/>
  </w:num>
  <w:num w:numId="108" w16cid:durableId="1667393598">
    <w:abstractNumId w:val="132"/>
  </w:num>
  <w:num w:numId="109" w16cid:durableId="1609854549">
    <w:abstractNumId w:val="88"/>
  </w:num>
  <w:num w:numId="110" w16cid:durableId="841624849">
    <w:abstractNumId w:val="146"/>
  </w:num>
  <w:num w:numId="111" w16cid:durableId="968365606">
    <w:abstractNumId w:val="161"/>
  </w:num>
  <w:num w:numId="112" w16cid:durableId="1801454312">
    <w:abstractNumId w:val="50"/>
  </w:num>
  <w:num w:numId="113" w16cid:durableId="553664009">
    <w:abstractNumId w:val="166"/>
  </w:num>
  <w:num w:numId="114" w16cid:durableId="1901492">
    <w:abstractNumId w:val="173"/>
  </w:num>
  <w:num w:numId="115" w16cid:durableId="392970761">
    <w:abstractNumId w:val="113"/>
  </w:num>
  <w:num w:numId="116" w16cid:durableId="361591996">
    <w:abstractNumId w:val="48"/>
  </w:num>
  <w:num w:numId="117" w16cid:durableId="1612590982">
    <w:abstractNumId w:val="29"/>
  </w:num>
  <w:num w:numId="118" w16cid:durableId="939025160">
    <w:abstractNumId w:val="137"/>
  </w:num>
  <w:num w:numId="119" w16cid:durableId="125320294">
    <w:abstractNumId w:val="122"/>
  </w:num>
  <w:num w:numId="120" w16cid:durableId="1907836501">
    <w:abstractNumId w:val="136"/>
  </w:num>
  <w:num w:numId="121" w16cid:durableId="911045753">
    <w:abstractNumId w:val="95"/>
  </w:num>
  <w:num w:numId="122" w16cid:durableId="1798641617">
    <w:abstractNumId w:val="13"/>
  </w:num>
  <w:num w:numId="123" w16cid:durableId="548884287">
    <w:abstractNumId w:val="1"/>
  </w:num>
  <w:num w:numId="124" w16cid:durableId="1180389216">
    <w:abstractNumId w:val="158"/>
  </w:num>
  <w:num w:numId="125" w16cid:durableId="1803844807">
    <w:abstractNumId w:val="46"/>
  </w:num>
  <w:num w:numId="126" w16cid:durableId="1058936860">
    <w:abstractNumId w:val="129"/>
  </w:num>
  <w:num w:numId="127" w16cid:durableId="343939854">
    <w:abstractNumId w:val="91"/>
  </w:num>
  <w:num w:numId="128" w16cid:durableId="887453599">
    <w:abstractNumId w:val="7"/>
  </w:num>
  <w:num w:numId="129" w16cid:durableId="74982375">
    <w:abstractNumId w:val="162"/>
  </w:num>
  <w:num w:numId="130" w16cid:durableId="595331535">
    <w:abstractNumId w:val="126"/>
  </w:num>
  <w:num w:numId="131" w16cid:durableId="336269277">
    <w:abstractNumId w:val="98"/>
  </w:num>
  <w:num w:numId="132" w16cid:durableId="1532376557">
    <w:abstractNumId w:val="180"/>
  </w:num>
  <w:num w:numId="133" w16cid:durableId="445933555">
    <w:abstractNumId w:val="36"/>
  </w:num>
  <w:num w:numId="134" w16cid:durableId="986013096">
    <w:abstractNumId w:val="62"/>
  </w:num>
  <w:num w:numId="135" w16cid:durableId="1323968914">
    <w:abstractNumId w:val="17"/>
  </w:num>
  <w:num w:numId="136" w16cid:durableId="1565801154">
    <w:abstractNumId w:val="124"/>
  </w:num>
  <w:num w:numId="137" w16cid:durableId="475799931">
    <w:abstractNumId w:val="73"/>
  </w:num>
  <w:num w:numId="138" w16cid:durableId="1222473811">
    <w:abstractNumId w:val="45"/>
  </w:num>
  <w:num w:numId="139" w16cid:durableId="1787196035">
    <w:abstractNumId w:val="119"/>
  </w:num>
  <w:num w:numId="140" w16cid:durableId="1591350109">
    <w:abstractNumId w:val="67"/>
  </w:num>
  <w:num w:numId="141" w16cid:durableId="1137842356">
    <w:abstractNumId w:val="128"/>
  </w:num>
  <w:num w:numId="142" w16cid:durableId="448626183">
    <w:abstractNumId w:val="56"/>
  </w:num>
  <w:num w:numId="143" w16cid:durableId="1255017307">
    <w:abstractNumId w:val="68"/>
  </w:num>
  <w:num w:numId="144" w16cid:durableId="1534417047">
    <w:abstractNumId w:val="64"/>
  </w:num>
  <w:num w:numId="145" w16cid:durableId="1784033171">
    <w:abstractNumId w:val="42"/>
  </w:num>
  <w:num w:numId="146" w16cid:durableId="940524919">
    <w:abstractNumId w:val="54"/>
  </w:num>
  <w:num w:numId="147" w16cid:durableId="2094350991">
    <w:abstractNumId w:val="76"/>
  </w:num>
  <w:num w:numId="148" w16cid:durableId="1843353444">
    <w:abstractNumId w:val="141"/>
  </w:num>
  <w:num w:numId="149" w16cid:durableId="1903904111">
    <w:abstractNumId w:val="159"/>
  </w:num>
  <w:num w:numId="150" w16cid:durableId="69694223">
    <w:abstractNumId w:val="118"/>
  </w:num>
  <w:num w:numId="151" w16cid:durableId="763233285">
    <w:abstractNumId w:val="101"/>
  </w:num>
  <w:num w:numId="152" w16cid:durableId="507983451">
    <w:abstractNumId w:val="34"/>
  </w:num>
  <w:num w:numId="153" w16cid:durableId="1846482759">
    <w:abstractNumId w:val="84"/>
  </w:num>
  <w:num w:numId="154" w16cid:durableId="1157183632">
    <w:abstractNumId w:val="40"/>
  </w:num>
  <w:num w:numId="155" w16cid:durableId="651445378">
    <w:abstractNumId w:val="58"/>
  </w:num>
  <w:num w:numId="156" w16cid:durableId="259149085">
    <w:abstractNumId w:val="61"/>
  </w:num>
  <w:num w:numId="157" w16cid:durableId="1943763862">
    <w:abstractNumId w:val="170"/>
  </w:num>
  <w:num w:numId="158" w16cid:durableId="526723432">
    <w:abstractNumId w:val="102"/>
  </w:num>
  <w:num w:numId="159" w16cid:durableId="750658802">
    <w:abstractNumId w:val="22"/>
  </w:num>
  <w:num w:numId="160" w16cid:durableId="17247113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33487094">
    <w:abstractNumId w:val="151"/>
  </w:num>
  <w:num w:numId="162" w16cid:durableId="516847269">
    <w:abstractNumId w:val="150"/>
  </w:num>
  <w:num w:numId="163" w16cid:durableId="1182354662">
    <w:abstractNumId w:val="105"/>
  </w:num>
  <w:num w:numId="164" w16cid:durableId="1879126466">
    <w:abstractNumId w:val="43"/>
  </w:num>
  <w:num w:numId="165" w16cid:durableId="1387753027">
    <w:abstractNumId w:val="31"/>
  </w:num>
  <w:num w:numId="166" w16cid:durableId="983588254">
    <w:abstractNumId w:val="26"/>
  </w:num>
  <w:num w:numId="167" w16cid:durableId="382679871">
    <w:abstractNumId w:val="35"/>
  </w:num>
  <w:num w:numId="168" w16cid:durableId="1988973611">
    <w:abstractNumId w:val="27"/>
  </w:num>
  <w:num w:numId="169" w16cid:durableId="1079522666">
    <w:abstractNumId w:val="60"/>
  </w:num>
  <w:num w:numId="170" w16cid:durableId="346256400">
    <w:abstractNumId w:val="20"/>
  </w:num>
  <w:num w:numId="171" w16cid:durableId="104887822">
    <w:abstractNumId w:val="140"/>
  </w:num>
  <w:num w:numId="172" w16cid:durableId="1321425934">
    <w:abstractNumId w:val="93"/>
  </w:num>
  <w:num w:numId="173" w16cid:durableId="1107778308">
    <w:abstractNumId w:val="175"/>
  </w:num>
  <w:num w:numId="174" w16cid:durableId="2034647632">
    <w:abstractNumId w:val="33"/>
  </w:num>
  <w:num w:numId="175" w16cid:durableId="1260988605">
    <w:abstractNumId w:val="133"/>
  </w:num>
  <w:num w:numId="176" w16cid:durableId="194081461">
    <w:abstractNumId w:val="157"/>
  </w:num>
  <w:num w:numId="177" w16cid:durableId="26411178">
    <w:abstractNumId w:val="14"/>
  </w:num>
  <w:num w:numId="178" w16cid:durableId="1175653686">
    <w:abstractNumId w:val="148"/>
  </w:num>
  <w:num w:numId="179" w16cid:durableId="1075973984">
    <w:abstractNumId w:val="3"/>
  </w:num>
  <w:num w:numId="180" w16cid:durableId="309209042">
    <w:abstractNumId w:val="38"/>
  </w:num>
  <w:num w:numId="181" w16cid:durableId="1267543070">
    <w:abstractNumId w:val="89"/>
  </w:num>
  <w:num w:numId="182" w16cid:durableId="1770999945">
    <w:abstractNumId w:val="152"/>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1E"/>
    <w:rsid w:val="000001A3"/>
    <w:rsid w:val="00001324"/>
    <w:rsid w:val="000014E7"/>
    <w:rsid w:val="00001F15"/>
    <w:rsid w:val="00002F81"/>
    <w:rsid w:val="00003B37"/>
    <w:rsid w:val="0000408D"/>
    <w:rsid w:val="0000463C"/>
    <w:rsid w:val="00004837"/>
    <w:rsid w:val="00004C01"/>
    <w:rsid w:val="000058EB"/>
    <w:rsid w:val="000059C5"/>
    <w:rsid w:val="00005A7F"/>
    <w:rsid w:val="00005CF6"/>
    <w:rsid w:val="0000672E"/>
    <w:rsid w:val="000069F6"/>
    <w:rsid w:val="00006B0A"/>
    <w:rsid w:val="00006DF2"/>
    <w:rsid w:val="0000798B"/>
    <w:rsid w:val="00007D7F"/>
    <w:rsid w:val="0001045F"/>
    <w:rsid w:val="000107B6"/>
    <w:rsid w:val="00010B64"/>
    <w:rsid w:val="00010EF6"/>
    <w:rsid w:val="00010F0C"/>
    <w:rsid w:val="00011581"/>
    <w:rsid w:val="000115EF"/>
    <w:rsid w:val="0001163B"/>
    <w:rsid w:val="00011663"/>
    <w:rsid w:val="00012E45"/>
    <w:rsid w:val="000136BC"/>
    <w:rsid w:val="00013912"/>
    <w:rsid w:val="00013A6A"/>
    <w:rsid w:val="00013F0C"/>
    <w:rsid w:val="00014336"/>
    <w:rsid w:val="00014457"/>
    <w:rsid w:val="0001482B"/>
    <w:rsid w:val="00015C9A"/>
    <w:rsid w:val="0001701E"/>
    <w:rsid w:val="00017266"/>
    <w:rsid w:val="000179F0"/>
    <w:rsid w:val="0002000B"/>
    <w:rsid w:val="000201ED"/>
    <w:rsid w:val="000209FB"/>
    <w:rsid w:val="00021517"/>
    <w:rsid w:val="00021645"/>
    <w:rsid w:val="000219F0"/>
    <w:rsid w:val="000225F8"/>
    <w:rsid w:val="0002278F"/>
    <w:rsid w:val="000232AB"/>
    <w:rsid w:val="000234E3"/>
    <w:rsid w:val="00023BBD"/>
    <w:rsid w:val="00023C2C"/>
    <w:rsid w:val="00023DF2"/>
    <w:rsid w:val="000241B7"/>
    <w:rsid w:val="0002464F"/>
    <w:rsid w:val="00024A55"/>
    <w:rsid w:val="00024EBC"/>
    <w:rsid w:val="00026065"/>
    <w:rsid w:val="000261CB"/>
    <w:rsid w:val="00026277"/>
    <w:rsid w:val="0002796D"/>
    <w:rsid w:val="00027ADD"/>
    <w:rsid w:val="00027D50"/>
    <w:rsid w:val="00030902"/>
    <w:rsid w:val="000309E3"/>
    <w:rsid w:val="00030B8C"/>
    <w:rsid w:val="0003177E"/>
    <w:rsid w:val="00031D2C"/>
    <w:rsid w:val="0003295F"/>
    <w:rsid w:val="000331DE"/>
    <w:rsid w:val="000331E3"/>
    <w:rsid w:val="000334B5"/>
    <w:rsid w:val="00033752"/>
    <w:rsid w:val="00034616"/>
    <w:rsid w:val="00034E28"/>
    <w:rsid w:val="000356F4"/>
    <w:rsid w:val="00035B7F"/>
    <w:rsid w:val="000360BA"/>
    <w:rsid w:val="0003614B"/>
    <w:rsid w:val="00036A58"/>
    <w:rsid w:val="00036A81"/>
    <w:rsid w:val="00036D92"/>
    <w:rsid w:val="0003761D"/>
    <w:rsid w:val="00037AB0"/>
    <w:rsid w:val="00037BB7"/>
    <w:rsid w:val="000402D2"/>
    <w:rsid w:val="00040365"/>
    <w:rsid w:val="0004070D"/>
    <w:rsid w:val="00040891"/>
    <w:rsid w:val="00040A58"/>
    <w:rsid w:val="00041079"/>
    <w:rsid w:val="00042B72"/>
    <w:rsid w:val="00043177"/>
    <w:rsid w:val="00043275"/>
    <w:rsid w:val="00043500"/>
    <w:rsid w:val="0004378C"/>
    <w:rsid w:val="0004539B"/>
    <w:rsid w:val="00045A09"/>
    <w:rsid w:val="00046CCA"/>
    <w:rsid w:val="00050826"/>
    <w:rsid w:val="00050A1B"/>
    <w:rsid w:val="0005114C"/>
    <w:rsid w:val="000511A5"/>
    <w:rsid w:val="00051752"/>
    <w:rsid w:val="000518D0"/>
    <w:rsid w:val="000519E6"/>
    <w:rsid w:val="00051A4F"/>
    <w:rsid w:val="000526E0"/>
    <w:rsid w:val="0005276B"/>
    <w:rsid w:val="00052871"/>
    <w:rsid w:val="000529D3"/>
    <w:rsid w:val="0005317B"/>
    <w:rsid w:val="0005362E"/>
    <w:rsid w:val="00053A00"/>
    <w:rsid w:val="000549D0"/>
    <w:rsid w:val="00055286"/>
    <w:rsid w:val="0005560B"/>
    <w:rsid w:val="000557B6"/>
    <w:rsid w:val="00055F23"/>
    <w:rsid w:val="00056144"/>
    <w:rsid w:val="00056361"/>
    <w:rsid w:val="0005661C"/>
    <w:rsid w:val="00057181"/>
    <w:rsid w:val="000606E6"/>
    <w:rsid w:val="0006076E"/>
    <w:rsid w:val="00061852"/>
    <w:rsid w:val="00061C43"/>
    <w:rsid w:val="00061EA1"/>
    <w:rsid w:val="000628C4"/>
    <w:rsid w:val="00062E44"/>
    <w:rsid w:val="000631D5"/>
    <w:rsid w:val="00064D97"/>
    <w:rsid w:val="000652DD"/>
    <w:rsid w:val="00065668"/>
    <w:rsid w:val="00065DFE"/>
    <w:rsid w:val="00065EBE"/>
    <w:rsid w:val="000661BC"/>
    <w:rsid w:val="00066AA6"/>
    <w:rsid w:val="00066CC5"/>
    <w:rsid w:val="00066DD5"/>
    <w:rsid w:val="00067BE4"/>
    <w:rsid w:val="00067BEE"/>
    <w:rsid w:val="000705AB"/>
    <w:rsid w:val="0007078B"/>
    <w:rsid w:val="000708B6"/>
    <w:rsid w:val="0007135D"/>
    <w:rsid w:val="000713BB"/>
    <w:rsid w:val="00071D52"/>
    <w:rsid w:val="0007223F"/>
    <w:rsid w:val="0007241B"/>
    <w:rsid w:val="00072CE7"/>
    <w:rsid w:val="00072E03"/>
    <w:rsid w:val="0007304C"/>
    <w:rsid w:val="00073250"/>
    <w:rsid w:val="00073E18"/>
    <w:rsid w:val="00073EAD"/>
    <w:rsid w:val="00074514"/>
    <w:rsid w:val="000750B8"/>
    <w:rsid w:val="00075351"/>
    <w:rsid w:val="00075798"/>
    <w:rsid w:val="00075919"/>
    <w:rsid w:val="0007599F"/>
    <w:rsid w:val="00076250"/>
    <w:rsid w:val="00076470"/>
    <w:rsid w:val="0007656A"/>
    <w:rsid w:val="00076C87"/>
    <w:rsid w:val="00076DBA"/>
    <w:rsid w:val="00077112"/>
    <w:rsid w:val="00077C6C"/>
    <w:rsid w:val="00077DAE"/>
    <w:rsid w:val="00077FAD"/>
    <w:rsid w:val="00080420"/>
    <w:rsid w:val="000809E0"/>
    <w:rsid w:val="00080B28"/>
    <w:rsid w:val="00080BC8"/>
    <w:rsid w:val="0008172C"/>
    <w:rsid w:val="00081C0C"/>
    <w:rsid w:val="00081F70"/>
    <w:rsid w:val="00082B4E"/>
    <w:rsid w:val="00082D41"/>
    <w:rsid w:val="00082DB7"/>
    <w:rsid w:val="00083DD0"/>
    <w:rsid w:val="00084C26"/>
    <w:rsid w:val="00084D11"/>
    <w:rsid w:val="000867E8"/>
    <w:rsid w:val="0008741D"/>
    <w:rsid w:val="00087ADD"/>
    <w:rsid w:val="0009094E"/>
    <w:rsid w:val="00091307"/>
    <w:rsid w:val="000913D2"/>
    <w:rsid w:val="0009165A"/>
    <w:rsid w:val="000916A7"/>
    <w:rsid w:val="00091804"/>
    <w:rsid w:val="00092030"/>
    <w:rsid w:val="000920EB"/>
    <w:rsid w:val="000925E0"/>
    <w:rsid w:val="0009288B"/>
    <w:rsid w:val="00092A5A"/>
    <w:rsid w:val="00093AD6"/>
    <w:rsid w:val="00093E02"/>
    <w:rsid w:val="000941AC"/>
    <w:rsid w:val="000953C6"/>
    <w:rsid w:val="00095577"/>
    <w:rsid w:val="00095855"/>
    <w:rsid w:val="00095896"/>
    <w:rsid w:val="000968EB"/>
    <w:rsid w:val="00096E41"/>
    <w:rsid w:val="0009786B"/>
    <w:rsid w:val="00097A80"/>
    <w:rsid w:val="000A0150"/>
    <w:rsid w:val="000A0358"/>
    <w:rsid w:val="000A12E1"/>
    <w:rsid w:val="000A1463"/>
    <w:rsid w:val="000A17FD"/>
    <w:rsid w:val="000A18D6"/>
    <w:rsid w:val="000A1DCF"/>
    <w:rsid w:val="000A224D"/>
    <w:rsid w:val="000A2418"/>
    <w:rsid w:val="000A47C8"/>
    <w:rsid w:val="000A49B9"/>
    <w:rsid w:val="000A4B1E"/>
    <w:rsid w:val="000A5146"/>
    <w:rsid w:val="000A52DC"/>
    <w:rsid w:val="000A5496"/>
    <w:rsid w:val="000A5928"/>
    <w:rsid w:val="000A5B13"/>
    <w:rsid w:val="000A6838"/>
    <w:rsid w:val="000A6991"/>
    <w:rsid w:val="000A6F80"/>
    <w:rsid w:val="000A70A8"/>
    <w:rsid w:val="000A7BEB"/>
    <w:rsid w:val="000B1261"/>
    <w:rsid w:val="000B14E2"/>
    <w:rsid w:val="000B1F28"/>
    <w:rsid w:val="000B2322"/>
    <w:rsid w:val="000B2674"/>
    <w:rsid w:val="000B2B0E"/>
    <w:rsid w:val="000B405A"/>
    <w:rsid w:val="000B4EE4"/>
    <w:rsid w:val="000B509C"/>
    <w:rsid w:val="000B6310"/>
    <w:rsid w:val="000B7637"/>
    <w:rsid w:val="000C0683"/>
    <w:rsid w:val="000C0984"/>
    <w:rsid w:val="000C17D3"/>
    <w:rsid w:val="000C1A36"/>
    <w:rsid w:val="000C1B40"/>
    <w:rsid w:val="000C2401"/>
    <w:rsid w:val="000C2C50"/>
    <w:rsid w:val="000C33E8"/>
    <w:rsid w:val="000C3D58"/>
    <w:rsid w:val="000C4907"/>
    <w:rsid w:val="000C4BEC"/>
    <w:rsid w:val="000C5609"/>
    <w:rsid w:val="000C56A0"/>
    <w:rsid w:val="000C5E27"/>
    <w:rsid w:val="000C6196"/>
    <w:rsid w:val="000C6804"/>
    <w:rsid w:val="000C6815"/>
    <w:rsid w:val="000C6EB9"/>
    <w:rsid w:val="000C78BF"/>
    <w:rsid w:val="000C7B68"/>
    <w:rsid w:val="000C7ECE"/>
    <w:rsid w:val="000D0A7B"/>
    <w:rsid w:val="000D0C94"/>
    <w:rsid w:val="000D124E"/>
    <w:rsid w:val="000D175A"/>
    <w:rsid w:val="000D1969"/>
    <w:rsid w:val="000D1B14"/>
    <w:rsid w:val="000D204D"/>
    <w:rsid w:val="000D352E"/>
    <w:rsid w:val="000D3BBE"/>
    <w:rsid w:val="000D3DBE"/>
    <w:rsid w:val="000D422E"/>
    <w:rsid w:val="000D4D13"/>
    <w:rsid w:val="000D5176"/>
    <w:rsid w:val="000D5D61"/>
    <w:rsid w:val="000D64F2"/>
    <w:rsid w:val="000D6AB7"/>
    <w:rsid w:val="000D75A3"/>
    <w:rsid w:val="000D7DFB"/>
    <w:rsid w:val="000E07C8"/>
    <w:rsid w:val="000E0A59"/>
    <w:rsid w:val="000E1DCB"/>
    <w:rsid w:val="000E21E7"/>
    <w:rsid w:val="000E2BC0"/>
    <w:rsid w:val="000E443D"/>
    <w:rsid w:val="000E4F95"/>
    <w:rsid w:val="000E5165"/>
    <w:rsid w:val="000E5532"/>
    <w:rsid w:val="000E62E2"/>
    <w:rsid w:val="000E6603"/>
    <w:rsid w:val="000E687D"/>
    <w:rsid w:val="000E7306"/>
    <w:rsid w:val="000E739B"/>
    <w:rsid w:val="000E7516"/>
    <w:rsid w:val="000E755D"/>
    <w:rsid w:val="000F0111"/>
    <w:rsid w:val="000F01F7"/>
    <w:rsid w:val="000F0503"/>
    <w:rsid w:val="000F0819"/>
    <w:rsid w:val="000F0825"/>
    <w:rsid w:val="000F0BE9"/>
    <w:rsid w:val="000F0E8B"/>
    <w:rsid w:val="000F1151"/>
    <w:rsid w:val="000F1757"/>
    <w:rsid w:val="000F17DA"/>
    <w:rsid w:val="000F231B"/>
    <w:rsid w:val="000F2367"/>
    <w:rsid w:val="000F2CE5"/>
    <w:rsid w:val="000F437C"/>
    <w:rsid w:val="000F4566"/>
    <w:rsid w:val="000F4600"/>
    <w:rsid w:val="000F47B2"/>
    <w:rsid w:val="000F4D8B"/>
    <w:rsid w:val="000F5140"/>
    <w:rsid w:val="000F5CE7"/>
    <w:rsid w:val="000F5EA5"/>
    <w:rsid w:val="000F61E4"/>
    <w:rsid w:val="000F629D"/>
    <w:rsid w:val="000F6855"/>
    <w:rsid w:val="000F68CD"/>
    <w:rsid w:val="000F6CBB"/>
    <w:rsid w:val="000F6D07"/>
    <w:rsid w:val="000F6F09"/>
    <w:rsid w:val="000F7CF6"/>
    <w:rsid w:val="001012C9"/>
    <w:rsid w:val="0010135F"/>
    <w:rsid w:val="00101B91"/>
    <w:rsid w:val="001037D7"/>
    <w:rsid w:val="00103848"/>
    <w:rsid w:val="00104D17"/>
    <w:rsid w:val="0010619F"/>
    <w:rsid w:val="00106472"/>
    <w:rsid w:val="00106C53"/>
    <w:rsid w:val="00106CE3"/>
    <w:rsid w:val="00106F0D"/>
    <w:rsid w:val="001079B7"/>
    <w:rsid w:val="001103C4"/>
    <w:rsid w:val="00110910"/>
    <w:rsid w:val="00110FC0"/>
    <w:rsid w:val="00111409"/>
    <w:rsid w:val="00112116"/>
    <w:rsid w:val="001128C2"/>
    <w:rsid w:val="00112B39"/>
    <w:rsid w:val="001135DC"/>
    <w:rsid w:val="00113B8F"/>
    <w:rsid w:val="00113C36"/>
    <w:rsid w:val="00113DC3"/>
    <w:rsid w:val="00113EC8"/>
    <w:rsid w:val="00114134"/>
    <w:rsid w:val="00114460"/>
    <w:rsid w:val="0011478C"/>
    <w:rsid w:val="00114B38"/>
    <w:rsid w:val="00115A9E"/>
    <w:rsid w:val="00115DCA"/>
    <w:rsid w:val="00115EFB"/>
    <w:rsid w:val="00115F89"/>
    <w:rsid w:val="00116196"/>
    <w:rsid w:val="001161A4"/>
    <w:rsid w:val="001165F1"/>
    <w:rsid w:val="00116645"/>
    <w:rsid w:val="0011696D"/>
    <w:rsid w:val="00117D3F"/>
    <w:rsid w:val="00120AA9"/>
    <w:rsid w:val="00121246"/>
    <w:rsid w:val="001216CB"/>
    <w:rsid w:val="001217FA"/>
    <w:rsid w:val="001218A5"/>
    <w:rsid w:val="001219C7"/>
    <w:rsid w:val="00121E7E"/>
    <w:rsid w:val="00122115"/>
    <w:rsid w:val="001222C4"/>
    <w:rsid w:val="001227DA"/>
    <w:rsid w:val="00122DC7"/>
    <w:rsid w:val="00123569"/>
    <w:rsid w:val="00123639"/>
    <w:rsid w:val="00123E31"/>
    <w:rsid w:val="00124137"/>
    <w:rsid w:val="001244F4"/>
    <w:rsid w:val="0012457E"/>
    <w:rsid w:val="00124BC2"/>
    <w:rsid w:val="00125BB7"/>
    <w:rsid w:val="00125C7E"/>
    <w:rsid w:val="00125CDE"/>
    <w:rsid w:val="00130028"/>
    <w:rsid w:val="0013005F"/>
    <w:rsid w:val="001301E8"/>
    <w:rsid w:val="0013025C"/>
    <w:rsid w:val="00130B75"/>
    <w:rsid w:val="00131157"/>
    <w:rsid w:val="001311B5"/>
    <w:rsid w:val="0013169A"/>
    <w:rsid w:val="0013172F"/>
    <w:rsid w:val="00132433"/>
    <w:rsid w:val="00132AFF"/>
    <w:rsid w:val="00132BA8"/>
    <w:rsid w:val="00132D91"/>
    <w:rsid w:val="001331AD"/>
    <w:rsid w:val="00133DDB"/>
    <w:rsid w:val="00133F17"/>
    <w:rsid w:val="00134053"/>
    <w:rsid w:val="00134543"/>
    <w:rsid w:val="00134FB5"/>
    <w:rsid w:val="001357C7"/>
    <w:rsid w:val="00135FEB"/>
    <w:rsid w:val="0013609F"/>
    <w:rsid w:val="001362FF"/>
    <w:rsid w:val="0013683D"/>
    <w:rsid w:val="00136875"/>
    <w:rsid w:val="00136AF4"/>
    <w:rsid w:val="00137B35"/>
    <w:rsid w:val="00137B74"/>
    <w:rsid w:val="00137CA1"/>
    <w:rsid w:val="00137E27"/>
    <w:rsid w:val="00140CF4"/>
    <w:rsid w:val="001417D5"/>
    <w:rsid w:val="00142190"/>
    <w:rsid w:val="00142501"/>
    <w:rsid w:val="0014279B"/>
    <w:rsid w:val="001428EC"/>
    <w:rsid w:val="00142BE8"/>
    <w:rsid w:val="00143355"/>
    <w:rsid w:val="001443F3"/>
    <w:rsid w:val="001451D5"/>
    <w:rsid w:val="00145368"/>
    <w:rsid w:val="001456E1"/>
    <w:rsid w:val="00145818"/>
    <w:rsid w:val="0014585B"/>
    <w:rsid w:val="00145998"/>
    <w:rsid w:val="001463F7"/>
    <w:rsid w:val="001468DD"/>
    <w:rsid w:val="0014707F"/>
    <w:rsid w:val="001478D7"/>
    <w:rsid w:val="00147A7B"/>
    <w:rsid w:val="00147AFB"/>
    <w:rsid w:val="00147CF9"/>
    <w:rsid w:val="00151560"/>
    <w:rsid w:val="0015163D"/>
    <w:rsid w:val="00151B7F"/>
    <w:rsid w:val="00152314"/>
    <w:rsid w:val="001526BC"/>
    <w:rsid w:val="00152F96"/>
    <w:rsid w:val="001536F3"/>
    <w:rsid w:val="00153D9F"/>
    <w:rsid w:val="001543AC"/>
    <w:rsid w:val="00154576"/>
    <w:rsid w:val="00154EF2"/>
    <w:rsid w:val="0015519F"/>
    <w:rsid w:val="00157216"/>
    <w:rsid w:val="00157258"/>
    <w:rsid w:val="00157791"/>
    <w:rsid w:val="00160204"/>
    <w:rsid w:val="00161F97"/>
    <w:rsid w:val="001620A2"/>
    <w:rsid w:val="00162493"/>
    <w:rsid w:val="00162B24"/>
    <w:rsid w:val="00162CDC"/>
    <w:rsid w:val="001632DE"/>
    <w:rsid w:val="001634DC"/>
    <w:rsid w:val="00163716"/>
    <w:rsid w:val="00164487"/>
    <w:rsid w:val="00164501"/>
    <w:rsid w:val="0016528E"/>
    <w:rsid w:val="00165543"/>
    <w:rsid w:val="00165700"/>
    <w:rsid w:val="0016581C"/>
    <w:rsid w:val="0016597E"/>
    <w:rsid w:val="00165BA9"/>
    <w:rsid w:val="001664F4"/>
    <w:rsid w:val="00166A93"/>
    <w:rsid w:val="00166BEC"/>
    <w:rsid w:val="0016748B"/>
    <w:rsid w:val="00167699"/>
    <w:rsid w:val="00167D46"/>
    <w:rsid w:val="00170125"/>
    <w:rsid w:val="001703F5"/>
    <w:rsid w:val="00170463"/>
    <w:rsid w:val="00170A99"/>
    <w:rsid w:val="00170CB6"/>
    <w:rsid w:val="001710B0"/>
    <w:rsid w:val="00171207"/>
    <w:rsid w:val="001714D2"/>
    <w:rsid w:val="00171716"/>
    <w:rsid w:val="00172140"/>
    <w:rsid w:val="0017286C"/>
    <w:rsid w:val="001728D2"/>
    <w:rsid w:val="00174184"/>
    <w:rsid w:val="00174CDB"/>
    <w:rsid w:val="00174E0B"/>
    <w:rsid w:val="00176FC3"/>
    <w:rsid w:val="00177119"/>
    <w:rsid w:val="00177483"/>
    <w:rsid w:val="0017796C"/>
    <w:rsid w:val="00177B34"/>
    <w:rsid w:val="00177F52"/>
    <w:rsid w:val="00180C61"/>
    <w:rsid w:val="00180C7F"/>
    <w:rsid w:val="00181DA6"/>
    <w:rsid w:val="00181DED"/>
    <w:rsid w:val="00182570"/>
    <w:rsid w:val="001830E4"/>
    <w:rsid w:val="00183219"/>
    <w:rsid w:val="00183750"/>
    <w:rsid w:val="00183A3D"/>
    <w:rsid w:val="00183A81"/>
    <w:rsid w:val="00185521"/>
    <w:rsid w:val="00185DB2"/>
    <w:rsid w:val="00186335"/>
    <w:rsid w:val="0018645E"/>
    <w:rsid w:val="001866AC"/>
    <w:rsid w:val="00186BEF"/>
    <w:rsid w:val="00187920"/>
    <w:rsid w:val="00187C08"/>
    <w:rsid w:val="00187C4A"/>
    <w:rsid w:val="00187D43"/>
    <w:rsid w:val="00187EBB"/>
    <w:rsid w:val="00190B72"/>
    <w:rsid w:val="001916D0"/>
    <w:rsid w:val="00191D39"/>
    <w:rsid w:val="00192094"/>
    <w:rsid w:val="0019274F"/>
    <w:rsid w:val="00192DC4"/>
    <w:rsid w:val="00192DEC"/>
    <w:rsid w:val="0019386A"/>
    <w:rsid w:val="00193BD5"/>
    <w:rsid w:val="00193DD0"/>
    <w:rsid w:val="00194114"/>
    <w:rsid w:val="0019499F"/>
    <w:rsid w:val="00195961"/>
    <w:rsid w:val="00195E9F"/>
    <w:rsid w:val="00195F33"/>
    <w:rsid w:val="00195FE4"/>
    <w:rsid w:val="0019628D"/>
    <w:rsid w:val="001965F1"/>
    <w:rsid w:val="001965F4"/>
    <w:rsid w:val="00196687"/>
    <w:rsid w:val="00196F43"/>
    <w:rsid w:val="001974A4"/>
    <w:rsid w:val="001975EB"/>
    <w:rsid w:val="001979BF"/>
    <w:rsid w:val="00197A1D"/>
    <w:rsid w:val="00197F05"/>
    <w:rsid w:val="001A02EB"/>
    <w:rsid w:val="001A085A"/>
    <w:rsid w:val="001A0B53"/>
    <w:rsid w:val="001A10A8"/>
    <w:rsid w:val="001A1BF2"/>
    <w:rsid w:val="001A1DB0"/>
    <w:rsid w:val="001A272E"/>
    <w:rsid w:val="001A2A59"/>
    <w:rsid w:val="001A32B1"/>
    <w:rsid w:val="001A3C02"/>
    <w:rsid w:val="001A56DC"/>
    <w:rsid w:val="001A6F5D"/>
    <w:rsid w:val="001A754B"/>
    <w:rsid w:val="001A7C0E"/>
    <w:rsid w:val="001B0974"/>
    <w:rsid w:val="001B1A4C"/>
    <w:rsid w:val="001B1B22"/>
    <w:rsid w:val="001B27B5"/>
    <w:rsid w:val="001B31CC"/>
    <w:rsid w:val="001B409F"/>
    <w:rsid w:val="001B417C"/>
    <w:rsid w:val="001B494D"/>
    <w:rsid w:val="001B5152"/>
    <w:rsid w:val="001B52E7"/>
    <w:rsid w:val="001B53EE"/>
    <w:rsid w:val="001B5605"/>
    <w:rsid w:val="001B57FD"/>
    <w:rsid w:val="001B5E53"/>
    <w:rsid w:val="001B615A"/>
    <w:rsid w:val="001B6181"/>
    <w:rsid w:val="001B6B0A"/>
    <w:rsid w:val="001B6C9D"/>
    <w:rsid w:val="001B6F80"/>
    <w:rsid w:val="001B7502"/>
    <w:rsid w:val="001C02A8"/>
    <w:rsid w:val="001C04BC"/>
    <w:rsid w:val="001C057A"/>
    <w:rsid w:val="001C0754"/>
    <w:rsid w:val="001C076D"/>
    <w:rsid w:val="001C0801"/>
    <w:rsid w:val="001C0A81"/>
    <w:rsid w:val="001C1494"/>
    <w:rsid w:val="001C18EB"/>
    <w:rsid w:val="001C1A52"/>
    <w:rsid w:val="001C1A58"/>
    <w:rsid w:val="001C269E"/>
    <w:rsid w:val="001C3A9B"/>
    <w:rsid w:val="001C3EC1"/>
    <w:rsid w:val="001C402F"/>
    <w:rsid w:val="001C40AD"/>
    <w:rsid w:val="001C462E"/>
    <w:rsid w:val="001C4AC1"/>
    <w:rsid w:val="001C577A"/>
    <w:rsid w:val="001C5874"/>
    <w:rsid w:val="001C5ADD"/>
    <w:rsid w:val="001C5BEF"/>
    <w:rsid w:val="001C63BA"/>
    <w:rsid w:val="001C6530"/>
    <w:rsid w:val="001C6EDC"/>
    <w:rsid w:val="001C735B"/>
    <w:rsid w:val="001D0708"/>
    <w:rsid w:val="001D1138"/>
    <w:rsid w:val="001D1855"/>
    <w:rsid w:val="001D1B06"/>
    <w:rsid w:val="001D1ED3"/>
    <w:rsid w:val="001D27E8"/>
    <w:rsid w:val="001D2D7D"/>
    <w:rsid w:val="001D34B8"/>
    <w:rsid w:val="001D3A44"/>
    <w:rsid w:val="001D41B6"/>
    <w:rsid w:val="001D47A4"/>
    <w:rsid w:val="001D5204"/>
    <w:rsid w:val="001D56D9"/>
    <w:rsid w:val="001D5A40"/>
    <w:rsid w:val="001D6106"/>
    <w:rsid w:val="001D6E4B"/>
    <w:rsid w:val="001D728B"/>
    <w:rsid w:val="001D7BCA"/>
    <w:rsid w:val="001E0380"/>
    <w:rsid w:val="001E0425"/>
    <w:rsid w:val="001E13B0"/>
    <w:rsid w:val="001E1939"/>
    <w:rsid w:val="001E2974"/>
    <w:rsid w:val="001E3057"/>
    <w:rsid w:val="001E3307"/>
    <w:rsid w:val="001E3DF8"/>
    <w:rsid w:val="001E3E04"/>
    <w:rsid w:val="001E4091"/>
    <w:rsid w:val="001E44CA"/>
    <w:rsid w:val="001E4DB8"/>
    <w:rsid w:val="001E5616"/>
    <w:rsid w:val="001E5BEB"/>
    <w:rsid w:val="001E644D"/>
    <w:rsid w:val="001F07FA"/>
    <w:rsid w:val="001F0B83"/>
    <w:rsid w:val="001F1C85"/>
    <w:rsid w:val="001F20F0"/>
    <w:rsid w:val="001F38F6"/>
    <w:rsid w:val="001F4269"/>
    <w:rsid w:val="001F471C"/>
    <w:rsid w:val="001F4A69"/>
    <w:rsid w:val="001F5308"/>
    <w:rsid w:val="001F5C49"/>
    <w:rsid w:val="001F6405"/>
    <w:rsid w:val="001F6C29"/>
    <w:rsid w:val="001F6DCB"/>
    <w:rsid w:val="00200C40"/>
    <w:rsid w:val="00201B53"/>
    <w:rsid w:val="00201D8E"/>
    <w:rsid w:val="0020286D"/>
    <w:rsid w:val="002028BD"/>
    <w:rsid w:val="002029D3"/>
    <w:rsid w:val="002036A2"/>
    <w:rsid w:val="00203A43"/>
    <w:rsid w:val="00203BDC"/>
    <w:rsid w:val="00204B08"/>
    <w:rsid w:val="00204DCF"/>
    <w:rsid w:val="00205820"/>
    <w:rsid w:val="00206252"/>
    <w:rsid w:val="00206786"/>
    <w:rsid w:val="00207176"/>
    <w:rsid w:val="0020725F"/>
    <w:rsid w:val="00207377"/>
    <w:rsid w:val="00210AE6"/>
    <w:rsid w:val="00210CF9"/>
    <w:rsid w:val="00211416"/>
    <w:rsid w:val="002119B0"/>
    <w:rsid w:val="00211B03"/>
    <w:rsid w:val="0021207A"/>
    <w:rsid w:val="002125C5"/>
    <w:rsid w:val="00212A0A"/>
    <w:rsid w:val="00212E38"/>
    <w:rsid w:val="00212E60"/>
    <w:rsid w:val="00212EED"/>
    <w:rsid w:val="00213156"/>
    <w:rsid w:val="00213932"/>
    <w:rsid w:val="00213989"/>
    <w:rsid w:val="00213AF3"/>
    <w:rsid w:val="00214136"/>
    <w:rsid w:val="002146E6"/>
    <w:rsid w:val="00215CB5"/>
    <w:rsid w:val="00215ED7"/>
    <w:rsid w:val="00215EE6"/>
    <w:rsid w:val="00216665"/>
    <w:rsid w:val="00216E00"/>
    <w:rsid w:val="002176AF"/>
    <w:rsid w:val="0022031F"/>
    <w:rsid w:val="002208A5"/>
    <w:rsid w:val="00220EE2"/>
    <w:rsid w:val="00221222"/>
    <w:rsid w:val="002216EF"/>
    <w:rsid w:val="0022246F"/>
    <w:rsid w:val="00223160"/>
    <w:rsid w:val="002236D7"/>
    <w:rsid w:val="002237E5"/>
    <w:rsid w:val="00223C73"/>
    <w:rsid w:val="00223D77"/>
    <w:rsid w:val="0022435A"/>
    <w:rsid w:val="00224825"/>
    <w:rsid w:val="0022482A"/>
    <w:rsid w:val="0022664B"/>
    <w:rsid w:val="0022688E"/>
    <w:rsid w:val="00227748"/>
    <w:rsid w:val="002278A3"/>
    <w:rsid w:val="002279EF"/>
    <w:rsid w:val="002304A5"/>
    <w:rsid w:val="00230740"/>
    <w:rsid w:val="002307C4"/>
    <w:rsid w:val="00231807"/>
    <w:rsid w:val="002318F3"/>
    <w:rsid w:val="00231C66"/>
    <w:rsid w:val="0023201F"/>
    <w:rsid w:val="00232FC7"/>
    <w:rsid w:val="002337CA"/>
    <w:rsid w:val="00233BB9"/>
    <w:rsid w:val="00233F7A"/>
    <w:rsid w:val="00234037"/>
    <w:rsid w:val="002347E9"/>
    <w:rsid w:val="00235A6D"/>
    <w:rsid w:val="00235CEF"/>
    <w:rsid w:val="002361E6"/>
    <w:rsid w:val="00236BA4"/>
    <w:rsid w:val="002403F7"/>
    <w:rsid w:val="00240857"/>
    <w:rsid w:val="00240A76"/>
    <w:rsid w:val="00241128"/>
    <w:rsid w:val="00241E82"/>
    <w:rsid w:val="00242D71"/>
    <w:rsid w:val="00243264"/>
    <w:rsid w:val="002432ED"/>
    <w:rsid w:val="002435AE"/>
    <w:rsid w:val="00244269"/>
    <w:rsid w:val="00244F69"/>
    <w:rsid w:val="00245595"/>
    <w:rsid w:val="00245936"/>
    <w:rsid w:val="00245F15"/>
    <w:rsid w:val="00247019"/>
    <w:rsid w:val="00247079"/>
    <w:rsid w:val="00247D56"/>
    <w:rsid w:val="00251161"/>
    <w:rsid w:val="00251510"/>
    <w:rsid w:val="0025187C"/>
    <w:rsid w:val="002519C7"/>
    <w:rsid w:val="00251B63"/>
    <w:rsid w:val="00251DC5"/>
    <w:rsid w:val="002523E5"/>
    <w:rsid w:val="002531BB"/>
    <w:rsid w:val="00253509"/>
    <w:rsid w:val="002535E9"/>
    <w:rsid w:val="002541D4"/>
    <w:rsid w:val="00254A8B"/>
    <w:rsid w:val="00254C81"/>
    <w:rsid w:val="00254D99"/>
    <w:rsid w:val="00255423"/>
    <w:rsid w:val="00255E07"/>
    <w:rsid w:val="00255E92"/>
    <w:rsid w:val="002566C3"/>
    <w:rsid w:val="00256A00"/>
    <w:rsid w:val="00256ED0"/>
    <w:rsid w:val="0026091F"/>
    <w:rsid w:val="00260CFC"/>
    <w:rsid w:val="00261D55"/>
    <w:rsid w:val="00261E9B"/>
    <w:rsid w:val="00261FB4"/>
    <w:rsid w:val="00262368"/>
    <w:rsid w:val="00262AC3"/>
    <w:rsid w:val="00262D47"/>
    <w:rsid w:val="002634B3"/>
    <w:rsid w:val="00263A4E"/>
    <w:rsid w:val="0026410F"/>
    <w:rsid w:val="0026450D"/>
    <w:rsid w:val="00265B2B"/>
    <w:rsid w:val="00265B5D"/>
    <w:rsid w:val="00265EDD"/>
    <w:rsid w:val="0026600A"/>
    <w:rsid w:val="0026646A"/>
    <w:rsid w:val="00266727"/>
    <w:rsid w:val="002672DD"/>
    <w:rsid w:val="00267FDA"/>
    <w:rsid w:val="002702CF"/>
    <w:rsid w:val="0027049C"/>
    <w:rsid w:val="00270925"/>
    <w:rsid w:val="0027275D"/>
    <w:rsid w:val="00273346"/>
    <w:rsid w:val="002739C4"/>
    <w:rsid w:val="002739E9"/>
    <w:rsid w:val="002742FA"/>
    <w:rsid w:val="00275880"/>
    <w:rsid w:val="00275FE4"/>
    <w:rsid w:val="00276362"/>
    <w:rsid w:val="002765B8"/>
    <w:rsid w:val="00276668"/>
    <w:rsid w:val="00276813"/>
    <w:rsid w:val="002768B3"/>
    <w:rsid w:val="00276AE6"/>
    <w:rsid w:val="00276C33"/>
    <w:rsid w:val="00277ADB"/>
    <w:rsid w:val="00280070"/>
    <w:rsid w:val="00280C26"/>
    <w:rsid w:val="00280E46"/>
    <w:rsid w:val="00281614"/>
    <w:rsid w:val="002816DF"/>
    <w:rsid w:val="00282556"/>
    <w:rsid w:val="0028265F"/>
    <w:rsid w:val="0028327B"/>
    <w:rsid w:val="002835C5"/>
    <w:rsid w:val="002837EB"/>
    <w:rsid w:val="00283F3B"/>
    <w:rsid w:val="00284820"/>
    <w:rsid w:val="0028493B"/>
    <w:rsid w:val="0028556C"/>
    <w:rsid w:val="002862F4"/>
    <w:rsid w:val="00286854"/>
    <w:rsid w:val="00286C7D"/>
    <w:rsid w:val="00286FE5"/>
    <w:rsid w:val="0028731D"/>
    <w:rsid w:val="00287CC6"/>
    <w:rsid w:val="00287CDB"/>
    <w:rsid w:val="00290658"/>
    <w:rsid w:val="00290B63"/>
    <w:rsid w:val="00291189"/>
    <w:rsid w:val="002923A8"/>
    <w:rsid w:val="00292662"/>
    <w:rsid w:val="00292976"/>
    <w:rsid w:val="00292BD2"/>
    <w:rsid w:val="002932F2"/>
    <w:rsid w:val="00293754"/>
    <w:rsid w:val="00293B0A"/>
    <w:rsid w:val="00294458"/>
    <w:rsid w:val="00294C4B"/>
    <w:rsid w:val="0029551B"/>
    <w:rsid w:val="002965BB"/>
    <w:rsid w:val="002A163C"/>
    <w:rsid w:val="002A3922"/>
    <w:rsid w:val="002A3CDF"/>
    <w:rsid w:val="002A4A1B"/>
    <w:rsid w:val="002A4ADE"/>
    <w:rsid w:val="002A4DFE"/>
    <w:rsid w:val="002A4FAE"/>
    <w:rsid w:val="002A4FB2"/>
    <w:rsid w:val="002A57B5"/>
    <w:rsid w:val="002A5D74"/>
    <w:rsid w:val="002A6040"/>
    <w:rsid w:val="002A6B29"/>
    <w:rsid w:val="002A6D12"/>
    <w:rsid w:val="002A6DFB"/>
    <w:rsid w:val="002A73BD"/>
    <w:rsid w:val="002B070A"/>
    <w:rsid w:val="002B0A3C"/>
    <w:rsid w:val="002B13FD"/>
    <w:rsid w:val="002B1590"/>
    <w:rsid w:val="002B1B43"/>
    <w:rsid w:val="002B29D9"/>
    <w:rsid w:val="002B2E6F"/>
    <w:rsid w:val="002B3CAB"/>
    <w:rsid w:val="002B3F67"/>
    <w:rsid w:val="002B489D"/>
    <w:rsid w:val="002B5121"/>
    <w:rsid w:val="002B5340"/>
    <w:rsid w:val="002B5741"/>
    <w:rsid w:val="002B5AD0"/>
    <w:rsid w:val="002B61F6"/>
    <w:rsid w:val="002B69BB"/>
    <w:rsid w:val="002B767D"/>
    <w:rsid w:val="002B76AE"/>
    <w:rsid w:val="002B7946"/>
    <w:rsid w:val="002B7FAB"/>
    <w:rsid w:val="002C016F"/>
    <w:rsid w:val="002C057B"/>
    <w:rsid w:val="002C0660"/>
    <w:rsid w:val="002C0A9F"/>
    <w:rsid w:val="002C1F3C"/>
    <w:rsid w:val="002C2817"/>
    <w:rsid w:val="002C288E"/>
    <w:rsid w:val="002C28EF"/>
    <w:rsid w:val="002C2CA5"/>
    <w:rsid w:val="002C30B4"/>
    <w:rsid w:val="002C34CB"/>
    <w:rsid w:val="002C4432"/>
    <w:rsid w:val="002C49B7"/>
    <w:rsid w:val="002C4AC8"/>
    <w:rsid w:val="002C4F65"/>
    <w:rsid w:val="002C50BD"/>
    <w:rsid w:val="002C51BB"/>
    <w:rsid w:val="002C528F"/>
    <w:rsid w:val="002C5903"/>
    <w:rsid w:val="002C6656"/>
    <w:rsid w:val="002C6A0B"/>
    <w:rsid w:val="002C6B95"/>
    <w:rsid w:val="002C7063"/>
    <w:rsid w:val="002C7A51"/>
    <w:rsid w:val="002D0866"/>
    <w:rsid w:val="002D0A0E"/>
    <w:rsid w:val="002D140D"/>
    <w:rsid w:val="002D1856"/>
    <w:rsid w:val="002D1BA6"/>
    <w:rsid w:val="002D1ECB"/>
    <w:rsid w:val="002D216D"/>
    <w:rsid w:val="002D267E"/>
    <w:rsid w:val="002D2841"/>
    <w:rsid w:val="002D2AD1"/>
    <w:rsid w:val="002D2E79"/>
    <w:rsid w:val="002D2EE2"/>
    <w:rsid w:val="002D3459"/>
    <w:rsid w:val="002D4271"/>
    <w:rsid w:val="002D42B7"/>
    <w:rsid w:val="002D4688"/>
    <w:rsid w:val="002D4885"/>
    <w:rsid w:val="002D498F"/>
    <w:rsid w:val="002D5717"/>
    <w:rsid w:val="002D5D33"/>
    <w:rsid w:val="002D645A"/>
    <w:rsid w:val="002D6C1B"/>
    <w:rsid w:val="002D7998"/>
    <w:rsid w:val="002D7B02"/>
    <w:rsid w:val="002D7CD8"/>
    <w:rsid w:val="002E0712"/>
    <w:rsid w:val="002E1818"/>
    <w:rsid w:val="002E1AE1"/>
    <w:rsid w:val="002E26E1"/>
    <w:rsid w:val="002E3476"/>
    <w:rsid w:val="002E3EAE"/>
    <w:rsid w:val="002E3F1F"/>
    <w:rsid w:val="002E3FD0"/>
    <w:rsid w:val="002E431A"/>
    <w:rsid w:val="002E4AE1"/>
    <w:rsid w:val="002E5541"/>
    <w:rsid w:val="002E5AF5"/>
    <w:rsid w:val="002E6D28"/>
    <w:rsid w:val="002E6F9D"/>
    <w:rsid w:val="002E7182"/>
    <w:rsid w:val="002E72AC"/>
    <w:rsid w:val="002E777F"/>
    <w:rsid w:val="002F016A"/>
    <w:rsid w:val="002F03EC"/>
    <w:rsid w:val="002F04DC"/>
    <w:rsid w:val="002F0A94"/>
    <w:rsid w:val="002F0F02"/>
    <w:rsid w:val="002F1043"/>
    <w:rsid w:val="002F1752"/>
    <w:rsid w:val="002F2123"/>
    <w:rsid w:val="002F23D4"/>
    <w:rsid w:val="002F3741"/>
    <w:rsid w:val="002F37B2"/>
    <w:rsid w:val="002F407F"/>
    <w:rsid w:val="002F439D"/>
    <w:rsid w:val="002F47A5"/>
    <w:rsid w:val="002F4819"/>
    <w:rsid w:val="002F575D"/>
    <w:rsid w:val="002F57EB"/>
    <w:rsid w:val="002F5EE0"/>
    <w:rsid w:val="002F6061"/>
    <w:rsid w:val="002F664D"/>
    <w:rsid w:val="002F68AE"/>
    <w:rsid w:val="0030035A"/>
    <w:rsid w:val="0030111F"/>
    <w:rsid w:val="00301624"/>
    <w:rsid w:val="00302F4D"/>
    <w:rsid w:val="00302F70"/>
    <w:rsid w:val="00303BED"/>
    <w:rsid w:val="00304349"/>
    <w:rsid w:val="00304713"/>
    <w:rsid w:val="00304850"/>
    <w:rsid w:val="00305EA5"/>
    <w:rsid w:val="00306886"/>
    <w:rsid w:val="00306AA0"/>
    <w:rsid w:val="00306C8D"/>
    <w:rsid w:val="0030769F"/>
    <w:rsid w:val="00307B1C"/>
    <w:rsid w:val="0031018E"/>
    <w:rsid w:val="00310394"/>
    <w:rsid w:val="00310AE1"/>
    <w:rsid w:val="003113DF"/>
    <w:rsid w:val="00312136"/>
    <w:rsid w:val="0031250B"/>
    <w:rsid w:val="00312B67"/>
    <w:rsid w:val="00312EEA"/>
    <w:rsid w:val="003167F8"/>
    <w:rsid w:val="00317357"/>
    <w:rsid w:val="00317D40"/>
    <w:rsid w:val="00320021"/>
    <w:rsid w:val="00320575"/>
    <w:rsid w:val="003207C1"/>
    <w:rsid w:val="00320887"/>
    <w:rsid w:val="003208BC"/>
    <w:rsid w:val="00320AF5"/>
    <w:rsid w:val="00320BA9"/>
    <w:rsid w:val="00320CD4"/>
    <w:rsid w:val="0032133B"/>
    <w:rsid w:val="003215A5"/>
    <w:rsid w:val="00321875"/>
    <w:rsid w:val="00321E2C"/>
    <w:rsid w:val="00321F1C"/>
    <w:rsid w:val="00321FE8"/>
    <w:rsid w:val="00321FF1"/>
    <w:rsid w:val="0032248F"/>
    <w:rsid w:val="00322A96"/>
    <w:rsid w:val="00322B0B"/>
    <w:rsid w:val="00322E63"/>
    <w:rsid w:val="00323243"/>
    <w:rsid w:val="003232A7"/>
    <w:rsid w:val="003234CC"/>
    <w:rsid w:val="003240AB"/>
    <w:rsid w:val="00324327"/>
    <w:rsid w:val="00324854"/>
    <w:rsid w:val="0032595B"/>
    <w:rsid w:val="00325CB8"/>
    <w:rsid w:val="00326300"/>
    <w:rsid w:val="00326821"/>
    <w:rsid w:val="00326ED0"/>
    <w:rsid w:val="00327B2A"/>
    <w:rsid w:val="00330558"/>
    <w:rsid w:val="00330A33"/>
    <w:rsid w:val="00330D2B"/>
    <w:rsid w:val="00331B6C"/>
    <w:rsid w:val="0033244E"/>
    <w:rsid w:val="00332F98"/>
    <w:rsid w:val="0033390E"/>
    <w:rsid w:val="003339B5"/>
    <w:rsid w:val="00333B7F"/>
    <w:rsid w:val="00333CE4"/>
    <w:rsid w:val="003343E2"/>
    <w:rsid w:val="0033471C"/>
    <w:rsid w:val="00334789"/>
    <w:rsid w:val="003356F2"/>
    <w:rsid w:val="003356F4"/>
    <w:rsid w:val="00335D82"/>
    <w:rsid w:val="00335FC3"/>
    <w:rsid w:val="003361DB"/>
    <w:rsid w:val="003362BE"/>
    <w:rsid w:val="003366E2"/>
    <w:rsid w:val="00337356"/>
    <w:rsid w:val="00337CF5"/>
    <w:rsid w:val="00337EE3"/>
    <w:rsid w:val="0034027C"/>
    <w:rsid w:val="00341345"/>
    <w:rsid w:val="00341B84"/>
    <w:rsid w:val="00342362"/>
    <w:rsid w:val="00343810"/>
    <w:rsid w:val="0034392A"/>
    <w:rsid w:val="00343BB1"/>
    <w:rsid w:val="003453BB"/>
    <w:rsid w:val="003455FE"/>
    <w:rsid w:val="003461D0"/>
    <w:rsid w:val="00346213"/>
    <w:rsid w:val="00346B40"/>
    <w:rsid w:val="00346BD2"/>
    <w:rsid w:val="00346DC6"/>
    <w:rsid w:val="00347170"/>
    <w:rsid w:val="0034739F"/>
    <w:rsid w:val="00347572"/>
    <w:rsid w:val="0034762B"/>
    <w:rsid w:val="00347753"/>
    <w:rsid w:val="003478E0"/>
    <w:rsid w:val="00347A50"/>
    <w:rsid w:val="00350068"/>
    <w:rsid w:val="00351A45"/>
    <w:rsid w:val="00352003"/>
    <w:rsid w:val="00352572"/>
    <w:rsid w:val="0035269B"/>
    <w:rsid w:val="00353BEF"/>
    <w:rsid w:val="00354552"/>
    <w:rsid w:val="003550C2"/>
    <w:rsid w:val="003553EF"/>
    <w:rsid w:val="00355A82"/>
    <w:rsid w:val="00355E81"/>
    <w:rsid w:val="003562E8"/>
    <w:rsid w:val="003568B4"/>
    <w:rsid w:val="00356C5D"/>
    <w:rsid w:val="0035782D"/>
    <w:rsid w:val="00360D14"/>
    <w:rsid w:val="0036113A"/>
    <w:rsid w:val="0036207C"/>
    <w:rsid w:val="00362358"/>
    <w:rsid w:val="003624AB"/>
    <w:rsid w:val="003625C7"/>
    <w:rsid w:val="00362817"/>
    <w:rsid w:val="0036485C"/>
    <w:rsid w:val="0036492C"/>
    <w:rsid w:val="00364E48"/>
    <w:rsid w:val="00365696"/>
    <w:rsid w:val="00365F1D"/>
    <w:rsid w:val="00365FFA"/>
    <w:rsid w:val="00366260"/>
    <w:rsid w:val="003664B6"/>
    <w:rsid w:val="00366998"/>
    <w:rsid w:val="0036737E"/>
    <w:rsid w:val="003674F8"/>
    <w:rsid w:val="003675B1"/>
    <w:rsid w:val="00367E55"/>
    <w:rsid w:val="00370401"/>
    <w:rsid w:val="00370728"/>
    <w:rsid w:val="00370757"/>
    <w:rsid w:val="003714F9"/>
    <w:rsid w:val="00371B6D"/>
    <w:rsid w:val="00371EA4"/>
    <w:rsid w:val="00371F00"/>
    <w:rsid w:val="003722D8"/>
    <w:rsid w:val="003730F5"/>
    <w:rsid w:val="0037342E"/>
    <w:rsid w:val="00375869"/>
    <w:rsid w:val="00375B0C"/>
    <w:rsid w:val="0037745C"/>
    <w:rsid w:val="003776D2"/>
    <w:rsid w:val="00377942"/>
    <w:rsid w:val="00377C70"/>
    <w:rsid w:val="0038023D"/>
    <w:rsid w:val="00380823"/>
    <w:rsid w:val="00380C1F"/>
    <w:rsid w:val="00380D51"/>
    <w:rsid w:val="0038105B"/>
    <w:rsid w:val="00382B52"/>
    <w:rsid w:val="00383570"/>
    <w:rsid w:val="003839C8"/>
    <w:rsid w:val="003839DB"/>
    <w:rsid w:val="00383CE0"/>
    <w:rsid w:val="003855A7"/>
    <w:rsid w:val="00385614"/>
    <w:rsid w:val="003856B0"/>
    <w:rsid w:val="0038639E"/>
    <w:rsid w:val="003874CD"/>
    <w:rsid w:val="00387C91"/>
    <w:rsid w:val="00390222"/>
    <w:rsid w:val="00390D54"/>
    <w:rsid w:val="003918CF"/>
    <w:rsid w:val="003921B9"/>
    <w:rsid w:val="0039305E"/>
    <w:rsid w:val="00394692"/>
    <w:rsid w:val="00394863"/>
    <w:rsid w:val="00394BF1"/>
    <w:rsid w:val="00395B17"/>
    <w:rsid w:val="003967DB"/>
    <w:rsid w:val="003968D4"/>
    <w:rsid w:val="003979FC"/>
    <w:rsid w:val="00397B47"/>
    <w:rsid w:val="00397C8A"/>
    <w:rsid w:val="00397E3F"/>
    <w:rsid w:val="003A0C37"/>
    <w:rsid w:val="003A0DCB"/>
    <w:rsid w:val="003A0EED"/>
    <w:rsid w:val="003A15F8"/>
    <w:rsid w:val="003A171C"/>
    <w:rsid w:val="003A17A5"/>
    <w:rsid w:val="003A299A"/>
    <w:rsid w:val="003A3428"/>
    <w:rsid w:val="003A3469"/>
    <w:rsid w:val="003A34A6"/>
    <w:rsid w:val="003A39A9"/>
    <w:rsid w:val="003A3B9A"/>
    <w:rsid w:val="003A4051"/>
    <w:rsid w:val="003A4185"/>
    <w:rsid w:val="003A5D77"/>
    <w:rsid w:val="003A5F36"/>
    <w:rsid w:val="003A60AE"/>
    <w:rsid w:val="003A633D"/>
    <w:rsid w:val="003A6434"/>
    <w:rsid w:val="003A66DA"/>
    <w:rsid w:val="003A6B6B"/>
    <w:rsid w:val="003A79CE"/>
    <w:rsid w:val="003B0602"/>
    <w:rsid w:val="003B12EF"/>
    <w:rsid w:val="003B1399"/>
    <w:rsid w:val="003B1EF0"/>
    <w:rsid w:val="003B210A"/>
    <w:rsid w:val="003B275F"/>
    <w:rsid w:val="003B2977"/>
    <w:rsid w:val="003B3515"/>
    <w:rsid w:val="003B3AA1"/>
    <w:rsid w:val="003B3E91"/>
    <w:rsid w:val="003B4D74"/>
    <w:rsid w:val="003B52E6"/>
    <w:rsid w:val="003B578F"/>
    <w:rsid w:val="003B68A0"/>
    <w:rsid w:val="003B727D"/>
    <w:rsid w:val="003B74AF"/>
    <w:rsid w:val="003B7BF4"/>
    <w:rsid w:val="003C1514"/>
    <w:rsid w:val="003C16E4"/>
    <w:rsid w:val="003C2346"/>
    <w:rsid w:val="003C267D"/>
    <w:rsid w:val="003C2DA9"/>
    <w:rsid w:val="003C3B46"/>
    <w:rsid w:val="003C43A8"/>
    <w:rsid w:val="003C4CF1"/>
    <w:rsid w:val="003C559F"/>
    <w:rsid w:val="003C5A0B"/>
    <w:rsid w:val="003C69DA"/>
    <w:rsid w:val="003C6D30"/>
    <w:rsid w:val="003C6FD1"/>
    <w:rsid w:val="003C751E"/>
    <w:rsid w:val="003D1974"/>
    <w:rsid w:val="003D25C5"/>
    <w:rsid w:val="003D288D"/>
    <w:rsid w:val="003D2B80"/>
    <w:rsid w:val="003D36F6"/>
    <w:rsid w:val="003D3944"/>
    <w:rsid w:val="003D3F43"/>
    <w:rsid w:val="003D4884"/>
    <w:rsid w:val="003D524A"/>
    <w:rsid w:val="003D6E99"/>
    <w:rsid w:val="003D7031"/>
    <w:rsid w:val="003D7949"/>
    <w:rsid w:val="003D7DEC"/>
    <w:rsid w:val="003D7E6D"/>
    <w:rsid w:val="003E02B7"/>
    <w:rsid w:val="003E05F2"/>
    <w:rsid w:val="003E16D8"/>
    <w:rsid w:val="003E184D"/>
    <w:rsid w:val="003E2055"/>
    <w:rsid w:val="003E2745"/>
    <w:rsid w:val="003E384F"/>
    <w:rsid w:val="003E39F7"/>
    <w:rsid w:val="003E4612"/>
    <w:rsid w:val="003E4759"/>
    <w:rsid w:val="003E4770"/>
    <w:rsid w:val="003E4F01"/>
    <w:rsid w:val="003E535D"/>
    <w:rsid w:val="003E58A2"/>
    <w:rsid w:val="003E58CE"/>
    <w:rsid w:val="003E6965"/>
    <w:rsid w:val="003E6EC7"/>
    <w:rsid w:val="003E72C0"/>
    <w:rsid w:val="003E7D71"/>
    <w:rsid w:val="003E7DEA"/>
    <w:rsid w:val="003E7E55"/>
    <w:rsid w:val="003F031E"/>
    <w:rsid w:val="003F03DA"/>
    <w:rsid w:val="003F061B"/>
    <w:rsid w:val="003F0FF9"/>
    <w:rsid w:val="003F13A6"/>
    <w:rsid w:val="003F1896"/>
    <w:rsid w:val="003F3932"/>
    <w:rsid w:val="003F4824"/>
    <w:rsid w:val="003F5C2C"/>
    <w:rsid w:val="003F5DA5"/>
    <w:rsid w:val="003F6079"/>
    <w:rsid w:val="003F65FD"/>
    <w:rsid w:val="003F685D"/>
    <w:rsid w:val="003F7C81"/>
    <w:rsid w:val="004000FE"/>
    <w:rsid w:val="00400235"/>
    <w:rsid w:val="004009AB"/>
    <w:rsid w:val="00400FD1"/>
    <w:rsid w:val="00401844"/>
    <w:rsid w:val="004019DA"/>
    <w:rsid w:val="00401CB6"/>
    <w:rsid w:val="00401D67"/>
    <w:rsid w:val="00402BC6"/>
    <w:rsid w:val="0040325A"/>
    <w:rsid w:val="0040353D"/>
    <w:rsid w:val="004039AA"/>
    <w:rsid w:val="0040411A"/>
    <w:rsid w:val="004045F7"/>
    <w:rsid w:val="00404D49"/>
    <w:rsid w:val="0040503D"/>
    <w:rsid w:val="0040623A"/>
    <w:rsid w:val="00406381"/>
    <w:rsid w:val="00406845"/>
    <w:rsid w:val="004078C3"/>
    <w:rsid w:val="00407EDF"/>
    <w:rsid w:val="00410414"/>
    <w:rsid w:val="004108DD"/>
    <w:rsid w:val="00410AFB"/>
    <w:rsid w:val="00411175"/>
    <w:rsid w:val="00411410"/>
    <w:rsid w:val="00411C48"/>
    <w:rsid w:val="004121E4"/>
    <w:rsid w:val="004127B9"/>
    <w:rsid w:val="00412D5B"/>
    <w:rsid w:val="00413016"/>
    <w:rsid w:val="00413325"/>
    <w:rsid w:val="004138B2"/>
    <w:rsid w:val="0041421A"/>
    <w:rsid w:val="00414240"/>
    <w:rsid w:val="004144C4"/>
    <w:rsid w:val="00414EEE"/>
    <w:rsid w:val="00416AFF"/>
    <w:rsid w:val="00416D08"/>
    <w:rsid w:val="00417C18"/>
    <w:rsid w:val="00420048"/>
    <w:rsid w:val="00420B13"/>
    <w:rsid w:val="00420B1A"/>
    <w:rsid w:val="00420D6C"/>
    <w:rsid w:val="00420DC3"/>
    <w:rsid w:val="0042120A"/>
    <w:rsid w:val="00421364"/>
    <w:rsid w:val="00421AED"/>
    <w:rsid w:val="00421D37"/>
    <w:rsid w:val="00421F03"/>
    <w:rsid w:val="004225E0"/>
    <w:rsid w:val="0042273B"/>
    <w:rsid w:val="00423086"/>
    <w:rsid w:val="00423D61"/>
    <w:rsid w:val="00424596"/>
    <w:rsid w:val="004246F9"/>
    <w:rsid w:val="00424A7F"/>
    <w:rsid w:val="00424B8F"/>
    <w:rsid w:val="00425216"/>
    <w:rsid w:val="00425537"/>
    <w:rsid w:val="004258E8"/>
    <w:rsid w:val="0042616E"/>
    <w:rsid w:val="00427CCB"/>
    <w:rsid w:val="00431504"/>
    <w:rsid w:val="00432055"/>
    <w:rsid w:val="00432373"/>
    <w:rsid w:val="00433AC1"/>
    <w:rsid w:val="00433C3C"/>
    <w:rsid w:val="00433CE1"/>
    <w:rsid w:val="00434405"/>
    <w:rsid w:val="00434DAA"/>
    <w:rsid w:val="00434FF4"/>
    <w:rsid w:val="00435549"/>
    <w:rsid w:val="00435772"/>
    <w:rsid w:val="00435CC5"/>
    <w:rsid w:val="00435D6C"/>
    <w:rsid w:val="00436D06"/>
    <w:rsid w:val="00436D8C"/>
    <w:rsid w:val="00436EB9"/>
    <w:rsid w:val="00437039"/>
    <w:rsid w:val="00437B96"/>
    <w:rsid w:val="00437BF2"/>
    <w:rsid w:val="0044030E"/>
    <w:rsid w:val="00440B09"/>
    <w:rsid w:val="00440E22"/>
    <w:rsid w:val="00441D26"/>
    <w:rsid w:val="00442A42"/>
    <w:rsid w:val="00443444"/>
    <w:rsid w:val="00443467"/>
    <w:rsid w:val="004434DB"/>
    <w:rsid w:val="00443E59"/>
    <w:rsid w:val="00443E7F"/>
    <w:rsid w:val="00444A4F"/>
    <w:rsid w:val="00444DE8"/>
    <w:rsid w:val="00446892"/>
    <w:rsid w:val="00446E2F"/>
    <w:rsid w:val="00447687"/>
    <w:rsid w:val="004478FC"/>
    <w:rsid w:val="004479D0"/>
    <w:rsid w:val="00450454"/>
    <w:rsid w:val="004507E3"/>
    <w:rsid w:val="004509F5"/>
    <w:rsid w:val="0045119E"/>
    <w:rsid w:val="00451422"/>
    <w:rsid w:val="00451A63"/>
    <w:rsid w:val="00451DB9"/>
    <w:rsid w:val="00452120"/>
    <w:rsid w:val="00452376"/>
    <w:rsid w:val="00452EFB"/>
    <w:rsid w:val="00453F09"/>
    <w:rsid w:val="00455707"/>
    <w:rsid w:val="00455D72"/>
    <w:rsid w:val="00456D89"/>
    <w:rsid w:val="004571B2"/>
    <w:rsid w:val="00457498"/>
    <w:rsid w:val="0045772C"/>
    <w:rsid w:val="00457EB2"/>
    <w:rsid w:val="00457EBA"/>
    <w:rsid w:val="00460057"/>
    <w:rsid w:val="004600E7"/>
    <w:rsid w:val="00460102"/>
    <w:rsid w:val="0046045F"/>
    <w:rsid w:val="00460D9B"/>
    <w:rsid w:val="004611DE"/>
    <w:rsid w:val="004615DC"/>
    <w:rsid w:val="004618DC"/>
    <w:rsid w:val="00461AF6"/>
    <w:rsid w:val="00461E32"/>
    <w:rsid w:val="00462488"/>
    <w:rsid w:val="0046276F"/>
    <w:rsid w:val="00462F9B"/>
    <w:rsid w:val="00464863"/>
    <w:rsid w:val="0046503F"/>
    <w:rsid w:val="004650D0"/>
    <w:rsid w:val="004651AA"/>
    <w:rsid w:val="00465206"/>
    <w:rsid w:val="00466896"/>
    <w:rsid w:val="00467443"/>
    <w:rsid w:val="004675A0"/>
    <w:rsid w:val="004703FA"/>
    <w:rsid w:val="0047078B"/>
    <w:rsid w:val="004710D1"/>
    <w:rsid w:val="0047194B"/>
    <w:rsid w:val="004723F3"/>
    <w:rsid w:val="00472A36"/>
    <w:rsid w:val="00472A52"/>
    <w:rsid w:val="00473DC8"/>
    <w:rsid w:val="00474223"/>
    <w:rsid w:val="00474886"/>
    <w:rsid w:val="004756F5"/>
    <w:rsid w:val="004767B4"/>
    <w:rsid w:val="00477335"/>
    <w:rsid w:val="00477360"/>
    <w:rsid w:val="0047783E"/>
    <w:rsid w:val="0048027E"/>
    <w:rsid w:val="004803EE"/>
    <w:rsid w:val="00480757"/>
    <w:rsid w:val="00481276"/>
    <w:rsid w:val="00482500"/>
    <w:rsid w:val="00482D33"/>
    <w:rsid w:val="00482D7D"/>
    <w:rsid w:val="004834ED"/>
    <w:rsid w:val="004838FB"/>
    <w:rsid w:val="00484192"/>
    <w:rsid w:val="00484CE2"/>
    <w:rsid w:val="00484D2A"/>
    <w:rsid w:val="0048537C"/>
    <w:rsid w:val="00485DC0"/>
    <w:rsid w:val="0048645F"/>
    <w:rsid w:val="00486A96"/>
    <w:rsid w:val="004872F0"/>
    <w:rsid w:val="00487801"/>
    <w:rsid w:val="004907C7"/>
    <w:rsid w:val="0049095D"/>
    <w:rsid w:val="00490AA3"/>
    <w:rsid w:val="00490B0F"/>
    <w:rsid w:val="0049196B"/>
    <w:rsid w:val="00491B99"/>
    <w:rsid w:val="00491DFF"/>
    <w:rsid w:val="00491EA2"/>
    <w:rsid w:val="00492138"/>
    <w:rsid w:val="00492ABD"/>
    <w:rsid w:val="00492FB4"/>
    <w:rsid w:val="0049359F"/>
    <w:rsid w:val="004935C2"/>
    <w:rsid w:val="0049364E"/>
    <w:rsid w:val="004937E6"/>
    <w:rsid w:val="004938F3"/>
    <w:rsid w:val="00493A72"/>
    <w:rsid w:val="004940A1"/>
    <w:rsid w:val="00494229"/>
    <w:rsid w:val="004944E6"/>
    <w:rsid w:val="00494E68"/>
    <w:rsid w:val="004960E4"/>
    <w:rsid w:val="00497048"/>
    <w:rsid w:val="004971CD"/>
    <w:rsid w:val="00497299"/>
    <w:rsid w:val="004973B0"/>
    <w:rsid w:val="0049791C"/>
    <w:rsid w:val="004A0842"/>
    <w:rsid w:val="004A14B5"/>
    <w:rsid w:val="004A14F1"/>
    <w:rsid w:val="004A1CE0"/>
    <w:rsid w:val="004A2800"/>
    <w:rsid w:val="004A2A38"/>
    <w:rsid w:val="004A3510"/>
    <w:rsid w:val="004A39B1"/>
    <w:rsid w:val="004A3CA5"/>
    <w:rsid w:val="004A41B9"/>
    <w:rsid w:val="004A50B3"/>
    <w:rsid w:val="004A588A"/>
    <w:rsid w:val="004A5A5E"/>
    <w:rsid w:val="004A6400"/>
    <w:rsid w:val="004A69B6"/>
    <w:rsid w:val="004A6A4A"/>
    <w:rsid w:val="004A6E11"/>
    <w:rsid w:val="004A78BC"/>
    <w:rsid w:val="004B00B0"/>
    <w:rsid w:val="004B0292"/>
    <w:rsid w:val="004B120D"/>
    <w:rsid w:val="004B180C"/>
    <w:rsid w:val="004B22F9"/>
    <w:rsid w:val="004B291E"/>
    <w:rsid w:val="004B3560"/>
    <w:rsid w:val="004B366C"/>
    <w:rsid w:val="004B406E"/>
    <w:rsid w:val="004B4825"/>
    <w:rsid w:val="004B49E8"/>
    <w:rsid w:val="004B4C42"/>
    <w:rsid w:val="004B5277"/>
    <w:rsid w:val="004B5BE0"/>
    <w:rsid w:val="004B6122"/>
    <w:rsid w:val="004B6419"/>
    <w:rsid w:val="004B641C"/>
    <w:rsid w:val="004B696B"/>
    <w:rsid w:val="004B6B8C"/>
    <w:rsid w:val="004B7ED6"/>
    <w:rsid w:val="004C046A"/>
    <w:rsid w:val="004C0479"/>
    <w:rsid w:val="004C0561"/>
    <w:rsid w:val="004C09F7"/>
    <w:rsid w:val="004C1008"/>
    <w:rsid w:val="004C15FC"/>
    <w:rsid w:val="004C1632"/>
    <w:rsid w:val="004C2C1F"/>
    <w:rsid w:val="004C2D7E"/>
    <w:rsid w:val="004C360E"/>
    <w:rsid w:val="004C3BEA"/>
    <w:rsid w:val="004C50DF"/>
    <w:rsid w:val="004C594D"/>
    <w:rsid w:val="004C6D1B"/>
    <w:rsid w:val="004C7702"/>
    <w:rsid w:val="004C7D62"/>
    <w:rsid w:val="004C7E7D"/>
    <w:rsid w:val="004D00FD"/>
    <w:rsid w:val="004D0577"/>
    <w:rsid w:val="004D12B4"/>
    <w:rsid w:val="004D1ED3"/>
    <w:rsid w:val="004D215B"/>
    <w:rsid w:val="004D279B"/>
    <w:rsid w:val="004D27E3"/>
    <w:rsid w:val="004D2B8C"/>
    <w:rsid w:val="004D2D8F"/>
    <w:rsid w:val="004D3373"/>
    <w:rsid w:val="004D3636"/>
    <w:rsid w:val="004D37A2"/>
    <w:rsid w:val="004D39CD"/>
    <w:rsid w:val="004D3CB9"/>
    <w:rsid w:val="004D3E5D"/>
    <w:rsid w:val="004D40AE"/>
    <w:rsid w:val="004D4999"/>
    <w:rsid w:val="004D5488"/>
    <w:rsid w:val="004D5892"/>
    <w:rsid w:val="004D58BA"/>
    <w:rsid w:val="004D5A85"/>
    <w:rsid w:val="004D71C9"/>
    <w:rsid w:val="004D7413"/>
    <w:rsid w:val="004D789C"/>
    <w:rsid w:val="004D794C"/>
    <w:rsid w:val="004D795E"/>
    <w:rsid w:val="004E0EA2"/>
    <w:rsid w:val="004E29DC"/>
    <w:rsid w:val="004E3146"/>
    <w:rsid w:val="004E32EA"/>
    <w:rsid w:val="004E3768"/>
    <w:rsid w:val="004E3CDB"/>
    <w:rsid w:val="004E3E32"/>
    <w:rsid w:val="004E473E"/>
    <w:rsid w:val="004E4A11"/>
    <w:rsid w:val="004E4D03"/>
    <w:rsid w:val="004E60EF"/>
    <w:rsid w:val="004E6796"/>
    <w:rsid w:val="004E6F29"/>
    <w:rsid w:val="004E7A72"/>
    <w:rsid w:val="004E7A77"/>
    <w:rsid w:val="004F0C55"/>
    <w:rsid w:val="004F0E42"/>
    <w:rsid w:val="004F16FC"/>
    <w:rsid w:val="004F1D2B"/>
    <w:rsid w:val="004F1D47"/>
    <w:rsid w:val="004F1EE7"/>
    <w:rsid w:val="004F2207"/>
    <w:rsid w:val="004F28C6"/>
    <w:rsid w:val="004F3C3A"/>
    <w:rsid w:val="004F4392"/>
    <w:rsid w:val="004F471A"/>
    <w:rsid w:val="004F48EC"/>
    <w:rsid w:val="004F4AAD"/>
    <w:rsid w:val="004F5588"/>
    <w:rsid w:val="004F63C0"/>
    <w:rsid w:val="004F7367"/>
    <w:rsid w:val="004F7D7E"/>
    <w:rsid w:val="005000C4"/>
    <w:rsid w:val="00500A1D"/>
    <w:rsid w:val="00501614"/>
    <w:rsid w:val="00501FDB"/>
    <w:rsid w:val="0050217E"/>
    <w:rsid w:val="005022CC"/>
    <w:rsid w:val="0050241B"/>
    <w:rsid w:val="0050249F"/>
    <w:rsid w:val="00502675"/>
    <w:rsid w:val="00502D0C"/>
    <w:rsid w:val="00504A1C"/>
    <w:rsid w:val="00504A28"/>
    <w:rsid w:val="00505A5C"/>
    <w:rsid w:val="00505C19"/>
    <w:rsid w:val="00505E83"/>
    <w:rsid w:val="00506DE2"/>
    <w:rsid w:val="005071A8"/>
    <w:rsid w:val="005073AA"/>
    <w:rsid w:val="005100FF"/>
    <w:rsid w:val="0051022B"/>
    <w:rsid w:val="00510529"/>
    <w:rsid w:val="00510572"/>
    <w:rsid w:val="00510BDE"/>
    <w:rsid w:val="00510F56"/>
    <w:rsid w:val="005114B0"/>
    <w:rsid w:val="00511787"/>
    <w:rsid w:val="0051256C"/>
    <w:rsid w:val="005131F6"/>
    <w:rsid w:val="00513906"/>
    <w:rsid w:val="00513B2E"/>
    <w:rsid w:val="00514EE6"/>
    <w:rsid w:val="00515AAE"/>
    <w:rsid w:val="00515B4A"/>
    <w:rsid w:val="00516072"/>
    <w:rsid w:val="00516664"/>
    <w:rsid w:val="00516711"/>
    <w:rsid w:val="005174D6"/>
    <w:rsid w:val="00520380"/>
    <w:rsid w:val="0052149C"/>
    <w:rsid w:val="00522538"/>
    <w:rsid w:val="005226EC"/>
    <w:rsid w:val="00522914"/>
    <w:rsid w:val="00522B5B"/>
    <w:rsid w:val="00523E9C"/>
    <w:rsid w:val="005244F8"/>
    <w:rsid w:val="00524B1D"/>
    <w:rsid w:val="00525652"/>
    <w:rsid w:val="00525F28"/>
    <w:rsid w:val="00526358"/>
    <w:rsid w:val="0052646E"/>
    <w:rsid w:val="00526AE9"/>
    <w:rsid w:val="00527415"/>
    <w:rsid w:val="00527800"/>
    <w:rsid w:val="00527D6C"/>
    <w:rsid w:val="005304A4"/>
    <w:rsid w:val="00530CB6"/>
    <w:rsid w:val="00530FF4"/>
    <w:rsid w:val="0053180B"/>
    <w:rsid w:val="00532145"/>
    <w:rsid w:val="0053241A"/>
    <w:rsid w:val="0053266D"/>
    <w:rsid w:val="005327E8"/>
    <w:rsid w:val="00532A74"/>
    <w:rsid w:val="00532D7F"/>
    <w:rsid w:val="00532DB6"/>
    <w:rsid w:val="00533907"/>
    <w:rsid w:val="00533E88"/>
    <w:rsid w:val="0053400E"/>
    <w:rsid w:val="00534271"/>
    <w:rsid w:val="0053460A"/>
    <w:rsid w:val="00534680"/>
    <w:rsid w:val="00534D65"/>
    <w:rsid w:val="00535250"/>
    <w:rsid w:val="005366DD"/>
    <w:rsid w:val="00536892"/>
    <w:rsid w:val="00536A8F"/>
    <w:rsid w:val="005372C5"/>
    <w:rsid w:val="005376A5"/>
    <w:rsid w:val="00537B10"/>
    <w:rsid w:val="00537BC7"/>
    <w:rsid w:val="00537CB8"/>
    <w:rsid w:val="00537CC1"/>
    <w:rsid w:val="00537E2D"/>
    <w:rsid w:val="0054052D"/>
    <w:rsid w:val="005407D6"/>
    <w:rsid w:val="005418C0"/>
    <w:rsid w:val="005425D4"/>
    <w:rsid w:val="00542983"/>
    <w:rsid w:val="00542A14"/>
    <w:rsid w:val="005435C7"/>
    <w:rsid w:val="00543601"/>
    <w:rsid w:val="00543627"/>
    <w:rsid w:val="00543866"/>
    <w:rsid w:val="00544892"/>
    <w:rsid w:val="00544ADF"/>
    <w:rsid w:val="005452C5"/>
    <w:rsid w:val="005459DC"/>
    <w:rsid w:val="00546B0E"/>
    <w:rsid w:val="00546E95"/>
    <w:rsid w:val="0054755A"/>
    <w:rsid w:val="0055165E"/>
    <w:rsid w:val="00551BE8"/>
    <w:rsid w:val="00551C17"/>
    <w:rsid w:val="00551CB1"/>
    <w:rsid w:val="00551DD9"/>
    <w:rsid w:val="0055258B"/>
    <w:rsid w:val="00552774"/>
    <w:rsid w:val="0055288A"/>
    <w:rsid w:val="005539BE"/>
    <w:rsid w:val="00553AB5"/>
    <w:rsid w:val="005542A4"/>
    <w:rsid w:val="005544D2"/>
    <w:rsid w:val="005547CC"/>
    <w:rsid w:val="005549E2"/>
    <w:rsid w:val="00554ED3"/>
    <w:rsid w:val="0055578F"/>
    <w:rsid w:val="0055596A"/>
    <w:rsid w:val="00555AB5"/>
    <w:rsid w:val="00555F51"/>
    <w:rsid w:val="00556331"/>
    <w:rsid w:val="00556BDC"/>
    <w:rsid w:val="00556BEC"/>
    <w:rsid w:val="00556C02"/>
    <w:rsid w:val="005572AF"/>
    <w:rsid w:val="0056008F"/>
    <w:rsid w:val="005619F6"/>
    <w:rsid w:val="00561C6C"/>
    <w:rsid w:val="00561F79"/>
    <w:rsid w:val="00562DED"/>
    <w:rsid w:val="00563DE0"/>
    <w:rsid w:val="005646C2"/>
    <w:rsid w:val="005662EB"/>
    <w:rsid w:val="00566468"/>
    <w:rsid w:val="005665A7"/>
    <w:rsid w:val="00566C92"/>
    <w:rsid w:val="00566F3D"/>
    <w:rsid w:val="00567193"/>
    <w:rsid w:val="005677F1"/>
    <w:rsid w:val="00567EDC"/>
    <w:rsid w:val="0057045A"/>
    <w:rsid w:val="00570C0D"/>
    <w:rsid w:val="00571CA4"/>
    <w:rsid w:val="00571FFB"/>
    <w:rsid w:val="0057380D"/>
    <w:rsid w:val="005744C0"/>
    <w:rsid w:val="0057478A"/>
    <w:rsid w:val="005751D4"/>
    <w:rsid w:val="005761FF"/>
    <w:rsid w:val="00576C7D"/>
    <w:rsid w:val="00577432"/>
    <w:rsid w:val="00580F59"/>
    <w:rsid w:val="0058105B"/>
    <w:rsid w:val="0058166A"/>
    <w:rsid w:val="00581FD7"/>
    <w:rsid w:val="0058227C"/>
    <w:rsid w:val="00582465"/>
    <w:rsid w:val="00582AA3"/>
    <w:rsid w:val="0058376D"/>
    <w:rsid w:val="00583908"/>
    <w:rsid w:val="0058391B"/>
    <w:rsid w:val="00583B5C"/>
    <w:rsid w:val="00584D48"/>
    <w:rsid w:val="00585686"/>
    <w:rsid w:val="005859E6"/>
    <w:rsid w:val="00585A10"/>
    <w:rsid w:val="005866F0"/>
    <w:rsid w:val="0058675C"/>
    <w:rsid w:val="005875FB"/>
    <w:rsid w:val="00587727"/>
    <w:rsid w:val="00587894"/>
    <w:rsid w:val="00587B3F"/>
    <w:rsid w:val="005907F6"/>
    <w:rsid w:val="00590A7D"/>
    <w:rsid w:val="0059119D"/>
    <w:rsid w:val="0059195A"/>
    <w:rsid w:val="00592325"/>
    <w:rsid w:val="005927BD"/>
    <w:rsid w:val="00592CF8"/>
    <w:rsid w:val="00593A96"/>
    <w:rsid w:val="00593D06"/>
    <w:rsid w:val="005942F2"/>
    <w:rsid w:val="00594498"/>
    <w:rsid w:val="0059511C"/>
    <w:rsid w:val="005959AC"/>
    <w:rsid w:val="00595D01"/>
    <w:rsid w:val="00595D4C"/>
    <w:rsid w:val="00595FF5"/>
    <w:rsid w:val="005960F3"/>
    <w:rsid w:val="00596593"/>
    <w:rsid w:val="0059676A"/>
    <w:rsid w:val="005967F5"/>
    <w:rsid w:val="00596999"/>
    <w:rsid w:val="00596FE2"/>
    <w:rsid w:val="005973A3"/>
    <w:rsid w:val="00597810"/>
    <w:rsid w:val="005A00C5"/>
    <w:rsid w:val="005A0688"/>
    <w:rsid w:val="005A09C4"/>
    <w:rsid w:val="005A0B8D"/>
    <w:rsid w:val="005A1683"/>
    <w:rsid w:val="005A168E"/>
    <w:rsid w:val="005A196C"/>
    <w:rsid w:val="005A22DC"/>
    <w:rsid w:val="005A2535"/>
    <w:rsid w:val="005A28D8"/>
    <w:rsid w:val="005A28E0"/>
    <w:rsid w:val="005A2D16"/>
    <w:rsid w:val="005A301B"/>
    <w:rsid w:val="005A369B"/>
    <w:rsid w:val="005A4786"/>
    <w:rsid w:val="005A5467"/>
    <w:rsid w:val="005A5673"/>
    <w:rsid w:val="005A6044"/>
    <w:rsid w:val="005A659A"/>
    <w:rsid w:val="005A758D"/>
    <w:rsid w:val="005B005D"/>
    <w:rsid w:val="005B06C8"/>
    <w:rsid w:val="005B0B37"/>
    <w:rsid w:val="005B16EA"/>
    <w:rsid w:val="005B1C54"/>
    <w:rsid w:val="005B1DDA"/>
    <w:rsid w:val="005B1EBA"/>
    <w:rsid w:val="005B24B9"/>
    <w:rsid w:val="005B2551"/>
    <w:rsid w:val="005B2F34"/>
    <w:rsid w:val="005B34E5"/>
    <w:rsid w:val="005B4ABC"/>
    <w:rsid w:val="005B4D0F"/>
    <w:rsid w:val="005B4DEF"/>
    <w:rsid w:val="005B56A4"/>
    <w:rsid w:val="005B598F"/>
    <w:rsid w:val="005B5BED"/>
    <w:rsid w:val="005B6779"/>
    <w:rsid w:val="005C05B2"/>
    <w:rsid w:val="005C066A"/>
    <w:rsid w:val="005C0D0D"/>
    <w:rsid w:val="005C1A86"/>
    <w:rsid w:val="005C1DBA"/>
    <w:rsid w:val="005C24E6"/>
    <w:rsid w:val="005C2B86"/>
    <w:rsid w:val="005C302E"/>
    <w:rsid w:val="005C385E"/>
    <w:rsid w:val="005C3DA0"/>
    <w:rsid w:val="005C3E55"/>
    <w:rsid w:val="005C4AB8"/>
    <w:rsid w:val="005C4CC4"/>
    <w:rsid w:val="005C5FE7"/>
    <w:rsid w:val="005C6186"/>
    <w:rsid w:val="005C64E5"/>
    <w:rsid w:val="005C7620"/>
    <w:rsid w:val="005C77A8"/>
    <w:rsid w:val="005C7950"/>
    <w:rsid w:val="005C7DF2"/>
    <w:rsid w:val="005D0117"/>
    <w:rsid w:val="005D0473"/>
    <w:rsid w:val="005D063A"/>
    <w:rsid w:val="005D1CA1"/>
    <w:rsid w:val="005D279A"/>
    <w:rsid w:val="005D297C"/>
    <w:rsid w:val="005D29A5"/>
    <w:rsid w:val="005D4320"/>
    <w:rsid w:val="005D4DC5"/>
    <w:rsid w:val="005D53B5"/>
    <w:rsid w:val="005D582F"/>
    <w:rsid w:val="005D5AEE"/>
    <w:rsid w:val="005D5DB5"/>
    <w:rsid w:val="005D6384"/>
    <w:rsid w:val="005D6DF0"/>
    <w:rsid w:val="005D6EA1"/>
    <w:rsid w:val="005D724B"/>
    <w:rsid w:val="005D77F0"/>
    <w:rsid w:val="005E0887"/>
    <w:rsid w:val="005E1242"/>
    <w:rsid w:val="005E1671"/>
    <w:rsid w:val="005E185B"/>
    <w:rsid w:val="005E1F87"/>
    <w:rsid w:val="005E2285"/>
    <w:rsid w:val="005E25A0"/>
    <w:rsid w:val="005E26CF"/>
    <w:rsid w:val="005E293D"/>
    <w:rsid w:val="005E3379"/>
    <w:rsid w:val="005E39C3"/>
    <w:rsid w:val="005E4A71"/>
    <w:rsid w:val="005E4E1C"/>
    <w:rsid w:val="005E5264"/>
    <w:rsid w:val="005E5575"/>
    <w:rsid w:val="005E55AB"/>
    <w:rsid w:val="005E5743"/>
    <w:rsid w:val="005E584D"/>
    <w:rsid w:val="005E5DBD"/>
    <w:rsid w:val="005E5FD2"/>
    <w:rsid w:val="005E6F10"/>
    <w:rsid w:val="005E78FA"/>
    <w:rsid w:val="005F0874"/>
    <w:rsid w:val="005F08B0"/>
    <w:rsid w:val="005F08ED"/>
    <w:rsid w:val="005F1CAA"/>
    <w:rsid w:val="005F20D1"/>
    <w:rsid w:val="005F211A"/>
    <w:rsid w:val="005F231E"/>
    <w:rsid w:val="005F2591"/>
    <w:rsid w:val="005F285B"/>
    <w:rsid w:val="005F2F34"/>
    <w:rsid w:val="005F3737"/>
    <w:rsid w:val="005F394E"/>
    <w:rsid w:val="005F446A"/>
    <w:rsid w:val="005F489A"/>
    <w:rsid w:val="005F4D4C"/>
    <w:rsid w:val="005F51B0"/>
    <w:rsid w:val="005F5739"/>
    <w:rsid w:val="005F6352"/>
    <w:rsid w:val="005F6834"/>
    <w:rsid w:val="005F6D4A"/>
    <w:rsid w:val="006001D3"/>
    <w:rsid w:val="0060031F"/>
    <w:rsid w:val="006003DB"/>
    <w:rsid w:val="006003E3"/>
    <w:rsid w:val="006003EF"/>
    <w:rsid w:val="00600405"/>
    <w:rsid w:val="006004E0"/>
    <w:rsid w:val="006010C0"/>
    <w:rsid w:val="00601DEC"/>
    <w:rsid w:val="00601F5F"/>
    <w:rsid w:val="0060284E"/>
    <w:rsid w:val="00602CE7"/>
    <w:rsid w:val="0060345A"/>
    <w:rsid w:val="00603A93"/>
    <w:rsid w:val="006042EB"/>
    <w:rsid w:val="0060443B"/>
    <w:rsid w:val="00604632"/>
    <w:rsid w:val="00604826"/>
    <w:rsid w:val="00605407"/>
    <w:rsid w:val="006055C4"/>
    <w:rsid w:val="0060684A"/>
    <w:rsid w:val="00606DC1"/>
    <w:rsid w:val="00607388"/>
    <w:rsid w:val="00610405"/>
    <w:rsid w:val="00610450"/>
    <w:rsid w:val="00610737"/>
    <w:rsid w:val="00610C5F"/>
    <w:rsid w:val="00611F3E"/>
    <w:rsid w:val="00613344"/>
    <w:rsid w:val="00614172"/>
    <w:rsid w:val="006145DF"/>
    <w:rsid w:val="00614896"/>
    <w:rsid w:val="00614A56"/>
    <w:rsid w:val="00614EE8"/>
    <w:rsid w:val="006152D6"/>
    <w:rsid w:val="00615B58"/>
    <w:rsid w:val="00615BCC"/>
    <w:rsid w:val="00615D4B"/>
    <w:rsid w:val="00616690"/>
    <w:rsid w:val="00617801"/>
    <w:rsid w:val="006179B0"/>
    <w:rsid w:val="0062007A"/>
    <w:rsid w:val="006200EC"/>
    <w:rsid w:val="006206C8"/>
    <w:rsid w:val="0062091D"/>
    <w:rsid w:val="00620A3A"/>
    <w:rsid w:val="00620B3E"/>
    <w:rsid w:val="00620D09"/>
    <w:rsid w:val="00620D75"/>
    <w:rsid w:val="00622ADF"/>
    <w:rsid w:val="00622F7B"/>
    <w:rsid w:val="006238E8"/>
    <w:rsid w:val="006241E8"/>
    <w:rsid w:val="00624803"/>
    <w:rsid w:val="00625A0B"/>
    <w:rsid w:val="00625D04"/>
    <w:rsid w:val="00625D2D"/>
    <w:rsid w:val="00625FE6"/>
    <w:rsid w:val="00626134"/>
    <w:rsid w:val="00626B7C"/>
    <w:rsid w:val="00630179"/>
    <w:rsid w:val="00630923"/>
    <w:rsid w:val="00630DCD"/>
    <w:rsid w:val="0063109C"/>
    <w:rsid w:val="0063161A"/>
    <w:rsid w:val="00631A8B"/>
    <w:rsid w:val="00631F5D"/>
    <w:rsid w:val="00633ADE"/>
    <w:rsid w:val="00633D74"/>
    <w:rsid w:val="00634227"/>
    <w:rsid w:val="00634286"/>
    <w:rsid w:val="00634500"/>
    <w:rsid w:val="00634C08"/>
    <w:rsid w:val="00635018"/>
    <w:rsid w:val="0063574F"/>
    <w:rsid w:val="00635D47"/>
    <w:rsid w:val="00635EEC"/>
    <w:rsid w:val="0063616B"/>
    <w:rsid w:val="00636986"/>
    <w:rsid w:val="00637107"/>
    <w:rsid w:val="0063720A"/>
    <w:rsid w:val="00637F39"/>
    <w:rsid w:val="00641166"/>
    <w:rsid w:val="00641C60"/>
    <w:rsid w:val="006426B4"/>
    <w:rsid w:val="00643076"/>
    <w:rsid w:val="00643564"/>
    <w:rsid w:val="00643C18"/>
    <w:rsid w:val="006448EB"/>
    <w:rsid w:val="00644A0A"/>
    <w:rsid w:val="00645526"/>
    <w:rsid w:val="00645C80"/>
    <w:rsid w:val="0065074A"/>
    <w:rsid w:val="00650775"/>
    <w:rsid w:val="006512DF"/>
    <w:rsid w:val="00651374"/>
    <w:rsid w:val="00651711"/>
    <w:rsid w:val="00651A1A"/>
    <w:rsid w:val="00651D61"/>
    <w:rsid w:val="00652415"/>
    <w:rsid w:val="00653599"/>
    <w:rsid w:val="0065371A"/>
    <w:rsid w:val="00653A4C"/>
    <w:rsid w:val="00653C5B"/>
    <w:rsid w:val="006543AD"/>
    <w:rsid w:val="006544E2"/>
    <w:rsid w:val="0065475C"/>
    <w:rsid w:val="00654A23"/>
    <w:rsid w:val="00655CC8"/>
    <w:rsid w:val="00656542"/>
    <w:rsid w:val="006567E9"/>
    <w:rsid w:val="00657934"/>
    <w:rsid w:val="00657BE8"/>
    <w:rsid w:val="00657C22"/>
    <w:rsid w:val="00657D5F"/>
    <w:rsid w:val="00657ED2"/>
    <w:rsid w:val="00660230"/>
    <w:rsid w:val="00660AFE"/>
    <w:rsid w:val="00661693"/>
    <w:rsid w:val="00662432"/>
    <w:rsid w:val="0066245E"/>
    <w:rsid w:val="0066351D"/>
    <w:rsid w:val="00663B93"/>
    <w:rsid w:val="00663D87"/>
    <w:rsid w:val="0066527F"/>
    <w:rsid w:val="00665A8C"/>
    <w:rsid w:val="00665F5B"/>
    <w:rsid w:val="0066660A"/>
    <w:rsid w:val="0066678A"/>
    <w:rsid w:val="006668EB"/>
    <w:rsid w:val="006669AD"/>
    <w:rsid w:val="00666A3F"/>
    <w:rsid w:val="00666DB4"/>
    <w:rsid w:val="00667853"/>
    <w:rsid w:val="0066798A"/>
    <w:rsid w:val="00667D1D"/>
    <w:rsid w:val="006700EF"/>
    <w:rsid w:val="00670F64"/>
    <w:rsid w:val="00671EF0"/>
    <w:rsid w:val="006720CE"/>
    <w:rsid w:val="006728BA"/>
    <w:rsid w:val="00672C6F"/>
    <w:rsid w:val="006732AD"/>
    <w:rsid w:val="006732D3"/>
    <w:rsid w:val="00673861"/>
    <w:rsid w:val="00673B01"/>
    <w:rsid w:val="0067468A"/>
    <w:rsid w:val="0067468B"/>
    <w:rsid w:val="006747D4"/>
    <w:rsid w:val="00674997"/>
    <w:rsid w:val="00674DA6"/>
    <w:rsid w:val="006754BF"/>
    <w:rsid w:val="00675849"/>
    <w:rsid w:val="00675999"/>
    <w:rsid w:val="00675A5C"/>
    <w:rsid w:val="00675F4B"/>
    <w:rsid w:val="00677106"/>
    <w:rsid w:val="00677975"/>
    <w:rsid w:val="00677A78"/>
    <w:rsid w:val="0068249A"/>
    <w:rsid w:val="0068314D"/>
    <w:rsid w:val="00683425"/>
    <w:rsid w:val="006834E4"/>
    <w:rsid w:val="00684E16"/>
    <w:rsid w:val="00685327"/>
    <w:rsid w:val="0068576A"/>
    <w:rsid w:val="00685B88"/>
    <w:rsid w:val="006861A9"/>
    <w:rsid w:val="00687573"/>
    <w:rsid w:val="00690031"/>
    <w:rsid w:val="00690160"/>
    <w:rsid w:val="00690B6B"/>
    <w:rsid w:val="00690E1C"/>
    <w:rsid w:val="00690F0C"/>
    <w:rsid w:val="006919FA"/>
    <w:rsid w:val="00691D29"/>
    <w:rsid w:val="00692743"/>
    <w:rsid w:val="00692896"/>
    <w:rsid w:val="0069308C"/>
    <w:rsid w:val="00694706"/>
    <w:rsid w:val="00695238"/>
    <w:rsid w:val="0069648C"/>
    <w:rsid w:val="00697117"/>
    <w:rsid w:val="00697FB6"/>
    <w:rsid w:val="006A0225"/>
    <w:rsid w:val="006A0238"/>
    <w:rsid w:val="006A0318"/>
    <w:rsid w:val="006A0F25"/>
    <w:rsid w:val="006A0F58"/>
    <w:rsid w:val="006A18A1"/>
    <w:rsid w:val="006A1FF6"/>
    <w:rsid w:val="006A31B8"/>
    <w:rsid w:val="006A3796"/>
    <w:rsid w:val="006A450C"/>
    <w:rsid w:val="006A48E1"/>
    <w:rsid w:val="006A4B50"/>
    <w:rsid w:val="006A4C81"/>
    <w:rsid w:val="006A4D3F"/>
    <w:rsid w:val="006A4D5A"/>
    <w:rsid w:val="006A4D87"/>
    <w:rsid w:val="006A5C83"/>
    <w:rsid w:val="006A5D56"/>
    <w:rsid w:val="006A6153"/>
    <w:rsid w:val="006A65AB"/>
    <w:rsid w:val="006A6BC3"/>
    <w:rsid w:val="006A6CF8"/>
    <w:rsid w:val="006A707F"/>
    <w:rsid w:val="006B0151"/>
    <w:rsid w:val="006B0AE1"/>
    <w:rsid w:val="006B0B79"/>
    <w:rsid w:val="006B0BC1"/>
    <w:rsid w:val="006B140A"/>
    <w:rsid w:val="006B1579"/>
    <w:rsid w:val="006B1805"/>
    <w:rsid w:val="006B184A"/>
    <w:rsid w:val="006B1B1F"/>
    <w:rsid w:val="006B1CD2"/>
    <w:rsid w:val="006B1D82"/>
    <w:rsid w:val="006B2259"/>
    <w:rsid w:val="006B2AE8"/>
    <w:rsid w:val="006B4455"/>
    <w:rsid w:val="006B45E3"/>
    <w:rsid w:val="006B4665"/>
    <w:rsid w:val="006B5474"/>
    <w:rsid w:val="006B6441"/>
    <w:rsid w:val="006B6807"/>
    <w:rsid w:val="006B6A68"/>
    <w:rsid w:val="006B710D"/>
    <w:rsid w:val="006B7221"/>
    <w:rsid w:val="006B7499"/>
    <w:rsid w:val="006B7D00"/>
    <w:rsid w:val="006C05E9"/>
    <w:rsid w:val="006C0E70"/>
    <w:rsid w:val="006C0FB7"/>
    <w:rsid w:val="006C15D8"/>
    <w:rsid w:val="006C4114"/>
    <w:rsid w:val="006C4A9A"/>
    <w:rsid w:val="006C4D95"/>
    <w:rsid w:val="006C56CE"/>
    <w:rsid w:val="006C5771"/>
    <w:rsid w:val="006C5AFD"/>
    <w:rsid w:val="006C5D28"/>
    <w:rsid w:val="006C5D99"/>
    <w:rsid w:val="006C5E0D"/>
    <w:rsid w:val="006C654A"/>
    <w:rsid w:val="006C6A9E"/>
    <w:rsid w:val="006C6F79"/>
    <w:rsid w:val="006C7065"/>
    <w:rsid w:val="006C7E55"/>
    <w:rsid w:val="006C7EDC"/>
    <w:rsid w:val="006D013C"/>
    <w:rsid w:val="006D01D1"/>
    <w:rsid w:val="006D150C"/>
    <w:rsid w:val="006D1D03"/>
    <w:rsid w:val="006D1EC8"/>
    <w:rsid w:val="006D2458"/>
    <w:rsid w:val="006D2666"/>
    <w:rsid w:val="006D3226"/>
    <w:rsid w:val="006D335A"/>
    <w:rsid w:val="006D3686"/>
    <w:rsid w:val="006D3E3C"/>
    <w:rsid w:val="006D47B2"/>
    <w:rsid w:val="006D48BF"/>
    <w:rsid w:val="006D4E0D"/>
    <w:rsid w:val="006D4E83"/>
    <w:rsid w:val="006D4FDA"/>
    <w:rsid w:val="006D4FDC"/>
    <w:rsid w:val="006D53EC"/>
    <w:rsid w:val="006D5687"/>
    <w:rsid w:val="006D679D"/>
    <w:rsid w:val="006D6DA8"/>
    <w:rsid w:val="006E0179"/>
    <w:rsid w:val="006E045C"/>
    <w:rsid w:val="006E07A0"/>
    <w:rsid w:val="006E101D"/>
    <w:rsid w:val="006E18F9"/>
    <w:rsid w:val="006E2BAE"/>
    <w:rsid w:val="006E3EFF"/>
    <w:rsid w:val="006E4EBA"/>
    <w:rsid w:val="006E50FD"/>
    <w:rsid w:val="006E5C27"/>
    <w:rsid w:val="006E68F1"/>
    <w:rsid w:val="006E6BA1"/>
    <w:rsid w:val="006E7010"/>
    <w:rsid w:val="006E7362"/>
    <w:rsid w:val="006F03B9"/>
    <w:rsid w:val="006F089E"/>
    <w:rsid w:val="006F09F2"/>
    <w:rsid w:val="006F0EF3"/>
    <w:rsid w:val="006F11F6"/>
    <w:rsid w:val="006F1352"/>
    <w:rsid w:val="006F13D4"/>
    <w:rsid w:val="006F15A6"/>
    <w:rsid w:val="006F2C6D"/>
    <w:rsid w:val="006F327E"/>
    <w:rsid w:val="006F3910"/>
    <w:rsid w:val="006F42B1"/>
    <w:rsid w:val="006F437A"/>
    <w:rsid w:val="006F461C"/>
    <w:rsid w:val="006F4BC9"/>
    <w:rsid w:val="006F4F2A"/>
    <w:rsid w:val="006F61B6"/>
    <w:rsid w:val="006F74DC"/>
    <w:rsid w:val="00700405"/>
    <w:rsid w:val="007009EA"/>
    <w:rsid w:val="00701A60"/>
    <w:rsid w:val="00701F42"/>
    <w:rsid w:val="007021C7"/>
    <w:rsid w:val="00703F50"/>
    <w:rsid w:val="00704150"/>
    <w:rsid w:val="00704434"/>
    <w:rsid w:val="00704499"/>
    <w:rsid w:val="00704573"/>
    <w:rsid w:val="00704A0E"/>
    <w:rsid w:val="0070526C"/>
    <w:rsid w:val="0070574A"/>
    <w:rsid w:val="007059BD"/>
    <w:rsid w:val="0070647E"/>
    <w:rsid w:val="00706544"/>
    <w:rsid w:val="00707031"/>
    <w:rsid w:val="00707868"/>
    <w:rsid w:val="00707E1B"/>
    <w:rsid w:val="0071156A"/>
    <w:rsid w:val="00711BA2"/>
    <w:rsid w:val="00712515"/>
    <w:rsid w:val="00712E08"/>
    <w:rsid w:val="0071331D"/>
    <w:rsid w:val="00713895"/>
    <w:rsid w:val="00713AD0"/>
    <w:rsid w:val="00714278"/>
    <w:rsid w:val="0071427D"/>
    <w:rsid w:val="00714B01"/>
    <w:rsid w:val="00715257"/>
    <w:rsid w:val="00715438"/>
    <w:rsid w:val="00715AEF"/>
    <w:rsid w:val="00716457"/>
    <w:rsid w:val="00716E78"/>
    <w:rsid w:val="0071787E"/>
    <w:rsid w:val="00717BDC"/>
    <w:rsid w:val="00720618"/>
    <w:rsid w:val="00720704"/>
    <w:rsid w:val="00720966"/>
    <w:rsid w:val="00720FCE"/>
    <w:rsid w:val="007214B6"/>
    <w:rsid w:val="00721B19"/>
    <w:rsid w:val="00721C88"/>
    <w:rsid w:val="00721D7C"/>
    <w:rsid w:val="00721F16"/>
    <w:rsid w:val="007227A8"/>
    <w:rsid w:val="00722C32"/>
    <w:rsid w:val="00722F42"/>
    <w:rsid w:val="00723E2E"/>
    <w:rsid w:val="00723F0C"/>
    <w:rsid w:val="00724722"/>
    <w:rsid w:val="00725095"/>
    <w:rsid w:val="00725634"/>
    <w:rsid w:val="00725925"/>
    <w:rsid w:val="007259CD"/>
    <w:rsid w:val="00725F31"/>
    <w:rsid w:val="00726AA6"/>
    <w:rsid w:val="0072700C"/>
    <w:rsid w:val="00727523"/>
    <w:rsid w:val="00727CC7"/>
    <w:rsid w:val="00727D20"/>
    <w:rsid w:val="007303D3"/>
    <w:rsid w:val="00730D3C"/>
    <w:rsid w:val="00730F5C"/>
    <w:rsid w:val="0073144A"/>
    <w:rsid w:val="00731675"/>
    <w:rsid w:val="007316B8"/>
    <w:rsid w:val="00731772"/>
    <w:rsid w:val="00731AFB"/>
    <w:rsid w:val="007326E2"/>
    <w:rsid w:val="00732C4F"/>
    <w:rsid w:val="00733C34"/>
    <w:rsid w:val="00733DD9"/>
    <w:rsid w:val="007340AC"/>
    <w:rsid w:val="0073424A"/>
    <w:rsid w:val="007345BE"/>
    <w:rsid w:val="00734FFF"/>
    <w:rsid w:val="007358BD"/>
    <w:rsid w:val="00735ADA"/>
    <w:rsid w:val="00736DBA"/>
    <w:rsid w:val="0073713C"/>
    <w:rsid w:val="007374B2"/>
    <w:rsid w:val="007375E5"/>
    <w:rsid w:val="007402FF"/>
    <w:rsid w:val="007407C2"/>
    <w:rsid w:val="0074095E"/>
    <w:rsid w:val="007413D5"/>
    <w:rsid w:val="007417A5"/>
    <w:rsid w:val="00741D02"/>
    <w:rsid w:val="00741D9E"/>
    <w:rsid w:val="00742DAE"/>
    <w:rsid w:val="00742FD8"/>
    <w:rsid w:val="00745066"/>
    <w:rsid w:val="0074509D"/>
    <w:rsid w:val="00745530"/>
    <w:rsid w:val="007466FB"/>
    <w:rsid w:val="0074692B"/>
    <w:rsid w:val="00747350"/>
    <w:rsid w:val="00747F56"/>
    <w:rsid w:val="00751B50"/>
    <w:rsid w:val="007526D0"/>
    <w:rsid w:val="007527CB"/>
    <w:rsid w:val="00752857"/>
    <w:rsid w:val="00752CA7"/>
    <w:rsid w:val="007531A3"/>
    <w:rsid w:val="0075366B"/>
    <w:rsid w:val="00753AEB"/>
    <w:rsid w:val="00753D3A"/>
    <w:rsid w:val="00753D44"/>
    <w:rsid w:val="00754BD9"/>
    <w:rsid w:val="00755563"/>
    <w:rsid w:val="00756701"/>
    <w:rsid w:val="00756901"/>
    <w:rsid w:val="00756C52"/>
    <w:rsid w:val="007572D2"/>
    <w:rsid w:val="00757331"/>
    <w:rsid w:val="00757619"/>
    <w:rsid w:val="007577FA"/>
    <w:rsid w:val="007603AA"/>
    <w:rsid w:val="00760769"/>
    <w:rsid w:val="00760F63"/>
    <w:rsid w:val="00760F69"/>
    <w:rsid w:val="0076143B"/>
    <w:rsid w:val="007614C2"/>
    <w:rsid w:val="007619D7"/>
    <w:rsid w:val="007624A7"/>
    <w:rsid w:val="007624CC"/>
    <w:rsid w:val="0076262B"/>
    <w:rsid w:val="007627E0"/>
    <w:rsid w:val="00764BCA"/>
    <w:rsid w:val="00764E0E"/>
    <w:rsid w:val="0076640B"/>
    <w:rsid w:val="00767033"/>
    <w:rsid w:val="007672DA"/>
    <w:rsid w:val="00767346"/>
    <w:rsid w:val="0076752E"/>
    <w:rsid w:val="007675FA"/>
    <w:rsid w:val="00767629"/>
    <w:rsid w:val="00767AA0"/>
    <w:rsid w:val="00767D69"/>
    <w:rsid w:val="007709A9"/>
    <w:rsid w:val="007715F2"/>
    <w:rsid w:val="00771DA4"/>
    <w:rsid w:val="00772086"/>
    <w:rsid w:val="00772237"/>
    <w:rsid w:val="007730F3"/>
    <w:rsid w:val="0077310B"/>
    <w:rsid w:val="00773B7E"/>
    <w:rsid w:val="00775499"/>
    <w:rsid w:val="007756AC"/>
    <w:rsid w:val="00775924"/>
    <w:rsid w:val="00776A76"/>
    <w:rsid w:val="00777F70"/>
    <w:rsid w:val="007809A5"/>
    <w:rsid w:val="0078173B"/>
    <w:rsid w:val="00781DFB"/>
    <w:rsid w:val="00782546"/>
    <w:rsid w:val="00782EE9"/>
    <w:rsid w:val="007849C4"/>
    <w:rsid w:val="0078587D"/>
    <w:rsid w:val="00786256"/>
    <w:rsid w:val="0078631D"/>
    <w:rsid w:val="00787056"/>
    <w:rsid w:val="007873C8"/>
    <w:rsid w:val="007875B5"/>
    <w:rsid w:val="00787DE5"/>
    <w:rsid w:val="00790822"/>
    <w:rsid w:val="00790EEA"/>
    <w:rsid w:val="0079118D"/>
    <w:rsid w:val="00791552"/>
    <w:rsid w:val="007915A3"/>
    <w:rsid w:val="007915B1"/>
    <w:rsid w:val="00791730"/>
    <w:rsid w:val="0079194F"/>
    <w:rsid w:val="00791C8B"/>
    <w:rsid w:val="00791F8F"/>
    <w:rsid w:val="00792289"/>
    <w:rsid w:val="007934BF"/>
    <w:rsid w:val="00793538"/>
    <w:rsid w:val="00794542"/>
    <w:rsid w:val="0079474D"/>
    <w:rsid w:val="00794C42"/>
    <w:rsid w:val="0079534A"/>
    <w:rsid w:val="007961CE"/>
    <w:rsid w:val="00796306"/>
    <w:rsid w:val="007964B5"/>
    <w:rsid w:val="0079700E"/>
    <w:rsid w:val="00797376"/>
    <w:rsid w:val="0079759B"/>
    <w:rsid w:val="007A00FB"/>
    <w:rsid w:val="007A0D1F"/>
    <w:rsid w:val="007A12D2"/>
    <w:rsid w:val="007A1A7D"/>
    <w:rsid w:val="007A2B68"/>
    <w:rsid w:val="007A321D"/>
    <w:rsid w:val="007A3695"/>
    <w:rsid w:val="007A379E"/>
    <w:rsid w:val="007A4837"/>
    <w:rsid w:val="007A49E9"/>
    <w:rsid w:val="007A58F7"/>
    <w:rsid w:val="007A5CB1"/>
    <w:rsid w:val="007A5F0A"/>
    <w:rsid w:val="007A64B3"/>
    <w:rsid w:val="007A6C2B"/>
    <w:rsid w:val="007A6C86"/>
    <w:rsid w:val="007A7235"/>
    <w:rsid w:val="007B0655"/>
    <w:rsid w:val="007B0871"/>
    <w:rsid w:val="007B0D76"/>
    <w:rsid w:val="007B1842"/>
    <w:rsid w:val="007B201F"/>
    <w:rsid w:val="007B2122"/>
    <w:rsid w:val="007B22CD"/>
    <w:rsid w:val="007B23BD"/>
    <w:rsid w:val="007B24F6"/>
    <w:rsid w:val="007B2B69"/>
    <w:rsid w:val="007B2D24"/>
    <w:rsid w:val="007B2D61"/>
    <w:rsid w:val="007B38A2"/>
    <w:rsid w:val="007B441D"/>
    <w:rsid w:val="007B45EC"/>
    <w:rsid w:val="007B4850"/>
    <w:rsid w:val="007B4F28"/>
    <w:rsid w:val="007B51A0"/>
    <w:rsid w:val="007B5662"/>
    <w:rsid w:val="007B5842"/>
    <w:rsid w:val="007B5E23"/>
    <w:rsid w:val="007B6025"/>
    <w:rsid w:val="007B602B"/>
    <w:rsid w:val="007B7A14"/>
    <w:rsid w:val="007C0F54"/>
    <w:rsid w:val="007C10BC"/>
    <w:rsid w:val="007C1B3F"/>
    <w:rsid w:val="007C1C82"/>
    <w:rsid w:val="007C1F7D"/>
    <w:rsid w:val="007C2061"/>
    <w:rsid w:val="007C27F8"/>
    <w:rsid w:val="007C28D4"/>
    <w:rsid w:val="007C3B47"/>
    <w:rsid w:val="007C3C37"/>
    <w:rsid w:val="007C4486"/>
    <w:rsid w:val="007C4A9F"/>
    <w:rsid w:val="007C4C02"/>
    <w:rsid w:val="007C53E6"/>
    <w:rsid w:val="007C67E9"/>
    <w:rsid w:val="007C77A6"/>
    <w:rsid w:val="007D0083"/>
    <w:rsid w:val="007D0245"/>
    <w:rsid w:val="007D0264"/>
    <w:rsid w:val="007D10ED"/>
    <w:rsid w:val="007D1264"/>
    <w:rsid w:val="007D1460"/>
    <w:rsid w:val="007D2570"/>
    <w:rsid w:val="007D3067"/>
    <w:rsid w:val="007D30CD"/>
    <w:rsid w:val="007D3DFE"/>
    <w:rsid w:val="007D485A"/>
    <w:rsid w:val="007D4A33"/>
    <w:rsid w:val="007D55CD"/>
    <w:rsid w:val="007D59CE"/>
    <w:rsid w:val="007D6FE6"/>
    <w:rsid w:val="007D7160"/>
    <w:rsid w:val="007D71F4"/>
    <w:rsid w:val="007D73F2"/>
    <w:rsid w:val="007D7A55"/>
    <w:rsid w:val="007D7B43"/>
    <w:rsid w:val="007D7E1E"/>
    <w:rsid w:val="007E01BF"/>
    <w:rsid w:val="007E0222"/>
    <w:rsid w:val="007E0FE2"/>
    <w:rsid w:val="007E1A4D"/>
    <w:rsid w:val="007E32CC"/>
    <w:rsid w:val="007E32F7"/>
    <w:rsid w:val="007E34A7"/>
    <w:rsid w:val="007E3984"/>
    <w:rsid w:val="007E3BB6"/>
    <w:rsid w:val="007E5209"/>
    <w:rsid w:val="007E52AC"/>
    <w:rsid w:val="007E6250"/>
    <w:rsid w:val="007E7016"/>
    <w:rsid w:val="007E729F"/>
    <w:rsid w:val="007F0996"/>
    <w:rsid w:val="007F2382"/>
    <w:rsid w:val="007F24BB"/>
    <w:rsid w:val="007F3B61"/>
    <w:rsid w:val="007F4436"/>
    <w:rsid w:val="007F483A"/>
    <w:rsid w:val="007F49D2"/>
    <w:rsid w:val="007F4A62"/>
    <w:rsid w:val="007F4F26"/>
    <w:rsid w:val="007F4FC0"/>
    <w:rsid w:val="007F5CBB"/>
    <w:rsid w:val="007F6791"/>
    <w:rsid w:val="007F6A97"/>
    <w:rsid w:val="007F72D9"/>
    <w:rsid w:val="007F7FD5"/>
    <w:rsid w:val="008004D3"/>
    <w:rsid w:val="0080151D"/>
    <w:rsid w:val="008015BB"/>
    <w:rsid w:val="008017AC"/>
    <w:rsid w:val="008019F0"/>
    <w:rsid w:val="0080292F"/>
    <w:rsid w:val="0080309C"/>
    <w:rsid w:val="0080350E"/>
    <w:rsid w:val="00803645"/>
    <w:rsid w:val="00803AFF"/>
    <w:rsid w:val="008045B0"/>
    <w:rsid w:val="008060F5"/>
    <w:rsid w:val="008072E4"/>
    <w:rsid w:val="008076AA"/>
    <w:rsid w:val="0080785C"/>
    <w:rsid w:val="00810B2F"/>
    <w:rsid w:val="008111C6"/>
    <w:rsid w:val="0081144B"/>
    <w:rsid w:val="00811BF5"/>
    <w:rsid w:val="00812268"/>
    <w:rsid w:val="00812B08"/>
    <w:rsid w:val="00813B7E"/>
    <w:rsid w:val="00814753"/>
    <w:rsid w:val="00814E1B"/>
    <w:rsid w:val="00815258"/>
    <w:rsid w:val="008157EE"/>
    <w:rsid w:val="008158FA"/>
    <w:rsid w:val="00815F49"/>
    <w:rsid w:val="00816428"/>
    <w:rsid w:val="008166D5"/>
    <w:rsid w:val="0081691D"/>
    <w:rsid w:val="00816DDA"/>
    <w:rsid w:val="00816EC0"/>
    <w:rsid w:val="008174F6"/>
    <w:rsid w:val="00820DF6"/>
    <w:rsid w:val="008216B5"/>
    <w:rsid w:val="008219E6"/>
    <w:rsid w:val="00821C83"/>
    <w:rsid w:val="00822343"/>
    <w:rsid w:val="00822525"/>
    <w:rsid w:val="008232E7"/>
    <w:rsid w:val="008237D0"/>
    <w:rsid w:val="008239EF"/>
    <w:rsid w:val="00826176"/>
    <w:rsid w:val="008266AA"/>
    <w:rsid w:val="008268C5"/>
    <w:rsid w:val="00826D40"/>
    <w:rsid w:val="008276B9"/>
    <w:rsid w:val="0082781D"/>
    <w:rsid w:val="00827CB1"/>
    <w:rsid w:val="00827E45"/>
    <w:rsid w:val="00830389"/>
    <w:rsid w:val="00830595"/>
    <w:rsid w:val="008322D5"/>
    <w:rsid w:val="00832862"/>
    <w:rsid w:val="00833097"/>
    <w:rsid w:val="0083405D"/>
    <w:rsid w:val="00834407"/>
    <w:rsid w:val="008345B0"/>
    <w:rsid w:val="00834741"/>
    <w:rsid w:val="00834A26"/>
    <w:rsid w:val="00834E84"/>
    <w:rsid w:val="00834ED7"/>
    <w:rsid w:val="008357AD"/>
    <w:rsid w:val="00835AF7"/>
    <w:rsid w:val="00836A07"/>
    <w:rsid w:val="00836BA6"/>
    <w:rsid w:val="00836E86"/>
    <w:rsid w:val="008372B3"/>
    <w:rsid w:val="008373EF"/>
    <w:rsid w:val="00837BE2"/>
    <w:rsid w:val="0084022D"/>
    <w:rsid w:val="008409DA"/>
    <w:rsid w:val="00840CE7"/>
    <w:rsid w:val="00840F82"/>
    <w:rsid w:val="00841623"/>
    <w:rsid w:val="00841853"/>
    <w:rsid w:val="00841F71"/>
    <w:rsid w:val="0084296A"/>
    <w:rsid w:val="00842E90"/>
    <w:rsid w:val="00843765"/>
    <w:rsid w:val="00843C81"/>
    <w:rsid w:val="00844DCA"/>
    <w:rsid w:val="0084573E"/>
    <w:rsid w:val="00845E95"/>
    <w:rsid w:val="00846852"/>
    <w:rsid w:val="00847A99"/>
    <w:rsid w:val="00850058"/>
    <w:rsid w:val="008508CE"/>
    <w:rsid w:val="0085182F"/>
    <w:rsid w:val="00851AAB"/>
    <w:rsid w:val="00852081"/>
    <w:rsid w:val="00852729"/>
    <w:rsid w:val="00852DE6"/>
    <w:rsid w:val="00852F8F"/>
    <w:rsid w:val="00853002"/>
    <w:rsid w:val="008531B5"/>
    <w:rsid w:val="00853329"/>
    <w:rsid w:val="00853E66"/>
    <w:rsid w:val="00854172"/>
    <w:rsid w:val="00854181"/>
    <w:rsid w:val="00856FBC"/>
    <w:rsid w:val="00857B48"/>
    <w:rsid w:val="00860003"/>
    <w:rsid w:val="008604FD"/>
    <w:rsid w:val="0086086A"/>
    <w:rsid w:val="0086089D"/>
    <w:rsid w:val="00860E87"/>
    <w:rsid w:val="0086178A"/>
    <w:rsid w:val="00861A52"/>
    <w:rsid w:val="00861CF9"/>
    <w:rsid w:val="00861D03"/>
    <w:rsid w:val="00862239"/>
    <w:rsid w:val="008623D1"/>
    <w:rsid w:val="00863699"/>
    <w:rsid w:val="00863867"/>
    <w:rsid w:val="00863F5C"/>
    <w:rsid w:val="0086404C"/>
    <w:rsid w:val="00864915"/>
    <w:rsid w:val="00864A1F"/>
    <w:rsid w:val="0086609B"/>
    <w:rsid w:val="008661DA"/>
    <w:rsid w:val="00867698"/>
    <w:rsid w:val="00867A72"/>
    <w:rsid w:val="00867E29"/>
    <w:rsid w:val="00870B3E"/>
    <w:rsid w:val="00871272"/>
    <w:rsid w:val="008716F2"/>
    <w:rsid w:val="00871989"/>
    <w:rsid w:val="00871A33"/>
    <w:rsid w:val="00871FF3"/>
    <w:rsid w:val="00872620"/>
    <w:rsid w:val="00872879"/>
    <w:rsid w:val="00872FC7"/>
    <w:rsid w:val="00873D30"/>
    <w:rsid w:val="00873FB2"/>
    <w:rsid w:val="0087420C"/>
    <w:rsid w:val="00874A4F"/>
    <w:rsid w:val="00874CDF"/>
    <w:rsid w:val="00875262"/>
    <w:rsid w:val="0087532E"/>
    <w:rsid w:val="0087543E"/>
    <w:rsid w:val="00875597"/>
    <w:rsid w:val="00875A32"/>
    <w:rsid w:val="00875DEF"/>
    <w:rsid w:val="008766F1"/>
    <w:rsid w:val="00876B24"/>
    <w:rsid w:val="008777EC"/>
    <w:rsid w:val="00877C39"/>
    <w:rsid w:val="00877E48"/>
    <w:rsid w:val="00877FC4"/>
    <w:rsid w:val="0088010F"/>
    <w:rsid w:val="008801D3"/>
    <w:rsid w:val="0088092B"/>
    <w:rsid w:val="00880EB0"/>
    <w:rsid w:val="00880EEB"/>
    <w:rsid w:val="00881B99"/>
    <w:rsid w:val="008831B9"/>
    <w:rsid w:val="00883414"/>
    <w:rsid w:val="008835A1"/>
    <w:rsid w:val="0088366C"/>
    <w:rsid w:val="00884005"/>
    <w:rsid w:val="00884063"/>
    <w:rsid w:val="00884E6E"/>
    <w:rsid w:val="00885FB5"/>
    <w:rsid w:val="0088638F"/>
    <w:rsid w:val="00886AA1"/>
    <w:rsid w:val="00886CA7"/>
    <w:rsid w:val="00887F25"/>
    <w:rsid w:val="008904D0"/>
    <w:rsid w:val="00891897"/>
    <w:rsid w:val="008919A1"/>
    <w:rsid w:val="00891AAB"/>
    <w:rsid w:val="00891D02"/>
    <w:rsid w:val="00892896"/>
    <w:rsid w:val="00892D9B"/>
    <w:rsid w:val="00893059"/>
    <w:rsid w:val="00894037"/>
    <w:rsid w:val="00894B9A"/>
    <w:rsid w:val="008958A4"/>
    <w:rsid w:val="00895D24"/>
    <w:rsid w:val="00896308"/>
    <w:rsid w:val="00896C5F"/>
    <w:rsid w:val="00897844"/>
    <w:rsid w:val="008A004D"/>
    <w:rsid w:val="008A12D3"/>
    <w:rsid w:val="008A1522"/>
    <w:rsid w:val="008A15E5"/>
    <w:rsid w:val="008A191F"/>
    <w:rsid w:val="008A1AD2"/>
    <w:rsid w:val="008A1B99"/>
    <w:rsid w:val="008A2211"/>
    <w:rsid w:val="008A225F"/>
    <w:rsid w:val="008A2ACC"/>
    <w:rsid w:val="008A3047"/>
    <w:rsid w:val="008A3C53"/>
    <w:rsid w:val="008A4220"/>
    <w:rsid w:val="008A42F3"/>
    <w:rsid w:val="008A544E"/>
    <w:rsid w:val="008A5C61"/>
    <w:rsid w:val="008A5C71"/>
    <w:rsid w:val="008A7D13"/>
    <w:rsid w:val="008A7D66"/>
    <w:rsid w:val="008B01AD"/>
    <w:rsid w:val="008B01CC"/>
    <w:rsid w:val="008B0DF3"/>
    <w:rsid w:val="008B1170"/>
    <w:rsid w:val="008B1ED3"/>
    <w:rsid w:val="008B2DE9"/>
    <w:rsid w:val="008B2E25"/>
    <w:rsid w:val="008B34B1"/>
    <w:rsid w:val="008B34F5"/>
    <w:rsid w:val="008B39F4"/>
    <w:rsid w:val="008B3C16"/>
    <w:rsid w:val="008B3E9A"/>
    <w:rsid w:val="008B4DA3"/>
    <w:rsid w:val="008B5104"/>
    <w:rsid w:val="008B57C5"/>
    <w:rsid w:val="008B5BC8"/>
    <w:rsid w:val="008B692E"/>
    <w:rsid w:val="008B7437"/>
    <w:rsid w:val="008B7CCD"/>
    <w:rsid w:val="008B7D36"/>
    <w:rsid w:val="008C01F3"/>
    <w:rsid w:val="008C2022"/>
    <w:rsid w:val="008C2597"/>
    <w:rsid w:val="008C2DFD"/>
    <w:rsid w:val="008C3BC8"/>
    <w:rsid w:val="008C5578"/>
    <w:rsid w:val="008C5AC2"/>
    <w:rsid w:val="008C5C95"/>
    <w:rsid w:val="008C6255"/>
    <w:rsid w:val="008C6951"/>
    <w:rsid w:val="008C6C91"/>
    <w:rsid w:val="008C7C9C"/>
    <w:rsid w:val="008D13DC"/>
    <w:rsid w:val="008D14CC"/>
    <w:rsid w:val="008D1E43"/>
    <w:rsid w:val="008D1E6A"/>
    <w:rsid w:val="008D2058"/>
    <w:rsid w:val="008D22DB"/>
    <w:rsid w:val="008D2843"/>
    <w:rsid w:val="008D2B51"/>
    <w:rsid w:val="008D2CE7"/>
    <w:rsid w:val="008D41FA"/>
    <w:rsid w:val="008D42C0"/>
    <w:rsid w:val="008D4518"/>
    <w:rsid w:val="008D4572"/>
    <w:rsid w:val="008D48D0"/>
    <w:rsid w:val="008D4F7B"/>
    <w:rsid w:val="008D5CA2"/>
    <w:rsid w:val="008D67F8"/>
    <w:rsid w:val="008D680A"/>
    <w:rsid w:val="008E0519"/>
    <w:rsid w:val="008E1494"/>
    <w:rsid w:val="008E29CE"/>
    <w:rsid w:val="008E2CB4"/>
    <w:rsid w:val="008E2E19"/>
    <w:rsid w:val="008E344D"/>
    <w:rsid w:val="008E4695"/>
    <w:rsid w:val="008E48EF"/>
    <w:rsid w:val="008E4BC4"/>
    <w:rsid w:val="008E4C3B"/>
    <w:rsid w:val="008E5682"/>
    <w:rsid w:val="008E56A1"/>
    <w:rsid w:val="008E5CB0"/>
    <w:rsid w:val="008E6612"/>
    <w:rsid w:val="008E7307"/>
    <w:rsid w:val="008E7954"/>
    <w:rsid w:val="008F03B5"/>
    <w:rsid w:val="008F0A85"/>
    <w:rsid w:val="008F100D"/>
    <w:rsid w:val="008F12B0"/>
    <w:rsid w:val="008F16B4"/>
    <w:rsid w:val="008F1785"/>
    <w:rsid w:val="008F22CE"/>
    <w:rsid w:val="008F2487"/>
    <w:rsid w:val="008F3C0E"/>
    <w:rsid w:val="008F4302"/>
    <w:rsid w:val="008F45AB"/>
    <w:rsid w:val="008F46C3"/>
    <w:rsid w:val="008F5F41"/>
    <w:rsid w:val="008F62A4"/>
    <w:rsid w:val="008F6868"/>
    <w:rsid w:val="008F69CC"/>
    <w:rsid w:val="008F6E57"/>
    <w:rsid w:val="008F748C"/>
    <w:rsid w:val="008F781E"/>
    <w:rsid w:val="008F7DF6"/>
    <w:rsid w:val="0090015E"/>
    <w:rsid w:val="00900D64"/>
    <w:rsid w:val="00901162"/>
    <w:rsid w:val="009024DF"/>
    <w:rsid w:val="00902967"/>
    <w:rsid w:val="00902B82"/>
    <w:rsid w:val="00902E5C"/>
    <w:rsid w:val="009031C4"/>
    <w:rsid w:val="00903339"/>
    <w:rsid w:val="00903840"/>
    <w:rsid w:val="00903AF0"/>
    <w:rsid w:val="00903C6F"/>
    <w:rsid w:val="00904185"/>
    <w:rsid w:val="00904925"/>
    <w:rsid w:val="0090535E"/>
    <w:rsid w:val="00905401"/>
    <w:rsid w:val="00905F98"/>
    <w:rsid w:val="0090605F"/>
    <w:rsid w:val="00910973"/>
    <w:rsid w:val="009113FE"/>
    <w:rsid w:val="009118C8"/>
    <w:rsid w:val="00911EB4"/>
    <w:rsid w:val="009127A9"/>
    <w:rsid w:val="00912923"/>
    <w:rsid w:val="00912B49"/>
    <w:rsid w:val="00912E82"/>
    <w:rsid w:val="00913569"/>
    <w:rsid w:val="009139AF"/>
    <w:rsid w:val="00913EC2"/>
    <w:rsid w:val="009144D6"/>
    <w:rsid w:val="0091469F"/>
    <w:rsid w:val="00915238"/>
    <w:rsid w:val="0091677D"/>
    <w:rsid w:val="00916B70"/>
    <w:rsid w:val="0091713E"/>
    <w:rsid w:val="009178A2"/>
    <w:rsid w:val="00917A69"/>
    <w:rsid w:val="00917B68"/>
    <w:rsid w:val="00917F0D"/>
    <w:rsid w:val="0092029E"/>
    <w:rsid w:val="0092137A"/>
    <w:rsid w:val="00921818"/>
    <w:rsid w:val="00921E5B"/>
    <w:rsid w:val="00923F1C"/>
    <w:rsid w:val="009244E7"/>
    <w:rsid w:val="0092572A"/>
    <w:rsid w:val="0092683E"/>
    <w:rsid w:val="0092730E"/>
    <w:rsid w:val="00927444"/>
    <w:rsid w:val="0092755F"/>
    <w:rsid w:val="00927F1B"/>
    <w:rsid w:val="009301F1"/>
    <w:rsid w:val="0093021B"/>
    <w:rsid w:val="00930636"/>
    <w:rsid w:val="009309E3"/>
    <w:rsid w:val="00931243"/>
    <w:rsid w:val="00931E70"/>
    <w:rsid w:val="00931F9E"/>
    <w:rsid w:val="0093221A"/>
    <w:rsid w:val="009325F7"/>
    <w:rsid w:val="0093301E"/>
    <w:rsid w:val="00933050"/>
    <w:rsid w:val="00933865"/>
    <w:rsid w:val="00933E3E"/>
    <w:rsid w:val="00933F96"/>
    <w:rsid w:val="00934372"/>
    <w:rsid w:val="00934494"/>
    <w:rsid w:val="00934D0F"/>
    <w:rsid w:val="0093514A"/>
    <w:rsid w:val="009352E2"/>
    <w:rsid w:val="0093582A"/>
    <w:rsid w:val="00935A6C"/>
    <w:rsid w:val="009360E7"/>
    <w:rsid w:val="00936190"/>
    <w:rsid w:val="0093651F"/>
    <w:rsid w:val="009372E1"/>
    <w:rsid w:val="00937ADE"/>
    <w:rsid w:val="00940045"/>
    <w:rsid w:val="00940521"/>
    <w:rsid w:val="009406A5"/>
    <w:rsid w:val="00941349"/>
    <w:rsid w:val="00941E07"/>
    <w:rsid w:val="00943038"/>
    <w:rsid w:val="00943065"/>
    <w:rsid w:val="00943A20"/>
    <w:rsid w:val="00943BBA"/>
    <w:rsid w:val="00943C7B"/>
    <w:rsid w:val="00944924"/>
    <w:rsid w:val="00944C68"/>
    <w:rsid w:val="00945124"/>
    <w:rsid w:val="00945AED"/>
    <w:rsid w:val="00945BD7"/>
    <w:rsid w:val="009462F3"/>
    <w:rsid w:val="009467C1"/>
    <w:rsid w:val="00946FDE"/>
    <w:rsid w:val="00947A14"/>
    <w:rsid w:val="00947D15"/>
    <w:rsid w:val="00947E1E"/>
    <w:rsid w:val="00950258"/>
    <w:rsid w:val="00950462"/>
    <w:rsid w:val="0095053F"/>
    <w:rsid w:val="00950D52"/>
    <w:rsid w:val="00951DD0"/>
    <w:rsid w:val="00951F5C"/>
    <w:rsid w:val="009520E8"/>
    <w:rsid w:val="009527DA"/>
    <w:rsid w:val="00953A07"/>
    <w:rsid w:val="00953CFB"/>
    <w:rsid w:val="00954573"/>
    <w:rsid w:val="00954EF8"/>
    <w:rsid w:val="00955618"/>
    <w:rsid w:val="00956222"/>
    <w:rsid w:val="00956431"/>
    <w:rsid w:val="0095660E"/>
    <w:rsid w:val="00957031"/>
    <w:rsid w:val="00957A0A"/>
    <w:rsid w:val="00957E04"/>
    <w:rsid w:val="00957F5E"/>
    <w:rsid w:val="00960375"/>
    <w:rsid w:val="00961014"/>
    <w:rsid w:val="00961E62"/>
    <w:rsid w:val="009625D9"/>
    <w:rsid w:val="00962C0C"/>
    <w:rsid w:val="00963626"/>
    <w:rsid w:val="00963A3D"/>
    <w:rsid w:val="00964079"/>
    <w:rsid w:val="00964619"/>
    <w:rsid w:val="00964E34"/>
    <w:rsid w:val="009659E4"/>
    <w:rsid w:val="00965DA7"/>
    <w:rsid w:val="00966423"/>
    <w:rsid w:val="00967753"/>
    <w:rsid w:val="00967849"/>
    <w:rsid w:val="00967AE2"/>
    <w:rsid w:val="0097011C"/>
    <w:rsid w:val="0097042B"/>
    <w:rsid w:val="00970E78"/>
    <w:rsid w:val="00970F33"/>
    <w:rsid w:val="00971446"/>
    <w:rsid w:val="00971A70"/>
    <w:rsid w:val="00971D15"/>
    <w:rsid w:val="009727A2"/>
    <w:rsid w:val="009739AA"/>
    <w:rsid w:val="00973CF1"/>
    <w:rsid w:val="00974565"/>
    <w:rsid w:val="009747F2"/>
    <w:rsid w:val="009749AD"/>
    <w:rsid w:val="00974C44"/>
    <w:rsid w:val="009751BA"/>
    <w:rsid w:val="009758AC"/>
    <w:rsid w:val="00975D84"/>
    <w:rsid w:val="009765FD"/>
    <w:rsid w:val="009766AC"/>
    <w:rsid w:val="00976998"/>
    <w:rsid w:val="00976B16"/>
    <w:rsid w:val="00976CB1"/>
    <w:rsid w:val="0097740C"/>
    <w:rsid w:val="009774DD"/>
    <w:rsid w:val="00977C65"/>
    <w:rsid w:val="009816F6"/>
    <w:rsid w:val="00982197"/>
    <w:rsid w:val="00982CDE"/>
    <w:rsid w:val="009847AC"/>
    <w:rsid w:val="00984C04"/>
    <w:rsid w:val="00985AAF"/>
    <w:rsid w:val="00986720"/>
    <w:rsid w:val="00987731"/>
    <w:rsid w:val="00987CA2"/>
    <w:rsid w:val="00987D17"/>
    <w:rsid w:val="00987DDD"/>
    <w:rsid w:val="009905D2"/>
    <w:rsid w:val="0099086D"/>
    <w:rsid w:val="00991338"/>
    <w:rsid w:val="00991602"/>
    <w:rsid w:val="00991965"/>
    <w:rsid w:val="00992180"/>
    <w:rsid w:val="00992804"/>
    <w:rsid w:val="00992C17"/>
    <w:rsid w:val="0099353B"/>
    <w:rsid w:val="0099378C"/>
    <w:rsid w:val="00993D7E"/>
    <w:rsid w:val="00993F3A"/>
    <w:rsid w:val="009944E0"/>
    <w:rsid w:val="009951DE"/>
    <w:rsid w:val="00995698"/>
    <w:rsid w:val="00995729"/>
    <w:rsid w:val="009958BE"/>
    <w:rsid w:val="00996046"/>
    <w:rsid w:val="00996610"/>
    <w:rsid w:val="00996D35"/>
    <w:rsid w:val="00996E9D"/>
    <w:rsid w:val="0099731C"/>
    <w:rsid w:val="009973C1"/>
    <w:rsid w:val="009A0EBD"/>
    <w:rsid w:val="009A1196"/>
    <w:rsid w:val="009A1E1F"/>
    <w:rsid w:val="009A2F63"/>
    <w:rsid w:val="009A38EB"/>
    <w:rsid w:val="009A3F05"/>
    <w:rsid w:val="009A3F42"/>
    <w:rsid w:val="009A4893"/>
    <w:rsid w:val="009A5215"/>
    <w:rsid w:val="009A6082"/>
    <w:rsid w:val="009A67AD"/>
    <w:rsid w:val="009A6B9B"/>
    <w:rsid w:val="009A74D8"/>
    <w:rsid w:val="009B0A9D"/>
    <w:rsid w:val="009B1652"/>
    <w:rsid w:val="009B1CFB"/>
    <w:rsid w:val="009B2C8B"/>
    <w:rsid w:val="009B37E3"/>
    <w:rsid w:val="009B390A"/>
    <w:rsid w:val="009B3C91"/>
    <w:rsid w:val="009B4431"/>
    <w:rsid w:val="009B4872"/>
    <w:rsid w:val="009B4F19"/>
    <w:rsid w:val="009B55C4"/>
    <w:rsid w:val="009B592C"/>
    <w:rsid w:val="009B5DEF"/>
    <w:rsid w:val="009B65FA"/>
    <w:rsid w:val="009B6C10"/>
    <w:rsid w:val="009B6DC5"/>
    <w:rsid w:val="009B774F"/>
    <w:rsid w:val="009B7B8C"/>
    <w:rsid w:val="009B7E95"/>
    <w:rsid w:val="009C015D"/>
    <w:rsid w:val="009C036F"/>
    <w:rsid w:val="009C07E5"/>
    <w:rsid w:val="009C0959"/>
    <w:rsid w:val="009C0A14"/>
    <w:rsid w:val="009C0B1E"/>
    <w:rsid w:val="009C10B6"/>
    <w:rsid w:val="009C1B40"/>
    <w:rsid w:val="009C30B3"/>
    <w:rsid w:val="009C37B7"/>
    <w:rsid w:val="009C46C0"/>
    <w:rsid w:val="009C4AE6"/>
    <w:rsid w:val="009C5B94"/>
    <w:rsid w:val="009C60AB"/>
    <w:rsid w:val="009C7C0E"/>
    <w:rsid w:val="009D08C7"/>
    <w:rsid w:val="009D0ACC"/>
    <w:rsid w:val="009D0D80"/>
    <w:rsid w:val="009D0E68"/>
    <w:rsid w:val="009D17AB"/>
    <w:rsid w:val="009D1D64"/>
    <w:rsid w:val="009D202B"/>
    <w:rsid w:val="009D27CA"/>
    <w:rsid w:val="009D27F1"/>
    <w:rsid w:val="009D29CA"/>
    <w:rsid w:val="009D2F76"/>
    <w:rsid w:val="009D30BE"/>
    <w:rsid w:val="009D34CE"/>
    <w:rsid w:val="009D4646"/>
    <w:rsid w:val="009D486E"/>
    <w:rsid w:val="009D494C"/>
    <w:rsid w:val="009D56E7"/>
    <w:rsid w:val="009D5EF1"/>
    <w:rsid w:val="009D6463"/>
    <w:rsid w:val="009D7D3E"/>
    <w:rsid w:val="009E00D7"/>
    <w:rsid w:val="009E057E"/>
    <w:rsid w:val="009E066E"/>
    <w:rsid w:val="009E19E3"/>
    <w:rsid w:val="009E1E14"/>
    <w:rsid w:val="009E22A5"/>
    <w:rsid w:val="009E2AB9"/>
    <w:rsid w:val="009E30A9"/>
    <w:rsid w:val="009E33DE"/>
    <w:rsid w:val="009E34AA"/>
    <w:rsid w:val="009E3793"/>
    <w:rsid w:val="009E40EE"/>
    <w:rsid w:val="009E4609"/>
    <w:rsid w:val="009E4724"/>
    <w:rsid w:val="009E4F7F"/>
    <w:rsid w:val="009E52F1"/>
    <w:rsid w:val="009E59C4"/>
    <w:rsid w:val="009E6126"/>
    <w:rsid w:val="009E733E"/>
    <w:rsid w:val="009E7618"/>
    <w:rsid w:val="009E7CB9"/>
    <w:rsid w:val="009F0D1F"/>
    <w:rsid w:val="009F17D4"/>
    <w:rsid w:val="009F194F"/>
    <w:rsid w:val="009F22BE"/>
    <w:rsid w:val="009F23FD"/>
    <w:rsid w:val="009F25D4"/>
    <w:rsid w:val="009F312C"/>
    <w:rsid w:val="009F3B75"/>
    <w:rsid w:val="009F5615"/>
    <w:rsid w:val="009F5EAB"/>
    <w:rsid w:val="009F6173"/>
    <w:rsid w:val="009F61E5"/>
    <w:rsid w:val="009F6288"/>
    <w:rsid w:val="009F6598"/>
    <w:rsid w:val="009F668A"/>
    <w:rsid w:val="009F6706"/>
    <w:rsid w:val="009F6F12"/>
    <w:rsid w:val="009F78ED"/>
    <w:rsid w:val="009F7B01"/>
    <w:rsid w:val="009F7C91"/>
    <w:rsid w:val="00A00CFD"/>
    <w:rsid w:val="00A00D17"/>
    <w:rsid w:val="00A017F2"/>
    <w:rsid w:val="00A01ADC"/>
    <w:rsid w:val="00A01AE5"/>
    <w:rsid w:val="00A01BE3"/>
    <w:rsid w:val="00A01EEC"/>
    <w:rsid w:val="00A028A8"/>
    <w:rsid w:val="00A02D88"/>
    <w:rsid w:val="00A02ED8"/>
    <w:rsid w:val="00A034E8"/>
    <w:rsid w:val="00A03BFF"/>
    <w:rsid w:val="00A04396"/>
    <w:rsid w:val="00A04AC5"/>
    <w:rsid w:val="00A05D16"/>
    <w:rsid w:val="00A064DE"/>
    <w:rsid w:val="00A06712"/>
    <w:rsid w:val="00A074BA"/>
    <w:rsid w:val="00A07983"/>
    <w:rsid w:val="00A1001C"/>
    <w:rsid w:val="00A10CDB"/>
    <w:rsid w:val="00A10E05"/>
    <w:rsid w:val="00A11688"/>
    <w:rsid w:val="00A1176C"/>
    <w:rsid w:val="00A11D7D"/>
    <w:rsid w:val="00A13B31"/>
    <w:rsid w:val="00A13DCA"/>
    <w:rsid w:val="00A15316"/>
    <w:rsid w:val="00A15796"/>
    <w:rsid w:val="00A16185"/>
    <w:rsid w:val="00A174AF"/>
    <w:rsid w:val="00A17AB3"/>
    <w:rsid w:val="00A17CD3"/>
    <w:rsid w:val="00A205DB"/>
    <w:rsid w:val="00A20F6C"/>
    <w:rsid w:val="00A2179B"/>
    <w:rsid w:val="00A2199D"/>
    <w:rsid w:val="00A225D2"/>
    <w:rsid w:val="00A22984"/>
    <w:rsid w:val="00A23128"/>
    <w:rsid w:val="00A2360D"/>
    <w:rsid w:val="00A240A5"/>
    <w:rsid w:val="00A242C3"/>
    <w:rsid w:val="00A247A6"/>
    <w:rsid w:val="00A2489E"/>
    <w:rsid w:val="00A24DDE"/>
    <w:rsid w:val="00A25026"/>
    <w:rsid w:val="00A256E5"/>
    <w:rsid w:val="00A265E1"/>
    <w:rsid w:val="00A26BE4"/>
    <w:rsid w:val="00A27631"/>
    <w:rsid w:val="00A27A0C"/>
    <w:rsid w:val="00A27B3F"/>
    <w:rsid w:val="00A27C2A"/>
    <w:rsid w:val="00A27C96"/>
    <w:rsid w:val="00A27F77"/>
    <w:rsid w:val="00A30552"/>
    <w:rsid w:val="00A305E3"/>
    <w:rsid w:val="00A30928"/>
    <w:rsid w:val="00A309C7"/>
    <w:rsid w:val="00A30B50"/>
    <w:rsid w:val="00A318A3"/>
    <w:rsid w:val="00A31B6A"/>
    <w:rsid w:val="00A31BA1"/>
    <w:rsid w:val="00A31FFA"/>
    <w:rsid w:val="00A32688"/>
    <w:rsid w:val="00A32C0B"/>
    <w:rsid w:val="00A32EDE"/>
    <w:rsid w:val="00A32FE1"/>
    <w:rsid w:val="00A333DC"/>
    <w:rsid w:val="00A33764"/>
    <w:rsid w:val="00A33BD4"/>
    <w:rsid w:val="00A33F2E"/>
    <w:rsid w:val="00A346AD"/>
    <w:rsid w:val="00A351FD"/>
    <w:rsid w:val="00A354CD"/>
    <w:rsid w:val="00A361E0"/>
    <w:rsid w:val="00A371AF"/>
    <w:rsid w:val="00A37447"/>
    <w:rsid w:val="00A378AE"/>
    <w:rsid w:val="00A37962"/>
    <w:rsid w:val="00A37C00"/>
    <w:rsid w:val="00A40115"/>
    <w:rsid w:val="00A4058D"/>
    <w:rsid w:val="00A4066A"/>
    <w:rsid w:val="00A40C64"/>
    <w:rsid w:val="00A41496"/>
    <w:rsid w:val="00A42C64"/>
    <w:rsid w:val="00A43452"/>
    <w:rsid w:val="00A43C40"/>
    <w:rsid w:val="00A43EF3"/>
    <w:rsid w:val="00A43F9A"/>
    <w:rsid w:val="00A44886"/>
    <w:rsid w:val="00A452D2"/>
    <w:rsid w:val="00A45E2E"/>
    <w:rsid w:val="00A461BA"/>
    <w:rsid w:val="00A468AF"/>
    <w:rsid w:val="00A46B94"/>
    <w:rsid w:val="00A478E2"/>
    <w:rsid w:val="00A47C8A"/>
    <w:rsid w:val="00A47EA9"/>
    <w:rsid w:val="00A50B73"/>
    <w:rsid w:val="00A50F7F"/>
    <w:rsid w:val="00A511D8"/>
    <w:rsid w:val="00A51A86"/>
    <w:rsid w:val="00A51C57"/>
    <w:rsid w:val="00A52540"/>
    <w:rsid w:val="00A5325D"/>
    <w:rsid w:val="00A53A1C"/>
    <w:rsid w:val="00A53D9C"/>
    <w:rsid w:val="00A544E9"/>
    <w:rsid w:val="00A559AD"/>
    <w:rsid w:val="00A56007"/>
    <w:rsid w:val="00A56260"/>
    <w:rsid w:val="00A56CE4"/>
    <w:rsid w:val="00A579DB"/>
    <w:rsid w:val="00A60093"/>
    <w:rsid w:val="00A601C8"/>
    <w:rsid w:val="00A616AE"/>
    <w:rsid w:val="00A62630"/>
    <w:rsid w:val="00A62B38"/>
    <w:rsid w:val="00A62F37"/>
    <w:rsid w:val="00A63726"/>
    <w:rsid w:val="00A6372C"/>
    <w:rsid w:val="00A63F09"/>
    <w:rsid w:val="00A64642"/>
    <w:rsid w:val="00A6486E"/>
    <w:rsid w:val="00A657F2"/>
    <w:rsid w:val="00A66B3C"/>
    <w:rsid w:val="00A66B9D"/>
    <w:rsid w:val="00A66D8D"/>
    <w:rsid w:val="00A671C5"/>
    <w:rsid w:val="00A67F6C"/>
    <w:rsid w:val="00A7029B"/>
    <w:rsid w:val="00A7083E"/>
    <w:rsid w:val="00A70980"/>
    <w:rsid w:val="00A70D0C"/>
    <w:rsid w:val="00A70F14"/>
    <w:rsid w:val="00A70F2F"/>
    <w:rsid w:val="00A712B5"/>
    <w:rsid w:val="00A72279"/>
    <w:rsid w:val="00A7278B"/>
    <w:rsid w:val="00A72C44"/>
    <w:rsid w:val="00A72E0C"/>
    <w:rsid w:val="00A7304A"/>
    <w:rsid w:val="00A73084"/>
    <w:rsid w:val="00A739FB"/>
    <w:rsid w:val="00A73E04"/>
    <w:rsid w:val="00A7529A"/>
    <w:rsid w:val="00A75E1C"/>
    <w:rsid w:val="00A7661E"/>
    <w:rsid w:val="00A76B36"/>
    <w:rsid w:val="00A76BB6"/>
    <w:rsid w:val="00A773A8"/>
    <w:rsid w:val="00A77B0E"/>
    <w:rsid w:val="00A77FBB"/>
    <w:rsid w:val="00A80955"/>
    <w:rsid w:val="00A81791"/>
    <w:rsid w:val="00A82558"/>
    <w:rsid w:val="00A82F40"/>
    <w:rsid w:val="00A832B3"/>
    <w:rsid w:val="00A8394A"/>
    <w:rsid w:val="00A83AED"/>
    <w:rsid w:val="00A83E0C"/>
    <w:rsid w:val="00A8411D"/>
    <w:rsid w:val="00A844EA"/>
    <w:rsid w:val="00A84CF5"/>
    <w:rsid w:val="00A858EB"/>
    <w:rsid w:val="00A871D9"/>
    <w:rsid w:val="00A87525"/>
    <w:rsid w:val="00A878DA"/>
    <w:rsid w:val="00A87BD4"/>
    <w:rsid w:val="00A9017E"/>
    <w:rsid w:val="00A90424"/>
    <w:rsid w:val="00A90B20"/>
    <w:rsid w:val="00A90B2B"/>
    <w:rsid w:val="00A90B54"/>
    <w:rsid w:val="00A91272"/>
    <w:rsid w:val="00A917B3"/>
    <w:rsid w:val="00A91950"/>
    <w:rsid w:val="00A91C91"/>
    <w:rsid w:val="00A92EB4"/>
    <w:rsid w:val="00A9329C"/>
    <w:rsid w:val="00A935DD"/>
    <w:rsid w:val="00A93E14"/>
    <w:rsid w:val="00A945AD"/>
    <w:rsid w:val="00A94770"/>
    <w:rsid w:val="00A950A7"/>
    <w:rsid w:val="00A959BF"/>
    <w:rsid w:val="00A959E9"/>
    <w:rsid w:val="00A962F2"/>
    <w:rsid w:val="00A96632"/>
    <w:rsid w:val="00A96B39"/>
    <w:rsid w:val="00A9750C"/>
    <w:rsid w:val="00A975E6"/>
    <w:rsid w:val="00A97CDB"/>
    <w:rsid w:val="00AA020E"/>
    <w:rsid w:val="00AA09C8"/>
    <w:rsid w:val="00AA0AC2"/>
    <w:rsid w:val="00AA17C4"/>
    <w:rsid w:val="00AA1889"/>
    <w:rsid w:val="00AA1ABD"/>
    <w:rsid w:val="00AA1CCE"/>
    <w:rsid w:val="00AA1D19"/>
    <w:rsid w:val="00AA2390"/>
    <w:rsid w:val="00AA2DE5"/>
    <w:rsid w:val="00AA31EE"/>
    <w:rsid w:val="00AA348D"/>
    <w:rsid w:val="00AA5347"/>
    <w:rsid w:val="00AA5493"/>
    <w:rsid w:val="00AA5AC8"/>
    <w:rsid w:val="00AA6352"/>
    <w:rsid w:val="00AA6787"/>
    <w:rsid w:val="00AA7BCE"/>
    <w:rsid w:val="00AA7D26"/>
    <w:rsid w:val="00AA7D97"/>
    <w:rsid w:val="00AB0679"/>
    <w:rsid w:val="00AB0F84"/>
    <w:rsid w:val="00AB14FC"/>
    <w:rsid w:val="00AB1633"/>
    <w:rsid w:val="00AB17F4"/>
    <w:rsid w:val="00AB19D9"/>
    <w:rsid w:val="00AB1B4A"/>
    <w:rsid w:val="00AB222F"/>
    <w:rsid w:val="00AB27F6"/>
    <w:rsid w:val="00AB2A46"/>
    <w:rsid w:val="00AB2E5E"/>
    <w:rsid w:val="00AB2FCD"/>
    <w:rsid w:val="00AB355D"/>
    <w:rsid w:val="00AB3569"/>
    <w:rsid w:val="00AB3982"/>
    <w:rsid w:val="00AB3C0B"/>
    <w:rsid w:val="00AB3D20"/>
    <w:rsid w:val="00AB41D4"/>
    <w:rsid w:val="00AB5230"/>
    <w:rsid w:val="00AB5450"/>
    <w:rsid w:val="00AB627F"/>
    <w:rsid w:val="00AB62B7"/>
    <w:rsid w:val="00AB747A"/>
    <w:rsid w:val="00AB75E7"/>
    <w:rsid w:val="00AB7801"/>
    <w:rsid w:val="00AC0009"/>
    <w:rsid w:val="00AC1EB6"/>
    <w:rsid w:val="00AC202C"/>
    <w:rsid w:val="00AC2669"/>
    <w:rsid w:val="00AC2791"/>
    <w:rsid w:val="00AC328B"/>
    <w:rsid w:val="00AC38B7"/>
    <w:rsid w:val="00AC42A5"/>
    <w:rsid w:val="00AC4447"/>
    <w:rsid w:val="00AC47B4"/>
    <w:rsid w:val="00AC4A02"/>
    <w:rsid w:val="00AC4DAE"/>
    <w:rsid w:val="00AC52FA"/>
    <w:rsid w:val="00AC5724"/>
    <w:rsid w:val="00AC5949"/>
    <w:rsid w:val="00AC5998"/>
    <w:rsid w:val="00AC5FDE"/>
    <w:rsid w:val="00AC611C"/>
    <w:rsid w:val="00AC6547"/>
    <w:rsid w:val="00AC659F"/>
    <w:rsid w:val="00AC65C4"/>
    <w:rsid w:val="00AC6BFB"/>
    <w:rsid w:val="00AC6CFE"/>
    <w:rsid w:val="00AC74C4"/>
    <w:rsid w:val="00AC76C0"/>
    <w:rsid w:val="00AD06C0"/>
    <w:rsid w:val="00AD093A"/>
    <w:rsid w:val="00AD0A0A"/>
    <w:rsid w:val="00AD10B6"/>
    <w:rsid w:val="00AD1177"/>
    <w:rsid w:val="00AD11F4"/>
    <w:rsid w:val="00AD1396"/>
    <w:rsid w:val="00AD17E2"/>
    <w:rsid w:val="00AD1F3C"/>
    <w:rsid w:val="00AD2336"/>
    <w:rsid w:val="00AD360B"/>
    <w:rsid w:val="00AD54C1"/>
    <w:rsid w:val="00AD587C"/>
    <w:rsid w:val="00AD5C78"/>
    <w:rsid w:val="00AD5D7C"/>
    <w:rsid w:val="00AD5FF5"/>
    <w:rsid w:val="00AD6CE4"/>
    <w:rsid w:val="00AD6FA7"/>
    <w:rsid w:val="00AD7327"/>
    <w:rsid w:val="00AD746F"/>
    <w:rsid w:val="00AD7480"/>
    <w:rsid w:val="00AD77DD"/>
    <w:rsid w:val="00AD7B25"/>
    <w:rsid w:val="00AE0B9B"/>
    <w:rsid w:val="00AE1290"/>
    <w:rsid w:val="00AE14B6"/>
    <w:rsid w:val="00AE14CA"/>
    <w:rsid w:val="00AE2500"/>
    <w:rsid w:val="00AE252E"/>
    <w:rsid w:val="00AE307E"/>
    <w:rsid w:val="00AE31F8"/>
    <w:rsid w:val="00AE3E20"/>
    <w:rsid w:val="00AE438D"/>
    <w:rsid w:val="00AE4FA9"/>
    <w:rsid w:val="00AE5238"/>
    <w:rsid w:val="00AE5459"/>
    <w:rsid w:val="00AE5837"/>
    <w:rsid w:val="00AE5E81"/>
    <w:rsid w:val="00AE782E"/>
    <w:rsid w:val="00AE7BD1"/>
    <w:rsid w:val="00AF01A4"/>
    <w:rsid w:val="00AF07FC"/>
    <w:rsid w:val="00AF0E6C"/>
    <w:rsid w:val="00AF1DB2"/>
    <w:rsid w:val="00AF1E4B"/>
    <w:rsid w:val="00AF1F8F"/>
    <w:rsid w:val="00AF22A8"/>
    <w:rsid w:val="00AF274E"/>
    <w:rsid w:val="00AF28BD"/>
    <w:rsid w:val="00AF3D8D"/>
    <w:rsid w:val="00AF3FDC"/>
    <w:rsid w:val="00AF51BD"/>
    <w:rsid w:val="00AF5922"/>
    <w:rsid w:val="00AF5EB8"/>
    <w:rsid w:val="00AF5EBD"/>
    <w:rsid w:val="00AF67D4"/>
    <w:rsid w:val="00AF6C45"/>
    <w:rsid w:val="00AF6D28"/>
    <w:rsid w:val="00AF702D"/>
    <w:rsid w:val="00AF71C3"/>
    <w:rsid w:val="00AF7616"/>
    <w:rsid w:val="00AF769A"/>
    <w:rsid w:val="00AF7766"/>
    <w:rsid w:val="00AF79AF"/>
    <w:rsid w:val="00AF7EF5"/>
    <w:rsid w:val="00B0043A"/>
    <w:rsid w:val="00B00AD4"/>
    <w:rsid w:val="00B01F25"/>
    <w:rsid w:val="00B0233B"/>
    <w:rsid w:val="00B03B0B"/>
    <w:rsid w:val="00B03D83"/>
    <w:rsid w:val="00B04082"/>
    <w:rsid w:val="00B04DA9"/>
    <w:rsid w:val="00B04EE8"/>
    <w:rsid w:val="00B052BE"/>
    <w:rsid w:val="00B056CA"/>
    <w:rsid w:val="00B05859"/>
    <w:rsid w:val="00B05CA3"/>
    <w:rsid w:val="00B07149"/>
    <w:rsid w:val="00B0734D"/>
    <w:rsid w:val="00B105D1"/>
    <w:rsid w:val="00B10CBA"/>
    <w:rsid w:val="00B1172A"/>
    <w:rsid w:val="00B11AAF"/>
    <w:rsid w:val="00B13110"/>
    <w:rsid w:val="00B13429"/>
    <w:rsid w:val="00B1381F"/>
    <w:rsid w:val="00B138B8"/>
    <w:rsid w:val="00B14E95"/>
    <w:rsid w:val="00B15617"/>
    <w:rsid w:val="00B15C64"/>
    <w:rsid w:val="00B1605A"/>
    <w:rsid w:val="00B1628F"/>
    <w:rsid w:val="00B169D3"/>
    <w:rsid w:val="00B16D86"/>
    <w:rsid w:val="00B17213"/>
    <w:rsid w:val="00B179DB"/>
    <w:rsid w:val="00B200A7"/>
    <w:rsid w:val="00B202B7"/>
    <w:rsid w:val="00B20376"/>
    <w:rsid w:val="00B20BBA"/>
    <w:rsid w:val="00B218B9"/>
    <w:rsid w:val="00B21DA4"/>
    <w:rsid w:val="00B2226E"/>
    <w:rsid w:val="00B22E47"/>
    <w:rsid w:val="00B22FB4"/>
    <w:rsid w:val="00B23D0A"/>
    <w:rsid w:val="00B25E9B"/>
    <w:rsid w:val="00B2600C"/>
    <w:rsid w:val="00B267AB"/>
    <w:rsid w:val="00B26EAD"/>
    <w:rsid w:val="00B27EDF"/>
    <w:rsid w:val="00B301FF"/>
    <w:rsid w:val="00B30940"/>
    <w:rsid w:val="00B311A4"/>
    <w:rsid w:val="00B32850"/>
    <w:rsid w:val="00B330E1"/>
    <w:rsid w:val="00B339BE"/>
    <w:rsid w:val="00B341D6"/>
    <w:rsid w:val="00B341D8"/>
    <w:rsid w:val="00B3469C"/>
    <w:rsid w:val="00B35335"/>
    <w:rsid w:val="00B35583"/>
    <w:rsid w:val="00B35774"/>
    <w:rsid w:val="00B359EA"/>
    <w:rsid w:val="00B35A04"/>
    <w:rsid w:val="00B35E60"/>
    <w:rsid w:val="00B37B7B"/>
    <w:rsid w:val="00B37CAB"/>
    <w:rsid w:val="00B40317"/>
    <w:rsid w:val="00B40E8C"/>
    <w:rsid w:val="00B411A7"/>
    <w:rsid w:val="00B415CD"/>
    <w:rsid w:val="00B42470"/>
    <w:rsid w:val="00B426CD"/>
    <w:rsid w:val="00B43A11"/>
    <w:rsid w:val="00B43D18"/>
    <w:rsid w:val="00B43F52"/>
    <w:rsid w:val="00B45D04"/>
    <w:rsid w:val="00B45D30"/>
    <w:rsid w:val="00B45E72"/>
    <w:rsid w:val="00B45F89"/>
    <w:rsid w:val="00B46278"/>
    <w:rsid w:val="00B46330"/>
    <w:rsid w:val="00B46865"/>
    <w:rsid w:val="00B46AE9"/>
    <w:rsid w:val="00B47413"/>
    <w:rsid w:val="00B47536"/>
    <w:rsid w:val="00B47736"/>
    <w:rsid w:val="00B478D8"/>
    <w:rsid w:val="00B47CAA"/>
    <w:rsid w:val="00B50194"/>
    <w:rsid w:val="00B50622"/>
    <w:rsid w:val="00B50A1D"/>
    <w:rsid w:val="00B50F06"/>
    <w:rsid w:val="00B5109F"/>
    <w:rsid w:val="00B510FC"/>
    <w:rsid w:val="00B51247"/>
    <w:rsid w:val="00B5168E"/>
    <w:rsid w:val="00B517AD"/>
    <w:rsid w:val="00B51AB7"/>
    <w:rsid w:val="00B51B8C"/>
    <w:rsid w:val="00B51FB2"/>
    <w:rsid w:val="00B524A1"/>
    <w:rsid w:val="00B5253F"/>
    <w:rsid w:val="00B52F57"/>
    <w:rsid w:val="00B54214"/>
    <w:rsid w:val="00B5441A"/>
    <w:rsid w:val="00B54672"/>
    <w:rsid w:val="00B55976"/>
    <w:rsid w:val="00B56149"/>
    <w:rsid w:val="00B57600"/>
    <w:rsid w:val="00B57B3B"/>
    <w:rsid w:val="00B60B78"/>
    <w:rsid w:val="00B61B1D"/>
    <w:rsid w:val="00B61DF3"/>
    <w:rsid w:val="00B61E41"/>
    <w:rsid w:val="00B62342"/>
    <w:rsid w:val="00B62736"/>
    <w:rsid w:val="00B62D24"/>
    <w:rsid w:val="00B63511"/>
    <w:rsid w:val="00B63A6B"/>
    <w:rsid w:val="00B64671"/>
    <w:rsid w:val="00B64748"/>
    <w:rsid w:val="00B64AC7"/>
    <w:rsid w:val="00B64DFE"/>
    <w:rsid w:val="00B65CA9"/>
    <w:rsid w:val="00B66B64"/>
    <w:rsid w:val="00B66F96"/>
    <w:rsid w:val="00B671BD"/>
    <w:rsid w:val="00B6728D"/>
    <w:rsid w:val="00B67DAE"/>
    <w:rsid w:val="00B70CBC"/>
    <w:rsid w:val="00B70E33"/>
    <w:rsid w:val="00B70ED0"/>
    <w:rsid w:val="00B70FB8"/>
    <w:rsid w:val="00B70FF9"/>
    <w:rsid w:val="00B7111B"/>
    <w:rsid w:val="00B71E62"/>
    <w:rsid w:val="00B71F58"/>
    <w:rsid w:val="00B7234C"/>
    <w:rsid w:val="00B72851"/>
    <w:rsid w:val="00B7298C"/>
    <w:rsid w:val="00B72C33"/>
    <w:rsid w:val="00B72DD8"/>
    <w:rsid w:val="00B73B51"/>
    <w:rsid w:val="00B73D9F"/>
    <w:rsid w:val="00B746A0"/>
    <w:rsid w:val="00B7560B"/>
    <w:rsid w:val="00B757CB"/>
    <w:rsid w:val="00B77BA2"/>
    <w:rsid w:val="00B77BD9"/>
    <w:rsid w:val="00B77C29"/>
    <w:rsid w:val="00B80003"/>
    <w:rsid w:val="00B8038A"/>
    <w:rsid w:val="00B807F2"/>
    <w:rsid w:val="00B8085D"/>
    <w:rsid w:val="00B811FD"/>
    <w:rsid w:val="00B815DA"/>
    <w:rsid w:val="00B818D2"/>
    <w:rsid w:val="00B8220E"/>
    <w:rsid w:val="00B82C7D"/>
    <w:rsid w:val="00B82D36"/>
    <w:rsid w:val="00B82D7C"/>
    <w:rsid w:val="00B82ED1"/>
    <w:rsid w:val="00B83464"/>
    <w:rsid w:val="00B835A6"/>
    <w:rsid w:val="00B8366E"/>
    <w:rsid w:val="00B843BA"/>
    <w:rsid w:val="00B848A2"/>
    <w:rsid w:val="00B84D25"/>
    <w:rsid w:val="00B853D7"/>
    <w:rsid w:val="00B85A9E"/>
    <w:rsid w:val="00B85CFD"/>
    <w:rsid w:val="00B86237"/>
    <w:rsid w:val="00B86712"/>
    <w:rsid w:val="00B870A3"/>
    <w:rsid w:val="00B87617"/>
    <w:rsid w:val="00B87911"/>
    <w:rsid w:val="00B87DD3"/>
    <w:rsid w:val="00B87E69"/>
    <w:rsid w:val="00B90F0A"/>
    <w:rsid w:val="00B918E0"/>
    <w:rsid w:val="00B91928"/>
    <w:rsid w:val="00B91C6C"/>
    <w:rsid w:val="00B920C1"/>
    <w:rsid w:val="00B93B97"/>
    <w:rsid w:val="00B93DE9"/>
    <w:rsid w:val="00B955FF"/>
    <w:rsid w:val="00B9568F"/>
    <w:rsid w:val="00B97390"/>
    <w:rsid w:val="00B97558"/>
    <w:rsid w:val="00B975C7"/>
    <w:rsid w:val="00B97656"/>
    <w:rsid w:val="00B977B6"/>
    <w:rsid w:val="00BA0870"/>
    <w:rsid w:val="00BA11E3"/>
    <w:rsid w:val="00BA2335"/>
    <w:rsid w:val="00BA2357"/>
    <w:rsid w:val="00BA28E7"/>
    <w:rsid w:val="00BA2C61"/>
    <w:rsid w:val="00BA2E1A"/>
    <w:rsid w:val="00BA3845"/>
    <w:rsid w:val="00BA38D0"/>
    <w:rsid w:val="00BA43C5"/>
    <w:rsid w:val="00BA4BD7"/>
    <w:rsid w:val="00BA55C5"/>
    <w:rsid w:val="00BA59DE"/>
    <w:rsid w:val="00BA5B6D"/>
    <w:rsid w:val="00BA63FA"/>
    <w:rsid w:val="00BA67D2"/>
    <w:rsid w:val="00BA6866"/>
    <w:rsid w:val="00BA68A5"/>
    <w:rsid w:val="00BA6DC6"/>
    <w:rsid w:val="00BA7688"/>
    <w:rsid w:val="00BB08B4"/>
    <w:rsid w:val="00BB0A6A"/>
    <w:rsid w:val="00BB0CDA"/>
    <w:rsid w:val="00BB16DF"/>
    <w:rsid w:val="00BB1C44"/>
    <w:rsid w:val="00BB2003"/>
    <w:rsid w:val="00BB2222"/>
    <w:rsid w:val="00BB2BE7"/>
    <w:rsid w:val="00BB3EA0"/>
    <w:rsid w:val="00BB4510"/>
    <w:rsid w:val="00BB4986"/>
    <w:rsid w:val="00BB4BAE"/>
    <w:rsid w:val="00BB4C36"/>
    <w:rsid w:val="00BB5CD7"/>
    <w:rsid w:val="00BB6106"/>
    <w:rsid w:val="00BB62AF"/>
    <w:rsid w:val="00BB66CE"/>
    <w:rsid w:val="00BB66EC"/>
    <w:rsid w:val="00BB6B41"/>
    <w:rsid w:val="00BB7D32"/>
    <w:rsid w:val="00BC0484"/>
    <w:rsid w:val="00BC07EA"/>
    <w:rsid w:val="00BC1218"/>
    <w:rsid w:val="00BC18E8"/>
    <w:rsid w:val="00BC1CA8"/>
    <w:rsid w:val="00BC1E21"/>
    <w:rsid w:val="00BC1EDB"/>
    <w:rsid w:val="00BC2378"/>
    <w:rsid w:val="00BC2EC2"/>
    <w:rsid w:val="00BC2F88"/>
    <w:rsid w:val="00BC3571"/>
    <w:rsid w:val="00BC4012"/>
    <w:rsid w:val="00BC4144"/>
    <w:rsid w:val="00BC4399"/>
    <w:rsid w:val="00BC480F"/>
    <w:rsid w:val="00BC4B51"/>
    <w:rsid w:val="00BC54C1"/>
    <w:rsid w:val="00BC6723"/>
    <w:rsid w:val="00BC67EA"/>
    <w:rsid w:val="00BC7198"/>
    <w:rsid w:val="00BD0798"/>
    <w:rsid w:val="00BD0DC0"/>
    <w:rsid w:val="00BD150F"/>
    <w:rsid w:val="00BD1CF2"/>
    <w:rsid w:val="00BD1DCC"/>
    <w:rsid w:val="00BD2080"/>
    <w:rsid w:val="00BD2623"/>
    <w:rsid w:val="00BD2CEB"/>
    <w:rsid w:val="00BD304D"/>
    <w:rsid w:val="00BD3488"/>
    <w:rsid w:val="00BD356F"/>
    <w:rsid w:val="00BD3BA0"/>
    <w:rsid w:val="00BD4176"/>
    <w:rsid w:val="00BD4494"/>
    <w:rsid w:val="00BD4742"/>
    <w:rsid w:val="00BD4A44"/>
    <w:rsid w:val="00BD4F17"/>
    <w:rsid w:val="00BD5186"/>
    <w:rsid w:val="00BD58DE"/>
    <w:rsid w:val="00BD5912"/>
    <w:rsid w:val="00BD5D62"/>
    <w:rsid w:val="00BD62A1"/>
    <w:rsid w:val="00BD645B"/>
    <w:rsid w:val="00BD66F4"/>
    <w:rsid w:val="00BD6C77"/>
    <w:rsid w:val="00BE0D3C"/>
    <w:rsid w:val="00BE122E"/>
    <w:rsid w:val="00BE15C0"/>
    <w:rsid w:val="00BE1886"/>
    <w:rsid w:val="00BE1A23"/>
    <w:rsid w:val="00BE1C17"/>
    <w:rsid w:val="00BE1C2B"/>
    <w:rsid w:val="00BE1FB7"/>
    <w:rsid w:val="00BE2BA2"/>
    <w:rsid w:val="00BE37C9"/>
    <w:rsid w:val="00BE3A73"/>
    <w:rsid w:val="00BE3CDF"/>
    <w:rsid w:val="00BE3E11"/>
    <w:rsid w:val="00BE4153"/>
    <w:rsid w:val="00BE4462"/>
    <w:rsid w:val="00BE45A1"/>
    <w:rsid w:val="00BE48F0"/>
    <w:rsid w:val="00BE4AA0"/>
    <w:rsid w:val="00BE5512"/>
    <w:rsid w:val="00BE6990"/>
    <w:rsid w:val="00BE6C3B"/>
    <w:rsid w:val="00BE6F4F"/>
    <w:rsid w:val="00BE76BB"/>
    <w:rsid w:val="00BF042D"/>
    <w:rsid w:val="00BF0559"/>
    <w:rsid w:val="00BF0956"/>
    <w:rsid w:val="00BF0DA0"/>
    <w:rsid w:val="00BF1A45"/>
    <w:rsid w:val="00BF1D10"/>
    <w:rsid w:val="00BF21DA"/>
    <w:rsid w:val="00BF22E6"/>
    <w:rsid w:val="00BF35FF"/>
    <w:rsid w:val="00BF428E"/>
    <w:rsid w:val="00BF6688"/>
    <w:rsid w:val="00BF69A5"/>
    <w:rsid w:val="00BF6E34"/>
    <w:rsid w:val="00BF7208"/>
    <w:rsid w:val="00BF7863"/>
    <w:rsid w:val="00BF7C8D"/>
    <w:rsid w:val="00C00850"/>
    <w:rsid w:val="00C0090A"/>
    <w:rsid w:val="00C00B4F"/>
    <w:rsid w:val="00C013B5"/>
    <w:rsid w:val="00C0172E"/>
    <w:rsid w:val="00C0184D"/>
    <w:rsid w:val="00C01A4E"/>
    <w:rsid w:val="00C01E19"/>
    <w:rsid w:val="00C02FEC"/>
    <w:rsid w:val="00C03280"/>
    <w:rsid w:val="00C036FB"/>
    <w:rsid w:val="00C03B67"/>
    <w:rsid w:val="00C043E3"/>
    <w:rsid w:val="00C046C7"/>
    <w:rsid w:val="00C04DB4"/>
    <w:rsid w:val="00C067B4"/>
    <w:rsid w:val="00C07818"/>
    <w:rsid w:val="00C07C6F"/>
    <w:rsid w:val="00C1093A"/>
    <w:rsid w:val="00C10C13"/>
    <w:rsid w:val="00C112FB"/>
    <w:rsid w:val="00C11A19"/>
    <w:rsid w:val="00C12C41"/>
    <w:rsid w:val="00C12EDA"/>
    <w:rsid w:val="00C130C8"/>
    <w:rsid w:val="00C139C0"/>
    <w:rsid w:val="00C144CF"/>
    <w:rsid w:val="00C15156"/>
    <w:rsid w:val="00C15213"/>
    <w:rsid w:val="00C1540D"/>
    <w:rsid w:val="00C154A9"/>
    <w:rsid w:val="00C154AA"/>
    <w:rsid w:val="00C15FF0"/>
    <w:rsid w:val="00C16899"/>
    <w:rsid w:val="00C174E5"/>
    <w:rsid w:val="00C176BC"/>
    <w:rsid w:val="00C17780"/>
    <w:rsid w:val="00C179D6"/>
    <w:rsid w:val="00C17DB9"/>
    <w:rsid w:val="00C20C75"/>
    <w:rsid w:val="00C213EF"/>
    <w:rsid w:val="00C2153E"/>
    <w:rsid w:val="00C2180C"/>
    <w:rsid w:val="00C218CB"/>
    <w:rsid w:val="00C21CD2"/>
    <w:rsid w:val="00C21D36"/>
    <w:rsid w:val="00C21F1B"/>
    <w:rsid w:val="00C21FB5"/>
    <w:rsid w:val="00C2206C"/>
    <w:rsid w:val="00C22289"/>
    <w:rsid w:val="00C228D0"/>
    <w:rsid w:val="00C22AF6"/>
    <w:rsid w:val="00C22B3A"/>
    <w:rsid w:val="00C22B69"/>
    <w:rsid w:val="00C230CB"/>
    <w:rsid w:val="00C23413"/>
    <w:rsid w:val="00C236AA"/>
    <w:rsid w:val="00C23CEA"/>
    <w:rsid w:val="00C24383"/>
    <w:rsid w:val="00C24890"/>
    <w:rsid w:val="00C2496F"/>
    <w:rsid w:val="00C24A57"/>
    <w:rsid w:val="00C25083"/>
    <w:rsid w:val="00C253B3"/>
    <w:rsid w:val="00C25581"/>
    <w:rsid w:val="00C25F9E"/>
    <w:rsid w:val="00C267FB"/>
    <w:rsid w:val="00C27297"/>
    <w:rsid w:val="00C2758B"/>
    <w:rsid w:val="00C277B3"/>
    <w:rsid w:val="00C27EEA"/>
    <w:rsid w:val="00C31266"/>
    <w:rsid w:val="00C31870"/>
    <w:rsid w:val="00C3189B"/>
    <w:rsid w:val="00C31AA5"/>
    <w:rsid w:val="00C32C92"/>
    <w:rsid w:val="00C33B4A"/>
    <w:rsid w:val="00C34490"/>
    <w:rsid w:val="00C34973"/>
    <w:rsid w:val="00C34A37"/>
    <w:rsid w:val="00C3512E"/>
    <w:rsid w:val="00C3516F"/>
    <w:rsid w:val="00C352F3"/>
    <w:rsid w:val="00C35645"/>
    <w:rsid w:val="00C35941"/>
    <w:rsid w:val="00C35E7B"/>
    <w:rsid w:val="00C35E9E"/>
    <w:rsid w:val="00C363FF"/>
    <w:rsid w:val="00C36721"/>
    <w:rsid w:val="00C3673A"/>
    <w:rsid w:val="00C36A84"/>
    <w:rsid w:val="00C37348"/>
    <w:rsid w:val="00C3735B"/>
    <w:rsid w:val="00C374EE"/>
    <w:rsid w:val="00C37535"/>
    <w:rsid w:val="00C377BA"/>
    <w:rsid w:val="00C37B0D"/>
    <w:rsid w:val="00C37C39"/>
    <w:rsid w:val="00C37D0C"/>
    <w:rsid w:val="00C37E1D"/>
    <w:rsid w:val="00C40894"/>
    <w:rsid w:val="00C41198"/>
    <w:rsid w:val="00C415D8"/>
    <w:rsid w:val="00C417D0"/>
    <w:rsid w:val="00C41908"/>
    <w:rsid w:val="00C41BC1"/>
    <w:rsid w:val="00C41C87"/>
    <w:rsid w:val="00C42902"/>
    <w:rsid w:val="00C42AD5"/>
    <w:rsid w:val="00C42BB7"/>
    <w:rsid w:val="00C42DCD"/>
    <w:rsid w:val="00C43839"/>
    <w:rsid w:val="00C43F40"/>
    <w:rsid w:val="00C43FFB"/>
    <w:rsid w:val="00C44EFD"/>
    <w:rsid w:val="00C45CA7"/>
    <w:rsid w:val="00C46132"/>
    <w:rsid w:val="00C46F79"/>
    <w:rsid w:val="00C474B0"/>
    <w:rsid w:val="00C47771"/>
    <w:rsid w:val="00C47ABC"/>
    <w:rsid w:val="00C50E61"/>
    <w:rsid w:val="00C51072"/>
    <w:rsid w:val="00C517FF"/>
    <w:rsid w:val="00C51A4B"/>
    <w:rsid w:val="00C51AF4"/>
    <w:rsid w:val="00C51FEE"/>
    <w:rsid w:val="00C52891"/>
    <w:rsid w:val="00C52901"/>
    <w:rsid w:val="00C52CBD"/>
    <w:rsid w:val="00C53FF5"/>
    <w:rsid w:val="00C5482C"/>
    <w:rsid w:val="00C5494A"/>
    <w:rsid w:val="00C54F19"/>
    <w:rsid w:val="00C555B5"/>
    <w:rsid w:val="00C5633C"/>
    <w:rsid w:val="00C57499"/>
    <w:rsid w:val="00C57CE9"/>
    <w:rsid w:val="00C604A3"/>
    <w:rsid w:val="00C606FC"/>
    <w:rsid w:val="00C60D0B"/>
    <w:rsid w:val="00C60EF1"/>
    <w:rsid w:val="00C618F5"/>
    <w:rsid w:val="00C61A72"/>
    <w:rsid w:val="00C624E6"/>
    <w:rsid w:val="00C626BF"/>
    <w:rsid w:val="00C62AB3"/>
    <w:rsid w:val="00C62EA2"/>
    <w:rsid w:val="00C63B1E"/>
    <w:rsid w:val="00C640B1"/>
    <w:rsid w:val="00C650CE"/>
    <w:rsid w:val="00C653C9"/>
    <w:rsid w:val="00C65E7C"/>
    <w:rsid w:val="00C65F9B"/>
    <w:rsid w:val="00C65FE4"/>
    <w:rsid w:val="00C66C6C"/>
    <w:rsid w:val="00C678DA"/>
    <w:rsid w:val="00C67BFD"/>
    <w:rsid w:val="00C704E2"/>
    <w:rsid w:val="00C7057F"/>
    <w:rsid w:val="00C705DB"/>
    <w:rsid w:val="00C714D8"/>
    <w:rsid w:val="00C715AD"/>
    <w:rsid w:val="00C716FD"/>
    <w:rsid w:val="00C71725"/>
    <w:rsid w:val="00C7180E"/>
    <w:rsid w:val="00C71C07"/>
    <w:rsid w:val="00C71E5D"/>
    <w:rsid w:val="00C72113"/>
    <w:rsid w:val="00C72186"/>
    <w:rsid w:val="00C72910"/>
    <w:rsid w:val="00C72AAE"/>
    <w:rsid w:val="00C736A7"/>
    <w:rsid w:val="00C737A1"/>
    <w:rsid w:val="00C73A2A"/>
    <w:rsid w:val="00C73EDB"/>
    <w:rsid w:val="00C7471A"/>
    <w:rsid w:val="00C74FEC"/>
    <w:rsid w:val="00C75A97"/>
    <w:rsid w:val="00C76067"/>
    <w:rsid w:val="00C77210"/>
    <w:rsid w:val="00C775B6"/>
    <w:rsid w:val="00C80296"/>
    <w:rsid w:val="00C80B82"/>
    <w:rsid w:val="00C80D87"/>
    <w:rsid w:val="00C80D8F"/>
    <w:rsid w:val="00C80ED6"/>
    <w:rsid w:val="00C812C2"/>
    <w:rsid w:val="00C814EE"/>
    <w:rsid w:val="00C81F23"/>
    <w:rsid w:val="00C823CB"/>
    <w:rsid w:val="00C83BC0"/>
    <w:rsid w:val="00C84356"/>
    <w:rsid w:val="00C848DA"/>
    <w:rsid w:val="00C84C37"/>
    <w:rsid w:val="00C84D54"/>
    <w:rsid w:val="00C8544F"/>
    <w:rsid w:val="00C86351"/>
    <w:rsid w:val="00C87054"/>
    <w:rsid w:val="00C873BA"/>
    <w:rsid w:val="00C87467"/>
    <w:rsid w:val="00C87F05"/>
    <w:rsid w:val="00C90393"/>
    <w:rsid w:val="00C909ED"/>
    <w:rsid w:val="00C9127E"/>
    <w:rsid w:val="00C92294"/>
    <w:rsid w:val="00C92316"/>
    <w:rsid w:val="00C92A7A"/>
    <w:rsid w:val="00C92AE2"/>
    <w:rsid w:val="00C9352E"/>
    <w:rsid w:val="00C9370C"/>
    <w:rsid w:val="00C94208"/>
    <w:rsid w:val="00C943D8"/>
    <w:rsid w:val="00C9443C"/>
    <w:rsid w:val="00C94D07"/>
    <w:rsid w:val="00C94F3C"/>
    <w:rsid w:val="00C95167"/>
    <w:rsid w:val="00C954B8"/>
    <w:rsid w:val="00C958C7"/>
    <w:rsid w:val="00C95C3C"/>
    <w:rsid w:val="00C95D06"/>
    <w:rsid w:val="00C97442"/>
    <w:rsid w:val="00C9759C"/>
    <w:rsid w:val="00C97741"/>
    <w:rsid w:val="00C97A31"/>
    <w:rsid w:val="00CA0011"/>
    <w:rsid w:val="00CA0685"/>
    <w:rsid w:val="00CA0729"/>
    <w:rsid w:val="00CA085E"/>
    <w:rsid w:val="00CA0A81"/>
    <w:rsid w:val="00CA133B"/>
    <w:rsid w:val="00CA1462"/>
    <w:rsid w:val="00CA17F7"/>
    <w:rsid w:val="00CA2279"/>
    <w:rsid w:val="00CA290B"/>
    <w:rsid w:val="00CA3DED"/>
    <w:rsid w:val="00CA417D"/>
    <w:rsid w:val="00CA4345"/>
    <w:rsid w:val="00CA479E"/>
    <w:rsid w:val="00CA4B60"/>
    <w:rsid w:val="00CA5150"/>
    <w:rsid w:val="00CA5533"/>
    <w:rsid w:val="00CA55B0"/>
    <w:rsid w:val="00CA5DA6"/>
    <w:rsid w:val="00CA6030"/>
    <w:rsid w:val="00CA6670"/>
    <w:rsid w:val="00CA6968"/>
    <w:rsid w:val="00CA7297"/>
    <w:rsid w:val="00CA7C3F"/>
    <w:rsid w:val="00CA7EF8"/>
    <w:rsid w:val="00CB0271"/>
    <w:rsid w:val="00CB0A5C"/>
    <w:rsid w:val="00CB1286"/>
    <w:rsid w:val="00CB20A3"/>
    <w:rsid w:val="00CB2764"/>
    <w:rsid w:val="00CB2767"/>
    <w:rsid w:val="00CB27EB"/>
    <w:rsid w:val="00CB2BF8"/>
    <w:rsid w:val="00CB35E3"/>
    <w:rsid w:val="00CB3935"/>
    <w:rsid w:val="00CB42C4"/>
    <w:rsid w:val="00CB431B"/>
    <w:rsid w:val="00CB572E"/>
    <w:rsid w:val="00CB5762"/>
    <w:rsid w:val="00CB71A0"/>
    <w:rsid w:val="00CB73C3"/>
    <w:rsid w:val="00CB75A1"/>
    <w:rsid w:val="00CB7726"/>
    <w:rsid w:val="00CB7958"/>
    <w:rsid w:val="00CB7C17"/>
    <w:rsid w:val="00CB7CF4"/>
    <w:rsid w:val="00CC1526"/>
    <w:rsid w:val="00CC19BC"/>
    <w:rsid w:val="00CC1E69"/>
    <w:rsid w:val="00CC20CD"/>
    <w:rsid w:val="00CC2114"/>
    <w:rsid w:val="00CC2208"/>
    <w:rsid w:val="00CC2AF8"/>
    <w:rsid w:val="00CC35DF"/>
    <w:rsid w:val="00CC3E77"/>
    <w:rsid w:val="00CC53C2"/>
    <w:rsid w:val="00CC5446"/>
    <w:rsid w:val="00CC57A1"/>
    <w:rsid w:val="00CC5BDC"/>
    <w:rsid w:val="00CC5DCC"/>
    <w:rsid w:val="00CC6128"/>
    <w:rsid w:val="00CC635C"/>
    <w:rsid w:val="00CC65A4"/>
    <w:rsid w:val="00CC67BA"/>
    <w:rsid w:val="00CC74BC"/>
    <w:rsid w:val="00CD014B"/>
    <w:rsid w:val="00CD2615"/>
    <w:rsid w:val="00CD277A"/>
    <w:rsid w:val="00CD2D09"/>
    <w:rsid w:val="00CD3072"/>
    <w:rsid w:val="00CD3A48"/>
    <w:rsid w:val="00CD48BB"/>
    <w:rsid w:val="00CD4A71"/>
    <w:rsid w:val="00CD4D83"/>
    <w:rsid w:val="00CD4F49"/>
    <w:rsid w:val="00CD6415"/>
    <w:rsid w:val="00CD6465"/>
    <w:rsid w:val="00CD6617"/>
    <w:rsid w:val="00CD6643"/>
    <w:rsid w:val="00CD683D"/>
    <w:rsid w:val="00CD6A30"/>
    <w:rsid w:val="00CD6C42"/>
    <w:rsid w:val="00CD6C93"/>
    <w:rsid w:val="00CD7C3E"/>
    <w:rsid w:val="00CE0081"/>
    <w:rsid w:val="00CE083F"/>
    <w:rsid w:val="00CE13E2"/>
    <w:rsid w:val="00CE19DA"/>
    <w:rsid w:val="00CE1D5B"/>
    <w:rsid w:val="00CE251F"/>
    <w:rsid w:val="00CE2600"/>
    <w:rsid w:val="00CE33EC"/>
    <w:rsid w:val="00CE343D"/>
    <w:rsid w:val="00CE3457"/>
    <w:rsid w:val="00CE3D00"/>
    <w:rsid w:val="00CE3DAD"/>
    <w:rsid w:val="00CE41DF"/>
    <w:rsid w:val="00CE480A"/>
    <w:rsid w:val="00CE497B"/>
    <w:rsid w:val="00CE4E2D"/>
    <w:rsid w:val="00CE575B"/>
    <w:rsid w:val="00CE6992"/>
    <w:rsid w:val="00CE70AA"/>
    <w:rsid w:val="00CE78AD"/>
    <w:rsid w:val="00CF0BE9"/>
    <w:rsid w:val="00CF0C70"/>
    <w:rsid w:val="00CF1791"/>
    <w:rsid w:val="00CF1F55"/>
    <w:rsid w:val="00CF211F"/>
    <w:rsid w:val="00CF21A2"/>
    <w:rsid w:val="00CF288F"/>
    <w:rsid w:val="00CF2C2C"/>
    <w:rsid w:val="00CF34DD"/>
    <w:rsid w:val="00CF37C4"/>
    <w:rsid w:val="00CF39E3"/>
    <w:rsid w:val="00CF3D8C"/>
    <w:rsid w:val="00CF4124"/>
    <w:rsid w:val="00CF4A4D"/>
    <w:rsid w:val="00CF4B0E"/>
    <w:rsid w:val="00CF55E7"/>
    <w:rsid w:val="00CF56D8"/>
    <w:rsid w:val="00CF5ECF"/>
    <w:rsid w:val="00CF5EEF"/>
    <w:rsid w:val="00CF6AA6"/>
    <w:rsid w:val="00CF6AF8"/>
    <w:rsid w:val="00CF730C"/>
    <w:rsid w:val="00CF7561"/>
    <w:rsid w:val="00CF787A"/>
    <w:rsid w:val="00CF7913"/>
    <w:rsid w:val="00CF7950"/>
    <w:rsid w:val="00D00FA7"/>
    <w:rsid w:val="00D010E0"/>
    <w:rsid w:val="00D01139"/>
    <w:rsid w:val="00D017E3"/>
    <w:rsid w:val="00D023FA"/>
    <w:rsid w:val="00D024F9"/>
    <w:rsid w:val="00D028AF"/>
    <w:rsid w:val="00D02B8A"/>
    <w:rsid w:val="00D02F88"/>
    <w:rsid w:val="00D0335C"/>
    <w:rsid w:val="00D037F4"/>
    <w:rsid w:val="00D04F26"/>
    <w:rsid w:val="00D04F4C"/>
    <w:rsid w:val="00D052F1"/>
    <w:rsid w:val="00D0546F"/>
    <w:rsid w:val="00D05B74"/>
    <w:rsid w:val="00D05C3F"/>
    <w:rsid w:val="00D06F3B"/>
    <w:rsid w:val="00D07FE9"/>
    <w:rsid w:val="00D109FE"/>
    <w:rsid w:val="00D11291"/>
    <w:rsid w:val="00D11826"/>
    <w:rsid w:val="00D11911"/>
    <w:rsid w:val="00D11BB2"/>
    <w:rsid w:val="00D123ED"/>
    <w:rsid w:val="00D12721"/>
    <w:rsid w:val="00D13481"/>
    <w:rsid w:val="00D13D00"/>
    <w:rsid w:val="00D13D15"/>
    <w:rsid w:val="00D13DE7"/>
    <w:rsid w:val="00D13FB8"/>
    <w:rsid w:val="00D14908"/>
    <w:rsid w:val="00D14C7D"/>
    <w:rsid w:val="00D14D4E"/>
    <w:rsid w:val="00D14D69"/>
    <w:rsid w:val="00D15730"/>
    <w:rsid w:val="00D15B45"/>
    <w:rsid w:val="00D15DB2"/>
    <w:rsid w:val="00D15E25"/>
    <w:rsid w:val="00D15EEE"/>
    <w:rsid w:val="00D16A96"/>
    <w:rsid w:val="00D16CA5"/>
    <w:rsid w:val="00D16F6B"/>
    <w:rsid w:val="00D16FB0"/>
    <w:rsid w:val="00D17757"/>
    <w:rsid w:val="00D17F43"/>
    <w:rsid w:val="00D20526"/>
    <w:rsid w:val="00D20FD6"/>
    <w:rsid w:val="00D21820"/>
    <w:rsid w:val="00D22405"/>
    <w:rsid w:val="00D22582"/>
    <w:rsid w:val="00D22BB9"/>
    <w:rsid w:val="00D22CD0"/>
    <w:rsid w:val="00D22DF5"/>
    <w:rsid w:val="00D23182"/>
    <w:rsid w:val="00D23D0B"/>
    <w:rsid w:val="00D24B69"/>
    <w:rsid w:val="00D24DC6"/>
    <w:rsid w:val="00D2618A"/>
    <w:rsid w:val="00D2638F"/>
    <w:rsid w:val="00D270DA"/>
    <w:rsid w:val="00D27D03"/>
    <w:rsid w:val="00D307E9"/>
    <w:rsid w:val="00D30F0A"/>
    <w:rsid w:val="00D3168C"/>
    <w:rsid w:val="00D318E4"/>
    <w:rsid w:val="00D32006"/>
    <w:rsid w:val="00D32A2E"/>
    <w:rsid w:val="00D32C14"/>
    <w:rsid w:val="00D33AFE"/>
    <w:rsid w:val="00D3454C"/>
    <w:rsid w:val="00D34AA0"/>
    <w:rsid w:val="00D34F4F"/>
    <w:rsid w:val="00D352C5"/>
    <w:rsid w:val="00D364D6"/>
    <w:rsid w:val="00D36A61"/>
    <w:rsid w:val="00D36D59"/>
    <w:rsid w:val="00D36ECA"/>
    <w:rsid w:val="00D372B7"/>
    <w:rsid w:val="00D405C3"/>
    <w:rsid w:val="00D40BB5"/>
    <w:rsid w:val="00D42B10"/>
    <w:rsid w:val="00D43114"/>
    <w:rsid w:val="00D435FF"/>
    <w:rsid w:val="00D437EC"/>
    <w:rsid w:val="00D45643"/>
    <w:rsid w:val="00D456A8"/>
    <w:rsid w:val="00D45980"/>
    <w:rsid w:val="00D46D45"/>
    <w:rsid w:val="00D46F41"/>
    <w:rsid w:val="00D474BF"/>
    <w:rsid w:val="00D4771C"/>
    <w:rsid w:val="00D504B4"/>
    <w:rsid w:val="00D50803"/>
    <w:rsid w:val="00D508A8"/>
    <w:rsid w:val="00D50A3B"/>
    <w:rsid w:val="00D52A53"/>
    <w:rsid w:val="00D53652"/>
    <w:rsid w:val="00D53D45"/>
    <w:rsid w:val="00D53EB8"/>
    <w:rsid w:val="00D5454F"/>
    <w:rsid w:val="00D5505F"/>
    <w:rsid w:val="00D5551F"/>
    <w:rsid w:val="00D55A2A"/>
    <w:rsid w:val="00D56141"/>
    <w:rsid w:val="00D56874"/>
    <w:rsid w:val="00D57939"/>
    <w:rsid w:val="00D57E98"/>
    <w:rsid w:val="00D60337"/>
    <w:rsid w:val="00D604AC"/>
    <w:rsid w:val="00D60B6A"/>
    <w:rsid w:val="00D60FE0"/>
    <w:rsid w:val="00D6136A"/>
    <w:rsid w:val="00D61402"/>
    <w:rsid w:val="00D61591"/>
    <w:rsid w:val="00D6160B"/>
    <w:rsid w:val="00D622CC"/>
    <w:rsid w:val="00D624D1"/>
    <w:rsid w:val="00D62591"/>
    <w:rsid w:val="00D6273B"/>
    <w:rsid w:val="00D62988"/>
    <w:rsid w:val="00D62CA9"/>
    <w:rsid w:val="00D635CD"/>
    <w:rsid w:val="00D63D43"/>
    <w:rsid w:val="00D643EF"/>
    <w:rsid w:val="00D64B2E"/>
    <w:rsid w:val="00D65E6F"/>
    <w:rsid w:val="00D66189"/>
    <w:rsid w:val="00D665F1"/>
    <w:rsid w:val="00D6698D"/>
    <w:rsid w:val="00D675A6"/>
    <w:rsid w:val="00D67DCC"/>
    <w:rsid w:val="00D7021B"/>
    <w:rsid w:val="00D70241"/>
    <w:rsid w:val="00D70E56"/>
    <w:rsid w:val="00D70F64"/>
    <w:rsid w:val="00D7107B"/>
    <w:rsid w:val="00D7147E"/>
    <w:rsid w:val="00D71900"/>
    <w:rsid w:val="00D71A60"/>
    <w:rsid w:val="00D71B31"/>
    <w:rsid w:val="00D71DD7"/>
    <w:rsid w:val="00D721FF"/>
    <w:rsid w:val="00D72245"/>
    <w:rsid w:val="00D73175"/>
    <w:rsid w:val="00D731F7"/>
    <w:rsid w:val="00D73529"/>
    <w:rsid w:val="00D73D88"/>
    <w:rsid w:val="00D740A8"/>
    <w:rsid w:val="00D743B8"/>
    <w:rsid w:val="00D7496E"/>
    <w:rsid w:val="00D75146"/>
    <w:rsid w:val="00D75180"/>
    <w:rsid w:val="00D75792"/>
    <w:rsid w:val="00D76666"/>
    <w:rsid w:val="00D7689C"/>
    <w:rsid w:val="00D76EF0"/>
    <w:rsid w:val="00D770DF"/>
    <w:rsid w:val="00D7719E"/>
    <w:rsid w:val="00D7725A"/>
    <w:rsid w:val="00D772BF"/>
    <w:rsid w:val="00D772F0"/>
    <w:rsid w:val="00D803F3"/>
    <w:rsid w:val="00D80649"/>
    <w:rsid w:val="00D8096B"/>
    <w:rsid w:val="00D81C79"/>
    <w:rsid w:val="00D825E7"/>
    <w:rsid w:val="00D826C4"/>
    <w:rsid w:val="00D82A75"/>
    <w:rsid w:val="00D835FD"/>
    <w:rsid w:val="00D83869"/>
    <w:rsid w:val="00D83C7E"/>
    <w:rsid w:val="00D84FA7"/>
    <w:rsid w:val="00D858C8"/>
    <w:rsid w:val="00D8597F"/>
    <w:rsid w:val="00D85A73"/>
    <w:rsid w:val="00D87451"/>
    <w:rsid w:val="00D8775B"/>
    <w:rsid w:val="00D878BA"/>
    <w:rsid w:val="00D87938"/>
    <w:rsid w:val="00D8796D"/>
    <w:rsid w:val="00D879D5"/>
    <w:rsid w:val="00D87E5E"/>
    <w:rsid w:val="00D912A4"/>
    <w:rsid w:val="00D914D0"/>
    <w:rsid w:val="00D92063"/>
    <w:rsid w:val="00D92415"/>
    <w:rsid w:val="00D9242C"/>
    <w:rsid w:val="00D92E50"/>
    <w:rsid w:val="00D92FA4"/>
    <w:rsid w:val="00D92FEB"/>
    <w:rsid w:val="00D9355C"/>
    <w:rsid w:val="00D93DD9"/>
    <w:rsid w:val="00D94AB5"/>
    <w:rsid w:val="00D95DEF"/>
    <w:rsid w:val="00D96C4F"/>
    <w:rsid w:val="00D974FD"/>
    <w:rsid w:val="00D97AC5"/>
    <w:rsid w:val="00D97FFE"/>
    <w:rsid w:val="00DA0105"/>
    <w:rsid w:val="00DA049D"/>
    <w:rsid w:val="00DA05F2"/>
    <w:rsid w:val="00DA0CC8"/>
    <w:rsid w:val="00DA0F02"/>
    <w:rsid w:val="00DA149A"/>
    <w:rsid w:val="00DA19F7"/>
    <w:rsid w:val="00DA1A6F"/>
    <w:rsid w:val="00DA23B0"/>
    <w:rsid w:val="00DA2B1A"/>
    <w:rsid w:val="00DA3018"/>
    <w:rsid w:val="00DA30A9"/>
    <w:rsid w:val="00DA33F9"/>
    <w:rsid w:val="00DA5788"/>
    <w:rsid w:val="00DA5B53"/>
    <w:rsid w:val="00DA5E75"/>
    <w:rsid w:val="00DA691B"/>
    <w:rsid w:val="00DA6ACF"/>
    <w:rsid w:val="00DA6AD3"/>
    <w:rsid w:val="00DA6F47"/>
    <w:rsid w:val="00DA75AF"/>
    <w:rsid w:val="00DA76B0"/>
    <w:rsid w:val="00DA7F88"/>
    <w:rsid w:val="00DB08CA"/>
    <w:rsid w:val="00DB14A3"/>
    <w:rsid w:val="00DB165F"/>
    <w:rsid w:val="00DB171D"/>
    <w:rsid w:val="00DB1899"/>
    <w:rsid w:val="00DB1C93"/>
    <w:rsid w:val="00DB21CA"/>
    <w:rsid w:val="00DB2593"/>
    <w:rsid w:val="00DB3407"/>
    <w:rsid w:val="00DB3BCD"/>
    <w:rsid w:val="00DB4F35"/>
    <w:rsid w:val="00DB5FC8"/>
    <w:rsid w:val="00DB6FBE"/>
    <w:rsid w:val="00DB701A"/>
    <w:rsid w:val="00DB71AA"/>
    <w:rsid w:val="00DB72C9"/>
    <w:rsid w:val="00DB7597"/>
    <w:rsid w:val="00DB75BD"/>
    <w:rsid w:val="00DB7C14"/>
    <w:rsid w:val="00DB7E9B"/>
    <w:rsid w:val="00DC03A7"/>
    <w:rsid w:val="00DC0C00"/>
    <w:rsid w:val="00DC108E"/>
    <w:rsid w:val="00DC118D"/>
    <w:rsid w:val="00DC178D"/>
    <w:rsid w:val="00DC22A7"/>
    <w:rsid w:val="00DC288C"/>
    <w:rsid w:val="00DC3234"/>
    <w:rsid w:val="00DC3E89"/>
    <w:rsid w:val="00DC4340"/>
    <w:rsid w:val="00DC439D"/>
    <w:rsid w:val="00DC489A"/>
    <w:rsid w:val="00DC519F"/>
    <w:rsid w:val="00DC56AA"/>
    <w:rsid w:val="00DC71B2"/>
    <w:rsid w:val="00DC76C3"/>
    <w:rsid w:val="00DC76F4"/>
    <w:rsid w:val="00DC7F18"/>
    <w:rsid w:val="00DD0DA0"/>
    <w:rsid w:val="00DD1071"/>
    <w:rsid w:val="00DD1469"/>
    <w:rsid w:val="00DD19E0"/>
    <w:rsid w:val="00DD1D24"/>
    <w:rsid w:val="00DD21E8"/>
    <w:rsid w:val="00DD2456"/>
    <w:rsid w:val="00DD3494"/>
    <w:rsid w:val="00DD578D"/>
    <w:rsid w:val="00DD58D1"/>
    <w:rsid w:val="00DD5CCF"/>
    <w:rsid w:val="00DD62D8"/>
    <w:rsid w:val="00DD6F1E"/>
    <w:rsid w:val="00DD7439"/>
    <w:rsid w:val="00DD765C"/>
    <w:rsid w:val="00DD7DA0"/>
    <w:rsid w:val="00DE0813"/>
    <w:rsid w:val="00DE0CC3"/>
    <w:rsid w:val="00DE112D"/>
    <w:rsid w:val="00DE1336"/>
    <w:rsid w:val="00DE17BC"/>
    <w:rsid w:val="00DE23FA"/>
    <w:rsid w:val="00DE27F9"/>
    <w:rsid w:val="00DE2F0C"/>
    <w:rsid w:val="00DE2F2E"/>
    <w:rsid w:val="00DE2FBF"/>
    <w:rsid w:val="00DE379A"/>
    <w:rsid w:val="00DE3DC2"/>
    <w:rsid w:val="00DE3F8C"/>
    <w:rsid w:val="00DE5A71"/>
    <w:rsid w:val="00DE5C7A"/>
    <w:rsid w:val="00DE5F36"/>
    <w:rsid w:val="00DE6298"/>
    <w:rsid w:val="00DE762A"/>
    <w:rsid w:val="00DE7665"/>
    <w:rsid w:val="00DE7B9B"/>
    <w:rsid w:val="00DF0630"/>
    <w:rsid w:val="00DF092A"/>
    <w:rsid w:val="00DF0C10"/>
    <w:rsid w:val="00DF0EB9"/>
    <w:rsid w:val="00DF10C8"/>
    <w:rsid w:val="00DF2EF9"/>
    <w:rsid w:val="00DF32A2"/>
    <w:rsid w:val="00DF500B"/>
    <w:rsid w:val="00DF5439"/>
    <w:rsid w:val="00DF5715"/>
    <w:rsid w:val="00DF573A"/>
    <w:rsid w:val="00DF59E0"/>
    <w:rsid w:val="00DF62A5"/>
    <w:rsid w:val="00DF6714"/>
    <w:rsid w:val="00DF67CB"/>
    <w:rsid w:val="00DF67EF"/>
    <w:rsid w:val="00DF6842"/>
    <w:rsid w:val="00DF68EC"/>
    <w:rsid w:val="00DF6C40"/>
    <w:rsid w:val="00DF7902"/>
    <w:rsid w:val="00DF7B1C"/>
    <w:rsid w:val="00DF7BEA"/>
    <w:rsid w:val="00DF7DB2"/>
    <w:rsid w:val="00E0049A"/>
    <w:rsid w:val="00E00823"/>
    <w:rsid w:val="00E00B29"/>
    <w:rsid w:val="00E018F8"/>
    <w:rsid w:val="00E019B8"/>
    <w:rsid w:val="00E01B11"/>
    <w:rsid w:val="00E01E84"/>
    <w:rsid w:val="00E02460"/>
    <w:rsid w:val="00E02733"/>
    <w:rsid w:val="00E02832"/>
    <w:rsid w:val="00E03488"/>
    <w:rsid w:val="00E03D48"/>
    <w:rsid w:val="00E04517"/>
    <w:rsid w:val="00E05CBC"/>
    <w:rsid w:val="00E06939"/>
    <w:rsid w:val="00E06B59"/>
    <w:rsid w:val="00E07077"/>
    <w:rsid w:val="00E07646"/>
    <w:rsid w:val="00E07800"/>
    <w:rsid w:val="00E07CD6"/>
    <w:rsid w:val="00E07F20"/>
    <w:rsid w:val="00E10332"/>
    <w:rsid w:val="00E10917"/>
    <w:rsid w:val="00E10C2E"/>
    <w:rsid w:val="00E10F98"/>
    <w:rsid w:val="00E110E4"/>
    <w:rsid w:val="00E12616"/>
    <w:rsid w:val="00E12660"/>
    <w:rsid w:val="00E133F1"/>
    <w:rsid w:val="00E13B3B"/>
    <w:rsid w:val="00E1407F"/>
    <w:rsid w:val="00E15051"/>
    <w:rsid w:val="00E15617"/>
    <w:rsid w:val="00E15762"/>
    <w:rsid w:val="00E1607C"/>
    <w:rsid w:val="00E16353"/>
    <w:rsid w:val="00E168EC"/>
    <w:rsid w:val="00E172D0"/>
    <w:rsid w:val="00E1780B"/>
    <w:rsid w:val="00E17B1E"/>
    <w:rsid w:val="00E17F57"/>
    <w:rsid w:val="00E17FCA"/>
    <w:rsid w:val="00E20D2B"/>
    <w:rsid w:val="00E21BF1"/>
    <w:rsid w:val="00E2215C"/>
    <w:rsid w:val="00E22D1E"/>
    <w:rsid w:val="00E23699"/>
    <w:rsid w:val="00E23C5D"/>
    <w:rsid w:val="00E23DE2"/>
    <w:rsid w:val="00E24638"/>
    <w:rsid w:val="00E254B0"/>
    <w:rsid w:val="00E2556B"/>
    <w:rsid w:val="00E25700"/>
    <w:rsid w:val="00E25A51"/>
    <w:rsid w:val="00E25E37"/>
    <w:rsid w:val="00E25FE9"/>
    <w:rsid w:val="00E260FC"/>
    <w:rsid w:val="00E26644"/>
    <w:rsid w:val="00E2711C"/>
    <w:rsid w:val="00E2760C"/>
    <w:rsid w:val="00E31386"/>
    <w:rsid w:val="00E3289B"/>
    <w:rsid w:val="00E32EC1"/>
    <w:rsid w:val="00E33705"/>
    <w:rsid w:val="00E33D18"/>
    <w:rsid w:val="00E34594"/>
    <w:rsid w:val="00E345FD"/>
    <w:rsid w:val="00E3485C"/>
    <w:rsid w:val="00E348A9"/>
    <w:rsid w:val="00E349E3"/>
    <w:rsid w:val="00E35E20"/>
    <w:rsid w:val="00E35F5B"/>
    <w:rsid w:val="00E369CC"/>
    <w:rsid w:val="00E36E48"/>
    <w:rsid w:val="00E37520"/>
    <w:rsid w:val="00E37ECF"/>
    <w:rsid w:val="00E4085C"/>
    <w:rsid w:val="00E40CBE"/>
    <w:rsid w:val="00E40FDE"/>
    <w:rsid w:val="00E414D9"/>
    <w:rsid w:val="00E41D0E"/>
    <w:rsid w:val="00E42311"/>
    <w:rsid w:val="00E4279F"/>
    <w:rsid w:val="00E429DC"/>
    <w:rsid w:val="00E4326E"/>
    <w:rsid w:val="00E43C2E"/>
    <w:rsid w:val="00E449BE"/>
    <w:rsid w:val="00E44C27"/>
    <w:rsid w:val="00E44E88"/>
    <w:rsid w:val="00E456F6"/>
    <w:rsid w:val="00E47354"/>
    <w:rsid w:val="00E4755A"/>
    <w:rsid w:val="00E47B14"/>
    <w:rsid w:val="00E47E65"/>
    <w:rsid w:val="00E504B2"/>
    <w:rsid w:val="00E50615"/>
    <w:rsid w:val="00E510A5"/>
    <w:rsid w:val="00E5300B"/>
    <w:rsid w:val="00E53CF6"/>
    <w:rsid w:val="00E53EDA"/>
    <w:rsid w:val="00E546E7"/>
    <w:rsid w:val="00E5489D"/>
    <w:rsid w:val="00E54D25"/>
    <w:rsid w:val="00E5549E"/>
    <w:rsid w:val="00E558A4"/>
    <w:rsid w:val="00E55ACE"/>
    <w:rsid w:val="00E55E47"/>
    <w:rsid w:val="00E55EA7"/>
    <w:rsid w:val="00E55EAA"/>
    <w:rsid w:val="00E55F44"/>
    <w:rsid w:val="00E56632"/>
    <w:rsid w:val="00E60220"/>
    <w:rsid w:val="00E60421"/>
    <w:rsid w:val="00E60F08"/>
    <w:rsid w:val="00E6177D"/>
    <w:rsid w:val="00E61A5E"/>
    <w:rsid w:val="00E62498"/>
    <w:rsid w:val="00E6256A"/>
    <w:rsid w:val="00E62C92"/>
    <w:rsid w:val="00E63B35"/>
    <w:rsid w:val="00E63E07"/>
    <w:rsid w:val="00E647A9"/>
    <w:rsid w:val="00E64AAF"/>
    <w:rsid w:val="00E6621E"/>
    <w:rsid w:val="00E6623E"/>
    <w:rsid w:val="00E67018"/>
    <w:rsid w:val="00E6707F"/>
    <w:rsid w:val="00E70549"/>
    <w:rsid w:val="00E70640"/>
    <w:rsid w:val="00E70BC3"/>
    <w:rsid w:val="00E70C90"/>
    <w:rsid w:val="00E71C44"/>
    <w:rsid w:val="00E71DB3"/>
    <w:rsid w:val="00E721A0"/>
    <w:rsid w:val="00E73744"/>
    <w:rsid w:val="00E744A6"/>
    <w:rsid w:val="00E747C8"/>
    <w:rsid w:val="00E74C2D"/>
    <w:rsid w:val="00E74E79"/>
    <w:rsid w:val="00E74EDD"/>
    <w:rsid w:val="00E74F00"/>
    <w:rsid w:val="00E755E8"/>
    <w:rsid w:val="00E75A00"/>
    <w:rsid w:val="00E767A6"/>
    <w:rsid w:val="00E76932"/>
    <w:rsid w:val="00E76AB5"/>
    <w:rsid w:val="00E774A9"/>
    <w:rsid w:val="00E77713"/>
    <w:rsid w:val="00E77CBB"/>
    <w:rsid w:val="00E802F6"/>
    <w:rsid w:val="00E825F9"/>
    <w:rsid w:val="00E835E6"/>
    <w:rsid w:val="00E8461D"/>
    <w:rsid w:val="00E8466B"/>
    <w:rsid w:val="00E84701"/>
    <w:rsid w:val="00E84D09"/>
    <w:rsid w:val="00E851A1"/>
    <w:rsid w:val="00E857D5"/>
    <w:rsid w:val="00E8698A"/>
    <w:rsid w:val="00E86F6C"/>
    <w:rsid w:val="00E87456"/>
    <w:rsid w:val="00E87DC6"/>
    <w:rsid w:val="00E901AF"/>
    <w:rsid w:val="00E905D2"/>
    <w:rsid w:val="00E91692"/>
    <w:rsid w:val="00E91C24"/>
    <w:rsid w:val="00E91EA7"/>
    <w:rsid w:val="00E93BAD"/>
    <w:rsid w:val="00E949E1"/>
    <w:rsid w:val="00E9533E"/>
    <w:rsid w:val="00E955FC"/>
    <w:rsid w:val="00E95E34"/>
    <w:rsid w:val="00E9618F"/>
    <w:rsid w:val="00E967D3"/>
    <w:rsid w:val="00E96A20"/>
    <w:rsid w:val="00E978C0"/>
    <w:rsid w:val="00E97F49"/>
    <w:rsid w:val="00EA0261"/>
    <w:rsid w:val="00EA0E93"/>
    <w:rsid w:val="00EA1BD7"/>
    <w:rsid w:val="00EA1CD3"/>
    <w:rsid w:val="00EA2D1A"/>
    <w:rsid w:val="00EA3478"/>
    <w:rsid w:val="00EA3AC1"/>
    <w:rsid w:val="00EA4636"/>
    <w:rsid w:val="00EA47F8"/>
    <w:rsid w:val="00EA4A23"/>
    <w:rsid w:val="00EA4E42"/>
    <w:rsid w:val="00EA5041"/>
    <w:rsid w:val="00EA58AF"/>
    <w:rsid w:val="00EA6111"/>
    <w:rsid w:val="00EA69EE"/>
    <w:rsid w:val="00EA6A51"/>
    <w:rsid w:val="00EA734F"/>
    <w:rsid w:val="00EA77AD"/>
    <w:rsid w:val="00EA7A65"/>
    <w:rsid w:val="00EB0362"/>
    <w:rsid w:val="00EB0728"/>
    <w:rsid w:val="00EB0889"/>
    <w:rsid w:val="00EB0D09"/>
    <w:rsid w:val="00EB0ECF"/>
    <w:rsid w:val="00EB1196"/>
    <w:rsid w:val="00EB17DB"/>
    <w:rsid w:val="00EB1CB8"/>
    <w:rsid w:val="00EB3238"/>
    <w:rsid w:val="00EB3275"/>
    <w:rsid w:val="00EB4A26"/>
    <w:rsid w:val="00EB533E"/>
    <w:rsid w:val="00EB57DD"/>
    <w:rsid w:val="00EB58D5"/>
    <w:rsid w:val="00EB646E"/>
    <w:rsid w:val="00EB6CCC"/>
    <w:rsid w:val="00EB727C"/>
    <w:rsid w:val="00EC0B41"/>
    <w:rsid w:val="00EC38D2"/>
    <w:rsid w:val="00EC39D9"/>
    <w:rsid w:val="00EC3E0E"/>
    <w:rsid w:val="00EC4653"/>
    <w:rsid w:val="00EC467B"/>
    <w:rsid w:val="00EC48B2"/>
    <w:rsid w:val="00EC4AA9"/>
    <w:rsid w:val="00EC54C2"/>
    <w:rsid w:val="00EC5983"/>
    <w:rsid w:val="00EC5EA3"/>
    <w:rsid w:val="00EC5F4C"/>
    <w:rsid w:val="00EC6700"/>
    <w:rsid w:val="00EC69C7"/>
    <w:rsid w:val="00EC6F12"/>
    <w:rsid w:val="00EC7CFC"/>
    <w:rsid w:val="00ED03D8"/>
    <w:rsid w:val="00ED063D"/>
    <w:rsid w:val="00ED0D8C"/>
    <w:rsid w:val="00ED1D0C"/>
    <w:rsid w:val="00ED1F22"/>
    <w:rsid w:val="00ED2572"/>
    <w:rsid w:val="00ED433C"/>
    <w:rsid w:val="00ED6227"/>
    <w:rsid w:val="00ED65FD"/>
    <w:rsid w:val="00ED6723"/>
    <w:rsid w:val="00ED6D68"/>
    <w:rsid w:val="00ED6E06"/>
    <w:rsid w:val="00ED706B"/>
    <w:rsid w:val="00EE245F"/>
    <w:rsid w:val="00EE27CA"/>
    <w:rsid w:val="00EE2F17"/>
    <w:rsid w:val="00EE36C2"/>
    <w:rsid w:val="00EE38A6"/>
    <w:rsid w:val="00EE3BE0"/>
    <w:rsid w:val="00EE3E78"/>
    <w:rsid w:val="00EE4DEA"/>
    <w:rsid w:val="00EE5247"/>
    <w:rsid w:val="00EE52D2"/>
    <w:rsid w:val="00EE547E"/>
    <w:rsid w:val="00EE56DC"/>
    <w:rsid w:val="00EE5B6C"/>
    <w:rsid w:val="00EE5FEE"/>
    <w:rsid w:val="00EE604E"/>
    <w:rsid w:val="00EE61E8"/>
    <w:rsid w:val="00EE6CBF"/>
    <w:rsid w:val="00EE6E63"/>
    <w:rsid w:val="00EE6EDF"/>
    <w:rsid w:val="00EE74C2"/>
    <w:rsid w:val="00EE754E"/>
    <w:rsid w:val="00EE7F79"/>
    <w:rsid w:val="00EF14C2"/>
    <w:rsid w:val="00EF2047"/>
    <w:rsid w:val="00EF2B7F"/>
    <w:rsid w:val="00EF2FCA"/>
    <w:rsid w:val="00EF3049"/>
    <w:rsid w:val="00EF4065"/>
    <w:rsid w:val="00EF40D0"/>
    <w:rsid w:val="00EF556B"/>
    <w:rsid w:val="00EF5BC9"/>
    <w:rsid w:val="00EF638E"/>
    <w:rsid w:val="00EF6C82"/>
    <w:rsid w:val="00EF706C"/>
    <w:rsid w:val="00EF7328"/>
    <w:rsid w:val="00EF7505"/>
    <w:rsid w:val="00F00025"/>
    <w:rsid w:val="00F01466"/>
    <w:rsid w:val="00F015A8"/>
    <w:rsid w:val="00F018D1"/>
    <w:rsid w:val="00F01A26"/>
    <w:rsid w:val="00F01DD5"/>
    <w:rsid w:val="00F0215A"/>
    <w:rsid w:val="00F021BF"/>
    <w:rsid w:val="00F02C8A"/>
    <w:rsid w:val="00F03BEA"/>
    <w:rsid w:val="00F04508"/>
    <w:rsid w:val="00F04B99"/>
    <w:rsid w:val="00F05534"/>
    <w:rsid w:val="00F062A8"/>
    <w:rsid w:val="00F0651E"/>
    <w:rsid w:val="00F07694"/>
    <w:rsid w:val="00F07E13"/>
    <w:rsid w:val="00F10B98"/>
    <w:rsid w:val="00F10D61"/>
    <w:rsid w:val="00F10DC3"/>
    <w:rsid w:val="00F10F6C"/>
    <w:rsid w:val="00F11BDE"/>
    <w:rsid w:val="00F121EA"/>
    <w:rsid w:val="00F1220F"/>
    <w:rsid w:val="00F13772"/>
    <w:rsid w:val="00F15798"/>
    <w:rsid w:val="00F159F4"/>
    <w:rsid w:val="00F15FD4"/>
    <w:rsid w:val="00F161C2"/>
    <w:rsid w:val="00F1736A"/>
    <w:rsid w:val="00F17534"/>
    <w:rsid w:val="00F17748"/>
    <w:rsid w:val="00F17CEF"/>
    <w:rsid w:val="00F201AD"/>
    <w:rsid w:val="00F202AD"/>
    <w:rsid w:val="00F20BB0"/>
    <w:rsid w:val="00F21898"/>
    <w:rsid w:val="00F21B68"/>
    <w:rsid w:val="00F21EE5"/>
    <w:rsid w:val="00F2207A"/>
    <w:rsid w:val="00F22A79"/>
    <w:rsid w:val="00F23D02"/>
    <w:rsid w:val="00F23EBA"/>
    <w:rsid w:val="00F244AE"/>
    <w:rsid w:val="00F245B2"/>
    <w:rsid w:val="00F25B8B"/>
    <w:rsid w:val="00F25FA2"/>
    <w:rsid w:val="00F263FB"/>
    <w:rsid w:val="00F26DDA"/>
    <w:rsid w:val="00F30790"/>
    <w:rsid w:val="00F30B76"/>
    <w:rsid w:val="00F30C3E"/>
    <w:rsid w:val="00F31122"/>
    <w:rsid w:val="00F31286"/>
    <w:rsid w:val="00F31417"/>
    <w:rsid w:val="00F31B8B"/>
    <w:rsid w:val="00F31C76"/>
    <w:rsid w:val="00F322ED"/>
    <w:rsid w:val="00F3349B"/>
    <w:rsid w:val="00F336CA"/>
    <w:rsid w:val="00F33A3F"/>
    <w:rsid w:val="00F3429B"/>
    <w:rsid w:val="00F3496C"/>
    <w:rsid w:val="00F35320"/>
    <w:rsid w:val="00F35C98"/>
    <w:rsid w:val="00F35EA2"/>
    <w:rsid w:val="00F36226"/>
    <w:rsid w:val="00F368C4"/>
    <w:rsid w:val="00F36D8A"/>
    <w:rsid w:val="00F36E54"/>
    <w:rsid w:val="00F37004"/>
    <w:rsid w:val="00F370A7"/>
    <w:rsid w:val="00F376D2"/>
    <w:rsid w:val="00F37A94"/>
    <w:rsid w:val="00F37ACE"/>
    <w:rsid w:val="00F40FFC"/>
    <w:rsid w:val="00F41148"/>
    <w:rsid w:val="00F41C6E"/>
    <w:rsid w:val="00F41D41"/>
    <w:rsid w:val="00F42529"/>
    <w:rsid w:val="00F43F9C"/>
    <w:rsid w:val="00F44513"/>
    <w:rsid w:val="00F44596"/>
    <w:rsid w:val="00F447F9"/>
    <w:rsid w:val="00F44997"/>
    <w:rsid w:val="00F44A6B"/>
    <w:rsid w:val="00F45F3F"/>
    <w:rsid w:val="00F46619"/>
    <w:rsid w:val="00F46A92"/>
    <w:rsid w:val="00F46FEB"/>
    <w:rsid w:val="00F50CEE"/>
    <w:rsid w:val="00F51EE0"/>
    <w:rsid w:val="00F5217A"/>
    <w:rsid w:val="00F5229C"/>
    <w:rsid w:val="00F5255C"/>
    <w:rsid w:val="00F527DA"/>
    <w:rsid w:val="00F5305E"/>
    <w:rsid w:val="00F54375"/>
    <w:rsid w:val="00F54A2D"/>
    <w:rsid w:val="00F54DB6"/>
    <w:rsid w:val="00F55704"/>
    <w:rsid w:val="00F559F9"/>
    <w:rsid w:val="00F562DC"/>
    <w:rsid w:val="00F567D1"/>
    <w:rsid w:val="00F56D91"/>
    <w:rsid w:val="00F57477"/>
    <w:rsid w:val="00F57659"/>
    <w:rsid w:val="00F603C4"/>
    <w:rsid w:val="00F607C2"/>
    <w:rsid w:val="00F609C5"/>
    <w:rsid w:val="00F60C08"/>
    <w:rsid w:val="00F60CA2"/>
    <w:rsid w:val="00F6173D"/>
    <w:rsid w:val="00F61A65"/>
    <w:rsid w:val="00F62302"/>
    <w:rsid w:val="00F623AD"/>
    <w:rsid w:val="00F624FF"/>
    <w:rsid w:val="00F625AA"/>
    <w:rsid w:val="00F627C4"/>
    <w:rsid w:val="00F6291A"/>
    <w:rsid w:val="00F62AFF"/>
    <w:rsid w:val="00F63206"/>
    <w:rsid w:val="00F6484E"/>
    <w:rsid w:val="00F64B88"/>
    <w:rsid w:val="00F64E78"/>
    <w:rsid w:val="00F65EB1"/>
    <w:rsid w:val="00F661C5"/>
    <w:rsid w:val="00F66A45"/>
    <w:rsid w:val="00F70672"/>
    <w:rsid w:val="00F71A5D"/>
    <w:rsid w:val="00F730A1"/>
    <w:rsid w:val="00F73A86"/>
    <w:rsid w:val="00F73D6C"/>
    <w:rsid w:val="00F73ED3"/>
    <w:rsid w:val="00F74381"/>
    <w:rsid w:val="00F74906"/>
    <w:rsid w:val="00F74B02"/>
    <w:rsid w:val="00F75602"/>
    <w:rsid w:val="00F75630"/>
    <w:rsid w:val="00F75A31"/>
    <w:rsid w:val="00F75E61"/>
    <w:rsid w:val="00F75E94"/>
    <w:rsid w:val="00F764CD"/>
    <w:rsid w:val="00F76DC6"/>
    <w:rsid w:val="00F76E58"/>
    <w:rsid w:val="00F80835"/>
    <w:rsid w:val="00F8088A"/>
    <w:rsid w:val="00F80F06"/>
    <w:rsid w:val="00F80F09"/>
    <w:rsid w:val="00F8119A"/>
    <w:rsid w:val="00F8133F"/>
    <w:rsid w:val="00F81951"/>
    <w:rsid w:val="00F81B96"/>
    <w:rsid w:val="00F82554"/>
    <w:rsid w:val="00F83143"/>
    <w:rsid w:val="00F83676"/>
    <w:rsid w:val="00F84454"/>
    <w:rsid w:val="00F84993"/>
    <w:rsid w:val="00F85775"/>
    <w:rsid w:val="00F87038"/>
    <w:rsid w:val="00F87669"/>
    <w:rsid w:val="00F87730"/>
    <w:rsid w:val="00F902DC"/>
    <w:rsid w:val="00F90479"/>
    <w:rsid w:val="00F90896"/>
    <w:rsid w:val="00F9111D"/>
    <w:rsid w:val="00F91707"/>
    <w:rsid w:val="00F919B9"/>
    <w:rsid w:val="00F91ABD"/>
    <w:rsid w:val="00F923A6"/>
    <w:rsid w:val="00F92FDC"/>
    <w:rsid w:val="00F9358C"/>
    <w:rsid w:val="00F942F2"/>
    <w:rsid w:val="00F944D9"/>
    <w:rsid w:val="00F94E2F"/>
    <w:rsid w:val="00F94EEB"/>
    <w:rsid w:val="00F94EFE"/>
    <w:rsid w:val="00F95F7C"/>
    <w:rsid w:val="00FA0F18"/>
    <w:rsid w:val="00FA144E"/>
    <w:rsid w:val="00FA14F6"/>
    <w:rsid w:val="00FA1676"/>
    <w:rsid w:val="00FA16DC"/>
    <w:rsid w:val="00FA1956"/>
    <w:rsid w:val="00FA2043"/>
    <w:rsid w:val="00FA3DF2"/>
    <w:rsid w:val="00FA3E95"/>
    <w:rsid w:val="00FA49B5"/>
    <w:rsid w:val="00FA6322"/>
    <w:rsid w:val="00FA68C9"/>
    <w:rsid w:val="00FA71D1"/>
    <w:rsid w:val="00FA7609"/>
    <w:rsid w:val="00FA798E"/>
    <w:rsid w:val="00FA7DB6"/>
    <w:rsid w:val="00FB036B"/>
    <w:rsid w:val="00FB0B20"/>
    <w:rsid w:val="00FB0DEF"/>
    <w:rsid w:val="00FB0FB5"/>
    <w:rsid w:val="00FB1267"/>
    <w:rsid w:val="00FB1630"/>
    <w:rsid w:val="00FB1B56"/>
    <w:rsid w:val="00FB2166"/>
    <w:rsid w:val="00FB2E7F"/>
    <w:rsid w:val="00FB31EB"/>
    <w:rsid w:val="00FB3781"/>
    <w:rsid w:val="00FB37E4"/>
    <w:rsid w:val="00FB5E49"/>
    <w:rsid w:val="00FB6197"/>
    <w:rsid w:val="00FB6E5A"/>
    <w:rsid w:val="00FB762E"/>
    <w:rsid w:val="00FB7FE1"/>
    <w:rsid w:val="00FC0676"/>
    <w:rsid w:val="00FC18CA"/>
    <w:rsid w:val="00FC18E3"/>
    <w:rsid w:val="00FC20E6"/>
    <w:rsid w:val="00FC21CC"/>
    <w:rsid w:val="00FC2613"/>
    <w:rsid w:val="00FC269A"/>
    <w:rsid w:val="00FC2DAB"/>
    <w:rsid w:val="00FC2F43"/>
    <w:rsid w:val="00FC3FDE"/>
    <w:rsid w:val="00FC47FD"/>
    <w:rsid w:val="00FC49A0"/>
    <w:rsid w:val="00FC5079"/>
    <w:rsid w:val="00FC556C"/>
    <w:rsid w:val="00FC55B7"/>
    <w:rsid w:val="00FC57FC"/>
    <w:rsid w:val="00FC5F64"/>
    <w:rsid w:val="00FC6E39"/>
    <w:rsid w:val="00FD00C9"/>
    <w:rsid w:val="00FD0264"/>
    <w:rsid w:val="00FD05F8"/>
    <w:rsid w:val="00FD174D"/>
    <w:rsid w:val="00FD1E38"/>
    <w:rsid w:val="00FD1FAC"/>
    <w:rsid w:val="00FD2EC2"/>
    <w:rsid w:val="00FD40B5"/>
    <w:rsid w:val="00FD444C"/>
    <w:rsid w:val="00FD456D"/>
    <w:rsid w:val="00FD4C33"/>
    <w:rsid w:val="00FD54E6"/>
    <w:rsid w:val="00FD5828"/>
    <w:rsid w:val="00FD5AF0"/>
    <w:rsid w:val="00FD5B8B"/>
    <w:rsid w:val="00FD5EA1"/>
    <w:rsid w:val="00FD5F44"/>
    <w:rsid w:val="00FD75DE"/>
    <w:rsid w:val="00FD79D9"/>
    <w:rsid w:val="00FE0691"/>
    <w:rsid w:val="00FE0824"/>
    <w:rsid w:val="00FE09C0"/>
    <w:rsid w:val="00FE0AC1"/>
    <w:rsid w:val="00FE0F79"/>
    <w:rsid w:val="00FE10D4"/>
    <w:rsid w:val="00FE13E6"/>
    <w:rsid w:val="00FE17AC"/>
    <w:rsid w:val="00FE237F"/>
    <w:rsid w:val="00FE24F7"/>
    <w:rsid w:val="00FE2507"/>
    <w:rsid w:val="00FE27E9"/>
    <w:rsid w:val="00FE2E7A"/>
    <w:rsid w:val="00FE313D"/>
    <w:rsid w:val="00FE41DE"/>
    <w:rsid w:val="00FE49DB"/>
    <w:rsid w:val="00FE4D54"/>
    <w:rsid w:val="00FE59A5"/>
    <w:rsid w:val="00FE5E28"/>
    <w:rsid w:val="00FE6933"/>
    <w:rsid w:val="00FE6B89"/>
    <w:rsid w:val="00FE7228"/>
    <w:rsid w:val="00FE777C"/>
    <w:rsid w:val="00FE7A28"/>
    <w:rsid w:val="00FF0B8F"/>
    <w:rsid w:val="00FF1349"/>
    <w:rsid w:val="00FF171D"/>
    <w:rsid w:val="00FF1D02"/>
    <w:rsid w:val="00FF1FEA"/>
    <w:rsid w:val="00FF246E"/>
    <w:rsid w:val="00FF256F"/>
    <w:rsid w:val="00FF34FD"/>
    <w:rsid w:val="00FF37DF"/>
    <w:rsid w:val="00FF423E"/>
    <w:rsid w:val="00FF47AB"/>
    <w:rsid w:val="00FF4EE4"/>
    <w:rsid w:val="00FF5107"/>
    <w:rsid w:val="00FF5575"/>
    <w:rsid w:val="00FF5A69"/>
    <w:rsid w:val="00FF5C66"/>
    <w:rsid w:val="00FF604F"/>
    <w:rsid w:val="00FF66A9"/>
    <w:rsid w:val="00FF672E"/>
    <w:rsid w:val="00FF6915"/>
    <w:rsid w:val="00FF6A4A"/>
    <w:rsid w:val="00FF70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country-region"/>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DD747CC"/>
  <w15:docId w15:val="{9656D01C-CA4B-4660-81C7-9EE3FE60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toc 1" w:uiPriority="99"/>
    <w:lsdException w:name="toc 2" w:uiPriority="9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eading 1 Char2,Heading 1 Char1 Char,Heading 1 Char Char Char,Heading 1 Char Char1"/>
    <w:basedOn w:val="Normal"/>
    <w:link w:val="Heading1Char"/>
    <w:uiPriority w:val="99"/>
    <w:qFormat/>
    <w:pPr>
      <w:widowControl w:val="0"/>
      <w:numPr>
        <w:numId w:val="3"/>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link w:val="Heading3Char"/>
    <w:qFormat/>
    <w:pPr>
      <w:widowControl w:val="0"/>
      <w:spacing w:line="480" w:lineRule="atLeast"/>
      <w:jc w:val="both"/>
      <w:outlineLvl w:val="2"/>
    </w:pPr>
    <w:rPr>
      <w:rFonts w:ascii="Book Antiqua" w:hAnsi="Book Antiqua"/>
      <w:kern w:val="28"/>
      <w:szCs w:val="20"/>
      <w:lang w:val="en-GB"/>
    </w:rPr>
  </w:style>
  <w:style w:type="paragraph" w:styleId="Heading4">
    <w:name w:val="heading 4"/>
    <w:basedOn w:val="Normal"/>
    <w:next w:val="Normal"/>
    <w:link w:val="Heading4Char"/>
    <w:semiHidden/>
    <w:unhideWhenUsed/>
    <w:qFormat/>
    <w:rsid w:val="00065DF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qFormat/>
    <w:pPr>
      <w:keepNext/>
      <w:widowControl w:val="0"/>
      <w:numPr>
        <w:ilvl w:val="4"/>
        <w:numId w:val="8"/>
      </w:numPr>
      <w:spacing w:before="120" w:after="80" w:line="240" w:lineRule="atLeast"/>
      <w:jc w:val="both"/>
      <w:outlineLvl w:val="4"/>
    </w:pPr>
    <w:rPr>
      <w:rFonts w:ascii="Arial" w:eastAsia="Arial Unicode MS" w:hAnsi="Arial"/>
      <w:b/>
      <w:kern w:val="28"/>
      <w:szCs w:val="20"/>
      <w:lang w:val="en-US"/>
    </w:rPr>
  </w:style>
  <w:style w:type="paragraph" w:styleId="Heading6">
    <w:name w:val="heading 6"/>
    <w:basedOn w:val="Normal"/>
    <w:next w:val="BodyText"/>
    <w:qFormat/>
    <w:pPr>
      <w:keepNext/>
      <w:widowControl w:val="0"/>
      <w:numPr>
        <w:ilvl w:val="5"/>
        <w:numId w:val="8"/>
      </w:numPr>
      <w:spacing w:before="120" w:after="80" w:line="240" w:lineRule="atLeast"/>
      <w:jc w:val="both"/>
      <w:outlineLvl w:val="5"/>
    </w:pPr>
    <w:rPr>
      <w:rFonts w:ascii="Arial" w:eastAsia="Arial Unicode MS" w:hAnsi="Arial"/>
      <w:b/>
      <w:i/>
      <w:kern w:val="28"/>
      <w:szCs w:val="20"/>
      <w:lang w:val="en-US"/>
    </w:rPr>
  </w:style>
  <w:style w:type="paragraph" w:styleId="Heading7">
    <w:name w:val="heading 7"/>
    <w:basedOn w:val="Normal"/>
    <w:next w:val="BodyText"/>
    <w:qFormat/>
    <w:pPr>
      <w:keepNext/>
      <w:widowControl w:val="0"/>
      <w:numPr>
        <w:ilvl w:val="6"/>
        <w:numId w:val="8"/>
      </w:numPr>
      <w:spacing w:before="80" w:after="60" w:line="240" w:lineRule="atLeast"/>
      <w:jc w:val="both"/>
      <w:outlineLvl w:val="6"/>
    </w:pPr>
    <w:rPr>
      <w:rFonts w:ascii="Book Antiqua" w:hAnsi="Book Antiqua"/>
      <w:b/>
      <w:kern w:val="28"/>
      <w:szCs w:val="20"/>
      <w:lang w:val="en-US"/>
    </w:rPr>
  </w:style>
  <w:style w:type="paragraph" w:styleId="Heading8">
    <w:name w:val="heading 8"/>
    <w:basedOn w:val="Normal"/>
    <w:next w:val="BodyText"/>
    <w:qFormat/>
    <w:pPr>
      <w:keepNext/>
      <w:widowControl w:val="0"/>
      <w:numPr>
        <w:ilvl w:val="7"/>
        <w:numId w:val="8"/>
      </w:numPr>
      <w:spacing w:before="80" w:after="60" w:line="240" w:lineRule="atLeast"/>
      <w:jc w:val="both"/>
      <w:outlineLvl w:val="7"/>
    </w:pPr>
    <w:rPr>
      <w:rFonts w:ascii="Book Antiqua" w:hAnsi="Book Antiqua"/>
      <w:b/>
      <w:i/>
      <w:kern w:val="28"/>
      <w:szCs w:val="20"/>
      <w:lang w:val="en-US"/>
    </w:rPr>
  </w:style>
  <w:style w:type="paragraph" w:styleId="Heading9">
    <w:name w:val="heading 9"/>
    <w:basedOn w:val="Normal"/>
    <w:next w:val="Normal"/>
    <w:qFormat/>
    <w:rsid w:val="00AB19D9"/>
    <w:pPr>
      <w:keepNext/>
      <w:widowControl w:val="0"/>
      <w:tabs>
        <w:tab w:val="num" w:pos="3240"/>
      </w:tabs>
      <w:spacing w:before="80" w:after="60" w:line="240" w:lineRule="atLeast"/>
      <w:ind w:left="3240" w:hanging="360"/>
      <w:jc w:val="both"/>
      <w:outlineLvl w:val="8"/>
    </w:pPr>
    <w:rPr>
      <w:rFonts w:ascii="Book Antiqua" w:hAnsi="Book Antiqua"/>
      <w:b/>
      <w:i/>
      <w:kern w:val="28"/>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Georgia" w:hAnsi="Georgia"/>
      <w:b/>
      <w:sz w:val="28"/>
      <w:szCs w:val="20"/>
      <w:lang w:val="en-US"/>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link w:val="FootnoteTextChar"/>
    <w:uiPriority w:val="99"/>
    <w:pPr>
      <w:widowControl w:val="0"/>
      <w:spacing w:line="240" w:lineRule="atLeast"/>
      <w:ind w:left="720" w:hanging="720"/>
      <w:jc w:val="both"/>
    </w:pPr>
    <w:rPr>
      <w:rFonts w:ascii="Book Antiqua" w:hAnsi="Book Antiqua"/>
      <w:sz w:val="20"/>
      <w:szCs w:val="20"/>
    </w:rPr>
  </w:style>
  <w:style w:type="character" w:styleId="FootnoteReference">
    <w:name w:val="footnote reference"/>
    <w:uiPriority w:val="99"/>
    <w:semiHidden/>
    <w:rPr>
      <w:vertAlign w:val="superscript"/>
    </w:rPr>
  </w:style>
  <w:style w:type="paragraph" w:customStyle="1" w:styleId="Quote1">
    <w:name w:val="Quote1"/>
    <w:basedOn w:val="Normal"/>
    <w:link w:val="Quote1Char"/>
    <w:pPr>
      <w:widowControl w:val="0"/>
      <w:spacing w:after="240" w:line="240" w:lineRule="atLeast"/>
      <w:ind w:left="1541" w:right="720" w:hanging="101"/>
      <w:jc w:val="both"/>
    </w:pPr>
    <w:rPr>
      <w:rFonts w:ascii="Book Antiqua" w:hAnsi="Book Antiqua"/>
      <w:szCs w:val="20"/>
    </w:rPr>
  </w:style>
  <w:style w:type="paragraph" w:customStyle="1" w:styleId="Level2">
    <w:name w:val="Level 2"/>
    <w:basedOn w:val="Normal"/>
    <w:next w:val="Heading1"/>
    <w:pPr>
      <w:widowControl w:val="0"/>
      <w:spacing w:before="240"/>
      <w:ind w:left="720"/>
      <w:jc w:val="both"/>
    </w:pPr>
    <w:rPr>
      <w:rFonts w:ascii="Book Antiqua" w:hAnsi="Book Antiqua"/>
      <w:b/>
      <w:szCs w:val="20"/>
    </w:rPr>
  </w:style>
  <w:style w:type="paragraph" w:customStyle="1" w:styleId="Footer-Web">
    <w:name w:val="Footer-Web"/>
    <w:basedOn w:val="Footer"/>
    <w:rsid w:val="00701F42"/>
    <w:pPr>
      <w:widowControl w:val="0"/>
      <w:tabs>
        <w:tab w:val="clear" w:pos="4153"/>
        <w:tab w:val="clear" w:pos="8306"/>
        <w:tab w:val="center" w:pos="4896"/>
        <w:tab w:val="right" w:pos="9792"/>
      </w:tabs>
    </w:pPr>
    <w:rPr>
      <w:rFonts w:ascii="Book Antiqua" w:hAnsi="Book Antiqua"/>
      <w:sz w:val="18"/>
      <w:szCs w:val="20"/>
      <w:lang w:eastAsia="en-AU"/>
    </w:rPr>
  </w:style>
  <w:style w:type="paragraph" w:customStyle="1" w:styleId="Normal-Indent">
    <w:name w:val="Normal - Indent"/>
    <w:basedOn w:val="Normal"/>
    <w:rsid w:val="00EF3049"/>
    <w:pPr>
      <w:widowControl w:val="0"/>
      <w:spacing w:line="480" w:lineRule="atLeast"/>
      <w:ind w:left="720"/>
      <w:jc w:val="both"/>
    </w:pPr>
    <w:rPr>
      <w:rFonts w:ascii="Book Antiqua" w:hAnsi="Book Antiqua"/>
      <w:szCs w:val="20"/>
    </w:rPr>
  </w:style>
  <w:style w:type="character" w:customStyle="1" w:styleId="Heading1Char">
    <w:name w:val="Heading 1 Char"/>
    <w:aliases w:val="Heading 1 Char2 Char1,Heading 1 Char1 Char Char1,Heading 1 Char Char Char Char1,Heading 1 Char Char1 Char1"/>
    <w:link w:val="Heading1"/>
    <w:uiPriority w:val="99"/>
    <w:rsid w:val="00EF3049"/>
    <w:rPr>
      <w:rFonts w:ascii="Book Antiqua" w:hAnsi="Book Antiqua"/>
      <w:kern w:val="28"/>
      <w:sz w:val="24"/>
      <w:lang w:eastAsia="en-US"/>
    </w:rPr>
  </w:style>
  <w:style w:type="character" w:customStyle="1" w:styleId="Quote1Char">
    <w:name w:val="Quote1 Char"/>
    <w:link w:val="Quote1"/>
    <w:rsid w:val="00EF3049"/>
    <w:rPr>
      <w:rFonts w:ascii="Book Antiqua" w:hAnsi="Book Antiqua"/>
      <w:sz w:val="24"/>
      <w:lang w:val="en-AU" w:eastAsia="en-US" w:bidi="ar-SA"/>
    </w:rPr>
  </w:style>
  <w:style w:type="paragraph" w:styleId="TOC1">
    <w:name w:val="toc 1"/>
    <w:basedOn w:val="Normal"/>
    <w:next w:val="Normal"/>
    <w:autoRedefine/>
    <w:uiPriority w:val="99"/>
    <w:semiHidden/>
    <w:rsid w:val="00704573"/>
    <w:pPr>
      <w:widowControl w:val="0"/>
      <w:tabs>
        <w:tab w:val="right" w:leader="dot" w:pos="9753"/>
      </w:tabs>
      <w:spacing w:before="120"/>
      <w:jc w:val="both"/>
    </w:pPr>
    <w:rPr>
      <w:rFonts w:ascii="Book Antiqua" w:hAnsi="Book Antiqua"/>
      <w:b/>
      <w:noProof/>
      <w:szCs w:val="20"/>
    </w:rPr>
  </w:style>
  <w:style w:type="paragraph" w:styleId="TOC2">
    <w:name w:val="toc 2"/>
    <w:basedOn w:val="Normal"/>
    <w:next w:val="Normal"/>
    <w:autoRedefine/>
    <w:uiPriority w:val="99"/>
    <w:semiHidden/>
    <w:rsid w:val="00704573"/>
    <w:pPr>
      <w:widowControl w:val="0"/>
      <w:tabs>
        <w:tab w:val="right" w:leader="dot" w:pos="9753"/>
      </w:tabs>
      <w:ind w:left="360"/>
      <w:jc w:val="both"/>
    </w:pPr>
    <w:rPr>
      <w:rFonts w:ascii="Book Antiqua" w:hAnsi="Book Antiqua"/>
      <w:noProof/>
      <w:szCs w:val="20"/>
    </w:rPr>
  </w:style>
  <w:style w:type="character" w:styleId="Hyperlink">
    <w:name w:val="Hyperlink"/>
    <w:uiPriority w:val="99"/>
    <w:rsid w:val="00704573"/>
    <w:rPr>
      <w:color w:val="0000FF"/>
      <w:u w:val="single"/>
    </w:rPr>
  </w:style>
  <w:style w:type="paragraph" w:customStyle="1" w:styleId="Normal-Cover">
    <w:name w:val="Normal-Cover"/>
    <w:basedOn w:val="Normal"/>
    <w:rsid w:val="009B37E3"/>
    <w:pPr>
      <w:widowControl w:val="0"/>
    </w:pPr>
    <w:rPr>
      <w:rFonts w:ascii="Book Antiqua" w:hAnsi="Book Antiqua"/>
      <w:szCs w:val="20"/>
      <w:lang w:eastAsia="en-AU"/>
    </w:rPr>
  </w:style>
  <w:style w:type="paragraph" w:styleId="ListNumber">
    <w:name w:val="List Number"/>
    <w:basedOn w:val="Normal"/>
    <w:next w:val="Normal"/>
    <w:rsid w:val="00BD5912"/>
    <w:pPr>
      <w:numPr>
        <w:numId w:val="1"/>
      </w:numPr>
      <w:spacing w:line="280" w:lineRule="exact"/>
      <w:ind w:hanging="709"/>
      <w:jc w:val="both"/>
    </w:pPr>
    <w:rPr>
      <w:sz w:val="26"/>
      <w:szCs w:val="26"/>
      <w:lang w:val="en-GB"/>
    </w:rPr>
  </w:style>
  <w:style w:type="paragraph" w:customStyle="1" w:styleId="leftright">
    <w:name w:val="leftright"/>
    <w:basedOn w:val="Normal"/>
    <w:rsid w:val="004258E8"/>
    <w:pPr>
      <w:tabs>
        <w:tab w:val="left" w:pos="720"/>
        <w:tab w:val="left" w:pos="1440"/>
        <w:tab w:val="left" w:pos="2160"/>
        <w:tab w:val="left" w:pos="2880"/>
        <w:tab w:val="left" w:pos="3600"/>
        <w:tab w:val="left" w:pos="4321"/>
        <w:tab w:val="left" w:pos="5041"/>
        <w:tab w:val="left" w:pos="5761"/>
        <w:tab w:val="left" w:pos="6481"/>
        <w:tab w:val="left" w:pos="7201"/>
      </w:tabs>
      <w:spacing w:after="240" w:line="280" w:lineRule="exact"/>
      <w:ind w:left="720"/>
      <w:jc w:val="both"/>
    </w:pPr>
    <w:rPr>
      <w:sz w:val="26"/>
      <w:szCs w:val="26"/>
    </w:rPr>
  </w:style>
  <w:style w:type="paragraph" w:styleId="BalloonText">
    <w:name w:val="Balloon Text"/>
    <w:basedOn w:val="Normal"/>
    <w:semiHidden/>
    <w:rsid w:val="00970F33"/>
    <w:rPr>
      <w:rFonts w:ascii="Tahoma" w:hAnsi="Tahoma" w:cs="Tahoma"/>
      <w:sz w:val="16"/>
      <w:szCs w:val="16"/>
    </w:rPr>
  </w:style>
  <w:style w:type="character" w:customStyle="1" w:styleId="Char">
    <w:name w:val="Char"/>
    <w:rsid w:val="001B7502"/>
    <w:rPr>
      <w:rFonts w:ascii="Book Antiqua" w:hAnsi="Book Antiqua"/>
      <w:kern w:val="28"/>
      <w:sz w:val="24"/>
      <w:lang w:val="en-AU" w:eastAsia="en-US" w:bidi="ar-SA"/>
    </w:rPr>
  </w:style>
  <w:style w:type="paragraph" w:customStyle="1" w:styleId="Catchwords">
    <w:name w:val="Catchwords"/>
    <w:basedOn w:val="Normal"/>
    <w:rsid w:val="00AF7766"/>
    <w:pPr>
      <w:widowControl w:val="0"/>
      <w:jc w:val="both"/>
    </w:pPr>
    <w:rPr>
      <w:rFonts w:ascii="Book Antiqua" w:hAnsi="Book Antiqua"/>
      <w:szCs w:val="20"/>
    </w:rPr>
  </w:style>
  <w:style w:type="character" w:customStyle="1" w:styleId="CharChar">
    <w:name w:val="Char Char"/>
    <w:rsid w:val="00AF7766"/>
    <w:rPr>
      <w:rFonts w:ascii="Book Antiqua" w:hAnsi="Book Antiqua"/>
      <w:kern w:val="28"/>
      <w:sz w:val="24"/>
      <w:lang w:val="en-AU" w:eastAsia="en-US" w:bidi="ar-SA"/>
    </w:rPr>
  </w:style>
  <w:style w:type="character" w:customStyle="1" w:styleId="FootnoteTextChar">
    <w:name w:val="Footnote Text Char"/>
    <w:link w:val="FootnoteText"/>
    <w:uiPriority w:val="99"/>
    <w:locked/>
    <w:rsid w:val="00C352F3"/>
    <w:rPr>
      <w:rFonts w:ascii="Book Antiqua" w:hAnsi="Book Antiqua"/>
      <w:lang w:val="en-AU" w:eastAsia="en-US" w:bidi="ar-SA"/>
    </w:rPr>
  </w:style>
  <w:style w:type="character" w:customStyle="1" w:styleId="CharCharChar">
    <w:name w:val="Char Char Char"/>
    <w:aliases w:val="Heading 1 Char2 Char,Heading 1 Char1 Char Char,Heading 1 Char Char Char Char,Heading 1 Char Char1 Char"/>
    <w:rsid w:val="00951DD0"/>
    <w:rPr>
      <w:rFonts w:ascii="Book Antiqua" w:hAnsi="Book Antiqua"/>
      <w:kern w:val="28"/>
      <w:sz w:val="24"/>
      <w:lang w:val="en-AU" w:eastAsia="en-US" w:bidi="ar-SA"/>
    </w:rPr>
  </w:style>
  <w:style w:type="paragraph" w:customStyle="1" w:styleId="Level1">
    <w:name w:val="Level 1"/>
    <w:basedOn w:val="Normal"/>
    <w:next w:val="Heading1"/>
    <w:rsid w:val="00951DD0"/>
    <w:pPr>
      <w:widowControl w:val="0"/>
      <w:spacing w:before="240"/>
      <w:ind w:left="720"/>
      <w:jc w:val="both"/>
    </w:pPr>
    <w:rPr>
      <w:rFonts w:ascii="Book Antiqua" w:hAnsi="Book Antiqua"/>
      <w:b/>
      <w:szCs w:val="20"/>
      <w:u w:val="single"/>
    </w:rPr>
  </w:style>
  <w:style w:type="paragraph" w:customStyle="1" w:styleId="Level3">
    <w:name w:val="Level 3"/>
    <w:basedOn w:val="Normal"/>
    <w:next w:val="Heading1"/>
    <w:rsid w:val="00951DD0"/>
    <w:pPr>
      <w:widowControl w:val="0"/>
      <w:spacing w:before="240"/>
      <w:ind w:left="720"/>
      <w:jc w:val="both"/>
    </w:pPr>
    <w:rPr>
      <w:rFonts w:ascii="Book Antiqua" w:hAnsi="Book Antiqua"/>
      <w:b/>
      <w:i/>
      <w:szCs w:val="20"/>
    </w:rPr>
  </w:style>
  <w:style w:type="character" w:customStyle="1" w:styleId="italic1">
    <w:name w:val="italic1"/>
    <w:rsid w:val="00951DD0"/>
    <w:rPr>
      <w:i/>
      <w:iCs/>
    </w:rPr>
  </w:style>
  <w:style w:type="paragraph" w:customStyle="1" w:styleId="Quote2">
    <w:name w:val="Quote2"/>
    <w:basedOn w:val="Quote1"/>
    <w:rsid w:val="00727D20"/>
    <w:pPr>
      <w:ind w:left="2160" w:hanging="619"/>
    </w:pPr>
  </w:style>
  <w:style w:type="paragraph" w:customStyle="1" w:styleId="DraftHeading2">
    <w:name w:val="Draft Heading 2"/>
    <w:basedOn w:val="Normal"/>
    <w:next w:val="Normal"/>
    <w:link w:val="DraftHeading2Char"/>
    <w:rsid w:val="008F5F41"/>
    <w:pPr>
      <w:overflowPunct w:val="0"/>
      <w:autoSpaceDE w:val="0"/>
      <w:autoSpaceDN w:val="0"/>
      <w:adjustRightInd w:val="0"/>
      <w:spacing w:before="120"/>
      <w:textAlignment w:val="baseline"/>
    </w:pPr>
    <w:rPr>
      <w:szCs w:val="20"/>
    </w:rPr>
  </w:style>
  <w:style w:type="paragraph" w:customStyle="1" w:styleId="DraftHeading3">
    <w:name w:val="Draft Heading 3"/>
    <w:basedOn w:val="Normal"/>
    <w:next w:val="Normal"/>
    <w:rsid w:val="008F5F41"/>
    <w:pPr>
      <w:overflowPunct w:val="0"/>
      <w:autoSpaceDE w:val="0"/>
      <w:autoSpaceDN w:val="0"/>
      <w:adjustRightInd w:val="0"/>
      <w:spacing w:before="120"/>
      <w:textAlignment w:val="baseline"/>
    </w:pPr>
    <w:rPr>
      <w:szCs w:val="20"/>
    </w:rPr>
  </w:style>
  <w:style w:type="paragraph" w:customStyle="1" w:styleId="DraftHeading4">
    <w:name w:val="Draft Heading 4"/>
    <w:basedOn w:val="Normal"/>
    <w:next w:val="Normal"/>
    <w:rsid w:val="00066CC5"/>
    <w:pPr>
      <w:overflowPunct w:val="0"/>
      <w:autoSpaceDE w:val="0"/>
      <w:autoSpaceDN w:val="0"/>
      <w:adjustRightInd w:val="0"/>
      <w:spacing w:before="120"/>
      <w:textAlignment w:val="baseline"/>
    </w:pPr>
    <w:rPr>
      <w:szCs w:val="20"/>
    </w:rPr>
  </w:style>
  <w:style w:type="paragraph" w:customStyle="1" w:styleId="ShoulderReference">
    <w:name w:val="Shoulder Reference"/>
    <w:next w:val="Normal"/>
    <w:rsid w:val="00066CC5"/>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DraftDefinition2">
    <w:name w:val="Draft Definition 2"/>
    <w:next w:val="Normal"/>
    <w:rsid w:val="00066CC5"/>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styleId="TOC3">
    <w:name w:val="toc 3"/>
    <w:basedOn w:val="Normal"/>
    <w:next w:val="Normal"/>
    <w:autoRedefine/>
    <w:semiHidden/>
    <w:rsid w:val="00961014"/>
    <w:pPr>
      <w:ind w:left="480"/>
    </w:pPr>
  </w:style>
  <w:style w:type="paragraph" w:customStyle="1" w:styleId="BodySectionSub">
    <w:name w:val="Body Section (Sub)"/>
    <w:next w:val="Normal"/>
    <w:link w:val="BodySectionSubChar"/>
    <w:rsid w:val="007C10BC"/>
    <w:pPr>
      <w:overflowPunct w:val="0"/>
      <w:autoSpaceDE w:val="0"/>
      <w:autoSpaceDN w:val="0"/>
      <w:adjustRightInd w:val="0"/>
      <w:spacing w:before="120"/>
      <w:ind w:left="1361"/>
      <w:textAlignment w:val="baseline"/>
    </w:pPr>
    <w:rPr>
      <w:sz w:val="24"/>
      <w:lang w:eastAsia="en-US"/>
    </w:rPr>
  </w:style>
  <w:style w:type="character" w:customStyle="1" w:styleId="defterm">
    <w:name w:val="defterm"/>
    <w:rsid w:val="007C10BC"/>
    <w:rPr>
      <w:b/>
      <w:bCs/>
      <w:i/>
      <w:iCs/>
    </w:rPr>
  </w:style>
  <w:style w:type="character" w:customStyle="1" w:styleId="b">
    <w:name w:val="b"/>
    <w:rsid w:val="007C10BC"/>
    <w:rPr>
      <w:b/>
      <w:bCs/>
    </w:rPr>
  </w:style>
  <w:style w:type="character" w:styleId="Emphasis">
    <w:name w:val="Emphasis"/>
    <w:uiPriority w:val="20"/>
    <w:qFormat/>
    <w:rsid w:val="0042616E"/>
    <w:rPr>
      <w:b/>
      <w:bCs/>
      <w:i w:val="0"/>
      <w:iCs w:val="0"/>
    </w:rPr>
  </w:style>
  <w:style w:type="paragraph" w:styleId="NormalWeb">
    <w:name w:val="Normal (Web)"/>
    <w:basedOn w:val="Normal"/>
    <w:uiPriority w:val="99"/>
    <w:rsid w:val="003776D2"/>
    <w:pPr>
      <w:spacing w:before="100" w:beforeAutospacing="1" w:after="100" w:afterAutospacing="1"/>
    </w:pPr>
    <w:rPr>
      <w:color w:val="000000"/>
      <w:lang w:eastAsia="en-AU"/>
    </w:rPr>
  </w:style>
  <w:style w:type="paragraph" w:customStyle="1" w:styleId="Bullet">
    <w:name w:val="Bullet"/>
    <w:basedOn w:val="Normal"/>
    <w:rsid w:val="009D486E"/>
    <w:pPr>
      <w:widowControl w:val="0"/>
      <w:numPr>
        <w:numId w:val="34"/>
      </w:numPr>
      <w:tabs>
        <w:tab w:val="clear" w:pos="2291"/>
        <w:tab w:val="left" w:pos="2007"/>
      </w:tabs>
      <w:spacing w:before="120" w:after="120" w:line="400" w:lineRule="atLeast"/>
      <w:ind w:left="2007" w:right="567" w:hanging="567"/>
      <w:jc w:val="both"/>
    </w:pPr>
    <w:rPr>
      <w:rFonts w:ascii="Book Antiqua" w:hAnsi="Book Antiqua"/>
      <w:szCs w:val="20"/>
    </w:rPr>
  </w:style>
  <w:style w:type="table" w:styleId="TableGrid">
    <w:name w:val="Table Grid"/>
    <w:basedOn w:val="TableNormal"/>
    <w:rsid w:val="00F73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Bullet point,L,Recommendation,DDM Gen Text,List Paragraph - bullets,NFP GP Bulleted List,bullet point list,Bullet points,Content descriptions,Bullet Point,Number,List Paragraph111,F5 List Paragraph"/>
    <w:basedOn w:val="Normal"/>
    <w:link w:val="ListParagraphChar"/>
    <w:uiPriority w:val="34"/>
    <w:qFormat/>
    <w:rsid w:val="0028493B"/>
    <w:pPr>
      <w:ind w:left="720"/>
    </w:pPr>
    <w:rPr>
      <w:szCs w:val="20"/>
    </w:rPr>
  </w:style>
  <w:style w:type="table" w:customStyle="1" w:styleId="TableGrid0">
    <w:name w:val="TableGrid"/>
    <w:rsid w:val="00B975C7"/>
    <w:rPr>
      <w:rFonts w:ascii="Calibri" w:hAnsi="Calibr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CB2764"/>
    <w:pPr>
      <w:spacing w:line="259" w:lineRule="auto"/>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CB2764"/>
    <w:rPr>
      <w:rFonts w:ascii="Book Antiqua" w:eastAsia="Book Antiqua" w:hAnsi="Book Antiqua" w:cs="Book Antiqua"/>
      <w:color w:val="000000"/>
      <w:szCs w:val="22"/>
    </w:rPr>
  </w:style>
  <w:style w:type="character" w:customStyle="1" w:styleId="footnotemark">
    <w:name w:val="footnote mark"/>
    <w:hidden/>
    <w:rsid w:val="00CB2764"/>
    <w:rPr>
      <w:rFonts w:ascii="Book Antiqua" w:eastAsia="Book Antiqua" w:hAnsi="Book Antiqua" w:cs="Book Antiqua"/>
      <w:color w:val="000000"/>
      <w:sz w:val="20"/>
      <w:vertAlign w:val="superscript"/>
    </w:rPr>
  </w:style>
  <w:style w:type="character" w:customStyle="1" w:styleId="bnwrappedspan">
    <w:name w:val="bn_wrapped_span"/>
    <w:rsid w:val="0058391B"/>
  </w:style>
  <w:style w:type="character" w:styleId="UnresolvedMention">
    <w:name w:val="Unresolved Mention"/>
    <w:uiPriority w:val="99"/>
    <w:semiHidden/>
    <w:unhideWhenUsed/>
    <w:rsid w:val="00FA71D1"/>
    <w:rPr>
      <w:color w:val="605E5C"/>
      <w:shd w:val="clear" w:color="auto" w:fill="E1DFDD"/>
    </w:rPr>
  </w:style>
  <w:style w:type="character" w:styleId="FollowedHyperlink">
    <w:name w:val="FollowedHyperlink"/>
    <w:uiPriority w:val="99"/>
    <w:rsid w:val="0022246F"/>
    <w:rPr>
      <w:color w:val="954F72"/>
      <w:u w:val="single"/>
    </w:rPr>
  </w:style>
  <w:style w:type="character" w:customStyle="1" w:styleId="Heading2Char">
    <w:name w:val="Heading 2 Char"/>
    <w:link w:val="Heading2"/>
    <w:rsid w:val="005A00C5"/>
    <w:rPr>
      <w:rFonts w:ascii="Book Antiqua" w:hAnsi="Book Antiqua"/>
      <w:kern w:val="28"/>
      <w:sz w:val="24"/>
      <w:lang w:val="en-GB" w:eastAsia="en-US"/>
    </w:rPr>
  </w:style>
  <w:style w:type="paragraph" w:customStyle="1" w:styleId="xmsonormal">
    <w:name w:val="x_msonormal"/>
    <w:basedOn w:val="Normal"/>
    <w:rsid w:val="00330558"/>
    <w:pPr>
      <w:spacing w:before="100" w:beforeAutospacing="1" w:after="100" w:afterAutospacing="1"/>
    </w:pPr>
    <w:rPr>
      <w:lang w:eastAsia="en-AU"/>
    </w:rPr>
  </w:style>
  <w:style w:type="character" w:customStyle="1" w:styleId="DraftHeading2Char">
    <w:name w:val="Draft Heading 2 Char"/>
    <w:link w:val="DraftHeading2"/>
    <w:locked/>
    <w:rsid w:val="006B140A"/>
    <w:rPr>
      <w:sz w:val="24"/>
      <w:lang w:eastAsia="en-US"/>
    </w:rPr>
  </w:style>
  <w:style w:type="character" w:customStyle="1" w:styleId="DraftHeading1Char">
    <w:name w:val="Draft Heading 1 Char"/>
    <w:link w:val="DraftHeading1"/>
    <w:locked/>
    <w:rsid w:val="00873D30"/>
    <w:rPr>
      <w:b/>
      <w:sz w:val="24"/>
      <w:szCs w:val="24"/>
      <w:lang w:eastAsia="en-US"/>
    </w:rPr>
  </w:style>
  <w:style w:type="paragraph" w:customStyle="1" w:styleId="DraftHeading1">
    <w:name w:val="Draft Heading 1"/>
    <w:basedOn w:val="Normal"/>
    <w:next w:val="Normal"/>
    <w:link w:val="DraftHeading1Char"/>
    <w:rsid w:val="00873D30"/>
    <w:pPr>
      <w:overflowPunct w:val="0"/>
      <w:autoSpaceDE w:val="0"/>
      <w:autoSpaceDN w:val="0"/>
      <w:adjustRightInd w:val="0"/>
      <w:spacing w:before="120"/>
      <w:outlineLvl w:val="2"/>
    </w:pPr>
    <w:rPr>
      <w:b/>
    </w:rPr>
  </w:style>
  <w:style w:type="paragraph" w:customStyle="1" w:styleId="DraftHeading5">
    <w:name w:val="Draft Heading 5"/>
    <w:basedOn w:val="Normal"/>
    <w:next w:val="Normal"/>
    <w:rsid w:val="00873D30"/>
    <w:pPr>
      <w:overflowPunct w:val="0"/>
      <w:autoSpaceDE w:val="0"/>
      <w:autoSpaceDN w:val="0"/>
      <w:adjustRightInd w:val="0"/>
      <w:spacing w:before="120"/>
    </w:pPr>
    <w:rPr>
      <w:szCs w:val="20"/>
    </w:rPr>
  </w:style>
  <w:style w:type="character" w:styleId="CommentReference">
    <w:name w:val="annotation reference"/>
    <w:rsid w:val="00FD79D9"/>
    <w:rPr>
      <w:sz w:val="16"/>
      <w:szCs w:val="16"/>
    </w:rPr>
  </w:style>
  <w:style w:type="paragraph" w:styleId="CommentText">
    <w:name w:val="annotation text"/>
    <w:basedOn w:val="Normal"/>
    <w:link w:val="CommentTextChar"/>
    <w:rsid w:val="00FD79D9"/>
    <w:rPr>
      <w:sz w:val="20"/>
      <w:szCs w:val="20"/>
    </w:rPr>
  </w:style>
  <w:style w:type="character" w:customStyle="1" w:styleId="CommentTextChar">
    <w:name w:val="Comment Text Char"/>
    <w:link w:val="CommentText"/>
    <w:rsid w:val="00FD79D9"/>
    <w:rPr>
      <w:lang w:eastAsia="en-US"/>
    </w:rPr>
  </w:style>
  <w:style w:type="paragraph" w:styleId="CommentSubject">
    <w:name w:val="annotation subject"/>
    <w:basedOn w:val="CommentText"/>
    <w:next w:val="CommentText"/>
    <w:link w:val="CommentSubjectChar"/>
    <w:rsid w:val="00036D92"/>
    <w:rPr>
      <w:b/>
      <w:bCs/>
    </w:rPr>
  </w:style>
  <w:style w:type="character" w:customStyle="1" w:styleId="CommentSubjectChar">
    <w:name w:val="Comment Subject Char"/>
    <w:basedOn w:val="CommentTextChar"/>
    <w:link w:val="CommentSubject"/>
    <w:rsid w:val="00036D92"/>
    <w:rPr>
      <w:b/>
      <w:bCs/>
      <w:lang w:eastAsia="en-US"/>
    </w:rPr>
  </w:style>
  <w:style w:type="paragraph" w:customStyle="1" w:styleId="jade-outdent">
    <w:name w:val="jade-outdent"/>
    <w:basedOn w:val="Normal"/>
    <w:rsid w:val="0032248F"/>
    <w:pPr>
      <w:spacing w:before="100" w:beforeAutospacing="1" w:after="100" w:afterAutospacing="1"/>
    </w:pPr>
    <w:rPr>
      <w:lang w:eastAsia="en-AU"/>
    </w:rPr>
  </w:style>
  <w:style w:type="character" w:customStyle="1" w:styleId="jade-ts-9">
    <w:name w:val="jade-ts-9"/>
    <w:basedOn w:val="DefaultParagraphFont"/>
    <w:rsid w:val="0032248F"/>
  </w:style>
  <w:style w:type="paragraph" w:customStyle="1" w:styleId="jade-noverticalmargins">
    <w:name w:val="jade-noverticalmargins"/>
    <w:basedOn w:val="Normal"/>
    <w:rsid w:val="0032248F"/>
    <w:pPr>
      <w:spacing w:before="100" w:beforeAutospacing="1" w:after="100" w:afterAutospacing="1"/>
    </w:pPr>
    <w:rPr>
      <w:lang w:eastAsia="en-AU"/>
    </w:rPr>
  </w:style>
  <w:style w:type="character" w:customStyle="1" w:styleId="jade-ts-10">
    <w:name w:val="jade-ts-10"/>
    <w:basedOn w:val="DefaultParagraphFont"/>
    <w:rsid w:val="006F0EF3"/>
  </w:style>
  <w:style w:type="paragraph" w:styleId="TOC5">
    <w:name w:val="toc 5"/>
    <w:basedOn w:val="Normal"/>
    <w:next w:val="Normal"/>
    <w:autoRedefine/>
    <w:rsid w:val="00215ED7"/>
    <w:pPr>
      <w:spacing w:after="100"/>
      <w:ind w:left="960"/>
    </w:pPr>
  </w:style>
  <w:style w:type="paragraph" w:customStyle="1" w:styleId="acthead5">
    <w:name w:val="acthead5"/>
    <w:basedOn w:val="Normal"/>
    <w:rsid w:val="00215ED7"/>
    <w:pPr>
      <w:spacing w:before="100" w:beforeAutospacing="1" w:after="100" w:afterAutospacing="1"/>
    </w:pPr>
    <w:rPr>
      <w:lang w:eastAsia="en-AU"/>
    </w:rPr>
  </w:style>
  <w:style w:type="paragraph" w:customStyle="1" w:styleId="subsection">
    <w:name w:val="subsection"/>
    <w:basedOn w:val="Normal"/>
    <w:rsid w:val="00215ED7"/>
    <w:pPr>
      <w:spacing w:before="100" w:beforeAutospacing="1" w:after="100" w:afterAutospacing="1"/>
    </w:pPr>
    <w:rPr>
      <w:lang w:eastAsia="en-AU"/>
    </w:rPr>
  </w:style>
  <w:style w:type="character" w:customStyle="1" w:styleId="charsectno">
    <w:name w:val="charsectno"/>
    <w:basedOn w:val="DefaultParagraphFont"/>
    <w:rsid w:val="00215ED7"/>
  </w:style>
  <w:style w:type="paragraph" w:customStyle="1" w:styleId="definition">
    <w:name w:val="definition"/>
    <w:basedOn w:val="Normal"/>
    <w:rsid w:val="00215ED7"/>
    <w:pPr>
      <w:spacing w:before="100" w:beforeAutospacing="1" w:after="100" w:afterAutospacing="1"/>
    </w:pPr>
    <w:rPr>
      <w:lang w:eastAsia="en-AU"/>
    </w:rPr>
  </w:style>
  <w:style w:type="paragraph" w:customStyle="1" w:styleId="paragraph">
    <w:name w:val="paragraph"/>
    <w:basedOn w:val="Normal"/>
    <w:rsid w:val="00215ED7"/>
    <w:pPr>
      <w:spacing w:before="100" w:beforeAutospacing="1" w:after="100" w:afterAutospacing="1"/>
    </w:pPr>
    <w:rPr>
      <w:lang w:eastAsia="en-AU"/>
    </w:rPr>
  </w:style>
  <w:style w:type="paragraph" w:customStyle="1" w:styleId="paragraphsub">
    <w:name w:val="paragraphsub"/>
    <w:basedOn w:val="Normal"/>
    <w:rsid w:val="00215ED7"/>
    <w:pPr>
      <w:spacing w:before="100" w:beforeAutospacing="1" w:after="100" w:afterAutospacing="1"/>
    </w:pPr>
    <w:rPr>
      <w:lang w:eastAsia="en-AU"/>
    </w:rPr>
  </w:style>
  <w:style w:type="paragraph" w:customStyle="1" w:styleId="subsection2">
    <w:name w:val="subsection2"/>
    <w:basedOn w:val="Normal"/>
    <w:rsid w:val="00215ED7"/>
    <w:pPr>
      <w:spacing w:before="100" w:beforeAutospacing="1" w:after="100" w:afterAutospacing="1"/>
    </w:pPr>
    <w:rPr>
      <w:lang w:eastAsia="en-AU"/>
    </w:rPr>
  </w:style>
  <w:style w:type="paragraph" w:customStyle="1" w:styleId="penalty">
    <w:name w:val="penalty"/>
    <w:basedOn w:val="Normal"/>
    <w:rsid w:val="00215ED7"/>
    <w:pPr>
      <w:spacing w:before="100" w:beforeAutospacing="1" w:after="100" w:afterAutospacing="1"/>
    </w:pPr>
    <w:rPr>
      <w:lang w:eastAsia="en-AU"/>
    </w:rPr>
  </w:style>
  <w:style w:type="paragraph" w:customStyle="1" w:styleId="paragraphsub-sub">
    <w:name w:val="paragraphsub-sub"/>
    <w:basedOn w:val="Normal"/>
    <w:rsid w:val="00215ED7"/>
    <w:pPr>
      <w:spacing w:before="100" w:beforeAutospacing="1" w:after="100" w:afterAutospacing="1"/>
    </w:pPr>
    <w:rPr>
      <w:lang w:eastAsia="en-AU"/>
    </w:rPr>
  </w:style>
  <w:style w:type="character" w:customStyle="1" w:styleId="jade-ts-7">
    <w:name w:val="jade-ts-7"/>
    <w:basedOn w:val="DefaultParagraphFont"/>
    <w:rsid w:val="00D92FA4"/>
  </w:style>
  <w:style w:type="character" w:customStyle="1" w:styleId="jade-ts-8">
    <w:name w:val="jade-ts-8"/>
    <w:basedOn w:val="DefaultParagraphFont"/>
    <w:rsid w:val="00D92FA4"/>
  </w:style>
  <w:style w:type="character" w:customStyle="1" w:styleId="BodySectionSubChar">
    <w:name w:val="Body Section (Sub) Char"/>
    <w:basedOn w:val="DefaultParagraphFont"/>
    <w:link w:val="BodySectionSub"/>
    <w:rsid w:val="00A01BE3"/>
    <w:rPr>
      <w:sz w:val="24"/>
      <w:lang w:eastAsia="en-US"/>
    </w:rPr>
  </w:style>
  <w:style w:type="paragraph" w:customStyle="1" w:styleId="SideNote">
    <w:name w:val="Side Note"/>
    <w:basedOn w:val="Normal"/>
    <w:rsid w:val="00BB2003"/>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paragraph" w:customStyle="1" w:styleId="DraftSectionNote">
    <w:name w:val="Draft Section Note"/>
    <w:next w:val="Normal"/>
    <w:rsid w:val="00BB2003"/>
    <w:pPr>
      <w:spacing w:before="120"/>
    </w:pPr>
    <w:rPr>
      <w:lang w:eastAsia="en-US"/>
    </w:rPr>
  </w:style>
  <w:style w:type="paragraph" w:customStyle="1" w:styleId="BodySection">
    <w:name w:val="Body Section"/>
    <w:basedOn w:val="Normal"/>
    <w:rsid w:val="009A2F63"/>
    <w:pPr>
      <w:overflowPunct w:val="0"/>
      <w:autoSpaceDE w:val="0"/>
      <w:autoSpaceDN w:val="0"/>
      <w:spacing w:before="120"/>
      <w:ind w:left="1361"/>
    </w:pPr>
    <w:rPr>
      <w:rFonts w:eastAsiaTheme="minorHAnsi"/>
    </w:rPr>
  </w:style>
  <w:style w:type="paragraph" w:customStyle="1" w:styleId="commentcontentpara">
    <w:name w:val="commentcontentpara"/>
    <w:basedOn w:val="Normal"/>
    <w:rsid w:val="00FF256F"/>
    <w:pPr>
      <w:spacing w:before="100" w:beforeAutospacing="1" w:after="100" w:afterAutospacing="1"/>
    </w:pPr>
    <w:rPr>
      <w:lang w:eastAsia="en-AU"/>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F26DDA"/>
    <w:rPr>
      <w:sz w:val="24"/>
      <w:lang w:eastAsia="en-US"/>
    </w:rPr>
  </w:style>
  <w:style w:type="character" w:customStyle="1" w:styleId="contentpasted1">
    <w:name w:val="contentpasted1"/>
    <w:basedOn w:val="DefaultParagraphFont"/>
    <w:rsid w:val="00F26DDA"/>
  </w:style>
  <w:style w:type="character" w:customStyle="1" w:styleId="Heading4Char">
    <w:name w:val="Heading 4 Char"/>
    <w:basedOn w:val="DefaultParagraphFont"/>
    <w:link w:val="Heading4"/>
    <w:semiHidden/>
    <w:rsid w:val="00065DFE"/>
    <w:rPr>
      <w:rFonts w:asciiTheme="majorHAnsi" w:eastAsiaTheme="majorEastAsia" w:hAnsiTheme="majorHAnsi" w:cstheme="majorBidi"/>
      <w:i/>
      <w:iCs/>
      <w:color w:val="2F5496" w:themeColor="accent1" w:themeShade="BF"/>
      <w:sz w:val="24"/>
      <w:szCs w:val="24"/>
      <w:lang w:eastAsia="en-US"/>
    </w:rPr>
  </w:style>
  <w:style w:type="character" w:styleId="Strong">
    <w:name w:val="Strong"/>
    <w:basedOn w:val="DefaultParagraphFont"/>
    <w:uiPriority w:val="22"/>
    <w:qFormat/>
    <w:rsid w:val="00065DFE"/>
    <w:rPr>
      <w:b/>
      <w:bCs/>
    </w:rPr>
  </w:style>
  <w:style w:type="paragraph" w:customStyle="1" w:styleId="CCVNumberLevel1">
    <w:name w:val="CCV Number Level 1"/>
    <w:basedOn w:val="Normal"/>
    <w:qFormat/>
    <w:rsid w:val="00941E07"/>
    <w:pPr>
      <w:tabs>
        <w:tab w:val="num" w:pos="1134"/>
      </w:tabs>
      <w:overflowPunct w:val="0"/>
      <w:autoSpaceDE w:val="0"/>
      <w:autoSpaceDN w:val="0"/>
      <w:adjustRightInd w:val="0"/>
      <w:spacing w:after="240" w:line="480" w:lineRule="atLeast"/>
      <w:ind w:left="1134" w:hanging="567"/>
      <w:jc w:val="both"/>
      <w:textAlignment w:val="baseline"/>
    </w:pPr>
    <w:rPr>
      <w:rFonts w:ascii="Arial" w:hAnsi="Arial"/>
      <w:szCs w:val="20"/>
    </w:rPr>
  </w:style>
  <w:style w:type="paragraph" w:customStyle="1" w:styleId="CCVNumberLevel2">
    <w:name w:val="CCV Number Level 2"/>
    <w:basedOn w:val="Normal"/>
    <w:qFormat/>
    <w:rsid w:val="00941E07"/>
    <w:pPr>
      <w:tabs>
        <w:tab w:val="num" w:pos="1701"/>
      </w:tabs>
      <w:overflowPunct w:val="0"/>
      <w:autoSpaceDE w:val="0"/>
      <w:autoSpaceDN w:val="0"/>
      <w:adjustRightInd w:val="0"/>
      <w:spacing w:after="240" w:line="480" w:lineRule="atLeast"/>
      <w:ind w:left="1701" w:hanging="567"/>
      <w:jc w:val="both"/>
      <w:textAlignment w:val="baseline"/>
    </w:pPr>
    <w:rPr>
      <w:rFonts w:ascii="Arial" w:hAnsi="Arial"/>
      <w:szCs w:val="20"/>
    </w:rPr>
  </w:style>
  <w:style w:type="paragraph" w:customStyle="1" w:styleId="CCVNumberLevel3">
    <w:name w:val="CCV Number Level 3"/>
    <w:basedOn w:val="Normal"/>
    <w:qFormat/>
    <w:rsid w:val="00941E07"/>
    <w:pPr>
      <w:numPr>
        <w:ilvl w:val="2"/>
        <w:numId w:val="97"/>
      </w:numPr>
      <w:overflowPunct w:val="0"/>
      <w:autoSpaceDE w:val="0"/>
      <w:autoSpaceDN w:val="0"/>
      <w:adjustRightInd w:val="0"/>
      <w:spacing w:after="240" w:line="480" w:lineRule="atLeast"/>
      <w:jc w:val="both"/>
      <w:textAlignment w:val="baseline"/>
    </w:pPr>
    <w:rPr>
      <w:rFonts w:ascii="Arial" w:hAnsi="Arial"/>
      <w:szCs w:val="20"/>
    </w:rPr>
  </w:style>
  <w:style w:type="paragraph" w:customStyle="1" w:styleId="CCVHeadingLevel1">
    <w:name w:val="CCV Heading Level 1"/>
    <w:basedOn w:val="Normal"/>
    <w:next w:val="CCVNumberLevel1"/>
    <w:qFormat/>
    <w:rsid w:val="00874A4F"/>
    <w:pPr>
      <w:keepNext/>
      <w:overflowPunct w:val="0"/>
      <w:autoSpaceDE w:val="0"/>
      <w:autoSpaceDN w:val="0"/>
      <w:adjustRightInd w:val="0"/>
      <w:spacing w:before="240" w:line="240" w:lineRule="atLeast"/>
      <w:ind w:left="567"/>
      <w:jc w:val="both"/>
      <w:textAlignment w:val="baseline"/>
      <w:outlineLvl w:val="0"/>
    </w:pPr>
    <w:rPr>
      <w:rFonts w:ascii="Arial" w:hAnsi="Arial"/>
      <w:b/>
      <w:szCs w:val="20"/>
    </w:rPr>
  </w:style>
  <w:style w:type="character" w:customStyle="1" w:styleId="indent1">
    <w:name w:val="indent1"/>
    <w:basedOn w:val="DefaultParagraphFont"/>
    <w:rsid w:val="004D3373"/>
  </w:style>
  <w:style w:type="character" w:customStyle="1" w:styleId="hpsterm">
    <w:name w:val="hpsterm"/>
    <w:basedOn w:val="DefaultParagraphFont"/>
    <w:rsid w:val="004D3373"/>
  </w:style>
  <w:style w:type="character" w:customStyle="1" w:styleId="hpsitem">
    <w:name w:val="hpsitem"/>
    <w:basedOn w:val="DefaultParagraphFont"/>
    <w:rsid w:val="004D3373"/>
  </w:style>
  <w:style w:type="paragraph" w:customStyle="1" w:styleId="DraftSub-sectionNote">
    <w:name w:val="Draft Sub-section Note"/>
    <w:next w:val="Normal"/>
    <w:rsid w:val="00C41908"/>
    <w:pPr>
      <w:spacing w:before="120"/>
    </w:pPr>
    <w:rPr>
      <w:lang w:eastAsia="en-US"/>
    </w:rPr>
  </w:style>
  <w:style w:type="paragraph" w:customStyle="1" w:styleId="Stars">
    <w:name w:val="Stars"/>
    <w:basedOn w:val="BodySection"/>
    <w:next w:val="Normal"/>
    <w:rsid w:val="00263A4E"/>
    <w:pPr>
      <w:tabs>
        <w:tab w:val="right" w:pos="1418"/>
        <w:tab w:val="right" w:pos="2552"/>
        <w:tab w:val="right" w:pos="3686"/>
        <w:tab w:val="right" w:pos="4820"/>
        <w:tab w:val="right" w:pos="5954"/>
      </w:tabs>
      <w:adjustRightInd w:val="0"/>
      <w:ind w:left="851"/>
      <w:textAlignment w:val="baseline"/>
    </w:pPr>
    <w:rPr>
      <w:rFonts w:eastAsia="Times New Roman"/>
      <w:szCs w:val="20"/>
    </w:rPr>
  </w:style>
  <w:style w:type="character" w:customStyle="1" w:styleId="Heading3Char">
    <w:name w:val="Heading 3 Char"/>
    <w:link w:val="Heading3"/>
    <w:rsid w:val="009C5B94"/>
    <w:rPr>
      <w:rFonts w:ascii="Book Antiqua" w:hAnsi="Book Antiqua"/>
      <w:kern w:val="28"/>
      <w:sz w:val="24"/>
      <w:lang w:val="en-GB" w:eastAsia="en-US"/>
    </w:rPr>
  </w:style>
  <w:style w:type="paragraph" w:customStyle="1" w:styleId="Heading-DIVISION">
    <w:name w:val="Heading - DIVISION"/>
    <w:next w:val="Normal"/>
    <w:link w:val="Heading-DIVISIONChar"/>
    <w:rsid w:val="006C4A9A"/>
    <w:pPr>
      <w:overflowPunct w:val="0"/>
      <w:autoSpaceDE w:val="0"/>
      <w:autoSpaceDN w:val="0"/>
      <w:adjustRightInd w:val="0"/>
      <w:spacing w:before="240" w:after="120"/>
      <w:jc w:val="center"/>
      <w:textAlignment w:val="baseline"/>
      <w:outlineLvl w:val="1"/>
    </w:pPr>
    <w:rPr>
      <w:b/>
      <w:sz w:val="24"/>
      <w:lang w:eastAsia="en-US"/>
    </w:rPr>
  </w:style>
  <w:style w:type="character" w:customStyle="1" w:styleId="Heading-DIVISIONChar">
    <w:name w:val="Heading - DIVISION Char"/>
    <w:basedOn w:val="DefaultParagraphFont"/>
    <w:link w:val="Heading-DIVISION"/>
    <w:rsid w:val="006C4A9A"/>
    <w:rPr>
      <w:b/>
      <w:sz w:val="24"/>
      <w:lang w:eastAsia="en-US"/>
    </w:rPr>
  </w:style>
  <w:style w:type="paragraph" w:customStyle="1" w:styleId="Heading-PART">
    <w:name w:val="Heading - PART"/>
    <w:next w:val="Normal"/>
    <w:link w:val="Heading-PARTChar"/>
    <w:rsid w:val="00413016"/>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Normal-Schedule">
    <w:name w:val="Normal - Schedule"/>
    <w:link w:val="Normal-ScheduleChar"/>
    <w:rsid w:val="00413016"/>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ewFormHeading">
    <w:name w:val="New Form Heading"/>
    <w:next w:val="Normal"/>
    <w:link w:val="NewFormHeadingChar"/>
    <w:autoRedefine/>
    <w:qFormat/>
    <w:rsid w:val="00413016"/>
    <w:pPr>
      <w:spacing w:before="120" w:after="120"/>
      <w:jc w:val="center"/>
    </w:pPr>
    <w:rPr>
      <w:rFonts w:eastAsiaTheme="minorEastAsia" w:cstheme="minorBidi"/>
      <w:b/>
      <w:caps/>
      <w:sz w:val="22"/>
      <w:szCs w:val="22"/>
      <w:lang w:eastAsia="en-US"/>
    </w:rPr>
  </w:style>
  <w:style w:type="character" w:customStyle="1" w:styleId="Normal-ScheduleChar">
    <w:name w:val="Normal - Schedule Char"/>
    <w:basedOn w:val="DefaultParagraphFont"/>
    <w:link w:val="Normal-Schedule"/>
    <w:rsid w:val="00413016"/>
    <w:rPr>
      <w:lang w:eastAsia="en-US"/>
    </w:rPr>
  </w:style>
  <w:style w:type="character" w:customStyle="1" w:styleId="Heading-PARTChar">
    <w:name w:val="Heading - PART Char"/>
    <w:basedOn w:val="DefaultParagraphFont"/>
    <w:link w:val="Heading-PART"/>
    <w:rsid w:val="00413016"/>
    <w:rPr>
      <w:b/>
      <w:caps/>
      <w:sz w:val="22"/>
      <w:lang w:eastAsia="en-US"/>
    </w:rPr>
  </w:style>
  <w:style w:type="character" w:customStyle="1" w:styleId="NewFormHeadingChar">
    <w:name w:val="New Form Heading Char"/>
    <w:link w:val="NewFormHeading"/>
    <w:rsid w:val="00013912"/>
    <w:rPr>
      <w:rFonts w:eastAsiaTheme="minorEastAsia" w:cstheme="minorBidi"/>
      <w:b/>
      <w:caps/>
      <w:sz w:val="22"/>
      <w:szCs w:val="22"/>
      <w:lang w:eastAsia="en-US"/>
    </w:rPr>
  </w:style>
  <w:style w:type="paragraph" w:customStyle="1" w:styleId="msonormal0">
    <w:name w:val="msonormal"/>
    <w:basedOn w:val="Normal"/>
    <w:rsid w:val="003A5D77"/>
    <w:pPr>
      <w:spacing w:before="100" w:beforeAutospacing="1" w:after="100" w:afterAutospacing="1"/>
    </w:pPr>
    <w:rPr>
      <w:lang w:eastAsia="en-AU"/>
    </w:rPr>
  </w:style>
  <w:style w:type="paragraph" w:customStyle="1" w:styleId="jade-blank-p-opt">
    <w:name w:val="jade-blank-p-opt"/>
    <w:basedOn w:val="Normal"/>
    <w:rsid w:val="003A5D77"/>
    <w:pPr>
      <w:spacing w:before="100" w:beforeAutospacing="1" w:after="100" w:afterAutospacing="1"/>
    </w:pPr>
    <w:rPr>
      <w:lang w:eastAsia="en-AU"/>
    </w:rPr>
  </w:style>
  <w:style w:type="character" w:customStyle="1" w:styleId="gwt-inlinelabel">
    <w:name w:val="gwt-inlinelabel"/>
    <w:basedOn w:val="DefaultParagraphFont"/>
    <w:rsid w:val="003A5D77"/>
  </w:style>
  <w:style w:type="character" w:customStyle="1" w:styleId="gwt-inlinehtml">
    <w:name w:val="gwt-inlinehtml"/>
    <w:basedOn w:val="DefaultParagraphFont"/>
    <w:rsid w:val="003A5D77"/>
  </w:style>
  <w:style w:type="character" w:customStyle="1" w:styleId="citation-secondary-text">
    <w:name w:val="citation-secondary-text"/>
    <w:basedOn w:val="DefaultParagraphFont"/>
    <w:rsid w:val="003A5D77"/>
  </w:style>
  <w:style w:type="character" w:customStyle="1" w:styleId="nowrap">
    <w:name w:val="nowrap"/>
    <w:basedOn w:val="DefaultParagraphFont"/>
    <w:rsid w:val="003A5D77"/>
  </w:style>
  <w:style w:type="character" w:customStyle="1" w:styleId="header-label">
    <w:name w:val="header-label"/>
    <w:basedOn w:val="DefaultParagraphFont"/>
    <w:rsid w:val="003A5D77"/>
  </w:style>
  <w:style w:type="paragraph" w:styleId="HTMLPreformatted">
    <w:name w:val="HTML Preformatted"/>
    <w:basedOn w:val="Normal"/>
    <w:link w:val="HTMLPreformattedChar"/>
    <w:rsid w:val="00447687"/>
    <w:rPr>
      <w:rFonts w:ascii="Consolas" w:hAnsi="Consolas"/>
      <w:sz w:val="20"/>
      <w:szCs w:val="20"/>
    </w:rPr>
  </w:style>
  <w:style w:type="character" w:customStyle="1" w:styleId="HTMLPreformattedChar">
    <w:name w:val="HTML Preformatted Char"/>
    <w:basedOn w:val="DefaultParagraphFont"/>
    <w:link w:val="HTMLPreformatted"/>
    <w:rsid w:val="00447687"/>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1178">
      <w:bodyDiv w:val="1"/>
      <w:marLeft w:val="0"/>
      <w:marRight w:val="0"/>
      <w:marTop w:val="0"/>
      <w:marBottom w:val="0"/>
      <w:divBdr>
        <w:top w:val="none" w:sz="0" w:space="0" w:color="auto"/>
        <w:left w:val="none" w:sz="0" w:space="0" w:color="auto"/>
        <w:bottom w:val="none" w:sz="0" w:space="0" w:color="auto"/>
        <w:right w:val="none" w:sz="0" w:space="0" w:color="auto"/>
      </w:divBdr>
    </w:div>
    <w:div w:id="18705878">
      <w:bodyDiv w:val="1"/>
      <w:marLeft w:val="0"/>
      <w:marRight w:val="0"/>
      <w:marTop w:val="0"/>
      <w:marBottom w:val="0"/>
      <w:divBdr>
        <w:top w:val="none" w:sz="0" w:space="0" w:color="auto"/>
        <w:left w:val="none" w:sz="0" w:space="0" w:color="auto"/>
        <w:bottom w:val="none" w:sz="0" w:space="0" w:color="auto"/>
        <w:right w:val="none" w:sz="0" w:space="0" w:color="auto"/>
      </w:divBdr>
      <w:divsChild>
        <w:div w:id="66004998">
          <w:marLeft w:val="547"/>
          <w:marRight w:val="0"/>
          <w:marTop w:val="115"/>
          <w:marBottom w:val="0"/>
          <w:divBdr>
            <w:top w:val="none" w:sz="0" w:space="0" w:color="auto"/>
            <w:left w:val="none" w:sz="0" w:space="0" w:color="auto"/>
            <w:bottom w:val="none" w:sz="0" w:space="0" w:color="auto"/>
            <w:right w:val="none" w:sz="0" w:space="0" w:color="auto"/>
          </w:divBdr>
        </w:div>
      </w:divsChild>
    </w:div>
    <w:div w:id="130366993">
      <w:bodyDiv w:val="1"/>
      <w:marLeft w:val="0"/>
      <w:marRight w:val="0"/>
      <w:marTop w:val="0"/>
      <w:marBottom w:val="0"/>
      <w:divBdr>
        <w:top w:val="none" w:sz="0" w:space="0" w:color="auto"/>
        <w:left w:val="none" w:sz="0" w:space="0" w:color="auto"/>
        <w:bottom w:val="none" w:sz="0" w:space="0" w:color="auto"/>
        <w:right w:val="none" w:sz="0" w:space="0" w:color="auto"/>
      </w:divBdr>
    </w:div>
    <w:div w:id="212274703">
      <w:bodyDiv w:val="1"/>
      <w:marLeft w:val="0"/>
      <w:marRight w:val="0"/>
      <w:marTop w:val="0"/>
      <w:marBottom w:val="0"/>
      <w:divBdr>
        <w:top w:val="none" w:sz="0" w:space="0" w:color="auto"/>
        <w:left w:val="none" w:sz="0" w:space="0" w:color="auto"/>
        <w:bottom w:val="none" w:sz="0" w:space="0" w:color="auto"/>
        <w:right w:val="none" w:sz="0" w:space="0" w:color="auto"/>
      </w:divBdr>
    </w:div>
    <w:div w:id="264313001">
      <w:bodyDiv w:val="1"/>
      <w:marLeft w:val="0"/>
      <w:marRight w:val="0"/>
      <w:marTop w:val="0"/>
      <w:marBottom w:val="0"/>
      <w:divBdr>
        <w:top w:val="none" w:sz="0" w:space="0" w:color="auto"/>
        <w:left w:val="none" w:sz="0" w:space="0" w:color="auto"/>
        <w:bottom w:val="none" w:sz="0" w:space="0" w:color="auto"/>
        <w:right w:val="none" w:sz="0" w:space="0" w:color="auto"/>
      </w:divBdr>
    </w:div>
    <w:div w:id="294721766">
      <w:bodyDiv w:val="1"/>
      <w:marLeft w:val="0"/>
      <w:marRight w:val="0"/>
      <w:marTop w:val="0"/>
      <w:marBottom w:val="0"/>
      <w:divBdr>
        <w:top w:val="none" w:sz="0" w:space="0" w:color="auto"/>
        <w:left w:val="none" w:sz="0" w:space="0" w:color="auto"/>
        <w:bottom w:val="none" w:sz="0" w:space="0" w:color="auto"/>
        <w:right w:val="none" w:sz="0" w:space="0" w:color="auto"/>
      </w:divBdr>
      <w:divsChild>
        <w:div w:id="129827849">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54965672">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723989236">
          <w:marLeft w:val="960"/>
          <w:marRight w:val="0"/>
          <w:marTop w:val="480"/>
          <w:marBottom w:val="240"/>
          <w:divBdr>
            <w:top w:val="none" w:sz="0" w:space="0" w:color="auto"/>
            <w:left w:val="none" w:sz="0" w:space="0" w:color="auto"/>
            <w:bottom w:val="none" w:sz="0" w:space="0" w:color="auto"/>
            <w:right w:val="none" w:sz="0" w:space="0" w:color="auto"/>
          </w:divBdr>
          <w:divsChild>
            <w:div w:id="1648515840">
              <w:marLeft w:val="240"/>
              <w:marRight w:val="240"/>
              <w:marTop w:val="0"/>
              <w:marBottom w:val="0"/>
              <w:divBdr>
                <w:top w:val="none" w:sz="0" w:space="0" w:color="auto"/>
                <w:left w:val="none" w:sz="0" w:space="0" w:color="auto"/>
                <w:bottom w:val="none" w:sz="0" w:space="0" w:color="auto"/>
                <w:right w:val="none" w:sz="0" w:space="0" w:color="auto"/>
              </w:divBdr>
            </w:div>
          </w:divsChild>
        </w:div>
        <w:div w:id="1536039518">
          <w:marLeft w:val="960"/>
          <w:marRight w:val="0"/>
          <w:marTop w:val="480"/>
          <w:marBottom w:val="240"/>
          <w:divBdr>
            <w:top w:val="none" w:sz="0" w:space="0" w:color="auto"/>
            <w:left w:val="none" w:sz="0" w:space="0" w:color="auto"/>
            <w:bottom w:val="none" w:sz="0" w:space="0" w:color="auto"/>
            <w:right w:val="none" w:sz="0" w:space="0" w:color="auto"/>
          </w:divBdr>
          <w:divsChild>
            <w:div w:id="453862763">
              <w:marLeft w:val="240"/>
              <w:marRight w:val="240"/>
              <w:marTop w:val="0"/>
              <w:marBottom w:val="0"/>
              <w:divBdr>
                <w:top w:val="none" w:sz="0" w:space="0" w:color="auto"/>
                <w:left w:val="none" w:sz="0" w:space="0" w:color="auto"/>
                <w:bottom w:val="none" w:sz="0" w:space="0" w:color="auto"/>
                <w:right w:val="none" w:sz="0" w:space="0" w:color="auto"/>
              </w:divBdr>
            </w:div>
            <w:div w:id="515074317">
              <w:marLeft w:val="240"/>
              <w:marRight w:val="240"/>
              <w:marTop w:val="0"/>
              <w:marBottom w:val="0"/>
              <w:divBdr>
                <w:top w:val="none" w:sz="0" w:space="0" w:color="auto"/>
                <w:left w:val="none" w:sz="0" w:space="0" w:color="auto"/>
                <w:bottom w:val="none" w:sz="0" w:space="0" w:color="auto"/>
                <w:right w:val="none" w:sz="0" w:space="0" w:color="auto"/>
              </w:divBdr>
            </w:div>
            <w:div w:id="801385008">
              <w:marLeft w:val="240"/>
              <w:marRight w:val="240"/>
              <w:marTop w:val="0"/>
              <w:marBottom w:val="0"/>
              <w:divBdr>
                <w:top w:val="none" w:sz="0" w:space="0" w:color="auto"/>
                <w:left w:val="none" w:sz="0" w:space="0" w:color="auto"/>
                <w:bottom w:val="none" w:sz="0" w:space="0" w:color="auto"/>
                <w:right w:val="none" w:sz="0" w:space="0" w:color="auto"/>
              </w:divBdr>
            </w:div>
          </w:divsChild>
        </w:div>
        <w:div w:id="1603415373">
          <w:marLeft w:val="960"/>
          <w:marRight w:val="0"/>
          <w:marTop w:val="480"/>
          <w:marBottom w:val="240"/>
          <w:divBdr>
            <w:top w:val="none" w:sz="0" w:space="0" w:color="auto"/>
            <w:left w:val="none" w:sz="0" w:space="0" w:color="auto"/>
            <w:bottom w:val="none" w:sz="0" w:space="0" w:color="auto"/>
            <w:right w:val="none" w:sz="0" w:space="0" w:color="auto"/>
          </w:divBdr>
          <w:divsChild>
            <w:div w:id="17192803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26058495">
      <w:bodyDiv w:val="1"/>
      <w:marLeft w:val="0"/>
      <w:marRight w:val="0"/>
      <w:marTop w:val="0"/>
      <w:marBottom w:val="0"/>
      <w:divBdr>
        <w:top w:val="none" w:sz="0" w:space="0" w:color="auto"/>
        <w:left w:val="none" w:sz="0" w:space="0" w:color="auto"/>
        <w:bottom w:val="none" w:sz="0" w:space="0" w:color="auto"/>
        <w:right w:val="none" w:sz="0" w:space="0" w:color="auto"/>
      </w:divBdr>
    </w:div>
    <w:div w:id="330569764">
      <w:bodyDiv w:val="1"/>
      <w:marLeft w:val="0"/>
      <w:marRight w:val="0"/>
      <w:marTop w:val="0"/>
      <w:marBottom w:val="0"/>
      <w:divBdr>
        <w:top w:val="none" w:sz="0" w:space="0" w:color="auto"/>
        <w:left w:val="none" w:sz="0" w:space="0" w:color="auto"/>
        <w:bottom w:val="none" w:sz="0" w:space="0" w:color="auto"/>
        <w:right w:val="none" w:sz="0" w:space="0" w:color="auto"/>
      </w:divBdr>
    </w:div>
    <w:div w:id="342167263">
      <w:bodyDiv w:val="1"/>
      <w:marLeft w:val="0"/>
      <w:marRight w:val="0"/>
      <w:marTop w:val="0"/>
      <w:marBottom w:val="0"/>
      <w:divBdr>
        <w:top w:val="none" w:sz="0" w:space="0" w:color="auto"/>
        <w:left w:val="none" w:sz="0" w:space="0" w:color="auto"/>
        <w:bottom w:val="none" w:sz="0" w:space="0" w:color="auto"/>
        <w:right w:val="none" w:sz="0" w:space="0" w:color="auto"/>
      </w:divBdr>
    </w:div>
    <w:div w:id="374737758">
      <w:bodyDiv w:val="1"/>
      <w:marLeft w:val="0"/>
      <w:marRight w:val="0"/>
      <w:marTop w:val="0"/>
      <w:marBottom w:val="0"/>
      <w:divBdr>
        <w:top w:val="none" w:sz="0" w:space="0" w:color="auto"/>
        <w:left w:val="none" w:sz="0" w:space="0" w:color="auto"/>
        <w:bottom w:val="none" w:sz="0" w:space="0" w:color="auto"/>
        <w:right w:val="none" w:sz="0" w:space="0" w:color="auto"/>
      </w:divBdr>
      <w:divsChild>
        <w:div w:id="285359436">
          <w:marLeft w:val="0"/>
          <w:marRight w:val="0"/>
          <w:marTop w:val="115"/>
          <w:marBottom w:val="0"/>
          <w:divBdr>
            <w:top w:val="none" w:sz="0" w:space="0" w:color="auto"/>
            <w:left w:val="none" w:sz="0" w:space="0" w:color="auto"/>
            <w:bottom w:val="none" w:sz="0" w:space="0" w:color="auto"/>
            <w:right w:val="none" w:sz="0" w:space="0" w:color="auto"/>
          </w:divBdr>
        </w:div>
        <w:div w:id="1112818594">
          <w:marLeft w:val="0"/>
          <w:marRight w:val="0"/>
          <w:marTop w:val="288"/>
          <w:marBottom w:val="0"/>
          <w:divBdr>
            <w:top w:val="none" w:sz="0" w:space="0" w:color="auto"/>
            <w:left w:val="none" w:sz="0" w:space="0" w:color="auto"/>
            <w:bottom w:val="none" w:sz="0" w:space="0" w:color="auto"/>
            <w:right w:val="none" w:sz="0" w:space="0" w:color="auto"/>
          </w:divBdr>
        </w:div>
        <w:div w:id="1507593092">
          <w:marLeft w:val="0"/>
          <w:marRight w:val="0"/>
          <w:marTop w:val="58"/>
          <w:marBottom w:val="0"/>
          <w:divBdr>
            <w:top w:val="none" w:sz="0" w:space="0" w:color="auto"/>
            <w:left w:val="none" w:sz="0" w:space="0" w:color="auto"/>
            <w:bottom w:val="none" w:sz="0" w:space="0" w:color="auto"/>
            <w:right w:val="none" w:sz="0" w:space="0" w:color="auto"/>
          </w:divBdr>
        </w:div>
      </w:divsChild>
    </w:div>
    <w:div w:id="388119228">
      <w:bodyDiv w:val="1"/>
      <w:marLeft w:val="0"/>
      <w:marRight w:val="0"/>
      <w:marTop w:val="0"/>
      <w:marBottom w:val="0"/>
      <w:divBdr>
        <w:top w:val="none" w:sz="0" w:space="0" w:color="auto"/>
        <w:left w:val="none" w:sz="0" w:space="0" w:color="auto"/>
        <w:bottom w:val="none" w:sz="0" w:space="0" w:color="auto"/>
        <w:right w:val="none" w:sz="0" w:space="0" w:color="auto"/>
      </w:divBdr>
      <w:divsChild>
        <w:div w:id="405807763">
          <w:marLeft w:val="0"/>
          <w:marRight w:val="0"/>
          <w:marTop w:val="0"/>
          <w:marBottom w:val="90"/>
          <w:divBdr>
            <w:top w:val="none" w:sz="0" w:space="0" w:color="auto"/>
            <w:left w:val="none" w:sz="0" w:space="0" w:color="auto"/>
            <w:bottom w:val="none" w:sz="0" w:space="0" w:color="auto"/>
            <w:right w:val="none" w:sz="0" w:space="0" w:color="auto"/>
          </w:divBdr>
          <w:divsChild>
            <w:div w:id="1475758933">
              <w:marLeft w:val="0"/>
              <w:marRight w:val="0"/>
              <w:marTop w:val="0"/>
              <w:marBottom w:val="0"/>
              <w:divBdr>
                <w:top w:val="none" w:sz="0" w:space="0" w:color="auto"/>
                <w:left w:val="none" w:sz="0" w:space="0" w:color="auto"/>
                <w:bottom w:val="none" w:sz="0" w:space="0" w:color="auto"/>
                <w:right w:val="none" w:sz="0" w:space="0" w:color="auto"/>
              </w:divBdr>
              <w:divsChild>
                <w:div w:id="3932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4833">
          <w:marLeft w:val="0"/>
          <w:marRight w:val="0"/>
          <w:marTop w:val="0"/>
          <w:marBottom w:val="0"/>
          <w:divBdr>
            <w:top w:val="none" w:sz="0" w:space="0" w:color="auto"/>
            <w:left w:val="none" w:sz="0" w:space="0" w:color="auto"/>
            <w:bottom w:val="none" w:sz="0" w:space="0" w:color="auto"/>
            <w:right w:val="none" w:sz="0" w:space="0" w:color="auto"/>
          </w:divBdr>
        </w:div>
      </w:divsChild>
    </w:div>
    <w:div w:id="402530762">
      <w:bodyDiv w:val="1"/>
      <w:marLeft w:val="0"/>
      <w:marRight w:val="0"/>
      <w:marTop w:val="0"/>
      <w:marBottom w:val="0"/>
      <w:divBdr>
        <w:top w:val="none" w:sz="0" w:space="0" w:color="auto"/>
        <w:left w:val="none" w:sz="0" w:space="0" w:color="auto"/>
        <w:bottom w:val="none" w:sz="0" w:space="0" w:color="auto"/>
        <w:right w:val="none" w:sz="0" w:space="0" w:color="auto"/>
      </w:divBdr>
      <w:divsChild>
        <w:div w:id="345407147">
          <w:blockQuote w:val="1"/>
          <w:marLeft w:val="768"/>
          <w:marRight w:val="720"/>
          <w:marTop w:val="0"/>
          <w:marBottom w:val="0"/>
          <w:divBdr>
            <w:top w:val="none" w:sz="0" w:space="0" w:color="auto"/>
            <w:left w:val="none" w:sz="0" w:space="0" w:color="auto"/>
            <w:bottom w:val="none" w:sz="0" w:space="0" w:color="auto"/>
            <w:right w:val="none" w:sz="0" w:space="0" w:color="auto"/>
          </w:divBdr>
          <w:divsChild>
            <w:div w:id="133754037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555236138">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48544484">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626397015">
          <w:marLeft w:val="960"/>
          <w:marRight w:val="0"/>
          <w:marTop w:val="480"/>
          <w:marBottom w:val="240"/>
          <w:divBdr>
            <w:top w:val="none" w:sz="0" w:space="0" w:color="auto"/>
            <w:left w:val="none" w:sz="0" w:space="0" w:color="auto"/>
            <w:bottom w:val="none" w:sz="0" w:space="0" w:color="auto"/>
            <w:right w:val="none" w:sz="0" w:space="0" w:color="auto"/>
          </w:divBdr>
          <w:divsChild>
            <w:div w:id="140932225">
              <w:marLeft w:val="240"/>
              <w:marRight w:val="240"/>
              <w:marTop w:val="0"/>
              <w:marBottom w:val="0"/>
              <w:divBdr>
                <w:top w:val="none" w:sz="0" w:space="0" w:color="auto"/>
                <w:left w:val="none" w:sz="0" w:space="0" w:color="auto"/>
                <w:bottom w:val="none" w:sz="0" w:space="0" w:color="auto"/>
                <w:right w:val="none" w:sz="0" w:space="0" w:color="auto"/>
              </w:divBdr>
            </w:div>
          </w:divsChild>
        </w:div>
        <w:div w:id="720128225">
          <w:marLeft w:val="960"/>
          <w:marRight w:val="0"/>
          <w:marTop w:val="480"/>
          <w:marBottom w:val="240"/>
          <w:divBdr>
            <w:top w:val="none" w:sz="0" w:space="0" w:color="auto"/>
            <w:left w:val="none" w:sz="0" w:space="0" w:color="auto"/>
            <w:bottom w:val="none" w:sz="0" w:space="0" w:color="auto"/>
            <w:right w:val="none" w:sz="0" w:space="0" w:color="auto"/>
          </w:divBdr>
          <w:divsChild>
            <w:div w:id="964773771">
              <w:marLeft w:val="240"/>
              <w:marRight w:val="240"/>
              <w:marTop w:val="0"/>
              <w:marBottom w:val="0"/>
              <w:divBdr>
                <w:top w:val="none" w:sz="0" w:space="0" w:color="auto"/>
                <w:left w:val="none" w:sz="0" w:space="0" w:color="auto"/>
                <w:bottom w:val="none" w:sz="0" w:space="0" w:color="auto"/>
                <w:right w:val="none" w:sz="0" w:space="0" w:color="auto"/>
              </w:divBdr>
            </w:div>
          </w:divsChild>
        </w:div>
        <w:div w:id="91478396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8578025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950090724">
          <w:marLeft w:val="960"/>
          <w:marRight w:val="0"/>
          <w:marTop w:val="480"/>
          <w:marBottom w:val="240"/>
          <w:divBdr>
            <w:top w:val="none" w:sz="0" w:space="0" w:color="auto"/>
            <w:left w:val="none" w:sz="0" w:space="0" w:color="auto"/>
            <w:bottom w:val="none" w:sz="0" w:space="0" w:color="auto"/>
            <w:right w:val="none" w:sz="0" w:space="0" w:color="auto"/>
          </w:divBdr>
          <w:divsChild>
            <w:div w:id="529951269">
              <w:marLeft w:val="240"/>
              <w:marRight w:val="240"/>
              <w:marTop w:val="0"/>
              <w:marBottom w:val="0"/>
              <w:divBdr>
                <w:top w:val="none" w:sz="0" w:space="0" w:color="auto"/>
                <w:left w:val="none" w:sz="0" w:space="0" w:color="auto"/>
                <w:bottom w:val="none" w:sz="0" w:space="0" w:color="auto"/>
                <w:right w:val="none" w:sz="0" w:space="0" w:color="auto"/>
              </w:divBdr>
            </w:div>
            <w:div w:id="1813477061">
              <w:marLeft w:val="240"/>
              <w:marRight w:val="240"/>
              <w:marTop w:val="0"/>
              <w:marBottom w:val="0"/>
              <w:divBdr>
                <w:top w:val="none" w:sz="0" w:space="0" w:color="auto"/>
                <w:left w:val="none" w:sz="0" w:space="0" w:color="auto"/>
                <w:bottom w:val="none" w:sz="0" w:space="0" w:color="auto"/>
                <w:right w:val="none" w:sz="0" w:space="0" w:color="auto"/>
              </w:divBdr>
            </w:div>
          </w:divsChild>
        </w:div>
        <w:div w:id="1125008296">
          <w:marLeft w:val="960"/>
          <w:marRight w:val="0"/>
          <w:marTop w:val="480"/>
          <w:marBottom w:val="240"/>
          <w:divBdr>
            <w:top w:val="none" w:sz="0" w:space="0" w:color="auto"/>
            <w:left w:val="none" w:sz="0" w:space="0" w:color="auto"/>
            <w:bottom w:val="none" w:sz="0" w:space="0" w:color="auto"/>
            <w:right w:val="none" w:sz="0" w:space="0" w:color="auto"/>
          </w:divBdr>
          <w:divsChild>
            <w:div w:id="276062203">
              <w:marLeft w:val="240"/>
              <w:marRight w:val="240"/>
              <w:marTop w:val="0"/>
              <w:marBottom w:val="0"/>
              <w:divBdr>
                <w:top w:val="none" w:sz="0" w:space="0" w:color="auto"/>
                <w:left w:val="none" w:sz="0" w:space="0" w:color="auto"/>
                <w:bottom w:val="none" w:sz="0" w:space="0" w:color="auto"/>
                <w:right w:val="none" w:sz="0" w:space="0" w:color="auto"/>
              </w:divBdr>
            </w:div>
          </w:divsChild>
        </w:div>
        <w:div w:id="1163665571">
          <w:marLeft w:val="960"/>
          <w:marRight w:val="0"/>
          <w:marTop w:val="480"/>
          <w:marBottom w:val="240"/>
          <w:divBdr>
            <w:top w:val="none" w:sz="0" w:space="0" w:color="auto"/>
            <w:left w:val="none" w:sz="0" w:space="0" w:color="auto"/>
            <w:bottom w:val="none" w:sz="0" w:space="0" w:color="auto"/>
            <w:right w:val="none" w:sz="0" w:space="0" w:color="auto"/>
          </w:divBdr>
          <w:divsChild>
            <w:div w:id="968240580">
              <w:marLeft w:val="240"/>
              <w:marRight w:val="240"/>
              <w:marTop w:val="0"/>
              <w:marBottom w:val="0"/>
              <w:divBdr>
                <w:top w:val="none" w:sz="0" w:space="0" w:color="auto"/>
                <w:left w:val="none" w:sz="0" w:space="0" w:color="auto"/>
                <w:bottom w:val="none" w:sz="0" w:space="0" w:color="auto"/>
                <w:right w:val="none" w:sz="0" w:space="0" w:color="auto"/>
              </w:divBdr>
            </w:div>
          </w:divsChild>
        </w:div>
        <w:div w:id="1262490161">
          <w:blockQuote w:val="1"/>
          <w:marLeft w:val="768"/>
          <w:marRight w:val="720"/>
          <w:marTop w:val="0"/>
          <w:marBottom w:val="0"/>
          <w:divBdr>
            <w:top w:val="none" w:sz="0" w:space="0" w:color="auto"/>
            <w:left w:val="none" w:sz="0" w:space="0" w:color="auto"/>
            <w:bottom w:val="none" w:sz="0" w:space="0" w:color="auto"/>
            <w:right w:val="none" w:sz="0" w:space="0" w:color="auto"/>
          </w:divBdr>
          <w:divsChild>
            <w:div w:id="844713474">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24108240">
          <w:blockQuote w:val="1"/>
          <w:marLeft w:val="768"/>
          <w:marRight w:val="720"/>
          <w:marTop w:val="0"/>
          <w:marBottom w:val="0"/>
          <w:divBdr>
            <w:top w:val="none" w:sz="0" w:space="0" w:color="auto"/>
            <w:left w:val="none" w:sz="0" w:space="0" w:color="auto"/>
            <w:bottom w:val="none" w:sz="0" w:space="0" w:color="auto"/>
            <w:right w:val="none" w:sz="0" w:space="0" w:color="auto"/>
          </w:divBdr>
          <w:divsChild>
            <w:div w:id="27020634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631864474">
          <w:blockQuote w:val="1"/>
          <w:marLeft w:val="768"/>
          <w:marRight w:val="720"/>
          <w:marTop w:val="0"/>
          <w:marBottom w:val="0"/>
          <w:divBdr>
            <w:top w:val="none" w:sz="0" w:space="0" w:color="auto"/>
            <w:left w:val="none" w:sz="0" w:space="0" w:color="auto"/>
            <w:bottom w:val="none" w:sz="0" w:space="0" w:color="auto"/>
            <w:right w:val="none" w:sz="0" w:space="0" w:color="auto"/>
          </w:divBdr>
          <w:divsChild>
            <w:div w:id="943729099">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740056636">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1603686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757676613">
          <w:marLeft w:val="960"/>
          <w:marRight w:val="0"/>
          <w:marTop w:val="480"/>
          <w:marBottom w:val="240"/>
          <w:divBdr>
            <w:top w:val="none" w:sz="0" w:space="0" w:color="auto"/>
            <w:left w:val="none" w:sz="0" w:space="0" w:color="auto"/>
            <w:bottom w:val="none" w:sz="0" w:space="0" w:color="auto"/>
            <w:right w:val="none" w:sz="0" w:space="0" w:color="auto"/>
          </w:divBdr>
          <w:divsChild>
            <w:div w:id="534659723">
              <w:marLeft w:val="240"/>
              <w:marRight w:val="240"/>
              <w:marTop w:val="0"/>
              <w:marBottom w:val="0"/>
              <w:divBdr>
                <w:top w:val="none" w:sz="0" w:space="0" w:color="auto"/>
                <w:left w:val="none" w:sz="0" w:space="0" w:color="auto"/>
                <w:bottom w:val="none" w:sz="0" w:space="0" w:color="auto"/>
                <w:right w:val="none" w:sz="0" w:space="0" w:color="auto"/>
              </w:divBdr>
            </w:div>
            <w:div w:id="1748961283">
              <w:marLeft w:val="240"/>
              <w:marRight w:val="240"/>
              <w:marTop w:val="0"/>
              <w:marBottom w:val="0"/>
              <w:divBdr>
                <w:top w:val="none" w:sz="0" w:space="0" w:color="auto"/>
                <w:left w:val="none" w:sz="0" w:space="0" w:color="auto"/>
                <w:bottom w:val="none" w:sz="0" w:space="0" w:color="auto"/>
                <w:right w:val="none" w:sz="0" w:space="0" w:color="auto"/>
              </w:divBdr>
            </w:div>
          </w:divsChild>
        </w:div>
        <w:div w:id="1771318986">
          <w:marLeft w:val="960"/>
          <w:marRight w:val="0"/>
          <w:marTop w:val="480"/>
          <w:marBottom w:val="240"/>
          <w:divBdr>
            <w:top w:val="none" w:sz="0" w:space="0" w:color="auto"/>
            <w:left w:val="none" w:sz="0" w:space="0" w:color="auto"/>
            <w:bottom w:val="none" w:sz="0" w:space="0" w:color="auto"/>
            <w:right w:val="none" w:sz="0" w:space="0" w:color="auto"/>
          </w:divBdr>
          <w:divsChild>
            <w:div w:id="640038985">
              <w:marLeft w:val="240"/>
              <w:marRight w:val="240"/>
              <w:marTop w:val="0"/>
              <w:marBottom w:val="0"/>
              <w:divBdr>
                <w:top w:val="none" w:sz="0" w:space="0" w:color="auto"/>
                <w:left w:val="none" w:sz="0" w:space="0" w:color="auto"/>
                <w:bottom w:val="none" w:sz="0" w:space="0" w:color="auto"/>
                <w:right w:val="none" w:sz="0" w:space="0" w:color="auto"/>
              </w:divBdr>
            </w:div>
          </w:divsChild>
        </w:div>
        <w:div w:id="1879775976">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05192786">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434791146">
      <w:bodyDiv w:val="1"/>
      <w:marLeft w:val="0"/>
      <w:marRight w:val="0"/>
      <w:marTop w:val="0"/>
      <w:marBottom w:val="0"/>
      <w:divBdr>
        <w:top w:val="none" w:sz="0" w:space="0" w:color="auto"/>
        <w:left w:val="none" w:sz="0" w:space="0" w:color="auto"/>
        <w:bottom w:val="none" w:sz="0" w:space="0" w:color="auto"/>
        <w:right w:val="none" w:sz="0" w:space="0" w:color="auto"/>
      </w:divBdr>
    </w:div>
    <w:div w:id="465704923">
      <w:bodyDiv w:val="1"/>
      <w:marLeft w:val="0"/>
      <w:marRight w:val="0"/>
      <w:marTop w:val="0"/>
      <w:marBottom w:val="0"/>
      <w:divBdr>
        <w:top w:val="none" w:sz="0" w:space="0" w:color="auto"/>
        <w:left w:val="none" w:sz="0" w:space="0" w:color="auto"/>
        <w:bottom w:val="none" w:sz="0" w:space="0" w:color="auto"/>
        <w:right w:val="none" w:sz="0" w:space="0" w:color="auto"/>
      </w:divBdr>
    </w:div>
    <w:div w:id="506214335">
      <w:bodyDiv w:val="1"/>
      <w:marLeft w:val="0"/>
      <w:marRight w:val="0"/>
      <w:marTop w:val="0"/>
      <w:marBottom w:val="0"/>
      <w:divBdr>
        <w:top w:val="none" w:sz="0" w:space="0" w:color="auto"/>
        <w:left w:val="none" w:sz="0" w:space="0" w:color="auto"/>
        <w:bottom w:val="none" w:sz="0" w:space="0" w:color="auto"/>
        <w:right w:val="none" w:sz="0" w:space="0" w:color="auto"/>
      </w:divBdr>
    </w:div>
    <w:div w:id="558711101">
      <w:bodyDiv w:val="1"/>
      <w:marLeft w:val="0"/>
      <w:marRight w:val="0"/>
      <w:marTop w:val="0"/>
      <w:marBottom w:val="0"/>
      <w:divBdr>
        <w:top w:val="none" w:sz="0" w:space="0" w:color="auto"/>
        <w:left w:val="none" w:sz="0" w:space="0" w:color="auto"/>
        <w:bottom w:val="none" w:sz="0" w:space="0" w:color="auto"/>
        <w:right w:val="none" w:sz="0" w:space="0" w:color="auto"/>
      </w:divBdr>
    </w:div>
    <w:div w:id="615597880">
      <w:bodyDiv w:val="1"/>
      <w:marLeft w:val="0"/>
      <w:marRight w:val="0"/>
      <w:marTop w:val="0"/>
      <w:marBottom w:val="0"/>
      <w:divBdr>
        <w:top w:val="none" w:sz="0" w:space="0" w:color="auto"/>
        <w:left w:val="none" w:sz="0" w:space="0" w:color="auto"/>
        <w:bottom w:val="none" w:sz="0" w:space="0" w:color="auto"/>
        <w:right w:val="none" w:sz="0" w:space="0" w:color="auto"/>
      </w:divBdr>
      <w:divsChild>
        <w:div w:id="211624099">
          <w:marLeft w:val="0"/>
          <w:marRight w:val="0"/>
          <w:marTop w:val="0"/>
          <w:marBottom w:val="0"/>
          <w:divBdr>
            <w:top w:val="none" w:sz="0" w:space="0" w:color="auto"/>
            <w:left w:val="none" w:sz="0" w:space="0" w:color="auto"/>
            <w:bottom w:val="none" w:sz="0" w:space="0" w:color="auto"/>
            <w:right w:val="none" w:sz="0" w:space="0" w:color="auto"/>
          </w:divBdr>
          <w:divsChild>
            <w:div w:id="379477472">
              <w:marLeft w:val="0"/>
              <w:marRight w:val="0"/>
              <w:marTop w:val="0"/>
              <w:marBottom w:val="0"/>
              <w:divBdr>
                <w:top w:val="none" w:sz="0" w:space="0" w:color="auto"/>
                <w:left w:val="none" w:sz="0" w:space="0" w:color="auto"/>
                <w:bottom w:val="none" w:sz="0" w:space="0" w:color="auto"/>
                <w:right w:val="none" w:sz="0" w:space="0" w:color="auto"/>
              </w:divBdr>
              <w:divsChild>
                <w:div w:id="2091729024">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1608352">
                      <w:marLeft w:val="960"/>
                      <w:marRight w:val="0"/>
                      <w:marTop w:val="480"/>
                      <w:marBottom w:val="240"/>
                      <w:divBdr>
                        <w:top w:val="none" w:sz="0" w:space="0" w:color="auto"/>
                        <w:left w:val="none" w:sz="0" w:space="0" w:color="auto"/>
                        <w:bottom w:val="none" w:sz="0" w:space="0" w:color="auto"/>
                        <w:right w:val="none" w:sz="0" w:space="0" w:color="auto"/>
                      </w:divBdr>
                      <w:divsChild>
                        <w:div w:id="860242413">
                          <w:marLeft w:val="240"/>
                          <w:marRight w:val="240"/>
                          <w:marTop w:val="0"/>
                          <w:marBottom w:val="0"/>
                          <w:divBdr>
                            <w:top w:val="none" w:sz="0" w:space="0" w:color="auto"/>
                            <w:left w:val="none" w:sz="0" w:space="0" w:color="auto"/>
                            <w:bottom w:val="none" w:sz="0" w:space="0" w:color="auto"/>
                            <w:right w:val="none" w:sz="0" w:space="0" w:color="auto"/>
                          </w:divBdr>
                        </w:div>
                        <w:div w:id="9694772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980406">
          <w:marLeft w:val="0"/>
          <w:marRight w:val="0"/>
          <w:marTop w:val="0"/>
          <w:marBottom w:val="0"/>
          <w:divBdr>
            <w:top w:val="none" w:sz="0" w:space="0" w:color="auto"/>
            <w:left w:val="none" w:sz="0" w:space="0" w:color="auto"/>
            <w:bottom w:val="none" w:sz="0" w:space="0" w:color="auto"/>
            <w:right w:val="none" w:sz="0" w:space="0" w:color="auto"/>
          </w:divBdr>
          <w:divsChild>
            <w:div w:id="1153333488">
              <w:marLeft w:val="0"/>
              <w:marRight w:val="0"/>
              <w:marTop w:val="0"/>
              <w:marBottom w:val="0"/>
              <w:divBdr>
                <w:top w:val="none" w:sz="0" w:space="0" w:color="auto"/>
                <w:left w:val="none" w:sz="0" w:space="0" w:color="auto"/>
                <w:bottom w:val="none" w:sz="0" w:space="0" w:color="auto"/>
                <w:right w:val="none" w:sz="0" w:space="0" w:color="auto"/>
              </w:divBdr>
              <w:divsChild>
                <w:div w:id="1437095814">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50830171">
                      <w:marLeft w:val="960"/>
                      <w:marRight w:val="0"/>
                      <w:marTop w:val="480"/>
                      <w:marBottom w:val="240"/>
                      <w:divBdr>
                        <w:top w:val="none" w:sz="0" w:space="0" w:color="auto"/>
                        <w:left w:val="none" w:sz="0" w:space="0" w:color="auto"/>
                        <w:bottom w:val="none" w:sz="0" w:space="0" w:color="auto"/>
                        <w:right w:val="none" w:sz="0" w:space="0" w:color="auto"/>
                      </w:divBdr>
                      <w:divsChild>
                        <w:div w:id="440806220">
                          <w:marLeft w:val="240"/>
                          <w:marRight w:val="240"/>
                          <w:marTop w:val="0"/>
                          <w:marBottom w:val="0"/>
                          <w:divBdr>
                            <w:top w:val="none" w:sz="0" w:space="0" w:color="auto"/>
                            <w:left w:val="none" w:sz="0" w:space="0" w:color="auto"/>
                            <w:bottom w:val="none" w:sz="0" w:space="0" w:color="auto"/>
                            <w:right w:val="none" w:sz="0" w:space="0" w:color="auto"/>
                          </w:divBdr>
                        </w:div>
                        <w:div w:id="6085833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870968">
      <w:bodyDiv w:val="1"/>
      <w:marLeft w:val="0"/>
      <w:marRight w:val="0"/>
      <w:marTop w:val="0"/>
      <w:marBottom w:val="0"/>
      <w:divBdr>
        <w:top w:val="none" w:sz="0" w:space="0" w:color="auto"/>
        <w:left w:val="none" w:sz="0" w:space="0" w:color="auto"/>
        <w:bottom w:val="none" w:sz="0" w:space="0" w:color="auto"/>
        <w:right w:val="none" w:sz="0" w:space="0" w:color="auto"/>
      </w:divBdr>
    </w:div>
    <w:div w:id="679507166">
      <w:bodyDiv w:val="1"/>
      <w:marLeft w:val="0"/>
      <w:marRight w:val="0"/>
      <w:marTop w:val="0"/>
      <w:marBottom w:val="0"/>
      <w:divBdr>
        <w:top w:val="none" w:sz="0" w:space="0" w:color="auto"/>
        <w:left w:val="none" w:sz="0" w:space="0" w:color="auto"/>
        <w:bottom w:val="none" w:sz="0" w:space="0" w:color="auto"/>
        <w:right w:val="none" w:sz="0" w:space="0" w:color="auto"/>
      </w:divBdr>
    </w:div>
    <w:div w:id="693919304">
      <w:bodyDiv w:val="1"/>
      <w:marLeft w:val="0"/>
      <w:marRight w:val="0"/>
      <w:marTop w:val="0"/>
      <w:marBottom w:val="0"/>
      <w:divBdr>
        <w:top w:val="none" w:sz="0" w:space="0" w:color="auto"/>
        <w:left w:val="none" w:sz="0" w:space="0" w:color="auto"/>
        <w:bottom w:val="none" w:sz="0" w:space="0" w:color="auto"/>
        <w:right w:val="none" w:sz="0" w:space="0" w:color="auto"/>
      </w:divBdr>
    </w:div>
    <w:div w:id="706220579">
      <w:bodyDiv w:val="1"/>
      <w:marLeft w:val="0"/>
      <w:marRight w:val="0"/>
      <w:marTop w:val="0"/>
      <w:marBottom w:val="0"/>
      <w:divBdr>
        <w:top w:val="none" w:sz="0" w:space="0" w:color="auto"/>
        <w:left w:val="none" w:sz="0" w:space="0" w:color="auto"/>
        <w:bottom w:val="none" w:sz="0" w:space="0" w:color="auto"/>
        <w:right w:val="none" w:sz="0" w:space="0" w:color="auto"/>
      </w:divBdr>
    </w:div>
    <w:div w:id="714428452">
      <w:bodyDiv w:val="1"/>
      <w:marLeft w:val="0"/>
      <w:marRight w:val="0"/>
      <w:marTop w:val="0"/>
      <w:marBottom w:val="0"/>
      <w:divBdr>
        <w:top w:val="none" w:sz="0" w:space="0" w:color="auto"/>
        <w:left w:val="none" w:sz="0" w:space="0" w:color="auto"/>
        <w:bottom w:val="none" w:sz="0" w:space="0" w:color="auto"/>
        <w:right w:val="none" w:sz="0" w:space="0" w:color="auto"/>
      </w:divBdr>
    </w:div>
    <w:div w:id="719323829">
      <w:bodyDiv w:val="1"/>
      <w:marLeft w:val="0"/>
      <w:marRight w:val="0"/>
      <w:marTop w:val="0"/>
      <w:marBottom w:val="0"/>
      <w:divBdr>
        <w:top w:val="none" w:sz="0" w:space="0" w:color="auto"/>
        <w:left w:val="none" w:sz="0" w:space="0" w:color="auto"/>
        <w:bottom w:val="none" w:sz="0" w:space="0" w:color="auto"/>
        <w:right w:val="none" w:sz="0" w:space="0" w:color="auto"/>
      </w:divBdr>
    </w:div>
    <w:div w:id="721904461">
      <w:bodyDiv w:val="1"/>
      <w:marLeft w:val="0"/>
      <w:marRight w:val="0"/>
      <w:marTop w:val="0"/>
      <w:marBottom w:val="0"/>
      <w:divBdr>
        <w:top w:val="none" w:sz="0" w:space="0" w:color="auto"/>
        <w:left w:val="none" w:sz="0" w:space="0" w:color="auto"/>
        <w:bottom w:val="none" w:sz="0" w:space="0" w:color="auto"/>
        <w:right w:val="none" w:sz="0" w:space="0" w:color="auto"/>
      </w:divBdr>
    </w:div>
    <w:div w:id="759714559">
      <w:bodyDiv w:val="1"/>
      <w:marLeft w:val="0"/>
      <w:marRight w:val="0"/>
      <w:marTop w:val="0"/>
      <w:marBottom w:val="0"/>
      <w:divBdr>
        <w:top w:val="none" w:sz="0" w:space="0" w:color="auto"/>
        <w:left w:val="none" w:sz="0" w:space="0" w:color="auto"/>
        <w:bottom w:val="none" w:sz="0" w:space="0" w:color="auto"/>
        <w:right w:val="none" w:sz="0" w:space="0" w:color="auto"/>
      </w:divBdr>
      <w:divsChild>
        <w:div w:id="930428482">
          <w:marLeft w:val="0"/>
          <w:marRight w:val="0"/>
          <w:marTop w:val="150"/>
          <w:marBottom w:val="0"/>
          <w:divBdr>
            <w:top w:val="none" w:sz="0" w:space="0" w:color="auto"/>
            <w:left w:val="none" w:sz="0" w:space="0" w:color="auto"/>
            <w:bottom w:val="none" w:sz="0" w:space="0" w:color="auto"/>
            <w:right w:val="none" w:sz="0" w:space="0" w:color="auto"/>
          </w:divBdr>
          <w:divsChild>
            <w:div w:id="231962377">
              <w:marLeft w:val="0"/>
              <w:marRight w:val="0"/>
              <w:marTop w:val="0"/>
              <w:marBottom w:val="0"/>
              <w:divBdr>
                <w:top w:val="none" w:sz="0" w:space="0" w:color="auto"/>
                <w:left w:val="none" w:sz="0" w:space="0" w:color="auto"/>
                <w:bottom w:val="none" w:sz="0" w:space="0" w:color="auto"/>
                <w:right w:val="none" w:sz="0" w:space="0" w:color="auto"/>
              </w:divBdr>
            </w:div>
          </w:divsChild>
        </w:div>
        <w:div w:id="1387873795">
          <w:marLeft w:val="0"/>
          <w:marRight w:val="0"/>
          <w:marTop w:val="300"/>
          <w:marBottom w:val="420"/>
          <w:divBdr>
            <w:top w:val="none" w:sz="0" w:space="0" w:color="auto"/>
            <w:left w:val="none" w:sz="0" w:space="0" w:color="auto"/>
            <w:bottom w:val="none" w:sz="0" w:space="0" w:color="auto"/>
            <w:right w:val="none" w:sz="0" w:space="0" w:color="auto"/>
          </w:divBdr>
          <w:divsChild>
            <w:div w:id="568073013">
              <w:marLeft w:val="0"/>
              <w:marRight w:val="0"/>
              <w:marTop w:val="150"/>
              <w:marBottom w:val="0"/>
              <w:divBdr>
                <w:top w:val="none" w:sz="0" w:space="0" w:color="auto"/>
                <w:left w:val="none" w:sz="0" w:space="0" w:color="auto"/>
                <w:bottom w:val="none" w:sz="0" w:space="0" w:color="auto"/>
                <w:right w:val="none" w:sz="0" w:space="0" w:color="auto"/>
              </w:divBdr>
              <w:divsChild>
                <w:div w:id="253587662">
                  <w:marLeft w:val="0"/>
                  <w:marRight w:val="0"/>
                  <w:marTop w:val="0"/>
                  <w:marBottom w:val="0"/>
                  <w:divBdr>
                    <w:top w:val="none" w:sz="0" w:space="0" w:color="auto"/>
                    <w:left w:val="none" w:sz="0" w:space="0" w:color="auto"/>
                    <w:bottom w:val="none" w:sz="0" w:space="0" w:color="auto"/>
                    <w:right w:val="none" w:sz="0" w:space="0" w:color="auto"/>
                  </w:divBdr>
                  <w:divsChild>
                    <w:div w:id="1492407269">
                      <w:marLeft w:val="0"/>
                      <w:marRight w:val="0"/>
                      <w:marTop w:val="0"/>
                      <w:marBottom w:val="0"/>
                      <w:divBdr>
                        <w:top w:val="none" w:sz="0" w:space="0" w:color="auto"/>
                        <w:left w:val="none" w:sz="0" w:space="0" w:color="auto"/>
                        <w:bottom w:val="none" w:sz="0" w:space="0" w:color="auto"/>
                        <w:right w:val="none" w:sz="0" w:space="0" w:color="auto"/>
                      </w:divBdr>
                      <w:divsChild>
                        <w:div w:id="1491747537">
                          <w:marLeft w:val="0"/>
                          <w:marRight w:val="0"/>
                          <w:marTop w:val="0"/>
                          <w:marBottom w:val="0"/>
                          <w:divBdr>
                            <w:top w:val="none" w:sz="0" w:space="0" w:color="auto"/>
                            <w:left w:val="none" w:sz="0" w:space="0" w:color="auto"/>
                            <w:bottom w:val="none" w:sz="0" w:space="0" w:color="auto"/>
                            <w:right w:val="none" w:sz="0" w:space="0" w:color="auto"/>
                          </w:divBdr>
                          <w:divsChild>
                            <w:div w:id="217742614">
                              <w:marLeft w:val="0"/>
                              <w:marRight w:val="0"/>
                              <w:marTop w:val="225"/>
                              <w:marBottom w:val="3600"/>
                              <w:divBdr>
                                <w:top w:val="single" w:sz="6" w:space="0" w:color="CDCDCD"/>
                                <w:left w:val="single" w:sz="6" w:space="8" w:color="CDCDCD"/>
                                <w:bottom w:val="single" w:sz="6" w:space="4" w:color="CDCDCD"/>
                                <w:right w:val="single" w:sz="6" w:space="8" w:color="CDCDCD"/>
                              </w:divBdr>
                              <w:divsChild>
                                <w:div w:id="1003750154">
                                  <w:marLeft w:val="0"/>
                                  <w:marRight w:val="0"/>
                                  <w:marTop w:val="0"/>
                                  <w:marBottom w:val="0"/>
                                  <w:divBdr>
                                    <w:top w:val="none" w:sz="0" w:space="0" w:color="auto"/>
                                    <w:left w:val="none" w:sz="0" w:space="0" w:color="auto"/>
                                    <w:bottom w:val="none" w:sz="0" w:space="0" w:color="auto"/>
                                    <w:right w:val="none" w:sz="0" w:space="0" w:color="auto"/>
                                  </w:divBdr>
                                  <w:divsChild>
                                    <w:div w:id="2081519092">
                                      <w:marLeft w:val="0"/>
                                      <w:marRight w:val="0"/>
                                      <w:marTop w:val="0"/>
                                      <w:marBottom w:val="0"/>
                                      <w:divBdr>
                                        <w:top w:val="none" w:sz="0" w:space="0" w:color="auto"/>
                                        <w:left w:val="none" w:sz="0" w:space="0" w:color="auto"/>
                                        <w:bottom w:val="none" w:sz="0" w:space="0" w:color="auto"/>
                                        <w:right w:val="none" w:sz="0" w:space="0" w:color="auto"/>
                                      </w:divBdr>
                                      <w:divsChild>
                                        <w:div w:id="61802943">
                                          <w:marLeft w:val="0"/>
                                          <w:marRight w:val="0"/>
                                          <w:marTop w:val="0"/>
                                          <w:marBottom w:val="1500"/>
                                          <w:divBdr>
                                            <w:top w:val="single" w:sz="6" w:space="0" w:color="CECECE"/>
                                            <w:left w:val="single" w:sz="6" w:space="0" w:color="CECECE"/>
                                            <w:bottom w:val="single" w:sz="6" w:space="0" w:color="CECECE"/>
                                            <w:right w:val="single" w:sz="6" w:space="0" w:color="CECECE"/>
                                          </w:divBdr>
                                          <w:divsChild>
                                            <w:div w:id="31929075">
                                              <w:marLeft w:val="0"/>
                                              <w:marRight w:val="0"/>
                                              <w:marTop w:val="0"/>
                                              <w:marBottom w:val="0"/>
                                              <w:divBdr>
                                                <w:top w:val="none" w:sz="0" w:space="0" w:color="auto"/>
                                                <w:left w:val="none" w:sz="0" w:space="0" w:color="auto"/>
                                                <w:bottom w:val="none" w:sz="0" w:space="0" w:color="auto"/>
                                                <w:right w:val="none" w:sz="0" w:space="0" w:color="auto"/>
                                              </w:divBdr>
                                            </w:div>
                                            <w:div w:id="167527544">
                                              <w:marLeft w:val="0"/>
                                              <w:marRight w:val="0"/>
                                              <w:marTop w:val="0"/>
                                              <w:marBottom w:val="0"/>
                                              <w:divBdr>
                                                <w:top w:val="none" w:sz="0" w:space="0" w:color="auto"/>
                                                <w:left w:val="none" w:sz="0" w:space="0" w:color="auto"/>
                                                <w:bottom w:val="none" w:sz="0" w:space="0" w:color="auto"/>
                                                <w:right w:val="none" w:sz="0" w:space="0" w:color="auto"/>
                                              </w:divBdr>
                                            </w:div>
                                            <w:div w:id="788009983">
                                              <w:marLeft w:val="0"/>
                                              <w:marRight w:val="0"/>
                                              <w:marTop w:val="0"/>
                                              <w:marBottom w:val="0"/>
                                              <w:divBdr>
                                                <w:top w:val="none" w:sz="0" w:space="0" w:color="auto"/>
                                                <w:left w:val="none" w:sz="0" w:space="0" w:color="auto"/>
                                                <w:bottom w:val="none" w:sz="0" w:space="0" w:color="auto"/>
                                                <w:right w:val="none" w:sz="0" w:space="0" w:color="auto"/>
                                              </w:divBdr>
                                            </w:div>
                                            <w:div w:id="872692642">
                                              <w:marLeft w:val="0"/>
                                              <w:marRight w:val="0"/>
                                              <w:marTop w:val="0"/>
                                              <w:marBottom w:val="0"/>
                                              <w:divBdr>
                                                <w:top w:val="none" w:sz="0" w:space="0" w:color="auto"/>
                                                <w:left w:val="none" w:sz="0" w:space="0" w:color="auto"/>
                                                <w:bottom w:val="none" w:sz="0" w:space="0" w:color="auto"/>
                                                <w:right w:val="none" w:sz="0" w:space="0" w:color="auto"/>
                                              </w:divBdr>
                                            </w:div>
                                            <w:div w:id="875505235">
                                              <w:marLeft w:val="0"/>
                                              <w:marRight w:val="0"/>
                                              <w:marTop w:val="0"/>
                                              <w:marBottom w:val="0"/>
                                              <w:divBdr>
                                                <w:top w:val="none" w:sz="0" w:space="0" w:color="auto"/>
                                                <w:left w:val="none" w:sz="0" w:space="0" w:color="auto"/>
                                                <w:bottom w:val="none" w:sz="0" w:space="0" w:color="auto"/>
                                                <w:right w:val="none" w:sz="0" w:space="0" w:color="auto"/>
                                              </w:divBdr>
                                            </w:div>
                                            <w:div w:id="1402871927">
                                              <w:marLeft w:val="0"/>
                                              <w:marRight w:val="0"/>
                                              <w:marTop w:val="0"/>
                                              <w:marBottom w:val="0"/>
                                              <w:divBdr>
                                                <w:top w:val="none" w:sz="0" w:space="0" w:color="auto"/>
                                                <w:left w:val="none" w:sz="0" w:space="0" w:color="auto"/>
                                                <w:bottom w:val="none" w:sz="0" w:space="0" w:color="auto"/>
                                                <w:right w:val="none" w:sz="0" w:space="0" w:color="auto"/>
                                              </w:divBdr>
                                            </w:div>
                                            <w:div w:id="1565019414">
                                              <w:marLeft w:val="0"/>
                                              <w:marRight w:val="0"/>
                                              <w:marTop w:val="0"/>
                                              <w:marBottom w:val="0"/>
                                              <w:divBdr>
                                                <w:top w:val="none" w:sz="0" w:space="0" w:color="auto"/>
                                                <w:left w:val="none" w:sz="0" w:space="0" w:color="auto"/>
                                                <w:bottom w:val="none" w:sz="0" w:space="0" w:color="auto"/>
                                                <w:right w:val="none" w:sz="0" w:space="0" w:color="auto"/>
                                              </w:divBdr>
                                            </w:div>
                                            <w:div w:id="1585341718">
                                              <w:marLeft w:val="0"/>
                                              <w:marRight w:val="0"/>
                                              <w:marTop w:val="0"/>
                                              <w:marBottom w:val="0"/>
                                              <w:divBdr>
                                                <w:top w:val="none" w:sz="0" w:space="0" w:color="auto"/>
                                                <w:left w:val="none" w:sz="0" w:space="0" w:color="auto"/>
                                                <w:bottom w:val="none" w:sz="0" w:space="0" w:color="auto"/>
                                                <w:right w:val="none" w:sz="0" w:space="0" w:color="auto"/>
                                              </w:divBdr>
                                            </w:div>
                                            <w:div w:id="1591041360">
                                              <w:marLeft w:val="0"/>
                                              <w:marRight w:val="0"/>
                                              <w:marTop w:val="0"/>
                                              <w:marBottom w:val="0"/>
                                              <w:divBdr>
                                                <w:top w:val="none" w:sz="0" w:space="0" w:color="auto"/>
                                                <w:left w:val="none" w:sz="0" w:space="0" w:color="auto"/>
                                                <w:bottom w:val="none" w:sz="0" w:space="0" w:color="auto"/>
                                                <w:right w:val="none" w:sz="0" w:space="0" w:color="auto"/>
                                              </w:divBdr>
                                            </w:div>
                                            <w:div w:id="1694845446">
                                              <w:marLeft w:val="0"/>
                                              <w:marRight w:val="0"/>
                                              <w:marTop w:val="0"/>
                                              <w:marBottom w:val="0"/>
                                              <w:divBdr>
                                                <w:top w:val="none" w:sz="0" w:space="0" w:color="auto"/>
                                                <w:left w:val="none" w:sz="0" w:space="0" w:color="auto"/>
                                                <w:bottom w:val="none" w:sz="0" w:space="0" w:color="auto"/>
                                                <w:right w:val="none" w:sz="0" w:space="0" w:color="auto"/>
                                              </w:divBdr>
                                            </w:div>
                                            <w:div w:id="1792900174">
                                              <w:marLeft w:val="0"/>
                                              <w:marRight w:val="0"/>
                                              <w:marTop w:val="0"/>
                                              <w:marBottom w:val="0"/>
                                              <w:divBdr>
                                                <w:top w:val="none" w:sz="0" w:space="0" w:color="auto"/>
                                                <w:left w:val="none" w:sz="0" w:space="0" w:color="auto"/>
                                                <w:bottom w:val="none" w:sz="0" w:space="0" w:color="auto"/>
                                                <w:right w:val="none" w:sz="0" w:space="0" w:color="auto"/>
                                              </w:divBdr>
                                            </w:div>
                                            <w:div w:id="1800761335">
                                              <w:marLeft w:val="0"/>
                                              <w:marRight w:val="0"/>
                                              <w:marTop w:val="0"/>
                                              <w:marBottom w:val="0"/>
                                              <w:divBdr>
                                                <w:top w:val="none" w:sz="0" w:space="0" w:color="auto"/>
                                                <w:left w:val="none" w:sz="0" w:space="0" w:color="auto"/>
                                                <w:bottom w:val="none" w:sz="0" w:space="0" w:color="auto"/>
                                                <w:right w:val="none" w:sz="0" w:space="0" w:color="auto"/>
                                              </w:divBdr>
                                            </w:div>
                                          </w:divsChild>
                                        </w:div>
                                        <w:div w:id="116024923">
                                          <w:marLeft w:val="0"/>
                                          <w:marRight w:val="0"/>
                                          <w:marTop w:val="0"/>
                                          <w:marBottom w:val="0"/>
                                          <w:divBdr>
                                            <w:top w:val="none" w:sz="0" w:space="0" w:color="auto"/>
                                            <w:left w:val="none" w:sz="0" w:space="0" w:color="auto"/>
                                            <w:bottom w:val="none" w:sz="0" w:space="0" w:color="auto"/>
                                            <w:right w:val="none" w:sz="0" w:space="0" w:color="auto"/>
                                          </w:divBdr>
                                          <w:divsChild>
                                            <w:div w:id="587812843">
                                              <w:marLeft w:val="0"/>
                                              <w:marRight w:val="0"/>
                                              <w:marTop w:val="0"/>
                                              <w:marBottom w:val="0"/>
                                              <w:divBdr>
                                                <w:top w:val="none" w:sz="0" w:space="0" w:color="auto"/>
                                                <w:left w:val="none" w:sz="0" w:space="0" w:color="auto"/>
                                                <w:bottom w:val="none" w:sz="0" w:space="0" w:color="auto"/>
                                                <w:right w:val="none" w:sz="0" w:space="0" w:color="auto"/>
                                              </w:divBdr>
                                            </w:div>
                                          </w:divsChild>
                                        </w:div>
                                        <w:div w:id="134640799">
                                          <w:marLeft w:val="0"/>
                                          <w:marRight w:val="0"/>
                                          <w:marTop w:val="0"/>
                                          <w:marBottom w:val="0"/>
                                          <w:divBdr>
                                            <w:top w:val="single" w:sz="6" w:space="0" w:color="CECECE"/>
                                            <w:left w:val="single" w:sz="6" w:space="0" w:color="CECECE"/>
                                            <w:bottom w:val="single" w:sz="6" w:space="0" w:color="CECECE"/>
                                            <w:right w:val="single" w:sz="6" w:space="0" w:color="CECECE"/>
                                          </w:divBdr>
                                          <w:divsChild>
                                            <w:div w:id="4794251">
                                              <w:marLeft w:val="0"/>
                                              <w:marRight w:val="0"/>
                                              <w:marTop w:val="0"/>
                                              <w:marBottom w:val="0"/>
                                              <w:divBdr>
                                                <w:top w:val="none" w:sz="0" w:space="0" w:color="auto"/>
                                                <w:left w:val="none" w:sz="0" w:space="0" w:color="auto"/>
                                                <w:bottom w:val="none" w:sz="0" w:space="0" w:color="auto"/>
                                                <w:right w:val="none" w:sz="0" w:space="0" w:color="auto"/>
                                              </w:divBdr>
                                            </w:div>
                                            <w:div w:id="6446925">
                                              <w:marLeft w:val="0"/>
                                              <w:marRight w:val="0"/>
                                              <w:marTop w:val="0"/>
                                              <w:marBottom w:val="0"/>
                                              <w:divBdr>
                                                <w:top w:val="none" w:sz="0" w:space="0" w:color="auto"/>
                                                <w:left w:val="none" w:sz="0" w:space="0" w:color="auto"/>
                                                <w:bottom w:val="none" w:sz="0" w:space="0" w:color="auto"/>
                                                <w:right w:val="none" w:sz="0" w:space="0" w:color="auto"/>
                                              </w:divBdr>
                                            </w:div>
                                            <w:div w:id="10884538">
                                              <w:marLeft w:val="0"/>
                                              <w:marRight w:val="0"/>
                                              <w:marTop w:val="0"/>
                                              <w:marBottom w:val="0"/>
                                              <w:divBdr>
                                                <w:top w:val="none" w:sz="0" w:space="0" w:color="auto"/>
                                                <w:left w:val="none" w:sz="0" w:space="0" w:color="auto"/>
                                                <w:bottom w:val="none" w:sz="0" w:space="0" w:color="auto"/>
                                                <w:right w:val="none" w:sz="0" w:space="0" w:color="auto"/>
                                              </w:divBdr>
                                            </w:div>
                                            <w:div w:id="28578556">
                                              <w:marLeft w:val="0"/>
                                              <w:marRight w:val="0"/>
                                              <w:marTop w:val="0"/>
                                              <w:marBottom w:val="0"/>
                                              <w:divBdr>
                                                <w:top w:val="none" w:sz="0" w:space="0" w:color="auto"/>
                                                <w:left w:val="none" w:sz="0" w:space="0" w:color="auto"/>
                                                <w:bottom w:val="none" w:sz="0" w:space="0" w:color="auto"/>
                                                <w:right w:val="none" w:sz="0" w:space="0" w:color="auto"/>
                                              </w:divBdr>
                                            </w:div>
                                            <w:div w:id="31393731">
                                              <w:marLeft w:val="0"/>
                                              <w:marRight w:val="0"/>
                                              <w:marTop w:val="0"/>
                                              <w:marBottom w:val="0"/>
                                              <w:divBdr>
                                                <w:top w:val="none" w:sz="0" w:space="0" w:color="auto"/>
                                                <w:left w:val="none" w:sz="0" w:space="0" w:color="auto"/>
                                                <w:bottom w:val="none" w:sz="0" w:space="0" w:color="auto"/>
                                                <w:right w:val="none" w:sz="0" w:space="0" w:color="auto"/>
                                              </w:divBdr>
                                            </w:div>
                                            <w:div w:id="68893636">
                                              <w:marLeft w:val="0"/>
                                              <w:marRight w:val="0"/>
                                              <w:marTop w:val="0"/>
                                              <w:marBottom w:val="0"/>
                                              <w:divBdr>
                                                <w:top w:val="none" w:sz="0" w:space="0" w:color="auto"/>
                                                <w:left w:val="none" w:sz="0" w:space="0" w:color="auto"/>
                                                <w:bottom w:val="none" w:sz="0" w:space="0" w:color="auto"/>
                                                <w:right w:val="none" w:sz="0" w:space="0" w:color="auto"/>
                                              </w:divBdr>
                                            </w:div>
                                            <w:div w:id="71121097">
                                              <w:marLeft w:val="0"/>
                                              <w:marRight w:val="0"/>
                                              <w:marTop w:val="0"/>
                                              <w:marBottom w:val="0"/>
                                              <w:divBdr>
                                                <w:top w:val="none" w:sz="0" w:space="0" w:color="auto"/>
                                                <w:left w:val="none" w:sz="0" w:space="0" w:color="auto"/>
                                                <w:bottom w:val="none" w:sz="0" w:space="0" w:color="auto"/>
                                                <w:right w:val="none" w:sz="0" w:space="0" w:color="auto"/>
                                              </w:divBdr>
                                            </w:div>
                                            <w:div w:id="78478773">
                                              <w:marLeft w:val="0"/>
                                              <w:marRight w:val="0"/>
                                              <w:marTop w:val="0"/>
                                              <w:marBottom w:val="0"/>
                                              <w:divBdr>
                                                <w:top w:val="none" w:sz="0" w:space="0" w:color="auto"/>
                                                <w:left w:val="none" w:sz="0" w:space="0" w:color="auto"/>
                                                <w:bottom w:val="none" w:sz="0" w:space="0" w:color="auto"/>
                                                <w:right w:val="none" w:sz="0" w:space="0" w:color="auto"/>
                                              </w:divBdr>
                                            </w:div>
                                            <w:div w:id="119228976">
                                              <w:marLeft w:val="0"/>
                                              <w:marRight w:val="0"/>
                                              <w:marTop w:val="0"/>
                                              <w:marBottom w:val="0"/>
                                              <w:divBdr>
                                                <w:top w:val="none" w:sz="0" w:space="0" w:color="auto"/>
                                                <w:left w:val="none" w:sz="0" w:space="0" w:color="auto"/>
                                                <w:bottom w:val="none" w:sz="0" w:space="0" w:color="auto"/>
                                                <w:right w:val="none" w:sz="0" w:space="0" w:color="auto"/>
                                              </w:divBdr>
                                            </w:div>
                                            <w:div w:id="121391220">
                                              <w:marLeft w:val="0"/>
                                              <w:marRight w:val="0"/>
                                              <w:marTop w:val="0"/>
                                              <w:marBottom w:val="0"/>
                                              <w:divBdr>
                                                <w:top w:val="none" w:sz="0" w:space="0" w:color="auto"/>
                                                <w:left w:val="none" w:sz="0" w:space="0" w:color="auto"/>
                                                <w:bottom w:val="none" w:sz="0" w:space="0" w:color="auto"/>
                                                <w:right w:val="none" w:sz="0" w:space="0" w:color="auto"/>
                                              </w:divBdr>
                                            </w:div>
                                            <w:div w:id="127285267">
                                              <w:marLeft w:val="0"/>
                                              <w:marRight w:val="0"/>
                                              <w:marTop w:val="0"/>
                                              <w:marBottom w:val="0"/>
                                              <w:divBdr>
                                                <w:top w:val="none" w:sz="0" w:space="0" w:color="auto"/>
                                                <w:left w:val="none" w:sz="0" w:space="0" w:color="auto"/>
                                                <w:bottom w:val="none" w:sz="0" w:space="0" w:color="auto"/>
                                                <w:right w:val="none" w:sz="0" w:space="0" w:color="auto"/>
                                              </w:divBdr>
                                            </w:div>
                                            <w:div w:id="137769720">
                                              <w:marLeft w:val="0"/>
                                              <w:marRight w:val="0"/>
                                              <w:marTop w:val="0"/>
                                              <w:marBottom w:val="0"/>
                                              <w:divBdr>
                                                <w:top w:val="none" w:sz="0" w:space="0" w:color="auto"/>
                                                <w:left w:val="none" w:sz="0" w:space="0" w:color="auto"/>
                                                <w:bottom w:val="none" w:sz="0" w:space="0" w:color="auto"/>
                                                <w:right w:val="none" w:sz="0" w:space="0" w:color="auto"/>
                                              </w:divBdr>
                                            </w:div>
                                            <w:div w:id="138888875">
                                              <w:marLeft w:val="0"/>
                                              <w:marRight w:val="0"/>
                                              <w:marTop w:val="0"/>
                                              <w:marBottom w:val="0"/>
                                              <w:divBdr>
                                                <w:top w:val="none" w:sz="0" w:space="0" w:color="auto"/>
                                                <w:left w:val="none" w:sz="0" w:space="0" w:color="auto"/>
                                                <w:bottom w:val="none" w:sz="0" w:space="0" w:color="auto"/>
                                                <w:right w:val="none" w:sz="0" w:space="0" w:color="auto"/>
                                              </w:divBdr>
                                            </w:div>
                                            <w:div w:id="139537919">
                                              <w:marLeft w:val="0"/>
                                              <w:marRight w:val="0"/>
                                              <w:marTop w:val="0"/>
                                              <w:marBottom w:val="0"/>
                                              <w:divBdr>
                                                <w:top w:val="none" w:sz="0" w:space="0" w:color="auto"/>
                                                <w:left w:val="none" w:sz="0" w:space="0" w:color="auto"/>
                                                <w:bottom w:val="none" w:sz="0" w:space="0" w:color="auto"/>
                                                <w:right w:val="none" w:sz="0" w:space="0" w:color="auto"/>
                                              </w:divBdr>
                                            </w:div>
                                            <w:div w:id="14602293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72501680">
                                              <w:marLeft w:val="0"/>
                                              <w:marRight w:val="0"/>
                                              <w:marTop w:val="0"/>
                                              <w:marBottom w:val="0"/>
                                              <w:divBdr>
                                                <w:top w:val="none" w:sz="0" w:space="0" w:color="auto"/>
                                                <w:left w:val="none" w:sz="0" w:space="0" w:color="auto"/>
                                                <w:bottom w:val="none" w:sz="0" w:space="0" w:color="auto"/>
                                                <w:right w:val="none" w:sz="0" w:space="0" w:color="auto"/>
                                              </w:divBdr>
                                            </w:div>
                                            <w:div w:id="179123127">
                                              <w:marLeft w:val="0"/>
                                              <w:marRight w:val="0"/>
                                              <w:marTop w:val="0"/>
                                              <w:marBottom w:val="0"/>
                                              <w:divBdr>
                                                <w:top w:val="none" w:sz="0" w:space="0" w:color="auto"/>
                                                <w:left w:val="none" w:sz="0" w:space="0" w:color="auto"/>
                                                <w:bottom w:val="none" w:sz="0" w:space="0" w:color="auto"/>
                                                <w:right w:val="none" w:sz="0" w:space="0" w:color="auto"/>
                                              </w:divBdr>
                                            </w:div>
                                            <w:div w:id="195971481">
                                              <w:marLeft w:val="0"/>
                                              <w:marRight w:val="0"/>
                                              <w:marTop w:val="0"/>
                                              <w:marBottom w:val="0"/>
                                              <w:divBdr>
                                                <w:top w:val="none" w:sz="0" w:space="0" w:color="auto"/>
                                                <w:left w:val="none" w:sz="0" w:space="0" w:color="auto"/>
                                                <w:bottom w:val="none" w:sz="0" w:space="0" w:color="auto"/>
                                                <w:right w:val="none" w:sz="0" w:space="0" w:color="auto"/>
                                              </w:divBdr>
                                            </w:div>
                                            <w:div w:id="204753783">
                                              <w:marLeft w:val="0"/>
                                              <w:marRight w:val="0"/>
                                              <w:marTop w:val="0"/>
                                              <w:marBottom w:val="0"/>
                                              <w:divBdr>
                                                <w:top w:val="none" w:sz="0" w:space="0" w:color="auto"/>
                                                <w:left w:val="none" w:sz="0" w:space="0" w:color="auto"/>
                                                <w:bottom w:val="none" w:sz="0" w:space="0" w:color="auto"/>
                                                <w:right w:val="none" w:sz="0" w:space="0" w:color="auto"/>
                                              </w:divBdr>
                                            </w:div>
                                            <w:div w:id="216355186">
                                              <w:marLeft w:val="0"/>
                                              <w:marRight w:val="0"/>
                                              <w:marTop w:val="0"/>
                                              <w:marBottom w:val="0"/>
                                              <w:divBdr>
                                                <w:top w:val="none" w:sz="0" w:space="0" w:color="auto"/>
                                                <w:left w:val="none" w:sz="0" w:space="0" w:color="auto"/>
                                                <w:bottom w:val="none" w:sz="0" w:space="0" w:color="auto"/>
                                                <w:right w:val="none" w:sz="0" w:space="0" w:color="auto"/>
                                              </w:divBdr>
                                            </w:div>
                                            <w:div w:id="277686892">
                                              <w:marLeft w:val="0"/>
                                              <w:marRight w:val="0"/>
                                              <w:marTop w:val="0"/>
                                              <w:marBottom w:val="0"/>
                                              <w:divBdr>
                                                <w:top w:val="none" w:sz="0" w:space="0" w:color="auto"/>
                                                <w:left w:val="none" w:sz="0" w:space="0" w:color="auto"/>
                                                <w:bottom w:val="none" w:sz="0" w:space="0" w:color="auto"/>
                                                <w:right w:val="none" w:sz="0" w:space="0" w:color="auto"/>
                                              </w:divBdr>
                                            </w:div>
                                            <w:div w:id="283732439">
                                              <w:marLeft w:val="0"/>
                                              <w:marRight w:val="0"/>
                                              <w:marTop w:val="0"/>
                                              <w:marBottom w:val="0"/>
                                              <w:divBdr>
                                                <w:top w:val="none" w:sz="0" w:space="0" w:color="auto"/>
                                                <w:left w:val="none" w:sz="0" w:space="0" w:color="auto"/>
                                                <w:bottom w:val="none" w:sz="0" w:space="0" w:color="auto"/>
                                                <w:right w:val="none" w:sz="0" w:space="0" w:color="auto"/>
                                              </w:divBdr>
                                            </w:div>
                                            <w:div w:id="313879664">
                                              <w:marLeft w:val="0"/>
                                              <w:marRight w:val="0"/>
                                              <w:marTop w:val="0"/>
                                              <w:marBottom w:val="0"/>
                                              <w:divBdr>
                                                <w:top w:val="none" w:sz="0" w:space="0" w:color="auto"/>
                                                <w:left w:val="none" w:sz="0" w:space="0" w:color="auto"/>
                                                <w:bottom w:val="none" w:sz="0" w:space="0" w:color="auto"/>
                                                <w:right w:val="none" w:sz="0" w:space="0" w:color="auto"/>
                                              </w:divBdr>
                                            </w:div>
                                            <w:div w:id="327171833">
                                              <w:marLeft w:val="0"/>
                                              <w:marRight w:val="0"/>
                                              <w:marTop w:val="0"/>
                                              <w:marBottom w:val="0"/>
                                              <w:divBdr>
                                                <w:top w:val="none" w:sz="0" w:space="0" w:color="auto"/>
                                                <w:left w:val="none" w:sz="0" w:space="0" w:color="auto"/>
                                                <w:bottom w:val="none" w:sz="0" w:space="0" w:color="auto"/>
                                                <w:right w:val="none" w:sz="0" w:space="0" w:color="auto"/>
                                              </w:divBdr>
                                            </w:div>
                                            <w:div w:id="335428561">
                                              <w:marLeft w:val="0"/>
                                              <w:marRight w:val="0"/>
                                              <w:marTop w:val="0"/>
                                              <w:marBottom w:val="0"/>
                                              <w:divBdr>
                                                <w:top w:val="none" w:sz="0" w:space="0" w:color="auto"/>
                                                <w:left w:val="none" w:sz="0" w:space="0" w:color="auto"/>
                                                <w:bottom w:val="none" w:sz="0" w:space="0" w:color="auto"/>
                                                <w:right w:val="none" w:sz="0" w:space="0" w:color="auto"/>
                                              </w:divBdr>
                                            </w:div>
                                            <w:div w:id="343940746">
                                              <w:marLeft w:val="0"/>
                                              <w:marRight w:val="0"/>
                                              <w:marTop w:val="0"/>
                                              <w:marBottom w:val="0"/>
                                              <w:divBdr>
                                                <w:top w:val="none" w:sz="0" w:space="0" w:color="auto"/>
                                                <w:left w:val="none" w:sz="0" w:space="0" w:color="auto"/>
                                                <w:bottom w:val="none" w:sz="0" w:space="0" w:color="auto"/>
                                                <w:right w:val="none" w:sz="0" w:space="0" w:color="auto"/>
                                              </w:divBdr>
                                            </w:div>
                                            <w:div w:id="366443422">
                                              <w:marLeft w:val="0"/>
                                              <w:marRight w:val="0"/>
                                              <w:marTop w:val="0"/>
                                              <w:marBottom w:val="0"/>
                                              <w:divBdr>
                                                <w:top w:val="none" w:sz="0" w:space="0" w:color="auto"/>
                                                <w:left w:val="none" w:sz="0" w:space="0" w:color="auto"/>
                                                <w:bottom w:val="none" w:sz="0" w:space="0" w:color="auto"/>
                                                <w:right w:val="none" w:sz="0" w:space="0" w:color="auto"/>
                                              </w:divBdr>
                                            </w:div>
                                            <w:div w:id="382414852">
                                              <w:marLeft w:val="0"/>
                                              <w:marRight w:val="0"/>
                                              <w:marTop w:val="0"/>
                                              <w:marBottom w:val="0"/>
                                              <w:divBdr>
                                                <w:top w:val="none" w:sz="0" w:space="0" w:color="auto"/>
                                                <w:left w:val="none" w:sz="0" w:space="0" w:color="auto"/>
                                                <w:bottom w:val="none" w:sz="0" w:space="0" w:color="auto"/>
                                                <w:right w:val="none" w:sz="0" w:space="0" w:color="auto"/>
                                              </w:divBdr>
                                            </w:div>
                                            <w:div w:id="391658229">
                                              <w:marLeft w:val="0"/>
                                              <w:marRight w:val="0"/>
                                              <w:marTop w:val="0"/>
                                              <w:marBottom w:val="0"/>
                                              <w:divBdr>
                                                <w:top w:val="none" w:sz="0" w:space="0" w:color="auto"/>
                                                <w:left w:val="none" w:sz="0" w:space="0" w:color="auto"/>
                                                <w:bottom w:val="none" w:sz="0" w:space="0" w:color="auto"/>
                                                <w:right w:val="none" w:sz="0" w:space="0" w:color="auto"/>
                                              </w:divBdr>
                                            </w:div>
                                            <w:div w:id="394162282">
                                              <w:marLeft w:val="0"/>
                                              <w:marRight w:val="0"/>
                                              <w:marTop w:val="0"/>
                                              <w:marBottom w:val="0"/>
                                              <w:divBdr>
                                                <w:top w:val="none" w:sz="0" w:space="0" w:color="auto"/>
                                                <w:left w:val="none" w:sz="0" w:space="0" w:color="auto"/>
                                                <w:bottom w:val="none" w:sz="0" w:space="0" w:color="auto"/>
                                                <w:right w:val="none" w:sz="0" w:space="0" w:color="auto"/>
                                              </w:divBdr>
                                            </w:div>
                                            <w:div w:id="396901467">
                                              <w:marLeft w:val="0"/>
                                              <w:marRight w:val="0"/>
                                              <w:marTop w:val="0"/>
                                              <w:marBottom w:val="0"/>
                                              <w:divBdr>
                                                <w:top w:val="none" w:sz="0" w:space="0" w:color="auto"/>
                                                <w:left w:val="none" w:sz="0" w:space="0" w:color="auto"/>
                                                <w:bottom w:val="none" w:sz="0" w:space="0" w:color="auto"/>
                                                <w:right w:val="none" w:sz="0" w:space="0" w:color="auto"/>
                                              </w:divBdr>
                                            </w:div>
                                            <w:div w:id="405154127">
                                              <w:marLeft w:val="0"/>
                                              <w:marRight w:val="0"/>
                                              <w:marTop w:val="0"/>
                                              <w:marBottom w:val="0"/>
                                              <w:divBdr>
                                                <w:top w:val="none" w:sz="0" w:space="0" w:color="auto"/>
                                                <w:left w:val="none" w:sz="0" w:space="0" w:color="auto"/>
                                                <w:bottom w:val="none" w:sz="0" w:space="0" w:color="auto"/>
                                                <w:right w:val="none" w:sz="0" w:space="0" w:color="auto"/>
                                              </w:divBdr>
                                            </w:div>
                                            <w:div w:id="412632535">
                                              <w:marLeft w:val="0"/>
                                              <w:marRight w:val="0"/>
                                              <w:marTop w:val="0"/>
                                              <w:marBottom w:val="0"/>
                                              <w:divBdr>
                                                <w:top w:val="none" w:sz="0" w:space="0" w:color="auto"/>
                                                <w:left w:val="none" w:sz="0" w:space="0" w:color="auto"/>
                                                <w:bottom w:val="none" w:sz="0" w:space="0" w:color="auto"/>
                                                <w:right w:val="none" w:sz="0" w:space="0" w:color="auto"/>
                                              </w:divBdr>
                                            </w:div>
                                            <w:div w:id="439224275">
                                              <w:marLeft w:val="0"/>
                                              <w:marRight w:val="0"/>
                                              <w:marTop w:val="0"/>
                                              <w:marBottom w:val="0"/>
                                              <w:divBdr>
                                                <w:top w:val="none" w:sz="0" w:space="0" w:color="auto"/>
                                                <w:left w:val="none" w:sz="0" w:space="0" w:color="auto"/>
                                                <w:bottom w:val="none" w:sz="0" w:space="0" w:color="auto"/>
                                                <w:right w:val="none" w:sz="0" w:space="0" w:color="auto"/>
                                              </w:divBdr>
                                            </w:div>
                                            <w:div w:id="486168743">
                                              <w:marLeft w:val="0"/>
                                              <w:marRight w:val="0"/>
                                              <w:marTop w:val="0"/>
                                              <w:marBottom w:val="0"/>
                                              <w:divBdr>
                                                <w:top w:val="none" w:sz="0" w:space="0" w:color="auto"/>
                                                <w:left w:val="none" w:sz="0" w:space="0" w:color="auto"/>
                                                <w:bottom w:val="none" w:sz="0" w:space="0" w:color="auto"/>
                                                <w:right w:val="none" w:sz="0" w:space="0" w:color="auto"/>
                                              </w:divBdr>
                                            </w:div>
                                            <w:div w:id="498345802">
                                              <w:marLeft w:val="0"/>
                                              <w:marRight w:val="0"/>
                                              <w:marTop w:val="0"/>
                                              <w:marBottom w:val="0"/>
                                              <w:divBdr>
                                                <w:top w:val="none" w:sz="0" w:space="0" w:color="auto"/>
                                                <w:left w:val="none" w:sz="0" w:space="0" w:color="auto"/>
                                                <w:bottom w:val="none" w:sz="0" w:space="0" w:color="auto"/>
                                                <w:right w:val="none" w:sz="0" w:space="0" w:color="auto"/>
                                              </w:divBdr>
                                            </w:div>
                                            <w:div w:id="533536876">
                                              <w:marLeft w:val="0"/>
                                              <w:marRight w:val="0"/>
                                              <w:marTop w:val="0"/>
                                              <w:marBottom w:val="0"/>
                                              <w:divBdr>
                                                <w:top w:val="none" w:sz="0" w:space="0" w:color="auto"/>
                                                <w:left w:val="none" w:sz="0" w:space="0" w:color="auto"/>
                                                <w:bottom w:val="none" w:sz="0" w:space="0" w:color="auto"/>
                                                <w:right w:val="none" w:sz="0" w:space="0" w:color="auto"/>
                                              </w:divBdr>
                                            </w:div>
                                            <w:div w:id="554703857">
                                              <w:marLeft w:val="0"/>
                                              <w:marRight w:val="0"/>
                                              <w:marTop w:val="0"/>
                                              <w:marBottom w:val="0"/>
                                              <w:divBdr>
                                                <w:top w:val="none" w:sz="0" w:space="0" w:color="auto"/>
                                                <w:left w:val="none" w:sz="0" w:space="0" w:color="auto"/>
                                                <w:bottom w:val="none" w:sz="0" w:space="0" w:color="auto"/>
                                                <w:right w:val="none" w:sz="0" w:space="0" w:color="auto"/>
                                              </w:divBdr>
                                            </w:div>
                                            <w:div w:id="559100884">
                                              <w:marLeft w:val="0"/>
                                              <w:marRight w:val="0"/>
                                              <w:marTop w:val="0"/>
                                              <w:marBottom w:val="0"/>
                                              <w:divBdr>
                                                <w:top w:val="none" w:sz="0" w:space="0" w:color="auto"/>
                                                <w:left w:val="none" w:sz="0" w:space="0" w:color="auto"/>
                                                <w:bottom w:val="none" w:sz="0" w:space="0" w:color="auto"/>
                                                <w:right w:val="none" w:sz="0" w:space="0" w:color="auto"/>
                                              </w:divBdr>
                                            </w:div>
                                            <w:div w:id="584068869">
                                              <w:marLeft w:val="0"/>
                                              <w:marRight w:val="0"/>
                                              <w:marTop w:val="0"/>
                                              <w:marBottom w:val="0"/>
                                              <w:divBdr>
                                                <w:top w:val="none" w:sz="0" w:space="0" w:color="auto"/>
                                                <w:left w:val="none" w:sz="0" w:space="0" w:color="auto"/>
                                                <w:bottom w:val="none" w:sz="0" w:space="0" w:color="auto"/>
                                                <w:right w:val="none" w:sz="0" w:space="0" w:color="auto"/>
                                              </w:divBdr>
                                            </w:div>
                                            <w:div w:id="589123648">
                                              <w:marLeft w:val="0"/>
                                              <w:marRight w:val="0"/>
                                              <w:marTop w:val="0"/>
                                              <w:marBottom w:val="0"/>
                                              <w:divBdr>
                                                <w:top w:val="none" w:sz="0" w:space="0" w:color="auto"/>
                                                <w:left w:val="none" w:sz="0" w:space="0" w:color="auto"/>
                                                <w:bottom w:val="none" w:sz="0" w:space="0" w:color="auto"/>
                                                <w:right w:val="none" w:sz="0" w:space="0" w:color="auto"/>
                                              </w:divBdr>
                                            </w:div>
                                            <w:div w:id="594291975">
                                              <w:marLeft w:val="0"/>
                                              <w:marRight w:val="0"/>
                                              <w:marTop w:val="0"/>
                                              <w:marBottom w:val="0"/>
                                              <w:divBdr>
                                                <w:top w:val="none" w:sz="0" w:space="0" w:color="auto"/>
                                                <w:left w:val="none" w:sz="0" w:space="0" w:color="auto"/>
                                                <w:bottom w:val="none" w:sz="0" w:space="0" w:color="auto"/>
                                                <w:right w:val="none" w:sz="0" w:space="0" w:color="auto"/>
                                              </w:divBdr>
                                            </w:div>
                                            <w:div w:id="604119595">
                                              <w:marLeft w:val="0"/>
                                              <w:marRight w:val="0"/>
                                              <w:marTop w:val="0"/>
                                              <w:marBottom w:val="0"/>
                                              <w:divBdr>
                                                <w:top w:val="none" w:sz="0" w:space="0" w:color="auto"/>
                                                <w:left w:val="none" w:sz="0" w:space="0" w:color="auto"/>
                                                <w:bottom w:val="none" w:sz="0" w:space="0" w:color="auto"/>
                                                <w:right w:val="none" w:sz="0" w:space="0" w:color="auto"/>
                                              </w:divBdr>
                                            </w:div>
                                            <w:div w:id="606499106">
                                              <w:marLeft w:val="0"/>
                                              <w:marRight w:val="0"/>
                                              <w:marTop w:val="0"/>
                                              <w:marBottom w:val="0"/>
                                              <w:divBdr>
                                                <w:top w:val="none" w:sz="0" w:space="0" w:color="auto"/>
                                                <w:left w:val="none" w:sz="0" w:space="0" w:color="auto"/>
                                                <w:bottom w:val="none" w:sz="0" w:space="0" w:color="auto"/>
                                                <w:right w:val="none" w:sz="0" w:space="0" w:color="auto"/>
                                              </w:divBdr>
                                            </w:div>
                                            <w:div w:id="633292203">
                                              <w:marLeft w:val="0"/>
                                              <w:marRight w:val="0"/>
                                              <w:marTop w:val="0"/>
                                              <w:marBottom w:val="0"/>
                                              <w:divBdr>
                                                <w:top w:val="none" w:sz="0" w:space="0" w:color="auto"/>
                                                <w:left w:val="none" w:sz="0" w:space="0" w:color="auto"/>
                                                <w:bottom w:val="none" w:sz="0" w:space="0" w:color="auto"/>
                                                <w:right w:val="none" w:sz="0" w:space="0" w:color="auto"/>
                                              </w:divBdr>
                                            </w:div>
                                            <w:div w:id="637731733">
                                              <w:marLeft w:val="0"/>
                                              <w:marRight w:val="0"/>
                                              <w:marTop w:val="0"/>
                                              <w:marBottom w:val="0"/>
                                              <w:divBdr>
                                                <w:top w:val="none" w:sz="0" w:space="0" w:color="auto"/>
                                                <w:left w:val="none" w:sz="0" w:space="0" w:color="auto"/>
                                                <w:bottom w:val="none" w:sz="0" w:space="0" w:color="auto"/>
                                                <w:right w:val="none" w:sz="0" w:space="0" w:color="auto"/>
                                              </w:divBdr>
                                            </w:div>
                                            <w:div w:id="643119244">
                                              <w:marLeft w:val="0"/>
                                              <w:marRight w:val="0"/>
                                              <w:marTop w:val="0"/>
                                              <w:marBottom w:val="0"/>
                                              <w:divBdr>
                                                <w:top w:val="none" w:sz="0" w:space="0" w:color="auto"/>
                                                <w:left w:val="none" w:sz="0" w:space="0" w:color="auto"/>
                                                <w:bottom w:val="none" w:sz="0" w:space="0" w:color="auto"/>
                                                <w:right w:val="none" w:sz="0" w:space="0" w:color="auto"/>
                                              </w:divBdr>
                                            </w:div>
                                            <w:div w:id="652686755">
                                              <w:marLeft w:val="0"/>
                                              <w:marRight w:val="0"/>
                                              <w:marTop w:val="0"/>
                                              <w:marBottom w:val="0"/>
                                              <w:divBdr>
                                                <w:top w:val="none" w:sz="0" w:space="0" w:color="auto"/>
                                                <w:left w:val="none" w:sz="0" w:space="0" w:color="auto"/>
                                                <w:bottom w:val="none" w:sz="0" w:space="0" w:color="auto"/>
                                                <w:right w:val="none" w:sz="0" w:space="0" w:color="auto"/>
                                              </w:divBdr>
                                            </w:div>
                                            <w:div w:id="658852541">
                                              <w:marLeft w:val="0"/>
                                              <w:marRight w:val="0"/>
                                              <w:marTop w:val="0"/>
                                              <w:marBottom w:val="0"/>
                                              <w:divBdr>
                                                <w:top w:val="none" w:sz="0" w:space="0" w:color="auto"/>
                                                <w:left w:val="none" w:sz="0" w:space="0" w:color="auto"/>
                                                <w:bottom w:val="none" w:sz="0" w:space="0" w:color="auto"/>
                                                <w:right w:val="none" w:sz="0" w:space="0" w:color="auto"/>
                                              </w:divBdr>
                                            </w:div>
                                            <w:div w:id="660158379">
                                              <w:marLeft w:val="0"/>
                                              <w:marRight w:val="0"/>
                                              <w:marTop w:val="0"/>
                                              <w:marBottom w:val="0"/>
                                              <w:divBdr>
                                                <w:top w:val="none" w:sz="0" w:space="0" w:color="auto"/>
                                                <w:left w:val="none" w:sz="0" w:space="0" w:color="auto"/>
                                                <w:bottom w:val="none" w:sz="0" w:space="0" w:color="auto"/>
                                                <w:right w:val="none" w:sz="0" w:space="0" w:color="auto"/>
                                              </w:divBdr>
                                            </w:div>
                                            <w:div w:id="715742122">
                                              <w:marLeft w:val="0"/>
                                              <w:marRight w:val="0"/>
                                              <w:marTop w:val="0"/>
                                              <w:marBottom w:val="0"/>
                                              <w:divBdr>
                                                <w:top w:val="none" w:sz="0" w:space="0" w:color="auto"/>
                                                <w:left w:val="none" w:sz="0" w:space="0" w:color="auto"/>
                                                <w:bottom w:val="none" w:sz="0" w:space="0" w:color="auto"/>
                                                <w:right w:val="none" w:sz="0" w:space="0" w:color="auto"/>
                                              </w:divBdr>
                                            </w:div>
                                            <w:div w:id="716127363">
                                              <w:marLeft w:val="0"/>
                                              <w:marRight w:val="0"/>
                                              <w:marTop w:val="0"/>
                                              <w:marBottom w:val="0"/>
                                              <w:divBdr>
                                                <w:top w:val="none" w:sz="0" w:space="0" w:color="auto"/>
                                                <w:left w:val="none" w:sz="0" w:space="0" w:color="auto"/>
                                                <w:bottom w:val="none" w:sz="0" w:space="0" w:color="auto"/>
                                                <w:right w:val="none" w:sz="0" w:space="0" w:color="auto"/>
                                              </w:divBdr>
                                            </w:div>
                                            <w:div w:id="748893528">
                                              <w:marLeft w:val="0"/>
                                              <w:marRight w:val="0"/>
                                              <w:marTop w:val="0"/>
                                              <w:marBottom w:val="0"/>
                                              <w:divBdr>
                                                <w:top w:val="none" w:sz="0" w:space="0" w:color="auto"/>
                                                <w:left w:val="none" w:sz="0" w:space="0" w:color="auto"/>
                                                <w:bottom w:val="none" w:sz="0" w:space="0" w:color="auto"/>
                                                <w:right w:val="none" w:sz="0" w:space="0" w:color="auto"/>
                                              </w:divBdr>
                                            </w:div>
                                            <w:div w:id="753934646">
                                              <w:marLeft w:val="0"/>
                                              <w:marRight w:val="0"/>
                                              <w:marTop w:val="0"/>
                                              <w:marBottom w:val="0"/>
                                              <w:divBdr>
                                                <w:top w:val="none" w:sz="0" w:space="0" w:color="auto"/>
                                                <w:left w:val="none" w:sz="0" w:space="0" w:color="auto"/>
                                                <w:bottom w:val="none" w:sz="0" w:space="0" w:color="auto"/>
                                                <w:right w:val="none" w:sz="0" w:space="0" w:color="auto"/>
                                              </w:divBdr>
                                            </w:div>
                                            <w:div w:id="779759003">
                                              <w:marLeft w:val="0"/>
                                              <w:marRight w:val="0"/>
                                              <w:marTop w:val="0"/>
                                              <w:marBottom w:val="0"/>
                                              <w:divBdr>
                                                <w:top w:val="none" w:sz="0" w:space="0" w:color="auto"/>
                                                <w:left w:val="none" w:sz="0" w:space="0" w:color="auto"/>
                                                <w:bottom w:val="none" w:sz="0" w:space="0" w:color="auto"/>
                                                <w:right w:val="none" w:sz="0" w:space="0" w:color="auto"/>
                                              </w:divBdr>
                                            </w:div>
                                            <w:div w:id="803668090">
                                              <w:marLeft w:val="0"/>
                                              <w:marRight w:val="0"/>
                                              <w:marTop w:val="0"/>
                                              <w:marBottom w:val="0"/>
                                              <w:divBdr>
                                                <w:top w:val="none" w:sz="0" w:space="0" w:color="auto"/>
                                                <w:left w:val="none" w:sz="0" w:space="0" w:color="auto"/>
                                                <w:bottom w:val="none" w:sz="0" w:space="0" w:color="auto"/>
                                                <w:right w:val="none" w:sz="0" w:space="0" w:color="auto"/>
                                              </w:divBdr>
                                            </w:div>
                                            <w:div w:id="826018878">
                                              <w:marLeft w:val="0"/>
                                              <w:marRight w:val="0"/>
                                              <w:marTop w:val="0"/>
                                              <w:marBottom w:val="0"/>
                                              <w:divBdr>
                                                <w:top w:val="none" w:sz="0" w:space="0" w:color="auto"/>
                                                <w:left w:val="none" w:sz="0" w:space="0" w:color="auto"/>
                                                <w:bottom w:val="none" w:sz="0" w:space="0" w:color="auto"/>
                                                <w:right w:val="none" w:sz="0" w:space="0" w:color="auto"/>
                                              </w:divBdr>
                                            </w:div>
                                            <w:div w:id="826357596">
                                              <w:marLeft w:val="0"/>
                                              <w:marRight w:val="0"/>
                                              <w:marTop w:val="0"/>
                                              <w:marBottom w:val="0"/>
                                              <w:divBdr>
                                                <w:top w:val="none" w:sz="0" w:space="0" w:color="auto"/>
                                                <w:left w:val="none" w:sz="0" w:space="0" w:color="auto"/>
                                                <w:bottom w:val="none" w:sz="0" w:space="0" w:color="auto"/>
                                                <w:right w:val="none" w:sz="0" w:space="0" w:color="auto"/>
                                              </w:divBdr>
                                            </w:div>
                                            <w:div w:id="841701432">
                                              <w:marLeft w:val="0"/>
                                              <w:marRight w:val="0"/>
                                              <w:marTop w:val="0"/>
                                              <w:marBottom w:val="0"/>
                                              <w:divBdr>
                                                <w:top w:val="none" w:sz="0" w:space="0" w:color="auto"/>
                                                <w:left w:val="none" w:sz="0" w:space="0" w:color="auto"/>
                                                <w:bottom w:val="none" w:sz="0" w:space="0" w:color="auto"/>
                                                <w:right w:val="none" w:sz="0" w:space="0" w:color="auto"/>
                                              </w:divBdr>
                                            </w:div>
                                            <w:div w:id="847330834">
                                              <w:marLeft w:val="0"/>
                                              <w:marRight w:val="0"/>
                                              <w:marTop w:val="0"/>
                                              <w:marBottom w:val="0"/>
                                              <w:divBdr>
                                                <w:top w:val="none" w:sz="0" w:space="0" w:color="auto"/>
                                                <w:left w:val="none" w:sz="0" w:space="0" w:color="auto"/>
                                                <w:bottom w:val="none" w:sz="0" w:space="0" w:color="auto"/>
                                                <w:right w:val="none" w:sz="0" w:space="0" w:color="auto"/>
                                              </w:divBdr>
                                            </w:div>
                                            <w:div w:id="848375611">
                                              <w:marLeft w:val="0"/>
                                              <w:marRight w:val="0"/>
                                              <w:marTop w:val="0"/>
                                              <w:marBottom w:val="0"/>
                                              <w:divBdr>
                                                <w:top w:val="none" w:sz="0" w:space="0" w:color="auto"/>
                                                <w:left w:val="none" w:sz="0" w:space="0" w:color="auto"/>
                                                <w:bottom w:val="none" w:sz="0" w:space="0" w:color="auto"/>
                                                <w:right w:val="none" w:sz="0" w:space="0" w:color="auto"/>
                                              </w:divBdr>
                                            </w:div>
                                            <w:div w:id="856503485">
                                              <w:marLeft w:val="0"/>
                                              <w:marRight w:val="0"/>
                                              <w:marTop w:val="0"/>
                                              <w:marBottom w:val="0"/>
                                              <w:divBdr>
                                                <w:top w:val="none" w:sz="0" w:space="0" w:color="auto"/>
                                                <w:left w:val="none" w:sz="0" w:space="0" w:color="auto"/>
                                                <w:bottom w:val="none" w:sz="0" w:space="0" w:color="auto"/>
                                                <w:right w:val="none" w:sz="0" w:space="0" w:color="auto"/>
                                              </w:divBdr>
                                            </w:div>
                                            <w:div w:id="857625107">
                                              <w:marLeft w:val="0"/>
                                              <w:marRight w:val="0"/>
                                              <w:marTop w:val="0"/>
                                              <w:marBottom w:val="0"/>
                                              <w:divBdr>
                                                <w:top w:val="none" w:sz="0" w:space="0" w:color="auto"/>
                                                <w:left w:val="none" w:sz="0" w:space="0" w:color="auto"/>
                                                <w:bottom w:val="none" w:sz="0" w:space="0" w:color="auto"/>
                                                <w:right w:val="none" w:sz="0" w:space="0" w:color="auto"/>
                                              </w:divBdr>
                                            </w:div>
                                            <w:div w:id="864714178">
                                              <w:marLeft w:val="0"/>
                                              <w:marRight w:val="0"/>
                                              <w:marTop w:val="0"/>
                                              <w:marBottom w:val="0"/>
                                              <w:divBdr>
                                                <w:top w:val="none" w:sz="0" w:space="0" w:color="auto"/>
                                                <w:left w:val="none" w:sz="0" w:space="0" w:color="auto"/>
                                                <w:bottom w:val="none" w:sz="0" w:space="0" w:color="auto"/>
                                                <w:right w:val="none" w:sz="0" w:space="0" w:color="auto"/>
                                              </w:divBdr>
                                            </w:div>
                                            <w:div w:id="868178143">
                                              <w:marLeft w:val="0"/>
                                              <w:marRight w:val="0"/>
                                              <w:marTop w:val="0"/>
                                              <w:marBottom w:val="0"/>
                                              <w:divBdr>
                                                <w:top w:val="none" w:sz="0" w:space="0" w:color="auto"/>
                                                <w:left w:val="none" w:sz="0" w:space="0" w:color="auto"/>
                                                <w:bottom w:val="none" w:sz="0" w:space="0" w:color="auto"/>
                                                <w:right w:val="none" w:sz="0" w:space="0" w:color="auto"/>
                                              </w:divBdr>
                                            </w:div>
                                            <w:div w:id="875392218">
                                              <w:marLeft w:val="0"/>
                                              <w:marRight w:val="0"/>
                                              <w:marTop w:val="0"/>
                                              <w:marBottom w:val="0"/>
                                              <w:divBdr>
                                                <w:top w:val="none" w:sz="0" w:space="0" w:color="auto"/>
                                                <w:left w:val="none" w:sz="0" w:space="0" w:color="auto"/>
                                                <w:bottom w:val="none" w:sz="0" w:space="0" w:color="auto"/>
                                                <w:right w:val="none" w:sz="0" w:space="0" w:color="auto"/>
                                              </w:divBdr>
                                            </w:div>
                                            <w:div w:id="884148148">
                                              <w:marLeft w:val="0"/>
                                              <w:marRight w:val="0"/>
                                              <w:marTop w:val="0"/>
                                              <w:marBottom w:val="0"/>
                                              <w:divBdr>
                                                <w:top w:val="none" w:sz="0" w:space="0" w:color="auto"/>
                                                <w:left w:val="none" w:sz="0" w:space="0" w:color="auto"/>
                                                <w:bottom w:val="none" w:sz="0" w:space="0" w:color="auto"/>
                                                <w:right w:val="none" w:sz="0" w:space="0" w:color="auto"/>
                                              </w:divBdr>
                                            </w:div>
                                            <w:div w:id="911812063">
                                              <w:marLeft w:val="0"/>
                                              <w:marRight w:val="0"/>
                                              <w:marTop w:val="0"/>
                                              <w:marBottom w:val="0"/>
                                              <w:divBdr>
                                                <w:top w:val="none" w:sz="0" w:space="0" w:color="auto"/>
                                                <w:left w:val="none" w:sz="0" w:space="0" w:color="auto"/>
                                                <w:bottom w:val="none" w:sz="0" w:space="0" w:color="auto"/>
                                                <w:right w:val="none" w:sz="0" w:space="0" w:color="auto"/>
                                              </w:divBdr>
                                            </w:div>
                                            <w:div w:id="930042911">
                                              <w:marLeft w:val="0"/>
                                              <w:marRight w:val="0"/>
                                              <w:marTop w:val="0"/>
                                              <w:marBottom w:val="0"/>
                                              <w:divBdr>
                                                <w:top w:val="none" w:sz="0" w:space="0" w:color="auto"/>
                                                <w:left w:val="none" w:sz="0" w:space="0" w:color="auto"/>
                                                <w:bottom w:val="none" w:sz="0" w:space="0" w:color="auto"/>
                                                <w:right w:val="none" w:sz="0" w:space="0" w:color="auto"/>
                                              </w:divBdr>
                                            </w:div>
                                            <w:div w:id="934023870">
                                              <w:marLeft w:val="0"/>
                                              <w:marRight w:val="0"/>
                                              <w:marTop w:val="0"/>
                                              <w:marBottom w:val="0"/>
                                              <w:divBdr>
                                                <w:top w:val="none" w:sz="0" w:space="0" w:color="auto"/>
                                                <w:left w:val="none" w:sz="0" w:space="0" w:color="auto"/>
                                                <w:bottom w:val="none" w:sz="0" w:space="0" w:color="auto"/>
                                                <w:right w:val="none" w:sz="0" w:space="0" w:color="auto"/>
                                              </w:divBdr>
                                            </w:div>
                                            <w:div w:id="934941361">
                                              <w:marLeft w:val="0"/>
                                              <w:marRight w:val="0"/>
                                              <w:marTop w:val="0"/>
                                              <w:marBottom w:val="0"/>
                                              <w:divBdr>
                                                <w:top w:val="none" w:sz="0" w:space="0" w:color="auto"/>
                                                <w:left w:val="none" w:sz="0" w:space="0" w:color="auto"/>
                                                <w:bottom w:val="none" w:sz="0" w:space="0" w:color="auto"/>
                                                <w:right w:val="none" w:sz="0" w:space="0" w:color="auto"/>
                                              </w:divBdr>
                                            </w:div>
                                            <w:div w:id="939334792">
                                              <w:marLeft w:val="0"/>
                                              <w:marRight w:val="0"/>
                                              <w:marTop w:val="0"/>
                                              <w:marBottom w:val="0"/>
                                              <w:divBdr>
                                                <w:top w:val="none" w:sz="0" w:space="0" w:color="auto"/>
                                                <w:left w:val="none" w:sz="0" w:space="0" w:color="auto"/>
                                                <w:bottom w:val="none" w:sz="0" w:space="0" w:color="auto"/>
                                                <w:right w:val="none" w:sz="0" w:space="0" w:color="auto"/>
                                              </w:divBdr>
                                            </w:div>
                                            <w:div w:id="964383821">
                                              <w:marLeft w:val="0"/>
                                              <w:marRight w:val="0"/>
                                              <w:marTop w:val="0"/>
                                              <w:marBottom w:val="0"/>
                                              <w:divBdr>
                                                <w:top w:val="none" w:sz="0" w:space="0" w:color="auto"/>
                                                <w:left w:val="none" w:sz="0" w:space="0" w:color="auto"/>
                                                <w:bottom w:val="none" w:sz="0" w:space="0" w:color="auto"/>
                                                <w:right w:val="none" w:sz="0" w:space="0" w:color="auto"/>
                                              </w:divBdr>
                                            </w:div>
                                            <w:div w:id="970555047">
                                              <w:marLeft w:val="0"/>
                                              <w:marRight w:val="0"/>
                                              <w:marTop w:val="0"/>
                                              <w:marBottom w:val="0"/>
                                              <w:divBdr>
                                                <w:top w:val="none" w:sz="0" w:space="0" w:color="auto"/>
                                                <w:left w:val="none" w:sz="0" w:space="0" w:color="auto"/>
                                                <w:bottom w:val="none" w:sz="0" w:space="0" w:color="auto"/>
                                                <w:right w:val="none" w:sz="0" w:space="0" w:color="auto"/>
                                              </w:divBdr>
                                            </w:div>
                                            <w:div w:id="987173003">
                                              <w:marLeft w:val="0"/>
                                              <w:marRight w:val="0"/>
                                              <w:marTop w:val="0"/>
                                              <w:marBottom w:val="0"/>
                                              <w:divBdr>
                                                <w:top w:val="none" w:sz="0" w:space="0" w:color="auto"/>
                                                <w:left w:val="none" w:sz="0" w:space="0" w:color="auto"/>
                                                <w:bottom w:val="none" w:sz="0" w:space="0" w:color="auto"/>
                                                <w:right w:val="none" w:sz="0" w:space="0" w:color="auto"/>
                                              </w:divBdr>
                                            </w:div>
                                            <w:div w:id="1005405065">
                                              <w:marLeft w:val="0"/>
                                              <w:marRight w:val="0"/>
                                              <w:marTop w:val="0"/>
                                              <w:marBottom w:val="0"/>
                                              <w:divBdr>
                                                <w:top w:val="none" w:sz="0" w:space="0" w:color="auto"/>
                                                <w:left w:val="none" w:sz="0" w:space="0" w:color="auto"/>
                                                <w:bottom w:val="none" w:sz="0" w:space="0" w:color="auto"/>
                                                <w:right w:val="none" w:sz="0" w:space="0" w:color="auto"/>
                                              </w:divBdr>
                                            </w:div>
                                            <w:div w:id="1007362688">
                                              <w:marLeft w:val="0"/>
                                              <w:marRight w:val="0"/>
                                              <w:marTop w:val="0"/>
                                              <w:marBottom w:val="0"/>
                                              <w:divBdr>
                                                <w:top w:val="none" w:sz="0" w:space="0" w:color="auto"/>
                                                <w:left w:val="none" w:sz="0" w:space="0" w:color="auto"/>
                                                <w:bottom w:val="none" w:sz="0" w:space="0" w:color="auto"/>
                                                <w:right w:val="none" w:sz="0" w:space="0" w:color="auto"/>
                                              </w:divBdr>
                                            </w:div>
                                            <w:div w:id="1048333784">
                                              <w:marLeft w:val="0"/>
                                              <w:marRight w:val="0"/>
                                              <w:marTop w:val="0"/>
                                              <w:marBottom w:val="0"/>
                                              <w:divBdr>
                                                <w:top w:val="none" w:sz="0" w:space="0" w:color="auto"/>
                                                <w:left w:val="none" w:sz="0" w:space="0" w:color="auto"/>
                                                <w:bottom w:val="none" w:sz="0" w:space="0" w:color="auto"/>
                                                <w:right w:val="none" w:sz="0" w:space="0" w:color="auto"/>
                                              </w:divBdr>
                                            </w:div>
                                            <w:div w:id="1061441559">
                                              <w:marLeft w:val="0"/>
                                              <w:marRight w:val="0"/>
                                              <w:marTop w:val="0"/>
                                              <w:marBottom w:val="0"/>
                                              <w:divBdr>
                                                <w:top w:val="none" w:sz="0" w:space="0" w:color="auto"/>
                                                <w:left w:val="none" w:sz="0" w:space="0" w:color="auto"/>
                                                <w:bottom w:val="none" w:sz="0" w:space="0" w:color="auto"/>
                                                <w:right w:val="none" w:sz="0" w:space="0" w:color="auto"/>
                                              </w:divBdr>
                                            </w:div>
                                            <w:div w:id="1071347991">
                                              <w:marLeft w:val="0"/>
                                              <w:marRight w:val="0"/>
                                              <w:marTop w:val="0"/>
                                              <w:marBottom w:val="0"/>
                                              <w:divBdr>
                                                <w:top w:val="none" w:sz="0" w:space="0" w:color="auto"/>
                                                <w:left w:val="none" w:sz="0" w:space="0" w:color="auto"/>
                                                <w:bottom w:val="none" w:sz="0" w:space="0" w:color="auto"/>
                                                <w:right w:val="none" w:sz="0" w:space="0" w:color="auto"/>
                                              </w:divBdr>
                                            </w:div>
                                            <w:div w:id="1072507317">
                                              <w:marLeft w:val="0"/>
                                              <w:marRight w:val="0"/>
                                              <w:marTop w:val="0"/>
                                              <w:marBottom w:val="0"/>
                                              <w:divBdr>
                                                <w:top w:val="none" w:sz="0" w:space="0" w:color="auto"/>
                                                <w:left w:val="none" w:sz="0" w:space="0" w:color="auto"/>
                                                <w:bottom w:val="none" w:sz="0" w:space="0" w:color="auto"/>
                                                <w:right w:val="none" w:sz="0" w:space="0" w:color="auto"/>
                                              </w:divBdr>
                                            </w:div>
                                            <w:div w:id="1082752684">
                                              <w:marLeft w:val="0"/>
                                              <w:marRight w:val="0"/>
                                              <w:marTop w:val="0"/>
                                              <w:marBottom w:val="0"/>
                                              <w:divBdr>
                                                <w:top w:val="none" w:sz="0" w:space="0" w:color="auto"/>
                                                <w:left w:val="none" w:sz="0" w:space="0" w:color="auto"/>
                                                <w:bottom w:val="none" w:sz="0" w:space="0" w:color="auto"/>
                                                <w:right w:val="none" w:sz="0" w:space="0" w:color="auto"/>
                                              </w:divBdr>
                                            </w:div>
                                            <w:div w:id="1087924678">
                                              <w:marLeft w:val="0"/>
                                              <w:marRight w:val="0"/>
                                              <w:marTop w:val="0"/>
                                              <w:marBottom w:val="0"/>
                                              <w:divBdr>
                                                <w:top w:val="none" w:sz="0" w:space="0" w:color="auto"/>
                                                <w:left w:val="none" w:sz="0" w:space="0" w:color="auto"/>
                                                <w:bottom w:val="none" w:sz="0" w:space="0" w:color="auto"/>
                                                <w:right w:val="none" w:sz="0" w:space="0" w:color="auto"/>
                                              </w:divBdr>
                                            </w:div>
                                            <w:div w:id="1091506130">
                                              <w:marLeft w:val="0"/>
                                              <w:marRight w:val="0"/>
                                              <w:marTop w:val="0"/>
                                              <w:marBottom w:val="0"/>
                                              <w:divBdr>
                                                <w:top w:val="none" w:sz="0" w:space="0" w:color="auto"/>
                                                <w:left w:val="none" w:sz="0" w:space="0" w:color="auto"/>
                                                <w:bottom w:val="none" w:sz="0" w:space="0" w:color="auto"/>
                                                <w:right w:val="none" w:sz="0" w:space="0" w:color="auto"/>
                                              </w:divBdr>
                                            </w:div>
                                            <w:div w:id="1094548570">
                                              <w:marLeft w:val="0"/>
                                              <w:marRight w:val="0"/>
                                              <w:marTop w:val="0"/>
                                              <w:marBottom w:val="0"/>
                                              <w:divBdr>
                                                <w:top w:val="none" w:sz="0" w:space="0" w:color="auto"/>
                                                <w:left w:val="none" w:sz="0" w:space="0" w:color="auto"/>
                                                <w:bottom w:val="none" w:sz="0" w:space="0" w:color="auto"/>
                                                <w:right w:val="none" w:sz="0" w:space="0" w:color="auto"/>
                                              </w:divBdr>
                                            </w:div>
                                            <w:div w:id="1100419169">
                                              <w:marLeft w:val="0"/>
                                              <w:marRight w:val="0"/>
                                              <w:marTop w:val="0"/>
                                              <w:marBottom w:val="0"/>
                                              <w:divBdr>
                                                <w:top w:val="none" w:sz="0" w:space="0" w:color="auto"/>
                                                <w:left w:val="none" w:sz="0" w:space="0" w:color="auto"/>
                                                <w:bottom w:val="none" w:sz="0" w:space="0" w:color="auto"/>
                                                <w:right w:val="none" w:sz="0" w:space="0" w:color="auto"/>
                                              </w:divBdr>
                                            </w:div>
                                            <w:div w:id="1107702935">
                                              <w:marLeft w:val="0"/>
                                              <w:marRight w:val="0"/>
                                              <w:marTop w:val="0"/>
                                              <w:marBottom w:val="0"/>
                                              <w:divBdr>
                                                <w:top w:val="none" w:sz="0" w:space="0" w:color="auto"/>
                                                <w:left w:val="none" w:sz="0" w:space="0" w:color="auto"/>
                                                <w:bottom w:val="none" w:sz="0" w:space="0" w:color="auto"/>
                                                <w:right w:val="none" w:sz="0" w:space="0" w:color="auto"/>
                                              </w:divBdr>
                                            </w:div>
                                            <w:div w:id="1157065251">
                                              <w:marLeft w:val="0"/>
                                              <w:marRight w:val="0"/>
                                              <w:marTop w:val="0"/>
                                              <w:marBottom w:val="0"/>
                                              <w:divBdr>
                                                <w:top w:val="none" w:sz="0" w:space="0" w:color="auto"/>
                                                <w:left w:val="none" w:sz="0" w:space="0" w:color="auto"/>
                                                <w:bottom w:val="none" w:sz="0" w:space="0" w:color="auto"/>
                                                <w:right w:val="none" w:sz="0" w:space="0" w:color="auto"/>
                                              </w:divBdr>
                                            </w:div>
                                            <w:div w:id="1161433401">
                                              <w:marLeft w:val="0"/>
                                              <w:marRight w:val="0"/>
                                              <w:marTop w:val="0"/>
                                              <w:marBottom w:val="0"/>
                                              <w:divBdr>
                                                <w:top w:val="none" w:sz="0" w:space="0" w:color="auto"/>
                                                <w:left w:val="none" w:sz="0" w:space="0" w:color="auto"/>
                                                <w:bottom w:val="none" w:sz="0" w:space="0" w:color="auto"/>
                                                <w:right w:val="none" w:sz="0" w:space="0" w:color="auto"/>
                                              </w:divBdr>
                                            </w:div>
                                            <w:div w:id="1220745214">
                                              <w:marLeft w:val="0"/>
                                              <w:marRight w:val="0"/>
                                              <w:marTop w:val="0"/>
                                              <w:marBottom w:val="0"/>
                                              <w:divBdr>
                                                <w:top w:val="none" w:sz="0" w:space="0" w:color="auto"/>
                                                <w:left w:val="none" w:sz="0" w:space="0" w:color="auto"/>
                                                <w:bottom w:val="none" w:sz="0" w:space="0" w:color="auto"/>
                                                <w:right w:val="none" w:sz="0" w:space="0" w:color="auto"/>
                                              </w:divBdr>
                                            </w:div>
                                            <w:div w:id="1239092706">
                                              <w:marLeft w:val="0"/>
                                              <w:marRight w:val="0"/>
                                              <w:marTop w:val="0"/>
                                              <w:marBottom w:val="0"/>
                                              <w:divBdr>
                                                <w:top w:val="none" w:sz="0" w:space="0" w:color="auto"/>
                                                <w:left w:val="none" w:sz="0" w:space="0" w:color="auto"/>
                                                <w:bottom w:val="none" w:sz="0" w:space="0" w:color="auto"/>
                                                <w:right w:val="none" w:sz="0" w:space="0" w:color="auto"/>
                                              </w:divBdr>
                                            </w:div>
                                            <w:div w:id="1241913236">
                                              <w:marLeft w:val="0"/>
                                              <w:marRight w:val="0"/>
                                              <w:marTop w:val="0"/>
                                              <w:marBottom w:val="0"/>
                                              <w:divBdr>
                                                <w:top w:val="none" w:sz="0" w:space="0" w:color="auto"/>
                                                <w:left w:val="none" w:sz="0" w:space="0" w:color="auto"/>
                                                <w:bottom w:val="none" w:sz="0" w:space="0" w:color="auto"/>
                                                <w:right w:val="none" w:sz="0" w:space="0" w:color="auto"/>
                                              </w:divBdr>
                                            </w:div>
                                            <w:div w:id="1272738993">
                                              <w:marLeft w:val="0"/>
                                              <w:marRight w:val="0"/>
                                              <w:marTop w:val="0"/>
                                              <w:marBottom w:val="0"/>
                                              <w:divBdr>
                                                <w:top w:val="none" w:sz="0" w:space="0" w:color="auto"/>
                                                <w:left w:val="none" w:sz="0" w:space="0" w:color="auto"/>
                                                <w:bottom w:val="none" w:sz="0" w:space="0" w:color="auto"/>
                                                <w:right w:val="none" w:sz="0" w:space="0" w:color="auto"/>
                                              </w:divBdr>
                                            </w:div>
                                            <w:div w:id="1287395927">
                                              <w:marLeft w:val="0"/>
                                              <w:marRight w:val="0"/>
                                              <w:marTop w:val="0"/>
                                              <w:marBottom w:val="0"/>
                                              <w:divBdr>
                                                <w:top w:val="none" w:sz="0" w:space="0" w:color="auto"/>
                                                <w:left w:val="none" w:sz="0" w:space="0" w:color="auto"/>
                                                <w:bottom w:val="none" w:sz="0" w:space="0" w:color="auto"/>
                                                <w:right w:val="none" w:sz="0" w:space="0" w:color="auto"/>
                                              </w:divBdr>
                                            </w:div>
                                            <w:div w:id="1309088855">
                                              <w:marLeft w:val="0"/>
                                              <w:marRight w:val="0"/>
                                              <w:marTop w:val="0"/>
                                              <w:marBottom w:val="0"/>
                                              <w:divBdr>
                                                <w:top w:val="none" w:sz="0" w:space="0" w:color="auto"/>
                                                <w:left w:val="none" w:sz="0" w:space="0" w:color="auto"/>
                                                <w:bottom w:val="none" w:sz="0" w:space="0" w:color="auto"/>
                                                <w:right w:val="none" w:sz="0" w:space="0" w:color="auto"/>
                                              </w:divBdr>
                                            </w:div>
                                            <w:div w:id="1318073157">
                                              <w:marLeft w:val="0"/>
                                              <w:marRight w:val="0"/>
                                              <w:marTop w:val="0"/>
                                              <w:marBottom w:val="0"/>
                                              <w:divBdr>
                                                <w:top w:val="none" w:sz="0" w:space="0" w:color="auto"/>
                                                <w:left w:val="none" w:sz="0" w:space="0" w:color="auto"/>
                                                <w:bottom w:val="none" w:sz="0" w:space="0" w:color="auto"/>
                                                <w:right w:val="none" w:sz="0" w:space="0" w:color="auto"/>
                                              </w:divBdr>
                                            </w:div>
                                            <w:div w:id="1322809264">
                                              <w:marLeft w:val="0"/>
                                              <w:marRight w:val="0"/>
                                              <w:marTop w:val="0"/>
                                              <w:marBottom w:val="0"/>
                                              <w:divBdr>
                                                <w:top w:val="none" w:sz="0" w:space="0" w:color="auto"/>
                                                <w:left w:val="none" w:sz="0" w:space="0" w:color="auto"/>
                                                <w:bottom w:val="none" w:sz="0" w:space="0" w:color="auto"/>
                                                <w:right w:val="none" w:sz="0" w:space="0" w:color="auto"/>
                                              </w:divBdr>
                                            </w:div>
                                            <w:div w:id="1384521664">
                                              <w:marLeft w:val="0"/>
                                              <w:marRight w:val="0"/>
                                              <w:marTop w:val="0"/>
                                              <w:marBottom w:val="0"/>
                                              <w:divBdr>
                                                <w:top w:val="none" w:sz="0" w:space="0" w:color="auto"/>
                                                <w:left w:val="none" w:sz="0" w:space="0" w:color="auto"/>
                                                <w:bottom w:val="none" w:sz="0" w:space="0" w:color="auto"/>
                                                <w:right w:val="none" w:sz="0" w:space="0" w:color="auto"/>
                                              </w:divBdr>
                                            </w:div>
                                            <w:div w:id="1394814590">
                                              <w:marLeft w:val="0"/>
                                              <w:marRight w:val="0"/>
                                              <w:marTop w:val="0"/>
                                              <w:marBottom w:val="0"/>
                                              <w:divBdr>
                                                <w:top w:val="none" w:sz="0" w:space="0" w:color="auto"/>
                                                <w:left w:val="none" w:sz="0" w:space="0" w:color="auto"/>
                                                <w:bottom w:val="none" w:sz="0" w:space="0" w:color="auto"/>
                                                <w:right w:val="none" w:sz="0" w:space="0" w:color="auto"/>
                                              </w:divBdr>
                                            </w:div>
                                            <w:div w:id="1401907990">
                                              <w:marLeft w:val="0"/>
                                              <w:marRight w:val="0"/>
                                              <w:marTop w:val="0"/>
                                              <w:marBottom w:val="0"/>
                                              <w:divBdr>
                                                <w:top w:val="none" w:sz="0" w:space="0" w:color="auto"/>
                                                <w:left w:val="none" w:sz="0" w:space="0" w:color="auto"/>
                                                <w:bottom w:val="none" w:sz="0" w:space="0" w:color="auto"/>
                                                <w:right w:val="none" w:sz="0" w:space="0" w:color="auto"/>
                                              </w:divBdr>
                                            </w:div>
                                            <w:div w:id="1413627942">
                                              <w:marLeft w:val="0"/>
                                              <w:marRight w:val="0"/>
                                              <w:marTop w:val="0"/>
                                              <w:marBottom w:val="0"/>
                                              <w:divBdr>
                                                <w:top w:val="none" w:sz="0" w:space="0" w:color="auto"/>
                                                <w:left w:val="none" w:sz="0" w:space="0" w:color="auto"/>
                                                <w:bottom w:val="none" w:sz="0" w:space="0" w:color="auto"/>
                                                <w:right w:val="none" w:sz="0" w:space="0" w:color="auto"/>
                                              </w:divBdr>
                                            </w:div>
                                            <w:div w:id="1417095645">
                                              <w:marLeft w:val="0"/>
                                              <w:marRight w:val="0"/>
                                              <w:marTop w:val="0"/>
                                              <w:marBottom w:val="0"/>
                                              <w:divBdr>
                                                <w:top w:val="none" w:sz="0" w:space="0" w:color="auto"/>
                                                <w:left w:val="none" w:sz="0" w:space="0" w:color="auto"/>
                                                <w:bottom w:val="none" w:sz="0" w:space="0" w:color="auto"/>
                                                <w:right w:val="none" w:sz="0" w:space="0" w:color="auto"/>
                                              </w:divBdr>
                                            </w:div>
                                            <w:div w:id="1424305453">
                                              <w:marLeft w:val="0"/>
                                              <w:marRight w:val="0"/>
                                              <w:marTop w:val="0"/>
                                              <w:marBottom w:val="0"/>
                                              <w:divBdr>
                                                <w:top w:val="none" w:sz="0" w:space="0" w:color="auto"/>
                                                <w:left w:val="none" w:sz="0" w:space="0" w:color="auto"/>
                                                <w:bottom w:val="none" w:sz="0" w:space="0" w:color="auto"/>
                                                <w:right w:val="none" w:sz="0" w:space="0" w:color="auto"/>
                                              </w:divBdr>
                                            </w:div>
                                            <w:div w:id="1435632145">
                                              <w:marLeft w:val="0"/>
                                              <w:marRight w:val="0"/>
                                              <w:marTop w:val="0"/>
                                              <w:marBottom w:val="0"/>
                                              <w:divBdr>
                                                <w:top w:val="none" w:sz="0" w:space="0" w:color="auto"/>
                                                <w:left w:val="none" w:sz="0" w:space="0" w:color="auto"/>
                                                <w:bottom w:val="none" w:sz="0" w:space="0" w:color="auto"/>
                                                <w:right w:val="none" w:sz="0" w:space="0" w:color="auto"/>
                                              </w:divBdr>
                                            </w:div>
                                            <w:div w:id="1436242060">
                                              <w:marLeft w:val="0"/>
                                              <w:marRight w:val="0"/>
                                              <w:marTop w:val="0"/>
                                              <w:marBottom w:val="0"/>
                                              <w:divBdr>
                                                <w:top w:val="none" w:sz="0" w:space="0" w:color="auto"/>
                                                <w:left w:val="none" w:sz="0" w:space="0" w:color="auto"/>
                                                <w:bottom w:val="none" w:sz="0" w:space="0" w:color="auto"/>
                                                <w:right w:val="none" w:sz="0" w:space="0" w:color="auto"/>
                                              </w:divBdr>
                                            </w:div>
                                            <w:div w:id="1438257778">
                                              <w:marLeft w:val="0"/>
                                              <w:marRight w:val="0"/>
                                              <w:marTop w:val="0"/>
                                              <w:marBottom w:val="0"/>
                                              <w:divBdr>
                                                <w:top w:val="none" w:sz="0" w:space="0" w:color="auto"/>
                                                <w:left w:val="none" w:sz="0" w:space="0" w:color="auto"/>
                                                <w:bottom w:val="none" w:sz="0" w:space="0" w:color="auto"/>
                                                <w:right w:val="none" w:sz="0" w:space="0" w:color="auto"/>
                                              </w:divBdr>
                                            </w:div>
                                            <w:div w:id="1444769633">
                                              <w:marLeft w:val="0"/>
                                              <w:marRight w:val="0"/>
                                              <w:marTop w:val="0"/>
                                              <w:marBottom w:val="0"/>
                                              <w:divBdr>
                                                <w:top w:val="none" w:sz="0" w:space="0" w:color="auto"/>
                                                <w:left w:val="none" w:sz="0" w:space="0" w:color="auto"/>
                                                <w:bottom w:val="none" w:sz="0" w:space="0" w:color="auto"/>
                                                <w:right w:val="none" w:sz="0" w:space="0" w:color="auto"/>
                                              </w:divBdr>
                                            </w:div>
                                            <w:div w:id="1444836519">
                                              <w:marLeft w:val="0"/>
                                              <w:marRight w:val="0"/>
                                              <w:marTop w:val="0"/>
                                              <w:marBottom w:val="0"/>
                                              <w:divBdr>
                                                <w:top w:val="none" w:sz="0" w:space="0" w:color="auto"/>
                                                <w:left w:val="none" w:sz="0" w:space="0" w:color="auto"/>
                                                <w:bottom w:val="none" w:sz="0" w:space="0" w:color="auto"/>
                                                <w:right w:val="none" w:sz="0" w:space="0" w:color="auto"/>
                                              </w:divBdr>
                                            </w:div>
                                            <w:div w:id="1447235633">
                                              <w:marLeft w:val="0"/>
                                              <w:marRight w:val="0"/>
                                              <w:marTop w:val="0"/>
                                              <w:marBottom w:val="0"/>
                                              <w:divBdr>
                                                <w:top w:val="none" w:sz="0" w:space="0" w:color="auto"/>
                                                <w:left w:val="none" w:sz="0" w:space="0" w:color="auto"/>
                                                <w:bottom w:val="none" w:sz="0" w:space="0" w:color="auto"/>
                                                <w:right w:val="none" w:sz="0" w:space="0" w:color="auto"/>
                                              </w:divBdr>
                                            </w:div>
                                            <w:div w:id="1476219634">
                                              <w:marLeft w:val="0"/>
                                              <w:marRight w:val="0"/>
                                              <w:marTop w:val="0"/>
                                              <w:marBottom w:val="0"/>
                                              <w:divBdr>
                                                <w:top w:val="none" w:sz="0" w:space="0" w:color="auto"/>
                                                <w:left w:val="none" w:sz="0" w:space="0" w:color="auto"/>
                                                <w:bottom w:val="none" w:sz="0" w:space="0" w:color="auto"/>
                                                <w:right w:val="none" w:sz="0" w:space="0" w:color="auto"/>
                                              </w:divBdr>
                                            </w:div>
                                            <w:div w:id="1480224725">
                                              <w:marLeft w:val="0"/>
                                              <w:marRight w:val="0"/>
                                              <w:marTop w:val="0"/>
                                              <w:marBottom w:val="0"/>
                                              <w:divBdr>
                                                <w:top w:val="none" w:sz="0" w:space="0" w:color="auto"/>
                                                <w:left w:val="none" w:sz="0" w:space="0" w:color="auto"/>
                                                <w:bottom w:val="none" w:sz="0" w:space="0" w:color="auto"/>
                                                <w:right w:val="none" w:sz="0" w:space="0" w:color="auto"/>
                                              </w:divBdr>
                                            </w:div>
                                            <w:div w:id="1487623502">
                                              <w:marLeft w:val="0"/>
                                              <w:marRight w:val="0"/>
                                              <w:marTop w:val="0"/>
                                              <w:marBottom w:val="0"/>
                                              <w:divBdr>
                                                <w:top w:val="none" w:sz="0" w:space="0" w:color="auto"/>
                                                <w:left w:val="none" w:sz="0" w:space="0" w:color="auto"/>
                                                <w:bottom w:val="none" w:sz="0" w:space="0" w:color="auto"/>
                                                <w:right w:val="none" w:sz="0" w:space="0" w:color="auto"/>
                                              </w:divBdr>
                                            </w:div>
                                            <w:div w:id="1509518083">
                                              <w:marLeft w:val="0"/>
                                              <w:marRight w:val="0"/>
                                              <w:marTop w:val="0"/>
                                              <w:marBottom w:val="0"/>
                                              <w:divBdr>
                                                <w:top w:val="none" w:sz="0" w:space="0" w:color="auto"/>
                                                <w:left w:val="none" w:sz="0" w:space="0" w:color="auto"/>
                                                <w:bottom w:val="none" w:sz="0" w:space="0" w:color="auto"/>
                                                <w:right w:val="none" w:sz="0" w:space="0" w:color="auto"/>
                                              </w:divBdr>
                                            </w:div>
                                            <w:div w:id="1520512081">
                                              <w:marLeft w:val="0"/>
                                              <w:marRight w:val="0"/>
                                              <w:marTop w:val="0"/>
                                              <w:marBottom w:val="0"/>
                                              <w:divBdr>
                                                <w:top w:val="none" w:sz="0" w:space="0" w:color="auto"/>
                                                <w:left w:val="none" w:sz="0" w:space="0" w:color="auto"/>
                                                <w:bottom w:val="none" w:sz="0" w:space="0" w:color="auto"/>
                                                <w:right w:val="none" w:sz="0" w:space="0" w:color="auto"/>
                                              </w:divBdr>
                                            </w:div>
                                            <w:div w:id="1528326964">
                                              <w:marLeft w:val="0"/>
                                              <w:marRight w:val="0"/>
                                              <w:marTop w:val="0"/>
                                              <w:marBottom w:val="0"/>
                                              <w:divBdr>
                                                <w:top w:val="none" w:sz="0" w:space="0" w:color="auto"/>
                                                <w:left w:val="none" w:sz="0" w:space="0" w:color="auto"/>
                                                <w:bottom w:val="none" w:sz="0" w:space="0" w:color="auto"/>
                                                <w:right w:val="none" w:sz="0" w:space="0" w:color="auto"/>
                                              </w:divBdr>
                                            </w:div>
                                            <w:div w:id="1542402798">
                                              <w:marLeft w:val="0"/>
                                              <w:marRight w:val="0"/>
                                              <w:marTop w:val="0"/>
                                              <w:marBottom w:val="0"/>
                                              <w:divBdr>
                                                <w:top w:val="none" w:sz="0" w:space="0" w:color="auto"/>
                                                <w:left w:val="none" w:sz="0" w:space="0" w:color="auto"/>
                                                <w:bottom w:val="none" w:sz="0" w:space="0" w:color="auto"/>
                                                <w:right w:val="none" w:sz="0" w:space="0" w:color="auto"/>
                                              </w:divBdr>
                                            </w:div>
                                            <w:div w:id="1552957418">
                                              <w:marLeft w:val="0"/>
                                              <w:marRight w:val="0"/>
                                              <w:marTop w:val="0"/>
                                              <w:marBottom w:val="0"/>
                                              <w:divBdr>
                                                <w:top w:val="none" w:sz="0" w:space="0" w:color="auto"/>
                                                <w:left w:val="none" w:sz="0" w:space="0" w:color="auto"/>
                                                <w:bottom w:val="none" w:sz="0" w:space="0" w:color="auto"/>
                                                <w:right w:val="none" w:sz="0" w:space="0" w:color="auto"/>
                                              </w:divBdr>
                                            </w:div>
                                            <w:div w:id="1556966568">
                                              <w:marLeft w:val="0"/>
                                              <w:marRight w:val="0"/>
                                              <w:marTop w:val="0"/>
                                              <w:marBottom w:val="0"/>
                                              <w:divBdr>
                                                <w:top w:val="none" w:sz="0" w:space="0" w:color="auto"/>
                                                <w:left w:val="none" w:sz="0" w:space="0" w:color="auto"/>
                                                <w:bottom w:val="none" w:sz="0" w:space="0" w:color="auto"/>
                                                <w:right w:val="none" w:sz="0" w:space="0" w:color="auto"/>
                                              </w:divBdr>
                                            </w:div>
                                            <w:div w:id="1591810258">
                                              <w:marLeft w:val="0"/>
                                              <w:marRight w:val="0"/>
                                              <w:marTop w:val="0"/>
                                              <w:marBottom w:val="0"/>
                                              <w:divBdr>
                                                <w:top w:val="none" w:sz="0" w:space="0" w:color="auto"/>
                                                <w:left w:val="none" w:sz="0" w:space="0" w:color="auto"/>
                                                <w:bottom w:val="none" w:sz="0" w:space="0" w:color="auto"/>
                                                <w:right w:val="none" w:sz="0" w:space="0" w:color="auto"/>
                                              </w:divBdr>
                                            </w:div>
                                            <w:div w:id="1628464528">
                                              <w:marLeft w:val="0"/>
                                              <w:marRight w:val="0"/>
                                              <w:marTop w:val="0"/>
                                              <w:marBottom w:val="0"/>
                                              <w:divBdr>
                                                <w:top w:val="none" w:sz="0" w:space="0" w:color="auto"/>
                                                <w:left w:val="none" w:sz="0" w:space="0" w:color="auto"/>
                                                <w:bottom w:val="none" w:sz="0" w:space="0" w:color="auto"/>
                                                <w:right w:val="none" w:sz="0" w:space="0" w:color="auto"/>
                                              </w:divBdr>
                                            </w:div>
                                            <w:div w:id="1638955386">
                                              <w:marLeft w:val="0"/>
                                              <w:marRight w:val="0"/>
                                              <w:marTop w:val="0"/>
                                              <w:marBottom w:val="0"/>
                                              <w:divBdr>
                                                <w:top w:val="none" w:sz="0" w:space="0" w:color="auto"/>
                                                <w:left w:val="none" w:sz="0" w:space="0" w:color="auto"/>
                                                <w:bottom w:val="none" w:sz="0" w:space="0" w:color="auto"/>
                                                <w:right w:val="none" w:sz="0" w:space="0" w:color="auto"/>
                                              </w:divBdr>
                                            </w:div>
                                            <w:div w:id="1647051086">
                                              <w:marLeft w:val="0"/>
                                              <w:marRight w:val="0"/>
                                              <w:marTop w:val="0"/>
                                              <w:marBottom w:val="0"/>
                                              <w:divBdr>
                                                <w:top w:val="none" w:sz="0" w:space="0" w:color="auto"/>
                                                <w:left w:val="none" w:sz="0" w:space="0" w:color="auto"/>
                                                <w:bottom w:val="none" w:sz="0" w:space="0" w:color="auto"/>
                                                <w:right w:val="none" w:sz="0" w:space="0" w:color="auto"/>
                                              </w:divBdr>
                                            </w:div>
                                            <w:div w:id="1658193136">
                                              <w:marLeft w:val="0"/>
                                              <w:marRight w:val="0"/>
                                              <w:marTop w:val="0"/>
                                              <w:marBottom w:val="0"/>
                                              <w:divBdr>
                                                <w:top w:val="none" w:sz="0" w:space="0" w:color="auto"/>
                                                <w:left w:val="none" w:sz="0" w:space="0" w:color="auto"/>
                                                <w:bottom w:val="none" w:sz="0" w:space="0" w:color="auto"/>
                                                <w:right w:val="none" w:sz="0" w:space="0" w:color="auto"/>
                                              </w:divBdr>
                                            </w:div>
                                            <w:div w:id="1659184524">
                                              <w:marLeft w:val="0"/>
                                              <w:marRight w:val="0"/>
                                              <w:marTop w:val="0"/>
                                              <w:marBottom w:val="0"/>
                                              <w:divBdr>
                                                <w:top w:val="none" w:sz="0" w:space="0" w:color="auto"/>
                                                <w:left w:val="none" w:sz="0" w:space="0" w:color="auto"/>
                                                <w:bottom w:val="none" w:sz="0" w:space="0" w:color="auto"/>
                                                <w:right w:val="none" w:sz="0" w:space="0" w:color="auto"/>
                                              </w:divBdr>
                                            </w:div>
                                            <w:div w:id="1687294780">
                                              <w:marLeft w:val="0"/>
                                              <w:marRight w:val="0"/>
                                              <w:marTop w:val="0"/>
                                              <w:marBottom w:val="0"/>
                                              <w:divBdr>
                                                <w:top w:val="none" w:sz="0" w:space="0" w:color="auto"/>
                                                <w:left w:val="none" w:sz="0" w:space="0" w:color="auto"/>
                                                <w:bottom w:val="none" w:sz="0" w:space="0" w:color="auto"/>
                                                <w:right w:val="none" w:sz="0" w:space="0" w:color="auto"/>
                                              </w:divBdr>
                                            </w:div>
                                            <w:div w:id="1752461090">
                                              <w:marLeft w:val="0"/>
                                              <w:marRight w:val="0"/>
                                              <w:marTop w:val="0"/>
                                              <w:marBottom w:val="0"/>
                                              <w:divBdr>
                                                <w:top w:val="none" w:sz="0" w:space="0" w:color="auto"/>
                                                <w:left w:val="none" w:sz="0" w:space="0" w:color="auto"/>
                                                <w:bottom w:val="none" w:sz="0" w:space="0" w:color="auto"/>
                                                <w:right w:val="none" w:sz="0" w:space="0" w:color="auto"/>
                                              </w:divBdr>
                                            </w:div>
                                            <w:div w:id="1762094226">
                                              <w:marLeft w:val="0"/>
                                              <w:marRight w:val="0"/>
                                              <w:marTop w:val="0"/>
                                              <w:marBottom w:val="0"/>
                                              <w:divBdr>
                                                <w:top w:val="none" w:sz="0" w:space="0" w:color="auto"/>
                                                <w:left w:val="none" w:sz="0" w:space="0" w:color="auto"/>
                                                <w:bottom w:val="none" w:sz="0" w:space="0" w:color="auto"/>
                                                <w:right w:val="none" w:sz="0" w:space="0" w:color="auto"/>
                                              </w:divBdr>
                                            </w:div>
                                            <w:div w:id="1772311049">
                                              <w:marLeft w:val="0"/>
                                              <w:marRight w:val="0"/>
                                              <w:marTop w:val="0"/>
                                              <w:marBottom w:val="0"/>
                                              <w:divBdr>
                                                <w:top w:val="none" w:sz="0" w:space="0" w:color="auto"/>
                                                <w:left w:val="none" w:sz="0" w:space="0" w:color="auto"/>
                                                <w:bottom w:val="none" w:sz="0" w:space="0" w:color="auto"/>
                                                <w:right w:val="none" w:sz="0" w:space="0" w:color="auto"/>
                                              </w:divBdr>
                                            </w:div>
                                            <w:div w:id="1774327829">
                                              <w:marLeft w:val="0"/>
                                              <w:marRight w:val="0"/>
                                              <w:marTop w:val="0"/>
                                              <w:marBottom w:val="0"/>
                                              <w:divBdr>
                                                <w:top w:val="none" w:sz="0" w:space="0" w:color="auto"/>
                                                <w:left w:val="none" w:sz="0" w:space="0" w:color="auto"/>
                                                <w:bottom w:val="none" w:sz="0" w:space="0" w:color="auto"/>
                                                <w:right w:val="none" w:sz="0" w:space="0" w:color="auto"/>
                                              </w:divBdr>
                                            </w:div>
                                            <w:div w:id="1776439718">
                                              <w:marLeft w:val="0"/>
                                              <w:marRight w:val="0"/>
                                              <w:marTop w:val="0"/>
                                              <w:marBottom w:val="0"/>
                                              <w:divBdr>
                                                <w:top w:val="none" w:sz="0" w:space="0" w:color="auto"/>
                                                <w:left w:val="none" w:sz="0" w:space="0" w:color="auto"/>
                                                <w:bottom w:val="none" w:sz="0" w:space="0" w:color="auto"/>
                                                <w:right w:val="none" w:sz="0" w:space="0" w:color="auto"/>
                                              </w:divBdr>
                                            </w:div>
                                            <w:div w:id="1781104306">
                                              <w:marLeft w:val="0"/>
                                              <w:marRight w:val="0"/>
                                              <w:marTop w:val="0"/>
                                              <w:marBottom w:val="0"/>
                                              <w:divBdr>
                                                <w:top w:val="none" w:sz="0" w:space="0" w:color="auto"/>
                                                <w:left w:val="none" w:sz="0" w:space="0" w:color="auto"/>
                                                <w:bottom w:val="none" w:sz="0" w:space="0" w:color="auto"/>
                                                <w:right w:val="none" w:sz="0" w:space="0" w:color="auto"/>
                                              </w:divBdr>
                                            </w:div>
                                            <w:div w:id="1783181171">
                                              <w:marLeft w:val="0"/>
                                              <w:marRight w:val="0"/>
                                              <w:marTop w:val="0"/>
                                              <w:marBottom w:val="0"/>
                                              <w:divBdr>
                                                <w:top w:val="none" w:sz="0" w:space="0" w:color="auto"/>
                                                <w:left w:val="none" w:sz="0" w:space="0" w:color="auto"/>
                                                <w:bottom w:val="none" w:sz="0" w:space="0" w:color="auto"/>
                                                <w:right w:val="none" w:sz="0" w:space="0" w:color="auto"/>
                                              </w:divBdr>
                                            </w:div>
                                            <w:div w:id="1800493650">
                                              <w:marLeft w:val="0"/>
                                              <w:marRight w:val="0"/>
                                              <w:marTop w:val="0"/>
                                              <w:marBottom w:val="0"/>
                                              <w:divBdr>
                                                <w:top w:val="none" w:sz="0" w:space="0" w:color="auto"/>
                                                <w:left w:val="none" w:sz="0" w:space="0" w:color="auto"/>
                                                <w:bottom w:val="none" w:sz="0" w:space="0" w:color="auto"/>
                                                <w:right w:val="none" w:sz="0" w:space="0" w:color="auto"/>
                                              </w:divBdr>
                                            </w:div>
                                            <w:div w:id="1802921144">
                                              <w:marLeft w:val="0"/>
                                              <w:marRight w:val="0"/>
                                              <w:marTop w:val="0"/>
                                              <w:marBottom w:val="0"/>
                                              <w:divBdr>
                                                <w:top w:val="none" w:sz="0" w:space="0" w:color="auto"/>
                                                <w:left w:val="none" w:sz="0" w:space="0" w:color="auto"/>
                                                <w:bottom w:val="none" w:sz="0" w:space="0" w:color="auto"/>
                                                <w:right w:val="none" w:sz="0" w:space="0" w:color="auto"/>
                                              </w:divBdr>
                                            </w:div>
                                            <w:div w:id="1824420328">
                                              <w:marLeft w:val="0"/>
                                              <w:marRight w:val="0"/>
                                              <w:marTop w:val="0"/>
                                              <w:marBottom w:val="0"/>
                                              <w:divBdr>
                                                <w:top w:val="none" w:sz="0" w:space="0" w:color="auto"/>
                                                <w:left w:val="none" w:sz="0" w:space="0" w:color="auto"/>
                                                <w:bottom w:val="none" w:sz="0" w:space="0" w:color="auto"/>
                                                <w:right w:val="none" w:sz="0" w:space="0" w:color="auto"/>
                                              </w:divBdr>
                                            </w:div>
                                            <w:div w:id="1830515522">
                                              <w:marLeft w:val="0"/>
                                              <w:marRight w:val="0"/>
                                              <w:marTop w:val="0"/>
                                              <w:marBottom w:val="0"/>
                                              <w:divBdr>
                                                <w:top w:val="none" w:sz="0" w:space="0" w:color="auto"/>
                                                <w:left w:val="none" w:sz="0" w:space="0" w:color="auto"/>
                                                <w:bottom w:val="none" w:sz="0" w:space="0" w:color="auto"/>
                                                <w:right w:val="none" w:sz="0" w:space="0" w:color="auto"/>
                                              </w:divBdr>
                                            </w:div>
                                            <w:div w:id="1831477438">
                                              <w:marLeft w:val="0"/>
                                              <w:marRight w:val="0"/>
                                              <w:marTop w:val="0"/>
                                              <w:marBottom w:val="0"/>
                                              <w:divBdr>
                                                <w:top w:val="none" w:sz="0" w:space="0" w:color="auto"/>
                                                <w:left w:val="none" w:sz="0" w:space="0" w:color="auto"/>
                                                <w:bottom w:val="none" w:sz="0" w:space="0" w:color="auto"/>
                                                <w:right w:val="none" w:sz="0" w:space="0" w:color="auto"/>
                                              </w:divBdr>
                                            </w:div>
                                            <w:div w:id="1832521173">
                                              <w:marLeft w:val="0"/>
                                              <w:marRight w:val="0"/>
                                              <w:marTop w:val="0"/>
                                              <w:marBottom w:val="0"/>
                                              <w:divBdr>
                                                <w:top w:val="none" w:sz="0" w:space="0" w:color="auto"/>
                                                <w:left w:val="none" w:sz="0" w:space="0" w:color="auto"/>
                                                <w:bottom w:val="none" w:sz="0" w:space="0" w:color="auto"/>
                                                <w:right w:val="none" w:sz="0" w:space="0" w:color="auto"/>
                                              </w:divBdr>
                                            </w:div>
                                            <w:div w:id="1876116319">
                                              <w:marLeft w:val="0"/>
                                              <w:marRight w:val="0"/>
                                              <w:marTop w:val="0"/>
                                              <w:marBottom w:val="0"/>
                                              <w:divBdr>
                                                <w:top w:val="none" w:sz="0" w:space="0" w:color="auto"/>
                                                <w:left w:val="none" w:sz="0" w:space="0" w:color="auto"/>
                                                <w:bottom w:val="none" w:sz="0" w:space="0" w:color="auto"/>
                                                <w:right w:val="none" w:sz="0" w:space="0" w:color="auto"/>
                                              </w:divBdr>
                                            </w:div>
                                            <w:div w:id="1885480114">
                                              <w:marLeft w:val="0"/>
                                              <w:marRight w:val="0"/>
                                              <w:marTop w:val="0"/>
                                              <w:marBottom w:val="0"/>
                                              <w:divBdr>
                                                <w:top w:val="none" w:sz="0" w:space="0" w:color="auto"/>
                                                <w:left w:val="none" w:sz="0" w:space="0" w:color="auto"/>
                                                <w:bottom w:val="none" w:sz="0" w:space="0" w:color="auto"/>
                                                <w:right w:val="none" w:sz="0" w:space="0" w:color="auto"/>
                                              </w:divBdr>
                                            </w:div>
                                            <w:div w:id="1897204820">
                                              <w:marLeft w:val="0"/>
                                              <w:marRight w:val="0"/>
                                              <w:marTop w:val="0"/>
                                              <w:marBottom w:val="0"/>
                                              <w:divBdr>
                                                <w:top w:val="none" w:sz="0" w:space="0" w:color="auto"/>
                                                <w:left w:val="none" w:sz="0" w:space="0" w:color="auto"/>
                                                <w:bottom w:val="none" w:sz="0" w:space="0" w:color="auto"/>
                                                <w:right w:val="none" w:sz="0" w:space="0" w:color="auto"/>
                                              </w:divBdr>
                                            </w:div>
                                            <w:div w:id="1897738653">
                                              <w:marLeft w:val="0"/>
                                              <w:marRight w:val="0"/>
                                              <w:marTop w:val="0"/>
                                              <w:marBottom w:val="0"/>
                                              <w:divBdr>
                                                <w:top w:val="none" w:sz="0" w:space="0" w:color="auto"/>
                                                <w:left w:val="none" w:sz="0" w:space="0" w:color="auto"/>
                                                <w:bottom w:val="none" w:sz="0" w:space="0" w:color="auto"/>
                                                <w:right w:val="none" w:sz="0" w:space="0" w:color="auto"/>
                                              </w:divBdr>
                                            </w:div>
                                            <w:div w:id="1924990923">
                                              <w:marLeft w:val="0"/>
                                              <w:marRight w:val="0"/>
                                              <w:marTop w:val="0"/>
                                              <w:marBottom w:val="0"/>
                                              <w:divBdr>
                                                <w:top w:val="none" w:sz="0" w:space="0" w:color="auto"/>
                                                <w:left w:val="none" w:sz="0" w:space="0" w:color="auto"/>
                                                <w:bottom w:val="none" w:sz="0" w:space="0" w:color="auto"/>
                                                <w:right w:val="none" w:sz="0" w:space="0" w:color="auto"/>
                                              </w:divBdr>
                                            </w:div>
                                            <w:div w:id="1974210170">
                                              <w:marLeft w:val="0"/>
                                              <w:marRight w:val="0"/>
                                              <w:marTop w:val="0"/>
                                              <w:marBottom w:val="0"/>
                                              <w:divBdr>
                                                <w:top w:val="none" w:sz="0" w:space="0" w:color="auto"/>
                                                <w:left w:val="none" w:sz="0" w:space="0" w:color="auto"/>
                                                <w:bottom w:val="none" w:sz="0" w:space="0" w:color="auto"/>
                                                <w:right w:val="none" w:sz="0" w:space="0" w:color="auto"/>
                                              </w:divBdr>
                                            </w:div>
                                            <w:div w:id="2009601167">
                                              <w:marLeft w:val="0"/>
                                              <w:marRight w:val="0"/>
                                              <w:marTop w:val="0"/>
                                              <w:marBottom w:val="0"/>
                                              <w:divBdr>
                                                <w:top w:val="none" w:sz="0" w:space="0" w:color="auto"/>
                                                <w:left w:val="none" w:sz="0" w:space="0" w:color="auto"/>
                                                <w:bottom w:val="none" w:sz="0" w:space="0" w:color="auto"/>
                                                <w:right w:val="none" w:sz="0" w:space="0" w:color="auto"/>
                                              </w:divBdr>
                                            </w:div>
                                            <w:div w:id="2061778454">
                                              <w:marLeft w:val="0"/>
                                              <w:marRight w:val="0"/>
                                              <w:marTop w:val="0"/>
                                              <w:marBottom w:val="0"/>
                                              <w:divBdr>
                                                <w:top w:val="none" w:sz="0" w:space="0" w:color="auto"/>
                                                <w:left w:val="none" w:sz="0" w:space="0" w:color="auto"/>
                                                <w:bottom w:val="none" w:sz="0" w:space="0" w:color="auto"/>
                                                <w:right w:val="none" w:sz="0" w:space="0" w:color="auto"/>
                                              </w:divBdr>
                                            </w:div>
                                            <w:div w:id="2084329975">
                                              <w:marLeft w:val="0"/>
                                              <w:marRight w:val="0"/>
                                              <w:marTop w:val="0"/>
                                              <w:marBottom w:val="0"/>
                                              <w:divBdr>
                                                <w:top w:val="none" w:sz="0" w:space="0" w:color="auto"/>
                                                <w:left w:val="none" w:sz="0" w:space="0" w:color="auto"/>
                                                <w:bottom w:val="none" w:sz="0" w:space="0" w:color="auto"/>
                                                <w:right w:val="none" w:sz="0" w:space="0" w:color="auto"/>
                                              </w:divBdr>
                                            </w:div>
                                            <w:div w:id="2090272047">
                                              <w:marLeft w:val="0"/>
                                              <w:marRight w:val="0"/>
                                              <w:marTop w:val="0"/>
                                              <w:marBottom w:val="0"/>
                                              <w:divBdr>
                                                <w:top w:val="none" w:sz="0" w:space="0" w:color="auto"/>
                                                <w:left w:val="none" w:sz="0" w:space="0" w:color="auto"/>
                                                <w:bottom w:val="none" w:sz="0" w:space="0" w:color="auto"/>
                                                <w:right w:val="none" w:sz="0" w:space="0" w:color="auto"/>
                                              </w:divBdr>
                                            </w:div>
                                            <w:div w:id="2092239555">
                                              <w:marLeft w:val="0"/>
                                              <w:marRight w:val="0"/>
                                              <w:marTop w:val="0"/>
                                              <w:marBottom w:val="0"/>
                                              <w:divBdr>
                                                <w:top w:val="none" w:sz="0" w:space="0" w:color="auto"/>
                                                <w:left w:val="none" w:sz="0" w:space="0" w:color="auto"/>
                                                <w:bottom w:val="none" w:sz="0" w:space="0" w:color="auto"/>
                                                <w:right w:val="none" w:sz="0" w:space="0" w:color="auto"/>
                                              </w:divBdr>
                                            </w:div>
                                            <w:div w:id="2099861378">
                                              <w:marLeft w:val="0"/>
                                              <w:marRight w:val="0"/>
                                              <w:marTop w:val="0"/>
                                              <w:marBottom w:val="0"/>
                                              <w:divBdr>
                                                <w:top w:val="none" w:sz="0" w:space="0" w:color="auto"/>
                                                <w:left w:val="none" w:sz="0" w:space="0" w:color="auto"/>
                                                <w:bottom w:val="none" w:sz="0" w:space="0" w:color="auto"/>
                                                <w:right w:val="none" w:sz="0" w:space="0" w:color="auto"/>
                                              </w:divBdr>
                                            </w:div>
                                            <w:div w:id="2108961958">
                                              <w:marLeft w:val="0"/>
                                              <w:marRight w:val="0"/>
                                              <w:marTop w:val="0"/>
                                              <w:marBottom w:val="0"/>
                                              <w:divBdr>
                                                <w:top w:val="none" w:sz="0" w:space="0" w:color="auto"/>
                                                <w:left w:val="none" w:sz="0" w:space="0" w:color="auto"/>
                                                <w:bottom w:val="none" w:sz="0" w:space="0" w:color="auto"/>
                                                <w:right w:val="none" w:sz="0" w:space="0" w:color="auto"/>
                                              </w:divBdr>
                                            </w:div>
                                            <w:div w:id="2112313310">
                                              <w:marLeft w:val="0"/>
                                              <w:marRight w:val="0"/>
                                              <w:marTop w:val="0"/>
                                              <w:marBottom w:val="0"/>
                                              <w:divBdr>
                                                <w:top w:val="none" w:sz="0" w:space="0" w:color="auto"/>
                                                <w:left w:val="none" w:sz="0" w:space="0" w:color="auto"/>
                                                <w:bottom w:val="none" w:sz="0" w:space="0" w:color="auto"/>
                                                <w:right w:val="none" w:sz="0" w:space="0" w:color="auto"/>
                                              </w:divBdr>
                                            </w:div>
                                            <w:div w:id="2116052163">
                                              <w:marLeft w:val="0"/>
                                              <w:marRight w:val="0"/>
                                              <w:marTop w:val="0"/>
                                              <w:marBottom w:val="0"/>
                                              <w:divBdr>
                                                <w:top w:val="none" w:sz="0" w:space="0" w:color="auto"/>
                                                <w:left w:val="none" w:sz="0" w:space="0" w:color="auto"/>
                                                <w:bottom w:val="none" w:sz="0" w:space="0" w:color="auto"/>
                                                <w:right w:val="none" w:sz="0" w:space="0" w:color="auto"/>
                                              </w:divBdr>
                                            </w:div>
                                            <w:div w:id="2116437256">
                                              <w:marLeft w:val="0"/>
                                              <w:marRight w:val="0"/>
                                              <w:marTop w:val="0"/>
                                              <w:marBottom w:val="0"/>
                                              <w:divBdr>
                                                <w:top w:val="none" w:sz="0" w:space="0" w:color="auto"/>
                                                <w:left w:val="none" w:sz="0" w:space="0" w:color="auto"/>
                                                <w:bottom w:val="none" w:sz="0" w:space="0" w:color="auto"/>
                                                <w:right w:val="none" w:sz="0" w:space="0" w:color="auto"/>
                                              </w:divBdr>
                                            </w:div>
                                            <w:div w:id="2118870465">
                                              <w:marLeft w:val="0"/>
                                              <w:marRight w:val="0"/>
                                              <w:marTop w:val="0"/>
                                              <w:marBottom w:val="0"/>
                                              <w:divBdr>
                                                <w:top w:val="none" w:sz="0" w:space="0" w:color="auto"/>
                                                <w:left w:val="none" w:sz="0" w:space="0" w:color="auto"/>
                                                <w:bottom w:val="none" w:sz="0" w:space="0" w:color="auto"/>
                                                <w:right w:val="none" w:sz="0" w:space="0" w:color="auto"/>
                                              </w:divBdr>
                                            </w:div>
                                            <w:div w:id="2119788451">
                                              <w:marLeft w:val="0"/>
                                              <w:marRight w:val="0"/>
                                              <w:marTop w:val="0"/>
                                              <w:marBottom w:val="0"/>
                                              <w:divBdr>
                                                <w:top w:val="none" w:sz="0" w:space="0" w:color="auto"/>
                                                <w:left w:val="none" w:sz="0" w:space="0" w:color="auto"/>
                                                <w:bottom w:val="none" w:sz="0" w:space="0" w:color="auto"/>
                                                <w:right w:val="none" w:sz="0" w:space="0" w:color="auto"/>
                                              </w:divBdr>
                                            </w:div>
                                            <w:div w:id="2125953564">
                                              <w:marLeft w:val="0"/>
                                              <w:marRight w:val="0"/>
                                              <w:marTop w:val="0"/>
                                              <w:marBottom w:val="0"/>
                                              <w:divBdr>
                                                <w:top w:val="none" w:sz="0" w:space="0" w:color="auto"/>
                                                <w:left w:val="none" w:sz="0" w:space="0" w:color="auto"/>
                                                <w:bottom w:val="none" w:sz="0" w:space="0" w:color="auto"/>
                                                <w:right w:val="none" w:sz="0" w:space="0" w:color="auto"/>
                                              </w:divBdr>
                                            </w:div>
                                            <w:div w:id="2126730279">
                                              <w:marLeft w:val="0"/>
                                              <w:marRight w:val="0"/>
                                              <w:marTop w:val="0"/>
                                              <w:marBottom w:val="0"/>
                                              <w:divBdr>
                                                <w:top w:val="none" w:sz="0" w:space="0" w:color="auto"/>
                                                <w:left w:val="none" w:sz="0" w:space="0" w:color="auto"/>
                                                <w:bottom w:val="none" w:sz="0" w:space="0" w:color="auto"/>
                                                <w:right w:val="none" w:sz="0" w:space="0" w:color="auto"/>
                                              </w:divBdr>
                                            </w:div>
                                          </w:divsChild>
                                        </w:div>
                                        <w:div w:id="876815881">
                                          <w:marLeft w:val="0"/>
                                          <w:marRight w:val="0"/>
                                          <w:marTop w:val="0"/>
                                          <w:marBottom w:val="0"/>
                                          <w:divBdr>
                                            <w:top w:val="none" w:sz="0" w:space="0" w:color="auto"/>
                                            <w:left w:val="none" w:sz="0" w:space="0" w:color="auto"/>
                                            <w:bottom w:val="none" w:sz="0" w:space="0" w:color="auto"/>
                                            <w:right w:val="none" w:sz="0" w:space="0" w:color="auto"/>
                                          </w:divBdr>
                                          <w:divsChild>
                                            <w:div w:id="459687318">
                                              <w:marLeft w:val="0"/>
                                              <w:marRight w:val="0"/>
                                              <w:marTop w:val="0"/>
                                              <w:marBottom w:val="0"/>
                                              <w:divBdr>
                                                <w:top w:val="none" w:sz="0" w:space="0" w:color="auto"/>
                                                <w:left w:val="none" w:sz="0" w:space="0" w:color="auto"/>
                                                <w:bottom w:val="none" w:sz="0" w:space="0" w:color="auto"/>
                                                <w:right w:val="none" w:sz="0" w:space="0" w:color="auto"/>
                                              </w:divBdr>
                                            </w:div>
                                            <w:div w:id="747308431">
                                              <w:marLeft w:val="0"/>
                                              <w:marRight w:val="0"/>
                                              <w:marTop w:val="0"/>
                                              <w:marBottom w:val="0"/>
                                              <w:divBdr>
                                                <w:top w:val="none" w:sz="0" w:space="0" w:color="auto"/>
                                                <w:left w:val="none" w:sz="0" w:space="0" w:color="auto"/>
                                                <w:bottom w:val="none" w:sz="0" w:space="0" w:color="auto"/>
                                                <w:right w:val="none" w:sz="0" w:space="0" w:color="auto"/>
                                              </w:divBdr>
                                            </w:div>
                                            <w:div w:id="946429067">
                                              <w:marLeft w:val="0"/>
                                              <w:marRight w:val="0"/>
                                              <w:marTop w:val="0"/>
                                              <w:marBottom w:val="0"/>
                                              <w:divBdr>
                                                <w:top w:val="none" w:sz="0" w:space="0" w:color="auto"/>
                                                <w:left w:val="none" w:sz="0" w:space="0" w:color="auto"/>
                                                <w:bottom w:val="none" w:sz="0" w:space="0" w:color="auto"/>
                                                <w:right w:val="none" w:sz="0" w:space="0" w:color="auto"/>
                                              </w:divBdr>
                                              <w:divsChild>
                                                <w:div w:id="392655871">
                                                  <w:marLeft w:val="0"/>
                                                  <w:marRight w:val="0"/>
                                                  <w:marTop w:val="15"/>
                                                  <w:marBottom w:val="30"/>
                                                  <w:divBdr>
                                                    <w:top w:val="none" w:sz="0" w:space="0" w:color="auto"/>
                                                    <w:left w:val="none" w:sz="0" w:space="0" w:color="auto"/>
                                                    <w:bottom w:val="none" w:sz="0" w:space="0" w:color="auto"/>
                                                    <w:right w:val="none" w:sz="0" w:space="0" w:color="auto"/>
                                                  </w:divBdr>
                                                  <w:divsChild>
                                                    <w:div w:id="696202524">
                                                      <w:marLeft w:val="0"/>
                                                      <w:marRight w:val="0"/>
                                                      <w:marTop w:val="0"/>
                                                      <w:marBottom w:val="0"/>
                                                      <w:divBdr>
                                                        <w:top w:val="none" w:sz="0" w:space="0" w:color="auto"/>
                                                        <w:left w:val="none" w:sz="0" w:space="0" w:color="auto"/>
                                                        <w:bottom w:val="none" w:sz="0" w:space="0" w:color="auto"/>
                                                        <w:right w:val="none" w:sz="0" w:space="0" w:color="auto"/>
                                                      </w:divBdr>
                                                    </w:div>
                                                  </w:divsChild>
                                                </w:div>
                                                <w:div w:id="821196179">
                                                  <w:marLeft w:val="0"/>
                                                  <w:marRight w:val="0"/>
                                                  <w:marTop w:val="15"/>
                                                  <w:marBottom w:val="30"/>
                                                  <w:divBdr>
                                                    <w:top w:val="none" w:sz="0" w:space="0" w:color="auto"/>
                                                    <w:left w:val="none" w:sz="0" w:space="0" w:color="auto"/>
                                                    <w:bottom w:val="none" w:sz="0" w:space="0" w:color="auto"/>
                                                    <w:right w:val="none" w:sz="0" w:space="0" w:color="auto"/>
                                                  </w:divBdr>
                                                  <w:divsChild>
                                                    <w:div w:id="4916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68132">
                                              <w:marLeft w:val="0"/>
                                              <w:marRight w:val="0"/>
                                              <w:marTop w:val="0"/>
                                              <w:marBottom w:val="0"/>
                                              <w:divBdr>
                                                <w:top w:val="none" w:sz="0" w:space="0" w:color="auto"/>
                                                <w:left w:val="none" w:sz="0" w:space="0" w:color="auto"/>
                                                <w:bottom w:val="none" w:sz="0" w:space="0" w:color="auto"/>
                                                <w:right w:val="none" w:sz="0" w:space="0" w:color="auto"/>
                                              </w:divBdr>
                                            </w:div>
                                            <w:div w:id="1578710678">
                                              <w:marLeft w:val="0"/>
                                              <w:marRight w:val="0"/>
                                              <w:marTop w:val="0"/>
                                              <w:marBottom w:val="0"/>
                                              <w:divBdr>
                                                <w:top w:val="none" w:sz="0" w:space="0" w:color="auto"/>
                                                <w:left w:val="none" w:sz="0" w:space="0" w:color="auto"/>
                                                <w:bottom w:val="none" w:sz="0" w:space="0" w:color="auto"/>
                                                <w:right w:val="none" w:sz="0" w:space="0" w:color="auto"/>
                                              </w:divBdr>
                                            </w:div>
                                            <w:div w:id="1846481337">
                                              <w:marLeft w:val="0"/>
                                              <w:marRight w:val="0"/>
                                              <w:marTop w:val="0"/>
                                              <w:marBottom w:val="0"/>
                                              <w:divBdr>
                                                <w:top w:val="none" w:sz="0" w:space="0" w:color="auto"/>
                                                <w:left w:val="none" w:sz="0" w:space="0" w:color="auto"/>
                                                <w:bottom w:val="none" w:sz="0" w:space="0" w:color="auto"/>
                                                <w:right w:val="none" w:sz="0" w:space="0" w:color="auto"/>
                                              </w:divBdr>
                                            </w:div>
                                          </w:divsChild>
                                        </w:div>
                                        <w:div w:id="1291397322">
                                          <w:marLeft w:val="0"/>
                                          <w:marRight w:val="0"/>
                                          <w:marTop w:val="0"/>
                                          <w:marBottom w:val="0"/>
                                          <w:divBdr>
                                            <w:top w:val="none" w:sz="0" w:space="0" w:color="auto"/>
                                            <w:left w:val="none" w:sz="0" w:space="0" w:color="auto"/>
                                            <w:bottom w:val="none" w:sz="0" w:space="0" w:color="auto"/>
                                            <w:right w:val="none" w:sz="0" w:space="0" w:color="auto"/>
                                          </w:divBdr>
                                          <w:divsChild>
                                            <w:div w:id="1278223545">
                                              <w:marLeft w:val="0"/>
                                              <w:marRight w:val="0"/>
                                              <w:marTop w:val="0"/>
                                              <w:marBottom w:val="0"/>
                                              <w:divBdr>
                                                <w:top w:val="none" w:sz="0" w:space="0" w:color="auto"/>
                                                <w:left w:val="none" w:sz="0" w:space="0" w:color="auto"/>
                                                <w:bottom w:val="none" w:sz="0" w:space="0" w:color="auto"/>
                                                <w:right w:val="none" w:sz="0" w:space="0" w:color="auto"/>
                                              </w:divBdr>
                                            </w:div>
                                          </w:divsChild>
                                        </w:div>
                                        <w:div w:id="1324622295">
                                          <w:marLeft w:val="0"/>
                                          <w:marRight w:val="0"/>
                                          <w:marTop w:val="0"/>
                                          <w:marBottom w:val="0"/>
                                          <w:divBdr>
                                            <w:top w:val="none" w:sz="0" w:space="0" w:color="auto"/>
                                            <w:left w:val="none" w:sz="0" w:space="0" w:color="auto"/>
                                            <w:bottom w:val="none" w:sz="0" w:space="0" w:color="auto"/>
                                            <w:right w:val="none" w:sz="0" w:space="0" w:color="auto"/>
                                          </w:divBdr>
                                          <w:divsChild>
                                            <w:div w:id="702169411">
                                              <w:marLeft w:val="0"/>
                                              <w:marRight w:val="0"/>
                                              <w:marTop w:val="0"/>
                                              <w:marBottom w:val="0"/>
                                              <w:divBdr>
                                                <w:top w:val="none" w:sz="0" w:space="0" w:color="auto"/>
                                                <w:left w:val="none" w:sz="0" w:space="0" w:color="auto"/>
                                                <w:bottom w:val="none" w:sz="0" w:space="0" w:color="auto"/>
                                                <w:right w:val="none" w:sz="0" w:space="0" w:color="auto"/>
                                              </w:divBdr>
                                            </w:div>
                                          </w:divsChild>
                                        </w:div>
                                        <w:div w:id="2067214363">
                                          <w:marLeft w:val="0"/>
                                          <w:marRight w:val="0"/>
                                          <w:marTop w:val="0"/>
                                          <w:marBottom w:val="0"/>
                                          <w:divBdr>
                                            <w:top w:val="single" w:sz="6" w:space="0" w:color="CECECE"/>
                                            <w:left w:val="single" w:sz="6" w:space="0" w:color="CECECE"/>
                                            <w:bottom w:val="single" w:sz="6" w:space="0" w:color="CECECE"/>
                                            <w:right w:val="single" w:sz="6" w:space="0" w:color="CECECE"/>
                                          </w:divBdr>
                                          <w:divsChild>
                                            <w:div w:id="4670946">
                                              <w:marLeft w:val="0"/>
                                              <w:marRight w:val="0"/>
                                              <w:marTop w:val="0"/>
                                              <w:marBottom w:val="0"/>
                                              <w:divBdr>
                                                <w:top w:val="none" w:sz="0" w:space="0" w:color="auto"/>
                                                <w:left w:val="none" w:sz="0" w:space="0" w:color="auto"/>
                                                <w:bottom w:val="none" w:sz="0" w:space="0" w:color="auto"/>
                                                <w:right w:val="none" w:sz="0" w:space="0" w:color="auto"/>
                                              </w:divBdr>
                                            </w:div>
                                            <w:div w:id="12460454">
                                              <w:marLeft w:val="0"/>
                                              <w:marRight w:val="0"/>
                                              <w:marTop w:val="0"/>
                                              <w:marBottom w:val="0"/>
                                              <w:divBdr>
                                                <w:top w:val="none" w:sz="0" w:space="0" w:color="auto"/>
                                                <w:left w:val="none" w:sz="0" w:space="0" w:color="auto"/>
                                                <w:bottom w:val="none" w:sz="0" w:space="0" w:color="auto"/>
                                                <w:right w:val="none" w:sz="0" w:space="0" w:color="auto"/>
                                              </w:divBdr>
                                            </w:div>
                                            <w:div w:id="12463248">
                                              <w:marLeft w:val="0"/>
                                              <w:marRight w:val="0"/>
                                              <w:marTop w:val="0"/>
                                              <w:marBottom w:val="0"/>
                                              <w:divBdr>
                                                <w:top w:val="none" w:sz="0" w:space="0" w:color="auto"/>
                                                <w:left w:val="none" w:sz="0" w:space="0" w:color="auto"/>
                                                <w:bottom w:val="none" w:sz="0" w:space="0" w:color="auto"/>
                                                <w:right w:val="none" w:sz="0" w:space="0" w:color="auto"/>
                                              </w:divBdr>
                                            </w:div>
                                            <w:div w:id="12849445">
                                              <w:marLeft w:val="0"/>
                                              <w:marRight w:val="0"/>
                                              <w:marTop w:val="0"/>
                                              <w:marBottom w:val="0"/>
                                              <w:divBdr>
                                                <w:top w:val="none" w:sz="0" w:space="0" w:color="auto"/>
                                                <w:left w:val="none" w:sz="0" w:space="0" w:color="auto"/>
                                                <w:bottom w:val="none" w:sz="0" w:space="0" w:color="auto"/>
                                                <w:right w:val="none" w:sz="0" w:space="0" w:color="auto"/>
                                              </w:divBdr>
                                            </w:div>
                                            <w:div w:id="27724894">
                                              <w:marLeft w:val="0"/>
                                              <w:marRight w:val="0"/>
                                              <w:marTop w:val="0"/>
                                              <w:marBottom w:val="0"/>
                                              <w:divBdr>
                                                <w:top w:val="none" w:sz="0" w:space="0" w:color="auto"/>
                                                <w:left w:val="none" w:sz="0" w:space="0" w:color="auto"/>
                                                <w:bottom w:val="none" w:sz="0" w:space="0" w:color="auto"/>
                                                <w:right w:val="none" w:sz="0" w:space="0" w:color="auto"/>
                                              </w:divBdr>
                                            </w:div>
                                            <w:div w:id="32121634">
                                              <w:marLeft w:val="0"/>
                                              <w:marRight w:val="0"/>
                                              <w:marTop w:val="0"/>
                                              <w:marBottom w:val="0"/>
                                              <w:divBdr>
                                                <w:top w:val="none" w:sz="0" w:space="0" w:color="auto"/>
                                                <w:left w:val="none" w:sz="0" w:space="0" w:color="auto"/>
                                                <w:bottom w:val="none" w:sz="0" w:space="0" w:color="auto"/>
                                                <w:right w:val="none" w:sz="0" w:space="0" w:color="auto"/>
                                              </w:divBdr>
                                            </w:div>
                                            <w:div w:id="47534641">
                                              <w:marLeft w:val="0"/>
                                              <w:marRight w:val="0"/>
                                              <w:marTop w:val="0"/>
                                              <w:marBottom w:val="0"/>
                                              <w:divBdr>
                                                <w:top w:val="none" w:sz="0" w:space="0" w:color="auto"/>
                                                <w:left w:val="none" w:sz="0" w:space="0" w:color="auto"/>
                                                <w:bottom w:val="none" w:sz="0" w:space="0" w:color="auto"/>
                                                <w:right w:val="none" w:sz="0" w:space="0" w:color="auto"/>
                                              </w:divBdr>
                                            </w:div>
                                            <w:div w:id="53090915">
                                              <w:marLeft w:val="0"/>
                                              <w:marRight w:val="0"/>
                                              <w:marTop w:val="0"/>
                                              <w:marBottom w:val="0"/>
                                              <w:divBdr>
                                                <w:top w:val="none" w:sz="0" w:space="0" w:color="auto"/>
                                                <w:left w:val="none" w:sz="0" w:space="0" w:color="auto"/>
                                                <w:bottom w:val="none" w:sz="0" w:space="0" w:color="auto"/>
                                                <w:right w:val="none" w:sz="0" w:space="0" w:color="auto"/>
                                              </w:divBdr>
                                            </w:div>
                                            <w:div w:id="56712750">
                                              <w:marLeft w:val="0"/>
                                              <w:marRight w:val="0"/>
                                              <w:marTop w:val="0"/>
                                              <w:marBottom w:val="0"/>
                                              <w:divBdr>
                                                <w:top w:val="none" w:sz="0" w:space="0" w:color="auto"/>
                                                <w:left w:val="none" w:sz="0" w:space="0" w:color="auto"/>
                                                <w:bottom w:val="none" w:sz="0" w:space="0" w:color="auto"/>
                                                <w:right w:val="none" w:sz="0" w:space="0" w:color="auto"/>
                                              </w:divBdr>
                                            </w:div>
                                            <w:div w:id="60518980">
                                              <w:marLeft w:val="0"/>
                                              <w:marRight w:val="0"/>
                                              <w:marTop w:val="0"/>
                                              <w:marBottom w:val="0"/>
                                              <w:divBdr>
                                                <w:top w:val="none" w:sz="0" w:space="0" w:color="auto"/>
                                                <w:left w:val="none" w:sz="0" w:space="0" w:color="auto"/>
                                                <w:bottom w:val="none" w:sz="0" w:space="0" w:color="auto"/>
                                                <w:right w:val="none" w:sz="0" w:space="0" w:color="auto"/>
                                              </w:divBdr>
                                            </w:div>
                                            <w:div w:id="64032434">
                                              <w:marLeft w:val="0"/>
                                              <w:marRight w:val="0"/>
                                              <w:marTop w:val="0"/>
                                              <w:marBottom w:val="0"/>
                                              <w:divBdr>
                                                <w:top w:val="none" w:sz="0" w:space="0" w:color="auto"/>
                                                <w:left w:val="none" w:sz="0" w:space="0" w:color="auto"/>
                                                <w:bottom w:val="none" w:sz="0" w:space="0" w:color="auto"/>
                                                <w:right w:val="none" w:sz="0" w:space="0" w:color="auto"/>
                                              </w:divBdr>
                                            </w:div>
                                            <w:div w:id="69274784">
                                              <w:marLeft w:val="0"/>
                                              <w:marRight w:val="0"/>
                                              <w:marTop w:val="0"/>
                                              <w:marBottom w:val="0"/>
                                              <w:divBdr>
                                                <w:top w:val="none" w:sz="0" w:space="0" w:color="auto"/>
                                                <w:left w:val="none" w:sz="0" w:space="0" w:color="auto"/>
                                                <w:bottom w:val="none" w:sz="0" w:space="0" w:color="auto"/>
                                                <w:right w:val="none" w:sz="0" w:space="0" w:color="auto"/>
                                              </w:divBdr>
                                            </w:div>
                                            <w:div w:id="82800922">
                                              <w:marLeft w:val="0"/>
                                              <w:marRight w:val="0"/>
                                              <w:marTop w:val="0"/>
                                              <w:marBottom w:val="0"/>
                                              <w:divBdr>
                                                <w:top w:val="none" w:sz="0" w:space="0" w:color="auto"/>
                                                <w:left w:val="none" w:sz="0" w:space="0" w:color="auto"/>
                                                <w:bottom w:val="none" w:sz="0" w:space="0" w:color="auto"/>
                                                <w:right w:val="none" w:sz="0" w:space="0" w:color="auto"/>
                                              </w:divBdr>
                                            </w:div>
                                            <w:div w:id="85154640">
                                              <w:marLeft w:val="0"/>
                                              <w:marRight w:val="0"/>
                                              <w:marTop w:val="0"/>
                                              <w:marBottom w:val="0"/>
                                              <w:divBdr>
                                                <w:top w:val="none" w:sz="0" w:space="0" w:color="auto"/>
                                                <w:left w:val="none" w:sz="0" w:space="0" w:color="auto"/>
                                                <w:bottom w:val="none" w:sz="0" w:space="0" w:color="auto"/>
                                                <w:right w:val="none" w:sz="0" w:space="0" w:color="auto"/>
                                              </w:divBdr>
                                            </w:div>
                                            <w:div w:id="85856535">
                                              <w:marLeft w:val="0"/>
                                              <w:marRight w:val="0"/>
                                              <w:marTop w:val="0"/>
                                              <w:marBottom w:val="0"/>
                                              <w:divBdr>
                                                <w:top w:val="none" w:sz="0" w:space="0" w:color="auto"/>
                                                <w:left w:val="none" w:sz="0" w:space="0" w:color="auto"/>
                                                <w:bottom w:val="none" w:sz="0" w:space="0" w:color="auto"/>
                                                <w:right w:val="none" w:sz="0" w:space="0" w:color="auto"/>
                                              </w:divBdr>
                                            </w:div>
                                            <w:div w:id="86538681">
                                              <w:marLeft w:val="0"/>
                                              <w:marRight w:val="0"/>
                                              <w:marTop w:val="0"/>
                                              <w:marBottom w:val="0"/>
                                              <w:divBdr>
                                                <w:top w:val="none" w:sz="0" w:space="0" w:color="auto"/>
                                                <w:left w:val="none" w:sz="0" w:space="0" w:color="auto"/>
                                                <w:bottom w:val="none" w:sz="0" w:space="0" w:color="auto"/>
                                                <w:right w:val="none" w:sz="0" w:space="0" w:color="auto"/>
                                              </w:divBdr>
                                            </w:div>
                                            <w:div w:id="90974557">
                                              <w:marLeft w:val="0"/>
                                              <w:marRight w:val="0"/>
                                              <w:marTop w:val="0"/>
                                              <w:marBottom w:val="0"/>
                                              <w:divBdr>
                                                <w:top w:val="none" w:sz="0" w:space="0" w:color="auto"/>
                                                <w:left w:val="none" w:sz="0" w:space="0" w:color="auto"/>
                                                <w:bottom w:val="none" w:sz="0" w:space="0" w:color="auto"/>
                                                <w:right w:val="none" w:sz="0" w:space="0" w:color="auto"/>
                                              </w:divBdr>
                                            </w:div>
                                            <w:div w:id="91437342">
                                              <w:marLeft w:val="0"/>
                                              <w:marRight w:val="0"/>
                                              <w:marTop w:val="0"/>
                                              <w:marBottom w:val="0"/>
                                              <w:divBdr>
                                                <w:top w:val="none" w:sz="0" w:space="0" w:color="auto"/>
                                                <w:left w:val="none" w:sz="0" w:space="0" w:color="auto"/>
                                                <w:bottom w:val="none" w:sz="0" w:space="0" w:color="auto"/>
                                                <w:right w:val="none" w:sz="0" w:space="0" w:color="auto"/>
                                              </w:divBdr>
                                            </w:div>
                                            <w:div w:id="99491531">
                                              <w:marLeft w:val="0"/>
                                              <w:marRight w:val="0"/>
                                              <w:marTop w:val="0"/>
                                              <w:marBottom w:val="0"/>
                                              <w:divBdr>
                                                <w:top w:val="none" w:sz="0" w:space="0" w:color="auto"/>
                                                <w:left w:val="none" w:sz="0" w:space="0" w:color="auto"/>
                                                <w:bottom w:val="none" w:sz="0" w:space="0" w:color="auto"/>
                                                <w:right w:val="none" w:sz="0" w:space="0" w:color="auto"/>
                                              </w:divBdr>
                                            </w:div>
                                            <w:div w:id="99763290">
                                              <w:marLeft w:val="0"/>
                                              <w:marRight w:val="0"/>
                                              <w:marTop w:val="0"/>
                                              <w:marBottom w:val="0"/>
                                              <w:divBdr>
                                                <w:top w:val="none" w:sz="0" w:space="0" w:color="auto"/>
                                                <w:left w:val="none" w:sz="0" w:space="0" w:color="auto"/>
                                                <w:bottom w:val="none" w:sz="0" w:space="0" w:color="auto"/>
                                                <w:right w:val="none" w:sz="0" w:space="0" w:color="auto"/>
                                              </w:divBdr>
                                            </w:div>
                                            <w:div w:id="106124644">
                                              <w:marLeft w:val="0"/>
                                              <w:marRight w:val="0"/>
                                              <w:marTop w:val="0"/>
                                              <w:marBottom w:val="0"/>
                                              <w:divBdr>
                                                <w:top w:val="none" w:sz="0" w:space="0" w:color="auto"/>
                                                <w:left w:val="none" w:sz="0" w:space="0" w:color="auto"/>
                                                <w:bottom w:val="none" w:sz="0" w:space="0" w:color="auto"/>
                                                <w:right w:val="none" w:sz="0" w:space="0" w:color="auto"/>
                                              </w:divBdr>
                                            </w:div>
                                            <w:div w:id="121075928">
                                              <w:marLeft w:val="0"/>
                                              <w:marRight w:val="0"/>
                                              <w:marTop w:val="0"/>
                                              <w:marBottom w:val="0"/>
                                              <w:divBdr>
                                                <w:top w:val="none" w:sz="0" w:space="0" w:color="auto"/>
                                                <w:left w:val="none" w:sz="0" w:space="0" w:color="auto"/>
                                                <w:bottom w:val="none" w:sz="0" w:space="0" w:color="auto"/>
                                                <w:right w:val="none" w:sz="0" w:space="0" w:color="auto"/>
                                              </w:divBdr>
                                            </w:div>
                                            <w:div w:id="127820178">
                                              <w:marLeft w:val="0"/>
                                              <w:marRight w:val="0"/>
                                              <w:marTop w:val="0"/>
                                              <w:marBottom w:val="0"/>
                                              <w:divBdr>
                                                <w:top w:val="none" w:sz="0" w:space="0" w:color="auto"/>
                                                <w:left w:val="none" w:sz="0" w:space="0" w:color="auto"/>
                                                <w:bottom w:val="none" w:sz="0" w:space="0" w:color="auto"/>
                                                <w:right w:val="none" w:sz="0" w:space="0" w:color="auto"/>
                                              </w:divBdr>
                                            </w:div>
                                            <w:div w:id="128478473">
                                              <w:marLeft w:val="0"/>
                                              <w:marRight w:val="0"/>
                                              <w:marTop w:val="0"/>
                                              <w:marBottom w:val="0"/>
                                              <w:divBdr>
                                                <w:top w:val="none" w:sz="0" w:space="0" w:color="auto"/>
                                                <w:left w:val="none" w:sz="0" w:space="0" w:color="auto"/>
                                                <w:bottom w:val="none" w:sz="0" w:space="0" w:color="auto"/>
                                                <w:right w:val="none" w:sz="0" w:space="0" w:color="auto"/>
                                              </w:divBdr>
                                            </w:div>
                                            <w:div w:id="137109428">
                                              <w:marLeft w:val="0"/>
                                              <w:marRight w:val="0"/>
                                              <w:marTop w:val="0"/>
                                              <w:marBottom w:val="0"/>
                                              <w:divBdr>
                                                <w:top w:val="none" w:sz="0" w:space="0" w:color="auto"/>
                                                <w:left w:val="none" w:sz="0" w:space="0" w:color="auto"/>
                                                <w:bottom w:val="none" w:sz="0" w:space="0" w:color="auto"/>
                                                <w:right w:val="none" w:sz="0" w:space="0" w:color="auto"/>
                                              </w:divBdr>
                                            </w:div>
                                            <w:div w:id="143159339">
                                              <w:marLeft w:val="0"/>
                                              <w:marRight w:val="0"/>
                                              <w:marTop w:val="0"/>
                                              <w:marBottom w:val="0"/>
                                              <w:divBdr>
                                                <w:top w:val="none" w:sz="0" w:space="0" w:color="auto"/>
                                                <w:left w:val="none" w:sz="0" w:space="0" w:color="auto"/>
                                                <w:bottom w:val="none" w:sz="0" w:space="0" w:color="auto"/>
                                                <w:right w:val="none" w:sz="0" w:space="0" w:color="auto"/>
                                              </w:divBdr>
                                            </w:div>
                                            <w:div w:id="149101963">
                                              <w:marLeft w:val="0"/>
                                              <w:marRight w:val="0"/>
                                              <w:marTop w:val="0"/>
                                              <w:marBottom w:val="0"/>
                                              <w:divBdr>
                                                <w:top w:val="none" w:sz="0" w:space="0" w:color="auto"/>
                                                <w:left w:val="none" w:sz="0" w:space="0" w:color="auto"/>
                                                <w:bottom w:val="none" w:sz="0" w:space="0" w:color="auto"/>
                                                <w:right w:val="none" w:sz="0" w:space="0" w:color="auto"/>
                                              </w:divBdr>
                                            </w:div>
                                            <w:div w:id="164365834">
                                              <w:marLeft w:val="0"/>
                                              <w:marRight w:val="0"/>
                                              <w:marTop w:val="0"/>
                                              <w:marBottom w:val="0"/>
                                              <w:divBdr>
                                                <w:top w:val="none" w:sz="0" w:space="0" w:color="auto"/>
                                                <w:left w:val="none" w:sz="0" w:space="0" w:color="auto"/>
                                                <w:bottom w:val="none" w:sz="0" w:space="0" w:color="auto"/>
                                                <w:right w:val="none" w:sz="0" w:space="0" w:color="auto"/>
                                              </w:divBdr>
                                            </w:div>
                                            <w:div w:id="167135458">
                                              <w:marLeft w:val="0"/>
                                              <w:marRight w:val="0"/>
                                              <w:marTop w:val="0"/>
                                              <w:marBottom w:val="0"/>
                                              <w:divBdr>
                                                <w:top w:val="none" w:sz="0" w:space="0" w:color="auto"/>
                                                <w:left w:val="none" w:sz="0" w:space="0" w:color="auto"/>
                                                <w:bottom w:val="none" w:sz="0" w:space="0" w:color="auto"/>
                                                <w:right w:val="none" w:sz="0" w:space="0" w:color="auto"/>
                                              </w:divBdr>
                                            </w:div>
                                            <w:div w:id="176887642">
                                              <w:marLeft w:val="0"/>
                                              <w:marRight w:val="0"/>
                                              <w:marTop w:val="0"/>
                                              <w:marBottom w:val="0"/>
                                              <w:divBdr>
                                                <w:top w:val="none" w:sz="0" w:space="0" w:color="auto"/>
                                                <w:left w:val="none" w:sz="0" w:space="0" w:color="auto"/>
                                                <w:bottom w:val="none" w:sz="0" w:space="0" w:color="auto"/>
                                                <w:right w:val="none" w:sz="0" w:space="0" w:color="auto"/>
                                              </w:divBdr>
                                            </w:div>
                                            <w:div w:id="187256432">
                                              <w:marLeft w:val="0"/>
                                              <w:marRight w:val="0"/>
                                              <w:marTop w:val="0"/>
                                              <w:marBottom w:val="0"/>
                                              <w:divBdr>
                                                <w:top w:val="none" w:sz="0" w:space="0" w:color="auto"/>
                                                <w:left w:val="none" w:sz="0" w:space="0" w:color="auto"/>
                                                <w:bottom w:val="none" w:sz="0" w:space="0" w:color="auto"/>
                                                <w:right w:val="none" w:sz="0" w:space="0" w:color="auto"/>
                                              </w:divBdr>
                                            </w:div>
                                            <w:div w:id="187454713">
                                              <w:marLeft w:val="0"/>
                                              <w:marRight w:val="0"/>
                                              <w:marTop w:val="0"/>
                                              <w:marBottom w:val="0"/>
                                              <w:divBdr>
                                                <w:top w:val="none" w:sz="0" w:space="0" w:color="auto"/>
                                                <w:left w:val="none" w:sz="0" w:space="0" w:color="auto"/>
                                                <w:bottom w:val="none" w:sz="0" w:space="0" w:color="auto"/>
                                                <w:right w:val="none" w:sz="0" w:space="0" w:color="auto"/>
                                              </w:divBdr>
                                            </w:div>
                                            <w:div w:id="187644036">
                                              <w:marLeft w:val="0"/>
                                              <w:marRight w:val="0"/>
                                              <w:marTop w:val="0"/>
                                              <w:marBottom w:val="0"/>
                                              <w:divBdr>
                                                <w:top w:val="none" w:sz="0" w:space="0" w:color="auto"/>
                                                <w:left w:val="none" w:sz="0" w:space="0" w:color="auto"/>
                                                <w:bottom w:val="none" w:sz="0" w:space="0" w:color="auto"/>
                                                <w:right w:val="none" w:sz="0" w:space="0" w:color="auto"/>
                                              </w:divBdr>
                                            </w:div>
                                            <w:div w:id="188107235">
                                              <w:marLeft w:val="0"/>
                                              <w:marRight w:val="0"/>
                                              <w:marTop w:val="0"/>
                                              <w:marBottom w:val="0"/>
                                              <w:divBdr>
                                                <w:top w:val="none" w:sz="0" w:space="0" w:color="auto"/>
                                                <w:left w:val="none" w:sz="0" w:space="0" w:color="auto"/>
                                                <w:bottom w:val="none" w:sz="0" w:space="0" w:color="auto"/>
                                                <w:right w:val="none" w:sz="0" w:space="0" w:color="auto"/>
                                              </w:divBdr>
                                            </w:div>
                                            <w:div w:id="206263698">
                                              <w:marLeft w:val="0"/>
                                              <w:marRight w:val="0"/>
                                              <w:marTop w:val="0"/>
                                              <w:marBottom w:val="0"/>
                                              <w:divBdr>
                                                <w:top w:val="none" w:sz="0" w:space="0" w:color="auto"/>
                                                <w:left w:val="none" w:sz="0" w:space="0" w:color="auto"/>
                                                <w:bottom w:val="none" w:sz="0" w:space="0" w:color="auto"/>
                                                <w:right w:val="none" w:sz="0" w:space="0" w:color="auto"/>
                                              </w:divBdr>
                                            </w:div>
                                            <w:div w:id="206989732">
                                              <w:marLeft w:val="0"/>
                                              <w:marRight w:val="0"/>
                                              <w:marTop w:val="0"/>
                                              <w:marBottom w:val="0"/>
                                              <w:divBdr>
                                                <w:top w:val="none" w:sz="0" w:space="0" w:color="auto"/>
                                                <w:left w:val="none" w:sz="0" w:space="0" w:color="auto"/>
                                                <w:bottom w:val="none" w:sz="0" w:space="0" w:color="auto"/>
                                                <w:right w:val="none" w:sz="0" w:space="0" w:color="auto"/>
                                              </w:divBdr>
                                            </w:div>
                                            <w:div w:id="209922416">
                                              <w:marLeft w:val="0"/>
                                              <w:marRight w:val="0"/>
                                              <w:marTop w:val="0"/>
                                              <w:marBottom w:val="0"/>
                                              <w:divBdr>
                                                <w:top w:val="none" w:sz="0" w:space="0" w:color="auto"/>
                                                <w:left w:val="none" w:sz="0" w:space="0" w:color="auto"/>
                                                <w:bottom w:val="none" w:sz="0" w:space="0" w:color="auto"/>
                                                <w:right w:val="none" w:sz="0" w:space="0" w:color="auto"/>
                                              </w:divBdr>
                                            </w:div>
                                            <w:div w:id="229731012">
                                              <w:marLeft w:val="0"/>
                                              <w:marRight w:val="0"/>
                                              <w:marTop w:val="0"/>
                                              <w:marBottom w:val="0"/>
                                              <w:divBdr>
                                                <w:top w:val="none" w:sz="0" w:space="0" w:color="auto"/>
                                                <w:left w:val="none" w:sz="0" w:space="0" w:color="auto"/>
                                                <w:bottom w:val="none" w:sz="0" w:space="0" w:color="auto"/>
                                                <w:right w:val="none" w:sz="0" w:space="0" w:color="auto"/>
                                              </w:divBdr>
                                            </w:div>
                                            <w:div w:id="233854753">
                                              <w:marLeft w:val="0"/>
                                              <w:marRight w:val="0"/>
                                              <w:marTop w:val="0"/>
                                              <w:marBottom w:val="0"/>
                                              <w:divBdr>
                                                <w:top w:val="none" w:sz="0" w:space="0" w:color="auto"/>
                                                <w:left w:val="none" w:sz="0" w:space="0" w:color="auto"/>
                                                <w:bottom w:val="none" w:sz="0" w:space="0" w:color="auto"/>
                                                <w:right w:val="none" w:sz="0" w:space="0" w:color="auto"/>
                                              </w:divBdr>
                                            </w:div>
                                            <w:div w:id="234560374">
                                              <w:marLeft w:val="0"/>
                                              <w:marRight w:val="0"/>
                                              <w:marTop w:val="0"/>
                                              <w:marBottom w:val="0"/>
                                              <w:divBdr>
                                                <w:top w:val="none" w:sz="0" w:space="0" w:color="auto"/>
                                                <w:left w:val="none" w:sz="0" w:space="0" w:color="auto"/>
                                                <w:bottom w:val="none" w:sz="0" w:space="0" w:color="auto"/>
                                                <w:right w:val="none" w:sz="0" w:space="0" w:color="auto"/>
                                              </w:divBdr>
                                            </w:div>
                                            <w:div w:id="247076408">
                                              <w:marLeft w:val="0"/>
                                              <w:marRight w:val="0"/>
                                              <w:marTop w:val="0"/>
                                              <w:marBottom w:val="0"/>
                                              <w:divBdr>
                                                <w:top w:val="none" w:sz="0" w:space="0" w:color="auto"/>
                                                <w:left w:val="none" w:sz="0" w:space="0" w:color="auto"/>
                                                <w:bottom w:val="none" w:sz="0" w:space="0" w:color="auto"/>
                                                <w:right w:val="none" w:sz="0" w:space="0" w:color="auto"/>
                                              </w:divBdr>
                                            </w:div>
                                            <w:div w:id="260797089">
                                              <w:marLeft w:val="0"/>
                                              <w:marRight w:val="0"/>
                                              <w:marTop w:val="0"/>
                                              <w:marBottom w:val="0"/>
                                              <w:divBdr>
                                                <w:top w:val="none" w:sz="0" w:space="0" w:color="auto"/>
                                                <w:left w:val="none" w:sz="0" w:space="0" w:color="auto"/>
                                                <w:bottom w:val="none" w:sz="0" w:space="0" w:color="auto"/>
                                                <w:right w:val="none" w:sz="0" w:space="0" w:color="auto"/>
                                              </w:divBdr>
                                            </w:div>
                                            <w:div w:id="263612075">
                                              <w:marLeft w:val="0"/>
                                              <w:marRight w:val="0"/>
                                              <w:marTop w:val="0"/>
                                              <w:marBottom w:val="0"/>
                                              <w:divBdr>
                                                <w:top w:val="none" w:sz="0" w:space="0" w:color="auto"/>
                                                <w:left w:val="none" w:sz="0" w:space="0" w:color="auto"/>
                                                <w:bottom w:val="none" w:sz="0" w:space="0" w:color="auto"/>
                                                <w:right w:val="none" w:sz="0" w:space="0" w:color="auto"/>
                                              </w:divBdr>
                                            </w:div>
                                            <w:div w:id="267664465">
                                              <w:marLeft w:val="0"/>
                                              <w:marRight w:val="0"/>
                                              <w:marTop w:val="0"/>
                                              <w:marBottom w:val="0"/>
                                              <w:divBdr>
                                                <w:top w:val="none" w:sz="0" w:space="0" w:color="auto"/>
                                                <w:left w:val="none" w:sz="0" w:space="0" w:color="auto"/>
                                                <w:bottom w:val="none" w:sz="0" w:space="0" w:color="auto"/>
                                                <w:right w:val="none" w:sz="0" w:space="0" w:color="auto"/>
                                              </w:divBdr>
                                            </w:div>
                                            <w:div w:id="271669763">
                                              <w:marLeft w:val="0"/>
                                              <w:marRight w:val="0"/>
                                              <w:marTop w:val="0"/>
                                              <w:marBottom w:val="0"/>
                                              <w:divBdr>
                                                <w:top w:val="none" w:sz="0" w:space="0" w:color="auto"/>
                                                <w:left w:val="none" w:sz="0" w:space="0" w:color="auto"/>
                                                <w:bottom w:val="none" w:sz="0" w:space="0" w:color="auto"/>
                                                <w:right w:val="none" w:sz="0" w:space="0" w:color="auto"/>
                                              </w:divBdr>
                                            </w:div>
                                            <w:div w:id="272636663">
                                              <w:marLeft w:val="0"/>
                                              <w:marRight w:val="0"/>
                                              <w:marTop w:val="0"/>
                                              <w:marBottom w:val="0"/>
                                              <w:divBdr>
                                                <w:top w:val="none" w:sz="0" w:space="0" w:color="auto"/>
                                                <w:left w:val="none" w:sz="0" w:space="0" w:color="auto"/>
                                                <w:bottom w:val="none" w:sz="0" w:space="0" w:color="auto"/>
                                                <w:right w:val="none" w:sz="0" w:space="0" w:color="auto"/>
                                              </w:divBdr>
                                            </w:div>
                                            <w:div w:id="274334166">
                                              <w:marLeft w:val="0"/>
                                              <w:marRight w:val="0"/>
                                              <w:marTop w:val="0"/>
                                              <w:marBottom w:val="0"/>
                                              <w:divBdr>
                                                <w:top w:val="none" w:sz="0" w:space="0" w:color="auto"/>
                                                <w:left w:val="none" w:sz="0" w:space="0" w:color="auto"/>
                                                <w:bottom w:val="none" w:sz="0" w:space="0" w:color="auto"/>
                                                <w:right w:val="none" w:sz="0" w:space="0" w:color="auto"/>
                                              </w:divBdr>
                                            </w:div>
                                            <w:div w:id="276570130">
                                              <w:marLeft w:val="0"/>
                                              <w:marRight w:val="0"/>
                                              <w:marTop w:val="0"/>
                                              <w:marBottom w:val="0"/>
                                              <w:divBdr>
                                                <w:top w:val="none" w:sz="0" w:space="0" w:color="auto"/>
                                                <w:left w:val="none" w:sz="0" w:space="0" w:color="auto"/>
                                                <w:bottom w:val="none" w:sz="0" w:space="0" w:color="auto"/>
                                                <w:right w:val="none" w:sz="0" w:space="0" w:color="auto"/>
                                              </w:divBdr>
                                            </w:div>
                                            <w:div w:id="281114480">
                                              <w:marLeft w:val="0"/>
                                              <w:marRight w:val="0"/>
                                              <w:marTop w:val="0"/>
                                              <w:marBottom w:val="0"/>
                                              <w:divBdr>
                                                <w:top w:val="none" w:sz="0" w:space="0" w:color="auto"/>
                                                <w:left w:val="none" w:sz="0" w:space="0" w:color="auto"/>
                                                <w:bottom w:val="none" w:sz="0" w:space="0" w:color="auto"/>
                                                <w:right w:val="none" w:sz="0" w:space="0" w:color="auto"/>
                                              </w:divBdr>
                                            </w:div>
                                            <w:div w:id="283931407">
                                              <w:marLeft w:val="0"/>
                                              <w:marRight w:val="0"/>
                                              <w:marTop w:val="0"/>
                                              <w:marBottom w:val="0"/>
                                              <w:divBdr>
                                                <w:top w:val="none" w:sz="0" w:space="0" w:color="auto"/>
                                                <w:left w:val="none" w:sz="0" w:space="0" w:color="auto"/>
                                                <w:bottom w:val="none" w:sz="0" w:space="0" w:color="auto"/>
                                                <w:right w:val="none" w:sz="0" w:space="0" w:color="auto"/>
                                              </w:divBdr>
                                            </w:div>
                                            <w:div w:id="284504934">
                                              <w:marLeft w:val="0"/>
                                              <w:marRight w:val="0"/>
                                              <w:marTop w:val="0"/>
                                              <w:marBottom w:val="0"/>
                                              <w:divBdr>
                                                <w:top w:val="none" w:sz="0" w:space="0" w:color="auto"/>
                                                <w:left w:val="none" w:sz="0" w:space="0" w:color="auto"/>
                                                <w:bottom w:val="none" w:sz="0" w:space="0" w:color="auto"/>
                                                <w:right w:val="none" w:sz="0" w:space="0" w:color="auto"/>
                                              </w:divBdr>
                                            </w:div>
                                            <w:div w:id="293217371">
                                              <w:marLeft w:val="0"/>
                                              <w:marRight w:val="0"/>
                                              <w:marTop w:val="0"/>
                                              <w:marBottom w:val="0"/>
                                              <w:divBdr>
                                                <w:top w:val="none" w:sz="0" w:space="0" w:color="auto"/>
                                                <w:left w:val="none" w:sz="0" w:space="0" w:color="auto"/>
                                                <w:bottom w:val="none" w:sz="0" w:space="0" w:color="auto"/>
                                                <w:right w:val="none" w:sz="0" w:space="0" w:color="auto"/>
                                              </w:divBdr>
                                            </w:div>
                                            <w:div w:id="304623248">
                                              <w:marLeft w:val="0"/>
                                              <w:marRight w:val="0"/>
                                              <w:marTop w:val="0"/>
                                              <w:marBottom w:val="0"/>
                                              <w:divBdr>
                                                <w:top w:val="none" w:sz="0" w:space="0" w:color="auto"/>
                                                <w:left w:val="none" w:sz="0" w:space="0" w:color="auto"/>
                                                <w:bottom w:val="none" w:sz="0" w:space="0" w:color="auto"/>
                                                <w:right w:val="none" w:sz="0" w:space="0" w:color="auto"/>
                                              </w:divBdr>
                                            </w:div>
                                            <w:div w:id="310406158">
                                              <w:marLeft w:val="0"/>
                                              <w:marRight w:val="0"/>
                                              <w:marTop w:val="0"/>
                                              <w:marBottom w:val="0"/>
                                              <w:divBdr>
                                                <w:top w:val="none" w:sz="0" w:space="0" w:color="auto"/>
                                                <w:left w:val="none" w:sz="0" w:space="0" w:color="auto"/>
                                                <w:bottom w:val="none" w:sz="0" w:space="0" w:color="auto"/>
                                                <w:right w:val="none" w:sz="0" w:space="0" w:color="auto"/>
                                              </w:divBdr>
                                            </w:div>
                                            <w:div w:id="312412231">
                                              <w:marLeft w:val="0"/>
                                              <w:marRight w:val="0"/>
                                              <w:marTop w:val="0"/>
                                              <w:marBottom w:val="0"/>
                                              <w:divBdr>
                                                <w:top w:val="none" w:sz="0" w:space="0" w:color="auto"/>
                                                <w:left w:val="none" w:sz="0" w:space="0" w:color="auto"/>
                                                <w:bottom w:val="none" w:sz="0" w:space="0" w:color="auto"/>
                                                <w:right w:val="none" w:sz="0" w:space="0" w:color="auto"/>
                                              </w:divBdr>
                                            </w:div>
                                            <w:div w:id="314795973">
                                              <w:marLeft w:val="0"/>
                                              <w:marRight w:val="0"/>
                                              <w:marTop w:val="0"/>
                                              <w:marBottom w:val="0"/>
                                              <w:divBdr>
                                                <w:top w:val="none" w:sz="0" w:space="0" w:color="auto"/>
                                                <w:left w:val="none" w:sz="0" w:space="0" w:color="auto"/>
                                                <w:bottom w:val="none" w:sz="0" w:space="0" w:color="auto"/>
                                                <w:right w:val="none" w:sz="0" w:space="0" w:color="auto"/>
                                              </w:divBdr>
                                            </w:div>
                                            <w:div w:id="321395998">
                                              <w:marLeft w:val="0"/>
                                              <w:marRight w:val="0"/>
                                              <w:marTop w:val="0"/>
                                              <w:marBottom w:val="0"/>
                                              <w:divBdr>
                                                <w:top w:val="none" w:sz="0" w:space="0" w:color="auto"/>
                                                <w:left w:val="none" w:sz="0" w:space="0" w:color="auto"/>
                                                <w:bottom w:val="none" w:sz="0" w:space="0" w:color="auto"/>
                                                <w:right w:val="none" w:sz="0" w:space="0" w:color="auto"/>
                                              </w:divBdr>
                                            </w:div>
                                            <w:div w:id="321467858">
                                              <w:marLeft w:val="0"/>
                                              <w:marRight w:val="0"/>
                                              <w:marTop w:val="0"/>
                                              <w:marBottom w:val="0"/>
                                              <w:divBdr>
                                                <w:top w:val="none" w:sz="0" w:space="0" w:color="auto"/>
                                                <w:left w:val="none" w:sz="0" w:space="0" w:color="auto"/>
                                                <w:bottom w:val="none" w:sz="0" w:space="0" w:color="auto"/>
                                                <w:right w:val="none" w:sz="0" w:space="0" w:color="auto"/>
                                              </w:divBdr>
                                            </w:div>
                                            <w:div w:id="329451590">
                                              <w:marLeft w:val="0"/>
                                              <w:marRight w:val="0"/>
                                              <w:marTop w:val="0"/>
                                              <w:marBottom w:val="0"/>
                                              <w:divBdr>
                                                <w:top w:val="none" w:sz="0" w:space="0" w:color="auto"/>
                                                <w:left w:val="none" w:sz="0" w:space="0" w:color="auto"/>
                                                <w:bottom w:val="none" w:sz="0" w:space="0" w:color="auto"/>
                                                <w:right w:val="none" w:sz="0" w:space="0" w:color="auto"/>
                                              </w:divBdr>
                                            </w:div>
                                            <w:div w:id="331110329">
                                              <w:marLeft w:val="0"/>
                                              <w:marRight w:val="0"/>
                                              <w:marTop w:val="0"/>
                                              <w:marBottom w:val="0"/>
                                              <w:divBdr>
                                                <w:top w:val="none" w:sz="0" w:space="0" w:color="auto"/>
                                                <w:left w:val="none" w:sz="0" w:space="0" w:color="auto"/>
                                                <w:bottom w:val="none" w:sz="0" w:space="0" w:color="auto"/>
                                                <w:right w:val="none" w:sz="0" w:space="0" w:color="auto"/>
                                              </w:divBdr>
                                            </w:div>
                                            <w:div w:id="340737011">
                                              <w:marLeft w:val="0"/>
                                              <w:marRight w:val="0"/>
                                              <w:marTop w:val="0"/>
                                              <w:marBottom w:val="0"/>
                                              <w:divBdr>
                                                <w:top w:val="none" w:sz="0" w:space="0" w:color="auto"/>
                                                <w:left w:val="none" w:sz="0" w:space="0" w:color="auto"/>
                                                <w:bottom w:val="none" w:sz="0" w:space="0" w:color="auto"/>
                                                <w:right w:val="none" w:sz="0" w:space="0" w:color="auto"/>
                                              </w:divBdr>
                                            </w:div>
                                            <w:div w:id="342633622">
                                              <w:marLeft w:val="0"/>
                                              <w:marRight w:val="0"/>
                                              <w:marTop w:val="0"/>
                                              <w:marBottom w:val="0"/>
                                              <w:divBdr>
                                                <w:top w:val="none" w:sz="0" w:space="0" w:color="auto"/>
                                                <w:left w:val="none" w:sz="0" w:space="0" w:color="auto"/>
                                                <w:bottom w:val="none" w:sz="0" w:space="0" w:color="auto"/>
                                                <w:right w:val="none" w:sz="0" w:space="0" w:color="auto"/>
                                              </w:divBdr>
                                            </w:div>
                                            <w:div w:id="344016790">
                                              <w:marLeft w:val="0"/>
                                              <w:marRight w:val="0"/>
                                              <w:marTop w:val="0"/>
                                              <w:marBottom w:val="0"/>
                                              <w:divBdr>
                                                <w:top w:val="none" w:sz="0" w:space="0" w:color="auto"/>
                                                <w:left w:val="none" w:sz="0" w:space="0" w:color="auto"/>
                                                <w:bottom w:val="none" w:sz="0" w:space="0" w:color="auto"/>
                                                <w:right w:val="none" w:sz="0" w:space="0" w:color="auto"/>
                                              </w:divBdr>
                                            </w:div>
                                            <w:div w:id="352457999">
                                              <w:marLeft w:val="0"/>
                                              <w:marRight w:val="0"/>
                                              <w:marTop w:val="0"/>
                                              <w:marBottom w:val="0"/>
                                              <w:divBdr>
                                                <w:top w:val="none" w:sz="0" w:space="0" w:color="auto"/>
                                                <w:left w:val="none" w:sz="0" w:space="0" w:color="auto"/>
                                                <w:bottom w:val="none" w:sz="0" w:space="0" w:color="auto"/>
                                                <w:right w:val="none" w:sz="0" w:space="0" w:color="auto"/>
                                              </w:divBdr>
                                            </w:div>
                                            <w:div w:id="353271445">
                                              <w:marLeft w:val="0"/>
                                              <w:marRight w:val="0"/>
                                              <w:marTop w:val="0"/>
                                              <w:marBottom w:val="0"/>
                                              <w:divBdr>
                                                <w:top w:val="none" w:sz="0" w:space="0" w:color="auto"/>
                                                <w:left w:val="none" w:sz="0" w:space="0" w:color="auto"/>
                                                <w:bottom w:val="none" w:sz="0" w:space="0" w:color="auto"/>
                                                <w:right w:val="none" w:sz="0" w:space="0" w:color="auto"/>
                                              </w:divBdr>
                                            </w:div>
                                            <w:div w:id="369915400">
                                              <w:marLeft w:val="0"/>
                                              <w:marRight w:val="0"/>
                                              <w:marTop w:val="0"/>
                                              <w:marBottom w:val="0"/>
                                              <w:divBdr>
                                                <w:top w:val="none" w:sz="0" w:space="0" w:color="auto"/>
                                                <w:left w:val="none" w:sz="0" w:space="0" w:color="auto"/>
                                                <w:bottom w:val="none" w:sz="0" w:space="0" w:color="auto"/>
                                                <w:right w:val="none" w:sz="0" w:space="0" w:color="auto"/>
                                              </w:divBdr>
                                            </w:div>
                                            <w:div w:id="372391511">
                                              <w:marLeft w:val="0"/>
                                              <w:marRight w:val="0"/>
                                              <w:marTop w:val="0"/>
                                              <w:marBottom w:val="0"/>
                                              <w:divBdr>
                                                <w:top w:val="none" w:sz="0" w:space="0" w:color="auto"/>
                                                <w:left w:val="none" w:sz="0" w:space="0" w:color="auto"/>
                                                <w:bottom w:val="none" w:sz="0" w:space="0" w:color="auto"/>
                                                <w:right w:val="none" w:sz="0" w:space="0" w:color="auto"/>
                                              </w:divBdr>
                                            </w:div>
                                            <w:div w:id="375079841">
                                              <w:marLeft w:val="0"/>
                                              <w:marRight w:val="0"/>
                                              <w:marTop w:val="0"/>
                                              <w:marBottom w:val="0"/>
                                              <w:divBdr>
                                                <w:top w:val="none" w:sz="0" w:space="0" w:color="auto"/>
                                                <w:left w:val="none" w:sz="0" w:space="0" w:color="auto"/>
                                                <w:bottom w:val="none" w:sz="0" w:space="0" w:color="auto"/>
                                                <w:right w:val="none" w:sz="0" w:space="0" w:color="auto"/>
                                              </w:divBdr>
                                            </w:div>
                                            <w:div w:id="381448278">
                                              <w:marLeft w:val="0"/>
                                              <w:marRight w:val="0"/>
                                              <w:marTop w:val="0"/>
                                              <w:marBottom w:val="0"/>
                                              <w:divBdr>
                                                <w:top w:val="none" w:sz="0" w:space="0" w:color="auto"/>
                                                <w:left w:val="none" w:sz="0" w:space="0" w:color="auto"/>
                                                <w:bottom w:val="none" w:sz="0" w:space="0" w:color="auto"/>
                                                <w:right w:val="none" w:sz="0" w:space="0" w:color="auto"/>
                                              </w:divBdr>
                                            </w:div>
                                            <w:div w:id="383408649">
                                              <w:marLeft w:val="0"/>
                                              <w:marRight w:val="0"/>
                                              <w:marTop w:val="0"/>
                                              <w:marBottom w:val="0"/>
                                              <w:divBdr>
                                                <w:top w:val="none" w:sz="0" w:space="0" w:color="auto"/>
                                                <w:left w:val="none" w:sz="0" w:space="0" w:color="auto"/>
                                                <w:bottom w:val="none" w:sz="0" w:space="0" w:color="auto"/>
                                                <w:right w:val="none" w:sz="0" w:space="0" w:color="auto"/>
                                              </w:divBdr>
                                            </w:div>
                                            <w:div w:id="394550221">
                                              <w:marLeft w:val="0"/>
                                              <w:marRight w:val="0"/>
                                              <w:marTop w:val="0"/>
                                              <w:marBottom w:val="0"/>
                                              <w:divBdr>
                                                <w:top w:val="none" w:sz="0" w:space="0" w:color="auto"/>
                                                <w:left w:val="none" w:sz="0" w:space="0" w:color="auto"/>
                                                <w:bottom w:val="none" w:sz="0" w:space="0" w:color="auto"/>
                                                <w:right w:val="none" w:sz="0" w:space="0" w:color="auto"/>
                                              </w:divBdr>
                                            </w:div>
                                            <w:div w:id="404570733">
                                              <w:marLeft w:val="0"/>
                                              <w:marRight w:val="0"/>
                                              <w:marTop w:val="0"/>
                                              <w:marBottom w:val="0"/>
                                              <w:divBdr>
                                                <w:top w:val="none" w:sz="0" w:space="0" w:color="auto"/>
                                                <w:left w:val="none" w:sz="0" w:space="0" w:color="auto"/>
                                                <w:bottom w:val="none" w:sz="0" w:space="0" w:color="auto"/>
                                                <w:right w:val="none" w:sz="0" w:space="0" w:color="auto"/>
                                              </w:divBdr>
                                            </w:div>
                                            <w:div w:id="404649817">
                                              <w:marLeft w:val="0"/>
                                              <w:marRight w:val="0"/>
                                              <w:marTop w:val="0"/>
                                              <w:marBottom w:val="0"/>
                                              <w:divBdr>
                                                <w:top w:val="none" w:sz="0" w:space="0" w:color="auto"/>
                                                <w:left w:val="none" w:sz="0" w:space="0" w:color="auto"/>
                                                <w:bottom w:val="none" w:sz="0" w:space="0" w:color="auto"/>
                                                <w:right w:val="none" w:sz="0" w:space="0" w:color="auto"/>
                                              </w:divBdr>
                                            </w:div>
                                            <w:div w:id="413433260">
                                              <w:marLeft w:val="0"/>
                                              <w:marRight w:val="0"/>
                                              <w:marTop w:val="0"/>
                                              <w:marBottom w:val="0"/>
                                              <w:divBdr>
                                                <w:top w:val="none" w:sz="0" w:space="0" w:color="auto"/>
                                                <w:left w:val="none" w:sz="0" w:space="0" w:color="auto"/>
                                                <w:bottom w:val="none" w:sz="0" w:space="0" w:color="auto"/>
                                                <w:right w:val="none" w:sz="0" w:space="0" w:color="auto"/>
                                              </w:divBdr>
                                            </w:div>
                                            <w:div w:id="413556152">
                                              <w:marLeft w:val="0"/>
                                              <w:marRight w:val="0"/>
                                              <w:marTop w:val="0"/>
                                              <w:marBottom w:val="0"/>
                                              <w:divBdr>
                                                <w:top w:val="none" w:sz="0" w:space="0" w:color="auto"/>
                                                <w:left w:val="none" w:sz="0" w:space="0" w:color="auto"/>
                                                <w:bottom w:val="none" w:sz="0" w:space="0" w:color="auto"/>
                                                <w:right w:val="none" w:sz="0" w:space="0" w:color="auto"/>
                                              </w:divBdr>
                                            </w:div>
                                            <w:div w:id="419135459">
                                              <w:marLeft w:val="0"/>
                                              <w:marRight w:val="0"/>
                                              <w:marTop w:val="0"/>
                                              <w:marBottom w:val="0"/>
                                              <w:divBdr>
                                                <w:top w:val="none" w:sz="0" w:space="0" w:color="auto"/>
                                                <w:left w:val="none" w:sz="0" w:space="0" w:color="auto"/>
                                                <w:bottom w:val="none" w:sz="0" w:space="0" w:color="auto"/>
                                                <w:right w:val="none" w:sz="0" w:space="0" w:color="auto"/>
                                              </w:divBdr>
                                            </w:div>
                                            <w:div w:id="429590663">
                                              <w:marLeft w:val="0"/>
                                              <w:marRight w:val="0"/>
                                              <w:marTop w:val="0"/>
                                              <w:marBottom w:val="0"/>
                                              <w:divBdr>
                                                <w:top w:val="none" w:sz="0" w:space="0" w:color="auto"/>
                                                <w:left w:val="none" w:sz="0" w:space="0" w:color="auto"/>
                                                <w:bottom w:val="none" w:sz="0" w:space="0" w:color="auto"/>
                                                <w:right w:val="none" w:sz="0" w:space="0" w:color="auto"/>
                                              </w:divBdr>
                                            </w:div>
                                            <w:div w:id="450124939">
                                              <w:marLeft w:val="0"/>
                                              <w:marRight w:val="0"/>
                                              <w:marTop w:val="0"/>
                                              <w:marBottom w:val="0"/>
                                              <w:divBdr>
                                                <w:top w:val="none" w:sz="0" w:space="0" w:color="auto"/>
                                                <w:left w:val="none" w:sz="0" w:space="0" w:color="auto"/>
                                                <w:bottom w:val="none" w:sz="0" w:space="0" w:color="auto"/>
                                                <w:right w:val="none" w:sz="0" w:space="0" w:color="auto"/>
                                              </w:divBdr>
                                            </w:div>
                                            <w:div w:id="453407719">
                                              <w:marLeft w:val="0"/>
                                              <w:marRight w:val="0"/>
                                              <w:marTop w:val="0"/>
                                              <w:marBottom w:val="0"/>
                                              <w:divBdr>
                                                <w:top w:val="none" w:sz="0" w:space="0" w:color="auto"/>
                                                <w:left w:val="none" w:sz="0" w:space="0" w:color="auto"/>
                                                <w:bottom w:val="none" w:sz="0" w:space="0" w:color="auto"/>
                                                <w:right w:val="none" w:sz="0" w:space="0" w:color="auto"/>
                                              </w:divBdr>
                                            </w:div>
                                            <w:div w:id="479465149">
                                              <w:marLeft w:val="0"/>
                                              <w:marRight w:val="0"/>
                                              <w:marTop w:val="0"/>
                                              <w:marBottom w:val="0"/>
                                              <w:divBdr>
                                                <w:top w:val="none" w:sz="0" w:space="0" w:color="auto"/>
                                                <w:left w:val="none" w:sz="0" w:space="0" w:color="auto"/>
                                                <w:bottom w:val="none" w:sz="0" w:space="0" w:color="auto"/>
                                                <w:right w:val="none" w:sz="0" w:space="0" w:color="auto"/>
                                              </w:divBdr>
                                            </w:div>
                                            <w:div w:id="494885636">
                                              <w:marLeft w:val="0"/>
                                              <w:marRight w:val="0"/>
                                              <w:marTop w:val="0"/>
                                              <w:marBottom w:val="0"/>
                                              <w:divBdr>
                                                <w:top w:val="none" w:sz="0" w:space="0" w:color="auto"/>
                                                <w:left w:val="none" w:sz="0" w:space="0" w:color="auto"/>
                                                <w:bottom w:val="none" w:sz="0" w:space="0" w:color="auto"/>
                                                <w:right w:val="none" w:sz="0" w:space="0" w:color="auto"/>
                                              </w:divBdr>
                                            </w:div>
                                            <w:div w:id="503322773">
                                              <w:marLeft w:val="0"/>
                                              <w:marRight w:val="0"/>
                                              <w:marTop w:val="0"/>
                                              <w:marBottom w:val="0"/>
                                              <w:divBdr>
                                                <w:top w:val="none" w:sz="0" w:space="0" w:color="auto"/>
                                                <w:left w:val="none" w:sz="0" w:space="0" w:color="auto"/>
                                                <w:bottom w:val="none" w:sz="0" w:space="0" w:color="auto"/>
                                                <w:right w:val="none" w:sz="0" w:space="0" w:color="auto"/>
                                              </w:divBdr>
                                            </w:div>
                                            <w:div w:id="504781317">
                                              <w:marLeft w:val="0"/>
                                              <w:marRight w:val="0"/>
                                              <w:marTop w:val="0"/>
                                              <w:marBottom w:val="0"/>
                                              <w:divBdr>
                                                <w:top w:val="none" w:sz="0" w:space="0" w:color="auto"/>
                                                <w:left w:val="none" w:sz="0" w:space="0" w:color="auto"/>
                                                <w:bottom w:val="none" w:sz="0" w:space="0" w:color="auto"/>
                                                <w:right w:val="none" w:sz="0" w:space="0" w:color="auto"/>
                                              </w:divBdr>
                                            </w:div>
                                            <w:div w:id="505634846">
                                              <w:marLeft w:val="0"/>
                                              <w:marRight w:val="0"/>
                                              <w:marTop w:val="0"/>
                                              <w:marBottom w:val="0"/>
                                              <w:divBdr>
                                                <w:top w:val="none" w:sz="0" w:space="0" w:color="auto"/>
                                                <w:left w:val="none" w:sz="0" w:space="0" w:color="auto"/>
                                                <w:bottom w:val="none" w:sz="0" w:space="0" w:color="auto"/>
                                                <w:right w:val="none" w:sz="0" w:space="0" w:color="auto"/>
                                              </w:divBdr>
                                            </w:div>
                                            <w:div w:id="509180088">
                                              <w:marLeft w:val="0"/>
                                              <w:marRight w:val="0"/>
                                              <w:marTop w:val="0"/>
                                              <w:marBottom w:val="0"/>
                                              <w:divBdr>
                                                <w:top w:val="none" w:sz="0" w:space="0" w:color="auto"/>
                                                <w:left w:val="none" w:sz="0" w:space="0" w:color="auto"/>
                                                <w:bottom w:val="none" w:sz="0" w:space="0" w:color="auto"/>
                                                <w:right w:val="none" w:sz="0" w:space="0" w:color="auto"/>
                                              </w:divBdr>
                                            </w:div>
                                            <w:div w:id="517886681">
                                              <w:marLeft w:val="0"/>
                                              <w:marRight w:val="0"/>
                                              <w:marTop w:val="0"/>
                                              <w:marBottom w:val="0"/>
                                              <w:divBdr>
                                                <w:top w:val="none" w:sz="0" w:space="0" w:color="auto"/>
                                                <w:left w:val="none" w:sz="0" w:space="0" w:color="auto"/>
                                                <w:bottom w:val="none" w:sz="0" w:space="0" w:color="auto"/>
                                                <w:right w:val="none" w:sz="0" w:space="0" w:color="auto"/>
                                              </w:divBdr>
                                            </w:div>
                                            <w:div w:id="524950335">
                                              <w:marLeft w:val="0"/>
                                              <w:marRight w:val="0"/>
                                              <w:marTop w:val="0"/>
                                              <w:marBottom w:val="0"/>
                                              <w:divBdr>
                                                <w:top w:val="none" w:sz="0" w:space="0" w:color="auto"/>
                                                <w:left w:val="none" w:sz="0" w:space="0" w:color="auto"/>
                                                <w:bottom w:val="none" w:sz="0" w:space="0" w:color="auto"/>
                                                <w:right w:val="none" w:sz="0" w:space="0" w:color="auto"/>
                                              </w:divBdr>
                                            </w:div>
                                            <w:div w:id="525673974">
                                              <w:marLeft w:val="0"/>
                                              <w:marRight w:val="0"/>
                                              <w:marTop w:val="0"/>
                                              <w:marBottom w:val="0"/>
                                              <w:divBdr>
                                                <w:top w:val="none" w:sz="0" w:space="0" w:color="auto"/>
                                                <w:left w:val="none" w:sz="0" w:space="0" w:color="auto"/>
                                                <w:bottom w:val="none" w:sz="0" w:space="0" w:color="auto"/>
                                                <w:right w:val="none" w:sz="0" w:space="0" w:color="auto"/>
                                              </w:divBdr>
                                            </w:div>
                                            <w:div w:id="531311355">
                                              <w:marLeft w:val="0"/>
                                              <w:marRight w:val="0"/>
                                              <w:marTop w:val="0"/>
                                              <w:marBottom w:val="0"/>
                                              <w:divBdr>
                                                <w:top w:val="none" w:sz="0" w:space="0" w:color="auto"/>
                                                <w:left w:val="none" w:sz="0" w:space="0" w:color="auto"/>
                                                <w:bottom w:val="none" w:sz="0" w:space="0" w:color="auto"/>
                                                <w:right w:val="none" w:sz="0" w:space="0" w:color="auto"/>
                                              </w:divBdr>
                                            </w:div>
                                            <w:div w:id="537622676">
                                              <w:marLeft w:val="0"/>
                                              <w:marRight w:val="0"/>
                                              <w:marTop w:val="0"/>
                                              <w:marBottom w:val="0"/>
                                              <w:divBdr>
                                                <w:top w:val="none" w:sz="0" w:space="0" w:color="auto"/>
                                                <w:left w:val="none" w:sz="0" w:space="0" w:color="auto"/>
                                                <w:bottom w:val="none" w:sz="0" w:space="0" w:color="auto"/>
                                                <w:right w:val="none" w:sz="0" w:space="0" w:color="auto"/>
                                              </w:divBdr>
                                            </w:div>
                                            <w:div w:id="542526083">
                                              <w:marLeft w:val="0"/>
                                              <w:marRight w:val="0"/>
                                              <w:marTop w:val="0"/>
                                              <w:marBottom w:val="0"/>
                                              <w:divBdr>
                                                <w:top w:val="none" w:sz="0" w:space="0" w:color="auto"/>
                                                <w:left w:val="none" w:sz="0" w:space="0" w:color="auto"/>
                                                <w:bottom w:val="none" w:sz="0" w:space="0" w:color="auto"/>
                                                <w:right w:val="none" w:sz="0" w:space="0" w:color="auto"/>
                                              </w:divBdr>
                                            </w:div>
                                            <w:div w:id="549996657">
                                              <w:marLeft w:val="0"/>
                                              <w:marRight w:val="0"/>
                                              <w:marTop w:val="0"/>
                                              <w:marBottom w:val="0"/>
                                              <w:divBdr>
                                                <w:top w:val="none" w:sz="0" w:space="0" w:color="auto"/>
                                                <w:left w:val="none" w:sz="0" w:space="0" w:color="auto"/>
                                                <w:bottom w:val="none" w:sz="0" w:space="0" w:color="auto"/>
                                                <w:right w:val="none" w:sz="0" w:space="0" w:color="auto"/>
                                              </w:divBdr>
                                            </w:div>
                                            <w:div w:id="568729493">
                                              <w:marLeft w:val="0"/>
                                              <w:marRight w:val="0"/>
                                              <w:marTop w:val="0"/>
                                              <w:marBottom w:val="0"/>
                                              <w:divBdr>
                                                <w:top w:val="none" w:sz="0" w:space="0" w:color="auto"/>
                                                <w:left w:val="none" w:sz="0" w:space="0" w:color="auto"/>
                                                <w:bottom w:val="none" w:sz="0" w:space="0" w:color="auto"/>
                                                <w:right w:val="none" w:sz="0" w:space="0" w:color="auto"/>
                                              </w:divBdr>
                                            </w:div>
                                            <w:div w:id="579676635">
                                              <w:marLeft w:val="0"/>
                                              <w:marRight w:val="0"/>
                                              <w:marTop w:val="0"/>
                                              <w:marBottom w:val="0"/>
                                              <w:divBdr>
                                                <w:top w:val="none" w:sz="0" w:space="0" w:color="auto"/>
                                                <w:left w:val="none" w:sz="0" w:space="0" w:color="auto"/>
                                                <w:bottom w:val="none" w:sz="0" w:space="0" w:color="auto"/>
                                                <w:right w:val="none" w:sz="0" w:space="0" w:color="auto"/>
                                              </w:divBdr>
                                            </w:div>
                                            <w:div w:id="589969061">
                                              <w:marLeft w:val="0"/>
                                              <w:marRight w:val="0"/>
                                              <w:marTop w:val="0"/>
                                              <w:marBottom w:val="0"/>
                                              <w:divBdr>
                                                <w:top w:val="none" w:sz="0" w:space="0" w:color="auto"/>
                                                <w:left w:val="none" w:sz="0" w:space="0" w:color="auto"/>
                                                <w:bottom w:val="none" w:sz="0" w:space="0" w:color="auto"/>
                                                <w:right w:val="none" w:sz="0" w:space="0" w:color="auto"/>
                                              </w:divBdr>
                                            </w:div>
                                            <w:div w:id="596133547">
                                              <w:marLeft w:val="0"/>
                                              <w:marRight w:val="0"/>
                                              <w:marTop w:val="0"/>
                                              <w:marBottom w:val="0"/>
                                              <w:divBdr>
                                                <w:top w:val="none" w:sz="0" w:space="0" w:color="auto"/>
                                                <w:left w:val="none" w:sz="0" w:space="0" w:color="auto"/>
                                                <w:bottom w:val="none" w:sz="0" w:space="0" w:color="auto"/>
                                                <w:right w:val="none" w:sz="0" w:space="0" w:color="auto"/>
                                              </w:divBdr>
                                            </w:div>
                                            <w:div w:id="606231877">
                                              <w:marLeft w:val="0"/>
                                              <w:marRight w:val="0"/>
                                              <w:marTop w:val="0"/>
                                              <w:marBottom w:val="0"/>
                                              <w:divBdr>
                                                <w:top w:val="none" w:sz="0" w:space="0" w:color="auto"/>
                                                <w:left w:val="none" w:sz="0" w:space="0" w:color="auto"/>
                                                <w:bottom w:val="none" w:sz="0" w:space="0" w:color="auto"/>
                                                <w:right w:val="none" w:sz="0" w:space="0" w:color="auto"/>
                                              </w:divBdr>
                                            </w:div>
                                            <w:div w:id="609095238">
                                              <w:marLeft w:val="0"/>
                                              <w:marRight w:val="0"/>
                                              <w:marTop w:val="0"/>
                                              <w:marBottom w:val="0"/>
                                              <w:divBdr>
                                                <w:top w:val="none" w:sz="0" w:space="0" w:color="auto"/>
                                                <w:left w:val="none" w:sz="0" w:space="0" w:color="auto"/>
                                                <w:bottom w:val="none" w:sz="0" w:space="0" w:color="auto"/>
                                                <w:right w:val="none" w:sz="0" w:space="0" w:color="auto"/>
                                              </w:divBdr>
                                            </w:div>
                                            <w:div w:id="612178337">
                                              <w:marLeft w:val="0"/>
                                              <w:marRight w:val="0"/>
                                              <w:marTop w:val="0"/>
                                              <w:marBottom w:val="0"/>
                                              <w:divBdr>
                                                <w:top w:val="none" w:sz="0" w:space="0" w:color="auto"/>
                                                <w:left w:val="none" w:sz="0" w:space="0" w:color="auto"/>
                                                <w:bottom w:val="none" w:sz="0" w:space="0" w:color="auto"/>
                                                <w:right w:val="none" w:sz="0" w:space="0" w:color="auto"/>
                                              </w:divBdr>
                                            </w:div>
                                            <w:div w:id="619143940">
                                              <w:marLeft w:val="0"/>
                                              <w:marRight w:val="0"/>
                                              <w:marTop w:val="0"/>
                                              <w:marBottom w:val="0"/>
                                              <w:divBdr>
                                                <w:top w:val="none" w:sz="0" w:space="0" w:color="auto"/>
                                                <w:left w:val="none" w:sz="0" w:space="0" w:color="auto"/>
                                                <w:bottom w:val="none" w:sz="0" w:space="0" w:color="auto"/>
                                                <w:right w:val="none" w:sz="0" w:space="0" w:color="auto"/>
                                              </w:divBdr>
                                            </w:div>
                                            <w:div w:id="629360331">
                                              <w:marLeft w:val="0"/>
                                              <w:marRight w:val="0"/>
                                              <w:marTop w:val="0"/>
                                              <w:marBottom w:val="0"/>
                                              <w:divBdr>
                                                <w:top w:val="none" w:sz="0" w:space="0" w:color="auto"/>
                                                <w:left w:val="none" w:sz="0" w:space="0" w:color="auto"/>
                                                <w:bottom w:val="none" w:sz="0" w:space="0" w:color="auto"/>
                                                <w:right w:val="none" w:sz="0" w:space="0" w:color="auto"/>
                                              </w:divBdr>
                                            </w:div>
                                            <w:div w:id="629944689">
                                              <w:marLeft w:val="0"/>
                                              <w:marRight w:val="0"/>
                                              <w:marTop w:val="0"/>
                                              <w:marBottom w:val="0"/>
                                              <w:divBdr>
                                                <w:top w:val="none" w:sz="0" w:space="0" w:color="auto"/>
                                                <w:left w:val="none" w:sz="0" w:space="0" w:color="auto"/>
                                                <w:bottom w:val="none" w:sz="0" w:space="0" w:color="auto"/>
                                                <w:right w:val="none" w:sz="0" w:space="0" w:color="auto"/>
                                              </w:divBdr>
                                            </w:div>
                                            <w:div w:id="631446339">
                                              <w:marLeft w:val="0"/>
                                              <w:marRight w:val="0"/>
                                              <w:marTop w:val="0"/>
                                              <w:marBottom w:val="0"/>
                                              <w:divBdr>
                                                <w:top w:val="none" w:sz="0" w:space="0" w:color="auto"/>
                                                <w:left w:val="none" w:sz="0" w:space="0" w:color="auto"/>
                                                <w:bottom w:val="none" w:sz="0" w:space="0" w:color="auto"/>
                                                <w:right w:val="none" w:sz="0" w:space="0" w:color="auto"/>
                                              </w:divBdr>
                                            </w:div>
                                            <w:div w:id="632950474">
                                              <w:marLeft w:val="0"/>
                                              <w:marRight w:val="0"/>
                                              <w:marTop w:val="0"/>
                                              <w:marBottom w:val="0"/>
                                              <w:divBdr>
                                                <w:top w:val="none" w:sz="0" w:space="0" w:color="auto"/>
                                                <w:left w:val="none" w:sz="0" w:space="0" w:color="auto"/>
                                                <w:bottom w:val="none" w:sz="0" w:space="0" w:color="auto"/>
                                                <w:right w:val="none" w:sz="0" w:space="0" w:color="auto"/>
                                              </w:divBdr>
                                            </w:div>
                                            <w:div w:id="643003430">
                                              <w:marLeft w:val="0"/>
                                              <w:marRight w:val="0"/>
                                              <w:marTop w:val="0"/>
                                              <w:marBottom w:val="0"/>
                                              <w:divBdr>
                                                <w:top w:val="none" w:sz="0" w:space="0" w:color="auto"/>
                                                <w:left w:val="none" w:sz="0" w:space="0" w:color="auto"/>
                                                <w:bottom w:val="none" w:sz="0" w:space="0" w:color="auto"/>
                                                <w:right w:val="none" w:sz="0" w:space="0" w:color="auto"/>
                                              </w:divBdr>
                                            </w:div>
                                            <w:div w:id="648245145">
                                              <w:marLeft w:val="0"/>
                                              <w:marRight w:val="0"/>
                                              <w:marTop w:val="0"/>
                                              <w:marBottom w:val="0"/>
                                              <w:divBdr>
                                                <w:top w:val="none" w:sz="0" w:space="0" w:color="auto"/>
                                                <w:left w:val="none" w:sz="0" w:space="0" w:color="auto"/>
                                                <w:bottom w:val="none" w:sz="0" w:space="0" w:color="auto"/>
                                                <w:right w:val="none" w:sz="0" w:space="0" w:color="auto"/>
                                              </w:divBdr>
                                            </w:div>
                                            <w:div w:id="652611148">
                                              <w:marLeft w:val="0"/>
                                              <w:marRight w:val="0"/>
                                              <w:marTop w:val="0"/>
                                              <w:marBottom w:val="0"/>
                                              <w:divBdr>
                                                <w:top w:val="none" w:sz="0" w:space="0" w:color="auto"/>
                                                <w:left w:val="none" w:sz="0" w:space="0" w:color="auto"/>
                                                <w:bottom w:val="none" w:sz="0" w:space="0" w:color="auto"/>
                                                <w:right w:val="none" w:sz="0" w:space="0" w:color="auto"/>
                                              </w:divBdr>
                                            </w:div>
                                            <w:div w:id="655382399">
                                              <w:marLeft w:val="0"/>
                                              <w:marRight w:val="0"/>
                                              <w:marTop w:val="0"/>
                                              <w:marBottom w:val="0"/>
                                              <w:divBdr>
                                                <w:top w:val="none" w:sz="0" w:space="0" w:color="auto"/>
                                                <w:left w:val="none" w:sz="0" w:space="0" w:color="auto"/>
                                                <w:bottom w:val="none" w:sz="0" w:space="0" w:color="auto"/>
                                                <w:right w:val="none" w:sz="0" w:space="0" w:color="auto"/>
                                              </w:divBdr>
                                            </w:div>
                                            <w:div w:id="659506719">
                                              <w:marLeft w:val="0"/>
                                              <w:marRight w:val="0"/>
                                              <w:marTop w:val="0"/>
                                              <w:marBottom w:val="0"/>
                                              <w:divBdr>
                                                <w:top w:val="none" w:sz="0" w:space="0" w:color="auto"/>
                                                <w:left w:val="none" w:sz="0" w:space="0" w:color="auto"/>
                                                <w:bottom w:val="none" w:sz="0" w:space="0" w:color="auto"/>
                                                <w:right w:val="none" w:sz="0" w:space="0" w:color="auto"/>
                                              </w:divBdr>
                                            </w:div>
                                            <w:div w:id="667906306">
                                              <w:marLeft w:val="0"/>
                                              <w:marRight w:val="0"/>
                                              <w:marTop w:val="0"/>
                                              <w:marBottom w:val="0"/>
                                              <w:divBdr>
                                                <w:top w:val="none" w:sz="0" w:space="0" w:color="auto"/>
                                                <w:left w:val="none" w:sz="0" w:space="0" w:color="auto"/>
                                                <w:bottom w:val="none" w:sz="0" w:space="0" w:color="auto"/>
                                                <w:right w:val="none" w:sz="0" w:space="0" w:color="auto"/>
                                              </w:divBdr>
                                            </w:div>
                                            <w:div w:id="670378829">
                                              <w:marLeft w:val="0"/>
                                              <w:marRight w:val="0"/>
                                              <w:marTop w:val="0"/>
                                              <w:marBottom w:val="0"/>
                                              <w:divBdr>
                                                <w:top w:val="none" w:sz="0" w:space="0" w:color="auto"/>
                                                <w:left w:val="none" w:sz="0" w:space="0" w:color="auto"/>
                                                <w:bottom w:val="none" w:sz="0" w:space="0" w:color="auto"/>
                                                <w:right w:val="none" w:sz="0" w:space="0" w:color="auto"/>
                                              </w:divBdr>
                                            </w:div>
                                            <w:div w:id="673068785">
                                              <w:marLeft w:val="0"/>
                                              <w:marRight w:val="0"/>
                                              <w:marTop w:val="0"/>
                                              <w:marBottom w:val="0"/>
                                              <w:divBdr>
                                                <w:top w:val="none" w:sz="0" w:space="0" w:color="auto"/>
                                                <w:left w:val="none" w:sz="0" w:space="0" w:color="auto"/>
                                                <w:bottom w:val="none" w:sz="0" w:space="0" w:color="auto"/>
                                                <w:right w:val="none" w:sz="0" w:space="0" w:color="auto"/>
                                              </w:divBdr>
                                            </w:div>
                                            <w:div w:id="679084704">
                                              <w:marLeft w:val="0"/>
                                              <w:marRight w:val="0"/>
                                              <w:marTop w:val="0"/>
                                              <w:marBottom w:val="0"/>
                                              <w:divBdr>
                                                <w:top w:val="none" w:sz="0" w:space="0" w:color="auto"/>
                                                <w:left w:val="none" w:sz="0" w:space="0" w:color="auto"/>
                                                <w:bottom w:val="none" w:sz="0" w:space="0" w:color="auto"/>
                                                <w:right w:val="none" w:sz="0" w:space="0" w:color="auto"/>
                                              </w:divBdr>
                                            </w:div>
                                            <w:div w:id="686980137">
                                              <w:marLeft w:val="0"/>
                                              <w:marRight w:val="0"/>
                                              <w:marTop w:val="0"/>
                                              <w:marBottom w:val="0"/>
                                              <w:divBdr>
                                                <w:top w:val="none" w:sz="0" w:space="0" w:color="auto"/>
                                                <w:left w:val="none" w:sz="0" w:space="0" w:color="auto"/>
                                                <w:bottom w:val="none" w:sz="0" w:space="0" w:color="auto"/>
                                                <w:right w:val="none" w:sz="0" w:space="0" w:color="auto"/>
                                              </w:divBdr>
                                            </w:div>
                                            <w:div w:id="696661408">
                                              <w:marLeft w:val="0"/>
                                              <w:marRight w:val="0"/>
                                              <w:marTop w:val="0"/>
                                              <w:marBottom w:val="0"/>
                                              <w:divBdr>
                                                <w:top w:val="none" w:sz="0" w:space="0" w:color="auto"/>
                                                <w:left w:val="none" w:sz="0" w:space="0" w:color="auto"/>
                                                <w:bottom w:val="none" w:sz="0" w:space="0" w:color="auto"/>
                                                <w:right w:val="none" w:sz="0" w:space="0" w:color="auto"/>
                                              </w:divBdr>
                                            </w:div>
                                            <w:div w:id="699355177">
                                              <w:marLeft w:val="0"/>
                                              <w:marRight w:val="0"/>
                                              <w:marTop w:val="0"/>
                                              <w:marBottom w:val="0"/>
                                              <w:divBdr>
                                                <w:top w:val="none" w:sz="0" w:space="0" w:color="auto"/>
                                                <w:left w:val="none" w:sz="0" w:space="0" w:color="auto"/>
                                                <w:bottom w:val="none" w:sz="0" w:space="0" w:color="auto"/>
                                                <w:right w:val="none" w:sz="0" w:space="0" w:color="auto"/>
                                              </w:divBdr>
                                            </w:div>
                                            <w:div w:id="720524107">
                                              <w:marLeft w:val="0"/>
                                              <w:marRight w:val="0"/>
                                              <w:marTop w:val="0"/>
                                              <w:marBottom w:val="0"/>
                                              <w:divBdr>
                                                <w:top w:val="none" w:sz="0" w:space="0" w:color="auto"/>
                                                <w:left w:val="none" w:sz="0" w:space="0" w:color="auto"/>
                                                <w:bottom w:val="none" w:sz="0" w:space="0" w:color="auto"/>
                                                <w:right w:val="none" w:sz="0" w:space="0" w:color="auto"/>
                                              </w:divBdr>
                                            </w:div>
                                            <w:div w:id="751124962">
                                              <w:marLeft w:val="0"/>
                                              <w:marRight w:val="0"/>
                                              <w:marTop w:val="0"/>
                                              <w:marBottom w:val="0"/>
                                              <w:divBdr>
                                                <w:top w:val="none" w:sz="0" w:space="0" w:color="auto"/>
                                                <w:left w:val="none" w:sz="0" w:space="0" w:color="auto"/>
                                                <w:bottom w:val="none" w:sz="0" w:space="0" w:color="auto"/>
                                                <w:right w:val="none" w:sz="0" w:space="0" w:color="auto"/>
                                              </w:divBdr>
                                            </w:div>
                                            <w:div w:id="753358173">
                                              <w:marLeft w:val="0"/>
                                              <w:marRight w:val="0"/>
                                              <w:marTop w:val="0"/>
                                              <w:marBottom w:val="0"/>
                                              <w:divBdr>
                                                <w:top w:val="none" w:sz="0" w:space="0" w:color="auto"/>
                                                <w:left w:val="none" w:sz="0" w:space="0" w:color="auto"/>
                                                <w:bottom w:val="none" w:sz="0" w:space="0" w:color="auto"/>
                                                <w:right w:val="none" w:sz="0" w:space="0" w:color="auto"/>
                                              </w:divBdr>
                                            </w:div>
                                            <w:div w:id="754859674">
                                              <w:marLeft w:val="0"/>
                                              <w:marRight w:val="0"/>
                                              <w:marTop w:val="0"/>
                                              <w:marBottom w:val="0"/>
                                              <w:divBdr>
                                                <w:top w:val="none" w:sz="0" w:space="0" w:color="auto"/>
                                                <w:left w:val="none" w:sz="0" w:space="0" w:color="auto"/>
                                                <w:bottom w:val="none" w:sz="0" w:space="0" w:color="auto"/>
                                                <w:right w:val="none" w:sz="0" w:space="0" w:color="auto"/>
                                              </w:divBdr>
                                            </w:div>
                                            <w:div w:id="757215060">
                                              <w:marLeft w:val="0"/>
                                              <w:marRight w:val="0"/>
                                              <w:marTop w:val="0"/>
                                              <w:marBottom w:val="0"/>
                                              <w:divBdr>
                                                <w:top w:val="none" w:sz="0" w:space="0" w:color="auto"/>
                                                <w:left w:val="none" w:sz="0" w:space="0" w:color="auto"/>
                                                <w:bottom w:val="none" w:sz="0" w:space="0" w:color="auto"/>
                                                <w:right w:val="none" w:sz="0" w:space="0" w:color="auto"/>
                                              </w:divBdr>
                                            </w:div>
                                            <w:div w:id="764883761">
                                              <w:marLeft w:val="0"/>
                                              <w:marRight w:val="0"/>
                                              <w:marTop w:val="0"/>
                                              <w:marBottom w:val="0"/>
                                              <w:divBdr>
                                                <w:top w:val="none" w:sz="0" w:space="0" w:color="auto"/>
                                                <w:left w:val="none" w:sz="0" w:space="0" w:color="auto"/>
                                                <w:bottom w:val="none" w:sz="0" w:space="0" w:color="auto"/>
                                                <w:right w:val="none" w:sz="0" w:space="0" w:color="auto"/>
                                              </w:divBdr>
                                            </w:div>
                                            <w:div w:id="768084354">
                                              <w:marLeft w:val="0"/>
                                              <w:marRight w:val="0"/>
                                              <w:marTop w:val="0"/>
                                              <w:marBottom w:val="0"/>
                                              <w:divBdr>
                                                <w:top w:val="none" w:sz="0" w:space="0" w:color="auto"/>
                                                <w:left w:val="none" w:sz="0" w:space="0" w:color="auto"/>
                                                <w:bottom w:val="none" w:sz="0" w:space="0" w:color="auto"/>
                                                <w:right w:val="none" w:sz="0" w:space="0" w:color="auto"/>
                                              </w:divBdr>
                                            </w:div>
                                            <w:div w:id="770320436">
                                              <w:marLeft w:val="0"/>
                                              <w:marRight w:val="0"/>
                                              <w:marTop w:val="0"/>
                                              <w:marBottom w:val="0"/>
                                              <w:divBdr>
                                                <w:top w:val="none" w:sz="0" w:space="0" w:color="auto"/>
                                                <w:left w:val="none" w:sz="0" w:space="0" w:color="auto"/>
                                                <w:bottom w:val="none" w:sz="0" w:space="0" w:color="auto"/>
                                                <w:right w:val="none" w:sz="0" w:space="0" w:color="auto"/>
                                              </w:divBdr>
                                            </w:div>
                                            <w:div w:id="773863791">
                                              <w:marLeft w:val="0"/>
                                              <w:marRight w:val="0"/>
                                              <w:marTop w:val="0"/>
                                              <w:marBottom w:val="0"/>
                                              <w:divBdr>
                                                <w:top w:val="none" w:sz="0" w:space="0" w:color="auto"/>
                                                <w:left w:val="none" w:sz="0" w:space="0" w:color="auto"/>
                                                <w:bottom w:val="none" w:sz="0" w:space="0" w:color="auto"/>
                                                <w:right w:val="none" w:sz="0" w:space="0" w:color="auto"/>
                                              </w:divBdr>
                                            </w:div>
                                            <w:div w:id="775978420">
                                              <w:marLeft w:val="0"/>
                                              <w:marRight w:val="0"/>
                                              <w:marTop w:val="0"/>
                                              <w:marBottom w:val="0"/>
                                              <w:divBdr>
                                                <w:top w:val="none" w:sz="0" w:space="0" w:color="auto"/>
                                                <w:left w:val="none" w:sz="0" w:space="0" w:color="auto"/>
                                                <w:bottom w:val="none" w:sz="0" w:space="0" w:color="auto"/>
                                                <w:right w:val="none" w:sz="0" w:space="0" w:color="auto"/>
                                              </w:divBdr>
                                            </w:div>
                                            <w:div w:id="778263181">
                                              <w:marLeft w:val="0"/>
                                              <w:marRight w:val="0"/>
                                              <w:marTop w:val="0"/>
                                              <w:marBottom w:val="0"/>
                                              <w:divBdr>
                                                <w:top w:val="none" w:sz="0" w:space="0" w:color="auto"/>
                                                <w:left w:val="none" w:sz="0" w:space="0" w:color="auto"/>
                                                <w:bottom w:val="none" w:sz="0" w:space="0" w:color="auto"/>
                                                <w:right w:val="none" w:sz="0" w:space="0" w:color="auto"/>
                                              </w:divBdr>
                                            </w:div>
                                            <w:div w:id="797718694">
                                              <w:marLeft w:val="0"/>
                                              <w:marRight w:val="0"/>
                                              <w:marTop w:val="0"/>
                                              <w:marBottom w:val="0"/>
                                              <w:divBdr>
                                                <w:top w:val="none" w:sz="0" w:space="0" w:color="auto"/>
                                                <w:left w:val="none" w:sz="0" w:space="0" w:color="auto"/>
                                                <w:bottom w:val="none" w:sz="0" w:space="0" w:color="auto"/>
                                                <w:right w:val="none" w:sz="0" w:space="0" w:color="auto"/>
                                              </w:divBdr>
                                            </w:div>
                                            <w:div w:id="798185761">
                                              <w:marLeft w:val="0"/>
                                              <w:marRight w:val="0"/>
                                              <w:marTop w:val="0"/>
                                              <w:marBottom w:val="0"/>
                                              <w:divBdr>
                                                <w:top w:val="none" w:sz="0" w:space="0" w:color="auto"/>
                                                <w:left w:val="none" w:sz="0" w:space="0" w:color="auto"/>
                                                <w:bottom w:val="none" w:sz="0" w:space="0" w:color="auto"/>
                                                <w:right w:val="none" w:sz="0" w:space="0" w:color="auto"/>
                                              </w:divBdr>
                                            </w:div>
                                            <w:div w:id="803935763">
                                              <w:marLeft w:val="0"/>
                                              <w:marRight w:val="0"/>
                                              <w:marTop w:val="0"/>
                                              <w:marBottom w:val="0"/>
                                              <w:divBdr>
                                                <w:top w:val="none" w:sz="0" w:space="0" w:color="auto"/>
                                                <w:left w:val="none" w:sz="0" w:space="0" w:color="auto"/>
                                                <w:bottom w:val="none" w:sz="0" w:space="0" w:color="auto"/>
                                                <w:right w:val="none" w:sz="0" w:space="0" w:color="auto"/>
                                              </w:divBdr>
                                            </w:div>
                                            <w:div w:id="815805264">
                                              <w:marLeft w:val="0"/>
                                              <w:marRight w:val="0"/>
                                              <w:marTop w:val="0"/>
                                              <w:marBottom w:val="0"/>
                                              <w:divBdr>
                                                <w:top w:val="none" w:sz="0" w:space="0" w:color="auto"/>
                                                <w:left w:val="none" w:sz="0" w:space="0" w:color="auto"/>
                                                <w:bottom w:val="none" w:sz="0" w:space="0" w:color="auto"/>
                                                <w:right w:val="none" w:sz="0" w:space="0" w:color="auto"/>
                                              </w:divBdr>
                                            </w:div>
                                            <w:div w:id="824319780">
                                              <w:marLeft w:val="0"/>
                                              <w:marRight w:val="0"/>
                                              <w:marTop w:val="0"/>
                                              <w:marBottom w:val="0"/>
                                              <w:divBdr>
                                                <w:top w:val="none" w:sz="0" w:space="0" w:color="auto"/>
                                                <w:left w:val="none" w:sz="0" w:space="0" w:color="auto"/>
                                                <w:bottom w:val="none" w:sz="0" w:space="0" w:color="auto"/>
                                                <w:right w:val="none" w:sz="0" w:space="0" w:color="auto"/>
                                              </w:divBdr>
                                            </w:div>
                                            <w:div w:id="824934039">
                                              <w:marLeft w:val="0"/>
                                              <w:marRight w:val="0"/>
                                              <w:marTop w:val="0"/>
                                              <w:marBottom w:val="0"/>
                                              <w:divBdr>
                                                <w:top w:val="none" w:sz="0" w:space="0" w:color="auto"/>
                                                <w:left w:val="none" w:sz="0" w:space="0" w:color="auto"/>
                                                <w:bottom w:val="none" w:sz="0" w:space="0" w:color="auto"/>
                                                <w:right w:val="none" w:sz="0" w:space="0" w:color="auto"/>
                                              </w:divBdr>
                                            </w:div>
                                            <w:div w:id="827331949">
                                              <w:marLeft w:val="0"/>
                                              <w:marRight w:val="0"/>
                                              <w:marTop w:val="0"/>
                                              <w:marBottom w:val="0"/>
                                              <w:divBdr>
                                                <w:top w:val="none" w:sz="0" w:space="0" w:color="auto"/>
                                                <w:left w:val="none" w:sz="0" w:space="0" w:color="auto"/>
                                                <w:bottom w:val="none" w:sz="0" w:space="0" w:color="auto"/>
                                                <w:right w:val="none" w:sz="0" w:space="0" w:color="auto"/>
                                              </w:divBdr>
                                            </w:div>
                                            <w:div w:id="827942410">
                                              <w:marLeft w:val="0"/>
                                              <w:marRight w:val="0"/>
                                              <w:marTop w:val="0"/>
                                              <w:marBottom w:val="0"/>
                                              <w:divBdr>
                                                <w:top w:val="none" w:sz="0" w:space="0" w:color="auto"/>
                                                <w:left w:val="none" w:sz="0" w:space="0" w:color="auto"/>
                                                <w:bottom w:val="none" w:sz="0" w:space="0" w:color="auto"/>
                                                <w:right w:val="none" w:sz="0" w:space="0" w:color="auto"/>
                                              </w:divBdr>
                                            </w:div>
                                            <w:div w:id="830488521">
                                              <w:marLeft w:val="0"/>
                                              <w:marRight w:val="0"/>
                                              <w:marTop w:val="0"/>
                                              <w:marBottom w:val="0"/>
                                              <w:divBdr>
                                                <w:top w:val="none" w:sz="0" w:space="0" w:color="auto"/>
                                                <w:left w:val="none" w:sz="0" w:space="0" w:color="auto"/>
                                                <w:bottom w:val="none" w:sz="0" w:space="0" w:color="auto"/>
                                                <w:right w:val="none" w:sz="0" w:space="0" w:color="auto"/>
                                              </w:divBdr>
                                            </w:div>
                                            <w:div w:id="840002527">
                                              <w:marLeft w:val="0"/>
                                              <w:marRight w:val="0"/>
                                              <w:marTop w:val="0"/>
                                              <w:marBottom w:val="0"/>
                                              <w:divBdr>
                                                <w:top w:val="none" w:sz="0" w:space="0" w:color="auto"/>
                                                <w:left w:val="none" w:sz="0" w:space="0" w:color="auto"/>
                                                <w:bottom w:val="none" w:sz="0" w:space="0" w:color="auto"/>
                                                <w:right w:val="none" w:sz="0" w:space="0" w:color="auto"/>
                                              </w:divBdr>
                                            </w:div>
                                            <w:div w:id="855847244">
                                              <w:marLeft w:val="0"/>
                                              <w:marRight w:val="0"/>
                                              <w:marTop w:val="0"/>
                                              <w:marBottom w:val="0"/>
                                              <w:divBdr>
                                                <w:top w:val="none" w:sz="0" w:space="0" w:color="auto"/>
                                                <w:left w:val="none" w:sz="0" w:space="0" w:color="auto"/>
                                                <w:bottom w:val="none" w:sz="0" w:space="0" w:color="auto"/>
                                                <w:right w:val="none" w:sz="0" w:space="0" w:color="auto"/>
                                              </w:divBdr>
                                            </w:div>
                                            <w:div w:id="860045353">
                                              <w:marLeft w:val="0"/>
                                              <w:marRight w:val="0"/>
                                              <w:marTop w:val="0"/>
                                              <w:marBottom w:val="0"/>
                                              <w:divBdr>
                                                <w:top w:val="none" w:sz="0" w:space="0" w:color="auto"/>
                                                <w:left w:val="none" w:sz="0" w:space="0" w:color="auto"/>
                                                <w:bottom w:val="none" w:sz="0" w:space="0" w:color="auto"/>
                                                <w:right w:val="none" w:sz="0" w:space="0" w:color="auto"/>
                                              </w:divBdr>
                                            </w:div>
                                            <w:div w:id="861213786">
                                              <w:marLeft w:val="0"/>
                                              <w:marRight w:val="0"/>
                                              <w:marTop w:val="0"/>
                                              <w:marBottom w:val="0"/>
                                              <w:divBdr>
                                                <w:top w:val="none" w:sz="0" w:space="0" w:color="auto"/>
                                                <w:left w:val="none" w:sz="0" w:space="0" w:color="auto"/>
                                                <w:bottom w:val="none" w:sz="0" w:space="0" w:color="auto"/>
                                                <w:right w:val="none" w:sz="0" w:space="0" w:color="auto"/>
                                              </w:divBdr>
                                            </w:div>
                                            <w:div w:id="871528834">
                                              <w:marLeft w:val="0"/>
                                              <w:marRight w:val="0"/>
                                              <w:marTop w:val="0"/>
                                              <w:marBottom w:val="0"/>
                                              <w:divBdr>
                                                <w:top w:val="none" w:sz="0" w:space="0" w:color="auto"/>
                                                <w:left w:val="none" w:sz="0" w:space="0" w:color="auto"/>
                                                <w:bottom w:val="none" w:sz="0" w:space="0" w:color="auto"/>
                                                <w:right w:val="none" w:sz="0" w:space="0" w:color="auto"/>
                                              </w:divBdr>
                                            </w:div>
                                            <w:div w:id="875120203">
                                              <w:marLeft w:val="0"/>
                                              <w:marRight w:val="0"/>
                                              <w:marTop w:val="0"/>
                                              <w:marBottom w:val="0"/>
                                              <w:divBdr>
                                                <w:top w:val="none" w:sz="0" w:space="0" w:color="auto"/>
                                                <w:left w:val="none" w:sz="0" w:space="0" w:color="auto"/>
                                                <w:bottom w:val="none" w:sz="0" w:space="0" w:color="auto"/>
                                                <w:right w:val="none" w:sz="0" w:space="0" w:color="auto"/>
                                              </w:divBdr>
                                            </w:div>
                                            <w:div w:id="885334578">
                                              <w:marLeft w:val="0"/>
                                              <w:marRight w:val="0"/>
                                              <w:marTop w:val="0"/>
                                              <w:marBottom w:val="0"/>
                                              <w:divBdr>
                                                <w:top w:val="none" w:sz="0" w:space="0" w:color="auto"/>
                                                <w:left w:val="none" w:sz="0" w:space="0" w:color="auto"/>
                                                <w:bottom w:val="none" w:sz="0" w:space="0" w:color="auto"/>
                                                <w:right w:val="none" w:sz="0" w:space="0" w:color="auto"/>
                                              </w:divBdr>
                                            </w:div>
                                            <w:div w:id="891845539">
                                              <w:marLeft w:val="0"/>
                                              <w:marRight w:val="0"/>
                                              <w:marTop w:val="0"/>
                                              <w:marBottom w:val="0"/>
                                              <w:divBdr>
                                                <w:top w:val="none" w:sz="0" w:space="0" w:color="auto"/>
                                                <w:left w:val="none" w:sz="0" w:space="0" w:color="auto"/>
                                                <w:bottom w:val="none" w:sz="0" w:space="0" w:color="auto"/>
                                                <w:right w:val="none" w:sz="0" w:space="0" w:color="auto"/>
                                              </w:divBdr>
                                            </w:div>
                                            <w:div w:id="893589331">
                                              <w:marLeft w:val="0"/>
                                              <w:marRight w:val="0"/>
                                              <w:marTop w:val="0"/>
                                              <w:marBottom w:val="0"/>
                                              <w:divBdr>
                                                <w:top w:val="none" w:sz="0" w:space="0" w:color="auto"/>
                                                <w:left w:val="none" w:sz="0" w:space="0" w:color="auto"/>
                                                <w:bottom w:val="none" w:sz="0" w:space="0" w:color="auto"/>
                                                <w:right w:val="none" w:sz="0" w:space="0" w:color="auto"/>
                                              </w:divBdr>
                                            </w:div>
                                            <w:div w:id="897285769">
                                              <w:marLeft w:val="0"/>
                                              <w:marRight w:val="0"/>
                                              <w:marTop w:val="0"/>
                                              <w:marBottom w:val="0"/>
                                              <w:divBdr>
                                                <w:top w:val="none" w:sz="0" w:space="0" w:color="auto"/>
                                                <w:left w:val="none" w:sz="0" w:space="0" w:color="auto"/>
                                                <w:bottom w:val="none" w:sz="0" w:space="0" w:color="auto"/>
                                                <w:right w:val="none" w:sz="0" w:space="0" w:color="auto"/>
                                              </w:divBdr>
                                            </w:div>
                                            <w:div w:id="908002309">
                                              <w:marLeft w:val="0"/>
                                              <w:marRight w:val="0"/>
                                              <w:marTop w:val="0"/>
                                              <w:marBottom w:val="0"/>
                                              <w:divBdr>
                                                <w:top w:val="none" w:sz="0" w:space="0" w:color="auto"/>
                                                <w:left w:val="none" w:sz="0" w:space="0" w:color="auto"/>
                                                <w:bottom w:val="none" w:sz="0" w:space="0" w:color="auto"/>
                                                <w:right w:val="none" w:sz="0" w:space="0" w:color="auto"/>
                                              </w:divBdr>
                                            </w:div>
                                            <w:div w:id="911503485">
                                              <w:marLeft w:val="0"/>
                                              <w:marRight w:val="0"/>
                                              <w:marTop w:val="0"/>
                                              <w:marBottom w:val="0"/>
                                              <w:divBdr>
                                                <w:top w:val="none" w:sz="0" w:space="0" w:color="auto"/>
                                                <w:left w:val="none" w:sz="0" w:space="0" w:color="auto"/>
                                                <w:bottom w:val="none" w:sz="0" w:space="0" w:color="auto"/>
                                                <w:right w:val="none" w:sz="0" w:space="0" w:color="auto"/>
                                              </w:divBdr>
                                            </w:div>
                                            <w:div w:id="926429326">
                                              <w:marLeft w:val="0"/>
                                              <w:marRight w:val="0"/>
                                              <w:marTop w:val="0"/>
                                              <w:marBottom w:val="0"/>
                                              <w:divBdr>
                                                <w:top w:val="none" w:sz="0" w:space="0" w:color="auto"/>
                                                <w:left w:val="none" w:sz="0" w:space="0" w:color="auto"/>
                                                <w:bottom w:val="none" w:sz="0" w:space="0" w:color="auto"/>
                                                <w:right w:val="none" w:sz="0" w:space="0" w:color="auto"/>
                                              </w:divBdr>
                                            </w:div>
                                            <w:div w:id="926690933">
                                              <w:marLeft w:val="0"/>
                                              <w:marRight w:val="0"/>
                                              <w:marTop w:val="0"/>
                                              <w:marBottom w:val="0"/>
                                              <w:divBdr>
                                                <w:top w:val="none" w:sz="0" w:space="0" w:color="auto"/>
                                                <w:left w:val="none" w:sz="0" w:space="0" w:color="auto"/>
                                                <w:bottom w:val="none" w:sz="0" w:space="0" w:color="auto"/>
                                                <w:right w:val="none" w:sz="0" w:space="0" w:color="auto"/>
                                              </w:divBdr>
                                            </w:div>
                                            <w:div w:id="931548379">
                                              <w:marLeft w:val="0"/>
                                              <w:marRight w:val="0"/>
                                              <w:marTop w:val="0"/>
                                              <w:marBottom w:val="0"/>
                                              <w:divBdr>
                                                <w:top w:val="none" w:sz="0" w:space="0" w:color="auto"/>
                                                <w:left w:val="none" w:sz="0" w:space="0" w:color="auto"/>
                                                <w:bottom w:val="none" w:sz="0" w:space="0" w:color="auto"/>
                                                <w:right w:val="none" w:sz="0" w:space="0" w:color="auto"/>
                                              </w:divBdr>
                                            </w:div>
                                            <w:div w:id="933903426">
                                              <w:marLeft w:val="0"/>
                                              <w:marRight w:val="0"/>
                                              <w:marTop w:val="0"/>
                                              <w:marBottom w:val="0"/>
                                              <w:divBdr>
                                                <w:top w:val="none" w:sz="0" w:space="0" w:color="auto"/>
                                                <w:left w:val="none" w:sz="0" w:space="0" w:color="auto"/>
                                                <w:bottom w:val="none" w:sz="0" w:space="0" w:color="auto"/>
                                                <w:right w:val="none" w:sz="0" w:space="0" w:color="auto"/>
                                              </w:divBdr>
                                            </w:div>
                                            <w:div w:id="941688915">
                                              <w:marLeft w:val="0"/>
                                              <w:marRight w:val="0"/>
                                              <w:marTop w:val="0"/>
                                              <w:marBottom w:val="0"/>
                                              <w:divBdr>
                                                <w:top w:val="none" w:sz="0" w:space="0" w:color="auto"/>
                                                <w:left w:val="none" w:sz="0" w:space="0" w:color="auto"/>
                                                <w:bottom w:val="none" w:sz="0" w:space="0" w:color="auto"/>
                                                <w:right w:val="none" w:sz="0" w:space="0" w:color="auto"/>
                                              </w:divBdr>
                                            </w:div>
                                            <w:div w:id="945619022">
                                              <w:marLeft w:val="0"/>
                                              <w:marRight w:val="0"/>
                                              <w:marTop w:val="0"/>
                                              <w:marBottom w:val="0"/>
                                              <w:divBdr>
                                                <w:top w:val="none" w:sz="0" w:space="0" w:color="auto"/>
                                                <w:left w:val="none" w:sz="0" w:space="0" w:color="auto"/>
                                                <w:bottom w:val="none" w:sz="0" w:space="0" w:color="auto"/>
                                                <w:right w:val="none" w:sz="0" w:space="0" w:color="auto"/>
                                              </w:divBdr>
                                            </w:div>
                                            <w:div w:id="955791484">
                                              <w:marLeft w:val="0"/>
                                              <w:marRight w:val="0"/>
                                              <w:marTop w:val="0"/>
                                              <w:marBottom w:val="0"/>
                                              <w:divBdr>
                                                <w:top w:val="none" w:sz="0" w:space="0" w:color="auto"/>
                                                <w:left w:val="none" w:sz="0" w:space="0" w:color="auto"/>
                                                <w:bottom w:val="none" w:sz="0" w:space="0" w:color="auto"/>
                                                <w:right w:val="none" w:sz="0" w:space="0" w:color="auto"/>
                                              </w:divBdr>
                                            </w:div>
                                            <w:div w:id="960767383">
                                              <w:marLeft w:val="0"/>
                                              <w:marRight w:val="0"/>
                                              <w:marTop w:val="0"/>
                                              <w:marBottom w:val="0"/>
                                              <w:divBdr>
                                                <w:top w:val="none" w:sz="0" w:space="0" w:color="auto"/>
                                                <w:left w:val="none" w:sz="0" w:space="0" w:color="auto"/>
                                                <w:bottom w:val="none" w:sz="0" w:space="0" w:color="auto"/>
                                                <w:right w:val="none" w:sz="0" w:space="0" w:color="auto"/>
                                              </w:divBdr>
                                            </w:div>
                                            <w:div w:id="970402125">
                                              <w:marLeft w:val="0"/>
                                              <w:marRight w:val="0"/>
                                              <w:marTop w:val="0"/>
                                              <w:marBottom w:val="0"/>
                                              <w:divBdr>
                                                <w:top w:val="none" w:sz="0" w:space="0" w:color="auto"/>
                                                <w:left w:val="none" w:sz="0" w:space="0" w:color="auto"/>
                                                <w:bottom w:val="none" w:sz="0" w:space="0" w:color="auto"/>
                                                <w:right w:val="none" w:sz="0" w:space="0" w:color="auto"/>
                                              </w:divBdr>
                                            </w:div>
                                            <w:div w:id="974682865">
                                              <w:marLeft w:val="0"/>
                                              <w:marRight w:val="0"/>
                                              <w:marTop w:val="0"/>
                                              <w:marBottom w:val="0"/>
                                              <w:divBdr>
                                                <w:top w:val="none" w:sz="0" w:space="0" w:color="auto"/>
                                                <w:left w:val="none" w:sz="0" w:space="0" w:color="auto"/>
                                                <w:bottom w:val="none" w:sz="0" w:space="0" w:color="auto"/>
                                                <w:right w:val="none" w:sz="0" w:space="0" w:color="auto"/>
                                              </w:divBdr>
                                            </w:div>
                                            <w:div w:id="977303654">
                                              <w:marLeft w:val="0"/>
                                              <w:marRight w:val="0"/>
                                              <w:marTop w:val="0"/>
                                              <w:marBottom w:val="0"/>
                                              <w:divBdr>
                                                <w:top w:val="none" w:sz="0" w:space="0" w:color="auto"/>
                                                <w:left w:val="none" w:sz="0" w:space="0" w:color="auto"/>
                                                <w:bottom w:val="none" w:sz="0" w:space="0" w:color="auto"/>
                                                <w:right w:val="none" w:sz="0" w:space="0" w:color="auto"/>
                                              </w:divBdr>
                                            </w:div>
                                            <w:div w:id="983698727">
                                              <w:marLeft w:val="0"/>
                                              <w:marRight w:val="0"/>
                                              <w:marTop w:val="0"/>
                                              <w:marBottom w:val="0"/>
                                              <w:divBdr>
                                                <w:top w:val="none" w:sz="0" w:space="0" w:color="auto"/>
                                                <w:left w:val="none" w:sz="0" w:space="0" w:color="auto"/>
                                                <w:bottom w:val="none" w:sz="0" w:space="0" w:color="auto"/>
                                                <w:right w:val="none" w:sz="0" w:space="0" w:color="auto"/>
                                              </w:divBdr>
                                            </w:div>
                                            <w:div w:id="986781300">
                                              <w:marLeft w:val="0"/>
                                              <w:marRight w:val="0"/>
                                              <w:marTop w:val="0"/>
                                              <w:marBottom w:val="0"/>
                                              <w:divBdr>
                                                <w:top w:val="none" w:sz="0" w:space="0" w:color="auto"/>
                                                <w:left w:val="none" w:sz="0" w:space="0" w:color="auto"/>
                                                <w:bottom w:val="none" w:sz="0" w:space="0" w:color="auto"/>
                                                <w:right w:val="none" w:sz="0" w:space="0" w:color="auto"/>
                                              </w:divBdr>
                                            </w:div>
                                            <w:div w:id="991567799">
                                              <w:marLeft w:val="0"/>
                                              <w:marRight w:val="0"/>
                                              <w:marTop w:val="0"/>
                                              <w:marBottom w:val="0"/>
                                              <w:divBdr>
                                                <w:top w:val="none" w:sz="0" w:space="0" w:color="auto"/>
                                                <w:left w:val="none" w:sz="0" w:space="0" w:color="auto"/>
                                                <w:bottom w:val="none" w:sz="0" w:space="0" w:color="auto"/>
                                                <w:right w:val="none" w:sz="0" w:space="0" w:color="auto"/>
                                              </w:divBdr>
                                            </w:div>
                                            <w:div w:id="1004866468">
                                              <w:marLeft w:val="0"/>
                                              <w:marRight w:val="0"/>
                                              <w:marTop w:val="0"/>
                                              <w:marBottom w:val="0"/>
                                              <w:divBdr>
                                                <w:top w:val="none" w:sz="0" w:space="0" w:color="auto"/>
                                                <w:left w:val="none" w:sz="0" w:space="0" w:color="auto"/>
                                                <w:bottom w:val="none" w:sz="0" w:space="0" w:color="auto"/>
                                                <w:right w:val="none" w:sz="0" w:space="0" w:color="auto"/>
                                              </w:divBdr>
                                            </w:div>
                                            <w:div w:id="1005473134">
                                              <w:marLeft w:val="0"/>
                                              <w:marRight w:val="0"/>
                                              <w:marTop w:val="0"/>
                                              <w:marBottom w:val="0"/>
                                              <w:divBdr>
                                                <w:top w:val="none" w:sz="0" w:space="0" w:color="auto"/>
                                                <w:left w:val="none" w:sz="0" w:space="0" w:color="auto"/>
                                                <w:bottom w:val="none" w:sz="0" w:space="0" w:color="auto"/>
                                                <w:right w:val="none" w:sz="0" w:space="0" w:color="auto"/>
                                              </w:divBdr>
                                            </w:div>
                                            <w:div w:id="1010326934">
                                              <w:marLeft w:val="0"/>
                                              <w:marRight w:val="0"/>
                                              <w:marTop w:val="0"/>
                                              <w:marBottom w:val="0"/>
                                              <w:divBdr>
                                                <w:top w:val="none" w:sz="0" w:space="0" w:color="auto"/>
                                                <w:left w:val="none" w:sz="0" w:space="0" w:color="auto"/>
                                                <w:bottom w:val="none" w:sz="0" w:space="0" w:color="auto"/>
                                                <w:right w:val="none" w:sz="0" w:space="0" w:color="auto"/>
                                              </w:divBdr>
                                            </w:div>
                                            <w:div w:id="1010335647">
                                              <w:marLeft w:val="0"/>
                                              <w:marRight w:val="0"/>
                                              <w:marTop w:val="0"/>
                                              <w:marBottom w:val="0"/>
                                              <w:divBdr>
                                                <w:top w:val="none" w:sz="0" w:space="0" w:color="auto"/>
                                                <w:left w:val="none" w:sz="0" w:space="0" w:color="auto"/>
                                                <w:bottom w:val="none" w:sz="0" w:space="0" w:color="auto"/>
                                                <w:right w:val="none" w:sz="0" w:space="0" w:color="auto"/>
                                              </w:divBdr>
                                            </w:div>
                                            <w:div w:id="1016925389">
                                              <w:marLeft w:val="0"/>
                                              <w:marRight w:val="0"/>
                                              <w:marTop w:val="0"/>
                                              <w:marBottom w:val="0"/>
                                              <w:divBdr>
                                                <w:top w:val="none" w:sz="0" w:space="0" w:color="auto"/>
                                                <w:left w:val="none" w:sz="0" w:space="0" w:color="auto"/>
                                                <w:bottom w:val="none" w:sz="0" w:space="0" w:color="auto"/>
                                                <w:right w:val="none" w:sz="0" w:space="0" w:color="auto"/>
                                              </w:divBdr>
                                            </w:div>
                                            <w:div w:id="1028458179">
                                              <w:marLeft w:val="0"/>
                                              <w:marRight w:val="0"/>
                                              <w:marTop w:val="0"/>
                                              <w:marBottom w:val="0"/>
                                              <w:divBdr>
                                                <w:top w:val="none" w:sz="0" w:space="0" w:color="auto"/>
                                                <w:left w:val="none" w:sz="0" w:space="0" w:color="auto"/>
                                                <w:bottom w:val="none" w:sz="0" w:space="0" w:color="auto"/>
                                                <w:right w:val="none" w:sz="0" w:space="0" w:color="auto"/>
                                              </w:divBdr>
                                            </w:div>
                                            <w:div w:id="1030030424">
                                              <w:marLeft w:val="0"/>
                                              <w:marRight w:val="0"/>
                                              <w:marTop w:val="0"/>
                                              <w:marBottom w:val="0"/>
                                              <w:divBdr>
                                                <w:top w:val="none" w:sz="0" w:space="0" w:color="auto"/>
                                                <w:left w:val="none" w:sz="0" w:space="0" w:color="auto"/>
                                                <w:bottom w:val="none" w:sz="0" w:space="0" w:color="auto"/>
                                                <w:right w:val="none" w:sz="0" w:space="0" w:color="auto"/>
                                              </w:divBdr>
                                            </w:div>
                                            <w:div w:id="1039164642">
                                              <w:marLeft w:val="0"/>
                                              <w:marRight w:val="0"/>
                                              <w:marTop w:val="0"/>
                                              <w:marBottom w:val="0"/>
                                              <w:divBdr>
                                                <w:top w:val="none" w:sz="0" w:space="0" w:color="auto"/>
                                                <w:left w:val="none" w:sz="0" w:space="0" w:color="auto"/>
                                                <w:bottom w:val="none" w:sz="0" w:space="0" w:color="auto"/>
                                                <w:right w:val="none" w:sz="0" w:space="0" w:color="auto"/>
                                              </w:divBdr>
                                            </w:div>
                                            <w:div w:id="1043863704">
                                              <w:marLeft w:val="0"/>
                                              <w:marRight w:val="0"/>
                                              <w:marTop w:val="0"/>
                                              <w:marBottom w:val="0"/>
                                              <w:divBdr>
                                                <w:top w:val="none" w:sz="0" w:space="0" w:color="auto"/>
                                                <w:left w:val="none" w:sz="0" w:space="0" w:color="auto"/>
                                                <w:bottom w:val="none" w:sz="0" w:space="0" w:color="auto"/>
                                                <w:right w:val="none" w:sz="0" w:space="0" w:color="auto"/>
                                              </w:divBdr>
                                            </w:div>
                                            <w:div w:id="1053040554">
                                              <w:marLeft w:val="0"/>
                                              <w:marRight w:val="0"/>
                                              <w:marTop w:val="0"/>
                                              <w:marBottom w:val="0"/>
                                              <w:divBdr>
                                                <w:top w:val="none" w:sz="0" w:space="0" w:color="auto"/>
                                                <w:left w:val="none" w:sz="0" w:space="0" w:color="auto"/>
                                                <w:bottom w:val="none" w:sz="0" w:space="0" w:color="auto"/>
                                                <w:right w:val="none" w:sz="0" w:space="0" w:color="auto"/>
                                              </w:divBdr>
                                            </w:div>
                                            <w:div w:id="1060900894">
                                              <w:marLeft w:val="0"/>
                                              <w:marRight w:val="0"/>
                                              <w:marTop w:val="0"/>
                                              <w:marBottom w:val="0"/>
                                              <w:divBdr>
                                                <w:top w:val="none" w:sz="0" w:space="0" w:color="auto"/>
                                                <w:left w:val="none" w:sz="0" w:space="0" w:color="auto"/>
                                                <w:bottom w:val="none" w:sz="0" w:space="0" w:color="auto"/>
                                                <w:right w:val="none" w:sz="0" w:space="0" w:color="auto"/>
                                              </w:divBdr>
                                            </w:div>
                                            <w:div w:id="1072898016">
                                              <w:marLeft w:val="0"/>
                                              <w:marRight w:val="0"/>
                                              <w:marTop w:val="0"/>
                                              <w:marBottom w:val="0"/>
                                              <w:divBdr>
                                                <w:top w:val="none" w:sz="0" w:space="0" w:color="auto"/>
                                                <w:left w:val="none" w:sz="0" w:space="0" w:color="auto"/>
                                                <w:bottom w:val="none" w:sz="0" w:space="0" w:color="auto"/>
                                                <w:right w:val="none" w:sz="0" w:space="0" w:color="auto"/>
                                              </w:divBdr>
                                            </w:div>
                                            <w:div w:id="1075055533">
                                              <w:marLeft w:val="0"/>
                                              <w:marRight w:val="0"/>
                                              <w:marTop w:val="0"/>
                                              <w:marBottom w:val="0"/>
                                              <w:divBdr>
                                                <w:top w:val="none" w:sz="0" w:space="0" w:color="auto"/>
                                                <w:left w:val="none" w:sz="0" w:space="0" w:color="auto"/>
                                                <w:bottom w:val="none" w:sz="0" w:space="0" w:color="auto"/>
                                                <w:right w:val="none" w:sz="0" w:space="0" w:color="auto"/>
                                              </w:divBdr>
                                            </w:div>
                                            <w:div w:id="1075863116">
                                              <w:marLeft w:val="0"/>
                                              <w:marRight w:val="0"/>
                                              <w:marTop w:val="0"/>
                                              <w:marBottom w:val="0"/>
                                              <w:divBdr>
                                                <w:top w:val="none" w:sz="0" w:space="0" w:color="auto"/>
                                                <w:left w:val="none" w:sz="0" w:space="0" w:color="auto"/>
                                                <w:bottom w:val="none" w:sz="0" w:space="0" w:color="auto"/>
                                                <w:right w:val="none" w:sz="0" w:space="0" w:color="auto"/>
                                              </w:divBdr>
                                            </w:div>
                                            <w:div w:id="1091389235">
                                              <w:marLeft w:val="0"/>
                                              <w:marRight w:val="0"/>
                                              <w:marTop w:val="0"/>
                                              <w:marBottom w:val="0"/>
                                              <w:divBdr>
                                                <w:top w:val="none" w:sz="0" w:space="0" w:color="auto"/>
                                                <w:left w:val="none" w:sz="0" w:space="0" w:color="auto"/>
                                                <w:bottom w:val="none" w:sz="0" w:space="0" w:color="auto"/>
                                                <w:right w:val="none" w:sz="0" w:space="0" w:color="auto"/>
                                              </w:divBdr>
                                            </w:div>
                                            <w:div w:id="1097556904">
                                              <w:marLeft w:val="0"/>
                                              <w:marRight w:val="0"/>
                                              <w:marTop w:val="0"/>
                                              <w:marBottom w:val="0"/>
                                              <w:divBdr>
                                                <w:top w:val="none" w:sz="0" w:space="0" w:color="auto"/>
                                                <w:left w:val="none" w:sz="0" w:space="0" w:color="auto"/>
                                                <w:bottom w:val="none" w:sz="0" w:space="0" w:color="auto"/>
                                                <w:right w:val="none" w:sz="0" w:space="0" w:color="auto"/>
                                              </w:divBdr>
                                            </w:div>
                                            <w:div w:id="1104618582">
                                              <w:marLeft w:val="0"/>
                                              <w:marRight w:val="0"/>
                                              <w:marTop w:val="0"/>
                                              <w:marBottom w:val="0"/>
                                              <w:divBdr>
                                                <w:top w:val="none" w:sz="0" w:space="0" w:color="auto"/>
                                                <w:left w:val="none" w:sz="0" w:space="0" w:color="auto"/>
                                                <w:bottom w:val="none" w:sz="0" w:space="0" w:color="auto"/>
                                                <w:right w:val="none" w:sz="0" w:space="0" w:color="auto"/>
                                              </w:divBdr>
                                            </w:div>
                                            <w:div w:id="1108424256">
                                              <w:marLeft w:val="0"/>
                                              <w:marRight w:val="0"/>
                                              <w:marTop w:val="0"/>
                                              <w:marBottom w:val="0"/>
                                              <w:divBdr>
                                                <w:top w:val="none" w:sz="0" w:space="0" w:color="auto"/>
                                                <w:left w:val="none" w:sz="0" w:space="0" w:color="auto"/>
                                                <w:bottom w:val="none" w:sz="0" w:space="0" w:color="auto"/>
                                                <w:right w:val="none" w:sz="0" w:space="0" w:color="auto"/>
                                              </w:divBdr>
                                            </w:div>
                                            <w:div w:id="1114592329">
                                              <w:marLeft w:val="0"/>
                                              <w:marRight w:val="0"/>
                                              <w:marTop w:val="0"/>
                                              <w:marBottom w:val="0"/>
                                              <w:divBdr>
                                                <w:top w:val="none" w:sz="0" w:space="0" w:color="auto"/>
                                                <w:left w:val="none" w:sz="0" w:space="0" w:color="auto"/>
                                                <w:bottom w:val="none" w:sz="0" w:space="0" w:color="auto"/>
                                                <w:right w:val="none" w:sz="0" w:space="0" w:color="auto"/>
                                              </w:divBdr>
                                            </w:div>
                                            <w:div w:id="1114983590">
                                              <w:marLeft w:val="0"/>
                                              <w:marRight w:val="0"/>
                                              <w:marTop w:val="0"/>
                                              <w:marBottom w:val="0"/>
                                              <w:divBdr>
                                                <w:top w:val="none" w:sz="0" w:space="0" w:color="auto"/>
                                                <w:left w:val="none" w:sz="0" w:space="0" w:color="auto"/>
                                                <w:bottom w:val="none" w:sz="0" w:space="0" w:color="auto"/>
                                                <w:right w:val="none" w:sz="0" w:space="0" w:color="auto"/>
                                              </w:divBdr>
                                            </w:div>
                                            <w:div w:id="1125658268">
                                              <w:marLeft w:val="0"/>
                                              <w:marRight w:val="0"/>
                                              <w:marTop w:val="0"/>
                                              <w:marBottom w:val="0"/>
                                              <w:divBdr>
                                                <w:top w:val="none" w:sz="0" w:space="0" w:color="auto"/>
                                                <w:left w:val="none" w:sz="0" w:space="0" w:color="auto"/>
                                                <w:bottom w:val="none" w:sz="0" w:space="0" w:color="auto"/>
                                                <w:right w:val="none" w:sz="0" w:space="0" w:color="auto"/>
                                              </w:divBdr>
                                            </w:div>
                                            <w:div w:id="1129980660">
                                              <w:marLeft w:val="0"/>
                                              <w:marRight w:val="0"/>
                                              <w:marTop w:val="0"/>
                                              <w:marBottom w:val="0"/>
                                              <w:divBdr>
                                                <w:top w:val="none" w:sz="0" w:space="0" w:color="auto"/>
                                                <w:left w:val="none" w:sz="0" w:space="0" w:color="auto"/>
                                                <w:bottom w:val="none" w:sz="0" w:space="0" w:color="auto"/>
                                                <w:right w:val="none" w:sz="0" w:space="0" w:color="auto"/>
                                              </w:divBdr>
                                            </w:div>
                                            <w:div w:id="1131820625">
                                              <w:marLeft w:val="0"/>
                                              <w:marRight w:val="0"/>
                                              <w:marTop w:val="0"/>
                                              <w:marBottom w:val="0"/>
                                              <w:divBdr>
                                                <w:top w:val="none" w:sz="0" w:space="0" w:color="auto"/>
                                                <w:left w:val="none" w:sz="0" w:space="0" w:color="auto"/>
                                                <w:bottom w:val="none" w:sz="0" w:space="0" w:color="auto"/>
                                                <w:right w:val="none" w:sz="0" w:space="0" w:color="auto"/>
                                              </w:divBdr>
                                            </w:div>
                                            <w:div w:id="1134177454">
                                              <w:marLeft w:val="0"/>
                                              <w:marRight w:val="0"/>
                                              <w:marTop w:val="0"/>
                                              <w:marBottom w:val="0"/>
                                              <w:divBdr>
                                                <w:top w:val="none" w:sz="0" w:space="0" w:color="auto"/>
                                                <w:left w:val="none" w:sz="0" w:space="0" w:color="auto"/>
                                                <w:bottom w:val="none" w:sz="0" w:space="0" w:color="auto"/>
                                                <w:right w:val="none" w:sz="0" w:space="0" w:color="auto"/>
                                              </w:divBdr>
                                            </w:div>
                                            <w:div w:id="1138960986">
                                              <w:marLeft w:val="0"/>
                                              <w:marRight w:val="0"/>
                                              <w:marTop w:val="0"/>
                                              <w:marBottom w:val="0"/>
                                              <w:divBdr>
                                                <w:top w:val="none" w:sz="0" w:space="0" w:color="auto"/>
                                                <w:left w:val="none" w:sz="0" w:space="0" w:color="auto"/>
                                                <w:bottom w:val="none" w:sz="0" w:space="0" w:color="auto"/>
                                                <w:right w:val="none" w:sz="0" w:space="0" w:color="auto"/>
                                              </w:divBdr>
                                            </w:div>
                                            <w:div w:id="1140266224">
                                              <w:marLeft w:val="0"/>
                                              <w:marRight w:val="0"/>
                                              <w:marTop w:val="0"/>
                                              <w:marBottom w:val="0"/>
                                              <w:divBdr>
                                                <w:top w:val="none" w:sz="0" w:space="0" w:color="auto"/>
                                                <w:left w:val="none" w:sz="0" w:space="0" w:color="auto"/>
                                                <w:bottom w:val="none" w:sz="0" w:space="0" w:color="auto"/>
                                                <w:right w:val="none" w:sz="0" w:space="0" w:color="auto"/>
                                              </w:divBdr>
                                            </w:div>
                                            <w:div w:id="1144199395">
                                              <w:marLeft w:val="0"/>
                                              <w:marRight w:val="0"/>
                                              <w:marTop w:val="0"/>
                                              <w:marBottom w:val="0"/>
                                              <w:divBdr>
                                                <w:top w:val="none" w:sz="0" w:space="0" w:color="auto"/>
                                                <w:left w:val="none" w:sz="0" w:space="0" w:color="auto"/>
                                                <w:bottom w:val="none" w:sz="0" w:space="0" w:color="auto"/>
                                                <w:right w:val="none" w:sz="0" w:space="0" w:color="auto"/>
                                              </w:divBdr>
                                            </w:div>
                                            <w:div w:id="1150364020">
                                              <w:marLeft w:val="0"/>
                                              <w:marRight w:val="0"/>
                                              <w:marTop w:val="0"/>
                                              <w:marBottom w:val="0"/>
                                              <w:divBdr>
                                                <w:top w:val="none" w:sz="0" w:space="0" w:color="auto"/>
                                                <w:left w:val="none" w:sz="0" w:space="0" w:color="auto"/>
                                                <w:bottom w:val="none" w:sz="0" w:space="0" w:color="auto"/>
                                                <w:right w:val="none" w:sz="0" w:space="0" w:color="auto"/>
                                              </w:divBdr>
                                            </w:div>
                                            <w:div w:id="1151094679">
                                              <w:marLeft w:val="0"/>
                                              <w:marRight w:val="0"/>
                                              <w:marTop w:val="0"/>
                                              <w:marBottom w:val="0"/>
                                              <w:divBdr>
                                                <w:top w:val="none" w:sz="0" w:space="0" w:color="auto"/>
                                                <w:left w:val="none" w:sz="0" w:space="0" w:color="auto"/>
                                                <w:bottom w:val="none" w:sz="0" w:space="0" w:color="auto"/>
                                                <w:right w:val="none" w:sz="0" w:space="0" w:color="auto"/>
                                              </w:divBdr>
                                            </w:div>
                                            <w:div w:id="1154027893">
                                              <w:marLeft w:val="0"/>
                                              <w:marRight w:val="0"/>
                                              <w:marTop w:val="0"/>
                                              <w:marBottom w:val="0"/>
                                              <w:divBdr>
                                                <w:top w:val="none" w:sz="0" w:space="0" w:color="auto"/>
                                                <w:left w:val="none" w:sz="0" w:space="0" w:color="auto"/>
                                                <w:bottom w:val="none" w:sz="0" w:space="0" w:color="auto"/>
                                                <w:right w:val="none" w:sz="0" w:space="0" w:color="auto"/>
                                              </w:divBdr>
                                            </w:div>
                                            <w:div w:id="1157460010">
                                              <w:marLeft w:val="0"/>
                                              <w:marRight w:val="0"/>
                                              <w:marTop w:val="0"/>
                                              <w:marBottom w:val="0"/>
                                              <w:divBdr>
                                                <w:top w:val="none" w:sz="0" w:space="0" w:color="auto"/>
                                                <w:left w:val="none" w:sz="0" w:space="0" w:color="auto"/>
                                                <w:bottom w:val="none" w:sz="0" w:space="0" w:color="auto"/>
                                                <w:right w:val="none" w:sz="0" w:space="0" w:color="auto"/>
                                              </w:divBdr>
                                            </w:div>
                                            <w:div w:id="1161653898">
                                              <w:marLeft w:val="0"/>
                                              <w:marRight w:val="0"/>
                                              <w:marTop w:val="0"/>
                                              <w:marBottom w:val="0"/>
                                              <w:divBdr>
                                                <w:top w:val="none" w:sz="0" w:space="0" w:color="auto"/>
                                                <w:left w:val="none" w:sz="0" w:space="0" w:color="auto"/>
                                                <w:bottom w:val="none" w:sz="0" w:space="0" w:color="auto"/>
                                                <w:right w:val="none" w:sz="0" w:space="0" w:color="auto"/>
                                              </w:divBdr>
                                            </w:div>
                                            <w:div w:id="1171406540">
                                              <w:marLeft w:val="0"/>
                                              <w:marRight w:val="0"/>
                                              <w:marTop w:val="0"/>
                                              <w:marBottom w:val="0"/>
                                              <w:divBdr>
                                                <w:top w:val="none" w:sz="0" w:space="0" w:color="auto"/>
                                                <w:left w:val="none" w:sz="0" w:space="0" w:color="auto"/>
                                                <w:bottom w:val="none" w:sz="0" w:space="0" w:color="auto"/>
                                                <w:right w:val="none" w:sz="0" w:space="0" w:color="auto"/>
                                              </w:divBdr>
                                            </w:div>
                                            <w:div w:id="1175001266">
                                              <w:marLeft w:val="0"/>
                                              <w:marRight w:val="0"/>
                                              <w:marTop w:val="0"/>
                                              <w:marBottom w:val="0"/>
                                              <w:divBdr>
                                                <w:top w:val="none" w:sz="0" w:space="0" w:color="auto"/>
                                                <w:left w:val="none" w:sz="0" w:space="0" w:color="auto"/>
                                                <w:bottom w:val="none" w:sz="0" w:space="0" w:color="auto"/>
                                                <w:right w:val="none" w:sz="0" w:space="0" w:color="auto"/>
                                              </w:divBdr>
                                            </w:div>
                                            <w:div w:id="1182669305">
                                              <w:marLeft w:val="0"/>
                                              <w:marRight w:val="0"/>
                                              <w:marTop w:val="0"/>
                                              <w:marBottom w:val="0"/>
                                              <w:divBdr>
                                                <w:top w:val="none" w:sz="0" w:space="0" w:color="auto"/>
                                                <w:left w:val="none" w:sz="0" w:space="0" w:color="auto"/>
                                                <w:bottom w:val="none" w:sz="0" w:space="0" w:color="auto"/>
                                                <w:right w:val="none" w:sz="0" w:space="0" w:color="auto"/>
                                              </w:divBdr>
                                            </w:div>
                                            <w:div w:id="1187982200">
                                              <w:marLeft w:val="0"/>
                                              <w:marRight w:val="0"/>
                                              <w:marTop w:val="0"/>
                                              <w:marBottom w:val="0"/>
                                              <w:divBdr>
                                                <w:top w:val="none" w:sz="0" w:space="0" w:color="auto"/>
                                                <w:left w:val="none" w:sz="0" w:space="0" w:color="auto"/>
                                                <w:bottom w:val="none" w:sz="0" w:space="0" w:color="auto"/>
                                                <w:right w:val="none" w:sz="0" w:space="0" w:color="auto"/>
                                              </w:divBdr>
                                            </w:div>
                                            <w:div w:id="1200702577">
                                              <w:marLeft w:val="0"/>
                                              <w:marRight w:val="0"/>
                                              <w:marTop w:val="0"/>
                                              <w:marBottom w:val="0"/>
                                              <w:divBdr>
                                                <w:top w:val="none" w:sz="0" w:space="0" w:color="auto"/>
                                                <w:left w:val="none" w:sz="0" w:space="0" w:color="auto"/>
                                                <w:bottom w:val="none" w:sz="0" w:space="0" w:color="auto"/>
                                                <w:right w:val="none" w:sz="0" w:space="0" w:color="auto"/>
                                              </w:divBdr>
                                            </w:div>
                                            <w:div w:id="1218317423">
                                              <w:marLeft w:val="0"/>
                                              <w:marRight w:val="0"/>
                                              <w:marTop w:val="0"/>
                                              <w:marBottom w:val="0"/>
                                              <w:divBdr>
                                                <w:top w:val="none" w:sz="0" w:space="0" w:color="auto"/>
                                                <w:left w:val="none" w:sz="0" w:space="0" w:color="auto"/>
                                                <w:bottom w:val="none" w:sz="0" w:space="0" w:color="auto"/>
                                                <w:right w:val="none" w:sz="0" w:space="0" w:color="auto"/>
                                              </w:divBdr>
                                            </w:div>
                                            <w:div w:id="1220627151">
                                              <w:marLeft w:val="0"/>
                                              <w:marRight w:val="0"/>
                                              <w:marTop w:val="0"/>
                                              <w:marBottom w:val="0"/>
                                              <w:divBdr>
                                                <w:top w:val="none" w:sz="0" w:space="0" w:color="auto"/>
                                                <w:left w:val="none" w:sz="0" w:space="0" w:color="auto"/>
                                                <w:bottom w:val="none" w:sz="0" w:space="0" w:color="auto"/>
                                                <w:right w:val="none" w:sz="0" w:space="0" w:color="auto"/>
                                              </w:divBdr>
                                            </w:div>
                                            <w:div w:id="1223834910">
                                              <w:marLeft w:val="0"/>
                                              <w:marRight w:val="0"/>
                                              <w:marTop w:val="0"/>
                                              <w:marBottom w:val="0"/>
                                              <w:divBdr>
                                                <w:top w:val="none" w:sz="0" w:space="0" w:color="auto"/>
                                                <w:left w:val="none" w:sz="0" w:space="0" w:color="auto"/>
                                                <w:bottom w:val="none" w:sz="0" w:space="0" w:color="auto"/>
                                                <w:right w:val="none" w:sz="0" w:space="0" w:color="auto"/>
                                              </w:divBdr>
                                            </w:div>
                                            <w:div w:id="1226450615">
                                              <w:marLeft w:val="0"/>
                                              <w:marRight w:val="0"/>
                                              <w:marTop w:val="0"/>
                                              <w:marBottom w:val="0"/>
                                              <w:divBdr>
                                                <w:top w:val="none" w:sz="0" w:space="0" w:color="auto"/>
                                                <w:left w:val="none" w:sz="0" w:space="0" w:color="auto"/>
                                                <w:bottom w:val="none" w:sz="0" w:space="0" w:color="auto"/>
                                                <w:right w:val="none" w:sz="0" w:space="0" w:color="auto"/>
                                              </w:divBdr>
                                            </w:div>
                                            <w:div w:id="1233467023">
                                              <w:marLeft w:val="0"/>
                                              <w:marRight w:val="0"/>
                                              <w:marTop w:val="0"/>
                                              <w:marBottom w:val="0"/>
                                              <w:divBdr>
                                                <w:top w:val="none" w:sz="0" w:space="0" w:color="auto"/>
                                                <w:left w:val="none" w:sz="0" w:space="0" w:color="auto"/>
                                                <w:bottom w:val="none" w:sz="0" w:space="0" w:color="auto"/>
                                                <w:right w:val="none" w:sz="0" w:space="0" w:color="auto"/>
                                              </w:divBdr>
                                            </w:div>
                                            <w:div w:id="1234117746">
                                              <w:marLeft w:val="0"/>
                                              <w:marRight w:val="0"/>
                                              <w:marTop w:val="0"/>
                                              <w:marBottom w:val="0"/>
                                              <w:divBdr>
                                                <w:top w:val="none" w:sz="0" w:space="0" w:color="auto"/>
                                                <w:left w:val="none" w:sz="0" w:space="0" w:color="auto"/>
                                                <w:bottom w:val="none" w:sz="0" w:space="0" w:color="auto"/>
                                                <w:right w:val="none" w:sz="0" w:space="0" w:color="auto"/>
                                              </w:divBdr>
                                            </w:div>
                                            <w:div w:id="1236666944">
                                              <w:marLeft w:val="0"/>
                                              <w:marRight w:val="0"/>
                                              <w:marTop w:val="0"/>
                                              <w:marBottom w:val="0"/>
                                              <w:divBdr>
                                                <w:top w:val="none" w:sz="0" w:space="0" w:color="auto"/>
                                                <w:left w:val="none" w:sz="0" w:space="0" w:color="auto"/>
                                                <w:bottom w:val="none" w:sz="0" w:space="0" w:color="auto"/>
                                                <w:right w:val="none" w:sz="0" w:space="0" w:color="auto"/>
                                              </w:divBdr>
                                            </w:div>
                                            <w:div w:id="1240866822">
                                              <w:marLeft w:val="0"/>
                                              <w:marRight w:val="0"/>
                                              <w:marTop w:val="0"/>
                                              <w:marBottom w:val="0"/>
                                              <w:divBdr>
                                                <w:top w:val="none" w:sz="0" w:space="0" w:color="auto"/>
                                                <w:left w:val="none" w:sz="0" w:space="0" w:color="auto"/>
                                                <w:bottom w:val="none" w:sz="0" w:space="0" w:color="auto"/>
                                                <w:right w:val="none" w:sz="0" w:space="0" w:color="auto"/>
                                              </w:divBdr>
                                            </w:div>
                                            <w:div w:id="1241213585">
                                              <w:marLeft w:val="0"/>
                                              <w:marRight w:val="0"/>
                                              <w:marTop w:val="0"/>
                                              <w:marBottom w:val="0"/>
                                              <w:divBdr>
                                                <w:top w:val="none" w:sz="0" w:space="0" w:color="auto"/>
                                                <w:left w:val="none" w:sz="0" w:space="0" w:color="auto"/>
                                                <w:bottom w:val="none" w:sz="0" w:space="0" w:color="auto"/>
                                                <w:right w:val="none" w:sz="0" w:space="0" w:color="auto"/>
                                              </w:divBdr>
                                            </w:div>
                                            <w:div w:id="1251306675">
                                              <w:marLeft w:val="0"/>
                                              <w:marRight w:val="0"/>
                                              <w:marTop w:val="0"/>
                                              <w:marBottom w:val="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256674015">
                                              <w:marLeft w:val="0"/>
                                              <w:marRight w:val="0"/>
                                              <w:marTop w:val="0"/>
                                              <w:marBottom w:val="0"/>
                                              <w:divBdr>
                                                <w:top w:val="none" w:sz="0" w:space="0" w:color="auto"/>
                                                <w:left w:val="none" w:sz="0" w:space="0" w:color="auto"/>
                                                <w:bottom w:val="none" w:sz="0" w:space="0" w:color="auto"/>
                                                <w:right w:val="none" w:sz="0" w:space="0" w:color="auto"/>
                                              </w:divBdr>
                                            </w:div>
                                            <w:div w:id="1273586461">
                                              <w:marLeft w:val="0"/>
                                              <w:marRight w:val="0"/>
                                              <w:marTop w:val="0"/>
                                              <w:marBottom w:val="0"/>
                                              <w:divBdr>
                                                <w:top w:val="none" w:sz="0" w:space="0" w:color="auto"/>
                                                <w:left w:val="none" w:sz="0" w:space="0" w:color="auto"/>
                                                <w:bottom w:val="none" w:sz="0" w:space="0" w:color="auto"/>
                                                <w:right w:val="none" w:sz="0" w:space="0" w:color="auto"/>
                                              </w:divBdr>
                                            </w:div>
                                            <w:div w:id="1275862839">
                                              <w:marLeft w:val="0"/>
                                              <w:marRight w:val="0"/>
                                              <w:marTop w:val="0"/>
                                              <w:marBottom w:val="0"/>
                                              <w:divBdr>
                                                <w:top w:val="none" w:sz="0" w:space="0" w:color="auto"/>
                                                <w:left w:val="none" w:sz="0" w:space="0" w:color="auto"/>
                                                <w:bottom w:val="none" w:sz="0" w:space="0" w:color="auto"/>
                                                <w:right w:val="none" w:sz="0" w:space="0" w:color="auto"/>
                                              </w:divBdr>
                                            </w:div>
                                            <w:div w:id="1277832769">
                                              <w:marLeft w:val="0"/>
                                              <w:marRight w:val="0"/>
                                              <w:marTop w:val="0"/>
                                              <w:marBottom w:val="0"/>
                                              <w:divBdr>
                                                <w:top w:val="none" w:sz="0" w:space="0" w:color="auto"/>
                                                <w:left w:val="none" w:sz="0" w:space="0" w:color="auto"/>
                                                <w:bottom w:val="none" w:sz="0" w:space="0" w:color="auto"/>
                                                <w:right w:val="none" w:sz="0" w:space="0" w:color="auto"/>
                                              </w:divBdr>
                                            </w:div>
                                            <w:div w:id="1278027361">
                                              <w:marLeft w:val="0"/>
                                              <w:marRight w:val="0"/>
                                              <w:marTop w:val="0"/>
                                              <w:marBottom w:val="0"/>
                                              <w:divBdr>
                                                <w:top w:val="none" w:sz="0" w:space="0" w:color="auto"/>
                                                <w:left w:val="none" w:sz="0" w:space="0" w:color="auto"/>
                                                <w:bottom w:val="none" w:sz="0" w:space="0" w:color="auto"/>
                                                <w:right w:val="none" w:sz="0" w:space="0" w:color="auto"/>
                                              </w:divBdr>
                                            </w:div>
                                            <w:div w:id="1280797484">
                                              <w:marLeft w:val="0"/>
                                              <w:marRight w:val="0"/>
                                              <w:marTop w:val="0"/>
                                              <w:marBottom w:val="0"/>
                                              <w:divBdr>
                                                <w:top w:val="none" w:sz="0" w:space="0" w:color="auto"/>
                                                <w:left w:val="none" w:sz="0" w:space="0" w:color="auto"/>
                                                <w:bottom w:val="none" w:sz="0" w:space="0" w:color="auto"/>
                                                <w:right w:val="none" w:sz="0" w:space="0" w:color="auto"/>
                                              </w:divBdr>
                                            </w:div>
                                            <w:div w:id="1283612630">
                                              <w:marLeft w:val="0"/>
                                              <w:marRight w:val="0"/>
                                              <w:marTop w:val="0"/>
                                              <w:marBottom w:val="0"/>
                                              <w:divBdr>
                                                <w:top w:val="none" w:sz="0" w:space="0" w:color="auto"/>
                                                <w:left w:val="none" w:sz="0" w:space="0" w:color="auto"/>
                                                <w:bottom w:val="none" w:sz="0" w:space="0" w:color="auto"/>
                                                <w:right w:val="none" w:sz="0" w:space="0" w:color="auto"/>
                                              </w:divBdr>
                                            </w:div>
                                            <w:div w:id="1292370234">
                                              <w:marLeft w:val="0"/>
                                              <w:marRight w:val="0"/>
                                              <w:marTop w:val="0"/>
                                              <w:marBottom w:val="0"/>
                                              <w:divBdr>
                                                <w:top w:val="none" w:sz="0" w:space="0" w:color="auto"/>
                                                <w:left w:val="none" w:sz="0" w:space="0" w:color="auto"/>
                                                <w:bottom w:val="none" w:sz="0" w:space="0" w:color="auto"/>
                                                <w:right w:val="none" w:sz="0" w:space="0" w:color="auto"/>
                                              </w:divBdr>
                                            </w:div>
                                            <w:div w:id="1311908666">
                                              <w:marLeft w:val="0"/>
                                              <w:marRight w:val="0"/>
                                              <w:marTop w:val="0"/>
                                              <w:marBottom w:val="0"/>
                                              <w:divBdr>
                                                <w:top w:val="none" w:sz="0" w:space="0" w:color="auto"/>
                                                <w:left w:val="none" w:sz="0" w:space="0" w:color="auto"/>
                                                <w:bottom w:val="none" w:sz="0" w:space="0" w:color="auto"/>
                                                <w:right w:val="none" w:sz="0" w:space="0" w:color="auto"/>
                                              </w:divBdr>
                                            </w:div>
                                            <w:div w:id="1327241636">
                                              <w:marLeft w:val="0"/>
                                              <w:marRight w:val="0"/>
                                              <w:marTop w:val="0"/>
                                              <w:marBottom w:val="0"/>
                                              <w:divBdr>
                                                <w:top w:val="none" w:sz="0" w:space="0" w:color="auto"/>
                                                <w:left w:val="none" w:sz="0" w:space="0" w:color="auto"/>
                                                <w:bottom w:val="none" w:sz="0" w:space="0" w:color="auto"/>
                                                <w:right w:val="none" w:sz="0" w:space="0" w:color="auto"/>
                                              </w:divBdr>
                                            </w:div>
                                            <w:div w:id="1331055670">
                                              <w:marLeft w:val="0"/>
                                              <w:marRight w:val="0"/>
                                              <w:marTop w:val="0"/>
                                              <w:marBottom w:val="0"/>
                                              <w:divBdr>
                                                <w:top w:val="none" w:sz="0" w:space="0" w:color="auto"/>
                                                <w:left w:val="none" w:sz="0" w:space="0" w:color="auto"/>
                                                <w:bottom w:val="none" w:sz="0" w:space="0" w:color="auto"/>
                                                <w:right w:val="none" w:sz="0" w:space="0" w:color="auto"/>
                                              </w:divBdr>
                                            </w:div>
                                            <w:div w:id="1342779717">
                                              <w:marLeft w:val="0"/>
                                              <w:marRight w:val="0"/>
                                              <w:marTop w:val="0"/>
                                              <w:marBottom w:val="0"/>
                                              <w:divBdr>
                                                <w:top w:val="none" w:sz="0" w:space="0" w:color="auto"/>
                                                <w:left w:val="none" w:sz="0" w:space="0" w:color="auto"/>
                                                <w:bottom w:val="none" w:sz="0" w:space="0" w:color="auto"/>
                                                <w:right w:val="none" w:sz="0" w:space="0" w:color="auto"/>
                                              </w:divBdr>
                                            </w:div>
                                            <w:div w:id="1366559670">
                                              <w:marLeft w:val="0"/>
                                              <w:marRight w:val="0"/>
                                              <w:marTop w:val="0"/>
                                              <w:marBottom w:val="0"/>
                                              <w:divBdr>
                                                <w:top w:val="none" w:sz="0" w:space="0" w:color="auto"/>
                                                <w:left w:val="none" w:sz="0" w:space="0" w:color="auto"/>
                                                <w:bottom w:val="none" w:sz="0" w:space="0" w:color="auto"/>
                                                <w:right w:val="none" w:sz="0" w:space="0" w:color="auto"/>
                                              </w:divBdr>
                                            </w:div>
                                            <w:div w:id="1378747690">
                                              <w:marLeft w:val="0"/>
                                              <w:marRight w:val="0"/>
                                              <w:marTop w:val="0"/>
                                              <w:marBottom w:val="0"/>
                                              <w:divBdr>
                                                <w:top w:val="none" w:sz="0" w:space="0" w:color="auto"/>
                                                <w:left w:val="none" w:sz="0" w:space="0" w:color="auto"/>
                                                <w:bottom w:val="none" w:sz="0" w:space="0" w:color="auto"/>
                                                <w:right w:val="none" w:sz="0" w:space="0" w:color="auto"/>
                                              </w:divBdr>
                                            </w:div>
                                            <w:div w:id="1380477128">
                                              <w:marLeft w:val="0"/>
                                              <w:marRight w:val="0"/>
                                              <w:marTop w:val="0"/>
                                              <w:marBottom w:val="0"/>
                                              <w:divBdr>
                                                <w:top w:val="none" w:sz="0" w:space="0" w:color="auto"/>
                                                <w:left w:val="none" w:sz="0" w:space="0" w:color="auto"/>
                                                <w:bottom w:val="none" w:sz="0" w:space="0" w:color="auto"/>
                                                <w:right w:val="none" w:sz="0" w:space="0" w:color="auto"/>
                                              </w:divBdr>
                                            </w:div>
                                            <w:div w:id="1388148314">
                                              <w:marLeft w:val="0"/>
                                              <w:marRight w:val="0"/>
                                              <w:marTop w:val="0"/>
                                              <w:marBottom w:val="0"/>
                                              <w:divBdr>
                                                <w:top w:val="none" w:sz="0" w:space="0" w:color="auto"/>
                                                <w:left w:val="none" w:sz="0" w:space="0" w:color="auto"/>
                                                <w:bottom w:val="none" w:sz="0" w:space="0" w:color="auto"/>
                                                <w:right w:val="none" w:sz="0" w:space="0" w:color="auto"/>
                                              </w:divBdr>
                                            </w:div>
                                            <w:div w:id="1391030198">
                                              <w:marLeft w:val="0"/>
                                              <w:marRight w:val="0"/>
                                              <w:marTop w:val="0"/>
                                              <w:marBottom w:val="0"/>
                                              <w:divBdr>
                                                <w:top w:val="none" w:sz="0" w:space="0" w:color="auto"/>
                                                <w:left w:val="none" w:sz="0" w:space="0" w:color="auto"/>
                                                <w:bottom w:val="none" w:sz="0" w:space="0" w:color="auto"/>
                                                <w:right w:val="none" w:sz="0" w:space="0" w:color="auto"/>
                                              </w:divBdr>
                                            </w:div>
                                            <w:div w:id="1394620789">
                                              <w:marLeft w:val="0"/>
                                              <w:marRight w:val="0"/>
                                              <w:marTop w:val="0"/>
                                              <w:marBottom w:val="0"/>
                                              <w:divBdr>
                                                <w:top w:val="none" w:sz="0" w:space="0" w:color="auto"/>
                                                <w:left w:val="none" w:sz="0" w:space="0" w:color="auto"/>
                                                <w:bottom w:val="none" w:sz="0" w:space="0" w:color="auto"/>
                                                <w:right w:val="none" w:sz="0" w:space="0" w:color="auto"/>
                                              </w:divBdr>
                                            </w:div>
                                            <w:div w:id="1398741358">
                                              <w:marLeft w:val="0"/>
                                              <w:marRight w:val="0"/>
                                              <w:marTop w:val="0"/>
                                              <w:marBottom w:val="0"/>
                                              <w:divBdr>
                                                <w:top w:val="none" w:sz="0" w:space="0" w:color="auto"/>
                                                <w:left w:val="none" w:sz="0" w:space="0" w:color="auto"/>
                                                <w:bottom w:val="none" w:sz="0" w:space="0" w:color="auto"/>
                                                <w:right w:val="none" w:sz="0" w:space="0" w:color="auto"/>
                                              </w:divBdr>
                                            </w:div>
                                            <w:div w:id="1401828942">
                                              <w:marLeft w:val="0"/>
                                              <w:marRight w:val="0"/>
                                              <w:marTop w:val="0"/>
                                              <w:marBottom w:val="0"/>
                                              <w:divBdr>
                                                <w:top w:val="none" w:sz="0" w:space="0" w:color="auto"/>
                                                <w:left w:val="none" w:sz="0" w:space="0" w:color="auto"/>
                                                <w:bottom w:val="none" w:sz="0" w:space="0" w:color="auto"/>
                                                <w:right w:val="none" w:sz="0" w:space="0" w:color="auto"/>
                                              </w:divBdr>
                                            </w:div>
                                            <w:div w:id="1402363615">
                                              <w:marLeft w:val="0"/>
                                              <w:marRight w:val="0"/>
                                              <w:marTop w:val="0"/>
                                              <w:marBottom w:val="0"/>
                                              <w:divBdr>
                                                <w:top w:val="none" w:sz="0" w:space="0" w:color="auto"/>
                                                <w:left w:val="none" w:sz="0" w:space="0" w:color="auto"/>
                                                <w:bottom w:val="none" w:sz="0" w:space="0" w:color="auto"/>
                                                <w:right w:val="none" w:sz="0" w:space="0" w:color="auto"/>
                                              </w:divBdr>
                                            </w:div>
                                            <w:div w:id="1404647116">
                                              <w:marLeft w:val="0"/>
                                              <w:marRight w:val="0"/>
                                              <w:marTop w:val="0"/>
                                              <w:marBottom w:val="0"/>
                                              <w:divBdr>
                                                <w:top w:val="none" w:sz="0" w:space="0" w:color="auto"/>
                                                <w:left w:val="none" w:sz="0" w:space="0" w:color="auto"/>
                                                <w:bottom w:val="none" w:sz="0" w:space="0" w:color="auto"/>
                                                <w:right w:val="none" w:sz="0" w:space="0" w:color="auto"/>
                                              </w:divBdr>
                                            </w:div>
                                            <w:div w:id="1408839506">
                                              <w:marLeft w:val="0"/>
                                              <w:marRight w:val="0"/>
                                              <w:marTop w:val="0"/>
                                              <w:marBottom w:val="0"/>
                                              <w:divBdr>
                                                <w:top w:val="none" w:sz="0" w:space="0" w:color="auto"/>
                                                <w:left w:val="none" w:sz="0" w:space="0" w:color="auto"/>
                                                <w:bottom w:val="none" w:sz="0" w:space="0" w:color="auto"/>
                                                <w:right w:val="none" w:sz="0" w:space="0" w:color="auto"/>
                                              </w:divBdr>
                                            </w:div>
                                            <w:div w:id="1421415563">
                                              <w:marLeft w:val="0"/>
                                              <w:marRight w:val="0"/>
                                              <w:marTop w:val="0"/>
                                              <w:marBottom w:val="0"/>
                                              <w:divBdr>
                                                <w:top w:val="none" w:sz="0" w:space="0" w:color="auto"/>
                                                <w:left w:val="none" w:sz="0" w:space="0" w:color="auto"/>
                                                <w:bottom w:val="none" w:sz="0" w:space="0" w:color="auto"/>
                                                <w:right w:val="none" w:sz="0" w:space="0" w:color="auto"/>
                                              </w:divBdr>
                                            </w:div>
                                            <w:div w:id="1421488010">
                                              <w:marLeft w:val="0"/>
                                              <w:marRight w:val="0"/>
                                              <w:marTop w:val="0"/>
                                              <w:marBottom w:val="0"/>
                                              <w:divBdr>
                                                <w:top w:val="none" w:sz="0" w:space="0" w:color="auto"/>
                                                <w:left w:val="none" w:sz="0" w:space="0" w:color="auto"/>
                                                <w:bottom w:val="none" w:sz="0" w:space="0" w:color="auto"/>
                                                <w:right w:val="none" w:sz="0" w:space="0" w:color="auto"/>
                                              </w:divBdr>
                                            </w:div>
                                            <w:div w:id="1422216518">
                                              <w:marLeft w:val="0"/>
                                              <w:marRight w:val="0"/>
                                              <w:marTop w:val="0"/>
                                              <w:marBottom w:val="0"/>
                                              <w:divBdr>
                                                <w:top w:val="none" w:sz="0" w:space="0" w:color="auto"/>
                                                <w:left w:val="none" w:sz="0" w:space="0" w:color="auto"/>
                                                <w:bottom w:val="none" w:sz="0" w:space="0" w:color="auto"/>
                                                <w:right w:val="none" w:sz="0" w:space="0" w:color="auto"/>
                                              </w:divBdr>
                                            </w:div>
                                            <w:div w:id="1428228689">
                                              <w:marLeft w:val="0"/>
                                              <w:marRight w:val="0"/>
                                              <w:marTop w:val="0"/>
                                              <w:marBottom w:val="0"/>
                                              <w:divBdr>
                                                <w:top w:val="none" w:sz="0" w:space="0" w:color="auto"/>
                                                <w:left w:val="none" w:sz="0" w:space="0" w:color="auto"/>
                                                <w:bottom w:val="none" w:sz="0" w:space="0" w:color="auto"/>
                                                <w:right w:val="none" w:sz="0" w:space="0" w:color="auto"/>
                                              </w:divBdr>
                                            </w:div>
                                            <w:div w:id="1429691992">
                                              <w:marLeft w:val="0"/>
                                              <w:marRight w:val="0"/>
                                              <w:marTop w:val="0"/>
                                              <w:marBottom w:val="0"/>
                                              <w:divBdr>
                                                <w:top w:val="none" w:sz="0" w:space="0" w:color="auto"/>
                                                <w:left w:val="none" w:sz="0" w:space="0" w:color="auto"/>
                                                <w:bottom w:val="none" w:sz="0" w:space="0" w:color="auto"/>
                                                <w:right w:val="none" w:sz="0" w:space="0" w:color="auto"/>
                                              </w:divBdr>
                                            </w:div>
                                            <w:div w:id="1447387324">
                                              <w:marLeft w:val="0"/>
                                              <w:marRight w:val="0"/>
                                              <w:marTop w:val="0"/>
                                              <w:marBottom w:val="0"/>
                                              <w:divBdr>
                                                <w:top w:val="none" w:sz="0" w:space="0" w:color="auto"/>
                                                <w:left w:val="none" w:sz="0" w:space="0" w:color="auto"/>
                                                <w:bottom w:val="none" w:sz="0" w:space="0" w:color="auto"/>
                                                <w:right w:val="none" w:sz="0" w:space="0" w:color="auto"/>
                                              </w:divBdr>
                                            </w:div>
                                            <w:div w:id="1451196211">
                                              <w:marLeft w:val="0"/>
                                              <w:marRight w:val="0"/>
                                              <w:marTop w:val="0"/>
                                              <w:marBottom w:val="0"/>
                                              <w:divBdr>
                                                <w:top w:val="none" w:sz="0" w:space="0" w:color="auto"/>
                                                <w:left w:val="none" w:sz="0" w:space="0" w:color="auto"/>
                                                <w:bottom w:val="none" w:sz="0" w:space="0" w:color="auto"/>
                                                <w:right w:val="none" w:sz="0" w:space="0" w:color="auto"/>
                                              </w:divBdr>
                                            </w:div>
                                            <w:div w:id="1472483424">
                                              <w:marLeft w:val="0"/>
                                              <w:marRight w:val="0"/>
                                              <w:marTop w:val="0"/>
                                              <w:marBottom w:val="0"/>
                                              <w:divBdr>
                                                <w:top w:val="none" w:sz="0" w:space="0" w:color="auto"/>
                                                <w:left w:val="none" w:sz="0" w:space="0" w:color="auto"/>
                                                <w:bottom w:val="none" w:sz="0" w:space="0" w:color="auto"/>
                                                <w:right w:val="none" w:sz="0" w:space="0" w:color="auto"/>
                                              </w:divBdr>
                                            </w:div>
                                            <w:div w:id="1489131220">
                                              <w:marLeft w:val="0"/>
                                              <w:marRight w:val="0"/>
                                              <w:marTop w:val="0"/>
                                              <w:marBottom w:val="0"/>
                                              <w:divBdr>
                                                <w:top w:val="none" w:sz="0" w:space="0" w:color="auto"/>
                                                <w:left w:val="none" w:sz="0" w:space="0" w:color="auto"/>
                                                <w:bottom w:val="none" w:sz="0" w:space="0" w:color="auto"/>
                                                <w:right w:val="none" w:sz="0" w:space="0" w:color="auto"/>
                                              </w:divBdr>
                                            </w:div>
                                            <w:div w:id="1491411382">
                                              <w:marLeft w:val="0"/>
                                              <w:marRight w:val="0"/>
                                              <w:marTop w:val="0"/>
                                              <w:marBottom w:val="0"/>
                                              <w:divBdr>
                                                <w:top w:val="none" w:sz="0" w:space="0" w:color="auto"/>
                                                <w:left w:val="none" w:sz="0" w:space="0" w:color="auto"/>
                                                <w:bottom w:val="none" w:sz="0" w:space="0" w:color="auto"/>
                                                <w:right w:val="none" w:sz="0" w:space="0" w:color="auto"/>
                                              </w:divBdr>
                                            </w:div>
                                            <w:div w:id="1496725251">
                                              <w:marLeft w:val="0"/>
                                              <w:marRight w:val="0"/>
                                              <w:marTop w:val="0"/>
                                              <w:marBottom w:val="0"/>
                                              <w:divBdr>
                                                <w:top w:val="none" w:sz="0" w:space="0" w:color="auto"/>
                                                <w:left w:val="none" w:sz="0" w:space="0" w:color="auto"/>
                                                <w:bottom w:val="none" w:sz="0" w:space="0" w:color="auto"/>
                                                <w:right w:val="none" w:sz="0" w:space="0" w:color="auto"/>
                                              </w:divBdr>
                                            </w:div>
                                            <w:div w:id="1498233026">
                                              <w:marLeft w:val="0"/>
                                              <w:marRight w:val="0"/>
                                              <w:marTop w:val="0"/>
                                              <w:marBottom w:val="0"/>
                                              <w:divBdr>
                                                <w:top w:val="none" w:sz="0" w:space="0" w:color="auto"/>
                                                <w:left w:val="none" w:sz="0" w:space="0" w:color="auto"/>
                                                <w:bottom w:val="none" w:sz="0" w:space="0" w:color="auto"/>
                                                <w:right w:val="none" w:sz="0" w:space="0" w:color="auto"/>
                                              </w:divBdr>
                                            </w:div>
                                            <w:div w:id="1499617788">
                                              <w:marLeft w:val="0"/>
                                              <w:marRight w:val="0"/>
                                              <w:marTop w:val="0"/>
                                              <w:marBottom w:val="0"/>
                                              <w:divBdr>
                                                <w:top w:val="none" w:sz="0" w:space="0" w:color="auto"/>
                                                <w:left w:val="none" w:sz="0" w:space="0" w:color="auto"/>
                                                <w:bottom w:val="none" w:sz="0" w:space="0" w:color="auto"/>
                                                <w:right w:val="none" w:sz="0" w:space="0" w:color="auto"/>
                                              </w:divBdr>
                                            </w:div>
                                            <w:div w:id="1503355991">
                                              <w:marLeft w:val="0"/>
                                              <w:marRight w:val="0"/>
                                              <w:marTop w:val="0"/>
                                              <w:marBottom w:val="0"/>
                                              <w:divBdr>
                                                <w:top w:val="none" w:sz="0" w:space="0" w:color="auto"/>
                                                <w:left w:val="none" w:sz="0" w:space="0" w:color="auto"/>
                                                <w:bottom w:val="none" w:sz="0" w:space="0" w:color="auto"/>
                                                <w:right w:val="none" w:sz="0" w:space="0" w:color="auto"/>
                                              </w:divBdr>
                                            </w:div>
                                            <w:div w:id="1504473056">
                                              <w:marLeft w:val="0"/>
                                              <w:marRight w:val="0"/>
                                              <w:marTop w:val="0"/>
                                              <w:marBottom w:val="0"/>
                                              <w:divBdr>
                                                <w:top w:val="none" w:sz="0" w:space="0" w:color="auto"/>
                                                <w:left w:val="none" w:sz="0" w:space="0" w:color="auto"/>
                                                <w:bottom w:val="none" w:sz="0" w:space="0" w:color="auto"/>
                                                <w:right w:val="none" w:sz="0" w:space="0" w:color="auto"/>
                                              </w:divBdr>
                                            </w:div>
                                            <w:div w:id="1525560238">
                                              <w:marLeft w:val="0"/>
                                              <w:marRight w:val="0"/>
                                              <w:marTop w:val="0"/>
                                              <w:marBottom w:val="0"/>
                                              <w:divBdr>
                                                <w:top w:val="none" w:sz="0" w:space="0" w:color="auto"/>
                                                <w:left w:val="none" w:sz="0" w:space="0" w:color="auto"/>
                                                <w:bottom w:val="none" w:sz="0" w:space="0" w:color="auto"/>
                                                <w:right w:val="none" w:sz="0" w:space="0" w:color="auto"/>
                                              </w:divBdr>
                                            </w:div>
                                            <w:div w:id="1526869330">
                                              <w:marLeft w:val="0"/>
                                              <w:marRight w:val="0"/>
                                              <w:marTop w:val="0"/>
                                              <w:marBottom w:val="0"/>
                                              <w:divBdr>
                                                <w:top w:val="none" w:sz="0" w:space="0" w:color="auto"/>
                                                <w:left w:val="none" w:sz="0" w:space="0" w:color="auto"/>
                                                <w:bottom w:val="none" w:sz="0" w:space="0" w:color="auto"/>
                                                <w:right w:val="none" w:sz="0" w:space="0" w:color="auto"/>
                                              </w:divBdr>
                                            </w:div>
                                            <w:div w:id="1530333209">
                                              <w:marLeft w:val="0"/>
                                              <w:marRight w:val="0"/>
                                              <w:marTop w:val="0"/>
                                              <w:marBottom w:val="0"/>
                                              <w:divBdr>
                                                <w:top w:val="none" w:sz="0" w:space="0" w:color="auto"/>
                                                <w:left w:val="none" w:sz="0" w:space="0" w:color="auto"/>
                                                <w:bottom w:val="none" w:sz="0" w:space="0" w:color="auto"/>
                                                <w:right w:val="none" w:sz="0" w:space="0" w:color="auto"/>
                                              </w:divBdr>
                                            </w:div>
                                            <w:div w:id="1535924016">
                                              <w:marLeft w:val="0"/>
                                              <w:marRight w:val="0"/>
                                              <w:marTop w:val="0"/>
                                              <w:marBottom w:val="0"/>
                                              <w:divBdr>
                                                <w:top w:val="none" w:sz="0" w:space="0" w:color="auto"/>
                                                <w:left w:val="none" w:sz="0" w:space="0" w:color="auto"/>
                                                <w:bottom w:val="none" w:sz="0" w:space="0" w:color="auto"/>
                                                <w:right w:val="none" w:sz="0" w:space="0" w:color="auto"/>
                                              </w:divBdr>
                                            </w:div>
                                            <w:div w:id="1551959968">
                                              <w:marLeft w:val="0"/>
                                              <w:marRight w:val="0"/>
                                              <w:marTop w:val="0"/>
                                              <w:marBottom w:val="0"/>
                                              <w:divBdr>
                                                <w:top w:val="none" w:sz="0" w:space="0" w:color="auto"/>
                                                <w:left w:val="none" w:sz="0" w:space="0" w:color="auto"/>
                                                <w:bottom w:val="none" w:sz="0" w:space="0" w:color="auto"/>
                                                <w:right w:val="none" w:sz="0" w:space="0" w:color="auto"/>
                                              </w:divBdr>
                                            </w:div>
                                            <w:div w:id="1564174693">
                                              <w:marLeft w:val="0"/>
                                              <w:marRight w:val="0"/>
                                              <w:marTop w:val="0"/>
                                              <w:marBottom w:val="0"/>
                                              <w:divBdr>
                                                <w:top w:val="none" w:sz="0" w:space="0" w:color="auto"/>
                                                <w:left w:val="none" w:sz="0" w:space="0" w:color="auto"/>
                                                <w:bottom w:val="none" w:sz="0" w:space="0" w:color="auto"/>
                                                <w:right w:val="none" w:sz="0" w:space="0" w:color="auto"/>
                                              </w:divBdr>
                                            </w:div>
                                            <w:div w:id="1566717801">
                                              <w:marLeft w:val="0"/>
                                              <w:marRight w:val="0"/>
                                              <w:marTop w:val="0"/>
                                              <w:marBottom w:val="0"/>
                                              <w:divBdr>
                                                <w:top w:val="none" w:sz="0" w:space="0" w:color="auto"/>
                                                <w:left w:val="none" w:sz="0" w:space="0" w:color="auto"/>
                                                <w:bottom w:val="none" w:sz="0" w:space="0" w:color="auto"/>
                                                <w:right w:val="none" w:sz="0" w:space="0" w:color="auto"/>
                                              </w:divBdr>
                                            </w:div>
                                            <w:div w:id="1589584132">
                                              <w:marLeft w:val="0"/>
                                              <w:marRight w:val="0"/>
                                              <w:marTop w:val="0"/>
                                              <w:marBottom w:val="0"/>
                                              <w:divBdr>
                                                <w:top w:val="none" w:sz="0" w:space="0" w:color="auto"/>
                                                <w:left w:val="none" w:sz="0" w:space="0" w:color="auto"/>
                                                <w:bottom w:val="none" w:sz="0" w:space="0" w:color="auto"/>
                                                <w:right w:val="none" w:sz="0" w:space="0" w:color="auto"/>
                                              </w:divBdr>
                                            </w:div>
                                            <w:div w:id="1594244721">
                                              <w:marLeft w:val="0"/>
                                              <w:marRight w:val="0"/>
                                              <w:marTop w:val="0"/>
                                              <w:marBottom w:val="0"/>
                                              <w:divBdr>
                                                <w:top w:val="none" w:sz="0" w:space="0" w:color="auto"/>
                                                <w:left w:val="none" w:sz="0" w:space="0" w:color="auto"/>
                                                <w:bottom w:val="none" w:sz="0" w:space="0" w:color="auto"/>
                                                <w:right w:val="none" w:sz="0" w:space="0" w:color="auto"/>
                                              </w:divBdr>
                                            </w:div>
                                            <w:div w:id="1608807304">
                                              <w:marLeft w:val="0"/>
                                              <w:marRight w:val="0"/>
                                              <w:marTop w:val="0"/>
                                              <w:marBottom w:val="0"/>
                                              <w:divBdr>
                                                <w:top w:val="none" w:sz="0" w:space="0" w:color="auto"/>
                                                <w:left w:val="none" w:sz="0" w:space="0" w:color="auto"/>
                                                <w:bottom w:val="none" w:sz="0" w:space="0" w:color="auto"/>
                                                <w:right w:val="none" w:sz="0" w:space="0" w:color="auto"/>
                                              </w:divBdr>
                                            </w:div>
                                            <w:div w:id="1609463399">
                                              <w:marLeft w:val="0"/>
                                              <w:marRight w:val="0"/>
                                              <w:marTop w:val="0"/>
                                              <w:marBottom w:val="0"/>
                                              <w:divBdr>
                                                <w:top w:val="none" w:sz="0" w:space="0" w:color="auto"/>
                                                <w:left w:val="none" w:sz="0" w:space="0" w:color="auto"/>
                                                <w:bottom w:val="none" w:sz="0" w:space="0" w:color="auto"/>
                                                <w:right w:val="none" w:sz="0" w:space="0" w:color="auto"/>
                                              </w:divBdr>
                                            </w:div>
                                            <w:div w:id="1611741378">
                                              <w:marLeft w:val="0"/>
                                              <w:marRight w:val="0"/>
                                              <w:marTop w:val="0"/>
                                              <w:marBottom w:val="0"/>
                                              <w:divBdr>
                                                <w:top w:val="none" w:sz="0" w:space="0" w:color="auto"/>
                                                <w:left w:val="none" w:sz="0" w:space="0" w:color="auto"/>
                                                <w:bottom w:val="none" w:sz="0" w:space="0" w:color="auto"/>
                                                <w:right w:val="none" w:sz="0" w:space="0" w:color="auto"/>
                                              </w:divBdr>
                                            </w:div>
                                            <w:div w:id="1620145293">
                                              <w:marLeft w:val="0"/>
                                              <w:marRight w:val="0"/>
                                              <w:marTop w:val="0"/>
                                              <w:marBottom w:val="0"/>
                                              <w:divBdr>
                                                <w:top w:val="none" w:sz="0" w:space="0" w:color="auto"/>
                                                <w:left w:val="none" w:sz="0" w:space="0" w:color="auto"/>
                                                <w:bottom w:val="none" w:sz="0" w:space="0" w:color="auto"/>
                                                <w:right w:val="none" w:sz="0" w:space="0" w:color="auto"/>
                                              </w:divBdr>
                                            </w:div>
                                            <w:div w:id="1627658613">
                                              <w:marLeft w:val="0"/>
                                              <w:marRight w:val="0"/>
                                              <w:marTop w:val="0"/>
                                              <w:marBottom w:val="0"/>
                                              <w:divBdr>
                                                <w:top w:val="none" w:sz="0" w:space="0" w:color="auto"/>
                                                <w:left w:val="none" w:sz="0" w:space="0" w:color="auto"/>
                                                <w:bottom w:val="none" w:sz="0" w:space="0" w:color="auto"/>
                                                <w:right w:val="none" w:sz="0" w:space="0" w:color="auto"/>
                                              </w:divBdr>
                                            </w:div>
                                            <w:div w:id="1640260891">
                                              <w:marLeft w:val="0"/>
                                              <w:marRight w:val="0"/>
                                              <w:marTop w:val="0"/>
                                              <w:marBottom w:val="0"/>
                                              <w:divBdr>
                                                <w:top w:val="none" w:sz="0" w:space="0" w:color="auto"/>
                                                <w:left w:val="none" w:sz="0" w:space="0" w:color="auto"/>
                                                <w:bottom w:val="none" w:sz="0" w:space="0" w:color="auto"/>
                                                <w:right w:val="none" w:sz="0" w:space="0" w:color="auto"/>
                                              </w:divBdr>
                                            </w:div>
                                            <w:div w:id="1647858327">
                                              <w:marLeft w:val="0"/>
                                              <w:marRight w:val="0"/>
                                              <w:marTop w:val="0"/>
                                              <w:marBottom w:val="0"/>
                                              <w:divBdr>
                                                <w:top w:val="none" w:sz="0" w:space="0" w:color="auto"/>
                                                <w:left w:val="none" w:sz="0" w:space="0" w:color="auto"/>
                                                <w:bottom w:val="none" w:sz="0" w:space="0" w:color="auto"/>
                                                <w:right w:val="none" w:sz="0" w:space="0" w:color="auto"/>
                                              </w:divBdr>
                                            </w:div>
                                            <w:div w:id="1650331149">
                                              <w:marLeft w:val="0"/>
                                              <w:marRight w:val="0"/>
                                              <w:marTop w:val="0"/>
                                              <w:marBottom w:val="0"/>
                                              <w:divBdr>
                                                <w:top w:val="none" w:sz="0" w:space="0" w:color="auto"/>
                                                <w:left w:val="none" w:sz="0" w:space="0" w:color="auto"/>
                                                <w:bottom w:val="none" w:sz="0" w:space="0" w:color="auto"/>
                                                <w:right w:val="none" w:sz="0" w:space="0" w:color="auto"/>
                                              </w:divBdr>
                                            </w:div>
                                            <w:div w:id="1651400131">
                                              <w:marLeft w:val="0"/>
                                              <w:marRight w:val="0"/>
                                              <w:marTop w:val="0"/>
                                              <w:marBottom w:val="0"/>
                                              <w:divBdr>
                                                <w:top w:val="none" w:sz="0" w:space="0" w:color="auto"/>
                                                <w:left w:val="none" w:sz="0" w:space="0" w:color="auto"/>
                                                <w:bottom w:val="none" w:sz="0" w:space="0" w:color="auto"/>
                                                <w:right w:val="none" w:sz="0" w:space="0" w:color="auto"/>
                                              </w:divBdr>
                                            </w:div>
                                            <w:div w:id="1659964192">
                                              <w:marLeft w:val="0"/>
                                              <w:marRight w:val="0"/>
                                              <w:marTop w:val="0"/>
                                              <w:marBottom w:val="0"/>
                                              <w:divBdr>
                                                <w:top w:val="none" w:sz="0" w:space="0" w:color="auto"/>
                                                <w:left w:val="none" w:sz="0" w:space="0" w:color="auto"/>
                                                <w:bottom w:val="none" w:sz="0" w:space="0" w:color="auto"/>
                                                <w:right w:val="none" w:sz="0" w:space="0" w:color="auto"/>
                                              </w:divBdr>
                                            </w:div>
                                            <w:div w:id="1660115376">
                                              <w:marLeft w:val="0"/>
                                              <w:marRight w:val="0"/>
                                              <w:marTop w:val="0"/>
                                              <w:marBottom w:val="0"/>
                                              <w:divBdr>
                                                <w:top w:val="none" w:sz="0" w:space="0" w:color="auto"/>
                                                <w:left w:val="none" w:sz="0" w:space="0" w:color="auto"/>
                                                <w:bottom w:val="none" w:sz="0" w:space="0" w:color="auto"/>
                                                <w:right w:val="none" w:sz="0" w:space="0" w:color="auto"/>
                                              </w:divBdr>
                                            </w:div>
                                            <w:div w:id="1660890722">
                                              <w:marLeft w:val="0"/>
                                              <w:marRight w:val="0"/>
                                              <w:marTop w:val="0"/>
                                              <w:marBottom w:val="0"/>
                                              <w:divBdr>
                                                <w:top w:val="none" w:sz="0" w:space="0" w:color="auto"/>
                                                <w:left w:val="none" w:sz="0" w:space="0" w:color="auto"/>
                                                <w:bottom w:val="none" w:sz="0" w:space="0" w:color="auto"/>
                                                <w:right w:val="none" w:sz="0" w:space="0" w:color="auto"/>
                                              </w:divBdr>
                                            </w:div>
                                            <w:div w:id="1668023333">
                                              <w:marLeft w:val="0"/>
                                              <w:marRight w:val="0"/>
                                              <w:marTop w:val="0"/>
                                              <w:marBottom w:val="0"/>
                                              <w:divBdr>
                                                <w:top w:val="none" w:sz="0" w:space="0" w:color="auto"/>
                                                <w:left w:val="none" w:sz="0" w:space="0" w:color="auto"/>
                                                <w:bottom w:val="none" w:sz="0" w:space="0" w:color="auto"/>
                                                <w:right w:val="none" w:sz="0" w:space="0" w:color="auto"/>
                                              </w:divBdr>
                                            </w:div>
                                            <w:div w:id="1675567484">
                                              <w:marLeft w:val="0"/>
                                              <w:marRight w:val="0"/>
                                              <w:marTop w:val="0"/>
                                              <w:marBottom w:val="0"/>
                                              <w:divBdr>
                                                <w:top w:val="none" w:sz="0" w:space="0" w:color="auto"/>
                                                <w:left w:val="none" w:sz="0" w:space="0" w:color="auto"/>
                                                <w:bottom w:val="none" w:sz="0" w:space="0" w:color="auto"/>
                                                <w:right w:val="none" w:sz="0" w:space="0" w:color="auto"/>
                                              </w:divBdr>
                                            </w:div>
                                            <w:div w:id="1688091734">
                                              <w:marLeft w:val="0"/>
                                              <w:marRight w:val="0"/>
                                              <w:marTop w:val="0"/>
                                              <w:marBottom w:val="0"/>
                                              <w:divBdr>
                                                <w:top w:val="none" w:sz="0" w:space="0" w:color="auto"/>
                                                <w:left w:val="none" w:sz="0" w:space="0" w:color="auto"/>
                                                <w:bottom w:val="none" w:sz="0" w:space="0" w:color="auto"/>
                                                <w:right w:val="none" w:sz="0" w:space="0" w:color="auto"/>
                                              </w:divBdr>
                                            </w:div>
                                            <w:div w:id="1698310397">
                                              <w:marLeft w:val="0"/>
                                              <w:marRight w:val="0"/>
                                              <w:marTop w:val="0"/>
                                              <w:marBottom w:val="0"/>
                                              <w:divBdr>
                                                <w:top w:val="none" w:sz="0" w:space="0" w:color="auto"/>
                                                <w:left w:val="none" w:sz="0" w:space="0" w:color="auto"/>
                                                <w:bottom w:val="none" w:sz="0" w:space="0" w:color="auto"/>
                                                <w:right w:val="none" w:sz="0" w:space="0" w:color="auto"/>
                                              </w:divBdr>
                                            </w:div>
                                            <w:div w:id="1700473307">
                                              <w:marLeft w:val="0"/>
                                              <w:marRight w:val="0"/>
                                              <w:marTop w:val="0"/>
                                              <w:marBottom w:val="0"/>
                                              <w:divBdr>
                                                <w:top w:val="none" w:sz="0" w:space="0" w:color="auto"/>
                                                <w:left w:val="none" w:sz="0" w:space="0" w:color="auto"/>
                                                <w:bottom w:val="none" w:sz="0" w:space="0" w:color="auto"/>
                                                <w:right w:val="none" w:sz="0" w:space="0" w:color="auto"/>
                                              </w:divBdr>
                                            </w:div>
                                            <w:div w:id="1701318497">
                                              <w:marLeft w:val="0"/>
                                              <w:marRight w:val="0"/>
                                              <w:marTop w:val="0"/>
                                              <w:marBottom w:val="0"/>
                                              <w:divBdr>
                                                <w:top w:val="none" w:sz="0" w:space="0" w:color="auto"/>
                                                <w:left w:val="none" w:sz="0" w:space="0" w:color="auto"/>
                                                <w:bottom w:val="none" w:sz="0" w:space="0" w:color="auto"/>
                                                <w:right w:val="none" w:sz="0" w:space="0" w:color="auto"/>
                                              </w:divBdr>
                                            </w:div>
                                            <w:div w:id="1718747660">
                                              <w:marLeft w:val="0"/>
                                              <w:marRight w:val="0"/>
                                              <w:marTop w:val="0"/>
                                              <w:marBottom w:val="0"/>
                                              <w:divBdr>
                                                <w:top w:val="none" w:sz="0" w:space="0" w:color="auto"/>
                                                <w:left w:val="none" w:sz="0" w:space="0" w:color="auto"/>
                                                <w:bottom w:val="none" w:sz="0" w:space="0" w:color="auto"/>
                                                <w:right w:val="none" w:sz="0" w:space="0" w:color="auto"/>
                                              </w:divBdr>
                                            </w:div>
                                            <w:div w:id="1722242734">
                                              <w:marLeft w:val="0"/>
                                              <w:marRight w:val="0"/>
                                              <w:marTop w:val="0"/>
                                              <w:marBottom w:val="0"/>
                                              <w:divBdr>
                                                <w:top w:val="none" w:sz="0" w:space="0" w:color="auto"/>
                                                <w:left w:val="none" w:sz="0" w:space="0" w:color="auto"/>
                                                <w:bottom w:val="none" w:sz="0" w:space="0" w:color="auto"/>
                                                <w:right w:val="none" w:sz="0" w:space="0" w:color="auto"/>
                                              </w:divBdr>
                                            </w:div>
                                            <w:div w:id="1728529679">
                                              <w:marLeft w:val="0"/>
                                              <w:marRight w:val="0"/>
                                              <w:marTop w:val="0"/>
                                              <w:marBottom w:val="0"/>
                                              <w:divBdr>
                                                <w:top w:val="none" w:sz="0" w:space="0" w:color="auto"/>
                                                <w:left w:val="none" w:sz="0" w:space="0" w:color="auto"/>
                                                <w:bottom w:val="none" w:sz="0" w:space="0" w:color="auto"/>
                                                <w:right w:val="none" w:sz="0" w:space="0" w:color="auto"/>
                                              </w:divBdr>
                                            </w:div>
                                            <w:div w:id="1733698263">
                                              <w:marLeft w:val="0"/>
                                              <w:marRight w:val="0"/>
                                              <w:marTop w:val="0"/>
                                              <w:marBottom w:val="0"/>
                                              <w:divBdr>
                                                <w:top w:val="none" w:sz="0" w:space="0" w:color="auto"/>
                                                <w:left w:val="none" w:sz="0" w:space="0" w:color="auto"/>
                                                <w:bottom w:val="none" w:sz="0" w:space="0" w:color="auto"/>
                                                <w:right w:val="none" w:sz="0" w:space="0" w:color="auto"/>
                                              </w:divBdr>
                                            </w:div>
                                            <w:div w:id="1737631734">
                                              <w:marLeft w:val="0"/>
                                              <w:marRight w:val="0"/>
                                              <w:marTop w:val="0"/>
                                              <w:marBottom w:val="0"/>
                                              <w:divBdr>
                                                <w:top w:val="none" w:sz="0" w:space="0" w:color="auto"/>
                                                <w:left w:val="none" w:sz="0" w:space="0" w:color="auto"/>
                                                <w:bottom w:val="none" w:sz="0" w:space="0" w:color="auto"/>
                                                <w:right w:val="none" w:sz="0" w:space="0" w:color="auto"/>
                                              </w:divBdr>
                                            </w:div>
                                            <w:div w:id="1740204885">
                                              <w:marLeft w:val="0"/>
                                              <w:marRight w:val="0"/>
                                              <w:marTop w:val="0"/>
                                              <w:marBottom w:val="0"/>
                                              <w:divBdr>
                                                <w:top w:val="none" w:sz="0" w:space="0" w:color="auto"/>
                                                <w:left w:val="none" w:sz="0" w:space="0" w:color="auto"/>
                                                <w:bottom w:val="none" w:sz="0" w:space="0" w:color="auto"/>
                                                <w:right w:val="none" w:sz="0" w:space="0" w:color="auto"/>
                                              </w:divBdr>
                                            </w:div>
                                            <w:div w:id="1743286892">
                                              <w:marLeft w:val="0"/>
                                              <w:marRight w:val="0"/>
                                              <w:marTop w:val="0"/>
                                              <w:marBottom w:val="0"/>
                                              <w:divBdr>
                                                <w:top w:val="none" w:sz="0" w:space="0" w:color="auto"/>
                                                <w:left w:val="none" w:sz="0" w:space="0" w:color="auto"/>
                                                <w:bottom w:val="none" w:sz="0" w:space="0" w:color="auto"/>
                                                <w:right w:val="none" w:sz="0" w:space="0" w:color="auto"/>
                                              </w:divBdr>
                                            </w:div>
                                            <w:div w:id="1759015684">
                                              <w:marLeft w:val="0"/>
                                              <w:marRight w:val="0"/>
                                              <w:marTop w:val="0"/>
                                              <w:marBottom w:val="0"/>
                                              <w:divBdr>
                                                <w:top w:val="none" w:sz="0" w:space="0" w:color="auto"/>
                                                <w:left w:val="none" w:sz="0" w:space="0" w:color="auto"/>
                                                <w:bottom w:val="none" w:sz="0" w:space="0" w:color="auto"/>
                                                <w:right w:val="none" w:sz="0" w:space="0" w:color="auto"/>
                                              </w:divBdr>
                                            </w:div>
                                            <w:div w:id="1766728099">
                                              <w:marLeft w:val="0"/>
                                              <w:marRight w:val="0"/>
                                              <w:marTop w:val="0"/>
                                              <w:marBottom w:val="0"/>
                                              <w:divBdr>
                                                <w:top w:val="none" w:sz="0" w:space="0" w:color="auto"/>
                                                <w:left w:val="none" w:sz="0" w:space="0" w:color="auto"/>
                                                <w:bottom w:val="none" w:sz="0" w:space="0" w:color="auto"/>
                                                <w:right w:val="none" w:sz="0" w:space="0" w:color="auto"/>
                                              </w:divBdr>
                                            </w:div>
                                            <w:div w:id="1766922547">
                                              <w:marLeft w:val="0"/>
                                              <w:marRight w:val="0"/>
                                              <w:marTop w:val="0"/>
                                              <w:marBottom w:val="0"/>
                                              <w:divBdr>
                                                <w:top w:val="none" w:sz="0" w:space="0" w:color="auto"/>
                                                <w:left w:val="none" w:sz="0" w:space="0" w:color="auto"/>
                                                <w:bottom w:val="none" w:sz="0" w:space="0" w:color="auto"/>
                                                <w:right w:val="none" w:sz="0" w:space="0" w:color="auto"/>
                                              </w:divBdr>
                                            </w:div>
                                            <w:div w:id="1772119418">
                                              <w:marLeft w:val="0"/>
                                              <w:marRight w:val="0"/>
                                              <w:marTop w:val="0"/>
                                              <w:marBottom w:val="0"/>
                                              <w:divBdr>
                                                <w:top w:val="none" w:sz="0" w:space="0" w:color="auto"/>
                                                <w:left w:val="none" w:sz="0" w:space="0" w:color="auto"/>
                                                <w:bottom w:val="none" w:sz="0" w:space="0" w:color="auto"/>
                                                <w:right w:val="none" w:sz="0" w:space="0" w:color="auto"/>
                                              </w:divBdr>
                                            </w:div>
                                            <w:div w:id="1787232719">
                                              <w:marLeft w:val="0"/>
                                              <w:marRight w:val="0"/>
                                              <w:marTop w:val="0"/>
                                              <w:marBottom w:val="0"/>
                                              <w:divBdr>
                                                <w:top w:val="none" w:sz="0" w:space="0" w:color="auto"/>
                                                <w:left w:val="none" w:sz="0" w:space="0" w:color="auto"/>
                                                <w:bottom w:val="none" w:sz="0" w:space="0" w:color="auto"/>
                                                <w:right w:val="none" w:sz="0" w:space="0" w:color="auto"/>
                                              </w:divBdr>
                                            </w:div>
                                            <w:div w:id="1787848361">
                                              <w:marLeft w:val="0"/>
                                              <w:marRight w:val="0"/>
                                              <w:marTop w:val="0"/>
                                              <w:marBottom w:val="0"/>
                                              <w:divBdr>
                                                <w:top w:val="none" w:sz="0" w:space="0" w:color="auto"/>
                                                <w:left w:val="none" w:sz="0" w:space="0" w:color="auto"/>
                                                <w:bottom w:val="none" w:sz="0" w:space="0" w:color="auto"/>
                                                <w:right w:val="none" w:sz="0" w:space="0" w:color="auto"/>
                                              </w:divBdr>
                                            </w:div>
                                            <w:div w:id="1795514013">
                                              <w:marLeft w:val="0"/>
                                              <w:marRight w:val="0"/>
                                              <w:marTop w:val="0"/>
                                              <w:marBottom w:val="0"/>
                                              <w:divBdr>
                                                <w:top w:val="none" w:sz="0" w:space="0" w:color="auto"/>
                                                <w:left w:val="none" w:sz="0" w:space="0" w:color="auto"/>
                                                <w:bottom w:val="none" w:sz="0" w:space="0" w:color="auto"/>
                                                <w:right w:val="none" w:sz="0" w:space="0" w:color="auto"/>
                                              </w:divBdr>
                                            </w:div>
                                            <w:div w:id="1796211075">
                                              <w:marLeft w:val="0"/>
                                              <w:marRight w:val="0"/>
                                              <w:marTop w:val="0"/>
                                              <w:marBottom w:val="0"/>
                                              <w:divBdr>
                                                <w:top w:val="none" w:sz="0" w:space="0" w:color="auto"/>
                                                <w:left w:val="none" w:sz="0" w:space="0" w:color="auto"/>
                                                <w:bottom w:val="none" w:sz="0" w:space="0" w:color="auto"/>
                                                <w:right w:val="none" w:sz="0" w:space="0" w:color="auto"/>
                                              </w:divBdr>
                                            </w:div>
                                            <w:div w:id="1796633692">
                                              <w:marLeft w:val="0"/>
                                              <w:marRight w:val="0"/>
                                              <w:marTop w:val="0"/>
                                              <w:marBottom w:val="0"/>
                                              <w:divBdr>
                                                <w:top w:val="none" w:sz="0" w:space="0" w:color="auto"/>
                                                <w:left w:val="none" w:sz="0" w:space="0" w:color="auto"/>
                                                <w:bottom w:val="none" w:sz="0" w:space="0" w:color="auto"/>
                                                <w:right w:val="none" w:sz="0" w:space="0" w:color="auto"/>
                                              </w:divBdr>
                                            </w:div>
                                            <w:div w:id="1801990819">
                                              <w:marLeft w:val="0"/>
                                              <w:marRight w:val="0"/>
                                              <w:marTop w:val="0"/>
                                              <w:marBottom w:val="0"/>
                                              <w:divBdr>
                                                <w:top w:val="none" w:sz="0" w:space="0" w:color="auto"/>
                                                <w:left w:val="none" w:sz="0" w:space="0" w:color="auto"/>
                                                <w:bottom w:val="none" w:sz="0" w:space="0" w:color="auto"/>
                                                <w:right w:val="none" w:sz="0" w:space="0" w:color="auto"/>
                                              </w:divBdr>
                                            </w:div>
                                            <w:div w:id="1804271893">
                                              <w:marLeft w:val="0"/>
                                              <w:marRight w:val="0"/>
                                              <w:marTop w:val="0"/>
                                              <w:marBottom w:val="0"/>
                                              <w:divBdr>
                                                <w:top w:val="none" w:sz="0" w:space="0" w:color="auto"/>
                                                <w:left w:val="none" w:sz="0" w:space="0" w:color="auto"/>
                                                <w:bottom w:val="none" w:sz="0" w:space="0" w:color="auto"/>
                                                <w:right w:val="none" w:sz="0" w:space="0" w:color="auto"/>
                                              </w:divBdr>
                                            </w:div>
                                            <w:div w:id="1815178655">
                                              <w:marLeft w:val="0"/>
                                              <w:marRight w:val="0"/>
                                              <w:marTop w:val="0"/>
                                              <w:marBottom w:val="0"/>
                                              <w:divBdr>
                                                <w:top w:val="none" w:sz="0" w:space="0" w:color="auto"/>
                                                <w:left w:val="none" w:sz="0" w:space="0" w:color="auto"/>
                                                <w:bottom w:val="none" w:sz="0" w:space="0" w:color="auto"/>
                                                <w:right w:val="none" w:sz="0" w:space="0" w:color="auto"/>
                                              </w:divBdr>
                                            </w:div>
                                            <w:div w:id="1832285402">
                                              <w:marLeft w:val="0"/>
                                              <w:marRight w:val="0"/>
                                              <w:marTop w:val="0"/>
                                              <w:marBottom w:val="0"/>
                                              <w:divBdr>
                                                <w:top w:val="none" w:sz="0" w:space="0" w:color="auto"/>
                                                <w:left w:val="none" w:sz="0" w:space="0" w:color="auto"/>
                                                <w:bottom w:val="none" w:sz="0" w:space="0" w:color="auto"/>
                                                <w:right w:val="none" w:sz="0" w:space="0" w:color="auto"/>
                                              </w:divBdr>
                                            </w:div>
                                            <w:div w:id="1833182995">
                                              <w:marLeft w:val="0"/>
                                              <w:marRight w:val="0"/>
                                              <w:marTop w:val="0"/>
                                              <w:marBottom w:val="0"/>
                                              <w:divBdr>
                                                <w:top w:val="none" w:sz="0" w:space="0" w:color="auto"/>
                                                <w:left w:val="none" w:sz="0" w:space="0" w:color="auto"/>
                                                <w:bottom w:val="none" w:sz="0" w:space="0" w:color="auto"/>
                                                <w:right w:val="none" w:sz="0" w:space="0" w:color="auto"/>
                                              </w:divBdr>
                                            </w:div>
                                            <w:div w:id="1836187987">
                                              <w:marLeft w:val="0"/>
                                              <w:marRight w:val="0"/>
                                              <w:marTop w:val="0"/>
                                              <w:marBottom w:val="0"/>
                                              <w:divBdr>
                                                <w:top w:val="none" w:sz="0" w:space="0" w:color="auto"/>
                                                <w:left w:val="none" w:sz="0" w:space="0" w:color="auto"/>
                                                <w:bottom w:val="none" w:sz="0" w:space="0" w:color="auto"/>
                                                <w:right w:val="none" w:sz="0" w:space="0" w:color="auto"/>
                                              </w:divBdr>
                                            </w:div>
                                            <w:div w:id="1839884945">
                                              <w:marLeft w:val="0"/>
                                              <w:marRight w:val="0"/>
                                              <w:marTop w:val="0"/>
                                              <w:marBottom w:val="0"/>
                                              <w:divBdr>
                                                <w:top w:val="none" w:sz="0" w:space="0" w:color="auto"/>
                                                <w:left w:val="none" w:sz="0" w:space="0" w:color="auto"/>
                                                <w:bottom w:val="none" w:sz="0" w:space="0" w:color="auto"/>
                                                <w:right w:val="none" w:sz="0" w:space="0" w:color="auto"/>
                                              </w:divBdr>
                                            </w:div>
                                            <w:div w:id="1840653715">
                                              <w:marLeft w:val="0"/>
                                              <w:marRight w:val="0"/>
                                              <w:marTop w:val="0"/>
                                              <w:marBottom w:val="0"/>
                                              <w:divBdr>
                                                <w:top w:val="none" w:sz="0" w:space="0" w:color="auto"/>
                                                <w:left w:val="none" w:sz="0" w:space="0" w:color="auto"/>
                                                <w:bottom w:val="none" w:sz="0" w:space="0" w:color="auto"/>
                                                <w:right w:val="none" w:sz="0" w:space="0" w:color="auto"/>
                                              </w:divBdr>
                                            </w:div>
                                            <w:div w:id="1848979486">
                                              <w:marLeft w:val="0"/>
                                              <w:marRight w:val="0"/>
                                              <w:marTop w:val="0"/>
                                              <w:marBottom w:val="0"/>
                                              <w:divBdr>
                                                <w:top w:val="none" w:sz="0" w:space="0" w:color="auto"/>
                                                <w:left w:val="none" w:sz="0" w:space="0" w:color="auto"/>
                                                <w:bottom w:val="none" w:sz="0" w:space="0" w:color="auto"/>
                                                <w:right w:val="none" w:sz="0" w:space="0" w:color="auto"/>
                                              </w:divBdr>
                                            </w:div>
                                            <w:div w:id="1859192507">
                                              <w:marLeft w:val="0"/>
                                              <w:marRight w:val="0"/>
                                              <w:marTop w:val="0"/>
                                              <w:marBottom w:val="0"/>
                                              <w:divBdr>
                                                <w:top w:val="none" w:sz="0" w:space="0" w:color="auto"/>
                                                <w:left w:val="none" w:sz="0" w:space="0" w:color="auto"/>
                                                <w:bottom w:val="none" w:sz="0" w:space="0" w:color="auto"/>
                                                <w:right w:val="none" w:sz="0" w:space="0" w:color="auto"/>
                                              </w:divBdr>
                                            </w:div>
                                            <w:div w:id="1861157917">
                                              <w:marLeft w:val="0"/>
                                              <w:marRight w:val="0"/>
                                              <w:marTop w:val="0"/>
                                              <w:marBottom w:val="0"/>
                                              <w:divBdr>
                                                <w:top w:val="none" w:sz="0" w:space="0" w:color="auto"/>
                                                <w:left w:val="none" w:sz="0" w:space="0" w:color="auto"/>
                                                <w:bottom w:val="none" w:sz="0" w:space="0" w:color="auto"/>
                                                <w:right w:val="none" w:sz="0" w:space="0" w:color="auto"/>
                                              </w:divBdr>
                                            </w:div>
                                            <w:div w:id="1863281046">
                                              <w:marLeft w:val="0"/>
                                              <w:marRight w:val="0"/>
                                              <w:marTop w:val="0"/>
                                              <w:marBottom w:val="0"/>
                                              <w:divBdr>
                                                <w:top w:val="none" w:sz="0" w:space="0" w:color="auto"/>
                                                <w:left w:val="none" w:sz="0" w:space="0" w:color="auto"/>
                                                <w:bottom w:val="none" w:sz="0" w:space="0" w:color="auto"/>
                                                <w:right w:val="none" w:sz="0" w:space="0" w:color="auto"/>
                                              </w:divBdr>
                                            </w:div>
                                            <w:div w:id="1876187757">
                                              <w:marLeft w:val="0"/>
                                              <w:marRight w:val="0"/>
                                              <w:marTop w:val="0"/>
                                              <w:marBottom w:val="0"/>
                                              <w:divBdr>
                                                <w:top w:val="none" w:sz="0" w:space="0" w:color="auto"/>
                                                <w:left w:val="none" w:sz="0" w:space="0" w:color="auto"/>
                                                <w:bottom w:val="none" w:sz="0" w:space="0" w:color="auto"/>
                                                <w:right w:val="none" w:sz="0" w:space="0" w:color="auto"/>
                                              </w:divBdr>
                                            </w:div>
                                            <w:div w:id="1884050174">
                                              <w:marLeft w:val="0"/>
                                              <w:marRight w:val="0"/>
                                              <w:marTop w:val="0"/>
                                              <w:marBottom w:val="0"/>
                                              <w:divBdr>
                                                <w:top w:val="none" w:sz="0" w:space="0" w:color="auto"/>
                                                <w:left w:val="none" w:sz="0" w:space="0" w:color="auto"/>
                                                <w:bottom w:val="none" w:sz="0" w:space="0" w:color="auto"/>
                                                <w:right w:val="none" w:sz="0" w:space="0" w:color="auto"/>
                                              </w:divBdr>
                                            </w:div>
                                            <w:div w:id="1885822190">
                                              <w:marLeft w:val="0"/>
                                              <w:marRight w:val="0"/>
                                              <w:marTop w:val="0"/>
                                              <w:marBottom w:val="0"/>
                                              <w:divBdr>
                                                <w:top w:val="none" w:sz="0" w:space="0" w:color="auto"/>
                                                <w:left w:val="none" w:sz="0" w:space="0" w:color="auto"/>
                                                <w:bottom w:val="none" w:sz="0" w:space="0" w:color="auto"/>
                                                <w:right w:val="none" w:sz="0" w:space="0" w:color="auto"/>
                                              </w:divBdr>
                                            </w:div>
                                            <w:div w:id="1891569072">
                                              <w:marLeft w:val="0"/>
                                              <w:marRight w:val="0"/>
                                              <w:marTop w:val="0"/>
                                              <w:marBottom w:val="0"/>
                                              <w:divBdr>
                                                <w:top w:val="none" w:sz="0" w:space="0" w:color="auto"/>
                                                <w:left w:val="none" w:sz="0" w:space="0" w:color="auto"/>
                                                <w:bottom w:val="none" w:sz="0" w:space="0" w:color="auto"/>
                                                <w:right w:val="none" w:sz="0" w:space="0" w:color="auto"/>
                                              </w:divBdr>
                                            </w:div>
                                            <w:div w:id="1902015933">
                                              <w:marLeft w:val="0"/>
                                              <w:marRight w:val="0"/>
                                              <w:marTop w:val="0"/>
                                              <w:marBottom w:val="0"/>
                                              <w:divBdr>
                                                <w:top w:val="none" w:sz="0" w:space="0" w:color="auto"/>
                                                <w:left w:val="none" w:sz="0" w:space="0" w:color="auto"/>
                                                <w:bottom w:val="none" w:sz="0" w:space="0" w:color="auto"/>
                                                <w:right w:val="none" w:sz="0" w:space="0" w:color="auto"/>
                                              </w:divBdr>
                                            </w:div>
                                            <w:div w:id="1904950795">
                                              <w:marLeft w:val="0"/>
                                              <w:marRight w:val="0"/>
                                              <w:marTop w:val="0"/>
                                              <w:marBottom w:val="0"/>
                                              <w:divBdr>
                                                <w:top w:val="none" w:sz="0" w:space="0" w:color="auto"/>
                                                <w:left w:val="none" w:sz="0" w:space="0" w:color="auto"/>
                                                <w:bottom w:val="none" w:sz="0" w:space="0" w:color="auto"/>
                                                <w:right w:val="none" w:sz="0" w:space="0" w:color="auto"/>
                                              </w:divBdr>
                                            </w:div>
                                            <w:div w:id="1907758037">
                                              <w:marLeft w:val="0"/>
                                              <w:marRight w:val="0"/>
                                              <w:marTop w:val="0"/>
                                              <w:marBottom w:val="0"/>
                                              <w:divBdr>
                                                <w:top w:val="none" w:sz="0" w:space="0" w:color="auto"/>
                                                <w:left w:val="none" w:sz="0" w:space="0" w:color="auto"/>
                                                <w:bottom w:val="none" w:sz="0" w:space="0" w:color="auto"/>
                                                <w:right w:val="none" w:sz="0" w:space="0" w:color="auto"/>
                                              </w:divBdr>
                                            </w:div>
                                            <w:div w:id="1914393817">
                                              <w:marLeft w:val="0"/>
                                              <w:marRight w:val="0"/>
                                              <w:marTop w:val="0"/>
                                              <w:marBottom w:val="0"/>
                                              <w:divBdr>
                                                <w:top w:val="none" w:sz="0" w:space="0" w:color="auto"/>
                                                <w:left w:val="none" w:sz="0" w:space="0" w:color="auto"/>
                                                <w:bottom w:val="none" w:sz="0" w:space="0" w:color="auto"/>
                                                <w:right w:val="none" w:sz="0" w:space="0" w:color="auto"/>
                                              </w:divBdr>
                                            </w:div>
                                            <w:div w:id="1917009181">
                                              <w:marLeft w:val="0"/>
                                              <w:marRight w:val="0"/>
                                              <w:marTop w:val="0"/>
                                              <w:marBottom w:val="0"/>
                                              <w:divBdr>
                                                <w:top w:val="none" w:sz="0" w:space="0" w:color="auto"/>
                                                <w:left w:val="none" w:sz="0" w:space="0" w:color="auto"/>
                                                <w:bottom w:val="none" w:sz="0" w:space="0" w:color="auto"/>
                                                <w:right w:val="none" w:sz="0" w:space="0" w:color="auto"/>
                                              </w:divBdr>
                                            </w:div>
                                            <w:div w:id="1928074811">
                                              <w:marLeft w:val="0"/>
                                              <w:marRight w:val="0"/>
                                              <w:marTop w:val="0"/>
                                              <w:marBottom w:val="0"/>
                                              <w:divBdr>
                                                <w:top w:val="none" w:sz="0" w:space="0" w:color="auto"/>
                                                <w:left w:val="none" w:sz="0" w:space="0" w:color="auto"/>
                                                <w:bottom w:val="none" w:sz="0" w:space="0" w:color="auto"/>
                                                <w:right w:val="none" w:sz="0" w:space="0" w:color="auto"/>
                                              </w:divBdr>
                                            </w:div>
                                            <w:div w:id="1932859922">
                                              <w:marLeft w:val="0"/>
                                              <w:marRight w:val="0"/>
                                              <w:marTop w:val="0"/>
                                              <w:marBottom w:val="0"/>
                                              <w:divBdr>
                                                <w:top w:val="none" w:sz="0" w:space="0" w:color="auto"/>
                                                <w:left w:val="none" w:sz="0" w:space="0" w:color="auto"/>
                                                <w:bottom w:val="none" w:sz="0" w:space="0" w:color="auto"/>
                                                <w:right w:val="none" w:sz="0" w:space="0" w:color="auto"/>
                                              </w:divBdr>
                                            </w:div>
                                            <w:div w:id="1935671831">
                                              <w:marLeft w:val="0"/>
                                              <w:marRight w:val="0"/>
                                              <w:marTop w:val="0"/>
                                              <w:marBottom w:val="0"/>
                                              <w:divBdr>
                                                <w:top w:val="none" w:sz="0" w:space="0" w:color="auto"/>
                                                <w:left w:val="none" w:sz="0" w:space="0" w:color="auto"/>
                                                <w:bottom w:val="none" w:sz="0" w:space="0" w:color="auto"/>
                                                <w:right w:val="none" w:sz="0" w:space="0" w:color="auto"/>
                                              </w:divBdr>
                                            </w:div>
                                            <w:div w:id="1959605683">
                                              <w:marLeft w:val="0"/>
                                              <w:marRight w:val="0"/>
                                              <w:marTop w:val="0"/>
                                              <w:marBottom w:val="0"/>
                                              <w:divBdr>
                                                <w:top w:val="none" w:sz="0" w:space="0" w:color="auto"/>
                                                <w:left w:val="none" w:sz="0" w:space="0" w:color="auto"/>
                                                <w:bottom w:val="none" w:sz="0" w:space="0" w:color="auto"/>
                                                <w:right w:val="none" w:sz="0" w:space="0" w:color="auto"/>
                                              </w:divBdr>
                                            </w:div>
                                            <w:div w:id="1960598096">
                                              <w:marLeft w:val="0"/>
                                              <w:marRight w:val="0"/>
                                              <w:marTop w:val="0"/>
                                              <w:marBottom w:val="0"/>
                                              <w:divBdr>
                                                <w:top w:val="none" w:sz="0" w:space="0" w:color="auto"/>
                                                <w:left w:val="none" w:sz="0" w:space="0" w:color="auto"/>
                                                <w:bottom w:val="none" w:sz="0" w:space="0" w:color="auto"/>
                                                <w:right w:val="none" w:sz="0" w:space="0" w:color="auto"/>
                                              </w:divBdr>
                                            </w:div>
                                            <w:div w:id="1964263168">
                                              <w:marLeft w:val="0"/>
                                              <w:marRight w:val="0"/>
                                              <w:marTop w:val="0"/>
                                              <w:marBottom w:val="0"/>
                                              <w:divBdr>
                                                <w:top w:val="none" w:sz="0" w:space="0" w:color="auto"/>
                                                <w:left w:val="none" w:sz="0" w:space="0" w:color="auto"/>
                                                <w:bottom w:val="none" w:sz="0" w:space="0" w:color="auto"/>
                                                <w:right w:val="none" w:sz="0" w:space="0" w:color="auto"/>
                                              </w:divBdr>
                                            </w:div>
                                            <w:div w:id="1966422493">
                                              <w:marLeft w:val="0"/>
                                              <w:marRight w:val="0"/>
                                              <w:marTop w:val="0"/>
                                              <w:marBottom w:val="0"/>
                                              <w:divBdr>
                                                <w:top w:val="none" w:sz="0" w:space="0" w:color="auto"/>
                                                <w:left w:val="none" w:sz="0" w:space="0" w:color="auto"/>
                                                <w:bottom w:val="none" w:sz="0" w:space="0" w:color="auto"/>
                                                <w:right w:val="none" w:sz="0" w:space="0" w:color="auto"/>
                                              </w:divBdr>
                                            </w:div>
                                            <w:div w:id="1970435812">
                                              <w:marLeft w:val="0"/>
                                              <w:marRight w:val="0"/>
                                              <w:marTop w:val="0"/>
                                              <w:marBottom w:val="0"/>
                                              <w:divBdr>
                                                <w:top w:val="none" w:sz="0" w:space="0" w:color="auto"/>
                                                <w:left w:val="none" w:sz="0" w:space="0" w:color="auto"/>
                                                <w:bottom w:val="none" w:sz="0" w:space="0" w:color="auto"/>
                                                <w:right w:val="none" w:sz="0" w:space="0" w:color="auto"/>
                                              </w:divBdr>
                                            </w:div>
                                            <w:div w:id="1970476681">
                                              <w:marLeft w:val="0"/>
                                              <w:marRight w:val="0"/>
                                              <w:marTop w:val="0"/>
                                              <w:marBottom w:val="0"/>
                                              <w:divBdr>
                                                <w:top w:val="none" w:sz="0" w:space="0" w:color="auto"/>
                                                <w:left w:val="none" w:sz="0" w:space="0" w:color="auto"/>
                                                <w:bottom w:val="none" w:sz="0" w:space="0" w:color="auto"/>
                                                <w:right w:val="none" w:sz="0" w:space="0" w:color="auto"/>
                                              </w:divBdr>
                                            </w:div>
                                            <w:div w:id="1972831280">
                                              <w:marLeft w:val="0"/>
                                              <w:marRight w:val="0"/>
                                              <w:marTop w:val="0"/>
                                              <w:marBottom w:val="0"/>
                                              <w:divBdr>
                                                <w:top w:val="none" w:sz="0" w:space="0" w:color="auto"/>
                                                <w:left w:val="none" w:sz="0" w:space="0" w:color="auto"/>
                                                <w:bottom w:val="none" w:sz="0" w:space="0" w:color="auto"/>
                                                <w:right w:val="none" w:sz="0" w:space="0" w:color="auto"/>
                                              </w:divBdr>
                                            </w:div>
                                            <w:div w:id="1976643100">
                                              <w:marLeft w:val="0"/>
                                              <w:marRight w:val="0"/>
                                              <w:marTop w:val="0"/>
                                              <w:marBottom w:val="0"/>
                                              <w:divBdr>
                                                <w:top w:val="none" w:sz="0" w:space="0" w:color="auto"/>
                                                <w:left w:val="none" w:sz="0" w:space="0" w:color="auto"/>
                                                <w:bottom w:val="none" w:sz="0" w:space="0" w:color="auto"/>
                                                <w:right w:val="none" w:sz="0" w:space="0" w:color="auto"/>
                                              </w:divBdr>
                                            </w:div>
                                            <w:div w:id="1977056065">
                                              <w:marLeft w:val="0"/>
                                              <w:marRight w:val="0"/>
                                              <w:marTop w:val="0"/>
                                              <w:marBottom w:val="0"/>
                                              <w:divBdr>
                                                <w:top w:val="none" w:sz="0" w:space="0" w:color="auto"/>
                                                <w:left w:val="none" w:sz="0" w:space="0" w:color="auto"/>
                                                <w:bottom w:val="none" w:sz="0" w:space="0" w:color="auto"/>
                                                <w:right w:val="none" w:sz="0" w:space="0" w:color="auto"/>
                                              </w:divBdr>
                                            </w:div>
                                            <w:div w:id="1980114838">
                                              <w:marLeft w:val="0"/>
                                              <w:marRight w:val="0"/>
                                              <w:marTop w:val="0"/>
                                              <w:marBottom w:val="0"/>
                                              <w:divBdr>
                                                <w:top w:val="none" w:sz="0" w:space="0" w:color="auto"/>
                                                <w:left w:val="none" w:sz="0" w:space="0" w:color="auto"/>
                                                <w:bottom w:val="none" w:sz="0" w:space="0" w:color="auto"/>
                                                <w:right w:val="none" w:sz="0" w:space="0" w:color="auto"/>
                                              </w:divBdr>
                                            </w:div>
                                            <w:div w:id="1981417025">
                                              <w:marLeft w:val="0"/>
                                              <w:marRight w:val="0"/>
                                              <w:marTop w:val="0"/>
                                              <w:marBottom w:val="0"/>
                                              <w:divBdr>
                                                <w:top w:val="none" w:sz="0" w:space="0" w:color="auto"/>
                                                <w:left w:val="none" w:sz="0" w:space="0" w:color="auto"/>
                                                <w:bottom w:val="none" w:sz="0" w:space="0" w:color="auto"/>
                                                <w:right w:val="none" w:sz="0" w:space="0" w:color="auto"/>
                                              </w:divBdr>
                                            </w:div>
                                            <w:div w:id="1990401855">
                                              <w:marLeft w:val="0"/>
                                              <w:marRight w:val="0"/>
                                              <w:marTop w:val="0"/>
                                              <w:marBottom w:val="0"/>
                                              <w:divBdr>
                                                <w:top w:val="none" w:sz="0" w:space="0" w:color="auto"/>
                                                <w:left w:val="none" w:sz="0" w:space="0" w:color="auto"/>
                                                <w:bottom w:val="none" w:sz="0" w:space="0" w:color="auto"/>
                                                <w:right w:val="none" w:sz="0" w:space="0" w:color="auto"/>
                                              </w:divBdr>
                                            </w:div>
                                            <w:div w:id="2008745767">
                                              <w:marLeft w:val="0"/>
                                              <w:marRight w:val="0"/>
                                              <w:marTop w:val="0"/>
                                              <w:marBottom w:val="0"/>
                                              <w:divBdr>
                                                <w:top w:val="none" w:sz="0" w:space="0" w:color="auto"/>
                                                <w:left w:val="none" w:sz="0" w:space="0" w:color="auto"/>
                                                <w:bottom w:val="none" w:sz="0" w:space="0" w:color="auto"/>
                                                <w:right w:val="none" w:sz="0" w:space="0" w:color="auto"/>
                                              </w:divBdr>
                                            </w:div>
                                            <w:div w:id="2014912970">
                                              <w:marLeft w:val="0"/>
                                              <w:marRight w:val="0"/>
                                              <w:marTop w:val="0"/>
                                              <w:marBottom w:val="0"/>
                                              <w:divBdr>
                                                <w:top w:val="none" w:sz="0" w:space="0" w:color="auto"/>
                                                <w:left w:val="none" w:sz="0" w:space="0" w:color="auto"/>
                                                <w:bottom w:val="none" w:sz="0" w:space="0" w:color="auto"/>
                                                <w:right w:val="none" w:sz="0" w:space="0" w:color="auto"/>
                                              </w:divBdr>
                                            </w:div>
                                            <w:div w:id="2018460981">
                                              <w:marLeft w:val="0"/>
                                              <w:marRight w:val="0"/>
                                              <w:marTop w:val="0"/>
                                              <w:marBottom w:val="0"/>
                                              <w:divBdr>
                                                <w:top w:val="none" w:sz="0" w:space="0" w:color="auto"/>
                                                <w:left w:val="none" w:sz="0" w:space="0" w:color="auto"/>
                                                <w:bottom w:val="none" w:sz="0" w:space="0" w:color="auto"/>
                                                <w:right w:val="none" w:sz="0" w:space="0" w:color="auto"/>
                                              </w:divBdr>
                                            </w:div>
                                            <w:div w:id="2023239670">
                                              <w:marLeft w:val="0"/>
                                              <w:marRight w:val="0"/>
                                              <w:marTop w:val="0"/>
                                              <w:marBottom w:val="0"/>
                                              <w:divBdr>
                                                <w:top w:val="none" w:sz="0" w:space="0" w:color="auto"/>
                                                <w:left w:val="none" w:sz="0" w:space="0" w:color="auto"/>
                                                <w:bottom w:val="none" w:sz="0" w:space="0" w:color="auto"/>
                                                <w:right w:val="none" w:sz="0" w:space="0" w:color="auto"/>
                                              </w:divBdr>
                                            </w:div>
                                            <w:div w:id="2028483917">
                                              <w:marLeft w:val="0"/>
                                              <w:marRight w:val="0"/>
                                              <w:marTop w:val="0"/>
                                              <w:marBottom w:val="0"/>
                                              <w:divBdr>
                                                <w:top w:val="none" w:sz="0" w:space="0" w:color="auto"/>
                                                <w:left w:val="none" w:sz="0" w:space="0" w:color="auto"/>
                                                <w:bottom w:val="none" w:sz="0" w:space="0" w:color="auto"/>
                                                <w:right w:val="none" w:sz="0" w:space="0" w:color="auto"/>
                                              </w:divBdr>
                                            </w:div>
                                            <w:div w:id="2034840178">
                                              <w:marLeft w:val="0"/>
                                              <w:marRight w:val="0"/>
                                              <w:marTop w:val="0"/>
                                              <w:marBottom w:val="0"/>
                                              <w:divBdr>
                                                <w:top w:val="none" w:sz="0" w:space="0" w:color="auto"/>
                                                <w:left w:val="none" w:sz="0" w:space="0" w:color="auto"/>
                                                <w:bottom w:val="none" w:sz="0" w:space="0" w:color="auto"/>
                                                <w:right w:val="none" w:sz="0" w:space="0" w:color="auto"/>
                                              </w:divBdr>
                                            </w:div>
                                            <w:div w:id="2040625127">
                                              <w:marLeft w:val="0"/>
                                              <w:marRight w:val="0"/>
                                              <w:marTop w:val="0"/>
                                              <w:marBottom w:val="0"/>
                                              <w:divBdr>
                                                <w:top w:val="none" w:sz="0" w:space="0" w:color="auto"/>
                                                <w:left w:val="none" w:sz="0" w:space="0" w:color="auto"/>
                                                <w:bottom w:val="none" w:sz="0" w:space="0" w:color="auto"/>
                                                <w:right w:val="none" w:sz="0" w:space="0" w:color="auto"/>
                                              </w:divBdr>
                                            </w:div>
                                            <w:div w:id="2045398875">
                                              <w:marLeft w:val="0"/>
                                              <w:marRight w:val="0"/>
                                              <w:marTop w:val="0"/>
                                              <w:marBottom w:val="0"/>
                                              <w:divBdr>
                                                <w:top w:val="none" w:sz="0" w:space="0" w:color="auto"/>
                                                <w:left w:val="none" w:sz="0" w:space="0" w:color="auto"/>
                                                <w:bottom w:val="none" w:sz="0" w:space="0" w:color="auto"/>
                                                <w:right w:val="none" w:sz="0" w:space="0" w:color="auto"/>
                                              </w:divBdr>
                                            </w:div>
                                            <w:div w:id="2053650002">
                                              <w:marLeft w:val="0"/>
                                              <w:marRight w:val="0"/>
                                              <w:marTop w:val="0"/>
                                              <w:marBottom w:val="0"/>
                                              <w:divBdr>
                                                <w:top w:val="none" w:sz="0" w:space="0" w:color="auto"/>
                                                <w:left w:val="none" w:sz="0" w:space="0" w:color="auto"/>
                                                <w:bottom w:val="none" w:sz="0" w:space="0" w:color="auto"/>
                                                <w:right w:val="none" w:sz="0" w:space="0" w:color="auto"/>
                                              </w:divBdr>
                                            </w:div>
                                            <w:div w:id="2054183696">
                                              <w:marLeft w:val="0"/>
                                              <w:marRight w:val="0"/>
                                              <w:marTop w:val="0"/>
                                              <w:marBottom w:val="0"/>
                                              <w:divBdr>
                                                <w:top w:val="none" w:sz="0" w:space="0" w:color="auto"/>
                                                <w:left w:val="none" w:sz="0" w:space="0" w:color="auto"/>
                                                <w:bottom w:val="none" w:sz="0" w:space="0" w:color="auto"/>
                                                <w:right w:val="none" w:sz="0" w:space="0" w:color="auto"/>
                                              </w:divBdr>
                                            </w:div>
                                            <w:div w:id="2059233113">
                                              <w:marLeft w:val="0"/>
                                              <w:marRight w:val="0"/>
                                              <w:marTop w:val="0"/>
                                              <w:marBottom w:val="0"/>
                                              <w:divBdr>
                                                <w:top w:val="none" w:sz="0" w:space="0" w:color="auto"/>
                                                <w:left w:val="none" w:sz="0" w:space="0" w:color="auto"/>
                                                <w:bottom w:val="none" w:sz="0" w:space="0" w:color="auto"/>
                                                <w:right w:val="none" w:sz="0" w:space="0" w:color="auto"/>
                                              </w:divBdr>
                                            </w:div>
                                            <w:div w:id="2060470483">
                                              <w:marLeft w:val="0"/>
                                              <w:marRight w:val="0"/>
                                              <w:marTop w:val="0"/>
                                              <w:marBottom w:val="0"/>
                                              <w:divBdr>
                                                <w:top w:val="none" w:sz="0" w:space="0" w:color="auto"/>
                                                <w:left w:val="none" w:sz="0" w:space="0" w:color="auto"/>
                                                <w:bottom w:val="none" w:sz="0" w:space="0" w:color="auto"/>
                                                <w:right w:val="none" w:sz="0" w:space="0" w:color="auto"/>
                                              </w:divBdr>
                                            </w:div>
                                            <w:div w:id="2072532368">
                                              <w:marLeft w:val="0"/>
                                              <w:marRight w:val="0"/>
                                              <w:marTop w:val="0"/>
                                              <w:marBottom w:val="0"/>
                                              <w:divBdr>
                                                <w:top w:val="none" w:sz="0" w:space="0" w:color="auto"/>
                                                <w:left w:val="none" w:sz="0" w:space="0" w:color="auto"/>
                                                <w:bottom w:val="none" w:sz="0" w:space="0" w:color="auto"/>
                                                <w:right w:val="none" w:sz="0" w:space="0" w:color="auto"/>
                                              </w:divBdr>
                                            </w:div>
                                            <w:div w:id="2076658322">
                                              <w:marLeft w:val="0"/>
                                              <w:marRight w:val="0"/>
                                              <w:marTop w:val="0"/>
                                              <w:marBottom w:val="0"/>
                                              <w:divBdr>
                                                <w:top w:val="none" w:sz="0" w:space="0" w:color="auto"/>
                                                <w:left w:val="none" w:sz="0" w:space="0" w:color="auto"/>
                                                <w:bottom w:val="none" w:sz="0" w:space="0" w:color="auto"/>
                                                <w:right w:val="none" w:sz="0" w:space="0" w:color="auto"/>
                                              </w:divBdr>
                                            </w:div>
                                            <w:div w:id="2084717646">
                                              <w:marLeft w:val="0"/>
                                              <w:marRight w:val="0"/>
                                              <w:marTop w:val="0"/>
                                              <w:marBottom w:val="0"/>
                                              <w:divBdr>
                                                <w:top w:val="none" w:sz="0" w:space="0" w:color="auto"/>
                                                <w:left w:val="none" w:sz="0" w:space="0" w:color="auto"/>
                                                <w:bottom w:val="none" w:sz="0" w:space="0" w:color="auto"/>
                                                <w:right w:val="none" w:sz="0" w:space="0" w:color="auto"/>
                                              </w:divBdr>
                                            </w:div>
                                            <w:div w:id="2088336887">
                                              <w:marLeft w:val="0"/>
                                              <w:marRight w:val="0"/>
                                              <w:marTop w:val="0"/>
                                              <w:marBottom w:val="0"/>
                                              <w:divBdr>
                                                <w:top w:val="none" w:sz="0" w:space="0" w:color="auto"/>
                                                <w:left w:val="none" w:sz="0" w:space="0" w:color="auto"/>
                                                <w:bottom w:val="none" w:sz="0" w:space="0" w:color="auto"/>
                                                <w:right w:val="none" w:sz="0" w:space="0" w:color="auto"/>
                                              </w:divBdr>
                                            </w:div>
                                            <w:div w:id="2102096834">
                                              <w:marLeft w:val="0"/>
                                              <w:marRight w:val="0"/>
                                              <w:marTop w:val="0"/>
                                              <w:marBottom w:val="0"/>
                                              <w:divBdr>
                                                <w:top w:val="none" w:sz="0" w:space="0" w:color="auto"/>
                                                <w:left w:val="none" w:sz="0" w:space="0" w:color="auto"/>
                                                <w:bottom w:val="none" w:sz="0" w:space="0" w:color="auto"/>
                                                <w:right w:val="none" w:sz="0" w:space="0" w:color="auto"/>
                                              </w:divBdr>
                                            </w:div>
                                            <w:div w:id="2110463316">
                                              <w:marLeft w:val="0"/>
                                              <w:marRight w:val="0"/>
                                              <w:marTop w:val="0"/>
                                              <w:marBottom w:val="0"/>
                                              <w:divBdr>
                                                <w:top w:val="none" w:sz="0" w:space="0" w:color="auto"/>
                                                <w:left w:val="none" w:sz="0" w:space="0" w:color="auto"/>
                                                <w:bottom w:val="none" w:sz="0" w:space="0" w:color="auto"/>
                                                <w:right w:val="none" w:sz="0" w:space="0" w:color="auto"/>
                                              </w:divBdr>
                                            </w:div>
                                            <w:div w:id="2111505263">
                                              <w:marLeft w:val="0"/>
                                              <w:marRight w:val="0"/>
                                              <w:marTop w:val="0"/>
                                              <w:marBottom w:val="0"/>
                                              <w:divBdr>
                                                <w:top w:val="none" w:sz="0" w:space="0" w:color="auto"/>
                                                <w:left w:val="none" w:sz="0" w:space="0" w:color="auto"/>
                                                <w:bottom w:val="none" w:sz="0" w:space="0" w:color="auto"/>
                                                <w:right w:val="none" w:sz="0" w:space="0" w:color="auto"/>
                                              </w:divBdr>
                                            </w:div>
                                            <w:div w:id="2113622666">
                                              <w:marLeft w:val="0"/>
                                              <w:marRight w:val="0"/>
                                              <w:marTop w:val="0"/>
                                              <w:marBottom w:val="0"/>
                                              <w:divBdr>
                                                <w:top w:val="none" w:sz="0" w:space="0" w:color="auto"/>
                                                <w:left w:val="none" w:sz="0" w:space="0" w:color="auto"/>
                                                <w:bottom w:val="none" w:sz="0" w:space="0" w:color="auto"/>
                                                <w:right w:val="none" w:sz="0" w:space="0" w:color="auto"/>
                                              </w:divBdr>
                                            </w:div>
                                            <w:div w:id="2118937722">
                                              <w:marLeft w:val="0"/>
                                              <w:marRight w:val="0"/>
                                              <w:marTop w:val="0"/>
                                              <w:marBottom w:val="0"/>
                                              <w:divBdr>
                                                <w:top w:val="none" w:sz="0" w:space="0" w:color="auto"/>
                                                <w:left w:val="none" w:sz="0" w:space="0" w:color="auto"/>
                                                <w:bottom w:val="none" w:sz="0" w:space="0" w:color="auto"/>
                                                <w:right w:val="none" w:sz="0" w:space="0" w:color="auto"/>
                                              </w:divBdr>
                                            </w:div>
                                            <w:div w:id="2125270158">
                                              <w:marLeft w:val="0"/>
                                              <w:marRight w:val="0"/>
                                              <w:marTop w:val="0"/>
                                              <w:marBottom w:val="0"/>
                                              <w:divBdr>
                                                <w:top w:val="none" w:sz="0" w:space="0" w:color="auto"/>
                                                <w:left w:val="none" w:sz="0" w:space="0" w:color="auto"/>
                                                <w:bottom w:val="none" w:sz="0" w:space="0" w:color="auto"/>
                                                <w:right w:val="none" w:sz="0" w:space="0" w:color="auto"/>
                                              </w:divBdr>
                                            </w:div>
                                            <w:div w:id="2134980718">
                                              <w:marLeft w:val="0"/>
                                              <w:marRight w:val="0"/>
                                              <w:marTop w:val="0"/>
                                              <w:marBottom w:val="0"/>
                                              <w:divBdr>
                                                <w:top w:val="none" w:sz="0" w:space="0" w:color="auto"/>
                                                <w:left w:val="none" w:sz="0" w:space="0" w:color="auto"/>
                                                <w:bottom w:val="none" w:sz="0" w:space="0" w:color="auto"/>
                                                <w:right w:val="none" w:sz="0" w:space="0" w:color="auto"/>
                                              </w:divBdr>
                                            </w:div>
                                            <w:div w:id="21370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65908">
                              <w:marLeft w:val="0"/>
                              <w:marRight w:val="0"/>
                              <w:marTop w:val="180"/>
                              <w:marBottom w:val="180"/>
                              <w:divBdr>
                                <w:top w:val="none" w:sz="0" w:space="0" w:color="auto"/>
                                <w:left w:val="none" w:sz="0" w:space="0" w:color="auto"/>
                                <w:bottom w:val="none" w:sz="0" w:space="0" w:color="auto"/>
                                <w:right w:val="none" w:sz="0" w:space="0" w:color="auto"/>
                              </w:divBdr>
                            </w:div>
                            <w:div w:id="1816214779">
                              <w:marLeft w:val="0"/>
                              <w:marRight w:val="0"/>
                              <w:marTop w:val="0"/>
                              <w:marBottom w:val="0"/>
                              <w:divBdr>
                                <w:top w:val="single" w:sz="6" w:space="23" w:color="CECECE"/>
                                <w:left w:val="single" w:sz="6" w:space="23" w:color="CECECE"/>
                                <w:bottom w:val="single" w:sz="6" w:space="23" w:color="CECECE"/>
                                <w:right w:val="single" w:sz="6" w:space="23" w:color="CECECE"/>
                              </w:divBdr>
                              <w:divsChild>
                                <w:div w:id="362824895">
                                  <w:marLeft w:val="0"/>
                                  <w:marRight w:val="0"/>
                                  <w:marTop w:val="0"/>
                                  <w:marBottom w:val="0"/>
                                  <w:divBdr>
                                    <w:top w:val="none" w:sz="0" w:space="0" w:color="auto"/>
                                    <w:left w:val="none" w:sz="0" w:space="0" w:color="auto"/>
                                    <w:bottom w:val="none" w:sz="0" w:space="0" w:color="auto"/>
                                    <w:right w:val="none" w:sz="0" w:space="0" w:color="auto"/>
                                  </w:divBdr>
                                  <w:divsChild>
                                    <w:div w:id="2083595514">
                                      <w:marLeft w:val="0"/>
                                      <w:marRight w:val="0"/>
                                      <w:marTop w:val="0"/>
                                      <w:marBottom w:val="0"/>
                                      <w:divBdr>
                                        <w:top w:val="none" w:sz="0" w:space="0" w:color="auto"/>
                                        <w:left w:val="none" w:sz="0" w:space="0" w:color="auto"/>
                                        <w:bottom w:val="none" w:sz="0" w:space="0" w:color="auto"/>
                                        <w:right w:val="none" w:sz="0" w:space="0" w:color="auto"/>
                                      </w:divBdr>
                                      <w:divsChild>
                                        <w:div w:id="173886472">
                                          <w:marLeft w:val="0"/>
                                          <w:marRight w:val="0"/>
                                          <w:marTop w:val="0"/>
                                          <w:marBottom w:val="0"/>
                                          <w:divBdr>
                                            <w:top w:val="none" w:sz="0" w:space="0" w:color="auto"/>
                                            <w:left w:val="none" w:sz="0" w:space="0" w:color="auto"/>
                                            <w:bottom w:val="none" w:sz="0" w:space="0" w:color="auto"/>
                                            <w:right w:val="none" w:sz="0" w:space="0" w:color="auto"/>
                                          </w:divBdr>
                                          <w:divsChild>
                                            <w:div w:id="26720161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6094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859900">
                  <w:marLeft w:val="0"/>
                  <w:marRight w:val="0"/>
                  <w:marTop w:val="0"/>
                  <w:marBottom w:val="0"/>
                  <w:divBdr>
                    <w:top w:val="none" w:sz="0" w:space="0" w:color="auto"/>
                    <w:left w:val="none" w:sz="0" w:space="0" w:color="auto"/>
                    <w:bottom w:val="none" w:sz="0" w:space="0" w:color="auto"/>
                    <w:right w:val="none" w:sz="0" w:space="0" w:color="auto"/>
                  </w:divBdr>
                  <w:divsChild>
                    <w:div w:id="960762731">
                      <w:marLeft w:val="360"/>
                      <w:marRight w:val="0"/>
                      <w:marTop w:val="0"/>
                      <w:marBottom w:val="0"/>
                      <w:divBdr>
                        <w:top w:val="none" w:sz="0" w:space="0" w:color="auto"/>
                        <w:left w:val="none" w:sz="0" w:space="0" w:color="auto"/>
                        <w:bottom w:val="none" w:sz="0" w:space="0" w:color="auto"/>
                        <w:right w:val="none" w:sz="0" w:space="0" w:color="auto"/>
                      </w:divBdr>
                      <w:divsChild>
                        <w:div w:id="1488663941">
                          <w:marLeft w:val="0"/>
                          <w:marRight w:val="0"/>
                          <w:marTop w:val="0"/>
                          <w:marBottom w:val="0"/>
                          <w:divBdr>
                            <w:top w:val="none" w:sz="0" w:space="0" w:color="auto"/>
                            <w:left w:val="none" w:sz="0" w:space="0" w:color="auto"/>
                            <w:bottom w:val="none" w:sz="0" w:space="0" w:color="auto"/>
                            <w:right w:val="none" w:sz="0" w:space="0" w:color="auto"/>
                          </w:divBdr>
                          <w:divsChild>
                            <w:div w:id="1661232147">
                              <w:marLeft w:val="0"/>
                              <w:marRight w:val="0"/>
                              <w:marTop w:val="0"/>
                              <w:marBottom w:val="0"/>
                              <w:divBdr>
                                <w:top w:val="none" w:sz="0" w:space="0" w:color="auto"/>
                                <w:left w:val="none" w:sz="0" w:space="0" w:color="auto"/>
                                <w:bottom w:val="none" w:sz="0" w:space="0" w:color="auto"/>
                                <w:right w:val="none" w:sz="0" w:space="0" w:color="auto"/>
                              </w:divBdr>
                              <w:divsChild>
                                <w:div w:id="2828108">
                                  <w:marLeft w:val="0"/>
                                  <w:marRight w:val="0"/>
                                  <w:marTop w:val="0"/>
                                  <w:marBottom w:val="0"/>
                                  <w:divBdr>
                                    <w:top w:val="none" w:sz="0" w:space="0" w:color="auto"/>
                                    <w:left w:val="none" w:sz="0" w:space="0" w:color="auto"/>
                                    <w:bottom w:val="none" w:sz="0" w:space="0" w:color="auto"/>
                                    <w:right w:val="none" w:sz="0" w:space="0" w:color="auto"/>
                                  </w:divBdr>
                                  <w:divsChild>
                                    <w:div w:id="612324005">
                                      <w:marLeft w:val="0"/>
                                      <w:marRight w:val="0"/>
                                      <w:marTop w:val="0"/>
                                      <w:marBottom w:val="0"/>
                                      <w:divBdr>
                                        <w:top w:val="none" w:sz="0" w:space="0" w:color="auto"/>
                                        <w:left w:val="none" w:sz="0" w:space="0" w:color="auto"/>
                                        <w:bottom w:val="none" w:sz="0" w:space="0" w:color="auto"/>
                                        <w:right w:val="none" w:sz="0" w:space="0" w:color="auto"/>
                                      </w:divBdr>
                                    </w:div>
                                    <w:div w:id="1814789105">
                                      <w:marLeft w:val="0"/>
                                      <w:marRight w:val="0"/>
                                      <w:marTop w:val="0"/>
                                      <w:marBottom w:val="0"/>
                                      <w:divBdr>
                                        <w:top w:val="none" w:sz="0" w:space="0" w:color="auto"/>
                                        <w:left w:val="none" w:sz="0" w:space="0" w:color="auto"/>
                                        <w:bottom w:val="none" w:sz="0" w:space="0" w:color="auto"/>
                                        <w:right w:val="none" w:sz="0" w:space="0" w:color="auto"/>
                                      </w:divBdr>
                                      <w:divsChild>
                                        <w:div w:id="819007829">
                                          <w:marLeft w:val="0"/>
                                          <w:marRight w:val="0"/>
                                          <w:marTop w:val="0"/>
                                          <w:marBottom w:val="0"/>
                                          <w:divBdr>
                                            <w:top w:val="none" w:sz="0" w:space="0" w:color="auto"/>
                                            <w:left w:val="none" w:sz="0" w:space="0" w:color="auto"/>
                                            <w:bottom w:val="none" w:sz="0" w:space="0" w:color="auto"/>
                                            <w:right w:val="none" w:sz="0" w:space="0" w:color="auto"/>
                                          </w:divBdr>
                                          <w:divsChild>
                                            <w:div w:id="2101413669">
                                              <w:marLeft w:val="0"/>
                                              <w:marRight w:val="0"/>
                                              <w:marTop w:val="0"/>
                                              <w:marBottom w:val="0"/>
                                              <w:divBdr>
                                                <w:top w:val="single" w:sz="6" w:space="0" w:color="CDCDCD"/>
                                                <w:left w:val="single" w:sz="6" w:space="0" w:color="CDCDCD"/>
                                                <w:bottom w:val="single" w:sz="6" w:space="0" w:color="CDCDCD"/>
                                                <w:right w:val="single" w:sz="6" w:space="0" w:color="CDCDCD"/>
                                              </w:divBdr>
                                              <w:divsChild>
                                                <w:div w:id="1901359085">
                                                  <w:marLeft w:val="0"/>
                                                  <w:marRight w:val="0"/>
                                                  <w:marTop w:val="0"/>
                                                  <w:marBottom w:val="0"/>
                                                  <w:divBdr>
                                                    <w:top w:val="none" w:sz="0" w:space="0" w:color="auto"/>
                                                    <w:left w:val="none" w:sz="0" w:space="0" w:color="auto"/>
                                                    <w:bottom w:val="none" w:sz="0" w:space="0" w:color="auto"/>
                                                    <w:right w:val="none" w:sz="0" w:space="0" w:color="auto"/>
                                                  </w:divBdr>
                                                  <w:divsChild>
                                                    <w:div w:id="31943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5583">
                                  <w:marLeft w:val="0"/>
                                  <w:marRight w:val="0"/>
                                  <w:marTop w:val="0"/>
                                  <w:marBottom w:val="0"/>
                                  <w:divBdr>
                                    <w:top w:val="none" w:sz="0" w:space="0" w:color="auto"/>
                                    <w:left w:val="none" w:sz="0" w:space="0" w:color="auto"/>
                                    <w:bottom w:val="none" w:sz="0" w:space="0" w:color="auto"/>
                                    <w:right w:val="none" w:sz="0" w:space="0" w:color="auto"/>
                                  </w:divBdr>
                                  <w:divsChild>
                                    <w:div w:id="1177381364">
                                      <w:marLeft w:val="0"/>
                                      <w:marRight w:val="0"/>
                                      <w:marTop w:val="0"/>
                                      <w:marBottom w:val="0"/>
                                      <w:divBdr>
                                        <w:top w:val="none" w:sz="0" w:space="0" w:color="auto"/>
                                        <w:left w:val="none" w:sz="0" w:space="0" w:color="auto"/>
                                        <w:bottom w:val="none" w:sz="0" w:space="0" w:color="auto"/>
                                        <w:right w:val="none" w:sz="0" w:space="0" w:color="auto"/>
                                      </w:divBdr>
                                    </w:div>
                                    <w:div w:id="1324356823">
                                      <w:marLeft w:val="0"/>
                                      <w:marRight w:val="0"/>
                                      <w:marTop w:val="0"/>
                                      <w:marBottom w:val="0"/>
                                      <w:divBdr>
                                        <w:top w:val="none" w:sz="0" w:space="0" w:color="auto"/>
                                        <w:left w:val="none" w:sz="0" w:space="0" w:color="auto"/>
                                        <w:bottom w:val="none" w:sz="0" w:space="0" w:color="auto"/>
                                        <w:right w:val="none" w:sz="0" w:space="0" w:color="auto"/>
                                      </w:divBdr>
                                      <w:divsChild>
                                        <w:div w:id="1982154285">
                                          <w:marLeft w:val="0"/>
                                          <w:marRight w:val="0"/>
                                          <w:marTop w:val="0"/>
                                          <w:marBottom w:val="0"/>
                                          <w:divBdr>
                                            <w:top w:val="none" w:sz="0" w:space="0" w:color="auto"/>
                                            <w:left w:val="none" w:sz="0" w:space="0" w:color="auto"/>
                                            <w:bottom w:val="none" w:sz="0" w:space="0" w:color="auto"/>
                                            <w:right w:val="none" w:sz="0" w:space="0" w:color="auto"/>
                                          </w:divBdr>
                                          <w:divsChild>
                                            <w:div w:id="355236982">
                                              <w:marLeft w:val="0"/>
                                              <w:marRight w:val="0"/>
                                              <w:marTop w:val="0"/>
                                              <w:marBottom w:val="0"/>
                                              <w:divBdr>
                                                <w:top w:val="single" w:sz="6" w:space="0" w:color="CDCDCD"/>
                                                <w:left w:val="single" w:sz="6" w:space="0" w:color="CDCDCD"/>
                                                <w:bottom w:val="single" w:sz="6" w:space="0" w:color="CDCDCD"/>
                                                <w:right w:val="single" w:sz="6" w:space="0" w:color="CDCDCD"/>
                                              </w:divBdr>
                                              <w:divsChild>
                                                <w:div w:id="1541474468">
                                                  <w:marLeft w:val="0"/>
                                                  <w:marRight w:val="0"/>
                                                  <w:marTop w:val="0"/>
                                                  <w:marBottom w:val="0"/>
                                                  <w:divBdr>
                                                    <w:top w:val="none" w:sz="0" w:space="0" w:color="auto"/>
                                                    <w:left w:val="none" w:sz="0" w:space="0" w:color="auto"/>
                                                    <w:bottom w:val="none" w:sz="0" w:space="0" w:color="auto"/>
                                                    <w:right w:val="none" w:sz="0" w:space="0" w:color="auto"/>
                                                  </w:divBdr>
                                                  <w:divsChild>
                                                    <w:div w:id="14017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16205">
                                  <w:marLeft w:val="0"/>
                                  <w:marRight w:val="0"/>
                                  <w:marTop w:val="0"/>
                                  <w:marBottom w:val="0"/>
                                  <w:divBdr>
                                    <w:top w:val="none" w:sz="0" w:space="0" w:color="auto"/>
                                    <w:left w:val="none" w:sz="0" w:space="0" w:color="auto"/>
                                    <w:bottom w:val="none" w:sz="0" w:space="0" w:color="auto"/>
                                    <w:right w:val="none" w:sz="0" w:space="0" w:color="auto"/>
                                  </w:divBdr>
                                  <w:divsChild>
                                    <w:div w:id="126052463">
                                      <w:marLeft w:val="0"/>
                                      <w:marRight w:val="0"/>
                                      <w:marTop w:val="0"/>
                                      <w:marBottom w:val="0"/>
                                      <w:divBdr>
                                        <w:top w:val="none" w:sz="0" w:space="0" w:color="auto"/>
                                        <w:left w:val="none" w:sz="0" w:space="0" w:color="auto"/>
                                        <w:bottom w:val="none" w:sz="0" w:space="0" w:color="auto"/>
                                        <w:right w:val="none" w:sz="0" w:space="0" w:color="auto"/>
                                      </w:divBdr>
                                      <w:divsChild>
                                        <w:div w:id="1673872843">
                                          <w:marLeft w:val="0"/>
                                          <w:marRight w:val="0"/>
                                          <w:marTop w:val="0"/>
                                          <w:marBottom w:val="0"/>
                                          <w:divBdr>
                                            <w:top w:val="none" w:sz="0" w:space="0" w:color="auto"/>
                                            <w:left w:val="none" w:sz="0" w:space="0" w:color="auto"/>
                                            <w:bottom w:val="none" w:sz="0" w:space="0" w:color="auto"/>
                                            <w:right w:val="none" w:sz="0" w:space="0" w:color="auto"/>
                                          </w:divBdr>
                                          <w:divsChild>
                                            <w:div w:id="1086027173">
                                              <w:marLeft w:val="0"/>
                                              <w:marRight w:val="0"/>
                                              <w:marTop w:val="0"/>
                                              <w:marBottom w:val="0"/>
                                              <w:divBdr>
                                                <w:top w:val="single" w:sz="6" w:space="0" w:color="CDCDCD"/>
                                                <w:left w:val="single" w:sz="6" w:space="0" w:color="CDCDCD"/>
                                                <w:bottom w:val="single" w:sz="6" w:space="0" w:color="CDCDCD"/>
                                                <w:right w:val="single" w:sz="6" w:space="0" w:color="CDCDCD"/>
                                              </w:divBdr>
                                              <w:divsChild>
                                                <w:div w:id="1627614020">
                                                  <w:marLeft w:val="0"/>
                                                  <w:marRight w:val="0"/>
                                                  <w:marTop w:val="0"/>
                                                  <w:marBottom w:val="0"/>
                                                  <w:divBdr>
                                                    <w:top w:val="none" w:sz="0" w:space="0" w:color="auto"/>
                                                    <w:left w:val="none" w:sz="0" w:space="0" w:color="auto"/>
                                                    <w:bottom w:val="none" w:sz="0" w:space="0" w:color="auto"/>
                                                    <w:right w:val="none" w:sz="0" w:space="0" w:color="auto"/>
                                                  </w:divBdr>
                                                  <w:divsChild>
                                                    <w:div w:id="135935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635821">
                                      <w:marLeft w:val="0"/>
                                      <w:marRight w:val="0"/>
                                      <w:marTop w:val="0"/>
                                      <w:marBottom w:val="0"/>
                                      <w:divBdr>
                                        <w:top w:val="none" w:sz="0" w:space="0" w:color="auto"/>
                                        <w:left w:val="none" w:sz="0" w:space="0" w:color="auto"/>
                                        <w:bottom w:val="none" w:sz="0" w:space="0" w:color="auto"/>
                                        <w:right w:val="none" w:sz="0" w:space="0" w:color="auto"/>
                                      </w:divBdr>
                                    </w:div>
                                  </w:divsChild>
                                </w:div>
                                <w:div w:id="163670404">
                                  <w:marLeft w:val="0"/>
                                  <w:marRight w:val="0"/>
                                  <w:marTop w:val="0"/>
                                  <w:marBottom w:val="0"/>
                                  <w:divBdr>
                                    <w:top w:val="none" w:sz="0" w:space="0" w:color="auto"/>
                                    <w:left w:val="none" w:sz="0" w:space="0" w:color="auto"/>
                                    <w:bottom w:val="none" w:sz="0" w:space="0" w:color="auto"/>
                                    <w:right w:val="none" w:sz="0" w:space="0" w:color="auto"/>
                                  </w:divBdr>
                                  <w:divsChild>
                                    <w:div w:id="123502237">
                                      <w:marLeft w:val="0"/>
                                      <w:marRight w:val="0"/>
                                      <w:marTop w:val="0"/>
                                      <w:marBottom w:val="0"/>
                                      <w:divBdr>
                                        <w:top w:val="none" w:sz="0" w:space="0" w:color="auto"/>
                                        <w:left w:val="none" w:sz="0" w:space="0" w:color="auto"/>
                                        <w:bottom w:val="none" w:sz="0" w:space="0" w:color="auto"/>
                                        <w:right w:val="none" w:sz="0" w:space="0" w:color="auto"/>
                                      </w:divBdr>
                                      <w:divsChild>
                                        <w:div w:id="1657954911">
                                          <w:marLeft w:val="0"/>
                                          <w:marRight w:val="0"/>
                                          <w:marTop w:val="0"/>
                                          <w:marBottom w:val="0"/>
                                          <w:divBdr>
                                            <w:top w:val="none" w:sz="0" w:space="0" w:color="auto"/>
                                            <w:left w:val="none" w:sz="0" w:space="0" w:color="auto"/>
                                            <w:bottom w:val="none" w:sz="0" w:space="0" w:color="auto"/>
                                            <w:right w:val="none" w:sz="0" w:space="0" w:color="auto"/>
                                          </w:divBdr>
                                          <w:divsChild>
                                            <w:div w:id="162013496">
                                              <w:marLeft w:val="0"/>
                                              <w:marRight w:val="0"/>
                                              <w:marTop w:val="0"/>
                                              <w:marBottom w:val="0"/>
                                              <w:divBdr>
                                                <w:top w:val="single" w:sz="6" w:space="0" w:color="CDCDCD"/>
                                                <w:left w:val="single" w:sz="6" w:space="0" w:color="CDCDCD"/>
                                                <w:bottom w:val="single" w:sz="6" w:space="0" w:color="CDCDCD"/>
                                                <w:right w:val="single" w:sz="6" w:space="0" w:color="CDCDCD"/>
                                              </w:divBdr>
                                              <w:divsChild>
                                                <w:div w:id="628098479">
                                                  <w:marLeft w:val="0"/>
                                                  <w:marRight w:val="0"/>
                                                  <w:marTop w:val="0"/>
                                                  <w:marBottom w:val="0"/>
                                                  <w:divBdr>
                                                    <w:top w:val="none" w:sz="0" w:space="0" w:color="auto"/>
                                                    <w:left w:val="none" w:sz="0" w:space="0" w:color="auto"/>
                                                    <w:bottom w:val="none" w:sz="0" w:space="0" w:color="auto"/>
                                                    <w:right w:val="none" w:sz="0" w:space="0" w:color="auto"/>
                                                  </w:divBdr>
                                                  <w:divsChild>
                                                    <w:div w:id="14627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638697">
                                      <w:marLeft w:val="0"/>
                                      <w:marRight w:val="0"/>
                                      <w:marTop w:val="0"/>
                                      <w:marBottom w:val="0"/>
                                      <w:divBdr>
                                        <w:top w:val="none" w:sz="0" w:space="0" w:color="auto"/>
                                        <w:left w:val="none" w:sz="0" w:space="0" w:color="auto"/>
                                        <w:bottom w:val="none" w:sz="0" w:space="0" w:color="auto"/>
                                        <w:right w:val="none" w:sz="0" w:space="0" w:color="auto"/>
                                      </w:divBdr>
                                    </w:div>
                                  </w:divsChild>
                                </w:div>
                                <w:div w:id="418185764">
                                  <w:marLeft w:val="0"/>
                                  <w:marRight w:val="0"/>
                                  <w:marTop w:val="0"/>
                                  <w:marBottom w:val="0"/>
                                  <w:divBdr>
                                    <w:top w:val="none" w:sz="0" w:space="0" w:color="auto"/>
                                    <w:left w:val="none" w:sz="0" w:space="0" w:color="auto"/>
                                    <w:bottom w:val="none" w:sz="0" w:space="0" w:color="auto"/>
                                    <w:right w:val="none" w:sz="0" w:space="0" w:color="auto"/>
                                  </w:divBdr>
                                  <w:divsChild>
                                    <w:div w:id="688415651">
                                      <w:marLeft w:val="0"/>
                                      <w:marRight w:val="0"/>
                                      <w:marTop w:val="0"/>
                                      <w:marBottom w:val="0"/>
                                      <w:divBdr>
                                        <w:top w:val="none" w:sz="0" w:space="0" w:color="auto"/>
                                        <w:left w:val="none" w:sz="0" w:space="0" w:color="auto"/>
                                        <w:bottom w:val="none" w:sz="0" w:space="0" w:color="auto"/>
                                        <w:right w:val="none" w:sz="0" w:space="0" w:color="auto"/>
                                      </w:divBdr>
                                    </w:div>
                                    <w:div w:id="1004818468">
                                      <w:marLeft w:val="0"/>
                                      <w:marRight w:val="0"/>
                                      <w:marTop w:val="0"/>
                                      <w:marBottom w:val="0"/>
                                      <w:divBdr>
                                        <w:top w:val="none" w:sz="0" w:space="0" w:color="auto"/>
                                        <w:left w:val="none" w:sz="0" w:space="0" w:color="auto"/>
                                        <w:bottom w:val="none" w:sz="0" w:space="0" w:color="auto"/>
                                        <w:right w:val="none" w:sz="0" w:space="0" w:color="auto"/>
                                      </w:divBdr>
                                      <w:divsChild>
                                        <w:div w:id="106514318">
                                          <w:marLeft w:val="0"/>
                                          <w:marRight w:val="0"/>
                                          <w:marTop w:val="0"/>
                                          <w:marBottom w:val="0"/>
                                          <w:divBdr>
                                            <w:top w:val="none" w:sz="0" w:space="0" w:color="auto"/>
                                            <w:left w:val="none" w:sz="0" w:space="0" w:color="auto"/>
                                            <w:bottom w:val="none" w:sz="0" w:space="0" w:color="auto"/>
                                            <w:right w:val="none" w:sz="0" w:space="0" w:color="auto"/>
                                          </w:divBdr>
                                          <w:divsChild>
                                            <w:div w:id="1793674145">
                                              <w:marLeft w:val="0"/>
                                              <w:marRight w:val="0"/>
                                              <w:marTop w:val="0"/>
                                              <w:marBottom w:val="0"/>
                                              <w:divBdr>
                                                <w:top w:val="single" w:sz="6" w:space="0" w:color="CDCDCD"/>
                                                <w:left w:val="single" w:sz="6" w:space="0" w:color="CDCDCD"/>
                                                <w:bottom w:val="single" w:sz="6" w:space="0" w:color="CDCDCD"/>
                                                <w:right w:val="single" w:sz="6" w:space="0" w:color="CDCDCD"/>
                                              </w:divBdr>
                                              <w:divsChild>
                                                <w:div w:id="565380045">
                                                  <w:marLeft w:val="0"/>
                                                  <w:marRight w:val="0"/>
                                                  <w:marTop w:val="0"/>
                                                  <w:marBottom w:val="0"/>
                                                  <w:divBdr>
                                                    <w:top w:val="none" w:sz="0" w:space="0" w:color="auto"/>
                                                    <w:left w:val="none" w:sz="0" w:space="0" w:color="auto"/>
                                                    <w:bottom w:val="none" w:sz="0" w:space="0" w:color="auto"/>
                                                    <w:right w:val="none" w:sz="0" w:space="0" w:color="auto"/>
                                                  </w:divBdr>
                                                  <w:divsChild>
                                                    <w:div w:id="25383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295463">
                                  <w:marLeft w:val="0"/>
                                  <w:marRight w:val="0"/>
                                  <w:marTop w:val="0"/>
                                  <w:marBottom w:val="0"/>
                                  <w:divBdr>
                                    <w:top w:val="none" w:sz="0" w:space="0" w:color="auto"/>
                                    <w:left w:val="none" w:sz="0" w:space="0" w:color="auto"/>
                                    <w:bottom w:val="none" w:sz="0" w:space="0" w:color="auto"/>
                                    <w:right w:val="none" w:sz="0" w:space="0" w:color="auto"/>
                                  </w:divBdr>
                                  <w:divsChild>
                                    <w:div w:id="1233392569">
                                      <w:marLeft w:val="0"/>
                                      <w:marRight w:val="0"/>
                                      <w:marTop w:val="0"/>
                                      <w:marBottom w:val="0"/>
                                      <w:divBdr>
                                        <w:top w:val="none" w:sz="0" w:space="0" w:color="auto"/>
                                        <w:left w:val="none" w:sz="0" w:space="0" w:color="auto"/>
                                        <w:bottom w:val="none" w:sz="0" w:space="0" w:color="auto"/>
                                        <w:right w:val="none" w:sz="0" w:space="0" w:color="auto"/>
                                      </w:divBdr>
                                      <w:divsChild>
                                        <w:div w:id="1899627982">
                                          <w:marLeft w:val="0"/>
                                          <w:marRight w:val="0"/>
                                          <w:marTop w:val="0"/>
                                          <w:marBottom w:val="0"/>
                                          <w:divBdr>
                                            <w:top w:val="none" w:sz="0" w:space="0" w:color="auto"/>
                                            <w:left w:val="none" w:sz="0" w:space="0" w:color="auto"/>
                                            <w:bottom w:val="none" w:sz="0" w:space="0" w:color="auto"/>
                                            <w:right w:val="none" w:sz="0" w:space="0" w:color="auto"/>
                                          </w:divBdr>
                                          <w:divsChild>
                                            <w:div w:id="2137065439">
                                              <w:marLeft w:val="0"/>
                                              <w:marRight w:val="0"/>
                                              <w:marTop w:val="0"/>
                                              <w:marBottom w:val="0"/>
                                              <w:divBdr>
                                                <w:top w:val="single" w:sz="6" w:space="0" w:color="CDCDCD"/>
                                                <w:left w:val="single" w:sz="6" w:space="0" w:color="CDCDCD"/>
                                                <w:bottom w:val="single" w:sz="6" w:space="0" w:color="CDCDCD"/>
                                                <w:right w:val="single" w:sz="6" w:space="0" w:color="CDCDCD"/>
                                              </w:divBdr>
                                              <w:divsChild>
                                                <w:div w:id="1396704740">
                                                  <w:marLeft w:val="0"/>
                                                  <w:marRight w:val="0"/>
                                                  <w:marTop w:val="0"/>
                                                  <w:marBottom w:val="0"/>
                                                  <w:divBdr>
                                                    <w:top w:val="none" w:sz="0" w:space="0" w:color="auto"/>
                                                    <w:left w:val="none" w:sz="0" w:space="0" w:color="auto"/>
                                                    <w:bottom w:val="none" w:sz="0" w:space="0" w:color="auto"/>
                                                    <w:right w:val="none" w:sz="0" w:space="0" w:color="auto"/>
                                                  </w:divBdr>
                                                  <w:divsChild>
                                                    <w:div w:id="15056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791621">
                                      <w:marLeft w:val="0"/>
                                      <w:marRight w:val="0"/>
                                      <w:marTop w:val="0"/>
                                      <w:marBottom w:val="0"/>
                                      <w:divBdr>
                                        <w:top w:val="none" w:sz="0" w:space="0" w:color="auto"/>
                                        <w:left w:val="none" w:sz="0" w:space="0" w:color="auto"/>
                                        <w:bottom w:val="none" w:sz="0" w:space="0" w:color="auto"/>
                                        <w:right w:val="none" w:sz="0" w:space="0" w:color="auto"/>
                                      </w:divBdr>
                                    </w:div>
                                  </w:divsChild>
                                </w:div>
                                <w:div w:id="716853995">
                                  <w:marLeft w:val="0"/>
                                  <w:marRight w:val="0"/>
                                  <w:marTop w:val="0"/>
                                  <w:marBottom w:val="0"/>
                                  <w:divBdr>
                                    <w:top w:val="none" w:sz="0" w:space="0" w:color="auto"/>
                                    <w:left w:val="none" w:sz="0" w:space="0" w:color="auto"/>
                                    <w:bottom w:val="none" w:sz="0" w:space="0" w:color="auto"/>
                                    <w:right w:val="none" w:sz="0" w:space="0" w:color="auto"/>
                                  </w:divBdr>
                                  <w:divsChild>
                                    <w:div w:id="1414936023">
                                      <w:marLeft w:val="0"/>
                                      <w:marRight w:val="0"/>
                                      <w:marTop w:val="0"/>
                                      <w:marBottom w:val="0"/>
                                      <w:divBdr>
                                        <w:top w:val="none" w:sz="0" w:space="0" w:color="auto"/>
                                        <w:left w:val="none" w:sz="0" w:space="0" w:color="auto"/>
                                        <w:bottom w:val="none" w:sz="0" w:space="0" w:color="auto"/>
                                        <w:right w:val="none" w:sz="0" w:space="0" w:color="auto"/>
                                      </w:divBdr>
                                    </w:div>
                                    <w:div w:id="1691419426">
                                      <w:marLeft w:val="0"/>
                                      <w:marRight w:val="0"/>
                                      <w:marTop w:val="0"/>
                                      <w:marBottom w:val="0"/>
                                      <w:divBdr>
                                        <w:top w:val="none" w:sz="0" w:space="0" w:color="auto"/>
                                        <w:left w:val="none" w:sz="0" w:space="0" w:color="auto"/>
                                        <w:bottom w:val="none" w:sz="0" w:space="0" w:color="auto"/>
                                        <w:right w:val="none" w:sz="0" w:space="0" w:color="auto"/>
                                      </w:divBdr>
                                      <w:divsChild>
                                        <w:div w:id="2099866798">
                                          <w:marLeft w:val="0"/>
                                          <w:marRight w:val="0"/>
                                          <w:marTop w:val="0"/>
                                          <w:marBottom w:val="0"/>
                                          <w:divBdr>
                                            <w:top w:val="none" w:sz="0" w:space="0" w:color="auto"/>
                                            <w:left w:val="none" w:sz="0" w:space="0" w:color="auto"/>
                                            <w:bottom w:val="none" w:sz="0" w:space="0" w:color="auto"/>
                                            <w:right w:val="none" w:sz="0" w:space="0" w:color="auto"/>
                                          </w:divBdr>
                                          <w:divsChild>
                                            <w:div w:id="7299839">
                                              <w:marLeft w:val="0"/>
                                              <w:marRight w:val="0"/>
                                              <w:marTop w:val="0"/>
                                              <w:marBottom w:val="0"/>
                                              <w:divBdr>
                                                <w:top w:val="single" w:sz="6" w:space="0" w:color="CDCDCD"/>
                                                <w:left w:val="single" w:sz="6" w:space="0" w:color="CDCDCD"/>
                                                <w:bottom w:val="single" w:sz="6" w:space="0" w:color="CDCDCD"/>
                                                <w:right w:val="single" w:sz="6" w:space="0" w:color="CDCDCD"/>
                                              </w:divBdr>
                                              <w:divsChild>
                                                <w:div w:id="1364017053">
                                                  <w:marLeft w:val="0"/>
                                                  <w:marRight w:val="0"/>
                                                  <w:marTop w:val="0"/>
                                                  <w:marBottom w:val="0"/>
                                                  <w:divBdr>
                                                    <w:top w:val="none" w:sz="0" w:space="0" w:color="auto"/>
                                                    <w:left w:val="none" w:sz="0" w:space="0" w:color="auto"/>
                                                    <w:bottom w:val="none" w:sz="0" w:space="0" w:color="auto"/>
                                                    <w:right w:val="none" w:sz="0" w:space="0" w:color="auto"/>
                                                  </w:divBdr>
                                                  <w:divsChild>
                                                    <w:div w:id="364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455869">
                                  <w:marLeft w:val="0"/>
                                  <w:marRight w:val="0"/>
                                  <w:marTop w:val="0"/>
                                  <w:marBottom w:val="0"/>
                                  <w:divBdr>
                                    <w:top w:val="none" w:sz="0" w:space="0" w:color="auto"/>
                                    <w:left w:val="none" w:sz="0" w:space="0" w:color="auto"/>
                                    <w:bottom w:val="none" w:sz="0" w:space="0" w:color="auto"/>
                                    <w:right w:val="none" w:sz="0" w:space="0" w:color="auto"/>
                                  </w:divBdr>
                                  <w:divsChild>
                                    <w:div w:id="1141460476">
                                      <w:marLeft w:val="0"/>
                                      <w:marRight w:val="0"/>
                                      <w:marTop w:val="0"/>
                                      <w:marBottom w:val="0"/>
                                      <w:divBdr>
                                        <w:top w:val="none" w:sz="0" w:space="0" w:color="auto"/>
                                        <w:left w:val="none" w:sz="0" w:space="0" w:color="auto"/>
                                        <w:bottom w:val="none" w:sz="0" w:space="0" w:color="auto"/>
                                        <w:right w:val="none" w:sz="0" w:space="0" w:color="auto"/>
                                      </w:divBdr>
                                    </w:div>
                                    <w:div w:id="1927886749">
                                      <w:marLeft w:val="0"/>
                                      <w:marRight w:val="0"/>
                                      <w:marTop w:val="0"/>
                                      <w:marBottom w:val="0"/>
                                      <w:divBdr>
                                        <w:top w:val="none" w:sz="0" w:space="0" w:color="auto"/>
                                        <w:left w:val="none" w:sz="0" w:space="0" w:color="auto"/>
                                        <w:bottom w:val="none" w:sz="0" w:space="0" w:color="auto"/>
                                        <w:right w:val="none" w:sz="0" w:space="0" w:color="auto"/>
                                      </w:divBdr>
                                      <w:divsChild>
                                        <w:div w:id="489098771">
                                          <w:marLeft w:val="0"/>
                                          <w:marRight w:val="0"/>
                                          <w:marTop w:val="0"/>
                                          <w:marBottom w:val="0"/>
                                          <w:divBdr>
                                            <w:top w:val="none" w:sz="0" w:space="0" w:color="auto"/>
                                            <w:left w:val="none" w:sz="0" w:space="0" w:color="auto"/>
                                            <w:bottom w:val="none" w:sz="0" w:space="0" w:color="auto"/>
                                            <w:right w:val="none" w:sz="0" w:space="0" w:color="auto"/>
                                          </w:divBdr>
                                          <w:divsChild>
                                            <w:div w:id="460533984">
                                              <w:marLeft w:val="0"/>
                                              <w:marRight w:val="0"/>
                                              <w:marTop w:val="0"/>
                                              <w:marBottom w:val="0"/>
                                              <w:divBdr>
                                                <w:top w:val="single" w:sz="6" w:space="0" w:color="CDCDCD"/>
                                                <w:left w:val="single" w:sz="6" w:space="0" w:color="CDCDCD"/>
                                                <w:bottom w:val="single" w:sz="6" w:space="0" w:color="CDCDCD"/>
                                                <w:right w:val="single" w:sz="6" w:space="0" w:color="CDCDCD"/>
                                              </w:divBdr>
                                              <w:divsChild>
                                                <w:div w:id="1260025048">
                                                  <w:marLeft w:val="0"/>
                                                  <w:marRight w:val="0"/>
                                                  <w:marTop w:val="0"/>
                                                  <w:marBottom w:val="0"/>
                                                  <w:divBdr>
                                                    <w:top w:val="none" w:sz="0" w:space="0" w:color="auto"/>
                                                    <w:left w:val="none" w:sz="0" w:space="0" w:color="auto"/>
                                                    <w:bottom w:val="none" w:sz="0" w:space="0" w:color="auto"/>
                                                    <w:right w:val="none" w:sz="0" w:space="0" w:color="auto"/>
                                                  </w:divBdr>
                                                  <w:divsChild>
                                                    <w:div w:id="16907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691040">
                                  <w:marLeft w:val="0"/>
                                  <w:marRight w:val="0"/>
                                  <w:marTop w:val="0"/>
                                  <w:marBottom w:val="0"/>
                                  <w:divBdr>
                                    <w:top w:val="none" w:sz="0" w:space="0" w:color="auto"/>
                                    <w:left w:val="none" w:sz="0" w:space="0" w:color="auto"/>
                                    <w:bottom w:val="none" w:sz="0" w:space="0" w:color="auto"/>
                                    <w:right w:val="none" w:sz="0" w:space="0" w:color="auto"/>
                                  </w:divBdr>
                                  <w:divsChild>
                                    <w:div w:id="1520315109">
                                      <w:marLeft w:val="0"/>
                                      <w:marRight w:val="0"/>
                                      <w:marTop w:val="0"/>
                                      <w:marBottom w:val="0"/>
                                      <w:divBdr>
                                        <w:top w:val="none" w:sz="0" w:space="0" w:color="auto"/>
                                        <w:left w:val="none" w:sz="0" w:space="0" w:color="auto"/>
                                        <w:bottom w:val="none" w:sz="0" w:space="0" w:color="auto"/>
                                        <w:right w:val="none" w:sz="0" w:space="0" w:color="auto"/>
                                      </w:divBdr>
                                      <w:divsChild>
                                        <w:div w:id="166403490">
                                          <w:marLeft w:val="0"/>
                                          <w:marRight w:val="0"/>
                                          <w:marTop w:val="0"/>
                                          <w:marBottom w:val="0"/>
                                          <w:divBdr>
                                            <w:top w:val="none" w:sz="0" w:space="0" w:color="auto"/>
                                            <w:left w:val="none" w:sz="0" w:space="0" w:color="auto"/>
                                            <w:bottom w:val="none" w:sz="0" w:space="0" w:color="auto"/>
                                            <w:right w:val="none" w:sz="0" w:space="0" w:color="auto"/>
                                          </w:divBdr>
                                          <w:divsChild>
                                            <w:div w:id="526140081">
                                              <w:marLeft w:val="0"/>
                                              <w:marRight w:val="0"/>
                                              <w:marTop w:val="0"/>
                                              <w:marBottom w:val="0"/>
                                              <w:divBdr>
                                                <w:top w:val="single" w:sz="6" w:space="0" w:color="CDCDCD"/>
                                                <w:left w:val="single" w:sz="6" w:space="0" w:color="CDCDCD"/>
                                                <w:bottom w:val="single" w:sz="6" w:space="0" w:color="CDCDCD"/>
                                                <w:right w:val="single" w:sz="6" w:space="0" w:color="CDCDCD"/>
                                              </w:divBdr>
                                              <w:divsChild>
                                                <w:div w:id="511334494">
                                                  <w:marLeft w:val="0"/>
                                                  <w:marRight w:val="0"/>
                                                  <w:marTop w:val="0"/>
                                                  <w:marBottom w:val="0"/>
                                                  <w:divBdr>
                                                    <w:top w:val="none" w:sz="0" w:space="0" w:color="auto"/>
                                                    <w:left w:val="none" w:sz="0" w:space="0" w:color="auto"/>
                                                    <w:bottom w:val="none" w:sz="0" w:space="0" w:color="auto"/>
                                                    <w:right w:val="none" w:sz="0" w:space="0" w:color="auto"/>
                                                  </w:divBdr>
                                                  <w:divsChild>
                                                    <w:div w:id="156332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7729">
                                      <w:marLeft w:val="0"/>
                                      <w:marRight w:val="0"/>
                                      <w:marTop w:val="0"/>
                                      <w:marBottom w:val="0"/>
                                      <w:divBdr>
                                        <w:top w:val="none" w:sz="0" w:space="0" w:color="auto"/>
                                        <w:left w:val="none" w:sz="0" w:space="0" w:color="auto"/>
                                        <w:bottom w:val="none" w:sz="0" w:space="0" w:color="auto"/>
                                        <w:right w:val="none" w:sz="0" w:space="0" w:color="auto"/>
                                      </w:divBdr>
                                    </w:div>
                                  </w:divsChild>
                                </w:div>
                                <w:div w:id="827015932">
                                  <w:marLeft w:val="0"/>
                                  <w:marRight w:val="0"/>
                                  <w:marTop w:val="0"/>
                                  <w:marBottom w:val="0"/>
                                  <w:divBdr>
                                    <w:top w:val="none" w:sz="0" w:space="0" w:color="auto"/>
                                    <w:left w:val="none" w:sz="0" w:space="0" w:color="auto"/>
                                    <w:bottom w:val="none" w:sz="0" w:space="0" w:color="auto"/>
                                    <w:right w:val="none" w:sz="0" w:space="0" w:color="auto"/>
                                  </w:divBdr>
                                  <w:divsChild>
                                    <w:div w:id="12584308">
                                      <w:marLeft w:val="0"/>
                                      <w:marRight w:val="0"/>
                                      <w:marTop w:val="0"/>
                                      <w:marBottom w:val="0"/>
                                      <w:divBdr>
                                        <w:top w:val="none" w:sz="0" w:space="0" w:color="auto"/>
                                        <w:left w:val="none" w:sz="0" w:space="0" w:color="auto"/>
                                        <w:bottom w:val="none" w:sz="0" w:space="0" w:color="auto"/>
                                        <w:right w:val="none" w:sz="0" w:space="0" w:color="auto"/>
                                      </w:divBdr>
                                      <w:divsChild>
                                        <w:div w:id="1946570330">
                                          <w:marLeft w:val="0"/>
                                          <w:marRight w:val="0"/>
                                          <w:marTop w:val="0"/>
                                          <w:marBottom w:val="0"/>
                                          <w:divBdr>
                                            <w:top w:val="none" w:sz="0" w:space="0" w:color="auto"/>
                                            <w:left w:val="none" w:sz="0" w:space="0" w:color="auto"/>
                                            <w:bottom w:val="none" w:sz="0" w:space="0" w:color="auto"/>
                                            <w:right w:val="none" w:sz="0" w:space="0" w:color="auto"/>
                                          </w:divBdr>
                                          <w:divsChild>
                                            <w:div w:id="1216157414">
                                              <w:marLeft w:val="0"/>
                                              <w:marRight w:val="0"/>
                                              <w:marTop w:val="0"/>
                                              <w:marBottom w:val="0"/>
                                              <w:divBdr>
                                                <w:top w:val="single" w:sz="6" w:space="0" w:color="CDCDCD"/>
                                                <w:left w:val="single" w:sz="6" w:space="0" w:color="CDCDCD"/>
                                                <w:bottom w:val="single" w:sz="6" w:space="0" w:color="CDCDCD"/>
                                                <w:right w:val="single" w:sz="6" w:space="0" w:color="CDCDCD"/>
                                              </w:divBdr>
                                              <w:divsChild>
                                                <w:div w:id="312761589">
                                                  <w:marLeft w:val="0"/>
                                                  <w:marRight w:val="0"/>
                                                  <w:marTop w:val="0"/>
                                                  <w:marBottom w:val="0"/>
                                                  <w:divBdr>
                                                    <w:top w:val="none" w:sz="0" w:space="0" w:color="auto"/>
                                                    <w:left w:val="none" w:sz="0" w:space="0" w:color="auto"/>
                                                    <w:bottom w:val="none" w:sz="0" w:space="0" w:color="auto"/>
                                                    <w:right w:val="none" w:sz="0" w:space="0" w:color="auto"/>
                                                  </w:divBdr>
                                                  <w:divsChild>
                                                    <w:div w:id="296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01609">
                                      <w:marLeft w:val="0"/>
                                      <w:marRight w:val="0"/>
                                      <w:marTop w:val="0"/>
                                      <w:marBottom w:val="0"/>
                                      <w:divBdr>
                                        <w:top w:val="none" w:sz="0" w:space="0" w:color="auto"/>
                                        <w:left w:val="none" w:sz="0" w:space="0" w:color="auto"/>
                                        <w:bottom w:val="none" w:sz="0" w:space="0" w:color="auto"/>
                                        <w:right w:val="none" w:sz="0" w:space="0" w:color="auto"/>
                                      </w:divBdr>
                                    </w:div>
                                  </w:divsChild>
                                </w:div>
                                <w:div w:id="1055204000">
                                  <w:marLeft w:val="0"/>
                                  <w:marRight w:val="0"/>
                                  <w:marTop w:val="0"/>
                                  <w:marBottom w:val="0"/>
                                  <w:divBdr>
                                    <w:top w:val="none" w:sz="0" w:space="0" w:color="auto"/>
                                    <w:left w:val="none" w:sz="0" w:space="0" w:color="auto"/>
                                    <w:bottom w:val="none" w:sz="0" w:space="0" w:color="auto"/>
                                    <w:right w:val="none" w:sz="0" w:space="0" w:color="auto"/>
                                  </w:divBdr>
                                  <w:divsChild>
                                    <w:div w:id="595483107">
                                      <w:marLeft w:val="0"/>
                                      <w:marRight w:val="0"/>
                                      <w:marTop w:val="0"/>
                                      <w:marBottom w:val="0"/>
                                      <w:divBdr>
                                        <w:top w:val="none" w:sz="0" w:space="0" w:color="auto"/>
                                        <w:left w:val="none" w:sz="0" w:space="0" w:color="auto"/>
                                        <w:bottom w:val="none" w:sz="0" w:space="0" w:color="auto"/>
                                        <w:right w:val="none" w:sz="0" w:space="0" w:color="auto"/>
                                      </w:divBdr>
                                    </w:div>
                                    <w:div w:id="762530105">
                                      <w:marLeft w:val="0"/>
                                      <w:marRight w:val="0"/>
                                      <w:marTop w:val="0"/>
                                      <w:marBottom w:val="0"/>
                                      <w:divBdr>
                                        <w:top w:val="none" w:sz="0" w:space="0" w:color="auto"/>
                                        <w:left w:val="none" w:sz="0" w:space="0" w:color="auto"/>
                                        <w:bottom w:val="none" w:sz="0" w:space="0" w:color="auto"/>
                                        <w:right w:val="none" w:sz="0" w:space="0" w:color="auto"/>
                                      </w:divBdr>
                                      <w:divsChild>
                                        <w:div w:id="110710303">
                                          <w:marLeft w:val="0"/>
                                          <w:marRight w:val="0"/>
                                          <w:marTop w:val="0"/>
                                          <w:marBottom w:val="0"/>
                                          <w:divBdr>
                                            <w:top w:val="none" w:sz="0" w:space="0" w:color="auto"/>
                                            <w:left w:val="none" w:sz="0" w:space="0" w:color="auto"/>
                                            <w:bottom w:val="none" w:sz="0" w:space="0" w:color="auto"/>
                                            <w:right w:val="none" w:sz="0" w:space="0" w:color="auto"/>
                                          </w:divBdr>
                                          <w:divsChild>
                                            <w:div w:id="1092583076">
                                              <w:marLeft w:val="0"/>
                                              <w:marRight w:val="0"/>
                                              <w:marTop w:val="0"/>
                                              <w:marBottom w:val="0"/>
                                              <w:divBdr>
                                                <w:top w:val="single" w:sz="6" w:space="0" w:color="CDCDCD"/>
                                                <w:left w:val="single" w:sz="6" w:space="0" w:color="CDCDCD"/>
                                                <w:bottom w:val="single" w:sz="6" w:space="0" w:color="CDCDCD"/>
                                                <w:right w:val="single" w:sz="6" w:space="0" w:color="CDCDCD"/>
                                              </w:divBdr>
                                              <w:divsChild>
                                                <w:div w:id="1336569402">
                                                  <w:marLeft w:val="0"/>
                                                  <w:marRight w:val="0"/>
                                                  <w:marTop w:val="0"/>
                                                  <w:marBottom w:val="0"/>
                                                  <w:divBdr>
                                                    <w:top w:val="none" w:sz="0" w:space="0" w:color="auto"/>
                                                    <w:left w:val="none" w:sz="0" w:space="0" w:color="auto"/>
                                                    <w:bottom w:val="none" w:sz="0" w:space="0" w:color="auto"/>
                                                    <w:right w:val="none" w:sz="0" w:space="0" w:color="auto"/>
                                                  </w:divBdr>
                                                  <w:divsChild>
                                                    <w:div w:id="21364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564228">
                                  <w:marLeft w:val="0"/>
                                  <w:marRight w:val="0"/>
                                  <w:marTop w:val="0"/>
                                  <w:marBottom w:val="0"/>
                                  <w:divBdr>
                                    <w:top w:val="none" w:sz="0" w:space="0" w:color="auto"/>
                                    <w:left w:val="none" w:sz="0" w:space="0" w:color="auto"/>
                                    <w:bottom w:val="none" w:sz="0" w:space="0" w:color="auto"/>
                                    <w:right w:val="none" w:sz="0" w:space="0" w:color="auto"/>
                                  </w:divBdr>
                                  <w:divsChild>
                                    <w:div w:id="829178321">
                                      <w:marLeft w:val="0"/>
                                      <w:marRight w:val="0"/>
                                      <w:marTop w:val="0"/>
                                      <w:marBottom w:val="0"/>
                                      <w:divBdr>
                                        <w:top w:val="none" w:sz="0" w:space="0" w:color="auto"/>
                                        <w:left w:val="none" w:sz="0" w:space="0" w:color="auto"/>
                                        <w:bottom w:val="none" w:sz="0" w:space="0" w:color="auto"/>
                                        <w:right w:val="none" w:sz="0" w:space="0" w:color="auto"/>
                                      </w:divBdr>
                                    </w:div>
                                    <w:div w:id="908156900">
                                      <w:marLeft w:val="0"/>
                                      <w:marRight w:val="0"/>
                                      <w:marTop w:val="0"/>
                                      <w:marBottom w:val="0"/>
                                      <w:divBdr>
                                        <w:top w:val="none" w:sz="0" w:space="0" w:color="auto"/>
                                        <w:left w:val="none" w:sz="0" w:space="0" w:color="auto"/>
                                        <w:bottom w:val="none" w:sz="0" w:space="0" w:color="auto"/>
                                        <w:right w:val="none" w:sz="0" w:space="0" w:color="auto"/>
                                      </w:divBdr>
                                      <w:divsChild>
                                        <w:div w:id="273950270">
                                          <w:marLeft w:val="0"/>
                                          <w:marRight w:val="0"/>
                                          <w:marTop w:val="0"/>
                                          <w:marBottom w:val="0"/>
                                          <w:divBdr>
                                            <w:top w:val="none" w:sz="0" w:space="0" w:color="auto"/>
                                            <w:left w:val="none" w:sz="0" w:space="0" w:color="auto"/>
                                            <w:bottom w:val="none" w:sz="0" w:space="0" w:color="auto"/>
                                            <w:right w:val="none" w:sz="0" w:space="0" w:color="auto"/>
                                          </w:divBdr>
                                          <w:divsChild>
                                            <w:div w:id="687566923">
                                              <w:marLeft w:val="0"/>
                                              <w:marRight w:val="0"/>
                                              <w:marTop w:val="0"/>
                                              <w:marBottom w:val="0"/>
                                              <w:divBdr>
                                                <w:top w:val="single" w:sz="6" w:space="0" w:color="CDCDCD"/>
                                                <w:left w:val="single" w:sz="6" w:space="0" w:color="CDCDCD"/>
                                                <w:bottom w:val="single" w:sz="6" w:space="0" w:color="CDCDCD"/>
                                                <w:right w:val="single" w:sz="6" w:space="0" w:color="CDCDCD"/>
                                              </w:divBdr>
                                              <w:divsChild>
                                                <w:div w:id="1977030198">
                                                  <w:marLeft w:val="0"/>
                                                  <w:marRight w:val="0"/>
                                                  <w:marTop w:val="0"/>
                                                  <w:marBottom w:val="0"/>
                                                  <w:divBdr>
                                                    <w:top w:val="none" w:sz="0" w:space="0" w:color="auto"/>
                                                    <w:left w:val="none" w:sz="0" w:space="0" w:color="auto"/>
                                                    <w:bottom w:val="none" w:sz="0" w:space="0" w:color="auto"/>
                                                    <w:right w:val="none" w:sz="0" w:space="0" w:color="auto"/>
                                                  </w:divBdr>
                                                  <w:divsChild>
                                                    <w:div w:id="3691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7828">
                                  <w:marLeft w:val="0"/>
                                  <w:marRight w:val="0"/>
                                  <w:marTop w:val="0"/>
                                  <w:marBottom w:val="0"/>
                                  <w:divBdr>
                                    <w:top w:val="none" w:sz="0" w:space="0" w:color="auto"/>
                                    <w:left w:val="none" w:sz="0" w:space="0" w:color="auto"/>
                                    <w:bottom w:val="none" w:sz="0" w:space="0" w:color="auto"/>
                                    <w:right w:val="none" w:sz="0" w:space="0" w:color="auto"/>
                                  </w:divBdr>
                                  <w:divsChild>
                                    <w:div w:id="1760981128">
                                      <w:marLeft w:val="0"/>
                                      <w:marRight w:val="0"/>
                                      <w:marTop w:val="0"/>
                                      <w:marBottom w:val="0"/>
                                      <w:divBdr>
                                        <w:top w:val="none" w:sz="0" w:space="0" w:color="auto"/>
                                        <w:left w:val="none" w:sz="0" w:space="0" w:color="auto"/>
                                        <w:bottom w:val="none" w:sz="0" w:space="0" w:color="auto"/>
                                        <w:right w:val="none" w:sz="0" w:space="0" w:color="auto"/>
                                      </w:divBdr>
                                    </w:div>
                                    <w:div w:id="1926915291">
                                      <w:marLeft w:val="0"/>
                                      <w:marRight w:val="0"/>
                                      <w:marTop w:val="0"/>
                                      <w:marBottom w:val="0"/>
                                      <w:divBdr>
                                        <w:top w:val="none" w:sz="0" w:space="0" w:color="auto"/>
                                        <w:left w:val="none" w:sz="0" w:space="0" w:color="auto"/>
                                        <w:bottom w:val="none" w:sz="0" w:space="0" w:color="auto"/>
                                        <w:right w:val="none" w:sz="0" w:space="0" w:color="auto"/>
                                      </w:divBdr>
                                      <w:divsChild>
                                        <w:div w:id="624388737">
                                          <w:marLeft w:val="0"/>
                                          <w:marRight w:val="0"/>
                                          <w:marTop w:val="0"/>
                                          <w:marBottom w:val="0"/>
                                          <w:divBdr>
                                            <w:top w:val="none" w:sz="0" w:space="0" w:color="auto"/>
                                            <w:left w:val="none" w:sz="0" w:space="0" w:color="auto"/>
                                            <w:bottom w:val="none" w:sz="0" w:space="0" w:color="auto"/>
                                            <w:right w:val="none" w:sz="0" w:space="0" w:color="auto"/>
                                          </w:divBdr>
                                          <w:divsChild>
                                            <w:div w:id="1918007135">
                                              <w:marLeft w:val="0"/>
                                              <w:marRight w:val="0"/>
                                              <w:marTop w:val="0"/>
                                              <w:marBottom w:val="0"/>
                                              <w:divBdr>
                                                <w:top w:val="single" w:sz="6" w:space="0" w:color="CDCDCD"/>
                                                <w:left w:val="single" w:sz="6" w:space="0" w:color="CDCDCD"/>
                                                <w:bottom w:val="single" w:sz="6" w:space="0" w:color="CDCDCD"/>
                                                <w:right w:val="single" w:sz="6" w:space="0" w:color="CDCDCD"/>
                                              </w:divBdr>
                                              <w:divsChild>
                                                <w:div w:id="500661290">
                                                  <w:marLeft w:val="0"/>
                                                  <w:marRight w:val="0"/>
                                                  <w:marTop w:val="0"/>
                                                  <w:marBottom w:val="0"/>
                                                  <w:divBdr>
                                                    <w:top w:val="none" w:sz="0" w:space="0" w:color="auto"/>
                                                    <w:left w:val="none" w:sz="0" w:space="0" w:color="auto"/>
                                                    <w:bottom w:val="none" w:sz="0" w:space="0" w:color="auto"/>
                                                    <w:right w:val="none" w:sz="0" w:space="0" w:color="auto"/>
                                                  </w:divBdr>
                                                  <w:divsChild>
                                                    <w:div w:id="11649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463553">
                                  <w:marLeft w:val="0"/>
                                  <w:marRight w:val="0"/>
                                  <w:marTop w:val="0"/>
                                  <w:marBottom w:val="0"/>
                                  <w:divBdr>
                                    <w:top w:val="none" w:sz="0" w:space="0" w:color="auto"/>
                                    <w:left w:val="none" w:sz="0" w:space="0" w:color="auto"/>
                                    <w:bottom w:val="none" w:sz="0" w:space="0" w:color="auto"/>
                                    <w:right w:val="none" w:sz="0" w:space="0" w:color="auto"/>
                                  </w:divBdr>
                                  <w:divsChild>
                                    <w:div w:id="682241923">
                                      <w:marLeft w:val="0"/>
                                      <w:marRight w:val="0"/>
                                      <w:marTop w:val="0"/>
                                      <w:marBottom w:val="0"/>
                                      <w:divBdr>
                                        <w:top w:val="none" w:sz="0" w:space="0" w:color="auto"/>
                                        <w:left w:val="none" w:sz="0" w:space="0" w:color="auto"/>
                                        <w:bottom w:val="none" w:sz="0" w:space="0" w:color="auto"/>
                                        <w:right w:val="none" w:sz="0" w:space="0" w:color="auto"/>
                                      </w:divBdr>
                                      <w:divsChild>
                                        <w:div w:id="1245336516">
                                          <w:marLeft w:val="0"/>
                                          <w:marRight w:val="0"/>
                                          <w:marTop w:val="0"/>
                                          <w:marBottom w:val="0"/>
                                          <w:divBdr>
                                            <w:top w:val="none" w:sz="0" w:space="0" w:color="auto"/>
                                            <w:left w:val="none" w:sz="0" w:space="0" w:color="auto"/>
                                            <w:bottom w:val="none" w:sz="0" w:space="0" w:color="auto"/>
                                            <w:right w:val="none" w:sz="0" w:space="0" w:color="auto"/>
                                          </w:divBdr>
                                          <w:divsChild>
                                            <w:div w:id="1701397120">
                                              <w:marLeft w:val="0"/>
                                              <w:marRight w:val="0"/>
                                              <w:marTop w:val="0"/>
                                              <w:marBottom w:val="0"/>
                                              <w:divBdr>
                                                <w:top w:val="single" w:sz="6" w:space="0" w:color="CDCDCD"/>
                                                <w:left w:val="single" w:sz="6" w:space="0" w:color="CDCDCD"/>
                                                <w:bottom w:val="single" w:sz="6" w:space="0" w:color="CDCDCD"/>
                                                <w:right w:val="single" w:sz="6" w:space="0" w:color="CDCDCD"/>
                                              </w:divBdr>
                                              <w:divsChild>
                                                <w:div w:id="689262937">
                                                  <w:marLeft w:val="0"/>
                                                  <w:marRight w:val="0"/>
                                                  <w:marTop w:val="0"/>
                                                  <w:marBottom w:val="0"/>
                                                  <w:divBdr>
                                                    <w:top w:val="none" w:sz="0" w:space="0" w:color="auto"/>
                                                    <w:left w:val="none" w:sz="0" w:space="0" w:color="auto"/>
                                                    <w:bottom w:val="none" w:sz="0" w:space="0" w:color="auto"/>
                                                    <w:right w:val="none" w:sz="0" w:space="0" w:color="auto"/>
                                                  </w:divBdr>
                                                  <w:divsChild>
                                                    <w:div w:id="7050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7210">
                                      <w:marLeft w:val="0"/>
                                      <w:marRight w:val="0"/>
                                      <w:marTop w:val="0"/>
                                      <w:marBottom w:val="0"/>
                                      <w:divBdr>
                                        <w:top w:val="none" w:sz="0" w:space="0" w:color="auto"/>
                                        <w:left w:val="none" w:sz="0" w:space="0" w:color="auto"/>
                                        <w:bottom w:val="none" w:sz="0" w:space="0" w:color="auto"/>
                                        <w:right w:val="none" w:sz="0" w:space="0" w:color="auto"/>
                                      </w:divBdr>
                                    </w:div>
                                  </w:divsChild>
                                </w:div>
                                <w:div w:id="1767724753">
                                  <w:marLeft w:val="0"/>
                                  <w:marRight w:val="0"/>
                                  <w:marTop w:val="0"/>
                                  <w:marBottom w:val="0"/>
                                  <w:divBdr>
                                    <w:top w:val="none" w:sz="0" w:space="0" w:color="auto"/>
                                    <w:left w:val="none" w:sz="0" w:space="0" w:color="auto"/>
                                    <w:bottom w:val="none" w:sz="0" w:space="0" w:color="auto"/>
                                    <w:right w:val="none" w:sz="0" w:space="0" w:color="auto"/>
                                  </w:divBdr>
                                  <w:divsChild>
                                    <w:div w:id="461307963">
                                      <w:marLeft w:val="0"/>
                                      <w:marRight w:val="0"/>
                                      <w:marTop w:val="0"/>
                                      <w:marBottom w:val="0"/>
                                      <w:divBdr>
                                        <w:top w:val="none" w:sz="0" w:space="0" w:color="auto"/>
                                        <w:left w:val="none" w:sz="0" w:space="0" w:color="auto"/>
                                        <w:bottom w:val="none" w:sz="0" w:space="0" w:color="auto"/>
                                        <w:right w:val="none" w:sz="0" w:space="0" w:color="auto"/>
                                      </w:divBdr>
                                    </w:div>
                                    <w:div w:id="1064838242">
                                      <w:marLeft w:val="0"/>
                                      <w:marRight w:val="0"/>
                                      <w:marTop w:val="0"/>
                                      <w:marBottom w:val="0"/>
                                      <w:divBdr>
                                        <w:top w:val="none" w:sz="0" w:space="0" w:color="auto"/>
                                        <w:left w:val="none" w:sz="0" w:space="0" w:color="auto"/>
                                        <w:bottom w:val="none" w:sz="0" w:space="0" w:color="auto"/>
                                        <w:right w:val="none" w:sz="0" w:space="0" w:color="auto"/>
                                      </w:divBdr>
                                      <w:divsChild>
                                        <w:div w:id="577398456">
                                          <w:marLeft w:val="0"/>
                                          <w:marRight w:val="0"/>
                                          <w:marTop w:val="0"/>
                                          <w:marBottom w:val="0"/>
                                          <w:divBdr>
                                            <w:top w:val="none" w:sz="0" w:space="0" w:color="auto"/>
                                            <w:left w:val="none" w:sz="0" w:space="0" w:color="auto"/>
                                            <w:bottom w:val="none" w:sz="0" w:space="0" w:color="auto"/>
                                            <w:right w:val="none" w:sz="0" w:space="0" w:color="auto"/>
                                          </w:divBdr>
                                          <w:divsChild>
                                            <w:div w:id="1030765940">
                                              <w:marLeft w:val="0"/>
                                              <w:marRight w:val="0"/>
                                              <w:marTop w:val="0"/>
                                              <w:marBottom w:val="0"/>
                                              <w:divBdr>
                                                <w:top w:val="single" w:sz="6" w:space="0" w:color="CDCDCD"/>
                                                <w:left w:val="single" w:sz="6" w:space="0" w:color="CDCDCD"/>
                                                <w:bottom w:val="single" w:sz="6" w:space="0" w:color="CDCDCD"/>
                                                <w:right w:val="single" w:sz="6" w:space="0" w:color="CDCDCD"/>
                                              </w:divBdr>
                                              <w:divsChild>
                                                <w:div w:id="659886066">
                                                  <w:marLeft w:val="0"/>
                                                  <w:marRight w:val="0"/>
                                                  <w:marTop w:val="0"/>
                                                  <w:marBottom w:val="0"/>
                                                  <w:divBdr>
                                                    <w:top w:val="none" w:sz="0" w:space="0" w:color="auto"/>
                                                    <w:left w:val="none" w:sz="0" w:space="0" w:color="auto"/>
                                                    <w:bottom w:val="none" w:sz="0" w:space="0" w:color="auto"/>
                                                    <w:right w:val="none" w:sz="0" w:space="0" w:color="auto"/>
                                                  </w:divBdr>
                                                  <w:divsChild>
                                                    <w:div w:id="16769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42226">
                                  <w:marLeft w:val="0"/>
                                  <w:marRight w:val="0"/>
                                  <w:marTop w:val="0"/>
                                  <w:marBottom w:val="0"/>
                                  <w:divBdr>
                                    <w:top w:val="none" w:sz="0" w:space="0" w:color="auto"/>
                                    <w:left w:val="none" w:sz="0" w:space="0" w:color="auto"/>
                                    <w:bottom w:val="none" w:sz="0" w:space="0" w:color="auto"/>
                                    <w:right w:val="none" w:sz="0" w:space="0" w:color="auto"/>
                                  </w:divBdr>
                                  <w:divsChild>
                                    <w:div w:id="146435346">
                                      <w:marLeft w:val="0"/>
                                      <w:marRight w:val="0"/>
                                      <w:marTop w:val="0"/>
                                      <w:marBottom w:val="0"/>
                                      <w:divBdr>
                                        <w:top w:val="none" w:sz="0" w:space="0" w:color="auto"/>
                                        <w:left w:val="none" w:sz="0" w:space="0" w:color="auto"/>
                                        <w:bottom w:val="none" w:sz="0" w:space="0" w:color="auto"/>
                                        <w:right w:val="none" w:sz="0" w:space="0" w:color="auto"/>
                                      </w:divBdr>
                                      <w:divsChild>
                                        <w:div w:id="1531213999">
                                          <w:marLeft w:val="0"/>
                                          <w:marRight w:val="0"/>
                                          <w:marTop w:val="0"/>
                                          <w:marBottom w:val="0"/>
                                          <w:divBdr>
                                            <w:top w:val="none" w:sz="0" w:space="0" w:color="auto"/>
                                            <w:left w:val="none" w:sz="0" w:space="0" w:color="auto"/>
                                            <w:bottom w:val="none" w:sz="0" w:space="0" w:color="auto"/>
                                            <w:right w:val="none" w:sz="0" w:space="0" w:color="auto"/>
                                          </w:divBdr>
                                          <w:divsChild>
                                            <w:div w:id="320936107">
                                              <w:marLeft w:val="0"/>
                                              <w:marRight w:val="0"/>
                                              <w:marTop w:val="0"/>
                                              <w:marBottom w:val="0"/>
                                              <w:divBdr>
                                                <w:top w:val="single" w:sz="6" w:space="0" w:color="CDCDCD"/>
                                                <w:left w:val="single" w:sz="6" w:space="0" w:color="CDCDCD"/>
                                                <w:bottom w:val="single" w:sz="6" w:space="0" w:color="CDCDCD"/>
                                                <w:right w:val="single" w:sz="6" w:space="0" w:color="CDCDCD"/>
                                              </w:divBdr>
                                              <w:divsChild>
                                                <w:div w:id="10183541">
                                                  <w:marLeft w:val="0"/>
                                                  <w:marRight w:val="0"/>
                                                  <w:marTop w:val="0"/>
                                                  <w:marBottom w:val="0"/>
                                                  <w:divBdr>
                                                    <w:top w:val="none" w:sz="0" w:space="0" w:color="auto"/>
                                                    <w:left w:val="none" w:sz="0" w:space="0" w:color="auto"/>
                                                    <w:bottom w:val="none" w:sz="0" w:space="0" w:color="auto"/>
                                                    <w:right w:val="none" w:sz="0" w:space="0" w:color="auto"/>
                                                  </w:divBdr>
                                                  <w:divsChild>
                                                    <w:div w:id="20272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03805">
                                      <w:marLeft w:val="0"/>
                                      <w:marRight w:val="0"/>
                                      <w:marTop w:val="0"/>
                                      <w:marBottom w:val="0"/>
                                      <w:divBdr>
                                        <w:top w:val="none" w:sz="0" w:space="0" w:color="auto"/>
                                        <w:left w:val="none" w:sz="0" w:space="0" w:color="auto"/>
                                        <w:bottom w:val="none" w:sz="0" w:space="0" w:color="auto"/>
                                        <w:right w:val="none" w:sz="0" w:space="0" w:color="auto"/>
                                      </w:divBdr>
                                    </w:div>
                                  </w:divsChild>
                                </w:div>
                                <w:div w:id="2041928104">
                                  <w:marLeft w:val="0"/>
                                  <w:marRight w:val="0"/>
                                  <w:marTop w:val="0"/>
                                  <w:marBottom w:val="0"/>
                                  <w:divBdr>
                                    <w:top w:val="none" w:sz="0" w:space="0" w:color="auto"/>
                                    <w:left w:val="none" w:sz="0" w:space="0" w:color="auto"/>
                                    <w:bottom w:val="none" w:sz="0" w:space="0" w:color="auto"/>
                                    <w:right w:val="none" w:sz="0" w:space="0" w:color="auto"/>
                                  </w:divBdr>
                                  <w:divsChild>
                                    <w:div w:id="1109549723">
                                      <w:marLeft w:val="0"/>
                                      <w:marRight w:val="0"/>
                                      <w:marTop w:val="0"/>
                                      <w:marBottom w:val="0"/>
                                      <w:divBdr>
                                        <w:top w:val="none" w:sz="0" w:space="0" w:color="auto"/>
                                        <w:left w:val="none" w:sz="0" w:space="0" w:color="auto"/>
                                        <w:bottom w:val="none" w:sz="0" w:space="0" w:color="auto"/>
                                        <w:right w:val="none" w:sz="0" w:space="0" w:color="auto"/>
                                      </w:divBdr>
                                      <w:divsChild>
                                        <w:div w:id="1975283872">
                                          <w:marLeft w:val="0"/>
                                          <w:marRight w:val="0"/>
                                          <w:marTop w:val="0"/>
                                          <w:marBottom w:val="150"/>
                                          <w:divBdr>
                                            <w:top w:val="none" w:sz="0" w:space="0" w:color="auto"/>
                                            <w:left w:val="none" w:sz="0" w:space="0" w:color="auto"/>
                                            <w:bottom w:val="none" w:sz="0" w:space="0" w:color="auto"/>
                                            <w:right w:val="none" w:sz="0" w:space="0" w:color="auto"/>
                                          </w:divBdr>
                                          <w:divsChild>
                                            <w:div w:id="2130470222">
                                              <w:marLeft w:val="0"/>
                                              <w:marRight w:val="0"/>
                                              <w:marTop w:val="0"/>
                                              <w:marBottom w:val="0"/>
                                              <w:divBdr>
                                                <w:top w:val="single" w:sz="6" w:space="0" w:color="CDCDCD"/>
                                                <w:left w:val="single" w:sz="6" w:space="0" w:color="CDCDCD"/>
                                                <w:bottom w:val="single" w:sz="6" w:space="0" w:color="CDCDCD"/>
                                                <w:right w:val="single" w:sz="6" w:space="0" w:color="CDCDCD"/>
                                              </w:divBdr>
                                              <w:divsChild>
                                                <w:div w:id="337386928">
                                                  <w:marLeft w:val="0"/>
                                                  <w:marRight w:val="0"/>
                                                  <w:marTop w:val="0"/>
                                                  <w:marBottom w:val="0"/>
                                                  <w:divBdr>
                                                    <w:top w:val="none" w:sz="0" w:space="0" w:color="auto"/>
                                                    <w:left w:val="none" w:sz="0" w:space="0" w:color="auto"/>
                                                    <w:bottom w:val="none" w:sz="0" w:space="0" w:color="auto"/>
                                                    <w:right w:val="none" w:sz="0" w:space="0" w:color="auto"/>
                                                  </w:divBdr>
                                                  <w:divsChild>
                                                    <w:div w:id="1629972431">
                                                      <w:marLeft w:val="0"/>
                                                      <w:marRight w:val="0"/>
                                                      <w:marTop w:val="0"/>
                                                      <w:marBottom w:val="0"/>
                                                      <w:divBdr>
                                                        <w:top w:val="none" w:sz="0" w:space="0" w:color="auto"/>
                                                        <w:left w:val="none" w:sz="0" w:space="0" w:color="auto"/>
                                                        <w:bottom w:val="none" w:sz="0" w:space="0" w:color="auto"/>
                                                        <w:right w:val="none" w:sz="0" w:space="0" w:color="auto"/>
                                                      </w:divBdr>
                                                      <w:divsChild>
                                                        <w:div w:id="1190223627">
                                                          <w:marLeft w:val="0"/>
                                                          <w:marRight w:val="0"/>
                                                          <w:marTop w:val="0"/>
                                                          <w:marBottom w:val="0"/>
                                                          <w:divBdr>
                                                            <w:top w:val="none" w:sz="0" w:space="0" w:color="auto"/>
                                                            <w:left w:val="none" w:sz="0" w:space="0" w:color="auto"/>
                                                            <w:bottom w:val="none" w:sz="0" w:space="0" w:color="auto"/>
                                                            <w:right w:val="none" w:sz="0" w:space="0" w:color="auto"/>
                                                          </w:divBdr>
                                                        </w:div>
                                                        <w:div w:id="1581868879">
                                                          <w:marLeft w:val="0"/>
                                                          <w:marRight w:val="0"/>
                                                          <w:marTop w:val="0"/>
                                                          <w:marBottom w:val="0"/>
                                                          <w:divBdr>
                                                            <w:top w:val="none" w:sz="0" w:space="0" w:color="auto"/>
                                                            <w:left w:val="none" w:sz="0" w:space="0" w:color="auto"/>
                                                            <w:bottom w:val="none" w:sz="0" w:space="0" w:color="auto"/>
                                                            <w:right w:val="none" w:sz="0" w:space="0" w:color="auto"/>
                                                          </w:divBdr>
                                                        </w:div>
                                                        <w:div w:id="19965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6901">
                                                  <w:marLeft w:val="0"/>
                                                  <w:marRight w:val="0"/>
                                                  <w:marTop w:val="0"/>
                                                  <w:marBottom w:val="0"/>
                                                  <w:divBdr>
                                                    <w:top w:val="none" w:sz="0" w:space="0" w:color="auto"/>
                                                    <w:left w:val="none" w:sz="0" w:space="0" w:color="auto"/>
                                                    <w:bottom w:val="none" w:sz="0" w:space="0" w:color="auto"/>
                                                    <w:right w:val="none" w:sz="0" w:space="0" w:color="auto"/>
                                                  </w:divBdr>
                                                  <w:divsChild>
                                                    <w:div w:id="21119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861160">
                                  <w:marLeft w:val="0"/>
                                  <w:marRight w:val="0"/>
                                  <w:marTop w:val="0"/>
                                  <w:marBottom w:val="0"/>
                                  <w:divBdr>
                                    <w:top w:val="none" w:sz="0" w:space="0" w:color="auto"/>
                                    <w:left w:val="none" w:sz="0" w:space="0" w:color="auto"/>
                                    <w:bottom w:val="none" w:sz="0" w:space="0" w:color="auto"/>
                                    <w:right w:val="none" w:sz="0" w:space="0" w:color="auto"/>
                                  </w:divBdr>
                                  <w:divsChild>
                                    <w:div w:id="963461346">
                                      <w:marLeft w:val="0"/>
                                      <w:marRight w:val="0"/>
                                      <w:marTop w:val="0"/>
                                      <w:marBottom w:val="0"/>
                                      <w:divBdr>
                                        <w:top w:val="none" w:sz="0" w:space="0" w:color="auto"/>
                                        <w:left w:val="none" w:sz="0" w:space="0" w:color="auto"/>
                                        <w:bottom w:val="none" w:sz="0" w:space="0" w:color="auto"/>
                                        <w:right w:val="none" w:sz="0" w:space="0" w:color="auto"/>
                                      </w:divBdr>
                                    </w:div>
                                    <w:div w:id="1093550565">
                                      <w:marLeft w:val="0"/>
                                      <w:marRight w:val="0"/>
                                      <w:marTop w:val="0"/>
                                      <w:marBottom w:val="0"/>
                                      <w:divBdr>
                                        <w:top w:val="none" w:sz="0" w:space="0" w:color="auto"/>
                                        <w:left w:val="none" w:sz="0" w:space="0" w:color="auto"/>
                                        <w:bottom w:val="none" w:sz="0" w:space="0" w:color="auto"/>
                                        <w:right w:val="none" w:sz="0" w:space="0" w:color="auto"/>
                                      </w:divBdr>
                                      <w:divsChild>
                                        <w:div w:id="1622027359">
                                          <w:marLeft w:val="0"/>
                                          <w:marRight w:val="0"/>
                                          <w:marTop w:val="0"/>
                                          <w:marBottom w:val="0"/>
                                          <w:divBdr>
                                            <w:top w:val="none" w:sz="0" w:space="0" w:color="auto"/>
                                            <w:left w:val="none" w:sz="0" w:space="0" w:color="auto"/>
                                            <w:bottom w:val="none" w:sz="0" w:space="0" w:color="auto"/>
                                            <w:right w:val="none" w:sz="0" w:space="0" w:color="auto"/>
                                          </w:divBdr>
                                          <w:divsChild>
                                            <w:div w:id="1305114478">
                                              <w:marLeft w:val="0"/>
                                              <w:marRight w:val="0"/>
                                              <w:marTop w:val="0"/>
                                              <w:marBottom w:val="0"/>
                                              <w:divBdr>
                                                <w:top w:val="single" w:sz="6" w:space="0" w:color="CDCDCD"/>
                                                <w:left w:val="single" w:sz="6" w:space="0" w:color="CDCDCD"/>
                                                <w:bottom w:val="single" w:sz="6" w:space="0" w:color="CDCDCD"/>
                                                <w:right w:val="single" w:sz="6" w:space="0" w:color="CDCDCD"/>
                                              </w:divBdr>
                                              <w:divsChild>
                                                <w:div w:id="908274353">
                                                  <w:marLeft w:val="0"/>
                                                  <w:marRight w:val="0"/>
                                                  <w:marTop w:val="0"/>
                                                  <w:marBottom w:val="0"/>
                                                  <w:divBdr>
                                                    <w:top w:val="none" w:sz="0" w:space="0" w:color="auto"/>
                                                    <w:left w:val="none" w:sz="0" w:space="0" w:color="auto"/>
                                                    <w:bottom w:val="none" w:sz="0" w:space="0" w:color="auto"/>
                                                    <w:right w:val="none" w:sz="0" w:space="0" w:color="auto"/>
                                                  </w:divBdr>
                                                  <w:divsChild>
                                                    <w:div w:id="9612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1366655">
      <w:bodyDiv w:val="1"/>
      <w:marLeft w:val="0"/>
      <w:marRight w:val="0"/>
      <w:marTop w:val="0"/>
      <w:marBottom w:val="0"/>
      <w:divBdr>
        <w:top w:val="none" w:sz="0" w:space="0" w:color="auto"/>
        <w:left w:val="none" w:sz="0" w:space="0" w:color="auto"/>
        <w:bottom w:val="none" w:sz="0" w:space="0" w:color="auto"/>
        <w:right w:val="none" w:sz="0" w:space="0" w:color="auto"/>
      </w:divBdr>
    </w:div>
    <w:div w:id="807940978">
      <w:bodyDiv w:val="1"/>
      <w:marLeft w:val="0"/>
      <w:marRight w:val="0"/>
      <w:marTop w:val="0"/>
      <w:marBottom w:val="0"/>
      <w:divBdr>
        <w:top w:val="none" w:sz="0" w:space="0" w:color="auto"/>
        <w:left w:val="none" w:sz="0" w:space="0" w:color="auto"/>
        <w:bottom w:val="none" w:sz="0" w:space="0" w:color="auto"/>
        <w:right w:val="none" w:sz="0" w:space="0" w:color="auto"/>
      </w:divBdr>
    </w:div>
    <w:div w:id="828058525">
      <w:bodyDiv w:val="1"/>
      <w:marLeft w:val="0"/>
      <w:marRight w:val="0"/>
      <w:marTop w:val="0"/>
      <w:marBottom w:val="0"/>
      <w:divBdr>
        <w:top w:val="none" w:sz="0" w:space="0" w:color="auto"/>
        <w:left w:val="none" w:sz="0" w:space="0" w:color="auto"/>
        <w:bottom w:val="none" w:sz="0" w:space="0" w:color="auto"/>
        <w:right w:val="none" w:sz="0" w:space="0" w:color="auto"/>
      </w:divBdr>
    </w:div>
    <w:div w:id="842815584">
      <w:bodyDiv w:val="1"/>
      <w:marLeft w:val="0"/>
      <w:marRight w:val="0"/>
      <w:marTop w:val="0"/>
      <w:marBottom w:val="0"/>
      <w:divBdr>
        <w:top w:val="none" w:sz="0" w:space="0" w:color="auto"/>
        <w:left w:val="none" w:sz="0" w:space="0" w:color="auto"/>
        <w:bottom w:val="none" w:sz="0" w:space="0" w:color="auto"/>
        <w:right w:val="none" w:sz="0" w:space="0" w:color="auto"/>
      </w:divBdr>
    </w:div>
    <w:div w:id="857354426">
      <w:bodyDiv w:val="1"/>
      <w:marLeft w:val="0"/>
      <w:marRight w:val="0"/>
      <w:marTop w:val="0"/>
      <w:marBottom w:val="0"/>
      <w:divBdr>
        <w:top w:val="none" w:sz="0" w:space="0" w:color="auto"/>
        <w:left w:val="none" w:sz="0" w:space="0" w:color="auto"/>
        <w:bottom w:val="none" w:sz="0" w:space="0" w:color="auto"/>
        <w:right w:val="none" w:sz="0" w:space="0" w:color="auto"/>
      </w:divBdr>
      <w:divsChild>
        <w:div w:id="27722043">
          <w:marLeft w:val="0"/>
          <w:marRight w:val="0"/>
          <w:marTop w:val="150"/>
          <w:marBottom w:val="0"/>
          <w:divBdr>
            <w:top w:val="none" w:sz="0" w:space="0" w:color="auto"/>
            <w:left w:val="none" w:sz="0" w:space="0" w:color="auto"/>
            <w:bottom w:val="none" w:sz="0" w:space="0" w:color="auto"/>
            <w:right w:val="none" w:sz="0" w:space="0" w:color="auto"/>
          </w:divBdr>
          <w:divsChild>
            <w:div w:id="1740975958">
              <w:marLeft w:val="0"/>
              <w:marRight w:val="0"/>
              <w:marTop w:val="0"/>
              <w:marBottom w:val="0"/>
              <w:divBdr>
                <w:top w:val="none" w:sz="0" w:space="0" w:color="auto"/>
                <w:left w:val="none" w:sz="0" w:space="0" w:color="auto"/>
                <w:bottom w:val="none" w:sz="0" w:space="0" w:color="auto"/>
                <w:right w:val="none" w:sz="0" w:space="0" w:color="auto"/>
              </w:divBdr>
            </w:div>
          </w:divsChild>
        </w:div>
        <w:div w:id="1058091818">
          <w:marLeft w:val="0"/>
          <w:marRight w:val="0"/>
          <w:marTop w:val="300"/>
          <w:marBottom w:val="420"/>
          <w:divBdr>
            <w:top w:val="none" w:sz="0" w:space="0" w:color="auto"/>
            <w:left w:val="none" w:sz="0" w:space="0" w:color="auto"/>
            <w:bottom w:val="none" w:sz="0" w:space="0" w:color="auto"/>
            <w:right w:val="none" w:sz="0" w:space="0" w:color="auto"/>
          </w:divBdr>
          <w:divsChild>
            <w:div w:id="1420759820">
              <w:marLeft w:val="0"/>
              <w:marRight w:val="0"/>
              <w:marTop w:val="150"/>
              <w:marBottom w:val="0"/>
              <w:divBdr>
                <w:top w:val="none" w:sz="0" w:space="0" w:color="auto"/>
                <w:left w:val="none" w:sz="0" w:space="0" w:color="auto"/>
                <w:bottom w:val="none" w:sz="0" w:space="0" w:color="auto"/>
                <w:right w:val="none" w:sz="0" w:space="0" w:color="auto"/>
              </w:divBdr>
              <w:divsChild>
                <w:div w:id="806820538">
                  <w:marLeft w:val="0"/>
                  <w:marRight w:val="0"/>
                  <w:marTop w:val="0"/>
                  <w:marBottom w:val="0"/>
                  <w:divBdr>
                    <w:top w:val="none" w:sz="0" w:space="0" w:color="auto"/>
                    <w:left w:val="none" w:sz="0" w:space="0" w:color="auto"/>
                    <w:bottom w:val="none" w:sz="0" w:space="0" w:color="auto"/>
                    <w:right w:val="none" w:sz="0" w:space="0" w:color="auto"/>
                  </w:divBdr>
                  <w:divsChild>
                    <w:div w:id="1148012050">
                      <w:marLeft w:val="0"/>
                      <w:marRight w:val="0"/>
                      <w:marTop w:val="0"/>
                      <w:marBottom w:val="0"/>
                      <w:divBdr>
                        <w:top w:val="none" w:sz="0" w:space="0" w:color="auto"/>
                        <w:left w:val="none" w:sz="0" w:space="0" w:color="auto"/>
                        <w:bottom w:val="none" w:sz="0" w:space="0" w:color="auto"/>
                        <w:right w:val="none" w:sz="0" w:space="0" w:color="auto"/>
                      </w:divBdr>
                      <w:divsChild>
                        <w:div w:id="55057355">
                          <w:marLeft w:val="0"/>
                          <w:marRight w:val="0"/>
                          <w:marTop w:val="0"/>
                          <w:marBottom w:val="0"/>
                          <w:divBdr>
                            <w:top w:val="none" w:sz="0" w:space="0" w:color="auto"/>
                            <w:left w:val="none" w:sz="0" w:space="0" w:color="auto"/>
                            <w:bottom w:val="none" w:sz="0" w:space="0" w:color="auto"/>
                            <w:right w:val="none" w:sz="0" w:space="0" w:color="auto"/>
                          </w:divBdr>
                          <w:divsChild>
                            <w:div w:id="406462998">
                              <w:marLeft w:val="0"/>
                              <w:marRight w:val="0"/>
                              <w:marTop w:val="180"/>
                              <w:marBottom w:val="180"/>
                              <w:divBdr>
                                <w:top w:val="none" w:sz="0" w:space="0" w:color="auto"/>
                                <w:left w:val="none" w:sz="0" w:space="0" w:color="auto"/>
                                <w:bottom w:val="none" w:sz="0" w:space="0" w:color="auto"/>
                                <w:right w:val="none" w:sz="0" w:space="0" w:color="auto"/>
                              </w:divBdr>
                            </w:div>
                            <w:div w:id="725639726">
                              <w:marLeft w:val="0"/>
                              <w:marRight w:val="0"/>
                              <w:marTop w:val="0"/>
                              <w:marBottom w:val="0"/>
                              <w:divBdr>
                                <w:top w:val="single" w:sz="6" w:space="23" w:color="CECECE"/>
                                <w:left w:val="single" w:sz="6" w:space="23" w:color="CECECE"/>
                                <w:bottom w:val="single" w:sz="6" w:space="23" w:color="CECECE"/>
                                <w:right w:val="single" w:sz="6" w:space="23" w:color="CECECE"/>
                              </w:divBdr>
                              <w:divsChild>
                                <w:div w:id="846093036">
                                  <w:marLeft w:val="0"/>
                                  <w:marRight w:val="0"/>
                                  <w:marTop w:val="0"/>
                                  <w:marBottom w:val="0"/>
                                  <w:divBdr>
                                    <w:top w:val="none" w:sz="0" w:space="0" w:color="auto"/>
                                    <w:left w:val="none" w:sz="0" w:space="0" w:color="auto"/>
                                    <w:bottom w:val="none" w:sz="0" w:space="0" w:color="auto"/>
                                    <w:right w:val="none" w:sz="0" w:space="0" w:color="auto"/>
                                  </w:divBdr>
                                </w:div>
                                <w:div w:id="1477650006">
                                  <w:marLeft w:val="0"/>
                                  <w:marRight w:val="0"/>
                                  <w:marTop w:val="0"/>
                                  <w:marBottom w:val="0"/>
                                  <w:divBdr>
                                    <w:top w:val="none" w:sz="0" w:space="0" w:color="auto"/>
                                    <w:left w:val="none" w:sz="0" w:space="0" w:color="auto"/>
                                    <w:bottom w:val="none" w:sz="0" w:space="0" w:color="auto"/>
                                    <w:right w:val="none" w:sz="0" w:space="0" w:color="auto"/>
                                  </w:divBdr>
                                  <w:divsChild>
                                    <w:div w:id="1765490244">
                                      <w:marLeft w:val="0"/>
                                      <w:marRight w:val="0"/>
                                      <w:marTop w:val="0"/>
                                      <w:marBottom w:val="0"/>
                                      <w:divBdr>
                                        <w:top w:val="none" w:sz="0" w:space="0" w:color="auto"/>
                                        <w:left w:val="none" w:sz="0" w:space="0" w:color="auto"/>
                                        <w:bottom w:val="none" w:sz="0" w:space="0" w:color="auto"/>
                                        <w:right w:val="none" w:sz="0" w:space="0" w:color="auto"/>
                                      </w:divBdr>
                                      <w:divsChild>
                                        <w:div w:id="755320069">
                                          <w:marLeft w:val="0"/>
                                          <w:marRight w:val="0"/>
                                          <w:marTop w:val="0"/>
                                          <w:marBottom w:val="0"/>
                                          <w:divBdr>
                                            <w:top w:val="none" w:sz="0" w:space="0" w:color="auto"/>
                                            <w:left w:val="none" w:sz="0" w:space="0" w:color="auto"/>
                                            <w:bottom w:val="none" w:sz="0" w:space="0" w:color="auto"/>
                                            <w:right w:val="none" w:sz="0" w:space="0" w:color="auto"/>
                                          </w:divBdr>
                                          <w:divsChild>
                                            <w:div w:id="59417105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698885">
                              <w:marLeft w:val="0"/>
                              <w:marRight w:val="0"/>
                              <w:marTop w:val="225"/>
                              <w:marBottom w:val="3600"/>
                              <w:divBdr>
                                <w:top w:val="single" w:sz="6" w:space="0" w:color="CDCDCD"/>
                                <w:left w:val="single" w:sz="6" w:space="8" w:color="CDCDCD"/>
                                <w:bottom w:val="single" w:sz="6" w:space="4" w:color="CDCDCD"/>
                                <w:right w:val="single" w:sz="6" w:space="8" w:color="CDCDCD"/>
                              </w:divBdr>
                              <w:divsChild>
                                <w:div w:id="493107436">
                                  <w:marLeft w:val="0"/>
                                  <w:marRight w:val="0"/>
                                  <w:marTop w:val="0"/>
                                  <w:marBottom w:val="0"/>
                                  <w:divBdr>
                                    <w:top w:val="none" w:sz="0" w:space="0" w:color="auto"/>
                                    <w:left w:val="none" w:sz="0" w:space="0" w:color="auto"/>
                                    <w:bottom w:val="none" w:sz="0" w:space="0" w:color="auto"/>
                                    <w:right w:val="none" w:sz="0" w:space="0" w:color="auto"/>
                                  </w:divBdr>
                                  <w:divsChild>
                                    <w:div w:id="1465344308">
                                      <w:marLeft w:val="0"/>
                                      <w:marRight w:val="0"/>
                                      <w:marTop w:val="0"/>
                                      <w:marBottom w:val="0"/>
                                      <w:divBdr>
                                        <w:top w:val="none" w:sz="0" w:space="0" w:color="auto"/>
                                        <w:left w:val="none" w:sz="0" w:space="0" w:color="auto"/>
                                        <w:bottom w:val="none" w:sz="0" w:space="0" w:color="auto"/>
                                        <w:right w:val="none" w:sz="0" w:space="0" w:color="auto"/>
                                      </w:divBdr>
                                      <w:divsChild>
                                        <w:div w:id="46923855">
                                          <w:marLeft w:val="0"/>
                                          <w:marRight w:val="0"/>
                                          <w:marTop w:val="0"/>
                                          <w:marBottom w:val="0"/>
                                          <w:divBdr>
                                            <w:top w:val="none" w:sz="0" w:space="0" w:color="auto"/>
                                            <w:left w:val="none" w:sz="0" w:space="0" w:color="auto"/>
                                            <w:bottom w:val="none" w:sz="0" w:space="0" w:color="auto"/>
                                            <w:right w:val="none" w:sz="0" w:space="0" w:color="auto"/>
                                          </w:divBdr>
                                          <w:divsChild>
                                            <w:div w:id="1456408163">
                                              <w:marLeft w:val="0"/>
                                              <w:marRight w:val="0"/>
                                              <w:marTop w:val="0"/>
                                              <w:marBottom w:val="0"/>
                                              <w:divBdr>
                                                <w:top w:val="none" w:sz="0" w:space="0" w:color="auto"/>
                                                <w:left w:val="none" w:sz="0" w:space="0" w:color="auto"/>
                                                <w:bottom w:val="none" w:sz="0" w:space="0" w:color="auto"/>
                                                <w:right w:val="none" w:sz="0" w:space="0" w:color="auto"/>
                                              </w:divBdr>
                                            </w:div>
                                          </w:divsChild>
                                        </w:div>
                                        <w:div w:id="94709793">
                                          <w:marLeft w:val="0"/>
                                          <w:marRight w:val="0"/>
                                          <w:marTop w:val="0"/>
                                          <w:marBottom w:val="0"/>
                                          <w:divBdr>
                                            <w:top w:val="single" w:sz="6" w:space="0" w:color="CECECE"/>
                                            <w:left w:val="single" w:sz="6" w:space="0" w:color="CECECE"/>
                                            <w:bottom w:val="single" w:sz="6" w:space="0" w:color="CECECE"/>
                                            <w:right w:val="single" w:sz="6" w:space="0" w:color="CECECE"/>
                                          </w:divBdr>
                                          <w:divsChild>
                                            <w:div w:id="17051240">
                                              <w:marLeft w:val="0"/>
                                              <w:marRight w:val="0"/>
                                              <w:marTop w:val="0"/>
                                              <w:marBottom w:val="0"/>
                                              <w:divBdr>
                                                <w:top w:val="none" w:sz="0" w:space="0" w:color="auto"/>
                                                <w:left w:val="none" w:sz="0" w:space="0" w:color="auto"/>
                                                <w:bottom w:val="none" w:sz="0" w:space="0" w:color="auto"/>
                                                <w:right w:val="none" w:sz="0" w:space="0" w:color="auto"/>
                                              </w:divBdr>
                                            </w:div>
                                            <w:div w:id="19136896">
                                              <w:marLeft w:val="0"/>
                                              <w:marRight w:val="0"/>
                                              <w:marTop w:val="0"/>
                                              <w:marBottom w:val="0"/>
                                              <w:divBdr>
                                                <w:top w:val="none" w:sz="0" w:space="0" w:color="auto"/>
                                                <w:left w:val="none" w:sz="0" w:space="0" w:color="auto"/>
                                                <w:bottom w:val="none" w:sz="0" w:space="0" w:color="auto"/>
                                                <w:right w:val="none" w:sz="0" w:space="0" w:color="auto"/>
                                              </w:divBdr>
                                            </w:div>
                                            <w:div w:id="29038485">
                                              <w:marLeft w:val="0"/>
                                              <w:marRight w:val="0"/>
                                              <w:marTop w:val="0"/>
                                              <w:marBottom w:val="0"/>
                                              <w:divBdr>
                                                <w:top w:val="none" w:sz="0" w:space="0" w:color="auto"/>
                                                <w:left w:val="none" w:sz="0" w:space="0" w:color="auto"/>
                                                <w:bottom w:val="none" w:sz="0" w:space="0" w:color="auto"/>
                                                <w:right w:val="none" w:sz="0" w:space="0" w:color="auto"/>
                                              </w:divBdr>
                                            </w:div>
                                            <w:div w:id="51463549">
                                              <w:marLeft w:val="0"/>
                                              <w:marRight w:val="0"/>
                                              <w:marTop w:val="0"/>
                                              <w:marBottom w:val="0"/>
                                              <w:divBdr>
                                                <w:top w:val="none" w:sz="0" w:space="0" w:color="auto"/>
                                                <w:left w:val="none" w:sz="0" w:space="0" w:color="auto"/>
                                                <w:bottom w:val="none" w:sz="0" w:space="0" w:color="auto"/>
                                                <w:right w:val="none" w:sz="0" w:space="0" w:color="auto"/>
                                              </w:divBdr>
                                            </w:div>
                                            <w:div w:id="54939166">
                                              <w:marLeft w:val="0"/>
                                              <w:marRight w:val="0"/>
                                              <w:marTop w:val="0"/>
                                              <w:marBottom w:val="0"/>
                                              <w:divBdr>
                                                <w:top w:val="none" w:sz="0" w:space="0" w:color="auto"/>
                                                <w:left w:val="none" w:sz="0" w:space="0" w:color="auto"/>
                                                <w:bottom w:val="none" w:sz="0" w:space="0" w:color="auto"/>
                                                <w:right w:val="none" w:sz="0" w:space="0" w:color="auto"/>
                                              </w:divBdr>
                                            </w:div>
                                            <w:div w:id="57215151">
                                              <w:marLeft w:val="0"/>
                                              <w:marRight w:val="0"/>
                                              <w:marTop w:val="0"/>
                                              <w:marBottom w:val="0"/>
                                              <w:divBdr>
                                                <w:top w:val="none" w:sz="0" w:space="0" w:color="auto"/>
                                                <w:left w:val="none" w:sz="0" w:space="0" w:color="auto"/>
                                                <w:bottom w:val="none" w:sz="0" w:space="0" w:color="auto"/>
                                                <w:right w:val="none" w:sz="0" w:space="0" w:color="auto"/>
                                              </w:divBdr>
                                            </w:div>
                                            <w:div w:id="57363112">
                                              <w:marLeft w:val="0"/>
                                              <w:marRight w:val="0"/>
                                              <w:marTop w:val="0"/>
                                              <w:marBottom w:val="0"/>
                                              <w:divBdr>
                                                <w:top w:val="none" w:sz="0" w:space="0" w:color="auto"/>
                                                <w:left w:val="none" w:sz="0" w:space="0" w:color="auto"/>
                                                <w:bottom w:val="none" w:sz="0" w:space="0" w:color="auto"/>
                                                <w:right w:val="none" w:sz="0" w:space="0" w:color="auto"/>
                                              </w:divBdr>
                                            </w:div>
                                            <w:div w:id="59643878">
                                              <w:marLeft w:val="0"/>
                                              <w:marRight w:val="0"/>
                                              <w:marTop w:val="0"/>
                                              <w:marBottom w:val="0"/>
                                              <w:divBdr>
                                                <w:top w:val="none" w:sz="0" w:space="0" w:color="auto"/>
                                                <w:left w:val="none" w:sz="0" w:space="0" w:color="auto"/>
                                                <w:bottom w:val="none" w:sz="0" w:space="0" w:color="auto"/>
                                                <w:right w:val="none" w:sz="0" w:space="0" w:color="auto"/>
                                              </w:divBdr>
                                            </w:div>
                                            <w:div w:id="63653178">
                                              <w:marLeft w:val="0"/>
                                              <w:marRight w:val="0"/>
                                              <w:marTop w:val="0"/>
                                              <w:marBottom w:val="0"/>
                                              <w:divBdr>
                                                <w:top w:val="none" w:sz="0" w:space="0" w:color="auto"/>
                                                <w:left w:val="none" w:sz="0" w:space="0" w:color="auto"/>
                                                <w:bottom w:val="none" w:sz="0" w:space="0" w:color="auto"/>
                                                <w:right w:val="none" w:sz="0" w:space="0" w:color="auto"/>
                                              </w:divBdr>
                                            </w:div>
                                            <w:div w:id="64690928">
                                              <w:marLeft w:val="0"/>
                                              <w:marRight w:val="0"/>
                                              <w:marTop w:val="0"/>
                                              <w:marBottom w:val="0"/>
                                              <w:divBdr>
                                                <w:top w:val="none" w:sz="0" w:space="0" w:color="auto"/>
                                                <w:left w:val="none" w:sz="0" w:space="0" w:color="auto"/>
                                                <w:bottom w:val="none" w:sz="0" w:space="0" w:color="auto"/>
                                                <w:right w:val="none" w:sz="0" w:space="0" w:color="auto"/>
                                              </w:divBdr>
                                            </w:div>
                                            <w:div w:id="67272454">
                                              <w:marLeft w:val="0"/>
                                              <w:marRight w:val="0"/>
                                              <w:marTop w:val="0"/>
                                              <w:marBottom w:val="0"/>
                                              <w:divBdr>
                                                <w:top w:val="none" w:sz="0" w:space="0" w:color="auto"/>
                                                <w:left w:val="none" w:sz="0" w:space="0" w:color="auto"/>
                                                <w:bottom w:val="none" w:sz="0" w:space="0" w:color="auto"/>
                                                <w:right w:val="none" w:sz="0" w:space="0" w:color="auto"/>
                                              </w:divBdr>
                                            </w:div>
                                            <w:div w:id="87624863">
                                              <w:marLeft w:val="0"/>
                                              <w:marRight w:val="0"/>
                                              <w:marTop w:val="0"/>
                                              <w:marBottom w:val="0"/>
                                              <w:divBdr>
                                                <w:top w:val="none" w:sz="0" w:space="0" w:color="auto"/>
                                                <w:left w:val="none" w:sz="0" w:space="0" w:color="auto"/>
                                                <w:bottom w:val="none" w:sz="0" w:space="0" w:color="auto"/>
                                                <w:right w:val="none" w:sz="0" w:space="0" w:color="auto"/>
                                              </w:divBdr>
                                            </w:div>
                                            <w:div w:id="90443753">
                                              <w:marLeft w:val="0"/>
                                              <w:marRight w:val="0"/>
                                              <w:marTop w:val="0"/>
                                              <w:marBottom w:val="0"/>
                                              <w:divBdr>
                                                <w:top w:val="none" w:sz="0" w:space="0" w:color="auto"/>
                                                <w:left w:val="none" w:sz="0" w:space="0" w:color="auto"/>
                                                <w:bottom w:val="none" w:sz="0" w:space="0" w:color="auto"/>
                                                <w:right w:val="none" w:sz="0" w:space="0" w:color="auto"/>
                                              </w:divBdr>
                                            </w:div>
                                            <w:div w:id="90470158">
                                              <w:marLeft w:val="0"/>
                                              <w:marRight w:val="0"/>
                                              <w:marTop w:val="0"/>
                                              <w:marBottom w:val="0"/>
                                              <w:divBdr>
                                                <w:top w:val="none" w:sz="0" w:space="0" w:color="auto"/>
                                                <w:left w:val="none" w:sz="0" w:space="0" w:color="auto"/>
                                                <w:bottom w:val="none" w:sz="0" w:space="0" w:color="auto"/>
                                                <w:right w:val="none" w:sz="0" w:space="0" w:color="auto"/>
                                              </w:divBdr>
                                            </w:div>
                                            <w:div w:id="91782745">
                                              <w:marLeft w:val="0"/>
                                              <w:marRight w:val="0"/>
                                              <w:marTop w:val="0"/>
                                              <w:marBottom w:val="0"/>
                                              <w:divBdr>
                                                <w:top w:val="none" w:sz="0" w:space="0" w:color="auto"/>
                                                <w:left w:val="none" w:sz="0" w:space="0" w:color="auto"/>
                                                <w:bottom w:val="none" w:sz="0" w:space="0" w:color="auto"/>
                                                <w:right w:val="none" w:sz="0" w:space="0" w:color="auto"/>
                                              </w:divBdr>
                                            </w:div>
                                            <w:div w:id="100616069">
                                              <w:marLeft w:val="0"/>
                                              <w:marRight w:val="0"/>
                                              <w:marTop w:val="0"/>
                                              <w:marBottom w:val="0"/>
                                              <w:divBdr>
                                                <w:top w:val="none" w:sz="0" w:space="0" w:color="auto"/>
                                                <w:left w:val="none" w:sz="0" w:space="0" w:color="auto"/>
                                                <w:bottom w:val="none" w:sz="0" w:space="0" w:color="auto"/>
                                                <w:right w:val="none" w:sz="0" w:space="0" w:color="auto"/>
                                              </w:divBdr>
                                            </w:div>
                                            <w:div w:id="113600550">
                                              <w:marLeft w:val="0"/>
                                              <w:marRight w:val="0"/>
                                              <w:marTop w:val="0"/>
                                              <w:marBottom w:val="0"/>
                                              <w:divBdr>
                                                <w:top w:val="none" w:sz="0" w:space="0" w:color="auto"/>
                                                <w:left w:val="none" w:sz="0" w:space="0" w:color="auto"/>
                                                <w:bottom w:val="none" w:sz="0" w:space="0" w:color="auto"/>
                                                <w:right w:val="none" w:sz="0" w:space="0" w:color="auto"/>
                                              </w:divBdr>
                                            </w:div>
                                            <w:div w:id="117724959">
                                              <w:marLeft w:val="0"/>
                                              <w:marRight w:val="0"/>
                                              <w:marTop w:val="0"/>
                                              <w:marBottom w:val="0"/>
                                              <w:divBdr>
                                                <w:top w:val="none" w:sz="0" w:space="0" w:color="auto"/>
                                                <w:left w:val="none" w:sz="0" w:space="0" w:color="auto"/>
                                                <w:bottom w:val="none" w:sz="0" w:space="0" w:color="auto"/>
                                                <w:right w:val="none" w:sz="0" w:space="0" w:color="auto"/>
                                              </w:divBdr>
                                            </w:div>
                                            <w:div w:id="139229203">
                                              <w:marLeft w:val="0"/>
                                              <w:marRight w:val="0"/>
                                              <w:marTop w:val="0"/>
                                              <w:marBottom w:val="0"/>
                                              <w:divBdr>
                                                <w:top w:val="none" w:sz="0" w:space="0" w:color="auto"/>
                                                <w:left w:val="none" w:sz="0" w:space="0" w:color="auto"/>
                                                <w:bottom w:val="none" w:sz="0" w:space="0" w:color="auto"/>
                                                <w:right w:val="none" w:sz="0" w:space="0" w:color="auto"/>
                                              </w:divBdr>
                                            </w:div>
                                            <w:div w:id="146476911">
                                              <w:marLeft w:val="0"/>
                                              <w:marRight w:val="0"/>
                                              <w:marTop w:val="0"/>
                                              <w:marBottom w:val="0"/>
                                              <w:divBdr>
                                                <w:top w:val="none" w:sz="0" w:space="0" w:color="auto"/>
                                                <w:left w:val="none" w:sz="0" w:space="0" w:color="auto"/>
                                                <w:bottom w:val="none" w:sz="0" w:space="0" w:color="auto"/>
                                                <w:right w:val="none" w:sz="0" w:space="0" w:color="auto"/>
                                              </w:divBdr>
                                            </w:div>
                                            <w:div w:id="150296399">
                                              <w:marLeft w:val="0"/>
                                              <w:marRight w:val="0"/>
                                              <w:marTop w:val="0"/>
                                              <w:marBottom w:val="0"/>
                                              <w:divBdr>
                                                <w:top w:val="none" w:sz="0" w:space="0" w:color="auto"/>
                                                <w:left w:val="none" w:sz="0" w:space="0" w:color="auto"/>
                                                <w:bottom w:val="none" w:sz="0" w:space="0" w:color="auto"/>
                                                <w:right w:val="none" w:sz="0" w:space="0" w:color="auto"/>
                                              </w:divBdr>
                                            </w:div>
                                            <w:div w:id="150946797">
                                              <w:marLeft w:val="0"/>
                                              <w:marRight w:val="0"/>
                                              <w:marTop w:val="0"/>
                                              <w:marBottom w:val="0"/>
                                              <w:divBdr>
                                                <w:top w:val="none" w:sz="0" w:space="0" w:color="auto"/>
                                                <w:left w:val="none" w:sz="0" w:space="0" w:color="auto"/>
                                                <w:bottom w:val="none" w:sz="0" w:space="0" w:color="auto"/>
                                                <w:right w:val="none" w:sz="0" w:space="0" w:color="auto"/>
                                              </w:divBdr>
                                            </w:div>
                                            <w:div w:id="152062114">
                                              <w:marLeft w:val="0"/>
                                              <w:marRight w:val="0"/>
                                              <w:marTop w:val="0"/>
                                              <w:marBottom w:val="0"/>
                                              <w:divBdr>
                                                <w:top w:val="none" w:sz="0" w:space="0" w:color="auto"/>
                                                <w:left w:val="none" w:sz="0" w:space="0" w:color="auto"/>
                                                <w:bottom w:val="none" w:sz="0" w:space="0" w:color="auto"/>
                                                <w:right w:val="none" w:sz="0" w:space="0" w:color="auto"/>
                                              </w:divBdr>
                                            </w:div>
                                            <w:div w:id="152718841">
                                              <w:marLeft w:val="0"/>
                                              <w:marRight w:val="0"/>
                                              <w:marTop w:val="0"/>
                                              <w:marBottom w:val="0"/>
                                              <w:divBdr>
                                                <w:top w:val="none" w:sz="0" w:space="0" w:color="auto"/>
                                                <w:left w:val="none" w:sz="0" w:space="0" w:color="auto"/>
                                                <w:bottom w:val="none" w:sz="0" w:space="0" w:color="auto"/>
                                                <w:right w:val="none" w:sz="0" w:space="0" w:color="auto"/>
                                              </w:divBdr>
                                            </w:div>
                                            <w:div w:id="166285766">
                                              <w:marLeft w:val="0"/>
                                              <w:marRight w:val="0"/>
                                              <w:marTop w:val="0"/>
                                              <w:marBottom w:val="0"/>
                                              <w:divBdr>
                                                <w:top w:val="none" w:sz="0" w:space="0" w:color="auto"/>
                                                <w:left w:val="none" w:sz="0" w:space="0" w:color="auto"/>
                                                <w:bottom w:val="none" w:sz="0" w:space="0" w:color="auto"/>
                                                <w:right w:val="none" w:sz="0" w:space="0" w:color="auto"/>
                                              </w:divBdr>
                                            </w:div>
                                            <w:div w:id="182482446">
                                              <w:marLeft w:val="0"/>
                                              <w:marRight w:val="0"/>
                                              <w:marTop w:val="0"/>
                                              <w:marBottom w:val="0"/>
                                              <w:divBdr>
                                                <w:top w:val="none" w:sz="0" w:space="0" w:color="auto"/>
                                                <w:left w:val="none" w:sz="0" w:space="0" w:color="auto"/>
                                                <w:bottom w:val="none" w:sz="0" w:space="0" w:color="auto"/>
                                                <w:right w:val="none" w:sz="0" w:space="0" w:color="auto"/>
                                              </w:divBdr>
                                            </w:div>
                                            <w:div w:id="193034831">
                                              <w:marLeft w:val="0"/>
                                              <w:marRight w:val="0"/>
                                              <w:marTop w:val="0"/>
                                              <w:marBottom w:val="0"/>
                                              <w:divBdr>
                                                <w:top w:val="none" w:sz="0" w:space="0" w:color="auto"/>
                                                <w:left w:val="none" w:sz="0" w:space="0" w:color="auto"/>
                                                <w:bottom w:val="none" w:sz="0" w:space="0" w:color="auto"/>
                                                <w:right w:val="none" w:sz="0" w:space="0" w:color="auto"/>
                                              </w:divBdr>
                                            </w:div>
                                            <w:div w:id="198901951">
                                              <w:marLeft w:val="0"/>
                                              <w:marRight w:val="0"/>
                                              <w:marTop w:val="0"/>
                                              <w:marBottom w:val="0"/>
                                              <w:divBdr>
                                                <w:top w:val="none" w:sz="0" w:space="0" w:color="auto"/>
                                                <w:left w:val="none" w:sz="0" w:space="0" w:color="auto"/>
                                                <w:bottom w:val="none" w:sz="0" w:space="0" w:color="auto"/>
                                                <w:right w:val="none" w:sz="0" w:space="0" w:color="auto"/>
                                              </w:divBdr>
                                            </w:div>
                                            <w:div w:id="200360413">
                                              <w:marLeft w:val="0"/>
                                              <w:marRight w:val="0"/>
                                              <w:marTop w:val="0"/>
                                              <w:marBottom w:val="0"/>
                                              <w:divBdr>
                                                <w:top w:val="none" w:sz="0" w:space="0" w:color="auto"/>
                                                <w:left w:val="none" w:sz="0" w:space="0" w:color="auto"/>
                                                <w:bottom w:val="none" w:sz="0" w:space="0" w:color="auto"/>
                                                <w:right w:val="none" w:sz="0" w:space="0" w:color="auto"/>
                                              </w:divBdr>
                                            </w:div>
                                            <w:div w:id="206529546">
                                              <w:marLeft w:val="0"/>
                                              <w:marRight w:val="0"/>
                                              <w:marTop w:val="0"/>
                                              <w:marBottom w:val="0"/>
                                              <w:divBdr>
                                                <w:top w:val="none" w:sz="0" w:space="0" w:color="auto"/>
                                                <w:left w:val="none" w:sz="0" w:space="0" w:color="auto"/>
                                                <w:bottom w:val="none" w:sz="0" w:space="0" w:color="auto"/>
                                                <w:right w:val="none" w:sz="0" w:space="0" w:color="auto"/>
                                              </w:divBdr>
                                            </w:div>
                                            <w:div w:id="208031611">
                                              <w:marLeft w:val="0"/>
                                              <w:marRight w:val="0"/>
                                              <w:marTop w:val="0"/>
                                              <w:marBottom w:val="0"/>
                                              <w:divBdr>
                                                <w:top w:val="none" w:sz="0" w:space="0" w:color="auto"/>
                                                <w:left w:val="none" w:sz="0" w:space="0" w:color="auto"/>
                                                <w:bottom w:val="none" w:sz="0" w:space="0" w:color="auto"/>
                                                <w:right w:val="none" w:sz="0" w:space="0" w:color="auto"/>
                                              </w:divBdr>
                                            </w:div>
                                            <w:div w:id="212351827">
                                              <w:marLeft w:val="0"/>
                                              <w:marRight w:val="0"/>
                                              <w:marTop w:val="0"/>
                                              <w:marBottom w:val="0"/>
                                              <w:divBdr>
                                                <w:top w:val="none" w:sz="0" w:space="0" w:color="auto"/>
                                                <w:left w:val="none" w:sz="0" w:space="0" w:color="auto"/>
                                                <w:bottom w:val="none" w:sz="0" w:space="0" w:color="auto"/>
                                                <w:right w:val="none" w:sz="0" w:space="0" w:color="auto"/>
                                              </w:divBdr>
                                            </w:div>
                                            <w:div w:id="220290205">
                                              <w:marLeft w:val="0"/>
                                              <w:marRight w:val="0"/>
                                              <w:marTop w:val="0"/>
                                              <w:marBottom w:val="0"/>
                                              <w:divBdr>
                                                <w:top w:val="none" w:sz="0" w:space="0" w:color="auto"/>
                                                <w:left w:val="none" w:sz="0" w:space="0" w:color="auto"/>
                                                <w:bottom w:val="none" w:sz="0" w:space="0" w:color="auto"/>
                                                <w:right w:val="none" w:sz="0" w:space="0" w:color="auto"/>
                                              </w:divBdr>
                                            </w:div>
                                            <w:div w:id="220797057">
                                              <w:marLeft w:val="0"/>
                                              <w:marRight w:val="0"/>
                                              <w:marTop w:val="0"/>
                                              <w:marBottom w:val="0"/>
                                              <w:divBdr>
                                                <w:top w:val="none" w:sz="0" w:space="0" w:color="auto"/>
                                                <w:left w:val="none" w:sz="0" w:space="0" w:color="auto"/>
                                                <w:bottom w:val="none" w:sz="0" w:space="0" w:color="auto"/>
                                                <w:right w:val="none" w:sz="0" w:space="0" w:color="auto"/>
                                              </w:divBdr>
                                            </w:div>
                                            <w:div w:id="221403872">
                                              <w:marLeft w:val="0"/>
                                              <w:marRight w:val="0"/>
                                              <w:marTop w:val="0"/>
                                              <w:marBottom w:val="0"/>
                                              <w:divBdr>
                                                <w:top w:val="none" w:sz="0" w:space="0" w:color="auto"/>
                                                <w:left w:val="none" w:sz="0" w:space="0" w:color="auto"/>
                                                <w:bottom w:val="none" w:sz="0" w:space="0" w:color="auto"/>
                                                <w:right w:val="none" w:sz="0" w:space="0" w:color="auto"/>
                                              </w:divBdr>
                                            </w:div>
                                            <w:div w:id="223763177">
                                              <w:marLeft w:val="0"/>
                                              <w:marRight w:val="0"/>
                                              <w:marTop w:val="0"/>
                                              <w:marBottom w:val="0"/>
                                              <w:divBdr>
                                                <w:top w:val="none" w:sz="0" w:space="0" w:color="auto"/>
                                                <w:left w:val="none" w:sz="0" w:space="0" w:color="auto"/>
                                                <w:bottom w:val="none" w:sz="0" w:space="0" w:color="auto"/>
                                                <w:right w:val="none" w:sz="0" w:space="0" w:color="auto"/>
                                              </w:divBdr>
                                            </w:div>
                                            <w:div w:id="228542835">
                                              <w:marLeft w:val="0"/>
                                              <w:marRight w:val="0"/>
                                              <w:marTop w:val="0"/>
                                              <w:marBottom w:val="0"/>
                                              <w:divBdr>
                                                <w:top w:val="none" w:sz="0" w:space="0" w:color="auto"/>
                                                <w:left w:val="none" w:sz="0" w:space="0" w:color="auto"/>
                                                <w:bottom w:val="none" w:sz="0" w:space="0" w:color="auto"/>
                                                <w:right w:val="none" w:sz="0" w:space="0" w:color="auto"/>
                                              </w:divBdr>
                                            </w:div>
                                            <w:div w:id="238827913">
                                              <w:marLeft w:val="0"/>
                                              <w:marRight w:val="0"/>
                                              <w:marTop w:val="0"/>
                                              <w:marBottom w:val="0"/>
                                              <w:divBdr>
                                                <w:top w:val="none" w:sz="0" w:space="0" w:color="auto"/>
                                                <w:left w:val="none" w:sz="0" w:space="0" w:color="auto"/>
                                                <w:bottom w:val="none" w:sz="0" w:space="0" w:color="auto"/>
                                                <w:right w:val="none" w:sz="0" w:space="0" w:color="auto"/>
                                              </w:divBdr>
                                            </w:div>
                                            <w:div w:id="243420060">
                                              <w:marLeft w:val="0"/>
                                              <w:marRight w:val="0"/>
                                              <w:marTop w:val="0"/>
                                              <w:marBottom w:val="0"/>
                                              <w:divBdr>
                                                <w:top w:val="none" w:sz="0" w:space="0" w:color="auto"/>
                                                <w:left w:val="none" w:sz="0" w:space="0" w:color="auto"/>
                                                <w:bottom w:val="none" w:sz="0" w:space="0" w:color="auto"/>
                                                <w:right w:val="none" w:sz="0" w:space="0" w:color="auto"/>
                                              </w:divBdr>
                                            </w:div>
                                            <w:div w:id="244263951">
                                              <w:marLeft w:val="0"/>
                                              <w:marRight w:val="0"/>
                                              <w:marTop w:val="0"/>
                                              <w:marBottom w:val="0"/>
                                              <w:divBdr>
                                                <w:top w:val="none" w:sz="0" w:space="0" w:color="auto"/>
                                                <w:left w:val="none" w:sz="0" w:space="0" w:color="auto"/>
                                                <w:bottom w:val="none" w:sz="0" w:space="0" w:color="auto"/>
                                                <w:right w:val="none" w:sz="0" w:space="0" w:color="auto"/>
                                              </w:divBdr>
                                            </w:div>
                                            <w:div w:id="244531374">
                                              <w:marLeft w:val="0"/>
                                              <w:marRight w:val="0"/>
                                              <w:marTop w:val="0"/>
                                              <w:marBottom w:val="0"/>
                                              <w:divBdr>
                                                <w:top w:val="none" w:sz="0" w:space="0" w:color="auto"/>
                                                <w:left w:val="none" w:sz="0" w:space="0" w:color="auto"/>
                                                <w:bottom w:val="none" w:sz="0" w:space="0" w:color="auto"/>
                                                <w:right w:val="none" w:sz="0" w:space="0" w:color="auto"/>
                                              </w:divBdr>
                                            </w:div>
                                            <w:div w:id="246772082">
                                              <w:marLeft w:val="0"/>
                                              <w:marRight w:val="0"/>
                                              <w:marTop w:val="0"/>
                                              <w:marBottom w:val="0"/>
                                              <w:divBdr>
                                                <w:top w:val="none" w:sz="0" w:space="0" w:color="auto"/>
                                                <w:left w:val="none" w:sz="0" w:space="0" w:color="auto"/>
                                                <w:bottom w:val="none" w:sz="0" w:space="0" w:color="auto"/>
                                                <w:right w:val="none" w:sz="0" w:space="0" w:color="auto"/>
                                              </w:divBdr>
                                            </w:div>
                                            <w:div w:id="264001492">
                                              <w:marLeft w:val="0"/>
                                              <w:marRight w:val="0"/>
                                              <w:marTop w:val="0"/>
                                              <w:marBottom w:val="0"/>
                                              <w:divBdr>
                                                <w:top w:val="none" w:sz="0" w:space="0" w:color="auto"/>
                                                <w:left w:val="none" w:sz="0" w:space="0" w:color="auto"/>
                                                <w:bottom w:val="none" w:sz="0" w:space="0" w:color="auto"/>
                                                <w:right w:val="none" w:sz="0" w:space="0" w:color="auto"/>
                                              </w:divBdr>
                                            </w:div>
                                            <w:div w:id="268777735">
                                              <w:marLeft w:val="0"/>
                                              <w:marRight w:val="0"/>
                                              <w:marTop w:val="0"/>
                                              <w:marBottom w:val="0"/>
                                              <w:divBdr>
                                                <w:top w:val="none" w:sz="0" w:space="0" w:color="auto"/>
                                                <w:left w:val="none" w:sz="0" w:space="0" w:color="auto"/>
                                                <w:bottom w:val="none" w:sz="0" w:space="0" w:color="auto"/>
                                                <w:right w:val="none" w:sz="0" w:space="0" w:color="auto"/>
                                              </w:divBdr>
                                            </w:div>
                                            <w:div w:id="276759130">
                                              <w:marLeft w:val="0"/>
                                              <w:marRight w:val="0"/>
                                              <w:marTop w:val="0"/>
                                              <w:marBottom w:val="0"/>
                                              <w:divBdr>
                                                <w:top w:val="none" w:sz="0" w:space="0" w:color="auto"/>
                                                <w:left w:val="none" w:sz="0" w:space="0" w:color="auto"/>
                                                <w:bottom w:val="none" w:sz="0" w:space="0" w:color="auto"/>
                                                <w:right w:val="none" w:sz="0" w:space="0" w:color="auto"/>
                                              </w:divBdr>
                                            </w:div>
                                            <w:div w:id="280764113">
                                              <w:marLeft w:val="0"/>
                                              <w:marRight w:val="0"/>
                                              <w:marTop w:val="0"/>
                                              <w:marBottom w:val="0"/>
                                              <w:divBdr>
                                                <w:top w:val="none" w:sz="0" w:space="0" w:color="auto"/>
                                                <w:left w:val="none" w:sz="0" w:space="0" w:color="auto"/>
                                                <w:bottom w:val="none" w:sz="0" w:space="0" w:color="auto"/>
                                                <w:right w:val="none" w:sz="0" w:space="0" w:color="auto"/>
                                              </w:divBdr>
                                            </w:div>
                                            <w:div w:id="281812550">
                                              <w:marLeft w:val="0"/>
                                              <w:marRight w:val="0"/>
                                              <w:marTop w:val="0"/>
                                              <w:marBottom w:val="0"/>
                                              <w:divBdr>
                                                <w:top w:val="none" w:sz="0" w:space="0" w:color="auto"/>
                                                <w:left w:val="none" w:sz="0" w:space="0" w:color="auto"/>
                                                <w:bottom w:val="none" w:sz="0" w:space="0" w:color="auto"/>
                                                <w:right w:val="none" w:sz="0" w:space="0" w:color="auto"/>
                                              </w:divBdr>
                                            </w:div>
                                            <w:div w:id="285476777">
                                              <w:marLeft w:val="0"/>
                                              <w:marRight w:val="0"/>
                                              <w:marTop w:val="0"/>
                                              <w:marBottom w:val="0"/>
                                              <w:divBdr>
                                                <w:top w:val="none" w:sz="0" w:space="0" w:color="auto"/>
                                                <w:left w:val="none" w:sz="0" w:space="0" w:color="auto"/>
                                                <w:bottom w:val="none" w:sz="0" w:space="0" w:color="auto"/>
                                                <w:right w:val="none" w:sz="0" w:space="0" w:color="auto"/>
                                              </w:divBdr>
                                            </w:div>
                                            <w:div w:id="288707709">
                                              <w:marLeft w:val="0"/>
                                              <w:marRight w:val="0"/>
                                              <w:marTop w:val="0"/>
                                              <w:marBottom w:val="0"/>
                                              <w:divBdr>
                                                <w:top w:val="none" w:sz="0" w:space="0" w:color="auto"/>
                                                <w:left w:val="none" w:sz="0" w:space="0" w:color="auto"/>
                                                <w:bottom w:val="none" w:sz="0" w:space="0" w:color="auto"/>
                                                <w:right w:val="none" w:sz="0" w:space="0" w:color="auto"/>
                                              </w:divBdr>
                                            </w:div>
                                            <w:div w:id="311376293">
                                              <w:marLeft w:val="0"/>
                                              <w:marRight w:val="0"/>
                                              <w:marTop w:val="0"/>
                                              <w:marBottom w:val="0"/>
                                              <w:divBdr>
                                                <w:top w:val="none" w:sz="0" w:space="0" w:color="auto"/>
                                                <w:left w:val="none" w:sz="0" w:space="0" w:color="auto"/>
                                                <w:bottom w:val="none" w:sz="0" w:space="0" w:color="auto"/>
                                                <w:right w:val="none" w:sz="0" w:space="0" w:color="auto"/>
                                              </w:divBdr>
                                            </w:div>
                                            <w:div w:id="319115968">
                                              <w:marLeft w:val="0"/>
                                              <w:marRight w:val="0"/>
                                              <w:marTop w:val="0"/>
                                              <w:marBottom w:val="0"/>
                                              <w:divBdr>
                                                <w:top w:val="none" w:sz="0" w:space="0" w:color="auto"/>
                                                <w:left w:val="none" w:sz="0" w:space="0" w:color="auto"/>
                                                <w:bottom w:val="none" w:sz="0" w:space="0" w:color="auto"/>
                                                <w:right w:val="none" w:sz="0" w:space="0" w:color="auto"/>
                                              </w:divBdr>
                                            </w:div>
                                            <w:div w:id="338580083">
                                              <w:marLeft w:val="0"/>
                                              <w:marRight w:val="0"/>
                                              <w:marTop w:val="0"/>
                                              <w:marBottom w:val="0"/>
                                              <w:divBdr>
                                                <w:top w:val="none" w:sz="0" w:space="0" w:color="auto"/>
                                                <w:left w:val="none" w:sz="0" w:space="0" w:color="auto"/>
                                                <w:bottom w:val="none" w:sz="0" w:space="0" w:color="auto"/>
                                                <w:right w:val="none" w:sz="0" w:space="0" w:color="auto"/>
                                              </w:divBdr>
                                            </w:div>
                                            <w:div w:id="339048106">
                                              <w:marLeft w:val="0"/>
                                              <w:marRight w:val="0"/>
                                              <w:marTop w:val="0"/>
                                              <w:marBottom w:val="0"/>
                                              <w:divBdr>
                                                <w:top w:val="none" w:sz="0" w:space="0" w:color="auto"/>
                                                <w:left w:val="none" w:sz="0" w:space="0" w:color="auto"/>
                                                <w:bottom w:val="none" w:sz="0" w:space="0" w:color="auto"/>
                                                <w:right w:val="none" w:sz="0" w:space="0" w:color="auto"/>
                                              </w:divBdr>
                                            </w:div>
                                            <w:div w:id="345640120">
                                              <w:marLeft w:val="0"/>
                                              <w:marRight w:val="0"/>
                                              <w:marTop w:val="0"/>
                                              <w:marBottom w:val="0"/>
                                              <w:divBdr>
                                                <w:top w:val="none" w:sz="0" w:space="0" w:color="auto"/>
                                                <w:left w:val="none" w:sz="0" w:space="0" w:color="auto"/>
                                                <w:bottom w:val="none" w:sz="0" w:space="0" w:color="auto"/>
                                                <w:right w:val="none" w:sz="0" w:space="0" w:color="auto"/>
                                              </w:divBdr>
                                            </w:div>
                                            <w:div w:id="348684090">
                                              <w:marLeft w:val="0"/>
                                              <w:marRight w:val="0"/>
                                              <w:marTop w:val="0"/>
                                              <w:marBottom w:val="0"/>
                                              <w:divBdr>
                                                <w:top w:val="none" w:sz="0" w:space="0" w:color="auto"/>
                                                <w:left w:val="none" w:sz="0" w:space="0" w:color="auto"/>
                                                <w:bottom w:val="none" w:sz="0" w:space="0" w:color="auto"/>
                                                <w:right w:val="none" w:sz="0" w:space="0" w:color="auto"/>
                                              </w:divBdr>
                                            </w:div>
                                            <w:div w:id="370879677">
                                              <w:marLeft w:val="0"/>
                                              <w:marRight w:val="0"/>
                                              <w:marTop w:val="0"/>
                                              <w:marBottom w:val="0"/>
                                              <w:divBdr>
                                                <w:top w:val="none" w:sz="0" w:space="0" w:color="auto"/>
                                                <w:left w:val="none" w:sz="0" w:space="0" w:color="auto"/>
                                                <w:bottom w:val="none" w:sz="0" w:space="0" w:color="auto"/>
                                                <w:right w:val="none" w:sz="0" w:space="0" w:color="auto"/>
                                              </w:divBdr>
                                            </w:div>
                                            <w:div w:id="386997356">
                                              <w:marLeft w:val="0"/>
                                              <w:marRight w:val="0"/>
                                              <w:marTop w:val="0"/>
                                              <w:marBottom w:val="0"/>
                                              <w:divBdr>
                                                <w:top w:val="none" w:sz="0" w:space="0" w:color="auto"/>
                                                <w:left w:val="none" w:sz="0" w:space="0" w:color="auto"/>
                                                <w:bottom w:val="none" w:sz="0" w:space="0" w:color="auto"/>
                                                <w:right w:val="none" w:sz="0" w:space="0" w:color="auto"/>
                                              </w:divBdr>
                                            </w:div>
                                            <w:div w:id="388578903">
                                              <w:marLeft w:val="0"/>
                                              <w:marRight w:val="0"/>
                                              <w:marTop w:val="0"/>
                                              <w:marBottom w:val="0"/>
                                              <w:divBdr>
                                                <w:top w:val="none" w:sz="0" w:space="0" w:color="auto"/>
                                                <w:left w:val="none" w:sz="0" w:space="0" w:color="auto"/>
                                                <w:bottom w:val="none" w:sz="0" w:space="0" w:color="auto"/>
                                                <w:right w:val="none" w:sz="0" w:space="0" w:color="auto"/>
                                              </w:divBdr>
                                            </w:div>
                                            <w:div w:id="395006698">
                                              <w:marLeft w:val="0"/>
                                              <w:marRight w:val="0"/>
                                              <w:marTop w:val="0"/>
                                              <w:marBottom w:val="0"/>
                                              <w:divBdr>
                                                <w:top w:val="none" w:sz="0" w:space="0" w:color="auto"/>
                                                <w:left w:val="none" w:sz="0" w:space="0" w:color="auto"/>
                                                <w:bottom w:val="none" w:sz="0" w:space="0" w:color="auto"/>
                                                <w:right w:val="none" w:sz="0" w:space="0" w:color="auto"/>
                                              </w:divBdr>
                                            </w:div>
                                            <w:div w:id="398672576">
                                              <w:marLeft w:val="0"/>
                                              <w:marRight w:val="0"/>
                                              <w:marTop w:val="0"/>
                                              <w:marBottom w:val="0"/>
                                              <w:divBdr>
                                                <w:top w:val="none" w:sz="0" w:space="0" w:color="auto"/>
                                                <w:left w:val="none" w:sz="0" w:space="0" w:color="auto"/>
                                                <w:bottom w:val="none" w:sz="0" w:space="0" w:color="auto"/>
                                                <w:right w:val="none" w:sz="0" w:space="0" w:color="auto"/>
                                              </w:divBdr>
                                            </w:div>
                                            <w:div w:id="411389155">
                                              <w:marLeft w:val="0"/>
                                              <w:marRight w:val="0"/>
                                              <w:marTop w:val="0"/>
                                              <w:marBottom w:val="0"/>
                                              <w:divBdr>
                                                <w:top w:val="none" w:sz="0" w:space="0" w:color="auto"/>
                                                <w:left w:val="none" w:sz="0" w:space="0" w:color="auto"/>
                                                <w:bottom w:val="none" w:sz="0" w:space="0" w:color="auto"/>
                                                <w:right w:val="none" w:sz="0" w:space="0" w:color="auto"/>
                                              </w:divBdr>
                                            </w:div>
                                            <w:div w:id="411777919">
                                              <w:marLeft w:val="0"/>
                                              <w:marRight w:val="0"/>
                                              <w:marTop w:val="0"/>
                                              <w:marBottom w:val="0"/>
                                              <w:divBdr>
                                                <w:top w:val="none" w:sz="0" w:space="0" w:color="auto"/>
                                                <w:left w:val="none" w:sz="0" w:space="0" w:color="auto"/>
                                                <w:bottom w:val="none" w:sz="0" w:space="0" w:color="auto"/>
                                                <w:right w:val="none" w:sz="0" w:space="0" w:color="auto"/>
                                              </w:divBdr>
                                            </w:div>
                                            <w:div w:id="432477018">
                                              <w:marLeft w:val="0"/>
                                              <w:marRight w:val="0"/>
                                              <w:marTop w:val="0"/>
                                              <w:marBottom w:val="0"/>
                                              <w:divBdr>
                                                <w:top w:val="none" w:sz="0" w:space="0" w:color="auto"/>
                                                <w:left w:val="none" w:sz="0" w:space="0" w:color="auto"/>
                                                <w:bottom w:val="none" w:sz="0" w:space="0" w:color="auto"/>
                                                <w:right w:val="none" w:sz="0" w:space="0" w:color="auto"/>
                                              </w:divBdr>
                                            </w:div>
                                            <w:div w:id="441656851">
                                              <w:marLeft w:val="0"/>
                                              <w:marRight w:val="0"/>
                                              <w:marTop w:val="0"/>
                                              <w:marBottom w:val="0"/>
                                              <w:divBdr>
                                                <w:top w:val="none" w:sz="0" w:space="0" w:color="auto"/>
                                                <w:left w:val="none" w:sz="0" w:space="0" w:color="auto"/>
                                                <w:bottom w:val="none" w:sz="0" w:space="0" w:color="auto"/>
                                                <w:right w:val="none" w:sz="0" w:space="0" w:color="auto"/>
                                              </w:divBdr>
                                            </w:div>
                                            <w:div w:id="443695099">
                                              <w:marLeft w:val="0"/>
                                              <w:marRight w:val="0"/>
                                              <w:marTop w:val="0"/>
                                              <w:marBottom w:val="0"/>
                                              <w:divBdr>
                                                <w:top w:val="none" w:sz="0" w:space="0" w:color="auto"/>
                                                <w:left w:val="none" w:sz="0" w:space="0" w:color="auto"/>
                                                <w:bottom w:val="none" w:sz="0" w:space="0" w:color="auto"/>
                                                <w:right w:val="none" w:sz="0" w:space="0" w:color="auto"/>
                                              </w:divBdr>
                                            </w:div>
                                            <w:div w:id="456601836">
                                              <w:marLeft w:val="0"/>
                                              <w:marRight w:val="0"/>
                                              <w:marTop w:val="0"/>
                                              <w:marBottom w:val="0"/>
                                              <w:divBdr>
                                                <w:top w:val="none" w:sz="0" w:space="0" w:color="auto"/>
                                                <w:left w:val="none" w:sz="0" w:space="0" w:color="auto"/>
                                                <w:bottom w:val="none" w:sz="0" w:space="0" w:color="auto"/>
                                                <w:right w:val="none" w:sz="0" w:space="0" w:color="auto"/>
                                              </w:divBdr>
                                            </w:div>
                                            <w:div w:id="456995810">
                                              <w:marLeft w:val="0"/>
                                              <w:marRight w:val="0"/>
                                              <w:marTop w:val="0"/>
                                              <w:marBottom w:val="0"/>
                                              <w:divBdr>
                                                <w:top w:val="none" w:sz="0" w:space="0" w:color="auto"/>
                                                <w:left w:val="none" w:sz="0" w:space="0" w:color="auto"/>
                                                <w:bottom w:val="none" w:sz="0" w:space="0" w:color="auto"/>
                                                <w:right w:val="none" w:sz="0" w:space="0" w:color="auto"/>
                                              </w:divBdr>
                                            </w:div>
                                            <w:div w:id="457069182">
                                              <w:marLeft w:val="0"/>
                                              <w:marRight w:val="0"/>
                                              <w:marTop w:val="0"/>
                                              <w:marBottom w:val="0"/>
                                              <w:divBdr>
                                                <w:top w:val="none" w:sz="0" w:space="0" w:color="auto"/>
                                                <w:left w:val="none" w:sz="0" w:space="0" w:color="auto"/>
                                                <w:bottom w:val="none" w:sz="0" w:space="0" w:color="auto"/>
                                                <w:right w:val="none" w:sz="0" w:space="0" w:color="auto"/>
                                              </w:divBdr>
                                            </w:div>
                                            <w:div w:id="460149865">
                                              <w:marLeft w:val="0"/>
                                              <w:marRight w:val="0"/>
                                              <w:marTop w:val="0"/>
                                              <w:marBottom w:val="0"/>
                                              <w:divBdr>
                                                <w:top w:val="none" w:sz="0" w:space="0" w:color="auto"/>
                                                <w:left w:val="none" w:sz="0" w:space="0" w:color="auto"/>
                                                <w:bottom w:val="none" w:sz="0" w:space="0" w:color="auto"/>
                                                <w:right w:val="none" w:sz="0" w:space="0" w:color="auto"/>
                                              </w:divBdr>
                                            </w:div>
                                            <w:div w:id="461701996">
                                              <w:marLeft w:val="0"/>
                                              <w:marRight w:val="0"/>
                                              <w:marTop w:val="0"/>
                                              <w:marBottom w:val="0"/>
                                              <w:divBdr>
                                                <w:top w:val="none" w:sz="0" w:space="0" w:color="auto"/>
                                                <w:left w:val="none" w:sz="0" w:space="0" w:color="auto"/>
                                                <w:bottom w:val="none" w:sz="0" w:space="0" w:color="auto"/>
                                                <w:right w:val="none" w:sz="0" w:space="0" w:color="auto"/>
                                              </w:divBdr>
                                            </w:div>
                                            <w:div w:id="462387764">
                                              <w:marLeft w:val="0"/>
                                              <w:marRight w:val="0"/>
                                              <w:marTop w:val="0"/>
                                              <w:marBottom w:val="0"/>
                                              <w:divBdr>
                                                <w:top w:val="none" w:sz="0" w:space="0" w:color="auto"/>
                                                <w:left w:val="none" w:sz="0" w:space="0" w:color="auto"/>
                                                <w:bottom w:val="none" w:sz="0" w:space="0" w:color="auto"/>
                                                <w:right w:val="none" w:sz="0" w:space="0" w:color="auto"/>
                                              </w:divBdr>
                                            </w:div>
                                            <w:div w:id="462500880">
                                              <w:marLeft w:val="0"/>
                                              <w:marRight w:val="0"/>
                                              <w:marTop w:val="0"/>
                                              <w:marBottom w:val="0"/>
                                              <w:divBdr>
                                                <w:top w:val="none" w:sz="0" w:space="0" w:color="auto"/>
                                                <w:left w:val="none" w:sz="0" w:space="0" w:color="auto"/>
                                                <w:bottom w:val="none" w:sz="0" w:space="0" w:color="auto"/>
                                                <w:right w:val="none" w:sz="0" w:space="0" w:color="auto"/>
                                              </w:divBdr>
                                            </w:div>
                                            <w:div w:id="467017092">
                                              <w:marLeft w:val="0"/>
                                              <w:marRight w:val="0"/>
                                              <w:marTop w:val="0"/>
                                              <w:marBottom w:val="0"/>
                                              <w:divBdr>
                                                <w:top w:val="none" w:sz="0" w:space="0" w:color="auto"/>
                                                <w:left w:val="none" w:sz="0" w:space="0" w:color="auto"/>
                                                <w:bottom w:val="none" w:sz="0" w:space="0" w:color="auto"/>
                                                <w:right w:val="none" w:sz="0" w:space="0" w:color="auto"/>
                                              </w:divBdr>
                                            </w:div>
                                            <w:div w:id="468597039">
                                              <w:marLeft w:val="0"/>
                                              <w:marRight w:val="0"/>
                                              <w:marTop w:val="0"/>
                                              <w:marBottom w:val="0"/>
                                              <w:divBdr>
                                                <w:top w:val="none" w:sz="0" w:space="0" w:color="auto"/>
                                                <w:left w:val="none" w:sz="0" w:space="0" w:color="auto"/>
                                                <w:bottom w:val="none" w:sz="0" w:space="0" w:color="auto"/>
                                                <w:right w:val="none" w:sz="0" w:space="0" w:color="auto"/>
                                              </w:divBdr>
                                            </w:div>
                                            <w:div w:id="470904300">
                                              <w:marLeft w:val="0"/>
                                              <w:marRight w:val="0"/>
                                              <w:marTop w:val="0"/>
                                              <w:marBottom w:val="0"/>
                                              <w:divBdr>
                                                <w:top w:val="none" w:sz="0" w:space="0" w:color="auto"/>
                                                <w:left w:val="none" w:sz="0" w:space="0" w:color="auto"/>
                                                <w:bottom w:val="none" w:sz="0" w:space="0" w:color="auto"/>
                                                <w:right w:val="none" w:sz="0" w:space="0" w:color="auto"/>
                                              </w:divBdr>
                                            </w:div>
                                            <w:div w:id="471020460">
                                              <w:marLeft w:val="0"/>
                                              <w:marRight w:val="0"/>
                                              <w:marTop w:val="0"/>
                                              <w:marBottom w:val="0"/>
                                              <w:divBdr>
                                                <w:top w:val="none" w:sz="0" w:space="0" w:color="auto"/>
                                                <w:left w:val="none" w:sz="0" w:space="0" w:color="auto"/>
                                                <w:bottom w:val="none" w:sz="0" w:space="0" w:color="auto"/>
                                                <w:right w:val="none" w:sz="0" w:space="0" w:color="auto"/>
                                              </w:divBdr>
                                            </w:div>
                                            <w:div w:id="471295679">
                                              <w:marLeft w:val="0"/>
                                              <w:marRight w:val="0"/>
                                              <w:marTop w:val="0"/>
                                              <w:marBottom w:val="0"/>
                                              <w:divBdr>
                                                <w:top w:val="none" w:sz="0" w:space="0" w:color="auto"/>
                                                <w:left w:val="none" w:sz="0" w:space="0" w:color="auto"/>
                                                <w:bottom w:val="none" w:sz="0" w:space="0" w:color="auto"/>
                                                <w:right w:val="none" w:sz="0" w:space="0" w:color="auto"/>
                                              </w:divBdr>
                                            </w:div>
                                            <w:div w:id="475756824">
                                              <w:marLeft w:val="0"/>
                                              <w:marRight w:val="0"/>
                                              <w:marTop w:val="0"/>
                                              <w:marBottom w:val="0"/>
                                              <w:divBdr>
                                                <w:top w:val="none" w:sz="0" w:space="0" w:color="auto"/>
                                                <w:left w:val="none" w:sz="0" w:space="0" w:color="auto"/>
                                                <w:bottom w:val="none" w:sz="0" w:space="0" w:color="auto"/>
                                                <w:right w:val="none" w:sz="0" w:space="0" w:color="auto"/>
                                              </w:divBdr>
                                            </w:div>
                                            <w:div w:id="484473767">
                                              <w:marLeft w:val="0"/>
                                              <w:marRight w:val="0"/>
                                              <w:marTop w:val="0"/>
                                              <w:marBottom w:val="0"/>
                                              <w:divBdr>
                                                <w:top w:val="none" w:sz="0" w:space="0" w:color="auto"/>
                                                <w:left w:val="none" w:sz="0" w:space="0" w:color="auto"/>
                                                <w:bottom w:val="none" w:sz="0" w:space="0" w:color="auto"/>
                                                <w:right w:val="none" w:sz="0" w:space="0" w:color="auto"/>
                                              </w:divBdr>
                                            </w:div>
                                            <w:div w:id="486751633">
                                              <w:marLeft w:val="0"/>
                                              <w:marRight w:val="0"/>
                                              <w:marTop w:val="0"/>
                                              <w:marBottom w:val="0"/>
                                              <w:divBdr>
                                                <w:top w:val="none" w:sz="0" w:space="0" w:color="auto"/>
                                                <w:left w:val="none" w:sz="0" w:space="0" w:color="auto"/>
                                                <w:bottom w:val="none" w:sz="0" w:space="0" w:color="auto"/>
                                                <w:right w:val="none" w:sz="0" w:space="0" w:color="auto"/>
                                              </w:divBdr>
                                            </w:div>
                                            <w:div w:id="487942027">
                                              <w:marLeft w:val="0"/>
                                              <w:marRight w:val="0"/>
                                              <w:marTop w:val="0"/>
                                              <w:marBottom w:val="0"/>
                                              <w:divBdr>
                                                <w:top w:val="none" w:sz="0" w:space="0" w:color="auto"/>
                                                <w:left w:val="none" w:sz="0" w:space="0" w:color="auto"/>
                                                <w:bottom w:val="none" w:sz="0" w:space="0" w:color="auto"/>
                                                <w:right w:val="none" w:sz="0" w:space="0" w:color="auto"/>
                                              </w:divBdr>
                                            </w:div>
                                            <w:div w:id="489096850">
                                              <w:marLeft w:val="0"/>
                                              <w:marRight w:val="0"/>
                                              <w:marTop w:val="0"/>
                                              <w:marBottom w:val="0"/>
                                              <w:divBdr>
                                                <w:top w:val="none" w:sz="0" w:space="0" w:color="auto"/>
                                                <w:left w:val="none" w:sz="0" w:space="0" w:color="auto"/>
                                                <w:bottom w:val="none" w:sz="0" w:space="0" w:color="auto"/>
                                                <w:right w:val="none" w:sz="0" w:space="0" w:color="auto"/>
                                              </w:divBdr>
                                            </w:div>
                                            <w:div w:id="489517797">
                                              <w:marLeft w:val="0"/>
                                              <w:marRight w:val="0"/>
                                              <w:marTop w:val="0"/>
                                              <w:marBottom w:val="0"/>
                                              <w:divBdr>
                                                <w:top w:val="none" w:sz="0" w:space="0" w:color="auto"/>
                                                <w:left w:val="none" w:sz="0" w:space="0" w:color="auto"/>
                                                <w:bottom w:val="none" w:sz="0" w:space="0" w:color="auto"/>
                                                <w:right w:val="none" w:sz="0" w:space="0" w:color="auto"/>
                                              </w:divBdr>
                                            </w:div>
                                            <w:div w:id="494145350">
                                              <w:marLeft w:val="0"/>
                                              <w:marRight w:val="0"/>
                                              <w:marTop w:val="0"/>
                                              <w:marBottom w:val="0"/>
                                              <w:divBdr>
                                                <w:top w:val="none" w:sz="0" w:space="0" w:color="auto"/>
                                                <w:left w:val="none" w:sz="0" w:space="0" w:color="auto"/>
                                                <w:bottom w:val="none" w:sz="0" w:space="0" w:color="auto"/>
                                                <w:right w:val="none" w:sz="0" w:space="0" w:color="auto"/>
                                              </w:divBdr>
                                            </w:div>
                                            <w:div w:id="496041996">
                                              <w:marLeft w:val="0"/>
                                              <w:marRight w:val="0"/>
                                              <w:marTop w:val="0"/>
                                              <w:marBottom w:val="0"/>
                                              <w:divBdr>
                                                <w:top w:val="none" w:sz="0" w:space="0" w:color="auto"/>
                                                <w:left w:val="none" w:sz="0" w:space="0" w:color="auto"/>
                                                <w:bottom w:val="none" w:sz="0" w:space="0" w:color="auto"/>
                                                <w:right w:val="none" w:sz="0" w:space="0" w:color="auto"/>
                                              </w:divBdr>
                                            </w:div>
                                            <w:div w:id="500700981">
                                              <w:marLeft w:val="0"/>
                                              <w:marRight w:val="0"/>
                                              <w:marTop w:val="0"/>
                                              <w:marBottom w:val="0"/>
                                              <w:divBdr>
                                                <w:top w:val="none" w:sz="0" w:space="0" w:color="auto"/>
                                                <w:left w:val="none" w:sz="0" w:space="0" w:color="auto"/>
                                                <w:bottom w:val="none" w:sz="0" w:space="0" w:color="auto"/>
                                                <w:right w:val="none" w:sz="0" w:space="0" w:color="auto"/>
                                              </w:divBdr>
                                            </w:div>
                                            <w:div w:id="505634847">
                                              <w:marLeft w:val="0"/>
                                              <w:marRight w:val="0"/>
                                              <w:marTop w:val="0"/>
                                              <w:marBottom w:val="0"/>
                                              <w:divBdr>
                                                <w:top w:val="none" w:sz="0" w:space="0" w:color="auto"/>
                                                <w:left w:val="none" w:sz="0" w:space="0" w:color="auto"/>
                                                <w:bottom w:val="none" w:sz="0" w:space="0" w:color="auto"/>
                                                <w:right w:val="none" w:sz="0" w:space="0" w:color="auto"/>
                                              </w:divBdr>
                                            </w:div>
                                            <w:div w:id="512303434">
                                              <w:marLeft w:val="0"/>
                                              <w:marRight w:val="0"/>
                                              <w:marTop w:val="0"/>
                                              <w:marBottom w:val="0"/>
                                              <w:divBdr>
                                                <w:top w:val="none" w:sz="0" w:space="0" w:color="auto"/>
                                                <w:left w:val="none" w:sz="0" w:space="0" w:color="auto"/>
                                                <w:bottom w:val="none" w:sz="0" w:space="0" w:color="auto"/>
                                                <w:right w:val="none" w:sz="0" w:space="0" w:color="auto"/>
                                              </w:divBdr>
                                            </w:div>
                                            <w:div w:id="521669871">
                                              <w:marLeft w:val="0"/>
                                              <w:marRight w:val="0"/>
                                              <w:marTop w:val="0"/>
                                              <w:marBottom w:val="0"/>
                                              <w:divBdr>
                                                <w:top w:val="none" w:sz="0" w:space="0" w:color="auto"/>
                                                <w:left w:val="none" w:sz="0" w:space="0" w:color="auto"/>
                                                <w:bottom w:val="none" w:sz="0" w:space="0" w:color="auto"/>
                                                <w:right w:val="none" w:sz="0" w:space="0" w:color="auto"/>
                                              </w:divBdr>
                                            </w:div>
                                            <w:div w:id="527719638">
                                              <w:marLeft w:val="0"/>
                                              <w:marRight w:val="0"/>
                                              <w:marTop w:val="0"/>
                                              <w:marBottom w:val="0"/>
                                              <w:divBdr>
                                                <w:top w:val="none" w:sz="0" w:space="0" w:color="auto"/>
                                                <w:left w:val="none" w:sz="0" w:space="0" w:color="auto"/>
                                                <w:bottom w:val="none" w:sz="0" w:space="0" w:color="auto"/>
                                                <w:right w:val="none" w:sz="0" w:space="0" w:color="auto"/>
                                              </w:divBdr>
                                            </w:div>
                                            <w:div w:id="535580275">
                                              <w:marLeft w:val="0"/>
                                              <w:marRight w:val="0"/>
                                              <w:marTop w:val="0"/>
                                              <w:marBottom w:val="0"/>
                                              <w:divBdr>
                                                <w:top w:val="none" w:sz="0" w:space="0" w:color="auto"/>
                                                <w:left w:val="none" w:sz="0" w:space="0" w:color="auto"/>
                                                <w:bottom w:val="none" w:sz="0" w:space="0" w:color="auto"/>
                                                <w:right w:val="none" w:sz="0" w:space="0" w:color="auto"/>
                                              </w:divBdr>
                                            </w:div>
                                            <w:div w:id="551699650">
                                              <w:marLeft w:val="0"/>
                                              <w:marRight w:val="0"/>
                                              <w:marTop w:val="0"/>
                                              <w:marBottom w:val="0"/>
                                              <w:divBdr>
                                                <w:top w:val="none" w:sz="0" w:space="0" w:color="auto"/>
                                                <w:left w:val="none" w:sz="0" w:space="0" w:color="auto"/>
                                                <w:bottom w:val="none" w:sz="0" w:space="0" w:color="auto"/>
                                                <w:right w:val="none" w:sz="0" w:space="0" w:color="auto"/>
                                              </w:divBdr>
                                            </w:div>
                                            <w:div w:id="570165179">
                                              <w:marLeft w:val="0"/>
                                              <w:marRight w:val="0"/>
                                              <w:marTop w:val="0"/>
                                              <w:marBottom w:val="0"/>
                                              <w:divBdr>
                                                <w:top w:val="none" w:sz="0" w:space="0" w:color="auto"/>
                                                <w:left w:val="none" w:sz="0" w:space="0" w:color="auto"/>
                                                <w:bottom w:val="none" w:sz="0" w:space="0" w:color="auto"/>
                                                <w:right w:val="none" w:sz="0" w:space="0" w:color="auto"/>
                                              </w:divBdr>
                                            </w:div>
                                            <w:div w:id="572813074">
                                              <w:marLeft w:val="0"/>
                                              <w:marRight w:val="0"/>
                                              <w:marTop w:val="0"/>
                                              <w:marBottom w:val="0"/>
                                              <w:divBdr>
                                                <w:top w:val="none" w:sz="0" w:space="0" w:color="auto"/>
                                                <w:left w:val="none" w:sz="0" w:space="0" w:color="auto"/>
                                                <w:bottom w:val="none" w:sz="0" w:space="0" w:color="auto"/>
                                                <w:right w:val="none" w:sz="0" w:space="0" w:color="auto"/>
                                              </w:divBdr>
                                            </w:div>
                                            <w:div w:id="574054741">
                                              <w:marLeft w:val="0"/>
                                              <w:marRight w:val="0"/>
                                              <w:marTop w:val="0"/>
                                              <w:marBottom w:val="0"/>
                                              <w:divBdr>
                                                <w:top w:val="none" w:sz="0" w:space="0" w:color="auto"/>
                                                <w:left w:val="none" w:sz="0" w:space="0" w:color="auto"/>
                                                <w:bottom w:val="none" w:sz="0" w:space="0" w:color="auto"/>
                                                <w:right w:val="none" w:sz="0" w:space="0" w:color="auto"/>
                                              </w:divBdr>
                                            </w:div>
                                            <w:div w:id="576208048">
                                              <w:marLeft w:val="0"/>
                                              <w:marRight w:val="0"/>
                                              <w:marTop w:val="0"/>
                                              <w:marBottom w:val="0"/>
                                              <w:divBdr>
                                                <w:top w:val="none" w:sz="0" w:space="0" w:color="auto"/>
                                                <w:left w:val="none" w:sz="0" w:space="0" w:color="auto"/>
                                                <w:bottom w:val="none" w:sz="0" w:space="0" w:color="auto"/>
                                                <w:right w:val="none" w:sz="0" w:space="0" w:color="auto"/>
                                              </w:divBdr>
                                            </w:div>
                                            <w:div w:id="577401923">
                                              <w:marLeft w:val="0"/>
                                              <w:marRight w:val="0"/>
                                              <w:marTop w:val="0"/>
                                              <w:marBottom w:val="0"/>
                                              <w:divBdr>
                                                <w:top w:val="none" w:sz="0" w:space="0" w:color="auto"/>
                                                <w:left w:val="none" w:sz="0" w:space="0" w:color="auto"/>
                                                <w:bottom w:val="none" w:sz="0" w:space="0" w:color="auto"/>
                                                <w:right w:val="none" w:sz="0" w:space="0" w:color="auto"/>
                                              </w:divBdr>
                                            </w:div>
                                            <w:div w:id="579801504">
                                              <w:marLeft w:val="0"/>
                                              <w:marRight w:val="0"/>
                                              <w:marTop w:val="0"/>
                                              <w:marBottom w:val="0"/>
                                              <w:divBdr>
                                                <w:top w:val="none" w:sz="0" w:space="0" w:color="auto"/>
                                                <w:left w:val="none" w:sz="0" w:space="0" w:color="auto"/>
                                                <w:bottom w:val="none" w:sz="0" w:space="0" w:color="auto"/>
                                                <w:right w:val="none" w:sz="0" w:space="0" w:color="auto"/>
                                              </w:divBdr>
                                            </w:div>
                                            <w:div w:id="580070089">
                                              <w:marLeft w:val="0"/>
                                              <w:marRight w:val="0"/>
                                              <w:marTop w:val="0"/>
                                              <w:marBottom w:val="0"/>
                                              <w:divBdr>
                                                <w:top w:val="none" w:sz="0" w:space="0" w:color="auto"/>
                                                <w:left w:val="none" w:sz="0" w:space="0" w:color="auto"/>
                                                <w:bottom w:val="none" w:sz="0" w:space="0" w:color="auto"/>
                                                <w:right w:val="none" w:sz="0" w:space="0" w:color="auto"/>
                                              </w:divBdr>
                                            </w:div>
                                            <w:div w:id="585724653">
                                              <w:marLeft w:val="0"/>
                                              <w:marRight w:val="0"/>
                                              <w:marTop w:val="0"/>
                                              <w:marBottom w:val="0"/>
                                              <w:divBdr>
                                                <w:top w:val="none" w:sz="0" w:space="0" w:color="auto"/>
                                                <w:left w:val="none" w:sz="0" w:space="0" w:color="auto"/>
                                                <w:bottom w:val="none" w:sz="0" w:space="0" w:color="auto"/>
                                                <w:right w:val="none" w:sz="0" w:space="0" w:color="auto"/>
                                              </w:divBdr>
                                            </w:div>
                                            <w:div w:id="586157657">
                                              <w:marLeft w:val="0"/>
                                              <w:marRight w:val="0"/>
                                              <w:marTop w:val="0"/>
                                              <w:marBottom w:val="0"/>
                                              <w:divBdr>
                                                <w:top w:val="none" w:sz="0" w:space="0" w:color="auto"/>
                                                <w:left w:val="none" w:sz="0" w:space="0" w:color="auto"/>
                                                <w:bottom w:val="none" w:sz="0" w:space="0" w:color="auto"/>
                                                <w:right w:val="none" w:sz="0" w:space="0" w:color="auto"/>
                                              </w:divBdr>
                                            </w:div>
                                            <w:div w:id="587888631">
                                              <w:marLeft w:val="0"/>
                                              <w:marRight w:val="0"/>
                                              <w:marTop w:val="0"/>
                                              <w:marBottom w:val="0"/>
                                              <w:divBdr>
                                                <w:top w:val="none" w:sz="0" w:space="0" w:color="auto"/>
                                                <w:left w:val="none" w:sz="0" w:space="0" w:color="auto"/>
                                                <w:bottom w:val="none" w:sz="0" w:space="0" w:color="auto"/>
                                                <w:right w:val="none" w:sz="0" w:space="0" w:color="auto"/>
                                              </w:divBdr>
                                            </w:div>
                                            <w:div w:id="594872980">
                                              <w:marLeft w:val="0"/>
                                              <w:marRight w:val="0"/>
                                              <w:marTop w:val="0"/>
                                              <w:marBottom w:val="0"/>
                                              <w:divBdr>
                                                <w:top w:val="none" w:sz="0" w:space="0" w:color="auto"/>
                                                <w:left w:val="none" w:sz="0" w:space="0" w:color="auto"/>
                                                <w:bottom w:val="none" w:sz="0" w:space="0" w:color="auto"/>
                                                <w:right w:val="none" w:sz="0" w:space="0" w:color="auto"/>
                                              </w:divBdr>
                                            </w:div>
                                            <w:div w:id="605501852">
                                              <w:marLeft w:val="0"/>
                                              <w:marRight w:val="0"/>
                                              <w:marTop w:val="0"/>
                                              <w:marBottom w:val="0"/>
                                              <w:divBdr>
                                                <w:top w:val="none" w:sz="0" w:space="0" w:color="auto"/>
                                                <w:left w:val="none" w:sz="0" w:space="0" w:color="auto"/>
                                                <w:bottom w:val="none" w:sz="0" w:space="0" w:color="auto"/>
                                                <w:right w:val="none" w:sz="0" w:space="0" w:color="auto"/>
                                              </w:divBdr>
                                            </w:div>
                                            <w:div w:id="616908839">
                                              <w:marLeft w:val="0"/>
                                              <w:marRight w:val="0"/>
                                              <w:marTop w:val="0"/>
                                              <w:marBottom w:val="0"/>
                                              <w:divBdr>
                                                <w:top w:val="none" w:sz="0" w:space="0" w:color="auto"/>
                                                <w:left w:val="none" w:sz="0" w:space="0" w:color="auto"/>
                                                <w:bottom w:val="none" w:sz="0" w:space="0" w:color="auto"/>
                                                <w:right w:val="none" w:sz="0" w:space="0" w:color="auto"/>
                                              </w:divBdr>
                                            </w:div>
                                            <w:div w:id="619145016">
                                              <w:marLeft w:val="0"/>
                                              <w:marRight w:val="0"/>
                                              <w:marTop w:val="0"/>
                                              <w:marBottom w:val="0"/>
                                              <w:divBdr>
                                                <w:top w:val="none" w:sz="0" w:space="0" w:color="auto"/>
                                                <w:left w:val="none" w:sz="0" w:space="0" w:color="auto"/>
                                                <w:bottom w:val="none" w:sz="0" w:space="0" w:color="auto"/>
                                                <w:right w:val="none" w:sz="0" w:space="0" w:color="auto"/>
                                              </w:divBdr>
                                            </w:div>
                                            <w:div w:id="630864351">
                                              <w:marLeft w:val="0"/>
                                              <w:marRight w:val="0"/>
                                              <w:marTop w:val="0"/>
                                              <w:marBottom w:val="0"/>
                                              <w:divBdr>
                                                <w:top w:val="none" w:sz="0" w:space="0" w:color="auto"/>
                                                <w:left w:val="none" w:sz="0" w:space="0" w:color="auto"/>
                                                <w:bottom w:val="none" w:sz="0" w:space="0" w:color="auto"/>
                                                <w:right w:val="none" w:sz="0" w:space="0" w:color="auto"/>
                                              </w:divBdr>
                                            </w:div>
                                            <w:div w:id="632760806">
                                              <w:marLeft w:val="0"/>
                                              <w:marRight w:val="0"/>
                                              <w:marTop w:val="0"/>
                                              <w:marBottom w:val="0"/>
                                              <w:divBdr>
                                                <w:top w:val="none" w:sz="0" w:space="0" w:color="auto"/>
                                                <w:left w:val="none" w:sz="0" w:space="0" w:color="auto"/>
                                                <w:bottom w:val="none" w:sz="0" w:space="0" w:color="auto"/>
                                                <w:right w:val="none" w:sz="0" w:space="0" w:color="auto"/>
                                              </w:divBdr>
                                            </w:div>
                                            <w:div w:id="646475652">
                                              <w:marLeft w:val="0"/>
                                              <w:marRight w:val="0"/>
                                              <w:marTop w:val="0"/>
                                              <w:marBottom w:val="0"/>
                                              <w:divBdr>
                                                <w:top w:val="none" w:sz="0" w:space="0" w:color="auto"/>
                                                <w:left w:val="none" w:sz="0" w:space="0" w:color="auto"/>
                                                <w:bottom w:val="none" w:sz="0" w:space="0" w:color="auto"/>
                                                <w:right w:val="none" w:sz="0" w:space="0" w:color="auto"/>
                                              </w:divBdr>
                                            </w:div>
                                            <w:div w:id="660230593">
                                              <w:marLeft w:val="0"/>
                                              <w:marRight w:val="0"/>
                                              <w:marTop w:val="0"/>
                                              <w:marBottom w:val="0"/>
                                              <w:divBdr>
                                                <w:top w:val="none" w:sz="0" w:space="0" w:color="auto"/>
                                                <w:left w:val="none" w:sz="0" w:space="0" w:color="auto"/>
                                                <w:bottom w:val="none" w:sz="0" w:space="0" w:color="auto"/>
                                                <w:right w:val="none" w:sz="0" w:space="0" w:color="auto"/>
                                              </w:divBdr>
                                            </w:div>
                                            <w:div w:id="663363582">
                                              <w:marLeft w:val="0"/>
                                              <w:marRight w:val="0"/>
                                              <w:marTop w:val="0"/>
                                              <w:marBottom w:val="0"/>
                                              <w:divBdr>
                                                <w:top w:val="none" w:sz="0" w:space="0" w:color="auto"/>
                                                <w:left w:val="none" w:sz="0" w:space="0" w:color="auto"/>
                                                <w:bottom w:val="none" w:sz="0" w:space="0" w:color="auto"/>
                                                <w:right w:val="none" w:sz="0" w:space="0" w:color="auto"/>
                                              </w:divBdr>
                                            </w:div>
                                            <w:div w:id="673335626">
                                              <w:marLeft w:val="0"/>
                                              <w:marRight w:val="0"/>
                                              <w:marTop w:val="0"/>
                                              <w:marBottom w:val="0"/>
                                              <w:divBdr>
                                                <w:top w:val="none" w:sz="0" w:space="0" w:color="auto"/>
                                                <w:left w:val="none" w:sz="0" w:space="0" w:color="auto"/>
                                                <w:bottom w:val="none" w:sz="0" w:space="0" w:color="auto"/>
                                                <w:right w:val="none" w:sz="0" w:space="0" w:color="auto"/>
                                              </w:divBdr>
                                            </w:div>
                                            <w:div w:id="677392411">
                                              <w:marLeft w:val="0"/>
                                              <w:marRight w:val="0"/>
                                              <w:marTop w:val="0"/>
                                              <w:marBottom w:val="0"/>
                                              <w:divBdr>
                                                <w:top w:val="none" w:sz="0" w:space="0" w:color="auto"/>
                                                <w:left w:val="none" w:sz="0" w:space="0" w:color="auto"/>
                                                <w:bottom w:val="none" w:sz="0" w:space="0" w:color="auto"/>
                                                <w:right w:val="none" w:sz="0" w:space="0" w:color="auto"/>
                                              </w:divBdr>
                                            </w:div>
                                            <w:div w:id="684674974">
                                              <w:marLeft w:val="0"/>
                                              <w:marRight w:val="0"/>
                                              <w:marTop w:val="0"/>
                                              <w:marBottom w:val="0"/>
                                              <w:divBdr>
                                                <w:top w:val="none" w:sz="0" w:space="0" w:color="auto"/>
                                                <w:left w:val="none" w:sz="0" w:space="0" w:color="auto"/>
                                                <w:bottom w:val="none" w:sz="0" w:space="0" w:color="auto"/>
                                                <w:right w:val="none" w:sz="0" w:space="0" w:color="auto"/>
                                              </w:divBdr>
                                            </w:div>
                                            <w:div w:id="699018287">
                                              <w:marLeft w:val="0"/>
                                              <w:marRight w:val="0"/>
                                              <w:marTop w:val="0"/>
                                              <w:marBottom w:val="0"/>
                                              <w:divBdr>
                                                <w:top w:val="none" w:sz="0" w:space="0" w:color="auto"/>
                                                <w:left w:val="none" w:sz="0" w:space="0" w:color="auto"/>
                                                <w:bottom w:val="none" w:sz="0" w:space="0" w:color="auto"/>
                                                <w:right w:val="none" w:sz="0" w:space="0" w:color="auto"/>
                                              </w:divBdr>
                                            </w:div>
                                            <w:div w:id="701901554">
                                              <w:marLeft w:val="0"/>
                                              <w:marRight w:val="0"/>
                                              <w:marTop w:val="0"/>
                                              <w:marBottom w:val="0"/>
                                              <w:divBdr>
                                                <w:top w:val="none" w:sz="0" w:space="0" w:color="auto"/>
                                                <w:left w:val="none" w:sz="0" w:space="0" w:color="auto"/>
                                                <w:bottom w:val="none" w:sz="0" w:space="0" w:color="auto"/>
                                                <w:right w:val="none" w:sz="0" w:space="0" w:color="auto"/>
                                              </w:divBdr>
                                            </w:div>
                                            <w:div w:id="720135036">
                                              <w:marLeft w:val="0"/>
                                              <w:marRight w:val="0"/>
                                              <w:marTop w:val="0"/>
                                              <w:marBottom w:val="0"/>
                                              <w:divBdr>
                                                <w:top w:val="none" w:sz="0" w:space="0" w:color="auto"/>
                                                <w:left w:val="none" w:sz="0" w:space="0" w:color="auto"/>
                                                <w:bottom w:val="none" w:sz="0" w:space="0" w:color="auto"/>
                                                <w:right w:val="none" w:sz="0" w:space="0" w:color="auto"/>
                                              </w:divBdr>
                                            </w:div>
                                            <w:div w:id="720832174">
                                              <w:marLeft w:val="0"/>
                                              <w:marRight w:val="0"/>
                                              <w:marTop w:val="0"/>
                                              <w:marBottom w:val="0"/>
                                              <w:divBdr>
                                                <w:top w:val="none" w:sz="0" w:space="0" w:color="auto"/>
                                                <w:left w:val="none" w:sz="0" w:space="0" w:color="auto"/>
                                                <w:bottom w:val="none" w:sz="0" w:space="0" w:color="auto"/>
                                                <w:right w:val="none" w:sz="0" w:space="0" w:color="auto"/>
                                              </w:divBdr>
                                            </w:div>
                                            <w:div w:id="727916806">
                                              <w:marLeft w:val="0"/>
                                              <w:marRight w:val="0"/>
                                              <w:marTop w:val="0"/>
                                              <w:marBottom w:val="0"/>
                                              <w:divBdr>
                                                <w:top w:val="none" w:sz="0" w:space="0" w:color="auto"/>
                                                <w:left w:val="none" w:sz="0" w:space="0" w:color="auto"/>
                                                <w:bottom w:val="none" w:sz="0" w:space="0" w:color="auto"/>
                                                <w:right w:val="none" w:sz="0" w:space="0" w:color="auto"/>
                                              </w:divBdr>
                                            </w:div>
                                            <w:div w:id="739523462">
                                              <w:marLeft w:val="0"/>
                                              <w:marRight w:val="0"/>
                                              <w:marTop w:val="0"/>
                                              <w:marBottom w:val="0"/>
                                              <w:divBdr>
                                                <w:top w:val="none" w:sz="0" w:space="0" w:color="auto"/>
                                                <w:left w:val="none" w:sz="0" w:space="0" w:color="auto"/>
                                                <w:bottom w:val="none" w:sz="0" w:space="0" w:color="auto"/>
                                                <w:right w:val="none" w:sz="0" w:space="0" w:color="auto"/>
                                              </w:divBdr>
                                            </w:div>
                                            <w:div w:id="743458521">
                                              <w:marLeft w:val="0"/>
                                              <w:marRight w:val="0"/>
                                              <w:marTop w:val="0"/>
                                              <w:marBottom w:val="0"/>
                                              <w:divBdr>
                                                <w:top w:val="none" w:sz="0" w:space="0" w:color="auto"/>
                                                <w:left w:val="none" w:sz="0" w:space="0" w:color="auto"/>
                                                <w:bottom w:val="none" w:sz="0" w:space="0" w:color="auto"/>
                                                <w:right w:val="none" w:sz="0" w:space="0" w:color="auto"/>
                                              </w:divBdr>
                                            </w:div>
                                            <w:div w:id="744570777">
                                              <w:marLeft w:val="0"/>
                                              <w:marRight w:val="0"/>
                                              <w:marTop w:val="0"/>
                                              <w:marBottom w:val="0"/>
                                              <w:divBdr>
                                                <w:top w:val="none" w:sz="0" w:space="0" w:color="auto"/>
                                                <w:left w:val="none" w:sz="0" w:space="0" w:color="auto"/>
                                                <w:bottom w:val="none" w:sz="0" w:space="0" w:color="auto"/>
                                                <w:right w:val="none" w:sz="0" w:space="0" w:color="auto"/>
                                              </w:divBdr>
                                            </w:div>
                                            <w:div w:id="750389989">
                                              <w:marLeft w:val="0"/>
                                              <w:marRight w:val="0"/>
                                              <w:marTop w:val="0"/>
                                              <w:marBottom w:val="0"/>
                                              <w:divBdr>
                                                <w:top w:val="none" w:sz="0" w:space="0" w:color="auto"/>
                                                <w:left w:val="none" w:sz="0" w:space="0" w:color="auto"/>
                                                <w:bottom w:val="none" w:sz="0" w:space="0" w:color="auto"/>
                                                <w:right w:val="none" w:sz="0" w:space="0" w:color="auto"/>
                                              </w:divBdr>
                                            </w:div>
                                            <w:div w:id="754008675">
                                              <w:marLeft w:val="0"/>
                                              <w:marRight w:val="0"/>
                                              <w:marTop w:val="0"/>
                                              <w:marBottom w:val="0"/>
                                              <w:divBdr>
                                                <w:top w:val="none" w:sz="0" w:space="0" w:color="auto"/>
                                                <w:left w:val="none" w:sz="0" w:space="0" w:color="auto"/>
                                                <w:bottom w:val="none" w:sz="0" w:space="0" w:color="auto"/>
                                                <w:right w:val="none" w:sz="0" w:space="0" w:color="auto"/>
                                              </w:divBdr>
                                            </w:div>
                                            <w:div w:id="754211643">
                                              <w:marLeft w:val="0"/>
                                              <w:marRight w:val="0"/>
                                              <w:marTop w:val="0"/>
                                              <w:marBottom w:val="0"/>
                                              <w:divBdr>
                                                <w:top w:val="none" w:sz="0" w:space="0" w:color="auto"/>
                                                <w:left w:val="none" w:sz="0" w:space="0" w:color="auto"/>
                                                <w:bottom w:val="none" w:sz="0" w:space="0" w:color="auto"/>
                                                <w:right w:val="none" w:sz="0" w:space="0" w:color="auto"/>
                                              </w:divBdr>
                                            </w:div>
                                            <w:div w:id="761728692">
                                              <w:marLeft w:val="0"/>
                                              <w:marRight w:val="0"/>
                                              <w:marTop w:val="0"/>
                                              <w:marBottom w:val="0"/>
                                              <w:divBdr>
                                                <w:top w:val="none" w:sz="0" w:space="0" w:color="auto"/>
                                                <w:left w:val="none" w:sz="0" w:space="0" w:color="auto"/>
                                                <w:bottom w:val="none" w:sz="0" w:space="0" w:color="auto"/>
                                                <w:right w:val="none" w:sz="0" w:space="0" w:color="auto"/>
                                              </w:divBdr>
                                            </w:div>
                                            <w:div w:id="762342596">
                                              <w:marLeft w:val="0"/>
                                              <w:marRight w:val="0"/>
                                              <w:marTop w:val="0"/>
                                              <w:marBottom w:val="0"/>
                                              <w:divBdr>
                                                <w:top w:val="none" w:sz="0" w:space="0" w:color="auto"/>
                                                <w:left w:val="none" w:sz="0" w:space="0" w:color="auto"/>
                                                <w:bottom w:val="none" w:sz="0" w:space="0" w:color="auto"/>
                                                <w:right w:val="none" w:sz="0" w:space="0" w:color="auto"/>
                                              </w:divBdr>
                                            </w:div>
                                            <w:div w:id="763578532">
                                              <w:marLeft w:val="0"/>
                                              <w:marRight w:val="0"/>
                                              <w:marTop w:val="0"/>
                                              <w:marBottom w:val="0"/>
                                              <w:divBdr>
                                                <w:top w:val="none" w:sz="0" w:space="0" w:color="auto"/>
                                                <w:left w:val="none" w:sz="0" w:space="0" w:color="auto"/>
                                                <w:bottom w:val="none" w:sz="0" w:space="0" w:color="auto"/>
                                                <w:right w:val="none" w:sz="0" w:space="0" w:color="auto"/>
                                              </w:divBdr>
                                            </w:div>
                                            <w:div w:id="787165379">
                                              <w:marLeft w:val="0"/>
                                              <w:marRight w:val="0"/>
                                              <w:marTop w:val="0"/>
                                              <w:marBottom w:val="0"/>
                                              <w:divBdr>
                                                <w:top w:val="none" w:sz="0" w:space="0" w:color="auto"/>
                                                <w:left w:val="none" w:sz="0" w:space="0" w:color="auto"/>
                                                <w:bottom w:val="none" w:sz="0" w:space="0" w:color="auto"/>
                                                <w:right w:val="none" w:sz="0" w:space="0" w:color="auto"/>
                                              </w:divBdr>
                                            </w:div>
                                            <w:div w:id="787548877">
                                              <w:marLeft w:val="0"/>
                                              <w:marRight w:val="0"/>
                                              <w:marTop w:val="0"/>
                                              <w:marBottom w:val="0"/>
                                              <w:divBdr>
                                                <w:top w:val="none" w:sz="0" w:space="0" w:color="auto"/>
                                                <w:left w:val="none" w:sz="0" w:space="0" w:color="auto"/>
                                                <w:bottom w:val="none" w:sz="0" w:space="0" w:color="auto"/>
                                                <w:right w:val="none" w:sz="0" w:space="0" w:color="auto"/>
                                              </w:divBdr>
                                            </w:div>
                                            <w:div w:id="788201479">
                                              <w:marLeft w:val="0"/>
                                              <w:marRight w:val="0"/>
                                              <w:marTop w:val="0"/>
                                              <w:marBottom w:val="0"/>
                                              <w:divBdr>
                                                <w:top w:val="none" w:sz="0" w:space="0" w:color="auto"/>
                                                <w:left w:val="none" w:sz="0" w:space="0" w:color="auto"/>
                                                <w:bottom w:val="none" w:sz="0" w:space="0" w:color="auto"/>
                                                <w:right w:val="none" w:sz="0" w:space="0" w:color="auto"/>
                                              </w:divBdr>
                                            </w:div>
                                            <w:div w:id="788474250">
                                              <w:marLeft w:val="0"/>
                                              <w:marRight w:val="0"/>
                                              <w:marTop w:val="0"/>
                                              <w:marBottom w:val="0"/>
                                              <w:divBdr>
                                                <w:top w:val="none" w:sz="0" w:space="0" w:color="auto"/>
                                                <w:left w:val="none" w:sz="0" w:space="0" w:color="auto"/>
                                                <w:bottom w:val="none" w:sz="0" w:space="0" w:color="auto"/>
                                                <w:right w:val="none" w:sz="0" w:space="0" w:color="auto"/>
                                              </w:divBdr>
                                            </w:div>
                                            <w:div w:id="793792882">
                                              <w:marLeft w:val="0"/>
                                              <w:marRight w:val="0"/>
                                              <w:marTop w:val="0"/>
                                              <w:marBottom w:val="0"/>
                                              <w:divBdr>
                                                <w:top w:val="none" w:sz="0" w:space="0" w:color="auto"/>
                                                <w:left w:val="none" w:sz="0" w:space="0" w:color="auto"/>
                                                <w:bottom w:val="none" w:sz="0" w:space="0" w:color="auto"/>
                                                <w:right w:val="none" w:sz="0" w:space="0" w:color="auto"/>
                                              </w:divBdr>
                                            </w:div>
                                            <w:div w:id="794983578">
                                              <w:marLeft w:val="0"/>
                                              <w:marRight w:val="0"/>
                                              <w:marTop w:val="0"/>
                                              <w:marBottom w:val="0"/>
                                              <w:divBdr>
                                                <w:top w:val="none" w:sz="0" w:space="0" w:color="auto"/>
                                                <w:left w:val="none" w:sz="0" w:space="0" w:color="auto"/>
                                                <w:bottom w:val="none" w:sz="0" w:space="0" w:color="auto"/>
                                                <w:right w:val="none" w:sz="0" w:space="0" w:color="auto"/>
                                              </w:divBdr>
                                            </w:div>
                                            <w:div w:id="802844801">
                                              <w:marLeft w:val="0"/>
                                              <w:marRight w:val="0"/>
                                              <w:marTop w:val="0"/>
                                              <w:marBottom w:val="0"/>
                                              <w:divBdr>
                                                <w:top w:val="none" w:sz="0" w:space="0" w:color="auto"/>
                                                <w:left w:val="none" w:sz="0" w:space="0" w:color="auto"/>
                                                <w:bottom w:val="none" w:sz="0" w:space="0" w:color="auto"/>
                                                <w:right w:val="none" w:sz="0" w:space="0" w:color="auto"/>
                                              </w:divBdr>
                                            </w:div>
                                            <w:div w:id="803817964">
                                              <w:marLeft w:val="0"/>
                                              <w:marRight w:val="0"/>
                                              <w:marTop w:val="0"/>
                                              <w:marBottom w:val="0"/>
                                              <w:divBdr>
                                                <w:top w:val="none" w:sz="0" w:space="0" w:color="auto"/>
                                                <w:left w:val="none" w:sz="0" w:space="0" w:color="auto"/>
                                                <w:bottom w:val="none" w:sz="0" w:space="0" w:color="auto"/>
                                                <w:right w:val="none" w:sz="0" w:space="0" w:color="auto"/>
                                              </w:divBdr>
                                            </w:div>
                                            <w:div w:id="804808504">
                                              <w:marLeft w:val="0"/>
                                              <w:marRight w:val="0"/>
                                              <w:marTop w:val="0"/>
                                              <w:marBottom w:val="0"/>
                                              <w:divBdr>
                                                <w:top w:val="none" w:sz="0" w:space="0" w:color="auto"/>
                                                <w:left w:val="none" w:sz="0" w:space="0" w:color="auto"/>
                                                <w:bottom w:val="none" w:sz="0" w:space="0" w:color="auto"/>
                                                <w:right w:val="none" w:sz="0" w:space="0" w:color="auto"/>
                                              </w:divBdr>
                                            </w:div>
                                            <w:div w:id="805972862">
                                              <w:marLeft w:val="0"/>
                                              <w:marRight w:val="0"/>
                                              <w:marTop w:val="0"/>
                                              <w:marBottom w:val="0"/>
                                              <w:divBdr>
                                                <w:top w:val="none" w:sz="0" w:space="0" w:color="auto"/>
                                                <w:left w:val="none" w:sz="0" w:space="0" w:color="auto"/>
                                                <w:bottom w:val="none" w:sz="0" w:space="0" w:color="auto"/>
                                                <w:right w:val="none" w:sz="0" w:space="0" w:color="auto"/>
                                              </w:divBdr>
                                            </w:div>
                                            <w:div w:id="809520340">
                                              <w:marLeft w:val="0"/>
                                              <w:marRight w:val="0"/>
                                              <w:marTop w:val="0"/>
                                              <w:marBottom w:val="0"/>
                                              <w:divBdr>
                                                <w:top w:val="none" w:sz="0" w:space="0" w:color="auto"/>
                                                <w:left w:val="none" w:sz="0" w:space="0" w:color="auto"/>
                                                <w:bottom w:val="none" w:sz="0" w:space="0" w:color="auto"/>
                                                <w:right w:val="none" w:sz="0" w:space="0" w:color="auto"/>
                                              </w:divBdr>
                                            </w:div>
                                            <w:div w:id="812140301">
                                              <w:marLeft w:val="0"/>
                                              <w:marRight w:val="0"/>
                                              <w:marTop w:val="0"/>
                                              <w:marBottom w:val="0"/>
                                              <w:divBdr>
                                                <w:top w:val="none" w:sz="0" w:space="0" w:color="auto"/>
                                                <w:left w:val="none" w:sz="0" w:space="0" w:color="auto"/>
                                                <w:bottom w:val="none" w:sz="0" w:space="0" w:color="auto"/>
                                                <w:right w:val="none" w:sz="0" w:space="0" w:color="auto"/>
                                              </w:divBdr>
                                            </w:div>
                                            <w:div w:id="819539586">
                                              <w:marLeft w:val="0"/>
                                              <w:marRight w:val="0"/>
                                              <w:marTop w:val="0"/>
                                              <w:marBottom w:val="0"/>
                                              <w:divBdr>
                                                <w:top w:val="none" w:sz="0" w:space="0" w:color="auto"/>
                                                <w:left w:val="none" w:sz="0" w:space="0" w:color="auto"/>
                                                <w:bottom w:val="none" w:sz="0" w:space="0" w:color="auto"/>
                                                <w:right w:val="none" w:sz="0" w:space="0" w:color="auto"/>
                                              </w:divBdr>
                                            </w:div>
                                            <w:div w:id="833909623">
                                              <w:marLeft w:val="0"/>
                                              <w:marRight w:val="0"/>
                                              <w:marTop w:val="0"/>
                                              <w:marBottom w:val="0"/>
                                              <w:divBdr>
                                                <w:top w:val="none" w:sz="0" w:space="0" w:color="auto"/>
                                                <w:left w:val="none" w:sz="0" w:space="0" w:color="auto"/>
                                                <w:bottom w:val="none" w:sz="0" w:space="0" w:color="auto"/>
                                                <w:right w:val="none" w:sz="0" w:space="0" w:color="auto"/>
                                              </w:divBdr>
                                            </w:div>
                                            <w:div w:id="837117856">
                                              <w:marLeft w:val="0"/>
                                              <w:marRight w:val="0"/>
                                              <w:marTop w:val="0"/>
                                              <w:marBottom w:val="0"/>
                                              <w:divBdr>
                                                <w:top w:val="none" w:sz="0" w:space="0" w:color="auto"/>
                                                <w:left w:val="none" w:sz="0" w:space="0" w:color="auto"/>
                                                <w:bottom w:val="none" w:sz="0" w:space="0" w:color="auto"/>
                                                <w:right w:val="none" w:sz="0" w:space="0" w:color="auto"/>
                                              </w:divBdr>
                                            </w:div>
                                            <w:div w:id="837307330">
                                              <w:marLeft w:val="0"/>
                                              <w:marRight w:val="0"/>
                                              <w:marTop w:val="0"/>
                                              <w:marBottom w:val="0"/>
                                              <w:divBdr>
                                                <w:top w:val="none" w:sz="0" w:space="0" w:color="auto"/>
                                                <w:left w:val="none" w:sz="0" w:space="0" w:color="auto"/>
                                                <w:bottom w:val="none" w:sz="0" w:space="0" w:color="auto"/>
                                                <w:right w:val="none" w:sz="0" w:space="0" w:color="auto"/>
                                              </w:divBdr>
                                            </w:div>
                                            <w:div w:id="838076841">
                                              <w:marLeft w:val="0"/>
                                              <w:marRight w:val="0"/>
                                              <w:marTop w:val="0"/>
                                              <w:marBottom w:val="0"/>
                                              <w:divBdr>
                                                <w:top w:val="none" w:sz="0" w:space="0" w:color="auto"/>
                                                <w:left w:val="none" w:sz="0" w:space="0" w:color="auto"/>
                                                <w:bottom w:val="none" w:sz="0" w:space="0" w:color="auto"/>
                                                <w:right w:val="none" w:sz="0" w:space="0" w:color="auto"/>
                                              </w:divBdr>
                                            </w:div>
                                            <w:div w:id="852231389">
                                              <w:marLeft w:val="0"/>
                                              <w:marRight w:val="0"/>
                                              <w:marTop w:val="0"/>
                                              <w:marBottom w:val="0"/>
                                              <w:divBdr>
                                                <w:top w:val="none" w:sz="0" w:space="0" w:color="auto"/>
                                                <w:left w:val="none" w:sz="0" w:space="0" w:color="auto"/>
                                                <w:bottom w:val="none" w:sz="0" w:space="0" w:color="auto"/>
                                                <w:right w:val="none" w:sz="0" w:space="0" w:color="auto"/>
                                              </w:divBdr>
                                            </w:div>
                                            <w:div w:id="870580432">
                                              <w:marLeft w:val="0"/>
                                              <w:marRight w:val="0"/>
                                              <w:marTop w:val="0"/>
                                              <w:marBottom w:val="0"/>
                                              <w:divBdr>
                                                <w:top w:val="none" w:sz="0" w:space="0" w:color="auto"/>
                                                <w:left w:val="none" w:sz="0" w:space="0" w:color="auto"/>
                                                <w:bottom w:val="none" w:sz="0" w:space="0" w:color="auto"/>
                                                <w:right w:val="none" w:sz="0" w:space="0" w:color="auto"/>
                                              </w:divBdr>
                                            </w:div>
                                            <w:div w:id="872033119">
                                              <w:marLeft w:val="0"/>
                                              <w:marRight w:val="0"/>
                                              <w:marTop w:val="0"/>
                                              <w:marBottom w:val="0"/>
                                              <w:divBdr>
                                                <w:top w:val="none" w:sz="0" w:space="0" w:color="auto"/>
                                                <w:left w:val="none" w:sz="0" w:space="0" w:color="auto"/>
                                                <w:bottom w:val="none" w:sz="0" w:space="0" w:color="auto"/>
                                                <w:right w:val="none" w:sz="0" w:space="0" w:color="auto"/>
                                              </w:divBdr>
                                            </w:div>
                                            <w:div w:id="881137944">
                                              <w:marLeft w:val="0"/>
                                              <w:marRight w:val="0"/>
                                              <w:marTop w:val="0"/>
                                              <w:marBottom w:val="0"/>
                                              <w:divBdr>
                                                <w:top w:val="none" w:sz="0" w:space="0" w:color="auto"/>
                                                <w:left w:val="none" w:sz="0" w:space="0" w:color="auto"/>
                                                <w:bottom w:val="none" w:sz="0" w:space="0" w:color="auto"/>
                                                <w:right w:val="none" w:sz="0" w:space="0" w:color="auto"/>
                                              </w:divBdr>
                                            </w:div>
                                            <w:div w:id="881945180">
                                              <w:marLeft w:val="0"/>
                                              <w:marRight w:val="0"/>
                                              <w:marTop w:val="0"/>
                                              <w:marBottom w:val="0"/>
                                              <w:divBdr>
                                                <w:top w:val="none" w:sz="0" w:space="0" w:color="auto"/>
                                                <w:left w:val="none" w:sz="0" w:space="0" w:color="auto"/>
                                                <w:bottom w:val="none" w:sz="0" w:space="0" w:color="auto"/>
                                                <w:right w:val="none" w:sz="0" w:space="0" w:color="auto"/>
                                              </w:divBdr>
                                            </w:div>
                                            <w:div w:id="882912483">
                                              <w:marLeft w:val="0"/>
                                              <w:marRight w:val="0"/>
                                              <w:marTop w:val="0"/>
                                              <w:marBottom w:val="0"/>
                                              <w:divBdr>
                                                <w:top w:val="none" w:sz="0" w:space="0" w:color="auto"/>
                                                <w:left w:val="none" w:sz="0" w:space="0" w:color="auto"/>
                                                <w:bottom w:val="none" w:sz="0" w:space="0" w:color="auto"/>
                                                <w:right w:val="none" w:sz="0" w:space="0" w:color="auto"/>
                                              </w:divBdr>
                                            </w:div>
                                            <w:div w:id="891118356">
                                              <w:marLeft w:val="0"/>
                                              <w:marRight w:val="0"/>
                                              <w:marTop w:val="0"/>
                                              <w:marBottom w:val="0"/>
                                              <w:divBdr>
                                                <w:top w:val="none" w:sz="0" w:space="0" w:color="auto"/>
                                                <w:left w:val="none" w:sz="0" w:space="0" w:color="auto"/>
                                                <w:bottom w:val="none" w:sz="0" w:space="0" w:color="auto"/>
                                                <w:right w:val="none" w:sz="0" w:space="0" w:color="auto"/>
                                              </w:divBdr>
                                            </w:div>
                                            <w:div w:id="893543373">
                                              <w:marLeft w:val="0"/>
                                              <w:marRight w:val="0"/>
                                              <w:marTop w:val="0"/>
                                              <w:marBottom w:val="0"/>
                                              <w:divBdr>
                                                <w:top w:val="none" w:sz="0" w:space="0" w:color="auto"/>
                                                <w:left w:val="none" w:sz="0" w:space="0" w:color="auto"/>
                                                <w:bottom w:val="none" w:sz="0" w:space="0" w:color="auto"/>
                                                <w:right w:val="none" w:sz="0" w:space="0" w:color="auto"/>
                                              </w:divBdr>
                                            </w:div>
                                            <w:div w:id="912011925">
                                              <w:marLeft w:val="0"/>
                                              <w:marRight w:val="0"/>
                                              <w:marTop w:val="0"/>
                                              <w:marBottom w:val="0"/>
                                              <w:divBdr>
                                                <w:top w:val="none" w:sz="0" w:space="0" w:color="auto"/>
                                                <w:left w:val="none" w:sz="0" w:space="0" w:color="auto"/>
                                                <w:bottom w:val="none" w:sz="0" w:space="0" w:color="auto"/>
                                                <w:right w:val="none" w:sz="0" w:space="0" w:color="auto"/>
                                              </w:divBdr>
                                            </w:div>
                                            <w:div w:id="914053249">
                                              <w:marLeft w:val="0"/>
                                              <w:marRight w:val="0"/>
                                              <w:marTop w:val="0"/>
                                              <w:marBottom w:val="0"/>
                                              <w:divBdr>
                                                <w:top w:val="none" w:sz="0" w:space="0" w:color="auto"/>
                                                <w:left w:val="none" w:sz="0" w:space="0" w:color="auto"/>
                                                <w:bottom w:val="none" w:sz="0" w:space="0" w:color="auto"/>
                                                <w:right w:val="none" w:sz="0" w:space="0" w:color="auto"/>
                                              </w:divBdr>
                                            </w:div>
                                            <w:div w:id="914781509">
                                              <w:marLeft w:val="0"/>
                                              <w:marRight w:val="0"/>
                                              <w:marTop w:val="0"/>
                                              <w:marBottom w:val="0"/>
                                              <w:divBdr>
                                                <w:top w:val="none" w:sz="0" w:space="0" w:color="auto"/>
                                                <w:left w:val="none" w:sz="0" w:space="0" w:color="auto"/>
                                                <w:bottom w:val="none" w:sz="0" w:space="0" w:color="auto"/>
                                                <w:right w:val="none" w:sz="0" w:space="0" w:color="auto"/>
                                              </w:divBdr>
                                            </w:div>
                                            <w:div w:id="926495941">
                                              <w:marLeft w:val="0"/>
                                              <w:marRight w:val="0"/>
                                              <w:marTop w:val="0"/>
                                              <w:marBottom w:val="0"/>
                                              <w:divBdr>
                                                <w:top w:val="none" w:sz="0" w:space="0" w:color="auto"/>
                                                <w:left w:val="none" w:sz="0" w:space="0" w:color="auto"/>
                                                <w:bottom w:val="none" w:sz="0" w:space="0" w:color="auto"/>
                                                <w:right w:val="none" w:sz="0" w:space="0" w:color="auto"/>
                                              </w:divBdr>
                                            </w:div>
                                            <w:div w:id="943078488">
                                              <w:marLeft w:val="0"/>
                                              <w:marRight w:val="0"/>
                                              <w:marTop w:val="0"/>
                                              <w:marBottom w:val="0"/>
                                              <w:divBdr>
                                                <w:top w:val="none" w:sz="0" w:space="0" w:color="auto"/>
                                                <w:left w:val="none" w:sz="0" w:space="0" w:color="auto"/>
                                                <w:bottom w:val="none" w:sz="0" w:space="0" w:color="auto"/>
                                                <w:right w:val="none" w:sz="0" w:space="0" w:color="auto"/>
                                              </w:divBdr>
                                            </w:div>
                                            <w:div w:id="947471228">
                                              <w:marLeft w:val="0"/>
                                              <w:marRight w:val="0"/>
                                              <w:marTop w:val="0"/>
                                              <w:marBottom w:val="0"/>
                                              <w:divBdr>
                                                <w:top w:val="none" w:sz="0" w:space="0" w:color="auto"/>
                                                <w:left w:val="none" w:sz="0" w:space="0" w:color="auto"/>
                                                <w:bottom w:val="none" w:sz="0" w:space="0" w:color="auto"/>
                                                <w:right w:val="none" w:sz="0" w:space="0" w:color="auto"/>
                                              </w:divBdr>
                                            </w:div>
                                            <w:div w:id="960916540">
                                              <w:marLeft w:val="0"/>
                                              <w:marRight w:val="0"/>
                                              <w:marTop w:val="0"/>
                                              <w:marBottom w:val="0"/>
                                              <w:divBdr>
                                                <w:top w:val="none" w:sz="0" w:space="0" w:color="auto"/>
                                                <w:left w:val="none" w:sz="0" w:space="0" w:color="auto"/>
                                                <w:bottom w:val="none" w:sz="0" w:space="0" w:color="auto"/>
                                                <w:right w:val="none" w:sz="0" w:space="0" w:color="auto"/>
                                              </w:divBdr>
                                            </w:div>
                                            <w:div w:id="963581326">
                                              <w:marLeft w:val="0"/>
                                              <w:marRight w:val="0"/>
                                              <w:marTop w:val="0"/>
                                              <w:marBottom w:val="0"/>
                                              <w:divBdr>
                                                <w:top w:val="none" w:sz="0" w:space="0" w:color="auto"/>
                                                <w:left w:val="none" w:sz="0" w:space="0" w:color="auto"/>
                                                <w:bottom w:val="none" w:sz="0" w:space="0" w:color="auto"/>
                                                <w:right w:val="none" w:sz="0" w:space="0" w:color="auto"/>
                                              </w:divBdr>
                                            </w:div>
                                            <w:div w:id="970212785">
                                              <w:marLeft w:val="0"/>
                                              <w:marRight w:val="0"/>
                                              <w:marTop w:val="0"/>
                                              <w:marBottom w:val="0"/>
                                              <w:divBdr>
                                                <w:top w:val="none" w:sz="0" w:space="0" w:color="auto"/>
                                                <w:left w:val="none" w:sz="0" w:space="0" w:color="auto"/>
                                                <w:bottom w:val="none" w:sz="0" w:space="0" w:color="auto"/>
                                                <w:right w:val="none" w:sz="0" w:space="0" w:color="auto"/>
                                              </w:divBdr>
                                            </w:div>
                                            <w:div w:id="971322168">
                                              <w:marLeft w:val="0"/>
                                              <w:marRight w:val="0"/>
                                              <w:marTop w:val="0"/>
                                              <w:marBottom w:val="0"/>
                                              <w:divBdr>
                                                <w:top w:val="none" w:sz="0" w:space="0" w:color="auto"/>
                                                <w:left w:val="none" w:sz="0" w:space="0" w:color="auto"/>
                                                <w:bottom w:val="none" w:sz="0" w:space="0" w:color="auto"/>
                                                <w:right w:val="none" w:sz="0" w:space="0" w:color="auto"/>
                                              </w:divBdr>
                                            </w:div>
                                            <w:div w:id="978605973">
                                              <w:marLeft w:val="0"/>
                                              <w:marRight w:val="0"/>
                                              <w:marTop w:val="0"/>
                                              <w:marBottom w:val="0"/>
                                              <w:divBdr>
                                                <w:top w:val="none" w:sz="0" w:space="0" w:color="auto"/>
                                                <w:left w:val="none" w:sz="0" w:space="0" w:color="auto"/>
                                                <w:bottom w:val="none" w:sz="0" w:space="0" w:color="auto"/>
                                                <w:right w:val="none" w:sz="0" w:space="0" w:color="auto"/>
                                              </w:divBdr>
                                            </w:div>
                                            <w:div w:id="980621399">
                                              <w:marLeft w:val="0"/>
                                              <w:marRight w:val="0"/>
                                              <w:marTop w:val="0"/>
                                              <w:marBottom w:val="0"/>
                                              <w:divBdr>
                                                <w:top w:val="none" w:sz="0" w:space="0" w:color="auto"/>
                                                <w:left w:val="none" w:sz="0" w:space="0" w:color="auto"/>
                                                <w:bottom w:val="none" w:sz="0" w:space="0" w:color="auto"/>
                                                <w:right w:val="none" w:sz="0" w:space="0" w:color="auto"/>
                                              </w:divBdr>
                                            </w:div>
                                            <w:div w:id="986131047">
                                              <w:marLeft w:val="0"/>
                                              <w:marRight w:val="0"/>
                                              <w:marTop w:val="0"/>
                                              <w:marBottom w:val="0"/>
                                              <w:divBdr>
                                                <w:top w:val="none" w:sz="0" w:space="0" w:color="auto"/>
                                                <w:left w:val="none" w:sz="0" w:space="0" w:color="auto"/>
                                                <w:bottom w:val="none" w:sz="0" w:space="0" w:color="auto"/>
                                                <w:right w:val="none" w:sz="0" w:space="0" w:color="auto"/>
                                              </w:divBdr>
                                            </w:div>
                                            <w:div w:id="989286263">
                                              <w:marLeft w:val="0"/>
                                              <w:marRight w:val="0"/>
                                              <w:marTop w:val="0"/>
                                              <w:marBottom w:val="0"/>
                                              <w:divBdr>
                                                <w:top w:val="none" w:sz="0" w:space="0" w:color="auto"/>
                                                <w:left w:val="none" w:sz="0" w:space="0" w:color="auto"/>
                                                <w:bottom w:val="none" w:sz="0" w:space="0" w:color="auto"/>
                                                <w:right w:val="none" w:sz="0" w:space="0" w:color="auto"/>
                                              </w:divBdr>
                                            </w:div>
                                            <w:div w:id="990987879">
                                              <w:marLeft w:val="0"/>
                                              <w:marRight w:val="0"/>
                                              <w:marTop w:val="0"/>
                                              <w:marBottom w:val="0"/>
                                              <w:divBdr>
                                                <w:top w:val="none" w:sz="0" w:space="0" w:color="auto"/>
                                                <w:left w:val="none" w:sz="0" w:space="0" w:color="auto"/>
                                                <w:bottom w:val="none" w:sz="0" w:space="0" w:color="auto"/>
                                                <w:right w:val="none" w:sz="0" w:space="0" w:color="auto"/>
                                              </w:divBdr>
                                            </w:div>
                                            <w:div w:id="994457248">
                                              <w:marLeft w:val="0"/>
                                              <w:marRight w:val="0"/>
                                              <w:marTop w:val="0"/>
                                              <w:marBottom w:val="0"/>
                                              <w:divBdr>
                                                <w:top w:val="none" w:sz="0" w:space="0" w:color="auto"/>
                                                <w:left w:val="none" w:sz="0" w:space="0" w:color="auto"/>
                                                <w:bottom w:val="none" w:sz="0" w:space="0" w:color="auto"/>
                                                <w:right w:val="none" w:sz="0" w:space="0" w:color="auto"/>
                                              </w:divBdr>
                                            </w:div>
                                            <w:div w:id="997686725">
                                              <w:marLeft w:val="0"/>
                                              <w:marRight w:val="0"/>
                                              <w:marTop w:val="0"/>
                                              <w:marBottom w:val="0"/>
                                              <w:divBdr>
                                                <w:top w:val="none" w:sz="0" w:space="0" w:color="auto"/>
                                                <w:left w:val="none" w:sz="0" w:space="0" w:color="auto"/>
                                                <w:bottom w:val="none" w:sz="0" w:space="0" w:color="auto"/>
                                                <w:right w:val="none" w:sz="0" w:space="0" w:color="auto"/>
                                              </w:divBdr>
                                            </w:div>
                                            <w:div w:id="1016227459">
                                              <w:marLeft w:val="0"/>
                                              <w:marRight w:val="0"/>
                                              <w:marTop w:val="0"/>
                                              <w:marBottom w:val="0"/>
                                              <w:divBdr>
                                                <w:top w:val="none" w:sz="0" w:space="0" w:color="auto"/>
                                                <w:left w:val="none" w:sz="0" w:space="0" w:color="auto"/>
                                                <w:bottom w:val="none" w:sz="0" w:space="0" w:color="auto"/>
                                                <w:right w:val="none" w:sz="0" w:space="0" w:color="auto"/>
                                              </w:divBdr>
                                            </w:div>
                                            <w:div w:id="1029186076">
                                              <w:marLeft w:val="0"/>
                                              <w:marRight w:val="0"/>
                                              <w:marTop w:val="0"/>
                                              <w:marBottom w:val="0"/>
                                              <w:divBdr>
                                                <w:top w:val="none" w:sz="0" w:space="0" w:color="auto"/>
                                                <w:left w:val="none" w:sz="0" w:space="0" w:color="auto"/>
                                                <w:bottom w:val="none" w:sz="0" w:space="0" w:color="auto"/>
                                                <w:right w:val="none" w:sz="0" w:space="0" w:color="auto"/>
                                              </w:divBdr>
                                            </w:div>
                                            <w:div w:id="1035231649">
                                              <w:marLeft w:val="0"/>
                                              <w:marRight w:val="0"/>
                                              <w:marTop w:val="0"/>
                                              <w:marBottom w:val="0"/>
                                              <w:divBdr>
                                                <w:top w:val="none" w:sz="0" w:space="0" w:color="auto"/>
                                                <w:left w:val="none" w:sz="0" w:space="0" w:color="auto"/>
                                                <w:bottom w:val="none" w:sz="0" w:space="0" w:color="auto"/>
                                                <w:right w:val="none" w:sz="0" w:space="0" w:color="auto"/>
                                              </w:divBdr>
                                            </w:div>
                                            <w:div w:id="1050377437">
                                              <w:marLeft w:val="0"/>
                                              <w:marRight w:val="0"/>
                                              <w:marTop w:val="0"/>
                                              <w:marBottom w:val="0"/>
                                              <w:divBdr>
                                                <w:top w:val="none" w:sz="0" w:space="0" w:color="auto"/>
                                                <w:left w:val="none" w:sz="0" w:space="0" w:color="auto"/>
                                                <w:bottom w:val="none" w:sz="0" w:space="0" w:color="auto"/>
                                                <w:right w:val="none" w:sz="0" w:space="0" w:color="auto"/>
                                              </w:divBdr>
                                            </w:div>
                                            <w:div w:id="1053231313">
                                              <w:marLeft w:val="0"/>
                                              <w:marRight w:val="0"/>
                                              <w:marTop w:val="0"/>
                                              <w:marBottom w:val="0"/>
                                              <w:divBdr>
                                                <w:top w:val="none" w:sz="0" w:space="0" w:color="auto"/>
                                                <w:left w:val="none" w:sz="0" w:space="0" w:color="auto"/>
                                                <w:bottom w:val="none" w:sz="0" w:space="0" w:color="auto"/>
                                                <w:right w:val="none" w:sz="0" w:space="0" w:color="auto"/>
                                              </w:divBdr>
                                            </w:div>
                                            <w:div w:id="1071731221">
                                              <w:marLeft w:val="0"/>
                                              <w:marRight w:val="0"/>
                                              <w:marTop w:val="0"/>
                                              <w:marBottom w:val="0"/>
                                              <w:divBdr>
                                                <w:top w:val="none" w:sz="0" w:space="0" w:color="auto"/>
                                                <w:left w:val="none" w:sz="0" w:space="0" w:color="auto"/>
                                                <w:bottom w:val="none" w:sz="0" w:space="0" w:color="auto"/>
                                                <w:right w:val="none" w:sz="0" w:space="0" w:color="auto"/>
                                              </w:divBdr>
                                            </w:div>
                                            <w:div w:id="1094017735">
                                              <w:marLeft w:val="0"/>
                                              <w:marRight w:val="0"/>
                                              <w:marTop w:val="0"/>
                                              <w:marBottom w:val="0"/>
                                              <w:divBdr>
                                                <w:top w:val="none" w:sz="0" w:space="0" w:color="auto"/>
                                                <w:left w:val="none" w:sz="0" w:space="0" w:color="auto"/>
                                                <w:bottom w:val="none" w:sz="0" w:space="0" w:color="auto"/>
                                                <w:right w:val="none" w:sz="0" w:space="0" w:color="auto"/>
                                              </w:divBdr>
                                            </w:div>
                                            <w:div w:id="1094401326">
                                              <w:marLeft w:val="0"/>
                                              <w:marRight w:val="0"/>
                                              <w:marTop w:val="0"/>
                                              <w:marBottom w:val="0"/>
                                              <w:divBdr>
                                                <w:top w:val="none" w:sz="0" w:space="0" w:color="auto"/>
                                                <w:left w:val="none" w:sz="0" w:space="0" w:color="auto"/>
                                                <w:bottom w:val="none" w:sz="0" w:space="0" w:color="auto"/>
                                                <w:right w:val="none" w:sz="0" w:space="0" w:color="auto"/>
                                              </w:divBdr>
                                            </w:div>
                                            <w:div w:id="1096365455">
                                              <w:marLeft w:val="0"/>
                                              <w:marRight w:val="0"/>
                                              <w:marTop w:val="0"/>
                                              <w:marBottom w:val="0"/>
                                              <w:divBdr>
                                                <w:top w:val="none" w:sz="0" w:space="0" w:color="auto"/>
                                                <w:left w:val="none" w:sz="0" w:space="0" w:color="auto"/>
                                                <w:bottom w:val="none" w:sz="0" w:space="0" w:color="auto"/>
                                                <w:right w:val="none" w:sz="0" w:space="0" w:color="auto"/>
                                              </w:divBdr>
                                            </w:div>
                                            <w:div w:id="1112477885">
                                              <w:marLeft w:val="0"/>
                                              <w:marRight w:val="0"/>
                                              <w:marTop w:val="0"/>
                                              <w:marBottom w:val="0"/>
                                              <w:divBdr>
                                                <w:top w:val="none" w:sz="0" w:space="0" w:color="auto"/>
                                                <w:left w:val="none" w:sz="0" w:space="0" w:color="auto"/>
                                                <w:bottom w:val="none" w:sz="0" w:space="0" w:color="auto"/>
                                                <w:right w:val="none" w:sz="0" w:space="0" w:color="auto"/>
                                              </w:divBdr>
                                            </w:div>
                                            <w:div w:id="1115563608">
                                              <w:marLeft w:val="0"/>
                                              <w:marRight w:val="0"/>
                                              <w:marTop w:val="0"/>
                                              <w:marBottom w:val="0"/>
                                              <w:divBdr>
                                                <w:top w:val="none" w:sz="0" w:space="0" w:color="auto"/>
                                                <w:left w:val="none" w:sz="0" w:space="0" w:color="auto"/>
                                                <w:bottom w:val="none" w:sz="0" w:space="0" w:color="auto"/>
                                                <w:right w:val="none" w:sz="0" w:space="0" w:color="auto"/>
                                              </w:divBdr>
                                            </w:div>
                                            <w:div w:id="1116677148">
                                              <w:marLeft w:val="0"/>
                                              <w:marRight w:val="0"/>
                                              <w:marTop w:val="0"/>
                                              <w:marBottom w:val="0"/>
                                              <w:divBdr>
                                                <w:top w:val="none" w:sz="0" w:space="0" w:color="auto"/>
                                                <w:left w:val="none" w:sz="0" w:space="0" w:color="auto"/>
                                                <w:bottom w:val="none" w:sz="0" w:space="0" w:color="auto"/>
                                                <w:right w:val="none" w:sz="0" w:space="0" w:color="auto"/>
                                              </w:divBdr>
                                            </w:div>
                                            <w:div w:id="1120805053">
                                              <w:marLeft w:val="0"/>
                                              <w:marRight w:val="0"/>
                                              <w:marTop w:val="0"/>
                                              <w:marBottom w:val="0"/>
                                              <w:divBdr>
                                                <w:top w:val="none" w:sz="0" w:space="0" w:color="auto"/>
                                                <w:left w:val="none" w:sz="0" w:space="0" w:color="auto"/>
                                                <w:bottom w:val="none" w:sz="0" w:space="0" w:color="auto"/>
                                                <w:right w:val="none" w:sz="0" w:space="0" w:color="auto"/>
                                              </w:divBdr>
                                            </w:div>
                                            <w:div w:id="1123423053">
                                              <w:marLeft w:val="0"/>
                                              <w:marRight w:val="0"/>
                                              <w:marTop w:val="0"/>
                                              <w:marBottom w:val="0"/>
                                              <w:divBdr>
                                                <w:top w:val="none" w:sz="0" w:space="0" w:color="auto"/>
                                                <w:left w:val="none" w:sz="0" w:space="0" w:color="auto"/>
                                                <w:bottom w:val="none" w:sz="0" w:space="0" w:color="auto"/>
                                                <w:right w:val="none" w:sz="0" w:space="0" w:color="auto"/>
                                              </w:divBdr>
                                            </w:div>
                                            <w:div w:id="1131676422">
                                              <w:marLeft w:val="0"/>
                                              <w:marRight w:val="0"/>
                                              <w:marTop w:val="0"/>
                                              <w:marBottom w:val="0"/>
                                              <w:divBdr>
                                                <w:top w:val="none" w:sz="0" w:space="0" w:color="auto"/>
                                                <w:left w:val="none" w:sz="0" w:space="0" w:color="auto"/>
                                                <w:bottom w:val="none" w:sz="0" w:space="0" w:color="auto"/>
                                                <w:right w:val="none" w:sz="0" w:space="0" w:color="auto"/>
                                              </w:divBdr>
                                            </w:div>
                                            <w:div w:id="1136264926">
                                              <w:marLeft w:val="0"/>
                                              <w:marRight w:val="0"/>
                                              <w:marTop w:val="0"/>
                                              <w:marBottom w:val="0"/>
                                              <w:divBdr>
                                                <w:top w:val="none" w:sz="0" w:space="0" w:color="auto"/>
                                                <w:left w:val="none" w:sz="0" w:space="0" w:color="auto"/>
                                                <w:bottom w:val="none" w:sz="0" w:space="0" w:color="auto"/>
                                                <w:right w:val="none" w:sz="0" w:space="0" w:color="auto"/>
                                              </w:divBdr>
                                            </w:div>
                                            <w:div w:id="1136334690">
                                              <w:marLeft w:val="0"/>
                                              <w:marRight w:val="0"/>
                                              <w:marTop w:val="0"/>
                                              <w:marBottom w:val="0"/>
                                              <w:divBdr>
                                                <w:top w:val="none" w:sz="0" w:space="0" w:color="auto"/>
                                                <w:left w:val="none" w:sz="0" w:space="0" w:color="auto"/>
                                                <w:bottom w:val="none" w:sz="0" w:space="0" w:color="auto"/>
                                                <w:right w:val="none" w:sz="0" w:space="0" w:color="auto"/>
                                              </w:divBdr>
                                            </w:div>
                                            <w:div w:id="1137146840">
                                              <w:marLeft w:val="0"/>
                                              <w:marRight w:val="0"/>
                                              <w:marTop w:val="0"/>
                                              <w:marBottom w:val="0"/>
                                              <w:divBdr>
                                                <w:top w:val="none" w:sz="0" w:space="0" w:color="auto"/>
                                                <w:left w:val="none" w:sz="0" w:space="0" w:color="auto"/>
                                                <w:bottom w:val="none" w:sz="0" w:space="0" w:color="auto"/>
                                                <w:right w:val="none" w:sz="0" w:space="0" w:color="auto"/>
                                              </w:divBdr>
                                            </w:div>
                                            <w:div w:id="1139956113">
                                              <w:marLeft w:val="0"/>
                                              <w:marRight w:val="0"/>
                                              <w:marTop w:val="0"/>
                                              <w:marBottom w:val="0"/>
                                              <w:divBdr>
                                                <w:top w:val="none" w:sz="0" w:space="0" w:color="auto"/>
                                                <w:left w:val="none" w:sz="0" w:space="0" w:color="auto"/>
                                                <w:bottom w:val="none" w:sz="0" w:space="0" w:color="auto"/>
                                                <w:right w:val="none" w:sz="0" w:space="0" w:color="auto"/>
                                              </w:divBdr>
                                            </w:div>
                                            <w:div w:id="1145780636">
                                              <w:marLeft w:val="0"/>
                                              <w:marRight w:val="0"/>
                                              <w:marTop w:val="0"/>
                                              <w:marBottom w:val="0"/>
                                              <w:divBdr>
                                                <w:top w:val="none" w:sz="0" w:space="0" w:color="auto"/>
                                                <w:left w:val="none" w:sz="0" w:space="0" w:color="auto"/>
                                                <w:bottom w:val="none" w:sz="0" w:space="0" w:color="auto"/>
                                                <w:right w:val="none" w:sz="0" w:space="0" w:color="auto"/>
                                              </w:divBdr>
                                            </w:div>
                                            <w:div w:id="1148862446">
                                              <w:marLeft w:val="0"/>
                                              <w:marRight w:val="0"/>
                                              <w:marTop w:val="0"/>
                                              <w:marBottom w:val="0"/>
                                              <w:divBdr>
                                                <w:top w:val="none" w:sz="0" w:space="0" w:color="auto"/>
                                                <w:left w:val="none" w:sz="0" w:space="0" w:color="auto"/>
                                                <w:bottom w:val="none" w:sz="0" w:space="0" w:color="auto"/>
                                                <w:right w:val="none" w:sz="0" w:space="0" w:color="auto"/>
                                              </w:divBdr>
                                            </w:div>
                                            <w:div w:id="1148979177">
                                              <w:marLeft w:val="0"/>
                                              <w:marRight w:val="0"/>
                                              <w:marTop w:val="0"/>
                                              <w:marBottom w:val="0"/>
                                              <w:divBdr>
                                                <w:top w:val="none" w:sz="0" w:space="0" w:color="auto"/>
                                                <w:left w:val="none" w:sz="0" w:space="0" w:color="auto"/>
                                                <w:bottom w:val="none" w:sz="0" w:space="0" w:color="auto"/>
                                                <w:right w:val="none" w:sz="0" w:space="0" w:color="auto"/>
                                              </w:divBdr>
                                            </w:div>
                                            <w:div w:id="1150053565">
                                              <w:marLeft w:val="0"/>
                                              <w:marRight w:val="0"/>
                                              <w:marTop w:val="0"/>
                                              <w:marBottom w:val="0"/>
                                              <w:divBdr>
                                                <w:top w:val="none" w:sz="0" w:space="0" w:color="auto"/>
                                                <w:left w:val="none" w:sz="0" w:space="0" w:color="auto"/>
                                                <w:bottom w:val="none" w:sz="0" w:space="0" w:color="auto"/>
                                                <w:right w:val="none" w:sz="0" w:space="0" w:color="auto"/>
                                              </w:divBdr>
                                            </w:div>
                                            <w:div w:id="1152986029">
                                              <w:marLeft w:val="0"/>
                                              <w:marRight w:val="0"/>
                                              <w:marTop w:val="0"/>
                                              <w:marBottom w:val="0"/>
                                              <w:divBdr>
                                                <w:top w:val="none" w:sz="0" w:space="0" w:color="auto"/>
                                                <w:left w:val="none" w:sz="0" w:space="0" w:color="auto"/>
                                                <w:bottom w:val="none" w:sz="0" w:space="0" w:color="auto"/>
                                                <w:right w:val="none" w:sz="0" w:space="0" w:color="auto"/>
                                              </w:divBdr>
                                            </w:div>
                                            <w:div w:id="1153837940">
                                              <w:marLeft w:val="0"/>
                                              <w:marRight w:val="0"/>
                                              <w:marTop w:val="0"/>
                                              <w:marBottom w:val="0"/>
                                              <w:divBdr>
                                                <w:top w:val="none" w:sz="0" w:space="0" w:color="auto"/>
                                                <w:left w:val="none" w:sz="0" w:space="0" w:color="auto"/>
                                                <w:bottom w:val="none" w:sz="0" w:space="0" w:color="auto"/>
                                                <w:right w:val="none" w:sz="0" w:space="0" w:color="auto"/>
                                              </w:divBdr>
                                            </w:div>
                                            <w:div w:id="1156266620">
                                              <w:marLeft w:val="0"/>
                                              <w:marRight w:val="0"/>
                                              <w:marTop w:val="0"/>
                                              <w:marBottom w:val="0"/>
                                              <w:divBdr>
                                                <w:top w:val="none" w:sz="0" w:space="0" w:color="auto"/>
                                                <w:left w:val="none" w:sz="0" w:space="0" w:color="auto"/>
                                                <w:bottom w:val="none" w:sz="0" w:space="0" w:color="auto"/>
                                                <w:right w:val="none" w:sz="0" w:space="0" w:color="auto"/>
                                              </w:divBdr>
                                            </w:div>
                                            <w:div w:id="1169491220">
                                              <w:marLeft w:val="0"/>
                                              <w:marRight w:val="0"/>
                                              <w:marTop w:val="0"/>
                                              <w:marBottom w:val="0"/>
                                              <w:divBdr>
                                                <w:top w:val="none" w:sz="0" w:space="0" w:color="auto"/>
                                                <w:left w:val="none" w:sz="0" w:space="0" w:color="auto"/>
                                                <w:bottom w:val="none" w:sz="0" w:space="0" w:color="auto"/>
                                                <w:right w:val="none" w:sz="0" w:space="0" w:color="auto"/>
                                              </w:divBdr>
                                            </w:div>
                                            <w:div w:id="1180002858">
                                              <w:marLeft w:val="0"/>
                                              <w:marRight w:val="0"/>
                                              <w:marTop w:val="0"/>
                                              <w:marBottom w:val="0"/>
                                              <w:divBdr>
                                                <w:top w:val="none" w:sz="0" w:space="0" w:color="auto"/>
                                                <w:left w:val="none" w:sz="0" w:space="0" w:color="auto"/>
                                                <w:bottom w:val="none" w:sz="0" w:space="0" w:color="auto"/>
                                                <w:right w:val="none" w:sz="0" w:space="0" w:color="auto"/>
                                              </w:divBdr>
                                            </w:div>
                                            <w:div w:id="1180854760">
                                              <w:marLeft w:val="0"/>
                                              <w:marRight w:val="0"/>
                                              <w:marTop w:val="0"/>
                                              <w:marBottom w:val="0"/>
                                              <w:divBdr>
                                                <w:top w:val="none" w:sz="0" w:space="0" w:color="auto"/>
                                                <w:left w:val="none" w:sz="0" w:space="0" w:color="auto"/>
                                                <w:bottom w:val="none" w:sz="0" w:space="0" w:color="auto"/>
                                                <w:right w:val="none" w:sz="0" w:space="0" w:color="auto"/>
                                              </w:divBdr>
                                            </w:div>
                                            <w:div w:id="1186794092">
                                              <w:marLeft w:val="0"/>
                                              <w:marRight w:val="0"/>
                                              <w:marTop w:val="0"/>
                                              <w:marBottom w:val="0"/>
                                              <w:divBdr>
                                                <w:top w:val="none" w:sz="0" w:space="0" w:color="auto"/>
                                                <w:left w:val="none" w:sz="0" w:space="0" w:color="auto"/>
                                                <w:bottom w:val="none" w:sz="0" w:space="0" w:color="auto"/>
                                                <w:right w:val="none" w:sz="0" w:space="0" w:color="auto"/>
                                              </w:divBdr>
                                            </w:div>
                                            <w:div w:id="1187597830">
                                              <w:marLeft w:val="0"/>
                                              <w:marRight w:val="0"/>
                                              <w:marTop w:val="0"/>
                                              <w:marBottom w:val="0"/>
                                              <w:divBdr>
                                                <w:top w:val="none" w:sz="0" w:space="0" w:color="auto"/>
                                                <w:left w:val="none" w:sz="0" w:space="0" w:color="auto"/>
                                                <w:bottom w:val="none" w:sz="0" w:space="0" w:color="auto"/>
                                                <w:right w:val="none" w:sz="0" w:space="0" w:color="auto"/>
                                              </w:divBdr>
                                            </w:div>
                                            <w:div w:id="1188983445">
                                              <w:marLeft w:val="0"/>
                                              <w:marRight w:val="0"/>
                                              <w:marTop w:val="0"/>
                                              <w:marBottom w:val="0"/>
                                              <w:divBdr>
                                                <w:top w:val="none" w:sz="0" w:space="0" w:color="auto"/>
                                                <w:left w:val="none" w:sz="0" w:space="0" w:color="auto"/>
                                                <w:bottom w:val="none" w:sz="0" w:space="0" w:color="auto"/>
                                                <w:right w:val="none" w:sz="0" w:space="0" w:color="auto"/>
                                              </w:divBdr>
                                            </w:div>
                                            <w:div w:id="1191527037">
                                              <w:marLeft w:val="0"/>
                                              <w:marRight w:val="0"/>
                                              <w:marTop w:val="0"/>
                                              <w:marBottom w:val="0"/>
                                              <w:divBdr>
                                                <w:top w:val="none" w:sz="0" w:space="0" w:color="auto"/>
                                                <w:left w:val="none" w:sz="0" w:space="0" w:color="auto"/>
                                                <w:bottom w:val="none" w:sz="0" w:space="0" w:color="auto"/>
                                                <w:right w:val="none" w:sz="0" w:space="0" w:color="auto"/>
                                              </w:divBdr>
                                            </w:div>
                                            <w:div w:id="1203178373">
                                              <w:marLeft w:val="0"/>
                                              <w:marRight w:val="0"/>
                                              <w:marTop w:val="0"/>
                                              <w:marBottom w:val="0"/>
                                              <w:divBdr>
                                                <w:top w:val="none" w:sz="0" w:space="0" w:color="auto"/>
                                                <w:left w:val="none" w:sz="0" w:space="0" w:color="auto"/>
                                                <w:bottom w:val="none" w:sz="0" w:space="0" w:color="auto"/>
                                                <w:right w:val="none" w:sz="0" w:space="0" w:color="auto"/>
                                              </w:divBdr>
                                            </w:div>
                                            <w:div w:id="1217665336">
                                              <w:marLeft w:val="0"/>
                                              <w:marRight w:val="0"/>
                                              <w:marTop w:val="0"/>
                                              <w:marBottom w:val="0"/>
                                              <w:divBdr>
                                                <w:top w:val="none" w:sz="0" w:space="0" w:color="auto"/>
                                                <w:left w:val="none" w:sz="0" w:space="0" w:color="auto"/>
                                                <w:bottom w:val="none" w:sz="0" w:space="0" w:color="auto"/>
                                                <w:right w:val="none" w:sz="0" w:space="0" w:color="auto"/>
                                              </w:divBdr>
                                            </w:div>
                                            <w:div w:id="1217929780">
                                              <w:marLeft w:val="0"/>
                                              <w:marRight w:val="0"/>
                                              <w:marTop w:val="0"/>
                                              <w:marBottom w:val="0"/>
                                              <w:divBdr>
                                                <w:top w:val="none" w:sz="0" w:space="0" w:color="auto"/>
                                                <w:left w:val="none" w:sz="0" w:space="0" w:color="auto"/>
                                                <w:bottom w:val="none" w:sz="0" w:space="0" w:color="auto"/>
                                                <w:right w:val="none" w:sz="0" w:space="0" w:color="auto"/>
                                              </w:divBdr>
                                            </w:div>
                                            <w:div w:id="1219442524">
                                              <w:marLeft w:val="0"/>
                                              <w:marRight w:val="0"/>
                                              <w:marTop w:val="0"/>
                                              <w:marBottom w:val="0"/>
                                              <w:divBdr>
                                                <w:top w:val="none" w:sz="0" w:space="0" w:color="auto"/>
                                                <w:left w:val="none" w:sz="0" w:space="0" w:color="auto"/>
                                                <w:bottom w:val="none" w:sz="0" w:space="0" w:color="auto"/>
                                                <w:right w:val="none" w:sz="0" w:space="0" w:color="auto"/>
                                              </w:divBdr>
                                            </w:div>
                                            <w:div w:id="1227833901">
                                              <w:marLeft w:val="0"/>
                                              <w:marRight w:val="0"/>
                                              <w:marTop w:val="0"/>
                                              <w:marBottom w:val="0"/>
                                              <w:divBdr>
                                                <w:top w:val="none" w:sz="0" w:space="0" w:color="auto"/>
                                                <w:left w:val="none" w:sz="0" w:space="0" w:color="auto"/>
                                                <w:bottom w:val="none" w:sz="0" w:space="0" w:color="auto"/>
                                                <w:right w:val="none" w:sz="0" w:space="0" w:color="auto"/>
                                              </w:divBdr>
                                            </w:div>
                                            <w:div w:id="1233663603">
                                              <w:marLeft w:val="0"/>
                                              <w:marRight w:val="0"/>
                                              <w:marTop w:val="0"/>
                                              <w:marBottom w:val="0"/>
                                              <w:divBdr>
                                                <w:top w:val="none" w:sz="0" w:space="0" w:color="auto"/>
                                                <w:left w:val="none" w:sz="0" w:space="0" w:color="auto"/>
                                                <w:bottom w:val="none" w:sz="0" w:space="0" w:color="auto"/>
                                                <w:right w:val="none" w:sz="0" w:space="0" w:color="auto"/>
                                              </w:divBdr>
                                            </w:div>
                                            <w:div w:id="1252006510">
                                              <w:marLeft w:val="0"/>
                                              <w:marRight w:val="0"/>
                                              <w:marTop w:val="0"/>
                                              <w:marBottom w:val="0"/>
                                              <w:divBdr>
                                                <w:top w:val="none" w:sz="0" w:space="0" w:color="auto"/>
                                                <w:left w:val="none" w:sz="0" w:space="0" w:color="auto"/>
                                                <w:bottom w:val="none" w:sz="0" w:space="0" w:color="auto"/>
                                                <w:right w:val="none" w:sz="0" w:space="0" w:color="auto"/>
                                              </w:divBdr>
                                            </w:div>
                                            <w:div w:id="1254974850">
                                              <w:marLeft w:val="0"/>
                                              <w:marRight w:val="0"/>
                                              <w:marTop w:val="0"/>
                                              <w:marBottom w:val="0"/>
                                              <w:divBdr>
                                                <w:top w:val="none" w:sz="0" w:space="0" w:color="auto"/>
                                                <w:left w:val="none" w:sz="0" w:space="0" w:color="auto"/>
                                                <w:bottom w:val="none" w:sz="0" w:space="0" w:color="auto"/>
                                                <w:right w:val="none" w:sz="0" w:space="0" w:color="auto"/>
                                              </w:divBdr>
                                            </w:div>
                                            <w:div w:id="1258975759">
                                              <w:marLeft w:val="0"/>
                                              <w:marRight w:val="0"/>
                                              <w:marTop w:val="0"/>
                                              <w:marBottom w:val="0"/>
                                              <w:divBdr>
                                                <w:top w:val="none" w:sz="0" w:space="0" w:color="auto"/>
                                                <w:left w:val="none" w:sz="0" w:space="0" w:color="auto"/>
                                                <w:bottom w:val="none" w:sz="0" w:space="0" w:color="auto"/>
                                                <w:right w:val="none" w:sz="0" w:space="0" w:color="auto"/>
                                              </w:divBdr>
                                            </w:div>
                                            <w:div w:id="1263610528">
                                              <w:marLeft w:val="0"/>
                                              <w:marRight w:val="0"/>
                                              <w:marTop w:val="0"/>
                                              <w:marBottom w:val="0"/>
                                              <w:divBdr>
                                                <w:top w:val="none" w:sz="0" w:space="0" w:color="auto"/>
                                                <w:left w:val="none" w:sz="0" w:space="0" w:color="auto"/>
                                                <w:bottom w:val="none" w:sz="0" w:space="0" w:color="auto"/>
                                                <w:right w:val="none" w:sz="0" w:space="0" w:color="auto"/>
                                              </w:divBdr>
                                            </w:div>
                                            <w:div w:id="1265386579">
                                              <w:marLeft w:val="0"/>
                                              <w:marRight w:val="0"/>
                                              <w:marTop w:val="0"/>
                                              <w:marBottom w:val="0"/>
                                              <w:divBdr>
                                                <w:top w:val="none" w:sz="0" w:space="0" w:color="auto"/>
                                                <w:left w:val="none" w:sz="0" w:space="0" w:color="auto"/>
                                                <w:bottom w:val="none" w:sz="0" w:space="0" w:color="auto"/>
                                                <w:right w:val="none" w:sz="0" w:space="0" w:color="auto"/>
                                              </w:divBdr>
                                            </w:div>
                                            <w:div w:id="1273198106">
                                              <w:marLeft w:val="0"/>
                                              <w:marRight w:val="0"/>
                                              <w:marTop w:val="0"/>
                                              <w:marBottom w:val="0"/>
                                              <w:divBdr>
                                                <w:top w:val="none" w:sz="0" w:space="0" w:color="auto"/>
                                                <w:left w:val="none" w:sz="0" w:space="0" w:color="auto"/>
                                                <w:bottom w:val="none" w:sz="0" w:space="0" w:color="auto"/>
                                                <w:right w:val="none" w:sz="0" w:space="0" w:color="auto"/>
                                              </w:divBdr>
                                            </w:div>
                                            <w:div w:id="1273706584">
                                              <w:marLeft w:val="0"/>
                                              <w:marRight w:val="0"/>
                                              <w:marTop w:val="0"/>
                                              <w:marBottom w:val="0"/>
                                              <w:divBdr>
                                                <w:top w:val="none" w:sz="0" w:space="0" w:color="auto"/>
                                                <w:left w:val="none" w:sz="0" w:space="0" w:color="auto"/>
                                                <w:bottom w:val="none" w:sz="0" w:space="0" w:color="auto"/>
                                                <w:right w:val="none" w:sz="0" w:space="0" w:color="auto"/>
                                              </w:divBdr>
                                            </w:div>
                                            <w:div w:id="1276673069">
                                              <w:marLeft w:val="0"/>
                                              <w:marRight w:val="0"/>
                                              <w:marTop w:val="0"/>
                                              <w:marBottom w:val="0"/>
                                              <w:divBdr>
                                                <w:top w:val="none" w:sz="0" w:space="0" w:color="auto"/>
                                                <w:left w:val="none" w:sz="0" w:space="0" w:color="auto"/>
                                                <w:bottom w:val="none" w:sz="0" w:space="0" w:color="auto"/>
                                                <w:right w:val="none" w:sz="0" w:space="0" w:color="auto"/>
                                              </w:divBdr>
                                            </w:div>
                                            <w:div w:id="1294217396">
                                              <w:marLeft w:val="0"/>
                                              <w:marRight w:val="0"/>
                                              <w:marTop w:val="0"/>
                                              <w:marBottom w:val="0"/>
                                              <w:divBdr>
                                                <w:top w:val="none" w:sz="0" w:space="0" w:color="auto"/>
                                                <w:left w:val="none" w:sz="0" w:space="0" w:color="auto"/>
                                                <w:bottom w:val="none" w:sz="0" w:space="0" w:color="auto"/>
                                                <w:right w:val="none" w:sz="0" w:space="0" w:color="auto"/>
                                              </w:divBdr>
                                            </w:div>
                                            <w:div w:id="1308902603">
                                              <w:marLeft w:val="0"/>
                                              <w:marRight w:val="0"/>
                                              <w:marTop w:val="0"/>
                                              <w:marBottom w:val="0"/>
                                              <w:divBdr>
                                                <w:top w:val="none" w:sz="0" w:space="0" w:color="auto"/>
                                                <w:left w:val="none" w:sz="0" w:space="0" w:color="auto"/>
                                                <w:bottom w:val="none" w:sz="0" w:space="0" w:color="auto"/>
                                                <w:right w:val="none" w:sz="0" w:space="0" w:color="auto"/>
                                              </w:divBdr>
                                            </w:div>
                                            <w:div w:id="1316761872">
                                              <w:marLeft w:val="0"/>
                                              <w:marRight w:val="0"/>
                                              <w:marTop w:val="0"/>
                                              <w:marBottom w:val="0"/>
                                              <w:divBdr>
                                                <w:top w:val="none" w:sz="0" w:space="0" w:color="auto"/>
                                                <w:left w:val="none" w:sz="0" w:space="0" w:color="auto"/>
                                                <w:bottom w:val="none" w:sz="0" w:space="0" w:color="auto"/>
                                                <w:right w:val="none" w:sz="0" w:space="0" w:color="auto"/>
                                              </w:divBdr>
                                            </w:div>
                                            <w:div w:id="1317881167">
                                              <w:marLeft w:val="0"/>
                                              <w:marRight w:val="0"/>
                                              <w:marTop w:val="0"/>
                                              <w:marBottom w:val="0"/>
                                              <w:divBdr>
                                                <w:top w:val="none" w:sz="0" w:space="0" w:color="auto"/>
                                                <w:left w:val="none" w:sz="0" w:space="0" w:color="auto"/>
                                                <w:bottom w:val="none" w:sz="0" w:space="0" w:color="auto"/>
                                                <w:right w:val="none" w:sz="0" w:space="0" w:color="auto"/>
                                              </w:divBdr>
                                            </w:div>
                                            <w:div w:id="1336298583">
                                              <w:marLeft w:val="0"/>
                                              <w:marRight w:val="0"/>
                                              <w:marTop w:val="0"/>
                                              <w:marBottom w:val="0"/>
                                              <w:divBdr>
                                                <w:top w:val="none" w:sz="0" w:space="0" w:color="auto"/>
                                                <w:left w:val="none" w:sz="0" w:space="0" w:color="auto"/>
                                                <w:bottom w:val="none" w:sz="0" w:space="0" w:color="auto"/>
                                                <w:right w:val="none" w:sz="0" w:space="0" w:color="auto"/>
                                              </w:divBdr>
                                            </w:div>
                                            <w:div w:id="1337731273">
                                              <w:marLeft w:val="0"/>
                                              <w:marRight w:val="0"/>
                                              <w:marTop w:val="0"/>
                                              <w:marBottom w:val="0"/>
                                              <w:divBdr>
                                                <w:top w:val="none" w:sz="0" w:space="0" w:color="auto"/>
                                                <w:left w:val="none" w:sz="0" w:space="0" w:color="auto"/>
                                                <w:bottom w:val="none" w:sz="0" w:space="0" w:color="auto"/>
                                                <w:right w:val="none" w:sz="0" w:space="0" w:color="auto"/>
                                              </w:divBdr>
                                            </w:div>
                                            <w:div w:id="1339430662">
                                              <w:marLeft w:val="0"/>
                                              <w:marRight w:val="0"/>
                                              <w:marTop w:val="0"/>
                                              <w:marBottom w:val="0"/>
                                              <w:divBdr>
                                                <w:top w:val="none" w:sz="0" w:space="0" w:color="auto"/>
                                                <w:left w:val="none" w:sz="0" w:space="0" w:color="auto"/>
                                                <w:bottom w:val="none" w:sz="0" w:space="0" w:color="auto"/>
                                                <w:right w:val="none" w:sz="0" w:space="0" w:color="auto"/>
                                              </w:divBdr>
                                            </w:div>
                                            <w:div w:id="1343241101">
                                              <w:marLeft w:val="0"/>
                                              <w:marRight w:val="0"/>
                                              <w:marTop w:val="0"/>
                                              <w:marBottom w:val="0"/>
                                              <w:divBdr>
                                                <w:top w:val="none" w:sz="0" w:space="0" w:color="auto"/>
                                                <w:left w:val="none" w:sz="0" w:space="0" w:color="auto"/>
                                                <w:bottom w:val="none" w:sz="0" w:space="0" w:color="auto"/>
                                                <w:right w:val="none" w:sz="0" w:space="0" w:color="auto"/>
                                              </w:divBdr>
                                            </w:div>
                                            <w:div w:id="1356343172">
                                              <w:marLeft w:val="0"/>
                                              <w:marRight w:val="0"/>
                                              <w:marTop w:val="0"/>
                                              <w:marBottom w:val="0"/>
                                              <w:divBdr>
                                                <w:top w:val="none" w:sz="0" w:space="0" w:color="auto"/>
                                                <w:left w:val="none" w:sz="0" w:space="0" w:color="auto"/>
                                                <w:bottom w:val="none" w:sz="0" w:space="0" w:color="auto"/>
                                                <w:right w:val="none" w:sz="0" w:space="0" w:color="auto"/>
                                              </w:divBdr>
                                            </w:div>
                                            <w:div w:id="1361276996">
                                              <w:marLeft w:val="0"/>
                                              <w:marRight w:val="0"/>
                                              <w:marTop w:val="0"/>
                                              <w:marBottom w:val="0"/>
                                              <w:divBdr>
                                                <w:top w:val="none" w:sz="0" w:space="0" w:color="auto"/>
                                                <w:left w:val="none" w:sz="0" w:space="0" w:color="auto"/>
                                                <w:bottom w:val="none" w:sz="0" w:space="0" w:color="auto"/>
                                                <w:right w:val="none" w:sz="0" w:space="0" w:color="auto"/>
                                              </w:divBdr>
                                            </w:div>
                                            <w:div w:id="1362590285">
                                              <w:marLeft w:val="0"/>
                                              <w:marRight w:val="0"/>
                                              <w:marTop w:val="0"/>
                                              <w:marBottom w:val="0"/>
                                              <w:divBdr>
                                                <w:top w:val="none" w:sz="0" w:space="0" w:color="auto"/>
                                                <w:left w:val="none" w:sz="0" w:space="0" w:color="auto"/>
                                                <w:bottom w:val="none" w:sz="0" w:space="0" w:color="auto"/>
                                                <w:right w:val="none" w:sz="0" w:space="0" w:color="auto"/>
                                              </w:divBdr>
                                            </w:div>
                                            <w:div w:id="1363557400">
                                              <w:marLeft w:val="0"/>
                                              <w:marRight w:val="0"/>
                                              <w:marTop w:val="0"/>
                                              <w:marBottom w:val="0"/>
                                              <w:divBdr>
                                                <w:top w:val="none" w:sz="0" w:space="0" w:color="auto"/>
                                                <w:left w:val="none" w:sz="0" w:space="0" w:color="auto"/>
                                                <w:bottom w:val="none" w:sz="0" w:space="0" w:color="auto"/>
                                                <w:right w:val="none" w:sz="0" w:space="0" w:color="auto"/>
                                              </w:divBdr>
                                            </w:div>
                                            <w:div w:id="1367675286">
                                              <w:marLeft w:val="0"/>
                                              <w:marRight w:val="0"/>
                                              <w:marTop w:val="0"/>
                                              <w:marBottom w:val="0"/>
                                              <w:divBdr>
                                                <w:top w:val="none" w:sz="0" w:space="0" w:color="auto"/>
                                                <w:left w:val="none" w:sz="0" w:space="0" w:color="auto"/>
                                                <w:bottom w:val="none" w:sz="0" w:space="0" w:color="auto"/>
                                                <w:right w:val="none" w:sz="0" w:space="0" w:color="auto"/>
                                              </w:divBdr>
                                            </w:div>
                                            <w:div w:id="1374422843">
                                              <w:marLeft w:val="0"/>
                                              <w:marRight w:val="0"/>
                                              <w:marTop w:val="0"/>
                                              <w:marBottom w:val="0"/>
                                              <w:divBdr>
                                                <w:top w:val="none" w:sz="0" w:space="0" w:color="auto"/>
                                                <w:left w:val="none" w:sz="0" w:space="0" w:color="auto"/>
                                                <w:bottom w:val="none" w:sz="0" w:space="0" w:color="auto"/>
                                                <w:right w:val="none" w:sz="0" w:space="0" w:color="auto"/>
                                              </w:divBdr>
                                            </w:div>
                                            <w:div w:id="1375691731">
                                              <w:marLeft w:val="0"/>
                                              <w:marRight w:val="0"/>
                                              <w:marTop w:val="0"/>
                                              <w:marBottom w:val="0"/>
                                              <w:divBdr>
                                                <w:top w:val="none" w:sz="0" w:space="0" w:color="auto"/>
                                                <w:left w:val="none" w:sz="0" w:space="0" w:color="auto"/>
                                                <w:bottom w:val="none" w:sz="0" w:space="0" w:color="auto"/>
                                                <w:right w:val="none" w:sz="0" w:space="0" w:color="auto"/>
                                              </w:divBdr>
                                            </w:div>
                                            <w:div w:id="1376126691">
                                              <w:marLeft w:val="0"/>
                                              <w:marRight w:val="0"/>
                                              <w:marTop w:val="0"/>
                                              <w:marBottom w:val="0"/>
                                              <w:divBdr>
                                                <w:top w:val="none" w:sz="0" w:space="0" w:color="auto"/>
                                                <w:left w:val="none" w:sz="0" w:space="0" w:color="auto"/>
                                                <w:bottom w:val="none" w:sz="0" w:space="0" w:color="auto"/>
                                                <w:right w:val="none" w:sz="0" w:space="0" w:color="auto"/>
                                              </w:divBdr>
                                            </w:div>
                                            <w:div w:id="1385060766">
                                              <w:marLeft w:val="0"/>
                                              <w:marRight w:val="0"/>
                                              <w:marTop w:val="0"/>
                                              <w:marBottom w:val="0"/>
                                              <w:divBdr>
                                                <w:top w:val="none" w:sz="0" w:space="0" w:color="auto"/>
                                                <w:left w:val="none" w:sz="0" w:space="0" w:color="auto"/>
                                                <w:bottom w:val="none" w:sz="0" w:space="0" w:color="auto"/>
                                                <w:right w:val="none" w:sz="0" w:space="0" w:color="auto"/>
                                              </w:divBdr>
                                            </w:div>
                                            <w:div w:id="1389458883">
                                              <w:marLeft w:val="0"/>
                                              <w:marRight w:val="0"/>
                                              <w:marTop w:val="0"/>
                                              <w:marBottom w:val="0"/>
                                              <w:divBdr>
                                                <w:top w:val="none" w:sz="0" w:space="0" w:color="auto"/>
                                                <w:left w:val="none" w:sz="0" w:space="0" w:color="auto"/>
                                                <w:bottom w:val="none" w:sz="0" w:space="0" w:color="auto"/>
                                                <w:right w:val="none" w:sz="0" w:space="0" w:color="auto"/>
                                              </w:divBdr>
                                            </w:div>
                                            <w:div w:id="1393457157">
                                              <w:marLeft w:val="0"/>
                                              <w:marRight w:val="0"/>
                                              <w:marTop w:val="0"/>
                                              <w:marBottom w:val="0"/>
                                              <w:divBdr>
                                                <w:top w:val="none" w:sz="0" w:space="0" w:color="auto"/>
                                                <w:left w:val="none" w:sz="0" w:space="0" w:color="auto"/>
                                                <w:bottom w:val="none" w:sz="0" w:space="0" w:color="auto"/>
                                                <w:right w:val="none" w:sz="0" w:space="0" w:color="auto"/>
                                              </w:divBdr>
                                            </w:div>
                                            <w:div w:id="1396663369">
                                              <w:marLeft w:val="0"/>
                                              <w:marRight w:val="0"/>
                                              <w:marTop w:val="0"/>
                                              <w:marBottom w:val="0"/>
                                              <w:divBdr>
                                                <w:top w:val="none" w:sz="0" w:space="0" w:color="auto"/>
                                                <w:left w:val="none" w:sz="0" w:space="0" w:color="auto"/>
                                                <w:bottom w:val="none" w:sz="0" w:space="0" w:color="auto"/>
                                                <w:right w:val="none" w:sz="0" w:space="0" w:color="auto"/>
                                              </w:divBdr>
                                            </w:div>
                                            <w:div w:id="1409111944">
                                              <w:marLeft w:val="0"/>
                                              <w:marRight w:val="0"/>
                                              <w:marTop w:val="0"/>
                                              <w:marBottom w:val="0"/>
                                              <w:divBdr>
                                                <w:top w:val="none" w:sz="0" w:space="0" w:color="auto"/>
                                                <w:left w:val="none" w:sz="0" w:space="0" w:color="auto"/>
                                                <w:bottom w:val="none" w:sz="0" w:space="0" w:color="auto"/>
                                                <w:right w:val="none" w:sz="0" w:space="0" w:color="auto"/>
                                              </w:divBdr>
                                            </w:div>
                                            <w:div w:id="1411582750">
                                              <w:marLeft w:val="0"/>
                                              <w:marRight w:val="0"/>
                                              <w:marTop w:val="0"/>
                                              <w:marBottom w:val="0"/>
                                              <w:divBdr>
                                                <w:top w:val="none" w:sz="0" w:space="0" w:color="auto"/>
                                                <w:left w:val="none" w:sz="0" w:space="0" w:color="auto"/>
                                                <w:bottom w:val="none" w:sz="0" w:space="0" w:color="auto"/>
                                                <w:right w:val="none" w:sz="0" w:space="0" w:color="auto"/>
                                              </w:divBdr>
                                            </w:div>
                                            <w:div w:id="1413698111">
                                              <w:marLeft w:val="0"/>
                                              <w:marRight w:val="0"/>
                                              <w:marTop w:val="0"/>
                                              <w:marBottom w:val="0"/>
                                              <w:divBdr>
                                                <w:top w:val="none" w:sz="0" w:space="0" w:color="auto"/>
                                                <w:left w:val="none" w:sz="0" w:space="0" w:color="auto"/>
                                                <w:bottom w:val="none" w:sz="0" w:space="0" w:color="auto"/>
                                                <w:right w:val="none" w:sz="0" w:space="0" w:color="auto"/>
                                              </w:divBdr>
                                            </w:div>
                                            <w:div w:id="1437678839">
                                              <w:marLeft w:val="0"/>
                                              <w:marRight w:val="0"/>
                                              <w:marTop w:val="0"/>
                                              <w:marBottom w:val="0"/>
                                              <w:divBdr>
                                                <w:top w:val="none" w:sz="0" w:space="0" w:color="auto"/>
                                                <w:left w:val="none" w:sz="0" w:space="0" w:color="auto"/>
                                                <w:bottom w:val="none" w:sz="0" w:space="0" w:color="auto"/>
                                                <w:right w:val="none" w:sz="0" w:space="0" w:color="auto"/>
                                              </w:divBdr>
                                            </w:div>
                                            <w:div w:id="1440487582">
                                              <w:marLeft w:val="0"/>
                                              <w:marRight w:val="0"/>
                                              <w:marTop w:val="0"/>
                                              <w:marBottom w:val="0"/>
                                              <w:divBdr>
                                                <w:top w:val="none" w:sz="0" w:space="0" w:color="auto"/>
                                                <w:left w:val="none" w:sz="0" w:space="0" w:color="auto"/>
                                                <w:bottom w:val="none" w:sz="0" w:space="0" w:color="auto"/>
                                                <w:right w:val="none" w:sz="0" w:space="0" w:color="auto"/>
                                              </w:divBdr>
                                            </w:div>
                                            <w:div w:id="1443185534">
                                              <w:marLeft w:val="0"/>
                                              <w:marRight w:val="0"/>
                                              <w:marTop w:val="0"/>
                                              <w:marBottom w:val="0"/>
                                              <w:divBdr>
                                                <w:top w:val="none" w:sz="0" w:space="0" w:color="auto"/>
                                                <w:left w:val="none" w:sz="0" w:space="0" w:color="auto"/>
                                                <w:bottom w:val="none" w:sz="0" w:space="0" w:color="auto"/>
                                                <w:right w:val="none" w:sz="0" w:space="0" w:color="auto"/>
                                              </w:divBdr>
                                            </w:div>
                                            <w:div w:id="1444573956">
                                              <w:marLeft w:val="0"/>
                                              <w:marRight w:val="0"/>
                                              <w:marTop w:val="0"/>
                                              <w:marBottom w:val="0"/>
                                              <w:divBdr>
                                                <w:top w:val="none" w:sz="0" w:space="0" w:color="auto"/>
                                                <w:left w:val="none" w:sz="0" w:space="0" w:color="auto"/>
                                                <w:bottom w:val="none" w:sz="0" w:space="0" w:color="auto"/>
                                                <w:right w:val="none" w:sz="0" w:space="0" w:color="auto"/>
                                              </w:divBdr>
                                            </w:div>
                                            <w:div w:id="1456674811">
                                              <w:marLeft w:val="0"/>
                                              <w:marRight w:val="0"/>
                                              <w:marTop w:val="0"/>
                                              <w:marBottom w:val="0"/>
                                              <w:divBdr>
                                                <w:top w:val="none" w:sz="0" w:space="0" w:color="auto"/>
                                                <w:left w:val="none" w:sz="0" w:space="0" w:color="auto"/>
                                                <w:bottom w:val="none" w:sz="0" w:space="0" w:color="auto"/>
                                                <w:right w:val="none" w:sz="0" w:space="0" w:color="auto"/>
                                              </w:divBdr>
                                            </w:div>
                                            <w:div w:id="1462653507">
                                              <w:marLeft w:val="0"/>
                                              <w:marRight w:val="0"/>
                                              <w:marTop w:val="0"/>
                                              <w:marBottom w:val="0"/>
                                              <w:divBdr>
                                                <w:top w:val="none" w:sz="0" w:space="0" w:color="auto"/>
                                                <w:left w:val="none" w:sz="0" w:space="0" w:color="auto"/>
                                                <w:bottom w:val="none" w:sz="0" w:space="0" w:color="auto"/>
                                                <w:right w:val="none" w:sz="0" w:space="0" w:color="auto"/>
                                              </w:divBdr>
                                            </w:div>
                                            <w:div w:id="1480144975">
                                              <w:marLeft w:val="0"/>
                                              <w:marRight w:val="0"/>
                                              <w:marTop w:val="0"/>
                                              <w:marBottom w:val="0"/>
                                              <w:divBdr>
                                                <w:top w:val="none" w:sz="0" w:space="0" w:color="auto"/>
                                                <w:left w:val="none" w:sz="0" w:space="0" w:color="auto"/>
                                                <w:bottom w:val="none" w:sz="0" w:space="0" w:color="auto"/>
                                                <w:right w:val="none" w:sz="0" w:space="0" w:color="auto"/>
                                              </w:divBdr>
                                            </w:div>
                                            <w:div w:id="1481729660">
                                              <w:marLeft w:val="0"/>
                                              <w:marRight w:val="0"/>
                                              <w:marTop w:val="0"/>
                                              <w:marBottom w:val="0"/>
                                              <w:divBdr>
                                                <w:top w:val="none" w:sz="0" w:space="0" w:color="auto"/>
                                                <w:left w:val="none" w:sz="0" w:space="0" w:color="auto"/>
                                                <w:bottom w:val="none" w:sz="0" w:space="0" w:color="auto"/>
                                                <w:right w:val="none" w:sz="0" w:space="0" w:color="auto"/>
                                              </w:divBdr>
                                            </w:div>
                                            <w:div w:id="1502235184">
                                              <w:marLeft w:val="0"/>
                                              <w:marRight w:val="0"/>
                                              <w:marTop w:val="0"/>
                                              <w:marBottom w:val="0"/>
                                              <w:divBdr>
                                                <w:top w:val="none" w:sz="0" w:space="0" w:color="auto"/>
                                                <w:left w:val="none" w:sz="0" w:space="0" w:color="auto"/>
                                                <w:bottom w:val="none" w:sz="0" w:space="0" w:color="auto"/>
                                                <w:right w:val="none" w:sz="0" w:space="0" w:color="auto"/>
                                              </w:divBdr>
                                            </w:div>
                                            <w:div w:id="1516916644">
                                              <w:marLeft w:val="0"/>
                                              <w:marRight w:val="0"/>
                                              <w:marTop w:val="0"/>
                                              <w:marBottom w:val="0"/>
                                              <w:divBdr>
                                                <w:top w:val="none" w:sz="0" w:space="0" w:color="auto"/>
                                                <w:left w:val="none" w:sz="0" w:space="0" w:color="auto"/>
                                                <w:bottom w:val="none" w:sz="0" w:space="0" w:color="auto"/>
                                                <w:right w:val="none" w:sz="0" w:space="0" w:color="auto"/>
                                              </w:divBdr>
                                            </w:div>
                                            <w:div w:id="1517233291">
                                              <w:marLeft w:val="0"/>
                                              <w:marRight w:val="0"/>
                                              <w:marTop w:val="0"/>
                                              <w:marBottom w:val="0"/>
                                              <w:divBdr>
                                                <w:top w:val="none" w:sz="0" w:space="0" w:color="auto"/>
                                                <w:left w:val="none" w:sz="0" w:space="0" w:color="auto"/>
                                                <w:bottom w:val="none" w:sz="0" w:space="0" w:color="auto"/>
                                                <w:right w:val="none" w:sz="0" w:space="0" w:color="auto"/>
                                              </w:divBdr>
                                            </w:div>
                                            <w:div w:id="1527328582">
                                              <w:marLeft w:val="0"/>
                                              <w:marRight w:val="0"/>
                                              <w:marTop w:val="0"/>
                                              <w:marBottom w:val="0"/>
                                              <w:divBdr>
                                                <w:top w:val="none" w:sz="0" w:space="0" w:color="auto"/>
                                                <w:left w:val="none" w:sz="0" w:space="0" w:color="auto"/>
                                                <w:bottom w:val="none" w:sz="0" w:space="0" w:color="auto"/>
                                                <w:right w:val="none" w:sz="0" w:space="0" w:color="auto"/>
                                              </w:divBdr>
                                            </w:div>
                                            <w:div w:id="1545558084">
                                              <w:marLeft w:val="0"/>
                                              <w:marRight w:val="0"/>
                                              <w:marTop w:val="0"/>
                                              <w:marBottom w:val="0"/>
                                              <w:divBdr>
                                                <w:top w:val="none" w:sz="0" w:space="0" w:color="auto"/>
                                                <w:left w:val="none" w:sz="0" w:space="0" w:color="auto"/>
                                                <w:bottom w:val="none" w:sz="0" w:space="0" w:color="auto"/>
                                                <w:right w:val="none" w:sz="0" w:space="0" w:color="auto"/>
                                              </w:divBdr>
                                            </w:div>
                                            <w:div w:id="1550260349">
                                              <w:marLeft w:val="0"/>
                                              <w:marRight w:val="0"/>
                                              <w:marTop w:val="0"/>
                                              <w:marBottom w:val="0"/>
                                              <w:divBdr>
                                                <w:top w:val="none" w:sz="0" w:space="0" w:color="auto"/>
                                                <w:left w:val="none" w:sz="0" w:space="0" w:color="auto"/>
                                                <w:bottom w:val="none" w:sz="0" w:space="0" w:color="auto"/>
                                                <w:right w:val="none" w:sz="0" w:space="0" w:color="auto"/>
                                              </w:divBdr>
                                            </w:div>
                                            <w:div w:id="1572079413">
                                              <w:marLeft w:val="0"/>
                                              <w:marRight w:val="0"/>
                                              <w:marTop w:val="0"/>
                                              <w:marBottom w:val="0"/>
                                              <w:divBdr>
                                                <w:top w:val="none" w:sz="0" w:space="0" w:color="auto"/>
                                                <w:left w:val="none" w:sz="0" w:space="0" w:color="auto"/>
                                                <w:bottom w:val="none" w:sz="0" w:space="0" w:color="auto"/>
                                                <w:right w:val="none" w:sz="0" w:space="0" w:color="auto"/>
                                              </w:divBdr>
                                            </w:div>
                                            <w:div w:id="1583564710">
                                              <w:marLeft w:val="0"/>
                                              <w:marRight w:val="0"/>
                                              <w:marTop w:val="0"/>
                                              <w:marBottom w:val="0"/>
                                              <w:divBdr>
                                                <w:top w:val="none" w:sz="0" w:space="0" w:color="auto"/>
                                                <w:left w:val="none" w:sz="0" w:space="0" w:color="auto"/>
                                                <w:bottom w:val="none" w:sz="0" w:space="0" w:color="auto"/>
                                                <w:right w:val="none" w:sz="0" w:space="0" w:color="auto"/>
                                              </w:divBdr>
                                            </w:div>
                                            <w:div w:id="1584413835">
                                              <w:marLeft w:val="0"/>
                                              <w:marRight w:val="0"/>
                                              <w:marTop w:val="0"/>
                                              <w:marBottom w:val="0"/>
                                              <w:divBdr>
                                                <w:top w:val="none" w:sz="0" w:space="0" w:color="auto"/>
                                                <w:left w:val="none" w:sz="0" w:space="0" w:color="auto"/>
                                                <w:bottom w:val="none" w:sz="0" w:space="0" w:color="auto"/>
                                                <w:right w:val="none" w:sz="0" w:space="0" w:color="auto"/>
                                              </w:divBdr>
                                            </w:div>
                                            <w:div w:id="1587300018">
                                              <w:marLeft w:val="0"/>
                                              <w:marRight w:val="0"/>
                                              <w:marTop w:val="0"/>
                                              <w:marBottom w:val="0"/>
                                              <w:divBdr>
                                                <w:top w:val="none" w:sz="0" w:space="0" w:color="auto"/>
                                                <w:left w:val="none" w:sz="0" w:space="0" w:color="auto"/>
                                                <w:bottom w:val="none" w:sz="0" w:space="0" w:color="auto"/>
                                                <w:right w:val="none" w:sz="0" w:space="0" w:color="auto"/>
                                              </w:divBdr>
                                            </w:div>
                                            <w:div w:id="1590263158">
                                              <w:marLeft w:val="0"/>
                                              <w:marRight w:val="0"/>
                                              <w:marTop w:val="0"/>
                                              <w:marBottom w:val="0"/>
                                              <w:divBdr>
                                                <w:top w:val="none" w:sz="0" w:space="0" w:color="auto"/>
                                                <w:left w:val="none" w:sz="0" w:space="0" w:color="auto"/>
                                                <w:bottom w:val="none" w:sz="0" w:space="0" w:color="auto"/>
                                                <w:right w:val="none" w:sz="0" w:space="0" w:color="auto"/>
                                              </w:divBdr>
                                            </w:div>
                                            <w:div w:id="1591694905">
                                              <w:marLeft w:val="0"/>
                                              <w:marRight w:val="0"/>
                                              <w:marTop w:val="0"/>
                                              <w:marBottom w:val="0"/>
                                              <w:divBdr>
                                                <w:top w:val="none" w:sz="0" w:space="0" w:color="auto"/>
                                                <w:left w:val="none" w:sz="0" w:space="0" w:color="auto"/>
                                                <w:bottom w:val="none" w:sz="0" w:space="0" w:color="auto"/>
                                                <w:right w:val="none" w:sz="0" w:space="0" w:color="auto"/>
                                              </w:divBdr>
                                            </w:div>
                                            <w:div w:id="1597321276">
                                              <w:marLeft w:val="0"/>
                                              <w:marRight w:val="0"/>
                                              <w:marTop w:val="0"/>
                                              <w:marBottom w:val="0"/>
                                              <w:divBdr>
                                                <w:top w:val="none" w:sz="0" w:space="0" w:color="auto"/>
                                                <w:left w:val="none" w:sz="0" w:space="0" w:color="auto"/>
                                                <w:bottom w:val="none" w:sz="0" w:space="0" w:color="auto"/>
                                                <w:right w:val="none" w:sz="0" w:space="0" w:color="auto"/>
                                              </w:divBdr>
                                            </w:div>
                                            <w:div w:id="1605067283">
                                              <w:marLeft w:val="0"/>
                                              <w:marRight w:val="0"/>
                                              <w:marTop w:val="0"/>
                                              <w:marBottom w:val="0"/>
                                              <w:divBdr>
                                                <w:top w:val="none" w:sz="0" w:space="0" w:color="auto"/>
                                                <w:left w:val="none" w:sz="0" w:space="0" w:color="auto"/>
                                                <w:bottom w:val="none" w:sz="0" w:space="0" w:color="auto"/>
                                                <w:right w:val="none" w:sz="0" w:space="0" w:color="auto"/>
                                              </w:divBdr>
                                            </w:div>
                                            <w:div w:id="1605922786">
                                              <w:marLeft w:val="0"/>
                                              <w:marRight w:val="0"/>
                                              <w:marTop w:val="0"/>
                                              <w:marBottom w:val="0"/>
                                              <w:divBdr>
                                                <w:top w:val="none" w:sz="0" w:space="0" w:color="auto"/>
                                                <w:left w:val="none" w:sz="0" w:space="0" w:color="auto"/>
                                                <w:bottom w:val="none" w:sz="0" w:space="0" w:color="auto"/>
                                                <w:right w:val="none" w:sz="0" w:space="0" w:color="auto"/>
                                              </w:divBdr>
                                            </w:div>
                                            <w:div w:id="1607888611">
                                              <w:marLeft w:val="0"/>
                                              <w:marRight w:val="0"/>
                                              <w:marTop w:val="0"/>
                                              <w:marBottom w:val="0"/>
                                              <w:divBdr>
                                                <w:top w:val="none" w:sz="0" w:space="0" w:color="auto"/>
                                                <w:left w:val="none" w:sz="0" w:space="0" w:color="auto"/>
                                                <w:bottom w:val="none" w:sz="0" w:space="0" w:color="auto"/>
                                                <w:right w:val="none" w:sz="0" w:space="0" w:color="auto"/>
                                              </w:divBdr>
                                            </w:div>
                                            <w:div w:id="1616789344">
                                              <w:marLeft w:val="0"/>
                                              <w:marRight w:val="0"/>
                                              <w:marTop w:val="0"/>
                                              <w:marBottom w:val="0"/>
                                              <w:divBdr>
                                                <w:top w:val="none" w:sz="0" w:space="0" w:color="auto"/>
                                                <w:left w:val="none" w:sz="0" w:space="0" w:color="auto"/>
                                                <w:bottom w:val="none" w:sz="0" w:space="0" w:color="auto"/>
                                                <w:right w:val="none" w:sz="0" w:space="0" w:color="auto"/>
                                              </w:divBdr>
                                            </w:div>
                                            <w:div w:id="1626497078">
                                              <w:marLeft w:val="0"/>
                                              <w:marRight w:val="0"/>
                                              <w:marTop w:val="0"/>
                                              <w:marBottom w:val="0"/>
                                              <w:divBdr>
                                                <w:top w:val="none" w:sz="0" w:space="0" w:color="auto"/>
                                                <w:left w:val="none" w:sz="0" w:space="0" w:color="auto"/>
                                                <w:bottom w:val="none" w:sz="0" w:space="0" w:color="auto"/>
                                                <w:right w:val="none" w:sz="0" w:space="0" w:color="auto"/>
                                              </w:divBdr>
                                            </w:div>
                                            <w:div w:id="1627547672">
                                              <w:marLeft w:val="0"/>
                                              <w:marRight w:val="0"/>
                                              <w:marTop w:val="0"/>
                                              <w:marBottom w:val="0"/>
                                              <w:divBdr>
                                                <w:top w:val="none" w:sz="0" w:space="0" w:color="auto"/>
                                                <w:left w:val="none" w:sz="0" w:space="0" w:color="auto"/>
                                                <w:bottom w:val="none" w:sz="0" w:space="0" w:color="auto"/>
                                                <w:right w:val="none" w:sz="0" w:space="0" w:color="auto"/>
                                              </w:divBdr>
                                            </w:div>
                                            <w:div w:id="1631132641">
                                              <w:marLeft w:val="0"/>
                                              <w:marRight w:val="0"/>
                                              <w:marTop w:val="0"/>
                                              <w:marBottom w:val="0"/>
                                              <w:divBdr>
                                                <w:top w:val="none" w:sz="0" w:space="0" w:color="auto"/>
                                                <w:left w:val="none" w:sz="0" w:space="0" w:color="auto"/>
                                                <w:bottom w:val="none" w:sz="0" w:space="0" w:color="auto"/>
                                                <w:right w:val="none" w:sz="0" w:space="0" w:color="auto"/>
                                              </w:divBdr>
                                            </w:div>
                                            <w:div w:id="1634673962">
                                              <w:marLeft w:val="0"/>
                                              <w:marRight w:val="0"/>
                                              <w:marTop w:val="0"/>
                                              <w:marBottom w:val="0"/>
                                              <w:divBdr>
                                                <w:top w:val="none" w:sz="0" w:space="0" w:color="auto"/>
                                                <w:left w:val="none" w:sz="0" w:space="0" w:color="auto"/>
                                                <w:bottom w:val="none" w:sz="0" w:space="0" w:color="auto"/>
                                                <w:right w:val="none" w:sz="0" w:space="0" w:color="auto"/>
                                              </w:divBdr>
                                            </w:div>
                                            <w:div w:id="1639846018">
                                              <w:marLeft w:val="0"/>
                                              <w:marRight w:val="0"/>
                                              <w:marTop w:val="0"/>
                                              <w:marBottom w:val="0"/>
                                              <w:divBdr>
                                                <w:top w:val="none" w:sz="0" w:space="0" w:color="auto"/>
                                                <w:left w:val="none" w:sz="0" w:space="0" w:color="auto"/>
                                                <w:bottom w:val="none" w:sz="0" w:space="0" w:color="auto"/>
                                                <w:right w:val="none" w:sz="0" w:space="0" w:color="auto"/>
                                              </w:divBdr>
                                            </w:div>
                                            <w:div w:id="1642883245">
                                              <w:marLeft w:val="0"/>
                                              <w:marRight w:val="0"/>
                                              <w:marTop w:val="0"/>
                                              <w:marBottom w:val="0"/>
                                              <w:divBdr>
                                                <w:top w:val="none" w:sz="0" w:space="0" w:color="auto"/>
                                                <w:left w:val="none" w:sz="0" w:space="0" w:color="auto"/>
                                                <w:bottom w:val="none" w:sz="0" w:space="0" w:color="auto"/>
                                                <w:right w:val="none" w:sz="0" w:space="0" w:color="auto"/>
                                              </w:divBdr>
                                            </w:div>
                                            <w:div w:id="1646857116">
                                              <w:marLeft w:val="0"/>
                                              <w:marRight w:val="0"/>
                                              <w:marTop w:val="0"/>
                                              <w:marBottom w:val="0"/>
                                              <w:divBdr>
                                                <w:top w:val="none" w:sz="0" w:space="0" w:color="auto"/>
                                                <w:left w:val="none" w:sz="0" w:space="0" w:color="auto"/>
                                                <w:bottom w:val="none" w:sz="0" w:space="0" w:color="auto"/>
                                                <w:right w:val="none" w:sz="0" w:space="0" w:color="auto"/>
                                              </w:divBdr>
                                            </w:div>
                                            <w:div w:id="1650089932">
                                              <w:marLeft w:val="0"/>
                                              <w:marRight w:val="0"/>
                                              <w:marTop w:val="0"/>
                                              <w:marBottom w:val="0"/>
                                              <w:divBdr>
                                                <w:top w:val="none" w:sz="0" w:space="0" w:color="auto"/>
                                                <w:left w:val="none" w:sz="0" w:space="0" w:color="auto"/>
                                                <w:bottom w:val="none" w:sz="0" w:space="0" w:color="auto"/>
                                                <w:right w:val="none" w:sz="0" w:space="0" w:color="auto"/>
                                              </w:divBdr>
                                            </w:div>
                                            <w:div w:id="1653291383">
                                              <w:marLeft w:val="0"/>
                                              <w:marRight w:val="0"/>
                                              <w:marTop w:val="0"/>
                                              <w:marBottom w:val="0"/>
                                              <w:divBdr>
                                                <w:top w:val="none" w:sz="0" w:space="0" w:color="auto"/>
                                                <w:left w:val="none" w:sz="0" w:space="0" w:color="auto"/>
                                                <w:bottom w:val="none" w:sz="0" w:space="0" w:color="auto"/>
                                                <w:right w:val="none" w:sz="0" w:space="0" w:color="auto"/>
                                              </w:divBdr>
                                            </w:div>
                                            <w:div w:id="1671063835">
                                              <w:marLeft w:val="0"/>
                                              <w:marRight w:val="0"/>
                                              <w:marTop w:val="0"/>
                                              <w:marBottom w:val="0"/>
                                              <w:divBdr>
                                                <w:top w:val="none" w:sz="0" w:space="0" w:color="auto"/>
                                                <w:left w:val="none" w:sz="0" w:space="0" w:color="auto"/>
                                                <w:bottom w:val="none" w:sz="0" w:space="0" w:color="auto"/>
                                                <w:right w:val="none" w:sz="0" w:space="0" w:color="auto"/>
                                              </w:divBdr>
                                            </w:div>
                                            <w:div w:id="1684628658">
                                              <w:marLeft w:val="0"/>
                                              <w:marRight w:val="0"/>
                                              <w:marTop w:val="0"/>
                                              <w:marBottom w:val="0"/>
                                              <w:divBdr>
                                                <w:top w:val="none" w:sz="0" w:space="0" w:color="auto"/>
                                                <w:left w:val="none" w:sz="0" w:space="0" w:color="auto"/>
                                                <w:bottom w:val="none" w:sz="0" w:space="0" w:color="auto"/>
                                                <w:right w:val="none" w:sz="0" w:space="0" w:color="auto"/>
                                              </w:divBdr>
                                            </w:div>
                                            <w:div w:id="1686251909">
                                              <w:marLeft w:val="0"/>
                                              <w:marRight w:val="0"/>
                                              <w:marTop w:val="0"/>
                                              <w:marBottom w:val="0"/>
                                              <w:divBdr>
                                                <w:top w:val="none" w:sz="0" w:space="0" w:color="auto"/>
                                                <w:left w:val="none" w:sz="0" w:space="0" w:color="auto"/>
                                                <w:bottom w:val="none" w:sz="0" w:space="0" w:color="auto"/>
                                                <w:right w:val="none" w:sz="0" w:space="0" w:color="auto"/>
                                              </w:divBdr>
                                            </w:div>
                                            <w:div w:id="1699967572">
                                              <w:marLeft w:val="0"/>
                                              <w:marRight w:val="0"/>
                                              <w:marTop w:val="0"/>
                                              <w:marBottom w:val="0"/>
                                              <w:divBdr>
                                                <w:top w:val="none" w:sz="0" w:space="0" w:color="auto"/>
                                                <w:left w:val="none" w:sz="0" w:space="0" w:color="auto"/>
                                                <w:bottom w:val="none" w:sz="0" w:space="0" w:color="auto"/>
                                                <w:right w:val="none" w:sz="0" w:space="0" w:color="auto"/>
                                              </w:divBdr>
                                            </w:div>
                                            <w:div w:id="1700201288">
                                              <w:marLeft w:val="0"/>
                                              <w:marRight w:val="0"/>
                                              <w:marTop w:val="0"/>
                                              <w:marBottom w:val="0"/>
                                              <w:divBdr>
                                                <w:top w:val="none" w:sz="0" w:space="0" w:color="auto"/>
                                                <w:left w:val="none" w:sz="0" w:space="0" w:color="auto"/>
                                                <w:bottom w:val="none" w:sz="0" w:space="0" w:color="auto"/>
                                                <w:right w:val="none" w:sz="0" w:space="0" w:color="auto"/>
                                              </w:divBdr>
                                            </w:div>
                                            <w:div w:id="1724676261">
                                              <w:marLeft w:val="0"/>
                                              <w:marRight w:val="0"/>
                                              <w:marTop w:val="0"/>
                                              <w:marBottom w:val="0"/>
                                              <w:divBdr>
                                                <w:top w:val="none" w:sz="0" w:space="0" w:color="auto"/>
                                                <w:left w:val="none" w:sz="0" w:space="0" w:color="auto"/>
                                                <w:bottom w:val="none" w:sz="0" w:space="0" w:color="auto"/>
                                                <w:right w:val="none" w:sz="0" w:space="0" w:color="auto"/>
                                              </w:divBdr>
                                            </w:div>
                                            <w:div w:id="1727491704">
                                              <w:marLeft w:val="0"/>
                                              <w:marRight w:val="0"/>
                                              <w:marTop w:val="0"/>
                                              <w:marBottom w:val="0"/>
                                              <w:divBdr>
                                                <w:top w:val="none" w:sz="0" w:space="0" w:color="auto"/>
                                                <w:left w:val="none" w:sz="0" w:space="0" w:color="auto"/>
                                                <w:bottom w:val="none" w:sz="0" w:space="0" w:color="auto"/>
                                                <w:right w:val="none" w:sz="0" w:space="0" w:color="auto"/>
                                              </w:divBdr>
                                            </w:div>
                                            <w:div w:id="1728260373">
                                              <w:marLeft w:val="0"/>
                                              <w:marRight w:val="0"/>
                                              <w:marTop w:val="0"/>
                                              <w:marBottom w:val="0"/>
                                              <w:divBdr>
                                                <w:top w:val="none" w:sz="0" w:space="0" w:color="auto"/>
                                                <w:left w:val="none" w:sz="0" w:space="0" w:color="auto"/>
                                                <w:bottom w:val="none" w:sz="0" w:space="0" w:color="auto"/>
                                                <w:right w:val="none" w:sz="0" w:space="0" w:color="auto"/>
                                              </w:divBdr>
                                            </w:div>
                                            <w:div w:id="1728408089">
                                              <w:marLeft w:val="0"/>
                                              <w:marRight w:val="0"/>
                                              <w:marTop w:val="0"/>
                                              <w:marBottom w:val="0"/>
                                              <w:divBdr>
                                                <w:top w:val="none" w:sz="0" w:space="0" w:color="auto"/>
                                                <w:left w:val="none" w:sz="0" w:space="0" w:color="auto"/>
                                                <w:bottom w:val="none" w:sz="0" w:space="0" w:color="auto"/>
                                                <w:right w:val="none" w:sz="0" w:space="0" w:color="auto"/>
                                              </w:divBdr>
                                            </w:div>
                                            <w:div w:id="1733651286">
                                              <w:marLeft w:val="0"/>
                                              <w:marRight w:val="0"/>
                                              <w:marTop w:val="0"/>
                                              <w:marBottom w:val="0"/>
                                              <w:divBdr>
                                                <w:top w:val="none" w:sz="0" w:space="0" w:color="auto"/>
                                                <w:left w:val="none" w:sz="0" w:space="0" w:color="auto"/>
                                                <w:bottom w:val="none" w:sz="0" w:space="0" w:color="auto"/>
                                                <w:right w:val="none" w:sz="0" w:space="0" w:color="auto"/>
                                              </w:divBdr>
                                            </w:div>
                                            <w:div w:id="1751659843">
                                              <w:marLeft w:val="0"/>
                                              <w:marRight w:val="0"/>
                                              <w:marTop w:val="0"/>
                                              <w:marBottom w:val="0"/>
                                              <w:divBdr>
                                                <w:top w:val="none" w:sz="0" w:space="0" w:color="auto"/>
                                                <w:left w:val="none" w:sz="0" w:space="0" w:color="auto"/>
                                                <w:bottom w:val="none" w:sz="0" w:space="0" w:color="auto"/>
                                                <w:right w:val="none" w:sz="0" w:space="0" w:color="auto"/>
                                              </w:divBdr>
                                            </w:div>
                                            <w:div w:id="1752699753">
                                              <w:marLeft w:val="0"/>
                                              <w:marRight w:val="0"/>
                                              <w:marTop w:val="0"/>
                                              <w:marBottom w:val="0"/>
                                              <w:divBdr>
                                                <w:top w:val="none" w:sz="0" w:space="0" w:color="auto"/>
                                                <w:left w:val="none" w:sz="0" w:space="0" w:color="auto"/>
                                                <w:bottom w:val="none" w:sz="0" w:space="0" w:color="auto"/>
                                                <w:right w:val="none" w:sz="0" w:space="0" w:color="auto"/>
                                              </w:divBdr>
                                            </w:div>
                                            <w:div w:id="1754738716">
                                              <w:marLeft w:val="0"/>
                                              <w:marRight w:val="0"/>
                                              <w:marTop w:val="0"/>
                                              <w:marBottom w:val="0"/>
                                              <w:divBdr>
                                                <w:top w:val="none" w:sz="0" w:space="0" w:color="auto"/>
                                                <w:left w:val="none" w:sz="0" w:space="0" w:color="auto"/>
                                                <w:bottom w:val="none" w:sz="0" w:space="0" w:color="auto"/>
                                                <w:right w:val="none" w:sz="0" w:space="0" w:color="auto"/>
                                              </w:divBdr>
                                            </w:div>
                                            <w:div w:id="1769305919">
                                              <w:marLeft w:val="0"/>
                                              <w:marRight w:val="0"/>
                                              <w:marTop w:val="0"/>
                                              <w:marBottom w:val="0"/>
                                              <w:divBdr>
                                                <w:top w:val="none" w:sz="0" w:space="0" w:color="auto"/>
                                                <w:left w:val="none" w:sz="0" w:space="0" w:color="auto"/>
                                                <w:bottom w:val="none" w:sz="0" w:space="0" w:color="auto"/>
                                                <w:right w:val="none" w:sz="0" w:space="0" w:color="auto"/>
                                              </w:divBdr>
                                            </w:div>
                                            <w:div w:id="1778216760">
                                              <w:marLeft w:val="0"/>
                                              <w:marRight w:val="0"/>
                                              <w:marTop w:val="0"/>
                                              <w:marBottom w:val="0"/>
                                              <w:divBdr>
                                                <w:top w:val="none" w:sz="0" w:space="0" w:color="auto"/>
                                                <w:left w:val="none" w:sz="0" w:space="0" w:color="auto"/>
                                                <w:bottom w:val="none" w:sz="0" w:space="0" w:color="auto"/>
                                                <w:right w:val="none" w:sz="0" w:space="0" w:color="auto"/>
                                              </w:divBdr>
                                            </w:div>
                                            <w:div w:id="1787626320">
                                              <w:marLeft w:val="0"/>
                                              <w:marRight w:val="0"/>
                                              <w:marTop w:val="0"/>
                                              <w:marBottom w:val="0"/>
                                              <w:divBdr>
                                                <w:top w:val="none" w:sz="0" w:space="0" w:color="auto"/>
                                                <w:left w:val="none" w:sz="0" w:space="0" w:color="auto"/>
                                                <w:bottom w:val="none" w:sz="0" w:space="0" w:color="auto"/>
                                                <w:right w:val="none" w:sz="0" w:space="0" w:color="auto"/>
                                              </w:divBdr>
                                            </w:div>
                                            <w:div w:id="1788427993">
                                              <w:marLeft w:val="0"/>
                                              <w:marRight w:val="0"/>
                                              <w:marTop w:val="0"/>
                                              <w:marBottom w:val="0"/>
                                              <w:divBdr>
                                                <w:top w:val="none" w:sz="0" w:space="0" w:color="auto"/>
                                                <w:left w:val="none" w:sz="0" w:space="0" w:color="auto"/>
                                                <w:bottom w:val="none" w:sz="0" w:space="0" w:color="auto"/>
                                                <w:right w:val="none" w:sz="0" w:space="0" w:color="auto"/>
                                              </w:divBdr>
                                            </w:div>
                                            <w:div w:id="1795832113">
                                              <w:marLeft w:val="0"/>
                                              <w:marRight w:val="0"/>
                                              <w:marTop w:val="0"/>
                                              <w:marBottom w:val="0"/>
                                              <w:divBdr>
                                                <w:top w:val="none" w:sz="0" w:space="0" w:color="auto"/>
                                                <w:left w:val="none" w:sz="0" w:space="0" w:color="auto"/>
                                                <w:bottom w:val="none" w:sz="0" w:space="0" w:color="auto"/>
                                                <w:right w:val="none" w:sz="0" w:space="0" w:color="auto"/>
                                              </w:divBdr>
                                            </w:div>
                                            <w:div w:id="1807508771">
                                              <w:marLeft w:val="0"/>
                                              <w:marRight w:val="0"/>
                                              <w:marTop w:val="0"/>
                                              <w:marBottom w:val="0"/>
                                              <w:divBdr>
                                                <w:top w:val="none" w:sz="0" w:space="0" w:color="auto"/>
                                                <w:left w:val="none" w:sz="0" w:space="0" w:color="auto"/>
                                                <w:bottom w:val="none" w:sz="0" w:space="0" w:color="auto"/>
                                                <w:right w:val="none" w:sz="0" w:space="0" w:color="auto"/>
                                              </w:divBdr>
                                            </w:div>
                                            <w:div w:id="1826045061">
                                              <w:marLeft w:val="0"/>
                                              <w:marRight w:val="0"/>
                                              <w:marTop w:val="0"/>
                                              <w:marBottom w:val="0"/>
                                              <w:divBdr>
                                                <w:top w:val="none" w:sz="0" w:space="0" w:color="auto"/>
                                                <w:left w:val="none" w:sz="0" w:space="0" w:color="auto"/>
                                                <w:bottom w:val="none" w:sz="0" w:space="0" w:color="auto"/>
                                                <w:right w:val="none" w:sz="0" w:space="0" w:color="auto"/>
                                              </w:divBdr>
                                            </w:div>
                                            <w:div w:id="1827161173">
                                              <w:marLeft w:val="0"/>
                                              <w:marRight w:val="0"/>
                                              <w:marTop w:val="0"/>
                                              <w:marBottom w:val="0"/>
                                              <w:divBdr>
                                                <w:top w:val="none" w:sz="0" w:space="0" w:color="auto"/>
                                                <w:left w:val="none" w:sz="0" w:space="0" w:color="auto"/>
                                                <w:bottom w:val="none" w:sz="0" w:space="0" w:color="auto"/>
                                                <w:right w:val="none" w:sz="0" w:space="0" w:color="auto"/>
                                              </w:divBdr>
                                            </w:div>
                                            <w:div w:id="1843743764">
                                              <w:marLeft w:val="0"/>
                                              <w:marRight w:val="0"/>
                                              <w:marTop w:val="0"/>
                                              <w:marBottom w:val="0"/>
                                              <w:divBdr>
                                                <w:top w:val="none" w:sz="0" w:space="0" w:color="auto"/>
                                                <w:left w:val="none" w:sz="0" w:space="0" w:color="auto"/>
                                                <w:bottom w:val="none" w:sz="0" w:space="0" w:color="auto"/>
                                                <w:right w:val="none" w:sz="0" w:space="0" w:color="auto"/>
                                              </w:divBdr>
                                            </w:div>
                                            <w:div w:id="1848475174">
                                              <w:marLeft w:val="0"/>
                                              <w:marRight w:val="0"/>
                                              <w:marTop w:val="0"/>
                                              <w:marBottom w:val="0"/>
                                              <w:divBdr>
                                                <w:top w:val="none" w:sz="0" w:space="0" w:color="auto"/>
                                                <w:left w:val="none" w:sz="0" w:space="0" w:color="auto"/>
                                                <w:bottom w:val="none" w:sz="0" w:space="0" w:color="auto"/>
                                                <w:right w:val="none" w:sz="0" w:space="0" w:color="auto"/>
                                              </w:divBdr>
                                            </w:div>
                                            <w:div w:id="1858423193">
                                              <w:marLeft w:val="0"/>
                                              <w:marRight w:val="0"/>
                                              <w:marTop w:val="0"/>
                                              <w:marBottom w:val="0"/>
                                              <w:divBdr>
                                                <w:top w:val="none" w:sz="0" w:space="0" w:color="auto"/>
                                                <w:left w:val="none" w:sz="0" w:space="0" w:color="auto"/>
                                                <w:bottom w:val="none" w:sz="0" w:space="0" w:color="auto"/>
                                                <w:right w:val="none" w:sz="0" w:space="0" w:color="auto"/>
                                              </w:divBdr>
                                            </w:div>
                                            <w:div w:id="1863130562">
                                              <w:marLeft w:val="0"/>
                                              <w:marRight w:val="0"/>
                                              <w:marTop w:val="0"/>
                                              <w:marBottom w:val="0"/>
                                              <w:divBdr>
                                                <w:top w:val="none" w:sz="0" w:space="0" w:color="auto"/>
                                                <w:left w:val="none" w:sz="0" w:space="0" w:color="auto"/>
                                                <w:bottom w:val="none" w:sz="0" w:space="0" w:color="auto"/>
                                                <w:right w:val="none" w:sz="0" w:space="0" w:color="auto"/>
                                              </w:divBdr>
                                            </w:div>
                                            <w:div w:id="1870676819">
                                              <w:marLeft w:val="0"/>
                                              <w:marRight w:val="0"/>
                                              <w:marTop w:val="0"/>
                                              <w:marBottom w:val="0"/>
                                              <w:divBdr>
                                                <w:top w:val="none" w:sz="0" w:space="0" w:color="auto"/>
                                                <w:left w:val="none" w:sz="0" w:space="0" w:color="auto"/>
                                                <w:bottom w:val="none" w:sz="0" w:space="0" w:color="auto"/>
                                                <w:right w:val="none" w:sz="0" w:space="0" w:color="auto"/>
                                              </w:divBdr>
                                            </w:div>
                                            <w:div w:id="1873419911">
                                              <w:marLeft w:val="0"/>
                                              <w:marRight w:val="0"/>
                                              <w:marTop w:val="0"/>
                                              <w:marBottom w:val="0"/>
                                              <w:divBdr>
                                                <w:top w:val="none" w:sz="0" w:space="0" w:color="auto"/>
                                                <w:left w:val="none" w:sz="0" w:space="0" w:color="auto"/>
                                                <w:bottom w:val="none" w:sz="0" w:space="0" w:color="auto"/>
                                                <w:right w:val="none" w:sz="0" w:space="0" w:color="auto"/>
                                              </w:divBdr>
                                            </w:div>
                                            <w:div w:id="1874532222">
                                              <w:marLeft w:val="0"/>
                                              <w:marRight w:val="0"/>
                                              <w:marTop w:val="0"/>
                                              <w:marBottom w:val="0"/>
                                              <w:divBdr>
                                                <w:top w:val="none" w:sz="0" w:space="0" w:color="auto"/>
                                                <w:left w:val="none" w:sz="0" w:space="0" w:color="auto"/>
                                                <w:bottom w:val="none" w:sz="0" w:space="0" w:color="auto"/>
                                                <w:right w:val="none" w:sz="0" w:space="0" w:color="auto"/>
                                              </w:divBdr>
                                            </w:div>
                                            <w:div w:id="1878733959">
                                              <w:marLeft w:val="0"/>
                                              <w:marRight w:val="0"/>
                                              <w:marTop w:val="0"/>
                                              <w:marBottom w:val="0"/>
                                              <w:divBdr>
                                                <w:top w:val="none" w:sz="0" w:space="0" w:color="auto"/>
                                                <w:left w:val="none" w:sz="0" w:space="0" w:color="auto"/>
                                                <w:bottom w:val="none" w:sz="0" w:space="0" w:color="auto"/>
                                                <w:right w:val="none" w:sz="0" w:space="0" w:color="auto"/>
                                              </w:divBdr>
                                            </w:div>
                                            <w:div w:id="1883788627">
                                              <w:marLeft w:val="0"/>
                                              <w:marRight w:val="0"/>
                                              <w:marTop w:val="0"/>
                                              <w:marBottom w:val="0"/>
                                              <w:divBdr>
                                                <w:top w:val="none" w:sz="0" w:space="0" w:color="auto"/>
                                                <w:left w:val="none" w:sz="0" w:space="0" w:color="auto"/>
                                                <w:bottom w:val="none" w:sz="0" w:space="0" w:color="auto"/>
                                                <w:right w:val="none" w:sz="0" w:space="0" w:color="auto"/>
                                              </w:divBdr>
                                            </w:div>
                                            <w:div w:id="1884095089">
                                              <w:marLeft w:val="0"/>
                                              <w:marRight w:val="0"/>
                                              <w:marTop w:val="0"/>
                                              <w:marBottom w:val="0"/>
                                              <w:divBdr>
                                                <w:top w:val="none" w:sz="0" w:space="0" w:color="auto"/>
                                                <w:left w:val="none" w:sz="0" w:space="0" w:color="auto"/>
                                                <w:bottom w:val="none" w:sz="0" w:space="0" w:color="auto"/>
                                                <w:right w:val="none" w:sz="0" w:space="0" w:color="auto"/>
                                              </w:divBdr>
                                            </w:div>
                                            <w:div w:id="1885480553">
                                              <w:marLeft w:val="0"/>
                                              <w:marRight w:val="0"/>
                                              <w:marTop w:val="0"/>
                                              <w:marBottom w:val="0"/>
                                              <w:divBdr>
                                                <w:top w:val="none" w:sz="0" w:space="0" w:color="auto"/>
                                                <w:left w:val="none" w:sz="0" w:space="0" w:color="auto"/>
                                                <w:bottom w:val="none" w:sz="0" w:space="0" w:color="auto"/>
                                                <w:right w:val="none" w:sz="0" w:space="0" w:color="auto"/>
                                              </w:divBdr>
                                            </w:div>
                                            <w:div w:id="1905138273">
                                              <w:marLeft w:val="0"/>
                                              <w:marRight w:val="0"/>
                                              <w:marTop w:val="0"/>
                                              <w:marBottom w:val="0"/>
                                              <w:divBdr>
                                                <w:top w:val="none" w:sz="0" w:space="0" w:color="auto"/>
                                                <w:left w:val="none" w:sz="0" w:space="0" w:color="auto"/>
                                                <w:bottom w:val="none" w:sz="0" w:space="0" w:color="auto"/>
                                                <w:right w:val="none" w:sz="0" w:space="0" w:color="auto"/>
                                              </w:divBdr>
                                            </w:div>
                                            <w:div w:id="1907640885">
                                              <w:marLeft w:val="0"/>
                                              <w:marRight w:val="0"/>
                                              <w:marTop w:val="0"/>
                                              <w:marBottom w:val="0"/>
                                              <w:divBdr>
                                                <w:top w:val="none" w:sz="0" w:space="0" w:color="auto"/>
                                                <w:left w:val="none" w:sz="0" w:space="0" w:color="auto"/>
                                                <w:bottom w:val="none" w:sz="0" w:space="0" w:color="auto"/>
                                                <w:right w:val="none" w:sz="0" w:space="0" w:color="auto"/>
                                              </w:divBdr>
                                            </w:div>
                                            <w:div w:id="1908882150">
                                              <w:marLeft w:val="0"/>
                                              <w:marRight w:val="0"/>
                                              <w:marTop w:val="0"/>
                                              <w:marBottom w:val="0"/>
                                              <w:divBdr>
                                                <w:top w:val="none" w:sz="0" w:space="0" w:color="auto"/>
                                                <w:left w:val="none" w:sz="0" w:space="0" w:color="auto"/>
                                                <w:bottom w:val="none" w:sz="0" w:space="0" w:color="auto"/>
                                                <w:right w:val="none" w:sz="0" w:space="0" w:color="auto"/>
                                              </w:divBdr>
                                            </w:div>
                                            <w:div w:id="1918128598">
                                              <w:marLeft w:val="0"/>
                                              <w:marRight w:val="0"/>
                                              <w:marTop w:val="0"/>
                                              <w:marBottom w:val="0"/>
                                              <w:divBdr>
                                                <w:top w:val="none" w:sz="0" w:space="0" w:color="auto"/>
                                                <w:left w:val="none" w:sz="0" w:space="0" w:color="auto"/>
                                                <w:bottom w:val="none" w:sz="0" w:space="0" w:color="auto"/>
                                                <w:right w:val="none" w:sz="0" w:space="0" w:color="auto"/>
                                              </w:divBdr>
                                            </w:div>
                                            <w:div w:id="1920017365">
                                              <w:marLeft w:val="0"/>
                                              <w:marRight w:val="0"/>
                                              <w:marTop w:val="0"/>
                                              <w:marBottom w:val="0"/>
                                              <w:divBdr>
                                                <w:top w:val="none" w:sz="0" w:space="0" w:color="auto"/>
                                                <w:left w:val="none" w:sz="0" w:space="0" w:color="auto"/>
                                                <w:bottom w:val="none" w:sz="0" w:space="0" w:color="auto"/>
                                                <w:right w:val="none" w:sz="0" w:space="0" w:color="auto"/>
                                              </w:divBdr>
                                            </w:div>
                                            <w:div w:id="1920863975">
                                              <w:marLeft w:val="0"/>
                                              <w:marRight w:val="0"/>
                                              <w:marTop w:val="0"/>
                                              <w:marBottom w:val="0"/>
                                              <w:divBdr>
                                                <w:top w:val="none" w:sz="0" w:space="0" w:color="auto"/>
                                                <w:left w:val="none" w:sz="0" w:space="0" w:color="auto"/>
                                                <w:bottom w:val="none" w:sz="0" w:space="0" w:color="auto"/>
                                                <w:right w:val="none" w:sz="0" w:space="0" w:color="auto"/>
                                              </w:divBdr>
                                            </w:div>
                                            <w:div w:id="1933539944">
                                              <w:marLeft w:val="0"/>
                                              <w:marRight w:val="0"/>
                                              <w:marTop w:val="0"/>
                                              <w:marBottom w:val="0"/>
                                              <w:divBdr>
                                                <w:top w:val="none" w:sz="0" w:space="0" w:color="auto"/>
                                                <w:left w:val="none" w:sz="0" w:space="0" w:color="auto"/>
                                                <w:bottom w:val="none" w:sz="0" w:space="0" w:color="auto"/>
                                                <w:right w:val="none" w:sz="0" w:space="0" w:color="auto"/>
                                              </w:divBdr>
                                            </w:div>
                                            <w:div w:id="1948388315">
                                              <w:marLeft w:val="0"/>
                                              <w:marRight w:val="0"/>
                                              <w:marTop w:val="0"/>
                                              <w:marBottom w:val="0"/>
                                              <w:divBdr>
                                                <w:top w:val="none" w:sz="0" w:space="0" w:color="auto"/>
                                                <w:left w:val="none" w:sz="0" w:space="0" w:color="auto"/>
                                                <w:bottom w:val="none" w:sz="0" w:space="0" w:color="auto"/>
                                                <w:right w:val="none" w:sz="0" w:space="0" w:color="auto"/>
                                              </w:divBdr>
                                            </w:div>
                                            <w:div w:id="1948807647">
                                              <w:marLeft w:val="0"/>
                                              <w:marRight w:val="0"/>
                                              <w:marTop w:val="0"/>
                                              <w:marBottom w:val="0"/>
                                              <w:divBdr>
                                                <w:top w:val="none" w:sz="0" w:space="0" w:color="auto"/>
                                                <w:left w:val="none" w:sz="0" w:space="0" w:color="auto"/>
                                                <w:bottom w:val="none" w:sz="0" w:space="0" w:color="auto"/>
                                                <w:right w:val="none" w:sz="0" w:space="0" w:color="auto"/>
                                              </w:divBdr>
                                            </w:div>
                                            <w:div w:id="1950891973">
                                              <w:marLeft w:val="0"/>
                                              <w:marRight w:val="0"/>
                                              <w:marTop w:val="0"/>
                                              <w:marBottom w:val="0"/>
                                              <w:divBdr>
                                                <w:top w:val="none" w:sz="0" w:space="0" w:color="auto"/>
                                                <w:left w:val="none" w:sz="0" w:space="0" w:color="auto"/>
                                                <w:bottom w:val="none" w:sz="0" w:space="0" w:color="auto"/>
                                                <w:right w:val="none" w:sz="0" w:space="0" w:color="auto"/>
                                              </w:divBdr>
                                            </w:div>
                                            <w:div w:id="1951355247">
                                              <w:marLeft w:val="0"/>
                                              <w:marRight w:val="0"/>
                                              <w:marTop w:val="0"/>
                                              <w:marBottom w:val="0"/>
                                              <w:divBdr>
                                                <w:top w:val="none" w:sz="0" w:space="0" w:color="auto"/>
                                                <w:left w:val="none" w:sz="0" w:space="0" w:color="auto"/>
                                                <w:bottom w:val="none" w:sz="0" w:space="0" w:color="auto"/>
                                                <w:right w:val="none" w:sz="0" w:space="0" w:color="auto"/>
                                              </w:divBdr>
                                            </w:div>
                                            <w:div w:id="1951551600">
                                              <w:marLeft w:val="0"/>
                                              <w:marRight w:val="0"/>
                                              <w:marTop w:val="0"/>
                                              <w:marBottom w:val="0"/>
                                              <w:divBdr>
                                                <w:top w:val="none" w:sz="0" w:space="0" w:color="auto"/>
                                                <w:left w:val="none" w:sz="0" w:space="0" w:color="auto"/>
                                                <w:bottom w:val="none" w:sz="0" w:space="0" w:color="auto"/>
                                                <w:right w:val="none" w:sz="0" w:space="0" w:color="auto"/>
                                              </w:divBdr>
                                            </w:div>
                                            <w:div w:id="1952009218">
                                              <w:marLeft w:val="0"/>
                                              <w:marRight w:val="0"/>
                                              <w:marTop w:val="0"/>
                                              <w:marBottom w:val="0"/>
                                              <w:divBdr>
                                                <w:top w:val="none" w:sz="0" w:space="0" w:color="auto"/>
                                                <w:left w:val="none" w:sz="0" w:space="0" w:color="auto"/>
                                                <w:bottom w:val="none" w:sz="0" w:space="0" w:color="auto"/>
                                                <w:right w:val="none" w:sz="0" w:space="0" w:color="auto"/>
                                              </w:divBdr>
                                            </w:div>
                                            <w:div w:id="1959219514">
                                              <w:marLeft w:val="0"/>
                                              <w:marRight w:val="0"/>
                                              <w:marTop w:val="0"/>
                                              <w:marBottom w:val="0"/>
                                              <w:divBdr>
                                                <w:top w:val="none" w:sz="0" w:space="0" w:color="auto"/>
                                                <w:left w:val="none" w:sz="0" w:space="0" w:color="auto"/>
                                                <w:bottom w:val="none" w:sz="0" w:space="0" w:color="auto"/>
                                                <w:right w:val="none" w:sz="0" w:space="0" w:color="auto"/>
                                              </w:divBdr>
                                            </w:div>
                                            <w:div w:id="1964266968">
                                              <w:marLeft w:val="0"/>
                                              <w:marRight w:val="0"/>
                                              <w:marTop w:val="0"/>
                                              <w:marBottom w:val="0"/>
                                              <w:divBdr>
                                                <w:top w:val="none" w:sz="0" w:space="0" w:color="auto"/>
                                                <w:left w:val="none" w:sz="0" w:space="0" w:color="auto"/>
                                                <w:bottom w:val="none" w:sz="0" w:space="0" w:color="auto"/>
                                                <w:right w:val="none" w:sz="0" w:space="0" w:color="auto"/>
                                              </w:divBdr>
                                            </w:div>
                                            <w:div w:id="1972206497">
                                              <w:marLeft w:val="0"/>
                                              <w:marRight w:val="0"/>
                                              <w:marTop w:val="0"/>
                                              <w:marBottom w:val="0"/>
                                              <w:divBdr>
                                                <w:top w:val="none" w:sz="0" w:space="0" w:color="auto"/>
                                                <w:left w:val="none" w:sz="0" w:space="0" w:color="auto"/>
                                                <w:bottom w:val="none" w:sz="0" w:space="0" w:color="auto"/>
                                                <w:right w:val="none" w:sz="0" w:space="0" w:color="auto"/>
                                              </w:divBdr>
                                            </w:div>
                                            <w:div w:id="1974212930">
                                              <w:marLeft w:val="0"/>
                                              <w:marRight w:val="0"/>
                                              <w:marTop w:val="0"/>
                                              <w:marBottom w:val="0"/>
                                              <w:divBdr>
                                                <w:top w:val="none" w:sz="0" w:space="0" w:color="auto"/>
                                                <w:left w:val="none" w:sz="0" w:space="0" w:color="auto"/>
                                                <w:bottom w:val="none" w:sz="0" w:space="0" w:color="auto"/>
                                                <w:right w:val="none" w:sz="0" w:space="0" w:color="auto"/>
                                              </w:divBdr>
                                            </w:div>
                                            <w:div w:id="1975603011">
                                              <w:marLeft w:val="0"/>
                                              <w:marRight w:val="0"/>
                                              <w:marTop w:val="0"/>
                                              <w:marBottom w:val="0"/>
                                              <w:divBdr>
                                                <w:top w:val="none" w:sz="0" w:space="0" w:color="auto"/>
                                                <w:left w:val="none" w:sz="0" w:space="0" w:color="auto"/>
                                                <w:bottom w:val="none" w:sz="0" w:space="0" w:color="auto"/>
                                                <w:right w:val="none" w:sz="0" w:space="0" w:color="auto"/>
                                              </w:divBdr>
                                            </w:div>
                                            <w:div w:id="1980069735">
                                              <w:marLeft w:val="0"/>
                                              <w:marRight w:val="0"/>
                                              <w:marTop w:val="0"/>
                                              <w:marBottom w:val="0"/>
                                              <w:divBdr>
                                                <w:top w:val="none" w:sz="0" w:space="0" w:color="auto"/>
                                                <w:left w:val="none" w:sz="0" w:space="0" w:color="auto"/>
                                                <w:bottom w:val="none" w:sz="0" w:space="0" w:color="auto"/>
                                                <w:right w:val="none" w:sz="0" w:space="0" w:color="auto"/>
                                              </w:divBdr>
                                            </w:div>
                                            <w:div w:id="1980264211">
                                              <w:marLeft w:val="0"/>
                                              <w:marRight w:val="0"/>
                                              <w:marTop w:val="0"/>
                                              <w:marBottom w:val="0"/>
                                              <w:divBdr>
                                                <w:top w:val="none" w:sz="0" w:space="0" w:color="auto"/>
                                                <w:left w:val="none" w:sz="0" w:space="0" w:color="auto"/>
                                                <w:bottom w:val="none" w:sz="0" w:space="0" w:color="auto"/>
                                                <w:right w:val="none" w:sz="0" w:space="0" w:color="auto"/>
                                              </w:divBdr>
                                            </w:div>
                                            <w:div w:id="1981962456">
                                              <w:marLeft w:val="0"/>
                                              <w:marRight w:val="0"/>
                                              <w:marTop w:val="0"/>
                                              <w:marBottom w:val="0"/>
                                              <w:divBdr>
                                                <w:top w:val="none" w:sz="0" w:space="0" w:color="auto"/>
                                                <w:left w:val="none" w:sz="0" w:space="0" w:color="auto"/>
                                                <w:bottom w:val="none" w:sz="0" w:space="0" w:color="auto"/>
                                                <w:right w:val="none" w:sz="0" w:space="0" w:color="auto"/>
                                              </w:divBdr>
                                            </w:div>
                                            <w:div w:id="1984894404">
                                              <w:marLeft w:val="0"/>
                                              <w:marRight w:val="0"/>
                                              <w:marTop w:val="0"/>
                                              <w:marBottom w:val="0"/>
                                              <w:divBdr>
                                                <w:top w:val="none" w:sz="0" w:space="0" w:color="auto"/>
                                                <w:left w:val="none" w:sz="0" w:space="0" w:color="auto"/>
                                                <w:bottom w:val="none" w:sz="0" w:space="0" w:color="auto"/>
                                                <w:right w:val="none" w:sz="0" w:space="0" w:color="auto"/>
                                              </w:divBdr>
                                            </w:div>
                                            <w:div w:id="1988431627">
                                              <w:marLeft w:val="0"/>
                                              <w:marRight w:val="0"/>
                                              <w:marTop w:val="0"/>
                                              <w:marBottom w:val="0"/>
                                              <w:divBdr>
                                                <w:top w:val="none" w:sz="0" w:space="0" w:color="auto"/>
                                                <w:left w:val="none" w:sz="0" w:space="0" w:color="auto"/>
                                                <w:bottom w:val="none" w:sz="0" w:space="0" w:color="auto"/>
                                                <w:right w:val="none" w:sz="0" w:space="0" w:color="auto"/>
                                              </w:divBdr>
                                            </w:div>
                                            <w:div w:id="1991327877">
                                              <w:marLeft w:val="0"/>
                                              <w:marRight w:val="0"/>
                                              <w:marTop w:val="0"/>
                                              <w:marBottom w:val="0"/>
                                              <w:divBdr>
                                                <w:top w:val="none" w:sz="0" w:space="0" w:color="auto"/>
                                                <w:left w:val="none" w:sz="0" w:space="0" w:color="auto"/>
                                                <w:bottom w:val="none" w:sz="0" w:space="0" w:color="auto"/>
                                                <w:right w:val="none" w:sz="0" w:space="0" w:color="auto"/>
                                              </w:divBdr>
                                            </w:div>
                                            <w:div w:id="1992979715">
                                              <w:marLeft w:val="0"/>
                                              <w:marRight w:val="0"/>
                                              <w:marTop w:val="0"/>
                                              <w:marBottom w:val="0"/>
                                              <w:divBdr>
                                                <w:top w:val="none" w:sz="0" w:space="0" w:color="auto"/>
                                                <w:left w:val="none" w:sz="0" w:space="0" w:color="auto"/>
                                                <w:bottom w:val="none" w:sz="0" w:space="0" w:color="auto"/>
                                                <w:right w:val="none" w:sz="0" w:space="0" w:color="auto"/>
                                              </w:divBdr>
                                            </w:div>
                                            <w:div w:id="1996831117">
                                              <w:marLeft w:val="0"/>
                                              <w:marRight w:val="0"/>
                                              <w:marTop w:val="0"/>
                                              <w:marBottom w:val="0"/>
                                              <w:divBdr>
                                                <w:top w:val="none" w:sz="0" w:space="0" w:color="auto"/>
                                                <w:left w:val="none" w:sz="0" w:space="0" w:color="auto"/>
                                                <w:bottom w:val="none" w:sz="0" w:space="0" w:color="auto"/>
                                                <w:right w:val="none" w:sz="0" w:space="0" w:color="auto"/>
                                              </w:divBdr>
                                            </w:div>
                                            <w:div w:id="2026053702">
                                              <w:marLeft w:val="0"/>
                                              <w:marRight w:val="0"/>
                                              <w:marTop w:val="0"/>
                                              <w:marBottom w:val="0"/>
                                              <w:divBdr>
                                                <w:top w:val="none" w:sz="0" w:space="0" w:color="auto"/>
                                                <w:left w:val="none" w:sz="0" w:space="0" w:color="auto"/>
                                                <w:bottom w:val="none" w:sz="0" w:space="0" w:color="auto"/>
                                                <w:right w:val="none" w:sz="0" w:space="0" w:color="auto"/>
                                              </w:divBdr>
                                            </w:div>
                                            <w:div w:id="2029209110">
                                              <w:marLeft w:val="0"/>
                                              <w:marRight w:val="0"/>
                                              <w:marTop w:val="0"/>
                                              <w:marBottom w:val="0"/>
                                              <w:divBdr>
                                                <w:top w:val="none" w:sz="0" w:space="0" w:color="auto"/>
                                                <w:left w:val="none" w:sz="0" w:space="0" w:color="auto"/>
                                                <w:bottom w:val="none" w:sz="0" w:space="0" w:color="auto"/>
                                                <w:right w:val="none" w:sz="0" w:space="0" w:color="auto"/>
                                              </w:divBdr>
                                            </w:div>
                                            <w:div w:id="2038265882">
                                              <w:marLeft w:val="0"/>
                                              <w:marRight w:val="0"/>
                                              <w:marTop w:val="0"/>
                                              <w:marBottom w:val="0"/>
                                              <w:divBdr>
                                                <w:top w:val="none" w:sz="0" w:space="0" w:color="auto"/>
                                                <w:left w:val="none" w:sz="0" w:space="0" w:color="auto"/>
                                                <w:bottom w:val="none" w:sz="0" w:space="0" w:color="auto"/>
                                                <w:right w:val="none" w:sz="0" w:space="0" w:color="auto"/>
                                              </w:divBdr>
                                            </w:div>
                                            <w:div w:id="2045788667">
                                              <w:marLeft w:val="0"/>
                                              <w:marRight w:val="0"/>
                                              <w:marTop w:val="0"/>
                                              <w:marBottom w:val="0"/>
                                              <w:divBdr>
                                                <w:top w:val="none" w:sz="0" w:space="0" w:color="auto"/>
                                                <w:left w:val="none" w:sz="0" w:space="0" w:color="auto"/>
                                                <w:bottom w:val="none" w:sz="0" w:space="0" w:color="auto"/>
                                                <w:right w:val="none" w:sz="0" w:space="0" w:color="auto"/>
                                              </w:divBdr>
                                            </w:div>
                                            <w:div w:id="2052223575">
                                              <w:marLeft w:val="0"/>
                                              <w:marRight w:val="0"/>
                                              <w:marTop w:val="0"/>
                                              <w:marBottom w:val="0"/>
                                              <w:divBdr>
                                                <w:top w:val="none" w:sz="0" w:space="0" w:color="auto"/>
                                                <w:left w:val="none" w:sz="0" w:space="0" w:color="auto"/>
                                                <w:bottom w:val="none" w:sz="0" w:space="0" w:color="auto"/>
                                                <w:right w:val="none" w:sz="0" w:space="0" w:color="auto"/>
                                              </w:divBdr>
                                            </w:div>
                                            <w:div w:id="2068646481">
                                              <w:marLeft w:val="0"/>
                                              <w:marRight w:val="0"/>
                                              <w:marTop w:val="0"/>
                                              <w:marBottom w:val="0"/>
                                              <w:divBdr>
                                                <w:top w:val="none" w:sz="0" w:space="0" w:color="auto"/>
                                                <w:left w:val="none" w:sz="0" w:space="0" w:color="auto"/>
                                                <w:bottom w:val="none" w:sz="0" w:space="0" w:color="auto"/>
                                                <w:right w:val="none" w:sz="0" w:space="0" w:color="auto"/>
                                              </w:divBdr>
                                            </w:div>
                                            <w:div w:id="2071414001">
                                              <w:marLeft w:val="0"/>
                                              <w:marRight w:val="0"/>
                                              <w:marTop w:val="0"/>
                                              <w:marBottom w:val="0"/>
                                              <w:divBdr>
                                                <w:top w:val="none" w:sz="0" w:space="0" w:color="auto"/>
                                                <w:left w:val="none" w:sz="0" w:space="0" w:color="auto"/>
                                                <w:bottom w:val="none" w:sz="0" w:space="0" w:color="auto"/>
                                                <w:right w:val="none" w:sz="0" w:space="0" w:color="auto"/>
                                              </w:divBdr>
                                            </w:div>
                                            <w:div w:id="2072339755">
                                              <w:marLeft w:val="0"/>
                                              <w:marRight w:val="0"/>
                                              <w:marTop w:val="0"/>
                                              <w:marBottom w:val="0"/>
                                              <w:divBdr>
                                                <w:top w:val="none" w:sz="0" w:space="0" w:color="auto"/>
                                                <w:left w:val="none" w:sz="0" w:space="0" w:color="auto"/>
                                                <w:bottom w:val="none" w:sz="0" w:space="0" w:color="auto"/>
                                                <w:right w:val="none" w:sz="0" w:space="0" w:color="auto"/>
                                              </w:divBdr>
                                            </w:div>
                                            <w:div w:id="2073037197">
                                              <w:marLeft w:val="0"/>
                                              <w:marRight w:val="0"/>
                                              <w:marTop w:val="0"/>
                                              <w:marBottom w:val="0"/>
                                              <w:divBdr>
                                                <w:top w:val="none" w:sz="0" w:space="0" w:color="auto"/>
                                                <w:left w:val="none" w:sz="0" w:space="0" w:color="auto"/>
                                                <w:bottom w:val="none" w:sz="0" w:space="0" w:color="auto"/>
                                                <w:right w:val="none" w:sz="0" w:space="0" w:color="auto"/>
                                              </w:divBdr>
                                            </w:div>
                                            <w:div w:id="2073194231">
                                              <w:marLeft w:val="0"/>
                                              <w:marRight w:val="0"/>
                                              <w:marTop w:val="0"/>
                                              <w:marBottom w:val="0"/>
                                              <w:divBdr>
                                                <w:top w:val="none" w:sz="0" w:space="0" w:color="auto"/>
                                                <w:left w:val="none" w:sz="0" w:space="0" w:color="auto"/>
                                                <w:bottom w:val="none" w:sz="0" w:space="0" w:color="auto"/>
                                                <w:right w:val="none" w:sz="0" w:space="0" w:color="auto"/>
                                              </w:divBdr>
                                            </w:div>
                                            <w:div w:id="2082555210">
                                              <w:marLeft w:val="0"/>
                                              <w:marRight w:val="0"/>
                                              <w:marTop w:val="0"/>
                                              <w:marBottom w:val="0"/>
                                              <w:divBdr>
                                                <w:top w:val="none" w:sz="0" w:space="0" w:color="auto"/>
                                                <w:left w:val="none" w:sz="0" w:space="0" w:color="auto"/>
                                                <w:bottom w:val="none" w:sz="0" w:space="0" w:color="auto"/>
                                                <w:right w:val="none" w:sz="0" w:space="0" w:color="auto"/>
                                              </w:divBdr>
                                            </w:div>
                                            <w:div w:id="2088066590">
                                              <w:marLeft w:val="0"/>
                                              <w:marRight w:val="0"/>
                                              <w:marTop w:val="0"/>
                                              <w:marBottom w:val="0"/>
                                              <w:divBdr>
                                                <w:top w:val="none" w:sz="0" w:space="0" w:color="auto"/>
                                                <w:left w:val="none" w:sz="0" w:space="0" w:color="auto"/>
                                                <w:bottom w:val="none" w:sz="0" w:space="0" w:color="auto"/>
                                                <w:right w:val="none" w:sz="0" w:space="0" w:color="auto"/>
                                              </w:divBdr>
                                            </w:div>
                                            <w:div w:id="2094203685">
                                              <w:marLeft w:val="0"/>
                                              <w:marRight w:val="0"/>
                                              <w:marTop w:val="0"/>
                                              <w:marBottom w:val="0"/>
                                              <w:divBdr>
                                                <w:top w:val="none" w:sz="0" w:space="0" w:color="auto"/>
                                                <w:left w:val="none" w:sz="0" w:space="0" w:color="auto"/>
                                                <w:bottom w:val="none" w:sz="0" w:space="0" w:color="auto"/>
                                                <w:right w:val="none" w:sz="0" w:space="0" w:color="auto"/>
                                              </w:divBdr>
                                            </w:div>
                                            <w:div w:id="2095082208">
                                              <w:marLeft w:val="0"/>
                                              <w:marRight w:val="0"/>
                                              <w:marTop w:val="0"/>
                                              <w:marBottom w:val="0"/>
                                              <w:divBdr>
                                                <w:top w:val="none" w:sz="0" w:space="0" w:color="auto"/>
                                                <w:left w:val="none" w:sz="0" w:space="0" w:color="auto"/>
                                                <w:bottom w:val="none" w:sz="0" w:space="0" w:color="auto"/>
                                                <w:right w:val="none" w:sz="0" w:space="0" w:color="auto"/>
                                              </w:divBdr>
                                            </w:div>
                                            <w:div w:id="2096825422">
                                              <w:marLeft w:val="0"/>
                                              <w:marRight w:val="0"/>
                                              <w:marTop w:val="0"/>
                                              <w:marBottom w:val="0"/>
                                              <w:divBdr>
                                                <w:top w:val="none" w:sz="0" w:space="0" w:color="auto"/>
                                                <w:left w:val="none" w:sz="0" w:space="0" w:color="auto"/>
                                                <w:bottom w:val="none" w:sz="0" w:space="0" w:color="auto"/>
                                                <w:right w:val="none" w:sz="0" w:space="0" w:color="auto"/>
                                              </w:divBdr>
                                            </w:div>
                                            <w:div w:id="2117749266">
                                              <w:marLeft w:val="0"/>
                                              <w:marRight w:val="0"/>
                                              <w:marTop w:val="0"/>
                                              <w:marBottom w:val="0"/>
                                              <w:divBdr>
                                                <w:top w:val="none" w:sz="0" w:space="0" w:color="auto"/>
                                                <w:left w:val="none" w:sz="0" w:space="0" w:color="auto"/>
                                                <w:bottom w:val="none" w:sz="0" w:space="0" w:color="auto"/>
                                                <w:right w:val="none" w:sz="0" w:space="0" w:color="auto"/>
                                              </w:divBdr>
                                            </w:div>
                                            <w:div w:id="2122677803">
                                              <w:marLeft w:val="0"/>
                                              <w:marRight w:val="0"/>
                                              <w:marTop w:val="0"/>
                                              <w:marBottom w:val="0"/>
                                              <w:divBdr>
                                                <w:top w:val="none" w:sz="0" w:space="0" w:color="auto"/>
                                                <w:left w:val="none" w:sz="0" w:space="0" w:color="auto"/>
                                                <w:bottom w:val="none" w:sz="0" w:space="0" w:color="auto"/>
                                                <w:right w:val="none" w:sz="0" w:space="0" w:color="auto"/>
                                              </w:divBdr>
                                            </w:div>
                                            <w:div w:id="2138377929">
                                              <w:marLeft w:val="0"/>
                                              <w:marRight w:val="0"/>
                                              <w:marTop w:val="0"/>
                                              <w:marBottom w:val="0"/>
                                              <w:divBdr>
                                                <w:top w:val="none" w:sz="0" w:space="0" w:color="auto"/>
                                                <w:left w:val="none" w:sz="0" w:space="0" w:color="auto"/>
                                                <w:bottom w:val="none" w:sz="0" w:space="0" w:color="auto"/>
                                                <w:right w:val="none" w:sz="0" w:space="0" w:color="auto"/>
                                              </w:divBdr>
                                            </w:div>
                                            <w:div w:id="2141917563">
                                              <w:marLeft w:val="0"/>
                                              <w:marRight w:val="0"/>
                                              <w:marTop w:val="0"/>
                                              <w:marBottom w:val="0"/>
                                              <w:divBdr>
                                                <w:top w:val="none" w:sz="0" w:space="0" w:color="auto"/>
                                                <w:left w:val="none" w:sz="0" w:space="0" w:color="auto"/>
                                                <w:bottom w:val="none" w:sz="0" w:space="0" w:color="auto"/>
                                                <w:right w:val="none" w:sz="0" w:space="0" w:color="auto"/>
                                              </w:divBdr>
                                            </w:div>
                                          </w:divsChild>
                                        </w:div>
                                        <w:div w:id="153380119">
                                          <w:marLeft w:val="0"/>
                                          <w:marRight w:val="0"/>
                                          <w:marTop w:val="0"/>
                                          <w:marBottom w:val="0"/>
                                          <w:divBdr>
                                            <w:top w:val="none" w:sz="0" w:space="0" w:color="auto"/>
                                            <w:left w:val="none" w:sz="0" w:space="0" w:color="auto"/>
                                            <w:bottom w:val="none" w:sz="0" w:space="0" w:color="auto"/>
                                            <w:right w:val="none" w:sz="0" w:space="0" w:color="auto"/>
                                          </w:divBdr>
                                          <w:divsChild>
                                            <w:div w:id="230967597">
                                              <w:marLeft w:val="0"/>
                                              <w:marRight w:val="0"/>
                                              <w:marTop w:val="0"/>
                                              <w:marBottom w:val="0"/>
                                              <w:divBdr>
                                                <w:top w:val="none" w:sz="0" w:space="0" w:color="auto"/>
                                                <w:left w:val="none" w:sz="0" w:space="0" w:color="auto"/>
                                                <w:bottom w:val="none" w:sz="0" w:space="0" w:color="auto"/>
                                                <w:right w:val="none" w:sz="0" w:space="0" w:color="auto"/>
                                              </w:divBdr>
                                            </w:div>
                                            <w:div w:id="398291262">
                                              <w:marLeft w:val="0"/>
                                              <w:marRight w:val="0"/>
                                              <w:marTop w:val="0"/>
                                              <w:marBottom w:val="0"/>
                                              <w:divBdr>
                                                <w:top w:val="none" w:sz="0" w:space="0" w:color="auto"/>
                                                <w:left w:val="none" w:sz="0" w:space="0" w:color="auto"/>
                                                <w:bottom w:val="none" w:sz="0" w:space="0" w:color="auto"/>
                                                <w:right w:val="none" w:sz="0" w:space="0" w:color="auto"/>
                                              </w:divBdr>
                                              <w:divsChild>
                                                <w:div w:id="930889219">
                                                  <w:marLeft w:val="0"/>
                                                  <w:marRight w:val="0"/>
                                                  <w:marTop w:val="15"/>
                                                  <w:marBottom w:val="30"/>
                                                  <w:divBdr>
                                                    <w:top w:val="none" w:sz="0" w:space="0" w:color="auto"/>
                                                    <w:left w:val="none" w:sz="0" w:space="0" w:color="auto"/>
                                                    <w:bottom w:val="none" w:sz="0" w:space="0" w:color="auto"/>
                                                    <w:right w:val="none" w:sz="0" w:space="0" w:color="auto"/>
                                                  </w:divBdr>
                                                  <w:divsChild>
                                                    <w:div w:id="1763795783">
                                                      <w:marLeft w:val="0"/>
                                                      <w:marRight w:val="0"/>
                                                      <w:marTop w:val="0"/>
                                                      <w:marBottom w:val="0"/>
                                                      <w:divBdr>
                                                        <w:top w:val="none" w:sz="0" w:space="0" w:color="auto"/>
                                                        <w:left w:val="none" w:sz="0" w:space="0" w:color="auto"/>
                                                        <w:bottom w:val="none" w:sz="0" w:space="0" w:color="auto"/>
                                                        <w:right w:val="none" w:sz="0" w:space="0" w:color="auto"/>
                                                      </w:divBdr>
                                                    </w:div>
                                                  </w:divsChild>
                                                </w:div>
                                                <w:div w:id="1932272632">
                                                  <w:marLeft w:val="0"/>
                                                  <w:marRight w:val="0"/>
                                                  <w:marTop w:val="15"/>
                                                  <w:marBottom w:val="30"/>
                                                  <w:divBdr>
                                                    <w:top w:val="none" w:sz="0" w:space="0" w:color="auto"/>
                                                    <w:left w:val="none" w:sz="0" w:space="0" w:color="auto"/>
                                                    <w:bottom w:val="none" w:sz="0" w:space="0" w:color="auto"/>
                                                    <w:right w:val="none" w:sz="0" w:space="0" w:color="auto"/>
                                                  </w:divBdr>
                                                  <w:divsChild>
                                                    <w:div w:id="18514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4960">
                                              <w:marLeft w:val="0"/>
                                              <w:marRight w:val="0"/>
                                              <w:marTop w:val="0"/>
                                              <w:marBottom w:val="0"/>
                                              <w:divBdr>
                                                <w:top w:val="none" w:sz="0" w:space="0" w:color="auto"/>
                                                <w:left w:val="none" w:sz="0" w:space="0" w:color="auto"/>
                                                <w:bottom w:val="none" w:sz="0" w:space="0" w:color="auto"/>
                                                <w:right w:val="none" w:sz="0" w:space="0" w:color="auto"/>
                                              </w:divBdr>
                                            </w:div>
                                            <w:div w:id="982388308">
                                              <w:marLeft w:val="0"/>
                                              <w:marRight w:val="0"/>
                                              <w:marTop w:val="0"/>
                                              <w:marBottom w:val="0"/>
                                              <w:divBdr>
                                                <w:top w:val="none" w:sz="0" w:space="0" w:color="auto"/>
                                                <w:left w:val="none" w:sz="0" w:space="0" w:color="auto"/>
                                                <w:bottom w:val="none" w:sz="0" w:space="0" w:color="auto"/>
                                                <w:right w:val="none" w:sz="0" w:space="0" w:color="auto"/>
                                              </w:divBdr>
                                            </w:div>
                                            <w:div w:id="1609002265">
                                              <w:marLeft w:val="0"/>
                                              <w:marRight w:val="0"/>
                                              <w:marTop w:val="0"/>
                                              <w:marBottom w:val="0"/>
                                              <w:divBdr>
                                                <w:top w:val="none" w:sz="0" w:space="0" w:color="auto"/>
                                                <w:left w:val="none" w:sz="0" w:space="0" w:color="auto"/>
                                                <w:bottom w:val="none" w:sz="0" w:space="0" w:color="auto"/>
                                                <w:right w:val="none" w:sz="0" w:space="0" w:color="auto"/>
                                              </w:divBdr>
                                            </w:div>
                                            <w:div w:id="2017220952">
                                              <w:marLeft w:val="0"/>
                                              <w:marRight w:val="0"/>
                                              <w:marTop w:val="0"/>
                                              <w:marBottom w:val="0"/>
                                              <w:divBdr>
                                                <w:top w:val="none" w:sz="0" w:space="0" w:color="auto"/>
                                                <w:left w:val="none" w:sz="0" w:space="0" w:color="auto"/>
                                                <w:bottom w:val="none" w:sz="0" w:space="0" w:color="auto"/>
                                                <w:right w:val="none" w:sz="0" w:space="0" w:color="auto"/>
                                              </w:divBdr>
                                            </w:div>
                                          </w:divsChild>
                                        </w:div>
                                        <w:div w:id="793716096">
                                          <w:marLeft w:val="0"/>
                                          <w:marRight w:val="0"/>
                                          <w:marTop w:val="0"/>
                                          <w:marBottom w:val="0"/>
                                          <w:divBdr>
                                            <w:top w:val="none" w:sz="0" w:space="0" w:color="auto"/>
                                            <w:left w:val="none" w:sz="0" w:space="0" w:color="auto"/>
                                            <w:bottom w:val="none" w:sz="0" w:space="0" w:color="auto"/>
                                            <w:right w:val="none" w:sz="0" w:space="0" w:color="auto"/>
                                          </w:divBdr>
                                          <w:divsChild>
                                            <w:div w:id="940793800">
                                              <w:marLeft w:val="0"/>
                                              <w:marRight w:val="0"/>
                                              <w:marTop w:val="0"/>
                                              <w:marBottom w:val="0"/>
                                              <w:divBdr>
                                                <w:top w:val="none" w:sz="0" w:space="0" w:color="auto"/>
                                                <w:left w:val="none" w:sz="0" w:space="0" w:color="auto"/>
                                                <w:bottom w:val="none" w:sz="0" w:space="0" w:color="auto"/>
                                                <w:right w:val="none" w:sz="0" w:space="0" w:color="auto"/>
                                              </w:divBdr>
                                            </w:div>
                                          </w:divsChild>
                                        </w:div>
                                        <w:div w:id="960653277">
                                          <w:marLeft w:val="0"/>
                                          <w:marRight w:val="0"/>
                                          <w:marTop w:val="0"/>
                                          <w:marBottom w:val="0"/>
                                          <w:divBdr>
                                            <w:top w:val="single" w:sz="6" w:space="0" w:color="CECECE"/>
                                            <w:left w:val="single" w:sz="6" w:space="0" w:color="CECECE"/>
                                            <w:bottom w:val="single" w:sz="6" w:space="0" w:color="CECECE"/>
                                            <w:right w:val="single" w:sz="6" w:space="0" w:color="CECECE"/>
                                          </w:divBdr>
                                          <w:divsChild>
                                            <w:div w:id="2630497">
                                              <w:marLeft w:val="0"/>
                                              <w:marRight w:val="0"/>
                                              <w:marTop w:val="0"/>
                                              <w:marBottom w:val="0"/>
                                              <w:divBdr>
                                                <w:top w:val="none" w:sz="0" w:space="0" w:color="auto"/>
                                                <w:left w:val="none" w:sz="0" w:space="0" w:color="auto"/>
                                                <w:bottom w:val="none" w:sz="0" w:space="0" w:color="auto"/>
                                                <w:right w:val="none" w:sz="0" w:space="0" w:color="auto"/>
                                              </w:divBdr>
                                            </w:div>
                                            <w:div w:id="4748144">
                                              <w:marLeft w:val="0"/>
                                              <w:marRight w:val="0"/>
                                              <w:marTop w:val="0"/>
                                              <w:marBottom w:val="0"/>
                                              <w:divBdr>
                                                <w:top w:val="none" w:sz="0" w:space="0" w:color="auto"/>
                                                <w:left w:val="none" w:sz="0" w:space="0" w:color="auto"/>
                                                <w:bottom w:val="none" w:sz="0" w:space="0" w:color="auto"/>
                                                <w:right w:val="none" w:sz="0" w:space="0" w:color="auto"/>
                                              </w:divBdr>
                                            </w:div>
                                            <w:div w:id="16202776">
                                              <w:marLeft w:val="0"/>
                                              <w:marRight w:val="0"/>
                                              <w:marTop w:val="0"/>
                                              <w:marBottom w:val="0"/>
                                              <w:divBdr>
                                                <w:top w:val="none" w:sz="0" w:space="0" w:color="auto"/>
                                                <w:left w:val="none" w:sz="0" w:space="0" w:color="auto"/>
                                                <w:bottom w:val="none" w:sz="0" w:space="0" w:color="auto"/>
                                                <w:right w:val="none" w:sz="0" w:space="0" w:color="auto"/>
                                              </w:divBdr>
                                            </w:div>
                                            <w:div w:id="42602149">
                                              <w:marLeft w:val="0"/>
                                              <w:marRight w:val="0"/>
                                              <w:marTop w:val="0"/>
                                              <w:marBottom w:val="0"/>
                                              <w:divBdr>
                                                <w:top w:val="none" w:sz="0" w:space="0" w:color="auto"/>
                                                <w:left w:val="none" w:sz="0" w:space="0" w:color="auto"/>
                                                <w:bottom w:val="none" w:sz="0" w:space="0" w:color="auto"/>
                                                <w:right w:val="none" w:sz="0" w:space="0" w:color="auto"/>
                                              </w:divBdr>
                                            </w:div>
                                            <w:div w:id="43261802">
                                              <w:marLeft w:val="0"/>
                                              <w:marRight w:val="0"/>
                                              <w:marTop w:val="0"/>
                                              <w:marBottom w:val="0"/>
                                              <w:divBdr>
                                                <w:top w:val="none" w:sz="0" w:space="0" w:color="auto"/>
                                                <w:left w:val="none" w:sz="0" w:space="0" w:color="auto"/>
                                                <w:bottom w:val="none" w:sz="0" w:space="0" w:color="auto"/>
                                                <w:right w:val="none" w:sz="0" w:space="0" w:color="auto"/>
                                              </w:divBdr>
                                            </w:div>
                                            <w:div w:id="47534962">
                                              <w:marLeft w:val="0"/>
                                              <w:marRight w:val="0"/>
                                              <w:marTop w:val="0"/>
                                              <w:marBottom w:val="0"/>
                                              <w:divBdr>
                                                <w:top w:val="none" w:sz="0" w:space="0" w:color="auto"/>
                                                <w:left w:val="none" w:sz="0" w:space="0" w:color="auto"/>
                                                <w:bottom w:val="none" w:sz="0" w:space="0" w:color="auto"/>
                                                <w:right w:val="none" w:sz="0" w:space="0" w:color="auto"/>
                                              </w:divBdr>
                                            </w:div>
                                            <w:div w:id="94251560">
                                              <w:marLeft w:val="0"/>
                                              <w:marRight w:val="0"/>
                                              <w:marTop w:val="0"/>
                                              <w:marBottom w:val="0"/>
                                              <w:divBdr>
                                                <w:top w:val="none" w:sz="0" w:space="0" w:color="auto"/>
                                                <w:left w:val="none" w:sz="0" w:space="0" w:color="auto"/>
                                                <w:bottom w:val="none" w:sz="0" w:space="0" w:color="auto"/>
                                                <w:right w:val="none" w:sz="0" w:space="0" w:color="auto"/>
                                              </w:divBdr>
                                            </w:div>
                                            <w:div w:id="97802220">
                                              <w:marLeft w:val="0"/>
                                              <w:marRight w:val="0"/>
                                              <w:marTop w:val="0"/>
                                              <w:marBottom w:val="0"/>
                                              <w:divBdr>
                                                <w:top w:val="none" w:sz="0" w:space="0" w:color="auto"/>
                                                <w:left w:val="none" w:sz="0" w:space="0" w:color="auto"/>
                                                <w:bottom w:val="none" w:sz="0" w:space="0" w:color="auto"/>
                                                <w:right w:val="none" w:sz="0" w:space="0" w:color="auto"/>
                                              </w:divBdr>
                                            </w:div>
                                            <w:div w:id="101147116">
                                              <w:marLeft w:val="0"/>
                                              <w:marRight w:val="0"/>
                                              <w:marTop w:val="0"/>
                                              <w:marBottom w:val="0"/>
                                              <w:divBdr>
                                                <w:top w:val="none" w:sz="0" w:space="0" w:color="auto"/>
                                                <w:left w:val="none" w:sz="0" w:space="0" w:color="auto"/>
                                                <w:bottom w:val="none" w:sz="0" w:space="0" w:color="auto"/>
                                                <w:right w:val="none" w:sz="0" w:space="0" w:color="auto"/>
                                              </w:divBdr>
                                            </w:div>
                                            <w:div w:id="145823406">
                                              <w:marLeft w:val="0"/>
                                              <w:marRight w:val="0"/>
                                              <w:marTop w:val="0"/>
                                              <w:marBottom w:val="0"/>
                                              <w:divBdr>
                                                <w:top w:val="none" w:sz="0" w:space="0" w:color="auto"/>
                                                <w:left w:val="none" w:sz="0" w:space="0" w:color="auto"/>
                                                <w:bottom w:val="none" w:sz="0" w:space="0" w:color="auto"/>
                                                <w:right w:val="none" w:sz="0" w:space="0" w:color="auto"/>
                                              </w:divBdr>
                                            </w:div>
                                            <w:div w:id="179198597">
                                              <w:marLeft w:val="0"/>
                                              <w:marRight w:val="0"/>
                                              <w:marTop w:val="0"/>
                                              <w:marBottom w:val="0"/>
                                              <w:divBdr>
                                                <w:top w:val="none" w:sz="0" w:space="0" w:color="auto"/>
                                                <w:left w:val="none" w:sz="0" w:space="0" w:color="auto"/>
                                                <w:bottom w:val="none" w:sz="0" w:space="0" w:color="auto"/>
                                                <w:right w:val="none" w:sz="0" w:space="0" w:color="auto"/>
                                              </w:divBdr>
                                            </w:div>
                                            <w:div w:id="185799376">
                                              <w:marLeft w:val="0"/>
                                              <w:marRight w:val="0"/>
                                              <w:marTop w:val="0"/>
                                              <w:marBottom w:val="0"/>
                                              <w:divBdr>
                                                <w:top w:val="none" w:sz="0" w:space="0" w:color="auto"/>
                                                <w:left w:val="none" w:sz="0" w:space="0" w:color="auto"/>
                                                <w:bottom w:val="none" w:sz="0" w:space="0" w:color="auto"/>
                                                <w:right w:val="none" w:sz="0" w:space="0" w:color="auto"/>
                                              </w:divBdr>
                                            </w:div>
                                            <w:div w:id="190652483">
                                              <w:marLeft w:val="0"/>
                                              <w:marRight w:val="0"/>
                                              <w:marTop w:val="0"/>
                                              <w:marBottom w:val="0"/>
                                              <w:divBdr>
                                                <w:top w:val="none" w:sz="0" w:space="0" w:color="auto"/>
                                                <w:left w:val="none" w:sz="0" w:space="0" w:color="auto"/>
                                                <w:bottom w:val="none" w:sz="0" w:space="0" w:color="auto"/>
                                                <w:right w:val="none" w:sz="0" w:space="0" w:color="auto"/>
                                              </w:divBdr>
                                            </w:div>
                                            <w:div w:id="194852857">
                                              <w:marLeft w:val="0"/>
                                              <w:marRight w:val="0"/>
                                              <w:marTop w:val="0"/>
                                              <w:marBottom w:val="0"/>
                                              <w:divBdr>
                                                <w:top w:val="none" w:sz="0" w:space="0" w:color="auto"/>
                                                <w:left w:val="none" w:sz="0" w:space="0" w:color="auto"/>
                                                <w:bottom w:val="none" w:sz="0" w:space="0" w:color="auto"/>
                                                <w:right w:val="none" w:sz="0" w:space="0" w:color="auto"/>
                                              </w:divBdr>
                                            </w:div>
                                            <w:div w:id="208492411">
                                              <w:marLeft w:val="0"/>
                                              <w:marRight w:val="0"/>
                                              <w:marTop w:val="0"/>
                                              <w:marBottom w:val="0"/>
                                              <w:divBdr>
                                                <w:top w:val="none" w:sz="0" w:space="0" w:color="auto"/>
                                                <w:left w:val="none" w:sz="0" w:space="0" w:color="auto"/>
                                                <w:bottom w:val="none" w:sz="0" w:space="0" w:color="auto"/>
                                                <w:right w:val="none" w:sz="0" w:space="0" w:color="auto"/>
                                              </w:divBdr>
                                            </w:div>
                                            <w:div w:id="218051534">
                                              <w:marLeft w:val="0"/>
                                              <w:marRight w:val="0"/>
                                              <w:marTop w:val="0"/>
                                              <w:marBottom w:val="0"/>
                                              <w:divBdr>
                                                <w:top w:val="none" w:sz="0" w:space="0" w:color="auto"/>
                                                <w:left w:val="none" w:sz="0" w:space="0" w:color="auto"/>
                                                <w:bottom w:val="none" w:sz="0" w:space="0" w:color="auto"/>
                                                <w:right w:val="none" w:sz="0" w:space="0" w:color="auto"/>
                                              </w:divBdr>
                                            </w:div>
                                            <w:div w:id="219827007">
                                              <w:marLeft w:val="0"/>
                                              <w:marRight w:val="0"/>
                                              <w:marTop w:val="0"/>
                                              <w:marBottom w:val="0"/>
                                              <w:divBdr>
                                                <w:top w:val="none" w:sz="0" w:space="0" w:color="auto"/>
                                                <w:left w:val="none" w:sz="0" w:space="0" w:color="auto"/>
                                                <w:bottom w:val="none" w:sz="0" w:space="0" w:color="auto"/>
                                                <w:right w:val="none" w:sz="0" w:space="0" w:color="auto"/>
                                              </w:divBdr>
                                            </w:div>
                                            <w:div w:id="241765029">
                                              <w:marLeft w:val="0"/>
                                              <w:marRight w:val="0"/>
                                              <w:marTop w:val="0"/>
                                              <w:marBottom w:val="0"/>
                                              <w:divBdr>
                                                <w:top w:val="none" w:sz="0" w:space="0" w:color="auto"/>
                                                <w:left w:val="none" w:sz="0" w:space="0" w:color="auto"/>
                                                <w:bottom w:val="none" w:sz="0" w:space="0" w:color="auto"/>
                                                <w:right w:val="none" w:sz="0" w:space="0" w:color="auto"/>
                                              </w:divBdr>
                                            </w:div>
                                            <w:div w:id="252326120">
                                              <w:marLeft w:val="0"/>
                                              <w:marRight w:val="0"/>
                                              <w:marTop w:val="0"/>
                                              <w:marBottom w:val="0"/>
                                              <w:divBdr>
                                                <w:top w:val="none" w:sz="0" w:space="0" w:color="auto"/>
                                                <w:left w:val="none" w:sz="0" w:space="0" w:color="auto"/>
                                                <w:bottom w:val="none" w:sz="0" w:space="0" w:color="auto"/>
                                                <w:right w:val="none" w:sz="0" w:space="0" w:color="auto"/>
                                              </w:divBdr>
                                            </w:div>
                                            <w:div w:id="253783470">
                                              <w:marLeft w:val="0"/>
                                              <w:marRight w:val="0"/>
                                              <w:marTop w:val="0"/>
                                              <w:marBottom w:val="0"/>
                                              <w:divBdr>
                                                <w:top w:val="none" w:sz="0" w:space="0" w:color="auto"/>
                                                <w:left w:val="none" w:sz="0" w:space="0" w:color="auto"/>
                                                <w:bottom w:val="none" w:sz="0" w:space="0" w:color="auto"/>
                                                <w:right w:val="none" w:sz="0" w:space="0" w:color="auto"/>
                                              </w:divBdr>
                                            </w:div>
                                            <w:div w:id="274293548">
                                              <w:marLeft w:val="0"/>
                                              <w:marRight w:val="0"/>
                                              <w:marTop w:val="0"/>
                                              <w:marBottom w:val="0"/>
                                              <w:divBdr>
                                                <w:top w:val="none" w:sz="0" w:space="0" w:color="auto"/>
                                                <w:left w:val="none" w:sz="0" w:space="0" w:color="auto"/>
                                                <w:bottom w:val="none" w:sz="0" w:space="0" w:color="auto"/>
                                                <w:right w:val="none" w:sz="0" w:space="0" w:color="auto"/>
                                              </w:divBdr>
                                            </w:div>
                                            <w:div w:id="280918294">
                                              <w:marLeft w:val="0"/>
                                              <w:marRight w:val="0"/>
                                              <w:marTop w:val="0"/>
                                              <w:marBottom w:val="0"/>
                                              <w:divBdr>
                                                <w:top w:val="none" w:sz="0" w:space="0" w:color="auto"/>
                                                <w:left w:val="none" w:sz="0" w:space="0" w:color="auto"/>
                                                <w:bottom w:val="none" w:sz="0" w:space="0" w:color="auto"/>
                                                <w:right w:val="none" w:sz="0" w:space="0" w:color="auto"/>
                                              </w:divBdr>
                                            </w:div>
                                            <w:div w:id="280959950">
                                              <w:marLeft w:val="0"/>
                                              <w:marRight w:val="0"/>
                                              <w:marTop w:val="0"/>
                                              <w:marBottom w:val="0"/>
                                              <w:divBdr>
                                                <w:top w:val="none" w:sz="0" w:space="0" w:color="auto"/>
                                                <w:left w:val="none" w:sz="0" w:space="0" w:color="auto"/>
                                                <w:bottom w:val="none" w:sz="0" w:space="0" w:color="auto"/>
                                                <w:right w:val="none" w:sz="0" w:space="0" w:color="auto"/>
                                              </w:divBdr>
                                            </w:div>
                                            <w:div w:id="313030097">
                                              <w:marLeft w:val="0"/>
                                              <w:marRight w:val="0"/>
                                              <w:marTop w:val="0"/>
                                              <w:marBottom w:val="0"/>
                                              <w:divBdr>
                                                <w:top w:val="none" w:sz="0" w:space="0" w:color="auto"/>
                                                <w:left w:val="none" w:sz="0" w:space="0" w:color="auto"/>
                                                <w:bottom w:val="none" w:sz="0" w:space="0" w:color="auto"/>
                                                <w:right w:val="none" w:sz="0" w:space="0" w:color="auto"/>
                                              </w:divBdr>
                                            </w:div>
                                            <w:div w:id="323902553">
                                              <w:marLeft w:val="0"/>
                                              <w:marRight w:val="0"/>
                                              <w:marTop w:val="0"/>
                                              <w:marBottom w:val="0"/>
                                              <w:divBdr>
                                                <w:top w:val="none" w:sz="0" w:space="0" w:color="auto"/>
                                                <w:left w:val="none" w:sz="0" w:space="0" w:color="auto"/>
                                                <w:bottom w:val="none" w:sz="0" w:space="0" w:color="auto"/>
                                                <w:right w:val="none" w:sz="0" w:space="0" w:color="auto"/>
                                              </w:divBdr>
                                            </w:div>
                                            <w:div w:id="338701026">
                                              <w:marLeft w:val="0"/>
                                              <w:marRight w:val="0"/>
                                              <w:marTop w:val="0"/>
                                              <w:marBottom w:val="0"/>
                                              <w:divBdr>
                                                <w:top w:val="none" w:sz="0" w:space="0" w:color="auto"/>
                                                <w:left w:val="none" w:sz="0" w:space="0" w:color="auto"/>
                                                <w:bottom w:val="none" w:sz="0" w:space="0" w:color="auto"/>
                                                <w:right w:val="none" w:sz="0" w:space="0" w:color="auto"/>
                                              </w:divBdr>
                                            </w:div>
                                            <w:div w:id="361520820">
                                              <w:marLeft w:val="0"/>
                                              <w:marRight w:val="0"/>
                                              <w:marTop w:val="0"/>
                                              <w:marBottom w:val="0"/>
                                              <w:divBdr>
                                                <w:top w:val="none" w:sz="0" w:space="0" w:color="auto"/>
                                                <w:left w:val="none" w:sz="0" w:space="0" w:color="auto"/>
                                                <w:bottom w:val="none" w:sz="0" w:space="0" w:color="auto"/>
                                                <w:right w:val="none" w:sz="0" w:space="0" w:color="auto"/>
                                              </w:divBdr>
                                            </w:div>
                                            <w:div w:id="366952630">
                                              <w:marLeft w:val="0"/>
                                              <w:marRight w:val="0"/>
                                              <w:marTop w:val="0"/>
                                              <w:marBottom w:val="0"/>
                                              <w:divBdr>
                                                <w:top w:val="none" w:sz="0" w:space="0" w:color="auto"/>
                                                <w:left w:val="none" w:sz="0" w:space="0" w:color="auto"/>
                                                <w:bottom w:val="none" w:sz="0" w:space="0" w:color="auto"/>
                                                <w:right w:val="none" w:sz="0" w:space="0" w:color="auto"/>
                                              </w:divBdr>
                                            </w:div>
                                            <w:div w:id="428309761">
                                              <w:marLeft w:val="0"/>
                                              <w:marRight w:val="0"/>
                                              <w:marTop w:val="0"/>
                                              <w:marBottom w:val="0"/>
                                              <w:divBdr>
                                                <w:top w:val="none" w:sz="0" w:space="0" w:color="auto"/>
                                                <w:left w:val="none" w:sz="0" w:space="0" w:color="auto"/>
                                                <w:bottom w:val="none" w:sz="0" w:space="0" w:color="auto"/>
                                                <w:right w:val="none" w:sz="0" w:space="0" w:color="auto"/>
                                              </w:divBdr>
                                            </w:div>
                                            <w:div w:id="452599221">
                                              <w:marLeft w:val="0"/>
                                              <w:marRight w:val="0"/>
                                              <w:marTop w:val="0"/>
                                              <w:marBottom w:val="0"/>
                                              <w:divBdr>
                                                <w:top w:val="none" w:sz="0" w:space="0" w:color="auto"/>
                                                <w:left w:val="none" w:sz="0" w:space="0" w:color="auto"/>
                                                <w:bottom w:val="none" w:sz="0" w:space="0" w:color="auto"/>
                                                <w:right w:val="none" w:sz="0" w:space="0" w:color="auto"/>
                                              </w:divBdr>
                                            </w:div>
                                            <w:div w:id="475996764">
                                              <w:marLeft w:val="0"/>
                                              <w:marRight w:val="0"/>
                                              <w:marTop w:val="0"/>
                                              <w:marBottom w:val="0"/>
                                              <w:divBdr>
                                                <w:top w:val="none" w:sz="0" w:space="0" w:color="auto"/>
                                                <w:left w:val="none" w:sz="0" w:space="0" w:color="auto"/>
                                                <w:bottom w:val="none" w:sz="0" w:space="0" w:color="auto"/>
                                                <w:right w:val="none" w:sz="0" w:space="0" w:color="auto"/>
                                              </w:divBdr>
                                            </w:div>
                                            <w:div w:id="489904039">
                                              <w:marLeft w:val="0"/>
                                              <w:marRight w:val="0"/>
                                              <w:marTop w:val="0"/>
                                              <w:marBottom w:val="0"/>
                                              <w:divBdr>
                                                <w:top w:val="none" w:sz="0" w:space="0" w:color="auto"/>
                                                <w:left w:val="none" w:sz="0" w:space="0" w:color="auto"/>
                                                <w:bottom w:val="none" w:sz="0" w:space="0" w:color="auto"/>
                                                <w:right w:val="none" w:sz="0" w:space="0" w:color="auto"/>
                                              </w:divBdr>
                                            </w:div>
                                            <w:div w:id="501090020">
                                              <w:marLeft w:val="0"/>
                                              <w:marRight w:val="0"/>
                                              <w:marTop w:val="0"/>
                                              <w:marBottom w:val="0"/>
                                              <w:divBdr>
                                                <w:top w:val="none" w:sz="0" w:space="0" w:color="auto"/>
                                                <w:left w:val="none" w:sz="0" w:space="0" w:color="auto"/>
                                                <w:bottom w:val="none" w:sz="0" w:space="0" w:color="auto"/>
                                                <w:right w:val="none" w:sz="0" w:space="0" w:color="auto"/>
                                              </w:divBdr>
                                            </w:div>
                                            <w:div w:id="528882593">
                                              <w:marLeft w:val="0"/>
                                              <w:marRight w:val="0"/>
                                              <w:marTop w:val="0"/>
                                              <w:marBottom w:val="0"/>
                                              <w:divBdr>
                                                <w:top w:val="none" w:sz="0" w:space="0" w:color="auto"/>
                                                <w:left w:val="none" w:sz="0" w:space="0" w:color="auto"/>
                                                <w:bottom w:val="none" w:sz="0" w:space="0" w:color="auto"/>
                                                <w:right w:val="none" w:sz="0" w:space="0" w:color="auto"/>
                                              </w:divBdr>
                                            </w:div>
                                            <w:div w:id="532500789">
                                              <w:marLeft w:val="0"/>
                                              <w:marRight w:val="0"/>
                                              <w:marTop w:val="0"/>
                                              <w:marBottom w:val="0"/>
                                              <w:divBdr>
                                                <w:top w:val="none" w:sz="0" w:space="0" w:color="auto"/>
                                                <w:left w:val="none" w:sz="0" w:space="0" w:color="auto"/>
                                                <w:bottom w:val="none" w:sz="0" w:space="0" w:color="auto"/>
                                                <w:right w:val="none" w:sz="0" w:space="0" w:color="auto"/>
                                              </w:divBdr>
                                            </w:div>
                                            <w:div w:id="545530228">
                                              <w:marLeft w:val="0"/>
                                              <w:marRight w:val="0"/>
                                              <w:marTop w:val="0"/>
                                              <w:marBottom w:val="0"/>
                                              <w:divBdr>
                                                <w:top w:val="none" w:sz="0" w:space="0" w:color="auto"/>
                                                <w:left w:val="none" w:sz="0" w:space="0" w:color="auto"/>
                                                <w:bottom w:val="none" w:sz="0" w:space="0" w:color="auto"/>
                                                <w:right w:val="none" w:sz="0" w:space="0" w:color="auto"/>
                                              </w:divBdr>
                                            </w:div>
                                            <w:div w:id="551887171">
                                              <w:marLeft w:val="0"/>
                                              <w:marRight w:val="0"/>
                                              <w:marTop w:val="0"/>
                                              <w:marBottom w:val="0"/>
                                              <w:divBdr>
                                                <w:top w:val="none" w:sz="0" w:space="0" w:color="auto"/>
                                                <w:left w:val="none" w:sz="0" w:space="0" w:color="auto"/>
                                                <w:bottom w:val="none" w:sz="0" w:space="0" w:color="auto"/>
                                                <w:right w:val="none" w:sz="0" w:space="0" w:color="auto"/>
                                              </w:divBdr>
                                            </w:div>
                                            <w:div w:id="576600368">
                                              <w:marLeft w:val="0"/>
                                              <w:marRight w:val="0"/>
                                              <w:marTop w:val="0"/>
                                              <w:marBottom w:val="0"/>
                                              <w:divBdr>
                                                <w:top w:val="none" w:sz="0" w:space="0" w:color="auto"/>
                                                <w:left w:val="none" w:sz="0" w:space="0" w:color="auto"/>
                                                <w:bottom w:val="none" w:sz="0" w:space="0" w:color="auto"/>
                                                <w:right w:val="none" w:sz="0" w:space="0" w:color="auto"/>
                                              </w:divBdr>
                                            </w:div>
                                            <w:div w:id="593171160">
                                              <w:marLeft w:val="0"/>
                                              <w:marRight w:val="0"/>
                                              <w:marTop w:val="0"/>
                                              <w:marBottom w:val="0"/>
                                              <w:divBdr>
                                                <w:top w:val="none" w:sz="0" w:space="0" w:color="auto"/>
                                                <w:left w:val="none" w:sz="0" w:space="0" w:color="auto"/>
                                                <w:bottom w:val="none" w:sz="0" w:space="0" w:color="auto"/>
                                                <w:right w:val="none" w:sz="0" w:space="0" w:color="auto"/>
                                              </w:divBdr>
                                            </w:div>
                                            <w:div w:id="598491856">
                                              <w:marLeft w:val="0"/>
                                              <w:marRight w:val="0"/>
                                              <w:marTop w:val="0"/>
                                              <w:marBottom w:val="0"/>
                                              <w:divBdr>
                                                <w:top w:val="none" w:sz="0" w:space="0" w:color="auto"/>
                                                <w:left w:val="none" w:sz="0" w:space="0" w:color="auto"/>
                                                <w:bottom w:val="none" w:sz="0" w:space="0" w:color="auto"/>
                                                <w:right w:val="none" w:sz="0" w:space="0" w:color="auto"/>
                                              </w:divBdr>
                                            </w:div>
                                            <w:div w:id="601571675">
                                              <w:marLeft w:val="0"/>
                                              <w:marRight w:val="0"/>
                                              <w:marTop w:val="0"/>
                                              <w:marBottom w:val="0"/>
                                              <w:divBdr>
                                                <w:top w:val="none" w:sz="0" w:space="0" w:color="auto"/>
                                                <w:left w:val="none" w:sz="0" w:space="0" w:color="auto"/>
                                                <w:bottom w:val="none" w:sz="0" w:space="0" w:color="auto"/>
                                                <w:right w:val="none" w:sz="0" w:space="0" w:color="auto"/>
                                              </w:divBdr>
                                            </w:div>
                                            <w:div w:id="610816260">
                                              <w:marLeft w:val="0"/>
                                              <w:marRight w:val="0"/>
                                              <w:marTop w:val="0"/>
                                              <w:marBottom w:val="0"/>
                                              <w:divBdr>
                                                <w:top w:val="none" w:sz="0" w:space="0" w:color="auto"/>
                                                <w:left w:val="none" w:sz="0" w:space="0" w:color="auto"/>
                                                <w:bottom w:val="none" w:sz="0" w:space="0" w:color="auto"/>
                                                <w:right w:val="none" w:sz="0" w:space="0" w:color="auto"/>
                                              </w:divBdr>
                                            </w:div>
                                            <w:div w:id="613558849">
                                              <w:marLeft w:val="0"/>
                                              <w:marRight w:val="0"/>
                                              <w:marTop w:val="0"/>
                                              <w:marBottom w:val="0"/>
                                              <w:divBdr>
                                                <w:top w:val="none" w:sz="0" w:space="0" w:color="auto"/>
                                                <w:left w:val="none" w:sz="0" w:space="0" w:color="auto"/>
                                                <w:bottom w:val="none" w:sz="0" w:space="0" w:color="auto"/>
                                                <w:right w:val="none" w:sz="0" w:space="0" w:color="auto"/>
                                              </w:divBdr>
                                            </w:div>
                                            <w:div w:id="622342796">
                                              <w:marLeft w:val="0"/>
                                              <w:marRight w:val="0"/>
                                              <w:marTop w:val="0"/>
                                              <w:marBottom w:val="0"/>
                                              <w:divBdr>
                                                <w:top w:val="none" w:sz="0" w:space="0" w:color="auto"/>
                                                <w:left w:val="none" w:sz="0" w:space="0" w:color="auto"/>
                                                <w:bottom w:val="none" w:sz="0" w:space="0" w:color="auto"/>
                                                <w:right w:val="none" w:sz="0" w:space="0" w:color="auto"/>
                                              </w:divBdr>
                                            </w:div>
                                            <w:div w:id="641036432">
                                              <w:marLeft w:val="0"/>
                                              <w:marRight w:val="0"/>
                                              <w:marTop w:val="0"/>
                                              <w:marBottom w:val="0"/>
                                              <w:divBdr>
                                                <w:top w:val="none" w:sz="0" w:space="0" w:color="auto"/>
                                                <w:left w:val="none" w:sz="0" w:space="0" w:color="auto"/>
                                                <w:bottom w:val="none" w:sz="0" w:space="0" w:color="auto"/>
                                                <w:right w:val="none" w:sz="0" w:space="0" w:color="auto"/>
                                              </w:divBdr>
                                            </w:div>
                                            <w:div w:id="662470606">
                                              <w:marLeft w:val="0"/>
                                              <w:marRight w:val="0"/>
                                              <w:marTop w:val="0"/>
                                              <w:marBottom w:val="0"/>
                                              <w:divBdr>
                                                <w:top w:val="none" w:sz="0" w:space="0" w:color="auto"/>
                                                <w:left w:val="none" w:sz="0" w:space="0" w:color="auto"/>
                                                <w:bottom w:val="none" w:sz="0" w:space="0" w:color="auto"/>
                                                <w:right w:val="none" w:sz="0" w:space="0" w:color="auto"/>
                                              </w:divBdr>
                                            </w:div>
                                            <w:div w:id="690381010">
                                              <w:marLeft w:val="0"/>
                                              <w:marRight w:val="0"/>
                                              <w:marTop w:val="0"/>
                                              <w:marBottom w:val="0"/>
                                              <w:divBdr>
                                                <w:top w:val="none" w:sz="0" w:space="0" w:color="auto"/>
                                                <w:left w:val="none" w:sz="0" w:space="0" w:color="auto"/>
                                                <w:bottom w:val="none" w:sz="0" w:space="0" w:color="auto"/>
                                                <w:right w:val="none" w:sz="0" w:space="0" w:color="auto"/>
                                              </w:divBdr>
                                            </w:div>
                                            <w:div w:id="699823710">
                                              <w:marLeft w:val="0"/>
                                              <w:marRight w:val="0"/>
                                              <w:marTop w:val="0"/>
                                              <w:marBottom w:val="0"/>
                                              <w:divBdr>
                                                <w:top w:val="none" w:sz="0" w:space="0" w:color="auto"/>
                                                <w:left w:val="none" w:sz="0" w:space="0" w:color="auto"/>
                                                <w:bottom w:val="none" w:sz="0" w:space="0" w:color="auto"/>
                                                <w:right w:val="none" w:sz="0" w:space="0" w:color="auto"/>
                                              </w:divBdr>
                                            </w:div>
                                            <w:div w:id="711226552">
                                              <w:marLeft w:val="0"/>
                                              <w:marRight w:val="0"/>
                                              <w:marTop w:val="0"/>
                                              <w:marBottom w:val="0"/>
                                              <w:divBdr>
                                                <w:top w:val="none" w:sz="0" w:space="0" w:color="auto"/>
                                                <w:left w:val="none" w:sz="0" w:space="0" w:color="auto"/>
                                                <w:bottom w:val="none" w:sz="0" w:space="0" w:color="auto"/>
                                                <w:right w:val="none" w:sz="0" w:space="0" w:color="auto"/>
                                              </w:divBdr>
                                            </w:div>
                                            <w:div w:id="727000532">
                                              <w:marLeft w:val="0"/>
                                              <w:marRight w:val="0"/>
                                              <w:marTop w:val="0"/>
                                              <w:marBottom w:val="0"/>
                                              <w:divBdr>
                                                <w:top w:val="none" w:sz="0" w:space="0" w:color="auto"/>
                                                <w:left w:val="none" w:sz="0" w:space="0" w:color="auto"/>
                                                <w:bottom w:val="none" w:sz="0" w:space="0" w:color="auto"/>
                                                <w:right w:val="none" w:sz="0" w:space="0" w:color="auto"/>
                                              </w:divBdr>
                                            </w:div>
                                            <w:div w:id="735856077">
                                              <w:marLeft w:val="0"/>
                                              <w:marRight w:val="0"/>
                                              <w:marTop w:val="0"/>
                                              <w:marBottom w:val="0"/>
                                              <w:divBdr>
                                                <w:top w:val="none" w:sz="0" w:space="0" w:color="auto"/>
                                                <w:left w:val="none" w:sz="0" w:space="0" w:color="auto"/>
                                                <w:bottom w:val="none" w:sz="0" w:space="0" w:color="auto"/>
                                                <w:right w:val="none" w:sz="0" w:space="0" w:color="auto"/>
                                              </w:divBdr>
                                            </w:div>
                                            <w:div w:id="750276527">
                                              <w:marLeft w:val="0"/>
                                              <w:marRight w:val="0"/>
                                              <w:marTop w:val="0"/>
                                              <w:marBottom w:val="0"/>
                                              <w:divBdr>
                                                <w:top w:val="none" w:sz="0" w:space="0" w:color="auto"/>
                                                <w:left w:val="none" w:sz="0" w:space="0" w:color="auto"/>
                                                <w:bottom w:val="none" w:sz="0" w:space="0" w:color="auto"/>
                                                <w:right w:val="none" w:sz="0" w:space="0" w:color="auto"/>
                                              </w:divBdr>
                                            </w:div>
                                            <w:div w:id="755129187">
                                              <w:marLeft w:val="0"/>
                                              <w:marRight w:val="0"/>
                                              <w:marTop w:val="0"/>
                                              <w:marBottom w:val="0"/>
                                              <w:divBdr>
                                                <w:top w:val="none" w:sz="0" w:space="0" w:color="auto"/>
                                                <w:left w:val="none" w:sz="0" w:space="0" w:color="auto"/>
                                                <w:bottom w:val="none" w:sz="0" w:space="0" w:color="auto"/>
                                                <w:right w:val="none" w:sz="0" w:space="0" w:color="auto"/>
                                              </w:divBdr>
                                            </w:div>
                                            <w:div w:id="761337822">
                                              <w:marLeft w:val="0"/>
                                              <w:marRight w:val="0"/>
                                              <w:marTop w:val="0"/>
                                              <w:marBottom w:val="0"/>
                                              <w:divBdr>
                                                <w:top w:val="none" w:sz="0" w:space="0" w:color="auto"/>
                                                <w:left w:val="none" w:sz="0" w:space="0" w:color="auto"/>
                                                <w:bottom w:val="none" w:sz="0" w:space="0" w:color="auto"/>
                                                <w:right w:val="none" w:sz="0" w:space="0" w:color="auto"/>
                                              </w:divBdr>
                                            </w:div>
                                            <w:div w:id="767501439">
                                              <w:marLeft w:val="0"/>
                                              <w:marRight w:val="0"/>
                                              <w:marTop w:val="0"/>
                                              <w:marBottom w:val="0"/>
                                              <w:divBdr>
                                                <w:top w:val="none" w:sz="0" w:space="0" w:color="auto"/>
                                                <w:left w:val="none" w:sz="0" w:space="0" w:color="auto"/>
                                                <w:bottom w:val="none" w:sz="0" w:space="0" w:color="auto"/>
                                                <w:right w:val="none" w:sz="0" w:space="0" w:color="auto"/>
                                              </w:divBdr>
                                            </w:div>
                                            <w:div w:id="768622656">
                                              <w:marLeft w:val="0"/>
                                              <w:marRight w:val="0"/>
                                              <w:marTop w:val="0"/>
                                              <w:marBottom w:val="0"/>
                                              <w:divBdr>
                                                <w:top w:val="none" w:sz="0" w:space="0" w:color="auto"/>
                                                <w:left w:val="none" w:sz="0" w:space="0" w:color="auto"/>
                                                <w:bottom w:val="none" w:sz="0" w:space="0" w:color="auto"/>
                                                <w:right w:val="none" w:sz="0" w:space="0" w:color="auto"/>
                                              </w:divBdr>
                                            </w:div>
                                            <w:div w:id="784740415">
                                              <w:marLeft w:val="0"/>
                                              <w:marRight w:val="0"/>
                                              <w:marTop w:val="0"/>
                                              <w:marBottom w:val="0"/>
                                              <w:divBdr>
                                                <w:top w:val="none" w:sz="0" w:space="0" w:color="auto"/>
                                                <w:left w:val="none" w:sz="0" w:space="0" w:color="auto"/>
                                                <w:bottom w:val="none" w:sz="0" w:space="0" w:color="auto"/>
                                                <w:right w:val="none" w:sz="0" w:space="0" w:color="auto"/>
                                              </w:divBdr>
                                            </w:div>
                                            <w:div w:id="812914452">
                                              <w:marLeft w:val="0"/>
                                              <w:marRight w:val="0"/>
                                              <w:marTop w:val="0"/>
                                              <w:marBottom w:val="0"/>
                                              <w:divBdr>
                                                <w:top w:val="none" w:sz="0" w:space="0" w:color="auto"/>
                                                <w:left w:val="none" w:sz="0" w:space="0" w:color="auto"/>
                                                <w:bottom w:val="none" w:sz="0" w:space="0" w:color="auto"/>
                                                <w:right w:val="none" w:sz="0" w:space="0" w:color="auto"/>
                                              </w:divBdr>
                                            </w:div>
                                            <w:div w:id="837354053">
                                              <w:marLeft w:val="0"/>
                                              <w:marRight w:val="0"/>
                                              <w:marTop w:val="0"/>
                                              <w:marBottom w:val="0"/>
                                              <w:divBdr>
                                                <w:top w:val="none" w:sz="0" w:space="0" w:color="auto"/>
                                                <w:left w:val="none" w:sz="0" w:space="0" w:color="auto"/>
                                                <w:bottom w:val="none" w:sz="0" w:space="0" w:color="auto"/>
                                                <w:right w:val="none" w:sz="0" w:space="0" w:color="auto"/>
                                              </w:divBdr>
                                            </w:div>
                                            <w:div w:id="841969336">
                                              <w:marLeft w:val="0"/>
                                              <w:marRight w:val="0"/>
                                              <w:marTop w:val="0"/>
                                              <w:marBottom w:val="0"/>
                                              <w:divBdr>
                                                <w:top w:val="none" w:sz="0" w:space="0" w:color="auto"/>
                                                <w:left w:val="none" w:sz="0" w:space="0" w:color="auto"/>
                                                <w:bottom w:val="none" w:sz="0" w:space="0" w:color="auto"/>
                                                <w:right w:val="none" w:sz="0" w:space="0" w:color="auto"/>
                                              </w:divBdr>
                                            </w:div>
                                            <w:div w:id="843400376">
                                              <w:marLeft w:val="0"/>
                                              <w:marRight w:val="0"/>
                                              <w:marTop w:val="0"/>
                                              <w:marBottom w:val="0"/>
                                              <w:divBdr>
                                                <w:top w:val="none" w:sz="0" w:space="0" w:color="auto"/>
                                                <w:left w:val="none" w:sz="0" w:space="0" w:color="auto"/>
                                                <w:bottom w:val="none" w:sz="0" w:space="0" w:color="auto"/>
                                                <w:right w:val="none" w:sz="0" w:space="0" w:color="auto"/>
                                              </w:divBdr>
                                            </w:div>
                                            <w:div w:id="867566511">
                                              <w:marLeft w:val="0"/>
                                              <w:marRight w:val="0"/>
                                              <w:marTop w:val="0"/>
                                              <w:marBottom w:val="0"/>
                                              <w:divBdr>
                                                <w:top w:val="none" w:sz="0" w:space="0" w:color="auto"/>
                                                <w:left w:val="none" w:sz="0" w:space="0" w:color="auto"/>
                                                <w:bottom w:val="none" w:sz="0" w:space="0" w:color="auto"/>
                                                <w:right w:val="none" w:sz="0" w:space="0" w:color="auto"/>
                                              </w:divBdr>
                                            </w:div>
                                            <w:div w:id="887959496">
                                              <w:marLeft w:val="0"/>
                                              <w:marRight w:val="0"/>
                                              <w:marTop w:val="0"/>
                                              <w:marBottom w:val="0"/>
                                              <w:divBdr>
                                                <w:top w:val="none" w:sz="0" w:space="0" w:color="auto"/>
                                                <w:left w:val="none" w:sz="0" w:space="0" w:color="auto"/>
                                                <w:bottom w:val="none" w:sz="0" w:space="0" w:color="auto"/>
                                                <w:right w:val="none" w:sz="0" w:space="0" w:color="auto"/>
                                              </w:divBdr>
                                            </w:div>
                                            <w:div w:id="891891627">
                                              <w:marLeft w:val="0"/>
                                              <w:marRight w:val="0"/>
                                              <w:marTop w:val="0"/>
                                              <w:marBottom w:val="0"/>
                                              <w:divBdr>
                                                <w:top w:val="none" w:sz="0" w:space="0" w:color="auto"/>
                                                <w:left w:val="none" w:sz="0" w:space="0" w:color="auto"/>
                                                <w:bottom w:val="none" w:sz="0" w:space="0" w:color="auto"/>
                                                <w:right w:val="none" w:sz="0" w:space="0" w:color="auto"/>
                                              </w:divBdr>
                                            </w:div>
                                            <w:div w:id="892617298">
                                              <w:marLeft w:val="0"/>
                                              <w:marRight w:val="0"/>
                                              <w:marTop w:val="0"/>
                                              <w:marBottom w:val="0"/>
                                              <w:divBdr>
                                                <w:top w:val="none" w:sz="0" w:space="0" w:color="auto"/>
                                                <w:left w:val="none" w:sz="0" w:space="0" w:color="auto"/>
                                                <w:bottom w:val="none" w:sz="0" w:space="0" w:color="auto"/>
                                                <w:right w:val="none" w:sz="0" w:space="0" w:color="auto"/>
                                              </w:divBdr>
                                            </w:div>
                                            <w:div w:id="894466970">
                                              <w:marLeft w:val="0"/>
                                              <w:marRight w:val="0"/>
                                              <w:marTop w:val="0"/>
                                              <w:marBottom w:val="0"/>
                                              <w:divBdr>
                                                <w:top w:val="none" w:sz="0" w:space="0" w:color="auto"/>
                                                <w:left w:val="none" w:sz="0" w:space="0" w:color="auto"/>
                                                <w:bottom w:val="none" w:sz="0" w:space="0" w:color="auto"/>
                                                <w:right w:val="none" w:sz="0" w:space="0" w:color="auto"/>
                                              </w:divBdr>
                                            </w:div>
                                            <w:div w:id="906887855">
                                              <w:marLeft w:val="0"/>
                                              <w:marRight w:val="0"/>
                                              <w:marTop w:val="0"/>
                                              <w:marBottom w:val="0"/>
                                              <w:divBdr>
                                                <w:top w:val="none" w:sz="0" w:space="0" w:color="auto"/>
                                                <w:left w:val="none" w:sz="0" w:space="0" w:color="auto"/>
                                                <w:bottom w:val="none" w:sz="0" w:space="0" w:color="auto"/>
                                                <w:right w:val="none" w:sz="0" w:space="0" w:color="auto"/>
                                              </w:divBdr>
                                            </w:div>
                                            <w:div w:id="942421692">
                                              <w:marLeft w:val="0"/>
                                              <w:marRight w:val="0"/>
                                              <w:marTop w:val="0"/>
                                              <w:marBottom w:val="0"/>
                                              <w:divBdr>
                                                <w:top w:val="none" w:sz="0" w:space="0" w:color="auto"/>
                                                <w:left w:val="none" w:sz="0" w:space="0" w:color="auto"/>
                                                <w:bottom w:val="none" w:sz="0" w:space="0" w:color="auto"/>
                                                <w:right w:val="none" w:sz="0" w:space="0" w:color="auto"/>
                                              </w:divBdr>
                                            </w:div>
                                            <w:div w:id="955139455">
                                              <w:marLeft w:val="0"/>
                                              <w:marRight w:val="0"/>
                                              <w:marTop w:val="0"/>
                                              <w:marBottom w:val="0"/>
                                              <w:divBdr>
                                                <w:top w:val="none" w:sz="0" w:space="0" w:color="auto"/>
                                                <w:left w:val="none" w:sz="0" w:space="0" w:color="auto"/>
                                                <w:bottom w:val="none" w:sz="0" w:space="0" w:color="auto"/>
                                                <w:right w:val="none" w:sz="0" w:space="0" w:color="auto"/>
                                              </w:divBdr>
                                            </w:div>
                                            <w:div w:id="967205469">
                                              <w:marLeft w:val="0"/>
                                              <w:marRight w:val="0"/>
                                              <w:marTop w:val="0"/>
                                              <w:marBottom w:val="0"/>
                                              <w:divBdr>
                                                <w:top w:val="none" w:sz="0" w:space="0" w:color="auto"/>
                                                <w:left w:val="none" w:sz="0" w:space="0" w:color="auto"/>
                                                <w:bottom w:val="none" w:sz="0" w:space="0" w:color="auto"/>
                                                <w:right w:val="none" w:sz="0" w:space="0" w:color="auto"/>
                                              </w:divBdr>
                                            </w:div>
                                            <w:div w:id="977493103">
                                              <w:marLeft w:val="0"/>
                                              <w:marRight w:val="0"/>
                                              <w:marTop w:val="0"/>
                                              <w:marBottom w:val="0"/>
                                              <w:divBdr>
                                                <w:top w:val="none" w:sz="0" w:space="0" w:color="auto"/>
                                                <w:left w:val="none" w:sz="0" w:space="0" w:color="auto"/>
                                                <w:bottom w:val="none" w:sz="0" w:space="0" w:color="auto"/>
                                                <w:right w:val="none" w:sz="0" w:space="0" w:color="auto"/>
                                              </w:divBdr>
                                            </w:div>
                                            <w:div w:id="979572312">
                                              <w:marLeft w:val="0"/>
                                              <w:marRight w:val="0"/>
                                              <w:marTop w:val="0"/>
                                              <w:marBottom w:val="0"/>
                                              <w:divBdr>
                                                <w:top w:val="none" w:sz="0" w:space="0" w:color="auto"/>
                                                <w:left w:val="none" w:sz="0" w:space="0" w:color="auto"/>
                                                <w:bottom w:val="none" w:sz="0" w:space="0" w:color="auto"/>
                                                <w:right w:val="none" w:sz="0" w:space="0" w:color="auto"/>
                                              </w:divBdr>
                                            </w:div>
                                            <w:div w:id="990137354">
                                              <w:marLeft w:val="0"/>
                                              <w:marRight w:val="0"/>
                                              <w:marTop w:val="0"/>
                                              <w:marBottom w:val="0"/>
                                              <w:divBdr>
                                                <w:top w:val="none" w:sz="0" w:space="0" w:color="auto"/>
                                                <w:left w:val="none" w:sz="0" w:space="0" w:color="auto"/>
                                                <w:bottom w:val="none" w:sz="0" w:space="0" w:color="auto"/>
                                                <w:right w:val="none" w:sz="0" w:space="0" w:color="auto"/>
                                              </w:divBdr>
                                            </w:div>
                                            <w:div w:id="992946156">
                                              <w:marLeft w:val="0"/>
                                              <w:marRight w:val="0"/>
                                              <w:marTop w:val="0"/>
                                              <w:marBottom w:val="0"/>
                                              <w:divBdr>
                                                <w:top w:val="none" w:sz="0" w:space="0" w:color="auto"/>
                                                <w:left w:val="none" w:sz="0" w:space="0" w:color="auto"/>
                                                <w:bottom w:val="none" w:sz="0" w:space="0" w:color="auto"/>
                                                <w:right w:val="none" w:sz="0" w:space="0" w:color="auto"/>
                                              </w:divBdr>
                                            </w:div>
                                            <w:div w:id="1003510602">
                                              <w:marLeft w:val="0"/>
                                              <w:marRight w:val="0"/>
                                              <w:marTop w:val="0"/>
                                              <w:marBottom w:val="0"/>
                                              <w:divBdr>
                                                <w:top w:val="none" w:sz="0" w:space="0" w:color="auto"/>
                                                <w:left w:val="none" w:sz="0" w:space="0" w:color="auto"/>
                                                <w:bottom w:val="none" w:sz="0" w:space="0" w:color="auto"/>
                                                <w:right w:val="none" w:sz="0" w:space="0" w:color="auto"/>
                                              </w:divBdr>
                                            </w:div>
                                            <w:div w:id="1021780254">
                                              <w:marLeft w:val="0"/>
                                              <w:marRight w:val="0"/>
                                              <w:marTop w:val="0"/>
                                              <w:marBottom w:val="0"/>
                                              <w:divBdr>
                                                <w:top w:val="none" w:sz="0" w:space="0" w:color="auto"/>
                                                <w:left w:val="none" w:sz="0" w:space="0" w:color="auto"/>
                                                <w:bottom w:val="none" w:sz="0" w:space="0" w:color="auto"/>
                                                <w:right w:val="none" w:sz="0" w:space="0" w:color="auto"/>
                                              </w:divBdr>
                                            </w:div>
                                            <w:div w:id="1040400278">
                                              <w:marLeft w:val="0"/>
                                              <w:marRight w:val="0"/>
                                              <w:marTop w:val="0"/>
                                              <w:marBottom w:val="0"/>
                                              <w:divBdr>
                                                <w:top w:val="none" w:sz="0" w:space="0" w:color="auto"/>
                                                <w:left w:val="none" w:sz="0" w:space="0" w:color="auto"/>
                                                <w:bottom w:val="none" w:sz="0" w:space="0" w:color="auto"/>
                                                <w:right w:val="none" w:sz="0" w:space="0" w:color="auto"/>
                                              </w:divBdr>
                                            </w:div>
                                            <w:div w:id="1043211362">
                                              <w:marLeft w:val="0"/>
                                              <w:marRight w:val="0"/>
                                              <w:marTop w:val="0"/>
                                              <w:marBottom w:val="0"/>
                                              <w:divBdr>
                                                <w:top w:val="none" w:sz="0" w:space="0" w:color="auto"/>
                                                <w:left w:val="none" w:sz="0" w:space="0" w:color="auto"/>
                                                <w:bottom w:val="none" w:sz="0" w:space="0" w:color="auto"/>
                                                <w:right w:val="none" w:sz="0" w:space="0" w:color="auto"/>
                                              </w:divBdr>
                                            </w:div>
                                            <w:div w:id="1044914484">
                                              <w:marLeft w:val="0"/>
                                              <w:marRight w:val="0"/>
                                              <w:marTop w:val="0"/>
                                              <w:marBottom w:val="0"/>
                                              <w:divBdr>
                                                <w:top w:val="none" w:sz="0" w:space="0" w:color="auto"/>
                                                <w:left w:val="none" w:sz="0" w:space="0" w:color="auto"/>
                                                <w:bottom w:val="none" w:sz="0" w:space="0" w:color="auto"/>
                                                <w:right w:val="none" w:sz="0" w:space="0" w:color="auto"/>
                                              </w:divBdr>
                                            </w:div>
                                            <w:div w:id="1057632305">
                                              <w:marLeft w:val="0"/>
                                              <w:marRight w:val="0"/>
                                              <w:marTop w:val="0"/>
                                              <w:marBottom w:val="0"/>
                                              <w:divBdr>
                                                <w:top w:val="none" w:sz="0" w:space="0" w:color="auto"/>
                                                <w:left w:val="none" w:sz="0" w:space="0" w:color="auto"/>
                                                <w:bottom w:val="none" w:sz="0" w:space="0" w:color="auto"/>
                                                <w:right w:val="none" w:sz="0" w:space="0" w:color="auto"/>
                                              </w:divBdr>
                                            </w:div>
                                            <w:div w:id="1061637650">
                                              <w:marLeft w:val="0"/>
                                              <w:marRight w:val="0"/>
                                              <w:marTop w:val="0"/>
                                              <w:marBottom w:val="0"/>
                                              <w:divBdr>
                                                <w:top w:val="none" w:sz="0" w:space="0" w:color="auto"/>
                                                <w:left w:val="none" w:sz="0" w:space="0" w:color="auto"/>
                                                <w:bottom w:val="none" w:sz="0" w:space="0" w:color="auto"/>
                                                <w:right w:val="none" w:sz="0" w:space="0" w:color="auto"/>
                                              </w:divBdr>
                                            </w:div>
                                            <w:div w:id="1065762362">
                                              <w:marLeft w:val="0"/>
                                              <w:marRight w:val="0"/>
                                              <w:marTop w:val="0"/>
                                              <w:marBottom w:val="0"/>
                                              <w:divBdr>
                                                <w:top w:val="none" w:sz="0" w:space="0" w:color="auto"/>
                                                <w:left w:val="none" w:sz="0" w:space="0" w:color="auto"/>
                                                <w:bottom w:val="none" w:sz="0" w:space="0" w:color="auto"/>
                                                <w:right w:val="none" w:sz="0" w:space="0" w:color="auto"/>
                                              </w:divBdr>
                                            </w:div>
                                            <w:div w:id="1084301621">
                                              <w:marLeft w:val="0"/>
                                              <w:marRight w:val="0"/>
                                              <w:marTop w:val="0"/>
                                              <w:marBottom w:val="0"/>
                                              <w:divBdr>
                                                <w:top w:val="none" w:sz="0" w:space="0" w:color="auto"/>
                                                <w:left w:val="none" w:sz="0" w:space="0" w:color="auto"/>
                                                <w:bottom w:val="none" w:sz="0" w:space="0" w:color="auto"/>
                                                <w:right w:val="none" w:sz="0" w:space="0" w:color="auto"/>
                                              </w:divBdr>
                                            </w:div>
                                            <w:div w:id="1119567472">
                                              <w:marLeft w:val="0"/>
                                              <w:marRight w:val="0"/>
                                              <w:marTop w:val="0"/>
                                              <w:marBottom w:val="0"/>
                                              <w:divBdr>
                                                <w:top w:val="none" w:sz="0" w:space="0" w:color="auto"/>
                                                <w:left w:val="none" w:sz="0" w:space="0" w:color="auto"/>
                                                <w:bottom w:val="none" w:sz="0" w:space="0" w:color="auto"/>
                                                <w:right w:val="none" w:sz="0" w:space="0" w:color="auto"/>
                                              </w:divBdr>
                                            </w:div>
                                            <w:div w:id="1133602428">
                                              <w:marLeft w:val="0"/>
                                              <w:marRight w:val="0"/>
                                              <w:marTop w:val="0"/>
                                              <w:marBottom w:val="0"/>
                                              <w:divBdr>
                                                <w:top w:val="none" w:sz="0" w:space="0" w:color="auto"/>
                                                <w:left w:val="none" w:sz="0" w:space="0" w:color="auto"/>
                                                <w:bottom w:val="none" w:sz="0" w:space="0" w:color="auto"/>
                                                <w:right w:val="none" w:sz="0" w:space="0" w:color="auto"/>
                                              </w:divBdr>
                                            </w:div>
                                            <w:div w:id="1139224039">
                                              <w:marLeft w:val="0"/>
                                              <w:marRight w:val="0"/>
                                              <w:marTop w:val="0"/>
                                              <w:marBottom w:val="0"/>
                                              <w:divBdr>
                                                <w:top w:val="none" w:sz="0" w:space="0" w:color="auto"/>
                                                <w:left w:val="none" w:sz="0" w:space="0" w:color="auto"/>
                                                <w:bottom w:val="none" w:sz="0" w:space="0" w:color="auto"/>
                                                <w:right w:val="none" w:sz="0" w:space="0" w:color="auto"/>
                                              </w:divBdr>
                                            </w:div>
                                            <w:div w:id="1172649671">
                                              <w:marLeft w:val="0"/>
                                              <w:marRight w:val="0"/>
                                              <w:marTop w:val="0"/>
                                              <w:marBottom w:val="0"/>
                                              <w:divBdr>
                                                <w:top w:val="none" w:sz="0" w:space="0" w:color="auto"/>
                                                <w:left w:val="none" w:sz="0" w:space="0" w:color="auto"/>
                                                <w:bottom w:val="none" w:sz="0" w:space="0" w:color="auto"/>
                                                <w:right w:val="none" w:sz="0" w:space="0" w:color="auto"/>
                                              </w:divBdr>
                                            </w:div>
                                            <w:div w:id="1174953680">
                                              <w:marLeft w:val="0"/>
                                              <w:marRight w:val="0"/>
                                              <w:marTop w:val="0"/>
                                              <w:marBottom w:val="0"/>
                                              <w:divBdr>
                                                <w:top w:val="none" w:sz="0" w:space="0" w:color="auto"/>
                                                <w:left w:val="none" w:sz="0" w:space="0" w:color="auto"/>
                                                <w:bottom w:val="none" w:sz="0" w:space="0" w:color="auto"/>
                                                <w:right w:val="none" w:sz="0" w:space="0" w:color="auto"/>
                                              </w:divBdr>
                                            </w:div>
                                            <w:div w:id="1189685005">
                                              <w:marLeft w:val="0"/>
                                              <w:marRight w:val="0"/>
                                              <w:marTop w:val="0"/>
                                              <w:marBottom w:val="0"/>
                                              <w:divBdr>
                                                <w:top w:val="none" w:sz="0" w:space="0" w:color="auto"/>
                                                <w:left w:val="none" w:sz="0" w:space="0" w:color="auto"/>
                                                <w:bottom w:val="none" w:sz="0" w:space="0" w:color="auto"/>
                                                <w:right w:val="none" w:sz="0" w:space="0" w:color="auto"/>
                                              </w:divBdr>
                                            </w:div>
                                            <w:div w:id="1210796835">
                                              <w:marLeft w:val="0"/>
                                              <w:marRight w:val="0"/>
                                              <w:marTop w:val="0"/>
                                              <w:marBottom w:val="0"/>
                                              <w:divBdr>
                                                <w:top w:val="none" w:sz="0" w:space="0" w:color="auto"/>
                                                <w:left w:val="none" w:sz="0" w:space="0" w:color="auto"/>
                                                <w:bottom w:val="none" w:sz="0" w:space="0" w:color="auto"/>
                                                <w:right w:val="none" w:sz="0" w:space="0" w:color="auto"/>
                                              </w:divBdr>
                                            </w:div>
                                            <w:div w:id="1242636246">
                                              <w:marLeft w:val="0"/>
                                              <w:marRight w:val="0"/>
                                              <w:marTop w:val="0"/>
                                              <w:marBottom w:val="0"/>
                                              <w:divBdr>
                                                <w:top w:val="none" w:sz="0" w:space="0" w:color="auto"/>
                                                <w:left w:val="none" w:sz="0" w:space="0" w:color="auto"/>
                                                <w:bottom w:val="none" w:sz="0" w:space="0" w:color="auto"/>
                                                <w:right w:val="none" w:sz="0" w:space="0" w:color="auto"/>
                                              </w:divBdr>
                                            </w:div>
                                            <w:div w:id="1243873642">
                                              <w:marLeft w:val="0"/>
                                              <w:marRight w:val="0"/>
                                              <w:marTop w:val="0"/>
                                              <w:marBottom w:val="0"/>
                                              <w:divBdr>
                                                <w:top w:val="none" w:sz="0" w:space="0" w:color="auto"/>
                                                <w:left w:val="none" w:sz="0" w:space="0" w:color="auto"/>
                                                <w:bottom w:val="none" w:sz="0" w:space="0" w:color="auto"/>
                                                <w:right w:val="none" w:sz="0" w:space="0" w:color="auto"/>
                                              </w:divBdr>
                                            </w:div>
                                            <w:div w:id="1248659531">
                                              <w:marLeft w:val="0"/>
                                              <w:marRight w:val="0"/>
                                              <w:marTop w:val="0"/>
                                              <w:marBottom w:val="0"/>
                                              <w:divBdr>
                                                <w:top w:val="none" w:sz="0" w:space="0" w:color="auto"/>
                                                <w:left w:val="none" w:sz="0" w:space="0" w:color="auto"/>
                                                <w:bottom w:val="none" w:sz="0" w:space="0" w:color="auto"/>
                                                <w:right w:val="none" w:sz="0" w:space="0" w:color="auto"/>
                                              </w:divBdr>
                                            </w:div>
                                            <w:div w:id="1248878333">
                                              <w:marLeft w:val="0"/>
                                              <w:marRight w:val="0"/>
                                              <w:marTop w:val="0"/>
                                              <w:marBottom w:val="0"/>
                                              <w:divBdr>
                                                <w:top w:val="none" w:sz="0" w:space="0" w:color="auto"/>
                                                <w:left w:val="none" w:sz="0" w:space="0" w:color="auto"/>
                                                <w:bottom w:val="none" w:sz="0" w:space="0" w:color="auto"/>
                                                <w:right w:val="none" w:sz="0" w:space="0" w:color="auto"/>
                                              </w:divBdr>
                                            </w:div>
                                            <w:div w:id="1291940951">
                                              <w:marLeft w:val="0"/>
                                              <w:marRight w:val="0"/>
                                              <w:marTop w:val="0"/>
                                              <w:marBottom w:val="0"/>
                                              <w:divBdr>
                                                <w:top w:val="none" w:sz="0" w:space="0" w:color="auto"/>
                                                <w:left w:val="none" w:sz="0" w:space="0" w:color="auto"/>
                                                <w:bottom w:val="none" w:sz="0" w:space="0" w:color="auto"/>
                                                <w:right w:val="none" w:sz="0" w:space="0" w:color="auto"/>
                                              </w:divBdr>
                                            </w:div>
                                            <w:div w:id="1311788551">
                                              <w:marLeft w:val="0"/>
                                              <w:marRight w:val="0"/>
                                              <w:marTop w:val="0"/>
                                              <w:marBottom w:val="0"/>
                                              <w:divBdr>
                                                <w:top w:val="none" w:sz="0" w:space="0" w:color="auto"/>
                                                <w:left w:val="none" w:sz="0" w:space="0" w:color="auto"/>
                                                <w:bottom w:val="none" w:sz="0" w:space="0" w:color="auto"/>
                                                <w:right w:val="none" w:sz="0" w:space="0" w:color="auto"/>
                                              </w:divBdr>
                                            </w:div>
                                            <w:div w:id="1317951371">
                                              <w:marLeft w:val="0"/>
                                              <w:marRight w:val="0"/>
                                              <w:marTop w:val="0"/>
                                              <w:marBottom w:val="0"/>
                                              <w:divBdr>
                                                <w:top w:val="none" w:sz="0" w:space="0" w:color="auto"/>
                                                <w:left w:val="none" w:sz="0" w:space="0" w:color="auto"/>
                                                <w:bottom w:val="none" w:sz="0" w:space="0" w:color="auto"/>
                                                <w:right w:val="none" w:sz="0" w:space="0" w:color="auto"/>
                                              </w:divBdr>
                                            </w:div>
                                            <w:div w:id="1320890155">
                                              <w:marLeft w:val="0"/>
                                              <w:marRight w:val="0"/>
                                              <w:marTop w:val="0"/>
                                              <w:marBottom w:val="0"/>
                                              <w:divBdr>
                                                <w:top w:val="none" w:sz="0" w:space="0" w:color="auto"/>
                                                <w:left w:val="none" w:sz="0" w:space="0" w:color="auto"/>
                                                <w:bottom w:val="none" w:sz="0" w:space="0" w:color="auto"/>
                                                <w:right w:val="none" w:sz="0" w:space="0" w:color="auto"/>
                                              </w:divBdr>
                                            </w:div>
                                            <w:div w:id="1354839634">
                                              <w:marLeft w:val="0"/>
                                              <w:marRight w:val="0"/>
                                              <w:marTop w:val="0"/>
                                              <w:marBottom w:val="0"/>
                                              <w:divBdr>
                                                <w:top w:val="none" w:sz="0" w:space="0" w:color="auto"/>
                                                <w:left w:val="none" w:sz="0" w:space="0" w:color="auto"/>
                                                <w:bottom w:val="none" w:sz="0" w:space="0" w:color="auto"/>
                                                <w:right w:val="none" w:sz="0" w:space="0" w:color="auto"/>
                                              </w:divBdr>
                                            </w:div>
                                            <w:div w:id="1368022283">
                                              <w:marLeft w:val="0"/>
                                              <w:marRight w:val="0"/>
                                              <w:marTop w:val="0"/>
                                              <w:marBottom w:val="0"/>
                                              <w:divBdr>
                                                <w:top w:val="none" w:sz="0" w:space="0" w:color="auto"/>
                                                <w:left w:val="none" w:sz="0" w:space="0" w:color="auto"/>
                                                <w:bottom w:val="none" w:sz="0" w:space="0" w:color="auto"/>
                                                <w:right w:val="none" w:sz="0" w:space="0" w:color="auto"/>
                                              </w:divBdr>
                                            </w:div>
                                            <w:div w:id="1378355386">
                                              <w:marLeft w:val="0"/>
                                              <w:marRight w:val="0"/>
                                              <w:marTop w:val="0"/>
                                              <w:marBottom w:val="0"/>
                                              <w:divBdr>
                                                <w:top w:val="none" w:sz="0" w:space="0" w:color="auto"/>
                                                <w:left w:val="none" w:sz="0" w:space="0" w:color="auto"/>
                                                <w:bottom w:val="none" w:sz="0" w:space="0" w:color="auto"/>
                                                <w:right w:val="none" w:sz="0" w:space="0" w:color="auto"/>
                                              </w:divBdr>
                                            </w:div>
                                            <w:div w:id="1397128108">
                                              <w:marLeft w:val="0"/>
                                              <w:marRight w:val="0"/>
                                              <w:marTop w:val="0"/>
                                              <w:marBottom w:val="0"/>
                                              <w:divBdr>
                                                <w:top w:val="none" w:sz="0" w:space="0" w:color="auto"/>
                                                <w:left w:val="none" w:sz="0" w:space="0" w:color="auto"/>
                                                <w:bottom w:val="none" w:sz="0" w:space="0" w:color="auto"/>
                                                <w:right w:val="none" w:sz="0" w:space="0" w:color="auto"/>
                                              </w:divBdr>
                                            </w:div>
                                            <w:div w:id="1398046387">
                                              <w:marLeft w:val="0"/>
                                              <w:marRight w:val="0"/>
                                              <w:marTop w:val="0"/>
                                              <w:marBottom w:val="0"/>
                                              <w:divBdr>
                                                <w:top w:val="none" w:sz="0" w:space="0" w:color="auto"/>
                                                <w:left w:val="none" w:sz="0" w:space="0" w:color="auto"/>
                                                <w:bottom w:val="none" w:sz="0" w:space="0" w:color="auto"/>
                                                <w:right w:val="none" w:sz="0" w:space="0" w:color="auto"/>
                                              </w:divBdr>
                                            </w:div>
                                            <w:div w:id="1441103330">
                                              <w:marLeft w:val="0"/>
                                              <w:marRight w:val="0"/>
                                              <w:marTop w:val="0"/>
                                              <w:marBottom w:val="0"/>
                                              <w:divBdr>
                                                <w:top w:val="none" w:sz="0" w:space="0" w:color="auto"/>
                                                <w:left w:val="none" w:sz="0" w:space="0" w:color="auto"/>
                                                <w:bottom w:val="none" w:sz="0" w:space="0" w:color="auto"/>
                                                <w:right w:val="none" w:sz="0" w:space="0" w:color="auto"/>
                                              </w:divBdr>
                                            </w:div>
                                            <w:div w:id="1452892398">
                                              <w:marLeft w:val="0"/>
                                              <w:marRight w:val="0"/>
                                              <w:marTop w:val="0"/>
                                              <w:marBottom w:val="0"/>
                                              <w:divBdr>
                                                <w:top w:val="none" w:sz="0" w:space="0" w:color="auto"/>
                                                <w:left w:val="none" w:sz="0" w:space="0" w:color="auto"/>
                                                <w:bottom w:val="none" w:sz="0" w:space="0" w:color="auto"/>
                                                <w:right w:val="none" w:sz="0" w:space="0" w:color="auto"/>
                                              </w:divBdr>
                                            </w:div>
                                            <w:div w:id="1454522571">
                                              <w:marLeft w:val="0"/>
                                              <w:marRight w:val="0"/>
                                              <w:marTop w:val="0"/>
                                              <w:marBottom w:val="0"/>
                                              <w:divBdr>
                                                <w:top w:val="none" w:sz="0" w:space="0" w:color="auto"/>
                                                <w:left w:val="none" w:sz="0" w:space="0" w:color="auto"/>
                                                <w:bottom w:val="none" w:sz="0" w:space="0" w:color="auto"/>
                                                <w:right w:val="none" w:sz="0" w:space="0" w:color="auto"/>
                                              </w:divBdr>
                                            </w:div>
                                            <w:div w:id="1484200405">
                                              <w:marLeft w:val="0"/>
                                              <w:marRight w:val="0"/>
                                              <w:marTop w:val="0"/>
                                              <w:marBottom w:val="0"/>
                                              <w:divBdr>
                                                <w:top w:val="none" w:sz="0" w:space="0" w:color="auto"/>
                                                <w:left w:val="none" w:sz="0" w:space="0" w:color="auto"/>
                                                <w:bottom w:val="none" w:sz="0" w:space="0" w:color="auto"/>
                                                <w:right w:val="none" w:sz="0" w:space="0" w:color="auto"/>
                                              </w:divBdr>
                                            </w:div>
                                            <w:div w:id="1489442049">
                                              <w:marLeft w:val="0"/>
                                              <w:marRight w:val="0"/>
                                              <w:marTop w:val="0"/>
                                              <w:marBottom w:val="0"/>
                                              <w:divBdr>
                                                <w:top w:val="none" w:sz="0" w:space="0" w:color="auto"/>
                                                <w:left w:val="none" w:sz="0" w:space="0" w:color="auto"/>
                                                <w:bottom w:val="none" w:sz="0" w:space="0" w:color="auto"/>
                                                <w:right w:val="none" w:sz="0" w:space="0" w:color="auto"/>
                                              </w:divBdr>
                                            </w:div>
                                            <w:div w:id="1511751543">
                                              <w:marLeft w:val="0"/>
                                              <w:marRight w:val="0"/>
                                              <w:marTop w:val="0"/>
                                              <w:marBottom w:val="0"/>
                                              <w:divBdr>
                                                <w:top w:val="none" w:sz="0" w:space="0" w:color="auto"/>
                                                <w:left w:val="none" w:sz="0" w:space="0" w:color="auto"/>
                                                <w:bottom w:val="none" w:sz="0" w:space="0" w:color="auto"/>
                                                <w:right w:val="none" w:sz="0" w:space="0" w:color="auto"/>
                                              </w:divBdr>
                                            </w:div>
                                            <w:div w:id="1525289223">
                                              <w:marLeft w:val="0"/>
                                              <w:marRight w:val="0"/>
                                              <w:marTop w:val="0"/>
                                              <w:marBottom w:val="0"/>
                                              <w:divBdr>
                                                <w:top w:val="none" w:sz="0" w:space="0" w:color="auto"/>
                                                <w:left w:val="none" w:sz="0" w:space="0" w:color="auto"/>
                                                <w:bottom w:val="none" w:sz="0" w:space="0" w:color="auto"/>
                                                <w:right w:val="none" w:sz="0" w:space="0" w:color="auto"/>
                                              </w:divBdr>
                                            </w:div>
                                            <w:div w:id="1547722191">
                                              <w:marLeft w:val="0"/>
                                              <w:marRight w:val="0"/>
                                              <w:marTop w:val="0"/>
                                              <w:marBottom w:val="0"/>
                                              <w:divBdr>
                                                <w:top w:val="none" w:sz="0" w:space="0" w:color="auto"/>
                                                <w:left w:val="none" w:sz="0" w:space="0" w:color="auto"/>
                                                <w:bottom w:val="none" w:sz="0" w:space="0" w:color="auto"/>
                                                <w:right w:val="none" w:sz="0" w:space="0" w:color="auto"/>
                                              </w:divBdr>
                                            </w:div>
                                            <w:div w:id="1558930692">
                                              <w:marLeft w:val="0"/>
                                              <w:marRight w:val="0"/>
                                              <w:marTop w:val="0"/>
                                              <w:marBottom w:val="0"/>
                                              <w:divBdr>
                                                <w:top w:val="none" w:sz="0" w:space="0" w:color="auto"/>
                                                <w:left w:val="none" w:sz="0" w:space="0" w:color="auto"/>
                                                <w:bottom w:val="none" w:sz="0" w:space="0" w:color="auto"/>
                                                <w:right w:val="none" w:sz="0" w:space="0" w:color="auto"/>
                                              </w:divBdr>
                                            </w:div>
                                            <w:div w:id="1571579064">
                                              <w:marLeft w:val="0"/>
                                              <w:marRight w:val="0"/>
                                              <w:marTop w:val="0"/>
                                              <w:marBottom w:val="0"/>
                                              <w:divBdr>
                                                <w:top w:val="none" w:sz="0" w:space="0" w:color="auto"/>
                                                <w:left w:val="none" w:sz="0" w:space="0" w:color="auto"/>
                                                <w:bottom w:val="none" w:sz="0" w:space="0" w:color="auto"/>
                                                <w:right w:val="none" w:sz="0" w:space="0" w:color="auto"/>
                                              </w:divBdr>
                                            </w:div>
                                            <w:div w:id="1581137213">
                                              <w:marLeft w:val="0"/>
                                              <w:marRight w:val="0"/>
                                              <w:marTop w:val="0"/>
                                              <w:marBottom w:val="0"/>
                                              <w:divBdr>
                                                <w:top w:val="none" w:sz="0" w:space="0" w:color="auto"/>
                                                <w:left w:val="none" w:sz="0" w:space="0" w:color="auto"/>
                                                <w:bottom w:val="none" w:sz="0" w:space="0" w:color="auto"/>
                                                <w:right w:val="none" w:sz="0" w:space="0" w:color="auto"/>
                                              </w:divBdr>
                                            </w:div>
                                            <w:div w:id="1594900184">
                                              <w:marLeft w:val="0"/>
                                              <w:marRight w:val="0"/>
                                              <w:marTop w:val="0"/>
                                              <w:marBottom w:val="0"/>
                                              <w:divBdr>
                                                <w:top w:val="none" w:sz="0" w:space="0" w:color="auto"/>
                                                <w:left w:val="none" w:sz="0" w:space="0" w:color="auto"/>
                                                <w:bottom w:val="none" w:sz="0" w:space="0" w:color="auto"/>
                                                <w:right w:val="none" w:sz="0" w:space="0" w:color="auto"/>
                                              </w:divBdr>
                                            </w:div>
                                            <w:div w:id="1605721099">
                                              <w:marLeft w:val="0"/>
                                              <w:marRight w:val="0"/>
                                              <w:marTop w:val="0"/>
                                              <w:marBottom w:val="0"/>
                                              <w:divBdr>
                                                <w:top w:val="none" w:sz="0" w:space="0" w:color="auto"/>
                                                <w:left w:val="none" w:sz="0" w:space="0" w:color="auto"/>
                                                <w:bottom w:val="none" w:sz="0" w:space="0" w:color="auto"/>
                                                <w:right w:val="none" w:sz="0" w:space="0" w:color="auto"/>
                                              </w:divBdr>
                                            </w:div>
                                            <w:div w:id="1613585685">
                                              <w:marLeft w:val="0"/>
                                              <w:marRight w:val="0"/>
                                              <w:marTop w:val="0"/>
                                              <w:marBottom w:val="0"/>
                                              <w:divBdr>
                                                <w:top w:val="none" w:sz="0" w:space="0" w:color="auto"/>
                                                <w:left w:val="none" w:sz="0" w:space="0" w:color="auto"/>
                                                <w:bottom w:val="none" w:sz="0" w:space="0" w:color="auto"/>
                                                <w:right w:val="none" w:sz="0" w:space="0" w:color="auto"/>
                                              </w:divBdr>
                                            </w:div>
                                            <w:div w:id="1632636775">
                                              <w:marLeft w:val="0"/>
                                              <w:marRight w:val="0"/>
                                              <w:marTop w:val="0"/>
                                              <w:marBottom w:val="0"/>
                                              <w:divBdr>
                                                <w:top w:val="none" w:sz="0" w:space="0" w:color="auto"/>
                                                <w:left w:val="none" w:sz="0" w:space="0" w:color="auto"/>
                                                <w:bottom w:val="none" w:sz="0" w:space="0" w:color="auto"/>
                                                <w:right w:val="none" w:sz="0" w:space="0" w:color="auto"/>
                                              </w:divBdr>
                                            </w:div>
                                            <w:div w:id="1647474273">
                                              <w:marLeft w:val="0"/>
                                              <w:marRight w:val="0"/>
                                              <w:marTop w:val="0"/>
                                              <w:marBottom w:val="0"/>
                                              <w:divBdr>
                                                <w:top w:val="none" w:sz="0" w:space="0" w:color="auto"/>
                                                <w:left w:val="none" w:sz="0" w:space="0" w:color="auto"/>
                                                <w:bottom w:val="none" w:sz="0" w:space="0" w:color="auto"/>
                                                <w:right w:val="none" w:sz="0" w:space="0" w:color="auto"/>
                                              </w:divBdr>
                                            </w:div>
                                            <w:div w:id="1656763291">
                                              <w:marLeft w:val="0"/>
                                              <w:marRight w:val="0"/>
                                              <w:marTop w:val="0"/>
                                              <w:marBottom w:val="0"/>
                                              <w:divBdr>
                                                <w:top w:val="none" w:sz="0" w:space="0" w:color="auto"/>
                                                <w:left w:val="none" w:sz="0" w:space="0" w:color="auto"/>
                                                <w:bottom w:val="none" w:sz="0" w:space="0" w:color="auto"/>
                                                <w:right w:val="none" w:sz="0" w:space="0" w:color="auto"/>
                                              </w:divBdr>
                                            </w:div>
                                            <w:div w:id="1659915114">
                                              <w:marLeft w:val="0"/>
                                              <w:marRight w:val="0"/>
                                              <w:marTop w:val="0"/>
                                              <w:marBottom w:val="0"/>
                                              <w:divBdr>
                                                <w:top w:val="none" w:sz="0" w:space="0" w:color="auto"/>
                                                <w:left w:val="none" w:sz="0" w:space="0" w:color="auto"/>
                                                <w:bottom w:val="none" w:sz="0" w:space="0" w:color="auto"/>
                                                <w:right w:val="none" w:sz="0" w:space="0" w:color="auto"/>
                                              </w:divBdr>
                                            </w:div>
                                            <w:div w:id="1666401852">
                                              <w:marLeft w:val="0"/>
                                              <w:marRight w:val="0"/>
                                              <w:marTop w:val="0"/>
                                              <w:marBottom w:val="0"/>
                                              <w:divBdr>
                                                <w:top w:val="none" w:sz="0" w:space="0" w:color="auto"/>
                                                <w:left w:val="none" w:sz="0" w:space="0" w:color="auto"/>
                                                <w:bottom w:val="none" w:sz="0" w:space="0" w:color="auto"/>
                                                <w:right w:val="none" w:sz="0" w:space="0" w:color="auto"/>
                                              </w:divBdr>
                                            </w:div>
                                            <w:div w:id="1669365257">
                                              <w:marLeft w:val="0"/>
                                              <w:marRight w:val="0"/>
                                              <w:marTop w:val="0"/>
                                              <w:marBottom w:val="0"/>
                                              <w:divBdr>
                                                <w:top w:val="none" w:sz="0" w:space="0" w:color="auto"/>
                                                <w:left w:val="none" w:sz="0" w:space="0" w:color="auto"/>
                                                <w:bottom w:val="none" w:sz="0" w:space="0" w:color="auto"/>
                                                <w:right w:val="none" w:sz="0" w:space="0" w:color="auto"/>
                                              </w:divBdr>
                                            </w:div>
                                            <w:div w:id="1669675555">
                                              <w:marLeft w:val="0"/>
                                              <w:marRight w:val="0"/>
                                              <w:marTop w:val="0"/>
                                              <w:marBottom w:val="0"/>
                                              <w:divBdr>
                                                <w:top w:val="none" w:sz="0" w:space="0" w:color="auto"/>
                                                <w:left w:val="none" w:sz="0" w:space="0" w:color="auto"/>
                                                <w:bottom w:val="none" w:sz="0" w:space="0" w:color="auto"/>
                                                <w:right w:val="none" w:sz="0" w:space="0" w:color="auto"/>
                                              </w:divBdr>
                                            </w:div>
                                            <w:div w:id="1683359825">
                                              <w:marLeft w:val="0"/>
                                              <w:marRight w:val="0"/>
                                              <w:marTop w:val="0"/>
                                              <w:marBottom w:val="0"/>
                                              <w:divBdr>
                                                <w:top w:val="none" w:sz="0" w:space="0" w:color="auto"/>
                                                <w:left w:val="none" w:sz="0" w:space="0" w:color="auto"/>
                                                <w:bottom w:val="none" w:sz="0" w:space="0" w:color="auto"/>
                                                <w:right w:val="none" w:sz="0" w:space="0" w:color="auto"/>
                                              </w:divBdr>
                                            </w:div>
                                            <w:div w:id="1711228128">
                                              <w:marLeft w:val="0"/>
                                              <w:marRight w:val="0"/>
                                              <w:marTop w:val="0"/>
                                              <w:marBottom w:val="0"/>
                                              <w:divBdr>
                                                <w:top w:val="none" w:sz="0" w:space="0" w:color="auto"/>
                                                <w:left w:val="none" w:sz="0" w:space="0" w:color="auto"/>
                                                <w:bottom w:val="none" w:sz="0" w:space="0" w:color="auto"/>
                                                <w:right w:val="none" w:sz="0" w:space="0" w:color="auto"/>
                                              </w:divBdr>
                                            </w:div>
                                            <w:div w:id="1740522572">
                                              <w:marLeft w:val="0"/>
                                              <w:marRight w:val="0"/>
                                              <w:marTop w:val="0"/>
                                              <w:marBottom w:val="0"/>
                                              <w:divBdr>
                                                <w:top w:val="none" w:sz="0" w:space="0" w:color="auto"/>
                                                <w:left w:val="none" w:sz="0" w:space="0" w:color="auto"/>
                                                <w:bottom w:val="none" w:sz="0" w:space="0" w:color="auto"/>
                                                <w:right w:val="none" w:sz="0" w:space="0" w:color="auto"/>
                                              </w:divBdr>
                                            </w:div>
                                            <w:div w:id="1741249404">
                                              <w:marLeft w:val="0"/>
                                              <w:marRight w:val="0"/>
                                              <w:marTop w:val="0"/>
                                              <w:marBottom w:val="0"/>
                                              <w:divBdr>
                                                <w:top w:val="none" w:sz="0" w:space="0" w:color="auto"/>
                                                <w:left w:val="none" w:sz="0" w:space="0" w:color="auto"/>
                                                <w:bottom w:val="none" w:sz="0" w:space="0" w:color="auto"/>
                                                <w:right w:val="none" w:sz="0" w:space="0" w:color="auto"/>
                                              </w:divBdr>
                                            </w:div>
                                            <w:div w:id="1769161052">
                                              <w:marLeft w:val="0"/>
                                              <w:marRight w:val="0"/>
                                              <w:marTop w:val="0"/>
                                              <w:marBottom w:val="0"/>
                                              <w:divBdr>
                                                <w:top w:val="none" w:sz="0" w:space="0" w:color="auto"/>
                                                <w:left w:val="none" w:sz="0" w:space="0" w:color="auto"/>
                                                <w:bottom w:val="none" w:sz="0" w:space="0" w:color="auto"/>
                                                <w:right w:val="none" w:sz="0" w:space="0" w:color="auto"/>
                                              </w:divBdr>
                                            </w:div>
                                            <w:div w:id="1789812727">
                                              <w:marLeft w:val="0"/>
                                              <w:marRight w:val="0"/>
                                              <w:marTop w:val="0"/>
                                              <w:marBottom w:val="0"/>
                                              <w:divBdr>
                                                <w:top w:val="none" w:sz="0" w:space="0" w:color="auto"/>
                                                <w:left w:val="none" w:sz="0" w:space="0" w:color="auto"/>
                                                <w:bottom w:val="none" w:sz="0" w:space="0" w:color="auto"/>
                                                <w:right w:val="none" w:sz="0" w:space="0" w:color="auto"/>
                                              </w:divBdr>
                                            </w:div>
                                            <w:div w:id="1796481177">
                                              <w:marLeft w:val="0"/>
                                              <w:marRight w:val="0"/>
                                              <w:marTop w:val="0"/>
                                              <w:marBottom w:val="0"/>
                                              <w:divBdr>
                                                <w:top w:val="none" w:sz="0" w:space="0" w:color="auto"/>
                                                <w:left w:val="none" w:sz="0" w:space="0" w:color="auto"/>
                                                <w:bottom w:val="none" w:sz="0" w:space="0" w:color="auto"/>
                                                <w:right w:val="none" w:sz="0" w:space="0" w:color="auto"/>
                                              </w:divBdr>
                                            </w:div>
                                            <w:div w:id="1799715220">
                                              <w:marLeft w:val="0"/>
                                              <w:marRight w:val="0"/>
                                              <w:marTop w:val="0"/>
                                              <w:marBottom w:val="0"/>
                                              <w:divBdr>
                                                <w:top w:val="none" w:sz="0" w:space="0" w:color="auto"/>
                                                <w:left w:val="none" w:sz="0" w:space="0" w:color="auto"/>
                                                <w:bottom w:val="none" w:sz="0" w:space="0" w:color="auto"/>
                                                <w:right w:val="none" w:sz="0" w:space="0" w:color="auto"/>
                                              </w:divBdr>
                                            </w:div>
                                            <w:div w:id="1819491236">
                                              <w:marLeft w:val="0"/>
                                              <w:marRight w:val="0"/>
                                              <w:marTop w:val="0"/>
                                              <w:marBottom w:val="0"/>
                                              <w:divBdr>
                                                <w:top w:val="none" w:sz="0" w:space="0" w:color="auto"/>
                                                <w:left w:val="none" w:sz="0" w:space="0" w:color="auto"/>
                                                <w:bottom w:val="none" w:sz="0" w:space="0" w:color="auto"/>
                                                <w:right w:val="none" w:sz="0" w:space="0" w:color="auto"/>
                                              </w:divBdr>
                                            </w:div>
                                            <w:div w:id="1821580693">
                                              <w:marLeft w:val="0"/>
                                              <w:marRight w:val="0"/>
                                              <w:marTop w:val="0"/>
                                              <w:marBottom w:val="0"/>
                                              <w:divBdr>
                                                <w:top w:val="none" w:sz="0" w:space="0" w:color="auto"/>
                                                <w:left w:val="none" w:sz="0" w:space="0" w:color="auto"/>
                                                <w:bottom w:val="none" w:sz="0" w:space="0" w:color="auto"/>
                                                <w:right w:val="none" w:sz="0" w:space="0" w:color="auto"/>
                                              </w:divBdr>
                                            </w:div>
                                            <w:div w:id="1823934113">
                                              <w:marLeft w:val="0"/>
                                              <w:marRight w:val="0"/>
                                              <w:marTop w:val="0"/>
                                              <w:marBottom w:val="0"/>
                                              <w:divBdr>
                                                <w:top w:val="none" w:sz="0" w:space="0" w:color="auto"/>
                                                <w:left w:val="none" w:sz="0" w:space="0" w:color="auto"/>
                                                <w:bottom w:val="none" w:sz="0" w:space="0" w:color="auto"/>
                                                <w:right w:val="none" w:sz="0" w:space="0" w:color="auto"/>
                                              </w:divBdr>
                                            </w:div>
                                            <w:div w:id="1844860562">
                                              <w:marLeft w:val="0"/>
                                              <w:marRight w:val="0"/>
                                              <w:marTop w:val="0"/>
                                              <w:marBottom w:val="0"/>
                                              <w:divBdr>
                                                <w:top w:val="none" w:sz="0" w:space="0" w:color="auto"/>
                                                <w:left w:val="none" w:sz="0" w:space="0" w:color="auto"/>
                                                <w:bottom w:val="none" w:sz="0" w:space="0" w:color="auto"/>
                                                <w:right w:val="none" w:sz="0" w:space="0" w:color="auto"/>
                                              </w:divBdr>
                                            </w:div>
                                            <w:div w:id="1872036377">
                                              <w:marLeft w:val="0"/>
                                              <w:marRight w:val="0"/>
                                              <w:marTop w:val="0"/>
                                              <w:marBottom w:val="0"/>
                                              <w:divBdr>
                                                <w:top w:val="none" w:sz="0" w:space="0" w:color="auto"/>
                                                <w:left w:val="none" w:sz="0" w:space="0" w:color="auto"/>
                                                <w:bottom w:val="none" w:sz="0" w:space="0" w:color="auto"/>
                                                <w:right w:val="none" w:sz="0" w:space="0" w:color="auto"/>
                                              </w:divBdr>
                                            </w:div>
                                            <w:div w:id="1885213664">
                                              <w:marLeft w:val="0"/>
                                              <w:marRight w:val="0"/>
                                              <w:marTop w:val="0"/>
                                              <w:marBottom w:val="0"/>
                                              <w:divBdr>
                                                <w:top w:val="none" w:sz="0" w:space="0" w:color="auto"/>
                                                <w:left w:val="none" w:sz="0" w:space="0" w:color="auto"/>
                                                <w:bottom w:val="none" w:sz="0" w:space="0" w:color="auto"/>
                                                <w:right w:val="none" w:sz="0" w:space="0" w:color="auto"/>
                                              </w:divBdr>
                                            </w:div>
                                            <w:div w:id="1910311344">
                                              <w:marLeft w:val="0"/>
                                              <w:marRight w:val="0"/>
                                              <w:marTop w:val="0"/>
                                              <w:marBottom w:val="0"/>
                                              <w:divBdr>
                                                <w:top w:val="none" w:sz="0" w:space="0" w:color="auto"/>
                                                <w:left w:val="none" w:sz="0" w:space="0" w:color="auto"/>
                                                <w:bottom w:val="none" w:sz="0" w:space="0" w:color="auto"/>
                                                <w:right w:val="none" w:sz="0" w:space="0" w:color="auto"/>
                                              </w:divBdr>
                                            </w:div>
                                            <w:div w:id="1939488290">
                                              <w:marLeft w:val="0"/>
                                              <w:marRight w:val="0"/>
                                              <w:marTop w:val="0"/>
                                              <w:marBottom w:val="0"/>
                                              <w:divBdr>
                                                <w:top w:val="none" w:sz="0" w:space="0" w:color="auto"/>
                                                <w:left w:val="none" w:sz="0" w:space="0" w:color="auto"/>
                                                <w:bottom w:val="none" w:sz="0" w:space="0" w:color="auto"/>
                                                <w:right w:val="none" w:sz="0" w:space="0" w:color="auto"/>
                                              </w:divBdr>
                                            </w:div>
                                            <w:div w:id="1941058988">
                                              <w:marLeft w:val="0"/>
                                              <w:marRight w:val="0"/>
                                              <w:marTop w:val="0"/>
                                              <w:marBottom w:val="0"/>
                                              <w:divBdr>
                                                <w:top w:val="none" w:sz="0" w:space="0" w:color="auto"/>
                                                <w:left w:val="none" w:sz="0" w:space="0" w:color="auto"/>
                                                <w:bottom w:val="none" w:sz="0" w:space="0" w:color="auto"/>
                                                <w:right w:val="none" w:sz="0" w:space="0" w:color="auto"/>
                                              </w:divBdr>
                                            </w:div>
                                            <w:div w:id="1942758193">
                                              <w:marLeft w:val="0"/>
                                              <w:marRight w:val="0"/>
                                              <w:marTop w:val="0"/>
                                              <w:marBottom w:val="0"/>
                                              <w:divBdr>
                                                <w:top w:val="none" w:sz="0" w:space="0" w:color="auto"/>
                                                <w:left w:val="none" w:sz="0" w:space="0" w:color="auto"/>
                                                <w:bottom w:val="none" w:sz="0" w:space="0" w:color="auto"/>
                                                <w:right w:val="none" w:sz="0" w:space="0" w:color="auto"/>
                                              </w:divBdr>
                                            </w:div>
                                            <w:div w:id="1950619802">
                                              <w:marLeft w:val="0"/>
                                              <w:marRight w:val="0"/>
                                              <w:marTop w:val="0"/>
                                              <w:marBottom w:val="0"/>
                                              <w:divBdr>
                                                <w:top w:val="none" w:sz="0" w:space="0" w:color="auto"/>
                                                <w:left w:val="none" w:sz="0" w:space="0" w:color="auto"/>
                                                <w:bottom w:val="none" w:sz="0" w:space="0" w:color="auto"/>
                                                <w:right w:val="none" w:sz="0" w:space="0" w:color="auto"/>
                                              </w:divBdr>
                                            </w:div>
                                            <w:div w:id="1955281054">
                                              <w:marLeft w:val="0"/>
                                              <w:marRight w:val="0"/>
                                              <w:marTop w:val="0"/>
                                              <w:marBottom w:val="0"/>
                                              <w:divBdr>
                                                <w:top w:val="none" w:sz="0" w:space="0" w:color="auto"/>
                                                <w:left w:val="none" w:sz="0" w:space="0" w:color="auto"/>
                                                <w:bottom w:val="none" w:sz="0" w:space="0" w:color="auto"/>
                                                <w:right w:val="none" w:sz="0" w:space="0" w:color="auto"/>
                                              </w:divBdr>
                                            </w:div>
                                            <w:div w:id="1965116933">
                                              <w:marLeft w:val="0"/>
                                              <w:marRight w:val="0"/>
                                              <w:marTop w:val="0"/>
                                              <w:marBottom w:val="0"/>
                                              <w:divBdr>
                                                <w:top w:val="none" w:sz="0" w:space="0" w:color="auto"/>
                                                <w:left w:val="none" w:sz="0" w:space="0" w:color="auto"/>
                                                <w:bottom w:val="none" w:sz="0" w:space="0" w:color="auto"/>
                                                <w:right w:val="none" w:sz="0" w:space="0" w:color="auto"/>
                                              </w:divBdr>
                                            </w:div>
                                            <w:div w:id="1983197243">
                                              <w:marLeft w:val="0"/>
                                              <w:marRight w:val="0"/>
                                              <w:marTop w:val="0"/>
                                              <w:marBottom w:val="0"/>
                                              <w:divBdr>
                                                <w:top w:val="none" w:sz="0" w:space="0" w:color="auto"/>
                                                <w:left w:val="none" w:sz="0" w:space="0" w:color="auto"/>
                                                <w:bottom w:val="none" w:sz="0" w:space="0" w:color="auto"/>
                                                <w:right w:val="none" w:sz="0" w:space="0" w:color="auto"/>
                                              </w:divBdr>
                                            </w:div>
                                            <w:div w:id="1990086470">
                                              <w:marLeft w:val="0"/>
                                              <w:marRight w:val="0"/>
                                              <w:marTop w:val="0"/>
                                              <w:marBottom w:val="0"/>
                                              <w:divBdr>
                                                <w:top w:val="none" w:sz="0" w:space="0" w:color="auto"/>
                                                <w:left w:val="none" w:sz="0" w:space="0" w:color="auto"/>
                                                <w:bottom w:val="none" w:sz="0" w:space="0" w:color="auto"/>
                                                <w:right w:val="none" w:sz="0" w:space="0" w:color="auto"/>
                                              </w:divBdr>
                                            </w:div>
                                            <w:div w:id="2000307649">
                                              <w:marLeft w:val="0"/>
                                              <w:marRight w:val="0"/>
                                              <w:marTop w:val="0"/>
                                              <w:marBottom w:val="0"/>
                                              <w:divBdr>
                                                <w:top w:val="none" w:sz="0" w:space="0" w:color="auto"/>
                                                <w:left w:val="none" w:sz="0" w:space="0" w:color="auto"/>
                                                <w:bottom w:val="none" w:sz="0" w:space="0" w:color="auto"/>
                                                <w:right w:val="none" w:sz="0" w:space="0" w:color="auto"/>
                                              </w:divBdr>
                                            </w:div>
                                            <w:div w:id="2006005318">
                                              <w:marLeft w:val="0"/>
                                              <w:marRight w:val="0"/>
                                              <w:marTop w:val="0"/>
                                              <w:marBottom w:val="0"/>
                                              <w:divBdr>
                                                <w:top w:val="none" w:sz="0" w:space="0" w:color="auto"/>
                                                <w:left w:val="none" w:sz="0" w:space="0" w:color="auto"/>
                                                <w:bottom w:val="none" w:sz="0" w:space="0" w:color="auto"/>
                                                <w:right w:val="none" w:sz="0" w:space="0" w:color="auto"/>
                                              </w:divBdr>
                                            </w:div>
                                            <w:div w:id="2015495799">
                                              <w:marLeft w:val="0"/>
                                              <w:marRight w:val="0"/>
                                              <w:marTop w:val="0"/>
                                              <w:marBottom w:val="0"/>
                                              <w:divBdr>
                                                <w:top w:val="none" w:sz="0" w:space="0" w:color="auto"/>
                                                <w:left w:val="none" w:sz="0" w:space="0" w:color="auto"/>
                                                <w:bottom w:val="none" w:sz="0" w:space="0" w:color="auto"/>
                                                <w:right w:val="none" w:sz="0" w:space="0" w:color="auto"/>
                                              </w:divBdr>
                                            </w:div>
                                            <w:div w:id="2043171469">
                                              <w:marLeft w:val="0"/>
                                              <w:marRight w:val="0"/>
                                              <w:marTop w:val="0"/>
                                              <w:marBottom w:val="0"/>
                                              <w:divBdr>
                                                <w:top w:val="none" w:sz="0" w:space="0" w:color="auto"/>
                                                <w:left w:val="none" w:sz="0" w:space="0" w:color="auto"/>
                                                <w:bottom w:val="none" w:sz="0" w:space="0" w:color="auto"/>
                                                <w:right w:val="none" w:sz="0" w:space="0" w:color="auto"/>
                                              </w:divBdr>
                                            </w:div>
                                            <w:div w:id="2050950811">
                                              <w:marLeft w:val="0"/>
                                              <w:marRight w:val="0"/>
                                              <w:marTop w:val="0"/>
                                              <w:marBottom w:val="0"/>
                                              <w:divBdr>
                                                <w:top w:val="none" w:sz="0" w:space="0" w:color="auto"/>
                                                <w:left w:val="none" w:sz="0" w:space="0" w:color="auto"/>
                                                <w:bottom w:val="none" w:sz="0" w:space="0" w:color="auto"/>
                                                <w:right w:val="none" w:sz="0" w:space="0" w:color="auto"/>
                                              </w:divBdr>
                                            </w:div>
                                            <w:div w:id="2074038489">
                                              <w:marLeft w:val="0"/>
                                              <w:marRight w:val="0"/>
                                              <w:marTop w:val="0"/>
                                              <w:marBottom w:val="0"/>
                                              <w:divBdr>
                                                <w:top w:val="none" w:sz="0" w:space="0" w:color="auto"/>
                                                <w:left w:val="none" w:sz="0" w:space="0" w:color="auto"/>
                                                <w:bottom w:val="none" w:sz="0" w:space="0" w:color="auto"/>
                                                <w:right w:val="none" w:sz="0" w:space="0" w:color="auto"/>
                                              </w:divBdr>
                                            </w:div>
                                            <w:div w:id="2081369908">
                                              <w:marLeft w:val="0"/>
                                              <w:marRight w:val="0"/>
                                              <w:marTop w:val="0"/>
                                              <w:marBottom w:val="0"/>
                                              <w:divBdr>
                                                <w:top w:val="none" w:sz="0" w:space="0" w:color="auto"/>
                                                <w:left w:val="none" w:sz="0" w:space="0" w:color="auto"/>
                                                <w:bottom w:val="none" w:sz="0" w:space="0" w:color="auto"/>
                                                <w:right w:val="none" w:sz="0" w:space="0" w:color="auto"/>
                                              </w:divBdr>
                                            </w:div>
                                            <w:div w:id="2098473280">
                                              <w:marLeft w:val="0"/>
                                              <w:marRight w:val="0"/>
                                              <w:marTop w:val="0"/>
                                              <w:marBottom w:val="0"/>
                                              <w:divBdr>
                                                <w:top w:val="none" w:sz="0" w:space="0" w:color="auto"/>
                                                <w:left w:val="none" w:sz="0" w:space="0" w:color="auto"/>
                                                <w:bottom w:val="none" w:sz="0" w:space="0" w:color="auto"/>
                                                <w:right w:val="none" w:sz="0" w:space="0" w:color="auto"/>
                                              </w:divBdr>
                                            </w:div>
                                            <w:div w:id="2099398346">
                                              <w:marLeft w:val="0"/>
                                              <w:marRight w:val="0"/>
                                              <w:marTop w:val="0"/>
                                              <w:marBottom w:val="0"/>
                                              <w:divBdr>
                                                <w:top w:val="none" w:sz="0" w:space="0" w:color="auto"/>
                                                <w:left w:val="none" w:sz="0" w:space="0" w:color="auto"/>
                                                <w:bottom w:val="none" w:sz="0" w:space="0" w:color="auto"/>
                                                <w:right w:val="none" w:sz="0" w:space="0" w:color="auto"/>
                                              </w:divBdr>
                                            </w:div>
                                            <w:div w:id="2115055872">
                                              <w:marLeft w:val="0"/>
                                              <w:marRight w:val="0"/>
                                              <w:marTop w:val="0"/>
                                              <w:marBottom w:val="0"/>
                                              <w:divBdr>
                                                <w:top w:val="none" w:sz="0" w:space="0" w:color="auto"/>
                                                <w:left w:val="none" w:sz="0" w:space="0" w:color="auto"/>
                                                <w:bottom w:val="none" w:sz="0" w:space="0" w:color="auto"/>
                                                <w:right w:val="none" w:sz="0" w:space="0" w:color="auto"/>
                                              </w:divBdr>
                                            </w:div>
                                            <w:div w:id="2144232690">
                                              <w:marLeft w:val="0"/>
                                              <w:marRight w:val="0"/>
                                              <w:marTop w:val="0"/>
                                              <w:marBottom w:val="0"/>
                                              <w:divBdr>
                                                <w:top w:val="none" w:sz="0" w:space="0" w:color="auto"/>
                                                <w:left w:val="none" w:sz="0" w:space="0" w:color="auto"/>
                                                <w:bottom w:val="none" w:sz="0" w:space="0" w:color="auto"/>
                                                <w:right w:val="none" w:sz="0" w:space="0" w:color="auto"/>
                                              </w:divBdr>
                                            </w:div>
                                            <w:div w:id="2145541505">
                                              <w:marLeft w:val="0"/>
                                              <w:marRight w:val="0"/>
                                              <w:marTop w:val="0"/>
                                              <w:marBottom w:val="0"/>
                                              <w:divBdr>
                                                <w:top w:val="none" w:sz="0" w:space="0" w:color="auto"/>
                                                <w:left w:val="none" w:sz="0" w:space="0" w:color="auto"/>
                                                <w:bottom w:val="none" w:sz="0" w:space="0" w:color="auto"/>
                                                <w:right w:val="none" w:sz="0" w:space="0" w:color="auto"/>
                                              </w:divBdr>
                                            </w:div>
                                          </w:divsChild>
                                        </w:div>
                                        <w:div w:id="1169637593">
                                          <w:marLeft w:val="0"/>
                                          <w:marRight w:val="0"/>
                                          <w:marTop w:val="0"/>
                                          <w:marBottom w:val="1500"/>
                                          <w:divBdr>
                                            <w:top w:val="single" w:sz="6" w:space="0" w:color="CECECE"/>
                                            <w:left w:val="single" w:sz="6" w:space="0" w:color="CECECE"/>
                                            <w:bottom w:val="single" w:sz="6" w:space="0" w:color="CECECE"/>
                                            <w:right w:val="single" w:sz="6" w:space="0" w:color="CECECE"/>
                                          </w:divBdr>
                                          <w:divsChild>
                                            <w:div w:id="40596544">
                                              <w:marLeft w:val="0"/>
                                              <w:marRight w:val="0"/>
                                              <w:marTop w:val="0"/>
                                              <w:marBottom w:val="0"/>
                                              <w:divBdr>
                                                <w:top w:val="none" w:sz="0" w:space="0" w:color="auto"/>
                                                <w:left w:val="none" w:sz="0" w:space="0" w:color="auto"/>
                                                <w:bottom w:val="none" w:sz="0" w:space="0" w:color="auto"/>
                                                <w:right w:val="none" w:sz="0" w:space="0" w:color="auto"/>
                                              </w:divBdr>
                                            </w:div>
                                            <w:div w:id="215361133">
                                              <w:marLeft w:val="0"/>
                                              <w:marRight w:val="0"/>
                                              <w:marTop w:val="0"/>
                                              <w:marBottom w:val="0"/>
                                              <w:divBdr>
                                                <w:top w:val="none" w:sz="0" w:space="0" w:color="auto"/>
                                                <w:left w:val="none" w:sz="0" w:space="0" w:color="auto"/>
                                                <w:bottom w:val="none" w:sz="0" w:space="0" w:color="auto"/>
                                                <w:right w:val="none" w:sz="0" w:space="0" w:color="auto"/>
                                              </w:divBdr>
                                            </w:div>
                                            <w:div w:id="441340139">
                                              <w:marLeft w:val="0"/>
                                              <w:marRight w:val="0"/>
                                              <w:marTop w:val="0"/>
                                              <w:marBottom w:val="0"/>
                                              <w:divBdr>
                                                <w:top w:val="none" w:sz="0" w:space="0" w:color="auto"/>
                                                <w:left w:val="none" w:sz="0" w:space="0" w:color="auto"/>
                                                <w:bottom w:val="none" w:sz="0" w:space="0" w:color="auto"/>
                                                <w:right w:val="none" w:sz="0" w:space="0" w:color="auto"/>
                                              </w:divBdr>
                                            </w:div>
                                            <w:div w:id="701639294">
                                              <w:marLeft w:val="0"/>
                                              <w:marRight w:val="0"/>
                                              <w:marTop w:val="0"/>
                                              <w:marBottom w:val="0"/>
                                              <w:divBdr>
                                                <w:top w:val="none" w:sz="0" w:space="0" w:color="auto"/>
                                                <w:left w:val="none" w:sz="0" w:space="0" w:color="auto"/>
                                                <w:bottom w:val="none" w:sz="0" w:space="0" w:color="auto"/>
                                                <w:right w:val="none" w:sz="0" w:space="0" w:color="auto"/>
                                              </w:divBdr>
                                            </w:div>
                                            <w:div w:id="846137501">
                                              <w:marLeft w:val="0"/>
                                              <w:marRight w:val="0"/>
                                              <w:marTop w:val="0"/>
                                              <w:marBottom w:val="0"/>
                                              <w:divBdr>
                                                <w:top w:val="none" w:sz="0" w:space="0" w:color="auto"/>
                                                <w:left w:val="none" w:sz="0" w:space="0" w:color="auto"/>
                                                <w:bottom w:val="none" w:sz="0" w:space="0" w:color="auto"/>
                                                <w:right w:val="none" w:sz="0" w:space="0" w:color="auto"/>
                                              </w:divBdr>
                                            </w:div>
                                            <w:div w:id="1060404850">
                                              <w:marLeft w:val="0"/>
                                              <w:marRight w:val="0"/>
                                              <w:marTop w:val="0"/>
                                              <w:marBottom w:val="0"/>
                                              <w:divBdr>
                                                <w:top w:val="none" w:sz="0" w:space="0" w:color="auto"/>
                                                <w:left w:val="none" w:sz="0" w:space="0" w:color="auto"/>
                                                <w:bottom w:val="none" w:sz="0" w:space="0" w:color="auto"/>
                                                <w:right w:val="none" w:sz="0" w:space="0" w:color="auto"/>
                                              </w:divBdr>
                                            </w:div>
                                            <w:div w:id="1072971063">
                                              <w:marLeft w:val="0"/>
                                              <w:marRight w:val="0"/>
                                              <w:marTop w:val="0"/>
                                              <w:marBottom w:val="0"/>
                                              <w:divBdr>
                                                <w:top w:val="none" w:sz="0" w:space="0" w:color="auto"/>
                                                <w:left w:val="none" w:sz="0" w:space="0" w:color="auto"/>
                                                <w:bottom w:val="none" w:sz="0" w:space="0" w:color="auto"/>
                                                <w:right w:val="none" w:sz="0" w:space="0" w:color="auto"/>
                                              </w:divBdr>
                                            </w:div>
                                            <w:div w:id="1084227653">
                                              <w:marLeft w:val="0"/>
                                              <w:marRight w:val="0"/>
                                              <w:marTop w:val="0"/>
                                              <w:marBottom w:val="0"/>
                                              <w:divBdr>
                                                <w:top w:val="none" w:sz="0" w:space="0" w:color="auto"/>
                                                <w:left w:val="none" w:sz="0" w:space="0" w:color="auto"/>
                                                <w:bottom w:val="none" w:sz="0" w:space="0" w:color="auto"/>
                                                <w:right w:val="none" w:sz="0" w:space="0" w:color="auto"/>
                                              </w:divBdr>
                                            </w:div>
                                            <w:div w:id="1522014979">
                                              <w:marLeft w:val="0"/>
                                              <w:marRight w:val="0"/>
                                              <w:marTop w:val="0"/>
                                              <w:marBottom w:val="0"/>
                                              <w:divBdr>
                                                <w:top w:val="none" w:sz="0" w:space="0" w:color="auto"/>
                                                <w:left w:val="none" w:sz="0" w:space="0" w:color="auto"/>
                                                <w:bottom w:val="none" w:sz="0" w:space="0" w:color="auto"/>
                                                <w:right w:val="none" w:sz="0" w:space="0" w:color="auto"/>
                                              </w:divBdr>
                                            </w:div>
                                            <w:div w:id="1568957825">
                                              <w:marLeft w:val="0"/>
                                              <w:marRight w:val="0"/>
                                              <w:marTop w:val="0"/>
                                              <w:marBottom w:val="0"/>
                                              <w:divBdr>
                                                <w:top w:val="none" w:sz="0" w:space="0" w:color="auto"/>
                                                <w:left w:val="none" w:sz="0" w:space="0" w:color="auto"/>
                                                <w:bottom w:val="none" w:sz="0" w:space="0" w:color="auto"/>
                                                <w:right w:val="none" w:sz="0" w:space="0" w:color="auto"/>
                                              </w:divBdr>
                                            </w:div>
                                            <w:div w:id="1646817997">
                                              <w:marLeft w:val="0"/>
                                              <w:marRight w:val="0"/>
                                              <w:marTop w:val="0"/>
                                              <w:marBottom w:val="0"/>
                                              <w:divBdr>
                                                <w:top w:val="none" w:sz="0" w:space="0" w:color="auto"/>
                                                <w:left w:val="none" w:sz="0" w:space="0" w:color="auto"/>
                                                <w:bottom w:val="none" w:sz="0" w:space="0" w:color="auto"/>
                                                <w:right w:val="none" w:sz="0" w:space="0" w:color="auto"/>
                                              </w:divBdr>
                                            </w:div>
                                            <w:div w:id="1898054451">
                                              <w:marLeft w:val="0"/>
                                              <w:marRight w:val="0"/>
                                              <w:marTop w:val="0"/>
                                              <w:marBottom w:val="0"/>
                                              <w:divBdr>
                                                <w:top w:val="none" w:sz="0" w:space="0" w:color="auto"/>
                                                <w:left w:val="none" w:sz="0" w:space="0" w:color="auto"/>
                                                <w:bottom w:val="none" w:sz="0" w:space="0" w:color="auto"/>
                                                <w:right w:val="none" w:sz="0" w:space="0" w:color="auto"/>
                                              </w:divBdr>
                                            </w:div>
                                          </w:divsChild>
                                        </w:div>
                                        <w:div w:id="1246454855">
                                          <w:marLeft w:val="0"/>
                                          <w:marRight w:val="0"/>
                                          <w:marTop w:val="0"/>
                                          <w:marBottom w:val="0"/>
                                          <w:divBdr>
                                            <w:top w:val="none" w:sz="0" w:space="0" w:color="auto"/>
                                            <w:left w:val="none" w:sz="0" w:space="0" w:color="auto"/>
                                            <w:bottom w:val="none" w:sz="0" w:space="0" w:color="auto"/>
                                            <w:right w:val="none" w:sz="0" w:space="0" w:color="auto"/>
                                          </w:divBdr>
                                          <w:divsChild>
                                            <w:div w:id="287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320852">
                  <w:marLeft w:val="0"/>
                  <w:marRight w:val="0"/>
                  <w:marTop w:val="0"/>
                  <w:marBottom w:val="0"/>
                  <w:divBdr>
                    <w:top w:val="none" w:sz="0" w:space="0" w:color="auto"/>
                    <w:left w:val="none" w:sz="0" w:space="0" w:color="auto"/>
                    <w:bottom w:val="none" w:sz="0" w:space="0" w:color="auto"/>
                    <w:right w:val="none" w:sz="0" w:space="0" w:color="auto"/>
                  </w:divBdr>
                  <w:divsChild>
                    <w:div w:id="1272130912">
                      <w:marLeft w:val="360"/>
                      <w:marRight w:val="0"/>
                      <w:marTop w:val="0"/>
                      <w:marBottom w:val="0"/>
                      <w:divBdr>
                        <w:top w:val="none" w:sz="0" w:space="0" w:color="auto"/>
                        <w:left w:val="none" w:sz="0" w:space="0" w:color="auto"/>
                        <w:bottom w:val="none" w:sz="0" w:space="0" w:color="auto"/>
                        <w:right w:val="none" w:sz="0" w:space="0" w:color="auto"/>
                      </w:divBdr>
                      <w:divsChild>
                        <w:div w:id="1115948278">
                          <w:marLeft w:val="0"/>
                          <w:marRight w:val="0"/>
                          <w:marTop w:val="0"/>
                          <w:marBottom w:val="0"/>
                          <w:divBdr>
                            <w:top w:val="none" w:sz="0" w:space="0" w:color="auto"/>
                            <w:left w:val="none" w:sz="0" w:space="0" w:color="auto"/>
                            <w:bottom w:val="none" w:sz="0" w:space="0" w:color="auto"/>
                            <w:right w:val="none" w:sz="0" w:space="0" w:color="auto"/>
                          </w:divBdr>
                          <w:divsChild>
                            <w:div w:id="899445503">
                              <w:marLeft w:val="0"/>
                              <w:marRight w:val="0"/>
                              <w:marTop w:val="0"/>
                              <w:marBottom w:val="0"/>
                              <w:divBdr>
                                <w:top w:val="none" w:sz="0" w:space="0" w:color="auto"/>
                                <w:left w:val="none" w:sz="0" w:space="0" w:color="auto"/>
                                <w:bottom w:val="none" w:sz="0" w:space="0" w:color="auto"/>
                                <w:right w:val="none" w:sz="0" w:space="0" w:color="auto"/>
                              </w:divBdr>
                              <w:divsChild>
                                <w:div w:id="113714268">
                                  <w:marLeft w:val="0"/>
                                  <w:marRight w:val="0"/>
                                  <w:marTop w:val="0"/>
                                  <w:marBottom w:val="0"/>
                                  <w:divBdr>
                                    <w:top w:val="none" w:sz="0" w:space="0" w:color="auto"/>
                                    <w:left w:val="none" w:sz="0" w:space="0" w:color="auto"/>
                                    <w:bottom w:val="none" w:sz="0" w:space="0" w:color="auto"/>
                                    <w:right w:val="none" w:sz="0" w:space="0" w:color="auto"/>
                                  </w:divBdr>
                                  <w:divsChild>
                                    <w:div w:id="358435301">
                                      <w:marLeft w:val="0"/>
                                      <w:marRight w:val="0"/>
                                      <w:marTop w:val="0"/>
                                      <w:marBottom w:val="0"/>
                                      <w:divBdr>
                                        <w:top w:val="none" w:sz="0" w:space="0" w:color="auto"/>
                                        <w:left w:val="none" w:sz="0" w:space="0" w:color="auto"/>
                                        <w:bottom w:val="none" w:sz="0" w:space="0" w:color="auto"/>
                                        <w:right w:val="none" w:sz="0" w:space="0" w:color="auto"/>
                                      </w:divBdr>
                                      <w:divsChild>
                                        <w:div w:id="2017613964">
                                          <w:marLeft w:val="0"/>
                                          <w:marRight w:val="0"/>
                                          <w:marTop w:val="0"/>
                                          <w:marBottom w:val="0"/>
                                          <w:divBdr>
                                            <w:top w:val="none" w:sz="0" w:space="0" w:color="auto"/>
                                            <w:left w:val="none" w:sz="0" w:space="0" w:color="auto"/>
                                            <w:bottom w:val="none" w:sz="0" w:space="0" w:color="auto"/>
                                            <w:right w:val="none" w:sz="0" w:space="0" w:color="auto"/>
                                          </w:divBdr>
                                          <w:divsChild>
                                            <w:div w:id="1399784598">
                                              <w:marLeft w:val="0"/>
                                              <w:marRight w:val="0"/>
                                              <w:marTop w:val="0"/>
                                              <w:marBottom w:val="0"/>
                                              <w:divBdr>
                                                <w:top w:val="single" w:sz="6" w:space="0" w:color="CDCDCD"/>
                                                <w:left w:val="single" w:sz="6" w:space="0" w:color="CDCDCD"/>
                                                <w:bottom w:val="single" w:sz="6" w:space="0" w:color="CDCDCD"/>
                                                <w:right w:val="single" w:sz="6" w:space="0" w:color="CDCDCD"/>
                                              </w:divBdr>
                                              <w:divsChild>
                                                <w:div w:id="1283731451">
                                                  <w:marLeft w:val="0"/>
                                                  <w:marRight w:val="0"/>
                                                  <w:marTop w:val="0"/>
                                                  <w:marBottom w:val="0"/>
                                                  <w:divBdr>
                                                    <w:top w:val="none" w:sz="0" w:space="0" w:color="auto"/>
                                                    <w:left w:val="none" w:sz="0" w:space="0" w:color="auto"/>
                                                    <w:bottom w:val="none" w:sz="0" w:space="0" w:color="auto"/>
                                                    <w:right w:val="none" w:sz="0" w:space="0" w:color="auto"/>
                                                  </w:divBdr>
                                                  <w:divsChild>
                                                    <w:div w:id="4260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693">
                                      <w:marLeft w:val="0"/>
                                      <w:marRight w:val="0"/>
                                      <w:marTop w:val="0"/>
                                      <w:marBottom w:val="0"/>
                                      <w:divBdr>
                                        <w:top w:val="none" w:sz="0" w:space="0" w:color="auto"/>
                                        <w:left w:val="none" w:sz="0" w:space="0" w:color="auto"/>
                                        <w:bottom w:val="none" w:sz="0" w:space="0" w:color="auto"/>
                                        <w:right w:val="none" w:sz="0" w:space="0" w:color="auto"/>
                                      </w:divBdr>
                                    </w:div>
                                  </w:divsChild>
                                </w:div>
                                <w:div w:id="261256158">
                                  <w:marLeft w:val="0"/>
                                  <w:marRight w:val="0"/>
                                  <w:marTop w:val="0"/>
                                  <w:marBottom w:val="0"/>
                                  <w:divBdr>
                                    <w:top w:val="none" w:sz="0" w:space="0" w:color="auto"/>
                                    <w:left w:val="none" w:sz="0" w:space="0" w:color="auto"/>
                                    <w:bottom w:val="none" w:sz="0" w:space="0" w:color="auto"/>
                                    <w:right w:val="none" w:sz="0" w:space="0" w:color="auto"/>
                                  </w:divBdr>
                                  <w:divsChild>
                                    <w:div w:id="235358113">
                                      <w:marLeft w:val="0"/>
                                      <w:marRight w:val="0"/>
                                      <w:marTop w:val="0"/>
                                      <w:marBottom w:val="0"/>
                                      <w:divBdr>
                                        <w:top w:val="none" w:sz="0" w:space="0" w:color="auto"/>
                                        <w:left w:val="none" w:sz="0" w:space="0" w:color="auto"/>
                                        <w:bottom w:val="none" w:sz="0" w:space="0" w:color="auto"/>
                                        <w:right w:val="none" w:sz="0" w:space="0" w:color="auto"/>
                                      </w:divBdr>
                                      <w:divsChild>
                                        <w:div w:id="1706323305">
                                          <w:marLeft w:val="0"/>
                                          <w:marRight w:val="0"/>
                                          <w:marTop w:val="0"/>
                                          <w:marBottom w:val="0"/>
                                          <w:divBdr>
                                            <w:top w:val="none" w:sz="0" w:space="0" w:color="auto"/>
                                            <w:left w:val="none" w:sz="0" w:space="0" w:color="auto"/>
                                            <w:bottom w:val="none" w:sz="0" w:space="0" w:color="auto"/>
                                            <w:right w:val="none" w:sz="0" w:space="0" w:color="auto"/>
                                          </w:divBdr>
                                          <w:divsChild>
                                            <w:div w:id="1583026423">
                                              <w:marLeft w:val="0"/>
                                              <w:marRight w:val="0"/>
                                              <w:marTop w:val="0"/>
                                              <w:marBottom w:val="0"/>
                                              <w:divBdr>
                                                <w:top w:val="single" w:sz="6" w:space="0" w:color="CDCDCD"/>
                                                <w:left w:val="single" w:sz="6" w:space="0" w:color="CDCDCD"/>
                                                <w:bottom w:val="single" w:sz="6" w:space="0" w:color="CDCDCD"/>
                                                <w:right w:val="single" w:sz="6" w:space="0" w:color="CDCDCD"/>
                                              </w:divBdr>
                                              <w:divsChild>
                                                <w:div w:id="340549124">
                                                  <w:marLeft w:val="0"/>
                                                  <w:marRight w:val="0"/>
                                                  <w:marTop w:val="0"/>
                                                  <w:marBottom w:val="0"/>
                                                  <w:divBdr>
                                                    <w:top w:val="none" w:sz="0" w:space="0" w:color="auto"/>
                                                    <w:left w:val="none" w:sz="0" w:space="0" w:color="auto"/>
                                                    <w:bottom w:val="none" w:sz="0" w:space="0" w:color="auto"/>
                                                    <w:right w:val="none" w:sz="0" w:space="0" w:color="auto"/>
                                                  </w:divBdr>
                                                  <w:divsChild>
                                                    <w:div w:id="59659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20170">
                                      <w:marLeft w:val="0"/>
                                      <w:marRight w:val="0"/>
                                      <w:marTop w:val="0"/>
                                      <w:marBottom w:val="0"/>
                                      <w:divBdr>
                                        <w:top w:val="none" w:sz="0" w:space="0" w:color="auto"/>
                                        <w:left w:val="none" w:sz="0" w:space="0" w:color="auto"/>
                                        <w:bottom w:val="none" w:sz="0" w:space="0" w:color="auto"/>
                                        <w:right w:val="none" w:sz="0" w:space="0" w:color="auto"/>
                                      </w:divBdr>
                                    </w:div>
                                  </w:divsChild>
                                </w:div>
                                <w:div w:id="497157100">
                                  <w:marLeft w:val="0"/>
                                  <w:marRight w:val="0"/>
                                  <w:marTop w:val="0"/>
                                  <w:marBottom w:val="0"/>
                                  <w:divBdr>
                                    <w:top w:val="none" w:sz="0" w:space="0" w:color="auto"/>
                                    <w:left w:val="none" w:sz="0" w:space="0" w:color="auto"/>
                                    <w:bottom w:val="none" w:sz="0" w:space="0" w:color="auto"/>
                                    <w:right w:val="none" w:sz="0" w:space="0" w:color="auto"/>
                                  </w:divBdr>
                                  <w:divsChild>
                                    <w:div w:id="61758230">
                                      <w:marLeft w:val="0"/>
                                      <w:marRight w:val="0"/>
                                      <w:marTop w:val="0"/>
                                      <w:marBottom w:val="0"/>
                                      <w:divBdr>
                                        <w:top w:val="none" w:sz="0" w:space="0" w:color="auto"/>
                                        <w:left w:val="none" w:sz="0" w:space="0" w:color="auto"/>
                                        <w:bottom w:val="none" w:sz="0" w:space="0" w:color="auto"/>
                                        <w:right w:val="none" w:sz="0" w:space="0" w:color="auto"/>
                                      </w:divBdr>
                                    </w:div>
                                    <w:div w:id="1014573730">
                                      <w:marLeft w:val="0"/>
                                      <w:marRight w:val="0"/>
                                      <w:marTop w:val="0"/>
                                      <w:marBottom w:val="0"/>
                                      <w:divBdr>
                                        <w:top w:val="none" w:sz="0" w:space="0" w:color="auto"/>
                                        <w:left w:val="none" w:sz="0" w:space="0" w:color="auto"/>
                                        <w:bottom w:val="none" w:sz="0" w:space="0" w:color="auto"/>
                                        <w:right w:val="none" w:sz="0" w:space="0" w:color="auto"/>
                                      </w:divBdr>
                                      <w:divsChild>
                                        <w:div w:id="2018842857">
                                          <w:marLeft w:val="0"/>
                                          <w:marRight w:val="0"/>
                                          <w:marTop w:val="0"/>
                                          <w:marBottom w:val="0"/>
                                          <w:divBdr>
                                            <w:top w:val="none" w:sz="0" w:space="0" w:color="auto"/>
                                            <w:left w:val="none" w:sz="0" w:space="0" w:color="auto"/>
                                            <w:bottom w:val="none" w:sz="0" w:space="0" w:color="auto"/>
                                            <w:right w:val="none" w:sz="0" w:space="0" w:color="auto"/>
                                          </w:divBdr>
                                          <w:divsChild>
                                            <w:div w:id="710225499">
                                              <w:marLeft w:val="0"/>
                                              <w:marRight w:val="0"/>
                                              <w:marTop w:val="0"/>
                                              <w:marBottom w:val="0"/>
                                              <w:divBdr>
                                                <w:top w:val="single" w:sz="6" w:space="0" w:color="CDCDCD"/>
                                                <w:left w:val="single" w:sz="6" w:space="0" w:color="CDCDCD"/>
                                                <w:bottom w:val="single" w:sz="6" w:space="0" w:color="CDCDCD"/>
                                                <w:right w:val="single" w:sz="6" w:space="0" w:color="CDCDCD"/>
                                              </w:divBdr>
                                              <w:divsChild>
                                                <w:div w:id="442192519">
                                                  <w:marLeft w:val="0"/>
                                                  <w:marRight w:val="0"/>
                                                  <w:marTop w:val="0"/>
                                                  <w:marBottom w:val="0"/>
                                                  <w:divBdr>
                                                    <w:top w:val="none" w:sz="0" w:space="0" w:color="auto"/>
                                                    <w:left w:val="none" w:sz="0" w:space="0" w:color="auto"/>
                                                    <w:bottom w:val="none" w:sz="0" w:space="0" w:color="auto"/>
                                                    <w:right w:val="none" w:sz="0" w:space="0" w:color="auto"/>
                                                  </w:divBdr>
                                                  <w:divsChild>
                                                    <w:div w:id="210425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511609">
                                  <w:marLeft w:val="0"/>
                                  <w:marRight w:val="0"/>
                                  <w:marTop w:val="0"/>
                                  <w:marBottom w:val="0"/>
                                  <w:divBdr>
                                    <w:top w:val="none" w:sz="0" w:space="0" w:color="auto"/>
                                    <w:left w:val="none" w:sz="0" w:space="0" w:color="auto"/>
                                    <w:bottom w:val="none" w:sz="0" w:space="0" w:color="auto"/>
                                    <w:right w:val="none" w:sz="0" w:space="0" w:color="auto"/>
                                  </w:divBdr>
                                  <w:divsChild>
                                    <w:div w:id="238906008">
                                      <w:marLeft w:val="0"/>
                                      <w:marRight w:val="0"/>
                                      <w:marTop w:val="0"/>
                                      <w:marBottom w:val="0"/>
                                      <w:divBdr>
                                        <w:top w:val="none" w:sz="0" w:space="0" w:color="auto"/>
                                        <w:left w:val="none" w:sz="0" w:space="0" w:color="auto"/>
                                        <w:bottom w:val="none" w:sz="0" w:space="0" w:color="auto"/>
                                        <w:right w:val="none" w:sz="0" w:space="0" w:color="auto"/>
                                      </w:divBdr>
                                    </w:div>
                                    <w:div w:id="2052536254">
                                      <w:marLeft w:val="0"/>
                                      <w:marRight w:val="0"/>
                                      <w:marTop w:val="0"/>
                                      <w:marBottom w:val="0"/>
                                      <w:divBdr>
                                        <w:top w:val="none" w:sz="0" w:space="0" w:color="auto"/>
                                        <w:left w:val="none" w:sz="0" w:space="0" w:color="auto"/>
                                        <w:bottom w:val="none" w:sz="0" w:space="0" w:color="auto"/>
                                        <w:right w:val="none" w:sz="0" w:space="0" w:color="auto"/>
                                      </w:divBdr>
                                      <w:divsChild>
                                        <w:div w:id="717244758">
                                          <w:marLeft w:val="0"/>
                                          <w:marRight w:val="0"/>
                                          <w:marTop w:val="0"/>
                                          <w:marBottom w:val="0"/>
                                          <w:divBdr>
                                            <w:top w:val="none" w:sz="0" w:space="0" w:color="auto"/>
                                            <w:left w:val="none" w:sz="0" w:space="0" w:color="auto"/>
                                            <w:bottom w:val="none" w:sz="0" w:space="0" w:color="auto"/>
                                            <w:right w:val="none" w:sz="0" w:space="0" w:color="auto"/>
                                          </w:divBdr>
                                          <w:divsChild>
                                            <w:div w:id="1740247342">
                                              <w:marLeft w:val="0"/>
                                              <w:marRight w:val="0"/>
                                              <w:marTop w:val="0"/>
                                              <w:marBottom w:val="0"/>
                                              <w:divBdr>
                                                <w:top w:val="single" w:sz="6" w:space="0" w:color="CDCDCD"/>
                                                <w:left w:val="single" w:sz="6" w:space="0" w:color="CDCDCD"/>
                                                <w:bottom w:val="single" w:sz="6" w:space="0" w:color="CDCDCD"/>
                                                <w:right w:val="single" w:sz="6" w:space="0" w:color="CDCDCD"/>
                                              </w:divBdr>
                                              <w:divsChild>
                                                <w:div w:id="1191525596">
                                                  <w:marLeft w:val="0"/>
                                                  <w:marRight w:val="0"/>
                                                  <w:marTop w:val="0"/>
                                                  <w:marBottom w:val="0"/>
                                                  <w:divBdr>
                                                    <w:top w:val="none" w:sz="0" w:space="0" w:color="auto"/>
                                                    <w:left w:val="none" w:sz="0" w:space="0" w:color="auto"/>
                                                    <w:bottom w:val="none" w:sz="0" w:space="0" w:color="auto"/>
                                                    <w:right w:val="none" w:sz="0" w:space="0" w:color="auto"/>
                                                  </w:divBdr>
                                                  <w:divsChild>
                                                    <w:div w:id="177551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102218">
                                  <w:marLeft w:val="0"/>
                                  <w:marRight w:val="0"/>
                                  <w:marTop w:val="0"/>
                                  <w:marBottom w:val="0"/>
                                  <w:divBdr>
                                    <w:top w:val="none" w:sz="0" w:space="0" w:color="auto"/>
                                    <w:left w:val="none" w:sz="0" w:space="0" w:color="auto"/>
                                    <w:bottom w:val="none" w:sz="0" w:space="0" w:color="auto"/>
                                    <w:right w:val="none" w:sz="0" w:space="0" w:color="auto"/>
                                  </w:divBdr>
                                  <w:divsChild>
                                    <w:div w:id="985008395">
                                      <w:marLeft w:val="0"/>
                                      <w:marRight w:val="0"/>
                                      <w:marTop w:val="0"/>
                                      <w:marBottom w:val="0"/>
                                      <w:divBdr>
                                        <w:top w:val="none" w:sz="0" w:space="0" w:color="auto"/>
                                        <w:left w:val="none" w:sz="0" w:space="0" w:color="auto"/>
                                        <w:bottom w:val="none" w:sz="0" w:space="0" w:color="auto"/>
                                        <w:right w:val="none" w:sz="0" w:space="0" w:color="auto"/>
                                      </w:divBdr>
                                    </w:div>
                                    <w:div w:id="1850876011">
                                      <w:marLeft w:val="0"/>
                                      <w:marRight w:val="0"/>
                                      <w:marTop w:val="0"/>
                                      <w:marBottom w:val="0"/>
                                      <w:divBdr>
                                        <w:top w:val="none" w:sz="0" w:space="0" w:color="auto"/>
                                        <w:left w:val="none" w:sz="0" w:space="0" w:color="auto"/>
                                        <w:bottom w:val="none" w:sz="0" w:space="0" w:color="auto"/>
                                        <w:right w:val="none" w:sz="0" w:space="0" w:color="auto"/>
                                      </w:divBdr>
                                      <w:divsChild>
                                        <w:div w:id="1570729841">
                                          <w:marLeft w:val="0"/>
                                          <w:marRight w:val="0"/>
                                          <w:marTop w:val="0"/>
                                          <w:marBottom w:val="0"/>
                                          <w:divBdr>
                                            <w:top w:val="none" w:sz="0" w:space="0" w:color="auto"/>
                                            <w:left w:val="none" w:sz="0" w:space="0" w:color="auto"/>
                                            <w:bottom w:val="none" w:sz="0" w:space="0" w:color="auto"/>
                                            <w:right w:val="none" w:sz="0" w:space="0" w:color="auto"/>
                                          </w:divBdr>
                                          <w:divsChild>
                                            <w:div w:id="1252202443">
                                              <w:marLeft w:val="0"/>
                                              <w:marRight w:val="0"/>
                                              <w:marTop w:val="0"/>
                                              <w:marBottom w:val="0"/>
                                              <w:divBdr>
                                                <w:top w:val="single" w:sz="6" w:space="0" w:color="CDCDCD"/>
                                                <w:left w:val="single" w:sz="6" w:space="0" w:color="CDCDCD"/>
                                                <w:bottom w:val="single" w:sz="6" w:space="0" w:color="CDCDCD"/>
                                                <w:right w:val="single" w:sz="6" w:space="0" w:color="CDCDCD"/>
                                              </w:divBdr>
                                              <w:divsChild>
                                                <w:div w:id="435369873">
                                                  <w:marLeft w:val="0"/>
                                                  <w:marRight w:val="0"/>
                                                  <w:marTop w:val="0"/>
                                                  <w:marBottom w:val="0"/>
                                                  <w:divBdr>
                                                    <w:top w:val="none" w:sz="0" w:space="0" w:color="auto"/>
                                                    <w:left w:val="none" w:sz="0" w:space="0" w:color="auto"/>
                                                    <w:bottom w:val="none" w:sz="0" w:space="0" w:color="auto"/>
                                                    <w:right w:val="none" w:sz="0" w:space="0" w:color="auto"/>
                                                  </w:divBdr>
                                                  <w:divsChild>
                                                    <w:div w:id="20749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730874">
                                  <w:marLeft w:val="0"/>
                                  <w:marRight w:val="0"/>
                                  <w:marTop w:val="0"/>
                                  <w:marBottom w:val="0"/>
                                  <w:divBdr>
                                    <w:top w:val="none" w:sz="0" w:space="0" w:color="auto"/>
                                    <w:left w:val="none" w:sz="0" w:space="0" w:color="auto"/>
                                    <w:bottom w:val="none" w:sz="0" w:space="0" w:color="auto"/>
                                    <w:right w:val="none" w:sz="0" w:space="0" w:color="auto"/>
                                  </w:divBdr>
                                  <w:divsChild>
                                    <w:div w:id="661127872">
                                      <w:marLeft w:val="0"/>
                                      <w:marRight w:val="0"/>
                                      <w:marTop w:val="0"/>
                                      <w:marBottom w:val="0"/>
                                      <w:divBdr>
                                        <w:top w:val="none" w:sz="0" w:space="0" w:color="auto"/>
                                        <w:left w:val="none" w:sz="0" w:space="0" w:color="auto"/>
                                        <w:bottom w:val="none" w:sz="0" w:space="0" w:color="auto"/>
                                        <w:right w:val="none" w:sz="0" w:space="0" w:color="auto"/>
                                      </w:divBdr>
                                    </w:div>
                                    <w:div w:id="2082751811">
                                      <w:marLeft w:val="0"/>
                                      <w:marRight w:val="0"/>
                                      <w:marTop w:val="0"/>
                                      <w:marBottom w:val="0"/>
                                      <w:divBdr>
                                        <w:top w:val="none" w:sz="0" w:space="0" w:color="auto"/>
                                        <w:left w:val="none" w:sz="0" w:space="0" w:color="auto"/>
                                        <w:bottom w:val="none" w:sz="0" w:space="0" w:color="auto"/>
                                        <w:right w:val="none" w:sz="0" w:space="0" w:color="auto"/>
                                      </w:divBdr>
                                      <w:divsChild>
                                        <w:div w:id="516162046">
                                          <w:marLeft w:val="0"/>
                                          <w:marRight w:val="0"/>
                                          <w:marTop w:val="0"/>
                                          <w:marBottom w:val="0"/>
                                          <w:divBdr>
                                            <w:top w:val="none" w:sz="0" w:space="0" w:color="auto"/>
                                            <w:left w:val="none" w:sz="0" w:space="0" w:color="auto"/>
                                            <w:bottom w:val="none" w:sz="0" w:space="0" w:color="auto"/>
                                            <w:right w:val="none" w:sz="0" w:space="0" w:color="auto"/>
                                          </w:divBdr>
                                          <w:divsChild>
                                            <w:div w:id="367611190">
                                              <w:marLeft w:val="0"/>
                                              <w:marRight w:val="0"/>
                                              <w:marTop w:val="0"/>
                                              <w:marBottom w:val="0"/>
                                              <w:divBdr>
                                                <w:top w:val="single" w:sz="6" w:space="0" w:color="CDCDCD"/>
                                                <w:left w:val="single" w:sz="6" w:space="0" w:color="CDCDCD"/>
                                                <w:bottom w:val="single" w:sz="6" w:space="0" w:color="CDCDCD"/>
                                                <w:right w:val="single" w:sz="6" w:space="0" w:color="CDCDCD"/>
                                              </w:divBdr>
                                              <w:divsChild>
                                                <w:div w:id="1443375871">
                                                  <w:marLeft w:val="0"/>
                                                  <w:marRight w:val="0"/>
                                                  <w:marTop w:val="0"/>
                                                  <w:marBottom w:val="0"/>
                                                  <w:divBdr>
                                                    <w:top w:val="none" w:sz="0" w:space="0" w:color="auto"/>
                                                    <w:left w:val="none" w:sz="0" w:space="0" w:color="auto"/>
                                                    <w:bottom w:val="none" w:sz="0" w:space="0" w:color="auto"/>
                                                    <w:right w:val="none" w:sz="0" w:space="0" w:color="auto"/>
                                                  </w:divBdr>
                                                  <w:divsChild>
                                                    <w:div w:id="394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05876">
                                  <w:marLeft w:val="0"/>
                                  <w:marRight w:val="0"/>
                                  <w:marTop w:val="0"/>
                                  <w:marBottom w:val="0"/>
                                  <w:divBdr>
                                    <w:top w:val="none" w:sz="0" w:space="0" w:color="auto"/>
                                    <w:left w:val="none" w:sz="0" w:space="0" w:color="auto"/>
                                    <w:bottom w:val="none" w:sz="0" w:space="0" w:color="auto"/>
                                    <w:right w:val="none" w:sz="0" w:space="0" w:color="auto"/>
                                  </w:divBdr>
                                  <w:divsChild>
                                    <w:div w:id="1121725368">
                                      <w:marLeft w:val="0"/>
                                      <w:marRight w:val="0"/>
                                      <w:marTop w:val="0"/>
                                      <w:marBottom w:val="0"/>
                                      <w:divBdr>
                                        <w:top w:val="none" w:sz="0" w:space="0" w:color="auto"/>
                                        <w:left w:val="none" w:sz="0" w:space="0" w:color="auto"/>
                                        <w:bottom w:val="none" w:sz="0" w:space="0" w:color="auto"/>
                                        <w:right w:val="none" w:sz="0" w:space="0" w:color="auto"/>
                                      </w:divBdr>
                                      <w:divsChild>
                                        <w:div w:id="1257708077">
                                          <w:marLeft w:val="0"/>
                                          <w:marRight w:val="0"/>
                                          <w:marTop w:val="0"/>
                                          <w:marBottom w:val="150"/>
                                          <w:divBdr>
                                            <w:top w:val="none" w:sz="0" w:space="0" w:color="auto"/>
                                            <w:left w:val="none" w:sz="0" w:space="0" w:color="auto"/>
                                            <w:bottom w:val="none" w:sz="0" w:space="0" w:color="auto"/>
                                            <w:right w:val="none" w:sz="0" w:space="0" w:color="auto"/>
                                          </w:divBdr>
                                          <w:divsChild>
                                            <w:div w:id="1489711366">
                                              <w:marLeft w:val="0"/>
                                              <w:marRight w:val="0"/>
                                              <w:marTop w:val="0"/>
                                              <w:marBottom w:val="0"/>
                                              <w:divBdr>
                                                <w:top w:val="single" w:sz="6" w:space="0" w:color="CDCDCD"/>
                                                <w:left w:val="single" w:sz="6" w:space="0" w:color="CDCDCD"/>
                                                <w:bottom w:val="single" w:sz="6" w:space="0" w:color="CDCDCD"/>
                                                <w:right w:val="single" w:sz="6" w:space="0" w:color="CDCDCD"/>
                                              </w:divBdr>
                                              <w:divsChild>
                                                <w:div w:id="1646009849">
                                                  <w:marLeft w:val="0"/>
                                                  <w:marRight w:val="0"/>
                                                  <w:marTop w:val="0"/>
                                                  <w:marBottom w:val="0"/>
                                                  <w:divBdr>
                                                    <w:top w:val="none" w:sz="0" w:space="0" w:color="auto"/>
                                                    <w:left w:val="none" w:sz="0" w:space="0" w:color="auto"/>
                                                    <w:bottom w:val="none" w:sz="0" w:space="0" w:color="auto"/>
                                                    <w:right w:val="none" w:sz="0" w:space="0" w:color="auto"/>
                                                  </w:divBdr>
                                                  <w:divsChild>
                                                    <w:div w:id="970596840">
                                                      <w:marLeft w:val="0"/>
                                                      <w:marRight w:val="0"/>
                                                      <w:marTop w:val="0"/>
                                                      <w:marBottom w:val="0"/>
                                                      <w:divBdr>
                                                        <w:top w:val="none" w:sz="0" w:space="0" w:color="auto"/>
                                                        <w:left w:val="none" w:sz="0" w:space="0" w:color="auto"/>
                                                        <w:bottom w:val="none" w:sz="0" w:space="0" w:color="auto"/>
                                                        <w:right w:val="none" w:sz="0" w:space="0" w:color="auto"/>
                                                      </w:divBdr>
                                                      <w:divsChild>
                                                        <w:div w:id="136386476">
                                                          <w:marLeft w:val="0"/>
                                                          <w:marRight w:val="0"/>
                                                          <w:marTop w:val="0"/>
                                                          <w:marBottom w:val="0"/>
                                                          <w:divBdr>
                                                            <w:top w:val="none" w:sz="0" w:space="0" w:color="auto"/>
                                                            <w:left w:val="none" w:sz="0" w:space="0" w:color="auto"/>
                                                            <w:bottom w:val="none" w:sz="0" w:space="0" w:color="auto"/>
                                                            <w:right w:val="none" w:sz="0" w:space="0" w:color="auto"/>
                                                          </w:divBdr>
                                                        </w:div>
                                                        <w:div w:id="872577457">
                                                          <w:marLeft w:val="0"/>
                                                          <w:marRight w:val="0"/>
                                                          <w:marTop w:val="0"/>
                                                          <w:marBottom w:val="0"/>
                                                          <w:divBdr>
                                                            <w:top w:val="none" w:sz="0" w:space="0" w:color="auto"/>
                                                            <w:left w:val="none" w:sz="0" w:space="0" w:color="auto"/>
                                                            <w:bottom w:val="none" w:sz="0" w:space="0" w:color="auto"/>
                                                            <w:right w:val="none" w:sz="0" w:space="0" w:color="auto"/>
                                                          </w:divBdr>
                                                        </w:div>
                                                        <w:div w:id="12015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11707">
                                                  <w:marLeft w:val="0"/>
                                                  <w:marRight w:val="0"/>
                                                  <w:marTop w:val="0"/>
                                                  <w:marBottom w:val="0"/>
                                                  <w:divBdr>
                                                    <w:top w:val="none" w:sz="0" w:space="0" w:color="auto"/>
                                                    <w:left w:val="none" w:sz="0" w:space="0" w:color="auto"/>
                                                    <w:bottom w:val="none" w:sz="0" w:space="0" w:color="auto"/>
                                                    <w:right w:val="none" w:sz="0" w:space="0" w:color="auto"/>
                                                  </w:divBdr>
                                                  <w:divsChild>
                                                    <w:div w:id="8749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570033">
                                  <w:marLeft w:val="0"/>
                                  <w:marRight w:val="0"/>
                                  <w:marTop w:val="0"/>
                                  <w:marBottom w:val="0"/>
                                  <w:divBdr>
                                    <w:top w:val="none" w:sz="0" w:space="0" w:color="auto"/>
                                    <w:left w:val="none" w:sz="0" w:space="0" w:color="auto"/>
                                    <w:bottom w:val="none" w:sz="0" w:space="0" w:color="auto"/>
                                    <w:right w:val="none" w:sz="0" w:space="0" w:color="auto"/>
                                  </w:divBdr>
                                  <w:divsChild>
                                    <w:div w:id="795566223">
                                      <w:marLeft w:val="0"/>
                                      <w:marRight w:val="0"/>
                                      <w:marTop w:val="0"/>
                                      <w:marBottom w:val="0"/>
                                      <w:divBdr>
                                        <w:top w:val="none" w:sz="0" w:space="0" w:color="auto"/>
                                        <w:left w:val="none" w:sz="0" w:space="0" w:color="auto"/>
                                        <w:bottom w:val="none" w:sz="0" w:space="0" w:color="auto"/>
                                        <w:right w:val="none" w:sz="0" w:space="0" w:color="auto"/>
                                      </w:divBdr>
                                    </w:div>
                                    <w:div w:id="1845168871">
                                      <w:marLeft w:val="0"/>
                                      <w:marRight w:val="0"/>
                                      <w:marTop w:val="0"/>
                                      <w:marBottom w:val="0"/>
                                      <w:divBdr>
                                        <w:top w:val="none" w:sz="0" w:space="0" w:color="auto"/>
                                        <w:left w:val="none" w:sz="0" w:space="0" w:color="auto"/>
                                        <w:bottom w:val="none" w:sz="0" w:space="0" w:color="auto"/>
                                        <w:right w:val="none" w:sz="0" w:space="0" w:color="auto"/>
                                      </w:divBdr>
                                      <w:divsChild>
                                        <w:div w:id="104035409">
                                          <w:marLeft w:val="0"/>
                                          <w:marRight w:val="0"/>
                                          <w:marTop w:val="0"/>
                                          <w:marBottom w:val="0"/>
                                          <w:divBdr>
                                            <w:top w:val="none" w:sz="0" w:space="0" w:color="auto"/>
                                            <w:left w:val="none" w:sz="0" w:space="0" w:color="auto"/>
                                            <w:bottom w:val="none" w:sz="0" w:space="0" w:color="auto"/>
                                            <w:right w:val="none" w:sz="0" w:space="0" w:color="auto"/>
                                          </w:divBdr>
                                          <w:divsChild>
                                            <w:div w:id="100879205">
                                              <w:marLeft w:val="0"/>
                                              <w:marRight w:val="0"/>
                                              <w:marTop w:val="0"/>
                                              <w:marBottom w:val="0"/>
                                              <w:divBdr>
                                                <w:top w:val="single" w:sz="6" w:space="0" w:color="CDCDCD"/>
                                                <w:left w:val="single" w:sz="6" w:space="0" w:color="CDCDCD"/>
                                                <w:bottom w:val="single" w:sz="6" w:space="0" w:color="CDCDCD"/>
                                                <w:right w:val="single" w:sz="6" w:space="0" w:color="CDCDCD"/>
                                              </w:divBdr>
                                              <w:divsChild>
                                                <w:div w:id="665862572">
                                                  <w:marLeft w:val="0"/>
                                                  <w:marRight w:val="0"/>
                                                  <w:marTop w:val="0"/>
                                                  <w:marBottom w:val="0"/>
                                                  <w:divBdr>
                                                    <w:top w:val="none" w:sz="0" w:space="0" w:color="auto"/>
                                                    <w:left w:val="none" w:sz="0" w:space="0" w:color="auto"/>
                                                    <w:bottom w:val="none" w:sz="0" w:space="0" w:color="auto"/>
                                                    <w:right w:val="none" w:sz="0" w:space="0" w:color="auto"/>
                                                  </w:divBdr>
                                                  <w:divsChild>
                                                    <w:div w:id="175959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829066">
                                  <w:marLeft w:val="0"/>
                                  <w:marRight w:val="0"/>
                                  <w:marTop w:val="0"/>
                                  <w:marBottom w:val="0"/>
                                  <w:divBdr>
                                    <w:top w:val="none" w:sz="0" w:space="0" w:color="auto"/>
                                    <w:left w:val="none" w:sz="0" w:space="0" w:color="auto"/>
                                    <w:bottom w:val="none" w:sz="0" w:space="0" w:color="auto"/>
                                    <w:right w:val="none" w:sz="0" w:space="0" w:color="auto"/>
                                  </w:divBdr>
                                  <w:divsChild>
                                    <w:div w:id="368646221">
                                      <w:marLeft w:val="0"/>
                                      <w:marRight w:val="0"/>
                                      <w:marTop w:val="0"/>
                                      <w:marBottom w:val="0"/>
                                      <w:divBdr>
                                        <w:top w:val="none" w:sz="0" w:space="0" w:color="auto"/>
                                        <w:left w:val="none" w:sz="0" w:space="0" w:color="auto"/>
                                        <w:bottom w:val="none" w:sz="0" w:space="0" w:color="auto"/>
                                        <w:right w:val="none" w:sz="0" w:space="0" w:color="auto"/>
                                      </w:divBdr>
                                    </w:div>
                                    <w:div w:id="702559561">
                                      <w:marLeft w:val="0"/>
                                      <w:marRight w:val="0"/>
                                      <w:marTop w:val="0"/>
                                      <w:marBottom w:val="0"/>
                                      <w:divBdr>
                                        <w:top w:val="none" w:sz="0" w:space="0" w:color="auto"/>
                                        <w:left w:val="none" w:sz="0" w:space="0" w:color="auto"/>
                                        <w:bottom w:val="none" w:sz="0" w:space="0" w:color="auto"/>
                                        <w:right w:val="none" w:sz="0" w:space="0" w:color="auto"/>
                                      </w:divBdr>
                                      <w:divsChild>
                                        <w:div w:id="954480114">
                                          <w:marLeft w:val="0"/>
                                          <w:marRight w:val="0"/>
                                          <w:marTop w:val="0"/>
                                          <w:marBottom w:val="0"/>
                                          <w:divBdr>
                                            <w:top w:val="none" w:sz="0" w:space="0" w:color="auto"/>
                                            <w:left w:val="none" w:sz="0" w:space="0" w:color="auto"/>
                                            <w:bottom w:val="none" w:sz="0" w:space="0" w:color="auto"/>
                                            <w:right w:val="none" w:sz="0" w:space="0" w:color="auto"/>
                                          </w:divBdr>
                                          <w:divsChild>
                                            <w:div w:id="1956330715">
                                              <w:marLeft w:val="0"/>
                                              <w:marRight w:val="0"/>
                                              <w:marTop w:val="0"/>
                                              <w:marBottom w:val="0"/>
                                              <w:divBdr>
                                                <w:top w:val="single" w:sz="6" w:space="0" w:color="CDCDCD"/>
                                                <w:left w:val="single" w:sz="6" w:space="0" w:color="CDCDCD"/>
                                                <w:bottom w:val="single" w:sz="6" w:space="0" w:color="CDCDCD"/>
                                                <w:right w:val="single" w:sz="6" w:space="0" w:color="CDCDCD"/>
                                              </w:divBdr>
                                              <w:divsChild>
                                                <w:div w:id="1745835744">
                                                  <w:marLeft w:val="0"/>
                                                  <w:marRight w:val="0"/>
                                                  <w:marTop w:val="0"/>
                                                  <w:marBottom w:val="0"/>
                                                  <w:divBdr>
                                                    <w:top w:val="none" w:sz="0" w:space="0" w:color="auto"/>
                                                    <w:left w:val="none" w:sz="0" w:space="0" w:color="auto"/>
                                                    <w:bottom w:val="none" w:sz="0" w:space="0" w:color="auto"/>
                                                    <w:right w:val="none" w:sz="0" w:space="0" w:color="auto"/>
                                                  </w:divBdr>
                                                  <w:divsChild>
                                                    <w:div w:id="15116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96755">
                                  <w:marLeft w:val="0"/>
                                  <w:marRight w:val="0"/>
                                  <w:marTop w:val="0"/>
                                  <w:marBottom w:val="0"/>
                                  <w:divBdr>
                                    <w:top w:val="none" w:sz="0" w:space="0" w:color="auto"/>
                                    <w:left w:val="none" w:sz="0" w:space="0" w:color="auto"/>
                                    <w:bottom w:val="none" w:sz="0" w:space="0" w:color="auto"/>
                                    <w:right w:val="none" w:sz="0" w:space="0" w:color="auto"/>
                                  </w:divBdr>
                                  <w:divsChild>
                                    <w:div w:id="655770366">
                                      <w:marLeft w:val="0"/>
                                      <w:marRight w:val="0"/>
                                      <w:marTop w:val="0"/>
                                      <w:marBottom w:val="0"/>
                                      <w:divBdr>
                                        <w:top w:val="none" w:sz="0" w:space="0" w:color="auto"/>
                                        <w:left w:val="none" w:sz="0" w:space="0" w:color="auto"/>
                                        <w:bottom w:val="none" w:sz="0" w:space="0" w:color="auto"/>
                                        <w:right w:val="none" w:sz="0" w:space="0" w:color="auto"/>
                                      </w:divBdr>
                                    </w:div>
                                    <w:div w:id="1014459111">
                                      <w:marLeft w:val="0"/>
                                      <w:marRight w:val="0"/>
                                      <w:marTop w:val="0"/>
                                      <w:marBottom w:val="0"/>
                                      <w:divBdr>
                                        <w:top w:val="none" w:sz="0" w:space="0" w:color="auto"/>
                                        <w:left w:val="none" w:sz="0" w:space="0" w:color="auto"/>
                                        <w:bottom w:val="none" w:sz="0" w:space="0" w:color="auto"/>
                                        <w:right w:val="none" w:sz="0" w:space="0" w:color="auto"/>
                                      </w:divBdr>
                                      <w:divsChild>
                                        <w:div w:id="736904028">
                                          <w:marLeft w:val="0"/>
                                          <w:marRight w:val="0"/>
                                          <w:marTop w:val="0"/>
                                          <w:marBottom w:val="0"/>
                                          <w:divBdr>
                                            <w:top w:val="none" w:sz="0" w:space="0" w:color="auto"/>
                                            <w:left w:val="none" w:sz="0" w:space="0" w:color="auto"/>
                                            <w:bottom w:val="none" w:sz="0" w:space="0" w:color="auto"/>
                                            <w:right w:val="none" w:sz="0" w:space="0" w:color="auto"/>
                                          </w:divBdr>
                                          <w:divsChild>
                                            <w:div w:id="356851598">
                                              <w:marLeft w:val="0"/>
                                              <w:marRight w:val="0"/>
                                              <w:marTop w:val="0"/>
                                              <w:marBottom w:val="0"/>
                                              <w:divBdr>
                                                <w:top w:val="single" w:sz="6" w:space="0" w:color="CDCDCD"/>
                                                <w:left w:val="single" w:sz="6" w:space="0" w:color="CDCDCD"/>
                                                <w:bottom w:val="single" w:sz="6" w:space="0" w:color="CDCDCD"/>
                                                <w:right w:val="single" w:sz="6" w:space="0" w:color="CDCDCD"/>
                                              </w:divBdr>
                                              <w:divsChild>
                                                <w:div w:id="66609786">
                                                  <w:marLeft w:val="0"/>
                                                  <w:marRight w:val="0"/>
                                                  <w:marTop w:val="0"/>
                                                  <w:marBottom w:val="0"/>
                                                  <w:divBdr>
                                                    <w:top w:val="none" w:sz="0" w:space="0" w:color="auto"/>
                                                    <w:left w:val="none" w:sz="0" w:space="0" w:color="auto"/>
                                                    <w:bottom w:val="none" w:sz="0" w:space="0" w:color="auto"/>
                                                    <w:right w:val="none" w:sz="0" w:space="0" w:color="auto"/>
                                                  </w:divBdr>
                                                  <w:divsChild>
                                                    <w:div w:id="3832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8038">
                                  <w:marLeft w:val="0"/>
                                  <w:marRight w:val="0"/>
                                  <w:marTop w:val="0"/>
                                  <w:marBottom w:val="0"/>
                                  <w:divBdr>
                                    <w:top w:val="none" w:sz="0" w:space="0" w:color="auto"/>
                                    <w:left w:val="none" w:sz="0" w:space="0" w:color="auto"/>
                                    <w:bottom w:val="none" w:sz="0" w:space="0" w:color="auto"/>
                                    <w:right w:val="none" w:sz="0" w:space="0" w:color="auto"/>
                                  </w:divBdr>
                                  <w:divsChild>
                                    <w:div w:id="706101154">
                                      <w:marLeft w:val="0"/>
                                      <w:marRight w:val="0"/>
                                      <w:marTop w:val="0"/>
                                      <w:marBottom w:val="0"/>
                                      <w:divBdr>
                                        <w:top w:val="none" w:sz="0" w:space="0" w:color="auto"/>
                                        <w:left w:val="none" w:sz="0" w:space="0" w:color="auto"/>
                                        <w:bottom w:val="none" w:sz="0" w:space="0" w:color="auto"/>
                                        <w:right w:val="none" w:sz="0" w:space="0" w:color="auto"/>
                                      </w:divBdr>
                                      <w:divsChild>
                                        <w:div w:id="1661037019">
                                          <w:marLeft w:val="0"/>
                                          <w:marRight w:val="0"/>
                                          <w:marTop w:val="0"/>
                                          <w:marBottom w:val="0"/>
                                          <w:divBdr>
                                            <w:top w:val="none" w:sz="0" w:space="0" w:color="auto"/>
                                            <w:left w:val="none" w:sz="0" w:space="0" w:color="auto"/>
                                            <w:bottom w:val="none" w:sz="0" w:space="0" w:color="auto"/>
                                            <w:right w:val="none" w:sz="0" w:space="0" w:color="auto"/>
                                          </w:divBdr>
                                          <w:divsChild>
                                            <w:div w:id="96368487">
                                              <w:marLeft w:val="0"/>
                                              <w:marRight w:val="0"/>
                                              <w:marTop w:val="0"/>
                                              <w:marBottom w:val="0"/>
                                              <w:divBdr>
                                                <w:top w:val="single" w:sz="6" w:space="0" w:color="CDCDCD"/>
                                                <w:left w:val="single" w:sz="6" w:space="0" w:color="CDCDCD"/>
                                                <w:bottom w:val="single" w:sz="6" w:space="0" w:color="CDCDCD"/>
                                                <w:right w:val="single" w:sz="6" w:space="0" w:color="CDCDCD"/>
                                              </w:divBdr>
                                              <w:divsChild>
                                                <w:div w:id="1625888339">
                                                  <w:marLeft w:val="0"/>
                                                  <w:marRight w:val="0"/>
                                                  <w:marTop w:val="0"/>
                                                  <w:marBottom w:val="0"/>
                                                  <w:divBdr>
                                                    <w:top w:val="none" w:sz="0" w:space="0" w:color="auto"/>
                                                    <w:left w:val="none" w:sz="0" w:space="0" w:color="auto"/>
                                                    <w:bottom w:val="none" w:sz="0" w:space="0" w:color="auto"/>
                                                    <w:right w:val="none" w:sz="0" w:space="0" w:color="auto"/>
                                                  </w:divBdr>
                                                  <w:divsChild>
                                                    <w:div w:id="1981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056742">
                                      <w:marLeft w:val="0"/>
                                      <w:marRight w:val="0"/>
                                      <w:marTop w:val="0"/>
                                      <w:marBottom w:val="0"/>
                                      <w:divBdr>
                                        <w:top w:val="none" w:sz="0" w:space="0" w:color="auto"/>
                                        <w:left w:val="none" w:sz="0" w:space="0" w:color="auto"/>
                                        <w:bottom w:val="none" w:sz="0" w:space="0" w:color="auto"/>
                                        <w:right w:val="none" w:sz="0" w:space="0" w:color="auto"/>
                                      </w:divBdr>
                                    </w:div>
                                  </w:divsChild>
                                </w:div>
                                <w:div w:id="1396317810">
                                  <w:marLeft w:val="0"/>
                                  <w:marRight w:val="0"/>
                                  <w:marTop w:val="0"/>
                                  <w:marBottom w:val="0"/>
                                  <w:divBdr>
                                    <w:top w:val="none" w:sz="0" w:space="0" w:color="auto"/>
                                    <w:left w:val="none" w:sz="0" w:space="0" w:color="auto"/>
                                    <w:bottom w:val="none" w:sz="0" w:space="0" w:color="auto"/>
                                    <w:right w:val="none" w:sz="0" w:space="0" w:color="auto"/>
                                  </w:divBdr>
                                  <w:divsChild>
                                    <w:div w:id="2050109635">
                                      <w:marLeft w:val="0"/>
                                      <w:marRight w:val="0"/>
                                      <w:marTop w:val="0"/>
                                      <w:marBottom w:val="0"/>
                                      <w:divBdr>
                                        <w:top w:val="none" w:sz="0" w:space="0" w:color="auto"/>
                                        <w:left w:val="none" w:sz="0" w:space="0" w:color="auto"/>
                                        <w:bottom w:val="none" w:sz="0" w:space="0" w:color="auto"/>
                                        <w:right w:val="none" w:sz="0" w:space="0" w:color="auto"/>
                                      </w:divBdr>
                                    </w:div>
                                    <w:div w:id="2067753617">
                                      <w:marLeft w:val="0"/>
                                      <w:marRight w:val="0"/>
                                      <w:marTop w:val="0"/>
                                      <w:marBottom w:val="0"/>
                                      <w:divBdr>
                                        <w:top w:val="none" w:sz="0" w:space="0" w:color="auto"/>
                                        <w:left w:val="none" w:sz="0" w:space="0" w:color="auto"/>
                                        <w:bottom w:val="none" w:sz="0" w:space="0" w:color="auto"/>
                                        <w:right w:val="none" w:sz="0" w:space="0" w:color="auto"/>
                                      </w:divBdr>
                                      <w:divsChild>
                                        <w:div w:id="533544934">
                                          <w:marLeft w:val="0"/>
                                          <w:marRight w:val="0"/>
                                          <w:marTop w:val="0"/>
                                          <w:marBottom w:val="0"/>
                                          <w:divBdr>
                                            <w:top w:val="none" w:sz="0" w:space="0" w:color="auto"/>
                                            <w:left w:val="none" w:sz="0" w:space="0" w:color="auto"/>
                                            <w:bottom w:val="none" w:sz="0" w:space="0" w:color="auto"/>
                                            <w:right w:val="none" w:sz="0" w:space="0" w:color="auto"/>
                                          </w:divBdr>
                                          <w:divsChild>
                                            <w:div w:id="1346588458">
                                              <w:marLeft w:val="0"/>
                                              <w:marRight w:val="0"/>
                                              <w:marTop w:val="0"/>
                                              <w:marBottom w:val="0"/>
                                              <w:divBdr>
                                                <w:top w:val="single" w:sz="6" w:space="0" w:color="CDCDCD"/>
                                                <w:left w:val="single" w:sz="6" w:space="0" w:color="CDCDCD"/>
                                                <w:bottom w:val="single" w:sz="6" w:space="0" w:color="CDCDCD"/>
                                                <w:right w:val="single" w:sz="6" w:space="0" w:color="CDCDCD"/>
                                              </w:divBdr>
                                              <w:divsChild>
                                                <w:div w:id="1964267748">
                                                  <w:marLeft w:val="0"/>
                                                  <w:marRight w:val="0"/>
                                                  <w:marTop w:val="0"/>
                                                  <w:marBottom w:val="0"/>
                                                  <w:divBdr>
                                                    <w:top w:val="none" w:sz="0" w:space="0" w:color="auto"/>
                                                    <w:left w:val="none" w:sz="0" w:space="0" w:color="auto"/>
                                                    <w:bottom w:val="none" w:sz="0" w:space="0" w:color="auto"/>
                                                    <w:right w:val="none" w:sz="0" w:space="0" w:color="auto"/>
                                                  </w:divBdr>
                                                  <w:divsChild>
                                                    <w:div w:id="134489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412601">
                                  <w:marLeft w:val="0"/>
                                  <w:marRight w:val="0"/>
                                  <w:marTop w:val="0"/>
                                  <w:marBottom w:val="0"/>
                                  <w:divBdr>
                                    <w:top w:val="none" w:sz="0" w:space="0" w:color="auto"/>
                                    <w:left w:val="none" w:sz="0" w:space="0" w:color="auto"/>
                                    <w:bottom w:val="none" w:sz="0" w:space="0" w:color="auto"/>
                                    <w:right w:val="none" w:sz="0" w:space="0" w:color="auto"/>
                                  </w:divBdr>
                                  <w:divsChild>
                                    <w:div w:id="305667694">
                                      <w:marLeft w:val="0"/>
                                      <w:marRight w:val="0"/>
                                      <w:marTop w:val="0"/>
                                      <w:marBottom w:val="0"/>
                                      <w:divBdr>
                                        <w:top w:val="none" w:sz="0" w:space="0" w:color="auto"/>
                                        <w:left w:val="none" w:sz="0" w:space="0" w:color="auto"/>
                                        <w:bottom w:val="none" w:sz="0" w:space="0" w:color="auto"/>
                                        <w:right w:val="none" w:sz="0" w:space="0" w:color="auto"/>
                                      </w:divBdr>
                                    </w:div>
                                    <w:div w:id="502163556">
                                      <w:marLeft w:val="0"/>
                                      <w:marRight w:val="0"/>
                                      <w:marTop w:val="0"/>
                                      <w:marBottom w:val="0"/>
                                      <w:divBdr>
                                        <w:top w:val="none" w:sz="0" w:space="0" w:color="auto"/>
                                        <w:left w:val="none" w:sz="0" w:space="0" w:color="auto"/>
                                        <w:bottom w:val="none" w:sz="0" w:space="0" w:color="auto"/>
                                        <w:right w:val="none" w:sz="0" w:space="0" w:color="auto"/>
                                      </w:divBdr>
                                      <w:divsChild>
                                        <w:div w:id="1754012848">
                                          <w:marLeft w:val="0"/>
                                          <w:marRight w:val="0"/>
                                          <w:marTop w:val="0"/>
                                          <w:marBottom w:val="0"/>
                                          <w:divBdr>
                                            <w:top w:val="none" w:sz="0" w:space="0" w:color="auto"/>
                                            <w:left w:val="none" w:sz="0" w:space="0" w:color="auto"/>
                                            <w:bottom w:val="none" w:sz="0" w:space="0" w:color="auto"/>
                                            <w:right w:val="none" w:sz="0" w:space="0" w:color="auto"/>
                                          </w:divBdr>
                                          <w:divsChild>
                                            <w:div w:id="578445211">
                                              <w:marLeft w:val="0"/>
                                              <w:marRight w:val="0"/>
                                              <w:marTop w:val="0"/>
                                              <w:marBottom w:val="0"/>
                                              <w:divBdr>
                                                <w:top w:val="single" w:sz="6" w:space="0" w:color="CDCDCD"/>
                                                <w:left w:val="single" w:sz="6" w:space="0" w:color="CDCDCD"/>
                                                <w:bottom w:val="single" w:sz="6" w:space="0" w:color="CDCDCD"/>
                                                <w:right w:val="single" w:sz="6" w:space="0" w:color="CDCDCD"/>
                                              </w:divBdr>
                                              <w:divsChild>
                                                <w:div w:id="1586962348">
                                                  <w:marLeft w:val="0"/>
                                                  <w:marRight w:val="0"/>
                                                  <w:marTop w:val="0"/>
                                                  <w:marBottom w:val="0"/>
                                                  <w:divBdr>
                                                    <w:top w:val="none" w:sz="0" w:space="0" w:color="auto"/>
                                                    <w:left w:val="none" w:sz="0" w:space="0" w:color="auto"/>
                                                    <w:bottom w:val="none" w:sz="0" w:space="0" w:color="auto"/>
                                                    <w:right w:val="none" w:sz="0" w:space="0" w:color="auto"/>
                                                  </w:divBdr>
                                                  <w:divsChild>
                                                    <w:div w:id="18593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100629">
                                  <w:marLeft w:val="0"/>
                                  <w:marRight w:val="0"/>
                                  <w:marTop w:val="0"/>
                                  <w:marBottom w:val="0"/>
                                  <w:divBdr>
                                    <w:top w:val="none" w:sz="0" w:space="0" w:color="auto"/>
                                    <w:left w:val="none" w:sz="0" w:space="0" w:color="auto"/>
                                    <w:bottom w:val="none" w:sz="0" w:space="0" w:color="auto"/>
                                    <w:right w:val="none" w:sz="0" w:space="0" w:color="auto"/>
                                  </w:divBdr>
                                  <w:divsChild>
                                    <w:div w:id="874654165">
                                      <w:marLeft w:val="0"/>
                                      <w:marRight w:val="0"/>
                                      <w:marTop w:val="0"/>
                                      <w:marBottom w:val="0"/>
                                      <w:divBdr>
                                        <w:top w:val="none" w:sz="0" w:space="0" w:color="auto"/>
                                        <w:left w:val="none" w:sz="0" w:space="0" w:color="auto"/>
                                        <w:bottom w:val="none" w:sz="0" w:space="0" w:color="auto"/>
                                        <w:right w:val="none" w:sz="0" w:space="0" w:color="auto"/>
                                      </w:divBdr>
                                      <w:divsChild>
                                        <w:div w:id="1071006262">
                                          <w:marLeft w:val="0"/>
                                          <w:marRight w:val="0"/>
                                          <w:marTop w:val="0"/>
                                          <w:marBottom w:val="0"/>
                                          <w:divBdr>
                                            <w:top w:val="none" w:sz="0" w:space="0" w:color="auto"/>
                                            <w:left w:val="none" w:sz="0" w:space="0" w:color="auto"/>
                                            <w:bottom w:val="none" w:sz="0" w:space="0" w:color="auto"/>
                                            <w:right w:val="none" w:sz="0" w:space="0" w:color="auto"/>
                                          </w:divBdr>
                                          <w:divsChild>
                                            <w:div w:id="1913007572">
                                              <w:marLeft w:val="0"/>
                                              <w:marRight w:val="0"/>
                                              <w:marTop w:val="0"/>
                                              <w:marBottom w:val="0"/>
                                              <w:divBdr>
                                                <w:top w:val="single" w:sz="6" w:space="0" w:color="CDCDCD"/>
                                                <w:left w:val="single" w:sz="6" w:space="0" w:color="CDCDCD"/>
                                                <w:bottom w:val="single" w:sz="6" w:space="0" w:color="CDCDCD"/>
                                                <w:right w:val="single" w:sz="6" w:space="0" w:color="CDCDCD"/>
                                              </w:divBdr>
                                              <w:divsChild>
                                                <w:div w:id="1101147486">
                                                  <w:marLeft w:val="0"/>
                                                  <w:marRight w:val="0"/>
                                                  <w:marTop w:val="0"/>
                                                  <w:marBottom w:val="0"/>
                                                  <w:divBdr>
                                                    <w:top w:val="none" w:sz="0" w:space="0" w:color="auto"/>
                                                    <w:left w:val="none" w:sz="0" w:space="0" w:color="auto"/>
                                                    <w:bottom w:val="none" w:sz="0" w:space="0" w:color="auto"/>
                                                    <w:right w:val="none" w:sz="0" w:space="0" w:color="auto"/>
                                                  </w:divBdr>
                                                  <w:divsChild>
                                                    <w:div w:id="14938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485546">
                                      <w:marLeft w:val="0"/>
                                      <w:marRight w:val="0"/>
                                      <w:marTop w:val="0"/>
                                      <w:marBottom w:val="0"/>
                                      <w:divBdr>
                                        <w:top w:val="none" w:sz="0" w:space="0" w:color="auto"/>
                                        <w:left w:val="none" w:sz="0" w:space="0" w:color="auto"/>
                                        <w:bottom w:val="none" w:sz="0" w:space="0" w:color="auto"/>
                                        <w:right w:val="none" w:sz="0" w:space="0" w:color="auto"/>
                                      </w:divBdr>
                                    </w:div>
                                  </w:divsChild>
                                </w:div>
                                <w:div w:id="1915158778">
                                  <w:marLeft w:val="0"/>
                                  <w:marRight w:val="0"/>
                                  <w:marTop w:val="0"/>
                                  <w:marBottom w:val="0"/>
                                  <w:divBdr>
                                    <w:top w:val="none" w:sz="0" w:space="0" w:color="auto"/>
                                    <w:left w:val="none" w:sz="0" w:space="0" w:color="auto"/>
                                    <w:bottom w:val="none" w:sz="0" w:space="0" w:color="auto"/>
                                    <w:right w:val="none" w:sz="0" w:space="0" w:color="auto"/>
                                  </w:divBdr>
                                  <w:divsChild>
                                    <w:div w:id="1582790180">
                                      <w:marLeft w:val="0"/>
                                      <w:marRight w:val="0"/>
                                      <w:marTop w:val="0"/>
                                      <w:marBottom w:val="0"/>
                                      <w:divBdr>
                                        <w:top w:val="none" w:sz="0" w:space="0" w:color="auto"/>
                                        <w:left w:val="none" w:sz="0" w:space="0" w:color="auto"/>
                                        <w:bottom w:val="none" w:sz="0" w:space="0" w:color="auto"/>
                                        <w:right w:val="none" w:sz="0" w:space="0" w:color="auto"/>
                                      </w:divBdr>
                                      <w:divsChild>
                                        <w:div w:id="440149340">
                                          <w:marLeft w:val="0"/>
                                          <w:marRight w:val="0"/>
                                          <w:marTop w:val="0"/>
                                          <w:marBottom w:val="0"/>
                                          <w:divBdr>
                                            <w:top w:val="none" w:sz="0" w:space="0" w:color="auto"/>
                                            <w:left w:val="none" w:sz="0" w:space="0" w:color="auto"/>
                                            <w:bottom w:val="none" w:sz="0" w:space="0" w:color="auto"/>
                                            <w:right w:val="none" w:sz="0" w:space="0" w:color="auto"/>
                                          </w:divBdr>
                                          <w:divsChild>
                                            <w:div w:id="232084403">
                                              <w:marLeft w:val="0"/>
                                              <w:marRight w:val="0"/>
                                              <w:marTop w:val="0"/>
                                              <w:marBottom w:val="0"/>
                                              <w:divBdr>
                                                <w:top w:val="single" w:sz="6" w:space="0" w:color="CDCDCD"/>
                                                <w:left w:val="single" w:sz="6" w:space="0" w:color="CDCDCD"/>
                                                <w:bottom w:val="single" w:sz="6" w:space="0" w:color="CDCDCD"/>
                                                <w:right w:val="single" w:sz="6" w:space="0" w:color="CDCDCD"/>
                                              </w:divBdr>
                                              <w:divsChild>
                                                <w:div w:id="815494299">
                                                  <w:marLeft w:val="0"/>
                                                  <w:marRight w:val="0"/>
                                                  <w:marTop w:val="0"/>
                                                  <w:marBottom w:val="0"/>
                                                  <w:divBdr>
                                                    <w:top w:val="none" w:sz="0" w:space="0" w:color="auto"/>
                                                    <w:left w:val="none" w:sz="0" w:space="0" w:color="auto"/>
                                                    <w:bottom w:val="none" w:sz="0" w:space="0" w:color="auto"/>
                                                    <w:right w:val="none" w:sz="0" w:space="0" w:color="auto"/>
                                                  </w:divBdr>
                                                  <w:divsChild>
                                                    <w:div w:id="16531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03949">
                                      <w:marLeft w:val="0"/>
                                      <w:marRight w:val="0"/>
                                      <w:marTop w:val="0"/>
                                      <w:marBottom w:val="0"/>
                                      <w:divBdr>
                                        <w:top w:val="none" w:sz="0" w:space="0" w:color="auto"/>
                                        <w:left w:val="none" w:sz="0" w:space="0" w:color="auto"/>
                                        <w:bottom w:val="none" w:sz="0" w:space="0" w:color="auto"/>
                                        <w:right w:val="none" w:sz="0" w:space="0" w:color="auto"/>
                                      </w:divBdr>
                                    </w:div>
                                  </w:divsChild>
                                </w:div>
                                <w:div w:id="1957636605">
                                  <w:marLeft w:val="0"/>
                                  <w:marRight w:val="0"/>
                                  <w:marTop w:val="0"/>
                                  <w:marBottom w:val="0"/>
                                  <w:divBdr>
                                    <w:top w:val="none" w:sz="0" w:space="0" w:color="auto"/>
                                    <w:left w:val="none" w:sz="0" w:space="0" w:color="auto"/>
                                    <w:bottom w:val="none" w:sz="0" w:space="0" w:color="auto"/>
                                    <w:right w:val="none" w:sz="0" w:space="0" w:color="auto"/>
                                  </w:divBdr>
                                  <w:divsChild>
                                    <w:div w:id="211233134">
                                      <w:marLeft w:val="0"/>
                                      <w:marRight w:val="0"/>
                                      <w:marTop w:val="0"/>
                                      <w:marBottom w:val="0"/>
                                      <w:divBdr>
                                        <w:top w:val="none" w:sz="0" w:space="0" w:color="auto"/>
                                        <w:left w:val="none" w:sz="0" w:space="0" w:color="auto"/>
                                        <w:bottom w:val="none" w:sz="0" w:space="0" w:color="auto"/>
                                        <w:right w:val="none" w:sz="0" w:space="0" w:color="auto"/>
                                      </w:divBdr>
                                    </w:div>
                                    <w:div w:id="266499787">
                                      <w:marLeft w:val="0"/>
                                      <w:marRight w:val="0"/>
                                      <w:marTop w:val="0"/>
                                      <w:marBottom w:val="0"/>
                                      <w:divBdr>
                                        <w:top w:val="none" w:sz="0" w:space="0" w:color="auto"/>
                                        <w:left w:val="none" w:sz="0" w:space="0" w:color="auto"/>
                                        <w:bottom w:val="none" w:sz="0" w:space="0" w:color="auto"/>
                                        <w:right w:val="none" w:sz="0" w:space="0" w:color="auto"/>
                                      </w:divBdr>
                                      <w:divsChild>
                                        <w:div w:id="1662929815">
                                          <w:marLeft w:val="0"/>
                                          <w:marRight w:val="0"/>
                                          <w:marTop w:val="0"/>
                                          <w:marBottom w:val="0"/>
                                          <w:divBdr>
                                            <w:top w:val="none" w:sz="0" w:space="0" w:color="auto"/>
                                            <w:left w:val="none" w:sz="0" w:space="0" w:color="auto"/>
                                            <w:bottom w:val="none" w:sz="0" w:space="0" w:color="auto"/>
                                            <w:right w:val="none" w:sz="0" w:space="0" w:color="auto"/>
                                          </w:divBdr>
                                          <w:divsChild>
                                            <w:div w:id="1431465874">
                                              <w:marLeft w:val="0"/>
                                              <w:marRight w:val="0"/>
                                              <w:marTop w:val="0"/>
                                              <w:marBottom w:val="0"/>
                                              <w:divBdr>
                                                <w:top w:val="single" w:sz="6" w:space="0" w:color="CDCDCD"/>
                                                <w:left w:val="single" w:sz="6" w:space="0" w:color="CDCDCD"/>
                                                <w:bottom w:val="single" w:sz="6" w:space="0" w:color="CDCDCD"/>
                                                <w:right w:val="single" w:sz="6" w:space="0" w:color="CDCDCD"/>
                                              </w:divBdr>
                                              <w:divsChild>
                                                <w:div w:id="1954554798">
                                                  <w:marLeft w:val="0"/>
                                                  <w:marRight w:val="0"/>
                                                  <w:marTop w:val="0"/>
                                                  <w:marBottom w:val="0"/>
                                                  <w:divBdr>
                                                    <w:top w:val="none" w:sz="0" w:space="0" w:color="auto"/>
                                                    <w:left w:val="none" w:sz="0" w:space="0" w:color="auto"/>
                                                    <w:bottom w:val="none" w:sz="0" w:space="0" w:color="auto"/>
                                                    <w:right w:val="none" w:sz="0" w:space="0" w:color="auto"/>
                                                  </w:divBdr>
                                                  <w:divsChild>
                                                    <w:div w:id="191577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735605">
                                  <w:marLeft w:val="0"/>
                                  <w:marRight w:val="0"/>
                                  <w:marTop w:val="0"/>
                                  <w:marBottom w:val="0"/>
                                  <w:divBdr>
                                    <w:top w:val="none" w:sz="0" w:space="0" w:color="auto"/>
                                    <w:left w:val="none" w:sz="0" w:space="0" w:color="auto"/>
                                    <w:bottom w:val="none" w:sz="0" w:space="0" w:color="auto"/>
                                    <w:right w:val="none" w:sz="0" w:space="0" w:color="auto"/>
                                  </w:divBdr>
                                  <w:divsChild>
                                    <w:div w:id="279607164">
                                      <w:marLeft w:val="0"/>
                                      <w:marRight w:val="0"/>
                                      <w:marTop w:val="0"/>
                                      <w:marBottom w:val="0"/>
                                      <w:divBdr>
                                        <w:top w:val="none" w:sz="0" w:space="0" w:color="auto"/>
                                        <w:left w:val="none" w:sz="0" w:space="0" w:color="auto"/>
                                        <w:bottom w:val="none" w:sz="0" w:space="0" w:color="auto"/>
                                        <w:right w:val="none" w:sz="0" w:space="0" w:color="auto"/>
                                      </w:divBdr>
                                      <w:divsChild>
                                        <w:div w:id="1400051784">
                                          <w:marLeft w:val="0"/>
                                          <w:marRight w:val="0"/>
                                          <w:marTop w:val="0"/>
                                          <w:marBottom w:val="0"/>
                                          <w:divBdr>
                                            <w:top w:val="none" w:sz="0" w:space="0" w:color="auto"/>
                                            <w:left w:val="none" w:sz="0" w:space="0" w:color="auto"/>
                                            <w:bottom w:val="none" w:sz="0" w:space="0" w:color="auto"/>
                                            <w:right w:val="none" w:sz="0" w:space="0" w:color="auto"/>
                                          </w:divBdr>
                                          <w:divsChild>
                                            <w:div w:id="357006460">
                                              <w:marLeft w:val="0"/>
                                              <w:marRight w:val="0"/>
                                              <w:marTop w:val="0"/>
                                              <w:marBottom w:val="0"/>
                                              <w:divBdr>
                                                <w:top w:val="single" w:sz="6" w:space="0" w:color="CDCDCD"/>
                                                <w:left w:val="single" w:sz="6" w:space="0" w:color="CDCDCD"/>
                                                <w:bottom w:val="single" w:sz="6" w:space="0" w:color="CDCDCD"/>
                                                <w:right w:val="single" w:sz="6" w:space="0" w:color="CDCDCD"/>
                                              </w:divBdr>
                                              <w:divsChild>
                                                <w:div w:id="1831021204">
                                                  <w:marLeft w:val="0"/>
                                                  <w:marRight w:val="0"/>
                                                  <w:marTop w:val="0"/>
                                                  <w:marBottom w:val="0"/>
                                                  <w:divBdr>
                                                    <w:top w:val="none" w:sz="0" w:space="0" w:color="auto"/>
                                                    <w:left w:val="none" w:sz="0" w:space="0" w:color="auto"/>
                                                    <w:bottom w:val="none" w:sz="0" w:space="0" w:color="auto"/>
                                                    <w:right w:val="none" w:sz="0" w:space="0" w:color="auto"/>
                                                  </w:divBdr>
                                                  <w:divsChild>
                                                    <w:div w:id="21056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495312">
                                      <w:marLeft w:val="0"/>
                                      <w:marRight w:val="0"/>
                                      <w:marTop w:val="0"/>
                                      <w:marBottom w:val="0"/>
                                      <w:divBdr>
                                        <w:top w:val="none" w:sz="0" w:space="0" w:color="auto"/>
                                        <w:left w:val="none" w:sz="0" w:space="0" w:color="auto"/>
                                        <w:bottom w:val="none" w:sz="0" w:space="0" w:color="auto"/>
                                        <w:right w:val="none" w:sz="0" w:space="0" w:color="auto"/>
                                      </w:divBdr>
                                    </w:div>
                                  </w:divsChild>
                                </w:div>
                                <w:div w:id="2088261825">
                                  <w:marLeft w:val="0"/>
                                  <w:marRight w:val="0"/>
                                  <w:marTop w:val="0"/>
                                  <w:marBottom w:val="0"/>
                                  <w:divBdr>
                                    <w:top w:val="none" w:sz="0" w:space="0" w:color="auto"/>
                                    <w:left w:val="none" w:sz="0" w:space="0" w:color="auto"/>
                                    <w:bottom w:val="none" w:sz="0" w:space="0" w:color="auto"/>
                                    <w:right w:val="none" w:sz="0" w:space="0" w:color="auto"/>
                                  </w:divBdr>
                                  <w:divsChild>
                                    <w:div w:id="166600539">
                                      <w:marLeft w:val="0"/>
                                      <w:marRight w:val="0"/>
                                      <w:marTop w:val="0"/>
                                      <w:marBottom w:val="0"/>
                                      <w:divBdr>
                                        <w:top w:val="none" w:sz="0" w:space="0" w:color="auto"/>
                                        <w:left w:val="none" w:sz="0" w:space="0" w:color="auto"/>
                                        <w:bottom w:val="none" w:sz="0" w:space="0" w:color="auto"/>
                                        <w:right w:val="none" w:sz="0" w:space="0" w:color="auto"/>
                                      </w:divBdr>
                                      <w:divsChild>
                                        <w:div w:id="1057821174">
                                          <w:marLeft w:val="0"/>
                                          <w:marRight w:val="0"/>
                                          <w:marTop w:val="0"/>
                                          <w:marBottom w:val="0"/>
                                          <w:divBdr>
                                            <w:top w:val="none" w:sz="0" w:space="0" w:color="auto"/>
                                            <w:left w:val="none" w:sz="0" w:space="0" w:color="auto"/>
                                            <w:bottom w:val="none" w:sz="0" w:space="0" w:color="auto"/>
                                            <w:right w:val="none" w:sz="0" w:space="0" w:color="auto"/>
                                          </w:divBdr>
                                          <w:divsChild>
                                            <w:div w:id="1212034019">
                                              <w:marLeft w:val="0"/>
                                              <w:marRight w:val="0"/>
                                              <w:marTop w:val="0"/>
                                              <w:marBottom w:val="0"/>
                                              <w:divBdr>
                                                <w:top w:val="single" w:sz="6" w:space="0" w:color="CDCDCD"/>
                                                <w:left w:val="single" w:sz="6" w:space="0" w:color="CDCDCD"/>
                                                <w:bottom w:val="single" w:sz="6" w:space="0" w:color="CDCDCD"/>
                                                <w:right w:val="single" w:sz="6" w:space="0" w:color="CDCDCD"/>
                                              </w:divBdr>
                                              <w:divsChild>
                                                <w:div w:id="1362585419">
                                                  <w:marLeft w:val="0"/>
                                                  <w:marRight w:val="0"/>
                                                  <w:marTop w:val="0"/>
                                                  <w:marBottom w:val="0"/>
                                                  <w:divBdr>
                                                    <w:top w:val="none" w:sz="0" w:space="0" w:color="auto"/>
                                                    <w:left w:val="none" w:sz="0" w:space="0" w:color="auto"/>
                                                    <w:bottom w:val="none" w:sz="0" w:space="0" w:color="auto"/>
                                                    <w:right w:val="none" w:sz="0" w:space="0" w:color="auto"/>
                                                  </w:divBdr>
                                                  <w:divsChild>
                                                    <w:div w:id="8980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8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131085">
      <w:bodyDiv w:val="1"/>
      <w:marLeft w:val="0"/>
      <w:marRight w:val="0"/>
      <w:marTop w:val="0"/>
      <w:marBottom w:val="0"/>
      <w:divBdr>
        <w:top w:val="none" w:sz="0" w:space="0" w:color="auto"/>
        <w:left w:val="none" w:sz="0" w:space="0" w:color="auto"/>
        <w:bottom w:val="none" w:sz="0" w:space="0" w:color="auto"/>
        <w:right w:val="none" w:sz="0" w:space="0" w:color="auto"/>
      </w:divBdr>
    </w:div>
    <w:div w:id="920679189">
      <w:bodyDiv w:val="1"/>
      <w:marLeft w:val="0"/>
      <w:marRight w:val="0"/>
      <w:marTop w:val="0"/>
      <w:marBottom w:val="0"/>
      <w:divBdr>
        <w:top w:val="none" w:sz="0" w:space="0" w:color="auto"/>
        <w:left w:val="none" w:sz="0" w:space="0" w:color="auto"/>
        <w:bottom w:val="none" w:sz="0" w:space="0" w:color="auto"/>
        <w:right w:val="none" w:sz="0" w:space="0" w:color="auto"/>
      </w:divBdr>
      <w:divsChild>
        <w:div w:id="333533680">
          <w:marLeft w:val="960"/>
          <w:marRight w:val="0"/>
          <w:marTop w:val="480"/>
          <w:marBottom w:val="240"/>
          <w:divBdr>
            <w:top w:val="none" w:sz="0" w:space="0" w:color="auto"/>
            <w:left w:val="none" w:sz="0" w:space="0" w:color="auto"/>
            <w:bottom w:val="none" w:sz="0" w:space="0" w:color="auto"/>
            <w:right w:val="none" w:sz="0" w:space="0" w:color="auto"/>
          </w:divBdr>
          <w:divsChild>
            <w:div w:id="1205019056">
              <w:marLeft w:val="240"/>
              <w:marRight w:val="240"/>
              <w:marTop w:val="0"/>
              <w:marBottom w:val="0"/>
              <w:divBdr>
                <w:top w:val="none" w:sz="0" w:space="0" w:color="auto"/>
                <w:left w:val="none" w:sz="0" w:space="0" w:color="auto"/>
                <w:bottom w:val="none" w:sz="0" w:space="0" w:color="auto"/>
                <w:right w:val="none" w:sz="0" w:space="0" w:color="auto"/>
              </w:divBdr>
            </w:div>
            <w:div w:id="1482623216">
              <w:marLeft w:val="240"/>
              <w:marRight w:val="240"/>
              <w:marTop w:val="0"/>
              <w:marBottom w:val="0"/>
              <w:divBdr>
                <w:top w:val="none" w:sz="0" w:space="0" w:color="auto"/>
                <w:left w:val="none" w:sz="0" w:space="0" w:color="auto"/>
                <w:bottom w:val="none" w:sz="0" w:space="0" w:color="auto"/>
                <w:right w:val="none" w:sz="0" w:space="0" w:color="auto"/>
              </w:divBdr>
            </w:div>
            <w:div w:id="1720857462">
              <w:marLeft w:val="240"/>
              <w:marRight w:val="240"/>
              <w:marTop w:val="0"/>
              <w:marBottom w:val="0"/>
              <w:divBdr>
                <w:top w:val="none" w:sz="0" w:space="0" w:color="auto"/>
                <w:left w:val="none" w:sz="0" w:space="0" w:color="auto"/>
                <w:bottom w:val="none" w:sz="0" w:space="0" w:color="auto"/>
                <w:right w:val="none" w:sz="0" w:space="0" w:color="auto"/>
              </w:divBdr>
            </w:div>
            <w:div w:id="18849048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33904797">
      <w:bodyDiv w:val="1"/>
      <w:marLeft w:val="0"/>
      <w:marRight w:val="0"/>
      <w:marTop w:val="0"/>
      <w:marBottom w:val="0"/>
      <w:divBdr>
        <w:top w:val="none" w:sz="0" w:space="0" w:color="auto"/>
        <w:left w:val="none" w:sz="0" w:space="0" w:color="auto"/>
        <w:bottom w:val="none" w:sz="0" w:space="0" w:color="auto"/>
        <w:right w:val="none" w:sz="0" w:space="0" w:color="auto"/>
      </w:divBdr>
      <w:divsChild>
        <w:div w:id="1822652189">
          <w:marLeft w:val="0"/>
          <w:marRight w:val="0"/>
          <w:marTop w:val="0"/>
          <w:marBottom w:val="0"/>
          <w:divBdr>
            <w:top w:val="none" w:sz="0" w:space="0" w:color="auto"/>
            <w:left w:val="none" w:sz="0" w:space="0" w:color="auto"/>
            <w:bottom w:val="none" w:sz="0" w:space="0" w:color="auto"/>
            <w:right w:val="none" w:sz="0" w:space="0" w:color="auto"/>
          </w:divBdr>
        </w:div>
      </w:divsChild>
    </w:div>
    <w:div w:id="994993558">
      <w:bodyDiv w:val="1"/>
      <w:marLeft w:val="0"/>
      <w:marRight w:val="0"/>
      <w:marTop w:val="0"/>
      <w:marBottom w:val="0"/>
      <w:divBdr>
        <w:top w:val="none" w:sz="0" w:space="0" w:color="auto"/>
        <w:left w:val="none" w:sz="0" w:space="0" w:color="auto"/>
        <w:bottom w:val="none" w:sz="0" w:space="0" w:color="auto"/>
        <w:right w:val="none" w:sz="0" w:space="0" w:color="auto"/>
      </w:divBdr>
    </w:div>
    <w:div w:id="997808087">
      <w:bodyDiv w:val="1"/>
      <w:marLeft w:val="0"/>
      <w:marRight w:val="0"/>
      <w:marTop w:val="0"/>
      <w:marBottom w:val="0"/>
      <w:divBdr>
        <w:top w:val="none" w:sz="0" w:space="0" w:color="auto"/>
        <w:left w:val="none" w:sz="0" w:space="0" w:color="auto"/>
        <w:bottom w:val="none" w:sz="0" w:space="0" w:color="auto"/>
        <w:right w:val="none" w:sz="0" w:space="0" w:color="auto"/>
      </w:divBdr>
    </w:div>
    <w:div w:id="1022783043">
      <w:bodyDiv w:val="1"/>
      <w:marLeft w:val="0"/>
      <w:marRight w:val="0"/>
      <w:marTop w:val="0"/>
      <w:marBottom w:val="0"/>
      <w:divBdr>
        <w:top w:val="none" w:sz="0" w:space="0" w:color="auto"/>
        <w:left w:val="none" w:sz="0" w:space="0" w:color="auto"/>
        <w:bottom w:val="none" w:sz="0" w:space="0" w:color="auto"/>
        <w:right w:val="none" w:sz="0" w:space="0" w:color="auto"/>
      </w:divBdr>
      <w:divsChild>
        <w:div w:id="666396694">
          <w:marLeft w:val="960"/>
          <w:marRight w:val="0"/>
          <w:marTop w:val="480"/>
          <w:marBottom w:val="240"/>
          <w:divBdr>
            <w:top w:val="none" w:sz="0" w:space="0" w:color="auto"/>
            <w:left w:val="none" w:sz="0" w:space="0" w:color="auto"/>
            <w:bottom w:val="none" w:sz="0" w:space="0" w:color="auto"/>
            <w:right w:val="none" w:sz="0" w:space="0" w:color="auto"/>
          </w:divBdr>
        </w:div>
        <w:div w:id="1295671375">
          <w:marLeft w:val="960"/>
          <w:marRight w:val="0"/>
          <w:marTop w:val="480"/>
          <w:marBottom w:val="240"/>
          <w:divBdr>
            <w:top w:val="none" w:sz="0" w:space="0" w:color="auto"/>
            <w:left w:val="none" w:sz="0" w:space="0" w:color="auto"/>
            <w:bottom w:val="none" w:sz="0" w:space="0" w:color="auto"/>
            <w:right w:val="none" w:sz="0" w:space="0" w:color="auto"/>
          </w:divBdr>
          <w:divsChild>
            <w:div w:id="14806112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46686726">
      <w:bodyDiv w:val="1"/>
      <w:marLeft w:val="0"/>
      <w:marRight w:val="0"/>
      <w:marTop w:val="0"/>
      <w:marBottom w:val="0"/>
      <w:divBdr>
        <w:top w:val="none" w:sz="0" w:space="0" w:color="auto"/>
        <w:left w:val="none" w:sz="0" w:space="0" w:color="auto"/>
        <w:bottom w:val="none" w:sz="0" w:space="0" w:color="auto"/>
        <w:right w:val="none" w:sz="0" w:space="0" w:color="auto"/>
      </w:divBdr>
    </w:div>
    <w:div w:id="1050611633">
      <w:bodyDiv w:val="1"/>
      <w:marLeft w:val="0"/>
      <w:marRight w:val="0"/>
      <w:marTop w:val="0"/>
      <w:marBottom w:val="0"/>
      <w:divBdr>
        <w:top w:val="none" w:sz="0" w:space="0" w:color="auto"/>
        <w:left w:val="none" w:sz="0" w:space="0" w:color="auto"/>
        <w:bottom w:val="none" w:sz="0" w:space="0" w:color="auto"/>
        <w:right w:val="none" w:sz="0" w:space="0" w:color="auto"/>
      </w:divBdr>
      <w:divsChild>
        <w:div w:id="2140417612">
          <w:marLeft w:val="960"/>
          <w:marRight w:val="0"/>
          <w:marTop w:val="480"/>
          <w:marBottom w:val="240"/>
          <w:divBdr>
            <w:top w:val="none" w:sz="0" w:space="0" w:color="auto"/>
            <w:left w:val="none" w:sz="0" w:space="0" w:color="auto"/>
            <w:bottom w:val="none" w:sz="0" w:space="0" w:color="auto"/>
            <w:right w:val="none" w:sz="0" w:space="0" w:color="auto"/>
          </w:divBdr>
          <w:divsChild>
            <w:div w:id="10242130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2358793">
      <w:bodyDiv w:val="1"/>
      <w:marLeft w:val="0"/>
      <w:marRight w:val="0"/>
      <w:marTop w:val="0"/>
      <w:marBottom w:val="0"/>
      <w:divBdr>
        <w:top w:val="none" w:sz="0" w:space="0" w:color="auto"/>
        <w:left w:val="none" w:sz="0" w:space="0" w:color="auto"/>
        <w:bottom w:val="none" w:sz="0" w:space="0" w:color="auto"/>
        <w:right w:val="none" w:sz="0" w:space="0" w:color="auto"/>
      </w:divBdr>
    </w:div>
    <w:div w:id="1134104693">
      <w:bodyDiv w:val="1"/>
      <w:marLeft w:val="0"/>
      <w:marRight w:val="0"/>
      <w:marTop w:val="0"/>
      <w:marBottom w:val="0"/>
      <w:divBdr>
        <w:top w:val="none" w:sz="0" w:space="0" w:color="auto"/>
        <w:left w:val="none" w:sz="0" w:space="0" w:color="auto"/>
        <w:bottom w:val="none" w:sz="0" w:space="0" w:color="auto"/>
        <w:right w:val="none" w:sz="0" w:space="0" w:color="auto"/>
      </w:divBdr>
      <w:divsChild>
        <w:div w:id="34656409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139612706">
      <w:bodyDiv w:val="1"/>
      <w:marLeft w:val="0"/>
      <w:marRight w:val="0"/>
      <w:marTop w:val="0"/>
      <w:marBottom w:val="0"/>
      <w:divBdr>
        <w:top w:val="none" w:sz="0" w:space="0" w:color="auto"/>
        <w:left w:val="none" w:sz="0" w:space="0" w:color="auto"/>
        <w:bottom w:val="none" w:sz="0" w:space="0" w:color="auto"/>
        <w:right w:val="none" w:sz="0" w:space="0" w:color="auto"/>
      </w:divBdr>
    </w:div>
    <w:div w:id="1218930612">
      <w:bodyDiv w:val="1"/>
      <w:marLeft w:val="0"/>
      <w:marRight w:val="0"/>
      <w:marTop w:val="0"/>
      <w:marBottom w:val="0"/>
      <w:divBdr>
        <w:top w:val="none" w:sz="0" w:space="0" w:color="auto"/>
        <w:left w:val="none" w:sz="0" w:space="0" w:color="auto"/>
        <w:bottom w:val="none" w:sz="0" w:space="0" w:color="auto"/>
        <w:right w:val="none" w:sz="0" w:space="0" w:color="auto"/>
      </w:divBdr>
      <w:divsChild>
        <w:div w:id="1532380984">
          <w:marLeft w:val="0"/>
          <w:marRight w:val="0"/>
          <w:marTop w:val="0"/>
          <w:marBottom w:val="0"/>
          <w:divBdr>
            <w:top w:val="none" w:sz="0" w:space="0" w:color="auto"/>
            <w:left w:val="none" w:sz="0" w:space="0" w:color="auto"/>
            <w:bottom w:val="none" w:sz="0" w:space="0" w:color="auto"/>
            <w:right w:val="none" w:sz="0" w:space="0" w:color="auto"/>
          </w:divBdr>
          <w:divsChild>
            <w:div w:id="1352610695">
              <w:marLeft w:val="0"/>
              <w:marRight w:val="0"/>
              <w:marTop w:val="0"/>
              <w:marBottom w:val="0"/>
              <w:divBdr>
                <w:top w:val="none" w:sz="0" w:space="0" w:color="auto"/>
                <w:left w:val="none" w:sz="0" w:space="0" w:color="auto"/>
                <w:bottom w:val="none" w:sz="0" w:space="0" w:color="auto"/>
                <w:right w:val="none" w:sz="0" w:space="0" w:color="auto"/>
              </w:divBdr>
              <w:divsChild>
                <w:div w:id="17486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69928">
      <w:bodyDiv w:val="1"/>
      <w:marLeft w:val="0"/>
      <w:marRight w:val="0"/>
      <w:marTop w:val="0"/>
      <w:marBottom w:val="0"/>
      <w:divBdr>
        <w:top w:val="none" w:sz="0" w:space="0" w:color="auto"/>
        <w:left w:val="none" w:sz="0" w:space="0" w:color="auto"/>
        <w:bottom w:val="none" w:sz="0" w:space="0" w:color="auto"/>
        <w:right w:val="none" w:sz="0" w:space="0" w:color="auto"/>
      </w:divBdr>
      <w:divsChild>
        <w:div w:id="512690108">
          <w:marLeft w:val="0"/>
          <w:marRight w:val="0"/>
          <w:marTop w:val="0"/>
          <w:marBottom w:val="90"/>
          <w:divBdr>
            <w:top w:val="none" w:sz="0" w:space="0" w:color="auto"/>
            <w:left w:val="none" w:sz="0" w:space="0" w:color="auto"/>
            <w:bottom w:val="none" w:sz="0" w:space="0" w:color="auto"/>
            <w:right w:val="none" w:sz="0" w:space="0" w:color="auto"/>
          </w:divBdr>
          <w:divsChild>
            <w:div w:id="1731271709">
              <w:marLeft w:val="0"/>
              <w:marRight w:val="0"/>
              <w:marTop w:val="0"/>
              <w:marBottom w:val="0"/>
              <w:divBdr>
                <w:top w:val="none" w:sz="0" w:space="0" w:color="auto"/>
                <w:left w:val="none" w:sz="0" w:space="0" w:color="auto"/>
                <w:bottom w:val="none" w:sz="0" w:space="0" w:color="auto"/>
                <w:right w:val="none" w:sz="0" w:space="0" w:color="auto"/>
              </w:divBdr>
              <w:divsChild>
                <w:div w:id="198018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06080">
          <w:marLeft w:val="0"/>
          <w:marRight w:val="0"/>
          <w:marTop w:val="0"/>
          <w:marBottom w:val="0"/>
          <w:divBdr>
            <w:top w:val="none" w:sz="0" w:space="0" w:color="auto"/>
            <w:left w:val="none" w:sz="0" w:space="0" w:color="auto"/>
            <w:bottom w:val="none" w:sz="0" w:space="0" w:color="auto"/>
            <w:right w:val="none" w:sz="0" w:space="0" w:color="auto"/>
          </w:divBdr>
        </w:div>
      </w:divsChild>
    </w:div>
    <w:div w:id="1250312468">
      <w:bodyDiv w:val="1"/>
      <w:marLeft w:val="0"/>
      <w:marRight w:val="0"/>
      <w:marTop w:val="0"/>
      <w:marBottom w:val="0"/>
      <w:divBdr>
        <w:top w:val="none" w:sz="0" w:space="0" w:color="auto"/>
        <w:left w:val="none" w:sz="0" w:space="0" w:color="auto"/>
        <w:bottom w:val="none" w:sz="0" w:space="0" w:color="auto"/>
        <w:right w:val="none" w:sz="0" w:space="0" w:color="auto"/>
      </w:divBdr>
    </w:div>
    <w:div w:id="1271939199">
      <w:bodyDiv w:val="1"/>
      <w:marLeft w:val="0"/>
      <w:marRight w:val="0"/>
      <w:marTop w:val="0"/>
      <w:marBottom w:val="0"/>
      <w:divBdr>
        <w:top w:val="none" w:sz="0" w:space="0" w:color="auto"/>
        <w:left w:val="none" w:sz="0" w:space="0" w:color="auto"/>
        <w:bottom w:val="none" w:sz="0" w:space="0" w:color="auto"/>
        <w:right w:val="none" w:sz="0" w:space="0" w:color="auto"/>
      </w:divBdr>
      <w:divsChild>
        <w:div w:id="1718315080">
          <w:marLeft w:val="0"/>
          <w:marRight w:val="0"/>
          <w:marTop w:val="0"/>
          <w:marBottom w:val="0"/>
          <w:divBdr>
            <w:top w:val="none" w:sz="0" w:space="0" w:color="auto"/>
            <w:left w:val="none" w:sz="0" w:space="0" w:color="auto"/>
            <w:bottom w:val="none" w:sz="0" w:space="0" w:color="auto"/>
            <w:right w:val="none" w:sz="0" w:space="0" w:color="auto"/>
          </w:divBdr>
        </w:div>
        <w:div w:id="1766151202">
          <w:marLeft w:val="0"/>
          <w:marRight w:val="0"/>
          <w:marTop w:val="0"/>
          <w:marBottom w:val="180"/>
          <w:divBdr>
            <w:top w:val="none" w:sz="0" w:space="0" w:color="auto"/>
            <w:left w:val="none" w:sz="0" w:space="0" w:color="auto"/>
            <w:bottom w:val="none" w:sz="0" w:space="0" w:color="auto"/>
            <w:right w:val="none" w:sz="0" w:space="0" w:color="auto"/>
          </w:divBdr>
        </w:div>
      </w:divsChild>
    </w:div>
    <w:div w:id="1298603682">
      <w:bodyDiv w:val="1"/>
      <w:marLeft w:val="0"/>
      <w:marRight w:val="0"/>
      <w:marTop w:val="0"/>
      <w:marBottom w:val="0"/>
      <w:divBdr>
        <w:top w:val="none" w:sz="0" w:space="0" w:color="auto"/>
        <w:left w:val="none" w:sz="0" w:space="0" w:color="auto"/>
        <w:bottom w:val="none" w:sz="0" w:space="0" w:color="auto"/>
        <w:right w:val="none" w:sz="0" w:space="0" w:color="auto"/>
      </w:divBdr>
    </w:div>
    <w:div w:id="1316648239">
      <w:bodyDiv w:val="1"/>
      <w:marLeft w:val="0"/>
      <w:marRight w:val="0"/>
      <w:marTop w:val="0"/>
      <w:marBottom w:val="0"/>
      <w:divBdr>
        <w:top w:val="none" w:sz="0" w:space="0" w:color="auto"/>
        <w:left w:val="none" w:sz="0" w:space="0" w:color="auto"/>
        <w:bottom w:val="none" w:sz="0" w:space="0" w:color="auto"/>
        <w:right w:val="none" w:sz="0" w:space="0" w:color="auto"/>
      </w:divBdr>
    </w:div>
    <w:div w:id="1363629001">
      <w:bodyDiv w:val="1"/>
      <w:marLeft w:val="0"/>
      <w:marRight w:val="0"/>
      <w:marTop w:val="0"/>
      <w:marBottom w:val="0"/>
      <w:divBdr>
        <w:top w:val="none" w:sz="0" w:space="0" w:color="auto"/>
        <w:left w:val="none" w:sz="0" w:space="0" w:color="auto"/>
        <w:bottom w:val="none" w:sz="0" w:space="0" w:color="auto"/>
        <w:right w:val="none" w:sz="0" w:space="0" w:color="auto"/>
      </w:divBdr>
      <w:divsChild>
        <w:div w:id="483592485">
          <w:blockQuote w:val="1"/>
          <w:marLeft w:val="768"/>
          <w:marRight w:val="720"/>
          <w:marTop w:val="0"/>
          <w:marBottom w:val="0"/>
          <w:divBdr>
            <w:top w:val="none" w:sz="0" w:space="0" w:color="auto"/>
            <w:left w:val="none" w:sz="0" w:space="0" w:color="auto"/>
            <w:bottom w:val="none" w:sz="0" w:space="0" w:color="auto"/>
            <w:right w:val="none" w:sz="0" w:space="0" w:color="auto"/>
          </w:divBdr>
        </w:div>
        <w:div w:id="517240197">
          <w:blockQuote w:val="1"/>
          <w:marLeft w:val="768"/>
          <w:marRight w:val="720"/>
          <w:marTop w:val="0"/>
          <w:marBottom w:val="0"/>
          <w:divBdr>
            <w:top w:val="none" w:sz="0" w:space="0" w:color="auto"/>
            <w:left w:val="none" w:sz="0" w:space="0" w:color="auto"/>
            <w:bottom w:val="none" w:sz="0" w:space="0" w:color="auto"/>
            <w:right w:val="none" w:sz="0" w:space="0" w:color="auto"/>
          </w:divBdr>
        </w:div>
        <w:div w:id="91436407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45345795">
      <w:bodyDiv w:val="1"/>
      <w:marLeft w:val="0"/>
      <w:marRight w:val="0"/>
      <w:marTop w:val="0"/>
      <w:marBottom w:val="0"/>
      <w:divBdr>
        <w:top w:val="none" w:sz="0" w:space="0" w:color="auto"/>
        <w:left w:val="none" w:sz="0" w:space="0" w:color="auto"/>
        <w:bottom w:val="none" w:sz="0" w:space="0" w:color="auto"/>
        <w:right w:val="none" w:sz="0" w:space="0" w:color="auto"/>
      </w:divBdr>
    </w:div>
    <w:div w:id="1473786060">
      <w:bodyDiv w:val="1"/>
      <w:marLeft w:val="0"/>
      <w:marRight w:val="0"/>
      <w:marTop w:val="0"/>
      <w:marBottom w:val="0"/>
      <w:divBdr>
        <w:top w:val="none" w:sz="0" w:space="0" w:color="auto"/>
        <w:left w:val="none" w:sz="0" w:space="0" w:color="auto"/>
        <w:bottom w:val="none" w:sz="0" w:space="0" w:color="auto"/>
        <w:right w:val="none" w:sz="0" w:space="0" w:color="auto"/>
      </w:divBdr>
    </w:div>
    <w:div w:id="1486627277">
      <w:bodyDiv w:val="1"/>
      <w:marLeft w:val="0"/>
      <w:marRight w:val="0"/>
      <w:marTop w:val="0"/>
      <w:marBottom w:val="0"/>
      <w:divBdr>
        <w:top w:val="none" w:sz="0" w:space="0" w:color="auto"/>
        <w:left w:val="none" w:sz="0" w:space="0" w:color="auto"/>
        <w:bottom w:val="none" w:sz="0" w:space="0" w:color="auto"/>
        <w:right w:val="none" w:sz="0" w:space="0" w:color="auto"/>
      </w:divBdr>
      <w:divsChild>
        <w:div w:id="1867063027">
          <w:marLeft w:val="0"/>
          <w:marRight w:val="0"/>
          <w:marTop w:val="0"/>
          <w:marBottom w:val="0"/>
          <w:divBdr>
            <w:top w:val="none" w:sz="0" w:space="0" w:color="auto"/>
            <w:left w:val="none" w:sz="0" w:space="0" w:color="auto"/>
            <w:bottom w:val="none" w:sz="0" w:space="0" w:color="auto"/>
            <w:right w:val="none" w:sz="0" w:space="0" w:color="auto"/>
          </w:divBdr>
          <w:divsChild>
            <w:div w:id="352536137">
              <w:marLeft w:val="0"/>
              <w:marRight w:val="0"/>
              <w:marTop w:val="0"/>
              <w:marBottom w:val="0"/>
              <w:divBdr>
                <w:top w:val="none" w:sz="0" w:space="0" w:color="auto"/>
                <w:left w:val="none" w:sz="0" w:space="0" w:color="auto"/>
                <w:bottom w:val="none" w:sz="0" w:space="0" w:color="auto"/>
                <w:right w:val="none" w:sz="0" w:space="0" w:color="auto"/>
              </w:divBdr>
              <w:divsChild>
                <w:div w:id="168981503">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1996465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9824803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3871590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826896507">
                  <w:marLeft w:val="960"/>
                  <w:marRight w:val="0"/>
                  <w:marTop w:val="480"/>
                  <w:marBottom w:val="240"/>
                  <w:divBdr>
                    <w:top w:val="none" w:sz="0" w:space="0" w:color="auto"/>
                    <w:left w:val="none" w:sz="0" w:space="0" w:color="auto"/>
                    <w:bottom w:val="none" w:sz="0" w:space="0" w:color="auto"/>
                    <w:right w:val="none" w:sz="0" w:space="0" w:color="auto"/>
                  </w:divBdr>
                  <w:divsChild>
                    <w:div w:id="894046971">
                      <w:marLeft w:val="240"/>
                      <w:marRight w:val="240"/>
                      <w:marTop w:val="0"/>
                      <w:marBottom w:val="0"/>
                      <w:divBdr>
                        <w:top w:val="none" w:sz="0" w:space="0" w:color="auto"/>
                        <w:left w:val="none" w:sz="0" w:space="0" w:color="auto"/>
                        <w:bottom w:val="none" w:sz="0" w:space="0" w:color="auto"/>
                        <w:right w:val="none" w:sz="0" w:space="0" w:color="auto"/>
                      </w:divBdr>
                    </w:div>
                    <w:div w:id="911161122">
                      <w:marLeft w:val="240"/>
                      <w:marRight w:val="240"/>
                      <w:marTop w:val="0"/>
                      <w:marBottom w:val="0"/>
                      <w:divBdr>
                        <w:top w:val="none" w:sz="0" w:space="0" w:color="auto"/>
                        <w:left w:val="none" w:sz="0" w:space="0" w:color="auto"/>
                        <w:bottom w:val="none" w:sz="0" w:space="0" w:color="auto"/>
                        <w:right w:val="none" w:sz="0" w:space="0" w:color="auto"/>
                      </w:divBdr>
                    </w:div>
                    <w:div w:id="1184326281">
                      <w:marLeft w:val="240"/>
                      <w:marRight w:val="240"/>
                      <w:marTop w:val="0"/>
                      <w:marBottom w:val="0"/>
                      <w:divBdr>
                        <w:top w:val="none" w:sz="0" w:space="0" w:color="auto"/>
                        <w:left w:val="none" w:sz="0" w:space="0" w:color="auto"/>
                        <w:bottom w:val="none" w:sz="0" w:space="0" w:color="auto"/>
                        <w:right w:val="none" w:sz="0" w:space="0" w:color="auto"/>
                      </w:divBdr>
                    </w:div>
                  </w:divsChild>
                </w:div>
                <w:div w:id="1136873016">
                  <w:marLeft w:val="960"/>
                  <w:marRight w:val="0"/>
                  <w:marTop w:val="480"/>
                  <w:marBottom w:val="240"/>
                  <w:divBdr>
                    <w:top w:val="none" w:sz="0" w:space="0" w:color="auto"/>
                    <w:left w:val="none" w:sz="0" w:space="0" w:color="auto"/>
                    <w:bottom w:val="none" w:sz="0" w:space="0" w:color="auto"/>
                    <w:right w:val="none" w:sz="0" w:space="0" w:color="auto"/>
                  </w:divBdr>
                  <w:divsChild>
                    <w:div w:id="809860875">
                      <w:marLeft w:val="240"/>
                      <w:marRight w:val="240"/>
                      <w:marTop w:val="0"/>
                      <w:marBottom w:val="0"/>
                      <w:divBdr>
                        <w:top w:val="none" w:sz="0" w:space="0" w:color="auto"/>
                        <w:left w:val="none" w:sz="0" w:space="0" w:color="auto"/>
                        <w:bottom w:val="none" w:sz="0" w:space="0" w:color="auto"/>
                        <w:right w:val="none" w:sz="0" w:space="0" w:color="auto"/>
                      </w:divBdr>
                    </w:div>
                    <w:div w:id="2146964166">
                      <w:marLeft w:val="240"/>
                      <w:marRight w:val="240"/>
                      <w:marTop w:val="0"/>
                      <w:marBottom w:val="0"/>
                      <w:divBdr>
                        <w:top w:val="none" w:sz="0" w:space="0" w:color="auto"/>
                        <w:left w:val="none" w:sz="0" w:space="0" w:color="auto"/>
                        <w:bottom w:val="none" w:sz="0" w:space="0" w:color="auto"/>
                        <w:right w:val="none" w:sz="0" w:space="0" w:color="auto"/>
                      </w:divBdr>
                    </w:div>
                  </w:divsChild>
                </w:div>
                <w:div w:id="1171867239">
                  <w:marLeft w:val="960"/>
                  <w:marRight w:val="0"/>
                  <w:marTop w:val="480"/>
                  <w:marBottom w:val="240"/>
                  <w:divBdr>
                    <w:top w:val="none" w:sz="0" w:space="0" w:color="auto"/>
                    <w:left w:val="none" w:sz="0" w:space="0" w:color="auto"/>
                    <w:bottom w:val="none" w:sz="0" w:space="0" w:color="auto"/>
                    <w:right w:val="none" w:sz="0" w:space="0" w:color="auto"/>
                  </w:divBdr>
                  <w:divsChild>
                    <w:div w:id="295722845">
                      <w:marLeft w:val="240"/>
                      <w:marRight w:val="240"/>
                      <w:marTop w:val="0"/>
                      <w:marBottom w:val="0"/>
                      <w:divBdr>
                        <w:top w:val="none" w:sz="0" w:space="0" w:color="auto"/>
                        <w:left w:val="none" w:sz="0" w:space="0" w:color="auto"/>
                        <w:bottom w:val="none" w:sz="0" w:space="0" w:color="auto"/>
                        <w:right w:val="none" w:sz="0" w:space="0" w:color="auto"/>
                      </w:divBdr>
                    </w:div>
                    <w:div w:id="641810106">
                      <w:marLeft w:val="240"/>
                      <w:marRight w:val="240"/>
                      <w:marTop w:val="0"/>
                      <w:marBottom w:val="0"/>
                      <w:divBdr>
                        <w:top w:val="none" w:sz="0" w:space="0" w:color="auto"/>
                        <w:left w:val="none" w:sz="0" w:space="0" w:color="auto"/>
                        <w:bottom w:val="none" w:sz="0" w:space="0" w:color="auto"/>
                        <w:right w:val="none" w:sz="0" w:space="0" w:color="auto"/>
                      </w:divBdr>
                    </w:div>
                    <w:div w:id="1060977610">
                      <w:marLeft w:val="240"/>
                      <w:marRight w:val="240"/>
                      <w:marTop w:val="0"/>
                      <w:marBottom w:val="0"/>
                      <w:divBdr>
                        <w:top w:val="none" w:sz="0" w:space="0" w:color="auto"/>
                        <w:left w:val="none" w:sz="0" w:space="0" w:color="auto"/>
                        <w:bottom w:val="none" w:sz="0" w:space="0" w:color="auto"/>
                        <w:right w:val="none" w:sz="0" w:space="0" w:color="auto"/>
                      </w:divBdr>
                    </w:div>
                    <w:div w:id="1141536581">
                      <w:marLeft w:val="240"/>
                      <w:marRight w:val="240"/>
                      <w:marTop w:val="0"/>
                      <w:marBottom w:val="0"/>
                      <w:divBdr>
                        <w:top w:val="none" w:sz="0" w:space="0" w:color="auto"/>
                        <w:left w:val="none" w:sz="0" w:space="0" w:color="auto"/>
                        <w:bottom w:val="none" w:sz="0" w:space="0" w:color="auto"/>
                        <w:right w:val="none" w:sz="0" w:space="0" w:color="auto"/>
                      </w:divBdr>
                    </w:div>
                    <w:div w:id="1161039775">
                      <w:marLeft w:val="240"/>
                      <w:marRight w:val="240"/>
                      <w:marTop w:val="0"/>
                      <w:marBottom w:val="0"/>
                      <w:divBdr>
                        <w:top w:val="none" w:sz="0" w:space="0" w:color="auto"/>
                        <w:left w:val="none" w:sz="0" w:space="0" w:color="auto"/>
                        <w:bottom w:val="none" w:sz="0" w:space="0" w:color="auto"/>
                        <w:right w:val="none" w:sz="0" w:space="0" w:color="auto"/>
                      </w:divBdr>
                    </w:div>
                    <w:div w:id="1329752834">
                      <w:marLeft w:val="240"/>
                      <w:marRight w:val="240"/>
                      <w:marTop w:val="0"/>
                      <w:marBottom w:val="0"/>
                      <w:divBdr>
                        <w:top w:val="none" w:sz="0" w:space="0" w:color="auto"/>
                        <w:left w:val="none" w:sz="0" w:space="0" w:color="auto"/>
                        <w:bottom w:val="none" w:sz="0" w:space="0" w:color="auto"/>
                        <w:right w:val="none" w:sz="0" w:space="0" w:color="auto"/>
                      </w:divBdr>
                    </w:div>
                    <w:div w:id="1486974842">
                      <w:marLeft w:val="240"/>
                      <w:marRight w:val="240"/>
                      <w:marTop w:val="0"/>
                      <w:marBottom w:val="0"/>
                      <w:divBdr>
                        <w:top w:val="none" w:sz="0" w:space="0" w:color="auto"/>
                        <w:left w:val="none" w:sz="0" w:space="0" w:color="auto"/>
                        <w:bottom w:val="none" w:sz="0" w:space="0" w:color="auto"/>
                        <w:right w:val="none" w:sz="0" w:space="0" w:color="auto"/>
                      </w:divBdr>
                    </w:div>
                    <w:div w:id="1970281906">
                      <w:marLeft w:val="240"/>
                      <w:marRight w:val="240"/>
                      <w:marTop w:val="0"/>
                      <w:marBottom w:val="0"/>
                      <w:divBdr>
                        <w:top w:val="none" w:sz="0" w:space="0" w:color="auto"/>
                        <w:left w:val="none" w:sz="0" w:space="0" w:color="auto"/>
                        <w:bottom w:val="none" w:sz="0" w:space="0" w:color="auto"/>
                        <w:right w:val="none" w:sz="0" w:space="0" w:color="auto"/>
                      </w:divBdr>
                    </w:div>
                  </w:divsChild>
                </w:div>
                <w:div w:id="1694526672">
                  <w:marLeft w:val="960"/>
                  <w:marRight w:val="0"/>
                  <w:marTop w:val="480"/>
                  <w:marBottom w:val="240"/>
                  <w:divBdr>
                    <w:top w:val="none" w:sz="0" w:space="0" w:color="auto"/>
                    <w:left w:val="none" w:sz="0" w:space="0" w:color="auto"/>
                    <w:bottom w:val="none" w:sz="0" w:space="0" w:color="auto"/>
                    <w:right w:val="none" w:sz="0" w:space="0" w:color="auto"/>
                  </w:divBdr>
                  <w:divsChild>
                    <w:div w:id="223684870">
                      <w:marLeft w:val="240"/>
                      <w:marRight w:val="240"/>
                      <w:marTop w:val="0"/>
                      <w:marBottom w:val="0"/>
                      <w:divBdr>
                        <w:top w:val="none" w:sz="0" w:space="0" w:color="auto"/>
                        <w:left w:val="none" w:sz="0" w:space="0" w:color="auto"/>
                        <w:bottom w:val="none" w:sz="0" w:space="0" w:color="auto"/>
                        <w:right w:val="none" w:sz="0" w:space="0" w:color="auto"/>
                      </w:divBdr>
                    </w:div>
                    <w:div w:id="533621171">
                      <w:marLeft w:val="240"/>
                      <w:marRight w:val="240"/>
                      <w:marTop w:val="0"/>
                      <w:marBottom w:val="0"/>
                      <w:divBdr>
                        <w:top w:val="none" w:sz="0" w:space="0" w:color="auto"/>
                        <w:left w:val="none" w:sz="0" w:space="0" w:color="auto"/>
                        <w:bottom w:val="none" w:sz="0" w:space="0" w:color="auto"/>
                        <w:right w:val="none" w:sz="0" w:space="0" w:color="auto"/>
                      </w:divBdr>
                    </w:div>
                  </w:divsChild>
                </w:div>
                <w:div w:id="183448519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12551639">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912697414">
          <w:marLeft w:val="0"/>
          <w:marRight w:val="0"/>
          <w:marTop w:val="0"/>
          <w:marBottom w:val="0"/>
          <w:divBdr>
            <w:top w:val="none" w:sz="0" w:space="0" w:color="auto"/>
            <w:left w:val="none" w:sz="0" w:space="0" w:color="auto"/>
            <w:bottom w:val="none" w:sz="0" w:space="0" w:color="auto"/>
            <w:right w:val="none" w:sz="0" w:space="0" w:color="auto"/>
          </w:divBdr>
          <w:divsChild>
            <w:div w:id="1557551026">
              <w:marLeft w:val="0"/>
              <w:marRight w:val="0"/>
              <w:marTop w:val="0"/>
              <w:marBottom w:val="0"/>
              <w:divBdr>
                <w:top w:val="none" w:sz="0" w:space="0" w:color="auto"/>
                <w:left w:val="none" w:sz="0" w:space="0" w:color="auto"/>
                <w:bottom w:val="none" w:sz="0" w:space="0" w:color="auto"/>
                <w:right w:val="none" w:sz="0" w:space="0" w:color="auto"/>
              </w:divBdr>
              <w:divsChild>
                <w:div w:id="346248318">
                  <w:blockQuote w:val="1"/>
                  <w:marLeft w:val="768"/>
                  <w:marRight w:val="720"/>
                  <w:marTop w:val="0"/>
                  <w:marBottom w:val="0"/>
                  <w:divBdr>
                    <w:top w:val="none" w:sz="0" w:space="0" w:color="auto"/>
                    <w:left w:val="none" w:sz="0" w:space="0" w:color="auto"/>
                    <w:bottom w:val="none" w:sz="0" w:space="0" w:color="auto"/>
                    <w:right w:val="none" w:sz="0" w:space="0" w:color="auto"/>
                  </w:divBdr>
                </w:div>
                <w:div w:id="1363479492">
                  <w:marLeft w:val="960"/>
                  <w:marRight w:val="0"/>
                  <w:marTop w:val="480"/>
                  <w:marBottom w:val="240"/>
                  <w:divBdr>
                    <w:top w:val="none" w:sz="0" w:space="0" w:color="auto"/>
                    <w:left w:val="none" w:sz="0" w:space="0" w:color="auto"/>
                    <w:bottom w:val="none" w:sz="0" w:space="0" w:color="auto"/>
                    <w:right w:val="none" w:sz="0" w:space="0" w:color="auto"/>
                  </w:divBdr>
                  <w:divsChild>
                    <w:div w:id="10293347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065293">
      <w:bodyDiv w:val="1"/>
      <w:marLeft w:val="0"/>
      <w:marRight w:val="0"/>
      <w:marTop w:val="0"/>
      <w:marBottom w:val="0"/>
      <w:divBdr>
        <w:top w:val="none" w:sz="0" w:space="0" w:color="auto"/>
        <w:left w:val="none" w:sz="0" w:space="0" w:color="auto"/>
        <w:bottom w:val="none" w:sz="0" w:space="0" w:color="auto"/>
        <w:right w:val="none" w:sz="0" w:space="0" w:color="auto"/>
      </w:divBdr>
    </w:div>
    <w:div w:id="1566574335">
      <w:bodyDiv w:val="1"/>
      <w:marLeft w:val="0"/>
      <w:marRight w:val="0"/>
      <w:marTop w:val="0"/>
      <w:marBottom w:val="0"/>
      <w:divBdr>
        <w:top w:val="none" w:sz="0" w:space="0" w:color="auto"/>
        <w:left w:val="none" w:sz="0" w:space="0" w:color="auto"/>
        <w:bottom w:val="none" w:sz="0" w:space="0" w:color="auto"/>
        <w:right w:val="none" w:sz="0" w:space="0" w:color="auto"/>
      </w:divBdr>
    </w:div>
    <w:div w:id="1650787778">
      <w:bodyDiv w:val="1"/>
      <w:marLeft w:val="0"/>
      <w:marRight w:val="0"/>
      <w:marTop w:val="0"/>
      <w:marBottom w:val="0"/>
      <w:divBdr>
        <w:top w:val="none" w:sz="0" w:space="0" w:color="auto"/>
        <w:left w:val="none" w:sz="0" w:space="0" w:color="auto"/>
        <w:bottom w:val="none" w:sz="0" w:space="0" w:color="auto"/>
        <w:right w:val="none" w:sz="0" w:space="0" w:color="auto"/>
      </w:divBdr>
    </w:div>
    <w:div w:id="1684476900">
      <w:bodyDiv w:val="1"/>
      <w:marLeft w:val="0"/>
      <w:marRight w:val="0"/>
      <w:marTop w:val="0"/>
      <w:marBottom w:val="0"/>
      <w:divBdr>
        <w:top w:val="none" w:sz="0" w:space="0" w:color="auto"/>
        <w:left w:val="none" w:sz="0" w:space="0" w:color="auto"/>
        <w:bottom w:val="none" w:sz="0" w:space="0" w:color="auto"/>
        <w:right w:val="none" w:sz="0" w:space="0" w:color="auto"/>
      </w:divBdr>
    </w:div>
    <w:div w:id="1692948577">
      <w:bodyDiv w:val="1"/>
      <w:marLeft w:val="0"/>
      <w:marRight w:val="0"/>
      <w:marTop w:val="0"/>
      <w:marBottom w:val="0"/>
      <w:divBdr>
        <w:top w:val="none" w:sz="0" w:space="0" w:color="auto"/>
        <w:left w:val="none" w:sz="0" w:space="0" w:color="auto"/>
        <w:bottom w:val="none" w:sz="0" w:space="0" w:color="auto"/>
        <w:right w:val="none" w:sz="0" w:space="0" w:color="auto"/>
      </w:divBdr>
    </w:div>
    <w:div w:id="1729113725">
      <w:bodyDiv w:val="1"/>
      <w:marLeft w:val="0"/>
      <w:marRight w:val="0"/>
      <w:marTop w:val="0"/>
      <w:marBottom w:val="0"/>
      <w:divBdr>
        <w:top w:val="none" w:sz="0" w:space="0" w:color="auto"/>
        <w:left w:val="none" w:sz="0" w:space="0" w:color="auto"/>
        <w:bottom w:val="none" w:sz="0" w:space="0" w:color="auto"/>
        <w:right w:val="none" w:sz="0" w:space="0" w:color="auto"/>
      </w:divBdr>
    </w:div>
    <w:div w:id="1754274342">
      <w:bodyDiv w:val="1"/>
      <w:marLeft w:val="0"/>
      <w:marRight w:val="0"/>
      <w:marTop w:val="0"/>
      <w:marBottom w:val="0"/>
      <w:divBdr>
        <w:top w:val="none" w:sz="0" w:space="0" w:color="auto"/>
        <w:left w:val="none" w:sz="0" w:space="0" w:color="auto"/>
        <w:bottom w:val="none" w:sz="0" w:space="0" w:color="auto"/>
        <w:right w:val="none" w:sz="0" w:space="0" w:color="auto"/>
      </w:divBdr>
      <w:divsChild>
        <w:div w:id="664210519">
          <w:marLeft w:val="960"/>
          <w:marRight w:val="0"/>
          <w:marTop w:val="480"/>
          <w:marBottom w:val="240"/>
          <w:divBdr>
            <w:top w:val="none" w:sz="0" w:space="0" w:color="auto"/>
            <w:left w:val="none" w:sz="0" w:space="0" w:color="auto"/>
            <w:bottom w:val="none" w:sz="0" w:space="0" w:color="auto"/>
            <w:right w:val="none" w:sz="0" w:space="0" w:color="auto"/>
          </w:divBdr>
          <w:divsChild>
            <w:div w:id="1844391579">
              <w:marLeft w:val="240"/>
              <w:marRight w:val="240"/>
              <w:marTop w:val="0"/>
              <w:marBottom w:val="0"/>
              <w:divBdr>
                <w:top w:val="none" w:sz="0" w:space="0" w:color="auto"/>
                <w:left w:val="none" w:sz="0" w:space="0" w:color="auto"/>
                <w:bottom w:val="none" w:sz="0" w:space="0" w:color="auto"/>
                <w:right w:val="none" w:sz="0" w:space="0" w:color="auto"/>
              </w:divBdr>
            </w:div>
            <w:div w:id="2102333922">
              <w:marLeft w:val="240"/>
              <w:marRight w:val="240"/>
              <w:marTop w:val="0"/>
              <w:marBottom w:val="0"/>
              <w:divBdr>
                <w:top w:val="none" w:sz="0" w:space="0" w:color="auto"/>
                <w:left w:val="none" w:sz="0" w:space="0" w:color="auto"/>
                <w:bottom w:val="none" w:sz="0" w:space="0" w:color="auto"/>
                <w:right w:val="none" w:sz="0" w:space="0" w:color="auto"/>
              </w:divBdr>
            </w:div>
          </w:divsChild>
        </w:div>
        <w:div w:id="779573427">
          <w:blockQuote w:val="1"/>
          <w:marLeft w:val="768"/>
          <w:marRight w:val="720"/>
          <w:marTop w:val="0"/>
          <w:marBottom w:val="0"/>
          <w:divBdr>
            <w:top w:val="none" w:sz="0" w:space="0" w:color="auto"/>
            <w:left w:val="none" w:sz="0" w:space="0" w:color="auto"/>
            <w:bottom w:val="none" w:sz="0" w:space="0" w:color="auto"/>
            <w:right w:val="none" w:sz="0" w:space="0" w:color="auto"/>
          </w:divBdr>
          <w:divsChild>
            <w:div w:id="551967141">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588995442">
          <w:marLeft w:val="960"/>
          <w:marRight w:val="0"/>
          <w:marTop w:val="480"/>
          <w:marBottom w:val="240"/>
          <w:divBdr>
            <w:top w:val="none" w:sz="0" w:space="0" w:color="auto"/>
            <w:left w:val="none" w:sz="0" w:space="0" w:color="auto"/>
            <w:bottom w:val="none" w:sz="0" w:space="0" w:color="auto"/>
            <w:right w:val="none" w:sz="0" w:space="0" w:color="auto"/>
          </w:divBdr>
          <w:divsChild>
            <w:div w:id="5584375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2036662">
      <w:bodyDiv w:val="1"/>
      <w:marLeft w:val="0"/>
      <w:marRight w:val="0"/>
      <w:marTop w:val="0"/>
      <w:marBottom w:val="0"/>
      <w:divBdr>
        <w:top w:val="none" w:sz="0" w:space="0" w:color="auto"/>
        <w:left w:val="none" w:sz="0" w:space="0" w:color="auto"/>
        <w:bottom w:val="none" w:sz="0" w:space="0" w:color="auto"/>
        <w:right w:val="none" w:sz="0" w:space="0" w:color="auto"/>
      </w:divBdr>
      <w:divsChild>
        <w:div w:id="1441217168">
          <w:blockQuote w:val="1"/>
          <w:marLeft w:val="768"/>
          <w:marRight w:val="720"/>
          <w:marTop w:val="0"/>
          <w:marBottom w:val="0"/>
          <w:divBdr>
            <w:top w:val="none" w:sz="0" w:space="0" w:color="auto"/>
            <w:left w:val="none" w:sz="0" w:space="0" w:color="auto"/>
            <w:bottom w:val="none" w:sz="0" w:space="0" w:color="auto"/>
            <w:right w:val="none" w:sz="0" w:space="0" w:color="auto"/>
          </w:divBdr>
        </w:div>
        <w:div w:id="1696497209">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06660743">
              <w:blockQuote w:val="1"/>
              <w:marLeft w:val="768"/>
              <w:marRight w:val="720"/>
              <w:marTop w:val="0"/>
              <w:marBottom w:val="0"/>
              <w:divBdr>
                <w:top w:val="none" w:sz="0" w:space="0" w:color="auto"/>
                <w:left w:val="none" w:sz="0" w:space="0" w:color="auto"/>
                <w:bottom w:val="none" w:sz="0" w:space="0" w:color="auto"/>
                <w:right w:val="none" w:sz="0" w:space="0" w:color="auto"/>
              </w:divBdr>
              <w:divsChild>
                <w:div w:id="1519733328">
                  <w:marLeft w:val="960"/>
                  <w:marRight w:val="0"/>
                  <w:marTop w:val="480"/>
                  <w:marBottom w:val="240"/>
                  <w:divBdr>
                    <w:top w:val="none" w:sz="0" w:space="0" w:color="auto"/>
                    <w:left w:val="none" w:sz="0" w:space="0" w:color="auto"/>
                    <w:bottom w:val="none" w:sz="0" w:space="0" w:color="auto"/>
                    <w:right w:val="none" w:sz="0" w:space="0" w:color="auto"/>
                  </w:divBdr>
                  <w:divsChild>
                    <w:div w:id="251359265">
                      <w:marLeft w:val="240"/>
                      <w:marRight w:val="240"/>
                      <w:marTop w:val="0"/>
                      <w:marBottom w:val="0"/>
                      <w:divBdr>
                        <w:top w:val="none" w:sz="0" w:space="0" w:color="auto"/>
                        <w:left w:val="none" w:sz="0" w:space="0" w:color="auto"/>
                        <w:bottom w:val="none" w:sz="0" w:space="0" w:color="auto"/>
                        <w:right w:val="none" w:sz="0" w:space="0" w:color="auto"/>
                      </w:divBdr>
                    </w:div>
                    <w:div w:id="4381379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36411521">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00350031">
              <w:marLeft w:val="960"/>
              <w:marRight w:val="0"/>
              <w:marTop w:val="480"/>
              <w:marBottom w:val="240"/>
              <w:divBdr>
                <w:top w:val="none" w:sz="0" w:space="0" w:color="auto"/>
                <w:left w:val="none" w:sz="0" w:space="0" w:color="auto"/>
                <w:bottom w:val="none" w:sz="0" w:space="0" w:color="auto"/>
                <w:right w:val="none" w:sz="0" w:space="0" w:color="auto"/>
              </w:divBdr>
              <w:divsChild>
                <w:div w:id="15666999">
                  <w:marLeft w:val="240"/>
                  <w:marRight w:val="240"/>
                  <w:marTop w:val="0"/>
                  <w:marBottom w:val="0"/>
                  <w:divBdr>
                    <w:top w:val="none" w:sz="0" w:space="0" w:color="auto"/>
                    <w:left w:val="none" w:sz="0" w:space="0" w:color="auto"/>
                    <w:bottom w:val="none" w:sz="0" w:space="0" w:color="auto"/>
                    <w:right w:val="none" w:sz="0" w:space="0" w:color="auto"/>
                  </w:divBdr>
                </w:div>
                <w:div w:id="970596723">
                  <w:marLeft w:val="240"/>
                  <w:marRight w:val="240"/>
                  <w:marTop w:val="0"/>
                  <w:marBottom w:val="0"/>
                  <w:divBdr>
                    <w:top w:val="none" w:sz="0" w:space="0" w:color="auto"/>
                    <w:left w:val="none" w:sz="0" w:space="0" w:color="auto"/>
                    <w:bottom w:val="none" w:sz="0" w:space="0" w:color="auto"/>
                    <w:right w:val="none" w:sz="0" w:space="0" w:color="auto"/>
                  </w:divBdr>
                </w:div>
                <w:div w:id="993295048">
                  <w:marLeft w:val="240"/>
                  <w:marRight w:val="240"/>
                  <w:marTop w:val="0"/>
                  <w:marBottom w:val="0"/>
                  <w:divBdr>
                    <w:top w:val="none" w:sz="0" w:space="0" w:color="auto"/>
                    <w:left w:val="none" w:sz="0" w:space="0" w:color="auto"/>
                    <w:bottom w:val="none" w:sz="0" w:space="0" w:color="auto"/>
                    <w:right w:val="none" w:sz="0" w:space="0" w:color="auto"/>
                  </w:divBdr>
                </w:div>
                <w:div w:id="10892755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23694428">
      <w:bodyDiv w:val="1"/>
      <w:marLeft w:val="0"/>
      <w:marRight w:val="0"/>
      <w:marTop w:val="0"/>
      <w:marBottom w:val="0"/>
      <w:divBdr>
        <w:top w:val="none" w:sz="0" w:space="0" w:color="auto"/>
        <w:left w:val="none" w:sz="0" w:space="0" w:color="auto"/>
        <w:bottom w:val="none" w:sz="0" w:space="0" w:color="auto"/>
        <w:right w:val="none" w:sz="0" w:space="0" w:color="auto"/>
      </w:divBdr>
      <w:divsChild>
        <w:div w:id="584534928">
          <w:marLeft w:val="0"/>
          <w:marRight w:val="0"/>
          <w:marTop w:val="0"/>
          <w:marBottom w:val="0"/>
          <w:divBdr>
            <w:top w:val="none" w:sz="0" w:space="0" w:color="auto"/>
            <w:left w:val="none" w:sz="0" w:space="0" w:color="auto"/>
            <w:bottom w:val="none" w:sz="0" w:space="0" w:color="auto"/>
            <w:right w:val="none" w:sz="0" w:space="0" w:color="auto"/>
          </w:divBdr>
        </w:div>
        <w:div w:id="869999092">
          <w:marLeft w:val="0"/>
          <w:marRight w:val="0"/>
          <w:marTop w:val="0"/>
          <w:marBottom w:val="0"/>
          <w:divBdr>
            <w:top w:val="none" w:sz="0" w:space="0" w:color="auto"/>
            <w:left w:val="none" w:sz="0" w:space="0" w:color="auto"/>
            <w:bottom w:val="none" w:sz="0" w:space="0" w:color="auto"/>
            <w:right w:val="none" w:sz="0" w:space="0" w:color="auto"/>
          </w:divBdr>
          <w:divsChild>
            <w:div w:id="1890608520">
              <w:marLeft w:val="0"/>
              <w:marRight w:val="0"/>
              <w:marTop w:val="0"/>
              <w:marBottom w:val="0"/>
              <w:divBdr>
                <w:top w:val="none" w:sz="0" w:space="0" w:color="auto"/>
                <w:left w:val="none" w:sz="0" w:space="0" w:color="auto"/>
                <w:bottom w:val="none" w:sz="0" w:space="0" w:color="auto"/>
                <w:right w:val="none" w:sz="0" w:space="0" w:color="auto"/>
              </w:divBdr>
            </w:div>
          </w:divsChild>
        </w:div>
        <w:div w:id="1594121985">
          <w:marLeft w:val="0"/>
          <w:marRight w:val="0"/>
          <w:marTop w:val="0"/>
          <w:marBottom w:val="0"/>
          <w:divBdr>
            <w:top w:val="none" w:sz="0" w:space="0" w:color="auto"/>
            <w:left w:val="none" w:sz="0" w:space="0" w:color="auto"/>
            <w:bottom w:val="none" w:sz="0" w:space="0" w:color="auto"/>
            <w:right w:val="none" w:sz="0" w:space="0" w:color="auto"/>
          </w:divBdr>
        </w:div>
      </w:divsChild>
    </w:div>
    <w:div w:id="1836023770">
      <w:bodyDiv w:val="1"/>
      <w:marLeft w:val="0"/>
      <w:marRight w:val="0"/>
      <w:marTop w:val="0"/>
      <w:marBottom w:val="0"/>
      <w:divBdr>
        <w:top w:val="none" w:sz="0" w:space="0" w:color="auto"/>
        <w:left w:val="none" w:sz="0" w:space="0" w:color="auto"/>
        <w:bottom w:val="none" w:sz="0" w:space="0" w:color="auto"/>
        <w:right w:val="none" w:sz="0" w:space="0" w:color="auto"/>
      </w:divBdr>
    </w:div>
    <w:div w:id="1876959764">
      <w:bodyDiv w:val="1"/>
      <w:marLeft w:val="0"/>
      <w:marRight w:val="0"/>
      <w:marTop w:val="0"/>
      <w:marBottom w:val="0"/>
      <w:divBdr>
        <w:top w:val="none" w:sz="0" w:space="0" w:color="auto"/>
        <w:left w:val="none" w:sz="0" w:space="0" w:color="auto"/>
        <w:bottom w:val="none" w:sz="0" w:space="0" w:color="auto"/>
        <w:right w:val="none" w:sz="0" w:space="0" w:color="auto"/>
      </w:divBdr>
      <w:divsChild>
        <w:div w:id="2047173859">
          <w:marLeft w:val="0"/>
          <w:marRight w:val="0"/>
          <w:marTop w:val="0"/>
          <w:marBottom w:val="0"/>
          <w:divBdr>
            <w:top w:val="none" w:sz="0" w:space="0" w:color="auto"/>
            <w:left w:val="none" w:sz="0" w:space="0" w:color="auto"/>
            <w:bottom w:val="none" w:sz="0" w:space="0" w:color="auto"/>
            <w:right w:val="none" w:sz="0" w:space="0" w:color="auto"/>
          </w:divBdr>
          <w:divsChild>
            <w:div w:id="1545672719">
              <w:marLeft w:val="0"/>
              <w:marRight w:val="0"/>
              <w:marTop w:val="0"/>
              <w:marBottom w:val="0"/>
              <w:divBdr>
                <w:top w:val="none" w:sz="0" w:space="0" w:color="auto"/>
                <w:left w:val="none" w:sz="0" w:space="0" w:color="auto"/>
                <w:bottom w:val="none" w:sz="0" w:space="0" w:color="auto"/>
                <w:right w:val="none" w:sz="0" w:space="0" w:color="auto"/>
              </w:divBdr>
              <w:divsChild>
                <w:div w:id="3481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04953">
      <w:bodyDiv w:val="1"/>
      <w:marLeft w:val="0"/>
      <w:marRight w:val="0"/>
      <w:marTop w:val="0"/>
      <w:marBottom w:val="0"/>
      <w:divBdr>
        <w:top w:val="none" w:sz="0" w:space="0" w:color="auto"/>
        <w:left w:val="none" w:sz="0" w:space="0" w:color="auto"/>
        <w:bottom w:val="none" w:sz="0" w:space="0" w:color="auto"/>
        <w:right w:val="none" w:sz="0" w:space="0" w:color="auto"/>
      </w:divBdr>
    </w:div>
    <w:div w:id="1939828688">
      <w:bodyDiv w:val="1"/>
      <w:marLeft w:val="0"/>
      <w:marRight w:val="0"/>
      <w:marTop w:val="0"/>
      <w:marBottom w:val="0"/>
      <w:divBdr>
        <w:top w:val="none" w:sz="0" w:space="0" w:color="auto"/>
        <w:left w:val="none" w:sz="0" w:space="0" w:color="auto"/>
        <w:bottom w:val="none" w:sz="0" w:space="0" w:color="auto"/>
        <w:right w:val="none" w:sz="0" w:space="0" w:color="auto"/>
      </w:divBdr>
    </w:div>
    <w:div w:id="1965235580">
      <w:bodyDiv w:val="1"/>
      <w:marLeft w:val="0"/>
      <w:marRight w:val="0"/>
      <w:marTop w:val="0"/>
      <w:marBottom w:val="0"/>
      <w:divBdr>
        <w:top w:val="none" w:sz="0" w:space="0" w:color="auto"/>
        <w:left w:val="none" w:sz="0" w:space="0" w:color="auto"/>
        <w:bottom w:val="none" w:sz="0" w:space="0" w:color="auto"/>
        <w:right w:val="none" w:sz="0" w:space="0" w:color="auto"/>
      </w:divBdr>
      <w:divsChild>
        <w:div w:id="1124810205">
          <w:marLeft w:val="0"/>
          <w:marRight w:val="0"/>
          <w:marTop w:val="0"/>
          <w:marBottom w:val="180"/>
          <w:divBdr>
            <w:top w:val="none" w:sz="0" w:space="0" w:color="auto"/>
            <w:left w:val="none" w:sz="0" w:space="0" w:color="auto"/>
            <w:bottom w:val="none" w:sz="0" w:space="0" w:color="auto"/>
            <w:right w:val="none" w:sz="0" w:space="0" w:color="auto"/>
          </w:divBdr>
        </w:div>
        <w:div w:id="1562715475">
          <w:marLeft w:val="0"/>
          <w:marRight w:val="0"/>
          <w:marTop w:val="0"/>
          <w:marBottom w:val="0"/>
          <w:divBdr>
            <w:top w:val="none" w:sz="0" w:space="0" w:color="auto"/>
            <w:left w:val="none" w:sz="0" w:space="0" w:color="auto"/>
            <w:bottom w:val="none" w:sz="0" w:space="0" w:color="auto"/>
            <w:right w:val="none" w:sz="0" w:space="0" w:color="auto"/>
          </w:divBdr>
        </w:div>
      </w:divsChild>
    </w:div>
    <w:div w:id="1967925374">
      <w:bodyDiv w:val="1"/>
      <w:marLeft w:val="0"/>
      <w:marRight w:val="0"/>
      <w:marTop w:val="0"/>
      <w:marBottom w:val="0"/>
      <w:divBdr>
        <w:top w:val="none" w:sz="0" w:space="0" w:color="auto"/>
        <w:left w:val="none" w:sz="0" w:space="0" w:color="auto"/>
        <w:bottom w:val="none" w:sz="0" w:space="0" w:color="auto"/>
        <w:right w:val="none" w:sz="0" w:space="0" w:color="auto"/>
      </w:divBdr>
    </w:div>
    <w:div w:id="1972595812">
      <w:bodyDiv w:val="1"/>
      <w:marLeft w:val="0"/>
      <w:marRight w:val="0"/>
      <w:marTop w:val="0"/>
      <w:marBottom w:val="0"/>
      <w:divBdr>
        <w:top w:val="none" w:sz="0" w:space="0" w:color="auto"/>
        <w:left w:val="none" w:sz="0" w:space="0" w:color="auto"/>
        <w:bottom w:val="none" w:sz="0" w:space="0" w:color="auto"/>
        <w:right w:val="none" w:sz="0" w:space="0" w:color="auto"/>
      </w:divBdr>
    </w:div>
    <w:div w:id="1980332289">
      <w:bodyDiv w:val="1"/>
      <w:marLeft w:val="0"/>
      <w:marRight w:val="0"/>
      <w:marTop w:val="0"/>
      <w:marBottom w:val="0"/>
      <w:divBdr>
        <w:top w:val="none" w:sz="0" w:space="0" w:color="auto"/>
        <w:left w:val="none" w:sz="0" w:space="0" w:color="auto"/>
        <w:bottom w:val="none" w:sz="0" w:space="0" w:color="auto"/>
        <w:right w:val="none" w:sz="0" w:space="0" w:color="auto"/>
      </w:divBdr>
    </w:div>
    <w:div w:id="2019117409">
      <w:bodyDiv w:val="1"/>
      <w:marLeft w:val="0"/>
      <w:marRight w:val="0"/>
      <w:marTop w:val="0"/>
      <w:marBottom w:val="0"/>
      <w:divBdr>
        <w:top w:val="none" w:sz="0" w:space="0" w:color="auto"/>
        <w:left w:val="none" w:sz="0" w:space="0" w:color="auto"/>
        <w:bottom w:val="none" w:sz="0" w:space="0" w:color="auto"/>
        <w:right w:val="none" w:sz="0" w:space="0" w:color="auto"/>
      </w:divBdr>
    </w:div>
    <w:div w:id="2051487327">
      <w:bodyDiv w:val="1"/>
      <w:marLeft w:val="0"/>
      <w:marRight w:val="0"/>
      <w:marTop w:val="0"/>
      <w:marBottom w:val="0"/>
      <w:divBdr>
        <w:top w:val="none" w:sz="0" w:space="0" w:color="auto"/>
        <w:left w:val="none" w:sz="0" w:space="0" w:color="auto"/>
        <w:bottom w:val="none" w:sz="0" w:space="0" w:color="auto"/>
        <w:right w:val="none" w:sz="0" w:space="0" w:color="auto"/>
      </w:divBdr>
    </w:div>
    <w:div w:id="2096128524">
      <w:bodyDiv w:val="1"/>
      <w:marLeft w:val="0"/>
      <w:marRight w:val="0"/>
      <w:marTop w:val="0"/>
      <w:marBottom w:val="0"/>
      <w:divBdr>
        <w:top w:val="none" w:sz="0" w:space="0" w:color="auto"/>
        <w:left w:val="none" w:sz="0" w:space="0" w:color="auto"/>
        <w:bottom w:val="none" w:sz="0" w:space="0" w:color="auto"/>
        <w:right w:val="none" w:sz="0" w:space="0" w:color="auto"/>
      </w:divBdr>
    </w:div>
    <w:div w:id="2108961513">
      <w:bodyDiv w:val="1"/>
      <w:marLeft w:val="0"/>
      <w:marRight w:val="0"/>
      <w:marTop w:val="0"/>
      <w:marBottom w:val="0"/>
      <w:divBdr>
        <w:top w:val="none" w:sz="0" w:space="0" w:color="auto"/>
        <w:left w:val="none" w:sz="0" w:space="0" w:color="auto"/>
        <w:bottom w:val="none" w:sz="0" w:space="0" w:color="auto"/>
        <w:right w:val="none" w:sz="0" w:space="0" w:color="auto"/>
      </w:divBdr>
    </w:div>
    <w:div w:id="2121103650">
      <w:bodyDiv w:val="1"/>
      <w:marLeft w:val="0"/>
      <w:marRight w:val="0"/>
      <w:marTop w:val="0"/>
      <w:marBottom w:val="0"/>
      <w:divBdr>
        <w:top w:val="none" w:sz="0" w:space="0" w:color="auto"/>
        <w:left w:val="none" w:sz="0" w:space="0" w:color="auto"/>
        <w:bottom w:val="none" w:sz="0" w:space="0" w:color="auto"/>
        <w:right w:val="none" w:sz="0" w:space="0" w:color="auto"/>
      </w:divBdr>
      <w:divsChild>
        <w:div w:id="777410780">
          <w:blockQuote w:val="1"/>
          <w:marLeft w:val="768"/>
          <w:marRight w:val="720"/>
          <w:marTop w:val="0"/>
          <w:marBottom w:val="0"/>
          <w:divBdr>
            <w:top w:val="none" w:sz="0" w:space="0" w:color="auto"/>
            <w:left w:val="none" w:sz="0" w:space="0" w:color="auto"/>
            <w:bottom w:val="none" w:sz="0" w:space="0" w:color="auto"/>
            <w:right w:val="none" w:sz="0" w:space="0" w:color="auto"/>
          </w:divBdr>
          <w:divsChild>
            <w:div w:id="40399495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14007822">
          <w:marLeft w:val="960"/>
          <w:marRight w:val="0"/>
          <w:marTop w:val="480"/>
          <w:marBottom w:val="240"/>
          <w:divBdr>
            <w:top w:val="none" w:sz="0" w:space="0" w:color="auto"/>
            <w:left w:val="none" w:sz="0" w:space="0" w:color="auto"/>
            <w:bottom w:val="none" w:sz="0" w:space="0" w:color="auto"/>
            <w:right w:val="none" w:sz="0" w:space="0" w:color="auto"/>
          </w:divBdr>
          <w:divsChild>
            <w:div w:id="302541633">
              <w:marLeft w:val="240"/>
              <w:marRight w:val="240"/>
              <w:marTop w:val="0"/>
              <w:marBottom w:val="0"/>
              <w:divBdr>
                <w:top w:val="none" w:sz="0" w:space="0" w:color="auto"/>
                <w:left w:val="none" w:sz="0" w:space="0" w:color="auto"/>
                <w:bottom w:val="none" w:sz="0" w:space="0" w:color="auto"/>
                <w:right w:val="none" w:sz="0" w:space="0" w:color="auto"/>
              </w:divBdr>
            </w:div>
          </w:divsChild>
        </w:div>
        <w:div w:id="1599410701">
          <w:marLeft w:val="960"/>
          <w:marRight w:val="0"/>
          <w:marTop w:val="480"/>
          <w:marBottom w:val="240"/>
          <w:divBdr>
            <w:top w:val="none" w:sz="0" w:space="0" w:color="auto"/>
            <w:left w:val="none" w:sz="0" w:space="0" w:color="auto"/>
            <w:bottom w:val="none" w:sz="0" w:space="0" w:color="auto"/>
            <w:right w:val="none" w:sz="0" w:space="0" w:color="auto"/>
          </w:divBdr>
          <w:divsChild>
            <w:div w:id="1126775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ade.io/article/602136" TargetMode="External"/><Relationship Id="rId21" Type="http://schemas.openxmlformats.org/officeDocument/2006/relationships/hyperlink" Target="https://jade.io/article/67250/section/140269" TargetMode="External"/><Relationship Id="rId42" Type="http://schemas.openxmlformats.org/officeDocument/2006/relationships/hyperlink" Target="https://www.childrenscourt.vic.gov.au/legal/guidelines-intermediary-pilot-program" TargetMode="External"/><Relationship Id="rId47" Type="http://schemas.openxmlformats.org/officeDocument/2006/relationships/hyperlink" Target="https://jade.io/article/122435/section/215" TargetMode="External"/><Relationship Id="rId63" Type="http://schemas.openxmlformats.org/officeDocument/2006/relationships/hyperlink" Target="https://www.lawreform.vic.gov.au/publication/artificial-intelligence-in-victorias-courts-and-tribunals-report/6-principles-to-guide-the-safe-use-of-ai-in-courts-and-tribunals/" TargetMode="External"/><Relationship Id="rId68"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jade.io/article/119721" TargetMode="External"/><Relationship Id="rId29" Type="http://schemas.openxmlformats.org/officeDocument/2006/relationships/hyperlink" Target="https://jade.io/article/281699" TargetMode="External"/><Relationship Id="rId11" Type="http://schemas.openxmlformats.org/officeDocument/2006/relationships/hyperlink" Target="https://jade.io/article/296260" TargetMode="External"/><Relationship Id="rId24" Type="http://schemas.openxmlformats.org/officeDocument/2006/relationships/hyperlink" Target="https://jade.io/article/68319/section/140890" TargetMode="External"/><Relationship Id="rId32" Type="http://schemas.openxmlformats.org/officeDocument/2006/relationships/hyperlink" Target="https://jade.io/article/264351/section/2178" TargetMode="External"/><Relationship Id="rId37" Type="http://schemas.openxmlformats.org/officeDocument/2006/relationships/hyperlink" Target="https://jade.io/article/602136" TargetMode="External"/><Relationship Id="rId40" Type="http://schemas.openxmlformats.org/officeDocument/2006/relationships/hyperlink" Target="https://jade.io/article/75762/section/140706" TargetMode="External"/><Relationship Id="rId45" Type="http://schemas.openxmlformats.org/officeDocument/2006/relationships/hyperlink" Target="https://www.austlii.edu.au/cgi-bin/viewdoc/au/cases/vic/VCC/2025/592.html" TargetMode="External"/><Relationship Id="rId53" Type="http://schemas.openxmlformats.org/officeDocument/2006/relationships/hyperlink" Target="http://www.austlii.edu.au/cgi-bin/viewdoc/au/legis/vic/consol_act/cpa2009188/s412.html" TargetMode="External"/><Relationship Id="rId58" Type="http://schemas.openxmlformats.org/officeDocument/2006/relationships/hyperlink" Target="https://www.lawreform.vic.gov.au/publication/artificial-intelligence-in-victorias-courts-and-tribunals-report/1-introduction-artificial-intelligence-in-victorias-courts-and-tribunals/" TargetMode="External"/><Relationship Id="rId66" Type="http://schemas.openxmlformats.org/officeDocument/2006/relationships/hyperlink" Target="https://www.lawreform.vic.gov.au/publication/artificial-intelligence-in-victorias-courts-and-tribunals-report/9-governance-to-support-ai-innovation/"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lawreform.vic.gov.au/publication/artificial-intelligence-in-victorias-courts-and-tribunals-report/4-australian-and-global-ai-regulation/" TargetMode="External"/><Relationship Id="rId19" Type="http://schemas.openxmlformats.org/officeDocument/2006/relationships/hyperlink" Target="https://jade.io/article/67250" TargetMode="External"/><Relationship Id="rId14" Type="http://schemas.openxmlformats.org/officeDocument/2006/relationships/hyperlink" Target="https://jade.io/article/188371" TargetMode="External"/><Relationship Id="rId22" Type="http://schemas.openxmlformats.org/officeDocument/2006/relationships/hyperlink" Target="https://jade.io/article/67250" TargetMode="External"/><Relationship Id="rId27" Type="http://schemas.openxmlformats.org/officeDocument/2006/relationships/hyperlink" Target="https://jade.io/article/602136/section/10667" TargetMode="External"/><Relationship Id="rId30" Type="http://schemas.openxmlformats.org/officeDocument/2006/relationships/hyperlink" Target="https://jade.io/article/264351" TargetMode="External"/><Relationship Id="rId35" Type="http://schemas.openxmlformats.org/officeDocument/2006/relationships/hyperlink" Target="https://jade.io/article/463199" TargetMode="External"/><Relationship Id="rId43" Type="http://schemas.openxmlformats.org/officeDocument/2006/relationships/hyperlink" Target="https://www.lexisnexis.com:443/au/legal/search/runRemoteLink.do?service=citation&amp;langcountry=AU&amp;risb=21_T2657946393&amp;A=0.42250531858259566&amp;linkInfo=AU%23All+ER%23year%251993%25page%2530%25vol%254%25sel2%254%25sel1%251993%25&amp;bct=A" TargetMode="External"/><Relationship Id="rId48" Type="http://schemas.openxmlformats.org/officeDocument/2006/relationships/hyperlink" Target="https://jade.io/article/122435/section/215" TargetMode="External"/><Relationship Id="rId56" Type="http://schemas.openxmlformats.org/officeDocument/2006/relationships/hyperlink" Target="https://www.lawreform.vic.gov.au/project/artificial-intelligence-in-victorias-courts-and-tribunals/" TargetMode="External"/><Relationship Id="rId64" Type="http://schemas.openxmlformats.org/officeDocument/2006/relationships/hyperlink" Target="https://www.lawreform.vic.gov.au/publication/artificial-intelligence-in-victorias-courts-and-tribunals-report/7-court-user-guidelines-to-support-safe-use-of-ai/" TargetMode="External"/><Relationship Id="rId69" Type="http://schemas.openxmlformats.org/officeDocument/2006/relationships/hyperlink" Target="https://www.supremecourt.vic.gov.au/forms-fees-and-services/forms-templates-and-guidelines/guideline-responsible-use-of-ai-in-litigation" TargetMode="External"/><Relationship Id="rId8" Type="http://schemas.openxmlformats.org/officeDocument/2006/relationships/hyperlink" Target="https://www.hcourt.gov.au/assets/publications/speeches/current-justices/BJJ/Beech-Jones(2024)NJCA.pdf" TargetMode="External"/><Relationship Id="rId51" Type="http://schemas.openxmlformats.org/officeDocument/2006/relationships/hyperlink" Target="https://www.judiciary.uk/wp-content/uploads/2025/02/Writing-to-Children--A-Judges-Toolkit-V1.7-1.pdf" TargetMode="External"/><Relationship Id="rId72" Type="http://schemas.openxmlformats.org/officeDocument/2006/relationships/image" Target="media/image2.wmf"/><Relationship Id="rId3" Type="http://schemas.openxmlformats.org/officeDocument/2006/relationships/styles" Target="styles.xml"/><Relationship Id="rId12" Type="http://schemas.openxmlformats.org/officeDocument/2006/relationships/hyperlink" Target="https://jade.io/article/188371" TargetMode="External"/><Relationship Id="rId17" Type="http://schemas.openxmlformats.org/officeDocument/2006/relationships/hyperlink" Target="https://jade.io/article/119721/section/896" TargetMode="External"/><Relationship Id="rId25" Type="http://schemas.openxmlformats.org/officeDocument/2006/relationships/hyperlink" Target="https://jade.io/article/68319/section/140890" TargetMode="External"/><Relationship Id="rId33" Type="http://schemas.openxmlformats.org/officeDocument/2006/relationships/hyperlink" Target="https://jade.io/article/214796" TargetMode="External"/><Relationship Id="rId38" Type="http://schemas.openxmlformats.org/officeDocument/2006/relationships/hyperlink" Target="https://jade.io/article/602136/section/140831" TargetMode="External"/><Relationship Id="rId46" Type="http://schemas.openxmlformats.org/officeDocument/2006/relationships/hyperlink" Target="https://jade.io/article/122435" TargetMode="External"/><Relationship Id="rId59" Type="http://schemas.openxmlformats.org/officeDocument/2006/relationships/hyperlink" Target="https://www.lawreform.vic.gov.au/publication/artificial-intelligence-in-victorias-courts-and-tribunals-report/2-current-and-emerging-uses-of-ai-in-courts-and-tribunals/" TargetMode="External"/><Relationship Id="rId67" Type="http://schemas.openxmlformats.org/officeDocument/2006/relationships/hyperlink" Target="https://www.lawreform.vic.gov.au/publication/artificial-intelligence-in-victorias-courts-and-tribunals-report/10-promoting-awareness-and-education-to-support-safe-use-of-ai/" TargetMode="External"/><Relationship Id="rId20" Type="http://schemas.openxmlformats.org/officeDocument/2006/relationships/hyperlink" Target="https://jade.io/article/67250/section/140363" TargetMode="External"/><Relationship Id="rId41" Type="http://schemas.openxmlformats.org/officeDocument/2006/relationships/hyperlink" Target="https://criminalcpd.net.au/wp-content/uploads/2017/01/abuse-of-judicial-process-criminal-cle-0117.pdf" TargetMode="External"/><Relationship Id="rId54" Type="http://schemas.openxmlformats.org/officeDocument/2006/relationships/hyperlink" Target="http://www.austlii.edu.au/cgi-bin/viewdoc/au/legis/vic/consol_act/cpa2009188/" TargetMode="External"/><Relationship Id="rId62" Type="http://schemas.openxmlformats.org/officeDocument/2006/relationships/hyperlink" Target="https://www.lawreform.vic.gov.au/publication/artificial-intelligence-in-victorias-courts-and-tribunals-report/5-is-legislative-reform-necessary-for-safe-use-of-ai-in-courts-and-tribunals/" TargetMode="External"/><Relationship Id="rId70" Type="http://schemas.openxmlformats.org/officeDocument/2006/relationships/hyperlink" Target="https://www.supremecourt.vic.gov.au/forms-fees-and-services/forms-templates-and-guidelines/guideline-responsible-use-of-ai-in-litigation"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ade.io/article/188371/section/140331" TargetMode="External"/><Relationship Id="rId23" Type="http://schemas.openxmlformats.org/officeDocument/2006/relationships/hyperlink" Target="https://jade.io/article/68319" TargetMode="External"/><Relationship Id="rId28" Type="http://schemas.openxmlformats.org/officeDocument/2006/relationships/hyperlink" Target="https://jade.io/article/281699/section/192" TargetMode="External"/><Relationship Id="rId36" Type="http://schemas.openxmlformats.org/officeDocument/2006/relationships/hyperlink" Target="https://jade.io/article/463199/section/936" TargetMode="External"/><Relationship Id="rId49" Type="http://schemas.openxmlformats.org/officeDocument/2006/relationships/hyperlink" Target="https://jade.io/article/800857" TargetMode="External"/><Relationship Id="rId57" Type="http://schemas.openxmlformats.org/officeDocument/2006/relationships/hyperlink" Target="https://www.lawreform.vic.gov.au/publication/artificial-intelligence-in-victorias-courts-and-tribunals-report/" TargetMode="External"/><Relationship Id="rId10" Type="http://schemas.openxmlformats.org/officeDocument/2006/relationships/hyperlink" Target="https://jade.io/article/141882" TargetMode="External"/><Relationship Id="rId31" Type="http://schemas.openxmlformats.org/officeDocument/2006/relationships/hyperlink" Target="https://jade.io/article/264351" TargetMode="External"/><Relationship Id="rId44" Type="http://schemas.openxmlformats.org/officeDocument/2006/relationships/hyperlink" Target="https://judicialcollege.vic.edu.au/resources/pocket-evidence-law" TargetMode="External"/><Relationship Id="rId52" Type="http://schemas.openxmlformats.org/officeDocument/2006/relationships/hyperlink" Target="https://www.courtsofnz.govt.nz/cases/par-v-sjf" TargetMode="External"/><Relationship Id="rId60" Type="http://schemas.openxmlformats.org/officeDocument/2006/relationships/hyperlink" Target="https://www.lawreform.vic.gov.au/publication/artificial-intelligence-in-victorias-courts-and-tribunals-report/3-opportunities-and-risks-of-ai/" TargetMode="External"/><Relationship Id="rId65" Type="http://schemas.openxmlformats.org/officeDocument/2006/relationships/hyperlink" Target="https://www.lawreform.vic.gov.au/publication/artificial-intelligence-in-victorias-courts-and-tribunals-report/8-judicial-officer-guidelines-to-support-the-safe-use-of-ai/"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ade.io/citation/3082428" TargetMode="External"/><Relationship Id="rId13" Type="http://schemas.openxmlformats.org/officeDocument/2006/relationships/hyperlink" Target="https://jade.io/article/188371/section/140579" TargetMode="External"/><Relationship Id="rId18" Type="http://schemas.openxmlformats.org/officeDocument/2006/relationships/hyperlink" Target="https://jade.io/article/119721/section/896" TargetMode="External"/><Relationship Id="rId39" Type="http://schemas.openxmlformats.org/officeDocument/2006/relationships/hyperlink" Target="https://jade.io/article/75762" TargetMode="External"/><Relationship Id="rId34" Type="http://schemas.openxmlformats.org/officeDocument/2006/relationships/hyperlink" Target="https://jade.io/article/214796/section/6610" TargetMode="External"/><Relationship Id="rId50" Type="http://schemas.openxmlformats.org/officeDocument/2006/relationships/hyperlink" Target="https://jade.io/article/800857/section/2615" TargetMode="External"/><Relationship Id="rId55" Type="http://schemas.openxmlformats.org/officeDocument/2006/relationships/hyperlink" Target="https://urldefense.proofpoint.com/v2/url?u=https-3A__jade.io_viewArticle.html-3Faid-3D824417-26pid-3D60654385-26h-3D1107164396&amp;d=DwMCAg&amp;c=JnBkUqWXzx2bz-3a05d47Q&amp;r=GtQXq1oqGhAiTLjCBSq6Gkyvjjd-yppTKu0RR1JCFBQ&amp;m=RS0Rw1AQ2WqMvPZbQkJKQfNT1siCTCG8zjgRqG21POs&amp;s=nPRCBpmncTbsgt-BhU7JXXnSjs0APifo0g7RB2Uhib8&amp;e=" TargetMode="External"/><Relationship Id="rId7" Type="http://schemas.openxmlformats.org/officeDocument/2006/relationships/endnotes" Target="endnotes.xml"/><Relationship Id="rId71" Type="http://schemas.openxmlformats.org/officeDocument/2006/relationships/hyperlink" Target="https://aija.org.au/publications/ai-decision-making-and-the-courts-a-guide-for-judges-tribunal-members-and-court-administr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86D45-949E-4A84-87FD-444A8E8D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249</Pages>
  <Words>172681</Words>
  <Characters>984288</Characters>
  <Application>Microsoft Office Word</Application>
  <DocSecurity>0</DocSecurity>
  <Lines>8202</Lines>
  <Paragraphs>2309</Paragraphs>
  <ScaleCrop>false</ScaleCrop>
  <HeadingPairs>
    <vt:vector size="2" baseType="variant">
      <vt:variant>
        <vt:lpstr>Title</vt:lpstr>
      </vt:variant>
      <vt:variant>
        <vt:i4>1</vt:i4>
      </vt:variant>
    </vt:vector>
  </HeadingPairs>
  <TitlesOfParts>
    <vt:vector size="1" baseType="lpstr">
      <vt:lpstr>3</vt:lpstr>
    </vt:vector>
  </TitlesOfParts>
  <Company>Department of Justice Victoria</Company>
  <LinksUpToDate>false</LinksUpToDate>
  <CharactersWithSpaces>1154660</CharactersWithSpaces>
  <SharedDoc>false</SharedDoc>
  <HLinks>
    <vt:vector size="420" baseType="variant">
      <vt:variant>
        <vt:i4>3276802</vt:i4>
      </vt:variant>
      <vt:variant>
        <vt:i4>207</vt:i4>
      </vt:variant>
      <vt:variant>
        <vt:i4>0</vt:i4>
      </vt:variant>
      <vt:variant>
        <vt:i4>5</vt:i4>
      </vt:variant>
      <vt:variant>
        <vt:lpwstr>https://www.lexisnexis.com/au/legal/search/runRemoteLink.do?service=citation&amp;langcountry=AU&amp;risb=21_T2657946393&amp;A=0.42250531858259566&amp;linkInfo=AU%23All+ER%23year%251993%25page%2530%25vol%254%25sel2%254%25sel1%251993%25&amp;bct=A</vt:lpwstr>
      </vt:variant>
      <vt:variant>
        <vt:lpwstr/>
      </vt:variant>
      <vt:variant>
        <vt:i4>5242954</vt:i4>
      </vt:variant>
      <vt:variant>
        <vt:i4>204</vt:i4>
      </vt:variant>
      <vt:variant>
        <vt:i4>0</vt:i4>
      </vt:variant>
      <vt:variant>
        <vt:i4>5</vt:i4>
      </vt:variant>
      <vt:variant>
        <vt:lpwstr>https://www.childrenscourt.vic.gov.au/legal/guidelines-intermediary-pilot-program</vt:lpwstr>
      </vt:variant>
      <vt:variant>
        <vt:lpwstr/>
      </vt:variant>
      <vt:variant>
        <vt:i4>262267</vt:i4>
      </vt:variant>
      <vt:variant>
        <vt:i4>201</vt:i4>
      </vt:variant>
      <vt:variant>
        <vt:i4>0</vt:i4>
      </vt:variant>
      <vt:variant>
        <vt:i4>5</vt:i4>
      </vt:variant>
      <vt:variant>
        <vt:lpwstr/>
      </vt:variant>
      <vt:variant>
        <vt:lpwstr>_3.3.4.1_Power_to</vt:lpwstr>
      </vt:variant>
      <vt:variant>
        <vt:i4>73792</vt:i4>
      </vt:variant>
      <vt:variant>
        <vt:i4>198</vt:i4>
      </vt:variant>
      <vt:variant>
        <vt:i4>0</vt:i4>
      </vt:variant>
      <vt:variant>
        <vt:i4>5</vt:i4>
      </vt:variant>
      <vt:variant>
        <vt:lpwstr/>
      </vt:variant>
      <vt:variant>
        <vt:lpwstr>_3.12_The_Children’s</vt:lpwstr>
      </vt:variant>
      <vt:variant>
        <vt:i4>3014671</vt:i4>
      </vt:variant>
      <vt:variant>
        <vt:i4>195</vt:i4>
      </vt:variant>
      <vt:variant>
        <vt:i4>0</vt:i4>
      </vt:variant>
      <vt:variant>
        <vt:i4>5</vt:i4>
      </vt:variant>
      <vt:variant>
        <vt:lpwstr/>
      </vt:variant>
      <vt:variant>
        <vt:lpwstr>_3.11_Case_stated</vt:lpwstr>
      </vt:variant>
      <vt:variant>
        <vt:i4>8060994</vt:i4>
      </vt:variant>
      <vt:variant>
        <vt:i4>192</vt:i4>
      </vt:variant>
      <vt:variant>
        <vt:i4>0</vt:i4>
      </vt:variant>
      <vt:variant>
        <vt:i4>5</vt:i4>
      </vt:variant>
      <vt:variant>
        <vt:lpwstr/>
      </vt:variant>
      <vt:variant>
        <vt:lpwstr>_3.10_Appeals_-</vt:lpwstr>
      </vt:variant>
      <vt:variant>
        <vt:i4>5636158</vt:i4>
      </vt:variant>
      <vt:variant>
        <vt:i4>189</vt:i4>
      </vt:variant>
      <vt:variant>
        <vt:i4>0</vt:i4>
      </vt:variant>
      <vt:variant>
        <vt:i4>5</vt:i4>
      </vt:variant>
      <vt:variant>
        <vt:lpwstr/>
      </vt:variant>
      <vt:variant>
        <vt:lpwstr>_3.9.6_Enforcement_of</vt:lpwstr>
      </vt:variant>
      <vt:variant>
        <vt:i4>65641</vt:i4>
      </vt:variant>
      <vt:variant>
        <vt:i4>186</vt:i4>
      </vt:variant>
      <vt:variant>
        <vt:i4>0</vt:i4>
      </vt:variant>
      <vt:variant>
        <vt:i4>5</vt:i4>
      </vt:variant>
      <vt:variant>
        <vt:lpwstr/>
      </vt:variant>
      <vt:variant>
        <vt:lpwstr>_3.9.5_Very_limited</vt:lpwstr>
      </vt:variant>
      <vt:variant>
        <vt:i4>65663</vt:i4>
      </vt:variant>
      <vt:variant>
        <vt:i4>183</vt:i4>
      </vt:variant>
      <vt:variant>
        <vt:i4>0</vt:i4>
      </vt:variant>
      <vt:variant>
        <vt:i4>5</vt:i4>
      </vt:variant>
      <vt:variant>
        <vt:lpwstr/>
      </vt:variant>
      <vt:variant>
        <vt:lpwstr>_3.9.4_Family_Division</vt:lpwstr>
      </vt:variant>
      <vt:variant>
        <vt:i4>393343</vt:i4>
      </vt:variant>
      <vt:variant>
        <vt:i4>180</vt:i4>
      </vt:variant>
      <vt:variant>
        <vt:i4>0</vt:i4>
      </vt:variant>
      <vt:variant>
        <vt:i4>5</vt:i4>
      </vt:variant>
      <vt:variant>
        <vt:lpwstr/>
      </vt:variant>
      <vt:variant>
        <vt:lpwstr>_3.9.3_Family_Division</vt:lpwstr>
      </vt:variant>
      <vt:variant>
        <vt:i4>6422547</vt:i4>
      </vt:variant>
      <vt:variant>
        <vt:i4>177</vt:i4>
      </vt:variant>
      <vt:variant>
        <vt:i4>0</vt:i4>
      </vt:variant>
      <vt:variant>
        <vt:i4>5</vt:i4>
      </vt:variant>
      <vt:variant>
        <vt:lpwstr/>
      </vt:variant>
      <vt:variant>
        <vt:lpwstr>_3.9.2_Criminal_Division</vt:lpwstr>
      </vt:variant>
      <vt:variant>
        <vt:i4>6357011</vt:i4>
      </vt:variant>
      <vt:variant>
        <vt:i4>174</vt:i4>
      </vt:variant>
      <vt:variant>
        <vt:i4>0</vt:i4>
      </vt:variant>
      <vt:variant>
        <vt:i4>5</vt:i4>
      </vt:variant>
      <vt:variant>
        <vt:lpwstr/>
      </vt:variant>
      <vt:variant>
        <vt:lpwstr>_3.9.1_Criminal_Division</vt:lpwstr>
      </vt:variant>
      <vt:variant>
        <vt:i4>6881333</vt:i4>
      </vt:variant>
      <vt:variant>
        <vt:i4>171</vt:i4>
      </vt:variant>
      <vt:variant>
        <vt:i4>0</vt:i4>
      </vt:variant>
      <vt:variant>
        <vt:i4>5</vt:i4>
      </vt:variant>
      <vt:variant>
        <vt:lpwstr/>
      </vt:variant>
      <vt:variant>
        <vt:lpwstr>_3.9_Costs</vt:lpwstr>
      </vt:variant>
      <vt:variant>
        <vt:i4>5832750</vt:i4>
      </vt:variant>
      <vt:variant>
        <vt:i4>168</vt:i4>
      </vt:variant>
      <vt:variant>
        <vt:i4>0</vt:i4>
      </vt:variant>
      <vt:variant>
        <vt:i4>5</vt:i4>
      </vt:variant>
      <vt:variant>
        <vt:lpwstr/>
      </vt:variant>
      <vt:variant>
        <vt:lpwstr>_3.8_Amending_judgments</vt:lpwstr>
      </vt:variant>
      <vt:variant>
        <vt:i4>4718595</vt:i4>
      </vt:variant>
      <vt:variant>
        <vt:i4>165</vt:i4>
      </vt:variant>
      <vt:variant>
        <vt:i4>0</vt:i4>
      </vt:variant>
      <vt:variant>
        <vt:i4>5</vt:i4>
      </vt:variant>
      <vt:variant>
        <vt:lpwstr/>
      </vt:variant>
      <vt:variant>
        <vt:lpwstr>_3.7.2_Judgments</vt:lpwstr>
      </vt:variant>
      <vt:variant>
        <vt:i4>65598</vt:i4>
      </vt:variant>
      <vt:variant>
        <vt:i4>162</vt:i4>
      </vt:variant>
      <vt:variant>
        <vt:i4>0</vt:i4>
      </vt:variant>
      <vt:variant>
        <vt:i4>5</vt:i4>
      </vt:variant>
      <vt:variant>
        <vt:lpwstr/>
      </vt:variant>
      <vt:variant>
        <vt:lpwstr>_3.7.1_Explanation_&amp;</vt:lpwstr>
      </vt:variant>
      <vt:variant>
        <vt:i4>5701746</vt:i4>
      </vt:variant>
      <vt:variant>
        <vt:i4>159</vt:i4>
      </vt:variant>
      <vt:variant>
        <vt:i4>0</vt:i4>
      </vt:variant>
      <vt:variant>
        <vt:i4>5</vt:i4>
      </vt:variant>
      <vt:variant>
        <vt:lpwstr/>
      </vt:variant>
      <vt:variant>
        <vt:lpwstr>_3.7_Judgments_-</vt:lpwstr>
      </vt:variant>
      <vt:variant>
        <vt:i4>393313</vt:i4>
      </vt:variant>
      <vt:variant>
        <vt:i4>156</vt:i4>
      </vt:variant>
      <vt:variant>
        <vt:i4>0</vt:i4>
      </vt:variant>
      <vt:variant>
        <vt:i4>5</vt:i4>
      </vt:variant>
      <vt:variant>
        <vt:lpwstr/>
      </vt:variant>
      <vt:variant>
        <vt:lpwstr>_3.6_Statutory_interpretation</vt:lpwstr>
      </vt:variant>
      <vt:variant>
        <vt:i4>1769529</vt:i4>
      </vt:variant>
      <vt:variant>
        <vt:i4>153</vt:i4>
      </vt:variant>
      <vt:variant>
        <vt:i4>0</vt:i4>
      </vt:variant>
      <vt:variant>
        <vt:i4>5</vt:i4>
      </vt:variant>
      <vt:variant>
        <vt:lpwstr/>
      </vt:variant>
      <vt:variant>
        <vt:lpwstr>_3.5.15_Unfavourable_witnesses</vt:lpwstr>
      </vt:variant>
      <vt:variant>
        <vt:i4>5177444</vt:i4>
      </vt:variant>
      <vt:variant>
        <vt:i4>150</vt:i4>
      </vt:variant>
      <vt:variant>
        <vt:i4>0</vt:i4>
      </vt:variant>
      <vt:variant>
        <vt:i4>5</vt:i4>
      </vt:variant>
      <vt:variant>
        <vt:lpwstr/>
      </vt:variant>
      <vt:variant>
        <vt:lpwstr>_3.5.14_The_rule</vt:lpwstr>
      </vt:variant>
      <vt:variant>
        <vt:i4>5177443</vt:i4>
      </vt:variant>
      <vt:variant>
        <vt:i4>147</vt:i4>
      </vt:variant>
      <vt:variant>
        <vt:i4>0</vt:i4>
      </vt:variant>
      <vt:variant>
        <vt:i4>5</vt:i4>
      </vt:variant>
      <vt:variant>
        <vt:lpwstr/>
      </vt:variant>
      <vt:variant>
        <vt:lpwstr>_3.5.13_The_rule</vt:lpwstr>
      </vt:variant>
      <vt:variant>
        <vt:i4>4980836</vt:i4>
      </vt:variant>
      <vt:variant>
        <vt:i4>144</vt:i4>
      </vt:variant>
      <vt:variant>
        <vt:i4>0</vt:i4>
      </vt:variant>
      <vt:variant>
        <vt:i4>5</vt:i4>
      </vt:variant>
      <vt:variant>
        <vt:lpwstr/>
      </vt:variant>
      <vt:variant>
        <vt:lpwstr>_3.5.12.3__Alternative</vt:lpwstr>
      </vt:variant>
      <vt:variant>
        <vt:i4>3407881</vt:i4>
      </vt:variant>
      <vt:variant>
        <vt:i4>141</vt:i4>
      </vt:variant>
      <vt:variant>
        <vt:i4>0</vt:i4>
      </vt:variant>
      <vt:variant>
        <vt:i4>5</vt:i4>
      </vt:variant>
      <vt:variant>
        <vt:lpwstr/>
      </vt:variant>
      <vt:variant>
        <vt:lpwstr>_3.5.12.2__Appearance</vt:lpwstr>
      </vt:variant>
      <vt:variant>
        <vt:i4>3407882</vt:i4>
      </vt:variant>
      <vt:variant>
        <vt:i4>138</vt:i4>
      </vt:variant>
      <vt:variant>
        <vt:i4>0</vt:i4>
      </vt:variant>
      <vt:variant>
        <vt:i4>5</vt:i4>
      </vt:variant>
      <vt:variant>
        <vt:lpwstr/>
      </vt:variant>
      <vt:variant>
        <vt:lpwstr>_3.5.12.1__Appearance</vt:lpwstr>
      </vt:variant>
      <vt:variant>
        <vt:i4>7012416</vt:i4>
      </vt:variant>
      <vt:variant>
        <vt:i4>135</vt:i4>
      </vt:variant>
      <vt:variant>
        <vt:i4>0</vt:i4>
      </vt:variant>
      <vt:variant>
        <vt:i4>5</vt:i4>
      </vt:variant>
      <vt:variant>
        <vt:lpwstr/>
      </vt:variant>
      <vt:variant>
        <vt:lpwstr>_3.5.12_Appearance_or</vt:lpwstr>
      </vt:variant>
      <vt:variant>
        <vt:i4>5242983</vt:i4>
      </vt:variant>
      <vt:variant>
        <vt:i4>132</vt:i4>
      </vt:variant>
      <vt:variant>
        <vt:i4>0</vt:i4>
      </vt:variant>
      <vt:variant>
        <vt:i4>5</vt:i4>
      </vt:variant>
      <vt:variant>
        <vt:lpwstr/>
      </vt:variant>
      <vt:variant>
        <vt:lpwstr>_3.5.11_Oaths_and</vt:lpwstr>
      </vt:variant>
      <vt:variant>
        <vt:i4>3866640</vt:i4>
      </vt:variant>
      <vt:variant>
        <vt:i4>129</vt:i4>
      </vt:variant>
      <vt:variant>
        <vt:i4>0</vt:i4>
      </vt:variant>
      <vt:variant>
        <vt:i4>5</vt:i4>
      </vt:variant>
      <vt:variant>
        <vt:lpwstr/>
      </vt:variant>
      <vt:variant>
        <vt:lpwstr>_3.5.10.2__Compellability</vt:lpwstr>
      </vt:variant>
      <vt:variant>
        <vt:i4>2818052</vt:i4>
      </vt:variant>
      <vt:variant>
        <vt:i4>126</vt:i4>
      </vt:variant>
      <vt:variant>
        <vt:i4>0</vt:i4>
      </vt:variant>
      <vt:variant>
        <vt:i4>5</vt:i4>
      </vt:variant>
      <vt:variant>
        <vt:lpwstr/>
      </vt:variant>
      <vt:variant>
        <vt:lpwstr>_3.5.10.1__Competence</vt:lpwstr>
      </vt:variant>
      <vt:variant>
        <vt:i4>1114171</vt:i4>
      </vt:variant>
      <vt:variant>
        <vt:i4>123</vt:i4>
      </vt:variant>
      <vt:variant>
        <vt:i4>0</vt:i4>
      </vt:variant>
      <vt:variant>
        <vt:i4>5</vt:i4>
      </vt:variant>
      <vt:variant>
        <vt:lpwstr/>
      </vt:variant>
      <vt:variant>
        <vt:lpwstr>_3.5.10_Children_as</vt:lpwstr>
      </vt:variant>
      <vt:variant>
        <vt:i4>2162783</vt:i4>
      </vt:variant>
      <vt:variant>
        <vt:i4>120</vt:i4>
      </vt:variant>
      <vt:variant>
        <vt:i4>0</vt:i4>
      </vt:variant>
      <vt:variant>
        <vt:i4>5</vt:i4>
      </vt:variant>
      <vt:variant>
        <vt:lpwstr/>
      </vt:variant>
      <vt:variant>
        <vt:lpwstr>_3.5.9.3__Production</vt:lpwstr>
      </vt:variant>
      <vt:variant>
        <vt:i4>7602267</vt:i4>
      </vt:variant>
      <vt:variant>
        <vt:i4>117</vt:i4>
      </vt:variant>
      <vt:variant>
        <vt:i4>0</vt:i4>
      </vt:variant>
      <vt:variant>
        <vt:i4>5</vt:i4>
      </vt:variant>
      <vt:variant>
        <vt:lpwstr/>
      </vt:variant>
      <vt:variant>
        <vt:lpwstr>_3.5.9.2__Pre-hearing</vt:lpwstr>
      </vt:variant>
      <vt:variant>
        <vt:i4>2293855</vt:i4>
      </vt:variant>
      <vt:variant>
        <vt:i4>114</vt:i4>
      </vt:variant>
      <vt:variant>
        <vt:i4>0</vt:i4>
      </vt:variant>
      <vt:variant>
        <vt:i4>5</vt:i4>
      </vt:variant>
      <vt:variant>
        <vt:lpwstr/>
      </vt:variant>
      <vt:variant>
        <vt:lpwstr>_3.5.9.1__Production</vt:lpwstr>
      </vt:variant>
      <vt:variant>
        <vt:i4>7798813</vt:i4>
      </vt:variant>
      <vt:variant>
        <vt:i4>111</vt:i4>
      </vt:variant>
      <vt:variant>
        <vt:i4>0</vt:i4>
      </vt:variant>
      <vt:variant>
        <vt:i4>5</vt:i4>
      </vt:variant>
      <vt:variant>
        <vt:lpwstr/>
      </vt:variant>
      <vt:variant>
        <vt:lpwstr>_3.5.9_Production_of</vt:lpwstr>
      </vt:variant>
      <vt:variant>
        <vt:i4>4259884</vt:i4>
      </vt:variant>
      <vt:variant>
        <vt:i4>108</vt:i4>
      </vt:variant>
      <vt:variant>
        <vt:i4>0</vt:i4>
      </vt:variant>
      <vt:variant>
        <vt:i4>5</vt:i4>
      </vt:variant>
      <vt:variant>
        <vt:lpwstr/>
      </vt:variant>
      <vt:variant>
        <vt:lpwstr>_3.5.8_Use_of</vt:lpwstr>
      </vt:variant>
      <vt:variant>
        <vt:i4>4128850</vt:i4>
      </vt:variant>
      <vt:variant>
        <vt:i4>105</vt:i4>
      </vt:variant>
      <vt:variant>
        <vt:i4>0</vt:i4>
      </vt:variant>
      <vt:variant>
        <vt:i4>5</vt:i4>
      </vt:variant>
      <vt:variant>
        <vt:lpwstr/>
      </vt:variant>
      <vt:variant>
        <vt:lpwstr>_3.5.7_The_Less</vt:lpwstr>
      </vt:variant>
      <vt:variant>
        <vt:i4>4915255</vt:i4>
      </vt:variant>
      <vt:variant>
        <vt:i4>102</vt:i4>
      </vt:variant>
      <vt:variant>
        <vt:i4>0</vt:i4>
      </vt:variant>
      <vt:variant>
        <vt:i4>5</vt:i4>
      </vt:variant>
      <vt:variant>
        <vt:lpwstr/>
      </vt:variant>
      <vt:variant>
        <vt:lpwstr>_3.5.6.4_Obligation_to</vt:lpwstr>
      </vt:variant>
      <vt:variant>
        <vt:i4>6094901</vt:i4>
      </vt:variant>
      <vt:variant>
        <vt:i4>99</vt:i4>
      </vt:variant>
      <vt:variant>
        <vt:i4>0</vt:i4>
      </vt:variant>
      <vt:variant>
        <vt:i4>5</vt:i4>
      </vt:variant>
      <vt:variant>
        <vt:lpwstr/>
      </vt:variant>
      <vt:variant>
        <vt:lpwstr>_3.5.6.3_Management_of</vt:lpwstr>
      </vt:variant>
      <vt:variant>
        <vt:i4>4587553</vt:i4>
      </vt:variant>
      <vt:variant>
        <vt:i4>96</vt:i4>
      </vt:variant>
      <vt:variant>
        <vt:i4>0</vt:i4>
      </vt:variant>
      <vt:variant>
        <vt:i4>5</vt:i4>
      </vt:variant>
      <vt:variant>
        <vt:lpwstr/>
      </vt:variant>
      <vt:variant>
        <vt:lpwstr>_3.5.6.2_Informal_procedure</vt:lpwstr>
      </vt:variant>
      <vt:variant>
        <vt:i4>8126475</vt:i4>
      </vt:variant>
      <vt:variant>
        <vt:i4>93</vt:i4>
      </vt:variant>
      <vt:variant>
        <vt:i4>0</vt:i4>
      </vt:variant>
      <vt:variant>
        <vt:i4>5</vt:i4>
      </vt:variant>
      <vt:variant>
        <vt:lpwstr/>
      </vt:variant>
      <vt:variant>
        <vt:lpwstr>_3.5.6.1_The_usual</vt:lpwstr>
      </vt:variant>
      <vt:variant>
        <vt:i4>3080282</vt:i4>
      </vt:variant>
      <vt:variant>
        <vt:i4>90</vt:i4>
      </vt:variant>
      <vt:variant>
        <vt:i4>0</vt:i4>
      </vt:variant>
      <vt:variant>
        <vt:i4>5</vt:i4>
      </vt:variant>
      <vt:variant>
        <vt:lpwstr/>
      </vt:variant>
      <vt:variant>
        <vt:lpwstr>_3.5.6_Contested_Family</vt:lpwstr>
      </vt:variant>
      <vt:variant>
        <vt:i4>3801182</vt:i4>
      </vt:variant>
      <vt:variant>
        <vt:i4>87</vt:i4>
      </vt:variant>
      <vt:variant>
        <vt:i4>0</vt:i4>
      </vt:variant>
      <vt:variant>
        <vt:i4>5</vt:i4>
      </vt:variant>
      <vt:variant>
        <vt:lpwstr/>
      </vt:variant>
      <vt:variant>
        <vt:lpwstr>_3.5.5.2_Evidence_in</vt:lpwstr>
      </vt:variant>
      <vt:variant>
        <vt:i4>5111841</vt:i4>
      </vt:variant>
      <vt:variant>
        <vt:i4>84</vt:i4>
      </vt:variant>
      <vt:variant>
        <vt:i4>0</vt:i4>
      </vt:variant>
      <vt:variant>
        <vt:i4>5</vt:i4>
      </vt:variant>
      <vt:variant>
        <vt:lpwstr/>
      </vt:variant>
      <vt:variant>
        <vt:lpwstr>_3.5.5.1_Evidence-in-chief_in</vt:lpwstr>
      </vt:variant>
      <vt:variant>
        <vt:i4>4980780</vt:i4>
      </vt:variant>
      <vt:variant>
        <vt:i4>81</vt:i4>
      </vt:variant>
      <vt:variant>
        <vt:i4>0</vt:i4>
      </vt:variant>
      <vt:variant>
        <vt:i4>5</vt:i4>
      </vt:variant>
      <vt:variant>
        <vt:lpwstr/>
      </vt:variant>
      <vt:variant>
        <vt:lpwstr>_3.5.5_Use_of</vt:lpwstr>
      </vt:variant>
      <vt:variant>
        <vt:i4>4718627</vt:i4>
      </vt:variant>
      <vt:variant>
        <vt:i4>78</vt:i4>
      </vt:variant>
      <vt:variant>
        <vt:i4>0</vt:i4>
      </vt:variant>
      <vt:variant>
        <vt:i4>5</vt:i4>
      </vt:variant>
      <vt:variant>
        <vt:lpwstr/>
      </vt:variant>
      <vt:variant>
        <vt:lpwstr>_3.5.4_Contested_Criminal</vt:lpwstr>
      </vt:variant>
      <vt:variant>
        <vt:i4>1376356</vt:i4>
      </vt:variant>
      <vt:variant>
        <vt:i4>75</vt:i4>
      </vt:variant>
      <vt:variant>
        <vt:i4>0</vt:i4>
      </vt:variant>
      <vt:variant>
        <vt:i4>5</vt:i4>
      </vt:variant>
      <vt:variant>
        <vt:lpwstr/>
      </vt:variant>
      <vt:variant>
        <vt:lpwstr>_3.5.3.6_Other_cases</vt:lpwstr>
      </vt:variant>
      <vt:variant>
        <vt:i4>1572981</vt:i4>
      </vt:variant>
      <vt:variant>
        <vt:i4>72</vt:i4>
      </vt:variant>
      <vt:variant>
        <vt:i4>0</vt:i4>
      </vt:variant>
      <vt:variant>
        <vt:i4>5</vt:i4>
      </vt:variant>
      <vt:variant>
        <vt:lpwstr/>
      </vt:variant>
      <vt:variant>
        <vt:lpwstr>_3.5.3.5_Illegally_or</vt:lpwstr>
      </vt:variant>
      <vt:variant>
        <vt:i4>1245295</vt:i4>
      </vt:variant>
      <vt:variant>
        <vt:i4>69</vt:i4>
      </vt:variant>
      <vt:variant>
        <vt:i4>0</vt:i4>
      </vt:variant>
      <vt:variant>
        <vt:i4>5</vt:i4>
      </vt:variant>
      <vt:variant>
        <vt:lpwstr/>
      </vt:variant>
      <vt:variant>
        <vt:lpwstr>_3.5.3.4_The_hearsay</vt:lpwstr>
      </vt:variant>
      <vt:variant>
        <vt:i4>393333</vt:i4>
      </vt:variant>
      <vt:variant>
        <vt:i4>66</vt:i4>
      </vt:variant>
      <vt:variant>
        <vt:i4>0</vt:i4>
      </vt:variant>
      <vt:variant>
        <vt:i4>5</vt:i4>
      </vt:variant>
      <vt:variant>
        <vt:lpwstr/>
      </vt:variant>
      <vt:variant>
        <vt:lpwstr>_3.5.3.3_Admissibility_of</vt:lpwstr>
      </vt:variant>
      <vt:variant>
        <vt:i4>458869</vt:i4>
      </vt:variant>
      <vt:variant>
        <vt:i4>63</vt:i4>
      </vt:variant>
      <vt:variant>
        <vt:i4>0</vt:i4>
      </vt:variant>
      <vt:variant>
        <vt:i4>5</vt:i4>
      </vt:variant>
      <vt:variant>
        <vt:lpwstr/>
      </vt:variant>
      <vt:variant>
        <vt:lpwstr>_3.5.3.2_Admissibility_of</vt:lpwstr>
      </vt:variant>
      <vt:variant>
        <vt:i4>262261</vt:i4>
      </vt:variant>
      <vt:variant>
        <vt:i4>60</vt:i4>
      </vt:variant>
      <vt:variant>
        <vt:i4>0</vt:i4>
      </vt:variant>
      <vt:variant>
        <vt:i4>5</vt:i4>
      </vt:variant>
      <vt:variant>
        <vt:lpwstr/>
      </vt:variant>
      <vt:variant>
        <vt:lpwstr>_3.5.3.1_Admissibility_of</vt:lpwstr>
      </vt:variant>
      <vt:variant>
        <vt:i4>4128892</vt:i4>
      </vt:variant>
      <vt:variant>
        <vt:i4>57</vt:i4>
      </vt:variant>
      <vt:variant>
        <vt:i4>0</vt:i4>
      </vt:variant>
      <vt:variant>
        <vt:i4>5</vt:i4>
      </vt:variant>
      <vt:variant>
        <vt:lpwstr/>
      </vt:variant>
      <vt:variant>
        <vt:lpwstr>_3.5.3_Evidence</vt:lpwstr>
      </vt:variant>
      <vt:variant>
        <vt:i4>3145854</vt:i4>
      </vt:variant>
      <vt:variant>
        <vt:i4>54</vt:i4>
      </vt:variant>
      <vt:variant>
        <vt:i4>0</vt:i4>
      </vt:variant>
      <vt:variant>
        <vt:i4>5</vt:i4>
      </vt:variant>
      <vt:variant>
        <vt:lpwstr/>
      </vt:variant>
      <vt:variant>
        <vt:lpwstr>_3.5.2_Mention</vt:lpwstr>
      </vt:variant>
      <vt:variant>
        <vt:i4>2424939</vt:i4>
      </vt:variant>
      <vt:variant>
        <vt:i4>51</vt:i4>
      </vt:variant>
      <vt:variant>
        <vt:i4>0</vt:i4>
      </vt:variant>
      <vt:variant>
        <vt:i4>5</vt:i4>
      </vt:variant>
      <vt:variant>
        <vt:lpwstr/>
      </vt:variant>
      <vt:variant>
        <vt:lpwstr>_3.5.1_Preparation</vt:lpwstr>
      </vt:variant>
      <vt:variant>
        <vt:i4>3145807</vt:i4>
      </vt:variant>
      <vt:variant>
        <vt:i4>48</vt:i4>
      </vt:variant>
      <vt:variant>
        <vt:i4>0</vt:i4>
      </vt:variant>
      <vt:variant>
        <vt:i4>5</vt:i4>
      </vt:variant>
      <vt:variant>
        <vt:lpwstr/>
      </vt:variant>
      <vt:variant>
        <vt:lpwstr>_3.5_What_happens</vt:lpwstr>
      </vt:variant>
      <vt:variant>
        <vt:i4>6684675</vt:i4>
      </vt:variant>
      <vt:variant>
        <vt:i4>45</vt:i4>
      </vt:variant>
      <vt:variant>
        <vt:i4>0</vt:i4>
      </vt:variant>
      <vt:variant>
        <vt:i4>5</vt:i4>
      </vt:variant>
      <vt:variant>
        <vt:lpwstr/>
      </vt:variant>
      <vt:variant>
        <vt:lpwstr>_3.4.5_Representation_of</vt:lpwstr>
      </vt:variant>
      <vt:variant>
        <vt:i4>2621563</vt:i4>
      </vt:variant>
      <vt:variant>
        <vt:i4>42</vt:i4>
      </vt:variant>
      <vt:variant>
        <vt:i4>0</vt:i4>
      </vt:variant>
      <vt:variant>
        <vt:i4>5</vt:i4>
      </vt:variant>
      <vt:variant>
        <vt:lpwstr/>
      </vt:variant>
      <vt:variant>
        <vt:lpwstr>_3.4.4_Interpreter</vt:lpwstr>
      </vt:variant>
      <vt:variant>
        <vt:i4>1835104</vt:i4>
      </vt:variant>
      <vt:variant>
        <vt:i4>39</vt:i4>
      </vt:variant>
      <vt:variant>
        <vt:i4>0</vt:i4>
      </vt:variant>
      <vt:variant>
        <vt:i4>5</vt:i4>
      </vt:variant>
      <vt:variant>
        <vt:lpwstr/>
      </vt:variant>
      <vt:variant>
        <vt:lpwstr>_3.4.3_Standing_to</vt:lpwstr>
      </vt:variant>
      <vt:variant>
        <vt:i4>6094893</vt:i4>
      </vt:variant>
      <vt:variant>
        <vt:i4>36</vt:i4>
      </vt:variant>
      <vt:variant>
        <vt:i4>0</vt:i4>
      </vt:variant>
      <vt:variant>
        <vt:i4>5</vt:i4>
      </vt:variant>
      <vt:variant>
        <vt:lpwstr/>
      </vt:variant>
      <vt:variant>
        <vt:lpwstr>_3.4.2_Pilot_program</vt:lpwstr>
      </vt:variant>
      <vt:variant>
        <vt:i4>5898301</vt:i4>
      </vt:variant>
      <vt:variant>
        <vt:i4>33</vt:i4>
      </vt:variant>
      <vt:variant>
        <vt:i4>0</vt:i4>
      </vt:variant>
      <vt:variant>
        <vt:i4>5</vt:i4>
      </vt:variant>
      <vt:variant>
        <vt:lpwstr/>
      </vt:variant>
      <vt:variant>
        <vt:lpwstr>_3.4.1_Comprehensibility_etc.</vt:lpwstr>
      </vt:variant>
      <vt:variant>
        <vt:i4>5636130</vt:i4>
      </vt:variant>
      <vt:variant>
        <vt:i4>30</vt:i4>
      </vt:variant>
      <vt:variant>
        <vt:i4>0</vt:i4>
      </vt:variant>
      <vt:variant>
        <vt:i4>5</vt:i4>
      </vt:variant>
      <vt:variant>
        <vt:lpwstr/>
      </vt:variant>
      <vt:variant>
        <vt:lpwstr>_3.4_Procedural_guidelines</vt:lpwstr>
      </vt:variant>
      <vt:variant>
        <vt:i4>7733264</vt:i4>
      </vt:variant>
      <vt:variant>
        <vt:i4>27</vt:i4>
      </vt:variant>
      <vt:variant>
        <vt:i4>0</vt:i4>
      </vt:variant>
      <vt:variant>
        <vt:i4>5</vt:i4>
      </vt:variant>
      <vt:variant>
        <vt:lpwstr/>
      </vt:variant>
      <vt:variant>
        <vt:lpwstr>_3.3.4.3_Requirement_of</vt:lpwstr>
      </vt:variant>
      <vt:variant>
        <vt:i4>3276808</vt:i4>
      </vt:variant>
      <vt:variant>
        <vt:i4>24</vt:i4>
      </vt:variant>
      <vt:variant>
        <vt:i4>0</vt:i4>
      </vt:variant>
      <vt:variant>
        <vt:i4>5</vt:i4>
      </vt:variant>
      <vt:variant>
        <vt:lpwstr/>
      </vt:variant>
      <vt:variant>
        <vt:lpwstr>_3.3.4.2_Res_judicata,</vt:lpwstr>
      </vt:variant>
      <vt:variant>
        <vt:i4>262267</vt:i4>
      </vt:variant>
      <vt:variant>
        <vt:i4>21</vt:i4>
      </vt:variant>
      <vt:variant>
        <vt:i4>0</vt:i4>
      </vt:variant>
      <vt:variant>
        <vt:i4>5</vt:i4>
      </vt:variant>
      <vt:variant>
        <vt:lpwstr/>
      </vt:variant>
      <vt:variant>
        <vt:lpwstr>_3.3.4.1_Power_to</vt:lpwstr>
      </vt:variant>
      <vt:variant>
        <vt:i4>5374001</vt:i4>
      </vt:variant>
      <vt:variant>
        <vt:i4>18</vt:i4>
      </vt:variant>
      <vt:variant>
        <vt:i4>0</vt:i4>
      </vt:variant>
      <vt:variant>
        <vt:i4>5</vt:i4>
      </vt:variant>
      <vt:variant>
        <vt:lpwstr/>
      </vt:variant>
      <vt:variant>
        <vt:lpwstr>_3.3.3_Implied_powers</vt:lpwstr>
      </vt:variant>
      <vt:variant>
        <vt:i4>393315</vt:i4>
      </vt:variant>
      <vt:variant>
        <vt:i4>15</vt:i4>
      </vt:variant>
      <vt:variant>
        <vt:i4>0</vt:i4>
      </vt:variant>
      <vt:variant>
        <vt:i4>5</vt:i4>
      </vt:variant>
      <vt:variant>
        <vt:lpwstr/>
      </vt:variant>
      <vt:variant>
        <vt:lpwstr>_3.3.2_Powers_conferred</vt:lpwstr>
      </vt:variant>
      <vt:variant>
        <vt:i4>5832711</vt:i4>
      </vt:variant>
      <vt:variant>
        <vt:i4>12</vt:i4>
      </vt:variant>
      <vt:variant>
        <vt:i4>0</vt:i4>
      </vt:variant>
      <vt:variant>
        <vt:i4>5</vt:i4>
      </vt:variant>
      <vt:variant>
        <vt:lpwstr/>
      </vt:variant>
      <vt:variant>
        <vt:lpwstr>_3.3.2_Powers_conferred_1</vt:lpwstr>
      </vt:variant>
      <vt:variant>
        <vt:i4>327779</vt:i4>
      </vt:variant>
      <vt:variant>
        <vt:i4>9</vt:i4>
      </vt:variant>
      <vt:variant>
        <vt:i4>0</vt:i4>
      </vt:variant>
      <vt:variant>
        <vt:i4>5</vt:i4>
      </vt:variant>
      <vt:variant>
        <vt:lpwstr/>
      </vt:variant>
      <vt:variant>
        <vt:lpwstr>_3.3.1_Powers_conferred</vt:lpwstr>
      </vt:variant>
      <vt:variant>
        <vt:i4>542113875</vt:i4>
      </vt:variant>
      <vt:variant>
        <vt:i4>6</vt:i4>
      </vt:variant>
      <vt:variant>
        <vt:i4>0</vt:i4>
      </vt:variant>
      <vt:variant>
        <vt:i4>5</vt:i4>
      </vt:variant>
      <vt:variant>
        <vt:lpwstr/>
      </vt:variant>
      <vt:variant>
        <vt:lpwstr>_3.3_Children’s_Court</vt:lpwstr>
      </vt:variant>
      <vt:variant>
        <vt:i4>5439522</vt:i4>
      </vt:variant>
      <vt:variant>
        <vt:i4>3</vt:i4>
      </vt:variant>
      <vt:variant>
        <vt:i4>0</vt:i4>
      </vt:variant>
      <vt:variant>
        <vt:i4>5</vt:i4>
      </vt:variant>
      <vt:variant>
        <vt:lpwstr/>
      </vt:variant>
      <vt:variant>
        <vt:lpwstr>_3.2_Judicial_Independence</vt:lpwstr>
      </vt:variant>
      <vt:variant>
        <vt:i4>123</vt:i4>
      </vt:variant>
      <vt:variant>
        <vt:i4>0</vt:i4>
      </vt:variant>
      <vt:variant>
        <vt:i4>0</vt:i4>
      </vt:variant>
      <vt:variant>
        <vt:i4>5</vt:i4>
      </vt:variant>
      <vt:variant>
        <vt:lpwstr/>
      </vt:variant>
      <vt:variant>
        <vt:lpwstr>_3.1_Roles_of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Peter Power</dc:creator>
  <cp:keywords/>
  <dc:description/>
  <cp:lastModifiedBy>Peter Power (CSV)</cp:lastModifiedBy>
  <cp:revision>2</cp:revision>
  <cp:lastPrinted>2026-06-22T01:13:00Z</cp:lastPrinted>
  <dcterms:created xsi:type="dcterms:W3CDTF">2026-07-02T01:09:00Z</dcterms:created>
  <dcterms:modified xsi:type="dcterms:W3CDTF">2026-07-02T01:09:00Z</dcterms:modified>
</cp:coreProperties>
</file>